
<file path=[Content_Types].xml><?xml version="1.0" encoding="utf-8"?>
<Types xmlns="http://schemas.openxmlformats.org/package/2006/content-types">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7.xml" ContentType="application/vnd.openxmlformats-officedocument.wordprocessingml.footer+xml"/>
  <Override PartName="/word/header17.xml" ContentType="application/vnd.openxmlformats-officedocument.wordprocessingml.header+xml"/>
  <Override PartName="/word/footer8.xml" ContentType="application/vnd.openxmlformats-officedocument.wordprocessingml.footer+xml"/>
  <Override PartName="/word/header18.xml" ContentType="application/vnd.openxmlformats-officedocument.wordprocessingml.header+xml"/>
  <Override PartName="/word/footer9.xml" ContentType="application/vnd.openxmlformats-officedocument.wordprocessingml.footer+xml"/>
  <Override PartName="/word/header19.xml" ContentType="application/vnd.openxmlformats-officedocument.wordprocessingml.header+xml"/>
  <Override PartName="/word/footer10.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11.xml" ContentType="application/vnd.openxmlformats-officedocument.wordprocessingml.footer+xml"/>
  <Override PartName="/word/header22.xml" ContentType="application/vnd.openxmlformats-officedocument.wordprocessingml.header+xml"/>
  <Override PartName="/word/footer12.xml" ContentType="application/vnd.openxmlformats-officedocument.wordprocessingml.footer+xml"/>
  <Override PartName="/word/header23.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24.xml" ContentType="application/vnd.openxmlformats-officedocument.wordprocessingml.header+xml"/>
  <Override PartName="/word/footer15.xml" ContentType="application/vnd.openxmlformats-officedocument.wordprocessingml.footer+xml"/>
  <Override PartName="/word/header25.xml" ContentType="application/vnd.openxmlformats-officedocument.wordprocessingml.header+xml"/>
  <Override PartName="/word/footer16.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17.xml" ContentType="application/vnd.openxmlformats-officedocument.wordprocessingml.footer+xml"/>
  <Override PartName="/word/header28.xml" ContentType="application/vnd.openxmlformats-officedocument.wordprocessingml.header+xml"/>
  <Override PartName="/word/footer1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31.xml" ContentType="application/vnd.openxmlformats-officedocument.wordprocessingml.header+xml"/>
  <Override PartName="/word/footer21.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34.xml" ContentType="application/vnd.openxmlformats-officedocument.wordprocessingml.header+xml"/>
  <Override PartName="/word/footer24.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37.xml" ContentType="application/vnd.openxmlformats-officedocument.wordprocessingml.header+xml"/>
  <Override PartName="/word/footer27.xml" ContentType="application/vnd.openxmlformats-officedocument.wordprocessingml.footer+xml"/>
  <Override PartName="/word/header38.xml" ContentType="application/vnd.openxmlformats-officedocument.wordprocessingml.header+xml"/>
  <Override PartName="/word/footer28.xml" ContentType="application/vnd.openxmlformats-officedocument.wordprocessingml.footer+xml"/>
  <Override PartName="/word/header39.xml" ContentType="application/vnd.openxmlformats-officedocument.wordprocessingml.header+xml"/>
  <Override PartName="/word/footer29.xml" ContentType="application/vnd.openxmlformats-officedocument.wordprocessingml.footer+xml"/>
  <Override PartName="/word/header40.xml" ContentType="application/vnd.openxmlformats-officedocument.wordprocessingml.header+xml"/>
  <Override PartName="/word/footer30.xml" ContentType="application/vnd.openxmlformats-officedocument.wordprocessingml.footer+xml"/>
  <Override PartName="/word/header41.xml" ContentType="application/vnd.openxmlformats-officedocument.wordprocessingml.header+xml"/>
  <Override PartName="/word/footer31.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32.xml" ContentType="application/vnd.openxmlformats-officedocument.wordprocessingml.footer+xml"/>
  <Override PartName="/word/header44.xml" ContentType="application/vnd.openxmlformats-officedocument.wordprocessingml.header+xml"/>
  <Override PartName="/word/footer33.xml" ContentType="application/vnd.openxmlformats-officedocument.wordprocessingml.footer+xml"/>
  <Override PartName="/word/header45.xml" ContentType="application/vnd.openxmlformats-officedocument.wordprocessingml.header+xml"/>
  <Override PartName="/word/header46.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footer37.xml" ContentType="application/vnd.openxmlformats-officedocument.wordprocessingml.footer+xml"/>
  <Override PartName="/word/header50.xml" ContentType="application/vnd.openxmlformats-officedocument.wordprocessingml.header+xml"/>
  <Override PartName="/word/header51.xml" ContentType="application/vnd.openxmlformats-officedocument.wordprocessingml.header+xml"/>
  <Override PartName="/word/footer38.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footer39.xml" ContentType="application/vnd.openxmlformats-officedocument.wordprocessingml.footer+xml"/>
  <Override PartName="/word/header58.xml" ContentType="application/vnd.openxmlformats-officedocument.wordprocessingml.header+xml"/>
  <Override PartName="/word/footer40.xml" ContentType="application/vnd.openxmlformats-officedocument.wordprocessingml.footer+xml"/>
  <Override PartName="/word/header59.xml" ContentType="application/vnd.openxmlformats-officedocument.wordprocessingml.header+xml"/>
  <Override PartName="/word/footer41.xml" ContentType="application/vnd.openxmlformats-officedocument.wordprocessingml.footer+xml"/>
  <Override PartName="/word/header60.xml" ContentType="application/vnd.openxmlformats-officedocument.wordprocessingml.header+xml"/>
  <Override PartName="/word/footer42.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43.xml" ContentType="application/vnd.openxmlformats-officedocument.wordprocessingml.footer+xml"/>
  <Override PartName="/word/header63.xml" ContentType="application/vnd.openxmlformats-officedocument.wordprocessingml.header+xml"/>
  <Override PartName="/word/footer44.xml" ContentType="application/vnd.openxmlformats-officedocument.wordprocessingml.footer+xml"/>
  <Override PartName="/word/header64.xml" ContentType="application/vnd.openxmlformats-officedocument.wordprocessingml.header+xml"/>
  <Override PartName="/word/header6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2C3E" w:rsidRPr="00C903F8" w:rsidRDefault="00302C3E" w:rsidP="00E1027C">
      <w:pPr>
        <w:pStyle w:val="Annexetitreglobale"/>
        <w:spacing w:line="240" w:lineRule="atLeast"/>
        <w:rPr>
          <w:rFonts w:cs="Arial"/>
          <w:b w:val="0"/>
          <w:u w:val="none"/>
        </w:rPr>
      </w:pPr>
    </w:p>
    <w:p w:rsidR="007874ED" w:rsidRPr="00C903F8" w:rsidRDefault="00226A59" w:rsidP="00FA2BFC">
      <w:pPr>
        <w:spacing w:line="240" w:lineRule="atLeast"/>
        <w:ind w:left="0" w:firstLine="0"/>
        <w:jc w:val="center"/>
        <w:rPr>
          <w:rFonts w:cs="Arial"/>
          <w:sz w:val="22"/>
          <w:szCs w:val="22"/>
        </w:rPr>
      </w:pPr>
      <w:r>
        <w:rPr>
          <w:sz w:val="22"/>
        </w:rPr>
        <w:t>Comitato europeo per l'elaborazione di norme per la navigazione interna</w:t>
      </w:r>
      <w:r>
        <w:rPr>
          <w:rFonts w:cs="Arial"/>
          <w:sz w:val="22"/>
          <w:szCs w:val="22"/>
        </w:rPr>
        <w:br/>
      </w:r>
      <w:r>
        <w:rPr>
          <w:sz w:val="22"/>
        </w:rPr>
        <w:t>(CESNI)</w:t>
      </w:r>
    </w:p>
    <w:p w:rsidR="007874ED" w:rsidRPr="00C903F8" w:rsidRDefault="007874ED" w:rsidP="00E1027C">
      <w:pPr>
        <w:spacing w:line="240" w:lineRule="atLeast"/>
        <w:jc w:val="center"/>
        <w:rPr>
          <w:rFonts w:cs="Arial"/>
          <w:sz w:val="22"/>
          <w:szCs w:val="22"/>
        </w:rPr>
      </w:pPr>
    </w:p>
    <w:p w:rsidR="007874ED" w:rsidRPr="00C903F8" w:rsidRDefault="007874ED" w:rsidP="00E1027C">
      <w:pPr>
        <w:spacing w:line="240" w:lineRule="atLeast"/>
        <w:jc w:val="center"/>
        <w:rPr>
          <w:rFonts w:cs="Arial"/>
          <w:sz w:val="22"/>
          <w:szCs w:val="22"/>
        </w:rPr>
      </w:pPr>
    </w:p>
    <w:p w:rsidR="00E1027C" w:rsidRPr="00C903F8" w:rsidRDefault="00E1027C" w:rsidP="00E1027C">
      <w:pPr>
        <w:spacing w:line="240" w:lineRule="atLeast"/>
        <w:jc w:val="center"/>
        <w:rPr>
          <w:rFonts w:cs="Arial"/>
          <w:sz w:val="22"/>
          <w:szCs w:val="22"/>
        </w:rPr>
      </w:pPr>
    </w:p>
    <w:p w:rsidR="00E1027C" w:rsidRPr="00C903F8" w:rsidRDefault="00E1027C" w:rsidP="00E1027C">
      <w:pPr>
        <w:spacing w:line="240" w:lineRule="atLeast"/>
        <w:jc w:val="center"/>
        <w:rPr>
          <w:rFonts w:cs="Arial"/>
          <w:sz w:val="22"/>
          <w:szCs w:val="22"/>
        </w:rPr>
      </w:pPr>
    </w:p>
    <w:p w:rsidR="00E1027C" w:rsidRPr="00C903F8" w:rsidRDefault="00E1027C" w:rsidP="00E1027C">
      <w:pPr>
        <w:spacing w:line="240" w:lineRule="atLeast"/>
        <w:jc w:val="center"/>
        <w:rPr>
          <w:rFonts w:cs="Arial"/>
          <w:sz w:val="22"/>
          <w:szCs w:val="22"/>
        </w:rPr>
      </w:pPr>
    </w:p>
    <w:p w:rsidR="007874ED" w:rsidRPr="00C903F8" w:rsidRDefault="007874ED" w:rsidP="00E1027C">
      <w:pPr>
        <w:spacing w:line="240" w:lineRule="atLeast"/>
        <w:jc w:val="center"/>
        <w:rPr>
          <w:rFonts w:cs="Arial"/>
          <w:sz w:val="22"/>
          <w:szCs w:val="22"/>
        </w:rPr>
      </w:pPr>
    </w:p>
    <w:p w:rsidR="00E77F1F" w:rsidRPr="00C903F8" w:rsidRDefault="004F7EC9" w:rsidP="00E77F1F">
      <w:pPr>
        <w:pStyle w:val="BodyText3"/>
        <w:spacing w:line="240" w:lineRule="atLeast"/>
        <w:jc w:val="center"/>
        <w:rPr>
          <w:rFonts w:cs="Arial"/>
          <w:sz w:val="22"/>
          <w:szCs w:val="22"/>
        </w:rPr>
      </w:pPr>
      <w:r>
        <w:rPr>
          <w:b/>
          <w:sz w:val="22"/>
        </w:rPr>
        <w:t>Edizione 2017/1</w:t>
      </w:r>
    </w:p>
    <w:p w:rsidR="00302C3E" w:rsidRPr="00C903F8" w:rsidRDefault="00302C3E" w:rsidP="00E1027C">
      <w:pPr>
        <w:pStyle w:val="BodyText3"/>
        <w:spacing w:line="240" w:lineRule="atLeast"/>
        <w:jc w:val="center"/>
        <w:rPr>
          <w:rFonts w:cs="Arial"/>
          <w:sz w:val="22"/>
          <w:szCs w:val="22"/>
        </w:rPr>
      </w:pPr>
    </w:p>
    <w:p w:rsidR="007874ED" w:rsidRPr="00C903F8" w:rsidRDefault="007874ED" w:rsidP="00E1027C">
      <w:pPr>
        <w:pStyle w:val="BodyText3"/>
        <w:spacing w:line="240" w:lineRule="atLeast"/>
        <w:jc w:val="center"/>
        <w:rPr>
          <w:rFonts w:cs="Arial"/>
          <w:sz w:val="22"/>
          <w:szCs w:val="22"/>
        </w:rPr>
      </w:pPr>
    </w:p>
    <w:p w:rsidR="007874ED" w:rsidRPr="00C903F8" w:rsidRDefault="007874ED" w:rsidP="00E1027C">
      <w:pPr>
        <w:pStyle w:val="BodyText3"/>
        <w:spacing w:line="240" w:lineRule="atLeast"/>
        <w:jc w:val="center"/>
        <w:rPr>
          <w:rFonts w:cs="Arial"/>
          <w:sz w:val="22"/>
          <w:szCs w:val="22"/>
        </w:rPr>
      </w:pPr>
    </w:p>
    <w:p w:rsidR="007874ED" w:rsidRPr="00C903F8" w:rsidRDefault="007874ED" w:rsidP="00E1027C">
      <w:pPr>
        <w:pStyle w:val="BodyText3"/>
        <w:spacing w:line="240" w:lineRule="atLeast"/>
        <w:jc w:val="center"/>
        <w:rPr>
          <w:rFonts w:cs="Arial"/>
          <w:sz w:val="22"/>
          <w:szCs w:val="22"/>
        </w:rPr>
      </w:pPr>
    </w:p>
    <w:p w:rsidR="00E1027C" w:rsidRPr="00C903F8" w:rsidRDefault="00E1027C" w:rsidP="00E1027C">
      <w:pPr>
        <w:pStyle w:val="BodyText3"/>
        <w:spacing w:line="240" w:lineRule="atLeast"/>
        <w:jc w:val="center"/>
        <w:rPr>
          <w:rFonts w:cs="Arial"/>
          <w:sz w:val="22"/>
          <w:szCs w:val="22"/>
        </w:rPr>
      </w:pPr>
    </w:p>
    <w:p w:rsidR="00E1027C" w:rsidRPr="00C903F8" w:rsidRDefault="00E1027C" w:rsidP="00E1027C">
      <w:pPr>
        <w:pStyle w:val="BodyText3"/>
        <w:spacing w:line="240" w:lineRule="atLeast"/>
        <w:jc w:val="center"/>
        <w:rPr>
          <w:rFonts w:cs="Arial"/>
          <w:sz w:val="22"/>
          <w:szCs w:val="22"/>
        </w:rPr>
      </w:pPr>
    </w:p>
    <w:p w:rsidR="007874ED" w:rsidRPr="00C903F8" w:rsidRDefault="007874ED" w:rsidP="00E1027C">
      <w:pPr>
        <w:pStyle w:val="BodyText3"/>
        <w:spacing w:line="240" w:lineRule="atLeast"/>
        <w:jc w:val="center"/>
        <w:rPr>
          <w:rFonts w:cs="Arial"/>
          <w:sz w:val="22"/>
          <w:szCs w:val="22"/>
        </w:rPr>
      </w:pPr>
    </w:p>
    <w:p w:rsidR="007874ED" w:rsidRPr="00C903F8" w:rsidRDefault="007874ED" w:rsidP="00E1027C">
      <w:pPr>
        <w:pStyle w:val="BodyText3"/>
        <w:spacing w:line="240" w:lineRule="atLeast"/>
        <w:jc w:val="center"/>
        <w:rPr>
          <w:rFonts w:cs="Arial"/>
          <w:sz w:val="22"/>
          <w:szCs w:val="22"/>
        </w:rPr>
      </w:pPr>
    </w:p>
    <w:p w:rsidR="007874ED" w:rsidRPr="00C903F8" w:rsidRDefault="007874ED" w:rsidP="00E1027C">
      <w:pPr>
        <w:pStyle w:val="BodyText3"/>
        <w:spacing w:line="240" w:lineRule="atLeast"/>
        <w:jc w:val="center"/>
        <w:rPr>
          <w:rFonts w:cs="Arial"/>
          <w:sz w:val="22"/>
          <w:szCs w:val="22"/>
        </w:rPr>
      </w:pPr>
    </w:p>
    <w:p w:rsidR="007874ED" w:rsidRPr="00C903F8" w:rsidRDefault="007874ED" w:rsidP="00E1027C">
      <w:pPr>
        <w:pStyle w:val="BodyText3"/>
        <w:spacing w:line="240" w:lineRule="atLeast"/>
        <w:jc w:val="center"/>
        <w:rPr>
          <w:rFonts w:cs="Arial"/>
          <w:sz w:val="22"/>
          <w:szCs w:val="22"/>
        </w:rPr>
      </w:pPr>
    </w:p>
    <w:p w:rsidR="00226A59" w:rsidRPr="00C903F8" w:rsidRDefault="00226A59" w:rsidP="00226A59">
      <w:pPr>
        <w:pStyle w:val="BodyText3"/>
        <w:spacing w:line="240" w:lineRule="atLeast"/>
        <w:jc w:val="center"/>
        <w:rPr>
          <w:rFonts w:cs="Arial"/>
          <w:b/>
          <w:sz w:val="44"/>
          <w:szCs w:val="44"/>
        </w:rPr>
      </w:pPr>
      <w:r>
        <w:rPr>
          <w:b/>
          <w:sz w:val="44"/>
        </w:rPr>
        <w:t xml:space="preserve">Norma europea </w:t>
      </w:r>
    </w:p>
    <w:p w:rsidR="00226A59" w:rsidRPr="00C903F8" w:rsidRDefault="00226A59" w:rsidP="00226A59">
      <w:pPr>
        <w:pStyle w:val="BodyText3"/>
        <w:spacing w:line="240" w:lineRule="atLeast"/>
        <w:jc w:val="center"/>
        <w:rPr>
          <w:rFonts w:cs="Arial"/>
          <w:b/>
          <w:sz w:val="44"/>
          <w:szCs w:val="44"/>
        </w:rPr>
      </w:pPr>
      <w:r>
        <w:rPr>
          <w:b/>
          <w:sz w:val="44"/>
        </w:rPr>
        <w:t xml:space="preserve">che fissa i </w:t>
      </w:r>
    </w:p>
    <w:p w:rsidR="00226A59" w:rsidRPr="00C903F8" w:rsidRDefault="00226A59" w:rsidP="00226A59">
      <w:pPr>
        <w:pStyle w:val="BodyText3"/>
        <w:spacing w:line="240" w:lineRule="atLeast"/>
        <w:jc w:val="center"/>
        <w:rPr>
          <w:rFonts w:cs="Arial"/>
          <w:b/>
          <w:sz w:val="44"/>
          <w:szCs w:val="44"/>
        </w:rPr>
      </w:pPr>
      <w:r>
        <w:rPr>
          <w:b/>
          <w:sz w:val="44"/>
        </w:rPr>
        <w:t xml:space="preserve">requisiti tecnici </w:t>
      </w:r>
    </w:p>
    <w:p w:rsidR="00226A59" w:rsidRPr="00C903F8" w:rsidRDefault="00226A59" w:rsidP="00226A59">
      <w:pPr>
        <w:pStyle w:val="BodyText3"/>
        <w:spacing w:line="240" w:lineRule="atLeast"/>
        <w:jc w:val="center"/>
        <w:rPr>
          <w:rFonts w:cs="Arial"/>
          <w:b/>
          <w:sz w:val="44"/>
          <w:szCs w:val="44"/>
        </w:rPr>
      </w:pPr>
      <w:r>
        <w:rPr>
          <w:b/>
          <w:sz w:val="44"/>
        </w:rPr>
        <w:t xml:space="preserve">per le </w:t>
      </w:r>
    </w:p>
    <w:p w:rsidR="00226A59" w:rsidRPr="00C903F8" w:rsidRDefault="00226A59" w:rsidP="00226A59">
      <w:pPr>
        <w:pStyle w:val="BodyText3"/>
        <w:spacing w:line="240" w:lineRule="atLeast"/>
        <w:jc w:val="center"/>
        <w:rPr>
          <w:rFonts w:cs="Arial"/>
          <w:b/>
          <w:bCs/>
          <w:iCs/>
          <w:sz w:val="44"/>
          <w:szCs w:val="44"/>
        </w:rPr>
      </w:pPr>
      <w:r>
        <w:rPr>
          <w:b/>
          <w:sz w:val="44"/>
        </w:rPr>
        <w:t>navi della navigazione interna</w:t>
      </w:r>
    </w:p>
    <w:p w:rsidR="00302C3E" w:rsidRPr="00C903F8" w:rsidRDefault="00302C3E" w:rsidP="00E1027C">
      <w:pPr>
        <w:spacing w:line="240" w:lineRule="atLeast"/>
        <w:jc w:val="center"/>
        <w:rPr>
          <w:rFonts w:cs="Arial"/>
          <w:sz w:val="22"/>
          <w:szCs w:val="22"/>
        </w:rPr>
      </w:pPr>
    </w:p>
    <w:p w:rsidR="00302C3E" w:rsidRPr="00762086" w:rsidRDefault="00172F8E" w:rsidP="00E1027C">
      <w:pPr>
        <w:spacing w:line="240" w:lineRule="atLeast"/>
        <w:jc w:val="center"/>
        <w:rPr>
          <w:rFonts w:cs="Arial"/>
          <w:b/>
          <w:sz w:val="22"/>
          <w:szCs w:val="22"/>
          <w:lang w:val="en-GB"/>
        </w:rPr>
      </w:pPr>
      <w:r w:rsidRPr="00762086">
        <w:rPr>
          <w:b/>
          <w:sz w:val="22"/>
          <w:lang w:val="en-GB"/>
        </w:rPr>
        <w:t>(ES-TRIN)</w:t>
      </w:r>
    </w:p>
    <w:p w:rsidR="00302C3E" w:rsidRPr="00762086" w:rsidRDefault="00302C3E" w:rsidP="00E1027C">
      <w:pPr>
        <w:spacing w:line="240" w:lineRule="atLeast"/>
        <w:jc w:val="center"/>
        <w:rPr>
          <w:rFonts w:cs="Arial"/>
          <w:sz w:val="22"/>
          <w:szCs w:val="22"/>
          <w:lang w:val="en-GB"/>
        </w:rPr>
      </w:pPr>
    </w:p>
    <w:p w:rsidR="007874ED" w:rsidRPr="00762086" w:rsidRDefault="007874ED" w:rsidP="00E1027C">
      <w:pPr>
        <w:spacing w:line="240" w:lineRule="atLeast"/>
        <w:jc w:val="center"/>
        <w:rPr>
          <w:rFonts w:cs="Arial"/>
          <w:sz w:val="22"/>
          <w:szCs w:val="22"/>
          <w:lang w:val="en-GB"/>
        </w:rPr>
      </w:pPr>
    </w:p>
    <w:p w:rsidR="00302C3E" w:rsidRPr="00762086" w:rsidRDefault="00302C3E" w:rsidP="00E1027C">
      <w:pPr>
        <w:pStyle w:val="Annexetitreglobale"/>
        <w:spacing w:line="240" w:lineRule="atLeast"/>
        <w:jc w:val="both"/>
        <w:rPr>
          <w:rFonts w:cs="Arial"/>
          <w:b w:val="0"/>
          <w:szCs w:val="20"/>
          <w:u w:val="none"/>
          <w:lang w:val="en-GB"/>
        </w:rPr>
      </w:pPr>
    </w:p>
    <w:p w:rsidR="00302C3E" w:rsidRPr="00762086" w:rsidRDefault="00302C3E" w:rsidP="00E1027C">
      <w:pPr>
        <w:pStyle w:val="Annexetitreglobale"/>
        <w:spacing w:line="240" w:lineRule="atLeast"/>
        <w:jc w:val="both"/>
        <w:rPr>
          <w:rFonts w:cs="Arial"/>
          <w:b w:val="0"/>
          <w:szCs w:val="20"/>
          <w:u w:val="none"/>
          <w:lang w:val="en-GB"/>
        </w:rPr>
      </w:pPr>
    </w:p>
    <w:p w:rsidR="00302C3E" w:rsidRPr="00762086" w:rsidRDefault="00302C3E" w:rsidP="00E1027C">
      <w:pPr>
        <w:pStyle w:val="Annexetitreglobale"/>
        <w:spacing w:line="240" w:lineRule="atLeast"/>
        <w:jc w:val="both"/>
        <w:rPr>
          <w:rFonts w:cs="Arial"/>
          <w:b w:val="0"/>
          <w:szCs w:val="20"/>
          <w:u w:val="none"/>
          <w:lang w:val="en-GB"/>
        </w:rPr>
      </w:pPr>
    </w:p>
    <w:p w:rsidR="00E1027C" w:rsidRPr="00762086" w:rsidRDefault="00302C3E" w:rsidP="00E1027C">
      <w:pPr>
        <w:spacing w:line="240" w:lineRule="atLeast"/>
        <w:jc w:val="center"/>
        <w:rPr>
          <w:lang w:val="en-GB"/>
        </w:rPr>
      </w:pPr>
      <w:r w:rsidRPr="00762086">
        <w:rPr>
          <w:lang w:val="en-GB"/>
        </w:rPr>
        <w:br w:type="page"/>
      </w:r>
    </w:p>
    <w:p w:rsidR="002C44F2" w:rsidRPr="00762086" w:rsidRDefault="002C44F2" w:rsidP="00E1027C">
      <w:pPr>
        <w:spacing w:line="240" w:lineRule="atLeast"/>
        <w:jc w:val="center"/>
        <w:rPr>
          <w:lang w:val="en-GB"/>
        </w:rPr>
      </w:pPr>
    </w:p>
    <w:p w:rsidR="002C44F2" w:rsidRPr="00762086" w:rsidRDefault="002C44F2" w:rsidP="00E1027C">
      <w:pPr>
        <w:spacing w:line="240" w:lineRule="atLeast"/>
        <w:jc w:val="center"/>
        <w:rPr>
          <w:lang w:val="en-GB"/>
        </w:rPr>
      </w:pPr>
    </w:p>
    <w:p w:rsidR="002C44F2" w:rsidRPr="00C903F8" w:rsidRDefault="002C44F2" w:rsidP="00E1027C">
      <w:pPr>
        <w:spacing w:line="240" w:lineRule="atLeast"/>
        <w:jc w:val="center"/>
      </w:pPr>
    </w:p>
    <w:p w:rsidR="002C44F2" w:rsidRPr="00C903F8" w:rsidRDefault="002C44F2" w:rsidP="00E1027C">
      <w:pPr>
        <w:spacing w:line="240" w:lineRule="atLeast"/>
        <w:jc w:val="center"/>
        <w:rPr>
          <w:b/>
          <w:sz w:val="24"/>
        </w:rPr>
        <w:sectPr w:rsidR="002C44F2" w:rsidRPr="00C903F8" w:rsidSect="00EF4E24">
          <w:headerReference w:type="default" r:id="rId9"/>
          <w:footerReference w:type="default" r:id="rId10"/>
          <w:headerReference w:type="first" r:id="rId11"/>
          <w:footerReference w:type="first" r:id="rId12"/>
          <w:footnotePr>
            <w:numRestart w:val="eachPage"/>
          </w:footnotePr>
          <w:pgSz w:w="11906" w:h="16838" w:code="9"/>
          <w:pgMar w:top="1418" w:right="1418" w:bottom="1418" w:left="1418" w:header="709" w:footer="709" w:gutter="0"/>
          <w:pgNumType w:fmt="lowerRoman" w:start="1"/>
          <w:cols w:space="709"/>
          <w:titlePg/>
          <w:docGrid w:linePitch="326"/>
        </w:sectPr>
      </w:pPr>
    </w:p>
    <w:p w:rsidR="00E1027C" w:rsidRPr="00C903F8" w:rsidRDefault="00E1027C" w:rsidP="00E1027C">
      <w:pPr>
        <w:pStyle w:val="TOCHeading"/>
        <w:spacing w:after="0" w:line="240" w:lineRule="atLeast"/>
        <w:rPr>
          <w:rFonts w:cs="Arial"/>
          <w:sz w:val="20"/>
          <w:szCs w:val="20"/>
        </w:rPr>
      </w:pPr>
    </w:p>
    <w:p w:rsidR="00762086" w:rsidRPr="00C63B9E" w:rsidRDefault="00CA2865" w:rsidP="00762086">
      <w:pPr>
        <w:pStyle w:val="TOCHeading"/>
        <w:spacing w:after="0" w:line="240" w:lineRule="atLeast"/>
      </w:pPr>
      <w:r>
        <w:rPr>
          <w:sz w:val="24"/>
        </w:rPr>
        <w:t>SOMMARIO</w:t>
      </w:r>
    </w:p>
    <w:p w:rsidR="00762086" w:rsidRPr="00C63B9E" w:rsidRDefault="00762086" w:rsidP="00762086">
      <w:pPr>
        <w:spacing w:line="240" w:lineRule="atLeast"/>
      </w:pPr>
    </w:p>
    <w:p w:rsidR="00624017" w:rsidRDefault="00762086">
      <w:pPr>
        <w:pStyle w:val="TOC1"/>
        <w:rPr>
          <w:rFonts w:asciiTheme="minorHAnsi" w:eastAsiaTheme="minorEastAsia" w:hAnsiTheme="minorHAnsi" w:cstheme="minorBidi"/>
          <w:b w:val="0"/>
          <w:bCs w:val="0"/>
          <w:caps w:val="0"/>
          <w:noProof/>
          <w:sz w:val="22"/>
          <w:szCs w:val="22"/>
          <w:lang w:val="en-GB" w:eastAsia="en-GB" w:bidi="ar-SA"/>
        </w:rPr>
      </w:pPr>
      <w:r w:rsidRPr="00C63B9E">
        <w:rPr>
          <w:rFonts w:cs="Arial"/>
        </w:rPr>
        <w:fldChar w:fldCharType="begin"/>
      </w:r>
      <w:r w:rsidRPr="00C63B9E">
        <w:rPr>
          <w:rFonts w:cs="Arial"/>
        </w:rPr>
        <w:instrText xml:space="preserve"> TOC \h \z \t "ES-Titre1;1;ES-Titre2;2;ES-Titre3;3;ES-Titre3a;3;Es-Titre_annexes;1;ES-Titre3_pr_chap32;3;Chiffre_gras;1;ES-Titre2_ESI;2" </w:instrText>
      </w:r>
      <w:r w:rsidRPr="00C63B9E">
        <w:rPr>
          <w:rFonts w:cs="Arial"/>
        </w:rPr>
        <w:fldChar w:fldCharType="separate"/>
      </w:r>
      <w:hyperlink w:anchor="_Toc535499951" w:history="1">
        <w:r w:rsidR="00624017" w:rsidRPr="00572870">
          <w:rPr>
            <w:rStyle w:val="Hyperlink"/>
            <w:noProof/>
          </w:rPr>
          <w:t>PARTE I REQUISITI GENERALI</w:t>
        </w:r>
        <w:r w:rsidR="00624017">
          <w:rPr>
            <w:noProof/>
            <w:webHidden/>
          </w:rPr>
          <w:tab/>
        </w:r>
        <w:r w:rsidR="00624017">
          <w:rPr>
            <w:noProof/>
            <w:webHidden/>
          </w:rPr>
          <w:fldChar w:fldCharType="begin"/>
        </w:r>
        <w:r w:rsidR="00624017">
          <w:rPr>
            <w:noProof/>
            <w:webHidden/>
          </w:rPr>
          <w:instrText xml:space="preserve"> PAGEREF _Toc535499951 \h </w:instrText>
        </w:r>
        <w:r w:rsidR="00624017">
          <w:rPr>
            <w:noProof/>
            <w:webHidden/>
          </w:rPr>
        </w:r>
        <w:r w:rsidR="00624017">
          <w:rPr>
            <w:noProof/>
            <w:webHidden/>
          </w:rPr>
          <w:fldChar w:fldCharType="separate"/>
        </w:r>
        <w:r w:rsidR="00624017">
          <w:rPr>
            <w:noProof/>
            <w:webHidden/>
          </w:rPr>
          <w:t>1</w:t>
        </w:r>
        <w:r w:rsidR="00624017">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499952" w:history="1">
        <w:r w:rsidRPr="00572870">
          <w:rPr>
            <w:rStyle w:val="Hyperlink"/>
            <w:noProof/>
          </w:rPr>
          <w:t>Capo 1 Aspetti generali</w:t>
        </w:r>
        <w:r>
          <w:rPr>
            <w:noProof/>
            <w:webHidden/>
          </w:rPr>
          <w:tab/>
        </w:r>
        <w:r>
          <w:rPr>
            <w:noProof/>
            <w:webHidden/>
          </w:rPr>
          <w:fldChar w:fldCharType="begin"/>
        </w:r>
        <w:r>
          <w:rPr>
            <w:noProof/>
            <w:webHidden/>
          </w:rPr>
          <w:instrText xml:space="preserve"> PAGEREF _Toc535499952 \h </w:instrText>
        </w:r>
        <w:r>
          <w:rPr>
            <w:noProof/>
            <w:webHidden/>
          </w:rPr>
        </w:r>
        <w:r>
          <w:rPr>
            <w:noProof/>
            <w:webHidden/>
          </w:rPr>
          <w:fldChar w:fldCharType="separate"/>
        </w:r>
        <w:r>
          <w:rPr>
            <w:noProof/>
            <w:webHidden/>
          </w:rPr>
          <w:t>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53" w:history="1">
        <w:r w:rsidRPr="00572870">
          <w:rPr>
            <w:rStyle w:val="Hyperlink"/>
            <w:noProof/>
          </w:rPr>
          <w:t>Articolo 1.01 Definizioni</w:t>
        </w:r>
        <w:r>
          <w:rPr>
            <w:noProof/>
            <w:webHidden/>
          </w:rPr>
          <w:tab/>
        </w:r>
        <w:r>
          <w:rPr>
            <w:noProof/>
            <w:webHidden/>
          </w:rPr>
          <w:fldChar w:fldCharType="begin"/>
        </w:r>
        <w:r>
          <w:rPr>
            <w:noProof/>
            <w:webHidden/>
          </w:rPr>
          <w:instrText xml:space="preserve"> PAGEREF _Toc535499953 \h </w:instrText>
        </w:r>
        <w:r>
          <w:rPr>
            <w:noProof/>
            <w:webHidden/>
          </w:rPr>
        </w:r>
        <w:r>
          <w:rPr>
            <w:noProof/>
            <w:webHidden/>
          </w:rPr>
          <w:fldChar w:fldCharType="separate"/>
        </w:r>
        <w:r>
          <w:rPr>
            <w:noProof/>
            <w:webHidden/>
          </w:rPr>
          <w:t>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54" w:history="1">
        <w:r w:rsidRPr="00572870">
          <w:rPr>
            <w:rStyle w:val="Hyperlink"/>
            <w:noProof/>
          </w:rPr>
          <w:t>Articolo 1.02 Istruzioni per l'applicazione della presente norma</w:t>
        </w:r>
        <w:r>
          <w:rPr>
            <w:noProof/>
            <w:webHidden/>
          </w:rPr>
          <w:tab/>
        </w:r>
        <w:r>
          <w:rPr>
            <w:noProof/>
            <w:webHidden/>
          </w:rPr>
          <w:fldChar w:fldCharType="begin"/>
        </w:r>
        <w:r>
          <w:rPr>
            <w:noProof/>
            <w:webHidden/>
          </w:rPr>
          <w:instrText xml:space="preserve"> PAGEREF _Toc535499954 \h </w:instrText>
        </w:r>
        <w:r>
          <w:rPr>
            <w:noProof/>
            <w:webHidden/>
          </w:rPr>
        </w:r>
        <w:r>
          <w:rPr>
            <w:noProof/>
            <w:webHidden/>
          </w:rPr>
          <w:fldChar w:fldCharType="separate"/>
        </w:r>
        <w:r>
          <w:rPr>
            <w:noProof/>
            <w:webHidden/>
          </w:rPr>
          <w:t>11</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499955" w:history="1">
        <w:r w:rsidRPr="00572870">
          <w:rPr>
            <w:rStyle w:val="Hyperlink"/>
            <w:noProof/>
          </w:rPr>
          <w:t>Capo 2 Procedura</w:t>
        </w:r>
        <w:r>
          <w:rPr>
            <w:noProof/>
            <w:webHidden/>
          </w:rPr>
          <w:tab/>
        </w:r>
        <w:r>
          <w:rPr>
            <w:noProof/>
            <w:webHidden/>
          </w:rPr>
          <w:fldChar w:fldCharType="begin"/>
        </w:r>
        <w:r>
          <w:rPr>
            <w:noProof/>
            <w:webHidden/>
          </w:rPr>
          <w:instrText xml:space="preserve"> PAGEREF _Toc535499955 \h </w:instrText>
        </w:r>
        <w:r>
          <w:rPr>
            <w:noProof/>
            <w:webHidden/>
          </w:rPr>
        </w:r>
        <w:r>
          <w:rPr>
            <w:noProof/>
            <w:webHidden/>
          </w:rPr>
          <w:fldChar w:fldCharType="separate"/>
        </w:r>
        <w:r>
          <w:rPr>
            <w:noProof/>
            <w:webHidden/>
          </w:rPr>
          <w:t>12</w:t>
        </w:r>
        <w:r>
          <w:rPr>
            <w:noProof/>
            <w:webHidden/>
          </w:rPr>
          <w:fldChar w:fldCharType="end"/>
        </w:r>
      </w:hyperlink>
    </w:p>
    <w:p w:rsidR="00624017" w:rsidRDefault="00624017">
      <w:pPr>
        <w:pStyle w:val="TOC1"/>
        <w:rPr>
          <w:rFonts w:asciiTheme="minorHAnsi" w:eastAsiaTheme="minorEastAsia" w:hAnsiTheme="minorHAnsi" w:cstheme="minorBidi"/>
          <w:b w:val="0"/>
          <w:bCs w:val="0"/>
          <w:caps w:val="0"/>
          <w:noProof/>
          <w:sz w:val="22"/>
          <w:szCs w:val="22"/>
          <w:lang w:val="en-GB" w:eastAsia="en-GB" w:bidi="ar-SA"/>
        </w:rPr>
      </w:pPr>
      <w:hyperlink w:anchor="_Toc535499956" w:history="1">
        <w:r w:rsidRPr="00572870">
          <w:rPr>
            <w:rStyle w:val="Hyperlink"/>
            <w:noProof/>
          </w:rPr>
          <w:t>PARTE II DISPOSIZIONI IN MATERIA DI COSTRUZIONE NAVALE, ALLESTIMENTO E ARMAMENTO</w:t>
        </w:r>
        <w:r>
          <w:rPr>
            <w:noProof/>
            <w:webHidden/>
          </w:rPr>
          <w:tab/>
        </w:r>
        <w:r>
          <w:rPr>
            <w:noProof/>
            <w:webHidden/>
          </w:rPr>
          <w:fldChar w:fldCharType="begin"/>
        </w:r>
        <w:r>
          <w:rPr>
            <w:noProof/>
            <w:webHidden/>
          </w:rPr>
          <w:instrText xml:space="preserve"> PAGEREF _Toc535499956 \h </w:instrText>
        </w:r>
        <w:r>
          <w:rPr>
            <w:noProof/>
            <w:webHidden/>
          </w:rPr>
        </w:r>
        <w:r>
          <w:rPr>
            <w:noProof/>
            <w:webHidden/>
          </w:rPr>
          <w:fldChar w:fldCharType="separate"/>
        </w:r>
        <w:r>
          <w:rPr>
            <w:noProof/>
            <w:webHidden/>
          </w:rPr>
          <w:t>14</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499957" w:history="1">
        <w:r w:rsidRPr="00572870">
          <w:rPr>
            <w:rStyle w:val="Hyperlink"/>
            <w:noProof/>
          </w:rPr>
          <w:t>Capo 3 Requisiti in materia di costruzione navale</w:t>
        </w:r>
        <w:r>
          <w:rPr>
            <w:noProof/>
            <w:webHidden/>
          </w:rPr>
          <w:tab/>
        </w:r>
        <w:r>
          <w:rPr>
            <w:noProof/>
            <w:webHidden/>
          </w:rPr>
          <w:fldChar w:fldCharType="begin"/>
        </w:r>
        <w:r>
          <w:rPr>
            <w:noProof/>
            <w:webHidden/>
          </w:rPr>
          <w:instrText xml:space="preserve"> PAGEREF _Toc535499957 \h </w:instrText>
        </w:r>
        <w:r>
          <w:rPr>
            <w:noProof/>
            <w:webHidden/>
          </w:rPr>
        </w:r>
        <w:r>
          <w:rPr>
            <w:noProof/>
            <w:webHidden/>
          </w:rPr>
          <w:fldChar w:fldCharType="separate"/>
        </w:r>
        <w:r>
          <w:rPr>
            <w:noProof/>
            <w:webHidden/>
          </w:rPr>
          <w:t>14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58" w:history="1">
        <w:r w:rsidRPr="00572870">
          <w:rPr>
            <w:rStyle w:val="Hyperlink"/>
            <w:noProof/>
          </w:rPr>
          <w:t>Articolo 3.01 Norme di base</w:t>
        </w:r>
        <w:r>
          <w:rPr>
            <w:noProof/>
            <w:webHidden/>
          </w:rPr>
          <w:tab/>
        </w:r>
        <w:r>
          <w:rPr>
            <w:noProof/>
            <w:webHidden/>
          </w:rPr>
          <w:fldChar w:fldCharType="begin"/>
        </w:r>
        <w:r>
          <w:rPr>
            <w:noProof/>
            <w:webHidden/>
          </w:rPr>
          <w:instrText xml:space="preserve"> PAGEREF _Toc535499958 \h </w:instrText>
        </w:r>
        <w:r>
          <w:rPr>
            <w:noProof/>
            <w:webHidden/>
          </w:rPr>
        </w:r>
        <w:r>
          <w:rPr>
            <w:noProof/>
            <w:webHidden/>
          </w:rPr>
          <w:fldChar w:fldCharType="separate"/>
        </w:r>
        <w:r>
          <w:rPr>
            <w:noProof/>
            <w:webHidden/>
          </w:rPr>
          <w:t>14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59" w:history="1">
        <w:r w:rsidRPr="00572870">
          <w:rPr>
            <w:rStyle w:val="Hyperlink"/>
            <w:noProof/>
          </w:rPr>
          <w:t>Articolo 3.02 Resistenza e stabilità</w:t>
        </w:r>
        <w:r>
          <w:rPr>
            <w:noProof/>
            <w:webHidden/>
          </w:rPr>
          <w:tab/>
        </w:r>
        <w:r>
          <w:rPr>
            <w:noProof/>
            <w:webHidden/>
          </w:rPr>
          <w:fldChar w:fldCharType="begin"/>
        </w:r>
        <w:r>
          <w:rPr>
            <w:noProof/>
            <w:webHidden/>
          </w:rPr>
          <w:instrText xml:space="preserve"> PAGEREF _Toc535499959 \h </w:instrText>
        </w:r>
        <w:r>
          <w:rPr>
            <w:noProof/>
            <w:webHidden/>
          </w:rPr>
        </w:r>
        <w:r>
          <w:rPr>
            <w:noProof/>
            <w:webHidden/>
          </w:rPr>
          <w:fldChar w:fldCharType="separate"/>
        </w:r>
        <w:r>
          <w:rPr>
            <w:noProof/>
            <w:webHidden/>
          </w:rPr>
          <w:t>14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60" w:history="1">
        <w:r w:rsidRPr="00572870">
          <w:rPr>
            <w:rStyle w:val="Hyperlink"/>
            <w:noProof/>
          </w:rPr>
          <w:t>Articolo 3.03 Scafo</w:t>
        </w:r>
        <w:r>
          <w:rPr>
            <w:noProof/>
            <w:webHidden/>
          </w:rPr>
          <w:tab/>
        </w:r>
        <w:r>
          <w:rPr>
            <w:noProof/>
            <w:webHidden/>
          </w:rPr>
          <w:fldChar w:fldCharType="begin"/>
        </w:r>
        <w:r>
          <w:rPr>
            <w:noProof/>
            <w:webHidden/>
          </w:rPr>
          <w:instrText xml:space="preserve"> PAGEREF _Toc535499960 \h </w:instrText>
        </w:r>
        <w:r>
          <w:rPr>
            <w:noProof/>
            <w:webHidden/>
          </w:rPr>
        </w:r>
        <w:r>
          <w:rPr>
            <w:noProof/>
            <w:webHidden/>
          </w:rPr>
          <w:fldChar w:fldCharType="separate"/>
        </w:r>
        <w:r>
          <w:rPr>
            <w:noProof/>
            <w:webHidden/>
          </w:rPr>
          <w:t>15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61" w:history="1">
        <w:r w:rsidRPr="00572870">
          <w:rPr>
            <w:rStyle w:val="Hyperlink"/>
            <w:noProof/>
          </w:rPr>
          <w:t>Articolo 3.04 Sale macchine e locali caldaie, serbatoi per il combustibile</w:t>
        </w:r>
        <w:r>
          <w:rPr>
            <w:noProof/>
            <w:webHidden/>
          </w:rPr>
          <w:tab/>
        </w:r>
        <w:r>
          <w:rPr>
            <w:noProof/>
            <w:webHidden/>
          </w:rPr>
          <w:fldChar w:fldCharType="begin"/>
        </w:r>
        <w:r>
          <w:rPr>
            <w:noProof/>
            <w:webHidden/>
          </w:rPr>
          <w:instrText xml:space="preserve"> PAGEREF _Toc535499961 \h </w:instrText>
        </w:r>
        <w:r>
          <w:rPr>
            <w:noProof/>
            <w:webHidden/>
          </w:rPr>
        </w:r>
        <w:r>
          <w:rPr>
            <w:noProof/>
            <w:webHidden/>
          </w:rPr>
          <w:fldChar w:fldCharType="separate"/>
        </w:r>
        <w:r>
          <w:rPr>
            <w:noProof/>
            <w:webHidden/>
          </w:rPr>
          <w:t>17</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499962" w:history="1">
        <w:r w:rsidRPr="00572870">
          <w:rPr>
            <w:rStyle w:val="Hyperlink"/>
            <w:noProof/>
          </w:rPr>
          <w:t>Capo 4 Distanza di sicurezza, bordo libero e scale di immersione</w:t>
        </w:r>
        <w:r>
          <w:rPr>
            <w:noProof/>
            <w:webHidden/>
          </w:rPr>
          <w:tab/>
        </w:r>
        <w:r>
          <w:rPr>
            <w:noProof/>
            <w:webHidden/>
          </w:rPr>
          <w:fldChar w:fldCharType="begin"/>
        </w:r>
        <w:r>
          <w:rPr>
            <w:noProof/>
            <w:webHidden/>
          </w:rPr>
          <w:instrText xml:space="preserve"> PAGEREF _Toc535499962 \h </w:instrText>
        </w:r>
        <w:r>
          <w:rPr>
            <w:noProof/>
            <w:webHidden/>
          </w:rPr>
        </w:r>
        <w:r>
          <w:rPr>
            <w:noProof/>
            <w:webHidden/>
          </w:rPr>
          <w:fldChar w:fldCharType="separate"/>
        </w:r>
        <w:r>
          <w:rPr>
            <w:noProof/>
            <w:webHidden/>
          </w:rPr>
          <w:t>18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63" w:history="1">
        <w:r w:rsidRPr="00572870">
          <w:rPr>
            <w:rStyle w:val="Hyperlink"/>
            <w:noProof/>
          </w:rPr>
          <w:t>Articolo 4.01 Distanza di sicurezza</w:t>
        </w:r>
        <w:r>
          <w:rPr>
            <w:noProof/>
            <w:webHidden/>
          </w:rPr>
          <w:tab/>
        </w:r>
        <w:r>
          <w:rPr>
            <w:noProof/>
            <w:webHidden/>
          </w:rPr>
          <w:fldChar w:fldCharType="begin"/>
        </w:r>
        <w:r>
          <w:rPr>
            <w:noProof/>
            <w:webHidden/>
          </w:rPr>
          <w:instrText xml:space="preserve"> PAGEREF _Toc535499963 \h </w:instrText>
        </w:r>
        <w:r>
          <w:rPr>
            <w:noProof/>
            <w:webHidden/>
          </w:rPr>
        </w:r>
        <w:r>
          <w:rPr>
            <w:noProof/>
            <w:webHidden/>
          </w:rPr>
          <w:fldChar w:fldCharType="separate"/>
        </w:r>
        <w:r>
          <w:rPr>
            <w:noProof/>
            <w:webHidden/>
          </w:rPr>
          <w:t>18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64" w:history="1">
        <w:r w:rsidRPr="00572870">
          <w:rPr>
            <w:rStyle w:val="Hyperlink"/>
            <w:noProof/>
          </w:rPr>
          <w:t>Articolo 4.02 Bordo libero</w:t>
        </w:r>
        <w:r>
          <w:rPr>
            <w:noProof/>
            <w:webHidden/>
          </w:rPr>
          <w:tab/>
        </w:r>
        <w:r>
          <w:rPr>
            <w:noProof/>
            <w:webHidden/>
          </w:rPr>
          <w:fldChar w:fldCharType="begin"/>
        </w:r>
        <w:r>
          <w:rPr>
            <w:noProof/>
            <w:webHidden/>
          </w:rPr>
          <w:instrText xml:space="preserve"> PAGEREF _Toc535499964 \h </w:instrText>
        </w:r>
        <w:r>
          <w:rPr>
            <w:noProof/>
            <w:webHidden/>
          </w:rPr>
        </w:r>
        <w:r>
          <w:rPr>
            <w:noProof/>
            <w:webHidden/>
          </w:rPr>
          <w:fldChar w:fldCharType="separate"/>
        </w:r>
        <w:r>
          <w:rPr>
            <w:noProof/>
            <w:webHidden/>
          </w:rPr>
          <w:t>18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65" w:history="1">
        <w:r w:rsidRPr="00572870">
          <w:rPr>
            <w:rStyle w:val="Hyperlink"/>
            <w:noProof/>
          </w:rPr>
          <w:t>Articolo 4.03 Bordo libero minimo</w:t>
        </w:r>
        <w:r>
          <w:rPr>
            <w:noProof/>
            <w:webHidden/>
          </w:rPr>
          <w:tab/>
        </w:r>
        <w:r>
          <w:rPr>
            <w:noProof/>
            <w:webHidden/>
          </w:rPr>
          <w:fldChar w:fldCharType="begin"/>
        </w:r>
        <w:r>
          <w:rPr>
            <w:noProof/>
            <w:webHidden/>
          </w:rPr>
          <w:instrText xml:space="preserve"> PAGEREF _Toc535499965 \h </w:instrText>
        </w:r>
        <w:r>
          <w:rPr>
            <w:noProof/>
            <w:webHidden/>
          </w:rPr>
        </w:r>
        <w:r>
          <w:rPr>
            <w:noProof/>
            <w:webHidden/>
          </w:rPr>
          <w:fldChar w:fldCharType="separate"/>
        </w:r>
        <w:r>
          <w:rPr>
            <w:noProof/>
            <w:webHidden/>
          </w:rPr>
          <w:t>20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66" w:history="1">
        <w:r w:rsidRPr="00572870">
          <w:rPr>
            <w:rStyle w:val="Hyperlink"/>
            <w:noProof/>
          </w:rPr>
          <w:t>Articolo 4.04 Marche di bordo libero</w:t>
        </w:r>
        <w:r>
          <w:rPr>
            <w:noProof/>
            <w:webHidden/>
          </w:rPr>
          <w:tab/>
        </w:r>
        <w:r>
          <w:rPr>
            <w:noProof/>
            <w:webHidden/>
          </w:rPr>
          <w:fldChar w:fldCharType="begin"/>
        </w:r>
        <w:r>
          <w:rPr>
            <w:noProof/>
            <w:webHidden/>
          </w:rPr>
          <w:instrText xml:space="preserve"> PAGEREF _Toc535499966 \h </w:instrText>
        </w:r>
        <w:r>
          <w:rPr>
            <w:noProof/>
            <w:webHidden/>
          </w:rPr>
        </w:r>
        <w:r>
          <w:rPr>
            <w:noProof/>
            <w:webHidden/>
          </w:rPr>
          <w:fldChar w:fldCharType="separate"/>
        </w:r>
        <w:r>
          <w:rPr>
            <w:noProof/>
            <w:webHidden/>
          </w:rPr>
          <w:t>20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67" w:history="1">
        <w:r w:rsidRPr="00572870">
          <w:rPr>
            <w:rStyle w:val="Hyperlink"/>
            <w:noProof/>
          </w:rPr>
          <w:t>Articolo 4.05 Massima immersione a pieno carico di galleggianti dotati di stive non sempre stagne agli spruzzi e alle intemperie</w:t>
        </w:r>
        <w:r>
          <w:rPr>
            <w:noProof/>
            <w:webHidden/>
          </w:rPr>
          <w:tab/>
        </w:r>
        <w:r>
          <w:rPr>
            <w:noProof/>
            <w:webHidden/>
          </w:rPr>
          <w:fldChar w:fldCharType="begin"/>
        </w:r>
        <w:r>
          <w:rPr>
            <w:noProof/>
            <w:webHidden/>
          </w:rPr>
          <w:instrText xml:space="preserve"> PAGEREF _Toc535499967 \h </w:instrText>
        </w:r>
        <w:r>
          <w:rPr>
            <w:noProof/>
            <w:webHidden/>
          </w:rPr>
        </w:r>
        <w:r>
          <w:rPr>
            <w:noProof/>
            <w:webHidden/>
          </w:rPr>
          <w:fldChar w:fldCharType="separate"/>
        </w:r>
        <w:r>
          <w:rPr>
            <w:noProof/>
            <w:webHidden/>
          </w:rPr>
          <w:t>22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68" w:history="1">
        <w:r w:rsidRPr="00572870">
          <w:rPr>
            <w:rStyle w:val="Hyperlink"/>
            <w:noProof/>
          </w:rPr>
          <w:t>Articolo 4.06 Scale d'immersione</w:t>
        </w:r>
        <w:r>
          <w:rPr>
            <w:noProof/>
            <w:webHidden/>
          </w:rPr>
          <w:tab/>
        </w:r>
        <w:r>
          <w:rPr>
            <w:noProof/>
            <w:webHidden/>
          </w:rPr>
          <w:fldChar w:fldCharType="begin"/>
        </w:r>
        <w:r>
          <w:rPr>
            <w:noProof/>
            <w:webHidden/>
          </w:rPr>
          <w:instrText xml:space="preserve"> PAGEREF _Toc535499968 \h </w:instrText>
        </w:r>
        <w:r>
          <w:rPr>
            <w:noProof/>
            <w:webHidden/>
          </w:rPr>
        </w:r>
        <w:r>
          <w:rPr>
            <w:noProof/>
            <w:webHidden/>
          </w:rPr>
          <w:fldChar w:fldCharType="separate"/>
        </w:r>
        <w:r>
          <w:rPr>
            <w:noProof/>
            <w:webHidden/>
          </w:rPr>
          <w:t>22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69" w:history="1">
        <w:r w:rsidRPr="00572870">
          <w:rPr>
            <w:rStyle w:val="Hyperlink"/>
            <w:noProof/>
          </w:rPr>
          <w:t>Articolo 4.07 Disposizioni particolari per le navi che navigano sulle vie navigabili della zona 4</w:t>
        </w:r>
        <w:r>
          <w:rPr>
            <w:noProof/>
            <w:webHidden/>
          </w:rPr>
          <w:tab/>
        </w:r>
        <w:r>
          <w:rPr>
            <w:noProof/>
            <w:webHidden/>
          </w:rPr>
          <w:fldChar w:fldCharType="begin"/>
        </w:r>
        <w:r>
          <w:rPr>
            <w:noProof/>
            <w:webHidden/>
          </w:rPr>
          <w:instrText xml:space="preserve"> PAGEREF _Toc535499969 \h </w:instrText>
        </w:r>
        <w:r>
          <w:rPr>
            <w:noProof/>
            <w:webHidden/>
          </w:rPr>
        </w:r>
        <w:r>
          <w:rPr>
            <w:noProof/>
            <w:webHidden/>
          </w:rPr>
          <w:fldChar w:fldCharType="separate"/>
        </w:r>
        <w:r>
          <w:rPr>
            <w:noProof/>
            <w:webHidden/>
          </w:rPr>
          <w:t>22</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499970" w:history="1">
        <w:r w:rsidRPr="00572870">
          <w:rPr>
            <w:rStyle w:val="Hyperlink"/>
            <w:noProof/>
          </w:rPr>
          <w:t>Capo 5 Manovrabilità</w:t>
        </w:r>
        <w:r>
          <w:rPr>
            <w:noProof/>
            <w:webHidden/>
          </w:rPr>
          <w:tab/>
        </w:r>
        <w:r>
          <w:rPr>
            <w:noProof/>
            <w:webHidden/>
          </w:rPr>
          <w:fldChar w:fldCharType="begin"/>
        </w:r>
        <w:r>
          <w:rPr>
            <w:noProof/>
            <w:webHidden/>
          </w:rPr>
          <w:instrText xml:space="preserve"> PAGEREF _Toc535499970 \h </w:instrText>
        </w:r>
        <w:r>
          <w:rPr>
            <w:noProof/>
            <w:webHidden/>
          </w:rPr>
        </w:r>
        <w:r>
          <w:rPr>
            <w:noProof/>
            <w:webHidden/>
          </w:rPr>
          <w:fldChar w:fldCharType="separate"/>
        </w:r>
        <w:r>
          <w:rPr>
            <w:noProof/>
            <w:webHidden/>
          </w:rPr>
          <w:t>24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71" w:history="1">
        <w:r w:rsidRPr="00572870">
          <w:rPr>
            <w:rStyle w:val="Hyperlink"/>
            <w:noProof/>
          </w:rPr>
          <w:t>Articolo 5.01 Aspetti generali</w:t>
        </w:r>
        <w:r>
          <w:rPr>
            <w:noProof/>
            <w:webHidden/>
          </w:rPr>
          <w:tab/>
        </w:r>
        <w:r>
          <w:rPr>
            <w:noProof/>
            <w:webHidden/>
          </w:rPr>
          <w:fldChar w:fldCharType="begin"/>
        </w:r>
        <w:r>
          <w:rPr>
            <w:noProof/>
            <w:webHidden/>
          </w:rPr>
          <w:instrText xml:space="preserve"> PAGEREF _Toc535499971 \h </w:instrText>
        </w:r>
        <w:r>
          <w:rPr>
            <w:noProof/>
            <w:webHidden/>
          </w:rPr>
        </w:r>
        <w:r>
          <w:rPr>
            <w:noProof/>
            <w:webHidden/>
          </w:rPr>
          <w:fldChar w:fldCharType="separate"/>
        </w:r>
        <w:r>
          <w:rPr>
            <w:noProof/>
            <w:webHidden/>
          </w:rPr>
          <w:t>24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72" w:history="1">
        <w:r w:rsidRPr="00572870">
          <w:rPr>
            <w:rStyle w:val="Hyperlink"/>
            <w:noProof/>
          </w:rPr>
          <w:t>Articolo 5.02 Prove di navigazione</w:t>
        </w:r>
        <w:r>
          <w:rPr>
            <w:noProof/>
            <w:webHidden/>
          </w:rPr>
          <w:tab/>
        </w:r>
        <w:r>
          <w:rPr>
            <w:noProof/>
            <w:webHidden/>
          </w:rPr>
          <w:fldChar w:fldCharType="begin"/>
        </w:r>
        <w:r>
          <w:rPr>
            <w:noProof/>
            <w:webHidden/>
          </w:rPr>
          <w:instrText xml:space="preserve"> PAGEREF _Toc535499972 \h </w:instrText>
        </w:r>
        <w:r>
          <w:rPr>
            <w:noProof/>
            <w:webHidden/>
          </w:rPr>
        </w:r>
        <w:r>
          <w:rPr>
            <w:noProof/>
            <w:webHidden/>
          </w:rPr>
          <w:fldChar w:fldCharType="separate"/>
        </w:r>
        <w:r>
          <w:rPr>
            <w:noProof/>
            <w:webHidden/>
          </w:rPr>
          <w:t>24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73" w:history="1">
        <w:r w:rsidRPr="00572870">
          <w:rPr>
            <w:rStyle w:val="Hyperlink"/>
            <w:noProof/>
          </w:rPr>
          <w:t>Articolo 5.03 Zona di prova</w:t>
        </w:r>
        <w:r>
          <w:rPr>
            <w:noProof/>
            <w:webHidden/>
          </w:rPr>
          <w:tab/>
        </w:r>
        <w:r>
          <w:rPr>
            <w:noProof/>
            <w:webHidden/>
          </w:rPr>
          <w:fldChar w:fldCharType="begin"/>
        </w:r>
        <w:r>
          <w:rPr>
            <w:noProof/>
            <w:webHidden/>
          </w:rPr>
          <w:instrText xml:space="preserve"> PAGEREF _Toc535499973 \h </w:instrText>
        </w:r>
        <w:r>
          <w:rPr>
            <w:noProof/>
            <w:webHidden/>
          </w:rPr>
        </w:r>
        <w:r>
          <w:rPr>
            <w:noProof/>
            <w:webHidden/>
          </w:rPr>
          <w:fldChar w:fldCharType="separate"/>
        </w:r>
        <w:r>
          <w:rPr>
            <w:noProof/>
            <w:webHidden/>
          </w:rPr>
          <w:t>24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74" w:history="1">
        <w:r w:rsidRPr="00572870">
          <w:rPr>
            <w:rStyle w:val="Hyperlink"/>
            <w:noProof/>
          </w:rPr>
          <w:t>Articolo 5.04 Livello di carico delle navi e dei convogli durante le prove di navigazione</w:t>
        </w:r>
        <w:r>
          <w:rPr>
            <w:noProof/>
            <w:webHidden/>
          </w:rPr>
          <w:tab/>
        </w:r>
        <w:r>
          <w:rPr>
            <w:noProof/>
            <w:webHidden/>
          </w:rPr>
          <w:fldChar w:fldCharType="begin"/>
        </w:r>
        <w:r>
          <w:rPr>
            <w:noProof/>
            <w:webHidden/>
          </w:rPr>
          <w:instrText xml:space="preserve"> PAGEREF _Toc535499974 \h </w:instrText>
        </w:r>
        <w:r>
          <w:rPr>
            <w:noProof/>
            <w:webHidden/>
          </w:rPr>
        </w:r>
        <w:r>
          <w:rPr>
            <w:noProof/>
            <w:webHidden/>
          </w:rPr>
          <w:fldChar w:fldCharType="separate"/>
        </w:r>
        <w:r>
          <w:rPr>
            <w:noProof/>
            <w:webHidden/>
          </w:rPr>
          <w:t>24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75" w:history="1">
        <w:r w:rsidRPr="00572870">
          <w:rPr>
            <w:rStyle w:val="Hyperlink"/>
            <w:noProof/>
          </w:rPr>
          <w:t>Articolo 5.05 Uso dei mezzi di bordo per la prova di navigazione</w:t>
        </w:r>
        <w:r>
          <w:rPr>
            <w:noProof/>
            <w:webHidden/>
          </w:rPr>
          <w:tab/>
        </w:r>
        <w:r>
          <w:rPr>
            <w:noProof/>
            <w:webHidden/>
          </w:rPr>
          <w:fldChar w:fldCharType="begin"/>
        </w:r>
        <w:r>
          <w:rPr>
            <w:noProof/>
            <w:webHidden/>
          </w:rPr>
          <w:instrText xml:space="preserve"> PAGEREF _Toc535499975 \h </w:instrText>
        </w:r>
        <w:r>
          <w:rPr>
            <w:noProof/>
            <w:webHidden/>
          </w:rPr>
        </w:r>
        <w:r>
          <w:rPr>
            <w:noProof/>
            <w:webHidden/>
          </w:rPr>
          <w:fldChar w:fldCharType="separate"/>
        </w:r>
        <w:r>
          <w:rPr>
            <w:noProof/>
            <w:webHidden/>
          </w:rPr>
          <w:t>25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76" w:history="1">
        <w:r w:rsidRPr="00572870">
          <w:rPr>
            <w:rStyle w:val="Hyperlink"/>
            <w:noProof/>
          </w:rPr>
          <w:t>Articolo 5.06 Velocità prescritta (in marcia avanti)</w:t>
        </w:r>
        <w:r>
          <w:rPr>
            <w:noProof/>
            <w:webHidden/>
          </w:rPr>
          <w:tab/>
        </w:r>
        <w:r>
          <w:rPr>
            <w:noProof/>
            <w:webHidden/>
          </w:rPr>
          <w:fldChar w:fldCharType="begin"/>
        </w:r>
        <w:r>
          <w:rPr>
            <w:noProof/>
            <w:webHidden/>
          </w:rPr>
          <w:instrText xml:space="preserve"> PAGEREF _Toc535499976 \h </w:instrText>
        </w:r>
        <w:r>
          <w:rPr>
            <w:noProof/>
            <w:webHidden/>
          </w:rPr>
        </w:r>
        <w:r>
          <w:rPr>
            <w:noProof/>
            <w:webHidden/>
          </w:rPr>
          <w:fldChar w:fldCharType="separate"/>
        </w:r>
        <w:r>
          <w:rPr>
            <w:noProof/>
            <w:webHidden/>
          </w:rPr>
          <w:t>25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77" w:history="1">
        <w:r w:rsidRPr="00572870">
          <w:rPr>
            <w:rStyle w:val="Hyperlink"/>
            <w:noProof/>
          </w:rPr>
          <w:t>Articolo 5.07 Capacità d'arresto</w:t>
        </w:r>
        <w:r>
          <w:rPr>
            <w:noProof/>
            <w:webHidden/>
          </w:rPr>
          <w:tab/>
        </w:r>
        <w:r>
          <w:rPr>
            <w:noProof/>
            <w:webHidden/>
          </w:rPr>
          <w:fldChar w:fldCharType="begin"/>
        </w:r>
        <w:r>
          <w:rPr>
            <w:noProof/>
            <w:webHidden/>
          </w:rPr>
          <w:instrText xml:space="preserve"> PAGEREF _Toc535499977 \h </w:instrText>
        </w:r>
        <w:r>
          <w:rPr>
            <w:noProof/>
            <w:webHidden/>
          </w:rPr>
        </w:r>
        <w:r>
          <w:rPr>
            <w:noProof/>
            <w:webHidden/>
          </w:rPr>
          <w:fldChar w:fldCharType="separate"/>
        </w:r>
        <w:r>
          <w:rPr>
            <w:noProof/>
            <w:webHidden/>
          </w:rPr>
          <w:t>25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78" w:history="1">
        <w:r w:rsidRPr="00572870">
          <w:rPr>
            <w:rStyle w:val="Hyperlink"/>
            <w:noProof/>
          </w:rPr>
          <w:t>Articolo 5.08 Capacità di navigare in marcia indietro</w:t>
        </w:r>
        <w:r>
          <w:rPr>
            <w:noProof/>
            <w:webHidden/>
          </w:rPr>
          <w:tab/>
        </w:r>
        <w:r>
          <w:rPr>
            <w:noProof/>
            <w:webHidden/>
          </w:rPr>
          <w:fldChar w:fldCharType="begin"/>
        </w:r>
        <w:r>
          <w:rPr>
            <w:noProof/>
            <w:webHidden/>
          </w:rPr>
          <w:instrText xml:space="preserve"> PAGEREF _Toc535499978 \h </w:instrText>
        </w:r>
        <w:r>
          <w:rPr>
            <w:noProof/>
            <w:webHidden/>
          </w:rPr>
        </w:r>
        <w:r>
          <w:rPr>
            <w:noProof/>
            <w:webHidden/>
          </w:rPr>
          <w:fldChar w:fldCharType="separate"/>
        </w:r>
        <w:r>
          <w:rPr>
            <w:noProof/>
            <w:webHidden/>
          </w:rPr>
          <w:t>25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79" w:history="1">
        <w:r w:rsidRPr="00572870">
          <w:rPr>
            <w:rStyle w:val="Hyperlink"/>
            <w:noProof/>
          </w:rPr>
          <w:t>Articolo 5.09 Capacità di manovra di evasione</w:t>
        </w:r>
        <w:r>
          <w:rPr>
            <w:noProof/>
            <w:webHidden/>
          </w:rPr>
          <w:tab/>
        </w:r>
        <w:r>
          <w:rPr>
            <w:noProof/>
            <w:webHidden/>
          </w:rPr>
          <w:fldChar w:fldCharType="begin"/>
        </w:r>
        <w:r>
          <w:rPr>
            <w:noProof/>
            <w:webHidden/>
          </w:rPr>
          <w:instrText xml:space="preserve"> PAGEREF _Toc535499979 \h </w:instrText>
        </w:r>
        <w:r>
          <w:rPr>
            <w:noProof/>
            <w:webHidden/>
          </w:rPr>
        </w:r>
        <w:r>
          <w:rPr>
            <w:noProof/>
            <w:webHidden/>
          </w:rPr>
          <w:fldChar w:fldCharType="separate"/>
        </w:r>
        <w:r>
          <w:rPr>
            <w:noProof/>
            <w:webHidden/>
          </w:rPr>
          <w:t>26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80" w:history="1">
        <w:r w:rsidRPr="00572870">
          <w:rPr>
            <w:rStyle w:val="Hyperlink"/>
            <w:noProof/>
          </w:rPr>
          <w:t>Articolo 5.10 Capacità di virata</w:t>
        </w:r>
        <w:r>
          <w:rPr>
            <w:noProof/>
            <w:webHidden/>
          </w:rPr>
          <w:tab/>
        </w:r>
        <w:r>
          <w:rPr>
            <w:noProof/>
            <w:webHidden/>
          </w:rPr>
          <w:fldChar w:fldCharType="begin"/>
        </w:r>
        <w:r>
          <w:rPr>
            <w:noProof/>
            <w:webHidden/>
          </w:rPr>
          <w:instrText xml:space="preserve"> PAGEREF _Toc535499980 \h </w:instrText>
        </w:r>
        <w:r>
          <w:rPr>
            <w:noProof/>
            <w:webHidden/>
          </w:rPr>
        </w:r>
        <w:r>
          <w:rPr>
            <w:noProof/>
            <w:webHidden/>
          </w:rPr>
          <w:fldChar w:fldCharType="separate"/>
        </w:r>
        <w:r>
          <w:rPr>
            <w:noProof/>
            <w:webHidden/>
          </w:rPr>
          <w:t>26</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499981" w:history="1">
        <w:r w:rsidRPr="00572870">
          <w:rPr>
            <w:rStyle w:val="Hyperlink"/>
            <w:noProof/>
          </w:rPr>
          <w:t>Capo 6 Apparato di governo</w:t>
        </w:r>
        <w:r>
          <w:rPr>
            <w:noProof/>
            <w:webHidden/>
          </w:rPr>
          <w:tab/>
        </w:r>
        <w:r>
          <w:rPr>
            <w:noProof/>
            <w:webHidden/>
          </w:rPr>
          <w:fldChar w:fldCharType="begin"/>
        </w:r>
        <w:r>
          <w:rPr>
            <w:noProof/>
            <w:webHidden/>
          </w:rPr>
          <w:instrText xml:space="preserve"> PAGEREF _Toc535499981 \h </w:instrText>
        </w:r>
        <w:r>
          <w:rPr>
            <w:noProof/>
            <w:webHidden/>
          </w:rPr>
        </w:r>
        <w:r>
          <w:rPr>
            <w:noProof/>
            <w:webHidden/>
          </w:rPr>
          <w:fldChar w:fldCharType="separate"/>
        </w:r>
        <w:r>
          <w:rPr>
            <w:noProof/>
            <w:webHidden/>
          </w:rPr>
          <w:t>28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82" w:history="1">
        <w:r w:rsidRPr="00572870">
          <w:rPr>
            <w:rStyle w:val="Hyperlink"/>
            <w:noProof/>
          </w:rPr>
          <w:t>Articolo 6.01 Requisiti generali</w:t>
        </w:r>
        <w:r>
          <w:rPr>
            <w:noProof/>
            <w:webHidden/>
          </w:rPr>
          <w:tab/>
        </w:r>
        <w:r>
          <w:rPr>
            <w:noProof/>
            <w:webHidden/>
          </w:rPr>
          <w:fldChar w:fldCharType="begin"/>
        </w:r>
        <w:r>
          <w:rPr>
            <w:noProof/>
            <w:webHidden/>
          </w:rPr>
          <w:instrText xml:space="preserve"> PAGEREF _Toc535499982 \h </w:instrText>
        </w:r>
        <w:r>
          <w:rPr>
            <w:noProof/>
            <w:webHidden/>
          </w:rPr>
        </w:r>
        <w:r>
          <w:rPr>
            <w:noProof/>
            <w:webHidden/>
          </w:rPr>
          <w:fldChar w:fldCharType="separate"/>
        </w:r>
        <w:r>
          <w:rPr>
            <w:noProof/>
            <w:webHidden/>
          </w:rPr>
          <w:t>28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83" w:history="1">
        <w:r w:rsidRPr="00572870">
          <w:rPr>
            <w:rStyle w:val="Hyperlink"/>
            <w:noProof/>
          </w:rPr>
          <w:t>Articolo 6.02 Dispositivi di azionamento del mezzo di governo</w:t>
        </w:r>
        <w:r>
          <w:rPr>
            <w:noProof/>
            <w:webHidden/>
          </w:rPr>
          <w:tab/>
        </w:r>
        <w:r>
          <w:rPr>
            <w:noProof/>
            <w:webHidden/>
          </w:rPr>
          <w:fldChar w:fldCharType="begin"/>
        </w:r>
        <w:r>
          <w:rPr>
            <w:noProof/>
            <w:webHidden/>
          </w:rPr>
          <w:instrText xml:space="preserve"> PAGEREF _Toc535499983 \h </w:instrText>
        </w:r>
        <w:r>
          <w:rPr>
            <w:noProof/>
            <w:webHidden/>
          </w:rPr>
        </w:r>
        <w:r>
          <w:rPr>
            <w:noProof/>
            <w:webHidden/>
          </w:rPr>
          <w:fldChar w:fldCharType="separate"/>
        </w:r>
        <w:r>
          <w:rPr>
            <w:noProof/>
            <w:webHidden/>
          </w:rPr>
          <w:t>28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84" w:history="1">
        <w:r w:rsidRPr="00572870">
          <w:rPr>
            <w:rStyle w:val="Hyperlink"/>
            <w:noProof/>
          </w:rPr>
          <w:t>Articolo 6.03 Dispositivo di azionamento idraulico del mezzo di governo</w:t>
        </w:r>
        <w:r>
          <w:rPr>
            <w:noProof/>
            <w:webHidden/>
          </w:rPr>
          <w:tab/>
        </w:r>
        <w:r>
          <w:rPr>
            <w:noProof/>
            <w:webHidden/>
          </w:rPr>
          <w:fldChar w:fldCharType="begin"/>
        </w:r>
        <w:r>
          <w:rPr>
            <w:noProof/>
            <w:webHidden/>
          </w:rPr>
          <w:instrText xml:space="preserve"> PAGEREF _Toc535499984 \h </w:instrText>
        </w:r>
        <w:r>
          <w:rPr>
            <w:noProof/>
            <w:webHidden/>
          </w:rPr>
        </w:r>
        <w:r>
          <w:rPr>
            <w:noProof/>
            <w:webHidden/>
          </w:rPr>
          <w:fldChar w:fldCharType="separate"/>
        </w:r>
        <w:r>
          <w:rPr>
            <w:noProof/>
            <w:webHidden/>
          </w:rPr>
          <w:t>29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85" w:history="1">
        <w:r w:rsidRPr="00572870">
          <w:rPr>
            <w:rStyle w:val="Hyperlink"/>
            <w:noProof/>
          </w:rPr>
          <w:t>Articolo 6.04 Fonti d'energia</w:t>
        </w:r>
        <w:r>
          <w:rPr>
            <w:noProof/>
            <w:webHidden/>
          </w:rPr>
          <w:tab/>
        </w:r>
        <w:r>
          <w:rPr>
            <w:noProof/>
            <w:webHidden/>
          </w:rPr>
          <w:fldChar w:fldCharType="begin"/>
        </w:r>
        <w:r>
          <w:rPr>
            <w:noProof/>
            <w:webHidden/>
          </w:rPr>
          <w:instrText xml:space="preserve"> PAGEREF _Toc535499985 \h </w:instrText>
        </w:r>
        <w:r>
          <w:rPr>
            <w:noProof/>
            <w:webHidden/>
          </w:rPr>
        </w:r>
        <w:r>
          <w:rPr>
            <w:noProof/>
            <w:webHidden/>
          </w:rPr>
          <w:fldChar w:fldCharType="separate"/>
        </w:r>
        <w:r>
          <w:rPr>
            <w:noProof/>
            <w:webHidden/>
          </w:rPr>
          <w:t>29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86" w:history="1">
        <w:r w:rsidRPr="00572870">
          <w:rPr>
            <w:rStyle w:val="Hyperlink"/>
            <w:noProof/>
          </w:rPr>
          <w:t>Articolo 6.05 Dispositivo di azionamento manuale</w:t>
        </w:r>
        <w:r>
          <w:rPr>
            <w:noProof/>
            <w:webHidden/>
          </w:rPr>
          <w:tab/>
        </w:r>
        <w:r>
          <w:rPr>
            <w:noProof/>
            <w:webHidden/>
          </w:rPr>
          <w:fldChar w:fldCharType="begin"/>
        </w:r>
        <w:r>
          <w:rPr>
            <w:noProof/>
            <w:webHidden/>
          </w:rPr>
          <w:instrText xml:space="preserve"> PAGEREF _Toc535499986 \h </w:instrText>
        </w:r>
        <w:r>
          <w:rPr>
            <w:noProof/>
            <w:webHidden/>
          </w:rPr>
        </w:r>
        <w:r>
          <w:rPr>
            <w:noProof/>
            <w:webHidden/>
          </w:rPr>
          <w:fldChar w:fldCharType="separate"/>
        </w:r>
        <w:r>
          <w:rPr>
            <w:noProof/>
            <w:webHidden/>
          </w:rPr>
          <w:t>29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87" w:history="1">
        <w:r w:rsidRPr="00572870">
          <w:rPr>
            <w:rStyle w:val="Hyperlink"/>
            <w:noProof/>
          </w:rPr>
          <w:t>Articolo 6.06 Sistemi elica-timone, a idrogetto, a propulsori cicloidali e a eliche di manovra di prua</w:t>
        </w:r>
        <w:r>
          <w:rPr>
            <w:noProof/>
            <w:webHidden/>
          </w:rPr>
          <w:tab/>
        </w:r>
        <w:r>
          <w:rPr>
            <w:noProof/>
            <w:webHidden/>
          </w:rPr>
          <w:fldChar w:fldCharType="begin"/>
        </w:r>
        <w:r>
          <w:rPr>
            <w:noProof/>
            <w:webHidden/>
          </w:rPr>
          <w:instrText xml:space="preserve"> PAGEREF _Toc535499987 \h </w:instrText>
        </w:r>
        <w:r>
          <w:rPr>
            <w:noProof/>
            <w:webHidden/>
          </w:rPr>
        </w:r>
        <w:r>
          <w:rPr>
            <w:noProof/>
            <w:webHidden/>
          </w:rPr>
          <w:fldChar w:fldCharType="separate"/>
        </w:r>
        <w:r>
          <w:rPr>
            <w:noProof/>
            <w:webHidden/>
          </w:rPr>
          <w:t>30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88" w:history="1">
        <w:r w:rsidRPr="00572870">
          <w:rPr>
            <w:rStyle w:val="Hyperlink"/>
            <w:noProof/>
          </w:rPr>
          <w:t>Articolo 6.07 Indicatori e dispositivi di controllo</w:t>
        </w:r>
        <w:r>
          <w:rPr>
            <w:noProof/>
            <w:webHidden/>
          </w:rPr>
          <w:tab/>
        </w:r>
        <w:r>
          <w:rPr>
            <w:noProof/>
            <w:webHidden/>
          </w:rPr>
          <w:fldChar w:fldCharType="begin"/>
        </w:r>
        <w:r>
          <w:rPr>
            <w:noProof/>
            <w:webHidden/>
          </w:rPr>
          <w:instrText xml:space="preserve"> PAGEREF _Toc535499988 \h </w:instrText>
        </w:r>
        <w:r>
          <w:rPr>
            <w:noProof/>
            <w:webHidden/>
          </w:rPr>
        </w:r>
        <w:r>
          <w:rPr>
            <w:noProof/>
            <w:webHidden/>
          </w:rPr>
          <w:fldChar w:fldCharType="separate"/>
        </w:r>
        <w:r>
          <w:rPr>
            <w:noProof/>
            <w:webHidden/>
          </w:rPr>
          <w:t>30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89" w:history="1">
        <w:r w:rsidRPr="00572870">
          <w:rPr>
            <w:rStyle w:val="Hyperlink"/>
            <w:noProof/>
          </w:rPr>
          <w:t>Articolo 6.08 Regolatori della velocità di accostata</w:t>
        </w:r>
        <w:r>
          <w:rPr>
            <w:noProof/>
            <w:webHidden/>
          </w:rPr>
          <w:tab/>
        </w:r>
        <w:r>
          <w:rPr>
            <w:noProof/>
            <w:webHidden/>
          </w:rPr>
          <w:fldChar w:fldCharType="begin"/>
        </w:r>
        <w:r>
          <w:rPr>
            <w:noProof/>
            <w:webHidden/>
          </w:rPr>
          <w:instrText xml:space="preserve"> PAGEREF _Toc535499989 \h </w:instrText>
        </w:r>
        <w:r>
          <w:rPr>
            <w:noProof/>
            <w:webHidden/>
          </w:rPr>
        </w:r>
        <w:r>
          <w:rPr>
            <w:noProof/>
            <w:webHidden/>
          </w:rPr>
          <w:fldChar w:fldCharType="separate"/>
        </w:r>
        <w:r>
          <w:rPr>
            <w:noProof/>
            <w:webHidden/>
          </w:rPr>
          <w:t>30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90" w:history="1">
        <w:r w:rsidRPr="00572870">
          <w:rPr>
            <w:rStyle w:val="Hyperlink"/>
            <w:noProof/>
          </w:rPr>
          <w:t>Articolo 6.09 Prove</w:t>
        </w:r>
        <w:r>
          <w:rPr>
            <w:noProof/>
            <w:webHidden/>
          </w:rPr>
          <w:tab/>
        </w:r>
        <w:r>
          <w:rPr>
            <w:noProof/>
            <w:webHidden/>
          </w:rPr>
          <w:fldChar w:fldCharType="begin"/>
        </w:r>
        <w:r>
          <w:rPr>
            <w:noProof/>
            <w:webHidden/>
          </w:rPr>
          <w:instrText xml:space="preserve"> PAGEREF _Toc535499990 \h </w:instrText>
        </w:r>
        <w:r>
          <w:rPr>
            <w:noProof/>
            <w:webHidden/>
          </w:rPr>
        </w:r>
        <w:r>
          <w:rPr>
            <w:noProof/>
            <w:webHidden/>
          </w:rPr>
          <w:fldChar w:fldCharType="separate"/>
        </w:r>
        <w:r>
          <w:rPr>
            <w:noProof/>
            <w:webHidden/>
          </w:rPr>
          <w:t>31</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499991" w:history="1">
        <w:r w:rsidRPr="00572870">
          <w:rPr>
            <w:rStyle w:val="Hyperlink"/>
            <w:noProof/>
          </w:rPr>
          <w:t>Capo 7 Timoneria</w:t>
        </w:r>
        <w:r>
          <w:rPr>
            <w:noProof/>
            <w:webHidden/>
          </w:rPr>
          <w:tab/>
        </w:r>
        <w:r>
          <w:rPr>
            <w:noProof/>
            <w:webHidden/>
          </w:rPr>
          <w:fldChar w:fldCharType="begin"/>
        </w:r>
        <w:r>
          <w:rPr>
            <w:noProof/>
            <w:webHidden/>
          </w:rPr>
          <w:instrText xml:space="preserve"> PAGEREF _Toc535499991 \h </w:instrText>
        </w:r>
        <w:r>
          <w:rPr>
            <w:noProof/>
            <w:webHidden/>
          </w:rPr>
        </w:r>
        <w:r>
          <w:rPr>
            <w:noProof/>
            <w:webHidden/>
          </w:rPr>
          <w:fldChar w:fldCharType="separate"/>
        </w:r>
        <w:r>
          <w:rPr>
            <w:noProof/>
            <w:webHidden/>
          </w:rPr>
          <w:t>32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92" w:history="1">
        <w:r w:rsidRPr="00572870">
          <w:rPr>
            <w:rStyle w:val="Hyperlink"/>
            <w:noProof/>
          </w:rPr>
          <w:t>Articolo 7.01 Aspetti generali</w:t>
        </w:r>
        <w:r>
          <w:rPr>
            <w:noProof/>
            <w:webHidden/>
          </w:rPr>
          <w:tab/>
        </w:r>
        <w:r>
          <w:rPr>
            <w:noProof/>
            <w:webHidden/>
          </w:rPr>
          <w:fldChar w:fldCharType="begin"/>
        </w:r>
        <w:r>
          <w:rPr>
            <w:noProof/>
            <w:webHidden/>
          </w:rPr>
          <w:instrText xml:space="preserve"> PAGEREF _Toc535499992 \h </w:instrText>
        </w:r>
        <w:r>
          <w:rPr>
            <w:noProof/>
            <w:webHidden/>
          </w:rPr>
        </w:r>
        <w:r>
          <w:rPr>
            <w:noProof/>
            <w:webHidden/>
          </w:rPr>
          <w:fldChar w:fldCharType="separate"/>
        </w:r>
        <w:r>
          <w:rPr>
            <w:noProof/>
            <w:webHidden/>
          </w:rPr>
          <w:t>32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93" w:history="1">
        <w:r w:rsidRPr="00572870">
          <w:rPr>
            <w:rStyle w:val="Hyperlink"/>
            <w:noProof/>
          </w:rPr>
          <w:t>Articolo 7.02 Visuale libera</w:t>
        </w:r>
        <w:r>
          <w:rPr>
            <w:noProof/>
            <w:webHidden/>
          </w:rPr>
          <w:tab/>
        </w:r>
        <w:r>
          <w:rPr>
            <w:noProof/>
            <w:webHidden/>
          </w:rPr>
          <w:fldChar w:fldCharType="begin"/>
        </w:r>
        <w:r>
          <w:rPr>
            <w:noProof/>
            <w:webHidden/>
          </w:rPr>
          <w:instrText xml:space="preserve"> PAGEREF _Toc535499993 \h </w:instrText>
        </w:r>
        <w:r>
          <w:rPr>
            <w:noProof/>
            <w:webHidden/>
          </w:rPr>
        </w:r>
        <w:r>
          <w:rPr>
            <w:noProof/>
            <w:webHidden/>
          </w:rPr>
          <w:fldChar w:fldCharType="separate"/>
        </w:r>
        <w:r>
          <w:rPr>
            <w:noProof/>
            <w:webHidden/>
          </w:rPr>
          <w:t>32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94" w:history="1">
        <w:r w:rsidRPr="00572870">
          <w:rPr>
            <w:rStyle w:val="Hyperlink"/>
            <w:noProof/>
          </w:rPr>
          <w:t>Articolo 7.03 Requisiti generali concernenti i dispositivi di comando, d'indicazione e di controllo</w:t>
        </w:r>
        <w:r>
          <w:rPr>
            <w:noProof/>
            <w:webHidden/>
          </w:rPr>
          <w:tab/>
        </w:r>
        <w:r>
          <w:rPr>
            <w:noProof/>
            <w:webHidden/>
          </w:rPr>
          <w:fldChar w:fldCharType="begin"/>
        </w:r>
        <w:r>
          <w:rPr>
            <w:noProof/>
            <w:webHidden/>
          </w:rPr>
          <w:instrText xml:space="preserve"> PAGEREF _Toc535499994 \h </w:instrText>
        </w:r>
        <w:r>
          <w:rPr>
            <w:noProof/>
            <w:webHidden/>
          </w:rPr>
        </w:r>
        <w:r>
          <w:rPr>
            <w:noProof/>
            <w:webHidden/>
          </w:rPr>
          <w:fldChar w:fldCharType="separate"/>
        </w:r>
        <w:r>
          <w:rPr>
            <w:noProof/>
            <w:webHidden/>
          </w:rPr>
          <w:t>33</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95" w:history="1">
        <w:r w:rsidRPr="00572870">
          <w:rPr>
            <w:rStyle w:val="Hyperlink"/>
            <w:noProof/>
          </w:rPr>
          <w:t>Articolo 7.04 Requisiti specifici concernenti i dispositivi di comando, d'indicazione e di controllo dei motori principali e degli apparati di governo</w:t>
        </w:r>
        <w:r>
          <w:rPr>
            <w:noProof/>
            <w:webHidden/>
          </w:rPr>
          <w:tab/>
        </w:r>
        <w:r>
          <w:rPr>
            <w:noProof/>
            <w:webHidden/>
          </w:rPr>
          <w:fldChar w:fldCharType="begin"/>
        </w:r>
        <w:r>
          <w:rPr>
            <w:noProof/>
            <w:webHidden/>
          </w:rPr>
          <w:instrText xml:space="preserve"> PAGEREF _Toc535499995 \h </w:instrText>
        </w:r>
        <w:r>
          <w:rPr>
            <w:noProof/>
            <w:webHidden/>
          </w:rPr>
        </w:r>
        <w:r>
          <w:rPr>
            <w:noProof/>
            <w:webHidden/>
          </w:rPr>
          <w:fldChar w:fldCharType="separate"/>
        </w:r>
        <w:r>
          <w:rPr>
            <w:noProof/>
            <w:webHidden/>
          </w:rPr>
          <w:t>34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96" w:history="1">
        <w:r w:rsidRPr="00572870">
          <w:rPr>
            <w:rStyle w:val="Hyperlink"/>
            <w:noProof/>
          </w:rPr>
          <w:t>Articolo 7.06 Impianti di informazione e di navigazione</w:t>
        </w:r>
        <w:r>
          <w:rPr>
            <w:noProof/>
            <w:webHidden/>
          </w:rPr>
          <w:tab/>
        </w:r>
        <w:r>
          <w:rPr>
            <w:noProof/>
            <w:webHidden/>
          </w:rPr>
          <w:fldChar w:fldCharType="begin"/>
        </w:r>
        <w:r>
          <w:rPr>
            <w:noProof/>
            <w:webHidden/>
          </w:rPr>
          <w:instrText xml:space="preserve"> PAGEREF _Toc535499996 \h </w:instrText>
        </w:r>
        <w:r>
          <w:rPr>
            <w:noProof/>
            <w:webHidden/>
          </w:rPr>
        </w:r>
        <w:r>
          <w:rPr>
            <w:noProof/>
            <w:webHidden/>
          </w:rPr>
          <w:fldChar w:fldCharType="separate"/>
        </w:r>
        <w:r>
          <w:rPr>
            <w:noProof/>
            <w:webHidden/>
          </w:rPr>
          <w:t>36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97" w:history="1">
        <w:r w:rsidRPr="00572870">
          <w:rPr>
            <w:rStyle w:val="Hyperlink"/>
            <w:noProof/>
          </w:rPr>
          <w:t>Articolo 7.07 Radiotelefonia per navi con timoneria attrezzata per la navigazione con radar da parte di una sola persona</w:t>
        </w:r>
        <w:r>
          <w:rPr>
            <w:noProof/>
            <w:webHidden/>
          </w:rPr>
          <w:tab/>
        </w:r>
        <w:r>
          <w:rPr>
            <w:noProof/>
            <w:webHidden/>
          </w:rPr>
          <w:fldChar w:fldCharType="begin"/>
        </w:r>
        <w:r>
          <w:rPr>
            <w:noProof/>
            <w:webHidden/>
          </w:rPr>
          <w:instrText xml:space="preserve"> PAGEREF _Toc535499997 \h </w:instrText>
        </w:r>
        <w:r>
          <w:rPr>
            <w:noProof/>
            <w:webHidden/>
          </w:rPr>
        </w:r>
        <w:r>
          <w:rPr>
            <w:noProof/>
            <w:webHidden/>
          </w:rPr>
          <w:fldChar w:fldCharType="separate"/>
        </w:r>
        <w:r>
          <w:rPr>
            <w:noProof/>
            <w:webHidden/>
          </w:rPr>
          <w:t>36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98" w:history="1">
        <w:r w:rsidRPr="00572870">
          <w:rPr>
            <w:rStyle w:val="Hyperlink"/>
            <w:noProof/>
          </w:rPr>
          <w:t>Articolo 7.08 Impianti per la comunicazione interna a bordo</w:t>
        </w:r>
        <w:r>
          <w:rPr>
            <w:noProof/>
            <w:webHidden/>
          </w:rPr>
          <w:tab/>
        </w:r>
        <w:r>
          <w:rPr>
            <w:noProof/>
            <w:webHidden/>
          </w:rPr>
          <w:fldChar w:fldCharType="begin"/>
        </w:r>
        <w:r>
          <w:rPr>
            <w:noProof/>
            <w:webHidden/>
          </w:rPr>
          <w:instrText xml:space="preserve"> PAGEREF _Toc535499998 \h </w:instrText>
        </w:r>
        <w:r>
          <w:rPr>
            <w:noProof/>
            <w:webHidden/>
          </w:rPr>
        </w:r>
        <w:r>
          <w:rPr>
            <w:noProof/>
            <w:webHidden/>
          </w:rPr>
          <w:fldChar w:fldCharType="separate"/>
        </w:r>
        <w:r>
          <w:rPr>
            <w:noProof/>
            <w:webHidden/>
          </w:rPr>
          <w:t>37</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499999" w:history="1">
        <w:r w:rsidRPr="00572870">
          <w:rPr>
            <w:rStyle w:val="Hyperlink"/>
            <w:noProof/>
          </w:rPr>
          <w:t>Articolo 7.09 Sistemi d'allarme</w:t>
        </w:r>
        <w:r>
          <w:rPr>
            <w:noProof/>
            <w:webHidden/>
          </w:rPr>
          <w:tab/>
        </w:r>
        <w:r>
          <w:rPr>
            <w:noProof/>
            <w:webHidden/>
          </w:rPr>
          <w:fldChar w:fldCharType="begin"/>
        </w:r>
        <w:r>
          <w:rPr>
            <w:noProof/>
            <w:webHidden/>
          </w:rPr>
          <w:instrText xml:space="preserve"> PAGEREF _Toc535499999 \h </w:instrText>
        </w:r>
        <w:r>
          <w:rPr>
            <w:noProof/>
            <w:webHidden/>
          </w:rPr>
        </w:r>
        <w:r>
          <w:rPr>
            <w:noProof/>
            <w:webHidden/>
          </w:rPr>
          <w:fldChar w:fldCharType="separate"/>
        </w:r>
        <w:r>
          <w:rPr>
            <w:noProof/>
            <w:webHidden/>
          </w:rPr>
          <w:t>37</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00" w:history="1">
        <w:r w:rsidRPr="00572870">
          <w:rPr>
            <w:rStyle w:val="Hyperlink"/>
            <w:noProof/>
          </w:rPr>
          <w:t>Articolo 7.10 Riscaldamento e ventilazione</w:t>
        </w:r>
        <w:r>
          <w:rPr>
            <w:noProof/>
            <w:webHidden/>
          </w:rPr>
          <w:tab/>
        </w:r>
        <w:r>
          <w:rPr>
            <w:noProof/>
            <w:webHidden/>
          </w:rPr>
          <w:fldChar w:fldCharType="begin"/>
        </w:r>
        <w:r>
          <w:rPr>
            <w:noProof/>
            <w:webHidden/>
          </w:rPr>
          <w:instrText xml:space="preserve"> PAGEREF _Toc535500000 \h </w:instrText>
        </w:r>
        <w:r>
          <w:rPr>
            <w:noProof/>
            <w:webHidden/>
          </w:rPr>
        </w:r>
        <w:r>
          <w:rPr>
            <w:noProof/>
            <w:webHidden/>
          </w:rPr>
          <w:fldChar w:fldCharType="separate"/>
        </w:r>
        <w:r>
          <w:rPr>
            <w:noProof/>
            <w:webHidden/>
          </w:rPr>
          <w:t>37</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01" w:history="1">
        <w:r w:rsidRPr="00572870">
          <w:rPr>
            <w:rStyle w:val="Hyperlink"/>
            <w:noProof/>
          </w:rPr>
          <w:t>Articolo 7.11 Impianti per la manovra delle ancore di poppa</w:t>
        </w:r>
        <w:r>
          <w:rPr>
            <w:noProof/>
            <w:webHidden/>
          </w:rPr>
          <w:tab/>
        </w:r>
        <w:r>
          <w:rPr>
            <w:noProof/>
            <w:webHidden/>
          </w:rPr>
          <w:fldChar w:fldCharType="begin"/>
        </w:r>
        <w:r>
          <w:rPr>
            <w:noProof/>
            <w:webHidden/>
          </w:rPr>
          <w:instrText xml:space="preserve"> PAGEREF _Toc535500001 \h </w:instrText>
        </w:r>
        <w:r>
          <w:rPr>
            <w:noProof/>
            <w:webHidden/>
          </w:rPr>
        </w:r>
        <w:r>
          <w:rPr>
            <w:noProof/>
            <w:webHidden/>
          </w:rPr>
          <w:fldChar w:fldCharType="separate"/>
        </w:r>
        <w:r>
          <w:rPr>
            <w:noProof/>
            <w:webHidden/>
          </w:rPr>
          <w:t>37</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02" w:history="1">
        <w:r w:rsidRPr="00572870">
          <w:rPr>
            <w:rStyle w:val="Hyperlink"/>
            <w:noProof/>
          </w:rPr>
          <w:t xml:space="preserve">Articolo 7.12 </w:t>
        </w:r>
        <w:r w:rsidRPr="00572870">
          <w:rPr>
            <w:rStyle w:val="Hyperlink"/>
            <w:noProof/>
            <w:snapToGrid w:val="0"/>
          </w:rPr>
          <w:t>Timonerie elevabili</w:t>
        </w:r>
        <w:r>
          <w:rPr>
            <w:noProof/>
            <w:webHidden/>
          </w:rPr>
          <w:tab/>
        </w:r>
        <w:r>
          <w:rPr>
            <w:noProof/>
            <w:webHidden/>
          </w:rPr>
          <w:fldChar w:fldCharType="begin"/>
        </w:r>
        <w:r>
          <w:rPr>
            <w:noProof/>
            <w:webHidden/>
          </w:rPr>
          <w:instrText xml:space="preserve"> PAGEREF _Toc535500002 \h </w:instrText>
        </w:r>
        <w:r>
          <w:rPr>
            <w:noProof/>
            <w:webHidden/>
          </w:rPr>
        </w:r>
        <w:r>
          <w:rPr>
            <w:noProof/>
            <w:webHidden/>
          </w:rPr>
          <w:fldChar w:fldCharType="separate"/>
        </w:r>
        <w:r>
          <w:rPr>
            <w:noProof/>
            <w:webHidden/>
          </w:rPr>
          <w:t>38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03" w:history="1">
        <w:r w:rsidRPr="00572870">
          <w:rPr>
            <w:rStyle w:val="Hyperlink"/>
            <w:noProof/>
          </w:rPr>
          <w:t>Articolo 7.13 Annotazione nel certificato per la navigazione interna delle navi dotate di timoneria attrezzata per la navigazione con radar da parte di una sola persona</w:t>
        </w:r>
        <w:r>
          <w:rPr>
            <w:noProof/>
            <w:webHidden/>
          </w:rPr>
          <w:tab/>
        </w:r>
        <w:r>
          <w:rPr>
            <w:noProof/>
            <w:webHidden/>
          </w:rPr>
          <w:fldChar w:fldCharType="begin"/>
        </w:r>
        <w:r>
          <w:rPr>
            <w:noProof/>
            <w:webHidden/>
          </w:rPr>
          <w:instrText xml:space="preserve"> PAGEREF _Toc535500003 \h </w:instrText>
        </w:r>
        <w:r>
          <w:rPr>
            <w:noProof/>
            <w:webHidden/>
          </w:rPr>
        </w:r>
        <w:r>
          <w:rPr>
            <w:noProof/>
            <w:webHidden/>
          </w:rPr>
          <w:fldChar w:fldCharType="separate"/>
        </w:r>
        <w:r>
          <w:rPr>
            <w:noProof/>
            <w:webHidden/>
          </w:rPr>
          <w:t>39</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004" w:history="1">
        <w:r w:rsidRPr="00572870">
          <w:rPr>
            <w:rStyle w:val="Hyperlink"/>
            <w:noProof/>
          </w:rPr>
          <w:t>Capo 8 Costruzione delle macchine</w:t>
        </w:r>
        <w:r>
          <w:rPr>
            <w:noProof/>
            <w:webHidden/>
          </w:rPr>
          <w:tab/>
        </w:r>
        <w:r>
          <w:rPr>
            <w:noProof/>
            <w:webHidden/>
          </w:rPr>
          <w:fldChar w:fldCharType="begin"/>
        </w:r>
        <w:r>
          <w:rPr>
            <w:noProof/>
            <w:webHidden/>
          </w:rPr>
          <w:instrText xml:space="preserve"> PAGEREF _Toc535500004 \h </w:instrText>
        </w:r>
        <w:r>
          <w:rPr>
            <w:noProof/>
            <w:webHidden/>
          </w:rPr>
        </w:r>
        <w:r>
          <w:rPr>
            <w:noProof/>
            <w:webHidden/>
          </w:rPr>
          <w:fldChar w:fldCharType="separate"/>
        </w:r>
        <w:r>
          <w:rPr>
            <w:noProof/>
            <w:webHidden/>
          </w:rPr>
          <w:t>40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05" w:history="1">
        <w:r w:rsidRPr="00572870">
          <w:rPr>
            <w:rStyle w:val="Hyperlink"/>
            <w:noProof/>
          </w:rPr>
          <w:t>Articolo 8.01 Aspetti generali</w:t>
        </w:r>
        <w:r>
          <w:rPr>
            <w:noProof/>
            <w:webHidden/>
          </w:rPr>
          <w:tab/>
        </w:r>
        <w:r>
          <w:rPr>
            <w:noProof/>
            <w:webHidden/>
          </w:rPr>
          <w:fldChar w:fldCharType="begin"/>
        </w:r>
        <w:r>
          <w:rPr>
            <w:noProof/>
            <w:webHidden/>
          </w:rPr>
          <w:instrText xml:space="preserve"> PAGEREF _Toc535500005 \h </w:instrText>
        </w:r>
        <w:r>
          <w:rPr>
            <w:noProof/>
            <w:webHidden/>
          </w:rPr>
        </w:r>
        <w:r>
          <w:rPr>
            <w:noProof/>
            <w:webHidden/>
          </w:rPr>
          <w:fldChar w:fldCharType="separate"/>
        </w:r>
        <w:r>
          <w:rPr>
            <w:noProof/>
            <w:webHidden/>
          </w:rPr>
          <w:t>40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06" w:history="1">
        <w:r w:rsidRPr="00572870">
          <w:rPr>
            <w:rStyle w:val="Hyperlink"/>
            <w:noProof/>
          </w:rPr>
          <w:t>Articolo 8.02 Dispositivi di sicurezza</w:t>
        </w:r>
        <w:r>
          <w:rPr>
            <w:noProof/>
            <w:webHidden/>
          </w:rPr>
          <w:tab/>
        </w:r>
        <w:r>
          <w:rPr>
            <w:noProof/>
            <w:webHidden/>
          </w:rPr>
          <w:fldChar w:fldCharType="begin"/>
        </w:r>
        <w:r>
          <w:rPr>
            <w:noProof/>
            <w:webHidden/>
          </w:rPr>
          <w:instrText xml:space="preserve"> PAGEREF _Toc535500006 \h </w:instrText>
        </w:r>
        <w:r>
          <w:rPr>
            <w:noProof/>
            <w:webHidden/>
          </w:rPr>
        </w:r>
        <w:r>
          <w:rPr>
            <w:noProof/>
            <w:webHidden/>
          </w:rPr>
          <w:fldChar w:fldCharType="separate"/>
        </w:r>
        <w:r>
          <w:rPr>
            <w:noProof/>
            <w:webHidden/>
          </w:rPr>
          <w:t>40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07" w:history="1">
        <w:r w:rsidRPr="00572870">
          <w:rPr>
            <w:rStyle w:val="Hyperlink"/>
            <w:noProof/>
          </w:rPr>
          <w:t>Articolo 8.03 Sistemi di propulsione</w:t>
        </w:r>
        <w:r>
          <w:rPr>
            <w:noProof/>
            <w:webHidden/>
          </w:rPr>
          <w:tab/>
        </w:r>
        <w:r>
          <w:rPr>
            <w:noProof/>
            <w:webHidden/>
          </w:rPr>
          <w:fldChar w:fldCharType="begin"/>
        </w:r>
        <w:r>
          <w:rPr>
            <w:noProof/>
            <w:webHidden/>
          </w:rPr>
          <w:instrText xml:space="preserve"> PAGEREF _Toc535500007 \h </w:instrText>
        </w:r>
        <w:r>
          <w:rPr>
            <w:noProof/>
            <w:webHidden/>
          </w:rPr>
        </w:r>
        <w:r>
          <w:rPr>
            <w:noProof/>
            <w:webHidden/>
          </w:rPr>
          <w:fldChar w:fldCharType="separate"/>
        </w:r>
        <w:r>
          <w:rPr>
            <w:noProof/>
            <w:webHidden/>
          </w:rPr>
          <w:t>41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08" w:history="1">
        <w:r w:rsidRPr="00572870">
          <w:rPr>
            <w:rStyle w:val="Hyperlink"/>
            <w:noProof/>
          </w:rPr>
          <w:t>Articolo 8.04 Sistema di scarico del motore</w:t>
        </w:r>
        <w:r>
          <w:rPr>
            <w:noProof/>
            <w:webHidden/>
          </w:rPr>
          <w:tab/>
        </w:r>
        <w:r>
          <w:rPr>
            <w:noProof/>
            <w:webHidden/>
          </w:rPr>
          <w:fldChar w:fldCharType="begin"/>
        </w:r>
        <w:r>
          <w:rPr>
            <w:noProof/>
            <w:webHidden/>
          </w:rPr>
          <w:instrText xml:space="preserve"> PAGEREF _Toc535500008 \h </w:instrText>
        </w:r>
        <w:r>
          <w:rPr>
            <w:noProof/>
            <w:webHidden/>
          </w:rPr>
        </w:r>
        <w:r>
          <w:rPr>
            <w:noProof/>
            <w:webHidden/>
          </w:rPr>
          <w:fldChar w:fldCharType="separate"/>
        </w:r>
        <w:r>
          <w:rPr>
            <w:noProof/>
            <w:webHidden/>
          </w:rPr>
          <w:t>41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09" w:history="1">
        <w:r w:rsidRPr="00572870">
          <w:rPr>
            <w:rStyle w:val="Hyperlink"/>
            <w:noProof/>
          </w:rPr>
          <w:t>Articolo 8.05 Serbatoi per il combustibile, tubature e accessori</w:t>
        </w:r>
        <w:r>
          <w:rPr>
            <w:noProof/>
            <w:webHidden/>
          </w:rPr>
          <w:tab/>
        </w:r>
        <w:r>
          <w:rPr>
            <w:noProof/>
            <w:webHidden/>
          </w:rPr>
          <w:fldChar w:fldCharType="begin"/>
        </w:r>
        <w:r>
          <w:rPr>
            <w:noProof/>
            <w:webHidden/>
          </w:rPr>
          <w:instrText xml:space="preserve"> PAGEREF _Toc535500009 \h </w:instrText>
        </w:r>
        <w:r>
          <w:rPr>
            <w:noProof/>
            <w:webHidden/>
          </w:rPr>
        </w:r>
        <w:r>
          <w:rPr>
            <w:noProof/>
            <w:webHidden/>
          </w:rPr>
          <w:fldChar w:fldCharType="separate"/>
        </w:r>
        <w:r>
          <w:rPr>
            <w:noProof/>
            <w:webHidden/>
          </w:rPr>
          <w:t>42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10" w:history="1">
        <w:r w:rsidRPr="00572870">
          <w:rPr>
            <w:rStyle w:val="Hyperlink"/>
            <w:noProof/>
          </w:rPr>
          <w:t>Articolo 8.06 Deposito di olio lubrificante, tubature e accessori</w:t>
        </w:r>
        <w:r>
          <w:rPr>
            <w:noProof/>
            <w:webHidden/>
          </w:rPr>
          <w:tab/>
        </w:r>
        <w:r>
          <w:rPr>
            <w:noProof/>
            <w:webHidden/>
          </w:rPr>
          <w:fldChar w:fldCharType="begin"/>
        </w:r>
        <w:r>
          <w:rPr>
            <w:noProof/>
            <w:webHidden/>
          </w:rPr>
          <w:instrText xml:space="preserve"> PAGEREF _Toc535500010 \h </w:instrText>
        </w:r>
        <w:r>
          <w:rPr>
            <w:noProof/>
            <w:webHidden/>
          </w:rPr>
        </w:r>
        <w:r>
          <w:rPr>
            <w:noProof/>
            <w:webHidden/>
          </w:rPr>
          <w:fldChar w:fldCharType="separate"/>
        </w:r>
        <w:r>
          <w:rPr>
            <w:noProof/>
            <w:webHidden/>
          </w:rPr>
          <w:t>43</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11" w:history="1">
        <w:r w:rsidRPr="00572870">
          <w:rPr>
            <w:rStyle w:val="Hyperlink"/>
            <w:noProof/>
          </w:rPr>
          <w:t>Articolo 8.07 Deposito di oli utilizzati negli impianti di trasmissione di energia, negli impianti di comando e attivazione e negli impianti di riscaldamento, tubature e accessori</w:t>
        </w:r>
        <w:r>
          <w:rPr>
            <w:noProof/>
            <w:webHidden/>
          </w:rPr>
          <w:tab/>
        </w:r>
        <w:r>
          <w:rPr>
            <w:noProof/>
            <w:webHidden/>
          </w:rPr>
          <w:fldChar w:fldCharType="begin"/>
        </w:r>
        <w:r>
          <w:rPr>
            <w:noProof/>
            <w:webHidden/>
          </w:rPr>
          <w:instrText xml:space="preserve"> PAGEREF _Toc535500011 \h </w:instrText>
        </w:r>
        <w:r>
          <w:rPr>
            <w:noProof/>
            <w:webHidden/>
          </w:rPr>
        </w:r>
        <w:r>
          <w:rPr>
            <w:noProof/>
            <w:webHidden/>
          </w:rPr>
          <w:fldChar w:fldCharType="separate"/>
        </w:r>
        <w:r>
          <w:rPr>
            <w:noProof/>
            <w:webHidden/>
          </w:rPr>
          <w:t>44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12" w:history="1">
        <w:r w:rsidRPr="00572870">
          <w:rPr>
            <w:rStyle w:val="Hyperlink"/>
            <w:noProof/>
          </w:rPr>
          <w:t>Articolo 8.08 Impianti di esaurimento della sentina</w:t>
        </w:r>
        <w:r>
          <w:rPr>
            <w:noProof/>
            <w:webHidden/>
          </w:rPr>
          <w:tab/>
        </w:r>
        <w:r>
          <w:rPr>
            <w:noProof/>
            <w:webHidden/>
          </w:rPr>
          <w:fldChar w:fldCharType="begin"/>
        </w:r>
        <w:r>
          <w:rPr>
            <w:noProof/>
            <w:webHidden/>
          </w:rPr>
          <w:instrText xml:space="preserve"> PAGEREF _Toc535500012 \h </w:instrText>
        </w:r>
        <w:r>
          <w:rPr>
            <w:noProof/>
            <w:webHidden/>
          </w:rPr>
        </w:r>
        <w:r>
          <w:rPr>
            <w:noProof/>
            <w:webHidden/>
          </w:rPr>
          <w:fldChar w:fldCharType="separate"/>
        </w:r>
        <w:r>
          <w:rPr>
            <w:noProof/>
            <w:webHidden/>
          </w:rPr>
          <w:t>45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13" w:history="1">
        <w:r w:rsidRPr="00572870">
          <w:rPr>
            <w:rStyle w:val="Hyperlink"/>
            <w:noProof/>
          </w:rPr>
          <w:t>Articolo 8.09 Dispositivi di raccolta delle acque oleose e degli oli usati</w:t>
        </w:r>
        <w:r>
          <w:rPr>
            <w:noProof/>
            <w:webHidden/>
          </w:rPr>
          <w:tab/>
        </w:r>
        <w:r>
          <w:rPr>
            <w:noProof/>
            <w:webHidden/>
          </w:rPr>
          <w:fldChar w:fldCharType="begin"/>
        </w:r>
        <w:r>
          <w:rPr>
            <w:noProof/>
            <w:webHidden/>
          </w:rPr>
          <w:instrText xml:space="preserve"> PAGEREF _Toc535500013 \h </w:instrText>
        </w:r>
        <w:r>
          <w:rPr>
            <w:noProof/>
            <w:webHidden/>
          </w:rPr>
        </w:r>
        <w:r>
          <w:rPr>
            <w:noProof/>
            <w:webHidden/>
          </w:rPr>
          <w:fldChar w:fldCharType="separate"/>
        </w:r>
        <w:r>
          <w:rPr>
            <w:noProof/>
            <w:webHidden/>
          </w:rPr>
          <w:t>46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14" w:history="1">
        <w:r w:rsidRPr="00572870">
          <w:rPr>
            <w:rStyle w:val="Hyperlink"/>
            <w:noProof/>
          </w:rPr>
          <w:t>Articolo 8.10 Rumore prodotto dalle navi</w:t>
        </w:r>
        <w:r>
          <w:rPr>
            <w:noProof/>
            <w:webHidden/>
          </w:rPr>
          <w:tab/>
        </w:r>
        <w:r>
          <w:rPr>
            <w:noProof/>
            <w:webHidden/>
          </w:rPr>
          <w:fldChar w:fldCharType="begin"/>
        </w:r>
        <w:r>
          <w:rPr>
            <w:noProof/>
            <w:webHidden/>
          </w:rPr>
          <w:instrText xml:space="preserve"> PAGEREF _Toc535500014 \h </w:instrText>
        </w:r>
        <w:r>
          <w:rPr>
            <w:noProof/>
            <w:webHidden/>
          </w:rPr>
        </w:r>
        <w:r>
          <w:rPr>
            <w:noProof/>
            <w:webHidden/>
          </w:rPr>
          <w:fldChar w:fldCharType="separate"/>
        </w:r>
        <w:r>
          <w:rPr>
            <w:noProof/>
            <w:webHidden/>
          </w:rPr>
          <w:t>47</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015" w:history="1">
        <w:r w:rsidRPr="00572870">
          <w:rPr>
            <w:rStyle w:val="Hyperlink"/>
            <w:noProof/>
          </w:rPr>
          <w:t>Capo 9 Emissioni di inquinanti gassosi e particolato inquinante prodotte dai motori a combustione interna</w:t>
        </w:r>
        <w:r>
          <w:rPr>
            <w:noProof/>
            <w:webHidden/>
          </w:rPr>
          <w:tab/>
        </w:r>
        <w:r>
          <w:rPr>
            <w:noProof/>
            <w:webHidden/>
          </w:rPr>
          <w:fldChar w:fldCharType="begin"/>
        </w:r>
        <w:r>
          <w:rPr>
            <w:noProof/>
            <w:webHidden/>
          </w:rPr>
          <w:instrText xml:space="preserve"> PAGEREF _Toc535500015 \h </w:instrText>
        </w:r>
        <w:r>
          <w:rPr>
            <w:noProof/>
            <w:webHidden/>
          </w:rPr>
        </w:r>
        <w:r>
          <w:rPr>
            <w:noProof/>
            <w:webHidden/>
          </w:rPr>
          <w:fldChar w:fldCharType="separate"/>
        </w:r>
        <w:r>
          <w:rPr>
            <w:noProof/>
            <w:webHidden/>
          </w:rPr>
          <w:t>48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16" w:history="1">
        <w:r w:rsidRPr="00572870">
          <w:rPr>
            <w:rStyle w:val="Hyperlink"/>
            <w:noProof/>
          </w:rPr>
          <w:t>Articolo 9.00 Definizioni</w:t>
        </w:r>
        <w:r>
          <w:rPr>
            <w:noProof/>
            <w:webHidden/>
          </w:rPr>
          <w:tab/>
        </w:r>
        <w:r>
          <w:rPr>
            <w:noProof/>
            <w:webHidden/>
          </w:rPr>
          <w:fldChar w:fldCharType="begin"/>
        </w:r>
        <w:r>
          <w:rPr>
            <w:noProof/>
            <w:webHidden/>
          </w:rPr>
          <w:instrText xml:space="preserve"> PAGEREF _Toc535500016 \h </w:instrText>
        </w:r>
        <w:r>
          <w:rPr>
            <w:noProof/>
            <w:webHidden/>
          </w:rPr>
        </w:r>
        <w:r>
          <w:rPr>
            <w:noProof/>
            <w:webHidden/>
          </w:rPr>
          <w:fldChar w:fldCharType="separate"/>
        </w:r>
        <w:r>
          <w:rPr>
            <w:noProof/>
            <w:webHidden/>
          </w:rPr>
          <w:t>48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17" w:history="1">
        <w:r w:rsidRPr="00572870">
          <w:rPr>
            <w:rStyle w:val="Hyperlink"/>
            <w:noProof/>
          </w:rPr>
          <w:t>Articolo 9.01 Disposizioni generali</w:t>
        </w:r>
        <w:r>
          <w:rPr>
            <w:noProof/>
            <w:webHidden/>
          </w:rPr>
          <w:tab/>
        </w:r>
        <w:r>
          <w:rPr>
            <w:noProof/>
            <w:webHidden/>
          </w:rPr>
          <w:fldChar w:fldCharType="begin"/>
        </w:r>
        <w:r>
          <w:rPr>
            <w:noProof/>
            <w:webHidden/>
          </w:rPr>
          <w:instrText xml:space="preserve"> PAGEREF _Toc535500017 \h </w:instrText>
        </w:r>
        <w:r>
          <w:rPr>
            <w:noProof/>
            <w:webHidden/>
          </w:rPr>
        </w:r>
        <w:r>
          <w:rPr>
            <w:noProof/>
            <w:webHidden/>
          </w:rPr>
          <w:fldChar w:fldCharType="separate"/>
        </w:r>
        <w:r>
          <w:rPr>
            <w:noProof/>
            <w:webHidden/>
          </w:rPr>
          <w:t>48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18" w:history="1">
        <w:r w:rsidRPr="00572870">
          <w:rPr>
            <w:rStyle w:val="Hyperlink"/>
            <w:noProof/>
          </w:rPr>
          <w:t>Articolo 9.02 Annotazione nel certificato per la navigazione interna</w:t>
        </w:r>
        <w:r>
          <w:rPr>
            <w:noProof/>
            <w:webHidden/>
          </w:rPr>
          <w:tab/>
        </w:r>
        <w:r>
          <w:rPr>
            <w:noProof/>
            <w:webHidden/>
          </w:rPr>
          <w:fldChar w:fldCharType="begin"/>
        </w:r>
        <w:r>
          <w:rPr>
            <w:noProof/>
            <w:webHidden/>
          </w:rPr>
          <w:instrText xml:space="preserve"> PAGEREF _Toc535500018 \h </w:instrText>
        </w:r>
        <w:r>
          <w:rPr>
            <w:noProof/>
            <w:webHidden/>
          </w:rPr>
        </w:r>
        <w:r>
          <w:rPr>
            <w:noProof/>
            <w:webHidden/>
          </w:rPr>
          <w:fldChar w:fldCharType="separate"/>
        </w:r>
        <w:r>
          <w:rPr>
            <w:noProof/>
            <w:webHidden/>
          </w:rPr>
          <w:t>49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19" w:history="1">
        <w:r w:rsidRPr="00572870">
          <w:rPr>
            <w:rStyle w:val="Hyperlink"/>
            <w:noProof/>
          </w:rPr>
          <w:t>Articolo 9.03 Disposizioni per l'installazione di motori a combustione interna</w:t>
        </w:r>
        <w:r>
          <w:rPr>
            <w:noProof/>
            <w:webHidden/>
          </w:rPr>
          <w:tab/>
        </w:r>
        <w:r>
          <w:rPr>
            <w:noProof/>
            <w:webHidden/>
          </w:rPr>
          <w:fldChar w:fldCharType="begin"/>
        </w:r>
        <w:r>
          <w:rPr>
            <w:noProof/>
            <w:webHidden/>
          </w:rPr>
          <w:instrText xml:space="preserve"> PAGEREF _Toc535500019 \h </w:instrText>
        </w:r>
        <w:r>
          <w:rPr>
            <w:noProof/>
            <w:webHidden/>
          </w:rPr>
        </w:r>
        <w:r>
          <w:rPr>
            <w:noProof/>
            <w:webHidden/>
          </w:rPr>
          <w:fldChar w:fldCharType="separate"/>
        </w:r>
        <w:r>
          <w:rPr>
            <w:noProof/>
            <w:webHidden/>
          </w:rPr>
          <w:t>49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20" w:history="1">
        <w:r w:rsidRPr="00572870">
          <w:rPr>
            <w:rStyle w:val="Hyperlink"/>
            <w:noProof/>
          </w:rPr>
          <w:t>Articolo 9.04 Istruzioni del costruttore di motori</w:t>
        </w:r>
        <w:r>
          <w:rPr>
            <w:noProof/>
            <w:webHidden/>
          </w:rPr>
          <w:tab/>
        </w:r>
        <w:r>
          <w:rPr>
            <w:noProof/>
            <w:webHidden/>
          </w:rPr>
          <w:fldChar w:fldCharType="begin"/>
        </w:r>
        <w:r>
          <w:rPr>
            <w:noProof/>
            <w:webHidden/>
          </w:rPr>
          <w:instrText xml:space="preserve"> PAGEREF _Toc535500020 \h </w:instrText>
        </w:r>
        <w:r>
          <w:rPr>
            <w:noProof/>
            <w:webHidden/>
          </w:rPr>
        </w:r>
        <w:r>
          <w:rPr>
            <w:noProof/>
            <w:webHidden/>
          </w:rPr>
          <w:fldChar w:fldCharType="separate"/>
        </w:r>
        <w:r>
          <w:rPr>
            <w:noProof/>
            <w:webHidden/>
          </w:rPr>
          <w:t>49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21" w:history="1">
        <w:r w:rsidRPr="00572870">
          <w:rPr>
            <w:rStyle w:val="Hyperlink"/>
            <w:noProof/>
          </w:rPr>
          <w:t>Articolo 9.05 Prove sui motori a combustione interna</w:t>
        </w:r>
        <w:r>
          <w:rPr>
            <w:noProof/>
            <w:webHidden/>
          </w:rPr>
          <w:tab/>
        </w:r>
        <w:r>
          <w:rPr>
            <w:noProof/>
            <w:webHidden/>
          </w:rPr>
          <w:fldChar w:fldCharType="begin"/>
        </w:r>
        <w:r>
          <w:rPr>
            <w:noProof/>
            <w:webHidden/>
          </w:rPr>
          <w:instrText xml:space="preserve"> PAGEREF _Toc535500021 \h </w:instrText>
        </w:r>
        <w:r>
          <w:rPr>
            <w:noProof/>
            <w:webHidden/>
          </w:rPr>
        </w:r>
        <w:r>
          <w:rPr>
            <w:noProof/>
            <w:webHidden/>
          </w:rPr>
          <w:fldChar w:fldCharType="separate"/>
        </w:r>
        <w:r>
          <w:rPr>
            <w:noProof/>
            <w:webHidden/>
          </w:rPr>
          <w:t>50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22" w:history="1">
        <w:r w:rsidRPr="00572870">
          <w:rPr>
            <w:rStyle w:val="Hyperlink"/>
            <w:noProof/>
          </w:rPr>
          <w:t>Articolo 9.06 Controllo di montaggio:</w:t>
        </w:r>
        <w:r>
          <w:rPr>
            <w:noProof/>
            <w:webHidden/>
          </w:rPr>
          <w:tab/>
        </w:r>
        <w:r>
          <w:rPr>
            <w:noProof/>
            <w:webHidden/>
          </w:rPr>
          <w:fldChar w:fldCharType="begin"/>
        </w:r>
        <w:r>
          <w:rPr>
            <w:noProof/>
            <w:webHidden/>
          </w:rPr>
          <w:instrText xml:space="preserve"> PAGEREF _Toc535500022 \h </w:instrText>
        </w:r>
        <w:r>
          <w:rPr>
            <w:noProof/>
            <w:webHidden/>
          </w:rPr>
        </w:r>
        <w:r>
          <w:rPr>
            <w:noProof/>
            <w:webHidden/>
          </w:rPr>
          <w:fldChar w:fldCharType="separate"/>
        </w:r>
        <w:r>
          <w:rPr>
            <w:noProof/>
            <w:webHidden/>
          </w:rPr>
          <w:t>50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23" w:history="1">
        <w:r w:rsidRPr="00572870">
          <w:rPr>
            <w:rStyle w:val="Hyperlink"/>
            <w:noProof/>
          </w:rPr>
          <w:t>Articolo 9.07 Controlli intermedi</w:t>
        </w:r>
        <w:r>
          <w:rPr>
            <w:noProof/>
            <w:webHidden/>
          </w:rPr>
          <w:tab/>
        </w:r>
        <w:r>
          <w:rPr>
            <w:noProof/>
            <w:webHidden/>
          </w:rPr>
          <w:fldChar w:fldCharType="begin"/>
        </w:r>
        <w:r>
          <w:rPr>
            <w:noProof/>
            <w:webHidden/>
          </w:rPr>
          <w:instrText xml:space="preserve"> PAGEREF _Toc535500023 \h </w:instrText>
        </w:r>
        <w:r>
          <w:rPr>
            <w:noProof/>
            <w:webHidden/>
          </w:rPr>
        </w:r>
        <w:r>
          <w:rPr>
            <w:noProof/>
            <w:webHidden/>
          </w:rPr>
          <w:fldChar w:fldCharType="separate"/>
        </w:r>
        <w:r>
          <w:rPr>
            <w:noProof/>
            <w:webHidden/>
          </w:rPr>
          <w:t>51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24" w:history="1">
        <w:r w:rsidRPr="00572870">
          <w:rPr>
            <w:rStyle w:val="Hyperlink"/>
            <w:noProof/>
          </w:rPr>
          <w:t>Articolo 9.08 Controlli speciali</w:t>
        </w:r>
        <w:r>
          <w:rPr>
            <w:noProof/>
            <w:webHidden/>
          </w:rPr>
          <w:tab/>
        </w:r>
        <w:r>
          <w:rPr>
            <w:noProof/>
            <w:webHidden/>
          </w:rPr>
          <w:fldChar w:fldCharType="begin"/>
        </w:r>
        <w:r>
          <w:rPr>
            <w:noProof/>
            <w:webHidden/>
          </w:rPr>
          <w:instrText xml:space="preserve"> PAGEREF _Toc535500024 \h </w:instrText>
        </w:r>
        <w:r>
          <w:rPr>
            <w:noProof/>
            <w:webHidden/>
          </w:rPr>
        </w:r>
        <w:r>
          <w:rPr>
            <w:noProof/>
            <w:webHidden/>
          </w:rPr>
          <w:fldChar w:fldCharType="separate"/>
        </w:r>
        <w:r>
          <w:rPr>
            <w:noProof/>
            <w:webHidden/>
          </w:rPr>
          <w:t>51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25" w:history="1">
        <w:r w:rsidRPr="00572870">
          <w:rPr>
            <w:rStyle w:val="Hyperlink"/>
            <w:noProof/>
          </w:rPr>
          <w:t>Articolo 9.09 Requisiti specifici relativi ai sistemi di post-trattamento dei gas di scarico</w:t>
        </w:r>
        <w:r>
          <w:rPr>
            <w:noProof/>
            <w:webHidden/>
          </w:rPr>
          <w:tab/>
        </w:r>
        <w:r>
          <w:rPr>
            <w:noProof/>
            <w:webHidden/>
          </w:rPr>
          <w:fldChar w:fldCharType="begin"/>
        </w:r>
        <w:r>
          <w:rPr>
            <w:noProof/>
            <w:webHidden/>
          </w:rPr>
          <w:instrText xml:space="preserve"> PAGEREF _Toc535500025 \h </w:instrText>
        </w:r>
        <w:r>
          <w:rPr>
            <w:noProof/>
            <w:webHidden/>
          </w:rPr>
        </w:r>
        <w:r>
          <w:rPr>
            <w:noProof/>
            <w:webHidden/>
          </w:rPr>
          <w:fldChar w:fldCharType="separate"/>
        </w:r>
        <w:r>
          <w:rPr>
            <w:noProof/>
            <w:webHidden/>
          </w:rPr>
          <w:t>51</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026" w:history="1">
        <w:r w:rsidRPr="00572870">
          <w:rPr>
            <w:rStyle w:val="Hyperlink"/>
            <w:noProof/>
          </w:rPr>
          <w:t>Capo 10 Impianti e apparecchi elettrici</w:t>
        </w:r>
        <w:r>
          <w:rPr>
            <w:noProof/>
            <w:webHidden/>
          </w:rPr>
          <w:tab/>
        </w:r>
        <w:r>
          <w:rPr>
            <w:noProof/>
            <w:webHidden/>
          </w:rPr>
          <w:fldChar w:fldCharType="begin"/>
        </w:r>
        <w:r>
          <w:rPr>
            <w:noProof/>
            <w:webHidden/>
          </w:rPr>
          <w:instrText xml:space="preserve"> PAGEREF _Toc535500026 \h </w:instrText>
        </w:r>
        <w:r>
          <w:rPr>
            <w:noProof/>
            <w:webHidden/>
          </w:rPr>
        </w:r>
        <w:r>
          <w:rPr>
            <w:noProof/>
            <w:webHidden/>
          </w:rPr>
          <w:fldChar w:fldCharType="separate"/>
        </w:r>
        <w:r>
          <w:rPr>
            <w:noProof/>
            <w:webHidden/>
          </w:rPr>
          <w:t>54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27" w:history="1">
        <w:r w:rsidRPr="00572870">
          <w:rPr>
            <w:rStyle w:val="Hyperlink"/>
            <w:noProof/>
          </w:rPr>
          <w:t>Articolo 10.01 Aspetti generali</w:t>
        </w:r>
        <w:r>
          <w:rPr>
            <w:noProof/>
            <w:webHidden/>
          </w:rPr>
          <w:tab/>
        </w:r>
        <w:r>
          <w:rPr>
            <w:noProof/>
            <w:webHidden/>
          </w:rPr>
          <w:fldChar w:fldCharType="begin"/>
        </w:r>
        <w:r>
          <w:rPr>
            <w:noProof/>
            <w:webHidden/>
          </w:rPr>
          <w:instrText xml:space="preserve"> PAGEREF _Toc535500027 \h </w:instrText>
        </w:r>
        <w:r>
          <w:rPr>
            <w:noProof/>
            <w:webHidden/>
          </w:rPr>
        </w:r>
        <w:r>
          <w:rPr>
            <w:noProof/>
            <w:webHidden/>
          </w:rPr>
          <w:fldChar w:fldCharType="separate"/>
        </w:r>
        <w:r>
          <w:rPr>
            <w:noProof/>
            <w:webHidden/>
          </w:rPr>
          <w:t>54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28" w:history="1">
        <w:r w:rsidRPr="00572870">
          <w:rPr>
            <w:rStyle w:val="Hyperlink"/>
            <w:noProof/>
          </w:rPr>
          <w:t>Articolo 10.02 Sistemi d'alimentazione di energia elettrica</w:t>
        </w:r>
        <w:r>
          <w:rPr>
            <w:noProof/>
            <w:webHidden/>
          </w:rPr>
          <w:tab/>
        </w:r>
        <w:r>
          <w:rPr>
            <w:noProof/>
            <w:webHidden/>
          </w:rPr>
          <w:fldChar w:fldCharType="begin"/>
        </w:r>
        <w:r>
          <w:rPr>
            <w:noProof/>
            <w:webHidden/>
          </w:rPr>
          <w:instrText xml:space="preserve"> PAGEREF _Toc535500028 \h </w:instrText>
        </w:r>
        <w:r>
          <w:rPr>
            <w:noProof/>
            <w:webHidden/>
          </w:rPr>
        </w:r>
        <w:r>
          <w:rPr>
            <w:noProof/>
            <w:webHidden/>
          </w:rPr>
          <w:fldChar w:fldCharType="separate"/>
        </w:r>
        <w:r>
          <w:rPr>
            <w:noProof/>
            <w:webHidden/>
          </w:rPr>
          <w:t>54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29" w:history="1">
        <w:r w:rsidRPr="00572870">
          <w:rPr>
            <w:rStyle w:val="Hyperlink"/>
            <w:noProof/>
          </w:rPr>
          <w:t>Articolo 10.03 Protezione contro l'accesso a parti pericolose, contro corpi estranei solidi, contro la penetrazione di acqua</w:t>
        </w:r>
        <w:r>
          <w:rPr>
            <w:noProof/>
            <w:webHidden/>
          </w:rPr>
          <w:tab/>
        </w:r>
        <w:r>
          <w:rPr>
            <w:noProof/>
            <w:webHidden/>
          </w:rPr>
          <w:fldChar w:fldCharType="begin"/>
        </w:r>
        <w:r>
          <w:rPr>
            <w:noProof/>
            <w:webHidden/>
          </w:rPr>
          <w:instrText xml:space="preserve"> PAGEREF _Toc535500029 \h </w:instrText>
        </w:r>
        <w:r>
          <w:rPr>
            <w:noProof/>
            <w:webHidden/>
          </w:rPr>
        </w:r>
        <w:r>
          <w:rPr>
            <w:noProof/>
            <w:webHidden/>
          </w:rPr>
          <w:fldChar w:fldCharType="separate"/>
        </w:r>
        <w:r>
          <w:rPr>
            <w:noProof/>
            <w:webHidden/>
          </w:rPr>
          <w:t>55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30" w:history="1">
        <w:r w:rsidRPr="00572870">
          <w:rPr>
            <w:rStyle w:val="Hyperlink"/>
            <w:noProof/>
          </w:rPr>
          <w:t>Articolo 10.04 Protezione contro le esplosioni</w:t>
        </w:r>
        <w:r>
          <w:rPr>
            <w:noProof/>
            <w:webHidden/>
          </w:rPr>
          <w:tab/>
        </w:r>
        <w:r>
          <w:rPr>
            <w:noProof/>
            <w:webHidden/>
          </w:rPr>
          <w:fldChar w:fldCharType="begin"/>
        </w:r>
        <w:r>
          <w:rPr>
            <w:noProof/>
            <w:webHidden/>
          </w:rPr>
          <w:instrText xml:space="preserve"> PAGEREF _Toc535500030 \h </w:instrText>
        </w:r>
        <w:r>
          <w:rPr>
            <w:noProof/>
            <w:webHidden/>
          </w:rPr>
        </w:r>
        <w:r>
          <w:rPr>
            <w:noProof/>
            <w:webHidden/>
          </w:rPr>
          <w:fldChar w:fldCharType="separate"/>
        </w:r>
        <w:r>
          <w:rPr>
            <w:noProof/>
            <w:webHidden/>
          </w:rPr>
          <w:t>55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31" w:history="1">
        <w:r w:rsidRPr="00572870">
          <w:rPr>
            <w:rStyle w:val="Hyperlink"/>
            <w:noProof/>
          </w:rPr>
          <w:t>Articolo 10.05 Messa a terra</w:t>
        </w:r>
        <w:r>
          <w:rPr>
            <w:noProof/>
            <w:webHidden/>
          </w:rPr>
          <w:tab/>
        </w:r>
        <w:r>
          <w:rPr>
            <w:noProof/>
            <w:webHidden/>
          </w:rPr>
          <w:fldChar w:fldCharType="begin"/>
        </w:r>
        <w:r>
          <w:rPr>
            <w:noProof/>
            <w:webHidden/>
          </w:rPr>
          <w:instrText xml:space="preserve"> PAGEREF _Toc535500031 \h </w:instrText>
        </w:r>
        <w:r>
          <w:rPr>
            <w:noProof/>
            <w:webHidden/>
          </w:rPr>
        </w:r>
        <w:r>
          <w:rPr>
            <w:noProof/>
            <w:webHidden/>
          </w:rPr>
          <w:fldChar w:fldCharType="separate"/>
        </w:r>
        <w:r>
          <w:rPr>
            <w:noProof/>
            <w:webHidden/>
          </w:rPr>
          <w:t>56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32" w:history="1">
        <w:r w:rsidRPr="00572870">
          <w:rPr>
            <w:rStyle w:val="Hyperlink"/>
            <w:noProof/>
          </w:rPr>
          <w:t>Articolo 10.06 Tensioni massime ammissibili</w:t>
        </w:r>
        <w:r>
          <w:rPr>
            <w:noProof/>
            <w:webHidden/>
          </w:rPr>
          <w:tab/>
        </w:r>
        <w:r>
          <w:rPr>
            <w:noProof/>
            <w:webHidden/>
          </w:rPr>
          <w:fldChar w:fldCharType="begin"/>
        </w:r>
        <w:r>
          <w:rPr>
            <w:noProof/>
            <w:webHidden/>
          </w:rPr>
          <w:instrText xml:space="preserve"> PAGEREF _Toc535500032 \h </w:instrText>
        </w:r>
        <w:r>
          <w:rPr>
            <w:noProof/>
            <w:webHidden/>
          </w:rPr>
        </w:r>
        <w:r>
          <w:rPr>
            <w:noProof/>
            <w:webHidden/>
          </w:rPr>
          <w:fldChar w:fldCharType="separate"/>
        </w:r>
        <w:r>
          <w:rPr>
            <w:noProof/>
            <w:webHidden/>
          </w:rPr>
          <w:t>58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33" w:history="1">
        <w:r w:rsidRPr="00572870">
          <w:rPr>
            <w:rStyle w:val="Hyperlink"/>
            <w:noProof/>
          </w:rPr>
          <w:t>Articolo 10.07 Sistemi di distribuzione</w:t>
        </w:r>
        <w:r>
          <w:rPr>
            <w:noProof/>
            <w:webHidden/>
          </w:rPr>
          <w:tab/>
        </w:r>
        <w:r>
          <w:rPr>
            <w:noProof/>
            <w:webHidden/>
          </w:rPr>
          <w:fldChar w:fldCharType="begin"/>
        </w:r>
        <w:r>
          <w:rPr>
            <w:noProof/>
            <w:webHidden/>
          </w:rPr>
          <w:instrText xml:space="preserve"> PAGEREF _Toc535500033 \h </w:instrText>
        </w:r>
        <w:r>
          <w:rPr>
            <w:noProof/>
            <w:webHidden/>
          </w:rPr>
        </w:r>
        <w:r>
          <w:rPr>
            <w:noProof/>
            <w:webHidden/>
          </w:rPr>
          <w:fldChar w:fldCharType="separate"/>
        </w:r>
        <w:r>
          <w:rPr>
            <w:noProof/>
            <w:webHidden/>
          </w:rPr>
          <w:t>59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34" w:history="1">
        <w:r w:rsidRPr="00572870">
          <w:rPr>
            <w:rStyle w:val="Hyperlink"/>
            <w:noProof/>
          </w:rPr>
          <w:t>Articolo 10.08 Collegamento alle reti su terraferma o ad altre reti esterne</w:t>
        </w:r>
        <w:r>
          <w:rPr>
            <w:noProof/>
            <w:webHidden/>
          </w:rPr>
          <w:tab/>
        </w:r>
        <w:r>
          <w:rPr>
            <w:noProof/>
            <w:webHidden/>
          </w:rPr>
          <w:fldChar w:fldCharType="begin"/>
        </w:r>
        <w:r>
          <w:rPr>
            <w:noProof/>
            <w:webHidden/>
          </w:rPr>
          <w:instrText xml:space="preserve"> PAGEREF _Toc535500034 \h </w:instrText>
        </w:r>
        <w:r>
          <w:rPr>
            <w:noProof/>
            <w:webHidden/>
          </w:rPr>
        </w:r>
        <w:r>
          <w:rPr>
            <w:noProof/>
            <w:webHidden/>
          </w:rPr>
          <w:fldChar w:fldCharType="separate"/>
        </w:r>
        <w:r>
          <w:rPr>
            <w:noProof/>
            <w:webHidden/>
          </w:rPr>
          <w:t>59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35" w:history="1">
        <w:r w:rsidRPr="00572870">
          <w:rPr>
            <w:rStyle w:val="Hyperlink"/>
            <w:noProof/>
          </w:rPr>
          <w:t>Articolo 10.09 Alimentazione ad altre imbarcazioni</w:t>
        </w:r>
        <w:r>
          <w:rPr>
            <w:noProof/>
            <w:webHidden/>
          </w:rPr>
          <w:tab/>
        </w:r>
        <w:r>
          <w:rPr>
            <w:noProof/>
            <w:webHidden/>
          </w:rPr>
          <w:fldChar w:fldCharType="begin"/>
        </w:r>
        <w:r>
          <w:rPr>
            <w:noProof/>
            <w:webHidden/>
          </w:rPr>
          <w:instrText xml:space="preserve"> PAGEREF _Toc535500035 \h </w:instrText>
        </w:r>
        <w:r>
          <w:rPr>
            <w:noProof/>
            <w:webHidden/>
          </w:rPr>
        </w:r>
        <w:r>
          <w:rPr>
            <w:noProof/>
            <w:webHidden/>
          </w:rPr>
          <w:fldChar w:fldCharType="separate"/>
        </w:r>
        <w:r>
          <w:rPr>
            <w:noProof/>
            <w:webHidden/>
          </w:rPr>
          <w:t>60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36" w:history="1">
        <w:r w:rsidRPr="00572870">
          <w:rPr>
            <w:rStyle w:val="Hyperlink"/>
            <w:noProof/>
          </w:rPr>
          <w:t>Articolo 10.10 Generatori, motori e trasformatori</w:t>
        </w:r>
        <w:r>
          <w:rPr>
            <w:noProof/>
            <w:webHidden/>
          </w:rPr>
          <w:tab/>
        </w:r>
        <w:r>
          <w:rPr>
            <w:noProof/>
            <w:webHidden/>
          </w:rPr>
          <w:fldChar w:fldCharType="begin"/>
        </w:r>
        <w:r>
          <w:rPr>
            <w:noProof/>
            <w:webHidden/>
          </w:rPr>
          <w:instrText xml:space="preserve"> PAGEREF _Toc535500036 \h </w:instrText>
        </w:r>
        <w:r>
          <w:rPr>
            <w:noProof/>
            <w:webHidden/>
          </w:rPr>
        </w:r>
        <w:r>
          <w:rPr>
            <w:noProof/>
            <w:webHidden/>
          </w:rPr>
          <w:fldChar w:fldCharType="separate"/>
        </w:r>
        <w:r>
          <w:rPr>
            <w:noProof/>
            <w:webHidden/>
          </w:rPr>
          <w:t>60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37" w:history="1">
        <w:r w:rsidRPr="00572870">
          <w:rPr>
            <w:rStyle w:val="Hyperlink"/>
            <w:noProof/>
          </w:rPr>
          <w:t>Articolo 10.11 Batterie, accumulatori e dispositivi di carica</w:t>
        </w:r>
        <w:r>
          <w:rPr>
            <w:noProof/>
            <w:webHidden/>
          </w:rPr>
          <w:tab/>
        </w:r>
        <w:r>
          <w:rPr>
            <w:noProof/>
            <w:webHidden/>
          </w:rPr>
          <w:fldChar w:fldCharType="begin"/>
        </w:r>
        <w:r>
          <w:rPr>
            <w:noProof/>
            <w:webHidden/>
          </w:rPr>
          <w:instrText xml:space="preserve"> PAGEREF _Toc535500037 \h </w:instrText>
        </w:r>
        <w:r>
          <w:rPr>
            <w:noProof/>
            <w:webHidden/>
          </w:rPr>
        </w:r>
        <w:r>
          <w:rPr>
            <w:noProof/>
            <w:webHidden/>
          </w:rPr>
          <w:fldChar w:fldCharType="separate"/>
        </w:r>
        <w:r>
          <w:rPr>
            <w:noProof/>
            <w:webHidden/>
          </w:rPr>
          <w:t>61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38" w:history="1">
        <w:r w:rsidRPr="00572870">
          <w:rPr>
            <w:rStyle w:val="Hyperlink"/>
            <w:noProof/>
          </w:rPr>
          <w:t>Articolo 10.12 Apparecchi di manovra e di comando</w:t>
        </w:r>
        <w:r>
          <w:rPr>
            <w:noProof/>
            <w:webHidden/>
          </w:rPr>
          <w:tab/>
        </w:r>
        <w:r>
          <w:rPr>
            <w:noProof/>
            <w:webHidden/>
          </w:rPr>
          <w:fldChar w:fldCharType="begin"/>
        </w:r>
        <w:r>
          <w:rPr>
            <w:noProof/>
            <w:webHidden/>
          </w:rPr>
          <w:instrText xml:space="preserve"> PAGEREF _Toc535500038 \h </w:instrText>
        </w:r>
        <w:r>
          <w:rPr>
            <w:noProof/>
            <w:webHidden/>
          </w:rPr>
        </w:r>
        <w:r>
          <w:rPr>
            <w:noProof/>
            <w:webHidden/>
          </w:rPr>
          <w:fldChar w:fldCharType="separate"/>
        </w:r>
        <w:r>
          <w:rPr>
            <w:noProof/>
            <w:webHidden/>
          </w:rPr>
          <w:t>63</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39" w:history="1">
        <w:r w:rsidRPr="00572870">
          <w:rPr>
            <w:rStyle w:val="Hyperlink"/>
            <w:noProof/>
          </w:rPr>
          <w:t>Articolo 10.13 Interruttori di emergenza</w:t>
        </w:r>
        <w:r>
          <w:rPr>
            <w:noProof/>
            <w:webHidden/>
          </w:rPr>
          <w:tab/>
        </w:r>
        <w:r>
          <w:rPr>
            <w:noProof/>
            <w:webHidden/>
          </w:rPr>
          <w:fldChar w:fldCharType="begin"/>
        </w:r>
        <w:r>
          <w:rPr>
            <w:noProof/>
            <w:webHidden/>
          </w:rPr>
          <w:instrText xml:space="preserve"> PAGEREF _Toc535500039 \h </w:instrText>
        </w:r>
        <w:r>
          <w:rPr>
            <w:noProof/>
            <w:webHidden/>
          </w:rPr>
        </w:r>
        <w:r>
          <w:rPr>
            <w:noProof/>
            <w:webHidden/>
          </w:rPr>
          <w:fldChar w:fldCharType="separate"/>
        </w:r>
        <w:r>
          <w:rPr>
            <w:noProof/>
            <w:webHidden/>
          </w:rPr>
          <w:t>64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40" w:history="1">
        <w:r w:rsidRPr="00572870">
          <w:rPr>
            <w:rStyle w:val="Hyperlink"/>
            <w:noProof/>
          </w:rPr>
          <w:t>Articolo 10.14 Accessori</w:t>
        </w:r>
        <w:r>
          <w:rPr>
            <w:noProof/>
            <w:webHidden/>
          </w:rPr>
          <w:tab/>
        </w:r>
        <w:r>
          <w:rPr>
            <w:noProof/>
            <w:webHidden/>
          </w:rPr>
          <w:fldChar w:fldCharType="begin"/>
        </w:r>
        <w:r>
          <w:rPr>
            <w:noProof/>
            <w:webHidden/>
          </w:rPr>
          <w:instrText xml:space="preserve"> PAGEREF _Toc535500040 \h </w:instrText>
        </w:r>
        <w:r>
          <w:rPr>
            <w:noProof/>
            <w:webHidden/>
          </w:rPr>
        </w:r>
        <w:r>
          <w:rPr>
            <w:noProof/>
            <w:webHidden/>
          </w:rPr>
          <w:fldChar w:fldCharType="separate"/>
        </w:r>
        <w:r>
          <w:rPr>
            <w:noProof/>
            <w:webHidden/>
          </w:rPr>
          <w:t>64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41" w:history="1">
        <w:r w:rsidRPr="00572870">
          <w:rPr>
            <w:rStyle w:val="Hyperlink"/>
            <w:noProof/>
          </w:rPr>
          <w:t>Articolo 10.15 Cavi, cavi isolati e reti di cavi</w:t>
        </w:r>
        <w:r>
          <w:rPr>
            <w:noProof/>
            <w:webHidden/>
          </w:rPr>
          <w:tab/>
        </w:r>
        <w:r>
          <w:rPr>
            <w:noProof/>
            <w:webHidden/>
          </w:rPr>
          <w:fldChar w:fldCharType="begin"/>
        </w:r>
        <w:r>
          <w:rPr>
            <w:noProof/>
            <w:webHidden/>
          </w:rPr>
          <w:instrText xml:space="preserve"> PAGEREF _Toc535500041 \h </w:instrText>
        </w:r>
        <w:r>
          <w:rPr>
            <w:noProof/>
            <w:webHidden/>
          </w:rPr>
        </w:r>
        <w:r>
          <w:rPr>
            <w:noProof/>
            <w:webHidden/>
          </w:rPr>
          <w:fldChar w:fldCharType="separate"/>
        </w:r>
        <w:r>
          <w:rPr>
            <w:noProof/>
            <w:webHidden/>
          </w:rPr>
          <w:t>65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42" w:history="1">
        <w:r w:rsidRPr="00572870">
          <w:rPr>
            <w:rStyle w:val="Hyperlink"/>
            <w:noProof/>
          </w:rPr>
          <w:t>Articolo 10.16 Illuminazione</w:t>
        </w:r>
        <w:r>
          <w:rPr>
            <w:noProof/>
            <w:webHidden/>
          </w:rPr>
          <w:tab/>
        </w:r>
        <w:r>
          <w:rPr>
            <w:noProof/>
            <w:webHidden/>
          </w:rPr>
          <w:fldChar w:fldCharType="begin"/>
        </w:r>
        <w:r>
          <w:rPr>
            <w:noProof/>
            <w:webHidden/>
          </w:rPr>
          <w:instrText xml:space="preserve"> PAGEREF _Toc535500042 \h </w:instrText>
        </w:r>
        <w:r>
          <w:rPr>
            <w:noProof/>
            <w:webHidden/>
          </w:rPr>
        </w:r>
        <w:r>
          <w:rPr>
            <w:noProof/>
            <w:webHidden/>
          </w:rPr>
          <w:fldChar w:fldCharType="separate"/>
        </w:r>
        <w:r>
          <w:rPr>
            <w:noProof/>
            <w:webHidden/>
          </w:rPr>
          <w:t>66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43" w:history="1">
        <w:r w:rsidRPr="00572870">
          <w:rPr>
            <w:rStyle w:val="Hyperlink"/>
            <w:noProof/>
          </w:rPr>
          <w:t>Articolo 10.17 Luci di navigazione</w:t>
        </w:r>
        <w:r>
          <w:rPr>
            <w:noProof/>
            <w:webHidden/>
          </w:rPr>
          <w:tab/>
        </w:r>
        <w:r>
          <w:rPr>
            <w:noProof/>
            <w:webHidden/>
          </w:rPr>
          <w:fldChar w:fldCharType="begin"/>
        </w:r>
        <w:r>
          <w:rPr>
            <w:noProof/>
            <w:webHidden/>
          </w:rPr>
          <w:instrText xml:space="preserve"> PAGEREF _Toc535500043 \h </w:instrText>
        </w:r>
        <w:r>
          <w:rPr>
            <w:noProof/>
            <w:webHidden/>
          </w:rPr>
        </w:r>
        <w:r>
          <w:rPr>
            <w:noProof/>
            <w:webHidden/>
          </w:rPr>
          <w:fldChar w:fldCharType="separate"/>
        </w:r>
        <w:r>
          <w:rPr>
            <w:noProof/>
            <w:webHidden/>
          </w:rPr>
          <w:t>66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44" w:history="1">
        <w:r w:rsidRPr="00572870">
          <w:rPr>
            <w:rStyle w:val="Hyperlink"/>
            <w:noProof/>
          </w:rPr>
          <w:t>Articolo 10.18 Elettronica di potenza</w:t>
        </w:r>
        <w:r>
          <w:rPr>
            <w:noProof/>
            <w:webHidden/>
          </w:rPr>
          <w:tab/>
        </w:r>
        <w:r>
          <w:rPr>
            <w:noProof/>
            <w:webHidden/>
          </w:rPr>
          <w:fldChar w:fldCharType="begin"/>
        </w:r>
        <w:r>
          <w:rPr>
            <w:noProof/>
            <w:webHidden/>
          </w:rPr>
          <w:instrText xml:space="preserve"> PAGEREF _Toc535500044 \h </w:instrText>
        </w:r>
        <w:r>
          <w:rPr>
            <w:noProof/>
            <w:webHidden/>
          </w:rPr>
        </w:r>
        <w:r>
          <w:rPr>
            <w:noProof/>
            <w:webHidden/>
          </w:rPr>
          <w:fldChar w:fldCharType="separate"/>
        </w:r>
        <w:r>
          <w:rPr>
            <w:noProof/>
            <w:webHidden/>
          </w:rPr>
          <w:t>67</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45" w:history="1">
        <w:r w:rsidRPr="00572870">
          <w:rPr>
            <w:rStyle w:val="Hyperlink"/>
            <w:noProof/>
          </w:rPr>
          <w:t>Articolo 10.19 Sistemi d'allarme e di sicurezza per gli impianti meccanici</w:t>
        </w:r>
        <w:r>
          <w:rPr>
            <w:noProof/>
            <w:webHidden/>
          </w:rPr>
          <w:tab/>
        </w:r>
        <w:r>
          <w:rPr>
            <w:noProof/>
            <w:webHidden/>
          </w:rPr>
          <w:fldChar w:fldCharType="begin"/>
        </w:r>
        <w:r>
          <w:rPr>
            <w:noProof/>
            <w:webHidden/>
          </w:rPr>
          <w:instrText xml:space="preserve"> PAGEREF _Toc535500045 \h </w:instrText>
        </w:r>
        <w:r>
          <w:rPr>
            <w:noProof/>
            <w:webHidden/>
          </w:rPr>
        </w:r>
        <w:r>
          <w:rPr>
            <w:noProof/>
            <w:webHidden/>
          </w:rPr>
          <w:fldChar w:fldCharType="separate"/>
        </w:r>
        <w:r>
          <w:rPr>
            <w:noProof/>
            <w:webHidden/>
          </w:rPr>
          <w:t>68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46" w:history="1">
        <w:r w:rsidRPr="00572870">
          <w:rPr>
            <w:rStyle w:val="Hyperlink"/>
            <w:noProof/>
          </w:rPr>
          <w:t>Articolo 10.20 Condizioni delle prove per gli impianti elettronici</w:t>
        </w:r>
        <w:r>
          <w:rPr>
            <w:noProof/>
            <w:webHidden/>
          </w:rPr>
          <w:tab/>
        </w:r>
        <w:r>
          <w:rPr>
            <w:noProof/>
            <w:webHidden/>
          </w:rPr>
          <w:fldChar w:fldCharType="begin"/>
        </w:r>
        <w:r>
          <w:rPr>
            <w:noProof/>
            <w:webHidden/>
          </w:rPr>
          <w:instrText xml:space="preserve"> PAGEREF _Toc535500046 \h </w:instrText>
        </w:r>
        <w:r>
          <w:rPr>
            <w:noProof/>
            <w:webHidden/>
          </w:rPr>
        </w:r>
        <w:r>
          <w:rPr>
            <w:noProof/>
            <w:webHidden/>
          </w:rPr>
          <w:fldChar w:fldCharType="separate"/>
        </w:r>
        <w:r>
          <w:rPr>
            <w:noProof/>
            <w:webHidden/>
          </w:rPr>
          <w:t>68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47" w:history="1">
        <w:r w:rsidRPr="00572870">
          <w:rPr>
            <w:rStyle w:val="Hyperlink"/>
            <w:noProof/>
          </w:rPr>
          <w:t>Articolo 10.21 Compatibilità elettromagnetica</w:t>
        </w:r>
        <w:r>
          <w:rPr>
            <w:noProof/>
            <w:webHidden/>
          </w:rPr>
          <w:tab/>
        </w:r>
        <w:r>
          <w:rPr>
            <w:noProof/>
            <w:webHidden/>
          </w:rPr>
          <w:fldChar w:fldCharType="begin"/>
        </w:r>
        <w:r>
          <w:rPr>
            <w:noProof/>
            <w:webHidden/>
          </w:rPr>
          <w:instrText xml:space="preserve"> PAGEREF _Toc535500047 \h </w:instrText>
        </w:r>
        <w:r>
          <w:rPr>
            <w:noProof/>
            <w:webHidden/>
          </w:rPr>
        </w:r>
        <w:r>
          <w:rPr>
            <w:noProof/>
            <w:webHidden/>
          </w:rPr>
          <w:fldChar w:fldCharType="separate"/>
        </w:r>
        <w:r>
          <w:rPr>
            <w:noProof/>
            <w:webHidden/>
          </w:rPr>
          <w:t>70</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048" w:history="1">
        <w:r w:rsidRPr="00572870">
          <w:rPr>
            <w:rStyle w:val="Hyperlink"/>
            <w:noProof/>
          </w:rPr>
          <w:t>Capo 11 Sistemi di propulsione principale</w:t>
        </w:r>
        <w:r>
          <w:rPr>
            <w:noProof/>
            <w:webHidden/>
          </w:rPr>
          <w:tab/>
        </w:r>
        <w:r>
          <w:rPr>
            <w:noProof/>
            <w:webHidden/>
          </w:rPr>
          <w:fldChar w:fldCharType="begin"/>
        </w:r>
        <w:r>
          <w:rPr>
            <w:noProof/>
            <w:webHidden/>
          </w:rPr>
          <w:instrText xml:space="preserve"> PAGEREF _Toc535500048 \h </w:instrText>
        </w:r>
        <w:r>
          <w:rPr>
            <w:noProof/>
            <w:webHidden/>
          </w:rPr>
        </w:r>
        <w:r>
          <w:rPr>
            <w:noProof/>
            <w:webHidden/>
          </w:rPr>
          <w:fldChar w:fldCharType="separate"/>
        </w:r>
        <w:r>
          <w:rPr>
            <w:noProof/>
            <w:webHidden/>
          </w:rPr>
          <w:t>72</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049" w:history="1">
        <w:r w:rsidRPr="00572870">
          <w:rPr>
            <w:rStyle w:val="Hyperlink"/>
            <w:noProof/>
          </w:rPr>
          <w:t>Capo 12 Impianti e sistemi elettronici</w:t>
        </w:r>
        <w:r>
          <w:rPr>
            <w:noProof/>
            <w:webHidden/>
          </w:rPr>
          <w:tab/>
        </w:r>
        <w:r>
          <w:rPr>
            <w:noProof/>
            <w:webHidden/>
          </w:rPr>
          <w:fldChar w:fldCharType="begin"/>
        </w:r>
        <w:r>
          <w:rPr>
            <w:noProof/>
            <w:webHidden/>
          </w:rPr>
          <w:instrText xml:space="preserve"> PAGEREF _Toc535500049 \h </w:instrText>
        </w:r>
        <w:r>
          <w:rPr>
            <w:noProof/>
            <w:webHidden/>
          </w:rPr>
        </w:r>
        <w:r>
          <w:rPr>
            <w:noProof/>
            <w:webHidden/>
          </w:rPr>
          <w:fldChar w:fldCharType="separate"/>
        </w:r>
        <w:r>
          <w:rPr>
            <w:noProof/>
            <w:webHidden/>
          </w:rPr>
          <w:t>74</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050" w:history="1">
        <w:r w:rsidRPr="00572870">
          <w:rPr>
            <w:rStyle w:val="Hyperlink"/>
            <w:noProof/>
          </w:rPr>
          <w:t>Capo 13 Dotazioni</w:t>
        </w:r>
        <w:r>
          <w:rPr>
            <w:noProof/>
            <w:webHidden/>
          </w:rPr>
          <w:tab/>
        </w:r>
        <w:r>
          <w:rPr>
            <w:noProof/>
            <w:webHidden/>
          </w:rPr>
          <w:fldChar w:fldCharType="begin"/>
        </w:r>
        <w:r>
          <w:rPr>
            <w:noProof/>
            <w:webHidden/>
          </w:rPr>
          <w:instrText xml:space="preserve"> PAGEREF _Toc535500050 \h </w:instrText>
        </w:r>
        <w:r>
          <w:rPr>
            <w:noProof/>
            <w:webHidden/>
          </w:rPr>
        </w:r>
        <w:r>
          <w:rPr>
            <w:noProof/>
            <w:webHidden/>
          </w:rPr>
          <w:fldChar w:fldCharType="separate"/>
        </w:r>
        <w:r>
          <w:rPr>
            <w:noProof/>
            <w:webHidden/>
          </w:rPr>
          <w:t>76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51" w:history="1">
        <w:r w:rsidRPr="00572870">
          <w:rPr>
            <w:rStyle w:val="Hyperlink"/>
            <w:noProof/>
          </w:rPr>
          <w:t>Articolo 13.01 Dispositivi di ancoraggio</w:t>
        </w:r>
        <w:r>
          <w:rPr>
            <w:noProof/>
            <w:webHidden/>
          </w:rPr>
          <w:tab/>
        </w:r>
        <w:r>
          <w:rPr>
            <w:noProof/>
            <w:webHidden/>
          </w:rPr>
          <w:fldChar w:fldCharType="begin"/>
        </w:r>
        <w:r>
          <w:rPr>
            <w:noProof/>
            <w:webHidden/>
          </w:rPr>
          <w:instrText xml:space="preserve"> PAGEREF _Toc535500051 \h </w:instrText>
        </w:r>
        <w:r>
          <w:rPr>
            <w:noProof/>
            <w:webHidden/>
          </w:rPr>
        </w:r>
        <w:r>
          <w:rPr>
            <w:noProof/>
            <w:webHidden/>
          </w:rPr>
          <w:fldChar w:fldCharType="separate"/>
        </w:r>
        <w:r>
          <w:rPr>
            <w:noProof/>
            <w:webHidden/>
          </w:rPr>
          <w:t>76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52" w:history="1">
        <w:r w:rsidRPr="00572870">
          <w:rPr>
            <w:rStyle w:val="Hyperlink"/>
            <w:noProof/>
          </w:rPr>
          <w:t>Articolo 13.02 Altre dotazioni</w:t>
        </w:r>
        <w:r>
          <w:rPr>
            <w:noProof/>
            <w:webHidden/>
          </w:rPr>
          <w:tab/>
        </w:r>
        <w:r>
          <w:rPr>
            <w:noProof/>
            <w:webHidden/>
          </w:rPr>
          <w:fldChar w:fldCharType="begin"/>
        </w:r>
        <w:r>
          <w:rPr>
            <w:noProof/>
            <w:webHidden/>
          </w:rPr>
          <w:instrText xml:space="preserve"> PAGEREF _Toc535500052 \h </w:instrText>
        </w:r>
        <w:r>
          <w:rPr>
            <w:noProof/>
            <w:webHidden/>
          </w:rPr>
        </w:r>
        <w:r>
          <w:rPr>
            <w:noProof/>
            <w:webHidden/>
          </w:rPr>
          <w:fldChar w:fldCharType="separate"/>
        </w:r>
        <w:r>
          <w:rPr>
            <w:noProof/>
            <w:webHidden/>
          </w:rPr>
          <w:t>78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53" w:history="1">
        <w:r w:rsidRPr="00572870">
          <w:rPr>
            <w:rStyle w:val="Hyperlink"/>
            <w:noProof/>
          </w:rPr>
          <w:t>Articolo 13.03 Estintori portatili</w:t>
        </w:r>
        <w:r>
          <w:rPr>
            <w:noProof/>
            <w:webHidden/>
          </w:rPr>
          <w:tab/>
        </w:r>
        <w:r>
          <w:rPr>
            <w:noProof/>
            <w:webHidden/>
          </w:rPr>
          <w:fldChar w:fldCharType="begin"/>
        </w:r>
        <w:r>
          <w:rPr>
            <w:noProof/>
            <w:webHidden/>
          </w:rPr>
          <w:instrText xml:space="preserve"> PAGEREF _Toc535500053 \h </w:instrText>
        </w:r>
        <w:r>
          <w:rPr>
            <w:noProof/>
            <w:webHidden/>
          </w:rPr>
        </w:r>
        <w:r>
          <w:rPr>
            <w:noProof/>
            <w:webHidden/>
          </w:rPr>
          <w:fldChar w:fldCharType="separate"/>
        </w:r>
        <w:r>
          <w:rPr>
            <w:noProof/>
            <w:webHidden/>
          </w:rPr>
          <w:t>80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54" w:history="1">
        <w:r w:rsidRPr="00572870">
          <w:rPr>
            <w:rStyle w:val="Hyperlink"/>
            <w:noProof/>
          </w:rPr>
          <w:t>Articolo 13.04 Sistemi antincendio fissi per la protezione degli alloggi equipaggio, delle timonerie e dei locali per i passeggeri</w:t>
        </w:r>
        <w:r>
          <w:rPr>
            <w:noProof/>
            <w:webHidden/>
          </w:rPr>
          <w:tab/>
        </w:r>
        <w:r>
          <w:rPr>
            <w:noProof/>
            <w:webHidden/>
          </w:rPr>
          <w:fldChar w:fldCharType="begin"/>
        </w:r>
        <w:r>
          <w:rPr>
            <w:noProof/>
            <w:webHidden/>
          </w:rPr>
          <w:instrText xml:space="preserve"> PAGEREF _Toc535500054 \h </w:instrText>
        </w:r>
        <w:r>
          <w:rPr>
            <w:noProof/>
            <w:webHidden/>
          </w:rPr>
        </w:r>
        <w:r>
          <w:rPr>
            <w:noProof/>
            <w:webHidden/>
          </w:rPr>
          <w:fldChar w:fldCharType="separate"/>
        </w:r>
        <w:r>
          <w:rPr>
            <w:noProof/>
            <w:webHidden/>
          </w:rPr>
          <w:t>81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55" w:history="1">
        <w:r w:rsidRPr="00572870">
          <w:rPr>
            <w:rStyle w:val="Hyperlink"/>
            <w:noProof/>
          </w:rPr>
          <w:t>Articolo 13.05 Sistemi antincendio fissi per la protezione di sale macchine, locali caldaie e locali pompe</w:t>
        </w:r>
        <w:r>
          <w:rPr>
            <w:noProof/>
            <w:webHidden/>
          </w:rPr>
          <w:tab/>
        </w:r>
        <w:r>
          <w:rPr>
            <w:noProof/>
            <w:webHidden/>
          </w:rPr>
          <w:fldChar w:fldCharType="begin"/>
        </w:r>
        <w:r>
          <w:rPr>
            <w:noProof/>
            <w:webHidden/>
          </w:rPr>
          <w:instrText xml:space="preserve"> PAGEREF _Toc535500055 \h </w:instrText>
        </w:r>
        <w:r>
          <w:rPr>
            <w:noProof/>
            <w:webHidden/>
          </w:rPr>
        </w:r>
        <w:r>
          <w:rPr>
            <w:noProof/>
            <w:webHidden/>
          </w:rPr>
          <w:fldChar w:fldCharType="separate"/>
        </w:r>
        <w:r>
          <w:rPr>
            <w:noProof/>
            <w:webHidden/>
          </w:rPr>
          <w:t>82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56" w:history="1">
        <w:r w:rsidRPr="00572870">
          <w:rPr>
            <w:rStyle w:val="Hyperlink"/>
            <w:noProof/>
          </w:rPr>
          <w:t>Articolo 13.06 Sistemi antincendio fissi per la protezione degli oggetti</w:t>
        </w:r>
        <w:r>
          <w:rPr>
            <w:noProof/>
            <w:webHidden/>
          </w:rPr>
          <w:tab/>
        </w:r>
        <w:r>
          <w:rPr>
            <w:noProof/>
            <w:webHidden/>
          </w:rPr>
          <w:fldChar w:fldCharType="begin"/>
        </w:r>
        <w:r>
          <w:rPr>
            <w:noProof/>
            <w:webHidden/>
          </w:rPr>
          <w:instrText xml:space="preserve"> PAGEREF _Toc535500056 \h </w:instrText>
        </w:r>
        <w:r>
          <w:rPr>
            <w:noProof/>
            <w:webHidden/>
          </w:rPr>
        </w:r>
        <w:r>
          <w:rPr>
            <w:noProof/>
            <w:webHidden/>
          </w:rPr>
          <w:fldChar w:fldCharType="separate"/>
        </w:r>
        <w:r>
          <w:rPr>
            <w:noProof/>
            <w:webHidden/>
          </w:rPr>
          <w:t>88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57" w:history="1">
        <w:r w:rsidRPr="00572870">
          <w:rPr>
            <w:rStyle w:val="Hyperlink"/>
            <w:noProof/>
          </w:rPr>
          <w:t>Articolo 13.07 Lance</w:t>
        </w:r>
        <w:r>
          <w:rPr>
            <w:noProof/>
            <w:webHidden/>
          </w:rPr>
          <w:tab/>
        </w:r>
        <w:r>
          <w:rPr>
            <w:noProof/>
            <w:webHidden/>
          </w:rPr>
          <w:fldChar w:fldCharType="begin"/>
        </w:r>
        <w:r>
          <w:rPr>
            <w:noProof/>
            <w:webHidden/>
          </w:rPr>
          <w:instrText xml:space="preserve"> PAGEREF _Toc535500057 \h </w:instrText>
        </w:r>
        <w:r>
          <w:rPr>
            <w:noProof/>
            <w:webHidden/>
          </w:rPr>
        </w:r>
        <w:r>
          <w:rPr>
            <w:noProof/>
            <w:webHidden/>
          </w:rPr>
          <w:fldChar w:fldCharType="separate"/>
        </w:r>
        <w:r>
          <w:rPr>
            <w:noProof/>
            <w:webHidden/>
          </w:rPr>
          <w:t>89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58" w:history="1">
        <w:r w:rsidRPr="00572870">
          <w:rPr>
            <w:rStyle w:val="Hyperlink"/>
            <w:noProof/>
          </w:rPr>
          <w:t>Articolo 13.08 Salvagenti galleggianti e giubbotti di salvataggio</w:t>
        </w:r>
        <w:r>
          <w:rPr>
            <w:noProof/>
            <w:webHidden/>
          </w:rPr>
          <w:tab/>
        </w:r>
        <w:r>
          <w:rPr>
            <w:noProof/>
            <w:webHidden/>
          </w:rPr>
          <w:fldChar w:fldCharType="begin"/>
        </w:r>
        <w:r>
          <w:rPr>
            <w:noProof/>
            <w:webHidden/>
          </w:rPr>
          <w:instrText xml:space="preserve"> PAGEREF _Toc535500058 \h </w:instrText>
        </w:r>
        <w:r>
          <w:rPr>
            <w:noProof/>
            <w:webHidden/>
          </w:rPr>
        </w:r>
        <w:r>
          <w:rPr>
            <w:noProof/>
            <w:webHidden/>
          </w:rPr>
          <w:fldChar w:fldCharType="separate"/>
        </w:r>
        <w:r>
          <w:rPr>
            <w:noProof/>
            <w:webHidden/>
          </w:rPr>
          <w:t>89</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059" w:history="1">
        <w:r w:rsidRPr="00572870">
          <w:rPr>
            <w:rStyle w:val="Hyperlink"/>
            <w:noProof/>
          </w:rPr>
          <w:t>Capo 14 Sicurezza sul posto di lavoro</w:t>
        </w:r>
        <w:r>
          <w:rPr>
            <w:noProof/>
            <w:webHidden/>
          </w:rPr>
          <w:tab/>
        </w:r>
        <w:r>
          <w:rPr>
            <w:noProof/>
            <w:webHidden/>
          </w:rPr>
          <w:fldChar w:fldCharType="begin"/>
        </w:r>
        <w:r>
          <w:rPr>
            <w:noProof/>
            <w:webHidden/>
          </w:rPr>
          <w:instrText xml:space="preserve"> PAGEREF _Toc535500059 \h </w:instrText>
        </w:r>
        <w:r>
          <w:rPr>
            <w:noProof/>
            <w:webHidden/>
          </w:rPr>
        </w:r>
        <w:r>
          <w:rPr>
            <w:noProof/>
            <w:webHidden/>
          </w:rPr>
          <w:fldChar w:fldCharType="separate"/>
        </w:r>
        <w:r>
          <w:rPr>
            <w:noProof/>
            <w:webHidden/>
          </w:rPr>
          <w:t>90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60" w:history="1">
        <w:r w:rsidRPr="00572870">
          <w:rPr>
            <w:rStyle w:val="Hyperlink"/>
            <w:noProof/>
          </w:rPr>
          <w:t>Articolo 14.01 Aspetti generali</w:t>
        </w:r>
        <w:r>
          <w:rPr>
            <w:noProof/>
            <w:webHidden/>
          </w:rPr>
          <w:tab/>
        </w:r>
        <w:r>
          <w:rPr>
            <w:noProof/>
            <w:webHidden/>
          </w:rPr>
          <w:fldChar w:fldCharType="begin"/>
        </w:r>
        <w:r>
          <w:rPr>
            <w:noProof/>
            <w:webHidden/>
          </w:rPr>
          <w:instrText xml:space="preserve"> PAGEREF _Toc535500060 \h </w:instrText>
        </w:r>
        <w:r>
          <w:rPr>
            <w:noProof/>
            <w:webHidden/>
          </w:rPr>
        </w:r>
        <w:r>
          <w:rPr>
            <w:noProof/>
            <w:webHidden/>
          </w:rPr>
          <w:fldChar w:fldCharType="separate"/>
        </w:r>
        <w:r>
          <w:rPr>
            <w:noProof/>
            <w:webHidden/>
          </w:rPr>
          <w:t>90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61" w:history="1">
        <w:r w:rsidRPr="00572870">
          <w:rPr>
            <w:rStyle w:val="Hyperlink"/>
            <w:noProof/>
          </w:rPr>
          <w:t>Articolo 14.02 Protezione contro le cadute</w:t>
        </w:r>
        <w:r>
          <w:rPr>
            <w:noProof/>
            <w:webHidden/>
          </w:rPr>
          <w:tab/>
        </w:r>
        <w:r>
          <w:rPr>
            <w:noProof/>
            <w:webHidden/>
          </w:rPr>
          <w:fldChar w:fldCharType="begin"/>
        </w:r>
        <w:r>
          <w:rPr>
            <w:noProof/>
            <w:webHidden/>
          </w:rPr>
          <w:instrText xml:space="preserve"> PAGEREF _Toc535500061 \h </w:instrText>
        </w:r>
        <w:r>
          <w:rPr>
            <w:noProof/>
            <w:webHidden/>
          </w:rPr>
        </w:r>
        <w:r>
          <w:rPr>
            <w:noProof/>
            <w:webHidden/>
          </w:rPr>
          <w:fldChar w:fldCharType="separate"/>
        </w:r>
        <w:r>
          <w:rPr>
            <w:noProof/>
            <w:webHidden/>
          </w:rPr>
          <w:t>90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62" w:history="1">
        <w:r w:rsidRPr="00572870">
          <w:rPr>
            <w:rStyle w:val="Hyperlink"/>
            <w:noProof/>
          </w:rPr>
          <w:t>Articolo 14.03 Dimensioni dei posti di lavoro</w:t>
        </w:r>
        <w:r>
          <w:rPr>
            <w:noProof/>
            <w:webHidden/>
          </w:rPr>
          <w:tab/>
        </w:r>
        <w:r>
          <w:rPr>
            <w:noProof/>
            <w:webHidden/>
          </w:rPr>
          <w:fldChar w:fldCharType="begin"/>
        </w:r>
        <w:r>
          <w:rPr>
            <w:noProof/>
            <w:webHidden/>
          </w:rPr>
          <w:instrText xml:space="preserve"> PAGEREF _Toc535500062 \h </w:instrText>
        </w:r>
        <w:r>
          <w:rPr>
            <w:noProof/>
            <w:webHidden/>
          </w:rPr>
        </w:r>
        <w:r>
          <w:rPr>
            <w:noProof/>
            <w:webHidden/>
          </w:rPr>
          <w:fldChar w:fldCharType="separate"/>
        </w:r>
        <w:r>
          <w:rPr>
            <w:noProof/>
            <w:webHidden/>
          </w:rPr>
          <w:t>91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63" w:history="1">
        <w:r w:rsidRPr="00572870">
          <w:rPr>
            <w:rStyle w:val="Hyperlink"/>
            <w:noProof/>
          </w:rPr>
          <w:t>Articolo 14.04 Ponti laterali</w:t>
        </w:r>
        <w:r>
          <w:rPr>
            <w:noProof/>
            <w:webHidden/>
          </w:rPr>
          <w:tab/>
        </w:r>
        <w:r>
          <w:rPr>
            <w:noProof/>
            <w:webHidden/>
          </w:rPr>
          <w:fldChar w:fldCharType="begin"/>
        </w:r>
        <w:r>
          <w:rPr>
            <w:noProof/>
            <w:webHidden/>
          </w:rPr>
          <w:instrText xml:space="preserve"> PAGEREF _Toc535500063 \h </w:instrText>
        </w:r>
        <w:r>
          <w:rPr>
            <w:noProof/>
            <w:webHidden/>
          </w:rPr>
        </w:r>
        <w:r>
          <w:rPr>
            <w:noProof/>
            <w:webHidden/>
          </w:rPr>
          <w:fldChar w:fldCharType="separate"/>
        </w:r>
        <w:r>
          <w:rPr>
            <w:noProof/>
            <w:webHidden/>
          </w:rPr>
          <w:t>91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64" w:history="1">
        <w:r w:rsidRPr="00572870">
          <w:rPr>
            <w:rStyle w:val="Hyperlink"/>
            <w:noProof/>
          </w:rPr>
          <w:t>Articolo 14.05 Accesso ai posti di lavoro</w:t>
        </w:r>
        <w:r>
          <w:rPr>
            <w:noProof/>
            <w:webHidden/>
          </w:rPr>
          <w:tab/>
        </w:r>
        <w:r>
          <w:rPr>
            <w:noProof/>
            <w:webHidden/>
          </w:rPr>
          <w:fldChar w:fldCharType="begin"/>
        </w:r>
        <w:r>
          <w:rPr>
            <w:noProof/>
            <w:webHidden/>
          </w:rPr>
          <w:instrText xml:space="preserve"> PAGEREF _Toc535500064 \h </w:instrText>
        </w:r>
        <w:r>
          <w:rPr>
            <w:noProof/>
            <w:webHidden/>
          </w:rPr>
        </w:r>
        <w:r>
          <w:rPr>
            <w:noProof/>
            <w:webHidden/>
          </w:rPr>
          <w:fldChar w:fldCharType="separate"/>
        </w:r>
        <w:r>
          <w:rPr>
            <w:noProof/>
            <w:webHidden/>
          </w:rPr>
          <w:t>91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65" w:history="1">
        <w:r w:rsidRPr="00572870">
          <w:rPr>
            <w:rStyle w:val="Hyperlink"/>
            <w:noProof/>
          </w:rPr>
          <w:t>Articolo 14.06 Uscite e uscite di sicurezza</w:t>
        </w:r>
        <w:r>
          <w:rPr>
            <w:noProof/>
            <w:webHidden/>
          </w:rPr>
          <w:tab/>
        </w:r>
        <w:r>
          <w:rPr>
            <w:noProof/>
            <w:webHidden/>
          </w:rPr>
          <w:fldChar w:fldCharType="begin"/>
        </w:r>
        <w:r>
          <w:rPr>
            <w:noProof/>
            <w:webHidden/>
          </w:rPr>
          <w:instrText xml:space="preserve"> PAGEREF _Toc535500065 \h </w:instrText>
        </w:r>
        <w:r>
          <w:rPr>
            <w:noProof/>
            <w:webHidden/>
          </w:rPr>
        </w:r>
        <w:r>
          <w:rPr>
            <w:noProof/>
            <w:webHidden/>
          </w:rPr>
          <w:fldChar w:fldCharType="separate"/>
        </w:r>
        <w:r>
          <w:rPr>
            <w:noProof/>
            <w:webHidden/>
          </w:rPr>
          <w:t>92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66" w:history="1">
        <w:r w:rsidRPr="00572870">
          <w:rPr>
            <w:rStyle w:val="Hyperlink"/>
            <w:noProof/>
          </w:rPr>
          <w:t>Articolo 14.07 Dispositivi di salita</w:t>
        </w:r>
        <w:r>
          <w:rPr>
            <w:noProof/>
            <w:webHidden/>
          </w:rPr>
          <w:tab/>
        </w:r>
        <w:r>
          <w:rPr>
            <w:noProof/>
            <w:webHidden/>
          </w:rPr>
          <w:fldChar w:fldCharType="begin"/>
        </w:r>
        <w:r>
          <w:rPr>
            <w:noProof/>
            <w:webHidden/>
          </w:rPr>
          <w:instrText xml:space="preserve"> PAGEREF _Toc535500066 \h </w:instrText>
        </w:r>
        <w:r>
          <w:rPr>
            <w:noProof/>
            <w:webHidden/>
          </w:rPr>
        </w:r>
        <w:r>
          <w:rPr>
            <w:noProof/>
            <w:webHidden/>
          </w:rPr>
          <w:fldChar w:fldCharType="separate"/>
        </w:r>
        <w:r>
          <w:rPr>
            <w:noProof/>
            <w:webHidden/>
          </w:rPr>
          <w:t>92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67" w:history="1">
        <w:r w:rsidRPr="00572870">
          <w:rPr>
            <w:rStyle w:val="Hyperlink"/>
            <w:noProof/>
          </w:rPr>
          <w:t>Articolo 14.08 Locali interni</w:t>
        </w:r>
        <w:r>
          <w:rPr>
            <w:noProof/>
            <w:webHidden/>
          </w:rPr>
          <w:tab/>
        </w:r>
        <w:r>
          <w:rPr>
            <w:noProof/>
            <w:webHidden/>
          </w:rPr>
          <w:fldChar w:fldCharType="begin"/>
        </w:r>
        <w:r>
          <w:rPr>
            <w:noProof/>
            <w:webHidden/>
          </w:rPr>
          <w:instrText xml:space="preserve"> PAGEREF _Toc535500067 \h </w:instrText>
        </w:r>
        <w:r>
          <w:rPr>
            <w:noProof/>
            <w:webHidden/>
          </w:rPr>
        </w:r>
        <w:r>
          <w:rPr>
            <w:noProof/>
            <w:webHidden/>
          </w:rPr>
          <w:fldChar w:fldCharType="separate"/>
        </w:r>
        <w:r>
          <w:rPr>
            <w:noProof/>
            <w:webHidden/>
          </w:rPr>
          <w:t>92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68" w:history="1">
        <w:r w:rsidRPr="00572870">
          <w:rPr>
            <w:rStyle w:val="Hyperlink"/>
            <w:noProof/>
          </w:rPr>
          <w:t>Articolo 14.09 Protezione contro il rumore e le vibrazioni</w:t>
        </w:r>
        <w:r>
          <w:rPr>
            <w:noProof/>
            <w:webHidden/>
          </w:rPr>
          <w:tab/>
        </w:r>
        <w:r>
          <w:rPr>
            <w:noProof/>
            <w:webHidden/>
          </w:rPr>
          <w:fldChar w:fldCharType="begin"/>
        </w:r>
        <w:r>
          <w:rPr>
            <w:noProof/>
            <w:webHidden/>
          </w:rPr>
          <w:instrText xml:space="preserve"> PAGEREF _Toc535500068 \h </w:instrText>
        </w:r>
        <w:r>
          <w:rPr>
            <w:noProof/>
            <w:webHidden/>
          </w:rPr>
        </w:r>
        <w:r>
          <w:rPr>
            <w:noProof/>
            <w:webHidden/>
          </w:rPr>
          <w:fldChar w:fldCharType="separate"/>
        </w:r>
        <w:r>
          <w:rPr>
            <w:noProof/>
            <w:webHidden/>
          </w:rPr>
          <w:t>93</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69" w:history="1">
        <w:r w:rsidRPr="00572870">
          <w:rPr>
            <w:rStyle w:val="Hyperlink"/>
            <w:noProof/>
          </w:rPr>
          <w:t>Articolo 14.10 Coperchi di boccaporto</w:t>
        </w:r>
        <w:r>
          <w:rPr>
            <w:noProof/>
            <w:webHidden/>
          </w:rPr>
          <w:tab/>
        </w:r>
        <w:r>
          <w:rPr>
            <w:noProof/>
            <w:webHidden/>
          </w:rPr>
          <w:fldChar w:fldCharType="begin"/>
        </w:r>
        <w:r>
          <w:rPr>
            <w:noProof/>
            <w:webHidden/>
          </w:rPr>
          <w:instrText xml:space="preserve"> PAGEREF _Toc535500069 \h </w:instrText>
        </w:r>
        <w:r>
          <w:rPr>
            <w:noProof/>
            <w:webHidden/>
          </w:rPr>
        </w:r>
        <w:r>
          <w:rPr>
            <w:noProof/>
            <w:webHidden/>
          </w:rPr>
          <w:fldChar w:fldCharType="separate"/>
        </w:r>
        <w:r>
          <w:rPr>
            <w:noProof/>
            <w:webHidden/>
          </w:rPr>
          <w:t>93</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70" w:history="1">
        <w:r w:rsidRPr="00572870">
          <w:rPr>
            <w:rStyle w:val="Hyperlink"/>
            <w:noProof/>
          </w:rPr>
          <w:t>Articolo 14.11 Verricelli</w:t>
        </w:r>
        <w:r>
          <w:rPr>
            <w:noProof/>
            <w:webHidden/>
          </w:rPr>
          <w:tab/>
        </w:r>
        <w:r>
          <w:rPr>
            <w:noProof/>
            <w:webHidden/>
          </w:rPr>
          <w:fldChar w:fldCharType="begin"/>
        </w:r>
        <w:r>
          <w:rPr>
            <w:noProof/>
            <w:webHidden/>
          </w:rPr>
          <w:instrText xml:space="preserve"> PAGEREF _Toc535500070 \h </w:instrText>
        </w:r>
        <w:r>
          <w:rPr>
            <w:noProof/>
            <w:webHidden/>
          </w:rPr>
        </w:r>
        <w:r>
          <w:rPr>
            <w:noProof/>
            <w:webHidden/>
          </w:rPr>
          <w:fldChar w:fldCharType="separate"/>
        </w:r>
        <w:r>
          <w:rPr>
            <w:noProof/>
            <w:webHidden/>
          </w:rPr>
          <w:t>94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71" w:history="1">
        <w:r w:rsidRPr="00572870">
          <w:rPr>
            <w:rStyle w:val="Hyperlink"/>
            <w:noProof/>
          </w:rPr>
          <w:t>Articolo 14.12 Gru</w:t>
        </w:r>
        <w:r>
          <w:rPr>
            <w:noProof/>
            <w:webHidden/>
          </w:rPr>
          <w:tab/>
        </w:r>
        <w:r>
          <w:rPr>
            <w:noProof/>
            <w:webHidden/>
          </w:rPr>
          <w:fldChar w:fldCharType="begin"/>
        </w:r>
        <w:r>
          <w:rPr>
            <w:noProof/>
            <w:webHidden/>
          </w:rPr>
          <w:instrText xml:space="preserve"> PAGEREF _Toc535500071 \h </w:instrText>
        </w:r>
        <w:r>
          <w:rPr>
            <w:noProof/>
            <w:webHidden/>
          </w:rPr>
        </w:r>
        <w:r>
          <w:rPr>
            <w:noProof/>
            <w:webHidden/>
          </w:rPr>
          <w:fldChar w:fldCharType="separate"/>
        </w:r>
        <w:r>
          <w:rPr>
            <w:noProof/>
            <w:webHidden/>
          </w:rPr>
          <w:t>94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72" w:history="1">
        <w:r w:rsidRPr="00572870">
          <w:rPr>
            <w:rStyle w:val="Hyperlink"/>
            <w:noProof/>
          </w:rPr>
          <w:t>Articolo 14.13 Stoccaggio di liquidi infiammabili</w:t>
        </w:r>
        <w:r>
          <w:rPr>
            <w:noProof/>
            <w:webHidden/>
          </w:rPr>
          <w:tab/>
        </w:r>
        <w:r>
          <w:rPr>
            <w:noProof/>
            <w:webHidden/>
          </w:rPr>
          <w:fldChar w:fldCharType="begin"/>
        </w:r>
        <w:r>
          <w:rPr>
            <w:noProof/>
            <w:webHidden/>
          </w:rPr>
          <w:instrText xml:space="preserve"> PAGEREF _Toc535500072 \h </w:instrText>
        </w:r>
        <w:r>
          <w:rPr>
            <w:noProof/>
            <w:webHidden/>
          </w:rPr>
        </w:r>
        <w:r>
          <w:rPr>
            <w:noProof/>
            <w:webHidden/>
          </w:rPr>
          <w:fldChar w:fldCharType="separate"/>
        </w:r>
        <w:r>
          <w:rPr>
            <w:noProof/>
            <w:webHidden/>
          </w:rPr>
          <w:t>95</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073" w:history="1">
        <w:r w:rsidRPr="00572870">
          <w:rPr>
            <w:rStyle w:val="Hyperlink"/>
            <w:noProof/>
          </w:rPr>
          <w:t>Capo 15 Alloggi</w:t>
        </w:r>
        <w:r>
          <w:rPr>
            <w:noProof/>
            <w:webHidden/>
          </w:rPr>
          <w:tab/>
        </w:r>
        <w:r>
          <w:rPr>
            <w:noProof/>
            <w:webHidden/>
          </w:rPr>
          <w:fldChar w:fldCharType="begin"/>
        </w:r>
        <w:r>
          <w:rPr>
            <w:noProof/>
            <w:webHidden/>
          </w:rPr>
          <w:instrText xml:space="preserve"> PAGEREF _Toc535500073 \h </w:instrText>
        </w:r>
        <w:r>
          <w:rPr>
            <w:noProof/>
            <w:webHidden/>
          </w:rPr>
        </w:r>
        <w:r>
          <w:rPr>
            <w:noProof/>
            <w:webHidden/>
          </w:rPr>
          <w:fldChar w:fldCharType="separate"/>
        </w:r>
        <w:r>
          <w:rPr>
            <w:noProof/>
            <w:webHidden/>
          </w:rPr>
          <w:t>96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74" w:history="1">
        <w:r w:rsidRPr="00572870">
          <w:rPr>
            <w:rStyle w:val="Hyperlink"/>
            <w:noProof/>
          </w:rPr>
          <w:t>Articolo 15.01 Aspetti generali</w:t>
        </w:r>
        <w:r>
          <w:rPr>
            <w:noProof/>
            <w:webHidden/>
          </w:rPr>
          <w:tab/>
        </w:r>
        <w:r>
          <w:rPr>
            <w:noProof/>
            <w:webHidden/>
          </w:rPr>
          <w:fldChar w:fldCharType="begin"/>
        </w:r>
        <w:r>
          <w:rPr>
            <w:noProof/>
            <w:webHidden/>
          </w:rPr>
          <w:instrText xml:space="preserve"> PAGEREF _Toc535500074 \h </w:instrText>
        </w:r>
        <w:r>
          <w:rPr>
            <w:noProof/>
            <w:webHidden/>
          </w:rPr>
        </w:r>
        <w:r>
          <w:rPr>
            <w:noProof/>
            <w:webHidden/>
          </w:rPr>
          <w:fldChar w:fldCharType="separate"/>
        </w:r>
        <w:r>
          <w:rPr>
            <w:noProof/>
            <w:webHidden/>
          </w:rPr>
          <w:t>96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75" w:history="1">
        <w:r w:rsidRPr="00572870">
          <w:rPr>
            <w:rStyle w:val="Hyperlink"/>
            <w:noProof/>
          </w:rPr>
          <w:t>Articolo 15.02 Requisiti di costruzione speciali per gli alloggi</w:t>
        </w:r>
        <w:r>
          <w:rPr>
            <w:noProof/>
            <w:webHidden/>
          </w:rPr>
          <w:tab/>
        </w:r>
        <w:r>
          <w:rPr>
            <w:noProof/>
            <w:webHidden/>
          </w:rPr>
          <w:fldChar w:fldCharType="begin"/>
        </w:r>
        <w:r>
          <w:rPr>
            <w:noProof/>
            <w:webHidden/>
          </w:rPr>
          <w:instrText xml:space="preserve"> PAGEREF _Toc535500075 \h </w:instrText>
        </w:r>
        <w:r>
          <w:rPr>
            <w:noProof/>
            <w:webHidden/>
          </w:rPr>
        </w:r>
        <w:r>
          <w:rPr>
            <w:noProof/>
            <w:webHidden/>
          </w:rPr>
          <w:fldChar w:fldCharType="separate"/>
        </w:r>
        <w:r>
          <w:rPr>
            <w:noProof/>
            <w:webHidden/>
          </w:rPr>
          <w:t>96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76" w:history="1">
        <w:r w:rsidRPr="00572870">
          <w:rPr>
            <w:rStyle w:val="Hyperlink"/>
            <w:noProof/>
          </w:rPr>
          <w:t>Articolo 15.03 Servizi igienici</w:t>
        </w:r>
        <w:r>
          <w:rPr>
            <w:noProof/>
            <w:webHidden/>
          </w:rPr>
          <w:tab/>
        </w:r>
        <w:r>
          <w:rPr>
            <w:noProof/>
            <w:webHidden/>
          </w:rPr>
          <w:fldChar w:fldCharType="begin"/>
        </w:r>
        <w:r>
          <w:rPr>
            <w:noProof/>
            <w:webHidden/>
          </w:rPr>
          <w:instrText xml:space="preserve"> PAGEREF _Toc535500076 \h </w:instrText>
        </w:r>
        <w:r>
          <w:rPr>
            <w:noProof/>
            <w:webHidden/>
          </w:rPr>
        </w:r>
        <w:r>
          <w:rPr>
            <w:noProof/>
            <w:webHidden/>
          </w:rPr>
          <w:fldChar w:fldCharType="separate"/>
        </w:r>
        <w:r>
          <w:rPr>
            <w:noProof/>
            <w:webHidden/>
          </w:rPr>
          <w:t>97</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77" w:history="1">
        <w:r w:rsidRPr="00572870">
          <w:rPr>
            <w:rStyle w:val="Hyperlink"/>
            <w:noProof/>
          </w:rPr>
          <w:t>Articolo 15.04 Cucine</w:t>
        </w:r>
        <w:r>
          <w:rPr>
            <w:noProof/>
            <w:webHidden/>
          </w:rPr>
          <w:tab/>
        </w:r>
        <w:r>
          <w:rPr>
            <w:noProof/>
            <w:webHidden/>
          </w:rPr>
          <w:fldChar w:fldCharType="begin"/>
        </w:r>
        <w:r>
          <w:rPr>
            <w:noProof/>
            <w:webHidden/>
          </w:rPr>
          <w:instrText xml:space="preserve"> PAGEREF _Toc535500077 \h </w:instrText>
        </w:r>
        <w:r>
          <w:rPr>
            <w:noProof/>
            <w:webHidden/>
          </w:rPr>
        </w:r>
        <w:r>
          <w:rPr>
            <w:noProof/>
            <w:webHidden/>
          </w:rPr>
          <w:fldChar w:fldCharType="separate"/>
        </w:r>
        <w:r>
          <w:rPr>
            <w:noProof/>
            <w:webHidden/>
          </w:rPr>
          <w:t>98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78" w:history="1">
        <w:r w:rsidRPr="00572870">
          <w:rPr>
            <w:rStyle w:val="Hyperlink"/>
            <w:noProof/>
          </w:rPr>
          <w:t>Articolo 15.05 Impianti d'acqua potabile</w:t>
        </w:r>
        <w:r>
          <w:rPr>
            <w:noProof/>
            <w:webHidden/>
          </w:rPr>
          <w:tab/>
        </w:r>
        <w:r>
          <w:rPr>
            <w:noProof/>
            <w:webHidden/>
          </w:rPr>
          <w:fldChar w:fldCharType="begin"/>
        </w:r>
        <w:r>
          <w:rPr>
            <w:noProof/>
            <w:webHidden/>
          </w:rPr>
          <w:instrText xml:space="preserve"> PAGEREF _Toc535500078 \h </w:instrText>
        </w:r>
        <w:r>
          <w:rPr>
            <w:noProof/>
            <w:webHidden/>
          </w:rPr>
        </w:r>
        <w:r>
          <w:rPr>
            <w:noProof/>
            <w:webHidden/>
          </w:rPr>
          <w:fldChar w:fldCharType="separate"/>
        </w:r>
        <w:r>
          <w:rPr>
            <w:noProof/>
            <w:webHidden/>
          </w:rPr>
          <w:t>98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79" w:history="1">
        <w:r w:rsidRPr="00572870">
          <w:rPr>
            <w:rStyle w:val="Hyperlink"/>
            <w:noProof/>
          </w:rPr>
          <w:t>Articolo 15.06 Riscaldamento e ventilazione</w:t>
        </w:r>
        <w:r>
          <w:rPr>
            <w:noProof/>
            <w:webHidden/>
          </w:rPr>
          <w:tab/>
        </w:r>
        <w:r>
          <w:rPr>
            <w:noProof/>
            <w:webHidden/>
          </w:rPr>
          <w:fldChar w:fldCharType="begin"/>
        </w:r>
        <w:r>
          <w:rPr>
            <w:noProof/>
            <w:webHidden/>
          </w:rPr>
          <w:instrText xml:space="preserve"> PAGEREF _Toc535500079 \h </w:instrText>
        </w:r>
        <w:r>
          <w:rPr>
            <w:noProof/>
            <w:webHidden/>
          </w:rPr>
        </w:r>
        <w:r>
          <w:rPr>
            <w:noProof/>
            <w:webHidden/>
          </w:rPr>
          <w:fldChar w:fldCharType="separate"/>
        </w:r>
        <w:r>
          <w:rPr>
            <w:noProof/>
            <w:webHidden/>
          </w:rPr>
          <w:t>99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80" w:history="1">
        <w:r w:rsidRPr="00572870">
          <w:rPr>
            <w:rStyle w:val="Hyperlink"/>
            <w:noProof/>
          </w:rPr>
          <w:t>Articolo 15.07 Altri impianti</w:t>
        </w:r>
        <w:r>
          <w:rPr>
            <w:noProof/>
            <w:webHidden/>
          </w:rPr>
          <w:tab/>
        </w:r>
        <w:r>
          <w:rPr>
            <w:noProof/>
            <w:webHidden/>
          </w:rPr>
          <w:fldChar w:fldCharType="begin"/>
        </w:r>
        <w:r>
          <w:rPr>
            <w:noProof/>
            <w:webHidden/>
          </w:rPr>
          <w:instrText xml:space="preserve"> PAGEREF _Toc535500080 \h </w:instrText>
        </w:r>
        <w:r>
          <w:rPr>
            <w:noProof/>
            <w:webHidden/>
          </w:rPr>
        </w:r>
        <w:r>
          <w:rPr>
            <w:noProof/>
            <w:webHidden/>
          </w:rPr>
          <w:fldChar w:fldCharType="separate"/>
        </w:r>
        <w:r>
          <w:rPr>
            <w:noProof/>
            <w:webHidden/>
          </w:rPr>
          <w:t>99</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081" w:history="1">
        <w:r w:rsidRPr="00572870">
          <w:rPr>
            <w:rStyle w:val="Hyperlink"/>
            <w:noProof/>
          </w:rPr>
          <w:t>Capo 16 Impianti per il riscaldamento, la cucina e la refrigerazione funzionanti a combustibile</w:t>
        </w:r>
        <w:r>
          <w:rPr>
            <w:noProof/>
            <w:webHidden/>
          </w:rPr>
          <w:tab/>
        </w:r>
        <w:r>
          <w:rPr>
            <w:noProof/>
            <w:webHidden/>
          </w:rPr>
          <w:fldChar w:fldCharType="begin"/>
        </w:r>
        <w:r>
          <w:rPr>
            <w:noProof/>
            <w:webHidden/>
          </w:rPr>
          <w:instrText xml:space="preserve"> PAGEREF _Toc535500081 \h </w:instrText>
        </w:r>
        <w:r>
          <w:rPr>
            <w:noProof/>
            <w:webHidden/>
          </w:rPr>
        </w:r>
        <w:r>
          <w:rPr>
            <w:noProof/>
            <w:webHidden/>
          </w:rPr>
          <w:fldChar w:fldCharType="separate"/>
        </w:r>
        <w:r>
          <w:rPr>
            <w:noProof/>
            <w:webHidden/>
          </w:rPr>
          <w:t>100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82" w:history="1">
        <w:r w:rsidRPr="00572870">
          <w:rPr>
            <w:rStyle w:val="Hyperlink"/>
            <w:noProof/>
          </w:rPr>
          <w:t>Articolo 16.01 Aspetti generali</w:t>
        </w:r>
        <w:r>
          <w:rPr>
            <w:noProof/>
            <w:webHidden/>
          </w:rPr>
          <w:tab/>
        </w:r>
        <w:r>
          <w:rPr>
            <w:noProof/>
            <w:webHidden/>
          </w:rPr>
          <w:fldChar w:fldCharType="begin"/>
        </w:r>
        <w:r>
          <w:rPr>
            <w:noProof/>
            <w:webHidden/>
          </w:rPr>
          <w:instrText xml:space="preserve"> PAGEREF _Toc535500082 \h </w:instrText>
        </w:r>
        <w:r>
          <w:rPr>
            <w:noProof/>
            <w:webHidden/>
          </w:rPr>
        </w:r>
        <w:r>
          <w:rPr>
            <w:noProof/>
            <w:webHidden/>
          </w:rPr>
          <w:fldChar w:fldCharType="separate"/>
        </w:r>
        <w:r>
          <w:rPr>
            <w:noProof/>
            <w:webHidden/>
          </w:rPr>
          <w:t>100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83" w:history="1">
        <w:r w:rsidRPr="00572870">
          <w:rPr>
            <w:rStyle w:val="Hyperlink"/>
            <w:noProof/>
          </w:rPr>
          <w:t>Articolo 16.02 Impiego di combustibili liquidi, apparecchi funzionanti a petrolio</w:t>
        </w:r>
        <w:r>
          <w:rPr>
            <w:noProof/>
            <w:webHidden/>
          </w:rPr>
          <w:tab/>
        </w:r>
        <w:r>
          <w:rPr>
            <w:noProof/>
            <w:webHidden/>
          </w:rPr>
          <w:fldChar w:fldCharType="begin"/>
        </w:r>
        <w:r>
          <w:rPr>
            <w:noProof/>
            <w:webHidden/>
          </w:rPr>
          <w:instrText xml:space="preserve"> PAGEREF _Toc535500083 \h </w:instrText>
        </w:r>
        <w:r>
          <w:rPr>
            <w:noProof/>
            <w:webHidden/>
          </w:rPr>
        </w:r>
        <w:r>
          <w:rPr>
            <w:noProof/>
            <w:webHidden/>
          </w:rPr>
          <w:fldChar w:fldCharType="separate"/>
        </w:r>
        <w:r>
          <w:rPr>
            <w:noProof/>
            <w:webHidden/>
          </w:rPr>
          <w:t>100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84" w:history="1">
        <w:r w:rsidRPr="00572870">
          <w:rPr>
            <w:rStyle w:val="Hyperlink"/>
            <w:noProof/>
          </w:rPr>
          <w:t>Articolo 16.03 Caldaie a olio combustibile con bruciatore a vaporizzazione e impianti di riscaldamento con bruciatore a nebulizzazione</w:t>
        </w:r>
        <w:r>
          <w:rPr>
            <w:noProof/>
            <w:webHidden/>
          </w:rPr>
          <w:tab/>
        </w:r>
        <w:r>
          <w:rPr>
            <w:noProof/>
            <w:webHidden/>
          </w:rPr>
          <w:fldChar w:fldCharType="begin"/>
        </w:r>
        <w:r>
          <w:rPr>
            <w:noProof/>
            <w:webHidden/>
          </w:rPr>
          <w:instrText xml:space="preserve"> PAGEREF _Toc535500084 \h </w:instrText>
        </w:r>
        <w:r>
          <w:rPr>
            <w:noProof/>
            <w:webHidden/>
          </w:rPr>
        </w:r>
        <w:r>
          <w:rPr>
            <w:noProof/>
            <w:webHidden/>
          </w:rPr>
          <w:fldChar w:fldCharType="separate"/>
        </w:r>
        <w:r>
          <w:rPr>
            <w:noProof/>
            <w:webHidden/>
          </w:rPr>
          <w:t>100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85" w:history="1">
        <w:r w:rsidRPr="00572870">
          <w:rPr>
            <w:rStyle w:val="Hyperlink"/>
            <w:noProof/>
          </w:rPr>
          <w:t>Articolo 16.04 Caldaie a olio combustibile con bruciatore a vaporizzazione</w:t>
        </w:r>
        <w:r>
          <w:rPr>
            <w:noProof/>
            <w:webHidden/>
          </w:rPr>
          <w:tab/>
        </w:r>
        <w:r>
          <w:rPr>
            <w:noProof/>
            <w:webHidden/>
          </w:rPr>
          <w:fldChar w:fldCharType="begin"/>
        </w:r>
        <w:r>
          <w:rPr>
            <w:noProof/>
            <w:webHidden/>
          </w:rPr>
          <w:instrText xml:space="preserve"> PAGEREF _Toc535500085 \h </w:instrText>
        </w:r>
        <w:r>
          <w:rPr>
            <w:noProof/>
            <w:webHidden/>
          </w:rPr>
        </w:r>
        <w:r>
          <w:rPr>
            <w:noProof/>
            <w:webHidden/>
          </w:rPr>
          <w:fldChar w:fldCharType="separate"/>
        </w:r>
        <w:r>
          <w:rPr>
            <w:noProof/>
            <w:webHidden/>
          </w:rPr>
          <w:t>101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86" w:history="1">
        <w:r w:rsidRPr="00572870">
          <w:rPr>
            <w:rStyle w:val="Hyperlink"/>
            <w:noProof/>
          </w:rPr>
          <w:t>Articolo 16.05 Impianti di riscaldamento con bruciatore a nebulizzazione</w:t>
        </w:r>
        <w:r>
          <w:rPr>
            <w:noProof/>
            <w:webHidden/>
          </w:rPr>
          <w:tab/>
        </w:r>
        <w:r>
          <w:rPr>
            <w:noProof/>
            <w:webHidden/>
          </w:rPr>
          <w:fldChar w:fldCharType="begin"/>
        </w:r>
        <w:r>
          <w:rPr>
            <w:noProof/>
            <w:webHidden/>
          </w:rPr>
          <w:instrText xml:space="preserve"> PAGEREF _Toc535500086 \h </w:instrText>
        </w:r>
        <w:r>
          <w:rPr>
            <w:noProof/>
            <w:webHidden/>
          </w:rPr>
        </w:r>
        <w:r>
          <w:rPr>
            <w:noProof/>
            <w:webHidden/>
          </w:rPr>
          <w:fldChar w:fldCharType="separate"/>
        </w:r>
        <w:r>
          <w:rPr>
            <w:noProof/>
            <w:webHidden/>
          </w:rPr>
          <w:t>101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87" w:history="1">
        <w:r w:rsidRPr="00572870">
          <w:rPr>
            <w:rStyle w:val="Hyperlink"/>
            <w:noProof/>
          </w:rPr>
          <w:t>Articolo 16.06 Impianti di riscaldamento a circolazione d'aria forzata</w:t>
        </w:r>
        <w:r>
          <w:rPr>
            <w:noProof/>
            <w:webHidden/>
          </w:rPr>
          <w:tab/>
        </w:r>
        <w:r>
          <w:rPr>
            <w:noProof/>
            <w:webHidden/>
          </w:rPr>
          <w:fldChar w:fldCharType="begin"/>
        </w:r>
        <w:r>
          <w:rPr>
            <w:noProof/>
            <w:webHidden/>
          </w:rPr>
          <w:instrText xml:space="preserve"> PAGEREF _Toc535500087 \h </w:instrText>
        </w:r>
        <w:r>
          <w:rPr>
            <w:noProof/>
            <w:webHidden/>
          </w:rPr>
        </w:r>
        <w:r>
          <w:rPr>
            <w:noProof/>
            <w:webHidden/>
          </w:rPr>
          <w:fldChar w:fldCharType="separate"/>
        </w:r>
        <w:r>
          <w:rPr>
            <w:noProof/>
            <w:webHidden/>
          </w:rPr>
          <w:t>102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88" w:history="1">
        <w:r w:rsidRPr="00572870">
          <w:rPr>
            <w:rStyle w:val="Hyperlink"/>
            <w:noProof/>
          </w:rPr>
          <w:t>Articolo 16.07 Riscaldamento a combustibile solido</w:t>
        </w:r>
        <w:r>
          <w:rPr>
            <w:noProof/>
            <w:webHidden/>
          </w:rPr>
          <w:tab/>
        </w:r>
        <w:r>
          <w:rPr>
            <w:noProof/>
            <w:webHidden/>
          </w:rPr>
          <w:fldChar w:fldCharType="begin"/>
        </w:r>
        <w:r>
          <w:rPr>
            <w:noProof/>
            <w:webHidden/>
          </w:rPr>
          <w:instrText xml:space="preserve"> PAGEREF _Toc535500088 \h </w:instrText>
        </w:r>
        <w:r>
          <w:rPr>
            <w:noProof/>
            <w:webHidden/>
          </w:rPr>
        </w:r>
        <w:r>
          <w:rPr>
            <w:noProof/>
            <w:webHidden/>
          </w:rPr>
          <w:fldChar w:fldCharType="separate"/>
        </w:r>
        <w:r>
          <w:rPr>
            <w:noProof/>
            <w:webHidden/>
          </w:rPr>
          <w:t>102</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089" w:history="1">
        <w:r w:rsidRPr="00572870">
          <w:rPr>
            <w:rStyle w:val="Hyperlink"/>
            <w:noProof/>
          </w:rPr>
          <w:t>Capo 17 Impianti a gas liquefatti per usi domestici</w:t>
        </w:r>
        <w:r>
          <w:rPr>
            <w:noProof/>
            <w:webHidden/>
          </w:rPr>
          <w:tab/>
        </w:r>
        <w:r>
          <w:rPr>
            <w:noProof/>
            <w:webHidden/>
          </w:rPr>
          <w:fldChar w:fldCharType="begin"/>
        </w:r>
        <w:r>
          <w:rPr>
            <w:noProof/>
            <w:webHidden/>
          </w:rPr>
          <w:instrText xml:space="preserve"> PAGEREF _Toc535500089 \h </w:instrText>
        </w:r>
        <w:r>
          <w:rPr>
            <w:noProof/>
            <w:webHidden/>
          </w:rPr>
        </w:r>
        <w:r>
          <w:rPr>
            <w:noProof/>
            <w:webHidden/>
          </w:rPr>
          <w:fldChar w:fldCharType="separate"/>
        </w:r>
        <w:r>
          <w:rPr>
            <w:noProof/>
            <w:webHidden/>
          </w:rPr>
          <w:t>104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90" w:history="1">
        <w:r w:rsidRPr="00572870">
          <w:rPr>
            <w:rStyle w:val="Hyperlink"/>
            <w:noProof/>
          </w:rPr>
          <w:t>Articolo 17.01 Aspetti generali</w:t>
        </w:r>
        <w:r>
          <w:rPr>
            <w:noProof/>
            <w:webHidden/>
          </w:rPr>
          <w:tab/>
        </w:r>
        <w:r>
          <w:rPr>
            <w:noProof/>
            <w:webHidden/>
          </w:rPr>
          <w:fldChar w:fldCharType="begin"/>
        </w:r>
        <w:r>
          <w:rPr>
            <w:noProof/>
            <w:webHidden/>
          </w:rPr>
          <w:instrText xml:space="preserve"> PAGEREF _Toc535500090 \h </w:instrText>
        </w:r>
        <w:r>
          <w:rPr>
            <w:noProof/>
            <w:webHidden/>
          </w:rPr>
        </w:r>
        <w:r>
          <w:rPr>
            <w:noProof/>
            <w:webHidden/>
          </w:rPr>
          <w:fldChar w:fldCharType="separate"/>
        </w:r>
        <w:r>
          <w:rPr>
            <w:noProof/>
            <w:webHidden/>
          </w:rPr>
          <w:t>104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91" w:history="1">
        <w:r w:rsidRPr="00572870">
          <w:rPr>
            <w:rStyle w:val="Hyperlink"/>
            <w:noProof/>
          </w:rPr>
          <w:t>Articolo 17.02 Impianti</w:t>
        </w:r>
        <w:r>
          <w:rPr>
            <w:noProof/>
            <w:webHidden/>
          </w:rPr>
          <w:tab/>
        </w:r>
        <w:r>
          <w:rPr>
            <w:noProof/>
            <w:webHidden/>
          </w:rPr>
          <w:fldChar w:fldCharType="begin"/>
        </w:r>
        <w:r>
          <w:rPr>
            <w:noProof/>
            <w:webHidden/>
          </w:rPr>
          <w:instrText xml:space="preserve"> PAGEREF _Toc535500091 \h </w:instrText>
        </w:r>
        <w:r>
          <w:rPr>
            <w:noProof/>
            <w:webHidden/>
          </w:rPr>
        </w:r>
        <w:r>
          <w:rPr>
            <w:noProof/>
            <w:webHidden/>
          </w:rPr>
          <w:fldChar w:fldCharType="separate"/>
        </w:r>
        <w:r>
          <w:rPr>
            <w:noProof/>
            <w:webHidden/>
          </w:rPr>
          <w:t>104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92" w:history="1">
        <w:r w:rsidRPr="00572870">
          <w:rPr>
            <w:rStyle w:val="Hyperlink"/>
            <w:noProof/>
          </w:rPr>
          <w:t>Articolo 17.03 Recipienti</w:t>
        </w:r>
        <w:r>
          <w:rPr>
            <w:noProof/>
            <w:webHidden/>
          </w:rPr>
          <w:tab/>
        </w:r>
        <w:r>
          <w:rPr>
            <w:noProof/>
            <w:webHidden/>
          </w:rPr>
          <w:fldChar w:fldCharType="begin"/>
        </w:r>
        <w:r>
          <w:rPr>
            <w:noProof/>
            <w:webHidden/>
          </w:rPr>
          <w:instrText xml:space="preserve"> PAGEREF _Toc535500092 \h </w:instrText>
        </w:r>
        <w:r>
          <w:rPr>
            <w:noProof/>
            <w:webHidden/>
          </w:rPr>
        </w:r>
        <w:r>
          <w:rPr>
            <w:noProof/>
            <w:webHidden/>
          </w:rPr>
          <w:fldChar w:fldCharType="separate"/>
        </w:r>
        <w:r>
          <w:rPr>
            <w:noProof/>
            <w:webHidden/>
          </w:rPr>
          <w:t>104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93" w:history="1">
        <w:r w:rsidRPr="00572870">
          <w:rPr>
            <w:rStyle w:val="Hyperlink"/>
            <w:noProof/>
          </w:rPr>
          <w:t>Articolo 17.04 Posizione e sistemazione dei posti di distribuzione</w:t>
        </w:r>
        <w:r>
          <w:rPr>
            <w:noProof/>
            <w:webHidden/>
          </w:rPr>
          <w:tab/>
        </w:r>
        <w:r>
          <w:rPr>
            <w:noProof/>
            <w:webHidden/>
          </w:rPr>
          <w:fldChar w:fldCharType="begin"/>
        </w:r>
        <w:r>
          <w:rPr>
            <w:noProof/>
            <w:webHidden/>
          </w:rPr>
          <w:instrText xml:space="preserve"> PAGEREF _Toc535500093 \h </w:instrText>
        </w:r>
        <w:r>
          <w:rPr>
            <w:noProof/>
            <w:webHidden/>
          </w:rPr>
        </w:r>
        <w:r>
          <w:rPr>
            <w:noProof/>
            <w:webHidden/>
          </w:rPr>
          <w:fldChar w:fldCharType="separate"/>
        </w:r>
        <w:r>
          <w:rPr>
            <w:noProof/>
            <w:webHidden/>
          </w:rPr>
          <w:t>104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94" w:history="1">
        <w:r w:rsidRPr="00572870">
          <w:rPr>
            <w:rStyle w:val="Hyperlink"/>
            <w:noProof/>
          </w:rPr>
          <w:t>Articolo 17.05 Recipienti di ricambio e recipienti vuoti</w:t>
        </w:r>
        <w:r>
          <w:rPr>
            <w:noProof/>
            <w:webHidden/>
          </w:rPr>
          <w:tab/>
        </w:r>
        <w:r>
          <w:rPr>
            <w:noProof/>
            <w:webHidden/>
          </w:rPr>
          <w:fldChar w:fldCharType="begin"/>
        </w:r>
        <w:r>
          <w:rPr>
            <w:noProof/>
            <w:webHidden/>
          </w:rPr>
          <w:instrText xml:space="preserve"> PAGEREF _Toc535500094 \h </w:instrText>
        </w:r>
        <w:r>
          <w:rPr>
            <w:noProof/>
            <w:webHidden/>
          </w:rPr>
        </w:r>
        <w:r>
          <w:rPr>
            <w:noProof/>
            <w:webHidden/>
          </w:rPr>
          <w:fldChar w:fldCharType="separate"/>
        </w:r>
        <w:r>
          <w:rPr>
            <w:noProof/>
            <w:webHidden/>
          </w:rPr>
          <w:t>105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95" w:history="1">
        <w:r w:rsidRPr="00572870">
          <w:rPr>
            <w:rStyle w:val="Hyperlink"/>
            <w:noProof/>
          </w:rPr>
          <w:t>Articolo 17.06 Regolatori di pressione</w:t>
        </w:r>
        <w:r>
          <w:rPr>
            <w:noProof/>
            <w:webHidden/>
          </w:rPr>
          <w:tab/>
        </w:r>
        <w:r>
          <w:rPr>
            <w:noProof/>
            <w:webHidden/>
          </w:rPr>
          <w:fldChar w:fldCharType="begin"/>
        </w:r>
        <w:r>
          <w:rPr>
            <w:noProof/>
            <w:webHidden/>
          </w:rPr>
          <w:instrText xml:space="preserve"> PAGEREF _Toc535500095 \h </w:instrText>
        </w:r>
        <w:r>
          <w:rPr>
            <w:noProof/>
            <w:webHidden/>
          </w:rPr>
        </w:r>
        <w:r>
          <w:rPr>
            <w:noProof/>
            <w:webHidden/>
          </w:rPr>
          <w:fldChar w:fldCharType="separate"/>
        </w:r>
        <w:r>
          <w:rPr>
            <w:noProof/>
            <w:webHidden/>
          </w:rPr>
          <w:t>105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96" w:history="1">
        <w:r w:rsidRPr="00572870">
          <w:rPr>
            <w:rStyle w:val="Hyperlink"/>
            <w:noProof/>
          </w:rPr>
          <w:t>Articolo 17.07 Pressione</w:t>
        </w:r>
        <w:r>
          <w:rPr>
            <w:noProof/>
            <w:webHidden/>
          </w:rPr>
          <w:tab/>
        </w:r>
        <w:r>
          <w:rPr>
            <w:noProof/>
            <w:webHidden/>
          </w:rPr>
          <w:fldChar w:fldCharType="begin"/>
        </w:r>
        <w:r>
          <w:rPr>
            <w:noProof/>
            <w:webHidden/>
          </w:rPr>
          <w:instrText xml:space="preserve"> PAGEREF _Toc535500096 \h </w:instrText>
        </w:r>
        <w:r>
          <w:rPr>
            <w:noProof/>
            <w:webHidden/>
          </w:rPr>
        </w:r>
        <w:r>
          <w:rPr>
            <w:noProof/>
            <w:webHidden/>
          </w:rPr>
          <w:fldChar w:fldCharType="separate"/>
        </w:r>
        <w:r>
          <w:rPr>
            <w:noProof/>
            <w:webHidden/>
          </w:rPr>
          <w:t>106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97" w:history="1">
        <w:r w:rsidRPr="00572870">
          <w:rPr>
            <w:rStyle w:val="Hyperlink"/>
            <w:noProof/>
          </w:rPr>
          <w:t>Articolo 17.08 Condutture e tubi flessibili</w:t>
        </w:r>
        <w:r>
          <w:rPr>
            <w:noProof/>
            <w:webHidden/>
          </w:rPr>
          <w:tab/>
        </w:r>
        <w:r>
          <w:rPr>
            <w:noProof/>
            <w:webHidden/>
          </w:rPr>
          <w:fldChar w:fldCharType="begin"/>
        </w:r>
        <w:r>
          <w:rPr>
            <w:noProof/>
            <w:webHidden/>
          </w:rPr>
          <w:instrText xml:space="preserve"> PAGEREF _Toc535500097 \h </w:instrText>
        </w:r>
        <w:r>
          <w:rPr>
            <w:noProof/>
            <w:webHidden/>
          </w:rPr>
        </w:r>
        <w:r>
          <w:rPr>
            <w:noProof/>
            <w:webHidden/>
          </w:rPr>
          <w:fldChar w:fldCharType="separate"/>
        </w:r>
        <w:r>
          <w:rPr>
            <w:noProof/>
            <w:webHidden/>
          </w:rPr>
          <w:t>106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98" w:history="1">
        <w:r w:rsidRPr="00572870">
          <w:rPr>
            <w:rStyle w:val="Hyperlink"/>
            <w:noProof/>
          </w:rPr>
          <w:t>Articolo 17.09 Rete di distribuzione</w:t>
        </w:r>
        <w:r>
          <w:rPr>
            <w:noProof/>
            <w:webHidden/>
          </w:rPr>
          <w:tab/>
        </w:r>
        <w:r>
          <w:rPr>
            <w:noProof/>
            <w:webHidden/>
          </w:rPr>
          <w:fldChar w:fldCharType="begin"/>
        </w:r>
        <w:r>
          <w:rPr>
            <w:noProof/>
            <w:webHidden/>
          </w:rPr>
          <w:instrText xml:space="preserve"> PAGEREF _Toc535500098 \h </w:instrText>
        </w:r>
        <w:r>
          <w:rPr>
            <w:noProof/>
            <w:webHidden/>
          </w:rPr>
        </w:r>
        <w:r>
          <w:rPr>
            <w:noProof/>
            <w:webHidden/>
          </w:rPr>
          <w:fldChar w:fldCharType="separate"/>
        </w:r>
        <w:r>
          <w:rPr>
            <w:noProof/>
            <w:webHidden/>
          </w:rPr>
          <w:t>106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099" w:history="1">
        <w:r w:rsidRPr="00572870">
          <w:rPr>
            <w:rStyle w:val="Hyperlink"/>
            <w:noProof/>
          </w:rPr>
          <w:t>Articolo 17.10 Apparecchi utilizzatori e loro installazione</w:t>
        </w:r>
        <w:r>
          <w:rPr>
            <w:noProof/>
            <w:webHidden/>
          </w:rPr>
          <w:tab/>
        </w:r>
        <w:r>
          <w:rPr>
            <w:noProof/>
            <w:webHidden/>
          </w:rPr>
          <w:fldChar w:fldCharType="begin"/>
        </w:r>
        <w:r>
          <w:rPr>
            <w:noProof/>
            <w:webHidden/>
          </w:rPr>
          <w:instrText xml:space="preserve"> PAGEREF _Toc535500099 \h </w:instrText>
        </w:r>
        <w:r>
          <w:rPr>
            <w:noProof/>
            <w:webHidden/>
          </w:rPr>
        </w:r>
        <w:r>
          <w:rPr>
            <w:noProof/>
            <w:webHidden/>
          </w:rPr>
          <w:fldChar w:fldCharType="separate"/>
        </w:r>
        <w:r>
          <w:rPr>
            <w:noProof/>
            <w:webHidden/>
          </w:rPr>
          <w:t>107</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00" w:history="1">
        <w:r w:rsidRPr="00572870">
          <w:rPr>
            <w:rStyle w:val="Hyperlink"/>
            <w:noProof/>
          </w:rPr>
          <w:t>Articolo 17.11 Ventilazione e scarico dei gas di combustione</w:t>
        </w:r>
        <w:r>
          <w:rPr>
            <w:noProof/>
            <w:webHidden/>
          </w:rPr>
          <w:tab/>
        </w:r>
        <w:r>
          <w:rPr>
            <w:noProof/>
            <w:webHidden/>
          </w:rPr>
          <w:fldChar w:fldCharType="begin"/>
        </w:r>
        <w:r>
          <w:rPr>
            <w:noProof/>
            <w:webHidden/>
          </w:rPr>
          <w:instrText xml:space="preserve"> PAGEREF _Toc535500100 \h </w:instrText>
        </w:r>
        <w:r>
          <w:rPr>
            <w:noProof/>
            <w:webHidden/>
          </w:rPr>
        </w:r>
        <w:r>
          <w:rPr>
            <w:noProof/>
            <w:webHidden/>
          </w:rPr>
          <w:fldChar w:fldCharType="separate"/>
        </w:r>
        <w:r>
          <w:rPr>
            <w:noProof/>
            <w:webHidden/>
          </w:rPr>
          <w:t>107</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01" w:history="1">
        <w:r w:rsidRPr="00572870">
          <w:rPr>
            <w:rStyle w:val="Hyperlink"/>
            <w:noProof/>
          </w:rPr>
          <w:t>Articolo 17.12 Istruzioni per l’uso</w:t>
        </w:r>
        <w:r>
          <w:rPr>
            <w:noProof/>
            <w:webHidden/>
          </w:rPr>
          <w:tab/>
        </w:r>
        <w:r>
          <w:rPr>
            <w:noProof/>
            <w:webHidden/>
          </w:rPr>
          <w:fldChar w:fldCharType="begin"/>
        </w:r>
        <w:r>
          <w:rPr>
            <w:noProof/>
            <w:webHidden/>
          </w:rPr>
          <w:instrText xml:space="preserve"> PAGEREF _Toc535500101 \h </w:instrText>
        </w:r>
        <w:r>
          <w:rPr>
            <w:noProof/>
            <w:webHidden/>
          </w:rPr>
        </w:r>
        <w:r>
          <w:rPr>
            <w:noProof/>
            <w:webHidden/>
          </w:rPr>
          <w:fldChar w:fldCharType="separate"/>
        </w:r>
        <w:r>
          <w:rPr>
            <w:noProof/>
            <w:webHidden/>
          </w:rPr>
          <w:t>108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02" w:history="1">
        <w:r w:rsidRPr="00572870">
          <w:rPr>
            <w:rStyle w:val="Hyperlink"/>
            <w:noProof/>
          </w:rPr>
          <w:t>Articolo 17.13 Collaudo</w:t>
        </w:r>
        <w:r>
          <w:rPr>
            <w:noProof/>
            <w:webHidden/>
          </w:rPr>
          <w:tab/>
        </w:r>
        <w:r>
          <w:rPr>
            <w:noProof/>
            <w:webHidden/>
          </w:rPr>
          <w:fldChar w:fldCharType="begin"/>
        </w:r>
        <w:r>
          <w:rPr>
            <w:noProof/>
            <w:webHidden/>
          </w:rPr>
          <w:instrText xml:space="preserve"> PAGEREF _Toc535500102 \h </w:instrText>
        </w:r>
        <w:r>
          <w:rPr>
            <w:noProof/>
            <w:webHidden/>
          </w:rPr>
        </w:r>
        <w:r>
          <w:rPr>
            <w:noProof/>
            <w:webHidden/>
          </w:rPr>
          <w:fldChar w:fldCharType="separate"/>
        </w:r>
        <w:r>
          <w:rPr>
            <w:noProof/>
            <w:webHidden/>
          </w:rPr>
          <w:t>108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03" w:history="1">
        <w:r w:rsidRPr="00572870">
          <w:rPr>
            <w:rStyle w:val="Hyperlink"/>
            <w:noProof/>
          </w:rPr>
          <w:t>Articolo 17.14 Condizioni delle prove</w:t>
        </w:r>
        <w:r>
          <w:rPr>
            <w:noProof/>
            <w:webHidden/>
          </w:rPr>
          <w:tab/>
        </w:r>
        <w:r>
          <w:rPr>
            <w:noProof/>
            <w:webHidden/>
          </w:rPr>
          <w:fldChar w:fldCharType="begin"/>
        </w:r>
        <w:r>
          <w:rPr>
            <w:noProof/>
            <w:webHidden/>
          </w:rPr>
          <w:instrText xml:space="preserve"> PAGEREF _Toc535500103 \h </w:instrText>
        </w:r>
        <w:r>
          <w:rPr>
            <w:noProof/>
            <w:webHidden/>
          </w:rPr>
        </w:r>
        <w:r>
          <w:rPr>
            <w:noProof/>
            <w:webHidden/>
          </w:rPr>
          <w:fldChar w:fldCharType="separate"/>
        </w:r>
        <w:r>
          <w:rPr>
            <w:noProof/>
            <w:webHidden/>
          </w:rPr>
          <w:t>108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04" w:history="1">
        <w:r w:rsidRPr="00572870">
          <w:rPr>
            <w:rStyle w:val="Hyperlink"/>
            <w:noProof/>
          </w:rPr>
          <w:t>Articolo 17.15 Attestato</w:t>
        </w:r>
        <w:r>
          <w:rPr>
            <w:noProof/>
            <w:webHidden/>
          </w:rPr>
          <w:tab/>
        </w:r>
        <w:r>
          <w:rPr>
            <w:noProof/>
            <w:webHidden/>
          </w:rPr>
          <w:fldChar w:fldCharType="begin"/>
        </w:r>
        <w:r>
          <w:rPr>
            <w:noProof/>
            <w:webHidden/>
          </w:rPr>
          <w:instrText xml:space="preserve"> PAGEREF _Toc535500104 \h </w:instrText>
        </w:r>
        <w:r>
          <w:rPr>
            <w:noProof/>
            <w:webHidden/>
          </w:rPr>
        </w:r>
        <w:r>
          <w:rPr>
            <w:noProof/>
            <w:webHidden/>
          </w:rPr>
          <w:fldChar w:fldCharType="separate"/>
        </w:r>
        <w:r>
          <w:rPr>
            <w:noProof/>
            <w:webHidden/>
          </w:rPr>
          <w:t>109</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105" w:history="1">
        <w:r w:rsidRPr="00572870">
          <w:rPr>
            <w:rStyle w:val="Hyperlink"/>
            <w:noProof/>
          </w:rPr>
          <w:t>Capo 18 Impianti di depurazione di bordo</w:t>
        </w:r>
        <w:r>
          <w:rPr>
            <w:noProof/>
            <w:webHidden/>
          </w:rPr>
          <w:tab/>
        </w:r>
        <w:r>
          <w:rPr>
            <w:noProof/>
            <w:webHidden/>
          </w:rPr>
          <w:fldChar w:fldCharType="begin"/>
        </w:r>
        <w:r>
          <w:rPr>
            <w:noProof/>
            <w:webHidden/>
          </w:rPr>
          <w:instrText xml:space="preserve"> PAGEREF _Toc535500105 \h </w:instrText>
        </w:r>
        <w:r>
          <w:rPr>
            <w:noProof/>
            <w:webHidden/>
          </w:rPr>
        </w:r>
        <w:r>
          <w:rPr>
            <w:noProof/>
            <w:webHidden/>
          </w:rPr>
          <w:fldChar w:fldCharType="separate"/>
        </w:r>
        <w:r>
          <w:rPr>
            <w:noProof/>
            <w:webHidden/>
          </w:rPr>
          <w:t>110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06" w:history="1">
        <w:r w:rsidRPr="00572870">
          <w:rPr>
            <w:rStyle w:val="Hyperlink"/>
            <w:noProof/>
          </w:rPr>
          <w:t>Articolo 18.00 Definizioni</w:t>
        </w:r>
        <w:r>
          <w:rPr>
            <w:noProof/>
            <w:webHidden/>
          </w:rPr>
          <w:tab/>
        </w:r>
        <w:r>
          <w:rPr>
            <w:noProof/>
            <w:webHidden/>
          </w:rPr>
          <w:fldChar w:fldCharType="begin"/>
        </w:r>
        <w:r>
          <w:rPr>
            <w:noProof/>
            <w:webHidden/>
          </w:rPr>
          <w:instrText xml:space="preserve"> PAGEREF _Toc535500106 \h </w:instrText>
        </w:r>
        <w:r>
          <w:rPr>
            <w:noProof/>
            <w:webHidden/>
          </w:rPr>
        </w:r>
        <w:r>
          <w:rPr>
            <w:noProof/>
            <w:webHidden/>
          </w:rPr>
          <w:fldChar w:fldCharType="separate"/>
        </w:r>
        <w:r>
          <w:rPr>
            <w:noProof/>
            <w:webHidden/>
          </w:rPr>
          <w:t>110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07" w:history="1">
        <w:r w:rsidRPr="00572870">
          <w:rPr>
            <w:rStyle w:val="Hyperlink"/>
            <w:noProof/>
          </w:rPr>
          <w:t>Articolo 18.01 Disposizioni generali</w:t>
        </w:r>
        <w:r>
          <w:rPr>
            <w:noProof/>
            <w:webHidden/>
          </w:rPr>
          <w:tab/>
        </w:r>
        <w:r>
          <w:rPr>
            <w:noProof/>
            <w:webHidden/>
          </w:rPr>
          <w:fldChar w:fldCharType="begin"/>
        </w:r>
        <w:r>
          <w:rPr>
            <w:noProof/>
            <w:webHidden/>
          </w:rPr>
          <w:instrText xml:space="preserve"> PAGEREF _Toc535500107 \h </w:instrText>
        </w:r>
        <w:r>
          <w:rPr>
            <w:noProof/>
            <w:webHidden/>
          </w:rPr>
        </w:r>
        <w:r>
          <w:rPr>
            <w:noProof/>
            <w:webHidden/>
          </w:rPr>
          <w:fldChar w:fldCharType="separate"/>
        </w:r>
        <w:r>
          <w:rPr>
            <w:noProof/>
            <w:webHidden/>
          </w:rPr>
          <w:t>111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08" w:history="1">
        <w:r w:rsidRPr="00572870">
          <w:rPr>
            <w:rStyle w:val="Hyperlink"/>
            <w:noProof/>
          </w:rPr>
          <w:t>Articolo 18.02 Domanda di omologazione</w:t>
        </w:r>
        <w:r>
          <w:rPr>
            <w:noProof/>
            <w:webHidden/>
          </w:rPr>
          <w:tab/>
        </w:r>
        <w:r>
          <w:rPr>
            <w:noProof/>
            <w:webHidden/>
          </w:rPr>
          <w:fldChar w:fldCharType="begin"/>
        </w:r>
        <w:r>
          <w:rPr>
            <w:noProof/>
            <w:webHidden/>
          </w:rPr>
          <w:instrText xml:space="preserve"> PAGEREF _Toc535500108 \h </w:instrText>
        </w:r>
        <w:r>
          <w:rPr>
            <w:noProof/>
            <w:webHidden/>
          </w:rPr>
        </w:r>
        <w:r>
          <w:rPr>
            <w:noProof/>
            <w:webHidden/>
          </w:rPr>
          <w:fldChar w:fldCharType="separate"/>
        </w:r>
        <w:r>
          <w:rPr>
            <w:noProof/>
            <w:webHidden/>
          </w:rPr>
          <w:t>113</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09" w:history="1">
        <w:r w:rsidRPr="00572870">
          <w:rPr>
            <w:rStyle w:val="Hyperlink"/>
            <w:noProof/>
          </w:rPr>
          <w:t>Articolo 18.03 Procedura di omologazione</w:t>
        </w:r>
        <w:r>
          <w:rPr>
            <w:noProof/>
            <w:webHidden/>
          </w:rPr>
          <w:tab/>
        </w:r>
        <w:r>
          <w:rPr>
            <w:noProof/>
            <w:webHidden/>
          </w:rPr>
          <w:fldChar w:fldCharType="begin"/>
        </w:r>
        <w:r>
          <w:rPr>
            <w:noProof/>
            <w:webHidden/>
          </w:rPr>
          <w:instrText xml:space="preserve"> PAGEREF _Toc535500109 \h </w:instrText>
        </w:r>
        <w:r>
          <w:rPr>
            <w:noProof/>
            <w:webHidden/>
          </w:rPr>
        </w:r>
        <w:r>
          <w:rPr>
            <w:noProof/>
            <w:webHidden/>
          </w:rPr>
          <w:fldChar w:fldCharType="separate"/>
        </w:r>
        <w:r>
          <w:rPr>
            <w:noProof/>
            <w:webHidden/>
          </w:rPr>
          <w:t>113</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10" w:history="1">
        <w:r w:rsidRPr="00572870">
          <w:rPr>
            <w:rStyle w:val="Hyperlink"/>
            <w:noProof/>
          </w:rPr>
          <w:t>Articolo 18.04 Modifica delle omologazioni</w:t>
        </w:r>
        <w:r>
          <w:rPr>
            <w:noProof/>
            <w:webHidden/>
          </w:rPr>
          <w:tab/>
        </w:r>
        <w:r>
          <w:rPr>
            <w:noProof/>
            <w:webHidden/>
          </w:rPr>
          <w:fldChar w:fldCharType="begin"/>
        </w:r>
        <w:r>
          <w:rPr>
            <w:noProof/>
            <w:webHidden/>
          </w:rPr>
          <w:instrText xml:space="preserve"> PAGEREF _Toc535500110 \h </w:instrText>
        </w:r>
        <w:r>
          <w:rPr>
            <w:noProof/>
            <w:webHidden/>
          </w:rPr>
        </w:r>
        <w:r>
          <w:rPr>
            <w:noProof/>
            <w:webHidden/>
          </w:rPr>
          <w:fldChar w:fldCharType="separate"/>
        </w:r>
        <w:r>
          <w:rPr>
            <w:noProof/>
            <w:webHidden/>
          </w:rPr>
          <w:t>114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11" w:history="1">
        <w:r w:rsidRPr="00572870">
          <w:rPr>
            <w:rStyle w:val="Hyperlink"/>
            <w:noProof/>
          </w:rPr>
          <w:t>Articolo 18.05 Conformità dell'omologazione</w:t>
        </w:r>
        <w:r>
          <w:rPr>
            <w:noProof/>
            <w:webHidden/>
          </w:rPr>
          <w:tab/>
        </w:r>
        <w:r>
          <w:rPr>
            <w:noProof/>
            <w:webHidden/>
          </w:rPr>
          <w:fldChar w:fldCharType="begin"/>
        </w:r>
        <w:r>
          <w:rPr>
            <w:noProof/>
            <w:webHidden/>
          </w:rPr>
          <w:instrText xml:space="preserve"> PAGEREF _Toc535500111 \h </w:instrText>
        </w:r>
        <w:r>
          <w:rPr>
            <w:noProof/>
            <w:webHidden/>
          </w:rPr>
        </w:r>
        <w:r>
          <w:rPr>
            <w:noProof/>
            <w:webHidden/>
          </w:rPr>
          <w:fldChar w:fldCharType="separate"/>
        </w:r>
        <w:r>
          <w:rPr>
            <w:noProof/>
            <w:webHidden/>
          </w:rPr>
          <w:t>115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12" w:history="1">
        <w:r w:rsidRPr="00572870">
          <w:rPr>
            <w:rStyle w:val="Hyperlink"/>
            <w:noProof/>
          </w:rPr>
          <w:t>Articolo 18.06 Verifica dei numeri di serie</w:t>
        </w:r>
        <w:r>
          <w:rPr>
            <w:noProof/>
            <w:webHidden/>
          </w:rPr>
          <w:tab/>
        </w:r>
        <w:r>
          <w:rPr>
            <w:noProof/>
            <w:webHidden/>
          </w:rPr>
          <w:fldChar w:fldCharType="begin"/>
        </w:r>
        <w:r>
          <w:rPr>
            <w:noProof/>
            <w:webHidden/>
          </w:rPr>
          <w:instrText xml:space="preserve"> PAGEREF _Toc535500112 \h </w:instrText>
        </w:r>
        <w:r>
          <w:rPr>
            <w:noProof/>
            <w:webHidden/>
          </w:rPr>
        </w:r>
        <w:r>
          <w:rPr>
            <w:noProof/>
            <w:webHidden/>
          </w:rPr>
          <w:fldChar w:fldCharType="separate"/>
        </w:r>
        <w:r>
          <w:rPr>
            <w:noProof/>
            <w:webHidden/>
          </w:rPr>
          <w:t>115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13" w:history="1">
        <w:r w:rsidRPr="00572870">
          <w:rPr>
            <w:rStyle w:val="Hyperlink"/>
            <w:noProof/>
          </w:rPr>
          <w:t>Articolo 18.07 Conformità della produzione</w:t>
        </w:r>
        <w:r>
          <w:rPr>
            <w:noProof/>
            <w:webHidden/>
          </w:rPr>
          <w:tab/>
        </w:r>
        <w:r>
          <w:rPr>
            <w:noProof/>
            <w:webHidden/>
          </w:rPr>
          <w:fldChar w:fldCharType="begin"/>
        </w:r>
        <w:r>
          <w:rPr>
            <w:noProof/>
            <w:webHidden/>
          </w:rPr>
          <w:instrText xml:space="preserve"> PAGEREF _Toc535500113 \h </w:instrText>
        </w:r>
        <w:r>
          <w:rPr>
            <w:noProof/>
            <w:webHidden/>
          </w:rPr>
        </w:r>
        <w:r>
          <w:rPr>
            <w:noProof/>
            <w:webHidden/>
          </w:rPr>
          <w:fldChar w:fldCharType="separate"/>
        </w:r>
        <w:r>
          <w:rPr>
            <w:noProof/>
            <w:webHidden/>
          </w:rPr>
          <w:t>116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14" w:history="1">
        <w:r w:rsidRPr="00572870">
          <w:rPr>
            <w:rStyle w:val="Hyperlink"/>
            <w:noProof/>
          </w:rPr>
          <w:t>Articolo 18.08 Non conformità con il tipo omologato di impianto di depurazione di bordo</w:t>
        </w:r>
        <w:r>
          <w:rPr>
            <w:noProof/>
            <w:webHidden/>
          </w:rPr>
          <w:tab/>
        </w:r>
        <w:r>
          <w:rPr>
            <w:noProof/>
            <w:webHidden/>
          </w:rPr>
          <w:fldChar w:fldCharType="begin"/>
        </w:r>
        <w:r>
          <w:rPr>
            <w:noProof/>
            <w:webHidden/>
          </w:rPr>
          <w:instrText xml:space="preserve"> PAGEREF _Toc535500114 \h </w:instrText>
        </w:r>
        <w:r>
          <w:rPr>
            <w:noProof/>
            <w:webHidden/>
          </w:rPr>
        </w:r>
        <w:r>
          <w:rPr>
            <w:noProof/>
            <w:webHidden/>
          </w:rPr>
          <w:fldChar w:fldCharType="separate"/>
        </w:r>
        <w:r>
          <w:rPr>
            <w:noProof/>
            <w:webHidden/>
          </w:rPr>
          <w:t>116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15" w:history="1">
        <w:r w:rsidRPr="00572870">
          <w:rPr>
            <w:rStyle w:val="Hyperlink"/>
            <w:noProof/>
          </w:rPr>
          <w:t>Articolo 18.09 Misurazione di campioni scelti a caso/Controllo speciale</w:t>
        </w:r>
        <w:r>
          <w:rPr>
            <w:noProof/>
            <w:webHidden/>
          </w:rPr>
          <w:tab/>
        </w:r>
        <w:r>
          <w:rPr>
            <w:noProof/>
            <w:webHidden/>
          </w:rPr>
          <w:fldChar w:fldCharType="begin"/>
        </w:r>
        <w:r>
          <w:rPr>
            <w:noProof/>
            <w:webHidden/>
          </w:rPr>
          <w:instrText xml:space="preserve"> PAGEREF _Toc535500115 \h </w:instrText>
        </w:r>
        <w:r>
          <w:rPr>
            <w:noProof/>
            <w:webHidden/>
          </w:rPr>
        </w:r>
        <w:r>
          <w:rPr>
            <w:noProof/>
            <w:webHidden/>
          </w:rPr>
          <w:fldChar w:fldCharType="separate"/>
        </w:r>
        <w:r>
          <w:rPr>
            <w:noProof/>
            <w:webHidden/>
          </w:rPr>
          <w:t>117</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16" w:history="1">
        <w:r w:rsidRPr="00572870">
          <w:rPr>
            <w:rStyle w:val="Hyperlink"/>
            <w:noProof/>
          </w:rPr>
          <w:t>Articolo 18.10 Autorità competenti e servizi tecnici</w:t>
        </w:r>
        <w:r>
          <w:rPr>
            <w:noProof/>
            <w:webHidden/>
          </w:rPr>
          <w:tab/>
        </w:r>
        <w:r>
          <w:rPr>
            <w:noProof/>
            <w:webHidden/>
          </w:rPr>
          <w:fldChar w:fldCharType="begin"/>
        </w:r>
        <w:r>
          <w:rPr>
            <w:noProof/>
            <w:webHidden/>
          </w:rPr>
          <w:instrText xml:space="preserve"> PAGEREF _Toc535500116 \h </w:instrText>
        </w:r>
        <w:r>
          <w:rPr>
            <w:noProof/>
            <w:webHidden/>
          </w:rPr>
        </w:r>
        <w:r>
          <w:rPr>
            <w:noProof/>
            <w:webHidden/>
          </w:rPr>
          <w:fldChar w:fldCharType="separate"/>
        </w:r>
        <w:r>
          <w:rPr>
            <w:noProof/>
            <w:webHidden/>
          </w:rPr>
          <w:t>118</w:t>
        </w:r>
        <w:r>
          <w:rPr>
            <w:noProof/>
            <w:webHidden/>
          </w:rPr>
          <w:fldChar w:fldCharType="end"/>
        </w:r>
      </w:hyperlink>
    </w:p>
    <w:p w:rsidR="00624017" w:rsidRDefault="00624017">
      <w:pPr>
        <w:pStyle w:val="TOC1"/>
        <w:rPr>
          <w:rFonts w:asciiTheme="minorHAnsi" w:eastAsiaTheme="minorEastAsia" w:hAnsiTheme="minorHAnsi" w:cstheme="minorBidi"/>
          <w:b w:val="0"/>
          <w:bCs w:val="0"/>
          <w:caps w:val="0"/>
          <w:noProof/>
          <w:sz w:val="22"/>
          <w:szCs w:val="22"/>
          <w:lang w:val="en-GB" w:eastAsia="en-GB" w:bidi="ar-SA"/>
        </w:rPr>
      </w:pPr>
      <w:hyperlink w:anchor="_Toc535500117" w:history="1">
        <w:r w:rsidRPr="00572870">
          <w:rPr>
            <w:rStyle w:val="Hyperlink"/>
            <w:noProof/>
          </w:rPr>
          <w:t>PARTE III DISPOSIZIONI PARTICOLARI</w:t>
        </w:r>
        <w:r>
          <w:rPr>
            <w:noProof/>
            <w:webHidden/>
          </w:rPr>
          <w:tab/>
        </w:r>
        <w:r>
          <w:rPr>
            <w:noProof/>
            <w:webHidden/>
          </w:rPr>
          <w:fldChar w:fldCharType="begin"/>
        </w:r>
        <w:r>
          <w:rPr>
            <w:noProof/>
            <w:webHidden/>
          </w:rPr>
          <w:instrText xml:space="preserve"> PAGEREF _Toc535500117 \h </w:instrText>
        </w:r>
        <w:r>
          <w:rPr>
            <w:noProof/>
            <w:webHidden/>
          </w:rPr>
        </w:r>
        <w:r>
          <w:rPr>
            <w:noProof/>
            <w:webHidden/>
          </w:rPr>
          <w:fldChar w:fldCharType="separate"/>
        </w:r>
        <w:r>
          <w:rPr>
            <w:noProof/>
            <w:webHidden/>
          </w:rPr>
          <w:t>120</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118" w:history="1">
        <w:r w:rsidRPr="00572870">
          <w:rPr>
            <w:rStyle w:val="Hyperlink"/>
            <w:noProof/>
          </w:rPr>
          <w:t>Capo 19 Disposizioni particolari per le navi da passeggeri</w:t>
        </w:r>
        <w:r>
          <w:rPr>
            <w:noProof/>
            <w:webHidden/>
          </w:rPr>
          <w:tab/>
        </w:r>
        <w:r>
          <w:rPr>
            <w:noProof/>
            <w:webHidden/>
          </w:rPr>
          <w:fldChar w:fldCharType="begin"/>
        </w:r>
        <w:r>
          <w:rPr>
            <w:noProof/>
            <w:webHidden/>
          </w:rPr>
          <w:instrText xml:space="preserve"> PAGEREF _Toc535500118 \h </w:instrText>
        </w:r>
        <w:r>
          <w:rPr>
            <w:noProof/>
            <w:webHidden/>
          </w:rPr>
        </w:r>
        <w:r>
          <w:rPr>
            <w:noProof/>
            <w:webHidden/>
          </w:rPr>
          <w:fldChar w:fldCharType="separate"/>
        </w:r>
        <w:r>
          <w:rPr>
            <w:noProof/>
            <w:webHidden/>
          </w:rPr>
          <w:t>120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19" w:history="1">
        <w:r w:rsidRPr="00572870">
          <w:rPr>
            <w:rStyle w:val="Hyperlink"/>
            <w:noProof/>
          </w:rPr>
          <w:t>Articolo 19.01 Disposizioni generali</w:t>
        </w:r>
        <w:r>
          <w:rPr>
            <w:noProof/>
            <w:webHidden/>
          </w:rPr>
          <w:tab/>
        </w:r>
        <w:r>
          <w:rPr>
            <w:noProof/>
            <w:webHidden/>
          </w:rPr>
          <w:fldChar w:fldCharType="begin"/>
        </w:r>
        <w:r>
          <w:rPr>
            <w:noProof/>
            <w:webHidden/>
          </w:rPr>
          <w:instrText xml:space="preserve"> PAGEREF _Toc535500119 \h </w:instrText>
        </w:r>
        <w:r>
          <w:rPr>
            <w:noProof/>
            <w:webHidden/>
          </w:rPr>
        </w:r>
        <w:r>
          <w:rPr>
            <w:noProof/>
            <w:webHidden/>
          </w:rPr>
          <w:fldChar w:fldCharType="separate"/>
        </w:r>
        <w:r>
          <w:rPr>
            <w:noProof/>
            <w:webHidden/>
          </w:rPr>
          <w:t>120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20" w:history="1">
        <w:r w:rsidRPr="00572870">
          <w:rPr>
            <w:rStyle w:val="Hyperlink"/>
            <w:noProof/>
          </w:rPr>
          <w:t>Articolo 19.02 Scafo</w:t>
        </w:r>
        <w:r>
          <w:rPr>
            <w:noProof/>
            <w:webHidden/>
          </w:rPr>
          <w:tab/>
        </w:r>
        <w:r>
          <w:rPr>
            <w:noProof/>
            <w:webHidden/>
          </w:rPr>
          <w:fldChar w:fldCharType="begin"/>
        </w:r>
        <w:r>
          <w:rPr>
            <w:noProof/>
            <w:webHidden/>
          </w:rPr>
          <w:instrText xml:space="preserve"> PAGEREF _Toc535500120 \h </w:instrText>
        </w:r>
        <w:r>
          <w:rPr>
            <w:noProof/>
            <w:webHidden/>
          </w:rPr>
        </w:r>
        <w:r>
          <w:rPr>
            <w:noProof/>
            <w:webHidden/>
          </w:rPr>
          <w:fldChar w:fldCharType="separate"/>
        </w:r>
        <w:r>
          <w:rPr>
            <w:noProof/>
            <w:webHidden/>
          </w:rPr>
          <w:t>120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21" w:history="1">
        <w:r w:rsidRPr="00572870">
          <w:rPr>
            <w:rStyle w:val="Hyperlink"/>
            <w:noProof/>
          </w:rPr>
          <w:t>Articolo 19.03 Stabilità</w:t>
        </w:r>
        <w:r>
          <w:rPr>
            <w:noProof/>
            <w:webHidden/>
          </w:rPr>
          <w:tab/>
        </w:r>
        <w:r>
          <w:rPr>
            <w:noProof/>
            <w:webHidden/>
          </w:rPr>
          <w:fldChar w:fldCharType="begin"/>
        </w:r>
        <w:r>
          <w:rPr>
            <w:noProof/>
            <w:webHidden/>
          </w:rPr>
          <w:instrText xml:space="preserve"> PAGEREF _Toc535500121 \h </w:instrText>
        </w:r>
        <w:r>
          <w:rPr>
            <w:noProof/>
            <w:webHidden/>
          </w:rPr>
        </w:r>
        <w:r>
          <w:rPr>
            <w:noProof/>
            <w:webHidden/>
          </w:rPr>
          <w:fldChar w:fldCharType="separate"/>
        </w:r>
        <w:r>
          <w:rPr>
            <w:noProof/>
            <w:webHidden/>
          </w:rPr>
          <w:t>122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22" w:history="1">
        <w:r w:rsidRPr="00572870">
          <w:rPr>
            <w:rStyle w:val="Hyperlink"/>
            <w:noProof/>
          </w:rPr>
          <w:t>Articolo 19.04 Distanza di sicurezza e bordo libero</w:t>
        </w:r>
        <w:r>
          <w:rPr>
            <w:noProof/>
            <w:webHidden/>
          </w:rPr>
          <w:tab/>
        </w:r>
        <w:r>
          <w:rPr>
            <w:noProof/>
            <w:webHidden/>
          </w:rPr>
          <w:fldChar w:fldCharType="begin"/>
        </w:r>
        <w:r>
          <w:rPr>
            <w:noProof/>
            <w:webHidden/>
          </w:rPr>
          <w:instrText xml:space="preserve"> PAGEREF _Toc535500122 \h </w:instrText>
        </w:r>
        <w:r>
          <w:rPr>
            <w:noProof/>
            <w:webHidden/>
          </w:rPr>
        </w:r>
        <w:r>
          <w:rPr>
            <w:noProof/>
            <w:webHidden/>
          </w:rPr>
          <w:fldChar w:fldCharType="separate"/>
        </w:r>
        <w:r>
          <w:rPr>
            <w:noProof/>
            <w:webHidden/>
          </w:rPr>
          <w:t>129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23" w:history="1">
        <w:r w:rsidRPr="00572870">
          <w:rPr>
            <w:rStyle w:val="Hyperlink"/>
            <w:noProof/>
          </w:rPr>
          <w:t>Articolo 19.05 Numero massimo ammesso di passeggeri</w:t>
        </w:r>
        <w:r>
          <w:rPr>
            <w:noProof/>
            <w:webHidden/>
          </w:rPr>
          <w:tab/>
        </w:r>
        <w:r>
          <w:rPr>
            <w:noProof/>
            <w:webHidden/>
          </w:rPr>
          <w:fldChar w:fldCharType="begin"/>
        </w:r>
        <w:r>
          <w:rPr>
            <w:noProof/>
            <w:webHidden/>
          </w:rPr>
          <w:instrText xml:space="preserve"> PAGEREF _Toc535500123 \h </w:instrText>
        </w:r>
        <w:r>
          <w:rPr>
            <w:noProof/>
            <w:webHidden/>
          </w:rPr>
        </w:r>
        <w:r>
          <w:rPr>
            <w:noProof/>
            <w:webHidden/>
          </w:rPr>
          <w:fldChar w:fldCharType="separate"/>
        </w:r>
        <w:r>
          <w:rPr>
            <w:noProof/>
            <w:webHidden/>
          </w:rPr>
          <w:t>129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24" w:history="1">
        <w:r w:rsidRPr="00572870">
          <w:rPr>
            <w:rStyle w:val="Hyperlink"/>
            <w:noProof/>
          </w:rPr>
          <w:t>Articolo 19.06 Locali e zone per i passeggeri</w:t>
        </w:r>
        <w:r>
          <w:rPr>
            <w:noProof/>
            <w:webHidden/>
          </w:rPr>
          <w:tab/>
        </w:r>
        <w:r>
          <w:rPr>
            <w:noProof/>
            <w:webHidden/>
          </w:rPr>
          <w:fldChar w:fldCharType="begin"/>
        </w:r>
        <w:r>
          <w:rPr>
            <w:noProof/>
            <w:webHidden/>
          </w:rPr>
          <w:instrText xml:space="preserve"> PAGEREF _Toc535500124 \h </w:instrText>
        </w:r>
        <w:r>
          <w:rPr>
            <w:noProof/>
            <w:webHidden/>
          </w:rPr>
        </w:r>
        <w:r>
          <w:rPr>
            <w:noProof/>
            <w:webHidden/>
          </w:rPr>
          <w:fldChar w:fldCharType="separate"/>
        </w:r>
        <w:r>
          <w:rPr>
            <w:noProof/>
            <w:webHidden/>
          </w:rPr>
          <w:t>130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25" w:history="1">
        <w:r w:rsidRPr="00572870">
          <w:rPr>
            <w:rStyle w:val="Hyperlink"/>
            <w:noProof/>
          </w:rPr>
          <w:t>Articolo 19.07 Sistema di propulsione</w:t>
        </w:r>
        <w:r>
          <w:rPr>
            <w:noProof/>
            <w:webHidden/>
          </w:rPr>
          <w:tab/>
        </w:r>
        <w:r>
          <w:rPr>
            <w:noProof/>
            <w:webHidden/>
          </w:rPr>
          <w:fldChar w:fldCharType="begin"/>
        </w:r>
        <w:r>
          <w:rPr>
            <w:noProof/>
            <w:webHidden/>
          </w:rPr>
          <w:instrText xml:space="preserve"> PAGEREF _Toc535500125 \h </w:instrText>
        </w:r>
        <w:r>
          <w:rPr>
            <w:noProof/>
            <w:webHidden/>
          </w:rPr>
        </w:r>
        <w:r>
          <w:rPr>
            <w:noProof/>
            <w:webHidden/>
          </w:rPr>
          <w:fldChar w:fldCharType="separate"/>
        </w:r>
        <w:r>
          <w:rPr>
            <w:noProof/>
            <w:webHidden/>
          </w:rPr>
          <w:t>134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26" w:history="1">
        <w:r w:rsidRPr="00572870">
          <w:rPr>
            <w:rStyle w:val="Hyperlink"/>
            <w:noProof/>
          </w:rPr>
          <w:t>Articolo 19.08 Impianti e mezzi di sicurezza</w:t>
        </w:r>
        <w:r>
          <w:rPr>
            <w:noProof/>
            <w:webHidden/>
          </w:rPr>
          <w:tab/>
        </w:r>
        <w:r>
          <w:rPr>
            <w:noProof/>
            <w:webHidden/>
          </w:rPr>
          <w:fldChar w:fldCharType="begin"/>
        </w:r>
        <w:r>
          <w:rPr>
            <w:noProof/>
            <w:webHidden/>
          </w:rPr>
          <w:instrText xml:space="preserve"> PAGEREF _Toc535500126 \h </w:instrText>
        </w:r>
        <w:r>
          <w:rPr>
            <w:noProof/>
            <w:webHidden/>
          </w:rPr>
        </w:r>
        <w:r>
          <w:rPr>
            <w:noProof/>
            <w:webHidden/>
          </w:rPr>
          <w:fldChar w:fldCharType="separate"/>
        </w:r>
        <w:r>
          <w:rPr>
            <w:noProof/>
            <w:webHidden/>
          </w:rPr>
          <w:t>134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27" w:history="1">
        <w:r w:rsidRPr="00572870">
          <w:rPr>
            <w:rStyle w:val="Hyperlink"/>
            <w:noProof/>
          </w:rPr>
          <w:t>Articolo 19.09 Mezzi di salvataggio</w:t>
        </w:r>
        <w:r>
          <w:rPr>
            <w:noProof/>
            <w:webHidden/>
          </w:rPr>
          <w:tab/>
        </w:r>
        <w:r>
          <w:rPr>
            <w:noProof/>
            <w:webHidden/>
          </w:rPr>
          <w:fldChar w:fldCharType="begin"/>
        </w:r>
        <w:r>
          <w:rPr>
            <w:noProof/>
            <w:webHidden/>
          </w:rPr>
          <w:instrText xml:space="preserve"> PAGEREF _Toc535500127 \h </w:instrText>
        </w:r>
        <w:r>
          <w:rPr>
            <w:noProof/>
            <w:webHidden/>
          </w:rPr>
        </w:r>
        <w:r>
          <w:rPr>
            <w:noProof/>
            <w:webHidden/>
          </w:rPr>
          <w:fldChar w:fldCharType="separate"/>
        </w:r>
        <w:r>
          <w:rPr>
            <w:noProof/>
            <w:webHidden/>
          </w:rPr>
          <w:t>135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28" w:history="1">
        <w:r w:rsidRPr="00572870">
          <w:rPr>
            <w:rStyle w:val="Hyperlink"/>
            <w:noProof/>
          </w:rPr>
          <w:t>Articolo 19.10 Impianto elettrico</w:t>
        </w:r>
        <w:r>
          <w:rPr>
            <w:noProof/>
            <w:webHidden/>
          </w:rPr>
          <w:tab/>
        </w:r>
        <w:r>
          <w:rPr>
            <w:noProof/>
            <w:webHidden/>
          </w:rPr>
          <w:fldChar w:fldCharType="begin"/>
        </w:r>
        <w:r>
          <w:rPr>
            <w:noProof/>
            <w:webHidden/>
          </w:rPr>
          <w:instrText xml:space="preserve"> PAGEREF _Toc535500128 \h </w:instrText>
        </w:r>
        <w:r>
          <w:rPr>
            <w:noProof/>
            <w:webHidden/>
          </w:rPr>
        </w:r>
        <w:r>
          <w:rPr>
            <w:noProof/>
            <w:webHidden/>
          </w:rPr>
          <w:fldChar w:fldCharType="separate"/>
        </w:r>
        <w:r>
          <w:rPr>
            <w:noProof/>
            <w:webHidden/>
          </w:rPr>
          <w:t>137</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29" w:history="1">
        <w:r w:rsidRPr="00572870">
          <w:rPr>
            <w:rStyle w:val="Hyperlink"/>
            <w:noProof/>
          </w:rPr>
          <w:t>Articolo 19.11 Protezione antincendio</w:t>
        </w:r>
        <w:r>
          <w:rPr>
            <w:noProof/>
            <w:webHidden/>
          </w:rPr>
          <w:tab/>
        </w:r>
        <w:r>
          <w:rPr>
            <w:noProof/>
            <w:webHidden/>
          </w:rPr>
          <w:fldChar w:fldCharType="begin"/>
        </w:r>
        <w:r>
          <w:rPr>
            <w:noProof/>
            <w:webHidden/>
          </w:rPr>
          <w:instrText xml:space="preserve"> PAGEREF _Toc535500129 \h </w:instrText>
        </w:r>
        <w:r>
          <w:rPr>
            <w:noProof/>
            <w:webHidden/>
          </w:rPr>
        </w:r>
        <w:r>
          <w:rPr>
            <w:noProof/>
            <w:webHidden/>
          </w:rPr>
          <w:fldChar w:fldCharType="separate"/>
        </w:r>
        <w:r>
          <w:rPr>
            <w:noProof/>
            <w:webHidden/>
          </w:rPr>
          <w:t>139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30" w:history="1">
        <w:r w:rsidRPr="00572870">
          <w:rPr>
            <w:rStyle w:val="Hyperlink"/>
            <w:noProof/>
          </w:rPr>
          <w:t>Articolo 19.12 Mezzi antincendio</w:t>
        </w:r>
        <w:r>
          <w:rPr>
            <w:noProof/>
            <w:webHidden/>
          </w:rPr>
          <w:tab/>
        </w:r>
        <w:r>
          <w:rPr>
            <w:noProof/>
            <w:webHidden/>
          </w:rPr>
          <w:fldChar w:fldCharType="begin"/>
        </w:r>
        <w:r>
          <w:rPr>
            <w:noProof/>
            <w:webHidden/>
          </w:rPr>
          <w:instrText xml:space="preserve"> PAGEREF _Toc535500130 \h </w:instrText>
        </w:r>
        <w:r>
          <w:rPr>
            <w:noProof/>
            <w:webHidden/>
          </w:rPr>
        </w:r>
        <w:r>
          <w:rPr>
            <w:noProof/>
            <w:webHidden/>
          </w:rPr>
          <w:fldChar w:fldCharType="separate"/>
        </w:r>
        <w:r>
          <w:rPr>
            <w:noProof/>
            <w:webHidden/>
          </w:rPr>
          <w:t>144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31" w:history="1">
        <w:r w:rsidRPr="00572870">
          <w:rPr>
            <w:rStyle w:val="Hyperlink"/>
            <w:noProof/>
          </w:rPr>
          <w:t>Articolo 19.13 Organizzazione della sicurezza</w:t>
        </w:r>
        <w:r>
          <w:rPr>
            <w:noProof/>
            <w:webHidden/>
          </w:rPr>
          <w:tab/>
        </w:r>
        <w:r>
          <w:rPr>
            <w:noProof/>
            <w:webHidden/>
          </w:rPr>
          <w:fldChar w:fldCharType="begin"/>
        </w:r>
        <w:r>
          <w:rPr>
            <w:noProof/>
            <w:webHidden/>
          </w:rPr>
          <w:instrText xml:space="preserve"> PAGEREF _Toc535500131 \h </w:instrText>
        </w:r>
        <w:r>
          <w:rPr>
            <w:noProof/>
            <w:webHidden/>
          </w:rPr>
        </w:r>
        <w:r>
          <w:rPr>
            <w:noProof/>
            <w:webHidden/>
          </w:rPr>
          <w:fldChar w:fldCharType="separate"/>
        </w:r>
        <w:r>
          <w:rPr>
            <w:noProof/>
            <w:webHidden/>
          </w:rPr>
          <w:t>145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32" w:history="1">
        <w:r w:rsidRPr="00572870">
          <w:rPr>
            <w:rStyle w:val="Hyperlink"/>
            <w:noProof/>
          </w:rPr>
          <w:t>Articolo 19.14 Impianti di eliminazione e di raccolta delle acque reflue</w:t>
        </w:r>
        <w:r>
          <w:rPr>
            <w:noProof/>
            <w:webHidden/>
          </w:rPr>
          <w:tab/>
        </w:r>
        <w:r>
          <w:rPr>
            <w:noProof/>
            <w:webHidden/>
          </w:rPr>
          <w:fldChar w:fldCharType="begin"/>
        </w:r>
        <w:r>
          <w:rPr>
            <w:noProof/>
            <w:webHidden/>
          </w:rPr>
          <w:instrText xml:space="preserve"> PAGEREF _Toc535500132 \h </w:instrText>
        </w:r>
        <w:r>
          <w:rPr>
            <w:noProof/>
            <w:webHidden/>
          </w:rPr>
        </w:r>
        <w:r>
          <w:rPr>
            <w:noProof/>
            <w:webHidden/>
          </w:rPr>
          <w:fldChar w:fldCharType="separate"/>
        </w:r>
        <w:r>
          <w:rPr>
            <w:noProof/>
            <w:webHidden/>
          </w:rPr>
          <w:t>147</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33" w:history="1">
        <w:r w:rsidRPr="00572870">
          <w:rPr>
            <w:rStyle w:val="Hyperlink"/>
            <w:noProof/>
          </w:rPr>
          <w:t>Articolo 19.15 Deroghe applicabili a talune navi da passeggeri</w:t>
        </w:r>
        <w:r>
          <w:rPr>
            <w:noProof/>
            <w:webHidden/>
          </w:rPr>
          <w:tab/>
        </w:r>
        <w:r>
          <w:rPr>
            <w:noProof/>
            <w:webHidden/>
          </w:rPr>
          <w:fldChar w:fldCharType="begin"/>
        </w:r>
        <w:r>
          <w:rPr>
            <w:noProof/>
            <w:webHidden/>
          </w:rPr>
          <w:instrText xml:space="preserve"> PAGEREF _Toc535500133 \h </w:instrText>
        </w:r>
        <w:r>
          <w:rPr>
            <w:noProof/>
            <w:webHidden/>
          </w:rPr>
        </w:r>
        <w:r>
          <w:rPr>
            <w:noProof/>
            <w:webHidden/>
          </w:rPr>
          <w:fldChar w:fldCharType="separate"/>
        </w:r>
        <w:r>
          <w:rPr>
            <w:noProof/>
            <w:webHidden/>
          </w:rPr>
          <w:t>147</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134" w:history="1">
        <w:r w:rsidRPr="00572870">
          <w:rPr>
            <w:rStyle w:val="Hyperlink"/>
            <w:noProof/>
          </w:rPr>
          <w:t>Capo 20 Disposizioni particolari per le navi da passeggeri a vela che non navigano sul Reno (Zona R)</w:t>
        </w:r>
        <w:r>
          <w:rPr>
            <w:noProof/>
            <w:webHidden/>
          </w:rPr>
          <w:tab/>
        </w:r>
        <w:r>
          <w:rPr>
            <w:noProof/>
            <w:webHidden/>
          </w:rPr>
          <w:fldChar w:fldCharType="begin"/>
        </w:r>
        <w:r>
          <w:rPr>
            <w:noProof/>
            <w:webHidden/>
          </w:rPr>
          <w:instrText xml:space="preserve"> PAGEREF _Toc535500134 \h </w:instrText>
        </w:r>
        <w:r>
          <w:rPr>
            <w:noProof/>
            <w:webHidden/>
          </w:rPr>
        </w:r>
        <w:r>
          <w:rPr>
            <w:noProof/>
            <w:webHidden/>
          </w:rPr>
          <w:fldChar w:fldCharType="separate"/>
        </w:r>
        <w:r>
          <w:rPr>
            <w:noProof/>
            <w:webHidden/>
          </w:rPr>
          <w:t>149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35" w:history="1">
        <w:r w:rsidRPr="00572870">
          <w:rPr>
            <w:rStyle w:val="Hyperlink"/>
            <w:noProof/>
          </w:rPr>
          <w:t>Articolo 20.01 Applicazione delle parti II e III</w:t>
        </w:r>
        <w:r>
          <w:rPr>
            <w:noProof/>
            <w:webHidden/>
          </w:rPr>
          <w:tab/>
        </w:r>
        <w:r>
          <w:rPr>
            <w:noProof/>
            <w:webHidden/>
          </w:rPr>
          <w:fldChar w:fldCharType="begin"/>
        </w:r>
        <w:r>
          <w:rPr>
            <w:noProof/>
            <w:webHidden/>
          </w:rPr>
          <w:instrText xml:space="preserve"> PAGEREF _Toc535500135 \h </w:instrText>
        </w:r>
        <w:r>
          <w:rPr>
            <w:noProof/>
            <w:webHidden/>
          </w:rPr>
        </w:r>
        <w:r>
          <w:rPr>
            <w:noProof/>
            <w:webHidden/>
          </w:rPr>
          <w:fldChar w:fldCharType="separate"/>
        </w:r>
        <w:r>
          <w:rPr>
            <w:noProof/>
            <w:webHidden/>
          </w:rPr>
          <w:t>149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36" w:history="1">
        <w:r w:rsidRPr="00572870">
          <w:rPr>
            <w:rStyle w:val="Hyperlink"/>
            <w:noProof/>
          </w:rPr>
          <w:t>Articolo 20.02 Deroghe per talune navi da passeggeri a vela</w:t>
        </w:r>
        <w:r>
          <w:rPr>
            <w:noProof/>
            <w:webHidden/>
          </w:rPr>
          <w:tab/>
        </w:r>
        <w:r>
          <w:rPr>
            <w:noProof/>
            <w:webHidden/>
          </w:rPr>
          <w:fldChar w:fldCharType="begin"/>
        </w:r>
        <w:r>
          <w:rPr>
            <w:noProof/>
            <w:webHidden/>
          </w:rPr>
          <w:instrText xml:space="preserve"> PAGEREF _Toc535500136 \h </w:instrText>
        </w:r>
        <w:r>
          <w:rPr>
            <w:noProof/>
            <w:webHidden/>
          </w:rPr>
        </w:r>
        <w:r>
          <w:rPr>
            <w:noProof/>
            <w:webHidden/>
          </w:rPr>
          <w:fldChar w:fldCharType="separate"/>
        </w:r>
        <w:r>
          <w:rPr>
            <w:noProof/>
            <w:webHidden/>
          </w:rPr>
          <w:t>149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37" w:history="1">
        <w:r w:rsidRPr="00572870">
          <w:rPr>
            <w:rStyle w:val="Hyperlink"/>
            <w:noProof/>
          </w:rPr>
          <w:t>Articolo 20.03 Requisiti di stabilità delle navi che navigano a vela</w:t>
        </w:r>
        <w:r>
          <w:rPr>
            <w:noProof/>
            <w:webHidden/>
          </w:rPr>
          <w:tab/>
        </w:r>
        <w:r>
          <w:rPr>
            <w:noProof/>
            <w:webHidden/>
          </w:rPr>
          <w:fldChar w:fldCharType="begin"/>
        </w:r>
        <w:r>
          <w:rPr>
            <w:noProof/>
            <w:webHidden/>
          </w:rPr>
          <w:instrText xml:space="preserve"> PAGEREF _Toc535500137 \h </w:instrText>
        </w:r>
        <w:r>
          <w:rPr>
            <w:noProof/>
            <w:webHidden/>
          </w:rPr>
        </w:r>
        <w:r>
          <w:rPr>
            <w:noProof/>
            <w:webHidden/>
          </w:rPr>
          <w:fldChar w:fldCharType="separate"/>
        </w:r>
        <w:r>
          <w:rPr>
            <w:noProof/>
            <w:webHidden/>
          </w:rPr>
          <w:t>149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38" w:history="1">
        <w:r w:rsidRPr="00572870">
          <w:rPr>
            <w:rStyle w:val="Hyperlink"/>
            <w:noProof/>
          </w:rPr>
          <w:t>Articolo 20.04 Requisiti di costruzione e di meccanica</w:t>
        </w:r>
        <w:r>
          <w:rPr>
            <w:noProof/>
            <w:webHidden/>
          </w:rPr>
          <w:tab/>
        </w:r>
        <w:r>
          <w:rPr>
            <w:noProof/>
            <w:webHidden/>
          </w:rPr>
          <w:fldChar w:fldCharType="begin"/>
        </w:r>
        <w:r>
          <w:rPr>
            <w:noProof/>
            <w:webHidden/>
          </w:rPr>
          <w:instrText xml:space="preserve"> PAGEREF _Toc535500138 \h </w:instrText>
        </w:r>
        <w:r>
          <w:rPr>
            <w:noProof/>
            <w:webHidden/>
          </w:rPr>
        </w:r>
        <w:r>
          <w:rPr>
            <w:noProof/>
            <w:webHidden/>
          </w:rPr>
          <w:fldChar w:fldCharType="separate"/>
        </w:r>
        <w:r>
          <w:rPr>
            <w:noProof/>
            <w:webHidden/>
          </w:rPr>
          <w:t>150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39" w:history="1">
        <w:r w:rsidRPr="00572870">
          <w:rPr>
            <w:rStyle w:val="Hyperlink"/>
            <w:noProof/>
          </w:rPr>
          <w:t>Articolo 20.05 Disposizioni generali sulle manovre</w:t>
        </w:r>
        <w:r>
          <w:rPr>
            <w:noProof/>
            <w:webHidden/>
          </w:rPr>
          <w:tab/>
        </w:r>
        <w:r>
          <w:rPr>
            <w:noProof/>
            <w:webHidden/>
          </w:rPr>
          <w:fldChar w:fldCharType="begin"/>
        </w:r>
        <w:r>
          <w:rPr>
            <w:noProof/>
            <w:webHidden/>
          </w:rPr>
          <w:instrText xml:space="preserve"> PAGEREF _Toc535500139 \h </w:instrText>
        </w:r>
        <w:r>
          <w:rPr>
            <w:noProof/>
            <w:webHidden/>
          </w:rPr>
        </w:r>
        <w:r>
          <w:rPr>
            <w:noProof/>
            <w:webHidden/>
          </w:rPr>
          <w:fldChar w:fldCharType="separate"/>
        </w:r>
        <w:r>
          <w:rPr>
            <w:noProof/>
            <w:webHidden/>
          </w:rPr>
          <w:t>150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40" w:history="1">
        <w:r w:rsidRPr="00572870">
          <w:rPr>
            <w:rStyle w:val="Hyperlink"/>
            <w:noProof/>
          </w:rPr>
          <w:t>Articolo 20.06 Disposizioni generali su alberi e pennoni</w:t>
        </w:r>
        <w:r>
          <w:rPr>
            <w:noProof/>
            <w:webHidden/>
          </w:rPr>
          <w:tab/>
        </w:r>
        <w:r>
          <w:rPr>
            <w:noProof/>
            <w:webHidden/>
          </w:rPr>
          <w:fldChar w:fldCharType="begin"/>
        </w:r>
        <w:r>
          <w:rPr>
            <w:noProof/>
            <w:webHidden/>
          </w:rPr>
          <w:instrText xml:space="preserve"> PAGEREF _Toc535500140 \h </w:instrText>
        </w:r>
        <w:r>
          <w:rPr>
            <w:noProof/>
            <w:webHidden/>
          </w:rPr>
        </w:r>
        <w:r>
          <w:rPr>
            <w:noProof/>
            <w:webHidden/>
          </w:rPr>
          <w:fldChar w:fldCharType="separate"/>
        </w:r>
        <w:r>
          <w:rPr>
            <w:noProof/>
            <w:webHidden/>
          </w:rPr>
          <w:t>151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41" w:history="1">
        <w:r w:rsidRPr="00572870">
          <w:rPr>
            <w:rStyle w:val="Hyperlink"/>
            <w:noProof/>
          </w:rPr>
          <w:t>Articolo 20.07 Prescrizioni speciali per gli alberi</w:t>
        </w:r>
        <w:r>
          <w:rPr>
            <w:noProof/>
            <w:webHidden/>
          </w:rPr>
          <w:tab/>
        </w:r>
        <w:r>
          <w:rPr>
            <w:noProof/>
            <w:webHidden/>
          </w:rPr>
          <w:fldChar w:fldCharType="begin"/>
        </w:r>
        <w:r>
          <w:rPr>
            <w:noProof/>
            <w:webHidden/>
          </w:rPr>
          <w:instrText xml:space="preserve"> PAGEREF _Toc535500141 \h </w:instrText>
        </w:r>
        <w:r>
          <w:rPr>
            <w:noProof/>
            <w:webHidden/>
          </w:rPr>
        </w:r>
        <w:r>
          <w:rPr>
            <w:noProof/>
            <w:webHidden/>
          </w:rPr>
          <w:fldChar w:fldCharType="separate"/>
        </w:r>
        <w:r>
          <w:rPr>
            <w:noProof/>
            <w:webHidden/>
          </w:rPr>
          <w:t>151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42" w:history="1">
        <w:r w:rsidRPr="00572870">
          <w:rPr>
            <w:rStyle w:val="Hyperlink"/>
            <w:noProof/>
          </w:rPr>
          <w:t>Articolo 20.08 Prescrizioni speciali per gli alberetti</w:t>
        </w:r>
        <w:r>
          <w:rPr>
            <w:noProof/>
            <w:webHidden/>
          </w:rPr>
          <w:tab/>
        </w:r>
        <w:r>
          <w:rPr>
            <w:noProof/>
            <w:webHidden/>
          </w:rPr>
          <w:fldChar w:fldCharType="begin"/>
        </w:r>
        <w:r>
          <w:rPr>
            <w:noProof/>
            <w:webHidden/>
          </w:rPr>
          <w:instrText xml:space="preserve"> PAGEREF _Toc535500142 \h </w:instrText>
        </w:r>
        <w:r>
          <w:rPr>
            <w:noProof/>
            <w:webHidden/>
          </w:rPr>
        </w:r>
        <w:r>
          <w:rPr>
            <w:noProof/>
            <w:webHidden/>
          </w:rPr>
          <w:fldChar w:fldCharType="separate"/>
        </w:r>
        <w:r>
          <w:rPr>
            <w:noProof/>
            <w:webHidden/>
          </w:rPr>
          <w:t>152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43" w:history="1">
        <w:r w:rsidRPr="00572870">
          <w:rPr>
            <w:rStyle w:val="Hyperlink"/>
            <w:noProof/>
          </w:rPr>
          <w:t>Articolo 20.09 Prescrizioni speciali per i bompressi</w:t>
        </w:r>
        <w:r>
          <w:rPr>
            <w:noProof/>
            <w:webHidden/>
          </w:rPr>
          <w:tab/>
        </w:r>
        <w:r>
          <w:rPr>
            <w:noProof/>
            <w:webHidden/>
          </w:rPr>
          <w:fldChar w:fldCharType="begin"/>
        </w:r>
        <w:r>
          <w:rPr>
            <w:noProof/>
            <w:webHidden/>
          </w:rPr>
          <w:instrText xml:space="preserve"> PAGEREF _Toc535500143 \h </w:instrText>
        </w:r>
        <w:r>
          <w:rPr>
            <w:noProof/>
            <w:webHidden/>
          </w:rPr>
        </w:r>
        <w:r>
          <w:rPr>
            <w:noProof/>
            <w:webHidden/>
          </w:rPr>
          <w:fldChar w:fldCharType="separate"/>
        </w:r>
        <w:r>
          <w:rPr>
            <w:noProof/>
            <w:webHidden/>
          </w:rPr>
          <w:t>153</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44" w:history="1">
        <w:r w:rsidRPr="00572870">
          <w:rPr>
            <w:rStyle w:val="Hyperlink"/>
            <w:noProof/>
          </w:rPr>
          <w:t>Articolo 20.10 Prescrizioni speciali per le aste di fiocco</w:t>
        </w:r>
        <w:r>
          <w:rPr>
            <w:noProof/>
            <w:webHidden/>
          </w:rPr>
          <w:tab/>
        </w:r>
        <w:r>
          <w:rPr>
            <w:noProof/>
            <w:webHidden/>
          </w:rPr>
          <w:fldChar w:fldCharType="begin"/>
        </w:r>
        <w:r>
          <w:rPr>
            <w:noProof/>
            <w:webHidden/>
          </w:rPr>
          <w:instrText xml:space="preserve"> PAGEREF _Toc535500144 \h </w:instrText>
        </w:r>
        <w:r>
          <w:rPr>
            <w:noProof/>
            <w:webHidden/>
          </w:rPr>
        </w:r>
        <w:r>
          <w:rPr>
            <w:noProof/>
            <w:webHidden/>
          </w:rPr>
          <w:fldChar w:fldCharType="separate"/>
        </w:r>
        <w:r>
          <w:rPr>
            <w:noProof/>
            <w:webHidden/>
          </w:rPr>
          <w:t>153</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45" w:history="1">
        <w:r w:rsidRPr="00572870">
          <w:rPr>
            <w:rStyle w:val="Hyperlink"/>
            <w:noProof/>
          </w:rPr>
          <w:t>Articolo 20.11 Disposizioni particolari per i boma di maestra</w:t>
        </w:r>
        <w:r>
          <w:rPr>
            <w:noProof/>
            <w:webHidden/>
          </w:rPr>
          <w:tab/>
        </w:r>
        <w:r>
          <w:rPr>
            <w:noProof/>
            <w:webHidden/>
          </w:rPr>
          <w:fldChar w:fldCharType="begin"/>
        </w:r>
        <w:r>
          <w:rPr>
            <w:noProof/>
            <w:webHidden/>
          </w:rPr>
          <w:instrText xml:space="preserve"> PAGEREF _Toc535500145 \h </w:instrText>
        </w:r>
        <w:r>
          <w:rPr>
            <w:noProof/>
            <w:webHidden/>
          </w:rPr>
        </w:r>
        <w:r>
          <w:rPr>
            <w:noProof/>
            <w:webHidden/>
          </w:rPr>
          <w:fldChar w:fldCharType="separate"/>
        </w:r>
        <w:r>
          <w:rPr>
            <w:noProof/>
            <w:webHidden/>
          </w:rPr>
          <w:t>154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46" w:history="1">
        <w:r w:rsidRPr="00572870">
          <w:rPr>
            <w:rStyle w:val="Hyperlink"/>
            <w:noProof/>
          </w:rPr>
          <w:t>Articolo 20.12 Disposizioni particolari per i picchi</w:t>
        </w:r>
        <w:r>
          <w:rPr>
            <w:noProof/>
            <w:webHidden/>
          </w:rPr>
          <w:tab/>
        </w:r>
        <w:r>
          <w:rPr>
            <w:noProof/>
            <w:webHidden/>
          </w:rPr>
          <w:fldChar w:fldCharType="begin"/>
        </w:r>
        <w:r>
          <w:rPr>
            <w:noProof/>
            <w:webHidden/>
          </w:rPr>
          <w:instrText xml:space="preserve"> PAGEREF _Toc535500146 \h </w:instrText>
        </w:r>
        <w:r>
          <w:rPr>
            <w:noProof/>
            <w:webHidden/>
          </w:rPr>
        </w:r>
        <w:r>
          <w:rPr>
            <w:noProof/>
            <w:webHidden/>
          </w:rPr>
          <w:fldChar w:fldCharType="separate"/>
        </w:r>
        <w:r>
          <w:rPr>
            <w:noProof/>
            <w:webHidden/>
          </w:rPr>
          <w:t>154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47" w:history="1">
        <w:r w:rsidRPr="00572870">
          <w:rPr>
            <w:rStyle w:val="Hyperlink"/>
            <w:noProof/>
          </w:rPr>
          <w:t>Articolo 20.13 Disposizioni generali per le manovre fisse e correnti</w:t>
        </w:r>
        <w:r>
          <w:rPr>
            <w:noProof/>
            <w:webHidden/>
          </w:rPr>
          <w:tab/>
        </w:r>
        <w:r>
          <w:rPr>
            <w:noProof/>
            <w:webHidden/>
          </w:rPr>
          <w:fldChar w:fldCharType="begin"/>
        </w:r>
        <w:r>
          <w:rPr>
            <w:noProof/>
            <w:webHidden/>
          </w:rPr>
          <w:instrText xml:space="preserve"> PAGEREF _Toc535500147 \h </w:instrText>
        </w:r>
        <w:r>
          <w:rPr>
            <w:noProof/>
            <w:webHidden/>
          </w:rPr>
        </w:r>
        <w:r>
          <w:rPr>
            <w:noProof/>
            <w:webHidden/>
          </w:rPr>
          <w:fldChar w:fldCharType="separate"/>
        </w:r>
        <w:r>
          <w:rPr>
            <w:noProof/>
            <w:webHidden/>
          </w:rPr>
          <w:t>155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48" w:history="1">
        <w:r w:rsidRPr="00572870">
          <w:rPr>
            <w:rStyle w:val="Hyperlink"/>
            <w:noProof/>
          </w:rPr>
          <w:t>Articolo 20.14 Disposizioni particolari per le manovre fisse</w:t>
        </w:r>
        <w:r>
          <w:rPr>
            <w:noProof/>
            <w:webHidden/>
          </w:rPr>
          <w:tab/>
        </w:r>
        <w:r>
          <w:rPr>
            <w:noProof/>
            <w:webHidden/>
          </w:rPr>
          <w:fldChar w:fldCharType="begin"/>
        </w:r>
        <w:r>
          <w:rPr>
            <w:noProof/>
            <w:webHidden/>
          </w:rPr>
          <w:instrText xml:space="preserve"> PAGEREF _Toc535500148 \h </w:instrText>
        </w:r>
        <w:r>
          <w:rPr>
            <w:noProof/>
            <w:webHidden/>
          </w:rPr>
        </w:r>
        <w:r>
          <w:rPr>
            <w:noProof/>
            <w:webHidden/>
          </w:rPr>
          <w:fldChar w:fldCharType="separate"/>
        </w:r>
        <w:r>
          <w:rPr>
            <w:noProof/>
            <w:webHidden/>
          </w:rPr>
          <w:t>155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49" w:history="1">
        <w:r w:rsidRPr="00572870">
          <w:rPr>
            <w:rStyle w:val="Hyperlink"/>
            <w:noProof/>
          </w:rPr>
          <w:t>Articolo 20.15 Disposizioni particolari per le manovre correnti</w:t>
        </w:r>
        <w:r>
          <w:rPr>
            <w:noProof/>
            <w:webHidden/>
          </w:rPr>
          <w:tab/>
        </w:r>
        <w:r>
          <w:rPr>
            <w:noProof/>
            <w:webHidden/>
          </w:rPr>
          <w:fldChar w:fldCharType="begin"/>
        </w:r>
        <w:r>
          <w:rPr>
            <w:noProof/>
            <w:webHidden/>
          </w:rPr>
          <w:instrText xml:space="preserve"> PAGEREF _Toc535500149 \h </w:instrText>
        </w:r>
        <w:r>
          <w:rPr>
            <w:noProof/>
            <w:webHidden/>
          </w:rPr>
        </w:r>
        <w:r>
          <w:rPr>
            <w:noProof/>
            <w:webHidden/>
          </w:rPr>
          <w:fldChar w:fldCharType="separate"/>
        </w:r>
        <w:r>
          <w:rPr>
            <w:noProof/>
            <w:webHidden/>
          </w:rPr>
          <w:t>156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50" w:history="1">
        <w:r w:rsidRPr="00572870">
          <w:rPr>
            <w:rStyle w:val="Hyperlink"/>
            <w:noProof/>
          </w:rPr>
          <w:t>Articolo 20.16 Attrezzature e componenti</w:t>
        </w:r>
        <w:r>
          <w:rPr>
            <w:noProof/>
            <w:webHidden/>
          </w:rPr>
          <w:tab/>
        </w:r>
        <w:r>
          <w:rPr>
            <w:noProof/>
            <w:webHidden/>
          </w:rPr>
          <w:fldChar w:fldCharType="begin"/>
        </w:r>
        <w:r>
          <w:rPr>
            <w:noProof/>
            <w:webHidden/>
          </w:rPr>
          <w:instrText xml:space="preserve"> PAGEREF _Toc535500150 \h </w:instrText>
        </w:r>
        <w:r>
          <w:rPr>
            <w:noProof/>
            <w:webHidden/>
          </w:rPr>
        </w:r>
        <w:r>
          <w:rPr>
            <w:noProof/>
            <w:webHidden/>
          </w:rPr>
          <w:fldChar w:fldCharType="separate"/>
        </w:r>
        <w:r>
          <w:rPr>
            <w:noProof/>
            <w:webHidden/>
          </w:rPr>
          <w:t>157</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51" w:history="1">
        <w:r w:rsidRPr="00572870">
          <w:rPr>
            <w:rStyle w:val="Hyperlink"/>
            <w:noProof/>
          </w:rPr>
          <w:t>Articolo 20.17 Velatura</w:t>
        </w:r>
        <w:r>
          <w:rPr>
            <w:noProof/>
            <w:webHidden/>
          </w:rPr>
          <w:tab/>
        </w:r>
        <w:r>
          <w:rPr>
            <w:noProof/>
            <w:webHidden/>
          </w:rPr>
          <w:fldChar w:fldCharType="begin"/>
        </w:r>
        <w:r>
          <w:rPr>
            <w:noProof/>
            <w:webHidden/>
          </w:rPr>
          <w:instrText xml:space="preserve"> PAGEREF _Toc535500151 \h </w:instrText>
        </w:r>
        <w:r>
          <w:rPr>
            <w:noProof/>
            <w:webHidden/>
          </w:rPr>
        </w:r>
        <w:r>
          <w:rPr>
            <w:noProof/>
            <w:webHidden/>
          </w:rPr>
          <w:fldChar w:fldCharType="separate"/>
        </w:r>
        <w:r>
          <w:rPr>
            <w:noProof/>
            <w:webHidden/>
          </w:rPr>
          <w:t>159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52" w:history="1">
        <w:r w:rsidRPr="00572870">
          <w:rPr>
            <w:rStyle w:val="Hyperlink"/>
            <w:noProof/>
          </w:rPr>
          <w:t>Articolo 20.18 Dotazioni</w:t>
        </w:r>
        <w:r>
          <w:rPr>
            <w:noProof/>
            <w:webHidden/>
          </w:rPr>
          <w:tab/>
        </w:r>
        <w:r>
          <w:rPr>
            <w:noProof/>
            <w:webHidden/>
          </w:rPr>
          <w:fldChar w:fldCharType="begin"/>
        </w:r>
        <w:r>
          <w:rPr>
            <w:noProof/>
            <w:webHidden/>
          </w:rPr>
          <w:instrText xml:space="preserve"> PAGEREF _Toc535500152 \h </w:instrText>
        </w:r>
        <w:r>
          <w:rPr>
            <w:noProof/>
            <w:webHidden/>
          </w:rPr>
        </w:r>
        <w:r>
          <w:rPr>
            <w:noProof/>
            <w:webHidden/>
          </w:rPr>
          <w:fldChar w:fldCharType="separate"/>
        </w:r>
        <w:r>
          <w:rPr>
            <w:noProof/>
            <w:webHidden/>
          </w:rPr>
          <w:t>159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53" w:history="1">
        <w:r w:rsidRPr="00572870">
          <w:rPr>
            <w:rStyle w:val="Hyperlink"/>
            <w:noProof/>
          </w:rPr>
          <w:t>Articolo 20.19 Prove</w:t>
        </w:r>
        <w:r>
          <w:rPr>
            <w:noProof/>
            <w:webHidden/>
          </w:rPr>
          <w:tab/>
        </w:r>
        <w:r>
          <w:rPr>
            <w:noProof/>
            <w:webHidden/>
          </w:rPr>
          <w:fldChar w:fldCharType="begin"/>
        </w:r>
        <w:r>
          <w:rPr>
            <w:noProof/>
            <w:webHidden/>
          </w:rPr>
          <w:instrText xml:space="preserve"> PAGEREF _Toc535500153 \h </w:instrText>
        </w:r>
        <w:r>
          <w:rPr>
            <w:noProof/>
            <w:webHidden/>
          </w:rPr>
        </w:r>
        <w:r>
          <w:rPr>
            <w:noProof/>
            <w:webHidden/>
          </w:rPr>
          <w:fldChar w:fldCharType="separate"/>
        </w:r>
        <w:r>
          <w:rPr>
            <w:noProof/>
            <w:webHidden/>
          </w:rPr>
          <w:t>159</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154" w:history="1">
        <w:r w:rsidRPr="00572870">
          <w:rPr>
            <w:rStyle w:val="Hyperlink"/>
            <w:noProof/>
          </w:rPr>
          <w:t>Capo 21 Disposizioni particolari per imbarcazioni destinate a far parte di un convoglio spinto, di un convoglio rimorchiato o di una formazione in coppia</w:t>
        </w:r>
        <w:r>
          <w:rPr>
            <w:noProof/>
            <w:webHidden/>
          </w:rPr>
          <w:tab/>
        </w:r>
        <w:r>
          <w:rPr>
            <w:noProof/>
            <w:webHidden/>
          </w:rPr>
          <w:fldChar w:fldCharType="begin"/>
        </w:r>
        <w:r>
          <w:rPr>
            <w:noProof/>
            <w:webHidden/>
          </w:rPr>
          <w:instrText xml:space="preserve"> PAGEREF _Toc535500154 \h </w:instrText>
        </w:r>
        <w:r>
          <w:rPr>
            <w:noProof/>
            <w:webHidden/>
          </w:rPr>
        </w:r>
        <w:r>
          <w:rPr>
            <w:noProof/>
            <w:webHidden/>
          </w:rPr>
          <w:fldChar w:fldCharType="separate"/>
        </w:r>
        <w:r>
          <w:rPr>
            <w:noProof/>
            <w:webHidden/>
          </w:rPr>
          <w:t>160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55" w:history="1">
        <w:r w:rsidRPr="00572870">
          <w:rPr>
            <w:rStyle w:val="Hyperlink"/>
            <w:noProof/>
          </w:rPr>
          <w:t>Articolo 21.01 Imbarcazioni idonee a spingere</w:t>
        </w:r>
        <w:r>
          <w:rPr>
            <w:noProof/>
            <w:webHidden/>
          </w:rPr>
          <w:tab/>
        </w:r>
        <w:r>
          <w:rPr>
            <w:noProof/>
            <w:webHidden/>
          </w:rPr>
          <w:fldChar w:fldCharType="begin"/>
        </w:r>
        <w:r>
          <w:rPr>
            <w:noProof/>
            <w:webHidden/>
          </w:rPr>
          <w:instrText xml:space="preserve"> PAGEREF _Toc535500155 \h </w:instrText>
        </w:r>
        <w:r>
          <w:rPr>
            <w:noProof/>
            <w:webHidden/>
          </w:rPr>
        </w:r>
        <w:r>
          <w:rPr>
            <w:noProof/>
            <w:webHidden/>
          </w:rPr>
          <w:fldChar w:fldCharType="separate"/>
        </w:r>
        <w:r>
          <w:rPr>
            <w:noProof/>
            <w:webHidden/>
          </w:rPr>
          <w:t>160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56" w:history="1">
        <w:r w:rsidRPr="00572870">
          <w:rPr>
            <w:rStyle w:val="Hyperlink"/>
            <w:noProof/>
          </w:rPr>
          <w:t>Articolo 21.02 Imbarcazioni idonee a essere spinte</w:t>
        </w:r>
        <w:r>
          <w:rPr>
            <w:noProof/>
            <w:webHidden/>
          </w:rPr>
          <w:tab/>
        </w:r>
        <w:r>
          <w:rPr>
            <w:noProof/>
            <w:webHidden/>
          </w:rPr>
          <w:fldChar w:fldCharType="begin"/>
        </w:r>
        <w:r>
          <w:rPr>
            <w:noProof/>
            <w:webHidden/>
          </w:rPr>
          <w:instrText xml:space="preserve"> PAGEREF _Toc535500156 \h </w:instrText>
        </w:r>
        <w:r>
          <w:rPr>
            <w:noProof/>
            <w:webHidden/>
          </w:rPr>
        </w:r>
        <w:r>
          <w:rPr>
            <w:noProof/>
            <w:webHidden/>
          </w:rPr>
          <w:fldChar w:fldCharType="separate"/>
        </w:r>
        <w:r>
          <w:rPr>
            <w:noProof/>
            <w:webHidden/>
          </w:rPr>
          <w:t>160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57" w:history="1">
        <w:r w:rsidRPr="00572870">
          <w:rPr>
            <w:rStyle w:val="Hyperlink"/>
            <w:noProof/>
          </w:rPr>
          <w:t>Articolo 21.03 Imbarcazioni idonee alla propulsione di una formazione in coppia</w:t>
        </w:r>
        <w:r>
          <w:rPr>
            <w:noProof/>
            <w:webHidden/>
          </w:rPr>
          <w:tab/>
        </w:r>
        <w:r>
          <w:rPr>
            <w:noProof/>
            <w:webHidden/>
          </w:rPr>
          <w:fldChar w:fldCharType="begin"/>
        </w:r>
        <w:r>
          <w:rPr>
            <w:noProof/>
            <w:webHidden/>
          </w:rPr>
          <w:instrText xml:space="preserve"> PAGEREF _Toc535500157 \h </w:instrText>
        </w:r>
        <w:r>
          <w:rPr>
            <w:noProof/>
            <w:webHidden/>
          </w:rPr>
        </w:r>
        <w:r>
          <w:rPr>
            <w:noProof/>
            <w:webHidden/>
          </w:rPr>
          <w:fldChar w:fldCharType="separate"/>
        </w:r>
        <w:r>
          <w:rPr>
            <w:noProof/>
            <w:webHidden/>
          </w:rPr>
          <w:t>162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58" w:history="1">
        <w:r w:rsidRPr="00572870">
          <w:rPr>
            <w:rStyle w:val="Hyperlink"/>
            <w:noProof/>
          </w:rPr>
          <w:t>Articolo 21.04 Imbarcazioni idonee ad essere spostate in convoglio</w:t>
        </w:r>
        <w:r>
          <w:rPr>
            <w:noProof/>
            <w:webHidden/>
          </w:rPr>
          <w:tab/>
        </w:r>
        <w:r>
          <w:rPr>
            <w:noProof/>
            <w:webHidden/>
          </w:rPr>
          <w:fldChar w:fldCharType="begin"/>
        </w:r>
        <w:r>
          <w:rPr>
            <w:noProof/>
            <w:webHidden/>
          </w:rPr>
          <w:instrText xml:space="preserve"> PAGEREF _Toc535500158 \h </w:instrText>
        </w:r>
        <w:r>
          <w:rPr>
            <w:noProof/>
            <w:webHidden/>
          </w:rPr>
        </w:r>
        <w:r>
          <w:rPr>
            <w:noProof/>
            <w:webHidden/>
          </w:rPr>
          <w:fldChar w:fldCharType="separate"/>
        </w:r>
        <w:r>
          <w:rPr>
            <w:noProof/>
            <w:webHidden/>
          </w:rPr>
          <w:t>162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59" w:history="1">
        <w:r w:rsidRPr="00572870">
          <w:rPr>
            <w:rStyle w:val="Hyperlink"/>
            <w:noProof/>
          </w:rPr>
          <w:t>Articolo 21.05 Imbarcazioni idonee al rimorchio</w:t>
        </w:r>
        <w:r>
          <w:rPr>
            <w:noProof/>
            <w:webHidden/>
          </w:rPr>
          <w:tab/>
        </w:r>
        <w:r>
          <w:rPr>
            <w:noProof/>
            <w:webHidden/>
          </w:rPr>
          <w:fldChar w:fldCharType="begin"/>
        </w:r>
        <w:r>
          <w:rPr>
            <w:noProof/>
            <w:webHidden/>
          </w:rPr>
          <w:instrText xml:space="preserve"> PAGEREF _Toc535500159 \h </w:instrText>
        </w:r>
        <w:r>
          <w:rPr>
            <w:noProof/>
            <w:webHidden/>
          </w:rPr>
        </w:r>
        <w:r>
          <w:rPr>
            <w:noProof/>
            <w:webHidden/>
          </w:rPr>
          <w:fldChar w:fldCharType="separate"/>
        </w:r>
        <w:r>
          <w:rPr>
            <w:noProof/>
            <w:webHidden/>
          </w:rPr>
          <w:t>162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60" w:history="1">
        <w:r w:rsidRPr="00572870">
          <w:rPr>
            <w:rStyle w:val="Hyperlink"/>
            <w:noProof/>
          </w:rPr>
          <w:t>Articolo 21.06 Prove di navigazione sui convogli</w:t>
        </w:r>
        <w:r>
          <w:rPr>
            <w:noProof/>
            <w:webHidden/>
          </w:rPr>
          <w:tab/>
        </w:r>
        <w:r>
          <w:rPr>
            <w:noProof/>
            <w:webHidden/>
          </w:rPr>
          <w:fldChar w:fldCharType="begin"/>
        </w:r>
        <w:r>
          <w:rPr>
            <w:noProof/>
            <w:webHidden/>
          </w:rPr>
          <w:instrText xml:space="preserve"> PAGEREF _Toc535500160 \h </w:instrText>
        </w:r>
        <w:r>
          <w:rPr>
            <w:noProof/>
            <w:webHidden/>
          </w:rPr>
        </w:r>
        <w:r>
          <w:rPr>
            <w:noProof/>
            <w:webHidden/>
          </w:rPr>
          <w:fldChar w:fldCharType="separate"/>
        </w:r>
        <w:r>
          <w:rPr>
            <w:noProof/>
            <w:webHidden/>
          </w:rPr>
          <w:t>162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61" w:history="1">
        <w:r w:rsidRPr="00572870">
          <w:rPr>
            <w:rStyle w:val="Hyperlink"/>
            <w:noProof/>
          </w:rPr>
          <w:t>Articolo 21.07 Annotazioni sul certificato per la navigazione interna</w:t>
        </w:r>
        <w:r>
          <w:rPr>
            <w:noProof/>
            <w:webHidden/>
          </w:rPr>
          <w:tab/>
        </w:r>
        <w:r>
          <w:rPr>
            <w:noProof/>
            <w:webHidden/>
          </w:rPr>
          <w:fldChar w:fldCharType="begin"/>
        </w:r>
        <w:r>
          <w:rPr>
            <w:noProof/>
            <w:webHidden/>
          </w:rPr>
          <w:instrText xml:space="preserve"> PAGEREF _Toc535500161 \h </w:instrText>
        </w:r>
        <w:r>
          <w:rPr>
            <w:noProof/>
            <w:webHidden/>
          </w:rPr>
        </w:r>
        <w:r>
          <w:rPr>
            <w:noProof/>
            <w:webHidden/>
          </w:rPr>
          <w:fldChar w:fldCharType="separate"/>
        </w:r>
        <w:r>
          <w:rPr>
            <w:noProof/>
            <w:webHidden/>
          </w:rPr>
          <w:t>163</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162" w:history="1">
        <w:r w:rsidRPr="00572870">
          <w:rPr>
            <w:rStyle w:val="Hyperlink"/>
            <w:noProof/>
          </w:rPr>
          <w:t>Capo 22 Disposizioni particolari per i galleggianti speciali</w:t>
        </w:r>
        <w:r>
          <w:rPr>
            <w:noProof/>
            <w:webHidden/>
          </w:rPr>
          <w:tab/>
        </w:r>
        <w:r>
          <w:rPr>
            <w:noProof/>
            <w:webHidden/>
          </w:rPr>
          <w:fldChar w:fldCharType="begin"/>
        </w:r>
        <w:r>
          <w:rPr>
            <w:noProof/>
            <w:webHidden/>
          </w:rPr>
          <w:instrText xml:space="preserve"> PAGEREF _Toc535500162 \h </w:instrText>
        </w:r>
        <w:r>
          <w:rPr>
            <w:noProof/>
            <w:webHidden/>
          </w:rPr>
        </w:r>
        <w:r>
          <w:rPr>
            <w:noProof/>
            <w:webHidden/>
          </w:rPr>
          <w:fldChar w:fldCharType="separate"/>
        </w:r>
        <w:r>
          <w:rPr>
            <w:noProof/>
            <w:webHidden/>
          </w:rPr>
          <w:t>165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63" w:history="1">
        <w:r w:rsidRPr="00572870">
          <w:rPr>
            <w:rStyle w:val="Hyperlink"/>
            <w:noProof/>
          </w:rPr>
          <w:t>Articolo 22.01 Aspetti generali</w:t>
        </w:r>
        <w:r>
          <w:rPr>
            <w:noProof/>
            <w:webHidden/>
          </w:rPr>
          <w:tab/>
        </w:r>
        <w:r>
          <w:rPr>
            <w:noProof/>
            <w:webHidden/>
          </w:rPr>
          <w:fldChar w:fldCharType="begin"/>
        </w:r>
        <w:r>
          <w:rPr>
            <w:noProof/>
            <w:webHidden/>
          </w:rPr>
          <w:instrText xml:space="preserve"> PAGEREF _Toc535500163 \h </w:instrText>
        </w:r>
        <w:r>
          <w:rPr>
            <w:noProof/>
            <w:webHidden/>
          </w:rPr>
        </w:r>
        <w:r>
          <w:rPr>
            <w:noProof/>
            <w:webHidden/>
          </w:rPr>
          <w:fldChar w:fldCharType="separate"/>
        </w:r>
        <w:r>
          <w:rPr>
            <w:noProof/>
            <w:webHidden/>
          </w:rPr>
          <w:t>165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64" w:history="1">
        <w:r w:rsidRPr="00572870">
          <w:rPr>
            <w:rStyle w:val="Hyperlink"/>
            <w:noProof/>
          </w:rPr>
          <w:t>Articolo 22.02 Deroghe</w:t>
        </w:r>
        <w:r>
          <w:rPr>
            <w:noProof/>
            <w:webHidden/>
          </w:rPr>
          <w:tab/>
        </w:r>
        <w:r>
          <w:rPr>
            <w:noProof/>
            <w:webHidden/>
          </w:rPr>
          <w:fldChar w:fldCharType="begin"/>
        </w:r>
        <w:r>
          <w:rPr>
            <w:noProof/>
            <w:webHidden/>
          </w:rPr>
          <w:instrText xml:space="preserve"> PAGEREF _Toc535500164 \h </w:instrText>
        </w:r>
        <w:r>
          <w:rPr>
            <w:noProof/>
            <w:webHidden/>
          </w:rPr>
        </w:r>
        <w:r>
          <w:rPr>
            <w:noProof/>
            <w:webHidden/>
          </w:rPr>
          <w:fldChar w:fldCharType="separate"/>
        </w:r>
        <w:r>
          <w:rPr>
            <w:noProof/>
            <w:webHidden/>
          </w:rPr>
          <w:t>165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65" w:history="1">
        <w:r w:rsidRPr="00572870">
          <w:rPr>
            <w:rStyle w:val="Hyperlink"/>
            <w:noProof/>
          </w:rPr>
          <w:t>Articolo 22.03 Requisiti supplementari</w:t>
        </w:r>
        <w:r>
          <w:rPr>
            <w:noProof/>
            <w:webHidden/>
          </w:rPr>
          <w:tab/>
        </w:r>
        <w:r>
          <w:rPr>
            <w:noProof/>
            <w:webHidden/>
          </w:rPr>
          <w:fldChar w:fldCharType="begin"/>
        </w:r>
        <w:r>
          <w:rPr>
            <w:noProof/>
            <w:webHidden/>
          </w:rPr>
          <w:instrText xml:space="preserve"> PAGEREF _Toc535500165 \h </w:instrText>
        </w:r>
        <w:r>
          <w:rPr>
            <w:noProof/>
            <w:webHidden/>
          </w:rPr>
        </w:r>
        <w:r>
          <w:rPr>
            <w:noProof/>
            <w:webHidden/>
          </w:rPr>
          <w:fldChar w:fldCharType="separate"/>
        </w:r>
        <w:r>
          <w:rPr>
            <w:noProof/>
            <w:webHidden/>
          </w:rPr>
          <w:t>166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66" w:history="1">
        <w:r w:rsidRPr="00572870">
          <w:rPr>
            <w:rStyle w:val="Hyperlink"/>
            <w:noProof/>
          </w:rPr>
          <w:t>Articolo 22.04 Distanza di sicurezza residua</w:t>
        </w:r>
        <w:r>
          <w:rPr>
            <w:noProof/>
            <w:webHidden/>
          </w:rPr>
          <w:tab/>
        </w:r>
        <w:r>
          <w:rPr>
            <w:noProof/>
            <w:webHidden/>
          </w:rPr>
          <w:fldChar w:fldCharType="begin"/>
        </w:r>
        <w:r>
          <w:rPr>
            <w:noProof/>
            <w:webHidden/>
          </w:rPr>
          <w:instrText xml:space="preserve"> PAGEREF _Toc535500166 \h </w:instrText>
        </w:r>
        <w:r>
          <w:rPr>
            <w:noProof/>
            <w:webHidden/>
          </w:rPr>
        </w:r>
        <w:r>
          <w:rPr>
            <w:noProof/>
            <w:webHidden/>
          </w:rPr>
          <w:fldChar w:fldCharType="separate"/>
        </w:r>
        <w:r>
          <w:rPr>
            <w:noProof/>
            <w:webHidden/>
          </w:rPr>
          <w:t>166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67" w:history="1">
        <w:r w:rsidRPr="00572870">
          <w:rPr>
            <w:rStyle w:val="Hyperlink"/>
            <w:noProof/>
          </w:rPr>
          <w:t>Articolo 22.05 Bordo libero residuo</w:t>
        </w:r>
        <w:r>
          <w:rPr>
            <w:noProof/>
            <w:webHidden/>
          </w:rPr>
          <w:tab/>
        </w:r>
        <w:r>
          <w:rPr>
            <w:noProof/>
            <w:webHidden/>
          </w:rPr>
          <w:fldChar w:fldCharType="begin"/>
        </w:r>
        <w:r>
          <w:rPr>
            <w:noProof/>
            <w:webHidden/>
          </w:rPr>
          <w:instrText xml:space="preserve"> PAGEREF _Toc535500167 \h </w:instrText>
        </w:r>
        <w:r>
          <w:rPr>
            <w:noProof/>
            <w:webHidden/>
          </w:rPr>
        </w:r>
        <w:r>
          <w:rPr>
            <w:noProof/>
            <w:webHidden/>
          </w:rPr>
          <w:fldChar w:fldCharType="separate"/>
        </w:r>
        <w:r>
          <w:rPr>
            <w:noProof/>
            <w:webHidden/>
          </w:rPr>
          <w:t>166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68" w:history="1">
        <w:r w:rsidRPr="00572870">
          <w:rPr>
            <w:rStyle w:val="Hyperlink"/>
            <w:noProof/>
          </w:rPr>
          <w:t>Articolo 22.06 Prova di sbandamento</w:t>
        </w:r>
        <w:r>
          <w:rPr>
            <w:noProof/>
            <w:webHidden/>
          </w:rPr>
          <w:tab/>
        </w:r>
        <w:r>
          <w:rPr>
            <w:noProof/>
            <w:webHidden/>
          </w:rPr>
          <w:fldChar w:fldCharType="begin"/>
        </w:r>
        <w:r>
          <w:rPr>
            <w:noProof/>
            <w:webHidden/>
          </w:rPr>
          <w:instrText xml:space="preserve"> PAGEREF _Toc535500168 \h </w:instrText>
        </w:r>
        <w:r>
          <w:rPr>
            <w:noProof/>
            <w:webHidden/>
          </w:rPr>
        </w:r>
        <w:r>
          <w:rPr>
            <w:noProof/>
            <w:webHidden/>
          </w:rPr>
          <w:fldChar w:fldCharType="separate"/>
        </w:r>
        <w:r>
          <w:rPr>
            <w:noProof/>
            <w:webHidden/>
          </w:rPr>
          <w:t>167</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69" w:history="1">
        <w:r w:rsidRPr="00572870">
          <w:rPr>
            <w:rStyle w:val="Hyperlink"/>
            <w:noProof/>
          </w:rPr>
          <w:t>Articolo 22.07 Dimostrazione della stabilità</w:t>
        </w:r>
        <w:r>
          <w:rPr>
            <w:noProof/>
            <w:webHidden/>
          </w:rPr>
          <w:tab/>
        </w:r>
        <w:r>
          <w:rPr>
            <w:noProof/>
            <w:webHidden/>
          </w:rPr>
          <w:fldChar w:fldCharType="begin"/>
        </w:r>
        <w:r>
          <w:rPr>
            <w:noProof/>
            <w:webHidden/>
          </w:rPr>
          <w:instrText xml:space="preserve"> PAGEREF _Toc535500169 \h </w:instrText>
        </w:r>
        <w:r>
          <w:rPr>
            <w:noProof/>
            <w:webHidden/>
          </w:rPr>
        </w:r>
        <w:r>
          <w:rPr>
            <w:noProof/>
            <w:webHidden/>
          </w:rPr>
          <w:fldChar w:fldCharType="separate"/>
        </w:r>
        <w:r>
          <w:rPr>
            <w:noProof/>
            <w:webHidden/>
          </w:rPr>
          <w:t>167</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70" w:history="1">
        <w:r w:rsidRPr="00572870">
          <w:rPr>
            <w:rStyle w:val="Hyperlink"/>
            <w:noProof/>
          </w:rPr>
          <w:t>Articolo 22.08 Dimostrazione della stabilità in caso di bordo libero residuo ridotto</w:t>
        </w:r>
        <w:r>
          <w:rPr>
            <w:noProof/>
            <w:webHidden/>
          </w:rPr>
          <w:tab/>
        </w:r>
        <w:r>
          <w:rPr>
            <w:noProof/>
            <w:webHidden/>
          </w:rPr>
          <w:fldChar w:fldCharType="begin"/>
        </w:r>
        <w:r>
          <w:rPr>
            <w:noProof/>
            <w:webHidden/>
          </w:rPr>
          <w:instrText xml:space="preserve"> PAGEREF _Toc535500170 \h </w:instrText>
        </w:r>
        <w:r>
          <w:rPr>
            <w:noProof/>
            <w:webHidden/>
          </w:rPr>
        </w:r>
        <w:r>
          <w:rPr>
            <w:noProof/>
            <w:webHidden/>
          </w:rPr>
          <w:fldChar w:fldCharType="separate"/>
        </w:r>
        <w:r>
          <w:rPr>
            <w:noProof/>
            <w:webHidden/>
          </w:rPr>
          <w:t>169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71" w:history="1">
        <w:r w:rsidRPr="00572870">
          <w:rPr>
            <w:rStyle w:val="Hyperlink"/>
            <w:noProof/>
          </w:rPr>
          <w:t>Articolo 22.09 Marche d'immersione e scale d'immersione</w:t>
        </w:r>
        <w:r>
          <w:rPr>
            <w:noProof/>
            <w:webHidden/>
          </w:rPr>
          <w:tab/>
        </w:r>
        <w:r>
          <w:rPr>
            <w:noProof/>
            <w:webHidden/>
          </w:rPr>
          <w:fldChar w:fldCharType="begin"/>
        </w:r>
        <w:r>
          <w:rPr>
            <w:noProof/>
            <w:webHidden/>
          </w:rPr>
          <w:instrText xml:space="preserve"> PAGEREF _Toc535500171 \h </w:instrText>
        </w:r>
        <w:r>
          <w:rPr>
            <w:noProof/>
            <w:webHidden/>
          </w:rPr>
        </w:r>
        <w:r>
          <w:rPr>
            <w:noProof/>
            <w:webHidden/>
          </w:rPr>
          <w:fldChar w:fldCharType="separate"/>
        </w:r>
        <w:r>
          <w:rPr>
            <w:noProof/>
            <w:webHidden/>
          </w:rPr>
          <w:t>170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72" w:history="1">
        <w:r w:rsidRPr="00572870">
          <w:rPr>
            <w:rStyle w:val="Hyperlink"/>
            <w:noProof/>
          </w:rPr>
          <w:t>Articolo 22.10 Galleggianti speciali senza dimostrazione della stabilità</w:t>
        </w:r>
        <w:r>
          <w:rPr>
            <w:noProof/>
            <w:webHidden/>
          </w:rPr>
          <w:tab/>
        </w:r>
        <w:r>
          <w:rPr>
            <w:noProof/>
            <w:webHidden/>
          </w:rPr>
          <w:fldChar w:fldCharType="begin"/>
        </w:r>
        <w:r>
          <w:rPr>
            <w:noProof/>
            <w:webHidden/>
          </w:rPr>
          <w:instrText xml:space="preserve"> PAGEREF _Toc535500172 \h </w:instrText>
        </w:r>
        <w:r>
          <w:rPr>
            <w:noProof/>
            <w:webHidden/>
          </w:rPr>
        </w:r>
        <w:r>
          <w:rPr>
            <w:noProof/>
            <w:webHidden/>
          </w:rPr>
          <w:fldChar w:fldCharType="separate"/>
        </w:r>
        <w:r>
          <w:rPr>
            <w:noProof/>
            <w:webHidden/>
          </w:rPr>
          <w:t>170</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173" w:history="1">
        <w:r w:rsidRPr="00572870">
          <w:rPr>
            <w:rStyle w:val="Hyperlink"/>
            <w:noProof/>
          </w:rPr>
          <w:t>Capo 23 Disposizioni particolari per le navi cantiere</w:t>
        </w:r>
        <w:r>
          <w:rPr>
            <w:noProof/>
            <w:webHidden/>
          </w:rPr>
          <w:tab/>
        </w:r>
        <w:r>
          <w:rPr>
            <w:noProof/>
            <w:webHidden/>
          </w:rPr>
          <w:fldChar w:fldCharType="begin"/>
        </w:r>
        <w:r>
          <w:rPr>
            <w:noProof/>
            <w:webHidden/>
          </w:rPr>
          <w:instrText xml:space="preserve"> PAGEREF _Toc535500173 \h </w:instrText>
        </w:r>
        <w:r>
          <w:rPr>
            <w:noProof/>
            <w:webHidden/>
          </w:rPr>
        </w:r>
        <w:r>
          <w:rPr>
            <w:noProof/>
            <w:webHidden/>
          </w:rPr>
          <w:fldChar w:fldCharType="separate"/>
        </w:r>
        <w:r>
          <w:rPr>
            <w:noProof/>
            <w:webHidden/>
          </w:rPr>
          <w:t>171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74" w:history="1">
        <w:r w:rsidRPr="00572870">
          <w:rPr>
            <w:rStyle w:val="Hyperlink"/>
            <w:noProof/>
          </w:rPr>
          <w:t>Articolo 23.01 Condizioni d'esercizio</w:t>
        </w:r>
        <w:r>
          <w:rPr>
            <w:noProof/>
            <w:webHidden/>
          </w:rPr>
          <w:tab/>
        </w:r>
        <w:r>
          <w:rPr>
            <w:noProof/>
            <w:webHidden/>
          </w:rPr>
          <w:fldChar w:fldCharType="begin"/>
        </w:r>
        <w:r>
          <w:rPr>
            <w:noProof/>
            <w:webHidden/>
          </w:rPr>
          <w:instrText xml:space="preserve"> PAGEREF _Toc535500174 \h </w:instrText>
        </w:r>
        <w:r>
          <w:rPr>
            <w:noProof/>
            <w:webHidden/>
          </w:rPr>
        </w:r>
        <w:r>
          <w:rPr>
            <w:noProof/>
            <w:webHidden/>
          </w:rPr>
          <w:fldChar w:fldCharType="separate"/>
        </w:r>
        <w:r>
          <w:rPr>
            <w:noProof/>
            <w:webHidden/>
          </w:rPr>
          <w:t>171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75" w:history="1">
        <w:r w:rsidRPr="00572870">
          <w:rPr>
            <w:rStyle w:val="Hyperlink"/>
            <w:noProof/>
          </w:rPr>
          <w:t>Articolo 23.02 Applicazione della parte II</w:t>
        </w:r>
        <w:r>
          <w:rPr>
            <w:noProof/>
            <w:webHidden/>
          </w:rPr>
          <w:tab/>
        </w:r>
        <w:r>
          <w:rPr>
            <w:noProof/>
            <w:webHidden/>
          </w:rPr>
          <w:fldChar w:fldCharType="begin"/>
        </w:r>
        <w:r>
          <w:rPr>
            <w:noProof/>
            <w:webHidden/>
          </w:rPr>
          <w:instrText xml:space="preserve"> PAGEREF _Toc535500175 \h </w:instrText>
        </w:r>
        <w:r>
          <w:rPr>
            <w:noProof/>
            <w:webHidden/>
          </w:rPr>
        </w:r>
        <w:r>
          <w:rPr>
            <w:noProof/>
            <w:webHidden/>
          </w:rPr>
          <w:fldChar w:fldCharType="separate"/>
        </w:r>
        <w:r>
          <w:rPr>
            <w:noProof/>
            <w:webHidden/>
          </w:rPr>
          <w:t>171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76" w:history="1">
        <w:r w:rsidRPr="00572870">
          <w:rPr>
            <w:rStyle w:val="Hyperlink"/>
            <w:noProof/>
          </w:rPr>
          <w:t>Articolo 23.03 Deroghe</w:t>
        </w:r>
        <w:r>
          <w:rPr>
            <w:noProof/>
            <w:webHidden/>
          </w:rPr>
          <w:tab/>
        </w:r>
        <w:r>
          <w:rPr>
            <w:noProof/>
            <w:webHidden/>
          </w:rPr>
          <w:fldChar w:fldCharType="begin"/>
        </w:r>
        <w:r>
          <w:rPr>
            <w:noProof/>
            <w:webHidden/>
          </w:rPr>
          <w:instrText xml:space="preserve"> PAGEREF _Toc535500176 \h </w:instrText>
        </w:r>
        <w:r>
          <w:rPr>
            <w:noProof/>
            <w:webHidden/>
          </w:rPr>
        </w:r>
        <w:r>
          <w:rPr>
            <w:noProof/>
            <w:webHidden/>
          </w:rPr>
          <w:fldChar w:fldCharType="separate"/>
        </w:r>
        <w:r>
          <w:rPr>
            <w:noProof/>
            <w:webHidden/>
          </w:rPr>
          <w:t>171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77" w:history="1">
        <w:r w:rsidRPr="00572870">
          <w:rPr>
            <w:rStyle w:val="Hyperlink"/>
            <w:noProof/>
          </w:rPr>
          <w:t>Articolo 23.04 Distanza di sicurezza e bordo libero</w:t>
        </w:r>
        <w:r>
          <w:rPr>
            <w:noProof/>
            <w:webHidden/>
          </w:rPr>
          <w:tab/>
        </w:r>
        <w:r>
          <w:rPr>
            <w:noProof/>
            <w:webHidden/>
          </w:rPr>
          <w:fldChar w:fldCharType="begin"/>
        </w:r>
        <w:r>
          <w:rPr>
            <w:noProof/>
            <w:webHidden/>
          </w:rPr>
          <w:instrText xml:space="preserve"> PAGEREF _Toc535500177 \h </w:instrText>
        </w:r>
        <w:r>
          <w:rPr>
            <w:noProof/>
            <w:webHidden/>
          </w:rPr>
        </w:r>
        <w:r>
          <w:rPr>
            <w:noProof/>
            <w:webHidden/>
          </w:rPr>
          <w:fldChar w:fldCharType="separate"/>
        </w:r>
        <w:r>
          <w:rPr>
            <w:noProof/>
            <w:webHidden/>
          </w:rPr>
          <w:t>172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78" w:history="1">
        <w:r w:rsidRPr="00572870">
          <w:rPr>
            <w:rStyle w:val="Hyperlink"/>
            <w:noProof/>
          </w:rPr>
          <w:t>Articolo 23.05 Lance</w:t>
        </w:r>
        <w:r>
          <w:rPr>
            <w:noProof/>
            <w:webHidden/>
          </w:rPr>
          <w:tab/>
        </w:r>
        <w:r>
          <w:rPr>
            <w:noProof/>
            <w:webHidden/>
          </w:rPr>
          <w:fldChar w:fldCharType="begin"/>
        </w:r>
        <w:r>
          <w:rPr>
            <w:noProof/>
            <w:webHidden/>
          </w:rPr>
          <w:instrText xml:space="preserve"> PAGEREF _Toc535500178 \h </w:instrText>
        </w:r>
        <w:r>
          <w:rPr>
            <w:noProof/>
            <w:webHidden/>
          </w:rPr>
        </w:r>
        <w:r>
          <w:rPr>
            <w:noProof/>
            <w:webHidden/>
          </w:rPr>
          <w:fldChar w:fldCharType="separate"/>
        </w:r>
        <w:r>
          <w:rPr>
            <w:noProof/>
            <w:webHidden/>
          </w:rPr>
          <w:t>172</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179" w:history="1">
        <w:r w:rsidRPr="00572870">
          <w:rPr>
            <w:rStyle w:val="Hyperlink"/>
            <w:noProof/>
          </w:rPr>
          <w:t>Capo 24 Disposizioni particolari per le imbarcazioni tradizionali</w:t>
        </w:r>
        <w:r>
          <w:rPr>
            <w:noProof/>
            <w:webHidden/>
          </w:rPr>
          <w:tab/>
        </w:r>
        <w:r>
          <w:rPr>
            <w:noProof/>
            <w:webHidden/>
          </w:rPr>
          <w:fldChar w:fldCharType="begin"/>
        </w:r>
        <w:r>
          <w:rPr>
            <w:noProof/>
            <w:webHidden/>
          </w:rPr>
          <w:instrText xml:space="preserve"> PAGEREF _Toc535500179 \h </w:instrText>
        </w:r>
        <w:r>
          <w:rPr>
            <w:noProof/>
            <w:webHidden/>
          </w:rPr>
        </w:r>
        <w:r>
          <w:rPr>
            <w:noProof/>
            <w:webHidden/>
          </w:rPr>
          <w:fldChar w:fldCharType="separate"/>
        </w:r>
        <w:r>
          <w:rPr>
            <w:noProof/>
            <w:webHidden/>
          </w:rPr>
          <w:t>173</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80" w:history="1">
        <w:r w:rsidRPr="00572870">
          <w:rPr>
            <w:rStyle w:val="Hyperlink"/>
            <w:noProof/>
          </w:rPr>
          <w:t>Articolo 24.01 Applicazione delle parti II e III</w:t>
        </w:r>
        <w:r>
          <w:rPr>
            <w:noProof/>
            <w:webHidden/>
          </w:rPr>
          <w:tab/>
        </w:r>
        <w:r>
          <w:rPr>
            <w:noProof/>
            <w:webHidden/>
          </w:rPr>
          <w:fldChar w:fldCharType="begin"/>
        </w:r>
        <w:r>
          <w:rPr>
            <w:noProof/>
            <w:webHidden/>
          </w:rPr>
          <w:instrText xml:space="preserve"> PAGEREF _Toc535500180 \h </w:instrText>
        </w:r>
        <w:r>
          <w:rPr>
            <w:noProof/>
            <w:webHidden/>
          </w:rPr>
        </w:r>
        <w:r>
          <w:rPr>
            <w:noProof/>
            <w:webHidden/>
          </w:rPr>
          <w:fldChar w:fldCharType="separate"/>
        </w:r>
        <w:r>
          <w:rPr>
            <w:noProof/>
            <w:webHidden/>
          </w:rPr>
          <w:t>173</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81" w:history="1">
        <w:r w:rsidRPr="00572870">
          <w:rPr>
            <w:rStyle w:val="Hyperlink"/>
            <w:noProof/>
          </w:rPr>
          <w:t>Articolo 24.02 Riconoscimento ed annotazione nel certificato per la navigazione interna</w:t>
        </w:r>
        <w:r>
          <w:rPr>
            <w:noProof/>
            <w:webHidden/>
          </w:rPr>
          <w:tab/>
        </w:r>
        <w:r>
          <w:rPr>
            <w:noProof/>
            <w:webHidden/>
          </w:rPr>
          <w:fldChar w:fldCharType="begin"/>
        </w:r>
        <w:r>
          <w:rPr>
            <w:noProof/>
            <w:webHidden/>
          </w:rPr>
          <w:instrText xml:space="preserve"> PAGEREF _Toc535500181 \h </w:instrText>
        </w:r>
        <w:r>
          <w:rPr>
            <w:noProof/>
            <w:webHidden/>
          </w:rPr>
        </w:r>
        <w:r>
          <w:rPr>
            <w:noProof/>
            <w:webHidden/>
          </w:rPr>
          <w:fldChar w:fldCharType="separate"/>
        </w:r>
        <w:r>
          <w:rPr>
            <w:noProof/>
            <w:webHidden/>
          </w:rPr>
          <w:t>173</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82" w:history="1">
        <w:r w:rsidRPr="00572870">
          <w:rPr>
            <w:rStyle w:val="Hyperlink"/>
            <w:noProof/>
          </w:rPr>
          <w:t>Articolo 24.03 Altre disposizioni e prescrizioni</w:t>
        </w:r>
        <w:r>
          <w:rPr>
            <w:noProof/>
            <w:webHidden/>
          </w:rPr>
          <w:tab/>
        </w:r>
        <w:r>
          <w:rPr>
            <w:noProof/>
            <w:webHidden/>
          </w:rPr>
          <w:fldChar w:fldCharType="begin"/>
        </w:r>
        <w:r>
          <w:rPr>
            <w:noProof/>
            <w:webHidden/>
          </w:rPr>
          <w:instrText xml:space="preserve"> PAGEREF _Toc535500182 \h </w:instrText>
        </w:r>
        <w:r>
          <w:rPr>
            <w:noProof/>
            <w:webHidden/>
          </w:rPr>
        </w:r>
        <w:r>
          <w:rPr>
            <w:noProof/>
            <w:webHidden/>
          </w:rPr>
          <w:fldChar w:fldCharType="separate"/>
        </w:r>
        <w:r>
          <w:rPr>
            <w:noProof/>
            <w:webHidden/>
          </w:rPr>
          <w:t>175</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183" w:history="1">
        <w:r w:rsidRPr="00572870">
          <w:rPr>
            <w:rStyle w:val="Hyperlink"/>
            <w:noProof/>
          </w:rPr>
          <w:t>Capo 25 Disposizioni particolari per le navi della navigazione marittima</w:t>
        </w:r>
        <w:r>
          <w:rPr>
            <w:noProof/>
            <w:webHidden/>
          </w:rPr>
          <w:tab/>
        </w:r>
        <w:r>
          <w:rPr>
            <w:noProof/>
            <w:webHidden/>
          </w:rPr>
          <w:fldChar w:fldCharType="begin"/>
        </w:r>
        <w:r>
          <w:rPr>
            <w:noProof/>
            <w:webHidden/>
          </w:rPr>
          <w:instrText xml:space="preserve"> PAGEREF _Toc535500183 \h </w:instrText>
        </w:r>
        <w:r>
          <w:rPr>
            <w:noProof/>
            <w:webHidden/>
          </w:rPr>
        </w:r>
        <w:r>
          <w:rPr>
            <w:noProof/>
            <w:webHidden/>
          </w:rPr>
          <w:fldChar w:fldCharType="separate"/>
        </w:r>
        <w:r>
          <w:rPr>
            <w:noProof/>
            <w:webHidden/>
          </w:rPr>
          <w:t>177</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84" w:history="1">
        <w:r w:rsidRPr="00572870">
          <w:rPr>
            <w:rStyle w:val="Hyperlink"/>
            <w:noProof/>
          </w:rPr>
          <w:t>Articolo 25.01 Disposizioni per il Reno (zona R)</w:t>
        </w:r>
        <w:r>
          <w:rPr>
            <w:noProof/>
            <w:webHidden/>
          </w:rPr>
          <w:tab/>
        </w:r>
        <w:r>
          <w:rPr>
            <w:noProof/>
            <w:webHidden/>
          </w:rPr>
          <w:fldChar w:fldCharType="begin"/>
        </w:r>
        <w:r>
          <w:rPr>
            <w:noProof/>
            <w:webHidden/>
          </w:rPr>
          <w:instrText xml:space="preserve"> PAGEREF _Toc535500184 \h </w:instrText>
        </w:r>
        <w:r>
          <w:rPr>
            <w:noProof/>
            <w:webHidden/>
          </w:rPr>
        </w:r>
        <w:r>
          <w:rPr>
            <w:noProof/>
            <w:webHidden/>
          </w:rPr>
          <w:fldChar w:fldCharType="separate"/>
        </w:r>
        <w:r>
          <w:rPr>
            <w:noProof/>
            <w:webHidden/>
          </w:rPr>
          <w:t>177</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185" w:history="1">
        <w:r w:rsidRPr="00572870">
          <w:rPr>
            <w:rStyle w:val="Hyperlink"/>
            <w:noProof/>
          </w:rPr>
          <w:t>Capo 26 Disposizioni particolari per le imbarcazioni da diporto</w:t>
        </w:r>
        <w:r>
          <w:rPr>
            <w:noProof/>
            <w:webHidden/>
          </w:rPr>
          <w:tab/>
        </w:r>
        <w:r>
          <w:rPr>
            <w:noProof/>
            <w:webHidden/>
          </w:rPr>
          <w:fldChar w:fldCharType="begin"/>
        </w:r>
        <w:r>
          <w:rPr>
            <w:noProof/>
            <w:webHidden/>
          </w:rPr>
          <w:instrText xml:space="preserve"> PAGEREF _Toc535500185 \h </w:instrText>
        </w:r>
        <w:r>
          <w:rPr>
            <w:noProof/>
            <w:webHidden/>
          </w:rPr>
        </w:r>
        <w:r>
          <w:rPr>
            <w:noProof/>
            <w:webHidden/>
          </w:rPr>
          <w:fldChar w:fldCharType="separate"/>
        </w:r>
        <w:r>
          <w:rPr>
            <w:noProof/>
            <w:webHidden/>
          </w:rPr>
          <w:t>179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86" w:history="1">
        <w:r w:rsidRPr="00572870">
          <w:rPr>
            <w:rStyle w:val="Hyperlink"/>
            <w:noProof/>
          </w:rPr>
          <w:t>Articolo 26.01 Applicazione della parte II</w:t>
        </w:r>
        <w:r>
          <w:rPr>
            <w:noProof/>
            <w:webHidden/>
          </w:rPr>
          <w:tab/>
        </w:r>
        <w:r>
          <w:rPr>
            <w:noProof/>
            <w:webHidden/>
          </w:rPr>
          <w:fldChar w:fldCharType="begin"/>
        </w:r>
        <w:r>
          <w:rPr>
            <w:noProof/>
            <w:webHidden/>
          </w:rPr>
          <w:instrText xml:space="preserve"> PAGEREF _Toc535500186 \h </w:instrText>
        </w:r>
        <w:r>
          <w:rPr>
            <w:noProof/>
            <w:webHidden/>
          </w:rPr>
        </w:r>
        <w:r>
          <w:rPr>
            <w:noProof/>
            <w:webHidden/>
          </w:rPr>
          <w:fldChar w:fldCharType="separate"/>
        </w:r>
        <w:r>
          <w:rPr>
            <w:noProof/>
            <w:webHidden/>
          </w:rPr>
          <w:t>179</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187" w:history="1">
        <w:r w:rsidRPr="00572870">
          <w:rPr>
            <w:rStyle w:val="Hyperlink"/>
            <w:noProof/>
          </w:rPr>
          <w:t>Capo 27 Disposizioni particolari per le navi che trasportano container</w:t>
        </w:r>
        <w:r>
          <w:rPr>
            <w:noProof/>
            <w:webHidden/>
          </w:rPr>
          <w:tab/>
        </w:r>
        <w:r>
          <w:rPr>
            <w:noProof/>
            <w:webHidden/>
          </w:rPr>
          <w:fldChar w:fldCharType="begin"/>
        </w:r>
        <w:r>
          <w:rPr>
            <w:noProof/>
            <w:webHidden/>
          </w:rPr>
          <w:instrText xml:space="preserve"> PAGEREF _Toc535500187 \h </w:instrText>
        </w:r>
        <w:r>
          <w:rPr>
            <w:noProof/>
            <w:webHidden/>
          </w:rPr>
        </w:r>
        <w:r>
          <w:rPr>
            <w:noProof/>
            <w:webHidden/>
          </w:rPr>
          <w:fldChar w:fldCharType="separate"/>
        </w:r>
        <w:r>
          <w:rPr>
            <w:noProof/>
            <w:webHidden/>
          </w:rPr>
          <w:t>181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88" w:history="1">
        <w:r w:rsidRPr="00572870">
          <w:rPr>
            <w:rStyle w:val="Hyperlink"/>
            <w:noProof/>
          </w:rPr>
          <w:t>Articolo 27.01 Aspetti generali</w:t>
        </w:r>
        <w:r>
          <w:rPr>
            <w:noProof/>
            <w:webHidden/>
          </w:rPr>
          <w:tab/>
        </w:r>
        <w:r>
          <w:rPr>
            <w:noProof/>
            <w:webHidden/>
          </w:rPr>
          <w:fldChar w:fldCharType="begin"/>
        </w:r>
        <w:r>
          <w:rPr>
            <w:noProof/>
            <w:webHidden/>
          </w:rPr>
          <w:instrText xml:space="preserve"> PAGEREF _Toc535500188 \h </w:instrText>
        </w:r>
        <w:r>
          <w:rPr>
            <w:noProof/>
            <w:webHidden/>
          </w:rPr>
        </w:r>
        <w:r>
          <w:rPr>
            <w:noProof/>
            <w:webHidden/>
          </w:rPr>
          <w:fldChar w:fldCharType="separate"/>
        </w:r>
        <w:r>
          <w:rPr>
            <w:noProof/>
            <w:webHidden/>
          </w:rPr>
          <w:t>181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89" w:history="1">
        <w:r w:rsidRPr="00572870">
          <w:rPr>
            <w:rStyle w:val="Hyperlink"/>
            <w:noProof/>
          </w:rPr>
          <w:t>Articolo 27.02Condizioni limite e metodo di calcolo per la dimostrazione della stabilità per il trasporto di container non fissi</w:t>
        </w:r>
        <w:r>
          <w:rPr>
            <w:noProof/>
            <w:webHidden/>
          </w:rPr>
          <w:tab/>
        </w:r>
        <w:r>
          <w:rPr>
            <w:noProof/>
            <w:webHidden/>
          </w:rPr>
          <w:fldChar w:fldCharType="begin"/>
        </w:r>
        <w:r>
          <w:rPr>
            <w:noProof/>
            <w:webHidden/>
          </w:rPr>
          <w:instrText xml:space="preserve"> PAGEREF _Toc535500189 \h </w:instrText>
        </w:r>
        <w:r>
          <w:rPr>
            <w:noProof/>
            <w:webHidden/>
          </w:rPr>
        </w:r>
        <w:r>
          <w:rPr>
            <w:noProof/>
            <w:webHidden/>
          </w:rPr>
          <w:fldChar w:fldCharType="separate"/>
        </w:r>
        <w:r>
          <w:rPr>
            <w:noProof/>
            <w:webHidden/>
          </w:rPr>
          <w:t>181</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90" w:history="1">
        <w:r w:rsidRPr="00572870">
          <w:rPr>
            <w:rStyle w:val="Hyperlink"/>
            <w:noProof/>
          </w:rPr>
          <w:t>Articolo 27.03 Condizioni limite e metodo di calcolo per la dimostrazione della stabilità per il trasporto di container fissi</w:t>
        </w:r>
        <w:r>
          <w:rPr>
            <w:noProof/>
            <w:webHidden/>
          </w:rPr>
          <w:tab/>
        </w:r>
        <w:r>
          <w:rPr>
            <w:noProof/>
            <w:webHidden/>
          </w:rPr>
          <w:fldChar w:fldCharType="begin"/>
        </w:r>
        <w:r>
          <w:rPr>
            <w:noProof/>
            <w:webHidden/>
          </w:rPr>
          <w:instrText xml:space="preserve"> PAGEREF _Toc535500190 \h </w:instrText>
        </w:r>
        <w:r>
          <w:rPr>
            <w:noProof/>
            <w:webHidden/>
          </w:rPr>
        </w:r>
        <w:r>
          <w:rPr>
            <w:noProof/>
            <w:webHidden/>
          </w:rPr>
          <w:fldChar w:fldCharType="separate"/>
        </w:r>
        <w:r>
          <w:rPr>
            <w:noProof/>
            <w:webHidden/>
          </w:rPr>
          <w:t>184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91" w:history="1">
        <w:r w:rsidRPr="00572870">
          <w:rPr>
            <w:rStyle w:val="Hyperlink"/>
            <w:noProof/>
          </w:rPr>
          <w:t>Articolo 27.04 Procedura di valutazione della stabilità a bordo</w:t>
        </w:r>
        <w:r>
          <w:rPr>
            <w:noProof/>
            <w:webHidden/>
          </w:rPr>
          <w:tab/>
        </w:r>
        <w:r>
          <w:rPr>
            <w:noProof/>
            <w:webHidden/>
          </w:rPr>
          <w:fldChar w:fldCharType="begin"/>
        </w:r>
        <w:r>
          <w:rPr>
            <w:noProof/>
            <w:webHidden/>
          </w:rPr>
          <w:instrText xml:space="preserve"> PAGEREF _Toc535500191 \h </w:instrText>
        </w:r>
        <w:r>
          <w:rPr>
            <w:noProof/>
            <w:webHidden/>
          </w:rPr>
        </w:r>
        <w:r>
          <w:rPr>
            <w:noProof/>
            <w:webHidden/>
          </w:rPr>
          <w:fldChar w:fldCharType="separate"/>
        </w:r>
        <w:r>
          <w:rPr>
            <w:noProof/>
            <w:webHidden/>
          </w:rPr>
          <w:t>185</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192" w:history="1">
        <w:r w:rsidRPr="00572870">
          <w:rPr>
            <w:rStyle w:val="Hyperlink"/>
            <w:noProof/>
          </w:rPr>
          <w:t>Capo 28 Disposizioni particolari per le imbarcazioni di lunghezza superiore a 110 m</w:t>
        </w:r>
        <w:r>
          <w:rPr>
            <w:noProof/>
            <w:webHidden/>
          </w:rPr>
          <w:tab/>
        </w:r>
        <w:r>
          <w:rPr>
            <w:noProof/>
            <w:webHidden/>
          </w:rPr>
          <w:fldChar w:fldCharType="begin"/>
        </w:r>
        <w:r>
          <w:rPr>
            <w:noProof/>
            <w:webHidden/>
          </w:rPr>
          <w:instrText xml:space="preserve"> PAGEREF _Toc535500192 \h </w:instrText>
        </w:r>
        <w:r>
          <w:rPr>
            <w:noProof/>
            <w:webHidden/>
          </w:rPr>
        </w:r>
        <w:r>
          <w:rPr>
            <w:noProof/>
            <w:webHidden/>
          </w:rPr>
          <w:fldChar w:fldCharType="separate"/>
        </w:r>
        <w:r>
          <w:rPr>
            <w:noProof/>
            <w:webHidden/>
          </w:rPr>
          <w:t>187</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93" w:history="1">
        <w:r w:rsidRPr="00572870">
          <w:rPr>
            <w:rStyle w:val="Hyperlink"/>
            <w:noProof/>
          </w:rPr>
          <w:t>Articolo 28.01 Applicazione della parte II</w:t>
        </w:r>
        <w:r>
          <w:rPr>
            <w:noProof/>
            <w:webHidden/>
          </w:rPr>
          <w:tab/>
        </w:r>
        <w:r>
          <w:rPr>
            <w:noProof/>
            <w:webHidden/>
          </w:rPr>
          <w:fldChar w:fldCharType="begin"/>
        </w:r>
        <w:r>
          <w:rPr>
            <w:noProof/>
            <w:webHidden/>
          </w:rPr>
          <w:instrText xml:space="preserve"> PAGEREF _Toc535500193 \h </w:instrText>
        </w:r>
        <w:r>
          <w:rPr>
            <w:noProof/>
            <w:webHidden/>
          </w:rPr>
        </w:r>
        <w:r>
          <w:rPr>
            <w:noProof/>
            <w:webHidden/>
          </w:rPr>
          <w:fldChar w:fldCharType="separate"/>
        </w:r>
        <w:r>
          <w:rPr>
            <w:noProof/>
            <w:webHidden/>
          </w:rPr>
          <w:t>187</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94" w:history="1">
        <w:r w:rsidRPr="00572870">
          <w:rPr>
            <w:rStyle w:val="Hyperlink"/>
            <w:noProof/>
          </w:rPr>
          <w:t>Articolo 28.02 Robustezza</w:t>
        </w:r>
        <w:r>
          <w:rPr>
            <w:noProof/>
            <w:webHidden/>
          </w:rPr>
          <w:tab/>
        </w:r>
        <w:r>
          <w:rPr>
            <w:noProof/>
            <w:webHidden/>
          </w:rPr>
          <w:fldChar w:fldCharType="begin"/>
        </w:r>
        <w:r>
          <w:rPr>
            <w:noProof/>
            <w:webHidden/>
          </w:rPr>
          <w:instrText xml:space="preserve"> PAGEREF _Toc535500194 \h </w:instrText>
        </w:r>
        <w:r>
          <w:rPr>
            <w:noProof/>
            <w:webHidden/>
          </w:rPr>
        </w:r>
        <w:r>
          <w:rPr>
            <w:noProof/>
            <w:webHidden/>
          </w:rPr>
          <w:fldChar w:fldCharType="separate"/>
        </w:r>
        <w:r>
          <w:rPr>
            <w:noProof/>
            <w:webHidden/>
          </w:rPr>
          <w:t>187</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95" w:history="1">
        <w:r w:rsidRPr="00572870">
          <w:rPr>
            <w:rStyle w:val="Hyperlink"/>
            <w:noProof/>
          </w:rPr>
          <w:t>Articolo 28.03 Galleggiabilità e stabilità</w:t>
        </w:r>
        <w:r>
          <w:rPr>
            <w:noProof/>
            <w:webHidden/>
          </w:rPr>
          <w:tab/>
        </w:r>
        <w:r>
          <w:rPr>
            <w:noProof/>
            <w:webHidden/>
          </w:rPr>
          <w:fldChar w:fldCharType="begin"/>
        </w:r>
        <w:r>
          <w:rPr>
            <w:noProof/>
            <w:webHidden/>
          </w:rPr>
          <w:instrText xml:space="preserve"> PAGEREF _Toc535500195 \h </w:instrText>
        </w:r>
        <w:r>
          <w:rPr>
            <w:noProof/>
            <w:webHidden/>
          </w:rPr>
        </w:r>
        <w:r>
          <w:rPr>
            <w:noProof/>
            <w:webHidden/>
          </w:rPr>
          <w:fldChar w:fldCharType="separate"/>
        </w:r>
        <w:r>
          <w:rPr>
            <w:noProof/>
            <w:webHidden/>
          </w:rPr>
          <w:t>187</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96" w:history="1">
        <w:r w:rsidRPr="00572870">
          <w:rPr>
            <w:rStyle w:val="Hyperlink"/>
            <w:noProof/>
          </w:rPr>
          <w:t>Articolo 28.04 Requisiti supplementari</w:t>
        </w:r>
        <w:r>
          <w:rPr>
            <w:noProof/>
            <w:webHidden/>
          </w:rPr>
          <w:tab/>
        </w:r>
        <w:r>
          <w:rPr>
            <w:noProof/>
            <w:webHidden/>
          </w:rPr>
          <w:fldChar w:fldCharType="begin"/>
        </w:r>
        <w:r>
          <w:rPr>
            <w:noProof/>
            <w:webHidden/>
          </w:rPr>
          <w:instrText xml:space="preserve"> PAGEREF _Toc535500196 \h </w:instrText>
        </w:r>
        <w:r>
          <w:rPr>
            <w:noProof/>
            <w:webHidden/>
          </w:rPr>
        </w:r>
        <w:r>
          <w:rPr>
            <w:noProof/>
            <w:webHidden/>
          </w:rPr>
          <w:fldChar w:fldCharType="separate"/>
        </w:r>
        <w:r>
          <w:rPr>
            <w:noProof/>
            <w:webHidden/>
          </w:rPr>
          <w:t>191</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197" w:history="1">
        <w:r w:rsidRPr="00572870">
          <w:rPr>
            <w:rStyle w:val="Hyperlink"/>
            <w:noProof/>
          </w:rPr>
          <w:t>Capo 29 Disposizioni particolari per le unità veloci</w:t>
        </w:r>
        <w:r>
          <w:rPr>
            <w:noProof/>
            <w:webHidden/>
          </w:rPr>
          <w:tab/>
        </w:r>
        <w:r>
          <w:rPr>
            <w:noProof/>
            <w:webHidden/>
          </w:rPr>
          <w:fldChar w:fldCharType="begin"/>
        </w:r>
        <w:r>
          <w:rPr>
            <w:noProof/>
            <w:webHidden/>
          </w:rPr>
          <w:instrText xml:space="preserve"> PAGEREF _Toc535500197 \h </w:instrText>
        </w:r>
        <w:r>
          <w:rPr>
            <w:noProof/>
            <w:webHidden/>
          </w:rPr>
        </w:r>
        <w:r>
          <w:rPr>
            <w:noProof/>
            <w:webHidden/>
          </w:rPr>
          <w:fldChar w:fldCharType="separate"/>
        </w:r>
        <w:r>
          <w:rPr>
            <w:noProof/>
            <w:webHidden/>
          </w:rPr>
          <w:t>194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98" w:history="1">
        <w:r w:rsidRPr="00572870">
          <w:rPr>
            <w:rStyle w:val="Hyperlink"/>
            <w:noProof/>
          </w:rPr>
          <w:t>Articolo 29.01 Aspetti generali</w:t>
        </w:r>
        <w:r>
          <w:rPr>
            <w:noProof/>
            <w:webHidden/>
          </w:rPr>
          <w:tab/>
        </w:r>
        <w:r>
          <w:rPr>
            <w:noProof/>
            <w:webHidden/>
          </w:rPr>
          <w:fldChar w:fldCharType="begin"/>
        </w:r>
        <w:r>
          <w:rPr>
            <w:noProof/>
            <w:webHidden/>
          </w:rPr>
          <w:instrText xml:space="preserve"> PAGEREF _Toc535500198 \h </w:instrText>
        </w:r>
        <w:r>
          <w:rPr>
            <w:noProof/>
            <w:webHidden/>
          </w:rPr>
        </w:r>
        <w:r>
          <w:rPr>
            <w:noProof/>
            <w:webHidden/>
          </w:rPr>
          <w:fldChar w:fldCharType="separate"/>
        </w:r>
        <w:r>
          <w:rPr>
            <w:noProof/>
            <w:webHidden/>
          </w:rPr>
          <w:t>194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199" w:history="1">
        <w:r w:rsidRPr="00572870">
          <w:rPr>
            <w:rStyle w:val="Hyperlink"/>
            <w:noProof/>
          </w:rPr>
          <w:t>Articolo 29.02 Applicazione delle parti II e III</w:t>
        </w:r>
        <w:r>
          <w:rPr>
            <w:noProof/>
            <w:webHidden/>
          </w:rPr>
          <w:tab/>
        </w:r>
        <w:r>
          <w:rPr>
            <w:noProof/>
            <w:webHidden/>
          </w:rPr>
          <w:fldChar w:fldCharType="begin"/>
        </w:r>
        <w:r>
          <w:rPr>
            <w:noProof/>
            <w:webHidden/>
          </w:rPr>
          <w:instrText xml:space="preserve"> PAGEREF _Toc535500199 \h </w:instrText>
        </w:r>
        <w:r>
          <w:rPr>
            <w:noProof/>
            <w:webHidden/>
          </w:rPr>
        </w:r>
        <w:r>
          <w:rPr>
            <w:noProof/>
            <w:webHidden/>
          </w:rPr>
          <w:fldChar w:fldCharType="separate"/>
        </w:r>
        <w:r>
          <w:rPr>
            <w:noProof/>
            <w:webHidden/>
          </w:rPr>
          <w:t>194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00" w:history="1">
        <w:r w:rsidRPr="00572870">
          <w:rPr>
            <w:rStyle w:val="Hyperlink"/>
            <w:noProof/>
          </w:rPr>
          <w:t>Articolo 29.03 Posti a sedere e cinture di sicurezza</w:t>
        </w:r>
        <w:r>
          <w:rPr>
            <w:noProof/>
            <w:webHidden/>
          </w:rPr>
          <w:tab/>
        </w:r>
        <w:r>
          <w:rPr>
            <w:noProof/>
            <w:webHidden/>
          </w:rPr>
          <w:fldChar w:fldCharType="begin"/>
        </w:r>
        <w:r>
          <w:rPr>
            <w:noProof/>
            <w:webHidden/>
          </w:rPr>
          <w:instrText xml:space="preserve"> PAGEREF _Toc535500200 \h </w:instrText>
        </w:r>
        <w:r>
          <w:rPr>
            <w:noProof/>
            <w:webHidden/>
          </w:rPr>
        </w:r>
        <w:r>
          <w:rPr>
            <w:noProof/>
            <w:webHidden/>
          </w:rPr>
          <w:fldChar w:fldCharType="separate"/>
        </w:r>
        <w:r>
          <w:rPr>
            <w:noProof/>
            <w:webHidden/>
          </w:rPr>
          <w:t>195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01" w:history="1">
        <w:r w:rsidRPr="00572870">
          <w:rPr>
            <w:rStyle w:val="Hyperlink"/>
            <w:noProof/>
          </w:rPr>
          <w:t>Articolo 29.04 Bordo libero</w:t>
        </w:r>
        <w:r>
          <w:rPr>
            <w:noProof/>
            <w:webHidden/>
          </w:rPr>
          <w:tab/>
        </w:r>
        <w:r>
          <w:rPr>
            <w:noProof/>
            <w:webHidden/>
          </w:rPr>
          <w:fldChar w:fldCharType="begin"/>
        </w:r>
        <w:r>
          <w:rPr>
            <w:noProof/>
            <w:webHidden/>
          </w:rPr>
          <w:instrText xml:space="preserve"> PAGEREF _Toc535500201 \h </w:instrText>
        </w:r>
        <w:r>
          <w:rPr>
            <w:noProof/>
            <w:webHidden/>
          </w:rPr>
        </w:r>
        <w:r>
          <w:rPr>
            <w:noProof/>
            <w:webHidden/>
          </w:rPr>
          <w:fldChar w:fldCharType="separate"/>
        </w:r>
        <w:r>
          <w:rPr>
            <w:noProof/>
            <w:webHidden/>
          </w:rPr>
          <w:t>195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02" w:history="1">
        <w:r w:rsidRPr="00572870">
          <w:rPr>
            <w:rStyle w:val="Hyperlink"/>
            <w:noProof/>
          </w:rPr>
          <w:t>Articolo 29.05 Galleggiabilità, stabilità e compartimentazione</w:t>
        </w:r>
        <w:r>
          <w:rPr>
            <w:noProof/>
            <w:webHidden/>
          </w:rPr>
          <w:tab/>
        </w:r>
        <w:r>
          <w:rPr>
            <w:noProof/>
            <w:webHidden/>
          </w:rPr>
          <w:fldChar w:fldCharType="begin"/>
        </w:r>
        <w:r>
          <w:rPr>
            <w:noProof/>
            <w:webHidden/>
          </w:rPr>
          <w:instrText xml:space="preserve"> PAGEREF _Toc535500202 \h </w:instrText>
        </w:r>
        <w:r>
          <w:rPr>
            <w:noProof/>
            <w:webHidden/>
          </w:rPr>
        </w:r>
        <w:r>
          <w:rPr>
            <w:noProof/>
            <w:webHidden/>
          </w:rPr>
          <w:fldChar w:fldCharType="separate"/>
        </w:r>
        <w:r>
          <w:rPr>
            <w:noProof/>
            <w:webHidden/>
          </w:rPr>
          <w:t>195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03" w:history="1">
        <w:r w:rsidRPr="00572870">
          <w:rPr>
            <w:rStyle w:val="Hyperlink"/>
            <w:noProof/>
          </w:rPr>
          <w:t>Articolo 29.06 Timoneria</w:t>
        </w:r>
        <w:r>
          <w:rPr>
            <w:noProof/>
            <w:webHidden/>
          </w:rPr>
          <w:tab/>
        </w:r>
        <w:r>
          <w:rPr>
            <w:noProof/>
            <w:webHidden/>
          </w:rPr>
          <w:fldChar w:fldCharType="begin"/>
        </w:r>
        <w:r>
          <w:rPr>
            <w:noProof/>
            <w:webHidden/>
          </w:rPr>
          <w:instrText xml:space="preserve"> PAGEREF _Toc535500203 \h </w:instrText>
        </w:r>
        <w:r>
          <w:rPr>
            <w:noProof/>
            <w:webHidden/>
          </w:rPr>
        </w:r>
        <w:r>
          <w:rPr>
            <w:noProof/>
            <w:webHidden/>
          </w:rPr>
          <w:fldChar w:fldCharType="separate"/>
        </w:r>
        <w:r>
          <w:rPr>
            <w:noProof/>
            <w:webHidden/>
          </w:rPr>
          <w:t>195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04" w:history="1">
        <w:r w:rsidRPr="00572870">
          <w:rPr>
            <w:rStyle w:val="Hyperlink"/>
            <w:noProof/>
          </w:rPr>
          <w:t>Articolo 29.07 Attrezzature supplementari</w:t>
        </w:r>
        <w:r>
          <w:rPr>
            <w:noProof/>
            <w:webHidden/>
          </w:rPr>
          <w:tab/>
        </w:r>
        <w:r>
          <w:rPr>
            <w:noProof/>
            <w:webHidden/>
          </w:rPr>
          <w:fldChar w:fldCharType="begin"/>
        </w:r>
        <w:r>
          <w:rPr>
            <w:noProof/>
            <w:webHidden/>
          </w:rPr>
          <w:instrText xml:space="preserve"> PAGEREF _Toc535500204 \h </w:instrText>
        </w:r>
        <w:r>
          <w:rPr>
            <w:noProof/>
            <w:webHidden/>
          </w:rPr>
        </w:r>
        <w:r>
          <w:rPr>
            <w:noProof/>
            <w:webHidden/>
          </w:rPr>
          <w:fldChar w:fldCharType="separate"/>
        </w:r>
        <w:r>
          <w:rPr>
            <w:noProof/>
            <w:webHidden/>
          </w:rPr>
          <w:t>196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05" w:history="1">
        <w:r w:rsidRPr="00572870">
          <w:rPr>
            <w:rStyle w:val="Hyperlink"/>
            <w:noProof/>
          </w:rPr>
          <w:t>Articolo 29.08 Zone chiuse</w:t>
        </w:r>
        <w:r>
          <w:rPr>
            <w:noProof/>
            <w:webHidden/>
          </w:rPr>
          <w:tab/>
        </w:r>
        <w:r>
          <w:rPr>
            <w:noProof/>
            <w:webHidden/>
          </w:rPr>
          <w:fldChar w:fldCharType="begin"/>
        </w:r>
        <w:r>
          <w:rPr>
            <w:noProof/>
            <w:webHidden/>
          </w:rPr>
          <w:instrText xml:space="preserve"> PAGEREF _Toc535500205 \h </w:instrText>
        </w:r>
        <w:r>
          <w:rPr>
            <w:noProof/>
            <w:webHidden/>
          </w:rPr>
        </w:r>
        <w:r>
          <w:rPr>
            <w:noProof/>
            <w:webHidden/>
          </w:rPr>
          <w:fldChar w:fldCharType="separate"/>
        </w:r>
        <w:r>
          <w:rPr>
            <w:noProof/>
            <w:webHidden/>
          </w:rPr>
          <w:t>196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06" w:history="1">
        <w:r w:rsidRPr="00572870">
          <w:rPr>
            <w:rStyle w:val="Hyperlink"/>
            <w:noProof/>
          </w:rPr>
          <w:t>Articolo 29.09 Uscite e vie di evacuazione</w:t>
        </w:r>
        <w:r>
          <w:rPr>
            <w:noProof/>
            <w:webHidden/>
          </w:rPr>
          <w:tab/>
        </w:r>
        <w:r>
          <w:rPr>
            <w:noProof/>
            <w:webHidden/>
          </w:rPr>
          <w:fldChar w:fldCharType="begin"/>
        </w:r>
        <w:r>
          <w:rPr>
            <w:noProof/>
            <w:webHidden/>
          </w:rPr>
          <w:instrText xml:space="preserve"> PAGEREF _Toc535500206 \h </w:instrText>
        </w:r>
        <w:r>
          <w:rPr>
            <w:noProof/>
            <w:webHidden/>
          </w:rPr>
        </w:r>
        <w:r>
          <w:rPr>
            <w:noProof/>
            <w:webHidden/>
          </w:rPr>
          <w:fldChar w:fldCharType="separate"/>
        </w:r>
        <w:r>
          <w:rPr>
            <w:noProof/>
            <w:webHidden/>
          </w:rPr>
          <w:t>197</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07" w:history="1">
        <w:r w:rsidRPr="00572870">
          <w:rPr>
            <w:rStyle w:val="Hyperlink"/>
            <w:noProof/>
          </w:rPr>
          <w:t>Articolo 29.10 Protezione e prevenzione antincendio</w:t>
        </w:r>
        <w:r>
          <w:rPr>
            <w:noProof/>
            <w:webHidden/>
          </w:rPr>
          <w:tab/>
        </w:r>
        <w:r>
          <w:rPr>
            <w:noProof/>
            <w:webHidden/>
          </w:rPr>
          <w:fldChar w:fldCharType="begin"/>
        </w:r>
        <w:r>
          <w:rPr>
            <w:noProof/>
            <w:webHidden/>
          </w:rPr>
          <w:instrText xml:space="preserve"> PAGEREF _Toc535500207 \h </w:instrText>
        </w:r>
        <w:r>
          <w:rPr>
            <w:noProof/>
            <w:webHidden/>
          </w:rPr>
        </w:r>
        <w:r>
          <w:rPr>
            <w:noProof/>
            <w:webHidden/>
          </w:rPr>
          <w:fldChar w:fldCharType="separate"/>
        </w:r>
        <w:r>
          <w:rPr>
            <w:noProof/>
            <w:webHidden/>
          </w:rPr>
          <w:t>197</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208" w:history="1">
        <w:r w:rsidRPr="00572870">
          <w:rPr>
            <w:rStyle w:val="Hyperlink"/>
            <w:noProof/>
          </w:rPr>
          <w:t>Capo 30 Disposizioni particolari per le imbarcazioni dotate di sistemi di propulsione o ausiliari funzionanti con combustibile avente un punto di infiammabilità pari o inferiore a 55 °C</w:t>
        </w:r>
        <w:r>
          <w:rPr>
            <w:noProof/>
            <w:webHidden/>
          </w:rPr>
          <w:tab/>
        </w:r>
        <w:r>
          <w:rPr>
            <w:noProof/>
            <w:webHidden/>
          </w:rPr>
          <w:fldChar w:fldCharType="begin"/>
        </w:r>
        <w:r>
          <w:rPr>
            <w:noProof/>
            <w:webHidden/>
          </w:rPr>
          <w:instrText xml:space="preserve"> PAGEREF _Toc535500208 \h </w:instrText>
        </w:r>
        <w:r>
          <w:rPr>
            <w:noProof/>
            <w:webHidden/>
          </w:rPr>
        </w:r>
        <w:r>
          <w:rPr>
            <w:noProof/>
            <w:webHidden/>
          </w:rPr>
          <w:fldChar w:fldCharType="separate"/>
        </w:r>
        <w:r>
          <w:rPr>
            <w:noProof/>
            <w:webHidden/>
          </w:rPr>
          <w:t>198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09" w:history="1">
        <w:r w:rsidRPr="00572870">
          <w:rPr>
            <w:rStyle w:val="Hyperlink"/>
            <w:noProof/>
          </w:rPr>
          <w:t>Articolo 30.01 Aspetti generali</w:t>
        </w:r>
        <w:r>
          <w:rPr>
            <w:noProof/>
            <w:webHidden/>
          </w:rPr>
          <w:tab/>
        </w:r>
        <w:r>
          <w:rPr>
            <w:noProof/>
            <w:webHidden/>
          </w:rPr>
          <w:fldChar w:fldCharType="begin"/>
        </w:r>
        <w:r>
          <w:rPr>
            <w:noProof/>
            <w:webHidden/>
          </w:rPr>
          <w:instrText xml:space="preserve"> PAGEREF _Toc535500209 \h </w:instrText>
        </w:r>
        <w:r>
          <w:rPr>
            <w:noProof/>
            <w:webHidden/>
          </w:rPr>
        </w:r>
        <w:r>
          <w:rPr>
            <w:noProof/>
            <w:webHidden/>
          </w:rPr>
          <w:fldChar w:fldCharType="separate"/>
        </w:r>
        <w:r>
          <w:rPr>
            <w:noProof/>
            <w:webHidden/>
          </w:rPr>
          <w:t>198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10" w:history="1">
        <w:r w:rsidRPr="00572870">
          <w:rPr>
            <w:rStyle w:val="Hyperlink"/>
            <w:noProof/>
          </w:rPr>
          <w:t>Articolo 30.02 Prove</w:t>
        </w:r>
        <w:r>
          <w:rPr>
            <w:noProof/>
            <w:webHidden/>
          </w:rPr>
          <w:tab/>
        </w:r>
        <w:r>
          <w:rPr>
            <w:noProof/>
            <w:webHidden/>
          </w:rPr>
          <w:fldChar w:fldCharType="begin"/>
        </w:r>
        <w:r>
          <w:rPr>
            <w:noProof/>
            <w:webHidden/>
          </w:rPr>
          <w:instrText xml:space="preserve"> PAGEREF _Toc535500210 \h </w:instrText>
        </w:r>
        <w:r>
          <w:rPr>
            <w:noProof/>
            <w:webHidden/>
          </w:rPr>
        </w:r>
        <w:r>
          <w:rPr>
            <w:noProof/>
            <w:webHidden/>
          </w:rPr>
          <w:fldChar w:fldCharType="separate"/>
        </w:r>
        <w:r>
          <w:rPr>
            <w:noProof/>
            <w:webHidden/>
          </w:rPr>
          <w:t>199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11" w:history="1">
        <w:r w:rsidRPr="00572870">
          <w:rPr>
            <w:rStyle w:val="Hyperlink"/>
            <w:noProof/>
          </w:rPr>
          <w:t>Articolo 30.03 Organizzazione della sicurezza</w:t>
        </w:r>
        <w:r>
          <w:rPr>
            <w:noProof/>
            <w:webHidden/>
          </w:rPr>
          <w:tab/>
        </w:r>
        <w:r>
          <w:rPr>
            <w:noProof/>
            <w:webHidden/>
          </w:rPr>
          <w:fldChar w:fldCharType="begin"/>
        </w:r>
        <w:r>
          <w:rPr>
            <w:noProof/>
            <w:webHidden/>
          </w:rPr>
          <w:instrText xml:space="preserve"> PAGEREF _Toc535500211 \h </w:instrText>
        </w:r>
        <w:r>
          <w:rPr>
            <w:noProof/>
            <w:webHidden/>
          </w:rPr>
        </w:r>
        <w:r>
          <w:rPr>
            <w:noProof/>
            <w:webHidden/>
          </w:rPr>
          <w:fldChar w:fldCharType="separate"/>
        </w:r>
        <w:r>
          <w:rPr>
            <w:noProof/>
            <w:webHidden/>
          </w:rPr>
          <w:t>199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12" w:history="1">
        <w:r w:rsidRPr="00572870">
          <w:rPr>
            <w:rStyle w:val="Hyperlink"/>
            <w:noProof/>
          </w:rPr>
          <w:t>Articolo 30.04 (Senza oggetto)</w:t>
        </w:r>
        <w:r>
          <w:rPr>
            <w:noProof/>
            <w:webHidden/>
          </w:rPr>
          <w:tab/>
        </w:r>
        <w:r>
          <w:rPr>
            <w:noProof/>
            <w:webHidden/>
          </w:rPr>
          <w:fldChar w:fldCharType="begin"/>
        </w:r>
        <w:r>
          <w:rPr>
            <w:noProof/>
            <w:webHidden/>
          </w:rPr>
          <w:instrText xml:space="preserve"> PAGEREF _Toc535500212 \h </w:instrText>
        </w:r>
        <w:r>
          <w:rPr>
            <w:noProof/>
            <w:webHidden/>
          </w:rPr>
        </w:r>
        <w:r>
          <w:rPr>
            <w:noProof/>
            <w:webHidden/>
          </w:rPr>
          <w:fldChar w:fldCharType="separate"/>
        </w:r>
        <w:r>
          <w:rPr>
            <w:noProof/>
            <w:webHidden/>
          </w:rPr>
          <w:t>200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13" w:history="1">
        <w:r w:rsidRPr="00572870">
          <w:rPr>
            <w:rStyle w:val="Hyperlink"/>
            <w:noProof/>
          </w:rPr>
          <w:t>Articolo 30.05 Marcatura:</w:t>
        </w:r>
        <w:r>
          <w:rPr>
            <w:noProof/>
            <w:webHidden/>
          </w:rPr>
          <w:tab/>
        </w:r>
        <w:r>
          <w:rPr>
            <w:noProof/>
            <w:webHidden/>
          </w:rPr>
          <w:fldChar w:fldCharType="begin"/>
        </w:r>
        <w:r>
          <w:rPr>
            <w:noProof/>
            <w:webHidden/>
          </w:rPr>
          <w:instrText xml:space="preserve"> PAGEREF _Toc535500213 \h </w:instrText>
        </w:r>
        <w:r>
          <w:rPr>
            <w:noProof/>
            <w:webHidden/>
          </w:rPr>
        </w:r>
        <w:r>
          <w:rPr>
            <w:noProof/>
            <w:webHidden/>
          </w:rPr>
          <w:fldChar w:fldCharType="separate"/>
        </w:r>
        <w:r>
          <w:rPr>
            <w:noProof/>
            <w:webHidden/>
          </w:rPr>
          <w:t>200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14" w:history="1">
        <w:r w:rsidRPr="00572870">
          <w:rPr>
            <w:rStyle w:val="Hyperlink"/>
            <w:noProof/>
          </w:rPr>
          <w:t>Articolo 30.06 Propulsione indipendente</w:t>
        </w:r>
        <w:r>
          <w:rPr>
            <w:noProof/>
            <w:webHidden/>
          </w:rPr>
          <w:tab/>
        </w:r>
        <w:r>
          <w:rPr>
            <w:noProof/>
            <w:webHidden/>
          </w:rPr>
          <w:fldChar w:fldCharType="begin"/>
        </w:r>
        <w:r>
          <w:rPr>
            <w:noProof/>
            <w:webHidden/>
          </w:rPr>
          <w:instrText xml:space="preserve"> PAGEREF _Toc535500214 \h </w:instrText>
        </w:r>
        <w:r>
          <w:rPr>
            <w:noProof/>
            <w:webHidden/>
          </w:rPr>
        </w:r>
        <w:r>
          <w:rPr>
            <w:noProof/>
            <w:webHidden/>
          </w:rPr>
          <w:fldChar w:fldCharType="separate"/>
        </w:r>
        <w:r>
          <w:rPr>
            <w:noProof/>
            <w:webHidden/>
          </w:rPr>
          <w:t>200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15" w:history="1">
        <w:r w:rsidRPr="00572870">
          <w:rPr>
            <w:rStyle w:val="Hyperlink"/>
            <w:noProof/>
          </w:rPr>
          <w:t>Articolo 30.07 Servizi tecnici</w:t>
        </w:r>
        <w:r>
          <w:rPr>
            <w:noProof/>
            <w:webHidden/>
          </w:rPr>
          <w:tab/>
        </w:r>
        <w:r>
          <w:rPr>
            <w:noProof/>
            <w:webHidden/>
          </w:rPr>
          <w:fldChar w:fldCharType="begin"/>
        </w:r>
        <w:r>
          <w:rPr>
            <w:noProof/>
            <w:webHidden/>
          </w:rPr>
          <w:instrText xml:space="preserve"> PAGEREF _Toc535500215 \h </w:instrText>
        </w:r>
        <w:r>
          <w:rPr>
            <w:noProof/>
            <w:webHidden/>
          </w:rPr>
        </w:r>
        <w:r>
          <w:rPr>
            <w:noProof/>
            <w:webHidden/>
          </w:rPr>
          <w:fldChar w:fldCharType="separate"/>
        </w:r>
        <w:r>
          <w:rPr>
            <w:noProof/>
            <w:webHidden/>
          </w:rPr>
          <w:t>200</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216" w:history="1">
        <w:r w:rsidRPr="00572870">
          <w:rPr>
            <w:rStyle w:val="Hyperlink"/>
            <w:noProof/>
          </w:rPr>
          <w:t>Capo 31 Disposizioni particolari per le navi che navigano con un equipaggio minimo</w:t>
        </w:r>
        <w:r>
          <w:rPr>
            <w:noProof/>
            <w:webHidden/>
          </w:rPr>
          <w:tab/>
        </w:r>
        <w:r>
          <w:rPr>
            <w:noProof/>
            <w:webHidden/>
          </w:rPr>
          <w:fldChar w:fldCharType="begin"/>
        </w:r>
        <w:r>
          <w:rPr>
            <w:noProof/>
            <w:webHidden/>
          </w:rPr>
          <w:instrText xml:space="preserve"> PAGEREF _Toc535500216 \h </w:instrText>
        </w:r>
        <w:r>
          <w:rPr>
            <w:noProof/>
            <w:webHidden/>
          </w:rPr>
        </w:r>
        <w:r>
          <w:rPr>
            <w:noProof/>
            <w:webHidden/>
          </w:rPr>
          <w:fldChar w:fldCharType="separate"/>
        </w:r>
        <w:r>
          <w:rPr>
            <w:noProof/>
            <w:webHidden/>
          </w:rPr>
          <w:t>202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17" w:history="1">
        <w:r w:rsidRPr="00572870">
          <w:rPr>
            <w:rStyle w:val="Hyperlink"/>
            <w:noProof/>
          </w:rPr>
          <w:t>Articolo 31.01 Dotazioni di armamento delle navi</w:t>
        </w:r>
        <w:r>
          <w:rPr>
            <w:noProof/>
            <w:webHidden/>
          </w:rPr>
          <w:tab/>
        </w:r>
        <w:r>
          <w:rPr>
            <w:noProof/>
            <w:webHidden/>
          </w:rPr>
          <w:fldChar w:fldCharType="begin"/>
        </w:r>
        <w:r>
          <w:rPr>
            <w:noProof/>
            <w:webHidden/>
          </w:rPr>
          <w:instrText xml:space="preserve"> PAGEREF _Toc535500217 \h </w:instrText>
        </w:r>
        <w:r>
          <w:rPr>
            <w:noProof/>
            <w:webHidden/>
          </w:rPr>
        </w:r>
        <w:r>
          <w:rPr>
            <w:noProof/>
            <w:webHidden/>
          </w:rPr>
          <w:fldChar w:fldCharType="separate"/>
        </w:r>
        <w:r>
          <w:rPr>
            <w:noProof/>
            <w:webHidden/>
          </w:rPr>
          <w:t>202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18" w:history="1">
        <w:r w:rsidRPr="00572870">
          <w:rPr>
            <w:rStyle w:val="Hyperlink"/>
            <w:noProof/>
          </w:rPr>
          <w:t>Articolo 31.02 Norma S1</w:t>
        </w:r>
        <w:r>
          <w:rPr>
            <w:noProof/>
            <w:webHidden/>
          </w:rPr>
          <w:tab/>
        </w:r>
        <w:r>
          <w:rPr>
            <w:noProof/>
            <w:webHidden/>
          </w:rPr>
          <w:fldChar w:fldCharType="begin"/>
        </w:r>
        <w:r>
          <w:rPr>
            <w:noProof/>
            <w:webHidden/>
          </w:rPr>
          <w:instrText xml:space="preserve"> PAGEREF _Toc535500218 \h </w:instrText>
        </w:r>
        <w:r>
          <w:rPr>
            <w:noProof/>
            <w:webHidden/>
          </w:rPr>
        </w:r>
        <w:r>
          <w:rPr>
            <w:noProof/>
            <w:webHidden/>
          </w:rPr>
          <w:fldChar w:fldCharType="separate"/>
        </w:r>
        <w:r>
          <w:rPr>
            <w:noProof/>
            <w:webHidden/>
          </w:rPr>
          <w:t>202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19" w:history="1">
        <w:r w:rsidRPr="00572870">
          <w:rPr>
            <w:rStyle w:val="Hyperlink"/>
            <w:noProof/>
          </w:rPr>
          <w:t>Articolo 31.03 Norma S2</w:t>
        </w:r>
        <w:r>
          <w:rPr>
            <w:noProof/>
            <w:webHidden/>
          </w:rPr>
          <w:tab/>
        </w:r>
        <w:r>
          <w:rPr>
            <w:noProof/>
            <w:webHidden/>
          </w:rPr>
          <w:fldChar w:fldCharType="begin"/>
        </w:r>
        <w:r>
          <w:rPr>
            <w:noProof/>
            <w:webHidden/>
          </w:rPr>
          <w:instrText xml:space="preserve"> PAGEREF _Toc535500219 \h </w:instrText>
        </w:r>
        <w:r>
          <w:rPr>
            <w:noProof/>
            <w:webHidden/>
          </w:rPr>
        </w:r>
        <w:r>
          <w:rPr>
            <w:noProof/>
            <w:webHidden/>
          </w:rPr>
          <w:fldChar w:fldCharType="separate"/>
        </w:r>
        <w:r>
          <w:rPr>
            <w:noProof/>
            <w:webHidden/>
          </w:rPr>
          <w:t>203</w:t>
        </w:r>
        <w:r>
          <w:rPr>
            <w:noProof/>
            <w:webHidden/>
          </w:rPr>
          <w:fldChar w:fldCharType="end"/>
        </w:r>
      </w:hyperlink>
    </w:p>
    <w:p w:rsidR="00624017" w:rsidRDefault="00624017">
      <w:pPr>
        <w:pStyle w:val="TOC1"/>
        <w:rPr>
          <w:rFonts w:asciiTheme="minorHAnsi" w:eastAsiaTheme="minorEastAsia" w:hAnsiTheme="minorHAnsi" w:cstheme="minorBidi"/>
          <w:b w:val="0"/>
          <w:bCs w:val="0"/>
          <w:caps w:val="0"/>
          <w:noProof/>
          <w:sz w:val="22"/>
          <w:szCs w:val="22"/>
          <w:lang w:val="en-GB" w:eastAsia="en-GB" w:bidi="ar-SA"/>
        </w:rPr>
      </w:pPr>
      <w:hyperlink w:anchor="_Toc535500220" w:history="1">
        <w:r w:rsidRPr="00572870">
          <w:rPr>
            <w:rStyle w:val="Hyperlink"/>
            <w:noProof/>
          </w:rPr>
          <w:t>PARTE IV DISPOSIZIONI TRANSITORIE</w:t>
        </w:r>
        <w:r>
          <w:rPr>
            <w:noProof/>
            <w:webHidden/>
          </w:rPr>
          <w:tab/>
        </w:r>
        <w:r>
          <w:rPr>
            <w:noProof/>
            <w:webHidden/>
          </w:rPr>
          <w:fldChar w:fldCharType="begin"/>
        </w:r>
        <w:r>
          <w:rPr>
            <w:noProof/>
            <w:webHidden/>
          </w:rPr>
          <w:instrText xml:space="preserve"> PAGEREF _Toc535500220 \h </w:instrText>
        </w:r>
        <w:r>
          <w:rPr>
            <w:noProof/>
            <w:webHidden/>
          </w:rPr>
        </w:r>
        <w:r>
          <w:rPr>
            <w:noProof/>
            <w:webHidden/>
          </w:rPr>
          <w:fldChar w:fldCharType="separate"/>
        </w:r>
        <w:r>
          <w:rPr>
            <w:noProof/>
            <w:webHidden/>
          </w:rPr>
          <w:t>204</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221" w:history="1">
        <w:r w:rsidRPr="00572870">
          <w:rPr>
            <w:rStyle w:val="Hyperlink"/>
            <w:noProof/>
          </w:rPr>
          <w:t>Capo 32 Disposizioni transitorie per le imbarcazioni che navigano sul Reno (zona R)</w:t>
        </w:r>
        <w:r>
          <w:rPr>
            <w:noProof/>
            <w:webHidden/>
          </w:rPr>
          <w:tab/>
        </w:r>
        <w:r>
          <w:rPr>
            <w:noProof/>
            <w:webHidden/>
          </w:rPr>
          <w:fldChar w:fldCharType="begin"/>
        </w:r>
        <w:r>
          <w:rPr>
            <w:noProof/>
            <w:webHidden/>
          </w:rPr>
          <w:instrText xml:space="preserve"> PAGEREF _Toc535500221 \h </w:instrText>
        </w:r>
        <w:r>
          <w:rPr>
            <w:noProof/>
            <w:webHidden/>
          </w:rPr>
        </w:r>
        <w:r>
          <w:rPr>
            <w:noProof/>
            <w:webHidden/>
          </w:rPr>
          <w:fldChar w:fldCharType="separate"/>
        </w:r>
        <w:r>
          <w:rPr>
            <w:noProof/>
            <w:webHidden/>
          </w:rPr>
          <w:t>204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22" w:history="1">
        <w:r w:rsidRPr="00572870">
          <w:rPr>
            <w:rStyle w:val="Hyperlink"/>
            <w:noProof/>
          </w:rPr>
          <w:t>Articolo 32.01</w:t>
        </w:r>
        <w:r>
          <w:rPr>
            <w:noProof/>
            <w:webHidden/>
          </w:rPr>
          <w:tab/>
        </w:r>
        <w:r>
          <w:rPr>
            <w:noProof/>
            <w:webHidden/>
          </w:rPr>
          <w:fldChar w:fldCharType="begin"/>
        </w:r>
        <w:r>
          <w:rPr>
            <w:noProof/>
            <w:webHidden/>
          </w:rPr>
          <w:instrText xml:space="preserve"> PAGEREF _Toc535500222 \h </w:instrText>
        </w:r>
        <w:r>
          <w:rPr>
            <w:noProof/>
            <w:webHidden/>
          </w:rPr>
        </w:r>
        <w:r>
          <w:rPr>
            <w:noProof/>
            <w:webHidden/>
          </w:rPr>
          <w:fldChar w:fldCharType="separate"/>
        </w:r>
        <w:r>
          <w:rPr>
            <w:noProof/>
            <w:webHidden/>
          </w:rPr>
          <w:t>204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23" w:history="1">
        <w:r w:rsidRPr="00572870">
          <w:rPr>
            <w:rStyle w:val="Hyperlink"/>
            <w:noProof/>
          </w:rPr>
          <w:t>Applicabilità delle disposizioni transitorie per le imbarcazioni già in servizio</w:t>
        </w:r>
        <w:r>
          <w:rPr>
            <w:noProof/>
            <w:webHidden/>
          </w:rPr>
          <w:tab/>
        </w:r>
        <w:r>
          <w:rPr>
            <w:noProof/>
            <w:webHidden/>
          </w:rPr>
          <w:fldChar w:fldCharType="begin"/>
        </w:r>
        <w:r>
          <w:rPr>
            <w:noProof/>
            <w:webHidden/>
          </w:rPr>
          <w:instrText xml:space="preserve"> PAGEREF _Toc535500223 \h </w:instrText>
        </w:r>
        <w:r>
          <w:rPr>
            <w:noProof/>
            <w:webHidden/>
          </w:rPr>
        </w:r>
        <w:r>
          <w:rPr>
            <w:noProof/>
            <w:webHidden/>
          </w:rPr>
          <w:fldChar w:fldCharType="separate"/>
        </w:r>
        <w:r>
          <w:rPr>
            <w:noProof/>
            <w:webHidden/>
          </w:rPr>
          <w:t>204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24" w:history="1">
        <w:r w:rsidRPr="00572870">
          <w:rPr>
            <w:rStyle w:val="Hyperlink"/>
            <w:noProof/>
          </w:rPr>
          <w:t>Articolo 32.02</w:t>
        </w:r>
        <w:r>
          <w:rPr>
            <w:noProof/>
            <w:webHidden/>
          </w:rPr>
          <w:tab/>
        </w:r>
        <w:r>
          <w:rPr>
            <w:noProof/>
            <w:webHidden/>
          </w:rPr>
          <w:fldChar w:fldCharType="begin"/>
        </w:r>
        <w:r>
          <w:rPr>
            <w:noProof/>
            <w:webHidden/>
          </w:rPr>
          <w:instrText xml:space="preserve"> PAGEREF _Toc535500224 \h </w:instrText>
        </w:r>
        <w:r>
          <w:rPr>
            <w:noProof/>
            <w:webHidden/>
          </w:rPr>
        </w:r>
        <w:r>
          <w:rPr>
            <w:noProof/>
            <w:webHidden/>
          </w:rPr>
          <w:fldChar w:fldCharType="separate"/>
        </w:r>
        <w:r>
          <w:rPr>
            <w:noProof/>
            <w:webHidden/>
          </w:rPr>
          <w:t>204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25" w:history="1">
        <w:r w:rsidRPr="00572870">
          <w:rPr>
            <w:rStyle w:val="Hyperlink"/>
            <w:noProof/>
          </w:rPr>
          <w:t>Disposizioni transitorie per le imbarcazioni già in servizio</w:t>
        </w:r>
        <w:r>
          <w:rPr>
            <w:noProof/>
            <w:webHidden/>
          </w:rPr>
          <w:tab/>
        </w:r>
        <w:r>
          <w:rPr>
            <w:noProof/>
            <w:webHidden/>
          </w:rPr>
          <w:fldChar w:fldCharType="begin"/>
        </w:r>
        <w:r>
          <w:rPr>
            <w:noProof/>
            <w:webHidden/>
          </w:rPr>
          <w:instrText xml:space="preserve"> PAGEREF _Toc535500225 \h </w:instrText>
        </w:r>
        <w:r>
          <w:rPr>
            <w:noProof/>
            <w:webHidden/>
          </w:rPr>
        </w:r>
        <w:r>
          <w:rPr>
            <w:noProof/>
            <w:webHidden/>
          </w:rPr>
          <w:fldChar w:fldCharType="separate"/>
        </w:r>
        <w:r>
          <w:rPr>
            <w:noProof/>
            <w:webHidden/>
          </w:rPr>
          <w:t>204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26" w:history="1">
        <w:r w:rsidRPr="00572870">
          <w:rPr>
            <w:rStyle w:val="Hyperlink"/>
            <w:noProof/>
          </w:rPr>
          <w:t>Articolo 32,03</w:t>
        </w:r>
        <w:r>
          <w:rPr>
            <w:noProof/>
            <w:webHidden/>
          </w:rPr>
          <w:tab/>
        </w:r>
        <w:r>
          <w:rPr>
            <w:noProof/>
            <w:webHidden/>
          </w:rPr>
          <w:fldChar w:fldCharType="begin"/>
        </w:r>
        <w:r>
          <w:rPr>
            <w:noProof/>
            <w:webHidden/>
          </w:rPr>
          <w:instrText xml:space="preserve"> PAGEREF _Toc535500226 \h </w:instrText>
        </w:r>
        <w:r>
          <w:rPr>
            <w:noProof/>
            <w:webHidden/>
          </w:rPr>
        </w:r>
        <w:r>
          <w:rPr>
            <w:noProof/>
            <w:webHidden/>
          </w:rPr>
          <w:fldChar w:fldCharType="separate"/>
        </w:r>
        <w:r>
          <w:rPr>
            <w:noProof/>
            <w:webHidden/>
          </w:rPr>
          <w:t>234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27" w:history="1">
        <w:r w:rsidRPr="00572870">
          <w:rPr>
            <w:rStyle w:val="Hyperlink"/>
            <w:noProof/>
          </w:rPr>
          <w:t>Disposizioni transitorie aggiuntive per le imbarcazioni la cui chiglia è stata impostata il 1° aprile 1976 o anteriormente a tale data</w:t>
        </w:r>
        <w:r>
          <w:rPr>
            <w:noProof/>
            <w:webHidden/>
          </w:rPr>
          <w:tab/>
        </w:r>
        <w:r>
          <w:rPr>
            <w:noProof/>
            <w:webHidden/>
          </w:rPr>
          <w:fldChar w:fldCharType="begin"/>
        </w:r>
        <w:r>
          <w:rPr>
            <w:noProof/>
            <w:webHidden/>
          </w:rPr>
          <w:instrText xml:space="preserve"> PAGEREF _Toc535500227 \h </w:instrText>
        </w:r>
        <w:r>
          <w:rPr>
            <w:noProof/>
            <w:webHidden/>
          </w:rPr>
        </w:r>
        <w:r>
          <w:rPr>
            <w:noProof/>
            <w:webHidden/>
          </w:rPr>
          <w:fldChar w:fldCharType="separate"/>
        </w:r>
        <w:r>
          <w:rPr>
            <w:noProof/>
            <w:webHidden/>
          </w:rPr>
          <w:t>234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28" w:history="1">
        <w:r w:rsidRPr="00572870">
          <w:rPr>
            <w:rStyle w:val="Hyperlink"/>
            <w:noProof/>
          </w:rPr>
          <w:t>Articolo 32.04</w:t>
        </w:r>
        <w:r>
          <w:rPr>
            <w:noProof/>
            <w:webHidden/>
          </w:rPr>
          <w:tab/>
        </w:r>
        <w:r>
          <w:rPr>
            <w:noProof/>
            <w:webHidden/>
          </w:rPr>
          <w:fldChar w:fldCharType="begin"/>
        </w:r>
        <w:r>
          <w:rPr>
            <w:noProof/>
            <w:webHidden/>
          </w:rPr>
          <w:instrText xml:space="preserve"> PAGEREF _Toc535500228 \h </w:instrText>
        </w:r>
        <w:r>
          <w:rPr>
            <w:noProof/>
            <w:webHidden/>
          </w:rPr>
        </w:r>
        <w:r>
          <w:rPr>
            <w:noProof/>
            <w:webHidden/>
          </w:rPr>
          <w:fldChar w:fldCharType="separate"/>
        </w:r>
        <w:r>
          <w:rPr>
            <w:noProof/>
            <w:webHidden/>
          </w:rPr>
          <w:t>238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29" w:history="1">
        <w:r w:rsidRPr="00572870">
          <w:rPr>
            <w:rStyle w:val="Hyperlink"/>
            <w:noProof/>
          </w:rPr>
          <w:t>Altre disposizioni transitorie</w:t>
        </w:r>
        <w:r>
          <w:rPr>
            <w:noProof/>
            <w:webHidden/>
          </w:rPr>
          <w:tab/>
        </w:r>
        <w:r>
          <w:rPr>
            <w:noProof/>
            <w:webHidden/>
          </w:rPr>
          <w:fldChar w:fldCharType="begin"/>
        </w:r>
        <w:r>
          <w:rPr>
            <w:noProof/>
            <w:webHidden/>
          </w:rPr>
          <w:instrText xml:space="preserve"> PAGEREF _Toc535500229 \h </w:instrText>
        </w:r>
        <w:r>
          <w:rPr>
            <w:noProof/>
            <w:webHidden/>
          </w:rPr>
        </w:r>
        <w:r>
          <w:rPr>
            <w:noProof/>
            <w:webHidden/>
          </w:rPr>
          <w:fldChar w:fldCharType="separate"/>
        </w:r>
        <w:r>
          <w:rPr>
            <w:noProof/>
            <w:webHidden/>
          </w:rPr>
          <w:t>238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30" w:history="1">
        <w:r w:rsidRPr="00572870">
          <w:rPr>
            <w:rStyle w:val="Hyperlink"/>
            <w:noProof/>
          </w:rPr>
          <w:t>Articolo 32.05</w:t>
        </w:r>
        <w:r>
          <w:rPr>
            <w:noProof/>
            <w:webHidden/>
          </w:rPr>
          <w:tab/>
        </w:r>
        <w:r>
          <w:rPr>
            <w:noProof/>
            <w:webHidden/>
          </w:rPr>
          <w:fldChar w:fldCharType="begin"/>
        </w:r>
        <w:r>
          <w:rPr>
            <w:noProof/>
            <w:webHidden/>
          </w:rPr>
          <w:instrText xml:space="preserve"> PAGEREF _Toc535500230 \h </w:instrText>
        </w:r>
        <w:r>
          <w:rPr>
            <w:noProof/>
            <w:webHidden/>
          </w:rPr>
        </w:r>
        <w:r>
          <w:rPr>
            <w:noProof/>
            <w:webHidden/>
          </w:rPr>
          <w:fldChar w:fldCharType="separate"/>
        </w:r>
        <w:r>
          <w:rPr>
            <w:noProof/>
            <w:webHidden/>
          </w:rPr>
          <w:t>239</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31" w:history="1">
        <w:r w:rsidRPr="00572870">
          <w:rPr>
            <w:rStyle w:val="Hyperlink"/>
            <w:noProof/>
          </w:rPr>
          <w:t>Disposizioni transitorie per imbarcazioni non contemplate dall'articolo 32.01</w:t>
        </w:r>
        <w:r>
          <w:rPr>
            <w:noProof/>
            <w:webHidden/>
          </w:rPr>
          <w:tab/>
        </w:r>
        <w:r>
          <w:rPr>
            <w:noProof/>
            <w:webHidden/>
          </w:rPr>
          <w:fldChar w:fldCharType="begin"/>
        </w:r>
        <w:r>
          <w:rPr>
            <w:noProof/>
            <w:webHidden/>
          </w:rPr>
          <w:instrText xml:space="preserve"> PAGEREF _Toc535500231 \h </w:instrText>
        </w:r>
        <w:r>
          <w:rPr>
            <w:noProof/>
            <w:webHidden/>
          </w:rPr>
        </w:r>
        <w:r>
          <w:rPr>
            <w:noProof/>
            <w:webHidden/>
          </w:rPr>
          <w:fldChar w:fldCharType="separate"/>
        </w:r>
        <w:r>
          <w:rPr>
            <w:noProof/>
            <w:webHidden/>
          </w:rPr>
          <w:t>239</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232" w:history="1">
        <w:r w:rsidRPr="00572870">
          <w:rPr>
            <w:rStyle w:val="Hyperlink"/>
            <w:noProof/>
          </w:rPr>
          <w:t>Capo 33 Disposizioni transitorie per le imbarcazioni che navigano esclusivamente su vie navigabili al di fuori del Reno (zona R)</w:t>
        </w:r>
        <w:r>
          <w:rPr>
            <w:noProof/>
            <w:webHidden/>
          </w:rPr>
          <w:tab/>
        </w:r>
        <w:r>
          <w:rPr>
            <w:noProof/>
            <w:webHidden/>
          </w:rPr>
          <w:fldChar w:fldCharType="begin"/>
        </w:r>
        <w:r>
          <w:rPr>
            <w:noProof/>
            <w:webHidden/>
          </w:rPr>
          <w:instrText xml:space="preserve"> PAGEREF _Toc535500232 \h </w:instrText>
        </w:r>
        <w:r>
          <w:rPr>
            <w:noProof/>
            <w:webHidden/>
          </w:rPr>
        </w:r>
        <w:r>
          <w:rPr>
            <w:noProof/>
            <w:webHidden/>
          </w:rPr>
          <w:fldChar w:fldCharType="separate"/>
        </w:r>
        <w:r>
          <w:rPr>
            <w:noProof/>
            <w:webHidden/>
          </w:rPr>
          <w:t>262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33" w:history="1">
        <w:r w:rsidRPr="00572870">
          <w:rPr>
            <w:rStyle w:val="Hyperlink"/>
            <w:noProof/>
          </w:rPr>
          <w:t>Articolo 33.01</w:t>
        </w:r>
        <w:r>
          <w:rPr>
            <w:noProof/>
            <w:webHidden/>
          </w:rPr>
          <w:tab/>
        </w:r>
        <w:r>
          <w:rPr>
            <w:noProof/>
            <w:webHidden/>
          </w:rPr>
          <w:fldChar w:fldCharType="begin"/>
        </w:r>
        <w:r>
          <w:rPr>
            <w:noProof/>
            <w:webHidden/>
          </w:rPr>
          <w:instrText xml:space="preserve"> PAGEREF _Toc535500233 \h </w:instrText>
        </w:r>
        <w:r>
          <w:rPr>
            <w:noProof/>
            <w:webHidden/>
          </w:rPr>
        </w:r>
        <w:r>
          <w:rPr>
            <w:noProof/>
            <w:webHidden/>
          </w:rPr>
          <w:fldChar w:fldCharType="separate"/>
        </w:r>
        <w:r>
          <w:rPr>
            <w:noProof/>
            <w:webHidden/>
          </w:rPr>
          <w:t>262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34" w:history="1">
        <w:r w:rsidRPr="00572870">
          <w:rPr>
            <w:rStyle w:val="Hyperlink"/>
            <w:noProof/>
          </w:rPr>
          <w:t>Applicabilità delle disposizioni transitorie per le imbarcazioni già in servizio</w:t>
        </w:r>
        <w:r>
          <w:rPr>
            <w:noProof/>
            <w:webHidden/>
          </w:rPr>
          <w:tab/>
        </w:r>
        <w:r>
          <w:rPr>
            <w:noProof/>
            <w:webHidden/>
          </w:rPr>
          <w:fldChar w:fldCharType="begin"/>
        </w:r>
        <w:r>
          <w:rPr>
            <w:noProof/>
            <w:webHidden/>
          </w:rPr>
          <w:instrText xml:space="preserve"> PAGEREF _Toc535500234 \h </w:instrText>
        </w:r>
        <w:r>
          <w:rPr>
            <w:noProof/>
            <w:webHidden/>
          </w:rPr>
        </w:r>
        <w:r>
          <w:rPr>
            <w:noProof/>
            <w:webHidden/>
          </w:rPr>
          <w:fldChar w:fldCharType="separate"/>
        </w:r>
        <w:r>
          <w:rPr>
            <w:noProof/>
            <w:webHidden/>
          </w:rPr>
          <w:t>262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35" w:history="1">
        <w:r w:rsidRPr="00572870">
          <w:rPr>
            <w:rStyle w:val="Hyperlink"/>
            <w:noProof/>
          </w:rPr>
          <w:t>Articolo 33.02</w:t>
        </w:r>
        <w:r>
          <w:rPr>
            <w:noProof/>
            <w:webHidden/>
          </w:rPr>
          <w:tab/>
        </w:r>
        <w:r>
          <w:rPr>
            <w:noProof/>
            <w:webHidden/>
          </w:rPr>
          <w:fldChar w:fldCharType="begin"/>
        </w:r>
        <w:r>
          <w:rPr>
            <w:noProof/>
            <w:webHidden/>
          </w:rPr>
          <w:instrText xml:space="preserve"> PAGEREF _Toc535500235 \h </w:instrText>
        </w:r>
        <w:r>
          <w:rPr>
            <w:noProof/>
            <w:webHidden/>
          </w:rPr>
        </w:r>
        <w:r>
          <w:rPr>
            <w:noProof/>
            <w:webHidden/>
          </w:rPr>
          <w:fldChar w:fldCharType="separate"/>
        </w:r>
        <w:r>
          <w:rPr>
            <w:noProof/>
            <w:webHidden/>
          </w:rPr>
          <w:t>262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36" w:history="1">
        <w:r w:rsidRPr="00572870">
          <w:rPr>
            <w:rStyle w:val="Hyperlink"/>
            <w:noProof/>
          </w:rPr>
          <w:t>Disposizioni transitorie per le imbarcazioni già in servizio</w:t>
        </w:r>
        <w:r>
          <w:rPr>
            <w:noProof/>
            <w:webHidden/>
          </w:rPr>
          <w:tab/>
        </w:r>
        <w:r>
          <w:rPr>
            <w:noProof/>
            <w:webHidden/>
          </w:rPr>
          <w:fldChar w:fldCharType="begin"/>
        </w:r>
        <w:r>
          <w:rPr>
            <w:noProof/>
            <w:webHidden/>
          </w:rPr>
          <w:instrText xml:space="preserve"> PAGEREF _Toc535500236 \h </w:instrText>
        </w:r>
        <w:r>
          <w:rPr>
            <w:noProof/>
            <w:webHidden/>
          </w:rPr>
        </w:r>
        <w:r>
          <w:rPr>
            <w:noProof/>
            <w:webHidden/>
          </w:rPr>
          <w:fldChar w:fldCharType="separate"/>
        </w:r>
        <w:r>
          <w:rPr>
            <w:noProof/>
            <w:webHidden/>
          </w:rPr>
          <w:t>262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37" w:history="1">
        <w:r w:rsidRPr="00572870">
          <w:rPr>
            <w:rStyle w:val="Hyperlink"/>
            <w:noProof/>
          </w:rPr>
          <w:t>Articolo 33.03</w:t>
        </w:r>
        <w:r>
          <w:rPr>
            <w:noProof/>
            <w:webHidden/>
          </w:rPr>
          <w:tab/>
        </w:r>
        <w:r>
          <w:rPr>
            <w:noProof/>
            <w:webHidden/>
          </w:rPr>
          <w:fldChar w:fldCharType="begin"/>
        </w:r>
        <w:r>
          <w:rPr>
            <w:noProof/>
            <w:webHidden/>
          </w:rPr>
          <w:instrText xml:space="preserve"> PAGEREF _Toc535500237 \h </w:instrText>
        </w:r>
        <w:r>
          <w:rPr>
            <w:noProof/>
            <w:webHidden/>
          </w:rPr>
        </w:r>
        <w:r>
          <w:rPr>
            <w:noProof/>
            <w:webHidden/>
          </w:rPr>
          <w:fldChar w:fldCharType="separate"/>
        </w:r>
        <w:r>
          <w:rPr>
            <w:noProof/>
            <w:webHidden/>
          </w:rPr>
          <w:t>285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38" w:history="1">
        <w:r w:rsidRPr="00572870">
          <w:rPr>
            <w:rStyle w:val="Hyperlink"/>
            <w:noProof/>
          </w:rPr>
          <w:t>Disposizioni transitorie aggiuntive per le imbarcazioni la cui chiglia è stata impostata prima del 1° gennaio 1985</w:t>
        </w:r>
        <w:r>
          <w:rPr>
            <w:noProof/>
            <w:webHidden/>
          </w:rPr>
          <w:tab/>
        </w:r>
        <w:r>
          <w:rPr>
            <w:noProof/>
            <w:webHidden/>
          </w:rPr>
          <w:fldChar w:fldCharType="begin"/>
        </w:r>
        <w:r>
          <w:rPr>
            <w:noProof/>
            <w:webHidden/>
          </w:rPr>
          <w:instrText xml:space="preserve"> PAGEREF _Toc535500238 \h </w:instrText>
        </w:r>
        <w:r>
          <w:rPr>
            <w:noProof/>
            <w:webHidden/>
          </w:rPr>
        </w:r>
        <w:r>
          <w:rPr>
            <w:noProof/>
            <w:webHidden/>
          </w:rPr>
          <w:fldChar w:fldCharType="separate"/>
        </w:r>
        <w:r>
          <w:rPr>
            <w:noProof/>
            <w:webHidden/>
          </w:rPr>
          <w:t>285</w:t>
        </w:r>
        <w:r>
          <w:rPr>
            <w:noProof/>
            <w:webHidden/>
          </w:rPr>
          <w:fldChar w:fldCharType="end"/>
        </w:r>
      </w:hyperlink>
    </w:p>
    <w:p w:rsidR="00624017" w:rsidRDefault="00624017">
      <w:pPr>
        <w:pStyle w:val="TOC1"/>
        <w:rPr>
          <w:rFonts w:asciiTheme="minorHAnsi" w:eastAsiaTheme="minorEastAsia" w:hAnsiTheme="minorHAnsi" w:cstheme="minorBidi"/>
          <w:b w:val="0"/>
          <w:bCs w:val="0"/>
          <w:caps w:val="0"/>
          <w:noProof/>
          <w:sz w:val="22"/>
          <w:szCs w:val="22"/>
          <w:lang w:val="en-GB" w:eastAsia="en-GB" w:bidi="ar-SA"/>
        </w:rPr>
      </w:pPr>
      <w:hyperlink w:anchor="_Toc535500239" w:history="1">
        <w:r w:rsidRPr="00572870">
          <w:rPr>
            <w:rStyle w:val="Hyperlink"/>
            <w:noProof/>
          </w:rPr>
          <w:t>Allegati alla norma europea</w:t>
        </w:r>
        <w:r>
          <w:rPr>
            <w:noProof/>
            <w:webHidden/>
          </w:rPr>
          <w:tab/>
        </w:r>
        <w:r>
          <w:rPr>
            <w:noProof/>
            <w:webHidden/>
          </w:rPr>
          <w:fldChar w:fldCharType="begin"/>
        </w:r>
        <w:r>
          <w:rPr>
            <w:noProof/>
            <w:webHidden/>
          </w:rPr>
          <w:instrText xml:space="preserve"> PAGEREF _Toc535500239 \h </w:instrText>
        </w:r>
        <w:r>
          <w:rPr>
            <w:noProof/>
            <w:webHidden/>
          </w:rPr>
        </w:r>
        <w:r>
          <w:rPr>
            <w:noProof/>
            <w:webHidden/>
          </w:rPr>
          <w:fldChar w:fldCharType="separate"/>
        </w:r>
        <w:r>
          <w:rPr>
            <w:noProof/>
            <w:webHidden/>
          </w:rPr>
          <w:t>289</w:t>
        </w:r>
        <w:r>
          <w:rPr>
            <w:noProof/>
            <w:webHidden/>
          </w:rPr>
          <w:fldChar w:fldCharType="end"/>
        </w:r>
      </w:hyperlink>
    </w:p>
    <w:p w:rsidR="00624017" w:rsidRDefault="00624017">
      <w:pPr>
        <w:pStyle w:val="TOC1"/>
        <w:rPr>
          <w:rFonts w:asciiTheme="minorHAnsi" w:eastAsiaTheme="minorEastAsia" w:hAnsiTheme="minorHAnsi" w:cstheme="minorBidi"/>
          <w:b w:val="0"/>
          <w:bCs w:val="0"/>
          <w:caps w:val="0"/>
          <w:noProof/>
          <w:sz w:val="22"/>
          <w:szCs w:val="22"/>
          <w:lang w:val="en-GB" w:eastAsia="en-GB" w:bidi="ar-SA"/>
        </w:rPr>
      </w:pPr>
      <w:hyperlink w:anchor="_Toc535500240" w:history="1">
        <w:r w:rsidRPr="00572870">
          <w:rPr>
            <w:rStyle w:val="Hyperlink"/>
            <w:noProof/>
          </w:rPr>
          <w:t>PARTE I IDENTIFICAZIONE E REGISTRO DELLE NAVI</w:t>
        </w:r>
        <w:r>
          <w:rPr>
            <w:noProof/>
            <w:webHidden/>
          </w:rPr>
          <w:tab/>
        </w:r>
        <w:r>
          <w:rPr>
            <w:noProof/>
            <w:webHidden/>
          </w:rPr>
          <w:fldChar w:fldCharType="begin"/>
        </w:r>
        <w:r>
          <w:rPr>
            <w:noProof/>
            <w:webHidden/>
          </w:rPr>
          <w:instrText xml:space="preserve"> PAGEREF _Toc535500240 \h </w:instrText>
        </w:r>
        <w:r>
          <w:rPr>
            <w:noProof/>
            <w:webHidden/>
          </w:rPr>
        </w:r>
        <w:r>
          <w:rPr>
            <w:noProof/>
            <w:webHidden/>
          </w:rPr>
          <w:fldChar w:fldCharType="separate"/>
        </w:r>
        <w:r>
          <w:rPr>
            <w:noProof/>
            <w:webHidden/>
          </w:rPr>
          <w:t>291</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241" w:history="1">
        <w:r w:rsidRPr="00572870">
          <w:rPr>
            <w:rStyle w:val="Hyperlink"/>
            <w:noProof/>
          </w:rPr>
          <w:t>Allegato 1 Modello del numero unico europeo di identificazione delle navi (ENI)</w:t>
        </w:r>
        <w:r>
          <w:rPr>
            <w:noProof/>
            <w:webHidden/>
          </w:rPr>
          <w:tab/>
        </w:r>
        <w:r>
          <w:rPr>
            <w:noProof/>
            <w:webHidden/>
          </w:rPr>
          <w:fldChar w:fldCharType="begin"/>
        </w:r>
        <w:r>
          <w:rPr>
            <w:noProof/>
            <w:webHidden/>
          </w:rPr>
          <w:instrText xml:space="preserve"> PAGEREF _Toc535500241 \h </w:instrText>
        </w:r>
        <w:r>
          <w:rPr>
            <w:noProof/>
            <w:webHidden/>
          </w:rPr>
        </w:r>
        <w:r>
          <w:rPr>
            <w:noProof/>
            <w:webHidden/>
          </w:rPr>
          <w:fldChar w:fldCharType="separate"/>
        </w:r>
        <w:r>
          <w:rPr>
            <w:noProof/>
            <w:webHidden/>
          </w:rPr>
          <w:t>291</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242" w:history="1">
        <w:r w:rsidRPr="00572870">
          <w:rPr>
            <w:rStyle w:val="Hyperlink"/>
            <w:noProof/>
          </w:rPr>
          <w:t>Allegato 2 Dati per l'identificazione di una nave</w:t>
        </w:r>
        <w:r>
          <w:rPr>
            <w:noProof/>
            <w:webHidden/>
          </w:rPr>
          <w:tab/>
        </w:r>
        <w:r>
          <w:rPr>
            <w:noProof/>
            <w:webHidden/>
          </w:rPr>
          <w:fldChar w:fldCharType="begin"/>
        </w:r>
        <w:r>
          <w:rPr>
            <w:noProof/>
            <w:webHidden/>
          </w:rPr>
          <w:instrText xml:space="preserve"> PAGEREF _Toc535500242 \h </w:instrText>
        </w:r>
        <w:r>
          <w:rPr>
            <w:noProof/>
            <w:webHidden/>
          </w:rPr>
        </w:r>
        <w:r>
          <w:rPr>
            <w:noProof/>
            <w:webHidden/>
          </w:rPr>
          <w:fldChar w:fldCharType="separate"/>
        </w:r>
        <w:r>
          <w:rPr>
            <w:noProof/>
            <w:webHidden/>
          </w:rPr>
          <w:t>293</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243" w:history="1">
        <w:r w:rsidRPr="00572870">
          <w:rPr>
            <w:rStyle w:val="Hyperlink"/>
            <w:noProof/>
          </w:rPr>
          <w:t>Allegato 3 Modelli di certificati di nave di navigazione interna e modello di registro di tali certificati</w:t>
        </w:r>
        <w:r>
          <w:rPr>
            <w:noProof/>
            <w:webHidden/>
          </w:rPr>
          <w:tab/>
        </w:r>
        <w:r>
          <w:rPr>
            <w:noProof/>
            <w:webHidden/>
          </w:rPr>
          <w:fldChar w:fldCharType="begin"/>
        </w:r>
        <w:r>
          <w:rPr>
            <w:noProof/>
            <w:webHidden/>
          </w:rPr>
          <w:instrText xml:space="preserve"> PAGEREF _Toc535500243 \h </w:instrText>
        </w:r>
        <w:r>
          <w:rPr>
            <w:noProof/>
            <w:webHidden/>
          </w:rPr>
        </w:r>
        <w:r>
          <w:rPr>
            <w:noProof/>
            <w:webHidden/>
          </w:rPr>
          <w:fldChar w:fldCharType="separate"/>
        </w:r>
        <w:r>
          <w:rPr>
            <w:noProof/>
            <w:webHidden/>
          </w:rPr>
          <w:t>295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44" w:history="1">
        <w:r w:rsidRPr="00572870">
          <w:rPr>
            <w:rStyle w:val="Hyperlink"/>
            <w:noProof/>
          </w:rPr>
          <w:t>Sezione I</w:t>
        </w:r>
        <w:r>
          <w:rPr>
            <w:noProof/>
            <w:webHidden/>
          </w:rPr>
          <w:tab/>
        </w:r>
        <w:r>
          <w:rPr>
            <w:noProof/>
            <w:webHidden/>
          </w:rPr>
          <w:fldChar w:fldCharType="begin"/>
        </w:r>
        <w:r>
          <w:rPr>
            <w:noProof/>
            <w:webHidden/>
          </w:rPr>
          <w:instrText xml:space="preserve"> PAGEREF _Toc535500244 \h </w:instrText>
        </w:r>
        <w:r>
          <w:rPr>
            <w:noProof/>
            <w:webHidden/>
          </w:rPr>
        </w:r>
        <w:r>
          <w:rPr>
            <w:noProof/>
            <w:webHidden/>
          </w:rPr>
          <w:fldChar w:fldCharType="separate"/>
        </w:r>
        <w:r>
          <w:rPr>
            <w:noProof/>
            <w:webHidden/>
          </w:rPr>
          <w:t>295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45" w:history="1">
        <w:r w:rsidRPr="00572870">
          <w:rPr>
            <w:rStyle w:val="Hyperlink"/>
            <w:noProof/>
          </w:rPr>
          <w:t>Modello di certificato per la navigazione interna</w:t>
        </w:r>
        <w:r>
          <w:rPr>
            <w:noProof/>
            <w:webHidden/>
          </w:rPr>
          <w:tab/>
        </w:r>
        <w:r>
          <w:rPr>
            <w:noProof/>
            <w:webHidden/>
          </w:rPr>
          <w:fldChar w:fldCharType="begin"/>
        </w:r>
        <w:r>
          <w:rPr>
            <w:noProof/>
            <w:webHidden/>
          </w:rPr>
          <w:instrText xml:space="preserve"> PAGEREF _Toc535500245 \h </w:instrText>
        </w:r>
        <w:r>
          <w:rPr>
            <w:noProof/>
            <w:webHidden/>
          </w:rPr>
        </w:r>
        <w:r>
          <w:rPr>
            <w:noProof/>
            <w:webHidden/>
          </w:rPr>
          <w:fldChar w:fldCharType="separate"/>
        </w:r>
        <w:r>
          <w:rPr>
            <w:noProof/>
            <w:webHidden/>
          </w:rPr>
          <w:t>295</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46" w:history="1">
        <w:r w:rsidRPr="00572870">
          <w:rPr>
            <w:rStyle w:val="Hyperlink"/>
            <w:noProof/>
          </w:rPr>
          <w:t>Sezione II</w:t>
        </w:r>
        <w:r>
          <w:rPr>
            <w:noProof/>
            <w:webHidden/>
          </w:rPr>
          <w:tab/>
        </w:r>
        <w:r>
          <w:rPr>
            <w:noProof/>
            <w:webHidden/>
          </w:rPr>
          <w:fldChar w:fldCharType="begin"/>
        </w:r>
        <w:r>
          <w:rPr>
            <w:noProof/>
            <w:webHidden/>
          </w:rPr>
          <w:instrText xml:space="preserve"> PAGEREF _Toc535500246 \h </w:instrText>
        </w:r>
        <w:r>
          <w:rPr>
            <w:noProof/>
            <w:webHidden/>
          </w:rPr>
        </w:r>
        <w:r>
          <w:rPr>
            <w:noProof/>
            <w:webHidden/>
          </w:rPr>
          <w:fldChar w:fldCharType="separate"/>
        </w:r>
        <w:r>
          <w:rPr>
            <w:noProof/>
            <w:webHidden/>
          </w:rPr>
          <w:t>310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47" w:history="1">
        <w:r w:rsidRPr="00572870">
          <w:rPr>
            <w:rStyle w:val="Hyperlink"/>
            <w:noProof/>
          </w:rPr>
          <w:t>Modello di certificato provvisorio di nave di navigazione interna</w:t>
        </w:r>
        <w:r>
          <w:rPr>
            <w:noProof/>
            <w:webHidden/>
          </w:rPr>
          <w:tab/>
        </w:r>
        <w:r>
          <w:rPr>
            <w:noProof/>
            <w:webHidden/>
          </w:rPr>
          <w:fldChar w:fldCharType="begin"/>
        </w:r>
        <w:r>
          <w:rPr>
            <w:noProof/>
            <w:webHidden/>
          </w:rPr>
          <w:instrText xml:space="preserve"> PAGEREF _Toc535500247 \h </w:instrText>
        </w:r>
        <w:r>
          <w:rPr>
            <w:noProof/>
            <w:webHidden/>
          </w:rPr>
        </w:r>
        <w:r>
          <w:rPr>
            <w:noProof/>
            <w:webHidden/>
          </w:rPr>
          <w:fldChar w:fldCharType="separate"/>
        </w:r>
        <w:r>
          <w:rPr>
            <w:noProof/>
            <w:webHidden/>
          </w:rPr>
          <w:t>310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48" w:history="1">
        <w:r w:rsidRPr="00572870">
          <w:rPr>
            <w:rStyle w:val="Hyperlink"/>
            <w:noProof/>
          </w:rPr>
          <w:t>Sezione III</w:t>
        </w:r>
        <w:r>
          <w:rPr>
            <w:noProof/>
            <w:webHidden/>
          </w:rPr>
          <w:tab/>
        </w:r>
        <w:r>
          <w:rPr>
            <w:noProof/>
            <w:webHidden/>
          </w:rPr>
          <w:fldChar w:fldCharType="begin"/>
        </w:r>
        <w:r>
          <w:rPr>
            <w:noProof/>
            <w:webHidden/>
          </w:rPr>
          <w:instrText xml:space="preserve"> PAGEREF _Toc535500248 \h </w:instrText>
        </w:r>
        <w:r>
          <w:rPr>
            <w:noProof/>
            <w:webHidden/>
          </w:rPr>
        </w:r>
        <w:r>
          <w:rPr>
            <w:noProof/>
            <w:webHidden/>
          </w:rPr>
          <w:fldChar w:fldCharType="separate"/>
        </w:r>
        <w:r>
          <w:rPr>
            <w:noProof/>
            <w:webHidden/>
          </w:rPr>
          <w:t>312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49" w:history="1">
        <w:r w:rsidRPr="00572870">
          <w:rPr>
            <w:rStyle w:val="Hyperlink"/>
            <w:noProof/>
          </w:rPr>
          <w:t>Modello di certificato dell'Unione supplementare per la navigazione interna</w:t>
        </w:r>
        <w:r>
          <w:rPr>
            <w:noProof/>
            <w:webHidden/>
          </w:rPr>
          <w:tab/>
        </w:r>
        <w:r>
          <w:rPr>
            <w:noProof/>
            <w:webHidden/>
          </w:rPr>
          <w:fldChar w:fldCharType="begin"/>
        </w:r>
        <w:r>
          <w:rPr>
            <w:noProof/>
            <w:webHidden/>
          </w:rPr>
          <w:instrText xml:space="preserve"> PAGEREF _Toc535500249 \h </w:instrText>
        </w:r>
        <w:r>
          <w:rPr>
            <w:noProof/>
            <w:webHidden/>
          </w:rPr>
        </w:r>
        <w:r>
          <w:rPr>
            <w:noProof/>
            <w:webHidden/>
          </w:rPr>
          <w:fldChar w:fldCharType="separate"/>
        </w:r>
        <w:r>
          <w:rPr>
            <w:noProof/>
            <w:webHidden/>
          </w:rPr>
          <w:t>312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50" w:history="1">
        <w:r w:rsidRPr="00572870">
          <w:rPr>
            <w:rStyle w:val="Hyperlink"/>
            <w:noProof/>
          </w:rPr>
          <w:t>Sezione IV</w:t>
        </w:r>
        <w:r>
          <w:rPr>
            <w:noProof/>
            <w:webHidden/>
          </w:rPr>
          <w:tab/>
        </w:r>
        <w:r>
          <w:rPr>
            <w:noProof/>
            <w:webHidden/>
          </w:rPr>
          <w:fldChar w:fldCharType="begin"/>
        </w:r>
        <w:r>
          <w:rPr>
            <w:noProof/>
            <w:webHidden/>
          </w:rPr>
          <w:instrText xml:space="preserve"> PAGEREF _Toc535500250 \h </w:instrText>
        </w:r>
        <w:r>
          <w:rPr>
            <w:noProof/>
            <w:webHidden/>
          </w:rPr>
        </w:r>
        <w:r>
          <w:rPr>
            <w:noProof/>
            <w:webHidden/>
          </w:rPr>
          <w:fldChar w:fldCharType="separate"/>
        </w:r>
        <w:r>
          <w:rPr>
            <w:noProof/>
            <w:webHidden/>
          </w:rPr>
          <w:t>314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51" w:history="1">
        <w:r w:rsidRPr="00572870">
          <w:rPr>
            <w:rStyle w:val="Hyperlink"/>
            <w:noProof/>
          </w:rPr>
          <w:t>Modello di certificato per le navi della navigazione impiegate sul Reno</w:t>
        </w:r>
        <w:r>
          <w:rPr>
            <w:noProof/>
            <w:webHidden/>
          </w:rPr>
          <w:tab/>
        </w:r>
        <w:r>
          <w:rPr>
            <w:noProof/>
            <w:webHidden/>
          </w:rPr>
          <w:fldChar w:fldCharType="begin"/>
        </w:r>
        <w:r>
          <w:rPr>
            <w:noProof/>
            <w:webHidden/>
          </w:rPr>
          <w:instrText xml:space="preserve"> PAGEREF _Toc535500251 \h </w:instrText>
        </w:r>
        <w:r>
          <w:rPr>
            <w:noProof/>
            <w:webHidden/>
          </w:rPr>
        </w:r>
        <w:r>
          <w:rPr>
            <w:noProof/>
            <w:webHidden/>
          </w:rPr>
          <w:fldChar w:fldCharType="separate"/>
        </w:r>
        <w:r>
          <w:rPr>
            <w:noProof/>
            <w:webHidden/>
          </w:rPr>
          <w:t>314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52" w:history="1">
        <w:r w:rsidRPr="00572870">
          <w:rPr>
            <w:rStyle w:val="Hyperlink"/>
            <w:noProof/>
          </w:rPr>
          <w:t>Sezione V</w:t>
        </w:r>
        <w:r>
          <w:rPr>
            <w:noProof/>
            <w:webHidden/>
          </w:rPr>
          <w:tab/>
        </w:r>
        <w:r>
          <w:rPr>
            <w:noProof/>
            <w:webHidden/>
          </w:rPr>
          <w:fldChar w:fldCharType="begin"/>
        </w:r>
        <w:r>
          <w:rPr>
            <w:noProof/>
            <w:webHidden/>
          </w:rPr>
          <w:instrText xml:space="preserve"> PAGEREF _Toc535500252 \h </w:instrText>
        </w:r>
        <w:r>
          <w:rPr>
            <w:noProof/>
            <w:webHidden/>
          </w:rPr>
        </w:r>
        <w:r>
          <w:rPr>
            <w:noProof/>
            <w:webHidden/>
          </w:rPr>
          <w:fldChar w:fldCharType="separate"/>
        </w:r>
        <w:r>
          <w:rPr>
            <w:noProof/>
            <w:webHidden/>
          </w:rPr>
          <w:t>316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53" w:history="1">
        <w:r w:rsidRPr="00572870">
          <w:rPr>
            <w:rStyle w:val="Hyperlink"/>
            <w:noProof/>
          </w:rPr>
          <w:t>Modello allegato "Imbarcazione tradizionale" al certificato per la navigazione interna a norma del capo 24</w:t>
        </w:r>
        <w:r>
          <w:rPr>
            <w:noProof/>
            <w:webHidden/>
          </w:rPr>
          <w:tab/>
        </w:r>
        <w:r>
          <w:rPr>
            <w:noProof/>
            <w:webHidden/>
          </w:rPr>
          <w:fldChar w:fldCharType="begin"/>
        </w:r>
        <w:r>
          <w:rPr>
            <w:noProof/>
            <w:webHidden/>
          </w:rPr>
          <w:instrText xml:space="preserve"> PAGEREF _Toc535500253 \h </w:instrText>
        </w:r>
        <w:r>
          <w:rPr>
            <w:noProof/>
            <w:webHidden/>
          </w:rPr>
        </w:r>
        <w:r>
          <w:rPr>
            <w:noProof/>
            <w:webHidden/>
          </w:rPr>
          <w:fldChar w:fldCharType="separate"/>
        </w:r>
        <w:r>
          <w:rPr>
            <w:noProof/>
            <w:webHidden/>
          </w:rPr>
          <w:t>316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54" w:history="1">
        <w:r w:rsidRPr="00572870">
          <w:rPr>
            <w:rStyle w:val="Hyperlink"/>
            <w:noProof/>
          </w:rPr>
          <w:t>Sezione VI</w:t>
        </w:r>
        <w:r>
          <w:rPr>
            <w:noProof/>
            <w:webHidden/>
          </w:rPr>
          <w:tab/>
        </w:r>
        <w:r>
          <w:rPr>
            <w:noProof/>
            <w:webHidden/>
          </w:rPr>
          <w:fldChar w:fldCharType="begin"/>
        </w:r>
        <w:r>
          <w:rPr>
            <w:noProof/>
            <w:webHidden/>
          </w:rPr>
          <w:instrText xml:space="preserve"> PAGEREF _Toc535500254 \h </w:instrText>
        </w:r>
        <w:r>
          <w:rPr>
            <w:noProof/>
            <w:webHidden/>
          </w:rPr>
        </w:r>
        <w:r>
          <w:rPr>
            <w:noProof/>
            <w:webHidden/>
          </w:rPr>
          <w:fldChar w:fldCharType="separate"/>
        </w:r>
        <w:r>
          <w:rPr>
            <w:noProof/>
            <w:webHidden/>
          </w:rPr>
          <w:t>318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55" w:history="1">
        <w:r w:rsidRPr="00572870">
          <w:rPr>
            <w:rStyle w:val="Hyperlink"/>
            <w:noProof/>
          </w:rPr>
          <w:t>Modello di registro dei certificati di nave di navigazione interna</w:t>
        </w:r>
        <w:r>
          <w:rPr>
            <w:noProof/>
            <w:webHidden/>
          </w:rPr>
          <w:tab/>
        </w:r>
        <w:r>
          <w:rPr>
            <w:noProof/>
            <w:webHidden/>
          </w:rPr>
          <w:fldChar w:fldCharType="begin"/>
        </w:r>
        <w:r>
          <w:rPr>
            <w:noProof/>
            <w:webHidden/>
          </w:rPr>
          <w:instrText xml:space="preserve"> PAGEREF _Toc535500255 \h </w:instrText>
        </w:r>
        <w:r>
          <w:rPr>
            <w:noProof/>
            <w:webHidden/>
          </w:rPr>
        </w:r>
        <w:r>
          <w:rPr>
            <w:noProof/>
            <w:webHidden/>
          </w:rPr>
          <w:fldChar w:fldCharType="separate"/>
        </w:r>
        <w:r>
          <w:rPr>
            <w:noProof/>
            <w:webHidden/>
          </w:rPr>
          <w:t>318</w:t>
        </w:r>
        <w:r>
          <w:rPr>
            <w:noProof/>
            <w:webHidden/>
          </w:rPr>
          <w:fldChar w:fldCharType="end"/>
        </w:r>
      </w:hyperlink>
    </w:p>
    <w:p w:rsidR="00624017" w:rsidRDefault="00624017">
      <w:pPr>
        <w:pStyle w:val="TOC1"/>
        <w:rPr>
          <w:rFonts w:asciiTheme="minorHAnsi" w:eastAsiaTheme="minorEastAsia" w:hAnsiTheme="minorHAnsi" w:cstheme="minorBidi"/>
          <w:b w:val="0"/>
          <w:bCs w:val="0"/>
          <w:caps w:val="0"/>
          <w:noProof/>
          <w:sz w:val="22"/>
          <w:szCs w:val="22"/>
          <w:lang w:val="en-GB" w:eastAsia="en-GB" w:bidi="ar-SA"/>
        </w:rPr>
      </w:pPr>
      <w:hyperlink w:anchor="_Toc535500256" w:history="1">
        <w:r w:rsidRPr="00572870">
          <w:rPr>
            <w:rStyle w:val="Hyperlink"/>
            <w:noProof/>
          </w:rPr>
          <w:t>PARTE II REQUISITI SUPPLEMENTARI PER ATTREZZATURE SPECIFICHE UTILIZZATE A BORDO</w:t>
        </w:r>
        <w:r>
          <w:rPr>
            <w:noProof/>
            <w:webHidden/>
          </w:rPr>
          <w:tab/>
        </w:r>
        <w:r>
          <w:rPr>
            <w:noProof/>
            <w:webHidden/>
          </w:rPr>
          <w:fldChar w:fldCharType="begin"/>
        </w:r>
        <w:r>
          <w:rPr>
            <w:noProof/>
            <w:webHidden/>
          </w:rPr>
          <w:instrText xml:space="preserve"> PAGEREF _Toc535500256 \h </w:instrText>
        </w:r>
        <w:r>
          <w:rPr>
            <w:noProof/>
            <w:webHidden/>
          </w:rPr>
        </w:r>
        <w:r>
          <w:rPr>
            <w:noProof/>
            <w:webHidden/>
          </w:rPr>
          <w:fldChar w:fldCharType="separate"/>
        </w:r>
        <w:r>
          <w:rPr>
            <w:noProof/>
            <w:webHidden/>
          </w:rPr>
          <w:t>322</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257" w:history="1">
        <w:r w:rsidRPr="00572870">
          <w:rPr>
            <w:rStyle w:val="Hyperlink"/>
            <w:noProof/>
          </w:rPr>
          <w:t>Allegato 4 Segnali di sicurezza</w:t>
        </w:r>
        <w:r>
          <w:rPr>
            <w:noProof/>
            <w:webHidden/>
          </w:rPr>
          <w:tab/>
        </w:r>
        <w:r>
          <w:rPr>
            <w:noProof/>
            <w:webHidden/>
          </w:rPr>
          <w:fldChar w:fldCharType="begin"/>
        </w:r>
        <w:r>
          <w:rPr>
            <w:noProof/>
            <w:webHidden/>
          </w:rPr>
          <w:instrText xml:space="preserve"> PAGEREF _Toc535500257 \h </w:instrText>
        </w:r>
        <w:r>
          <w:rPr>
            <w:noProof/>
            <w:webHidden/>
          </w:rPr>
        </w:r>
        <w:r>
          <w:rPr>
            <w:noProof/>
            <w:webHidden/>
          </w:rPr>
          <w:fldChar w:fldCharType="separate"/>
        </w:r>
        <w:r>
          <w:rPr>
            <w:noProof/>
            <w:webHidden/>
          </w:rPr>
          <w:t>322</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258" w:history="1">
        <w:r w:rsidRPr="00572870">
          <w:rPr>
            <w:rStyle w:val="Hyperlink"/>
            <w:noProof/>
          </w:rPr>
          <w:t>Allegato 5 Impianti di informazione e di navigazione</w:t>
        </w:r>
        <w:r>
          <w:rPr>
            <w:noProof/>
            <w:webHidden/>
          </w:rPr>
          <w:tab/>
        </w:r>
        <w:r>
          <w:rPr>
            <w:noProof/>
            <w:webHidden/>
          </w:rPr>
          <w:fldChar w:fldCharType="begin"/>
        </w:r>
        <w:r>
          <w:rPr>
            <w:noProof/>
            <w:webHidden/>
          </w:rPr>
          <w:instrText xml:space="preserve"> PAGEREF _Toc535500258 \h </w:instrText>
        </w:r>
        <w:r>
          <w:rPr>
            <w:noProof/>
            <w:webHidden/>
          </w:rPr>
        </w:r>
        <w:r>
          <w:rPr>
            <w:noProof/>
            <w:webHidden/>
          </w:rPr>
          <w:fldChar w:fldCharType="separate"/>
        </w:r>
        <w:r>
          <w:rPr>
            <w:noProof/>
            <w:webHidden/>
          </w:rPr>
          <w:t>326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59" w:history="1">
        <w:r w:rsidRPr="00572870">
          <w:rPr>
            <w:rStyle w:val="Hyperlink"/>
            <w:noProof/>
          </w:rPr>
          <w:t>Sezione I</w:t>
        </w:r>
        <w:r>
          <w:rPr>
            <w:noProof/>
            <w:webHidden/>
          </w:rPr>
          <w:tab/>
        </w:r>
        <w:r>
          <w:rPr>
            <w:noProof/>
            <w:webHidden/>
          </w:rPr>
          <w:fldChar w:fldCharType="begin"/>
        </w:r>
        <w:r>
          <w:rPr>
            <w:noProof/>
            <w:webHidden/>
          </w:rPr>
          <w:instrText xml:space="preserve"> PAGEREF _Toc535500259 \h </w:instrText>
        </w:r>
        <w:r>
          <w:rPr>
            <w:noProof/>
            <w:webHidden/>
          </w:rPr>
        </w:r>
        <w:r>
          <w:rPr>
            <w:noProof/>
            <w:webHidden/>
          </w:rPr>
          <w:fldChar w:fldCharType="separate"/>
        </w:r>
        <w:r>
          <w:rPr>
            <w:noProof/>
            <w:webHidden/>
          </w:rPr>
          <w:t>328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60" w:history="1">
        <w:r w:rsidRPr="00572870">
          <w:rPr>
            <w:rStyle w:val="Hyperlink"/>
            <w:noProof/>
          </w:rPr>
          <w:t>Requisiti minimi e condizioni di prova per gli impianti radar di navigazione utilizzati nella navigazione interna</w:t>
        </w:r>
        <w:r>
          <w:rPr>
            <w:noProof/>
            <w:webHidden/>
          </w:rPr>
          <w:tab/>
        </w:r>
        <w:r>
          <w:rPr>
            <w:noProof/>
            <w:webHidden/>
          </w:rPr>
          <w:fldChar w:fldCharType="begin"/>
        </w:r>
        <w:r>
          <w:rPr>
            <w:noProof/>
            <w:webHidden/>
          </w:rPr>
          <w:instrText xml:space="preserve"> PAGEREF _Toc535500260 \h </w:instrText>
        </w:r>
        <w:r>
          <w:rPr>
            <w:noProof/>
            <w:webHidden/>
          </w:rPr>
        </w:r>
        <w:r>
          <w:rPr>
            <w:noProof/>
            <w:webHidden/>
          </w:rPr>
          <w:fldChar w:fldCharType="separate"/>
        </w:r>
        <w:r>
          <w:rPr>
            <w:noProof/>
            <w:webHidden/>
          </w:rPr>
          <w:t>328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61" w:history="1">
        <w:r w:rsidRPr="00572870">
          <w:rPr>
            <w:rStyle w:val="Hyperlink"/>
            <w:noProof/>
          </w:rPr>
          <w:t>Sezione II</w:t>
        </w:r>
        <w:r>
          <w:rPr>
            <w:noProof/>
            <w:webHidden/>
          </w:rPr>
          <w:tab/>
        </w:r>
        <w:r>
          <w:rPr>
            <w:noProof/>
            <w:webHidden/>
          </w:rPr>
          <w:fldChar w:fldCharType="begin"/>
        </w:r>
        <w:r>
          <w:rPr>
            <w:noProof/>
            <w:webHidden/>
          </w:rPr>
          <w:instrText xml:space="preserve"> PAGEREF _Toc535500261 \h </w:instrText>
        </w:r>
        <w:r>
          <w:rPr>
            <w:noProof/>
            <w:webHidden/>
          </w:rPr>
        </w:r>
        <w:r>
          <w:rPr>
            <w:noProof/>
            <w:webHidden/>
          </w:rPr>
          <w:fldChar w:fldCharType="separate"/>
        </w:r>
        <w:r>
          <w:rPr>
            <w:noProof/>
            <w:webHidden/>
          </w:rPr>
          <w:t>332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62" w:history="1">
        <w:r w:rsidRPr="00572870">
          <w:rPr>
            <w:rStyle w:val="Hyperlink"/>
            <w:noProof/>
          </w:rPr>
          <w:t>Requisiti minimi e condizioni di prova per indicatori della velocità di accostata utilizzati nella navigazione interna</w:t>
        </w:r>
        <w:r>
          <w:rPr>
            <w:noProof/>
            <w:webHidden/>
          </w:rPr>
          <w:tab/>
        </w:r>
        <w:r>
          <w:rPr>
            <w:noProof/>
            <w:webHidden/>
          </w:rPr>
          <w:fldChar w:fldCharType="begin"/>
        </w:r>
        <w:r>
          <w:rPr>
            <w:noProof/>
            <w:webHidden/>
          </w:rPr>
          <w:instrText xml:space="preserve"> PAGEREF _Toc535500262 \h </w:instrText>
        </w:r>
        <w:r>
          <w:rPr>
            <w:noProof/>
            <w:webHidden/>
          </w:rPr>
        </w:r>
        <w:r>
          <w:rPr>
            <w:noProof/>
            <w:webHidden/>
          </w:rPr>
          <w:fldChar w:fldCharType="separate"/>
        </w:r>
        <w:r>
          <w:rPr>
            <w:noProof/>
            <w:webHidden/>
          </w:rPr>
          <w:t>332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63" w:history="1">
        <w:r w:rsidRPr="00572870">
          <w:rPr>
            <w:rStyle w:val="Hyperlink"/>
            <w:noProof/>
          </w:rPr>
          <w:t>Sezione III</w:t>
        </w:r>
        <w:r>
          <w:rPr>
            <w:noProof/>
            <w:webHidden/>
          </w:rPr>
          <w:tab/>
        </w:r>
        <w:r>
          <w:rPr>
            <w:noProof/>
            <w:webHidden/>
          </w:rPr>
          <w:fldChar w:fldCharType="begin"/>
        </w:r>
        <w:r>
          <w:rPr>
            <w:noProof/>
            <w:webHidden/>
          </w:rPr>
          <w:instrText xml:space="preserve"> PAGEREF _Toc535500263 \h </w:instrText>
        </w:r>
        <w:r>
          <w:rPr>
            <w:noProof/>
            <w:webHidden/>
          </w:rPr>
        </w:r>
        <w:r>
          <w:rPr>
            <w:noProof/>
            <w:webHidden/>
          </w:rPr>
          <w:fldChar w:fldCharType="separate"/>
        </w:r>
        <w:r>
          <w:rPr>
            <w:noProof/>
            <w:webHidden/>
          </w:rPr>
          <w:t>342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64" w:history="1">
        <w:r w:rsidRPr="00572870">
          <w:rPr>
            <w:rStyle w:val="Hyperlink"/>
            <w:noProof/>
          </w:rPr>
          <w:t>Requisiti concernenti l'installazione e le prove di funzionamento degli impianti radar di navigazione e degli indicatori della velocità di accostata utilizzati nella navigazione interna</w:t>
        </w:r>
        <w:r>
          <w:rPr>
            <w:noProof/>
            <w:webHidden/>
          </w:rPr>
          <w:tab/>
        </w:r>
        <w:r>
          <w:rPr>
            <w:noProof/>
            <w:webHidden/>
          </w:rPr>
          <w:fldChar w:fldCharType="begin"/>
        </w:r>
        <w:r>
          <w:rPr>
            <w:noProof/>
            <w:webHidden/>
          </w:rPr>
          <w:instrText xml:space="preserve"> PAGEREF _Toc535500264 \h </w:instrText>
        </w:r>
        <w:r>
          <w:rPr>
            <w:noProof/>
            <w:webHidden/>
          </w:rPr>
        </w:r>
        <w:r>
          <w:rPr>
            <w:noProof/>
            <w:webHidden/>
          </w:rPr>
          <w:fldChar w:fldCharType="separate"/>
        </w:r>
        <w:r>
          <w:rPr>
            <w:noProof/>
            <w:webHidden/>
          </w:rPr>
          <w:t>342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65" w:history="1">
        <w:r w:rsidRPr="00572870">
          <w:rPr>
            <w:rStyle w:val="Hyperlink"/>
            <w:noProof/>
          </w:rPr>
          <w:t>Sezione IV</w:t>
        </w:r>
        <w:r>
          <w:rPr>
            <w:noProof/>
            <w:webHidden/>
          </w:rPr>
          <w:tab/>
        </w:r>
        <w:r>
          <w:rPr>
            <w:noProof/>
            <w:webHidden/>
          </w:rPr>
          <w:fldChar w:fldCharType="begin"/>
        </w:r>
        <w:r>
          <w:rPr>
            <w:noProof/>
            <w:webHidden/>
          </w:rPr>
          <w:instrText xml:space="preserve"> PAGEREF _Toc535500265 \h </w:instrText>
        </w:r>
        <w:r>
          <w:rPr>
            <w:noProof/>
            <w:webHidden/>
          </w:rPr>
        </w:r>
        <w:r>
          <w:rPr>
            <w:noProof/>
            <w:webHidden/>
          </w:rPr>
          <w:fldChar w:fldCharType="separate"/>
        </w:r>
        <w:r>
          <w:rPr>
            <w:noProof/>
            <w:webHidden/>
          </w:rPr>
          <w:t>346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66" w:history="1">
        <w:r w:rsidRPr="00572870">
          <w:rPr>
            <w:rStyle w:val="Hyperlink"/>
            <w:noProof/>
          </w:rPr>
          <w:t>Requisiti minimi, requisiti concernenti l'installazione e le prove di funzionamento per il dispositivo AIS interno utilizzato nella navigazione interna</w:t>
        </w:r>
        <w:r>
          <w:rPr>
            <w:noProof/>
            <w:webHidden/>
          </w:rPr>
          <w:tab/>
        </w:r>
        <w:r>
          <w:rPr>
            <w:noProof/>
            <w:webHidden/>
          </w:rPr>
          <w:fldChar w:fldCharType="begin"/>
        </w:r>
        <w:r>
          <w:rPr>
            <w:noProof/>
            <w:webHidden/>
          </w:rPr>
          <w:instrText xml:space="preserve"> PAGEREF _Toc535500266 \h </w:instrText>
        </w:r>
        <w:r>
          <w:rPr>
            <w:noProof/>
            <w:webHidden/>
          </w:rPr>
        </w:r>
        <w:r>
          <w:rPr>
            <w:noProof/>
            <w:webHidden/>
          </w:rPr>
          <w:fldChar w:fldCharType="separate"/>
        </w:r>
        <w:r>
          <w:rPr>
            <w:noProof/>
            <w:webHidden/>
          </w:rPr>
          <w:t>346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67" w:history="1">
        <w:r w:rsidRPr="00572870">
          <w:rPr>
            <w:rStyle w:val="Hyperlink"/>
            <w:noProof/>
          </w:rPr>
          <w:t>Sezione V</w:t>
        </w:r>
        <w:r>
          <w:rPr>
            <w:noProof/>
            <w:webHidden/>
          </w:rPr>
          <w:tab/>
        </w:r>
        <w:r>
          <w:rPr>
            <w:noProof/>
            <w:webHidden/>
          </w:rPr>
          <w:fldChar w:fldCharType="begin"/>
        </w:r>
        <w:r>
          <w:rPr>
            <w:noProof/>
            <w:webHidden/>
          </w:rPr>
          <w:instrText xml:space="preserve"> PAGEREF _Toc535500267 \h </w:instrText>
        </w:r>
        <w:r>
          <w:rPr>
            <w:noProof/>
            <w:webHidden/>
          </w:rPr>
        </w:r>
        <w:r>
          <w:rPr>
            <w:noProof/>
            <w:webHidden/>
          </w:rPr>
          <w:fldChar w:fldCharType="separate"/>
        </w:r>
        <w:r>
          <w:rPr>
            <w:noProof/>
            <w:webHidden/>
          </w:rPr>
          <w:t>348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68" w:history="1">
        <w:r w:rsidRPr="00572870">
          <w:rPr>
            <w:rStyle w:val="Hyperlink"/>
            <w:noProof/>
          </w:rPr>
          <w:t>Requisiti minimi, requisiti concernenti l'installazione e le prove di funzionamento per i tachigrafi utilizzati nella navigazione interna</w:t>
        </w:r>
        <w:r>
          <w:rPr>
            <w:noProof/>
            <w:webHidden/>
          </w:rPr>
          <w:tab/>
        </w:r>
        <w:r>
          <w:rPr>
            <w:noProof/>
            <w:webHidden/>
          </w:rPr>
          <w:fldChar w:fldCharType="begin"/>
        </w:r>
        <w:r>
          <w:rPr>
            <w:noProof/>
            <w:webHidden/>
          </w:rPr>
          <w:instrText xml:space="preserve"> PAGEREF _Toc535500268 \h </w:instrText>
        </w:r>
        <w:r>
          <w:rPr>
            <w:noProof/>
            <w:webHidden/>
          </w:rPr>
        </w:r>
        <w:r>
          <w:rPr>
            <w:noProof/>
            <w:webHidden/>
          </w:rPr>
          <w:fldChar w:fldCharType="separate"/>
        </w:r>
        <w:r>
          <w:rPr>
            <w:noProof/>
            <w:webHidden/>
          </w:rPr>
          <w:t>348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69" w:history="1">
        <w:r w:rsidRPr="00572870">
          <w:rPr>
            <w:rStyle w:val="Hyperlink"/>
            <w:noProof/>
          </w:rPr>
          <w:t>Sezione VI</w:t>
        </w:r>
        <w:r>
          <w:rPr>
            <w:noProof/>
            <w:webHidden/>
          </w:rPr>
          <w:tab/>
        </w:r>
        <w:r>
          <w:rPr>
            <w:noProof/>
            <w:webHidden/>
          </w:rPr>
          <w:fldChar w:fldCharType="begin"/>
        </w:r>
        <w:r>
          <w:rPr>
            <w:noProof/>
            <w:webHidden/>
          </w:rPr>
          <w:instrText xml:space="preserve"> PAGEREF _Toc535500269 \h </w:instrText>
        </w:r>
        <w:r>
          <w:rPr>
            <w:noProof/>
            <w:webHidden/>
          </w:rPr>
        </w:r>
        <w:r>
          <w:rPr>
            <w:noProof/>
            <w:webHidden/>
          </w:rPr>
          <w:fldChar w:fldCharType="separate"/>
        </w:r>
        <w:r>
          <w:rPr>
            <w:noProof/>
            <w:webHidden/>
          </w:rPr>
          <w:t>352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70" w:history="1">
        <w:r w:rsidRPr="00572870">
          <w:rPr>
            <w:rStyle w:val="Hyperlink"/>
            <w:noProof/>
          </w:rPr>
          <w:t>Certificato di installazione e funzionamento per impianti radar di navigazione e indicatori della velocità di accostata, per il dispositivo AIS interno e per tachigrafi utilizzati nella navigazione interna</w:t>
        </w:r>
        <w:r>
          <w:rPr>
            <w:noProof/>
            <w:webHidden/>
          </w:rPr>
          <w:tab/>
        </w:r>
        <w:r>
          <w:rPr>
            <w:noProof/>
            <w:webHidden/>
          </w:rPr>
          <w:fldChar w:fldCharType="begin"/>
        </w:r>
        <w:r>
          <w:rPr>
            <w:noProof/>
            <w:webHidden/>
          </w:rPr>
          <w:instrText xml:space="preserve"> PAGEREF _Toc535500270 \h </w:instrText>
        </w:r>
        <w:r>
          <w:rPr>
            <w:noProof/>
            <w:webHidden/>
          </w:rPr>
        </w:r>
        <w:r>
          <w:rPr>
            <w:noProof/>
            <w:webHidden/>
          </w:rPr>
          <w:fldChar w:fldCharType="separate"/>
        </w:r>
        <w:r>
          <w:rPr>
            <w:noProof/>
            <w:webHidden/>
          </w:rPr>
          <w:t>352</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271" w:history="1">
        <w:r w:rsidRPr="00572870">
          <w:rPr>
            <w:rStyle w:val="Hyperlink"/>
            <w:noProof/>
          </w:rPr>
          <w:t>Allegato 6 Protocollo dei parametri del motore</w:t>
        </w:r>
        <w:r>
          <w:rPr>
            <w:noProof/>
            <w:webHidden/>
          </w:rPr>
          <w:tab/>
        </w:r>
        <w:r>
          <w:rPr>
            <w:noProof/>
            <w:webHidden/>
          </w:rPr>
          <w:fldChar w:fldCharType="begin"/>
        </w:r>
        <w:r>
          <w:rPr>
            <w:noProof/>
            <w:webHidden/>
          </w:rPr>
          <w:instrText xml:space="preserve"> PAGEREF _Toc535500271 \h </w:instrText>
        </w:r>
        <w:r>
          <w:rPr>
            <w:noProof/>
            <w:webHidden/>
          </w:rPr>
        </w:r>
        <w:r>
          <w:rPr>
            <w:noProof/>
            <w:webHidden/>
          </w:rPr>
          <w:fldChar w:fldCharType="separate"/>
        </w:r>
        <w:r>
          <w:rPr>
            <w:noProof/>
            <w:webHidden/>
          </w:rPr>
          <w:t>354</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272" w:history="1">
        <w:r w:rsidRPr="00572870">
          <w:rPr>
            <w:rStyle w:val="Hyperlink"/>
            <w:noProof/>
          </w:rPr>
          <w:t>Allegato 7 Impianti di depurazione di bordo</w:t>
        </w:r>
        <w:r>
          <w:rPr>
            <w:noProof/>
            <w:webHidden/>
          </w:rPr>
          <w:tab/>
        </w:r>
        <w:r>
          <w:rPr>
            <w:noProof/>
            <w:webHidden/>
          </w:rPr>
          <w:fldChar w:fldCharType="begin"/>
        </w:r>
        <w:r>
          <w:rPr>
            <w:noProof/>
            <w:webHidden/>
          </w:rPr>
          <w:instrText xml:space="preserve"> PAGEREF _Toc535500272 \h </w:instrText>
        </w:r>
        <w:r>
          <w:rPr>
            <w:noProof/>
            <w:webHidden/>
          </w:rPr>
        </w:r>
        <w:r>
          <w:rPr>
            <w:noProof/>
            <w:webHidden/>
          </w:rPr>
          <w:fldChar w:fldCharType="separate"/>
        </w:r>
        <w:r>
          <w:rPr>
            <w:noProof/>
            <w:webHidden/>
          </w:rPr>
          <w:t>358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73" w:history="1">
        <w:r w:rsidRPr="00572870">
          <w:rPr>
            <w:rStyle w:val="Hyperlink"/>
            <w:noProof/>
          </w:rPr>
          <w:t>Sezione I</w:t>
        </w:r>
        <w:r>
          <w:rPr>
            <w:noProof/>
            <w:webHidden/>
          </w:rPr>
          <w:tab/>
        </w:r>
        <w:r>
          <w:rPr>
            <w:noProof/>
            <w:webHidden/>
          </w:rPr>
          <w:fldChar w:fldCharType="begin"/>
        </w:r>
        <w:r>
          <w:rPr>
            <w:noProof/>
            <w:webHidden/>
          </w:rPr>
          <w:instrText xml:space="preserve"> PAGEREF _Toc535500273 \h </w:instrText>
        </w:r>
        <w:r>
          <w:rPr>
            <w:noProof/>
            <w:webHidden/>
          </w:rPr>
        </w:r>
        <w:r>
          <w:rPr>
            <w:noProof/>
            <w:webHidden/>
          </w:rPr>
          <w:fldChar w:fldCharType="separate"/>
        </w:r>
        <w:r>
          <w:rPr>
            <w:noProof/>
            <w:webHidden/>
          </w:rPr>
          <w:t>360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74" w:history="1">
        <w:r w:rsidRPr="00572870">
          <w:rPr>
            <w:rStyle w:val="Hyperlink"/>
            <w:noProof/>
          </w:rPr>
          <w:t>Disposizioni supplementari</w:t>
        </w:r>
        <w:r>
          <w:rPr>
            <w:noProof/>
            <w:webHidden/>
          </w:rPr>
          <w:tab/>
        </w:r>
        <w:r>
          <w:rPr>
            <w:noProof/>
            <w:webHidden/>
          </w:rPr>
          <w:fldChar w:fldCharType="begin"/>
        </w:r>
        <w:r>
          <w:rPr>
            <w:noProof/>
            <w:webHidden/>
          </w:rPr>
          <w:instrText xml:space="preserve"> PAGEREF _Toc535500274 \h </w:instrText>
        </w:r>
        <w:r>
          <w:rPr>
            <w:noProof/>
            <w:webHidden/>
          </w:rPr>
        </w:r>
        <w:r>
          <w:rPr>
            <w:noProof/>
            <w:webHidden/>
          </w:rPr>
          <w:fldChar w:fldCharType="separate"/>
        </w:r>
        <w:r>
          <w:rPr>
            <w:noProof/>
            <w:webHidden/>
          </w:rPr>
          <w:t>360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75" w:history="1">
        <w:r w:rsidRPr="00572870">
          <w:rPr>
            <w:rStyle w:val="Hyperlink"/>
            <w:noProof/>
          </w:rPr>
          <w:t>Sezione II</w:t>
        </w:r>
        <w:r>
          <w:rPr>
            <w:noProof/>
            <w:webHidden/>
          </w:rPr>
          <w:tab/>
        </w:r>
        <w:r>
          <w:rPr>
            <w:noProof/>
            <w:webHidden/>
          </w:rPr>
          <w:fldChar w:fldCharType="begin"/>
        </w:r>
        <w:r>
          <w:rPr>
            <w:noProof/>
            <w:webHidden/>
          </w:rPr>
          <w:instrText xml:space="preserve"> PAGEREF _Toc535500275 \h </w:instrText>
        </w:r>
        <w:r>
          <w:rPr>
            <w:noProof/>
            <w:webHidden/>
          </w:rPr>
        </w:r>
        <w:r>
          <w:rPr>
            <w:noProof/>
            <w:webHidden/>
          </w:rPr>
          <w:fldChar w:fldCharType="separate"/>
        </w:r>
        <w:r>
          <w:rPr>
            <w:noProof/>
            <w:webHidden/>
          </w:rPr>
          <w:t>364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76" w:history="1">
        <w:r w:rsidRPr="00572870">
          <w:rPr>
            <w:rStyle w:val="Hyperlink"/>
            <w:noProof/>
          </w:rPr>
          <w:t>Scheda informativa n. ... relativa all'omologazione di impianti di depurazione di bordo destinati al montaggio su imbarcazioni per la navigazione interna</w:t>
        </w:r>
        <w:r>
          <w:rPr>
            <w:noProof/>
            <w:webHidden/>
          </w:rPr>
          <w:tab/>
        </w:r>
        <w:r>
          <w:rPr>
            <w:noProof/>
            <w:webHidden/>
          </w:rPr>
          <w:fldChar w:fldCharType="begin"/>
        </w:r>
        <w:r>
          <w:rPr>
            <w:noProof/>
            <w:webHidden/>
          </w:rPr>
          <w:instrText xml:space="preserve"> PAGEREF _Toc535500276 \h </w:instrText>
        </w:r>
        <w:r>
          <w:rPr>
            <w:noProof/>
            <w:webHidden/>
          </w:rPr>
        </w:r>
        <w:r>
          <w:rPr>
            <w:noProof/>
            <w:webHidden/>
          </w:rPr>
          <w:fldChar w:fldCharType="separate"/>
        </w:r>
        <w:r>
          <w:rPr>
            <w:noProof/>
            <w:webHidden/>
          </w:rPr>
          <w:t>364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77" w:history="1">
        <w:r w:rsidRPr="00572870">
          <w:rPr>
            <w:rStyle w:val="Hyperlink"/>
            <w:noProof/>
          </w:rPr>
          <w:t>Sezione III</w:t>
        </w:r>
        <w:r>
          <w:rPr>
            <w:noProof/>
            <w:webHidden/>
          </w:rPr>
          <w:tab/>
        </w:r>
        <w:r>
          <w:rPr>
            <w:noProof/>
            <w:webHidden/>
          </w:rPr>
          <w:fldChar w:fldCharType="begin"/>
        </w:r>
        <w:r>
          <w:rPr>
            <w:noProof/>
            <w:webHidden/>
          </w:rPr>
          <w:instrText xml:space="preserve"> PAGEREF _Toc535500277 \h </w:instrText>
        </w:r>
        <w:r>
          <w:rPr>
            <w:noProof/>
            <w:webHidden/>
          </w:rPr>
        </w:r>
        <w:r>
          <w:rPr>
            <w:noProof/>
            <w:webHidden/>
          </w:rPr>
          <w:fldChar w:fldCharType="separate"/>
        </w:r>
        <w:r>
          <w:rPr>
            <w:noProof/>
            <w:webHidden/>
          </w:rPr>
          <w:t>366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78" w:history="1">
        <w:r w:rsidRPr="00572870">
          <w:rPr>
            <w:rStyle w:val="Hyperlink"/>
            <w:noProof/>
          </w:rPr>
          <w:t>Certificato di omologazione</w:t>
        </w:r>
        <w:r>
          <w:rPr>
            <w:noProof/>
            <w:webHidden/>
          </w:rPr>
          <w:tab/>
        </w:r>
        <w:r>
          <w:rPr>
            <w:noProof/>
            <w:webHidden/>
          </w:rPr>
          <w:fldChar w:fldCharType="begin"/>
        </w:r>
        <w:r>
          <w:rPr>
            <w:noProof/>
            <w:webHidden/>
          </w:rPr>
          <w:instrText xml:space="preserve"> PAGEREF _Toc535500278 \h </w:instrText>
        </w:r>
        <w:r>
          <w:rPr>
            <w:noProof/>
            <w:webHidden/>
          </w:rPr>
        </w:r>
        <w:r>
          <w:rPr>
            <w:noProof/>
            <w:webHidden/>
          </w:rPr>
          <w:fldChar w:fldCharType="separate"/>
        </w:r>
        <w:r>
          <w:rPr>
            <w:noProof/>
            <w:webHidden/>
          </w:rPr>
          <w:t>366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79" w:history="1">
        <w:r w:rsidRPr="00572870">
          <w:rPr>
            <w:rStyle w:val="Hyperlink"/>
            <w:noProof/>
          </w:rPr>
          <w:t>Sezione IV</w:t>
        </w:r>
        <w:r>
          <w:rPr>
            <w:noProof/>
            <w:webHidden/>
          </w:rPr>
          <w:tab/>
        </w:r>
        <w:r>
          <w:rPr>
            <w:noProof/>
            <w:webHidden/>
          </w:rPr>
          <w:fldChar w:fldCharType="begin"/>
        </w:r>
        <w:r>
          <w:rPr>
            <w:noProof/>
            <w:webHidden/>
          </w:rPr>
          <w:instrText xml:space="preserve"> PAGEREF _Toc535500279 \h </w:instrText>
        </w:r>
        <w:r>
          <w:rPr>
            <w:noProof/>
            <w:webHidden/>
          </w:rPr>
        </w:r>
        <w:r>
          <w:rPr>
            <w:noProof/>
            <w:webHidden/>
          </w:rPr>
          <w:fldChar w:fldCharType="separate"/>
        </w:r>
        <w:r>
          <w:rPr>
            <w:noProof/>
            <w:webHidden/>
          </w:rPr>
          <w:t>372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80" w:history="1">
        <w:r w:rsidRPr="00572870">
          <w:rPr>
            <w:rStyle w:val="Hyperlink"/>
            <w:noProof/>
          </w:rPr>
          <w:t>Sistema di numerazione delle omologazioni</w:t>
        </w:r>
        <w:r>
          <w:rPr>
            <w:noProof/>
            <w:webHidden/>
          </w:rPr>
          <w:tab/>
        </w:r>
        <w:r>
          <w:rPr>
            <w:noProof/>
            <w:webHidden/>
          </w:rPr>
          <w:fldChar w:fldCharType="begin"/>
        </w:r>
        <w:r>
          <w:rPr>
            <w:noProof/>
            <w:webHidden/>
          </w:rPr>
          <w:instrText xml:space="preserve"> PAGEREF _Toc535500280 \h </w:instrText>
        </w:r>
        <w:r>
          <w:rPr>
            <w:noProof/>
            <w:webHidden/>
          </w:rPr>
        </w:r>
        <w:r>
          <w:rPr>
            <w:noProof/>
            <w:webHidden/>
          </w:rPr>
          <w:fldChar w:fldCharType="separate"/>
        </w:r>
        <w:r>
          <w:rPr>
            <w:noProof/>
            <w:webHidden/>
          </w:rPr>
          <w:t>372</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81" w:history="1">
        <w:r w:rsidRPr="00572870">
          <w:rPr>
            <w:rStyle w:val="Hyperlink"/>
            <w:noProof/>
          </w:rPr>
          <w:t>Sezione V</w:t>
        </w:r>
        <w:r>
          <w:rPr>
            <w:noProof/>
            <w:webHidden/>
          </w:rPr>
          <w:tab/>
        </w:r>
        <w:r>
          <w:rPr>
            <w:noProof/>
            <w:webHidden/>
          </w:rPr>
          <w:fldChar w:fldCharType="begin"/>
        </w:r>
        <w:r>
          <w:rPr>
            <w:noProof/>
            <w:webHidden/>
          </w:rPr>
          <w:instrText xml:space="preserve"> PAGEREF _Toc535500281 \h </w:instrText>
        </w:r>
        <w:r>
          <w:rPr>
            <w:noProof/>
            <w:webHidden/>
          </w:rPr>
        </w:r>
        <w:r>
          <w:rPr>
            <w:noProof/>
            <w:webHidden/>
          </w:rPr>
          <w:fldChar w:fldCharType="separate"/>
        </w:r>
        <w:r>
          <w:rPr>
            <w:noProof/>
            <w:webHidden/>
          </w:rPr>
          <w:t>374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82" w:history="1">
        <w:r w:rsidRPr="00572870">
          <w:rPr>
            <w:rStyle w:val="Hyperlink"/>
            <w:noProof/>
          </w:rPr>
          <w:t>Sintesi delle omologazioni di tipi di impianti di depurazione di bordo</w:t>
        </w:r>
        <w:r>
          <w:rPr>
            <w:noProof/>
            <w:webHidden/>
          </w:rPr>
          <w:tab/>
        </w:r>
        <w:r>
          <w:rPr>
            <w:noProof/>
            <w:webHidden/>
          </w:rPr>
          <w:fldChar w:fldCharType="begin"/>
        </w:r>
        <w:r>
          <w:rPr>
            <w:noProof/>
            <w:webHidden/>
          </w:rPr>
          <w:instrText xml:space="preserve"> PAGEREF _Toc535500282 \h </w:instrText>
        </w:r>
        <w:r>
          <w:rPr>
            <w:noProof/>
            <w:webHidden/>
          </w:rPr>
        </w:r>
        <w:r>
          <w:rPr>
            <w:noProof/>
            <w:webHidden/>
          </w:rPr>
          <w:fldChar w:fldCharType="separate"/>
        </w:r>
        <w:r>
          <w:rPr>
            <w:noProof/>
            <w:webHidden/>
          </w:rPr>
          <w:t>374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83" w:history="1">
        <w:r w:rsidRPr="00572870">
          <w:rPr>
            <w:rStyle w:val="Hyperlink"/>
            <w:noProof/>
          </w:rPr>
          <w:t>Sezione VI</w:t>
        </w:r>
        <w:r>
          <w:rPr>
            <w:noProof/>
            <w:webHidden/>
          </w:rPr>
          <w:tab/>
        </w:r>
        <w:r>
          <w:rPr>
            <w:noProof/>
            <w:webHidden/>
          </w:rPr>
          <w:fldChar w:fldCharType="begin"/>
        </w:r>
        <w:r>
          <w:rPr>
            <w:noProof/>
            <w:webHidden/>
          </w:rPr>
          <w:instrText xml:space="preserve"> PAGEREF _Toc535500283 \h </w:instrText>
        </w:r>
        <w:r>
          <w:rPr>
            <w:noProof/>
            <w:webHidden/>
          </w:rPr>
        </w:r>
        <w:r>
          <w:rPr>
            <w:noProof/>
            <w:webHidden/>
          </w:rPr>
          <w:fldChar w:fldCharType="separate"/>
        </w:r>
        <w:r>
          <w:rPr>
            <w:noProof/>
            <w:webHidden/>
          </w:rPr>
          <w:t>376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84" w:history="1">
        <w:r w:rsidRPr="00572870">
          <w:rPr>
            <w:rStyle w:val="Hyperlink"/>
            <w:noProof/>
          </w:rPr>
          <w:t>Sintesi degli impianti di depurazione di bordo fabbricati</w:t>
        </w:r>
        <w:r>
          <w:rPr>
            <w:noProof/>
            <w:webHidden/>
          </w:rPr>
          <w:tab/>
        </w:r>
        <w:r>
          <w:rPr>
            <w:noProof/>
            <w:webHidden/>
          </w:rPr>
          <w:fldChar w:fldCharType="begin"/>
        </w:r>
        <w:r>
          <w:rPr>
            <w:noProof/>
            <w:webHidden/>
          </w:rPr>
          <w:instrText xml:space="preserve"> PAGEREF _Toc535500284 \h </w:instrText>
        </w:r>
        <w:r>
          <w:rPr>
            <w:noProof/>
            <w:webHidden/>
          </w:rPr>
        </w:r>
        <w:r>
          <w:rPr>
            <w:noProof/>
            <w:webHidden/>
          </w:rPr>
          <w:fldChar w:fldCharType="separate"/>
        </w:r>
        <w:r>
          <w:rPr>
            <w:noProof/>
            <w:webHidden/>
          </w:rPr>
          <w:t>376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85" w:history="1">
        <w:r w:rsidRPr="00572870">
          <w:rPr>
            <w:rStyle w:val="Hyperlink"/>
            <w:noProof/>
          </w:rPr>
          <w:t>Sezione VII</w:t>
        </w:r>
        <w:r>
          <w:rPr>
            <w:noProof/>
            <w:webHidden/>
          </w:rPr>
          <w:tab/>
        </w:r>
        <w:r>
          <w:rPr>
            <w:noProof/>
            <w:webHidden/>
          </w:rPr>
          <w:fldChar w:fldCharType="begin"/>
        </w:r>
        <w:r>
          <w:rPr>
            <w:noProof/>
            <w:webHidden/>
          </w:rPr>
          <w:instrText xml:space="preserve"> PAGEREF _Toc535500285 \h </w:instrText>
        </w:r>
        <w:r>
          <w:rPr>
            <w:noProof/>
            <w:webHidden/>
          </w:rPr>
        </w:r>
        <w:r>
          <w:rPr>
            <w:noProof/>
            <w:webHidden/>
          </w:rPr>
          <w:fldChar w:fldCharType="separate"/>
        </w:r>
        <w:r>
          <w:rPr>
            <w:noProof/>
            <w:webHidden/>
          </w:rPr>
          <w:t>378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86" w:history="1">
        <w:r w:rsidRPr="00572870">
          <w:rPr>
            <w:rStyle w:val="Hyperlink"/>
            <w:noProof/>
          </w:rPr>
          <w:t>Scheda informativa per gli impianti di depurazione di bordo omologati</w:t>
        </w:r>
        <w:r>
          <w:rPr>
            <w:noProof/>
            <w:webHidden/>
          </w:rPr>
          <w:tab/>
        </w:r>
        <w:r>
          <w:rPr>
            <w:noProof/>
            <w:webHidden/>
          </w:rPr>
          <w:fldChar w:fldCharType="begin"/>
        </w:r>
        <w:r>
          <w:rPr>
            <w:noProof/>
            <w:webHidden/>
          </w:rPr>
          <w:instrText xml:space="preserve"> PAGEREF _Toc535500286 \h </w:instrText>
        </w:r>
        <w:r>
          <w:rPr>
            <w:noProof/>
            <w:webHidden/>
          </w:rPr>
        </w:r>
        <w:r>
          <w:rPr>
            <w:noProof/>
            <w:webHidden/>
          </w:rPr>
          <w:fldChar w:fldCharType="separate"/>
        </w:r>
        <w:r>
          <w:rPr>
            <w:noProof/>
            <w:webHidden/>
          </w:rPr>
          <w:t>378</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87" w:history="1">
        <w:r w:rsidRPr="00572870">
          <w:rPr>
            <w:rStyle w:val="Hyperlink"/>
            <w:noProof/>
          </w:rPr>
          <w:t>Sezione VIII</w:t>
        </w:r>
        <w:r>
          <w:rPr>
            <w:noProof/>
            <w:webHidden/>
          </w:rPr>
          <w:tab/>
        </w:r>
        <w:r>
          <w:rPr>
            <w:noProof/>
            <w:webHidden/>
          </w:rPr>
          <w:fldChar w:fldCharType="begin"/>
        </w:r>
        <w:r>
          <w:rPr>
            <w:noProof/>
            <w:webHidden/>
          </w:rPr>
          <w:instrText xml:space="preserve"> PAGEREF _Toc535500287 \h </w:instrText>
        </w:r>
        <w:r>
          <w:rPr>
            <w:noProof/>
            <w:webHidden/>
          </w:rPr>
        </w:r>
        <w:r>
          <w:rPr>
            <w:noProof/>
            <w:webHidden/>
          </w:rPr>
          <w:fldChar w:fldCharType="separate"/>
        </w:r>
        <w:r>
          <w:rPr>
            <w:noProof/>
            <w:webHidden/>
          </w:rPr>
          <w:t>380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88" w:history="1">
        <w:r w:rsidRPr="00572870">
          <w:rPr>
            <w:rStyle w:val="Hyperlink"/>
            <w:noProof/>
          </w:rPr>
          <w:t>Registrazione dei parametri dell’impianto di depurazione di bordo ai fini del controllo speciale</w:t>
        </w:r>
        <w:r>
          <w:rPr>
            <w:noProof/>
            <w:webHidden/>
          </w:rPr>
          <w:tab/>
        </w:r>
        <w:r>
          <w:rPr>
            <w:noProof/>
            <w:webHidden/>
          </w:rPr>
          <w:fldChar w:fldCharType="begin"/>
        </w:r>
        <w:r>
          <w:rPr>
            <w:noProof/>
            <w:webHidden/>
          </w:rPr>
          <w:instrText xml:space="preserve"> PAGEREF _Toc535500288 \h </w:instrText>
        </w:r>
        <w:r>
          <w:rPr>
            <w:noProof/>
            <w:webHidden/>
          </w:rPr>
        </w:r>
        <w:r>
          <w:rPr>
            <w:noProof/>
            <w:webHidden/>
          </w:rPr>
          <w:fldChar w:fldCharType="separate"/>
        </w:r>
        <w:r>
          <w:rPr>
            <w:noProof/>
            <w:webHidden/>
          </w:rPr>
          <w:t>380</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89" w:history="1">
        <w:r w:rsidRPr="00572870">
          <w:rPr>
            <w:rStyle w:val="Hyperlink"/>
            <w:noProof/>
          </w:rPr>
          <w:t>Sezione IX</w:t>
        </w:r>
        <w:r>
          <w:rPr>
            <w:noProof/>
            <w:webHidden/>
          </w:rPr>
          <w:tab/>
        </w:r>
        <w:r>
          <w:rPr>
            <w:noProof/>
            <w:webHidden/>
          </w:rPr>
          <w:fldChar w:fldCharType="begin"/>
        </w:r>
        <w:r>
          <w:rPr>
            <w:noProof/>
            <w:webHidden/>
          </w:rPr>
          <w:instrText xml:space="preserve"> PAGEREF _Toc535500289 \h </w:instrText>
        </w:r>
        <w:r>
          <w:rPr>
            <w:noProof/>
            <w:webHidden/>
          </w:rPr>
        </w:r>
        <w:r>
          <w:rPr>
            <w:noProof/>
            <w:webHidden/>
          </w:rPr>
          <w:fldChar w:fldCharType="separate"/>
        </w:r>
        <w:r>
          <w:rPr>
            <w:noProof/>
            <w:webHidden/>
          </w:rPr>
          <w:t>384</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90" w:history="1">
        <w:r w:rsidRPr="00572870">
          <w:rPr>
            <w:rStyle w:val="Hyperlink"/>
            <w:noProof/>
          </w:rPr>
          <w:t>Procedimento di prova</w:t>
        </w:r>
        <w:r>
          <w:rPr>
            <w:noProof/>
            <w:webHidden/>
          </w:rPr>
          <w:tab/>
        </w:r>
        <w:r>
          <w:rPr>
            <w:noProof/>
            <w:webHidden/>
          </w:rPr>
          <w:fldChar w:fldCharType="begin"/>
        </w:r>
        <w:r>
          <w:rPr>
            <w:noProof/>
            <w:webHidden/>
          </w:rPr>
          <w:instrText xml:space="preserve"> PAGEREF _Toc535500290 \h </w:instrText>
        </w:r>
        <w:r>
          <w:rPr>
            <w:noProof/>
            <w:webHidden/>
          </w:rPr>
        </w:r>
        <w:r>
          <w:rPr>
            <w:noProof/>
            <w:webHidden/>
          </w:rPr>
          <w:fldChar w:fldCharType="separate"/>
        </w:r>
        <w:r>
          <w:rPr>
            <w:noProof/>
            <w:webHidden/>
          </w:rPr>
          <w:t>384</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291" w:history="1">
        <w:r w:rsidRPr="00572870">
          <w:rPr>
            <w:rStyle w:val="Hyperlink"/>
            <w:noProof/>
          </w:rPr>
          <w:t>Allegato 8 Disposizioni supplementari applicabili alle imbarcazioni alimentate con combustibili aventi un punto di infiammabilità pari o inferiore a 55 °C</w:t>
        </w:r>
        <w:r>
          <w:rPr>
            <w:noProof/>
            <w:webHidden/>
          </w:rPr>
          <w:tab/>
        </w:r>
        <w:r>
          <w:rPr>
            <w:noProof/>
            <w:webHidden/>
          </w:rPr>
          <w:fldChar w:fldCharType="begin"/>
        </w:r>
        <w:r>
          <w:rPr>
            <w:noProof/>
            <w:webHidden/>
          </w:rPr>
          <w:instrText xml:space="preserve"> PAGEREF _Toc535500291 \h </w:instrText>
        </w:r>
        <w:r>
          <w:rPr>
            <w:noProof/>
            <w:webHidden/>
          </w:rPr>
        </w:r>
        <w:r>
          <w:rPr>
            <w:noProof/>
            <w:webHidden/>
          </w:rPr>
          <w:fldChar w:fldCharType="separate"/>
        </w:r>
        <w:r>
          <w:rPr>
            <w:noProof/>
            <w:webHidden/>
          </w:rPr>
          <w:t>396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92" w:history="1">
        <w:r w:rsidRPr="00572870">
          <w:rPr>
            <w:rStyle w:val="Hyperlink"/>
            <w:noProof/>
          </w:rPr>
          <w:t>Sezione I</w:t>
        </w:r>
        <w:r>
          <w:rPr>
            <w:noProof/>
            <w:webHidden/>
          </w:rPr>
          <w:tab/>
        </w:r>
        <w:r>
          <w:rPr>
            <w:noProof/>
            <w:webHidden/>
          </w:rPr>
          <w:fldChar w:fldCharType="begin"/>
        </w:r>
        <w:r>
          <w:rPr>
            <w:noProof/>
            <w:webHidden/>
          </w:rPr>
          <w:instrText xml:space="preserve"> PAGEREF _Toc535500292 \h </w:instrText>
        </w:r>
        <w:r>
          <w:rPr>
            <w:noProof/>
            <w:webHidden/>
          </w:rPr>
        </w:r>
        <w:r>
          <w:rPr>
            <w:noProof/>
            <w:webHidden/>
          </w:rPr>
          <w:fldChar w:fldCharType="separate"/>
        </w:r>
        <w:r>
          <w:rPr>
            <w:noProof/>
            <w:webHidden/>
          </w:rPr>
          <w:t>396</w:t>
        </w:r>
        <w:r>
          <w:rPr>
            <w:noProof/>
            <w:webHidden/>
          </w:rPr>
          <w:fldChar w:fldCharType="end"/>
        </w:r>
      </w:hyperlink>
    </w:p>
    <w:p w:rsidR="00624017" w:rsidRDefault="00624017">
      <w:pPr>
        <w:pStyle w:val="TOC3"/>
        <w:rPr>
          <w:rFonts w:asciiTheme="minorHAnsi" w:eastAsiaTheme="minorEastAsia" w:hAnsiTheme="minorHAnsi" w:cstheme="minorBidi"/>
          <w:i w:val="0"/>
          <w:iCs w:val="0"/>
          <w:noProof/>
          <w:sz w:val="22"/>
          <w:szCs w:val="22"/>
          <w:lang w:val="en-GB" w:eastAsia="en-GB" w:bidi="ar-SA"/>
        </w:rPr>
      </w:pPr>
      <w:hyperlink w:anchor="_Toc535500293" w:history="1">
        <w:r w:rsidRPr="00572870">
          <w:rPr>
            <w:rStyle w:val="Hyperlink"/>
            <w:noProof/>
          </w:rPr>
          <w:t>Gas naturale liquefatto (GNL)</w:t>
        </w:r>
        <w:r>
          <w:rPr>
            <w:noProof/>
            <w:webHidden/>
          </w:rPr>
          <w:tab/>
        </w:r>
        <w:r>
          <w:rPr>
            <w:noProof/>
            <w:webHidden/>
          </w:rPr>
          <w:fldChar w:fldCharType="begin"/>
        </w:r>
        <w:r>
          <w:rPr>
            <w:noProof/>
            <w:webHidden/>
          </w:rPr>
          <w:instrText xml:space="preserve"> PAGEREF _Toc535500293 \h </w:instrText>
        </w:r>
        <w:r>
          <w:rPr>
            <w:noProof/>
            <w:webHidden/>
          </w:rPr>
        </w:r>
        <w:r>
          <w:rPr>
            <w:noProof/>
            <w:webHidden/>
          </w:rPr>
          <w:fldChar w:fldCharType="separate"/>
        </w:r>
        <w:r>
          <w:rPr>
            <w:noProof/>
            <w:webHidden/>
          </w:rPr>
          <w:t>396</w:t>
        </w:r>
        <w:r>
          <w:rPr>
            <w:noProof/>
            <w:webHidden/>
          </w:rPr>
          <w:fldChar w:fldCharType="end"/>
        </w:r>
      </w:hyperlink>
    </w:p>
    <w:p w:rsidR="00624017" w:rsidRDefault="00624017">
      <w:pPr>
        <w:pStyle w:val="TOC1"/>
        <w:rPr>
          <w:rFonts w:asciiTheme="minorHAnsi" w:eastAsiaTheme="minorEastAsia" w:hAnsiTheme="minorHAnsi" w:cstheme="minorBidi"/>
          <w:b w:val="0"/>
          <w:bCs w:val="0"/>
          <w:caps w:val="0"/>
          <w:noProof/>
          <w:sz w:val="22"/>
          <w:szCs w:val="22"/>
          <w:lang w:val="en-GB" w:eastAsia="en-GB" w:bidi="ar-SA"/>
        </w:rPr>
      </w:pPr>
      <w:hyperlink w:anchor="_Toc535500294" w:history="1">
        <w:r w:rsidRPr="00572870">
          <w:rPr>
            <w:rStyle w:val="Hyperlink"/>
            <w:noProof/>
          </w:rPr>
          <w:t>Istruzioni per l'applicazione della norma tecnica</w:t>
        </w:r>
        <w:r>
          <w:rPr>
            <w:noProof/>
            <w:webHidden/>
          </w:rPr>
          <w:tab/>
        </w:r>
        <w:r>
          <w:rPr>
            <w:noProof/>
            <w:webHidden/>
          </w:rPr>
          <w:fldChar w:fldCharType="begin"/>
        </w:r>
        <w:r>
          <w:rPr>
            <w:noProof/>
            <w:webHidden/>
          </w:rPr>
          <w:instrText xml:space="preserve"> PAGEREF _Toc535500294 \h </w:instrText>
        </w:r>
        <w:r>
          <w:rPr>
            <w:noProof/>
            <w:webHidden/>
          </w:rPr>
        </w:r>
        <w:r>
          <w:rPr>
            <w:noProof/>
            <w:webHidden/>
          </w:rPr>
          <w:fldChar w:fldCharType="separate"/>
        </w:r>
        <w:r>
          <w:rPr>
            <w:noProof/>
            <w:webHidden/>
          </w:rPr>
          <w:t>397</w:t>
        </w:r>
        <w:r>
          <w:rPr>
            <w:noProof/>
            <w:webHidden/>
          </w:rPr>
          <w:fldChar w:fldCharType="end"/>
        </w:r>
      </w:hyperlink>
    </w:p>
    <w:p w:rsidR="00624017" w:rsidRDefault="00624017">
      <w:pPr>
        <w:pStyle w:val="TOC1"/>
        <w:rPr>
          <w:rFonts w:asciiTheme="minorHAnsi" w:eastAsiaTheme="minorEastAsia" w:hAnsiTheme="minorHAnsi" w:cstheme="minorBidi"/>
          <w:b w:val="0"/>
          <w:bCs w:val="0"/>
          <w:caps w:val="0"/>
          <w:noProof/>
          <w:sz w:val="22"/>
          <w:szCs w:val="22"/>
          <w:lang w:val="en-GB" w:eastAsia="en-GB" w:bidi="ar-SA"/>
        </w:rPr>
      </w:pPr>
      <w:hyperlink w:anchor="_Toc535500295" w:history="1">
        <w:r w:rsidRPr="00572870">
          <w:rPr>
            <w:rStyle w:val="Hyperlink"/>
            <w:noProof/>
          </w:rPr>
          <w:t>PARTE I REQUISITI GENERALI</w:t>
        </w:r>
        <w:r>
          <w:rPr>
            <w:noProof/>
            <w:webHidden/>
          </w:rPr>
          <w:tab/>
        </w:r>
        <w:r>
          <w:rPr>
            <w:noProof/>
            <w:webHidden/>
          </w:rPr>
          <w:fldChar w:fldCharType="begin"/>
        </w:r>
        <w:r>
          <w:rPr>
            <w:noProof/>
            <w:webHidden/>
          </w:rPr>
          <w:instrText xml:space="preserve"> PAGEREF _Toc535500295 \h </w:instrText>
        </w:r>
        <w:r>
          <w:rPr>
            <w:noProof/>
            <w:webHidden/>
          </w:rPr>
        </w:r>
        <w:r>
          <w:rPr>
            <w:noProof/>
            <w:webHidden/>
          </w:rPr>
          <w:fldChar w:fldCharType="separate"/>
        </w:r>
        <w:r>
          <w:rPr>
            <w:noProof/>
            <w:webHidden/>
          </w:rPr>
          <w:t>399</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296" w:history="1">
        <w:r w:rsidRPr="00572870">
          <w:rPr>
            <w:rStyle w:val="Hyperlink"/>
            <w:noProof/>
          </w:rPr>
          <w:t>ESI-I-1 Compilazione dei certificati di nave di navigazione interna</w:t>
        </w:r>
        <w:r>
          <w:rPr>
            <w:noProof/>
            <w:webHidden/>
          </w:rPr>
          <w:tab/>
        </w:r>
        <w:r>
          <w:rPr>
            <w:noProof/>
            <w:webHidden/>
          </w:rPr>
          <w:fldChar w:fldCharType="begin"/>
        </w:r>
        <w:r>
          <w:rPr>
            <w:noProof/>
            <w:webHidden/>
          </w:rPr>
          <w:instrText xml:space="preserve"> PAGEREF _Toc535500296 \h </w:instrText>
        </w:r>
        <w:r>
          <w:rPr>
            <w:noProof/>
            <w:webHidden/>
          </w:rPr>
        </w:r>
        <w:r>
          <w:rPr>
            <w:noProof/>
            <w:webHidden/>
          </w:rPr>
          <w:fldChar w:fldCharType="separate"/>
        </w:r>
        <w:r>
          <w:rPr>
            <w:noProof/>
            <w:webHidden/>
          </w:rPr>
          <w:t>399</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297" w:history="1">
        <w:r w:rsidRPr="00572870">
          <w:rPr>
            <w:rStyle w:val="Hyperlink"/>
            <w:noProof/>
          </w:rPr>
          <w:t>ESI-I-2 Esperti e persone competenti</w:t>
        </w:r>
        <w:r>
          <w:rPr>
            <w:noProof/>
            <w:webHidden/>
          </w:rPr>
          <w:tab/>
        </w:r>
        <w:r>
          <w:rPr>
            <w:noProof/>
            <w:webHidden/>
          </w:rPr>
          <w:fldChar w:fldCharType="begin"/>
        </w:r>
        <w:r>
          <w:rPr>
            <w:noProof/>
            <w:webHidden/>
          </w:rPr>
          <w:instrText xml:space="preserve"> PAGEREF _Toc535500297 \h </w:instrText>
        </w:r>
        <w:r>
          <w:rPr>
            <w:noProof/>
            <w:webHidden/>
          </w:rPr>
        </w:r>
        <w:r>
          <w:rPr>
            <w:noProof/>
            <w:webHidden/>
          </w:rPr>
          <w:fldChar w:fldCharType="separate"/>
        </w:r>
        <w:r>
          <w:rPr>
            <w:noProof/>
            <w:webHidden/>
          </w:rPr>
          <w:t>405</w:t>
        </w:r>
        <w:r>
          <w:rPr>
            <w:noProof/>
            <w:webHidden/>
          </w:rPr>
          <w:fldChar w:fldCharType="end"/>
        </w:r>
      </w:hyperlink>
    </w:p>
    <w:p w:rsidR="00624017" w:rsidRDefault="00624017">
      <w:pPr>
        <w:pStyle w:val="TOC1"/>
        <w:rPr>
          <w:rFonts w:asciiTheme="minorHAnsi" w:eastAsiaTheme="minorEastAsia" w:hAnsiTheme="minorHAnsi" w:cstheme="minorBidi"/>
          <w:b w:val="0"/>
          <w:bCs w:val="0"/>
          <w:caps w:val="0"/>
          <w:noProof/>
          <w:sz w:val="22"/>
          <w:szCs w:val="22"/>
          <w:lang w:val="en-GB" w:eastAsia="en-GB" w:bidi="ar-SA"/>
        </w:rPr>
      </w:pPr>
      <w:hyperlink w:anchor="_Toc535500298" w:history="1">
        <w:r w:rsidRPr="00572870">
          <w:rPr>
            <w:rStyle w:val="Hyperlink"/>
            <w:noProof/>
          </w:rPr>
          <w:t>PARTE II DISPOSIZIONI IN MATERIA DI COSTRUZIONE NAVALE, ALLESTIMENTO E ARMAMENTO</w:t>
        </w:r>
        <w:r>
          <w:rPr>
            <w:noProof/>
            <w:webHidden/>
          </w:rPr>
          <w:tab/>
        </w:r>
        <w:r>
          <w:rPr>
            <w:noProof/>
            <w:webHidden/>
          </w:rPr>
          <w:fldChar w:fldCharType="begin"/>
        </w:r>
        <w:r>
          <w:rPr>
            <w:noProof/>
            <w:webHidden/>
          </w:rPr>
          <w:instrText xml:space="preserve"> PAGEREF _Toc535500298 \h </w:instrText>
        </w:r>
        <w:r>
          <w:rPr>
            <w:noProof/>
            <w:webHidden/>
          </w:rPr>
        </w:r>
        <w:r>
          <w:rPr>
            <w:noProof/>
            <w:webHidden/>
          </w:rPr>
          <w:fldChar w:fldCharType="separate"/>
        </w:r>
        <w:r>
          <w:rPr>
            <w:noProof/>
            <w:webHidden/>
          </w:rPr>
          <w:t>408</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299" w:history="1">
        <w:r w:rsidRPr="00572870">
          <w:rPr>
            <w:rStyle w:val="Hyperlink"/>
            <w:noProof/>
          </w:rPr>
          <w:t>ESI-II-1 Spessore minimo dello scafo delle chiatte</w:t>
        </w:r>
        <w:r>
          <w:rPr>
            <w:noProof/>
            <w:webHidden/>
          </w:rPr>
          <w:tab/>
        </w:r>
        <w:r>
          <w:rPr>
            <w:noProof/>
            <w:webHidden/>
          </w:rPr>
          <w:fldChar w:fldCharType="begin"/>
        </w:r>
        <w:r>
          <w:rPr>
            <w:noProof/>
            <w:webHidden/>
          </w:rPr>
          <w:instrText xml:space="preserve"> PAGEREF _Toc535500299 \h </w:instrText>
        </w:r>
        <w:r>
          <w:rPr>
            <w:noProof/>
            <w:webHidden/>
          </w:rPr>
        </w:r>
        <w:r>
          <w:rPr>
            <w:noProof/>
            <w:webHidden/>
          </w:rPr>
          <w:fldChar w:fldCharType="separate"/>
        </w:r>
        <w:r>
          <w:rPr>
            <w:noProof/>
            <w:webHidden/>
          </w:rPr>
          <w:t>408</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00" w:history="1">
        <w:r w:rsidRPr="00572870">
          <w:rPr>
            <w:rStyle w:val="Hyperlink"/>
            <w:noProof/>
          </w:rPr>
          <w:t>ESI-II-2 Installazione di piastre di rinforzo sullo scafo</w:t>
        </w:r>
        <w:r>
          <w:rPr>
            <w:noProof/>
            <w:webHidden/>
          </w:rPr>
          <w:tab/>
        </w:r>
        <w:r>
          <w:rPr>
            <w:noProof/>
            <w:webHidden/>
          </w:rPr>
          <w:fldChar w:fldCharType="begin"/>
        </w:r>
        <w:r>
          <w:rPr>
            <w:noProof/>
            <w:webHidden/>
          </w:rPr>
          <w:instrText xml:space="preserve"> PAGEREF _Toc535500300 \h </w:instrText>
        </w:r>
        <w:r>
          <w:rPr>
            <w:noProof/>
            <w:webHidden/>
          </w:rPr>
        </w:r>
        <w:r>
          <w:rPr>
            <w:noProof/>
            <w:webHidden/>
          </w:rPr>
          <w:fldChar w:fldCharType="separate"/>
        </w:r>
        <w:r>
          <w:rPr>
            <w:noProof/>
            <w:webHidden/>
          </w:rPr>
          <w:t>410</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01" w:history="1">
        <w:r w:rsidRPr="00572870">
          <w:rPr>
            <w:rStyle w:val="Hyperlink"/>
            <w:noProof/>
          </w:rPr>
          <w:t>ESI-II-3 Velocità minima prescritta in marcia avanti, capacità di arresto e capacità di navigare in marcia indietro</w:t>
        </w:r>
        <w:r>
          <w:rPr>
            <w:noProof/>
            <w:webHidden/>
          </w:rPr>
          <w:tab/>
        </w:r>
        <w:r>
          <w:rPr>
            <w:noProof/>
            <w:webHidden/>
          </w:rPr>
          <w:fldChar w:fldCharType="begin"/>
        </w:r>
        <w:r>
          <w:rPr>
            <w:noProof/>
            <w:webHidden/>
          </w:rPr>
          <w:instrText xml:space="preserve"> PAGEREF _Toc535500301 \h </w:instrText>
        </w:r>
        <w:r>
          <w:rPr>
            <w:noProof/>
            <w:webHidden/>
          </w:rPr>
        </w:r>
        <w:r>
          <w:rPr>
            <w:noProof/>
            <w:webHidden/>
          </w:rPr>
          <w:fldChar w:fldCharType="separate"/>
        </w:r>
        <w:r>
          <w:rPr>
            <w:noProof/>
            <w:webHidden/>
          </w:rPr>
          <w:t>413</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02" w:history="1">
        <w:r w:rsidRPr="00572870">
          <w:rPr>
            <w:rStyle w:val="Hyperlink"/>
            <w:noProof/>
          </w:rPr>
          <w:t>ESI-II-4 Capacità di manovra di evasione e la capacità di virata</w:t>
        </w:r>
        <w:r>
          <w:rPr>
            <w:noProof/>
            <w:webHidden/>
          </w:rPr>
          <w:tab/>
        </w:r>
        <w:r>
          <w:rPr>
            <w:noProof/>
            <w:webHidden/>
          </w:rPr>
          <w:fldChar w:fldCharType="begin"/>
        </w:r>
        <w:r>
          <w:rPr>
            <w:noProof/>
            <w:webHidden/>
          </w:rPr>
          <w:instrText xml:space="preserve"> PAGEREF _Toc535500302 \h </w:instrText>
        </w:r>
        <w:r>
          <w:rPr>
            <w:noProof/>
            <w:webHidden/>
          </w:rPr>
        </w:r>
        <w:r>
          <w:rPr>
            <w:noProof/>
            <w:webHidden/>
          </w:rPr>
          <w:fldChar w:fldCharType="separate"/>
        </w:r>
        <w:r>
          <w:rPr>
            <w:noProof/>
            <w:webHidden/>
          </w:rPr>
          <w:t>437</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03" w:history="1">
        <w:r w:rsidRPr="00572870">
          <w:rPr>
            <w:rStyle w:val="Hyperlink"/>
            <w:noProof/>
          </w:rPr>
          <w:t>ESI-II-5 Misurazione del rumore</w:t>
        </w:r>
        <w:r>
          <w:rPr>
            <w:noProof/>
            <w:webHidden/>
          </w:rPr>
          <w:tab/>
        </w:r>
        <w:r>
          <w:rPr>
            <w:noProof/>
            <w:webHidden/>
          </w:rPr>
          <w:fldChar w:fldCharType="begin"/>
        </w:r>
        <w:r>
          <w:rPr>
            <w:noProof/>
            <w:webHidden/>
          </w:rPr>
          <w:instrText xml:space="preserve"> PAGEREF _Toc535500303 \h </w:instrText>
        </w:r>
        <w:r>
          <w:rPr>
            <w:noProof/>
            <w:webHidden/>
          </w:rPr>
        </w:r>
        <w:r>
          <w:rPr>
            <w:noProof/>
            <w:webHidden/>
          </w:rPr>
          <w:fldChar w:fldCharType="separate"/>
        </w:r>
        <w:r>
          <w:rPr>
            <w:noProof/>
            <w:webHidden/>
          </w:rPr>
          <w:t>443</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04" w:history="1">
        <w:r w:rsidRPr="00572870">
          <w:rPr>
            <w:rStyle w:val="Hyperlink"/>
            <w:noProof/>
          </w:rPr>
          <w:t>ESI-II-6 Mezzi ausiliari adeguati per osservare la zona di non visibilità</w:t>
        </w:r>
        <w:r>
          <w:rPr>
            <w:noProof/>
            <w:webHidden/>
          </w:rPr>
          <w:tab/>
        </w:r>
        <w:r>
          <w:rPr>
            <w:noProof/>
            <w:webHidden/>
          </w:rPr>
          <w:fldChar w:fldCharType="begin"/>
        </w:r>
        <w:r>
          <w:rPr>
            <w:noProof/>
            <w:webHidden/>
          </w:rPr>
          <w:instrText xml:space="preserve"> PAGEREF _Toc535500304 \h </w:instrText>
        </w:r>
        <w:r>
          <w:rPr>
            <w:noProof/>
            <w:webHidden/>
          </w:rPr>
        </w:r>
        <w:r>
          <w:rPr>
            <w:noProof/>
            <w:webHidden/>
          </w:rPr>
          <w:fldChar w:fldCharType="separate"/>
        </w:r>
        <w:r>
          <w:rPr>
            <w:noProof/>
            <w:webHidden/>
          </w:rPr>
          <w:t>447</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05" w:history="1">
        <w:r w:rsidRPr="00572870">
          <w:rPr>
            <w:rStyle w:val="Hyperlink"/>
            <w:noProof/>
          </w:rPr>
          <w:t>ESI-II-7 Impianti di raccolta degli oli usati</w:t>
        </w:r>
        <w:r>
          <w:rPr>
            <w:noProof/>
            <w:webHidden/>
          </w:rPr>
          <w:tab/>
        </w:r>
        <w:r>
          <w:rPr>
            <w:noProof/>
            <w:webHidden/>
          </w:rPr>
          <w:fldChar w:fldCharType="begin"/>
        </w:r>
        <w:r>
          <w:rPr>
            <w:noProof/>
            <w:webHidden/>
          </w:rPr>
          <w:instrText xml:space="preserve"> PAGEREF _Toc535500305 \h </w:instrText>
        </w:r>
        <w:r>
          <w:rPr>
            <w:noProof/>
            <w:webHidden/>
          </w:rPr>
        </w:r>
        <w:r>
          <w:rPr>
            <w:noProof/>
            <w:webHidden/>
          </w:rPr>
          <w:fldChar w:fldCharType="separate"/>
        </w:r>
        <w:r>
          <w:rPr>
            <w:noProof/>
            <w:webHidden/>
          </w:rPr>
          <w:t>454</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06" w:history="1">
        <w:r w:rsidRPr="00572870">
          <w:rPr>
            <w:rStyle w:val="Hyperlink"/>
            <w:noProof/>
          </w:rPr>
          <w:t>ESI-II-8 (Senza oggetto)</w:t>
        </w:r>
        <w:r>
          <w:rPr>
            <w:noProof/>
            <w:webHidden/>
          </w:rPr>
          <w:tab/>
        </w:r>
        <w:r>
          <w:rPr>
            <w:noProof/>
            <w:webHidden/>
          </w:rPr>
          <w:fldChar w:fldCharType="begin"/>
        </w:r>
        <w:r>
          <w:rPr>
            <w:noProof/>
            <w:webHidden/>
          </w:rPr>
          <w:instrText xml:space="preserve"> PAGEREF _Toc535500306 \h </w:instrText>
        </w:r>
        <w:r>
          <w:rPr>
            <w:noProof/>
            <w:webHidden/>
          </w:rPr>
        </w:r>
        <w:r>
          <w:rPr>
            <w:noProof/>
            <w:webHidden/>
          </w:rPr>
          <w:fldChar w:fldCharType="separate"/>
        </w:r>
        <w:r>
          <w:rPr>
            <w:noProof/>
            <w:webHidden/>
          </w:rPr>
          <w:t>456</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07" w:history="1">
        <w:r w:rsidRPr="00572870">
          <w:rPr>
            <w:rStyle w:val="Hyperlink"/>
            <w:noProof/>
          </w:rPr>
          <w:t>ESI-II-9 Ancore speciali a massa ridotta</w:t>
        </w:r>
        <w:r>
          <w:rPr>
            <w:noProof/>
            <w:webHidden/>
          </w:rPr>
          <w:tab/>
        </w:r>
        <w:r>
          <w:rPr>
            <w:noProof/>
            <w:webHidden/>
          </w:rPr>
          <w:fldChar w:fldCharType="begin"/>
        </w:r>
        <w:r>
          <w:rPr>
            <w:noProof/>
            <w:webHidden/>
          </w:rPr>
          <w:instrText xml:space="preserve"> PAGEREF _Toc535500307 \h </w:instrText>
        </w:r>
        <w:r>
          <w:rPr>
            <w:noProof/>
            <w:webHidden/>
          </w:rPr>
        </w:r>
        <w:r>
          <w:rPr>
            <w:noProof/>
            <w:webHidden/>
          </w:rPr>
          <w:fldChar w:fldCharType="separate"/>
        </w:r>
        <w:r>
          <w:rPr>
            <w:noProof/>
            <w:webHidden/>
          </w:rPr>
          <w:t>458</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08" w:history="1">
        <w:r w:rsidRPr="00572870">
          <w:rPr>
            <w:rStyle w:val="Hyperlink"/>
            <w:noProof/>
          </w:rPr>
          <w:t>ESI-II-10 Impianti automatici pressurizzati a sprinkler alimentati ad acqua</w:t>
        </w:r>
        <w:r>
          <w:rPr>
            <w:noProof/>
            <w:webHidden/>
          </w:rPr>
          <w:tab/>
        </w:r>
        <w:r>
          <w:rPr>
            <w:noProof/>
            <w:webHidden/>
          </w:rPr>
          <w:fldChar w:fldCharType="begin"/>
        </w:r>
        <w:r>
          <w:rPr>
            <w:noProof/>
            <w:webHidden/>
          </w:rPr>
          <w:instrText xml:space="preserve"> PAGEREF _Toc535500308 \h </w:instrText>
        </w:r>
        <w:r>
          <w:rPr>
            <w:noProof/>
            <w:webHidden/>
          </w:rPr>
        </w:r>
        <w:r>
          <w:rPr>
            <w:noProof/>
            <w:webHidden/>
          </w:rPr>
          <w:fldChar w:fldCharType="separate"/>
        </w:r>
        <w:r>
          <w:rPr>
            <w:noProof/>
            <w:webHidden/>
          </w:rPr>
          <w:t>464</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09" w:history="1">
        <w:r w:rsidRPr="00572870">
          <w:rPr>
            <w:rStyle w:val="Hyperlink"/>
            <w:noProof/>
          </w:rPr>
          <w:t>ESI-II-11 Prosecuzione del percorso con mezzi propri della nave</w:t>
        </w:r>
        <w:r>
          <w:rPr>
            <w:noProof/>
            <w:webHidden/>
          </w:rPr>
          <w:tab/>
        </w:r>
        <w:r>
          <w:rPr>
            <w:noProof/>
            <w:webHidden/>
          </w:rPr>
          <w:fldChar w:fldCharType="begin"/>
        </w:r>
        <w:r>
          <w:rPr>
            <w:noProof/>
            <w:webHidden/>
          </w:rPr>
          <w:instrText xml:space="preserve"> PAGEREF _Toc535500309 \h </w:instrText>
        </w:r>
        <w:r>
          <w:rPr>
            <w:noProof/>
            <w:webHidden/>
          </w:rPr>
        </w:r>
        <w:r>
          <w:rPr>
            <w:noProof/>
            <w:webHidden/>
          </w:rPr>
          <w:fldChar w:fldCharType="separate"/>
        </w:r>
        <w:r>
          <w:rPr>
            <w:noProof/>
            <w:webHidden/>
          </w:rPr>
          <w:t>466</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10" w:history="1">
        <w:r w:rsidRPr="00572870">
          <w:rPr>
            <w:rStyle w:val="Hyperlink"/>
            <w:noProof/>
          </w:rPr>
          <w:t>ESI-II-12 Idoneo sistema di allarme antincendio</w:t>
        </w:r>
        <w:r>
          <w:rPr>
            <w:noProof/>
            <w:webHidden/>
          </w:rPr>
          <w:tab/>
        </w:r>
        <w:r>
          <w:rPr>
            <w:noProof/>
            <w:webHidden/>
          </w:rPr>
          <w:fldChar w:fldCharType="begin"/>
        </w:r>
        <w:r>
          <w:rPr>
            <w:noProof/>
            <w:webHidden/>
          </w:rPr>
          <w:instrText xml:space="preserve"> PAGEREF _Toc535500310 \h </w:instrText>
        </w:r>
        <w:r>
          <w:rPr>
            <w:noProof/>
            <w:webHidden/>
          </w:rPr>
        </w:r>
        <w:r>
          <w:rPr>
            <w:noProof/>
            <w:webHidden/>
          </w:rPr>
          <w:fldChar w:fldCharType="separate"/>
        </w:r>
        <w:r>
          <w:rPr>
            <w:noProof/>
            <w:webHidden/>
          </w:rPr>
          <w:t>468</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11" w:history="1">
        <w:r w:rsidRPr="00572870">
          <w:rPr>
            <w:rStyle w:val="Hyperlink"/>
            <w:noProof/>
          </w:rPr>
          <w:t>ESI-II-13 (Senza oggetto)</w:t>
        </w:r>
        <w:r>
          <w:rPr>
            <w:noProof/>
            <w:webHidden/>
          </w:rPr>
          <w:tab/>
        </w:r>
        <w:r>
          <w:rPr>
            <w:noProof/>
            <w:webHidden/>
          </w:rPr>
          <w:fldChar w:fldCharType="begin"/>
        </w:r>
        <w:r>
          <w:rPr>
            <w:noProof/>
            <w:webHidden/>
          </w:rPr>
          <w:instrText xml:space="preserve"> PAGEREF _Toc535500311 \h </w:instrText>
        </w:r>
        <w:r>
          <w:rPr>
            <w:noProof/>
            <w:webHidden/>
          </w:rPr>
        </w:r>
        <w:r>
          <w:rPr>
            <w:noProof/>
            <w:webHidden/>
          </w:rPr>
          <w:fldChar w:fldCharType="separate"/>
        </w:r>
        <w:r>
          <w:rPr>
            <w:noProof/>
            <w:webHidden/>
          </w:rPr>
          <w:t>474</w:t>
        </w:r>
        <w:r>
          <w:rPr>
            <w:noProof/>
            <w:webHidden/>
          </w:rPr>
          <w:fldChar w:fldCharType="end"/>
        </w:r>
      </w:hyperlink>
    </w:p>
    <w:p w:rsidR="00624017" w:rsidRDefault="00624017">
      <w:pPr>
        <w:pStyle w:val="TOC1"/>
        <w:rPr>
          <w:rFonts w:asciiTheme="minorHAnsi" w:eastAsiaTheme="minorEastAsia" w:hAnsiTheme="minorHAnsi" w:cstheme="minorBidi"/>
          <w:b w:val="0"/>
          <w:bCs w:val="0"/>
          <w:caps w:val="0"/>
          <w:noProof/>
          <w:sz w:val="22"/>
          <w:szCs w:val="22"/>
          <w:lang w:val="en-GB" w:eastAsia="en-GB" w:bidi="ar-SA"/>
        </w:rPr>
      </w:pPr>
      <w:hyperlink w:anchor="_Toc535500312" w:history="1">
        <w:r w:rsidRPr="00572870">
          <w:rPr>
            <w:rStyle w:val="Hyperlink"/>
            <w:noProof/>
          </w:rPr>
          <w:t>PARTE III DISPOSIZIONI PARTICOLARI</w:t>
        </w:r>
        <w:r>
          <w:rPr>
            <w:noProof/>
            <w:webHidden/>
          </w:rPr>
          <w:tab/>
        </w:r>
        <w:r>
          <w:rPr>
            <w:noProof/>
            <w:webHidden/>
          </w:rPr>
          <w:fldChar w:fldCharType="begin"/>
        </w:r>
        <w:r>
          <w:rPr>
            <w:noProof/>
            <w:webHidden/>
          </w:rPr>
          <w:instrText xml:space="preserve"> PAGEREF _Toc535500312 \h </w:instrText>
        </w:r>
        <w:r>
          <w:rPr>
            <w:noProof/>
            <w:webHidden/>
          </w:rPr>
        </w:r>
        <w:r>
          <w:rPr>
            <w:noProof/>
            <w:webHidden/>
          </w:rPr>
          <w:fldChar w:fldCharType="separate"/>
        </w:r>
        <w:r>
          <w:rPr>
            <w:noProof/>
            <w:webHidden/>
          </w:rPr>
          <w:t>476</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13" w:history="1">
        <w:r w:rsidRPr="00572870">
          <w:rPr>
            <w:rStyle w:val="Hyperlink"/>
            <w:noProof/>
          </w:rPr>
          <w:t>ESI-III-1 Applicazione dei requisiti di cui al capo 19</w:t>
        </w:r>
        <w:r>
          <w:rPr>
            <w:noProof/>
            <w:webHidden/>
          </w:rPr>
          <w:tab/>
        </w:r>
        <w:r>
          <w:rPr>
            <w:noProof/>
            <w:webHidden/>
          </w:rPr>
          <w:fldChar w:fldCharType="begin"/>
        </w:r>
        <w:r>
          <w:rPr>
            <w:noProof/>
            <w:webHidden/>
          </w:rPr>
          <w:instrText xml:space="preserve"> PAGEREF _Toc535500313 \h </w:instrText>
        </w:r>
        <w:r>
          <w:rPr>
            <w:noProof/>
            <w:webHidden/>
          </w:rPr>
        </w:r>
        <w:r>
          <w:rPr>
            <w:noProof/>
            <w:webHidden/>
          </w:rPr>
          <w:fldChar w:fldCharType="separate"/>
        </w:r>
        <w:r>
          <w:rPr>
            <w:noProof/>
            <w:webHidden/>
          </w:rPr>
          <w:t>476</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14" w:history="1">
        <w:r w:rsidRPr="00572870">
          <w:rPr>
            <w:rStyle w:val="Hyperlink"/>
            <w:noProof/>
          </w:rPr>
          <w:t>ESI-III-2 Specifiche esigenze di sicurezza delle persone a mobilità ridotta</w:t>
        </w:r>
        <w:r>
          <w:rPr>
            <w:noProof/>
            <w:webHidden/>
          </w:rPr>
          <w:tab/>
        </w:r>
        <w:r>
          <w:rPr>
            <w:noProof/>
            <w:webHidden/>
          </w:rPr>
          <w:fldChar w:fldCharType="begin"/>
        </w:r>
        <w:r>
          <w:rPr>
            <w:noProof/>
            <w:webHidden/>
          </w:rPr>
          <w:instrText xml:space="preserve"> PAGEREF _Toc535500314 \h </w:instrText>
        </w:r>
        <w:r>
          <w:rPr>
            <w:noProof/>
            <w:webHidden/>
          </w:rPr>
        </w:r>
        <w:r>
          <w:rPr>
            <w:noProof/>
            <w:webHidden/>
          </w:rPr>
          <w:fldChar w:fldCharType="separate"/>
        </w:r>
        <w:r>
          <w:rPr>
            <w:noProof/>
            <w:webHidden/>
          </w:rPr>
          <w:t>478</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15" w:history="1">
        <w:r w:rsidRPr="00572870">
          <w:rPr>
            <w:rStyle w:val="Hyperlink"/>
            <w:noProof/>
          </w:rPr>
          <w:t>ESI-III-3 Resistenza delle finestre stagne</w:t>
        </w:r>
        <w:r>
          <w:rPr>
            <w:noProof/>
            <w:webHidden/>
          </w:rPr>
          <w:tab/>
        </w:r>
        <w:r>
          <w:rPr>
            <w:noProof/>
            <w:webHidden/>
          </w:rPr>
          <w:fldChar w:fldCharType="begin"/>
        </w:r>
        <w:r>
          <w:rPr>
            <w:noProof/>
            <w:webHidden/>
          </w:rPr>
          <w:instrText xml:space="preserve"> PAGEREF _Toc535500315 \h </w:instrText>
        </w:r>
        <w:r>
          <w:rPr>
            <w:noProof/>
            <w:webHidden/>
          </w:rPr>
        </w:r>
        <w:r>
          <w:rPr>
            <w:noProof/>
            <w:webHidden/>
          </w:rPr>
          <w:fldChar w:fldCharType="separate"/>
        </w:r>
        <w:r>
          <w:rPr>
            <w:noProof/>
            <w:webHidden/>
          </w:rPr>
          <w:t>482</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16" w:history="1">
        <w:r w:rsidRPr="00572870">
          <w:rPr>
            <w:rStyle w:val="Hyperlink"/>
            <w:noProof/>
          </w:rPr>
          <w:t>ESI-III-4 Sistema di indicazioni di sicurezza</w:t>
        </w:r>
        <w:r>
          <w:rPr>
            <w:noProof/>
            <w:webHidden/>
          </w:rPr>
          <w:tab/>
        </w:r>
        <w:r>
          <w:rPr>
            <w:noProof/>
            <w:webHidden/>
          </w:rPr>
          <w:fldChar w:fldCharType="begin"/>
        </w:r>
        <w:r>
          <w:rPr>
            <w:noProof/>
            <w:webHidden/>
          </w:rPr>
          <w:instrText xml:space="preserve"> PAGEREF _Toc535500316 \h </w:instrText>
        </w:r>
        <w:r>
          <w:rPr>
            <w:noProof/>
            <w:webHidden/>
          </w:rPr>
        </w:r>
        <w:r>
          <w:rPr>
            <w:noProof/>
            <w:webHidden/>
          </w:rPr>
          <w:fldChar w:fldCharType="separate"/>
        </w:r>
        <w:r>
          <w:rPr>
            <w:noProof/>
            <w:webHidden/>
          </w:rPr>
          <w:t>484</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17" w:history="1">
        <w:r w:rsidRPr="00572870">
          <w:rPr>
            <w:rStyle w:val="Hyperlink"/>
            <w:noProof/>
          </w:rPr>
          <w:t>ESI-III-5 Idoneo sistema di segnalazione dei gas</w:t>
        </w:r>
        <w:r>
          <w:rPr>
            <w:noProof/>
            <w:webHidden/>
          </w:rPr>
          <w:tab/>
        </w:r>
        <w:r>
          <w:rPr>
            <w:noProof/>
            <w:webHidden/>
          </w:rPr>
          <w:fldChar w:fldCharType="begin"/>
        </w:r>
        <w:r>
          <w:rPr>
            <w:noProof/>
            <w:webHidden/>
          </w:rPr>
          <w:instrText xml:space="preserve"> PAGEREF _Toc535500317 \h </w:instrText>
        </w:r>
        <w:r>
          <w:rPr>
            <w:noProof/>
            <w:webHidden/>
          </w:rPr>
        </w:r>
        <w:r>
          <w:rPr>
            <w:noProof/>
            <w:webHidden/>
          </w:rPr>
          <w:fldChar w:fldCharType="separate"/>
        </w:r>
        <w:r>
          <w:rPr>
            <w:noProof/>
            <w:webHidden/>
          </w:rPr>
          <w:t>488</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18" w:history="1">
        <w:r w:rsidRPr="00572870">
          <w:rPr>
            <w:rStyle w:val="Hyperlink"/>
            <w:noProof/>
          </w:rPr>
          <w:t>ESI-III-6 Sistemi di accoppiamento e mezzi di accoppiamento per l'imbarcazione che spinge o è spinta in un insieme rigido</w:t>
        </w:r>
        <w:r>
          <w:rPr>
            <w:noProof/>
            <w:webHidden/>
          </w:rPr>
          <w:tab/>
        </w:r>
        <w:r>
          <w:rPr>
            <w:noProof/>
            <w:webHidden/>
          </w:rPr>
          <w:fldChar w:fldCharType="begin"/>
        </w:r>
        <w:r>
          <w:rPr>
            <w:noProof/>
            <w:webHidden/>
          </w:rPr>
          <w:instrText xml:space="preserve"> PAGEREF _Toc535500318 \h </w:instrText>
        </w:r>
        <w:r>
          <w:rPr>
            <w:noProof/>
            <w:webHidden/>
          </w:rPr>
        </w:r>
        <w:r>
          <w:rPr>
            <w:noProof/>
            <w:webHidden/>
          </w:rPr>
          <w:fldChar w:fldCharType="separate"/>
        </w:r>
        <w:r>
          <w:rPr>
            <w:noProof/>
            <w:webHidden/>
          </w:rPr>
          <w:t>492</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19" w:history="1">
        <w:r w:rsidRPr="00572870">
          <w:rPr>
            <w:rStyle w:val="Hyperlink"/>
            <w:noProof/>
          </w:rPr>
          <w:t>ESI-III-7 Serbatoi per il combustibile su galleggianti</w:t>
        </w:r>
        <w:r>
          <w:rPr>
            <w:noProof/>
            <w:webHidden/>
          </w:rPr>
          <w:tab/>
        </w:r>
        <w:r>
          <w:rPr>
            <w:noProof/>
            <w:webHidden/>
          </w:rPr>
          <w:fldChar w:fldCharType="begin"/>
        </w:r>
        <w:r>
          <w:rPr>
            <w:noProof/>
            <w:webHidden/>
          </w:rPr>
          <w:instrText xml:space="preserve"> PAGEREF _Toc535500319 \h </w:instrText>
        </w:r>
        <w:r>
          <w:rPr>
            <w:noProof/>
            <w:webHidden/>
          </w:rPr>
        </w:r>
        <w:r>
          <w:rPr>
            <w:noProof/>
            <w:webHidden/>
          </w:rPr>
          <w:fldChar w:fldCharType="separate"/>
        </w:r>
        <w:r>
          <w:rPr>
            <w:noProof/>
            <w:webHidden/>
          </w:rPr>
          <w:t>496</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20" w:history="1">
        <w:r w:rsidRPr="00572870">
          <w:rPr>
            <w:rStyle w:val="Hyperlink"/>
            <w:noProof/>
          </w:rPr>
          <w:t>ESI-III-8 Imbarcazioni da diporto</w:t>
        </w:r>
        <w:r>
          <w:rPr>
            <w:noProof/>
            <w:webHidden/>
          </w:rPr>
          <w:tab/>
        </w:r>
        <w:r>
          <w:rPr>
            <w:noProof/>
            <w:webHidden/>
          </w:rPr>
          <w:fldChar w:fldCharType="begin"/>
        </w:r>
        <w:r>
          <w:rPr>
            <w:noProof/>
            <w:webHidden/>
          </w:rPr>
          <w:instrText xml:space="preserve"> PAGEREF _Toc535500320 \h </w:instrText>
        </w:r>
        <w:r>
          <w:rPr>
            <w:noProof/>
            <w:webHidden/>
          </w:rPr>
        </w:r>
        <w:r>
          <w:rPr>
            <w:noProof/>
            <w:webHidden/>
          </w:rPr>
          <w:fldChar w:fldCharType="separate"/>
        </w:r>
        <w:r>
          <w:rPr>
            <w:noProof/>
            <w:webHidden/>
          </w:rPr>
          <w:t>498</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21" w:history="1">
        <w:r w:rsidRPr="00572870">
          <w:rPr>
            <w:rStyle w:val="Hyperlink"/>
            <w:noProof/>
          </w:rPr>
          <w:t>ESI-III-9 Prova di galleggiabilità, assetto e stabilità delle parti separate della nave</w:t>
        </w:r>
        <w:r>
          <w:rPr>
            <w:noProof/>
            <w:webHidden/>
          </w:rPr>
          <w:tab/>
        </w:r>
        <w:r>
          <w:rPr>
            <w:noProof/>
            <w:webHidden/>
          </w:rPr>
          <w:fldChar w:fldCharType="begin"/>
        </w:r>
        <w:r>
          <w:rPr>
            <w:noProof/>
            <w:webHidden/>
          </w:rPr>
          <w:instrText xml:space="preserve"> PAGEREF _Toc535500321 \h </w:instrText>
        </w:r>
        <w:r>
          <w:rPr>
            <w:noProof/>
            <w:webHidden/>
          </w:rPr>
        </w:r>
        <w:r>
          <w:rPr>
            <w:noProof/>
            <w:webHidden/>
          </w:rPr>
          <w:fldChar w:fldCharType="separate"/>
        </w:r>
        <w:r>
          <w:rPr>
            <w:noProof/>
            <w:webHidden/>
          </w:rPr>
          <w:t>500</w:t>
        </w:r>
        <w:r>
          <w:rPr>
            <w:noProof/>
            <w:webHidden/>
          </w:rPr>
          <w:fldChar w:fldCharType="end"/>
        </w:r>
      </w:hyperlink>
      <w:bookmarkStart w:id="0" w:name="_GoBack"/>
      <w:bookmarkEnd w:id="0"/>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22" w:history="1">
        <w:r w:rsidRPr="00572870">
          <w:rPr>
            <w:rStyle w:val="Hyperlink"/>
            <w:noProof/>
          </w:rPr>
          <w:t>ESI-III-10 Dotazioni di armamento delle navi che devono essere impiegate secondo le norme S1 o S2</w:t>
        </w:r>
        <w:r>
          <w:rPr>
            <w:noProof/>
            <w:webHidden/>
          </w:rPr>
          <w:tab/>
        </w:r>
        <w:r>
          <w:rPr>
            <w:noProof/>
            <w:webHidden/>
          </w:rPr>
          <w:fldChar w:fldCharType="begin"/>
        </w:r>
        <w:r>
          <w:rPr>
            <w:noProof/>
            <w:webHidden/>
          </w:rPr>
          <w:instrText xml:space="preserve"> PAGEREF _Toc535500322 \h </w:instrText>
        </w:r>
        <w:r>
          <w:rPr>
            <w:noProof/>
            <w:webHidden/>
          </w:rPr>
        </w:r>
        <w:r>
          <w:rPr>
            <w:noProof/>
            <w:webHidden/>
          </w:rPr>
          <w:fldChar w:fldCharType="separate"/>
        </w:r>
        <w:r>
          <w:rPr>
            <w:noProof/>
            <w:webHidden/>
          </w:rPr>
          <w:t>502</w:t>
        </w:r>
        <w:r>
          <w:rPr>
            <w:noProof/>
            <w:webHidden/>
          </w:rPr>
          <w:fldChar w:fldCharType="end"/>
        </w:r>
      </w:hyperlink>
    </w:p>
    <w:p w:rsidR="00624017" w:rsidRDefault="00624017">
      <w:pPr>
        <w:pStyle w:val="TOC1"/>
        <w:rPr>
          <w:rFonts w:asciiTheme="minorHAnsi" w:eastAsiaTheme="minorEastAsia" w:hAnsiTheme="minorHAnsi" w:cstheme="minorBidi"/>
          <w:b w:val="0"/>
          <w:bCs w:val="0"/>
          <w:caps w:val="0"/>
          <w:noProof/>
          <w:sz w:val="22"/>
          <w:szCs w:val="22"/>
          <w:lang w:val="en-GB" w:eastAsia="en-GB" w:bidi="ar-SA"/>
        </w:rPr>
      </w:pPr>
      <w:hyperlink w:anchor="_Toc535500323" w:history="1">
        <w:r w:rsidRPr="00572870">
          <w:rPr>
            <w:rStyle w:val="Hyperlink"/>
            <w:noProof/>
          </w:rPr>
          <w:t>PARTE IV DISPOSIZIONI TRANSITORIE</w:t>
        </w:r>
        <w:r>
          <w:rPr>
            <w:noProof/>
            <w:webHidden/>
          </w:rPr>
          <w:tab/>
        </w:r>
        <w:r>
          <w:rPr>
            <w:noProof/>
            <w:webHidden/>
          </w:rPr>
          <w:fldChar w:fldCharType="begin"/>
        </w:r>
        <w:r>
          <w:rPr>
            <w:noProof/>
            <w:webHidden/>
          </w:rPr>
          <w:instrText xml:space="preserve"> PAGEREF _Toc535500323 \h </w:instrText>
        </w:r>
        <w:r>
          <w:rPr>
            <w:noProof/>
            <w:webHidden/>
          </w:rPr>
        </w:r>
        <w:r>
          <w:rPr>
            <w:noProof/>
            <w:webHidden/>
          </w:rPr>
          <w:fldChar w:fldCharType="separate"/>
        </w:r>
        <w:r>
          <w:rPr>
            <w:noProof/>
            <w:webHidden/>
          </w:rPr>
          <w:t>506</w:t>
        </w:r>
        <w:r>
          <w:rPr>
            <w:noProof/>
            <w:webHidden/>
          </w:rPr>
          <w:fldChar w:fldCharType="end"/>
        </w:r>
      </w:hyperlink>
    </w:p>
    <w:p w:rsidR="00624017" w:rsidRDefault="00624017">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00324" w:history="1">
        <w:r w:rsidRPr="00572870">
          <w:rPr>
            <w:rStyle w:val="Hyperlink"/>
            <w:noProof/>
          </w:rPr>
          <w:t>ESI-IV-1 Applicazione di disposizioni transitorie</w:t>
        </w:r>
        <w:r>
          <w:rPr>
            <w:noProof/>
            <w:webHidden/>
          </w:rPr>
          <w:tab/>
        </w:r>
        <w:r>
          <w:rPr>
            <w:noProof/>
            <w:webHidden/>
          </w:rPr>
          <w:fldChar w:fldCharType="begin"/>
        </w:r>
        <w:r>
          <w:rPr>
            <w:noProof/>
            <w:webHidden/>
          </w:rPr>
          <w:instrText xml:space="preserve"> PAGEREF _Toc535500324 \h </w:instrText>
        </w:r>
        <w:r>
          <w:rPr>
            <w:noProof/>
            <w:webHidden/>
          </w:rPr>
        </w:r>
        <w:r>
          <w:rPr>
            <w:noProof/>
            <w:webHidden/>
          </w:rPr>
          <w:fldChar w:fldCharType="separate"/>
        </w:r>
        <w:r>
          <w:rPr>
            <w:noProof/>
            <w:webHidden/>
          </w:rPr>
          <w:t>506</w:t>
        </w:r>
        <w:r>
          <w:rPr>
            <w:noProof/>
            <w:webHidden/>
          </w:rPr>
          <w:fldChar w:fldCharType="end"/>
        </w:r>
      </w:hyperlink>
    </w:p>
    <w:p w:rsidR="00762086" w:rsidRPr="00C63B9E" w:rsidRDefault="00762086" w:rsidP="00762086">
      <w:pPr>
        <w:pStyle w:val="TOC2"/>
        <w:tabs>
          <w:tab w:val="right" w:leader="dot" w:pos="9060"/>
        </w:tabs>
        <w:spacing w:line="240" w:lineRule="atLeast"/>
        <w:ind w:right="709"/>
        <w:rPr>
          <w:rFonts w:asciiTheme="minorHAnsi" w:eastAsiaTheme="minorEastAsia" w:hAnsiTheme="minorHAnsi" w:cs="Arial"/>
          <w:smallCaps w:val="0"/>
          <w:sz w:val="22"/>
        </w:rPr>
      </w:pPr>
      <w:r w:rsidRPr="00C63B9E">
        <w:rPr>
          <w:rFonts w:cs="Arial"/>
        </w:rPr>
        <w:fldChar w:fldCharType="end"/>
      </w:r>
    </w:p>
    <w:p w:rsidR="00C8674F" w:rsidRPr="00492239" w:rsidRDefault="00C8674F" w:rsidP="00E1027C">
      <w:pPr>
        <w:spacing w:line="240" w:lineRule="atLeast"/>
        <w:rPr>
          <w:rFonts w:cs="Arial"/>
          <w:szCs w:val="20"/>
          <w:lang w:val="en-GB"/>
        </w:rPr>
      </w:pPr>
    </w:p>
    <w:p w:rsidR="00731F7D" w:rsidRPr="00492239" w:rsidRDefault="00731F7D" w:rsidP="00E1027C">
      <w:pPr>
        <w:spacing w:line="240" w:lineRule="atLeast"/>
        <w:rPr>
          <w:rFonts w:cs="Arial"/>
          <w:szCs w:val="20"/>
          <w:lang w:val="en-GB"/>
        </w:rPr>
        <w:sectPr w:rsidR="00731F7D" w:rsidRPr="00492239" w:rsidSect="006327E3">
          <w:headerReference w:type="default" r:id="rId13"/>
          <w:footerReference w:type="default" r:id="rId14"/>
          <w:headerReference w:type="first" r:id="rId15"/>
          <w:footerReference w:type="first" r:id="rId16"/>
          <w:footnotePr>
            <w:numRestart w:val="eachPage"/>
          </w:footnotePr>
          <w:pgSz w:w="11906" w:h="16838" w:code="9"/>
          <w:pgMar w:top="1418" w:right="1418" w:bottom="1418" w:left="1418" w:header="709" w:footer="709" w:gutter="0"/>
          <w:pgNumType w:fmt="lowerRoman"/>
          <w:cols w:space="709"/>
          <w:titlePg/>
          <w:docGrid w:linePitch="326"/>
        </w:sectPr>
      </w:pPr>
    </w:p>
    <w:p w:rsidR="00360D41" w:rsidRPr="00C903F8" w:rsidRDefault="00360D41" w:rsidP="004B2505">
      <w:pPr>
        <w:pStyle w:val="ES-Titre1"/>
      </w:pPr>
      <w:bookmarkStart w:id="1" w:name="_Toc384624875"/>
      <w:bookmarkStart w:id="2" w:name="_Toc491854002"/>
      <w:bookmarkStart w:id="3" w:name="_Toc535499951"/>
      <w:r>
        <w:lastRenderedPageBreak/>
        <w:t>PARTE I</w:t>
      </w:r>
      <w:r>
        <w:br/>
      </w:r>
      <w:bookmarkEnd w:id="1"/>
      <w:r>
        <w:t>REQUISITI GENERALI</w:t>
      </w:r>
      <w:bookmarkEnd w:id="2"/>
      <w:bookmarkEnd w:id="3"/>
    </w:p>
    <w:p w:rsidR="00A2046F" w:rsidRPr="00C903F8" w:rsidRDefault="00A2046F" w:rsidP="00A2046F">
      <w:pPr>
        <w:pStyle w:val="ESch"/>
        <w:tabs>
          <w:tab w:val="left" w:pos="2325"/>
        </w:tabs>
      </w:pPr>
      <w:bookmarkStart w:id="4" w:name="_Toc384624876"/>
    </w:p>
    <w:p w:rsidR="00360D41" w:rsidRPr="00C903F8" w:rsidRDefault="00DE4417" w:rsidP="00B267B5">
      <w:pPr>
        <w:pStyle w:val="ES-Titre2"/>
        <w:pageBreakBefore w:val="0"/>
      </w:pPr>
      <w:bookmarkStart w:id="5" w:name="_Toc491854003"/>
      <w:bookmarkStart w:id="6" w:name="_Toc535499952"/>
      <w:r>
        <w:t>Capo 1</w:t>
      </w:r>
      <w:r>
        <w:br/>
      </w:r>
      <w:bookmarkEnd w:id="4"/>
      <w:r>
        <w:t>Aspetti generali</w:t>
      </w:r>
      <w:bookmarkEnd w:id="5"/>
      <w:bookmarkEnd w:id="6"/>
    </w:p>
    <w:p w:rsidR="004B2505" w:rsidRPr="00C903F8" w:rsidRDefault="004B2505" w:rsidP="00E1027C">
      <w:pPr>
        <w:pStyle w:val="ES-Titre3"/>
        <w:spacing w:line="240" w:lineRule="atLeast"/>
      </w:pPr>
      <w:bookmarkStart w:id="7" w:name="_Toc384624877"/>
    </w:p>
    <w:p w:rsidR="00360D41" w:rsidRPr="00C903F8" w:rsidRDefault="00360D41" w:rsidP="00E1027C">
      <w:pPr>
        <w:pStyle w:val="ES-Titre3"/>
        <w:spacing w:line="240" w:lineRule="atLeast"/>
        <w:rPr>
          <w:i/>
        </w:rPr>
      </w:pPr>
      <w:bookmarkStart w:id="8" w:name="_Toc491854004"/>
      <w:bookmarkStart w:id="9" w:name="_Toc535499953"/>
      <w:r>
        <w:t>Articolo 1.01</w:t>
      </w:r>
      <w:r>
        <w:br/>
      </w:r>
      <w:r>
        <w:rPr>
          <w:i/>
        </w:rPr>
        <w:t>D</w:t>
      </w:r>
      <w:bookmarkEnd w:id="7"/>
      <w:r>
        <w:rPr>
          <w:i/>
        </w:rPr>
        <w:t>efinizioni</w:t>
      </w:r>
      <w:bookmarkEnd w:id="8"/>
      <w:bookmarkEnd w:id="9"/>
    </w:p>
    <w:p w:rsidR="004B2505" w:rsidRPr="00C903F8" w:rsidRDefault="004B2505" w:rsidP="00E1027C">
      <w:pPr>
        <w:spacing w:line="240" w:lineRule="atLeast"/>
        <w:ind w:firstLine="0"/>
        <w:rPr>
          <w:noProof/>
          <w:snapToGrid w:val="0"/>
        </w:rPr>
      </w:pPr>
    </w:p>
    <w:p w:rsidR="00DE4417" w:rsidRPr="00C903F8" w:rsidRDefault="00DE4417" w:rsidP="009A1D30">
      <w:pPr>
        <w:rPr>
          <w:rFonts w:cs="Arial"/>
          <w:szCs w:val="20"/>
        </w:rPr>
      </w:pPr>
      <w:r>
        <w:t>Ai fini della presente norma si applicano le seguenti definizioni.</w:t>
      </w:r>
    </w:p>
    <w:p w:rsidR="00DE4417" w:rsidRPr="00C903F8" w:rsidRDefault="00DE4417" w:rsidP="009A1D30">
      <w:pPr>
        <w:rPr>
          <w:rFonts w:cs="Arial"/>
          <w:b/>
          <w:color w:val="000000"/>
          <w:szCs w:val="20"/>
        </w:rPr>
      </w:pPr>
    </w:p>
    <w:p w:rsidR="00151656" w:rsidRPr="00C903F8" w:rsidRDefault="00151656" w:rsidP="00151656">
      <w:pPr>
        <w:pStyle w:val="ESchgras"/>
      </w:pPr>
      <w:r>
        <w:t>1.</w:t>
      </w:r>
      <w:r>
        <w:tab/>
        <w:t>Tipi di imbarcazione:</w:t>
      </w:r>
    </w:p>
    <w:p w:rsidR="00511BF6" w:rsidRPr="00C903F8" w:rsidRDefault="00511BF6" w:rsidP="00391A9D">
      <w:pPr>
        <w:pStyle w:val="ESch"/>
        <w:tabs>
          <w:tab w:val="left" w:pos="2325"/>
        </w:tabs>
      </w:pPr>
    </w:p>
    <w:p w:rsidR="00DE4417" w:rsidRPr="00C903F8" w:rsidRDefault="00DE4417" w:rsidP="00511BF6">
      <w:pPr>
        <w:pStyle w:val="ESch"/>
      </w:pPr>
      <w:r>
        <w:t>1.1</w:t>
      </w:r>
      <w:r>
        <w:tab/>
        <w:t>"imbarcazione" qualsiasi nave o galleggiante speciale;</w:t>
      </w:r>
    </w:p>
    <w:p w:rsidR="009A1D30" w:rsidRPr="00C903F8" w:rsidRDefault="009A1D30" w:rsidP="00511BF6">
      <w:pPr>
        <w:pStyle w:val="ESch"/>
        <w:rPr>
          <w:rFonts w:cs="Arial"/>
          <w:szCs w:val="20"/>
        </w:rPr>
      </w:pPr>
    </w:p>
    <w:p w:rsidR="00DE4417" w:rsidRPr="00C903F8" w:rsidRDefault="00DE4417" w:rsidP="00511BF6">
      <w:pPr>
        <w:pStyle w:val="ESch"/>
      </w:pPr>
      <w:r>
        <w:t>1.2</w:t>
      </w:r>
      <w:r>
        <w:tab/>
        <w:t>"nave": qualsiasi nave destinata alla navigazione interna o alla navigazione marittima;</w:t>
      </w:r>
    </w:p>
    <w:p w:rsidR="009A1D30" w:rsidRPr="00C903F8" w:rsidRDefault="009A1D30" w:rsidP="00511BF6">
      <w:pPr>
        <w:pStyle w:val="ESch"/>
        <w:rPr>
          <w:rFonts w:cs="Arial"/>
          <w:szCs w:val="20"/>
        </w:rPr>
      </w:pPr>
    </w:p>
    <w:p w:rsidR="00DE4417" w:rsidRPr="00C903F8" w:rsidRDefault="00DE4417" w:rsidP="00511BF6">
      <w:pPr>
        <w:pStyle w:val="ESch"/>
      </w:pPr>
      <w:r>
        <w:t>1.3</w:t>
      </w:r>
      <w:r>
        <w:tab/>
        <w:t>"nave della navigazione interna": qualsiasi nave destinata esclusivamente o essenzialmente alla navigazione sulle vie navigabili interne;</w:t>
      </w:r>
    </w:p>
    <w:p w:rsidR="009A1D30" w:rsidRPr="00C903F8" w:rsidRDefault="009A1D30" w:rsidP="00511BF6">
      <w:pPr>
        <w:pStyle w:val="ESch"/>
        <w:rPr>
          <w:rFonts w:cs="Arial"/>
          <w:szCs w:val="20"/>
        </w:rPr>
      </w:pPr>
    </w:p>
    <w:p w:rsidR="00DE4417" w:rsidRPr="00C903F8" w:rsidRDefault="00DE4417" w:rsidP="00511BF6">
      <w:pPr>
        <w:pStyle w:val="ESch"/>
      </w:pPr>
      <w:r>
        <w:t>1.4</w:t>
      </w:r>
      <w:r>
        <w:tab/>
        <w:t>"nave della navigazione marittima": una nave omologata e destinata principalmente alla navigazione marittima o costiera;</w:t>
      </w:r>
    </w:p>
    <w:p w:rsidR="009A1D30" w:rsidRPr="00C903F8" w:rsidRDefault="009A1D30" w:rsidP="00511BF6">
      <w:pPr>
        <w:pStyle w:val="ESch"/>
        <w:rPr>
          <w:rFonts w:cs="Arial"/>
          <w:szCs w:val="20"/>
        </w:rPr>
      </w:pPr>
    </w:p>
    <w:p w:rsidR="00DE4417" w:rsidRPr="00C903F8" w:rsidRDefault="00DE4417" w:rsidP="00511BF6">
      <w:pPr>
        <w:pStyle w:val="ESch"/>
      </w:pPr>
      <w:r>
        <w:t>1.5</w:t>
      </w:r>
      <w:r>
        <w:tab/>
        <w:t>"motonave": qualsiasi motonave-cisterna o motonave adibita a trasporto merci;</w:t>
      </w:r>
    </w:p>
    <w:p w:rsidR="009A1D30" w:rsidRPr="00C903F8" w:rsidRDefault="009A1D30" w:rsidP="00511BF6">
      <w:pPr>
        <w:pStyle w:val="ESch"/>
        <w:rPr>
          <w:rFonts w:cs="Arial"/>
          <w:szCs w:val="20"/>
        </w:rPr>
      </w:pPr>
    </w:p>
    <w:p w:rsidR="00DE4417" w:rsidRPr="00C903F8" w:rsidRDefault="00DE4417" w:rsidP="00511BF6">
      <w:pPr>
        <w:pStyle w:val="ESch"/>
      </w:pPr>
      <w:r>
        <w:t>1.6</w:t>
      </w:r>
      <w:r>
        <w:tab/>
        <w:t>"motonave-cisterna": qualsiasi nave adibita al trasporto di merci in cisterne fisse, costruita per navigare liberamente con i propri mezzi meccanici di propulsione e direzione;</w:t>
      </w:r>
    </w:p>
    <w:p w:rsidR="00B267B5" w:rsidRPr="00C903F8" w:rsidRDefault="00B267B5" w:rsidP="00511BF6">
      <w:pPr>
        <w:pStyle w:val="ESch"/>
        <w:rPr>
          <w:rFonts w:cs="Arial"/>
          <w:szCs w:val="20"/>
        </w:rPr>
      </w:pPr>
    </w:p>
    <w:p w:rsidR="00DE4417" w:rsidRPr="00C903F8" w:rsidRDefault="00DE4417" w:rsidP="00511BF6">
      <w:pPr>
        <w:pStyle w:val="ESch"/>
      </w:pPr>
      <w:r>
        <w:t>1.7</w:t>
      </w:r>
      <w:r>
        <w:tab/>
        <w:t>"motonave per trasporto merci": qualsiasi nave che non sia una motonave-cisterna, adibita al trasporto di merci, costruita per navigare liberamente con i propri mezzi meccanici di propulsione;</w:t>
      </w:r>
    </w:p>
    <w:p w:rsidR="009A1D30" w:rsidRPr="00C903F8" w:rsidRDefault="009A1D30" w:rsidP="00511BF6">
      <w:pPr>
        <w:pStyle w:val="ESch"/>
        <w:rPr>
          <w:rFonts w:cs="Arial"/>
          <w:szCs w:val="20"/>
        </w:rPr>
      </w:pPr>
    </w:p>
    <w:p w:rsidR="00DE4417" w:rsidRPr="00C903F8" w:rsidRDefault="00DE4417" w:rsidP="00511BF6">
      <w:pPr>
        <w:pStyle w:val="ESch"/>
        <w:rPr>
          <w:rFonts w:cs="Arial"/>
          <w:szCs w:val="20"/>
        </w:rPr>
      </w:pPr>
      <w:r>
        <w:t>1.8</w:t>
      </w:r>
      <w:r>
        <w:tab/>
        <w:t>"chiatta per la navigazione sui canali": qualsiasi nave della navigazione interna non superiore a 38,5 m di lunghezza e</w:t>
      </w:r>
      <w:r w:rsidR="00A16690">
        <w:t xml:space="preserve"> </w:t>
      </w:r>
      <w:r>
        <w:t>5,05 m di larghezza;</w:t>
      </w:r>
    </w:p>
    <w:p w:rsidR="009A1D30" w:rsidRPr="00C903F8" w:rsidRDefault="009A1D30" w:rsidP="00511BF6">
      <w:pPr>
        <w:pStyle w:val="ESch"/>
      </w:pPr>
    </w:p>
    <w:p w:rsidR="00DE4417" w:rsidRPr="00C903F8" w:rsidRDefault="00DE4417" w:rsidP="00511BF6">
      <w:pPr>
        <w:pStyle w:val="ESch"/>
      </w:pPr>
      <w:r>
        <w:t>1.9</w:t>
      </w:r>
      <w:r>
        <w:tab/>
        <w:t>"rimorchiatore": qualsiasi nave appositamente costruita per le operazioni di rimorchio;</w:t>
      </w:r>
    </w:p>
    <w:p w:rsidR="009A1D30" w:rsidRPr="00C903F8" w:rsidRDefault="009A1D30" w:rsidP="00511BF6">
      <w:pPr>
        <w:pStyle w:val="ESch"/>
        <w:rPr>
          <w:rFonts w:cs="Arial"/>
          <w:szCs w:val="20"/>
        </w:rPr>
      </w:pPr>
    </w:p>
    <w:p w:rsidR="00DE4417" w:rsidRPr="00C903F8" w:rsidRDefault="00DE4417" w:rsidP="00511BF6">
      <w:pPr>
        <w:pStyle w:val="ESch"/>
      </w:pPr>
      <w:r>
        <w:t>1.10</w:t>
      </w:r>
      <w:r>
        <w:tab/>
        <w:t>"spintore": qualsiasi nave appositamente costruita per provvedere alla propulsione a spinta di un convoglio;</w:t>
      </w:r>
    </w:p>
    <w:p w:rsidR="009A1D30" w:rsidRPr="00C903F8" w:rsidRDefault="009A1D30" w:rsidP="00511BF6">
      <w:pPr>
        <w:pStyle w:val="ESch"/>
        <w:rPr>
          <w:rFonts w:cs="Arial"/>
          <w:szCs w:val="20"/>
        </w:rPr>
      </w:pPr>
    </w:p>
    <w:p w:rsidR="00DE4417" w:rsidRPr="00C903F8" w:rsidRDefault="00DE4417" w:rsidP="00511BF6">
      <w:pPr>
        <w:pStyle w:val="ESch"/>
      </w:pPr>
      <w:r>
        <w:t>1.11</w:t>
      </w:r>
      <w:r>
        <w:tab/>
        <w:t>"chiatta": una chiatta ordinaria o una chiatta-cisterna;</w:t>
      </w:r>
    </w:p>
    <w:p w:rsidR="009A1D30" w:rsidRPr="00C903F8" w:rsidRDefault="009A1D30" w:rsidP="00511BF6">
      <w:pPr>
        <w:pStyle w:val="ESch"/>
        <w:rPr>
          <w:rFonts w:cs="Arial"/>
          <w:szCs w:val="20"/>
        </w:rPr>
      </w:pPr>
    </w:p>
    <w:p w:rsidR="00DE4417" w:rsidRPr="00C903F8" w:rsidRDefault="00DE4417" w:rsidP="00511BF6">
      <w:pPr>
        <w:pStyle w:val="ESch"/>
      </w:pPr>
      <w:r>
        <w:t>1.12</w:t>
      </w:r>
      <w:r>
        <w:tab/>
        <w:t>"chiatta cisterna": qualsiasi nave adibita al trasporto di merci in cisterne fisse, costruita per essere rimorchiata e non munita di mezzi meccanici di propulsione o munita di mezzi meccanici di propulsione che consentono di effettuare soltanto spostamenti a corto raggio;</w:t>
      </w:r>
    </w:p>
    <w:p w:rsidR="009A1D30" w:rsidRPr="00C903F8" w:rsidRDefault="009A1D30" w:rsidP="00511BF6">
      <w:pPr>
        <w:pStyle w:val="ESch"/>
        <w:rPr>
          <w:rFonts w:cs="Arial"/>
          <w:szCs w:val="20"/>
        </w:rPr>
      </w:pPr>
    </w:p>
    <w:p w:rsidR="00DE4417" w:rsidRPr="00C903F8" w:rsidRDefault="00DE4417" w:rsidP="00511BF6">
      <w:pPr>
        <w:pStyle w:val="ESch"/>
      </w:pPr>
      <w:r>
        <w:t>1.13</w:t>
      </w:r>
      <w:r>
        <w:tab/>
        <w:t>"chiatta ordinaria": qualsiasi nave che non sia una chiatta-cisterna, adibita al trasporto di merci, costruita per essere rimorchiata e non munita di mezzi meccanici di propulsione o munita di mezzi meccanici di propulsione che consentono di effettuare soltanto spostamenti a corto raggio;</w:t>
      </w:r>
    </w:p>
    <w:p w:rsidR="009A1D30" w:rsidRPr="00C903F8" w:rsidRDefault="009A1D30" w:rsidP="00511BF6">
      <w:pPr>
        <w:pStyle w:val="ESch"/>
        <w:rPr>
          <w:rFonts w:cs="Arial"/>
          <w:szCs w:val="20"/>
        </w:rPr>
      </w:pPr>
    </w:p>
    <w:p w:rsidR="00DE4417" w:rsidRPr="00C903F8" w:rsidRDefault="00DE4417" w:rsidP="00511BF6">
      <w:pPr>
        <w:pStyle w:val="ESch"/>
        <w:rPr>
          <w:rFonts w:cs="Arial"/>
          <w:szCs w:val="20"/>
        </w:rPr>
      </w:pPr>
      <w:r>
        <w:t>1.14</w:t>
      </w:r>
      <w:r>
        <w:tab/>
        <w:t>"bettolina": una bettolina-cisterna, una bettolina per trasporto merci o una bettolina trasportabile su nave;</w:t>
      </w:r>
    </w:p>
    <w:p w:rsidR="009A1D30" w:rsidRPr="00C903F8" w:rsidRDefault="009A1D30" w:rsidP="00511BF6">
      <w:pPr>
        <w:pStyle w:val="ESch"/>
        <w:rPr>
          <w:rFonts w:cs="Arial"/>
          <w:szCs w:val="20"/>
        </w:rPr>
      </w:pPr>
    </w:p>
    <w:p w:rsidR="009A1D30" w:rsidRPr="00C903F8" w:rsidRDefault="009A1D30" w:rsidP="00511BF6">
      <w:pPr>
        <w:pStyle w:val="ESch"/>
        <w:rPr>
          <w:rFonts w:cs="Arial"/>
          <w:szCs w:val="20"/>
        </w:rPr>
      </w:pPr>
      <w:r>
        <w:br w:type="page"/>
      </w:r>
    </w:p>
    <w:p w:rsidR="00DE4417" w:rsidRPr="00C903F8" w:rsidRDefault="00DE4417" w:rsidP="00511BF6">
      <w:pPr>
        <w:pStyle w:val="ESch"/>
      </w:pPr>
      <w:r>
        <w:lastRenderedPageBreak/>
        <w:t>1.15</w:t>
      </w:r>
      <w:r>
        <w:tab/>
        <w:t>"bettolina-cisterna": qualsiasi nave adibita al trasporto di merci in cisterne fisse, costruita o appositamente attrezzata per essere spinta e non munita di mezzi meccanici di propulsione o munita di mezzi meccanici di propulsione che consentono di effettuare soltanto spostamenti a corto raggio quando non fa parte di un convoglio spinto;</w:t>
      </w:r>
    </w:p>
    <w:p w:rsidR="009A1D30" w:rsidRPr="00C903F8" w:rsidRDefault="009A1D30" w:rsidP="00511BF6">
      <w:pPr>
        <w:pStyle w:val="ESch"/>
        <w:rPr>
          <w:rFonts w:cs="Arial"/>
          <w:szCs w:val="20"/>
        </w:rPr>
      </w:pPr>
    </w:p>
    <w:p w:rsidR="00DE4417" w:rsidRPr="00C903F8" w:rsidRDefault="00DE4417" w:rsidP="00511BF6">
      <w:pPr>
        <w:pStyle w:val="ESch"/>
      </w:pPr>
      <w:r>
        <w:t>1.16</w:t>
      </w:r>
      <w:r>
        <w:tab/>
        <w:t>"bettolina per trasporto merci": qualsiasi nave che non sia una bettolina-cisterna, adibita al trasporto di merci, costruita o appositamente attrezzata per essere spinta e non munita di mezzi meccanici di propulsione o munita di mezzi meccanici di propulsione che consentono di effettuare soltanto spostamenti a corto raggio quando non fa parte di un convoglio spinto;</w:t>
      </w:r>
    </w:p>
    <w:p w:rsidR="009A1D30" w:rsidRPr="00C903F8" w:rsidRDefault="009A1D30" w:rsidP="00511BF6">
      <w:pPr>
        <w:pStyle w:val="ESch"/>
        <w:rPr>
          <w:rFonts w:cs="Arial"/>
          <w:szCs w:val="20"/>
        </w:rPr>
      </w:pPr>
    </w:p>
    <w:p w:rsidR="00DE4417" w:rsidRPr="00C903F8" w:rsidRDefault="00DE4417" w:rsidP="00511BF6">
      <w:pPr>
        <w:pStyle w:val="ESch"/>
      </w:pPr>
      <w:r>
        <w:t>1.17</w:t>
      </w:r>
      <w:r>
        <w:tab/>
        <w:t>"bettolina trasportabile su nave": qualsiasi bettolina costruita per essere trasportata a bordo di navi della navigazione marittima e per navigare sulle vie navigabili interne;</w:t>
      </w:r>
    </w:p>
    <w:p w:rsidR="009A1D30" w:rsidRPr="00C903F8" w:rsidRDefault="009A1D30" w:rsidP="00511BF6">
      <w:pPr>
        <w:pStyle w:val="ESch"/>
        <w:rPr>
          <w:rFonts w:cs="Arial"/>
          <w:szCs w:val="20"/>
        </w:rPr>
      </w:pPr>
    </w:p>
    <w:p w:rsidR="00DE4417" w:rsidRPr="00C903F8" w:rsidRDefault="00DE4417" w:rsidP="00511BF6">
      <w:pPr>
        <w:pStyle w:val="ESch"/>
      </w:pPr>
      <w:r>
        <w:t>1.18</w:t>
      </w:r>
      <w:r>
        <w:tab/>
        <w:t>"nave da passeggeri": qualsiasi nave per escursioni giornaliere o nave cabinata costruita ed attrezzata per portare più di dodici passeggeri;</w:t>
      </w:r>
    </w:p>
    <w:p w:rsidR="009A1D30" w:rsidRPr="00C903F8" w:rsidRDefault="009A1D30" w:rsidP="00511BF6">
      <w:pPr>
        <w:pStyle w:val="ESch"/>
        <w:rPr>
          <w:rFonts w:cs="Arial"/>
          <w:szCs w:val="20"/>
        </w:rPr>
      </w:pPr>
    </w:p>
    <w:p w:rsidR="00DE4417" w:rsidRPr="00C903F8" w:rsidRDefault="00DE4417" w:rsidP="00511BF6">
      <w:pPr>
        <w:pStyle w:val="ESch"/>
      </w:pPr>
      <w:r>
        <w:t>1.19</w:t>
      </w:r>
      <w:r>
        <w:tab/>
        <w:t>"nave da passeggeri a vela": qualsiasi nave da passeggeri costruita e attrezzata anche per navigare a vela;</w:t>
      </w:r>
    </w:p>
    <w:p w:rsidR="009A1D30" w:rsidRPr="00C903F8" w:rsidRDefault="009A1D30" w:rsidP="00511BF6">
      <w:pPr>
        <w:pStyle w:val="ESch"/>
        <w:rPr>
          <w:rFonts w:cs="Arial"/>
          <w:szCs w:val="20"/>
        </w:rPr>
      </w:pPr>
    </w:p>
    <w:p w:rsidR="00DE4417" w:rsidRPr="00C903F8" w:rsidRDefault="00DE4417" w:rsidP="00511BF6">
      <w:pPr>
        <w:pStyle w:val="ESch"/>
      </w:pPr>
      <w:r>
        <w:t>1.20</w:t>
      </w:r>
      <w:r>
        <w:tab/>
        <w:t>"battello per escursioni giornaliere": qualsiasi imbarcazione da passeggeri priva di cabine per il soggiorno notturno dei passeggeri;</w:t>
      </w:r>
    </w:p>
    <w:p w:rsidR="009A1D30" w:rsidRPr="00C903F8" w:rsidRDefault="009A1D30" w:rsidP="00511BF6">
      <w:pPr>
        <w:pStyle w:val="ESch"/>
        <w:rPr>
          <w:rFonts w:cs="Arial"/>
          <w:szCs w:val="20"/>
        </w:rPr>
      </w:pPr>
    </w:p>
    <w:p w:rsidR="00DE4417" w:rsidRPr="00C903F8" w:rsidRDefault="00DE4417" w:rsidP="00511BF6">
      <w:pPr>
        <w:pStyle w:val="ESch"/>
      </w:pPr>
      <w:r>
        <w:t>1.21</w:t>
      </w:r>
      <w:r>
        <w:tab/>
        <w:t>"nave cabinata": qualsiasi nave da passeggeri fornita di cabine per il pernottamento dei passeggeri;</w:t>
      </w:r>
    </w:p>
    <w:p w:rsidR="009A1D30" w:rsidRPr="00C903F8" w:rsidRDefault="009A1D30" w:rsidP="00511BF6">
      <w:pPr>
        <w:pStyle w:val="ESch"/>
        <w:rPr>
          <w:rFonts w:cs="Arial"/>
          <w:szCs w:val="20"/>
        </w:rPr>
      </w:pPr>
    </w:p>
    <w:p w:rsidR="00DE4417" w:rsidRPr="00C903F8" w:rsidRDefault="00DE4417" w:rsidP="00511BF6">
      <w:pPr>
        <w:pStyle w:val="ESch"/>
      </w:pPr>
      <w:r>
        <w:t>1.22</w:t>
      </w:r>
      <w:r>
        <w:tab/>
        <w:t>"unità veloce": qualsiasi nave motorizzata in grado di raggiungere velocità superiori a 40 km/h rispetto all'acqua;</w:t>
      </w:r>
    </w:p>
    <w:p w:rsidR="009A1D30" w:rsidRPr="00C903F8" w:rsidRDefault="009A1D30" w:rsidP="00511BF6">
      <w:pPr>
        <w:pStyle w:val="ESch"/>
        <w:rPr>
          <w:rFonts w:cs="Arial"/>
          <w:szCs w:val="20"/>
        </w:rPr>
      </w:pPr>
    </w:p>
    <w:p w:rsidR="00DE4417" w:rsidRPr="00C903F8" w:rsidRDefault="009A1D30" w:rsidP="00511BF6">
      <w:pPr>
        <w:pStyle w:val="ESch"/>
      </w:pPr>
      <w:r>
        <w:t>1.23</w:t>
      </w:r>
      <w:r>
        <w:tab/>
        <w:t>"galleggiante speciale": qualsiasi unità galleggiante provvista di impianti adibiti a lavori, ad esempio gru, attrezzature per il dragaggio, battipali, elevatori;</w:t>
      </w:r>
    </w:p>
    <w:p w:rsidR="009A1D30" w:rsidRPr="00C903F8" w:rsidRDefault="009A1D30" w:rsidP="00511BF6">
      <w:pPr>
        <w:pStyle w:val="ESch"/>
        <w:rPr>
          <w:rFonts w:cs="Arial"/>
          <w:szCs w:val="20"/>
        </w:rPr>
      </w:pPr>
    </w:p>
    <w:p w:rsidR="00DE4417" w:rsidRPr="00C903F8" w:rsidRDefault="00DE4417" w:rsidP="00511BF6">
      <w:pPr>
        <w:pStyle w:val="ESch"/>
      </w:pPr>
      <w:r>
        <w:t>1.24</w:t>
      </w:r>
      <w:r>
        <w:tab/>
        <w:t>"nave cantiere": qualsiasi nave appositamente costruita ed attrezzata per essere utilizzata nei cantieri, come per esempio un rifluitore, una betta a sportelli o una betta-pontone, un pontone o una nave posablocchi;</w:t>
      </w:r>
    </w:p>
    <w:p w:rsidR="009A1D30" w:rsidRPr="00C903F8" w:rsidRDefault="009A1D30" w:rsidP="00511BF6">
      <w:pPr>
        <w:pStyle w:val="ESch"/>
        <w:rPr>
          <w:rFonts w:cs="Arial"/>
          <w:szCs w:val="20"/>
        </w:rPr>
      </w:pPr>
    </w:p>
    <w:p w:rsidR="00DE4417" w:rsidRPr="00C903F8" w:rsidRDefault="00DE4417" w:rsidP="00511BF6">
      <w:pPr>
        <w:pStyle w:val="ESch"/>
      </w:pPr>
      <w:r>
        <w:t>1.25</w:t>
      </w:r>
      <w:r>
        <w:tab/>
        <w:t>"imbarcazione da diporto": qualsiasi nave diversa da una nave da passeggeri, destinata allo sport o allo svago;</w:t>
      </w:r>
    </w:p>
    <w:p w:rsidR="009A1D30" w:rsidRPr="00C903F8" w:rsidRDefault="009A1D30" w:rsidP="00511BF6">
      <w:pPr>
        <w:pStyle w:val="ESch"/>
        <w:rPr>
          <w:rFonts w:cs="Arial"/>
          <w:szCs w:val="20"/>
        </w:rPr>
      </w:pPr>
    </w:p>
    <w:p w:rsidR="00DE4417" w:rsidRPr="00C903F8" w:rsidRDefault="00DE4417" w:rsidP="00511BF6">
      <w:pPr>
        <w:pStyle w:val="ESch"/>
      </w:pPr>
      <w:r>
        <w:t>1.26</w:t>
      </w:r>
      <w:r>
        <w:tab/>
        <w:t>"lancia": qualsiasi imbarcazione utilizzata per il trasporto, le operazioni di soccorso e salvataggio e per lavoro;</w:t>
      </w:r>
    </w:p>
    <w:p w:rsidR="009A1D30" w:rsidRPr="00C903F8" w:rsidRDefault="009A1D30" w:rsidP="00511BF6">
      <w:pPr>
        <w:pStyle w:val="ESch"/>
        <w:rPr>
          <w:rFonts w:cs="Arial"/>
          <w:szCs w:val="20"/>
        </w:rPr>
      </w:pPr>
    </w:p>
    <w:p w:rsidR="00DE4417" w:rsidRPr="00C903F8" w:rsidRDefault="00DE4417" w:rsidP="00511BF6">
      <w:pPr>
        <w:pStyle w:val="ESch"/>
      </w:pPr>
      <w:r>
        <w:t>1.27</w:t>
      </w:r>
      <w:r>
        <w:tab/>
        <w:t>"impianto galleggiante": qualsiasi unità galleggiante che di norma non è destinata ad essere spostata, ad esempio stabilimenti balneari, darsene, moli, rimesse per imbarcazioni;</w:t>
      </w:r>
    </w:p>
    <w:p w:rsidR="009A1D30" w:rsidRPr="00C903F8" w:rsidRDefault="009A1D30" w:rsidP="00511BF6">
      <w:pPr>
        <w:pStyle w:val="ESch"/>
        <w:rPr>
          <w:rFonts w:cs="Arial"/>
          <w:szCs w:val="20"/>
        </w:rPr>
      </w:pPr>
    </w:p>
    <w:p w:rsidR="00DE4417" w:rsidRPr="00C903F8" w:rsidRDefault="00DE4417" w:rsidP="00511BF6">
      <w:pPr>
        <w:pStyle w:val="ESch"/>
      </w:pPr>
      <w:r>
        <w:t>1.28</w:t>
      </w:r>
      <w:r>
        <w:tab/>
        <w:t>"oggetto galleggiante": qualsiasi zattera o altra costruzione, struttura assemblata o oggetto idoneo a navigare, che non siano una nave, un galleggiante speciale o un impianto galleggiante;</w:t>
      </w:r>
    </w:p>
    <w:p w:rsidR="009A1D30" w:rsidRDefault="009A1D30" w:rsidP="00511BF6">
      <w:pPr>
        <w:pStyle w:val="ESch"/>
        <w:rPr>
          <w:rFonts w:cs="Arial"/>
          <w:b/>
          <w:szCs w:val="20"/>
        </w:rPr>
      </w:pPr>
    </w:p>
    <w:p w:rsidR="00881510" w:rsidRPr="003B0440" w:rsidRDefault="00881510" w:rsidP="00511BF6">
      <w:pPr>
        <w:pStyle w:val="ESch"/>
      </w:pPr>
      <w:r>
        <w:t>1.29</w:t>
      </w:r>
      <w:r>
        <w:tab/>
        <w:t>"imbarcazione tradizionale": un'imbarcazione che, in ragione della sua età, della sua costruzione o natura tecnica, alla sua rarità, del suo significato ai fini della conservazione dei principi tradizionali della nautica o delle tecniche di navigazione interna o del suo significato per un determinato periodo da un punto di vista storico, è degna di essere preservata e viene fatta funzionare in​particolare per scopi dimostrativi oppure che è una riproduzione di una tale imbarcazione;</w:t>
      </w:r>
    </w:p>
    <w:p w:rsidR="00881510" w:rsidRPr="003B0440" w:rsidRDefault="00881510" w:rsidP="00511BF6">
      <w:pPr>
        <w:pStyle w:val="ESch"/>
      </w:pPr>
    </w:p>
    <w:p w:rsidR="00881510" w:rsidRPr="003B0440" w:rsidRDefault="00881510" w:rsidP="00881510">
      <w:pPr>
        <w:pStyle w:val="ESch"/>
      </w:pPr>
      <w:r>
        <w:t>1.30</w:t>
      </w:r>
      <w:r>
        <w:tab/>
        <w:t>"riproduzione di un'imbarcazione tradizionale": un'imbarcazione che è stata in gran parte costruita con materiali originali, utilizzando un metodo di costruzione appropriato secondo i progetti o i modelli di un'imbarcazione tradizionale.</w:t>
      </w:r>
    </w:p>
    <w:p w:rsidR="00881510" w:rsidRPr="00C903F8" w:rsidRDefault="00881510" w:rsidP="00511BF6">
      <w:pPr>
        <w:pStyle w:val="ESch"/>
        <w:rPr>
          <w:rFonts w:cs="Arial"/>
          <w:b/>
          <w:szCs w:val="20"/>
        </w:rPr>
      </w:pPr>
    </w:p>
    <w:p w:rsidR="003B0440" w:rsidRDefault="003B0440">
      <w:pPr>
        <w:autoSpaceDE/>
        <w:autoSpaceDN/>
        <w:ind w:left="0" w:firstLine="0"/>
        <w:jc w:val="left"/>
        <w:rPr>
          <w:rFonts w:cs="Arial"/>
          <w:b/>
          <w:szCs w:val="20"/>
        </w:rPr>
      </w:pPr>
      <w:r>
        <w:br w:type="page"/>
      </w:r>
    </w:p>
    <w:p w:rsidR="009A1D30" w:rsidRPr="00C903F8" w:rsidRDefault="009A1D30" w:rsidP="00511BF6">
      <w:pPr>
        <w:pStyle w:val="ESch"/>
        <w:rPr>
          <w:rFonts w:cs="Arial"/>
          <w:b/>
          <w:szCs w:val="20"/>
        </w:rPr>
      </w:pPr>
    </w:p>
    <w:p w:rsidR="00DE4417" w:rsidRPr="00C903F8" w:rsidRDefault="00DE4417" w:rsidP="00511BF6">
      <w:pPr>
        <w:pStyle w:val="ESch"/>
      </w:pPr>
      <w:r>
        <w:rPr>
          <w:b/>
        </w:rPr>
        <w:t>2.</w:t>
      </w:r>
      <w:r>
        <w:tab/>
      </w:r>
      <w:r>
        <w:rPr>
          <w:b/>
        </w:rPr>
        <w:t>Insiemi di imbarcazioni:</w:t>
      </w:r>
    </w:p>
    <w:p w:rsidR="009A1D30" w:rsidRPr="00C903F8" w:rsidRDefault="009A1D30" w:rsidP="00511BF6">
      <w:pPr>
        <w:pStyle w:val="ESch"/>
        <w:rPr>
          <w:rFonts w:cs="Arial"/>
          <w:szCs w:val="20"/>
        </w:rPr>
      </w:pPr>
    </w:p>
    <w:p w:rsidR="00DE4417" w:rsidRPr="00C903F8" w:rsidRDefault="00DE4417" w:rsidP="00511BF6">
      <w:pPr>
        <w:pStyle w:val="ESch"/>
      </w:pPr>
      <w:r>
        <w:t>2.1</w:t>
      </w:r>
      <w:r>
        <w:tab/>
        <w:t>"convoglio": un convoglio rigido o un convoglio rimorchiato di galleggianti;</w:t>
      </w:r>
    </w:p>
    <w:p w:rsidR="009A1D30" w:rsidRPr="00C903F8" w:rsidRDefault="009A1D30" w:rsidP="00511BF6">
      <w:pPr>
        <w:pStyle w:val="ESch"/>
        <w:rPr>
          <w:rFonts w:cs="Arial"/>
          <w:szCs w:val="20"/>
        </w:rPr>
      </w:pPr>
    </w:p>
    <w:p w:rsidR="00DE4417" w:rsidRPr="00C903F8" w:rsidRDefault="00DE4417" w:rsidP="00511BF6">
      <w:pPr>
        <w:pStyle w:val="ESch"/>
        <w:rPr>
          <w:rFonts w:cs="Arial"/>
          <w:szCs w:val="20"/>
        </w:rPr>
      </w:pPr>
      <w:r>
        <w:t>2.2</w:t>
      </w:r>
      <w:r>
        <w:tab/>
        <w:t>"formazione": il modo in cui un convoglio è formato;</w:t>
      </w:r>
    </w:p>
    <w:p w:rsidR="009A1D30" w:rsidRPr="00C903F8" w:rsidRDefault="009A1D30" w:rsidP="00511BF6">
      <w:pPr>
        <w:pStyle w:val="ESch"/>
        <w:rPr>
          <w:rFonts w:cs="Arial"/>
          <w:szCs w:val="20"/>
        </w:rPr>
      </w:pPr>
    </w:p>
    <w:p w:rsidR="00DE4417" w:rsidRPr="00C903F8" w:rsidRDefault="00DE4417" w:rsidP="00511BF6">
      <w:pPr>
        <w:pStyle w:val="ESch"/>
      </w:pPr>
      <w:r>
        <w:t>2.3</w:t>
      </w:r>
      <w:r>
        <w:tab/>
        <w:t>"convoglio rigido": un convoglio spinto o una formazione in coppia;</w:t>
      </w:r>
    </w:p>
    <w:p w:rsidR="009A1D30" w:rsidRPr="00C903F8" w:rsidRDefault="009A1D30" w:rsidP="00511BF6">
      <w:pPr>
        <w:pStyle w:val="ESch"/>
        <w:rPr>
          <w:rFonts w:cs="Arial"/>
          <w:szCs w:val="20"/>
        </w:rPr>
      </w:pPr>
    </w:p>
    <w:p w:rsidR="00DE4417" w:rsidRPr="00C903F8" w:rsidRDefault="00DE4417" w:rsidP="00511BF6">
      <w:pPr>
        <w:pStyle w:val="ESch"/>
      </w:pPr>
      <w:r>
        <w:t>2.4</w:t>
      </w:r>
      <w:r>
        <w:tab/>
        <w:t>"convoglio spinto": un insieme rigido di imbarcazioni di cui almeno una è collocata davanti all'imbarcazione o alle imbarcazioni a motore che assicurano la propulsione del convoglio e denominati "spintori"; un convoglio composto da un insieme di spintore e</w:t>
      </w:r>
      <w:r w:rsidR="00A16690">
        <w:t xml:space="preserve"> </w:t>
      </w:r>
      <w:r>
        <w:t>imbarcazione spinta, accoppiati in modo da consentire un'articolazione guidata, è considerato rigido;</w:t>
      </w:r>
    </w:p>
    <w:p w:rsidR="009A1D30" w:rsidRPr="00C903F8" w:rsidRDefault="009A1D30" w:rsidP="00511BF6">
      <w:pPr>
        <w:pStyle w:val="ESch"/>
        <w:rPr>
          <w:rFonts w:cs="Arial"/>
          <w:szCs w:val="20"/>
        </w:rPr>
      </w:pPr>
    </w:p>
    <w:p w:rsidR="00DE4417" w:rsidRPr="00C903F8" w:rsidRDefault="00DE4417" w:rsidP="00511BF6">
      <w:pPr>
        <w:pStyle w:val="ESch"/>
      </w:pPr>
      <w:r>
        <w:t>2.5</w:t>
      </w:r>
      <w:r>
        <w:tab/>
        <w:t>"formazione in coppia": un insieme di imbarcazioni accoppiate lateralmente in modo rigido, nessuna delle quali è collocata davanti a quella che provvede alla propulsione dell'insieme stesso;</w:t>
      </w:r>
    </w:p>
    <w:p w:rsidR="009A1D30" w:rsidRPr="00C903F8" w:rsidRDefault="009A1D30" w:rsidP="00511BF6">
      <w:pPr>
        <w:pStyle w:val="ESch"/>
        <w:rPr>
          <w:rFonts w:cs="Arial"/>
          <w:szCs w:val="20"/>
        </w:rPr>
      </w:pPr>
    </w:p>
    <w:p w:rsidR="00DE4417" w:rsidRPr="00C903F8" w:rsidRDefault="00DE4417" w:rsidP="00511BF6">
      <w:pPr>
        <w:pStyle w:val="ESch"/>
      </w:pPr>
      <w:r>
        <w:t>2.6</w:t>
      </w:r>
      <w:r>
        <w:tab/>
        <w:t>"convoglio rimorchiato": un insieme di una o più imbarcazioni, impianti galleggianti o strutture galleggianti rimorchiato da uno o più imbarcazioni a motore facenti parte del convoglio stesso.</w:t>
      </w:r>
    </w:p>
    <w:p w:rsidR="009A1D30" w:rsidRPr="00C903F8" w:rsidRDefault="009A1D30" w:rsidP="00511BF6">
      <w:pPr>
        <w:pStyle w:val="ESch"/>
        <w:rPr>
          <w:rFonts w:cs="Arial"/>
          <w:b/>
          <w:szCs w:val="20"/>
        </w:rPr>
      </w:pPr>
    </w:p>
    <w:p w:rsidR="009A1D30" w:rsidRPr="00C903F8" w:rsidRDefault="009A1D30" w:rsidP="00511BF6">
      <w:pPr>
        <w:pStyle w:val="ESch"/>
        <w:rPr>
          <w:rFonts w:cs="Arial"/>
          <w:b/>
          <w:szCs w:val="20"/>
        </w:rPr>
      </w:pPr>
    </w:p>
    <w:p w:rsidR="00DE4417" w:rsidRPr="00C903F8" w:rsidRDefault="00DE4417" w:rsidP="00511BF6">
      <w:pPr>
        <w:pStyle w:val="ESch"/>
        <w:rPr>
          <w:b/>
        </w:rPr>
      </w:pPr>
      <w:r>
        <w:rPr>
          <w:b/>
        </w:rPr>
        <w:t>3.</w:t>
      </w:r>
      <w:r>
        <w:tab/>
      </w:r>
      <w:r>
        <w:rPr>
          <w:b/>
        </w:rPr>
        <w:t>Zone specifiche delle imbarcazioni:</w:t>
      </w:r>
    </w:p>
    <w:p w:rsidR="009A1D30" w:rsidRPr="00C903F8" w:rsidRDefault="009A1D30" w:rsidP="00511BF6">
      <w:pPr>
        <w:pStyle w:val="ESch"/>
        <w:rPr>
          <w:rFonts w:cs="Arial"/>
          <w:szCs w:val="20"/>
        </w:rPr>
      </w:pPr>
    </w:p>
    <w:p w:rsidR="00DE4417" w:rsidRPr="00C903F8" w:rsidRDefault="00DE4417" w:rsidP="00511BF6">
      <w:pPr>
        <w:pStyle w:val="ESch"/>
      </w:pPr>
      <w:r>
        <w:t>3.1</w:t>
      </w:r>
      <w:r>
        <w:tab/>
        <w:t>"sala macchine principale": il locale in cui sono installati i motori di propulsione;</w:t>
      </w:r>
    </w:p>
    <w:p w:rsidR="009A1D30" w:rsidRPr="00C903F8" w:rsidRDefault="009A1D30" w:rsidP="00511BF6">
      <w:pPr>
        <w:pStyle w:val="ESch"/>
        <w:rPr>
          <w:rFonts w:cs="Arial"/>
          <w:szCs w:val="20"/>
        </w:rPr>
      </w:pPr>
    </w:p>
    <w:p w:rsidR="00DE4417" w:rsidRPr="00C903F8" w:rsidRDefault="00DE4417" w:rsidP="00511BF6">
      <w:pPr>
        <w:pStyle w:val="ESch"/>
      </w:pPr>
      <w:r>
        <w:t>3.2</w:t>
      </w:r>
      <w:r>
        <w:tab/>
        <w:t>"sala macchine": un locale in cui sono installati i motori a combustione;</w:t>
      </w:r>
    </w:p>
    <w:p w:rsidR="009A1D30" w:rsidRPr="00C903F8" w:rsidRDefault="009A1D30" w:rsidP="00511BF6">
      <w:pPr>
        <w:pStyle w:val="ESch"/>
        <w:rPr>
          <w:rFonts w:cs="Arial"/>
          <w:szCs w:val="20"/>
        </w:rPr>
      </w:pPr>
    </w:p>
    <w:p w:rsidR="00DE4417" w:rsidRPr="00C903F8" w:rsidRDefault="00DE4417" w:rsidP="00511BF6">
      <w:pPr>
        <w:pStyle w:val="ESch"/>
      </w:pPr>
      <w:r>
        <w:t>3.3</w:t>
      </w:r>
      <w:r>
        <w:tab/>
        <w:t>"locale caldaie": un locale in cui è installato un impianto che produce vapore o riscalda un fluido termico e che funziona a combustibile;</w:t>
      </w:r>
    </w:p>
    <w:p w:rsidR="009A1D30" w:rsidRPr="00C903F8" w:rsidRDefault="009A1D30" w:rsidP="00511BF6">
      <w:pPr>
        <w:pStyle w:val="ESch"/>
        <w:rPr>
          <w:rFonts w:cs="Arial"/>
          <w:szCs w:val="20"/>
        </w:rPr>
      </w:pPr>
    </w:p>
    <w:p w:rsidR="00DE4417" w:rsidRPr="00C903F8" w:rsidRDefault="00DE4417" w:rsidP="00511BF6">
      <w:pPr>
        <w:pStyle w:val="ESch"/>
      </w:pPr>
      <w:r>
        <w:t>3.4</w:t>
      </w:r>
      <w:r>
        <w:tab/>
        <w:t>"locale servizi elettrici": un locale in cui sono ubicati i componenti di un sistema di propulsione elettrica quali gli armadi elettrici o i motori elettrici e che non è una sala macchine principali o una sala macchine;</w:t>
      </w:r>
    </w:p>
    <w:p w:rsidR="009A1D30" w:rsidRPr="00C903F8" w:rsidRDefault="009A1D30" w:rsidP="00511BF6">
      <w:pPr>
        <w:pStyle w:val="ESch"/>
        <w:rPr>
          <w:rFonts w:cs="Arial"/>
          <w:szCs w:val="20"/>
        </w:rPr>
      </w:pPr>
    </w:p>
    <w:p w:rsidR="00DE4417" w:rsidRPr="00C903F8" w:rsidRDefault="00DE4417" w:rsidP="00511BF6">
      <w:pPr>
        <w:pStyle w:val="ESch"/>
      </w:pPr>
      <w:r>
        <w:t>3.5</w:t>
      </w:r>
      <w:r>
        <w:tab/>
        <w:t>"sovrastruttura chiusa": una costruzione continua rigida e stagna all'acqua, dotata di pareti rigide collegate al ponte in modo permanente e stagno all'acqua;</w:t>
      </w:r>
    </w:p>
    <w:p w:rsidR="009A1D30" w:rsidRPr="00C903F8" w:rsidRDefault="009A1D30" w:rsidP="00511BF6">
      <w:pPr>
        <w:pStyle w:val="ESch"/>
        <w:rPr>
          <w:rFonts w:cs="Arial"/>
          <w:szCs w:val="20"/>
        </w:rPr>
      </w:pPr>
    </w:p>
    <w:p w:rsidR="00DE4417" w:rsidRPr="00C903F8" w:rsidRDefault="00DE4417" w:rsidP="00511BF6">
      <w:pPr>
        <w:pStyle w:val="ESch"/>
      </w:pPr>
      <w:r>
        <w:t>3.6</w:t>
      </w:r>
      <w:r>
        <w:tab/>
        <w:t>"timoneria": il locale in cui si trovano tutti gli strumenti di comando e di controllo necessari per governare la nave;</w:t>
      </w:r>
    </w:p>
    <w:p w:rsidR="009A1D30" w:rsidRPr="00C903F8" w:rsidRDefault="009A1D30" w:rsidP="00511BF6">
      <w:pPr>
        <w:pStyle w:val="ESch"/>
        <w:rPr>
          <w:rFonts w:cs="Arial"/>
          <w:szCs w:val="20"/>
        </w:rPr>
      </w:pPr>
    </w:p>
    <w:p w:rsidR="00DE4417" w:rsidRPr="00C903F8" w:rsidRDefault="00DE4417" w:rsidP="00511BF6">
      <w:pPr>
        <w:pStyle w:val="ESch"/>
      </w:pPr>
      <w:r>
        <w:t>3.7</w:t>
      </w:r>
      <w:r>
        <w:tab/>
        <w:t>"alloggio equipaggio": qualsiasi locale destinato alle persone che vivono abitualmente a bordo, comprese le cucine, le dispense, i gabinetti, i lavatoi, le lavanderie, le anticamere e le zone di passaggio ma esclusa la timoneria;</w:t>
      </w:r>
    </w:p>
    <w:p w:rsidR="009A1D30" w:rsidRPr="00C903F8" w:rsidRDefault="009A1D30" w:rsidP="00511BF6">
      <w:pPr>
        <w:pStyle w:val="ESch"/>
        <w:rPr>
          <w:rFonts w:cs="Arial"/>
          <w:szCs w:val="20"/>
        </w:rPr>
      </w:pPr>
    </w:p>
    <w:p w:rsidR="00DE4417" w:rsidRPr="00C903F8" w:rsidRDefault="00DE4417" w:rsidP="00511BF6">
      <w:pPr>
        <w:pStyle w:val="ESch"/>
      </w:pPr>
      <w:r>
        <w:t>3.8</w:t>
      </w:r>
      <w:r>
        <w:tab/>
        <w:t>"zona passeggeri": locali destinati ai passeggeri e le zone attigue quali sale di ritrovo, uffici, negozi, saloni di parrucchieri, asciugatoi, lavanderie, saune, gabinetti, bagni, zone di passaggio, passaggi di collegamento e scale non racchiusi da pareti;</w:t>
      </w:r>
    </w:p>
    <w:p w:rsidR="009A1D30" w:rsidRPr="00C903F8" w:rsidRDefault="009A1D30" w:rsidP="00511BF6">
      <w:pPr>
        <w:pStyle w:val="ESch"/>
        <w:rPr>
          <w:rFonts w:cs="Arial"/>
          <w:szCs w:val="20"/>
        </w:rPr>
      </w:pPr>
    </w:p>
    <w:p w:rsidR="00DE4417" w:rsidRPr="00C903F8" w:rsidRDefault="00DE4417" w:rsidP="00511BF6">
      <w:pPr>
        <w:pStyle w:val="ESch"/>
      </w:pPr>
      <w:r>
        <w:t>3.9</w:t>
      </w:r>
      <w:r>
        <w:tab/>
        <w:t>"stazione di comando": una timoneria, una zona contenente una centrale elettrica d'emergenza o parti della stessa, o una zona con un centro occupato in permanenza da personale di bordo o membri dell'equipaggio, per esempio per impianti per allarme incendio, comandi a distanza delle porte o serrande tagliafuoco;</w:t>
      </w:r>
    </w:p>
    <w:p w:rsidR="009A1D30" w:rsidRPr="00C903F8" w:rsidRDefault="009A1D30" w:rsidP="00511BF6">
      <w:pPr>
        <w:pStyle w:val="ESch"/>
        <w:rPr>
          <w:rFonts w:cs="Arial"/>
          <w:szCs w:val="20"/>
        </w:rPr>
      </w:pPr>
    </w:p>
    <w:p w:rsidR="00DE4417" w:rsidRPr="00C903F8" w:rsidRDefault="00DE4417" w:rsidP="00511BF6">
      <w:pPr>
        <w:pStyle w:val="ESch"/>
      </w:pPr>
      <w:r>
        <w:t>3.10</w:t>
      </w:r>
      <w:r>
        <w:tab/>
        <w:t>"vano scala": il vano in cui si trovano scale interne o ascensori;</w:t>
      </w:r>
    </w:p>
    <w:p w:rsidR="009A1D30" w:rsidRDefault="009A1D30" w:rsidP="00511BF6">
      <w:pPr>
        <w:pStyle w:val="ESch"/>
        <w:rPr>
          <w:rFonts w:cs="Arial"/>
          <w:szCs w:val="20"/>
        </w:rPr>
      </w:pPr>
    </w:p>
    <w:p w:rsidR="003B0440" w:rsidRDefault="003B0440">
      <w:pPr>
        <w:autoSpaceDE/>
        <w:autoSpaceDN/>
        <w:ind w:left="0" w:firstLine="0"/>
        <w:jc w:val="left"/>
        <w:rPr>
          <w:rFonts w:cs="Arial"/>
          <w:szCs w:val="20"/>
        </w:rPr>
      </w:pPr>
      <w:r>
        <w:br w:type="page"/>
      </w:r>
    </w:p>
    <w:p w:rsidR="003B0440" w:rsidRPr="00C903F8" w:rsidRDefault="003B0440" w:rsidP="00511BF6">
      <w:pPr>
        <w:pStyle w:val="ESch"/>
        <w:rPr>
          <w:rFonts w:cs="Arial"/>
          <w:szCs w:val="20"/>
        </w:rPr>
      </w:pPr>
    </w:p>
    <w:p w:rsidR="00DE4417" w:rsidRPr="00C903F8" w:rsidRDefault="00DE4417" w:rsidP="00511BF6">
      <w:pPr>
        <w:pStyle w:val="ESch"/>
        <w:rPr>
          <w:rFonts w:cs="Arial"/>
          <w:szCs w:val="20"/>
        </w:rPr>
      </w:pPr>
      <w:r>
        <w:t>3.11</w:t>
      </w:r>
      <w:r>
        <w:tab/>
        <w:t>"sala di ritrovo": un locale per il soggiorno o una zona per i passeggeri. A bordo delle navi da passeggeri le cabine di servizio non sono considerate sale di ritrovo;</w:t>
      </w:r>
    </w:p>
    <w:p w:rsidR="009A1D30" w:rsidRPr="00C903F8" w:rsidRDefault="009A1D30" w:rsidP="00511BF6">
      <w:pPr>
        <w:pStyle w:val="ESch"/>
        <w:rPr>
          <w:rFonts w:cs="Arial"/>
          <w:szCs w:val="20"/>
        </w:rPr>
      </w:pPr>
    </w:p>
    <w:p w:rsidR="00DE4417" w:rsidRPr="00C903F8" w:rsidRDefault="00DE4417" w:rsidP="00511BF6">
      <w:pPr>
        <w:pStyle w:val="ESch"/>
      </w:pPr>
      <w:r>
        <w:t>3.12</w:t>
      </w:r>
      <w:r>
        <w:tab/>
        <w:t>"cucina": un locale con una stufa o apparecchio simile per cucinare;</w:t>
      </w:r>
    </w:p>
    <w:p w:rsidR="009A1D30" w:rsidRPr="00C903F8" w:rsidRDefault="009A1D30" w:rsidP="00511BF6">
      <w:pPr>
        <w:pStyle w:val="ESch"/>
        <w:rPr>
          <w:rFonts w:cs="Arial"/>
          <w:szCs w:val="20"/>
        </w:rPr>
      </w:pPr>
    </w:p>
    <w:p w:rsidR="00DE4417" w:rsidRPr="00C903F8" w:rsidRDefault="00DE4417" w:rsidP="00511BF6">
      <w:pPr>
        <w:pStyle w:val="ESch"/>
      </w:pPr>
      <w:r>
        <w:t>3.13</w:t>
      </w:r>
      <w:r>
        <w:tab/>
        <w:t>"magazzino": un locale in cui sono custoditi liquidi infiammabili o un locale con una superficie superiore a 4 m</w:t>
      </w:r>
      <w:r>
        <w:rPr>
          <w:vertAlign w:val="superscript"/>
        </w:rPr>
        <w:t>2</w:t>
      </w:r>
      <w:r>
        <w:t xml:space="preserve"> per immagazzinare provviste;</w:t>
      </w:r>
    </w:p>
    <w:p w:rsidR="009A1D30" w:rsidRPr="00C903F8" w:rsidRDefault="009A1D30" w:rsidP="00511BF6">
      <w:pPr>
        <w:pStyle w:val="ESch"/>
        <w:rPr>
          <w:rFonts w:cs="Arial"/>
          <w:szCs w:val="20"/>
        </w:rPr>
      </w:pPr>
    </w:p>
    <w:p w:rsidR="00DE4417" w:rsidRPr="00C903F8" w:rsidRDefault="00DE4417" w:rsidP="00511BF6">
      <w:pPr>
        <w:pStyle w:val="ESch"/>
      </w:pPr>
      <w:r>
        <w:t>3.14</w:t>
      </w:r>
      <w:r>
        <w:tab/>
        <w:t>"stiva": una parte della nave, delimitata anteriormente e posteriormente da paratie, aperta o chiusa da coperchi di boccaporto, destinata al trasporto di merci imballate o alla rinfusa o a ospitare cisterne indipendenti dallo scafo;</w:t>
      </w:r>
    </w:p>
    <w:p w:rsidR="009A1D30" w:rsidRPr="00C903F8" w:rsidRDefault="009A1D30" w:rsidP="00511BF6">
      <w:pPr>
        <w:pStyle w:val="ESch"/>
        <w:rPr>
          <w:rFonts w:cs="Arial"/>
          <w:szCs w:val="20"/>
        </w:rPr>
      </w:pPr>
    </w:p>
    <w:p w:rsidR="00DE4417" w:rsidRPr="00C903F8" w:rsidRDefault="00DE4417" w:rsidP="00511BF6">
      <w:pPr>
        <w:pStyle w:val="ESch"/>
      </w:pPr>
      <w:r>
        <w:t>3.15</w:t>
      </w:r>
      <w:r>
        <w:tab/>
        <w:t>"cisterna fissa": una cisterna collegata alla nave, le cui pareti possono essere costituite dallo scafo stesso o da un involucro a se stante;</w:t>
      </w:r>
    </w:p>
    <w:p w:rsidR="009A1D30" w:rsidRPr="00C903F8" w:rsidRDefault="009A1D30" w:rsidP="00511BF6">
      <w:pPr>
        <w:pStyle w:val="ESch"/>
        <w:rPr>
          <w:rFonts w:cs="Arial"/>
          <w:szCs w:val="20"/>
        </w:rPr>
      </w:pPr>
    </w:p>
    <w:p w:rsidR="00DE4417" w:rsidRPr="00C903F8" w:rsidRDefault="00D71B1A" w:rsidP="00511BF6">
      <w:pPr>
        <w:pStyle w:val="ESch"/>
      </w:pPr>
      <w:r>
        <w:t>3.16</w:t>
      </w:r>
      <w:r>
        <w:tab/>
        <w:t>"posto di lavoro": una zona in cui l'equipaggio svolge la propria attività professionale, ivi compresi la passerella, l'albero da carico e la lancia;</w:t>
      </w:r>
    </w:p>
    <w:p w:rsidR="009A1D30" w:rsidRPr="00C903F8" w:rsidRDefault="009A1D30" w:rsidP="00511BF6">
      <w:pPr>
        <w:pStyle w:val="ESch"/>
        <w:rPr>
          <w:rFonts w:cs="Arial"/>
          <w:szCs w:val="20"/>
        </w:rPr>
      </w:pPr>
    </w:p>
    <w:p w:rsidR="00DE4417" w:rsidRPr="00C903F8" w:rsidRDefault="00DE4417" w:rsidP="00511BF6">
      <w:pPr>
        <w:pStyle w:val="ESch"/>
      </w:pPr>
      <w:r>
        <w:t>3.17</w:t>
      </w:r>
      <w:r>
        <w:tab/>
        <w:t>"zona di passaggio": una zona destinata alla circolazione abituale di persone e di merci;</w:t>
      </w:r>
    </w:p>
    <w:p w:rsidR="009A1D30" w:rsidRPr="00C903F8" w:rsidRDefault="009A1D30" w:rsidP="00511BF6">
      <w:pPr>
        <w:pStyle w:val="ESch"/>
        <w:rPr>
          <w:rFonts w:cs="Arial"/>
          <w:szCs w:val="20"/>
        </w:rPr>
      </w:pPr>
    </w:p>
    <w:p w:rsidR="00DE4417" w:rsidRPr="00C903F8" w:rsidRDefault="00DE4417" w:rsidP="00511BF6">
      <w:pPr>
        <w:pStyle w:val="ESch"/>
      </w:pPr>
      <w:r>
        <w:t>3.18</w:t>
      </w:r>
      <w:r>
        <w:tab/>
        <w:t>"zona sicura": la zona delimitata all'esterno da una superficie verticale che corre, a una distanza di 1/5 della larghezza al galleggiamento (</w:t>
      </w:r>
      <m:oMath>
        <m:r>
          <w:rPr>
            <w:rFonts w:ascii="Cambria Math" w:hAnsi="Cambria Math" w:cs="Arial"/>
            <w:szCs w:val="20"/>
          </w:rPr>
          <m:t>B</m:t>
        </m:r>
        <m:r>
          <w:rPr>
            <w:rFonts w:ascii="Cambria Math" w:eastAsia="Calibri" w:hAnsi="Cambria Math" w:cs="Arial"/>
            <w:noProof/>
            <w:snapToGrid w:val="0"/>
            <w:color w:val="000000"/>
            <w:position w:val="-6"/>
            <w:sz w:val="14"/>
            <w:szCs w:val="20"/>
          </w:rPr>
          <m:t>WL</m:t>
        </m:r>
      </m:oMath>
      <w:r>
        <w:t>), parallelamente allo scafo in corrispondenza della linea di galleggiamento massimo;</w:t>
      </w:r>
    </w:p>
    <w:p w:rsidR="009A1D30" w:rsidRPr="00C903F8" w:rsidRDefault="009A1D30" w:rsidP="00511BF6">
      <w:pPr>
        <w:pStyle w:val="ESch"/>
        <w:rPr>
          <w:rFonts w:cs="Arial"/>
          <w:szCs w:val="20"/>
        </w:rPr>
      </w:pPr>
    </w:p>
    <w:p w:rsidR="00DE4417" w:rsidRPr="00C903F8" w:rsidRDefault="00DE4417" w:rsidP="00511BF6">
      <w:pPr>
        <w:pStyle w:val="ESch"/>
      </w:pPr>
      <w:r>
        <w:t>3.19</w:t>
      </w:r>
      <w:r>
        <w:tab/>
        <w:t>"zone di raccolta o punti di riunione": zone della nave specialmente protette nelle quali le persone si radunano in caso di pericolo;</w:t>
      </w:r>
    </w:p>
    <w:p w:rsidR="009A1D30" w:rsidRPr="00C903F8" w:rsidRDefault="009A1D30" w:rsidP="00511BF6">
      <w:pPr>
        <w:pStyle w:val="ESch"/>
        <w:rPr>
          <w:rFonts w:cs="Arial"/>
          <w:szCs w:val="20"/>
        </w:rPr>
      </w:pPr>
    </w:p>
    <w:p w:rsidR="00DE4417" w:rsidRPr="00C903F8" w:rsidRDefault="00DE4417" w:rsidP="00511BF6">
      <w:pPr>
        <w:pStyle w:val="ESch"/>
      </w:pPr>
      <w:r>
        <w:t>3.20</w:t>
      </w:r>
      <w:r>
        <w:tab/>
        <w:t>"zone di evacuazione": parti delle zone di raccolta della nave dalle quali può essere effettuata l'evacuazione;</w:t>
      </w:r>
    </w:p>
    <w:p w:rsidR="009A1D30" w:rsidRDefault="009A1D30" w:rsidP="00511BF6">
      <w:pPr>
        <w:pStyle w:val="ESch"/>
        <w:rPr>
          <w:rFonts w:cs="Arial"/>
          <w:b/>
          <w:szCs w:val="20"/>
        </w:rPr>
      </w:pPr>
    </w:p>
    <w:p w:rsidR="00BF3595" w:rsidRPr="008F6ABB" w:rsidRDefault="00BF3595" w:rsidP="00BF3595">
      <w:pPr>
        <w:pStyle w:val="ESch"/>
        <w:spacing w:line="220" w:lineRule="atLeast"/>
      </w:pPr>
      <w:r>
        <w:t>3.21</w:t>
      </w:r>
      <w:r>
        <w:tab/>
        <w:t>"atmosfera esplosiva": una miscela di aria, in condizioni atmosferiche, e di sostanze infiammabili sotto forma di gas, vapore, polvere, fibre o particelle volatili, che in seguito all'accensione consente l'autopropagazione della fiamma;</w:t>
      </w:r>
    </w:p>
    <w:p w:rsidR="00BF3595" w:rsidRPr="008F6ABB" w:rsidRDefault="00BF3595" w:rsidP="00BF3595">
      <w:pPr>
        <w:pStyle w:val="ESch"/>
      </w:pPr>
    </w:p>
    <w:p w:rsidR="00BF3595" w:rsidRPr="008F6ABB" w:rsidRDefault="00BF3595" w:rsidP="00BF3595">
      <w:pPr>
        <w:pStyle w:val="ESch"/>
      </w:pPr>
      <w:r>
        <w:t>3.22</w:t>
      </w:r>
      <w:r>
        <w:tab/>
        <w:t>"zona pericolosa": una zona nella quale è o potrebbe essere presente</w:t>
      </w:r>
      <w:r w:rsidR="00A16690">
        <w:t xml:space="preserve"> </w:t>
      </w:r>
      <w:r>
        <w:t>un'atmosfera esplosiva con miscele di gas, in quantità tali da richiedere precauzioni speciali per la costruzione, l'installazione e l'uso di attrezzature;</w:t>
      </w:r>
    </w:p>
    <w:p w:rsidR="00BF3595" w:rsidRPr="008F6ABB" w:rsidRDefault="00BF3595" w:rsidP="00BF3595">
      <w:pPr>
        <w:pStyle w:val="ESch"/>
      </w:pPr>
    </w:p>
    <w:p w:rsidR="00BF3595" w:rsidRPr="008F6ABB" w:rsidRDefault="00BF3595" w:rsidP="00BF3595">
      <w:pPr>
        <w:adjustRightInd w:val="0"/>
        <w:ind w:left="567" w:hanging="567"/>
        <w:rPr>
          <w:rFonts w:cs="Arial"/>
          <w:szCs w:val="20"/>
        </w:rPr>
      </w:pPr>
      <w:r>
        <w:t>3.23</w:t>
      </w:r>
      <w:r>
        <w:tab/>
        <w:t>"zone": classificazione delle zone pericolose in base alla frequenza e alla durata di un'atmosfera esplosiva;</w:t>
      </w:r>
    </w:p>
    <w:p w:rsidR="00BF3595" w:rsidRPr="008F6ABB" w:rsidRDefault="00BF3595" w:rsidP="00E46F58">
      <w:pPr>
        <w:pStyle w:val="ESch"/>
      </w:pPr>
    </w:p>
    <w:p w:rsidR="00BF3595" w:rsidRPr="008F6ABB" w:rsidRDefault="00D52D91" w:rsidP="00E46F58">
      <w:pPr>
        <w:pStyle w:val="ESchpar"/>
      </w:pPr>
      <w:r>
        <w:t>"zona 0": zona nella quale un'atmosfera esplosiva è presente continuamente, per lunghi periodi o frequentemente;</w:t>
      </w:r>
    </w:p>
    <w:p w:rsidR="00BF3595" w:rsidRPr="008F6ABB" w:rsidRDefault="00BF3595" w:rsidP="00E46F58">
      <w:pPr>
        <w:pStyle w:val="ESch"/>
      </w:pPr>
    </w:p>
    <w:p w:rsidR="00BF3595" w:rsidRPr="008F6ABB" w:rsidRDefault="00D52D91" w:rsidP="00E46F58">
      <w:pPr>
        <w:pStyle w:val="ESchpar"/>
      </w:pPr>
      <w:r>
        <w:t>"zona 1": zona nella quale è probabile che sia occasionalmente presente un'atmosfera esplosiva durante il normale funzionamento;</w:t>
      </w:r>
    </w:p>
    <w:p w:rsidR="00BF3595" w:rsidRPr="008F6ABB" w:rsidRDefault="00BF3595" w:rsidP="00E46F58">
      <w:pPr>
        <w:pStyle w:val="ESch"/>
      </w:pPr>
    </w:p>
    <w:p w:rsidR="00BF3595" w:rsidRPr="008F6ABB" w:rsidRDefault="00D52D91" w:rsidP="00E46F58">
      <w:pPr>
        <w:pStyle w:val="ESchpar"/>
      </w:pPr>
      <w:r>
        <w:t>"zona 2": zona nella quale non è probabile che si presenti un'atmosfera esplosiva durante il normale funzionamento ma che, qualora ciò si verificasse, persisterà solo per un breve periodo. Tali zone comprendono anche zone direttamente adiacenti alla zona 1 ma che non sono separate tra loro in modo da prevenire la perdita di gas;</w:t>
      </w:r>
    </w:p>
    <w:p w:rsidR="00BF3595" w:rsidRDefault="00BF3595" w:rsidP="00E46F58">
      <w:pPr>
        <w:pStyle w:val="ESch"/>
      </w:pPr>
    </w:p>
    <w:p w:rsidR="008D24FF" w:rsidRDefault="008D24FF">
      <w:pPr>
        <w:autoSpaceDE/>
        <w:autoSpaceDN/>
        <w:ind w:left="0" w:firstLine="0"/>
        <w:jc w:val="left"/>
      </w:pPr>
      <w:r>
        <w:br w:type="page"/>
      </w:r>
    </w:p>
    <w:p w:rsidR="008D24FF" w:rsidRPr="008F6ABB" w:rsidRDefault="008D24FF" w:rsidP="00E46F58">
      <w:pPr>
        <w:pStyle w:val="ESch"/>
      </w:pPr>
    </w:p>
    <w:p w:rsidR="00BF3595" w:rsidRPr="008F6ABB" w:rsidRDefault="00BF3595" w:rsidP="00BF3595">
      <w:pPr>
        <w:pStyle w:val="ESch"/>
        <w:rPr>
          <w:strike/>
        </w:rPr>
      </w:pPr>
      <w:r>
        <w:t>3.24</w:t>
      </w:r>
      <w:r>
        <w:tab/>
        <w:t>"materiale elettrico con certificazione di sicurezza":</w:t>
      </w:r>
      <w:r>
        <w:rPr>
          <w:rStyle w:val="FootnoteReference"/>
        </w:rPr>
        <w:t xml:space="preserve"> </w:t>
      </w:r>
      <w:r>
        <w:t>materiale elettrico che è stato testato e omologato dall'autorità competente per quanto riguarda la sicurezza di funzionamento in atmosfera esplosiva.</w:t>
      </w:r>
    </w:p>
    <w:p w:rsidR="009A1D30" w:rsidRPr="00C903F8" w:rsidRDefault="009A1D30" w:rsidP="00E46F58">
      <w:pPr>
        <w:pStyle w:val="ESch"/>
      </w:pPr>
    </w:p>
    <w:p w:rsidR="00BF3595" w:rsidRDefault="00BF3595" w:rsidP="008D24FF">
      <w:pPr>
        <w:pStyle w:val="ESch"/>
      </w:pPr>
    </w:p>
    <w:p w:rsidR="00DE4417" w:rsidRPr="00C903F8" w:rsidRDefault="00DE4417" w:rsidP="00511BF6">
      <w:pPr>
        <w:pStyle w:val="ESch"/>
      </w:pPr>
      <w:r>
        <w:rPr>
          <w:b/>
        </w:rPr>
        <w:t>4.</w:t>
      </w:r>
      <w:r>
        <w:tab/>
      </w:r>
      <w:r>
        <w:rPr>
          <w:b/>
        </w:rPr>
        <w:t>Termini di tecnica navale:</w:t>
      </w:r>
    </w:p>
    <w:p w:rsidR="009A1D30" w:rsidRPr="00C903F8" w:rsidRDefault="009A1D30" w:rsidP="00511BF6">
      <w:pPr>
        <w:pStyle w:val="ESch"/>
        <w:rPr>
          <w:rFonts w:cs="Arial"/>
          <w:szCs w:val="20"/>
        </w:rPr>
      </w:pPr>
    </w:p>
    <w:p w:rsidR="00DE4417" w:rsidRPr="00C903F8" w:rsidRDefault="00DE4417" w:rsidP="00511BF6">
      <w:pPr>
        <w:pStyle w:val="ESch"/>
      </w:pPr>
      <w:r>
        <w:t>4.1</w:t>
      </w:r>
      <w:r>
        <w:tab/>
        <w:t>"piano di massima immersione": il piano di galleggiamento che corrisponde all'immersione massima alla quale l'imbarcazione è autorizzata a navigare;</w:t>
      </w:r>
    </w:p>
    <w:p w:rsidR="009A1D30" w:rsidRPr="00C903F8" w:rsidRDefault="009A1D30" w:rsidP="00511BF6">
      <w:pPr>
        <w:pStyle w:val="ESch"/>
        <w:rPr>
          <w:rFonts w:cs="Arial"/>
          <w:szCs w:val="20"/>
        </w:rPr>
      </w:pPr>
    </w:p>
    <w:p w:rsidR="00DE4417" w:rsidRPr="00C903F8" w:rsidRDefault="00DE4417" w:rsidP="00511BF6">
      <w:pPr>
        <w:pStyle w:val="ESch"/>
      </w:pPr>
      <w:r>
        <w:t>4.2</w:t>
      </w:r>
      <w:r>
        <w:tab/>
        <w:t>"distanza di sicurezza": la distanza fra il piano di massima immersione e il piano parallelo che passa per il punto più basso al di sopra del quale l'imbarcazione non è più considerata stagna;</w:t>
      </w:r>
    </w:p>
    <w:p w:rsidR="009A1D30" w:rsidRPr="00C903F8" w:rsidRDefault="009A1D30" w:rsidP="00511BF6">
      <w:pPr>
        <w:pStyle w:val="ESch"/>
        <w:rPr>
          <w:rFonts w:cs="Arial"/>
          <w:szCs w:val="20"/>
        </w:rPr>
      </w:pPr>
    </w:p>
    <w:p w:rsidR="00DE4417" w:rsidRPr="00C903F8" w:rsidRDefault="00DE4417" w:rsidP="00511BF6">
      <w:pPr>
        <w:pStyle w:val="ESch"/>
      </w:pPr>
      <w:r>
        <w:t>4.3</w:t>
      </w:r>
      <w:r>
        <w:tab/>
        <w:t>"distanza di sicurezza residua": la distanza di sicurezza verticale disponibile, in caso di sbandamento della nave, fra il livello dell'acqua e il punto più basso della parte immersa oltre il quale la nave non è più considerata stagna;</w:t>
      </w:r>
    </w:p>
    <w:p w:rsidR="009A1D30" w:rsidRPr="00C903F8" w:rsidRDefault="009A1D30" w:rsidP="00511BF6">
      <w:pPr>
        <w:pStyle w:val="ESch"/>
        <w:rPr>
          <w:rFonts w:cs="Arial"/>
          <w:szCs w:val="20"/>
        </w:rPr>
      </w:pPr>
    </w:p>
    <w:p w:rsidR="00DE4417" w:rsidRPr="00C903F8" w:rsidRDefault="00DE4417" w:rsidP="00511BF6">
      <w:pPr>
        <w:pStyle w:val="ESch"/>
      </w:pPr>
      <w:r>
        <w:t>4.4</w:t>
      </w:r>
      <w:r>
        <w:tab/>
        <w:t>"bordo libero" o "</w:t>
      </w:r>
      <m:oMath>
        <m:r>
          <w:rPr>
            <w:rFonts w:ascii="Cambria Math" w:hAnsi="Cambria Math" w:cs="Arial"/>
            <w:szCs w:val="20"/>
          </w:rPr>
          <m:t>F</m:t>
        </m:r>
      </m:oMath>
      <w:r>
        <w:t>": la distanza fra il piano di massima immersione e il piano parallelo che passa per il punto più basso del trincarino o, in mancanza del trincarino, per il punto più basso del bordo superiore della murata;</w:t>
      </w:r>
    </w:p>
    <w:p w:rsidR="009A1D30" w:rsidRPr="00C903F8" w:rsidRDefault="009A1D30" w:rsidP="00511BF6">
      <w:pPr>
        <w:pStyle w:val="ESch"/>
        <w:rPr>
          <w:rFonts w:cs="Arial"/>
          <w:szCs w:val="20"/>
        </w:rPr>
      </w:pPr>
    </w:p>
    <w:p w:rsidR="00DE4417" w:rsidRPr="00C903F8" w:rsidRDefault="00DE4417" w:rsidP="00511BF6">
      <w:pPr>
        <w:pStyle w:val="ESch"/>
        <w:rPr>
          <w:rFonts w:cs="Arial"/>
          <w:szCs w:val="20"/>
        </w:rPr>
      </w:pPr>
      <w:r>
        <w:t>4.5</w:t>
      </w:r>
      <w:r>
        <w:tab/>
        <w:t>"bordo libero residuo": la distanza di sicurezza verticale disponibile, in caso di sbandamento della nave, fra il livello dell'acqua e la superficie superiore del ponte in corrispondenza del punto più basso della parte immersa o, in mancanza di un ponte, del punto più basso della superficie superiore della murata della nave;</w:t>
      </w:r>
    </w:p>
    <w:p w:rsidR="008D2FD5" w:rsidRPr="00C903F8" w:rsidRDefault="008D2FD5" w:rsidP="00511BF6">
      <w:pPr>
        <w:pStyle w:val="ESch"/>
        <w:rPr>
          <w:rFonts w:cs="Arial"/>
          <w:szCs w:val="20"/>
        </w:rPr>
      </w:pPr>
    </w:p>
    <w:p w:rsidR="00DE4417" w:rsidRPr="00C903F8" w:rsidRDefault="00DE4417" w:rsidP="00511BF6">
      <w:pPr>
        <w:pStyle w:val="ESch"/>
      </w:pPr>
      <w:r>
        <w:t>4.6</w:t>
      </w:r>
      <w:r>
        <w:tab/>
        <w:t>"linea limite": una linea ideale tracciata sul fianco della nave almeno 10 cm al di sotto del ponte di compartimentazione e almeno 10 cm al di sotto del punto non stagno più basso della murata. In mancanza del ponte di compartimentazione, è ammessa una linea tracciata almeno 10 cm al di sotto della linea più bassa fino alla quale il fasciame esterno è stagno;</w:t>
      </w:r>
    </w:p>
    <w:p w:rsidR="009A1D30" w:rsidRPr="00C903F8" w:rsidRDefault="009A1D30" w:rsidP="00511BF6">
      <w:pPr>
        <w:pStyle w:val="ESch"/>
        <w:rPr>
          <w:rFonts w:cs="Arial"/>
          <w:szCs w:val="20"/>
        </w:rPr>
      </w:pPr>
    </w:p>
    <w:p w:rsidR="00DE4417" w:rsidRPr="00C903F8" w:rsidRDefault="00DE4417" w:rsidP="00511BF6">
      <w:pPr>
        <w:pStyle w:val="ESch"/>
      </w:pPr>
      <w:r>
        <w:t>4.7</w:t>
      </w:r>
      <w:r>
        <w:tab/>
        <w:t>"volume d'immersione" o "</w:t>
      </w:r>
      <m:oMath>
        <m:r>
          <w:rPr>
            <w:rFonts w:ascii="Cambria Math" w:hAnsi="Cambria Math" w:cs="Arial"/>
            <w:szCs w:val="20"/>
          </w:rPr>
          <m:t>∀</m:t>
        </m:r>
      </m:oMath>
      <w:r>
        <w:t>": il volume immerso della nave in m</w:t>
      </w:r>
      <w:r>
        <w:rPr>
          <w:sz w:val="22"/>
        </w:rPr>
        <w:t>³</w:t>
      </w:r>
      <w:r>
        <w:t>;</w:t>
      </w:r>
    </w:p>
    <w:p w:rsidR="009A1D30" w:rsidRPr="00C903F8" w:rsidRDefault="009A1D30" w:rsidP="00511BF6">
      <w:pPr>
        <w:pStyle w:val="ESch"/>
        <w:rPr>
          <w:rFonts w:cs="Arial"/>
          <w:szCs w:val="20"/>
        </w:rPr>
      </w:pPr>
    </w:p>
    <w:p w:rsidR="00DE4417" w:rsidRPr="00C903F8" w:rsidRDefault="00DE4417" w:rsidP="00511BF6">
      <w:pPr>
        <w:pStyle w:val="ESch"/>
      </w:pPr>
      <w:r>
        <w:t>4.8</w:t>
      </w:r>
      <w:r>
        <w:tab/>
        <w:t>"dislocamento" o "</w:t>
      </w:r>
      <m:oMath>
        <m:r>
          <w:rPr>
            <w:rFonts w:ascii="Cambria Math" w:hAnsi="Cambria Math" w:cs="Arial"/>
            <w:szCs w:val="20"/>
          </w:rPr>
          <m:t>∆</m:t>
        </m:r>
      </m:oMath>
      <w:r>
        <w:t>":</w:t>
      </w:r>
      <w:r w:rsidR="00A16690">
        <w:t xml:space="preserve"> </w:t>
      </w:r>
      <w:r>
        <w:t>il peso totale della nave, compreso il carico, in t;</w:t>
      </w:r>
    </w:p>
    <w:p w:rsidR="009A1D30" w:rsidRPr="00C903F8" w:rsidRDefault="009A1D30" w:rsidP="00511BF6">
      <w:pPr>
        <w:pStyle w:val="ESch"/>
        <w:rPr>
          <w:rFonts w:cs="Arial"/>
          <w:szCs w:val="20"/>
        </w:rPr>
      </w:pPr>
    </w:p>
    <w:p w:rsidR="00DE4417" w:rsidRPr="00C903F8" w:rsidRDefault="00DE4417" w:rsidP="00511BF6">
      <w:pPr>
        <w:pStyle w:val="ESch"/>
      </w:pPr>
      <w:r>
        <w:t>4.9</w:t>
      </w:r>
      <w:r>
        <w:tab/>
        <w:t>"coefficiente di finezza totale" o "</w:t>
      </w:r>
      <m:oMath>
        <m:sSub>
          <m:sSubPr>
            <m:ctrlPr>
              <w:rPr>
                <w:rFonts w:ascii="Cambria Math" w:hAnsi="Cambria Math" w:cs="Arial"/>
                <w:i/>
                <w:noProof/>
                <w:sz w:val="18"/>
                <w:szCs w:val="18"/>
              </w:rPr>
            </m:ctrlPr>
          </m:sSubPr>
          <m:e>
            <m:r>
              <w:rPr>
                <w:rFonts w:ascii="Cambria Math" w:hAnsi="Cambria Math" w:cs="Arial"/>
                <w:noProof/>
                <w:sz w:val="18"/>
                <w:szCs w:val="18"/>
              </w:rPr>
              <m:t>C</m:t>
            </m:r>
          </m:e>
          <m:sub>
            <m:r>
              <w:rPr>
                <w:rFonts w:ascii="Cambria Math" w:hAnsi="Cambria Math" w:cs="Arial"/>
                <w:noProof/>
                <w:sz w:val="18"/>
                <w:szCs w:val="18"/>
              </w:rPr>
              <m:t>B</m:t>
            </m:r>
          </m:sub>
        </m:sSub>
      </m:oMath>
      <w:r>
        <w:t>": il rapporto fra il volume d'immersione e il prodotto di lunghezza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t>), larghezza (</w:t>
      </w:r>
      <m:oMath>
        <m:sSub>
          <m:sSubPr>
            <m:ctrlPr>
              <w:rPr>
                <w:rFonts w:ascii="Cambria Math" w:hAnsi="Cambria Math" w:cs="Arial"/>
                <w:i/>
                <w:noProof/>
                <w:sz w:val="18"/>
                <w:szCs w:val="18"/>
              </w:rPr>
            </m:ctrlPr>
          </m:sSubPr>
          <m:e>
            <m:r>
              <w:rPr>
                <w:rFonts w:ascii="Cambria Math" w:hAnsi="Cambria Math" w:cs="Arial"/>
                <w:noProof/>
                <w:sz w:val="18"/>
                <w:szCs w:val="18"/>
              </w:rPr>
              <m:t>B</m:t>
            </m:r>
          </m:e>
          <m:sub>
            <m:r>
              <w:rPr>
                <w:rFonts w:ascii="Cambria Math" w:hAnsi="Cambria Math" w:cs="Arial"/>
                <w:noProof/>
                <w:sz w:val="18"/>
                <w:szCs w:val="18"/>
              </w:rPr>
              <m:t>WL</m:t>
            </m:r>
          </m:sub>
        </m:sSub>
      </m:oMath>
      <w:r>
        <w:t>) e immersione T (</w:t>
      </w:r>
      <m:oMath>
        <m:r>
          <w:rPr>
            <w:rFonts w:ascii="Cambria Math" w:hAnsi="Cambria Math" w:cs="Arial"/>
            <w:szCs w:val="20"/>
          </w:rPr>
          <m:t>T</m:t>
        </m:r>
      </m:oMath>
      <w:r>
        <w:t>);</w:t>
      </w:r>
    </w:p>
    <w:p w:rsidR="009A1D30" w:rsidRPr="00C903F8" w:rsidRDefault="009A1D30" w:rsidP="00511BF6">
      <w:pPr>
        <w:pStyle w:val="ESch"/>
        <w:rPr>
          <w:rFonts w:cs="Arial"/>
          <w:szCs w:val="20"/>
        </w:rPr>
      </w:pPr>
    </w:p>
    <w:p w:rsidR="00DE4417" w:rsidRPr="00C903F8" w:rsidRDefault="00DE4417" w:rsidP="00511BF6">
      <w:pPr>
        <w:pStyle w:val="ESch"/>
      </w:pPr>
      <w:r>
        <w:t>4.10</w:t>
      </w:r>
      <w:r>
        <w:tab/>
        <w:t>"superficie laterale al di sopra dell'acqua" o "</w:t>
      </w:r>
      <m:oMath>
        <m:sSub>
          <m:sSubPr>
            <m:ctrlPr>
              <w:rPr>
                <w:rFonts w:ascii="Cambria Math" w:hAnsi="Cambria Math" w:cs="Arial"/>
                <w:i/>
                <w:noProof/>
                <w:sz w:val="18"/>
                <w:szCs w:val="18"/>
              </w:rPr>
            </m:ctrlPr>
          </m:sSubPr>
          <m:e>
            <m:r>
              <w:rPr>
                <w:rFonts w:ascii="Cambria Math" w:hAnsi="Cambria Math" w:cs="Arial"/>
                <w:noProof/>
                <w:sz w:val="18"/>
                <w:szCs w:val="18"/>
              </w:rPr>
              <m:t>A</m:t>
            </m:r>
          </m:e>
          <m:sub>
            <m:r>
              <w:rPr>
                <w:rFonts w:ascii="Cambria Math" w:hAnsi="Cambria Math" w:cs="Arial"/>
                <w:noProof/>
                <w:sz w:val="18"/>
                <w:szCs w:val="18"/>
              </w:rPr>
              <m:t>V</m:t>
            </m:r>
          </m:sub>
        </m:sSub>
      </m:oMath>
      <w:r>
        <w:t>": la superficie laterale della nave al di sopra della linea di galleggiamento in m</w:t>
      </w:r>
      <w:r>
        <w:rPr>
          <w:vertAlign w:val="superscript"/>
        </w:rPr>
        <w:t>2</w:t>
      </w:r>
      <w:r>
        <w:t>;</w:t>
      </w:r>
    </w:p>
    <w:p w:rsidR="009A1D30" w:rsidRPr="00C903F8" w:rsidRDefault="009A1D30" w:rsidP="00511BF6">
      <w:pPr>
        <w:pStyle w:val="ESch"/>
        <w:rPr>
          <w:rFonts w:cs="Arial"/>
          <w:szCs w:val="20"/>
        </w:rPr>
      </w:pPr>
    </w:p>
    <w:p w:rsidR="00DE4417" w:rsidRPr="00C903F8" w:rsidRDefault="00DE4417" w:rsidP="00511BF6">
      <w:pPr>
        <w:pStyle w:val="ESch"/>
      </w:pPr>
      <w:r>
        <w:t>4.11</w:t>
      </w:r>
      <w:r>
        <w:tab/>
        <w:t>"ponte di compartimentazione": il ponte fino a cui arrivano le paratie stagne previste e a partire dal quale si misura il bordo libero;</w:t>
      </w:r>
    </w:p>
    <w:p w:rsidR="009A1D30" w:rsidRPr="00C903F8" w:rsidRDefault="009A1D30" w:rsidP="00511BF6">
      <w:pPr>
        <w:pStyle w:val="ESch"/>
        <w:rPr>
          <w:rFonts w:cs="Arial"/>
          <w:szCs w:val="20"/>
        </w:rPr>
      </w:pPr>
    </w:p>
    <w:p w:rsidR="00DE4417" w:rsidRPr="00C903F8" w:rsidRDefault="00DE4417" w:rsidP="00511BF6">
      <w:pPr>
        <w:pStyle w:val="ESch"/>
      </w:pPr>
      <w:r>
        <w:t>4.12</w:t>
      </w:r>
      <w:r>
        <w:tab/>
        <w:t>"paratia": una parete, generalmente verticale, che serve alla compartimentazione della nave, è delimitata dal fondo della nave, dal fasciame o da altre paratie e raggiunge un'altezza determinata;</w:t>
      </w:r>
    </w:p>
    <w:p w:rsidR="009A1D30" w:rsidRPr="00C903F8" w:rsidRDefault="009A1D30" w:rsidP="00511BF6">
      <w:pPr>
        <w:pStyle w:val="ESch"/>
        <w:rPr>
          <w:rFonts w:cs="Arial"/>
          <w:szCs w:val="20"/>
        </w:rPr>
      </w:pPr>
    </w:p>
    <w:p w:rsidR="00DE4417" w:rsidRPr="00C903F8" w:rsidRDefault="00DE4417" w:rsidP="00511BF6">
      <w:pPr>
        <w:pStyle w:val="ESch"/>
      </w:pPr>
      <w:r>
        <w:t>4.13</w:t>
      </w:r>
      <w:r>
        <w:tab/>
        <w:t>"paratia trasversale": una paratia che va da una murata all'altra;</w:t>
      </w:r>
    </w:p>
    <w:p w:rsidR="009A1D30" w:rsidRPr="00C903F8" w:rsidRDefault="009A1D30" w:rsidP="00511BF6">
      <w:pPr>
        <w:pStyle w:val="ESch"/>
        <w:rPr>
          <w:rFonts w:cs="Arial"/>
          <w:szCs w:val="20"/>
        </w:rPr>
      </w:pPr>
    </w:p>
    <w:p w:rsidR="00DE4417" w:rsidRPr="00C903F8" w:rsidRDefault="00DE4417" w:rsidP="00511BF6">
      <w:pPr>
        <w:pStyle w:val="ESch"/>
      </w:pPr>
      <w:r>
        <w:t>4.14</w:t>
      </w:r>
      <w:r>
        <w:tab/>
        <w:t>"parete": una superficie divisoria, generalmente verticale;</w:t>
      </w:r>
    </w:p>
    <w:p w:rsidR="009A1D30" w:rsidRPr="00C903F8" w:rsidRDefault="009A1D30" w:rsidP="00511BF6">
      <w:pPr>
        <w:pStyle w:val="ESch"/>
        <w:rPr>
          <w:rFonts w:cs="Arial"/>
          <w:szCs w:val="20"/>
        </w:rPr>
      </w:pPr>
    </w:p>
    <w:p w:rsidR="00DE4417" w:rsidRPr="00C903F8" w:rsidRDefault="00DE4417" w:rsidP="00511BF6">
      <w:pPr>
        <w:pStyle w:val="ESch"/>
      </w:pPr>
      <w:r>
        <w:t>4.15</w:t>
      </w:r>
      <w:r>
        <w:tab/>
        <w:t>"paratia divisoria": una parete non stagna all'acqua;</w:t>
      </w:r>
    </w:p>
    <w:p w:rsidR="009A1D30" w:rsidRPr="00C903F8" w:rsidRDefault="009A1D30" w:rsidP="00511BF6">
      <w:pPr>
        <w:pStyle w:val="ESch"/>
        <w:rPr>
          <w:rFonts w:cs="Arial"/>
          <w:szCs w:val="20"/>
        </w:rPr>
      </w:pPr>
    </w:p>
    <w:p w:rsidR="00DE4417" w:rsidRPr="00C903F8" w:rsidRDefault="00DE4417" w:rsidP="00511BF6">
      <w:pPr>
        <w:pStyle w:val="ESch"/>
      </w:pPr>
      <w:r>
        <w:t>4.16</w:t>
      </w:r>
      <w:r>
        <w:tab/>
        <w:t>"lunghezza" o "</w:t>
      </w:r>
      <m:oMath>
        <m:r>
          <w:rPr>
            <w:rFonts w:ascii="Cambria Math" w:hAnsi="Cambria Math" w:cs="Arial"/>
            <w:szCs w:val="20"/>
          </w:rPr>
          <m:t>L</m:t>
        </m:r>
      </m:oMath>
      <w:r>
        <w:t>": la lunghezza massima dello scafo in m, esclusi il timone e il bompresso;</w:t>
      </w:r>
    </w:p>
    <w:p w:rsidR="009A1D30" w:rsidRDefault="009A1D30" w:rsidP="00511BF6">
      <w:pPr>
        <w:pStyle w:val="ESch"/>
        <w:rPr>
          <w:rFonts w:cs="Arial"/>
          <w:szCs w:val="20"/>
        </w:rPr>
      </w:pPr>
    </w:p>
    <w:p w:rsidR="008D24FF" w:rsidRDefault="008D24FF">
      <w:pPr>
        <w:autoSpaceDE/>
        <w:autoSpaceDN/>
        <w:ind w:left="0" w:firstLine="0"/>
        <w:jc w:val="left"/>
        <w:rPr>
          <w:rFonts w:cs="Arial"/>
          <w:szCs w:val="20"/>
        </w:rPr>
      </w:pPr>
      <w:r>
        <w:br w:type="page"/>
      </w:r>
    </w:p>
    <w:p w:rsidR="008D24FF" w:rsidRPr="00C903F8" w:rsidRDefault="008D24FF" w:rsidP="00511BF6">
      <w:pPr>
        <w:pStyle w:val="ESch"/>
        <w:rPr>
          <w:rFonts w:cs="Arial"/>
          <w:szCs w:val="20"/>
        </w:rPr>
      </w:pPr>
    </w:p>
    <w:p w:rsidR="00DE4417" w:rsidRPr="00C903F8" w:rsidRDefault="00DE4417" w:rsidP="00511BF6">
      <w:pPr>
        <w:pStyle w:val="ESch"/>
      </w:pPr>
      <w:r>
        <w:t>4.17</w:t>
      </w:r>
      <w:r>
        <w:tab/>
        <w:t>"lunghezza fuori tutto" o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OA</m:t>
            </m:r>
          </m:sub>
        </m:sSub>
      </m:oMath>
      <w:r>
        <w:t>": la lunghezza massima dell'imbarcazione in m, comprese tutte le installazioni fisse, come alcune parti dell'apparato di governo o dell'apparato di propulsione, dispositivi meccanici e simili;</w:t>
      </w:r>
    </w:p>
    <w:p w:rsidR="009A1D30" w:rsidRPr="00C903F8" w:rsidRDefault="009A1D30" w:rsidP="00511BF6">
      <w:pPr>
        <w:pStyle w:val="ESch"/>
        <w:rPr>
          <w:rFonts w:cs="Arial"/>
          <w:szCs w:val="20"/>
        </w:rPr>
      </w:pPr>
    </w:p>
    <w:p w:rsidR="00DE4417" w:rsidRPr="00C903F8" w:rsidRDefault="00DE4417" w:rsidP="00511BF6">
      <w:pPr>
        <w:pStyle w:val="ESch"/>
      </w:pPr>
      <w:r>
        <w:t>4.18</w:t>
      </w:r>
      <w:r>
        <w:tab/>
        <w:t>"lunghezza al galleggiamento" o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t>": la lunghezza dello scafo in m, misurata al livello di galleggiamento massimo della nave;</w:t>
      </w:r>
    </w:p>
    <w:p w:rsidR="009A1D30" w:rsidRPr="00C903F8" w:rsidRDefault="009A1D30" w:rsidP="00511BF6">
      <w:pPr>
        <w:pStyle w:val="ESch"/>
        <w:rPr>
          <w:rFonts w:cs="Arial"/>
          <w:szCs w:val="20"/>
        </w:rPr>
      </w:pPr>
    </w:p>
    <w:p w:rsidR="00DE4417" w:rsidRPr="00C903F8" w:rsidRDefault="00DE4417" w:rsidP="00511BF6">
      <w:pPr>
        <w:pStyle w:val="ESch"/>
      </w:pPr>
      <w:r>
        <w:t>4.19</w:t>
      </w:r>
      <w:r>
        <w:tab/>
        <w:t>"larghezza" o "</w:t>
      </w:r>
      <m:oMath>
        <m:r>
          <w:rPr>
            <w:rFonts w:ascii="Cambria Math" w:hAnsi="Cambria Math" w:cs="Arial"/>
            <w:szCs w:val="20"/>
          </w:rPr>
          <m:t>B</m:t>
        </m:r>
      </m:oMath>
      <w:r>
        <w:t>": la larghezza massima dello scafo in m, misurata esternamente al fasciame (esclusi ruote a pale, parabordi fissi, e simili);</w:t>
      </w:r>
    </w:p>
    <w:p w:rsidR="009A1D30" w:rsidRPr="00C903F8" w:rsidRDefault="009A1D30" w:rsidP="00511BF6">
      <w:pPr>
        <w:pStyle w:val="ESch"/>
        <w:rPr>
          <w:rFonts w:cs="Arial"/>
          <w:szCs w:val="20"/>
        </w:rPr>
      </w:pPr>
    </w:p>
    <w:p w:rsidR="00DE4417" w:rsidRPr="00C903F8" w:rsidRDefault="00DE4417" w:rsidP="00511BF6">
      <w:pPr>
        <w:pStyle w:val="ESch"/>
      </w:pPr>
      <w:r>
        <w:t>4.20</w:t>
      </w:r>
      <w:r>
        <w:tab/>
        <w:t>"larghezza fuori tutto" o "</w:t>
      </w:r>
      <m:oMath>
        <m:sSub>
          <m:sSubPr>
            <m:ctrlPr>
              <w:rPr>
                <w:rFonts w:ascii="Cambria Math" w:hAnsi="Cambria Math" w:cs="Arial"/>
                <w:i/>
                <w:noProof/>
                <w:sz w:val="18"/>
                <w:szCs w:val="18"/>
              </w:rPr>
            </m:ctrlPr>
          </m:sSubPr>
          <m:e>
            <m:r>
              <w:rPr>
                <w:rFonts w:ascii="Cambria Math" w:hAnsi="Cambria Math" w:cs="Arial"/>
                <w:noProof/>
                <w:sz w:val="18"/>
                <w:szCs w:val="18"/>
              </w:rPr>
              <m:t>B</m:t>
            </m:r>
          </m:e>
          <m:sub>
            <m:r>
              <w:rPr>
                <w:rFonts w:ascii="Cambria Math" w:hAnsi="Cambria Math" w:cs="Arial"/>
                <w:noProof/>
                <w:sz w:val="18"/>
                <w:szCs w:val="18"/>
              </w:rPr>
              <m:t>OA</m:t>
            </m:r>
          </m:sub>
        </m:sSub>
      </m:oMath>
      <w:r>
        <w:t>": la larghezza massima dell'imbarcazione in m, compresi tutti gli impianti fissi, come ruote a pale, parabordi, dispositivi meccanici e simili;</w:t>
      </w:r>
    </w:p>
    <w:p w:rsidR="009A1D30" w:rsidRPr="00C903F8" w:rsidRDefault="009A1D30" w:rsidP="00511BF6">
      <w:pPr>
        <w:pStyle w:val="ESch"/>
        <w:rPr>
          <w:rFonts w:cs="Arial"/>
          <w:szCs w:val="20"/>
        </w:rPr>
      </w:pPr>
    </w:p>
    <w:p w:rsidR="00DE4417" w:rsidRPr="00C903F8" w:rsidRDefault="00DE4417" w:rsidP="00511BF6">
      <w:pPr>
        <w:pStyle w:val="ESch"/>
      </w:pPr>
      <w:r>
        <w:t>4.21</w:t>
      </w:r>
      <w:r>
        <w:tab/>
        <w:t>"larghezza al galleggiamento" o "</w:t>
      </w:r>
      <m:oMath>
        <m:sSub>
          <m:sSubPr>
            <m:ctrlPr>
              <w:rPr>
                <w:rFonts w:ascii="Cambria Math" w:hAnsi="Cambria Math" w:cs="Arial"/>
                <w:i/>
                <w:noProof/>
                <w:sz w:val="18"/>
                <w:szCs w:val="18"/>
              </w:rPr>
            </m:ctrlPr>
          </m:sSubPr>
          <m:e>
            <m:r>
              <w:rPr>
                <w:rFonts w:ascii="Cambria Math" w:hAnsi="Cambria Math" w:cs="Arial"/>
                <w:noProof/>
                <w:sz w:val="18"/>
                <w:szCs w:val="18"/>
              </w:rPr>
              <m:t>B</m:t>
            </m:r>
          </m:e>
          <m:sub>
            <m:r>
              <w:rPr>
                <w:rFonts w:ascii="Cambria Math" w:hAnsi="Cambria Math" w:cs="Arial"/>
                <w:noProof/>
                <w:sz w:val="18"/>
                <w:szCs w:val="18"/>
              </w:rPr>
              <m:t>WL</m:t>
            </m:r>
          </m:sub>
        </m:sSub>
      </m:oMath>
      <w:r>
        <w:t>": la larghezza dello scafo in m, misurata esternamente al fasciame delle fiancate sulla linea di massima immersione;</w:t>
      </w:r>
    </w:p>
    <w:p w:rsidR="009A1D30" w:rsidRPr="00C903F8" w:rsidRDefault="009A1D30" w:rsidP="00511BF6">
      <w:pPr>
        <w:pStyle w:val="ESch"/>
        <w:rPr>
          <w:rFonts w:cs="Arial"/>
          <w:szCs w:val="20"/>
        </w:rPr>
      </w:pPr>
    </w:p>
    <w:p w:rsidR="00DE4417" w:rsidRPr="00C903F8" w:rsidRDefault="00DE4417" w:rsidP="00511BF6">
      <w:pPr>
        <w:pStyle w:val="ESch"/>
        <w:rPr>
          <w:rFonts w:cs="Arial"/>
          <w:szCs w:val="20"/>
        </w:rPr>
      </w:pPr>
      <w:r>
        <w:t>4.22</w:t>
      </w:r>
      <w:r>
        <w:tab/>
        <w:t>"altezza" o "</w:t>
      </w:r>
      <m:oMath>
        <m:r>
          <w:rPr>
            <w:rFonts w:ascii="Cambria Math" w:hAnsi="Cambria Math" w:cs="Arial"/>
            <w:szCs w:val="20"/>
          </w:rPr>
          <m:t>H</m:t>
        </m:r>
      </m:oMath>
      <w:r>
        <w:t>": la distanza verticale minore in m, fra il punto più basso dello scafo o della chiglia e il punto più basso del ponte sulla murata della nave;</w:t>
      </w:r>
    </w:p>
    <w:p w:rsidR="009A1D30" w:rsidRPr="00C903F8" w:rsidRDefault="009A1D30" w:rsidP="00511BF6">
      <w:pPr>
        <w:pStyle w:val="ESch"/>
        <w:rPr>
          <w:rFonts w:cs="Arial"/>
          <w:szCs w:val="20"/>
        </w:rPr>
      </w:pPr>
    </w:p>
    <w:p w:rsidR="00DE4417" w:rsidRPr="00C903F8" w:rsidRDefault="00DE4417" w:rsidP="00511BF6">
      <w:pPr>
        <w:pStyle w:val="ESch"/>
      </w:pPr>
      <w:r>
        <w:t>4.23</w:t>
      </w:r>
      <w:r>
        <w:tab/>
        <w:t>"immersione" o "</w:t>
      </w:r>
      <m:oMath>
        <m:r>
          <w:rPr>
            <w:rFonts w:ascii="Cambria Math" w:hAnsi="Cambria Math" w:cs="Arial"/>
            <w:szCs w:val="20"/>
          </w:rPr>
          <m:t>T</m:t>
        </m:r>
      </m:oMath>
      <w:r>
        <w:t>": la distanza verticale (in m) fra il punto più basso dello scafo, esclusa la chiglia o altri attacchi fissi, e la linea di massima immersione;</w:t>
      </w:r>
    </w:p>
    <w:p w:rsidR="009A1D30" w:rsidRPr="00C903F8" w:rsidRDefault="009A1D30" w:rsidP="00511BF6">
      <w:pPr>
        <w:pStyle w:val="ESch"/>
        <w:rPr>
          <w:rFonts w:cs="Arial"/>
          <w:szCs w:val="20"/>
        </w:rPr>
      </w:pPr>
    </w:p>
    <w:p w:rsidR="00DE4417" w:rsidRPr="00C903F8" w:rsidRDefault="00DE4417" w:rsidP="00511BF6">
      <w:pPr>
        <w:pStyle w:val="ESch"/>
      </w:pPr>
      <w:r>
        <w:t>4.24</w:t>
      </w:r>
      <w:r>
        <w:tab/>
        <w:t>"immersione fuori tutto" p "</w:t>
      </w:r>
      <m:oMath>
        <m:sSub>
          <m:sSubPr>
            <m:ctrlPr>
              <w:rPr>
                <w:rFonts w:ascii="Cambria Math" w:hAnsi="Cambria Math" w:cs="Arial"/>
                <w:i/>
                <w:noProof/>
                <w:sz w:val="18"/>
                <w:szCs w:val="18"/>
              </w:rPr>
            </m:ctrlPr>
          </m:sSubPr>
          <m:e>
            <m:r>
              <w:rPr>
                <w:rFonts w:ascii="Cambria Math" w:hAnsi="Cambria Math" w:cs="Arial"/>
                <w:noProof/>
                <w:sz w:val="18"/>
                <w:szCs w:val="18"/>
              </w:rPr>
              <m:t>T</m:t>
            </m:r>
          </m:e>
          <m:sub>
            <m:r>
              <w:rPr>
                <w:rFonts w:ascii="Cambria Math" w:hAnsi="Cambria Math" w:cs="Arial"/>
                <w:noProof/>
                <w:sz w:val="18"/>
                <w:szCs w:val="18"/>
              </w:rPr>
              <m:t>OA</m:t>
            </m:r>
          </m:sub>
        </m:sSub>
      </m:oMath>
      <w:r>
        <w:t>": la distanza verticale (in m) fra il punto più basso dello scafo, compresa la chiglia o altri attacchi fissi, e la linea di massima immersione;</w:t>
      </w:r>
    </w:p>
    <w:p w:rsidR="009A1D30" w:rsidRPr="00C903F8" w:rsidRDefault="009A1D30" w:rsidP="00511BF6">
      <w:pPr>
        <w:pStyle w:val="ESch"/>
        <w:rPr>
          <w:rFonts w:cs="Arial"/>
          <w:szCs w:val="20"/>
        </w:rPr>
      </w:pPr>
    </w:p>
    <w:p w:rsidR="00DE4417" w:rsidRPr="00C903F8" w:rsidRDefault="00DE4417" w:rsidP="00511BF6">
      <w:pPr>
        <w:pStyle w:val="ESch"/>
      </w:pPr>
      <w:r>
        <w:t>4.25</w:t>
      </w:r>
      <w:r>
        <w:tab/>
        <w:t>"perpendicolare avanti": la verticale alla faccia prodiera dell'intersezione dello scafo con la linea di massima immersione;</w:t>
      </w:r>
    </w:p>
    <w:p w:rsidR="009A1D30" w:rsidRPr="00C903F8" w:rsidRDefault="009A1D30" w:rsidP="00511BF6">
      <w:pPr>
        <w:pStyle w:val="ESch"/>
        <w:rPr>
          <w:rFonts w:cs="Arial"/>
          <w:szCs w:val="20"/>
        </w:rPr>
      </w:pPr>
    </w:p>
    <w:p w:rsidR="00DE4417" w:rsidRPr="00C903F8" w:rsidRDefault="00DE4417" w:rsidP="00511BF6">
      <w:pPr>
        <w:pStyle w:val="ESch"/>
      </w:pPr>
      <w:r>
        <w:t>4.26</w:t>
      </w:r>
      <w:r>
        <w:tab/>
        <w:t>"ampiezza libera del ponte laterale": la distanza fra la verticale passante per l'elemento più sporgente della mastra del boccaporto sul ponte laterale e la verticale passante per il bordo interno della protezione contro il rischio di scivolamento (guardacorpo, guardapiedi) sul lato esterno del ponte laterale.</w:t>
      </w:r>
    </w:p>
    <w:p w:rsidR="009A1D30" w:rsidRPr="00C903F8" w:rsidRDefault="009A1D30" w:rsidP="00511BF6">
      <w:pPr>
        <w:pStyle w:val="ESch"/>
        <w:rPr>
          <w:rFonts w:cs="Arial"/>
          <w:szCs w:val="20"/>
        </w:rPr>
      </w:pPr>
    </w:p>
    <w:p w:rsidR="00850AFF" w:rsidRPr="00C903F8" w:rsidRDefault="00850AFF" w:rsidP="00511BF6">
      <w:pPr>
        <w:pStyle w:val="ESch"/>
        <w:rPr>
          <w:rFonts w:cs="Arial"/>
          <w:szCs w:val="20"/>
        </w:rPr>
      </w:pPr>
    </w:p>
    <w:p w:rsidR="00DE4417" w:rsidRPr="00C903F8" w:rsidRDefault="00DE4417" w:rsidP="00511BF6">
      <w:pPr>
        <w:pStyle w:val="ESch"/>
      </w:pPr>
      <w:r>
        <w:rPr>
          <w:b/>
        </w:rPr>
        <w:t>5.</w:t>
      </w:r>
      <w:r>
        <w:tab/>
      </w:r>
      <w:r>
        <w:rPr>
          <w:b/>
        </w:rPr>
        <w:t>Apparato di governo</w:t>
      </w:r>
    </w:p>
    <w:p w:rsidR="009A1D30" w:rsidRPr="00C903F8" w:rsidRDefault="009A1D30" w:rsidP="00511BF6">
      <w:pPr>
        <w:pStyle w:val="ESch"/>
        <w:rPr>
          <w:rFonts w:cs="Arial"/>
          <w:szCs w:val="20"/>
        </w:rPr>
      </w:pPr>
    </w:p>
    <w:p w:rsidR="00DE4417" w:rsidRPr="00C903F8" w:rsidRDefault="00DE4417" w:rsidP="00511BF6">
      <w:pPr>
        <w:pStyle w:val="ESch"/>
      </w:pPr>
      <w:r>
        <w:t>5.1</w:t>
      </w:r>
      <w:r>
        <w:tab/>
        <w:t>"apparati di governo": tutte le attrezzature necessarie al governo della nave che sono richieste per ottenere la manovrabilità prevista al capo 5 della presente direttiva;</w:t>
      </w:r>
    </w:p>
    <w:p w:rsidR="009A1D30" w:rsidRPr="00C903F8" w:rsidRDefault="009A1D30" w:rsidP="00511BF6">
      <w:pPr>
        <w:pStyle w:val="ESch"/>
        <w:rPr>
          <w:rFonts w:cs="Arial"/>
          <w:szCs w:val="20"/>
        </w:rPr>
      </w:pPr>
    </w:p>
    <w:p w:rsidR="00DE4417" w:rsidRPr="00C903F8" w:rsidRDefault="00DE4417" w:rsidP="00511BF6">
      <w:pPr>
        <w:pStyle w:val="ESch"/>
      </w:pPr>
      <w:r>
        <w:t>5.2</w:t>
      </w:r>
      <w:r>
        <w:tab/>
        <w:t>"timone": il timone o i timoni provvisti di asse, compresi il settore e i collegamenti con il mezzo di governo;</w:t>
      </w:r>
    </w:p>
    <w:p w:rsidR="009A1D30" w:rsidRPr="00C903F8" w:rsidRDefault="009A1D30" w:rsidP="00511BF6">
      <w:pPr>
        <w:pStyle w:val="ESch"/>
        <w:rPr>
          <w:rFonts w:cs="Arial"/>
          <w:szCs w:val="20"/>
        </w:rPr>
      </w:pPr>
    </w:p>
    <w:p w:rsidR="00DE4417" w:rsidRPr="00C903F8" w:rsidRDefault="00DE4417" w:rsidP="00511BF6">
      <w:pPr>
        <w:pStyle w:val="ESch"/>
      </w:pPr>
      <w:r>
        <w:t>5.3</w:t>
      </w:r>
      <w:r>
        <w:tab/>
        <w:t>"mezzo di governo": la parte dell'apparato di governo che produce il movimento del timone;</w:t>
      </w:r>
    </w:p>
    <w:p w:rsidR="009A1D30" w:rsidRPr="00C903F8" w:rsidRDefault="009A1D30" w:rsidP="00511BF6">
      <w:pPr>
        <w:pStyle w:val="ESch"/>
        <w:rPr>
          <w:rFonts w:cs="Arial"/>
          <w:szCs w:val="20"/>
        </w:rPr>
      </w:pPr>
    </w:p>
    <w:p w:rsidR="00DE4417" w:rsidRPr="00C903F8" w:rsidRDefault="00DE4417" w:rsidP="00511BF6">
      <w:pPr>
        <w:pStyle w:val="ESch"/>
      </w:pPr>
      <w:r>
        <w:t>5.4</w:t>
      </w:r>
      <w:r>
        <w:tab/>
        <w:t>"dispositivo di azionamento": il comando del mezzo di governo, posto fra la fonte d'energia e il mezzo di governo;</w:t>
      </w:r>
    </w:p>
    <w:p w:rsidR="009A1D30" w:rsidRPr="00C903F8" w:rsidRDefault="009A1D30" w:rsidP="00511BF6">
      <w:pPr>
        <w:pStyle w:val="ESch"/>
        <w:rPr>
          <w:rFonts w:cs="Arial"/>
          <w:szCs w:val="20"/>
        </w:rPr>
      </w:pPr>
    </w:p>
    <w:p w:rsidR="00DE4417" w:rsidRPr="00C903F8" w:rsidRDefault="00DE4417" w:rsidP="00511BF6">
      <w:pPr>
        <w:pStyle w:val="ESch"/>
      </w:pPr>
      <w:r>
        <w:t>5.5</w:t>
      </w:r>
      <w:r>
        <w:tab/>
        <w:t>(Senza oggetto)</w:t>
      </w:r>
    </w:p>
    <w:p w:rsidR="009A1D30" w:rsidRPr="00C903F8" w:rsidRDefault="009A1D30" w:rsidP="00511BF6">
      <w:pPr>
        <w:pStyle w:val="ESch"/>
        <w:rPr>
          <w:rFonts w:cs="Arial"/>
          <w:szCs w:val="20"/>
        </w:rPr>
      </w:pPr>
    </w:p>
    <w:p w:rsidR="00DE4417" w:rsidRPr="00C903F8" w:rsidRDefault="00DE4417" w:rsidP="00511BF6">
      <w:pPr>
        <w:pStyle w:val="ESch"/>
      </w:pPr>
      <w:r>
        <w:t>5.6</w:t>
      </w:r>
      <w:r>
        <w:tab/>
        <w:t>"comando di governo": i componenti e i circuiti relativi all'azionamento di un comando di governo a motore;</w:t>
      </w:r>
    </w:p>
    <w:p w:rsidR="009A1D30" w:rsidRDefault="009A1D30" w:rsidP="00511BF6">
      <w:pPr>
        <w:pStyle w:val="ESch"/>
        <w:rPr>
          <w:rFonts w:cs="Arial"/>
          <w:szCs w:val="20"/>
        </w:rPr>
      </w:pPr>
    </w:p>
    <w:p w:rsidR="008D24FF" w:rsidRDefault="008D24FF">
      <w:pPr>
        <w:autoSpaceDE/>
        <w:autoSpaceDN/>
        <w:ind w:left="0" w:firstLine="0"/>
        <w:jc w:val="left"/>
        <w:rPr>
          <w:rFonts w:cs="Arial"/>
          <w:szCs w:val="20"/>
        </w:rPr>
      </w:pPr>
      <w:r>
        <w:br w:type="page"/>
      </w:r>
    </w:p>
    <w:p w:rsidR="008D24FF" w:rsidRPr="00C903F8" w:rsidRDefault="008D24FF" w:rsidP="00511BF6">
      <w:pPr>
        <w:pStyle w:val="ESch"/>
        <w:rPr>
          <w:rFonts w:cs="Arial"/>
          <w:szCs w:val="20"/>
        </w:rPr>
      </w:pPr>
    </w:p>
    <w:p w:rsidR="00DE4417" w:rsidRPr="00C903F8" w:rsidRDefault="00DE4417" w:rsidP="00511BF6">
      <w:pPr>
        <w:pStyle w:val="ESch"/>
      </w:pPr>
      <w:r>
        <w:t>5.7</w:t>
      </w:r>
      <w:r>
        <w:tab/>
        <w:t>"dispositivo di azionamento del mezzo di governo": il comando, il dispositivo di azionamento e la fonte d'energia del mezzo di governo;</w:t>
      </w:r>
    </w:p>
    <w:p w:rsidR="009A1D30" w:rsidRPr="00C903F8" w:rsidRDefault="009A1D30" w:rsidP="00511BF6">
      <w:pPr>
        <w:pStyle w:val="ESch"/>
        <w:rPr>
          <w:rFonts w:cs="Arial"/>
          <w:szCs w:val="20"/>
        </w:rPr>
      </w:pPr>
    </w:p>
    <w:p w:rsidR="00DE4417" w:rsidRPr="00C903F8" w:rsidRDefault="00DE4417" w:rsidP="00511BF6">
      <w:pPr>
        <w:pStyle w:val="ESch"/>
      </w:pPr>
      <w:r>
        <w:t>5.8</w:t>
      </w:r>
      <w:r>
        <w:tab/>
        <w:t>"azionamento manuale": un comando in cui l'azionamento della ruota del timone muove lo stesso per trasmissione meccanica e senza l'intervento di una fonte d'energia complementare;</w:t>
      </w:r>
    </w:p>
    <w:p w:rsidR="009A1D30" w:rsidRPr="00C903F8" w:rsidRDefault="009A1D30" w:rsidP="00511BF6">
      <w:pPr>
        <w:pStyle w:val="ESch"/>
        <w:rPr>
          <w:rFonts w:cs="Arial"/>
          <w:szCs w:val="20"/>
        </w:rPr>
      </w:pPr>
    </w:p>
    <w:p w:rsidR="00DE4417" w:rsidRPr="00C903F8" w:rsidRDefault="00DE4417" w:rsidP="00511BF6">
      <w:pPr>
        <w:pStyle w:val="ESch"/>
      </w:pPr>
      <w:r>
        <w:t>5.9</w:t>
      </w:r>
      <w:r>
        <w:tab/>
        <w:t>"azionamento manuale idraulico": un comando manuale che aziona una trasmissione idraulica;</w:t>
      </w:r>
    </w:p>
    <w:p w:rsidR="009A1D30" w:rsidRPr="00C903F8" w:rsidRDefault="009A1D30" w:rsidP="00511BF6">
      <w:pPr>
        <w:pStyle w:val="ESch"/>
        <w:rPr>
          <w:rFonts w:cs="Arial"/>
          <w:szCs w:val="20"/>
        </w:rPr>
      </w:pPr>
    </w:p>
    <w:p w:rsidR="00DE4417" w:rsidRPr="00C903F8" w:rsidRDefault="00DE4417" w:rsidP="00511BF6">
      <w:pPr>
        <w:pStyle w:val="ESch"/>
      </w:pPr>
      <w:r>
        <w:t>5.10</w:t>
      </w:r>
      <w:r>
        <w:tab/>
        <w:t>"regolatore di velocità di accostata": un impianto che fa raggiungere e mantenere automaticamente alla nave una determinata velocità di accostata secondo valori precedentemente stabiliti;</w:t>
      </w:r>
    </w:p>
    <w:p w:rsidR="009A1D30" w:rsidRPr="00C903F8" w:rsidRDefault="009A1D30" w:rsidP="00511BF6">
      <w:pPr>
        <w:pStyle w:val="ESch"/>
        <w:rPr>
          <w:rFonts w:cs="Arial"/>
          <w:szCs w:val="20"/>
        </w:rPr>
      </w:pPr>
    </w:p>
    <w:p w:rsidR="00DE4417" w:rsidRPr="00C903F8" w:rsidRDefault="00DE4417" w:rsidP="00511BF6">
      <w:pPr>
        <w:pStyle w:val="ESch"/>
      </w:pPr>
      <w:r>
        <w:t>5.11</w:t>
      </w:r>
      <w:r>
        <w:tab/>
        <w:t>"timoneria attrezzata per la navigazione con radar da parte di una sola persona": una timoneria adattata in maniera tale che durante la navigazione con radar la nave possa essere governata da una sola persona.</w:t>
      </w:r>
    </w:p>
    <w:p w:rsidR="009A1D30" w:rsidRDefault="009A1D30" w:rsidP="008D24FF">
      <w:pPr>
        <w:pStyle w:val="ESch"/>
      </w:pPr>
    </w:p>
    <w:p w:rsidR="008D24FF" w:rsidRPr="00C903F8" w:rsidRDefault="008D24FF" w:rsidP="008D24FF">
      <w:pPr>
        <w:pStyle w:val="ESch"/>
      </w:pPr>
    </w:p>
    <w:p w:rsidR="00DE4417" w:rsidRPr="00C903F8" w:rsidRDefault="00DE4417" w:rsidP="00511BF6">
      <w:pPr>
        <w:pStyle w:val="ESch"/>
        <w:rPr>
          <w:b/>
        </w:rPr>
      </w:pPr>
      <w:r>
        <w:rPr>
          <w:b/>
        </w:rPr>
        <w:t>6.</w:t>
      </w:r>
      <w:r>
        <w:tab/>
      </w:r>
      <w:r>
        <w:rPr>
          <w:b/>
        </w:rPr>
        <w:t>Proprietà di alcune componenti strutturali e di alcuni materiali:</w:t>
      </w:r>
    </w:p>
    <w:p w:rsidR="009A1D30" w:rsidRPr="00C903F8" w:rsidRDefault="009A1D30" w:rsidP="00511BF6">
      <w:pPr>
        <w:pStyle w:val="ESch"/>
        <w:rPr>
          <w:rFonts w:cs="Arial"/>
          <w:szCs w:val="20"/>
        </w:rPr>
      </w:pPr>
    </w:p>
    <w:p w:rsidR="00DE4417" w:rsidRPr="00C903F8" w:rsidRDefault="00DE4417" w:rsidP="00511BF6">
      <w:pPr>
        <w:pStyle w:val="ESch"/>
      </w:pPr>
      <w:r>
        <w:t>6.1</w:t>
      </w:r>
      <w:r>
        <w:tab/>
        <w:t>"stagno all'acqua": un elemento strutturale o un dispositivo atto ad impedire la penetrazione dell'acqua;</w:t>
      </w:r>
    </w:p>
    <w:p w:rsidR="009A1D30" w:rsidRPr="00C903F8" w:rsidRDefault="009A1D30" w:rsidP="00511BF6">
      <w:pPr>
        <w:pStyle w:val="ESch"/>
        <w:rPr>
          <w:rFonts w:cs="Arial"/>
          <w:szCs w:val="20"/>
        </w:rPr>
      </w:pPr>
    </w:p>
    <w:p w:rsidR="00DE4417" w:rsidRPr="00C903F8" w:rsidRDefault="00DE4417" w:rsidP="00511BF6">
      <w:pPr>
        <w:pStyle w:val="ESch"/>
      </w:pPr>
      <w:r>
        <w:t>6.2</w:t>
      </w:r>
      <w:r>
        <w:tab/>
        <w:t>"stagno agli spruzzi e alle intemperie": un elemento strutturale o un dispositivo atto a lasciar passare, in condizioni normali, solo una quantità d'acqua irrilevante;</w:t>
      </w:r>
    </w:p>
    <w:p w:rsidR="009A1D30" w:rsidRPr="00C903F8" w:rsidRDefault="009A1D30" w:rsidP="00511BF6">
      <w:pPr>
        <w:pStyle w:val="ESch"/>
        <w:rPr>
          <w:rFonts w:cs="Arial"/>
          <w:szCs w:val="20"/>
        </w:rPr>
      </w:pPr>
    </w:p>
    <w:p w:rsidR="00DE4417" w:rsidRPr="00C903F8" w:rsidRDefault="00DE4417" w:rsidP="00511BF6">
      <w:pPr>
        <w:pStyle w:val="ESch"/>
      </w:pPr>
      <w:r>
        <w:t>6.3</w:t>
      </w:r>
      <w:r>
        <w:tab/>
        <w:t>"stagno al gas": un elemento strutturale o un dispositivo atto ad impedire la penetrazione di gas o vapori;</w:t>
      </w:r>
    </w:p>
    <w:p w:rsidR="009A1D30" w:rsidRPr="00C903F8" w:rsidRDefault="009A1D30" w:rsidP="00511BF6">
      <w:pPr>
        <w:pStyle w:val="ESch"/>
        <w:rPr>
          <w:rFonts w:cs="Arial"/>
          <w:szCs w:val="20"/>
        </w:rPr>
      </w:pPr>
    </w:p>
    <w:p w:rsidR="00DE4417" w:rsidRPr="00C903F8" w:rsidRDefault="00DE4417" w:rsidP="00511BF6">
      <w:pPr>
        <w:pStyle w:val="ESch"/>
      </w:pPr>
      <w:r>
        <w:t>6.4</w:t>
      </w:r>
      <w:r>
        <w:tab/>
        <w:t>"non combustibile": una sostanza che non brucia né produce vapori infiammabili in quantità tali da infiammarsi spontaneamente se portata a una temperatura di circa 750 °C;</w:t>
      </w:r>
    </w:p>
    <w:p w:rsidR="009A1D30" w:rsidRPr="00C903F8" w:rsidRDefault="009A1D30" w:rsidP="00511BF6">
      <w:pPr>
        <w:pStyle w:val="ESch"/>
        <w:rPr>
          <w:rFonts w:cs="Arial"/>
          <w:szCs w:val="20"/>
        </w:rPr>
      </w:pPr>
    </w:p>
    <w:p w:rsidR="00DE4417" w:rsidRPr="00C903F8" w:rsidRDefault="00DE4417" w:rsidP="00511BF6">
      <w:pPr>
        <w:pStyle w:val="ESch"/>
      </w:pPr>
      <w:r>
        <w:t>6.5</w:t>
      </w:r>
      <w:r>
        <w:tab/>
        <w:t>"ad infiammabilità ritardata": un materiale che difficilmente prende fuoco o del quale almeno la superficie limita il propagarsi delle fiamme in conformità della procedura di cui all'articolo 19.11, paragrafo 1, lettera c);</w:t>
      </w:r>
    </w:p>
    <w:p w:rsidR="009A1D30" w:rsidRPr="00C903F8" w:rsidRDefault="009A1D30" w:rsidP="00511BF6">
      <w:pPr>
        <w:pStyle w:val="ESch"/>
        <w:rPr>
          <w:rFonts w:cs="Arial"/>
          <w:szCs w:val="20"/>
        </w:rPr>
      </w:pPr>
    </w:p>
    <w:p w:rsidR="00BF3595" w:rsidRPr="008F6ABB" w:rsidRDefault="00BF3595" w:rsidP="00BF3595">
      <w:pPr>
        <w:pStyle w:val="ESch"/>
      </w:pPr>
      <w:r>
        <w:t>6.6</w:t>
      </w:r>
      <w:r>
        <w:tab/>
        <w:t>"autoestinguente": la caratteristica, di una sostanza che brucia, di estinguere le fiamme autonomamente entro un breve periodo una volta rimossa la sorgente di accensione, ossia smette di bruciare rimuovendo detta sorgente;</w:t>
      </w:r>
    </w:p>
    <w:p w:rsidR="00BF3595" w:rsidRDefault="00BF3595" w:rsidP="00BF3595">
      <w:pPr>
        <w:pStyle w:val="ESch"/>
        <w:ind w:left="0" w:firstLine="0"/>
        <w:rPr>
          <w:rFonts w:cs="Arial"/>
          <w:szCs w:val="20"/>
        </w:rPr>
      </w:pPr>
    </w:p>
    <w:p w:rsidR="00DE4417" w:rsidRPr="00C903F8" w:rsidRDefault="00BF3595" w:rsidP="00511BF6">
      <w:pPr>
        <w:pStyle w:val="ESch"/>
      </w:pPr>
      <w:r>
        <w:t>6.7</w:t>
      </w:r>
      <w:r>
        <w:tab/>
        <w:t>"resistenza al fuoco": la proprietà dei componenti strutturali o dispositivi certificata dalle procedure di prova in conformità dell'articolo 19.11, paragrafo 1, lettera d);</w:t>
      </w:r>
    </w:p>
    <w:p w:rsidR="009A1D30" w:rsidRPr="00C903F8" w:rsidRDefault="009A1D30" w:rsidP="00511BF6">
      <w:pPr>
        <w:pStyle w:val="ESch"/>
        <w:rPr>
          <w:rFonts w:cs="Arial"/>
          <w:szCs w:val="20"/>
        </w:rPr>
      </w:pPr>
    </w:p>
    <w:p w:rsidR="00DE4417" w:rsidRPr="00C903F8" w:rsidRDefault="00BF3595" w:rsidP="00511BF6">
      <w:pPr>
        <w:pStyle w:val="ESch"/>
        <w:rPr>
          <w:rFonts w:cs="Arial"/>
          <w:szCs w:val="20"/>
        </w:rPr>
      </w:pPr>
      <w:r>
        <w:t>6.8</w:t>
      </w:r>
      <w:r>
        <w:tab/>
        <w:t>"codice delle procedure per le prove antincendio": il codice internazionale per l'applicazione delle procedure per le prove antincendio, adottato dal Comitato per la sicurezza marittima dell'Organizzazione marittima internazionale (IMO) con la risoluzione MSC.307(88)</w:t>
      </w:r>
      <w:r>
        <w:rPr>
          <w:vertAlign w:val="superscript"/>
        </w:rPr>
        <w:footnoteReference w:id="1"/>
      </w:r>
      <w:r>
        <w:t>.</w:t>
      </w:r>
    </w:p>
    <w:p w:rsidR="009A1D30" w:rsidRPr="00C903F8" w:rsidRDefault="009A1D30" w:rsidP="00511BF6">
      <w:pPr>
        <w:pStyle w:val="ESch"/>
        <w:rPr>
          <w:rFonts w:cs="Arial"/>
          <w:szCs w:val="20"/>
        </w:rPr>
      </w:pPr>
    </w:p>
    <w:p w:rsidR="009A1D30" w:rsidRPr="00C903F8" w:rsidRDefault="009A1D30" w:rsidP="00511BF6">
      <w:pPr>
        <w:pStyle w:val="ESch"/>
        <w:rPr>
          <w:rFonts w:cs="Arial"/>
          <w:szCs w:val="20"/>
        </w:rPr>
      </w:pPr>
    </w:p>
    <w:p w:rsidR="009A1D30" w:rsidRPr="003B0440" w:rsidRDefault="009A1D30" w:rsidP="00511BF6">
      <w:pPr>
        <w:pStyle w:val="ESch"/>
      </w:pPr>
      <w:r>
        <w:rPr>
          <w:b/>
        </w:rPr>
        <w:t>7.</w:t>
      </w:r>
      <w:r>
        <w:tab/>
      </w:r>
      <w:r>
        <w:rPr>
          <w:b/>
        </w:rPr>
        <w:t>Luci di segnalazione, impianti di informazione e di navigazione:</w:t>
      </w:r>
    </w:p>
    <w:p w:rsidR="009A1D30" w:rsidRPr="003B0440" w:rsidRDefault="009A1D30" w:rsidP="00511BF6">
      <w:pPr>
        <w:pStyle w:val="ESch"/>
        <w:rPr>
          <w:rFonts w:cs="Arial"/>
          <w:szCs w:val="20"/>
        </w:rPr>
      </w:pPr>
    </w:p>
    <w:p w:rsidR="009A1D30" w:rsidRPr="003B0440" w:rsidRDefault="009A1D30" w:rsidP="003B0440">
      <w:pPr>
        <w:pStyle w:val="ESch"/>
      </w:pPr>
      <w:r>
        <w:t>7.1</w:t>
      </w:r>
      <w:r>
        <w:tab/>
        <w:t>"luci di segnalazione" luce proveniente dalle luci di navigazione per indicare la presenza di navi;</w:t>
      </w:r>
    </w:p>
    <w:p w:rsidR="009A1D30" w:rsidRPr="003B0440" w:rsidRDefault="009A1D30" w:rsidP="00511BF6">
      <w:pPr>
        <w:pStyle w:val="ESch"/>
        <w:rPr>
          <w:rFonts w:cs="Arial"/>
          <w:szCs w:val="20"/>
        </w:rPr>
      </w:pPr>
    </w:p>
    <w:p w:rsidR="009A1D30" w:rsidRPr="003B0440" w:rsidRDefault="009A1D30" w:rsidP="00511BF6">
      <w:pPr>
        <w:pStyle w:val="ESch"/>
      </w:pPr>
      <w:r>
        <w:t>7.2</w:t>
      </w:r>
      <w:r>
        <w:tab/>
        <w:t>"segnali luminosi": luce utilizzata ad integrazione di segnali visivi o acustici;</w:t>
      </w:r>
    </w:p>
    <w:p w:rsidR="009A1D30" w:rsidRDefault="009A1D30" w:rsidP="00511BF6">
      <w:pPr>
        <w:pStyle w:val="ESch"/>
        <w:rPr>
          <w:rFonts w:cs="Arial"/>
          <w:szCs w:val="20"/>
        </w:rPr>
      </w:pPr>
    </w:p>
    <w:p w:rsidR="008D24FF" w:rsidRDefault="008D24FF">
      <w:pPr>
        <w:autoSpaceDE/>
        <w:autoSpaceDN/>
        <w:ind w:left="0" w:firstLine="0"/>
        <w:jc w:val="left"/>
        <w:rPr>
          <w:rFonts w:cs="Arial"/>
          <w:szCs w:val="20"/>
        </w:rPr>
      </w:pPr>
      <w:r>
        <w:br w:type="page"/>
      </w:r>
    </w:p>
    <w:p w:rsidR="008D24FF" w:rsidRPr="003B0440" w:rsidRDefault="008D24FF" w:rsidP="00511BF6">
      <w:pPr>
        <w:pStyle w:val="ESch"/>
        <w:rPr>
          <w:rFonts w:cs="Arial"/>
          <w:szCs w:val="20"/>
        </w:rPr>
      </w:pPr>
    </w:p>
    <w:p w:rsidR="009A1D30" w:rsidRPr="003B0440" w:rsidRDefault="009A1D30" w:rsidP="003B0440">
      <w:pPr>
        <w:pStyle w:val="ESch"/>
      </w:pPr>
      <w:r>
        <w:t>7.3</w:t>
      </w:r>
      <w:r>
        <w:tab/>
        <w:t>"impianto radar di navigazione": un dispositivo elettronico di aiuto alla navigazione per rilevare e visualizzare l'area circostante e il traffico;</w:t>
      </w:r>
    </w:p>
    <w:p w:rsidR="009A1D30" w:rsidRPr="003B0440" w:rsidRDefault="009A1D30" w:rsidP="00511BF6">
      <w:pPr>
        <w:pStyle w:val="ESch"/>
        <w:rPr>
          <w:rFonts w:cs="Arial"/>
          <w:szCs w:val="20"/>
        </w:rPr>
      </w:pPr>
    </w:p>
    <w:p w:rsidR="009A1D30" w:rsidRPr="00C903F8" w:rsidRDefault="009A1D30" w:rsidP="00511BF6">
      <w:pPr>
        <w:pStyle w:val="ESch"/>
      </w:pPr>
      <w:r>
        <w:t>7.4</w:t>
      </w:r>
      <w:r>
        <w:tab/>
        <w:t xml:space="preserve">"ECDIS interno": un sistema utilizzato ai sensi dell'attuale </w:t>
      </w:r>
      <w:r>
        <w:rPr>
          <w:color w:val="000000"/>
        </w:rPr>
        <w:t>norma "ECDIS interno" per la visualizzazione di carte nautiche elettroniche</w:t>
      </w:r>
      <w:r>
        <w:t xml:space="preserve"> per le acque interne e informazioni associate che visualizza informazioni scelte di carte nautiche elettroniche esclusive per le acque interne e, facoltativamente, informazioni di altri sensori dell'imbarcazione;</w:t>
      </w:r>
    </w:p>
    <w:p w:rsidR="009A1D30" w:rsidRPr="00C903F8" w:rsidRDefault="009A1D30" w:rsidP="00511BF6">
      <w:pPr>
        <w:pStyle w:val="ESch"/>
        <w:rPr>
          <w:rFonts w:cs="Arial"/>
          <w:szCs w:val="20"/>
        </w:rPr>
      </w:pPr>
    </w:p>
    <w:p w:rsidR="009A1D30" w:rsidRPr="00C903F8" w:rsidRDefault="009A1D30" w:rsidP="00511BF6">
      <w:pPr>
        <w:pStyle w:val="ESch"/>
      </w:pPr>
      <w:r>
        <w:t>7.5</w:t>
      </w:r>
      <w:r>
        <w:tab/>
        <w:t>"dispositivo ECDIS interno": un dispositivo per la visualizzazione di carte nautiche elettroniche per le acque interne che può funzionare in due modi diversi: modo "informazione" e modo "navigazione";</w:t>
      </w:r>
    </w:p>
    <w:p w:rsidR="009A1D30" w:rsidRPr="00C903F8" w:rsidRDefault="009A1D30" w:rsidP="00511BF6">
      <w:pPr>
        <w:pStyle w:val="ESch"/>
        <w:rPr>
          <w:rFonts w:cs="Arial"/>
          <w:szCs w:val="20"/>
        </w:rPr>
      </w:pPr>
    </w:p>
    <w:p w:rsidR="009A1D30" w:rsidRPr="00C903F8" w:rsidRDefault="009A1D30" w:rsidP="00511BF6">
      <w:pPr>
        <w:pStyle w:val="ESch"/>
      </w:pPr>
      <w:r>
        <w:t>7.6</w:t>
      </w:r>
      <w:r>
        <w:tab/>
        <w:t>"modo informazione": uso dell'ECDIS interno solo per fini di informazione senza sovrapposizione del radar;</w:t>
      </w:r>
    </w:p>
    <w:p w:rsidR="009A1D30" w:rsidRPr="00C903F8" w:rsidRDefault="009A1D30" w:rsidP="00511BF6">
      <w:pPr>
        <w:pStyle w:val="ESch"/>
        <w:rPr>
          <w:rFonts w:cs="Arial"/>
          <w:szCs w:val="20"/>
        </w:rPr>
      </w:pPr>
    </w:p>
    <w:p w:rsidR="009A1D30" w:rsidRPr="00C903F8" w:rsidRDefault="009A1D30" w:rsidP="00511BF6">
      <w:pPr>
        <w:pStyle w:val="ESch"/>
        <w:rPr>
          <w:rFonts w:cs="Arial"/>
          <w:szCs w:val="20"/>
        </w:rPr>
      </w:pPr>
      <w:r>
        <w:t>7.7</w:t>
      </w:r>
      <w:r>
        <w:tab/>
        <w:t>"modo navigazione": uso dell'ECDIS interno con sovrapposizione del radar per la navigazione;</w:t>
      </w:r>
    </w:p>
    <w:p w:rsidR="009A1D30" w:rsidRPr="00C903F8" w:rsidRDefault="009A1D30" w:rsidP="00511BF6">
      <w:pPr>
        <w:pStyle w:val="ESch"/>
        <w:rPr>
          <w:rFonts w:cs="Arial"/>
          <w:szCs w:val="20"/>
        </w:rPr>
      </w:pPr>
    </w:p>
    <w:p w:rsidR="009A1D30" w:rsidRPr="00C903F8" w:rsidRDefault="009A1D30" w:rsidP="003B0440">
      <w:pPr>
        <w:pStyle w:val="ESch"/>
        <w:rPr>
          <w:color w:val="000000"/>
        </w:rPr>
      </w:pPr>
      <w:r>
        <w:t>7.8</w:t>
      </w:r>
      <w:r>
        <w:tab/>
        <w:t>"dispositivo AIS interno": dispositivo montato a bordo di una nave e utilizzato ai sensi dell'attuale norma sulla localizzazione e il monitoraggio di natanti;</w:t>
      </w:r>
    </w:p>
    <w:p w:rsidR="009A1D30" w:rsidRPr="00C903F8" w:rsidRDefault="009A1D30" w:rsidP="00511BF6">
      <w:pPr>
        <w:pStyle w:val="ESch"/>
        <w:rPr>
          <w:rFonts w:cs="Arial"/>
          <w:color w:val="000000"/>
          <w:szCs w:val="20"/>
        </w:rPr>
      </w:pPr>
    </w:p>
    <w:p w:rsidR="00881510" w:rsidRPr="00881510" w:rsidRDefault="008D24FF" w:rsidP="00881510">
      <w:pPr>
        <w:adjustRightInd w:val="0"/>
        <w:ind w:left="567" w:hanging="567"/>
        <w:rPr>
          <w:rFonts w:ascii="ArialMT" w:eastAsiaTheme="minorEastAsia" w:hAnsi="ArialMT" w:cs="ArialMT"/>
          <w:szCs w:val="20"/>
        </w:rPr>
      </w:pPr>
      <w:r>
        <w:rPr>
          <w:rFonts w:ascii="ArialMT" w:hAnsi="ArialMT"/>
        </w:rPr>
        <w:t>7.9</w:t>
      </w:r>
      <w:r>
        <w:tab/>
        <w:t xml:space="preserve">"norma sVTT": la norma </w:t>
      </w:r>
      <w:r>
        <w:rPr>
          <w:rFonts w:ascii="ArialMT" w:hAnsi="ArialMT"/>
          <w:spacing w:val="-2"/>
        </w:rPr>
        <w:t>della CCNR "</w:t>
      </w:r>
      <w:r>
        <w:rPr>
          <w:rFonts w:ascii="ArialMT" w:hAnsi="ArialMT"/>
          <w:i/>
          <w:spacing w:val="-2"/>
        </w:rPr>
        <w:t>Vessel Tracking and Tracing Standard for Inland Navigation</w:t>
      </w:r>
      <w:r>
        <w:rPr>
          <w:rFonts w:ascii="ArialMT" w:hAnsi="ArialMT"/>
          <w:spacing w:val="-2"/>
        </w:rPr>
        <w:t>", edizione 1.2</w:t>
      </w:r>
      <w:r>
        <w:rPr>
          <w:rStyle w:val="FootnoteReference"/>
          <w:rFonts w:ascii="ArialMT" w:eastAsiaTheme="minorEastAsia" w:hAnsi="ArialMT"/>
          <w:spacing w:val="-2"/>
        </w:rPr>
        <w:footnoteReference w:id="2"/>
      </w:r>
      <w:r>
        <w:rPr>
          <w:rFonts w:ascii="ArialMT" w:hAnsi="ArialMT"/>
          <w:spacing w:val="-2"/>
        </w:rPr>
        <w:t xml:space="preserve"> oppure le specifiche tecniche definite dal regolamento di esecuzione (UE) n. 689/2012</w:t>
      </w:r>
      <w:r>
        <w:rPr>
          <w:rStyle w:val="FootnoteReference"/>
          <w:rFonts w:ascii="ArialMT" w:eastAsiaTheme="minorEastAsia" w:hAnsi="ArialMT"/>
          <w:spacing w:val="-2"/>
        </w:rPr>
        <w:footnoteReference w:id="3"/>
      </w:r>
      <w:r>
        <w:rPr>
          <w:rFonts w:ascii="ArialMT" w:hAnsi="ArialMT"/>
          <w:spacing w:val="-2"/>
        </w:rPr>
        <w:t>;</w:t>
      </w:r>
    </w:p>
    <w:p w:rsidR="00881510" w:rsidRPr="00881510" w:rsidRDefault="00881510" w:rsidP="00881510">
      <w:pPr>
        <w:adjustRightInd w:val="0"/>
        <w:ind w:left="567" w:hanging="567"/>
        <w:rPr>
          <w:rFonts w:ascii="ArialMT" w:eastAsiaTheme="minorEastAsia" w:hAnsi="ArialMT" w:cs="ArialMT"/>
          <w:szCs w:val="20"/>
        </w:rPr>
      </w:pPr>
    </w:p>
    <w:p w:rsidR="00881510" w:rsidRDefault="008D24FF" w:rsidP="00881510">
      <w:pPr>
        <w:adjustRightInd w:val="0"/>
        <w:ind w:left="567" w:hanging="567"/>
        <w:rPr>
          <w:rFonts w:ascii="ArialMT" w:hAnsi="ArialMT"/>
          <w:szCs w:val="20"/>
        </w:rPr>
      </w:pPr>
      <w:r>
        <w:rPr>
          <w:rFonts w:ascii="ArialMT" w:hAnsi="ArialMT"/>
        </w:rPr>
        <w:t>7.10</w:t>
      </w:r>
      <w:r>
        <w:tab/>
        <w:t>"norma ECDIS interno</w:t>
      </w:r>
      <w:r>
        <w:rPr>
          <w:rFonts w:ascii="ArialMT" w:hAnsi="ArialMT"/>
        </w:rPr>
        <w:t>": la norma della CCNR "</w:t>
      </w:r>
      <w:r>
        <w:rPr>
          <w:rFonts w:ascii="ArialMT" w:hAnsi="ArialMT"/>
          <w:i/>
        </w:rPr>
        <w:t>Electronic Chart Display and Information System for Inland Navigation</w:t>
      </w:r>
      <w:r>
        <w:rPr>
          <w:rFonts w:ascii="ArialMT" w:hAnsi="ArialMT"/>
        </w:rPr>
        <w:t>", edizione 2.3</w:t>
      </w:r>
      <w:r>
        <w:rPr>
          <w:rStyle w:val="FootnoteReference"/>
          <w:rFonts w:ascii="ArialMT" w:eastAsiaTheme="minorEastAsia" w:hAnsi="ArialMT"/>
        </w:rPr>
        <w:footnoteReference w:id="4"/>
      </w:r>
      <w:r>
        <w:rPr>
          <w:rFonts w:ascii="ArialMT" w:hAnsi="ArialMT"/>
        </w:rPr>
        <w:t xml:space="preserve"> o le specifiche tecniche definite dal regolamento di esecuzione (UE) n. 909/2013</w:t>
      </w:r>
      <w:r>
        <w:rPr>
          <w:rStyle w:val="FootnoteReference"/>
          <w:rFonts w:ascii="ArialMT" w:eastAsiaTheme="minorEastAsia" w:hAnsi="ArialMT"/>
        </w:rPr>
        <w:footnoteReference w:id="5"/>
      </w:r>
      <w:r>
        <w:rPr>
          <w:rFonts w:ascii="ArialMT" w:hAnsi="ArialMT"/>
        </w:rPr>
        <w:t>;</w:t>
      </w:r>
    </w:p>
    <w:p w:rsidR="00FA4437" w:rsidRDefault="00FA4437" w:rsidP="00881510">
      <w:pPr>
        <w:adjustRightInd w:val="0"/>
        <w:ind w:left="567" w:hanging="567"/>
        <w:rPr>
          <w:rFonts w:ascii="ArialMT" w:hAnsi="ArialMT"/>
          <w:szCs w:val="20"/>
        </w:rPr>
      </w:pPr>
    </w:p>
    <w:p w:rsidR="00FA4437" w:rsidRPr="0098002E" w:rsidRDefault="00FA4437" w:rsidP="003B0440">
      <w:pPr>
        <w:pStyle w:val="ESch"/>
      </w:pPr>
      <w:r>
        <w:t>7.11</w:t>
      </w:r>
      <w:r>
        <w:tab/>
        <w:t>"norma di prova</w:t>
      </w:r>
      <w:r w:rsidR="00A16690">
        <w:t xml:space="preserve"> </w:t>
      </w:r>
      <w:r>
        <w:t>per AIS interno": norma di prova</w:t>
      </w:r>
      <w:r w:rsidR="00A16690">
        <w:t xml:space="preserve"> </w:t>
      </w:r>
      <w:r>
        <w:t>CESNI per AIS interno, edizione 2.0</w:t>
      </w:r>
      <w:r>
        <w:rPr>
          <w:vertAlign w:val="superscript"/>
        </w:rPr>
        <w:footnoteReference w:id="6"/>
      </w:r>
      <w:r>
        <w:t>;</w:t>
      </w:r>
    </w:p>
    <w:p w:rsidR="008D24FF" w:rsidRDefault="008D24FF" w:rsidP="00511BF6">
      <w:pPr>
        <w:pStyle w:val="ESch"/>
      </w:pPr>
    </w:p>
    <w:p w:rsidR="003971A3" w:rsidRPr="00B722AB" w:rsidRDefault="003971A3" w:rsidP="00511BF6">
      <w:pPr>
        <w:pStyle w:val="ESch"/>
      </w:pPr>
    </w:p>
    <w:p w:rsidR="009A1D30" w:rsidRPr="00C903F8" w:rsidRDefault="009A1D30" w:rsidP="00511BF6">
      <w:pPr>
        <w:pStyle w:val="ESch"/>
        <w:rPr>
          <w:rFonts w:cs="Arial"/>
          <w:b/>
          <w:color w:val="000000"/>
          <w:szCs w:val="20"/>
        </w:rPr>
      </w:pPr>
      <w:r>
        <w:rPr>
          <w:b/>
          <w:color w:val="000000"/>
        </w:rPr>
        <w:t>8.</w:t>
      </w:r>
      <w:r>
        <w:tab/>
      </w:r>
      <w:r>
        <w:rPr>
          <w:b/>
          <w:color w:val="000000"/>
        </w:rPr>
        <w:t>Motori:</w:t>
      </w:r>
    </w:p>
    <w:p w:rsidR="00E61447" w:rsidRPr="00C903F8" w:rsidRDefault="00E61447" w:rsidP="00511BF6">
      <w:pPr>
        <w:pStyle w:val="ESch"/>
        <w:rPr>
          <w:rFonts w:cs="Arial"/>
          <w:color w:val="000000"/>
          <w:szCs w:val="20"/>
        </w:rPr>
      </w:pPr>
    </w:p>
    <w:p w:rsidR="0087027F" w:rsidRPr="00C903F8" w:rsidRDefault="0087027F" w:rsidP="00AE3F86">
      <w:pPr>
        <w:pStyle w:val="ESch"/>
        <w:ind w:firstLine="0"/>
        <w:rPr>
          <w:color w:val="000000"/>
        </w:rPr>
      </w:pPr>
      <w:r>
        <w:rPr>
          <w:color w:val="000000"/>
        </w:rPr>
        <w:t>(Senza oggetto)</w:t>
      </w:r>
    </w:p>
    <w:p w:rsidR="009A1D30" w:rsidRPr="00C903F8" w:rsidRDefault="009A1D30" w:rsidP="00511BF6">
      <w:pPr>
        <w:pStyle w:val="ESch"/>
      </w:pPr>
    </w:p>
    <w:p w:rsidR="006971A7" w:rsidRPr="00C903F8" w:rsidRDefault="006971A7" w:rsidP="00511BF6">
      <w:pPr>
        <w:pStyle w:val="ESch"/>
      </w:pPr>
    </w:p>
    <w:p w:rsidR="008D2FD5" w:rsidRPr="00C903F8" w:rsidRDefault="008D2FD5" w:rsidP="00511BF6">
      <w:pPr>
        <w:pStyle w:val="ESch"/>
        <w:rPr>
          <w:b/>
        </w:rPr>
      </w:pPr>
      <w:r>
        <w:rPr>
          <w:b/>
        </w:rPr>
        <w:t>9.</w:t>
      </w:r>
      <w:r>
        <w:tab/>
      </w:r>
      <w:r>
        <w:rPr>
          <w:b/>
        </w:rPr>
        <w:t>Impianti di depurazione di bordo:</w:t>
      </w:r>
    </w:p>
    <w:p w:rsidR="0087027F" w:rsidRPr="00C903F8" w:rsidRDefault="0087027F" w:rsidP="008D24FF">
      <w:pPr>
        <w:pStyle w:val="ESch"/>
      </w:pPr>
    </w:p>
    <w:p w:rsidR="0087027F" w:rsidRPr="00C903F8" w:rsidRDefault="0087027F" w:rsidP="00AE3F86">
      <w:pPr>
        <w:pStyle w:val="ESch"/>
        <w:ind w:firstLine="0"/>
        <w:rPr>
          <w:rFonts w:cs="Arial"/>
          <w:color w:val="000000"/>
          <w:szCs w:val="20"/>
        </w:rPr>
      </w:pPr>
      <w:r>
        <w:rPr>
          <w:color w:val="000000"/>
        </w:rPr>
        <w:t>(Senza oggetto)</w:t>
      </w:r>
    </w:p>
    <w:p w:rsidR="00197F7A" w:rsidRPr="00C903F8" w:rsidRDefault="00197F7A" w:rsidP="00511BF6">
      <w:pPr>
        <w:pStyle w:val="ESch"/>
      </w:pPr>
    </w:p>
    <w:p w:rsidR="008D24FF" w:rsidRDefault="008D24FF">
      <w:pPr>
        <w:autoSpaceDE/>
        <w:autoSpaceDN/>
        <w:ind w:left="0" w:firstLine="0"/>
        <w:jc w:val="left"/>
      </w:pPr>
      <w:r>
        <w:br w:type="page"/>
      </w:r>
    </w:p>
    <w:p w:rsidR="006971A7" w:rsidRPr="00C903F8" w:rsidRDefault="006971A7" w:rsidP="00511BF6">
      <w:pPr>
        <w:pStyle w:val="ESch"/>
      </w:pPr>
    </w:p>
    <w:p w:rsidR="00E61447" w:rsidRPr="00C903F8" w:rsidRDefault="00E61447" w:rsidP="00E61447">
      <w:pPr>
        <w:pStyle w:val="ESch"/>
      </w:pPr>
      <w:r>
        <w:rPr>
          <w:b/>
        </w:rPr>
        <w:t>10.</w:t>
      </w:r>
      <w:r>
        <w:tab/>
      </w:r>
      <w:r>
        <w:rPr>
          <w:b/>
        </w:rPr>
        <w:t>Organismi di classificazione, esperti e persone competenti;</w:t>
      </w:r>
    </w:p>
    <w:p w:rsidR="00E61447" w:rsidRPr="00C903F8" w:rsidRDefault="00E61447" w:rsidP="00E61447">
      <w:pPr>
        <w:pStyle w:val="ESch"/>
        <w:rPr>
          <w:rFonts w:cs="Arial"/>
          <w:szCs w:val="20"/>
        </w:rPr>
      </w:pPr>
    </w:p>
    <w:p w:rsidR="00E61447" w:rsidRPr="00C903F8" w:rsidRDefault="00E61447" w:rsidP="00E61447">
      <w:pPr>
        <w:pStyle w:val="ESch"/>
      </w:pPr>
      <w:r>
        <w:t>10.1</w:t>
      </w:r>
      <w:r>
        <w:tab/>
        <w:t>"organismo di classificazione autorizzato": un organismo di classificazione che è stato riconosciuto rispettivamente secondo le procedure della CCNR o dell'UE;</w:t>
      </w:r>
    </w:p>
    <w:p w:rsidR="00E61447" w:rsidRPr="00C903F8" w:rsidRDefault="00E61447" w:rsidP="00E61447">
      <w:pPr>
        <w:pStyle w:val="ESch"/>
        <w:rPr>
          <w:rFonts w:cs="Arial"/>
          <w:szCs w:val="20"/>
        </w:rPr>
      </w:pPr>
    </w:p>
    <w:p w:rsidR="00E61447" w:rsidRPr="00C903F8" w:rsidRDefault="00E61447" w:rsidP="00E61447">
      <w:pPr>
        <w:pStyle w:val="ESch"/>
      </w:pPr>
      <w:r>
        <w:t>10.2</w:t>
      </w:r>
      <w:r>
        <w:tab/>
        <w:t>"classe superiore": la classe superiore viene attribuita a una nave, laddove:</w:t>
      </w:r>
    </w:p>
    <w:p w:rsidR="00E61447" w:rsidRPr="00C903F8" w:rsidRDefault="00E61447" w:rsidP="00E61447">
      <w:pPr>
        <w:pStyle w:val="ESlet"/>
      </w:pPr>
      <w:r>
        <w:t>-</w:t>
      </w:r>
      <w:r>
        <w:tab/>
        <w:t>lo scafo, compresi i mezzi di governo e di manovra, le ancore e le catene per ancora siano conformi alle norme stabilite da un organismo di classificazione autorizzato e siano stati costruiti e testati sotto il controllo di quest'ultimo;</w:t>
      </w:r>
    </w:p>
    <w:p w:rsidR="00E61447" w:rsidRPr="00C903F8" w:rsidRDefault="00E61447" w:rsidP="00E61447">
      <w:pPr>
        <w:pStyle w:val="ESlet"/>
      </w:pPr>
      <w:r>
        <w:t>-</w:t>
      </w:r>
      <w:r>
        <w:tab/>
        <w:t>i macchinari di propulsione, i motori ausiliari, le attrezzature meccaniche ed elettriche, necessari per i servizi di bordo, sono stati fabbricati e testati in conformità alle norme dell'organismo di classificazione e siano stati installati sotto il controllo di quest'ultimo; l'unità nel suo complesso sia stata sottoposta con successo a prove post-installazione;</w:t>
      </w:r>
    </w:p>
    <w:p w:rsidR="00E61447" w:rsidRDefault="00E61447" w:rsidP="00E61447">
      <w:pPr>
        <w:pStyle w:val="ESch"/>
      </w:pPr>
    </w:p>
    <w:p w:rsidR="00E61447" w:rsidRPr="00C903F8" w:rsidRDefault="00E61447" w:rsidP="00E61447">
      <w:pPr>
        <w:pStyle w:val="ESch"/>
        <w:rPr>
          <w:rFonts w:cs="Arial"/>
          <w:szCs w:val="20"/>
        </w:rPr>
      </w:pPr>
      <w:r>
        <w:t>10.3</w:t>
      </w:r>
      <w:r>
        <w:tab/>
        <w:t>"esperto": soggetto che l'autorità competente o un'istituzione autorizzata riconosce in possesso delle conoscenze specialistiche del settore di pertinenza in base alla sua formazione ed esperienza professionale, avente piena dimestichezza con le norme e regolamenti pertinenti e le norme tecniche generalmente riconosciute (ad esempio le norme EN, la legislazione pertinente, le norme tecniche) e in grado di esaminare e fornire una consulenza tecnica su sistemi e impianti pertinenti;</w:t>
      </w:r>
    </w:p>
    <w:p w:rsidR="00E61447" w:rsidRPr="00C903F8" w:rsidRDefault="00E61447" w:rsidP="00E61447">
      <w:pPr>
        <w:pStyle w:val="ESch"/>
      </w:pPr>
    </w:p>
    <w:p w:rsidR="00E61447" w:rsidRPr="00C903F8" w:rsidRDefault="00E61447" w:rsidP="00E61447">
      <w:pPr>
        <w:pStyle w:val="ESch"/>
      </w:pPr>
      <w:r>
        <w:t>10.4</w:t>
      </w:r>
      <w:r>
        <w:tab/>
        <w:t>"persona competente": soggetto che ha acquisito una conoscenza sufficiente del settore di pertinenza in base alla sua formazione ed esperienza professionale, avente sufficiente dimestichezza con le norme e i regolamenti pertinenti e le norme tecniche generalmente riconosciute (come ad esempio le norme EN, la legislazione pertinente, le norme tecniche) e in grado di valutare la sicurezza operativa dei sistemi e degli impianti pertinenti.</w:t>
      </w:r>
    </w:p>
    <w:p w:rsidR="00E61447" w:rsidRPr="00E87BD8" w:rsidRDefault="00E61447" w:rsidP="00080F6D">
      <w:pPr>
        <w:pStyle w:val="ESch"/>
      </w:pPr>
    </w:p>
    <w:p w:rsidR="00BF3595" w:rsidRPr="00E87BD8" w:rsidRDefault="00BF3595" w:rsidP="00080F6D">
      <w:pPr>
        <w:pStyle w:val="ESch"/>
      </w:pPr>
    </w:p>
    <w:p w:rsidR="00BF3595" w:rsidRPr="00680CCD" w:rsidRDefault="00BF3595" w:rsidP="00BF3595">
      <w:pPr>
        <w:pStyle w:val="ESch"/>
        <w:rPr>
          <w:b/>
          <w:bCs/>
          <w:iCs/>
        </w:rPr>
      </w:pPr>
      <w:r>
        <w:rPr>
          <w:b/>
        </w:rPr>
        <w:t>11.</w:t>
      </w:r>
      <w:r>
        <w:tab/>
      </w:r>
      <w:r>
        <w:rPr>
          <w:b/>
        </w:rPr>
        <w:t>Impianti elettrici, impianti e sistemi di propulsione:</w:t>
      </w:r>
    </w:p>
    <w:p w:rsidR="00BF3595" w:rsidRPr="00820CCC" w:rsidRDefault="00BF3595" w:rsidP="00080F6D">
      <w:pPr>
        <w:pStyle w:val="ESch"/>
      </w:pPr>
    </w:p>
    <w:p w:rsidR="00BF3595" w:rsidRPr="008F6ABB" w:rsidRDefault="00BF3595" w:rsidP="00BF3595">
      <w:pPr>
        <w:pStyle w:val="ESch"/>
      </w:pPr>
      <w:r>
        <w:t>11.1</w:t>
      </w:r>
      <w:r>
        <w:tab/>
        <w:t>"fonte d'energia": un vettore energetico</w:t>
      </w:r>
      <w:r w:rsidR="00A16690">
        <w:t xml:space="preserve"> </w:t>
      </w:r>
      <w:r>
        <w:t>o un convertitore di energia utilizzato per produrre energia utile; Per i sistemi di propulsione dei macchinari del timone, l'alimentazione del comando di governo e del mezzo di governo a partire dalla rete di bordo, una batteria, un accumulatore o un motore a combustione interna;</w:t>
      </w:r>
    </w:p>
    <w:p w:rsidR="00BF3595" w:rsidRPr="008F6ABB" w:rsidRDefault="00BF3595" w:rsidP="00BF3595">
      <w:pPr>
        <w:pStyle w:val="ESch"/>
      </w:pPr>
    </w:p>
    <w:p w:rsidR="00BF3595" w:rsidRPr="008F6ABB" w:rsidRDefault="00BF3595" w:rsidP="00BF3595">
      <w:pPr>
        <w:pStyle w:val="ESch"/>
      </w:pPr>
      <w:r>
        <w:t>11.2</w:t>
      </w:r>
      <w:r>
        <w:tab/>
        <w:t>"fonte di energia elettrica": una fonte di energia dalla quale si ottiene energia elettrica;</w:t>
      </w:r>
    </w:p>
    <w:p w:rsidR="00BF3595" w:rsidRPr="008F6ABB" w:rsidRDefault="00BF3595" w:rsidP="00BF3595">
      <w:pPr>
        <w:pStyle w:val="ESch"/>
      </w:pPr>
    </w:p>
    <w:p w:rsidR="00BF3595" w:rsidRPr="008F6ABB" w:rsidRDefault="00BF3595" w:rsidP="00BF3595">
      <w:pPr>
        <w:pStyle w:val="ESch"/>
      </w:pPr>
      <w:r>
        <w:t>11.3</w:t>
      </w:r>
      <w:r>
        <w:tab/>
        <w:t>"accumulatore": un dispositivo ricaricabile di accumulo di energia elettrica avente base elettrochimica;</w:t>
      </w:r>
    </w:p>
    <w:p w:rsidR="00BF3595" w:rsidRPr="008F6ABB" w:rsidRDefault="00BF3595" w:rsidP="00BF3595">
      <w:pPr>
        <w:pStyle w:val="ESch"/>
      </w:pPr>
    </w:p>
    <w:p w:rsidR="00BF3595" w:rsidRPr="008F6ABB" w:rsidRDefault="00BF3595" w:rsidP="00BF3595">
      <w:pPr>
        <w:pStyle w:val="ESch"/>
      </w:pPr>
      <w:r>
        <w:t>11.4</w:t>
      </w:r>
      <w:r>
        <w:tab/>
        <w:t>"batteria": un dispositivo non ricaricabile di accumulo di energia elettrica avente base elettrochimica;</w:t>
      </w:r>
    </w:p>
    <w:p w:rsidR="00ED26E0" w:rsidRPr="00E87BD8" w:rsidRDefault="00ED26E0" w:rsidP="00080F6D">
      <w:pPr>
        <w:pStyle w:val="ESch"/>
      </w:pPr>
    </w:p>
    <w:p w:rsidR="001851F8" w:rsidRDefault="00BF3595" w:rsidP="003971A3">
      <w:pPr>
        <w:pStyle w:val="ESch"/>
        <w:rPr>
          <w:rFonts w:eastAsia="Calibri"/>
          <w:highlight w:val="lightGray"/>
        </w:rPr>
      </w:pPr>
      <w:r>
        <w:t>11.5</w:t>
      </w:r>
      <w:r>
        <w:tab/>
        <w:t>"elettronica di potenza": un impianto, un apparecchio, un insieme o un dispositivo per la conversione di energia elettrica con dispositivi elettronici di commutazione o un sistema che li comprende.</w:t>
      </w:r>
    </w:p>
    <w:p w:rsidR="001851F8" w:rsidRPr="001851F8" w:rsidRDefault="001851F8">
      <w:pPr>
        <w:autoSpaceDE/>
        <w:autoSpaceDN/>
        <w:ind w:left="0" w:firstLine="0"/>
        <w:jc w:val="left"/>
        <w:rPr>
          <w:rFonts w:eastAsia="Calibri"/>
        </w:rPr>
      </w:pPr>
    </w:p>
    <w:p w:rsidR="003971A3" w:rsidRDefault="003971A3">
      <w:pPr>
        <w:autoSpaceDE/>
        <w:autoSpaceDN/>
        <w:ind w:left="0" w:firstLine="0"/>
        <w:jc w:val="left"/>
      </w:pPr>
      <w:r>
        <w:br w:type="page"/>
      </w:r>
    </w:p>
    <w:p w:rsidR="00BF3595" w:rsidRDefault="00BF3595" w:rsidP="00080F6D">
      <w:pPr>
        <w:pStyle w:val="ESch"/>
      </w:pPr>
    </w:p>
    <w:p w:rsidR="00DE4417" w:rsidRPr="00C903F8" w:rsidRDefault="00DE4417" w:rsidP="00511BF6">
      <w:pPr>
        <w:pStyle w:val="ESch"/>
        <w:rPr>
          <w:b/>
          <w:color w:val="000000"/>
        </w:rPr>
      </w:pPr>
      <w:r>
        <w:rPr>
          <w:b/>
          <w:color w:val="000000"/>
        </w:rPr>
        <w:t>12.</w:t>
      </w:r>
      <w:r>
        <w:tab/>
      </w:r>
      <w:r>
        <w:rPr>
          <w:b/>
          <w:color w:val="000000"/>
        </w:rPr>
        <w:t>Altri termini:</w:t>
      </w:r>
    </w:p>
    <w:p w:rsidR="00DE4417" w:rsidRPr="00C903F8" w:rsidRDefault="00DE4417" w:rsidP="00511BF6">
      <w:pPr>
        <w:pStyle w:val="ESch"/>
      </w:pPr>
    </w:p>
    <w:p w:rsidR="00DE4417" w:rsidRPr="00C903F8" w:rsidRDefault="00DE4417" w:rsidP="00511BF6">
      <w:pPr>
        <w:pStyle w:val="ESch"/>
      </w:pPr>
      <w:r>
        <w:t>12.1</w:t>
      </w:r>
      <w:r>
        <w:tab/>
        <w:t>"personale di bordo": tutti i dipendenti a bordo di una nave da passeggeri che non sono membri dell'equipaggio;</w:t>
      </w:r>
    </w:p>
    <w:p w:rsidR="00D71B1A" w:rsidRPr="00C903F8" w:rsidRDefault="00D71B1A" w:rsidP="00511BF6">
      <w:pPr>
        <w:pStyle w:val="ESch"/>
        <w:rPr>
          <w:rFonts w:cs="Arial"/>
          <w:szCs w:val="20"/>
        </w:rPr>
      </w:pPr>
    </w:p>
    <w:p w:rsidR="00ED26E0" w:rsidRPr="00FA4437" w:rsidRDefault="00DE4417" w:rsidP="00FA4437">
      <w:pPr>
        <w:pStyle w:val="ESch"/>
      </w:pPr>
      <w:r>
        <w:t>12.2</w:t>
      </w:r>
      <w:r>
        <w:tab/>
        <w:t>"persone a mobilità ridotta": le persone che hanno particolari problemi nell'utilizzare i trasporti pubblici, quali gli anziani, i disabili, le persone con disabilità sensoriali e quelle su sedie a rotelle, le donne incinte e le persone che accompagnano bambini piccoli;</w:t>
      </w:r>
    </w:p>
    <w:p w:rsidR="00ED26E0" w:rsidRPr="00C903F8" w:rsidRDefault="00ED26E0" w:rsidP="00511BF6">
      <w:pPr>
        <w:pStyle w:val="ESch"/>
        <w:rPr>
          <w:rFonts w:cs="Arial"/>
          <w:szCs w:val="20"/>
        </w:rPr>
      </w:pPr>
    </w:p>
    <w:p w:rsidR="00DE4417" w:rsidRPr="00C903F8" w:rsidRDefault="00DE4417" w:rsidP="00511BF6">
      <w:pPr>
        <w:pStyle w:val="ESch"/>
      </w:pPr>
      <w:r>
        <w:t>12.3</w:t>
      </w:r>
      <w:r>
        <w:tab/>
        <w:t>"ADN": regolamenti allegati all'Accordo europeo relativo al trasporto internazionale delle merci pericolose per vie navigabili interne (ADN) nella versione in vigore;</w:t>
      </w:r>
    </w:p>
    <w:p w:rsidR="00D71B1A" w:rsidRPr="00C903F8" w:rsidRDefault="00D71B1A" w:rsidP="00511BF6">
      <w:pPr>
        <w:pStyle w:val="ESch"/>
        <w:rPr>
          <w:rFonts w:cs="Arial"/>
          <w:szCs w:val="20"/>
        </w:rPr>
      </w:pPr>
    </w:p>
    <w:p w:rsidR="00DE4417" w:rsidRPr="00C903F8" w:rsidRDefault="00DE4417" w:rsidP="00511BF6">
      <w:pPr>
        <w:pStyle w:val="ESch"/>
      </w:pPr>
      <w:r>
        <w:t>12.4</w:t>
      </w:r>
      <w:r>
        <w:tab/>
        <w:t>"certificato di nave della navigazione interna": certificato dell'Unione per le navi della navigazione interna oppure certificato di ispezione delle navi sul Reno, rilasciato dall'autorità competente e che conferma la conformità ai requisiti tecnici.</w:t>
      </w:r>
    </w:p>
    <w:p w:rsidR="00DE4417" w:rsidRPr="00C903F8" w:rsidRDefault="00DE4417" w:rsidP="00511BF6">
      <w:pPr>
        <w:pStyle w:val="ESch"/>
      </w:pPr>
    </w:p>
    <w:p w:rsidR="005849A9" w:rsidRPr="00C903F8" w:rsidRDefault="005849A9" w:rsidP="00511BF6">
      <w:pPr>
        <w:pStyle w:val="ESch"/>
      </w:pPr>
    </w:p>
    <w:p w:rsidR="00DE4417" w:rsidRPr="00C903F8" w:rsidRDefault="00DE4417" w:rsidP="00D71B1A">
      <w:pPr>
        <w:pStyle w:val="ES-Titre3"/>
        <w:rPr>
          <w:sz w:val="20"/>
        </w:rPr>
      </w:pPr>
      <w:bookmarkStart w:id="10" w:name="_Toc491854005"/>
      <w:bookmarkStart w:id="11" w:name="_Toc535499954"/>
      <w:r>
        <w:t>Articolo 1.02</w:t>
      </w:r>
      <w:r>
        <w:br/>
      </w:r>
      <w:r>
        <w:rPr>
          <w:i/>
        </w:rPr>
        <w:t>Istruzioni per l'applicazione della presente norma</w:t>
      </w:r>
      <w:bookmarkEnd w:id="10"/>
      <w:bookmarkEnd w:id="11"/>
    </w:p>
    <w:p w:rsidR="00D71B1A" w:rsidRPr="00C903F8" w:rsidRDefault="00D71B1A" w:rsidP="00DE4417">
      <w:pPr>
        <w:rPr>
          <w:rFonts w:cs="Arial"/>
          <w:szCs w:val="20"/>
        </w:rPr>
      </w:pPr>
    </w:p>
    <w:p w:rsidR="00DE4417" w:rsidRPr="00C903F8" w:rsidRDefault="00DE4417" w:rsidP="00DE4417">
      <w:pPr>
        <w:rPr>
          <w:rFonts w:cs="Arial"/>
          <w:szCs w:val="20"/>
        </w:rPr>
      </w:pPr>
      <w:r>
        <w:t xml:space="preserve">Le istruzioni allegate alla presente norma mirano a facilitare e standardizzare la sua applicazione. </w:t>
      </w:r>
    </w:p>
    <w:p w:rsidR="00AE58CD" w:rsidRPr="00C903F8" w:rsidRDefault="00AE58CD" w:rsidP="00E630F7">
      <w:pPr>
        <w:spacing w:line="240" w:lineRule="atLeast"/>
        <w:ind w:left="0" w:firstLine="0"/>
      </w:pPr>
    </w:p>
    <w:p w:rsidR="00AE58CD" w:rsidRPr="00C903F8" w:rsidRDefault="00AE58CD" w:rsidP="00E630F7">
      <w:pPr>
        <w:spacing w:line="240" w:lineRule="atLeast"/>
        <w:ind w:left="0" w:firstLine="0"/>
      </w:pPr>
    </w:p>
    <w:p w:rsidR="001E33AF" w:rsidRPr="00C903F8" w:rsidRDefault="001E33AF" w:rsidP="00E1027C">
      <w:pPr>
        <w:spacing w:line="240" w:lineRule="atLeast"/>
      </w:pPr>
    </w:p>
    <w:p w:rsidR="00CA6E56" w:rsidRPr="00C903F8" w:rsidRDefault="00CA6E56" w:rsidP="00CA6E56">
      <w:pPr>
        <w:pStyle w:val="ES-Titre2"/>
      </w:pPr>
      <w:bookmarkStart w:id="12" w:name="_Toc491854006"/>
      <w:bookmarkStart w:id="13" w:name="_Toc535499955"/>
      <w:r>
        <w:lastRenderedPageBreak/>
        <w:t>Capo 2</w:t>
      </w:r>
      <w:r>
        <w:br/>
        <w:t>Procedura</w:t>
      </w:r>
      <w:bookmarkEnd w:id="12"/>
      <w:bookmarkEnd w:id="13"/>
    </w:p>
    <w:p w:rsidR="00AE3F86" w:rsidRPr="00C903F8" w:rsidRDefault="00AE3F86" w:rsidP="00E1027C">
      <w:pPr>
        <w:spacing w:line="240" w:lineRule="atLeast"/>
      </w:pPr>
    </w:p>
    <w:p w:rsidR="00F935C7" w:rsidRPr="00C903F8" w:rsidRDefault="00F935C7" w:rsidP="00F935C7">
      <w:pPr>
        <w:spacing w:line="240" w:lineRule="atLeast"/>
        <w:jc w:val="center"/>
      </w:pPr>
      <w:r>
        <w:t>(Senza oggetto)</w:t>
      </w:r>
    </w:p>
    <w:p w:rsidR="006971A7" w:rsidRPr="00C903F8" w:rsidRDefault="006971A7" w:rsidP="00F935C7">
      <w:pPr>
        <w:spacing w:line="240" w:lineRule="atLeast"/>
        <w:jc w:val="center"/>
      </w:pPr>
    </w:p>
    <w:p w:rsidR="006971A7" w:rsidRPr="00C903F8" w:rsidRDefault="006971A7" w:rsidP="00F935C7">
      <w:pPr>
        <w:spacing w:line="240" w:lineRule="atLeast"/>
        <w:jc w:val="center"/>
      </w:pPr>
    </w:p>
    <w:p w:rsidR="006971A7" w:rsidRPr="00C903F8" w:rsidRDefault="006971A7" w:rsidP="00F935C7">
      <w:pPr>
        <w:spacing w:line="240" w:lineRule="atLeast"/>
        <w:jc w:val="center"/>
      </w:pPr>
    </w:p>
    <w:p w:rsidR="006971A7" w:rsidRPr="00C903F8" w:rsidRDefault="006971A7" w:rsidP="00F935C7">
      <w:pPr>
        <w:spacing w:line="240" w:lineRule="atLeast"/>
        <w:jc w:val="center"/>
      </w:pPr>
    </w:p>
    <w:p w:rsidR="006D6907" w:rsidRPr="00C903F8" w:rsidRDefault="006D6907" w:rsidP="00F935C7">
      <w:pPr>
        <w:spacing w:line="240" w:lineRule="atLeast"/>
        <w:jc w:val="center"/>
      </w:pPr>
      <w:r>
        <w:br w:type="page"/>
      </w:r>
    </w:p>
    <w:p w:rsidR="006971A7" w:rsidRPr="00C903F8" w:rsidRDefault="006971A7" w:rsidP="00F935C7">
      <w:pPr>
        <w:spacing w:line="240" w:lineRule="atLeast"/>
        <w:jc w:val="center"/>
      </w:pPr>
    </w:p>
    <w:p w:rsidR="00AE3F86" w:rsidRPr="00C903F8" w:rsidRDefault="00AE3F86" w:rsidP="00F935C7">
      <w:pPr>
        <w:spacing w:line="240" w:lineRule="atLeast"/>
        <w:jc w:val="center"/>
      </w:pPr>
    </w:p>
    <w:p w:rsidR="00AE3F86" w:rsidRPr="00C903F8" w:rsidRDefault="00AE3F86" w:rsidP="00F935C7">
      <w:pPr>
        <w:spacing w:line="240" w:lineRule="atLeast"/>
        <w:jc w:val="center"/>
        <w:sectPr w:rsidR="00AE3F86" w:rsidRPr="00C903F8" w:rsidSect="0010389F">
          <w:headerReference w:type="default" r:id="rId17"/>
          <w:headerReference w:type="first" r:id="rId18"/>
          <w:footnotePr>
            <w:numRestart w:val="eachPage"/>
          </w:footnotePr>
          <w:pgSz w:w="11906" w:h="16838" w:code="9"/>
          <w:pgMar w:top="1418" w:right="1418" w:bottom="1418" w:left="1418" w:header="709" w:footer="709" w:gutter="0"/>
          <w:pgNumType w:start="1"/>
          <w:cols w:space="709"/>
          <w:titlePg/>
          <w:docGrid w:linePitch="272"/>
        </w:sectPr>
      </w:pPr>
    </w:p>
    <w:p w:rsidR="00436930" w:rsidRPr="00C903F8" w:rsidRDefault="00D71B1A" w:rsidP="00887B58">
      <w:pPr>
        <w:pStyle w:val="ES-Titre1"/>
      </w:pPr>
      <w:bookmarkStart w:id="14" w:name="_Toc491854007"/>
      <w:bookmarkStart w:id="15" w:name="_Toc535499956"/>
      <w:r>
        <w:lastRenderedPageBreak/>
        <w:t>PARTE II</w:t>
      </w:r>
      <w:r>
        <w:br/>
        <w:t>DISPOSIZIONI IN MATERIA DI COSTRUZIONE NAVALE, ALLESTIMENTO E ARMAMENTO</w:t>
      </w:r>
      <w:bookmarkEnd w:id="14"/>
      <w:bookmarkEnd w:id="15"/>
    </w:p>
    <w:p w:rsidR="00887B58" w:rsidRPr="00C903F8" w:rsidRDefault="00887B58" w:rsidP="00887B58">
      <w:pPr>
        <w:pStyle w:val="ES-Titre2"/>
        <w:pageBreakBefore w:val="0"/>
      </w:pPr>
    </w:p>
    <w:p w:rsidR="00436930" w:rsidRPr="00C903F8" w:rsidRDefault="00436930" w:rsidP="00887B58">
      <w:pPr>
        <w:pStyle w:val="ES-Titre2"/>
        <w:pageBreakBefore w:val="0"/>
      </w:pPr>
      <w:bookmarkStart w:id="16" w:name="_Toc491854008"/>
      <w:bookmarkStart w:id="17" w:name="_Toc535499957"/>
      <w:r>
        <w:t>Capo 3</w:t>
      </w:r>
      <w:r>
        <w:br/>
        <w:t>Requisiti in materia di costruzione navale</w:t>
      </w:r>
      <w:bookmarkEnd w:id="16"/>
      <w:bookmarkEnd w:id="17"/>
    </w:p>
    <w:p w:rsidR="00887B58" w:rsidRPr="00C903F8" w:rsidRDefault="00887B58" w:rsidP="00887B58">
      <w:pPr>
        <w:pStyle w:val="ES-Titre3"/>
        <w:spacing w:line="240" w:lineRule="atLeast"/>
      </w:pPr>
    </w:p>
    <w:p w:rsidR="003F616C" w:rsidRPr="00C903F8" w:rsidRDefault="003F616C" w:rsidP="003F616C">
      <w:pPr>
        <w:pStyle w:val="ES-Titre3"/>
      </w:pPr>
      <w:bookmarkStart w:id="18" w:name="_Toc491854009"/>
      <w:bookmarkStart w:id="19" w:name="_Toc535499958"/>
      <w:r>
        <w:t>Articolo 3.01</w:t>
      </w:r>
      <w:r>
        <w:br/>
      </w:r>
      <w:r>
        <w:rPr>
          <w:i/>
        </w:rPr>
        <w:t>Norme di base</w:t>
      </w:r>
      <w:bookmarkEnd w:id="18"/>
      <w:bookmarkEnd w:id="19"/>
    </w:p>
    <w:p w:rsidR="003F616C" w:rsidRPr="00C903F8" w:rsidRDefault="003F616C" w:rsidP="003F616C">
      <w:pPr>
        <w:rPr>
          <w:rFonts w:cs="Arial"/>
          <w:szCs w:val="20"/>
        </w:rPr>
      </w:pPr>
    </w:p>
    <w:p w:rsidR="003F616C" w:rsidRPr="00C903F8" w:rsidRDefault="003F616C" w:rsidP="003F616C">
      <w:pPr>
        <w:rPr>
          <w:rFonts w:cs="Arial"/>
          <w:szCs w:val="20"/>
        </w:rPr>
      </w:pPr>
      <w:r>
        <w:t>Le navi sono costruite secondo le buone pratiche della costruzione navale.</w:t>
      </w:r>
    </w:p>
    <w:p w:rsidR="003F616C" w:rsidRPr="00C903F8" w:rsidRDefault="003F616C" w:rsidP="003F616C">
      <w:pPr>
        <w:rPr>
          <w:rFonts w:cs="Arial"/>
          <w:szCs w:val="20"/>
        </w:rPr>
      </w:pPr>
    </w:p>
    <w:p w:rsidR="003F616C" w:rsidRPr="00C903F8" w:rsidRDefault="003F616C" w:rsidP="003F616C">
      <w:pPr>
        <w:rPr>
          <w:rFonts w:cs="Arial"/>
          <w:szCs w:val="20"/>
        </w:rPr>
      </w:pPr>
    </w:p>
    <w:p w:rsidR="003F616C" w:rsidRPr="00C903F8" w:rsidRDefault="003F616C" w:rsidP="003F616C">
      <w:pPr>
        <w:pStyle w:val="ES-Titre3"/>
      </w:pPr>
      <w:bookmarkStart w:id="20" w:name="_Toc491854010"/>
      <w:bookmarkStart w:id="21" w:name="_Toc535499959"/>
      <w:r>
        <w:t>Articolo 3.02</w:t>
      </w:r>
      <w:r>
        <w:br/>
      </w:r>
      <w:r>
        <w:rPr>
          <w:i/>
        </w:rPr>
        <w:t>Resistenza e stabilità</w:t>
      </w:r>
      <w:bookmarkEnd w:id="20"/>
      <w:bookmarkEnd w:id="21"/>
    </w:p>
    <w:p w:rsidR="003F616C" w:rsidRPr="00C903F8" w:rsidRDefault="003F616C" w:rsidP="003F616C">
      <w:pPr>
        <w:rPr>
          <w:rFonts w:cs="Arial"/>
          <w:szCs w:val="20"/>
        </w:rPr>
      </w:pPr>
    </w:p>
    <w:p w:rsidR="003F616C" w:rsidRPr="00C903F8" w:rsidRDefault="00511BF6" w:rsidP="00511BF6">
      <w:pPr>
        <w:pStyle w:val="ESch"/>
      </w:pPr>
      <w:r>
        <w:t>1.</w:t>
      </w:r>
      <w:r>
        <w:tab/>
        <w:t>REQUISITI IN MATERIA DI COSTRUZIONE NAVALE</w:t>
      </w:r>
    </w:p>
    <w:p w:rsidR="003F616C" w:rsidRPr="00C903F8" w:rsidRDefault="005C7859" w:rsidP="00511BF6">
      <w:pPr>
        <w:pStyle w:val="ESlet"/>
      </w:pPr>
      <w:r>
        <w:t>a)</w:t>
      </w:r>
      <w:r>
        <w:tab/>
        <w:t>Nel caso di navi di recente costruzione o di trasformazioni importanti che incidono sulla resistenza della nave, occorre dimostrare l'esistenza di una resistenza adeguata presentando l'evidenza di calcoli di progetto. Tale evidenza non è richiesta qualora venga presentato un certificato di classificazione o un attestato rilasciato da un organismo di classificazione autorizzato.</w:t>
      </w:r>
    </w:p>
    <w:p w:rsidR="003F616C" w:rsidRPr="00C903F8" w:rsidRDefault="005C7859" w:rsidP="00511BF6">
      <w:pPr>
        <w:pStyle w:val="ESlet"/>
        <w:rPr>
          <w:rFonts w:cs="Arial"/>
          <w:szCs w:val="20"/>
        </w:rPr>
      </w:pPr>
      <w:r>
        <w:t>b)</w:t>
      </w:r>
      <w:r>
        <w:tab/>
        <w:t>In caso di ispezione periodica, lo spessore minimo del fasciame del fondo, della sentina e delle fiancate delle navi in ​acciaio non deve essere inferiore al valore più elevato risultante dalle seguenti formule:</w:t>
      </w:r>
    </w:p>
    <w:p w:rsidR="00767591" w:rsidRPr="00C903F8" w:rsidRDefault="00767591" w:rsidP="00A31E1B">
      <w:pPr>
        <w:spacing w:before="60"/>
        <w:ind w:left="1417"/>
      </w:pPr>
      <w:r>
        <w:t>1.</w:t>
      </w:r>
      <w:r>
        <w:tab/>
        <w:t xml:space="preserve">per le navi di lunghezza superiore a 40 m: </w:t>
      </w:r>
      <m:oMath>
        <m:sSub>
          <m:sSubPr>
            <m:ctrlPr>
              <w:rPr>
                <w:rFonts w:ascii="Cambria Math" w:hAnsi="Cambria Math" w:cs="Arial"/>
                <w:i/>
                <w:szCs w:val="20"/>
              </w:rPr>
            </m:ctrlPr>
          </m:sSubPr>
          <m:e>
            <m:r>
              <w:rPr>
                <w:rFonts w:ascii="Cambria Math" w:hAnsi="Cambria Math" w:cs="Arial"/>
                <w:szCs w:val="20"/>
              </w:rPr>
              <m:t>t</m:t>
            </m:r>
          </m:e>
          <m:sub>
            <m:r>
              <w:rPr>
                <w:rFonts w:ascii="Cambria Math" w:hAnsi="Cambria Math" w:cs="Arial"/>
                <w:szCs w:val="20"/>
              </w:rPr>
              <m:t>min</m:t>
            </m:r>
          </m:sub>
        </m:sSub>
        <m:r>
          <w:rPr>
            <w:rFonts w:ascii="Cambria Math" w:hAnsi="Cambria Math" w:cs="Arial"/>
            <w:szCs w:val="20"/>
          </w:rPr>
          <m:t xml:space="preserve">=f ∙b ∙c </m:t>
        </m:r>
        <m:d>
          <m:dPr>
            <m:ctrlPr>
              <w:rPr>
                <w:rFonts w:ascii="Cambria Math" w:hAnsi="Cambria Math" w:cs="Arial"/>
                <w:i/>
                <w:szCs w:val="20"/>
              </w:rPr>
            </m:ctrlPr>
          </m:dPr>
          <m:e>
            <m:r>
              <w:rPr>
                <w:rFonts w:ascii="Cambria Math" w:hAnsi="Cambria Math" w:cs="Arial"/>
                <w:szCs w:val="20"/>
              </w:rPr>
              <m:t>2,3+0,04 L</m:t>
            </m:r>
          </m:e>
        </m:d>
        <m:d>
          <m:dPr>
            <m:begChr m:val="["/>
            <m:endChr m:val="]"/>
            <m:ctrlPr>
              <w:rPr>
                <w:rFonts w:ascii="Cambria Math" w:hAnsi="Cambria Math" w:cs="Arial"/>
                <w:i/>
                <w:szCs w:val="20"/>
              </w:rPr>
            </m:ctrlPr>
          </m:dPr>
          <m:e>
            <m:r>
              <w:rPr>
                <w:rFonts w:ascii="Cambria Math" w:hAnsi="Cambria Math" w:cs="Arial"/>
                <w:szCs w:val="20"/>
              </w:rPr>
              <m:t>mm</m:t>
            </m:r>
          </m:e>
        </m:d>
        <m:r>
          <w:rPr>
            <w:rFonts w:ascii="Cambria Math" w:hAnsi="Cambria Math" w:cs="Arial"/>
            <w:szCs w:val="20"/>
          </w:rPr>
          <m:t>;</m:t>
        </m:r>
      </m:oMath>
    </w:p>
    <w:p w:rsidR="00767591" w:rsidRPr="00C903F8" w:rsidRDefault="00767591" w:rsidP="00767591">
      <w:pPr>
        <w:spacing w:before="60" w:line="240" w:lineRule="atLeast"/>
        <w:ind w:left="1418" w:firstLine="0"/>
        <w:rPr>
          <w:rFonts w:eastAsia="Calibri"/>
        </w:rPr>
      </w:pPr>
      <w:r>
        <w:t xml:space="preserve">per le navi di lunghezza inferiore a 40 m: </w:t>
      </w:r>
      <m:oMath>
        <m:sSub>
          <m:sSubPr>
            <m:ctrlPr>
              <w:rPr>
                <w:rFonts w:ascii="Cambria Math" w:hAnsi="Cambria Math" w:cs="Arial"/>
                <w:i/>
                <w:szCs w:val="20"/>
              </w:rPr>
            </m:ctrlPr>
          </m:sSubPr>
          <m:e>
            <m:r>
              <w:rPr>
                <w:rFonts w:ascii="Cambria Math" w:hAnsi="Cambria Math" w:cs="Arial"/>
                <w:szCs w:val="20"/>
              </w:rPr>
              <m:t>t</m:t>
            </m:r>
          </m:e>
          <m:sub>
            <m:r>
              <w:rPr>
                <w:rFonts w:ascii="Cambria Math" w:hAnsi="Cambria Math" w:cs="Arial"/>
                <w:szCs w:val="20"/>
              </w:rPr>
              <m:t>min</m:t>
            </m:r>
          </m:sub>
        </m:sSub>
        <m:r>
          <w:rPr>
            <w:rFonts w:ascii="Cambria Math" w:hAnsi="Cambria Math" w:cs="Arial"/>
            <w:szCs w:val="20"/>
          </w:rPr>
          <m:t xml:space="preserve">=f ∙b ∙c </m:t>
        </m:r>
        <m:d>
          <m:dPr>
            <m:ctrlPr>
              <w:rPr>
                <w:rFonts w:ascii="Cambria Math" w:hAnsi="Cambria Math" w:cs="Arial"/>
                <w:i/>
                <w:szCs w:val="20"/>
              </w:rPr>
            </m:ctrlPr>
          </m:dPr>
          <m:e>
            <m:r>
              <w:rPr>
                <w:rFonts w:ascii="Cambria Math" w:hAnsi="Cambria Math" w:cs="Arial"/>
                <w:szCs w:val="20"/>
              </w:rPr>
              <m:t>1,5+0,06 L</m:t>
            </m:r>
          </m:e>
        </m:d>
        <m:d>
          <m:dPr>
            <m:begChr m:val="["/>
            <m:endChr m:val="]"/>
            <m:ctrlPr>
              <w:rPr>
                <w:rFonts w:ascii="Cambria Math" w:hAnsi="Cambria Math" w:cs="Arial"/>
                <w:i/>
                <w:szCs w:val="20"/>
              </w:rPr>
            </m:ctrlPr>
          </m:dPr>
          <m:e>
            <m:r>
              <w:rPr>
                <w:rFonts w:ascii="Cambria Math" w:hAnsi="Cambria Math" w:cs="Arial"/>
                <w:szCs w:val="20"/>
              </w:rPr>
              <m:t>mm</m:t>
            </m:r>
          </m:e>
        </m:d>
        <m:r>
          <w:rPr>
            <w:rFonts w:ascii="Cambria Math" w:hAnsi="Cambria Math" w:cs="Arial"/>
            <w:szCs w:val="20"/>
          </w:rPr>
          <m:t xml:space="preserve">, </m:t>
        </m:r>
      </m:oMath>
      <w:r>
        <w:t>tuttavia, non inferiore a 3,00 mm;</w:t>
      </w:r>
    </w:p>
    <w:p w:rsidR="00767591" w:rsidRPr="00C903F8" w:rsidRDefault="00767591" w:rsidP="00767591">
      <w:pPr>
        <w:spacing w:before="60" w:line="240" w:lineRule="atLeast"/>
        <w:ind w:left="1418"/>
        <w:rPr>
          <w:rFonts w:eastAsia="Calibri"/>
        </w:rPr>
      </w:pPr>
      <w:r>
        <w:t>2.</w:t>
      </w:r>
      <w:r>
        <w:tab/>
      </w:r>
      <m:oMath>
        <m:r>
          <w:rPr>
            <w:rFonts w:ascii="Cambria Math" w:eastAsia="Calibri" w:hAnsi="Cambria Math"/>
          </w:rPr>
          <m:t>t</m:t>
        </m:r>
        <m:r>
          <w:rPr>
            <w:rFonts w:ascii="Cambria Math" w:eastAsia="Calibri" w:hAnsi="Cambria Math"/>
            <w:noProof/>
            <w:snapToGrid w:val="0"/>
            <w:color w:val="000000"/>
            <w:position w:val="-6"/>
            <w:sz w:val="14"/>
          </w:rPr>
          <m:t>min</m:t>
        </m:r>
        <m:r>
          <w:rPr>
            <w:rFonts w:ascii="Cambria Math" w:eastAsia="Calibri" w:hAnsi="Cambria Math"/>
          </w:rPr>
          <m:t xml:space="preserve"> = 0,005 ∙ a </m:t>
        </m:r>
        <m:r>
          <m:rPr>
            <m:sty m:val="p"/>
          </m:rPr>
          <w:rPr>
            <w:rFonts w:ascii="Cambria Math" w:eastAsia="Calibri" w:hAnsi="Cambria Math"/>
            <w:noProof/>
            <w:lang w:val="en-GB" w:eastAsia="en-GB" w:bidi="ar-SA"/>
          </w:rPr>
          <w:drawing>
            <wp:inline distT="0" distB="0" distL="0" distR="0" wp14:anchorId="7C67C101" wp14:editId="33643EEC">
              <wp:extent cx="273050" cy="273050"/>
              <wp:effectExtent l="0" t="0" r="0" b="0"/>
              <wp:docPr id="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inline>
          </w:drawing>
        </m:r>
        <m:r>
          <w:rPr>
            <w:rFonts w:ascii="Cambria Math" w:eastAsia="Calibri" w:hAnsi="Cambria Math"/>
          </w:rPr>
          <m:t xml:space="preserve"> [mm].</m:t>
        </m:r>
      </m:oMath>
    </w:p>
    <w:p w:rsidR="00767591" w:rsidRPr="00C903F8" w:rsidRDefault="00767591" w:rsidP="00767591"/>
    <w:p w:rsidR="003F616C" w:rsidRPr="00C903F8" w:rsidRDefault="003F616C" w:rsidP="00767591">
      <w:pPr>
        <w:ind w:left="1417"/>
      </w:pPr>
      <w:r>
        <w:t>dove:</w:t>
      </w:r>
    </w:p>
    <w:p w:rsidR="003F616C" w:rsidRPr="00C903F8" w:rsidRDefault="00431542" w:rsidP="00511BF6">
      <w:pPr>
        <w:tabs>
          <w:tab w:val="left" w:pos="1418"/>
          <w:tab w:val="left" w:pos="1843"/>
        </w:tabs>
        <w:spacing w:before="60" w:line="240" w:lineRule="atLeast"/>
        <w:ind w:left="1843" w:hanging="850"/>
        <w:rPr>
          <w:rFonts w:eastAsia="Calibri"/>
        </w:rPr>
      </w:pPr>
      <m:oMath>
        <m:r>
          <w:rPr>
            <w:rFonts w:ascii="Cambria Math" w:eastAsia="Calibri" w:hAnsi="Cambria Math"/>
          </w:rPr>
          <m:t>a</m:t>
        </m:r>
      </m:oMath>
      <w:r>
        <w:tab/>
        <w:t>=</w:t>
      </w:r>
      <w:r>
        <w:tab/>
        <w:t>distanza fra le ordinate (mm);</w:t>
      </w:r>
    </w:p>
    <w:p w:rsidR="003F616C" w:rsidRPr="00C903F8" w:rsidRDefault="00431542" w:rsidP="00511BF6">
      <w:pPr>
        <w:tabs>
          <w:tab w:val="left" w:pos="1418"/>
          <w:tab w:val="left" w:pos="1843"/>
        </w:tabs>
        <w:spacing w:before="60" w:line="240" w:lineRule="atLeast"/>
        <w:ind w:left="1843" w:hanging="850"/>
        <w:rPr>
          <w:rFonts w:eastAsia="Calibri"/>
        </w:rPr>
      </w:pPr>
      <m:oMath>
        <m:r>
          <w:rPr>
            <w:rFonts w:ascii="Cambria Math" w:eastAsia="Calibri" w:hAnsi="Cambria Math"/>
          </w:rPr>
          <m:t>f</m:t>
        </m:r>
      </m:oMath>
      <w:r>
        <w:tab/>
        <w:t>=</w:t>
      </w:r>
      <w:r>
        <w:tab/>
        <w:t>fattore per la distanza fra le ordinate</w:t>
      </w:r>
    </w:p>
    <w:p w:rsidR="00767591" w:rsidRPr="00C903F8" w:rsidRDefault="00731F17" w:rsidP="00511BF6">
      <w:pPr>
        <w:tabs>
          <w:tab w:val="left" w:pos="2268"/>
        </w:tabs>
        <w:spacing w:before="60" w:line="240" w:lineRule="atLeast"/>
        <w:ind w:left="2694" w:hanging="851"/>
        <w:rPr>
          <w:rFonts w:eastAsia="Calibri"/>
        </w:rPr>
      </w:pPr>
      <m:oMath>
        <m:r>
          <w:rPr>
            <w:rFonts w:ascii="Cambria Math" w:eastAsia="Calibri" w:hAnsi="Cambria Math"/>
          </w:rPr>
          <m:t>f = 1</m:t>
        </m:r>
      </m:oMath>
      <w:r>
        <w:t xml:space="preserve"> per </w:t>
      </w:r>
      <m:oMath>
        <m:r>
          <w:rPr>
            <w:rFonts w:ascii="Cambria Math" w:eastAsia="Calibri" w:hAnsi="Cambria Math"/>
          </w:rPr>
          <m:t>a ≤500 mm,</m:t>
        </m:r>
      </m:oMath>
      <w:r>
        <w:t xml:space="preserve"> </w:t>
      </w:r>
    </w:p>
    <w:p w:rsidR="003F616C" w:rsidRPr="00C903F8" w:rsidRDefault="00731F17" w:rsidP="00511BF6">
      <w:pPr>
        <w:tabs>
          <w:tab w:val="left" w:pos="2268"/>
        </w:tabs>
        <w:spacing w:before="60" w:line="240" w:lineRule="atLeast"/>
        <w:ind w:left="2694" w:hanging="851"/>
        <w:rPr>
          <w:rFonts w:eastAsia="Calibri"/>
        </w:rPr>
      </w:pPr>
      <m:oMath>
        <m:r>
          <w:rPr>
            <w:rFonts w:ascii="Cambria Math" w:eastAsia="Calibri" w:hAnsi="Cambria Math"/>
          </w:rPr>
          <m:t>f= 1 + 0,0013 (a - 500)</m:t>
        </m:r>
      </m:oMath>
      <w:r>
        <w:t xml:space="preserve"> per </w:t>
      </w:r>
      <m:oMath>
        <m:r>
          <w:rPr>
            <w:rFonts w:ascii="Cambria Math" w:eastAsia="Calibri" w:hAnsi="Cambria Math"/>
          </w:rPr>
          <m:t>a &gt; 500 mm;</m:t>
        </m:r>
      </m:oMath>
    </w:p>
    <w:p w:rsidR="003F616C" w:rsidRPr="00C903F8" w:rsidRDefault="00431542" w:rsidP="00511BF6">
      <w:pPr>
        <w:tabs>
          <w:tab w:val="left" w:pos="1418"/>
          <w:tab w:val="left" w:pos="1843"/>
        </w:tabs>
        <w:spacing w:before="60" w:line="240" w:lineRule="atLeast"/>
        <w:ind w:left="1843" w:hanging="850"/>
        <w:rPr>
          <w:rFonts w:eastAsia="Calibri"/>
        </w:rPr>
      </w:pPr>
      <m:oMath>
        <m:r>
          <w:rPr>
            <w:rFonts w:ascii="Cambria Math" w:eastAsia="Calibri" w:hAnsi="Cambria Math"/>
          </w:rPr>
          <m:t>b</m:t>
        </m:r>
      </m:oMath>
      <w:r>
        <w:tab/>
        <w:t>=</w:t>
      </w:r>
      <w:r>
        <w:tab/>
        <w:t>fattore per fasciame del fondo, delle fiancate o della sentina:</w:t>
      </w:r>
    </w:p>
    <w:p w:rsidR="003F616C" w:rsidRPr="00C903F8" w:rsidRDefault="00731F17" w:rsidP="00511BF6">
      <w:pPr>
        <w:tabs>
          <w:tab w:val="left" w:pos="2268"/>
        </w:tabs>
        <w:spacing w:before="60" w:line="240" w:lineRule="atLeast"/>
        <w:ind w:left="2694" w:hanging="851"/>
        <w:rPr>
          <w:rFonts w:eastAsia="Calibri"/>
        </w:rPr>
      </w:pPr>
      <m:oMath>
        <m:r>
          <w:rPr>
            <w:rFonts w:ascii="Cambria Math" w:eastAsia="Calibri" w:hAnsi="Cambria Math"/>
          </w:rPr>
          <m:t>b = 1,0</m:t>
        </m:r>
      </m:oMath>
      <w:r>
        <w:t xml:space="preserve"> per il fasciame del fondo e il fasciame delle fiancate; </w:t>
      </w:r>
    </w:p>
    <w:p w:rsidR="003F616C" w:rsidRPr="00C903F8" w:rsidRDefault="00731F17" w:rsidP="00511BF6">
      <w:pPr>
        <w:tabs>
          <w:tab w:val="left" w:pos="2268"/>
        </w:tabs>
        <w:spacing w:before="60" w:line="240" w:lineRule="atLeast"/>
        <w:ind w:left="2694" w:hanging="851"/>
        <w:rPr>
          <w:rFonts w:eastAsia="Calibri"/>
        </w:rPr>
      </w:pPr>
      <m:oMath>
        <m:r>
          <w:rPr>
            <w:rFonts w:ascii="Cambria Math" w:eastAsia="Calibri" w:hAnsi="Cambria Math"/>
          </w:rPr>
          <m:t>b = 1,25</m:t>
        </m:r>
      </m:oMath>
      <w:r>
        <w:t xml:space="preserve"> per il fasciame della sentina;</w:t>
      </w:r>
    </w:p>
    <w:p w:rsidR="00767591" w:rsidRPr="00C903F8" w:rsidRDefault="00767591" w:rsidP="00767591">
      <w:pPr>
        <w:rPr>
          <w:rFonts w:cs="Arial"/>
          <w:szCs w:val="20"/>
        </w:rPr>
      </w:pPr>
    </w:p>
    <w:p w:rsidR="003F616C" w:rsidRPr="00C903F8" w:rsidRDefault="00731F17" w:rsidP="009058C5">
      <w:pPr>
        <w:tabs>
          <w:tab w:val="left" w:pos="1418"/>
          <w:tab w:val="left" w:pos="1843"/>
        </w:tabs>
        <w:spacing w:before="60" w:line="240" w:lineRule="atLeast"/>
        <w:ind w:left="1843" w:hanging="850"/>
        <w:rPr>
          <w:rFonts w:eastAsia="Calibri"/>
        </w:rPr>
      </w:pPr>
      <m:oMath>
        <m:r>
          <w:rPr>
            <w:rFonts w:ascii="Cambria Math" w:hAnsi="Cambria Math" w:cs="Arial"/>
          </w:rPr>
          <m:t>f = 1</m:t>
        </m:r>
      </m:oMath>
      <w:r>
        <w:tab/>
        <w:t>può essere assunto per la distanza fra le ordinate nel calcolo dello spessore minimo del fasciame delle fiancate. Tuttavia, lo spessore minimo del fasciame del ginocchio non è mai inferiore a quello del fondo e delle fiancate;</w:t>
      </w:r>
    </w:p>
    <w:p w:rsidR="003F616C" w:rsidRPr="00C903F8" w:rsidRDefault="00431542" w:rsidP="009058C5">
      <w:pPr>
        <w:tabs>
          <w:tab w:val="left" w:pos="1418"/>
          <w:tab w:val="left" w:pos="1843"/>
        </w:tabs>
        <w:spacing w:before="60" w:line="240" w:lineRule="atLeast"/>
        <w:ind w:left="1843" w:hanging="850"/>
        <w:rPr>
          <w:rFonts w:eastAsia="Calibri"/>
        </w:rPr>
      </w:pPr>
      <m:oMath>
        <m:r>
          <w:rPr>
            <w:rFonts w:ascii="Cambria Math" w:eastAsia="Calibri" w:hAnsi="Cambria Math"/>
          </w:rPr>
          <m:t>c</m:t>
        </m:r>
      </m:oMath>
      <w:r>
        <w:tab/>
        <w:t>=</w:t>
      </w:r>
      <w:r>
        <w:tab/>
        <w:t>fattore per il tipo di struttura:</w:t>
      </w:r>
    </w:p>
    <w:p w:rsidR="00767591" w:rsidRPr="00C903F8" w:rsidRDefault="00731F17" w:rsidP="00731F17">
      <w:pPr>
        <w:tabs>
          <w:tab w:val="left" w:pos="2835"/>
        </w:tabs>
        <w:spacing w:before="60" w:line="240" w:lineRule="atLeast"/>
        <w:ind w:left="2835" w:hanging="992"/>
        <w:rPr>
          <w:rFonts w:eastAsia="Calibri"/>
        </w:rPr>
      </w:pPr>
      <m:oMath>
        <m:r>
          <w:rPr>
            <w:rFonts w:ascii="Cambria Math" w:eastAsia="Calibri" w:hAnsi="Cambria Math"/>
          </w:rPr>
          <m:t>c = 0,95</m:t>
        </m:r>
      </m:oMath>
      <w:r>
        <w:tab/>
        <w:t>per le navi con doppio fondo e doppi spazi laterali, in cui la parete che delimita gli spazi laterali e la stiva è sistemata sulla verticale in linea con la mastra;</w:t>
      </w:r>
    </w:p>
    <w:p w:rsidR="003F616C" w:rsidRPr="00C903F8" w:rsidRDefault="00731F17" w:rsidP="00731F17">
      <w:pPr>
        <w:tabs>
          <w:tab w:val="left" w:pos="2835"/>
        </w:tabs>
        <w:spacing w:before="60" w:line="240" w:lineRule="atLeast"/>
        <w:ind w:left="2835" w:hanging="992"/>
        <w:rPr>
          <w:rFonts w:eastAsia="Calibri"/>
        </w:rPr>
      </w:pPr>
      <m:oMath>
        <m:r>
          <w:rPr>
            <w:rFonts w:ascii="Cambria Math" w:eastAsia="Calibri" w:hAnsi="Cambria Math"/>
          </w:rPr>
          <m:t>c = 1,0</m:t>
        </m:r>
      </m:oMath>
      <w:r>
        <w:tab/>
        <w:t>per tutti gli altri tipi di costruzione.</w:t>
      </w:r>
    </w:p>
    <w:p w:rsidR="003F616C" w:rsidRPr="00C903F8" w:rsidRDefault="00850AFF" w:rsidP="00511BF6">
      <w:pPr>
        <w:pStyle w:val="ESlet"/>
      </w:pPr>
      <w:r>
        <w:br w:type="page"/>
      </w:r>
      <w:r>
        <w:lastRenderedPageBreak/>
        <w:t>c)</w:t>
      </w:r>
      <w:r>
        <w:tab/>
        <w:t>I valori minimi dello spessore delle lamiere calcolati con la formula di cui alla lettera b) possono, nel caso di navi a struttura longitudinale con doppio fondo e doppi spazi laterali, essere ridotti se un organismo di classificazione autorizzato stabilisce e certifica con prova di calcolo che i valori ridotti garantiscono una robustezza sufficiente allo scafo (robustezza longitudinale, trasversale e locale).</w:t>
      </w:r>
    </w:p>
    <w:p w:rsidR="003F616C" w:rsidRPr="00C903F8" w:rsidRDefault="003F616C" w:rsidP="009058C5">
      <w:pPr>
        <w:pStyle w:val="ESletpar"/>
      </w:pPr>
      <w:r>
        <w:t>Se i valori misurati sulle lamiere del fondo, della sentina o delle fiancate sono inferiori agli spessori ammissibili così stabiliti, le lamiere sono sostituite.</w:t>
      </w:r>
    </w:p>
    <w:p w:rsidR="003F616C" w:rsidRPr="00C903F8" w:rsidRDefault="003F616C" w:rsidP="009058C5">
      <w:pPr>
        <w:pStyle w:val="ESletpar"/>
        <w:rPr>
          <w:rFonts w:cs="Arial"/>
          <w:szCs w:val="20"/>
        </w:rPr>
      </w:pPr>
      <w:r>
        <w:t>I valori minimi così ottenuti vanno considerati tali in presenza di un'usura normale e uniforme e a condizione che venga utilizzato acciaio per costruzioni navali e che gli elementi interni strutturali, come ordinate, madieri, principali elementi strutturali longitudinali o trasversali siano in buono stato e che lo scafo non indichi un sovraccarico della robustezza longitudinale.</w:t>
      </w:r>
    </w:p>
    <w:p w:rsidR="003F616C" w:rsidRPr="00C903F8" w:rsidRDefault="003F616C" w:rsidP="009058C5">
      <w:pPr>
        <w:pStyle w:val="ESletpar"/>
        <w:rPr>
          <w:rFonts w:cs="Arial"/>
          <w:szCs w:val="20"/>
        </w:rPr>
      </w:pPr>
      <w:r>
        <w:t>In presenza di valori inferiori, le lamiere sono riparate o sostituite. Tuttavia, localmente per piccole zone si possono accettare spessori inferiori di non più del 10 % di riduzione rispetto ai valori calcolati.</w:t>
      </w:r>
    </w:p>
    <w:p w:rsidR="00767591" w:rsidRPr="00C903F8" w:rsidRDefault="00767591" w:rsidP="006A4BCB">
      <w:pPr>
        <w:pStyle w:val="ESch"/>
      </w:pPr>
    </w:p>
    <w:p w:rsidR="003F616C" w:rsidRPr="00C903F8" w:rsidRDefault="003F616C" w:rsidP="008E6308">
      <w:pPr>
        <w:pStyle w:val="ESch"/>
      </w:pPr>
      <w:r>
        <w:t>2.</w:t>
      </w:r>
      <w:r>
        <w:tab/>
        <w:t>Qualora per la costruzione dello scafo si utilizzi un materiale diverso dall'acciaio, si deve provare mediante calcolo che la robustezza (longitudinale, laterale e locale) dello scafo è quantomeno pari alla robustezza che risulterebbe dall'uso dell'acciaio, considerando uno spessore minimo conforme al paragrafo 1. Se si presenta un certificato di classe o un attestato rilasciati da un organismo di classificazione autorizzato, si può fare a meno della prova di calcolo.</w:t>
      </w:r>
    </w:p>
    <w:p w:rsidR="00767591" w:rsidRPr="00C903F8" w:rsidRDefault="00767591" w:rsidP="003F616C">
      <w:pPr>
        <w:rPr>
          <w:rFonts w:cs="Arial"/>
          <w:szCs w:val="20"/>
        </w:rPr>
      </w:pPr>
    </w:p>
    <w:p w:rsidR="003F616C" w:rsidRPr="00C903F8" w:rsidRDefault="003F616C" w:rsidP="008E6308">
      <w:pPr>
        <w:pStyle w:val="ESch"/>
      </w:pPr>
      <w:r>
        <w:t>3.</w:t>
      </w:r>
      <w:r>
        <w:tab/>
        <w:t>La stabilità delle navi è commisurata all'uso cui sono destinate.</w:t>
      </w:r>
    </w:p>
    <w:p w:rsidR="00767591" w:rsidRPr="00C903F8" w:rsidRDefault="00767591" w:rsidP="003F616C">
      <w:pPr>
        <w:rPr>
          <w:rFonts w:cs="Arial"/>
          <w:i/>
          <w:szCs w:val="20"/>
        </w:rPr>
      </w:pPr>
    </w:p>
    <w:p w:rsidR="00767591" w:rsidRPr="00C903F8" w:rsidRDefault="00767591" w:rsidP="003F616C">
      <w:pPr>
        <w:rPr>
          <w:rFonts w:cs="Arial"/>
          <w:i/>
          <w:szCs w:val="20"/>
        </w:rPr>
      </w:pPr>
    </w:p>
    <w:p w:rsidR="003F616C" w:rsidRPr="00C903F8" w:rsidRDefault="003F616C" w:rsidP="00767591">
      <w:pPr>
        <w:pStyle w:val="ES-Titre3"/>
      </w:pPr>
      <w:bookmarkStart w:id="22" w:name="_Toc491854011"/>
      <w:bookmarkStart w:id="23" w:name="_Toc535499960"/>
      <w:r>
        <w:t>Articolo 3.03</w:t>
      </w:r>
      <w:r>
        <w:br/>
      </w:r>
      <w:r>
        <w:rPr>
          <w:i/>
        </w:rPr>
        <w:t>Scafo</w:t>
      </w:r>
      <w:bookmarkEnd w:id="22"/>
      <w:bookmarkEnd w:id="23"/>
    </w:p>
    <w:p w:rsidR="00767591" w:rsidRPr="00C903F8" w:rsidRDefault="00767591" w:rsidP="003F616C">
      <w:pPr>
        <w:rPr>
          <w:rFonts w:cs="Arial"/>
          <w:szCs w:val="20"/>
        </w:rPr>
      </w:pPr>
    </w:p>
    <w:p w:rsidR="003F616C" w:rsidRPr="00C903F8" w:rsidRDefault="003F616C" w:rsidP="009058C5">
      <w:pPr>
        <w:pStyle w:val="ESch"/>
      </w:pPr>
      <w:r>
        <w:t>1.</w:t>
      </w:r>
      <w:r>
        <w:tab/>
        <w:t>È necessario predisporre paratie che si elevano fino al ponte o, in mancanza di ponte, fino al trincarino nei seguenti punti:</w:t>
      </w:r>
    </w:p>
    <w:p w:rsidR="003F616C" w:rsidRPr="00C903F8" w:rsidRDefault="005C7859" w:rsidP="008E6308">
      <w:pPr>
        <w:pStyle w:val="ESlet"/>
      </w:pPr>
      <w:r>
        <w:t>a)</w:t>
      </w:r>
      <w:r>
        <w:tab/>
        <w:t>una paratia di collisione ad una distanza adeguata dalla prua in modo da garantire la galleggiabilità della nave carica con una distanza di sicurezza residua pari a 100 mm in caso di allagamento del compartimento stagno all'acqua situato a prua della paratia di collisione.</w:t>
      </w:r>
    </w:p>
    <w:p w:rsidR="003F616C" w:rsidRPr="00C903F8" w:rsidRDefault="003F616C" w:rsidP="008E6308">
      <w:pPr>
        <w:pStyle w:val="ESletpar"/>
      </w:pPr>
      <w:r>
        <w:t xml:space="preserve">Di norma, il requisito di cui al primo comma si considera soddisfatto quando la paratia di collisione è sistemata a una distanza, misurata dalla perpendicolare avanti sul piano di massima immersione, compresa fra </w:t>
      </w:r>
      <m:oMath>
        <m:r>
          <w:rPr>
            <w:rFonts w:ascii="Cambria Math" w:hAnsi="Cambria Math" w:cs="Arial"/>
            <w:szCs w:val="20"/>
          </w:rPr>
          <m:t>0,04 L</m:t>
        </m:r>
      </m:oMath>
      <w:r>
        <w:t xml:space="preserve"> e </w:t>
      </w:r>
      <m:oMath>
        <m:r>
          <w:rPr>
            <w:rFonts w:ascii="Cambria Math" w:hAnsi="Cambria Math" w:cs="Arial"/>
            <w:szCs w:val="20"/>
          </w:rPr>
          <m:t>0,04 L + 2 m</m:t>
        </m:r>
      </m:oMath>
      <w:r>
        <w:t>.</w:t>
      </w:r>
    </w:p>
    <w:p w:rsidR="003F616C" w:rsidRPr="00C903F8" w:rsidRDefault="003F616C" w:rsidP="008E6308">
      <w:pPr>
        <w:pStyle w:val="ESletpar"/>
      </w:pPr>
      <w:r>
        <w:t xml:space="preserve">Se tale distanza è superiore a </w:t>
      </w:r>
      <m:oMath>
        <m:r>
          <w:rPr>
            <w:rFonts w:ascii="Cambria Math" w:hAnsi="Cambria Math" w:cs="Arial"/>
            <w:szCs w:val="20"/>
          </w:rPr>
          <m:t>0,04 L + 2 m</m:t>
        </m:r>
      </m:oMath>
      <w:r>
        <w:t>, il requisito di cui al primo comma deve essere provato mediante calcolo.</w:t>
      </w:r>
    </w:p>
    <w:p w:rsidR="00767591" w:rsidRPr="00C903F8" w:rsidRDefault="003F616C" w:rsidP="008E6308">
      <w:pPr>
        <w:pStyle w:val="ESletpar"/>
        <w:rPr>
          <w:rFonts w:cs="Arial"/>
          <w:szCs w:val="20"/>
        </w:rPr>
      </w:pPr>
      <w:r>
        <w:t xml:space="preserve">La distanza può essere ridotta fino a </w:t>
      </w:r>
      <m:oMath>
        <m:r>
          <w:rPr>
            <w:rFonts w:ascii="Cambria Math" w:hAnsi="Cambria Math" w:cs="Arial"/>
            <w:szCs w:val="20"/>
          </w:rPr>
          <m:t>0,03 L</m:t>
        </m:r>
      </m:oMath>
      <w:r>
        <w:t>. In questo caso, il requisito di cui al primo comma è provato mediante calcolo considerando che il compartimento a prua della paratia di collisione e quelli contigui sono tutti allagati;</w:t>
      </w:r>
    </w:p>
    <w:p w:rsidR="00C62373" w:rsidRPr="00C903F8" w:rsidRDefault="00C62373" w:rsidP="00767591">
      <w:pPr>
        <w:ind w:firstLine="0"/>
        <w:rPr>
          <w:rFonts w:cs="Arial"/>
          <w:szCs w:val="20"/>
        </w:rPr>
      </w:pPr>
    </w:p>
    <w:p w:rsidR="00C62373" w:rsidRPr="00C903F8" w:rsidRDefault="00C62373" w:rsidP="00767591">
      <w:pPr>
        <w:ind w:firstLine="0"/>
        <w:rPr>
          <w:rFonts w:cs="Arial"/>
          <w:szCs w:val="20"/>
        </w:rPr>
      </w:pPr>
    </w:p>
    <w:p w:rsidR="00767591" w:rsidRPr="00C903F8" w:rsidRDefault="00767591" w:rsidP="00321E38">
      <w:pPr>
        <w:ind w:firstLine="0"/>
        <w:rPr>
          <w:rFonts w:cs="Arial"/>
          <w:szCs w:val="20"/>
        </w:rPr>
      </w:pPr>
      <w:r>
        <w:br w:type="page"/>
      </w:r>
    </w:p>
    <w:p w:rsidR="003F616C" w:rsidRPr="00C903F8" w:rsidRDefault="003F616C" w:rsidP="008E6308">
      <w:pPr>
        <w:pStyle w:val="ESlet"/>
        <w:rPr>
          <w:rFonts w:cs="Arial"/>
          <w:szCs w:val="20"/>
        </w:rPr>
      </w:pPr>
      <w:r>
        <w:lastRenderedPageBreak/>
        <w:t>b)</w:t>
      </w:r>
      <w:r>
        <w:tab/>
        <w:t xml:space="preserve">una paratia del gavone di poppa ad una distanza adeguata dalla poppa, laddove la lunghezza della nave </w:t>
      </w:r>
      <m:oMath>
        <m:r>
          <w:rPr>
            <w:rFonts w:ascii="Cambria Math" w:hAnsi="Cambria Math" w:cs="Arial"/>
            <w:szCs w:val="20"/>
          </w:rPr>
          <m:t>L</m:t>
        </m:r>
      </m:oMath>
      <w:r>
        <w:t xml:space="preserve"> superi i 25 m, in modo da garantire la galleggiabilità della nave carica con una distanza di sicurezza residua pari a 100 mm in caso di allagamento del compartimento stagno all'acqua situato a poppa della paratia del gavone di poppa.</w:t>
      </w:r>
    </w:p>
    <w:p w:rsidR="003F616C" w:rsidRPr="00C903F8" w:rsidRDefault="003F616C" w:rsidP="008E6308">
      <w:pPr>
        <w:pStyle w:val="ESletpar"/>
        <w:rPr>
          <w:rFonts w:cs="Arial"/>
          <w:szCs w:val="20"/>
        </w:rPr>
      </w:pPr>
      <w:r>
        <w:t xml:space="preserve">Di norma, il requisito di cui al primo comma si considera soddisfatto quando la paratia del gavone di poppa è sistemata a una distanza, misurata dal punto a poppa dell'intersezione dello scafo con la linea di massima immersione, compresa fra 1,4 m e </w:t>
      </w:r>
      <m:oMath>
        <m:r>
          <w:rPr>
            <w:rFonts w:ascii="Cambria Math" w:hAnsi="Cambria Math" w:cs="Arial"/>
            <w:szCs w:val="20"/>
          </w:rPr>
          <m:t>0,04 L + 2 m</m:t>
        </m:r>
      </m:oMath>
      <w:r>
        <w:t>.</w:t>
      </w:r>
    </w:p>
    <w:p w:rsidR="003F616C" w:rsidRPr="00C903F8" w:rsidRDefault="003F616C" w:rsidP="008E6308">
      <w:pPr>
        <w:pStyle w:val="ESletpar"/>
        <w:rPr>
          <w:rFonts w:cs="Arial"/>
          <w:szCs w:val="20"/>
        </w:rPr>
      </w:pPr>
      <w:r>
        <w:t xml:space="preserve">Se tale distanza è superiore a </w:t>
      </w:r>
      <m:oMath>
        <m:r>
          <w:rPr>
            <w:rFonts w:ascii="Cambria Math" w:hAnsi="Cambria Math" w:cs="Arial"/>
            <w:szCs w:val="20"/>
          </w:rPr>
          <m:t>0,04 L + 2 m</m:t>
        </m:r>
      </m:oMath>
      <w:r>
        <w:t>, il requisito di cui al primo comma deve essere dimostrato mediante calcolo.</w:t>
      </w:r>
    </w:p>
    <w:p w:rsidR="003F616C" w:rsidRPr="00C903F8" w:rsidRDefault="003F616C" w:rsidP="008E6308">
      <w:pPr>
        <w:pStyle w:val="ESletpar"/>
      </w:pPr>
      <w:r>
        <w:t>La distanza può essere ridotta a 1 m. In tal caso, il requisito di cui al primo comma deve essere corroborato mediante calcolo sulla base del presupposto che il compartimento a poppa della paratia del gavone di poppa e quelli immediatamente adiacenti siano stati allagati.</w:t>
      </w:r>
    </w:p>
    <w:p w:rsidR="00767591" w:rsidRPr="00C903F8" w:rsidRDefault="00767591" w:rsidP="008E6308">
      <w:pPr>
        <w:pStyle w:val="ESch"/>
        <w:rPr>
          <w:rFonts w:cs="Arial"/>
          <w:szCs w:val="20"/>
        </w:rPr>
      </w:pPr>
    </w:p>
    <w:p w:rsidR="005A78A5" w:rsidRDefault="003F616C" w:rsidP="00321E38">
      <w:pPr>
        <w:pStyle w:val="ESch"/>
        <w:rPr>
          <w:rFonts w:cs="Arial"/>
          <w:szCs w:val="20"/>
        </w:rPr>
      </w:pPr>
      <w:r>
        <w:t>2.</w:t>
      </w:r>
      <w:r>
        <w:tab/>
        <w:t xml:space="preserve">Nessun alloggio o impianto necessario alla sicurezza o all'esercizio della nave può trovarsi a prua del piano della paratia di collisione o a poppa della paratia del gavone di poppa. </w:t>
      </w:r>
    </w:p>
    <w:p w:rsidR="005A78A5" w:rsidRDefault="005A78A5" w:rsidP="00321E38">
      <w:pPr>
        <w:pStyle w:val="ESch"/>
        <w:rPr>
          <w:rFonts w:cs="Arial"/>
          <w:szCs w:val="20"/>
        </w:rPr>
      </w:pPr>
    </w:p>
    <w:p w:rsidR="003F616C" w:rsidRPr="00C903F8" w:rsidRDefault="003F616C" w:rsidP="005A78A5">
      <w:pPr>
        <w:pStyle w:val="ESchpar"/>
      </w:pPr>
      <w:r>
        <w:t>Tale obbligo non si applica agli impianti delle ancore o al mezzo di governo.</w:t>
      </w:r>
    </w:p>
    <w:p w:rsidR="00767591" w:rsidRPr="00C903F8" w:rsidRDefault="00767591" w:rsidP="00321E38">
      <w:pPr>
        <w:pStyle w:val="ESch"/>
        <w:rPr>
          <w:rFonts w:cs="Arial"/>
          <w:szCs w:val="20"/>
        </w:rPr>
      </w:pPr>
    </w:p>
    <w:p w:rsidR="003F616C" w:rsidRPr="00C903F8" w:rsidRDefault="003F616C" w:rsidP="00321E38">
      <w:pPr>
        <w:pStyle w:val="ESch"/>
      </w:pPr>
      <w:r>
        <w:t>3.</w:t>
      </w:r>
      <w:r>
        <w:tab/>
        <w:t>Per il calcolo dello spessore minimo del fasciame del ginocchio, è possibile assumere f = 1 per la distanza fra le ordinate. Tuttavia, lo spessore minimo del fasciame del ginocchio non è mai inferiore a quello del fondo e delle fiancate.</w:t>
      </w:r>
    </w:p>
    <w:p w:rsidR="00767591" w:rsidRPr="00C903F8" w:rsidRDefault="00767591" w:rsidP="00321E38">
      <w:pPr>
        <w:pStyle w:val="ESch"/>
        <w:rPr>
          <w:rFonts w:cs="Arial"/>
          <w:szCs w:val="20"/>
        </w:rPr>
      </w:pPr>
    </w:p>
    <w:p w:rsidR="003F616C" w:rsidRPr="00C903F8" w:rsidRDefault="003F616C" w:rsidP="00321E38">
      <w:pPr>
        <w:pStyle w:val="ESch"/>
      </w:pPr>
      <w:r>
        <w:t>4.</w:t>
      </w:r>
      <w:r>
        <w:tab/>
        <w:t>c = 0,95 per le navi con doppio fondo e doppi spazi laterali, in cui la parete che delimita gli spazi laterali e la stiva è sistemata sulla verticale in linea con la mastra c = 1,0 per tutti gli altri tipi di costruzione. I valori minimi dello spessore delle lamiere calcolati con la formula di cui alla lettera b) possono, nel caso di navi a struttura longitudinale con doppio fondo e doppi spazi laterali, essere ridotti se un organismo di classificazione autorizzato stabilisce e certifica con prova di calcolo che i valori ridotti garantiscono una robustezza sufficiente allo scafo (robustezza longitudinale, trasversale e locale). Se i valori misurati sulle lamiere del fondo, del ginocchio o delle fiancate sono inferiori agli spessori ammissibili così stabiliti, le lamiere sono sostituite.</w:t>
      </w:r>
    </w:p>
    <w:p w:rsidR="00767591" w:rsidRPr="00C903F8" w:rsidRDefault="00767591" w:rsidP="00321E38">
      <w:pPr>
        <w:pStyle w:val="ESch"/>
        <w:rPr>
          <w:rFonts w:cs="Arial"/>
          <w:szCs w:val="20"/>
        </w:rPr>
      </w:pPr>
    </w:p>
    <w:p w:rsidR="003F616C" w:rsidRPr="00C903F8" w:rsidRDefault="003F616C" w:rsidP="00321E38">
      <w:pPr>
        <w:pStyle w:val="ESch"/>
      </w:pPr>
      <w:r>
        <w:t>5.</w:t>
      </w:r>
      <w:r>
        <w:tab/>
        <w:t>Le paratie previste ai paragrafi 1 e 3 e le delimitazioni dei locali di cui al paragrafo 4 non sono dotate di aperture.</w:t>
      </w:r>
    </w:p>
    <w:p w:rsidR="00767591" w:rsidRPr="00C903F8" w:rsidRDefault="00767591" w:rsidP="00321E38">
      <w:pPr>
        <w:pStyle w:val="ESch"/>
        <w:rPr>
          <w:rFonts w:cs="Arial"/>
          <w:szCs w:val="20"/>
        </w:rPr>
      </w:pPr>
    </w:p>
    <w:p w:rsidR="003F616C" w:rsidRPr="00C903F8" w:rsidRDefault="003F616C" w:rsidP="00321E38">
      <w:pPr>
        <w:pStyle w:val="ESchpar"/>
      </w:pPr>
      <w:r>
        <w:t>Qualora per la costruzione dello scafo si utilizzi un materiale diverso dall'acciaio, si deve provare mediante calcolo che la robustezza (longitudinale, laterale e locale) dello scafo è quantomeno pari alla robustezza che risulterebbe dall'uso dell'acciaio, considerando uno spessore minimo conforme al paragrafo 1. Se si presenta un certificato di classe o un attestato rilasciati da una società di classificazione riconosciuta, si può fare a meno della prova di calcolo. 3.</w:t>
      </w:r>
    </w:p>
    <w:p w:rsidR="00767591" w:rsidRPr="00C903F8" w:rsidRDefault="00767591" w:rsidP="003F616C">
      <w:pPr>
        <w:rPr>
          <w:rFonts w:cs="Arial"/>
          <w:szCs w:val="20"/>
        </w:rPr>
      </w:pPr>
    </w:p>
    <w:p w:rsidR="003F616C" w:rsidRPr="00C903F8" w:rsidRDefault="003F616C" w:rsidP="00321E38">
      <w:pPr>
        <w:ind w:left="0" w:firstLine="0"/>
        <w:jc w:val="center"/>
        <w:rPr>
          <w:rFonts w:cs="Arial"/>
          <w:szCs w:val="20"/>
        </w:rPr>
      </w:pPr>
      <w:r>
        <w:t>La stabilità delle navi è commisurata all'uso cui sono destinate. Articolo 3.03 Scafo 1.</w:t>
      </w:r>
    </w:p>
    <w:p w:rsidR="00767591" w:rsidRPr="00C903F8" w:rsidRDefault="00767591" w:rsidP="003F616C">
      <w:pPr>
        <w:rPr>
          <w:rFonts w:cs="Arial"/>
          <w:szCs w:val="20"/>
        </w:rPr>
      </w:pPr>
    </w:p>
    <w:p w:rsidR="003F616C" w:rsidRPr="00C903F8" w:rsidRDefault="003F616C" w:rsidP="00321E38">
      <w:pPr>
        <w:pStyle w:val="ESch"/>
      </w:pPr>
      <w:r>
        <w:t>6.</w:t>
      </w:r>
      <w:r>
        <w:tab/>
        <w:t>Di norma, il requisito di cui al primo comma si considera soddisfatto quando la paratia di collisione è sistemata a una distanza, misurata dalla perpendicolare avanti sul piano di massima immersione, compresa fra 0,04 L e 0,04 L + 2 m. Se tale distanza è superiore a 0,04 L + 2 m, il requisito di cui al primo comma deve essere provato mediante calcolo.</w:t>
      </w:r>
    </w:p>
    <w:p w:rsidR="00767591" w:rsidRPr="00C903F8" w:rsidRDefault="00767591" w:rsidP="00321E38">
      <w:pPr>
        <w:pStyle w:val="ESch"/>
        <w:rPr>
          <w:rFonts w:cs="Arial"/>
          <w:szCs w:val="20"/>
        </w:rPr>
      </w:pPr>
    </w:p>
    <w:p w:rsidR="003F616C" w:rsidRPr="00C903F8" w:rsidRDefault="003F616C" w:rsidP="00321E38">
      <w:pPr>
        <w:pStyle w:val="ESch"/>
      </w:pPr>
      <w:r>
        <w:t>7.</w:t>
      </w:r>
      <w:r>
        <w:tab/>
        <w:t>Le prue sono costruite in modo tale che le ancore non sporgano né in tutto né in parte oltre il fasciame.</w:t>
      </w:r>
    </w:p>
    <w:p w:rsidR="003F616C" w:rsidRPr="00C903F8" w:rsidRDefault="00767591" w:rsidP="003F616C">
      <w:pPr>
        <w:rPr>
          <w:rFonts w:cs="Arial"/>
          <w:szCs w:val="20"/>
        </w:rPr>
      </w:pPr>
      <w:r>
        <w:br w:type="page"/>
      </w:r>
    </w:p>
    <w:p w:rsidR="003F616C" w:rsidRPr="00C903F8" w:rsidRDefault="003F616C" w:rsidP="00767591">
      <w:pPr>
        <w:pStyle w:val="ES-Titre3"/>
        <w:rPr>
          <w:i/>
        </w:rPr>
      </w:pPr>
      <w:bookmarkStart w:id="24" w:name="_Toc491854012"/>
      <w:bookmarkStart w:id="25" w:name="_Toc535499961"/>
      <w:r>
        <w:lastRenderedPageBreak/>
        <w:t>Articolo 3.04</w:t>
      </w:r>
      <w:r>
        <w:br/>
      </w:r>
      <w:r>
        <w:rPr>
          <w:i/>
        </w:rPr>
        <w:t>Sale macchine e locali caldaie, serbatoi per il combustibile</w:t>
      </w:r>
      <w:bookmarkEnd w:id="24"/>
      <w:bookmarkEnd w:id="25"/>
    </w:p>
    <w:p w:rsidR="00767591" w:rsidRPr="00C903F8" w:rsidRDefault="00767591" w:rsidP="003F616C">
      <w:pPr>
        <w:rPr>
          <w:rFonts w:cs="Arial"/>
          <w:szCs w:val="20"/>
        </w:rPr>
      </w:pPr>
    </w:p>
    <w:p w:rsidR="003F616C" w:rsidRPr="00C903F8" w:rsidRDefault="003F616C" w:rsidP="00954259">
      <w:pPr>
        <w:pStyle w:val="ESch"/>
      </w:pPr>
      <w:r>
        <w:t>1.</w:t>
      </w:r>
      <w:r>
        <w:tab/>
        <w:t>Gli alloggi, le sale macchine e i locali caldaie, nonché i locali di lavoro che ne fanno parte, sono separati dalle stive da paratie trasversali stagne all'acqua che si elevano fino al ponte.</w:t>
      </w:r>
    </w:p>
    <w:p w:rsidR="00767591" w:rsidRPr="00C903F8" w:rsidRDefault="00767591" w:rsidP="00954259">
      <w:pPr>
        <w:pStyle w:val="ESch"/>
        <w:rPr>
          <w:rFonts w:cs="Arial"/>
          <w:szCs w:val="20"/>
        </w:rPr>
      </w:pPr>
    </w:p>
    <w:p w:rsidR="003F616C" w:rsidRPr="00C903F8" w:rsidRDefault="003F616C" w:rsidP="00954259">
      <w:pPr>
        <w:pStyle w:val="ESch"/>
      </w:pPr>
      <w:r>
        <w:t>2.</w:t>
      </w:r>
      <w:r>
        <w:tab/>
        <w:t>I serbatoi per combustibili liquidi o olio lubrificante non hanno in comune con gli spazi riservati ai passeggeri e con gli alloggi delle superfici che in normali condizioni di servizio siano soggette alla pressione statica del liquido.</w:t>
      </w:r>
    </w:p>
    <w:p w:rsidR="00767591" w:rsidRPr="00C903F8" w:rsidRDefault="00767591" w:rsidP="00954259">
      <w:pPr>
        <w:pStyle w:val="ESch"/>
        <w:rPr>
          <w:rFonts w:cs="Arial"/>
          <w:szCs w:val="20"/>
        </w:rPr>
      </w:pPr>
    </w:p>
    <w:p w:rsidR="003F616C" w:rsidRPr="00C903F8" w:rsidRDefault="003F616C" w:rsidP="00954259">
      <w:pPr>
        <w:pStyle w:val="ESch"/>
      </w:pPr>
      <w:r>
        <w:t>3.</w:t>
      </w:r>
      <w:r>
        <w:tab/>
        <w:t>Le pareti, i soffitti e le porte delle sale macchine, dei locali caldaie e serbatoi sono costruiti in acciaio o in altro materiale equivalente non combustibile.</w:t>
      </w:r>
    </w:p>
    <w:p w:rsidR="00767591" w:rsidRPr="00C903F8" w:rsidRDefault="00767591" w:rsidP="00954259">
      <w:pPr>
        <w:pStyle w:val="ESch"/>
        <w:rPr>
          <w:rFonts w:cs="Arial"/>
          <w:szCs w:val="20"/>
        </w:rPr>
      </w:pPr>
    </w:p>
    <w:p w:rsidR="003F616C" w:rsidRPr="00C903F8" w:rsidRDefault="003F616C" w:rsidP="00954259">
      <w:pPr>
        <w:pStyle w:val="ESchpar"/>
      </w:pPr>
      <w:r>
        <w:t xml:space="preserve">Sono ammesse porte sulla paratia poppiera solo se comandate dalla plancia. Su entrambi i lati delle porte nella paratia del gavone di poppa compare ben leggibile la seguente scritta: </w:t>
      </w:r>
      <w:r w:rsidR="00BF7908">
        <w:t>"</w:t>
      </w:r>
      <w:r>
        <w:t>Chiudere la porta subito dopo il passaggio</w:t>
      </w:r>
      <w:r w:rsidR="00BF7908">
        <w:t>"</w:t>
      </w:r>
      <w:r>
        <w:t>. 6.</w:t>
      </w:r>
    </w:p>
    <w:p w:rsidR="00767591" w:rsidRPr="00C903F8" w:rsidRDefault="00767591" w:rsidP="00954259">
      <w:pPr>
        <w:pStyle w:val="ESchpar"/>
        <w:rPr>
          <w:rFonts w:cs="Arial"/>
          <w:szCs w:val="20"/>
        </w:rPr>
      </w:pPr>
    </w:p>
    <w:p w:rsidR="003F616C" w:rsidRPr="00C903F8" w:rsidRDefault="003F616C" w:rsidP="00954259">
      <w:pPr>
        <w:pStyle w:val="ESchpar"/>
      </w:pPr>
      <w:r>
        <w:t>Le prese d'acqua e gli scarichi, come pure le tubature ad essi raccordate, sono realizzati in modo tale da rendere impossibile qualsiasi infiltrazione non intenzionale d'acqua nella nave. 7. I dispositivi di blocco sono in acciaio o materiale equivalente non combustibile.</w:t>
      </w:r>
    </w:p>
    <w:p w:rsidR="00767591" w:rsidRPr="00C903F8" w:rsidRDefault="00767591" w:rsidP="00954259">
      <w:pPr>
        <w:pStyle w:val="ESch"/>
        <w:rPr>
          <w:rFonts w:cs="Arial"/>
          <w:szCs w:val="20"/>
        </w:rPr>
      </w:pPr>
    </w:p>
    <w:p w:rsidR="003F616C" w:rsidRPr="00C903F8" w:rsidRDefault="003F616C" w:rsidP="00954259">
      <w:pPr>
        <w:pStyle w:val="ESch"/>
      </w:pPr>
      <w:r>
        <w:t>4.</w:t>
      </w:r>
      <w:r>
        <w:tab/>
        <w:t>Le sale macchine, i locali caldaie e gli altri locali nei quali possono sprigionarsi gas infiammabili o tossici devono poter essere sufficientemente aerati.</w:t>
      </w:r>
    </w:p>
    <w:p w:rsidR="00767591" w:rsidRPr="00C903F8" w:rsidRDefault="00767591" w:rsidP="00954259">
      <w:pPr>
        <w:pStyle w:val="ESch"/>
        <w:rPr>
          <w:rFonts w:cs="Arial"/>
          <w:szCs w:val="20"/>
        </w:rPr>
      </w:pPr>
    </w:p>
    <w:p w:rsidR="003F616C" w:rsidRPr="00C903F8" w:rsidRDefault="003F616C" w:rsidP="00954259">
      <w:pPr>
        <w:pStyle w:val="ESch"/>
      </w:pPr>
      <w:r>
        <w:t>5.</w:t>
      </w:r>
      <w:r>
        <w:tab/>
        <w:t>I serbatoi per combustibili liquidi o olio lubrificante non hanno in comune con gli spazi riservati ai passeggeri e con gli alloggi superfici che in normali condizioni di servizio siano soggette alla pressione statica del liquido.</w:t>
      </w:r>
    </w:p>
    <w:p w:rsidR="00767591" w:rsidRPr="00C903F8" w:rsidRDefault="00767591" w:rsidP="00954259">
      <w:pPr>
        <w:pStyle w:val="ESch"/>
        <w:rPr>
          <w:rFonts w:cs="Arial"/>
          <w:szCs w:val="20"/>
        </w:rPr>
      </w:pPr>
    </w:p>
    <w:p w:rsidR="003F616C" w:rsidRPr="00C903F8" w:rsidRDefault="003F616C" w:rsidP="00954259">
      <w:pPr>
        <w:pStyle w:val="ESch"/>
        <w:rPr>
          <w:rFonts w:cs="Arial"/>
          <w:szCs w:val="20"/>
        </w:rPr>
      </w:pPr>
      <w:r>
        <w:t>6.</w:t>
      </w:r>
      <w:r>
        <w:tab/>
        <w:t>Le paratie, i soffitti e le porte delle sale macchine, dei locali caldaie e serbatoi sono costruiti in acciaio o in altro materiale equivalente non combustibile.</w:t>
      </w:r>
    </w:p>
    <w:p w:rsidR="00767591" w:rsidRPr="00C903F8" w:rsidRDefault="00767591" w:rsidP="00954259">
      <w:pPr>
        <w:pStyle w:val="ESch"/>
      </w:pPr>
    </w:p>
    <w:p w:rsidR="003F616C" w:rsidRPr="00C903F8" w:rsidRDefault="003F616C" w:rsidP="00954259">
      <w:pPr>
        <w:pStyle w:val="ESchpar"/>
        <w:rPr>
          <w:rFonts w:cs="Arial"/>
          <w:szCs w:val="20"/>
        </w:rPr>
      </w:pPr>
      <w:r>
        <w:t>Il materiale isolante utilizzato nelle sale macchine è protetto contro la penetrazione di combustibili e vapori di combustibili.</w:t>
      </w:r>
    </w:p>
    <w:p w:rsidR="003F616C" w:rsidRPr="00C903F8" w:rsidRDefault="005C7859" w:rsidP="00954259">
      <w:pPr>
        <w:pStyle w:val="ESlet"/>
        <w:rPr>
          <w:rFonts w:cs="Arial"/>
          <w:szCs w:val="20"/>
        </w:rPr>
      </w:pPr>
      <w:r>
        <w:t>a)</w:t>
      </w:r>
      <w:r>
        <w:tab/>
        <w:t>la superficie totale (lunghezza media. larghezza media al piano di calpestio) della sala macchine o del locale caldaie non supera 35 m</w:t>
      </w:r>
      <w:r>
        <w:rPr>
          <w:vertAlign w:val="superscript"/>
        </w:rPr>
        <w:t>2</w:t>
      </w:r>
      <w:r>
        <w:t>;</w:t>
      </w:r>
      <w:r w:rsidR="00A16690">
        <w:t xml:space="preserve"> </w:t>
      </w:r>
      <w:r>
        <w:t>e</w:t>
      </w:r>
    </w:p>
    <w:p w:rsidR="003F616C" w:rsidRPr="00C903F8" w:rsidRDefault="005C7859" w:rsidP="00954259">
      <w:pPr>
        <w:pStyle w:val="ESlet"/>
      </w:pPr>
      <w:r>
        <w:t>b)</w:t>
      </w:r>
      <w:r>
        <w:tab/>
        <w:t>il percorso tra ciascun punto in cui vanno effettuate le operazioni di servizio o manutenzione fino all'uscita o fino alla base della scala vicina all'uscita che dà accesso all'esterno non ha una lunghezza superiore a 5 m; e</w:t>
      </w:r>
    </w:p>
    <w:p w:rsidR="003F616C" w:rsidRPr="00C903F8" w:rsidRDefault="005C7859" w:rsidP="00954259">
      <w:pPr>
        <w:pStyle w:val="ESlet"/>
      </w:pPr>
      <w:r>
        <w:t>c)</w:t>
      </w:r>
      <w:r>
        <w:tab/>
        <w:t>un estintore è collocato nel punto in cui si effettuano le operazioni di servizio più lontano dalla porta d'uscita, anche nel caso in cui, in deroga all'articolo 13.03, paragrafo 1, lettera e), la potenza installata delle macchine sia minore o uguale a 100 kW.</w:t>
      </w:r>
    </w:p>
    <w:p w:rsidR="00767591" w:rsidRPr="00C903F8" w:rsidRDefault="00767591" w:rsidP="003F616C">
      <w:pPr>
        <w:rPr>
          <w:rFonts w:cs="Arial"/>
          <w:szCs w:val="20"/>
        </w:rPr>
      </w:pPr>
    </w:p>
    <w:p w:rsidR="003F616C" w:rsidRPr="00C903F8" w:rsidRDefault="003F616C" w:rsidP="003F616C">
      <w:pPr>
        <w:rPr>
          <w:rFonts w:cs="Arial"/>
          <w:szCs w:val="20"/>
        </w:rPr>
      </w:pPr>
      <w:r>
        <w:t>7.</w:t>
      </w:r>
      <w:r>
        <w:tab/>
        <w:t>Nelle sale macchine, il massimo livello di pressione acustica ammissibile è 110 dB(A). È possibile fare a meno della seconda uscita quando: a) la superficie totale (lunghezza media. larghezza media al piano di calpestio) della sala macchine o del locale caldaie non supera 35 m2; e</w:t>
      </w:r>
    </w:p>
    <w:p w:rsidR="008D7EA6" w:rsidRPr="00C903F8" w:rsidRDefault="008D7EA6" w:rsidP="00F6236E">
      <w:pPr>
        <w:spacing w:line="240" w:lineRule="atLeast"/>
        <w:ind w:left="567" w:hanging="567"/>
        <w:rPr>
          <w:rFonts w:eastAsia="Calibri"/>
          <w:noProof/>
        </w:rPr>
      </w:pPr>
    </w:p>
    <w:p w:rsidR="008D7EA6" w:rsidRPr="00C903F8" w:rsidRDefault="008D7EA6" w:rsidP="00F6236E">
      <w:pPr>
        <w:spacing w:line="240" w:lineRule="atLeast"/>
        <w:ind w:left="567" w:hanging="567"/>
        <w:rPr>
          <w:rFonts w:eastAsia="Calibri"/>
          <w:noProof/>
        </w:rPr>
      </w:pPr>
    </w:p>
    <w:p w:rsidR="008D7EA6" w:rsidRPr="00C903F8" w:rsidRDefault="008D7EA6" w:rsidP="00F6236E">
      <w:pPr>
        <w:spacing w:line="240" w:lineRule="atLeast"/>
        <w:ind w:left="567" w:hanging="567"/>
        <w:rPr>
          <w:rFonts w:eastAsia="Calibri"/>
          <w:noProof/>
        </w:rPr>
        <w:sectPr w:rsidR="008D7EA6" w:rsidRPr="00C903F8" w:rsidSect="00AC5CC1">
          <w:headerReference w:type="default" r:id="rId20"/>
          <w:headerReference w:type="first" r:id="rId21"/>
          <w:footnotePr>
            <w:numRestart w:val="eachPage"/>
          </w:footnotePr>
          <w:pgSz w:w="11906" w:h="16838" w:code="9"/>
          <w:pgMar w:top="1418" w:right="1418" w:bottom="1418" w:left="1418" w:header="709" w:footer="709" w:gutter="0"/>
          <w:cols w:space="709"/>
          <w:titlePg/>
          <w:docGrid w:linePitch="272"/>
        </w:sectPr>
      </w:pPr>
    </w:p>
    <w:p w:rsidR="001F1A9D" w:rsidRPr="00C903F8" w:rsidRDefault="0060175E" w:rsidP="00E1027C">
      <w:pPr>
        <w:pStyle w:val="ES-Titre2"/>
      </w:pPr>
      <w:bookmarkStart w:id="26" w:name="_Toc491854013"/>
      <w:bookmarkStart w:id="27" w:name="_Toc535499962"/>
      <w:r>
        <w:lastRenderedPageBreak/>
        <w:t>Capo 4</w:t>
      </w:r>
      <w:r>
        <w:br/>
        <w:t>Distanza di sicurezza, bordo libero e scale di immersione</w:t>
      </w:r>
      <w:bookmarkEnd w:id="26"/>
      <w:bookmarkEnd w:id="27"/>
    </w:p>
    <w:p w:rsidR="00EF4E24" w:rsidRPr="00C903F8" w:rsidRDefault="00EF4E24" w:rsidP="00E1027C">
      <w:pPr>
        <w:pStyle w:val="ES-Titre3"/>
        <w:spacing w:line="240" w:lineRule="atLeast"/>
      </w:pPr>
    </w:p>
    <w:p w:rsidR="001F1A9D" w:rsidRPr="00C903F8" w:rsidRDefault="001F1A9D" w:rsidP="00E1027C">
      <w:pPr>
        <w:pStyle w:val="ES-Titre3"/>
        <w:spacing w:line="240" w:lineRule="atLeast"/>
      </w:pPr>
      <w:bookmarkStart w:id="28" w:name="_Toc491854014"/>
      <w:bookmarkStart w:id="29" w:name="_Toc535499963"/>
      <w:r>
        <w:t>Articolo 4.01</w:t>
      </w:r>
      <w:r>
        <w:br/>
      </w:r>
      <w:r>
        <w:rPr>
          <w:i/>
        </w:rPr>
        <w:t>Distanza di sicurezza</w:t>
      </w:r>
      <w:bookmarkEnd w:id="28"/>
      <w:bookmarkEnd w:id="29"/>
    </w:p>
    <w:p w:rsidR="00EF4E24" w:rsidRPr="00C903F8" w:rsidRDefault="00EF4E24" w:rsidP="00E1027C">
      <w:pPr>
        <w:spacing w:line="240" w:lineRule="atLeast"/>
        <w:rPr>
          <w:rFonts w:eastAsia="Calibri"/>
          <w:szCs w:val="20"/>
        </w:rPr>
      </w:pPr>
    </w:p>
    <w:p w:rsidR="001F1A9D" w:rsidRPr="00C903F8" w:rsidRDefault="001F1A9D" w:rsidP="00954259">
      <w:pPr>
        <w:pStyle w:val="ESch"/>
        <w:rPr>
          <w:rFonts w:eastAsia="Calibri"/>
        </w:rPr>
      </w:pPr>
      <w:r>
        <w:t>1.</w:t>
      </w:r>
      <w:r>
        <w:tab/>
        <w:t>La distanza minima è di almeno 300 mm.</w:t>
      </w:r>
    </w:p>
    <w:p w:rsidR="00EF4E24" w:rsidRPr="00C903F8" w:rsidRDefault="00EF4E24" w:rsidP="00954259">
      <w:pPr>
        <w:pStyle w:val="ESch"/>
        <w:rPr>
          <w:rFonts w:eastAsia="Calibri"/>
        </w:rPr>
      </w:pPr>
    </w:p>
    <w:p w:rsidR="001F1A9D" w:rsidRPr="00C903F8" w:rsidRDefault="001F1A9D" w:rsidP="00954259">
      <w:pPr>
        <w:pStyle w:val="ESch"/>
        <w:rPr>
          <w:rFonts w:eastAsia="Calibri"/>
        </w:rPr>
      </w:pPr>
      <w:r>
        <w:t>2.</w:t>
      </w:r>
      <w:r>
        <w:tab/>
        <w:t>Per le navi le cui aperture non dispongono di dispositivi di chiusura a tenuta stagna agli spruzzi e alle intemperie e per quelle che navigano con le stive non coperte, la distanza di sicurezza è maggiorata in modo tale che ogni apertura si trovi ad una distanza minima di 0,50 m dal piano di massima immersione.</w:t>
      </w:r>
    </w:p>
    <w:p w:rsidR="001F1A9D" w:rsidRPr="00C903F8" w:rsidRDefault="001F1A9D" w:rsidP="00E1027C">
      <w:pPr>
        <w:spacing w:line="240" w:lineRule="atLeast"/>
        <w:rPr>
          <w:rFonts w:eastAsia="Calibri"/>
        </w:rPr>
      </w:pPr>
    </w:p>
    <w:p w:rsidR="00EE7E64" w:rsidRPr="00C903F8" w:rsidRDefault="00EE7E64" w:rsidP="00E1027C">
      <w:pPr>
        <w:spacing w:line="240" w:lineRule="atLeast"/>
        <w:rPr>
          <w:rFonts w:eastAsia="Calibri"/>
        </w:rPr>
      </w:pPr>
    </w:p>
    <w:p w:rsidR="001F1A9D" w:rsidRPr="00C903F8" w:rsidRDefault="001F1A9D" w:rsidP="00E1027C">
      <w:pPr>
        <w:pStyle w:val="ES-Titre3"/>
        <w:spacing w:line="240" w:lineRule="atLeast"/>
      </w:pPr>
      <w:bookmarkStart w:id="30" w:name="_Toc491854015"/>
      <w:bookmarkStart w:id="31" w:name="_Toc535499964"/>
      <w:r>
        <w:t>Articolo 4.02</w:t>
      </w:r>
      <w:r>
        <w:br/>
      </w:r>
      <w:r>
        <w:rPr>
          <w:i/>
        </w:rPr>
        <w:t>Bordo libero</w:t>
      </w:r>
      <w:bookmarkEnd w:id="30"/>
      <w:bookmarkEnd w:id="31"/>
    </w:p>
    <w:p w:rsidR="00EF4E24" w:rsidRPr="00C903F8" w:rsidRDefault="00EF4E24" w:rsidP="00E1027C">
      <w:pPr>
        <w:spacing w:line="240" w:lineRule="atLeast"/>
        <w:rPr>
          <w:rFonts w:eastAsia="Calibri"/>
        </w:rPr>
      </w:pPr>
    </w:p>
    <w:p w:rsidR="001F1A9D" w:rsidRPr="00C903F8" w:rsidRDefault="001F1A9D" w:rsidP="00F6236E">
      <w:pPr>
        <w:spacing w:line="240" w:lineRule="atLeast"/>
        <w:ind w:left="567" w:hanging="567"/>
        <w:rPr>
          <w:rFonts w:eastAsia="Calibri"/>
          <w:szCs w:val="20"/>
        </w:rPr>
      </w:pPr>
      <w:r>
        <w:t>1.</w:t>
      </w:r>
      <w:r>
        <w:tab/>
        <w:t>Il bordo libero delle navi dotate di ponte continuo e prive di insellatura e di sovrastrutture è pari a 150 mm.</w:t>
      </w:r>
    </w:p>
    <w:p w:rsidR="00EF4E24" w:rsidRPr="00C903F8" w:rsidRDefault="00EF4E24" w:rsidP="00F6236E">
      <w:pPr>
        <w:spacing w:line="240" w:lineRule="atLeast"/>
        <w:ind w:left="567" w:hanging="567"/>
        <w:rPr>
          <w:rFonts w:eastAsia="Calibri"/>
          <w:szCs w:val="20"/>
        </w:rPr>
      </w:pPr>
    </w:p>
    <w:p w:rsidR="001F1A9D" w:rsidRPr="00C903F8" w:rsidRDefault="001F1A9D" w:rsidP="00F6236E">
      <w:pPr>
        <w:spacing w:line="240" w:lineRule="atLeast"/>
        <w:ind w:left="567" w:hanging="567"/>
        <w:rPr>
          <w:rFonts w:eastAsia="Calibri"/>
          <w:szCs w:val="20"/>
        </w:rPr>
      </w:pPr>
      <w:r>
        <w:t>2.</w:t>
      </w:r>
      <w:r>
        <w:tab/>
        <w:t>Per le navi provviste di insellatura e di sovrastrutture, il bordo libero è calcolato mediante la formula seguente:</w:t>
      </w:r>
    </w:p>
    <w:p w:rsidR="00576124" w:rsidRPr="00C903F8" w:rsidRDefault="00576124" w:rsidP="00F6236E">
      <w:pPr>
        <w:spacing w:line="240" w:lineRule="atLeast"/>
        <w:ind w:left="567" w:hanging="567"/>
        <w:rPr>
          <w:rFonts w:eastAsia="Calibri"/>
          <w:szCs w:val="20"/>
        </w:rPr>
      </w:pPr>
    </w:p>
    <w:p w:rsidR="001F1A9D" w:rsidRPr="00C903F8" w:rsidRDefault="0026577D" w:rsidP="007E2368">
      <w:pPr>
        <w:spacing w:line="240" w:lineRule="atLeast"/>
        <w:ind w:left="0" w:firstLine="0"/>
        <w:jc w:val="center"/>
        <w:rPr>
          <w:rFonts w:eastAsia="Calibri"/>
          <w:szCs w:val="20"/>
        </w:rPr>
      </w:pPr>
      <m:oMathPara>
        <m:oMath>
          <m:r>
            <w:rPr>
              <w:rFonts w:ascii="Cambria Math" w:eastAsia="Calibri" w:hAnsi="Cambria Math" w:cs="Arial"/>
              <w:szCs w:val="22"/>
            </w:rPr>
            <m:t xml:space="preserve">F=150 </m:t>
          </m:r>
          <m:d>
            <m:dPr>
              <m:ctrlPr>
                <w:rPr>
                  <w:rFonts w:ascii="Cambria Math" w:eastAsia="Calibri" w:hAnsi="Cambria Math" w:cs="Arial"/>
                  <w:i/>
                  <w:szCs w:val="22"/>
                </w:rPr>
              </m:ctrlPr>
            </m:dPr>
            <m:e>
              <m:r>
                <w:rPr>
                  <w:rFonts w:ascii="Cambria Math" w:eastAsia="Calibri" w:hAnsi="Cambria Math" w:cs="Arial"/>
                  <w:szCs w:val="22"/>
                </w:rPr>
                <m:t>1- α</m:t>
              </m:r>
            </m:e>
          </m:d>
          <m:r>
            <w:rPr>
              <w:rFonts w:ascii="Cambria Math" w:eastAsia="Calibri" w:hAnsi="Cambria Math" w:cs="Arial"/>
              <w:szCs w:val="22"/>
            </w:rPr>
            <m:t>-</m:t>
          </m:r>
          <m:f>
            <m:fPr>
              <m:ctrlPr>
                <w:rPr>
                  <w:rFonts w:ascii="Cambria Math" w:eastAsia="Calibri" w:hAnsi="Cambria Math" w:cs="Arial"/>
                  <w:i/>
                  <w:szCs w:val="22"/>
                </w:rPr>
              </m:ctrlPr>
            </m:fPr>
            <m:num>
              <m:sSub>
                <m:sSubPr>
                  <m:ctrlPr>
                    <w:rPr>
                      <w:rFonts w:ascii="Cambria Math" w:eastAsia="Calibri" w:hAnsi="Cambria Math" w:cs="Arial"/>
                      <w:i/>
                      <w:szCs w:val="22"/>
                    </w:rPr>
                  </m:ctrlPr>
                </m:sSubPr>
                <m:e>
                  <m:r>
                    <w:rPr>
                      <w:rFonts w:ascii="Cambria Math" w:eastAsia="Calibri" w:hAnsi="Cambria Math" w:cs="Arial"/>
                      <w:szCs w:val="22"/>
                    </w:rPr>
                    <m:t>β</m:t>
                  </m:r>
                </m:e>
                <m:sub>
                  <m:r>
                    <w:rPr>
                      <w:rFonts w:ascii="Cambria Math" w:eastAsia="Calibri" w:hAnsi="Cambria Math" w:cs="Arial"/>
                      <w:szCs w:val="22"/>
                    </w:rPr>
                    <m:t>v</m:t>
                  </m:r>
                </m:sub>
              </m:sSub>
              <m:r>
                <w:rPr>
                  <w:rFonts w:ascii="Cambria Math" w:eastAsia="Calibri" w:hAnsi="Cambria Math" w:cs="Arial"/>
                  <w:szCs w:val="22"/>
                </w:rPr>
                <m:t>∙</m:t>
              </m:r>
              <m:sSub>
                <m:sSubPr>
                  <m:ctrlPr>
                    <w:rPr>
                      <w:rFonts w:ascii="Cambria Math" w:eastAsia="Calibri" w:hAnsi="Cambria Math" w:cs="Arial"/>
                      <w:i/>
                      <w:szCs w:val="22"/>
                    </w:rPr>
                  </m:ctrlPr>
                </m:sSubPr>
                <m:e>
                  <m:r>
                    <w:rPr>
                      <w:rFonts w:ascii="Cambria Math" w:eastAsia="Calibri" w:hAnsi="Cambria Math" w:cs="Arial"/>
                      <w:sz w:val="18"/>
                      <w:szCs w:val="22"/>
                    </w:rPr>
                    <m:t>Se</m:t>
                  </m:r>
                </m:e>
                <m:sub>
                  <m:r>
                    <w:rPr>
                      <w:rFonts w:ascii="Cambria Math" w:eastAsia="Calibri" w:hAnsi="Cambria Math" w:cs="Arial"/>
                      <w:szCs w:val="22"/>
                    </w:rPr>
                    <m:t>v</m:t>
                  </m:r>
                </m:sub>
              </m:sSub>
              <m:r>
                <w:rPr>
                  <w:rFonts w:ascii="Cambria Math" w:eastAsia="Calibri" w:hAnsi="Cambria Math" w:cs="Arial"/>
                  <w:szCs w:val="22"/>
                </w:rPr>
                <m:t xml:space="preserve">+ </m:t>
              </m:r>
              <m:sSub>
                <m:sSubPr>
                  <m:ctrlPr>
                    <w:rPr>
                      <w:rFonts w:ascii="Cambria Math" w:eastAsia="Calibri" w:hAnsi="Cambria Math" w:cs="Arial"/>
                      <w:i/>
                      <w:szCs w:val="22"/>
                    </w:rPr>
                  </m:ctrlPr>
                </m:sSubPr>
                <m:e>
                  <m:r>
                    <w:rPr>
                      <w:rFonts w:ascii="Cambria Math" w:eastAsia="Calibri" w:hAnsi="Cambria Math" w:cs="Arial"/>
                      <w:szCs w:val="22"/>
                    </w:rPr>
                    <m:t>β</m:t>
                  </m:r>
                </m:e>
                <m:sub>
                  <m:r>
                    <w:rPr>
                      <w:rFonts w:ascii="Cambria Math" w:eastAsia="Calibri" w:hAnsi="Cambria Math" w:cs="Arial"/>
                      <w:szCs w:val="22"/>
                    </w:rPr>
                    <m:t>a</m:t>
                  </m:r>
                </m:sub>
              </m:sSub>
              <m:r>
                <w:rPr>
                  <w:rFonts w:ascii="Cambria Math" w:eastAsia="Calibri" w:hAnsi="Cambria Math" w:cs="Arial"/>
                  <w:szCs w:val="22"/>
                </w:rPr>
                <m:t xml:space="preserve">∙ </m:t>
              </m:r>
              <m:sSub>
                <m:sSubPr>
                  <m:ctrlPr>
                    <w:rPr>
                      <w:rFonts w:ascii="Cambria Math" w:eastAsia="Calibri" w:hAnsi="Cambria Math" w:cs="Arial"/>
                      <w:i/>
                      <w:szCs w:val="22"/>
                    </w:rPr>
                  </m:ctrlPr>
                </m:sSubPr>
                <m:e>
                  <m:r>
                    <w:rPr>
                      <w:rFonts w:ascii="Cambria Math" w:eastAsia="Calibri" w:hAnsi="Cambria Math" w:cs="Arial"/>
                      <w:szCs w:val="22"/>
                    </w:rPr>
                    <m:t>Se</m:t>
                  </m:r>
                </m:e>
                <m:sub>
                  <m:r>
                    <w:rPr>
                      <w:rFonts w:ascii="Cambria Math" w:eastAsia="Calibri" w:hAnsi="Cambria Math" w:cs="Arial"/>
                      <w:szCs w:val="22"/>
                    </w:rPr>
                    <m:t>a</m:t>
                  </m:r>
                </m:sub>
              </m:sSub>
            </m:num>
            <m:den>
              <m:r>
                <w:rPr>
                  <w:rFonts w:ascii="Cambria Math" w:eastAsia="Calibri" w:hAnsi="Cambria Math" w:cs="Arial"/>
                  <w:szCs w:val="22"/>
                </w:rPr>
                <m:t>15</m:t>
              </m:r>
            </m:den>
          </m:f>
          <m:r>
            <m:rPr>
              <m:sty m:val="p"/>
            </m:rPr>
            <w:rPr>
              <w:rFonts w:ascii="Cambria Math" w:eastAsia="Calibri" w:hAnsi="Cambria Math" w:cs="Arial"/>
              <w:szCs w:val="22"/>
            </w:rPr>
            <m:t xml:space="preserve"> [mm]</m:t>
          </m:r>
          <m:r>
            <m:rPr>
              <m:sty m:val="p"/>
            </m:rPr>
            <w:rPr>
              <w:rFonts w:eastAsia="Calibri" w:cs="Arial"/>
              <w:szCs w:val="22"/>
            </w:rPr>
            <w:br/>
          </m:r>
        </m:oMath>
      </m:oMathPara>
    </w:p>
    <w:p w:rsidR="001F1A9D" w:rsidRPr="00C903F8" w:rsidRDefault="0060175E" w:rsidP="00F6236E">
      <w:pPr>
        <w:spacing w:line="240" w:lineRule="atLeast"/>
        <w:ind w:left="850" w:hanging="283"/>
        <w:rPr>
          <w:rFonts w:eastAsia="Calibri"/>
          <w:szCs w:val="20"/>
        </w:rPr>
      </w:pPr>
      <w:r>
        <w:t>dove:</w:t>
      </w:r>
    </w:p>
    <w:p w:rsidR="001F1A9D" w:rsidRPr="00C903F8" w:rsidRDefault="00395A9E" w:rsidP="00F6236E">
      <w:pPr>
        <w:spacing w:before="60" w:line="240" w:lineRule="atLeast"/>
        <w:ind w:left="993" w:hanging="426"/>
        <w:rPr>
          <w:rFonts w:eastAsia="Calibri"/>
          <w:szCs w:val="20"/>
        </w:rPr>
      </w:pPr>
      <m:oMath>
        <m:r>
          <w:rPr>
            <w:rFonts w:ascii="Cambria Math" w:eastAsia="Calibri" w:hAnsi="Cambria Math"/>
            <w:szCs w:val="20"/>
          </w:rPr>
          <m:t>α</m:t>
        </m:r>
      </m:oMath>
      <w:r>
        <w:tab/>
        <w:t>coefficiente di correzione che tiene conto di tutte le sovrastrutture considerate;</w:t>
      </w:r>
    </w:p>
    <w:p w:rsidR="001F1A9D" w:rsidRPr="00C903F8" w:rsidRDefault="00624017"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v</m:t>
            </m:r>
          </m:sub>
        </m:sSub>
      </m:oMath>
      <w:r w:rsidR="00801F1F">
        <w:rPr>
          <w:sz w:val="22"/>
        </w:rPr>
        <w:t xml:space="preserve"> </w:t>
      </w:r>
      <w:r w:rsidR="00801F1F">
        <w:tab/>
        <w:t xml:space="preserve">coefficiente di correzione dell'influenza dell'insellatura prodiera dovuta alla presenza di sovrastrutture nel quarto prodiero della lunghezza </w:t>
      </w:r>
      <m:oMath>
        <m:r>
          <w:rPr>
            <w:rFonts w:ascii="Cambria Math" w:hAnsi="Cambria Math" w:cs="Arial"/>
            <w:noProof/>
            <w:szCs w:val="20"/>
          </w:rPr>
          <m:t>L</m:t>
        </m:r>
      </m:oMath>
      <w:r w:rsidR="00801F1F">
        <w:t xml:space="preserve"> della nave;</w:t>
      </w:r>
    </w:p>
    <w:p w:rsidR="001F1A9D" w:rsidRPr="00C903F8" w:rsidRDefault="00624017"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a</m:t>
            </m:r>
          </m:sub>
        </m:sSub>
      </m:oMath>
      <w:r w:rsidR="00801F1F">
        <w:tab/>
        <w:t xml:space="preserve">coefficiente di correzione dell'influenza dell'insellatura poppiera dovuta alla presenza di sovrastrutture nel quarto poppiero della lunghezza </w:t>
      </w:r>
      <m:oMath>
        <m:r>
          <w:rPr>
            <w:rFonts w:ascii="Cambria Math" w:hAnsi="Cambria Math" w:cs="Arial"/>
            <w:noProof/>
            <w:szCs w:val="20"/>
          </w:rPr>
          <m:t>L</m:t>
        </m:r>
      </m:oMath>
      <w:r w:rsidR="00801F1F">
        <w:t xml:space="preserve"> della nave;</w:t>
      </w:r>
    </w:p>
    <w:p w:rsidR="001F1A9D" w:rsidRPr="00C903F8" w:rsidRDefault="00624017"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v</m:t>
            </m:r>
          </m:sub>
        </m:sSub>
      </m:oMath>
      <w:r w:rsidR="00801F1F">
        <w:tab/>
        <w:t>insellatura effettiva prodiera in mm</w:t>
      </w:r>
    </w:p>
    <w:p w:rsidR="001F1A9D" w:rsidRPr="00C903F8" w:rsidRDefault="00624017"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a</m:t>
            </m:r>
          </m:sub>
        </m:sSub>
      </m:oMath>
      <w:r w:rsidR="00801F1F">
        <w:tab/>
        <w:t>insellatura effettiva poppiera in mm.</w:t>
      </w:r>
    </w:p>
    <w:p w:rsidR="00EE7E64" w:rsidRPr="00C903F8" w:rsidRDefault="00EE7E64" w:rsidP="00E1027C">
      <w:pPr>
        <w:spacing w:line="240" w:lineRule="atLeast"/>
        <w:rPr>
          <w:rFonts w:eastAsia="Calibri"/>
          <w:szCs w:val="20"/>
        </w:rPr>
      </w:pPr>
    </w:p>
    <w:p w:rsidR="001F1A9D" w:rsidRPr="00C903F8" w:rsidRDefault="001F1A9D" w:rsidP="00F6236E">
      <w:pPr>
        <w:spacing w:line="240" w:lineRule="atLeast"/>
        <w:ind w:left="567" w:hanging="567"/>
        <w:rPr>
          <w:rFonts w:eastAsia="Calibri"/>
          <w:szCs w:val="20"/>
        </w:rPr>
      </w:pPr>
      <w:r>
        <w:t>3.</w:t>
      </w:r>
      <w:r>
        <w:tab/>
        <w:t xml:space="preserve">Il coefficiente </w:t>
      </w:r>
      <m:oMath>
        <m:r>
          <w:rPr>
            <w:rFonts w:ascii="Cambria Math" w:eastAsia="Calibri" w:hAnsi="Cambria Math"/>
            <w:szCs w:val="20"/>
          </w:rPr>
          <m:t>α</m:t>
        </m:r>
      </m:oMath>
      <w:r>
        <w:t xml:space="preserve"> è calcolato mediante la formula seguente:</w:t>
      </w:r>
    </w:p>
    <w:p w:rsidR="00395A9E" w:rsidRPr="00C903F8" w:rsidRDefault="00395A9E" w:rsidP="00F6236E">
      <w:pPr>
        <w:spacing w:line="240" w:lineRule="atLeast"/>
        <w:ind w:left="567" w:hanging="567"/>
        <w:rPr>
          <w:rFonts w:eastAsia="Calibri"/>
          <w:szCs w:val="20"/>
        </w:rPr>
      </w:pPr>
    </w:p>
    <w:p w:rsidR="0082441A" w:rsidRPr="00C903F8" w:rsidRDefault="00006207" w:rsidP="007E2368">
      <w:pPr>
        <w:spacing w:line="240" w:lineRule="atLeast"/>
        <w:ind w:left="0" w:firstLine="0"/>
        <w:rPr>
          <w:rFonts w:eastAsia="Calibri"/>
          <w:szCs w:val="20"/>
        </w:rPr>
      </w:pPr>
      <m:oMathPara>
        <m:oMath>
          <m:r>
            <w:rPr>
              <w:rFonts w:ascii="Cambria Math" w:eastAsia="Calibri" w:hAnsi="Cambria Math" w:cs="Cambria Math"/>
              <w:szCs w:val="20"/>
            </w:rPr>
            <m:t>α</m:t>
          </m:r>
          <m:r>
            <m:rPr>
              <m:sty m:val="p"/>
            </m:rPr>
            <w:rPr>
              <w:rFonts w:ascii="Cambria Math" w:eastAsia="Calibri" w:hAnsi="Cambria Math" w:cs="Cambria Math"/>
              <w:szCs w:val="20"/>
            </w:rPr>
            <m:t>=</m:t>
          </m:r>
          <m:f>
            <m:fPr>
              <m:ctrlPr>
                <w:rPr>
                  <w:rFonts w:ascii="Cambria Math" w:eastAsia="Calibri" w:hAnsi="Cambria Math"/>
                  <w:szCs w:val="20"/>
                </w:rPr>
              </m:ctrlPr>
            </m:fPr>
            <m:num>
              <m:nary>
                <m:naryPr>
                  <m:chr m:val="∑"/>
                  <m:limLoc m:val="undOvr"/>
                  <m:subHide m:val="1"/>
                  <m:supHide m:val="1"/>
                  <m:ctrlPr>
                    <w:rPr>
                      <w:rFonts w:ascii="Cambria Math" w:eastAsia="Calibri" w:hAnsi="Cambria Math" w:cs="Cambria Math"/>
                      <w:szCs w:val="20"/>
                    </w:rPr>
                  </m:ctrlPr>
                </m:naryPr>
                <m:sub/>
                <m:sup/>
                <m:e>
                  <m:sSub>
                    <m:sSubPr>
                      <m:ctrlPr>
                        <w:rPr>
                          <w:rFonts w:ascii="Cambria Math" w:eastAsia="Calibri" w:hAnsi="Cambria Math" w:cs="Cambria Math"/>
                          <w:i/>
                          <w:szCs w:val="20"/>
                        </w:rPr>
                      </m:ctrlPr>
                    </m:sSubPr>
                    <m:e>
                      <m:r>
                        <w:rPr>
                          <w:rFonts w:ascii="Cambria Math" w:eastAsia="Calibri" w:hAnsi="Cambria Math" w:cs="Cambria Math"/>
                          <w:szCs w:val="20"/>
                        </w:rPr>
                        <m:t>le</m:t>
                      </m:r>
                    </m:e>
                    <m:sub>
                      <m:r>
                        <w:rPr>
                          <w:rFonts w:ascii="Cambria Math" w:eastAsia="Calibri" w:hAnsi="Cambria Math" w:cs="Cambria Math"/>
                          <w:szCs w:val="20"/>
                        </w:rPr>
                        <m:t>a</m:t>
                      </m:r>
                    </m:sub>
                  </m:sSub>
                </m:e>
              </m:nary>
              <m:r>
                <m:rPr>
                  <m:sty m:val="p"/>
                </m:rPr>
                <w:rPr>
                  <w:rFonts w:ascii="Cambria Math" w:eastAsia="Calibri" w:hAnsi="Cambria Math" w:cs="Cambria Math"/>
                  <w:szCs w:val="20"/>
                </w:rPr>
                <m:t xml:space="preserve">+ </m:t>
              </m:r>
              <m:nary>
                <m:naryPr>
                  <m:chr m:val="∑"/>
                  <m:limLoc m:val="undOvr"/>
                  <m:subHide m:val="1"/>
                  <m:supHide m:val="1"/>
                  <m:ctrlPr>
                    <w:rPr>
                      <w:rFonts w:ascii="Cambria Math" w:eastAsia="Calibri" w:hAnsi="Cambria Math" w:cs="Cambria Math"/>
                      <w:szCs w:val="20"/>
                    </w:rPr>
                  </m:ctrlPr>
                </m:naryPr>
                <m:sub/>
                <m:sup/>
                <m:e>
                  <m:sSub>
                    <m:sSubPr>
                      <m:ctrlPr>
                        <w:rPr>
                          <w:rFonts w:ascii="Cambria Math" w:eastAsia="Calibri" w:hAnsi="Cambria Math" w:cs="Cambria Math"/>
                          <w:i/>
                          <w:szCs w:val="20"/>
                        </w:rPr>
                      </m:ctrlPr>
                    </m:sSubPr>
                    <m:e>
                      <m:r>
                        <w:rPr>
                          <w:rFonts w:ascii="Cambria Math" w:eastAsia="Calibri" w:hAnsi="Cambria Math" w:cs="Cambria Math"/>
                          <w:szCs w:val="20"/>
                        </w:rPr>
                        <m:t>le</m:t>
                      </m:r>
                    </m:e>
                    <m:sub>
                      <m:r>
                        <w:rPr>
                          <w:rFonts w:ascii="Cambria Math" w:eastAsia="Calibri" w:hAnsi="Cambria Math" w:cs="Cambria Math"/>
                          <w:szCs w:val="20"/>
                        </w:rPr>
                        <m:t>m</m:t>
                      </m:r>
                    </m:sub>
                  </m:sSub>
                </m:e>
              </m:nary>
              <m:r>
                <w:rPr>
                  <w:rFonts w:ascii="Cambria Math" w:eastAsia="Calibri" w:hAnsi="Cambria Math" w:cs="Cambria Math"/>
                  <w:szCs w:val="20"/>
                </w:rPr>
                <m:t xml:space="preserve">+ </m:t>
              </m:r>
              <m:nary>
                <m:naryPr>
                  <m:chr m:val="∑"/>
                  <m:limLoc m:val="undOvr"/>
                  <m:subHide m:val="1"/>
                  <m:supHide m:val="1"/>
                  <m:ctrlPr>
                    <w:rPr>
                      <w:rFonts w:ascii="Cambria Math" w:eastAsia="Calibri" w:hAnsi="Cambria Math" w:cs="Cambria Math"/>
                      <w:szCs w:val="20"/>
                    </w:rPr>
                  </m:ctrlPr>
                </m:naryPr>
                <m:sub/>
                <m:sup/>
                <m:e>
                  <m:sSub>
                    <m:sSubPr>
                      <m:ctrlPr>
                        <w:rPr>
                          <w:rFonts w:ascii="Cambria Math" w:eastAsia="Calibri" w:hAnsi="Cambria Math" w:cs="Cambria Math"/>
                          <w:i/>
                          <w:szCs w:val="20"/>
                        </w:rPr>
                      </m:ctrlPr>
                    </m:sSubPr>
                    <m:e>
                      <m:r>
                        <w:rPr>
                          <w:rFonts w:ascii="Cambria Math" w:eastAsia="Calibri" w:hAnsi="Cambria Math" w:cs="Cambria Math"/>
                          <w:szCs w:val="20"/>
                        </w:rPr>
                        <m:t>le</m:t>
                      </m:r>
                    </m:e>
                    <m:sub>
                      <m:r>
                        <w:rPr>
                          <w:rFonts w:ascii="Cambria Math" w:eastAsia="Calibri" w:hAnsi="Cambria Math" w:cs="Cambria Math"/>
                          <w:szCs w:val="20"/>
                        </w:rPr>
                        <m:t>v</m:t>
                      </m:r>
                    </m:sub>
                  </m:sSub>
                </m:e>
              </m:nary>
            </m:num>
            <m:den>
              <m:r>
                <m:rPr>
                  <m:sty m:val="p"/>
                </m:rPr>
                <w:rPr>
                  <w:rFonts w:ascii="Cambria Math" w:eastAsia="Calibri" w:hAnsi="Cambria Math" w:cs="Cambria Math"/>
                  <w:szCs w:val="20"/>
                </w:rPr>
                <m:t>L</m:t>
              </m:r>
            </m:den>
          </m:f>
        </m:oMath>
      </m:oMathPara>
    </w:p>
    <w:p w:rsidR="001F1A9D" w:rsidRPr="00C903F8" w:rsidRDefault="001F1A9D" w:rsidP="00E1027C">
      <w:pPr>
        <w:spacing w:line="240" w:lineRule="atLeast"/>
        <w:rPr>
          <w:rFonts w:eastAsia="Calibri"/>
          <w:szCs w:val="20"/>
        </w:rPr>
      </w:pPr>
    </w:p>
    <w:p w:rsidR="001F1A9D" w:rsidRPr="00C903F8" w:rsidRDefault="0060175E" w:rsidP="00F6236E">
      <w:pPr>
        <w:spacing w:line="240" w:lineRule="atLeast"/>
        <w:ind w:left="567" w:firstLine="0"/>
        <w:rPr>
          <w:rFonts w:eastAsia="Calibri"/>
          <w:szCs w:val="20"/>
        </w:rPr>
      </w:pPr>
      <w:r>
        <w:t>dove:</w:t>
      </w:r>
    </w:p>
    <w:p w:rsidR="001F1A9D" w:rsidRPr="00C903F8" w:rsidRDefault="00624017"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le</m:t>
            </m:r>
          </m:e>
          <m:sub>
            <m:r>
              <w:rPr>
                <w:rFonts w:ascii="Cambria Math" w:eastAsia="Calibri" w:hAnsi="Cambria Math"/>
                <w:szCs w:val="20"/>
              </w:rPr>
              <m:t>m</m:t>
            </m:r>
          </m:sub>
        </m:sSub>
      </m:oMath>
      <w:r w:rsidR="00801F1F">
        <w:t xml:space="preserve"> </w:t>
      </w:r>
      <w:r w:rsidR="00801F1F">
        <w:tab/>
        <w:t xml:space="preserve">lunghezza effettiva in m delle sovrastrutture situate nella parte mediana corrispondente alla metà della lunghezza </w:t>
      </w:r>
      <m:oMath>
        <m:r>
          <w:rPr>
            <w:rFonts w:ascii="Cambria Math" w:hAnsi="Cambria Math" w:cs="Arial"/>
            <w:noProof/>
            <w:szCs w:val="20"/>
          </w:rPr>
          <m:t>L</m:t>
        </m:r>
      </m:oMath>
      <w:r w:rsidR="00801F1F">
        <w:t xml:space="preserve"> della nave;</w:t>
      </w:r>
    </w:p>
    <w:p w:rsidR="001F1A9D" w:rsidRPr="00C903F8" w:rsidRDefault="00624017"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le</m:t>
            </m:r>
          </m:e>
          <m:sub>
            <m:r>
              <w:rPr>
                <w:rFonts w:ascii="Cambria Math" w:eastAsia="Calibri" w:hAnsi="Cambria Math"/>
                <w:szCs w:val="20"/>
              </w:rPr>
              <m:t>v</m:t>
            </m:r>
          </m:sub>
        </m:sSub>
      </m:oMath>
      <w:r w:rsidR="00801F1F">
        <w:tab/>
        <w:t xml:space="preserve">lunghezza effettiva in m di una sovrastruttura situata nel quarto prodiero della lunghezza </w:t>
      </w:r>
      <m:oMath>
        <m:r>
          <w:rPr>
            <w:rFonts w:ascii="Cambria Math" w:hAnsi="Cambria Math" w:cs="Arial"/>
            <w:noProof/>
            <w:szCs w:val="20"/>
          </w:rPr>
          <m:t>L</m:t>
        </m:r>
      </m:oMath>
      <w:r w:rsidR="00801F1F">
        <w:t xml:space="preserve"> della nave;</w:t>
      </w:r>
    </w:p>
    <w:p w:rsidR="001F1A9D" w:rsidRPr="00C903F8" w:rsidRDefault="00624017"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le</m:t>
            </m:r>
          </m:e>
          <m:sub>
            <m:r>
              <w:rPr>
                <w:rFonts w:ascii="Cambria Math" w:eastAsia="Calibri" w:hAnsi="Cambria Math"/>
                <w:szCs w:val="20"/>
              </w:rPr>
              <m:t>a</m:t>
            </m:r>
          </m:sub>
        </m:sSub>
      </m:oMath>
      <w:r w:rsidR="00801F1F">
        <w:tab/>
      </w:r>
      <w:r w:rsidR="00801F1F">
        <w:rPr>
          <w:noProof/>
          <w:vertAlign w:val="subscript"/>
        </w:rPr>
        <w:t xml:space="preserve"> </w:t>
      </w:r>
      <w:r w:rsidR="00801F1F">
        <w:t xml:space="preserve">lunghezza effettiva in m di una sovrastruttura situata nel quarto poppiero della lunghezza </w:t>
      </w:r>
      <m:oMath>
        <m:r>
          <w:rPr>
            <w:rFonts w:ascii="Cambria Math" w:hAnsi="Cambria Math" w:cs="Arial"/>
            <w:noProof/>
            <w:szCs w:val="20"/>
          </w:rPr>
          <m:t>L</m:t>
        </m:r>
      </m:oMath>
      <w:r w:rsidR="00801F1F">
        <w:t xml:space="preserve"> della nave.</w:t>
      </w:r>
    </w:p>
    <w:p w:rsidR="00745DD2" w:rsidRPr="00C903F8" w:rsidRDefault="00745DD2" w:rsidP="00E1027C">
      <w:pPr>
        <w:spacing w:line="240" w:lineRule="atLeast"/>
        <w:ind w:left="850"/>
        <w:rPr>
          <w:rFonts w:eastAsia="Calibri"/>
          <w:szCs w:val="20"/>
        </w:rPr>
      </w:pPr>
    </w:p>
    <w:p w:rsidR="004316CC" w:rsidRPr="00C903F8" w:rsidRDefault="004316CC" w:rsidP="00E1027C">
      <w:pPr>
        <w:spacing w:line="240" w:lineRule="atLeast"/>
        <w:ind w:left="850"/>
        <w:rPr>
          <w:rFonts w:eastAsia="Calibri"/>
          <w:szCs w:val="20"/>
        </w:rPr>
      </w:pPr>
      <w:r>
        <w:br w:type="page"/>
      </w:r>
    </w:p>
    <w:p w:rsidR="001F1A9D" w:rsidRPr="00C903F8" w:rsidRDefault="0060175E" w:rsidP="00F6236E">
      <w:pPr>
        <w:spacing w:line="240" w:lineRule="atLeast"/>
        <w:ind w:left="567" w:firstLine="0"/>
        <w:rPr>
          <w:rFonts w:eastAsia="Calibri"/>
          <w:szCs w:val="20"/>
        </w:rPr>
      </w:pPr>
      <w:r>
        <w:lastRenderedPageBreak/>
        <w:t>La lunghezza effettiva di una sovrastruttura si calcola mediante la seguente formula:</w:t>
      </w:r>
    </w:p>
    <w:p w:rsidR="0058606C" w:rsidRPr="00C903F8" w:rsidRDefault="0058606C" w:rsidP="0060175E">
      <w:pPr>
        <w:tabs>
          <w:tab w:val="left" w:pos="1485"/>
        </w:tabs>
        <w:spacing w:line="240" w:lineRule="atLeast"/>
        <w:ind w:left="567" w:firstLine="0"/>
        <w:rPr>
          <w:rFonts w:eastAsia="Calibri"/>
          <w:szCs w:val="20"/>
        </w:rPr>
      </w:pPr>
    </w:p>
    <w:p w:rsidR="0026577D" w:rsidRPr="00C903F8" w:rsidRDefault="00624017" w:rsidP="007E2368">
      <w:pPr>
        <w:tabs>
          <w:tab w:val="left" w:pos="1485"/>
        </w:tabs>
        <w:spacing w:line="240" w:lineRule="atLeast"/>
        <w:ind w:left="0" w:firstLine="0"/>
        <w:rPr>
          <w:rFonts w:eastAsia="Calibri"/>
          <w:szCs w:val="20"/>
        </w:rPr>
      </w:pPr>
      <m:oMathPara>
        <m:oMath>
          <m:sSub>
            <m:sSubPr>
              <m:ctrlPr>
                <w:rPr>
                  <w:rFonts w:ascii="Cambria Math" w:eastAsia="Calibri" w:hAnsi="Cambria Math" w:cs="Arial"/>
                  <w:i/>
                  <w:szCs w:val="22"/>
                </w:rPr>
              </m:ctrlPr>
            </m:sSubPr>
            <m:e>
              <m:r>
                <w:rPr>
                  <w:rFonts w:ascii="Cambria Math" w:eastAsia="Calibri" w:hAnsi="Cambria Math" w:cs="Arial"/>
                  <w:szCs w:val="22"/>
                </w:rPr>
                <m:t>le</m:t>
              </m:r>
            </m:e>
            <m:sub>
              <m:r>
                <w:rPr>
                  <w:rFonts w:ascii="Cambria Math" w:eastAsia="Calibri" w:hAnsi="Cambria Math" w:cs="Arial"/>
                  <w:szCs w:val="22"/>
                </w:rPr>
                <m:t>m</m:t>
              </m:r>
            </m:sub>
          </m:sSub>
          <m:r>
            <w:rPr>
              <w:rFonts w:ascii="Cambria Math" w:eastAsia="Calibri" w:hAnsi="Cambria Math" w:cs="Arial"/>
              <w:szCs w:val="22"/>
            </w:rPr>
            <m:t>=l ∙</m:t>
          </m:r>
          <m:d>
            <m:dPr>
              <m:ctrlPr>
                <w:rPr>
                  <w:rFonts w:ascii="Cambria Math" w:eastAsia="Calibri" w:hAnsi="Cambria Math" w:cs="Arial"/>
                  <w:i/>
                  <w:szCs w:val="22"/>
                </w:rPr>
              </m:ctrlPr>
            </m:dPr>
            <m:e>
              <m:r>
                <w:rPr>
                  <w:rFonts w:ascii="Cambria Math" w:eastAsia="Calibri" w:hAnsi="Cambria Math" w:cs="Arial"/>
                  <w:szCs w:val="22"/>
                </w:rPr>
                <m:t xml:space="preserve">2,5 ∙ </m:t>
              </m:r>
              <m:f>
                <m:fPr>
                  <m:ctrlPr>
                    <w:rPr>
                      <w:rFonts w:ascii="Cambria Math" w:eastAsia="Calibri" w:hAnsi="Cambria Math" w:cs="Arial"/>
                      <w:i/>
                      <w:szCs w:val="22"/>
                    </w:rPr>
                  </m:ctrlPr>
                </m:fPr>
                <m:num>
                  <m:r>
                    <w:rPr>
                      <w:rFonts w:ascii="Cambria Math" w:eastAsia="Calibri" w:hAnsi="Cambria Math" w:cs="Arial"/>
                      <w:szCs w:val="22"/>
                    </w:rPr>
                    <m:t>b</m:t>
                  </m:r>
                </m:num>
                <m:den>
                  <m:r>
                    <w:rPr>
                      <w:rFonts w:ascii="Cambria Math" w:eastAsia="Calibri" w:hAnsi="Cambria Math" w:cs="Arial"/>
                      <w:szCs w:val="22"/>
                    </w:rPr>
                    <m:t>B</m:t>
                  </m:r>
                </m:den>
              </m:f>
              <m:r>
                <w:rPr>
                  <w:rFonts w:ascii="Cambria Math" w:eastAsia="Calibri" w:hAnsi="Cambria Math" w:cs="Arial"/>
                  <w:szCs w:val="22"/>
                </w:rPr>
                <m:t>-1,5</m:t>
              </m:r>
            </m:e>
          </m:d>
          <m:r>
            <w:rPr>
              <w:rFonts w:ascii="Cambria Math" w:eastAsia="Calibri" w:hAnsi="Cambria Math" w:cs="Arial"/>
              <w:szCs w:val="22"/>
            </w:rPr>
            <m:t xml:space="preserve"> ∙ </m:t>
          </m:r>
          <m:f>
            <m:fPr>
              <m:ctrlPr>
                <w:rPr>
                  <w:rFonts w:ascii="Cambria Math" w:eastAsia="Calibri" w:hAnsi="Cambria Math" w:cs="Arial"/>
                  <w:i/>
                  <w:szCs w:val="22"/>
                </w:rPr>
              </m:ctrlPr>
            </m:fPr>
            <m:num>
              <m:r>
                <w:rPr>
                  <w:rFonts w:ascii="Cambria Math" w:eastAsia="Calibri" w:hAnsi="Cambria Math" w:cs="Arial"/>
                  <w:szCs w:val="22"/>
                </w:rPr>
                <m:t>h</m:t>
              </m:r>
            </m:num>
            <m:den>
              <m:r>
                <w:rPr>
                  <w:rFonts w:ascii="Cambria Math" w:eastAsia="Calibri" w:hAnsi="Cambria Math" w:cs="Arial"/>
                  <w:szCs w:val="22"/>
                </w:rPr>
                <m:t>0,36</m:t>
              </m:r>
            </m:den>
          </m:f>
          <m:r>
            <m:rPr>
              <m:sty m:val="p"/>
            </m:rPr>
            <w:rPr>
              <w:rFonts w:ascii="Cambria Math" w:eastAsia="Calibri" w:hAnsi="Cambria Math" w:cs="Arial"/>
              <w:szCs w:val="22"/>
            </w:rPr>
            <m:t xml:space="preserve"> [m]</m:t>
          </m:r>
          <m:r>
            <m:rPr>
              <m:sty m:val="p"/>
            </m:rPr>
            <w:rPr>
              <w:rFonts w:eastAsia="Calibri" w:cs="Arial"/>
              <w:szCs w:val="22"/>
            </w:rPr>
            <w:br/>
          </m:r>
        </m:oMath>
      </m:oMathPara>
    </w:p>
    <w:p w:rsidR="001F1A9D" w:rsidRPr="00C903F8" w:rsidRDefault="00624017" w:rsidP="007E2368">
      <w:pPr>
        <w:tabs>
          <w:tab w:val="left" w:pos="1485"/>
        </w:tabs>
        <w:spacing w:line="240" w:lineRule="atLeast"/>
        <w:ind w:left="0" w:firstLine="0"/>
        <w:rPr>
          <w:rFonts w:eastAsia="Calibri"/>
          <w:szCs w:val="20"/>
        </w:rPr>
      </w:pPr>
      <m:oMathPara>
        <m:oMath>
          <m:sSub>
            <m:sSubPr>
              <m:ctrlPr>
                <w:rPr>
                  <w:rFonts w:ascii="Cambria Math" w:eastAsia="Calibri" w:hAnsi="Cambria Math" w:cs="Arial"/>
                  <w:i/>
                  <w:szCs w:val="22"/>
                </w:rPr>
              </m:ctrlPr>
            </m:sSubPr>
            <m:e>
              <m:r>
                <w:rPr>
                  <w:rFonts w:ascii="Cambria Math" w:eastAsia="Calibri" w:hAnsi="Cambria Math" w:cs="Arial"/>
                  <w:szCs w:val="22"/>
                </w:rPr>
                <m:t>le</m:t>
              </m:r>
            </m:e>
            <m:sub>
              <m:r>
                <w:rPr>
                  <w:rFonts w:ascii="Cambria Math" w:eastAsia="Calibri" w:hAnsi="Cambria Math" w:cs="Arial"/>
                  <w:szCs w:val="22"/>
                </w:rPr>
                <m:t>v</m:t>
              </m:r>
            </m:sub>
          </m:sSub>
          <m:r>
            <w:rPr>
              <w:rFonts w:ascii="Cambria Math" w:eastAsia="Calibri" w:hAnsi="Cambria Math" w:cs="Arial"/>
              <w:szCs w:val="22"/>
            </w:rPr>
            <m:t xml:space="preserve">, resp. </m:t>
          </m:r>
          <m:sSub>
            <m:sSubPr>
              <m:ctrlPr>
                <w:rPr>
                  <w:rFonts w:ascii="Cambria Math" w:eastAsia="Calibri" w:hAnsi="Cambria Math" w:cs="Arial"/>
                  <w:i/>
                  <w:szCs w:val="22"/>
                </w:rPr>
              </m:ctrlPr>
            </m:sSubPr>
            <m:e>
              <m:r>
                <w:rPr>
                  <w:rFonts w:ascii="Cambria Math" w:eastAsia="Calibri" w:hAnsi="Cambria Math" w:cs="Arial"/>
                  <w:szCs w:val="22"/>
                </w:rPr>
                <m:t>le</m:t>
              </m:r>
            </m:e>
            <m:sub>
              <m:r>
                <w:rPr>
                  <w:rFonts w:ascii="Cambria Math" w:eastAsia="Calibri" w:hAnsi="Cambria Math" w:cs="Arial"/>
                  <w:szCs w:val="22"/>
                </w:rPr>
                <m:t>a</m:t>
              </m:r>
            </m:sub>
          </m:sSub>
          <m:r>
            <w:rPr>
              <w:rFonts w:ascii="Cambria Math" w:eastAsia="Calibri" w:hAnsi="Cambria Math" w:cs="Arial"/>
              <w:szCs w:val="22"/>
            </w:rPr>
            <m:t>=l ∙</m:t>
          </m:r>
          <m:d>
            <m:dPr>
              <m:ctrlPr>
                <w:rPr>
                  <w:rFonts w:ascii="Cambria Math" w:eastAsia="Calibri" w:hAnsi="Cambria Math" w:cs="Arial"/>
                  <w:i/>
                  <w:szCs w:val="22"/>
                </w:rPr>
              </m:ctrlPr>
            </m:dPr>
            <m:e>
              <m:r>
                <w:rPr>
                  <w:rFonts w:ascii="Cambria Math" w:eastAsia="Calibri" w:hAnsi="Cambria Math" w:cs="Arial"/>
                  <w:szCs w:val="22"/>
                </w:rPr>
                <m:t xml:space="preserve">2,5 ∙ </m:t>
              </m:r>
              <m:f>
                <m:fPr>
                  <m:ctrlPr>
                    <w:rPr>
                      <w:rFonts w:ascii="Cambria Math" w:eastAsia="Calibri" w:hAnsi="Cambria Math" w:cs="Arial"/>
                      <w:i/>
                      <w:szCs w:val="22"/>
                    </w:rPr>
                  </m:ctrlPr>
                </m:fPr>
                <m:num>
                  <m:r>
                    <w:rPr>
                      <w:rFonts w:ascii="Cambria Math" w:eastAsia="Calibri" w:hAnsi="Cambria Math" w:cs="Arial"/>
                      <w:szCs w:val="22"/>
                    </w:rPr>
                    <m:t>b</m:t>
                  </m:r>
                </m:num>
                <m:den>
                  <m:sSub>
                    <m:sSubPr>
                      <m:ctrlPr>
                        <w:rPr>
                          <w:rFonts w:ascii="Cambria Math" w:eastAsia="Calibri" w:hAnsi="Cambria Math" w:cs="Arial"/>
                          <w:i/>
                          <w:szCs w:val="22"/>
                        </w:rPr>
                      </m:ctrlPr>
                    </m:sSubPr>
                    <m:e>
                      <m:r>
                        <w:rPr>
                          <w:rFonts w:ascii="Cambria Math" w:eastAsia="Calibri" w:hAnsi="Cambria Math" w:cs="Arial"/>
                          <w:szCs w:val="22"/>
                        </w:rPr>
                        <m:t>B</m:t>
                      </m:r>
                    </m:e>
                    <m:sub>
                      <m:r>
                        <w:rPr>
                          <w:rFonts w:ascii="Cambria Math" w:eastAsia="Calibri" w:hAnsi="Cambria Math" w:cs="Arial"/>
                          <w:szCs w:val="22"/>
                        </w:rPr>
                        <m:t>1</m:t>
                      </m:r>
                    </m:sub>
                  </m:sSub>
                </m:den>
              </m:f>
              <m:r>
                <w:rPr>
                  <w:rFonts w:ascii="Cambria Math" w:eastAsia="Calibri" w:hAnsi="Cambria Math" w:cs="Arial"/>
                  <w:szCs w:val="22"/>
                </w:rPr>
                <m:t>-1,5</m:t>
              </m:r>
            </m:e>
          </m:d>
          <m:r>
            <w:rPr>
              <w:rFonts w:ascii="Cambria Math" w:eastAsia="Calibri" w:hAnsi="Cambria Math" w:cs="Arial"/>
              <w:szCs w:val="22"/>
            </w:rPr>
            <m:t xml:space="preserve"> ∙ </m:t>
          </m:r>
          <m:f>
            <m:fPr>
              <m:ctrlPr>
                <w:rPr>
                  <w:rFonts w:ascii="Cambria Math" w:eastAsia="Calibri" w:hAnsi="Cambria Math" w:cs="Arial"/>
                  <w:i/>
                  <w:szCs w:val="22"/>
                </w:rPr>
              </m:ctrlPr>
            </m:fPr>
            <m:num>
              <m:r>
                <w:rPr>
                  <w:rFonts w:ascii="Cambria Math" w:eastAsia="Calibri" w:hAnsi="Cambria Math" w:cs="Arial"/>
                  <w:szCs w:val="22"/>
                </w:rPr>
                <m:t>h</m:t>
              </m:r>
            </m:num>
            <m:den>
              <m:r>
                <w:rPr>
                  <w:rFonts w:ascii="Cambria Math" w:eastAsia="Calibri" w:hAnsi="Cambria Math" w:cs="Arial"/>
                  <w:szCs w:val="22"/>
                </w:rPr>
                <m:t>0,36</m:t>
              </m:r>
            </m:den>
          </m:f>
          <m:r>
            <m:rPr>
              <m:sty m:val="p"/>
            </m:rPr>
            <w:rPr>
              <w:rFonts w:ascii="Cambria Math" w:eastAsia="Calibri" w:hAnsi="Cambria Math" w:cs="Arial"/>
              <w:szCs w:val="22"/>
            </w:rPr>
            <m:t xml:space="preserve"> </m:t>
          </m:r>
          <m:d>
            <m:dPr>
              <m:begChr m:val="["/>
              <m:endChr m:val="]"/>
              <m:ctrlPr>
                <w:rPr>
                  <w:rFonts w:ascii="Cambria Math" w:eastAsia="Calibri" w:hAnsi="Cambria Math" w:cs="Arial"/>
                  <w:szCs w:val="22"/>
                </w:rPr>
              </m:ctrlPr>
            </m:dPr>
            <m:e>
              <m:r>
                <m:rPr>
                  <m:sty m:val="p"/>
                </m:rPr>
                <w:rPr>
                  <w:rFonts w:ascii="Cambria Math" w:eastAsia="Calibri" w:hAnsi="Cambria Math" w:cs="Arial"/>
                  <w:szCs w:val="22"/>
                </w:rPr>
                <m:t>m</m:t>
              </m:r>
            </m:e>
          </m:d>
          <m:r>
            <m:rPr>
              <m:sty m:val="p"/>
            </m:rPr>
            <w:rPr>
              <w:rFonts w:ascii="Cambria Math" w:eastAsia="Calibri" w:hAnsi="Cambria Math" w:cs="Arial"/>
              <w:szCs w:val="22"/>
            </w:rPr>
            <m:t>.</m:t>
          </m:r>
          <m:r>
            <m:rPr>
              <m:sty m:val="p"/>
            </m:rPr>
            <w:rPr>
              <w:rFonts w:eastAsia="Calibri" w:cs="Arial"/>
              <w:szCs w:val="22"/>
            </w:rPr>
            <w:br/>
          </m:r>
        </m:oMath>
      </m:oMathPara>
    </w:p>
    <w:p w:rsidR="001F1A9D" w:rsidRPr="00C903F8" w:rsidRDefault="0060175E" w:rsidP="00F6236E">
      <w:pPr>
        <w:spacing w:line="240" w:lineRule="atLeast"/>
        <w:ind w:left="567" w:firstLine="0"/>
        <w:rPr>
          <w:rFonts w:eastAsia="Calibri"/>
          <w:szCs w:val="20"/>
        </w:rPr>
      </w:pPr>
      <w:r>
        <w:t>dove:</w:t>
      </w:r>
    </w:p>
    <w:p w:rsidR="001F1A9D" w:rsidRPr="00C903F8" w:rsidRDefault="0026577D" w:rsidP="004316CC">
      <w:pPr>
        <w:spacing w:before="60" w:line="240" w:lineRule="atLeast"/>
        <w:ind w:left="992"/>
        <w:rPr>
          <w:rFonts w:eastAsia="Calibri"/>
          <w:szCs w:val="20"/>
        </w:rPr>
      </w:pPr>
      <m:oMath>
        <m:r>
          <w:rPr>
            <w:rFonts w:ascii="Cambria Math" w:eastAsia="Calibri" w:hAnsi="Cambria Math"/>
            <w:szCs w:val="20"/>
          </w:rPr>
          <m:t>l</m:t>
        </m:r>
      </m:oMath>
      <w:r>
        <w:tab/>
        <w:t>lunghezza effettiva in m della sovrastruttura considerata;</w:t>
      </w:r>
    </w:p>
    <w:p w:rsidR="001F1A9D" w:rsidRPr="00C903F8" w:rsidRDefault="0026577D" w:rsidP="004316CC">
      <w:pPr>
        <w:spacing w:before="60" w:line="240" w:lineRule="atLeast"/>
        <w:ind w:left="992"/>
        <w:rPr>
          <w:rFonts w:eastAsia="Calibri"/>
          <w:szCs w:val="20"/>
        </w:rPr>
      </w:pPr>
      <m:oMath>
        <m:r>
          <w:rPr>
            <w:rFonts w:ascii="Cambria Math" w:eastAsia="Calibri" w:hAnsi="Cambria Math"/>
            <w:szCs w:val="20"/>
          </w:rPr>
          <m:t>b</m:t>
        </m:r>
      </m:oMath>
      <w:r>
        <w:tab/>
        <w:t>larghezza in m della sovrastruttura considerata;</w:t>
      </w:r>
    </w:p>
    <w:p w:rsidR="001F1A9D" w:rsidRPr="00C903F8" w:rsidRDefault="00624017" w:rsidP="004316CC">
      <w:pPr>
        <w:spacing w:before="60" w:line="240" w:lineRule="atLeast"/>
        <w:ind w:left="992"/>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B</m:t>
            </m:r>
          </m:e>
          <m:sub>
            <m:r>
              <w:rPr>
                <w:rFonts w:ascii="Cambria Math" w:eastAsia="Calibri" w:hAnsi="Cambria Math"/>
                <w:szCs w:val="20"/>
              </w:rPr>
              <m:t>1</m:t>
            </m:r>
          </m:sub>
        </m:sSub>
      </m:oMath>
      <w:r w:rsidR="00801F1F">
        <w:t xml:space="preserve"> </w:t>
      </w:r>
      <w:r w:rsidR="00801F1F">
        <w:tab/>
        <w:t>larghezza in m della nave misurata esternamente al fasciame all'altezza del ponte, a metà lunghezza della sovrastruttura in questione</w:t>
      </w:r>
    </w:p>
    <w:p w:rsidR="001F1A9D" w:rsidRPr="00C903F8" w:rsidRDefault="0026577D" w:rsidP="004316CC">
      <w:pPr>
        <w:spacing w:before="60" w:line="240" w:lineRule="atLeast"/>
        <w:ind w:left="992"/>
        <w:rPr>
          <w:rFonts w:eastAsia="Calibri"/>
          <w:szCs w:val="20"/>
        </w:rPr>
      </w:pPr>
      <m:oMath>
        <m:r>
          <w:rPr>
            <w:rFonts w:ascii="Cambria Math" w:eastAsia="Calibri" w:hAnsi="Cambria Math"/>
            <w:szCs w:val="20"/>
          </w:rPr>
          <m:t>h</m:t>
        </m:r>
      </m:oMath>
      <w:r>
        <w:tab/>
        <w:t xml:space="preserve">altezza in m della sovrastruttura considerata. Per i boccaporti, tuttavia, </w:t>
      </w:r>
      <m:oMath>
        <m:r>
          <w:rPr>
            <w:rFonts w:ascii="Cambria Math" w:eastAsia="Calibri" w:hAnsi="Cambria Math"/>
            <w:szCs w:val="20"/>
          </w:rPr>
          <m:t>h</m:t>
        </m:r>
      </m:oMath>
      <w:r>
        <w:t xml:space="preserve"> si ottiene sottraendo dall'altezza delle mastre la metà della distanza di sicurezza conformemente all'articolo 4.01. Il valore di </w:t>
      </w:r>
      <m:oMath>
        <m:r>
          <w:rPr>
            <w:rFonts w:ascii="Cambria Math" w:eastAsia="Calibri" w:hAnsi="Cambria Math"/>
            <w:szCs w:val="20"/>
          </w:rPr>
          <m:t>h</m:t>
        </m:r>
      </m:oMath>
      <w:r>
        <w:t xml:space="preserve"> non potrà comunque in nessun caso essere superiore a 0,36 m.</w:t>
      </w:r>
    </w:p>
    <w:p w:rsidR="001F1A9D" w:rsidRPr="00C903F8" w:rsidRDefault="0060175E" w:rsidP="004316CC">
      <w:pPr>
        <w:spacing w:before="60" w:line="240" w:lineRule="atLeast"/>
        <w:ind w:left="992"/>
        <w:rPr>
          <w:rFonts w:eastAsia="Calibri"/>
          <w:szCs w:val="20"/>
        </w:rPr>
      </w:pPr>
      <w:r>
        <w:t xml:space="preserve">Se </w:t>
      </w:r>
      <m:oMath>
        <m:f>
          <m:fPr>
            <m:ctrlPr>
              <w:rPr>
                <w:rFonts w:ascii="Cambria Math" w:eastAsia="Calibri" w:hAnsi="Cambria Math"/>
                <w:i/>
                <w:sz w:val="24"/>
                <w:szCs w:val="20"/>
              </w:rPr>
            </m:ctrlPr>
          </m:fPr>
          <m:num>
            <m:r>
              <w:rPr>
                <w:rFonts w:ascii="Cambria Math" w:eastAsia="Calibri" w:hAnsi="Cambria Math"/>
                <w:sz w:val="24"/>
                <w:szCs w:val="20"/>
              </w:rPr>
              <m:t>b</m:t>
            </m:r>
          </m:num>
          <m:den>
            <m:r>
              <w:rPr>
                <w:rFonts w:ascii="Cambria Math" w:eastAsia="Calibri" w:hAnsi="Cambria Math"/>
                <w:sz w:val="24"/>
                <w:szCs w:val="20"/>
              </w:rPr>
              <m:t>B</m:t>
            </m:r>
          </m:den>
        </m:f>
      </m:oMath>
      <w:r>
        <w:rPr>
          <w:sz w:val="24"/>
        </w:rPr>
        <w:t xml:space="preserve"> </w:t>
      </w:r>
      <w:r>
        <w:t xml:space="preserve">o </w:t>
      </w:r>
      <m:oMath>
        <m:f>
          <m:fPr>
            <m:ctrlPr>
              <w:rPr>
                <w:rFonts w:ascii="Cambria Math" w:eastAsia="Calibri" w:hAnsi="Cambria Math"/>
                <w:i/>
                <w:sz w:val="24"/>
                <w:szCs w:val="20"/>
              </w:rPr>
            </m:ctrlPr>
          </m:fPr>
          <m:num>
            <m:r>
              <w:rPr>
                <w:rFonts w:ascii="Cambria Math" w:eastAsia="Calibri" w:hAnsi="Cambria Math"/>
                <w:sz w:val="24"/>
                <w:szCs w:val="20"/>
              </w:rPr>
              <m:t>b</m:t>
            </m:r>
          </m:num>
          <m:den>
            <m:sSub>
              <m:sSubPr>
                <m:ctrlPr>
                  <w:rPr>
                    <w:rFonts w:ascii="Cambria Math" w:eastAsia="Calibri" w:hAnsi="Cambria Math"/>
                    <w:i/>
                    <w:sz w:val="24"/>
                    <w:szCs w:val="20"/>
                  </w:rPr>
                </m:ctrlPr>
              </m:sSubPr>
              <m:e>
                <m:r>
                  <w:rPr>
                    <w:rFonts w:ascii="Cambria Math" w:eastAsia="Calibri" w:hAnsi="Cambria Math"/>
                    <w:sz w:val="24"/>
                    <w:szCs w:val="20"/>
                  </w:rPr>
                  <m:t>B</m:t>
                </m:r>
              </m:e>
              <m:sub>
                <m:r>
                  <w:rPr>
                    <w:rFonts w:ascii="Cambria Math" w:eastAsia="Calibri" w:hAnsi="Cambria Math"/>
                    <w:sz w:val="24"/>
                    <w:szCs w:val="20"/>
                  </w:rPr>
                  <m:t>1</m:t>
                </m:r>
              </m:sub>
            </m:sSub>
          </m:den>
        </m:f>
        <m:r>
          <w:rPr>
            <w:rFonts w:ascii="Cambria Math" w:eastAsia="Calibri" w:hAnsi="Cambria Math"/>
            <w:sz w:val="24"/>
            <w:szCs w:val="20"/>
          </w:rPr>
          <m:t xml:space="preserve"> </m:t>
        </m:r>
      </m:oMath>
      <w:r>
        <w:t xml:space="preserve">è inferiore a 0,6, la lunghezza effettiva </w:t>
      </w:r>
      <m:oMath>
        <m:r>
          <w:rPr>
            <w:rFonts w:ascii="Cambria Math" w:eastAsia="Calibri" w:hAnsi="Cambria Math"/>
            <w:szCs w:val="20"/>
          </w:rPr>
          <m:t>le</m:t>
        </m:r>
      </m:oMath>
      <w:r>
        <w:t xml:space="preserve"> della sovrastruttura sarà pari a zero.</w:t>
      </w:r>
    </w:p>
    <w:p w:rsidR="00745DD2" w:rsidRPr="00C903F8" w:rsidRDefault="00745DD2" w:rsidP="00E1027C">
      <w:pPr>
        <w:spacing w:line="240" w:lineRule="atLeast"/>
        <w:rPr>
          <w:rFonts w:eastAsia="Calibri"/>
          <w:szCs w:val="20"/>
        </w:rPr>
      </w:pPr>
    </w:p>
    <w:p w:rsidR="001F1A9D" w:rsidRPr="00C903F8" w:rsidRDefault="001F1A9D" w:rsidP="00111867">
      <w:pPr>
        <w:pStyle w:val="ESch"/>
        <w:rPr>
          <w:rFonts w:eastAsia="Calibri"/>
        </w:rPr>
      </w:pPr>
      <w:r>
        <w:t>4.</w:t>
      </w:r>
      <w:r>
        <w:tab/>
        <w:t xml:space="preserve">I coefficienti </w:t>
      </w: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v</m:t>
            </m:r>
          </m:sub>
        </m:sSub>
      </m:oMath>
      <w:r>
        <w:t xml:space="preserve"> e </w:t>
      </w: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a</m:t>
            </m:r>
          </m:sub>
        </m:sSub>
      </m:oMath>
      <w:r>
        <w:t xml:space="preserve"> e si calcolano mediante le formule seguenti:</w:t>
      </w:r>
    </w:p>
    <w:p w:rsidR="00BE2487" w:rsidRPr="00C903F8" w:rsidRDefault="00BE2487" w:rsidP="00111867">
      <w:pPr>
        <w:pStyle w:val="ESch"/>
        <w:rPr>
          <w:rFonts w:eastAsia="Calibri"/>
        </w:rPr>
      </w:pPr>
    </w:p>
    <w:p w:rsidR="00BE2487" w:rsidRPr="00C903F8" w:rsidRDefault="00624017" w:rsidP="007E2368">
      <w:pPr>
        <w:pStyle w:val="ESch"/>
        <w:ind w:left="0" w:firstLine="0"/>
        <w:jc w:val="center"/>
        <w:rPr>
          <w:rFonts w:eastAsia="Calibri"/>
        </w:rPr>
      </w:pPr>
      <m:oMathPara>
        <m:oMath>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 xml:space="preserve">v </m:t>
              </m:r>
            </m:sub>
          </m:sSub>
          <m:r>
            <w:rPr>
              <w:rFonts w:ascii="Cambria Math" w:eastAsia="Calibri" w:hAnsi="Cambria Math"/>
            </w:rPr>
            <m:t xml:space="preserve">=1- </m:t>
          </m:r>
          <m:f>
            <m:fPr>
              <m:ctrlPr>
                <w:rPr>
                  <w:rFonts w:ascii="Cambria Math" w:eastAsia="Calibri" w:hAnsi="Cambria Math"/>
                  <w:i/>
                </w:rPr>
              </m:ctrlPr>
            </m:fPr>
            <m:num>
              <m:r>
                <w:rPr>
                  <w:rFonts w:ascii="Cambria Math" w:eastAsia="Calibri" w:hAnsi="Cambria Math"/>
                </w:rPr>
                <m:t xml:space="preserve">3 ∙ </m:t>
              </m:r>
              <m:sSub>
                <m:sSubPr>
                  <m:ctrlPr>
                    <w:rPr>
                      <w:rFonts w:ascii="Cambria Math" w:eastAsia="Calibri" w:hAnsi="Cambria Math"/>
                      <w:i/>
                    </w:rPr>
                  </m:ctrlPr>
                </m:sSubPr>
                <m:e>
                  <m:r>
                    <w:rPr>
                      <w:rFonts w:ascii="Cambria Math" w:eastAsia="Calibri" w:hAnsi="Cambria Math"/>
                    </w:rPr>
                    <m:t>le</m:t>
                  </m:r>
                </m:e>
                <m:sub>
                  <m:r>
                    <w:rPr>
                      <w:rFonts w:ascii="Cambria Math" w:eastAsia="Calibri" w:hAnsi="Cambria Math"/>
                    </w:rPr>
                    <m:t>v</m:t>
                  </m:r>
                </m:sub>
              </m:sSub>
            </m:num>
            <m:den>
              <m:r>
                <w:rPr>
                  <w:rFonts w:ascii="Cambria Math" w:eastAsia="Calibri" w:hAnsi="Cambria Math"/>
                </w:rPr>
                <m:t>L</m:t>
              </m:r>
            </m:den>
          </m:f>
        </m:oMath>
      </m:oMathPara>
    </w:p>
    <w:p w:rsidR="0097552D" w:rsidRPr="00C903F8" w:rsidRDefault="0097552D" w:rsidP="007E2368">
      <w:pPr>
        <w:pStyle w:val="ESch"/>
        <w:ind w:left="0" w:firstLine="0"/>
        <w:jc w:val="center"/>
        <w:rPr>
          <w:rFonts w:eastAsia="Calibri"/>
        </w:rPr>
      </w:pPr>
    </w:p>
    <w:p w:rsidR="0097552D" w:rsidRPr="00C903F8" w:rsidRDefault="00624017" w:rsidP="007E2368">
      <w:pPr>
        <w:pStyle w:val="ESch"/>
        <w:ind w:left="0" w:firstLine="0"/>
        <w:jc w:val="center"/>
        <w:rPr>
          <w:rFonts w:eastAsia="Calibri"/>
        </w:rPr>
      </w:pPr>
      <m:oMathPara>
        <m:oMath>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 xml:space="preserve">a </m:t>
              </m:r>
            </m:sub>
          </m:sSub>
          <m:r>
            <w:rPr>
              <w:rFonts w:ascii="Cambria Math" w:eastAsia="Calibri" w:hAnsi="Cambria Math"/>
            </w:rPr>
            <m:t xml:space="preserve">=1- </m:t>
          </m:r>
          <m:f>
            <m:fPr>
              <m:ctrlPr>
                <w:rPr>
                  <w:rFonts w:ascii="Cambria Math" w:eastAsia="Calibri" w:hAnsi="Cambria Math"/>
                  <w:i/>
                </w:rPr>
              </m:ctrlPr>
            </m:fPr>
            <m:num>
              <m:r>
                <w:rPr>
                  <w:rFonts w:ascii="Cambria Math" w:eastAsia="Calibri" w:hAnsi="Cambria Math"/>
                </w:rPr>
                <m:t xml:space="preserve">3 ∙ </m:t>
              </m:r>
              <m:sSub>
                <m:sSubPr>
                  <m:ctrlPr>
                    <w:rPr>
                      <w:rFonts w:ascii="Cambria Math" w:eastAsia="Calibri" w:hAnsi="Cambria Math"/>
                      <w:i/>
                    </w:rPr>
                  </m:ctrlPr>
                </m:sSubPr>
                <m:e>
                  <m:r>
                    <w:rPr>
                      <w:rFonts w:ascii="Cambria Math" w:eastAsia="Calibri" w:hAnsi="Cambria Math"/>
                    </w:rPr>
                    <m:t>le</m:t>
                  </m:r>
                </m:e>
                <m:sub>
                  <m:r>
                    <w:rPr>
                      <w:rFonts w:ascii="Cambria Math" w:eastAsia="Calibri" w:hAnsi="Cambria Math"/>
                    </w:rPr>
                    <m:t>a</m:t>
                  </m:r>
                </m:sub>
              </m:sSub>
            </m:num>
            <m:den>
              <m:r>
                <w:rPr>
                  <w:rFonts w:ascii="Cambria Math" w:eastAsia="Calibri" w:hAnsi="Cambria Math"/>
                </w:rPr>
                <m:t>L</m:t>
              </m:r>
            </m:den>
          </m:f>
        </m:oMath>
      </m:oMathPara>
    </w:p>
    <w:p w:rsidR="00745DD2" w:rsidRPr="00C903F8" w:rsidRDefault="00745DD2" w:rsidP="00E1027C">
      <w:pPr>
        <w:spacing w:line="240" w:lineRule="atLeast"/>
        <w:rPr>
          <w:rFonts w:eastAsia="Calibri"/>
          <w:szCs w:val="20"/>
        </w:rPr>
      </w:pPr>
    </w:p>
    <w:p w:rsidR="001F1A9D" w:rsidRPr="00C903F8" w:rsidRDefault="001F1A9D" w:rsidP="00111867">
      <w:pPr>
        <w:pStyle w:val="ESch"/>
        <w:rPr>
          <w:noProof/>
        </w:rPr>
      </w:pPr>
      <w:r>
        <w:t>5.</w:t>
      </w:r>
      <w:r>
        <w:tab/>
        <w:t xml:space="preserve">Le insellature effettive a prua o a poppa, rispettivamente </w:t>
      </w:r>
      <m:oMath>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v</m:t>
            </m:r>
          </m:sub>
        </m:sSub>
      </m:oMath>
      <w:r>
        <w:t>/</w:t>
      </w:r>
      <m:oMath>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a</m:t>
            </m:r>
          </m:sub>
        </m:sSub>
      </m:oMath>
      <w:r>
        <w:t>, si calcolano mediante le seguenti formule:</w:t>
      </w:r>
    </w:p>
    <w:p w:rsidR="007E2368" w:rsidRPr="00C903F8" w:rsidRDefault="007E2368" w:rsidP="00111867">
      <w:pPr>
        <w:pStyle w:val="ESch"/>
        <w:rPr>
          <w:noProof/>
        </w:rPr>
      </w:pPr>
    </w:p>
    <w:p w:rsidR="007E2368" w:rsidRPr="00C903F8" w:rsidRDefault="00624017" w:rsidP="007E2368">
      <w:pPr>
        <w:pStyle w:val="ESch"/>
        <w:ind w:left="0" w:firstLine="0"/>
        <w:jc w:val="center"/>
        <w:rPr>
          <w:rFonts w:eastAsia="Calibri"/>
        </w:rPr>
      </w:pPr>
      <m:oMathPara>
        <m:oMath>
          <m:sSub>
            <m:sSubPr>
              <m:ctrlPr>
                <w:rPr>
                  <w:rFonts w:ascii="Cambria Math" w:eastAsia="Calibri" w:hAnsi="Cambria Math"/>
                  <w:i/>
                </w:rPr>
              </m:ctrlPr>
            </m:sSubPr>
            <m:e>
              <m:r>
                <w:rPr>
                  <w:rFonts w:ascii="Cambria Math" w:eastAsia="Calibri" w:hAnsi="Cambria Math"/>
                </w:rPr>
                <m:t>Se</m:t>
              </m:r>
            </m:e>
            <m:sub>
              <m:r>
                <w:rPr>
                  <w:rFonts w:ascii="Cambria Math" w:eastAsia="Calibri" w:hAnsi="Cambria Math"/>
                </w:rPr>
                <m:t>v</m:t>
              </m:r>
            </m:sub>
          </m:sSub>
          <m:r>
            <w:rPr>
              <w:rFonts w:ascii="Cambria Math" w:eastAsia="Calibri" w:hAnsi="Cambria Math"/>
            </w:rPr>
            <m:t xml:space="preserve">= </m:t>
          </m:r>
          <m:sSub>
            <m:sSubPr>
              <m:ctrlPr>
                <w:rPr>
                  <w:rFonts w:ascii="Cambria Math" w:eastAsia="Calibri" w:hAnsi="Cambria Math"/>
                  <w:i/>
                </w:rPr>
              </m:ctrlPr>
            </m:sSubPr>
            <m:e>
              <m:r>
                <w:rPr>
                  <w:rFonts w:ascii="Cambria Math" w:eastAsia="Calibri" w:hAnsi="Cambria Math"/>
                </w:rPr>
                <m:t>S</m:t>
              </m:r>
            </m:e>
            <m:sub>
              <m:r>
                <w:rPr>
                  <w:rFonts w:ascii="Cambria Math" w:eastAsia="Calibri" w:hAnsi="Cambria Math"/>
                </w:rPr>
                <m:t>v</m:t>
              </m:r>
            </m:sub>
          </m:sSub>
          <m:r>
            <w:rPr>
              <w:rFonts w:ascii="Cambria Math" w:eastAsia="Calibri" w:hAnsi="Cambria Math"/>
            </w:rPr>
            <m:t>∙p</m:t>
          </m:r>
        </m:oMath>
      </m:oMathPara>
    </w:p>
    <w:p w:rsidR="007E2368" w:rsidRPr="00C903F8" w:rsidRDefault="007E2368" w:rsidP="007E2368">
      <w:pPr>
        <w:pStyle w:val="ESch"/>
        <w:ind w:left="0" w:firstLine="0"/>
        <w:jc w:val="center"/>
        <w:rPr>
          <w:rFonts w:eastAsia="Calibri"/>
        </w:rPr>
      </w:pPr>
    </w:p>
    <w:p w:rsidR="007E2368" w:rsidRPr="00C903F8" w:rsidRDefault="00624017" w:rsidP="007E2368">
      <w:pPr>
        <w:pStyle w:val="ESch"/>
        <w:ind w:left="0" w:firstLine="0"/>
        <w:jc w:val="center"/>
        <w:rPr>
          <w:rFonts w:eastAsia="Calibri"/>
        </w:rPr>
      </w:pPr>
      <m:oMathPara>
        <m:oMath>
          <m:sSub>
            <m:sSubPr>
              <m:ctrlPr>
                <w:rPr>
                  <w:rFonts w:ascii="Cambria Math" w:eastAsia="Calibri" w:hAnsi="Cambria Math"/>
                  <w:i/>
                </w:rPr>
              </m:ctrlPr>
            </m:sSubPr>
            <m:e>
              <m:r>
                <w:rPr>
                  <w:rFonts w:ascii="Cambria Math" w:eastAsia="Calibri" w:hAnsi="Cambria Math"/>
                </w:rPr>
                <m:t>Se</m:t>
              </m:r>
            </m:e>
            <m:sub>
              <m:r>
                <w:rPr>
                  <w:rFonts w:ascii="Cambria Math" w:eastAsia="Calibri" w:hAnsi="Cambria Math"/>
                </w:rPr>
                <m:t>a</m:t>
              </m:r>
            </m:sub>
          </m:sSub>
          <m:r>
            <w:rPr>
              <w:rFonts w:ascii="Cambria Math" w:eastAsia="Calibri" w:hAnsi="Cambria Math"/>
            </w:rPr>
            <m:t xml:space="preserve">= </m:t>
          </m:r>
          <m:sSub>
            <m:sSubPr>
              <m:ctrlPr>
                <w:rPr>
                  <w:rFonts w:ascii="Cambria Math" w:eastAsia="Calibri" w:hAnsi="Cambria Math"/>
                  <w:i/>
                </w:rPr>
              </m:ctrlPr>
            </m:sSubPr>
            <m:e>
              <m:r>
                <w:rPr>
                  <w:rFonts w:ascii="Cambria Math" w:eastAsia="Calibri" w:hAnsi="Cambria Math"/>
                </w:rPr>
                <m:t>S</m:t>
              </m:r>
            </m:e>
            <m:sub>
              <m:r>
                <w:rPr>
                  <w:rFonts w:ascii="Cambria Math" w:eastAsia="Calibri" w:hAnsi="Cambria Math"/>
                </w:rPr>
                <m:t>a</m:t>
              </m:r>
            </m:sub>
          </m:sSub>
          <m:r>
            <w:rPr>
              <w:rFonts w:ascii="Cambria Math" w:eastAsia="Calibri" w:hAnsi="Cambria Math"/>
            </w:rPr>
            <m:t>∙p</m:t>
          </m:r>
        </m:oMath>
      </m:oMathPara>
    </w:p>
    <w:p w:rsidR="001F1A9D" w:rsidRPr="00C903F8" w:rsidRDefault="001F1A9D" w:rsidP="007E2368">
      <w:pPr>
        <w:spacing w:line="240" w:lineRule="atLeast"/>
        <w:ind w:left="0" w:firstLine="0"/>
        <w:rPr>
          <w:rFonts w:eastAsia="Calibri"/>
          <w:szCs w:val="20"/>
        </w:rPr>
      </w:pPr>
    </w:p>
    <w:p w:rsidR="001F1A9D" w:rsidRPr="00C903F8" w:rsidRDefault="0060175E" w:rsidP="00F6236E">
      <w:pPr>
        <w:spacing w:line="240" w:lineRule="atLeast"/>
        <w:ind w:left="567" w:firstLine="0"/>
        <w:rPr>
          <w:rFonts w:eastAsia="Calibri"/>
          <w:szCs w:val="20"/>
        </w:rPr>
      </w:pPr>
      <w:r>
        <w:t>dove:</w:t>
      </w:r>
    </w:p>
    <w:p w:rsidR="001F1A9D" w:rsidRPr="00C903F8" w:rsidRDefault="00624017"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S</m:t>
            </m:r>
          </m:e>
          <m:sub>
            <m:r>
              <w:rPr>
                <w:rFonts w:ascii="Cambria Math" w:eastAsia="Calibri" w:hAnsi="Cambria Math"/>
                <w:szCs w:val="20"/>
              </w:rPr>
              <m:t>v</m:t>
            </m:r>
          </m:sub>
        </m:sSub>
      </m:oMath>
      <w:r w:rsidR="00801F1F">
        <w:tab/>
        <w:t xml:space="preserve">insellatura effettiva prodiera in mm; tuttavia, </w:t>
      </w:r>
      <m:oMath>
        <m:sSub>
          <m:sSubPr>
            <m:ctrlPr>
              <w:rPr>
                <w:rFonts w:ascii="Cambria Math" w:eastAsia="Calibri" w:hAnsi="Cambria Math"/>
                <w:i/>
                <w:szCs w:val="20"/>
              </w:rPr>
            </m:ctrlPr>
          </m:sSubPr>
          <m:e>
            <m:r>
              <w:rPr>
                <w:rFonts w:ascii="Cambria Math" w:eastAsia="Calibri" w:hAnsi="Cambria Math"/>
                <w:szCs w:val="20"/>
              </w:rPr>
              <m:t>S</m:t>
            </m:r>
          </m:e>
          <m:sub>
            <m:r>
              <w:rPr>
                <w:rFonts w:ascii="Cambria Math" w:eastAsia="Calibri" w:hAnsi="Cambria Math"/>
                <w:szCs w:val="20"/>
              </w:rPr>
              <m:t>v</m:t>
            </m:r>
          </m:sub>
        </m:sSub>
      </m:oMath>
      <w:r w:rsidR="00801F1F">
        <w:t xml:space="preserve"> non può essere superiore a 1 000 mm;</w:t>
      </w:r>
    </w:p>
    <w:p w:rsidR="001F1A9D" w:rsidRPr="00C903F8" w:rsidRDefault="00624017"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S</m:t>
            </m:r>
          </m:e>
          <m:sub>
            <m:r>
              <w:rPr>
                <w:rFonts w:ascii="Cambria Math" w:eastAsia="Calibri" w:hAnsi="Cambria Math"/>
                <w:szCs w:val="20"/>
              </w:rPr>
              <m:t>a</m:t>
            </m:r>
          </m:sub>
        </m:sSub>
      </m:oMath>
      <w:r w:rsidR="00801F1F">
        <w:tab/>
        <w:t xml:space="preserve">insellatura effettiva poppiera in mm; tuttavia, </w:t>
      </w:r>
      <m:oMath>
        <m:sSub>
          <m:sSubPr>
            <m:ctrlPr>
              <w:rPr>
                <w:rFonts w:ascii="Cambria Math" w:eastAsia="Calibri" w:hAnsi="Cambria Math"/>
                <w:i/>
                <w:szCs w:val="20"/>
              </w:rPr>
            </m:ctrlPr>
          </m:sSubPr>
          <m:e>
            <m:r>
              <w:rPr>
                <w:rFonts w:ascii="Cambria Math" w:eastAsia="Calibri" w:hAnsi="Cambria Math"/>
                <w:szCs w:val="20"/>
              </w:rPr>
              <m:t>S</m:t>
            </m:r>
          </m:e>
          <m:sub>
            <m:r>
              <w:rPr>
                <w:rFonts w:ascii="Cambria Math" w:eastAsia="Calibri" w:hAnsi="Cambria Math"/>
                <w:szCs w:val="20"/>
              </w:rPr>
              <m:t>a</m:t>
            </m:r>
          </m:sub>
        </m:sSub>
      </m:oMath>
      <w:r w:rsidR="00801F1F">
        <w:t xml:space="preserve"> non può essere superiore a 500 mm;</w:t>
      </w:r>
    </w:p>
    <w:p w:rsidR="001F1A9D" w:rsidRPr="00C903F8" w:rsidRDefault="0026577D" w:rsidP="00F6236E">
      <w:pPr>
        <w:spacing w:before="60" w:line="240" w:lineRule="atLeast"/>
        <w:ind w:left="993" w:hanging="426"/>
        <w:rPr>
          <w:rFonts w:eastAsia="Calibri"/>
          <w:szCs w:val="20"/>
        </w:rPr>
      </w:pPr>
      <m:oMath>
        <m:r>
          <w:rPr>
            <w:rFonts w:ascii="Cambria Math" w:eastAsia="Calibri" w:hAnsi="Cambria Math"/>
            <w:szCs w:val="20"/>
          </w:rPr>
          <m:t>p</m:t>
        </m:r>
      </m:oMath>
      <w:r>
        <w:tab/>
        <w:t>coefficiente calcolato mediante la formula seguente:</w:t>
      </w:r>
    </w:p>
    <w:p w:rsidR="003232B5" w:rsidRPr="00C903F8" w:rsidRDefault="003232B5" w:rsidP="003232B5">
      <w:pPr>
        <w:pStyle w:val="ESch"/>
        <w:spacing w:before="60"/>
        <w:ind w:left="0" w:firstLine="0"/>
        <w:jc w:val="center"/>
        <w:rPr>
          <w:rFonts w:eastAsia="Calibri"/>
        </w:rPr>
      </w:pPr>
      <m:oMathPara>
        <m:oMath>
          <m:r>
            <w:rPr>
              <w:rFonts w:ascii="Cambria Math" w:eastAsia="Calibri" w:hAnsi="Cambria Math"/>
            </w:rPr>
            <m:t xml:space="preserve">p =4∙ </m:t>
          </m:r>
          <m:f>
            <m:fPr>
              <m:ctrlPr>
                <w:rPr>
                  <w:rFonts w:ascii="Cambria Math" w:eastAsia="Calibri" w:hAnsi="Cambria Math"/>
                  <w:i/>
                </w:rPr>
              </m:ctrlPr>
            </m:fPr>
            <m:num>
              <m:r>
                <w:rPr>
                  <w:rFonts w:ascii="Cambria Math" w:eastAsia="Calibri" w:hAnsi="Cambria Math"/>
                </w:rPr>
                <m:t>x</m:t>
              </m:r>
            </m:num>
            <m:den>
              <m:r>
                <w:rPr>
                  <w:rFonts w:ascii="Cambria Math" w:eastAsia="Calibri" w:hAnsi="Cambria Math"/>
                </w:rPr>
                <m:t>L</m:t>
              </m:r>
            </m:den>
          </m:f>
        </m:oMath>
      </m:oMathPara>
    </w:p>
    <w:p w:rsidR="001F1A9D" w:rsidRPr="00C903F8" w:rsidRDefault="0026577D" w:rsidP="00F6236E">
      <w:pPr>
        <w:spacing w:before="60" w:line="240" w:lineRule="atLeast"/>
        <w:ind w:left="993" w:hanging="426"/>
        <w:rPr>
          <w:rFonts w:eastAsia="Calibri"/>
          <w:szCs w:val="20"/>
        </w:rPr>
      </w:pPr>
      <m:oMath>
        <m:r>
          <w:rPr>
            <w:rFonts w:ascii="Cambria Math" w:eastAsia="Calibri" w:hAnsi="Cambria Math"/>
            <w:szCs w:val="20"/>
          </w:rPr>
          <m:t>x</m:t>
        </m:r>
      </m:oMath>
      <w:r>
        <w:tab/>
        <w:t xml:space="preserve">ascissa, misurata dall'estremità del punto in cui l'insellatura è pari a 0,25 </w:t>
      </w:r>
      <m:oMath>
        <m:sSub>
          <m:sSubPr>
            <m:ctrlPr>
              <w:rPr>
                <w:rFonts w:ascii="Cambria Math" w:eastAsia="Calibri" w:hAnsi="Cambria Math"/>
                <w:i/>
                <w:szCs w:val="20"/>
              </w:rPr>
            </m:ctrlPr>
          </m:sSubPr>
          <m:e>
            <m:r>
              <w:rPr>
                <w:rFonts w:ascii="Cambria Math" w:eastAsia="Calibri" w:hAnsi="Cambria Math"/>
                <w:szCs w:val="20"/>
              </w:rPr>
              <m:t>S</m:t>
            </m:r>
          </m:e>
          <m:sub>
            <m:r>
              <w:rPr>
                <w:rFonts w:ascii="Cambria Math" w:eastAsia="Calibri" w:hAnsi="Cambria Math"/>
                <w:szCs w:val="20"/>
              </w:rPr>
              <m:t>v</m:t>
            </m:r>
          </m:sub>
        </m:sSub>
      </m:oMath>
      <w:r>
        <w:t xml:space="preserve"> o 0,25 </w:t>
      </w:r>
      <m:oMath>
        <m:sSub>
          <m:sSubPr>
            <m:ctrlPr>
              <w:rPr>
                <w:rFonts w:ascii="Cambria Math" w:eastAsia="Calibri" w:hAnsi="Cambria Math"/>
                <w:i/>
                <w:szCs w:val="20"/>
              </w:rPr>
            </m:ctrlPr>
          </m:sSubPr>
          <m:e>
            <m:r>
              <w:rPr>
                <w:rFonts w:ascii="Cambria Math" w:eastAsia="Calibri" w:hAnsi="Cambria Math"/>
                <w:szCs w:val="20"/>
              </w:rPr>
              <m:t>S</m:t>
            </m:r>
          </m:e>
          <m:sub>
            <m:r>
              <w:rPr>
                <w:rFonts w:ascii="Cambria Math" w:eastAsia="Calibri" w:hAnsi="Cambria Math"/>
                <w:szCs w:val="20"/>
              </w:rPr>
              <m:t>a</m:t>
            </m:r>
          </m:sub>
        </m:sSub>
      </m:oMath>
      <w:r>
        <w:t xml:space="preserve"> (cfr. figura).</w:t>
      </w:r>
    </w:p>
    <w:p w:rsidR="008D5C11" w:rsidRPr="00C903F8" w:rsidRDefault="008D5C11">
      <w:pPr>
        <w:autoSpaceDE/>
        <w:autoSpaceDN/>
        <w:ind w:left="0" w:firstLine="0"/>
        <w:jc w:val="left"/>
        <w:rPr>
          <w:rFonts w:eastAsia="Calibri"/>
          <w:szCs w:val="20"/>
        </w:rPr>
      </w:pPr>
      <w:r>
        <w:br w:type="page"/>
      </w:r>
    </w:p>
    <w:p w:rsidR="008D5C11" w:rsidRPr="00C903F8" w:rsidRDefault="008D5C11" w:rsidP="00F6236E">
      <w:pPr>
        <w:spacing w:before="60" w:line="240" w:lineRule="atLeast"/>
        <w:ind w:left="993" w:hanging="426"/>
        <w:rPr>
          <w:rFonts w:eastAsia="Calibri"/>
          <w:szCs w:val="20"/>
        </w:rPr>
      </w:pPr>
    </w:p>
    <w:p w:rsidR="008D5C11" w:rsidRPr="00C903F8" w:rsidRDefault="00EB7F5F" w:rsidP="00EB7F5F">
      <w:pPr>
        <w:autoSpaceDE/>
        <w:autoSpaceDN/>
        <w:ind w:left="0" w:firstLine="0"/>
        <w:jc w:val="center"/>
        <w:rPr>
          <w:rFonts w:cs="Arial"/>
          <w:noProof/>
          <w:szCs w:val="20"/>
        </w:rPr>
      </w:pPr>
      <w:r>
        <w:rPr>
          <w:rFonts w:cs="Arial"/>
          <w:noProof/>
          <w:szCs w:val="20"/>
          <w:lang w:val="en-GB" w:eastAsia="en-GB" w:bidi="ar-SA"/>
        </w:rPr>
        <w:drawing>
          <wp:inline distT="0" distB="0" distL="0" distR="0" wp14:anchorId="27CEAB71" wp14:editId="3E93E15F">
            <wp:extent cx="3709416" cy="1597152"/>
            <wp:effectExtent l="0" t="0" r="5715" b="317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_trin_4_02en.jpg"/>
                    <pic:cNvPicPr/>
                  </pic:nvPicPr>
                  <pic:blipFill>
                    <a:blip r:embed="rId22">
                      <a:extLst>
                        <a:ext uri="{28A0092B-C50C-407E-A947-70E740481C1C}">
                          <a14:useLocalDpi xmlns:a14="http://schemas.microsoft.com/office/drawing/2010/main" val="0"/>
                        </a:ext>
                      </a:extLst>
                    </a:blip>
                    <a:stretch>
                      <a:fillRect/>
                    </a:stretch>
                  </pic:blipFill>
                  <pic:spPr>
                    <a:xfrm>
                      <a:off x="0" y="0"/>
                      <a:ext cx="3709416" cy="1597152"/>
                    </a:xfrm>
                    <a:prstGeom prst="rect">
                      <a:avLst/>
                    </a:prstGeom>
                  </pic:spPr>
                </pic:pic>
              </a:graphicData>
            </a:graphic>
          </wp:inline>
        </w:drawing>
      </w:r>
    </w:p>
    <w:p w:rsidR="00EB7F5F" w:rsidRPr="00C903F8" w:rsidRDefault="00EB7F5F" w:rsidP="006025D0">
      <w:pPr>
        <w:spacing w:line="240" w:lineRule="atLeast"/>
        <w:ind w:left="567" w:firstLine="0"/>
        <w:rPr>
          <w:rFonts w:cs="Arial"/>
          <w:noProof/>
          <w:szCs w:val="20"/>
        </w:rPr>
      </w:pPr>
    </w:p>
    <w:p w:rsidR="00745DD2" w:rsidRPr="00C903F8" w:rsidRDefault="006025D0" w:rsidP="006025D0">
      <w:pPr>
        <w:spacing w:line="240" w:lineRule="atLeast"/>
        <w:ind w:left="567" w:firstLine="0"/>
        <w:rPr>
          <w:rFonts w:cs="Arial"/>
          <w:noProof/>
          <w:szCs w:val="20"/>
        </w:rPr>
      </w:pPr>
      <w:r>
        <w:t xml:space="preserve">Tuttavia, il coefficiente </w:t>
      </w:r>
      <m:oMath>
        <m:r>
          <w:rPr>
            <w:rFonts w:ascii="Cambria Math" w:eastAsia="Calibri" w:hAnsi="Cambria Math"/>
            <w:szCs w:val="20"/>
          </w:rPr>
          <m:t>p</m:t>
        </m:r>
      </m:oMath>
      <w:r>
        <w:t xml:space="preserve"> non può essere superiore a 1.</w:t>
      </w:r>
    </w:p>
    <w:p w:rsidR="003232B5" w:rsidRPr="00C903F8" w:rsidRDefault="003232B5" w:rsidP="006025D0">
      <w:pPr>
        <w:spacing w:line="240" w:lineRule="atLeast"/>
        <w:ind w:left="567" w:firstLine="0"/>
        <w:rPr>
          <w:rFonts w:cs="Arial"/>
          <w:noProof/>
          <w:szCs w:val="20"/>
        </w:rPr>
      </w:pPr>
    </w:p>
    <w:p w:rsidR="001F1A9D" w:rsidRPr="00C903F8" w:rsidRDefault="001F1A9D" w:rsidP="00F6236E">
      <w:pPr>
        <w:spacing w:line="240" w:lineRule="atLeast"/>
        <w:ind w:left="567" w:hanging="567"/>
        <w:rPr>
          <w:rFonts w:eastAsia="Calibri"/>
          <w:szCs w:val="20"/>
        </w:rPr>
      </w:pPr>
      <w:r>
        <w:t>6.</w:t>
      </w:r>
      <w:r>
        <w:tab/>
        <w:t xml:space="preserve">Se </w:t>
      </w: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a</m:t>
            </m:r>
          </m:sub>
        </m:sSub>
        <m:r>
          <w:rPr>
            <w:rFonts w:ascii="Cambria Math" w:eastAsia="Calibri" w:hAnsi="Cambria Math"/>
            <w:szCs w:val="20"/>
          </w:rPr>
          <m:t xml:space="preserve">∙ </m:t>
        </m:r>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a</m:t>
            </m:r>
          </m:sub>
        </m:sSub>
      </m:oMath>
      <w:r>
        <w:t xml:space="preserve"> è superiore a </w:t>
      </w: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v</m:t>
            </m:r>
          </m:sub>
        </m:sSub>
        <m:r>
          <w:rPr>
            <w:rFonts w:ascii="Cambria Math" w:eastAsia="Calibri" w:hAnsi="Cambria Math"/>
            <w:szCs w:val="20"/>
          </w:rPr>
          <m:t xml:space="preserve">∙ </m:t>
        </m:r>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v</m:t>
            </m:r>
          </m:sub>
        </m:sSub>
      </m:oMath>
      <w:r>
        <w:t xml:space="preserve">, come valore di </w:t>
      </w: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v</m:t>
            </m:r>
          </m:sub>
        </m:sSub>
        <m:r>
          <w:rPr>
            <w:rFonts w:ascii="Cambria Math" w:eastAsia="Calibri" w:hAnsi="Cambria Math"/>
            <w:szCs w:val="20"/>
          </w:rPr>
          <m:t xml:space="preserve">∙ </m:t>
        </m:r>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v</m:t>
            </m:r>
          </m:sub>
        </m:sSub>
      </m:oMath>
      <w:r>
        <w:t xml:space="preserve"> si assume quello di </w:t>
      </w: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a</m:t>
            </m:r>
          </m:sub>
        </m:sSub>
        <m:r>
          <w:rPr>
            <w:rFonts w:ascii="Cambria Math" w:eastAsia="Calibri" w:hAnsi="Cambria Math"/>
            <w:szCs w:val="20"/>
          </w:rPr>
          <m:t xml:space="preserve">∙ </m:t>
        </m:r>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a</m:t>
            </m:r>
          </m:sub>
        </m:sSub>
      </m:oMath>
      <w:r>
        <w:t>.</w:t>
      </w:r>
    </w:p>
    <w:p w:rsidR="005C1DF0" w:rsidRDefault="005C1DF0" w:rsidP="00E1027C">
      <w:pPr>
        <w:spacing w:line="240" w:lineRule="atLeast"/>
        <w:rPr>
          <w:rFonts w:eastAsia="Calibri"/>
        </w:rPr>
      </w:pPr>
    </w:p>
    <w:p w:rsidR="00533048" w:rsidRPr="00C903F8" w:rsidRDefault="00533048" w:rsidP="00E1027C">
      <w:pPr>
        <w:spacing w:line="240" w:lineRule="atLeast"/>
        <w:rPr>
          <w:rFonts w:eastAsia="Calibri"/>
        </w:rPr>
      </w:pPr>
    </w:p>
    <w:p w:rsidR="006025D0" w:rsidRPr="00C903F8" w:rsidRDefault="006025D0" w:rsidP="006025D0">
      <w:pPr>
        <w:pStyle w:val="ES-Titre3"/>
        <w:spacing w:line="240" w:lineRule="atLeast"/>
      </w:pPr>
      <w:bookmarkStart w:id="32" w:name="_Toc491854016"/>
      <w:bookmarkStart w:id="33" w:name="_Toc535499965"/>
      <w:r>
        <w:t>Articolo 4.03</w:t>
      </w:r>
      <w:r>
        <w:br/>
      </w:r>
      <w:r>
        <w:rPr>
          <w:i/>
        </w:rPr>
        <w:t>Bordo libero minimo</w:t>
      </w:r>
      <w:bookmarkEnd w:id="32"/>
      <w:bookmarkEnd w:id="33"/>
    </w:p>
    <w:p w:rsidR="006025D0" w:rsidRPr="00C903F8" w:rsidRDefault="006025D0" w:rsidP="00C62373">
      <w:pPr>
        <w:spacing w:line="240" w:lineRule="atLeast"/>
        <w:ind w:left="0" w:firstLine="0"/>
        <w:rPr>
          <w:rFonts w:eastAsia="Calibri"/>
        </w:rPr>
      </w:pPr>
    </w:p>
    <w:p w:rsidR="006025D0" w:rsidRPr="00C903F8" w:rsidRDefault="006025D0" w:rsidP="00111867">
      <w:pPr>
        <w:pStyle w:val="ESgauche"/>
        <w:rPr>
          <w:rFonts w:eastAsia="Calibri"/>
        </w:rPr>
      </w:pPr>
      <w:r>
        <w:t>Tenuto conto delle riduzioni di cui all'articolo 4.02, il bordo libero minimo non deve essere inferiore a 0 mm.</w:t>
      </w:r>
    </w:p>
    <w:p w:rsidR="006025D0" w:rsidRPr="00C903F8" w:rsidRDefault="006025D0" w:rsidP="00E1027C">
      <w:pPr>
        <w:spacing w:line="240" w:lineRule="atLeast"/>
        <w:rPr>
          <w:rFonts w:eastAsia="Calibri"/>
        </w:rPr>
      </w:pPr>
    </w:p>
    <w:p w:rsidR="00500018" w:rsidRPr="00C903F8" w:rsidRDefault="00500018" w:rsidP="00E1027C">
      <w:pPr>
        <w:spacing w:line="240" w:lineRule="atLeast"/>
        <w:rPr>
          <w:rFonts w:eastAsia="Calibri"/>
        </w:rPr>
      </w:pPr>
    </w:p>
    <w:p w:rsidR="006025D0" w:rsidRPr="00C903F8" w:rsidRDefault="006025D0" w:rsidP="006025D0">
      <w:pPr>
        <w:pStyle w:val="ES-Titre3"/>
      </w:pPr>
      <w:bookmarkStart w:id="34" w:name="_Toc491854017"/>
      <w:bookmarkStart w:id="35" w:name="_Toc535499966"/>
      <w:r>
        <w:t>Articolo 4.04</w:t>
      </w:r>
      <w:r>
        <w:br/>
      </w:r>
      <w:r>
        <w:rPr>
          <w:i/>
          <w:noProof/>
        </w:rPr>
        <w:t>Marche di bordo libero</w:t>
      </w:r>
      <w:bookmarkEnd w:id="34"/>
      <w:bookmarkEnd w:id="35"/>
    </w:p>
    <w:p w:rsidR="00111867" w:rsidRPr="00C903F8" w:rsidRDefault="00111867" w:rsidP="006025D0">
      <w:pPr>
        <w:rPr>
          <w:noProof/>
        </w:rPr>
      </w:pPr>
    </w:p>
    <w:p w:rsidR="00853731" w:rsidRPr="00C903F8" w:rsidRDefault="00853731" w:rsidP="00853731">
      <w:pPr>
        <w:pStyle w:val="ESch"/>
        <w:rPr>
          <w:noProof/>
        </w:rPr>
      </w:pPr>
      <w:r>
        <w:t>1.</w:t>
      </w:r>
      <w:r>
        <w:tab/>
        <w:t>Ai fini degli articoli 4.04 e 4.05, la zona R è equivalente alla zona 3.</w:t>
      </w:r>
    </w:p>
    <w:p w:rsidR="00853731" w:rsidRPr="00C903F8" w:rsidRDefault="00853731" w:rsidP="006025D0">
      <w:pPr>
        <w:rPr>
          <w:noProof/>
        </w:rPr>
      </w:pPr>
    </w:p>
    <w:p w:rsidR="00C62373" w:rsidRPr="00C903F8" w:rsidRDefault="00853731" w:rsidP="00111867">
      <w:pPr>
        <w:pStyle w:val="ESch"/>
        <w:rPr>
          <w:noProof/>
        </w:rPr>
      </w:pPr>
      <w:r>
        <w:t>2.</w:t>
      </w:r>
      <w:r>
        <w:tab/>
        <w:t xml:space="preserve">Il piano di massima immersione è determinato in modo che sia i requisiti di bordo libero minimo sia i requisiti di distanza minima di sicurezza siano rispettati. Per motivi di sicurezza, tuttavia, la commissione di ispezione può fissare un valore più elevato per la distanza di sicurezza o per il bordo libero. </w:t>
      </w:r>
    </w:p>
    <w:p w:rsidR="00C62373" w:rsidRPr="00C903F8" w:rsidRDefault="00C62373" w:rsidP="00111867">
      <w:pPr>
        <w:pStyle w:val="ESch"/>
        <w:rPr>
          <w:noProof/>
        </w:rPr>
      </w:pPr>
    </w:p>
    <w:p w:rsidR="006025D0" w:rsidRPr="00C903F8" w:rsidRDefault="006025D0" w:rsidP="00C62373">
      <w:pPr>
        <w:pStyle w:val="ESchpar"/>
        <w:rPr>
          <w:noProof/>
        </w:rPr>
      </w:pPr>
      <w:r>
        <w:t>Il piano di massima immersione è determinato almeno per la zona 3.</w:t>
      </w:r>
    </w:p>
    <w:p w:rsidR="00500018" w:rsidRPr="00C903F8" w:rsidRDefault="00500018" w:rsidP="00111867">
      <w:pPr>
        <w:pStyle w:val="ESch"/>
      </w:pPr>
    </w:p>
    <w:p w:rsidR="006025D0" w:rsidRPr="00C903F8" w:rsidRDefault="00853731" w:rsidP="00111867">
      <w:pPr>
        <w:pStyle w:val="ESch"/>
      </w:pPr>
      <w:r>
        <w:t>3.</w:t>
      </w:r>
      <w:r>
        <w:tab/>
        <w:t>Il piano di massima immersione è indicato da marche di bordo libero ben visibili e indelebili.</w:t>
      </w:r>
    </w:p>
    <w:p w:rsidR="00500018" w:rsidRPr="00C903F8" w:rsidRDefault="00500018" w:rsidP="00111867">
      <w:pPr>
        <w:pStyle w:val="ESch"/>
        <w:rPr>
          <w:noProof/>
        </w:rPr>
      </w:pPr>
    </w:p>
    <w:p w:rsidR="006025D0" w:rsidRPr="00C903F8" w:rsidRDefault="00853731" w:rsidP="00111867">
      <w:pPr>
        <w:pStyle w:val="ESch"/>
      </w:pPr>
      <w:r>
        <w:t>4.</w:t>
      </w:r>
      <w:r>
        <w:tab/>
        <w:t>Le marche di bordo libero per la zona 3 sono costituite da un rettangolo di 300 mm di lunghezza e di 40 mm di altezza, a base orizzontale coincidente con il piano di massima immersione autorizzata. Qualsiasi marca di bordo libero diversa comprende questo rettangolo.</w:t>
      </w:r>
    </w:p>
    <w:p w:rsidR="00500018" w:rsidRPr="00C903F8" w:rsidRDefault="00500018" w:rsidP="00111867">
      <w:pPr>
        <w:pStyle w:val="ESch"/>
        <w:rPr>
          <w:noProof/>
        </w:rPr>
      </w:pPr>
    </w:p>
    <w:p w:rsidR="006025D0" w:rsidRPr="00C903F8" w:rsidRDefault="00853731" w:rsidP="00111867">
      <w:pPr>
        <w:pStyle w:val="ESch"/>
      </w:pPr>
      <w:r>
        <w:t>5.</w:t>
      </w:r>
      <w:r>
        <w:tab/>
        <w:t xml:space="preserve">Ogni nave reca almeno tre coppie di marche di bordo libero, di cui una posta a 1/2 della lunghezza </w:t>
      </w:r>
      <m:oMath>
        <m:r>
          <w:rPr>
            <w:rFonts w:ascii="Cambria Math" w:hAnsi="Cambria Math" w:cs="Arial"/>
            <w:noProof/>
            <w:szCs w:val="20"/>
          </w:rPr>
          <m:t>L</m:t>
        </m:r>
      </m:oMath>
      <w:r>
        <w:t xml:space="preserve"> e le altre due rispettivamente ad una distanza dalla prua e dalla poppa pari a 1/6 circa della lunghezza </w:t>
      </w:r>
      <m:oMath>
        <m:r>
          <w:rPr>
            <w:rFonts w:ascii="Cambria Math" w:hAnsi="Cambria Math" w:cs="Arial"/>
            <w:noProof/>
            <w:szCs w:val="20"/>
          </w:rPr>
          <m:t>L</m:t>
        </m:r>
      </m:oMath>
      <w:r>
        <w:t>.</w:t>
      </w:r>
    </w:p>
    <w:p w:rsidR="00500018" w:rsidRPr="00C903F8" w:rsidRDefault="00500018" w:rsidP="00111867">
      <w:pPr>
        <w:pStyle w:val="ESch"/>
        <w:rPr>
          <w:noProof/>
        </w:rPr>
      </w:pPr>
    </w:p>
    <w:p w:rsidR="006025D0" w:rsidRPr="00C903F8" w:rsidRDefault="006025D0" w:rsidP="00111867">
      <w:pPr>
        <w:pStyle w:val="ESchpar"/>
      </w:pPr>
      <w:r>
        <w:t>Tuttavia:</w:t>
      </w:r>
    </w:p>
    <w:p w:rsidR="006025D0" w:rsidRPr="00C903F8" w:rsidRDefault="005C7859" w:rsidP="00DF19D3">
      <w:pPr>
        <w:pStyle w:val="ESlet"/>
      </w:pPr>
      <w:r>
        <w:t>a)</w:t>
      </w:r>
      <w:r>
        <w:tab/>
        <w:t xml:space="preserve">per le navi di lunghezza </w:t>
      </w:r>
      <m:oMath>
        <m:r>
          <w:rPr>
            <w:rFonts w:ascii="Cambria Math" w:hAnsi="Cambria Math" w:cs="Arial"/>
            <w:noProof/>
            <w:szCs w:val="20"/>
          </w:rPr>
          <m:t>L</m:t>
        </m:r>
      </m:oMath>
      <w:r>
        <w:t xml:space="preserve"> inferiore a 40 m, è sufficiente apporre due coppie di marche, poste rispettivamente a una distanza dalla prua e dalla poppa pari a un quarto circa della lunghezza </w:t>
      </w:r>
      <m:oMath>
        <m:r>
          <w:rPr>
            <w:rFonts w:ascii="Cambria Math" w:hAnsi="Cambria Math" w:cs="Arial"/>
            <w:noProof/>
            <w:szCs w:val="20"/>
          </w:rPr>
          <m:t>L</m:t>
        </m:r>
      </m:oMath>
      <w:r>
        <w:t>;</w:t>
      </w:r>
    </w:p>
    <w:p w:rsidR="006025D0" w:rsidRPr="00C903F8" w:rsidRDefault="005C7859" w:rsidP="00DF19D3">
      <w:pPr>
        <w:pStyle w:val="ESlet"/>
      </w:pPr>
      <w:r>
        <w:t>b)</w:t>
      </w:r>
      <w:r>
        <w:tab/>
        <w:t>per le navi non adibite al trasporto merci, è sufficiente una coppia di marche, posta circa al centro della nave.</w:t>
      </w:r>
    </w:p>
    <w:p w:rsidR="00500018" w:rsidRPr="00C903F8" w:rsidRDefault="00500018" w:rsidP="00500018">
      <w:r>
        <w:br w:type="page"/>
      </w:r>
    </w:p>
    <w:p w:rsidR="006025D0" w:rsidRPr="00C903F8" w:rsidRDefault="00853731" w:rsidP="00844E91">
      <w:pPr>
        <w:pStyle w:val="ESch"/>
      </w:pPr>
      <w:r>
        <w:lastRenderedPageBreak/>
        <w:t>6.</w:t>
      </w:r>
      <w:r>
        <w:tab/>
        <w:t>Le marche o i segni che, in seguito ad una nuova ispezione, non siano più validi, sono soppressi o indicati come non più validi, sotto il controllo della commissione di ispezione. Se una marca di bordo libero dovesse scomparire, può essere sostituita solo sotto il controllo di una commissione di ispezione.</w:t>
      </w:r>
    </w:p>
    <w:p w:rsidR="00500018" w:rsidRPr="00C903F8" w:rsidRDefault="00500018" w:rsidP="00844E91">
      <w:pPr>
        <w:pStyle w:val="ESch"/>
      </w:pPr>
    </w:p>
    <w:p w:rsidR="006025D0" w:rsidRPr="00C903F8" w:rsidRDefault="00853731" w:rsidP="00844E91">
      <w:pPr>
        <w:pStyle w:val="ESch"/>
      </w:pPr>
      <w:r>
        <w:t>7.</w:t>
      </w:r>
      <w:r>
        <w:tab/>
        <w:t>Quando la nave è stata stazzata in applicazione della convenzione del 1966 sulla stazzatura delle navi della navigazione interna e il piano delle marche di stazza soddisfa i requisiti della presente norma, le marche di stazza sostituiscono le marche di bordo libero; di tale sostituzione si fa menzione nel certificato per la navigazione interna.</w:t>
      </w:r>
    </w:p>
    <w:p w:rsidR="00500018" w:rsidRPr="00C903F8" w:rsidRDefault="00500018" w:rsidP="00844E91">
      <w:pPr>
        <w:pStyle w:val="ESch"/>
        <w:rPr>
          <w:noProof/>
        </w:rPr>
      </w:pPr>
    </w:p>
    <w:p w:rsidR="006025D0" w:rsidRPr="00C903F8" w:rsidRDefault="00853731" w:rsidP="00844E91">
      <w:pPr>
        <w:pStyle w:val="ESch"/>
        <w:rPr>
          <w:noProof/>
        </w:rPr>
      </w:pPr>
      <w:r>
        <w:t>8.</w:t>
      </w:r>
      <w:r>
        <w:tab/>
        <w:t>Per le navi che navigano in zone delle vie navigabili interne diverse dalla zona 3 (ossia, le zone 1, 2 o 4), una linea verticale e una o più linee aggiuntive di immersione della lunghezza di 150 mm sono apposte verso la prua della nave sulle coppie di marche di pescaggio di prua e di poppa pertinenti per tale zona di cui al paragrafo 4 per una o più zone delle vie navigabili interne, rispetto alla marca di bordo libero per la zona 3.</w:t>
      </w:r>
    </w:p>
    <w:p w:rsidR="00500018" w:rsidRPr="00C903F8" w:rsidRDefault="00500018" w:rsidP="00844E91">
      <w:pPr>
        <w:pStyle w:val="ESch"/>
        <w:rPr>
          <w:noProof/>
        </w:rPr>
      </w:pPr>
    </w:p>
    <w:p w:rsidR="00500018" w:rsidRPr="00C903F8" w:rsidRDefault="00500018" w:rsidP="00320866">
      <w:pPr>
        <w:pStyle w:val="ESchpar"/>
        <w:rPr>
          <w:noProof/>
        </w:rPr>
      </w:pPr>
      <w:r>
        <w:t>La linea verticale e la linea orizzontale hanno uno spessore di 30 mm. Accanto alla marca di bordo libero orientata verso la prua della nave va indicata la cifra della zona corrispondente nelle dimensioni di 60 mm di altezza x 40 mm di larghezza (cfr. figura 1).</w:t>
      </w:r>
    </w:p>
    <w:p w:rsidR="00500018" w:rsidRPr="00C903F8" w:rsidRDefault="00500018" w:rsidP="00500018">
      <w:pPr>
        <w:ind w:firstLine="0"/>
        <w:rPr>
          <w:noProof/>
        </w:rPr>
      </w:pPr>
    </w:p>
    <w:p w:rsidR="00500018" w:rsidRPr="00C903F8" w:rsidRDefault="00500018" w:rsidP="00500018">
      <w:pPr>
        <w:ind w:firstLine="0"/>
      </w:pPr>
    </w:p>
    <w:p w:rsidR="006025D0" w:rsidRPr="00C903F8" w:rsidRDefault="00014931" w:rsidP="00500018">
      <w:pPr>
        <w:jc w:val="center"/>
      </w:pPr>
      <w:r>
        <w:rPr>
          <w:noProof/>
          <w:lang w:val="en-GB" w:eastAsia="en-GB" w:bidi="ar-SA"/>
        </w:rPr>
        <w:drawing>
          <wp:inline distT="0" distB="0" distL="0" distR="0" wp14:anchorId="4A39D2C0" wp14:editId="2756F667">
            <wp:extent cx="4654550" cy="3484880"/>
            <wp:effectExtent l="0" t="0" r="0" b="1270"/>
            <wp:docPr id="289"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54550" cy="3484880"/>
                    </a:xfrm>
                    <a:prstGeom prst="rect">
                      <a:avLst/>
                    </a:prstGeom>
                    <a:noFill/>
                  </pic:spPr>
                </pic:pic>
              </a:graphicData>
            </a:graphic>
          </wp:inline>
        </w:drawing>
      </w:r>
    </w:p>
    <w:p w:rsidR="006025D0" w:rsidRPr="00C903F8" w:rsidRDefault="00500018" w:rsidP="00500018">
      <w:pPr>
        <w:jc w:val="center"/>
        <w:rPr>
          <w:i/>
        </w:rPr>
      </w:pPr>
      <w:r>
        <w:rPr>
          <w:i/>
          <w:noProof/>
        </w:rPr>
        <w:t>Figura 1</w:t>
      </w:r>
    </w:p>
    <w:p w:rsidR="006025D0" w:rsidRPr="00C903F8" w:rsidRDefault="00500018" w:rsidP="006025D0">
      <w:r>
        <w:br w:type="page"/>
      </w:r>
    </w:p>
    <w:p w:rsidR="006025D0" w:rsidRPr="00C903F8" w:rsidRDefault="006025D0" w:rsidP="00500018">
      <w:pPr>
        <w:pStyle w:val="ES-Titre3"/>
        <w:rPr>
          <w:i/>
        </w:rPr>
      </w:pPr>
      <w:bookmarkStart w:id="36" w:name="_Toc491854018"/>
      <w:bookmarkStart w:id="37" w:name="_Toc535499967"/>
      <w:r>
        <w:lastRenderedPageBreak/>
        <w:t>Articolo 4.05</w:t>
      </w:r>
      <w:r>
        <w:br/>
      </w:r>
      <w:r>
        <w:rPr>
          <w:i/>
          <w:noProof/>
        </w:rPr>
        <w:t>Massima immersione a pieno carico di galleggianti dotati di stive non sempre stagne agli spruzzi e alle intemperie</w:t>
      </w:r>
      <w:bookmarkEnd w:id="36"/>
      <w:bookmarkEnd w:id="37"/>
    </w:p>
    <w:p w:rsidR="00320866" w:rsidRPr="00C903F8" w:rsidRDefault="00320866" w:rsidP="00500018">
      <w:pPr>
        <w:ind w:left="0" w:firstLine="0"/>
      </w:pPr>
    </w:p>
    <w:p w:rsidR="006025D0" w:rsidRPr="00C903F8" w:rsidRDefault="006025D0" w:rsidP="00320866">
      <w:pPr>
        <w:pStyle w:val="ESgauche"/>
      </w:pPr>
      <w:r>
        <w:t>Se per la zona 3 il piano di massima immersione di una nave è determinato considerando che le stive possono essere chiuse in modo stagno agli spruzzi e alle intemperie e se la distanza fra il piano di massima immersione e il bordo superiore delle mastre è inferiore a 500 mm, occorre determinare l'immersione massima per la navigazione con le stive non coperte.</w:t>
      </w:r>
    </w:p>
    <w:p w:rsidR="00500018" w:rsidRPr="00C903F8" w:rsidRDefault="00500018" w:rsidP="00320866">
      <w:pPr>
        <w:pStyle w:val="ESgauche"/>
      </w:pPr>
    </w:p>
    <w:p w:rsidR="006025D0" w:rsidRPr="00C903F8" w:rsidRDefault="006025D0" w:rsidP="00320866">
      <w:pPr>
        <w:pStyle w:val="ESgauche"/>
      </w:pPr>
      <w:r>
        <w:t>Nel certificato per la navigazione interna occorre aggiungere la seguente frase:</w:t>
      </w:r>
    </w:p>
    <w:p w:rsidR="00500018" w:rsidRPr="00C903F8" w:rsidRDefault="00500018" w:rsidP="006025D0"/>
    <w:p w:rsidR="006025D0" w:rsidRPr="00C903F8" w:rsidRDefault="004271FC" w:rsidP="00500018">
      <w:pPr>
        <w:jc w:val="center"/>
      </w:pPr>
      <w:r>
        <w:t>"Se i boccaporti delle stive sono totalmente o parzialmente aperti, la nave può essere caricata solo fino a … mm al di sotto delle marche di bordo libero per la zona 3 / zona R."</w:t>
      </w:r>
    </w:p>
    <w:p w:rsidR="006025D0" w:rsidRPr="00C903F8" w:rsidRDefault="006025D0" w:rsidP="006025D0"/>
    <w:p w:rsidR="00500018" w:rsidRPr="00C903F8" w:rsidRDefault="00500018" w:rsidP="006025D0"/>
    <w:p w:rsidR="006025D0" w:rsidRPr="00C903F8" w:rsidRDefault="006025D0" w:rsidP="00500018">
      <w:pPr>
        <w:pStyle w:val="ES-Titre3"/>
        <w:rPr>
          <w:i/>
        </w:rPr>
      </w:pPr>
      <w:bookmarkStart w:id="38" w:name="_Toc491854019"/>
      <w:bookmarkStart w:id="39" w:name="_Toc535499968"/>
      <w:r>
        <w:t>Articolo 4.06</w:t>
      </w:r>
      <w:r>
        <w:br/>
      </w:r>
      <w:r>
        <w:rPr>
          <w:i/>
          <w:noProof/>
        </w:rPr>
        <w:t>Scale d'immersione</w:t>
      </w:r>
      <w:bookmarkEnd w:id="38"/>
      <w:bookmarkEnd w:id="39"/>
    </w:p>
    <w:p w:rsidR="00500018" w:rsidRPr="00C903F8" w:rsidRDefault="00500018" w:rsidP="00320866">
      <w:pPr>
        <w:pStyle w:val="ESch"/>
        <w:rPr>
          <w:noProof/>
        </w:rPr>
      </w:pPr>
    </w:p>
    <w:p w:rsidR="006025D0" w:rsidRPr="00C903F8" w:rsidRDefault="006025D0" w:rsidP="00320866">
      <w:pPr>
        <w:pStyle w:val="ESch"/>
      </w:pPr>
      <w:r>
        <w:t>1.</w:t>
      </w:r>
      <w:r>
        <w:tab/>
        <w:t>Ogni nave la cui immersione può superare 1 m reca su entrambi i lati, verso poppa, una scala d'immersione. Possono essere presenti scale d'immersione supplementari.</w:t>
      </w:r>
    </w:p>
    <w:p w:rsidR="00500018" w:rsidRPr="00C903F8" w:rsidRDefault="00500018" w:rsidP="00320866">
      <w:pPr>
        <w:pStyle w:val="ESch"/>
        <w:rPr>
          <w:noProof/>
        </w:rPr>
      </w:pPr>
    </w:p>
    <w:p w:rsidR="006025D0" w:rsidRPr="00C903F8" w:rsidRDefault="006025D0" w:rsidP="00320866">
      <w:pPr>
        <w:pStyle w:val="ESch"/>
      </w:pPr>
      <w:r>
        <w:t>2.</w:t>
      </w:r>
      <w:r>
        <w:tab/>
        <w:t>Lo zero di ogni scala d'immersione è preso verticalmente alla stessa sul piano parallelo al piano di massima immersione passante per il punto più basso dello scafo o della chiglia, se questa esiste. La distanza verticale al di sopra dello zero è graduata in decimetri. La graduazione è indicata su ogni scala, dal piano di galleggiamento a vuoto fino a 100 mm al di sopra della massima immersione, mediante marche punzonate o bulinate, e dipinte in forma di striscia ben visibile di due diversi colori alternati. La graduazione è indicata con numeri segnati a fianco della scala almeno ogni 5 decimetri, come pure a fine scala.</w:t>
      </w:r>
    </w:p>
    <w:p w:rsidR="00500018" w:rsidRPr="00C903F8" w:rsidRDefault="00500018" w:rsidP="00320866">
      <w:pPr>
        <w:pStyle w:val="ESch"/>
        <w:rPr>
          <w:noProof/>
        </w:rPr>
      </w:pPr>
    </w:p>
    <w:p w:rsidR="006025D0" w:rsidRPr="00C903F8" w:rsidRDefault="006025D0" w:rsidP="00320866">
      <w:pPr>
        <w:pStyle w:val="ESch"/>
      </w:pPr>
      <w:r>
        <w:t>3.</w:t>
      </w:r>
      <w:r>
        <w:tab/>
        <w:t>Le due scale di stazza a poppa, apposte in applicazione della convenzione di cui all'articolo 4.04, paragrafo 7, possono sostituire le scale d'immersione a condizione che abbiano una graduazione conforme ai requisiti di cui sopra, completata, eventualmente, da numeri che indichino l'immersione.</w:t>
      </w:r>
    </w:p>
    <w:p w:rsidR="00745DD2" w:rsidRPr="00C903F8" w:rsidRDefault="00745DD2" w:rsidP="00E1027C">
      <w:pPr>
        <w:spacing w:line="240" w:lineRule="atLeast"/>
        <w:rPr>
          <w:rFonts w:eastAsia="Calibri"/>
        </w:rPr>
      </w:pPr>
    </w:p>
    <w:p w:rsidR="001F1A9D" w:rsidRPr="00C903F8" w:rsidRDefault="001F1A9D" w:rsidP="00745DD2">
      <w:pPr>
        <w:pStyle w:val="ES-Titre3"/>
        <w:spacing w:line="240" w:lineRule="atLeast"/>
        <w:jc w:val="both"/>
        <w:rPr>
          <w:b w:val="0"/>
          <w:sz w:val="20"/>
        </w:rPr>
      </w:pPr>
    </w:p>
    <w:p w:rsidR="005E15D4" w:rsidRPr="00C903F8" w:rsidRDefault="005E15D4" w:rsidP="005E15D4">
      <w:pPr>
        <w:pStyle w:val="ES-Titre3"/>
        <w:rPr>
          <w:i/>
        </w:rPr>
      </w:pPr>
      <w:bookmarkStart w:id="40" w:name="_Toc491854020"/>
      <w:bookmarkStart w:id="41" w:name="_Toc535499969"/>
      <w:r>
        <w:t>Articolo 4.07</w:t>
      </w:r>
      <w:r>
        <w:br/>
      </w:r>
      <w:r>
        <w:rPr>
          <w:i/>
          <w:noProof/>
        </w:rPr>
        <w:t>Disposizioni particolari per le navi che navigano sulle vie navigabili della zona 4</w:t>
      </w:r>
      <w:bookmarkEnd w:id="40"/>
      <w:bookmarkEnd w:id="41"/>
    </w:p>
    <w:p w:rsidR="00745DD2" w:rsidRPr="00C903F8" w:rsidRDefault="00745DD2" w:rsidP="00745DD2">
      <w:pPr>
        <w:pStyle w:val="ES-Titre3"/>
        <w:spacing w:line="240" w:lineRule="atLeast"/>
        <w:jc w:val="both"/>
        <w:rPr>
          <w:b w:val="0"/>
          <w:sz w:val="20"/>
        </w:rPr>
      </w:pPr>
    </w:p>
    <w:p w:rsidR="005E15D4" w:rsidRPr="00C903F8" w:rsidRDefault="005E15D4" w:rsidP="005E15D4">
      <w:pPr>
        <w:pStyle w:val="ESch"/>
        <w:rPr>
          <w:noProof/>
        </w:rPr>
      </w:pPr>
      <w:r>
        <w:t xml:space="preserve">1. </w:t>
      </w:r>
      <w:r>
        <w:tab/>
        <w:t>In deroga all'articolo 4.01, paragrafi 1 e 2, per le navi che navigano sulle vie navigabili della zona 4 la distanza di sicurezza di porte e aperture diverse dai boccaporti delle stive è ridotta a:</w:t>
      </w:r>
    </w:p>
    <w:p w:rsidR="005E15D4" w:rsidRPr="00C903F8" w:rsidRDefault="005E15D4" w:rsidP="00493339">
      <w:pPr>
        <w:pStyle w:val="ESlet"/>
        <w:rPr>
          <w:noProof/>
        </w:rPr>
      </w:pPr>
      <w:r>
        <w:t>a)</w:t>
      </w:r>
      <w:r>
        <w:tab/>
        <w:t>150 mm, per le aperture che possono essere chiuse in modo stagno agli spruzzi e alle intemperie;</w:t>
      </w:r>
    </w:p>
    <w:p w:rsidR="005E15D4" w:rsidRPr="00C903F8" w:rsidRDefault="005E15D4" w:rsidP="00493339">
      <w:pPr>
        <w:pStyle w:val="ESlet"/>
        <w:rPr>
          <w:noProof/>
        </w:rPr>
      </w:pPr>
      <w:r>
        <w:t>b)</w:t>
      </w:r>
      <w:r>
        <w:tab/>
        <w:t>200 mm, per le aperture che non possono essere chiuse in modo stagno agli spruzzi e alle intemperie.</w:t>
      </w:r>
    </w:p>
    <w:p w:rsidR="005E15D4" w:rsidRPr="00C903F8" w:rsidRDefault="005E15D4" w:rsidP="005E15D4">
      <w:pPr>
        <w:pStyle w:val="ESch"/>
        <w:rPr>
          <w:noProof/>
        </w:rPr>
      </w:pPr>
    </w:p>
    <w:p w:rsidR="00745DD2" w:rsidRPr="00C903F8" w:rsidRDefault="005E15D4" w:rsidP="005E15D4">
      <w:pPr>
        <w:pStyle w:val="ESch"/>
        <w:rPr>
          <w:noProof/>
        </w:rPr>
      </w:pPr>
      <w:r>
        <w:t xml:space="preserve">2. </w:t>
      </w:r>
      <w:r>
        <w:tab/>
        <w:t>In deroga all'articolo 4.02, il bordo libero minimo per le navi che navigano sulle vie navigabili della zona 4 è pari a 0 mm, se è rispettata la distanza di sicurezza di cui al paragrafo 1.</w:t>
      </w:r>
    </w:p>
    <w:p w:rsidR="00A60727" w:rsidRPr="00C903F8" w:rsidRDefault="00A60727" w:rsidP="005E15D4">
      <w:pPr>
        <w:pStyle w:val="ESch"/>
        <w:rPr>
          <w:noProof/>
        </w:rPr>
      </w:pPr>
    </w:p>
    <w:p w:rsidR="00A60727" w:rsidRPr="00C903F8" w:rsidRDefault="00A60727" w:rsidP="005E15D4">
      <w:pPr>
        <w:pStyle w:val="ESch"/>
        <w:rPr>
          <w:noProof/>
        </w:rPr>
      </w:pPr>
    </w:p>
    <w:p w:rsidR="006D6907" w:rsidRPr="00C903F8" w:rsidRDefault="006D6907" w:rsidP="005E15D4">
      <w:pPr>
        <w:pStyle w:val="ESch"/>
        <w:rPr>
          <w:noProof/>
        </w:rPr>
      </w:pPr>
      <w:r>
        <w:br w:type="page"/>
      </w:r>
    </w:p>
    <w:p w:rsidR="006D6907" w:rsidRPr="00C903F8" w:rsidRDefault="006D6907" w:rsidP="005E15D4">
      <w:pPr>
        <w:pStyle w:val="ESch"/>
        <w:rPr>
          <w:noProof/>
        </w:rPr>
      </w:pPr>
    </w:p>
    <w:p w:rsidR="006D6907" w:rsidRPr="00C903F8" w:rsidRDefault="006D6907" w:rsidP="005E15D4">
      <w:pPr>
        <w:pStyle w:val="ESch"/>
        <w:rPr>
          <w:noProof/>
        </w:rPr>
      </w:pPr>
    </w:p>
    <w:p w:rsidR="00A60727" w:rsidRPr="00C903F8" w:rsidRDefault="00A60727" w:rsidP="005E15D4">
      <w:pPr>
        <w:pStyle w:val="ESch"/>
        <w:rPr>
          <w:noProof/>
        </w:rPr>
      </w:pPr>
    </w:p>
    <w:p w:rsidR="00A06CEC" w:rsidRPr="00C903F8" w:rsidRDefault="00A06CEC" w:rsidP="00E1027C">
      <w:pPr>
        <w:pStyle w:val="ES-Titre2"/>
      </w:pPr>
      <w:bookmarkStart w:id="42" w:name="_Toc491854021"/>
      <w:bookmarkStart w:id="43" w:name="_Toc535499970"/>
      <w:r>
        <w:lastRenderedPageBreak/>
        <w:t>Capo 5</w:t>
      </w:r>
      <w:r>
        <w:br/>
        <w:t>Manovrabilità</w:t>
      </w:r>
      <w:bookmarkEnd w:id="42"/>
      <w:bookmarkEnd w:id="43"/>
    </w:p>
    <w:p w:rsidR="00745DD2" w:rsidRPr="00C903F8" w:rsidRDefault="00745DD2" w:rsidP="00E1027C">
      <w:pPr>
        <w:pStyle w:val="ES-Titre3"/>
        <w:spacing w:line="240" w:lineRule="atLeast"/>
      </w:pPr>
    </w:p>
    <w:p w:rsidR="00500018" w:rsidRPr="00C903F8" w:rsidRDefault="00500018" w:rsidP="00500018">
      <w:pPr>
        <w:pStyle w:val="ES-Titre3"/>
      </w:pPr>
      <w:bookmarkStart w:id="44" w:name="_Toc491854022"/>
      <w:bookmarkStart w:id="45" w:name="_Toc535499971"/>
      <w:r>
        <w:t>Articolo 5.01</w:t>
      </w:r>
      <w:r>
        <w:br/>
      </w:r>
      <w:r>
        <w:rPr>
          <w:i/>
          <w:noProof/>
        </w:rPr>
        <w:t>Aspetti generali</w:t>
      </w:r>
      <w:bookmarkEnd w:id="44"/>
      <w:bookmarkEnd w:id="45"/>
    </w:p>
    <w:p w:rsidR="00500018" w:rsidRPr="00C903F8" w:rsidRDefault="00500018" w:rsidP="00500018">
      <w:pPr>
        <w:rPr>
          <w:noProof/>
          <w:szCs w:val="20"/>
        </w:rPr>
      </w:pPr>
    </w:p>
    <w:p w:rsidR="00500018" w:rsidRPr="00C903F8" w:rsidRDefault="00F64273" w:rsidP="000225FB">
      <w:pPr>
        <w:pStyle w:val="ESch"/>
      </w:pPr>
      <w:r>
        <w:t>1.</w:t>
      </w:r>
      <w:r>
        <w:tab/>
        <w:t>Le navi e i convogli presentano navigabilità e manovrabilità adeguate.</w:t>
      </w:r>
    </w:p>
    <w:p w:rsidR="00500018" w:rsidRPr="00C903F8" w:rsidRDefault="00500018" w:rsidP="000225FB">
      <w:pPr>
        <w:pStyle w:val="ESch"/>
      </w:pPr>
    </w:p>
    <w:p w:rsidR="00500018" w:rsidRPr="00C903F8" w:rsidRDefault="00F64273" w:rsidP="000225FB">
      <w:pPr>
        <w:pStyle w:val="ESch"/>
      </w:pPr>
      <w:r>
        <w:t>2.</w:t>
      </w:r>
      <w:r>
        <w:tab/>
        <w:t>Le navi non dotate di motori di propulsione, destinate ad essere rimorchiate, soddisfano i requisiti specifici stabiliti dalla commissione di ispezione.</w:t>
      </w:r>
    </w:p>
    <w:p w:rsidR="00500018" w:rsidRPr="00C903F8" w:rsidRDefault="00500018" w:rsidP="000225FB">
      <w:pPr>
        <w:pStyle w:val="ESch"/>
      </w:pPr>
    </w:p>
    <w:p w:rsidR="00500018" w:rsidRPr="00C903F8" w:rsidRDefault="00F64273" w:rsidP="000225FB">
      <w:pPr>
        <w:pStyle w:val="ESch"/>
      </w:pPr>
      <w:r>
        <w:t>3.</w:t>
      </w:r>
      <w:r>
        <w:tab/>
        <w:t>Le navi e i convogli dotati di motori di propulsione soddisfano i requisiti di cui agli articoli da 5.02 a 5.10.</w:t>
      </w:r>
    </w:p>
    <w:p w:rsidR="00500018" w:rsidRPr="00C903F8" w:rsidRDefault="00500018" w:rsidP="00065064">
      <w:pPr>
        <w:pStyle w:val="ESch"/>
      </w:pPr>
    </w:p>
    <w:p w:rsidR="00500018" w:rsidRPr="00C903F8" w:rsidRDefault="00500018" w:rsidP="00500018">
      <w:pPr>
        <w:rPr>
          <w:szCs w:val="20"/>
        </w:rPr>
      </w:pPr>
    </w:p>
    <w:p w:rsidR="00500018" w:rsidRPr="00C903F8" w:rsidRDefault="00500018" w:rsidP="00500018">
      <w:pPr>
        <w:pStyle w:val="ES-Titre3"/>
      </w:pPr>
      <w:bookmarkStart w:id="46" w:name="_Toc491854023"/>
      <w:bookmarkStart w:id="47" w:name="_Toc535499972"/>
      <w:r>
        <w:t>Articolo 5.02</w:t>
      </w:r>
      <w:r>
        <w:br/>
      </w:r>
      <w:r>
        <w:rPr>
          <w:i/>
          <w:noProof/>
        </w:rPr>
        <w:t>Prove di navigazione</w:t>
      </w:r>
      <w:bookmarkEnd w:id="46"/>
      <w:bookmarkEnd w:id="47"/>
    </w:p>
    <w:p w:rsidR="00500018" w:rsidRPr="00C903F8" w:rsidRDefault="00500018" w:rsidP="00320866">
      <w:pPr>
        <w:pStyle w:val="ESch"/>
        <w:rPr>
          <w:noProof/>
        </w:rPr>
      </w:pPr>
    </w:p>
    <w:p w:rsidR="00500018" w:rsidRPr="00C903F8" w:rsidRDefault="00500018" w:rsidP="00320866">
      <w:pPr>
        <w:pStyle w:val="ESch"/>
      </w:pPr>
      <w:r>
        <w:t>1.</w:t>
      </w:r>
      <w:r>
        <w:tab/>
        <w:t>La navigabilità e la manovrabilità sono verificate mediante prove di navigazione. Occorre in particolare controllare la conformità con i requisiti di cui agli articoli da 5.06 a 5.10.</w:t>
      </w:r>
    </w:p>
    <w:p w:rsidR="00500018" w:rsidRPr="00C903F8" w:rsidRDefault="00500018" w:rsidP="00320866">
      <w:pPr>
        <w:pStyle w:val="ESch"/>
        <w:rPr>
          <w:noProof/>
        </w:rPr>
      </w:pPr>
    </w:p>
    <w:p w:rsidR="00500018" w:rsidRPr="00C903F8" w:rsidRDefault="00500018" w:rsidP="00320866">
      <w:pPr>
        <w:pStyle w:val="ESch"/>
      </w:pPr>
      <w:r>
        <w:t>2.</w:t>
      </w:r>
      <w:r>
        <w:tab/>
        <w:t>La commissione di ispezione può rinunciare del tutto o in parte alle prove quando il rispetto dei requisiti in materia di navigabilità e di manovrabilità è provato in altra maniera.</w:t>
      </w:r>
    </w:p>
    <w:p w:rsidR="00500018" w:rsidRPr="00C903F8" w:rsidRDefault="00500018" w:rsidP="00500018">
      <w:pPr>
        <w:rPr>
          <w:szCs w:val="20"/>
        </w:rPr>
      </w:pPr>
    </w:p>
    <w:p w:rsidR="00500018" w:rsidRPr="00C903F8" w:rsidRDefault="00500018" w:rsidP="00500018">
      <w:pPr>
        <w:rPr>
          <w:szCs w:val="20"/>
        </w:rPr>
      </w:pPr>
    </w:p>
    <w:p w:rsidR="00500018" w:rsidRPr="00C903F8" w:rsidRDefault="00500018" w:rsidP="00500018">
      <w:pPr>
        <w:pStyle w:val="ES-Titre3"/>
      </w:pPr>
      <w:bookmarkStart w:id="48" w:name="_Toc491854024"/>
      <w:bookmarkStart w:id="49" w:name="_Toc535499973"/>
      <w:r>
        <w:t>Articolo 5.03</w:t>
      </w:r>
      <w:r>
        <w:br/>
      </w:r>
      <w:r>
        <w:rPr>
          <w:i/>
          <w:noProof/>
        </w:rPr>
        <w:t>Zona di prova</w:t>
      </w:r>
      <w:bookmarkEnd w:id="48"/>
      <w:bookmarkEnd w:id="49"/>
    </w:p>
    <w:p w:rsidR="00500018" w:rsidRPr="00C903F8" w:rsidRDefault="00500018" w:rsidP="00320866">
      <w:pPr>
        <w:pStyle w:val="ESch"/>
        <w:rPr>
          <w:noProof/>
        </w:rPr>
      </w:pPr>
    </w:p>
    <w:p w:rsidR="00500018" w:rsidRPr="00C903F8" w:rsidRDefault="00500018" w:rsidP="00320866">
      <w:pPr>
        <w:pStyle w:val="ESch"/>
      </w:pPr>
      <w:r>
        <w:t>1.</w:t>
      </w:r>
      <w:r>
        <w:tab/>
        <w:t>Le prove di navigazione di cui all'articolo 5.02 sono effettuate in zone della rete navigabile interna stabilite dalle autorità competenti.</w:t>
      </w:r>
    </w:p>
    <w:p w:rsidR="00500018" w:rsidRPr="00C903F8" w:rsidRDefault="00500018" w:rsidP="00320866">
      <w:pPr>
        <w:pStyle w:val="ESch"/>
        <w:rPr>
          <w:noProof/>
        </w:rPr>
      </w:pPr>
    </w:p>
    <w:p w:rsidR="00500018" w:rsidRPr="00C903F8" w:rsidRDefault="00500018" w:rsidP="00320866">
      <w:pPr>
        <w:pStyle w:val="ESch"/>
      </w:pPr>
      <w:r>
        <w:t>2.</w:t>
      </w:r>
      <w:r>
        <w:tab/>
        <w:t>Queste zone di prova sono situate su un tratto, possibilmente rettilineo, di una lunghezza minima di 2 km e di larghezza sufficiente, in acqua corrente o in acqua stagnante, e sono provviste di contrassegni ben riconoscibili per determinare la posizione della nave.</w:t>
      </w:r>
    </w:p>
    <w:p w:rsidR="00500018" w:rsidRPr="00C903F8" w:rsidRDefault="00500018" w:rsidP="00320866">
      <w:pPr>
        <w:pStyle w:val="ESch"/>
        <w:rPr>
          <w:noProof/>
        </w:rPr>
      </w:pPr>
    </w:p>
    <w:p w:rsidR="00500018" w:rsidRPr="00C903F8" w:rsidRDefault="00500018" w:rsidP="00320866">
      <w:pPr>
        <w:pStyle w:val="ESch"/>
      </w:pPr>
      <w:r>
        <w:t>3.</w:t>
      </w:r>
      <w:r>
        <w:tab/>
        <w:t>La commissione di ispezione deve poter rilevare i dati idrologici, quali profondità dell'acqua, larghezza del canale navigabile e velocità media della corrente nella zona di navigazione in funzione dei vari livelli dell'acqua.</w:t>
      </w:r>
    </w:p>
    <w:p w:rsidR="00500018" w:rsidRPr="00C903F8" w:rsidRDefault="00500018" w:rsidP="00320866">
      <w:pPr>
        <w:pStyle w:val="ESch"/>
      </w:pPr>
    </w:p>
    <w:p w:rsidR="00500018" w:rsidRPr="00C903F8" w:rsidRDefault="00500018" w:rsidP="00533048">
      <w:pPr>
        <w:pStyle w:val="ESch"/>
      </w:pPr>
    </w:p>
    <w:p w:rsidR="00500018" w:rsidRPr="00C903F8" w:rsidRDefault="00500018" w:rsidP="00500018">
      <w:pPr>
        <w:pStyle w:val="ES-Titre3"/>
      </w:pPr>
      <w:bookmarkStart w:id="50" w:name="_Toc491854025"/>
      <w:bookmarkStart w:id="51" w:name="_Toc535499974"/>
      <w:r>
        <w:t>Articolo 5.04</w:t>
      </w:r>
      <w:r>
        <w:br/>
      </w:r>
      <w:r>
        <w:rPr>
          <w:i/>
          <w:noProof/>
        </w:rPr>
        <w:t>Livello di carico delle navi e dei convogli durante le prove di navigazione</w:t>
      </w:r>
      <w:bookmarkEnd w:id="50"/>
      <w:bookmarkEnd w:id="51"/>
    </w:p>
    <w:p w:rsidR="00500018" w:rsidRPr="00C903F8" w:rsidRDefault="00500018" w:rsidP="00500018">
      <w:pPr>
        <w:ind w:left="0" w:firstLine="0"/>
        <w:rPr>
          <w:noProof/>
          <w:szCs w:val="20"/>
        </w:rPr>
      </w:pPr>
    </w:p>
    <w:p w:rsidR="00500018" w:rsidRPr="00C903F8" w:rsidRDefault="00500018" w:rsidP="00320866">
      <w:pPr>
        <w:pStyle w:val="ESgauche"/>
      </w:pPr>
      <w:r>
        <w:t>Durante le prove di navigazione, le navi e i convogli adibiti al trasporto di merci sono caricati almeno al 70 % della loro portata lorda e il loro carico è ripartito in modo da garantire per quanto possibile un assetto orizzontale. Se le prove sono effettuate con un carico inferiore, l'autorizzazione per la navigazione a valle è limitata a tale carico.</w:t>
      </w:r>
    </w:p>
    <w:p w:rsidR="00500018" w:rsidRPr="00C903F8" w:rsidRDefault="00500018" w:rsidP="00500018">
      <w:pPr>
        <w:ind w:left="0" w:firstLine="0"/>
        <w:rPr>
          <w:szCs w:val="20"/>
        </w:rPr>
      </w:pPr>
      <w:r>
        <w:br w:type="page"/>
      </w:r>
    </w:p>
    <w:p w:rsidR="00500018" w:rsidRPr="00C903F8" w:rsidRDefault="00500018" w:rsidP="00500018">
      <w:pPr>
        <w:pStyle w:val="ES-Titre3"/>
      </w:pPr>
      <w:bookmarkStart w:id="52" w:name="_Toc491854026"/>
      <w:bookmarkStart w:id="53" w:name="_Toc535499975"/>
      <w:r>
        <w:lastRenderedPageBreak/>
        <w:t>Articolo 5.05</w:t>
      </w:r>
      <w:r>
        <w:br/>
      </w:r>
      <w:r>
        <w:rPr>
          <w:i/>
          <w:noProof/>
        </w:rPr>
        <w:t>Uso dei mezzi di bordo per la prova di navigazione</w:t>
      </w:r>
      <w:bookmarkEnd w:id="52"/>
      <w:bookmarkEnd w:id="53"/>
    </w:p>
    <w:p w:rsidR="00500018" w:rsidRPr="00C903F8" w:rsidRDefault="00500018" w:rsidP="00500018">
      <w:pPr>
        <w:rPr>
          <w:noProof/>
          <w:szCs w:val="20"/>
        </w:rPr>
      </w:pPr>
    </w:p>
    <w:p w:rsidR="00500018" w:rsidRPr="00C903F8" w:rsidRDefault="00500018" w:rsidP="00320866">
      <w:pPr>
        <w:pStyle w:val="ESch"/>
      </w:pPr>
      <w:r>
        <w:t>1.</w:t>
      </w:r>
      <w:r>
        <w:tab/>
        <w:t>Nella prova di navigazione si possono utilizzare tutti gli impianti menzionati ai punti 34 e 52 del certificato per la navigazione interna, azionabili dalla timoneria, tranne le ancore.</w:t>
      </w:r>
    </w:p>
    <w:p w:rsidR="00500018" w:rsidRPr="00C903F8" w:rsidRDefault="00500018" w:rsidP="00320866">
      <w:pPr>
        <w:pStyle w:val="ESch"/>
        <w:rPr>
          <w:noProof/>
        </w:rPr>
      </w:pPr>
    </w:p>
    <w:p w:rsidR="00500018" w:rsidRPr="00C903F8" w:rsidRDefault="00500018" w:rsidP="00320866">
      <w:pPr>
        <w:pStyle w:val="ESch"/>
      </w:pPr>
      <w:r>
        <w:t>2.</w:t>
      </w:r>
      <w:r>
        <w:tab/>
        <w:t>Tuttavia, durante la prova di virata a monte prevista all'articolo 5.10, si possono utilizzare le ancore di prua.</w:t>
      </w:r>
    </w:p>
    <w:p w:rsidR="00500018" w:rsidRPr="00C903F8" w:rsidRDefault="00500018" w:rsidP="00500018">
      <w:pPr>
        <w:rPr>
          <w:szCs w:val="20"/>
        </w:rPr>
      </w:pPr>
    </w:p>
    <w:p w:rsidR="00500018" w:rsidRPr="00C903F8" w:rsidRDefault="00500018" w:rsidP="00500018">
      <w:pPr>
        <w:pStyle w:val="ES-Titre3"/>
      </w:pPr>
      <w:bookmarkStart w:id="54" w:name="_Toc491854027"/>
      <w:bookmarkStart w:id="55" w:name="_Toc535499976"/>
      <w:r>
        <w:t>Articolo 5.06</w:t>
      </w:r>
      <w:r>
        <w:br/>
      </w:r>
      <w:r>
        <w:rPr>
          <w:i/>
          <w:noProof/>
        </w:rPr>
        <w:t>Velocità prescritta (in marcia avanti)</w:t>
      </w:r>
      <w:bookmarkEnd w:id="54"/>
      <w:bookmarkEnd w:id="55"/>
    </w:p>
    <w:p w:rsidR="003D32C2" w:rsidRPr="00C903F8" w:rsidRDefault="003D32C2" w:rsidP="00500018">
      <w:pPr>
        <w:rPr>
          <w:rFonts w:cs="Arial"/>
          <w:noProof/>
          <w:szCs w:val="20"/>
        </w:rPr>
      </w:pPr>
    </w:p>
    <w:p w:rsidR="00500018" w:rsidRPr="00C903F8" w:rsidRDefault="00500018" w:rsidP="00320866">
      <w:pPr>
        <w:pStyle w:val="ESch"/>
      </w:pPr>
      <w:r>
        <w:t>1.</w:t>
      </w:r>
      <w:r>
        <w:tab/>
        <w:t>Le navi e i convogli raggiungono una velocità rispetto all'acqua di almeno 13 km l'ora. Tale requisito non è richiesto per gli spintori che navigano a vuoto.</w:t>
      </w:r>
    </w:p>
    <w:p w:rsidR="003D32C2" w:rsidRPr="00C903F8" w:rsidRDefault="003D32C2" w:rsidP="00320866">
      <w:pPr>
        <w:pStyle w:val="ESch"/>
        <w:rPr>
          <w:noProof/>
        </w:rPr>
      </w:pPr>
    </w:p>
    <w:p w:rsidR="00500018" w:rsidRPr="00C903F8" w:rsidRDefault="00500018" w:rsidP="00320866">
      <w:pPr>
        <w:pStyle w:val="ESch"/>
      </w:pPr>
      <w:r>
        <w:t>2.</w:t>
      </w:r>
      <w:r>
        <w:tab/>
        <w:t>Nel caso di navi e convogli che operano esclusivamente nelle rade e nei porti, la commissione di ispezione può accordare deroghe.</w:t>
      </w:r>
    </w:p>
    <w:p w:rsidR="003D32C2" w:rsidRPr="00C903F8" w:rsidRDefault="003D32C2" w:rsidP="00320866">
      <w:pPr>
        <w:pStyle w:val="ESch"/>
        <w:rPr>
          <w:noProof/>
        </w:rPr>
      </w:pPr>
    </w:p>
    <w:p w:rsidR="00500018" w:rsidRPr="00C903F8" w:rsidRDefault="00500018" w:rsidP="00320866">
      <w:pPr>
        <w:pStyle w:val="ESch"/>
      </w:pPr>
      <w:r>
        <w:t>3.</w:t>
      </w:r>
      <w:r>
        <w:tab/>
        <w:t>La commissione di ispezione controlla se la nave scarica è in grado di superare una velocità di 40 km l'ora rispetto all'acqua. In caso affermativo, al punto 52 del certificato per la navigazione interna si inserisce la seguente frase:</w:t>
      </w:r>
    </w:p>
    <w:p w:rsidR="003D32C2" w:rsidRPr="00C903F8" w:rsidRDefault="003D32C2" w:rsidP="00320866">
      <w:pPr>
        <w:pStyle w:val="ESch"/>
        <w:rPr>
          <w:noProof/>
        </w:rPr>
      </w:pPr>
    </w:p>
    <w:p w:rsidR="00500018" w:rsidRPr="00C903F8" w:rsidRDefault="00BF7908" w:rsidP="003D32C2">
      <w:pPr>
        <w:jc w:val="center"/>
        <w:rPr>
          <w:rFonts w:cs="Arial"/>
          <w:szCs w:val="20"/>
        </w:rPr>
      </w:pPr>
      <w:r>
        <w:t>"</w:t>
      </w:r>
      <w:r w:rsidR="00500018">
        <w:t>La nave è in grado di superare una velocità di 40 km l'ora rispetto all'acqua.</w:t>
      </w:r>
      <w:r>
        <w:t>"</w:t>
      </w:r>
    </w:p>
    <w:p w:rsidR="00500018" w:rsidRPr="00C903F8" w:rsidRDefault="00500018" w:rsidP="00500018">
      <w:pPr>
        <w:rPr>
          <w:rFonts w:cs="Arial"/>
          <w:szCs w:val="20"/>
        </w:rPr>
      </w:pPr>
    </w:p>
    <w:p w:rsidR="003D32C2" w:rsidRPr="00C903F8" w:rsidRDefault="003D32C2" w:rsidP="00500018">
      <w:pPr>
        <w:rPr>
          <w:rFonts w:cs="Arial"/>
          <w:szCs w:val="20"/>
        </w:rPr>
      </w:pPr>
    </w:p>
    <w:p w:rsidR="00500018" w:rsidRPr="00C903F8" w:rsidRDefault="00500018" w:rsidP="003D32C2">
      <w:pPr>
        <w:pStyle w:val="ES-Titre3"/>
      </w:pPr>
      <w:bookmarkStart w:id="56" w:name="_Toc491854028"/>
      <w:bookmarkStart w:id="57" w:name="_Toc535499977"/>
      <w:r>
        <w:t>Articolo 5.07</w:t>
      </w:r>
      <w:r>
        <w:br/>
      </w:r>
      <w:r>
        <w:rPr>
          <w:i/>
          <w:noProof/>
        </w:rPr>
        <w:t>Capacità d'arresto</w:t>
      </w:r>
      <w:bookmarkEnd w:id="56"/>
      <w:bookmarkEnd w:id="57"/>
    </w:p>
    <w:p w:rsidR="003D32C2" w:rsidRPr="00C903F8" w:rsidRDefault="003D32C2" w:rsidP="00500018">
      <w:pPr>
        <w:rPr>
          <w:rFonts w:cs="Arial"/>
          <w:noProof/>
          <w:szCs w:val="20"/>
        </w:rPr>
      </w:pPr>
    </w:p>
    <w:p w:rsidR="00500018" w:rsidRPr="00C903F8" w:rsidRDefault="00500018" w:rsidP="00320866">
      <w:pPr>
        <w:pStyle w:val="ESch"/>
      </w:pPr>
      <w:r>
        <w:t>1.</w:t>
      </w:r>
      <w:r>
        <w:tab/>
        <w:t>Le navi e i convogli sono in grado di arrestarsi prua a valle in tempo utile, mantenendo una capacità sufficiente di manovrabilità.</w:t>
      </w:r>
    </w:p>
    <w:p w:rsidR="003D32C2" w:rsidRPr="00C903F8" w:rsidRDefault="003D32C2" w:rsidP="00320866">
      <w:pPr>
        <w:pStyle w:val="ESch"/>
        <w:rPr>
          <w:noProof/>
        </w:rPr>
      </w:pPr>
    </w:p>
    <w:p w:rsidR="00500018" w:rsidRPr="00C903F8" w:rsidRDefault="00500018" w:rsidP="00320866">
      <w:pPr>
        <w:pStyle w:val="ESch"/>
      </w:pPr>
      <w:r>
        <w:t>2.</w:t>
      </w:r>
      <w:r>
        <w:tab/>
        <w:t xml:space="preserve">Nel caso di navi e convogli di lunghezza </w:t>
      </w:r>
      <m:oMath>
        <m:r>
          <w:rPr>
            <w:rFonts w:ascii="Cambria Math" w:hAnsi="Cambria Math"/>
            <w:noProof/>
          </w:rPr>
          <m:t>L</m:t>
        </m:r>
      </m:oMath>
      <w:r>
        <w:t xml:space="preserve"> minore o uguale a 86 m e larghezza </w:t>
      </w:r>
      <m:oMath>
        <m:r>
          <w:rPr>
            <w:rFonts w:ascii="Cambria Math" w:hAnsi="Cambria Math"/>
            <w:noProof/>
          </w:rPr>
          <m:t>B</m:t>
        </m:r>
      </m:oMath>
      <w:r>
        <w:t xml:space="preserve"> minore o uguale a 22,90 m, la capacità d'arresto di cui sopra può essere sostituita dalla capacità di virata.</w:t>
      </w:r>
    </w:p>
    <w:p w:rsidR="003D32C2" w:rsidRPr="00C903F8" w:rsidRDefault="003D32C2" w:rsidP="00320866">
      <w:pPr>
        <w:pStyle w:val="ESch"/>
        <w:rPr>
          <w:noProof/>
        </w:rPr>
      </w:pPr>
    </w:p>
    <w:p w:rsidR="00500018" w:rsidRPr="00C903F8" w:rsidRDefault="00500018" w:rsidP="00320866">
      <w:pPr>
        <w:pStyle w:val="ESch"/>
      </w:pPr>
      <w:r>
        <w:t>3.</w:t>
      </w:r>
      <w:r>
        <w:tab/>
        <w:t>La capacità d'arresto è dimostrata mediante manovre d'arresto effettuate in una zona di prova di cui all'articolo 5.03 e la capacità di virata mediante manovre di virata in conformità dell'articolo 5.10.</w:t>
      </w:r>
    </w:p>
    <w:p w:rsidR="00500018" w:rsidRPr="00C903F8" w:rsidRDefault="00500018" w:rsidP="00500018">
      <w:pPr>
        <w:rPr>
          <w:noProof/>
          <w:szCs w:val="20"/>
        </w:rPr>
      </w:pPr>
    </w:p>
    <w:p w:rsidR="003D32C2" w:rsidRPr="00C903F8" w:rsidRDefault="003D32C2" w:rsidP="00500018">
      <w:pPr>
        <w:rPr>
          <w:noProof/>
          <w:szCs w:val="20"/>
        </w:rPr>
      </w:pPr>
    </w:p>
    <w:p w:rsidR="00500018" w:rsidRPr="00C903F8" w:rsidRDefault="00500018" w:rsidP="003D32C2">
      <w:pPr>
        <w:pStyle w:val="ES-Titre3"/>
      </w:pPr>
      <w:bookmarkStart w:id="58" w:name="_Toc491854029"/>
      <w:bookmarkStart w:id="59" w:name="_Toc535499978"/>
      <w:r>
        <w:t>Articolo 5.08</w:t>
      </w:r>
      <w:r>
        <w:br/>
      </w:r>
      <w:r>
        <w:rPr>
          <w:i/>
          <w:noProof/>
        </w:rPr>
        <w:t>Capacità di navigare in marcia indietro</w:t>
      </w:r>
      <w:bookmarkEnd w:id="58"/>
      <w:bookmarkEnd w:id="59"/>
    </w:p>
    <w:p w:rsidR="003D32C2" w:rsidRPr="00C903F8" w:rsidRDefault="003D32C2" w:rsidP="003D32C2">
      <w:pPr>
        <w:ind w:left="0" w:firstLine="0"/>
        <w:rPr>
          <w:noProof/>
          <w:szCs w:val="20"/>
        </w:rPr>
      </w:pPr>
    </w:p>
    <w:p w:rsidR="00500018" w:rsidRPr="00C903F8" w:rsidRDefault="00500018" w:rsidP="00320866">
      <w:pPr>
        <w:pStyle w:val="ESgauche"/>
      </w:pPr>
      <w:r>
        <w:t>Quando una manovra d'arresto di cui all'articolo 5.07 è effettuata in acqua stagnante, essa è seguita da una prova di navigazione in marcia indietro.</w:t>
      </w:r>
    </w:p>
    <w:p w:rsidR="003D32C2" w:rsidRPr="00C903F8" w:rsidRDefault="003D32C2" w:rsidP="00500018">
      <w:pPr>
        <w:rPr>
          <w:noProof/>
          <w:szCs w:val="20"/>
        </w:rPr>
      </w:pPr>
      <w:r>
        <w:br w:type="page"/>
      </w:r>
    </w:p>
    <w:p w:rsidR="00500018" w:rsidRPr="00C903F8" w:rsidRDefault="00500018" w:rsidP="003D32C2">
      <w:pPr>
        <w:pStyle w:val="ES-Titre3"/>
        <w:rPr>
          <w:i/>
          <w:noProof/>
        </w:rPr>
      </w:pPr>
      <w:bookmarkStart w:id="60" w:name="_Toc491854030"/>
      <w:bookmarkStart w:id="61" w:name="_Toc535499979"/>
      <w:r>
        <w:lastRenderedPageBreak/>
        <w:t>Articolo 5.09</w:t>
      </w:r>
      <w:r>
        <w:br/>
      </w:r>
      <w:r>
        <w:rPr>
          <w:i/>
          <w:noProof/>
        </w:rPr>
        <w:t>Capacità di manovra di evasione</w:t>
      </w:r>
      <w:bookmarkEnd w:id="60"/>
      <w:bookmarkEnd w:id="61"/>
    </w:p>
    <w:p w:rsidR="003D32C2" w:rsidRPr="00C903F8" w:rsidRDefault="003D32C2" w:rsidP="003D32C2">
      <w:pPr>
        <w:pStyle w:val="ES-Titre3"/>
      </w:pPr>
    </w:p>
    <w:p w:rsidR="00500018" w:rsidRPr="00C903F8" w:rsidRDefault="00500018" w:rsidP="00320866">
      <w:pPr>
        <w:pStyle w:val="ESgauche"/>
      </w:pPr>
      <w:r>
        <w:t>Le navi e i convogli devono essere in grado di effettuare una schivata in tempo utile. La capacità di schivare è provata effettuando manovre di schivata in una zona di prova di cui all'articolo 5.03.</w:t>
      </w:r>
    </w:p>
    <w:p w:rsidR="00500018" w:rsidRPr="00C903F8" w:rsidRDefault="00500018" w:rsidP="00500018">
      <w:pPr>
        <w:rPr>
          <w:szCs w:val="20"/>
        </w:rPr>
      </w:pPr>
    </w:p>
    <w:p w:rsidR="003D32C2" w:rsidRPr="00C903F8" w:rsidRDefault="003D32C2" w:rsidP="00500018">
      <w:pPr>
        <w:rPr>
          <w:szCs w:val="20"/>
        </w:rPr>
      </w:pPr>
    </w:p>
    <w:p w:rsidR="00500018" w:rsidRPr="00C903F8" w:rsidRDefault="00500018" w:rsidP="003D32C2">
      <w:pPr>
        <w:pStyle w:val="ES-Titre3"/>
      </w:pPr>
      <w:bookmarkStart w:id="62" w:name="_Toc491854031"/>
      <w:bookmarkStart w:id="63" w:name="_Toc535499980"/>
      <w:r>
        <w:t>Articolo 5.10</w:t>
      </w:r>
      <w:r>
        <w:br/>
      </w:r>
      <w:r>
        <w:rPr>
          <w:i/>
          <w:noProof/>
        </w:rPr>
        <w:t>Capacità di virata</w:t>
      </w:r>
      <w:bookmarkEnd w:id="62"/>
      <w:bookmarkEnd w:id="63"/>
    </w:p>
    <w:p w:rsidR="003D32C2" w:rsidRPr="00C903F8" w:rsidRDefault="003D32C2" w:rsidP="003D32C2">
      <w:pPr>
        <w:ind w:left="0" w:firstLine="0"/>
        <w:rPr>
          <w:noProof/>
          <w:szCs w:val="20"/>
        </w:rPr>
      </w:pPr>
    </w:p>
    <w:p w:rsidR="00500018" w:rsidRPr="00C903F8" w:rsidRDefault="00500018" w:rsidP="003D32C2">
      <w:pPr>
        <w:ind w:left="0" w:firstLine="0"/>
        <w:rPr>
          <w:szCs w:val="20"/>
        </w:rPr>
      </w:pPr>
      <w:r>
        <w:t xml:space="preserve">Navi e convogli di lunghezza </w:t>
      </w:r>
      <m:oMath>
        <m:r>
          <w:rPr>
            <w:rFonts w:ascii="Cambria Math" w:hAnsi="Cambria Math"/>
            <w:noProof/>
            <w:szCs w:val="20"/>
          </w:rPr>
          <m:t>L</m:t>
        </m:r>
      </m:oMath>
      <w:r>
        <w:t xml:space="preserve"> minore o uguale a 86 m e larghezza </w:t>
      </w:r>
      <m:oMath>
        <m:r>
          <w:rPr>
            <w:rFonts w:ascii="Cambria Math" w:hAnsi="Cambria Math"/>
            <w:noProof/>
            <w:szCs w:val="20"/>
          </w:rPr>
          <m:t>B</m:t>
        </m:r>
      </m:oMath>
      <w:r>
        <w:t xml:space="preserve"> minore o uguale a 22,90 m devono essere in grado di virare in tempo utile.</w:t>
      </w:r>
    </w:p>
    <w:p w:rsidR="003D32C2" w:rsidRPr="00C903F8" w:rsidRDefault="003D32C2" w:rsidP="00500018">
      <w:pPr>
        <w:rPr>
          <w:noProof/>
          <w:szCs w:val="20"/>
        </w:rPr>
      </w:pPr>
    </w:p>
    <w:p w:rsidR="00500018" w:rsidRPr="00C903F8" w:rsidRDefault="00500018" w:rsidP="00500018">
      <w:pPr>
        <w:rPr>
          <w:szCs w:val="20"/>
        </w:rPr>
      </w:pPr>
      <w:r>
        <w:t>Tale capacità di virata può essere sostituita dalla capacità d'arresto in conformità dell'articolo 5.07.</w:t>
      </w:r>
    </w:p>
    <w:p w:rsidR="003D32C2" w:rsidRPr="00C903F8" w:rsidRDefault="003D32C2" w:rsidP="00500018">
      <w:pPr>
        <w:rPr>
          <w:noProof/>
          <w:szCs w:val="20"/>
        </w:rPr>
      </w:pPr>
    </w:p>
    <w:p w:rsidR="00500018" w:rsidRPr="00C903F8" w:rsidRDefault="00500018" w:rsidP="00500018">
      <w:pPr>
        <w:rPr>
          <w:szCs w:val="20"/>
        </w:rPr>
      </w:pPr>
      <w:r>
        <w:t>La capacità di virata è provata mediante manovre di virata a monte.</w:t>
      </w:r>
    </w:p>
    <w:p w:rsidR="00A06CEC" w:rsidRPr="00C903F8" w:rsidRDefault="00A06CEC" w:rsidP="003D32C2">
      <w:pPr>
        <w:spacing w:line="240" w:lineRule="atLeast"/>
        <w:ind w:left="0" w:firstLine="0"/>
      </w:pPr>
    </w:p>
    <w:p w:rsidR="00745DD2" w:rsidRPr="00C903F8" w:rsidRDefault="00745DD2" w:rsidP="00E1027C">
      <w:pPr>
        <w:spacing w:line="240" w:lineRule="atLeast"/>
      </w:pPr>
    </w:p>
    <w:p w:rsidR="008D7EA6" w:rsidRPr="00C903F8" w:rsidRDefault="008D7EA6" w:rsidP="003D32C2">
      <w:pPr>
        <w:spacing w:line="240" w:lineRule="atLeast"/>
        <w:rPr>
          <w:noProof/>
        </w:rPr>
      </w:pPr>
    </w:p>
    <w:p w:rsidR="006D6907" w:rsidRPr="00C903F8" w:rsidRDefault="006D6907" w:rsidP="003D32C2">
      <w:pPr>
        <w:spacing w:line="240" w:lineRule="atLeast"/>
        <w:rPr>
          <w:noProof/>
        </w:rPr>
      </w:pPr>
      <w:r>
        <w:br w:type="page"/>
      </w:r>
    </w:p>
    <w:p w:rsidR="006D6907" w:rsidRPr="00C903F8" w:rsidRDefault="006D6907" w:rsidP="003D32C2">
      <w:pPr>
        <w:spacing w:line="240" w:lineRule="atLeast"/>
        <w:rPr>
          <w:noProof/>
        </w:rPr>
      </w:pPr>
    </w:p>
    <w:p w:rsidR="0063454C" w:rsidRDefault="0063454C" w:rsidP="00745DD2">
      <w:pPr>
        <w:spacing w:line="240" w:lineRule="atLeast"/>
        <w:ind w:left="0" w:firstLine="0"/>
        <w:rPr>
          <w:noProof/>
        </w:rPr>
        <w:sectPr w:rsidR="0063454C" w:rsidSect="00AC5CC1">
          <w:headerReference w:type="first" r:id="rId24"/>
          <w:footnotePr>
            <w:numRestart w:val="eachPage"/>
          </w:footnotePr>
          <w:pgSz w:w="11906" w:h="16838" w:code="9"/>
          <w:pgMar w:top="1418" w:right="1418" w:bottom="1418" w:left="1418" w:header="709" w:footer="709" w:gutter="0"/>
          <w:cols w:space="709"/>
          <w:titlePg/>
          <w:docGrid w:linePitch="272"/>
        </w:sectPr>
      </w:pPr>
    </w:p>
    <w:p w:rsidR="003D32C2" w:rsidRPr="00C903F8" w:rsidRDefault="003D32C2" w:rsidP="003D32C2">
      <w:pPr>
        <w:pStyle w:val="ES-Titre2"/>
        <w:spacing w:line="240" w:lineRule="auto"/>
      </w:pPr>
      <w:bookmarkStart w:id="64" w:name="_Toc491854032"/>
      <w:bookmarkStart w:id="65" w:name="_Toc535499981"/>
      <w:r>
        <w:lastRenderedPageBreak/>
        <w:t>Capo 6</w:t>
      </w:r>
      <w:r>
        <w:br/>
        <w:t>Apparato di governo</w:t>
      </w:r>
      <w:bookmarkEnd w:id="64"/>
      <w:bookmarkEnd w:id="65"/>
    </w:p>
    <w:p w:rsidR="00745DD2" w:rsidRPr="00C903F8" w:rsidRDefault="00745DD2" w:rsidP="00E1027C">
      <w:pPr>
        <w:pStyle w:val="ES-Titre3"/>
        <w:spacing w:line="240" w:lineRule="atLeast"/>
      </w:pPr>
    </w:p>
    <w:p w:rsidR="003D32C2" w:rsidRPr="00C903F8" w:rsidRDefault="003D32C2" w:rsidP="003D32C2">
      <w:pPr>
        <w:pStyle w:val="ES-Titre3"/>
      </w:pPr>
      <w:bookmarkStart w:id="66" w:name="_Toc491854033"/>
      <w:bookmarkStart w:id="67" w:name="_Toc535499982"/>
      <w:r>
        <w:t>Articolo 6.01</w:t>
      </w:r>
      <w:r>
        <w:br/>
      </w:r>
      <w:r>
        <w:rPr>
          <w:i/>
          <w:noProof/>
        </w:rPr>
        <w:t>Requisiti generali</w:t>
      </w:r>
      <w:bookmarkEnd w:id="66"/>
      <w:bookmarkEnd w:id="67"/>
    </w:p>
    <w:p w:rsidR="003D32C2" w:rsidRPr="00C903F8" w:rsidRDefault="003D32C2" w:rsidP="003D32C2">
      <w:pPr>
        <w:rPr>
          <w:noProof/>
        </w:rPr>
      </w:pPr>
    </w:p>
    <w:p w:rsidR="003D32C2" w:rsidRPr="00C903F8" w:rsidRDefault="003D32C2" w:rsidP="00320866">
      <w:pPr>
        <w:pStyle w:val="ESch"/>
      </w:pPr>
      <w:r>
        <w:t>1.</w:t>
      </w:r>
      <w:r>
        <w:tab/>
        <w:t>Ogni nave è provvista di un apparato di governo che assicuri almeno la manovrabilità prescritta dal capo 5.</w:t>
      </w:r>
    </w:p>
    <w:p w:rsidR="003D32C2" w:rsidRPr="00C903F8" w:rsidRDefault="003D32C2" w:rsidP="00320866">
      <w:pPr>
        <w:pStyle w:val="ESch"/>
      </w:pPr>
    </w:p>
    <w:p w:rsidR="003D32C2" w:rsidRPr="00C903F8" w:rsidRDefault="003D32C2" w:rsidP="00320866">
      <w:pPr>
        <w:pStyle w:val="ESch"/>
      </w:pPr>
      <w:r>
        <w:t>2.</w:t>
      </w:r>
      <w:r>
        <w:tab/>
        <w:t>Gli apparati di governo a motore sono realizzati in modo tale che il timone non possa cambiare posizione accidentalmente.</w:t>
      </w:r>
    </w:p>
    <w:p w:rsidR="003D32C2" w:rsidRPr="00C903F8" w:rsidRDefault="003D32C2" w:rsidP="00320866">
      <w:pPr>
        <w:pStyle w:val="ESch"/>
        <w:rPr>
          <w:noProof/>
        </w:rPr>
      </w:pPr>
    </w:p>
    <w:p w:rsidR="003D32C2" w:rsidRPr="00C903F8" w:rsidRDefault="003D32C2" w:rsidP="00320866">
      <w:pPr>
        <w:pStyle w:val="ESch"/>
      </w:pPr>
      <w:r>
        <w:t>3.</w:t>
      </w:r>
      <w:r>
        <w:tab/>
        <w:t>L'apparato di governo, nel suo insieme, è progettato per sbandamenti permanenti fino a 15° e temperature ambiente da -20 °C a +50 °C.</w:t>
      </w:r>
    </w:p>
    <w:p w:rsidR="003D32C2" w:rsidRPr="00C903F8" w:rsidRDefault="003D32C2" w:rsidP="00320866">
      <w:pPr>
        <w:pStyle w:val="ESch"/>
      </w:pPr>
    </w:p>
    <w:p w:rsidR="003D32C2" w:rsidRPr="00C903F8" w:rsidRDefault="003D32C2" w:rsidP="00320866">
      <w:pPr>
        <w:pStyle w:val="ESch"/>
      </w:pPr>
      <w:r>
        <w:t>4.</w:t>
      </w:r>
      <w:r>
        <w:tab/>
        <w:t>Gli elementi costitutivi dell'apparato di governo hanno caratteristiche di resistenza tale da sopportare le sollecitazioni alle quali possono essere soggetti in condizioni di normale funzionamento. Le forze esogene applicate al timone non devono ostacolare la capacità di funzionamento del mezzo di governo e del suo dispositivo di azionamento.</w:t>
      </w:r>
    </w:p>
    <w:p w:rsidR="003D32C2" w:rsidRPr="00C903F8" w:rsidRDefault="003D32C2" w:rsidP="00320866">
      <w:pPr>
        <w:pStyle w:val="ESch"/>
        <w:rPr>
          <w:noProof/>
        </w:rPr>
      </w:pPr>
    </w:p>
    <w:p w:rsidR="003D32C2" w:rsidRPr="00C903F8" w:rsidRDefault="003D32C2" w:rsidP="00320866">
      <w:pPr>
        <w:pStyle w:val="ESch"/>
      </w:pPr>
      <w:r>
        <w:t>5.</w:t>
      </w:r>
      <w:r>
        <w:tab/>
        <w:t>Gli apparati di governo sono dotati di dispositivo di azionamento a motore se le forze necessarie ad azionare il timone lo richiedono.</w:t>
      </w:r>
    </w:p>
    <w:p w:rsidR="003D32C2" w:rsidRPr="00C903F8" w:rsidRDefault="003D32C2" w:rsidP="00320866">
      <w:pPr>
        <w:pStyle w:val="ESch"/>
      </w:pPr>
    </w:p>
    <w:p w:rsidR="003D32C2" w:rsidRPr="00C903F8" w:rsidRDefault="003D32C2" w:rsidP="00320866">
      <w:pPr>
        <w:pStyle w:val="ESch"/>
      </w:pPr>
      <w:r>
        <w:t>6.</w:t>
      </w:r>
      <w:r>
        <w:tab/>
        <w:t>Il mezzo di governo con dispositivo di azionamento a motore è provvisto di una protezione contro i sovraccarichi, che limiti la coppia esercitata nel dispositivo di azionamento.</w:t>
      </w:r>
    </w:p>
    <w:p w:rsidR="003D32C2" w:rsidRPr="00C903F8" w:rsidRDefault="003D32C2" w:rsidP="00320866">
      <w:pPr>
        <w:pStyle w:val="ESch"/>
        <w:rPr>
          <w:noProof/>
        </w:rPr>
      </w:pPr>
    </w:p>
    <w:p w:rsidR="003D32C2" w:rsidRPr="00C903F8" w:rsidRDefault="003D32C2" w:rsidP="00320866">
      <w:pPr>
        <w:pStyle w:val="ESch"/>
      </w:pPr>
      <w:r>
        <w:t>7.</w:t>
      </w:r>
      <w:r>
        <w:tab/>
        <w:t>I passaggi degli assi del timone sono progettati in modo tale da evitare qualsiasi fuoriuscita di lubrificanti inquinanti per l'acqua.</w:t>
      </w:r>
    </w:p>
    <w:p w:rsidR="003D32C2" w:rsidRPr="00C903F8" w:rsidRDefault="003D32C2" w:rsidP="00320866">
      <w:pPr>
        <w:pStyle w:val="ESch"/>
      </w:pPr>
    </w:p>
    <w:p w:rsidR="003D32C2" w:rsidRPr="00C903F8" w:rsidRDefault="003D32C2" w:rsidP="003D32C2"/>
    <w:p w:rsidR="003D32C2" w:rsidRPr="00C903F8" w:rsidRDefault="003D32C2" w:rsidP="003D32C2">
      <w:pPr>
        <w:pStyle w:val="ES-Titre3"/>
      </w:pPr>
      <w:bookmarkStart w:id="68" w:name="_Toc491854034"/>
      <w:bookmarkStart w:id="69" w:name="_Toc535499983"/>
      <w:r>
        <w:t>Articolo 6.02</w:t>
      </w:r>
      <w:r>
        <w:rPr>
          <w:i/>
          <w:noProof/>
        </w:rPr>
        <w:br/>
        <w:t>Dispositivi di azionamento del mezzo di governo</w:t>
      </w:r>
      <w:bookmarkEnd w:id="68"/>
      <w:bookmarkEnd w:id="69"/>
    </w:p>
    <w:p w:rsidR="003D32C2" w:rsidRPr="00C903F8" w:rsidRDefault="003D32C2" w:rsidP="003D32C2"/>
    <w:p w:rsidR="003D32C2" w:rsidRPr="00C903F8" w:rsidRDefault="003D32C2" w:rsidP="00320866">
      <w:pPr>
        <w:pStyle w:val="ESch"/>
      </w:pPr>
      <w:r>
        <w:t>1.</w:t>
      </w:r>
      <w:r>
        <w:tab/>
        <w:t>Se il mezzo di governo è provvisto di dispositivo di azionamento a motore, deve essere presente un secondo dispositivo di azionamento autonomo o un dispositivo di azionamento manuale ausiliario. In caso di guasto o anomalia del dispositivo di azionamento del timone, il secondo dispositivo di azionamento autonomo o il dispositivo di azionamento manuale deve entrare in funzione entro 5 secondi.</w:t>
      </w:r>
    </w:p>
    <w:p w:rsidR="003D32C2" w:rsidRPr="00C903F8" w:rsidRDefault="003D32C2" w:rsidP="00320866">
      <w:pPr>
        <w:pStyle w:val="ESch"/>
      </w:pPr>
    </w:p>
    <w:p w:rsidR="003D32C2" w:rsidRPr="00C903F8" w:rsidRDefault="003D32C2" w:rsidP="00320866">
      <w:pPr>
        <w:pStyle w:val="ESch"/>
      </w:pPr>
      <w:r>
        <w:t>2.</w:t>
      </w:r>
      <w:r>
        <w:tab/>
        <w:t>Se il dispositivo di azionamento ausiliario o il dispositivo di azionamento manuale non entra in funzione automaticamente, il timoniere provvede all'azionamento con una sola operazione, immediatamente e in modo semplice e veloce.</w:t>
      </w:r>
    </w:p>
    <w:p w:rsidR="003D32C2" w:rsidRPr="00C903F8" w:rsidRDefault="003D32C2" w:rsidP="00320866">
      <w:pPr>
        <w:pStyle w:val="ESch"/>
      </w:pPr>
    </w:p>
    <w:p w:rsidR="003D32C2" w:rsidRPr="00C903F8" w:rsidRDefault="003D32C2" w:rsidP="00320866">
      <w:pPr>
        <w:pStyle w:val="ESch"/>
      </w:pPr>
      <w:r>
        <w:t>3.</w:t>
      </w:r>
      <w:r>
        <w:tab/>
        <w:t>Il dispositivo di azionamento ausiliario o il dispositivo di azionamento manuale garantiscono altresì la manovrabilità prescritta dal capo 5.</w:t>
      </w:r>
    </w:p>
    <w:p w:rsidR="003D32C2" w:rsidRPr="00C903F8" w:rsidRDefault="003D32C2" w:rsidP="003D32C2">
      <w:r>
        <w:br w:type="page"/>
      </w:r>
    </w:p>
    <w:p w:rsidR="003D32C2" w:rsidRPr="00C903F8" w:rsidRDefault="003D32C2" w:rsidP="003D32C2">
      <w:pPr>
        <w:pStyle w:val="ES-Titre3"/>
      </w:pPr>
      <w:bookmarkStart w:id="70" w:name="_Toc491854035"/>
      <w:bookmarkStart w:id="71" w:name="_Toc535499984"/>
      <w:r>
        <w:lastRenderedPageBreak/>
        <w:t>Articolo 6.03</w:t>
      </w:r>
      <w:r>
        <w:br/>
      </w:r>
      <w:r>
        <w:rPr>
          <w:i/>
          <w:noProof/>
        </w:rPr>
        <w:t>Dispositivo di azionamento idraulico del mezzo di governo</w:t>
      </w:r>
      <w:bookmarkEnd w:id="70"/>
      <w:bookmarkEnd w:id="71"/>
    </w:p>
    <w:p w:rsidR="003D32C2" w:rsidRPr="00C903F8" w:rsidRDefault="003D32C2" w:rsidP="003D32C2"/>
    <w:p w:rsidR="003D32C2" w:rsidRPr="00C903F8" w:rsidRDefault="003D32C2" w:rsidP="00320866">
      <w:pPr>
        <w:pStyle w:val="ESch"/>
      </w:pPr>
      <w:r>
        <w:t>1.</w:t>
      </w:r>
      <w:r>
        <w:tab/>
        <w:t>Al dispositivo di azionamento idraulico del mezzo di governo non è possibile collegare alcun’altra utenza.</w:t>
      </w:r>
    </w:p>
    <w:p w:rsidR="003D32C2" w:rsidRPr="00C903F8" w:rsidRDefault="003D32C2" w:rsidP="00320866">
      <w:pPr>
        <w:pStyle w:val="ESch"/>
        <w:rPr>
          <w:noProof/>
        </w:rPr>
      </w:pPr>
    </w:p>
    <w:p w:rsidR="003D32C2" w:rsidRPr="00C903F8" w:rsidRDefault="003D32C2" w:rsidP="00320866">
      <w:pPr>
        <w:pStyle w:val="ESch"/>
      </w:pPr>
      <w:r>
        <w:t>2.</w:t>
      </w:r>
      <w:r>
        <w:tab/>
        <w:t>I serbatoi idraulici sono dotati di un dispositivo di allarme che controlla l’abbassamento del livello dell’olio al di sotto del livello più basso in grado di garantire un funzionamento sicuro.</w:t>
      </w:r>
    </w:p>
    <w:p w:rsidR="003D32C2" w:rsidRPr="00C903F8" w:rsidRDefault="003D32C2" w:rsidP="00320866">
      <w:pPr>
        <w:pStyle w:val="ESch"/>
      </w:pPr>
    </w:p>
    <w:p w:rsidR="003D32C2" w:rsidRPr="00C903F8" w:rsidRDefault="003D32C2" w:rsidP="00320866">
      <w:pPr>
        <w:pStyle w:val="ESch"/>
      </w:pPr>
      <w:r>
        <w:t>3.</w:t>
      </w:r>
      <w:r>
        <w:tab/>
        <w:t>Le dimensioni, la progettazione e la disposizione delle condutture sono tali da impedire danni meccanici o da incendio.</w:t>
      </w:r>
    </w:p>
    <w:p w:rsidR="003D32C2" w:rsidRPr="00C903F8" w:rsidRDefault="003D32C2" w:rsidP="00320866">
      <w:pPr>
        <w:pStyle w:val="ESch"/>
        <w:rPr>
          <w:noProof/>
        </w:rPr>
      </w:pPr>
    </w:p>
    <w:p w:rsidR="003D32C2" w:rsidRPr="00C903F8" w:rsidRDefault="003D32C2" w:rsidP="00320866">
      <w:pPr>
        <w:pStyle w:val="ESch"/>
      </w:pPr>
      <w:r>
        <w:t>4.</w:t>
      </w:r>
      <w:r>
        <w:tab/>
        <w:t>I tubi flessibili:</w:t>
      </w:r>
    </w:p>
    <w:p w:rsidR="003D32C2" w:rsidRPr="00C903F8" w:rsidRDefault="005C7859" w:rsidP="00553616">
      <w:pPr>
        <w:pStyle w:val="ESlet"/>
      </w:pPr>
      <w:r>
        <w:t>a)</w:t>
      </w:r>
      <w:r>
        <w:tab/>
        <w:t>sono ammessi solo quando il loro impiego è indispensabile per l’ammortizzamento delle vibrazioni o per la libertà di movimento dei componenti;</w:t>
      </w:r>
    </w:p>
    <w:p w:rsidR="003D32C2" w:rsidRPr="00C903F8" w:rsidRDefault="005C7859" w:rsidP="00553616">
      <w:pPr>
        <w:pStyle w:val="ESlet"/>
      </w:pPr>
      <w:r>
        <w:t>b)</w:t>
      </w:r>
      <w:r>
        <w:tab/>
        <w:t>devono essere progettati per una pressione pari almeno alla pressione massima di esercizio;</w:t>
      </w:r>
    </w:p>
    <w:p w:rsidR="003D32C2" w:rsidRPr="00C903F8" w:rsidRDefault="005C7859" w:rsidP="00553616">
      <w:pPr>
        <w:pStyle w:val="ESlet"/>
      </w:pPr>
      <w:r>
        <w:t>c)</w:t>
      </w:r>
      <w:r>
        <w:tab/>
        <w:t>devono essere sostituiti almeno ogni otto anni.</w:t>
      </w:r>
    </w:p>
    <w:p w:rsidR="003D32C2" w:rsidRPr="00C903F8" w:rsidRDefault="003D32C2" w:rsidP="003D32C2"/>
    <w:p w:rsidR="003D32C2" w:rsidRPr="00C903F8" w:rsidRDefault="003D32C2" w:rsidP="00320866">
      <w:pPr>
        <w:pStyle w:val="ESch"/>
      </w:pPr>
      <w:r>
        <w:t>5.</w:t>
      </w:r>
      <w:r>
        <w:tab/>
        <w:t>I cilindri, le pompe e i motori idraulici e i motori elettrici devono essere controllati almeno ogni otto anni da parte di un’impresa specializzata e, se necessario, riparati.</w:t>
      </w:r>
    </w:p>
    <w:p w:rsidR="003D32C2" w:rsidRPr="00C903F8" w:rsidRDefault="003D32C2" w:rsidP="003D32C2"/>
    <w:p w:rsidR="003D32C2" w:rsidRPr="00C903F8" w:rsidRDefault="003D32C2" w:rsidP="00B079AF"/>
    <w:p w:rsidR="003D32C2" w:rsidRPr="00C903F8" w:rsidRDefault="003D32C2" w:rsidP="003D32C2">
      <w:pPr>
        <w:pStyle w:val="ES-Titre3"/>
      </w:pPr>
      <w:bookmarkStart w:id="72" w:name="_Toc491854036"/>
      <w:bookmarkStart w:id="73" w:name="_Toc535499985"/>
      <w:r>
        <w:t>Articolo 6.04</w:t>
      </w:r>
      <w:r>
        <w:br/>
      </w:r>
      <w:r>
        <w:rPr>
          <w:i/>
        </w:rPr>
        <w:t>Fonti d'energia</w:t>
      </w:r>
      <w:bookmarkEnd w:id="72"/>
      <w:bookmarkEnd w:id="73"/>
    </w:p>
    <w:p w:rsidR="003D32C2" w:rsidRPr="00C903F8" w:rsidRDefault="003D32C2" w:rsidP="003D32C2"/>
    <w:p w:rsidR="003D32C2" w:rsidRPr="00C903F8" w:rsidRDefault="003D32C2" w:rsidP="00320866">
      <w:pPr>
        <w:pStyle w:val="ESch"/>
      </w:pPr>
      <w:r>
        <w:t>1.</w:t>
      </w:r>
      <w:r>
        <w:tab/>
        <w:t>Gli apparati di governo dotati di due dispositivi di azionamento a motore devono disporre almeno di due fonti d'energia.</w:t>
      </w:r>
    </w:p>
    <w:p w:rsidR="003D32C2" w:rsidRPr="00C903F8" w:rsidRDefault="003D32C2" w:rsidP="00320866">
      <w:pPr>
        <w:pStyle w:val="ESch"/>
      </w:pPr>
    </w:p>
    <w:p w:rsidR="003D32C2" w:rsidRPr="00C903F8" w:rsidRDefault="003D32C2" w:rsidP="00320866">
      <w:pPr>
        <w:pStyle w:val="ESch"/>
      </w:pPr>
      <w:r>
        <w:t>2.</w:t>
      </w:r>
      <w:r>
        <w:tab/>
        <w:t>Se la seconda fonte d'energia del dispositivo di azionamento a motore non funziona in permanenza durante il viaggio, un dispositivo tampone di capacità sufficiente svolge funzione suppletiva nel tempo necessario all'avviamento.</w:t>
      </w:r>
    </w:p>
    <w:p w:rsidR="003D32C2" w:rsidRPr="00C903F8" w:rsidRDefault="003D32C2" w:rsidP="00320866">
      <w:pPr>
        <w:pStyle w:val="ESch"/>
      </w:pPr>
    </w:p>
    <w:p w:rsidR="003D32C2" w:rsidRPr="00C903F8" w:rsidRDefault="003D32C2" w:rsidP="00320866">
      <w:pPr>
        <w:pStyle w:val="ESch"/>
      </w:pPr>
      <w:r>
        <w:t>3.</w:t>
      </w:r>
      <w:r>
        <w:tab/>
        <w:t>Nel caso di alimentazione elettrica, nessun altra utenza è alimentata dalla fonte principale d'energia degli apparati di governo.</w:t>
      </w:r>
    </w:p>
    <w:p w:rsidR="003D32C2" w:rsidRPr="00C903F8" w:rsidRDefault="003D32C2" w:rsidP="003D32C2"/>
    <w:p w:rsidR="003D32C2" w:rsidRPr="00C903F8" w:rsidRDefault="003D32C2" w:rsidP="003D32C2"/>
    <w:p w:rsidR="003D32C2" w:rsidRPr="00C903F8" w:rsidRDefault="003D32C2" w:rsidP="003D32C2">
      <w:pPr>
        <w:pStyle w:val="ES-Titre3"/>
      </w:pPr>
      <w:bookmarkStart w:id="74" w:name="_Toc491854037"/>
      <w:bookmarkStart w:id="75" w:name="_Toc535499986"/>
      <w:r>
        <w:t>Articolo 6.05</w:t>
      </w:r>
      <w:r>
        <w:br/>
      </w:r>
      <w:r>
        <w:rPr>
          <w:i/>
        </w:rPr>
        <w:t>Dispositivo di azionamento manuale</w:t>
      </w:r>
      <w:bookmarkEnd w:id="74"/>
      <w:bookmarkEnd w:id="75"/>
    </w:p>
    <w:p w:rsidR="003D32C2" w:rsidRPr="00C903F8" w:rsidRDefault="003D32C2" w:rsidP="003D32C2"/>
    <w:p w:rsidR="003D32C2" w:rsidRPr="00C903F8" w:rsidRDefault="003D32C2" w:rsidP="00320866">
      <w:pPr>
        <w:pStyle w:val="ESch"/>
      </w:pPr>
      <w:r>
        <w:t>1.</w:t>
      </w:r>
      <w:r>
        <w:tab/>
        <w:t>La ruota di un dispositivo di azionamento manuale non è trascinata da un dispositivo di azionamento a motore.</w:t>
      </w:r>
    </w:p>
    <w:p w:rsidR="003D32C2" w:rsidRPr="00C903F8" w:rsidRDefault="003D32C2" w:rsidP="00320866">
      <w:pPr>
        <w:pStyle w:val="ESch"/>
      </w:pPr>
    </w:p>
    <w:p w:rsidR="003D32C2" w:rsidRPr="00C903F8" w:rsidRDefault="003D32C2" w:rsidP="00320866">
      <w:pPr>
        <w:pStyle w:val="ESch"/>
      </w:pPr>
      <w:r>
        <w:t>2.</w:t>
      </w:r>
      <w:r>
        <w:tab/>
        <w:t>Indipendentemente dalla posizione del timone il ritorno della ruota è impedito al momento dell'innesto automatico del dispositivo di azionamento manuale.</w:t>
      </w:r>
    </w:p>
    <w:p w:rsidR="003D32C2" w:rsidRPr="00C903F8" w:rsidRDefault="003D32C2" w:rsidP="003D32C2">
      <w:pPr>
        <w:pStyle w:val="ES-Titre3"/>
      </w:pPr>
      <w:r>
        <w:br w:type="page"/>
      </w:r>
    </w:p>
    <w:p w:rsidR="003D32C2" w:rsidRPr="00C903F8" w:rsidRDefault="003D32C2" w:rsidP="003D32C2">
      <w:pPr>
        <w:pStyle w:val="ES-Titre3"/>
        <w:rPr>
          <w:i/>
        </w:rPr>
      </w:pPr>
      <w:bookmarkStart w:id="76" w:name="_Toc491854038"/>
      <w:bookmarkStart w:id="77" w:name="_Toc535499987"/>
      <w:r>
        <w:lastRenderedPageBreak/>
        <w:t>Articolo 6.06</w:t>
      </w:r>
      <w:r>
        <w:br/>
      </w:r>
      <w:r>
        <w:rPr>
          <w:i/>
          <w:noProof/>
        </w:rPr>
        <w:t>Sistemi elica-timone, a idrogetto, a propulsori cicloidali e a eliche di manovra di prua</w:t>
      </w:r>
      <w:bookmarkEnd w:id="76"/>
      <w:bookmarkEnd w:id="77"/>
    </w:p>
    <w:p w:rsidR="003D32C2" w:rsidRPr="00C903F8" w:rsidRDefault="003D32C2" w:rsidP="003D32C2"/>
    <w:p w:rsidR="003D32C2" w:rsidRPr="00C903F8" w:rsidRDefault="003D32C2" w:rsidP="00320866">
      <w:pPr>
        <w:pStyle w:val="ESch"/>
      </w:pPr>
      <w:r>
        <w:t>1.</w:t>
      </w:r>
      <w:r>
        <w:tab/>
        <w:t>Nel caso di sistemi a elica-timone, a idrogetto, a propulsore cicloidale o a elica di manovra di prua il cui comando a distanza per modificare l'orientamento della spinta è elettrico, idraulico o pneumatico, sono presenti due comandi di governo indipendenti l'uno dall'altro fra la timoneria e il sistema propulsore o di manovra, conformi per analogia agli articoli da 6.01 a 6.05.</w:t>
      </w:r>
    </w:p>
    <w:p w:rsidR="003D32C2" w:rsidRPr="00C903F8" w:rsidRDefault="003D32C2" w:rsidP="003D32C2"/>
    <w:p w:rsidR="003D32C2" w:rsidRPr="00C903F8" w:rsidRDefault="003D32C2" w:rsidP="00320866">
      <w:pPr>
        <w:pStyle w:val="ESchpar"/>
      </w:pPr>
      <w:r>
        <w:t>Tali sistemi non sono soggetti alle disposizioni del presente paragrafo se non sono necessari per ottenere la manovrabilità prescritta al capo 5 o se sono necessari solo per la prova d'arresto.</w:t>
      </w:r>
    </w:p>
    <w:p w:rsidR="003D32C2" w:rsidRPr="00C903F8" w:rsidRDefault="003D32C2" w:rsidP="003D32C2"/>
    <w:p w:rsidR="003D32C2" w:rsidRPr="00C903F8" w:rsidRDefault="003D32C2" w:rsidP="00320866">
      <w:pPr>
        <w:pStyle w:val="ESch"/>
      </w:pPr>
      <w:r>
        <w:t>2.</w:t>
      </w:r>
      <w:r>
        <w:tab/>
        <w:t>In presenza di due o più sistemi elica-timone, a idrogetto, a propulsore cicloidale o a eliche di manovra di prua indipendenti l'uno dall'altro, il secondo attuatore non è necessario se, in caso di guasto di uno dei sistemi, la nave mantiene la manovrabilità prevista al capo 5.</w:t>
      </w:r>
    </w:p>
    <w:p w:rsidR="003D32C2" w:rsidRPr="00C903F8" w:rsidRDefault="003D32C2" w:rsidP="003D32C2"/>
    <w:p w:rsidR="003D32C2" w:rsidRPr="00C903F8" w:rsidRDefault="003D32C2" w:rsidP="003D32C2"/>
    <w:p w:rsidR="003D32C2" w:rsidRPr="00C903F8" w:rsidRDefault="003D32C2" w:rsidP="003D32C2">
      <w:pPr>
        <w:pStyle w:val="ES-Titre3"/>
      </w:pPr>
      <w:bookmarkStart w:id="78" w:name="_Toc491854039"/>
      <w:bookmarkStart w:id="79" w:name="_Toc535499988"/>
      <w:r>
        <w:t>Articolo 6.07</w:t>
      </w:r>
      <w:r>
        <w:br/>
      </w:r>
      <w:r>
        <w:rPr>
          <w:i/>
          <w:noProof/>
        </w:rPr>
        <w:t>Indicatori e dispositivi di controllo</w:t>
      </w:r>
      <w:bookmarkEnd w:id="78"/>
      <w:bookmarkEnd w:id="79"/>
    </w:p>
    <w:p w:rsidR="003D32C2" w:rsidRPr="00C903F8" w:rsidRDefault="003D32C2" w:rsidP="003D32C2"/>
    <w:p w:rsidR="003D32C2" w:rsidRPr="00C903F8" w:rsidRDefault="003D32C2" w:rsidP="00320866">
      <w:pPr>
        <w:pStyle w:val="ESch"/>
      </w:pPr>
      <w:r>
        <w:t>1.</w:t>
      </w:r>
      <w:r>
        <w:tab/>
        <w:t>Al posto di pilotaggio la posizione del timone risulta indicata chiaramente. Se l'indicatore della posizione del timone è elettrico, è provvisto di alimentazione propria.</w:t>
      </w:r>
    </w:p>
    <w:p w:rsidR="003D32C2" w:rsidRPr="00C903F8" w:rsidRDefault="003D32C2" w:rsidP="00320866">
      <w:pPr>
        <w:pStyle w:val="ESch"/>
      </w:pPr>
    </w:p>
    <w:p w:rsidR="003D32C2" w:rsidRPr="00C903F8" w:rsidRDefault="003D32C2" w:rsidP="00320866">
      <w:pPr>
        <w:pStyle w:val="ESch"/>
      </w:pPr>
      <w:r>
        <w:t>2.</w:t>
      </w:r>
      <w:r>
        <w:tab/>
        <w:t>Al posto di pilotaggio è presente almeno un allarme ottico e acustico per segnalare quanto segue:</w:t>
      </w:r>
    </w:p>
    <w:p w:rsidR="003D32C2" w:rsidRPr="00C903F8" w:rsidRDefault="005C7859" w:rsidP="00320866">
      <w:pPr>
        <w:pStyle w:val="ESlet"/>
      </w:pPr>
      <w:r>
        <w:t>a)</w:t>
      </w:r>
      <w:r>
        <w:tab/>
        <w:t>livello dell’olio dei serbatoi idraulici al di sotto del livello più basso in conformità dell’articolo 6.03, paragrafo 2, e calo della pressione di esercizio del sistema idraulico;</w:t>
      </w:r>
    </w:p>
    <w:p w:rsidR="003D32C2" w:rsidRPr="00C903F8" w:rsidRDefault="005C7859" w:rsidP="00320866">
      <w:pPr>
        <w:pStyle w:val="ESlet"/>
      </w:pPr>
      <w:r>
        <w:t>b)</w:t>
      </w:r>
      <w:r>
        <w:tab/>
        <w:t>guasto dell'alimentazione elettrica del comando di governo;</w:t>
      </w:r>
    </w:p>
    <w:p w:rsidR="003D32C2" w:rsidRPr="00C903F8" w:rsidRDefault="005C7859" w:rsidP="00320866">
      <w:pPr>
        <w:pStyle w:val="ESlet"/>
      </w:pPr>
      <w:r>
        <w:t>c)</w:t>
      </w:r>
      <w:r>
        <w:tab/>
        <w:t>guasto dell'alimentazione elettrica dei dispositivi di azionamento;</w:t>
      </w:r>
    </w:p>
    <w:p w:rsidR="003D32C2" w:rsidRPr="00C903F8" w:rsidRDefault="003D32C2" w:rsidP="00320866">
      <w:pPr>
        <w:pStyle w:val="ESlet"/>
      </w:pPr>
      <w:r>
        <w:t>d)</w:t>
      </w:r>
      <w:r>
        <w:tab/>
        <w:t>guasto del regolatore di velocità d'accostata;</w:t>
      </w:r>
    </w:p>
    <w:p w:rsidR="003D32C2" w:rsidRPr="00C903F8" w:rsidRDefault="003D32C2" w:rsidP="00320866">
      <w:pPr>
        <w:pStyle w:val="ESlet"/>
      </w:pPr>
      <w:r>
        <w:t>e)</w:t>
      </w:r>
      <w:r>
        <w:tab/>
        <w:t>guasto dei dispositivi tampone prescritti.</w:t>
      </w:r>
    </w:p>
    <w:p w:rsidR="003D32C2" w:rsidRPr="00C903F8" w:rsidRDefault="003D32C2" w:rsidP="003D32C2"/>
    <w:p w:rsidR="008A407A" w:rsidRPr="00C903F8" w:rsidRDefault="008A407A" w:rsidP="003D32C2"/>
    <w:p w:rsidR="003D32C2" w:rsidRPr="00C903F8" w:rsidRDefault="003D32C2" w:rsidP="003D32C2">
      <w:pPr>
        <w:pStyle w:val="ES-Titre3"/>
        <w:rPr>
          <w:i/>
        </w:rPr>
      </w:pPr>
      <w:bookmarkStart w:id="80" w:name="_Toc491854040"/>
      <w:bookmarkStart w:id="81" w:name="_Toc535499989"/>
      <w:r>
        <w:t>Articolo 6.08</w:t>
      </w:r>
      <w:r>
        <w:br/>
      </w:r>
      <w:r>
        <w:rPr>
          <w:i/>
          <w:noProof/>
        </w:rPr>
        <w:t>Regolatori della velocità di accostata</w:t>
      </w:r>
      <w:bookmarkEnd w:id="80"/>
      <w:bookmarkEnd w:id="81"/>
    </w:p>
    <w:p w:rsidR="008A407A" w:rsidRPr="00C903F8" w:rsidRDefault="008A407A" w:rsidP="00320866">
      <w:pPr>
        <w:pStyle w:val="ESch"/>
      </w:pPr>
    </w:p>
    <w:p w:rsidR="003D32C2" w:rsidRPr="00C903F8" w:rsidRDefault="003D32C2" w:rsidP="00320866">
      <w:pPr>
        <w:pStyle w:val="ESch"/>
      </w:pPr>
      <w:r>
        <w:t>1.</w:t>
      </w:r>
      <w:r>
        <w:tab/>
        <w:t>I regolatori della velocità di accostata e loro componenti sono conformi ai requisiti dell'articolo 10.20.</w:t>
      </w:r>
    </w:p>
    <w:p w:rsidR="003D32C2" w:rsidRPr="00C903F8" w:rsidRDefault="003D32C2" w:rsidP="00320866">
      <w:pPr>
        <w:pStyle w:val="ESch"/>
      </w:pPr>
    </w:p>
    <w:p w:rsidR="003D32C2" w:rsidRPr="00C903F8" w:rsidRDefault="003D32C2" w:rsidP="00320866">
      <w:pPr>
        <w:pStyle w:val="ESch"/>
      </w:pPr>
      <w:r>
        <w:t>2.</w:t>
      </w:r>
      <w:r>
        <w:tab/>
        <w:t>Il corretto funzionamento del regolatore della velocità di accostata è indicato al posto di pilotaggio da un indicatore luminoso verde.</w:t>
      </w:r>
    </w:p>
    <w:p w:rsidR="003D32C2" w:rsidRPr="00C903F8" w:rsidRDefault="003D32C2" w:rsidP="003D32C2"/>
    <w:p w:rsidR="003D32C2" w:rsidRPr="00C903F8" w:rsidRDefault="003D32C2" w:rsidP="00320866">
      <w:pPr>
        <w:pStyle w:val="ESchpar"/>
      </w:pPr>
      <w:r>
        <w:t>Ogni mancanza o variazione inaccettabile della tensione di alimentazione ed ogni calo inammissibile della velocità di rotazione del giroscopio è rilevata.</w:t>
      </w:r>
    </w:p>
    <w:p w:rsidR="003D32C2" w:rsidRPr="00C903F8" w:rsidRDefault="003D32C2" w:rsidP="003D32C2">
      <w:r>
        <w:br w:type="page"/>
      </w:r>
    </w:p>
    <w:p w:rsidR="003D32C2" w:rsidRPr="00C903F8" w:rsidRDefault="003D32C2" w:rsidP="008A407A">
      <w:pPr>
        <w:pStyle w:val="ESch"/>
      </w:pPr>
      <w:r>
        <w:lastRenderedPageBreak/>
        <w:t>3.</w:t>
      </w:r>
      <w:r>
        <w:tab/>
        <w:t>Quando, oltre al regolatore della velocità di accostata, esistono altri sistemi di governo, occorre poter distinguere chiaramente dal posto di pilotaggio quale dei sistemi è in funzione. Il passaggio da un sistema all'altro deve poter essere effettuato immediatamente. I regolatori della velocità di accostata non hanno alcun effetto sui apparati di governo.</w:t>
      </w:r>
    </w:p>
    <w:p w:rsidR="003D32C2" w:rsidRPr="00C903F8" w:rsidRDefault="003D32C2" w:rsidP="008A407A">
      <w:pPr>
        <w:pStyle w:val="ESch"/>
      </w:pPr>
    </w:p>
    <w:p w:rsidR="003D32C2" w:rsidRPr="00C903F8" w:rsidRDefault="003D32C2" w:rsidP="008A407A">
      <w:pPr>
        <w:pStyle w:val="ESch"/>
      </w:pPr>
      <w:r>
        <w:t>4.</w:t>
      </w:r>
      <w:r>
        <w:tab/>
        <w:t>L'alimentazione elettrica del regolatore della velocità di accostata è indipendente dalle altre utenze.</w:t>
      </w:r>
    </w:p>
    <w:p w:rsidR="003D32C2" w:rsidRPr="00C903F8" w:rsidRDefault="003D32C2" w:rsidP="008A407A">
      <w:pPr>
        <w:pStyle w:val="ESch"/>
      </w:pPr>
    </w:p>
    <w:p w:rsidR="003D32C2" w:rsidRPr="00C903F8" w:rsidRDefault="003D32C2" w:rsidP="008A407A">
      <w:pPr>
        <w:pStyle w:val="ESch"/>
      </w:pPr>
      <w:r>
        <w:t>5.</w:t>
      </w:r>
      <w:r>
        <w:tab/>
        <w:t>I giroscopi, i rilevatori e gli indicatori di accostata impiegati nei regolatori della velocità di accostata soddisfano i requisiti minimi previsti dalle specifiche minime e dalle condizioni di prova concernenti gli indicatori della velocità di accostata per la navigazione interna, conformemente al disposto di cui all'allegato 5, sezione II.</w:t>
      </w:r>
    </w:p>
    <w:p w:rsidR="003D32C2" w:rsidRPr="00C903F8" w:rsidRDefault="003D32C2" w:rsidP="003D32C2"/>
    <w:p w:rsidR="003D32C2" w:rsidRPr="00C903F8" w:rsidRDefault="003D32C2" w:rsidP="003D32C2"/>
    <w:p w:rsidR="003D32C2" w:rsidRPr="00C903F8" w:rsidRDefault="003D32C2" w:rsidP="003D32C2">
      <w:pPr>
        <w:pStyle w:val="ES-Titre3"/>
      </w:pPr>
      <w:bookmarkStart w:id="82" w:name="_Toc491854041"/>
      <w:bookmarkStart w:id="83" w:name="_Toc535499990"/>
      <w:r>
        <w:t>Articolo 6.09</w:t>
      </w:r>
      <w:r>
        <w:br/>
      </w:r>
      <w:r>
        <w:rPr>
          <w:i/>
          <w:noProof/>
        </w:rPr>
        <w:t>Prove</w:t>
      </w:r>
      <w:bookmarkEnd w:id="82"/>
      <w:bookmarkEnd w:id="83"/>
    </w:p>
    <w:p w:rsidR="008A407A" w:rsidRPr="00C903F8" w:rsidRDefault="008A407A" w:rsidP="008A407A">
      <w:pPr>
        <w:pStyle w:val="ESch"/>
      </w:pPr>
    </w:p>
    <w:p w:rsidR="003D32C2" w:rsidRPr="00C903F8" w:rsidRDefault="003D32C2" w:rsidP="008A407A">
      <w:pPr>
        <w:pStyle w:val="ESch"/>
      </w:pPr>
      <w:r>
        <w:t>1.</w:t>
      </w:r>
      <w:r>
        <w:tab/>
        <w:t>La conformità dell’apparato di governo installato è controllata da una commissione di ispezione. A tal fine, la commissione di ispezione può richiedere i seguenti documenti:</w:t>
      </w:r>
    </w:p>
    <w:p w:rsidR="003D32C2" w:rsidRPr="00C903F8" w:rsidRDefault="005C7859" w:rsidP="008A407A">
      <w:pPr>
        <w:pStyle w:val="ESlet"/>
      </w:pPr>
      <w:r>
        <w:t>a)</w:t>
      </w:r>
      <w:r>
        <w:tab/>
        <w:t>descrizione dell’apparato di governo;</w:t>
      </w:r>
    </w:p>
    <w:p w:rsidR="003D32C2" w:rsidRPr="00C903F8" w:rsidRDefault="005C7859" w:rsidP="008A407A">
      <w:pPr>
        <w:pStyle w:val="ESlet"/>
      </w:pPr>
      <w:r>
        <w:t>b)</w:t>
      </w:r>
      <w:r>
        <w:tab/>
        <w:t>monografie e informazioni relative ai dispositivi di azionamento dell’apparato di governo e ai comandi di governo;</w:t>
      </w:r>
    </w:p>
    <w:p w:rsidR="003D32C2" w:rsidRPr="00C903F8" w:rsidRDefault="005C7859" w:rsidP="008A407A">
      <w:pPr>
        <w:pStyle w:val="ESlet"/>
      </w:pPr>
      <w:r>
        <w:t>c)</w:t>
      </w:r>
      <w:r>
        <w:tab/>
        <w:t>dati relativi al mezzo di governo;</w:t>
      </w:r>
    </w:p>
    <w:p w:rsidR="003D32C2" w:rsidRPr="00C903F8" w:rsidRDefault="003D32C2" w:rsidP="008A407A">
      <w:pPr>
        <w:pStyle w:val="ESlet"/>
      </w:pPr>
      <w:r>
        <w:t>d)</w:t>
      </w:r>
      <w:r>
        <w:tab/>
        <w:t>schema dell’impianto elettrico;</w:t>
      </w:r>
    </w:p>
    <w:p w:rsidR="003D32C2" w:rsidRPr="00C903F8" w:rsidRDefault="003D32C2" w:rsidP="008A407A">
      <w:pPr>
        <w:pStyle w:val="ESlet"/>
      </w:pPr>
      <w:r>
        <w:t>e)</w:t>
      </w:r>
      <w:r>
        <w:tab/>
        <w:t>descrizione del regolatore della velocità di accostata;</w:t>
      </w:r>
    </w:p>
    <w:p w:rsidR="003D32C2" w:rsidRPr="00C903F8" w:rsidRDefault="003D32C2" w:rsidP="008A407A">
      <w:pPr>
        <w:pStyle w:val="ESlet"/>
      </w:pPr>
      <w:r>
        <w:t>f)</w:t>
      </w:r>
      <w:r>
        <w:tab/>
        <w:t>istruzioni per l’uso e la manutenzione dell’apparato di governo.</w:t>
      </w:r>
    </w:p>
    <w:p w:rsidR="003D32C2" w:rsidRPr="00C903F8" w:rsidRDefault="003D32C2" w:rsidP="003D32C2"/>
    <w:p w:rsidR="003D32C2" w:rsidRPr="00C903F8" w:rsidRDefault="003D32C2" w:rsidP="008A407A">
      <w:pPr>
        <w:pStyle w:val="ESch"/>
      </w:pPr>
      <w:r>
        <w:t>2.</w:t>
      </w:r>
      <w:r>
        <w:tab/>
        <w:t>Il funzionamento dell’intero apparato di governo è verificato mediante una prova di navigazione. Per quanto concerne i regolatori della velocità d’accostata, occorre verificare la possibilità di mantenere con certezza una determinata rotta con sbandamenti in sicurezza.</w:t>
      </w:r>
    </w:p>
    <w:p w:rsidR="003D32C2" w:rsidRPr="00C903F8" w:rsidRDefault="003D32C2" w:rsidP="008A407A">
      <w:pPr>
        <w:pStyle w:val="ESch"/>
      </w:pPr>
    </w:p>
    <w:p w:rsidR="003D32C2" w:rsidRPr="00C903F8" w:rsidRDefault="003D32C2" w:rsidP="008A407A">
      <w:pPr>
        <w:pStyle w:val="ESch"/>
      </w:pPr>
      <w:r>
        <w:t>3.</w:t>
      </w:r>
      <w:r>
        <w:tab/>
        <w:t>Gli apparati di governo a motore sono ispezionati da una persona competente:</w:t>
      </w:r>
    </w:p>
    <w:p w:rsidR="003D32C2" w:rsidRPr="00C903F8" w:rsidRDefault="005C7859" w:rsidP="008C2125">
      <w:pPr>
        <w:pStyle w:val="ESlet"/>
      </w:pPr>
      <w:r>
        <w:t>a)</w:t>
      </w:r>
      <w:r>
        <w:tab/>
        <w:t>prima della loro messa in servizio;</w:t>
      </w:r>
    </w:p>
    <w:p w:rsidR="003D32C2" w:rsidRPr="00C903F8" w:rsidRDefault="005C7859" w:rsidP="008C2125">
      <w:pPr>
        <w:pStyle w:val="ESlet"/>
      </w:pPr>
      <w:r>
        <w:t>b)</w:t>
      </w:r>
      <w:r>
        <w:tab/>
        <w:t>dopo un guasto;</w:t>
      </w:r>
    </w:p>
    <w:p w:rsidR="003D32C2" w:rsidRPr="00C903F8" w:rsidRDefault="005C7859" w:rsidP="008C2125">
      <w:pPr>
        <w:pStyle w:val="ESlet"/>
      </w:pPr>
      <w:r>
        <w:t>c)</w:t>
      </w:r>
      <w:r>
        <w:tab/>
        <w:t>dopo qualsiasi modifica o riparazione;</w:t>
      </w:r>
    </w:p>
    <w:p w:rsidR="003D32C2" w:rsidRPr="00C903F8" w:rsidRDefault="005C7859" w:rsidP="008C2125">
      <w:pPr>
        <w:pStyle w:val="ESlet"/>
      </w:pPr>
      <w:r>
        <w:t>d)</w:t>
      </w:r>
      <w:r>
        <w:tab/>
        <w:t>a scadenze regolari almeno ogni tre anni.</w:t>
      </w:r>
    </w:p>
    <w:p w:rsidR="003D32C2" w:rsidRPr="00C903F8" w:rsidRDefault="003D32C2" w:rsidP="003D32C2"/>
    <w:p w:rsidR="003D32C2" w:rsidRPr="00C903F8" w:rsidRDefault="003D32C2" w:rsidP="008A407A">
      <w:pPr>
        <w:pStyle w:val="ESch"/>
      </w:pPr>
      <w:r>
        <w:t>4.</w:t>
      </w:r>
      <w:r>
        <w:tab/>
        <w:t>L’ispezione deve comprendere almeno:</w:t>
      </w:r>
    </w:p>
    <w:p w:rsidR="003D32C2" w:rsidRPr="00C903F8" w:rsidRDefault="005C7859" w:rsidP="008A407A">
      <w:pPr>
        <w:pStyle w:val="ESlet"/>
      </w:pPr>
      <w:r>
        <w:t>a)</w:t>
      </w:r>
      <w:r>
        <w:tab/>
        <w:t>il controllo della conformità con i disegni approvati e, in occasione di ispezioni periodiche, il controllo di eventuali modifiche apportate all’apparato di governo;</w:t>
      </w:r>
    </w:p>
    <w:p w:rsidR="003D32C2" w:rsidRPr="00C903F8" w:rsidRDefault="005C7859" w:rsidP="008A407A">
      <w:pPr>
        <w:pStyle w:val="ESlet"/>
      </w:pPr>
      <w:r>
        <w:t>b)</w:t>
      </w:r>
      <w:r>
        <w:tab/>
        <w:t>un test funzionale dell’apparato di governo in relazione a tutte le possibilità operative;</w:t>
      </w:r>
    </w:p>
    <w:p w:rsidR="003D32C2" w:rsidRPr="00C903F8" w:rsidRDefault="005C7859" w:rsidP="008A407A">
      <w:pPr>
        <w:pStyle w:val="ESlet"/>
      </w:pPr>
      <w:r>
        <w:t>c)</w:t>
      </w:r>
      <w:r>
        <w:tab/>
        <w:t>un controllo visivo e un controllo della tenuta stagna dei componenti idraulici, in particolare valvole, tubazioni, tubi flessibili, cilindri idraulici, pompe idrauliche e filtri idraulici;</w:t>
      </w:r>
    </w:p>
    <w:p w:rsidR="003D32C2" w:rsidRPr="00C903F8" w:rsidRDefault="005C7859" w:rsidP="008A407A">
      <w:pPr>
        <w:pStyle w:val="ESlet"/>
      </w:pPr>
      <w:r>
        <w:t>d)</w:t>
      </w:r>
      <w:r>
        <w:tab/>
        <w:t>un controllo visivo dei componenti elettrici, in particolare dei relè, dei motori elettrici e dei dispositivi di sicurezza;</w:t>
      </w:r>
    </w:p>
    <w:p w:rsidR="003D32C2" w:rsidRPr="00C903F8" w:rsidRDefault="003D32C2" w:rsidP="008A407A">
      <w:pPr>
        <w:pStyle w:val="ESlet"/>
      </w:pPr>
      <w:r>
        <w:t>e)</w:t>
      </w:r>
      <w:r>
        <w:tab/>
        <w:t>la verifica dei dispositivi ottici e acustici di controllo.</w:t>
      </w:r>
    </w:p>
    <w:p w:rsidR="003D32C2" w:rsidRPr="00C903F8" w:rsidRDefault="003D32C2" w:rsidP="003D32C2"/>
    <w:p w:rsidR="003D32C2" w:rsidRPr="00C903F8" w:rsidRDefault="003D32C2" w:rsidP="008A407A">
      <w:pPr>
        <w:pStyle w:val="ESch"/>
      </w:pPr>
      <w:r>
        <w:t>5.</w:t>
      </w:r>
      <w:r>
        <w:tab/>
        <w:t>La persona competente redige e firma un attestato di ispezione, indicando la data del controllo.</w:t>
      </w:r>
    </w:p>
    <w:p w:rsidR="003D32C2" w:rsidRPr="00C903F8" w:rsidRDefault="003D32C2" w:rsidP="003D32C2"/>
    <w:p w:rsidR="00822C1C" w:rsidRPr="00C903F8" w:rsidRDefault="00822C1C" w:rsidP="00822C1C">
      <w:pPr>
        <w:pStyle w:val="ES-Titre2"/>
      </w:pPr>
      <w:bookmarkStart w:id="84" w:name="_Toc491854042"/>
      <w:bookmarkStart w:id="85" w:name="_Toc535499991"/>
      <w:r>
        <w:lastRenderedPageBreak/>
        <w:t>Capo 7</w:t>
      </w:r>
      <w:r>
        <w:br/>
        <w:t>Timoneria</w:t>
      </w:r>
      <w:bookmarkEnd w:id="84"/>
      <w:bookmarkEnd w:id="85"/>
    </w:p>
    <w:p w:rsidR="00822C1C" w:rsidRPr="00C903F8" w:rsidRDefault="00822C1C" w:rsidP="00822C1C">
      <w:pPr>
        <w:rPr>
          <w:rFonts w:cs="Arial"/>
          <w:b/>
          <w:i/>
          <w:noProof/>
          <w:szCs w:val="20"/>
        </w:rPr>
      </w:pPr>
    </w:p>
    <w:p w:rsidR="00822C1C" w:rsidRPr="00C903F8" w:rsidRDefault="00822C1C" w:rsidP="00822C1C">
      <w:pPr>
        <w:pStyle w:val="ES-Titre3"/>
      </w:pPr>
      <w:bookmarkStart w:id="86" w:name="_Toc491854043"/>
      <w:bookmarkStart w:id="87" w:name="_Toc535499992"/>
      <w:r>
        <w:t>Articolo 7.01</w:t>
      </w:r>
      <w:r>
        <w:br/>
      </w:r>
      <w:r>
        <w:rPr>
          <w:i/>
          <w:noProof/>
        </w:rPr>
        <w:t>Aspetti generali</w:t>
      </w:r>
      <w:bookmarkEnd w:id="86"/>
      <w:bookmarkEnd w:id="87"/>
    </w:p>
    <w:p w:rsidR="00822C1C" w:rsidRPr="00C903F8" w:rsidRDefault="00822C1C" w:rsidP="00822C1C">
      <w:pPr>
        <w:pStyle w:val="ESch"/>
        <w:rPr>
          <w:szCs w:val="20"/>
        </w:rPr>
      </w:pPr>
    </w:p>
    <w:p w:rsidR="00822C1C" w:rsidRPr="00C903F8" w:rsidRDefault="00822C1C" w:rsidP="00822C1C">
      <w:pPr>
        <w:pStyle w:val="ESch"/>
        <w:rPr>
          <w:szCs w:val="20"/>
        </w:rPr>
      </w:pPr>
      <w:r>
        <w:t>1.</w:t>
      </w:r>
      <w:r>
        <w:tab/>
        <w:t>Le timonerie sono allestite in modo tale che durante la navigazione il timoniere può svolgere in qualsiasi momento il suo compito.</w:t>
      </w:r>
    </w:p>
    <w:p w:rsidR="00822C1C" w:rsidRPr="00C903F8" w:rsidRDefault="00822C1C" w:rsidP="00822C1C">
      <w:pPr>
        <w:pStyle w:val="ESch"/>
        <w:rPr>
          <w:szCs w:val="20"/>
        </w:rPr>
      </w:pPr>
    </w:p>
    <w:p w:rsidR="00822C1C" w:rsidRPr="00C903F8" w:rsidRDefault="00822C1C" w:rsidP="00822C1C">
      <w:pPr>
        <w:pStyle w:val="ESch"/>
        <w:rPr>
          <w:szCs w:val="20"/>
        </w:rPr>
      </w:pPr>
      <w:r>
        <w:t>2.</w:t>
      </w:r>
      <w:r>
        <w:tab/>
        <w:t>In condizioni normali di funzionamento, il livello della pressione acustica del rumore prodotto dalla nave al posto di pilotaggio, in corrispondenza della testa del timoniere, non supera 70 dB(A).</w:t>
      </w:r>
    </w:p>
    <w:p w:rsidR="00822C1C" w:rsidRPr="00C903F8" w:rsidRDefault="00822C1C" w:rsidP="00822C1C">
      <w:pPr>
        <w:pStyle w:val="ESch"/>
        <w:rPr>
          <w:szCs w:val="20"/>
        </w:rPr>
      </w:pPr>
    </w:p>
    <w:p w:rsidR="00822C1C" w:rsidRPr="00C903F8" w:rsidRDefault="00822C1C" w:rsidP="00822C1C">
      <w:pPr>
        <w:pStyle w:val="ESch"/>
        <w:rPr>
          <w:szCs w:val="20"/>
        </w:rPr>
      </w:pPr>
      <w:r>
        <w:t>3.</w:t>
      </w:r>
      <w:r>
        <w:tab/>
        <w:t>In presenza di timoneria attrezzata per la guida con radar da parte di una sola persona, occorre che il timoniere sia in grado di svolgere il suo compito in posizione seduta e che tutti gli indicatori e gli strumenti di controllo, nonché tutti i comandi necessari alla condotta della nave siano disposti in modo tale che il timoniere può servirsene comodamente durante la navigazione senza lasciare il suo posto e senza perdere di vista lo schermo radar.</w:t>
      </w:r>
    </w:p>
    <w:p w:rsidR="00822C1C" w:rsidRPr="00C903F8" w:rsidRDefault="00822C1C" w:rsidP="00822C1C">
      <w:pPr>
        <w:pStyle w:val="ESch"/>
        <w:rPr>
          <w:szCs w:val="20"/>
        </w:rPr>
      </w:pPr>
    </w:p>
    <w:p w:rsidR="00822C1C" w:rsidRPr="00C903F8" w:rsidRDefault="00822C1C" w:rsidP="00822C1C">
      <w:pPr>
        <w:pStyle w:val="ESch"/>
        <w:rPr>
          <w:szCs w:val="20"/>
        </w:rPr>
      </w:pPr>
    </w:p>
    <w:p w:rsidR="00822C1C" w:rsidRPr="00C903F8" w:rsidRDefault="00822C1C" w:rsidP="00822C1C">
      <w:pPr>
        <w:pStyle w:val="ES-Titre3"/>
      </w:pPr>
      <w:bookmarkStart w:id="88" w:name="_Toc491854044"/>
      <w:bookmarkStart w:id="89" w:name="_Toc535499993"/>
      <w:r>
        <w:t>Articolo 7.02</w:t>
      </w:r>
      <w:r>
        <w:br/>
      </w:r>
      <w:r>
        <w:rPr>
          <w:i/>
        </w:rPr>
        <w:t>Visuale libera</w:t>
      </w:r>
      <w:bookmarkEnd w:id="88"/>
      <w:bookmarkEnd w:id="89"/>
    </w:p>
    <w:p w:rsidR="00822C1C" w:rsidRPr="00C903F8" w:rsidRDefault="00822C1C" w:rsidP="00822C1C">
      <w:pPr>
        <w:pStyle w:val="ESch"/>
        <w:rPr>
          <w:szCs w:val="20"/>
        </w:rPr>
      </w:pPr>
    </w:p>
    <w:p w:rsidR="00822C1C" w:rsidRPr="00C903F8" w:rsidRDefault="00822C1C" w:rsidP="00822C1C">
      <w:pPr>
        <w:pStyle w:val="ESch"/>
        <w:rPr>
          <w:szCs w:val="20"/>
        </w:rPr>
      </w:pPr>
      <w:r>
        <w:t>1.</w:t>
      </w:r>
      <w:r>
        <w:tab/>
        <w:t>Occorre garantire, dal posto di pilotaggio, una visuale sufficientemente libera in tutte le direzioni.</w:t>
      </w:r>
    </w:p>
    <w:p w:rsidR="00822C1C" w:rsidRPr="00C903F8" w:rsidRDefault="00822C1C" w:rsidP="00822C1C">
      <w:pPr>
        <w:pStyle w:val="ESch"/>
        <w:rPr>
          <w:szCs w:val="20"/>
        </w:rPr>
      </w:pPr>
    </w:p>
    <w:p w:rsidR="00822C1C" w:rsidRPr="00C903F8" w:rsidRDefault="00BF58F6" w:rsidP="00822C1C">
      <w:pPr>
        <w:pStyle w:val="ESch"/>
        <w:rPr>
          <w:szCs w:val="20"/>
        </w:rPr>
      </w:pPr>
      <w:r>
        <w:t>2.</w:t>
      </w:r>
      <w:r>
        <w:tab/>
        <w:t>Per il timoniere, la zona di non visibilità a prua della nave scarica, con metà dei rifornimenti, ma senza zavorra, non supera 250 m.</w:t>
      </w:r>
    </w:p>
    <w:p w:rsidR="00822C1C" w:rsidRPr="00C903F8" w:rsidRDefault="00822C1C" w:rsidP="00822C1C">
      <w:pPr>
        <w:pStyle w:val="ESch"/>
        <w:rPr>
          <w:szCs w:val="20"/>
        </w:rPr>
      </w:pPr>
    </w:p>
    <w:p w:rsidR="00822C1C" w:rsidRPr="00C903F8" w:rsidRDefault="00822C1C" w:rsidP="00822C1C">
      <w:pPr>
        <w:pStyle w:val="ESchpar"/>
      </w:pPr>
      <w:r>
        <w:t>Per ridurre ulteriormente la zona di non visibilità, sono utilizzati esclusivamente mezzi ausiliari adeguati.</w:t>
      </w:r>
    </w:p>
    <w:p w:rsidR="00822C1C" w:rsidRPr="00C903F8" w:rsidRDefault="00822C1C" w:rsidP="00822C1C">
      <w:pPr>
        <w:pStyle w:val="ESch"/>
        <w:rPr>
          <w:szCs w:val="20"/>
        </w:rPr>
      </w:pPr>
    </w:p>
    <w:p w:rsidR="00822C1C" w:rsidRPr="00C903F8" w:rsidRDefault="00822C1C" w:rsidP="00822C1C">
      <w:pPr>
        <w:pStyle w:val="ESchpar"/>
      </w:pPr>
      <w:r>
        <w:t>In occasione dell'ispezione non vengono presi in considerazione i mezzi ausiliari che riducono la zona di non visibilità.</w:t>
      </w:r>
    </w:p>
    <w:p w:rsidR="00822C1C" w:rsidRPr="00C903F8" w:rsidRDefault="00822C1C" w:rsidP="00822C1C">
      <w:pPr>
        <w:pStyle w:val="ESch"/>
        <w:rPr>
          <w:szCs w:val="20"/>
        </w:rPr>
      </w:pPr>
    </w:p>
    <w:p w:rsidR="00822C1C" w:rsidRPr="00C903F8" w:rsidRDefault="00BF58F6" w:rsidP="00822C1C">
      <w:pPr>
        <w:pStyle w:val="ESch"/>
        <w:rPr>
          <w:szCs w:val="20"/>
        </w:rPr>
      </w:pPr>
      <w:r>
        <w:t>3.</w:t>
      </w:r>
      <w:r>
        <w:tab/>
        <w:t>Il campo di visuale libera dalla postazione occupata normalmente dal timoniere è di almeno 240° all'orizzonte, di cui almeno 140° all'interno del semicerchio orientato verso la prua della nave.</w:t>
      </w:r>
    </w:p>
    <w:p w:rsidR="00822C1C" w:rsidRPr="00C903F8" w:rsidRDefault="00822C1C" w:rsidP="00822C1C">
      <w:pPr>
        <w:pStyle w:val="ESchpar"/>
        <w:rPr>
          <w:szCs w:val="20"/>
        </w:rPr>
      </w:pPr>
    </w:p>
    <w:p w:rsidR="00822C1C" w:rsidRPr="00C903F8" w:rsidRDefault="00822C1C" w:rsidP="00822C1C">
      <w:pPr>
        <w:pStyle w:val="ESchpar"/>
      </w:pPr>
      <w:r>
        <w:t>Nell'asse normale di visione del timoniere non si trova alcun montante, palo o sovrastruttura.</w:t>
      </w:r>
    </w:p>
    <w:p w:rsidR="00822C1C" w:rsidRPr="00C903F8" w:rsidRDefault="00822C1C" w:rsidP="00822C1C">
      <w:pPr>
        <w:pStyle w:val="ESchpar"/>
        <w:rPr>
          <w:szCs w:val="20"/>
        </w:rPr>
      </w:pPr>
    </w:p>
    <w:p w:rsidR="00822C1C" w:rsidRPr="00C903F8" w:rsidRDefault="00822C1C" w:rsidP="00822C1C">
      <w:pPr>
        <w:pStyle w:val="ESchpar"/>
      </w:pPr>
      <w:r>
        <w:t xml:space="preserve">Anche nel caso in cui sia garantito un campo di visuale libera di 240° all'orizzonte, se verso poppa non è garantita una visuale sufficientemente libera, la commissione di ispezione può richiedere altre misure e in particolare l'installazione di adeguati mezzi ausiliari. </w:t>
      </w:r>
    </w:p>
    <w:p w:rsidR="00822C1C" w:rsidRPr="00C903F8" w:rsidRDefault="00822C1C" w:rsidP="00822C1C">
      <w:pPr>
        <w:pStyle w:val="ESchpar"/>
        <w:rPr>
          <w:szCs w:val="20"/>
        </w:rPr>
      </w:pPr>
    </w:p>
    <w:p w:rsidR="00822C1C" w:rsidRPr="00C903F8" w:rsidRDefault="00822C1C" w:rsidP="00822C1C">
      <w:pPr>
        <w:pStyle w:val="ESchpar"/>
      </w:pPr>
      <w:r>
        <w:t>Il bordo inferiore delle finestre laterali è posto quanto più basso possibile, mentre il bordo superiore delle finestre laterali e di poppa è posto quanto più alto possibile.</w:t>
      </w:r>
    </w:p>
    <w:p w:rsidR="00822C1C" w:rsidRPr="00C903F8" w:rsidRDefault="00822C1C" w:rsidP="00822C1C">
      <w:pPr>
        <w:pStyle w:val="ESchpar"/>
        <w:rPr>
          <w:szCs w:val="20"/>
        </w:rPr>
      </w:pPr>
    </w:p>
    <w:p w:rsidR="00822C1C" w:rsidRPr="00C903F8" w:rsidRDefault="00822C1C" w:rsidP="00822C1C">
      <w:pPr>
        <w:pStyle w:val="ESchpar"/>
      </w:pPr>
      <w:r>
        <w:t>Nel determinare se i requisiti previsti dal presente articolo riguardo alla visibilità dalla timoneria sono rispettati, si presume che l'altezza dell'occhio del timoniere al posto di pilotaggio sia 1,65 m al di sopra del ponte della timoneria.</w:t>
      </w:r>
    </w:p>
    <w:p w:rsidR="00822C1C" w:rsidRPr="00C903F8" w:rsidRDefault="00822C1C" w:rsidP="00822C1C">
      <w:pPr>
        <w:pStyle w:val="ESch"/>
        <w:rPr>
          <w:szCs w:val="20"/>
        </w:rPr>
      </w:pPr>
    </w:p>
    <w:p w:rsidR="00D94C10" w:rsidRPr="00C903F8" w:rsidRDefault="00D94C10" w:rsidP="00822C1C">
      <w:pPr>
        <w:pStyle w:val="ESch"/>
        <w:rPr>
          <w:szCs w:val="20"/>
        </w:rPr>
      </w:pPr>
      <w:r>
        <w:br w:type="page"/>
      </w:r>
    </w:p>
    <w:p w:rsidR="00822C1C" w:rsidRPr="00C903F8" w:rsidRDefault="00822C1C" w:rsidP="00822C1C">
      <w:pPr>
        <w:pStyle w:val="ESch"/>
        <w:rPr>
          <w:szCs w:val="20"/>
        </w:rPr>
      </w:pPr>
      <w:r>
        <w:lastRenderedPageBreak/>
        <w:t>4.</w:t>
      </w:r>
      <w:r>
        <w:tab/>
        <w:t>Il bordo superiore delle finestre della timoneria verso la prua è abbastanza alto da consentire ad una persona</w:t>
      </w:r>
      <w:r w:rsidR="00A16690">
        <w:t xml:space="preserve"> </w:t>
      </w:r>
      <w:r>
        <w:t>al posto di pilotaggio una visuale chiara in avanti.</w:t>
      </w:r>
    </w:p>
    <w:p w:rsidR="00822C1C" w:rsidRPr="00C903F8" w:rsidRDefault="00822C1C" w:rsidP="00822C1C">
      <w:pPr>
        <w:pStyle w:val="ESchpar"/>
        <w:rPr>
          <w:szCs w:val="20"/>
        </w:rPr>
      </w:pPr>
    </w:p>
    <w:p w:rsidR="00822C1C" w:rsidRPr="00C903F8" w:rsidRDefault="00822C1C" w:rsidP="00822C1C">
      <w:pPr>
        <w:pStyle w:val="ESchpar"/>
      </w:pPr>
      <w:r>
        <w:t>Tale prescrizione si considera soddisfatta quando una persona al posto di pilotaggio con un'altezza dell'occhio di 1,80 m ha una visuale chiara in avanti di almeno 10° al di sopra dell'orizzonte a livello dell'altezza d'occhio.</w:t>
      </w:r>
    </w:p>
    <w:p w:rsidR="00822C1C" w:rsidRPr="00C903F8" w:rsidRDefault="00822C1C" w:rsidP="00822C1C">
      <w:pPr>
        <w:pStyle w:val="ESch"/>
        <w:rPr>
          <w:szCs w:val="20"/>
        </w:rPr>
      </w:pPr>
    </w:p>
    <w:p w:rsidR="00822C1C" w:rsidRPr="00C903F8" w:rsidRDefault="00822C1C" w:rsidP="00822C1C">
      <w:pPr>
        <w:pStyle w:val="ESch"/>
        <w:rPr>
          <w:szCs w:val="20"/>
        </w:rPr>
      </w:pPr>
      <w:r>
        <w:t>5.</w:t>
      </w:r>
      <w:r>
        <w:tab/>
        <w:t>In qualsiasi condizione meteorologica dalle finestre a prua occorre garantire una visuale chiara mediante mezzi idonei.</w:t>
      </w:r>
    </w:p>
    <w:p w:rsidR="00822C1C" w:rsidRPr="00C903F8" w:rsidRDefault="00822C1C" w:rsidP="00822C1C">
      <w:pPr>
        <w:pStyle w:val="ESch"/>
        <w:rPr>
          <w:szCs w:val="20"/>
        </w:rPr>
      </w:pPr>
    </w:p>
    <w:p w:rsidR="00822C1C" w:rsidRPr="00C903F8" w:rsidRDefault="00822C1C" w:rsidP="00822C1C">
      <w:pPr>
        <w:pStyle w:val="ESch"/>
        <w:rPr>
          <w:szCs w:val="20"/>
        </w:rPr>
      </w:pPr>
      <w:r>
        <w:t>6.</w:t>
      </w:r>
      <w:r>
        <w:tab/>
        <w:t>I vetri impiegati nelle timonerie sono in vetro di sicurezza con un livello di trasparenza pari almeno al 75 %.</w:t>
      </w:r>
    </w:p>
    <w:p w:rsidR="00822C1C" w:rsidRPr="00C903F8" w:rsidRDefault="00822C1C" w:rsidP="00822C1C">
      <w:pPr>
        <w:pStyle w:val="ESch"/>
        <w:rPr>
          <w:szCs w:val="20"/>
        </w:rPr>
      </w:pPr>
    </w:p>
    <w:p w:rsidR="00822C1C" w:rsidRPr="00C903F8" w:rsidRDefault="00822C1C" w:rsidP="00822C1C">
      <w:pPr>
        <w:pStyle w:val="ESchpar"/>
        <w:rPr>
          <w:szCs w:val="20"/>
        </w:rPr>
      </w:pPr>
      <w:r>
        <w:t xml:space="preserve">Per evitare i riverberi le finestre anteriori della timoneria sono antiriflesso o installate in modo da eliminare efficacemente i riverberi. </w:t>
      </w:r>
    </w:p>
    <w:p w:rsidR="00822C1C" w:rsidRPr="00C903F8" w:rsidRDefault="00822C1C" w:rsidP="00822C1C">
      <w:pPr>
        <w:pStyle w:val="ESchpar"/>
        <w:rPr>
          <w:szCs w:val="20"/>
        </w:rPr>
      </w:pPr>
    </w:p>
    <w:p w:rsidR="00822C1C" w:rsidRPr="00C903F8" w:rsidRDefault="006777B9" w:rsidP="00822C1C">
      <w:pPr>
        <w:pStyle w:val="ESchpar"/>
      </w:pPr>
      <w:r>
        <w:t>Questo requisito della seconda frase è considerato soddisfatto se le finestre sono inclinate rispetto alla verticale secondo un'angolazione non inferiore a 10° e non superiore a 25°.</w:t>
      </w:r>
    </w:p>
    <w:p w:rsidR="00822C1C" w:rsidRPr="00C903F8" w:rsidRDefault="00822C1C" w:rsidP="00822C1C">
      <w:pPr>
        <w:pStyle w:val="ESch"/>
        <w:rPr>
          <w:szCs w:val="20"/>
        </w:rPr>
      </w:pPr>
    </w:p>
    <w:p w:rsidR="00822C1C" w:rsidRPr="00C903F8" w:rsidRDefault="00822C1C" w:rsidP="00822C1C">
      <w:pPr>
        <w:pStyle w:val="ESch"/>
        <w:rPr>
          <w:szCs w:val="20"/>
        </w:rPr>
      </w:pPr>
    </w:p>
    <w:p w:rsidR="00822C1C" w:rsidRPr="00C903F8" w:rsidRDefault="00822C1C" w:rsidP="00822C1C">
      <w:pPr>
        <w:pStyle w:val="ES-Titre3"/>
        <w:rPr>
          <w:i/>
        </w:rPr>
      </w:pPr>
      <w:bookmarkStart w:id="90" w:name="_Toc491854045"/>
      <w:bookmarkStart w:id="91" w:name="_Toc535499994"/>
      <w:r>
        <w:t>Articolo 7.03</w:t>
      </w:r>
      <w:r>
        <w:br/>
      </w:r>
      <w:r>
        <w:rPr>
          <w:i/>
        </w:rPr>
        <w:t>Requisiti generali concernenti i dispositivi di comando, d'indicazione e di controllo</w:t>
      </w:r>
      <w:bookmarkEnd w:id="90"/>
      <w:bookmarkEnd w:id="91"/>
    </w:p>
    <w:p w:rsidR="00822C1C" w:rsidRPr="00C903F8" w:rsidRDefault="00822C1C" w:rsidP="00822C1C">
      <w:pPr>
        <w:pStyle w:val="ESch"/>
        <w:rPr>
          <w:szCs w:val="20"/>
        </w:rPr>
      </w:pPr>
    </w:p>
    <w:p w:rsidR="00822C1C" w:rsidRPr="00C903F8" w:rsidRDefault="00822C1C" w:rsidP="00822C1C">
      <w:pPr>
        <w:pStyle w:val="ESch"/>
        <w:rPr>
          <w:szCs w:val="20"/>
        </w:rPr>
      </w:pPr>
      <w:r>
        <w:t>1.</w:t>
      </w:r>
      <w:r>
        <w:tab/>
        <w:t>I comandi necessari alla condotta della nave devono essere posti facilmente in posizione di servizio. Tale posizione è chiaramente individuabile.</w:t>
      </w:r>
    </w:p>
    <w:p w:rsidR="00822C1C" w:rsidRPr="00C903F8" w:rsidRDefault="00822C1C" w:rsidP="00822C1C">
      <w:pPr>
        <w:pStyle w:val="ESch"/>
        <w:rPr>
          <w:szCs w:val="20"/>
        </w:rPr>
      </w:pPr>
    </w:p>
    <w:p w:rsidR="00822C1C" w:rsidRPr="00C903F8" w:rsidRDefault="00822C1C" w:rsidP="00822C1C">
      <w:pPr>
        <w:pStyle w:val="ESch"/>
        <w:rPr>
          <w:szCs w:val="20"/>
        </w:rPr>
      </w:pPr>
      <w:r>
        <w:t>2.</w:t>
      </w:r>
      <w:r>
        <w:tab/>
        <w:t>Gli strumenti di controllo devono essere facilmente leggibili. Deve essere possibile attenuarne l'illuminazione fino a spegnerla. Le fonti di luce non disturbano né ostacolano la leggibilità degli strumenti di controllo.</w:t>
      </w:r>
    </w:p>
    <w:p w:rsidR="00822C1C" w:rsidRPr="00C903F8" w:rsidRDefault="00822C1C" w:rsidP="00822C1C">
      <w:pPr>
        <w:pStyle w:val="ESch"/>
        <w:rPr>
          <w:szCs w:val="20"/>
        </w:rPr>
      </w:pPr>
    </w:p>
    <w:p w:rsidR="00822C1C" w:rsidRPr="00C903F8" w:rsidRDefault="00822C1C" w:rsidP="00822C1C">
      <w:pPr>
        <w:pStyle w:val="ESch"/>
        <w:rPr>
          <w:szCs w:val="20"/>
        </w:rPr>
      </w:pPr>
      <w:r>
        <w:t>3.</w:t>
      </w:r>
      <w:r>
        <w:tab/>
        <w:t>È previsto un sistema per verificare il funzionamento delle spie e degli indicatori luminosi.</w:t>
      </w:r>
    </w:p>
    <w:p w:rsidR="00822C1C" w:rsidRPr="00C903F8" w:rsidRDefault="00822C1C" w:rsidP="00822C1C">
      <w:pPr>
        <w:pStyle w:val="ESch"/>
        <w:rPr>
          <w:szCs w:val="20"/>
        </w:rPr>
      </w:pPr>
    </w:p>
    <w:p w:rsidR="00822C1C" w:rsidRPr="00C903F8" w:rsidRDefault="00822C1C" w:rsidP="00822C1C">
      <w:pPr>
        <w:pStyle w:val="ESch"/>
        <w:rPr>
          <w:szCs w:val="20"/>
        </w:rPr>
      </w:pPr>
      <w:r>
        <w:t>4.</w:t>
      </w:r>
      <w:r>
        <w:tab/>
        <w:t>Occorre poter stabilire con chiarezza se un sistema è in funzione. Se il funzionamento è segnalato da una spia luminosa, questa è di colore verde.</w:t>
      </w:r>
    </w:p>
    <w:p w:rsidR="00822C1C" w:rsidRPr="00C903F8" w:rsidRDefault="00822C1C" w:rsidP="00822C1C">
      <w:pPr>
        <w:pStyle w:val="ESch"/>
        <w:rPr>
          <w:szCs w:val="20"/>
        </w:rPr>
      </w:pPr>
    </w:p>
    <w:p w:rsidR="00822C1C" w:rsidRPr="00C903F8" w:rsidRDefault="00822C1C" w:rsidP="00822C1C">
      <w:pPr>
        <w:pStyle w:val="ESch"/>
        <w:rPr>
          <w:szCs w:val="20"/>
        </w:rPr>
      </w:pPr>
      <w:r>
        <w:t>5.</w:t>
      </w:r>
      <w:r>
        <w:tab/>
        <w:t>Le anomalie e i guasti dei sistemi degli apparecchi per i quali è previsto un controllo sono segnalati da spie luminose rosse.</w:t>
      </w:r>
    </w:p>
    <w:p w:rsidR="00822C1C" w:rsidRPr="00C903F8" w:rsidRDefault="00822C1C" w:rsidP="00822C1C">
      <w:pPr>
        <w:pStyle w:val="ESch"/>
        <w:rPr>
          <w:szCs w:val="20"/>
        </w:rPr>
      </w:pPr>
    </w:p>
    <w:p w:rsidR="00822C1C" w:rsidRPr="00C903F8" w:rsidRDefault="00822C1C" w:rsidP="00822C1C">
      <w:pPr>
        <w:pStyle w:val="ESch"/>
        <w:rPr>
          <w:szCs w:val="20"/>
        </w:rPr>
      </w:pPr>
      <w:r>
        <w:t>6.</w:t>
      </w:r>
      <w:r>
        <w:tab/>
        <w:t>In contemporanea con l'accensione di una delle spie luminose rosse si produce un segnale acustico. I segnali d'allarme acustici possono essere costituiti da un solo segnale comune. Il livello di pressione acustica di tale segnale supera di almeno 3 dB(A) il livello massimo di pressione acustica del rumore ambiente al posto di pilotaggio.</w:t>
      </w:r>
    </w:p>
    <w:p w:rsidR="00822C1C" w:rsidRPr="00C903F8" w:rsidRDefault="00822C1C" w:rsidP="00822C1C">
      <w:pPr>
        <w:pStyle w:val="ESch"/>
        <w:rPr>
          <w:szCs w:val="20"/>
        </w:rPr>
      </w:pPr>
    </w:p>
    <w:p w:rsidR="00822C1C" w:rsidRPr="00C903F8" w:rsidRDefault="00822C1C" w:rsidP="00822C1C">
      <w:pPr>
        <w:pStyle w:val="ESch"/>
        <w:rPr>
          <w:szCs w:val="20"/>
        </w:rPr>
      </w:pPr>
      <w:r>
        <w:t>7.</w:t>
      </w:r>
      <w:r>
        <w:tab/>
        <w:t>Il segnale d'allarme acustico deve poter essere disinserito dopo aver constatato la presenza di un guasto o di un'anomalia. Tale disinserimento del segnale d'allarme non ne impedisce il funzionamento in presenza di altre anomalie. Le spie luminose rosse si spengono solo dopo l'eliminazione dell'anomalia.</w:t>
      </w:r>
    </w:p>
    <w:p w:rsidR="00822C1C" w:rsidRPr="00C903F8" w:rsidRDefault="00822C1C" w:rsidP="00822C1C">
      <w:pPr>
        <w:pStyle w:val="ESch"/>
        <w:rPr>
          <w:szCs w:val="20"/>
        </w:rPr>
      </w:pPr>
    </w:p>
    <w:p w:rsidR="00822C1C" w:rsidRPr="00C903F8" w:rsidRDefault="00822C1C" w:rsidP="00822C1C">
      <w:pPr>
        <w:pStyle w:val="ESch"/>
        <w:rPr>
          <w:szCs w:val="20"/>
        </w:rPr>
      </w:pPr>
      <w:r>
        <w:t>8.</w:t>
      </w:r>
      <w:r>
        <w:tab/>
        <w:t>In caso di guasto dell'alimentazione, i dispositivi di controllo e d'indicazione si collegano automaticamente a un'altra fonte d'energia.</w:t>
      </w:r>
    </w:p>
    <w:p w:rsidR="00822C1C" w:rsidRPr="00C903F8" w:rsidRDefault="00822C1C" w:rsidP="00822C1C">
      <w:pPr>
        <w:pStyle w:val="ESch"/>
        <w:rPr>
          <w:szCs w:val="20"/>
        </w:rPr>
      </w:pPr>
    </w:p>
    <w:p w:rsidR="00822C1C" w:rsidRPr="00C903F8" w:rsidRDefault="00D94C10" w:rsidP="00822C1C">
      <w:pPr>
        <w:pStyle w:val="ESch"/>
        <w:rPr>
          <w:szCs w:val="20"/>
        </w:rPr>
      </w:pPr>
      <w:r>
        <w:br w:type="page"/>
      </w:r>
    </w:p>
    <w:p w:rsidR="00822C1C" w:rsidRPr="00C903F8" w:rsidRDefault="00822C1C" w:rsidP="00822C1C">
      <w:pPr>
        <w:pStyle w:val="ES-Titre3"/>
      </w:pPr>
      <w:bookmarkStart w:id="92" w:name="_Toc491854046"/>
      <w:bookmarkStart w:id="93" w:name="_Toc535499995"/>
      <w:r>
        <w:lastRenderedPageBreak/>
        <w:t>Articolo 7.04</w:t>
      </w:r>
      <w:r>
        <w:br/>
      </w:r>
      <w:r>
        <w:rPr>
          <w:i/>
        </w:rPr>
        <w:t>Requisiti specifici concernenti i dispositivi di comando, d'indicazione e di controllo dei motori principali e degli apparati di governo</w:t>
      </w:r>
      <w:bookmarkEnd w:id="92"/>
      <w:bookmarkEnd w:id="93"/>
    </w:p>
    <w:p w:rsidR="00822C1C" w:rsidRPr="00C903F8" w:rsidRDefault="00822C1C" w:rsidP="00822C1C">
      <w:pPr>
        <w:pStyle w:val="ESch"/>
        <w:rPr>
          <w:szCs w:val="20"/>
        </w:rPr>
      </w:pPr>
    </w:p>
    <w:p w:rsidR="00822C1C" w:rsidRPr="00C903F8" w:rsidRDefault="00822C1C" w:rsidP="00822C1C">
      <w:pPr>
        <w:pStyle w:val="ESch"/>
        <w:rPr>
          <w:szCs w:val="20"/>
        </w:rPr>
      </w:pPr>
      <w:r>
        <w:t>1.</w:t>
      </w:r>
      <w:r>
        <w:tab/>
        <w:t>Dal posto di pilotaggio occorre poter comandare e controllare i motori principali e gli apparati di governo. I motori principali provvisti di un dispositivo d'innesto che può essere comandato dal posto di pilotaggio o che azionano un'elica orientabile che può essere comandata dal posto di pilotaggio devono poter essere messi in moto e spenti soltanto dalla sala macchine.</w:t>
      </w:r>
    </w:p>
    <w:p w:rsidR="00D94C10" w:rsidRPr="00C903F8" w:rsidRDefault="00D94C10" w:rsidP="00822C1C">
      <w:pPr>
        <w:pStyle w:val="ESch"/>
        <w:rPr>
          <w:szCs w:val="20"/>
        </w:rPr>
      </w:pPr>
    </w:p>
    <w:p w:rsidR="00822C1C" w:rsidRPr="00C903F8" w:rsidRDefault="00822C1C" w:rsidP="00822C1C">
      <w:pPr>
        <w:pStyle w:val="ESch"/>
        <w:rPr>
          <w:szCs w:val="20"/>
        </w:rPr>
      </w:pPr>
      <w:r>
        <w:t>2.</w:t>
      </w:r>
      <w:r>
        <w:tab/>
        <w:t>Il comando di ciascun motore principale è assicurato da una sola leva che si sposta lungo un arco di circonferenza situato su un piano pressoché parallelo all'asse longitudinale della nave. Lo spostamento della leva verso la prua della nave produce la marcia avanti, lo spostamento della leva verso la poppa la marcia indietro. L'innesto e l'inversione del senso di marcia si effettuano in corrispondenza della posizione neutra della leva. Uno scatto indica la posizione neutra.</w:t>
      </w:r>
    </w:p>
    <w:p w:rsidR="00822C1C" w:rsidRPr="00C903F8" w:rsidRDefault="00822C1C" w:rsidP="00822C1C">
      <w:pPr>
        <w:pStyle w:val="ESch"/>
        <w:rPr>
          <w:szCs w:val="20"/>
        </w:rPr>
      </w:pPr>
    </w:p>
    <w:p w:rsidR="00822C1C" w:rsidRPr="00C903F8" w:rsidRDefault="00822C1C" w:rsidP="00822C1C">
      <w:pPr>
        <w:pStyle w:val="ESch"/>
        <w:rPr>
          <w:szCs w:val="20"/>
        </w:rPr>
      </w:pPr>
      <w:r>
        <w:t>3.</w:t>
      </w:r>
      <w:r>
        <w:tab/>
        <w:t>Devono essere indicate la direzione della spinta esercitata sulla nave dal dispositivo di propulsione e la frequenza di rotazione dell’elica o dei motori principali.</w:t>
      </w:r>
    </w:p>
    <w:p w:rsidR="00822C1C" w:rsidRPr="00C903F8" w:rsidRDefault="00822C1C" w:rsidP="00822C1C">
      <w:pPr>
        <w:pStyle w:val="ESch"/>
        <w:rPr>
          <w:szCs w:val="20"/>
        </w:rPr>
      </w:pPr>
    </w:p>
    <w:p w:rsidR="00822C1C" w:rsidRPr="00C903F8" w:rsidRDefault="00822C1C" w:rsidP="00822C1C">
      <w:pPr>
        <w:pStyle w:val="ESch"/>
        <w:rPr>
          <w:szCs w:val="20"/>
        </w:rPr>
      </w:pPr>
      <w:r>
        <w:t>4.</w:t>
      </w:r>
      <w:r>
        <w:tab/>
        <w:t>I dispositivi d'indicazione e di controllo previsti all'articolo 6.07, paragrafo 2, all'articolo 8.03, paragrafo 2, e all'articolo 8.05, paragrafo 13, sono collocati al posto di pilotaggio.</w:t>
      </w:r>
    </w:p>
    <w:p w:rsidR="00822C1C" w:rsidRPr="00C903F8" w:rsidRDefault="00822C1C" w:rsidP="00822C1C">
      <w:pPr>
        <w:pStyle w:val="ESch"/>
        <w:rPr>
          <w:szCs w:val="20"/>
        </w:rPr>
      </w:pPr>
    </w:p>
    <w:p w:rsidR="00822C1C" w:rsidRPr="00C903F8" w:rsidRDefault="00822C1C" w:rsidP="00822C1C">
      <w:pPr>
        <w:pStyle w:val="ESch"/>
        <w:rPr>
          <w:szCs w:val="20"/>
        </w:rPr>
      </w:pPr>
      <w:r>
        <w:t>5.</w:t>
      </w:r>
      <w:r>
        <w:tab/>
        <w:t>Le navi con timonerie attrezzate per la guida con radar da parte di una sola persona sono comandate mediante una leva. Tale leva deve poter essere manovrata facilmente a mano. La posizione della leva rispetto all'asse longitudinale della nave corrisponde esattamente alla posizione delle pale del timone. La leva deve poter essere lasciata in una qualsiasi posizione senza che cambi la posizione delle pale. La posizione neutra di tale leva è chiaramente percepibile mediante uno scatto.</w:t>
      </w:r>
    </w:p>
    <w:p w:rsidR="00822C1C" w:rsidRPr="00C903F8" w:rsidRDefault="00822C1C" w:rsidP="00822C1C">
      <w:pPr>
        <w:pStyle w:val="ESch"/>
        <w:rPr>
          <w:szCs w:val="20"/>
        </w:rPr>
      </w:pPr>
    </w:p>
    <w:p w:rsidR="00822C1C" w:rsidRPr="00C903F8" w:rsidRDefault="00822C1C" w:rsidP="00822C1C">
      <w:pPr>
        <w:pStyle w:val="ESch"/>
        <w:rPr>
          <w:szCs w:val="20"/>
        </w:rPr>
      </w:pPr>
      <w:r>
        <w:t>6.</w:t>
      </w:r>
      <w:r>
        <w:tab/>
        <w:t>Nelle timonerie attrezzate per la navigazione con radar da parte di una sola persona, se la nave è dotata di timoni amovibili di prua o di timoni separati, in particolare per la marcia indietro, questi sono comandati da leve separate rispondenti per analogia ai requisiti di cui al paragrafo 5.</w:t>
      </w:r>
    </w:p>
    <w:p w:rsidR="00822C1C" w:rsidRPr="00C903F8" w:rsidRDefault="00822C1C" w:rsidP="00822C1C">
      <w:pPr>
        <w:pStyle w:val="ESch"/>
        <w:rPr>
          <w:szCs w:val="20"/>
        </w:rPr>
      </w:pPr>
    </w:p>
    <w:p w:rsidR="00822C1C" w:rsidRPr="00C903F8" w:rsidRDefault="00822C1C" w:rsidP="00822C1C">
      <w:pPr>
        <w:pStyle w:val="ESchpar"/>
      </w:pPr>
      <w:r>
        <w:t>Questo requisito si applica anche quando in un convoglio si utilizzano apparati di governo di imbarcazioni diversi da quelli che provvedono alla propulsione del convoglio.</w:t>
      </w:r>
    </w:p>
    <w:p w:rsidR="00822C1C" w:rsidRPr="00C903F8" w:rsidRDefault="00822C1C" w:rsidP="00822C1C">
      <w:pPr>
        <w:pStyle w:val="ESch"/>
        <w:rPr>
          <w:szCs w:val="20"/>
        </w:rPr>
      </w:pPr>
    </w:p>
    <w:p w:rsidR="00822C1C" w:rsidRPr="00C903F8" w:rsidRDefault="00822C1C" w:rsidP="00822C1C">
      <w:pPr>
        <w:pStyle w:val="ESch"/>
        <w:rPr>
          <w:szCs w:val="20"/>
        </w:rPr>
      </w:pPr>
      <w:r>
        <w:t>7.</w:t>
      </w:r>
      <w:r>
        <w:tab/>
        <w:t>In caso d'impiego di regolatori della velocità di accostata, l'organo di comando della velocità di accostata deve poter essere lasciato in una posizione qualsiasi senza che cambi la velocità prescelta.</w:t>
      </w:r>
    </w:p>
    <w:p w:rsidR="00822C1C" w:rsidRPr="00C903F8" w:rsidRDefault="00822C1C" w:rsidP="00822C1C">
      <w:pPr>
        <w:pStyle w:val="ESch"/>
        <w:rPr>
          <w:szCs w:val="20"/>
        </w:rPr>
      </w:pPr>
    </w:p>
    <w:p w:rsidR="00822C1C" w:rsidRPr="00C903F8" w:rsidRDefault="00822C1C" w:rsidP="00822C1C">
      <w:pPr>
        <w:pStyle w:val="ESchpar"/>
      </w:pPr>
      <w:r>
        <w:t>Lo spazio di rotazione dell'organo di comando è tale da garantirne un posizionamento sufficientemente esatto. La posizione neutra si distingue chiaramente dalle altre posizioni. È possibile aumentare o diminuire il livello di illuminazione.</w:t>
      </w:r>
    </w:p>
    <w:p w:rsidR="00822C1C" w:rsidRPr="00C903F8" w:rsidRDefault="00822C1C" w:rsidP="00822C1C">
      <w:pPr>
        <w:pStyle w:val="ESch"/>
        <w:rPr>
          <w:szCs w:val="20"/>
        </w:rPr>
      </w:pPr>
    </w:p>
    <w:p w:rsidR="00822C1C" w:rsidRPr="00C903F8" w:rsidRDefault="00822C1C" w:rsidP="00822C1C">
      <w:pPr>
        <w:pStyle w:val="ESch"/>
        <w:rPr>
          <w:szCs w:val="20"/>
        </w:rPr>
      </w:pPr>
      <w:r>
        <w:t>8.</w:t>
      </w:r>
      <w:r>
        <w:tab/>
        <w:t xml:space="preserve">Gli organi di comando a distanza dell'intero apparato di governo sono montati in forma fissa e disposti in modo tale che la rotta scelta sia chiaramente visibile. Se gli organi di comando a distanza sono disattivabili, sono provvisti di un dispositivo indicatore che segnali il rispettivo stato operativo </w:t>
      </w:r>
      <w:r w:rsidR="00BF7908">
        <w:t>"</w:t>
      </w:r>
      <w:r>
        <w:t>spento</w:t>
      </w:r>
      <w:r w:rsidR="00BF7908">
        <w:t>"</w:t>
      </w:r>
      <w:r>
        <w:t xml:space="preserve"> o </w:t>
      </w:r>
      <w:r w:rsidR="00BF7908">
        <w:t>"</w:t>
      </w:r>
      <w:r>
        <w:t>acceso</w:t>
      </w:r>
      <w:r w:rsidR="00BF7908">
        <w:t>"</w:t>
      </w:r>
      <w:r>
        <w:t>. La disposizione e la manovra dei comandi sono funzionali.</w:t>
      </w:r>
    </w:p>
    <w:p w:rsidR="00822C1C" w:rsidRPr="00C903F8" w:rsidRDefault="00822C1C" w:rsidP="00822C1C">
      <w:pPr>
        <w:pStyle w:val="ESch"/>
        <w:rPr>
          <w:szCs w:val="20"/>
        </w:rPr>
      </w:pPr>
    </w:p>
    <w:p w:rsidR="00D94C10" w:rsidRPr="00C903F8" w:rsidRDefault="00D94C10" w:rsidP="00822C1C">
      <w:pPr>
        <w:pStyle w:val="ESch"/>
        <w:rPr>
          <w:szCs w:val="20"/>
        </w:rPr>
      </w:pPr>
      <w:r>
        <w:br w:type="page"/>
      </w:r>
    </w:p>
    <w:p w:rsidR="00822C1C" w:rsidRPr="00C903F8" w:rsidRDefault="00822C1C" w:rsidP="00822C1C">
      <w:pPr>
        <w:pStyle w:val="ESchpar"/>
      </w:pPr>
      <w:r>
        <w:lastRenderedPageBreak/>
        <w:t>In presenza di sistemi elica-timone che svolgono funzione ausiliaria rispetto all'apparato di governo, come ad esempio le eliche di prua amovibili, sono ammessi organi di comando a distanza non fissi a condizione che, tramite un dispositivo di commutazione prioritario, dalla timoneria sia possibile attivare in qualsiasi momento il comando dell'apparecchio ausiliario.</w:t>
      </w:r>
    </w:p>
    <w:p w:rsidR="00822C1C" w:rsidRPr="00C903F8" w:rsidRDefault="00822C1C" w:rsidP="00822C1C">
      <w:pPr>
        <w:pStyle w:val="ESch"/>
        <w:rPr>
          <w:szCs w:val="20"/>
        </w:rPr>
      </w:pPr>
    </w:p>
    <w:p w:rsidR="00822C1C" w:rsidRPr="00C903F8" w:rsidRDefault="00822C1C" w:rsidP="00822C1C">
      <w:pPr>
        <w:pStyle w:val="ESch"/>
        <w:rPr>
          <w:szCs w:val="20"/>
        </w:rPr>
      </w:pPr>
      <w:r>
        <w:t>9.</w:t>
      </w:r>
      <w:r>
        <w:tab/>
        <w:t>Nel caso di sistemi elica-timone, a idrogetto, a propulsori cicloidali e di timoni amovibili di prua, sono ammessi dispositivi equivalenti per i dispositivi di comando, d'indicazione e di controllo.</w:t>
      </w:r>
    </w:p>
    <w:p w:rsidR="00822C1C" w:rsidRPr="00C903F8" w:rsidRDefault="00822C1C" w:rsidP="00822C1C">
      <w:pPr>
        <w:pStyle w:val="ESchpar"/>
        <w:rPr>
          <w:szCs w:val="20"/>
        </w:rPr>
      </w:pPr>
    </w:p>
    <w:p w:rsidR="00822C1C" w:rsidRPr="00C903F8" w:rsidRDefault="00822C1C" w:rsidP="00822C1C">
      <w:pPr>
        <w:pStyle w:val="ESchpar"/>
      </w:pPr>
      <w:r>
        <w:t>I requisiti di cui ai paragrafi da 1 a 8 sono applicabili per analogia tenendo conto delle caratteristiche particolari e delle sistemazioni scelte per i dispositivi di governo e di propulsione attivi di cui sopra. Per analogia con il paragrafo 2, ogni dispositivo è controllato da una leva che si muove descrivendo un arco in un piano verticale pressoché parallelo alla direzione della spinta del dispositivo. Dalla posizione della leva deve essere chiara la direzione della spinta esercitata sulla nave.</w:t>
      </w:r>
    </w:p>
    <w:p w:rsidR="00822C1C" w:rsidRPr="00C903F8" w:rsidRDefault="00822C1C" w:rsidP="00822C1C">
      <w:pPr>
        <w:pStyle w:val="ESchpar"/>
        <w:rPr>
          <w:szCs w:val="20"/>
        </w:rPr>
      </w:pPr>
    </w:p>
    <w:p w:rsidR="00822C1C" w:rsidRPr="00C903F8" w:rsidRDefault="00822C1C" w:rsidP="00822C1C">
      <w:pPr>
        <w:pStyle w:val="ESchpar"/>
      </w:pPr>
      <w:r>
        <w:t>Se il sistema elica-timone o il propulsore cicloidale non sono controllati per mezzo di leve, la commissione di ispezione può concedere deroghe al paragrafo 2. Tali deroghe sono inserite alla rubrica 52 del certificato per la navigazione interna.</w:t>
      </w:r>
    </w:p>
    <w:p w:rsidR="00822C1C" w:rsidRPr="00C903F8" w:rsidRDefault="00822C1C" w:rsidP="00822C1C">
      <w:pPr>
        <w:pStyle w:val="ESch"/>
        <w:rPr>
          <w:szCs w:val="20"/>
        </w:rPr>
      </w:pPr>
    </w:p>
    <w:p w:rsidR="00D94C10" w:rsidRPr="00C903F8" w:rsidRDefault="00D94C10" w:rsidP="00822C1C">
      <w:pPr>
        <w:pStyle w:val="ESch"/>
        <w:rPr>
          <w:szCs w:val="20"/>
        </w:rPr>
      </w:pPr>
    </w:p>
    <w:p w:rsidR="00DD67C0" w:rsidRPr="008418DC" w:rsidRDefault="00822C1C" w:rsidP="00DD67C0">
      <w:pPr>
        <w:spacing w:line="240" w:lineRule="atLeast"/>
        <w:jc w:val="center"/>
        <w:rPr>
          <w:rFonts w:cs="Arial"/>
          <w:bCs/>
          <w:i/>
          <w:sz w:val="22"/>
          <w:szCs w:val="22"/>
        </w:rPr>
      </w:pPr>
      <w:r>
        <w:rPr>
          <w:b/>
          <w:sz w:val="22"/>
        </w:rPr>
        <w:t>Articolo 7.05</w:t>
      </w:r>
      <w:r>
        <w:rPr>
          <w:sz w:val="22"/>
          <w:szCs w:val="22"/>
        </w:rPr>
        <w:br/>
      </w:r>
      <w:r>
        <w:rPr>
          <w:b/>
          <w:i/>
          <w:sz w:val="22"/>
        </w:rPr>
        <w:t>Luci di navigazione, segnali luminosi e segnali acustici</w:t>
      </w:r>
    </w:p>
    <w:p w:rsidR="00DD67C0" w:rsidRPr="0098002E" w:rsidRDefault="00DD67C0" w:rsidP="00DD67C0">
      <w:pPr>
        <w:spacing w:line="240" w:lineRule="atLeast"/>
        <w:rPr>
          <w:rFonts w:cs="Arial"/>
          <w:bCs/>
          <w:i/>
          <w:szCs w:val="22"/>
        </w:rPr>
      </w:pPr>
    </w:p>
    <w:p w:rsidR="00DD67C0" w:rsidRPr="0098002E" w:rsidRDefault="00DD67C0" w:rsidP="0071721E">
      <w:pPr>
        <w:pStyle w:val="ESch"/>
      </w:pPr>
      <w:r>
        <w:t>1.</w:t>
      </w:r>
      <w:r>
        <w:tab/>
        <w:t>Le luci di navigazione, i loro alloggiamenti e accessori recano il marchio di omologazione previsto dalla direttiva 2014/90/UE</w:t>
      </w:r>
      <w:r>
        <w:rPr>
          <w:vertAlign w:val="superscript"/>
        </w:rPr>
        <w:footnoteReference w:id="7"/>
      </w:r>
      <w:r>
        <w:t xml:space="preserve">, come modificata. </w:t>
      </w:r>
    </w:p>
    <w:p w:rsidR="00DD67C0" w:rsidRPr="0098002E" w:rsidRDefault="00DD67C0" w:rsidP="0071721E">
      <w:pPr>
        <w:pStyle w:val="ESch"/>
        <w:rPr>
          <w:rFonts w:cs="Arial"/>
          <w:bCs/>
          <w:i/>
        </w:rPr>
      </w:pPr>
    </w:p>
    <w:p w:rsidR="00DD67C0" w:rsidRPr="0098002E" w:rsidRDefault="00DD67C0" w:rsidP="0071721E">
      <w:pPr>
        <w:pStyle w:val="ESch"/>
      </w:pPr>
      <w:r>
        <w:t>2.</w:t>
      </w:r>
      <w:r>
        <w:tab/>
        <w:t>Per il controllo delle luci di navigazione occorre installare nella timoneria lampade spia o altri dispositivi equivalenti, quali gli indicatori luminosi, a meno che non sia possibile effettuare tale controllo direttamente dalla timoneria.</w:t>
      </w:r>
    </w:p>
    <w:p w:rsidR="00DD67C0" w:rsidRPr="0098002E" w:rsidRDefault="00DD67C0" w:rsidP="0071721E">
      <w:pPr>
        <w:pStyle w:val="ESch"/>
      </w:pPr>
    </w:p>
    <w:p w:rsidR="00DD67C0" w:rsidRDefault="0071721E" w:rsidP="0071721E">
      <w:pPr>
        <w:pStyle w:val="ESch"/>
      </w:pPr>
      <w:r>
        <w:t>3.</w:t>
      </w:r>
      <w:r>
        <w:tab/>
        <w:t>Nelle timonerie attrezzate per la navigazione con radar da parte di una sola persona, occorre installare indicatori luminosi sul quadro dei comandi per il controllo delle luci di navigazione e dei segnali luminosi. Gli interruttori delle luci di navigazione sono inseriti negli indicatori luminosi o a fianco di questi.</w:t>
      </w:r>
    </w:p>
    <w:p w:rsidR="00DD67C0" w:rsidRDefault="00DD67C0" w:rsidP="0071721E">
      <w:pPr>
        <w:pStyle w:val="ESch"/>
      </w:pPr>
    </w:p>
    <w:p w:rsidR="00DD67C0" w:rsidRPr="0098002E" w:rsidRDefault="00DD67C0" w:rsidP="0071721E">
      <w:pPr>
        <w:pStyle w:val="ESchpar"/>
      </w:pPr>
      <w:r>
        <w:t>La disposizione e il colore degli indicatori luminosi delle luci di navigazione e dei segnali luminosi corrispondono alla posizione e al colore reale di dette luci e segnali.</w:t>
      </w:r>
    </w:p>
    <w:p w:rsidR="00DD67C0" w:rsidRPr="0098002E" w:rsidRDefault="00DD67C0" w:rsidP="0071721E">
      <w:pPr>
        <w:pStyle w:val="ESch"/>
      </w:pPr>
    </w:p>
    <w:p w:rsidR="00DD67C0" w:rsidRPr="0098002E" w:rsidRDefault="00DD67C0" w:rsidP="0071721E">
      <w:pPr>
        <w:pStyle w:val="ESchpar"/>
      </w:pPr>
      <w:r>
        <w:t>L'avaria di una luce di navigazione o di un segnale luminoso produce lo spegnimento dell'indicatore luminoso corrispondente o è segnalata in altra maniera.</w:t>
      </w:r>
    </w:p>
    <w:p w:rsidR="00DD67C0" w:rsidRDefault="00DD67C0" w:rsidP="0071721E">
      <w:pPr>
        <w:pStyle w:val="ESch"/>
      </w:pPr>
    </w:p>
    <w:p w:rsidR="00822C1C" w:rsidRPr="00C903F8" w:rsidRDefault="00DD67C0" w:rsidP="0071721E">
      <w:pPr>
        <w:pStyle w:val="ESch"/>
      </w:pPr>
      <w:r>
        <w:t>4.</w:t>
      </w:r>
      <w:r>
        <w:tab/>
        <w:t xml:space="preserve">Nelle timonerie attrezzate per la navigazione con radar da parte di una sola persona, il comando dei segnali acustici è a pedale. Questo requisito non si applica al segnale </w:t>
      </w:r>
      <w:r w:rsidR="00BF7908">
        <w:t>"</w:t>
      </w:r>
      <w:r>
        <w:t>vietato avvicinarsi</w:t>
      </w:r>
      <w:r w:rsidR="00BF7908">
        <w:t>"</w:t>
      </w:r>
      <w:r>
        <w:t xml:space="preserve"> conformemente alle disposizioni di polizia nautica in vigore negli Stati membri.</w:t>
      </w:r>
    </w:p>
    <w:p w:rsidR="00D94C10" w:rsidRPr="00C903F8" w:rsidRDefault="00D94C10" w:rsidP="00822C1C">
      <w:pPr>
        <w:pStyle w:val="ESch"/>
        <w:rPr>
          <w:szCs w:val="20"/>
        </w:rPr>
      </w:pPr>
      <w:r>
        <w:br w:type="page"/>
      </w:r>
    </w:p>
    <w:p w:rsidR="00822C1C" w:rsidRPr="00C903F8" w:rsidRDefault="00822C1C" w:rsidP="00822C1C">
      <w:pPr>
        <w:pStyle w:val="ES-Titre3"/>
      </w:pPr>
      <w:bookmarkStart w:id="94" w:name="_Toc491854047"/>
      <w:bookmarkStart w:id="95" w:name="_Toc535499996"/>
      <w:r>
        <w:lastRenderedPageBreak/>
        <w:t>Articolo 7.06</w:t>
      </w:r>
      <w:r>
        <w:br/>
      </w:r>
      <w:r>
        <w:rPr>
          <w:i/>
        </w:rPr>
        <w:t>Impianti di informazione e di navigazione</w:t>
      </w:r>
      <w:bookmarkEnd w:id="94"/>
      <w:bookmarkEnd w:id="95"/>
    </w:p>
    <w:p w:rsidR="00822C1C" w:rsidRPr="00C903F8" w:rsidRDefault="00822C1C" w:rsidP="00822C1C">
      <w:pPr>
        <w:pStyle w:val="ESch"/>
        <w:rPr>
          <w:szCs w:val="20"/>
        </w:rPr>
      </w:pPr>
    </w:p>
    <w:p w:rsidR="00822C1C" w:rsidRPr="00C903F8" w:rsidRDefault="00822C1C" w:rsidP="00822C1C">
      <w:pPr>
        <w:pStyle w:val="ESch"/>
        <w:rPr>
          <w:szCs w:val="20"/>
        </w:rPr>
      </w:pPr>
      <w:r>
        <w:t>1.</w:t>
      </w:r>
      <w:r>
        <w:tab/>
        <w:t xml:space="preserve">L'impianto radar di navigazione e gli indicatori della velocità di accostata soddisfano i requisiti di cui all'allegato 5. La conformità ai suddetti requisiti è stabilita dall’omologazione rilasciata dall’autorità competente. </w:t>
      </w:r>
    </w:p>
    <w:p w:rsidR="00822C1C" w:rsidRPr="00C903F8" w:rsidRDefault="00822C1C" w:rsidP="00822C1C">
      <w:pPr>
        <w:pStyle w:val="ESch"/>
        <w:rPr>
          <w:szCs w:val="20"/>
        </w:rPr>
      </w:pPr>
    </w:p>
    <w:p w:rsidR="00DD67C0" w:rsidRDefault="00822C1C" w:rsidP="00DD67C0">
      <w:pPr>
        <w:pStyle w:val="ESch"/>
        <w:rPr>
          <w:szCs w:val="20"/>
        </w:rPr>
      </w:pPr>
      <w:r>
        <w:t>2.</w:t>
      </w:r>
      <w:r>
        <w:tab/>
        <w:t>Il dispositivo ECDIS interno che può essere utilizzato in modalità di navigazione è considerato come un impianto radar di navigazione. Deve soddisfare i requisiti della norma ECDIS interno. Occorre rispettare i requisiti di cui all'allegato 5.</w:t>
      </w:r>
    </w:p>
    <w:p w:rsidR="00822C1C" w:rsidRPr="00C903F8" w:rsidRDefault="00822C1C" w:rsidP="00DD67C0">
      <w:pPr>
        <w:pStyle w:val="ESch"/>
        <w:rPr>
          <w:szCs w:val="20"/>
        </w:rPr>
      </w:pPr>
    </w:p>
    <w:p w:rsidR="00822C1C" w:rsidRDefault="008418DC" w:rsidP="00822C1C">
      <w:pPr>
        <w:pStyle w:val="ESch"/>
        <w:rPr>
          <w:rFonts w:cs="Arial"/>
          <w:szCs w:val="20"/>
        </w:rPr>
      </w:pPr>
      <w:r>
        <w:t>3.</w:t>
      </w:r>
      <w:r>
        <w:tab/>
        <w:t>Il dispositivo AIS interno soddisfa i requisiti della norma sulle prove per AIS interno nella sua edizione in vigore. Occorre rispettare i requisiti di cui all'allegato 5.</w:t>
      </w:r>
    </w:p>
    <w:p w:rsidR="008418DC" w:rsidRPr="00C903F8" w:rsidRDefault="008418DC" w:rsidP="00822C1C">
      <w:pPr>
        <w:pStyle w:val="ESch"/>
        <w:rPr>
          <w:szCs w:val="20"/>
        </w:rPr>
      </w:pPr>
    </w:p>
    <w:p w:rsidR="00822C1C" w:rsidRPr="00C903F8" w:rsidRDefault="00822C1C" w:rsidP="00822C1C">
      <w:pPr>
        <w:pStyle w:val="ESch"/>
        <w:rPr>
          <w:szCs w:val="20"/>
        </w:rPr>
      </w:pPr>
      <w:r>
        <w:t>4.</w:t>
      </w:r>
      <w:r>
        <w:tab/>
        <w:t>L'indicatore della velocità di accostata è collocato davanti al timoniere all'interno del suo campo di visuale.</w:t>
      </w:r>
    </w:p>
    <w:p w:rsidR="00822C1C" w:rsidRPr="00C903F8" w:rsidRDefault="00822C1C" w:rsidP="00822C1C">
      <w:pPr>
        <w:pStyle w:val="ESch"/>
        <w:rPr>
          <w:szCs w:val="20"/>
        </w:rPr>
      </w:pPr>
    </w:p>
    <w:p w:rsidR="00822C1C" w:rsidRPr="00C903F8" w:rsidRDefault="00822C1C" w:rsidP="00822C1C">
      <w:pPr>
        <w:pStyle w:val="ESch"/>
        <w:rPr>
          <w:szCs w:val="20"/>
        </w:rPr>
      </w:pPr>
      <w:r>
        <w:t>5.</w:t>
      </w:r>
      <w:r>
        <w:tab/>
        <w:t>Nelle timonerie attrezzate per la navigazione con radar da parte di una sola persona:</w:t>
      </w:r>
    </w:p>
    <w:p w:rsidR="00822C1C" w:rsidRPr="00C903F8" w:rsidRDefault="005C7859" w:rsidP="00822C1C">
      <w:pPr>
        <w:pStyle w:val="ESlet"/>
      </w:pPr>
      <w:r>
        <w:t>a)</w:t>
      </w:r>
      <w:r>
        <w:tab/>
        <w:t>la posizione dello schermo-radar non si discosta troppo dall'asse visuale del timoniere in posizione normale;</w:t>
      </w:r>
    </w:p>
    <w:p w:rsidR="00822C1C" w:rsidRPr="00C903F8" w:rsidRDefault="005C7859" w:rsidP="00822C1C">
      <w:pPr>
        <w:pStyle w:val="ESlet"/>
      </w:pPr>
      <w:r>
        <w:t>b)</w:t>
      </w:r>
      <w:r>
        <w:tab/>
        <w:t>l'immagine radar rimane perfettamente visibile, senza maschera o schermo, indipendentemente dalle condizioni dell'illuminazione all'esterno della timoneria;</w:t>
      </w:r>
    </w:p>
    <w:p w:rsidR="00822C1C" w:rsidRPr="00C903F8" w:rsidRDefault="005C7859" w:rsidP="00822C1C">
      <w:pPr>
        <w:pStyle w:val="ESlet"/>
      </w:pPr>
      <w:r>
        <w:t>c)</w:t>
      </w:r>
      <w:r>
        <w:tab/>
        <w:t>l'indicatore della velocità di accostata è installato direttamente al di sopra o al di sotto dell'immagine radar o è a questa integrato.</w:t>
      </w:r>
    </w:p>
    <w:p w:rsidR="00822C1C" w:rsidRPr="00C903F8" w:rsidRDefault="00822C1C" w:rsidP="00822C1C">
      <w:pPr>
        <w:pStyle w:val="ESch"/>
        <w:rPr>
          <w:szCs w:val="20"/>
        </w:rPr>
      </w:pPr>
    </w:p>
    <w:p w:rsidR="00822C1C" w:rsidRPr="00C903F8" w:rsidRDefault="00822C1C" w:rsidP="00822C1C">
      <w:pPr>
        <w:pStyle w:val="ESch"/>
      </w:pPr>
    </w:p>
    <w:p w:rsidR="00822C1C" w:rsidRPr="00C903F8" w:rsidRDefault="00822C1C" w:rsidP="00822C1C">
      <w:pPr>
        <w:pStyle w:val="ES-Titre3"/>
      </w:pPr>
      <w:bookmarkStart w:id="96" w:name="_Toc491854048"/>
      <w:bookmarkStart w:id="97" w:name="_Toc535499997"/>
      <w:r>
        <w:t>Articolo 7.07</w:t>
      </w:r>
      <w:r>
        <w:br/>
      </w:r>
      <w:r>
        <w:rPr>
          <w:i/>
        </w:rPr>
        <w:t>Radiotelefonia per navi con timoneria attrezzata per la navigazione con radar da parte di una sola persona</w:t>
      </w:r>
      <w:bookmarkEnd w:id="96"/>
      <w:bookmarkEnd w:id="97"/>
    </w:p>
    <w:p w:rsidR="00822C1C" w:rsidRPr="00C903F8" w:rsidRDefault="00822C1C" w:rsidP="00822C1C">
      <w:pPr>
        <w:pStyle w:val="ESch"/>
        <w:rPr>
          <w:szCs w:val="20"/>
        </w:rPr>
      </w:pPr>
    </w:p>
    <w:p w:rsidR="00822C1C" w:rsidRPr="00C903F8" w:rsidRDefault="00822C1C" w:rsidP="00822C1C">
      <w:pPr>
        <w:pStyle w:val="ESch"/>
        <w:rPr>
          <w:szCs w:val="20"/>
        </w:rPr>
      </w:pPr>
      <w:r>
        <w:t>1.</w:t>
      </w:r>
      <w:r>
        <w:tab/>
        <w:t>Nelle navi in cui la timoneria è attrezzata per la navigazione con radar da parte di una sola persona, la ricezione delle comunicazioni nave-nave e delle informazioni nautiche avviene per mezzo di altoparlanti, la trasmissione per mezzo di microfoni fissi. Il passaggio ricezione-trasmissione si effettua tramite pulsante.</w:t>
      </w:r>
    </w:p>
    <w:p w:rsidR="00822C1C" w:rsidRPr="00C903F8" w:rsidRDefault="00822C1C" w:rsidP="00822C1C">
      <w:pPr>
        <w:pStyle w:val="ESch"/>
        <w:rPr>
          <w:szCs w:val="20"/>
        </w:rPr>
      </w:pPr>
    </w:p>
    <w:p w:rsidR="00822C1C" w:rsidRPr="00C903F8" w:rsidRDefault="00822C1C" w:rsidP="00822C1C">
      <w:pPr>
        <w:pStyle w:val="ESchpar"/>
        <w:rPr>
          <w:szCs w:val="20"/>
        </w:rPr>
      </w:pPr>
      <w:r>
        <w:t>I microfoni della rete nave-nave non devono poter essere utilizzati per il servizio pubblico di comunicazione.</w:t>
      </w:r>
    </w:p>
    <w:p w:rsidR="00822C1C" w:rsidRPr="00C903F8" w:rsidRDefault="00822C1C" w:rsidP="00822C1C">
      <w:pPr>
        <w:pStyle w:val="ESch"/>
        <w:rPr>
          <w:szCs w:val="20"/>
        </w:rPr>
      </w:pPr>
    </w:p>
    <w:p w:rsidR="00822C1C" w:rsidRPr="00C903F8" w:rsidRDefault="00822C1C" w:rsidP="00822C1C">
      <w:pPr>
        <w:pStyle w:val="ESch"/>
        <w:rPr>
          <w:szCs w:val="20"/>
        </w:rPr>
      </w:pPr>
      <w:r>
        <w:t>2.</w:t>
      </w:r>
      <w:r>
        <w:tab/>
        <w:t>Nelle navi in cui la timoneria è attrezzata per la navigazione con radar da parte di una sola persona e che sono dotate di un impianto di radiotelefonia per il servizio pubblico di comunicazione, la ricezione deve potersi effettuare dalla postazione del timoniere.</w:t>
      </w:r>
    </w:p>
    <w:p w:rsidR="00822C1C" w:rsidRPr="00C903F8" w:rsidRDefault="00822C1C" w:rsidP="00822C1C">
      <w:pPr>
        <w:pStyle w:val="ESch"/>
        <w:rPr>
          <w:szCs w:val="20"/>
        </w:rPr>
      </w:pPr>
    </w:p>
    <w:p w:rsidR="00822C1C" w:rsidRPr="00C903F8" w:rsidRDefault="00822C1C" w:rsidP="00822C1C">
      <w:pPr>
        <w:pStyle w:val="ESch"/>
        <w:rPr>
          <w:szCs w:val="20"/>
        </w:rPr>
      </w:pPr>
    </w:p>
    <w:p w:rsidR="00B006DB" w:rsidRPr="00C903F8" w:rsidRDefault="00B006DB" w:rsidP="00822C1C">
      <w:pPr>
        <w:pStyle w:val="ESch"/>
        <w:rPr>
          <w:szCs w:val="20"/>
        </w:rPr>
      </w:pPr>
      <w:r>
        <w:br w:type="page"/>
      </w:r>
    </w:p>
    <w:p w:rsidR="00822C1C" w:rsidRPr="00C903F8" w:rsidRDefault="00822C1C" w:rsidP="00822C1C">
      <w:pPr>
        <w:pStyle w:val="ES-Titre3"/>
      </w:pPr>
      <w:bookmarkStart w:id="98" w:name="_Toc491854049"/>
      <w:bookmarkStart w:id="99" w:name="_Toc535499998"/>
      <w:r>
        <w:lastRenderedPageBreak/>
        <w:t>Articolo 7.08</w:t>
      </w:r>
      <w:r>
        <w:br/>
      </w:r>
      <w:r>
        <w:rPr>
          <w:i/>
        </w:rPr>
        <w:t>Impianti per la comunicazione interna a bordo</w:t>
      </w:r>
      <w:bookmarkEnd w:id="98"/>
      <w:bookmarkEnd w:id="99"/>
    </w:p>
    <w:p w:rsidR="00822C1C" w:rsidRPr="00C903F8" w:rsidRDefault="00822C1C" w:rsidP="00822C1C">
      <w:pPr>
        <w:pStyle w:val="ESch"/>
        <w:rPr>
          <w:szCs w:val="20"/>
        </w:rPr>
      </w:pPr>
    </w:p>
    <w:p w:rsidR="00822C1C" w:rsidRPr="00C903F8" w:rsidRDefault="00822C1C" w:rsidP="00822C1C">
      <w:pPr>
        <w:pStyle w:val="ESgauche"/>
      </w:pPr>
      <w:r>
        <w:t>A bordo delle navi la cui timoneria è attrezzata per la navigazione con radar da parte di una sola persona, è previsto un impianto fonico per la comunicazione interna.</w:t>
      </w:r>
    </w:p>
    <w:p w:rsidR="00822C1C" w:rsidRPr="00C903F8" w:rsidRDefault="00822C1C" w:rsidP="00822C1C">
      <w:pPr>
        <w:pStyle w:val="ESgauche"/>
      </w:pPr>
    </w:p>
    <w:p w:rsidR="00822C1C" w:rsidRPr="00C903F8" w:rsidRDefault="00822C1C" w:rsidP="00B006DB">
      <w:pPr>
        <w:pStyle w:val="ESgauche"/>
      </w:pPr>
      <w:r>
        <w:t>Dal posto di pilotaggio occorre poter stabilire i seguenti collegamenti:</w:t>
      </w:r>
    </w:p>
    <w:p w:rsidR="00822C1C" w:rsidRPr="00C903F8" w:rsidRDefault="005C7859" w:rsidP="00B006DB">
      <w:pPr>
        <w:pStyle w:val="ESletgauche"/>
      </w:pPr>
      <w:r>
        <w:t>a)</w:t>
      </w:r>
      <w:r>
        <w:tab/>
        <w:t>con la prua della nave o del convoglio;</w:t>
      </w:r>
    </w:p>
    <w:p w:rsidR="00822C1C" w:rsidRPr="00C903F8" w:rsidRDefault="005C7859" w:rsidP="00B006DB">
      <w:pPr>
        <w:pStyle w:val="ESletgauche"/>
      </w:pPr>
      <w:r>
        <w:t>b)</w:t>
      </w:r>
      <w:r>
        <w:tab/>
        <w:t>con la poppa della nave o del convoglio se dal posto di pilotaggio non è possibile una forma di comunicazione diretta;</w:t>
      </w:r>
    </w:p>
    <w:p w:rsidR="00822C1C" w:rsidRPr="00C903F8" w:rsidRDefault="005C7859" w:rsidP="00B006DB">
      <w:pPr>
        <w:pStyle w:val="ESletgauche"/>
      </w:pPr>
      <w:r>
        <w:t>c)</w:t>
      </w:r>
      <w:r>
        <w:tab/>
        <w:t>con gli alloggi dell'equipaggio;</w:t>
      </w:r>
    </w:p>
    <w:p w:rsidR="00822C1C" w:rsidRPr="00C903F8" w:rsidRDefault="005C7859" w:rsidP="00B006DB">
      <w:pPr>
        <w:pStyle w:val="ESletgauche"/>
      </w:pPr>
      <w:r>
        <w:t>d)</w:t>
      </w:r>
      <w:r>
        <w:tab/>
        <w:t>con la cabina del conduttore.</w:t>
      </w:r>
    </w:p>
    <w:p w:rsidR="00822C1C" w:rsidRPr="00C903F8" w:rsidRDefault="00822C1C" w:rsidP="00822C1C">
      <w:pPr>
        <w:pStyle w:val="ESgauche"/>
        <w:rPr>
          <w:szCs w:val="20"/>
        </w:rPr>
      </w:pPr>
    </w:p>
    <w:p w:rsidR="00822C1C" w:rsidRPr="00C903F8" w:rsidRDefault="00822C1C" w:rsidP="00822C1C">
      <w:pPr>
        <w:pStyle w:val="ESgauche"/>
        <w:rPr>
          <w:szCs w:val="20"/>
        </w:rPr>
      </w:pPr>
      <w:r>
        <w:t>In tutti i punti in cui sono installati questi collegamenti, la ricezione si effettua per mezzo di altoparlanti, la trasmissione per mezzo di microfoni fissi. Il collegamento con la prua e la poppa della nave o del convoglio può avvenire per mezzo di radiotelefoni.</w:t>
      </w:r>
    </w:p>
    <w:p w:rsidR="00822C1C" w:rsidRPr="00C903F8" w:rsidRDefault="00822C1C" w:rsidP="00822C1C">
      <w:pPr>
        <w:pStyle w:val="ESgauche"/>
        <w:rPr>
          <w:szCs w:val="20"/>
        </w:rPr>
      </w:pPr>
    </w:p>
    <w:p w:rsidR="00822C1C" w:rsidRPr="00C903F8" w:rsidRDefault="00822C1C" w:rsidP="00822C1C">
      <w:pPr>
        <w:pStyle w:val="ESgauche"/>
      </w:pPr>
    </w:p>
    <w:p w:rsidR="00822C1C" w:rsidRPr="00C903F8" w:rsidRDefault="00822C1C" w:rsidP="00822C1C">
      <w:pPr>
        <w:pStyle w:val="ES-Titre3"/>
      </w:pPr>
      <w:bookmarkStart w:id="100" w:name="_Toc491854050"/>
      <w:bookmarkStart w:id="101" w:name="_Toc535499999"/>
      <w:r>
        <w:t>Articolo 7.09</w:t>
      </w:r>
      <w:r>
        <w:br/>
      </w:r>
      <w:r>
        <w:rPr>
          <w:i/>
        </w:rPr>
        <w:t>Sistemi d'allarme</w:t>
      </w:r>
      <w:bookmarkEnd w:id="100"/>
      <w:bookmarkEnd w:id="101"/>
    </w:p>
    <w:p w:rsidR="00822C1C" w:rsidRPr="00C903F8" w:rsidRDefault="00822C1C" w:rsidP="00822C1C">
      <w:pPr>
        <w:pStyle w:val="ESch"/>
        <w:rPr>
          <w:szCs w:val="20"/>
        </w:rPr>
      </w:pPr>
    </w:p>
    <w:p w:rsidR="00822C1C" w:rsidRPr="00C903F8" w:rsidRDefault="00822C1C" w:rsidP="00822C1C">
      <w:pPr>
        <w:pStyle w:val="ESch"/>
        <w:rPr>
          <w:szCs w:val="20"/>
        </w:rPr>
      </w:pPr>
      <w:r>
        <w:t>1.</w:t>
      </w:r>
      <w:r>
        <w:tab/>
        <w:t>È previsto un sistema d'allarme indipendente che consenta di raggiungere gli alloggi, le sale macchine e, se necessario, i locali pompe separati.</w:t>
      </w:r>
    </w:p>
    <w:p w:rsidR="00822C1C" w:rsidRPr="00C903F8" w:rsidRDefault="00822C1C" w:rsidP="00822C1C">
      <w:pPr>
        <w:pStyle w:val="ESch"/>
        <w:rPr>
          <w:szCs w:val="20"/>
        </w:rPr>
      </w:pPr>
    </w:p>
    <w:p w:rsidR="00822C1C" w:rsidRPr="00C903F8" w:rsidRDefault="00822C1C" w:rsidP="00822C1C">
      <w:pPr>
        <w:pStyle w:val="ESch"/>
        <w:rPr>
          <w:szCs w:val="20"/>
        </w:rPr>
      </w:pPr>
      <w:r>
        <w:t>2.</w:t>
      </w:r>
      <w:r>
        <w:tab/>
        <w:t>Il timoniere ha a portata di mano un interruttore acceso/spento che controlla il segnale di allarme; non sono accettabili gli interruttori che ritornano automaticamente in posizione di spento se rilasciati.</w:t>
      </w:r>
    </w:p>
    <w:p w:rsidR="00822C1C" w:rsidRPr="00C903F8" w:rsidRDefault="00822C1C" w:rsidP="00822C1C">
      <w:pPr>
        <w:pStyle w:val="ESch"/>
        <w:rPr>
          <w:szCs w:val="20"/>
        </w:rPr>
      </w:pPr>
    </w:p>
    <w:p w:rsidR="00822C1C" w:rsidRPr="00C903F8" w:rsidRDefault="00822C1C" w:rsidP="00822C1C">
      <w:pPr>
        <w:pStyle w:val="ESch"/>
        <w:rPr>
          <w:szCs w:val="20"/>
        </w:rPr>
      </w:pPr>
      <w:r>
        <w:t>3.</w:t>
      </w:r>
      <w:r>
        <w:tab/>
        <w:t>Il livello di pressione acustica del segnale d'allarme è pari almeno a 75 dB(A) negli alloggi.</w:t>
      </w:r>
    </w:p>
    <w:p w:rsidR="00822C1C" w:rsidRPr="00C903F8" w:rsidRDefault="00822C1C" w:rsidP="00822C1C">
      <w:pPr>
        <w:pStyle w:val="ESch"/>
        <w:rPr>
          <w:szCs w:val="20"/>
        </w:rPr>
      </w:pPr>
    </w:p>
    <w:p w:rsidR="00822C1C" w:rsidRPr="00C903F8" w:rsidRDefault="00822C1C" w:rsidP="00822C1C">
      <w:pPr>
        <w:pStyle w:val="ESchpar"/>
        <w:rPr>
          <w:szCs w:val="20"/>
        </w:rPr>
      </w:pPr>
      <w:r>
        <w:t>Nelle sale macchine e nei locali pompe, è previsto come segnale d'allarme un fanale lampeggiante visibile da tutti i lati e nettamente percettibile in qualsiasi punto.</w:t>
      </w:r>
    </w:p>
    <w:p w:rsidR="00822C1C" w:rsidRPr="00C903F8" w:rsidRDefault="00822C1C" w:rsidP="00B006DB">
      <w:pPr>
        <w:pStyle w:val="ESch"/>
        <w:rPr>
          <w:szCs w:val="20"/>
        </w:rPr>
      </w:pPr>
    </w:p>
    <w:p w:rsidR="00822C1C" w:rsidRPr="00C903F8" w:rsidRDefault="00822C1C" w:rsidP="00B006DB">
      <w:pPr>
        <w:pStyle w:val="ESch"/>
      </w:pPr>
    </w:p>
    <w:p w:rsidR="00822C1C" w:rsidRPr="00C903F8" w:rsidRDefault="00822C1C" w:rsidP="00822C1C">
      <w:pPr>
        <w:pStyle w:val="ES-Titre3"/>
      </w:pPr>
      <w:bookmarkStart w:id="102" w:name="_Toc491854051"/>
      <w:bookmarkStart w:id="103" w:name="_Toc535500000"/>
      <w:r>
        <w:t>Articolo 7.10</w:t>
      </w:r>
      <w:r>
        <w:br/>
      </w:r>
      <w:r>
        <w:rPr>
          <w:i/>
        </w:rPr>
        <w:t>Riscaldamento e ventilazione</w:t>
      </w:r>
      <w:bookmarkEnd w:id="102"/>
      <w:bookmarkEnd w:id="103"/>
    </w:p>
    <w:p w:rsidR="00822C1C" w:rsidRPr="00C903F8" w:rsidRDefault="00822C1C" w:rsidP="00822C1C">
      <w:pPr>
        <w:pStyle w:val="ESch"/>
        <w:rPr>
          <w:szCs w:val="20"/>
        </w:rPr>
      </w:pPr>
    </w:p>
    <w:p w:rsidR="003F558E" w:rsidRPr="00C903F8" w:rsidRDefault="00822C1C" w:rsidP="003F558E">
      <w:pPr>
        <w:pStyle w:val="ESgauche"/>
        <w:rPr>
          <w:szCs w:val="20"/>
        </w:rPr>
      </w:pPr>
      <w:r>
        <w:t>Le timonerie sono provviste di un efficace sistema regolabile di riscaldamento e di aerazione.</w:t>
      </w:r>
    </w:p>
    <w:p w:rsidR="003F558E" w:rsidRPr="00C903F8" w:rsidRDefault="003F558E" w:rsidP="003F558E">
      <w:pPr>
        <w:pStyle w:val="ESgauche"/>
        <w:rPr>
          <w:szCs w:val="20"/>
        </w:rPr>
      </w:pPr>
    </w:p>
    <w:p w:rsidR="003F558E" w:rsidRPr="00C903F8" w:rsidRDefault="003F558E" w:rsidP="003F558E">
      <w:pPr>
        <w:pStyle w:val="ESgauche"/>
      </w:pPr>
    </w:p>
    <w:p w:rsidR="00822C1C" w:rsidRPr="00C903F8" w:rsidRDefault="00822C1C" w:rsidP="003F558E">
      <w:pPr>
        <w:pStyle w:val="ES-Titre3"/>
        <w:rPr>
          <w:i/>
        </w:rPr>
      </w:pPr>
      <w:bookmarkStart w:id="104" w:name="_Toc491854052"/>
      <w:bookmarkStart w:id="105" w:name="_Toc535500001"/>
      <w:r>
        <w:t>Articolo 7.11</w:t>
      </w:r>
      <w:r>
        <w:br/>
      </w:r>
      <w:r>
        <w:rPr>
          <w:i/>
        </w:rPr>
        <w:t>Impianti per la manovra delle ancore di poppa</w:t>
      </w:r>
      <w:bookmarkEnd w:id="104"/>
      <w:bookmarkEnd w:id="105"/>
    </w:p>
    <w:p w:rsidR="003F558E" w:rsidRPr="00C903F8" w:rsidRDefault="003F558E" w:rsidP="00822C1C">
      <w:pPr>
        <w:pStyle w:val="ESch"/>
        <w:rPr>
          <w:szCs w:val="20"/>
        </w:rPr>
      </w:pPr>
    </w:p>
    <w:p w:rsidR="00822C1C" w:rsidRPr="00C903F8" w:rsidRDefault="00822C1C" w:rsidP="003F558E">
      <w:pPr>
        <w:pStyle w:val="ESgauche"/>
        <w:rPr>
          <w:szCs w:val="20"/>
        </w:rPr>
      </w:pPr>
      <w:r>
        <w:t>Sulle navi e sui convogli la cui timoneria è attrezzata per la navigazione con radar da parte di una sola persona, la cui lunghezza supera 86 m e la cui larghezza supera 22,90 m, il timoniere deve poter dare fondo alle ancore di poppa dalla sua postazione.</w:t>
      </w:r>
    </w:p>
    <w:p w:rsidR="003F558E" w:rsidRPr="00C903F8" w:rsidRDefault="003F558E" w:rsidP="003F558E">
      <w:pPr>
        <w:pStyle w:val="ESgauche"/>
        <w:rPr>
          <w:szCs w:val="20"/>
        </w:rPr>
      </w:pPr>
    </w:p>
    <w:p w:rsidR="003F558E" w:rsidRPr="00C903F8" w:rsidRDefault="003F558E" w:rsidP="003F558E">
      <w:pPr>
        <w:pStyle w:val="ESgauche"/>
      </w:pPr>
    </w:p>
    <w:p w:rsidR="00B006DB" w:rsidRPr="00C903F8" w:rsidRDefault="00B006DB" w:rsidP="003F558E">
      <w:pPr>
        <w:pStyle w:val="ESgauche"/>
      </w:pPr>
      <w:r>
        <w:br w:type="page"/>
      </w:r>
    </w:p>
    <w:p w:rsidR="008418DC" w:rsidRPr="003B0440" w:rsidRDefault="00822C1C" w:rsidP="003B0440">
      <w:pPr>
        <w:pStyle w:val="ES-Titre3"/>
        <w:rPr>
          <w:i/>
          <w:snapToGrid w:val="0"/>
        </w:rPr>
      </w:pPr>
      <w:bookmarkStart w:id="106" w:name="_Toc491854053"/>
      <w:bookmarkStart w:id="107" w:name="_Toc535500002"/>
      <w:r>
        <w:lastRenderedPageBreak/>
        <w:t>Articolo 7.12</w:t>
      </w:r>
      <w:r>
        <w:br/>
      </w:r>
      <w:r>
        <w:rPr>
          <w:i/>
          <w:snapToGrid w:val="0"/>
        </w:rPr>
        <w:t>Timonerie elevabili</w:t>
      </w:r>
      <w:bookmarkEnd w:id="106"/>
      <w:bookmarkEnd w:id="107"/>
    </w:p>
    <w:p w:rsidR="008418DC" w:rsidRPr="003B0440" w:rsidRDefault="008418DC" w:rsidP="008418DC">
      <w:pPr>
        <w:tabs>
          <w:tab w:val="left" w:pos="851"/>
        </w:tabs>
        <w:adjustRightInd w:val="0"/>
        <w:spacing w:line="240" w:lineRule="atLeast"/>
        <w:ind w:left="0" w:firstLine="0"/>
        <w:jc w:val="center"/>
        <w:rPr>
          <w:rFonts w:cs="Arial"/>
          <w:b/>
          <w:bCs/>
          <w:snapToGrid w:val="0"/>
          <w:szCs w:val="20"/>
        </w:rPr>
      </w:pPr>
    </w:p>
    <w:p w:rsidR="008418DC" w:rsidRPr="009942A5" w:rsidRDefault="008418DC" w:rsidP="001F1AC2">
      <w:pPr>
        <w:pStyle w:val="ESch"/>
      </w:pPr>
      <w:r>
        <w:t>1.</w:t>
      </w:r>
      <w:r>
        <w:tab/>
        <w:t xml:space="preserve">Una timoneria elevabile ad azionamento meccanico e i suoi apparecchi sono progettati in maniera tale da non mettere in pericolo la sicurezza delle persone a bordo. </w:t>
      </w:r>
    </w:p>
    <w:p w:rsidR="008418DC" w:rsidRPr="009942A5" w:rsidRDefault="008418DC" w:rsidP="001F1AC2">
      <w:pPr>
        <w:pStyle w:val="ESch"/>
      </w:pPr>
    </w:p>
    <w:p w:rsidR="008418DC" w:rsidRPr="009942A5" w:rsidRDefault="008418DC" w:rsidP="001F1AC2">
      <w:pPr>
        <w:pStyle w:val="ESch"/>
      </w:pPr>
      <w:r>
        <w:t>2.</w:t>
      </w:r>
      <w:r>
        <w:tab/>
        <w:t xml:space="preserve">Una timoneria elevabile non compromette la stabilità della nave. </w:t>
      </w:r>
    </w:p>
    <w:p w:rsidR="008418DC" w:rsidRPr="009942A5" w:rsidRDefault="008418DC" w:rsidP="001F1AC2">
      <w:pPr>
        <w:pStyle w:val="ESch"/>
      </w:pPr>
    </w:p>
    <w:p w:rsidR="008418DC" w:rsidRPr="009942A5" w:rsidRDefault="008418DC" w:rsidP="001F1AC2">
      <w:pPr>
        <w:pStyle w:val="ESch"/>
      </w:pPr>
      <w:r>
        <w:t>3.</w:t>
      </w:r>
      <w:r>
        <w:tab/>
        <w:t>Le operazioni effettuate dalla timoneria non vengono ostacolate durante il sollevamento e l'abbassamento. Deve essere sempre possibile accedere e lasciare la timoneria senza pericolo, qualunque sia la sua posizione.</w:t>
      </w:r>
    </w:p>
    <w:p w:rsidR="008418DC" w:rsidRPr="009942A5" w:rsidRDefault="008418DC" w:rsidP="001F1AC2">
      <w:pPr>
        <w:pStyle w:val="ESch"/>
      </w:pPr>
    </w:p>
    <w:p w:rsidR="008418DC" w:rsidRPr="009942A5" w:rsidRDefault="008418DC" w:rsidP="001F1AC2">
      <w:pPr>
        <w:pStyle w:val="ESch"/>
      </w:pPr>
      <w:r>
        <w:t>4.</w:t>
      </w:r>
      <w:r>
        <w:tab/>
        <w:t>Deve essere possibile azionare il meccanismo di sollevamento dall'interno della timoneria. Al posto di pilotaggio sono presenti le seguenti indicazioni:</w:t>
      </w:r>
    </w:p>
    <w:p w:rsidR="008418DC" w:rsidRPr="003B0440" w:rsidRDefault="008418DC" w:rsidP="003B0440">
      <w:pPr>
        <w:pStyle w:val="ESlet"/>
      </w:pPr>
      <w:r>
        <w:t xml:space="preserve">a) </w:t>
      </w:r>
      <w:r>
        <w:tab/>
        <w:t>presenza di tensione;</w:t>
      </w:r>
    </w:p>
    <w:p w:rsidR="008418DC" w:rsidRPr="003B0440" w:rsidRDefault="008418DC" w:rsidP="003B0440">
      <w:pPr>
        <w:pStyle w:val="ESlet"/>
      </w:pPr>
      <w:r>
        <w:t xml:space="preserve">b) </w:t>
      </w:r>
      <w:r>
        <w:tab/>
        <w:t>timoneria nella posizione più bassa;</w:t>
      </w:r>
    </w:p>
    <w:p w:rsidR="008418DC" w:rsidRPr="003B0440" w:rsidRDefault="008418DC" w:rsidP="003B0440">
      <w:pPr>
        <w:pStyle w:val="ESlet"/>
      </w:pPr>
      <w:r>
        <w:t xml:space="preserve">c) </w:t>
      </w:r>
      <w:r>
        <w:tab/>
        <w:t>timoneria nella posizione più alta;</w:t>
      </w:r>
    </w:p>
    <w:p w:rsidR="008418DC" w:rsidRPr="003B0440" w:rsidRDefault="008418DC" w:rsidP="003B0440">
      <w:pPr>
        <w:pStyle w:val="ESlet"/>
      </w:pPr>
      <w:r>
        <w:t xml:space="preserve">d) </w:t>
      </w:r>
      <w:r>
        <w:tab/>
        <w:t>timoneria bloccata in posizione fissa (se applicabile).</w:t>
      </w:r>
    </w:p>
    <w:p w:rsidR="008418DC" w:rsidRPr="009942A5" w:rsidRDefault="008418DC" w:rsidP="001F1AC2">
      <w:pPr>
        <w:pStyle w:val="ESch"/>
      </w:pPr>
    </w:p>
    <w:p w:rsidR="008418DC" w:rsidRPr="009942A5" w:rsidRDefault="008418DC" w:rsidP="001F1AC2">
      <w:pPr>
        <w:pStyle w:val="ESch"/>
      </w:pPr>
      <w:r>
        <w:t>5.</w:t>
      </w:r>
      <w:r>
        <w:tab/>
        <w:t>Il meccanismo di sollevamento consente alla timoneria di arrestarsi in tutte le posizioni. Se esiste la possibilità di bloccare la timoneria in una determinata posizione, il meccanismo di sollevamento viene disattivato automaticamente al momento del bloccaggio. Lo sbloccaggio deve essere possibile in tutte le condizioni d'esercizio.</w:t>
      </w:r>
    </w:p>
    <w:p w:rsidR="008418DC" w:rsidRPr="009942A5" w:rsidRDefault="008418DC" w:rsidP="001F1AC2">
      <w:pPr>
        <w:pStyle w:val="ESch"/>
      </w:pPr>
    </w:p>
    <w:p w:rsidR="008418DC" w:rsidRPr="009942A5" w:rsidRDefault="008418DC" w:rsidP="001F1AC2">
      <w:pPr>
        <w:pStyle w:val="ESch"/>
      </w:pPr>
      <w:r>
        <w:t>6.</w:t>
      </w:r>
      <w:r>
        <w:tab/>
        <w:t>Il meccanismo di sollevamento deve essere progettato in maniera tale da non consentire il superamento delle posizioni di fine corsa.</w:t>
      </w:r>
    </w:p>
    <w:p w:rsidR="008418DC" w:rsidRPr="009942A5" w:rsidRDefault="008418DC" w:rsidP="001F1AC2">
      <w:pPr>
        <w:pStyle w:val="ESch"/>
      </w:pPr>
    </w:p>
    <w:p w:rsidR="008418DC" w:rsidRPr="009942A5" w:rsidRDefault="008418DC" w:rsidP="001F1AC2">
      <w:pPr>
        <w:pStyle w:val="ESch"/>
      </w:pPr>
      <w:r>
        <w:t>7.</w:t>
      </w:r>
      <w:r>
        <w:tab/>
        <w:t xml:space="preserve">Occorre adottare accorgimenti per evitare l'abbassamento incontrollato della timoneria. Caratteristiche di protezione adeguate devono essere installate per prevenire il rischio di lesioni che possono derivare dall'abbassamento. Qualsiasi manovra d'abbassamento attiva automaticamente un segnale d'allarme visibile nonché un segnale acustico chiaramente udibile. </w:t>
      </w:r>
    </w:p>
    <w:p w:rsidR="008418DC" w:rsidRPr="009942A5" w:rsidRDefault="008418DC" w:rsidP="001F1AC2">
      <w:pPr>
        <w:pStyle w:val="ESch"/>
      </w:pPr>
    </w:p>
    <w:p w:rsidR="008418DC" w:rsidRPr="009942A5" w:rsidRDefault="008418DC" w:rsidP="001F1AC2">
      <w:pPr>
        <w:pStyle w:val="ESch"/>
      </w:pPr>
      <w:r>
        <w:t>8.</w:t>
      </w:r>
      <w:r>
        <w:tab/>
        <w:t>Le timonerie elevabili devono essere dotate di un sistema di abbassamento di emergenza, indipendente dal normale meccanismo di sollevamento, che può essere utilizzato anche in caso di guasto elettrico. Tale sistema di emergenza deve essere azionato dall'interno della timoneria. Quando si utilizza il sistema di emergenza, la velocità di abbassamento non è inferiore alla velocità di abbassamento in condizioni normali.</w:t>
      </w:r>
    </w:p>
    <w:p w:rsidR="008418DC" w:rsidRPr="009942A5" w:rsidRDefault="008418DC" w:rsidP="001F1AC2">
      <w:pPr>
        <w:pStyle w:val="ESch"/>
      </w:pPr>
    </w:p>
    <w:p w:rsidR="008418DC" w:rsidRPr="009942A5" w:rsidRDefault="008418DC" w:rsidP="001F1AC2">
      <w:pPr>
        <w:pStyle w:val="ESch"/>
      </w:pPr>
      <w:r>
        <w:t>9.</w:t>
      </w:r>
      <w:r>
        <w:tab/>
        <w:t>(Senza oggetto)</w:t>
      </w:r>
    </w:p>
    <w:p w:rsidR="008418DC" w:rsidRPr="009942A5" w:rsidRDefault="008418DC" w:rsidP="001F1AC2">
      <w:pPr>
        <w:pStyle w:val="ESch"/>
      </w:pPr>
    </w:p>
    <w:p w:rsidR="008418DC" w:rsidRPr="009942A5" w:rsidRDefault="008418DC" w:rsidP="001F1AC2">
      <w:pPr>
        <w:pStyle w:val="ESch"/>
      </w:pPr>
      <w:r>
        <w:t>10.</w:t>
      </w:r>
      <w:r>
        <w:tab/>
        <w:t>I tubi flessibili:</w:t>
      </w:r>
    </w:p>
    <w:p w:rsidR="008418DC" w:rsidRPr="009942A5" w:rsidRDefault="008418DC" w:rsidP="001F1AC2">
      <w:pPr>
        <w:pStyle w:val="ESlet"/>
      </w:pPr>
      <w:r>
        <w:t>a)</w:t>
      </w:r>
      <w:r>
        <w:tab/>
        <w:t>sono ammessi solo quando il loro impiego è indispensabile per l’ammortizzamento delle vibrazioni o per la libertà di movimento dei componenti;</w:t>
      </w:r>
    </w:p>
    <w:p w:rsidR="008418DC" w:rsidRPr="009942A5" w:rsidRDefault="008418DC" w:rsidP="001F1AC2">
      <w:pPr>
        <w:pStyle w:val="ESlet"/>
      </w:pPr>
      <w:r>
        <w:t>b)</w:t>
      </w:r>
      <w:r>
        <w:tab/>
        <w:t>devono essere progettati per una pressione pari almeno alla pressione massima di esercizio;</w:t>
      </w:r>
    </w:p>
    <w:p w:rsidR="008418DC" w:rsidRPr="009942A5" w:rsidRDefault="008418DC" w:rsidP="001F1AC2">
      <w:pPr>
        <w:pStyle w:val="ESlet"/>
      </w:pPr>
      <w:r>
        <w:t>c)</w:t>
      </w:r>
      <w:r>
        <w:tab/>
        <w:t xml:space="preserve">devono essere sostituiti almeno ogni otto anni. </w:t>
      </w:r>
    </w:p>
    <w:p w:rsidR="008418DC" w:rsidRPr="003B0440" w:rsidRDefault="008418DC" w:rsidP="008418DC">
      <w:pPr>
        <w:widowControl w:val="0"/>
        <w:autoSpaceDE/>
        <w:autoSpaceDN/>
        <w:rPr>
          <w:rFonts w:cs="Arial"/>
          <w:szCs w:val="20"/>
        </w:rPr>
      </w:pPr>
    </w:p>
    <w:p w:rsidR="008418DC" w:rsidRPr="003B0440" w:rsidRDefault="008418DC" w:rsidP="001F1AC2">
      <w:pPr>
        <w:pStyle w:val="ESch"/>
      </w:pPr>
      <w:r>
        <w:t>11.</w:t>
      </w:r>
      <w:r>
        <w:tab/>
        <w:t xml:space="preserve">Le timonerie elevabili e i loro apparecchi vanno ispezionati regolarmente, ma almeno una volta ogni dodici mesi, da una persona competente. La sicurezza dell'installazione viene stabilita mediante un controllo visivo e un controllo del funzionamento soddisfacente. </w:t>
      </w:r>
    </w:p>
    <w:p w:rsidR="008418DC" w:rsidRPr="003B0440" w:rsidRDefault="008418DC" w:rsidP="003B0440">
      <w:pPr>
        <w:pStyle w:val="ESch"/>
      </w:pPr>
    </w:p>
    <w:p w:rsidR="008418DC" w:rsidRPr="003B0440" w:rsidRDefault="008418DC" w:rsidP="003B0440">
      <w:pPr>
        <w:pStyle w:val="ESch"/>
      </w:pPr>
      <w:r>
        <w:br w:type="page"/>
      </w:r>
    </w:p>
    <w:p w:rsidR="008418DC" w:rsidRPr="003B0440" w:rsidRDefault="008418DC" w:rsidP="001F1AC2">
      <w:pPr>
        <w:pStyle w:val="ESch"/>
      </w:pPr>
      <w:r>
        <w:lastRenderedPageBreak/>
        <w:t>12.</w:t>
      </w:r>
      <w:r>
        <w:tab/>
        <w:t xml:space="preserve">Le timonerie elevabili e i loro apparecchi devono essere sottoposti a ispezione da parte di un esperto: </w:t>
      </w:r>
    </w:p>
    <w:p w:rsidR="008418DC" w:rsidRPr="003B0440" w:rsidRDefault="008418DC" w:rsidP="003B0440">
      <w:pPr>
        <w:pStyle w:val="ESlet"/>
      </w:pPr>
      <w:r>
        <w:t>a)</w:t>
      </w:r>
      <w:r>
        <w:tab/>
        <w:t xml:space="preserve">prima di essere messi in servizio per la prima volta; </w:t>
      </w:r>
    </w:p>
    <w:p w:rsidR="008418DC" w:rsidRPr="003B0440" w:rsidRDefault="008418DC" w:rsidP="003B0440">
      <w:pPr>
        <w:pStyle w:val="ESlet"/>
      </w:pPr>
      <w:r>
        <w:t>b)</w:t>
      </w:r>
      <w:r>
        <w:tab/>
        <w:t>prima di essere messe nuovamente in servizio dopo una modifica o una riparazione importanti; e</w:t>
      </w:r>
    </w:p>
    <w:p w:rsidR="008418DC" w:rsidRPr="003B0440" w:rsidRDefault="008418DC" w:rsidP="003B0440">
      <w:pPr>
        <w:pStyle w:val="ESlet"/>
      </w:pPr>
      <w:r>
        <w:t>c)</w:t>
      </w:r>
      <w:r>
        <w:tab/>
        <w:t>periodicamente, almeno ogni cinque anni.</w:t>
      </w:r>
    </w:p>
    <w:p w:rsidR="003B0440" w:rsidRDefault="003B0440" w:rsidP="003B0440">
      <w:pPr>
        <w:pStyle w:val="ESchpar"/>
      </w:pPr>
    </w:p>
    <w:p w:rsidR="008418DC" w:rsidRPr="003B0440" w:rsidRDefault="008418DC" w:rsidP="003B0440">
      <w:pPr>
        <w:pStyle w:val="ESchpar"/>
      </w:pPr>
      <w:r>
        <w:t>Nel corso di tali ispezioni la dimostrazione dell'adeguatezza</w:t>
      </w:r>
      <w:r w:rsidR="00A16690">
        <w:t xml:space="preserve"> </w:t>
      </w:r>
      <w:r>
        <w:t>della robustezza e della stabilità avviene mediante un calcolo.</w:t>
      </w:r>
    </w:p>
    <w:p w:rsidR="008418DC" w:rsidRPr="003B0440" w:rsidRDefault="008418DC" w:rsidP="003B0440">
      <w:pPr>
        <w:pStyle w:val="ESchpar"/>
      </w:pPr>
    </w:p>
    <w:p w:rsidR="003F558E" w:rsidRPr="003B0440" w:rsidRDefault="008418DC" w:rsidP="003B0440">
      <w:pPr>
        <w:pStyle w:val="ESchpar"/>
      </w:pPr>
      <w:r>
        <w:t>L'esperto che ha effettuato il controllo redige e firma un attestato di ispezione che ne reca la data.</w:t>
      </w:r>
    </w:p>
    <w:p w:rsidR="008418DC" w:rsidRDefault="008418DC" w:rsidP="003B0440">
      <w:pPr>
        <w:pStyle w:val="ESch"/>
      </w:pPr>
    </w:p>
    <w:p w:rsidR="008418DC" w:rsidRDefault="008418DC" w:rsidP="003B0440">
      <w:pPr>
        <w:pStyle w:val="ESch"/>
      </w:pPr>
    </w:p>
    <w:p w:rsidR="00822C1C" w:rsidRPr="00C903F8" w:rsidRDefault="00822C1C" w:rsidP="003F558E">
      <w:pPr>
        <w:pStyle w:val="ES-Titre3"/>
        <w:rPr>
          <w:i/>
        </w:rPr>
      </w:pPr>
      <w:bookmarkStart w:id="108" w:name="_Toc491854054"/>
      <w:bookmarkStart w:id="109" w:name="_Toc535500003"/>
      <w:r>
        <w:t>Articolo 7.13</w:t>
      </w:r>
      <w:r>
        <w:br/>
      </w:r>
      <w:r>
        <w:rPr>
          <w:i/>
        </w:rPr>
        <w:t>Annotazione nel certificato per la navigazione interna delle navi dotate di timoneria attrezzata per la navigazione con radar da parte di una sola persona</w:t>
      </w:r>
      <w:bookmarkEnd w:id="108"/>
      <w:bookmarkEnd w:id="109"/>
    </w:p>
    <w:p w:rsidR="003F558E" w:rsidRPr="00C903F8" w:rsidRDefault="003F558E" w:rsidP="00822C1C">
      <w:pPr>
        <w:pStyle w:val="ESch"/>
        <w:rPr>
          <w:szCs w:val="20"/>
        </w:rPr>
      </w:pPr>
    </w:p>
    <w:p w:rsidR="00822C1C" w:rsidRPr="00C903F8" w:rsidRDefault="00822C1C" w:rsidP="003F558E">
      <w:pPr>
        <w:pStyle w:val="ESgauche"/>
      </w:pPr>
      <w:r>
        <w:t>Quando la nave è conforme alle disposizioni particolari concernenti le timonerie attrezzate per la navigazione con radar da parte di una sola persona di cui all'articolo 7.01, paragrafo 3, all'articolo 7.04, paragrafi 5 e 6, all'articolo 7.05, paragrafi 3 e 4, all'articolo 7.06, paragrafo 2, all'articolo 7.07, all'articolo 7.08 e all'articolo 7.11, nel certificato per la navigazione interna è riportata la seguente menzione:</w:t>
      </w:r>
    </w:p>
    <w:p w:rsidR="003F558E" w:rsidRPr="00C903F8" w:rsidRDefault="003F558E" w:rsidP="003F558E">
      <w:pPr>
        <w:pStyle w:val="ESgauche"/>
        <w:rPr>
          <w:szCs w:val="20"/>
        </w:rPr>
      </w:pPr>
    </w:p>
    <w:p w:rsidR="00822C1C" w:rsidRPr="00C903F8" w:rsidRDefault="00BF7908" w:rsidP="003F558E">
      <w:pPr>
        <w:pStyle w:val="ESgauche"/>
        <w:jc w:val="center"/>
      </w:pPr>
      <w:r>
        <w:t>"</w:t>
      </w:r>
      <w:r w:rsidR="00461781">
        <w:t>La nave è dotata di una timoneria attrezzata per la navigazione con radar da parte di una sola persona.</w:t>
      </w:r>
      <w:r>
        <w:t>"</w:t>
      </w:r>
    </w:p>
    <w:p w:rsidR="00DC11E8" w:rsidRPr="00C903F8" w:rsidRDefault="00DC11E8" w:rsidP="00E35772">
      <w:pPr>
        <w:spacing w:line="240" w:lineRule="atLeast"/>
        <w:ind w:left="567" w:hanging="567"/>
        <w:rPr>
          <w:noProof/>
          <w:szCs w:val="20"/>
        </w:rPr>
      </w:pPr>
    </w:p>
    <w:p w:rsidR="00DC11E8" w:rsidRPr="00C903F8" w:rsidRDefault="00DC11E8" w:rsidP="00E35772">
      <w:pPr>
        <w:spacing w:line="240" w:lineRule="atLeast"/>
        <w:ind w:left="567" w:hanging="567"/>
        <w:rPr>
          <w:noProof/>
        </w:rPr>
      </w:pPr>
    </w:p>
    <w:p w:rsidR="005344DA" w:rsidRPr="00C903F8" w:rsidRDefault="006D6907" w:rsidP="00E35772">
      <w:pPr>
        <w:spacing w:line="240" w:lineRule="atLeast"/>
        <w:ind w:left="567" w:hanging="567"/>
        <w:rPr>
          <w:noProof/>
        </w:rPr>
      </w:pPr>
      <w:r>
        <w:br w:type="page"/>
      </w:r>
    </w:p>
    <w:p w:rsidR="00763ADA" w:rsidRPr="00C903F8" w:rsidRDefault="00E24808" w:rsidP="00763ADA">
      <w:pPr>
        <w:pStyle w:val="ES-Titre2"/>
      </w:pPr>
      <w:bookmarkStart w:id="110" w:name="_Toc491854055"/>
      <w:bookmarkStart w:id="111" w:name="_Toc535500004"/>
      <w:r>
        <w:lastRenderedPageBreak/>
        <w:t>Capo 8</w:t>
      </w:r>
      <w:r>
        <w:br/>
        <w:t>Costruzione delle macchine</w:t>
      </w:r>
      <w:bookmarkEnd w:id="110"/>
      <w:bookmarkEnd w:id="111"/>
    </w:p>
    <w:p w:rsidR="00E24808" w:rsidRPr="00C903F8" w:rsidRDefault="00E24808" w:rsidP="00E24808">
      <w:pPr>
        <w:rPr>
          <w:rFonts w:cs="Arial"/>
          <w:b/>
          <w:i/>
          <w:noProof/>
          <w:szCs w:val="20"/>
        </w:rPr>
      </w:pPr>
    </w:p>
    <w:p w:rsidR="00E24808" w:rsidRPr="00C903F8" w:rsidRDefault="00E24808" w:rsidP="00E24808">
      <w:pPr>
        <w:pStyle w:val="ES-Titre3"/>
      </w:pPr>
      <w:bookmarkStart w:id="112" w:name="_Toc491854056"/>
      <w:bookmarkStart w:id="113" w:name="_Toc535500005"/>
      <w:r>
        <w:t>Articolo 8.01</w:t>
      </w:r>
      <w:r>
        <w:br/>
      </w:r>
      <w:r>
        <w:rPr>
          <w:i/>
          <w:noProof/>
        </w:rPr>
        <w:t>Aspetti generali</w:t>
      </w:r>
      <w:bookmarkEnd w:id="112"/>
      <w:bookmarkEnd w:id="113"/>
    </w:p>
    <w:p w:rsidR="00266522" w:rsidRPr="00C903F8" w:rsidRDefault="00266522" w:rsidP="00E24808">
      <w:pPr>
        <w:rPr>
          <w:rFonts w:cs="Arial"/>
          <w:noProof/>
          <w:szCs w:val="20"/>
        </w:rPr>
      </w:pPr>
    </w:p>
    <w:p w:rsidR="00E24808" w:rsidRPr="00C903F8" w:rsidRDefault="00E24808" w:rsidP="00266522">
      <w:pPr>
        <w:pStyle w:val="ESch"/>
      </w:pPr>
      <w:r>
        <w:t>1.</w:t>
      </w:r>
      <w:r>
        <w:tab/>
        <w:t>Le macchine e i macchinari ausiliari sono progettati, costruiti e installati a regola d'arte.</w:t>
      </w:r>
    </w:p>
    <w:p w:rsidR="000B60B9" w:rsidRPr="00C903F8" w:rsidRDefault="000B60B9" w:rsidP="00266522">
      <w:pPr>
        <w:pStyle w:val="ESch"/>
        <w:rPr>
          <w:noProof/>
        </w:rPr>
      </w:pPr>
    </w:p>
    <w:p w:rsidR="00E24808" w:rsidRPr="00C903F8" w:rsidRDefault="00E24808" w:rsidP="00266522">
      <w:pPr>
        <w:pStyle w:val="ESch"/>
      </w:pPr>
      <w:r>
        <w:t>2.</w:t>
      </w:r>
      <w:r>
        <w:tab/>
        <w:t>I serbatoi sotto pressione necessari per il funzionamento della nave sono controllati da un esperto che ne verifica la sicurezza ai fini del funzionamento:</w:t>
      </w:r>
    </w:p>
    <w:p w:rsidR="00E24808" w:rsidRPr="00C903F8" w:rsidRDefault="005C7859" w:rsidP="00266522">
      <w:pPr>
        <w:pStyle w:val="ESlet"/>
      </w:pPr>
      <w:r>
        <w:t>a)</w:t>
      </w:r>
      <w:r>
        <w:tab/>
        <w:t>prima di essere messi in servizio per la prima volta;</w:t>
      </w:r>
    </w:p>
    <w:p w:rsidR="00E24808" w:rsidRPr="00C903F8" w:rsidRDefault="005C7859" w:rsidP="00266522">
      <w:pPr>
        <w:pStyle w:val="ESlet"/>
      </w:pPr>
      <w:r>
        <w:t>b)</w:t>
      </w:r>
      <w:r>
        <w:tab/>
        <w:t>prima di essere reimmessi in servizio dopo una modifica o una riparazione; e</w:t>
      </w:r>
    </w:p>
    <w:p w:rsidR="00E24808" w:rsidRPr="00C903F8" w:rsidRDefault="005C7859" w:rsidP="00266522">
      <w:pPr>
        <w:pStyle w:val="ESlet"/>
      </w:pPr>
      <w:r>
        <w:t>c)</w:t>
      </w:r>
      <w:r>
        <w:tab/>
        <w:t>periodicamente, almeno ogni cinque anni.</w:t>
      </w:r>
    </w:p>
    <w:p w:rsidR="000B60B9" w:rsidRPr="00C903F8" w:rsidRDefault="000B60B9" w:rsidP="00E24808">
      <w:pPr>
        <w:rPr>
          <w:rFonts w:cs="Arial"/>
          <w:noProof/>
          <w:szCs w:val="20"/>
        </w:rPr>
      </w:pPr>
    </w:p>
    <w:p w:rsidR="00E24808" w:rsidRPr="00C903F8" w:rsidRDefault="00E24808" w:rsidP="00266522">
      <w:pPr>
        <w:pStyle w:val="ESchpar"/>
      </w:pPr>
      <w:r>
        <w:t>L’ispezione prevede una verifica interna e una esterna. I serbatoi ad aria compressa il cui interno non può essere adeguatamente ispezionato o le cui condizioni non possono essere verificate con chiarezza nel corso dell’ispezione interna, devono essere sottoposti ad un ulteriore controllo non distruttivo o ad una prova di pressione idraulica.</w:t>
      </w:r>
    </w:p>
    <w:p w:rsidR="000B60B9" w:rsidRPr="00C903F8" w:rsidRDefault="000B60B9" w:rsidP="00266522">
      <w:pPr>
        <w:pStyle w:val="ESchpar"/>
        <w:rPr>
          <w:noProof/>
        </w:rPr>
      </w:pPr>
    </w:p>
    <w:p w:rsidR="00E24808" w:rsidRPr="00C903F8" w:rsidRDefault="00E24808" w:rsidP="00266522">
      <w:pPr>
        <w:pStyle w:val="ESchpar"/>
      </w:pPr>
      <w:r>
        <w:t>L'esperto che ha effettuato il controllo redige e firma un attestato di ispezione che ne reca la data.</w:t>
      </w:r>
    </w:p>
    <w:p w:rsidR="000B60B9" w:rsidRPr="00C903F8" w:rsidRDefault="000B60B9" w:rsidP="00266522">
      <w:pPr>
        <w:pStyle w:val="ESchpar"/>
        <w:rPr>
          <w:noProof/>
        </w:rPr>
      </w:pPr>
    </w:p>
    <w:p w:rsidR="00E24808" w:rsidRPr="00C903F8" w:rsidRDefault="00D329B3" w:rsidP="00266522">
      <w:pPr>
        <w:pStyle w:val="ESchpar"/>
        <w:rPr>
          <w:noProof/>
        </w:rPr>
      </w:pPr>
      <w:r>
        <w:t>Gli altri impianti che richiedono un controllo periodico, in particolare caldaie, altri serbatoi sotto pressione e i relativi accessori, nonché gli ascensori, sono conformi alla normativa vigente in uno degli Stati membri.</w:t>
      </w:r>
    </w:p>
    <w:p w:rsidR="000B60B9" w:rsidRPr="00C903F8" w:rsidRDefault="000B60B9" w:rsidP="00266522">
      <w:pPr>
        <w:pStyle w:val="ESchpar"/>
      </w:pPr>
    </w:p>
    <w:p w:rsidR="00E24808" w:rsidRPr="00C903F8" w:rsidRDefault="00E24808" w:rsidP="00266522">
      <w:pPr>
        <w:pStyle w:val="ESch"/>
      </w:pPr>
      <w:r>
        <w:t>3.</w:t>
      </w:r>
      <w:r>
        <w:tab/>
        <w:t>È consentita l'installazione soltanto di motori a combustione interna funzionanti con combustibile avente un punto di infiammabilità superiore a 55 °C.</w:t>
      </w:r>
    </w:p>
    <w:p w:rsidR="00E24808" w:rsidRPr="00C903F8" w:rsidRDefault="00E24808" w:rsidP="00E24808">
      <w:pPr>
        <w:rPr>
          <w:rFonts w:cs="Arial"/>
          <w:szCs w:val="20"/>
        </w:rPr>
      </w:pPr>
    </w:p>
    <w:p w:rsidR="000B60B9" w:rsidRPr="00C903F8" w:rsidRDefault="000B60B9" w:rsidP="00E24808">
      <w:pPr>
        <w:rPr>
          <w:rFonts w:cs="Arial"/>
          <w:szCs w:val="20"/>
        </w:rPr>
      </w:pPr>
    </w:p>
    <w:p w:rsidR="00E24808" w:rsidRPr="00C903F8" w:rsidRDefault="00E24808" w:rsidP="000B60B9">
      <w:pPr>
        <w:pStyle w:val="ES-Titre3"/>
      </w:pPr>
      <w:bookmarkStart w:id="114" w:name="_Toc491854057"/>
      <w:bookmarkStart w:id="115" w:name="_Toc535500006"/>
      <w:r>
        <w:t>Articolo 8.02</w:t>
      </w:r>
      <w:r>
        <w:br/>
      </w:r>
      <w:r>
        <w:rPr>
          <w:i/>
          <w:noProof/>
        </w:rPr>
        <w:t>Dispositivi di sicurezza</w:t>
      </w:r>
      <w:bookmarkEnd w:id="114"/>
      <w:bookmarkEnd w:id="115"/>
    </w:p>
    <w:p w:rsidR="000B60B9" w:rsidRPr="00C903F8" w:rsidRDefault="000B60B9" w:rsidP="00E24808">
      <w:pPr>
        <w:rPr>
          <w:rFonts w:cs="Arial"/>
          <w:noProof/>
          <w:szCs w:val="20"/>
        </w:rPr>
      </w:pPr>
    </w:p>
    <w:p w:rsidR="00E24808" w:rsidRPr="00C903F8" w:rsidRDefault="00E24808" w:rsidP="00266522">
      <w:pPr>
        <w:pStyle w:val="ESch"/>
      </w:pPr>
      <w:r>
        <w:t>1.</w:t>
      </w:r>
      <w:r>
        <w:tab/>
        <w:t>Le macchine sono installate e allestite in modo da essere facilmente accessibili per il funzionamento e la manutenzione senza mettere in pericolo gli addetti ai lavori; esse devono poter essere garantite contro un avviamento accidentale.</w:t>
      </w:r>
    </w:p>
    <w:p w:rsidR="000B60B9" w:rsidRPr="00C903F8" w:rsidRDefault="000B60B9" w:rsidP="00266522">
      <w:pPr>
        <w:pStyle w:val="ESch"/>
        <w:rPr>
          <w:noProof/>
        </w:rPr>
      </w:pPr>
    </w:p>
    <w:p w:rsidR="00E24808" w:rsidRPr="00C903F8" w:rsidRDefault="00E24808" w:rsidP="00266522">
      <w:pPr>
        <w:pStyle w:val="ESch"/>
      </w:pPr>
      <w:r>
        <w:t>2.</w:t>
      </w:r>
      <w:r>
        <w:tab/>
        <w:t>I motori principali, le macchine ausiliarie, le caldaie e i serbatoi sotto pressione, e relativi accessori, sono dotati di dispositivi di sicurezza.</w:t>
      </w:r>
    </w:p>
    <w:p w:rsidR="000B60B9" w:rsidRPr="00C903F8" w:rsidRDefault="000B60B9" w:rsidP="00266522">
      <w:pPr>
        <w:pStyle w:val="ESch"/>
        <w:rPr>
          <w:noProof/>
        </w:rPr>
      </w:pPr>
    </w:p>
    <w:p w:rsidR="00E24808" w:rsidRPr="00C903F8" w:rsidRDefault="00E24808" w:rsidP="00266522">
      <w:pPr>
        <w:pStyle w:val="ESch"/>
      </w:pPr>
      <w:r>
        <w:t>3.</w:t>
      </w:r>
      <w:r>
        <w:tab/>
        <w:t>In caso di emergenza, i motori che azionano i ventilatori e gli aspiratori possono inoltre essere arrestati dall'esterno dei locali in cui sono situati e dall'esterno della sala macchine.</w:t>
      </w:r>
    </w:p>
    <w:p w:rsidR="000B60B9" w:rsidRPr="00C903F8" w:rsidRDefault="000B60B9" w:rsidP="00266522">
      <w:pPr>
        <w:pStyle w:val="ESch"/>
        <w:rPr>
          <w:noProof/>
        </w:rPr>
      </w:pPr>
    </w:p>
    <w:p w:rsidR="00E24808" w:rsidRPr="00C903F8" w:rsidRDefault="00E24808" w:rsidP="00266522">
      <w:pPr>
        <w:pStyle w:val="ESch"/>
      </w:pPr>
      <w:r>
        <w:t>4.</w:t>
      </w:r>
      <w:r>
        <w:tab/>
        <w:t>Se necessario, i raccordi delle tubolature che trasportano olio combustibile, olio lubrificante e oli utilizzati negli impianti di trasmissione di energia, negli impianti di comando e attivazione nonché negli impianti di riscaldamento sono schermati ovvero protetti in altro modo idoneo al fine di evitare spruzzi o perdite di olio su superfici calde, nelle prese d'aria delle macchine o altre sorgenti di accensione. Il numero dei raccordi in tali sistemi di tubature è mantenuto al minimo.</w:t>
      </w:r>
    </w:p>
    <w:p w:rsidR="000B60B9" w:rsidRPr="00C903F8" w:rsidRDefault="000B60B9" w:rsidP="00266522">
      <w:pPr>
        <w:pStyle w:val="ESch"/>
        <w:rPr>
          <w:noProof/>
        </w:rPr>
      </w:pPr>
    </w:p>
    <w:p w:rsidR="00266522" w:rsidRPr="00C903F8" w:rsidRDefault="00266522" w:rsidP="00266522">
      <w:pPr>
        <w:pStyle w:val="ESch"/>
        <w:rPr>
          <w:noProof/>
        </w:rPr>
      </w:pPr>
      <w:r>
        <w:br w:type="page"/>
      </w:r>
    </w:p>
    <w:p w:rsidR="00E24808" w:rsidRPr="00C903F8" w:rsidRDefault="00E24808" w:rsidP="00266522">
      <w:pPr>
        <w:pStyle w:val="ESch"/>
      </w:pPr>
      <w:r>
        <w:lastRenderedPageBreak/>
        <w:t>5.</w:t>
      </w:r>
      <w:r>
        <w:tab/>
        <w:t>Le tubolature del combustibile esterne ad alta pressione dei motori diesel, tra le pompe del combustibile e gli iniettori di combustibile ad alta pressione, sono protette mediante un sistema di tubature a doppia parete in grado di contenere il combustibile fuoriuscito in seguito a rottura del tubo ad alta pressione. Il sistema di tubature a doppia parete è provvisto di un dispositivo di raccolta delle perdite e di dispositivi di allarme in caso di rottura del tubo del combustibile. I dispositivi di allarme non sono richiesti per le macchine aventi non più di due cilindri. I sistemi di tubature a doppia parete non sono necessari per i motori su ponti aperti che azionano verricelli e argani.</w:t>
      </w:r>
    </w:p>
    <w:p w:rsidR="000B60B9" w:rsidRPr="00C903F8" w:rsidRDefault="000B60B9" w:rsidP="00E24808">
      <w:pPr>
        <w:rPr>
          <w:rFonts w:cs="Arial"/>
          <w:noProof/>
          <w:szCs w:val="20"/>
        </w:rPr>
      </w:pPr>
    </w:p>
    <w:p w:rsidR="00E24808" w:rsidRPr="00C903F8" w:rsidRDefault="00E24808" w:rsidP="00266522">
      <w:pPr>
        <w:pStyle w:val="ESch"/>
      </w:pPr>
      <w:r>
        <w:t>6.</w:t>
      </w:r>
      <w:r>
        <w:tab/>
        <w:t>L'isolamento di parti di macchine è conforme ai requisiti di cui all'articolo 3.04, paragrafo 3, secondo comma.</w:t>
      </w:r>
    </w:p>
    <w:p w:rsidR="00E24808" w:rsidRPr="00C903F8" w:rsidRDefault="00E24808" w:rsidP="00E24808">
      <w:pPr>
        <w:rPr>
          <w:rFonts w:cs="Arial"/>
          <w:szCs w:val="20"/>
        </w:rPr>
      </w:pPr>
    </w:p>
    <w:p w:rsidR="00266522" w:rsidRPr="00C903F8" w:rsidRDefault="00266522" w:rsidP="00E24808">
      <w:pPr>
        <w:rPr>
          <w:rFonts w:cs="Arial"/>
          <w:szCs w:val="20"/>
        </w:rPr>
      </w:pPr>
    </w:p>
    <w:p w:rsidR="00E24808" w:rsidRPr="00C903F8" w:rsidRDefault="00E24808" w:rsidP="000B60B9">
      <w:pPr>
        <w:pStyle w:val="ES-Titre3"/>
      </w:pPr>
      <w:bookmarkStart w:id="116" w:name="_Toc491854058"/>
      <w:bookmarkStart w:id="117" w:name="_Toc535500007"/>
      <w:r>
        <w:t>Articolo 8.03</w:t>
      </w:r>
      <w:r>
        <w:br/>
      </w:r>
      <w:r>
        <w:rPr>
          <w:i/>
          <w:noProof/>
        </w:rPr>
        <w:t>Sistemi di propulsione</w:t>
      </w:r>
      <w:bookmarkEnd w:id="116"/>
      <w:bookmarkEnd w:id="117"/>
    </w:p>
    <w:p w:rsidR="000B60B9" w:rsidRPr="00C903F8" w:rsidRDefault="000B60B9" w:rsidP="00E24808">
      <w:pPr>
        <w:rPr>
          <w:rFonts w:cs="Arial"/>
          <w:noProof/>
          <w:szCs w:val="20"/>
        </w:rPr>
      </w:pPr>
    </w:p>
    <w:p w:rsidR="00E24808" w:rsidRPr="00C903F8" w:rsidRDefault="00E24808" w:rsidP="00266522">
      <w:pPr>
        <w:pStyle w:val="ESch"/>
      </w:pPr>
      <w:r>
        <w:t>1.</w:t>
      </w:r>
      <w:r>
        <w:tab/>
        <w:t>La propulsione della nave deve poter essere avviata, arrestata o invertita in modo sicuro e rapido.</w:t>
      </w:r>
    </w:p>
    <w:p w:rsidR="000B60B9" w:rsidRPr="00C903F8" w:rsidRDefault="000B60B9" w:rsidP="00266522">
      <w:pPr>
        <w:pStyle w:val="ESch"/>
      </w:pPr>
    </w:p>
    <w:p w:rsidR="00E24808" w:rsidRPr="00C903F8" w:rsidRDefault="00E24808" w:rsidP="00266522">
      <w:pPr>
        <w:pStyle w:val="ESch"/>
      </w:pPr>
      <w:r>
        <w:t>2.</w:t>
      </w:r>
      <w:r>
        <w:tab/>
        <w:t>I seguenti aspetti sono controllati da appositi dispositivi che attivano un allarme quando viene raggiunto un livello critico:</w:t>
      </w:r>
    </w:p>
    <w:p w:rsidR="00E24808" w:rsidRPr="00C903F8" w:rsidRDefault="005C7859" w:rsidP="00266522">
      <w:pPr>
        <w:pStyle w:val="ESlet"/>
      </w:pPr>
      <w:r>
        <w:t>a)</w:t>
      </w:r>
      <w:r>
        <w:tab/>
        <w:t>la temperatura dell'acqua di raffreddamento dei motori principali;</w:t>
      </w:r>
    </w:p>
    <w:p w:rsidR="00E24808" w:rsidRPr="00C903F8" w:rsidRDefault="005C7859" w:rsidP="00266522">
      <w:pPr>
        <w:pStyle w:val="ESlet"/>
      </w:pPr>
      <w:r>
        <w:t>b)</w:t>
      </w:r>
      <w:r>
        <w:tab/>
        <w:t>il livello della pressione dell'olio lubrificante dei motori principali e degli organi di trasmissione;</w:t>
      </w:r>
    </w:p>
    <w:p w:rsidR="00E24808" w:rsidRPr="00C903F8" w:rsidRDefault="005C7859" w:rsidP="00266522">
      <w:pPr>
        <w:pStyle w:val="ESlet"/>
      </w:pPr>
      <w:r>
        <w:t>c)</w:t>
      </w:r>
      <w:r>
        <w:tab/>
        <w:t>la pressione dell'olio e la pressione dell'aria dei dispositivi d'inversione dei motori principali, degli organi di trasmissione reversibile o delle eliche.</w:t>
      </w:r>
    </w:p>
    <w:p w:rsidR="000B60B9" w:rsidRPr="00C903F8" w:rsidRDefault="000B60B9" w:rsidP="00266522">
      <w:pPr>
        <w:pStyle w:val="ESch"/>
        <w:rPr>
          <w:noProof/>
        </w:rPr>
      </w:pPr>
    </w:p>
    <w:p w:rsidR="00E24808" w:rsidRPr="00C903F8" w:rsidRDefault="00E24808" w:rsidP="00266522">
      <w:pPr>
        <w:pStyle w:val="ESch"/>
      </w:pPr>
      <w:r>
        <w:t>3.</w:t>
      </w:r>
      <w:r>
        <w:tab/>
        <w:t>Nel caso di navi dotate di un solo motore di propulsione, il motore non può essere spento automaticamente se non a fine di protezione contro la sovravelocità.</w:t>
      </w:r>
    </w:p>
    <w:p w:rsidR="000B60B9" w:rsidRPr="00C903F8" w:rsidRDefault="000B60B9" w:rsidP="00266522">
      <w:pPr>
        <w:pStyle w:val="ESch"/>
        <w:rPr>
          <w:noProof/>
        </w:rPr>
      </w:pPr>
    </w:p>
    <w:p w:rsidR="00E24808" w:rsidRPr="00C903F8" w:rsidRDefault="00E24808" w:rsidP="00266522">
      <w:pPr>
        <w:pStyle w:val="ESch"/>
      </w:pPr>
      <w:r>
        <w:t>4.</w:t>
      </w:r>
      <w:r>
        <w:tab/>
        <w:t>Nelle navi con un solo motore di propulsione, tale motore può essere dotato di un dispositivo automatico per la riduzione della velocità soltanto se detta riduzione è segnalata sia otticamente che acusticamente nella timoneria e il dispositivo per la riduzione della velocità può essere spento dalla postazione del timoniere.</w:t>
      </w:r>
    </w:p>
    <w:p w:rsidR="000B60B9" w:rsidRPr="00C903F8" w:rsidRDefault="000B60B9" w:rsidP="00266522">
      <w:pPr>
        <w:pStyle w:val="ESch"/>
        <w:rPr>
          <w:noProof/>
        </w:rPr>
      </w:pPr>
    </w:p>
    <w:p w:rsidR="00E24808" w:rsidRPr="00C903F8" w:rsidRDefault="00E24808" w:rsidP="00266522">
      <w:pPr>
        <w:pStyle w:val="ESch"/>
      </w:pPr>
      <w:r>
        <w:t>5.</w:t>
      </w:r>
      <w:r>
        <w:tab/>
        <w:t>I passaggi dell'albero sono progettati in modo da prevenire la fuoriuscita di lubrificanti inquinanti per l'acqua.</w:t>
      </w:r>
    </w:p>
    <w:p w:rsidR="00E24808" w:rsidRPr="00C903F8" w:rsidRDefault="00E24808" w:rsidP="00E24808">
      <w:pPr>
        <w:rPr>
          <w:rFonts w:cs="Arial"/>
          <w:szCs w:val="20"/>
        </w:rPr>
      </w:pPr>
    </w:p>
    <w:p w:rsidR="00E24808" w:rsidRPr="00C903F8" w:rsidRDefault="00E24808" w:rsidP="000B60B9">
      <w:pPr>
        <w:pStyle w:val="ES-Titre3"/>
        <w:rPr>
          <w:i/>
        </w:rPr>
      </w:pPr>
      <w:bookmarkStart w:id="118" w:name="_Toc491854059"/>
      <w:bookmarkStart w:id="119" w:name="_Toc535500008"/>
      <w:r>
        <w:t>Articolo 8.04</w:t>
      </w:r>
      <w:r>
        <w:br/>
      </w:r>
      <w:r>
        <w:rPr>
          <w:i/>
          <w:noProof/>
        </w:rPr>
        <w:t>Sistema di scarico del motore</w:t>
      </w:r>
      <w:bookmarkEnd w:id="118"/>
      <w:bookmarkEnd w:id="119"/>
    </w:p>
    <w:p w:rsidR="000B60B9" w:rsidRPr="00C903F8" w:rsidRDefault="000B60B9" w:rsidP="00E24808">
      <w:pPr>
        <w:rPr>
          <w:rFonts w:cs="Arial"/>
          <w:noProof/>
          <w:szCs w:val="20"/>
        </w:rPr>
      </w:pPr>
    </w:p>
    <w:p w:rsidR="00E24808" w:rsidRPr="00C903F8" w:rsidRDefault="00E24808" w:rsidP="00266522">
      <w:pPr>
        <w:pStyle w:val="ESch"/>
      </w:pPr>
      <w:r>
        <w:t>1.</w:t>
      </w:r>
      <w:r>
        <w:tab/>
        <w:t>I gas di scarico sono interamente convogliati fuori bordo.</w:t>
      </w:r>
    </w:p>
    <w:p w:rsidR="000B60B9" w:rsidRPr="00C903F8" w:rsidRDefault="000B60B9" w:rsidP="00266522">
      <w:pPr>
        <w:pStyle w:val="ESch"/>
        <w:rPr>
          <w:noProof/>
        </w:rPr>
      </w:pPr>
    </w:p>
    <w:p w:rsidR="00E24808" w:rsidRPr="00C903F8" w:rsidRDefault="00E24808" w:rsidP="00266522">
      <w:pPr>
        <w:pStyle w:val="ESch"/>
      </w:pPr>
      <w:r>
        <w:t>2.</w:t>
      </w:r>
      <w:r>
        <w:tab/>
        <w:t>Sono adottate tutte le misure necessarie per evitare la penetrazione dei gas di scarico nei vari compartimenti. I tubi di scarico che attraversano gli alloggi o la timoneria sono rivestiti, all'interno di questi locali, da un manicotto di protezione stagno al gas. Lo spazio compreso fra il tubo di scarico e tale manicotto comunica con l'aria aperta.</w:t>
      </w:r>
    </w:p>
    <w:p w:rsidR="000B60B9" w:rsidRPr="00C903F8" w:rsidRDefault="000B60B9" w:rsidP="00266522">
      <w:pPr>
        <w:pStyle w:val="ESch"/>
        <w:rPr>
          <w:noProof/>
        </w:rPr>
      </w:pPr>
    </w:p>
    <w:p w:rsidR="00E24808" w:rsidRPr="00C903F8" w:rsidRDefault="00E24808" w:rsidP="00266522">
      <w:pPr>
        <w:pStyle w:val="ESch"/>
      </w:pPr>
      <w:r>
        <w:t>3.</w:t>
      </w:r>
      <w:r>
        <w:tab/>
        <w:t>I tubi di scarico sono disposti e protetti in modo da non poter provocare incendi.</w:t>
      </w:r>
    </w:p>
    <w:p w:rsidR="000B60B9" w:rsidRPr="00C903F8" w:rsidRDefault="000B60B9" w:rsidP="00266522">
      <w:pPr>
        <w:pStyle w:val="ESch"/>
        <w:rPr>
          <w:noProof/>
        </w:rPr>
      </w:pPr>
    </w:p>
    <w:p w:rsidR="00E24808" w:rsidRPr="00C903F8" w:rsidRDefault="00E24808" w:rsidP="00266522">
      <w:pPr>
        <w:pStyle w:val="ESch"/>
      </w:pPr>
      <w:r>
        <w:t>4.</w:t>
      </w:r>
      <w:r>
        <w:tab/>
        <w:t>Nelle sale macchine i tubi di scarico sono opportunamente isolati o raffreddati. All'esterno delle sale macchine può essere sufficiente una protezione contro i contatti accidentali.</w:t>
      </w:r>
    </w:p>
    <w:p w:rsidR="00E24808" w:rsidRPr="00C903F8" w:rsidRDefault="00E24808" w:rsidP="00E24808">
      <w:pPr>
        <w:rPr>
          <w:rFonts w:cs="Arial"/>
          <w:szCs w:val="20"/>
        </w:rPr>
      </w:pPr>
    </w:p>
    <w:p w:rsidR="000B60B9" w:rsidRPr="00C903F8" w:rsidRDefault="00266522" w:rsidP="00E24808">
      <w:pPr>
        <w:rPr>
          <w:rFonts w:cs="Arial"/>
          <w:szCs w:val="20"/>
        </w:rPr>
      </w:pPr>
      <w:r>
        <w:br w:type="page"/>
      </w:r>
    </w:p>
    <w:p w:rsidR="00E24808" w:rsidRPr="00C903F8" w:rsidRDefault="00E24808" w:rsidP="000B60B9">
      <w:pPr>
        <w:pStyle w:val="ES-Titre3"/>
      </w:pPr>
      <w:bookmarkStart w:id="120" w:name="_Toc491854060"/>
      <w:bookmarkStart w:id="121" w:name="_Toc535500009"/>
      <w:r>
        <w:lastRenderedPageBreak/>
        <w:t>Articolo 8.05</w:t>
      </w:r>
      <w:r>
        <w:br/>
      </w:r>
      <w:r>
        <w:rPr>
          <w:i/>
          <w:noProof/>
        </w:rPr>
        <w:t>Serbatoi per il combustibile, tubature e accessori</w:t>
      </w:r>
      <w:bookmarkEnd w:id="120"/>
      <w:bookmarkEnd w:id="121"/>
    </w:p>
    <w:p w:rsidR="000B60B9" w:rsidRPr="00C903F8" w:rsidRDefault="000B60B9" w:rsidP="00E24808">
      <w:pPr>
        <w:rPr>
          <w:rFonts w:cs="Arial"/>
          <w:noProof/>
          <w:szCs w:val="20"/>
        </w:rPr>
      </w:pPr>
    </w:p>
    <w:p w:rsidR="00E24808" w:rsidRPr="00C903F8" w:rsidRDefault="000B60B9" w:rsidP="00266522">
      <w:pPr>
        <w:pStyle w:val="ESch"/>
        <w:rPr>
          <w:noProof/>
        </w:rPr>
      </w:pPr>
      <w:r>
        <w:t xml:space="preserve">1. </w:t>
      </w:r>
      <w:r>
        <w:tab/>
        <w:t>I combustibili liquidi sono immagazzinati in serbatoi in acciaio, che costituiscono parte integrante dello scafo o sono ad esso solidamente fissati. Se il progetto della nave lo richiede, può essere utilizzato un materiale equivalente dal punto di vista della resistenza al fuoco. Detti requisiti non si applicano ai serbatoi già incorporati durante la costruzione in apparecchi ausiliari e dotati di una capacità minore o uguale a 12 l. I serbatoi per il combustibile non hanno alcuna parete divisoria in comune con i serbatoi d'acqua potabile.</w:t>
      </w:r>
    </w:p>
    <w:p w:rsidR="000B60B9" w:rsidRPr="00C903F8" w:rsidRDefault="000B60B9" w:rsidP="00266522">
      <w:pPr>
        <w:pStyle w:val="ESch"/>
        <w:rPr>
          <w:noProof/>
        </w:rPr>
      </w:pPr>
    </w:p>
    <w:p w:rsidR="00E24808" w:rsidRPr="00C903F8" w:rsidRDefault="00E24808" w:rsidP="00266522">
      <w:pPr>
        <w:pStyle w:val="ESch"/>
      </w:pPr>
      <w:r>
        <w:t>2.</w:t>
      </w:r>
      <w:r>
        <w:tab/>
        <w:t>I serbatoi per il combustibile, le relative tubature e altri accessori, sono posati e sistemati in modo tale che né combustibili né vapori di combustibili possano diffondersi accidentalmente all'interno della nave. Le valvole dei serbatoi per il prelievo del combustibile o l'evacuazione dell'acqua sono a chiusura automatica.</w:t>
      </w:r>
    </w:p>
    <w:p w:rsidR="000B60B9" w:rsidRPr="00C903F8" w:rsidRDefault="000B60B9" w:rsidP="00266522">
      <w:pPr>
        <w:pStyle w:val="ESch"/>
        <w:rPr>
          <w:noProof/>
        </w:rPr>
      </w:pPr>
    </w:p>
    <w:p w:rsidR="00E24808" w:rsidRPr="00C903F8" w:rsidRDefault="00E24808" w:rsidP="00266522">
      <w:pPr>
        <w:pStyle w:val="ESch"/>
      </w:pPr>
      <w:r>
        <w:t>3.</w:t>
      </w:r>
      <w:r>
        <w:tab/>
        <w:t>I serbatoi per il combustibile non possono trovarsi a prua della paratia di collisione o a poppa della paratia del gavone di poppa.</w:t>
      </w:r>
    </w:p>
    <w:p w:rsidR="000B60B9" w:rsidRPr="00C903F8" w:rsidRDefault="000B60B9" w:rsidP="00266522">
      <w:pPr>
        <w:pStyle w:val="ESch"/>
        <w:rPr>
          <w:noProof/>
        </w:rPr>
      </w:pPr>
    </w:p>
    <w:p w:rsidR="00E24808" w:rsidRPr="00C903F8" w:rsidRDefault="00E24808" w:rsidP="00266522">
      <w:pPr>
        <w:pStyle w:val="ESch"/>
      </w:pPr>
      <w:r>
        <w:t>4.</w:t>
      </w:r>
      <w:r>
        <w:tab/>
        <w:t>I serbatoi e relativi accessori non devono essere collocati direttamente al di sopra dei motori o dei tubi di scarico.</w:t>
      </w:r>
    </w:p>
    <w:p w:rsidR="000B60B9" w:rsidRPr="00C903F8" w:rsidRDefault="000B60B9" w:rsidP="00266522">
      <w:pPr>
        <w:pStyle w:val="ESch"/>
        <w:rPr>
          <w:noProof/>
        </w:rPr>
      </w:pPr>
    </w:p>
    <w:p w:rsidR="00E24808" w:rsidRPr="00C903F8" w:rsidRDefault="00E24808" w:rsidP="00266522">
      <w:pPr>
        <w:pStyle w:val="ESch"/>
      </w:pPr>
      <w:r>
        <w:t>5.</w:t>
      </w:r>
      <w:r>
        <w:tab/>
        <w:t>I bocchettoni di riempimento dei serbatoi per il combustibile sono chiaramente segnalati.</w:t>
      </w:r>
    </w:p>
    <w:p w:rsidR="000B60B9" w:rsidRPr="00C903F8" w:rsidRDefault="000B60B9" w:rsidP="00266522">
      <w:pPr>
        <w:pStyle w:val="ESch"/>
        <w:rPr>
          <w:noProof/>
        </w:rPr>
      </w:pPr>
    </w:p>
    <w:p w:rsidR="00E24808" w:rsidRPr="00C903F8" w:rsidRDefault="00E24808" w:rsidP="00266522">
      <w:pPr>
        <w:pStyle w:val="ESch"/>
      </w:pPr>
      <w:r>
        <w:t>6.</w:t>
      </w:r>
      <w:r>
        <w:tab/>
        <w:t>L'orifizio dei bocchettoni di riempimento dei serbatoi per il combustibile è situato sul ponte, fatta eccezione, tuttavia, per i serbatoi di consumo giornaliero. Il bocchettone di riempimento è dotato di un raccordo conforme alla norma europea EN 12827:1999.</w:t>
      </w:r>
    </w:p>
    <w:p w:rsidR="000B60B9" w:rsidRPr="00C903F8" w:rsidRDefault="000B60B9" w:rsidP="00266522">
      <w:pPr>
        <w:pStyle w:val="ESch"/>
        <w:rPr>
          <w:noProof/>
        </w:rPr>
      </w:pPr>
    </w:p>
    <w:p w:rsidR="00E24808" w:rsidRPr="00C903F8" w:rsidRDefault="00E24808" w:rsidP="00266522">
      <w:pPr>
        <w:pStyle w:val="ESchpar"/>
      </w:pPr>
      <w:r>
        <w:t>I serbatoi sono provvisti di un tubo di sfogo che sbocca all'aperto al di sopra del ponte e disposto in modo tale da rendere impossibile qualsiasi infiltrazione d'acqua. La sezione del tubo di sfogo è almeno pari a 1,25 volte la sezione del bocchettone di riempimento.</w:t>
      </w:r>
    </w:p>
    <w:p w:rsidR="000B60B9" w:rsidRPr="00C903F8" w:rsidRDefault="000B60B9" w:rsidP="00266522">
      <w:pPr>
        <w:pStyle w:val="ESchpar"/>
        <w:rPr>
          <w:noProof/>
        </w:rPr>
      </w:pPr>
    </w:p>
    <w:p w:rsidR="00E24808" w:rsidRPr="00C903F8" w:rsidRDefault="004004C5" w:rsidP="00266522">
      <w:pPr>
        <w:pStyle w:val="ESchpar"/>
      </w:pPr>
      <w:r>
        <w:t>Quando i serbatoi sono collegati fra loro, la sezione del tubo di collegamento è almeno pari a 1,25 volte la sezione del bocchettone di riempimento.</w:t>
      </w:r>
    </w:p>
    <w:p w:rsidR="000B60B9" w:rsidRPr="00C903F8" w:rsidRDefault="000B60B9" w:rsidP="00266522">
      <w:pPr>
        <w:pStyle w:val="ESch"/>
        <w:rPr>
          <w:noProof/>
        </w:rPr>
      </w:pPr>
    </w:p>
    <w:p w:rsidR="00E24808" w:rsidRPr="00C903F8" w:rsidRDefault="00E24808" w:rsidP="00266522">
      <w:pPr>
        <w:pStyle w:val="ESch"/>
      </w:pPr>
      <w:r>
        <w:t>7.</w:t>
      </w:r>
      <w:r>
        <w:tab/>
        <w:t>Le tubature per la distribuzione di combustibile sono provviste, direttamente all’uscita dei serbatoi, di una valvola a chiusura rapida manovrabile dal ponte, anche quando i locali interessati sono chiusi.</w:t>
      </w:r>
    </w:p>
    <w:p w:rsidR="000B60B9" w:rsidRPr="00C903F8" w:rsidRDefault="000B60B9" w:rsidP="00266522">
      <w:pPr>
        <w:pStyle w:val="ESch"/>
        <w:rPr>
          <w:noProof/>
        </w:rPr>
      </w:pPr>
    </w:p>
    <w:p w:rsidR="00E24808" w:rsidRPr="00C903F8" w:rsidRDefault="00E24808" w:rsidP="00266522">
      <w:pPr>
        <w:pStyle w:val="ESchpar"/>
      </w:pPr>
      <w:r>
        <w:t>Se il dispositivo di chiusura è installato in modo da non essere visibile, il coperchio o la copertura non devono poter essere chiusi a chiave.</w:t>
      </w:r>
    </w:p>
    <w:p w:rsidR="000B60B9" w:rsidRPr="00C903F8" w:rsidRDefault="000B60B9" w:rsidP="00266522">
      <w:pPr>
        <w:pStyle w:val="ESchpar"/>
        <w:rPr>
          <w:noProof/>
        </w:rPr>
      </w:pPr>
    </w:p>
    <w:p w:rsidR="00E24808" w:rsidRPr="00C903F8" w:rsidRDefault="00E24808" w:rsidP="00266522">
      <w:pPr>
        <w:pStyle w:val="ESchpar"/>
      </w:pPr>
      <w:r>
        <w:t>Il dispositivo di chiusura è contrassegnato in rosso. Se è installato in modo da non essere visibile, deve essere contrassegnato con il simbolo della "valvola a chiusura rapida" conformemente all'allegato 4, figura 9, con una lunghezza del lato di almeno 10 cm.</w:t>
      </w:r>
    </w:p>
    <w:p w:rsidR="000B60B9" w:rsidRPr="00C903F8" w:rsidRDefault="000B60B9" w:rsidP="00266522">
      <w:pPr>
        <w:pStyle w:val="ESch"/>
        <w:rPr>
          <w:noProof/>
        </w:rPr>
      </w:pPr>
    </w:p>
    <w:p w:rsidR="00E24808" w:rsidRPr="00C903F8" w:rsidRDefault="00E24808" w:rsidP="00266522">
      <w:pPr>
        <w:pStyle w:val="ESchpar"/>
      </w:pPr>
      <w:r>
        <w:t>Il primo comma non si applica ai serbatoi montati direttamente sul motore.</w:t>
      </w:r>
    </w:p>
    <w:p w:rsidR="000B60B9" w:rsidRPr="00C903F8" w:rsidRDefault="000B60B9" w:rsidP="00266522">
      <w:pPr>
        <w:pStyle w:val="ESch"/>
        <w:rPr>
          <w:noProof/>
        </w:rPr>
      </w:pPr>
    </w:p>
    <w:p w:rsidR="00E24808" w:rsidRPr="00C903F8" w:rsidRDefault="00E24808" w:rsidP="00266522">
      <w:pPr>
        <w:pStyle w:val="ESch"/>
      </w:pPr>
      <w:r>
        <w:t>8.</w:t>
      </w:r>
      <w:r>
        <w:tab/>
        <w:t>Le tubature per il combustibile e relativi raccordi, guarnizioni e accessori sono realizzati in materiali resistenti alle sollecitazioni meccaniche, chimiche e termiche a cui potrebbero essere esposti. Le tubature per il combustibile non devono essere esposte all'influenza nociva del calore e devono poter essere controllate su tutta la lunghezza.</w:t>
      </w:r>
    </w:p>
    <w:p w:rsidR="000B60B9" w:rsidRPr="00C903F8" w:rsidRDefault="000B60B9" w:rsidP="00266522">
      <w:pPr>
        <w:pStyle w:val="ESch"/>
        <w:rPr>
          <w:noProof/>
        </w:rPr>
      </w:pPr>
    </w:p>
    <w:p w:rsidR="00266522" w:rsidRPr="00C903F8" w:rsidRDefault="00266522" w:rsidP="00266522">
      <w:pPr>
        <w:pStyle w:val="ESch"/>
        <w:rPr>
          <w:noProof/>
        </w:rPr>
      </w:pPr>
      <w:r>
        <w:br w:type="page"/>
      </w:r>
    </w:p>
    <w:p w:rsidR="00E24808" w:rsidRPr="00C903F8" w:rsidRDefault="00E24808" w:rsidP="00266522">
      <w:pPr>
        <w:pStyle w:val="ESch"/>
      </w:pPr>
      <w:r>
        <w:lastRenderedPageBreak/>
        <w:t>9.</w:t>
      </w:r>
      <w:r>
        <w:tab/>
        <w:t>I serbatoi per il combustibile sono dotati di un idoneo dispositivo di misurazione. I dispositivi di misurazione sono leggibili fino al livello massimo di riempimento. Gli indicatori di livello in vetro sono protetti efficacemente contro gli urti, dotati di un dispositivo automatico di chiusura nella loro parte inferiore e, in quella superiore, raccordati ai serbatoi al di sopra del livello massimo di riempimento. Il materiale degli indicatori di livello non si deforma alla normale temperatura ambiente. I tubi sonda non terminano nei locali di alloggio. I tubi sonda che terminano nella sala macchine o nei locali delle caldaie sono dotati di idonei dispositivi automatici di chiusura.</w:t>
      </w:r>
    </w:p>
    <w:p w:rsidR="000B60B9" w:rsidRPr="00C903F8" w:rsidRDefault="000B60B9" w:rsidP="00266522">
      <w:pPr>
        <w:pStyle w:val="ESch"/>
        <w:rPr>
          <w:noProof/>
        </w:rPr>
      </w:pPr>
    </w:p>
    <w:p w:rsidR="00E24808" w:rsidRPr="00C903F8" w:rsidRDefault="00E24808" w:rsidP="00266522">
      <w:pPr>
        <w:pStyle w:val="ESch"/>
        <w:tabs>
          <w:tab w:val="left" w:pos="567"/>
        </w:tabs>
        <w:ind w:left="993" w:hanging="993"/>
      </w:pPr>
      <w:r>
        <w:t>10.</w:t>
      </w:r>
      <w:r>
        <w:tab/>
        <w:t>a)</w:t>
      </w:r>
      <w:r>
        <w:tab/>
        <w:t>I serbatoi per il combustibile sono dotati di idonei dispositivi tecnici di bordo, di cui va fatta menzione nel certificato per la navigazione interna alla rubrica 52, tali da garantire che non vi siano perdite di combustibile durante le operazioni di rifornimento.</w:t>
      </w:r>
    </w:p>
    <w:p w:rsidR="000B60B9" w:rsidRPr="00C903F8" w:rsidRDefault="000B60B9" w:rsidP="000B60B9">
      <w:pPr>
        <w:ind w:firstLine="0"/>
        <w:rPr>
          <w:rFonts w:cs="Arial"/>
          <w:noProof/>
          <w:szCs w:val="20"/>
        </w:rPr>
      </w:pPr>
    </w:p>
    <w:p w:rsidR="00E24808" w:rsidRPr="00C903F8" w:rsidRDefault="005C7859" w:rsidP="00266522">
      <w:pPr>
        <w:pStyle w:val="ESlet"/>
        <w:rPr>
          <w:noProof/>
        </w:rPr>
      </w:pPr>
      <w:r>
        <w:t>b)</w:t>
      </w:r>
      <w:r>
        <w:tab/>
        <w:t>Le disposizioni di cui alla lettera a) e al paragrafo 11 non si applicano se il combustibile viene caricato presso punti di rifornimento dotati di dispositivi tecnici propri, atti a garantire che non vi siano perdite di combustibile durante le operazioni di rifornimento.</w:t>
      </w:r>
    </w:p>
    <w:p w:rsidR="000B60B9" w:rsidRPr="00C903F8" w:rsidRDefault="000B60B9" w:rsidP="00E24808">
      <w:pPr>
        <w:rPr>
          <w:rFonts w:cs="Arial"/>
          <w:noProof/>
          <w:szCs w:val="20"/>
        </w:rPr>
      </w:pPr>
    </w:p>
    <w:p w:rsidR="00E24808" w:rsidRPr="00C903F8" w:rsidRDefault="00E24808" w:rsidP="00266522">
      <w:pPr>
        <w:pStyle w:val="ESch"/>
      </w:pPr>
      <w:r>
        <w:t>11.</w:t>
      </w:r>
      <w:r>
        <w:tab/>
        <w:t>Se i serbatoi per il combustibile sono dotati di dispositivi di interruzione automatica dell'erogazione, i sensori sono regolati in modo che l'erogazione si interrompa quando i serbatoi sono stati riempiti al 97 % della loro capacità; i dispositivi in questione soddisfano i criteri di sicurezza positiva ("failsafe").</w:t>
      </w:r>
    </w:p>
    <w:p w:rsidR="000B60B9" w:rsidRPr="00C903F8" w:rsidRDefault="000B60B9" w:rsidP="00266522">
      <w:pPr>
        <w:pStyle w:val="ESch"/>
        <w:rPr>
          <w:noProof/>
        </w:rPr>
      </w:pPr>
    </w:p>
    <w:p w:rsidR="000B60B9" w:rsidRDefault="008418DC" w:rsidP="008418DC">
      <w:pPr>
        <w:pStyle w:val="ESch"/>
        <w:ind w:firstLine="0"/>
        <w:rPr>
          <w:noProof/>
        </w:rPr>
      </w:pPr>
      <w:r>
        <w:t>Se i sensori attivano un contatto elettrico, in grado di interrompere il circuito provvisto dal punto di rifornimento tramite un segnale binario, tale segnale è trasmesso al punto di rifornimento utilizzando spine a tenuta stagna conformi ai requisiti della norma internazionale IEC 60309</w:t>
      </w:r>
      <w:r>
        <w:softHyphen/>
        <w:t>1:2012 per corrente continua fra 40 e 50 V, colore distintivo bianco, posizionamento del contatto di terra a "ore 10".</w:t>
      </w:r>
    </w:p>
    <w:p w:rsidR="008418DC" w:rsidRPr="00C903F8" w:rsidRDefault="008418DC" w:rsidP="00266522">
      <w:pPr>
        <w:pStyle w:val="ESch"/>
        <w:rPr>
          <w:noProof/>
        </w:rPr>
      </w:pPr>
    </w:p>
    <w:p w:rsidR="00E24808" w:rsidRPr="00C903F8" w:rsidRDefault="00E24808" w:rsidP="00266522">
      <w:pPr>
        <w:pStyle w:val="ESch"/>
      </w:pPr>
      <w:r>
        <w:t>12.</w:t>
      </w:r>
      <w:r>
        <w:tab/>
        <w:t>I serbatoi per il combustibile sono provvisti di apertura a chiusura stagna per consentirne la pulizia e l'ispezione.</w:t>
      </w:r>
    </w:p>
    <w:p w:rsidR="000B60B9" w:rsidRPr="00C903F8" w:rsidRDefault="000B60B9" w:rsidP="00266522">
      <w:pPr>
        <w:pStyle w:val="ESch"/>
        <w:rPr>
          <w:noProof/>
        </w:rPr>
      </w:pPr>
    </w:p>
    <w:p w:rsidR="00E24808" w:rsidRDefault="00E24808" w:rsidP="008418DC">
      <w:pPr>
        <w:pStyle w:val="ESch"/>
        <w:rPr>
          <w:noProof/>
        </w:rPr>
      </w:pPr>
      <w:r>
        <w:t>13.</w:t>
      </w:r>
      <w:r>
        <w:tab/>
        <w:t>I serbatoi per il combustibile che alimentano direttamente i motori di propulsione e i motori necessari per la navigazione sono dotati di un dispositivo che emetta un segnale visivo e acustico nella timoneria quando il livello del combustibile non è più sufficiente a garantire il funzionamento sicuro.</w:t>
      </w:r>
    </w:p>
    <w:p w:rsidR="008418DC" w:rsidRPr="00C903F8" w:rsidRDefault="008418DC" w:rsidP="008418DC">
      <w:pPr>
        <w:pStyle w:val="ESch"/>
        <w:rPr>
          <w:rFonts w:cs="Arial"/>
          <w:szCs w:val="20"/>
        </w:rPr>
      </w:pPr>
    </w:p>
    <w:p w:rsidR="000B60B9" w:rsidRPr="00C903F8" w:rsidRDefault="000B60B9" w:rsidP="00E24808">
      <w:pPr>
        <w:rPr>
          <w:rFonts w:cs="Arial"/>
          <w:szCs w:val="20"/>
        </w:rPr>
      </w:pPr>
    </w:p>
    <w:p w:rsidR="00E24808" w:rsidRPr="00C903F8" w:rsidRDefault="00E24808" w:rsidP="000B60B9">
      <w:pPr>
        <w:pStyle w:val="ES-Titre3"/>
      </w:pPr>
      <w:bookmarkStart w:id="122" w:name="_Toc491854061"/>
      <w:bookmarkStart w:id="123" w:name="_Toc535500010"/>
      <w:r>
        <w:t>Articolo 8.06</w:t>
      </w:r>
      <w:r>
        <w:br/>
      </w:r>
      <w:r>
        <w:rPr>
          <w:i/>
          <w:noProof/>
        </w:rPr>
        <w:t>Deposito di olio lubrificante, tubature e accessori</w:t>
      </w:r>
      <w:bookmarkEnd w:id="122"/>
      <w:bookmarkEnd w:id="123"/>
    </w:p>
    <w:p w:rsidR="000B60B9" w:rsidRPr="00C903F8" w:rsidRDefault="000B60B9" w:rsidP="00E24808">
      <w:pPr>
        <w:rPr>
          <w:rFonts w:cs="Arial"/>
          <w:noProof/>
          <w:szCs w:val="20"/>
        </w:rPr>
      </w:pPr>
    </w:p>
    <w:p w:rsidR="00E24808" w:rsidRPr="00C903F8" w:rsidRDefault="00E24808" w:rsidP="005A3E0D">
      <w:pPr>
        <w:pStyle w:val="ESch"/>
      </w:pPr>
      <w:r>
        <w:t>1.</w:t>
      </w:r>
      <w:r>
        <w:tab/>
        <w:t>L'olio lubrificante è immagazzinato in serbatoi in acciaio che costituiscono parte integrante dello scafo o sono ad esso solidamente fissati. Se il progetto della nave lo richiede, può essere utilizzato un materiale equivalente dal punto di vista della resistenza al fuoco. Detti requisiti non si applicano ai serbatoi dotati di una capacità minore o uguale a 25 litri. I serbatoi per l'olio lubrificante non hanno alcuna parete divisoria in comune con i serbatoi d'acqua potabile.</w:t>
      </w:r>
    </w:p>
    <w:p w:rsidR="000B60B9" w:rsidRPr="00C903F8" w:rsidRDefault="000B60B9" w:rsidP="005A3E0D">
      <w:pPr>
        <w:pStyle w:val="ESch"/>
        <w:rPr>
          <w:noProof/>
        </w:rPr>
      </w:pPr>
    </w:p>
    <w:p w:rsidR="00E24808" w:rsidRPr="00C903F8" w:rsidRDefault="00E24808" w:rsidP="005A3E0D">
      <w:pPr>
        <w:pStyle w:val="ESch"/>
      </w:pPr>
      <w:r>
        <w:t>2.</w:t>
      </w:r>
      <w:r>
        <w:tab/>
        <w:t>I serbatoi per l'olio lubrificante, le relative tubature e altri accessori sono posati e sistemati in modo tale che né olio lubrificante né vapori di olio lubrificante possano diffondersi accidentalmente all'interno della nave.</w:t>
      </w:r>
    </w:p>
    <w:p w:rsidR="000B60B9" w:rsidRPr="00C903F8" w:rsidRDefault="000B60B9" w:rsidP="005A3E0D">
      <w:pPr>
        <w:pStyle w:val="ESch"/>
        <w:rPr>
          <w:noProof/>
        </w:rPr>
      </w:pPr>
    </w:p>
    <w:p w:rsidR="00E24808" w:rsidRPr="00C903F8" w:rsidRDefault="00E24808" w:rsidP="005A3E0D">
      <w:pPr>
        <w:pStyle w:val="ESch"/>
      </w:pPr>
      <w:r>
        <w:t>3.</w:t>
      </w:r>
      <w:r>
        <w:tab/>
        <w:t>I serbatoi per l'olio lubrificante non possono trovarsi a prua della paratia di collisione.</w:t>
      </w:r>
    </w:p>
    <w:p w:rsidR="000B60B9" w:rsidRPr="00C903F8" w:rsidRDefault="000B60B9" w:rsidP="005A3E0D">
      <w:pPr>
        <w:pStyle w:val="ESch"/>
        <w:rPr>
          <w:noProof/>
        </w:rPr>
      </w:pPr>
    </w:p>
    <w:p w:rsidR="005A3E0D" w:rsidRPr="00C903F8" w:rsidRDefault="005A3E0D" w:rsidP="005A3E0D">
      <w:pPr>
        <w:pStyle w:val="ESch"/>
        <w:rPr>
          <w:noProof/>
        </w:rPr>
      </w:pPr>
      <w:r>
        <w:br w:type="page"/>
      </w:r>
    </w:p>
    <w:p w:rsidR="00E24808" w:rsidRPr="00C903F8" w:rsidRDefault="00E24808" w:rsidP="005A3E0D">
      <w:pPr>
        <w:pStyle w:val="ESch"/>
      </w:pPr>
      <w:r>
        <w:lastRenderedPageBreak/>
        <w:t>4.</w:t>
      </w:r>
      <w:r>
        <w:tab/>
        <w:t>I serbatoi per l'olio lubrificante e relativi accessori non devono essere collocati direttamente al di sopra dei motori o dei tubi di scarico.</w:t>
      </w:r>
    </w:p>
    <w:p w:rsidR="000B60B9" w:rsidRPr="00C903F8" w:rsidRDefault="000B60B9" w:rsidP="005A3E0D">
      <w:pPr>
        <w:pStyle w:val="ESch"/>
        <w:rPr>
          <w:noProof/>
        </w:rPr>
      </w:pPr>
    </w:p>
    <w:p w:rsidR="00E24808" w:rsidRPr="00C903F8" w:rsidRDefault="00E24808" w:rsidP="005A3E0D">
      <w:pPr>
        <w:pStyle w:val="ESch"/>
      </w:pPr>
      <w:r>
        <w:t>5.</w:t>
      </w:r>
      <w:r>
        <w:tab/>
        <w:t>I bocchettoni di riempimento dei serbatoi per l'olio lubrificante sono chiaramente segnalati.</w:t>
      </w:r>
    </w:p>
    <w:p w:rsidR="000B60B9" w:rsidRPr="00C903F8" w:rsidRDefault="000B60B9" w:rsidP="005A3E0D">
      <w:pPr>
        <w:pStyle w:val="ESch"/>
        <w:rPr>
          <w:noProof/>
        </w:rPr>
      </w:pPr>
    </w:p>
    <w:p w:rsidR="00E24808" w:rsidRPr="00C903F8" w:rsidRDefault="00E24808" w:rsidP="005A3E0D">
      <w:pPr>
        <w:pStyle w:val="ESch"/>
      </w:pPr>
      <w:r>
        <w:t>6.</w:t>
      </w:r>
      <w:r>
        <w:tab/>
        <w:t>Le tubature per l'olio lubrificante e relativi raccordi, guarnizioni e accessori sono realizzati in materiali resistenti alle sollecitazioni meccaniche, chimiche e termiche a cui potrebbero essere esposti. Le tubature non devono essere esposte all'influenza nociva del calore e devono poter essere controllate su tutta la lunghezza.</w:t>
      </w:r>
    </w:p>
    <w:p w:rsidR="000B60B9" w:rsidRPr="00C903F8" w:rsidRDefault="000B60B9" w:rsidP="005A3E0D">
      <w:pPr>
        <w:pStyle w:val="ESch"/>
        <w:rPr>
          <w:noProof/>
        </w:rPr>
      </w:pPr>
    </w:p>
    <w:p w:rsidR="00E24808" w:rsidRPr="00C903F8" w:rsidRDefault="00E24808" w:rsidP="005A3E0D">
      <w:pPr>
        <w:pStyle w:val="ESch"/>
      </w:pPr>
      <w:r>
        <w:t>7.</w:t>
      </w:r>
      <w:r>
        <w:tab/>
        <w:t>I serbatoi per l'olio lubrificante sono dotati di un idoneo dispositivo di misurazione. I dispositivi di misurazione sono leggibili fino al livello massimo di riempimento. Gli indicatori di livello in vetro sono protetti efficacemente contro gli urti, dotati di un dispositivo automatico di chiusura nella loro parte inferiore e, in quella superiore, raccordati ai serbatoi al di sopra del livello massimo di riempimento. Il materiale degli indicatori di livello non si deforma alla normale temperatura ambiente. I tubi sonda non terminano nei locali di alloggio. I tubi sonda che terminano nella sala macchine o nei locali delle caldaie sono dotati di idonei dispositivi automatici di chiusura.</w:t>
      </w:r>
    </w:p>
    <w:p w:rsidR="00E24808" w:rsidRPr="00C903F8" w:rsidRDefault="00E24808" w:rsidP="00E24808">
      <w:pPr>
        <w:rPr>
          <w:rFonts w:cs="Arial"/>
          <w:szCs w:val="20"/>
        </w:rPr>
      </w:pPr>
    </w:p>
    <w:p w:rsidR="000B60B9" w:rsidRPr="00C903F8" w:rsidRDefault="000B60B9" w:rsidP="00E24808">
      <w:pPr>
        <w:rPr>
          <w:rFonts w:cs="Arial"/>
          <w:szCs w:val="20"/>
        </w:rPr>
      </w:pPr>
    </w:p>
    <w:p w:rsidR="00E24808" w:rsidRPr="00C903F8" w:rsidRDefault="00E24808" w:rsidP="000B60B9">
      <w:pPr>
        <w:pStyle w:val="ES-Titre3"/>
        <w:rPr>
          <w:i/>
        </w:rPr>
      </w:pPr>
      <w:bookmarkStart w:id="124" w:name="_Toc491854062"/>
      <w:bookmarkStart w:id="125" w:name="_Toc535500011"/>
      <w:r>
        <w:t>Articolo 8.07</w:t>
      </w:r>
      <w:r>
        <w:br/>
      </w:r>
      <w:r>
        <w:rPr>
          <w:i/>
          <w:noProof/>
        </w:rPr>
        <w:t>Deposito di oli utilizzati negli impianti di trasmissione di energia, negli impianti di comando e attivazione e negli impianti di riscaldamento, tubature e accessori</w:t>
      </w:r>
      <w:bookmarkEnd w:id="124"/>
      <w:bookmarkEnd w:id="125"/>
    </w:p>
    <w:p w:rsidR="005A3E0D" w:rsidRPr="00C903F8" w:rsidRDefault="005A3E0D" w:rsidP="00E24808">
      <w:pPr>
        <w:rPr>
          <w:rFonts w:cs="Arial"/>
          <w:noProof/>
          <w:szCs w:val="20"/>
        </w:rPr>
      </w:pPr>
    </w:p>
    <w:p w:rsidR="00E24808" w:rsidRPr="00C903F8" w:rsidRDefault="00E24808" w:rsidP="005A3E0D">
      <w:pPr>
        <w:pStyle w:val="ESch"/>
      </w:pPr>
      <w:r>
        <w:t>1.</w:t>
      </w:r>
      <w:r>
        <w:tab/>
        <w:t>Gli oli utilizzati negli impianti di trasmissione di energia, negli impianti di comando e attivazione e negli impianti di riscaldamento sono immagazzinati in serbatoi in acciaio che costituiscono parte integrante dello scafo o sono ad esso solidamente fissati. Se il progetto della nave lo richiede, può essere utilizzato un materiale equivalente dal punto di vista della resistenza al fuoco. Detti requisiti non si applicano ai serbatoi dotati di una capacità minore o uguale a 25 litri. I serbatoi per oli di cui alla frase 1 non hanno alcuna parete divisoria in comune con i serbatoi d'acqua potabile.</w:t>
      </w:r>
    </w:p>
    <w:p w:rsidR="000B60B9" w:rsidRPr="00C903F8" w:rsidRDefault="000B60B9" w:rsidP="005A3E0D">
      <w:pPr>
        <w:pStyle w:val="ESch"/>
        <w:rPr>
          <w:noProof/>
        </w:rPr>
      </w:pPr>
    </w:p>
    <w:p w:rsidR="00E24808" w:rsidRPr="00C903F8" w:rsidRDefault="00E24808" w:rsidP="005A3E0D">
      <w:pPr>
        <w:pStyle w:val="ESch"/>
      </w:pPr>
      <w:r>
        <w:t>2.</w:t>
      </w:r>
      <w:r>
        <w:tab/>
        <w:t>I serbatoi per oli di cui al paragrafo 1, le relative tubature e altri accessori sono posati e sistemati in modo tale che né olio né vapore di olio possano diffondersi accidentalmente all'interno della nave.</w:t>
      </w:r>
    </w:p>
    <w:p w:rsidR="000B60B9" w:rsidRPr="00C903F8" w:rsidRDefault="000B60B9" w:rsidP="005A3E0D">
      <w:pPr>
        <w:pStyle w:val="ESch"/>
        <w:rPr>
          <w:noProof/>
        </w:rPr>
      </w:pPr>
    </w:p>
    <w:p w:rsidR="00E24808" w:rsidRPr="00C903F8" w:rsidRDefault="00E24808" w:rsidP="005A3E0D">
      <w:pPr>
        <w:pStyle w:val="ESch"/>
      </w:pPr>
      <w:r>
        <w:t>3.</w:t>
      </w:r>
      <w:r>
        <w:tab/>
        <w:t>I serbatoi per oli di cui al paragrafo 1 non possono trovarsi a prua della paratia di collisione.</w:t>
      </w:r>
    </w:p>
    <w:p w:rsidR="000B60B9" w:rsidRPr="00C903F8" w:rsidRDefault="000B60B9" w:rsidP="005A3E0D">
      <w:pPr>
        <w:pStyle w:val="ESch"/>
        <w:rPr>
          <w:noProof/>
        </w:rPr>
      </w:pPr>
    </w:p>
    <w:p w:rsidR="00E24808" w:rsidRPr="00C903F8" w:rsidRDefault="00E24808" w:rsidP="005A3E0D">
      <w:pPr>
        <w:pStyle w:val="ESch"/>
      </w:pPr>
      <w:r>
        <w:t>4.</w:t>
      </w:r>
      <w:r>
        <w:tab/>
        <w:t>I serbatoi per oli di cui al paragrafo 1 e i relativi accessori non devono essere collocati direttamente al di sopra dei motori o dei tubi di scarico.</w:t>
      </w:r>
    </w:p>
    <w:p w:rsidR="000B60B9" w:rsidRPr="00C903F8" w:rsidRDefault="000B60B9" w:rsidP="005A3E0D">
      <w:pPr>
        <w:pStyle w:val="ESch"/>
        <w:rPr>
          <w:noProof/>
        </w:rPr>
      </w:pPr>
    </w:p>
    <w:p w:rsidR="00E24808" w:rsidRPr="00C903F8" w:rsidRDefault="00E24808" w:rsidP="005A3E0D">
      <w:pPr>
        <w:pStyle w:val="ESch"/>
      </w:pPr>
      <w:r>
        <w:t>5.</w:t>
      </w:r>
      <w:r>
        <w:tab/>
        <w:t>I bocchettoni di riempimento dei serbatoi per oli di cui al paragrafo 1 sono chiaramente segnalati.</w:t>
      </w:r>
    </w:p>
    <w:p w:rsidR="000B60B9" w:rsidRPr="00C903F8" w:rsidRDefault="000B60B9" w:rsidP="005A3E0D">
      <w:pPr>
        <w:pStyle w:val="ESch"/>
        <w:rPr>
          <w:noProof/>
        </w:rPr>
      </w:pPr>
    </w:p>
    <w:p w:rsidR="00E24808" w:rsidRPr="00C903F8" w:rsidRDefault="00E24808" w:rsidP="005A3E0D">
      <w:pPr>
        <w:pStyle w:val="ESch"/>
      </w:pPr>
      <w:r>
        <w:t>6.</w:t>
      </w:r>
      <w:r>
        <w:tab/>
        <w:t>Le tubature per olio di cui al paragrafo 1 e relativi raccordi, guarnizioni e accessori sono realizzati in materiali resistenti alle sollecitazioni meccaniche, chimiche e termiche a cui potrebbero essere esposti. Le tubature non devono essere esposte all'influenza nociva del calore e devono poter essere controllate su tutta la lunghezza.</w:t>
      </w:r>
    </w:p>
    <w:p w:rsidR="000B60B9" w:rsidRPr="00C903F8" w:rsidRDefault="000B60B9" w:rsidP="005A3E0D">
      <w:pPr>
        <w:pStyle w:val="ESch"/>
        <w:rPr>
          <w:noProof/>
        </w:rPr>
      </w:pPr>
    </w:p>
    <w:p w:rsidR="005A3E0D" w:rsidRPr="00C903F8" w:rsidRDefault="005A3E0D" w:rsidP="005A3E0D">
      <w:pPr>
        <w:pStyle w:val="ESch"/>
        <w:rPr>
          <w:noProof/>
        </w:rPr>
      </w:pPr>
      <w:r>
        <w:br w:type="page"/>
      </w:r>
    </w:p>
    <w:p w:rsidR="00E24808" w:rsidRPr="00C903F8" w:rsidRDefault="00E24808" w:rsidP="005A3E0D">
      <w:pPr>
        <w:pStyle w:val="ESch"/>
        <w:rPr>
          <w:noProof/>
        </w:rPr>
      </w:pPr>
      <w:r>
        <w:lastRenderedPageBreak/>
        <w:t>7.</w:t>
      </w:r>
      <w:r>
        <w:tab/>
        <w:t>I serbatoi per oli di cui al paragrafo 1 sono dotati di un idoneo dispositivo di misurazione. I dispositivi di misurazione sono leggibili fino al livello massimo di riempimento. Gli indicatori di livello in vetro sono protetti efficacemente contro gli urti, dotati di un dispositivo automatico di chiusura nella loro parte inferiore e, in quella superiore, raccordati ai serbatoi al di sopra del livello massimo di riempimento. Il materiale degli indicatori di livello non si deforma alla normale temperatura ambiente. I tubi sonda non terminano nei locali di alloggio. I tubi sonda che terminano nella sala macchine o nei locali delle caldaie sono dotati di idonei dispositivi automatici di chiusura.</w:t>
      </w:r>
    </w:p>
    <w:p w:rsidR="000B60B9" w:rsidRPr="00C903F8" w:rsidRDefault="000B60B9" w:rsidP="00E24808">
      <w:pPr>
        <w:rPr>
          <w:rFonts w:cs="Arial"/>
          <w:szCs w:val="20"/>
        </w:rPr>
      </w:pPr>
    </w:p>
    <w:p w:rsidR="00E24808" w:rsidRPr="00C903F8" w:rsidRDefault="00E24808" w:rsidP="00E24808">
      <w:pPr>
        <w:rPr>
          <w:rFonts w:cs="Arial"/>
          <w:szCs w:val="20"/>
        </w:rPr>
      </w:pPr>
    </w:p>
    <w:p w:rsidR="00E24808" w:rsidRPr="00C903F8" w:rsidRDefault="00E24808" w:rsidP="000B60B9">
      <w:pPr>
        <w:pStyle w:val="ES-Titre3"/>
        <w:rPr>
          <w:i/>
        </w:rPr>
      </w:pPr>
      <w:bookmarkStart w:id="126" w:name="_Toc491854063"/>
      <w:bookmarkStart w:id="127" w:name="_Toc535500012"/>
      <w:r>
        <w:t>Articolo 8.08</w:t>
      </w:r>
      <w:r>
        <w:br/>
      </w:r>
      <w:r>
        <w:rPr>
          <w:i/>
          <w:noProof/>
        </w:rPr>
        <w:t>Impianti di esaurimento della sentina</w:t>
      </w:r>
      <w:bookmarkEnd w:id="126"/>
      <w:bookmarkEnd w:id="127"/>
    </w:p>
    <w:p w:rsidR="000B60B9" w:rsidRPr="00C903F8" w:rsidRDefault="000B60B9" w:rsidP="00E24808">
      <w:pPr>
        <w:rPr>
          <w:rFonts w:cs="Arial"/>
          <w:noProof/>
          <w:szCs w:val="20"/>
        </w:rPr>
      </w:pPr>
    </w:p>
    <w:p w:rsidR="00E24808" w:rsidRPr="00C903F8" w:rsidRDefault="00E24808" w:rsidP="005A3E0D">
      <w:pPr>
        <w:pStyle w:val="ESch"/>
      </w:pPr>
      <w:r>
        <w:t>1.</w:t>
      </w:r>
      <w:r>
        <w:tab/>
        <w:t>Ogni compartimento stagno deve poter essere prosciugato separatamente. Questo requisito non si applica tuttavia ai compartimenti stagni di norma chiusi ermeticamente in navigazione.</w:t>
      </w:r>
    </w:p>
    <w:p w:rsidR="000B60B9" w:rsidRPr="00C903F8" w:rsidRDefault="000B60B9" w:rsidP="005A3E0D">
      <w:pPr>
        <w:pStyle w:val="ESch"/>
        <w:rPr>
          <w:noProof/>
        </w:rPr>
      </w:pPr>
    </w:p>
    <w:p w:rsidR="00E24808" w:rsidRPr="00C903F8" w:rsidRDefault="00E24808" w:rsidP="005A3E0D">
      <w:pPr>
        <w:pStyle w:val="ESch"/>
      </w:pPr>
      <w:r>
        <w:t>2.</w:t>
      </w:r>
      <w:r>
        <w:tab/>
        <w:t>Le navi per le quali è previsto un equipaggio sono dotate di almeno due pompe di sentina indipendenti, non installate nel medesimo locale e di cui una almeno a motore. Tuttavia, per navi con potenza propulsiva inferiore a 225 kW o portata lorda inferiore a 350 t, o, per navi non destinate al trasporto di merci, con un dislocamento inferiore a 250 m</w:t>
      </w:r>
      <w:r>
        <w:rPr>
          <w:noProof/>
          <w:vertAlign w:val="superscript"/>
        </w:rPr>
        <w:t>3</w:t>
      </w:r>
      <w:r>
        <w:t>, è sufficiente una sola pompa a mano o a motore.</w:t>
      </w:r>
    </w:p>
    <w:p w:rsidR="000B60B9" w:rsidRPr="00C903F8" w:rsidRDefault="000B60B9" w:rsidP="005A3E0D">
      <w:pPr>
        <w:pStyle w:val="ESch"/>
        <w:rPr>
          <w:noProof/>
        </w:rPr>
      </w:pPr>
    </w:p>
    <w:p w:rsidR="00E24808" w:rsidRPr="00C903F8" w:rsidRDefault="00E24808" w:rsidP="005A3E0D">
      <w:pPr>
        <w:pStyle w:val="ESchpar"/>
        <w:rPr>
          <w:noProof/>
        </w:rPr>
      </w:pPr>
      <w:r>
        <w:t>Ciascuna delle pompe previste deve poter essere utilizzata in uno qualsiasi dei compartimenti stagni all'acqua.</w:t>
      </w:r>
    </w:p>
    <w:p w:rsidR="000B60B9" w:rsidRPr="00C903F8" w:rsidRDefault="000B60B9" w:rsidP="005A3E0D">
      <w:pPr>
        <w:pStyle w:val="ESch"/>
        <w:rPr>
          <w:noProof/>
        </w:rPr>
      </w:pPr>
    </w:p>
    <w:p w:rsidR="00E24808" w:rsidRPr="00C903F8" w:rsidRDefault="00E24808" w:rsidP="005A3E0D">
      <w:pPr>
        <w:pStyle w:val="ESch"/>
        <w:rPr>
          <w:noProof/>
        </w:rPr>
      </w:pPr>
      <w:r>
        <w:t>3.</w:t>
      </w:r>
      <w:r>
        <w:tab/>
        <w:t xml:space="preserve">La portata minima della prima pompa di sentina </w:t>
      </w:r>
      <m:oMath>
        <m:sSub>
          <m:sSubPr>
            <m:ctrlPr>
              <w:rPr>
                <w:rFonts w:ascii="Cambria Math" w:hAnsi="Cambria Math"/>
                <w:i/>
                <w:noProof/>
              </w:rPr>
            </m:ctrlPr>
          </m:sSubPr>
          <m:e>
            <m:r>
              <w:rPr>
                <w:rFonts w:ascii="Cambria Math" w:hAnsi="Cambria Math"/>
                <w:noProof/>
              </w:rPr>
              <m:t>Q</m:t>
            </m:r>
          </m:e>
          <m:sub>
            <m:r>
              <w:rPr>
                <w:rFonts w:ascii="Cambria Math" w:hAnsi="Cambria Math"/>
                <w:noProof/>
              </w:rPr>
              <m:t>1</m:t>
            </m:r>
          </m:sub>
        </m:sSub>
      </m:oMath>
      <w:r>
        <w:t xml:space="preserve"> è data dalla seguente formula:</w:t>
      </w:r>
    </w:p>
    <w:p w:rsidR="00E000F9" w:rsidRPr="00C903F8" w:rsidRDefault="00624017" w:rsidP="00E000F9">
      <w:pPr>
        <w:pStyle w:val="ESch"/>
        <w:ind w:left="0" w:firstLine="0"/>
        <w:jc w:val="center"/>
        <w:rPr>
          <w:noProof/>
        </w:rPr>
      </w:pPr>
      <m:oMathPara>
        <m:oMath>
          <m:sSub>
            <m:sSubPr>
              <m:ctrlPr>
                <w:rPr>
                  <w:rFonts w:ascii="Cambria Math" w:hAnsi="Cambria Math"/>
                  <w:i/>
                  <w:noProof/>
                </w:rPr>
              </m:ctrlPr>
            </m:sSubPr>
            <m:e>
              <m:r>
                <w:rPr>
                  <w:rFonts w:ascii="Cambria Math" w:hAnsi="Cambria Math"/>
                  <w:noProof/>
                </w:rPr>
                <m:t>Q</m:t>
              </m:r>
            </m:e>
            <m:sub>
              <m:r>
                <w:rPr>
                  <w:rFonts w:ascii="Cambria Math" w:hAnsi="Cambria Math"/>
                  <w:noProof/>
                </w:rPr>
                <m:t>1</m:t>
              </m:r>
            </m:sub>
          </m:sSub>
          <m:r>
            <w:rPr>
              <w:rFonts w:ascii="Cambria Math" w:hAnsi="Cambria Math"/>
              <w:noProof/>
            </w:rPr>
            <m:t xml:space="preserve">=0,1 ∙ </m:t>
          </m:r>
          <m:sSup>
            <m:sSupPr>
              <m:ctrlPr>
                <w:rPr>
                  <w:rFonts w:ascii="Cambria Math" w:hAnsi="Cambria Math"/>
                  <w:i/>
                  <w:noProof/>
                </w:rPr>
              </m:ctrlPr>
            </m:sSupPr>
            <m:e>
              <m:sSub>
                <m:sSubPr>
                  <m:ctrlPr>
                    <w:rPr>
                      <w:rFonts w:ascii="Cambria Math" w:hAnsi="Cambria Math"/>
                      <w:i/>
                      <w:noProof/>
                    </w:rPr>
                  </m:ctrlPr>
                </m:sSubPr>
                <m:e>
                  <m:r>
                    <w:rPr>
                      <w:rFonts w:ascii="Cambria Math" w:hAnsi="Cambria Math"/>
                      <w:noProof/>
                    </w:rPr>
                    <m:t>d</m:t>
                  </m:r>
                </m:e>
                <m:sub>
                  <m:r>
                    <w:rPr>
                      <w:rFonts w:ascii="Cambria Math" w:hAnsi="Cambria Math"/>
                      <w:noProof/>
                    </w:rPr>
                    <m:t>1</m:t>
                  </m:r>
                </m:sub>
              </m:sSub>
            </m:e>
            <m:sup>
              <m:r>
                <w:rPr>
                  <w:rFonts w:ascii="Cambria Math" w:hAnsi="Cambria Math"/>
                  <w:noProof/>
                </w:rPr>
                <m:t>2</m:t>
              </m:r>
            </m:sup>
          </m:sSup>
          <m:r>
            <w:rPr>
              <w:rFonts w:ascii="Cambria Math" w:hAnsi="Cambria Math"/>
              <w:noProof/>
            </w:rPr>
            <m:t xml:space="preserve"> [l/min]</m:t>
          </m:r>
        </m:oMath>
      </m:oMathPara>
    </w:p>
    <w:p w:rsidR="00E000F9" w:rsidRPr="00C903F8" w:rsidRDefault="00E000F9" w:rsidP="00E000F9">
      <w:pPr>
        <w:pStyle w:val="ESch"/>
        <w:ind w:left="0" w:firstLine="0"/>
        <w:rPr>
          <w:noProof/>
        </w:rPr>
      </w:pPr>
    </w:p>
    <w:p w:rsidR="000B60B9" w:rsidRPr="00C903F8" w:rsidRDefault="00624017" w:rsidP="0089015B">
      <w:pPr>
        <w:pStyle w:val="ESchpar"/>
        <w:spacing w:before="60"/>
      </w:pPr>
      <m:oMath>
        <m:sSub>
          <m:sSubPr>
            <m:ctrlPr>
              <w:rPr>
                <w:rFonts w:ascii="Cambria Math" w:hAnsi="Cambria Math"/>
                <w:i/>
                <w:noProof/>
              </w:rPr>
            </m:ctrlPr>
          </m:sSubPr>
          <m:e>
            <m:r>
              <w:rPr>
                <w:rFonts w:ascii="Cambria Math" w:hAnsi="Cambria Math"/>
                <w:noProof/>
              </w:rPr>
              <m:t>d</m:t>
            </m:r>
          </m:e>
          <m:sub>
            <m:r>
              <w:rPr>
                <w:rFonts w:ascii="Cambria Math" w:hAnsi="Cambria Math"/>
                <w:noProof/>
              </w:rPr>
              <m:t>1</m:t>
            </m:r>
          </m:sub>
        </m:sSub>
      </m:oMath>
      <w:r w:rsidR="00801F1F">
        <w:t xml:space="preserve"> è dato dalla formula:</w:t>
      </w:r>
    </w:p>
    <w:p w:rsidR="00230288" w:rsidRPr="00C903F8" w:rsidRDefault="00230288" w:rsidP="0089015B">
      <w:pPr>
        <w:pStyle w:val="ESchpar"/>
        <w:spacing w:before="60"/>
      </w:pPr>
    </w:p>
    <w:p w:rsidR="00230288" w:rsidRPr="00C903F8" w:rsidRDefault="00624017" w:rsidP="00230288">
      <w:pPr>
        <w:pStyle w:val="ESch"/>
        <w:ind w:left="0" w:firstLine="0"/>
        <w:jc w:val="center"/>
        <w:rPr>
          <w:noProof/>
        </w:rPr>
      </w:pPr>
      <m:oMathPara>
        <m:oMath>
          <m:sSub>
            <m:sSubPr>
              <m:ctrlPr>
                <w:rPr>
                  <w:rFonts w:ascii="Cambria Math" w:hAnsi="Cambria Math"/>
                  <w:i/>
                  <w:noProof/>
                </w:rPr>
              </m:ctrlPr>
            </m:sSubPr>
            <m:e>
              <m:r>
                <w:rPr>
                  <w:rFonts w:ascii="Cambria Math" w:hAnsi="Cambria Math"/>
                  <w:noProof/>
                </w:rPr>
                <m:t>d</m:t>
              </m:r>
            </m:e>
            <m:sub>
              <m:r>
                <w:rPr>
                  <w:rFonts w:ascii="Cambria Math" w:hAnsi="Cambria Math"/>
                  <w:noProof/>
                </w:rPr>
                <m:t>1</m:t>
              </m:r>
            </m:sub>
          </m:sSub>
          <m:r>
            <w:rPr>
              <w:rFonts w:ascii="Cambria Math" w:hAnsi="Cambria Math"/>
              <w:noProof/>
            </w:rPr>
            <m:t xml:space="preserve">=1,5 ∙ </m:t>
          </m:r>
          <m:rad>
            <m:radPr>
              <m:degHide m:val="1"/>
              <m:ctrlPr>
                <w:rPr>
                  <w:rFonts w:ascii="Cambria Math" w:hAnsi="Cambria Math"/>
                  <w:i/>
                  <w:noProof/>
                </w:rPr>
              </m:ctrlPr>
            </m:radPr>
            <m:deg/>
            <m:e>
              <m:r>
                <w:rPr>
                  <w:rFonts w:ascii="Cambria Math" w:hAnsi="Cambria Math"/>
                  <w:noProof/>
                </w:rPr>
                <m:t xml:space="preserve">L </m:t>
              </m:r>
              <m:d>
                <m:dPr>
                  <m:ctrlPr>
                    <w:rPr>
                      <w:rFonts w:ascii="Cambria Math" w:hAnsi="Cambria Math"/>
                      <w:i/>
                      <w:noProof/>
                    </w:rPr>
                  </m:ctrlPr>
                </m:dPr>
                <m:e>
                  <m:r>
                    <w:rPr>
                      <w:rFonts w:ascii="Cambria Math" w:hAnsi="Cambria Math"/>
                      <w:noProof/>
                    </w:rPr>
                    <m:t>B+H</m:t>
                  </m:r>
                </m:e>
              </m:d>
            </m:e>
          </m:rad>
          <m:r>
            <w:rPr>
              <w:rFonts w:ascii="Cambria Math" w:hAnsi="Cambria Math"/>
              <w:noProof/>
            </w:rPr>
            <m:t>+25 [mm]</m:t>
          </m:r>
        </m:oMath>
      </m:oMathPara>
    </w:p>
    <w:p w:rsidR="000B60B9" w:rsidRPr="00C903F8" w:rsidRDefault="000B60B9" w:rsidP="0089015B">
      <w:pPr>
        <w:pStyle w:val="ESchpar"/>
      </w:pPr>
    </w:p>
    <w:p w:rsidR="000B60B9" w:rsidRPr="00C903F8" w:rsidRDefault="000B60B9" w:rsidP="0089015B">
      <w:pPr>
        <w:pStyle w:val="ESchpar"/>
        <w:rPr>
          <w:rFonts w:cs="Arial"/>
          <w:noProof/>
          <w:szCs w:val="20"/>
        </w:rPr>
      </w:pPr>
      <w:r>
        <w:t xml:space="preserve">La portata minima della seconda pompa di sentina </w:t>
      </w:r>
      <m:oMath>
        <m:sSub>
          <m:sSubPr>
            <m:ctrlPr>
              <w:rPr>
                <w:rFonts w:ascii="Cambria Math" w:hAnsi="Cambria Math"/>
                <w:i/>
                <w:noProof/>
              </w:rPr>
            </m:ctrlPr>
          </m:sSubPr>
          <m:e>
            <m:r>
              <w:rPr>
                <w:rFonts w:ascii="Cambria Math" w:hAnsi="Cambria Math"/>
                <w:noProof/>
              </w:rPr>
              <m:t>Q</m:t>
            </m:r>
          </m:e>
          <m:sub>
            <m:r>
              <w:rPr>
                <w:rFonts w:ascii="Cambria Math" w:hAnsi="Cambria Math"/>
                <w:noProof/>
              </w:rPr>
              <m:t>2</m:t>
            </m:r>
          </m:sub>
        </m:sSub>
      </m:oMath>
      <w:r>
        <w:t xml:space="preserve"> è data dalla seguente formula:</w:t>
      </w:r>
    </w:p>
    <w:p w:rsidR="000B60B9" w:rsidRPr="00C903F8" w:rsidRDefault="00624017" w:rsidP="00B079AF">
      <w:pPr>
        <w:pStyle w:val="ESchpar"/>
        <w:spacing w:before="60"/>
        <w:jc w:val="center"/>
      </w:pPr>
      <m:oMathPara>
        <m:oMath>
          <m:sSub>
            <m:sSubPr>
              <m:ctrlPr>
                <w:rPr>
                  <w:rFonts w:ascii="Cambria Math" w:hAnsi="Cambria Math"/>
                  <w:i/>
                  <w:noProof/>
                </w:rPr>
              </m:ctrlPr>
            </m:sSubPr>
            <m:e>
              <m:r>
                <w:rPr>
                  <w:rFonts w:ascii="Cambria Math" w:hAnsi="Cambria Math"/>
                  <w:noProof/>
                </w:rPr>
                <m:t>Q</m:t>
              </m:r>
            </m:e>
            <m:sub>
              <m:r>
                <w:rPr>
                  <w:rFonts w:ascii="Cambria Math" w:hAnsi="Cambria Math"/>
                  <w:noProof/>
                </w:rPr>
                <m:t>2</m:t>
              </m:r>
            </m:sub>
          </m:sSub>
          <m:r>
            <w:rPr>
              <w:rFonts w:ascii="Cambria Math" w:hAnsi="Cambria Math"/>
              <w:noProof/>
            </w:rPr>
            <m:t xml:space="preserve">=0,1 ∙ </m:t>
          </m:r>
          <m:sSup>
            <m:sSupPr>
              <m:ctrlPr>
                <w:rPr>
                  <w:rFonts w:ascii="Cambria Math" w:hAnsi="Cambria Math"/>
                  <w:i/>
                  <w:noProof/>
                </w:rPr>
              </m:ctrlPr>
            </m:sSupPr>
            <m:e>
              <m:sSub>
                <m:sSubPr>
                  <m:ctrlPr>
                    <w:rPr>
                      <w:rFonts w:ascii="Cambria Math" w:hAnsi="Cambria Math"/>
                      <w:i/>
                      <w:noProof/>
                    </w:rPr>
                  </m:ctrlPr>
                </m:sSubPr>
                <m:e>
                  <m:r>
                    <w:rPr>
                      <w:rFonts w:ascii="Cambria Math" w:hAnsi="Cambria Math"/>
                      <w:noProof/>
                    </w:rPr>
                    <m:t>d</m:t>
                  </m:r>
                </m:e>
                <m:sub>
                  <m:r>
                    <w:rPr>
                      <w:rFonts w:ascii="Cambria Math" w:hAnsi="Cambria Math"/>
                      <w:noProof/>
                    </w:rPr>
                    <m:t>2</m:t>
                  </m:r>
                </m:sub>
              </m:sSub>
            </m:e>
            <m:sup>
              <m:r>
                <w:rPr>
                  <w:rFonts w:ascii="Cambria Math" w:hAnsi="Cambria Math"/>
                  <w:noProof/>
                </w:rPr>
                <m:t>2</m:t>
              </m:r>
            </m:sup>
          </m:sSup>
          <m:r>
            <w:rPr>
              <w:rFonts w:ascii="Cambria Math" w:hAnsi="Cambria Math"/>
              <w:noProof/>
            </w:rPr>
            <m:t xml:space="preserve"> [l/min]</m:t>
          </m:r>
        </m:oMath>
      </m:oMathPara>
    </w:p>
    <w:p w:rsidR="000B60B9" w:rsidRPr="00C903F8" w:rsidRDefault="00624017" w:rsidP="0089015B">
      <w:pPr>
        <w:pStyle w:val="ESchpar"/>
        <w:spacing w:before="60"/>
        <w:rPr>
          <w:rFonts w:cs="Arial"/>
          <w:szCs w:val="20"/>
        </w:rPr>
      </w:pPr>
      <m:oMath>
        <m:sSub>
          <m:sSubPr>
            <m:ctrlPr>
              <w:rPr>
                <w:rFonts w:ascii="Cambria Math" w:hAnsi="Cambria Math"/>
                <w:i/>
                <w:noProof/>
              </w:rPr>
            </m:ctrlPr>
          </m:sSubPr>
          <m:e>
            <m:r>
              <w:rPr>
                <w:rFonts w:ascii="Cambria Math" w:hAnsi="Cambria Math"/>
                <w:noProof/>
              </w:rPr>
              <m:t>d</m:t>
            </m:r>
          </m:e>
          <m:sub>
            <m:r>
              <w:rPr>
                <w:rFonts w:ascii="Cambria Math" w:hAnsi="Cambria Math"/>
                <w:noProof/>
              </w:rPr>
              <m:t>2</m:t>
            </m:r>
          </m:sub>
        </m:sSub>
      </m:oMath>
      <w:r w:rsidR="00801F1F">
        <w:t xml:space="preserve"> è dato dalla formula:</w:t>
      </w:r>
    </w:p>
    <w:p w:rsidR="00230288" w:rsidRPr="00C903F8" w:rsidRDefault="00230288" w:rsidP="0089015B">
      <w:pPr>
        <w:pStyle w:val="ESchpar"/>
        <w:spacing w:before="60"/>
      </w:pPr>
    </w:p>
    <w:p w:rsidR="00230288" w:rsidRPr="00C903F8" w:rsidRDefault="00624017" w:rsidP="00230288">
      <w:pPr>
        <w:pStyle w:val="ESch"/>
        <w:ind w:left="0" w:firstLine="0"/>
        <w:jc w:val="center"/>
        <w:rPr>
          <w:noProof/>
        </w:rPr>
      </w:pPr>
      <m:oMathPara>
        <m:oMath>
          <m:sSub>
            <m:sSubPr>
              <m:ctrlPr>
                <w:rPr>
                  <w:rFonts w:ascii="Cambria Math" w:hAnsi="Cambria Math"/>
                  <w:i/>
                  <w:noProof/>
                </w:rPr>
              </m:ctrlPr>
            </m:sSubPr>
            <m:e>
              <m:r>
                <w:rPr>
                  <w:rFonts w:ascii="Cambria Math" w:hAnsi="Cambria Math"/>
                  <w:noProof/>
                </w:rPr>
                <m:t>d</m:t>
              </m:r>
            </m:e>
            <m:sub>
              <m:r>
                <w:rPr>
                  <w:rFonts w:ascii="Cambria Math" w:hAnsi="Cambria Math"/>
                  <w:noProof/>
                </w:rPr>
                <m:t>2</m:t>
              </m:r>
            </m:sub>
          </m:sSub>
          <m:r>
            <w:rPr>
              <w:rFonts w:ascii="Cambria Math" w:hAnsi="Cambria Math"/>
              <w:noProof/>
            </w:rPr>
            <m:t xml:space="preserve">=2 ∙ </m:t>
          </m:r>
          <m:rad>
            <m:radPr>
              <m:degHide m:val="1"/>
              <m:ctrlPr>
                <w:rPr>
                  <w:rFonts w:ascii="Cambria Math" w:hAnsi="Cambria Math"/>
                  <w:i/>
                  <w:noProof/>
                </w:rPr>
              </m:ctrlPr>
            </m:radPr>
            <m:deg/>
            <m:e>
              <m:r>
                <w:rPr>
                  <w:rFonts w:ascii="Cambria Math" w:hAnsi="Cambria Math"/>
                  <w:noProof/>
                </w:rPr>
                <m:t xml:space="preserve">l </m:t>
              </m:r>
              <m:d>
                <m:dPr>
                  <m:ctrlPr>
                    <w:rPr>
                      <w:rFonts w:ascii="Cambria Math" w:hAnsi="Cambria Math"/>
                      <w:i/>
                      <w:noProof/>
                    </w:rPr>
                  </m:ctrlPr>
                </m:dPr>
                <m:e>
                  <m:r>
                    <w:rPr>
                      <w:rFonts w:ascii="Cambria Math" w:hAnsi="Cambria Math"/>
                      <w:noProof/>
                    </w:rPr>
                    <m:t>B+H</m:t>
                  </m:r>
                </m:e>
              </m:d>
            </m:e>
          </m:rad>
          <m:r>
            <w:rPr>
              <w:rFonts w:ascii="Cambria Math" w:hAnsi="Cambria Math"/>
              <w:noProof/>
            </w:rPr>
            <m:t>+25 [mm]</m:t>
          </m:r>
        </m:oMath>
      </m:oMathPara>
    </w:p>
    <w:p w:rsidR="00230288" w:rsidRPr="00C903F8" w:rsidRDefault="00230288" w:rsidP="0089015B">
      <w:pPr>
        <w:pStyle w:val="ESchpar"/>
        <w:spacing w:before="60"/>
      </w:pPr>
    </w:p>
    <w:p w:rsidR="00E24808" w:rsidRPr="00C903F8" w:rsidRDefault="00480E5E" w:rsidP="002C0EB8">
      <w:pPr>
        <w:pStyle w:val="ESlet"/>
      </w:pPr>
      <w:r>
        <w:t xml:space="preserve">Non si può, tuttavia, assumere un valore </w:t>
      </w:r>
      <m:oMath>
        <m:sSub>
          <m:sSubPr>
            <m:ctrlPr>
              <w:rPr>
                <w:rFonts w:ascii="Cambria Math" w:hAnsi="Cambria Math"/>
                <w:i/>
                <w:noProof/>
              </w:rPr>
            </m:ctrlPr>
          </m:sSubPr>
          <m:e>
            <m:r>
              <w:rPr>
                <w:rFonts w:ascii="Cambria Math" w:hAnsi="Cambria Math"/>
                <w:noProof/>
              </w:rPr>
              <m:t>d</m:t>
            </m:r>
          </m:e>
          <m:sub>
            <m:r>
              <w:rPr>
                <w:rFonts w:ascii="Cambria Math" w:hAnsi="Cambria Math"/>
                <w:noProof/>
              </w:rPr>
              <m:t>2</m:t>
            </m:r>
          </m:sub>
        </m:sSub>
      </m:oMath>
      <w:r>
        <w:t xml:space="preserve"> superiore al valore </w:t>
      </w:r>
      <m:oMath>
        <m:sSub>
          <m:sSubPr>
            <m:ctrlPr>
              <w:rPr>
                <w:rFonts w:ascii="Cambria Math" w:hAnsi="Cambria Math"/>
                <w:i/>
                <w:noProof/>
              </w:rPr>
            </m:ctrlPr>
          </m:sSubPr>
          <m:e>
            <m:r>
              <w:rPr>
                <w:rFonts w:ascii="Cambria Math" w:hAnsi="Cambria Math"/>
                <w:noProof/>
              </w:rPr>
              <m:t>d</m:t>
            </m:r>
          </m:e>
          <m:sub>
            <m:r>
              <w:rPr>
                <w:rFonts w:ascii="Cambria Math" w:hAnsi="Cambria Math"/>
                <w:noProof/>
              </w:rPr>
              <m:t>1</m:t>
            </m:r>
          </m:sub>
        </m:sSub>
      </m:oMath>
      <w:r>
        <w:t>.</w:t>
      </w:r>
    </w:p>
    <w:p w:rsidR="00E24808" w:rsidRPr="00C903F8" w:rsidRDefault="00E24808" w:rsidP="002C0EB8">
      <w:pPr>
        <w:pStyle w:val="ESlet"/>
      </w:pPr>
      <w:r>
        <w:t xml:space="preserve">Per determinare </w:t>
      </w:r>
      <m:oMath>
        <m:sSub>
          <m:sSubPr>
            <m:ctrlPr>
              <w:rPr>
                <w:rFonts w:ascii="Cambria Math" w:hAnsi="Cambria Math"/>
                <w:i/>
                <w:noProof/>
              </w:rPr>
            </m:ctrlPr>
          </m:sSubPr>
          <m:e>
            <m:r>
              <w:rPr>
                <w:rFonts w:ascii="Cambria Math" w:hAnsi="Cambria Math"/>
                <w:noProof/>
              </w:rPr>
              <m:t>Q</m:t>
            </m:r>
          </m:e>
          <m:sub>
            <m:r>
              <w:rPr>
                <w:rFonts w:ascii="Cambria Math" w:hAnsi="Cambria Math"/>
                <w:noProof/>
              </w:rPr>
              <m:t>2</m:t>
            </m:r>
          </m:sub>
        </m:sSub>
      </m:oMath>
      <w:r>
        <w:t xml:space="preserve">, si assumerà come valore </w:t>
      </w:r>
      <m:oMath>
        <m:r>
          <w:rPr>
            <w:rFonts w:ascii="Cambria Math" w:hAnsi="Cambria Math"/>
          </w:rPr>
          <m:t>l</m:t>
        </m:r>
      </m:oMath>
      <w:r>
        <w:t xml:space="preserve"> la lunghezza del compartimento stagno all'acqua più lungo.</w:t>
      </w:r>
    </w:p>
    <w:p w:rsidR="00FA096B" w:rsidRPr="00C903F8" w:rsidRDefault="00FA096B" w:rsidP="000B60B9"/>
    <w:p w:rsidR="00E24808" w:rsidRPr="00C903F8" w:rsidRDefault="00E24808" w:rsidP="002C0EB8">
      <w:pPr>
        <w:pStyle w:val="ESlet"/>
      </w:pPr>
      <w:r>
        <w:t xml:space="preserve">In queste formule: </w:t>
      </w:r>
    </w:p>
    <w:p w:rsidR="00E24808" w:rsidRPr="00C903F8" w:rsidRDefault="00230288" w:rsidP="002C0EB8">
      <w:pPr>
        <w:pStyle w:val="ESlet"/>
      </w:pPr>
      <m:oMath>
        <m:r>
          <w:rPr>
            <w:rFonts w:ascii="Cambria Math" w:hAnsi="Cambria Math"/>
          </w:rPr>
          <m:t>l</m:t>
        </m:r>
      </m:oMath>
      <w:r>
        <w:tab/>
        <w:t>lunghezza del compartimento stagno all'acqua considerato [m];</w:t>
      </w:r>
    </w:p>
    <w:p w:rsidR="00E24808" w:rsidRPr="00C903F8" w:rsidRDefault="00624017" w:rsidP="002C0EB8">
      <w:pPr>
        <w:pStyle w:val="ESlet"/>
      </w:pPr>
      <m:oMath>
        <m:sSub>
          <m:sSubPr>
            <m:ctrlPr>
              <w:rPr>
                <w:rFonts w:ascii="Cambria Math" w:hAnsi="Cambria Math"/>
                <w:i/>
                <w:noProof/>
              </w:rPr>
            </m:ctrlPr>
          </m:sSubPr>
          <m:e>
            <m:r>
              <w:rPr>
                <w:rFonts w:ascii="Cambria Math" w:hAnsi="Cambria Math"/>
                <w:noProof/>
              </w:rPr>
              <m:t>d</m:t>
            </m:r>
          </m:e>
          <m:sub>
            <m:r>
              <w:rPr>
                <w:rFonts w:ascii="Cambria Math" w:hAnsi="Cambria Math"/>
                <w:noProof/>
              </w:rPr>
              <m:t>1</m:t>
            </m:r>
          </m:sub>
        </m:sSub>
      </m:oMath>
      <w:r w:rsidR="00801F1F">
        <w:tab/>
        <w:t>diametro interno calcolato del collettore principale [mm];</w:t>
      </w:r>
    </w:p>
    <w:p w:rsidR="00E24808" w:rsidRPr="00C903F8" w:rsidRDefault="00624017" w:rsidP="002C0EB8">
      <w:pPr>
        <w:pStyle w:val="ESlet"/>
      </w:pPr>
      <m:oMath>
        <m:sSub>
          <m:sSubPr>
            <m:ctrlPr>
              <w:rPr>
                <w:rFonts w:ascii="Cambria Math" w:hAnsi="Cambria Math"/>
                <w:i/>
                <w:noProof/>
              </w:rPr>
            </m:ctrlPr>
          </m:sSubPr>
          <m:e>
            <m:r>
              <w:rPr>
                <w:rFonts w:ascii="Cambria Math" w:hAnsi="Cambria Math"/>
                <w:noProof/>
              </w:rPr>
              <m:t>d</m:t>
            </m:r>
          </m:e>
          <m:sub>
            <m:r>
              <w:rPr>
                <w:rFonts w:ascii="Cambria Math" w:hAnsi="Cambria Math"/>
                <w:noProof/>
              </w:rPr>
              <m:t>2</m:t>
            </m:r>
          </m:sub>
        </m:sSub>
      </m:oMath>
      <w:r w:rsidR="00801F1F">
        <w:tab/>
        <w:t>diametro interno calcolato del branchetto d'aspirazione [mm].</w:t>
      </w:r>
    </w:p>
    <w:p w:rsidR="00FA096B" w:rsidRPr="00C903F8" w:rsidRDefault="00FA096B" w:rsidP="00E24808">
      <w:pPr>
        <w:rPr>
          <w:rFonts w:cs="Arial"/>
          <w:noProof/>
          <w:szCs w:val="20"/>
        </w:rPr>
      </w:pPr>
    </w:p>
    <w:p w:rsidR="0089015B" w:rsidRPr="00C903F8" w:rsidRDefault="0089015B" w:rsidP="00E24808">
      <w:pPr>
        <w:rPr>
          <w:rFonts w:cs="Arial"/>
          <w:noProof/>
          <w:szCs w:val="20"/>
        </w:rPr>
      </w:pPr>
      <w:r>
        <w:br w:type="page"/>
      </w:r>
    </w:p>
    <w:p w:rsidR="00E24808" w:rsidRPr="00C903F8" w:rsidRDefault="00E24808" w:rsidP="0089015B">
      <w:pPr>
        <w:pStyle w:val="ESch"/>
      </w:pPr>
      <w:r>
        <w:lastRenderedPageBreak/>
        <w:t>4.</w:t>
      </w:r>
      <w:r>
        <w:tab/>
        <w:t xml:space="preserve">Quando le pompe di sentina sono raccordate a un sistema di esaurimento, i tubi di prosciugamento hanno un diametro interno almeno pari, in mm, a </w:t>
      </w:r>
      <m:oMath>
        <m:sSub>
          <m:sSubPr>
            <m:ctrlPr>
              <w:rPr>
                <w:rFonts w:ascii="Cambria Math" w:hAnsi="Cambria Math"/>
                <w:i/>
                <w:noProof/>
              </w:rPr>
            </m:ctrlPr>
          </m:sSubPr>
          <m:e>
            <m:r>
              <w:rPr>
                <w:rFonts w:ascii="Cambria Math" w:hAnsi="Cambria Math"/>
                <w:noProof/>
              </w:rPr>
              <m:t>d</m:t>
            </m:r>
          </m:e>
          <m:sub>
            <m:r>
              <w:rPr>
                <w:rFonts w:ascii="Cambria Math" w:hAnsi="Cambria Math"/>
                <w:noProof/>
              </w:rPr>
              <m:t>1</m:t>
            </m:r>
          </m:sub>
        </m:sSub>
      </m:oMath>
      <w:r>
        <w:t xml:space="preserve"> e i branchetti d'aspirazione un diametro interno almeno pari, in mm, a </w:t>
      </w:r>
      <m:oMath>
        <m:sSub>
          <m:sSubPr>
            <m:ctrlPr>
              <w:rPr>
                <w:rFonts w:ascii="Cambria Math" w:hAnsi="Cambria Math"/>
                <w:i/>
                <w:noProof/>
              </w:rPr>
            </m:ctrlPr>
          </m:sSubPr>
          <m:e>
            <m:r>
              <w:rPr>
                <w:rFonts w:ascii="Cambria Math" w:hAnsi="Cambria Math"/>
                <w:noProof/>
              </w:rPr>
              <m:t>d</m:t>
            </m:r>
          </m:e>
          <m:sub>
            <m:r>
              <w:rPr>
                <w:rFonts w:ascii="Cambria Math" w:hAnsi="Cambria Math"/>
                <w:noProof/>
              </w:rPr>
              <m:t>2</m:t>
            </m:r>
          </m:sub>
        </m:sSub>
      </m:oMath>
      <w:r>
        <w:t>.</w:t>
      </w:r>
    </w:p>
    <w:p w:rsidR="00FA096B" w:rsidRPr="00C903F8" w:rsidRDefault="00FA096B" w:rsidP="00E24808">
      <w:pPr>
        <w:rPr>
          <w:rFonts w:cs="Arial"/>
          <w:noProof/>
          <w:szCs w:val="20"/>
        </w:rPr>
      </w:pPr>
    </w:p>
    <w:p w:rsidR="00E24808" w:rsidRPr="00C903F8" w:rsidRDefault="00E24808" w:rsidP="0089015B">
      <w:pPr>
        <w:pStyle w:val="ESchpar"/>
      </w:pPr>
      <w:r>
        <w:t xml:space="preserve">Qualora la lunghezza delle navi </w:t>
      </w:r>
      <m:oMath>
        <m:r>
          <w:rPr>
            <w:rFonts w:ascii="Cambria Math" w:hAnsi="Cambria Math"/>
            <w:noProof/>
          </w:rPr>
          <m:t>L</m:t>
        </m:r>
      </m:oMath>
      <w:r>
        <w:t xml:space="preserve"> sia inferiore a 25 m, i valori </w:t>
      </w:r>
      <m:oMath>
        <m:sSub>
          <m:sSubPr>
            <m:ctrlPr>
              <w:rPr>
                <w:rFonts w:ascii="Cambria Math" w:hAnsi="Cambria Math"/>
                <w:i/>
                <w:noProof/>
              </w:rPr>
            </m:ctrlPr>
          </m:sSubPr>
          <m:e>
            <m:r>
              <w:rPr>
                <w:rFonts w:ascii="Cambria Math" w:hAnsi="Cambria Math"/>
                <w:noProof/>
              </w:rPr>
              <m:t>d</m:t>
            </m:r>
          </m:e>
          <m:sub>
            <m:r>
              <w:rPr>
                <w:rFonts w:ascii="Cambria Math" w:hAnsi="Cambria Math"/>
                <w:noProof/>
              </w:rPr>
              <m:t>1</m:t>
            </m:r>
          </m:sub>
        </m:sSub>
      </m:oMath>
      <w:r>
        <w:t xml:space="preserve"> e </w:t>
      </w:r>
      <m:oMath>
        <m:sSub>
          <m:sSubPr>
            <m:ctrlPr>
              <w:rPr>
                <w:rFonts w:ascii="Cambria Math" w:hAnsi="Cambria Math"/>
                <w:i/>
                <w:noProof/>
              </w:rPr>
            </m:ctrlPr>
          </m:sSubPr>
          <m:e>
            <m:r>
              <w:rPr>
                <w:rFonts w:ascii="Cambria Math" w:hAnsi="Cambria Math"/>
                <w:noProof/>
              </w:rPr>
              <m:t>d</m:t>
            </m:r>
          </m:e>
          <m:sub>
            <m:r>
              <w:rPr>
                <w:rFonts w:ascii="Cambria Math" w:hAnsi="Cambria Math"/>
                <w:noProof/>
              </w:rPr>
              <m:t>2</m:t>
            </m:r>
          </m:sub>
        </m:sSub>
      </m:oMath>
      <w:r>
        <w:t xml:space="preserve"> possono essere ridotti a 35 mm.</w:t>
      </w:r>
    </w:p>
    <w:p w:rsidR="00FA096B" w:rsidRPr="00C903F8" w:rsidRDefault="00FA096B" w:rsidP="0089015B">
      <w:pPr>
        <w:pStyle w:val="ESch"/>
        <w:rPr>
          <w:noProof/>
        </w:rPr>
      </w:pPr>
    </w:p>
    <w:p w:rsidR="00E24808" w:rsidRPr="00C903F8" w:rsidRDefault="00E24808" w:rsidP="0089015B">
      <w:pPr>
        <w:pStyle w:val="ESch"/>
      </w:pPr>
      <w:r>
        <w:t>5.</w:t>
      </w:r>
      <w:r>
        <w:tab/>
        <w:t>Sono ammesse soltanto le pompe di sentina autoadescanti.</w:t>
      </w:r>
    </w:p>
    <w:p w:rsidR="00FA096B" w:rsidRPr="00C903F8" w:rsidRDefault="00FA096B" w:rsidP="0089015B">
      <w:pPr>
        <w:pStyle w:val="ESch"/>
        <w:rPr>
          <w:noProof/>
        </w:rPr>
      </w:pPr>
    </w:p>
    <w:p w:rsidR="00E24808" w:rsidRPr="00C903F8" w:rsidRDefault="00E24808" w:rsidP="0089015B">
      <w:pPr>
        <w:pStyle w:val="ESch"/>
      </w:pPr>
      <w:r>
        <w:t>6.</w:t>
      </w:r>
      <w:r>
        <w:tab/>
        <w:t>In ogni compartimento da prosciugare a fondo piatto di larghezza superiore a 5 m, è prevista almeno una pigna d'aspirazione su entrambi i lati.</w:t>
      </w:r>
    </w:p>
    <w:p w:rsidR="00FA096B" w:rsidRPr="00C903F8" w:rsidRDefault="00FA096B" w:rsidP="0089015B">
      <w:pPr>
        <w:pStyle w:val="ESch"/>
        <w:rPr>
          <w:noProof/>
        </w:rPr>
      </w:pPr>
    </w:p>
    <w:p w:rsidR="00E24808" w:rsidRPr="00C903F8" w:rsidRDefault="00E24808" w:rsidP="0089015B">
      <w:pPr>
        <w:pStyle w:val="ESch"/>
      </w:pPr>
      <w:r>
        <w:t>7.</w:t>
      </w:r>
      <w:r>
        <w:tab/>
        <w:t>L'esaurimento del gavone di poppa può essere effettuato dalla sala macchine principale mediante una tubolatura a chiusura automatica facilmente accessibile.</w:t>
      </w:r>
    </w:p>
    <w:p w:rsidR="00FA096B" w:rsidRPr="00C903F8" w:rsidRDefault="00FA096B" w:rsidP="0089015B">
      <w:pPr>
        <w:pStyle w:val="ESch"/>
        <w:rPr>
          <w:noProof/>
        </w:rPr>
      </w:pPr>
    </w:p>
    <w:p w:rsidR="00E24808" w:rsidRPr="00C903F8" w:rsidRDefault="00E24808" w:rsidP="0089015B">
      <w:pPr>
        <w:pStyle w:val="ESch"/>
      </w:pPr>
      <w:r>
        <w:t>8.</w:t>
      </w:r>
      <w:r>
        <w:tab/>
        <w:t>I branchetti d'aspirazione dei singoli compartimenti sono raccordati al collettore principale tramite una valvola di non ritorno bloccabile.</w:t>
      </w:r>
    </w:p>
    <w:p w:rsidR="00FA096B" w:rsidRPr="00C903F8" w:rsidRDefault="00FA096B" w:rsidP="0089015B">
      <w:pPr>
        <w:pStyle w:val="ESch"/>
        <w:rPr>
          <w:noProof/>
        </w:rPr>
      </w:pPr>
    </w:p>
    <w:p w:rsidR="00E24808" w:rsidRPr="00C903F8" w:rsidRDefault="00E24808" w:rsidP="0089015B">
      <w:pPr>
        <w:pStyle w:val="ESchpar"/>
      </w:pPr>
      <w:r>
        <w:t>I compartimenti o altri locali adibiti a servizio di zavorra sono raccordati al sistema di esaurimento solo mediante un semplice dispositivo di chiusura. Tale requisito non si applica alle stive attrezzate per il servizio di zavorra. Il riempimento di queste stive con acqua di zavorra è effettuato mediante un'apposita tubolatura fissa e indipendente dalle tubolature di prosciugamento o mediante branchetti da raccordare al collettore principale di prosciugamento tramite tubi o adattatori flessibili. A tal fine non sono ammesse valvole per presa d'acqua poste in fondo alla stiva.</w:t>
      </w:r>
    </w:p>
    <w:p w:rsidR="00FA096B" w:rsidRPr="00C903F8" w:rsidRDefault="00FA096B" w:rsidP="0089015B">
      <w:pPr>
        <w:pStyle w:val="ESch"/>
        <w:rPr>
          <w:noProof/>
        </w:rPr>
      </w:pPr>
    </w:p>
    <w:p w:rsidR="00E24808" w:rsidRPr="00C903F8" w:rsidRDefault="00E24808" w:rsidP="0089015B">
      <w:pPr>
        <w:pStyle w:val="ESch"/>
      </w:pPr>
      <w:r>
        <w:t>9.</w:t>
      </w:r>
      <w:r>
        <w:tab/>
        <w:t>Il fondo delle stive è dotato di dispositivi di misurazione.</w:t>
      </w:r>
    </w:p>
    <w:p w:rsidR="00FA096B" w:rsidRPr="00C903F8" w:rsidRDefault="00FA096B" w:rsidP="0089015B">
      <w:pPr>
        <w:pStyle w:val="ESch"/>
        <w:rPr>
          <w:noProof/>
        </w:rPr>
      </w:pPr>
    </w:p>
    <w:p w:rsidR="00E24808" w:rsidRPr="00C903F8" w:rsidRDefault="00E24808" w:rsidP="0089015B">
      <w:pPr>
        <w:pStyle w:val="ESch"/>
      </w:pPr>
      <w:r>
        <w:t>10.</w:t>
      </w:r>
      <w:r>
        <w:tab/>
        <w:t>Nel caso di un sistema di esaurimento a tubolature fisse, i tubi per prosciugare le sentine destinate alla raccolta delle acque oleose sono dotati di dispositivi di chiusura impiombati in posizione chiusa da una commissione di ispezione. Il numero e la collocazione di tali dispositivi di chiusura sono menzionati nel certificato per la navigazione interna.</w:t>
      </w:r>
    </w:p>
    <w:p w:rsidR="0089015B" w:rsidRPr="00C903F8" w:rsidRDefault="0089015B" w:rsidP="0089015B">
      <w:pPr>
        <w:pStyle w:val="ESch"/>
        <w:rPr>
          <w:noProof/>
        </w:rPr>
      </w:pPr>
    </w:p>
    <w:p w:rsidR="00E24808" w:rsidRPr="00C903F8" w:rsidRDefault="00E24808" w:rsidP="0089015B">
      <w:pPr>
        <w:pStyle w:val="ESch"/>
      </w:pPr>
      <w:r>
        <w:t>11.</w:t>
      </w:r>
      <w:r>
        <w:tab/>
        <w:t>Il blocco dei dispositivi di chiusura è considerato equivalente all'impiombatura di detti dispositivi conformemente al precedente paragrafo 10. La chiave o le chiavi per bloccare i dispositivi di chiusura sono opportunamente indicate e conservate in un luogo segnalato e facilmente accessibile della sala macchine.</w:t>
      </w:r>
    </w:p>
    <w:p w:rsidR="00E24808" w:rsidRPr="00C903F8" w:rsidRDefault="00E24808" w:rsidP="00E24808">
      <w:pPr>
        <w:rPr>
          <w:rFonts w:cs="Arial"/>
          <w:szCs w:val="20"/>
        </w:rPr>
      </w:pPr>
    </w:p>
    <w:p w:rsidR="00FA096B" w:rsidRPr="00C903F8" w:rsidRDefault="00FA096B" w:rsidP="00E24808">
      <w:pPr>
        <w:rPr>
          <w:rFonts w:cs="Arial"/>
          <w:szCs w:val="20"/>
        </w:rPr>
      </w:pPr>
    </w:p>
    <w:p w:rsidR="00E24808" w:rsidRPr="00C903F8" w:rsidRDefault="00E24808" w:rsidP="00FA096B">
      <w:pPr>
        <w:pStyle w:val="ES-Titre3"/>
      </w:pPr>
      <w:bookmarkStart w:id="128" w:name="_Toc491854064"/>
      <w:bookmarkStart w:id="129" w:name="_Toc535500013"/>
      <w:r>
        <w:t>Articolo 8.09</w:t>
      </w:r>
      <w:r>
        <w:br/>
      </w:r>
      <w:r>
        <w:rPr>
          <w:i/>
          <w:noProof/>
        </w:rPr>
        <w:t>Dispositivi di raccolta delle acque oleose e degli oli usati</w:t>
      </w:r>
      <w:bookmarkEnd w:id="128"/>
      <w:bookmarkEnd w:id="129"/>
    </w:p>
    <w:p w:rsidR="00FA096B" w:rsidRPr="00C903F8" w:rsidRDefault="00FA096B" w:rsidP="00E24808">
      <w:pPr>
        <w:rPr>
          <w:rFonts w:cs="Arial"/>
          <w:noProof/>
          <w:szCs w:val="20"/>
        </w:rPr>
      </w:pPr>
    </w:p>
    <w:p w:rsidR="00E24808" w:rsidRPr="00C903F8" w:rsidRDefault="00E24808" w:rsidP="0089015B">
      <w:pPr>
        <w:pStyle w:val="ESch"/>
      </w:pPr>
      <w:r>
        <w:t>1.</w:t>
      </w:r>
      <w:r>
        <w:tab/>
        <w:t>Le acque oleose risultanti dall'utilizzazione della nave devono poter essere stoccate a bordo. La sentina della sala macchine è destinata a tal fine.</w:t>
      </w:r>
    </w:p>
    <w:p w:rsidR="00FA096B" w:rsidRPr="00C903F8" w:rsidRDefault="00FA096B" w:rsidP="0089015B">
      <w:pPr>
        <w:pStyle w:val="ESch"/>
        <w:rPr>
          <w:noProof/>
        </w:rPr>
      </w:pPr>
    </w:p>
    <w:p w:rsidR="00E24808" w:rsidRPr="00C903F8" w:rsidRDefault="00E24808" w:rsidP="0089015B">
      <w:pPr>
        <w:pStyle w:val="ESch"/>
      </w:pPr>
      <w:r>
        <w:t>2.</w:t>
      </w:r>
      <w:r>
        <w:tab/>
        <w:t>Per la raccolta degli oli usati, nelle sale macchine sono previsti uno o più contenitori specifici la cui capacità corrisponda almeno a 1,5 volte la quantità di oli usati provenienti dai carter di tutti i motori a combustione interna e di tutti gli impianti di trasmissione installati, nonché degli oli idraulici provenienti dagli appositi serbatoi.</w:t>
      </w:r>
    </w:p>
    <w:p w:rsidR="00FA096B" w:rsidRPr="00C903F8" w:rsidRDefault="00FA096B" w:rsidP="0089015B">
      <w:pPr>
        <w:pStyle w:val="ESch"/>
        <w:rPr>
          <w:noProof/>
        </w:rPr>
      </w:pPr>
    </w:p>
    <w:p w:rsidR="00E24808" w:rsidRPr="00C903F8" w:rsidRDefault="00E24808" w:rsidP="0089015B">
      <w:pPr>
        <w:pStyle w:val="ESchpar"/>
      </w:pPr>
      <w:r>
        <w:t xml:space="preserve">I raccordi per lo svuotamento dei contenitori di cui sopra sono conformi alla norma europea EN 1305:1996. </w:t>
      </w:r>
    </w:p>
    <w:p w:rsidR="0063454C" w:rsidRDefault="0063454C" w:rsidP="0089015B">
      <w:pPr>
        <w:pStyle w:val="ESch"/>
        <w:rPr>
          <w:noProof/>
        </w:rPr>
      </w:pPr>
    </w:p>
    <w:p w:rsidR="00E24808" w:rsidRPr="00C903F8" w:rsidRDefault="00E24808" w:rsidP="0089015B">
      <w:pPr>
        <w:pStyle w:val="ESch"/>
      </w:pPr>
      <w:r>
        <w:t>3.</w:t>
      </w:r>
      <w:r>
        <w:tab/>
        <w:t>Nel caso di navi usate solo per navigazione a corto raggio, la commissione di ispezione può accordare deroghe ai requisiti di cui al paragrafo 2.</w:t>
      </w:r>
    </w:p>
    <w:p w:rsidR="00E24808" w:rsidRPr="00C903F8" w:rsidRDefault="00E24808" w:rsidP="009622D2">
      <w:pPr>
        <w:pStyle w:val="ESch"/>
      </w:pPr>
    </w:p>
    <w:p w:rsidR="00FA096B" w:rsidRPr="00C903F8" w:rsidRDefault="00FA096B" w:rsidP="009622D2">
      <w:pPr>
        <w:pStyle w:val="ESch"/>
      </w:pPr>
    </w:p>
    <w:p w:rsidR="0063454C" w:rsidRDefault="0063454C">
      <w:pPr>
        <w:autoSpaceDE/>
        <w:autoSpaceDN/>
        <w:ind w:left="0" w:firstLine="0"/>
        <w:jc w:val="left"/>
        <w:rPr>
          <w:rFonts w:eastAsia="Calibri"/>
          <w:b/>
          <w:noProof/>
          <w:sz w:val="22"/>
          <w:szCs w:val="22"/>
        </w:rPr>
      </w:pPr>
      <w:r>
        <w:br w:type="page"/>
      </w:r>
    </w:p>
    <w:p w:rsidR="00E24808" w:rsidRPr="00C903F8" w:rsidRDefault="00E24808" w:rsidP="00FA096B">
      <w:pPr>
        <w:pStyle w:val="ES-Titre3"/>
      </w:pPr>
      <w:bookmarkStart w:id="130" w:name="_Toc491854065"/>
      <w:bookmarkStart w:id="131" w:name="_Toc535500014"/>
      <w:r>
        <w:lastRenderedPageBreak/>
        <w:t>Articolo 8.10</w:t>
      </w:r>
      <w:r>
        <w:br/>
      </w:r>
      <w:r>
        <w:rPr>
          <w:i/>
          <w:noProof/>
        </w:rPr>
        <w:t>Rumore prodotto dalle navi</w:t>
      </w:r>
      <w:bookmarkEnd w:id="130"/>
      <w:bookmarkEnd w:id="131"/>
    </w:p>
    <w:p w:rsidR="00FA096B" w:rsidRPr="00C903F8" w:rsidRDefault="00FA096B" w:rsidP="00E24808">
      <w:pPr>
        <w:rPr>
          <w:rFonts w:cs="Arial"/>
          <w:noProof/>
          <w:szCs w:val="20"/>
        </w:rPr>
      </w:pPr>
    </w:p>
    <w:p w:rsidR="00E24808" w:rsidRPr="00C903F8" w:rsidRDefault="00E24808" w:rsidP="0089015B">
      <w:pPr>
        <w:pStyle w:val="ESch"/>
      </w:pPr>
      <w:r>
        <w:t>1.</w:t>
      </w:r>
      <w:r>
        <w:tab/>
        <w:t>Il rumore prodotto da una nave in navigazione, e in particolare i rumori d'aspirazione e di scarico dei motori, sono smorzati con mezzi adeguati.</w:t>
      </w:r>
    </w:p>
    <w:p w:rsidR="00FA096B" w:rsidRPr="00C903F8" w:rsidRDefault="00FA096B" w:rsidP="0089015B">
      <w:pPr>
        <w:pStyle w:val="ESch"/>
        <w:rPr>
          <w:noProof/>
        </w:rPr>
      </w:pPr>
    </w:p>
    <w:p w:rsidR="00E24808" w:rsidRPr="00C903F8" w:rsidRDefault="00E24808" w:rsidP="0089015B">
      <w:pPr>
        <w:pStyle w:val="ESch"/>
      </w:pPr>
      <w:r>
        <w:t>2.</w:t>
      </w:r>
      <w:r>
        <w:tab/>
        <w:t>Il rumore prodotto dalla nave in navigazione a una distanza laterale di 25 m dalla murata non supera 75 dB(A).</w:t>
      </w:r>
    </w:p>
    <w:p w:rsidR="00FA096B" w:rsidRPr="00C903F8" w:rsidRDefault="00FA096B" w:rsidP="0089015B">
      <w:pPr>
        <w:pStyle w:val="ESch"/>
        <w:rPr>
          <w:noProof/>
        </w:rPr>
      </w:pPr>
    </w:p>
    <w:p w:rsidR="00E24808" w:rsidRPr="00C903F8" w:rsidRDefault="00E24808" w:rsidP="0089015B">
      <w:pPr>
        <w:pStyle w:val="ESch"/>
      </w:pPr>
      <w:r>
        <w:t>3.</w:t>
      </w:r>
      <w:r>
        <w:tab/>
        <w:t>Il rumore prodotto dalla nave in stazionamento, escludendo le operazioni di trasbordo, a una distanza laterale di 25 m, non deve superare 65 dB(A).</w:t>
      </w:r>
    </w:p>
    <w:p w:rsidR="0033095A" w:rsidRPr="00C903F8" w:rsidRDefault="0033095A" w:rsidP="00763ADA">
      <w:pPr>
        <w:rPr>
          <w:noProof/>
        </w:rPr>
      </w:pPr>
    </w:p>
    <w:p w:rsidR="00917628" w:rsidRPr="00C903F8" w:rsidRDefault="00917628" w:rsidP="00763ADA">
      <w:pPr>
        <w:rPr>
          <w:noProof/>
        </w:rPr>
      </w:pPr>
    </w:p>
    <w:p w:rsidR="00917628" w:rsidRPr="00C903F8" w:rsidRDefault="00917628" w:rsidP="00763ADA">
      <w:pPr>
        <w:rPr>
          <w:noProof/>
        </w:rPr>
      </w:pPr>
    </w:p>
    <w:p w:rsidR="00917628" w:rsidRPr="00C903F8" w:rsidRDefault="00917628" w:rsidP="00763ADA">
      <w:pPr>
        <w:rPr>
          <w:noProof/>
        </w:rPr>
      </w:pPr>
    </w:p>
    <w:p w:rsidR="00917628" w:rsidRPr="00C903F8" w:rsidRDefault="00917628" w:rsidP="00763ADA">
      <w:pPr>
        <w:rPr>
          <w:noProof/>
        </w:rPr>
      </w:pPr>
    </w:p>
    <w:p w:rsidR="00917628" w:rsidRPr="00C903F8" w:rsidRDefault="00917628" w:rsidP="00763ADA">
      <w:pPr>
        <w:rPr>
          <w:noProof/>
        </w:rPr>
      </w:pPr>
    </w:p>
    <w:p w:rsidR="0033095A" w:rsidRPr="00C903F8" w:rsidRDefault="002D2D76" w:rsidP="0033095A">
      <w:pPr>
        <w:pStyle w:val="ES-Titre2"/>
      </w:pPr>
      <w:bookmarkStart w:id="132" w:name="_Toc491854066"/>
      <w:bookmarkStart w:id="133" w:name="_Toc535500015"/>
      <w:r>
        <w:lastRenderedPageBreak/>
        <w:t>Capo 9</w:t>
      </w:r>
      <w:r>
        <w:br/>
        <w:t>Emissioni di inquinanti gassosi e particolato inquinante prodotte dai motori a combustione interna</w:t>
      </w:r>
      <w:bookmarkEnd w:id="132"/>
      <w:bookmarkEnd w:id="133"/>
      <w:r>
        <w:t xml:space="preserve"> </w:t>
      </w:r>
    </w:p>
    <w:p w:rsidR="003915AC" w:rsidRPr="00C903F8" w:rsidRDefault="003915AC" w:rsidP="00917628">
      <w:pPr>
        <w:pStyle w:val="ESch"/>
      </w:pPr>
    </w:p>
    <w:p w:rsidR="004B6F54" w:rsidRPr="00C903F8" w:rsidRDefault="004B6F54" w:rsidP="004B6F54">
      <w:pPr>
        <w:pStyle w:val="ES-Titre3"/>
      </w:pPr>
      <w:bookmarkStart w:id="134" w:name="_Toc491854067"/>
      <w:bookmarkStart w:id="135" w:name="_Toc535500016"/>
      <w:r>
        <w:t>Articolo 9.00</w:t>
      </w:r>
      <w:r>
        <w:br/>
      </w:r>
      <w:r>
        <w:rPr>
          <w:i/>
        </w:rPr>
        <w:t>Definizioni</w:t>
      </w:r>
      <w:bookmarkEnd w:id="134"/>
      <w:bookmarkEnd w:id="135"/>
    </w:p>
    <w:p w:rsidR="002A434E" w:rsidRPr="00C903F8" w:rsidRDefault="002A434E" w:rsidP="004B6F54">
      <w:pPr>
        <w:rPr>
          <w:rFonts w:cs="Arial"/>
          <w:noProof/>
          <w:szCs w:val="20"/>
        </w:rPr>
      </w:pPr>
    </w:p>
    <w:p w:rsidR="00DE2419" w:rsidRPr="004B606C" w:rsidRDefault="00DE2419" w:rsidP="00DE2419">
      <w:pPr>
        <w:pStyle w:val="ESgauche"/>
      </w:pPr>
      <w:r>
        <w:t>Ai fini del presente capo, si applicano le seguenti definizioni.</w:t>
      </w:r>
    </w:p>
    <w:p w:rsidR="00DE2419" w:rsidRPr="004B606C" w:rsidRDefault="00DE2419" w:rsidP="00DE2419">
      <w:pPr>
        <w:pStyle w:val="ESch"/>
        <w:rPr>
          <w:noProof/>
        </w:rPr>
      </w:pPr>
    </w:p>
    <w:p w:rsidR="00DE2419" w:rsidRPr="004B606C" w:rsidRDefault="00DE2419" w:rsidP="00DE2419">
      <w:pPr>
        <w:pStyle w:val="ESch"/>
      </w:pPr>
      <w:r>
        <w:t>1.</w:t>
      </w:r>
      <w:r>
        <w:tab/>
        <w:t>"motore a combustione interna": un convertitore di energia diverso da una turbina a gas progettato per trasformare l'energia chimica (in ingresso) in energia meccanica (in uscita) attraverso un processo di combustione interna; comprende, laddove installati, il sistema di controllo delle emissioni e l'interfaccia di comunicazione (hardware e messaggi) tra le centraline elettroniche del motore e qualsiasi altra unità di comando;</w:t>
      </w:r>
    </w:p>
    <w:p w:rsidR="00DE2419" w:rsidRPr="004B606C" w:rsidRDefault="00DE2419" w:rsidP="00DE2419">
      <w:pPr>
        <w:pStyle w:val="ESch"/>
      </w:pPr>
    </w:p>
    <w:p w:rsidR="00DE2419" w:rsidRPr="004B606C" w:rsidRDefault="00DE2419" w:rsidP="00DE2419">
      <w:pPr>
        <w:pStyle w:val="ESch"/>
      </w:pPr>
      <w:r>
        <w:t>2.</w:t>
      </w:r>
      <w:r>
        <w:tab/>
        <w:t>"omologazione": la procedura tramite la quale l'autorità competente certifica che un tipo di motore o una famiglia di motori soddisfano le pertinenti disposizioni amministrative e i requisiti tecnici relativi ai livelli di inquinanti gassosi e di particolato prodotti dai motori;</w:t>
      </w:r>
    </w:p>
    <w:p w:rsidR="00DE2419" w:rsidRPr="004B606C" w:rsidRDefault="00DE2419" w:rsidP="00DE2419">
      <w:pPr>
        <w:pStyle w:val="ESch"/>
      </w:pPr>
    </w:p>
    <w:p w:rsidR="00DE2419" w:rsidRPr="004B606C" w:rsidRDefault="00DE2419" w:rsidP="00DE2419">
      <w:pPr>
        <w:pStyle w:val="ESch"/>
      </w:pPr>
      <w:r>
        <w:t>3.</w:t>
      </w:r>
      <w:r>
        <w:tab/>
        <w:t>"famiglia di motori": un gruppo di motori stabilito dal costruttore dei motori che, per progetto, hanno caratteristiche analoghe in termini di emissioni di gas di scarico e rispettano i valori limite di emissione applicabili;</w:t>
      </w:r>
    </w:p>
    <w:p w:rsidR="00DE2419" w:rsidRPr="004B606C" w:rsidRDefault="00DE2419" w:rsidP="00DE2419">
      <w:pPr>
        <w:pStyle w:val="ESch"/>
      </w:pPr>
    </w:p>
    <w:p w:rsidR="00DE2419" w:rsidRPr="004B606C" w:rsidRDefault="00DE2419" w:rsidP="00DE2419">
      <w:pPr>
        <w:pStyle w:val="ESch"/>
        <w:rPr>
          <w:sz w:val="18"/>
        </w:rPr>
      </w:pPr>
      <w:r>
        <w:t>4.</w:t>
      </w:r>
      <w:r>
        <w:tab/>
        <w:t xml:space="preserve">"potenza di riferimento": la potenza netta </w:t>
      </w:r>
      <w:bookmarkStart w:id="136" w:name="_DV_C386"/>
      <w:r>
        <w:t>utilizzata</w:t>
      </w:r>
      <w:bookmarkStart w:id="137" w:name="_DV_M298"/>
      <w:bookmarkEnd w:id="136"/>
      <w:bookmarkEnd w:id="137"/>
      <w:r>
        <w:t xml:space="preserve"> per determinare i valori limite di emissione applicabili per il motore; </w:t>
      </w:r>
    </w:p>
    <w:p w:rsidR="00DE2419" w:rsidRPr="004B606C" w:rsidRDefault="00DE2419" w:rsidP="00DE2419">
      <w:pPr>
        <w:pStyle w:val="ESch"/>
        <w:rPr>
          <w:noProof/>
        </w:rPr>
      </w:pPr>
    </w:p>
    <w:p w:rsidR="00DE2419" w:rsidRPr="004B606C" w:rsidRDefault="00DE2419" w:rsidP="00DE2419">
      <w:pPr>
        <w:pStyle w:val="ESch"/>
      </w:pPr>
      <w:r>
        <w:t>5.</w:t>
      </w:r>
      <w:r>
        <w:tab/>
        <w:t xml:space="preserve">"costruttore di motori": qualsiasi persona fisica o giuridica responsabile nei confronti dell'autorità di omologazione per tutti gli aspetti dell'omologazione di motori o per la procedura di autorizzazione per i motori, nonché della garanzia della conformità della produzione di motori, oltre a essere responsabile anche per le problematiche legate alla vigilanza del mercato per i motori prodotti, indipendentemente dal fatto che sia direttamente coinvolta in tutte le fasi della progettazione e della costruzione dei motori oggetto del </w:t>
      </w:r>
      <w:bookmarkStart w:id="138" w:name="_DV_C457"/>
      <w:r>
        <w:t xml:space="preserve">processo </w:t>
      </w:r>
      <w:bookmarkStart w:id="139" w:name="_DV_M380"/>
      <w:bookmarkEnd w:id="138"/>
      <w:bookmarkEnd w:id="139"/>
      <w:r>
        <w:t xml:space="preserve">di omologazione; </w:t>
      </w:r>
    </w:p>
    <w:p w:rsidR="00DE2419" w:rsidRPr="004B606C" w:rsidRDefault="00DE2419" w:rsidP="00DE2419">
      <w:pPr>
        <w:pStyle w:val="ESch"/>
      </w:pPr>
    </w:p>
    <w:p w:rsidR="00DE2419" w:rsidRPr="004B606C" w:rsidRDefault="00DE2419" w:rsidP="00DE2419">
      <w:pPr>
        <w:pStyle w:val="ESch"/>
      </w:pPr>
      <w:r>
        <w:t>6.</w:t>
      </w:r>
      <w:r>
        <w:tab/>
        <w:t>"protocollo dei parametri del motore": il documento conforme all'allegato VI nel quale sono debitamente registrati tutti i parametri, e le relative modifiche, compresi i componenti e le impostazioni del motore, che influenzano il livello di emissioni di inquinanti gassosi e particolato inquinante del motore.</w:t>
      </w:r>
    </w:p>
    <w:p w:rsidR="00DE2419" w:rsidRPr="004B606C" w:rsidRDefault="00DE2419" w:rsidP="00DE2419">
      <w:pPr>
        <w:pStyle w:val="ESch"/>
      </w:pPr>
    </w:p>
    <w:p w:rsidR="00DE2419" w:rsidRPr="004B606C" w:rsidRDefault="00DE2419" w:rsidP="00DE2419">
      <w:pPr>
        <w:rPr>
          <w:szCs w:val="20"/>
        </w:rPr>
      </w:pPr>
    </w:p>
    <w:p w:rsidR="00DE2419" w:rsidRPr="004B606C" w:rsidRDefault="00DE2419" w:rsidP="00DE2419">
      <w:pPr>
        <w:pStyle w:val="ES-Titre3"/>
        <w:rPr>
          <w:i/>
        </w:rPr>
      </w:pPr>
      <w:bookmarkStart w:id="140" w:name="_Toc453317268"/>
      <w:bookmarkStart w:id="141" w:name="_Toc491854068"/>
      <w:bookmarkStart w:id="142" w:name="_Toc535500017"/>
      <w:r>
        <w:t>Articolo 9.01</w:t>
      </w:r>
      <w:r>
        <w:br/>
      </w:r>
      <w:r>
        <w:rPr>
          <w:i/>
        </w:rPr>
        <w:t>Disposizioni generali</w:t>
      </w:r>
      <w:bookmarkEnd w:id="140"/>
      <w:bookmarkEnd w:id="141"/>
      <w:bookmarkEnd w:id="142"/>
    </w:p>
    <w:p w:rsidR="00DE2419" w:rsidRPr="004B606C" w:rsidRDefault="00DE2419" w:rsidP="00DE2419">
      <w:pPr>
        <w:pStyle w:val="ESgauche"/>
      </w:pPr>
    </w:p>
    <w:p w:rsidR="00DE2419" w:rsidRPr="004B606C" w:rsidRDefault="00DE2419" w:rsidP="00DE2419">
      <w:pPr>
        <w:pStyle w:val="ESch"/>
      </w:pPr>
      <w:r>
        <w:t>1.</w:t>
      </w:r>
      <w:r>
        <w:tab/>
        <w:t xml:space="preserve">Le disposizioni di cui al presente capo si applicano a tutti i motori a combustione interna con una potenza di riferimento superiore o uguale a 19 kW installati a bordo. </w:t>
      </w:r>
    </w:p>
    <w:p w:rsidR="00DE2419" w:rsidRDefault="00DE2419" w:rsidP="00DE2419">
      <w:pPr>
        <w:pStyle w:val="ESch"/>
      </w:pPr>
    </w:p>
    <w:p w:rsidR="00211AAA" w:rsidRDefault="00211AAA">
      <w:pPr>
        <w:autoSpaceDE/>
        <w:autoSpaceDN/>
        <w:ind w:left="0" w:firstLine="0"/>
        <w:jc w:val="left"/>
      </w:pPr>
      <w:r>
        <w:br w:type="page"/>
      </w:r>
    </w:p>
    <w:p w:rsidR="00211AAA" w:rsidRPr="004B606C" w:rsidRDefault="00211AAA" w:rsidP="00DE2419">
      <w:pPr>
        <w:pStyle w:val="ESch"/>
      </w:pPr>
    </w:p>
    <w:p w:rsidR="00DE2419" w:rsidRPr="004B606C" w:rsidRDefault="00DE2419" w:rsidP="00DE2419">
      <w:pPr>
        <w:pStyle w:val="ESch"/>
      </w:pPr>
      <w:r>
        <w:t>2.</w:t>
      </w:r>
      <w:r>
        <w:tab/>
        <w:t>I motori a combustione interna sono conformi alle prescrizioni del regolamento (UE) 2016/1628</w:t>
      </w:r>
      <w:r>
        <w:rPr>
          <w:rStyle w:val="FootnoteReference"/>
        </w:rPr>
        <w:footnoteReference w:id="8"/>
      </w:r>
      <w:r>
        <w:t xml:space="preserve">. Vengono installati soltanto motori a combustione interna appartenenti alle categorie </w:t>
      </w:r>
    </w:p>
    <w:p w:rsidR="00DE2419" w:rsidRPr="004B606C" w:rsidRDefault="00DE2419" w:rsidP="00DE2419">
      <w:pPr>
        <w:pStyle w:val="ESlet"/>
      </w:pPr>
      <w:r>
        <w:t>a)</w:t>
      </w:r>
      <w:r>
        <w:tab/>
        <w:t xml:space="preserve">IWP, </w:t>
      </w:r>
    </w:p>
    <w:p w:rsidR="00DE2419" w:rsidRPr="004B606C" w:rsidRDefault="00DE2419" w:rsidP="00DE2419">
      <w:pPr>
        <w:pStyle w:val="ESlet"/>
      </w:pPr>
      <w:r>
        <w:t>b)</w:t>
      </w:r>
      <w:r>
        <w:tab/>
        <w:t xml:space="preserve">IWA, </w:t>
      </w:r>
    </w:p>
    <w:p w:rsidR="00DE2419" w:rsidRPr="004B606C" w:rsidRDefault="00DE2419" w:rsidP="00DE2419">
      <w:pPr>
        <w:pStyle w:val="ESlet"/>
      </w:pPr>
      <w:r>
        <w:t>c)</w:t>
      </w:r>
      <w:r>
        <w:tab/>
        <w:t xml:space="preserve">NRE con potenza di riferimento inferiore a 560 kW o </w:t>
      </w:r>
    </w:p>
    <w:p w:rsidR="00DE2419" w:rsidRPr="004B606C" w:rsidRDefault="00DE2419" w:rsidP="00DE2419">
      <w:pPr>
        <w:pStyle w:val="ESlet"/>
      </w:pPr>
      <w:r>
        <w:t>d)</w:t>
      </w:r>
      <w:r>
        <w:tab/>
        <w:t>motori riconosciuti equivalenti ai sensi del regolamento (UE) 2016/1628.</w:t>
      </w:r>
    </w:p>
    <w:p w:rsidR="00DE2419" w:rsidRPr="004B606C" w:rsidRDefault="00DE2419" w:rsidP="00DE2419">
      <w:pPr>
        <w:pStyle w:val="ESletpar"/>
        <w:ind w:left="567"/>
      </w:pPr>
      <w:r>
        <w:t>. Tale conformità è stabilita mediante un certificato di omologazione.</w:t>
      </w:r>
    </w:p>
    <w:p w:rsidR="00DE2419" w:rsidRDefault="00DE2419" w:rsidP="00DE2419">
      <w:pPr>
        <w:pStyle w:val="ESch"/>
      </w:pPr>
    </w:p>
    <w:p w:rsidR="00DE2419" w:rsidRPr="004B606C" w:rsidRDefault="00DE2419" w:rsidP="00DE2419">
      <w:pPr>
        <w:pStyle w:val="ESch"/>
      </w:pPr>
      <w:r>
        <w:t>3.</w:t>
      </w:r>
      <w:r>
        <w:tab/>
        <w:t>Una copia del certificato di omologazione, le istruzioni del costruttore del motore e il protocollo dei parametri del motore sono conservati a bordo.</w:t>
      </w:r>
    </w:p>
    <w:p w:rsidR="00DE2419" w:rsidRPr="004B606C" w:rsidRDefault="00DE2419" w:rsidP="00DE2419">
      <w:pPr>
        <w:pStyle w:val="ESch"/>
      </w:pPr>
    </w:p>
    <w:p w:rsidR="00DE2419" w:rsidRPr="004B606C" w:rsidRDefault="00DE2419" w:rsidP="00DE2419">
      <w:pPr>
        <w:pStyle w:val="ESch"/>
      </w:pPr>
      <w:r>
        <w:t>4.</w:t>
      </w:r>
      <w:r>
        <w:tab/>
        <w:t>È vietata l'installazione di motori sostitutivi, come definito nel regolamento (UE) 2016/1628.</w:t>
      </w:r>
    </w:p>
    <w:p w:rsidR="00DE2419" w:rsidRPr="004B606C" w:rsidRDefault="00DE2419" w:rsidP="00DE2419">
      <w:pPr>
        <w:pStyle w:val="ESch"/>
        <w:rPr>
          <w:rFonts w:cs="Arial"/>
          <w:szCs w:val="20"/>
        </w:rPr>
      </w:pPr>
    </w:p>
    <w:p w:rsidR="00DE2419" w:rsidRPr="004B606C" w:rsidRDefault="00DE2419" w:rsidP="00DE2419">
      <w:pPr>
        <w:pStyle w:val="ESch"/>
      </w:pPr>
      <w:r>
        <w:t>5.</w:t>
      </w:r>
      <w:r>
        <w:tab/>
        <w:t>La commissione di ispezione può avvalersi di un servizio tecnico per lo svolgimento dei compiti di cui al presente capo. Soltanto i servizi tecnici notificati ai sensi del regolamento (UE) 2016/1628 sono riconosciuti ai fini della presente norma.</w:t>
      </w:r>
    </w:p>
    <w:p w:rsidR="00DE2419" w:rsidRPr="004B606C" w:rsidRDefault="00DE2419" w:rsidP="00DE2419">
      <w:pPr>
        <w:pStyle w:val="ESch"/>
      </w:pPr>
    </w:p>
    <w:p w:rsidR="00DE2419" w:rsidRPr="004B606C" w:rsidRDefault="00DE2419" w:rsidP="00DE2419">
      <w:pPr>
        <w:pStyle w:val="ESch"/>
      </w:pPr>
    </w:p>
    <w:p w:rsidR="00DE2419" w:rsidRPr="004B606C" w:rsidRDefault="00DE2419" w:rsidP="00DE2419">
      <w:pPr>
        <w:pStyle w:val="ES-Titre3"/>
        <w:rPr>
          <w:i/>
        </w:rPr>
      </w:pPr>
      <w:bookmarkStart w:id="143" w:name="_Toc491854069"/>
      <w:bookmarkStart w:id="144" w:name="_Toc535500018"/>
      <w:r>
        <w:t>Articolo 9.02</w:t>
      </w:r>
      <w:r>
        <w:br/>
      </w:r>
      <w:r>
        <w:rPr>
          <w:i/>
        </w:rPr>
        <w:t>Annotazione nel certificato per la navigazione interna</w:t>
      </w:r>
      <w:bookmarkEnd w:id="143"/>
      <w:bookmarkEnd w:id="144"/>
    </w:p>
    <w:p w:rsidR="00DE2419" w:rsidRPr="004B606C" w:rsidRDefault="00DE2419" w:rsidP="00DE2419">
      <w:pPr>
        <w:pStyle w:val="ESch"/>
      </w:pPr>
    </w:p>
    <w:p w:rsidR="00DE2419" w:rsidRPr="004B606C" w:rsidRDefault="00DE2419" w:rsidP="00DE2419">
      <w:pPr>
        <w:pStyle w:val="ESgauche"/>
      </w:pPr>
      <w:r>
        <w:t xml:space="preserve">Il numero di identificazione nonché, se del caso, il numero di omologazione di tutti i motori a combustione interna a bordo dell'imbarcazione vengono annotati nella rubrica 52 del certificato per la navigazione interna. </w:t>
      </w:r>
    </w:p>
    <w:p w:rsidR="00DE2419" w:rsidRPr="004B606C" w:rsidRDefault="00DE2419" w:rsidP="00DE2419">
      <w:pPr>
        <w:pStyle w:val="ESch"/>
      </w:pPr>
    </w:p>
    <w:p w:rsidR="00DE2419" w:rsidRPr="004B606C" w:rsidRDefault="00DE2419" w:rsidP="00DE2419">
      <w:pPr>
        <w:pStyle w:val="ESch"/>
      </w:pPr>
    </w:p>
    <w:p w:rsidR="00DE2419" w:rsidRPr="004B606C" w:rsidRDefault="00DE2419" w:rsidP="00DE2419">
      <w:pPr>
        <w:pStyle w:val="ES-Titre3"/>
        <w:spacing w:line="240" w:lineRule="atLeast"/>
      </w:pPr>
      <w:bookmarkStart w:id="145" w:name="_Toc491854070"/>
      <w:bookmarkStart w:id="146" w:name="_Toc535500019"/>
      <w:r>
        <w:t>Articolo 9.03</w:t>
      </w:r>
      <w:r>
        <w:rPr>
          <w:i/>
        </w:rPr>
        <w:br/>
        <w:t>Disposizioni per l'installazione di motori a combustione interna</w:t>
      </w:r>
      <w:bookmarkEnd w:id="145"/>
      <w:bookmarkEnd w:id="146"/>
    </w:p>
    <w:p w:rsidR="00DE2419" w:rsidRPr="004B606C" w:rsidRDefault="00DE2419" w:rsidP="00DE2419">
      <w:pPr>
        <w:pStyle w:val="ESch"/>
      </w:pPr>
    </w:p>
    <w:p w:rsidR="00DE2419" w:rsidRPr="004B606C" w:rsidRDefault="00DE2419" w:rsidP="00DE2419">
      <w:pPr>
        <w:pStyle w:val="ESgauche"/>
      </w:pPr>
      <w:r>
        <w:t>L’installazione dei motori sull’imbarcazione deve essere conforme alle limitazioni enunciate nell’ambito dell’omologazione.</w:t>
      </w:r>
    </w:p>
    <w:p w:rsidR="00DE2419" w:rsidRPr="004B606C" w:rsidRDefault="00DE2419" w:rsidP="00DE2419">
      <w:pPr>
        <w:pStyle w:val="ESch"/>
        <w:ind w:left="0" w:firstLine="0"/>
        <w:rPr>
          <w:szCs w:val="20"/>
        </w:rPr>
      </w:pPr>
    </w:p>
    <w:p w:rsidR="00DE2419" w:rsidRPr="004B606C" w:rsidRDefault="00DE2419" w:rsidP="00DE2419">
      <w:pPr>
        <w:pStyle w:val="ESch"/>
        <w:ind w:left="0" w:firstLine="0"/>
      </w:pPr>
    </w:p>
    <w:p w:rsidR="00DE2419" w:rsidRPr="004B606C" w:rsidRDefault="00DE2419" w:rsidP="00DE2419">
      <w:pPr>
        <w:pStyle w:val="ES-Titre3"/>
        <w:spacing w:line="240" w:lineRule="atLeast"/>
      </w:pPr>
      <w:bookmarkStart w:id="147" w:name="_Toc491854071"/>
      <w:bookmarkStart w:id="148" w:name="_Toc535500020"/>
      <w:r>
        <w:t>Articolo 9.04</w:t>
      </w:r>
      <w:r>
        <w:rPr>
          <w:i/>
        </w:rPr>
        <w:br/>
        <w:t>Istruzioni del costruttore di motori</w:t>
      </w:r>
      <w:bookmarkEnd w:id="147"/>
      <w:bookmarkEnd w:id="148"/>
    </w:p>
    <w:p w:rsidR="00DE2419" w:rsidRPr="004B606C" w:rsidRDefault="00DE2419" w:rsidP="00DE2419">
      <w:pPr>
        <w:pStyle w:val="ESch"/>
      </w:pPr>
    </w:p>
    <w:p w:rsidR="00DE2419" w:rsidRPr="004B606C" w:rsidRDefault="00DE2419" w:rsidP="00DE2419">
      <w:pPr>
        <w:pStyle w:val="ESch"/>
      </w:pPr>
      <w:r>
        <w:t>1.</w:t>
      </w:r>
      <w:r>
        <w:tab/>
        <w:t xml:space="preserve">Le istruzioni del costruttore di motori, che devono essere redatte dallo stesso, specificano i componenti, le regolazioni e i parametri rilevanti per le emissioni di gas di scarico, così che possa essere presunto il costante rispetto dei valori limite delle emissioni di gas di scarico. </w:t>
      </w:r>
    </w:p>
    <w:p w:rsidR="00DE2419" w:rsidRPr="004B606C" w:rsidRDefault="00DE2419" w:rsidP="00DE2419">
      <w:pPr>
        <w:pStyle w:val="ListParagraph"/>
        <w:spacing w:line="240" w:lineRule="atLeast"/>
        <w:ind w:left="567" w:hanging="567"/>
        <w:rPr>
          <w:rFonts w:ascii="Arial" w:eastAsia="Times New Roman" w:hAnsi="Arial" w:cs="Arial"/>
          <w:sz w:val="20"/>
          <w:szCs w:val="20"/>
        </w:rPr>
      </w:pPr>
    </w:p>
    <w:p w:rsidR="00DE2419" w:rsidRPr="004B606C" w:rsidRDefault="00DE2419" w:rsidP="00DE2419">
      <w:pPr>
        <w:pStyle w:val="ESch"/>
      </w:pPr>
      <w:r>
        <w:t>2.</w:t>
      </w:r>
      <w:r>
        <w:tab/>
        <w:t>Le istruzioni contengono almeno le seguenti informazioni:</w:t>
      </w:r>
    </w:p>
    <w:p w:rsidR="00DE2419" w:rsidRPr="004B606C" w:rsidRDefault="00DE2419" w:rsidP="00DE2419">
      <w:pPr>
        <w:pStyle w:val="ESlet"/>
      </w:pPr>
      <w:r>
        <w:t>a)</w:t>
      </w:r>
      <w:r>
        <w:tab/>
        <w:t>tipo di motore e, se del caso, famiglia di motori con l'indicazione della potenza di riferimento e della velocità nominale;</w:t>
      </w:r>
    </w:p>
    <w:p w:rsidR="00DE2419" w:rsidRPr="004B606C" w:rsidRDefault="00DE2419" w:rsidP="00DE2419">
      <w:pPr>
        <w:pStyle w:val="ESlet"/>
      </w:pPr>
      <w:r>
        <w:t>b)</w:t>
      </w:r>
      <w:r>
        <w:tab/>
        <w:t>elenco dei componenti e dei parametri del motore rilevanti per le emissioni di gas di scarico;</w:t>
      </w:r>
    </w:p>
    <w:p w:rsidR="00211AAA" w:rsidRDefault="00211AAA">
      <w:pPr>
        <w:autoSpaceDE/>
        <w:autoSpaceDN/>
        <w:ind w:left="0" w:firstLine="0"/>
        <w:jc w:val="left"/>
      </w:pPr>
      <w:r>
        <w:br w:type="page"/>
      </w:r>
    </w:p>
    <w:p w:rsidR="00211AAA" w:rsidRDefault="00211AAA" w:rsidP="00DE2419">
      <w:pPr>
        <w:pStyle w:val="ESlet"/>
      </w:pPr>
    </w:p>
    <w:p w:rsidR="00DE2419" w:rsidRPr="004B606C" w:rsidRDefault="00DE2419" w:rsidP="00DE2419">
      <w:pPr>
        <w:pStyle w:val="ESlet"/>
      </w:pPr>
      <w:r>
        <w:t>c)</w:t>
      </w:r>
      <w:r>
        <w:tab/>
        <w:t>elementi inequivocabili che consentano di identificare i componenti autorizzati rilevanti per le emissioni di gas di scarico (ad esempio numeri di matricola presenti sui componenti);</w:t>
      </w:r>
    </w:p>
    <w:p w:rsidR="00DE2419" w:rsidRPr="004B606C" w:rsidRDefault="00DE2419" w:rsidP="00DE2419">
      <w:pPr>
        <w:pStyle w:val="ESlet"/>
      </w:pPr>
      <w:r>
        <w:t>d)</w:t>
      </w:r>
      <w:r>
        <w:tab/>
        <w:t>parametri del motore rilevanti per le emissioni di gas di scarico, come gli intervalli impostati per i tempi di iniezione, la temperatura consentita per l'acqua di raffreddamento, la contropressione massima dei gas di scarico.</w:t>
      </w:r>
    </w:p>
    <w:p w:rsidR="00DE2419" w:rsidRPr="004B606C" w:rsidRDefault="00DE2419" w:rsidP="00DE2419">
      <w:pPr>
        <w:pStyle w:val="ESch"/>
      </w:pPr>
    </w:p>
    <w:p w:rsidR="00DE2419" w:rsidRPr="004B606C" w:rsidRDefault="00DE2419" w:rsidP="00DE2419">
      <w:pPr>
        <w:pStyle w:val="ESch"/>
      </w:pPr>
    </w:p>
    <w:p w:rsidR="00DE2419" w:rsidRPr="00192DA6" w:rsidRDefault="00DE2419" w:rsidP="00DE2419">
      <w:pPr>
        <w:pStyle w:val="ES-Titre3"/>
        <w:rPr>
          <w:i/>
        </w:rPr>
      </w:pPr>
      <w:bookmarkStart w:id="149" w:name="_Toc491854072"/>
      <w:bookmarkStart w:id="150" w:name="_Toc535500021"/>
      <w:r>
        <w:t>Articolo 9.05</w:t>
      </w:r>
      <w:r>
        <w:br/>
      </w:r>
      <w:r>
        <w:rPr>
          <w:i/>
        </w:rPr>
        <w:t>Prove sui motori a combustione interna</w:t>
      </w:r>
      <w:bookmarkEnd w:id="149"/>
      <w:bookmarkEnd w:id="150"/>
    </w:p>
    <w:p w:rsidR="00DE2419" w:rsidRPr="004B606C" w:rsidRDefault="00DE2419" w:rsidP="00DE2419">
      <w:pPr>
        <w:pStyle w:val="ESch"/>
      </w:pPr>
    </w:p>
    <w:p w:rsidR="00DE2419" w:rsidRPr="004B606C" w:rsidRDefault="00DE2419" w:rsidP="00DE2419">
      <w:pPr>
        <w:pStyle w:val="ESch"/>
        <w:rPr>
          <w:rFonts w:cs="Arial"/>
          <w:szCs w:val="20"/>
        </w:rPr>
      </w:pPr>
      <w:r>
        <w:t>1.</w:t>
      </w:r>
      <w:r>
        <w:tab/>
        <w:t>Al momento del controllo di montaggio e in caso di controlli intermedi e di controlli speciali, la commissione di ispezione esamina lo stato attuale del motore rispetto ai componenti, alle regolazioni e ai parametri indicati nelle istruzioni del costruttore di motori e nel protocollo dei parametri del motore.</w:t>
      </w:r>
    </w:p>
    <w:p w:rsidR="00DE2419" w:rsidRDefault="00DE2419" w:rsidP="00DE2419">
      <w:pPr>
        <w:pStyle w:val="ESch"/>
      </w:pPr>
    </w:p>
    <w:p w:rsidR="00DE2419" w:rsidRPr="004B606C" w:rsidRDefault="00DE2419" w:rsidP="00DE2419">
      <w:pPr>
        <w:pStyle w:val="ESch"/>
        <w:rPr>
          <w:rFonts w:cs="Arial"/>
          <w:szCs w:val="20"/>
        </w:rPr>
      </w:pPr>
      <w:r>
        <w:t>2.</w:t>
      </w:r>
      <w:r>
        <w:tab/>
        <w:t>I risultati delle prove di cui al paragrafo 1 vengono registrati nel protocollo dei parametri del motore conformemente all'allegato 6.</w:t>
      </w:r>
    </w:p>
    <w:p w:rsidR="00DE2419" w:rsidRPr="004B606C" w:rsidRDefault="00DE2419" w:rsidP="00DE2419">
      <w:pPr>
        <w:pStyle w:val="ESch"/>
        <w:rPr>
          <w:rFonts w:cs="Arial"/>
          <w:szCs w:val="20"/>
        </w:rPr>
      </w:pPr>
    </w:p>
    <w:p w:rsidR="00DE2419" w:rsidRPr="004B606C" w:rsidRDefault="00DE2419" w:rsidP="00DE2419">
      <w:pPr>
        <w:pStyle w:val="ESch"/>
      </w:pPr>
      <w:r>
        <w:t>3.</w:t>
      </w:r>
      <w:r>
        <w:tab/>
        <w:t>Se il controllo di montaggio e i controlli intermedi e speciali indicano che i motori a combustione interna installati a bordo rispettano le specifiche riportate nei documenti di cui all'articolo 9.01, paragrafo 3, per quanto riguarda i parametri, i componenti e le funzioni regolabili, si può supporre che le emissioni di gas di scarico e di particolato dei motori a combustione interna rispettino i valori limite.</w:t>
      </w:r>
    </w:p>
    <w:p w:rsidR="00DE2419" w:rsidRPr="004B606C" w:rsidRDefault="00DE2419" w:rsidP="00DE2419">
      <w:pPr>
        <w:pStyle w:val="ESch"/>
        <w:rPr>
          <w:rFonts w:cs="Arial"/>
          <w:szCs w:val="20"/>
        </w:rPr>
      </w:pPr>
    </w:p>
    <w:p w:rsidR="00DE2419" w:rsidRPr="004B606C" w:rsidRDefault="00DE2419" w:rsidP="00DE2419">
      <w:pPr>
        <w:pStyle w:val="ESchpar"/>
        <w:rPr>
          <w:snapToGrid w:val="0"/>
          <w:color w:val="000000"/>
        </w:rPr>
      </w:pPr>
      <w:r>
        <w:t xml:space="preserve">Se la commissione di ispezione constata che il motore a combustione interna non rispetta le prescrizioni riportate nei documenti di cui all'articolo 9.01, paragrafo 3, richiede </w:t>
      </w:r>
      <w:r>
        <w:rPr>
          <w:snapToGrid w:val="0"/>
          <w:color w:val="000000"/>
        </w:rPr>
        <w:t>l'adozione di misure atte a ripristinare la conformità del motore a combustione interna.</w:t>
      </w:r>
    </w:p>
    <w:p w:rsidR="00DE2419" w:rsidRPr="004B606C" w:rsidRDefault="00DE2419" w:rsidP="00DE2419">
      <w:pPr>
        <w:pStyle w:val="ESch"/>
      </w:pPr>
    </w:p>
    <w:p w:rsidR="00DE2419" w:rsidRPr="004B606C" w:rsidRDefault="00DE2419" w:rsidP="00DE2419">
      <w:pPr>
        <w:pStyle w:val="ESch"/>
      </w:pPr>
      <w:r>
        <w:t>4.</w:t>
      </w:r>
      <w:r>
        <w:tab/>
        <w:t xml:space="preserve">Nel caso di motori </w:t>
      </w:r>
      <w:r>
        <w:rPr>
          <w:snapToGrid w:val="0"/>
          <w:color w:val="000000"/>
        </w:rPr>
        <w:t>a combustione interna</w:t>
      </w:r>
      <w:r>
        <w:t xml:space="preserve"> dotati di sistemi di post-trattamento dei gas di scarico, durante i controlli di montaggio, intermedi e speciali viene verificato il corretto funzionamento di questi ultimi. </w:t>
      </w:r>
    </w:p>
    <w:p w:rsidR="00DE2419" w:rsidRPr="004B606C" w:rsidRDefault="00DE2419" w:rsidP="00DE2419">
      <w:pPr>
        <w:pStyle w:val="ESch"/>
      </w:pPr>
    </w:p>
    <w:p w:rsidR="00DE2419" w:rsidRPr="004B606C" w:rsidRDefault="00DE2419" w:rsidP="00DE2419">
      <w:pPr>
        <w:pStyle w:val="ESch"/>
      </w:pPr>
    </w:p>
    <w:p w:rsidR="00DE2419" w:rsidRPr="00192DA6" w:rsidRDefault="00DE2419" w:rsidP="00DE2419">
      <w:pPr>
        <w:pStyle w:val="ES-Titre3"/>
        <w:rPr>
          <w:i/>
        </w:rPr>
      </w:pPr>
      <w:bookmarkStart w:id="151" w:name="_Toc491854073"/>
      <w:bookmarkStart w:id="152" w:name="_Toc535500022"/>
      <w:r>
        <w:t>Articolo 9.06</w:t>
      </w:r>
      <w:r>
        <w:br/>
      </w:r>
      <w:r>
        <w:rPr>
          <w:i/>
        </w:rPr>
        <w:t>Controllo di montaggio:</w:t>
      </w:r>
      <w:bookmarkEnd w:id="151"/>
      <w:bookmarkEnd w:id="152"/>
    </w:p>
    <w:p w:rsidR="00DE2419" w:rsidRPr="004B606C" w:rsidRDefault="00DE2419" w:rsidP="00DE2419">
      <w:pPr>
        <w:pStyle w:val="ESch"/>
      </w:pPr>
    </w:p>
    <w:p w:rsidR="00DE2419" w:rsidRPr="004B606C" w:rsidRDefault="00DE2419" w:rsidP="00DE2419">
      <w:pPr>
        <w:pStyle w:val="ESch"/>
      </w:pPr>
      <w:r>
        <w:t>1.</w:t>
      </w:r>
      <w:r>
        <w:tab/>
        <w:t xml:space="preserve">Dopo l'installazione del motore </w:t>
      </w:r>
      <w:r>
        <w:rPr>
          <w:snapToGrid w:val="0"/>
          <w:color w:val="000000"/>
        </w:rPr>
        <w:t xml:space="preserve">a combustione interna </w:t>
      </w:r>
      <w:r>
        <w:t xml:space="preserve">a bordo, ma prima della messa in servizio, occorre svolgere un controllo di montaggio. Il controllo, che fa parte dell'ispezione iniziale dell'imbarcazione o di un'ispezione speciale successiva all'installazione del motore </w:t>
      </w:r>
      <w:r>
        <w:rPr>
          <w:snapToGrid w:val="0"/>
          <w:color w:val="000000"/>
        </w:rPr>
        <w:t xml:space="preserve">a combustione interna </w:t>
      </w:r>
      <w:r>
        <w:t>pertinente, si conclude con la registrazione del motore nel certificato per la navigazione interna emesso per la prima volta oppure nella modifica del certificato per la navigazione interna esistente;</w:t>
      </w:r>
    </w:p>
    <w:p w:rsidR="00DE2419" w:rsidRPr="004B606C" w:rsidRDefault="00DE2419" w:rsidP="00DE2419">
      <w:pPr>
        <w:pStyle w:val="ESch"/>
      </w:pPr>
    </w:p>
    <w:p w:rsidR="00DE2419" w:rsidRPr="004B606C" w:rsidRDefault="00DE2419" w:rsidP="00DE2419">
      <w:pPr>
        <w:pStyle w:val="ESch"/>
        <w:rPr>
          <w:rFonts w:cs="Arial"/>
          <w:szCs w:val="20"/>
        </w:rPr>
      </w:pPr>
      <w:r>
        <w:t>2.</w:t>
      </w:r>
      <w:r>
        <w:tab/>
        <w:t xml:space="preserve">Durante il controllo di montaggio, la commissione di ispezione deve garantire che un motore installato a bordo rispetti comunque i requisiti tecnici relativi al livello di emissioni di inquinanti gassosi e di particolato, anche dopo aver subito modifiche o adattamenti in seguito al rilascio dell'omologazione. </w:t>
      </w:r>
    </w:p>
    <w:p w:rsidR="00DE2419" w:rsidRDefault="00DE2419" w:rsidP="00DE2419">
      <w:pPr>
        <w:pStyle w:val="ESch"/>
      </w:pPr>
    </w:p>
    <w:p w:rsidR="00211AAA" w:rsidRDefault="00211AAA">
      <w:pPr>
        <w:autoSpaceDE/>
        <w:autoSpaceDN/>
        <w:ind w:left="0" w:firstLine="0"/>
        <w:jc w:val="left"/>
      </w:pPr>
      <w:r>
        <w:br w:type="page"/>
      </w:r>
    </w:p>
    <w:p w:rsidR="00211AAA" w:rsidRPr="004B606C" w:rsidRDefault="00211AAA" w:rsidP="00DE2419">
      <w:pPr>
        <w:pStyle w:val="ESch"/>
      </w:pPr>
    </w:p>
    <w:p w:rsidR="00DE2419" w:rsidRPr="004B606C" w:rsidRDefault="00DE2419" w:rsidP="00DE2419">
      <w:pPr>
        <w:pStyle w:val="ESch"/>
      </w:pPr>
      <w:r>
        <w:t>3.</w:t>
      </w:r>
      <w:r>
        <w:tab/>
        <w:t xml:space="preserve">La commissione di ispezione può rinunciare al controllo di montaggio di cui al paragrafo 1, se un motore </w:t>
      </w:r>
      <w:r>
        <w:rPr>
          <w:snapToGrid w:val="0"/>
          <w:color w:val="000000"/>
        </w:rPr>
        <w:t xml:space="preserve">a combustione interna </w:t>
      </w:r>
      <w:r>
        <w:t xml:space="preserve">con potenza di riferimento </w:t>
      </w:r>
      <m:oMath>
        <m:sSub>
          <m:sSubPr>
            <m:ctrlPr>
              <w:rPr>
                <w:rFonts w:ascii="Cambria Math" w:hAnsi="Cambria Math" w:cs="Arial"/>
                <w:i/>
                <w:szCs w:val="20"/>
              </w:rPr>
            </m:ctrlPr>
          </m:sSubPr>
          <m:e>
            <m:r>
              <w:rPr>
                <w:rFonts w:ascii="Cambria Math" w:hAnsi="Cambria Math" w:cs="Arial"/>
                <w:szCs w:val="20"/>
              </w:rPr>
              <m:t>P</m:t>
            </m:r>
          </m:e>
          <m:sub>
            <m:r>
              <w:rPr>
                <w:rFonts w:ascii="Cambria Math" w:hAnsi="Cambria Math" w:cs="Arial"/>
                <w:szCs w:val="20"/>
              </w:rPr>
              <m:t>N</m:t>
            </m:r>
          </m:sub>
        </m:sSub>
      </m:oMath>
      <w:r>
        <w:t xml:space="preserve"> inferiore a 130 kW è sostituito con un motore a combustione interna coperto dalla medesima omologazione ai sensi dell'articolo 9.01, paragrafo 2. Come condizione preliminare, occorre notificare alla commissione di ispezione la sostituzione del motore e inviare una copia del documento di omologazione e il numero di identificazione del nuovo motore installato. La commissione di ispezione apporta le opportune modifiche alla rubrica 52 del certificato per la navigazione interna.</w:t>
      </w:r>
    </w:p>
    <w:p w:rsidR="00DE2419" w:rsidRPr="004B606C" w:rsidRDefault="00DE2419" w:rsidP="00DE2419">
      <w:pPr>
        <w:pStyle w:val="ESch"/>
        <w:rPr>
          <w:noProof/>
        </w:rPr>
      </w:pPr>
    </w:p>
    <w:p w:rsidR="00DE2419" w:rsidRPr="004B606C" w:rsidRDefault="00DE2419" w:rsidP="00DE2419">
      <w:pPr>
        <w:pStyle w:val="ESlet"/>
        <w:spacing w:before="0"/>
        <w:ind w:left="567" w:hanging="567"/>
        <w:rPr>
          <w:noProof/>
        </w:rPr>
      </w:pPr>
    </w:p>
    <w:p w:rsidR="00DE2419" w:rsidRPr="00192DA6" w:rsidRDefault="00DE2419" w:rsidP="00DE2419">
      <w:pPr>
        <w:pStyle w:val="ES-Titre3"/>
        <w:rPr>
          <w:i/>
        </w:rPr>
      </w:pPr>
      <w:bookmarkStart w:id="153" w:name="_Toc491854074"/>
      <w:bookmarkStart w:id="154" w:name="_Toc535500023"/>
      <w:r>
        <w:t>Articolo 9.07</w:t>
      </w:r>
      <w:r>
        <w:br/>
      </w:r>
      <w:r>
        <w:rPr>
          <w:i/>
        </w:rPr>
        <w:t>Controlli intermedi</w:t>
      </w:r>
      <w:bookmarkEnd w:id="153"/>
      <w:bookmarkEnd w:id="154"/>
    </w:p>
    <w:p w:rsidR="00DE2419" w:rsidRPr="004B606C" w:rsidRDefault="00DE2419" w:rsidP="00DE2419">
      <w:pPr>
        <w:pStyle w:val="ESch"/>
      </w:pPr>
    </w:p>
    <w:p w:rsidR="00DE2419" w:rsidRPr="004B606C" w:rsidRDefault="00DE2419" w:rsidP="00DE2419">
      <w:pPr>
        <w:pStyle w:val="ESch"/>
        <w:rPr>
          <w:szCs w:val="20"/>
        </w:rPr>
      </w:pPr>
      <w:r>
        <w:t>1.</w:t>
      </w:r>
      <w:r>
        <w:tab/>
        <w:t xml:space="preserve">In caso di controlli intermedi, la commissione di ispezione deve garantire che un motore installato a bordo rispetti comunque i requisiti tecnici relativi al livello di emissioni di inquinanti gassosi e di particolato, anche dopo aver subito modifiche o adattamenti in seguito al controllo di montaggio. </w:t>
      </w:r>
    </w:p>
    <w:p w:rsidR="00DE2419" w:rsidRPr="004B606C" w:rsidRDefault="00DE2419" w:rsidP="00DE2419">
      <w:pPr>
        <w:pStyle w:val="ESch"/>
        <w:rPr>
          <w:szCs w:val="20"/>
        </w:rPr>
      </w:pPr>
    </w:p>
    <w:p w:rsidR="00DE2419" w:rsidRPr="004B606C" w:rsidRDefault="00DE2419" w:rsidP="00DE2419">
      <w:pPr>
        <w:pStyle w:val="ESch"/>
        <w:rPr>
          <w:szCs w:val="20"/>
        </w:rPr>
      </w:pPr>
      <w:r>
        <w:t>2.</w:t>
      </w:r>
      <w:r>
        <w:tab/>
        <w:t>I controlli intermedi sul motore a combustione interna sono svolti nel contesto dell'ispezione periodica dell'imbarcazione.</w:t>
      </w:r>
    </w:p>
    <w:p w:rsidR="00DE2419" w:rsidRPr="004B606C" w:rsidRDefault="00DE2419" w:rsidP="00DE2419">
      <w:pPr>
        <w:pStyle w:val="ESch"/>
        <w:rPr>
          <w:szCs w:val="20"/>
        </w:rPr>
      </w:pPr>
    </w:p>
    <w:p w:rsidR="00DE2419" w:rsidRPr="004B606C" w:rsidRDefault="00DE2419" w:rsidP="00DE2419">
      <w:pPr>
        <w:pStyle w:val="ESch"/>
        <w:rPr>
          <w:szCs w:val="20"/>
        </w:rPr>
      </w:pPr>
    </w:p>
    <w:p w:rsidR="00DE2419" w:rsidRPr="00192DA6" w:rsidRDefault="00DE2419" w:rsidP="00DE2419">
      <w:pPr>
        <w:pStyle w:val="ES-Titre3"/>
        <w:rPr>
          <w:i/>
        </w:rPr>
      </w:pPr>
      <w:bookmarkStart w:id="155" w:name="_Toc491854075"/>
      <w:bookmarkStart w:id="156" w:name="_Toc535500024"/>
      <w:r>
        <w:t>Articolo 9.08</w:t>
      </w:r>
      <w:r>
        <w:br/>
      </w:r>
      <w:r>
        <w:rPr>
          <w:i/>
        </w:rPr>
        <w:t>Controlli speciali</w:t>
      </w:r>
      <w:bookmarkEnd w:id="155"/>
      <w:bookmarkEnd w:id="156"/>
    </w:p>
    <w:p w:rsidR="00DE2419" w:rsidRPr="004B606C" w:rsidRDefault="00DE2419" w:rsidP="00DE2419">
      <w:pPr>
        <w:pStyle w:val="ESch"/>
      </w:pPr>
    </w:p>
    <w:p w:rsidR="00DE2419" w:rsidRPr="004B606C" w:rsidRDefault="00DE2419" w:rsidP="00DE2419">
      <w:pPr>
        <w:pStyle w:val="ESch"/>
        <w:rPr>
          <w:szCs w:val="20"/>
        </w:rPr>
      </w:pPr>
      <w:r>
        <w:t>1.</w:t>
      </w:r>
      <w:r>
        <w:tab/>
        <w:t xml:space="preserve">In caso di controlli speciali, la commissione di ispezione deve garantire che un motore installato a bordo rispetti comunque i requisiti tecnici relativi al livello di emissioni di inquinanti gassosi e di particolato, dopo ciascuna modifica significativa. </w:t>
      </w:r>
    </w:p>
    <w:p w:rsidR="00DE2419" w:rsidRPr="004B606C" w:rsidRDefault="00DE2419" w:rsidP="00DE2419">
      <w:pPr>
        <w:pStyle w:val="ESch"/>
      </w:pPr>
    </w:p>
    <w:p w:rsidR="00DE2419" w:rsidRPr="004B606C" w:rsidRDefault="00DE2419" w:rsidP="00DE2419">
      <w:pPr>
        <w:pStyle w:val="ESch"/>
      </w:pPr>
      <w:r>
        <w:t>2.</w:t>
      </w:r>
      <w:r>
        <w:tab/>
        <w:t>Dopo ogni modifica significativa apportata al motore e qualora tali modifiche possano avere effetti sulle emissioni di inquinanti gassosi e particolato inquinante, è obbligatorio svolgere un controllo speciale.</w:t>
      </w:r>
    </w:p>
    <w:p w:rsidR="00DE2419" w:rsidRPr="004B606C" w:rsidRDefault="00DE2419" w:rsidP="00DE2419">
      <w:pPr>
        <w:rPr>
          <w:rFonts w:cs="Arial"/>
          <w:szCs w:val="20"/>
        </w:rPr>
      </w:pPr>
    </w:p>
    <w:p w:rsidR="00DE2419" w:rsidRPr="004B606C" w:rsidRDefault="00DE2419" w:rsidP="00DE2419">
      <w:pPr>
        <w:pStyle w:val="ESch"/>
      </w:pPr>
    </w:p>
    <w:p w:rsidR="00DE2419" w:rsidRPr="00192DA6" w:rsidRDefault="00DE2419" w:rsidP="00DE2419">
      <w:pPr>
        <w:pStyle w:val="ES-Titre3"/>
        <w:rPr>
          <w:i/>
        </w:rPr>
      </w:pPr>
      <w:bookmarkStart w:id="157" w:name="_Toc491854076"/>
      <w:bookmarkStart w:id="158" w:name="_Toc535500025"/>
      <w:r>
        <w:t>Articolo 9.09</w:t>
      </w:r>
      <w:r>
        <w:br/>
      </w:r>
      <w:r>
        <w:rPr>
          <w:i/>
        </w:rPr>
        <w:t>Requisiti specifici relativi ai sistemi di post-trattamento dei gas di scarico</w:t>
      </w:r>
      <w:bookmarkEnd w:id="157"/>
      <w:bookmarkEnd w:id="158"/>
    </w:p>
    <w:p w:rsidR="00DE2419" w:rsidRPr="004B606C" w:rsidRDefault="00DE2419" w:rsidP="00DE2419">
      <w:pPr>
        <w:pStyle w:val="ESch"/>
      </w:pPr>
    </w:p>
    <w:p w:rsidR="00DE2419" w:rsidRPr="004B606C" w:rsidRDefault="00DE2419" w:rsidP="00DE2419">
      <w:pPr>
        <w:pStyle w:val="ESch"/>
        <w:rPr>
          <w:rFonts w:cs="Arial"/>
          <w:szCs w:val="20"/>
        </w:rPr>
      </w:pPr>
      <w:r>
        <w:t>1.</w:t>
      </w:r>
      <w:r>
        <w:tab/>
        <w:t xml:space="preserve">I sistemi di post-trattamento dei gas di scarico non devono compromettere il funzionamento sicuro dell'imbarcazione, compresi il sistema di propulsione e l'alimentazione, né bloccare il sistema di scarico. </w:t>
      </w:r>
    </w:p>
    <w:p w:rsidR="00DE2419" w:rsidRPr="004B606C" w:rsidRDefault="00DE2419" w:rsidP="00DE2419">
      <w:pPr>
        <w:pStyle w:val="ESch"/>
        <w:rPr>
          <w:rFonts w:cs="Arial"/>
          <w:szCs w:val="20"/>
        </w:rPr>
      </w:pPr>
    </w:p>
    <w:p w:rsidR="00DE2419" w:rsidRPr="004B606C" w:rsidRDefault="00DE2419" w:rsidP="00DE2419">
      <w:pPr>
        <w:pStyle w:val="ESch"/>
        <w:rPr>
          <w:rFonts w:ascii="ArialMT" w:hAnsi="ArialMT" w:cs="ArialMT"/>
          <w:szCs w:val="20"/>
        </w:rPr>
      </w:pPr>
      <w:r>
        <w:rPr>
          <w:rFonts w:ascii="ArialMT" w:hAnsi="ArialMT"/>
        </w:rPr>
        <w:t>2.</w:t>
      </w:r>
      <w:r>
        <w:tab/>
      </w:r>
      <w:r>
        <w:rPr>
          <w:rFonts w:ascii="ArialMT" w:hAnsi="ArialMT"/>
        </w:rPr>
        <w:t>Quando il sistema di post-trattamento dei gas di scarico dei motori a combustione interna, che assicurano la propulsione principale di un'imbarcazione, è dotato di un dispositivo di esclusione, quest'ultimo deve soddisfare le seguenti condizioni:</w:t>
      </w:r>
    </w:p>
    <w:p w:rsidR="00DE2419" w:rsidRPr="004B606C" w:rsidRDefault="00DE2419" w:rsidP="00DE2419">
      <w:pPr>
        <w:pStyle w:val="ESlet"/>
      </w:pPr>
      <w:r>
        <w:t>a)</w:t>
      </w:r>
      <w:r>
        <w:tab/>
        <w:t>in caso di guasto del sistema di post-trattamento dei gas di scarico, l'attivazione del dispositivo di esclusione deve consentire all'imbarcazione di proseguire la navigazione con mezzi propri;</w:t>
      </w:r>
    </w:p>
    <w:p w:rsidR="00DE2419" w:rsidRPr="004B606C" w:rsidRDefault="00DE2419" w:rsidP="00DE2419">
      <w:pPr>
        <w:pStyle w:val="ESlet"/>
      </w:pPr>
      <w:r>
        <w:t>b)</w:t>
      </w:r>
      <w:r>
        <w:tab/>
        <w:t>in caso di attivazione del dispositivo di esclusione, il sistema di controllo di tale dispositivo deve attivare un segnale acustico e visivo di allarme presso la timoneria;</w:t>
      </w:r>
    </w:p>
    <w:p w:rsidR="00DE2419" w:rsidRPr="004B606C" w:rsidRDefault="00DE2419" w:rsidP="00DE2419">
      <w:pPr>
        <w:pStyle w:val="ESlet"/>
        <w:rPr>
          <w:rFonts w:cs="Arial"/>
        </w:rPr>
      </w:pPr>
      <w:r>
        <w:t>c)</w:t>
      </w:r>
      <w:r>
        <w:tab/>
        <w:t>un sistema di controllo del dispositivo di esclusione deve registrare nella memoria non volatile del computer tutti gli incidenti relativi al funzionamento del motore che comportano il ricorso al dispositivo di esclusione. Tali informazioni devono essere messe prontamente a disposizione delle autorità competenti.</w:t>
      </w:r>
    </w:p>
    <w:p w:rsidR="00DE2419" w:rsidRDefault="00DE2419" w:rsidP="00DE2419">
      <w:pPr>
        <w:pStyle w:val="ESch"/>
      </w:pPr>
    </w:p>
    <w:p w:rsidR="00211AAA" w:rsidRDefault="00211AAA">
      <w:pPr>
        <w:autoSpaceDE/>
        <w:autoSpaceDN/>
        <w:ind w:left="0" w:firstLine="0"/>
        <w:jc w:val="left"/>
      </w:pPr>
      <w:r>
        <w:br w:type="page"/>
      </w:r>
    </w:p>
    <w:p w:rsidR="00211AAA" w:rsidRPr="004B606C" w:rsidRDefault="00211AAA" w:rsidP="00DE2419">
      <w:pPr>
        <w:pStyle w:val="ESch"/>
      </w:pPr>
    </w:p>
    <w:p w:rsidR="00DE2419" w:rsidRPr="004B606C" w:rsidRDefault="00DE2419" w:rsidP="00DE2419">
      <w:pPr>
        <w:pStyle w:val="ESch"/>
      </w:pPr>
      <w:r>
        <w:t>3.</w:t>
      </w:r>
      <w:r>
        <w:tab/>
        <w:t>Quando è installato un sistema diagnostico di controllo conformemente all'articolo 25, paragrafo 3, lettera f), del regolamento (UE) 2016/1628, gli allarmi necessari attivano un segnale acustico e visivo di allarme presso la timoneria in caso di anomalie.</w:t>
      </w:r>
    </w:p>
    <w:p w:rsidR="00DE2419" w:rsidRPr="004B606C" w:rsidRDefault="00DE2419" w:rsidP="00DE2419">
      <w:pPr>
        <w:pStyle w:val="ESch"/>
      </w:pPr>
    </w:p>
    <w:p w:rsidR="00DE2419" w:rsidRPr="004B606C" w:rsidRDefault="00DE2419" w:rsidP="00DE2419">
      <w:pPr>
        <w:pStyle w:val="ESch"/>
      </w:pPr>
      <w:r>
        <w:t>4.</w:t>
      </w:r>
      <w:r>
        <w:tab/>
        <w:t xml:space="preserve">Se un sistema di post-trattamento si basa sull'uso di un reagente al fine di ridurre le emissioni, gli allarmi richiesti avvertono l'equipaggio della necessità di riempire il serbatoio del reagente prima che si svuoti oppure di sostituire il reagente se non soddisfa la specifiche di concentrazione. </w:t>
      </w:r>
    </w:p>
    <w:p w:rsidR="00DE2419" w:rsidRPr="004B606C" w:rsidRDefault="00DE2419" w:rsidP="00DE2419">
      <w:pPr>
        <w:pStyle w:val="ESch"/>
      </w:pPr>
    </w:p>
    <w:p w:rsidR="00DE2419" w:rsidRPr="004532C5" w:rsidRDefault="00DE2419" w:rsidP="00DE2419">
      <w:pPr>
        <w:pStyle w:val="ESchpar"/>
      </w:pPr>
      <w:r>
        <w:t>Quando un sistema diagnostico di controllo installato a norma dell'articolo 25, paragrafo 3, lettera f), del regolamento (UE) 2016/1628 può attivare una riduzione di potenza del motore a combustione interna, occorre che siano soddisfatti i seguenti requisiti:</w:t>
      </w:r>
    </w:p>
    <w:p w:rsidR="00DE2419" w:rsidRPr="004532C5" w:rsidRDefault="00DE2419" w:rsidP="00DE2419">
      <w:pPr>
        <w:spacing w:before="60" w:line="240" w:lineRule="atLeast"/>
        <w:ind w:left="993" w:hanging="426"/>
        <w:rPr>
          <w:rFonts w:ascii="ArialMT" w:hAnsi="ArialMT" w:cs="ArialMT"/>
          <w:szCs w:val="20"/>
        </w:rPr>
      </w:pPr>
      <w:r>
        <w:rPr>
          <w:rFonts w:ascii="ArialMT" w:hAnsi="ArialMT"/>
        </w:rPr>
        <w:t>a)</w:t>
      </w:r>
      <w:r>
        <w:tab/>
      </w:r>
      <w:r>
        <w:rPr>
          <w:rFonts w:ascii="ArialMT" w:hAnsi="ArialMT"/>
        </w:rPr>
        <w:t>l'attivazione della riduzione di potenza deve consentire all'imbarcazione di proseguire la navigazione con mezzi propri;</w:t>
      </w:r>
    </w:p>
    <w:p w:rsidR="00DE2419" w:rsidRPr="004532C5" w:rsidRDefault="00DE2419" w:rsidP="00DE2419">
      <w:pPr>
        <w:spacing w:before="60" w:line="240" w:lineRule="atLeast"/>
        <w:ind w:left="993" w:hanging="426"/>
        <w:rPr>
          <w:rFonts w:ascii="ArialMT" w:hAnsi="ArialMT" w:cs="ArialMT"/>
          <w:szCs w:val="20"/>
        </w:rPr>
      </w:pPr>
      <w:r>
        <w:rPr>
          <w:rFonts w:ascii="ArialMT" w:hAnsi="ArialMT"/>
        </w:rPr>
        <w:t>b)</w:t>
      </w:r>
      <w:r>
        <w:tab/>
      </w:r>
      <w:r>
        <w:rPr>
          <w:rFonts w:ascii="ArialMT" w:hAnsi="ArialMT"/>
        </w:rPr>
        <w:t>in caso di attivazione della riduzione di potenza, il sistema di controllo deve attivare un segnale acustico e visivo di allarme presso la timoneria.</w:t>
      </w:r>
    </w:p>
    <w:p w:rsidR="00DE2419" w:rsidRDefault="00DE2419" w:rsidP="00DE2419">
      <w:pPr>
        <w:pStyle w:val="ESch"/>
      </w:pPr>
    </w:p>
    <w:p w:rsidR="00DE2419" w:rsidRPr="004B606C" w:rsidRDefault="00DE2419" w:rsidP="00DE2419">
      <w:pPr>
        <w:pStyle w:val="ESch"/>
        <w:rPr>
          <w:rFonts w:ascii="ArialMT" w:hAnsi="ArialMT" w:cs="ArialMT"/>
        </w:rPr>
      </w:pPr>
      <w:r>
        <w:rPr>
          <w:rFonts w:ascii="ArialMT" w:hAnsi="ArialMT"/>
        </w:rPr>
        <w:t>5.</w:t>
      </w:r>
      <w:r>
        <w:tab/>
      </w:r>
      <w:r>
        <w:rPr>
          <w:rFonts w:ascii="ArialMT" w:hAnsi="ArialMT"/>
        </w:rPr>
        <w:t xml:space="preserve">Il requisito di cui al paragrafo 1 si considera soddisfatto quando la nave è dotata di </w:t>
      </w:r>
    </w:p>
    <w:p w:rsidR="00DE2419" w:rsidRPr="004B606C" w:rsidRDefault="00DE2419" w:rsidP="00DE2419">
      <w:pPr>
        <w:pStyle w:val="ESlet"/>
      </w:pPr>
      <w:r>
        <w:t>a)</w:t>
      </w:r>
      <w:r>
        <w:tab/>
        <w:t>un secondo sistema di propulsione indipendente (anche se tale secondo sistema include anch'esso un sistema di post-trattamento dei gas di scarico) che consenta all'imbarcazione di proseguire la navigazione con mezzi propri; oppure</w:t>
      </w:r>
    </w:p>
    <w:p w:rsidR="00DE2419" w:rsidRPr="004B606C" w:rsidRDefault="00DE2419" w:rsidP="00DE2419">
      <w:pPr>
        <w:pStyle w:val="ESlet"/>
      </w:pPr>
      <w:r>
        <w:t>b)</w:t>
      </w:r>
      <w:r>
        <w:tab/>
        <w:t xml:space="preserve">un sistema di post-trattamento con un dispositivo di esclusione ai sensi del paragrafo 2. </w:t>
      </w:r>
    </w:p>
    <w:p w:rsidR="002D2D76" w:rsidRPr="00DE2419" w:rsidRDefault="002D2D76" w:rsidP="002D2D76">
      <w:pPr>
        <w:rPr>
          <w:rFonts w:cs="Arial"/>
          <w:szCs w:val="20"/>
        </w:rPr>
      </w:pPr>
    </w:p>
    <w:p w:rsidR="00E9195A" w:rsidRPr="00C903F8" w:rsidRDefault="00E9195A" w:rsidP="00245091"/>
    <w:p w:rsidR="00ED1CB3" w:rsidRPr="00C903F8" w:rsidRDefault="00ED1CB3" w:rsidP="00245091"/>
    <w:p w:rsidR="00ED1CB3" w:rsidRPr="00C903F8" w:rsidRDefault="00ED1CB3">
      <w:pPr>
        <w:autoSpaceDE/>
        <w:autoSpaceDN/>
        <w:ind w:left="0" w:firstLine="0"/>
        <w:jc w:val="left"/>
      </w:pPr>
      <w:r>
        <w:br w:type="page"/>
      </w:r>
    </w:p>
    <w:p w:rsidR="00ED1CB3" w:rsidRPr="00C903F8" w:rsidRDefault="00ED1CB3" w:rsidP="00245091"/>
    <w:p w:rsidR="00ED1CB3" w:rsidRPr="00C903F8" w:rsidRDefault="00ED1CB3" w:rsidP="00245091"/>
    <w:p w:rsidR="00ED1CB3" w:rsidRPr="00C903F8" w:rsidRDefault="00ED1CB3" w:rsidP="00245091"/>
    <w:p w:rsidR="00E9195A" w:rsidRPr="00C903F8" w:rsidRDefault="00E9195A" w:rsidP="00245091"/>
    <w:p w:rsidR="0033095A" w:rsidRPr="00C903F8" w:rsidRDefault="008A12E7" w:rsidP="0033095A">
      <w:pPr>
        <w:pStyle w:val="ES-Titre2"/>
      </w:pPr>
      <w:bookmarkStart w:id="159" w:name="_Toc491854077"/>
      <w:bookmarkStart w:id="160" w:name="_Toc535500026"/>
      <w:r>
        <w:lastRenderedPageBreak/>
        <w:t>Capo 10</w:t>
      </w:r>
      <w:r>
        <w:br/>
        <w:t>Impianti e apparecchi elettrici</w:t>
      </w:r>
      <w:bookmarkEnd w:id="159"/>
      <w:bookmarkEnd w:id="160"/>
    </w:p>
    <w:p w:rsidR="0033095A" w:rsidRDefault="0033095A" w:rsidP="00763ADA"/>
    <w:p w:rsidR="008A12E7" w:rsidRPr="00C903F8" w:rsidRDefault="008A12E7" w:rsidP="008A12E7">
      <w:pPr>
        <w:pStyle w:val="ES-Titre3"/>
        <w:rPr>
          <w:i/>
          <w:noProof/>
        </w:rPr>
      </w:pPr>
      <w:bookmarkStart w:id="161" w:name="_Toc491854078"/>
      <w:bookmarkStart w:id="162" w:name="_Toc535500027"/>
      <w:r>
        <w:t>Articolo 10.01</w:t>
      </w:r>
      <w:r>
        <w:br/>
      </w:r>
      <w:r>
        <w:rPr>
          <w:i/>
          <w:noProof/>
        </w:rPr>
        <w:t>Aspetti generali</w:t>
      </w:r>
      <w:bookmarkEnd w:id="161"/>
      <w:bookmarkEnd w:id="162"/>
    </w:p>
    <w:p w:rsidR="008A12E7" w:rsidRPr="00C903F8" w:rsidRDefault="008A12E7" w:rsidP="008A12E7">
      <w:pPr>
        <w:rPr>
          <w:rFonts w:cs="Arial"/>
          <w:noProof/>
          <w:szCs w:val="20"/>
        </w:rPr>
      </w:pPr>
    </w:p>
    <w:p w:rsidR="001F02E6" w:rsidRPr="008F6ABB" w:rsidRDefault="001F02E6" w:rsidP="001F02E6">
      <w:pPr>
        <w:pStyle w:val="ESch"/>
        <w:rPr>
          <w:rFonts w:eastAsia="Calibri"/>
        </w:rPr>
      </w:pPr>
      <w:r>
        <w:t>1.</w:t>
      </w:r>
      <w:r>
        <w:tab/>
        <w:t>In mancanza di requisiti specifici per alcune parti di un impianto elettrico o di un apparecchio elettrico, il livello di sicurezza è giudicato soddisfacente quando tali parti sono state installate in conformità di una norma europea approvata o dei requisiti stabiliti da un organismo di classificazione autorizzato.</w:t>
      </w:r>
    </w:p>
    <w:p w:rsidR="001F02E6" w:rsidRPr="008F6ABB" w:rsidRDefault="001F02E6" w:rsidP="001F02E6">
      <w:pPr>
        <w:pStyle w:val="ESchpar"/>
        <w:rPr>
          <w:rFonts w:eastAsia="Calibri"/>
        </w:rPr>
      </w:pPr>
    </w:p>
    <w:p w:rsidR="001F02E6" w:rsidRPr="008F6ABB" w:rsidRDefault="001F02E6" w:rsidP="001F02E6">
      <w:pPr>
        <w:pStyle w:val="ESchpar"/>
        <w:rPr>
          <w:rFonts w:eastAsia="Calibri"/>
        </w:rPr>
      </w:pPr>
      <w:r>
        <w:t>Alla commissione di ispezione occorre presentare i documenti corrispondenti.</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2.</w:t>
      </w:r>
      <w:r>
        <w:tab/>
        <w:t>A bordo sono disponibili i seguenti documenti recanti il timbro della commissione di ispezione:</w:t>
      </w:r>
    </w:p>
    <w:p w:rsidR="001F02E6" w:rsidRPr="008F6ABB" w:rsidRDefault="001F02E6" w:rsidP="001F02E6">
      <w:pPr>
        <w:pStyle w:val="ESlet"/>
        <w:rPr>
          <w:rFonts w:eastAsia="Calibri"/>
        </w:rPr>
      </w:pPr>
      <w:r>
        <w:t>a)</w:t>
      </w:r>
      <w:r>
        <w:tab/>
        <w:t>piani generali dell'intero impianto elettrico;</w:t>
      </w:r>
    </w:p>
    <w:p w:rsidR="001F02E6" w:rsidRPr="008F6ABB" w:rsidRDefault="001F02E6" w:rsidP="001F02E6">
      <w:pPr>
        <w:pStyle w:val="ESlet"/>
        <w:rPr>
          <w:rFonts w:eastAsia="Calibri" w:cs="Arial"/>
          <w:szCs w:val="20"/>
        </w:rPr>
      </w:pPr>
      <w:r>
        <w:t>b)</w:t>
      </w:r>
      <w:r>
        <w:tab/>
        <w:t>i piani dei quadri principali, dei quadri dell'impianto di emergenza e dei quadri di distribuzione con indicazione dei dati tecnici più importanti, quali l'amperaggio della corrente nominale dei fusibili e dei dispositivi di commutazione;</w:t>
      </w:r>
    </w:p>
    <w:p w:rsidR="001F02E6" w:rsidRPr="008F6ABB" w:rsidRDefault="001F02E6" w:rsidP="001F02E6">
      <w:pPr>
        <w:pStyle w:val="ESlet"/>
        <w:rPr>
          <w:rFonts w:eastAsia="Calibri"/>
        </w:rPr>
      </w:pPr>
      <w:r>
        <w:t>c)</w:t>
      </w:r>
      <w:r>
        <w:tab/>
        <w:t>indicazioni dei requisiti di alimentazione per gli apparecchi elettrici di servizio;</w:t>
      </w:r>
    </w:p>
    <w:p w:rsidR="001F02E6" w:rsidRPr="008F6ABB" w:rsidRDefault="001F02E6" w:rsidP="001F02E6">
      <w:pPr>
        <w:pStyle w:val="ESlet"/>
        <w:rPr>
          <w:rFonts w:eastAsia="Calibri"/>
        </w:rPr>
      </w:pPr>
      <w:r>
        <w:t>d)</w:t>
      </w:r>
      <w:r>
        <w:tab/>
        <w:t>tipi di cavo con indicazione delle sezioni dei conduttori;</w:t>
      </w:r>
    </w:p>
    <w:p w:rsidR="001F02E6" w:rsidRPr="008F6ABB" w:rsidRDefault="001F02E6" w:rsidP="001F02E6">
      <w:pPr>
        <w:pStyle w:val="ESlet"/>
        <w:rPr>
          <w:rFonts w:eastAsia="Calibri"/>
        </w:rPr>
      </w:pPr>
      <w:r>
        <w:t>e)</w:t>
      </w:r>
      <w:r>
        <w:tab/>
        <w:t>per sistemi elettrici di propulsione di navi, i piani dei quadri elettrici e la documentazione del motore elettrico di propulsione;</w:t>
      </w:r>
    </w:p>
    <w:p w:rsidR="001F02E6" w:rsidRPr="00881113" w:rsidRDefault="001F02E6" w:rsidP="001F02E6">
      <w:pPr>
        <w:pStyle w:val="ESlet"/>
        <w:rPr>
          <w:rFonts w:eastAsia="Calibri"/>
        </w:rPr>
      </w:pPr>
      <w:r>
        <w:t>f)</w:t>
      </w:r>
      <w:r>
        <w:tab/>
        <w:t>i piani dei sistemi elettronici di comando di governo, regolazione, allarme e sicurezza;</w:t>
      </w:r>
    </w:p>
    <w:p w:rsidR="001F02E6" w:rsidRPr="008F6ABB" w:rsidRDefault="001F02E6" w:rsidP="001F02E6">
      <w:pPr>
        <w:pStyle w:val="ESlet"/>
        <w:rPr>
          <w:rFonts w:eastAsia="Calibri"/>
        </w:rPr>
      </w:pPr>
      <w:r>
        <w:t>g)</w:t>
      </w:r>
      <w:r>
        <w:tab/>
        <w:t>i piani dei circuiti di comando.</w:t>
      </w:r>
    </w:p>
    <w:p w:rsidR="001F02E6" w:rsidRPr="008F6ABB" w:rsidRDefault="001F02E6" w:rsidP="001F02E6">
      <w:pPr>
        <w:pStyle w:val="ESchpar"/>
        <w:rPr>
          <w:rFonts w:eastAsia="Calibri"/>
        </w:rPr>
      </w:pPr>
    </w:p>
    <w:p w:rsidR="001F02E6" w:rsidRPr="008F6ABB" w:rsidRDefault="001F02E6" w:rsidP="001F02E6">
      <w:pPr>
        <w:pStyle w:val="ESchpar"/>
        <w:rPr>
          <w:rFonts w:eastAsia="Calibri"/>
        </w:rPr>
      </w:pPr>
      <w:r>
        <w:t>Per le imbarcazioni sprovviste di equipaggio, non occorre che tali documenti siano tenuti a bordo, tuttavia devono essere sempre a disposizione presso il proprietario.</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3.</w:t>
      </w:r>
      <w:r>
        <w:tab/>
        <w:t>Gli apparecchi e gli impianti sono progettati per un elenco permanente specifico dell'imbarcazione fino a 15° e per una temperatura ambiente interna compresa tra 0 °C e +40 °C e sul ponte compresa tra -20 °C e +40 °C. Devono essere pienamente funzionanti fino a questi limiti.</w:t>
      </w:r>
    </w:p>
    <w:p w:rsidR="001F02E6" w:rsidRPr="001717EA" w:rsidRDefault="001F02E6" w:rsidP="001F02E6">
      <w:pPr>
        <w:pStyle w:val="ESch"/>
        <w:rPr>
          <w:rFonts w:eastAsia="Calibri"/>
        </w:rPr>
      </w:pPr>
    </w:p>
    <w:p w:rsidR="001F02E6" w:rsidRPr="008F6ABB" w:rsidRDefault="001F02E6" w:rsidP="001F02E6">
      <w:pPr>
        <w:pStyle w:val="ESch"/>
        <w:rPr>
          <w:rFonts w:eastAsia="Calibri"/>
        </w:rPr>
      </w:pPr>
      <w:r>
        <w:t>4.</w:t>
      </w:r>
      <w:r>
        <w:tab/>
        <w:t>Gli impianti e gli apparecchi elettrici sono di facile accesso e manutenzione.</w:t>
      </w:r>
    </w:p>
    <w:p w:rsidR="001F02E6" w:rsidRPr="001717EA" w:rsidRDefault="001F02E6" w:rsidP="001F02E6">
      <w:pPr>
        <w:pStyle w:val="ESch"/>
        <w:rPr>
          <w:rFonts w:eastAsia="Calibri"/>
        </w:rPr>
      </w:pPr>
    </w:p>
    <w:p w:rsidR="001F02E6" w:rsidRPr="008F6ABB" w:rsidRDefault="001F02E6" w:rsidP="001F02E6">
      <w:pPr>
        <w:pStyle w:val="ESch"/>
        <w:rPr>
          <w:rFonts w:eastAsia="Calibri"/>
        </w:rPr>
      </w:pPr>
      <w:r>
        <w:t>5.</w:t>
      </w:r>
      <w:r>
        <w:tab/>
        <w:t>Gli apparecchi e gli impianti elettrici sono progettati e installati in maniera tale da evitare che le vibrazioni che si verificano a bordo durante il normale servizio causino anomalie o danni.</w:t>
      </w:r>
    </w:p>
    <w:p w:rsidR="008A12E7" w:rsidRPr="001F02E6" w:rsidRDefault="008A12E7" w:rsidP="008A12E7">
      <w:pPr>
        <w:rPr>
          <w:rFonts w:cs="Arial"/>
          <w:szCs w:val="20"/>
        </w:rPr>
      </w:pPr>
    </w:p>
    <w:p w:rsidR="008A12E7" w:rsidRPr="00C903F8" w:rsidRDefault="008A12E7" w:rsidP="008A12E7">
      <w:pPr>
        <w:rPr>
          <w:rFonts w:cs="Arial"/>
          <w:szCs w:val="20"/>
        </w:rPr>
      </w:pPr>
    </w:p>
    <w:p w:rsidR="008A12E7" w:rsidRPr="00C903F8" w:rsidRDefault="008A12E7" w:rsidP="008A12E7">
      <w:pPr>
        <w:pStyle w:val="ES-Titre3"/>
        <w:rPr>
          <w:noProof/>
        </w:rPr>
      </w:pPr>
      <w:bookmarkStart w:id="163" w:name="_Toc491854079"/>
      <w:bookmarkStart w:id="164" w:name="_Toc535500028"/>
      <w:r>
        <w:t>Articolo 10.02</w:t>
      </w:r>
      <w:r>
        <w:br/>
      </w:r>
      <w:r>
        <w:rPr>
          <w:i/>
          <w:noProof/>
        </w:rPr>
        <w:t>Sistemi d'alimentazione di energia elettrica</w:t>
      </w:r>
      <w:bookmarkEnd w:id="163"/>
      <w:bookmarkEnd w:id="164"/>
    </w:p>
    <w:p w:rsidR="008A12E7" w:rsidRPr="00C903F8" w:rsidRDefault="008A12E7" w:rsidP="008A12E7">
      <w:pPr>
        <w:rPr>
          <w:rFonts w:cs="Arial"/>
          <w:noProof/>
          <w:szCs w:val="20"/>
        </w:rPr>
      </w:pPr>
    </w:p>
    <w:p w:rsidR="001F02E6" w:rsidRPr="008F6ABB" w:rsidRDefault="001F02E6" w:rsidP="001F02E6">
      <w:pPr>
        <w:pStyle w:val="ESch"/>
        <w:rPr>
          <w:rFonts w:eastAsia="Calibri"/>
        </w:rPr>
      </w:pPr>
      <w:r>
        <w:t>1.</w:t>
      </w:r>
      <w:r>
        <w:tab/>
        <w:t>A bordo delle imbarcazioni provviste di impianto elettrico, l'impianto è alimentato da almeno due fonti d'energia di modo che, in caso di avaria di una delle due, quella restante sia in grado di alimentare per 30 minuti almeno le utenze necessarie per il servizio sicuro.</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2.</w:t>
      </w:r>
      <w:r>
        <w:tab/>
        <w:t>Il dimensionamento adeguato dell'alimentazione elettrica è dimostrato da un calcolo del bilancio energetico. Si può prendere in considerazione un fattore appropriato di utilizzo.</w:t>
      </w:r>
    </w:p>
    <w:p w:rsidR="001F02E6" w:rsidRPr="008F6ABB" w:rsidRDefault="001F02E6" w:rsidP="001F02E6">
      <w:pPr>
        <w:pStyle w:val="ESch"/>
        <w:rPr>
          <w:rFonts w:eastAsia="Calibri"/>
        </w:rPr>
      </w:pPr>
    </w:p>
    <w:p w:rsidR="00481591" w:rsidRDefault="001F02E6" w:rsidP="001F02E6">
      <w:pPr>
        <w:pStyle w:val="ESch"/>
      </w:pPr>
      <w:r>
        <w:t>3.</w:t>
      </w:r>
      <w:r>
        <w:tab/>
        <w:t>Indipendentemente dal paragrafo 1, l'articolo 6.04 si applica alle fonti d'energia degli apparati di governo.</w:t>
      </w:r>
    </w:p>
    <w:p w:rsidR="008A12E7" w:rsidRPr="001F02E6" w:rsidRDefault="008A12E7" w:rsidP="001F02E6">
      <w:pPr>
        <w:pStyle w:val="ESch"/>
        <w:rPr>
          <w:rFonts w:eastAsia="Calibri"/>
        </w:rPr>
      </w:pPr>
      <w:r>
        <w:br w:type="page"/>
      </w:r>
    </w:p>
    <w:p w:rsidR="008A12E7" w:rsidRPr="00C903F8" w:rsidRDefault="008A12E7" w:rsidP="008A12E7">
      <w:pPr>
        <w:pStyle w:val="ES-Titre3"/>
        <w:rPr>
          <w:i/>
        </w:rPr>
      </w:pPr>
      <w:bookmarkStart w:id="165" w:name="_Toc491854080"/>
      <w:bookmarkStart w:id="166" w:name="_Toc535500029"/>
      <w:r>
        <w:lastRenderedPageBreak/>
        <w:t>Articolo 10.03</w:t>
      </w:r>
      <w:r>
        <w:br/>
      </w:r>
      <w:r>
        <w:rPr>
          <w:i/>
        </w:rPr>
        <w:t>Protezione contro l'accesso a parti pericolose, contro corpi estranei solidi, contro la penetrazione di acqua</w:t>
      </w:r>
      <w:bookmarkEnd w:id="165"/>
      <w:bookmarkEnd w:id="166"/>
    </w:p>
    <w:p w:rsidR="008A12E7" w:rsidRPr="00C903F8" w:rsidRDefault="008A12E7" w:rsidP="008A12E7">
      <w:pPr>
        <w:ind w:left="0" w:firstLine="0"/>
        <w:rPr>
          <w:rFonts w:cs="Arial"/>
          <w:noProof/>
          <w:szCs w:val="20"/>
        </w:rPr>
      </w:pPr>
    </w:p>
    <w:p w:rsidR="001F02E6" w:rsidRPr="008F6ABB" w:rsidRDefault="001F02E6" w:rsidP="001F02E6">
      <w:pPr>
        <w:pStyle w:val="ESgauche"/>
        <w:rPr>
          <w:rFonts w:eastAsia="Calibri"/>
          <w:noProof w:val="0"/>
        </w:rPr>
      </w:pPr>
      <w:r>
        <w:t>Il tipo di protezione minima delle parti di un impianto elettrico fisso è conforme alla tabella che segue:</w:t>
      </w:r>
    </w:p>
    <w:p w:rsidR="008A12E7" w:rsidRPr="001F02E6" w:rsidRDefault="008A12E7" w:rsidP="008A12E7">
      <w:pPr>
        <w:rPr>
          <w:rFonts w:cs="Arial"/>
          <w:szCs w:val="20"/>
        </w:rPr>
      </w:pPr>
    </w:p>
    <w:tbl>
      <w:tblPr>
        <w:tblW w:w="9356" w:type="dxa"/>
        <w:tblInd w:w="8" w:type="dxa"/>
        <w:tblLayout w:type="fixed"/>
        <w:tblCellMar>
          <w:left w:w="0" w:type="dxa"/>
          <w:right w:w="0" w:type="dxa"/>
        </w:tblCellMar>
        <w:tblLook w:val="0000" w:firstRow="0" w:lastRow="0" w:firstColumn="0" w:lastColumn="0" w:noHBand="0" w:noVBand="0"/>
      </w:tblPr>
      <w:tblGrid>
        <w:gridCol w:w="2835"/>
        <w:gridCol w:w="1080"/>
        <w:gridCol w:w="960"/>
        <w:gridCol w:w="960"/>
        <w:gridCol w:w="1253"/>
        <w:gridCol w:w="1154"/>
        <w:gridCol w:w="1114"/>
      </w:tblGrid>
      <w:tr w:rsidR="001F02E6" w:rsidRPr="00A0619C" w:rsidTr="001F02E6">
        <w:trPr>
          <w:cantSplit/>
        </w:trPr>
        <w:tc>
          <w:tcPr>
            <w:tcW w:w="2835" w:type="dxa"/>
            <w:tcBorders>
              <w:top w:val="single" w:sz="6" w:space="0" w:color="auto"/>
              <w:left w:val="single" w:sz="6" w:space="0" w:color="auto"/>
              <w:right w:val="single" w:sz="6" w:space="0" w:color="auto"/>
            </w:tcBorders>
          </w:tcPr>
          <w:p w:rsidR="001F02E6" w:rsidRPr="00481591" w:rsidRDefault="001F02E6" w:rsidP="001F02E6">
            <w:pPr>
              <w:keepNext/>
              <w:keepLines/>
              <w:spacing w:before="60" w:after="60" w:line="240" w:lineRule="atLeast"/>
              <w:jc w:val="center"/>
              <w:rPr>
                <w:rFonts w:eastAsia="Calibri" w:cs="Arial"/>
                <w:sz w:val="18"/>
                <w:szCs w:val="18"/>
              </w:rPr>
            </w:pPr>
          </w:p>
        </w:tc>
        <w:tc>
          <w:tcPr>
            <w:tcW w:w="6521" w:type="dxa"/>
            <w:gridSpan w:val="6"/>
            <w:tcBorders>
              <w:top w:val="single" w:sz="6" w:space="0" w:color="auto"/>
              <w:left w:val="nil"/>
              <w:bottom w:val="single" w:sz="6" w:space="0" w:color="auto"/>
              <w:right w:val="single" w:sz="6" w:space="0" w:color="auto"/>
            </w:tcBorders>
          </w:tcPr>
          <w:p w:rsidR="001F02E6" w:rsidRPr="00481591" w:rsidRDefault="001F02E6" w:rsidP="00481591">
            <w:pPr>
              <w:keepNext/>
              <w:keepLines/>
              <w:spacing w:before="60" w:after="60" w:line="240" w:lineRule="atLeast"/>
              <w:jc w:val="center"/>
              <w:rPr>
                <w:rFonts w:eastAsia="Calibri" w:cs="Arial"/>
                <w:sz w:val="18"/>
                <w:szCs w:val="18"/>
              </w:rPr>
            </w:pPr>
            <w:r>
              <w:rPr>
                <w:sz w:val="18"/>
              </w:rPr>
              <w:t>Tipo di protezione minima in conformità alla la norma europea EN 60529:2014</w:t>
            </w:r>
          </w:p>
        </w:tc>
      </w:tr>
      <w:tr w:rsidR="001F02E6" w:rsidRPr="00481591" w:rsidTr="001F02E6">
        <w:trPr>
          <w:cantSplit/>
          <w:trHeight w:val="668"/>
        </w:trPr>
        <w:tc>
          <w:tcPr>
            <w:tcW w:w="2835" w:type="dxa"/>
            <w:tcBorders>
              <w:left w:val="single" w:sz="6" w:space="0" w:color="auto"/>
              <w:bottom w:val="single" w:sz="12" w:space="0" w:color="auto"/>
              <w:right w:val="single" w:sz="6" w:space="0" w:color="auto"/>
            </w:tcBorders>
          </w:tcPr>
          <w:p w:rsidR="001F02E6" w:rsidRPr="00481591" w:rsidRDefault="001F02E6" w:rsidP="001F02E6">
            <w:pPr>
              <w:keepNext/>
              <w:keepLines/>
              <w:spacing w:before="60" w:after="60" w:line="240" w:lineRule="atLeast"/>
              <w:jc w:val="center"/>
              <w:rPr>
                <w:rFonts w:eastAsia="Calibri" w:cs="Arial"/>
                <w:sz w:val="18"/>
                <w:szCs w:val="18"/>
              </w:rPr>
            </w:pPr>
            <w:r>
              <w:rPr>
                <w:sz w:val="18"/>
              </w:rPr>
              <w:t>Ubicazione</w:t>
            </w:r>
          </w:p>
        </w:tc>
        <w:tc>
          <w:tcPr>
            <w:tcW w:w="1080" w:type="dxa"/>
            <w:tcBorders>
              <w:top w:val="single" w:sz="6" w:space="0" w:color="auto"/>
              <w:left w:val="nil"/>
              <w:bottom w:val="single" w:sz="12" w:space="0" w:color="auto"/>
              <w:right w:val="single" w:sz="6" w:space="0" w:color="auto"/>
            </w:tcBorders>
          </w:tcPr>
          <w:p w:rsidR="001F02E6" w:rsidRPr="00481591" w:rsidRDefault="001F02E6" w:rsidP="00481591">
            <w:pPr>
              <w:keepNext/>
              <w:keepLines/>
              <w:spacing w:before="40" w:after="40" w:line="220" w:lineRule="atLeast"/>
              <w:ind w:left="0" w:firstLine="0"/>
              <w:jc w:val="center"/>
              <w:rPr>
                <w:rFonts w:eastAsia="Calibri" w:cs="Arial"/>
                <w:sz w:val="18"/>
                <w:szCs w:val="18"/>
              </w:rPr>
            </w:pPr>
            <w:r>
              <w:rPr>
                <w:sz w:val="18"/>
              </w:rPr>
              <w:t>Generatori</w:t>
            </w:r>
          </w:p>
        </w:tc>
        <w:tc>
          <w:tcPr>
            <w:tcW w:w="960" w:type="dxa"/>
            <w:tcBorders>
              <w:top w:val="single" w:sz="6" w:space="0" w:color="auto"/>
              <w:left w:val="single" w:sz="6" w:space="0" w:color="auto"/>
              <w:bottom w:val="single" w:sz="12" w:space="0" w:color="auto"/>
              <w:right w:val="single" w:sz="6" w:space="0" w:color="auto"/>
            </w:tcBorders>
          </w:tcPr>
          <w:p w:rsidR="001F02E6" w:rsidRPr="00481591" w:rsidRDefault="001F02E6" w:rsidP="00481591">
            <w:pPr>
              <w:keepNext/>
              <w:keepLines/>
              <w:spacing w:before="40" w:after="40" w:line="220" w:lineRule="atLeast"/>
              <w:ind w:left="0" w:firstLine="0"/>
              <w:jc w:val="center"/>
              <w:rPr>
                <w:rFonts w:eastAsia="Calibri" w:cs="Arial"/>
                <w:sz w:val="18"/>
                <w:szCs w:val="18"/>
              </w:rPr>
            </w:pPr>
            <w:r>
              <w:rPr>
                <w:sz w:val="18"/>
              </w:rPr>
              <w:t>Motori</w:t>
            </w:r>
          </w:p>
        </w:tc>
        <w:tc>
          <w:tcPr>
            <w:tcW w:w="960" w:type="dxa"/>
            <w:tcBorders>
              <w:top w:val="single" w:sz="6" w:space="0" w:color="auto"/>
              <w:left w:val="single" w:sz="6" w:space="0" w:color="auto"/>
              <w:bottom w:val="single" w:sz="12" w:space="0" w:color="auto"/>
              <w:right w:val="single" w:sz="6" w:space="0" w:color="auto"/>
            </w:tcBorders>
          </w:tcPr>
          <w:p w:rsidR="001F02E6" w:rsidRPr="00481591" w:rsidRDefault="001F02E6" w:rsidP="00481591">
            <w:pPr>
              <w:keepNext/>
              <w:keepLines/>
              <w:spacing w:before="40" w:after="40" w:line="220" w:lineRule="atLeast"/>
              <w:ind w:left="0" w:firstLine="0"/>
              <w:jc w:val="center"/>
              <w:rPr>
                <w:rFonts w:eastAsia="Calibri" w:cs="Arial"/>
                <w:sz w:val="18"/>
                <w:szCs w:val="18"/>
              </w:rPr>
            </w:pPr>
            <w:r>
              <w:rPr>
                <w:sz w:val="18"/>
              </w:rPr>
              <w:t>Tras-</w:t>
            </w:r>
            <w:r>
              <w:rPr>
                <w:sz w:val="18"/>
                <w:szCs w:val="18"/>
              </w:rPr>
              <w:br/>
            </w:r>
            <w:r>
              <w:rPr>
                <w:sz w:val="18"/>
              </w:rPr>
              <w:t>formatori</w:t>
            </w:r>
          </w:p>
        </w:tc>
        <w:tc>
          <w:tcPr>
            <w:tcW w:w="1253" w:type="dxa"/>
            <w:tcBorders>
              <w:top w:val="single" w:sz="6" w:space="0" w:color="auto"/>
              <w:left w:val="single" w:sz="6" w:space="0" w:color="auto"/>
              <w:bottom w:val="single" w:sz="12" w:space="0" w:color="auto"/>
              <w:right w:val="single" w:sz="6" w:space="0" w:color="auto"/>
            </w:tcBorders>
          </w:tcPr>
          <w:p w:rsidR="001F02E6" w:rsidRPr="00481591" w:rsidRDefault="001F02E6" w:rsidP="00481591">
            <w:pPr>
              <w:keepNext/>
              <w:keepLines/>
              <w:spacing w:before="40" w:after="40" w:line="220" w:lineRule="atLeast"/>
              <w:ind w:left="0" w:firstLine="0"/>
              <w:jc w:val="center"/>
              <w:rPr>
                <w:rFonts w:eastAsia="Calibri" w:cs="Arial"/>
                <w:sz w:val="18"/>
                <w:szCs w:val="18"/>
              </w:rPr>
            </w:pPr>
            <w:r>
              <w:rPr>
                <w:sz w:val="18"/>
              </w:rPr>
              <w:t>Quadri elettrici</w:t>
            </w:r>
            <w:r>
              <w:rPr>
                <w:sz w:val="18"/>
                <w:szCs w:val="18"/>
              </w:rPr>
              <w:br/>
            </w:r>
            <w:r>
              <w:rPr>
                <w:sz w:val="18"/>
              </w:rPr>
              <w:t>Distribuzione</w:t>
            </w:r>
            <w:r>
              <w:rPr>
                <w:sz w:val="18"/>
                <w:szCs w:val="18"/>
              </w:rPr>
              <w:br/>
            </w:r>
            <w:r>
              <w:rPr>
                <w:sz w:val="18"/>
              </w:rPr>
              <w:t>Dispositivi di commutazione</w:t>
            </w:r>
          </w:p>
        </w:tc>
        <w:tc>
          <w:tcPr>
            <w:tcW w:w="1154" w:type="dxa"/>
            <w:tcBorders>
              <w:top w:val="single" w:sz="6" w:space="0" w:color="auto"/>
              <w:left w:val="single" w:sz="6" w:space="0" w:color="auto"/>
              <w:bottom w:val="single" w:sz="12" w:space="0" w:color="auto"/>
              <w:right w:val="single" w:sz="6" w:space="0" w:color="auto"/>
            </w:tcBorders>
          </w:tcPr>
          <w:p w:rsidR="001F02E6" w:rsidRPr="00481591" w:rsidRDefault="001F02E6" w:rsidP="00481591">
            <w:pPr>
              <w:keepNext/>
              <w:keepLines/>
              <w:spacing w:before="40" w:after="40" w:line="220" w:lineRule="atLeast"/>
              <w:ind w:left="0" w:firstLine="0"/>
              <w:jc w:val="center"/>
              <w:rPr>
                <w:rFonts w:eastAsia="Calibri" w:cs="Arial"/>
                <w:sz w:val="18"/>
                <w:szCs w:val="18"/>
              </w:rPr>
            </w:pPr>
            <w:r>
              <w:rPr>
                <w:sz w:val="18"/>
              </w:rPr>
              <w:t>Accessori</w:t>
            </w:r>
            <w:r>
              <w:rPr>
                <w:sz w:val="18"/>
                <w:vertAlign w:val="superscript"/>
              </w:rPr>
              <w:t>(4)</w:t>
            </w:r>
          </w:p>
        </w:tc>
        <w:tc>
          <w:tcPr>
            <w:tcW w:w="1114" w:type="dxa"/>
            <w:tcBorders>
              <w:top w:val="single" w:sz="6" w:space="0" w:color="auto"/>
              <w:left w:val="single" w:sz="6" w:space="0" w:color="auto"/>
              <w:bottom w:val="single" w:sz="12" w:space="0" w:color="auto"/>
              <w:right w:val="single" w:sz="6" w:space="0" w:color="auto"/>
            </w:tcBorders>
          </w:tcPr>
          <w:p w:rsidR="001F02E6" w:rsidRPr="00481591" w:rsidRDefault="001F02E6" w:rsidP="00481591">
            <w:pPr>
              <w:keepNext/>
              <w:keepLines/>
              <w:spacing w:before="40" w:after="40" w:line="220" w:lineRule="atLeast"/>
              <w:ind w:left="0" w:firstLine="0"/>
              <w:jc w:val="center"/>
              <w:rPr>
                <w:rFonts w:eastAsia="Calibri" w:cs="Arial"/>
                <w:sz w:val="18"/>
                <w:szCs w:val="18"/>
              </w:rPr>
            </w:pPr>
            <w:r>
              <w:rPr>
                <w:sz w:val="18"/>
              </w:rPr>
              <w:t>Apparecchi di illuminazione / rivelatori di incendio</w:t>
            </w:r>
          </w:p>
        </w:tc>
      </w:tr>
      <w:tr w:rsidR="001F02E6" w:rsidRPr="00481591" w:rsidTr="00481591">
        <w:trPr>
          <w:cantSplit/>
        </w:trPr>
        <w:tc>
          <w:tcPr>
            <w:tcW w:w="2835" w:type="dxa"/>
            <w:tcBorders>
              <w:top w:val="single" w:sz="12" w:space="0" w:color="auto"/>
              <w:left w:val="single" w:sz="6" w:space="0" w:color="auto"/>
              <w:bottom w:val="single" w:sz="6" w:space="0" w:color="auto"/>
              <w:right w:val="single" w:sz="6" w:space="0" w:color="auto"/>
            </w:tcBorders>
          </w:tcPr>
          <w:p w:rsidR="001F02E6" w:rsidRPr="00481591" w:rsidRDefault="001F02E6" w:rsidP="00360E7D">
            <w:pPr>
              <w:keepNext/>
              <w:keepLines/>
              <w:tabs>
                <w:tab w:val="left" w:pos="180"/>
                <w:tab w:val="left" w:leader="dot" w:pos="2694"/>
              </w:tabs>
              <w:spacing w:before="60" w:after="60" w:line="240" w:lineRule="atLeast"/>
              <w:ind w:left="57" w:right="141" w:firstLine="0"/>
              <w:rPr>
                <w:rFonts w:eastAsia="Calibri" w:cs="Arial"/>
                <w:sz w:val="18"/>
                <w:szCs w:val="18"/>
              </w:rPr>
            </w:pPr>
            <w:r>
              <w:rPr>
                <w:sz w:val="18"/>
              </w:rPr>
              <w:t xml:space="preserve">Sale operative, sale macchine e sale del mezzo di governo </w:t>
            </w:r>
            <w:r>
              <w:tab/>
            </w:r>
            <w:r>
              <w:tab/>
            </w:r>
          </w:p>
        </w:tc>
        <w:tc>
          <w:tcPr>
            <w:tcW w:w="1080" w:type="dxa"/>
            <w:tcBorders>
              <w:top w:val="single" w:sz="12" w:space="0" w:color="auto"/>
              <w:left w:val="nil"/>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22</w:t>
            </w:r>
          </w:p>
        </w:tc>
        <w:tc>
          <w:tcPr>
            <w:tcW w:w="960" w:type="dxa"/>
            <w:tcBorders>
              <w:top w:val="single" w:sz="12"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22</w:t>
            </w:r>
          </w:p>
        </w:tc>
        <w:tc>
          <w:tcPr>
            <w:tcW w:w="960" w:type="dxa"/>
            <w:tcBorders>
              <w:top w:val="single" w:sz="12"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22</w:t>
            </w:r>
            <w:r>
              <w:rPr>
                <w:sz w:val="18"/>
                <w:vertAlign w:val="superscript"/>
              </w:rPr>
              <w:t>(2)</w:t>
            </w:r>
          </w:p>
        </w:tc>
        <w:tc>
          <w:tcPr>
            <w:tcW w:w="1253" w:type="dxa"/>
            <w:tcBorders>
              <w:top w:val="single" w:sz="12"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22</w:t>
            </w:r>
            <w:r>
              <w:rPr>
                <w:sz w:val="18"/>
                <w:vertAlign w:val="superscript"/>
              </w:rPr>
              <w:t>(1) (2)</w:t>
            </w:r>
          </w:p>
        </w:tc>
        <w:tc>
          <w:tcPr>
            <w:tcW w:w="1154" w:type="dxa"/>
            <w:tcBorders>
              <w:top w:val="single" w:sz="12"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44</w:t>
            </w:r>
          </w:p>
        </w:tc>
        <w:tc>
          <w:tcPr>
            <w:tcW w:w="1114" w:type="dxa"/>
            <w:tcBorders>
              <w:top w:val="single" w:sz="12"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22</w:t>
            </w:r>
          </w:p>
        </w:tc>
      </w:tr>
      <w:tr w:rsidR="001F02E6" w:rsidRPr="00481591" w:rsidTr="00481591">
        <w:trPr>
          <w:cantSplit/>
          <w:trHeight w:val="292"/>
        </w:trPr>
        <w:tc>
          <w:tcPr>
            <w:tcW w:w="2835" w:type="dxa"/>
            <w:tcBorders>
              <w:top w:val="single" w:sz="6" w:space="0" w:color="auto"/>
              <w:left w:val="single" w:sz="6" w:space="0" w:color="auto"/>
              <w:bottom w:val="single" w:sz="6" w:space="0" w:color="auto"/>
              <w:right w:val="single" w:sz="6" w:space="0" w:color="auto"/>
            </w:tcBorders>
          </w:tcPr>
          <w:p w:rsidR="001F02E6" w:rsidRPr="00481591" w:rsidRDefault="001F02E6" w:rsidP="00360E7D">
            <w:pPr>
              <w:keepNext/>
              <w:keepLines/>
              <w:tabs>
                <w:tab w:val="left" w:pos="180"/>
                <w:tab w:val="left" w:leader="dot" w:pos="2694"/>
              </w:tabs>
              <w:spacing w:before="60" w:after="60" w:line="240" w:lineRule="atLeast"/>
              <w:ind w:left="57" w:right="141" w:firstLine="0"/>
              <w:rPr>
                <w:rFonts w:eastAsia="Calibri" w:cs="Arial"/>
                <w:sz w:val="18"/>
                <w:szCs w:val="18"/>
              </w:rPr>
            </w:pPr>
            <w:r>
              <w:rPr>
                <w:sz w:val="18"/>
              </w:rPr>
              <w:t xml:space="preserve">Stive </w:t>
            </w:r>
            <w:r>
              <w:tab/>
            </w:r>
          </w:p>
        </w:tc>
        <w:tc>
          <w:tcPr>
            <w:tcW w:w="1080" w:type="dxa"/>
            <w:tcBorders>
              <w:top w:val="single" w:sz="6" w:space="0" w:color="auto"/>
              <w:left w:val="nil"/>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55</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55</w:t>
            </w:r>
          </w:p>
        </w:tc>
      </w:tr>
      <w:tr w:rsidR="001F02E6" w:rsidRPr="00481591"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481591" w:rsidRDefault="001F02E6" w:rsidP="00360E7D">
            <w:pPr>
              <w:keepNext/>
              <w:keepLines/>
              <w:tabs>
                <w:tab w:val="left" w:pos="180"/>
                <w:tab w:val="left" w:leader="dot" w:pos="2694"/>
              </w:tabs>
              <w:spacing w:before="60" w:after="60" w:line="240" w:lineRule="atLeast"/>
              <w:ind w:left="57" w:right="141" w:firstLine="0"/>
              <w:jc w:val="left"/>
              <w:rPr>
                <w:rFonts w:eastAsia="Calibri" w:cs="Arial"/>
                <w:sz w:val="18"/>
                <w:szCs w:val="18"/>
              </w:rPr>
            </w:pPr>
            <w:r>
              <w:rPr>
                <w:sz w:val="18"/>
              </w:rPr>
              <w:t xml:space="preserve">Locali per accumulatori e vernici </w:t>
            </w:r>
            <w:r>
              <w:tab/>
            </w:r>
          </w:p>
        </w:tc>
        <w:tc>
          <w:tcPr>
            <w:tcW w:w="1080" w:type="dxa"/>
            <w:tcBorders>
              <w:top w:val="single" w:sz="6" w:space="0" w:color="auto"/>
              <w:left w:val="nil"/>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44 ed (Ex)</w:t>
            </w:r>
            <w:r>
              <w:rPr>
                <w:sz w:val="18"/>
                <w:vertAlign w:val="superscript"/>
              </w:rPr>
              <w:t>(3)</w:t>
            </w:r>
          </w:p>
        </w:tc>
      </w:tr>
      <w:tr w:rsidR="001F02E6" w:rsidRPr="00481591"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481591" w:rsidRDefault="001F02E6" w:rsidP="00360E7D">
            <w:pPr>
              <w:keepNext/>
              <w:keepLines/>
              <w:tabs>
                <w:tab w:val="left" w:pos="180"/>
                <w:tab w:val="left" w:leader="dot" w:pos="2694"/>
              </w:tabs>
              <w:spacing w:before="60" w:after="60" w:line="240" w:lineRule="atLeast"/>
              <w:ind w:left="57" w:right="141" w:firstLine="0"/>
              <w:jc w:val="left"/>
              <w:rPr>
                <w:rFonts w:eastAsia="Calibri" w:cs="Arial"/>
                <w:sz w:val="18"/>
                <w:szCs w:val="18"/>
              </w:rPr>
            </w:pPr>
            <w:r>
              <w:rPr>
                <w:sz w:val="18"/>
              </w:rPr>
              <w:t xml:space="preserve">Ponti sopra coperta, posti di pilotaggio scoperti </w:t>
            </w:r>
            <w:r>
              <w:tab/>
            </w:r>
          </w:p>
        </w:tc>
        <w:tc>
          <w:tcPr>
            <w:tcW w:w="1080" w:type="dxa"/>
            <w:tcBorders>
              <w:top w:val="single" w:sz="6" w:space="0" w:color="auto"/>
              <w:left w:val="nil"/>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55</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55</w:t>
            </w:r>
          </w:p>
        </w:tc>
      </w:tr>
      <w:tr w:rsidR="001F02E6" w:rsidRPr="00481591"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481591" w:rsidRDefault="001F02E6" w:rsidP="00360E7D">
            <w:pPr>
              <w:keepNext/>
              <w:keepLines/>
              <w:tabs>
                <w:tab w:val="left" w:pos="180"/>
                <w:tab w:val="left" w:leader="dot" w:pos="2694"/>
              </w:tabs>
              <w:spacing w:before="60" w:after="60" w:line="240" w:lineRule="atLeast"/>
              <w:ind w:left="57" w:right="141" w:firstLine="0"/>
              <w:jc w:val="left"/>
              <w:rPr>
                <w:rFonts w:eastAsia="Calibri" w:cs="Arial"/>
                <w:sz w:val="18"/>
                <w:szCs w:val="18"/>
              </w:rPr>
            </w:pPr>
            <w:r>
              <w:rPr>
                <w:sz w:val="18"/>
              </w:rPr>
              <w:t xml:space="preserve">Timoneria chiusa </w:t>
            </w:r>
            <w:r>
              <w:tab/>
            </w:r>
          </w:p>
        </w:tc>
        <w:tc>
          <w:tcPr>
            <w:tcW w:w="1080" w:type="dxa"/>
            <w:tcBorders>
              <w:top w:val="single" w:sz="6" w:space="0" w:color="auto"/>
              <w:left w:val="nil"/>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22</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22</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22</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22</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22</w:t>
            </w:r>
          </w:p>
        </w:tc>
      </w:tr>
      <w:tr w:rsidR="001F02E6" w:rsidRPr="00481591"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481591" w:rsidRDefault="001F02E6" w:rsidP="00360E7D">
            <w:pPr>
              <w:keepNext/>
              <w:keepLines/>
              <w:tabs>
                <w:tab w:val="left" w:pos="180"/>
                <w:tab w:val="left" w:leader="dot" w:pos="2694"/>
              </w:tabs>
              <w:spacing w:before="60" w:after="60" w:line="240" w:lineRule="atLeast"/>
              <w:ind w:left="57" w:right="141" w:firstLine="0"/>
              <w:jc w:val="left"/>
              <w:rPr>
                <w:rFonts w:eastAsia="Calibri" w:cs="Arial"/>
                <w:sz w:val="18"/>
                <w:szCs w:val="18"/>
              </w:rPr>
            </w:pPr>
            <w:r>
              <w:rPr>
                <w:sz w:val="18"/>
              </w:rPr>
              <w:t xml:space="preserve">Alloggi, eccetto servizi sanitari e bagni </w:t>
            </w:r>
            <w:r>
              <w:tab/>
            </w:r>
          </w:p>
        </w:tc>
        <w:tc>
          <w:tcPr>
            <w:tcW w:w="1080" w:type="dxa"/>
            <w:tcBorders>
              <w:top w:val="single" w:sz="6" w:space="0" w:color="auto"/>
              <w:left w:val="nil"/>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22</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20</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20</w:t>
            </w:r>
          </w:p>
        </w:tc>
      </w:tr>
      <w:tr w:rsidR="001F02E6" w:rsidRPr="00481591"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481591" w:rsidRDefault="001F02E6" w:rsidP="00360E7D">
            <w:pPr>
              <w:keepNext/>
              <w:keepLines/>
              <w:tabs>
                <w:tab w:val="left" w:pos="180"/>
                <w:tab w:val="left" w:leader="dot" w:pos="2694"/>
              </w:tabs>
              <w:spacing w:before="60" w:after="60" w:line="240" w:lineRule="atLeast"/>
              <w:ind w:left="57" w:right="141" w:firstLine="0"/>
              <w:rPr>
                <w:rFonts w:eastAsia="Calibri" w:cs="Arial"/>
                <w:sz w:val="18"/>
                <w:szCs w:val="18"/>
              </w:rPr>
            </w:pPr>
            <w:r>
              <w:rPr>
                <w:sz w:val="18"/>
              </w:rPr>
              <w:t xml:space="preserve">Servizi sanitari e bagni </w:t>
            </w:r>
            <w:r>
              <w:tab/>
            </w:r>
          </w:p>
        </w:tc>
        <w:tc>
          <w:tcPr>
            <w:tcW w:w="1080" w:type="dxa"/>
            <w:tcBorders>
              <w:top w:val="single" w:sz="6" w:space="0" w:color="auto"/>
              <w:left w:val="nil"/>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44</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44</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44</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481591" w:rsidRDefault="001F02E6" w:rsidP="00481591">
            <w:pPr>
              <w:keepNext/>
              <w:keepLines/>
              <w:spacing w:before="60" w:after="60" w:line="240" w:lineRule="atLeast"/>
              <w:ind w:left="0" w:firstLine="0"/>
              <w:jc w:val="center"/>
              <w:rPr>
                <w:rFonts w:eastAsia="Calibri" w:cs="Arial"/>
                <w:sz w:val="18"/>
                <w:szCs w:val="18"/>
              </w:rPr>
            </w:pPr>
            <w:r>
              <w:rPr>
                <w:sz w:val="18"/>
              </w:rPr>
              <w:t>IP 44</w:t>
            </w:r>
          </w:p>
        </w:tc>
      </w:tr>
      <w:tr w:rsidR="001F02E6" w:rsidRPr="00A0619C" w:rsidTr="001F02E6">
        <w:trPr>
          <w:cantSplit/>
        </w:trPr>
        <w:tc>
          <w:tcPr>
            <w:tcW w:w="9356" w:type="dxa"/>
            <w:gridSpan w:val="7"/>
            <w:tcBorders>
              <w:top w:val="single" w:sz="6" w:space="0" w:color="auto"/>
              <w:left w:val="single" w:sz="6" w:space="0" w:color="auto"/>
              <w:bottom w:val="single" w:sz="6" w:space="0" w:color="auto"/>
              <w:right w:val="single" w:sz="6" w:space="0" w:color="auto"/>
            </w:tcBorders>
          </w:tcPr>
          <w:p w:rsidR="001F02E6" w:rsidRPr="008F6ABB" w:rsidRDefault="001F02E6" w:rsidP="001F02E6">
            <w:pPr>
              <w:widowControl w:val="0"/>
              <w:tabs>
                <w:tab w:val="left" w:pos="142"/>
              </w:tabs>
              <w:overflowPunct w:val="0"/>
              <w:adjustRightInd w:val="0"/>
              <w:spacing w:before="40" w:after="20" w:line="240" w:lineRule="atLeast"/>
              <w:ind w:left="57" w:firstLine="0"/>
              <w:textAlignment w:val="baseline"/>
              <w:rPr>
                <w:rFonts w:eastAsia="Calibri" w:cs="Arial"/>
                <w:sz w:val="18"/>
                <w:szCs w:val="18"/>
              </w:rPr>
            </w:pPr>
            <w:r>
              <w:rPr>
                <w:sz w:val="18"/>
              </w:rPr>
              <w:t>Osservazioni:</w:t>
            </w:r>
          </w:p>
          <w:p w:rsidR="001F02E6" w:rsidRPr="008F6ABB" w:rsidRDefault="001F02E6" w:rsidP="001F02E6">
            <w:pPr>
              <w:widowControl w:val="0"/>
              <w:overflowPunct w:val="0"/>
              <w:adjustRightInd w:val="0"/>
              <w:spacing w:before="20" w:after="20"/>
              <w:ind w:left="426" w:hanging="369"/>
              <w:textAlignment w:val="baseline"/>
              <w:rPr>
                <w:rFonts w:eastAsia="Calibri" w:cs="Arial"/>
                <w:sz w:val="18"/>
                <w:szCs w:val="18"/>
              </w:rPr>
            </w:pPr>
            <w:r>
              <w:rPr>
                <w:sz w:val="18"/>
                <w:vertAlign w:val="superscript"/>
              </w:rPr>
              <w:t>(1)</w:t>
            </w:r>
            <w:r>
              <w:tab/>
            </w:r>
            <w:r>
              <w:rPr>
                <w:sz w:val="18"/>
              </w:rPr>
              <w:t>per gli apparecchi che emanano forte calore: IP 12;</w:t>
            </w:r>
          </w:p>
          <w:p w:rsidR="001F02E6" w:rsidRPr="008F6ABB" w:rsidRDefault="001F02E6" w:rsidP="001F02E6">
            <w:pPr>
              <w:widowControl w:val="0"/>
              <w:overflowPunct w:val="0"/>
              <w:adjustRightInd w:val="0"/>
              <w:spacing w:before="20" w:after="20"/>
              <w:ind w:left="426" w:hanging="369"/>
              <w:textAlignment w:val="baseline"/>
              <w:rPr>
                <w:rFonts w:eastAsia="Calibri" w:cs="Arial"/>
                <w:sz w:val="18"/>
                <w:szCs w:val="18"/>
              </w:rPr>
            </w:pPr>
            <w:r>
              <w:rPr>
                <w:sz w:val="18"/>
                <w:vertAlign w:val="superscript"/>
              </w:rPr>
              <w:t>(2)</w:t>
            </w:r>
            <w:r>
              <w:tab/>
            </w:r>
            <w:r>
              <w:rPr>
                <w:sz w:val="18"/>
              </w:rPr>
              <w:t>se il tipo di protezione non è garantito dall'apparecchio stesso, il luogo di installazione deve soddisfare le condizioni indicate nella tabella;</w:t>
            </w:r>
          </w:p>
          <w:p w:rsidR="001F02E6" w:rsidRPr="008F6ABB" w:rsidRDefault="001F02E6" w:rsidP="001F02E6">
            <w:pPr>
              <w:widowControl w:val="0"/>
              <w:tabs>
                <w:tab w:val="left" w:pos="567"/>
              </w:tabs>
              <w:overflowPunct w:val="0"/>
              <w:adjustRightInd w:val="0"/>
              <w:spacing w:before="20" w:after="20"/>
              <w:ind w:left="426" w:hanging="369"/>
              <w:textAlignment w:val="baseline"/>
              <w:rPr>
                <w:rFonts w:eastAsia="Calibri" w:cs="Arial"/>
                <w:sz w:val="18"/>
                <w:szCs w:val="18"/>
              </w:rPr>
            </w:pPr>
            <w:r>
              <w:rPr>
                <w:sz w:val="18"/>
                <w:vertAlign w:val="superscript"/>
              </w:rPr>
              <w:t>(3)</w:t>
            </w:r>
            <w:r>
              <w:tab/>
            </w:r>
            <w:r>
              <w:rPr>
                <w:sz w:val="18"/>
              </w:rPr>
              <w:t xml:space="preserve">materiale elettrico del tipo certificato di sicurezza, ad esempio impianti </w:t>
            </w:r>
          </w:p>
          <w:p w:rsidR="001F02E6" w:rsidRPr="00881113" w:rsidRDefault="001F02E6" w:rsidP="001F02E6">
            <w:pPr>
              <w:widowControl w:val="0"/>
              <w:overflowPunct w:val="0"/>
              <w:adjustRightInd w:val="0"/>
              <w:spacing w:before="20" w:after="20"/>
              <w:ind w:left="709" w:hanging="283"/>
              <w:textAlignment w:val="baseline"/>
              <w:rPr>
                <w:rFonts w:eastAsia="Calibri" w:cs="Arial"/>
                <w:sz w:val="18"/>
                <w:szCs w:val="18"/>
              </w:rPr>
            </w:pPr>
            <w:r>
              <w:rPr>
                <w:sz w:val="18"/>
              </w:rPr>
              <w:t>a)</w:t>
            </w:r>
            <w:r>
              <w:tab/>
            </w:r>
            <w:r>
              <w:rPr>
                <w:sz w:val="18"/>
              </w:rPr>
              <w:t>ammessi ai sensi della serie di norme europee EN 60079 nella versione in vigore il 6 luglio 2017;</w:t>
            </w:r>
          </w:p>
          <w:p w:rsidR="001F02E6" w:rsidRPr="00881113" w:rsidRDefault="001F02E6" w:rsidP="001F02E6">
            <w:pPr>
              <w:spacing w:line="240" w:lineRule="atLeast"/>
              <w:ind w:left="709" w:hanging="283"/>
              <w:rPr>
                <w:sz w:val="18"/>
                <w:szCs w:val="18"/>
              </w:rPr>
            </w:pPr>
            <w:r>
              <w:rPr>
                <w:sz w:val="18"/>
              </w:rPr>
              <w:t>b)</w:t>
            </w:r>
            <w:r>
              <w:tab/>
            </w:r>
            <w:r>
              <w:rPr>
                <w:sz w:val="18"/>
              </w:rPr>
              <w:t>tipo minimo di protezione inferiore a seconda della progettazione, ad esempio taluni tipi di rilevatori di incendio.</w:t>
            </w:r>
          </w:p>
          <w:p w:rsidR="001F02E6" w:rsidRPr="00881113" w:rsidRDefault="001F02E6" w:rsidP="001F02E6">
            <w:pPr>
              <w:widowControl w:val="0"/>
              <w:overflowPunct w:val="0"/>
              <w:adjustRightInd w:val="0"/>
              <w:spacing w:before="40" w:after="40"/>
              <w:ind w:left="57" w:firstLine="0"/>
              <w:textAlignment w:val="baseline"/>
              <w:rPr>
                <w:rFonts w:cs="Arial"/>
                <w:sz w:val="18"/>
                <w:szCs w:val="18"/>
                <w:vertAlign w:val="superscript"/>
              </w:rPr>
            </w:pPr>
            <w:r>
              <w:rPr>
                <w:sz w:val="18"/>
              </w:rPr>
              <w:t>Se si utilizzano dispositivi di illuminazione o rivelatori di incendio nei locali per gli accumulatori e le vernici, devono essere rispettate entrambe le condizioni;</w:t>
            </w:r>
          </w:p>
          <w:p w:rsidR="001F02E6" w:rsidRPr="008F6ABB" w:rsidRDefault="001F02E6" w:rsidP="000403EC">
            <w:pPr>
              <w:widowControl w:val="0"/>
              <w:tabs>
                <w:tab w:val="left" w:pos="426"/>
              </w:tabs>
              <w:overflowPunct w:val="0"/>
              <w:adjustRightInd w:val="0"/>
              <w:spacing w:before="20" w:after="40" w:line="240" w:lineRule="atLeast"/>
              <w:ind w:left="426" w:hanging="369"/>
              <w:textAlignment w:val="baseline"/>
              <w:rPr>
                <w:rFonts w:eastAsia="Calibri" w:cs="Arial"/>
                <w:sz w:val="16"/>
                <w:szCs w:val="16"/>
              </w:rPr>
            </w:pPr>
            <w:r>
              <w:rPr>
                <w:sz w:val="18"/>
                <w:vertAlign w:val="superscript"/>
              </w:rPr>
              <w:t>(4)</w:t>
            </w:r>
            <w:r>
              <w:tab/>
            </w:r>
            <w:r>
              <w:rPr>
                <w:sz w:val="18"/>
              </w:rPr>
              <w:t>per accessori per correnti di 125 A e superiori: IP 66 (EN 60529:2014).</w:t>
            </w:r>
          </w:p>
        </w:tc>
      </w:tr>
    </w:tbl>
    <w:p w:rsidR="008A12E7" w:rsidRPr="001F02E6" w:rsidRDefault="008A12E7" w:rsidP="008A12E7">
      <w:pPr>
        <w:rPr>
          <w:rFonts w:cs="Arial"/>
          <w:szCs w:val="20"/>
        </w:rPr>
      </w:pPr>
    </w:p>
    <w:p w:rsidR="008A12E7" w:rsidRPr="00533048" w:rsidRDefault="008A12E7" w:rsidP="00533048">
      <w:pPr>
        <w:rPr>
          <w:rFonts w:cs="Arial"/>
          <w:szCs w:val="20"/>
        </w:rPr>
      </w:pPr>
    </w:p>
    <w:p w:rsidR="008A12E7" w:rsidRPr="00C903F8" w:rsidRDefault="008A12E7" w:rsidP="001D61F0">
      <w:pPr>
        <w:pStyle w:val="ES-Titre3"/>
      </w:pPr>
      <w:bookmarkStart w:id="167" w:name="_Toc491854081"/>
      <w:bookmarkStart w:id="168" w:name="_Toc535500030"/>
      <w:r>
        <w:t>Articolo 10.04</w:t>
      </w:r>
      <w:r>
        <w:br/>
      </w:r>
      <w:r>
        <w:rPr>
          <w:i/>
          <w:noProof/>
        </w:rPr>
        <w:t>Protezione contro le esplosioni</w:t>
      </w:r>
      <w:bookmarkEnd w:id="167"/>
      <w:bookmarkEnd w:id="168"/>
    </w:p>
    <w:p w:rsidR="001D61F0" w:rsidRPr="00C903F8" w:rsidRDefault="001D61F0" w:rsidP="001D61F0">
      <w:pPr>
        <w:ind w:left="0" w:firstLine="0"/>
        <w:rPr>
          <w:rFonts w:cs="Arial"/>
          <w:noProof/>
          <w:szCs w:val="20"/>
        </w:rPr>
      </w:pPr>
    </w:p>
    <w:p w:rsidR="001F02E6" w:rsidRPr="008F6ABB" w:rsidRDefault="001F02E6" w:rsidP="001F02E6">
      <w:pPr>
        <w:pStyle w:val="ESch"/>
        <w:rPr>
          <w:rFonts w:eastAsia="Calibri" w:cs="Arial"/>
        </w:rPr>
      </w:pPr>
      <w:r>
        <w:t>1.</w:t>
      </w:r>
      <w:r>
        <w:tab/>
        <w:t xml:space="preserve">Nei locali e nelle zone nei quali è probabile si accumuli atmosfera esplosiva si possono installare soltanto apparecchi elettrici che sono stati testati essere a prova di esplosione (sicurezza certificata). Questi apparecchi devono essere testati e omologati per quanto concerne la loro sicurezza operativa in atmosfera esplosiva da parte di un istituto di collaudo riconosciuto sulla base delle disposizioni nazionali di uno degli Stati membri. </w:t>
      </w:r>
    </w:p>
    <w:p w:rsidR="001F02E6" w:rsidRPr="008F6ABB" w:rsidRDefault="001F02E6" w:rsidP="001F02E6">
      <w:pPr>
        <w:pStyle w:val="ESch"/>
        <w:rPr>
          <w:rFonts w:eastAsia="Calibri"/>
        </w:rPr>
      </w:pPr>
    </w:p>
    <w:p w:rsidR="001F02E6" w:rsidRPr="008F6ABB" w:rsidRDefault="001F02E6" w:rsidP="001F02E6">
      <w:pPr>
        <w:pStyle w:val="ESchpar"/>
        <w:rPr>
          <w:rFonts w:eastAsia="Calibri"/>
        </w:rPr>
      </w:pPr>
      <w:r>
        <w:t>Occorre evitare il più possibile l'installazione in tali locali o zone di dispositivi di commutazione per apparecchi di illuminazione e altri apparecchi elettrici. La verifica della capacità antideflagrante deve tenere conto delle caratteristiche dell'atmosfera che potrebbe verificarsi (gruppo di esplosività, classe di temperatura) e dei requisiti della zona pertinente.</w:t>
      </w:r>
    </w:p>
    <w:p w:rsidR="001F02E6" w:rsidRDefault="001F02E6" w:rsidP="001F02E6">
      <w:pPr>
        <w:pStyle w:val="ESchpar"/>
        <w:rPr>
          <w:rFonts w:eastAsia="Calibri"/>
        </w:rPr>
      </w:pPr>
    </w:p>
    <w:p w:rsidR="00AA5633" w:rsidRDefault="00AA5633">
      <w:pPr>
        <w:autoSpaceDE/>
        <w:autoSpaceDN/>
        <w:ind w:left="0" w:firstLine="0"/>
        <w:jc w:val="left"/>
        <w:rPr>
          <w:rFonts w:eastAsia="Calibri"/>
        </w:rPr>
      </w:pPr>
      <w:r>
        <w:br w:type="page"/>
      </w:r>
    </w:p>
    <w:p w:rsidR="00AA5633" w:rsidRPr="008F6ABB" w:rsidRDefault="00AA5633" w:rsidP="001F02E6">
      <w:pPr>
        <w:pStyle w:val="ESchpar"/>
        <w:rPr>
          <w:rFonts w:eastAsia="Calibri"/>
        </w:rPr>
      </w:pPr>
    </w:p>
    <w:p w:rsidR="001F02E6" w:rsidRPr="008F6ABB" w:rsidRDefault="001F02E6" w:rsidP="001F02E6">
      <w:pPr>
        <w:pStyle w:val="ESchpar"/>
        <w:rPr>
          <w:rFonts w:eastAsia="Calibri"/>
          <w:strike/>
        </w:rPr>
      </w:pPr>
      <w:r>
        <w:t xml:space="preserve">Occorre rispettare le informazioni e le restrizioni riportate nei certificati di omologazione degli apparecchi. </w:t>
      </w:r>
    </w:p>
    <w:p w:rsidR="001F02E6" w:rsidRPr="008F6ABB" w:rsidRDefault="001F02E6" w:rsidP="001F02E6">
      <w:pPr>
        <w:pStyle w:val="ESchpar"/>
        <w:rPr>
          <w:rFonts w:eastAsia="Calibri"/>
        </w:rPr>
      </w:pPr>
    </w:p>
    <w:p w:rsidR="001F02E6" w:rsidRPr="001717EA" w:rsidRDefault="001F02E6" w:rsidP="001F02E6">
      <w:pPr>
        <w:pStyle w:val="ESchpar"/>
      </w:pPr>
      <w:r>
        <w:t>La classificazione e la valutazione delle zone a rischio di esplosione devono essere condotte e documentate in conformità agli standard internazionali EN 60079-10-1:2015 e EN 60079-10-2:2015.</w:t>
      </w:r>
    </w:p>
    <w:p w:rsidR="001F02E6" w:rsidRPr="008F6ABB" w:rsidRDefault="001F02E6" w:rsidP="001F02E6">
      <w:pPr>
        <w:pStyle w:val="ESch"/>
        <w:rPr>
          <w:rFonts w:eastAsia="Calibri"/>
        </w:rPr>
      </w:pPr>
    </w:p>
    <w:p w:rsidR="001F02E6" w:rsidRPr="001717EA" w:rsidRDefault="001F02E6" w:rsidP="001F02E6">
      <w:pPr>
        <w:pStyle w:val="ESch"/>
        <w:rPr>
          <w:rFonts w:eastAsia="Calibri"/>
        </w:rPr>
      </w:pPr>
      <w:r>
        <w:t>2.</w:t>
      </w:r>
      <w:r>
        <w:tab/>
        <w:t>Le norme applicabili per le zone pericolose sono:</w:t>
      </w:r>
    </w:p>
    <w:p w:rsidR="001F02E6" w:rsidRPr="008F6ABB" w:rsidRDefault="001F02E6" w:rsidP="001F02E6">
      <w:pPr>
        <w:pStyle w:val="ESlet"/>
        <w:rPr>
          <w:rFonts w:eastAsia="Calibri"/>
        </w:rPr>
      </w:pPr>
      <w:r>
        <w:t>a)</w:t>
      </w:r>
      <w:r>
        <w:tab/>
        <w:t>nelle aree della zona 0 sono consentiti soltanto circuiti a sicurezza intrinseca (classe di protezione Ex ia) in conformità alla norma internazionale IEC 60079-11:2012;</w:t>
      </w:r>
    </w:p>
    <w:p w:rsidR="001F02E6" w:rsidRPr="008F6ABB" w:rsidRDefault="001F02E6" w:rsidP="001F02E6">
      <w:pPr>
        <w:pStyle w:val="ESlet"/>
        <w:rPr>
          <w:rFonts w:eastAsia="Calibri"/>
        </w:rPr>
      </w:pPr>
      <w:r>
        <w:t>b)</w:t>
      </w:r>
      <w:r>
        <w:tab/>
        <w:t xml:space="preserve">nelle aree della zona 1 sono consentite soltanto apparecchiature elettriche protette contro le esplosioni (sicurezza certificata); </w:t>
      </w:r>
    </w:p>
    <w:p w:rsidR="001F02E6" w:rsidRPr="008F6ABB" w:rsidRDefault="001F02E6" w:rsidP="001F02E6">
      <w:pPr>
        <w:pStyle w:val="ESlet"/>
        <w:rPr>
          <w:rFonts w:eastAsia="Calibri"/>
        </w:rPr>
      </w:pPr>
      <w:r>
        <w:t>c)</w:t>
      </w:r>
      <w:r>
        <w:tab/>
        <w:t xml:space="preserve">nelle aree della zona 2 è necessario effettuare misurazioni per proteggere le apparecchiature elettriche affinché siano appropriate al tipo e allo scopo previsto delle apparecchiature di servizio. </w:t>
      </w:r>
    </w:p>
    <w:p w:rsidR="001F02E6" w:rsidRPr="008F6ABB" w:rsidRDefault="001F02E6" w:rsidP="001F02E6">
      <w:pPr>
        <w:pStyle w:val="EStiret"/>
        <w:rPr>
          <w:rFonts w:eastAsia="Calibri"/>
          <w:noProof w:val="0"/>
        </w:rPr>
      </w:pPr>
      <w:r>
        <w:t>L'omologazione in queste aree è limitata a:</w:t>
      </w:r>
    </w:p>
    <w:p w:rsidR="001F02E6" w:rsidRPr="008F6ABB" w:rsidRDefault="001F02E6" w:rsidP="001F02E6">
      <w:pPr>
        <w:pStyle w:val="EStiret"/>
        <w:rPr>
          <w:rFonts w:eastAsia="Calibri"/>
          <w:noProof w:val="0"/>
        </w:rPr>
      </w:pPr>
      <w:r>
        <w:t>aa)</w:t>
      </w:r>
      <w:r>
        <w:tab/>
        <w:t>apparecchiature elettriche protette contro le esplosioni (sicurezza certificata); o</w:t>
      </w:r>
    </w:p>
    <w:p w:rsidR="001F02E6" w:rsidRPr="008F6ABB" w:rsidRDefault="001F02E6" w:rsidP="001F02E6">
      <w:pPr>
        <w:pStyle w:val="EStiret"/>
        <w:rPr>
          <w:rFonts w:eastAsia="Calibri"/>
          <w:noProof w:val="0"/>
        </w:rPr>
      </w:pPr>
      <w:r>
        <w:t>bb)</w:t>
      </w:r>
      <w:r>
        <w:tab/>
        <w:t xml:space="preserve">apparecchiature di servizio, che nell'uso normale non producono scintille e le cui superfici potrebbero entrare in contatto con l'aria esterna, non raggiungono temperature non consentite; o </w:t>
      </w:r>
    </w:p>
    <w:p w:rsidR="001F02E6" w:rsidRPr="008F6ABB" w:rsidRDefault="001F02E6" w:rsidP="001F02E6">
      <w:pPr>
        <w:pStyle w:val="EStiret"/>
        <w:rPr>
          <w:rFonts w:eastAsia="Calibri"/>
          <w:noProof w:val="0"/>
        </w:rPr>
      </w:pPr>
      <w:r>
        <w:t>cc)</w:t>
      </w:r>
      <w:r>
        <w:tab/>
        <w:t>apparecchiature di servizio protette mediante pressurizzazione o che sono incapsulate in maniera da essere a prova di vapore (classe di protezione minima IP 55) e le cui superfici non raggiungono temperature non consentite.</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3.</w:t>
      </w:r>
      <w:r>
        <w:tab/>
        <w:t>Per la protezione contro l'esplosione di polveri, si applicano i requisiti di cui alla norma europea EN 60079-10-2:2015.</w:t>
      </w:r>
    </w:p>
    <w:p w:rsidR="008A12E7" w:rsidRPr="001F02E6" w:rsidRDefault="008A12E7" w:rsidP="008A12E7">
      <w:pPr>
        <w:rPr>
          <w:rFonts w:cs="Arial"/>
          <w:szCs w:val="20"/>
        </w:rPr>
      </w:pPr>
    </w:p>
    <w:p w:rsidR="001D61F0" w:rsidRPr="00C903F8" w:rsidRDefault="001D61F0" w:rsidP="008A12E7">
      <w:pPr>
        <w:rPr>
          <w:rFonts w:cs="Arial"/>
          <w:szCs w:val="20"/>
        </w:rPr>
      </w:pPr>
    </w:p>
    <w:p w:rsidR="008A12E7" w:rsidRPr="00C903F8" w:rsidRDefault="008A12E7" w:rsidP="001D61F0">
      <w:pPr>
        <w:pStyle w:val="ES-Titre3"/>
      </w:pPr>
      <w:bookmarkStart w:id="169" w:name="_Toc491854082"/>
      <w:bookmarkStart w:id="170" w:name="_Toc535500031"/>
      <w:r>
        <w:t>Articolo 10.05</w:t>
      </w:r>
      <w:r>
        <w:br/>
      </w:r>
      <w:r>
        <w:rPr>
          <w:i/>
          <w:noProof/>
        </w:rPr>
        <w:t>Messa a terra</w:t>
      </w:r>
      <w:bookmarkEnd w:id="169"/>
      <w:bookmarkEnd w:id="170"/>
    </w:p>
    <w:p w:rsidR="001D61F0" w:rsidRPr="00C903F8" w:rsidRDefault="001D61F0" w:rsidP="008A12E7">
      <w:pPr>
        <w:rPr>
          <w:rFonts w:cs="Arial"/>
          <w:noProof/>
          <w:szCs w:val="20"/>
        </w:rPr>
      </w:pPr>
    </w:p>
    <w:p w:rsidR="001F02E6" w:rsidRPr="008F6ABB" w:rsidRDefault="001F02E6" w:rsidP="001F02E6">
      <w:pPr>
        <w:pStyle w:val="ESch"/>
        <w:rPr>
          <w:rFonts w:eastAsia="Calibri"/>
        </w:rPr>
      </w:pPr>
      <w:r>
        <w:t>1.</w:t>
      </w:r>
      <w:r>
        <w:tab/>
        <w:t>La messa a terra è necessaria per gli impianti elettrici con tensioni superiori a 50 V.</w:t>
      </w:r>
    </w:p>
    <w:p w:rsidR="001F02E6" w:rsidRPr="008F6ABB" w:rsidRDefault="001F02E6" w:rsidP="001F02E6">
      <w:pPr>
        <w:pStyle w:val="ESch"/>
        <w:rPr>
          <w:rFonts w:eastAsia="Calibri"/>
          <w:sz w:val="18"/>
        </w:rPr>
      </w:pPr>
    </w:p>
    <w:p w:rsidR="001F02E6" w:rsidRPr="008F6ABB" w:rsidRDefault="001F02E6" w:rsidP="001F02E6">
      <w:pPr>
        <w:pStyle w:val="ESch"/>
        <w:rPr>
          <w:rFonts w:eastAsia="Calibri"/>
        </w:rPr>
      </w:pPr>
      <w:r>
        <w:t>2.</w:t>
      </w:r>
      <w:r>
        <w:tab/>
        <w:t>Le parti metalliche esposte che, in normali condizioni di funzionamento, non sono sotto tensione, come i telai e gli involucri degli impianti elettrici, e gli apparecchi elettrici non mobili devono essere messe a terra separatamente se non sono montate in maniera tale da creare già un contatto elettrico con lo scafo dell'imbarcazione.</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3.</w:t>
      </w:r>
      <w:r>
        <w:tab/>
        <w:t>Gli involucri degli apparecchi elettrici mobili vengono messi a terra mediante un conduttore aggiuntivo che normalmente non trasporta corrente ed è incorporato nel cavo di alimentazione. Questo requisito non si applica in caso d'impiego di un trasformatore di isolamento o di apparecchi provvisti di un isolamento di protezione (doppio isolamento).</w:t>
      </w:r>
    </w:p>
    <w:p w:rsidR="001F02E6" w:rsidRDefault="001F02E6" w:rsidP="001F02E6">
      <w:pPr>
        <w:pStyle w:val="ESch"/>
        <w:rPr>
          <w:rFonts w:eastAsia="Calibri"/>
        </w:rPr>
      </w:pPr>
    </w:p>
    <w:p w:rsidR="00666810" w:rsidRDefault="00666810">
      <w:pPr>
        <w:autoSpaceDE/>
        <w:autoSpaceDN/>
        <w:ind w:left="0" w:firstLine="0"/>
        <w:jc w:val="left"/>
        <w:rPr>
          <w:rFonts w:eastAsia="Calibri"/>
        </w:rPr>
      </w:pPr>
      <w:r>
        <w:br w:type="page"/>
      </w:r>
    </w:p>
    <w:p w:rsidR="00666810" w:rsidRPr="008F6ABB" w:rsidRDefault="00666810" w:rsidP="001F02E6">
      <w:pPr>
        <w:pStyle w:val="ESch"/>
        <w:rPr>
          <w:rFonts w:eastAsia="Calibri"/>
        </w:rPr>
      </w:pPr>
    </w:p>
    <w:p w:rsidR="001F02E6" w:rsidRPr="008F6ABB" w:rsidRDefault="001F02E6" w:rsidP="001F02E6">
      <w:pPr>
        <w:pStyle w:val="ESch"/>
        <w:rPr>
          <w:rFonts w:eastAsia="Calibri"/>
        </w:rPr>
      </w:pPr>
      <w:r>
        <w:t>4.</w:t>
      </w:r>
      <w:r>
        <w:tab/>
        <w:t>La sezione trasversale dei conduttori di terra è almeno pari ai valori ottenuti dalla seguente tabella:</w:t>
      </w:r>
    </w:p>
    <w:p w:rsidR="008A12E7" w:rsidRPr="001F02E6" w:rsidRDefault="008A12E7" w:rsidP="008A12E7">
      <w:pPr>
        <w:rPr>
          <w:rFonts w:cs="Arial"/>
          <w:szCs w:val="20"/>
        </w:rPr>
      </w:pPr>
    </w:p>
    <w:tbl>
      <w:tblPr>
        <w:tblW w:w="0" w:type="auto"/>
        <w:jc w:val="center"/>
        <w:tblLayout w:type="fixed"/>
        <w:tblCellMar>
          <w:left w:w="70" w:type="dxa"/>
          <w:right w:w="70" w:type="dxa"/>
        </w:tblCellMar>
        <w:tblLook w:val="0000" w:firstRow="0" w:lastRow="0" w:firstColumn="0" w:lastColumn="0" w:noHBand="0" w:noVBand="0"/>
      </w:tblPr>
      <w:tblGrid>
        <w:gridCol w:w="2214"/>
        <w:gridCol w:w="2833"/>
        <w:gridCol w:w="3062"/>
      </w:tblGrid>
      <w:tr w:rsidR="001F02E6" w:rsidRPr="00A0619C" w:rsidTr="001F02E6">
        <w:trPr>
          <w:cantSplit/>
          <w:jc w:val="center"/>
        </w:trPr>
        <w:tc>
          <w:tcPr>
            <w:tcW w:w="2214" w:type="dxa"/>
            <w:vMerge w:val="restart"/>
            <w:tcBorders>
              <w:top w:val="single" w:sz="6" w:space="0" w:color="auto"/>
              <w:left w:val="single" w:sz="6" w:space="0" w:color="auto"/>
              <w:right w:val="single" w:sz="6" w:space="0" w:color="auto"/>
            </w:tcBorders>
            <w:vAlign w:val="center"/>
          </w:tcPr>
          <w:p w:rsidR="001F02E6" w:rsidRPr="008F6ABB" w:rsidRDefault="001F02E6" w:rsidP="001F02E6">
            <w:pPr>
              <w:tabs>
                <w:tab w:val="left" w:pos="1632"/>
                <w:tab w:val="left" w:pos="3456"/>
              </w:tabs>
              <w:spacing w:before="60" w:after="60" w:line="240" w:lineRule="atLeast"/>
              <w:jc w:val="center"/>
              <w:rPr>
                <w:rFonts w:cs="Arial"/>
                <w:sz w:val="18"/>
                <w:szCs w:val="18"/>
              </w:rPr>
            </w:pPr>
            <w:r>
              <w:rPr>
                <w:sz w:val="18"/>
              </w:rPr>
              <w:t>Sezione dei conduttori esterni (S)</w:t>
            </w:r>
            <w:r>
              <w:rPr>
                <w:sz w:val="18"/>
                <w:szCs w:val="18"/>
              </w:rPr>
              <w:br/>
            </w:r>
            <w:r>
              <w:rPr>
                <w:sz w:val="18"/>
              </w:rPr>
              <w:t>[mm</w:t>
            </w:r>
            <w:r>
              <w:rPr>
                <w:sz w:val="16"/>
                <w:vertAlign w:val="superscript"/>
              </w:rPr>
              <w:t>2</w:t>
            </w:r>
            <w:r>
              <w:rPr>
                <w:sz w:val="18"/>
              </w:rPr>
              <w:t>]</w:t>
            </w:r>
          </w:p>
        </w:tc>
        <w:tc>
          <w:tcPr>
            <w:tcW w:w="5895" w:type="dxa"/>
            <w:gridSpan w:val="2"/>
            <w:tcBorders>
              <w:top w:val="single" w:sz="6" w:space="0" w:color="auto"/>
              <w:right w:val="single" w:sz="6" w:space="0" w:color="auto"/>
            </w:tcBorders>
            <w:vAlign w:val="center"/>
          </w:tcPr>
          <w:p w:rsidR="001F02E6" w:rsidRPr="008F6ABB" w:rsidRDefault="001F02E6" w:rsidP="001F02E6">
            <w:pPr>
              <w:tabs>
                <w:tab w:val="left" w:pos="1632"/>
                <w:tab w:val="left" w:pos="3456"/>
              </w:tabs>
              <w:spacing w:before="60" w:after="60" w:line="240" w:lineRule="atLeast"/>
              <w:ind w:left="17" w:hanging="17"/>
              <w:jc w:val="center"/>
              <w:rPr>
                <w:rFonts w:cs="Arial"/>
                <w:sz w:val="18"/>
                <w:szCs w:val="18"/>
              </w:rPr>
            </w:pPr>
            <w:r>
              <w:rPr>
                <w:sz w:val="18"/>
              </w:rPr>
              <w:t>Sezione minima dei conduttori di messa a terra</w:t>
            </w:r>
          </w:p>
        </w:tc>
      </w:tr>
      <w:tr w:rsidR="001F02E6" w:rsidRPr="008F6ABB" w:rsidTr="001F02E6">
        <w:trPr>
          <w:cantSplit/>
          <w:jc w:val="center"/>
        </w:trPr>
        <w:tc>
          <w:tcPr>
            <w:tcW w:w="2214" w:type="dxa"/>
            <w:vMerge/>
            <w:tcBorders>
              <w:left w:val="single" w:sz="6" w:space="0" w:color="auto"/>
              <w:bottom w:val="single" w:sz="12" w:space="0" w:color="auto"/>
              <w:right w:val="single" w:sz="6" w:space="0" w:color="auto"/>
            </w:tcBorders>
            <w:vAlign w:val="center"/>
          </w:tcPr>
          <w:p w:rsidR="001F02E6" w:rsidRPr="008F6ABB" w:rsidRDefault="001F02E6" w:rsidP="001F02E6">
            <w:pPr>
              <w:tabs>
                <w:tab w:val="left" w:pos="1632"/>
                <w:tab w:val="left" w:pos="3456"/>
              </w:tabs>
              <w:spacing w:before="60" w:after="60" w:line="240" w:lineRule="atLeast"/>
              <w:jc w:val="center"/>
              <w:rPr>
                <w:rFonts w:cs="Arial"/>
                <w:sz w:val="18"/>
                <w:szCs w:val="18"/>
              </w:rPr>
            </w:pPr>
          </w:p>
        </w:tc>
        <w:tc>
          <w:tcPr>
            <w:tcW w:w="2833" w:type="dxa"/>
            <w:tcBorders>
              <w:bottom w:val="single" w:sz="12" w:space="0" w:color="auto"/>
              <w:right w:val="single" w:sz="6" w:space="0" w:color="auto"/>
            </w:tcBorders>
            <w:vAlign w:val="center"/>
          </w:tcPr>
          <w:p w:rsidR="001F02E6" w:rsidRPr="008F6ABB" w:rsidRDefault="001F02E6" w:rsidP="001F02E6">
            <w:pPr>
              <w:tabs>
                <w:tab w:val="left" w:pos="1632"/>
                <w:tab w:val="left" w:pos="3456"/>
              </w:tabs>
              <w:spacing w:before="60" w:after="60" w:line="240" w:lineRule="atLeast"/>
              <w:jc w:val="center"/>
              <w:rPr>
                <w:rFonts w:cs="Arial"/>
                <w:sz w:val="18"/>
                <w:szCs w:val="18"/>
              </w:rPr>
            </w:pPr>
            <w:r>
              <w:rPr>
                <w:sz w:val="18"/>
              </w:rPr>
              <w:t>nei cavi isolati</w:t>
            </w:r>
            <w:r>
              <w:rPr>
                <w:sz w:val="18"/>
                <w:szCs w:val="18"/>
              </w:rPr>
              <w:br/>
            </w:r>
            <w:r>
              <w:rPr>
                <w:sz w:val="18"/>
              </w:rPr>
              <w:t>[mm</w:t>
            </w:r>
            <w:r>
              <w:rPr>
                <w:sz w:val="16"/>
                <w:vertAlign w:val="superscript"/>
              </w:rPr>
              <w:t>2</w:t>
            </w:r>
            <w:r>
              <w:rPr>
                <w:sz w:val="18"/>
              </w:rPr>
              <w:t>]</w:t>
            </w:r>
          </w:p>
        </w:tc>
        <w:tc>
          <w:tcPr>
            <w:tcW w:w="3062" w:type="dxa"/>
            <w:tcBorders>
              <w:left w:val="single" w:sz="6" w:space="0" w:color="auto"/>
              <w:bottom w:val="single" w:sz="12" w:space="0" w:color="auto"/>
              <w:right w:val="single" w:sz="6" w:space="0" w:color="auto"/>
            </w:tcBorders>
            <w:vAlign w:val="center"/>
          </w:tcPr>
          <w:p w:rsidR="001F02E6" w:rsidRPr="008F6ABB" w:rsidRDefault="001F02E6" w:rsidP="001F02E6">
            <w:pPr>
              <w:tabs>
                <w:tab w:val="left" w:pos="1632"/>
                <w:tab w:val="left" w:pos="3456"/>
              </w:tabs>
              <w:spacing w:before="60" w:after="60" w:line="240" w:lineRule="atLeast"/>
              <w:jc w:val="center"/>
              <w:rPr>
                <w:rFonts w:cs="Arial"/>
                <w:sz w:val="18"/>
                <w:szCs w:val="18"/>
              </w:rPr>
            </w:pPr>
            <w:r>
              <w:rPr>
                <w:sz w:val="18"/>
              </w:rPr>
              <w:t>montati separatamente</w:t>
            </w:r>
            <w:r>
              <w:rPr>
                <w:sz w:val="18"/>
                <w:szCs w:val="18"/>
              </w:rPr>
              <w:br/>
            </w:r>
            <w:r>
              <w:rPr>
                <w:sz w:val="18"/>
              </w:rPr>
              <w:t>[mm</w:t>
            </w:r>
            <w:r>
              <w:rPr>
                <w:sz w:val="16"/>
                <w:vertAlign w:val="superscript"/>
              </w:rPr>
              <w:t>2</w:t>
            </w:r>
            <w:r>
              <w:rPr>
                <w:sz w:val="18"/>
              </w:rPr>
              <w:t>]</w:t>
            </w:r>
          </w:p>
        </w:tc>
      </w:tr>
      <w:tr w:rsidR="001F02E6" w:rsidRPr="008F6ABB" w:rsidTr="001F02E6">
        <w:trPr>
          <w:cantSplit/>
          <w:jc w:val="center"/>
        </w:trPr>
        <w:tc>
          <w:tcPr>
            <w:tcW w:w="2214" w:type="dxa"/>
            <w:tcBorders>
              <w:top w:val="single" w:sz="12" w:space="0" w:color="auto"/>
              <w:left w:val="single" w:sz="6" w:space="0" w:color="auto"/>
              <w:bottom w:val="single" w:sz="6" w:space="0" w:color="auto"/>
            </w:tcBorders>
            <w:vAlign w:val="center"/>
          </w:tcPr>
          <w:p w:rsidR="001F02E6" w:rsidRPr="008F6ABB" w:rsidRDefault="001F02E6" w:rsidP="001F02E6">
            <w:pPr>
              <w:tabs>
                <w:tab w:val="left" w:pos="1632"/>
                <w:tab w:val="left" w:pos="3456"/>
              </w:tabs>
              <w:spacing w:before="60" w:after="60" w:line="240" w:lineRule="atLeast"/>
              <w:jc w:val="center"/>
              <w:rPr>
                <w:rFonts w:cs="Arial"/>
                <w:sz w:val="18"/>
                <w:szCs w:val="18"/>
              </w:rPr>
            </w:pPr>
            <w:r>
              <w:rPr>
                <w:sz w:val="18"/>
              </w:rPr>
              <w:t>0,5 ≤ S ≤ 4</w:t>
            </w:r>
          </w:p>
        </w:tc>
        <w:tc>
          <w:tcPr>
            <w:tcW w:w="2833" w:type="dxa"/>
            <w:tcBorders>
              <w:top w:val="single" w:sz="12" w:space="0" w:color="auto"/>
              <w:left w:val="single" w:sz="6" w:space="0" w:color="auto"/>
              <w:bottom w:val="single" w:sz="6" w:space="0" w:color="auto"/>
              <w:right w:val="single" w:sz="6" w:space="0" w:color="auto"/>
            </w:tcBorders>
            <w:vAlign w:val="center"/>
          </w:tcPr>
          <w:p w:rsidR="001F02E6" w:rsidRPr="008F6ABB" w:rsidRDefault="001F02E6" w:rsidP="00AA5633">
            <w:pPr>
              <w:tabs>
                <w:tab w:val="left" w:pos="1632"/>
                <w:tab w:val="left" w:pos="3456"/>
              </w:tabs>
              <w:spacing w:before="60" w:after="60" w:line="240" w:lineRule="atLeast"/>
              <w:ind w:left="0" w:firstLine="0"/>
              <w:jc w:val="center"/>
              <w:rPr>
                <w:rFonts w:cs="Arial"/>
                <w:sz w:val="18"/>
                <w:szCs w:val="18"/>
              </w:rPr>
            </w:pPr>
            <w:r>
              <w:rPr>
                <w:sz w:val="18"/>
              </w:rPr>
              <w:t>stessa sezione del</w:t>
            </w:r>
            <w:r>
              <w:rPr>
                <w:sz w:val="18"/>
                <w:szCs w:val="18"/>
              </w:rPr>
              <w:br/>
            </w:r>
            <w:r>
              <w:rPr>
                <w:sz w:val="18"/>
              </w:rPr>
              <w:t>conduttore esterno</w:t>
            </w:r>
          </w:p>
        </w:tc>
        <w:tc>
          <w:tcPr>
            <w:tcW w:w="3062" w:type="dxa"/>
            <w:tcBorders>
              <w:top w:val="single" w:sz="12" w:space="0" w:color="auto"/>
              <w:left w:val="single" w:sz="6" w:space="0" w:color="auto"/>
              <w:bottom w:val="single" w:sz="6" w:space="0" w:color="auto"/>
              <w:right w:val="single" w:sz="6" w:space="0" w:color="auto"/>
            </w:tcBorders>
            <w:vAlign w:val="center"/>
          </w:tcPr>
          <w:p w:rsidR="001F02E6" w:rsidRPr="008F6ABB" w:rsidRDefault="001F02E6" w:rsidP="00AA5633">
            <w:pPr>
              <w:tabs>
                <w:tab w:val="left" w:pos="1632"/>
                <w:tab w:val="left" w:pos="3456"/>
              </w:tabs>
              <w:spacing w:before="60" w:after="60" w:line="240" w:lineRule="atLeast"/>
              <w:ind w:left="0" w:firstLine="0"/>
              <w:jc w:val="center"/>
              <w:rPr>
                <w:rFonts w:cs="Arial"/>
                <w:sz w:val="18"/>
                <w:szCs w:val="18"/>
              </w:rPr>
            </w:pPr>
            <w:r>
              <w:rPr>
                <w:sz w:val="18"/>
              </w:rPr>
              <w:t>4</w:t>
            </w:r>
          </w:p>
        </w:tc>
      </w:tr>
      <w:tr w:rsidR="001F02E6" w:rsidRPr="00A0619C"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8F6ABB" w:rsidRDefault="001F02E6" w:rsidP="001F02E6">
            <w:pPr>
              <w:tabs>
                <w:tab w:val="left" w:pos="1632"/>
                <w:tab w:val="left" w:pos="3456"/>
              </w:tabs>
              <w:spacing w:before="60" w:after="60" w:line="240" w:lineRule="atLeast"/>
              <w:jc w:val="center"/>
              <w:rPr>
                <w:rFonts w:cs="Arial"/>
                <w:sz w:val="18"/>
                <w:szCs w:val="18"/>
              </w:rPr>
            </w:pPr>
            <w:r>
              <w:rPr>
                <w:sz w:val="18"/>
              </w:rPr>
              <w:t>4 &lt; S ≤ 16</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8F6ABB" w:rsidRDefault="001F02E6" w:rsidP="00AA5633">
            <w:pPr>
              <w:tabs>
                <w:tab w:val="left" w:pos="1632"/>
                <w:tab w:val="left" w:pos="3456"/>
              </w:tabs>
              <w:spacing w:before="60" w:after="60" w:line="240" w:lineRule="atLeast"/>
              <w:ind w:left="0" w:firstLine="0"/>
              <w:jc w:val="center"/>
              <w:rPr>
                <w:rFonts w:cs="Arial"/>
                <w:sz w:val="18"/>
                <w:szCs w:val="18"/>
              </w:rPr>
            </w:pPr>
            <w:r>
              <w:rPr>
                <w:sz w:val="18"/>
              </w:rPr>
              <w:t>stessa sezione</w:t>
            </w:r>
            <w:r>
              <w:rPr>
                <w:sz w:val="18"/>
                <w:szCs w:val="18"/>
              </w:rPr>
              <w:br/>
            </w:r>
            <w:r>
              <w:rPr>
                <w:sz w:val="18"/>
              </w:rPr>
              <w:t>del conduttore esterno</w:t>
            </w:r>
          </w:p>
        </w:tc>
      </w:tr>
      <w:tr w:rsidR="001F02E6" w:rsidRPr="008F6ABB"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8F6ABB" w:rsidRDefault="001F02E6" w:rsidP="001F02E6">
            <w:pPr>
              <w:tabs>
                <w:tab w:val="left" w:pos="1632"/>
                <w:tab w:val="left" w:pos="3456"/>
              </w:tabs>
              <w:spacing w:before="60" w:after="60" w:line="240" w:lineRule="atLeast"/>
              <w:jc w:val="center"/>
              <w:rPr>
                <w:rFonts w:cs="Arial"/>
                <w:sz w:val="18"/>
                <w:szCs w:val="18"/>
              </w:rPr>
            </w:pPr>
            <w:r>
              <w:rPr>
                <w:sz w:val="18"/>
              </w:rPr>
              <w:t>16 &lt; S ≤ 35</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8F6ABB" w:rsidRDefault="001F02E6" w:rsidP="00AA5633">
            <w:pPr>
              <w:tabs>
                <w:tab w:val="left" w:pos="1632"/>
                <w:tab w:val="left" w:pos="3456"/>
              </w:tabs>
              <w:spacing w:before="60" w:after="60" w:line="240" w:lineRule="atLeast"/>
              <w:ind w:left="0" w:firstLine="0"/>
              <w:jc w:val="center"/>
              <w:rPr>
                <w:rFonts w:cs="Arial"/>
                <w:sz w:val="18"/>
                <w:szCs w:val="18"/>
              </w:rPr>
            </w:pPr>
            <w:r>
              <w:rPr>
                <w:sz w:val="18"/>
              </w:rPr>
              <w:t>16</w:t>
            </w:r>
          </w:p>
        </w:tc>
      </w:tr>
      <w:tr w:rsidR="001F02E6" w:rsidRPr="00A0619C"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8F6ABB" w:rsidRDefault="001F02E6" w:rsidP="001F02E6">
            <w:pPr>
              <w:tabs>
                <w:tab w:val="left" w:pos="1632"/>
                <w:tab w:val="left" w:pos="3456"/>
              </w:tabs>
              <w:spacing w:before="60" w:after="60" w:line="240" w:lineRule="atLeast"/>
              <w:jc w:val="center"/>
              <w:rPr>
                <w:rFonts w:cs="Arial"/>
                <w:sz w:val="18"/>
                <w:szCs w:val="18"/>
              </w:rPr>
            </w:pPr>
            <w:r>
              <w:rPr>
                <w:sz w:val="18"/>
              </w:rPr>
              <w:t>35 &lt; S ≤ 120</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8F6ABB" w:rsidRDefault="001F02E6" w:rsidP="00AA5633">
            <w:pPr>
              <w:tabs>
                <w:tab w:val="left" w:pos="1632"/>
                <w:tab w:val="left" w:pos="3456"/>
              </w:tabs>
              <w:spacing w:before="60" w:after="60" w:line="240" w:lineRule="atLeast"/>
              <w:ind w:left="0" w:firstLine="0"/>
              <w:jc w:val="center"/>
              <w:rPr>
                <w:rFonts w:cs="Arial"/>
                <w:sz w:val="18"/>
                <w:szCs w:val="18"/>
              </w:rPr>
            </w:pPr>
            <w:r>
              <w:rPr>
                <w:sz w:val="18"/>
              </w:rPr>
              <w:t>metà della sezione del conduttore esterno</w:t>
            </w:r>
          </w:p>
        </w:tc>
      </w:tr>
      <w:tr w:rsidR="001F02E6" w:rsidRPr="008F6ABB"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8F6ABB" w:rsidRDefault="001F02E6" w:rsidP="001F02E6">
            <w:pPr>
              <w:tabs>
                <w:tab w:val="left" w:pos="1632"/>
                <w:tab w:val="left" w:pos="3456"/>
              </w:tabs>
              <w:spacing w:before="60" w:after="60" w:line="240" w:lineRule="atLeast"/>
              <w:jc w:val="center"/>
              <w:rPr>
                <w:rFonts w:cs="Arial"/>
                <w:sz w:val="18"/>
                <w:szCs w:val="18"/>
              </w:rPr>
            </w:pPr>
            <w:r>
              <w:rPr>
                <w:sz w:val="18"/>
              </w:rPr>
              <w:t>S &gt; 120</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8F6ABB" w:rsidRDefault="001F02E6" w:rsidP="001F02E6">
            <w:pPr>
              <w:tabs>
                <w:tab w:val="left" w:pos="1632"/>
                <w:tab w:val="left" w:pos="3456"/>
              </w:tabs>
              <w:spacing w:before="60" w:after="60" w:line="240" w:lineRule="atLeast"/>
              <w:jc w:val="center"/>
              <w:rPr>
                <w:rFonts w:cs="Arial"/>
                <w:sz w:val="18"/>
                <w:szCs w:val="18"/>
              </w:rPr>
            </w:pPr>
            <w:r>
              <w:rPr>
                <w:sz w:val="18"/>
              </w:rPr>
              <w:t>70</w:t>
            </w:r>
          </w:p>
        </w:tc>
      </w:tr>
    </w:tbl>
    <w:p w:rsidR="001D61F0" w:rsidRPr="00C903F8" w:rsidRDefault="001D61F0" w:rsidP="008A12E7">
      <w:pPr>
        <w:rPr>
          <w:rFonts w:cs="Arial"/>
          <w:szCs w:val="20"/>
        </w:rPr>
      </w:pPr>
    </w:p>
    <w:p w:rsidR="001D61F0" w:rsidRDefault="001D61F0" w:rsidP="008A12E7">
      <w:pPr>
        <w:rPr>
          <w:rFonts w:cs="Arial"/>
          <w:szCs w:val="20"/>
        </w:rPr>
      </w:pPr>
    </w:p>
    <w:p w:rsidR="00C5222B" w:rsidRDefault="00C5222B">
      <w:pPr>
        <w:autoSpaceDE/>
        <w:autoSpaceDN/>
        <w:ind w:left="0" w:firstLine="0"/>
        <w:jc w:val="left"/>
        <w:rPr>
          <w:rFonts w:cs="Arial"/>
          <w:szCs w:val="20"/>
        </w:rPr>
      </w:pPr>
      <w:r>
        <w:br w:type="page"/>
      </w:r>
    </w:p>
    <w:p w:rsidR="00C5222B" w:rsidRPr="00C903F8" w:rsidRDefault="00C5222B" w:rsidP="008A12E7">
      <w:pPr>
        <w:rPr>
          <w:rFonts w:cs="Arial"/>
          <w:szCs w:val="20"/>
        </w:rPr>
      </w:pPr>
    </w:p>
    <w:p w:rsidR="008A12E7" w:rsidRPr="00C903F8" w:rsidRDefault="008A12E7" w:rsidP="001D61F0">
      <w:pPr>
        <w:pStyle w:val="ES-Titre3"/>
      </w:pPr>
      <w:bookmarkStart w:id="171" w:name="_Toc491854083"/>
      <w:bookmarkStart w:id="172" w:name="_Toc535500032"/>
      <w:r>
        <w:t>Articolo 10.06</w:t>
      </w:r>
      <w:r>
        <w:br/>
      </w:r>
      <w:r>
        <w:rPr>
          <w:i/>
          <w:noProof/>
        </w:rPr>
        <w:t>Tensioni massime ammissibili</w:t>
      </w:r>
      <w:bookmarkEnd w:id="171"/>
      <w:bookmarkEnd w:id="172"/>
    </w:p>
    <w:p w:rsidR="001D61F0" w:rsidRPr="00C903F8" w:rsidRDefault="001D61F0" w:rsidP="008A12E7">
      <w:pPr>
        <w:rPr>
          <w:rFonts w:cs="Arial"/>
          <w:noProof/>
          <w:szCs w:val="20"/>
        </w:rPr>
      </w:pPr>
    </w:p>
    <w:p w:rsidR="008A12E7" w:rsidRDefault="008A12E7" w:rsidP="001F02E6">
      <w:pPr>
        <w:pStyle w:val="ESch"/>
        <w:numPr>
          <w:ilvl w:val="0"/>
          <w:numId w:val="17"/>
        </w:numPr>
        <w:rPr>
          <w:noProof/>
        </w:rPr>
      </w:pPr>
      <w:r>
        <w:t>I valori di tensione non superano i seguenti:</w:t>
      </w:r>
    </w:p>
    <w:p w:rsidR="001F02E6" w:rsidRPr="00C903F8" w:rsidRDefault="001F02E6" w:rsidP="001F02E6">
      <w:pPr>
        <w:pStyle w:val="ESch"/>
        <w:ind w:left="930" w:firstLine="0"/>
      </w:pPr>
    </w:p>
    <w:tbl>
      <w:tblPr>
        <w:tblW w:w="9116" w:type="dxa"/>
        <w:tblInd w:w="34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firstRow="1" w:lastRow="1" w:firstColumn="1" w:lastColumn="1" w:noHBand="0" w:noVBand="0"/>
      </w:tblPr>
      <w:tblGrid>
        <w:gridCol w:w="3960"/>
        <w:gridCol w:w="1680"/>
        <w:gridCol w:w="1680"/>
        <w:gridCol w:w="1796"/>
      </w:tblGrid>
      <w:tr w:rsidR="001F02E6" w:rsidRPr="008F6ABB" w:rsidTr="001F02E6">
        <w:trPr>
          <w:cantSplit/>
          <w:tblHeader/>
        </w:trPr>
        <w:tc>
          <w:tcPr>
            <w:tcW w:w="3960" w:type="dxa"/>
            <w:vMerge w:val="restart"/>
            <w:vAlign w:val="center"/>
          </w:tcPr>
          <w:p w:rsidR="001F02E6" w:rsidRPr="008F6ABB" w:rsidRDefault="001F02E6" w:rsidP="00666810">
            <w:pPr>
              <w:spacing w:before="60" w:after="60" w:line="240" w:lineRule="atLeast"/>
              <w:jc w:val="center"/>
              <w:rPr>
                <w:rFonts w:eastAsia="Calibri" w:cs="Arial"/>
                <w:sz w:val="18"/>
                <w:szCs w:val="18"/>
              </w:rPr>
            </w:pPr>
            <w:r>
              <w:rPr>
                <w:sz w:val="18"/>
              </w:rPr>
              <w:t xml:space="preserve">Tipo di apparecchio o impianto </w:t>
            </w:r>
          </w:p>
        </w:tc>
        <w:tc>
          <w:tcPr>
            <w:tcW w:w="5156" w:type="dxa"/>
            <w:gridSpan w:val="3"/>
          </w:tcPr>
          <w:p w:rsidR="001F02E6" w:rsidRPr="008F6ABB" w:rsidRDefault="001F02E6" w:rsidP="00666810">
            <w:pPr>
              <w:spacing w:before="60" w:after="60" w:line="240" w:lineRule="atLeast"/>
              <w:jc w:val="center"/>
              <w:rPr>
                <w:rFonts w:eastAsia="Calibri" w:cs="Arial"/>
                <w:sz w:val="18"/>
                <w:szCs w:val="18"/>
              </w:rPr>
            </w:pPr>
            <w:r>
              <w:rPr>
                <w:sz w:val="18"/>
              </w:rPr>
              <w:t>Tensioni massime ammissibili</w:t>
            </w:r>
          </w:p>
        </w:tc>
      </w:tr>
      <w:tr w:rsidR="001F02E6" w:rsidRPr="008F6ABB" w:rsidTr="001F02E6">
        <w:trPr>
          <w:cantSplit/>
          <w:tblHeader/>
        </w:trPr>
        <w:tc>
          <w:tcPr>
            <w:tcW w:w="3960" w:type="dxa"/>
            <w:vMerge/>
            <w:tcBorders>
              <w:bottom w:val="single" w:sz="12" w:space="0" w:color="auto"/>
            </w:tcBorders>
          </w:tcPr>
          <w:p w:rsidR="001F02E6" w:rsidRPr="008F6ABB" w:rsidRDefault="001F02E6" w:rsidP="00666810">
            <w:pPr>
              <w:spacing w:before="60" w:after="60" w:line="240" w:lineRule="atLeast"/>
              <w:rPr>
                <w:rFonts w:eastAsia="Calibri" w:cs="Arial"/>
                <w:sz w:val="18"/>
                <w:szCs w:val="18"/>
              </w:rPr>
            </w:pPr>
          </w:p>
        </w:tc>
        <w:tc>
          <w:tcPr>
            <w:tcW w:w="1680" w:type="dxa"/>
            <w:tcBorders>
              <w:bottom w:val="single" w:sz="12" w:space="0" w:color="auto"/>
            </w:tcBorders>
            <w:vAlign w:val="center"/>
          </w:tcPr>
          <w:p w:rsidR="001F02E6" w:rsidRPr="008F6ABB" w:rsidRDefault="001F02E6" w:rsidP="00666810">
            <w:pPr>
              <w:spacing w:before="60" w:after="60" w:line="240" w:lineRule="atLeast"/>
              <w:jc w:val="center"/>
              <w:rPr>
                <w:rFonts w:eastAsia="Calibri" w:cs="Arial"/>
                <w:sz w:val="18"/>
                <w:szCs w:val="18"/>
              </w:rPr>
            </w:pPr>
            <w:r>
              <w:rPr>
                <w:sz w:val="18"/>
              </w:rPr>
              <w:t>Corrente continua</w:t>
            </w:r>
          </w:p>
        </w:tc>
        <w:tc>
          <w:tcPr>
            <w:tcW w:w="1680" w:type="dxa"/>
            <w:tcBorders>
              <w:bottom w:val="single" w:sz="12" w:space="0" w:color="auto"/>
            </w:tcBorders>
            <w:vAlign w:val="center"/>
          </w:tcPr>
          <w:p w:rsidR="001F02E6" w:rsidRPr="008F6ABB" w:rsidRDefault="001F02E6" w:rsidP="00666810">
            <w:pPr>
              <w:spacing w:before="60" w:after="60" w:line="240" w:lineRule="atLeast"/>
              <w:ind w:left="0" w:firstLine="0"/>
              <w:jc w:val="center"/>
              <w:rPr>
                <w:rFonts w:eastAsia="Calibri" w:cs="Arial"/>
                <w:sz w:val="18"/>
                <w:szCs w:val="18"/>
              </w:rPr>
            </w:pPr>
            <w:r>
              <w:rPr>
                <w:sz w:val="18"/>
              </w:rPr>
              <w:t>Corrente alternata monofase</w:t>
            </w:r>
          </w:p>
        </w:tc>
        <w:tc>
          <w:tcPr>
            <w:tcW w:w="1796" w:type="dxa"/>
            <w:tcBorders>
              <w:bottom w:val="single" w:sz="12" w:space="0" w:color="auto"/>
            </w:tcBorders>
            <w:vAlign w:val="center"/>
          </w:tcPr>
          <w:p w:rsidR="001F02E6" w:rsidRPr="008F6ABB" w:rsidRDefault="001F02E6" w:rsidP="00666810">
            <w:pPr>
              <w:spacing w:before="60" w:after="60" w:line="240" w:lineRule="atLeast"/>
              <w:ind w:left="0" w:firstLine="0"/>
              <w:jc w:val="center"/>
              <w:rPr>
                <w:rFonts w:eastAsia="Calibri" w:cs="Arial"/>
                <w:sz w:val="18"/>
                <w:szCs w:val="18"/>
              </w:rPr>
            </w:pPr>
            <w:r>
              <w:rPr>
                <w:sz w:val="18"/>
              </w:rPr>
              <w:t>Corrente alternata trifase</w:t>
            </w:r>
          </w:p>
        </w:tc>
      </w:tr>
      <w:tr w:rsidR="001F02E6" w:rsidRPr="008F6ABB" w:rsidTr="00AA5633">
        <w:tc>
          <w:tcPr>
            <w:tcW w:w="3960" w:type="dxa"/>
            <w:tcBorders>
              <w:top w:val="single" w:sz="12" w:space="0" w:color="auto"/>
            </w:tcBorders>
            <w:vAlign w:val="bottom"/>
          </w:tcPr>
          <w:p w:rsidR="001F02E6" w:rsidRPr="008F6ABB" w:rsidRDefault="001F02E6" w:rsidP="00666810">
            <w:pPr>
              <w:tabs>
                <w:tab w:val="left" w:leader="dot" w:pos="3621"/>
              </w:tabs>
              <w:spacing w:before="60" w:after="60" w:line="240" w:lineRule="atLeast"/>
              <w:ind w:left="360" w:hanging="357"/>
              <w:rPr>
                <w:rFonts w:eastAsia="Calibri" w:cs="Arial"/>
                <w:sz w:val="18"/>
                <w:szCs w:val="18"/>
              </w:rPr>
            </w:pPr>
            <w:r>
              <w:rPr>
                <w:sz w:val="18"/>
              </w:rPr>
              <w:t>a)</w:t>
            </w:r>
            <w:r>
              <w:tab/>
            </w:r>
            <w:r>
              <w:rPr>
                <w:sz w:val="18"/>
              </w:rPr>
              <w:t xml:space="preserve">Impianti di forza motrice e riscaldamento, comprese le prese per uso generale </w:t>
            </w:r>
            <w:r>
              <w:tab/>
            </w:r>
          </w:p>
        </w:tc>
        <w:tc>
          <w:tcPr>
            <w:tcW w:w="1680" w:type="dxa"/>
            <w:tcBorders>
              <w:top w:val="single" w:sz="12" w:space="0" w:color="auto"/>
            </w:tcBorders>
            <w:vAlign w:val="bottom"/>
          </w:tcPr>
          <w:p w:rsidR="001F02E6" w:rsidRPr="008F6ABB" w:rsidRDefault="001F02E6" w:rsidP="00666810">
            <w:pPr>
              <w:spacing w:before="60" w:after="60" w:line="240" w:lineRule="atLeast"/>
              <w:jc w:val="center"/>
              <w:rPr>
                <w:rFonts w:eastAsia="Calibri" w:cs="Arial"/>
                <w:sz w:val="18"/>
                <w:szCs w:val="18"/>
              </w:rPr>
            </w:pPr>
            <w:r>
              <w:rPr>
                <w:sz w:val="18"/>
              </w:rPr>
              <w:t>250 V</w:t>
            </w:r>
          </w:p>
        </w:tc>
        <w:tc>
          <w:tcPr>
            <w:tcW w:w="1680" w:type="dxa"/>
            <w:tcBorders>
              <w:top w:val="single" w:sz="12" w:space="0" w:color="auto"/>
            </w:tcBorders>
            <w:vAlign w:val="bottom"/>
          </w:tcPr>
          <w:p w:rsidR="001F02E6" w:rsidRPr="008F6ABB" w:rsidRDefault="001F02E6" w:rsidP="00666810">
            <w:pPr>
              <w:spacing w:before="60" w:after="60" w:line="240" w:lineRule="atLeast"/>
              <w:jc w:val="center"/>
              <w:rPr>
                <w:rFonts w:eastAsia="Calibri" w:cs="Arial"/>
                <w:sz w:val="18"/>
                <w:szCs w:val="18"/>
              </w:rPr>
            </w:pPr>
            <w:r>
              <w:rPr>
                <w:sz w:val="18"/>
              </w:rPr>
              <w:t>250 V</w:t>
            </w:r>
          </w:p>
        </w:tc>
        <w:tc>
          <w:tcPr>
            <w:tcW w:w="1796" w:type="dxa"/>
            <w:tcBorders>
              <w:top w:val="single" w:sz="12" w:space="0" w:color="auto"/>
            </w:tcBorders>
            <w:vAlign w:val="bottom"/>
          </w:tcPr>
          <w:p w:rsidR="001F02E6" w:rsidRPr="008F6ABB" w:rsidRDefault="001F02E6" w:rsidP="00666810">
            <w:pPr>
              <w:spacing w:before="60" w:after="60" w:line="240" w:lineRule="atLeast"/>
              <w:jc w:val="center"/>
              <w:rPr>
                <w:rFonts w:eastAsia="Calibri" w:cs="Arial"/>
                <w:sz w:val="18"/>
                <w:szCs w:val="18"/>
              </w:rPr>
            </w:pPr>
            <w:r>
              <w:rPr>
                <w:sz w:val="18"/>
              </w:rPr>
              <w:t>690 V</w:t>
            </w:r>
          </w:p>
        </w:tc>
      </w:tr>
      <w:tr w:rsidR="001F02E6" w:rsidRPr="008F6ABB" w:rsidTr="00AA5633">
        <w:tc>
          <w:tcPr>
            <w:tcW w:w="3960" w:type="dxa"/>
            <w:vAlign w:val="bottom"/>
          </w:tcPr>
          <w:p w:rsidR="001F02E6" w:rsidRPr="008F6ABB" w:rsidRDefault="001F02E6" w:rsidP="00666810">
            <w:pPr>
              <w:tabs>
                <w:tab w:val="left" w:leader="dot" w:pos="3621"/>
              </w:tabs>
              <w:spacing w:before="60" w:after="60" w:line="240" w:lineRule="atLeast"/>
              <w:ind w:left="360" w:hanging="357"/>
              <w:rPr>
                <w:rFonts w:eastAsia="Calibri" w:cs="Arial"/>
                <w:sz w:val="18"/>
                <w:szCs w:val="18"/>
              </w:rPr>
            </w:pPr>
            <w:r>
              <w:rPr>
                <w:sz w:val="18"/>
              </w:rPr>
              <w:t>b)</w:t>
            </w:r>
            <w:r>
              <w:tab/>
            </w:r>
            <w:r>
              <w:rPr>
                <w:sz w:val="18"/>
              </w:rPr>
              <w:t xml:space="preserve">Impianti per l'illuminazione, per la comunicazione di ordini e informazioni, comprese le prese per uso generale </w:t>
            </w:r>
            <w:r>
              <w:tab/>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250 V</w:t>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250 V</w:t>
            </w:r>
          </w:p>
        </w:tc>
        <w:tc>
          <w:tcPr>
            <w:tcW w:w="1796"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w:t>
            </w:r>
          </w:p>
        </w:tc>
      </w:tr>
      <w:tr w:rsidR="001F02E6" w:rsidRPr="00A0619C" w:rsidTr="00AA5633">
        <w:tc>
          <w:tcPr>
            <w:tcW w:w="3960" w:type="dxa"/>
            <w:vAlign w:val="bottom"/>
          </w:tcPr>
          <w:p w:rsidR="001F02E6" w:rsidRPr="008F6ABB" w:rsidRDefault="001F02E6" w:rsidP="005C5181">
            <w:pPr>
              <w:tabs>
                <w:tab w:val="left" w:leader="dot" w:pos="3621"/>
              </w:tabs>
              <w:spacing w:before="60" w:after="60" w:line="240" w:lineRule="atLeast"/>
              <w:ind w:left="360" w:hanging="357"/>
              <w:rPr>
                <w:rFonts w:eastAsia="Calibri" w:cs="Arial"/>
                <w:sz w:val="18"/>
                <w:szCs w:val="18"/>
              </w:rPr>
            </w:pPr>
            <w:r>
              <w:rPr>
                <w:sz w:val="18"/>
              </w:rPr>
              <w:t>c)</w:t>
            </w:r>
            <w:r>
              <w:tab/>
            </w:r>
            <w:r>
              <w:rPr>
                <w:sz w:val="18"/>
              </w:rPr>
              <w:t>Prese per l'alimentazione di corrente ad apparecchi elettrici mobili utilizzati su ponti scoperti o in locali chiusi o con involucri in metallo umidi diversi da caldaie e serbatoi</w:t>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p>
        </w:tc>
        <w:tc>
          <w:tcPr>
            <w:tcW w:w="1796" w:type="dxa"/>
            <w:vAlign w:val="bottom"/>
          </w:tcPr>
          <w:p w:rsidR="001F02E6" w:rsidRPr="008F6ABB" w:rsidRDefault="001F02E6" w:rsidP="00666810">
            <w:pPr>
              <w:spacing w:before="60" w:after="60" w:line="240" w:lineRule="atLeast"/>
              <w:jc w:val="center"/>
              <w:rPr>
                <w:rFonts w:eastAsia="Calibri" w:cs="Arial"/>
                <w:sz w:val="18"/>
                <w:szCs w:val="18"/>
              </w:rPr>
            </w:pPr>
          </w:p>
        </w:tc>
      </w:tr>
      <w:tr w:rsidR="001F02E6" w:rsidRPr="008F6ABB" w:rsidTr="00AA5633">
        <w:tc>
          <w:tcPr>
            <w:tcW w:w="3960" w:type="dxa"/>
            <w:vAlign w:val="bottom"/>
          </w:tcPr>
          <w:p w:rsidR="001F02E6" w:rsidRPr="008F6ABB" w:rsidRDefault="001F02E6" w:rsidP="00666810">
            <w:pPr>
              <w:tabs>
                <w:tab w:val="left" w:leader="dot" w:pos="3621"/>
              </w:tabs>
              <w:spacing w:before="60" w:after="60" w:line="240" w:lineRule="atLeast"/>
              <w:ind w:left="720" w:hanging="357"/>
              <w:rPr>
                <w:rFonts w:eastAsia="Calibri" w:cs="Arial"/>
                <w:sz w:val="18"/>
                <w:szCs w:val="18"/>
              </w:rPr>
            </w:pPr>
            <w:r>
              <w:rPr>
                <w:sz w:val="18"/>
              </w:rPr>
              <w:t>1.</w:t>
            </w:r>
            <w:r>
              <w:tab/>
            </w:r>
            <w:r>
              <w:rPr>
                <w:sz w:val="18"/>
              </w:rPr>
              <w:t xml:space="preserve">in generale </w:t>
            </w:r>
            <w:r>
              <w:tab/>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50 V</w:t>
            </w:r>
            <w:r>
              <w:rPr>
                <w:sz w:val="18"/>
                <w:vertAlign w:val="superscript"/>
              </w:rPr>
              <w:t>(1)</w:t>
            </w:r>
          </w:p>
        </w:tc>
        <w:tc>
          <w:tcPr>
            <w:tcW w:w="1680" w:type="dxa"/>
            <w:vAlign w:val="bottom"/>
          </w:tcPr>
          <w:p w:rsidR="001F02E6" w:rsidRPr="008F6ABB" w:rsidRDefault="001F02E6" w:rsidP="00666810">
            <w:pPr>
              <w:spacing w:before="60" w:after="60" w:line="240" w:lineRule="atLeast"/>
              <w:jc w:val="center"/>
              <w:rPr>
                <w:rFonts w:eastAsia="Calibri" w:cs="Arial"/>
                <w:sz w:val="18"/>
                <w:szCs w:val="18"/>
                <w:vertAlign w:val="superscript"/>
              </w:rPr>
            </w:pPr>
            <w:r>
              <w:rPr>
                <w:sz w:val="18"/>
              </w:rPr>
              <w:t>50 V</w:t>
            </w:r>
            <w:r>
              <w:rPr>
                <w:sz w:val="18"/>
                <w:vertAlign w:val="superscript"/>
              </w:rPr>
              <w:t>(1)</w:t>
            </w:r>
          </w:p>
        </w:tc>
        <w:tc>
          <w:tcPr>
            <w:tcW w:w="1796"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w:t>
            </w:r>
          </w:p>
        </w:tc>
      </w:tr>
      <w:tr w:rsidR="001F02E6" w:rsidRPr="008F6ABB" w:rsidTr="00AA5633">
        <w:tc>
          <w:tcPr>
            <w:tcW w:w="3960" w:type="dxa"/>
            <w:vAlign w:val="bottom"/>
          </w:tcPr>
          <w:p w:rsidR="001F02E6" w:rsidRPr="008F6ABB" w:rsidRDefault="001F02E6" w:rsidP="003A47CF">
            <w:pPr>
              <w:tabs>
                <w:tab w:val="left" w:leader="dot" w:pos="3621"/>
              </w:tabs>
              <w:spacing w:before="60" w:after="60" w:line="240" w:lineRule="atLeast"/>
              <w:ind w:left="720" w:hanging="357"/>
              <w:rPr>
                <w:rFonts w:eastAsia="Calibri" w:cs="Arial"/>
                <w:sz w:val="18"/>
                <w:szCs w:val="18"/>
              </w:rPr>
            </w:pPr>
            <w:r>
              <w:rPr>
                <w:sz w:val="18"/>
              </w:rPr>
              <w:t>2.</w:t>
            </w:r>
            <w:r>
              <w:tab/>
            </w:r>
            <w:r>
              <w:rPr>
                <w:sz w:val="18"/>
              </w:rPr>
              <w:t xml:space="preserve">in caso di trasformatore di isolamento che funge da unico apparecchio utilizzato </w:t>
            </w:r>
            <w:r>
              <w:tab/>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w:t>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250 V</w:t>
            </w:r>
            <w:r>
              <w:rPr>
                <w:sz w:val="18"/>
                <w:vertAlign w:val="superscript"/>
              </w:rPr>
              <w:t>2)</w:t>
            </w:r>
          </w:p>
        </w:tc>
        <w:tc>
          <w:tcPr>
            <w:tcW w:w="1796"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w:t>
            </w:r>
          </w:p>
        </w:tc>
      </w:tr>
      <w:tr w:rsidR="001F02E6" w:rsidRPr="008F6ABB" w:rsidTr="00AA5633">
        <w:tc>
          <w:tcPr>
            <w:tcW w:w="3960" w:type="dxa"/>
            <w:vAlign w:val="bottom"/>
          </w:tcPr>
          <w:p w:rsidR="001F02E6" w:rsidRPr="008F6ABB" w:rsidRDefault="001F02E6" w:rsidP="00666810">
            <w:pPr>
              <w:tabs>
                <w:tab w:val="left" w:leader="dot" w:pos="3621"/>
              </w:tabs>
              <w:spacing w:before="60" w:after="60" w:line="240" w:lineRule="atLeast"/>
              <w:ind w:left="720" w:hanging="357"/>
              <w:rPr>
                <w:rFonts w:eastAsia="Calibri" w:cs="Arial"/>
                <w:sz w:val="18"/>
                <w:szCs w:val="18"/>
              </w:rPr>
            </w:pPr>
            <w:r>
              <w:rPr>
                <w:sz w:val="18"/>
              </w:rPr>
              <w:t>3.</w:t>
            </w:r>
            <w:r>
              <w:tab/>
            </w:r>
            <w:r>
              <w:rPr>
                <w:sz w:val="18"/>
              </w:rPr>
              <w:t xml:space="preserve">in caso di utilizzo di apparecchio dotato di isolamento protettivo (doppio isolamento) </w:t>
            </w:r>
            <w:r>
              <w:tab/>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250 V</w:t>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250 V</w:t>
            </w:r>
          </w:p>
        </w:tc>
        <w:tc>
          <w:tcPr>
            <w:tcW w:w="1796"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w:t>
            </w:r>
          </w:p>
        </w:tc>
      </w:tr>
      <w:tr w:rsidR="001F02E6" w:rsidRPr="008F6ABB" w:rsidTr="00AA5633">
        <w:tc>
          <w:tcPr>
            <w:tcW w:w="3960" w:type="dxa"/>
            <w:vAlign w:val="bottom"/>
          </w:tcPr>
          <w:p w:rsidR="001F02E6" w:rsidRPr="008F6ABB" w:rsidRDefault="001F02E6" w:rsidP="00666810">
            <w:pPr>
              <w:tabs>
                <w:tab w:val="left" w:leader="dot" w:pos="3621"/>
              </w:tabs>
              <w:spacing w:before="60" w:after="60" w:line="240" w:lineRule="atLeast"/>
              <w:ind w:left="720" w:hanging="357"/>
              <w:rPr>
                <w:rFonts w:eastAsia="Calibri" w:cs="Arial"/>
                <w:sz w:val="18"/>
                <w:szCs w:val="18"/>
              </w:rPr>
            </w:pPr>
            <w:r>
              <w:rPr>
                <w:sz w:val="18"/>
              </w:rPr>
              <w:t>4.</w:t>
            </w:r>
            <w:r>
              <w:tab/>
            </w:r>
            <w:r>
              <w:rPr>
                <w:sz w:val="18"/>
              </w:rPr>
              <w:t xml:space="preserve">In caso di utilizzo di interruttore differenziale ≤ 30mA </w:t>
            </w:r>
            <w:r>
              <w:tab/>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w:t>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250 V</w:t>
            </w:r>
          </w:p>
        </w:tc>
        <w:tc>
          <w:tcPr>
            <w:tcW w:w="1796"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690 V</w:t>
            </w:r>
          </w:p>
        </w:tc>
      </w:tr>
      <w:tr w:rsidR="001F02E6" w:rsidRPr="008F6ABB" w:rsidTr="00666810">
        <w:trPr>
          <w:cantSplit/>
        </w:trPr>
        <w:tc>
          <w:tcPr>
            <w:tcW w:w="3960" w:type="dxa"/>
            <w:vAlign w:val="bottom"/>
          </w:tcPr>
          <w:p w:rsidR="001F02E6" w:rsidRPr="008F6ABB" w:rsidRDefault="001F02E6" w:rsidP="00666810">
            <w:pPr>
              <w:tabs>
                <w:tab w:val="left" w:leader="dot" w:pos="3621"/>
              </w:tabs>
              <w:spacing w:before="60" w:after="60" w:line="240" w:lineRule="atLeast"/>
              <w:ind w:left="360" w:hanging="357"/>
              <w:rPr>
                <w:rFonts w:eastAsia="Calibri" w:cs="Arial"/>
                <w:sz w:val="18"/>
                <w:szCs w:val="18"/>
              </w:rPr>
            </w:pPr>
            <w:r>
              <w:rPr>
                <w:sz w:val="18"/>
              </w:rPr>
              <w:t>d)</w:t>
            </w:r>
            <w:r>
              <w:tab/>
            </w:r>
            <w:r>
              <w:rPr>
                <w:sz w:val="18"/>
              </w:rPr>
              <w:t xml:space="preserve">Apparecchi elettrici mobili (come dispositivi elettrici di contenitori, motori, ventilatori e pompe) che non sono normalmente regolati durante il funzionamento le cui parti conduttive esposte sono collegate a terra mediante un conduttore di protezione integrato nel cavo di collegamento e che sono collegate allo scafo non soltanto da questo conduttore di protezione ma anche dalla loro ubicazione o da un altro conduttore </w:t>
            </w:r>
            <w:r>
              <w:tab/>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250 V</w:t>
            </w:r>
          </w:p>
        </w:tc>
        <w:tc>
          <w:tcPr>
            <w:tcW w:w="1680"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250 V</w:t>
            </w:r>
          </w:p>
        </w:tc>
        <w:tc>
          <w:tcPr>
            <w:tcW w:w="1796"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690 V</w:t>
            </w:r>
          </w:p>
        </w:tc>
      </w:tr>
      <w:tr w:rsidR="001F02E6" w:rsidRPr="008F6ABB" w:rsidTr="00AA5633">
        <w:tc>
          <w:tcPr>
            <w:tcW w:w="3960" w:type="dxa"/>
            <w:vAlign w:val="bottom"/>
          </w:tcPr>
          <w:p w:rsidR="001F02E6" w:rsidRPr="008F6ABB" w:rsidRDefault="001F02E6" w:rsidP="00666810">
            <w:pPr>
              <w:tabs>
                <w:tab w:val="left" w:leader="dot" w:pos="3621"/>
              </w:tabs>
              <w:spacing w:before="60" w:after="60" w:line="240" w:lineRule="atLeast"/>
              <w:ind w:left="360" w:hanging="357"/>
              <w:rPr>
                <w:rFonts w:eastAsia="Calibri" w:cs="Arial"/>
                <w:sz w:val="18"/>
                <w:szCs w:val="18"/>
              </w:rPr>
            </w:pPr>
            <w:r>
              <w:rPr>
                <w:sz w:val="18"/>
              </w:rPr>
              <w:t>e)</w:t>
            </w:r>
            <w:r>
              <w:tab/>
            </w:r>
            <w:r>
              <w:rPr>
                <w:sz w:val="18"/>
              </w:rPr>
              <w:t xml:space="preserve">Prese per l'alimentazione di corrente ad apparecchi elettrici mobili utilizzati in caldaie e serbatoi </w:t>
            </w:r>
            <w:r>
              <w:tab/>
            </w:r>
          </w:p>
        </w:tc>
        <w:tc>
          <w:tcPr>
            <w:tcW w:w="1680" w:type="dxa"/>
            <w:vAlign w:val="bottom"/>
          </w:tcPr>
          <w:p w:rsidR="001F02E6" w:rsidRPr="008F6ABB" w:rsidRDefault="001F02E6" w:rsidP="00666810">
            <w:pPr>
              <w:spacing w:before="60" w:after="60" w:line="240" w:lineRule="atLeast"/>
              <w:jc w:val="center"/>
              <w:rPr>
                <w:rFonts w:eastAsia="Calibri" w:cs="Arial"/>
                <w:sz w:val="18"/>
                <w:szCs w:val="18"/>
                <w:vertAlign w:val="superscript"/>
              </w:rPr>
            </w:pPr>
            <w:r>
              <w:rPr>
                <w:sz w:val="18"/>
              </w:rPr>
              <w:t>50 V</w:t>
            </w:r>
            <w:r>
              <w:rPr>
                <w:sz w:val="18"/>
                <w:vertAlign w:val="superscript"/>
              </w:rPr>
              <w:t>1)</w:t>
            </w:r>
          </w:p>
        </w:tc>
        <w:tc>
          <w:tcPr>
            <w:tcW w:w="1680" w:type="dxa"/>
            <w:vAlign w:val="bottom"/>
          </w:tcPr>
          <w:p w:rsidR="001F02E6" w:rsidRPr="008F6ABB" w:rsidRDefault="001F02E6" w:rsidP="00666810">
            <w:pPr>
              <w:spacing w:before="60" w:after="60" w:line="240" w:lineRule="atLeast"/>
              <w:jc w:val="center"/>
              <w:rPr>
                <w:rFonts w:eastAsia="Calibri" w:cs="Arial"/>
                <w:sz w:val="18"/>
                <w:szCs w:val="18"/>
                <w:vertAlign w:val="superscript"/>
              </w:rPr>
            </w:pPr>
            <w:r>
              <w:rPr>
                <w:sz w:val="18"/>
              </w:rPr>
              <w:t>50 V</w:t>
            </w:r>
            <w:r>
              <w:rPr>
                <w:sz w:val="18"/>
                <w:vertAlign w:val="superscript"/>
              </w:rPr>
              <w:t>(1)</w:t>
            </w:r>
          </w:p>
        </w:tc>
        <w:tc>
          <w:tcPr>
            <w:tcW w:w="1796" w:type="dxa"/>
            <w:vAlign w:val="bottom"/>
          </w:tcPr>
          <w:p w:rsidR="001F02E6" w:rsidRPr="008F6ABB" w:rsidRDefault="001F02E6" w:rsidP="00666810">
            <w:pPr>
              <w:spacing w:before="60" w:after="60" w:line="240" w:lineRule="atLeast"/>
              <w:jc w:val="center"/>
              <w:rPr>
                <w:rFonts w:eastAsia="Calibri" w:cs="Arial"/>
                <w:sz w:val="18"/>
                <w:szCs w:val="18"/>
              </w:rPr>
            </w:pPr>
            <w:r>
              <w:rPr>
                <w:sz w:val="18"/>
              </w:rPr>
              <w:t>-</w:t>
            </w:r>
          </w:p>
        </w:tc>
      </w:tr>
      <w:tr w:rsidR="001F02E6" w:rsidRPr="00A0619C" w:rsidTr="001F02E6">
        <w:tc>
          <w:tcPr>
            <w:tcW w:w="9116" w:type="dxa"/>
            <w:gridSpan w:val="4"/>
          </w:tcPr>
          <w:p w:rsidR="001F02E6" w:rsidRPr="008F6ABB" w:rsidRDefault="001F02E6" w:rsidP="00666810">
            <w:pPr>
              <w:spacing w:before="60" w:after="60" w:line="240" w:lineRule="atLeast"/>
              <w:rPr>
                <w:rFonts w:eastAsia="Calibri" w:cs="Arial"/>
                <w:sz w:val="18"/>
                <w:szCs w:val="18"/>
              </w:rPr>
            </w:pPr>
            <w:r>
              <w:rPr>
                <w:sz w:val="18"/>
              </w:rPr>
              <w:t>Osservazioni:</w:t>
            </w:r>
          </w:p>
          <w:p w:rsidR="001F02E6" w:rsidRPr="008F6ABB" w:rsidRDefault="00666810" w:rsidP="00666810">
            <w:pPr>
              <w:spacing w:before="60" w:after="60" w:line="240" w:lineRule="atLeast"/>
              <w:ind w:left="240" w:hanging="240"/>
              <w:rPr>
                <w:rFonts w:eastAsia="Calibri" w:cs="Arial"/>
                <w:sz w:val="18"/>
                <w:szCs w:val="18"/>
              </w:rPr>
            </w:pPr>
            <w:r>
              <w:rPr>
                <w:sz w:val="18"/>
                <w:vertAlign w:val="superscript"/>
              </w:rPr>
              <w:t>(1)</w:t>
            </w:r>
            <w:r>
              <w:tab/>
            </w:r>
            <w:r>
              <w:rPr>
                <w:sz w:val="18"/>
              </w:rPr>
              <w:t>quando questa tensione proviene da reti a più alta tensione, è necessario utilizzare un isolatore galvanico (trasformatore di isolamento);</w:t>
            </w:r>
          </w:p>
          <w:p w:rsidR="001F02E6" w:rsidRPr="008F6ABB" w:rsidRDefault="00666810" w:rsidP="00666810">
            <w:pPr>
              <w:spacing w:before="60" w:after="60" w:line="240" w:lineRule="atLeast"/>
              <w:ind w:left="240" w:hanging="240"/>
              <w:rPr>
                <w:rFonts w:eastAsia="Calibri" w:cs="Arial"/>
                <w:sz w:val="18"/>
                <w:szCs w:val="18"/>
              </w:rPr>
            </w:pPr>
            <w:r>
              <w:rPr>
                <w:sz w:val="18"/>
                <w:vertAlign w:val="superscript"/>
              </w:rPr>
              <w:t>(2)</w:t>
            </w:r>
            <w:r>
              <w:tab/>
            </w:r>
            <w:r>
              <w:rPr>
                <w:sz w:val="18"/>
              </w:rPr>
              <w:t>il circuito elettrico secondario deve essere isolato dal telaio per tutte le polarità.</w:t>
            </w:r>
          </w:p>
        </w:tc>
      </w:tr>
    </w:tbl>
    <w:p w:rsidR="001F02E6" w:rsidRDefault="001F02E6" w:rsidP="001F02E6">
      <w:pPr>
        <w:pStyle w:val="ESch"/>
      </w:pPr>
    </w:p>
    <w:p w:rsidR="00AB2818" w:rsidRDefault="00AB2818">
      <w:pPr>
        <w:autoSpaceDE/>
        <w:autoSpaceDN/>
        <w:ind w:left="0" w:firstLine="0"/>
        <w:jc w:val="left"/>
      </w:pPr>
      <w:r>
        <w:br w:type="page"/>
      </w:r>
    </w:p>
    <w:p w:rsidR="00AB2818" w:rsidRDefault="00AB2818" w:rsidP="001F02E6">
      <w:pPr>
        <w:pStyle w:val="ESch"/>
      </w:pPr>
    </w:p>
    <w:p w:rsidR="001F02E6" w:rsidRPr="008F6ABB" w:rsidRDefault="001F02E6" w:rsidP="001F02E6">
      <w:pPr>
        <w:pStyle w:val="ESch"/>
        <w:rPr>
          <w:rFonts w:eastAsia="Calibri"/>
        </w:rPr>
      </w:pPr>
      <w:r>
        <w:t>2.</w:t>
      </w:r>
      <w:r>
        <w:tab/>
        <w:t>Se vengono rispettate le misure protettive necessarie, sono consentite tensioni più elevate:</w:t>
      </w:r>
    </w:p>
    <w:p w:rsidR="001F02E6" w:rsidRPr="008F6ABB" w:rsidRDefault="001F02E6" w:rsidP="001F02E6">
      <w:pPr>
        <w:pStyle w:val="ESlet"/>
        <w:rPr>
          <w:rFonts w:eastAsia="Calibri"/>
        </w:rPr>
      </w:pPr>
      <w:r>
        <w:t>a)</w:t>
      </w:r>
      <w:r>
        <w:tab/>
        <w:t>per gli impianti di forza motrice la cui potenza lo richieda;</w:t>
      </w:r>
    </w:p>
    <w:p w:rsidR="001F02E6" w:rsidRPr="008F6ABB" w:rsidRDefault="001F02E6" w:rsidP="001F02E6">
      <w:pPr>
        <w:pStyle w:val="ESlet"/>
        <w:rPr>
          <w:rFonts w:eastAsia="Calibri"/>
        </w:rPr>
      </w:pPr>
      <w:r>
        <w:t>b)</w:t>
      </w:r>
      <w:r>
        <w:tab/>
        <w:t>per gli impianti speciali di bordo, quali dispositivi radio e di accensione.</w:t>
      </w:r>
    </w:p>
    <w:p w:rsidR="008A12E7" w:rsidRDefault="008A12E7" w:rsidP="008A12E7">
      <w:pPr>
        <w:rPr>
          <w:rFonts w:cs="Arial"/>
          <w:szCs w:val="20"/>
        </w:rPr>
      </w:pPr>
    </w:p>
    <w:p w:rsidR="001F02E6" w:rsidRPr="008F6ABB" w:rsidRDefault="001F02E6" w:rsidP="001F02E6">
      <w:pPr>
        <w:pStyle w:val="ESch"/>
        <w:rPr>
          <w:rFonts w:eastAsia="Calibri"/>
        </w:rPr>
      </w:pPr>
      <w:r>
        <w:t>3.</w:t>
      </w:r>
      <w:r>
        <w:tab/>
        <w:t>La commissione di ispezione può consentire altre eccezioni in casi giustificati se vengono rispettate le misure di protezione necessarie.</w:t>
      </w:r>
    </w:p>
    <w:p w:rsidR="001F02E6" w:rsidRDefault="001F02E6" w:rsidP="008A12E7">
      <w:pPr>
        <w:rPr>
          <w:rFonts w:cs="Arial"/>
          <w:szCs w:val="20"/>
        </w:rPr>
      </w:pPr>
    </w:p>
    <w:p w:rsidR="00666810" w:rsidRPr="00C903F8" w:rsidRDefault="00666810" w:rsidP="008A12E7">
      <w:pPr>
        <w:rPr>
          <w:rFonts w:cs="Arial"/>
          <w:szCs w:val="20"/>
        </w:rPr>
      </w:pPr>
    </w:p>
    <w:p w:rsidR="008A12E7" w:rsidRPr="00C903F8" w:rsidRDefault="008A12E7" w:rsidP="00651EFD">
      <w:pPr>
        <w:pStyle w:val="ES-Titre3"/>
      </w:pPr>
      <w:bookmarkStart w:id="173" w:name="_Toc491854084"/>
      <w:bookmarkStart w:id="174" w:name="_Toc535500033"/>
      <w:r>
        <w:t>Articolo 10.07</w:t>
      </w:r>
      <w:r>
        <w:br/>
      </w:r>
      <w:r>
        <w:rPr>
          <w:i/>
          <w:noProof/>
        </w:rPr>
        <w:t>Sistemi di distribuzione</w:t>
      </w:r>
      <w:bookmarkEnd w:id="173"/>
      <w:bookmarkEnd w:id="174"/>
    </w:p>
    <w:p w:rsidR="00651EFD" w:rsidRPr="00C903F8" w:rsidRDefault="00651EFD" w:rsidP="008A12E7">
      <w:pPr>
        <w:rPr>
          <w:rFonts w:cs="Arial"/>
          <w:noProof/>
          <w:szCs w:val="20"/>
        </w:rPr>
      </w:pPr>
    </w:p>
    <w:p w:rsidR="001F02E6" w:rsidRPr="001717EA" w:rsidRDefault="001F02E6" w:rsidP="001F02E6">
      <w:pPr>
        <w:pStyle w:val="ESch"/>
        <w:rPr>
          <w:rFonts w:eastAsia="Calibri"/>
        </w:rPr>
      </w:pPr>
      <w:r>
        <w:t>1.</w:t>
      </w:r>
      <w:r>
        <w:tab/>
        <w:t>Per la corrente continua e la corrente alternata monofase sono ammessi i seguenti sistemi di distribuzione:</w:t>
      </w:r>
    </w:p>
    <w:p w:rsidR="001F02E6" w:rsidRPr="001717EA" w:rsidRDefault="001F02E6" w:rsidP="001F02E6">
      <w:pPr>
        <w:pStyle w:val="ESlet"/>
        <w:rPr>
          <w:rFonts w:eastAsia="Calibri"/>
        </w:rPr>
      </w:pPr>
      <w:r>
        <w:t>a)</w:t>
      </w:r>
      <w:r>
        <w:tab/>
        <w:t>2 conduttori di cui uno messo a massa (L1/N/PE);</w:t>
      </w:r>
    </w:p>
    <w:p w:rsidR="001F02E6" w:rsidRPr="001717EA" w:rsidRDefault="001F02E6" w:rsidP="001F02E6">
      <w:pPr>
        <w:pStyle w:val="ESlet"/>
        <w:rPr>
          <w:rFonts w:eastAsia="Calibri"/>
        </w:rPr>
      </w:pPr>
      <w:r>
        <w:t>b)</w:t>
      </w:r>
      <w:r>
        <w:tab/>
        <w:t>un conduttore con ritorno sullo scafo, unicamente per impianti locali (cfr. ad esempio impianti di avviamento per motori a combustione interna) (L1/PEN);</w:t>
      </w:r>
    </w:p>
    <w:p w:rsidR="001F02E6" w:rsidRPr="001717EA" w:rsidRDefault="001F02E6" w:rsidP="001F02E6">
      <w:pPr>
        <w:pStyle w:val="ESlet"/>
        <w:rPr>
          <w:rFonts w:eastAsia="Calibri"/>
        </w:rPr>
      </w:pPr>
      <w:r>
        <w:t>c)</w:t>
      </w:r>
      <w:r>
        <w:tab/>
        <w:t>2 conduttori isolati dallo scafo (L1/L2/PE).</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2.</w:t>
      </w:r>
      <w:r>
        <w:tab/>
        <w:t>Per la corrente alternata trifase sono ammessi i seguenti sistemi di distribuzione:</w:t>
      </w:r>
    </w:p>
    <w:p w:rsidR="001F02E6" w:rsidRPr="008F6ABB" w:rsidRDefault="001F02E6" w:rsidP="001F02E6">
      <w:pPr>
        <w:pStyle w:val="ESlet"/>
        <w:rPr>
          <w:rFonts w:eastAsia="Calibri"/>
        </w:rPr>
      </w:pPr>
      <w:r>
        <w:t>a)</w:t>
      </w:r>
      <w:r>
        <w:tab/>
        <w:t>4 conduttori con messa a massa del punto neutro e senza ritorno sullo scafo (L1/L2/L3/N/PE) = rete (TN-S) o rete (TT);</w:t>
      </w:r>
    </w:p>
    <w:p w:rsidR="001F02E6" w:rsidRPr="008F6ABB" w:rsidRDefault="001F02E6" w:rsidP="001F02E6">
      <w:pPr>
        <w:pStyle w:val="ESlet"/>
        <w:rPr>
          <w:rFonts w:eastAsia="Calibri"/>
        </w:rPr>
      </w:pPr>
      <w:r>
        <w:t>b)</w:t>
      </w:r>
      <w:r>
        <w:tab/>
        <w:t>3 conduttori isolati dallo scafo (L1/L2/L3/PE) = rete (IT);</w:t>
      </w:r>
    </w:p>
    <w:p w:rsidR="001F02E6" w:rsidRPr="008F6ABB" w:rsidRDefault="001F02E6" w:rsidP="001F02E6">
      <w:pPr>
        <w:pStyle w:val="ESlet"/>
        <w:rPr>
          <w:rFonts w:eastAsia="Calibri"/>
        </w:rPr>
      </w:pPr>
      <w:r>
        <w:t>c)</w:t>
      </w:r>
      <w:r>
        <w:tab/>
        <w:t>3 conduttori con punto neutro messo a massa con ritorno sullo scafo, eccetto per i circuiti terminali (L1/L2/L3/PEN).</w:t>
      </w:r>
    </w:p>
    <w:p w:rsidR="001F02E6" w:rsidRPr="008F6ABB" w:rsidRDefault="001F02E6" w:rsidP="00AA5633">
      <w:pPr>
        <w:pStyle w:val="ESch"/>
        <w:rPr>
          <w:rFonts w:eastAsia="Calibri"/>
        </w:rPr>
      </w:pPr>
    </w:p>
    <w:p w:rsidR="001F02E6" w:rsidRPr="008F6ABB" w:rsidRDefault="001F02E6" w:rsidP="001F02E6">
      <w:pPr>
        <w:pStyle w:val="ESch"/>
      </w:pPr>
      <w:r>
        <w:t>3.</w:t>
      </w:r>
      <w:r>
        <w:tab/>
        <w:t>La commissione di ispezione può ammettere l'impiego di altri sistemi di distribuzione.</w:t>
      </w:r>
    </w:p>
    <w:p w:rsidR="00651EFD" w:rsidRPr="001F02E6" w:rsidRDefault="00651EFD" w:rsidP="00AA5633">
      <w:pPr>
        <w:pStyle w:val="ESch"/>
        <w:rPr>
          <w:noProof/>
        </w:rPr>
      </w:pPr>
    </w:p>
    <w:p w:rsidR="00651EFD" w:rsidRPr="00C903F8" w:rsidRDefault="00651EFD" w:rsidP="00AA5633">
      <w:pPr>
        <w:pStyle w:val="ESch"/>
        <w:rPr>
          <w:noProof/>
        </w:rPr>
      </w:pPr>
    </w:p>
    <w:p w:rsidR="008A12E7" w:rsidRPr="00C903F8" w:rsidRDefault="008A12E7" w:rsidP="00651EFD">
      <w:pPr>
        <w:pStyle w:val="ES-Titre3"/>
      </w:pPr>
      <w:bookmarkStart w:id="175" w:name="_Toc491854085"/>
      <w:bookmarkStart w:id="176" w:name="_Toc535500034"/>
      <w:r>
        <w:t>Articolo 10.08</w:t>
      </w:r>
      <w:r>
        <w:br/>
      </w:r>
      <w:r>
        <w:rPr>
          <w:i/>
        </w:rPr>
        <w:t>Collegamento alle reti su terraferma o ad altre reti esterne</w:t>
      </w:r>
      <w:bookmarkEnd w:id="175"/>
      <w:bookmarkEnd w:id="176"/>
    </w:p>
    <w:p w:rsidR="00651EFD" w:rsidRPr="00C903F8" w:rsidRDefault="00651EFD" w:rsidP="008A12E7">
      <w:pPr>
        <w:rPr>
          <w:rFonts w:cs="Arial"/>
          <w:noProof/>
          <w:szCs w:val="20"/>
        </w:rPr>
      </w:pPr>
    </w:p>
    <w:p w:rsidR="001F02E6" w:rsidRPr="008F6ABB" w:rsidRDefault="001F02E6" w:rsidP="001F02E6">
      <w:pPr>
        <w:pStyle w:val="ESch"/>
        <w:rPr>
          <w:rFonts w:eastAsia="Calibri"/>
        </w:rPr>
      </w:pPr>
      <w:r>
        <w:t>1.</w:t>
      </w:r>
      <w:r>
        <w:tab/>
        <w:t>L'unità di alimentazione, ovvero l'intera apparecchiatura di bordo per il trasferimento dell'energia elettrica all'imbarcazione, è progettata come segue:</w:t>
      </w:r>
    </w:p>
    <w:p w:rsidR="001F02E6" w:rsidRPr="008F6ABB" w:rsidRDefault="001F02E6" w:rsidP="001F02E6">
      <w:pPr>
        <w:pStyle w:val="ESlet"/>
        <w:rPr>
          <w:rFonts w:eastAsia="Calibri"/>
        </w:rPr>
      </w:pPr>
      <w:r>
        <w:t>a)</w:t>
      </w:r>
      <w:r>
        <w:tab/>
        <w:t>trasferimento da sistemi di alimentazione di terraferma:</w:t>
      </w:r>
    </w:p>
    <w:p w:rsidR="001F02E6" w:rsidRPr="008F6ABB" w:rsidRDefault="001F02E6" w:rsidP="001F02E6">
      <w:pPr>
        <w:pStyle w:val="EStiret"/>
        <w:rPr>
          <w:rFonts w:eastAsia="Calibri"/>
          <w:noProof w:val="0"/>
        </w:rPr>
      </w:pPr>
      <w:r>
        <w:t>aa)</w:t>
      </w:r>
      <w:r>
        <w:tab/>
        <w:t>per correnti fino a 125 A, devono essere rispettati i requisiti delle norme europee EN 158691-1 e EN 15869-3 nella versione in vigore il 6 luglio 2017;</w:t>
      </w:r>
    </w:p>
    <w:p w:rsidR="001F02E6" w:rsidRPr="008F6ABB" w:rsidRDefault="001F02E6" w:rsidP="001F02E6">
      <w:pPr>
        <w:pStyle w:val="EStiret"/>
        <w:rPr>
          <w:rFonts w:eastAsia="Calibri"/>
          <w:noProof w:val="0"/>
        </w:rPr>
      </w:pPr>
      <w:r>
        <w:t>bb)</w:t>
      </w:r>
      <w:r>
        <w:tab/>
        <w:t>per correnti superiori a 250 A, devono essere rispettati i requisiti della norma europea EN 16840:2017;</w:t>
      </w:r>
    </w:p>
    <w:p w:rsidR="001F02E6" w:rsidRPr="008F6ABB" w:rsidRDefault="001F02E6" w:rsidP="001F02E6">
      <w:pPr>
        <w:pStyle w:val="ESlet"/>
        <w:rPr>
          <w:rFonts w:eastAsia="Calibri"/>
        </w:rPr>
      </w:pPr>
      <w:r>
        <w:t>b)</w:t>
      </w:r>
      <w:r>
        <w:tab/>
        <w:t>in tutti gli altri casi, si applicano i requisiti dal paragrafo 2 al paragrafo 9. I requisiti specificati si considerano rispettati se le norme di cui alla lettera a) sono osservati per l'uso in questione.</w:t>
      </w:r>
    </w:p>
    <w:p w:rsidR="001F02E6" w:rsidRPr="008F6ABB" w:rsidRDefault="001F02E6" w:rsidP="001F02E6">
      <w:pPr>
        <w:pStyle w:val="ESch"/>
        <w:spacing w:line="240" w:lineRule="auto"/>
        <w:rPr>
          <w:rFonts w:eastAsia="Calibri"/>
          <w:sz w:val="18"/>
          <w:szCs w:val="18"/>
        </w:rPr>
      </w:pPr>
    </w:p>
    <w:p w:rsidR="001F02E6" w:rsidRPr="008F6ABB" w:rsidRDefault="001F02E6" w:rsidP="001F02E6">
      <w:pPr>
        <w:pStyle w:val="ESch"/>
        <w:rPr>
          <w:rFonts w:eastAsia="Calibri"/>
        </w:rPr>
      </w:pPr>
      <w:r>
        <w:t>2.</w:t>
      </w:r>
      <w:r>
        <w:tab/>
        <w:t>I cavi d'alimentazione provenienti dalla rete a terra o da altri reti esterne e destinati agli impianti della rete di bordo sono provvisti di un collegamento fisso a bordo sotto forma di morsetti fissati in maniera permanente o di prese a spina fissate in maniera permanente. I collegamenti dei cavi non sono sottoposti a trazione.</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3.</w:t>
      </w:r>
      <w:r>
        <w:tab/>
        <w:t>Lo scafo è collegato a massa quando la tensione del collegamento supera i 50 V. Il collegamento a massa è indicato in modo specifico.</w:t>
      </w:r>
    </w:p>
    <w:p w:rsidR="001F02E6" w:rsidRDefault="001F02E6" w:rsidP="001F02E6">
      <w:pPr>
        <w:pStyle w:val="ESch"/>
        <w:rPr>
          <w:rFonts w:eastAsia="Calibri"/>
        </w:rPr>
      </w:pPr>
    </w:p>
    <w:p w:rsidR="00AB2818" w:rsidRDefault="00AB2818">
      <w:pPr>
        <w:autoSpaceDE/>
        <w:autoSpaceDN/>
        <w:ind w:left="0" w:firstLine="0"/>
        <w:jc w:val="left"/>
        <w:rPr>
          <w:rFonts w:eastAsia="Calibri"/>
        </w:rPr>
      </w:pPr>
      <w:r>
        <w:br w:type="page"/>
      </w:r>
    </w:p>
    <w:p w:rsidR="00AB2818" w:rsidRPr="008F6ABB" w:rsidRDefault="00AB2818" w:rsidP="001F02E6">
      <w:pPr>
        <w:pStyle w:val="ESch"/>
        <w:rPr>
          <w:rFonts w:eastAsia="Calibri"/>
        </w:rPr>
      </w:pPr>
    </w:p>
    <w:p w:rsidR="001F02E6" w:rsidRPr="008F6ABB" w:rsidRDefault="001F02E6" w:rsidP="001F02E6">
      <w:pPr>
        <w:pStyle w:val="ESch"/>
        <w:rPr>
          <w:rFonts w:eastAsia="Calibri"/>
        </w:rPr>
      </w:pPr>
      <w:r>
        <w:t>4.</w:t>
      </w:r>
      <w:r>
        <w:tab/>
        <w:t>I dispositivi di protezione dei collegamenti</w:t>
      </w:r>
      <w:r>
        <w:rPr>
          <w:rStyle w:val="Heading4Char"/>
        </w:rPr>
        <w:t xml:space="preserve"> </w:t>
      </w:r>
      <w:r>
        <w:t>devono poter essere bloccati in modo da impedire il funzionamento in parallelo dei generatori della rete di bordo con la rete a terra o altra rete esterna. Il funzionamento in parallelo è consentito per breve tempo per poter passare da un sistema all'altro senza caduta di tensione.</w:t>
      </w:r>
    </w:p>
    <w:p w:rsidR="001F02E6" w:rsidRPr="008F6ABB" w:rsidRDefault="001F02E6" w:rsidP="001F02E6">
      <w:pPr>
        <w:pStyle w:val="ESch"/>
        <w:spacing w:line="240" w:lineRule="auto"/>
        <w:rPr>
          <w:rFonts w:eastAsia="Calibri"/>
          <w:sz w:val="18"/>
          <w:szCs w:val="18"/>
        </w:rPr>
      </w:pPr>
    </w:p>
    <w:p w:rsidR="001F02E6" w:rsidRPr="008F6ABB" w:rsidRDefault="001F02E6" w:rsidP="001F02E6">
      <w:pPr>
        <w:pStyle w:val="ESch"/>
        <w:rPr>
          <w:rFonts w:eastAsia="Calibri"/>
        </w:rPr>
      </w:pPr>
      <w:r>
        <w:t>5.</w:t>
      </w:r>
      <w:r>
        <w:tab/>
        <w:t>Il collegamento è protetto contro i corto circuiti e i sovraccarichi.</w:t>
      </w:r>
    </w:p>
    <w:p w:rsidR="001F02E6" w:rsidRPr="008F6ABB" w:rsidRDefault="001F02E6" w:rsidP="001F02E6">
      <w:pPr>
        <w:pStyle w:val="ESch"/>
        <w:spacing w:line="240" w:lineRule="auto"/>
        <w:rPr>
          <w:rFonts w:eastAsia="Calibri"/>
          <w:sz w:val="18"/>
          <w:szCs w:val="18"/>
        </w:rPr>
      </w:pPr>
    </w:p>
    <w:p w:rsidR="001F02E6" w:rsidRPr="008F6ABB" w:rsidRDefault="001F02E6" w:rsidP="001F02E6">
      <w:pPr>
        <w:pStyle w:val="ESch"/>
        <w:rPr>
          <w:rFonts w:eastAsia="Calibri"/>
        </w:rPr>
      </w:pPr>
      <w:r>
        <w:t>6.</w:t>
      </w:r>
      <w:r>
        <w:tab/>
        <w:t>Il quadro principale di distribuzione indica se il collegamento è sotto tensione.</w:t>
      </w:r>
    </w:p>
    <w:p w:rsidR="001F02E6" w:rsidRPr="008F6ABB" w:rsidRDefault="001F02E6" w:rsidP="001F02E6">
      <w:pPr>
        <w:pStyle w:val="ESch"/>
        <w:spacing w:line="240" w:lineRule="auto"/>
        <w:rPr>
          <w:rFonts w:eastAsia="Calibri"/>
          <w:sz w:val="18"/>
          <w:szCs w:val="18"/>
        </w:rPr>
      </w:pPr>
    </w:p>
    <w:p w:rsidR="001F02E6" w:rsidRPr="008F6ABB" w:rsidRDefault="001F02E6" w:rsidP="001F02E6">
      <w:pPr>
        <w:pStyle w:val="ESch"/>
        <w:rPr>
          <w:rFonts w:eastAsia="Calibri"/>
        </w:rPr>
      </w:pPr>
      <w:r>
        <w:t>7.</w:t>
      </w:r>
      <w:r>
        <w:tab/>
        <w:t>Sono previsti dispositivi indicatori che consentono di confrontare la polarità a corrente continua e l'ordine delle fasi a corrente alternata fra il collegamento e la rete di bordo.</w:t>
      </w:r>
    </w:p>
    <w:p w:rsidR="001F02E6" w:rsidRPr="008F6ABB" w:rsidRDefault="001F02E6" w:rsidP="001F02E6">
      <w:pPr>
        <w:pStyle w:val="ESch"/>
        <w:spacing w:line="240" w:lineRule="auto"/>
        <w:rPr>
          <w:rFonts w:eastAsia="Calibri"/>
          <w:sz w:val="18"/>
          <w:szCs w:val="18"/>
        </w:rPr>
      </w:pPr>
    </w:p>
    <w:p w:rsidR="001F02E6" w:rsidRPr="008F6ABB" w:rsidRDefault="001F02E6" w:rsidP="001F02E6">
      <w:pPr>
        <w:pStyle w:val="ESch"/>
        <w:rPr>
          <w:rFonts w:eastAsia="Calibri"/>
        </w:rPr>
      </w:pPr>
      <w:r>
        <w:t>8.</w:t>
      </w:r>
      <w:r>
        <w:tab/>
        <w:t>Sul collegamento, un cartello indica:</w:t>
      </w:r>
    </w:p>
    <w:p w:rsidR="001F02E6" w:rsidRPr="008F6ABB" w:rsidRDefault="001F02E6" w:rsidP="001F02E6">
      <w:pPr>
        <w:pStyle w:val="ESlet"/>
        <w:rPr>
          <w:rFonts w:eastAsia="Calibri"/>
        </w:rPr>
      </w:pPr>
      <w:r>
        <w:t>a)</w:t>
      </w:r>
      <w:r>
        <w:tab/>
        <w:t>le misure da adottare per effettuare il collegamento;</w:t>
      </w:r>
    </w:p>
    <w:p w:rsidR="001F02E6" w:rsidRPr="008F6ABB" w:rsidRDefault="001F02E6" w:rsidP="001F02E6">
      <w:pPr>
        <w:pStyle w:val="ESlet"/>
        <w:rPr>
          <w:rFonts w:eastAsia="Calibri"/>
        </w:rPr>
      </w:pPr>
      <w:r>
        <w:t>b)</w:t>
      </w:r>
      <w:r>
        <w:tab/>
        <w:t>il tipo di corrente e la tensione nominale nonché, in caso di corrente alternata, la frequenza.</w:t>
      </w:r>
    </w:p>
    <w:p w:rsidR="001F02E6" w:rsidRPr="008F6ABB" w:rsidRDefault="001F02E6" w:rsidP="001F02E6">
      <w:pPr>
        <w:pStyle w:val="ESch"/>
        <w:spacing w:line="240" w:lineRule="auto"/>
        <w:rPr>
          <w:rFonts w:eastAsia="Calibri"/>
          <w:sz w:val="18"/>
          <w:szCs w:val="18"/>
        </w:rPr>
      </w:pPr>
    </w:p>
    <w:p w:rsidR="001F02E6" w:rsidRDefault="001F02E6" w:rsidP="001F02E6">
      <w:pPr>
        <w:pStyle w:val="ESch"/>
        <w:rPr>
          <w:rStyle w:val="Heading4Char"/>
        </w:rPr>
      </w:pPr>
      <w:r>
        <w:t>9.</w:t>
      </w:r>
      <w:r>
        <w:tab/>
        <w:t>Se si utilizzano dispositivi con prese tarate a più di 16 A, si devono adottare misure per garantire che il collegamento e il disinserimento avvengano solo in assenza di tensione.</w:t>
      </w:r>
      <w:r>
        <w:rPr>
          <w:rStyle w:val="Heading4Char"/>
        </w:rPr>
        <w:t xml:space="preserve"> </w:t>
      </w:r>
    </w:p>
    <w:p w:rsidR="008A12E7" w:rsidRPr="001F02E6" w:rsidRDefault="008A12E7" w:rsidP="008A12E7">
      <w:pPr>
        <w:rPr>
          <w:rFonts w:cs="Arial"/>
          <w:szCs w:val="20"/>
        </w:rPr>
      </w:pPr>
    </w:p>
    <w:p w:rsidR="00651EFD" w:rsidRPr="00C903F8" w:rsidRDefault="00651EFD" w:rsidP="008A12E7">
      <w:pPr>
        <w:rPr>
          <w:rFonts w:cs="Arial"/>
          <w:szCs w:val="20"/>
        </w:rPr>
      </w:pPr>
    </w:p>
    <w:p w:rsidR="008A12E7" w:rsidRPr="00C903F8" w:rsidRDefault="008A12E7" w:rsidP="00651EFD">
      <w:pPr>
        <w:pStyle w:val="ES-Titre3"/>
      </w:pPr>
      <w:bookmarkStart w:id="177" w:name="_Toc491854086"/>
      <w:bookmarkStart w:id="178" w:name="_Toc535500035"/>
      <w:r>
        <w:t>Articolo 10.09</w:t>
      </w:r>
      <w:r>
        <w:br/>
      </w:r>
      <w:r>
        <w:rPr>
          <w:i/>
          <w:noProof/>
        </w:rPr>
        <w:t>Alimentazione ad altre imbarcazioni</w:t>
      </w:r>
      <w:bookmarkEnd w:id="177"/>
      <w:bookmarkEnd w:id="178"/>
    </w:p>
    <w:p w:rsidR="00651EFD" w:rsidRPr="00C903F8" w:rsidRDefault="00651EFD" w:rsidP="008A12E7">
      <w:pPr>
        <w:rPr>
          <w:rFonts w:cs="Arial"/>
          <w:noProof/>
          <w:szCs w:val="20"/>
        </w:rPr>
      </w:pPr>
    </w:p>
    <w:p w:rsidR="001F02E6" w:rsidRPr="008F6ABB" w:rsidRDefault="001F02E6" w:rsidP="001F02E6">
      <w:pPr>
        <w:pStyle w:val="ESch"/>
        <w:rPr>
          <w:rFonts w:eastAsia="Calibri"/>
          <w:strike/>
        </w:rPr>
      </w:pPr>
      <w:r>
        <w:t>1.</w:t>
      </w:r>
      <w:r>
        <w:tab/>
        <w:t xml:space="preserve">Quando viene fornita corrente ad altre imbarcazioni, deve esistere un collegamento separato. </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2.</w:t>
      </w:r>
      <w:r>
        <w:tab/>
        <w:t>L'articolo 10.08, paragrafi 2 e da 4 a 9, si applica per analogia.</w:t>
      </w:r>
    </w:p>
    <w:p w:rsidR="008A12E7" w:rsidRPr="001F02E6" w:rsidRDefault="008A12E7" w:rsidP="00253FD8">
      <w:pPr>
        <w:pStyle w:val="ESch"/>
      </w:pPr>
    </w:p>
    <w:p w:rsidR="00651EFD" w:rsidRPr="00C903F8" w:rsidRDefault="00651EFD" w:rsidP="008A12E7">
      <w:pPr>
        <w:rPr>
          <w:rFonts w:cs="Arial"/>
          <w:szCs w:val="20"/>
        </w:rPr>
      </w:pPr>
    </w:p>
    <w:p w:rsidR="008A12E7" w:rsidRPr="00C903F8" w:rsidRDefault="008A12E7" w:rsidP="00651EFD">
      <w:pPr>
        <w:pStyle w:val="ES-Titre3"/>
      </w:pPr>
      <w:bookmarkStart w:id="179" w:name="_Toc491854087"/>
      <w:bookmarkStart w:id="180" w:name="_Toc535500036"/>
      <w:r>
        <w:t>Articolo 10.10</w:t>
      </w:r>
      <w:r>
        <w:br/>
      </w:r>
      <w:r>
        <w:rPr>
          <w:i/>
        </w:rPr>
        <w:t>Generatori, motori e trasformatori</w:t>
      </w:r>
      <w:bookmarkEnd w:id="179"/>
      <w:bookmarkEnd w:id="180"/>
    </w:p>
    <w:p w:rsidR="00651EFD" w:rsidRPr="00C903F8" w:rsidRDefault="00651EFD" w:rsidP="008A12E7">
      <w:pPr>
        <w:rPr>
          <w:rFonts w:cs="Arial"/>
          <w:noProof/>
          <w:szCs w:val="20"/>
        </w:rPr>
      </w:pPr>
    </w:p>
    <w:p w:rsidR="001F02E6" w:rsidRPr="008F6ABB" w:rsidRDefault="001F02E6" w:rsidP="001F02E6">
      <w:pPr>
        <w:pStyle w:val="ESch"/>
        <w:rPr>
          <w:rFonts w:eastAsia="Calibri"/>
        </w:rPr>
      </w:pPr>
      <w:r>
        <w:t>1.</w:t>
      </w:r>
      <w:r>
        <w:tab/>
        <w:t>I generatori azionati dal motore principale, dall'albero dell'elica o da un gruppo ausiliario destinato ad un'altra funzione sono progettati in base al numero di giri che si possono raggiungere durante l'esercizio.</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2.</w:t>
      </w:r>
      <w:r>
        <w:tab/>
        <w:t>I trasformatori sono installati in luoghi ben ventilati o in locali ben ventilati.</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3.</w:t>
      </w:r>
      <w:r>
        <w:tab/>
        <w:t>Gli avvolgimenti primari e secondari dei trasformatori sono eseguiti in maniera tale da essere isolati elettricamente. Gli autotrasformatori sono esclusi da questa disposizione.</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4.</w:t>
      </w:r>
      <w:r>
        <w:tab/>
        <w:t>Sono messi a disposizione dispositivi di cambio prese della tensione nominale per l'impostazione della tensione secondaria dei trasformatori. Gli autotrasformatori sono esclusi da questa disposizione.</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5.</w:t>
      </w:r>
      <w:r>
        <w:tab/>
        <w:t>Motori, generatori e trasformatori sono forniti dal costruttore con una targhetta che, oltre al nome dell'impresa, il numero di serie della macchina e la potenza nominale indica anche i dati nominali essenziali.</w:t>
      </w:r>
    </w:p>
    <w:p w:rsidR="008A12E7" w:rsidRPr="001F02E6" w:rsidRDefault="008A12E7" w:rsidP="008A12E7">
      <w:pPr>
        <w:rPr>
          <w:rFonts w:cs="Arial"/>
          <w:szCs w:val="20"/>
        </w:rPr>
      </w:pPr>
    </w:p>
    <w:p w:rsidR="00AB2818" w:rsidRDefault="00AB2818">
      <w:pPr>
        <w:autoSpaceDE/>
        <w:autoSpaceDN/>
        <w:ind w:left="0" w:firstLine="0"/>
        <w:jc w:val="left"/>
        <w:rPr>
          <w:rFonts w:cs="Arial"/>
          <w:szCs w:val="20"/>
        </w:rPr>
      </w:pPr>
      <w:r>
        <w:br w:type="page"/>
      </w:r>
    </w:p>
    <w:p w:rsidR="00651EFD" w:rsidRPr="00C903F8" w:rsidRDefault="00651EFD" w:rsidP="008A12E7">
      <w:pPr>
        <w:rPr>
          <w:rFonts w:cs="Arial"/>
          <w:szCs w:val="20"/>
        </w:rPr>
      </w:pPr>
    </w:p>
    <w:p w:rsidR="008A12E7" w:rsidRPr="00C903F8" w:rsidRDefault="008A12E7" w:rsidP="00651EFD">
      <w:pPr>
        <w:pStyle w:val="ES-Titre3"/>
      </w:pPr>
      <w:bookmarkStart w:id="181" w:name="_Toc491854088"/>
      <w:bookmarkStart w:id="182" w:name="_Toc535500037"/>
      <w:r>
        <w:t>Articolo 10.11</w:t>
      </w:r>
      <w:r>
        <w:br/>
      </w:r>
      <w:r>
        <w:rPr>
          <w:i/>
        </w:rPr>
        <w:t>Batterie, accumulatori e dispositivi di carica</w:t>
      </w:r>
      <w:bookmarkEnd w:id="181"/>
      <w:bookmarkEnd w:id="182"/>
    </w:p>
    <w:p w:rsidR="00651EFD" w:rsidRPr="00C903F8" w:rsidRDefault="00651EFD" w:rsidP="008A12E7">
      <w:pPr>
        <w:rPr>
          <w:rFonts w:cs="Arial"/>
          <w:noProof/>
          <w:szCs w:val="20"/>
        </w:rPr>
      </w:pPr>
    </w:p>
    <w:p w:rsidR="001F02E6" w:rsidRPr="008F6ABB" w:rsidRDefault="001F02E6" w:rsidP="001F02E6">
      <w:pPr>
        <w:pStyle w:val="ESch"/>
        <w:rPr>
          <w:rFonts w:eastAsia="Calibri"/>
        </w:rPr>
      </w:pPr>
      <w:r>
        <w:t>1.</w:t>
      </w:r>
      <w:r>
        <w:tab/>
        <w:t>Gli accumulatori sono accessibili e sistemati in modo tale da non spostarsi in caso di movimento dell'imbarcazione. Non sono collocati in luoghi in cui sono esposti a calore eccessivo, a freddo intenso, agli spruzzi o al vapore.</w:t>
      </w:r>
    </w:p>
    <w:p w:rsidR="001F02E6" w:rsidRPr="001717EA" w:rsidRDefault="001F02E6" w:rsidP="001F02E6">
      <w:pPr>
        <w:pStyle w:val="ESch"/>
        <w:rPr>
          <w:rFonts w:eastAsia="Calibri"/>
        </w:rPr>
      </w:pPr>
    </w:p>
    <w:p w:rsidR="001F02E6" w:rsidRPr="008F6ABB" w:rsidRDefault="001F02E6" w:rsidP="001F02E6">
      <w:pPr>
        <w:pStyle w:val="ESch"/>
        <w:rPr>
          <w:rFonts w:eastAsia="Calibri"/>
        </w:rPr>
      </w:pPr>
      <w:r>
        <w:t>2.</w:t>
      </w:r>
      <w:r>
        <w:tab/>
        <w:t>Gli accumulatori non sono installati nella timoneria, negli alloggi, nelle sale di ritrovo e nelle stive e, nel caso di navi da passeggeri, nei locali per i passeggeri, nelle cabine e nelle cucine. La prima frase non si applica agli accumulatori:</w:t>
      </w:r>
    </w:p>
    <w:p w:rsidR="001F02E6" w:rsidRPr="008F6ABB" w:rsidRDefault="001F02E6" w:rsidP="001F02E6">
      <w:pPr>
        <w:pStyle w:val="ESlet"/>
        <w:rPr>
          <w:rFonts w:eastAsia="Calibri"/>
        </w:rPr>
      </w:pPr>
      <w:r>
        <w:t>a)</w:t>
      </w:r>
      <w:r>
        <w:tab/>
        <w:t>in apparecchi mobili; oppure</w:t>
      </w:r>
    </w:p>
    <w:p w:rsidR="001F02E6" w:rsidRPr="008F6ABB" w:rsidRDefault="001F02E6" w:rsidP="001F02E6">
      <w:pPr>
        <w:pStyle w:val="ESlet"/>
        <w:rPr>
          <w:rFonts w:eastAsia="Calibri"/>
        </w:rPr>
      </w:pPr>
      <w:r>
        <w:t>b)</w:t>
      </w:r>
      <w:r>
        <w:tab/>
        <w:t>con potenza di carica inferiore a 0,2 kW.</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3.</w:t>
      </w:r>
      <w:r>
        <w:tab/>
        <w:t>Gli accumulatori che richiedono una potenza di carica superiore a 2,0 kW sono installati in un locale speciale. Se collocati sul ponte, possono anche essere racchiusi in un armadio. Qualora dagli accumulatori possa fuoriuscire gas, tale locale o armadio devono essere dotati di ventilazione meccanica con sbocco sul ponte scoperto (alimentazione e aria di scarico).</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4.</w:t>
      </w:r>
      <w:r>
        <w:tab/>
        <w:t>La potenza di carica è calcolata in base alla corrente di carica massima e alla tensione nominale dell'accumulatore tenendo conto delle curve di carica caratteristica del dispositivo di carica.</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5.</w:t>
      </w:r>
      <w:r>
        <w:tab/>
        <w:t>Gli accumulatori che richiedono una potenza di carica non superiore a 2,0 kW possono altresì essere installati sottocoperta in un armadio o in un cassone. Essi possono inoltre essere installati senza involucro in una sala macchine, un locale servizi elettrici o in altro luogo ben aerato, a condizione che siano protetti contro la caduta di oggetti e di gocce d'acqua.</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6.</w:t>
      </w:r>
      <w:r>
        <w:tab/>
        <w:t>Le superfici interne di tutti i locali, armadi o cassoni, nonché di tutti gli scaffali e gli altri componenti destinati agli accumulatori, sono protette dagli effetti nocivi dell'elettrolita.</w:t>
      </w:r>
    </w:p>
    <w:p w:rsidR="001F02E6" w:rsidRDefault="001F02E6" w:rsidP="001F02E6">
      <w:pPr>
        <w:pStyle w:val="ESch"/>
        <w:rPr>
          <w:rFonts w:eastAsia="Calibri"/>
        </w:rPr>
      </w:pPr>
    </w:p>
    <w:p w:rsidR="001F02E6" w:rsidRPr="008F6ABB" w:rsidRDefault="001F02E6" w:rsidP="001F02E6">
      <w:pPr>
        <w:pStyle w:val="ESch"/>
        <w:rPr>
          <w:rFonts w:eastAsia="Calibri"/>
        </w:rPr>
      </w:pPr>
      <w:r>
        <w:t>7.</w:t>
      </w:r>
      <w:r>
        <w:tab/>
        <w:t xml:space="preserve">È necessario prevedere un'aerazione efficace quando gli accumulatori sono installati in un locale, in un armadio o in un cassone chiusi. La ventilazione meccanica viene prevista in caso di potenza di carica superiore a </w:t>
      </w:r>
    </w:p>
    <w:p w:rsidR="001F02E6" w:rsidRPr="008F6ABB" w:rsidRDefault="001F02E6" w:rsidP="001F02E6">
      <w:pPr>
        <w:pStyle w:val="ESlet"/>
        <w:rPr>
          <w:rFonts w:eastAsia="Calibri"/>
        </w:rPr>
      </w:pPr>
      <w:r>
        <w:t>a)</w:t>
      </w:r>
      <w:r>
        <w:tab/>
        <w:t>2,0 kW per gli accumulatori al nichel-cadmio;</w:t>
      </w:r>
    </w:p>
    <w:p w:rsidR="001F02E6" w:rsidRPr="008F6ABB" w:rsidRDefault="001F02E6" w:rsidP="001F02E6">
      <w:pPr>
        <w:pStyle w:val="ESlet"/>
        <w:rPr>
          <w:rFonts w:eastAsia="Calibri"/>
        </w:rPr>
      </w:pPr>
      <w:r>
        <w:t>b)</w:t>
      </w:r>
      <w:r>
        <w:tab/>
        <w:t>3,0 kW per gli accumulatori al piombo.</w:t>
      </w:r>
    </w:p>
    <w:p w:rsidR="001F02E6" w:rsidRPr="008F6ABB" w:rsidRDefault="001F02E6" w:rsidP="001F02E6">
      <w:pPr>
        <w:pStyle w:val="ESchpar"/>
        <w:rPr>
          <w:rFonts w:eastAsia="Calibri"/>
        </w:rPr>
      </w:pPr>
    </w:p>
    <w:p w:rsidR="001F02E6" w:rsidRPr="008F6ABB" w:rsidRDefault="001F02E6" w:rsidP="001F02E6">
      <w:pPr>
        <w:pStyle w:val="ESchpar"/>
        <w:rPr>
          <w:rFonts w:eastAsia="Calibri"/>
        </w:rPr>
      </w:pPr>
      <w:r>
        <w:t xml:space="preserve">L'aria entra dalla parte inferiore ed esce dalla parte superiore, in modo da garantire l'evacuazione totale dei gas. </w:t>
      </w:r>
    </w:p>
    <w:p w:rsidR="001F02E6" w:rsidRPr="008F6ABB" w:rsidRDefault="001F02E6" w:rsidP="001F02E6">
      <w:pPr>
        <w:pStyle w:val="ESchpar"/>
        <w:rPr>
          <w:rFonts w:eastAsia="Calibri"/>
        </w:rPr>
      </w:pPr>
    </w:p>
    <w:p w:rsidR="001F02E6" w:rsidRPr="008F6ABB" w:rsidRDefault="001F02E6" w:rsidP="001F02E6">
      <w:pPr>
        <w:pStyle w:val="ESchpar"/>
        <w:rPr>
          <w:rFonts w:eastAsia="Calibri"/>
        </w:rPr>
      </w:pPr>
      <w:r>
        <w:t>Le condutture di ventilazione non comprendono dispositivi che possono ostacolare il flusso dell'aria, come ad esempio una valvola di arresto.</w:t>
      </w:r>
    </w:p>
    <w:p w:rsidR="001F02E6" w:rsidRPr="008F6ABB" w:rsidRDefault="001F02E6" w:rsidP="001F02E6">
      <w:pPr>
        <w:pStyle w:val="ESch"/>
        <w:rPr>
          <w:rFonts w:eastAsia="Calibri"/>
        </w:rPr>
      </w:pPr>
    </w:p>
    <w:p w:rsidR="001F02E6" w:rsidRPr="008F6ABB" w:rsidRDefault="001F02E6" w:rsidP="001F02E6">
      <w:pPr>
        <w:pStyle w:val="ESch"/>
        <w:spacing w:after="120"/>
        <w:rPr>
          <w:rFonts w:eastAsia="Calibri"/>
        </w:rPr>
      </w:pPr>
      <w:r>
        <w:t>8.</w:t>
      </w:r>
      <w:r>
        <w:tab/>
        <w:t>La portata d'aria richiesta (</w:t>
      </w:r>
      <m:oMath>
        <m:r>
          <w:rPr>
            <w:rFonts w:ascii="Cambria Math" w:hAnsi="Cambria Math"/>
          </w:rPr>
          <m:t>Q</m:t>
        </m:r>
      </m:oMath>
      <w:r>
        <w:t>) si ottiene mediante la seguente formula:</w:t>
      </w:r>
    </w:p>
    <w:p w:rsidR="001F02E6" w:rsidRPr="008F6ABB" w:rsidRDefault="001F02E6" w:rsidP="001F02E6">
      <w:pPr>
        <w:pStyle w:val="ESch"/>
        <w:jc w:val="center"/>
      </w:pPr>
      <m:oMath>
        <m:r>
          <w:rPr>
            <w:rFonts w:ascii="Cambria Math" w:hAnsi="Cambria Math"/>
          </w:rPr>
          <m:t>Q=f ∙</m:t>
        </m:r>
        <m:sSub>
          <m:sSubPr>
            <m:ctrlPr>
              <w:rPr>
                <w:rFonts w:ascii="Cambria Math" w:hAnsi="Cambria Math"/>
                <w:i/>
              </w:rPr>
            </m:ctrlPr>
          </m:sSubPr>
          <m:e>
            <m:r>
              <w:rPr>
                <w:rFonts w:ascii="Cambria Math" w:hAnsi="Cambria Math"/>
              </w:rPr>
              <m:t>I</m:t>
            </m:r>
          </m:e>
          <m:sub>
            <m:r>
              <w:rPr>
                <w:rFonts w:ascii="Cambria Math" w:hAnsi="Cambria Math"/>
              </w:rPr>
              <m:t>gas</m:t>
            </m:r>
          </m:sub>
        </m:sSub>
        <m:r>
          <w:rPr>
            <w:rFonts w:ascii="Cambria Math" w:hAnsi="Cambria Math"/>
          </w:rPr>
          <m:t xml:space="preserve"> ∙n </m:t>
        </m:r>
        <m:d>
          <m:dPr>
            <m:begChr m:val="["/>
            <m:endChr m:val="]"/>
            <m:ctrlPr>
              <w:rPr>
                <w:rFonts w:ascii="Cambria Math" w:hAnsi="Cambria Math"/>
                <w:i/>
              </w:rPr>
            </m:ctrlPr>
          </m:dPr>
          <m:e>
            <m:sSup>
              <m:sSupPr>
                <m:ctrlPr>
                  <w:rPr>
                    <w:rFonts w:ascii="Cambria Math" w:hAnsi="Cambria Math"/>
                    <w:i/>
                  </w:rPr>
                </m:ctrlPr>
              </m:sSupPr>
              <m:e>
                <m:r>
                  <w:rPr>
                    <w:rFonts w:ascii="Cambria Math" w:hAnsi="Cambria Math"/>
                  </w:rPr>
                  <m:t>m</m:t>
                </m:r>
              </m:e>
              <m:sup>
                <m:r>
                  <w:rPr>
                    <w:rFonts w:ascii="Cambria Math" w:hAnsi="Cambria Math"/>
                  </w:rPr>
                  <m:t>3</m:t>
                </m:r>
              </m:sup>
            </m:sSup>
            <m:r>
              <w:rPr>
                <w:rFonts w:ascii="Cambria Math" w:hAnsi="Cambria Math"/>
              </w:rPr>
              <m:t>/h</m:t>
            </m:r>
          </m:e>
        </m:d>
      </m:oMath>
      <w:r>
        <w:t>.</w:t>
      </w:r>
    </w:p>
    <w:p w:rsidR="001F02E6" w:rsidRPr="008F6ABB" w:rsidRDefault="001F02E6" w:rsidP="001F02E6">
      <w:pPr>
        <w:pStyle w:val="ESchpar"/>
        <w:rPr>
          <w:rFonts w:eastAsia="Calibri"/>
        </w:rPr>
      </w:pPr>
      <w:r>
        <w:t>dove:</w:t>
      </w:r>
    </w:p>
    <w:p w:rsidR="001F02E6" w:rsidRPr="008F6ABB" w:rsidRDefault="001F02E6" w:rsidP="001F02E6">
      <w:pPr>
        <w:pStyle w:val="ESlet"/>
        <w:ind w:left="1276" w:hanging="709"/>
        <w:rPr>
          <w:rFonts w:eastAsia="Calibri"/>
        </w:rPr>
      </w:pPr>
      <m:oMath>
        <m:r>
          <w:rPr>
            <w:rFonts w:ascii="Cambria Math" w:eastAsia="Calibri" w:hAnsi="Cambria Math"/>
          </w:rPr>
          <m:t>f</m:t>
        </m:r>
      </m:oMath>
      <w:r>
        <w:t xml:space="preserve"> =</w:t>
      </w:r>
      <w:r>
        <w:tab/>
        <w:t>0,11 per accumulatori con elettroliti liquidi;</w:t>
      </w:r>
    </w:p>
    <w:p w:rsidR="001F02E6" w:rsidRPr="008F6ABB" w:rsidRDefault="001F02E6" w:rsidP="001F02E6">
      <w:pPr>
        <w:pStyle w:val="ESlet"/>
        <w:ind w:left="1276" w:hanging="709"/>
        <w:rPr>
          <w:rFonts w:eastAsia="Calibri"/>
        </w:rPr>
      </w:pPr>
      <m:oMath>
        <m:r>
          <w:rPr>
            <w:rFonts w:ascii="Cambria Math" w:eastAsia="Calibri" w:hAnsi="Cambria Math"/>
          </w:rPr>
          <m:t>f</m:t>
        </m:r>
      </m:oMath>
      <w:r>
        <w:t xml:space="preserve"> =</w:t>
      </w:r>
      <w:r>
        <w:tab/>
        <w:t>0,03 per accumulatori con celle chiuse (elettrolita immobilizzato in gel, materiale fibroso non tessuto);</w:t>
      </w:r>
    </w:p>
    <w:p w:rsidR="001F02E6" w:rsidRPr="008F6ABB" w:rsidRDefault="00624017" w:rsidP="001F02E6">
      <w:pPr>
        <w:pStyle w:val="ESlet"/>
        <w:ind w:left="1276" w:hanging="709"/>
        <w:rPr>
          <w:rFonts w:eastAsia="Calibri"/>
        </w:rPr>
      </w:pPr>
      <m:oMath>
        <m:sSub>
          <m:sSubPr>
            <m:ctrlPr>
              <w:rPr>
                <w:rFonts w:ascii="Cambria Math" w:hAnsi="Cambria Math"/>
                <w:i/>
              </w:rPr>
            </m:ctrlPr>
          </m:sSubPr>
          <m:e>
            <m:r>
              <w:rPr>
                <w:rFonts w:ascii="Cambria Math" w:hAnsi="Cambria Math"/>
              </w:rPr>
              <m:t>I</m:t>
            </m:r>
          </m:e>
          <m:sub>
            <m:r>
              <w:rPr>
                <w:rFonts w:ascii="Cambria Math" w:hAnsi="Cambria Math"/>
              </w:rPr>
              <m:t>gas</m:t>
            </m:r>
          </m:sub>
        </m:sSub>
      </m:oMath>
      <w:r w:rsidR="00801F1F">
        <w:t xml:space="preserve"> =</w:t>
      </w:r>
      <w:r w:rsidR="00801F1F">
        <w:tab/>
        <w:t>¼ della corrente massima del dispositivo di ricarica in A;</w:t>
      </w:r>
    </w:p>
    <w:p w:rsidR="001F02E6" w:rsidRPr="008F6ABB" w:rsidRDefault="001F02E6" w:rsidP="001F02E6">
      <w:pPr>
        <w:pStyle w:val="ESlet"/>
        <w:ind w:left="1276" w:hanging="709"/>
        <w:rPr>
          <w:rFonts w:eastAsia="Calibri"/>
        </w:rPr>
      </w:pPr>
      <m:oMath>
        <m:r>
          <w:rPr>
            <w:rFonts w:ascii="Cambria Math" w:eastAsia="Calibri" w:hAnsi="Cambria Math"/>
          </w:rPr>
          <m:t>n</m:t>
        </m:r>
      </m:oMath>
      <w:r>
        <w:t xml:space="preserve"> =</w:t>
      </w:r>
      <w:r>
        <w:tab/>
        <w:t>numero di celle nel circuito di serie.</w:t>
      </w:r>
    </w:p>
    <w:p w:rsidR="001F02E6" w:rsidRDefault="001F02E6" w:rsidP="001F02E6">
      <w:pPr>
        <w:pStyle w:val="ESchpar"/>
        <w:rPr>
          <w:rFonts w:eastAsia="Calibri"/>
        </w:rPr>
      </w:pPr>
    </w:p>
    <w:p w:rsidR="00AB2818" w:rsidRDefault="00AB2818">
      <w:pPr>
        <w:autoSpaceDE/>
        <w:autoSpaceDN/>
        <w:ind w:left="0" w:firstLine="0"/>
        <w:jc w:val="left"/>
        <w:rPr>
          <w:rFonts w:eastAsia="Calibri"/>
        </w:rPr>
      </w:pPr>
      <w:r>
        <w:br w:type="page"/>
      </w:r>
    </w:p>
    <w:p w:rsidR="00AB2818" w:rsidRPr="008F6ABB" w:rsidRDefault="00AB2818" w:rsidP="001F02E6">
      <w:pPr>
        <w:pStyle w:val="ESchpar"/>
        <w:rPr>
          <w:rFonts w:eastAsia="Calibri"/>
        </w:rPr>
      </w:pPr>
    </w:p>
    <w:p w:rsidR="001F02E6" w:rsidRPr="008F6ABB" w:rsidRDefault="001F02E6" w:rsidP="001F02E6">
      <w:pPr>
        <w:pStyle w:val="ESchpar"/>
        <w:rPr>
          <w:rFonts w:eastAsia="Calibri"/>
        </w:rPr>
      </w:pPr>
      <w:r>
        <w:t>Nel caso degli accumulatori-tampone della rete di bordo, la commissione di ispezione può accettare altri metodi di calcolo tenendo conto della curva di carica caratteristica dei dispositivi di carica, a condizione che tali metodi si basino su disposizioni degli organismi di classificazione autorizzati o su norme pertinenti.</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9.</w:t>
      </w:r>
      <w:r>
        <w:tab/>
        <w:t>In caso di aerazione naturale, la sezione delle condutture d'aria corrisponde alla portata d'aria necessaria sulla base di una velocità dell'aria pari a 0,5 m/s. Tuttavia, la sezione presenta un valore minimo pari a</w:t>
      </w:r>
    </w:p>
    <w:p w:rsidR="001F02E6" w:rsidRPr="008F6ABB" w:rsidRDefault="001F02E6" w:rsidP="001F02E6">
      <w:pPr>
        <w:pStyle w:val="ESlet"/>
        <w:rPr>
          <w:rFonts w:eastAsia="Calibri"/>
        </w:rPr>
      </w:pPr>
      <w:r>
        <w:t>a)</w:t>
      </w:r>
      <w:r>
        <w:tab/>
        <w:t>80 cm</w:t>
      </w:r>
      <w:r>
        <w:rPr>
          <w:vertAlign w:val="superscript"/>
        </w:rPr>
        <w:t>2</w:t>
      </w:r>
      <w:r>
        <w:t xml:space="preserve"> per gli accumulatori al piombo;</w:t>
      </w:r>
    </w:p>
    <w:p w:rsidR="001F02E6" w:rsidRPr="008F6ABB" w:rsidRDefault="001F02E6" w:rsidP="001F02E6">
      <w:pPr>
        <w:pStyle w:val="ESlet"/>
        <w:rPr>
          <w:rFonts w:eastAsia="Calibri"/>
        </w:rPr>
      </w:pPr>
      <w:r>
        <w:t>b)</w:t>
      </w:r>
      <w:r>
        <w:tab/>
        <w:t>120 cm</w:t>
      </w:r>
      <w:r>
        <w:rPr>
          <w:vertAlign w:val="superscript"/>
        </w:rPr>
        <w:t>2</w:t>
      </w:r>
      <w:r>
        <w:t xml:space="preserve"> per gli accumulatori al nichel-cadmio.</w:t>
      </w:r>
    </w:p>
    <w:p w:rsidR="001F02E6" w:rsidRPr="008F6ABB" w:rsidRDefault="001F02E6" w:rsidP="001F02E6">
      <w:pPr>
        <w:spacing w:line="240" w:lineRule="atLeast"/>
        <w:ind w:left="567" w:hanging="567"/>
        <w:rPr>
          <w:rFonts w:eastAsia="Calibri" w:cs="Arial"/>
          <w:szCs w:val="20"/>
        </w:rPr>
      </w:pPr>
    </w:p>
    <w:p w:rsidR="001F02E6" w:rsidRPr="008F6ABB" w:rsidRDefault="001F02E6" w:rsidP="001F02E6">
      <w:pPr>
        <w:pStyle w:val="ESch"/>
        <w:rPr>
          <w:rFonts w:eastAsia="Calibri" w:cs="Arial"/>
        </w:rPr>
      </w:pPr>
      <w:r>
        <w:t>10.</w:t>
      </w:r>
      <w:r>
        <w:tab/>
        <w:t>In caso di ventilazione meccanica, occorre predisporre un ventilatore, dotato di preferenza di un dispositivo di aspirazione dei gas di scarico il cui motore non deve trovarsi nella corrente prodotta dal gas e dall'aria. I ventilatori sono costruiti in modo da evitare la produzione di scintille nel caso in cui una pala venga a contatto con il carter del ventilatore e da evitare qualsiasi carica elettrostatica.</w:t>
      </w:r>
    </w:p>
    <w:p w:rsidR="001F02E6" w:rsidRPr="008F6ABB" w:rsidRDefault="001F02E6" w:rsidP="001F02E6">
      <w:pPr>
        <w:pStyle w:val="ESch"/>
        <w:rPr>
          <w:rFonts w:eastAsia="Calibri"/>
        </w:rPr>
      </w:pPr>
    </w:p>
    <w:p w:rsidR="001F02E6" w:rsidRPr="008F6ABB" w:rsidRDefault="001F02E6" w:rsidP="001F02E6">
      <w:pPr>
        <w:spacing w:line="240" w:lineRule="atLeast"/>
        <w:ind w:left="567" w:hanging="567"/>
        <w:rPr>
          <w:rFonts w:eastAsia="Calibri" w:cs="Arial"/>
          <w:szCs w:val="20"/>
        </w:rPr>
      </w:pPr>
      <w:r>
        <w:t>11.</w:t>
      </w:r>
      <w:r>
        <w:tab/>
        <w:t>Sulle porte o sui coperchi dei locali degli accumulatori, degli armadi o dei cassoni si appone un pittogramma di "Vietato utilizzare fiamme libere e vietato fumare", avente un diametro minimo di 10 cm, conformemente all'allegato 4, figura 2.</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12.</w:t>
      </w:r>
      <w:r>
        <w:tab/>
        <w:t>I dispositivi di carica sono progettati essenzialmente in maniera da ricaricare gli accumulatori scarichi entro massimo 15 ore all'80 % della loro capacità nominale, senza superare l'amperaggio della velocità di carica massima consentita.</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13.</w:t>
      </w:r>
      <w:r>
        <w:tab/>
        <w:t>Si devono utilizzare soltanto dispositivi di carica automatici conformi alle caratteristiche di carica del tipo di accumulatore.</w:t>
      </w:r>
    </w:p>
    <w:p w:rsidR="001F02E6" w:rsidRDefault="001F02E6" w:rsidP="001F02E6">
      <w:pPr>
        <w:pStyle w:val="ESch"/>
        <w:rPr>
          <w:rFonts w:eastAsia="Calibri"/>
        </w:rPr>
      </w:pPr>
    </w:p>
    <w:p w:rsidR="001F02E6" w:rsidRPr="008F6ABB" w:rsidRDefault="001F02E6" w:rsidP="001F02E6">
      <w:pPr>
        <w:pStyle w:val="ESch"/>
        <w:rPr>
          <w:rFonts w:eastAsia="Calibri"/>
        </w:rPr>
      </w:pPr>
      <w:r>
        <w:t>14.</w:t>
      </w:r>
      <w:r>
        <w:tab/>
        <w:t>Per l'alimentazione simultanea di utenze durante la carica, nel selezionare il dispositivo di carica occorre tenere conto dei requisiti di potenza delle utenze stesse. Va rispettata una tensione di carica fino a un massimo di 120 % della tensione nominale indipendentemente dai requisiti di alimentazione correnti.</w:t>
      </w:r>
    </w:p>
    <w:p w:rsidR="001F02E6" w:rsidRDefault="001F02E6" w:rsidP="001F02E6">
      <w:pPr>
        <w:pStyle w:val="ESch"/>
        <w:rPr>
          <w:rFonts w:eastAsia="Calibri"/>
        </w:rPr>
      </w:pPr>
    </w:p>
    <w:p w:rsidR="001F02E6" w:rsidRPr="008F6ABB" w:rsidRDefault="001F02E6" w:rsidP="001F02E6">
      <w:pPr>
        <w:pStyle w:val="ESch"/>
        <w:rPr>
          <w:rFonts w:eastAsia="Calibri"/>
          <w:szCs w:val="20"/>
        </w:rPr>
      </w:pPr>
      <w:r>
        <w:t>15.</w:t>
      </w:r>
      <w:r>
        <w:tab/>
        <w:t>Agli accumulatori agli ioni di litio si applicano i requisiti della norma europea EN 62619 nella versione in vigore il 6 luglio 2017 e della norma EN 62620:2015.</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16.</w:t>
      </w:r>
      <w:r>
        <w:tab/>
        <w:t>Se possibile, per il monitoraggio degli accumulatori utilizzare sistemi di gestione degli accumulatori. Gli accumulatori agli ioni di litio devono essere provvisti di tali sistemi.</w:t>
      </w:r>
    </w:p>
    <w:p w:rsidR="001F02E6" w:rsidRPr="00E87BD8" w:rsidRDefault="001F02E6" w:rsidP="00AA5633">
      <w:pPr>
        <w:pStyle w:val="ESch"/>
        <w:rPr>
          <w:rFonts w:eastAsia="Calibri"/>
        </w:rPr>
      </w:pPr>
    </w:p>
    <w:p w:rsidR="001F02E6" w:rsidRPr="008F6ABB" w:rsidRDefault="001F02E6" w:rsidP="001F02E6">
      <w:pPr>
        <w:pStyle w:val="ESchpar"/>
        <w:rPr>
          <w:rFonts w:eastAsia="Calibri"/>
        </w:rPr>
      </w:pPr>
      <w:r>
        <w:t>Detti sistemi includono quanto meno le seguenti funzionalità:</w:t>
      </w:r>
    </w:p>
    <w:p w:rsidR="001F02E6" w:rsidRPr="008F6ABB" w:rsidRDefault="001F02E6" w:rsidP="001F02E6">
      <w:pPr>
        <w:pStyle w:val="ESlet"/>
        <w:rPr>
          <w:rFonts w:eastAsia="Calibri"/>
        </w:rPr>
      </w:pPr>
      <w:r>
        <w:t>a)</w:t>
      </w:r>
      <w:r>
        <w:tab/>
        <w:t>protezione delle celle (corto circuito, esterna, interna, sovracorrente, scarica profonda, ecc.);</w:t>
      </w:r>
    </w:p>
    <w:p w:rsidR="001F02E6" w:rsidRPr="008F6ABB" w:rsidRDefault="001F02E6" w:rsidP="001F02E6">
      <w:pPr>
        <w:pStyle w:val="ESlet"/>
        <w:rPr>
          <w:rFonts w:eastAsia="Calibri"/>
        </w:rPr>
      </w:pPr>
      <w:r>
        <w:t>b)</w:t>
      </w:r>
      <w:r>
        <w:tab/>
        <w:t>controllo della carica, purché ciò non avvenga tramite il dispositivo di carica;</w:t>
      </w:r>
    </w:p>
    <w:p w:rsidR="001F02E6" w:rsidRPr="008F6ABB" w:rsidRDefault="001F02E6" w:rsidP="001F02E6">
      <w:pPr>
        <w:pStyle w:val="ESlet"/>
        <w:rPr>
          <w:rFonts w:eastAsia="Calibri"/>
        </w:rPr>
      </w:pPr>
      <w:r>
        <w:t>c)</w:t>
      </w:r>
      <w:r>
        <w:tab/>
        <w:t>gestione del carico;</w:t>
      </w:r>
    </w:p>
    <w:p w:rsidR="001F02E6" w:rsidRPr="008F6ABB" w:rsidRDefault="001F02E6" w:rsidP="001F02E6">
      <w:pPr>
        <w:pStyle w:val="ESlet"/>
        <w:rPr>
          <w:rFonts w:eastAsia="Calibri"/>
        </w:rPr>
      </w:pPr>
      <w:r>
        <w:t>d)</w:t>
      </w:r>
      <w:r>
        <w:tab/>
        <w:t>determinazione del livello di carica;</w:t>
      </w:r>
    </w:p>
    <w:p w:rsidR="001F02E6" w:rsidRPr="008F6ABB" w:rsidRDefault="001F02E6" w:rsidP="001F02E6">
      <w:pPr>
        <w:pStyle w:val="ESlet"/>
        <w:rPr>
          <w:rFonts w:eastAsia="Calibri"/>
        </w:rPr>
      </w:pPr>
      <w:r>
        <w:t>e)</w:t>
      </w:r>
      <w:r>
        <w:tab/>
        <w:t>bilanciamento delle celle;</w:t>
      </w:r>
    </w:p>
    <w:p w:rsidR="001F02E6" w:rsidRPr="008F6ABB" w:rsidRDefault="001F02E6" w:rsidP="001F02E6">
      <w:pPr>
        <w:pStyle w:val="ESlet"/>
        <w:rPr>
          <w:rFonts w:eastAsia="Calibri"/>
        </w:rPr>
      </w:pPr>
      <w:r>
        <w:t>f)</w:t>
      </w:r>
      <w:r>
        <w:tab/>
        <w:t>gestione termica.</w:t>
      </w:r>
    </w:p>
    <w:p w:rsidR="001F02E6" w:rsidRPr="008F6ABB" w:rsidRDefault="001F02E6" w:rsidP="00AA5633">
      <w:pPr>
        <w:pStyle w:val="ESch"/>
        <w:rPr>
          <w:rFonts w:eastAsia="Calibri"/>
        </w:rPr>
      </w:pPr>
    </w:p>
    <w:p w:rsidR="001F02E6" w:rsidRPr="008F6ABB" w:rsidRDefault="001F02E6" w:rsidP="001F02E6">
      <w:pPr>
        <w:pStyle w:val="ESlet"/>
        <w:ind w:left="567" w:firstLine="0"/>
        <w:rPr>
          <w:rFonts w:eastAsia="Calibri"/>
        </w:rPr>
      </w:pPr>
      <w:r>
        <w:t>A seconda dell'utilizzo, se possibile, dovrebbero presentare anche le seguenti funzionalità:</w:t>
      </w:r>
    </w:p>
    <w:p w:rsidR="001F02E6" w:rsidRPr="008F6ABB" w:rsidRDefault="001F02E6" w:rsidP="001F02E6">
      <w:pPr>
        <w:pStyle w:val="ESlet"/>
        <w:rPr>
          <w:rFonts w:eastAsia="Calibri"/>
        </w:rPr>
      </w:pPr>
      <w:r>
        <w:t>g)</w:t>
      </w:r>
      <w:r>
        <w:tab/>
        <w:t>determinazione dell'invecchiamento, capacità residua, resistenza interna ecc.;</w:t>
      </w:r>
    </w:p>
    <w:p w:rsidR="001F02E6" w:rsidRPr="008F6ABB" w:rsidRDefault="001F02E6" w:rsidP="001F02E6">
      <w:pPr>
        <w:pStyle w:val="ESlet"/>
        <w:rPr>
          <w:rFonts w:eastAsia="Calibri"/>
        </w:rPr>
      </w:pPr>
      <w:r>
        <w:t>h)</w:t>
      </w:r>
      <w:r>
        <w:tab/>
        <w:t>comunicazione (ad esempio con inverter e dispositivi di comando);</w:t>
      </w:r>
    </w:p>
    <w:p w:rsidR="00AB2818" w:rsidRDefault="00AB2818">
      <w:pPr>
        <w:autoSpaceDE/>
        <w:autoSpaceDN/>
        <w:ind w:left="0" w:firstLine="0"/>
        <w:jc w:val="left"/>
      </w:pPr>
      <w:r>
        <w:br w:type="page"/>
      </w:r>
    </w:p>
    <w:p w:rsidR="00AB2818" w:rsidRDefault="00AB2818" w:rsidP="001F02E6">
      <w:pPr>
        <w:pStyle w:val="ESlet"/>
      </w:pPr>
    </w:p>
    <w:p w:rsidR="001F02E6" w:rsidRPr="008F6ABB" w:rsidRDefault="001F02E6" w:rsidP="001F02E6">
      <w:pPr>
        <w:pStyle w:val="ESlet"/>
        <w:rPr>
          <w:rFonts w:eastAsia="Calibri"/>
        </w:rPr>
      </w:pPr>
      <w:r>
        <w:t>i)</w:t>
      </w:r>
      <w:r>
        <w:tab/>
        <w:t>autenticazione e identificazione;</w:t>
      </w:r>
    </w:p>
    <w:p w:rsidR="001F02E6" w:rsidRPr="008F6ABB" w:rsidRDefault="001F02E6" w:rsidP="001F02E6">
      <w:pPr>
        <w:pStyle w:val="ESlet"/>
        <w:rPr>
          <w:rFonts w:eastAsia="Calibri"/>
        </w:rPr>
      </w:pPr>
      <w:r>
        <w:t>j)</w:t>
      </w:r>
      <w:r>
        <w:tab/>
        <w:t>cronologia.</w:t>
      </w:r>
    </w:p>
    <w:p w:rsidR="001F02E6" w:rsidRPr="008F6ABB" w:rsidRDefault="001F02E6" w:rsidP="001F02E6">
      <w:pPr>
        <w:pStyle w:val="ESch"/>
        <w:rPr>
          <w:rFonts w:eastAsia="Calibri"/>
        </w:rPr>
      </w:pPr>
    </w:p>
    <w:p w:rsidR="001F02E6" w:rsidRPr="008F6ABB" w:rsidRDefault="001F02E6" w:rsidP="001F02E6">
      <w:pPr>
        <w:pStyle w:val="ESch"/>
      </w:pPr>
      <w:r>
        <w:t>17.</w:t>
      </w:r>
      <w:r>
        <w:tab/>
        <w:t>Per le batterie, i paragrafi da 1 a 12 e 16 si applicano per analogia.</w:t>
      </w:r>
    </w:p>
    <w:p w:rsidR="008A12E7" w:rsidRPr="001F02E6" w:rsidRDefault="008A12E7" w:rsidP="00AA5633">
      <w:pPr>
        <w:pStyle w:val="ESch"/>
      </w:pPr>
    </w:p>
    <w:p w:rsidR="00651EFD" w:rsidRPr="00C903F8" w:rsidRDefault="00651EFD" w:rsidP="00AA5633">
      <w:pPr>
        <w:pStyle w:val="ESch"/>
      </w:pPr>
    </w:p>
    <w:p w:rsidR="008A12E7" w:rsidRPr="00C903F8" w:rsidRDefault="008A12E7" w:rsidP="00651EFD">
      <w:pPr>
        <w:pStyle w:val="ES-Titre3"/>
      </w:pPr>
      <w:bookmarkStart w:id="183" w:name="_Toc491854089"/>
      <w:bookmarkStart w:id="184" w:name="_Toc535500038"/>
      <w:r>
        <w:t>Articolo 10.12</w:t>
      </w:r>
      <w:r>
        <w:br/>
      </w:r>
      <w:r>
        <w:rPr>
          <w:i/>
        </w:rPr>
        <w:t>Apparecchi di manovra e di comando</w:t>
      </w:r>
      <w:bookmarkEnd w:id="183"/>
      <w:bookmarkEnd w:id="184"/>
    </w:p>
    <w:p w:rsidR="00651EFD" w:rsidRPr="00C903F8" w:rsidRDefault="00651EFD" w:rsidP="008A12E7">
      <w:pPr>
        <w:rPr>
          <w:rFonts w:cs="Arial"/>
          <w:noProof/>
          <w:szCs w:val="20"/>
        </w:rPr>
      </w:pPr>
    </w:p>
    <w:p w:rsidR="001F02E6" w:rsidRPr="008F6ABB" w:rsidRDefault="001F02E6" w:rsidP="001F02E6">
      <w:pPr>
        <w:pStyle w:val="ESch"/>
        <w:rPr>
          <w:rFonts w:eastAsia="Calibri"/>
        </w:rPr>
      </w:pPr>
      <w:r>
        <w:t>1.</w:t>
      </w:r>
      <w:r>
        <w:tab/>
        <w:t>Quadri elettrici</w:t>
      </w:r>
    </w:p>
    <w:p w:rsidR="001F02E6" w:rsidRPr="008F6ABB" w:rsidRDefault="001F02E6" w:rsidP="001F02E6">
      <w:pPr>
        <w:pStyle w:val="ESlet"/>
        <w:rPr>
          <w:rFonts w:eastAsia="Calibri"/>
        </w:rPr>
      </w:pPr>
      <w:r>
        <w:t>a)</w:t>
      </w:r>
      <w:r>
        <w:tab/>
        <w:t>Gli apparecchi, i commutatori, i fusibili e gli strumenti dei quadri sono disposti in maniera ben visibile ed accessibili per la manutenzione e le riparazioni.</w:t>
      </w:r>
    </w:p>
    <w:p w:rsidR="001F02E6" w:rsidRPr="008F6ABB" w:rsidRDefault="001F02E6" w:rsidP="001F02E6">
      <w:pPr>
        <w:pStyle w:val="EStiret"/>
        <w:ind w:left="993" w:hanging="1"/>
        <w:rPr>
          <w:rFonts w:eastAsia="Calibri"/>
          <w:noProof w:val="0"/>
        </w:rPr>
      </w:pPr>
      <w:r>
        <w:t>I morsetti per le tensioni fino a 50 V e quelli per le tensioni superiori a 50 V sono separati e contrassegnati in modo appropriato.</w:t>
      </w:r>
    </w:p>
    <w:p w:rsidR="001F02E6" w:rsidRPr="008F6ABB" w:rsidRDefault="001F02E6" w:rsidP="001F02E6">
      <w:pPr>
        <w:pStyle w:val="ESlet"/>
        <w:rPr>
          <w:rFonts w:eastAsia="Calibri"/>
        </w:rPr>
      </w:pPr>
      <w:r>
        <w:t>b)</w:t>
      </w:r>
      <w:r>
        <w:tab/>
        <w:t>Per tutti i commutatori e gli apparecchi, occorre collocare sui quadri apposite targhette con indicazione del circuito.</w:t>
      </w:r>
    </w:p>
    <w:p w:rsidR="001F02E6" w:rsidRPr="008F6ABB" w:rsidRDefault="001F02E6" w:rsidP="001F02E6">
      <w:pPr>
        <w:pStyle w:val="ESletpar"/>
        <w:rPr>
          <w:rFonts w:eastAsia="Calibri"/>
        </w:rPr>
      </w:pPr>
      <w:r>
        <w:t>Per i fusibili occorre indicare l'amperaggio nominale e il circuito.</w:t>
      </w:r>
    </w:p>
    <w:p w:rsidR="001F02E6" w:rsidRPr="008F6ABB" w:rsidRDefault="001F02E6" w:rsidP="001F02E6">
      <w:pPr>
        <w:pStyle w:val="ESlet"/>
        <w:rPr>
          <w:rFonts w:eastAsia="Calibri"/>
        </w:rPr>
      </w:pPr>
      <w:r>
        <w:t>c)</w:t>
      </w:r>
      <w:r>
        <w:tab/>
        <w:t>Quando apparecchi la cui tensione di esercizio è superiore a 50 V sono collocati dietro una porta, le parti conduttrici di questi apparecchi sono protette contro qualsiasi contatto accidentale in caso di apertura della porta.</w:t>
      </w:r>
    </w:p>
    <w:p w:rsidR="001F02E6" w:rsidRPr="008F6ABB" w:rsidRDefault="001F02E6" w:rsidP="001F02E6">
      <w:pPr>
        <w:pStyle w:val="ESlet"/>
        <w:rPr>
          <w:rFonts w:eastAsia="Calibri"/>
        </w:rPr>
      </w:pPr>
      <w:r>
        <w:t>d)</w:t>
      </w:r>
      <w:r>
        <w:tab/>
        <w:t>I materiali usati per i quadri hanno caratteristiche di resistenza meccanica e di durabilità adeguate, sono ad infiammabilità ritardata e autoestinguenti e non sono igroscopici.</w:t>
      </w:r>
    </w:p>
    <w:p w:rsidR="001F02E6" w:rsidRPr="008F6ABB" w:rsidRDefault="001F02E6" w:rsidP="001F02E6">
      <w:pPr>
        <w:pStyle w:val="ESlet"/>
        <w:rPr>
          <w:rFonts w:eastAsia="Calibri"/>
        </w:rPr>
      </w:pPr>
      <w:r>
        <w:t>e)</w:t>
      </w:r>
      <w:r>
        <w:tab/>
        <w:t>Se nei quadri elettrici sono installati fusibili ad alto potere d'interruzione e bassa tensione, sono previsti accessori e apparecchiature di protezione fisica per il montaggio e la rimozione di detti fusibili.</w:t>
      </w:r>
    </w:p>
    <w:p w:rsidR="001F02E6" w:rsidRDefault="001F02E6" w:rsidP="001F02E6">
      <w:pPr>
        <w:pStyle w:val="ESch"/>
      </w:pPr>
    </w:p>
    <w:p w:rsidR="001F02E6" w:rsidRPr="008F6ABB" w:rsidRDefault="001F02E6" w:rsidP="001F02E6">
      <w:pPr>
        <w:pStyle w:val="ESch"/>
        <w:rPr>
          <w:rFonts w:eastAsia="Calibri"/>
        </w:rPr>
      </w:pPr>
      <w:r>
        <w:t>2.</w:t>
      </w:r>
      <w:r>
        <w:tab/>
        <w:t>Commutatori, dispositivi di protezione</w:t>
      </w:r>
    </w:p>
    <w:p w:rsidR="001F02E6" w:rsidRPr="008F6ABB" w:rsidRDefault="001F02E6" w:rsidP="001F02E6">
      <w:pPr>
        <w:pStyle w:val="ESlet"/>
        <w:rPr>
          <w:rFonts w:eastAsia="Calibri"/>
        </w:rPr>
      </w:pPr>
      <w:r>
        <w:t>a)</w:t>
      </w:r>
      <w:r>
        <w:tab/>
        <w:t xml:space="preserve">I circuiti dei generatori e quelli delle utenze sono protetti contro i corto circuiti e la sovracorrente su ciascun conduttore non collegato a massa. A tal fine si possono utilizzare dei disgiuntori che entrano in funzione in caso di corto circuito o di sovraccarico oppure dei fusibili (con portafusibile). </w:t>
      </w:r>
    </w:p>
    <w:p w:rsidR="001F02E6" w:rsidRPr="008F6ABB" w:rsidRDefault="001F02E6" w:rsidP="001F02E6">
      <w:pPr>
        <w:pStyle w:val="ESletpar"/>
        <w:rPr>
          <w:rFonts w:eastAsia="Calibri"/>
        </w:rPr>
      </w:pPr>
      <w:r>
        <w:t>I circuiti che alimentano gli apparati di governo ai sensi dell'articolo 6.04 e i loro circuiti di comando vanno protetti soltanto contro i corto circuiti. Quando i disgiuntori prevedono un distacco termico, questi sono neutralizzati o regolati almeno al doppio della corrente nominale;</w:t>
      </w:r>
    </w:p>
    <w:p w:rsidR="001F02E6" w:rsidRPr="008F6ABB" w:rsidRDefault="001F02E6" w:rsidP="001F02E6">
      <w:pPr>
        <w:pStyle w:val="ESlet"/>
        <w:rPr>
          <w:rFonts w:eastAsia="Calibri"/>
        </w:rPr>
      </w:pPr>
      <w:r>
        <w:t>b)</w:t>
      </w:r>
      <w:r>
        <w:tab/>
        <w:t>le uscite verso le utenze dal quadro principale prevedono un commutatore di carico o un disgiuntore in caso di corrente nominale superiore a 16 A;</w:t>
      </w:r>
    </w:p>
    <w:p w:rsidR="001F02E6" w:rsidRPr="008F6ABB" w:rsidRDefault="001F02E6" w:rsidP="001F02E6">
      <w:pPr>
        <w:pStyle w:val="ESlet"/>
        <w:rPr>
          <w:rFonts w:eastAsia="Calibri"/>
        </w:rPr>
      </w:pPr>
      <w:r>
        <w:t>c)</w:t>
      </w:r>
      <w:r>
        <w:tab/>
        <w:t>le utenze necessarie per la propulsione della nave, per gli apparati di governo di cui al capo 6, per gli indicatori di posizione del timone, per la navigazione o per i sistemi di sicurezza nonché per le utenze, con un amperaggio nominale superiore a 16 A, devono essere alimentati da circuiti separati;</w:t>
      </w:r>
    </w:p>
    <w:p w:rsidR="001F02E6" w:rsidRPr="008F6ABB" w:rsidRDefault="001F02E6" w:rsidP="001F02E6">
      <w:pPr>
        <w:pStyle w:val="ESlet"/>
        <w:rPr>
          <w:rFonts w:eastAsia="Calibri"/>
        </w:rPr>
      </w:pPr>
      <w:r>
        <w:t>d)</w:t>
      </w:r>
      <w:r>
        <w:tab/>
        <w:t>i circuiti delle utenze per la propulsione e la manovra della nave sono alimentati direttamente dal quadro principale;</w:t>
      </w:r>
    </w:p>
    <w:p w:rsidR="001F02E6" w:rsidRPr="008F6ABB" w:rsidRDefault="001F02E6" w:rsidP="001F02E6">
      <w:pPr>
        <w:pStyle w:val="ESlet"/>
        <w:rPr>
          <w:rFonts w:eastAsia="Calibri"/>
        </w:rPr>
      </w:pPr>
      <w:r>
        <w:t>e)</w:t>
      </w:r>
      <w:r>
        <w:tab/>
        <w:t>i dispositivi di commutazione sono scelti in funzione della loro corrente nominale, della loro resistenza termica e dinamica, nonché della loro capacità d'interruzione. Gli interruttori sono in grado di mettere contemporaneamente fuori tensione tutti i conduttori. La posizione di commutazione è facilmente individuabile;</w:t>
      </w:r>
    </w:p>
    <w:p w:rsidR="001F02E6" w:rsidRPr="008F6ABB" w:rsidRDefault="001F02E6" w:rsidP="001F02E6">
      <w:pPr>
        <w:pStyle w:val="ESlet"/>
        <w:rPr>
          <w:rFonts w:eastAsia="Calibri"/>
        </w:rPr>
      </w:pPr>
      <w:r>
        <w:t>f)</w:t>
      </w:r>
      <w:r>
        <w:tab/>
        <w:t>i fusibili sono a fusione chiusa e realizzati in porcellana o materiale equivalente. Essi devono poter essere sostituiti senza pericolo di contatto.</w:t>
      </w:r>
    </w:p>
    <w:p w:rsidR="001F02E6" w:rsidRDefault="001F02E6" w:rsidP="001F02E6">
      <w:pPr>
        <w:pStyle w:val="ESch"/>
        <w:rPr>
          <w:rFonts w:eastAsia="Calibri"/>
        </w:rPr>
      </w:pPr>
    </w:p>
    <w:p w:rsidR="00AB2818" w:rsidRDefault="00AB2818">
      <w:pPr>
        <w:autoSpaceDE/>
        <w:autoSpaceDN/>
        <w:ind w:left="0" w:firstLine="0"/>
        <w:jc w:val="left"/>
        <w:rPr>
          <w:rFonts w:eastAsia="Calibri"/>
        </w:rPr>
      </w:pPr>
      <w:r>
        <w:br w:type="page"/>
      </w:r>
    </w:p>
    <w:p w:rsidR="00AB2818" w:rsidRPr="008F6ABB" w:rsidRDefault="00AB2818" w:rsidP="001F02E6">
      <w:pPr>
        <w:pStyle w:val="ESch"/>
        <w:rPr>
          <w:rFonts w:eastAsia="Calibri"/>
        </w:rPr>
      </w:pPr>
    </w:p>
    <w:p w:rsidR="001F02E6" w:rsidRPr="008F6ABB" w:rsidRDefault="001F02E6" w:rsidP="001F02E6">
      <w:pPr>
        <w:pStyle w:val="ESch"/>
        <w:rPr>
          <w:rFonts w:eastAsia="Calibri"/>
        </w:rPr>
      </w:pPr>
      <w:r>
        <w:t>3.</w:t>
      </w:r>
      <w:r>
        <w:tab/>
        <w:t>Dispositivi di misurazione e controllo</w:t>
      </w:r>
    </w:p>
    <w:p w:rsidR="001F02E6" w:rsidRPr="008F6ABB" w:rsidRDefault="001F02E6" w:rsidP="001F02E6">
      <w:pPr>
        <w:pStyle w:val="ESlet"/>
        <w:rPr>
          <w:rFonts w:eastAsia="Calibri"/>
        </w:rPr>
      </w:pPr>
      <w:r>
        <w:t>a)</w:t>
      </w:r>
      <w:r>
        <w:tab/>
        <w:t>I circuiti di generatori, accumulatori e di distribuzione sono provvisti di dispositivi di misurazione e controllo, necessari per un funzionamento sicuro dell'impianto;</w:t>
      </w:r>
    </w:p>
    <w:p w:rsidR="001F02E6" w:rsidRPr="008F6ABB" w:rsidRDefault="001F02E6" w:rsidP="001F02E6">
      <w:pPr>
        <w:pStyle w:val="ESlet"/>
        <w:rPr>
          <w:rFonts w:eastAsia="Calibri"/>
        </w:rPr>
      </w:pPr>
      <w:r>
        <w:t>b)</w:t>
      </w:r>
      <w:r>
        <w:tab/>
        <w:t>le reti prive di messa a terra nelle quali la tensione sia superiore a 50 V devono includere un dispositivo per il controllo dell'isolamento dotato di un allarme visivo e acustico. Per gli impianti secondari quali i circuiti di comando, tale dispositivo di controllo dell'isolamento non è obbligatorio.</w:t>
      </w:r>
    </w:p>
    <w:p w:rsidR="001F02E6" w:rsidRPr="008F6ABB" w:rsidRDefault="001F02E6" w:rsidP="001F02E6">
      <w:pPr>
        <w:pStyle w:val="ESch"/>
        <w:rPr>
          <w:rFonts w:eastAsia="Calibri"/>
        </w:rPr>
      </w:pPr>
    </w:p>
    <w:p w:rsidR="001F02E6" w:rsidRPr="008F6ABB" w:rsidRDefault="001F02E6" w:rsidP="001F02E6">
      <w:pPr>
        <w:pStyle w:val="ESch"/>
        <w:rPr>
          <w:rFonts w:eastAsia="Calibri"/>
        </w:rPr>
      </w:pPr>
      <w:r>
        <w:t>4.</w:t>
      </w:r>
      <w:r>
        <w:tab/>
        <w:t>Posizionamento di quadri elettrici</w:t>
      </w:r>
    </w:p>
    <w:p w:rsidR="001F02E6" w:rsidRPr="008F6ABB" w:rsidRDefault="001F02E6" w:rsidP="001F02E6">
      <w:pPr>
        <w:pStyle w:val="ESlet"/>
        <w:rPr>
          <w:rFonts w:eastAsia="Calibri"/>
        </w:rPr>
      </w:pPr>
      <w:r>
        <w:t>a)</w:t>
      </w:r>
      <w:r>
        <w:tab/>
        <w:t>I quadri sono ubicati in locali accessibili e sufficientemente aerati, al fine di proteggerli dall'acqua e da danni meccanici.</w:t>
      </w:r>
    </w:p>
    <w:p w:rsidR="001F02E6" w:rsidRPr="008F6ABB" w:rsidRDefault="001F02E6" w:rsidP="001F02E6">
      <w:pPr>
        <w:pStyle w:val="ESletpar"/>
        <w:rPr>
          <w:rFonts w:eastAsia="Calibri"/>
        </w:rPr>
      </w:pPr>
      <w:r>
        <w:t>Le tubolature e le condutture d'aria sono posate in modo tale che, in caso di perdita, i quadri elettrici e di comando non siano danneggiati. Qualora debbano essere installate obbligatoriamente vicino ai quadri, le tubolature non devono avere collegamenti rimovibili nelle vicinanze.</w:t>
      </w:r>
    </w:p>
    <w:p w:rsidR="001F02E6" w:rsidRPr="008F6ABB" w:rsidRDefault="001F02E6" w:rsidP="001F02E6">
      <w:pPr>
        <w:pStyle w:val="ESlet"/>
        <w:rPr>
          <w:rFonts w:eastAsia="Calibri"/>
        </w:rPr>
      </w:pPr>
      <w:r>
        <w:t>b)</w:t>
      </w:r>
      <w:r>
        <w:tab/>
        <w:t>Gli armadi e le nicchie in cui sono ubicati i dispositivi di commutazione senza protezione sono in materiale ad infiammabilità ritardata o protetti da un rivestimento in metallo o altro materiale non infiammabile.</w:t>
      </w:r>
    </w:p>
    <w:p w:rsidR="001F02E6" w:rsidRPr="008F6ABB" w:rsidRDefault="001F02E6" w:rsidP="001F02E6">
      <w:pPr>
        <w:pStyle w:val="ESlet"/>
        <w:rPr>
          <w:rFonts w:eastAsia="Calibri"/>
        </w:rPr>
      </w:pPr>
      <w:r>
        <w:t>c)</w:t>
      </w:r>
      <w:r>
        <w:tab/>
        <w:t>Quando la tensione è superiore a 50 V, occorre collocare una griglia o un tappeto isolante davanti al quadro principale dove siede l'operatore.</w:t>
      </w:r>
    </w:p>
    <w:p w:rsidR="008A12E7" w:rsidRPr="001F02E6" w:rsidRDefault="008A12E7" w:rsidP="00AA5633">
      <w:pPr>
        <w:pStyle w:val="ESch"/>
      </w:pPr>
    </w:p>
    <w:p w:rsidR="00651EFD" w:rsidRPr="00C903F8" w:rsidRDefault="00651EFD" w:rsidP="00AA5633">
      <w:pPr>
        <w:pStyle w:val="ESch"/>
      </w:pPr>
    </w:p>
    <w:p w:rsidR="008A12E7" w:rsidRPr="00C903F8" w:rsidRDefault="008A12E7" w:rsidP="00F87682">
      <w:pPr>
        <w:pStyle w:val="ES-Titre3"/>
        <w:spacing w:line="240" w:lineRule="atLeast"/>
      </w:pPr>
      <w:bookmarkStart w:id="185" w:name="_Toc491854090"/>
      <w:bookmarkStart w:id="186" w:name="_Toc535500039"/>
      <w:r>
        <w:t>Articolo 10.13</w:t>
      </w:r>
      <w:r>
        <w:br/>
      </w:r>
      <w:r>
        <w:rPr>
          <w:i/>
        </w:rPr>
        <w:t>Interruttori di emergenza</w:t>
      </w:r>
      <w:bookmarkEnd w:id="185"/>
      <w:bookmarkEnd w:id="186"/>
    </w:p>
    <w:p w:rsidR="006B754E" w:rsidRPr="00C903F8" w:rsidRDefault="006B754E" w:rsidP="006B754E">
      <w:pPr>
        <w:ind w:left="0" w:firstLine="0"/>
        <w:rPr>
          <w:rFonts w:cs="Arial"/>
          <w:noProof/>
          <w:szCs w:val="20"/>
        </w:rPr>
      </w:pPr>
    </w:p>
    <w:p w:rsidR="0091718D" w:rsidRPr="008F6ABB" w:rsidRDefault="0091718D" w:rsidP="0091718D">
      <w:pPr>
        <w:pStyle w:val="ESgauche"/>
        <w:rPr>
          <w:rFonts w:eastAsia="Calibri"/>
          <w:noProof w:val="0"/>
        </w:rPr>
      </w:pPr>
      <w:r>
        <w:t>Per i bruciatori ad olio combustibile, le pompe per oli e carburanti, i separatori di oli e carburanti e i ventilatori delle sale macchine, occorre installare in un luogo centrale interruttori di emergenza all'esterno dei locali che contengono gli apparecchi.</w:t>
      </w:r>
    </w:p>
    <w:p w:rsidR="008A12E7" w:rsidRPr="0091718D" w:rsidRDefault="008A12E7" w:rsidP="008A12E7">
      <w:pPr>
        <w:rPr>
          <w:rFonts w:cs="Arial"/>
          <w:szCs w:val="20"/>
        </w:rPr>
      </w:pPr>
    </w:p>
    <w:p w:rsidR="00BD4F1D" w:rsidRPr="00C903F8" w:rsidRDefault="00BD4F1D" w:rsidP="008A12E7">
      <w:pPr>
        <w:rPr>
          <w:rFonts w:cs="Arial"/>
          <w:szCs w:val="20"/>
        </w:rPr>
      </w:pPr>
    </w:p>
    <w:p w:rsidR="008A12E7" w:rsidRPr="00C903F8" w:rsidRDefault="008A12E7" w:rsidP="00F87682">
      <w:pPr>
        <w:pStyle w:val="ES-Titre3"/>
        <w:spacing w:line="240" w:lineRule="atLeast"/>
      </w:pPr>
      <w:bookmarkStart w:id="187" w:name="_Toc491854091"/>
      <w:bookmarkStart w:id="188" w:name="_Toc535500040"/>
      <w:r>
        <w:t>Articolo 10.14</w:t>
      </w:r>
      <w:r>
        <w:br/>
      </w:r>
      <w:r>
        <w:rPr>
          <w:i/>
          <w:noProof/>
        </w:rPr>
        <w:t>Accessori</w:t>
      </w:r>
      <w:bookmarkEnd w:id="187"/>
      <w:bookmarkEnd w:id="188"/>
    </w:p>
    <w:p w:rsidR="00651EFD" w:rsidRPr="00C903F8" w:rsidRDefault="00651EFD" w:rsidP="008A12E7">
      <w:pPr>
        <w:rPr>
          <w:rFonts w:cs="Arial"/>
          <w:noProof/>
          <w:szCs w:val="20"/>
        </w:rPr>
      </w:pPr>
    </w:p>
    <w:p w:rsidR="008A12E7" w:rsidRPr="00C903F8" w:rsidRDefault="008A12E7" w:rsidP="00BD4F1D">
      <w:pPr>
        <w:pStyle w:val="ESch"/>
      </w:pPr>
      <w:r>
        <w:t>1.</w:t>
      </w:r>
      <w:r>
        <w:tab/>
        <w:t>Gli ingressi dei cavi sono dimensionati in funzione dei cavi da collegare e del tipo di cavo utilizzato.</w:t>
      </w:r>
    </w:p>
    <w:p w:rsidR="00651EFD" w:rsidRPr="00C903F8" w:rsidRDefault="00651EFD" w:rsidP="00BD4F1D">
      <w:pPr>
        <w:pStyle w:val="ESch"/>
        <w:rPr>
          <w:noProof/>
        </w:rPr>
      </w:pPr>
    </w:p>
    <w:p w:rsidR="008A12E7" w:rsidRPr="00C903F8" w:rsidRDefault="008A12E7" w:rsidP="00BD4F1D">
      <w:pPr>
        <w:pStyle w:val="ESch"/>
      </w:pPr>
      <w:r>
        <w:t>2.</w:t>
      </w:r>
      <w:r>
        <w:tab/>
        <w:t>Le prese dei circuiti di distribuzione a tensioni o frequenze diverse non si devono poter confondere fra loro.</w:t>
      </w:r>
    </w:p>
    <w:p w:rsidR="00651EFD" w:rsidRPr="00C903F8" w:rsidRDefault="00651EFD" w:rsidP="00BD4F1D">
      <w:pPr>
        <w:pStyle w:val="ESch"/>
        <w:rPr>
          <w:noProof/>
        </w:rPr>
      </w:pPr>
    </w:p>
    <w:p w:rsidR="008A12E7" w:rsidRPr="00C903F8" w:rsidRDefault="008A12E7" w:rsidP="00BD4F1D">
      <w:pPr>
        <w:pStyle w:val="ESch"/>
      </w:pPr>
      <w:r>
        <w:t>3.</w:t>
      </w:r>
      <w:r>
        <w:tab/>
        <w:t>I commutatori comandano simultaneamente tutti i conduttori non collegati a massa di un circuito. Tuttavia, nelle reti non collegate a massa, sono ammessi commutatori unipolari nei circuiti per l'illuminazione degli alloggi, fatta eccezione per le lavanderie, i bagni e i servizi.</w:t>
      </w:r>
    </w:p>
    <w:p w:rsidR="00651EFD" w:rsidRPr="00C903F8" w:rsidRDefault="00651EFD" w:rsidP="00BD4F1D">
      <w:pPr>
        <w:pStyle w:val="ESch"/>
        <w:rPr>
          <w:noProof/>
        </w:rPr>
      </w:pPr>
    </w:p>
    <w:p w:rsidR="008A12E7" w:rsidRPr="00C903F8" w:rsidRDefault="008A12E7" w:rsidP="00BD4F1D">
      <w:pPr>
        <w:pStyle w:val="ESch"/>
      </w:pPr>
      <w:r>
        <w:t>4.</w:t>
      </w:r>
      <w:r>
        <w:tab/>
        <w:t>In presenza di corrente nominale superiore a 16 A, le prese devono poter essere bloccate da un commutatore in modo da consentire l'inserimento e il disinserimento della spina solo in assenza di tensione.</w:t>
      </w:r>
    </w:p>
    <w:p w:rsidR="00651EFD" w:rsidRPr="00C903F8" w:rsidRDefault="00651EFD" w:rsidP="008A12E7">
      <w:pPr>
        <w:rPr>
          <w:rFonts w:cs="Arial"/>
          <w:szCs w:val="20"/>
        </w:rPr>
      </w:pPr>
    </w:p>
    <w:p w:rsidR="00651EFD" w:rsidRDefault="00651EFD" w:rsidP="008A12E7">
      <w:pPr>
        <w:rPr>
          <w:rFonts w:cs="Arial"/>
          <w:szCs w:val="20"/>
        </w:rPr>
      </w:pPr>
    </w:p>
    <w:p w:rsidR="00AB2818" w:rsidRDefault="00AB2818">
      <w:pPr>
        <w:autoSpaceDE/>
        <w:autoSpaceDN/>
        <w:ind w:left="0" w:firstLine="0"/>
        <w:jc w:val="left"/>
        <w:rPr>
          <w:rFonts w:cs="Arial"/>
          <w:szCs w:val="20"/>
        </w:rPr>
      </w:pPr>
      <w:r>
        <w:br w:type="page"/>
      </w:r>
    </w:p>
    <w:p w:rsidR="00AB2818" w:rsidRPr="00C903F8" w:rsidRDefault="00AB2818" w:rsidP="008A12E7">
      <w:pPr>
        <w:rPr>
          <w:rFonts w:cs="Arial"/>
          <w:szCs w:val="20"/>
        </w:rPr>
      </w:pPr>
    </w:p>
    <w:p w:rsidR="008A12E7" w:rsidRPr="00C903F8" w:rsidRDefault="008A12E7" w:rsidP="00651EFD">
      <w:pPr>
        <w:pStyle w:val="ES-Titre3"/>
      </w:pPr>
      <w:bookmarkStart w:id="189" w:name="_Toc491854092"/>
      <w:bookmarkStart w:id="190" w:name="_Toc535500041"/>
      <w:r>
        <w:t>Articolo 10.15</w:t>
      </w:r>
      <w:r>
        <w:br/>
      </w:r>
      <w:r>
        <w:rPr>
          <w:i/>
        </w:rPr>
        <w:t>Cavi, cavi isolati e reti di cavi</w:t>
      </w:r>
      <w:bookmarkEnd w:id="189"/>
      <w:bookmarkEnd w:id="190"/>
    </w:p>
    <w:p w:rsidR="00651EFD" w:rsidRPr="00C903F8" w:rsidRDefault="00651EFD" w:rsidP="008A12E7">
      <w:pPr>
        <w:rPr>
          <w:rFonts w:cs="Arial"/>
          <w:noProof/>
          <w:szCs w:val="20"/>
        </w:rPr>
      </w:pPr>
    </w:p>
    <w:p w:rsidR="00A07DE6" w:rsidRPr="008F6ABB" w:rsidRDefault="00A07DE6" w:rsidP="00A07DE6">
      <w:pPr>
        <w:pStyle w:val="ESch"/>
        <w:rPr>
          <w:rFonts w:eastAsia="Calibri"/>
        </w:rPr>
      </w:pPr>
      <w:r>
        <w:t>1.</w:t>
      </w:r>
      <w:r>
        <w:tab/>
        <w:t>I cavi sono ad infiammabilità ritardata, autoestinguibili e resistenti all'acqua e all'olio.</w:t>
      </w:r>
    </w:p>
    <w:p w:rsidR="00A07DE6" w:rsidRPr="008F6ABB" w:rsidRDefault="00A07DE6" w:rsidP="00A07DE6">
      <w:pPr>
        <w:pStyle w:val="ESch"/>
        <w:rPr>
          <w:rFonts w:eastAsia="Calibri"/>
        </w:rPr>
      </w:pPr>
    </w:p>
    <w:p w:rsidR="00A07DE6" w:rsidRPr="008F6ABB" w:rsidRDefault="00A07DE6" w:rsidP="00A07DE6">
      <w:pPr>
        <w:pStyle w:val="ESchpar"/>
        <w:rPr>
          <w:rFonts w:eastAsia="Calibri"/>
        </w:rPr>
      </w:pPr>
      <w:r>
        <w:t>Negli alloggi dell'equipaggio, la commissione di ispezione può autorizzare l'uso di altri tipi di cavi, a condizione che siano protetti in maniera efficace, ad infiammabilità ritardata o autoestinguenti.</w:t>
      </w:r>
    </w:p>
    <w:p w:rsidR="00A07DE6" w:rsidRPr="008F6ABB" w:rsidRDefault="00A07DE6" w:rsidP="00A07DE6">
      <w:pPr>
        <w:pStyle w:val="ESchpar"/>
        <w:rPr>
          <w:rFonts w:eastAsia="Calibri"/>
        </w:rPr>
      </w:pPr>
    </w:p>
    <w:p w:rsidR="00A07DE6" w:rsidRPr="008F6ABB" w:rsidRDefault="00A07DE6" w:rsidP="00A07DE6">
      <w:pPr>
        <w:pStyle w:val="ESchpar"/>
        <w:rPr>
          <w:rFonts w:eastAsia="Calibri"/>
        </w:rPr>
      </w:pPr>
      <w:r>
        <w:t xml:space="preserve">Per determinare che i cavi elettrici sono ad infiammabilità ritardata occorre che siano riconosciuti </w:t>
      </w:r>
    </w:p>
    <w:p w:rsidR="00A07DE6" w:rsidRPr="008F6ABB" w:rsidRDefault="00A07DE6" w:rsidP="00A07DE6">
      <w:pPr>
        <w:pStyle w:val="ESlet"/>
        <w:rPr>
          <w:rFonts w:eastAsia="Calibri"/>
        </w:rPr>
      </w:pPr>
      <w:r>
        <w:t>a)</w:t>
      </w:r>
      <w:r>
        <w:tab/>
        <w:t>i requisiti della serie di norme europee EN 60332-1 e EN 60332-3 nella versione in vigore il 6 luglio 2017; o</w:t>
      </w:r>
    </w:p>
    <w:p w:rsidR="001427DF" w:rsidRDefault="00A07DE6" w:rsidP="00A07DE6">
      <w:pPr>
        <w:pStyle w:val="ESlet"/>
      </w:pPr>
      <w:r>
        <w:t>b)</w:t>
      </w:r>
      <w:r>
        <w:tab/>
        <w:t>i regolamenti equivalenti di uno degli Stati membri.</w:t>
      </w:r>
    </w:p>
    <w:p w:rsidR="00A07DE6" w:rsidRPr="008F6ABB" w:rsidRDefault="001427DF" w:rsidP="00A07DE6">
      <w:pPr>
        <w:pStyle w:val="ESlet"/>
        <w:rPr>
          <w:rFonts w:eastAsia="Calibri"/>
        </w:rPr>
      </w:pPr>
      <w:r>
        <w:t>.</w:t>
      </w:r>
    </w:p>
    <w:p w:rsidR="00A07DE6" w:rsidRPr="008F6ABB" w:rsidRDefault="00A07DE6" w:rsidP="00A07DE6">
      <w:pPr>
        <w:pStyle w:val="ESch"/>
        <w:rPr>
          <w:rFonts w:eastAsia="Calibri"/>
        </w:rPr>
      </w:pPr>
    </w:p>
    <w:p w:rsidR="00A07DE6" w:rsidRPr="008F6ABB" w:rsidRDefault="00A07DE6" w:rsidP="00A07DE6">
      <w:pPr>
        <w:pStyle w:val="ESch"/>
        <w:rPr>
          <w:rFonts w:eastAsia="Calibri"/>
        </w:rPr>
      </w:pPr>
      <w:r>
        <w:t>2.</w:t>
      </w:r>
      <w:r>
        <w:tab/>
        <w:t>Per gli impianti di forza motrice e illuminazione, occorre utilizzare cavi con fili conduttori aventi una sezione minima di 1,5 mm</w:t>
      </w:r>
      <w:r>
        <w:rPr>
          <w:vertAlign w:val="superscript"/>
        </w:rPr>
        <w:t>2</w:t>
      </w:r>
      <w:r>
        <w:t xml:space="preserve"> per conduttore.</w:t>
      </w:r>
    </w:p>
    <w:p w:rsidR="00A07DE6" w:rsidRPr="008F6ABB" w:rsidRDefault="00A07DE6" w:rsidP="00A07DE6">
      <w:pPr>
        <w:pStyle w:val="ESch"/>
        <w:rPr>
          <w:rFonts w:eastAsia="Calibri"/>
        </w:rPr>
      </w:pPr>
    </w:p>
    <w:p w:rsidR="00A07DE6" w:rsidRPr="008F6ABB" w:rsidRDefault="00A07DE6" w:rsidP="00A07DE6">
      <w:pPr>
        <w:pStyle w:val="ESch"/>
        <w:rPr>
          <w:rFonts w:eastAsia="Calibri"/>
        </w:rPr>
      </w:pPr>
      <w:r>
        <w:t>3.</w:t>
      </w:r>
      <w:r>
        <w:tab/>
        <w:t>Le armature, le schermature e i rivestimenti metallici dei cavi non sono utilizzati, in condizioni di normale funzionamento, come conduttori o conduttori di messa a massa.</w:t>
      </w:r>
    </w:p>
    <w:p w:rsidR="00A07DE6" w:rsidRPr="008F6ABB" w:rsidRDefault="00A07DE6" w:rsidP="00A07DE6">
      <w:pPr>
        <w:pStyle w:val="ESch"/>
        <w:rPr>
          <w:rFonts w:eastAsia="Calibri"/>
        </w:rPr>
      </w:pPr>
    </w:p>
    <w:p w:rsidR="00A07DE6" w:rsidRPr="008F6ABB" w:rsidRDefault="00A07DE6" w:rsidP="00A07DE6">
      <w:pPr>
        <w:pStyle w:val="ESch"/>
        <w:rPr>
          <w:rFonts w:eastAsia="Calibri"/>
        </w:rPr>
      </w:pPr>
      <w:r>
        <w:t>4.</w:t>
      </w:r>
      <w:r>
        <w:tab/>
        <w:t>Le schermature e i rivestimenti metallici dei cavi sono collegati a massa almeno ad un'estremità.</w:t>
      </w:r>
    </w:p>
    <w:p w:rsidR="00A07DE6" w:rsidRDefault="00A07DE6" w:rsidP="00A07DE6">
      <w:pPr>
        <w:pStyle w:val="ESch"/>
        <w:rPr>
          <w:rFonts w:eastAsia="Calibri"/>
        </w:rPr>
      </w:pPr>
    </w:p>
    <w:p w:rsidR="00A07DE6" w:rsidRPr="008F6ABB" w:rsidRDefault="00A07DE6" w:rsidP="00A07DE6">
      <w:pPr>
        <w:pStyle w:val="ESch"/>
        <w:rPr>
          <w:rFonts w:eastAsia="Calibri"/>
        </w:rPr>
      </w:pPr>
      <w:r>
        <w:t>5.</w:t>
      </w:r>
      <w:r>
        <w:tab/>
        <w:t>La sezione dei fili conduttori è conforme alla temperatura massima ammissibile finale dei fili conduttori (corrente massima consentita) e alla caduta di tensione consentita. Tale caduta di tensione fra il quadro principale e il punto più sfavorevole dell'impianto non è superiore al 5 % della tensione nominale per l'illuminazione e al 7 % per gli impianti di forza motrice o riscaldamento.</w:t>
      </w:r>
    </w:p>
    <w:p w:rsidR="00A07DE6" w:rsidRPr="008F6ABB" w:rsidRDefault="00A07DE6" w:rsidP="00A07DE6">
      <w:pPr>
        <w:pStyle w:val="ESch"/>
        <w:rPr>
          <w:rFonts w:eastAsia="Calibri"/>
        </w:rPr>
      </w:pPr>
    </w:p>
    <w:p w:rsidR="00A07DE6" w:rsidRPr="008F6ABB" w:rsidRDefault="00A07DE6" w:rsidP="00A07DE6">
      <w:pPr>
        <w:pStyle w:val="ESch"/>
        <w:rPr>
          <w:rFonts w:eastAsia="Calibri"/>
        </w:rPr>
      </w:pPr>
      <w:r>
        <w:t>6.</w:t>
      </w:r>
      <w:r>
        <w:tab/>
        <w:t>I cavi sono protetti contro il rischio di danni meccanici.</w:t>
      </w:r>
    </w:p>
    <w:p w:rsidR="00A07DE6" w:rsidRPr="008F6ABB" w:rsidRDefault="00A07DE6" w:rsidP="00A07DE6">
      <w:pPr>
        <w:pStyle w:val="ESch"/>
        <w:rPr>
          <w:rFonts w:eastAsia="Calibri"/>
        </w:rPr>
      </w:pPr>
    </w:p>
    <w:p w:rsidR="00A07DE6" w:rsidRPr="008F6ABB" w:rsidRDefault="00A07DE6" w:rsidP="00A07DE6">
      <w:pPr>
        <w:pStyle w:val="ESch"/>
        <w:rPr>
          <w:rFonts w:eastAsia="Calibri"/>
        </w:rPr>
      </w:pPr>
      <w:r>
        <w:t>7.</w:t>
      </w:r>
      <w:r>
        <w:tab/>
        <w:t xml:space="preserve">I collegamenti dei cavi sono protetti contro il carico meccanico e contro la trazione. </w:t>
      </w:r>
    </w:p>
    <w:p w:rsidR="00A07DE6" w:rsidRPr="008F6ABB" w:rsidRDefault="00A07DE6" w:rsidP="00A07DE6">
      <w:pPr>
        <w:pStyle w:val="ESch"/>
        <w:rPr>
          <w:rFonts w:eastAsia="Calibri"/>
        </w:rPr>
      </w:pPr>
    </w:p>
    <w:p w:rsidR="00A07DE6" w:rsidRPr="008F6ABB" w:rsidRDefault="00A07DE6" w:rsidP="00A07DE6">
      <w:pPr>
        <w:pStyle w:val="ESch"/>
        <w:rPr>
          <w:rFonts w:eastAsia="Calibri"/>
        </w:rPr>
      </w:pPr>
      <w:r>
        <w:t>8.</w:t>
      </w:r>
      <w:r>
        <w:tab/>
        <w:t>In presenza di cavi che attraversano paratie o ponti, la resistenza meccanica, la tenuta stagna all'acqua e le caratteristiche di protezione antincendio (ad esempio non combustibile, ad infiammabilità ritardata, resistenza al fuoco) di tali paratie e ponti non sono compromesse dal passaggio di tali cavi.</w:t>
      </w:r>
    </w:p>
    <w:p w:rsidR="00A07DE6" w:rsidRPr="008F6ABB" w:rsidRDefault="00A07DE6" w:rsidP="00A07DE6">
      <w:pPr>
        <w:pStyle w:val="ESch"/>
        <w:rPr>
          <w:rFonts w:eastAsia="Calibri"/>
          <w:highlight w:val="yellow"/>
        </w:rPr>
      </w:pPr>
    </w:p>
    <w:p w:rsidR="00A07DE6" w:rsidRPr="008F6ABB" w:rsidRDefault="00A07DE6" w:rsidP="00A07DE6">
      <w:pPr>
        <w:pStyle w:val="ESch"/>
        <w:rPr>
          <w:rFonts w:eastAsia="Calibri"/>
        </w:rPr>
      </w:pPr>
      <w:r>
        <w:t>9.</w:t>
      </w:r>
      <w:r>
        <w:tab/>
        <w:t>Le terminazioni e i collegamenti di tutti i conduttori sono progettati in modo da preservare le proprietà elettriche, meccaniche e di protezione antincendio originali (ad esempio non combustibile, ad infiammabilità ritardata, resistenza al fuoco) del cavo. Tale requisito si considera soddisfatto se le terminazioni e i collegamenti soddisfano:</w:t>
      </w:r>
    </w:p>
    <w:p w:rsidR="00A07DE6" w:rsidRPr="008F6ABB" w:rsidRDefault="00A07DE6" w:rsidP="00A07DE6">
      <w:pPr>
        <w:pStyle w:val="ESlet"/>
        <w:rPr>
          <w:rFonts w:eastAsia="Calibri"/>
        </w:rPr>
      </w:pPr>
      <w:r>
        <w:t>a)</w:t>
      </w:r>
      <w:r>
        <w:tab/>
        <w:t xml:space="preserve">la norma internazionale IEC 60092-352:2005, punto 3.28, in combinato disposto con l'allegato D della norma; o </w:t>
      </w:r>
    </w:p>
    <w:p w:rsidR="00A07DE6" w:rsidRPr="008F6ABB" w:rsidRDefault="00A07DE6" w:rsidP="00A07DE6">
      <w:pPr>
        <w:pStyle w:val="ESlet"/>
        <w:rPr>
          <w:rFonts w:eastAsia="Calibri"/>
        </w:rPr>
      </w:pPr>
      <w:r>
        <w:t>b)</w:t>
      </w:r>
      <w:r>
        <w:tab/>
        <w:t>regolamenti o norme equivalenti riconosciuti da uno degli Stati membri.</w:t>
      </w:r>
    </w:p>
    <w:p w:rsidR="00A07DE6" w:rsidRPr="008F6ABB" w:rsidRDefault="00A07DE6" w:rsidP="00A07DE6">
      <w:pPr>
        <w:pStyle w:val="ESlet"/>
        <w:rPr>
          <w:rFonts w:eastAsia="Calibri"/>
        </w:rPr>
      </w:pPr>
      <w:r>
        <w:t>Il numero di collegamenti di cavi deve essere limitato al minimo.</w:t>
      </w:r>
    </w:p>
    <w:p w:rsidR="00A07DE6" w:rsidRPr="008F6ABB" w:rsidRDefault="00A07DE6" w:rsidP="00A07DE6">
      <w:pPr>
        <w:pStyle w:val="ESch"/>
        <w:rPr>
          <w:rFonts w:eastAsia="Calibri"/>
        </w:rPr>
      </w:pPr>
    </w:p>
    <w:p w:rsidR="00A07DE6" w:rsidRPr="00C4681D" w:rsidRDefault="00A07DE6" w:rsidP="00A07DE6">
      <w:pPr>
        <w:pStyle w:val="ESch"/>
        <w:ind w:firstLine="0"/>
        <w:rPr>
          <w:rFonts w:eastAsia="Calibri"/>
        </w:rPr>
      </w:pPr>
      <w:r>
        <w:t>Per i cavi riparati o sostituiti, la frase 1 si considera soddisfatta se i collegamenti dei cavi sono conformi alla norma internazionale IEC 60092-352:2005, punto 3.28, in combinato disposto con l'allegato D della norma o con regolamenti riconosciuti da uno Stato membro come equivalenti.</w:t>
      </w:r>
    </w:p>
    <w:p w:rsidR="00A07DE6" w:rsidRDefault="00A07DE6" w:rsidP="00A07DE6">
      <w:pPr>
        <w:ind w:left="0" w:firstLine="0"/>
      </w:pPr>
    </w:p>
    <w:p w:rsidR="00AB2818" w:rsidRDefault="00AB2818">
      <w:pPr>
        <w:autoSpaceDE/>
        <w:autoSpaceDN/>
        <w:ind w:left="0" w:firstLine="0"/>
        <w:jc w:val="left"/>
      </w:pPr>
      <w:r>
        <w:br w:type="page"/>
      </w:r>
    </w:p>
    <w:p w:rsidR="00AB2818" w:rsidRDefault="00AB2818" w:rsidP="00A07DE6">
      <w:pPr>
        <w:ind w:left="0" w:firstLine="0"/>
      </w:pPr>
    </w:p>
    <w:p w:rsidR="00A07DE6" w:rsidRPr="001358D9" w:rsidRDefault="00A07DE6" w:rsidP="00A07DE6">
      <w:pPr>
        <w:pStyle w:val="ESch"/>
        <w:rPr>
          <w:rFonts w:eastAsia="Calibri"/>
        </w:rPr>
      </w:pPr>
      <w:r>
        <w:t>10.</w:t>
      </w:r>
      <w:r>
        <w:tab/>
        <w:t>I cavi collegati alle timonerie elevabili sono sufficientemente flessibili e dotati di un isolamento con flessibilità sufficiente fino a temperature di -20 °C, nonché con resistenza ai vapori, ai raggi ultravioletti e all'ozono.</w:t>
      </w:r>
    </w:p>
    <w:p w:rsidR="00A07DE6" w:rsidRPr="00C4681D" w:rsidRDefault="00A07DE6" w:rsidP="00A07DE6">
      <w:pPr>
        <w:pStyle w:val="ESch"/>
        <w:rPr>
          <w:rFonts w:eastAsia="Calibri"/>
        </w:rPr>
      </w:pPr>
    </w:p>
    <w:p w:rsidR="00A07DE6" w:rsidRPr="008F6ABB" w:rsidRDefault="00A07DE6" w:rsidP="00A07DE6">
      <w:pPr>
        <w:pStyle w:val="ESch"/>
        <w:rPr>
          <w:rFonts w:eastAsia="Calibri"/>
        </w:rPr>
      </w:pPr>
      <w:r>
        <w:t>11.</w:t>
      </w:r>
      <w:r>
        <w:tab/>
        <w:t>Durante la posa di passaggi di gruppi di cavi occorre non compromettere le proprietà antincendio della paratia divisoria. Tale requisito si considera soddisfatto se i cavi soddisfano le disposizioni della serie di norme europee EN 60332-3 nella versione in vigore il 6 luglio 2017 o di una delle norme riconosciute come equivalenti da uno Stato membro. Qualora questo non fosse il caso, è necessario prevedere dispositivi tagliafuoco nei passaggi per i gruppi di cavi lunghi (più di 6 m in verticale e di 14 m in orizzontale) qualora i cavi non siano completamente racchiusi in canalette per cavi.</w:t>
      </w:r>
    </w:p>
    <w:p w:rsidR="00A07DE6" w:rsidRPr="008F6ABB" w:rsidRDefault="00A07DE6" w:rsidP="00A07DE6">
      <w:pPr>
        <w:pStyle w:val="ESch"/>
        <w:rPr>
          <w:rFonts w:eastAsia="Calibri"/>
        </w:rPr>
      </w:pPr>
    </w:p>
    <w:p w:rsidR="00A07DE6" w:rsidRPr="008F6ABB" w:rsidRDefault="00A07DE6" w:rsidP="00A07DE6">
      <w:pPr>
        <w:pStyle w:val="ESch"/>
        <w:rPr>
          <w:rFonts w:eastAsia="Calibri"/>
        </w:rPr>
      </w:pPr>
      <w:r>
        <w:t>12.</w:t>
      </w:r>
      <w:r>
        <w:tab/>
        <w:t>I cavi provenienti da una fonte di energia elettrica di emergenza destinati alle utenze vanno posati per quanto possibile nella zona sicura.</w:t>
      </w:r>
    </w:p>
    <w:p w:rsidR="00A07DE6" w:rsidRPr="001717EA" w:rsidRDefault="00A07DE6" w:rsidP="00A07DE6">
      <w:pPr>
        <w:pStyle w:val="ESch"/>
        <w:rPr>
          <w:rFonts w:eastAsia="Calibri"/>
        </w:rPr>
      </w:pPr>
    </w:p>
    <w:p w:rsidR="00A07DE6" w:rsidRPr="008F6ABB" w:rsidRDefault="00A07DE6" w:rsidP="00A07DE6">
      <w:pPr>
        <w:pStyle w:val="ESch"/>
        <w:rPr>
          <w:rFonts w:eastAsia="Calibri"/>
        </w:rPr>
      </w:pPr>
      <w:r>
        <w:t>13.</w:t>
      </w:r>
      <w:r>
        <w:tab/>
        <w:t xml:space="preserve">Evitare il passaggio di cavi in zone soggette a temperature ambiente elevate. Qualora ciò non fosse possibile, </w:t>
      </w:r>
    </w:p>
    <w:p w:rsidR="00A07DE6" w:rsidRPr="008F6ABB" w:rsidRDefault="00A07DE6" w:rsidP="00A07DE6">
      <w:pPr>
        <w:pStyle w:val="ESlet"/>
        <w:rPr>
          <w:rFonts w:eastAsia="Calibri"/>
        </w:rPr>
      </w:pPr>
      <w:r>
        <w:t>a)</w:t>
      </w:r>
      <w:r>
        <w:tab/>
        <w:t xml:space="preserve">tenere conto delle temperature ambiente nella determinazione della corrente massima ammissibile; o </w:t>
      </w:r>
    </w:p>
    <w:p w:rsidR="00A07DE6" w:rsidRPr="008F6ABB" w:rsidRDefault="00A07DE6" w:rsidP="00A07DE6">
      <w:pPr>
        <w:pStyle w:val="ESlet"/>
        <w:rPr>
          <w:rFonts w:eastAsia="Calibri"/>
        </w:rPr>
      </w:pPr>
      <w:r>
        <w:t>b)</w:t>
      </w:r>
      <w:r>
        <w:tab/>
        <w:t>proteggere il cavo contro i danni causati da calore e fuoco.</w:t>
      </w:r>
    </w:p>
    <w:p w:rsidR="00A07DE6" w:rsidRDefault="00A07DE6" w:rsidP="00A07DE6">
      <w:pPr>
        <w:pStyle w:val="ESch"/>
        <w:rPr>
          <w:rFonts w:eastAsia="Calibri"/>
        </w:rPr>
      </w:pPr>
    </w:p>
    <w:p w:rsidR="00A07DE6" w:rsidRPr="008F6ABB" w:rsidRDefault="00A07DE6" w:rsidP="00A07DE6">
      <w:pPr>
        <w:pStyle w:val="ESch"/>
        <w:rPr>
          <w:rFonts w:eastAsia="Calibri"/>
        </w:rPr>
      </w:pPr>
      <w:r>
        <w:t>14.</w:t>
      </w:r>
      <w:r>
        <w:tab/>
        <w:t>I cavi di alimentazione principale e di emergenza non devono attraversare il medesimo locale. La commissione di ispezione può consentire deroghe a questo requisito se:</w:t>
      </w:r>
    </w:p>
    <w:p w:rsidR="00A07DE6" w:rsidRPr="008F6ABB" w:rsidRDefault="00A07DE6" w:rsidP="00A07DE6">
      <w:pPr>
        <w:pStyle w:val="ESlet"/>
        <w:rPr>
          <w:rFonts w:eastAsia="Calibri"/>
        </w:rPr>
      </w:pPr>
      <w:r>
        <w:t>a)</w:t>
      </w:r>
      <w:r>
        <w:tab/>
        <w:t>i cavi di alimentazione principale e di emergenza sono disposti il più lontano possibile gli uni dagli altri; o</w:t>
      </w:r>
    </w:p>
    <w:p w:rsidR="00A07DE6" w:rsidRPr="008F6ABB" w:rsidRDefault="00A07DE6" w:rsidP="00A07DE6">
      <w:pPr>
        <w:pStyle w:val="ESlet"/>
        <w:rPr>
          <w:rFonts w:eastAsia="Calibri"/>
        </w:rPr>
      </w:pPr>
      <w:r>
        <w:t>b)</w:t>
      </w:r>
      <w:r>
        <w:tab/>
        <w:t xml:space="preserve">i cavi di alimentazione di emergenza sono resistenti al fuoco. Tale requisito si considera soddisfatto in caso di conformità rispetto ai requisiti della serie di norme internazionali IEC 60331 nella versione in vigore il 6 luglio 2017. </w:t>
      </w:r>
    </w:p>
    <w:p w:rsidR="008A12E7" w:rsidRPr="00A07DE6" w:rsidRDefault="008A12E7" w:rsidP="00A07DE6">
      <w:pPr>
        <w:ind w:left="0" w:firstLine="0"/>
        <w:rPr>
          <w:rFonts w:cs="Arial"/>
          <w:szCs w:val="20"/>
        </w:rPr>
      </w:pPr>
    </w:p>
    <w:p w:rsidR="002A778C" w:rsidRPr="00C903F8" w:rsidRDefault="002A778C" w:rsidP="008A12E7">
      <w:pPr>
        <w:rPr>
          <w:rFonts w:cs="Arial"/>
          <w:szCs w:val="20"/>
        </w:rPr>
      </w:pPr>
    </w:p>
    <w:p w:rsidR="008A12E7" w:rsidRPr="00C903F8" w:rsidRDefault="008A12E7" w:rsidP="00651EFD">
      <w:pPr>
        <w:pStyle w:val="ES-Titre3"/>
      </w:pPr>
      <w:bookmarkStart w:id="191" w:name="_Toc491854093"/>
      <w:bookmarkStart w:id="192" w:name="_Toc535500042"/>
      <w:r>
        <w:t>Articolo 10.16</w:t>
      </w:r>
      <w:r>
        <w:br/>
      </w:r>
      <w:r>
        <w:rPr>
          <w:i/>
          <w:noProof/>
        </w:rPr>
        <w:t>Illuminazione</w:t>
      </w:r>
      <w:bookmarkEnd w:id="191"/>
      <w:bookmarkEnd w:id="192"/>
    </w:p>
    <w:p w:rsidR="00651EFD" w:rsidRPr="00C903F8" w:rsidRDefault="00651EFD" w:rsidP="008A12E7">
      <w:pPr>
        <w:rPr>
          <w:rFonts w:cs="Arial"/>
          <w:noProof/>
          <w:szCs w:val="20"/>
        </w:rPr>
      </w:pPr>
    </w:p>
    <w:p w:rsidR="00A07DE6" w:rsidRPr="008F6ABB" w:rsidRDefault="00A07DE6" w:rsidP="00A07DE6">
      <w:pPr>
        <w:pStyle w:val="ESch"/>
        <w:rPr>
          <w:rFonts w:eastAsia="Calibri"/>
        </w:rPr>
      </w:pPr>
      <w:r>
        <w:t>1.</w:t>
      </w:r>
      <w:r>
        <w:tab/>
        <w:t>Gli apparecchi d'illuminazione sono installati in modo che il calore da essi emanato non possa provocare l'incendio di oggetti o elementi infiammabili nelle vicinanze.</w:t>
      </w:r>
    </w:p>
    <w:p w:rsidR="00A07DE6" w:rsidRPr="008F6ABB" w:rsidRDefault="00A07DE6" w:rsidP="00A07DE6">
      <w:pPr>
        <w:pStyle w:val="ESch"/>
        <w:rPr>
          <w:rFonts w:eastAsia="Calibri"/>
        </w:rPr>
      </w:pPr>
    </w:p>
    <w:p w:rsidR="00A07DE6" w:rsidRPr="008F6ABB" w:rsidRDefault="00A07DE6" w:rsidP="00A07DE6">
      <w:pPr>
        <w:pStyle w:val="ESch"/>
        <w:rPr>
          <w:rFonts w:eastAsia="Calibri"/>
        </w:rPr>
      </w:pPr>
      <w:r>
        <w:t>2.</w:t>
      </w:r>
      <w:r>
        <w:tab/>
        <w:t>Gli apparecchi d'illuminazione sui ponti scoperti sono installati in modo da non ostacolare il riconoscimento delle luci di segnalazione.</w:t>
      </w:r>
    </w:p>
    <w:p w:rsidR="00A07DE6" w:rsidRPr="008F6ABB" w:rsidRDefault="00A07DE6" w:rsidP="00A07DE6">
      <w:pPr>
        <w:pStyle w:val="ESch"/>
        <w:rPr>
          <w:rFonts w:eastAsia="Calibri"/>
        </w:rPr>
      </w:pPr>
    </w:p>
    <w:p w:rsidR="00A07DE6" w:rsidRPr="008F6ABB" w:rsidRDefault="00A07DE6" w:rsidP="00A07DE6">
      <w:pPr>
        <w:pStyle w:val="ESch"/>
        <w:rPr>
          <w:rFonts w:eastAsia="Calibri"/>
        </w:rPr>
      </w:pPr>
      <w:r>
        <w:t>3.</w:t>
      </w:r>
      <w:r>
        <w:tab/>
        <w:t>Quando due o più apparecchi d'illuminazione sono installati in una sala macchine o in un locale caldaie, sono distribuiti almeno in due circuiti. Tale requisito si applica anche ai locali in cui si trovano macchine refrigeratrici, macchine idrauliche o motori elettrici.</w:t>
      </w:r>
    </w:p>
    <w:p w:rsidR="008A12E7" w:rsidRPr="00A07DE6" w:rsidRDefault="008A12E7" w:rsidP="008A12E7">
      <w:pPr>
        <w:rPr>
          <w:rFonts w:cs="Arial"/>
          <w:szCs w:val="20"/>
        </w:rPr>
      </w:pPr>
    </w:p>
    <w:p w:rsidR="00651EFD" w:rsidRPr="00C903F8" w:rsidRDefault="00651EFD" w:rsidP="008A12E7">
      <w:pPr>
        <w:rPr>
          <w:rFonts w:cs="Arial"/>
          <w:szCs w:val="20"/>
        </w:rPr>
      </w:pPr>
    </w:p>
    <w:p w:rsidR="008A12E7" w:rsidRPr="00C903F8" w:rsidRDefault="008A12E7" w:rsidP="00651EFD">
      <w:pPr>
        <w:pStyle w:val="ES-Titre3"/>
      </w:pPr>
      <w:bookmarkStart w:id="193" w:name="_Toc491854094"/>
      <w:bookmarkStart w:id="194" w:name="_Toc535500043"/>
      <w:r>
        <w:t>Articolo 10.17</w:t>
      </w:r>
      <w:r>
        <w:br/>
      </w:r>
      <w:r>
        <w:rPr>
          <w:i/>
          <w:noProof/>
        </w:rPr>
        <w:t>Luci di navigazione</w:t>
      </w:r>
      <w:bookmarkEnd w:id="193"/>
      <w:bookmarkEnd w:id="194"/>
    </w:p>
    <w:p w:rsidR="00651EFD" w:rsidRPr="00C903F8" w:rsidRDefault="00651EFD" w:rsidP="008A12E7">
      <w:pPr>
        <w:rPr>
          <w:rFonts w:cs="Arial"/>
          <w:noProof/>
          <w:szCs w:val="20"/>
        </w:rPr>
      </w:pPr>
    </w:p>
    <w:p w:rsidR="00A07DE6" w:rsidRPr="008F6ABB" w:rsidRDefault="00A07DE6" w:rsidP="00A07DE6">
      <w:pPr>
        <w:pStyle w:val="ESch"/>
        <w:rPr>
          <w:rFonts w:eastAsia="Calibri"/>
        </w:rPr>
      </w:pPr>
      <w:r>
        <w:t>1.</w:t>
      </w:r>
      <w:r>
        <w:tab/>
        <w:t>I quadri di comando delle luci di navigazione sono installati nella timoneria. Essi sono alimentati da un cavo indipendente proveniente dal quadro principale o da due reti secondarie indipendenti.</w:t>
      </w:r>
    </w:p>
    <w:p w:rsidR="00A07DE6" w:rsidRPr="008F6ABB" w:rsidRDefault="00A07DE6" w:rsidP="00A07DE6">
      <w:pPr>
        <w:pStyle w:val="ESch"/>
        <w:rPr>
          <w:rFonts w:eastAsia="Calibri"/>
        </w:rPr>
      </w:pPr>
    </w:p>
    <w:p w:rsidR="00A07DE6" w:rsidRPr="008F6ABB" w:rsidRDefault="00A07DE6" w:rsidP="00A07DE6">
      <w:pPr>
        <w:pStyle w:val="ESch"/>
        <w:rPr>
          <w:rFonts w:eastAsia="Calibri"/>
        </w:rPr>
      </w:pPr>
      <w:r>
        <w:t>2.</w:t>
      </w:r>
      <w:r>
        <w:tab/>
        <w:t>Le luci di navigazione sono alimentate, protette e comandate separatamente dal quadro di comando delle luci.</w:t>
      </w:r>
    </w:p>
    <w:p w:rsidR="00A07DE6" w:rsidRDefault="00A07DE6" w:rsidP="00A07DE6">
      <w:pPr>
        <w:pStyle w:val="ESch"/>
        <w:rPr>
          <w:rFonts w:eastAsia="Calibri"/>
        </w:rPr>
      </w:pPr>
    </w:p>
    <w:p w:rsidR="00AB2818" w:rsidRDefault="00AB2818">
      <w:pPr>
        <w:autoSpaceDE/>
        <w:autoSpaceDN/>
        <w:ind w:left="0" w:firstLine="0"/>
        <w:jc w:val="left"/>
        <w:rPr>
          <w:rFonts w:eastAsia="Calibri"/>
        </w:rPr>
      </w:pPr>
      <w:r>
        <w:br w:type="page"/>
      </w:r>
    </w:p>
    <w:p w:rsidR="00AB2818" w:rsidRPr="001717EA" w:rsidRDefault="00AB2818" w:rsidP="00A07DE6">
      <w:pPr>
        <w:pStyle w:val="ESch"/>
        <w:rPr>
          <w:rFonts w:eastAsia="Calibri"/>
        </w:rPr>
      </w:pPr>
    </w:p>
    <w:p w:rsidR="00A07DE6" w:rsidRPr="001717EA" w:rsidRDefault="00A07DE6" w:rsidP="00A07DE6">
      <w:pPr>
        <w:pStyle w:val="ESch"/>
        <w:rPr>
          <w:rFonts w:eastAsia="Calibri"/>
        </w:rPr>
      </w:pPr>
      <w:r>
        <w:t>3.</w:t>
      </w:r>
      <w:r>
        <w:tab/>
        <w:t>Un guasto del dispositivo ai sensi dell'articolo 7.05, paragrafo 2, non deve compromettere il funzionamento delle luci di navigazione che esso controlla.</w:t>
      </w:r>
    </w:p>
    <w:p w:rsidR="00A07DE6" w:rsidRPr="001717EA" w:rsidRDefault="00A07DE6" w:rsidP="00A07DE6">
      <w:pPr>
        <w:pStyle w:val="ESch"/>
        <w:rPr>
          <w:rFonts w:eastAsia="Calibri"/>
        </w:rPr>
      </w:pPr>
    </w:p>
    <w:p w:rsidR="00A07DE6" w:rsidRPr="001717EA" w:rsidRDefault="00A07DE6" w:rsidP="00A07DE6">
      <w:pPr>
        <w:pStyle w:val="ESch"/>
        <w:rPr>
          <w:rFonts w:eastAsia="Calibri"/>
        </w:rPr>
      </w:pPr>
      <w:r>
        <w:t xml:space="preserve">4. </w:t>
      </w:r>
      <w:r>
        <w:tab/>
        <w:t>Le diverse luci di segnalazione che costituiscono un'unità funzionale e sono installate nello stesso luogo possono essere alimentate, comandate e controllate congiuntamente. Il dispositivo di controllo è in grado di individuare i guasti che possono verificarsi in ciascuna luce. Le due fonti luminose di una luce doppia (due luci montate una sopra l'altra in uno stesso involucro) non devono poter essere utilizzate contemporaneamente.</w:t>
      </w:r>
    </w:p>
    <w:p w:rsidR="008A12E7" w:rsidRPr="00A07DE6" w:rsidRDefault="008A12E7" w:rsidP="00651EFD">
      <w:pPr>
        <w:ind w:left="0" w:firstLine="0"/>
        <w:rPr>
          <w:rFonts w:cs="Arial"/>
          <w:szCs w:val="20"/>
        </w:rPr>
      </w:pPr>
    </w:p>
    <w:p w:rsidR="008A12E7" w:rsidRPr="00C903F8" w:rsidRDefault="008A12E7" w:rsidP="008A12E7">
      <w:pPr>
        <w:rPr>
          <w:rFonts w:cs="Arial"/>
          <w:szCs w:val="20"/>
        </w:rPr>
      </w:pPr>
    </w:p>
    <w:p w:rsidR="008A12E7" w:rsidRPr="00C903F8" w:rsidRDefault="008A12E7" w:rsidP="00651EFD">
      <w:pPr>
        <w:pStyle w:val="ES-Titre3"/>
      </w:pPr>
      <w:bookmarkStart w:id="195" w:name="_Toc491854095"/>
      <w:bookmarkStart w:id="196" w:name="_Toc535500044"/>
      <w:r>
        <w:t>Articolo 10.18</w:t>
      </w:r>
      <w:r>
        <w:br/>
      </w:r>
      <w:r>
        <w:rPr>
          <w:i/>
        </w:rPr>
        <w:t>Elettronica di potenza</w:t>
      </w:r>
      <w:bookmarkEnd w:id="195"/>
      <w:bookmarkEnd w:id="196"/>
    </w:p>
    <w:p w:rsidR="00651EFD" w:rsidRPr="00C903F8" w:rsidRDefault="00651EFD" w:rsidP="00651EFD">
      <w:pPr>
        <w:ind w:left="0" w:firstLine="0"/>
        <w:rPr>
          <w:rFonts w:cs="Arial"/>
          <w:noProof/>
          <w:szCs w:val="20"/>
        </w:rPr>
      </w:pPr>
    </w:p>
    <w:p w:rsidR="00A07DE6" w:rsidRPr="008F6ABB" w:rsidRDefault="00A07DE6" w:rsidP="00A07DE6">
      <w:pPr>
        <w:pStyle w:val="ESch"/>
        <w:rPr>
          <w:rFonts w:eastAsia="Calibri"/>
        </w:rPr>
      </w:pPr>
      <w:r>
        <w:t>1.</w:t>
      </w:r>
      <w:r>
        <w:tab/>
        <w:t>Per ciascun impianto di elettronica di potenza occorre prevedere un dispositivo separato per la disconnessione dalla rete. La combinazione fusibile-interruttore può essere utilizzata per utenze fino a una corrente nominale di 315 A. In tutti gli altri casi è necessario installare un disgiuntore sul lato rete.</w:t>
      </w:r>
    </w:p>
    <w:p w:rsidR="00A07DE6" w:rsidRPr="008F6ABB" w:rsidRDefault="00A07DE6" w:rsidP="00A07DE6">
      <w:pPr>
        <w:pStyle w:val="ESch"/>
        <w:rPr>
          <w:rFonts w:eastAsia="Calibri"/>
        </w:rPr>
      </w:pPr>
    </w:p>
    <w:p w:rsidR="00A07DE6" w:rsidRPr="008F6ABB" w:rsidRDefault="00A07DE6" w:rsidP="00A07DE6">
      <w:pPr>
        <w:pStyle w:val="ESch"/>
        <w:rPr>
          <w:rFonts w:eastAsia="Calibri"/>
        </w:rPr>
      </w:pPr>
      <w:r>
        <w:t>2.</w:t>
      </w:r>
      <w:r>
        <w:tab/>
        <w:t>L'elettronica di potenza è facilmente accessibile per effettuare riparazioni e misurazioni. Per la verifica delle funzioni e l'individuazione di anomalie occorre mettere a disposizione dispositivi adeguati.</w:t>
      </w:r>
    </w:p>
    <w:p w:rsidR="00A07DE6" w:rsidRDefault="00A07DE6" w:rsidP="00A07DE6">
      <w:pPr>
        <w:pStyle w:val="ESch"/>
        <w:rPr>
          <w:rFonts w:eastAsia="Calibri"/>
        </w:rPr>
      </w:pPr>
    </w:p>
    <w:p w:rsidR="00A07DE6" w:rsidRPr="008F6ABB" w:rsidRDefault="00A07DE6" w:rsidP="00A07DE6">
      <w:pPr>
        <w:pStyle w:val="ESch"/>
        <w:rPr>
          <w:rFonts w:eastAsia="Calibri"/>
        </w:rPr>
      </w:pPr>
      <w:r>
        <w:t>3.</w:t>
      </w:r>
      <w:r>
        <w:tab/>
        <w:t>L'elettronica di comando e di segnalazione viene separata galvanicamente dai circuiti di potenza.</w:t>
      </w:r>
    </w:p>
    <w:p w:rsidR="00A07DE6" w:rsidRPr="008F6ABB" w:rsidRDefault="00A07DE6" w:rsidP="00A07DE6">
      <w:pPr>
        <w:pStyle w:val="ESch"/>
        <w:rPr>
          <w:rFonts w:eastAsia="Calibri"/>
        </w:rPr>
      </w:pPr>
    </w:p>
    <w:p w:rsidR="00A07DE6" w:rsidRPr="008F6ABB" w:rsidRDefault="00A07DE6" w:rsidP="00A07DE6">
      <w:pPr>
        <w:pStyle w:val="ESch"/>
        <w:rPr>
          <w:rFonts w:eastAsia="Calibri"/>
        </w:rPr>
      </w:pPr>
      <w:r>
        <w:t>4.</w:t>
      </w:r>
      <w:r>
        <w:tab/>
        <w:t>I sistemi di conversione devono garantire un funzionamento sicuro anche con le fluttuazioni di tensione e frequenza più ampie consentite. In caso di frequenza elevata inammissibile e/o variazioni di tensione nella tensione di alimentazione, il sistema si spegne o rimane in una condizione di funzionamento sicura.</w:t>
      </w:r>
    </w:p>
    <w:p w:rsidR="00A07DE6" w:rsidRPr="008F6ABB" w:rsidRDefault="00A07DE6" w:rsidP="00A07DE6">
      <w:pPr>
        <w:pStyle w:val="ESch"/>
        <w:rPr>
          <w:rFonts w:eastAsia="Calibri"/>
        </w:rPr>
      </w:pPr>
    </w:p>
    <w:p w:rsidR="00A07DE6" w:rsidRPr="008F6ABB" w:rsidRDefault="00A07DE6" w:rsidP="00A07DE6">
      <w:pPr>
        <w:pStyle w:val="ESch"/>
        <w:rPr>
          <w:rFonts w:eastAsia="Calibri"/>
        </w:rPr>
      </w:pPr>
      <w:r>
        <w:t>5.</w:t>
      </w:r>
      <w:r>
        <w:tab/>
        <w:t xml:space="preserve">Le cariche elettriche negli insiemi vanno ridotte a una tensione inferiore a 50 V in meno di 5 secondi in seguito alla disconnessione dalla rete. Se sono richiesti tempi di scarica più lunghi, è necessario apporre un segnale di avvertimento sul dispositivo. </w:t>
      </w:r>
    </w:p>
    <w:p w:rsidR="00A07DE6" w:rsidRPr="008F6ABB" w:rsidRDefault="00A07DE6" w:rsidP="00A07DE6">
      <w:pPr>
        <w:pStyle w:val="ESch"/>
        <w:rPr>
          <w:rFonts w:eastAsia="Calibri"/>
        </w:rPr>
      </w:pPr>
    </w:p>
    <w:p w:rsidR="00A07DE6" w:rsidRPr="008F6ABB" w:rsidRDefault="00A07DE6" w:rsidP="00A07DE6">
      <w:pPr>
        <w:pStyle w:val="ESch"/>
        <w:rPr>
          <w:rFonts w:eastAsia="Calibri"/>
        </w:rPr>
      </w:pPr>
      <w:r>
        <w:t>6.</w:t>
      </w:r>
      <w:r>
        <w:tab/>
        <w:t>Il guasto dei segnali di comando esterni non deve determinare condizioni pericolose.</w:t>
      </w:r>
    </w:p>
    <w:p w:rsidR="00A07DE6" w:rsidRPr="008F6ABB" w:rsidRDefault="00A07DE6" w:rsidP="00A07DE6">
      <w:pPr>
        <w:pStyle w:val="ESch"/>
        <w:rPr>
          <w:rFonts w:eastAsia="Calibri"/>
        </w:rPr>
      </w:pPr>
    </w:p>
    <w:p w:rsidR="00A07DE6" w:rsidRPr="008F6ABB" w:rsidRDefault="00A07DE6" w:rsidP="00A07DE6">
      <w:pPr>
        <w:pStyle w:val="ESch"/>
        <w:rPr>
          <w:rFonts w:eastAsia="Calibri"/>
        </w:rPr>
      </w:pPr>
      <w:r>
        <w:t>7.</w:t>
      </w:r>
      <w:r>
        <w:tab/>
        <w:t>L'elettronica di potenza va progettata e installata in modo tale che il guasto delle tensioni di comando non possa portare a minacce o danni all'impianto o al dispositivo nei quali è installata l'elettronica di potenza oppure all'intero impianto.</w:t>
      </w:r>
    </w:p>
    <w:p w:rsidR="00A07DE6" w:rsidRPr="008F6ABB" w:rsidRDefault="00A07DE6" w:rsidP="00A07DE6">
      <w:pPr>
        <w:pStyle w:val="ESch"/>
        <w:rPr>
          <w:rFonts w:eastAsia="Calibri"/>
        </w:rPr>
      </w:pPr>
    </w:p>
    <w:p w:rsidR="00A07DE6" w:rsidRPr="008F6ABB" w:rsidRDefault="00A07DE6" w:rsidP="00A07DE6">
      <w:pPr>
        <w:pStyle w:val="ESch"/>
        <w:rPr>
          <w:rFonts w:eastAsia="Calibri"/>
        </w:rPr>
      </w:pPr>
      <w:r>
        <w:t>8.</w:t>
      </w:r>
      <w:r>
        <w:tab/>
        <w:t>Nell'impianto necessario per la propulsione e la manovrabilità nonché per la sicurezza dell'equipaggio, dell'imbarcazione o del carico, occorre prevedere l'esistenza di componenti per il controllo dei singoli insiemi e sottosistemi di elettronica di potenza al fine di facilitare il rilevamento di errori in caso di anomalia e impedire l'esistenza di errori non rilevati.</w:t>
      </w:r>
    </w:p>
    <w:p w:rsidR="00A07DE6" w:rsidRPr="008F6ABB" w:rsidRDefault="00A07DE6" w:rsidP="00A07DE6">
      <w:pPr>
        <w:pStyle w:val="ESch"/>
        <w:rPr>
          <w:rFonts w:eastAsia="Calibri"/>
        </w:rPr>
      </w:pPr>
    </w:p>
    <w:p w:rsidR="00A07DE6" w:rsidRPr="008F6ABB" w:rsidRDefault="00A07DE6" w:rsidP="00A07DE6">
      <w:pPr>
        <w:pStyle w:val="ESch"/>
        <w:rPr>
          <w:rFonts w:eastAsia="Calibri"/>
        </w:rPr>
      </w:pPr>
      <w:r>
        <w:t>9.</w:t>
      </w:r>
      <w:r>
        <w:tab/>
        <w:t>Il controllo dell'elettronica di potenza rileva gli errori con certezza e impedisce loro di rimanere non riconosciuti.</w:t>
      </w:r>
    </w:p>
    <w:p w:rsidR="00A07DE6" w:rsidRPr="008F6ABB" w:rsidRDefault="00A07DE6" w:rsidP="00A07DE6">
      <w:pPr>
        <w:pStyle w:val="ESch"/>
        <w:rPr>
          <w:rFonts w:eastAsia="Calibri"/>
        </w:rPr>
      </w:pPr>
    </w:p>
    <w:p w:rsidR="00A07DE6" w:rsidRPr="008F6ABB" w:rsidRDefault="00A07DE6" w:rsidP="00A07DE6">
      <w:pPr>
        <w:pStyle w:val="ESch"/>
        <w:rPr>
          <w:rFonts w:eastAsia="Calibri"/>
        </w:rPr>
      </w:pPr>
      <w:r>
        <w:t>10.</w:t>
      </w:r>
      <w:r>
        <w:tab/>
        <w:t>Fatta eccezione per i componenti, è possibile utilizzare soltanto l'elettronica di potenza sottoposta a esame del tipo. Se l'elettronica di potenza è dotata di dispositivi di protezione e di controllo, l'esame deve includere anche la prova delle soglie di risposta e dell'interazione coordinata di tutti gli apparecchi di protezione e di controllo. La relazione dell'esame del tipo va inclusa nella documentazione del sistema.</w:t>
      </w:r>
    </w:p>
    <w:p w:rsidR="008A12E7" w:rsidRPr="00A07DE6" w:rsidRDefault="008A12E7" w:rsidP="00AA5633">
      <w:pPr>
        <w:pStyle w:val="ESch"/>
      </w:pPr>
    </w:p>
    <w:p w:rsidR="00AB2818" w:rsidRDefault="00AB2818">
      <w:pPr>
        <w:autoSpaceDE/>
        <w:autoSpaceDN/>
        <w:ind w:left="0" w:firstLine="0"/>
        <w:jc w:val="left"/>
      </w:pPr>
      <w:r>
        <w:br w:type="page"/>
      </w:r>
    </w:p>
    <w:p w:rsidR="004E6822" w:rsidRPr="00C903F8" w:rsidRDefault="004E6822" w:rsidP="00AA5633">
      <w:pPr>
        <w:pStyle w:val="ESch"/>
      </w:pPr>
    </w:p>
    <w:p w:rsidR="008A12E7" w:rsidRPr="00C903F8" w:rsidRDefault="008A12E7" w:rsidP="00651EFD">
      <w:pPr>
        <w:pStyle w:val="ES-Titre3"/>
      </w:pPr>
      <w:bookmarkStart w:id="197" w:name="_Toc491854096"/>
      <w:bookmarkStart w:id="198" w:name="_Toc535500045"/>
      <w:r>
        <w:t>Articolo 10.19</w:t>
      </w:r>
      <w:r>
        <w:br/>
      </w:r>
      <w:r>
        <w:rPr>
          <w:i/>
        </w:rPr>
        <w:t>Sistemi d'allarme e di sicurezza per gli impianti meccanici</w:t>
      </w:r>
      <w:bookmarkEnd w:id="197"/>
      <w:bookmarkEnd w:id="198"/>
    </w:p>
    <w:p w:rsidR="00651EFD" w:rsidRPr="00C903F8" w:rsidRDefault="00651EFD" w:rsidP="008A12E7">
      <w:pPr>
        <w:rPr>
          <w:rFonts w:cs="Arial"/>
          <w:noProof/>
          <w:szCs w:val="20"/>
        </w:rPr>
      </w:pPr>
    </w:p>
    <w:p w:rsidR="00A07DE6" w:rsidRPr="008F6ABB" w:rsidRDefault="00A07DE6" w:rsidP="00A07DE6">
      <w:pPr>
        <w:pStyle w:val="ESgauche"/>
        <w:rPr>
          <w:rFonts w:eastAsia="Calibri"/>
          <w:noProof w:val="0"/>
        </w:rPr>
      </w:pPr>
      <w:r>
        <w:t>I sistemi d'allarme e di sicurezza destinati al controllo e alla protezione degli impianti meccanici soddisfano i seguenti requisiti.</w:t>
      </w:r>
    </w:p>
    <w:p w:rsidR="00A07DE6" w:rsidRPr="008F6ABB" w:rsidRDefault="00A07DE6" w:rsidP="00AA5633">
      <w:pPr>
        <w:pStyle w:val="ESch"/>
        <w:rPr>
          <w:rFonts w:eastAsia="Calibri"/>
        </w:rPr>
      </w:pPr>
    </w:p>
    <w:p w:rsidR="00A07DE6" w:rsidRPr="008F6ABB" w:rsidRDefault="00A07DE6" w:rsidP="00A07DE6">
      <w:pPr>
        <w:pStyle w:val="ESch"/>
        <w:rPr>
          <w:rFonts w:eastAsia="Calibri"/>
        </w:rPr>
      </w:pPr>
      <w:r>
        <w:t>1.</w:t>
      </w:r>
      <w:r>
        <w:tab/>
        <w:t>Sistemi d'allarme</w:t>
      </w:r>
    </w:p>
    <w:p w:rsidR="00A07DE6" w:rsidRPr="008F6ABB" w:rsidRDefault="00A07DE6" w:rsidP="00A07DE6">
      <w:pPr>
        <w:pStyle w:val="ESchpar"/>
        <w:rPr>
          <w:rFonts w:eastAsia="Calibri"/>
        </w:rPr>
      </w:pPr>
    </w:p>
    <w:p w:rsidR="00A07DE6" w:rsidRPr="008F6ABB" w:rsidRDefault="00A07DE6" w:rsidP="00A07DE6">
      <w:pPr>
        <w:pStyle w:val="ESchpar"/>
        <w:rPr>
          <w:rFonts w:eastAsia="Calibri"/>
        </w:rPr>
      </w:pPr>
      <w:r>
        <w:t>I sistemi d'allarme sono costruiti in modo tale che un'avaria al sistema d'allarme non possa provocare un guasto dell'apparecchio o dell'impianto controllato.</w:t>
      </w:r>
    </w:p>
    <w:p w:rsidR="00A07DE6" w:rsidRPr="008F6ABB" w:rsidRDefault="00A07DE6" w:rsidP="00A07DE6">
      <w:pPr>
        <w:pStyle w:val="ESchpar"/>
        <w:rPr>
          <w:rFonts w:eastAsia="Calibri"/>
        </w:rPr>
      </w:pPr>
    </w:p>
    <w:p w:rsidR="00A07DE6" w:rsidRPr="008F6ABB" w:rsidRDefault="00A07DE6" w:rsidP="00A07DE6">
      <w:pPr>
        <w:pStyle w:val="ESchpar"/>
        <w:rPr>
          <w:rFonts w:eastAsia="Calibri"/>
        </w:rPr>
      </w:pPr>
      <w:r>
        <w:t>I trasmettitori binari sono progettati secondo il principio della corrente di riposo o secondo il principio della corrente di lavoro sorvegliata.</w:t>
      </w:r>
    </w:p>
    <w:p w:rsidR="00A07DE6" w:rsidRPr="008F6ABB" w:rsidRDefault="00A07DE6" w:rsidP="00A07DE6">
      <w:pPr>
        <w:pStyle w:val="ESchpar"/>
        <w:rPr>
          <w:rFonts w:eastAsia="Calibri"/>
        </w:rPr>
      </w:pPr>
    </w:p>
    <w:p w:rsidR="00A07DE6" w:rsidRPr="008F6ABB" w:rsidRDefault="00A07DE6" w:rsidP="00A07DE6">
      <w:pPr>
        <w:pStyle w:val="ESchpar"/>
        <w:rPr>
          <w:rFonts w:eastAsia="Calibri"/>
        </w:rPr>
      </w:pPr>
      <w:r>
        <w:t>Gli allarmi visivi devono rimanere visibili fino a quando l'anomalia non è stata risolta; un allarme con conferma deve essere distinguibile da un allarme che non richiede conferma. Ogni allarme è anche accompagnato da un segnale acustico. L'allarme acustico deve poter essere interrotto. L'interruzione del segnale di allarme non impedisce all'allarme di scattare per nuove cause.</w:t>
      </w:r>
    </w:p>
    <w:p w:rsidR="00A07DE6" w:rsidRPr="008F6ABB" w:rsidRDefault="00A07DE6" w:rsidP="00A07DE6">
      <w:pPr>
        <w:pStyle w:val="ESchpar"/>
        <w:rPr>
          <w:rFonts w:eastAsia="Calibri"/>
        </w:rPr>
      </w:pPr>
    </w:p>
    <w:p w:rsidR="00A07DE6" w:rsidRPr="008F6ABB" w:rsidRDefault="00A07DE6" w:rsidP="00A07DE6">
      <w:pPr>
        <w:pStyle w:val="ESchpar"/>
        <w:rPr>
          <w:rFonts w:eastAsia="Calibri"/>
        </w:rPr>
      </w:pPr>
      <w:r>
        <w:t>La commissione di ispezione ammette deroghe per gli impianti d'allarme che comprendono meno di cinque punti di rilevazione.</w:t>
      </w:r>
    </w:p>
    <w:p w:rsidR="00A07DE6" w:rsidRDefault="00A07DE6" w:rsidP="00A07DE6">
      <w:pPr>
        <w:pStyle w:val="ESch"/>
        <w:rPr>
          <w:rFonts w:eastAsia="Calibri"/>
        </w:rPr>
      </w:pPr>
    </w:p>
    <w:p w:rsidR="00A07DE6" w:rsidRPr="008F6ABB" w:rsidRDefault="00A07DE6" w:rsidP="00A07DE6">
      <w:pPr>
        <w:pStyle w:val="ESch"/>
        <w:rPr>
          <w:rFonts w:eastAsia="Calibri"/>
        </w:rPr>
      </w:pPr>
      <w:r>
        <w:t>2.</w:t>
      </w:r>
      <w:r>
        <w:tab/>
        <w:t>Sistemi di sicurezza</w:t>
      </w:r>
    </w:p>
    <w:p w:rsidR="00A07DE6" w:rsidRPr="008F6ABB" w:rsidRDefault="00A07DE6" w:rsidP="00A07DE6">
      <w:pPr>
        <w:pStyle w:val="ESchpar"/>
        <w:rPr>
          <w:rFonts w:eastAsia="Calibri"/>
        </w:rPr>
      </w:pPr>
    </w:p>
    <w:p w:rsidR="00A07DE6" w:rsidRPr="008F6ABB" w:rsidRDefault="00A07DE6" w:rsidP="00A07DE6">
      <w:pPr>
        <w:pStyle w:val="ESchpar"/>
        <w:rPr>
          <w:rFonts w:eastAsia="Calibri"/>
        </w:rPr>
      </w:pPr>
      <w:r>
        <w:t>I sistemi di sicurezza sono progettati in modo da arrestare o rallentare il funzionamento dell'impianto a rischio ovvero informare una postazione presidiata in permanenza perché agisca in tal senso, prima che si giunga ad uno stato critico.</w:t>
      </w:r>
    </w:p>
    <w:p w:rsidR="00A07DE6" w:rsidRPr="008F6ABB" w:rsidRDefault="00A07DE6" w:rsidP="00A07DE6">
      <w:pPr>
        <w:pStyle w:val="ESchpar"/>
        <w:rPr>
          <w:rFonts w:eastAsia="Calibri"/>
        </w:rPr>
      </w:pPr>
    </w:p>
    <w:p w:rsidR="00A07DE6" w:rsidRPr="008F6ABB" w:rsidRDefault="00A07DE6" w:rsidP="00A07DE6">
      <w:pPr>
        <w:pStyle w:val="ESchpar"/>
        <w:rPr>
          <w:rFonts w:eastAsia="Calibri"/>
        </w:rPr>
      </w:pPr>
      <w:r>
        <w:t>I trasmettitori binari sono progettati secondo il principio della corrente di esercizio.</w:t>
      </w:r>
    </w:p>
    <w:p w:rsidR="00A07DE6" w:rsidRPr="008F6ABB" w:rsidRDefault="00A07DE6" w:rsidP="00A07DE6">
      <w:pPr>
        <w:pStyle w:val="ESchpar"/>
        <w:rPr>
          <w:rFonts w:eastAsia="Calibri"/>
        </w:rPr>
      </w:pPr>
    </w:p>
    <w:p w:rsidR="00A07DE6" w:rsidRPr="008F6ABB" w:rsidRDefault="00A07DE6" w:rsidP="00A07DE6">
      <w:pPr>
        <w:pStyle w:val="ESchpar"/>
        <w:rPr>
          <w:rFonts w:eastAsia="Calibri"/>
        </w:rPr>
      </w:pPr>
      <w:r>
        <w:t>Se i sistemi di sicurezza non sono progettati per essere autocontrollati, il loro funzionamento deve essere verificabile.</w:t>
      </w:r>
    </w:p>
    <w:p w:rsidR="00A07DE6" w:rsidRPr="008F6ABB" w:rsidRDefault="00A07DE6" w:rsidP="00A07DE6">
      <w:pPr>
        <w:pStyle w:val="ESchpar"/>
        <w:rPr>
          <w:rFonts w:eastAsia="Calibri"/>
        </w:rPr>
      </w:pPr>
    </w:p>
    <w:p w:rsidR="00A07DE6" w:rsidRPr="008F6ABB" w:rsidRDefault="00A07DE6" w:rsidP="00A07DE6">
      <w:pPr>
        <w:pStyle w:val="ESchpar"/>
        <w:rPr>
          <w:rFonts w:eastAsia="Calibri"/>
        </w:rPr>
      </w:pPr>
      <w:r>
        <w:t>I sistemi di sicurezza sono indipendenti da altri sistemi.</w:t>
      </w:r>
    </w:p>
    <w:p w:rsidR="008A12E7" w:rsidRPr="00A07DE6" w:rsidRDefault="008A12E7" w:rsidP="008A12E7">
      <w:pPr>
        <w:rPr>
          <w:rFonts w:cs="Arial"/>
          <w:szCs w:val="20"/>
        </w:rPr>
      </w:pPr>
    </w:p>
    <w:p w:rsidR="0009596F" w:rsidRPr="00C903F8" w:rsidRDefault="0009596F" w:rsidP="008A12E7">
      <w:pPr>
        <w:rPr>
          <w:rFonts w:cs="Arial"/>
          <w:szCs w:val="20"/>
        </w:rPr>
      </w:pPr>
    </w:p>
    <w:p w:rsidR="008A12E7" w:rsidRPr="00C903F8" w:rsidRDefault="008A12E7" w:rsidP="00F06174">
      <w:pPr>
        <w:pStyle w:val="ES-Titre3"/>
      </w:pPr>
      <w:bookmarkStart w:id="199" w:name="_Toc491854097"/>
      <w:bookmarkStart w:id="200" w:name="_Toc535500046"/>
      <w:r>
        <w:t>Articolo 10.20</w:t>
      </w:r>
      <w:r>
        <w:br/>
      </w:r>
      <w:r>
        <w:rPr>
          <w:i/>
        </w:rPr>
        <w:t>Condizioni delle prove per gli impianti elettronici</w:t>
      </w:r>
      <w:bookmarkEnd w:id="199"/>
      <w:bookmarkEnd w:id="200"/>
    </w:p>
    <w:p w:rsidR="00F06174" w:rsidRPr="00C903F8" w:rsidRDefault="00F06174" w:rsidP="00F06174">
      <w:pPr>
        <w:ind w:left="0" w:firstLine="0"/>
        <w:rPr>
          <w:rFonts w:cs="Arial"/>
          <w:noProof/>
          <w:szCs w:val="20"/>
        </w:rPr>
      </w:pPr>
    </w:p>
    <w:p w:rsidR="00A07DE6" w:rsidRPr="00A07DE6" w:rsidRDefault="00A07DE6" w:rsidP="00A07DE6">
      <w:pPr>
        <w:spacing w:line="240" w:lineRule="atLeast"/>
        <w:ind w:left="567" w:hanging="567"/>
      </w:pPr>
      <w:r>
        <w:t>1.</w:t>
      </w:r>
      <w:r>
        <w:tab/>
        <w:t>Aspetti generali</w:t>
      </w:r>
    </w:p>
    <w:p w:rsidR="00A07DE6" w:rsidRPr="00A07DE6" w:rsidRDefault="00A07DE6" w:rsidP="00A07DE6">
      <w:pPr>
        <w:spacing w:line="240" w:lineRule="atLeast"/>
        <w:ind w:left="567" w:firstLine="0"/>
      </w:pPr>
    </w:p>
    <w:p w:rsidR="00A07DE6" w:rsidRPr="00A07DE6" w:rsidRDefault="00A07DE6" w:rsidP="00A07DE6">
      <w:pPr>
        <w:spacing w:line="240" w:lineRule="atLeast"/>
        <w:ind w:left="567" w:firstLine="0"/>
      </w:pPr>
      <w:r>
        <w:t>Le condizioni di prova di cui al paragrafo 2 sono applicabili soltanto agli apparecchi elettronici necessari per gli apparati di governo e le macchine di propulsione dell'imbarcazione, comprese le apparecchiature ausiliarie.</w:t>
      </w:r>
    </w:p>
    <w:p w:rsidR="00A07DE6" w:rsidRPr="00A07DE6" w:rsidRDefault="00A07DE6" w:rsidP="00A07DE6">
      <w:pPr>
        <w:spacing w:line="240" w:lineRule="atLeast"/>
        <w:ind w:left="567" w:hanging="567"/>
      </w:pPr>
    </w:p>
    <w:p w:rsidR="00A07DE6" w:rsidRPr="00A07DE6" w:rsidRDefault="00A07DE6" w:rsidP="00A07DE6">
      <w:pPr>
        <w:spacing w:line="240" w:lineRule="atLeast"/>
        <w:ind w:left="567" w:hanging="567"/>
      </w:pPr>
      <w:r>
        <w:t>2.</w:t>
      </w:r>
      <w:r>
        <w:tab/>
        <w:t>Condizioni delle prove</w:t>
      </w:r>
    </w:p>
    <w:p w:rsidR="00A07DE6" w:rsidRPr="00A07DE6" w:rsidRDefault="00A07DE6" w:rsidP="00A07DE6">
      <w:pPr>
        <w:spacing w:before="60" w:line="240" w:lineRule="atLeast"/>
        <w:ind w:left="992"/>
      </w:pPr>
      <w:r>
        <w:t>a)</w:t>
      </w:r>
      <w:r>
        <w:tab/>
        <w:t>Le sollecitazioni derivanti dalle seguenti prove non provocano danni o anomalie di funzionamento degli apparecchi elettronici. Le prove conformi alle norme internazionali pertinenti, come il la norma IEC 60092-504:2016, sono condotte sul dispositivo in funzione, eccezion fatta per la prova di resistenza al freddo. Dette prove sono volte a verificare il corretto funzionamento.</w:t>
      </w:r>
    </w:p>
    <w:p w:rsidR="00AB2818" w:rsidRDefault="00AB2818">
      <w:pPr>
        <w:autoSpaceDE/>
        <w:autoSpaceDN/>
        <w:ind w:left="0" w:firstLine="0"/>
        <w:jc w:val="left"/>
      </w:pPr>
      <w:r>
        <w:br w:type="page"/>
      </w:r>
    </w:p>
    <w:p w:rsidR="00AB2818" w:rsidRDefault="00AB2818" w:rsidP="00A07DE6">
      <w:pPr>
        <w:spacing w:before="60" w:line="240" w:lineRule="atLeast"/>
        <w:ind w:left="992"/>
      </w:pPr>
    </w:p>
    <w:p w:rsidR="00A07DE6" w:rsidRPr="00A07DE6" w:rsidRDefault="00A07DE6" w:rsidP="00A07DE6">
      <w:pPr>
        <w:spacing w:before="60" w:line="240" w:lineRule="atLeast"/>
        <w:ind w:left="992"/>
      </w:pPr>
      <w:r>
        <w:t>b)</w:t>
      </w:r>
      <w:r>
        <w:tab/>
        <w:t>Variazioni di tensione e di frequenza</w:t>
      </w:r>
    </w:p>
    <w:p w:rsidR="00A07DE6" w:rsidRPr="00A07DE6" w:rsidRDefault="00A07DE6" w:rsidP="00A07DE6">
      <w:pPr>
        <w:spacing w:line="240" w:lineRule="atLeast"/>
        <w:ind w:left="567" w:hanging="567"/>
      </w:pPr>
    </w:p>
    <w:tbl>
      <w:tblPr>
        <w:tblW w:w="0" w:type="auto"/>
        <w:jc w:val="center"/>
        <w:tblLayout w:type="fixed"/>
        <w:tblCellMar>
          <w:left w:w="70" w:type="dxa"/>
          <w:right w:w="70" w:type="dxa"/>
        </w:tblCellMar>
        <w:tblLook w:val="0000" w:firstRow="0" w:lastRow="0" w:firstColumn="0" w:lastColumn="0" w:noHBand="0" w:noVBand="0"/>
      </w:tblPr>
      <w:tblGrid>
        <w:gridCol w:w="1985"/>
        <w:gridCol w:w="1701"/>
        <w:gridCol w:w="2155"/>
        <w:gridCol w:w="2155"/>
      </w:tblGrid>
      <w:tr w:rsidR="00A07DE6" w:rsidRPr="00A07DE6" w:rsidTr="00A07DE6">
        <w:trPr>
          <w:cantSplit/>
          <w:jc w:val="center"/>
        </w:trPr>
        <w:tc>
          <w:tcPr>
            <w:tcW w:w="1985" w:type="dxa"/>
            <w:tcBorders>
              <w:top w:val="single" w:sz="6" w:space="0" w:color="auto"/>
              <w:left w:val="single" w:sz="6" w:space="0" w:color="auto"/>
            </w:tcBorders>
            <w:vAlign w:val="center"/>
          </w:tcPr>
          <w:p w:rsidR="00A07DE6" w:rsidRPr="00A07DE6" w:rsidRDefault="00A07DE6" w:rsidP="00A07DE6">
            <w:pPr>
              <w:spacing w:before="60" w:after="60" w:line="240" w:lineRule="atLeast"/>
              <w:ind w:left="0" w:firstLine="0"/>
              <w:jc w:val="center"/>
              <w:rPr>
                <w:sz w:val="18"/>
              </w:rPr>
            </w:pPr>
          </w:p>
        </w:tc>
        <w:tc>
          <w:tcPr>
            <w:tcW w:w="1701" w:type="dxa"/>
            <w:tcBorders>
              <w:top w:val="single" w:sz="6" w:space="0" w:color="auto"/>
              <w:left w:val="single" w:sz="6" w:space="0" w:color="auto"/>
              <w:right w:val="single" w:sz="6" w:space="0" w:color="auto"/>
            </w:tcBorders>
            <w:vAlign w:val="center"/>
          </w:tcPr>
          <w:p w:rsidR="00A07DE6" w:rsidRPr="00A07DE6" w:rsidRDefault="00A07DE6" w:rsidP="00A07DE6">
            <w:pPr>
              <w:spacing w:before="60" w:after="60" w:line="240" w:lineRule="atLeast"/>
              <w:ind w:left="0" w:firstLine="0"/>
              <w:jc w:val="center"/>
              <w:rPr>
                <w:sz w:val="18"/>
              </w:rPr>
            </w:pPr>
            <w:r>
              <w:rPr>
                <w:sz w:val="18"/>
              </w:rPr>
              <w:t>Parametri</w:t>
            </w:r>
          </w:p>
        </w:tc>
        <w:tc>
          <w:tcPr>
            <w:tcW w:w="4310" w:type="dxa"/>
            <w:gridSpan w:val="2"/>
            <w:tcBorders>
              <w:top w:val="single" w:sz="6" w:space="0" w:color="auto"/>
              <w:right w:val="single" w:sz="6" w:space="0" w:color="auto"/>
            </w:tcBorders>
            <w:vAlign w:val="center"/>
          </w:tcPr>
          <w:p w:rsidR="00A07DE6" w:rsidRPr="00A07DE6" w:rsidRDefault="00A07DE6" w:rsidP="00A07DE6">
            <w:pPr>
              <w:spacing w:before="60" w:after="60" w:line="240" w:lineRule="atLeast"/>
              <w:ind w:left="0" w:firstLine="0"/>
              <w:jc w:val="center"/>
              <w:rPr>
                <w:sz w:val="18"/>
              </w:rPr>
            </w:pPr>
            <w:r>
              <w:rPr>
                <w:sz w:val="18"/>
              </w:rPr>
              <w:t>Variazioni</w:t>
            </w:r>
          </w:p>
        </w:tc>
      </w:tr>
      <w:tr w:rsidR="00A07DE6" w:rsidRPr="00A07DE6" w:rsidTr="00A07DE6">
        <w:trPr>
          <w:cantSplit/>
          <w:jc w:val="center"/>
        </w:trPr>
        <w:tc>
          <w:tcPr>
            <w:tcW w:w="1985" w:type="dxa"/>
            <w:tcBorders>
              <w:left w:val="single" w:sz="6" w:space="0" w:color="auto"/>
              <w:bottom w:val="single" w:sz="12" w:space="0" w:color="auto"/>
              <w:right w:val="single" w:sz="6" w:space="0" w:color="auto"/>
            </w:tcBorders>
            <w:vAlign w:val="center"/>
          </w:tcPr>
          <w:p w:rsidR="00A07DE6" w:rsidRPr="00A07DE6" w:rsidRDefault="00A07DE6" w:rsidP="00A07DE6">
            <w:pPr>
              <w:spacing w:before="60" w:after="60" w:line="240" w:lineRule="atLeast"/>
              <w:ind w:left="0" w:firstLine="0"/>
              <w:jc w:val="center"/>
              <w:rPr>
                <w:sz w:val="18"/>
              </w:rPr>
            </w:pPr>
          </w:p>
        </w:tc>
        <w:tc>
          <w:tcPr>
            <w:tcW w:w="1701" w:type="dxa"/>
            <w:tcBorders>
              <w:left w:val="single" w:sz="6" w:space="0" w:color="auto"/>
              <w:bottom w:val="single" w:sz="12" w:space="0" w:color="auto"/>
              <w:right w:val="single" w:sz="6" w:space="0" w:color="auto"/>
            </w:tcBorders>
            <w:vAlign w:val="center"/>
          </w:tcPr>
          <w:p w:rsidR="00A07DE6" w:rsidRPr="00A07DE6" w:rsidRDefault="00A07DE6" w:rsidP="00A07DE6">
            <w:pPr>
              <w:spacing w:before="60" w:after="60" w:line="240" w:lineRule="atLeast"/>
              <w:ind w:left="0" w:firstLine="0"/>
              <w:jc w:val="center"/>
              <w:rPr>
                <w:sz w:val="18"/>
              </w:rPr>
            </w:pPr>
          </w:p>
        </w:tc>
        <w:tc>
          <w:tcPr>
            <w:tcW w:w="2155" w:type="dxa"/>
            <w:tcBorders>
              <w:left w:val="single" w:sz="6" w:space="0" w:color="auto"/>
              <w:bottom w:val="single" w:sz="12" w:space="0" w:color="auto"/>
              <w:right w:val="single" w:sz="6" w:space="0" w:color="auto"/>
            </w:tcBorders>
            <w:vAlign w:val="center"/>
          </w:tcPr>
          <w:p w:rsidR="00A07DE6" w:rsidRPr="00A07DE6" w:rsidRDefault="00A07DE6" w:rsidP="00A07DE6">
            <w:pPr>
              <w:spacing w:before="60" w:after="60" w:line="240" w:lineRule="atLeast"/>
              <w:ind w:left="0" w:firstLine="0"/>
              <w:jc w:val="center"/>
              <w:rPr>
                <w:sz w:val="18"/>
              </w:rPr>
            </w:pPr>
            <w:r>
              <w:rPr>
                <w:sz w:val="18"/>
              </w:rPr>
              <w:t>continue</w:t>
            </w:r>
          </w:p>
        </w:tc>
        <w:tc>
          <w:tcPr>
            <w:tcW w:w="2155" w:type="dxa"/>
            <w:tcBorders>
              <w:left w:val="single" w:sz="6" w:space="0" w:color="auto"/>
              <w:bottom w:val="single" w:sz="12" w:space="0" w:color="auto"/>
              <w:right w:val="single" w:sz="6" w:space="0" w:color="auto"/>
            </w:tcBorders>
            <w:vAlign w:val="center"/>
          </w:tcPr>
          <w:p w:rsidR="00A07DE6" w:rsidRPr="00A07DE6" w:rsidRDefault="00A07DE6" w:rsidP="00A07DE6">
            <w:pPr>
              <w:spacing w:before="60" w:after="60" w:line="240" w:lineRule="atLeast"/>
              <w:ind w:left="0" w:firstLine="0"/>
              <w:jc w:val="center"/>
              <w:rPr>
                <w:sz w:val="18"/>
              </w:rPr>
            </w:pPr>
            <w:r>
              <w:rPr>
                <w:sz w:val="18"/>
              </w:rPr>
              <w:t>di breve durata</w:t>
            </w:r>
          </w:p>
        </w:tc>
      </w:tr>
      <w:tr w:rsidR="00A07DE6" w:rsidRPr="00A07DE6" w:rsidTr="00A07DE6">
        <w:trPr>
          <w:cantSplit/>
          <w:trHeight w:val="763"/>
          <w:jc w:val="center"/>
        </w:trPr>
        <w:tc>
          <w:tcPr>
            <w:tcW w:w="1985" w:type="dxa"/>
            <w:tcBorders>
              <w:top w:val="single" w:sz="12" w:space="0" w:color="auto"/>
              <w:left w:val="single" w:sz="6" w:space="0" w:color="auto"/>
              <w:bottom w:val="single" w:sz="6" w:space="0" w:color="auto"/>
              <w:right w:val="single" w:sz="6" w:space="0" w:color="auto"/>
            </w:tcBorders>
            <w:vAlign w:val="center"/>
          </w:tcPr>
          <w:p w:rsidR="00A07DE6" w:rsidRPr="00A07DE6" w:rsidRDefault="00A07DE6" w:rsidP="00A07DE6">
            <w:pPr>
              <w:spacing w:before="60" w:after="60" w:line="240" w:lineRule="atLeast"/>
              <w:ind w:left="0" w:firstLine="0"/>
              <w:jc w:val="left"/>
              <w:rPr>
                <w:sz w:val="18"/>
              </w:rPr>
            </w:pPr>
            <w:r>
              <w:rPr>
                <w:sz w:val="18"/>
              </w:rPr>
              <w:t>Aspetti generali</w:t>
            </w:r>
          </w:p>
        </w:tc>
        <w:tc>
          <w:tcPr>
            <w:tcW w:w="1701" w:type="dxa"/>
            <w:tcBorders>
              <w:top w:val="single" w:sz="12" w:space="0" w:color="auto"/>
              <w:left w:val="single" w:sz="6" w:space="0" w:color="auto"/>
              <w:bottom w:val="single" w:sz="6" w:space="0" w:color="auto"/>
              <w:right w:val="single" w:sz="6" w:space="0" w:color="auto"/>
            </w:tcBorders>
            <w:vAlign w:val="center"/>
          </w:tcPr>
          <w:p w:rsidR="00A07DE6" w:rsidRPr="00A07DE6" w:rsidRDefault="00A07DE6" w:rsidP="00A07DE6">
            <w:pPr>
              <w:spacing w:before="60" w:after="60" w:line="240" w:lineRule="atLeast"/>
              <w:ind w:left="0" w:firstLine="0"/>
              <w:jc w:val="center"/>
              <w:rPr>
                <w:sz w:val="18"/>
              </w:rPr>
            </w:pPr>
            <w:r>
              <w:rPr>
                <w:sz w:val="18"/>
              </w:rPr>
              <w:t>Frequenza</w:t>
            </w:r>
            <w:r>
              <w:rPr>
                <w:sz w:val="18"/>
              </w:rPr>
              <w:br/>
              <w:t>Tensione</w:t>
            </w:r>
          </w:p>
        </w:tc>
        <w:tc>
          <w:tcPr>
            <w:tcW w:w="2155" w:type="dxa"/>
            <w:tcBorders>
              <w:top w:val="single" w:sz="12" w:space="0" w:color="auto"/>
              <w:left w:val="single" w:sz="6" w:space="0" w:color="auto"/>
              <w:bottom w:val="single" w:sz="6" w:space="0" w:color="auto"/>
              <w:right w:val="single" w:sz="6" w:space="0" w:color="auto"/>
            </w:tcBorders>
            <w:vAlign w:val="center"/>
          </w:tcPr>
          <w:p w:rsidR="00A07DE6" w:rsidRPr="00A07DE6" w:rsidRDefault="00A07DE6" w:rsidP="00A07DE6">
            <w:pPr>
              <w:spacing w:before="60" w:after="60" w:line="240" w:lineRule="atLeast"/>
              <w:ind w:left="0" w:firstLine="0"/>
              <w:jc w:val="center"/>
              <w:rPr>
                <w:sz w:val="18"/>
              </w:rPr>
            </w:pPr>
            <w:r>
              <w:rPr>
                <w:sz w:val="18"/>
              </w:rPr>
              <w:sym w:font="Symbol" w:char="F0B1"/>
            </w:r>
            <w:r>
              <w:rPr>
                <w:sz w:val="18"/>
              </w:rPr>
              <w:t xml:space="preserve"> 5 %</w:t>
            </w:r>
            <w:r>
              <w:rPr>
                <w:sz w:val="18"/>
              </w:rPr>
              <w:br/>
            </w:r>
            <w:r>
              <w:rPr>
                <w:sz w:val="18"/>
              </w:rPr>
              <w:sym w:font="Symbol" w:char="F0B1"/>
            </w:r>
            <w:r>
              <w:rPr>
                <w:sz w:val="18"/>
              </w:rPr>
              <w:t xml:space="preserve"> 10 %</w:t>
            </w:r>
          </w:p>
        </w:tc>
        <w:tc>
          <w:tcPr>
            <w:tcW w:w="2155" w:type="dxa"/>
            <w:tcBorders>
              <w:top w:val="single" w:sz="12" w:space="0" w:color="auto"/>
              <w:left w:val="single" w:sz="6" w:space="0" w:color="auto"/>
              <w:bottom w:val="single" w:sz="6" w:space="0" w:color="auto"/>
              <w:right w:val="single" w:sz="6" w:space="0" w:color="auto"/>
            </w:tcBorders>
            <w:vAlign w:val="center"/>
          </w:tcPr>
          <w:p w:rsidR="00A07DE6" w:rsidRPr="00A07DE6" w:rsidRDefault="00A07DE6" w:rsidP="00A07DE6">
            <w:pPr>
              <w:spacing w:before="60" w:after="60" w:line="240" w:lineRule="atLeast"/>
              <w:ind w:left="0" w:firstLine="0"/>
              <w:jc w:val="center"/>
              <w:rPr>
                <w:sz w:val="18"/>
              </w:rPr>
            </w:pPr>
            <w:r>
              <w:rPr>
                <w:sz w:val="18"/>
              </w:rPr>
              <w:sym w:font="Symbol" w:char="F0B1"/>
            </w:r>
            <w:r>
              <w:rPr>
                <w:sz w:val="18"/>
              </w:rPr>
              <w:t xml:space="preserve"> 10 % 5 s</w:t>
            </w:r>
            <w:r>
              <w:rPr>
                <w:sz w:val="18"/>
              </w:rPr>
              <w:br/>
            </w:r>
            <w:r>
              <w:rPr>
                <w:sz w:val="18"/>
              </w:rPr>
              <w:sym w:font="Symbol" w:char="F0B1"/>
            </w:r>
            <w:r>
              <w:rPr>
                <w:sz w:val="18"/>
              </w:rPr>
              <w:t xml:space="preserve"> 20 % 1,5 s</w:t>
            </w:r>
          </w:p>
        </w:tc>
      </w:tr>
      <w:tr w:rsidR="00A07DE6" w:rsidRPr="00A07DE6" w:rsidTr="00A07DE6">
        <w:trPr>
          <w:cantSplit/>
          <w:trHeight w:val="689"/>
          <w:jc w:val="center"/>
        </w:trPr>
        <w:tc>
          <w:tcPr>
            <w:tcW w:w="1985" w:type="dxa"/>
            <w:tcBorders>
              <w:top w:val="single" w:sz="6" w:space="0" w:color="auto"/>
              <w:left w:val="single" w:sz="6" w:space="0" w:color="auto"/>
              <w:bottom w:val="single" w:sz="6" w:space="0" w:color="auto"/>
              <w:right w:val="single" w:sz="6" w:space="0" w:color="auto"/>
            </w:tcBorders>
            <w:vAlign w:val="center"/>
          </w:tcPr>
          <w:p w:rsidR="00A07DE6" w:rsidRPr="00A07DE6" w:rsidRDefault="00A07DE6" w:rsidP="00A07DE6">
            <w:pPr>
              <w:spacing w:before="60" w:after="60" w:line="240" w:lineRule="atLeast"/>
              <w:ind w:left="0" w:firstLine="0"/>
              <w:jc w:val="left"/>
              <w:rPr>
                <w:sz w:val="18"/>
              </w:rPr>
            </w:pPr>
            <w:r>
              <w:rPr>
                <w:sz w:val="18"/>
              </w:rPr>
              <w:t>Funzionamento a batterie</w:t>
            </w:r>
          </w:p>
        </w:tc>
        <w:tc>
          <w:tcPr>
            <w:tcW w:w="1701" w:type="dxa"/>
            <w:tcBorders>
              <w:top w:val="single" w:sz="6" w:space="0" w:color="auto"/>
              <w:left w:val="single" w:sz="6" w:space="0" w:color="auto"/>
              <w:bottom w:val="single" w:sz="6" w:space="0" w:color="auto"/>
              <w:right w:val="single" w:sz="6" w:space="0" w:color="auto"/>
            </w:tcBorders>
            <w:vAlign w:val="center"/>
          </w:tcPr>
          <w:p w:rsidR="00A07DE6" w:rsidRPr="00A07DE6" w:rsidRDefault="00A07DE6" w:rsidP="00A07DE6">
            <w:pPr>
              <w:spacing w:before="60" w:after="60" w:line="240" w:lineRule="atLeast"/>
              <w:ind w:left="0" w:firstLine="0"/>
              <w:jc w:val="center"/>
              <w:rPr>
                <w:sz w:val="18"/>
              </w:rPr>
            </w:pPr>
            <w:r>
              <w:rPr>
                <w:sz w:val="18"/>
              </w:rPr>
              <w:t>Tensione</w:t>
            </w:r>
          </w:p>
        </w:tc>
        <w:tc>
          <w:tcPr>
            <w:tcW w:w="2155" w:type="dxa"/>
            <w:tcBorders>
              <w:top w:val="single" w:sz="6" w:space="0" w:color="auto"/>
              <w:left w:val="single" w:sz="6" w:space="0" w:color="auto"/>
              <w:bottom w:val="single" w:sz="6" w:space="0" w:color="auto"/>
              <w:right w:val="single" w:sz="6" w:space="0" w:color="auto"/>
            </w:tcBorders>
            <w:vAlign w:val="center"/>
          </w:tcPr>
          <w:p w:rsidR="00A07DE6" w:rsidRPr="00A07DE6" w:rsidRDefault="00A07DE6" w:rsidP="00A07DE6">
            <w:pPr>
              <w:spacing w:before="60" w:after="60" w:line="240" w:lineRule="atLeast"/>
              <w:ind w:left="0" w:firstLine="0"/>
              <w:jc w:val="center"/>
              <w:rPr>
                <w:sz w:val="18"/>
              </w:rPr>
            </w:pPr>
            <w:r>
              <w:rPr>
                <w:sz w:val="18"/>
              </w:rPr>
              <w:t>+30 % / -25 %</w:t>
            </w:r>
          </w:p>
        </w:tc>
        <w:tc>
          <w:tcPr>
            <w:tcW w:w="2155" w:type="dxa"/>
            <w:tcBorders>
              <w:top w:val="single" w:sz="6" w:space="0" w:color="auto"/>
              <w:left w:val="single" w:sz="6" w:space="0" w:color="auto"/>
              <w:bottom w:val="single" w:sz="6" w:space="0" w:color="auto"/>
              <w:right w:val="single" w:sz="6" w:space="0" w:color="auto"/>
            </w:tcBorders>
            <w:vAlign w:val="center"/>
          </w:tcPr>
          <w:p w:rsidR="00A07DE6" w:rsidRPr="00A07DE6" w:rsidRDefault="00A07DE6" w:rsidP="00A07DE6">
            <w:pPr>
              <w:spacing w:before="60" w:after="60" w:line="240" w:lineRule="atLeast"/>
              <w:ind w:left="0" w:firstLine="0"/>
              <w:jc w:val="center"/>
              <w:rPr>
                <w:sz w:val="18"/>
              </w:rPr>
            </w:pPr>
            <w:r>
              <w:rPr>
                <w:sz w:val="18"/>
              </w:rPr>
              <w:t>-</w:t>
            </w:r>
          </w:p>
        </w:tc>
      </w:tr>
    </w:tbl>
    <w:p w:rsidR="00A07DE6" w:rsidRPr="00A07DE6" w:rsidRDefault="00A07DE6" w:rsidP="00A07DE6">
      <w:pPr>
        <w:spacing w:line="240" w:lineRule="atLeast"/>
        <w:ind w:left="567" w:hanging="567"/>
      </w:pPr>
    </w:p>
    <w:p w:rsidR="00A07DE6" w:rsidRPr="00A07DE6" w:rsidRDefault="00A07DE6" w:rsidP="00A07DE6">
      <w:pPr>
        <w:spacing w:before="60" w:line="240" w:lineRule="atLeast"/>
        <w:ind w:left="992"/>
      </w:pPr>
      <w:r>
        <w:t>c)</w:t>
      </w:r>
      <w:r>
        <w:tab/>
        <w:t>Prova di resistenza al calore</w:t>
      </w:r>
    </w:p>
    <w:p w:rsidR="00A07DE6" w:rsidRPr="00A07DE6" w:rsidRDefault="00A07DE6" w:rsidP="00A07DE6">
      <w:pPr>
        <w:spacing w:before="60" w:line="240" w:lineRule="atLeast"/>
        <w:ind w:left="992" w:firstLine="0"/>
      </w:pPr>
      <w:r>
        <w:t>Il campione è portato a una temperatura di 55 °C nell'arco di mezz'ora; una volta raggiunta la temperatura, viene mantenuto a tale temperatura per 16 ore. Si procede poi a una prova di funzionamento.</w:t>
      </w:r>
    </w:p>
    <w:p w:rsidR="00A07DE6" w:rsidRPr="00A07DE6" w:rsidRDefault="00A07DE6" w:rsidP="00E9735B">
      <w:pPr>
        <w:pStyle w:val="ESlet"/>
      </w:pPr>
      <w:r>
        <w:t>d)</w:t>
      </w:r>
      <w:r>
        <w:tab/>
        <w:t>Prova di resistenza al freddo</w:t>
      </w:r>
    </w:p>
    <w:p w:rsidR="00A07DE6" w:rsidRPr="00A07DE6" w:rsidRDefault="00A07DE6" w:rsidP="00A07DE6">
      <w:pPr>
        <w:spacing w:before="60" w:line="240" w:lineRule="atLeast"/>
        <w:ind w:left="992" w:firstLine="0"/>
      </w:pPr>
      <w:r>
        <w:t>Il campione spento è raffreddato a - 25 °C e mantenuto a questa temperatura per 2 ore. La temperatura viene poi portata a 0 °C e si procede a una prova di funzionamento.</w:t>
      </w:r>
    </w:p>
    <w:p w:rsidR="00A07DE6" w:rsidRPr="00A07DE6" w:rsidRDefault="00A07DE6" w:rsidP="00E9735B">
      <w:pPr>
        <w:pStyle w:val="ESlet"/>
      </w:pPr>
      <w:r>
        <w:t>e)</w:t>
      </w:r>
      <w:r>
        <w:tab/>
        <w:t>Prova di vibrazione</w:t>
      </w:r>
    </w:p>
    <w:p w:rsidR="00A07DE6" w:rsidRPr="00A07DE6" w:rsidRDefault="00A07DE6" w:rsidP="00A07DE6">
      <w:pPr>
        <w:spacing w:before="60" w:line="240" w:lineRule="atLeast"/>
        <w:ind w:left="992" w:firstLine="0"/>
      </w:pPr>
      <w:r>
        <w:t>Le prove di vibrazione sono effettuate alla frequenza di risonanza degli apparecchi o dei componenti, nei tre assi, per una durata, ogni volta, di 90 minuti. Se non si verifica alcuna risonanza netta, la prova di vibrazione si effettua a 30 Hz.</w:t>
      </w:r>
    </w:p>
    <w:p w:rsidR="00A07DE6" w:rsidRPr="00A07DE6" w:rsidRDefault="00A07DE6" w:rsidP="00350277">
      <w:pPr>
        <w:pStyle w:val="ESletpar"/>
      </w:pPr>
      <w:r>
        <w:t>La prova di vibrazione si effettua mediante oscillazione sinusoidale nei seguenti limiti:</w:t>
      </w:r>
    </w:p>
    <w:p w:rsidR="00A07DE6" w:rsidRPr="00A07DE6" w:rsidRDefault="00A07DE6" w:rsidP="00350277">
      <w:pPr>
        <w:pStyle w:val="ESletpar"/>
      </w:pPr>
      <w:r>
        <w:t>In generale:</w:t>
      </w:r>
    </w:p>
    <w:p w:rsidR="00A07DE6" w:rsidRPr="00A07DE6" w:rsidRDefault="00A07DE6" w:rsidP="00A07DE6">
      <w:pPr>
        <w:spacing w:before="60" w:line="240" w:lineRule="atLeast"/>
        <w:ind w:left="992" w:firstLine="0"/>
      </w:pPr>
      <m:oMath>
        <m:r>
          <w:rPr>
            <w:rFonts w:ascii="Cambria Math" w:hAnsi="Cambria Math"/>
          </w:rPr>
          <m:t>f</m:t>
        </m:r>
      </m:oMath>
      <w:r>
        <w:t xml:space="preserve"> = da 2,0 a 13,2 Hz; </w:t>
      </w:r>
      <m:oMath>
        <m:r>
          <w:rPr>
            <w:rFonts w:ascii="Cambria Math" w:hAnsi="Cambria Math"/>
          </w:rPr>
          <m:t>a</m:t>
        </m:r>
      </m:oMath>
      <w:r>
        <w:t xml:space="preserve"> = ± 1 mm</w:t>
      </w:r>
    </w:p>
    <w:p w:rsidR="00A07DE6" w:rsidRPr="00A07DE6" w:rsidRDefault="00A07DE6" w:rsidP="00A07DE6">
      <w:pPr>
        <w:spacing w:before="60" w:line="240" w:lineRule="atLeast"/>
        <w:ind w:left="992" w:firstLine="0"/>
      </w:pPr>
      <w:r>
        <w:t xml:space="preserve">(ampiezza </w:t>
      </w:r>
      <m:oMath>
        <m:r>
          <w:rPr>
            <w:rFonts w:ascii="Cambria Math" w:hAnsi="Cambria Math"/>
          </w:rPr>
          <m:t>a</m:t>
        </m:r>
      </m:oMath>
      <w:r>
        <w:t xml:space="preserve"> = 1/2 della grandezza della vibrazione);</w:t>
      </w:r>
    </w:p>
    <w:p w:rsidR="00A07DE6" w:rsidRPr="00A07DE6" w:rsidRDefault="00A07DE6" w:rsidP="00A07DE6">
      <w:pPr>
        <w:spacing w:before="60" w:line="240" w:lineRule="atLeast"/>
        <w:ind w:left="992" w:firstLine="0"/>
      </w:pPr>
      <m:oMath>
        <m:r>
          <w:rPr>
            <w:rFonts w:ascii="Cambria Math" w:hAnsi="Cambria Math"/>
          </w:rPr>
          <m:t>f</m:t>
        </m:r>
      </m:oMath>
      <w:r>
        <w:t xml:space="preserve"> = da 13,2 Hz a 100 Hz: accelerazione ± 0,7 g.</w:t>
      </w:r>
    </w:p>
    <w:p w:rsidR="00A07DE6" w:rsidRPr="00A07DE6" w:rsidRDefault="00A07DE6" w:rsidP="00A07DE6">
      <w:pPr>
        <w:spacing w:before="60" w:line="240" w:lineRule="atLeast"/>
        <w:ind w:left="992" w:firstLine="0"/>
      </w:pPr>
      <w:r>
        <w:t>I materiali di servizio destinati a essere montati sui motori a combustione interna o sugli apparati di governo sono sottoposti alla seguente prova:</w:t>
      </w:r>
    </w:p>
    <w:p w:rsidR="00A07DE6" w:rsidRPr="00A07DE6" w:rsidRDefault="00A07DE6" w:rsidP="00A07DE6">
      <w:pPr>
        <w:spacing w:before="60" w:line="240" w:lineRule="atLeast"/>
        <w:ind w:left="992" w:firstLine="0"/>
      </w:pPr>
      <m:oMath>
        <m:r>
          <w:rPr>
            <w:rFonts w:ascii="Cambria Math" w:hAnsi="Cambria Math"/>
          </w:rPr>
          <m:t>f</m:t>
        </m:r>
      </m:oMath>
      <w:r>
        <w:t xml:space="preserve"> = da 2,0 a 25 Hz; </w:t>
      </w:r>
      <m:oMath>
        <m:r>
          <w:rPr>
            <w:rFonts w:ascii="Cambria Math" w:hAnsi="Cambria Math"/>
          </w:rPr>
          <m:t>a</m:t>
        </m:r>
      </m:oMath>
      <w:r>
        <w:t xml:space="preserve"> = ± 1,6 mm</w:t>
      </w:r>
    </w:p>
    <w:p w:rsidR="00A07DE6" w:rsidRPr="00A07DE6" w:rsidRDefault="00A07DE6" w:rsidP="00A07DE6">
      <w:pPr>
        <w:spacing w:before="60" w:line="240" w:lineRule="atLeast"/>
        <w:ind w:left="992" w:firstLine="0"/>
      </w:pPr>
      <w:r>
        <w:t xml:space="preserve">(ampiezza </w:t>
      </w:r>
      <m:oMath>
        <m:r>
          <w:rPr>
            <w:rFonts w:ascii="Cambria Math" w:hAnsi="Cambria Math"/>
          </w:rPr>
          <m:t>a</m:t>
        </m:r>
      </m:oMath>
      <w:r>
        <w:t xml:space="preserve"> = 1/2 della grandezza della vibrazione)</w:t>
      </w:r>
    </w:p>
    <w:p w:rsidR="00A07DE6" w:rsidRPr="00A07DE6" w:rsidRDefault="00A07DE6" w:rsidP="00A07DE6">
      <w:pPr>
        <w:spacing w:before="60" w:line="240" w:lineRule="atLeast"/>
        <w:ind w:left="992" w:firstLine="0"/>
      </w:pPr>
      <m:oMath>
        <m:r>
          <w:rPr>
            <w:rFonts w:ascii="Cambria Math" w:hAnsi="Cambria Math"/>
          </w:rPr>
          <m:t>f</m:t>
        </m:r>
      </m:oMath>
      <w:r>
        <w:t xml:space="preserve"> = da 25 Hz a 100 Hz; accelerazione ± 4 g.</w:t>
      </w:r>
    </w:p>
    <w:p w:rsidR="00A07DE6" w:rsidRPr="00A07DE6" w:rsidRDefault="00A07DE6" w:rsidP="00350277">
      <w:pPr>
        <w:pStyle w:val="ESletpar"/>
      </w:pPr>
      <w:r>
        <w:t>I rivelatori destinati a essere installati nei tubi di scarico dei motore a combustione interna possono subire sollecitazioni decisamente superiori. In occasione delle prove occorre tenerne conto.</w:t>
      </w:r>
    </w:p>
    <w:p w:rsidR="00A07DE6" w:rsidRPr="00A07DE6" w:rsidRDefault="00A07DE6" w:rsidP="00350277">
      <w:pPr>
        <w:pStyle w:val="ESch"/>
      </w:pPr>
    </w:p>
    <w:p w:rsidR="00A07DE6" w:rsidRPr="00A07DE6" w:rsidRDefault="00A07DE6" w:rsidP="00A07DE6">
      <w:pPr>
        <w:spacing w:line="240" w:lineRule="atLeast"/>
        <w:ind w:left="567" w:hanging="567"/>
      </w:pPr>
      <w:r>
        <w:t>4.</w:t>
      </w:r>
      <w:r>
        <w:tab/>
        <w:t>Le prove di compatibilità elettromagnetica sono effettuate in base alle norme europee EN 61000-4-2:2009, EN 61000-4-3:2010, EN 61000</w:t>
      </w:r>
      <w:r>
        <w:softHyphen/>
        <w:t>4</w:t>
      </w:r>
      <w:r>
        <w:softHyphen/>
        <w:t>4:2012 con il livello di prova 3.</w:t>
      </w:r>
    </w:p>
    <w:p w:rsidR="00A07DE6" w:rsidRPr="00A07DE6" w:rsidRDefault="00A07DE6" w:rsidP="00A07DE6">
      <w:pPr>
        <w:spacing w:line="240" w:lineRule="atLeast"/>
        <w:ind w:left="992"/>
      </w:pPr>
    </w:p>
    <w:p w:rsidR="00A07DE6" w:rsidRPr="00A07DE6" w:rsidRDefault="00A07DE6" w:rsidP="00A07DE6">
      <w:pPr>
        <w:spacing w:line="240" w:lineRule="atLeast"/>
        <w:ind w:left="567" w:hanging="567"/>
      </w:pPr>
      <w:r>
        <w:t>5.</w:t>
      </w:r>
      <w:r>
        <w:tab/>
        <w:t>Il costruttore attesta che il dispositivo elettronico è idoneo a sostenere le prove in questione. Anche un certificato rilasciato da un organismo di classificazione autorizzato è considerato una evidenza.</w:t>
      </w:r>
    </w:p>
    <w:p w:rsidR="00283317" w:rsidRPr="00A07DE6" w:rsidRDefault="00283317" w:rsidP="00283317">
      <w:pPr>
        <w:rPr>
          <w:rFonts w:cs="Arial"/>
          <w:szCs w:val="20"/>
        </w:rPr>
      </w:pPr>
    </w:p>
    <w:p w:rsidR="00B04291" w:rsidRDefault="00B04291" w:rsidP="00AA5633">
      <w:pPr>
        <w:pStyle w:val="ESch"/>
      </w:pPr>
      <w:bookmarkStart w:id="201" w:name="_Toc436115054"/>
    </w:p>
    <w:p w:rsidR="00E9735B" w:rsidRDefault="00E9735B">
      <w:pPr>
        <w:autoSpaceDE/>
        <w:autoSpaceDN/>
        <w:ind w:left="0" w:firstLine="0"/>
        <w:jc w:val="left"/>
      </w:pPr>
      <w:r>
        <w:br w:type="page"/>
      </w:r>
    </w:p>
    <w:p w:rsidR="00E9735B" w:rsidRDefault="00E9735B" w:rsidP="00AA5633">
      <w:pPr>
        <w:pStyle w:val="ESch"/>
      </w:pPr>
    </w:p>
    <w:p w:rsidR="00B04291" w:rsidRPr="00AA5633" w:rsidRDefault="00B04291" w:rsidP="00B04291">
      <w:pPr>
        <w:pStyle w:val="ES-Titre3"/>
        <w:rPr>
          <w:i/>
        </w:rPr>
      </w:pPr>
      <w:bookmarkStart w:id="202" w:name="_Toc491854098"/>
      <w:bookmarkStart w:id="203" w:name="_Toc535500047"/>
      <w:r>
        <w:t>Articolo 10.21</w:t>
      </w:r>
      <w:r>
        <w:br/>
      </w:r>
      <w:r>
        <w:rPr>
          <w:i/>
        </w:rPr>
        <w:t>Compatibilità elettromagnetica</w:t>
      </w:r>
      <w:bookmarkEnd w:id="201"/>
      <w:bookmarkEnd w:id="202"/>
      <w:bookmarkEnd w:id="203"/>
    </w:p>
    <w:p w:rsidR="00B04291" w:rsidRPr="008F6ABB" w:rsidRDefault="00B04291" w:rsidP="00B04291">
      <w:pPr>
        <w:pStyle w:val="ESch"/>
      </w:pPr>
    </w:p>
    <w:p w:rsidR="00B04291" w:rsidRPr="00C4681D" w:rsidRDefault="00B04291" w:rsidP="00B04291">
      <w:pPr>
        <w:pStyle w:val="ESgauche"/>
        <w:rPr>
          <w:noProof w:val="0"/>
        </w:rPr>
      </w:pPr>
      <w:r>
        <w:t>Il funzionamento degli impianti elettrici ed elettronici non è compromesso da interferenze elettromagnetiche. A tal fine sono necessarie misure di carattere generale e di pari importanza destinate a:</w:t>
      </w:r>
    </w:p>
    <w:p w:rsidR="00B04291" w:rsidRPr="00C4681D" w:rsidRDefault="00B04291" w:rsidP="00B04291">
      <w:pPr>
        <w:pStyle w:val="ESletgauche"/>
      </w:pPr>
      <w:r>
        <w:t>a)</w:t>
      </w:r>
      <w:r>
        <w:tab/>
        <w:t>interrompere le vie di trasmissione fra la fonte delle interferenze e gli apparecchi interessati;</w:t>
      </w:r>
    </w:p>
    <w:p w:rsidR="00B04291" w:rsidRPr="00FE5499" w:rsidRDefault="00B04291" w:rsidP="00B04291">
      <w:pPr>
        <w:pStyle w:val="ESletgauche"/>
      </w:pPr>
      <w:r>
        <w:t>b)</w:t>
      </w:r>
      <w:r>
        <w:tab/>
        <w:t>ridurre le cause del disturbo alla fonte;</w:t>
      </w:r>
    </w:p>
    <w:p w:rsidR="00B04291" w:rsidRDefault="00B04291" w:rsidP="00B04291">
      <w:pPr>
        <w:pStyle w:val="ESletgauche"/>
      </w:pPr>
      <w:r>
        <w:t>c)</w:t>
      </w:r>
      <w:r>
        <w:tab/>
        <w:t>ridurre la sensibilità degli apparecchi interessati alle interferenze.</w:t>
      </w:r>
    </w:p>
    <w:p w:rsidR="00283317" w:rsidRDefault="00283317" w:rsidP="00283317">
      <w:pPr>
        <w:rPr>
          <w:rFonts w:cs="Arial"/>
          <w:szCs w:val="20"/>
        </w:rPr>
      </w:pPr>
    </w:p>
    <w:p w:rsidR="00350277" w:rsidRDefault="00350277">
      <w:pPr>
        <w:autoSpaceDE/>
        <w:autoSpaceDN/>
        <w:ind w:left="0" w:firstLine="0"/>
        <w:jc w:val="left"/>
        <w:rPr>
          <w:rFonts w:cs="Arial"/>
          <w:szCs w:val="20"/>
        </w:rPr>
      </w:pPr>
    </w:p>
    <w:p w:rsidR="00E9735B" w:rsidRDefault="00E9735B">
      <w:pPr>
        <w:autoSpaceDE/>
        <w:autoSpaceDN/>
        <w:ind w:left="0" w:firstLine="0"/>
        <w:jc w:val="left"/>
        <w:rPr>
          <w:rFonts w:cs="Arial"/>
          <w:szCs w:val="20"/>
        </w:rPr>
      </w:pPr>
      <w:r>
        <w:br w:type="page"/>
      </w:r>
    </w:p>
    <w:p w:rsidR="00350277" w:rsidRDefault="00350277" w:rsidP="00283317">
      <w:pPr>
        <w:rPr>
          <w:rFonts w:cs="Arial"/>
          <w:szCs w:val="20"/>
        </w:rPr>
      </w:pPr>
    </w:p>
    <w:p w:rsidR="00E9735B" w:rsidRDefault="00E9735B" w:rsidP="00283317">
      <w:pPr>
        <w:rPr>
          <w:rFonts w:cs="Arial"/>
          <w:szCs w:val="20"/>
        </w:rPr>
      </w:pPr>
    </w:p>
    <w:p w:rsidR="00350277" w:rsidRPr="00C903F8" w:rsidRDefault="00350277" w:rsidP="00283317">
      <w:pPr>
        <w:rPr>
          <w:rFonts w:cs="Arial"/>
          <w:szCs w:val="20"/>
        </w:rPr>
      </w:pPr>
    </w:p>
    <w:p w:rsidR="00F6371D" w:rsidRPr="00C903F8" w:rsidRDefault="00F06174" w:rsidP="00F6371D">
      <w:pPr>
        <w:pStyle w:val="ES-Titre2"/>
      </w:pPr>
      <w:bookmarkStart w:id="204" w:name="_Toc491854099"/>
      <w:bookmarkStart w:id="205" w:name="_Toc535500048"/>
      <w:r>
        <w:lastRenderedPageBreak/>
        <w:t>Capo 11</w:t>
      </w:r>
      <w:r>
        <w:br/>
        <w:t>Sistemi di propulsione principale</w:t>
      </w:r>
      <w:bookmarkEnd w:id="204"/>
      <w:bookmarkEnd w:id="205"/>
    </w:p>
    <w:p w:rsidR="009E1A19" w:rsidRPr="00C903F8" w:rsidRDefault="009E1A19" w:rsidP="009E1A19"/>
    <w:p w:rsidR="009E1A19" w:rsidRPr="00C903F8" w:rsidRDefault="009E1A19" w:rsidP="009E1A19">
      <w:pPr>
        <w:jc w:val="center"/>
      </w:pPr>
      <w:r>
        <w:t>(Senza oggetto)</w:t>
      </w:r>
    </w:p>
    <w:p w:rsidR="00283317" w:rsidRPr="00C903F8" w:rsidRDefault="00283317" w:rsidP="009E1A19">
      <w:pPr>
        <w:jc w:val="center"/>
      </w:pPr>
    </w:p>
    <w:p w:rsidR="00283317" w:rsidRPr="00C903F8" w:rsidRDefault="00283317" w:rsidP="009E1A19">
      <w:pPr>
        <w:jc w:val="center"/>
      </w:pPr>
    </w:p>
    <w:p w:rsidR="0093091E" w:rsidRPr="00C903F8" w:rsidRDefault="000222E9" w:rsidP="009E1A19">
      <w:pPr>
        <w:jc w:val="center"/>
      </w:pPr>
      <w:r>
        <w:br w:type="page"/>
      </w:r>
    </w:p>
    <w:p w:rsidR="00283317" w:rsidRPr="00C903F8" w:rsidRDefault="00283317" w:rsidP="009E1A19">
      <w:pPr>
        <w:jc w:val="center"/>
      </w:pPr>
    </w:p>
    <w:p w:rsidR="00283317" w:rsidRPr="00C903F8" w:rsidRDefault="00283317" w:rsidP="009E1A19">
      <w:pPr>
        <w:jc w:val="center"/>
      </w:pPr>
    </w:p>
    <w:p w:rsidR="00F6371D" w:rsidRPr="00C903F8" w:rsidRDefault="00F06174" w:rsidP="00F6371D">
      <w:pPr>
        <w:pStyle w:val="ES-Titre2"/>
      </w:pPr>
      <w:bookmarkStart w:id="206" w:name="_Toc491854100"/>
      <w:bookmarkStart w:id="207" w:name="_Toc535500049"/>
      <w:r>
        <w:lastRenderedPageBreak/>
        <w:t>Capo 12</w:t>
      </w:r>
      <w:r>
        <w:br/>
        <w:t>Impianti e sistemi elettronici</w:t>
      </w:r>
      <w:bookmarkEnd w:id="206"/>
      <w:bookmarkEnd w:id="207"/>
    </w:p>
    <w:p w:rsidR="009E1A19" w:rsidRPr="00C903F8" w:rsidRDefault="009E1A19" w:rsidP="009E1A19">
      <w:pPr>
        <w:jc w:val="center"/>
      </w:pPr>
    </w:p>
    <w:p w:rsidR="009E1A19" w:rsidRPr="00C903F8" w:rsidRDefault="009E1A19" w:rsidP="009E1A19">
      <w:pPr>
        <w:jc w:val="center"/>
      </w:pPr>
      <w:r>
        <w:t>(Senza oggetto)</w:t>
      </w:r>
    </w:p>
    <w:p w:rsidR="00283317" w:rsidRPr="00C903F8" w:rsidRDefault="00283317" w:rsidP="009E1A19">
      <w:pPr>
        <w:jc w:val="center"/>
      </w:pPr>
    </w:p>
    <w:p w:rsidR="00283317" w:rsidRPr="00C903F8" w:rsidRDefault="00283317" w:rsidP="009E1A19">
      <w:pPr>
        <w:jc w:val="center"/>
      </w:pPr>
    </w:p>
    <w:p w:rsidR="000222E9" w:rsidRPr="00C903F8" w:rsidRDefault="000222E9" w:rsidP="009E1A19">
      <w:pPr>
        <w:jc w:val="center"/>
      </w:pPr>
    </w:p>
    <w:p w:rsidR="000222E9" w:rsidRPr="00C903F8" w:rsidRDefault="000222E9" w:rsidP="009E1A19">
      <w:pPr>
        <w:jc w:val="center"/>
      </w:pPr>
      <w:r>
        <w:br w:type="page"/>
      </w:r>
    </w:p>
    <w:p w:rsidR="00283317" w:rsidRPr="00C903F8" w:rsidRDefault="00283317" w:rsidP="009E1A19">
      <w:pPr>
        <w:jc w:val="center"/>
      </w:pPr>
    </w:p>
    <w:p w:rsidR="00F6371D" w:rsidRPr="00C903F8" w:rsidRDefault="00F06174" w:rsidP="00F6371D">
      <w:pPr>
        <w:pStyle w:val="ES-Titre2"/>
      </w:pPr>
      <w:bookmarkStart w:id="208" w:name="_Toc491854101"/>
      <w:bookmarkStart w:id="209" w:name="_Toc535500050"/>
      <w:r>
        <w:lastRenderedPageBreak/>
        <w:t>Capo 13</w:t>
      </w:r>
      <w:r>
        <w:br/>
        <w:t>Dotazioni</w:t>
      </w:r>
      <w:bookmarkEnd w:id="208"/>
      <w:bookmarkEnd w:id="209"/>
    </w:p>
    <w:p w:rsidR="00E65F26" w:rsidRPr="00C903F8" w:rsidRDefault="00E65F26" w:rsidP="00E65F26">
      <w:pPr>
        <w:pStyle w:val="ESch"/>
      </w:pPr>
    </w:p>
    <w:p w:rsidR="00E65F26" w:rsidRPr="00C903F8" w:rsidRDefault="00E65F26" w:rsidP="00E65F26">
      <w:pPr>
        <w:pStyle w:val="ES-Titre3"/>
        <w:rPr>
          <w:i/>
        </w:rPr>
      </w:pPr>
      <w:bookmarkStart w:id="210" w:name="_Toc491854102"/>
      <w:bookmarkStart w:id="211" w:name="_Toc535500051"/>
      <w:r>
        <w:t>Articolo 13.01</w:t>
      </w:r>
      <w:r>
        <w:br/>
      </w:r>
      <w:r>
        <w:rPr>
          <w:i/>
          <w:noProof/>
        </w:rPr>
        <w:t>Dispositivi di ancoraggio</w:t>
      </w:r>
      <w:bookmarkEnd w:id="210"/>
      <w:bookmarkEnd w:id="211"/>
    </w:p>
    <w:p w:rsidR="00312E1A" w:rsidRPr="00C903F8" w:rsidRDefault="00312E1A" w:rsidP="00E65F26">
      <w:pPr>
        <w:pStyle w:val="ESch"/>
        <w:rPr>
          <w:noProof/>
        </w:rPr>
      </w:pPr>
    </w:p>
    <w:p w:rsidR="00E65F26" w:rsidRPr="00C903F8" w:rsidRDefault="00E65F26" w:rsidP="00E65F26">
      <w:pPr>
        <w:pStyle w:val="ESch"/>
        <w:rPr>
          <w:noProof/>
        </w:rPr>
      </w:pPr>
      <w:r>
        <w:t>1.</w:t>
      </w:r>
      <w:r>
        <w:tab/>
        <w:t xml:space="preserve">Le navi adibite al trasporto merci, ad eccezione delle bettoline trasportabili su nave di lunghezza </w:t>
      </w:r>
      <m:oMath>
        <m:r>
          <w:rPr>
            <w:rFonts w:ascii="Cambria Math" w:hAnsi="Cambria Math"/>
          </w:rPr>
          <m:t>L</m:t>
        </m:r>
      </m:oMath>
      <w:r>
        <w:t xml:space="preserve"> minore o uguale a 40 m, sono dotate di ancore di prua la cui massa totale </w:t>
      </w:r>
      <m:oMath>
        <m:r>
          <w:rPr>
            <w:rFonts w:ascii="Cambria Math" w:hAnsi="Cambria Math"/>
            <w:noProof/>
          </w:rPr>
          <m:t>P</m:t>
        </m:r>
      </m:oMath>
      <w:r>
        <w:t xml:space="preserve"> è data dalla formula:</w:t>
      </w:r>
    </w:p>
    <w:p w:rsidR="00754A0C" w:rsidRPr="00C903F8" w:rsidRDefault="00754A0C" w:rsidP="00E65F26">
      <w:pPr>
        <w:pStyle w:val="ESch"/>
        <w:rPr>
          <w:noProof/>
        </w:rPr>
      </w:pPr>
    </w:p>
    <w:p w:rsidR="00754A0C" w:rsidRPr="00C903F8" w:rsidRDefault="00754A0C" w:rsidP="00AD0020">
      <w:pPr>
        <w:pStyle w:val="ESch"/>
        <w:ind w:left="0" w:firstLine="0"/>
        <w:jc w:val="center"/>
        <w:rPr>
          <w:noProof/>
        </w:rPr>
      </w:pPr>
      <m:oMathPara>
        <m:oMath>
          <m:r>
            <w:rPr>
              <w:rFonts w:ascii="Cambria Math" w:hAnsi="Cambria Math"/>
              <w:noProof/>
            </w:rPr>
            <m:t>P=k ∙B ∙T [kg]</m:t>
          </m:r>
        </m:oMath>
      </m:oMathPara>
    </w:p>
    <w:p w:rsidR="00E65F26" w:rsidRPr="00C903F8" w:rsidRDefault="00E65F26" w:rsidP="00E65F26">
      <w:pPr>
        <w:pStyle w:val="ESch"/>
      </w:pPr>
    </w:p>
    <w:p w:rsidR="00E65F26" w:rsidRPr="00C903F8" w:rsidRDefault="00E65F26" w:rsidP="00E65F26">
      <w:pPr>
        <w:pStyle w:val="ESchpar"/>
      </w:pPr>
      <w:r>
        <w:t>dove:</w:t>
      </w:r>
    </w:p>
    <w:p w:rsidR="00E65F26" w:rsidRPr="00C903F8" w:rsidRDefault="00754A0C" w:rsidP="00E65F26">
      <w:pPr>
        <w:pStyle w:val="ESlet"/>
      </w:pPr>
      <m:oMath>
        <m:r>
          <w:rPr>
            <w:rFonts w:ascii="Cambria Math" w:hAnsi="Cambria Math"/>
          </w:rPr>
          <m:t>k</m:t>
        </m:r>
      </m:oMath>
      <w:r>
        <w:tab/>
        <w:t xml:space="preserve">coefficiente che tiene conto del rapporto fra la lunghezza </w:t>
      </w:r>
      <m:oMath>
        <m:r>
          <w:rPr>
            <w:rFonts w:ascii="Cambria Math" w:hAnsi="Cambria Math"/>
          </w:rPr>
          <m:t>L</m:t>
        </m:r>
      </m:oMath>
      <w:r>
        <w:t xml:space="preserve"> e la larghezza</w:t>
      </w:r>
      <w:r w:rsidR="00A16690">
        <w:t xml:space="preserve"> </w:t>
      </w:r>
      <m:oMath>
        <m:r>
          <w:rPr>
            <w:rFonts w:ascii="Cambria Math" w:hAnsi="Cambria Math"/>
          </w:rPr>
          <m:t>B</m:t>
        </m:r>
      </m:oMath>
      <w:r>
        <w:t>, nonché del tipo di nave:</w:t>
      </w:r>
    </w:p>
    <w:p w:rsidR="00AD0020" w:rsidRPr="00C903F8" w:rsidRDefault="001C4EBE" w:rsidP="00AD0020">
      <w:pPr>
        <w:pStyle w:val="ESlet"/>
        <w:ind w:left="0" w:firstLine="0"/>
        <w:jc w:val="center"/>
        <w:rPr>
          <w:noProof/>
        </w:rPr>
      </w:pPr>
      <m:oMathPara>
        <m:oMath>
          <m:r>
            <w:rPr>
              <w:rFonts w:ascii="Cambria Math" w:hAnsi="Cambria Math"/>
              <w:noProof/>
            </w:rPr>
            <m:t xml:space="preserve">k= c </m:t>
          </m:r>
          <m:rad>
            <m:radPr>
              <m:degHide m:val="1"/>
              <m:ctrlPr>
                <w:rPr>
                  <w:rFonts w:ascii="Cambria Math" w:hAnsi="Cambria Math"/>
                  <w:i/>
                  <w:noProof/>
                  <w:sz w:val="22"/>
                </w:rPr>
              </m:ctrlPr>
            </m:radPr>
            <m:deg/>
            <m:e>
              <m:f>
                <m:fPr>
                  <m:ctrlPr>
                    <w:rPr>
                      <w:rFonts w:ascii="Cambria Math" w:hAnsi="Cambria Math"/>
                      <w:i/>
                      <w:noProof/>
                      <w:sz w:val="22"/>
                    </w:rPr>
                  </m:ctrlPr>
                </m:fPr>
                <m:num>
                  <m:r>
                    <w:rPr>
                      <w:rFonts w:ascii="Cambria Math" w:hAnsi="Cambria Math"/>
                      <w:noProof/>
                      <w:sz w:val="22"/>
                    </w:rPr>
                    <m:t>L</m:t>
                  </m:r>
                </m:num>
                <m:den>
                  <m:r>
                    <w:rPr>
                      <w:rFonts w:ascii="Cambria Math" w:hAnsi="Cambria Math"/>
                      <w:noProof/>
                      <w:sz w:val="22"/>
                    </w:rPr>
                    <m:t>8 ∙B</m:t>
                  </m:r>
                </m:den>
              </m:f>
            </m:e>
          </m:rad>
        </m:oMath>
      </m:oMathPara>
    </w:p>
    <w:p w:rsidR="00E65F26" w:rsidRPr="00C903F8" w:rsidRDefault="00E65F26" w:rsidP="00E65F26">
      <w:pPr>
        <w:pStyle w:val="ESch"/>
        <w:jc w:val="center"/>
        <w:rPr>
          <w:rStyle w:val="FootnoteReference"/>
          <w:rFonts w:cs="Arial"/>
          <w:sz w:val="18"/>
          <w:szCs w:val="18"/>
        </w:rPr>
      </w:pPr>
    </w:p>
    <w:p w:rsidR="00E65F26" w:rsidRPr="00C903F8" w:rsidRDefault="00E65F26" w:rsidP="00E65F26">
      <w:pPr>
        <w:pStyle w:val="ESletpar"/>
        <w:rPr>
          <w:noProof/>
        </w:rPr>
      </w:pPr>
      <w:r>
        <w:t xml:space="preserve">per le bettoline, tuttavia, si assume </w:t>
      </w:r>
      <m:oMath>
        <m:r>
          <w:rPr>
            <w:rFonts w:ascii="Cambria Math" w:hAnsi="Cambria Math"/>
            <w:noProof/>
          </w:rPr>
          <m:t>k=c</m:t>
        </m:r>
      </m:oMath>
      <w:r>
        <w:t>;</w:t>
      </w:r>
    </w:p>
    <w:p w:rsidR="00E65F26" w:rsidRPr="00C903F8" w:rsidRDefault="00754A0C" w:rsidP="00E65F26">
      <w:pPr>
        <w:pStyle w:val="ESlet"/>
        <w:rPr>
          <w:noProof/>
        </w:rPr>
      </w:pPr>
      <m:oMath>
        <m:r>
          <w:rPr>
            <w:rFonts w:ascii="Cambria Math" w:hAnsi="Cambria Math"/>
            <w:noProof/>
          </w:rPr>
          <m:t>c</m:t>
        </m:r>
      </m:oMath>
      <w:r>
        <w:tab/>
        <w:t>coefficiente empirico definito nella tabella seguente:</w:t>
      </w:r>
    </w:p>
    <w:p w:rsidR="00E65F26" w:rsidRPr="00C903F8" w:rsidRDefault="00E65F26" w:rsidP="00E65F26">
      <w:pPr>
        <w:pStyle w:val="ESchpar"/>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02"/>
        <w:gridCol w:w="3402"/>
      </w:tblGrid>
      <w:tr w:rsidR="00E65F26" w:rsidRPr="00C903F8" w:rsidTr="0097624C">
        <w:trPr>
          <w:jc w:val="center"/>
        </w:trPr>
        <w:tc>
          <w:tcPr>
            <w:tcW w:w="3402" w:type="dxa"/>
            <w:shd w:val="clear" w:color="auto" w:fill="auto"/>
          </w:tcPr>
          <w:p w:rsidR="00E65F26" w:rsidRPr="00C903F8" w:rsidRDefault="00E65F26" w:rsidP="00481A0E">
            <w:pPr>
              <w:pStyle w:val="ESch"/>
              <w:spacing w:before="60" w:after="60"/>
              <w:ind w:left="0" w:firstLine="0"/>
              <w:jc w:val="center"/>
              <w:rPr>
                <w:sz w:val="18"/>
              </w:rPr>
            </w:pPr>
            <w:r>
              <w:rPr>
                <w:noProof/>
                <w:sz w:val="18"/>
              </w:rPr>
              <w:t>Portata lorda [t]</w:t>
            </w:r>
          </w:p>
        </w:tc>
        <w:tc>
          <w:tcPr>
            <w:tcW w:w="3402" w:type="dxa"/>
            <w:shd w:val="clear" w:color="auto" w:fill="auto"/>
          </w:tcPr>
          <w:p w:rsidR="00E65F26" w:rsidRPr="00C903F8" w:rsidRDefault="00E65F26" w:rsidP="0097624C">
            <w:pPr>
              <w:pStyle w:val="ESch"/>
              <w:spacing w:before="60" w:after="60"/>
              <w:ind w:left="0" w:firstLine="0"/>
              <w:jc w:val="center"/>
              <w:rPr>
                <w:sz w:val="18"/>
              </w:rPr>
            </w:pPr>
            <w:r>
              <w:rPr>
                <w:noProof/>
                <w:sz w:val="18"/>
              </w:rPr>
              <w:t xml:space="preserve">Coefficiente </w:t>
            </w:r>
            <m:oMath>
              <m:r>
                <w:rPr>
                  <w:rFonts w:ascii="Cambria Math" w:hAnsi="Cambria Math"/>
                  <w:noProof/>
                </w:rPr>
                <m:t>c</m:t>
              </m:r>
            </m:oMath>
          </w:p>
        </w:tc>
      </w:tr>
      <w:tr w:rsidR="00E65F26" w:rsidRPr="00C903F8" w:rsidTr="0097624C">
        <w:trPr>
          <w:jc w:val="center"/>
        </w:trPr>
        <w:tc>
          <w:tcPr>
            <w:tcW w:w="3402" w:type="dxa"/>
            <w:shd w:val="clear" w:color="auto" w:fill="auto"/>
          </w:tcPr>
          <w:p w:rsidR="00E65F26" w:rsidRPr="00C903F8" w:rsidRDefault="00E65F26" w:rsidP="0097624C">
            <w:pPr>
              <w:pStyle w:val="ESch"/>
              <w:spacing w:before="60" w:after="60"/>
              <w:ind w:left="0" w:firstLine="0"/>
              <w:rPr>
                <w:sz w:val="18"/>
              </w:rPr>
            </w:pPr>
            <w:r>
              <w:rPr>
                <w:noProof/>
                <w:sz w:val="18"/>
              </w:rPr>
              <w:t>fino a 400 t comprese</w:t>
            </w:r>
          </w:p>
        </w:tc>
        <w:tc>
          <w:tcPr>
            <w:tcW w:w="3402" w:type="dxa"/>
            <w:shd w:val="clear" w:color="auto" w:fill="auto"/>
          </w:tcPr>
          <w:p w:rsidR="00E65F26" w:rsidRPr="00C903F8" w:rsidRDefault="00E65F26" w:rsidP="0097624C">
            <w:pPr>
              <w:pStyle w:val="ESch"/>
              <w:spacing w:before="60" w:after="60"/>
              <w:ind w:left="0" w:firstLine="0"/>
              <w:jc w:val="center"/>
              <w:rPr>
                <w:sz w:val="18"/>
              </w:rPr>
            </w:pPr>
            <w:r>
              <w:rPr>
                <w:sz w:val="18"/>
              </w:rPr>
              <w:t>45</w:t>
            </w:r>
          </w:p>
        </w:tc>
      </w:tr>
      <w:tr w:rsidR="00E65F26" w:rsidRPr="00C903F8" w:rsidTr="0097624C">
        <w:trPr>
          <w:jc w:val="center"/>
        </w:trPr>
        <w:tc>
          <w:tcPr>
            <w:tcW w:w="3402" w:type="dxa"/>
            <w:shd w:val="clear" w:color="auto" w:fill="auto"/>
          </w:tcPr>
          <w:p w:rsidR="00E65F26" w:rsidRPr="00C903F8" w:rsidRDefault="00E65F26" w:rsidP="0097624C">
            <w:pPr>
              <w:pStyle w:val="ESch"/>
              <w:spacing w:before="60" w:after="60"/>
              <w:ind w:left="0" w:firstLine="0"/>
              <w:rPr>
                <w:sz w:val="18"/>
              </w:rPr>
            </w:pPr>
            <w:r>
              <w:rPr>
                <w:noProof/>
                <w:sz w:val="18"/>
              </w:rPr>
              <w:t>da 400 a 650 t comprese</w:t>
            </w:r>
          </w:p>
        </w:tc>
        <w:tc>
          <w:tcPr>
            <w:tcW w:w="3402" w:type="dxa"/>
            <w:shd w:val="clear" w:color="auto" w:fill="auto"/>
          </w:tcPr>
          <w:p w:rsidR="00E65F26" w:rsidRPr="00C903F8" w:rsidRDefault="00E65F26" w:rsidP="0097624C">
            <w:pPr>
              <w:pStyle w:val="ESch"/>
              <w:spacing w:before="60" w:after="60"/>
              <w:ind w:left="0" w:firstLine="0"/>
              <w:jc w:val="center"/>
              <w:rPr>
                <w:sz w:val="18"/>
              </w:rPr>
            </w:pPr>
            <w:r>
              <w:rPr>
                <w:sz w:val="18"/>
              </w:rPr>
              <w:t>55</w:t>
            </w:r>
          </w:p>
        </w:tc>
      </w:tr>
      <w:tr w:rsidR="00E65F26" w:rsidRPr="00C903F8" w:rsidTr="0097624C">
        <w:trPr>
          <w:jc w:val="center"/>
        </w:trPr>
        <w:tc>
          <w:tcPr>
            <w:tcW w:w="3402" w:type="dxa"/>
            <w:shd w:val="clear" w:color="auto" w:fill="auto"/>
          </w:tcPr>
          <w:p w:rsidR="00E65F26" w:rsidRPr="00C903F8" w:rsidRDefault="00E65F26" w:rsidP="0097624C">
            <w:pPr>
              <w:pStyle w:val="ESch"/>
              <w:spacing w:before="60" w:after="60"/>
              <w:ind w:left="0" w:firstLine="0"/>
              <w:rPr>
                <w:sz w:val="18"/>
              </w:rPr>
            </w:pPr>
            <w:r>
              <w:rPr>
                <w:noProof/>
                <w:sz w:val="18"/>
              </w:rPr>
              <w:t>da 650 a 1000 t comprese</w:t>
            </w:r>
          </w:p>
        </w:tc>
        <w:tc>
          <w:tcPr>
            <w:tcW w:w="3402" w:type="dxa"/>
            <w:shd w:val="clear" w:color="auto" w:fill="auto"/>
          </w:tcPr>
          <w:p w:rsidR="00E65F26" w:rsidRPr="00C903F8" w:rsidRDefault="00E65F26" w:rsidP="0097624C">
            <w:pPr>
              <w:pStyle w:val="ESch"/>
              <w:spacing w:before="60" w:after="60"/>
              <w:ind w:left="0" w:firstLine="0"/>
              <w:jc w:val="center"/>
              <w:rPr>
                <w:sz w:val="18"/>
              </w:rPr>
            </w:pPr>
            <w:r>
              <w:rPr>
                <w:sz w:val="18"/>
              </w:rPr>
              <w:t>65</w:t>
            </w:r>
          </w:p>
        </w:tc>
      </w:tr>
      <w:tr w:rsidR="00E65F26" w:rsidRPr="00C903F8" w:rsidTr="0097624C">
        <w:trPr>
          <w:jc w:val="center"/>
        </w:trPr>
        <w:tc>
          <w:tcPr>
            <w:tcW w:w="3402" w:type="dxa"/>
            <w:shd w:val="clear" w:color="auto" w:fill="auto"/>
          </w:tcPr>
          <w:p w:rsidR="00E65F26" w:rsidRPr="00C903F8" w:rsidRDefault="00E65F26" w:rsidP="0097624C">
            <w:pPr>
              <w:pStyle w:val="ESch"/>
              <w:spacing w:before="60" w:after="60"/>
              <w:ind w:left="0" w:firstLine="0"/>
              <w:rPr>
                <w:sz w:val="18"/>
              </w:rPr>
            </w:pPr>
            <w:r>
              <w:rPr>
                <w:noProof/>
                <w:sz w:val="18"/>
              </w:rPr>
              <w:t>oltre 1000 t</w:t>
            </w:r>
          </w:p>
        </w:tc>
        <w:tc>
          <w:tcPr>
            <w:tcW w:w="3402" w:type="dxa"/>
            <w:shd w:val="clear" w:color="auto" w:fill="auto"/>
          </w:tcPr>
          <w:p w:rsidR="00E65F26" w:rsidRPr="00C903F8" w:rsidRDefault="00E65F26" w:rsidP="0097624C">
            <w:pPr>
              <w:pStyle w:val="ESch"/>
              <w:spacing w:before="60" w:after="60"/>
              <w:ind w:left="0" w:firstLine="0"/>
              <w:jc w:val="center"/>
              <w:rPr>
                <w:sz w:val="18"/>
              </w:rPr>
            </w:pPr>
            <w:r>
              <w:rPr>
                <w:sz w:val="18"/>
              </w:rPr>
              <w:t>70</w:t>
            </w:r>
          </w:p>
        </w:tc>
      </w:tr>
    </w:tbl>
    <w:p w:rsidR="00E65F26" w:rsidRPr="00C903F8" w:rsidRDefault="00E65F26" w:rsidP="00E65F26">
      <w:pPr>
        <w:pStyle w:val="ESchpar"/>
        <w:rPr>
          <w:noProof/>
        </w:rPr>
      </w:pPr>
    </w:p>
    <w:p w:rsidR="00E65F26" w:rsidRPr="00C903F8" w:rsidRDefault="00E65F26" w:rsidP="00E65F26">
      <w:pPr>
        <w:pStyle w:val="ESchpar"/>
      </w:pPr>
      <w:r>
        <w:t xml:space="preserve">Nel caso di navi di portata lorda non superiore a 400 t che, per la loro progettazione e destinazione, sono impiegate solo per determinate navigazioni a corto raggio, la commissione di ispezione può consentire che per le ancore di prua siano richiesti solo i 2/3 della massa totale </w:t>
      </w:r>
      <m:oMath>
        <m:r>
          <w:rPr>
            <w:rFonts w:ascii="Cambria Math" w:hAnsi="Cambria Math"/>
            <w:noProof/>
          </w:rPr>
          <m:t>P</m:t>
        </m:r>
      </m:oMath>
      <w:r>
        <w:t>.</w:t>
      </w:r>
    </w:p>
    <w:p w:rsidR="00E65F26" w:rsidRPr="00C903F8" w:rsidRDefault="00E65F26" w:rsidP="00E65F26">
      <w:pPr>
        <w:pStyle w:val="ESch"/>
        <w:rPr>
          <w:noProof/>
        </w:rPr>
      </w:pPr>
    </w:p>
    <w:p w:rsidR="00E65F26" w:rsidRPr="00C903F8" w:rsidRDefault="00E65F26" w:rsidP="00E65F26">
      <w:pPr>
        <w:pStyle w:val="ESlet"/>
        <w:tabs>
          <w:tab w:val="left" w:pos="567"/>
        </w:tabs>
        <w:ind w:hanging="992"/>
      </w:pPr>
      <w:r>
        <w:t>2.</w:t>
      </w:r>
      <w:r>
        <w:tab/>
        <w:t>a)</w:t>
      </w:r>
      <w:r>
        <w:tab/>
        <w:t xml:space="preserve">Le navi da passeggeri e le navi che non sono adibite al trasporto merci, ad eccezione degli spintori, sono dotate di ancore di prua la cui massa totale </w:t>
      </w:r>
      <m:oMath>
        <m:r>
          <w:rPr>
            <w:rFonts w:ascii="Cambria Math" w:hAnsi="Cambria Math"/>
            <w:noProof/>
          </w:rPr>
          <m:t>P</m:t>
        </m:r>
      </m:oMath>
      <w:r>
        <w:t xml:space="preserve"> è data dalla formula:</w:t>
      </w:r>
    </w:p>
    <w:p w:rsidR="00E65F26" w:rsidRPr="00C903F8" w:rsidRDefault="00E65F26" w:rsidP="00E65F26">
      <w:pPr>
        <w:pStyle w:val="ESch"/>
        <w:rPr>
          <w:noProof/>
        </w:rPr>
      </w:pPr>
    </w:p>
    <w:p w:rsidR="000E4A73" w:rsidRPr="00C903F8" w:rsidRDefault="000E4A73" w:rsidP="000E4A73">
      <w:pPr>
        <w:pStyle w:val="ESch"/>
        <w:ind w:left="0" w:firstLine="0"/>
        <w:jc w:val="center"/>
        <w:rPr>
          <w:noProof/>
        </w:rPr>
      </w:pPr>
      <m:oMathPara>
        <m:oMath>
          <m:r>
            <w:rPr>
              <w:rFonts w:ascii="Cambria Math" w:hAnsi="Cambria Math"/>
              <w:noProof/>
            </w:rPr>
            <m:t>P=k ∙B ∙T [kg]</m:t>
          </m:r>
        </m:oMath>
      </m:oMathPara>
    </w:p>
    <w:p w:rsidR="000E4A73" w:rsidRPr="00C903F8" w:rsidRDefault="000E4A73" w:rsidP="000E4A73">
      <w:pPr>
        <w:pStyle w:val="ESch"/>
        <w:jc w:val="center"/>
        <w:rPr>
          <w:noProof/>
        </w:rPr>
      </w:pPr>
    </w:p>
    <w:p w:rsidR="00E65F26" w:rsidRDefault="005C7859" w:rsidP="00E65F26">
      <w:pPr>
        <w:pStyle w:val="ESlet"/>
        <w:rPr>
          <w:rFonts w:eastAsia="Calibri"/>
          <w:szCs w:val="22"/>
        </w:rPr>
      </w:pPr>
      <w:r>
        <w:t>b)</w:t>
      </w:r>
      <w:r>
        <w:tab/>
        <w:t xml:space="preserve">In deroga alle prescrizioni di cui alla lettera a) e considerando le disposizioni di sicurezza della navigazione applicabili per talune zone di navigazione negli Stati membri, per le navi da passeggeri, per le cui ancore si è ottenuta la massa totale </w:t>
      </w:r>
      <m:oMath>
        <m:r>
          <w:rPr>
            <w:rFonts w:ascii="Cambria Math" w:hAnsi="Cambria Math"/>
          </w:rPr>
          <m:t>P</m:t>
        </m:r>
      </m:oMath>
      <w:r>
        <w:t xml:space="preserve"> dalla formula che segue, occorre inserire nella rubrica 52 del certificato per la navigazione interna che la massa totale delle ancore di prua soddisfa i requisiti di cui all'articolo 13.01, paragrafo 2, lettera b):</w:t>
      </w:r>
    </w:p>
    <w:p w:rsidR="003552BC" w:rsidRPr="00C903F8" w:rsidRDefault="003552BC" w:rsidP="00E65F26">
      <w:pPr>
        <w:pStyle w:val="ESlet"/>
        <w:rPr>
          <w:sz w:val="18"/>
        </w:rPr>
      </w:pPr>
    </w:p>
    <w:p w:rsidR="000E4A73" w:rsidRPr="00C903F8" w:rsidRDefault="000E4A73" w:rsidP="00497A37">
      <w:pPr>
        <w:pStyle w:val="ESch"/>
        <w:spacing w:before="60"/>
        <w:ind w:left="0" w:firstLine="0"/>
        <w:jc w:val="center"/>
        <w:rPr>
          <w:noProof/>
        </w:rPr>
      </w:pPr>
      <m:oMathPara>
        <m:oMath>
          <m:r>
            <w:rPr>
              <w:rFonts w:ascii="Cambria Math" w:hAnsi="Cambria Math"/>
              <w:noProof/>
            </w:rPr>
            <m:t xml:space="preserve">P=k ∙B ∙T+4 </m:t>
          </m:r>
          <m:sSub>
            <m:sSubPr>
              <m:ctrlPr>
                <w:rPr>
                  <w:rFonts w:ascii="Cambria Math" w:hAnsi="Cambria Math"/>
                  <w:i/>
                  <w:noProof/>
                </w:rPr>
              </m:ctrlPr>
            </m:sSubPr>
            <m:e>
              <m:r>
                <w:rPr>
                  <w:rFonts w:ascii="Cambria Math" w:hAnsi="Cambria Math"/>
                  <w:noProof/>
                </w:rPr>
                <m:t>A</m:t>
              </m:r>
            </m:e>
            <m:sub>
              <m:r>
                <w:rPr>
                  <w:rFonts w:ascii="Cambria Math" w:hAnsi="Cambria Math"/>
                  <w:noProof/>
                </w:rPr>
                <m:t>f</m:t>
              </m:r>
            </m:sub>
          </m:sSub>
          <m:r>
            <w:rPr>
              <w:rFonts w:ascii="Cambria Math" w:hAnsi="Cambria Math"/>
              <w:noProof/>
            </w:rPr>
            <m:t xml:space="preserve"> [kg]</m:t>
          </m:r>
        </m:oMath>
      </m:oMathPara>
    </w:p>
    <w:p w:rsidR="000E4A73" w:rsidRDefault="000E4A73" w:rsidP="00E65F26">
      <w:pPr>
        <w:pStyle w:val="ESch"/>
      </w:pPr>
    </w:p>
    <w:p w:rsidR="003552BC" w:rsidRDefault="003552BC">
      <w:pPr>
        <w:autoSpaceDE/>
        <w:autoSpaceDN/>
        <w:ind w:left="0" w:firstLine="0"/>
        <w:jc w:val="left"/>
      </w:pPr>
      <w:r>
        <w:br w:type="page"/>
      </w:r>
    </w:p>
    <w:p w:rsidR="003552BC" w:rsidRPr="00C903F8" w:rsidRDefault="003552BC" w:rsidP="00E65F26">
      <w:pPr>
        <w:pStyle w:val="ESch"/>
      </w:pPr>
    </w:p>
    <w:p w:rsidR="00E65F26" w:rsidRPr="00C903F8" w:rsidRDefault="00E65F26" w:rsidP="00E65F26">
      <w:pPr>
        <w:pStyle w:val="ESchpar"/>
      </w:pPr>
      <w:r>
        <w:t>dove:</w:t>
      </w:r>
    </w:p>
    <w:p w:rsidR="00E65F26" w:rsidRPr="00C903F8" w:rsidRDefault="000E4A73" w:rsidP="00E65F26">
      <w:pPr>
        <w:pStyle w:val="ESlet"/>
        <w:rPr>
          <w:rStyle w:val="FootnoteReference"/>
          <w:rFonts w:cs="Arial"/>
          <w:sz w:val="18"/>
          <w:szCs w:val="18"/>
        </w:rPr>
      </w:pPr>
      <m:oMath>
        <m:r>
          <w:rPr>
            <w:rFonts w:ascii="Cambria Math" w:hAnsi="Cambria Math"/>
          </w:rPr>
          <m:t>k</m:t>
        </m:r>
      </m:oMath>
      <w:r>
        <w:tab/>
        <w:t xml:space="preserve">coefficiente di cui al paragrafo 1; in questo caso, tuttavia, per ottenere il valore del coefficiente empirico </w:t>
      </w:r>
      <m:oMath>
        <m:r>
          <w:rPr>
            <w:rFonts w:ascii="Cambria Math" w:hAnsi="Cambria Math"/>
            <w:noProof/>
          </w:rPr>
          <m:t>c</m:t>
        </m:r>
      </m:oMath>
      <w:r>
        <w:t xml:space="preserve"> si considera il dislocamento in m</w:t>
      </w:r>
      <w:r>
        <w:rPr>
          <w:noProof/>
          <w:vertAlign w:val="superscript"/>
        </w:rPr>
        <w:t>3</w:t>
      </w:r>
      <w:r>
        <w:t xml:space="preserve"> menzionato nel certificato per la navigazione interna invece della portata lorda;</w:t>
      </w:r>
    </w:p>
    <w:p w:rsidR="00E65F26" w:rsidRPr="00C903F8" w:rsidRDefault="00624017" w:rsidP="00E65F26">
      <w:pPr>
        <w:pStyle w:val="ESlet"/>
      </w:pPr>
      <m:oMath>
        <m:sSub>
          <m:sSubPr>
            <m:ctrlPr>
              <w:rPr>
                <w:rFonts w:ascii="Cambria Math" w:hAnsi="Cambria Math"/>
                <w:i/>
              </w:rPr>
            </m:ctrlPr>
          </m:sSubPr>
          <m:e>
            <m:r>
              <w:rPr>
                <w:rFonts w:ascii="Cambria Math" w:hAnsi="Cambria Math"/>
              </w:rPr>
              <m:t>A</m:t>
            </m:r>
          </m:e>
          <m:sub>
            <m:r>
              <w:rPr>
                <w:rFonts w:ascii="Cambria Math" w:hAnsi="Cambria Math"/>
              </w:rPr>
              <m:t>f</m:t>
            </m:r>
          </m:sub>
        </m:sSub>
      </m:oMath>
      <w:r w:rsidR="00801F1F">
        <w:tab/>
        <w:t>è la zona anteriore proiettata esposta al vento, in m</w:t>
      </w:r>
      <w:r w:rsidR="00801F1F">
        <w:rPr>
          <w:position w:val="6"/>
          <w:sz w:val="12"/>
          <w:vertAlign w:val="superscript"/>
        </w:rPr>
        <w:t>2</w:t>
      </w:r>
      <w:r w:rsidR="00801F1F">
        <w:t>.</w:t>
      </w:r>
    </w:p>
    <w:p w:rsidR="00E65F26" w:rsidRPr="00C903F8" w:rsidRDefault="00E65F26" w:rsidP="00E65F26">
      <w:pPr>
        <w:pStyle w:val="ESch"/>
      </w:pPr>
    </w:p>
    <w:p w:rsidR="00E65F26" w:rsidRPr="00C903F8" w:rsidRDefault="00E65F26" w:rsidP="00E65F26">
      <w:pPr>
        <w:pStyle w:val="ESch"/>
      </w:pPr>
      <w:r>
        <w:t>3.</w:t>
      </w:r>
      <w:r>
        <w:tab/>
        <w:t xml:space="preserve">Le navi di cui al paragrafo 1 di lunghezza </w:t>
      </w:r>
      <m:oMath>
        <m:r>
          <w:rPr>
            <w:rFonts w:ascii="Cambria Math" w:hAnsi="Cambria Math"/>
          </w:rPr>
          <m:t>L</m:t>
        </m:r>
      </m:oMath>
      <w:r>
        <w:t xml:space="preserve"> minore o uguale a 86 m sono dotate di ancore di poppa aventi una massa totale pari al 25 % della massa </w:t>
      </w:r>
      <m:oMath>
        <m:r>
          <w:rPr>
            <w:rFonts w:ascii="Cambria Math" w:hAnsi="Cambria Math"/>
            <w:noProof/>
          </w:rPr>
          <m:t>P</m:t>
        </m:r>
      </m:oMath>
      <w:r>
        <w:t>.</w:t>
      </w:r>
    </w:p>
    <w:p w:rsidR="00E65F26" w:rsidRPr="00C903F8" w:rsidRDefault="00E65F26" w:rsidP="00E65F26">
      <w:pPr>
        <w:pStyle w:val="ESch"/>
        <w:rPr>
          <w:noProof/>
        </w:rPr>
      </w:pPr>
    </w:p>
    <w:p w:rsidR="00E65F26" w:rsidRPr="00C903F8" w:rsidRDefault="00E65F26" w:rsidP="00E65F26">
      <w:pPr>
        <w:pStyle w:val="ESchpar"/>
      </w:pPr>
      <w:r>
        <w:t xml:space="preserve">Le navi di lunghezza </w:t>
      </w:r>
      <m:oMath>
        <m:r>
          <w:rPr>
            <w:rFonts w:ascii="Cambria Math" w:hAnsi="Cambria Math"/>
          </w:rPr>
          <m:t>L</m:t>
        </m:r>
      </m:oMath>
      <w:r>
        <w:t xml:space="preserve"> superiore a 86 m sono dotate di ancore di poppa aventi una massa totale pari al 50 % della massa </w:t>
      </w:r>
      <m:oMath>
        <m:r>
          <w:rPr>
            <w:rFonts w:ascii="Cambria Math" w:hAnsi="Cambria Math"/>
            <w:noProof/>
          </w:rPr>
          <m:t>P</m:t>
        </m:r>
      </m:oMath>
      <w:r>
        <w:t xml:space="preserve"> calcolata conformemente al paragrafo 1 o al paragrafo 2.</w:t>
      </w:r>
    </w:p>
    <w:p w:rsidR="00E65F26" w:rsidRPr="00C903F8" w:rsidRDefault="00E65F26" w:rsidP="00E65F26">
      <w:pPr>
        <w:pStyle w:val="ESchpar"/>
        <w:rPr>
          <w:noProof/>
        </w:rPr>
      </w:pPr>
    </w:p>
    <w:p w:rsidR="00E65F26" w:rsidRPr="00C903F8" w:rsidRDefault="00E65F26" w:rsidP="00E65F26">
      <w:pPr>
        <w:pStyle w:val="ESchpar"/>
        <w:rPr>
          <w:noProof/>
        </w:rPr>
      </w:pPr>
      <w:r>
        <w:t>Non si richiedono ancore di poppa per:</w:t>
      </w:r>
    </w:p>
    <w:p w:rsidR="00E65F26" w:rsidRPr="00C903F8" w:rsidRDefault="005C7859" w:rsidP="00E65F26">
      <w:pPr>
        <w:pStyle w:val="ESlet"/>
      </w:pPr>
      <w:r>
        <w:t>a)</w:t>
      </w:r>
      <w:r>
        <w:tab/>
        <w:t>navi per le quali la massa delle ancore di poppa sarà inferiore a 150 kg; nel caso delle navi di cui al paragrafo 1, ultimo comma, si tiene conto della massa ridotta delle ancore di prua;</w:t>
      </w:r>
    </w:p>
    <w:p w:rsidR="00E65F26" w:rsidRPr="00C903F8" w:rsidRDefault="005C7859" w:rsidP="00E65F26">
      <w:pPr>
        <w:pStyle w:val="ESlet"/>
      </w:pPr>
      <w:r>
        <w:t>b)</w:t>
      </w:r>
      <w:r>
        <w:tab/>
        <w:t>le bettoline.</w:t>
      </w:r>
    </w:p>
    <w:p w:rsidR="00E65F26" w:rsidRPr="00C903F8" w:rsidRDefault="00E65F26" w:rsidP="00E65F26">
      <w:pPr>
        <w:pStyle w:val="ESch"/>
        <w:rPr>
          <w:noProof/>
        </w:rPr>
      </w:pPr>
    </w:p>
    <w:p w:rsidR="00E65F26" w:rsidRPr="00C903F8" w:rsidRDefault="00E65F26" w:rsidP="00E65F26">
      <w:pPr>
        <w:pStyle w:val="ESch"/>
      </w:pPr>
      <w:r>
        <w:t>4.</w:t>
      </w:r>
      <w:r>
        <w:tab/>
        <w:t xml:space="preserve">Le navi destinate alla propulsione di convogli rigidi di una lunghezza minore o uguale a 86 m sono dotate di ancore di poppa aventi una massa totale pari al 25 % della massa massima </w:t>
      </w:r>
      <m:oMath>
        <m:r>
          <w:rPr>
            <w:rFonts w:ascii="Cambria Math" w:hAnsi="Cambria Math"/>
            <w:noProof/>
          </w:rPr>
          <m:t>P</m:t>
        </m:r>
      </m:oMath>
      <w:r>
        <w:t xml:space="preserve"> calcolata conformemente al paragrafo 1 per le formazioni (considerate come unità nautica) ammesse e menzionate nel certificato per la navigazione interna.</w:t>
      </w:r>
    </w:p>
    <w:p w:rsidR="00E65F26" w:rsidRPr="00C903F8" w:rsidRDefault="00E65F26" w:rsidP="00E65F26">
      <w:pPr>
        <w:pStyle w:val="ESch"/>
        <w:rPr>
          <w:noProof/>
        </w:rPr>
      </w:pPr>
    </w:p>
    <w:p w:rsidR="00E65F26" w:rsidRPr="00C903F8" w:rsidRDefault="00E65F26" w:rsidP="00E65F26">
      <w:pPr>
        <w:pStyle w:val="ESchpar"/>
      </w:pPr>
      <w:r>
        <w:t xml:space="preserve">Le navi destinate alla propulsione, verso valle, di convogli rigidi di una lunghezza superiore a 86 m sono dotate di ancore di poppa aventi una massa totale pari al 50 % della massa massima </w:t>
      </w:r>
      <m:oMath>
        <m:r>
          <w:rPr>
            <w:rFonts w:ascii="Cambria Math" w:hAnsi="Cambria Math"/>
            <w:noProof/>
          </w:rPr>
          <m:t>P</m:t>
        </m:r>
      </m:oMath>
      <w:r>
        <w:t xml:space="preserve"> calcolata conformemente al paragrafo 1 per le formazioni (considerate come unità nautica) ammesse e menzionate nel certificato per la navigazione interna.</w:t>
      </w:r>
    </w:p>
    <w:p w:rsidR="00E65F26" w:rsidRPr="00C903F8" w:rsidRDefault="00E65F26" w:rsidP="00E65F26">
      <w:pPr>
        <w:pStyle w:val="ESch"/>
        <w:rPr>
          <w:noProof/>
        </w:rPr>
      </w:pPr>
    </w:p>
    <w:p w:rsidR="00E65F26" w:rsidRPr="00C903F8" w:rsidRDefault="00E65F26" w:rsidP="00E65F26">
      <w:pPr>
        <w:pStyle w:val="ESch"/>
      </w:pPr>
      <w:r>
        <w:t>5.</w:t>
      </w:r>
      <w:r>
        <w:tab/>
        <w:t>Per talune ancore speciali è possibile ridurre le relative masse determinate conformemente ai paragrafi da 1 a 4.</w:t>
      </w:r>
    </w:p>
    <w:p w:rsidR="00E65F26" w:rsidRPr="00C903F8" w:rsidRDefault="00E65F26" w:rsidP="00E65F26">
      <w:pPr>
        <w:pStyle w:val="ESch"/>
        <w:rPr>
          <w:noProof/>
        </w:rPr>
      </w:pPr>
    </w:p>
    <w:p w:rsidR="00E65F26" w:rsidRPr="00C903F8" w:rsidRDefault="00E65F26" w:rsidP="00E65F26">
      <w:pPr>
        <w:pStyle w:val="ESch"/>
      </w:pPr>
      <w:r>
        <w:t>6.</w:t>
      </w:r>
      <w:r>
        <w:tab/>
        <w:t xml:space="preserve">La massa totale </w:t>
      </w:r>
      <m:oMath>
        <m:r>
          <w:rPr>
            <w:rFonts w:ascii="Cambria Math" w:hAnsi="Cambria Math"/>
            <w:noProof/>
          </w:rPr>
          <m:t>P</m:t>
        </m:r>
      </m:oMath>
      <w:r>
        <w:t xml:space="preserve"> prevista per le ancore di prua può essere ripartita fra una o due ancore. Può essere ridotta del 15 % quando la nave è dotata di una sola ancora di prua e il manicotto di cubia è collocato a metà della nave.</w:t>
      </w:r>
    </w:p>
    <w:p w:rsidR="00E65F26" w:rsidRPr="00C903F8" w:rsidRDefault="00E65F26" w:rsidP="00E65F26">
      <w:pPr>
        <w:pStyle w:val="ESch"/>
        <w:rPr>
          <w:noProof/>
        </w:rPr>
      </w:pPr>
    </w:p>
    <w:p w:rsidR="00E65F26" w:rsidRPr="00C903F8" w:rsidRDefault="00E65F26" w:rsidP="00E65F26">
      <w:pPr>
        <w:pStyle w:val="ESchpar"/>
      </w:pPr>
      <w:r>
        <w:t>Per gli spintori e le navi la cui lunghezza massima supera 86 m, la massa totale richiesta per le ancore di poppa può essere ripartita fra una o due ancore.</w:t>
      </w:r>
    </w:p>
    <w:p w:rsidR="00E65F26" w:rsidRPr="00C903F8" w:rsidRDefault="00E65F26" w:rsidP="00E65F26">
      <w:pPr>
        <w:pStyle w:val="ESch"/>
        <w:rPr>
          <w:noProof/>
        </w:rPr>
      </w:pPr>
    </w:p>
    <w:p w:rsidR="00E65F26" w:rsidRPr="00C903F8" w:rsidRDefault="00E65F26" w:rsidP="00E65F26">
      <w:pPr>
        <w:pStyle w:val="ESchpar"/>
      </w:pPr>
      <w:r>
        <w:t>La massa dell'ancora più leggera non è inferiore al 45 % della massa totale.</w:t>
      </w:r>
    </w:p>
    <w:p w:rsidR="00E65F26" w:rsidRPr="00C903F8" w:rsidRDefault="00E65F26" w:rsidP="00E65F26">
      <w:pPr>
        <w:pStyle w:val="ESch"/>
        <w:rPr>
          <w:noProof/>
        </w:rPr>
      </w:pPr>
    </w:p>
    <w:p w:rsidR="00E65F26" w:rsidRPr="00C903F8" w:rsidRDefault="00E65F26" w:rsidP="00E65F26">
      <w:pPr>
        <w:pStyle w:val="ESch"/>
      </w:pPr>
      <w:r>
        <w:t>7.</w:t>
      </w:r>
      <w:r>
        <w:tab/>
        <w:t>Le ancore in ghisa non sono ammesse.</w:t>
      </w:r>
    </w:p>
    <w:p w:rsidR="00E65F26" w:rsidRPr="00C903F8" w:rsidRDefault="00E65F26" w:rsidP="00E65F26">
      <w:pPr>
        <w:pStyle w:val="ESch"/>
        <w:rPr>
          <w:noProof/>
        </w:rPr>
      </w:pPr>
    </w:p>
    <w:p w:rsidR="00E65F26" w:rsidRPr="00C903F8" w:rsidRDefault="00E65F26" w:rsidP="00E65F26">
      <w:pPr>
        <w:pStyle w:val="ESch"/>
      </w:pPr>
      <w:r>
        <w:t>8.</w:t>
      </w:r>
      <w:r>
        <w:tab/>
        <w:t>La massa è riportata sull'ancora a caratteri in rilievo inamovibili.</w:t>
      </w:r>
    </w:p>
    <w:p w:rsidR="00E65F26" w:rsidRPr="00C903F8" w:rsidRDefault="00E65F26" w:rsidP="00E65F26">
      <w:pPr>
        <w:pStyle w:val="ESch"/>
        <w:rPr>
          <w:noProof/>
        </w:rPr>
      </w:pPr>
    </w:p>
    <w:p w:rsidR="00E65F26" w:rsidRPr="00C903F8" w:rsidRDefault="00E65F26" w:rsidP="00E65F26">
      <w:pPr>
        <w:pStyle w:val="ESch"/>
      </w:pPr>
      <w:r>
        <w:t>9.</w:t>
      </w:r>
      <w:r>
        <w:tab/>
        <w:t>Le ancore di massa superiore a 50 kg sono provviste di verricelli.</w:t>
      </w:r>
    </w:p>
    <w:p w:rsidR="00E65F26" w:rsidRPr="00C903F8" w:rsidRDefault="00E65F26" w:rsidP="00E65F26">
      <w:pPr>
        <w:pStyle w:val="ESch"/>
        <w:rPr>
          <w:noProof/>
        </w:rPr>
      </w:pPr>
    </w:p>
    <w:p w:rsidR="00E65F26" w:rsidRPr="00C903F8" w:rsidRDefault="00E65F26" w:rsidP="00E65F26">
      <w:pPr>
        <w:pStyle w:val="ESch"/>
      </w:pPr>
      <w:r>
        <w:t>10.</w:t>
      </w:r>
      <w:r>
        <w:tab/>
        <w:t>Le catene delle ancore di prua hanno ciascuna una lunghezza minima:</w:t>
      </w:r>
    </w:p>
    <w:p w:rsidR="00E65F26" w:rsidRPr="00C903F8" w:rsidRDefault="005C7859" w:rsidP="00E65F26">
      <w:pPr>
        <w:pStyle w:val="ESlet"/>
      </w:pPr>
      <w:r>
        <w:t>a)</w:t>
      </w:r>
      <w:r>
        <w:tab/>
        <w:t xml:space="preserve">40 m per navi di lunghezza </w:t>
      </w:r>
      <m:oMath>
        <m:r>
          <w:rPr>
            <w:rFonts w:ascii="Cambria Math" w:hAnsi="Cambria Math"/>
          </w:rPr>
          <m:t>L</m:t>
        </m:r>
      </m:oMath>
      <w:r>
        <w:t xml:space="preserve"> non superiore a 40 m;</w:t>
      </w:r>
    </w:p>
    <w:p w:rsidR="00E65F26" w:rsidRPr="00C903F8" w:rsidRDefault="005C7859" w:rsidP="00E65F26">
      <w:pPr>
        <w:pStyle w:val="ESlet"/>
      </w:pPr>
      <w:r>
        <w:t>b)</w:t>
      </w:r>
      <w:r>
        <w:tab/>
        <w:t xml:space="preserve">almeno 10 m più lunghe della lunghezza </w:t>
      </w:r>
      <m:oMath>
        <m:r>
          <w:rPr>
            <w:rFonts w:ascii="Cambria Math" w:hAnsi="Cambria Math"/>
          </w:rPr>
          <m:t>L</m:t>
        </m:r>
      </m:oMath>
      <w:r>
        <w:t xml:space="preserve"> della nave, qualora tale valore sia compreso tra 30 e 50 m;</w:t>
      </w:r>
    </w:p>
    <w:p w:rsidR="00E65F26" w:rsidRPr="00C903F8" w:rsidRDefault="005C7859" w:rsidP="00E65F26">
      <w:pPr>
        <w:pStyle w:val="ESlet"/>
        <w:rPr>
          <w:noProof/>
        </w:rPr>
      </w:pPr>
      <w:r>
        <w:t>c)</w:t>
      </w:r>
      <w:r>
        <w:tab/>
        <w:t xml:space="preserve">60 m per navi di lunghezza </w:t>
      </w:r>
      <m:oMath>
        <m:r>
          <w:rPr>
            <w:rFonts w:ascii="Cambria Math" w:hAnsi="Cambria Math"/>
          </w:rPr>
          <m:t>L</m:t>
        </m:r>
      </m:oMath>
      <w:r>
        <w:t xml:space="preserve"> superiore a 50 m.</w:t>
      </w:r>
    </w:p>
    <w:p w:rsidR="00E65F26" w:rsidRDefault="00E65F26" w:rsidP="00E65F26">
      <w:pPr>
        <w:pStyle w:val="ESch"/>
        <w:rPr>
          <w:noProof/>
        </w:rPr>
      </w:pPr>
    </w:p>
    <w:p w:rsidR="003552BC" w:rsidRDefault="003552BC">
      <w:pPr>
        <w:autoSpaceDE/>
        <w:autoSpaceDN/>
        <w:ind w:left="0" w:firstLine="0"/>
        <w:jc w:val="left"/>
        <w:rPr>
          <w:noProof/>
        </w:rPr>
      </w:pPr>
      <w:r>
        <w:br w:type="page"/>
      </w:r>
    </w:p>
    <w:p w:rsidR="00E65F26" w:rsidRPr="00C903F8" w:rsidRDefault="00E65F26" w:rsidP="00E65F26">
      <w:pPr>
        <w:pStyle w:val="ESchpar"/>
      </w:pPr>
      <w:r>
        <w:lastRenderedPageBreak/>
        <w:t>Le catene delle ancore di poppa hanno, ciascuna, una lunghezza di almeno 40 m. Tuttavia, le navi che devono potersi fermare con la prua a valle sono provviste di catene per le ancore di poppa di lunghezza almeno pari a 60 m ciascuna.</w:t>
      </w:r>
    </w:p>
    <w:p w:rsidR="00E65F26" w:rsidRPr="00C903F8" w:rsidRDefault="00E65F26" w:rsidP="00E65F26">
      <w:pPr>
        <w:pStyle w:val="ESch"/>
        <w:rPr>
          <w:noProof/>
        </w:rPr>
      </w:pPr>
    </w:p>
    <w:p w:rsidR="00E65F26" w:rsidRPr="00C903F8" w:rsidRDefault="00E65F26" w:rsidP="00E65F26">
      <w:pPr>
        <w:pStyle w:val="ESch"/>
      </w:pPr>
      <w:r>
        <w:t>11.</w:t>
      </w:r>
      <w:r>
        <w:tab/>
        <w:t xml:space="preserve">Il carico minimo di rottura </w:t>
      </w:r>
      <m:oMath>
        <m:r>
          <w:rPr>
            <w:rFonts w:ascii="Cambria Math" w:hAnsi="Cambria Math"/>
            <w:noProof/>
          </w:rPr>
          <m:t>R</m:t>
        </m:r>
      </m:oMath>
      <w:r>
        <w:t xml:space="preserve"> delle catene delle ancore è dato dalle seguenti formule:</w:t>
      </w:r>
    </w:p>
    <w:p w:rsidR="00E65F26" w:rsidRPr="00C903F8" w:rsidRDefault="005C7859" w:rsidP="00E65F26">
      <w:pPr>
        <w:pStyle w:val="ESlet"/>
        <w:rPr>
          <w:noProof/>
        </w:rPr>
      </w:pPr>
      <w:r>
        <w:t>a)</w:t>
      </w:r>
      <w:r>
        <w:tab/>
        <w:t>ancore di massa fino a 500 kg:</w:t>
      </w:r>
    </w:p>
    <w:p w:rsidR="000E4A73" w:rsidRPr="00C903F8" w:rsidRDefault="000E4A73" w:rsidP="00E65F26">
      <w:pPr>
        <w:pStyle w:val="ESlet"/>
        <w:rPr>
          <w:noProof/>
        </w:rPr>
      </w:pPr>
    </w:p>
    <w:p w:rsidR="000E4A73" w:rsidRPr="00C903F8" w:rsidRDefault="000E4A73" w:rsidP="000E4A73">
      <w:pPr>
        <w:pStyle w:val="ESlet"/>
        <w:ind w:left="0" w:firstLine="0"/>
        <w:jc w:val="center"/>
        <w:rPr>
          <w:noProof/>
        </w:rPr>
      </w:pPr>
      <m:oMathPara>
        <m:oMath>
          <m:r>
            <w:rPr>
              <w:rFonts w:ascii="Cambria Math" w:hAnsi="Cambria Math"/>
              <w:noProof/>
            </w:rPr>
            <m:t>R=0,35 ∙</m:t>
          </m:r>
          <m:sSup>
            <m:sSupPr>
              <m:ctrlPr>
                <w:rPr>
                  <w:rFonts w:ascii="Cambria Math" w:hAnsi="Cambria Math"/>
                  <w:i/>
                  <w:noProof/>
                </w:rPr>
              </m:ctrlPr>
            </m:sSupPr>
            <m:e>
              <m:r>
                <w:rPr>
                  <w:rFonts w:ascii="Cambria Math" w:hAnsi="Cambria Math"/>
                  <w:noProof/>
                </w:rPr>
                <m:t>P</m:t>
              </m:r>
            </m:e>
            <m:sup>
              <m:r>
                <w:rPr>
                  <w:rFonts w:ascii="Cambria Math" w:hAnsi="Cambria Math"/>
                  <w:noProof/>
                </w:rPr>
                <m:t>'</m:t>
              </m:r>
            </m:sup>
          </m:sSup>
          <m:r>
            <w:rPr>
              <w:rFonts w:ascii="Cambria Math" w:hAnsi="Cambria Math"/>
              <w:noProof/>
            </w:rPr>
            <m:t>[kN]</m:t>
          </m:r>
        </m:oMath>
      </m:oMathPara>
    </w:p>
    <w:p w:rsidR="000E4A73" w:rsidRPr="00C903F8" w:rsidRDefault="000E4A73" w:rsidP="00E65F26">
      <w:pPr>
        <w:pStyle w:val="ESlet"/>
      </w:pPr>
    </w:p>
    <w:p w:rsidR="00E65F26" w:rsidRPr="00C903F8" w:rsidRDefault="005C7859" w:rsidP="00E65F26">
      <w:pPr>
        <w:pStyle w:val="ESlet"/>
      </w:pPr>
      <w:r>
        <w:t>b)</w:t>
      </w:r>
      <w:r>
        <w:tab/>
        <w:t>ancore di massa da oltre 500 kg a 2000 kg:</w:t>
      </w:r>
    </w:p>
    <w:p w:rsidR="003D2E2F" w:rsidRPr="00C903F8" w:rsidRDefault="003D2E2F" w:rsidP="003D2E2F">
      <w:pPr>
        <w:pStyle w:val="ESgauche"/>
        <w:jc w:val="center"/>
      </w:pPr>
    </w:p>
    <w:p w:rsidR="007F43E9" w:rsidRPr="00C903F8" w:rsidRDefault="007F43E9" w:rsidP="007F43E9">
      <w:pPr>
        <w:pStyle w:val="ESlet"/>
        <w:ind w:left="0" w:firstLine="0"/>
        <w:jc w:val="center"/>
        <w:rPr>
          <w:noProof/>
        </w:rPr>
      </w:pPr>
      <m:oMathPara>
        <m:oMath>
          <m:r>
            <w:rPr>
              <w:rFonts w:ascii="Cambria Math" w:hAnsi="Cambria Math"/>
              <w:noProof/>
            </w:rPr>
            <m:t>R=</m:t>
          </m:r>
          <m:d>
            <m:dPr>
              <m:ctrlPr>
                <w:rPr>
                  <w:rFonts w:ascii="Cambria Math" w:hAnsi="Cambria Math"/>
                  <w:i/>
                  <w:noProof/>
                </w:rPr>
              </m:ctrlPr>
            </m:dPr>
            <m:e>
              <m:r>
                <w:rPr>
                  <w:rFonts w:ascii="Cambria Math" w:hAnsi="Cambria Math"/>
                  <w:noProof/>
                </w:rPr>
                <m:t xml:space="preserve">0,35- </m:t>
              </m:r>
              <m:f>
                <m:fPr>
                  <m:ctrlPr>
                    <w:rPr>
                      <w:rFonts w:ascii="Cambria Math" w:hAnsi="Cambria Math"/>
                      <w:i/>
                      <w:noProof/>
                    </w:rPr>
                  </m:ctrlPr>
                </m:fPr>
                <m:num>
                  <m:sSup>
                    <m:sSupPr>
                      <m:ctrlPr>
                        <w:rPr>
                          <w:rFonts w:ascii="Cambria Math" w:hAnsi="Cambria Math"/>
                          <w:i/>
                          <w:noProof/>
                        </w:rPr>
                      </m:ctrlPr>
                    </m:sSupPr>
                    <m:e>
                      <m:r>
                        <w:rPr>
                          <w:rFonts w:ascii="Cambria Math" w:hAnsi="Cambria Math"/>
                          <w:noProof/>
                        </w:rPr>
                        <m:t>P</m:t>
                      </m:r>
                    </m:e>
                    <m:sup>
                      <m:r>
                        <w:rPr>
                          <w:rFonts w:ascii="Cambria Math" w:hAnsi="Cambria Math"/>
                          <w:noProof/>
                        </w:rPr>
                        <m:t>'</m:t>
                      </m:r>
                    </m:sup>
                  </m:sSup>
                  <m:r>
                    <w:rPr>
                      <w:rFonts w:ascii="Cambria Math" w:hAnsi="Cambria Math"/>
                      <w:noProof/>
                    </w:rPr>
                    <m:t>-500</m:t>
                  </m:r>
                </m:num>
                <m:den>
                  <m:r>
                    <w:rPr>
                      <w:rFonts w:ascii="Cambria Math" w:hAnsi="Cambria Math"/>
                      <w:noProof/>
                    </w:rPr>
                    <m:t>15000</m:t>
                  </m:r>
                </m:den>
              </m:f>
            </m:e>
          </m:d>
          <m:sSup>
            <m:sSupPr>
              <m:ctrlPr>
                <w:rPr>
                  <w:rFonts w:ascii="Cambria Math" w:hAnsi="Cambria Math"/>
                  <w:i/>
                  <w:noProof/>
                </w:rPr>
              </m:ctrlPr>
            </m:sSupPr>
            <m:e>
              <m:r>
                <w:rPr>
                  <w:rFonts w:ascii="Cambria Math" w:hAnsi="Cambria Math"/>
                  <w:noProof/>
                </w:rPr>
                <m:t>P</m:t>
              </m:r>
            </m:e>
            <m:sup>
              <m:r>
                <w:rPr>
                  <w:rFonts w:ascii="Cambria Math" w:hAnsi="Cambria Math"/>
                  <w:noProof/>
                </w:rPr>
                <m:t>'</m:t>
              </m:r>
            </m:sup>
          </m:sSup>
          <m:r>
            <w:rPr>
              <w:rFonts w:ascii="Cambria Math" w:hAnsi="Cambria Math"/>
              <w:noProof/>
            </w:rPr>
            <m:t xml:space="preserve"> [kN]</m:t>
          </m:r>
        </m:oMath>
      </m:oMathPara>
    </w:p>
    <w:p w:rsidR="007F43E9" w:rsidRPr="00C903F8" w:rsidRDefault="007F43E9" w:rsidP="003D2E2F">
      <w:pPr>
        <w:pStyle w:val="ESgauche"/>
        <w:jc w:val="center"/>
      </w:pPr>
    </w:p>
    <w:p w:rsidR="00E65F26" w:rsidRPr="00C903F8" w:rsidRDefault="005C7859" w:rsidP="00E65F26">
      <w:pPr>
        <w:pStyle w:val="ESlet"/>
        <w:rPr>
          <w:noProof/>
        </w:rPr>
      </w:pPr>
      <w:r>
        <w:t>c)</w:t>
      </w:r>
      <w:r>
        <w:tab/>
        <w:t>ancore di massa superiore a 2000 kg:</w:t>
      </w:r>
    </w:p>
    <w:p w:rsidR="003D2E2F" w:rsidRPr="00C903F8" w:rsidRDefault="003D2E2F" w:rsidP="003D2E2F">
      <w:pPr>
        <w:pStyle w:val="ESgauche"/>
        <w:jc w:val="center"/>
      </w:pPr>
    </w:p>
    <w:p w:rsidR="007F43E9" w:rsidRPr="00C903F8" w:rsidRDefault="007F43E9" w:rsidP="007F43E9">
      <w:pPr>
        <w:pStyle w:val="ESlet"/>
        <w:ind w:left="0" w:firstLine="0"/>
        <w:jc w:val="center"/>
        <w:rPr>
          <w:noProof/>
        </w:rPr>
      </w:pPr>
      <m:oMathPara>
        <m:oMath>
          <m:r>
            <w:rPr>
              <w:rFonts w:ascii="Cambria Math" w:hAnsi="Cambria Math"/>
              <w:noProof/>
            </w:rPr>
            <m:t>R=0,25 ∙</m:t>
          </m:r>
          <m:sSup>
            <m:sSupPr>
              <m:ctrlPr>
                <w:rPr>
                  <w:rFonts w:ascii="Cambria Math" w:hAnsi="Cambria Math"/>
                  <w:i/>
                  <w:noProof/>
                </w:rPr>
              </m:ctrlPr>
            </m:sSupPr>
            <m:e>
              <m:r>
                <w:rPr>
                  <w:rFonts w:ascii="Cambria Math" w:hAnsi="Cambria Math"/>
                  <w:noProof/>
                </w:rPr>
                <m:t>P</m:t>
              </m:r>
            </m:e>
            <m:sup>
              <m:r>
                <w:rPr>
                  <w:rFonts w:ascii="Cambria Math" w:hAnsi="Cambria Math"/>
                  <w:noProof/>
                </w:rPr>
                <m:t>'</m:t>
              </m:r>
            </m:sup>
          </m:sSup>
          <m:r>
            <w:rPr>
              <w:rFonts w:ascii="Cambria Math" w:hAnsi="Cambria Math"/>
              <w:noProof/>
            </w:rPr>
            <m:t>[kN]</m:t>
          </m:r>
        </m:oMath>
      </m:oMathPara>
    </w:p>
    <w:p w:rsidR="007F43E9" w:rsidRPr="00C903F8" w:rsidRDefault="007F43E9" w:rsidP="007F43E9">
      <w:pPr>
        <w:pStyle w:val="ESlet"/>
      </w:pPr>
    </w:p>
    <w:p w:rsidR="00E65F26" w:rsidRPr="00C903F8" w:rsidRDefault="00E65F26" w:rsidP="00E65F26">
      <w:pPr>
        <w:pStyle w:val="ESchpar"/>
      </w:pPr>
      <w:r>
        <w:t>dove:</w:t>
      </w:r>
    </w:p>
    <w:p w:rsidR="00E65F26" w:rsidRPr="00C903F8" w:rsidRDefault="000E4A73" w:rsidP="00C973E6">
      <w:pPr>
        <w:pStyle w:val="ESlet"/>
        <w:rPr>
          <w:rStyle w:val="FootnoteReference"/>
          <w:rFonts w:cs="Arial"/>
          <w:sz w:val="18"/>
          <w:szCs w:val="18"/>
        </w:rPr>
      </w:pPr>
      <m:oMath>
        <m:r>
          <w:rPr>
            <w:rFonts w:ascii="Cambria Math" w:hAnsi="Cambria Math"/>
            <w:noProof/>
          </w:rPr>
          <m:t>P'</m:t>
        </m:r>
      </m:oMath>
      <w:r>
        <w:t xml:space="preserve"> massa teorica di ciascuna ancora conformemente ai paragrafi da 1 a 4 e 6.</w:t>
      </w:r>
    </w:p>
    <w:p w:rsidR="00E65F26" w:rsidRPr="00C903F8" w:rsidRDefault="00E65F26" w:rsidP="009A25DA">
      <w:pPr>
        <w:pStyle w:val="ESchpar"/>
        <w:rPr>
          <w:noProof/>
        </w:rPr>
      </w:pPr>
    </w:p>
    <w:p w:rsidR="00E65F26" w:rsidRPr="00C903F8" w:rsidRDefault="00E65F26" w:rsidP="009A25DA">
      <w:pPr>
        <w:pStyle w:val="ESchpar"/>
      </w:pPr>
      <w:r>
        <w:t>Il carico di rottura delle catene delle ancore corrisponde a quello dato da una delle norme in vigore in uno degli Stati membri.</w:t>
      </w:r>
    </w:p>
    <w:p w:rsidR="00E65F26" w:rsidRPr="00C903F8" w:rsidRDefault="00E65F26" w:rsidP="00E65F26">
      <w:pPr>
        <w:pStyle w:val="ESch"/>
        <w:rPr>
          <w:noProof/>
        </w:rPr>
      </w:pPr>
    </w:p>
    <w:p w:rsidR="00E65F26" w:rsidRPr="00C903F8" w:rsidRDefault="00E65F26" w:rsidP="00E65F26">
      <w:pPr>
        <w:pStyle w:val="ESch"/>
      </w:pPr>
      <w:r>
        <w:t>12.</w:t>
      </w:r>
      <w:r>
        <w:tab/>
        <w:t>Quando le ancore hanno una massa superiore a quella prevista dai paragrafi da 1 a 6, il carico di rottura delle catene delle ancore è determinato in funzione della massa effettiva delle ancore.</w:t>
      </w:r>
    </w:p>
    <w:p w:rsidR="00E65F26" w:rsidRPr="00C903F8" w:rsidRDefault="00E65F26" w:rsidP="00E65F26">
      <w:pPr>
        <w:pStyle w:val="ESch"/>
        <w:rPr>
          <w:noProof/>
        </w:rPr>
      </w:pPr>
    </w:p>
    <w:p w:rsidR="00E65F26" w:rsidRPr="00C903F8" w:rsidRDefault="00E65F26" w:rsidP="009A25DA">
      <w:pPr>
        <w:pStyle w:val="ESchpar"/>
      </w:pPr>
      <w:r>
        <w:t>In caso di ancore più pesanti e, di conseguenza, di relative catene più resistenti a bordo, nel certificato per la navigazione interna si farà menzione solo delle masse minime e dei carichi minimi di rottura di cui ai paragrafi da 1 a 6 e 11.</w:t>
      </w:r>
    </w:p>
    <w:p w:rsidR="00E65F26" w:rsidRPr="00C903F8" w:rsidRDefault="00E65F26" w:rsidP="00E65F26">
      <w:pPr>
        <w:pStyle w:val="ESch"/>
        <w:rPr>
          <w:noProof/>
        </w:rPr>
      </w:pPr>
    </w:p>
    <w:p w:rsidR="00E65F26" w:rsidRPr="00C903F8" w:rsidRDefault="00E65F26" w:rsidP="00E65F26">
      <w:pPr>
        <w:pStyle w:val="ESch"/>
      </w:pPr>
      <w:r>
        <w:t>13.</w:t>
      </w:r>
      <w:r>
        <w:tab/>
        <w:t>Gli elementi di collegamento (tornichelle) fra ancora e catena resistono a un carico di trazione superiore del 20 % al carico di rottura della catena corrispondente.</w:t>
      </w:r>
    </w:p>
    <w:p w:rsidR="00E65F26" w:rsidRPr="00C903F8" w:rsidRDefault="00E65F26" w:rsidP="00E65F26">
      <w:pPr>
        <w:pStyle w:val="ESch"/>
        <w:rPr>
          <w:noProof/>
        </w:rPr>
      </w:pPr>
    </w:p>
    <w:p w:rsidR="00E65F26" w:rsidRPr="00C903F8" w:rsidRDefault="00E65F26" w:rsidP="00E65F26">
      <w:pPr>
        <w:pStyle w:val="ESch"/>
      </w:pPr>
      <w:r>
        <w:t>14.</w:t>
      </w:r>
      <w:r>
        <w:tab/>
        <w:t>È consentito l'impiego di cavi al posto delle catene. I cavi hanno il medesimo carico di rottura richiesto per le catene, ma una lunghezza superiore del 20 %.</w:t>
      </w:r>
    </w:p>
    <w:p w:rsidR="00E65F26" w:rsidRPr="00C903F8" w:rsidRDefault="00E65F26" w:rsidP="00E65F26">
      <w:pPr>
        <w:pStyle w:val="ESch"/>
      </w:pPr>
    </w:p>
    <w:p w:rsidR="009A25DA" w:rsidRPr="00C903F8" w:rsidRDefault="009A25DA" w:rsidP="00E65F26">
      <w:pPr>
        <w:pStyle w:val="ESch"/>
      </w:pPr>
    </w:p>
    <w:p w:rsidR="00E65F26" w:rsidRPr="00C903F8" w:rsidRDefault="00E65F26" w:rsidP="00E65F26">
      <w:pPr>
        <w:pStyle w:val="ES-Titre3"/>
        <w:rPr>
          <w:i/>
          <w:noProof/>
        </w:rPr>
      </w:pPr>
      <w:bookmarkStart w:id="212" w:name="_Toc491854103"/>
      <w:bookmarkStart w:id="213" w:name="_Toc535500052"/>
      <w:r>
        <w:t>Articolo 13.02</w:t>
      </w:r>
      <w:r>
        <w:br/>
      </w:r>
      <w:r>
        <w:rPr>
          <w:i/>
          <w:noProof/>
        </w:rPr>
        <w:t>Altre dotazioni</w:t>
      </w:r>
      <w:bookmarkEnd w:id="212"/>
      <w:bookmarkEnd w:id="213"/>
    </w:p>
    <w:p w:rsidR="00E65F26" w:rsidRPr="00C903F8" w:rsidRDefault="00E65F26" w:rsidP="00E65F26">
      <w:pPr>
        <w:pStyle w:val="ESch"/>
        <w:rPr>
          <w:noProof/>
        </w:rPr>
      </w:pPr>
    </w:p>
    <w:p w:rsidR="00E65F26" w:rsidRPr="00C903F8" w:rsidRDefault="00E65F26" w:rsidP="00E65F26">
      <w:pPr>
        <w:pStyle w:val="ESch"/>
      </w:pPr>
      <w:r>
        <w:t>1.</w:t>
      </w:r>
      <w:r>
        <w:tab/>
        <w:t>In conformità alle disposizioni di sicurezza della navigazione in vigore in uno degli Stati membri, a bordo sono presenti almeno le seguenti dotazioni:</w:t>
      </w:r>
    </w:p>
    <w:p w:rsidR="00E65F26" w:rsidRPr="00C903F8" w:rsidRDefault="005C7859" w:rsidP="00E65F26">
      <w:pPr>
        <w:pStyle w:val="ESlet"/>
      </w:pPr>
      <w:r>
        <w:t>a)</w:t>
      </w:r>
      <w:r>
        <w:tab/>
        <w:t>impianto di radiotelefonia;</w:t>
      </w:r>
    </w:p>
    <w:p w:rsidR="00E65F26" w:rsidRPr="00C903F8" w:rsidRDefault="005C7859" w:rsidP="00E65F26">
      <w:pPr>
        <w:pStyle w:val="ESlet"/>
      </w:pPr>
      <w:r>
        <w:t>b)</w:t>
      </w:r>
      <w:r>
        <w:tab/>
        <w:t>apparecchi e dispositivi per trasmettere segnali visivi e acustici o per segnalare la presenza della nave;</w:t>
      </w:r>
    </w:p>
    <w:p w:rsidR="00E65F26" w:rsidRPr="00C903F8" w:rsidRDefault="005C7859" w:rsidP="00E65F26">
      <w:pPr>
        <w:pStyle w:val="ESlet"/>
      </w:pPr>
      <w:r>
        <w:t>c)</w:t>
      </w:r>
      <w:r>
        <w:tab/>
        <w:t>luci sostitutive, indipendenti dalla rete di bordo, per i fanali regolamentari di ormeggio.</w:t>
      </w:r>
    </w:p>
    <w:p w:rsidR="00E65F26" w:rsidRDefault="00E65F26" w:rsidP="00E65F26">
      <w:pPr>
        <w:pStyle w:val="ESch"/>
        <w:rPr>
          <w:noProof/>
        </w:rPr>
      </w:pPr>
    </w:p>
    <w:p w:rsidR="003552BC" w:rsidRDefault="003552BC">
      <w:pPr>
        <w:autoSpaceDE/>
        <w:autoSpaceDN/>
        <w:ind w:left="0" w:firstLine="0"/>
        <w:jc w:val="left"/>
        <w:rPr>
          <w:noProof/>
        </w:rPr>
      </w:pPr>
      <w:r>
        <w:br w:type="page"/>
      </w:r>
    </w:p>
    <w:p w:rsidR="003552BC" w:rsidRPr="00C903F8" w:rsidRDefault="003552BC" w:rsidP="00E65F26">
      <w:pPr>
        <w:pStyle w:val="ESch"/>
        <w:rPr>
          <w:noProof/>
        </w:rPr>
      </w:pPr>
    </w:p>
    <w:p w:rsidR="00E65F26" w:rsidRPr="00C903F8" w:rsidRDefault="00E65F26" w:rsidP="00E65F26">
      <w:pPr>
        <w:pStyle w:val="ESch"/>
      </w:pPr>
      <w:r>
        <w:t>2.</w:t>
      </w:r>
      <w:r>
        <w:tab/>
        <w:t>Devono essere presenti inoltre i recipienti seguenti:</w:t>
      </w:r>
    </w:p>
    <w:p w:rsidR="00E65F26" w:rsidRPr="00C903F8" w:rsidRDefault="005C7859" w:rsidP="00E65F26">
      <w:pPr>
        <w:pStyle w:val="ESlet"/>
      </w:pPr>
      <w:r>
        <w:t>a)</w:t>
      </w:r>
      <w:r>
        <w:tab/>
        <w:t>un recipiente contrassegnato per i rifiuti domestici;</w:t>
      </w:r>
    </w:p>
    <w:p w:rsidR="00E65F26" w:rsidRPr="00C903F8" w:rsidRDefault="005C7859" w:rsidP="00E65F26">
      <w:pPr>
        <w:pStyle w:val="ESlet"/>
      </w:pPr>
      <w:r>
        <w:t>b)</w:t>
      </w:r>
      <w:r>
        <w:tab/>
        <w:t>recipienti separati, contrassegnati, provvisti di coperchio sigillato, in acciaio o altro materiale solido e non infiammabile, di dimensioni adeguate, in grado di contenere almeno 10 litri, per la raccolta di</w:t>
      </w:r>
    </w:p>
    <w:p w:rsidR="00E65F26" w:rsidRPr="00C903F8" w:rsidRDefault="0029453D" w:rsidP="00E65F26">
      <w:pPr>
        <w:pStyle w:val="EStiret"/>
      </w:pPr>
      <w:r>
        <w:t>aa)</w:t>
      </w:r>
      <w:r>
        <w:tab/>
        <w:t>strofinacci impregnati di residui oleosi;</w:t>
      </w:r>
    </w:p>
    <w:p w:rsidR="00E65F26" w:rsidRPr="00C903F8" w:rsidRDefault="0029453D" w:rsidP="00E65F26">
      <w:pPr>
        <w:pStyle w:val="EStiret"/>
      </w:pPr>
      <w:r>
        <w:t>bb)</w:t>
      </w:r>
      <w:r>
        <w:tab/>
        <w:t>rifiuti solidi pericolosi o inquinanti;</w:t>
      </w:r>
    </w:p>
    <w:p w:rsidR="00E65F26" w:rsidRPr="00F46C3C" w:rsidRDefault="0029453D" w:rsidP="00E65F26">
      <w:pPr>
        <w:pStyle w:val="EStiret"/>
      </w:pPr>
      <w:r>
        <w:t>cc)</w:t>
      </w:r>
      <w:r>
        <w:tab/>
        <w:t>rifiuti liquidi pericolosi o inquinanti,</w:t>
      </w:r>
    </w:p>
    <w:p w:rsidR="00E65F26" w:rsidRPr="00C903F8" w:rsidRDefault="00E65F26" w:rsidP="00E65F26">
      <w:pPr>
        <w:pStyle w:val="EStiret"/>
      </w:pPr>
      <w:r>
        <w:t>e, nella misura in cui possono presentarsi, per la raccolta di</w:t>
      </w:r>
    </w:p>
    <w:p w:rsidR="00E65F26" w:rsidRPr="00C903F8" w:rsidRDefault="00E65F26" w:rsidP="00E65F26">
      <w:pPr>
        <w:pStyle w:val="EStiret"/>
      </w:pPr>
      <w:r>
        <w:t>dd)</w:t>
      </w:r>
      <w:r>
        <w:tab/>
        <w:t>fanghi e residui;</w:t>
      </w:r>
    </w:p>
    <w:p w:rsidR="00E65F26" w:rsidRPr="00C903F8" w:rsidRDefault="00E65F26" w:rsidP="00E65F26">
      <w:pPr>
        <w:pStyle w:val="EStiret"/>
      </w:pPr>
      <w:r>
        <w:t>ee)</w:t>
      </w:r>
      <w:r>
        <w:tab/>
        <w:t>altri rifiuti oleosi o di grasso.</w:t>
      </w:r>
    </w:p>
    <w:p w:rsidR="009A25DA" w:rsidRPr="00C903F8" w:rsidRDefault="009A25DA" w:rsidP="00E65F26">
      <w:pPr>
        <w:pStyle w:val="ESch"/>
        <w:rPr>
          <w:noProof/>
        </w:rPr>
      </w:pPr>
    </w:p>
    <w:p w:rsidR="00E65F26" w:rsidRPr="00C903F8" w:rsidRDefault="00E65F26" w:rsidP="00E65F26">
      <w:pPr>
        <w:pStyle w:val="ESch"/>
      </w:pPr>
      <w:r>
        <w:t>3.</w:t>
      </w:r>
      <w:r>
        <w:tab/>
        <w:t>Inoltre, le dotazioni comprendono almeno:</w:t>
      </w:r>
    </w:p>
    <w:p w:rsidR="00E65F26" w:rsidRPr="00C903F8" w:rsidRDefault="005C7859" w:rsidP="009A25DA">
      <w:pPr>
        <w:pStyle w:val="ESlet"/>
      </w:pPr>
      <w:r>
        <w:t>a)</w:t>
      </w:r>
      <w:r>
        <w:tab/>
        <w:t>cavi d'ormeggio:</w:t>
      </w:r>
    </w:p>
    <w:p w:rsidR="00E65F26" w:rsidRPr="00C903F8" w:rsidRDefault="00E65F26" w:rsidP="009A25DA">
      <w:pPr>
        <w:pStyle w:val="ESletpar"/>
      </w:pPr>
      <w:r>
        <w:t>le navi sono dotate di tre cavi d'ormeggio la cui lunghezza minima è almeno la seguente:</w:t>
      </w:r>
    </w:p>
    <w:p w:rsidR="00E65F26" w:rsidRPr="00C903F8" w:rsidRDefault="00E65F26" w:rsidP="00894579">
      <w:pPr>
        <w:pStyle w:val="EStiret"/>
        <w:tabs>
          <w:tab w:val="left" w:pos="2694"/>
        </w:tabs>
        <w:rPr>
          <w:rStyle w:val="FootnoteReference"/>
          <w:rFonts w:cs="Arial"/>
          <w:sz w:val="18"/>
          <w:szCs w:val="18"/>
          <w:vertAlign w:val="baseline"/>
        </w:rPr>
      </w:pPr>
      <w:r>
        <w:t xml:space="preserve">primo cavo: </w:t>
      </w:r>
      <w:r>
        <w:tab/>
      </w:r>
      <m:oMath>
        <m:r>
          <w:rPr>
            <w:rFonts w:ascii="Cambria Math" w:hAnsi="Cambria Math"/>
          </w:rPr>
          <m:t>L+20 m</m:t>
        </m:r>
      </m:oMath>
      <w:r>
        <w:t xml:space="preserve"> ma non superiore a 100 m;</w:t>
      </w:r>
    </w:p>
    <w:p w:rsidR="00E65F26" w:rsidRPr="00C903F8" w:rsidRDefault="00E65F26" w:rsidP="00894579">
      <w:pPr>
        <w:pStyle w:val="EStiret"/>
        <w:tabs>
          <w:tab w:val="left" w:pos="2694"/>
        </w:tabs>
        <w:rPr>
          <w:rStyle w:val="FootnoteReference"/>
          <w:rFonts w:cs="Arial"/>
          <w:sz w:val="18"/>
          <w:szCs w:val="18"/>
          <w:vertAlign w:val="baseline"/>
        </w:rPr>
      </w:pPr>
      <w:r>
        <w:t>secondo cavo:</w:t>
      </w:r>
      <w:r>
        <w:tab/>
        <w:t>2/3 del primo cavo;</w:t>
      </w:r>
    </w:p>
    <w:p w:rsidR="00E65F26" w:rsidRPr="00C903F8" w:rsidRDefault="00E65F26" w:rsidP="00894579">
      <w:pPr>
        <w:pStyle w:val="EStiret"/>
        <w:tabs>
          <w:tab w:val="left" w:pos="2694"/>
        </w:tabs>
        <w:rPr>
          <w:rStyle w:val="FootnoteReference"/>
          <w:rFonts w:cs="Arial"/>
          <w:sz w:val="18"/>
          <w:szCs w:val="18"/>
          <w:vertAlign w:val="baseline"/>
        </w:rPr>
      </w:pPr>
      <w:r>
        <w:t>terzo cavo:</w:t>
      </w:r>
      <w:r>
        <w:tab/>
        <w:t>1/3 del primo cavo.</w:t>
      </w:r>
    </w:p>
    <w:p w:rsidR="00E65F26" w:rsidRPr="00C903F8" w:rsidRDefault="00E65F26" w:rsidP="009A25DA">
      <w:pPr>
        <w:pStyle w:val="ESletpar"/>
      </w:pPr>
      <w:r>
        <w:t xml:space="preserve">A bordo delle navi la cui </w:t>
      </w:r>
      <m:oMath>
        <m:r>
          <w:rPr>
            <w:rFonts w:ascii="Cambria Math" w:hAnsi="Cambria Math"/>
            <w:noProof/>
          </w:rPr>
          <m:t>L</m:t>
        </m:r>
      </m:oMath>
      <w:r>
        <w:t xml:space="preserve"> è inferiore a 20 m, non è richiesto il cavo più corto.</w:t>
      </w:r>
    </w:p>
    <w:p w:rsidR="00E65F26" w:rsidRPr="00C903F8" w:rsidRDefault="00E65F26" w:rsidP="009A25DA">
      <w:pPr>
        <w:pStyle w:val="ESletpar"/>
        <w:rPr>
          <w:noProof/>
        </w:rPr>
      </w:pPr>
      <w:r>
        <w:t xml:space="preserve">I cavi hanno un carico di rottura </w:t>
      </w:r>
      <m:oMath>
        <m:sSub>
          <m:sSubPr>
            <m:ctrlPr>
              <w:rPr>
                <w:rFonts w:ascii="Cambria Math" w:hAnsi="Cambria Math"/>
                <w:i/>
                <w:noProof/>
              </w:rPr>
            </m:ctrlPr>
          </m:sSubPr>
          <m:e>
            <m:r>
              <w:rPr>
                <w:rFonts w:ascii="Cambria Math" w:hAnsi="Cambria Math"/>
                <w:noProof/>
              </w:rPr>
              <m:t>R</m:t>
            </m:r>
          </m:e>
          <m:sub>
            <m:r>
              <w:rPr>
                <w:rFonts w:ascii="Cambria Math" w:hAnsi="Cambria Math"/>
                <w:noProof/>
              </w:rPr>
              <m:t>s</m:t>
            </m:r>
          </m:sub>
        </m:sSub>
      </m:oMath>
      <w:r>
        <w:t xml:space="preserve"> calcolato in base alle seguenti formule:</w:t>
      </w:r>
    </w:p>
    <w:p w:rsidR="00894579" w:rsidRPr="00C903F8" w:rsidRDefault="00894579" w:rsidP="009A25DA">
      <w:pPr>
        <w:pStyle w:val="ESletpar"/>
      </w:pPr>
    </w:p>
    <w:p w:rsidR="00E65F26" w:rsidRPr="00C903F8" w:rsidRDefault="00894579" w:rsidP="001B5ABA">
      <w:pPr>
        <w:pStyle w:val="ESgauche"/>
        <w:jc w:val="center"/>
      </w:pPr>
      <w:r>
        <w:t xml:space="preserve">per </w:t>
      </w:r>
      <m:oMath>
        <m:r>
          <w:rPr>
            <w:rFonts w:ascii="Cambria Math" w:hAnsi="Cambria Math"/>
          </w:rPr>
          <m:t>L ∙B ∙T</m:t>
        </m:r>
      </m:oMath>
      <w:r>
        <w:t xml:space="preserve"> fino a 1 000 m</w:t>
      </w:r>
      <w:r>
        <w:rPr>
          <w:vertAlign w:val="superscript"/>
        </w:rPr>
        <w:t>3</w:t>
      </w:r>
      <w:r>
        <w:t xml:space="preserve">: </w:t>
      </w:r>
      <m:oMath>
        <m:sSub>
          <m:sSubPr>
            <m:ctrlPr>
              <w:rPr>
                <w:rFonts w:ascii="Cambria Math" w:hAnsi="Cambria Math"/>
                <w:i/>
                <w:sz w:val="22"/>
              </w:rPr>
            </m:ctrlPr>
          </m:sSubPr>
          <m:e>
            <m:r>
              <w:rPr>
                <w:rFonts w:ascii="Cambria Math" w:hAnsi="Cambria Math"/>
                <w:sz w:val="22"/>
              </w:rPr>
              <m:t>R</m:t>
            </m:r>
          </m:e>
          <m:sub>
            <m:r>
              <w:rPr>
                <w:rFonts w:ascii="Cambria Math" w:hAnsi="Cambria Math"/>
                <w:sz w:val="22"/>
              </w:rPr>
              <m:t>s</m:t>
            </m:r>
          </m:sub>
        </m:sSub>
        <m:r>
          <w:rPr>
            <w:rFonts w:ascii="Cambria Math" w:hAnsi="Cambria Math"/>
            <w:sz w:val="22"/>
          </w:rPr>
          <m:t xml:space="preserve">=60+ </m:t>
        </m:r>
        <m:f>
          <m:fPr>
            <m:ctrlPr>
              <w:rPr>
                <w:rFonts w:ascii="Cambria Math" w:hAnsi="Cambria Math"/>
                <w:i/>
                <w:sz w:val="22"/>
              </w:rPr>
            </m:ctrlPr>
          </m:fPr>
          <m:num>
            <m:r>
              <w:rPr>
                <w:rFonts w:ascii="Cambria Math" w:hAnsi="Cambria Math"/>
                <w:sz w:val="22"/>
              </w:rPr>
              <m:t>L ∙B ∙T</m:t>
            </m:r>
          </m:num>
          <m:den>
            <m:r>
              <w:rPr>
                <w:rFonts w:ascii="Cambria Math" w:hAnsi="Cambria Math"/>
                <w:sz w:val="22"/>
              </w:rPr>
              <m:t>10</m:t>
            </m:r>
          </m:den>
        </m:f>
        <m:r>
          <w:rPr>
            <w:rFonts w:ascii="Cambria Math" w:hAnsi="Cambria Math"/>
            <w:sz w:val="22"/>
          </w:rPr>
          <m:t xml:space="preserve"> </m:t>
        </m:r>
        <m:d>
          <m:dPr>
            <m:begChr m:val="["/>
            <m:endChr m:val="]"/>
            <m:ctrlPr>
              <w:rPr>
                <w:rFonts w:ascii="Cambria Math" w:hAnsi="Cambria Math"/>
                <w:i/>
                <w:sz w:val="22"/>
              </w:rPr>
            </m:ctrlPr>
          </m:dPr>
          <m:e>
            <m:r>
              <w:rPr>
                <w:rFonts w:ascii="Cambria Math" w:hAnsi="Cambria Math"/>
                <w:sz w:val="22"/>
              </w:rPr>
              <m:t>kN</m:t>
            </m:r>
          </m:e>
        </m:d>
        <m:r>
          <w:rPr>
            <w:rFonts w:ascii="Cambria Math" w:hAnsi="Cambria Math"/>
            <w:sz w:val="22"/>
          </w:rPr>
          <m:t>;</m:t>
        </m:r>
      </m:oMath>
    </w:p>
    <w:p w:rsidR="001B5ABA" w:rsidRPr="00C903F8" w:rsidRDefault="001B5ABA" w:rsidP="001B5ABA">
      <w:pPr>
        <w:pStyle w:val="ESgauche"/>
        <w:jc w:val="center"/>
      </w:pPr>
    </w:p>
    <w:p w:rsidR="009A25DA" w:rsidRPr="00C903F8" w:rsidRDefault="009A25DA" w:rsidP="001B5ABA">
      <w:pPr>
        <w:pStyle w:val="ESgauche"/>
        <w:jc w:val="center"/>
      </w:pPr>
      <w:r>
        <w:t xml:space="preserve">per </w:t>
      </w:r>
      <m:oMath>
        <m:r>
          <w:rPr>
            <w:rFonts w:ascii="Cambria Math" w:hAnsi="Cambria Math"/>
          </w:rPr>
          <m:t>L ∙B ∙T</m:t>
        </m:r>
      </m:oMath>
      <w:r>
        <w:t xml:space="preserve"> superiore a 1 000 m</w:t>
      </w:r>
      <w:r>
        <w:rPr>
          <w:vertAlign w:val="superscript"/>
        </w:rPr>
        <w:t>3</w:t>
      </w:r>
      <w:r>
        <w:t xml:space="preserve">: </w:t>
      </w:r>
      <m:oMath>
        <m:sSub>
          <m:sSubPr>
            <m:ctrlPr>
              <w:rPr>
                <w:rFonts w:ascii="Cambria Math" w:hAnsi="Cambria Math"/>
                <w:i/>
                <w:sz w:val="22"/>
              </w:rPr>
            </m:ctrlPr>
          </m:sSubPr>
          <m:e>
            <m:r>
              <w:rPr>
                <w:rFonts w:ascii="Cambria Math" w:hAnsi="Cambria Math"/>
                <w:sz w:val="22"/>
              </w:rPr>
              <m:t>R</m:t>
            </m:r>
          </m:e>
          <m:sub>
            <m:r>
              <w:rPr>
                <w:rFonts w:ascii="Cambria Math" w:hAnsi="Cambria Math"/>
                <w:sz w:val="22"/>
              </w:rPr>
              <m:t>s</m:t>
            </m:r>
          </m:sub>
        </m:sSub>
        <m:r>
          <w:rPr>
            <w:rFonts w:ascii="Cambria Math" w:hAnsi="Cambria Math"/>
            <w:sz w:val="22"/>
          </w:rPr>
          <m:t xml:space="preserve">=150+ </m:t>
        </m:r>
        <m:f>
          <m:fPr>
            <m:ctrlPr>
              <w:rPr>
                <w:rFonts w:ascii="Cambria Math" w:hAnsi="Cambria Math"/>
                <w:i/>
                <w:sz w:val="22"/>
              </w:rPr>
            </m:ctrlPr>
          </m:fPr>
          <m:num>
            <m:r>
              <w:rPr>
                <w:rFonts w:ascii="Cambria Math" w:hAnsi="Cambria Math"/>
                <w:sz w:val="22"/>
              </w:rPr>
              <m:t>L ∙B ∙T</m:t>
            </m:r>
          </m:num>
          <m:den>
            <m:r>
              <w:rPr>
                <w:rFonts w:ascii="Cambria Math" w:hAnsi="Cambria Math"/>
                <w:sz w:val="22"/>
              </w:rPr>
              <m:t>100</m:t>
            </m:r>
          </m:den>
        </m:f>
        <m:r>
          <w:rPr>
            <w:rFonts w:ascii="Cambria Math" w:hAnsi="Cambria Math"/>
            <w:sz w:val="22"/>
          </w:rPr>
          <m:t xml:space="preserve"> </m:t>
        </m:r>
        <m:d>
          <m:dPr>
            <m:begChr m:val="["/>
            <m:endChr m:val="]"/>
            <m:ctrlPr>
              <w:rPr>
                <w:rFonts w:ascii="Cambria Math" w:hAnsi="Cambria Math"/>
                <w:i/>
                <w:sz w:val="22"/>
              </w:rPr>
            </m:ctrlPr>
          </m:dPr>
          <m:e>
            <m:r>
              <w:rPr>
                <w:rFonts w:ascii="Cambria Math" w:hAnsi="Cambria Math"/>
                <w:sz w:val="22"/>
              </w:rPr>
              <m:t>kN</m:t>
            </m:r>
          </m:e>
        </m:d>
        <m:r>
          <w:rPr>
            <w:rFonts w:ascii="Cambria Math" w:hAnsi="Cambria Math"/>
            <w:sz w:val="22"/>
          </w:rPr>
          <m:t>.</m:t>
        </m:r>
      </m:oMath>
    </w:p>
    <w:p w:rsidR="00D20B98" w:rsidRPr="00C903F8" w:rsidRDefault="00D20B98" w:rsidP="0034064A">
      <w:pPr>
        <w:pStyle w:val="ESletpar"/>
        <w:spacing w:before="0"/>
        <w:rPr>
          <w:noProof/>
        </w:rPr>
      </w:pPr>
    </w:p>
    <w:p w:rsidR="0088585A" w:rsidRDefault="0088585A" w:rsidP="009A25DA">
      <w:pPr>
        <w:pStyle w:val="ESletpar"/>
        <w:rPr>
          <w:noProof/>
        </w:rPr>
      </w:pPr>
      <w:r>
        <w:t>Per i cavi richiesti è presente a bordo un certificato conforme alla norma europea EN 10204:2004, punto 3.1.</w:t>
      </w:r>
    </w:p>
    <w:p w:rsidR="00E65F26" w:rsidRPr="00C903F8" w:rsidRDefault="00E65F26" w:rsidP="009A25DA">
      <w:pPr>
        <w:pStyle w:val="ESletpar"/>
      </w:pPr>
      <w:r>
        <w:t>Questi cavi possono essere sostituiti da cime della medesima lunghezza e del medesimo carico di rottura. Il carico di rottura minimo di tali cime è indicata in un certificato;</w:t>
      </w:r>
    </w:p>
    <w:p w:rsidR="00E65F26" w:rsidRPr="00C903F8" w:rsidRDefault="005C7859" w:rsidP="009A25DA">
      <w:pPr>
        <w:pStyle w:val="ESlet"/>
      </w:pPr>
      <w:r>
        <w:t>b)</w:t>
      </w:r>
      <w:r>
        <w:tab/>
        <w:t>cavi da rimorchio:</w:t>
      </w:r>
    </w:p>
    <w:p w:rsidR="00E65F26" w:rsidRPr="00C903F8" w:rsidRDefault="00E65F26" w:rsidP="009A25DA">
      <w:pPr>
        <w:pStyle w:val="ESletpar"/>
      </w:pPr>
      <w:r>
        <w:t>I rimorchiatori sono dotati di un numero di cavi adatto alle loro funzioni.</w:t>
      </w:r>
    </w:p>
    <w:p w:rsidR="00E65F26" w:rsidRPr="00C903F8" w:rsidRDefault="00E65F26" w:rsidP="009A25DA">
      <w:pPr>
        <w:pStyle w:val="ESletpar"/>
      </w:pPr>
      <w:r>
        <w:t>Tuttavia, il cavo principale ha una lunghezza minima di 100 m e un carico di rottura, in kN, non inferiore a 1/3 della potenza totale, in kW, del motore o dei motori principali.</w:t>
      </w:r>
    </w:p>
    <w:p w:rsidR="00E65F26" w:rsidRPr="00C903F8" w:rsidRDefault="00E65F26" w:rsidP="009A25DA">
      <w:pPr>
        <w:pStyle w:val="ESletpar"/>
      </w:pPr>
      <w:r>
        <w:t>Le motonavi e gli spintori idonei al rimorchio sono dotati almeno di un cavo da rimorchio di 100 m di lunghezza il cui carico di rottura, in kN, non è inferiore a 1/4 della potenza totale, in kW, del motore o dei motori principali;</w:t>
      </w:r>
    </w:p>
    <w:p w:rsidR="00E65F26" w:rsidRPr="00C903F8" w:rsidRDefault="005C7859" w:rsidP="009A25DA">
      <w:pPr>
        <w:pStyle w:val="ESlet"/>
      </w:pPr>
      <w:r>
        <w:t>c)</w:t>
      </w:r>
      <w:r>
        <w:tab/>
        <w:t>una sagola;</w:t>
      </w:r>
    </w:p>
    <w:p w:rsidR="00E65F26" w:rsidRPr="00C903F8" w:rsidRDefault="005C7859" w:rsidP="009A25DA">
      <w:pPr>
        <w:pStyle w:val="ESlet"/>
      </w:pPr>
      <w:r>
        <w:t>d)</w:t>
      </w:r>
      <w:r>
        <w:tab/>
        <w:t>una passerella d'imbarco larga almeno 0,40 m e lunga almeno 4 m, con i bordi evidenziati da una striscia di colore chiaro; tale passerella è munita di corrimano. Per le navi di piccole dimensioni la commissione di ispezione può autorizzare passerelle più corte;</w:t>
      </w:r>
    </w:p>
    <w:p w:rsidR="00E65F26" w:rsidRPr="00C903F8" w:rsidRDefault="0029453D" w:rsidP="009A25DA">
      <w:pPr>
        <w:pStyle w:val="ESlet"/>
      </w:pPr>
      <w:r>
        <w:t>e)</w:t>
      </w:r>
      <w:r>
        <w:tab/>
        <w:t>una gaffa;</w:t>
      </w:r>
    </w:p>
    <w:p w:rsidR="009A25DA" w:rsidRPr="00C903F8" w:rsidRDefault="009A25DA" w:rsidP="009A25DA">
      <w:pPr>
        <w:pStyle w:val="ESlet"/>
        <w:rPr>
          <w:noProof/>
        </w:rPr>
      </w:pPr>
    </w:p>
    <w:p w:rsidR="009A25DA" w:rsidRPr="00C903F8" w:rsidRDefault="009A25DA" w:rsidP="009A25DA">
      <w:pPr>
        <w:pStyle w:val="ESlet"/>
        <w:rPr>
          <w:noProof/>
        </w:rPr>
      </w:pPr>
      <w:r>
        <w:br w:type="page"/>
      </w:r>
    </w:p>
    <w:p w:rsidR="00E65F26" w:rsidRPr="00C903F8" w:rsidRDefault="0029453D" w:rsidP="009A25DA">
      <w:pPr>
        <w:pStyle w:val="ESlet"/>
      </w:pPr>
      <w:r>
        <w:lastRenderedPageBreak/>
        <w:t>f)</w:t>
      </w:r>
      <w:r>
        <w:tab/>
        <w:t>un'idonea cassetta di pronto soccorso, il cui contenuto è conforme ad una norma pertinente di uno Stato membro. La cassetta di pronto soccorso è depositata nell'area riservata agli alloggi o nella timoneria in modo che, se necessario, sia accessibile in modo facile e sicuro. Se le cassette di pronto soccorso sono depositate in modo che non siano visibili, il coperchio è contraddistinto da un pittogramma che raffigura la cassetta di pronto soccorso, conformemente all'allegato IV, figura 8, avente una lunghezza del lato di almeno 10 cm;</w:t>
      </w:r>
    </w:p>
    <w:p w:rsidR="00E65F26" w:rsidRPr="00C903F8" w:rsidRDefault="0029453D" w:rsidP="009A25DA">
      <w:pPr>
        <w:pStyle w:val="ESlet"/>
      </w:pPr>
      <w:r>
        <w:t>g)</w:t>
      </w:r>
      <w:r>
        <w:tab/>
        <w:t>un binocolo 7 × 50 o con un diametro delle lenti maggiore;</w:t>
      </w:r>
    </w:p>
    <w:p w:rsidR="00E65F26" w:rsidRPr="00C903F8" w:rsidRDefault="0029453D" w:rsidP="009A25DA">
      <w:pPr>
        <w:pStyle w:val="ESlet"/>
      </w:pPr>
      <w:r>
        <w:t>h)</w:t>
      </w:r>
      <w:r>
        <w:tab/>
        <w:t>un pannello di istruzioni per il salvataggio e la rianimazione della gente caduta in mare;</w:t>
      </w:r>
    </w:p>
    <w:p w:rsidR="00E65F26" w:rsidRPr="00C903F8" w:rsidRDefault="0029453D" w:rsidP="009A25DA">
      <w:pPr>
        <w:pStyle w:val="ESlet"/>
      </w:pPr>
      <w:r>
        <w:t>i)</w:t>
      </w:r>
      <w:r>
        <w:tab/>
        <w:t>un proiettore che può essere utilizzato dalla timoneria.</w:t>
      </w:r>
    </w:p>
    <w:p w:rsidR="009A25DA" w:rsidRPr="00C903F8" w:rsidRDefault="009A25DA" w:rsidP="00E65F26">
      <w:pPr>
        <w:pStyle w:val="ESch"/>
        <w:rPr>
          <w:noProof/>
        </w:rPr>
      </w:pPr>
    </w:p>
    <w:p w:rsidR="00E65F26" w:rsidRPr="00C903F8" w:rsidRDefault="00E65F26" w:rsidP="00E65F26">
      <w:pPr>
        <w:pStyle w:val="ESch"/>
      </w:pPr>
      <w:r>
        <w:t>4.</w:t>
      </w:r>
      <w:r>
        <w:tab/>
        <w:t>A bordo delle navi in cui l'altezza del ponte al di sopra della linea di galleggiamento a vuoto sia superiore a 1,50 m è prevista una scala o una scaletta a pioli d'imbarco.</w:t>
      </w:r>
    </w:p>
    <w:p w:rsidR="00E65F26" w:rsidRPr="00C903F8" w:rsidRDefault="00E65F26" w:rsidP="00E65F26">
      <w:pPr>
        <w:pStyle w:val="ESch"/>
      </w:pPr>
    </w:p>
    <w:p w:rsidR="009A25DA" w:rsidRPr="00C903F8" w:rsidRDefault="009A25DA" w:rsidP="00E65F26">
      <w:pPr>
        <w:pStyle w:val="ESch"/>
      </w:pPr>
    </w:p>
    <w:p w:rsidR="00E65F26" w:rsidRPr="00C903F8" w:rsidRDefault="00E65F26" w:rsidP="009A25DA">
      <w:pPr>
        <w:pStyle w:val="ES-Titre3"/>
        <w:rPr>
          <w:i/>
          <w:noProof/>
        </w:rPr>
      </w:pPr>
      <w:bookmarkStart w:id="214" w:name="_Toc491854104"/>
      <w:bookmarkStart w:id="215" w:name="_Toc535500053"/>
      <w:r>
        <w:t>Articolo 13.03</w:t>
      </w:r>
      <w:r>
        <w:br/>
      </w:r>
      <w:r>
        <w:rPr>
          <w:i/>
          <w:noProof/>
        </w:rPr>
        <w:t>Estintori portatili</w:t>
      </w:r>
      <w:bookmarkEnd w:id="214"/>
      <w:bookmarkEnd w:id="215"/>
    </w:p>
    <w:p w:rsidR="009A25DA" w:rsidRPr="00C903F8" w:rsidRDefault="009A25DA" w:rsidP="00E65F26">
      <w:pPr>
        <w:pStyle w:val="ESch"/>
        <w:rPr>
          <w:noProof/>
        </w:rPr>
      </w:pPr>
    </w:p>
    <w:p w:rsidR="00E65F26" w:rsidRPr="00C903F8" w:rsidRDefault="00E65F26" w:rsidP="00E65F26">
      <w:pPr>
        <w:pStyle w:val="ESch"/>
      </w:pPr>
      <w:r>
        <w:t>1.</w:t>
      </w:r>
      <w:r>
        <w:tab/>
        <w:t>A bordo è presente almeno un estintore portatile in conformità alle norme europee EN 3-7:2007 ed EN 3-8:2007 in ciascuno dei luoghi seguenti:</w:t>
      </w:r>
    </w:p>
    <w:p w:rsidR="00E65F26" w:rsidRPr="00C903F8" w:rsidRDefault="005C7859" w:rsidP="009A25DA">
      <w:pPr>
        <w:pStyle w:val="ESlet"/>
      </w:pPr>
      <w:r>
        <w:t>a)</w:t>
      </w:r>
      <w:r>
        <w:tab/>
        <w:t>timoneria;</w:t>
      </w:r>
    </w:p>
    <w:p w:rsidR="00E65F26" w:rsidRPr="00C903F8" w:rsidRDefault="005C7859" w:rsidP="009A25DA">
      <w:pPr>
        <w:pStyle w:val="ESlet"/>
      </w:pPr>
      <w:r>
        <w:t>b)</w:t>
      </w:r>
      <w:r>
        <w:tab/>
        <w:t>vicino ad ogni accesso dal ponte agli alloggi;</w:t>
      </w:r>
    </w:p>
    <w:p w:rsidR="00E65F26" w:rsidRPr="00C903F8" w:rsidRDefault="005C7859" w:rsidP="009A25DA">
      <w:pPr>
        <w:pStyle w:val="ESlet"/>
      </w:pPr>
      <w:r>
        <w:t>c)</w:t>
      </w:r>
      <w:r>
        <w:tab/>
        <w:t>vicino ad ogni accesso ai locali di servizio non accessibili dagli alloggi, nei quali si trovino impianti di riscaldamento, di cucina o di refrigerazione che utilizzano combustibili solidi o liquidi o gas liquido;</w:t>
      </w:r>
    </w:p>
    <w:p w:rsidR="00E65F26" w:rsidRPr="00C903F8" w:rsidRDefault="005C7859" w:rsidP="009A25DA">
      <w:pPr>
        <w:pStyle w:val="ESlet"/>
      </w:pPr>
      <w:r>
        <w:t>d)</w:t>
      </w:r>
      <w:r>
        <w:tab/>
        <w:t>all'entrata di ogni sala macchine e locale caldaie;</w:t>
      </w:r>
    </w:p>
    <w:p w:rsidR="00E65F26" w:rsidRPr="00C903F8" w:rsidRDefault="0029453D" w:rsidP="009A25DA">
      <w:pPr>
        <w:pStyle w:val="ESlet"/>
      </w:pPr>
      <w:r>
        <w:t>e)</w:t>
      </w:r>
      <w:r>
        <w:tab/>
        <w:t>sotto coperta, in un punto appropriato delle sale macchine e del locale caldaie, in modo che nessun estintore si trovi a più di 10 m di distanza da un qualsiasi punto del locale.</w:t>
      </w:r>
    </w:p>
    <w:p w:rsidR="009A25DA" w:rsidRPr="00C903F8" w:rsidRDefault="009A25DA" w:rsidP="00E65F26">
      <w:pPr>
        <w:pStyle w:val="ESch"/>
      </w:pPr>
    </w:p>
    <w:p w:rsidR="00E65F26" w:rsidRPr="00C903F8" w:rsidRDefault="00E65F26" w:rsidP="00E65F26">
      <w:pPr>
        <w:pStyle w:val="ESch"/>
      </w:pPr>
      <w:r>
        <w:t>2.</w:t>
      </w:r>
      <w:r>
        <w:tab/>
        <w:t>Per quanto riguarda gli estintori portatili di cui al paragrafo 1 possono essere utilizzati solo estintori a polvere il cui contenuto è pari almeno a 6 kg o altri estintori portatili della stessa capacità di estinzione. Gli estintori sono in grado di spegnere fuochi delle classi A, B e C.</w:t>
      </w:r>
    </w:p>
    <w:p w:rsidR="009A25DA" w:rsidRPr="00C903F8" w:rsidRDefault="009A25DA" w:rsidP="00E65F26">
      <w:pPr>
        <w:pStyle w:val="ESch"/>
        <w:rPr>
          <w:noProof/>
        </w:rPr>
      </w:pPr>
    </w:p>
    <w:p w:rsidR="00E65F26" w:rsidRPr="00C903F8" w:rsidRDefault="00E65F26" w:rsidP="009A25DA">
      <w:pPr>
        <w:pStyle w:val="ESchpar"/>
      </w:pPr>
      <w:r>
        <w:t>A titolo di deroga sulle navi prive di impianti a gas liquefatto, sono consentiti gli estintori a schiuma polverizzata che utilizzano schiuma formante un velo acquoso anticongelamento fino a -20 °C, anche se non sono idonei per fuochi della classe C. Gli estintori devono avere una capacità minima di 9 litri.</w:t>
      </w:r>
    </w:p>
    <w:p w:rsidR="009A25DA" w:rsidRPr="00C903F8" w:rsidRDefault="009A25DA" w:rsidP="00E65F26">
      <w:pPr>
        <w:pStyle w:val="ESch"/>
        <w:rPr>
          <w:noProof/>
        </w:rPr>
      </w:pPr>
    </w:p>
    <w:p w:rsidR="00E65F26" w:rsidRPr="00C903F8" w:rsidRDefault="00E65F26" w:rsidP="009A25DA">
      <w:pPr>
        <w:pStyle w:val="ESchpar"/>
      </w:pPr>
      <w:r>
        <w:t>Devono essere tutti in grado di spegnere fuochi in impianti elettrici fino a 1000 V.</w:t>
      </w:r>
    </w:p>
    <w:p w:rsidR="009A25DA" w:rsidRPr="00C903F8" w:rsidRDefault="009A25DA" w:rsidP="00E65F26">
      <w:pPr>
        <w:pStyle w:val="ESch"/>
        <w:rPr>
          <w:noProof/>
        </w:rPr>
      </w:pPr>
    </w:p>
    <w:p w:rsidR="00E65F26" w:rsidRPr="00C903F8" w:rsidRDefault="00E65F26" w:rsidP="00E65F26">
      <w:pPr>
        <w:pStyle w:val="ESch"/>
      </w:pPr>
      <w:r>
        <w:t>3.</w:t>
      </w:r>
      <w:r>
        <w:tab/>
        <w:t>Inoltre possono essere utilizzati estintori a polvere, ad acqua, o a schiuma adatti almeno per la classe di fuoco più probabile nel locale per il quale tali apparecchi sono previsti.</w:t>
      </w:r>
    </w:p>
    <w:p w:rsidR="009A25DA" w:rsidRPr="00C903F8" w:rsidRDefault="009A25DA" w:rsidP="00E65F26">
      <w:pPr>
        <w:pStyle w:val="ESch"/>
        <w:rPr>
          <w:noProof/>
        </w:rPr>
      </w:pPr>
    </w:p>
    <w:p w:rsidR="00E65F26" w:rsidRPr="00C903F8" w:rsidRDefault="00E65F26" w:rsidP="00E65F26">
      <w:pPr>
        <w:pStyle w:val="ESch"/>
      </w:pPr>
      <w:r>
        <w:t>4.</w:t>
      </w:r>
      <w:r>
        <w:tab/>
        <w:t>Gli estintori portatili a CO</w:t>
      </w:r>
      <w:r>
        <w:rPr>
          <w:noProof/>
          <w:vertAlign w:val="subscript"/>
        </w:rPr>
        <w:t>2</w:t>
      </w:r>
      <w:r>
        <w:t xml:space="preserve"> possono essere utilizzati soltanto per spegnere gli incendi nelle cucine e negli impianti elettrici. Il contenuto di tali estintori è pari al massimo a 1 kg per 15 m</w:t>
      </w:r>
      <w:r>
        <w:rPr>
          <w:noProof/>
          <w:vertAlign w:val="superscript"/>
        </w:rPr>
        <w:t>3</w:t>
      </w:r>
      <w:r>
        <w:t xml:space="preserve"> del locale in cui sono sistemati per l'uso.</w:t>
      </w:r>
    </w:p>
    <w:p w:rsidR="009A25DA" w:rsidRPr="00C903F8" w:rsidRDefault="009A25DA" w:rsidP="00E65F26">
      <w:pPr>
        <w:pStyle w:val="ESch"/>
        <w:rPr>
          <w:noProof/>
        </w:rPr>
      </w:pPr>
    </w:p>
    <w:p w:rsidR="009A25DA" w:rsidRPr="00C903F8" w:rsidRDefault="009A25DA" w:rsidP="00E65F26">
      <w:pPr>
        <w:pStyle w:val="ESch"/>
        <w:rPr>
          <w:noProof/>
        </w:rPr>
      </w:pPr>
      <w:r>
        <w:br w:type="page"/>
      </w:r>
    </w:p>
    <w:p w:rsidR="00E65F26" w:rsidRPr="00C903F8" w:rsidRDefault="00E65F26" w:rsidP="00E65F26">
      <w:pPr>
        <w:pStyle w:val="ESch"/>
      </w:pPr>
      <w:r>
        <w:lastRenderedPageBreak/>
        <w:t>5.</w:t>
      </w:r>
      <w:r>
        <w:tab/>
        <w:t>Gli estintori portatili sono controllati almeno ogni due anni da una persona competente. Sull’estintore viene apposta un'etichetta che comprova l’ispezione, firmata dalla persona competente che ha effettuato il controllo e indicante la data in cui esso è avvenuto.</w:t>
      </w:r>
    </w:p>
    <w:p w:rsidR="009A25DA" w:rsidRPr="00C903F8" w:rsidRDefault="009A25DA" w:rsidP="00E65F26">
      <w:pPr>
        <w:pStyle w:val="ESch"/>
        <w:rPr>
          <w:noProof/>
        </w:rPr>
      </w:pPr>
    </w:p>
    <w:p w:rsidR="00E65F26" w:rsidRPr="00C903F8" w:rsidRDefault="00E65F26" w:rsidP="00E65F26">
      <w:pPr>
        <w:pStyle w:val="ESch"/>
      </w:pPr>
      <w:r>
        <w:t>6.</w:t>
      </w:r>
      <w:r>
        <w:tab/>
        <w:t>Se gli estintori portatili sono installati in modo non visibile, il pannello che li ricopre è contraddistinto dal pittogramma degli estintori come indicato nell'allegato 4, figura 3, che ha una lunghezza del lato di almeno 10 cm.</w:t>
      </w:r>
    </w:p>
    <w:p w:rsidR="00E65F26" w:rsidRPr="00C903F8" w:rsidRDefault="00E65F26" w:rsidP="00E65F26">
      <w:pPr>
        <w:pStyle w:val="ESch"/>
      </w:pPr>
    </w:p>
    <w:p w:rsidR="00824063" w:rsidRPr="00C903F8" w:rsidRDefault="00824063" w:rsidP="00E65F26">
      <w:pPr>
        <w:pStyle w:val="ESch"/>
      </w:pPr>
    </w:p>
    <w:p w:rsidR="00E65F26" w:rsidRPr="00C903F8" w:rsidRDefault="00E65F26" w:rsidP="009A25DA">
      <w:pPr>
        <w:pStyle w:val="ES-Titre3"/>
        <w:rPr>
          <w:i/>
        </w:rPr>
      </w:pPr>
      <w:bookmarkStart w:id="216" w:name="_Toc491854105"/>
      <w:bookmarkStart w:id="217" w:name="_Toc535500054"/>
      <w:r>
        <w:t>Articolo 13.04</w:t>
      </w:r>
      <w:r>
        <w:br/>
      </w:r>
      <w:r>
        <w:rPr>
          <w:i/>
          <w:noProof/>
        </w:rPr>
        <w:t>Sistemi antincendio fissi per la protezione degli alloggi equipaggio,</w:t>
      </w:r>
      <w:r>
        <w:rPr>
          <w:i/>
          <w:noProof/>
        </w:rPr>
        <w:br/>
        <w:t>delle timonerie e dei locali per i passeggeri</w:t>
      </w:r>
      <w:bookmarkEnd w:id="216"/>
      <w:bookmarkEnd w:id="217"/>
    </w:p>
    <w:p w:rsidR="009A25DA" w:rsidRPr="00C903F8" w:rsidRDefault="009A25DA" w:rsidP="00E65F26">
      <w:pPr>
        <w:pStyle w:val="ESch"/>
        <w:rPr>
          <w:noProof/>
        </w:rPr>
      </w:pPr>
    </w:p>
    <w:p w:rsidR="00E65F26" w:rsidRPr="00C903F8" w:rsidRDefault="00E65F26" w:rsidP="00E65F26">
      <w:pPr>
        <w:pStyle w:val="ESch"/>
      </w:pPr>
      <w:r>
        <w:t>1.</w:t>
      </w:r>
      <w:r>
        <w:tab/>
        <w:t xml:space="preserve">Per la protezione dei locali degli alloggi, delle timonerie e dei locali per i passeggeri sono ammessi soltanto impianti automatici pressurizzati a </w:t>
      </w:r>
      <w:r>
        <w:rPr>
          <w:i/>
        </w:rPr>
        <w:t>sprinkler</w:t>
      </w:r>
      <w:r>
        <w:t xml:space="preserve"> alimentati ad acqua idonei quali sistemi antincendio fissi.</w:t>
      </w:r>
    </w:p>
    <w:p w:rsidR="00824063" w:rsidRPr="00C903F8" w:rsidRDefault="00824063" w:rsidP="00E65F26">
      <w:pPr>
        <w:pStyle w:val="ESch"/>
        <w:rPr>
          <w:noProof/>
        </w:rPr>
      </w:pPr>
    </w:p>
    <w:p w:rsidR="00E65F26" w:rsidRPr="00C903F8" w:rsidRDefault="00E65F26" w:rsidP="00E65F26">
      <w:pPr>
        <w:pStyle w:val="ESch"/>
      </w:pPr>
      <w:r>
        <w:t>2.</w:t>
      </w:r>
      <w:r>
        <w:tab/>
        <w:t>I sistemi possono essere installati o modificati soltanto da società specializzate.</w:t>
      </w:r>
    </w:p>
    <w:p w:rsidR="00824063" w:rsidRPr="00C903F8" w:rsidRDefault="00824063" w:rsidP="00E65F26">
      <w:pPr>
        <w:pStyle w:val="ESch"/>
        <w:rPr>
          <w:noProof/>
        </w:rPr>
      </w:pPr>
    </w:p>
    <w:p w:rsidR="00E65F26" w:rsidRPr="00C903F8" w:rsidRDefault="00E65F26" w:rsidP="00E65F26">
      <w:pPr>
        <w:pStyle w:val="ESch"/>
      </w:pPr>
      <w:r>
        <w:t>3.</w:t>
      </w:r>
      <w:r>
        <w:tab/>
        <w:t>I sistemi sono in acciaio o altri materiali equivalenti non combustibili.</w:t>
      </w:r>
    </w:p>
    <w:p w:rsidR="00824063" w:rsidRPr="00C903F8" w:rsidRDefault="00824063" w:rsidP="00E65F26">
      <w:pPr>
        <w:pStyle w:val="ESch"/>
        <w:rPr>
          <w:noProof/>
        </w:rPr>
      </w:pPr>
    </w:p>
    <w:p w:rsidR="00E65F26" w:rsidRPr="00C903F8" w:rsidRDefault="00E65F26" w:rsidP="00E65F26">
      <w:pPr>
        <w:pStyle w:val="ESch"/>
      </w:pPr>
      <w:r>
        <w:t>4.</w:t>
      </w:r>
      <w:r>
        <w:tab/>
        <w:t>I sistemi sono in grado di spruzzare un volume d'acqua minimo di 5 l/m</w:t>
      </w:r>
      <w:r>
        <w:rPr>
          <w:noProof/>
          <w:vertAlign w:val="superscript"/>
        </w:rPr>
        <w:t>2</w:t>
      </w:r>
      <w:r>
        <w:t xml:space="preserve"> al minuto sulla superficie del locale più grande da proteggere.</w:t>
      </w:r>
    </w:p>
    <w:p w:rsidR="00824063" w:rsidRPr="00C903F8" w:rsidRDefault="00824063" w:rsidP="00E65F26">
      <w:pPr>
        <w:pStyle w:val="ESch"/>
        <w:rPr>
          <w:noProof/>
        </w:rPr>
      </w:pPr>
    </w:p>
    <w:p w:rsidR="00E65F26" w:rsidRPr="00C903F8" w:rsidRDefault="00E65F26" w:rsidP="00E65F26">
      <w:pPr>
        <w:pStyle w:val="ESch"/>
      </w:pPr>
      <w:r>
        <w:t>5.</w:t>
      </w:r>
      <w:r>
        <w:tab/>
        <w:t>I sistemi che spruzzano quantitativi d'acqua inferiori sono omologati conformemente alla risoluzione A.800 (19)</w:t>
      </w:r>
      <w:r>
        <w:rPr>
          <w:rStyle w:val="FootnoteReference"/>
          <w:noProof/>
        </w:rPr>
        <w:footnoteReference w:id="9"/>
      </w:r>
      <w:r>
        <w:t xml:space="preserve"> dell'IMO o altra norma riconosciuta da uno degli Stati membri. L'omologazione è effettuata da un organismo di classificazione autorizzato o da un'istituzione competente per le prove accreditata. </w:t>
      </w:r>
      <w:r>
        <w:rPr>
          <w:rFonts w:ascii="ArialMT" w:hAnsi="ArialMT"/>
        </w:rPr>
        <w:t>L'istituzione competente per le prove accreditata è conforme alla norma europea EN ISO/IEC 17025:2005.</w:t>
      </w:r>
    </w:p>
    <w:p w:rsidR="00824063" w:rsidRPr="00C903F8" w:rsidRDefault="00824063" w:rsidP="00E65F26">
      <w:pPr>
        <w:pStyle w:val="ESch"/>
        <w:rPr>
          <w:noProof/>
        </w:rPr>
      </w:pPr>
    </w:p>
    <w:p w:rsidR="00E65F26" w:rsidRPr="00C903F8" w:rsidRDefault="00E65F26" w:rsidP="00E65F26">
      <w:pPr>
        <w:pStyle w:val="ESch"/>
      </w:pPr>
      <w:r>
        <w:t>6.</w:t>
      </w:r>
      <w:r>
        <w:tab/>
        <w:t>I sistemi sono controllati da un esperto:</w:t>
      </w:r>
    </w:p>
    <w:p w:rsidR="00E65F26" w:rsidRPr="00C903F8" w:rsidRDefault="005C7859" w:rsidP="00824063">
      <w:pPr>
        <w:pStyle w:val="ESlet"/>
      </w:pPr>
      <w:r>
        <w:t>a)</w:t>
      </w:r>
      <w:r>
        <w:tab/>
        <w:t>prima di essere messi in servizio per la prima volta;</w:t>
      </w:r>
    </w:p>
    <w:p w:rsidR="00E65F26" w:rsidRPr="00C903F8" w:rsidRDefault="005C7859" w:rsidP="00824063">
      <w:pPr>
        <w:pStyle w:val="ESlet"/>
      </w:pPr>
      <w:r>
        <w:t>b)</w:t>
      </w:r>
      <w:r>
        <w:tab/>
        <w:t>prima di essere reimmessi in servizio dopo essere stati attivati;</w:t>
      </w:r>
    </w:p>
    <w:p w:rsidR="00E65F26" w:rsidRPr="00C903F8" w:rsidRDefault="005C7859" w:rsidP="00824063">
      <w:pPr>
        <w:pStyle w:val="ESlet"/>
      </w:pPr>
      <w:r>
        <w:t>c)</w:t>
      </w:r>
      <w:r>
        <w:tab/>
        <w:t>prima di essere reimmessi in servizio dopo una modifica o una riparazione importante; e</w:t>
      </w:r>
    </w:p>
    <w:p w:rsidR="00E65F26" w:rsidRPr="00C903F8" w:rsidRDefault="005C7859" w:rsidP="00824063">
      <w:pPr>
        <w:pStyle w:val="ESlet"/>
      </w:pPr>
      <w:r>
        <w:t>d)</w:t>
      </w:r>
      <w:r>
        <w:tab/>
        <w:t>periodicamente, almeno ogni due anni.</w:t>
      </w:r>
    </w:p>
    <w:p w:rsidR="00824063" w:rsidRPr="00C903F8" w:rsidRDefault="00824063" w:rsidP="00E65F26">
      <w:pPr>
        <w:pStyle w:val="ESch"/>
        <w:rPr>
          <w:noProof/>
        </w:rPr>
      </w:pPr>
    </w:p>
    <w:p w:rsidR="00E65F26" w:rsidRPr="00C903F8" w:rsidRDefault="00E65F26" w:rsidP="00824063">
      <w:pPr>
        <w:pStyle w:val="ESchpar"/>
      </w:pPr>
      <w:r>
        <w:t>Le ispezioni di cui alla lettera d) possono anche essere effettuate da una persona competente di un'impresa specializzata nei sistemi antincendio.</w:t>
      </w:r>
    </w:p>
    <w:p w:rsidR="00824063" w:rsidRPr="00C903F8" w:rsidRDefault="00824063" w:rsidP="00E65F26">
      <w:pPr>
        <w:pStyle w:val="ESch"/>
        <w:rPr>
          <w:noProof/>
        </w:rPr>
      </w:pPr>
    </w:p>
    <w:p w:rsidR="00E65F26" w:rsidRPr="00C903F8" w:rsidRDefault="00E65F26" w:rsidP="00E65F26">
      <w:pPr>
        <w:pStyle w:val="ESch"/>
      </w:pPr>
      <w:r>
        <w:t>7.</w:t>
      </w:r>
      <w:r>
        <w:tab/>
        <w:t>Nel corso del controllo di cui al paragrafo 6, l'esperto o la persona competente verifica la conformità dei sistemi ai requisiti del presente articolo.</w:t>
      </w:r>
    </w:p>
    <w:p w:rsidR="00824063" w:rsidRPr="00C903F8" w:rsidRDefault="00824063" w:rsidP="00E65F26">
      <w:pPr>
        <w:pStyle w:val="ESch"/>
        <w:rPr>
          <w:noProof/>
        </w:rPr>
      </w:pPr>
    </w:p>
    <w:p w:rsidR="00E65F26" w:rsidRPr="00C903F8" w:rsidRDefault="00E65F26" w:rsidP="00824063">
      <w:pPr>
        <w:pStyle w:val="ESchpar"/>
      </w:pPr>
      <w:r>
        <w:t>Il controllo comprende almeno:</w:t>
      </w:r>
    </w:p>
    <w:p w:rsidR="00E65F26" w:rsidRPr="00C903F8" w:rsidRDefault="005C7859" w:rsidP="00824063">
      <w:pPr>
        <w:pStyle w:val="ESlet"/>
      </w:pPr>
      <w:r>
        <w:t>a)</w:t>
      </w:r>
      <w:r>
        <w:tab/>
        <w:t>l’ispezione esterna di tutto il sistema;</w:t>
      </w:r>
    </w:p>
    <w:p w:rsidR="00E65F26" w:rsidRPr="00C903F8" w:rsidRDefault="005C7859" w:rsidP="00824063">
      <w:pPr>
        <w:pStyle w:val="ESlet"/>
      </w:pPr>
      <w:r>
        <w:t>b)</w:t>
      </w:r>
      <w:r>
        <w:tab/>
        <w:t>la prova funzionale dei sistemi di sicurezza e degli ugelli;</w:t>
      </w:r>
    </w:p>
    <w:p w:rsidR="00E65F26" w:rsidRPr="00C903F8" w:rsidRDefault="005C7859" w:rsidP="00824063">
      <w:pPr>
        <w:pStyle w:val="ESlet"/>
      </w:pPr>
      <w:r>
        <w:t>c)</w:t>
      </w:r>
      <w:r>
        <w:tab/>
        <w:t>la prova funzionale dei serbatoi in pressione e del sistema di pompaggio.</w:t>
      </w:r>
    </w:p>
    <w:p w:rsidR="00824063" w:rsidRPr="00C903F8" w:rsidRDefault="00824063" w:rsidP="00E65F26">
      <w:pPr>
        <w:pStyle w:val="ESch"/>
        <w:rPr>
          <w:noProof/>
        </w:rPr>
      </w:pPr>
    </w:p>
    <w:p w:rsidR="00824063" w:rsidRPr="00C903F8" w:rsidRDefault="00824063" w:rsidP="00E65F26">
      <w:pPr>
        <w:pStyle w:val="ESch"/>
        <w:rPr>
          <w:noProof/>
        </w:rPr>
      </w:pPr>
      <w:r>
        <w:br w:type="page"/>
      </w:r>
    </w:p>
    <w:p w:rsidR="00E65F26" w:rsidRPr="00C903F8" w:rsidRDefault="00E65F26" w:rsidP="00E65F26">
      <w:pPr>
        <w:pStyle w:val="ESch"/>
      </w:pPr>
      <w:r>
        <w:lastRenderedPageBreak/>
        <w:t>8.</w:t>
      </w:r>
      <w:r>
        <w:tab/>
        <w:t>L'esperto o la persona competente redige e firma un attestato di ispezione, indicando la data dell'ispezione.</w:t>
      </w:r>
    </w:p>
    <w:p w:rsidR="00824063" w:rsidRPr="00C903F8" w:rsidRDefault="00824063" w:rsidP="00E65F26">
      <w:pPr>
        <w:pStyle w:val="ESch"/>
        <w:rPr>
          <w:noProof/>
        </w:rPr>
      </w:pPr>
    </w:p>
    <w:p w:rsidR="00E65F26" w:rsidRPr="00C903F8" w:rsidRDefault="00E65F26" w:rsidP="00E65F26">
      <w:pPr>
        <w:pStyle w:val="ESch"/>
      </w:pPr>
      <w:r>
        <w:t>9.</w:t>
      </w:r>
      <w:r>
        <w:tab/>
        <w:t>Il numero dei sistemi installati è indicato nel certificato per la navigazione interna.</w:t>
      </w:r>
    </w:p>
    <w:p w:rsidR="00E65F26" w:rsidRPr="00C903F8" w:rsidRDefault="00E65F26" w:rsidP="00E65F26">
      <w:pPr>
        <w:pStyle w:val="ESch"/>
      </w:pPr>
    </w:p>
    <w:p w:rsidR="00E65F26" w:rsidRPr="00C903F8" w:rsidRDefault="00E65F26" w:rsidP="00E65F26">
      <w:pPr>
        <w:pStyle w:val="ESch"/>
      </w:pPr>
    </w:p>
    <w:p w:rsidR="00E65F26" w:rsidRPr="00C903F8" w:rsidRDefault="00E65F26" w:rsidP="00824063">
      <w:pPr>
        <w:pStyle w:val="ES-Titre3"/>
        <w:rPr>
          <w:i/>
          <w:noProof/>
        </w:rPr>
      </w:pPr>
      <w:bookmarkStart w:id="218" w:name="_Toc491854106"/>
      <w:bookmarkStart w:id="219" w:name="_Toc535500055"/>
      <w:r>
        <w:t>Articolo 13.05</w:t>
      </w:r>
      <w:r>
        <w:br/>
      </w:r>
      <w:r>
        <w:rPr>
          <w:i/>
          <w:noProof/>
        </w:rPr>
        <w:t>Sistemi antincendio fissi per la protezione di sale macchine, locali caldaie e locali pompe</w:t>
      </w:r>
      <w:bookmarkEnd w:id="218"/>
      <w:bookmarkEnd w:id="219"/>
    </w:p>
    <w:p w:rsidR="00824063" w:rsidRPr="00C903F8" w:rsidRDefault="00824063" w:rsidP="00E65F26">
      <w:pPr>
        <w:pStyle w:val="ESch"/>
        <w:rPr>
          <w:noProof/>
        </w:rPr>
      </w:pPr>
    </w:p>
    <w:p w:rsidR="00E65F26" w:rsidRPr="00C903F8" w:rsidRDefault="00E65F26" w:rsidP="00E65F26">
      <w:pPr>
        <w:pStyle w:val="ESch"/>
      </w:pPr>
      <w:r>
        <w:t>1.</w:t>
      </w:r>
      <w:r>
        <w:tab/>
        <w:t>Agenti estinguenti</w:t>
      </w:r>
    </w:p>
    <w:p w:rsidR="00824063" w:rsidRPr="00C903F8" w:rsidRDefault="00824063" w:rsidP="00E65F26">
      <w:pPr>
        <w:pStyle w:val="ESch"/>
        <w:rPr>
          <w:noProof/>
        </w:rPr>
      </w:pPr>
    </w:p>
    <w:p w:rsidR="00E65F26" w:rsidRPr="00C903F8" w:rsidRDefault="00E65F26" w:rsidP="00824063">
      <w:pPr>
        <w:pStyle w:val="ESchpar"/>
      </w:pPr>
      <w:r>
        <w:t>Per la protezione delle sale macchine, dei locali caldaie e dei locali pompe nei sistemi antincendio fissi possono essere utilizzati gli agenti estinguenti indicati in appresso:</w:t>
      </w:r>
    </w:p>
    <w:p w:rsidR="00E65F26" w:rsidRPr="00C903F8" w:rsidRDefault="005C7859" w:rsidP="00824063">
      <w:pPr>
        <w:pStyle w:val="ESlet"/>
      </w:pPr>
      <w:r>
        <w:t>a)</w:t>
      </w:r>
      <w:r>
        <w:tab/>
        <w:t>CO</w:t>
      </w:r>
      <w:r>
        <w:rPr>
          <w:noProof/>
          <w:vertAlign w:val="subscript"/>
        </w:rPr>
        <w:t xml:space="preserve">2 </w:t>
      </w:r>
      <w:r>
        <w:t>(biossido di carbonio);</w:t>
      </w:r>
    </w:p>
    <w:p w:rsidR="00E65F26" w:rsidRPr="00C903F8" w:rsidRDefault="005C7859" w:rsidP="00824063">
      <w:pPr>
        <w:pStyle w:val="ESlet"/>
      </w:pPr>
      <w:r>
        <w:t>b)</w:t>
      </w:r>
      <w:r>
        <w:tab/>
        <w:t>HFC 227 ea (Eptafluoropropano);</w:t>
      </w:r>
    </w:p>
    <w:p w:rsidR="00E65F26" w:rsidRPr="009879C7" w:rsidRDefault="005C7859" w:rsidP="00824063">
      <w:pPr>
        <w:pStyle w:val="ESlet"/>
      </w:pPr>
      <w:r>
        <w:t>c)</w:t>
      </w:r>
      <w:r>
        <w:tab/>
        <w:t>IG-541 (azoto 52 %, argon 40 %, biossido di carbonio 8 %);</w:t>
      </w:r>
    </w:p>
    <w:p w:rsidR="00E65F26" w:rsidRPr="00946CF6" w:rsidRDefault="005C7859" w:rsidP="00824063">
      <w:pPr>
        <w:pStyle w:val="ESlet"/>
        <w:rPr>
          <w:noProof/>
        </w:rPr>
      </w:pPr>
      <w:r>
        <w:t>d)</w:t>
      </w:r>
      <w:r>
        <w:tab/>
        <w:t>FK-5-1-12 (dodecafluoro-2-metilpentano-3-uno);</w:t>
      </w:r>
    </w:p>
    <w:p w:rsidR="0088585A" w:rsidRPr="000E732C" w:rsidRDefault="0088585A" w:rsidP="00824063">
      <w:pPr>
        <w:pStyle w:val="ESlet"/>
      </w:pPr>
      <w:r>
        <w:t>e)</w:t>
      </w:r>
      <w:r>
        <w:tab/>
        <w:t>acqua.</w:t>
      </w:r>
    </w:p>
    <w:p w:rsidR="00E65F26" w:rsidRPr="000E732C" w:rsidRDefault="00E65F26" w:rsidP="00E65F26">
      <w:pPr>
        <w:pStyle w:val="ESch"/>
      </w:pPr>
    </w:p>
    <w:p w:rsidR="00E65F26" w:rsidRPr="00C903F8" w:rsidRDefault="00E65F26" w:rsidP="00E65F26">
      <w:pPr>
        <w:pStyle w:val="ESch"/>
      </w:pPr>
      <w:r>
        <w:t>2.</w:t>
      </w:r>
      <w:r>
        <w:tab/>
        <w:t>Ventilazione, aspirazione dell'aria</w:t>
      </w:r>
    </w:p>
    <w:p w:rsidR="00E65F26" w:rsidRPr="00C903F8" w:rsidRDefault="005C7859" w:rsidP="00824063">
      <w:pPr>
        <w:pStyle w:val="ESlet"/>
      </w:pPr>
      <w:r>
        <w:t>a)</w:t>
      </w:r>
      <w:r>
        <w:tab/>
        <w:t>L'aria di combustione per i motori di propulsione non proviene dai locali protetti da sistemi antincendio fissi. Tale disposizione non si applica se vi sono due sale macchine principali reciprocamente indipendenti e ermeticamente separate o se accanto alla sala macchine principale si trova una sala macchine separata con un'elica di prua che assicuri la prosecuzione del percorso della nave con mezzi propri in caso di incendio nella sala macchine principale.</w:t>
      </w:r>
    </w:p>
    <w:p w:rsidR="00E65F26" w:rsidRPr="00C903F8" w:rsidRDefault="005C7859" w:rsidP="00824063">
      <w:pPr>
        <w:pStyle w:val="ESlet"/>
      </w:pPr>
      <w:r>
        <w:t>b)</w:t>
      </w:r>
      <w:r>
        <w:tab/>
        <w:t>Qualsiasi ventilazione forzata presente nella sala da proteggere è automaticamente spenta se il sistema antincendio è attivato.</w:t>
      </w:r>
    </w:p>
    <w:p w:rsidR="00E65F26" w:rsidRPr="00C903F8" w:rsidRDefault="005C7859" w:rsidP="00824063">
      <w:pPr>
        <w:pStyle w:val="ESlet"/>
      </w:pPr>
      <w:r>
        <w:t>c)</w:t>
      </w:r>
      <w:r>
        <w:tab/>
        <w:t>Sono previsti dispositivi che permettono di chiudere velocemente tutte le aperture del locale da proteggere dalle quali può entrare aria o fuoriuscire gas, e la cui posizione aperta o chiusa è chiaramente individuabile.</w:t>
      </w:r>
    </w:p>
    <w:p w:rsidR="00E65F26" w:rsidRPr="00C903F8" w:rsidRDefault="005C7859" w:rsidP="00824063">
      <w:pPr>
        <w:pStyle w:val="ESlet"/>
      </w:pPr>
      <w:r>
        <w:t>d)</w:t>
      </w:r>
      <w:r>
        <w:tab/>
        <w:t>L'aria che fuoriesce dalle valvole di sfiato della pressione nei serbatoi d'aria compressa installati nelle sale macchine è convogliata all'aria aperta.</w:t>
      </w:r>
    </w:p>
    <w:p w:rsidR="00E65F26" w:rsidRPr="00C903F8" w:rsidRDefault="0029453D" w:rsidP="00824063">
      <w:pPr>
        <w:pStyle w:val="ESlet"/>
      </w:pPr>
      <w:r>
        <w:t>e)</w:t>
      </w:r>
      <w:r>
        <w:tab/>
        <w:t>La sovrappressione o la sottopressione risultante dal flusso dell'agente estinguente non distrugge gli elementi costitutivi delle parti del locale da proteggere. Occorre poter equalizzare la pressione senza pericolo.</w:t>
      </w:r>
    </w:p>
    <w:p w:rsidR="00E65F26" w:rsidRPr="00C903F8" w:rsidRDefault="0029453D" w:rsidP="00824063">
      <w:pPr>
        <w:pStyle w:val="ESlet"/>
      </w:pPr>
      <w:r>
        <w:t>f)</w:t>
      </w:r>
      <w:r>
        <w:tab/>
        <w:t>I locali protetti sono dotati di un dispositivo per l'estrazione dell'agente estinguente e dei gas di combustione. Tali dispositivi sono azionabili dall'esterno dei locali protetti e in caso di incendio in questi ultimi, restano sempre accessibili. Non potranno essere attivati eventuali estrattori fissi durante l'estinzione di incendi.</w:t>
      </w:r>
    </w:p>
    <w:p w:rsidR="00824063" w:rsidRPr="00C903F8" w:rsidRDefault="00824063" w:rsidP="00E65F26">
      <w:pPr>
        <w:pStyle w:val="ESch"/>
        <w:rPr>
          <w:noProof/>
        </w:rPr>
      </w:pPr>
    </w:p>
    <w:p w:rsidR="00E65F26" w:rsidRPr="00C903F8" w:rsidRDefault="00E65F26" w:rsidP="00E65F26">
      <w:pPr>
        <w:pStyle w:val="ESch"/>
      </w:pPr>
      <w:r>
        <w:t>3.</w:t>
      </w:r>
      <w:r>
        <w:tab/>
        <w:t>Sistema di allarme antincendio</w:t>
      </w:r>
    </w:p>
    <w:p w:rsidR="00824063" w:rsidRPr="00C903F8" w:rsidRDefault="00824063" w:rsidP="00824063">
      <w:pPr>
        <w:pStyle w:val="ESchpar"/>
        <w:rPr>
          <w:noProof/>
        </w:rPr>
      </w:pPr>
    </w:p>
    <w:p w:rsidR="00E65F26" w:rsidRPr="00C903F8" w:rsidRDefault="00E65F26" w:rsidP="00824063">
      <w:pPr>
        <w:pStyle w:val="ESchpar"/>
      </w:pPr>
      <w:r>
        <w:t>Il locale da proteggere è sorvegliato da un idoneo sistema di allarme antincendio che deve essere udito nella timoneria, negli alloggi e nel locale da proteggere.</w:t>
      </w:r>
    </w:p>
    <w:p w:rsidR="00824063" w:rsidRPr="00C903F8" w:rsidRDefault="00824063" w:rsidP="00E65F26">
      <w:pPr>
        <w:pStyle w:val="ESch"/>
        <w:rPr>
          <w:noProof/>
        </w:rPr>
      </w:pPr>
    </w:p>
    <w:p w:rsidR="00824063" w:rsidRPr="00C903F8" w:rsidRDefault="00824063" w:rsidP="00E65F26">
      <w:pPr>
        <w:pStyle w:val="ESch"/>
        <w:rPr>
          <w:noProof/>
        </w:rPr>
      </w:pPr>
      <w:r>
        <w:br w:type="page"/>
      </w:r>
    </w:p>
    <w:p w:rsidR="00E65F26" w:rsidRPr="00C903F8" w:rsidRDefault="00E65F26" w:rsidP="00E65F26">
      <w:pPr>
        <w:pStyle w:val="ESch"/>
      </w:pPr>
      <w:r>
        <w:lastRenderedPageBreak/>
        <w:t>4.</w:t>
      </w:r>
      <w:r>
        <w:tab/>
        <w:t>Sistema di tubature</w:t>
      </w:r>
    </w:p>
    <w:p w:rsidR="00E65F26" w:rsidRPr="00C903F8" w:rsidRDefault="005C7859" w:rsidP="00824063">
      <w:pPr>
        <w:pStyle w:val="ESlet"/>
      </w:pPr>
      <w:r>
        <w:t>a)</w:t>
      </w:r>
      <w:r>
        <w:tab/>
        <w:t>L'agente estinguente è convogliato nel locale da proteggere e distribuito in tale locale mediante un sistema fisso di tubature. Le tubature all'interno del locale da proteggere e i relativi accessori sono in acciaio. Questa disposizione non si applica ai tubi di raccordo dei serbatoi e ai giunti di espansione purché i materiali utilizzati abbiano proprietà equivalenti in caso di incendio. I tubi sono protetti sia all'interno che all'esterno contro la corrosione.</w:t>
      </w:r>
    </w:p>
    <w:p w:rsidR="00E65F26" w:rsidRPr="00C903F8" w:rsidRDefault="005C7859" w:rsidP="00824063">
      <w:pPr>
        <w:pStyle w:val="ESlet"/>
      </w:pPr>
      <w:r>
        <w:t>b)</w:t>
      </w:r>
      <w:r>
        <w:tab/>
        <w:t>Gli ugelli di uscita sono dimensionati e montati in modo da garantire la distribuzione uniforme dell’estinguente. In particolare, l’estinguente deve essere efficace anche sotto le tavole del pavimento.</w:t>
      </w:r>
    </w:p>
    <w:p w:rsidR="00824063" w:rsidRPr="00C903F8" w:rsidRDefault="00824063" w:rsidP="00E65F26">
      <w:pPr>
        <w:pStyle w:val="ESch"/>
        <w:rPr>
          <w:noProof/>
        </w:rPr>
      </w:pPr>
    </w:p>
    <w:p w:rsidR="00E65F26" w:rsidRPr="00C903F8" w:rsidRDefault="00E65F26" w:rsidP="00E65F26">
      <w:pPr>
        <w:pStyle w:val="ESch"/>
      </w:pPr>
      <w:r>
        <w:t>5.</w:t>
      </w:r>
      <w:r>
        <w:tab/>
        <w:t>Dispositivo di attivazione</w:t>
      </w:r>
    </w:p>
    <w:p w:rsidR="00E65F26" w:rsidRPr="00C903F8" w:rsidRDefault="005C7859" w:rsidP="00824063">
      <w:pPr>
        <w:pStyle w:val="ESlet"/>
      </w:pPr>
      <w:r>
        <w:t>a)</w:t>
      </w:r>
      <w:r>
        <w:tab/>
        <w:t>I dispositivi antincendio ad attivazione automatica non sono ammessi.</w:t>
      </w:r>
    </w:p>
    <w:p w:rsidR="00E65F26" w:rsidRPr="00C903F8" w:rsidRDefault="005C7859" w:rsidP="00824063">
      <w:pPr>
        <w:pStyle w:val="ESlet"/>
      </w:pPr>
      <w:r>
        <w:t>b)</w:t>
      </w:r>
      <w:r>
        <w:tab/>
        <w:t>Il sistema antincendio deve poter essere attivato da un punto appropriato all'esterno del locale da proteggere.</w:t>
      </w:r>
    </w:p>
    <w:p w:rsidR="00E65F26" w:rsidRPr="00C903F8" w:rsidRDefault="005C7859" w:rsidP="00824063">
      <w:pPr>
        <w:pStyle w:val="ESlet"/>
      </w:pPr>
      <w:r>
        <w:t>c)</w:t>
      </w:r>
      <w:r>
        <w:tab/>
        <w:t>I dispositivi di attivazione sono installati in modo da poter essere azionati anche in caso d'incendio e in modo da garantire il quantitativo necessario di agente estinguente in caso di danni causati dal fuoco o da esplosioni nel locale da proteggere.</w:t>
      </w:r>
    </w:p>
    <w:p w:rsidR="00E65F26" w:rsidRPr="00C903F8" w:rsidRDefault="00C44D3C" w:rsidP="00824063">
      <w:pPr>
        <w:pStyle w:val="ESletpar"/>
      </w:pPr>
      <w:r>
        <w:t>I dispositivi di attivazione non meccanica sono alimentati da due diverse fonti di energia reciprocamente indipendenti situate all'esterno del locale da proteggere. Le linee di comando nella sala da proteggere sono progettate in modo da restare in funzione per almeno 30 minuti in caso di incendio. Tale disposizione è soddisfatta se il cablaggio elettrico è conforme alla norma internazionale IEC 60331-21:1999.</w:t>
      </w:r>
    </w:p>
    <w:p w:rsidR="00E65F26" w:rsidRPr="00C903F8" w:rsidRDefault="00E65F26" w:rsidP="00824063">
      <w:pPr>
        <w:pStyle w:val="ESletpar"/>
      </w:pPr>
      <w:r>
        <w:t>Se i dispositivi di attivazione sono installati in modo da non essere visibili, il pannello di copertura è segnalato con il pittogramma "impianto antincendio" come indicato nell'allegato 4, figura 6, avente una lunghezza del lato di almeno 10 cm e con il testo seguente, a caratteri rossi su fondo bianco:</w:t>
      </w:r>
    </w:p>
    <w:p w:rsidR="00E65F26" w:rsidRPr="00C903F8" w:rsidRDefault="0064343D" w:rsidP="001B5ABA">
      <w:pPr>
        <w:pStyle w:val="ESletpar"/>
        <w:jc w:val="center"/>
      </w:pPr>
      <w:r>
        <w:t>"Feuerlöscheinrichtung</w:t>
      </w:r>
    </w:p>
    <w:p w:rsidR="00E65F26" w:rsidRPr="00C903F8" w:rsidRDefault="00E65F26" w:rsidP="001B5ABA">
      <w:pPr>
        <w:pStyle w:val="ESletpar"/>
        <w:jc w:val="center"/>
      </w:pPr>
      <w:r>
        <w:t>Installation d'extinction</w:t>
      </w:r>
    </w:p>
    <w:p w:rsidR="00E65F26" w:rsidRPr="00C903F8" w:rsidRDefault="00E65F26" w:rsidP="001B5ABA">
      <w:pPr>
        <w:pStyle w:val="ESletpar"/>
        <w:jc w:val="center"/>
      </w:pPr>
      <w:r>
        <w:t>Brandblusinstallatie</w:t>
      </w:r>
    </w:p>
    <w:p w:rsidR="00E65F26" w:rsidRPr="00C903F8" w:rsidRDefault="00E65F26" w:rsidP="001B5ABA">
      <w:pPr>
        <w:pStyle w:val="ESletpar"/>
        <w:jc w:val="center"/>
      </w:pPr>
      <w:r>
        <w:t>Fire-fighting installation</w:t>
      </w:r>
      <w:r w:rsidR="00BF7908">
        <w:t>"</w:t>
      </w:r>
      <w:r>
        <w:t>.</w:t>
      </w:r>
    </w:p>
    <w:p w:rsidR="00E65F26" w:rsidRPr="00C903F8" w:rsidRDefault="005C7859" w:rsidP="00824063">
      <w:pPr>
        <w:pStyle w:val="ESlet"/>
      </w:pPr>
      <w:r>
        <w:t>d)</w:t>
      </w:r>
      <w:r>
        <w:tab/>
        <w:t>Se il sistema antincendio è inteso a proteggere vari locali, il dispositivo di attivazione di ciascun locale è separato e chiaramente identificato.</w:t>
      </w:r>
    </w:p>
    <w:p w:rsidR="00E65F26" w:rsidRPr="00C903F8" w:rsidRDefault="0029453D" w:rsidP="00824063">
      <w:pPr>
        <w:pStyle w:val="ESlet"/>
      </w:pPr>
      <w:r>
        <w:t>e)</w:t>
      </w:r>
      <w:r>
        <w:tab/>
        <w:t>Accanto ad ogni dispositivo di attivazione sono apposte in modo visibile e indelebile le istruzioni per l'uso in una delle lingue degli Stati membri, relative in particolare:</w:t>
      </w:r>
    </w:p>
    <w:p w:rsidR="00E65F26" w:rsidRPr="00C903F8" w:rsidRDefault="0029453D" w:rsidP="00574385">
      <w:pPr>
        <w:pStyle w:val="EStiret"/>
      </w:pPr>
      <w:r>
        <w:t>aa)</w:t>
      </w:r>
      <w:r>
        <w:tab/>
        <w:t>all'attivazione del sistema antincendio;</w:t>
      </w:r>
    </w:p>
    <w:p w:rsidR="00E65F26" w:rsidRPr="00C903F8" w:rsidRDefault="0029453D" w:rsidP="00574385">
      <w:pPr>
        <w:pStyle w:val="EStiret"/>
      </w:pPr>
      <w:r>
        <w:t>bb)</w:t>
      </w:r>
      <w:r>
        <w:tab/>
        <w:t>alla necessità di assicurarsi che tutte le persone abbiano lasciato il locale da proteggere;</w:t>
      </w:r>
    </w:p>
    <w:p w:rsidR="00E65F26" w:rsidRPr="00C903F8" w:rsidRDefault="00E65F26" w:rsidP="00574385">
      <w:pPr>
        <w:pStyle w:val="EStiret"/>
      </w:pPr>
      <w:r>
        <w:t>cc)</w:t>
      </w:r>
      <w:r>
        <w:tab/>
        <w:t>alle azioni che l'equipaggio deve compiere quando il sistema antincendio è attivato e quando accede al locale protetto dopo l'attivazione del sistema o l'erogazione, in particolare per quanto riguarda la possibile presenza di sostanze pericolose;</w:t>
      </w:r>
    </w:p>
    <w:p w:rsidR="00E65F26" w:rsidRPr="00C903F8" w:rsidRDefault="00E65F26" w:rsidP="00574385">
      <w:pPr>
        <w:pStyle w:val="EStiret"/>
      </w:pPr>
      <w:r>
        <w:t>dd)</w:t>
      </w:r>
      <w:r>
        <w:tab/>
        <w:t>alle azioni che l'equipaggio deve compiere in caso di avaria del sistema antincendio.</w:t>
      </w:r>
    </w:p>
    <w:p w:rsidR="00E65F26" w:rsidRPr="00C903F8" w:rsidRDefault="0029453D" w:rsidP="00824063">
      <w:pPr>
        <w:pStyle w:val="ESlet"/>
      </w:pPr>
      <w:r>
        <w:t>f)</w:t>
      </w:r>
      <w:r>
        <w:tab/>
        <w:t>Le istruzioni per l'uso segnalano che, prima dell'attivazione del sistema antincendio, i motori a combustione che aspirano l'aria del locale da proteggere devono essere spenti.</w:t>
      </w:r>
    </w:p>
    <w:p w:rsidR="00824063" w:rsidRPr="00C903F8" w:rsidRDefault="00824063" w:rsidP="00E65F26">
      <w:pPr>
        <w:pStyle w:val="ESch"/>
        <w:rPr>
          <w:noProof/>
        </w:rPr>
      </w:pPr>
    </w:p>
    <w:p w:rsidR="004C4825" w:rsidRDefault="004C4825">
      <w:pPr>
        <w:autoSpaceDE/>
        <w:autoSpaceDN/>
        <w:ind w:left="0" w:firstLine="0"/>
        <w:jc w:val="left"/>
        <w:rPr>
          <w:noProof/>
        </w:rPr>
      </w:pPr>
      <w:r>
        <w:br w:type="page"/>
      </w:r>
    </w:p>
    <w:p w:rsidR="00E65F26" w:rsidRPr="00C903F8" w:rsidRDefault="00E65F26" w:rsidP="00E65F26">
      <w:pPr>
        <w:pStyle w:val="ESch"/>
      </w:pPr>
      <w:r>
        <w:lastRenderedPageBreak/>
        <w:t>6.</w:t>
      </w:r>
      <w:r>
        <w:tab/>
        <w:t>Sistema d'allarme</w:t>
      </w:r>
    </w:p>
    <w:p w:rsidR="00E65F26" w:rsidRPr="00C903F8" w:rsidRDefault="005C7859" w:rsidP="00824063">
      <w:pPr>
        <w:pStyle w:val="ESlet"/>
      </w:pPr>
      <w:r>
        <w:t>a)</w:t>
      </w:r>
      <w:r>
        <w:tab/>
        <w:t>I sistemi antincendio fissi sono provvisti di sistemi di allarme acustici e ottici.</w:t>
      </w:r>
    </w:p>
    <w:p w:rsidR="00E65F26" w:rsidRPr="00C903F8" w:rsidRDefault="005C7859" w:rsidP="00824063">
      <w:pPr>
        <w:pStyle w:val="ESlet"/>
      </w:pPr>
      <w:r>
        <w:t>b)</w:t>
      </w:r>
      <w:r>
        <w:tab/>
        <w:t>Il sistema d'allarme si spegne automaticamente non appena il sistema antincendio è attivato per la prima volta. Il segnale d'allarme risuona per un periodo di tempo adeguato prima che l'agente estinguente fuoriesca e non è possibile arrestarlo.</w:t>
      </w:r>
    </w:p>
    <w:p w:rsidR="00E65F26" w:rsidRPr="00C903F8" w:rsidRDefault="005C7859" w:rsidP="00824063">
      <w:pPr>
        <w:pStyle w:val="ESlet"/>
      </w:pPr>
      <w:r>
        <w:t>c)</w:t>
      </w:r>
      <w:r>
        <w:tab/>
        <w:t>I segnali d'allarme sono chiaramente visibili nei locali da proteggere e ai relativi punti d'accesso e udibili distintamente anche nelle condizioni di esercizio di massimo rumore. Sono chiaramente distinti da tutti gli altri segnali acustici e ottici nel locale da proteggere.</w:t>
      </w:r>
    </w:p>
    <w:p w:rsidR="00E65F26" w:rsidRPr="00C903F8" w:rsidRDefault="005C7859" w:rsidP="00824063">
      <w:pPr>
        <w:pStyle w:val="ESlet"/>
      </w:pPr>
      <w:r>
        <w:t>d)</w:t>
      </w:r>
      <w:r>
        <w:tab/>
        <w:t>I segnali di allarme acustici sono chiaramente udibili nei locali vicini, anche con le porte di comunicazione chiuse e in condizioni di esercizio di massimo rumore.</w:t>
      </w:r>
    </w:p>
    <w:p w:rsidR="00E65F26" w:rsidRPr="00C903F8" w:rsidRDefault="0029453D" w:rsidP="00824063">
      <w:pPr>
        <w:pStyle w:val="ESlet"/>
      </w:pPr>
      <w:r>
        <w:t>e)</w:t>
      </w:r>
      <w:r>
        <w:tab/>
        <w:t>Se il sistema d'allarme non è autoprotetto contro i corto circuiti, le rotture dei cavi e le cadute di tensione, occorre poterne controllare il funzionamento.</w:t>
      </w:r>
    </w:p>
    <w:p w:rsidR="00E65F26" w:rsidRPr="00C903F8" w:rsidRDefault="0029453D" w:rsidP="00824063">
      <w:pPr>
        <w:pStyle w:val="ESlet"/>
      </w:pPr>
      <w:r>
        <w:t>f)</w:t>
      </w:r>
      <w:r>
        <w:tab/>
        <w:t>All'entrata di ciascun locale che può essere provvisto di un agente estinguente è apposto in modo chiaramente visibile un cartello recante il testo seguente, a caratteri rossi su fondo bianco:</w:t>
      </w:r>
    </w:p>
    <w:p w:rsidR="00E65F26" w:rsidRPr="00762086" w:rsidRDefault="00BF7908" w:rsidP="001B5ABA">
      <w:pPr>
        <w:pStyle w:val="ESgauche"/>
        <w:spacing w:before="60"/>
        <w:jc w:val="center"/>
        <w:rPr>
          <w:lang w:val="de-DE"/>
        </w:rPr>
      </w:pPr>
      <w:r>
        <w:rPr>
          <w:lang w:val="de-DE"/>
        </w:rPr>
        <w:t>"</w:t>
      </w:r>
      <w:r w:rsidR="0064343D" w:rsidRPr="00762086">
        <w:rPr>
          <w:lang w:val="de-DE"/>
        </w:rPr>
        <w:t>Vorsicht, Feuerlöscheinrichtung!</w:t>
      </w:r>
    </w:p>
    <w:p w:rsidR="00E65F26" w:rsidRPr="00762086" w:rsidRDefault="00E65F26" w:rsidP="001B5ABA">
      <w:pPr>
        <w:pStyle w:val="ESgauche"/>
        <w:jc w:val="center"/>
        <w:rPr>
          <w:lang w:val="de-DE"/>
        </w:rPr>
      </w:pPr>
      <w:r w:rsidRPr="00762086">
        <w:rPr>
          <w:lang w:val="de-DE"/>
        </w:rPr>
        <w:t>Bei Ertönen des Warnsignals (Beschreibung des Signals) den Raum sofort verlassen!</w:t>
      </w:r>
    </w:p>
    <w:p w:rsidR="00EC2B81" w:rsidRPr="00762086" w:rsidRDefault="00EC2B81" w:rsidP="001B5ABA">
      <w:pPr>
        <w:pStyle w:val="ESgauche"/>
        <w:jc w:val="center"/>
        <w:rPr>
          <w:lang w:val="de-DE"/>
        </w:rPr>
      </w:pPr>
    </w:p>
    <w:p w:rsidR="00E65F26" w:rsidRPr="00762086" w:rsidRDefault="00E65F26" w:rsidP="001B5ABA">
      <w:pPr>
        <w:pStyle w:val="ESgauche"/>
        <w:jc w:val="center"/>
        <w:rPr>
          <w:lang w:val="fr-BE"/>
        </w:rPr>
      </w:pPr>
      <w:r w:rsidRPr="00762086">
        <w:rPr>
          <w:lang w:val="fr-BE"/>
        </w:rPr>
        <w:t>Attention, installation d'extinction d'incendie !</w:t>
      </w:r>
    </w:p>
    <w:p w:rsidR="00E65F26" w:rsidRPr="00762086" w:rsidRDefault="00E65F26" w:rsidP="001B5ABA">
      <w:pPr>
        <w:pStyle w:val="ESgauche"/>
        <w:jc w:val="center"/>
        <w:rPr>
          <w:lang w:val="fr-BE"/>
        </w:rPr>
      </w:pPr>
      <w:r w:rsidRPr="00762086">
        <w:rPr>
          <w:lang w:val="fr-BE"/>
        </w:rPr>
        <w:t>Quitter immédiatement ce local au signal (description du signal) !</w:t>
      </w:r>
    </w:p>
    <w:p w:rsidR="00EC2B81" w:rsidRPr="00762086" w:rsidRDefault="00EC2B81" w:rsidP="001B5ABA">
      <w:pPr>
        <w:pStyle w:val="ESgauche"/>
        <w:jc w:val="center"/>
        <w:rPr>
          <w:lang w:val="fr-BE"/>
        </w:rPr>
      </w:pPr>
    </w:p>
    <w:p w:rsidR="00E65F26" w:rsidRPr="00762086" w:rsidRDefault="00E65F26" w:rsidP="001B5ABA">
      <w:pPr>
        <w:pStyle w:val="ESgauche"/>
        <w:jc w:val="center"/>
        <w:rPr>
          <w:lang w:val="nl-NL"/>
        </w:rPr>
      </w:pPr>
      <w:r w:rsidRPr="00762086">
        <w:rPr>
          <w:lang w:val="nl-NL"/>
        </w:rPr>
        <w:t>Let op, brandblusinstallatie!</w:t>
      </w:r>
    </w:p>
    <w:p w:rsidR="00E65F26" w:rsidRPr="00762086" w:rsidRDefault="00E65F26" w:rsidP="001B5ABA">
      <w:pPr>
        <w:pStyle w:val="ESgauche"/>
        <w:jc w:val="center"/>
        <w:rPr>
          <w:lang w:val="nl-NL"/>
        </w:rPr>
      </w:pPr>
      <w:r w:rsidRPr="00762086">
        <w:rPr>
          <w:lang w:val="nl-NL"/>
        </w:rPr>
        <w:t>Bij het in werking treden van het alarmsignaal (omschrijving van het signaal) deze ruimte onmiddellijk verlaten!</w:t>
      </w:r>
    </w:p>
    <w:p w:rsidR="00EC2B81" w:rsidRPr="00762086" w:rsidRDefault="00EC2B81" w:rsidP="001B5ABA">
      <w:pPr>
        <w:pStyle w:val="ESgauche"/>
        <w:jc w:val="center"/>
        <w:rPr>
          <w:lang w:val="nl-NL"/>
        </w:rPr>
      </w:pPr>
    </w:p>
    <w:p w:rsidR="00E65F26" w:rsidRPr="00762086" w:rsidRDefault="00E65F26" w:rsidP="001B5ABA">
      <w:pPr>
        <w:pStyle w:val="ESgauche"/>
        <w:jc w:val="center"/>
        <w:rPr>
          <w:lang w:val="en-GB"/>
        </w:rPr>
      </w:pPr>
      <w:r w:rsidRPr="00762086">
        <w:rPr>
          <w:lang w:val="en-GB"/>
        </w:rPr>
        <w:t>Warning, fire-fighting installation!</w:t>
      </w:r>
    </w:p>
    <w:p w:rsidR="00E65F26" w:rsidRPr="00762086" w:rsidRDefault="00E65F26" w:rsidP="001B5ABA">
      <w:pPr>
        <w:pStyle w:val="ESgauche"/>
        <w:jc w:val="center"/>
        <w:rPr>
          <w:lang w:val="en-GB"/>
        </w:rPr>
      </w:pPr>
      <w:r w:rsidRPr="00762086">
        <w:rPr>
          <w:lang w:val="en-GB"/>
        </w:rPr>
        <w:t>Leave the room as soon as the warning signal sounds (description of signal)!".</w:t>
      </w:r>
    </w:p>
    <w:p w:rsidR="00824063" w:rsidRPr="00762086" w:rsidRDefault="00824063" w:rsidP="001B5ABA">
      <w:pPr>
        <w:pStyle w:val="ESgauche"/>
        <w:jc w:val="center"/>
        <w:rPr>
          <w:lang w:val="en-GB"/>
        </w:rPr>
      </w:pPr>
    </w:p>
    <w:p w:rsidR="00E65F26" w:rsidRPr="00C903F8" w:rsidRDefault="00E65F26" w:rsidP="00E65F26">
      <w:pPr>
        <w:pStyle w:val="ESch"/>
      </w:pPr>
      <w:r>
        <w:t>7.</w:t>
      </w:r>
      <w:r>
        <w:tab/>
        <w:t>Serbatoi in pressione, accessori e condutture a pressione</w:t>
      </w:r>
    </w:p>
    <w:p w:rsidR="00E65F26" w:rsidRPr="00C903F8" w:rsidRDefault="005C7859" w:rsidP="00824063">
      <w:pPr>
        <w:pStyle w:val="ESlet"/>
      </w:pPr>
      <w:r>
        <w:t>a)</w:t>
      </w:r>
      <w:r>
        <w:tab/>
        <w:t>I serbatoi in pressione, gli accessori e le condutture a pressione sono conformi alle disposizioni in vigore in uno degli Stati membri.</w:t>
      </w:r>
    </w:p>
    <w:p w:rsidR="00E65F26" w:rsidRPr="00C903F8" w:rsidRDefault="005C7859" w:rsidP="00824063">
      <w:pPr>
        <w:pStyle w:val="ESlet"/>
      </w:pPr>
      <w:r>
        <w:t>b)</w:t>
      </w:r>
      <w:r>
        <w:tab/>
        <w:t>I serbatoi in pressione sono installati in conformità delle istruzioni del fabbricante.</w:t>
      </w:r>
    </w:p>
    <w:p w:rsidR="00E65F26" w:rsidRPr="00C903F8" w:rsidRDefault="005C7859" w:rsidP="00824063">
      <w:pPr>
        <w:pStyle w:val="ESlet"/>
      </w:pPr>
      <w:r>
        <w:t>c)</w:t>
      </w:r>
      <w:r>
        <w:tab/>
        <w:t>I serbatoi in pressione, gli accessori e le condutture a pressione non sono installati negli alloggi.</w:t>
      </w:r>
    </w:p>
    <w:p w:rsidR="00E65F26" w:rsidRPr="00C903F8" w:rsidRDefault="005C7859" w:rsidP="00824063">
      <w:pPr>
        <w:pStyle w:val="ESlet"/>
      </w:pPr>
      <w:r>
        <w:t>d)</w:t>
      </w:r>
      <w:r>
        <w:tab/>
        <w:t>La temperatura negli armadi e nei locali per gli impianti che contengono serbatoi sotto pressione non supera 50 °C.</w:t>
      </w:r>
    </w:p>
    <w:p w:rsidR="00E65F26" w:rsidRPr="00C903F8" w:rsidRDefault="0029453D" w:rsidP="00824063">
      <w:pPr>
        <w:pStyle w:val="ESlet"/>
      </w:pPr>
      <w:r>
        <w:t>e)</w:t>
      </w:r>
      <w:r>
        <w:tab/>
        <w:t>Gli armadi o i locali per gli impianti situati sul ponte sono saldamente fissati e dotati di prese d'aria in modo che, in caso di fuga dal serbatoio sotto pressione, il gas non possa penetrare all'interno della nave. Collegamenti diretti con altri locali non sono ammessi.</w:t>
      </w:r>
    </w:p>
    <w:p w:rsidR="00824063" w:rsidRPr="00C903F8" w:rsidRDefault="00824063" w:rsidP="00E65F26">
      <w:pPr>
        <w:pStyle w:val="ESch"/>
        <w:rPr>
          <w:noProof/>
        </w:rPr>
      </w:pPr>
    </w:p>
    <w:p w:rsidR="00771FEA" w:rsidRPr="00C903F8" w:rsidRDefault="00771FEA" w:rsidP="00E65F26">
      <w:pPr>
        <w:pStyle w:val="ESch"/>
        <w:rPr>
          <w:noProof/>
        </w:rPr>
      </w:pPr>
      <w:r>
        <w:br w:type="page"/>
      </w:r>
    </w:p>
    <w:p w:rsidR="00E65F26" w:rsidRPr="00C903F8" w:rsidRDefault="00E65F26" w:rsidP="00E65F26">
      <w:pPr>
        <w:pStyle w:val="ESch"/>
      </w:pPr>
      <w:r>
        <w:lastRenderedPageBreak/>
        <w:t>8.</w:t>
      </w:r>
      <w:r>
        <w:tab/>
        <w:t>Quantitativo di agente estinguente</w:t>
      </w:r>
    </w:p>
    <w:p w:rsidR="00824063" w:rsidRPr="00C903F8" w:rsidRDefault="00824063" w:rsidP="00824063">
      <w:pPr>
        <w:pStyle w:val="ESchpar"/>
        <w:rPr>
          <w:noProof/>
        </w:rPr>
      </w:pPr>
    </w:p>
    <w:p w:rsidR="00E65F26" w:rsidRPr="00C903F8" w:rsidRDefault="00E65F26" w:rsidP="00824063">
      <w:pPr>
        <w:pStyle w:val="ESchpar"/>
      </w:pPr>
      <w:r>
        <w:t>Se il quantitativo di agente estinguente è destinato a proteggere più di un locale, la quantità totale di estinguente disponibile non è maggiore del quantitativo necessario per il locale più grande da proteggere.</w:t>
      </w:r>
    </w:p>
    <w:p w:rsidR="00824063" w:rsidRPr="00C903F8" w:rsidRDefault="00824063" w:rsidP="00E65F26">
      <w:pPr>
        <w:pStyle w:val="ESch"/>
        <w:rPr>
          <w:noProof/>
        </w:rPr>
      </w:pPr>
    </w:p>
    <w:p w:rsidR="00E65F26" w:rsidRPr="00C903F8" w:rsidRDefault="00E65F26" w:rsidP="00E65F26">
      <w:pPr>
        <w:pStyle w:val="ESch"/>
      </w:pPr>
      <w:r>
        <w:t>9.</w:t>
      </w:r>
      <w:r>
        <w:tab/>
        <w:t>Installazione, ispezione e documentazione</w:t>
      </w:r>
    </w:p>
    <w:p w:rsidR="00E65F26" w:rsidRPr="00C903F8" w:rsidRDefault="005C7859" w:rsidP="00824063">
      <w:pPr>
        <w:pStyle w:val="ESlet"/>
      </w:pPr>
      <w:r>
        <w:t>a)</w:t>
      </w:r>
      <w:r>
        <w:tab/>
        <w:t>Il sistema è installato o modificato soltanto da una società specializzata nei sistemi antincendio. Sono soddisfatti i requisiti prescritti dal fabbricante dell'agente estinguente e dal fabbricante del sistema (scheda informativa del prodotto, scheda informativa sulla sicurezza). La manutenzione, in particolare delle condizioni dei boccalini per la nebulizzazione, deve essere eseguita regolarmente nel rispetto delle istruzioni del costruttore del sistema o del produttore dell'agente estinguente (scheda tecnica).</w:t>
      </w:r>
    </w:p>
    <w:p w:rsidR="00E65F26" w:rsidRPr="00C903F8" w:rsidRDefault="005C7859" w:rsidP="00824063">
      <w:pPr>
        <w:pStyle w:val="ESlet"/>
      </w:pPr>
      <w:r>
        <w:t>b)</w:t>
      </w:r>
      <w:r>
        <w:tab/>
        <w:t>Il sistema è controllato da un esperto:</w:t>
      </w:r>
    </w:p>
    <w:p w:rsidR="00E65F26" w:rsidRPr="00C903F8" w:rsidRDefault="0029453D" w:rsidP="00771FEA">
      <w:pPr>
        <w:pStyle w:val="EStiret"/>
      </w:pPr>
      <w:r>
        <w:t>aa)</w:t>
      </w:r>
      <w:r>
        <w:tab/>
        <w:t>prima di essere messi in servizio per la prima volta;</w:t>
      </w:r>
    </w:p>
    <w:p w:rsidR="00E65F26" w:rsidRPr="00C903F8" w:rsidRDefault="0029453D" w:rsidP="00771FEA">
      <w:pPr>
        <w:pStyle w:val="EStiret"/>
      </w:pPr>
      <w:r>
        <w:t>bb)</w:t>
      </w:r>
      <w:r>
        <w:tab/>
        <w:t>prima di essere reimmesso in servizio dopo essere stato attivato;</w:t>
      </w:r>
    </w:p>
    <w:p w:rsidR="00E65F26" w:rsidRPr="00C903F8" w:rsidRDefault="00E65F26" w:rsidP="00771FEA">
      <w:pPr>
        <w:pStyle w:val="EStiret"/>
      </w:pPr>
      <w:r>
        <w:t>cc)</w:t>
      </w:r>
      <w:r>
        <w:tab/>
        <w:t>prima di essere reimmessi in servizio dopo una modifica o una riparazione importante; e</w:t>
      </w:r>
    </w:p>
    <w:p w:rsidR="00E65F26" w:rsidRPr="00C903F8" w:rsidRDefault="00E65F26" w:rsidP="00771FEA">
      <w:pPr>
        <w:pStyle w:val="EStiret"/>
      </w:pPr>
      <w:r>
        <w:t>dd)</w:t>
      </w:r>
      <w:r>
        <w:tab/>
        <w:t>periodicamente, almeno ogni due anni.</w:t>
      </w:r>
    </w:p>
    <w:p w:rsidR="00E65F26" w:rsidRPr="00C903F8" w:rsidRDefault="00E65F26" w:rsidP="00771FEA">
      <w:pPr>
        <w:pStyle w:val="ESletpar"/>
      </w:pPr>
      <w:r>
        <w:t>Le ispezioni di cui alla lettera dd) possono anche essere effettuate da una persona competente di un'impresa specializzata nei sistemi antincendio.</w:t>
      </w:r>
    </w:p>
    <w:p w:rsidR="00E65F26" w:rsidRPr="00C903F8" w:rsidRDefault="005C7859" w:rsidP="00824063">
      <w:pPr>
        <w:pStyle w:val="ESlet"/>
      </w:pPr>
      <w:r>
        <w:t>c)</w:t>
      </w:r>
      <w:r>
        <w:tab/>
        <w:t>Nel corso del controllo l’esperto o la persona competente verifica la conformità del sistema ai requisiti del presente articolo.</w:t>
      </w:r>
    </w:p>
    <w:p w:rsidR="00E65F26" w:rsidRPr="00C903F8" w:rsidRDefault="005C7859" w:rsidP="00824063">
      <w:pPr>
        <w:pStyle w:val="ESlet"/>
      </w:pPr>
      <w:r>
        <w:t>d)</w:t>
      </w:r>
      <w:r>
        <w:tab/>
        <w:t>Il controllo comprende almeno:</w:t>
      </w:r>
    </w:p>
    <w:p w:rsidR="00E65F26" w:rsidRPr="00C903F8" w:rsidRDefault="0029453D" w:rsidP="00771FEA">
      <w:pPr>
        <w:pStyle w:val="EStiret"/>
      </w:pPr>
      <w:r>
        <w:t>aa)</w:t>
      </w:r>
      <w:r>
        <w:tab/>
        <w:t>l'ispezione esterna di tutta l'installazione;</w:t>
      </w:r>
    </w:p>
    <w:p w:rsidR="00E65F26" w:rsidRPr="00C903F8" w:rsidRDefault="0029453D" w:rsidP="00824063">
      <w:pPr>
        <w:pStyle w:val="EStiret"/>
      </w:pPr>
      <w:r>
        <w:t>bb)</w:t>
      </w:r>
      <w:r>
        <w:tab/>
        <w:t>il controllo della tenuta stagna delle condutture;</w:t>
      </w:r>
    </w:p>
    <w:p w:rsidR="00E65F26" w:rsidRPr="00C903F8" w:rsidRDefault="00E65F26" w:rsidP="00824063">
      <w:pPr>
        <w:pStyle w:val="EStiret"/>
      </w:pPr>
      <w:r>
        <w:t>cc)</w:t>
      </w:r>
      <w:r>
        <w:tab/>
        <w:t>la prova funzionale dei sistemi di comando e attivazione;</w:t>
      </w:r>
    </w:p>
    <w:p w:rsidR="00E65F26" w:rsidRPr="00C903F8" w:rsidRDefault="00E65F26" w:rsidP="00824063">
      <w:pPr>
        <w:pStyle w:val="EStiret"/>
      </w:pPr>
      <w:r>
        <w:t>dd)</w:t>
      </w:r>
      <w:r>
        <w:tab/>
        <w:t>il controllo della pressione e del contenuto dei serbatoi;</w:t>
      </w:r>
    </w:p>
    <w:p w:rsidR="00E65F26" w:rsidRPr="00C903F8" w:rsidRDefault="00E65F26" w:rsidP="00824063">
      <w:pPr>
        <w:pStyle w:val="EStiret"/>
      </w:pPr>
      <w:r>
        <w:t>ee)</w:t>
      </w:r>
      <w:r>
        <w:tab/>
        <w:t>il controllo della tenuta stagna e dei dispositivi di chiusura del locale da proteggere;</w:t>
      </w:r>
    </w:p>
    <w:p w:rsidR="00E65F26" w:rsidRPr="00C903F8" w:rsidRDefault="00E65F26" w:rsidP="00824063">
      <w:pPr>
        <w:pStyle w:val="EStiret"/>
      </w:pPr>
      <w:r>
        <w:t>ff)</w:t>
      </w:r>
      <w:r>
        <w:tab/>
        <w:t>il controllo del sistema di allarme antincendio;</w:t>
      </w:r>
    </w:p>
    <w:p w:rsidR="00E65F26" w:rsidRPr="00C903F8" w:rsidRDefault="00E65F26" w:rsidP="00824063">
      <w:pPr>
        <w:pStyle w:val="EStiret"/>
      </w:pPr>
      <w:r>
        <w:t>gg)</w:t>
      </w:r>
      <w:r>
        <w:tab/>
        <w:t>il controllo del sistema di allarme.</w:t>
      </w:r>
    </w:p>
    <w:p w:rsidR="00E65F26" w:rsidRPr="00C903F8" w:rsidRDefault="0029453D" w:rsidP="00824063">
      <w:pPr>
        <w:pStyle w:val="ESlet"/>
      </w:pPr>
      <w:r>
        <w:t>e)</w:t>
      </w:r>
      <w:r>
        <w:tab/>
        <w:t>L'esperto che ha effettuato il controllo redige e firma un attestato di ispezione che ne reca la data.</w:t>
      </w:r>
    </w:p>
    <w:p w:rsidR="00E65F26" w:rsidRPr="00C903F8" w:rsidRDefault="0029453D" w:rsidP="00824063">
      <w:pPr>
        <w:pStyle w:val="ESlet"/>
      </w:pPr>
      <w:r>
        <w:t>f)</w:t>
      </w:r>
      <w:r>
        <w:tab/>
        <w:t>Il numero dei sistemi antincendio fissi è indicato nel certificato per la navigazione interna.</w:t>
      </w:r>
    </w:p>
    <w:p w:rsidR="00824063" w:rsidRPr="00C903F8" w:rsidRDefault="00824063" w:rsidP="00E65F26">
      <w:pPr>
        <w:pStyle w:val="ESch"/>
        <w:rPr>
          <w:noProof/>
        </w:rPr>
      </w:pPr>
    </w:p>
    <w:p w:rsidR="00E65F26" w:rsidRPr="00C903F8" w:rsidRDefault="00E65F26" w:rsidP="00E65F26">
      <w:pPr>
        <w:pStyle w:val="ESch"/>
      </w:pPr>
      <w:r>
        <w:t>10.</w:t>
      </w:r>
      <w:r>
        <w:tab/>
        <w:t>Sistemi antincendio a CO</w:t>
      </w:r>
      <w:r>
        <w:rPr>
          <w:noProof/>
          <w:vertAlign w:val="subscript"/>
        </w:rPr>
        <w:t>2</w:t>
      </w:r>
    </w:p>
    <w:p w:rsidR="00824063" w:rsidRPr="00C903F8" w:rsidRDefault="00824063" w:rsidP="00824063">
      <w:pPr>
        <w:pStyle w:val="ESchpar"/>
        <w:rPr>
          <w:noProof/>
        </w:rPr>
      </w:pPr>
    </w:p>
    <w:p w:rsidR="00E65F26" w:rsidRPr="00C903F8" w:rsidRDefault="00E65F26" w:rsidP="00824063">
      <w:pPr>
        <w:pStyle w:val="ESchpar"/>
      </w:pPr>
      <w:r>
        <w:t>Oltre ai requisiti indicati nei paragrafi da 1 a 9, i sistemi antincendio che utilizzano il CO</w:t>
      </w:r>
      <w:r>
        <w:rPr>
          <w:noProof/>
          <w:vertAlign w:val="subscript"/>
        </w:rPr>
        <w:t>2</w:t>
      </w:r>
      <w:r>
        <w:t xml:space="preserve"> come agente estinguente sono conformi ai seguenti requisiti.</w:t>
      </w:r>
    </w:p>
    <w:p w:rsidR="00E65F26" w:rsidRPr="00C903F8" w:rsidRDefault="005C7859" w:rsidP="00824063">
      <w:pPr>
        <w:pStyle w:val="ESlet"/>
      </w:pPr>
      <w:r>
        <w:t>a)</w:t>
      </w:r>
      <w:r>
        <w:tab/>
        <w:t>I serbatoi di CO</w:t>
      </w:r>
      <w:r>
        <w:rPr>
          <w:noProof/>
          <w:vertAlign w:val="subscript"/>
        </w:rPr>
        <w:t>2</w:t>
      </w:r>
      <w:r>
        <w:t xml:space="preserve"> sono collocati al di fuori del locale da proteggere in un luogo o armadio separato ermeticamente dagli altri locali. Le porte ai suddetti locali e armadi per gli impianti si aprono verso l'esterno, si chiudono a chiave e recano all'esterno il pittogramma di "avvertimento di pericolo generico" conformemente all'allegato 4, figura 4, di almeno 5 cm di altezza, con l'indicazione "CO</w:t>
      </w:r>
      <w:r>
        <w:rPr>
          <w:noProof/>
          <w:vertAlign w:val="subscript"/>
        </w:rPr>
        <w:t>2</w:t>
      </w:r>
      <w:r>
        <w:t>" nello stesso colore e della stessa altezza;</w:t>
      </w:r>
    </w:p>
    <w:p w:rsidR="00E65F26" w:rsidRPr="00C903F8" w:rsidRDefault="005C7859" w:rsidP="00824063">
      <w:pPr>
        <w:pStyle w:val="ESlet"/>
      </w:pPr>
      <w:r>
        <w:t>b)</w:t>
      </w:r>
      <w:r>
        <w:tab/>
        <w:t>i locali sottocoperta per gli impianti, in cui sono ubicati i serbatoi di CO</w:t>
      </w:r>
      <w:r>
        <w:rPr>
          <w:noProof/>
          <w:vertAlign w:val="subscript"/>
        </w:rPr>
        <w:t>2</w:t>
      </w:r>
      <w:r>
        <w:t xml:space="preserve"> sono accessibili soltanto dall'esterno, all'aria aperta. Tali locali sono provvisti di un idoneo sistema di ventilazione artificiale con condotte di estrazione, interamente separato dagli altri sistemi di ventilazione di bordo;</w:t>
      </w:r>
    </w:p>
    <w:p w:rsidR="00771FEA" w:rsidRPr="00C903F8" w:rsidRDefault="00771FEA" w:rsidP="00824063">
      <w:pPr>
        <w:pStyle w:val="ESlet"/>
        <w:rPr>
          <w:noProof/>
        </w:rPr>
      </w:pPr>
    </w:p>
    <w:p w:rsidR="00771FEA" w:rsidRPr="00C903F8" w:rsidRDefault="00771FEA" w:rsidP="00824063">
      <w:pPr>
        <w:pStyle w:val="ESlet"/>
        <w:rPr>
          <w:noProof/>
        </w:rPr>
      </w:pPr>
      <w:r>
        <w:br w:type="page"/>
      </w:r>
    </w:p>
    <w:p w:rsidR="00E65F26" w:rsidRPr="00C903F8" w:rsidRDefault="005C7859" w:rsidP="00824063">
      <w:pPr>
        <w:pStyle w:val="ESlet"/>
      </w:pPr>
      <w:r>
        <w:lastRenderedPageBreak/>
        <w:t>c)</w:t>
      </w:r>
      <w:r>
        <w:tab/>
        <w:t>il livello di riempimento dei serbatoi di CO</w:t>
      </w:r>
      <w:r>
        <w:rPr>
          <w:noProof/>
          <w:vertAlign w:val="subscript"/>
        </w:rPr>
        <w:t>2</w:t>
      </w:r>
      <w:r>
        <w:t xml:space="preserve"> non supera 0,75 kg/l. Per il volume di CO</w:t>
      </w:r>
      <w:r>
        <w:rPr>
          <w:noProof/>
          <w:vertAlign w:val="subscript"/>
        </w:rPr>
        <w:t>2</w:t>
      </w:r>
      <w:r>
        <w:t xml:space="preserve"> non pressurizzato si assume il valore 0,56 m</w:t>
      </w:r>
      <w:r>
        <w:rPr>
          <w:noProof/>
          <w:vertAlign w:val="superscript"/>
        </w:rPr>
        <w:t>3</w:t>
      </w:r>
      <w:r>
        <w:t>/kg;</w:t>
      </w:r>
    </w:p>
    <w:p w:rsidR="00E65F26" w:rsidRPr="00C903F8" w:rsidRDefault="005C7859" w:rsidP="00824063">
      <w:pPr>
        <w:pStyle w:val="ESlet"/>
      </w:pPr>
      <w:r>
        <w:t>d)</w:t>
      </w:r>
      <w:r>
        <w:tab/>
        <w:t>il quantitativo di CO</w:t>
      </w:r>
      <w:r>
        <w:rPr>
          <w:noProof/>
          <w:vertAlign w:val="subscript"/>
        </w:rPr>
        <w:t>2</w:t>
      </w:r>
      <w:r>
        <w:t xml:space="preserve"> per il locale da proteggere è pari almeno al 40 % del volume lordo del suddetto locale. L'erogazione di questo quantitativo nel locale avviene in 120 secondi e se ne controlla il completamento;</w:t>
      </w:r>
    </w:p>
    <w:p w:rsidR="00E65F26" w:rsidRPr="00C903F8" w:rsidRDefault="0029453D" w:rsidP="00824063">
      <w:pPr>
        <w:pStyle w:val="ESlet"/>
      </w:pPr>
      <w:r>
        <w:t>e)</w:t>
      </w:r>
      <w:r>
        <w:tab/>
        <w:t>le valvole di apertura dei serbatoi e la valvola di regolazione del flusso sono comandate separatamente;</w:t>
      </w:r>
    </w:p>
    <w:p w:rsidR="00E65F26" w:rsidRPr="00C903F8" w:rsidRDefault="0029453D" w:rsidP="00824063">
      <w:pPr>
        <w:pStyle w:val="ESlet"/>
      </w:pPr>
      <w:r>
        <w:t>f)</w:t>
      </w:r>
      <w:r>
        <w:tab/>
        <w:t>il periodo di tempo adeguato di cui al paragrafo 6, lettera b), è di almeno 20 secondi. Un dispositivo adeguato garantisce che sia osservato questo termine prima dell'erogazione di CO</w:t>
      </w:r>
      <w:r>
        <w:rPr>
          <w:noProof/>
          <w:vertAlign w:val="subscript"/>
        </w:rPr>
        <w:t>2</w:t>
      </w:r>
      <w:r>
        <w:t>.</w:t>
      </w:r>
    </w:p>
    <w:p w:rsidR="00824063" w:rsidRPr="00C903F8" w:rsidRDefault="00824063" w:rsidP="00E65F26">
      <w:pPr>
        <w:pStyle w:val="ESch"/>
        <w:rPr>
          <w:noProof/>
        </w:rPr>
      </w:pPr>
    </w:p>
    <w:p w:rsidR="00E65F26" w:rsidRPr="00C903F8" w:rsidRDefault="00E65F26" w:rsidP="00E65F26">
      <w:pPr>
        <w:pStyle w:val="ESch"/>
      </w:pPr>
      <w:r>
        <w:t>11.</w:t>
      </w:r>
      <w:r>
        <w:tab/>
        <w:t>Sistemi antincendio a HFC 227ea (Eptafluoropropano)</w:t>
      </w:r>
    </w:p>
    <w:p w:rsidR="00824063" w:rsidRPr="00C903F8" w:rsidRDefault="00824063" w:rsidP="00824063">
      <w:pPr>
        <w:pStyle w:val="ESchpar"/>
        <w:rPr>
          <w:noProof/>
        </w:rPr>
      </w:pPr>
    </w:p>
    <w:p w:rsidR="00E65F26" w:rsidRPr="00C903F8" w:rsidRDefault="00E65F26" w:rsidP="00824063">
      <w:pPr>
        <w:pStyle w:val="ESchpar"/>
      </w:pPr>
      <w:r>
        <w:t>Oltre ai requisiti dei paragrafi da 1 a 9 i sistemi antincendio che utilizzano HFC 227ea quale agente estinguente soddisfano i seguenti requisiti.</w:t>
      </w:r>
    </w:p>
    <w:p w:rsidR="00E65F26" w:rsidRPr="00C903F8" w:rsidRDefault="005C7859" w:rsidP="00824063">
      <w:pPr>
        <w:pStyle w:val="ESlet"/>
      </w:pPr>
      <w:r>
        <w:t>a)</w:t>
      </w:r>
      <w:r>
        <w:tab/>
        <w:t>Se vi sono vari locali da proteggere di volume lordo diverso, ciascun locale è dotato di un sistema antincendio proprio;</w:t>
      </w:r>
    </w:p>
    <w:p w:rsidR="00E65F26" w:rsidRPr="00C903F8" w:rsidRDefault="005C7859" w:rsidP="00824063">
      <w:pPr>
        <w:pStyle w:val="ESlet"/>
      </w:pPr>
      <w:r>
        <w:t>b)</w:t>
      </w:r>
      <w:r>
        <w:tab/>
        <w:t>ciascun serbatoio di HFC-227ea installato nel locale da proteggere è provvisto di una valvola di sfiato della pressione che garantisce, senza pericolo, la diffusione del contenuto del serbatoio nel locale da proteggere se il serbatoio è esposto al fuoco e il sistema antincendio non è stato attivato;</w:t>
      </w:r>
    </w:p>
    <w:p w:rsidR="00E65F26" w:rsidRPr="00C903F8" w:rsidRDefault="005C7859" w:rsidP="00824063">
      <w:pPr>
        <w:pStyle w:val="ESlet"/>
      </w:pPr>
      <w:r>
        <w:t>c)</w:t>
      </w:r>
      <w:r>
        <w:tab/>
        <w:t>ciascun serbatoio è provvisto di un dispositivo per il controllo della pressione del gas;</w:t>
      </w:r>
    </w:p>
    <w:p w:rsidR="00E65F26" w:rsidRPr="00C903F8" w:rsidRDefault="005C7859" w:rsidP="00824063">
      <w:pPr>
        <w:pStyle w:val="ESlet"/>
      </w:pPr>
      <w:r>
        <w:t>d)</w:t>
      </w:r>
      <w:r>
        <w:tab/>
        <w:t>il livello di riempimento dei serbatoi non supera 1,15 kg/l. Per il volume specifico di HFC 227ea non pressurizzato si assume il valore di 0,1374 m</w:t>
      </w:r>
      <w:r>
        <w:rPr>
          <w:noProof/>
          <w:vertAlign w:val="superscript"/>
        </w:rPr>
        <w:t>3</w:t>
      </w:r>
      <w:r>
        <w:t>/kg;</w:t>
      </w:r>
    </w:p>
    <w:p w:rsidR="00E65F26" w:rsidRPr="00C903F8" w:rsidRDefault="0029453D" w:rsidP="00824063">
      <w:pPr>
        <w:pStyle w:val="ESlet"/>
      </w:pPr>
      <w:r>
        <w:t>e)</w:t>
      </w:r>
      <w:r>
        <w:tab/>
        <w:t>il quantitativo di HFC 227ea per il locale da proteggere è pari almeno all'8 % del volume lordo del suddetto locale. L'erogazione di questo quantitativo nel locale avviene in 10 secondi.</w:t>
      </w:r>
    </w:p>
    <w:p w:rsidR="00E65F26" w:rsidRPr="00C903F8" w:rsidRDefault="0029453D" w:rsidP="00824063">
      <w:pPr>
        <w:pStyle w:val="ESlet"/>
      </w:pPr>
      <w:r>
        <w:t>f)</w:t>
      </w:r>
      <w:r>
        <w:tab/>
        <w:t>i serbatoi di HFC 227ea sono provvisti di un dispositivo di controllo della pressione che attiva un segnale acustico e ottico di allarme nella timoneria in caso di perdita non autorizzata di propellente. Se non è prevista la timoneria, il suddetto segnale di allarme è attivato all'esterno del locale da proteggere;</w:t>
      </w:r>
    </w:p>
    <w:p w:rsidR="00E65F26" w:rsidRPr="00C903F8" w:rsidRDefault="0029453D" w:rsidP="00824063">
      <w:pPr>
        <w:pStyle w:val="ESlet"/>
      </w:pPr>
      <w:r>
        <w:t>g)</w:t>
      </w:r>
      <w:r>
        <w:tab/>
        <w:t>dopo l'erogazione, la concentrazione nel locale da proteggere non supera il 10,5 %;</w:t>
      </w:r>
    </w:p>
    <w:p w:rsidR="00E65F26" w:rsidRPr="00C903F8" w:rsidRDefault="0029453D" w:rsidP="00824063">
      <w:pPr>
        <w:pStyle w:val="ESlet"/>
      </w:pPr>
      <w:r>
        <w:t>h)</w:t>
      </w:r>
      <w:r>
        <w:tab/>
        <w:t>il sistema antincendio non prevede alcun componente in alluminio.</w:t>
      </w:r>
    </w:p>
    <w:p w:rsidR="00824063" w:rsidRPr="00C903F8" w:rsidRDefault="00824063" w:rsidP="00E65F26">
      <w:pPr>
        <w:pStyle w:val="ESch"/>
        <w:rPr>
          <w:noProof/>
        </w:rPr>
      </w:pPr>
    </w:p>
    <w:p w:rsidR="00E65F26" w:rsidRPr="00C903F8" w:rsidRDefault="00E65F26" w:rsidP="00E65F26">
      <w:pPr>
        <w:pStyle w:val="ESch"/>
      </w:pPr>
      <w:r>
        <w:t>12.</w:t>
      </w:r>
      <w:r>
        <w:tab/>
        <w:t>Sistemi antincendio a IG-541</w:t>
      </w:r>
    </w:p>
    <w:p w:rsidR="00824063" w:rsidRPr="00C903F8" w:rsidRDefault="00824063" w:rsidP="00E65F26">
      <w:pPr>
        <w:pStyle w:val="ESch"/>
        <w:rPr>
          <w:noProof/>
        </w:rPr>
      </w:pPr>
    </w:p>
    <w:p w:rsidR="00E65F26" w:rsidRPr="00C903F8" w:rsidRDefault="00E65F26" w:rsidP="00824063">
      <w:pPr>
        <w:pStyle w:val="ESchpar"/>
      </w:pPr>
      <w:r>
        <w:t>Oltre a quanto previsto dai paragrafi da 1 a 9, i sistemi antincendio che utilizzano IG-541 quale agente estinguente soddisfano i seguenti requisiti.</w:t>
      </w:r>
    </w:p>
    <w:p w:rsidR="00E65F26" w:rsidRPr="00C903F8" w:rsidRDefault="005C7859" w:rsidP="00824063">
      <w:pPr>
        <w:pStyle w:val="ESlet"/>
      </w:pPr>
      <w:r>
        <w:t>a)</w:t>
      </w:r>
      <w:r>
        <w:tab/>
        <w:t>Se vi sono vari locali da proteggere di volume lordo diverso, ciascun locale è dotato di un sistema antincendio proprio;</w:t>
      </w:r>
    </w:p>
    <w:p w:rsidR="00E65F26" w:rsidRPr="00C903F8" w:rsidRDefault="005C7859" w:rsidP="00824063">
      <w:pPr>
        <w:pStyle w:val="ESlet"/>
      </w:pPr>
      <w:r>
        <w:t>b)</w:t>
      </w:r>
      <w:r>
        <w:tab/>
        <w:t>ciascun serbatoio di IG-541 installato nel locale da proteggere è provvisto di una valvola di sovrapressione. che garantisce, senza pericolo, la diffusione del contenuto del serbatoio nel locale da proteggere se il serbatoio è esposto al fuoco e il sistema antincendio non è stato attivato;</w:t>
      </w:r>
    </w:p>
    <w:p w:rsidR="00E65F26" w:rsidRPr="00C903F8" w:rsidRDefault="005C7859" w:rsidP="00824063">
      <w:pPr>
        <w:pStyle w:val="ESlet"/>
      </w:pPr>
      <w:r>
        <w:t>c)</w:t>
      </w:r>
      <w:r>
        <w:tab/>
        <w:t>ciascun serbatoio è provvisto di un dispositivo che permette di controllare il contenuto;</w:t>
      </w:r>
    </w:p>
    <w:p w:rsidR="00771FEA" w:rsidRPr="00C903F8" w:rsidRDefault="00771FEA" w:rsidP="00824063">
      <w:pPr>
        <w:pStyle w:val="ESlet"/>
        <w:rPr>
          <w:noProof/>
        </w:rPr>
      </w:pPr>
    </w:p>
    <w:p w:rsidR="00771FEA" w:rsidRPr="00C903F8" w:rsidRDefault="00771FEA" w:rsidP="00824063">
      <w:pPr>
        <w:pStyle w:val="ESlet"/>
        <w:rPr>
          <w:noProof/>
        </w:rPr>
      </w:pPr>
      <w:r>
        <w:br w:type="page"/>
      </w:r>
    </w:p>
    <w:p w:rsidR="00E65F26" w:rsidRPr="00C903F8" w:rsidRDefault="005C7859" w:rsidP="00824063">
      <w:pPr>
        <w:pStyle w:val="ESlet"/>
      </w:pPr>
      <w:r>
        <w:lastRenderedPageBreak/>
        <w:t>d)</w:t>
      </w:r>
      <w:r>
        <w:tab/>
        <w:t>la pressione di riempimento dei serbatoi non supera 200 bar a +15 °C;</w:t>
      </w:r>
    </w:p>
    <w:p w:rsidR="00E65F26" w:rsidRPr="00C903F8" w:rsidRDefault="0029453D" w:rsidP="00824063">
      <w:pPr>
        <w:pStyle w:val="ESlet"/>
      </w:pPr>
      <w:r>
        <w:t>e)</w:t>
      </w:r>
      <w:r>
        <w:tab/>
        <w:t>Il quantitativo di IG-541 per il locale da proteggere è pari almeno al 44 % del volume lordo del suddetto locale e non superiore al 50 %. L'erogazione di questo quantitativo nel locale avviene in 120 secondi.</w:t>
      </w:r>
    </w:p>
    <w:p w:rsidR="00824063" w:rsidRPr="00C903F8" w:rsidRDefault="00824063" w:rsidP="00E65F26">
      <w:pPr>
        <w:pStyle w:val="ESch"/>
        <w:rPr>
          <w:noProof/>
        </w:rPr>
      </w:pPr>
    </w:p>
    <w:p w:rsidR="00E65F26" w:rsidRPr="00C903F8" w:rsidRDefault="00E65F26" w:rsidP="00E65F26">
      <w:pPr>
        <w:pStyle w:val="ESch"/>
      </w:pPr>
      <w:r>
        <w:t>13.</w:t>
      </w:r>
      <w:r>
        <w:tab/>
        <w:t>FK-5-1-12 — sistemi antincendio</w:t>
      </w:r>
    </w:p>
    <w:p w:rsidR="00824063" w:rsidRPr="00C903F8" w:rsidRDefault="00824063" w:rsidP="00E65F26">
      <w:pPr>
        <w:pStyle w:val="ESch"/>
        <w:rPr>
          <w:noProof/>
        </w:rPr>
      </w:pPr>
    </w:p>
    <w:p w:rsidR="00E65F26" w:rsidRPr="00C903F8" w:rsidRDefault="00E65F26" w:rsidP="00824063">
      <w:pPr>
        <w:pStyle w:val="ESchpar"/>
      </w:pPr>
      <w:r>
        <w:t>Oltre ai requisiti dei paragrafi da 1 a 9, i sistemi antincendio che utilizzano FK-5-1-12 quale agente estinguente soddisfano i seguenti requisiti.</w:t>
      </w:r>
    </w:p>
    <w:p w:rsidR="00E65F26" w:rsidRPr="00C903F8" w:rsidRDefault="005C7859" w:rsidP="00824063">
      <w:pPr>
        <w:pStyle w:val="ESlet"/>
      </w:pPr>
      <w:r>
        <w:t>a)</w:t>
      </w:r>
      <w:r>
        <w:tab/>
        <w:t>Se vi sono vari locali da proteggere di volume lordo diverso, ciascun locale è dotato di un sistema antincendio proprio;</w:t>
      </w:r>
    </w:p>
    <w:p w:rsidR="00E65F26" w:rsidRPr="00C903F8" w:rsidRDefault="005C7859" w:rsidP="00824063">
      <w:pPr>
        <w:pStyle w:val="ESlet"/>
      </w:pPr>
      <w:r>
        <w:t>b)</w:t>
      </w:r>
      <w:r>
        <w:tab/>
        <w:t>ciascun serbatoio di FK-5-1-12 installato nel locale da proteggere è provvisto di una valvola di sovrapressione. Tale valvola di sfiato della pressione garantisce, senza pericolo, la diffusione del contenuto del serbatoio nel locale da proteggere se il serbatoio è esposto al fuoco e il sistema antincendio non è stato attivato;</w:t>
      </w:r>
    </w:p>
    <w:p w:rsidR="00E65F26" w:rsidRPr="00C903F8" w:rsidRDefault="005C7859" w:rsidP="00824063">
      <w:pPr>
        <w:pStyle w:val="ESlet"/>
      </w:pPr>
      <w:r>
        <w:t>c)</w:t>
      </w:r>
      <w:r>
        <w:tab/>
        <w:t>ciascun serbatoio è provvisto di un dispositivo per il controllo della pressione del gas;</w:t>
      </w:r>
    </w:p>
    <w:p w:rsidR="00E65F26" w:rsidRPr="00C903F8" w:rsidRDefault="005C7859" w:rsidP="00824063">
      <w:pPr>
        <w:pStyle w:val="ESlet"/>
      </w:pPr>
      <w:r>
        <w:t>d)</w:t>
      </w:r>
      <w:r>
        <w:tab/>
        <w:t>il livello di riempimento dei serbatoi non supera 1,00 kg/l. Per il volume specifico di FK-5-1-12 non pressurizzato si assume il valore di 0,0719 m</w:t>
      </w:r>
      <w:r>
        <w:rPr>
          <w:noProof/>
          <w:vertAlign w:val="superscript"/>
        </w:rPr>
        <w:t>3</w:t>
      </w:r>
      <w:r>
        <w:t>/kg;</w:t>
      </w:r>
    </w:p>
    <w:p w:rsidR="00E65F26" w:rsidRPr="00C903F8" w:rsidRDefault="0029453D" w:rsidP="00824063">
      <w:pPr>
        <w:pStyle w:val="ESlet"/>
      </w:pPr>
      <w:r>
        <w:t>e)</w:t>
      </w:r>
      <w:r>
        <w:tab/>
        <w:t>il volume di FK-5-1-12 per il locale da proteggere è almeno pari al 5,5 % del volume lordo del locale. L'erogazione di questo quantitativo nel locale avviene in 10 secondi.</w:t>
      </w:r>
    </w:p>
    <w:p w:rsidR="00E65F26" w:rsidRPr="00C903F8" w:rsidRDefault="0029453D" w:rsidP="00824063">
      <w:pPr>
        <w:pStyle w:val="ESlet"/>
      </w:pPr>
      <w:r>
        <w:t>f)</w:t>
      </w:r>
      <w:r>
        <w:tab/>
        <w:t>i serbatoi di FK-5-1-12 sono dotati di un dispositivo di controllo della pressione che attiva un segnale acustico e ottico di allarme nella timoneria in caso di perdita non autorizzata di propellente. Se non è prevista la timoneria, il suddetto segnale di allarme è attivato all'esterno del locale da proteggere;</w:t>
      </w:r>
    </w:p>
    <w:p w:rsidR="00E65F26" w:rsidRDefault="0029453D" w:rsidP="00824063">
      <w:pPr>
        <w:pStyle w:val="ESlet"/>
        <w:rPr>
          <w:noProof/>
        </w:rPr>
      </w:pPr>
      <w:r>
        <w:t>g)</w:t>
      </w:r>
      <w:r>
        <w:tab/>
        <w:t>dopo l'erogazione, la concentrazione nel locale da proteggere non supera il 10,0 %.</w:t>
      </w:r>
    </w:p>
    <w:p w:rsidR="00C44D3C" w:rsidRDefault="00C44D3C" w:rsidP="00C44D3C">
      <w:pPr>
        <w:widowControl w:val="0"/>
        <w:autoSpaceDE/>
        <w:autoSpaceDN/>
        <w:ind w:left="1276"/>
        <w:jc w:val="left"/>
        <w:rPr>
          <w:noProof/>
        </w:rPr>
      </w:pPr>
    </w:p>
    <w:p w:rsidR="00C44D3C" w:rsidRPr="00C44D3C" w:rsidRDefault="00C44D3C" w:rsidP="00C44D3C">
      <w:pPr>
        <w:pStyle w:val="ESch"/>
        <w:rPr>
          <w:noProof/>
        </w:rPr>
      </w:pPr>
      <w:r>
        <w:t>14.</w:t>
      </w:r>
      <w:r>
        <w:tab/>
        <w:t xml:space="preserve">Sistemi antincendio che utilizzano acqua quale agente estinguente </w:t>
      </w:r>
    </w:p>
    <w:p w:rsidR="00C44D3C" w:rsidRPr="00C44D3C" w:rsidRDefault="00C44D3C" w:rsidP="00980973">
      <w:pPr>
        <w:pStyle w:val="ESch"/>
        <w:rPr>
          <w:highlight w:val="lightGray"/>
        </w:rPr>
      </w:pPr>
    </w:p>
    <w:p w:rsidR="00C44D3C" w:rsidRPr="00980973" w:rsidRDefault="00C44D3C" w:rsidP="00C44D3C">
      <w:pPr>
        <w:pStyle w:val="ESchpar"/>
        <w:rPr>
          <w:szCs w:val="20"/>
        </w:rPr>
      </w:pPr>
      <w:r>
        <w:t xml:space="preserve">I sistemi antincendio che utilizzano acqua quale agente estinguente possono rilasciare tale agente solo nel locale da proteggere sotto forma di acqua nebulizzata. La dimensione delle goccioline deve essere compresa tra 5 e 300 micron. </w:t>
      </w:r>
    </w:p>
    <w:p w:rsidR="00C44D3C" w:rsidRPr="00980973" w:rsidRDefault="00C44D3C" w:rsidP="00980973">
      <w:pPr>
        <w:pStyle w:val="ESch"/>
      </w:pPr>
    </w:p>
    <w:p w:rsidR="00C44D3C" w:rsidRPr="00980973" w:rsidRDefault="00C44D3C" w:rsidP="00980973">
      <w:pPr>
        <w:pStyle w:val="ESchpar"/>
      </w:pPr>
      <w:r>
        <w:t>Oltre ai requisiti di cui ai paragrafi da 1 a 7 e 9 e al paragrafo 8 che si applica per analogia, questi sistemi antincendio devono soddisfare le seguenti disposizioni:</w:t>
      </w:r>
    </w:p>
    <w:p w:rsidR="00C44D3C" w:rsidRPr="00980973" w:rsidRDefault="00C44D3C" w:rsidP="00980973">
      <w:pPr>
        <w:pStyle w:val="ESlet"/>
        <w:rPr>
          <w:rFonts w:cs="Arial"/>
        </w:rPr>
      </w:pPr>
      <w:r>
        <w:t>a)</w:t>
      </w:r>
      <w:r>
        <w:tab/>
        <w:t>il sistema antincendio dispone di un'omologazione ai sensi della circolare MSC/Circ 1165</w:t>
      </w:r>
      <w:r>
        <w:rPr>
          <w:vertAlign w:val="superscript"/>
        </w:rPr>
        <w:footnoteReference w:id="10"/>
      </w:r>
      <w:r>
        <w:t xml:space="preserve"> o un'altra norma riconosciuta da uno degli Stati membri. L'omologazione è effettuata da un organismo di classificazione autorizzato o da un'istituzione competente per le prove accreditata. L'istituzione competente per le prove accreditata soddisfa le norme europee armonizzate per il funzionamento dei laboratori che eseguono le prove (EN ISO/IEC 17025:2005);</w:t>
      </w:r>
    </w:p>
    <w:p w:rsidR="00C44D3C" w:rsidRPr="00980973" w:rsidRDefault="00C44D3C" w:rsidP="00980973">
      <w:pPr>
        <w:pStyle w:val="ESlet"/>
        <w:rPr>
          <w:snapToGrid w:val="0"/>
        </w:rPr>
      </w:pPr>
      <w:r>
        <w:t>b)</w:t>
      </w:r>
      <w:r>
        <w:tab/>
        <w:t>il sistema antincendio è dimensionato in base al locale da proteggere di dimensioni maggiori ed è in grado di spruzzare acqua continuamente nel locale per almeno 30 minuti;</w:t>
      </w:r>
    </w:p>
    <w:p w:rsidR="00C44D3C" w:rsidRPr="00980973" w:rsidRDefault="00C44D3C" w:rsidP="00980973">
      <w:pPr>
        <w:pStyle w:val="ESlet"/>
      </w:pPr>
      <w:r>
        <w:br w:type="page"/>
      </w:r>
    </w:p>
    <w:p w:rsidR="00C44D3C" w:rsidRPr="00980973" w:rsidRDefault="00C44D3C" w:rsidP="00980973">
      <w:pPr>
        <w:pStyle w:val="ESlet"/>
        <w:rPr>
          <w:rFonts w:cs="Arial"/>
        </w:rPr>
      </w:pPr>
      <w:r>
        <w:lastRenderedPageBreak/>
        <w:t>c)</w:t>
      </w:r>
      <w:r>
        <w:tab/>
        <w:t xml:space="preserve">le pompe, i loro meccanismi di commutazione e le valvole necessarie per il funzionamento del sistema vanno installate in un locale al di fuori di quelli da proteggere. Il locale nel quale sono installati va separato da quello adiacente mediante delle paratie divisorie almeno di tipo A30; </w:t>
      </w:r>
    </w:p>
    <w:p w:rsidR="00C44D3C" w:rsidRPr="00980973" w:rsidRDefault="00C44D3C" w:rsidP="00980973">
      <w:pPr>
        <w:pStyle w:val="ESlet"/>
        <w:rPr>
          <w:rFonts w:cs="Arial"/>
        </w:rPr>
      </w:pPr>
      <w:r>
        <w:t>d)</w:t>
      </w:r>
      <w:r>
        <w:tab/>
        <w:t>il sistema antincendio deve essere sempre completamente pieno d'acqua almeno fino alle valvole di intercettazione, nonché essere soggetto alla pressione di esercizio iniziale richiesta. Le pompe di alimentazione dell'acqua devono essere avviate automaticamente quando il sistema viene attivato. Il sistema deve presentare un'alimentazione di acqua continua. Occorre adottare misure destinate a garantire che le impurità non influiscano sul funzionamento del sistema;</w:t>
      </w:r>
    </w:p>
    <w:p w:rsidR="00C44D3C" w:rsidRPr="00980973" w:rsidRDefault="00C44D3C" w:rsidP="00980973">
      <w:pPr>
        <w:pStyle w:val="ESlet"/>
        <w:rPr>
          <w:rFonts w:cs="Arial"/>
        </w:rPr>
      </w:pPr>
      <w:r>
        <w:t>e)</w:t>
      </w:r>
      <w:r>
        <w:tab/>
        <w:t>la capacità e la progettazione della rete di tubature del sistema devono essere basate su un calcolo idraulico;</w:t>
      </w:r>
    </w:p>
    <w:p w:rsidR="00C44D3C" w:rsidRPr="00980973" w:rsidRDefault="00C44D3C" w:rsidP="00980973">
      <w:pPr>
        <w:pStyle w:val="ESlet"/>
        <w:rPr>
          <w:rFonts w:cs="Arial"/>
        </w:rPr>
      </w:pPr>
      <w:r>
        <w:t>f)</w:t>
      </w:r>
      <w:r>
        <w:tab/>
        <w:t xml:space="preserve">il numero e la disposizione dei boccalini deve garantire una distribuzione sufficiente dell'acqua nei locali da proteggere. I boccalini per la nebulizzazione devono essere posizionati in maniera tale da garantire che l'acqua nebulizzata sia distribuita in tutto il locale da proteggere, in particolare nelle zone soggette a un rischio più elevato di incendio, ivi compreso dietro gli accessori e sotto il pavimento; </w:t>
      </w:r>
    </w:p>
    <w:p w:rsidR="00C44D3C" w:rsidRPr="00980973" w:rsidRDefault="00C44D3C" w:rsidP="00980973">
      <w:pPr>
        <w:pStyle w:val="ESlet"/>
        <w:rPr>
          <w:rFonts w:cs="Arial"/>
        </w:rPr>
      </w:pPr>
      <w:r>
        <w:t>g)</w:t>
      </w:r>
      <w:r>
        <w:tab/>
        <w:t>i componenti elettrici del sistema antincendio nel locale da proteggere devono essere almeno conformi al grado di protezione IP54. Il sistema deve disporre di due fonti di energia indipendenti con commutazione automatica di cui una deve essere posizionata all'esterno del locale da proteggere. Ogni fonte di energia dovrebbe essere in grado di garantire il funzionamento del sistema autonomamente;</w:t>
      </w:r>
    </w:p>
    <w:p w:rsidR="00C44D3C" w:rsidRPr="00980973" w:rsidRDefault="00C44D3C" w:rsidP="00980973">
      <w:pPr>
        <w:pStyle w:val="ESlet"/>
        <w:rPr>
          <w:rFonts w:cs="Arial"/>
        </w:rPr>
      </w:pPr>
      <w:r>
        <w:t>h)</w:t>
      </w:r>
      <w:r>
        <w:tab/>
        <w:t xml:space="preserve">il sistema antincendio deve prevedere pompe ridondanti; </w:t>
      </w:r>
    </w:p>
    <w:p w:rsidR="00C44D3C" w:rsidRPr="00980973" w:rsidRDefault="00C44D3C" w:rsidP="00980973">
      <w:pPr>
        <w:pStyle w:val="ESlet"/>
        <w:rPr>
          <w:rFonts w:cs="Arial"/>
        </w:rPr>
      </w:pPr>
      <w:r>
        <w:t>i)</w:t>
      </w:r>
      <w:r>
        <w:tab/>
        <w:t>il sistema antincendio deve essere dotato di un dispositivo di controllo che attiva un segnale di allarme nella timoneria nei seguenti casi:</w:t>
      </w:r>
    </w:p>
    <w:p w:rsidR="00C44D3C" w:rsidRPr="000E732C" w:rsidRDefault="00C44D3C" w:rsidP="00C44D3C">
      <w:pPr>
        <w:pStyle w:val="EStiret"/>
      </w:pPr>
      <w:r>
        <w:t>-</w:t>
      </w:r>
      <w:r>
        <w:tab/>
        <w:t>abbassamento del livello nel serbatoio dell'acqua (se presente);</w:t>
      </w:r>
    </w:p>
    <w:p w:rsidR="00C44D3C" w:rsidRPr="000E732C" w:rsidRDefault="00C44D3C" w:rsidP="00C44D3C">
      <w:pPr>
        <w:pStyle w:val="EStiret"/>
      </w:pPr>
      <w:r>
        <w:t>-</w:t>
      </w:r>
      <w:r>
        <w:tab/>
        <w:t>guasto dell'alimentazione;</w:t>
      </w:r>
    </w:p>
    <w:p w:rsidR="00C44D3C" w:rsidRPr="000E732C" w:rsidRDefault="00C44D3C" w:rsidP="00C44D3C">
      <w:pPr>
        <w:pStyle w:val="EStiret"/>
      </w:pPr>
      <w:r>
        <w:t>-</w:t>
      </w:r>
      <w:r>
        <w:tab/>
        <w:t>perdita di pressione nelle tubazioni del sistema a bassa pressione;</w:t>
      </w:r>
    </w:p>
    <w:p w:rsidR="00C44D3C" w:rsidRPr="000E732C" w:rsidRDefault="00C44D3C" w:rsidP="00C44D3C">
      <w:pPr>
        <w:pStyle w:val="EStiret"/>
      </w:pPr>
      <w:r>
        <w:t>-</w:t>
      </w:r>
      <w:r>
        <w:tab/>
        <w:t>perdita di pressione nel circuito ad alta pressione;</w:t>
      </w:r>
    </w:p>
    <w:p w:rsidR="00C44D3C" w:rsidRPr="000E732C" w:rsidRDefault="00C44D3C" w:rsidP="00C44D3C">
      <w:pPr>
        <w:pStyle w:val="EStiret"/>
      </w:pPr>
      <w:r>
        <w:t>-</w:t>
      </w:r>
      <w:r>
        <w:tab/>
        <w:t>quando il sistema viene attivato;</w:t>
      </w:r>
    </w:p>
    <w:p w:rsidR="00C44D3C" w:rsidRPr="00980973" w:rsidRDefault="00C44D3C" w:rsidP="00980973">
      <w:pPr>
        <w:pStyle w:val="ESlet"/>
      </w:pPr>
      <w:r>
        <w:t>j)</w:t>
      </w:r>
      <w:r>
        <w:tab/>
        <w:t xml:space="preserve">i documenti necessari per l'installazione, la prova funzionale e la documentazione dell'installazione di cui al paragrafo 9 devono includere almeno: </w:t>
      </w:r>
    </w:p>
    <w:p w:rsidR="00C44D3C" w:rsidRPr="00C44D3C" w:rsidRDefault="00C44D3C" w:rsidP="00C44D3C">
      <w:pPr>
        <w:pStyle w:val="EStiret"/>
      </w:pPr>
      <w:r>
        <w:t xml:space="preserve">- </w:t>
      </w:r>
      <w:r>
        <w:tab/>
        <w:t>un diagramma schematico del sistema che mostri le sezioni delle tubature e i tipi di boccalini per la nebulizzazione;</w:t>
      </w:r>
    </w:p>
    <w:p w:rsidR="00C44D3C" w:rsidRPr="00C44D3C" w:rsidRDefault="00C44D3C" w:rsidP="00C44D3C">
      <w:pPr>
        <w:pStyle w:val="EStiret"/>
      </w:pPr>
      <w:r>
        <w:t xml:space="preserve">- </w:t>
      </w:r>
      <w:r>
        <w:tab/>
        <w:t>il calcolo idraulico di cui alla lettera d);</w:t>
      </w:r>
    </w:p>
    <w:p w:rsidR="00C44D3C" w:rsidRPr="00C44D3C" w:rsidRDefault="00C44D3C" w:rsidP="00C44D3C">
      <w:pPr>
        <w:pStyle w:val="EStiret"/>
      </w:pPr>
      <w:r>
        <w:t xml:space="preserve">- </w:t>
      </w:r>
      <w:r>
        <w:tab/>
        <w:t>la documentazione tecnica del costruttore che copre tutti gli aspetti dell'installazione;</w:t>
      </w:r>
    </w:p>
    <w:p w:rsidR="00C44D3C" w:rsidRPr="00C44D3C" w:rsidRDefault="00C44D3C" w:rsidP="00C44D3C">
      <w:pPr>
        <w:pStyle w:val="EStiret"/>
      </w:pPr>
      <w:r>
        <w:t xml:space="preserve">- </w:t>
      </w:r>
      <w:r>
        <w:tab/>
        <w:t>il manuale di manutenzione.</w:t>
      </w:r>
    </w:p>
    <w:p w:rsidR="00E65F26" w:rsidRPr="00C903F8" w:rsidRDefault="00E65F26" w:rsidP="00E65F26">
      <w:pPr>
        <w:pStyle w:val="ESch"/>
      </w:pPr>
    </w:p>
    <w:p w:rsidR="00771FEA" w:rsidRPr="00C903F8" w:rsidRDefault="00771FEA" w:rsidP="00E65F26">
      <w:pPr>
        <w:pStyle w:val="ESch"/>
      </w:pPr>
    </w:p>
    <w:p w:rsidR="00C83149" w:rsidRPr="00C903F8" w:rsidRDefault="00C83149" w:rsidP="00C83149">
      <w:pPr>
        <w:pStyle w:val="ES-Titre3"/>
        <w:rPr>
          <w:i/>
          <w:noProof/>
        </w:rPr>
      </w:pPr>
      <w:bookmarkStart w:id="220" w:name="_Toc491854107"/>
      <w:bookmarkStart w:id="221" w:name="_Toc535500056"/>
      <w:r>
        <w:t>Articolo 13.06</w:t>
      </w:r>
      <w:r>
        <w:br/>
      </w:r>
      <w:r>
        <w:rPr>
          <w:i/>
          <w:noProof/>
        </w:rPr>
        <w:t>Sistemi antincendio fissi per la protezione degli oggetti</w:t>
      </w:r>
      <w:bookmarkEnd w:id="220"/>
      <w:bookmarkEnd w:id="221"/>
    </w:p>
    <w:p w:rsidR="00C83149" w:rsidRPr="00C903F8" w:rsidRDefault="00C83149" w:rsidP="00E65F26">
      <w:pPr>
        <w:pStyle w:val="ESch"/>
      </w:pPr>
    </w:p>
    <w:p w:rsidR="00C83149" w:rsidRPr="000E732C" w:rsidRDefault="00C83149" w:rsidP="00C83149">
      <w:pPr>
        <w:pStyle w:val="ESgauche"/>
      </w:pPr>
      <w:r>
        <w:t>I sistemi antincendio fissi per la protezione di oggetti sono vietati.</w:t>
      </w:r>
    </w:p>
    <w:p w:rsidR="00C83149" w:rsidRPr="00C903F8" w:rsidRDefault="00C83149" w:rsidP="00E65F26">
      <w:pPr>
        <w:pStyle w:val="ESch"/>
      </w:pPr>
    </w:p>
    <w:p w:rsidR="00C83149" w:rsidRPr="00C903F8" w:rsidRDefault="00C83149" w:rsidP="00E65F26">
      <w:pPr>
        <w:pStyle w:val="ESch"/>
      </w:pPr>
    </w:p>
    <w:p w:rsidR="00C44D3C" w:rsidRDefault="00C44D3C">
      <w:pPr>
        <w:autoSpaceDE/>
        <w:autoSpaceDN/>
        <w:ind w:left="0" w:firstLine="0"/>
        <w:jc w:val="left"/>
        <w:rPr>
          <w:rFonts w:eastAsia="Calibri"/>
          <w:b/>
          <w:noProof/>
          <w:sz w:val="22"/>
          <w:szCs w:val="22"/>
        </w:rPr>
      </w:pPr>
      <w:r>
        <w:br w:type="page"/>
      </w:r>
    </w:p>
    <w:p w:rsidR="00E65F26" w:rsidRPr="00C903F8" w:rsidRDefault="00E65F26" w:rsidP="00824063">
      <w:pPr>
        <w:pStyle w:val="ES-Titre3"/>
        <w:rPr>
          <w:i/>
        </w:rPr>
      </w:pPr>
      <w:bookmarkStart w:id="222" w:name="_Toc491854108"/>
      <w:bookmarkStart w:id="223" w:name="_Toc535500057"/>
      <w:r>
        <w:lastRenderedPageBreak/>
        <w:t>Articolo 13.07</w:t>
      </w:r>
      <w:r>
        <w:br/>
      </w:r>
      <w:r>
        <w:rPr>
          <w:i/>
          <w:noProof/>
        </w:rPr>
        <w:t>Lance</w:t>
      </w:r>
      <w:bookmarkEnd w:id="222"/>
      <w:bookmarkEnd w:id="223"/>
    </w:p>
    <w:p w:rsidR="00824063" w:rsidRPr="00C903F8" w:rsidRDefault="00824063" w:rsidP="00E65F26">
      <w:pPr>
        <w:pStyle w:val="ESch"/>
        <w:rPr>
          <w:noProof/>
        </w:rPr>
      </w:pPr>
    </w:p>
    <w:p w:rsidR="00E65F26" w:rsidRPr="002614C4" w:rsidRDefault="00E65F26" w:rsidP="00E65F26">
      <w:pPr>
        <w:pStyle w:val="ESch"/>
        <w:rPr>
          <w:noProof/>
        </w:rPr>
      </w:pPr>
      <w:r>
        <w:t>1.</w:t>
      </w:r>
      <w:r>
        <w:tab/>
        <w:t>Le seguenti imbarcazioni sono dotate di lance in conformità della norma europea EN 1914:2016:</w:t>
      </w:r>
    </w:p>
    <w:p w:rsidR="00E65F26" w:rsidRPr="00C903F8" w:rsidRDefault="005C7859" w:rsidP="00824063">
      <w:pPr>
        <w:pStyle w:val="ESlet"/>
      </w:pPr>
      <w:r>
        <w:t>a)</w:t>
      </w:r>
      <w:r>
        <w:tab/>
        <w:t>le motonavi e le chiatte di portata lorda superiore a 150 t;</w:t>
      </w:r>
    </w:p>
    <w:p w:rsidR="00E65F26" w:rsidRPr="00C903F8" w:rsidRDefault="005C7859" w:rsidP="00824063">
      <w:pPr>
        <w:pStyle w:val="ESlet"/>
      </w:pPr>
      <w:r>
        <w:t>b)</w:t>
      </w:r>
      <w:r>
        <w:tab/>
        <w:t>i rimorchiatori e gli spintori con dislocamento superiore a 150 m</w:t>
      </w:r>
      <w:r>
        <w:rPr>
          <w:noProof/>
          <w:vertAlign w:val="superscript"/>
        </w:rPr>
        <w:t>3</w:t>
      </w:r>
      <w:r>
        <w:t>;</w:t>
      </w:r>
    </w:p>
    <w:p w:rsidR="00E65F26" w:rsidRPr="00C903F8" w:rsidRDefault="005C7859" w:rsidP="00824063">
      <w:pPr>
        <w:pStyle w:val="ESlet"/>
      </w:pPr>
      <w:r>
        <w:t>c)</w:t>
      </w:r>
      <w:r>
        <w:tab/>
        <w:t>i galleggianti speciali;</w:t>
      </w:r>
    </w:p>
    <w:p w:rsidR="00E65F26" w:rsidRPr="00C903F8" w:rsidRDefault="005C7859" w:rsidP="00824063">
      <w:pPr>
        <w:pStyle w:val="ESlet"/>
      </w:pPr>
      <w:r>
        <w:t>d)</w:t>
      </w:r>
      <w:r>
        <w:tab/>
        <w:t>le navi da passeggeri.</w:t>
      </w:r>
    </w:p>
    <w:p w:rsidR="00771FEA" w:rsidRPr="00C903F8" w:rsidRDefault="00771FEA" w:rsidP="00E65F26">
      <w:pPr>
        <w:pStyle w:val="ESch"/>
        <w:rPr>
          <w:noProof/>
        </w:rPr>
      </w:pPr>
    </w:p>
    <w:p w:rsidR="00E65F26" w:rsidRPr="00C903F8" w:rsidRDefault="00E65F26" w:rsidP="00E65F26">
      <w:pPr>
        <w:pStyle w:val="ESch"/>
      </w:pPr>
      <w:r>
        <w:t>2.</w:t>
      </w:r>
      <w:r>
        <w:tab/>
        <w:t>Le lance devono essere messe in acqua in piena sicurezza da una sola persona entro cinque minuti dalla prima manovra necessaria. Se si utilizza un dispositivo a motore, questo deve essere tale da non compromettere, in caso d'interruzione dell'alimentazione elettrica, la messa in acqua rapida e sicura.</w:t>
      </w:r>
    </w:p>
    <w:p w:rsidR="00824063" w:rsidRPr="00C903F8" w:rsidRDefault="00824063" w:rsidP="00E65F26">
      <w:pPr>
        <w:pStyle w:val="ESch"/>
        <w:rPr>
          <w:noProof/>
        </w:rPr>
      </w:pPr>
    </w:p>
    <w:p w:rsidR="00E65F26" w:rsidRPr="00C903F8" w:rsidRDefault="00E65F26" w:rsidP="00E65F26">
      <w:pPr>
        <w:pStyle w:val="ESch"/>
      </w:pPr>
      <w:r>
        <w:t>3.</w:t>
      </w:r>
      <w:r>
        <w:tab/>
        <w:t>Le lance di tipo zattere gonfiabili devono essere controllate conformemente alle istruzioni del fabbricante.</w:t>
      </w:r>
    </w:p>
    <w:p w:rsidR="00E65F26" w:rsidRPr="00C903F8" w:rsidRDefault="00E65F26" w:rsidP="00E65F26">
      <w:pPr>
        <w:pStyle w:val="ESch"/>
      </w:pPr>
    </w:p>
    <w:p w:rsidR="00771FEA" w:rsidRPr="00C903F8" w:rsidRDefault="00771FEA" w:rsidP="00E65F26">
      <w:pPr>
        <w:pStyle w:val="ESch"/>
      </w:pPr>
    </w:p>
    <w:p w:rsidR="00771FEA" w:rsidRPr="00C903F8" w:rsidRDefault="00771FEA" w:rsidP="00E65F26">
      <w:pPr>
        <w:pStyle w:val="ESch"/>
      </w:pPr>
    </w:p>
    <w:p w:rsidR="00E65F26" w:rsidRPr="00C903F8" w:rsidRDefault="00E65F26" w:rsidP="00824063">
      <w:pPr>
        <w:pStyle w:val="ES-Titre3"/>
        <w:rPr>
          <w:i/>
          <w:noProof/>
        </w:rPr>
      </w:pPr>
      <w:bookmarkStart w:id="224" w:name="_Toc491854109"/>
      <w:bookmarkStart w:id="225" w:name="_Toc535500058"/>
      <w:r>
        <w:t>Articolo 13.08</w:t>
      </w:r>
      <w:r>
        <w:br/>
      </w:r>
      <w:r>
        <w:rPr>
          <w:i/>
          <w:noProof/>
        </w:rPr>
        <w:t>Salvagenti galleggianti e giubbotti di salvataggio</w:t>
      </w:r>
      <w:bookmarkEnd w:id="224"/>
      <w:bookmarkEnd w:id="225"/>
    </w:p>
    <w:p w:rsidR="00824063" w:rsidRPr="00C903F8" w:rsidRDefault="00824063" w:rsidP="00E65F26">
      <w:pPr>
        <w:pStyle w:val="ESch"/>
        <w:rPr>
          <w:noProof/>
        </w:rPr>
      </w:pPr>
    </w:p>
    <w:p w:rsidR="00E65F26" w:rsidRPr="00C903F8" w:rsidRDefault="00E65F26" w:rsidP="00E65F26">
      <w:pPr>
        <w:pStyle w:val="ESch"/>
      </w:pPr>
      <w:r>
        <w:t>1.</w:t>
      </w:r>
      <w:r>
        <w:tab/>
        <w:t xml:space="preserve">A bordo dell'imbarcazione sono presenti almeno tre salvagenti galleggianti: </w:t>
      </w:r>
    </w:p>
    <w:p w:rsidR="00E65F26" w:rsidRPr="00C903F8" w:rsidRDefault="00E65F26" w:rsidP="00574385">
      <w:pPr>
        <w:pStyle w:val="ESlet"/>
      </w:pPr>
      <w:r>
        <w:t>-</w:t>
      </w:r>
      <w:r>
        <w:tab/>
        <w:t>conformi alla norma europea EN 14144:2003; oppure</w:t>
      </w:r>
    </w:p>
    <w:p w:rsidR="00E65F26" w:rsidRPr="00C903F8" w:rsidRDefault="00E65F26" w:rsidP="00574385">
      <w:pPr>
        <w:pStyle w:val="ESlet"/>
      </w:pPr>
      <w:r>
        <w:t>-</w:t>
      </w:r>
      <w:r>
        <w:tab/>
        <w:t>conformi alla Convenzione internazionale del 1974 per la salvaguardia della vita umana in mare (SOLAS 1974), capitolo III, regola 7.1, e al Codice internazionale relativo agli strumenti di salvataggio (LSA), sottoparagrafo 2.1.</w:t>
      </w:r>
    </w:p>
    <w:p w:rsidR="00824063" w:rsidRPr="00C903F8" w:rsidRDefault="00824063" w:rsidP="00E65F26">
      <w:pPr>
        <w:pStyle w:val="ESch"/>
        <w:rPr>
          <w:noProof/>
        </w:rPr>
      </w:pPr>
    </w:p>
    <w:p w:rsidR="00E65F26" w:rsidRPr="00C903F8" w:rsidRDefault="00E65F26" w:rsidP="00574385">
      <w:pPr>
        <w:pStyle w:val="ESchpar"/>
      </w:pPr>
      <w:r>
        <w:t>Tali salvagenti sono pronti all'uso e sistemati sul ponte in punti appropriati, senza essere fissati ai loro supporti. Almeno un salvagente si trova nelle immediate vicinanze della timoneria ed è provvisto di luce ad accensione automatica, alimentata da una pila e che non si spegne nell'acqua.</w:t>
      </w:r>
    </w:p>
    <w:p w:rsidR="00574385" w:rsidRPr="00C903F8" w:rsidRDefault="00574385" w:rsidP="00E65F26">
      <w:pPr>
        <w:pStyle w:val="ESch"/>
      </w:pPr>
    </w:p>
    <w:p w:rsidR="00E65F26" w:rsidRPr="00C903F8" w:rsidRDefault="00E65F26" w:rsidP="00E65F26">
      <w:pPr>
        <w:pStyle w:val="ESch"/>
      </w:pPr>
      <w:r>
        <w:t>2.</w:t>
      </w:r>
      <w:r>
        <w:tab/>
        <w:t xml:space="preserve">A bordo delle imbarcazioni, per ogni persona regolarmente a bordo deve essere previsto un giubbotto di salvataggio a gonfiaggio automatico situato in una posizione facilmente raggiungibile. Tali giubbotti di salvataggio sono conformi: </w:t>
      </w:r>
    </w:p>
    <w:p w:rsidR="00E65F26" w:rsidRPr="00C903F8" w:rsidRDefault="00E65F26" w:rsidP="00574385">
      <w:pPr>
        <w:pStyle w:val="ESlet"/>
      </w:pPr>
      <w:r>
        <w:t>-</w:t>
      </w:r>
      <w:r>
        <w:tab/>
        <w:t>alle norme europee EN ISO 12402-2:2006, EN ISO 12402-3:2006, EN ISO 12402</w:t>
      </w:r>
      <w:r>
        <w:softHyphen/>
        <w:t>4:2006; oppure</w:t>
      </w:r>
    </w:p>
    <w:p w:rsidR="00E65F26" w:rsidRPr="00C903F8" w:rsidRDefault="00E65F26" w:rsidP="00574385">
      <w:pPr>
        <w:pStyle w:val="ESlet"/>
      </w:pPr>
      <w:r>
        <w:t>-</w:t>
      </w:r>
      <w:r>
        <w:tab/>
        <w:t>alla Convenzione internazionale del 1974 per la salvaguardia della vita umana in mare (SOLAS 1974), capitolo III, regola 7.2, e al Codice internazionale relativo agli strumenti di salvataggio (LSA), sottoparagrafo 2.2.</w:t>
      </w:r>
    </w:p>
    <w:p w:rsidR="00574385" w:rsidRPr="00C903F8" w:rsidRDefault="00574385" w:rsidP="00574385">
      <w:pPr>
        <w:pStyle w:val="ESchpar"/>
        <w:rPr>
          <w:noProof/>
        </w:rPr>
      </w:pPr>
    </w:p>
    <w:p w:rsidR="00E65F26" w:rsidRPr="00C903F8" w:rsidRDefault="00E65F26" w:rsidP="00574385">
      <w:pPr>
        <w:pStyle w:val="ESchpar"/>
      </w:pPr>
      <w:r>
        <w:t>Per i bambini sono ammessi anche i giubbotti di salvataggio non gonfiabili conformi alle norme sopra indicate.</w:t>
      </w:r>
    </w:p>
    <w:p w:rsidR="00574385" w:rsidRPr="00C903F8" w:rsidRDefault="00574385" w:rsidP="00E65F26">
      <w:pPr>
        <w:pStyle w:val="ESch"/>
        <w:rPr>
          <w:noProof/>
        </w:rPr>
      </w:pPr>
    </w:p>
    <w:p w:rsidR="00E65F26" w:rsidRPr="00C903F8" w:rsidRDefault="00E65F26" w:rsidP="00E65F26">
      <w:pPr>
        <w:pStyle w:val="ESch"/>
      </w:pPr>
      <w:r>
        <w:t>3.</w:t>
      </w:r>
      <w:r>
        <w:tab/>
        <w:t>I giubbotti di salvataggio devono essere controllati conformemente alle istruzioni del costruttore.</w:t>
      </w:r>
    </w:p>
    <w:p w:rsidR="00E65F26" w:rsidRPr="00C903F8" w:rsidRDefault="00E65F26" w:rsidP="00E65F26">
      <w:pPr>
        <w:pStyle w:val="ESch"/>
      </w:pPr>
    </w:p>
    <w:p w:rsidR="00AD0BF7" w:rsidRPr="00C903F8" w:rsidRDefault="00AD0BF7" w:rsidP="00E65F26">
      <w:pPr>
        <w:pStyle w:val="ESch"/>
      </w:pPr>
    </w:p>
    <w:p w:rsidR="00AD0BF7" w:rsidRPr="00C903F8" w:rsidRDefault="00B51D33" w:rsidP="00E65F26">
      <w:pPr>
        <w:pStyle w:val="ESch"/>
      </w:pPr>
      <w:r>
        <w:br w:type="page"/>
      </w:r>
    </w:p>
    <w:p w:rsidR="005144F5" w:rsidRPr="00C903F8" w:rsidRDefault="00F06174" w:rsidP="00F6371D">
      <w:pPr>
        <w:pStyle w:val="ES-Titre2"/>
      </w:pPr>
      <w:bookmarkStart w:id="226" w:name="_Toc491854110"/>
      <w:bookmarkStart w:id="227" w:name="_Toc535500059"/>
      <w:r>
        <w:lastRenderedPageBreak/>
        <w:t>Capo 14</w:t>
      </w:r>
      <w:r>
        <w:br/>
        <w:t>Sicurezza sul posto di lavoro</w:t>
      </w:r>
      <w:bookmarkEnd w:id="226"/>
      <w:bookmarkEnd w:id="227"/>
    </w:p>
    <w:p w:rsidR="005144F5" w:rsidRPr="00C903F8" w:rsidRDefault="005144F5" w:rsidP="005144F5"/>
    <w:p w:rsidR="00F06174" w:rsidRPr="00C903F8" w:rsidRDefault="00F06174" w:rsidP="00DE69C7">
      <w:pPr>
        <w:pStyle w:val="ES-Titre3"/>
      </w:pPr>
      <w:bookmarkStart w:id="228" w:name="_Toc491854111"/>
      <w:bookmarkStart w:id="229" w:name="_Toc535500060"/>
      <w:r>
        <w:t>Articolo 14.01</w:t>
      </w:r>
      <w:r>
        <w:br/>
      </w:r>
      <w:r>
        <w:rPr>
          <w:i/>
          <w:noProof/>
        </w:rPr>
        <w:t>Aspetti generali</w:t>
      </w:r>
      <w:bookmarkEnd w:id="228"/>
      <w:bookmarkEnd w:id="229"/>
    </w:p>
    <w:p w:rsidR="00725D4A" w:rsidRPr="00C903F8" w:rsidRDefault="00725D4A" w:rsidP="00F06174">
      <w:pPr>
        <w:rPr>
          <w:rFonts w:cs="Arial"/>
          <w:noProof/>
          <w:szCs w:val="20"/>
        </w:rPr>
      </w:pPr>
    </w:p>
    <w:p w:rsidR="00F06174" w:rsidRPr="00C903F8" w:rsidRDefault="00F06174" w:rsidP="00725D4A">
      <w:pPr>
        <w:pStyle w:val="ESch"/>
        <w:rPr>
          <w:noProof/>
        </w:rPr>
      </w:pPr>
      <w:r>
        <w:t>1.</w:t>
      </w:r>
      <w:r>
        <w:tab/>
        <w:t xml:space="preserve">Le navi sono costruite, sistemate ed equipaggiate in modo che le persone a bordo possano lavorare e utilizzare le zone di passaggio in condizioni di sicurezza. </w:t>
      </w:r>
    </w:p>
    <w:p w:rsidR="00DE69C7" w:rsidRPr="00C903F8" w:rsidRDefault="00DE69C7" w:rsidP="00725D4A">
      <w:pPr>
        <w:pStyle w:val="ESch"/>
        <w:rPr>
          <w:noProof/>
        </w:rPr>
      </w:pPr>
    </w:p>
    <w:p w:rsidR="00F06174" w:rsidRPr="00C903F8" w:rsidRDefault="00F06174" w:rsidP="00725D4A">
      <w:pPr>
        <w:pStyle w:val="ESch"/>
        <w:rPr>
          <w:noProof/>
        </w:rPr>
      </w:pPr>
      <w:r>
        <w:t>2.</w:t>
      </w:r>
      <w:r>
        <w:tab/>
        <w:t xml:space="preserve">Gli impianti fissi necessari per il lavoro a bordo sono attrezzati, disposti e fissati in modo da rendere sicure e agevoli le manovre, l'impiego e la manutenzione. Se necessario, le parti mobili o sottoposte a temperatura elevata sono dotate di dispositivi di protezione. </w:t>
      </w:r>
    </w:p>
    <w:p w:rsidR="00F06174" w:rsidRPr="00C903F8" w:rsidRDefault="00F06174" w:rsidP="00725D4A">
      <w:pPr>
        <w:pStyle w:val="ESch"/>
      </w:pPr>
    </w:p>
    <w:p w:rsidR="00DE69C7" w:rsidRPr="00C903F8" w:rsidRDefault="00DE69C7" w:rsidP="00F06174">
      <w:pPr>
        <w:rPr>
          <w:rFonts w:cs="Arial"/>
          <w:szCs w:val="20"/>
        </w:rPr>
      </w:pPr>
    </w:p>
    <w:p w:rsidR="00F06174" w:rsidRPr="00C903F8" w:rsidRDefault="00F06174" w:rsidP="00DE69C7">
      <w:pPr>
        <w:pStyle w:val="ES-Titre3"/>
        <w:rPr>
          <w:i/>
        </w:rPr>
      </w:pPr>
      <w:bookmarkStart w:id="230" w:name="_Toc491854112"/>
      <w:bookmarkStart w:id="231" w:name="_Toc535500061"/>
      <w:r>
        <w:t>Articolo 14.02</w:t>
      </w:r>
      <w:r>
        <w:br/>
      </w:r>
      <w:r>
        <w:rPr>
          <w:i/>
          <w:noProof/>
        </w:rPr>
        <w:t>Protezione contro le cadute</w:t>
      </w:r>
      <w:bookmarkEnd w:id="230"/>
      <w:bookmarkEnd w:id="231"/>
    </w:p>
    <w:p w:rsidR="00DE69C7" w:rsidRPr="00C903F8" w:rsidRDefault="00DE69C7" w:rsidP="00F06174">
      <w:pPr>
        <w:rPr>
          <w:rFonts w:cs="Arial"/>
          <w:noProof/>
          <w:szCs w:val="20"/>
        </w:rPr>
      </w:pPr>
    </w:p>
    <w:p w:rsidR="00F06174" w:rsidRPr="00C903F8" w:rsidRDefault="00F06174" w:rsidP="00725D4A">
      <w:pPr>
        <w:pStyle w:val="ESch"/>
      </w:pPr>
      <w:r>
        <w:t>1.</w:t>
      </w:r>
      <w:r>
        <w:tab/>
        <w:t>I ponti e i ponti laterali sono piatti e non presentano punti d'inciampo; deve essere preclusa la formazione di qualsiasi concentrazione d'acqua.</w:t>
      </w:r>
    </w:p>
    <w:p w:rsidR="00DE69C7" w:rsidRPr="00C903F8" w:rsidRDefault="00DE69C7" w:rsidP="00725D4A">
      <w:pPr>
        <w:pStyle w:val="ESch"/>
        <w:rPr>
          <w:noProof/>
        </w:rPr>
      </w:pPr>
    </w:p>
    <w:p w:rsidR="00F06174" w:rsidRPr="002614C4" w:rsidRDefault="00F06174" w:rsidP="00725D4A">
      <w:pPr>
        <w:pStyle w:val="ESch"/>
        <w:rPr>
          <w:noProof/>
        </w:rPr>
      </w:pPr>
      <w:r>
        <w:t>2.</w:t>
      </w:r>
      <w:r>
        <w:tab/>
        <w:t>I ponti, i ponti laterali, i pavimenti delle sale macchine, i pianerottoli, le scale e la parte superiore delle bitte dei ponti laterali sono antisdrucciolo.</w:t>
      </w:r>
    </w:p>
    <w:p w:rsidR="00DE69C7" w:rsidRPr="002614C4" w:rsidRDefault="00DE69C7" w:rsidP="00725D4A">
      <w:pPr>
        <w:pStyle w:val="ESch"/>
        <w:rPr>
          <w:noProof/>
        </w:rPr>
      </w:pPr>
    </w:p>
    <w:p w:rsidR="00F06174" w:rsidRPr="002614C4" w:rsidRDefault="00F06174" w:rsidP="00725D4A">
      <w:pPr>
        <w:pStyle w:val="ESch"/>
      </w:pPr>
      <w:r>
        <w:t>3.</w:t>
      </w:r>
      <w:r>
        <w:tab/>
        <w:t>La parte superiore delle bitte dei ponti laterali e gli ostacoli nelle zone di passaggio, come i bordi dei gradini delle scale, sono segnalati con una vernice di colore contrastante rispetto al pavimento circostante.</w:t>
      </w:r>
    </w:p>
    <w:p w:rsidR="00DE69C7" w:rsidRPr="002614C4" w:rsidRDefault="00DE69C7" w:rsidP="00725D4A">
      <w:pPr>
        <w:pStyle w:val="ESch"/>
        <w:rPr>
          <w:noProof/>
        </w:rPr>
      </w:pPr>
    </w:p>
    <w:p w:rsidR="00F06174" w:rsidRPr="00C903F8" w:rsidRDefault="00F06174" w:rsidP="00725D4A">
      <w:pPr>
        <w:pStyle w:val="ESch"/>
      </w:pPr>
      <w:r>
        <w:t>4.</w:t>
      </w:r>
      <w:r>
        <w:tab/>
        <w:t xml:space="preserve">I bordi esterni dei ponti e dei ponti laterali, nonché i </w:t>
      </w:r>
      <w:r>
        <w:rPr>
          <w:color w:val="000000"/>
        </w:rPr>
        <w:t>posti di lavoro che presentano un rischio di caduta da più di 1 m, sono provvisti di impavesate o di mastre di un'altezza minima di 0,90 m o di un parapetto continuo in conformità alla norma europea EN 711:</w:t>
      </w:r>
      <w:r>
        <w:t>2016. Quando i parapetti dal lato mare non sono fissi,</w:t>
      </w:r>
    </w:p>
    <w:p w:rsidR="00F06174" w:rsidRPr="00C903F8" w:rsidRDefault="005C7859" w:rsidP="00725D4A">
      <w:pPr>
        <w:pStyle w:val="ESlet"/>
      </w:pPr>
      <w:r>
        <w:t>a)</w:t>
      </w:r>
      <w:r>
        <w:tab/>
        <w:t>viene inoltre assicurato un corrimano continuo da 0,02 a 0,04 m di diametro alla mastra a un'altezza da 0,7 a 1,1 m; e</w:t>
      </w:r>
    </w:p>
    <w:p w:rsidR="00F06174" w:rsidRPr="00C903F8" w:rsidRDefault="005C7859" w:rsidP="00725D4A">
      <w:pPr>
        <w:pStyle w:val="ESlet"/>
      </w:pPr>
      <w:r>
        <w:t>b)</w:t>
      </w:r>
      <w:r>
        <w:tab/>
        <w:t>nel punto in cui inizia il ponte laterale vengono apposti segnali, in posizioni dove siano chiaramente visibili, di almeno 15 cm di diametro, in conformità dell'allegato 4, figura 10.</w:t>
      </w:r>
    </w:p>
    <w:p w:rsidR="00F06174" w:rsidRPr="00C903F8" w:rsidRDefault="00F06174" w:rsidP="00DE69C7">
      <w:pPr>
        <w:ind w:left="0" w:firstLine="0"/>
        <w:rPr>
          <w:rFonts w:cs="Arial"/>
          <w:szCs w:val="20"/>
        </w:rPr>
      </w:pPr>
    </w:p>
    <w:p w:rsidR="00F06174" w:rsidRPr="00C903F8" w:rsidRDefault="00F06174" w:rsidP="00725D4A">
      <w:pPr>
        <w:pStyle w:val="ESch"/>
      </w:pPr>
      <w:r>
        <w:t>5.</w:t>
      </w:r>
      <w:r>
        <w:tab/>
        <w:t>In deroga al paragrafo 4, nel caso di chiatte e barconi privi di locali, non sono necessari impavesate o parapetti quando:</w:t>
      </w:r>
    </w:p>
    <w:p w:rsidR="00F06174" w:rsidRPr="00C903F8" w:rsidRDefault="005C7859" w:rsidP="00725D4A">
      <w:pPr>
        <w:pStyle w:val="ESlet"/>
      </w:pPr>
      <w:r>
        <w:t>a)</w:t>
      </w:r>
      <w:r>
        <w:tab/>
        <w:t>In deroga al paragrafo 4, nel caso di navi con ponte liscio o ponte a cassa, non è richiesto che vengano fissati parapetti direttamente sul bordo esterno dei ponti o dei ponti laterali, quando:</w:t>
      </w:r>
    </w:p>
    <w:p w:rsidR="00F06174" w:rsidRPr="00C903F8" w:rsidRDefault="005C7859" w:rsidP="00725D4A">
      <w:pPr>
        <w:pStyle w:val="ESlet"/>
      </w:pPr>
      <w:r>
        <w:t>b)</w:t>
      </w:r>
      <w:r>
        <w:tab/>
        <w:t>sono stati fissati dei corrimano alle mastre a norma del paragrafo 4, lettera a); e</w:t>
      </w:r>
    </w:p>
    <w:p w:rsidR="00F06174" w:rsidRPr="00C903F8" w:rsidRDefault="005C7859" w:rsidP="00725D4A">
      <w:pPr>
        <w:pStyle w:val="ESlet"/>
      </w:pPr>
      <w:r>
        <w:t>c)</w:t>
      </w:r>
      <w:r>
        <w:tab/>
        <w:t>sul ponte siano stati apposti segnali, in posizioni chiaramente visibili, di almeno 15 cm di diametro, in conformità dell'allegato 4, figura 10.</w:t>
      </w:r>
    </w:p>
    <w:p w:rsidR="00DE69C7" w:rsidRPr="00C903F8" w:rsidRDefault="00DE69C7" w:rsidP="00F06174">
      <w:pPr>
        <w:rPr>
          <w:rFonts w:cs="Arial"/>
          <w:szCs w:val="20"/>
        </w:rPr>
      </w:pPr>
    </w:p>
    <w:p w:rsidR="00F06174" w:rsidRPr="00C903F8" w:rsidRDefault="00F06174" w:rsidP="00725D4A">
      <w:pPr>
        <w:pStyle w:val="ESch"/>
      </w:pPr>
      <w:r>
        <w:t>6.</w:t>
      </w:r>
      <w:r>
        <w:tab/>
        <w:t>In deroga al paragrafo 4, nel caso di navi con ponte liscio o ponte a cassa, non è richiesto che vengano fissati parapetti direttamente sul bordo esterno dei ponti o dei ponti laterali, quando:</w:t>
      </w:r>
    </w:p>
    <w:p w:rsidR="00F06174" w:rsidRPr="00C903F8" w:rsidRDefault="005C7859" w:rsidP="00725D4A">
      <w:pPr>
        <w:pStyle w:val="ESlet"/>
      </w:pPr>
      <w:r>
        <w:t>a)</w:t>
      </w:r>
      <w:r>
        <w:tab/>
        <w:t>le zone di passaggio si sviluppano sopra tali ponti;</w:t>
      </w:r>
    </w:p>
    <w:p w:rsidR="00F06174" w:rsidRPr="00C903F8" w:rsidRDefault="00725D4A" w:rsidP="00725D4A">
      <w:pPr>
        <w:pStyle w:val="ESlet"/>
      </w:pPr>
      <w:r>
        <w:br w:type="page"/>
      </w:r>
      <w:r>
        <w:lastRenderedPageBreak/>
        <w:t>b)</w:t>
      </w:r>
      <w:r>
        <w:tab/>
      </w:r>
      <w:r>
        <w:rPr>
          <w:rFonts w:ascii="ArialMT" w:hAnsi="ArialMT"/>
        </w:rPr>
        <w:t>le zona di passaggio e i posti di lavoro su tali ponti sono circondati da parapetti fissi secondo la norma EN 711:2016; e</w:t>
      </w:r>
    </w:p>
    <w:p w:rsidR="00F06174" w:rsidRPr="00C903F8" w:rsidRDefault="00F06174" w:rsidP="00725D4A">
      <w:pPr>
        <w:pStyle w:val="ESlet"/>
      </w:pPr>
      <w:r>
        <w:t>c)</w:t>
      </w:r>
      <w:r>
        <w:tab/>
        <w:t>in conformità dell'allegato 4, figura 10, sono stati apposti segnali, di almeno 15 cm di diametro, in posizioni chiaramente visibili, nei punti di passaggio verso le aree non protette dai parapetti.</w:t>
      </w:r>
    </w:p>
    <w:p w:rsidR="00DE69C7" w:rsidRPr="00C903F8" w:rsidRDefault="00DE69C7" w:rsidP="00F06174">
      <w:pPr>
        <w:rPr>
          <w:rFonts w:cs="Arial"/>
          <w:noProof/>
          <w:szCs w:val="20"/>
        </w:rPr>
      </w:pPr>
    </w:p>
    <w:p w:rsidR="00F06174" w:rsidRPr="00C903F8" w:rsidRDefault="00F06174" w:rsidP="00725D4A">
      <w:pPr>
        <w:pStyle w:val="ESch"/>
      </w:pPr>
      <w:r>
        <w:t>7.</w:t>
      </w:r>
      <w:r>
        <w:tab/>
        <w:t>Per i posti di lavoro che presentano un rischio di caduta da più di 1 m la commissione di ispezione può esigere adeguate apparecchiature e attrezzature per garantire condizioni di lavoro sicure.</w:t>
      </w:r>
    </w:p>
    <w:p w:rsidR="00F06174" w:rsidRPr="00C903F8" w:rsidRDefault="00F06174" w:rsidP="00F06174">
      <w:pPr>
        <w:rPr>
          <w:rFonts w:cs="Arial"/>
          <w:szCs w:val="20"/>
        </w:rPr>
      </w:pPr>
    </w:p>
    <w:p w:rsidR="00F06174" w:rsidRPr="00C903F8" w:rsidRDefault="00F06174" w:rsidP="00F06174">
      <w:pPr>
        <w:rPr>
          <w:rFonts w:cs="Arial"/>
          <w:szCs w:val="20"/>
        </w:rPr>
      </w:pPr>
    </w:p>
    <w:p w:rsidR="00F06174" w:rsidRPr="00C903F8" w:rsidRDefault="00F06174" w:rsidP="00DE69C7">
      <w:pPr>
        <w:pStyle w:val="ES-Titre3"/>
      </w:pPr>
      <w:bookmarkStart w:id="232" w:name="_Toc491854113"/>
      <w:bookmarkStart w:id="233" w:name="_Toc535500062"/>
      <w:r>
        <w:t>Articolo 14.03</w:t>
      </w:r>
      <w:r>
        <w:br/>
      </w:r>
      <w:r>
        <w:rPr>
          <w:i/>
          <w:noProof/>
        </w:rPr>
        <w:t>Dimensioni dei posti di lavoro</w:t>
      </w:r>
      <w:bookmarkEnd w:id="232"/>
      <w:bookmarkEnd w:id="233"/>
    </w:p>
    <w:p w:rsidR="00DE69C7" w:rsidRPr="00C903F8" w:rsidRDefault="00DE69C7" w:rsidP="00DE69C7">
      <w:pPr>
        <w:ind w:left="0" w:firstLine="0"/>
        <w:rPr>
          <w:rFonts w:cs="Arial"/>
          <w:noProof/>
          <w:szCs w:val="20"/>
        </w:rPr>
      </w:pPr>
    </w:p>
    <w:p w:rsidR="00F06174" w:rsidRPr="00C903F8" w:rsidRDefault="00F06174" w:rsidP="00725D4A">
      <w:pPr>
        <w:pStyle w:val="ESgauche"/>
      </w:pPr>
      <w:r>
        <w:t>I posti di lavoro hanno dimensioni tali da garantire a ogni membro dell'equipaggio che vi presta servizio una libertà di movimento sufficiente.</w:t>
      </w:r>
    </w:p>
    <w:p w:rsidR="00F06174" w:rsidRPr="00C903F8" w:rsidRDefault="00F06174" w:rsidP="00F06174">
      <w:pPr>
        <w:rPr>
          <w:rFonts w:cs="Arial"/>
          <w:szCs w:val="20"/>
        </w:rPr>
      </w:pPr>
    </w:p>
    <w:p w:rsidR="00DE69C7" w:rsidRPr="00C903F8" w:rsidRDefault="00DE69C7" w:rsidP="00F06174">
      <w:pPr>
        <w:rPr>
          <w:rFonts w:cs="Arial"/>
          <w:szCs w:val="20"/>
        </w:rPr>
      </w:pPr>
    </w:p>
    <w:p w:rsidR="00F06174" w:rsidRPr="00C903F8" w:rsidRDefault="00F06174" w:rsidP="00DE69C7">
      <w:pPr>
        <w:pStyle w:val="ES-Titre3"/>
        <w:rPr>
          <w:sz w:val="20"/>
        </w:rPr>
      </w:pPr>
      <w:bookmarkStart w:id="234" w:name="_Toc491854114"/>
      <w:bookmarkStart w:id="235" w:name="_Toc535500063"/>
      <w:r>
        <w:t>Articolo 14.04</w:t>
      </w:r>
      <w:r>
        <w:br/>
      </w:r>
      <w:r>
        <w:rPr>
          <w:i/>
          <w:noProof/>
        </w:rPr>
        <w:t>Ponti laterali</w:t>
      </w:r>
      <w:bookmarkEnd w:id="234"/>
      <w:bookmarkEnd w:id="235"/>
    </w:p>
    <w:p w:rsidR="00DE69C7" w:rsidRPr="00C903F8" w:rsidRDefault="00DE69C7" w:rsidP="00F06174">
      <w:pPr>
        <w:rPr>
          <w:rFonts w:cs="Arial"/>
          <w:noProof/>
          <w:szCs w:val="20"/>
        </w:rPr>
      </w:pPr>
    </w:p>
    <w:p w:rsidR="00F06174" w:rsidRPr="00C903F8" w:rsidRDefault="00F06174" w:rsidP="00725D4A">
      <w:pPr>
        <w:pStyle w:val="ESch"/>
      </w:pPr>
      <w:r>
        <w:t xml:space="preserve">1. </w:t>
      </w:r>
      <w:r>
        <w:tab/>
        <w:t>L'ampiezza libera di un ponte laterale è di almeno 0,60 m. Tale dimensione può essere ridotta a 0,50 m in alcuni punti attrezzati per garantire la gestione della nave, come le valvole per il lavaggio del ponte. In corrispondenza di bitte e gallocce può essere ridotta fino a 0,40 m.</w:t>
      </w:r>
    </w:p>
    <w:p w:rsidR="00DE69C7" w:rsidRPr="00C903F8" w:rsidRDefault="00DE69C7" w:rsidP="00725D4A">
      <w:pPr>
        <w:pStyle w:val="ESch"/>
        <w:rPr>
          <w:noProof/>
        </w:rPr>
      </w:pPr>
    </w:p>
    <w:p w:rsidR="00F06174" w:rsidRPr="00C903F8" w:rsidRDefault="00F06174" w:rsidP="00725D4A">
      <w:pPr>
        <w:pStyle w:val="ESch"/>
      </w:pPr>
      <w:r>
        <w:t>2.</w:t>
      </w:r>
      <w:r>
        <w:tab/>
        <w:t>Fino a un’altezza di 0,90 m sopra il ponte laterale, l’ampiezza libera del ponte laterale può essere ridotta fino a 0,50 m a condizione che, al di sopra, l’ampiezza libera fra il bordo esterno dello scafo e il bordo interno della stiva sia di almeno 0,65 m.</w:t>
      </w:r>
    </w:p>
    <w:p w:rsidR="00DE69C7" w:rsidRPr="00C903F8" w:rsidRDefault="00DE69C7" w:rsidP="00725D4A">
      <w:pPr>
        <w:pStyle w:val="ESch"/>
        <w:rPr>
          <w:noProof/>
        </w:rPr>
      </w:pPr>
    </w:p>
    <w:p w:rsidR="00F06174" w:rsidRPr="00C903F8" w:rsidRDefault="00F06174" w:rsidP="00725D4A">
      <w:pPr>
        <w:pStyle w:val="ESch"/>
      </w:pPr>
      <w:r>
        <w:t xml:space="preserve">3. </w:t>
      </w:r>
      <w:r>
        <w:tab/>
        <w:t>I requisiti di cui ai paragrafi 1 e 2 sono applicabili fino a un'altezza di 2,00 m al di sopra del ponte laterale.</w:t>
      </w:r>
    </w:p>
    <w:p w:rsidR="00F06174" w:rsidRPr="00C903F8" w:rsidRDefault="00F06174" w:rsidP="00F06174">
      <w:pPr>
        <w:rPr>
          <w:rFonts w:cs="Arial"/>
          <w:szCs w:val="20"/>
        </w:rPr>
      </w:pPr>
    </w:p>
    <w:p w:rsidR="00F06174" w:rsidRPr="00C903F8" w:rsidRDefault="00F06174" w:rsidP="00F06174">
      <w:pPr>
        <w:rPr>
          <w:rFonts w:cs="Arial"/>
          <w:szCs w:val="20"/>
        </w:rPr>
      </w:pPr>
    </w:p>
    <w:p w:rsidR="00F06174" w:rsidRPr="00C903F8" w:rsidRDefault="00F06174" w:rsidP="00DE69C7">
      <w:pPr>
        <w:pStyle w:val="ES-Titre3"/>
        <w:rPr>
          <w:i/>
          <w:sz w:val="20"/>
        </w:rPr>
      </w:pPr>
      <w:bookmarkStart w:id="236" w:name="_Toc491854115"/>
      <w:bookmarkStart w:id="237" w:name="_Toc535500064"/>
      <w:r>
        <w:t>Articolo 14.05</w:t>
      </w:r>
      <w:r>
        <w:br/>
      </w:r>
      <w:r>
        <w:rPr>
          <w:i/>
          <w:noProof/>
        </w:rPr>
        <w:t>Accesso ai posti di lavoro</w:t>
      </w:r>
      <w:bookmarkEnd w:id="236"/>
      <w:bookmarkEnd w:id="237"/>
    </w:p>
    <w:p w:rsidR="00DE69C7" w:rsidRPr="00C903F8" w:rsidRDefault="00DE69C7" w:rsidP="00F06174">
      <w:pPr>
        <w:rPr>
          <w:rFonts w:cs="Arial"/>
          <w:noProof/>
          <w:szCs w:val="20"/>
        </w:rPr>
      </w:pPr>
    </w:p>
    <w:p w:rsidR="00F06174" w:rsidRPr="00C903F8" w:rsidRDefault="00F06174" w:rsidP="00725D4A">
      <w:pPr>
        <w:pStyle w:val="ESch"/>
      </w:pPr>
      <w:r>
        <w:t>1.</w:t>
      </w:r>
      <w:r>
        <w:tab/>
        <w:t>I passaggi, gli accessi e le zone di passaggio per la circolazione delle persone e dei carichi sono sistemati e proporzionati in modo tale che:</w:t>
      </w:r>
    </w:p>
    <w:p w:rsidR="00F06174" w:rsidRPr="00C903F8" w:rsidRDefault="005C7859" w:rsidP="00725D4A">
      <w:pPr>
        <w:pStyle w:val="ESlet"/>
      </w:pPr>
      <w:r>
        <w:t>a)</w:t>
      </w:r>
      <w:r>
        <w:tab/>
        <w:t>davanti all'apertura dell'accesso vi sia spazio sufficiente da non ostacolare i movimenti;</w:t>
      </w:r>
    </w:p>
    <w:p w:rsidR="00F06174" w:rsidRPr="00C903F8" w:rsidRDefault="005C7859" w:rsidP="00725D4A">
      <w:pPr>
        <w:pStyle w:val="ESlet"/>
      </w:pPr>
      <w:r>
        <w:t>b)</w:t>
      </w:r>
      <w:r>
        <w:tab/>
        <w:t>l'ampiezza libera della zona di passaggio sia commisurata alla destinazione del posto di lavoro e misuri almeno 0,60 m, salvo per le imbarcazioni di larghezza inferiore a 8 m, sui quali può essere ridotta a 0,50 m;</w:t>
      </w:r>
    </w:p>
    <w:p w:rsidR="00F06174" w:rsidRPr="00C903F8" w:rsidRDefault="005C7859" w:rsidP="00725D4A">
      <w:pPr>
        <w:pStyle w:val="ESlet"/>
      </w:pPr>
      <w:r>
        <w:t>c)</w:t>
      </w:r>
      <w:r>
        <w:tab/>
        <w:t>l'altezza libera della zona di passaggio, compresa la mastra, sia di almeno 1,90 m.</w:t>
      </w:r>
    </w:p>
    <w:p w:rsidR="00DE69C7" w:rsidRPr="00C903F8" w:rsidRDefault="00DE69C7" w:rsidP="00F06174">
      <w:pPr>
        <w:rPr>
          <w:rFonts w:cs="Arial"/>
          <w:noProof/>
          <w:szCs w:val="20"/>
        </w:rPr>
      </w:pPr>
    </w:p>
    <w:p w:rsidR="00F06174" w:rsidRPr="00C903F8" w:rsidRDefault="00F06174" w:rsidP="00725D4A">
      <w:pPr>
        <w:pStyle w:val="ESch"/>
      </w:pPr>
      <w:r>
        <w:t>2.</w:t>
      </w:r>
      <w:r>
        <w:tab/>
        <w:t>Le porte sono collocate in modo da potersi aprire e chiudere senza pericolo dalle due parti e sono protette contro la chiusura o l'apertura involontaria.</w:t>
      </w:r>
    </w:p>
    <w:p w:rsidR="00DE69C7" w:rsidRPr="00C903F8" w:rsidRDefault="00DE69C7" w:rsidP="00725D4A">
      <w:pPr>
        <w:pStyle w:val="ESch"/>
        <w:rPr>
          <w:noProof/>
        </w:rPr>
      </w:pPr>
    </w:p>
    <w:p w:rsidR="00101CB2" w:rsidRPr="00C903F8" w:rsidRDefault="00101CB2">
      <w:pPr>
        <w:autoSpaceDE/>
        <w:autoSpaceDN/>
        <w:ind w:left="0" w:firstLine="0"/>
        <w:jc w:val="left"/>
        <w:rPr>
          <w:noProof/>
        </w:rPr>
      </w:pPr>
      <w:r>
        <w:br w:type="page"/>
      </w:r>
    </w:p>
    <w:p w:rsidR="00F06174" w:rsidRPr="00C903F8" w:rsidRDefault="00F06174" w:rsidP="00725D4A">
      <w:pPr>
        <w:pStyle w:val="ESch"/>
      </w:pPr>
      <w:r>
        <w:lastRenderedPageBreak/>
        <w:t>3.</w:t>
      </w:r>
      <w:r>
        <w:tab/>
        <w:t>Sono predisposti scale, scalette o gradini adeguati se gli accessi, le uscite e le zone di passaggio presentano dislivelli superiori a 0,50 m.</w:t>
      </w:r>
    </w:p>
    <w:p w:rsidR="00DE69C7" w:rsidRPr="00C903F8" w:rsidRDefault="00DE69C7" w:rsidP="00725D4A">
      <w:pPr>
        <w:pStyle w:val="ESch"/>
        <w:rPr>
          <w:noProof/>
        </w:rPr>
      </w:pPr>
    </w:p>
    <w:p w:rsidR="00F06174" w:rsidRPr="00C903F8" w:rsidRDefault="00F06174" w:rsidP="00725D4A">
      <w:pPr>
        <w:pStyle w:val="ESch"/>
      </w:pPr>
      <w:r>
        <w:t>4.</w:t>
      </w:r>
      <w:r>
        <w:tab/>
        <w:t>Per i posti di lavoro occupati in permanenza sono predisposte scale se il dislivello è superiore a 1,00 m. Il presente requisito non si applica alle uscite di sicurezza.</w:t>
      </w:r>
    </w:p>
    <w:p w:rsidR="00DE69C7" w:rsidRPr="00C903F8" w:rsidRDefault="00DE69C7" w:rsidP="00725D4A">
      <w:pPr>
        <w:pStyle w:val="ESch"/>
        <w:rPr>
          <w:noProof/>
        </w:rPr>
      </w:pPr>
    </w:p>
    <w:p w:rsidR="00F06174" w:rsidRPr="00C903F8" w:rsidRDefault="00F06174" w:rsidP="00725D4A">
      <w:pPr>
        <w:pStyle w:val="ESch"/>
      </w:pPr>
      <w:r>
        <w:t>5.</w:t>
      </w:r>
      <w:r>
        <w:tab/>
        <w:t>A bordo delle navi dotate di stive è predisposto almeno un mezzo di accesso permanente alle due estremità di ciascuna stiva.</w:t>
      </w:r>
    </w:p>
    <w:p w:rsidR="00DE69C7" w:rsidRPr="00C903F8" w:rsidRDefault="00DE69C7" w:rsidP="00725D4A">
      <w:pPr>
        <w:pStyle w:val="ESch"/>
        <w:rPr>
          <w:noProof/>
        </w:rPr>
      </w:pPr>
    </w:p>
    <w:p w:rsidR="00F06174" w:rsidRPr="00C903F8" w:rsidRDefault="00F06174" w:rsidP="00725D4A">
      <w:pPr>
        <w:pStyle w:val="ESchpar"/>
      </w:pPr>
      <w:r>
        <w:t>In deroga al paragrafo 1, i mezzi di accesso permanenti non sono obbligatori se sono previste almeno due scalette mobili che oltrepassano di almeno 3 pioli la mastra del boccaporto, con un'inclinazione di 60°.</w:t>
      </w:r>
    </w:p>
    <w:p w:rsidR="00F06174" w:rsidRPr="00C903F8" w:rsidRDefault="00F06174" w:rsidP="00F06174">
      <w:pPr>
        <w:rPr>
          <w:rFonts w:cs="Arial"/>
          <w:szCs w:val="20"/>
        </w:rPr>
      </w:pPr>
    </w:p>
    <w:p w:rsidR="00725D4A" w:rsidRPr="00C903F8" w:rsidRDefault="00725D4A" w:rsidP="00F06174">
      <w:pPr>
        <w:rPr>
          <w:rFonts w:cs="Arial"/>
          <w:szCs w:val="20"/>
        </w:rPr>
      </w:pPr>
    </w:p>
    <w:p w:rsidR="00F06174" w:rsidRPr="00C903F8" w:rsidRDefault="00F06174" w:rsidP="00DE69C7">
      <w:pPr>
        <w:pStyle w:val="ES-Titre3"/>
        <w:rPr>
          <w:sz w:val="20"/>
        </w:rPr>
      </w:pPr>
      <w:bookmarkStart w:id="238" w:name="_Toc491854116"/>
      <w:bookmarkStart w:id="239" w:name="_Toc535500065"/>
      <w:r>
        <w:t>Articolo 14.06</w:t>
      </w:r>
      <w:r>
        <w:br/>
      </w:r>
      <w:r>
        <w:rPr>
          <w:i/>
          <w:noProof/>
        </w:rPr>
        <w:t>Uscite e uscite di sicurezza</w:t>
      </w:r>
      <w:bookmarkEnd w:id="238"/>
      <w:bookmarkEnd w:id="239"/>
    </w:p>
    <w:p w:rsidR="00DE69C7" w:rsidRPr="00C903F8" w:rsidRDefault="00DE69C7" w:rsidP="00F06174">
      <w:pPr>
        <w:rPr>
          <w:rFonts w:cs="Arial"/>
          <w:noProof/>
          <w:szCs w:val="20"/>
        </w:rPr>
      </w:pPr>
    </w:p>
    <w:p w:rsidR="00F06174" w:rsidRPr="00C903F8" w:rsidRDefault="00F06174" w:rsidP="00725D4A">
      <w:pPr>
        <w:pStyle w:val="ESch"/>
      </w:pPr>
      <w:r>
        <w:t>1.</w:t>
      </w:r>
      <w:r>
        <w:tab/>
        <w:t>Il numero, l'ubicazione e le dimensioni delle uscite, ivi comprese le uscite di sicurezza, sono commisurati alla destinazione e alle dimensioni dei locali. Quando una di queste uscite è un'uscita di sicurezza, è segnalata come tale in modo visibile.</w:t>
      </w:r>
    </w:p>
    <w:p w:rsidR="00DE69C7" w:rsidRPr="00C903F8" w:rsidRDefault="00DE69C7" w:rsidP="00725D4A">
      <w:pPr>
        <w:pStyle w:val="ESch"/>
        <w:rPr>
          <w:noProof/>
        </w:rPr>
      </w:pPr>
    </w:p>
    <w:p w:rsidR="00F06174" w:rsidRPr="00C903F8" w:rsidRDefault="00F06174" w:rsidP="00725D4A">
      <w:pPr>
        <w:pStyle w:val="ESch"/>
      </w:pPr>
      <w:r>
        <w:t>2.</w:t>
      </w:r>
      <w:r>
        <w:tab/>
        <w:t>Le uscite di sicurezza o le finestre o i portelli d'osteriggio che servono da uscita di sicurezza hanno un'apertura libera di almeno 0,36 m</w:t>
      </w:r>
      <w:r>
        <w:rPr>
          <w:noProof/>
          <w:vertAlign w:val="superscript"/>
        </w:rPr>
        <w:t>2</w:t>
      </w:r>
      <w:r>
        <w:t>, con il lato minore non inferiore a 0,50 m.</w:t>
      </w:r>
    </w:p>
    <w:p w:rsidR="00F06174" w:rsidRPr="00C903F8" w:rsidRDefault="00F06174" w:rsidP="00F06174">
      <w:pPr>
        <w:rPr>
          <w:rFonts w:cs="Arial"/>
          <w:szCs w:val="20"/>
        </w:rPr>
      </w:pPr>
    </w:p>
    <w:p w:rsidR="00F06174" w:rsidRPr="00C903F8" w:rsidRDefault="00F06174" w:rsidP="00DE69C7">
      <w:pPr>
        <w:pStyle w:val="ES-Titre3"/>
        <w:rPr>
          <w:sz w:val="20"/>
        </w:rPr>
      </w:pPr>
      <w:bookmarkStart w:id="240" w:name="_Toc491854117"/>
      <w:bookmarkStart w:id="241" w:name="_Toc535500066"/>
      <w:r>
        <w:t>Articolo 14.07</w:t>
      </w:r>
      <w:r>
        <w:br/>
      </w:r>
      <w:r>
        <w:rPr>
          <w:i/>
          <w:noProof/>
        </w:rPr>
        <w:t>Dispositivi di salita</w:t>
      </w:r>
      <w:bookmarkEnd w:id="240"/>
      <w:bookmarkEnd w:id="241"/>
    </w:p>
    <w:p w:rsidR="00DE69C7" w:rsidRPr="00C903F8" w:rsidRDefault="00DE69C7" w:rsidP="00F06174">
      <w:pPr>
        <w:rPr>
          <w:rFonts w:cs="Arial"/>
          <w:noProof/>
          <w:szCs w:val="20"/>
        </w:rPr>
      </w:pPr>
    </w:p>
    <w:p w:rsidR="00F06174" w:rsidRPr="00C903F8" w:rsidRDefault="00F06174" w:rsidP="00725D4A">
      <w:pPr>
        <w:pStyle w:val="ESch"/>
      </w:pPr>
      <w:r>
        <w:t>1.</w:t>
      </w:r>
      <w:r>
        <w:tab/>
        <w:t>Le scale e le scalette sono fissate in modo sicuro. La larghezza delle scale e l'ampiezza libera fra i corrimano è di almeno 0,60 m; la pedata dei gradini non è inferiore a 0,15 m; la loro superficie è antisdrucciolo; le scale con più di tre gradini sono provviste di corrimano.</w:t>
      </w:r>
    </w:p>
    <w:p w:rsidR="00DE69C7" w:rsidRPr="00C903F8" w:rsidRDefault="00DE69C7" w:rsidP="00725D4A">
      <w:pPr>
        <w:pStyle w:val="ESch"/>
        <w:rPr>
          <w:noProof/>
        </w:rPr>
      </w:pPr>
    </w:p>
    <w:p w:rsidR="00F06174" w:rsidRPr="00C903F8" w:rsidRDefault="00F06174" w:rsidP="00725D4A">
      <w:pPr>
        <w:pStyle w:val="ESch"/>
      </w:pPr>
      <w:r>
        <w:t>2.</w:t>
      </w:r>
      <w:r>
        <w:tab/>
        <w:t>Le scalette e i pioli fissi hanno un'ampiezza libera non inferiore a 0,30 m; la distanza fra due pioli non è superiore a 0,30 m; la distanza dei pioli fissi dalle strutture non è inferiore a 0,15 m.</w:t>
      </w:r>
    </w:p>
    <w:p w:rsidR="00DE69C7" w:rsidRPr="00C903F8" w:rsidRDefault="00DE69C7" w:rsidP="00725D4A">
      <w:pPr>
        <w:pStyle w:val="ESch"/>
        <w:rPr>
          <w:noProof/>
        </w:rPr>
      </w:pPr>
    </w:p>
    <w:p w:rsidR="00F06174" w:rsidRPr="00C903F8" w:rsidRDefault="00CD654F" w:rsidP="00725D4A">
      <w:pPr>
        <w:pStyle w:val="ESch"/>
      </w:pPr>
      <w:r>
        <w:t>3.</w:t>
      </w:r>
      <w:r>
        <w:tab/>
        <w:t>Le scalette e i pioli fissi sono chiaramente riconoscibili dall'alto e sono provvisti di maniglie di ritegno al di sopra delle aperture d'uscita.</w:t>
      </w:r>
    </w:p>
    <w:p w:rsidR="00DE69C7" w:rsidRPr="00C903F8" w:rsidRDefault="00DE69C7" w:rsidP="00725D4A">
      <w:pPr>
        <w:pStyle w:val="ESch"/>
        <w:rPr>
          <w:noProof/>
        </w:rPr>
      </w:pPr>
    </w:p>
    <w:p w:rsidR="00F06174" w:rsidRPr="00C903F8" w:rsidRDefault="00F06174" w:rsidP="00725D4A">
      <w:pPr>
        <w:pStyle w:val="ESch"/>
      </w:pPr>
      <w:r>
        <w:t>4.</w:t>
      </w:r>
      <w:r>
        <w:tab/>
        <w:t>Le scalette mobili hanno una larghezza minima di 0,40 m e di 0,50 m alla base e sono protette contro il pericolo di ribaltamento e di scivolamento; i pioli sono saldamente fissati ai montanti.</w:t>
      </w:r>
    </w:p>
    <w:p w:rsidR="00F06174" w:rsidRPr="00C903F8" w:rsidRDefault="00F06174" w:rsidP="00F06174">
      <w:pPr>
        <w:rPr>
          <w:rFonts w:cs="Arial"/>
          <w:szCs w:val="20"/>
        </w:rPr>
      </w:pPr>
    </w:p>
    <w:p w:rsidR="00DE69C7" w:rsidRPr="00C903F8" w:rsidRDefault="00DE69C7" w:rsidP="00F06174">
      <w:pPr>
        <w:rPr>
          <w:rFonts w:cs="Arial"/>
          <w:szCs w:val="20"/>
        </w:rPr>
      </w:pPr>
    </w:p>
    <w:p w:rsidR="00F06174" w:rsidRPr="00C903F8" w:rsidRDefault="00F06174" w:rsidP="00DE69C7">
      <w:pPr>
        <w:pStyle w:val="ES-Titre3"/>
      </w:pPr>
      <w:bookmarkStart w:id="242" w:name="_Toc491854118"/>
      <w:bookmarkStart w:id="243" w:name="_Toc535500067"/>
      <w:r>
        <w:t>Articolo 14.08</w:t>
      </w:r>
      <w:r>
        <w:br/>
      </w:r>
      <w:r>
        <w:rPr>
          <w:i/>
        </w:rPr>
        <w:t>Locali interni</w:t>
      </w:r>
      <w:bookmarkEnd w:id="242"/>
      <w:bookmarkEnd w:id="243"/>
    </w:p>
    <w:p w:rsidR="00DE69C7" w:rsidRPr="00C903F8" w:rsidRDefault="00DE69C7" w:rsidP="00F06174">
      <w:pPr>
        <w:rPr>
          <w:rFonts w:cs="Arial"/>
          <w:noProof/>
          <w:szCs w:val="20"/>
        </w:rPr>
      </w:pPr>
    </w:p>
    <w:p w:rsidR="00F06174" w:rsidRPr="00C903F8" w:rsidRDefault="00F06174" w:rsidP="00725D4A">
      <w:pPr>
        <w:pStyle w:val="ESch"/>
      </w:pPr>
      <w:r>
        <w:t>1.</w:t>
      </w:r>
      <w:r>
        <w:tab/>
        <w:t>Le dimensioni, la sistemazione e la disposizione dei posti di lavoro all'interno della nave sono adatte ai lavori da svolgere e soddisfano i requisiti in materia di igiene e di sicurezza. Tali posti sono dotati di un'illuminazione sufficiente e antiabbagliante e sono sufficientemente ventilati. Se necessario, sono provvisti di impianti di riscaldamento che garantiscano una temperatura adeguata.</w:t>
      </w:r>
    </w:p>
    <w:p w:rsidR="00DE69C7" w:rsidRPr="00C903F8" w:rsidRDefault="00DE69C7" w:rsidP="00725D4A">
      <w:pPr>
        <w:pStyle w:val="ESch"/>
        <w:rPr>
          <w:noProof/>
        </w:rPr>
      </w:pPr>
    </w:p>
    <w:p w:rsidR="00725D4A" w:rsidRPr="00C903F8" w:rsidRDefault="00725D4A" w:rsidP="00725D4A">
      <w:pPr>
        <w:pStyle w:val="ESch"/>
        <w:rPr>
          <w:noProof/>
        </w:rPr>
      </w:pPr>
      <w:r>
        <w:br w:type="page"/>
      </w:r>
    </w:p>
    <w:p w:rsidR="00F06174" w:rsidRPr="00C903F8" w:rsidRDefault="00F06174" w:rsidP="00725D4A">
      <w:pPr>
        <w:pStyle w:val="ESch"/>
      </w:pPr>
      <w:r>
        <w:lastRenderedPageBreak/>
        <w:t>2.</w:t>
      </w:r>
      <w:r>
        <w:tab/>
        <w:t>Il pavimento dei posti di lavoro all'interno della nave è di fattura solida e durevole, antisdrucciolo e privo di punti d'inciampo. Le aperture nei ponti o nei pavimenti, in posizione aperta, sono fissate in modo da non poter cadere; le finestre e gli osteriggi sono disposti e sistemati in modo da poter essere manovrati e puliti senza rischi.</w:t>
      </w:r>
    </w:p>
    <w:p w:rsidR="00F06174" w:rsidRPr="00C903F8" w:rsidRDefault="00F06174" w:rsidP="00F06174">
      <w:pPr>
        <w:rPr>
          <w:rFonts w:cs="Arial"/>
          <w:szCs w:val="20"/>
        </w:rPr>
      </w:pPr>
    </w:p>
    <w:p w:rsidR="00DE69C7" w:rsidRPr="00C903F8" w:rsidRDefault="00DE69C7" w:rsidP="00F06174">
      <w:pPr>
        <w:rPr>
          <w:rFonts w:cs="Arial"/>
          <w:szCs w:val="20"/>
        </w:rPr>
      </w:pPr>
    </w:p>
    <w:p w:rsidR="00F06174" w:rsidRPr="00C903F8" w:rsidRDefault="00F06174" w:rsidP="00DE69C7">
      <w:pPr>
        <w:pStyle w:val="ES-Titre3"/>
      </w:pPr>
      <w:bookmarkStart w:id="244" w:name="_Toc491854119"/>
      <w:bookmarkStart w:id="245" w:name="_Toc535500068"/>
      <w:r>
        <w:t>Articolo 14.09</w:t>
      </w:r>
      <w:r>
        <w:br/>
      </w:r>
      <w:r>
        <w:rPr>
          <w:i/>
        </w:rPr>
        <w:t>Protezione contro il rumore e le vibrazioni</w:t>
      </w:r>
      <w:bookmarkEnd w:id="244"/>
      <w:bookmarkEnd w:id="245"/>
    </w:p>
    <w:p w:rsidR="00DE69C7" w:rsidRPr="00C903F8" w:rsidRDefault="00DE69C7" w:rsidP="00F06174">
      <w:pPr>
        <w:rPr>
          <w:rFonts w:cs="Arial"/>
          <w:szCs w:val="20"/>
        </w:rPr>
      </w:pPr>
    </w:p>
    <w:p w:rsidR="00F06174" w:rsidRPr="00C903F8" w:rsidRDefault="00F06174" w:rsidP="00725D4A">
      <w:pPr>
        <w:pStyle w:val="ESch"/>
      </w:pPr>
      <w:r>
        <w:t>1.</w:t>
      </w:r>
      <w:r>
        <w:tab/>
        <w:t>I posti di lavoro sono situati, attrezzati e concepiti in modo tale che i dipendenti non siano esposti a vibrazioni dannose.</w:t>
      </w:r>
    </w:p>
    <w:p w:rsidR="00DE69C7" w:rsidRPr="00C903F8" w:rsidRDefault="00DE69C7" w:rsidP="00725D4A">
      <w:pPr>
        <w:pStyle w:val="ESch"/>
        <w:rPr>
          <w:noProof/>
        </w:rPr>
      </w:pPr>
    </w:p>
    <w:p w:rsidR="00F06174" w:rsidRPr="00C903F8" w:rsidRDefault="00F06174" w:rsidP="00725D4A">
      <w:pPr>
        <w:pStyle w:val="ESch"/>
      </w:pPr>
      <w:r>
        <w:t>2.</w:t>
      </w:r>
      <w:r>
        <w:tab/>
        <w:t>Inoltre, i posti di lavoro permanenti sono costruiti e protetti acusticamente in modo da non mettere a repentaglio la sicurezza e la salute dei dipendenti a causa del rumore.</w:t>
      </w:r>
    </w:p>
    <w:p w:rsidR="00DE69C7" w:rsidRPr="00C903F8" w:rsidRDefault="00DE69C7" w:rsidP="00725D4A">
      <w:pPr>
        <w:pStyle w:val="ESch"/>
        <w:rPr>
          <w:noProof/>
        </w:rPr>
      </w:pPr>
    </w:p>
    <w:p w:rsidR="00F06174" w:rsidRPr="00C903F8" w:rsidRDefault="00F06174" w:rsidP="00725D4A">
      <w:pPr>
        <w:pStyle w:val="ESch"/>
      </w:pPr>
      <w:r>
        <w:t>3.</w:t>
      </w:r>
      <w:r>
        <w:tab/>
        <w:t>Per i dipendenti che possono essere quotidianamente esposti a rumori di un livello superiore a 85 dB(A), sono disponibili apparecchi di protezione auricolare individuali. Nei posti di lavoro in cui detto livello supera 90 dB(A), l'obbligo di indossare gli apparecchi di protezione acustica è segnalato con un pittogramma - "Indossare apparecchi di protezione auricolare" - del diametro di almeno 10 cm, conforme all'allegato 4, figura 7.</w:t>
      </w:r>
    </w:p>
    <w:p w:rsidR="00F06174" w:rsidRDefault="00F06174" w:rsidP="00F06174">
      <w:pPr>
        <w:rPr>
          <w:rFonts w:cs="Arial"/>
          <w:szCs w:val="20"/>
        </w:rPr>
      </w:pPr>
    </w:p>
    <w:p w:rsidR="00C973E6" w:rsidRPr="00C903F8" w:rsidRDefault="00C973E6" w:rsidP="00F06174">
      <w:pPr>
        <w:rPr>
          <w:rFonts w:cs="Arial"/>
          <w:szCs w:val="20"/>
        </w:rPr>
      </w:pPr>
    </w:p>
    <w:p w:rsidR="00F06174" w:rsidRPr="00C903F8" w:rsidRDefault="00F06174" w:rsidP="00DE69C7">
      <w:pPr>
        <w:pStyle w:val="ES-Titre3"/>
        <w:rPr>
          <w:sz w:val="20"/>
        </w:rPr>
      </w:pPr>
      <w:bookmarkStart w:id="246" w:name="_Toc491854120"/>
      <w:bookmarkStart w:id="247" w:name="_Toc535500069"/>
      <w:r>
        <w:t>Articolo 14.10</w:t>
      </w:r>
      <w:r>
        <w:br/>
      </w:r>
      <w:r>
        <w:rPr>
          <w:i/>
          <w:noProof/>
        </w:rPr>
        <w:t>Coperchi di boccaporto</w:t>
      </w:r>
      <w:bookmarkEnd w:id="246"/>
      <w:bookmarkEnd w:id="247"/>
    </w:p>
    <w:p w:rsidR="00725D4A" w:rsidRPr="00C903F8" w:rsidRDefault="00725D4A" w:rsidP="00725D4A">
      <w:pPr>
        <w:pStyle w:val="ESch"/>
        <w:rPr>
          <w:noProof/>
        </w:rPr>
      </w:pPr>
    </w:p>
    <w:p w:rsidR="00F06174" w:rsidRPr="00C903F8" w:rsidRDefault="00F06174" w:rsidP="00725D4A">
      <w:pPr>
        <w:pStyle w:val="ESch"/>
      </w:pPr>
      <w:r>
        <w:t xml:space="preserve">1. </w:t>
      </w:r>
      <w:r>
        <w:tab/>
        <w:t>I coperchi di boccaporto sono facilmente accessibili e maneggiabili in condizioni di sicurezza. Gli elementi dei coperchi di massa superiore a 40 kg sono inoltre scorrevoli o basculanti oppure sono dotati di dispositivi meccanici di apertura. I coperchi di boccaporto manovrati mediante congegno di sollevamento sono provvisti di adeguati dispositivi di fissaggio facilmente accessibili. Sui coperchi di boccaporto e sulle stanghe non intercambiabili sono riportate indicazioni precise riguardo ai boccaporti a cui corrispondono, nonché alla loro posizione corretta sui medesimi.</w:t>
      </w:r>
    </w:p>
    <w:p w:rsidR="00756D4B" w:rsidRPr="00C903F8" w:rsidRDefault="00756D4B" w:rsidP="00725D4A">
      <w:pPr>
        <w:pStyle w:val="ESch"/>
        <w:rPr>
          <w:noProof/>
        </w:rPr>
      </w:pPr>
    </w:p>
    <w:p w:rsidR="00F06174" w:rsidRPr="00C903F8" w:rsidRDefault="00F06174" w:rsidP="00725D4A">
      <w:pPr>
        <w:pStyle w:val="ESch"/>
      </w:pPr>
      <w:r>
        <w:t>2.</w:t>
      </w:r>
      <w:r>
        <w:tab/>
        <w:t>I coperchi di boccaporto sono fissati in modo da non poter essere sollevati dal vento o dalle attrezzature di carico. I coperchi scorrevoli sono provvisti di fermi che ne impediscano lo spostamento involontario nel senso della lunghezza di più di 0,40 m e devono poter essere bloccati nella posizione definitiva. Sono previsti appositi dispositivi per mantenere impilati i coperchi di boccaporto.</w:t>
      </w:r>
    </w:p>
    <w:p w:rsidR="00756D4B" w:rsidRPr="00C903F8" w:rsidRDefault="00756D4B" w:rsidP="00725D4A">
      <w:pPr>
        <w:pStyle w:val="ESch"/>
        <w:rPr>
          <w:noProof/>
        </w:rPr>
      </w:pPr>
    </w:p>
    <w:p w:rsidR="00F06174" w:rsidRPr="00C903F8" w:rsidRDefault="00F06174" w:rsidP="00725D4A">
      <w:pPr>
        <w:pStyle w:val="ESch"/>
      </w:pPr>
      <w:r>
        <w:t>3.</w:t>
      </w:r>
      <w:r>
        <w:tab/>
        <w:t>Nel caso di coperchi di boccaporto ad azionamento meccanico, l'alimentazione si interrompe automaticamente quando l'interruttore di comando viene rilasciato.</w:t>
      </w:r>
    </w:p>
    <w:p w:rsidR="00756D4B" w:rsidRPr="00C903F8" w:rsidRDefault="00756D4B" w:rsidP="00725D4A">
      <w:pPr>
        <w:pStyle w:val="ESch"/>
      </w:pPr>
    </w:p>
    <w:p w:rsidR="00F06174" w:rsidRPr="00C903F8" w:rsidRDefault="00F06174" w:rsidP="00725D4A">
      <w:pPr>
        <w:pStyle w:val="ESch"/>
      </w:pPr>
      <w:r>
        <w:t>4.</w:t>
      </w:r>
      <w:r>
        <w:tab/>
        <w:t>I coperchi di boccaporto sono in grado di sostenere i carichi a cui potrebbero essere sottoposti: quelli destinati ad essere calpestati sono in grado di sostenere carichi puntuali di almeno 75 kg, gli altri sono segnalati in quanto tali. I coperchi destinati a sostenere carichi di coperta riportano l'indicazione del carico ammissibile in t/m</w:t>
      </w:r>
      <w:r>
        <w:rPr>
          <w:noProof/>
          <w:vertAlign w:val="superscript"/>
        </w:rPr>
        <w:t>2</w:t>
      </w:r>
      <w:r>
        <w:t>. La necessità di supporti per raggiungere il carico massimo ammissibile è segnalata in un luogo appropriato: in tal caso occorre tenere a bordo i relativi piani.</w:t>
      </w:r>
    </w:p>
    <w:p w:rsidR="00F06174" w:rsidRPr="00C903F8" w:rsidRDefault="00F06174" w:rsidP="00F06174">
      <w:pPr>
        <w:rPr>
          <w:rFonts w:cs="Arial"/>
          <w:szCs w:val="20"/>
        </w:rPr>
      </w:pPr>
    </w:p>
    <w:p w:rsidR="00756D4B" w:rsidRPr="00C903F8" w:rsidRDefault="00725D4A" w:rsidP="00F06174">
      <w:pPr>
        <w:rPr>
          <w:rFonts w:cs="Arial"/>
          <w:szCs w:val="20"/>
        </w:rPr>
      </w:pPr>
      <w:r>
        <w:br w:type="page"/>
      </w:r>
    </w:p>
    <w:p w:rsidR="00F06174" w:rsidRPr="00C903F8" w:rsidRDefault="00F06174" w:rsidP="00756D4B">
      <w:pPr>
        <w:pStyle w:val="ES-Titre3"/>
      </w:pPr>
      <w:bookmarkStart w:id="248" w:name="_Toc491854121"/>
      <w:bookmarkStart w:id="249" w:name="_Toc535500070"/>
      <w:r>
        <w:lastRenderedPageBreak/>
        <w:t>Articolo 14.11</w:t>
      </w:r>
      <w:r>
        <w:br/>
      </w:r>
      <w:r>
        <w:rPr>
          <w:i/>
        </w:rPr>
        <w:t>Verricelli</w:t>
      </w:r>
      <w:bookmarkEnd w:id="248"/>
      <w:bookmarkEnd w:id="249"/>
    </w:p>
    <w:p w:rsidR="00725D4A" w:rsidRPr="00C903F8" w:rsidRDefault="00725D4A" w:rsidP="00725D4A">
      <w:pPr>
        <w:pStyle w:val="ESch"/>
        <w:rPr>
          <w:noProof/>
        </w:rPr>
      </w:pPr>
    </w:p>
    <w:p w:rsidR="00F06174" w:rsidRPr="00C903F8" w:rsidRDefault="00F06174" w:rsidP="00725D4A">
      <w:pPr>
        <w:pStyle w:val="ESch"/>
      </w:pPr>
      <w:r>
        <w:t>1.</w:t>
      </w:r>
      <w:r>
        <w:tab/>
        <w:t>I verricelli sono concepiti in modo da consentire il lavoro in condizioni di sicurezza. Sono provvisti di dispositivi che impediscano un rilascio involontario del carico; quelli senza arresto automatico sono provvisti di un freno proporzionato alla loro forza di trazione.</w:t>
      </w:r>
    </w:p>
    <w:p w:rsidR="00756D4B" w:rsidRPr="00C903F8" w:rsidRDefault="00756D4B" w:rsidP="00725D4A">
      <w:pPr>
        <w:pStyle w:val="ESch"/>
        <w:rPr>
          <w:noProof/>
        </w:rPr>
      </w:pPr>
    </w:p>
    <w:p w:rsidR="00F06174" w:rsidRPr="00C903F8" w:rsidRDefault="00F06174" w:rsidP="00725D4A">
      <w:pPr>
        <w:pStyle w:val="ESch"/>
      </w:pPr>
      <w:r>
        <w:t>2.</w:t>
      </w:r>
      <w:r>
        <w:tab/>
        <w:t>I verricelli azionati a mano sono provvisti di dispositivi che impediscano il ritorno della manovella. I verricelli azionabili sia da forza motrice sia a mano sono concepiti in modo che il comando motore non possa mettere in movimento il comando manuale.</w:t>
      </w:r>
    </w:p>
    <w:p w:rsidR="00F06174" w:rsidRPr="00C903F8" w:rsidRDefault="00F06174" w:rsidP="00F06174">
      <w:pPr>
        <w:rPr>
          <w:rFonts w:cs="Arial"/>
          <w:szCs w:val="20"/>
        </w:rPr>
      </w:pPr>
    </w:p>
    <w:p w:rsidR="00725D4A" w:rsidRPr="00C903F8" w:rsidRDefault="00725D4A" w:rsidP="00F06174">
      <w:pPr>
        <w:rPr>
          <w:rFonts w:cs="Arial"/>
          <w:szCs w:val="20"/>
        </w:rPr>
      </w:pPr>
    </w:p>
    <w:p w:rsidR="00F06174" w:rsidRPr="00C903F8" w:rsidRDefault="00F06174" w:rsidP="00756D4B">
      <w:pPr>
        <w:pStyle w:val="ES-Titre3"/>
      </w:pPr>
      <w:bookmarkStart w:id="250" w:name="_Toc491854122"/>
      <w:bookmarkStart w:id="251" w:name="_Toc535500071"/>
      <w:r>
        <w:t>Articolo 14.12</w:t>
      </w:r>
      <w:r>
        <w:br/>
      </w:r>
      <w:r>
        <w:rPr>
          <w:i/>
          <w:noProof/>
        </w:rPr>
        <w:t>Gru</w:t>
      </w:r>
      <w:bookmarkEnd w:id="250"/>
      <w:bookmarkEnd w:id="251"/>
    </w:p>
    <w:p w:rsidR="00756D4B" w:rsidRPr="00C903F8" w:rsidRDefault="00756D4B" w:rsidP="00F06174">
      <w:pPr>
        <w:rPr>
          <w:rFonts w:cs="Arial"/>
          <w:noProof/>
          <w:szCs w:val="20"/>
        </w:rPr>
      </w:pPr>
    </w:p>
    <w:p w:rsidR="00F06174" w:rsidRPr="00C903F8" w:rsidRDefault="00F06174" w:rsidP="00725D4A">
      <w:pPr>
        <w:pStyle w:val="ESch"/>
      </w:pPr>
      <w:r>
        <w:t>1.</w:t>
      </w:r>
      <w:r>
        <w:tab/>
        <w:t>Le gru sono costruite a regola d'arte. Le forze che si producono durante il funzionamento sono trasmesse in condizioni di sicurezza alla struttura della nave; esse non ne mettono a repentaglio la stabilità.</w:t>
      </w:r>
    </w:p>
    <w:p w:rsidR="00756D4B" w:rsidRPr="00C903F8" w:rsidRDefault="00756D4B" w:rsidP="00725D4A">
      <w:pPr>
        <w:pStyle w:val="ESch"/>
        <w:rPr>
          <w:noProof/>
        </w:rPr>
      </w:pPr>
    </w:p>
    <w:p w:rsidR="00F06174" w:rsidRPr="00C903F8" w:rsidRDefault="00F06174" w:rsidP="00725D4A">
      <w:pPr>
        <w:pStyle w:val="ESch"/>
      </w:pPr>
      <w:r>
        <w:t>2.</w:t>
      </w:r>
      <w:r>
        <w:tab/>
        <w:t>Sulle gru è apposta una targhetta del costruttore contenente le seguenti informazioni:</w:t>
      </w:r>
    </w:p>
    <w:p w:rsidR="00F06174" w:rsidRPr="00C903F8" w:rsidRDefault="005C7859" w:rsidP="00725D4A">
      <w:pPr>
        <w:pStyle w:val="ESlet"/>
      </w:pPr>
      <w:r>
        <w:t>a)</w:t>
      </w:r>
      <w:r>
        <w:tab/>
        <w:t>nome e indirizzo del costruttore;</w:t>
      </w:r>
    </w:p>
    <w:p w:rsidR="00F06174" w:rsidRPr="00C903F8" w:rsidRDefault="005C7859" w:rsidP="00725D4A">
      <w:pPr>
        <w:pStyle w:val="ESlet"/>
      </w:pPr>
      <w:r>
        <w:t>b)</w:t>
      </w:r>
      <w:r>
        <w:tab/>
        <w:t>marcatura CE con indicazione dell'anno di costruzione;</w:t>
      </w:r>
    </w:p>
    <w:p w:rsidR="00F06174" w:rsidRPr="00C903F8" w:rsidRDefault="005C7859" w:rsidP="00725D4A">
      <w:pPr>
        <w:pStyle w:val="ESlet"/>
      </w:pPr>
      <w:r>
        <w:t>c)</w:t>
      </w:r>
      <w:r>
        <w:tab/>
        <w:t>indicazione della serie o del tipo;</w:t>
      </w:r>
    </w:p>
    <w:p w:rsidR="00F06174" w:rsidRPr="00C903F8" w:rsidRDefault="005C7859" w:rsidP="00725D4A">
      <w:pPr>
        <w:pStyle w:val="ESlet"/>
      </w:pPr>
      <w:r>
        <w:t>d)</w:t>
      </w:r>
      <w:r>
        <w:tab/>
        <w:t>eventualmente, numero di serie.</w:t>
      </w:r>
    </w:p>
    <w:p w:rsidR="00756D4B" w:rsidRPr="00C903F8" w:rsidRDefault="00756D4B" w:rsidP="00F06174">
      <w:pPr>
        <w:rPr>
          <w:rFonts w:cs="Arial"/>
          <w:noProof/>
          <w:szCs w:val="20"/>
        </w:rPr>
      </w:pPr>
    </w:p>
    <w:p w:rsidR="00F06174" w:rsidRPr="00C903F8" w:rsidRDefault="00F06174" w:rsidP="00725D4A">
      <w:pPr>
        <w:pStyle w:val="ESch"/>
      </w:pPr>
      <w:r>
        <w:t>3.</w:t>
      </w:r>
      <w:r>
        <w:tab/>
        <w:t>Sulle gru i carichi massimi ammissibili sono riportati in modo permanente e facilmente leggibile.</w:t>
      </w:r>
    </w:p>
    <w:p w:rsidR="00756D4B" w:rsidRPr="00C903F8" w:rsidRDefault="00756D4B" w:rsidP="00725D4A">
      <w:pPr>
        <w:pStyle w:val="ESch"/>
        <w:rPr>
          <w:noProof/>
        </w:rPr>
      </w:pPr>
    </w:p>
    <w:p w:rsidR="00F06174" w:rsidRPr="00C903F8" w:rsidRDefault="00F06174" w:rsidP="00725D4A">
      <w:pPr>
        <w:pStyle w:val="ESchpar"/>
      </w:pPr>
      <w:r>
        <w:t>Per le gru il cui carico utile di sicurezza non supera 2000 kg, è sufficiente che venga riportato in modo permanente e facilmente leggibile il carico utile di sicurezza corrispondente allo sbraccio massimo.</w:t>
      </w:r>
    </w:p>
    <w:p w:rsidR="00756D4B" w:rsidRPr="00C903F8" w:rsidRDefault="00756D4B" w:rsidP="00725D4A">
      <w:pPr>
        <w:pStyle w:val="ESch"/>
        <w:rPr>
          <w:noProof/>
        </w:rPr>
      </w:pPr>
    </w:p>
    <w:p w:rsidR="00F06174" w:rsidRPr="00C903F8" w:rsidRDefault="00F06174" w:rsidP="00725D4A">
      <w:pPr>
        <w:pStyle w:val="ESch"/>
      </w:pPr>
      <w:r>
        <w:t>4.</w:t>
      </w:r>
      <w:r>
        <w:tab/>
        <w:t>La presenza di dispositivi per la protezione contro i rischi di schiacciamento o cesoiamento è obbligatoria. Le parti esterne della gru devono lasciare una distanza minima di sicurezza di 0,50 m rispetto alla sovrastruttura fissa nei posti di lavoro e nelle zone di passaggio.</w:t>
      </w:r>
    </w:p>
    <w:p w:rsidR="00756D4B" w:rsidRPr="00C903F8" w:rsidRDefault="00756D4B" w:rsidP="00725D4A">
      <w:pPr>
        <w:pStyle w:val="ESch"/>
        <w:rPr>
          <w:noProof/>
        </w:rPr>
      </w:pPr>
    </w:p>
    <w:p w:rsidR="00F06174" w:rsidRPr="00C903F8" w:rsidRDefault="00F06174" w:rsidP="00725D4A">
      <w:pPr>
        <w:pStyle w:val="ESch"/>
      </w:pPr>
      <w:r>
        <w:t>5.</w:t>
      </w:r>
      <w:r>
        <w:tab/>
        <w:t>Le gru a motore devono poter essere protette contro l'uso non autorizzato ed essere messe in funzione solo dal posto di comando previsto per la gru. I comandi sono a ritorno automatico (pulsanti senza dispositivi di blocco); la loro direzione di funzionamento è riconoscibile senza pericolo di equivoci.</w:t>
      </w:r>
    </w:p>
    <w:p w:rsidR="00756D4B" w:rsidRPr="00C903F8" w:rsidRDefault="00756D4B" w:rsidP="00725D4A">
      <w:pPr>
        <w:pStyle w:val="ESch"/>
        <w:rPr>
          <w:noProof/>
        </w:rPr>
      </w:pPr>
    </w:p>
    <w:p w:rsidR="00F06174" w:rsidRPr="00C903F8" w:rsidRDefault="00F06174" w:rsidP="00725D4A">
      <w:pPr>
        <w:pStyle w:val="ESchpar"/>
      </w:pPr>
      <w:r>
        <w:t>In caso d'interruzione dell'energia motrice, il carico non deve poter scendere in maniera incontrollata. Occorre impedire qualsiasi movimento involontario della gru.</w:t>
      </w:r>
    </w:p>
    <w:p w:rsidR="00756D4B" w:rsidRPr="00C903F8" w:rsidRDefault="00756D4B" w:rsidP="00725D4A">
      <w:pPr>
        <w:pStyle w:val="ESchpar"/>
        <w:rPr>
          <w:noProof/>
        </w:rPr>
      </w:pPr>
    </w:p>
    <w:p w:rsidR="00F06174" w:rsidRPr="00C903F8" w:rsidRDefault="00F06174" w:rsidP="00725D4A">
      <w:pPr>
        <w:pStyle w:val="ESchpar"/>
      </w:pPr>
      <w:r>
        <w:t>Il movimento ascendente del dispositivo di sollevamento e il superamento del carico utile di sicurezza sono limitati mediante appositi dispositivi. Il movimento discendente del dispositivo di sollevamento è limitato se al momento di attaccare il gancio, in tutte le condizioni di esercizio previste, il numero di giri di cavo attorno al tamburo è inferiore a due. Una volta scattati i dispositivi automatici di ritenuta, deve risultare ancora possibile il corrispondente movimento contrario.</w:t>
      </w:r>
    </w:p>
    <w:p w:rsidR="00756D4B" w:rsidRPr="00C903F8" w:rsidRDefault="00756D4B" w:rsidP="00725D4A">
      <w:pPr>
        <w:pStyle w:val="ESchpar"/>
        <w:rPr>
          <w:noProof/>
        </w:rPr>
      </w:pPr>
    </w:p>
    <w:p w:rsidR="00725D4A" w:rsidRPr="00C903F8" w:rsidRDefault="00725D4A" w:rsidP="00725D4A">
      <w:pPr>
        <w:pStyle w:val="ESchpar"/>
        <w:rPr>
          <w:noProof/>
        </w:rPr>
      </w:pPr>
      <w:r>
        <w:br w:type="page"/>
      </w:r>
    </w:p>
    <w:p w:rsidR="00F06174" w:rsidRPr="00C903F8" w:rsidRDefault="00F06174" w:rsidP="00725D4A">
      <w:pPr>
        <w:pStyle w:val="ESchpar"/>
      </w:pPr>
      <w:r>
        <w:lastRenderedPageBreak/>
        <w:t>Il carico di rottura dei cavi per le manovre correnti è pari a cinque volte il carico ammissibile del cavo. La fabbricazione del cavo non presenta difetti ed è adatta all'uso su gru.</w:t>
      </w:r>
    </w:p>
    <w:p w:rsidR="00756D4B" w:rsidRPr="00C903F8" w:rsidRDefault="00756D4B" w:rsidP="00725D4A">
      <w:pPr>
        <w:pStyle w:val="ESch"/>
        <w:rPr>
          <w:noProof/>
        </w:rPr>
      </w:pPr>
    </w:p>
    <w:p w:rsidR="00F06174" w:rsidRPr="00C903F8" w:rsidRDefault="00F06174" w:rsidP="00725D4A">
      <w:pPr>
        <w:pStyle w:val="ESch"/>
      </w:pPr>
      <w:r>
        <w:t>6.</w:t>
      </w:r>
      <w:r>
        <w:tab/>
        <w:t>Le gru sono controllate da un esperto:</w:t>
      </w:r>
    </w:p>
    <w:p w:rsidR="00F06174" w:rsidRPr="00C903F8" w:rsidRDefault="005C7859" w:rsidP="00064BFC">
      <w:pPr>
        <w:pStyle w:val="ESlet"/>
      </w:pPr>
      <w:r>
        <w:t>a)</w:t>
      </w:r>
      <w:r>
        <w:tab/>
        <w:t>prima di essere messi in servizio per la prima volta;</w:t>
      </w:r>
    </w:p>
    <w:p w:rsidR="00F06174" w:rsidRPr="00C903F8" w:rsidRDefault="005C7859" w:rsidP="00064BFC">
      <w:pPr>
        <w:pStyle w:val="ESlet"/>
      </w:pPr>
      <w:r>
        <w:t>b)</w:t>
      </w:r>
      <w:r>
        <w:tab/>
        <w:t>prima di essere messe nuovamente in servizio dopo una modifica o una riparazione importanti; e</w:t>
      </w:r>
    </w:p>
    <w:p w:rsidR="00F06174" w:rsidRPr="00C903F8" w:rsidRDefault="005C7859" w:rsidP="00064BFC">
      <w:pPr>
        <w:pStyle w:val="ESlet"/>
      </w:pPr>
      <w:r>
        <w:t>c)</w:t>
      </w:r>
      <w:r>
        <w:tab/>
        <w:t>periodicamente, almeno ogni dieci anni.</w:t>
      </w:r>
    </w:p>
    <w:p w:rsidR="00756D4B" w:rsidRPr="00C903F8" w:rsidRDefault="00756D4B" w:rsidP="00F06174">
      <w:pPr>
        <w:rPr>
          <w:rFonts w:cs="Arial"/>
          <w:noProof/>
          <w:szCs w:val="20"/>
        </w:rPr>
      </w:pPr>
    </w:p>
    <w:p w:rsidR="00F06174" w:rsidRPr="00C903F8" w:rsidRDefault="00F06174" w:rsidP="00064BFC">
      <w:pPr>
        <w:pStyle w:val="ESchpar"/>
      </w:pPr>
      <w:r>
        <w:t>Nel corso di tale ispezione la prova dell’adeguatezza sotto il profilo della robustezza e della stabilità viene comprovata mediante una prova di calcolo e una prova di carico a bordo.</w:t>
      </w:r>
    </w:p>
    <w:p w:rsidR="00756D4B" w:rsidRPr="00C903F8" w:rsidRDefault="00756D4B" w:rsidP="00064BFC">
      <w:pPr>
        <w:pStyle w:val="ESchpar"/>
        <w:rPr>
          <w:noProof/>
        </w:rPr>
      </w:pPr>
    </w:p>
    <w:p w:rsidR="00F06174" w:rsidRPr="00C903F8" w:rsidRDefault="00F06174" w:rsidP="00064BFC">
      <w:pPr>
        <w:pStyle w:val="ESchpar"/>
      </w:pPr>
      <w:r>
        <w:t>Per le gru il cui carico utile di sicurezza non supera i 2000 kg, l’esperto può decidere che la prova di calcolo può essere sostituita, in tutto o in parte, da una prova effettuata con un carico pari a 1,25 volte il carico utile di sicurezza su tutto il campo di manovra.</w:t>
      </w:r>
    </w:p>
    <w:p w:rsidR="00756D4B" w:rsidRPr="00C903F8" w:rsidRDefault="00756D4B" w:rsidP="00064BFC">
      <w:pPr>
        <w:pStyle w:val="ESchpar"/>
        <w:rPr>
          <w:noProof/>
        </w:rPr>
      </w:pPr>
    </w:p>
    <w:p w:rsidR="00F06174" w:rsidRPr="00C903F8" w:rsidRDefault="00F06174" w:rsidP="00064BFC">
      <w:pPr>
        <w:pStyle w:val="ESchpar"/>
      </w:pPr>
      <w:r>
        <w:t>L'esperto che ha effettuato il controllo redige e firma un attestato di ispezione che ne reca la data.</w:t>
      </w:r>
    </w:p>
    <w:p w:rsidR="00064BFC" w:rsidRPr="00C903F8" w:rsidRDefault="00064BFC" w:rsidP="00F06174">
      <w:pPr>
        <w:rPr>
          <w:rFonts w:cs="Arial"/>
          <w:noProof/>
          <w:szCs w:val="20"/>
        </w:rPr>
      </w:pPr>
    </w:p>
    <w:p w:rsidR="00F06174" w:rsidRPr="00C903F8" w:rsidRDefault="00F06174" w:rsidP="00064BFC">
      <w:pPr>
        <w:pStyle w:val="ESch"/>
      </w:pPr>
      <w:r>
        <w:t>7.</w:t>
      </w:r>
      <w:r>
        <w:tab/>
        <w:t>Le gru devono essere controllate periodicamente, almeno ogni anno, da una persona competente. In tale occasione se ne stabilirà lo stato di sicurezza con un’ispezione diretta e un controllo del funzionamento.</w:t>
      </w:r>
    </w:p>
    <w:p w:rsidR="00756D4B" w:rsidRPr="00C903F8" w:rsidRDefault="00756D4B" w:rsidP="00064BFC">
      <w:pPr>
        <w:pStyle w:val="ESch"/>
        <w:rPr>
          <w:noProof/>
        </w:rPr>
      </w:pPr>
    </w:p>
    <w:p w:rsidR="00F06174" w:rsidRPr="00C903F8" w:rsidRDefault="00F06174" w:rsidP="00064BFC">
      <w:pPr>
        <w:pStyle w:val="ESchpar"/>
      </w:pPr>
      <w:r>
        <w:t>La persona competente che ha effettuato il controllo redige e firma un attestato di ispezione che ne reca la data.</w:t>
      </w:r>
    </w:p>
    <w:p w:rsidR="00F06174" w:rsidRPr="00C903F8" w:rsidRDefault="00F06174" w:rsidP="00064BFC">
      <w:pPr>
        <w:pStyle w:val="ESch"/>
      </w:pPr>
    </w:p>
    <w:p w:rsidR="00F06174" w:rsidRPr="00C903F8" w:rsidRDefault="00F06174" w:rsidP="00064BFC">
      <w:pPr>
        <w:pStyle w:val="ESch"/>
      </w:pPr>
      <w:r>
        <w:t>8.</w:t>
      </w:r>
      <w:r>
        <w:tab/>
        <w:t>Le gru con carico utile di sicurezza superiore a 2000 kg o utilizzate per il trasbordo del carico o installate a bordo di strutture di sollevamento, pontoni e altri galleggianti ad uso speciale o navi cantiere soddisfano inoltre i requisiti di uno degli Stati membri.</w:t>
      </w:r>
    </w:p>
    <w:p w:rsidR="00756D4B" w:rsidRPr="00C903F8" w:rsidRDefault="00756D4B" w:rsidP="00064BFC">
      <w:pPr>
        <w:pStyle w:val="ESch"/>
        <w:rPr>
          <w:noProof/>
        </w:rPr>
      </w:pPr>
    </w:p>
    <w:p w:rsidR="00F06174" w:rsidRPr="00C903F8" w:rsidRDefault="00F06174" w:rsidP="00064BFC">
      <w:pPr>
        <w:pStyle w:val="ESch"/>
      </w:pPr>
      <w:r>
        <w:t>9.</w:t>
      </w:r>
      <w:r>
        <w:tab/>
        <w:t>Le istruzioni d'uso del costruttore della gru sono conservate a bordo e contengono quantomeno le seguenti informazioni:</w:t>
      </w:r>
    </w:p>
    <w:p w:rsidR="00F06174" w:rsidRPr="00C903F8" w:rsidRDefault="005C7859" w:rsidP="00064BFC">
      <w:pPr>
        <w:pStyle w:val="ESlet"/>
      </w:pPr>
      <w:r>
        <w:t>a)</w:t>
      </w:r>
      <w:r>
        <w:tab/>
        <w:t>campo di manovra e funzione dei comandi;</w:t>
      </w:r>
    </w:p>
    <w:p w:rsidR="00F06174" w:rsidRPr="00C903F8" w:rsidRDefault="005C7859" w:rsidP="00064BFC">
      <w:pPr>
        <w:pStyle w:val="ESlet"/>
      </w:pPr>
      <w:r>
        <w:t>b)</w:t>
      </w:r>
      <w:r>
        <w:tab/>
        <w:t>massimo carico utile di sicurezza ammissibile in funzione dello sbraccio;</w:t>
      </w:r>
    </w:p>
    <w:p w:rsidR="00F06174" w:rsidRPr="00C903F8" w:rsidRDefault="005C7859" w:rsidP="00064BFC">
      <w:pPr>
        <w:pStyle w:val="ESlet"/>
      </w:pPr>
      <w:r>
        <w:t>c)</w:t>
      </w:r>
      <w:r>
        <w:tab/>
        <w:t>inclinazione massima ammissibile della gru;</w:t>
      </w:r>
    </w:p>
    <w:p w:rsidR="00F06174" w:rsidRPr="00C903F8" w:rsidRDefault="005C7859" w:rsidP="00064BFC">
      <w:pPr>
        <w:pStyle w:val="ESlet"/>
      </w:pPr>
      <w:r>
        <w:t>d)</w:t>
      </w:r>
      <w:r>
        <w:tab/>
        <w:t>avvertenze per il montaggio e la manutenzione;</w:t>
      </w:r>
    </w:p>
    <w:p w:rsidR="00F06174" w:rsidRPr="00C903F8" w:rsidRDefault="0029453D" w:rsidP="00064BFC">
      <w:pPr>
        <w:pStyle w:val="ESlet"/>
      </w:pPr>
      <w:r>
        <w:t>e)</w:t>
      </w:r>
      <w:r>
        <w:tab/>
        <w:t>caratteristiche tecniche generali.</w:t>
      </w:r>
    </w:p>
    <w:p w:rsidR="00F06174" w:rsidRPr="00C903F8" w:rsidRDefault="00F06174" w:rsidP="00B239F2">
      <w:pPr>
        <w:pStyle w:val="ESlet"/>
        <w:ind w:left="0" w:firstLine="0"/>
        <w:rPr>
          <w:rFonts w:cs="Arial"/>
          <w:noProof/>
          <w:szCs w:val="20"/>
        </w:rPr>
      </w:pPr>
    </w:p>
    <w:p w:rsidR="00756D4B" w:rsidRPr="00C903F8" w:rsidRDefault="00756D4B" w:rsidP="00B239F2">
      <w:pPr>
        <w:ind w:left="0" w:firstLine="0"/>
        <w:rPr>
          <w:rFonts w:cs="Arial"/>
          <w:noProof/>
          <w:szCs w:val="20"/>
        </w:rPr>
      </w:pPr>
    </w:p>
    <w:p w:rsidR="00F06174" w:rsidRPr="00C903F8" w:rsidRDefault="00F06174" w:rsidP="00756D4B">
      <w:pPr>
        <w:pStyle w:val="ES-Titre3"/>
      </w:pPr>
      <w:bookmarkStart w:id="252" w:name="_Toc491854123"/>
      <w:bookmarkStart w:id="253" w:name="_Toc535500072"/>
      <w:r>
        <w:t>Articolo 14.13</w:t>
      </w:r>
      <w:r>
        <w:br/>
      </w:r>
      <w:r>
        <w:rPr>
          <w:i/>
        </w:rPr>
        <w:t>Stoccaggio di liquidi infiammabili</w:t>
      </w:r>
      <w:bookmarkEnd w:id="252"/>
      <w:bookmarkEnd w:id="253"/>
    </w:p>
    <w:p w:rsidR="00756D4B" w:rsidRPr="00C903F8" w:rsidRDefault="00756D4B" w:rsidP="00756D4B">
      <w:pPr>
        <w:ind w:left="0" w:firstLine="0"/>
        <w:rPr>
          <w:rFonts w:cs="Arial"/>
          <w:noProof/>
          <w:szCs w:val="20"/>
        </w:rPr>
      </w:pPr>
    </w:p>
    <w:p w:rsidR="00F06174" w:rsidRPr="00C903F8" w:rsidRDefault="00F06174" w:rsidP="00064BFC">
      <w:pPr>
        <w:pStyle w:val="ESgauche"/>
      </w:pPr>
      <w:r>
        <w:t>Per conservare liquidi infiammabili con un punto di infiammabilità inferiore a 55 °C deve essere presente un armadio ventilato in materiale non combustibile sul ponte. Sul lato esterno di tale armadio è apposto il pittogramma "Vietato utilizzare fiamme libere e vietato fumare" con un diametro minimo di 10 cm, conformemente all'allegato 4, figura 2.</w:t>
      </w:r>
    </w:p>
    <w:p w:rsidR="00F6371D" w:rsidRPr="00C903F8" w:rsidRDefault="00F6371D" w:rsidP="00A9660C"/>
    <w:p w:rsidR="006161E9" w:rsidRPr="00C903F8" w:rsidRDefault="006161E9" w:rsidP="006161E9">
      <w:pPr>
        <w:pStyle w:val="ES-Titre2"/>
        <w:rPr>
          <w:szCs w:val="24"/>
        </w:rPr>
      </w:pPr>
      <w:bookmarkStart w:id="254" w:name="_Toc491854124"/>
      <w:bookmarkStart w:id="255" w:name="_Toc535500073"/>
      <w:r>
        <w:lastRenderedPageBreak/>
        <w:t>Capo 15</w:t>
      </w:r>
      <w:r>
        <w:br/>
        <w:t>Alloggi</w:t>
      </w:r>
      <w:bookmarkEnd w:id="254"/>
      <w:bookmarkEnd w:id="255"/>
    </w:p>
    <w:p w:rsidR="006161E9" w:rsidRPr="00C903F8" w:rsidRDefault="006161E9" w:rsidP="006161E9"/>
    <w:p w:rsidR="006161E9" w:rsidRPr="00C903F8" w:rsidRDefault="006161E9" w:rsidP="006161E9">
      <w:pPr>
        <w:pStyle w:val="ES-Titre3"/>
      </w:pPr>
      <w:bookmarkStart w:id="256" w:name="_Toc491854125"/>
      <w:bookmarkStart w:id="257" w:name="_Toc535500074"/>
      <w:r>
        <w:t>Articolo 15.01</w:t>
      </w:r>
      <w:r>
        <w:br/>
      </w:r>
      <w:r>
        <w:rPr>
          <w:i/>
          <w:noProof/>
        </w:rPr>
        <w:t>Aspetti generali</w:t>
      </w:r>
      <w:bookmarkEnd w:id="256"/>
      <w:bookmarkEnd w:id="257"/>
    </w:p>
    <w:p w:rsidR="006161E9" w:rsidRPr="00C903F8" w:rsidRDefault="006161E9" w:rsidP="00811428">
      <w:pPr>
        <w:pStyle w:val="ESch"/>
        <w:rPr>
          <w:szCs w:val="20"/>
        </w:rPr>
      </w:pPr>
    </w:p>
    <w:p w:rsidR="006161E9" w:rsidRPr="00C903F8" w:rsidRDefault="006161E9" w:rsidP="00811428">
      <w:pPr>
        <w:pStyle w:val="ESch"/>
        <w:rPr>
          <w:rFonts w:cs="Arial"/>
          <w:szCs w:val="20"/>
        </w:rPr>
      </w:pPr>
      <w:r>
        <w:t>1.</w:t>
      </w:r>
      <w:r>
        <w:tab/>
        <w:t xml:space="preserve">Le navi sono dotate di alloggi per le persone che vivono abitualmente a bordo o comunque almeno per l'equipaggio minimo. </w:t>
      </w:r>
    </w:p>
    <w:p w:rsidR="00811428" w:rsidRPr="00C903F8" w:rsidRDefault="00811428" w:rsidP="00811428">
      <w:pPr>
        <w:pStyle w:val="ESch"/>
        <w:rPr>
          <w:szCs w:val="20"/>
        </w:rPr>
      </w:pPr>
    </w:p>
    <w:p w:rsidR="006161E9" w:rsidRPr="00C903F8" w:rsidRDefault="006161E9" w:rsidP="00811428">
      <w:pPr>
        <w:pStyle w:val="ESch"/>
        <w:rPr>
          <w:rFonts w:cs="Arial"/>
          <w:i/>
          <w:szCs w:val="20"/>
        </w:rPr>
      </w:pPr>
      <w:r>
        <w:t>2.</w:t>
      </w:r>
      <w:r>
        <w:tab/>
        <w:t>Gli alloggi sono costruiti, sistemati e attrezzati in modo da soddisfare le esigenze di sicurezza, salute e benessere delle persone a bordo. Sono accessibili facilmente e in condizioni di sicurezza e isolati dal freddo e dal caldo.</w:t>
      </w:r>
    </w:p>
    <w:p w:rsidR="00811428" w:rsidRPr="00C903F8" w:rsidRDefault="00811428" w:rsidP="00811428">
      <w:pPr>
        <w:pStyle w:val="ESch"/>
        <w:rPr>
          <w:szCs w:val="20"/>
        </w:rPr>
      </w:pPr>
    </w:p>
    <w:p w:rsidR="006161E9" w:rsidRPr="00C903F8" w:rsidRDefault="006161E9" w:rsidP="00811428">
      <w:pPr>
        <w:pStyle w:val="ESch"/>
        <w:rPr>
          <w:rFonts w:cs="Arial"/>
          <w:szCs w:val="20"/>
        </w:rPr>
      </w:pPr>
      <w:r>
        <w:t>3.</w:t>
      </w:r>
      <w:r>
        <w:tab/>
        <w:t>La commissione di ispezione può autorizzare deroghe alle disposizioni del presente capo se la sicurezza e la salute delle persone a bordo sono garantite in altra maniera.</w:t>
      </w:r>
    </w:p>
    <w:p w:rsidR="00811428" w:rsidRPr="00C903F8" w:rsidRDefault="00811428" w:rsidP="00811428">
      <w:pPr>
        <w:pStyle w:val="ESch"/>
        <w:rPr>
          <w:szCs w:val="20"/>
        </w:rPr>
      </w:pPr>
    </w:p>
    <w:p w:rsidR="006161E9" w:rsidRPr="00C903F8" w:rsidRDefault="006161E9" w:rsidP="00811428">
      <w:pPr>
        <w:pStyle w:val="ESch"/>
        <w:rPr>
          <w:rFonts w:cs="Arial"/>
          <w:szCs w:val="20"/>
        </w:rPr>
      </w:pPr>
      <w:r>
        <w:t>4.</w:t>
      </w:r>
      <w:r>
        <w:tab/>
        <w:t>La commissione di ispezione registra nel certificato per la navigazione interna le restrizioni ai periodi lavorativi giornalieri e al regime d'esercizio della nave derivanti dalle deroghe di cui al paragrafo 3.</w:t>
      </w:r>
    </w:p>
    <w:p w:rsidR="006161E9" w:rsidRPr="00C903F8" w:rsidRDefault="006161E9" w:rsidP="00811428">
      <w:pPr>
        <w:pStyle w:val="ESch"/>
        <w:rPr>
          <w:rFonts w:cs="Arial"/>
          <w:szCs w:val="20"/>
        </w:rPr>
      </w:pPr>
    </w:p>
    <w:p w:rsidR="00A60E37" w:rsidRPr="00C903F8" w:rsidRDefault="00A60E37" w:rsidP="00811428">
      <w:pPr>
        <w:pStyle w:val="ESch"/>
        <w:rPr>
          <w:rFonts w:cs="Arial"/>
          <w:szCs w:val="20"/>
        </w:rPr>
      </w:pPr>
    </w:p>
    <w:p w:rsidR="006161E9" w:rsidRPr="00C903F8" w:rsidRDefault="006161E9" w:rsidP="00811428">
      <w:pPr>
        <w:pStyle w:val="ES-Titre3"/>
        <w:rPr>
          <w:i/>
        </w:rPr>
      </w:pPr>
      <w:bookmarkStart w:id="258" w:name="_Toc491854126"/>
      <w:bookmarkStart w:id="259" w:name="_Toc535500075"/>
      <w:r>
        <w:t>Articolo 15.02</w:t>
      </w:r>
      <w:r>
        <w:br/>
      </w:r>
      <w:r>
        <w:rPr>
          <w:i/>
        </w:rPr>
        <w:t>Requisiti di costruzione speciali per gli alloggi</w:t>
      </w:r>
      <w:bookmarkEnd w:id="258"/>
      <w:bookmarkEnd w:id="259"/>
    </w:p>
    <w:p w:rsidR="00811428" w:rsidRPr="00C903F8" w:rsidRDefault="00811428" w:rsidP="00811428">
      <w:pPr>
        <w:pStyle w:val="ESch"/>
        <w:rPr>
          <w:szCs w:val="20"/>
        </w:rPr>
      </w:pPr>
    </w:p>
    <w:p w:rsidR="006161E9" w:rsidRPr="00C903F8" w:rsidRDefault="006161E9" w:rsidP="00811428">
      <w:pPr>
        <w:pStyle w:val="ESch"/>
        <w:rPr>
          <w:rFonts w:cs="Arial"/>
          <w:szCs w:val="20"/>
        </w:rPr>
      </w:pPr>
      <w:r>
        <w:t>1.</w:t>
      </w:r>
      <w:r>
        <w:tab/>
        <w:t>Occorre poter ventilare adeguatamente gli alloggi, anche con le porte chiuse; inoltre, i locali di soggiorno comuni ricevono la luce del giorno in quantità sufficiente e consentono, per quanto possibile, la vista verso l'esterno.</w:t>
      </w:r>
    </w:p>
    <w:p w:rsidR="00811428" w:rsidRPr="00C903F8" w:rsidRDefault="00811428" w:rsidP="00811428">
      <w:pPr>
        <w:pStyle w:val="ESch"/>
        <w:rPr>
          <w:szCs w:val="20"/>
        </w:rPr>
      </w:pPr>
    </w:p>
    <w:p w:rsidR="006161E9" w:rsidRPr="00C903F8" w:rsidRDefault="006161E9" w:rsidP="00811428">
      <w:pPr>
        <w:pStyle w:val="ESch"/>
        <w:rPr>
          <w:rFonts w:cs="Arial"/>
          <w:szCs w:val="20"/>
        </w:rPr>
      </w:pPr>
      <w:r>
        <w:t>2.</w:t>
      </w:r>
      <w:r>
        <w:tab/>
        <w:t>Quando l'accesso agli alloggi non è sistemato al medesimo livello e il dislivello è pari ad almeno 0,30 m, i locali sono accessibili tramite scale.</w:t>
      </w:r>
    </w:p>
    <w:p w:rsidR="00811428" w:rsidRPr="00C903F8" w:rsidRDefault="00811428" w:rsidP="00811428">
      <w:pPr>
        <w:pStyle w:val="ESch"/>
        <w:rPr>
          <w:szCs w:val="20"/>
        </w:rPr>
      </w:pPr>
    </w:p>
    <w:p w:rsidR="006161E9" w:rsidRPr="00C903F8" w:rsidRDefault="006161E9" w:rsidP="00811428">
      <w:pPr>
        <w:pStyle w:val="ESch"/>
        <w:rPr>
          <w:rFonts w:cs="Arial"/>
          <w:szCs w:val="20"/>
        </w:rPr>
      </w:pPr>
      <w:r>
        <w:t>3.</w:t>
      </w:r>
      <w:r>
        <w:tab/>
        <w:t>A prua, nessun pavimento si trova a più di 1,20 m al di sotto del piano di massima immersione.</w:t>
      </w:r>
    </w:p>
    <w:p w:rsidR="00811428" w:rsidRPr="00C903F8" w:rsidRDefault="00811428" w:rsidP="00811428">
      <w:pPr>
        <w:pStyle w:val="ESch"/>
        <w:rPr>
          <w:spacing w:val="-2"/>
          <w:szCs w:val="20"/>
        </w:rPr>
      </w:pPr>
    </w:p>
    <w:p w:rsidR="006161E9" w:rsidRPr="00C903F8" w:rsidRDefault="006161E9" w:rsidP="00811428">
      <w:pPr>
        <w:pStyle w:val="ESch"/>
        <w:rPr>
          <w:rFonts w:cs="Arial"/>
          <w:szCs w:val="20"/>
        </w:rPr>
      </w:pPr>
      <w:r>
        <w:t>4.</w:t>
      </w:r>
      <w:r>
        <w:tab/>
        <w:t>I locali di soggiorno comuni e le camere da letto sono provvisti di almeno due uscite, lontane il più possibile l'una dall'altra, che servono da vie di evacuazione. Un'uscita può essere progettata come uscita di sicurezza. Questo requisito non è obbligatorio per i locali che hanno un'uscita che dà direttamente sul ponte o su un corridoio che serve da percorso di sfuggita, a condizione che detto corridoio disponga di due uscite lontane l'una dall'altra che danno a babordo e a tribordo. Le uscite di sicurezza, di cui possono far parte gli osteriggi e le finestre, presentano un'apertura utilizzabile di almeno 0,36 m</w:t>
      </w:r>
      <w:r>
        <w:rPr>
          <w:spacing w:val="-2"/>
          <w:vertAlign w:val="superscript"/>
        </w:rPr>
        <w:t>2</w:t>
      </w:r>
      <w:r>
        <w:t>, hanno un lato minore di almeno 0,50 m e consentono una rapida evacuazione in caso d'emergenza. L'isolamento e il rivestimento dei percorsi di sfuggita sono realizzati in materiali ad infiammabilità ritardata e la possibilità di utilizzarli è garantita in qualsiasi momento mediante mezzi appropriati, come scalette o pioli fissi.</w:t>
      </w:r>
    </w:p>
    <w:p w:rsidR="00811428" w:rsidRPr="00C903F8" w:rsidRDefault="00811428" w:rsidP="00811428">
      <w:pPr>
        <w:pStyle w:val="ESch"/>
        <w:rPr>
          <w:szCs w:val="20"/>
        </w:rPr>
      </w:pPr>
    </w:p>
    <w:p w:rsidR="006161E9" w:rsidRPr="00C903F8" w:rsidRDefault="006161E9" w:rsidP="00811428">
      <w:pPr>
        <w:pStyle w:val="ESch"/>
        <w:rPr>
          <w:rFonts w:cs="Arial"/>
          <w:szCs w:val="20"/>
        </w:rPr>
      </w:pPr>
      <w:r>
        <w:t>5.</w:t>
      </w:r>
      <w:r>
        <w:tab/>
        <w:t>Gli alloggi sono protetti da rumori e vibrazioni eccessivi. I livelli massimi di pressione acustica sono:</w:t>
      </w:r>
    </w:p>
    <w:p w:rsidR="006161E9" w:rsidRPr="00C903F8" w:rsidRDefault="005C7859" w:rsidP="00811428">
      <w:pPr>
        <w:pStyle w:val="ESlet"/>
        <w:rPr>
          <w:rFonts w:cs="Arial"/>
        </w:rPr>
      </w:pPr>
      <w:r>
        <w:t>a)</w:t>
      </w:r>
      <w:r>
        <w:tab/>
        <w:t>nei locali di soggiorno comuni: 70 dB(A);</w:t>
      </w:r>
    </w:p>
    <w:p w:rsidR="006161E9" w:rsidRPr="00C903F8" w:rsidRDefault="005C7859" w:rsidP="00811428">
      <w:pPr>
        <w:pStyle w:val="ESlet"/>
        <w:rPr>
          <w:rFonts w:cs="Arial"/>
        </w:rPr>
      </w:pPr>
      <w:r>
        <w:t>b)</w:t>
      </w:r>
      <w:r>
        <w:tab/>
        <w:t>nelle camere da letto: 60 dB(A). La presente disposizione non si applica alle navi su cui l'attività lavorativa si svolge esclusivamente al di fuori del periodo di riposo dell'equipaggio, conformemente alle normative nazionali degli Stati membri.</w:t>
      </w:r>
    </w:p>
    <w:p w:rsidR="00811428" w:rsidRPr="00C903F8" w:rsidRDefault="00811428" w:rsidP="00811428">
      <w:pPr>
        <w:pStyle w:val="ESch"/>
        <w:rPr>
          <w:szCs w:val="20"/>
        </w:rPr>
      </w:pPr>
    </w:p>
    <w:p w:rsidR="006161E9" w:rsidRPr="00C903F8" w:rsidRDefault="008C3FE7" w:rsidP="00A60E37">
      <w:pPr>
        <w:pStyle w:val="ESchpar"/>
        <w:rPr>
          <w:rFonts w:cs="Arial"/>
        </w:rPr>
      </w:pPr>
      <w:r>
        <w:t>La restrizione concernente il periodo lavorativo giornaliero di cui al paragrafo b) figura nel certificato per la navigazione interna.</w:t>
      </w:r>
    </w:p>
    <w:p w:rsidR="00811428" w:rsidRPr="00C903F8" w:rsidRDefault="00811428" w:rsidP="00811428">
      <w:pPr>
        <w:pStyle w:val="ESch"/>
        <w:rPr>
          <w:szCs w:val="20"/>
        </w:rPr>
      </w:pPr>
    </w:p>
    <w:p w:rsidR="00A60E37" w:rsidRPr="00C903F8" w:rsidRDefault="00A60E37" w:rsidP="00811428">
      <w:pPr>
        <w:pStyle w:val="ESch"/>
        <w:rPr>
          <w:szCs w:val="20"/>
        </w:rPr>
      </w:pPr>
      <w:r>
        <w:br w:type="page"/>
      </w:r>
    </w:p>
    <w:p w:rsidR="006161E9" w:rsidRPr="00C903F8" w:rsidRDefault="006161E9" w:rsidP="00811428">
      <w:pPr>
        <w:pStyle w:val="ESch"/>
        <w:rPr>
          <w:rFonts w:cs="Arial"/>
          <w:szCs w:val="20"/>
        </w:rPr>
      </w:pPr>
      <w:r>
        <w:lastRenderedPageBreak/>
        <w:t>6.</w:t>
      </w:r>
      <w:r>
        <w:tab/>
        <w:t>L'altezza libera negli alloggi non è inferiore a 2,00 m.</w:t>
      </w:r>
    </w:p>
    <w:p w:rsidR="00811428" w:rsidRPr="00C903F8" w:rsidRDefault="00811428" w:rsidP="00811428">
      <w:pPr>
        <w:pStyle w:val="ESch"/>
        <w:rPr>
          <w:szCs w:val="20"/>
        </w:rPr>
      </w:pPr>
    </w:p>
    <w:p w:rsidR="006161E9" w:rsidRPr="00C903F8" w:rsidRDefault="006161E9" w:rsidP="00811428">
      <w:pPr>
        <w:pStyle w:val="ESch"/>
        <w:rPr>
          <w:rFonts w:cs="Arial"/>
          <w:szCs w:val="20"/>
        </w:rPr>
      </w:pPr>
      <w:r>
        <w:t>7.</w:t>
      </w:r>
      <w:r>
        <w:tab/>
        <w:t>Di norma le navi dispongono di almeno un locale di soggiorno comune separato dalle camere da letto.</w:t>
      </w:r>
    </w:p>
    <w:p w:rsidR="00811428" w:rsidRPr="00C903F8" w:rsidRDefault="00811428" w:rsidP="00811428">
      <w:pPr>
        <w:pStyle w:val="ESch"/>
        <w:rPr>
          <w:szCs w:val="20"/>
        </w:rPr>
      </w:pPr>
    </w:p>
    <w:p w:rsidR="006161E9" w:rsidRPr="00C903F8" w:rsidRDefault="006161E9" w:rsidP="00811428">
      <w:pPr>
        <w:pStyle w:val="ESch"/>
        <w:rPr>
          <w:rFonts w:cs="Arial"/>
          <w:szCs w:val="20"/>
        </w:rPr>
      </w:pPr>
      <w:r>
        <w:t>8.</w:t>
      </w:r>
      <w:r>
        <w:tab/>
        <w:t>La superficie disponibile al suolo nei locali di soggiorno comuni non è inferiore a 2 m</w:t>
      </w:r>
      <w:r>
        <w:rPr>
          <w:vertAlign w:val="superscript"/>
        </w:rPr>
        <w:t>2</w:t>
      </w:r>
      <w:r>
        <w:t xml:space="preserve"> per occupante, per un totale comunque non inferiore a 8 m</w:t>
      </w:r>
      <w:r>
        <w:rPr>
          <w:vertAlign w:val="superscript"/>
        </w:rPr>
        <w:t>2</w:t>
      </w:r>
      <w:r>
        <w:t xml:space="preserve"> (esclusi i mobili, ma non i tavoli e le sedie).</w:t>
      </w:r>
    </w:p>
    <w:p w:rsidR="00811428" w:rsidRPr="00C903F8" w:rsidRDefault="00811428" w:rsidP="00811428">
      <w:pPr>
        <w:pStyle w:val="ESch"/>
        <w:rPr>
          <w:szCs w:val="20"/>
        </w:rPr>
      </w:pPr>
    </w:p>
    <w:p w:rsidR="006161E9" w:rsidRPr="00C903F8" w:rsidRDefault="006161E9" w:rsidP="00811428">
      <w:pPr>
        <w:pStyle w:val="ESch"/>
        <w:rPr>
          <w:rFonts w:cs="Arial"/>
          <w:szCs w:val="20"/>
        </w:rPr>
      </w:pPr>
      <w:r>
        <w:t>9.</w:t>
      </w:r>
      <w:r>
        <w:tab/>
        <w:t>Il volume di ciascun locale d'abitazione privato o camera da letto è di almeno 7 m</w:t>
      </w:r>
      <w:r>
        <w:rPr>
          <w:vertAlign w:val="superscript"/>
        </w:rPr>
        <w:t>3</w:t>
      </w:r>
      <w:r>
        <w:t>.</w:t>
      </w:r>
    </w:p>
    <w:p w:rsidR="00811428" w:rsidRPr="00C903F8" w:rsidRDefault="00811428" w:rsidP="00811428">
      <w:pPr>
        <w:pStyle w:val="ESch"/>
        <w:rPr>
          <w:szCs w:val="20"/>
        </w:rPr>
      </w:pPr>
    </w:p>
    <w:p w:rsidR="006161E9" w:rsidRPr="00C903F8" w:rsidRDefault="006161E9" w:rsidP="00811428">
      <w:pPr>
        <w:pStyle w:val="ESch"/>
        <w:rPr>
          <w:rFonts w:cs="Arial"/>
          <w:szCs w:val="20"/>
        </w:rPr>
      </w:pPr>
      <w:r>
        <w:t>10.</w:t>
      </w:r>
      <w:r>
        <w:tab/>
        <w:t>Il volume minimo d'aria dei locali d'abitazione privati è pari a 3,5 m</w:t>
      </w:r>
      <w:r>
        <w:rPr>
          <w:vertAlign w:val="superscript"/>
        </w:rPr>
        <w:t>3</w:t>
      </w:r>
      <w:r>
        <w:t xml:space="preserve"> per occupante. Le camere da notte devono disporre di un volume d'aria pari a 5 m</w:t>
      </w:r>
      <w:r>
        <w:rPr>
          <w:vertAlign w:val="superscript"/>
        </w:rPr>
        <w:t>3</w:t>
      </w:r>
      <w:r>
        <w:t xml:space="preserve"> per il primo occupante e ad almeno 3 m</w:t>
      </w:r>
      <w:r>
        <w:rPr>
          <w:vertAlign w:val="superscript"/>
        </w:rPr>
        <w:t>3</w:t>
      </w:r>
      <w:r>
        <w:t xml:space="preserve"> per ciascun occupante supplementare (dedotto il volume dei mobili). Le camere da letto sono destinate, possibilmente, a due persone al massimo. Le cuccette sono disposte a un'altezza di almeno 0,30 m dal suolo. Se le cuccette sono sovrapposte, al di sopra di ciascuna cuccetta vi è uno spazio libero di almeno 0,60 m di altezza.</w:t>
      </w:r>
    </w:p>
    <w:p w:rsidR="00811428" w:rsidRPr="00C903F8" w:rsidRDefault="00811428" w:rsidP="00811428">
      <w:pPr>
        <w:pStyle w:val="ESch"/>
        <w:rPr>
          <w:szCs w:val="20"/>
        </w:rPr>
      </w:pPr>
    </w:p>
    <w:p w:rsidR="006161E9" w:rsidRPr="00C903F8" w:rsidRDefault="006161E9" w:rsidP="00811428">
      <w:pPr>
        <w:pStyle w:val="ESch"/>
        <w:rPr>
          <w:rFonts w:cs="Arial"/>
          <w:szCs w:val="20"/>
        </w:rPr>
      </w:pPr>
      <w:r>
        <w:t>11.</w:t>
      </w:r>
      <w:r>
        <w:tab/>
        <w:t>Le porte hanno un'altezza libera di almeno 1,90 m dal ponte o dal pavimento e un'ampiezza libera di almeno 0,60 m. L'altezza richiesta si può ottenere mediante coperchi o portelli scorrevoli o ribaltabili. Le porte si aprono verso l'esterno e dev'essere possibile aprirle dalle due parti. Le mastre sistemate nelle aperture delle porte non hanno un'altezza superiore a 0,40 m, fatte salve tuttavia le disposizioni di altri regolamenti in materia di sicurezza.</w:t>
      </w:r>
    </w:p>
    <w:p w:rsidR="00811428" w:rsidRPr="00C903F8" w:rsidRDefault="00811428" w:rsidP="00811428">
      <w:pPr>
        <w:pStyle w:val="ESch"/>
        <w:rPr>
          <w:szCs w:val="20"/>
        </w:rPr>
      </w:pPr>
    </w:p>
    <w:p w:rsidR="006161E9" w:rsidRPr="00C903F8" w:rsidRDefault="006161E9" w:rsidP="00811428">
      <w:pPr>
        <w:pStyle w:val="ESch"/>
        <w:rPr>
          <w:rFonts w:cs="Arial"/>
          <w:szCs w:val="20"/>
        </w:rPr>
      </w:pPr>
      <w:r>
        <w:t>12</w:t>
      </w:r>
      <w:r>
        <w:tab/>
        <w:t>Le scale sono fisse e praticabili senza pericolo. Il presente requisito si considera rispettato quando:</w:t>
      </w:r>
    </w:p>
    <w:p w:rsidR="006161E9" w:rsidRPr="00C903F8" w:rsidRDefault="005C7859" w:rsidP="00811428">
      <w:pPr>
        <w:pStyle w:val="ESlet"/>
        <w:rPr>
          <w:rFonts w:cs="Arial"/>
        </w:rPr>
      </w:pPr>
      <w:r>
        <w:t>a)</w:t>
      </w:r>
      <w:r>
        <w:tab/>
        <w:t>la larghezza è di almeno 0,60 m;</w:t>
      </w:r>
    </w:p>
    <w:p w:rsidR="006161E9" w:rsidRPr="00C903F8" w:rsidRDefault="005C7859" w:rsidP="00811428">
      <w:pPr>
        <w:pStyle w:val="ESlet"/>
        <w:rPr>
          <w:rFonts w:cs="Arial"/>
        </w:rPr>
      </w:pPr>
      <w:r>
        <w:t>b)</w:t>
      </w:r>
      <w:r>
        <w:tab/>
        <w:t>la pedata dei gradini è di almeno 0,15 m;</w:t>
      </w:r>
    </w:p>
    <w:p w:rsidR="006161E9" w:rsidRPr="00C903F8" w:rsidRDefault="005C7859" w:rsidP="00811428">
      <w:pPr>
        <w:pStyle w:val="ESlet"/>
        <w:rPr>
          <w:rFonts w:cs="Arial"/>
        </w:rPr>
      </w:pPr>
      <w:r>
        <w:t>c)</w:t>
      </w:r>
      <w:r>
        <w:tab/>
        <w:t>i gradini sono antisdrucciolo; e</w:t>
      </w:r>
    </w:p>
    <w:p w:rsidR="006161E9" w:rsidRPr="00C903F8" w:rsidRDefault="005C7859" w:rsidP="00811428">
      <w:pPr>
        <w:pStyle w:val="ESlet"/>
        <w:rPr>
          <w:rFonts w:cs="Arial"/>
        </w:rPr>
      </w:pPr>
      <w:r>
        <w:t>d)</w:t>
      </w:r>
      <w:r>
        <w:tab/>
        <w:t>le scale con più di tre gradini sono provviste di almeno un corrimano o una maniglia di ritenuta.</w:t>
      </w:r>
    </w:p>
    <w:p w:rsidR="00811428" w:rsidRPr="00C903F8" w:rsidRDefault="00811428" w:rsidP="00811428">
      <w:pPr>
        <w:pStyle w:val="ESch"/>
        <w:rPr>
          <w:szCs w:val="20"/>
        </w:rPr>
      </w:pPr>
    </w:p>
    <w:p w:rsidR="006161E9" w:rsidRPr="00C903F8" w:rsidRDefault="006161E9" w:rsidP="00811428">
      <w:pPr>
        <w:pStyle w:val="ESch"/>
        <w:rPr>
          <w:rFonts w:cs="Arial"/>
          <w:szCs w:val="20"/>
        </w:rPr>
      </w:pPr>
      <w:r>
        <w:t>13.</w:t>
      </w:r>
      <w:r>
        <w:tab/>
        <w:t>Le condutture di gas e di liquidi pericolosi, in particolare quelli sottoposti a così forte pressione che, in caso di fuga, potrebbero rappresentare un pericolo per le persone, non sono collocate negli alloggi o nei corridoi che conducono agli alloggi. Ciò non si applica alle tubazioni di impianti a gas liquefatto per uso domestico e per le condutture di vapore e per quelle degli impianti idraulici, purché contenute in un manicotto metallico.</w:t>
      </w:r>
    </w:p>
    <w:p w:rsidR="006161E9" w:rsidRPr="00C903F8" w:rsidRDefault="006161E9" w:rsidP="00811428">
      <w:pPr>
        <w:pStyle w:val="ESch"/>
        <w:rPr>
          <w:rFonts w:cs="Arial"/>
          <w:szCs w:val="20"/>
        </w:rPr>
      </w:pPr>
    </w:p>
    <w:p w:rsidR="00A60E37" w:rsidRPr="00C903F8" w:rsidRDefault="00A60E37" w:rsidP="00811428">
      <w:pPr>
        <w:pStyle w:val="ESch"/>
        <w:rPr>
          <w:rFonts w:cs="Arial"/>
          <w:szCs w:val="20"/>
        </w:rPr>
      </w:pPr>
    </w:p>
    <w:p w:rsidR="006161E9" w:rsidRPr="00C903F8" w:rsidRDefault="006161E9" w:rsidP="00811428">
      <w:pPr>
        <w:pStyle w:val="ES-Titre3"/>
        <w:rPr>
          <w:i/>
        </w:rPr>
      </w:pPr>
      <w:bookmarkStart w:id="260" w:name="_Toc491854127"/>
      <w:bookmarkStart w:id="261" w:name="_Toc535500076"/>
      <w:r>
        <w:t>Articolo 15.03</w:t>
      </w:r>
      <w:r>
        <w:br/>
      </w:r>
      <w:r>
        <w:rPr>
          <w:i/>
        </w:rPr>
        <w:t>Servizi igienici</w:t>
      </w:r>
      <w:bookmarkEnd w:id="260"/>
      <w:bookmarkEnd w:id="261"/>
    </w:p>
    <w:p w:rsidR="00811428" w:rsidRPr="00C903F8" w:rsidRDefault="00811428" w:rsidP="00811428">
      <w:pPr>
        <w:pStyle w:val="ESch"/>
        <w:rPr>
          <w:szCs w:val="20"/>
        </w:rPr>
      </w:pPr>
    </w:p>
    <w:p w:rsidR="006161E9" w:rsidRPr="00C903F8" w:rsidRDefault="006161E9" w:rsidP="00811428">
      <w:pPr>
        <w:pStyle w:val="ESch"/>
        <w:rPr>
          <w:rFonts w:cs="Arial"/>
          <w:szCs w:val="20"/>
        </w:rPr>
      </w:pPr>
      <w:r>
        <w:t>1.</w:t>
      </w:r>
      <w:r>
        <w:tab/>
        <w:t>Le navi dotate di alloggi dispongono almeno dei seguenti servizi igienici:</w:t>
      </w:r>
    </w:p>
    <w:p w:rsidR="006161E9" w:rsidRPr="00C903F8" w:rsidRDefault="005C7859" w:rsidP="00811428">
      <w:pPr>
        <w:pStyle w:val="ESlet"/>
        <w:rPr>
          <w:rFonts w:cs="Arial"/>
        </w:rPr>
      </w:pPr>
      <w:r>
        <w:t>a)</w:t>
      </w:r>
      <w:r>
        <w:tab/>
        <w:t>un gabinetto per unità di alloggio oppure ogni sei membri dell'equipaggio, dove è possibile la ventilazione con aria fresca;</w:t>
      </w:r>
    </w:p>
    <w:p w:rsidR="006161E9" w:rsidRPr="00C903F8" w:rsidRDefault="005C7859" w:rsidP="00811428">
      <w:pPr>
        <w:pStyle w:val="ESlet"/>
        <w:rPr>
          <w:rFonts w:cs="Arial"/>
        </w:rPr>
      </w:pPr>
      <w:r>
        <w:t>b)</w:t>
      </w:r>
      <w:r>
        <w:tab/>
        <w:t>un lavabo con relativo scarico, collegato all'acqua potabile calda e fredda, per unità di alloggio oppure ogni quattro membri dell'equipaggio;</w:t>
      </w:r>
    </w:p>
    <w:p w:rsidR="006161E9" w:rsidRPr="00C903F8" w:rsidRDefault="005C7859" w:rsidP="00811428">
      <w:pPr>
        <w:pStyle w:val="ESlet"/>
        <w:rPr>
          <w:rFonts w:cs="Arial"/>
        </w:rPr>
      </w:pPr>
      <w:r>
        <w:t>c)</w:t>
      </w:r>
      <w:r>
        <w:tab/>
        <w:t>una doccia o una vasca da bagno collegata all'acqua potabile calda e fredda per unità di alloggio oppure ogni sei membri dell'equipaggio.</w:t>
      </w:r>
    </w:p>
    <w:p w:rsidR="00811428" w:rsidRPr="00C903F8" w:rsidRDefault="00811428" w:rsidP="00811428">
      <w:pPr>
        <w:pStyle w:val="ESlet"/>
        <w:rPr>
          <w:szCs w:val="20"/>
        </w:rPr>
      </w:pPr>
    </w:p>
    <w:p w:rsidR="00A60E37" w:rsidRPr="00C903F8" w:rsidRDefault="00A60E37" w:rsidP="00811428">
      <w:pPr>
        <w:pStyle w:val="ESlet"/>
        <w:rPr>
          <w:szCs w:val="20"/>
        </w:rPr>
      </w:pPr>
      <w:r>
        <w:br w:type="page"/>
      </w:r>
    </w:p>
    <w:p w:rsidR="006161E9" w:rsidRPr="00C903F8" w:rsidRDefault="006161E9" w:rsidP="00811428">
      <w:pPr>
        <w:pStyle w:val="ESch"/>
        <w:rPr>
          <w:rFonts w:cs="Arial"/>
          <w:szCs w:val="20"/>
        </w:rPr>
      </w:pPr>
      <w:r>
        <w:lastRenderedPageBreak/>
        <w:t>2.</w:t>
      </w:r>
      <w:r>
        <w:tab/>
        <w:t>I servizi igienici si trovano nelle immediate vicinanze dei locali adibiti ad alloggi. I gabinetti non danno direttamente sulle cucine, sulle mense o sui locali di soggiorno comuni abbinati alle cucine.</w:t>
      </w:r>
    </w:p>
    <w:p w:rsidR="00811428" w:rsidRPr="00C903F8" w:rsidRDefault="00811428" w:rsidP="00811428">
      <w:pPr>
        <w:pStyle w:val="ESch"/>
        <w:rPr>
          <w:szCs w:val="20"/>
        </w:rPr>
      </w:pPr>
    </w:p>
    <w:p w:rsidR="006161E9" w:rsidRPr="00C903F8" w:rsidRDefault="006161E9" w:rsidP="00811428">
      <w:pPr>
        <w:pStyle w:val="ESch"/>
        <w:rPr>
          <w:rFonts w:cs="Arial"/>
          <w:szCs w:val="20"/>
        </w:rPr>
      </w:pPr>
      <w:r>
        <w:t>3.</w:t>
      </w:r>
      <w:r>
        <w:tab/>
        <w:t>I gabinetti hanno una superficie di almeno 1 m</w:t>
      </w:r>
      <w:r>
        <w:rPr>
          <w:vertAlign w:val="superscript"/>
        </w:rPr>
        <w:t>2</w:t>
      </w:r>
      <w:r>
        <w:t>, con una larghezza di almeno 0,75 m e una lunghezza di almeno 1,10 m. I gabinetti delle cabine per due persone al massimo possono essere più piccoli. Se un gabinetto contiene un lavabo e/o una doccia, occorre aumentare la superficie almeno dello spazio occupato dal lavabo e/o dalla doccia (o dalla vasca).</w:t>
      </w:r>
    </w:p>
    <w:p w:rsidR="006161E9" w:rsidRPr="00C903F8" w:rsidRDefault="006161E9" w:rsidP="00811428">
      <w:pPr>
        <w:pStyle w:val="ESch"/>
        <w:rPr>
          <w:rFonts w:cs="Arial"/>
          <w:szCs w:val="20"/>
        </w:rPr>
      </w:pPr>
    </w:p>
    <w:p w:rsidR="00A60E37" w:rsidRPr="00C903F8" w:rsidRDefault="00A60E37" w:rsidP="00811428">
      <w:pPr>
        <w:pStyle w:val="ESch"/>
        <w:rPr>
          <w:rFonts w:cs="Arial"/>
          <w:szCs w:val="20"/>
        </w:rPr>
      </w:pPr>
    </w:p>
    <w:p w:rsidR="006161E9" w:rsidRPr="00C903F8" w:rsidRDefault="006161E9" w:rsidP="00811428">
      <w:pPr>
        <w:pStyle w:val="ES-Titre3"/>
        <w:rPr>
          <w:i/>
        </w:rPr>
      </w:pPr>
      <w:bookmarkStart w:id="262" w:name="_Toc491854128"/>
      <w:bookmarkStart w:id="263" w:name="_Toc535500077"/>
      <w:r>
        <w:t>Articolo 15.04</w:t>
      </w:r>
      <w:r>
        <w:br/>
      </w:r>
      <w:r>
        <w:rPr>
          <w:i/>
        </w:rPr>
        <w:t>Cucine</w:t>
      </w:r>
      <w:bookmarkEnd w:id="262"/>
      <w:bookmarkEnd w:id="263"/>
    </w:p>
    <w:p w:rsidR="00811428" w:rsidRPr="00C903F8" w:rsidRDefault="00811428" w:rsidP="00811428">
      <w:pPr>
        <w:pStyle w:val="ESch"/>
        <w:rPr>
          <w:szCs w:val="20"/>
        </w:rPr>
      </w:pPr>
    </w:p>
    <w:p w:rsidR="006161E9" w:rsidRPr="00C903F8" w:rsidRDefault="006161E9" w:rsidP="00811428">
      <w:pPr>
        <w:pStyle w:val="ESch"/>
        <w:rPr>
          <w:rFonts w:cs="Arial"/>
          <w:szCs w:val="20"/>
        </w:rPr>
      </w:pPr>
      <w:r>
        <w:t>1.</w:t>
      </w:r>
      <w:r>
        <w:tab/>
        <w:t>Le cucine possono essere abbinate a locali di soggiorno comuni.</w:t>
      </w:r>
    </w:p>
    <w:p w:rsidR="00811428" w:rsidRPr="00C903F8" w:rsidRDefault="00811428" w:rsidP="00811428">
      <w:pPr>
        <w:pStyle w:val="ESch"/>
        <w:rPr>
          <w:szCs w:val="20"/>
        </w:rPr>
      </w:pPr>
    </w:p>
    <w:p w:rsidR="006161E9" w:rsidRPr="00C903F8" w:rsidRDefault="006161E9" w:rsidP="00811428">
      <w:pPr>
        <w:pStyle w:val="ESch"/>
        <w:rPr>
          <w:rFonts w:cs="Arial"/>
          <w:szCs w:val="20"/>
        </w:rPr>
      </w:pPr>
      <w:r>
        <w:t>2.</w:t>
      </w:r>
      <w:r>
        <w:tab/>
        <w:t>Le cucine sono provviste di:</w:t>
      </w:r>
    </w:p>
    <w:p w:rsidR="006161E9" w:rsidRPr="00C903F8" w:rsidRDefault="005C7859" w:rsidP="00811428">
      <w:pPr>
        <w:pStyle w:val="ESlet"/>
        <w:rPr>
          <w:rFonts w:cs="Arial"/>
        </w:rPr>
      </w:pPr>
      <w:r>
        <w:t>a)</w:t>
      </w:r>
      <w:r>
        <w:tab/>
        <w:t>un apparecchio di cottura;</w:t>
      </w:r>
    </w:p>
    <w:p w:rsidR="006161E9" w:rsidRPr="00C903F8" w:rsidRDefault="005C7859" w:rsidP="00811428">
      <w:pPr>
        <w:pStyle w:val="ESlet"/>
        <w:rPr>
          <w:rFonts w:cs="Arial"/>
        </w:rPr>
      </w:pPr>
      <w:r>
        <w:t>b)</w:t>
      </w:r>
      <w:r>
        <w:tab/>
        <w:t>un lavandino con relativo scarico;</w:t>
      </w:r>
    </w:p>
    <w:p w:rsidR="006161E9" w:rsidRPr="00C903F8" w:rsidRDefault="005C7859" w:rsidP="00811428">
      <w:pPr>
        <w:pStyle w:val="ESlet"/>
        <w:rPr>
          <w:rFonts w:cs="Arial"/>
        </w:rPr>
      </w:pPr>
      <w:r>
        <w:t>c)</w:t>
      </w:r>
      <w:r>
        <w:tab/>
        <w:t>un impianto per l'approvvigionamento di acqua potabile;</w:t>
      </w:r>
    </w:p>
    <w:p w:rsidR="006161E9" w:rsidRPr="00C903F8" w:rsidRDefault="005C7859" w:rsidP="00811428">
      <w:pPr>
        <w:pStyle w:val="ESlet"/>
        <w:rPr>
          <w:rFonts w:cs="Arial"/>
        </w:rPr>
      </w:pPr>
      <w:r>
        <w:t>d)</w:t>
      </w:r>
      <w:r>
        <w:tab/>
        <w:t>un frigorifero;</w:t>
      </w:r>
    </w:p>
    <w:p w:rsidR="006161E9" w:rsidRPr="00C903F8" w:rsidRDefault="0029453D" w:rsidP="00811428">
      <w:pPr>
        <w:pStyle w:val="ESlet"/>
        <w:rPr>
          <w:rFonts w:cs="Arial"/>
        </w:rPr>
      </w:pPr>
      <w:r>
        <w:t>e)</w:t>
      </w:r>
      <w:r>
        <w:tab/>
        <w:t>spazio sufficiente per riporre le provviste e lavorare.</w:t>
      </w:r>
    </w:p>
    <w:p w:rsidR="00811428" w:rsidRPr="00C903F8" w:rsidRDefault="00811428" w:rsidP="00811428">
      <w:pPr>
        <w:pStyle w:val="ESch"/>
        <w:rPr>
          <w:szCs w:val="20"/>
        </w:rPr>
      </w:pPr>
    </w:p>
    <w:p w:rsidR="006161E9" w:rsidRPr="00C903F8" w:rsidRDefault="006161E9" w:rsidP="00811428">
      <w:pPr>
        <w:pStyle w:val="ESch"/>
        <w:rPr>
          <w:rFonts w:cs="Arial"/>
          <w:szCs w:val="20"/>
        </w:rPr>
      </w:pPr>
      <w:r>
        <w:t>3.</w:t>
      </w:r>
      <w:r>
        <w:tab/>
        <w:t>La zona per la refezione nelle cucine abbinate a un locale di soggiorno comune è sufficiente per il numero di membri dell'equipaggio che di regola la utilizzano contemporaneamente. La larghezza dei posti a sedere non è inferiore a 0,60 m.</w:t>
      </w:r>
    </w:p>
    <w:p w:rsidR="006161E9" w:rsidRPr="00C903F8" w:rsidRDefault="006161E9" w:rsidP="00811428">
      <w:pPr>
        <w:pStyle w:val="ESch"/>
        <w:rPr>
          <w:rFonts w:cs="Arial"/>
          <w:szCs w:val="20"/>
        </w:rPr>
      </w:pPr>
    </w:p>
    <w:p w:rsidR="00A60E37" w:rsidRPr="00C903F8" w:rsidRDefault="00A60E37" w:rsidP="00811428">
      <w:pPr>
        <w:pStyle w:val="ESch"/>
        <w:rPr>
          <w:rFonts w:cs="Arial"/>
          <w:szCs w:val="20"/>
        </w:rPr>
      </w:pPr>
    </w:p>
    <w:p w:rsidR="006161E9" w:rsidRPr="00C903F8" w:rsidRDefault="006161E9" w:rsidP="00811428">
      <w:pPr>
        <w:pStyle w:val="ES-Titre3"/>
        <w:rPr>
          <w:i/>
        </w:rPr>
      </w:pPr>
      <w:bookmarkStart w:id="264" w:name="_Toc491854129"/>
      <w:bookmarkStart w:id="265" w:name="_Toc535500078"/>
      <w:r>
        <w:t>Articolo 15.05</w:t>
      </w:r>
      <w:r>
        <w:br/>
      </w:r>
      <w:r>
        <w:rPr>
          <w:i/>
        </w:rPr>
        <w:t>Impianti d'acqua potabile</w:t>
      </w:r>
      <w:bookmarkEnd w:id="264"/>
      <w:bookmarkEnd w:id="265"/>
    </w:p>
    <w:p w:rsidR="00811428" w:rsidRPr="00C903F8" w:rsidRDefault="00811428" w:rsidP="00811428">
      <w:pPr>
        <w:pStyle w:val="ESch"/>
        <w:rPr>
          <w:szCs w:val="20"/>
        </w:rPr>
      </w:pPr>
    </w:p>
    <w:p w:rsidR="006161E9" w:rsidRPr="00C903F8" w:rsidRDefault="006161E9" w:rsidP="00811428">
      <w:pPr>
        <w:pStyle w:val="ESch"/>
        <w:rPr>
          <w:rFonts w:cs="Arial"/>
          <w:szCs w:val="20"/>
        </w:rPr>
      </w:pPr>
      <w:r>
        <w:t>1.</w:t>
      </w:r>
      <w:r>
        <w:tab/>
        <w:t>Le navi dotate di alloggi sono provviste di un impianto d'acqua potabile. Sulle bocche per il riempimento dei serbatoi d'acqua potabile e sulle manichette d'acqua potabile è indicato che sono destinate esclusivamente all'acqua potabile. Le manichette per il rifornimento d'acqua potabile sono installate sopra il ponte.</w:t>
      </w:r>
    </w:p>
    <w:p w:rsidR="00811428" w:rsidRPr="00C903F8" w:rsidRDefault="00811428" w:rsidP="00811428">
      <w:pPr>
        <w:pStyle w:val="ESch"/>
        <w:rPr>
          <w:szCs w:val="20"/>
        </w:rPr>
      </w:pPr>
    </w:p>
    <w:p w:rsidR="006161E9" w:rsidRPr="00C903F8" w:rsidRDefault="006161E9" w:rsidP="00811428">
      <w:pPr>
        <w:pStyle w:val="ESch"/>
        <w:rPr>
          <w:rFonts w:cs="Arial"/>
          <w:szCs w:val="20"/>
        </w:rPr>
      </w:pPr>
      <w:r>
        <w:t>2.</w:t>
      </w:r>
      <w:r>
        <w:tab/>
        <w:t>Gli impianti d'acqua potabile:</w:t>
      </w:r>
    </w:p>
    <w:p w:rsidR="006161E9" w:rsidRPr="00C903F8" w:rsidRDefault="005C7859" w:rsidP="00811428">
      <w:pPr>
        <w:pStyle w:val="ESlet"/>
        <w:rPr>
          <w:rFonts w:cs="Arial"/>
        </w:rPr>
      </w:pPr>
      <w:r>
        <w:t>a)</w:t>
      </w:r>
      <w:r>
        <w:tab/>
        <w:t>sono costituiti all'interno di materiale resistente alla corrosione e non pericoloso da un punto di vista fisiologico;</w:t>
      </w:r>
    </w:p>
    <w:p w:rsidR="006161E9" w:rsidRPr="00C903F8" w:rsidRDefault="005C7859" w:rsidP="00811428">
      <w:pPr>
        <w:pStyle w:val="ESlet"/>
        <w:rPr>
          <w:rFonts w:cs="Arial"/>
        </w:rPr>
      </w:pPr>
      <w:r>
        <w:t>b)</w:t>
      </w:r>
      <w:r>
        <w:tab/>
        <w:t>presentano sezioni di tubo che garantiscano sempre un flusso d'acqua regolare;</w:t>
      </w:r>
    </w:p>
    <w:p w:rsidR="006161E9" w:rsidRPr="00C903F8" w:rsidRDefault="005C7859" w:rsidP="00811428">
      <w:pPr>
        <w:pStyle w:val="ESlet"/>
        <w:rPr>
          <w:rFonts w:cs="Arial"/>
        </w:rPr>
      </w:pPr>
      <w:r>
        <w:t>c)</w:t>
      </w:r>
      <w:r>
        <w:tab/>
        <w:t>sono protetti da un riscaldamento eccessivo.</w:t>
      </w:r>
    </w:p>
    <w:p w:rsidR="00811428" w:rsidRPr="00C903F8" w:rsidRDefault="00811428" w:rsidP="00811428">
      <w:pPr>
        <w:pStyle w:val="ESch"/>
        <w:rPr>
          <w:szCs w:val="20"/>
        </w:rPr>
      </w:pPr>
    </w:p>
    <w:p w:rsidR="006161E9" w:rsidRPr="00C903F8" w:rsidRDefault="006161E9" w:rsidP="00811428">
      <w:pPr>
        <w:pStyle w:val="ESch"/>
        <w:rPr>
          <w:rFonts w:cs="Arial"/>
          <w:szCs w:val="20"/>
        </w:rPr>
      </w:pPr>
      <w:r>
        <w:t>3.</w:t>
      </w:r>
      <w:r>
        <w:tab/>
        <w:t>Oltre a quanto previsto al paragrafo 2 i serbatoi d'acqua potabile:</w:t>
      </w:r>
    </w:p>
    <w:p w:rsidR="006161E9" w:rsidRPr="00C903F8" w:rsidRDefault="005C7859" w:rsidP="00811428">
      <w:pPr>
        <w:pStyle w:val="ESlet"/>
        <w:rPr>
          <w:rFonts w:cs="Arial"/>
        </w:rPr>
      </w:pPr>
      <w:r>
        <w:t>a)</w:t>
      </w:r>
      <w:r>
        <w:tab/>
        <w:t>hanno una capacità di almeno 150 litri per ogni persona che vive normalmente a bordo, e almeno per ogni membro dell'equipaggio;</w:t>
      </w:r>
    </w:p>
    <w:p w:rsidR="006161E9" w:rsidRPr="00C903F8" w:rsidRDefault="005C7859" w:rsidP="00811428">
      <w:pPr>
        <w:pStyle w:val="ESlet"/>
        <w:rPr>
          <w:rFonts w:cs="Arial"/>
        </w:rPr>
      </w:pPr>
      <w:r>
        <w:t>b)</w:t>
      </w:r>
      <w:r>
        <w:tab/>
        <w:t>sono provvisti di un'apertura adeguata per la pulizia interna che possa essere chiusa a chiave;</w:t>
      </w:r>
    </w:p>
    <w:p w:rsidR="006161E9" w:rsidRPr="00C903F8" w:rsidRDefault="005C7859" w:rsidP="00811428">
      <w:pPr>
        <w:pStyle w:val="ESlet"/>
        <w:rPr>
          <w:rFonts w:cs="Arial"/>
        </w:rPr>
      </w:pPr>
      <w:r>
        <w:t>c)</w:t>
      </w:r>
      <w:r>
        <w:tab/>
        <w:t>sono dotati di un indicatore del livello dell'acqua;</w:t>
      </w:r>
    </w:p>
    <w:p w:rsidR="006161E9" w:rsidRPr="00C903F8" w:rsidRDefault="005C7859" w:rsidP="00811428">
      <w:pPr>
        <w:pStyle w:val="ESlet"/>
        <w:rPr>
          <w:rFonts w:cs="Arial"/>
        </w:rPr>
      </w:pPr>
      <w:r>
        <w:t>d)</w:t>
      </w:r>
      <w:r>
        <w:tab/>
        <w:t>sono dotati di condotte di ventilazione che danno all'esterno o munite di appositi filtri.</w:t>
      </w:r>
    </w:p>
    <w:p w:rsidR="00811428" w:rsidRPr="00C903F8" w:rsidRDefault="00811428" w:rsidP="00811428">
      <w:pPr>
        <w:pStyle w:val="ESch"/>
        <w:rPr>
          <w:szCs w:val="20"/>
        </w:rPr>
      </w:pPr>
    </w:p>
    <w:p w:rsidR="00A60E37" w:rsidRPr="00C903F8" w:rsidRDefault="00A60E37" w:rsidP="00811428">
      <w:pPr>
        <w:pStyle w:val="ESch"/>
        <w:rPr>
          <w:szCs w:val="20"/>
        </w:rPr>
      </w:pPr>
      <w:r>
        <w:br w:type="page"/>
      </w:r>
    </w:p>
    <w:p w:rsidR="006161E9" w:rsidRPr="00C903F8" w:rsidRDefault="006161E9" w:rsidP="00811428">
      <w:pPr>
        <w:pStyle w:val="ESch"/>
        <w:rPr>
          <w:rFonts w:cs="Arial"/>
          <w:szCs w:val="20"/>
        </w:rPr>
      </w:pPr>
      <w:r>
        <w:lastRenderedPageBreak/>
        <w:t>4.</w:t>
      </w:r>
      <w:r>
        <w:tab/>
        <w:t>I serbatoi d'acqua potabile non hanno pareti in comune con altri serbatoi. Le condutture d'acqua potabile non passano all'interno di serbatoi contenenti altri liquidi. Non sono consentiti collegamenti fra l'impianto d'acqua potabile e le altre tubolature. Le tubolature per gas o liquidi diversi dall'acqua potabile non passano attraverso i serbatoi d'acqua potabile.</w:t>
      </w:r>
    </w:p>
    <w:p w:rsidR="00811428" w:rsidRPr="00C903F8" w:rsidRDefault="00811428" w:rsidP="00811428">
      <w:pPr>
        <w:pStyle w:val="ESch"/>
        <w:rPr>
          <w:szCs w:val="20"/>
        </w:rPr>
      </w:pPr>
    </w:p>
    <w:p w:rsidR="006161E9" w:rsidRPr="00C903F8" w:rsidRDefault="006161E9" w:rsidP="00811428">
      <w:pPr>
        <w:pStyle w:val="ESch"/>
        <w:rPr>
          <w:szCs w:val="20"/>
        </w:rPr>
      </w:pPr>
      <w:r>
        <w:t>5.</w:t>
      </w:r>
      <w:r>
        <w:tab/>
        <w:t>I serbatoi sotto pressione per l'acqua potabile funzionano soltanto ad aria compressa di composizione naturale. Se l'aria è prodotta mediante compressori, sono sistemati appositi filtri d'aria e disoleatori immediatamente davanti al serbatoio d'acqua sotto pressione, salvo nel caso in cui l'acqua sia separata dall'aria da una membrana.</w:t>
      </w:r>
    </w:p>
    <w:p w:rsidR="00811428" w:rsidRPr="00C903F8" w:rsidRDefault="00811428" w:rsidP="00811428">
      <w:pPr>
        <w:pStyle w:val="ESch"/>
        <w:rPr>
          <w:szCs w:val="20"/>
        </w:rPr>
      </w:pPr>
    </w:p>
    <w:p w:rsidR="00811428" w:rsidRPr="00C903F8" w:rsidRDefault="00811428" w:rsidP="00811428">
      <w:pPr>
        <w:pStyle w:val="ESch"/>
        <w:rPr>
          <w:rFonts w:cs="Arial"/>
          <w:szCs w:val="20"/>
        </w:rPr>
      </w:pPr>
    </w:p>
    <w:p w:rsidR="006161E9" w:rsidRPr="00C903F8" w:rsidRDefault="006161E9" w:rsidP="00811428">
      <w:pPr>
        <w:pStyle w:val="ES-Titre3"/>
        <w:rPr>
          <w:i/>
        </w:rPr>
      </w:pPr>
      <w:bookmarkStart w:id="266" w:name="_Toc491854130"/>
      <w:bookmarkStart w:id="267" w:name="_Toc535500079"/>
      <w:r>
        <w:t>Articolo 15.06</w:t>
      </w:r>
      <w:r>
        <w:br/>
      </w:r>
      <w:r>
        <w:rPr>
          <w:i/>
        </w:rPr>
        <w:t>Riscaldamento e ventilazione</w:t>
      </w:r>
      <w:bookmarkEnd w:id="266"/>
      <w:bookmarkEnd w:id="267"/>
    </w:p>
    <w:p w:rsidR="00811428" w:rsidRPr="00C903F8" w:rsidRDefault="00811428" w:rsidP="00811428">
      <w:pPr>
        <w:pStyle w:val="ESch"/>
        <w:rPr>
          <w:szCs w:val="20"/>
        </w:rPr>
      </w:pPr>
    </w:p>
    <w:p w:rsidR="006161E9" w:rsidRPr="00C903F8" w:rsidRDefault="006161E9" w:rsidP="00811428">
      <w:pPr>
        <w:pStyle w:val="ESch"/>
        <w:rPr>
          <w:rFonts w:cs="Arial"/>
          <w:szCs w:val="20"/>
        </w:rPr>
      </w:pPr>
      <w:r>
        <w:t>1.</w:t>
      </w:r>
      <w:r>
        <w:tab/>
        <w:t>Gli alloggi devono poter essere riscaldati in ragione della loro destinazione d'uso. Gli impianti di riscaldamento sono adeguati alle condizioni meteorologiche che si possono presentare.</w:t>
      </w:r>
    </w:p>
    <w:p w:rsidR="00811428" w:rsidRPr="00C903F8" w:rsidRDefault="00811428" w:rsidP="00811428">
      <w:pPr>
        <w:pStyle w:val="ESch"/>
        <w:rPr>
          <w:szCs w:val="20"/>
        </w:rPr>
      </w:pPr>
    </w:p>
    <w:p w:rsidR="006161E9" w:rsidRPr="00C903F8" w:rsidRDefault="006161E9" w:rsidP="00811428">
      <w:pPr>
        <w:pStyle w:val="ESch"/>
        <w:rPr>
          <w:rFonts w:cs="Arial"/>
          <w:szCs w:val="20"/>
        </w:rPr>
      </w:pPr>
      <w:r>
        <w:t>2.</w:t>
      </w:r>
      <w:r>
        <w:tab/>
        <w:t>Occorre poter ventilare sufficientemente i locali di soggiorno comuni e le camere da letto, anche con le porte chiuse. La ventilazione consente una circolazione d'aria sufficiente in tutte le condizioni climatiche.</w:t>
      </w:r>
    </w:p>
    <w:p w:rsidR="00811428" w:rsidRPr="00C903F8" w:rsidRDefault="00811428" w:rsidP="00811428">
      <w:pPr>
        <w:pStyle w:val="ESch"/>
        <w:rPr>
          <w:szCs w:val="20"/>
        </w:rPr>
      </w:pPr>
    </w:p>
    <w:p w:rsidR="006161E9" w:rsidRPr="00C903F8" w:rsidRDefault="006161E9" w:rsidP="00811428">
      <w:pPr>
        <w:pStyle w:val="ESch"/>
        <w:rPr>
          <w:rFonts w:cs="Arial"/>
          <w:szCs w:val="20"/>
        </w:rPr>
      </w:pPr>
      <w:r>
        <w:t>3.</w:t>
      </w:r>
      <w:r>
        <w:tab/>
        <w:t>Gli alloggi sono progettati e attrezzati in modo da impedire, per quanto possibile, l'entrata di aria viziata proveniente da altre zone della nave, come le sale macchine o le stive; se vi è un impianto di ventilazione forzata, le prese d'aria sono posizionate in modo da soddisfare i requisiti di cui sopra.</w:t>
      </w:r>
    </w:p>
    <w:p w:rsidR="006161E9" w:rsidRPr="00C903F8" w:rsidRDefault="006161E9" w:rsidP="00811428">
      <w:pPr>
        <w:pStyle w:val="ESch"/>
        <w:rPr>
          <w:rFonts w:cs="Arial"/>
          <w:i/>
          <w:szCs w:val="20"/>
        </w:rPr>
      </w:pPr>
    </w:p>
    <w:p w:rsidR="00811428" w:rsidRPr="00C903F8" w:rsidRDefault="00811428" w:rsidP="00811428">
      <w:pPr>
        <w:pStyle w:val="ESch"/>
        <w:rPr>
          <w:rFonts w:cs="Arial"/>
          <w:i/>
          <w:szCs w:val="20"/>
        </w:rPr>
      </w:pPr>
    </w:p>
    <w:p w:rsidR="006161E9" w:rsidRPr="00C903F8" w:rsidRDefault="006161E9" w:rsidP="00811428">
      <w:pPr>
        <w:pStyle w:val="ES-Titre3"/>
        <w:rPr>
          <w:i/>
        </w:rPr>
      </w:pPr>
      <w:bookmarkStart w:id="268" w:name="_Toc491854131"/>
      <w:bookmarkStart w:id="269" w:name="_Toc535500080"/>
      <w:r>
        <w:t>Articolo 15.07</w:t>
      </w:r>
      <w:r>
        <w:br/>
      </w:r>
      <w:r>
        <w:rPr>
          <w:i/>
        </w:rPr>
        <w:t>Altri impianti</w:t>
      </w:r>
      <w:bookmarkEnd w:id="268"/>
      <w:bookmarkEnd w:id="269"/>
    </w:p>
    <w:p w:rsidR="00811428" w:rsidRPr="00C903F8" w:rsidRDefault="00811428" w:rsidP="00811428">
      <w:pPr>
        <w:pStyle w:val="ESch"/>
        <w:rPr>
          <w:szCs w:val="20"/>
        </w:rPr>
      </w:pPr>
    </w:p>
    <w:p w:rsidR="006161E9" w:rsidRPr="00C903F8" w:rsidRDefault="006161E9" w:rsidP="00811428">
      <w:pPr>
        <w:pStyle w:val="ESch"/>
        <w:rPr>
          <w:rFonts w:cs="Arial"/>
          <w:szCs w:val="20"/>
        </w:rPr>
      </w:pPr>
      <w:r>
        <w:t>1.</w:t>
      </w:r>
      <w:r>
        <w:tab/>
        <w:t>Ogni membro dell'equipaggio che vive a bordo dispone di una cuccetta personale e di un armadio personale per gli indumenti provvisto di serratura. Le dimensioni interne minime della cuccetta sono di 2,00. Le dimensioni interne della cuccetta presentano una lunghezza non inferiore a 2,00 m e una larghezza non inferiore a 0,90 m.</w:t>
      </w:r>
    </w:p>
    <w:p w:rsidR="00811428" w:rsidRPr="00C903F8" w:rsidRDefault="00811428" w:rsidP="00811428">
      <w:pPr>
        <w:pStyle w:val="ESch"/>
        <w:rPr>
          <w:szCs w:val="20"/>
        </w:rPr>
      </w:pPr>
    </w:p>
    <w:p w:rsidR="006161E9" w:rsidRPr="00C903F8" w:rsidRDefault="006161E9" w:rsidP="00811428">
      <w:pPr>
        <w:pStyle w:val="ESch"/>
        <w:rPr>
          <w:rFonts w:cs="Arial"/>
          <w:szCs w:val="20"/>
        </w:rPr>
      </w:pPr>
      <w:r>
        <w:t>2.</w:t>
      </w:r>
      <w:r>
        <w:tab/>
        <w:t>Occorre predisporre al di fuori della zona notte appositi spazi dove conservare e far asciugare gli indumenti da lavoro.</w:t>
      </w:r>
    </w:p>
    <w:p w:rsidR="00811428" w:rsidRPr="00C903F8" w:rsidRDefault="00811428" w:rsidP="00811428">
      <w:pPr>
        <w:pStyle w:val="ESch"/>
        <w:rPr>
          <w:szCs w:val="20"/>
        </w:rPr>
      </w:pPr>
    </w:p>
    <w:p w:rsidR="006161E9" w:rsidRPr="00C903F8" w:rsidRDefault="006161E9" w:rsidP="00811428">
      <w:pPr>
        <w:pStyle w:val="ESch"/>
        <w:rPr>
          <w:rFonts w:cs="Arial"/>
          <w:szCs w:val="20"/>
        </w:rPr>
      </w:pPr>
      <w:r>
        <w:t>3.</w:t>
      </w:r>
      <w:r>
        <w:tab/>
        <w:t>Tutti i locali sono stati dotati d'illuminazione elettrica. Solo nei locali di soggiorno comuni sono ammesse lampade supplementari a combustibile gassoso o liquido. I dispositivi d'illuminazione a combustibile liquido sono in metallo e possono funzionare unicamente con combustibili il cui punto d'infiammabilità è superiore a 55 °C o a olio di paraffina commerciale. Essi sono collocati o fissati in modo da non costituire un pericolo d'incendio.</w:t>
      </w:r>
    </w:p>
    <w:p w:rsidR="00AE4E9D" w:rsidRPr="00C903F8" w:rsidRDefault="00AE4E9D" w:rsidP="00811428">
      <w:pPr>
        <w:pStyle w:val="ESch"/>
        <w:rPr>
          <w:szCs w:val="20"/>
        </w:rPr>
      </w:pPr>
    </w:p>
    <w:p w:rsidR="00260F40" w:rsidRPr="00C903F8" w:rsidRDefault="00260F40" w:rsidP="00811428">
      <w:pPr>
        <w:pStyle w:val="ESch"/>
        <w:rPr>
          <w:szCs w:val="20"/>
        </w:rPr>
      </w:pPr>
    </w:p>
    <w:p w:rsidR="00260F40" w:rsidRPr="00C903F8" w:rsidRDefault="00260F40" w:rsidP="00260F40">
      <w:pPr>
        <w:pStyle w:val="ES-Titre2"/>
        <w:rPr>
          <w:szCs w:val="24"/>
        </w:rPr>
      </w:pPr>
      <w:bookmarkStart w:id="270" w:name="_Toc491854132"/>
      <w:bookmarkStart w:id="271" w:name="_Toc535500081"/>
      <w:r>
        <w:lastRenderedPageBreak/>
        <w:t>Capo 16</w:t>
      </w:r>
      <w:r>
        <w:br/>
        <w:t>Impianti per il riscaldamento, la cucina e la refrigerazione funzionanti a combustibile</w:t>
      </w:r>
      <w:bookmarkEnd w:id="270"/>
      <w:bookmarkEnd w:id="271"/>
    </w:p>
    <w:p w:rsidR="00260F40" w:rsidRPr="00C903F8" w:rsidRDefault="00260F40" w:rsidP="00260F40"/>
    <w:p w:rsidR="00260F40" w:rsidRPr="00C903F8" w:rsidRDefault="00260F40" w:rsidP="00260F40">
      <w:pPr>
        <w:pStyle w:val="ES-Titre3"/>
      </w:pPr>
      <w:bookmarkStart w:id="272" w:name="_Toc491854133"/>
      <w:bookmarkStart w:id="273" w:name="_Toc535500082"/>
      <w:r>
        <w:t>Articolo 16.01</w:t>
      </w:r>
      <w:r>
        <w:br/>
      </w:r>
      <w:r>
        <w:rPr>
          <w:i/>
          <w:noProof/>
        </w:rPr>
        <w:t>Aspetti generali</w:t>
      </w:r>
      <w:bookmarkEnd w:id="272"/>
      <w:bookmarkEnd w:id="273"/>
    </w:p>
    <w:p w:rsidR="00260F40" w:rsidRPr="00C903F8" w:rsidRDefault="00260F40" w:rsidP="00811428">
      <w:pPr>
        <w:pStyle w:val="ESch"/>
        <w:rPr>
          <w:szCs w:val="20"/>
        </w:rPr>
      </w:pPr>
    </w:p>
    <w:p w:rsidR="00260F40" w:rsidRPr="00C903F8" w:rsidRDefault="00260F40" w:rsidP="00260F40">
      <w:pPr>
        <w:pStyle w:val="ESch"/>
        <w:rPr>
          <w:rFonts w:cs="Arial"/>
        </w:rPr>
      </w:pPr>
      <w:r>
        <w:t>1.</w:t>
      </w:r>
      <w:r>
        <w:tab/>
        <w:t>Gli impianti per il riscaldamento, la cucina e la refrigerazione funzionanti a gas liquefatto soddisfano i requisiti di cui al capo 17 del presente allegato.</w:t>
      </w:r>
    </w:p>
    <w:p w:rsidR="00260F40" w:rsidRPr="00C903F8" w:rsidRDefault="00260F40" w:rsidP="00260F40">
      <w:pPr>
        <w:pStyle w:val="ESch"/>
        <w:rPr>
          <w:noProof/>
        </w:rPr>
      </w:pPr>
    </w:p>
    <w:p w:rsidR="00260F40" w:rsidRPr="00C903F8" w:rsidRDefault="00260F40" w:rsidP="00260F40">
      <w:pPr>
        <w:pStyle w:val="ESch"/>
        <w:rPr>
          <w:rFonts w:cs="Arial"/>
        </w:rPr>
      </w:pPr>
      <w:r>
        <w:t>2.</w:t>
      </w:r>
      <w:r>
        <w:tab/>
        <w:t>Gli impianti per il riscaldamento, la cucina e la refrigerazione, ivi compresi i loro accessori, sono concepiti e installati in modo da non costituire un pericolo anche in caso di surriscaldamento: essi sono montati in modo da non potersi rovesciare o essere spostati accidentalmente.</w:t>
      </w:r>
    </w:p>
    <w:p w:rsidR="00260F40" w:rsidRPr="00C903F8" w:rsidRDefault="00260F40" w:rsidP="00260F40">
      <w:pPr>
        <w:pStyle w:val="ESch"/>
        <w:rPr>
          <w:noProof/>
        </w:rPr>
      </w:pPr>
    </w:p>
    <w:p w:rsidR="00260F40" w:rsidRPr="00C903F8" w:rsidRDefault="00260F40" w:rsidP="00260F40">
      <w:pPr>
        <w:pStyle w:val="ESch"/>
        <w:rPr>
          <w:rFonts w:cs="Arial"/>
        </w:rPr>
      </w:pPr>
      <w:r>
        <w:t>3.</w:t>
      </w:r>
      <w:r>
        <w:tab/>
        <w:t>Gli impianti di cui al paragrafo 2 non sono installati in locali in cui siano immagazzinate o utilizzate sostanze il cui punto d'infiammabilità è inferiore a 55 °C. Da questi locali non passa alcuna tubolatura d'evacuazione di tali impianti.</w:t>
      </w:r>
    </w:p>
    <w:p w:rsidR="00260F40" w:rsidRPr="00C903F8" w:rsidRDefault="00260F40" w:rsidP="00260F40">
      <w:pPr>
        <w:pStyle w:val="ESch"/>
        <w:rPr>
          <w:noProof/>
        </w:rPr>
      </w:pPr>
    </w:p>
    <w:p w:rsidR="00260F40" w:rsidRPr="00C903F8" w:rsidRDefault="00260F40" w:rsidP="00260F40">
      <w:pPr>
        <w:pStyle w:val="ESch"/>
        <w:rPr>
          <w:rFonts w:cs="Arial"/>
        </w:rPr>
      </w:pPr>
      <w:r>
        <w:t>4.</w:t>
      </w:r>
      <w:r>
        <w:tab/>
        <w:t>Occorre garantire l'apporto di aria necessario alla combustione.</w:t>
      </w:r>
    </w:p>
    <w:p w:rsidR="00260F40" w:rsidRPr="00C903F8" w:rsidRDefault="00260F40" w:rsidP="00260F40">
      <w:pPr>
        <w:pStyle w:val="ESch"/>
        <w:rPr>
          <w:noProof/>
        </w:rPr>
      </w:pPr>
    </w:p>
    <w:p w:rsidR="00260F40" w:rsidRPr="00C903F8" w:rsidRDefault="00260F40" w:rsidP="00260F40">
      <w:pPr>
        <w:pStyle w:val="ESch"/>
        <w:rPr>
          <w:rFonts w:cs="Arial"/>
        </w:rPr>
      </w:pPr>
      <w:r>
        <w:t>5.</w:t>
      </w:r>
      <w:r>
        <w:tab/>
        <w:t>Gli apparecchi di riscaldamento sono collegati saldamente ai tubi per i gas combusti, i quali sono dotati di apposite mitre o di dispositivi di protezione contro il vento e sono disposti in modo da consentirne la pulizia.</w:t>
      </w:r>
    </w:p>
    <w:p w:rsidR="00260F40" w:rsidRPr="00C903F8" w:rsidRDefault="00260F40" w:rsidP="00260F40">
      <w:pPr>
        <w:pStyle w:val="ESch"/>
        <w:rPr>
          <w:rFonts w:cs="Arial"/>
        </w:rPr>
      </w:pPr>
    </w:p>
    <w:p w:rsidR="00260F40" w:rsidRPr="00C903F8" w:rsidRDefault="00260F40" w:rsidP="00260F40">
      <w:pPr>
        <w:pStyle w:val="ESch"/>
        <w:rPr>
          <w:rFonts w:cs="Arial"/>
        </w:rPr>
      </w:pPr>
    </w:p>
    <w:p w:rsidR="00260F40" w:rsidRPr="00C903F8" w:rsidRDefault="00260F40" w:rsidP="00260F40">
      <w:pPr>
        <w:pStyle w:val="ES-Titre3"/>
        <w:rPr>
          <w:rFonts w:cs="Arial"/>
          <w:i/>
        </w:rPr>
      </w:pPr>
      <w:bookmarkStart w:id="274" w:name="_Toc491854134"/>
      <w:bookmarkStart w:id="275" w:name="_Toc535500083"/>
      <w:r>
        <w:t>Articolo 16.02</w:t>
      </w:r>
      <w:r>
        <w:br/>
      </w:r>
      <w:r>
        <w:rPr>
          <w:i/>
          <w:noProof/>
        </w:rPr>
        <w:t>Impiego di combustibili liquidi, apparecchi funzionanti a petrolio</w:t>
      </w:r>
      <w:bookmarkEnd w:id="274"/>
      <w:bookmarkEnd w:id="275"/>
    </w:p>
    <w:p w:rsidR="00260F40" w:rsidRPr="00C903F8" w:rsidRDefault="00260F40" w:rsidP="00260F40">
      <w:pPr>
        <w:pStyle w:val="ESch"/>
        <w:rPr>
          <w:noProof/>
        </w:rPr>
      </w:pPr>
    </w:p>
    <w:p w:rsidR="00260F40" w:rsidRPr="00C903F8" w:rsidRDefault="00260F40" w:rsidP="00260F40">
      <w:pPr>
        <w:pStyle w:val="ESch"/>
        <w:rPr>
          <w:rFonts w:cs="Arial"/>
        </w:rPr>
      </w:pPr>
      <w:r>
        <w:t>1.</w:t>
      </w:r>
      <w:r>
        <w:tab/>
        <w:t>Quando gli impianti per il riscaldamento, la cucina e la refrigerazione funzionano con combustibile liquido, si possono utilizzare solo combustibili aventi un punto d'infiammabilità superiore a 55 °C.</w:t>
      </w:r>
    </w:p>
    <w:p w:rsidR="00260F40" w:rsidRPr="00C903F8" w:rsidRDefault="00260F40" w:rsidP="00260F40">
      <w:pPr>
        <w:pStyle w:val="ESch"/>
        <w:rPr>
          <w:noProof/>
        </w:rPr>
      </w:pPr>
    </w:p>
    <w:p w:rsidR="00260F40" w:rsidRPr="00C903F8" w:rsidRDefault="00260F40" w:rsidP="00260F40">
      <w:pPr>
        <w:pStyle w:val="ESch"/>
        <w:rPr>
          <w:rFonts w:cs="Arial"/>
        </w:rPr>
      </w:pPr>
      <w:r>
        <w:t>2.</w:t>
      </w:r>
      <w:r>
        <w:tab/>
        <w:t>In deroga al paragrafo 1, gli apparecchi di cottura e gli apparecchi a miccia che servono per il riscaldamento e la refrigerazione e funzionano a olio di paraffina commerciale sono ammessi negli alloggi e nella timoneria a condizione che la capacità del serbatoio di alimentazione non superi 12 litri.</w:t>
      </w:r>
    </w:p>
    <w:p w:rsidR="00260F40" w:rsidRPr="00C903F8" w:rsidRDefault="00260F40" w:rsidP="00260F40">
      <w:pPr>
        <w:pStyle w:val="ESch"/>
        <w:rPr>
          <w:noProof/>
        </w:rPr>
      </w:pPr>
    </w:p>
    <w:p w:rsidR="00260F40" w:rsidRPr="00C903F8" w:rsidRDefault="00260F40" w:rsidP="00260F40">
      <w:pPr>
        <w:pStyle w:val="ESch"/>
        <w:rPr>
          <w:rFonts w:cs="Arial"/>
        </w:rPr>
      </w:pPr>
      <w:r>
        <w:t>3.</w:t>
      </w:r>
      <w:r>
        <w:tab/>
        <w:t>Gli apparecchi a miccia:</w:t>
      </w:r>
    </w:p>
    <w:p w:rsidR="00260F40" w:rsidRPr="00C903F8" w:rsidRDefault="005C7859" w:rsidP="00260F40">
      <w:pPr>
        <w:pStyle w:val="ESlet"/>
        <w:rPr>
          <w:rFonts w:cs="Arial"/>
        </w:rPr>
      </w:pPr>
      <w:r>
        <w:t>a)</w:t>
      </w:r>
      <w:r>
        <w:tab/>
        <w:t>sono dotati di un serbatoio per il combustibile in metallo la cui apertura di riempimento può essere chiusa e non presenta saldature a stagno al di sotto del livello massimo di riempimento e sono progettati e installati in modo tale che i loro serbatoi per il combustibile non possano aprirsi o vuotarsi accidentalmente;</w:t>
      </w:r>
    </w:p>
    <w:p w:rsidR="00260F40" w:rsidRPr="00C903F8" w:rsidRDefault="005C7859" w:rsidP="00260F40">
      <w:pPr>
        <w:pStyle w:val="ESlet"/>
        <w:rPr>
          <w:rFonts w:cs="Arial"/>
        </w:rPr>
      </w:pPr>
      <w:r>
        <w:t>b)</w:t>
      </w:r>
      <w:r>
        <w:tab/>
        <w:t>si possono accendere senza l'ausilio di un altro combustibile liquido; e</w:t>
      </w:r>
    </w:p>
    <w:p w:rsidR="00260F40" w:rsidRPr="00C903F8" w:rsidRDefault="005C7859" w:rsidP="00260F40">
      <w:pPr>
        <w:pStyle w:val="ESlet"/>
        <w:rPr>
          <w:rFonts w:cs="Arial"/>
        </w:rPr>
      </w:pPr>
      <w:r>
        <w:t>c)</w:t>
      </w:r>
      <w:r>
        <w:tab/>
        <w:t>sono installati in modo tale che sia garantita l'evacuazione dei gas di combustione.</w:t>
      </w:r>
    </w:p>
    <w:p w:rsidR="00260F40" w:rsidRPr="00C903F8" w:rsidRDefault="00260F40" w:rsidP="00260F40">
      <w:pPr>
        <w:pStyle w:val="ESch"/>
        <w:rPr>
          <w:rFonts w:cs="Arial"/>
        </w:rPr>
      </w:pPr>
    </w:p>
    <w:p w:rsidR="00260F40" w:rsidRPr="00C903F8" w:rsidRDefault="00260F40" w:rsidP="00260F40">
      <w:pPr>
        <w:pStyle w:val="ESch"/>
        <w:rPr>
          <w:rFonts w:cs="Arial"/>
        </w:rPr>
      </w:pPr>
    </w:p>
    <w:p w:rsidR="00260F40" w:rsidRPr="00C903F8" w:rsidRDefault="00260F40" w:rsidP="00260F40">
      <w:pPr>
        <w:pStyle w:val="ES-Titre3"/>
        <w:rPr>
          <w:rFonts w:cs="Arial"/>
          <w:i/>
        </w:rPr>
      </w:pPr>
      <w:bookmarkStart w:id="276" w:name="_Toc491854135"/>
      <w:bookmarkStart w:id="277" w:name="_Toc535500084"/>
      <w:r>
        <w:t>Articolo 16.03</w:t>
      </w:r>
      <w:r>
        <w:br/>
      </w:r>
      <w:r>
        <w:rPr>
          <w:i/>
          <w:noProof/>
        </w:rPr>
        <w:t>Caldaie a olio combustibile con bruciatore a vaporizzazione e impianti di riscaldamento con bruciatore a nebulizzazione</w:t>
      </w:r>
      <w:bookmarkEnd w:id="276"/>
      <w:bookmarkEnd w:id="277"/>
    </w:p>
    <w:p w:rsidR="00260F40" w:rsidRPr="00C903F8" w:rsidRDefault="00260F40" w:rsidP="00260F40">
      <w:pPr>
        <w:pStyle w:val="ESch"/>
        <w:rPr>
          <w:noProof/>
        </w:rPr>
      </w:pPr>
    </w:p>
    <w:p w:rsidR="00260F40" w:rsidRPr="00C903F8" w:rsidRDefault="00260F40" w:rsidP="00260F40">
      <w:pPr>
        <w:pStyle w:val="ESch"/>
        <w:rPr>
          <w:rFonts w:cs="Arial"/>
        </w:rPr>
      </w:pPr>
      <w:r>
        <w:t>1.</w:t>
      </w:r>
      <w:r>
        <w:tab/>
        <w:t>Le caldaie a olio combustibile con bruciatore a vaporizzazione e gli impianti di riscaldamento con bruciatore a nebulizzazione sono costruiti a regola d'arte.</w:t>
      </w:r>
    </w:p>
    <w:p w:rsidR="00260F40" w:rsidRPr="00C903F8" w:rsidRDefault="00260F40" w:rsidP="00260F40">
      <w:pPr>
        <w:pStyle w:val="ESch"/>
        <w:rPr>
          <w:noProof/>
        </w:rPr>
      </w:pPr>
    </w:p>
    <w:p w:rsidR="00260F40" w:rsidRPr="00C903F8" w:rsidRDefault="00260F40" w:rsidP="00260F40">
      <w:pPr>
        <w:pStyle w:val="ESch"/>
        <w:rPr>
          <w:noProof/>
        </w:rPr>
      </w:pPr>
      <w:r>
        <w:br w:type="page"/>
      </w:r>
    </w:p>
    <w:p w:rsidR="00260F40" w:rsidRPr="00C903F8" w:rsidRDefault="00260F40" w:rsidP="00260F40">
      <w:pPr>
        <w:pStyle w:val="ESch"/>
        <w:rPr>
          <w:rFonts w:cs="Arial"/>
        </w:rPr>
      </w:pPr>
      <w:r>
        <w:lastRenderedPageBreak/>
        <w:t>2.</w:t>
      </w:r>
      <w:r>
        <w:tab/>
        <w:t>Se le caldaie a olio combustibile con bruciatore a vaporizzazione o gli impianti di riscaldamento con bruciatore a nebulizzazione sono installati nella sala macchine, l'alimentazione d'aria all'impianto di riscaldamento e ai motori è progettata in modo che l'impianto e i motori possano funzionare correttamente e in condizioni di sicurezza, l'uno indipendentemente dall'altro. In caso di necessità, è prevista un'alimentazione separata. L'impianto è costruito in modo che una eventuale fiamma proveniente dal bruciatore non possa raggiungere altre parti degli impianti della sala macchine.</w:t>
      </w:r>
    </w:p>
    <w:p w:rsidR="00260F40" w:rsidRPr="00C903F8" w:rsidRDefault="00260F40" w:rsidP="00260F40">
      <w:pPr>
        <w:pStyle w:val="ESch"/>
        <w:rPr>
          <w:rFonts w:cs="Arial"/>
        </w:rPr>
      </w:pPr>
    </w:p>
    <w:p w:rsidR="00260F40" w:rsidRPr="00C903F8" w:rsidRDefault="00260F40" w:rsidP="00260F40">
      <w:pPr>
        <w:pStyle w:val="ESch"/>
        <w:rPr>
          <w:rFonts w:cs="Arial"/>
        </w:rPr>
      </w:pPr>
    </w:p>
    <w:p w:rsidR="00260F40" w:rsidRPr="00C903F8" w:rsidRDefault="00260F40" w:rsidP="00260F40">
      <w:pPr>
        <w:pStyle w:val="ES-Titre3"/>
        <w:rPr>
          <w:rFonts w:cs="Arial"/>
          <w:i/>
        </w:rPr>
      </w:pPr>
      <w:bookmarkStart w:id="278" w:name="_Toc491854136"/>
      <w:bookmarkStart w:id="279" w:name="_Toc535500085"/>
      <w:r>
        <w:t>Articolo 16.04</w:t>
      </w:r>
      <w:r>
        <w:br/>
      </w:r>
      <w:r>
        <w:rPr>
          <w:i/>
          <w:noProof/>
        </w:rPr>
        <w:t>Caldaie a olio combustibile con bruciatore a vaporizzazione</w:t>
      </w:r>
      <w:bookmarkEnd w:id="278"/>
      <w:bookmarkEnd w:id="279"/>
    </w:p>
    <w:p w:rsidR="00260F40" w:rsidRPr="00C903F8" w:rsidRDefault="00260F40" w:rsidP="00260F40">
      <w:pPr>
        <w:pStyle w:val="ESch"/>
        <w:rPr>
          <w:i/>
          <w:noProof/>
        </w:rPr>
      </w:pPr>
    </w:p>
    <w:p w:rsidR="00260F40" w:rsidRPr="00C903F8" w:rsidRDefault="00260F40" w:rsidP="00260F40">
      <w:pPr>
        <w:pStyle w:val="ESch"/>
        <w:rPr>
          <w:rFonts w:cs="Arial"/>
        </w:rPr>
      </w:pPr>
      <w:r>
        <w:t>1.</w:t>
      </w:r>
      <w:r>
        <w:tab/>
        <w:t>Occorre poter accendere le caldaie a olio combustibile con bruciatore a vaporizzazione senza l'ausilio di un altro liquido combustibile. Dette caldaie sono fissate al di sopra di una ghiotta metallica che raccolga tutte le condutture per il combustibile e che abbia un'altezza di almeno 20 mm di lato e una capacità di almeno due litri.</w:t>
      </w:r>
    </w:p>
    <w:p w:rsidR="00260F40" w:rsidRPr="00C903F8" w:rsidRDefault="00260F40" w:rsidP="00260F40">
      <w:pPr>
        <w:pStyle w:val="ESch"/>
        <w:rPr>
          <w:noProof/>
        </w:rPr>
      </w:pPr>
    </w:p>
    <w:p w:rsidR="00260F40" w:rsidRPr="00C903F8" w:rsidRDefault="00260F40" w:rsidP="00260F40">
      <w:pPr>
        <w:pStyle w:val="ESch"/>
        <w:rPr>
          <w:rFonts w:cs="Arial"/>
        </w:rPr>
      </w:pPr>
      <w:r>
        <w:t>2.</w:t>
      </w:r>
      <w:r>
        <w:tab/>
        <w:t>Per le caldaie a olio combustibile con bruciatore a vaporizzazione installate in una sala macchine, la ghiotta metallica prevista al paragrafo 1 ha un'altezza di almeno 200 mm di lato. Il bordo inferiore del bruciatore a vaporizzazione si trova al di sopra del bordo superiore della ghiotta il quale, inoltre, è sistemato ad un'altezza di almeno 100 mm dal pavimento.</w:t>
      </w:r>
    </w:p>
    <w:p w:rsidR="00260F40" w:rsidRPr="00C903F8" w:rsidRDefault="00260F40" w:rsidP="00260F40">
      <w:pPr>
        <w:pStyle w:val="ESch"/>
        <w:rPr>
          <w:noProof/>
        </w:rPr>
      </w:pPr>
    </w:p>
    <w:p w:rsidR="00260F40" w:rsidRPr="00C903F8" w:rsidRDefault="00260F40" w:rsidP="00260F40">
      <w:pPr>
        <w:pStyle w:val="ESch"/>
        <w:rPr>
          <w:rFonts w:cs="Arial"/>
        </w:rPr>
      </w:pPr>
      <w:r>
        <w:t>3.</w:t>
      </w:r>
      <w:r>
        <w:tab/>
        <w:t>Le caldaie a olio combustibile con bruciatore a vaporizzazione sono provviste di un apposito regolatore che, qualunque sia la posizione di regolazione scelta, garantisca un flusso praticamente costante di combustibile in direzione del bruciatore e che impedisca qualunque fuga di combustibile in caso di estinzione accidentale della fiamma. Si considerano appropriati i regolatori che funzionano correttamente anche se esposti a vibrazioni e in caso di inclinazione fino a 12° e che, oltre a un galleggiante per la regolazione del livello:</w:t>
      </w:r>
    </w:p>
    <w:p w:rsidR="00260F40" w:rsidRPr="00C903F8" w:rsidRDefault="005C7859" w:rsidP="00260F40">
      <w:pPr>
        <w:pStyle w:val="ESlet"/>
        <w:rPr>
          <w:rFonts w:cs="Arial"/>
        </w:rPr>
      </w:pPr>
      <w:r>
        <w:t>a)</w:t>
      </w:r>
      <w:r>
        <w:tab/>
        <w:t>sono muniti di un dispositivo di chiusura stagna che arresta l'alimentazione di combustibile in modo sicuro e affidabile in caso di superamento del livello ammissibile; o</w:t>
      </w:r>
    </w:p>
    <w:p w:rsidR="00260F40" w:rsidRPr="00C903F8" w:rsidRDefault="005C7859" w:rsidP="00260F40">
      <w:pPr>
        <w:pStyle w:val="ESlet"/>
        <w:rPr>
          <w:rFonts w:cs="Arial"/>
        </w:rPr>
      </w:pPr>
      <w:r>
        <w:t>b)</w:t>
      </w:r>
      <w:r>
        <w:tab/>
        <w:t>sono provvisti di un tubo di troppo pieno, ma soltanto se la ghiotta ha una capacità sufficiente a raccogliere almeno il contenuto del serbatoio per il combustibile.</w:t>
      </w:r>
    </w:p>
    <w:p w:rsidR="00260F40" w:rsidRPr="00C903F8" w:rsidRDefault="00260F40" w:rsidP="00260F40">
      <w:pPr>
        <w:pStyle w:val="ESch"/>
        <w:rPr>
          <w:noProof/>
        </w:rPr>
      </w:pPr>
    </w:p>
    <w:p w:rsidR="00260F40" w:rsidRPr="00C903F8" w:rsidRDefault="00260F40" w:rsidP="00260F40">
      <w:pPr>
        <w:pStyle w:val="ESch"/>
        <w:rPr>
          <w:rFonts w:cs="Arial"/>
        </w:rPr>
      </w:pPr>
      <w:r>
        <w:t>4.</w:t>
      </w:r>
      <w:r>
        <w:tab/>
        <w:t>Se il serbatoio per il combustibile di una caldaia a olio combustibile con bruciatore a vaporizzazione è installato separatamente:</w:t>
      </w:r>
    </w:p>
    <w:p w:rsidR="00260F40" w:rsidRPr="00C903F8" w:rsidRDefault="005C7859" w:rsidP="00260F40">
      <w:pPr>
        <w:pStyle w:val="ESlet"/>
        <w:rPr>
          <w:rFonts w:cs="Arial"/>
        </w:rPr>
      </w:pPr>
      <w:r>
        <w:t>a)</w:t>
      </w:r>
      <w:r>
        <w:tab/>
        <w:t>l'altezza a cui è collocato non supera quella fissata dalle istruzioni operative fornite dal fabbricante;</w:t>
      </w:r>
    </w:p>
    <w:p w:rsidR="00260F40" w:rsidRPr="00C903F8" w:rsidRDefault="005C7859" w:rsidP="00260F40">
      <w:pPr>
        <w:pStyle w:val="ESlet"/>
        <w:rPr>
          <w:rFonts w:cs="Arial"/>
        </w:rPr>
      </w:pPr>
      <w:r>
        <w:t>b)</w:t>
      </w:r>
      <w:r>
        <w:tab/>
        <w:t>è installato in modo da essere protetto da un riscaldamento inammissibile;</w:t>
      </w:r>
    </w:p>
    <w:p w:rsidR="00260F40" w:rsidRPr="00C903F8" w:rsidRDefault="005C7859" w:rsidP="00260F40">
      <w:pPr>
        <w:pStyle w:val="ESlet"/>
        <w:rPr>
          <w:rFonts w:cs="Arial"/>
        </w:rPr>
      </w:pPr>
      <w:r>
        <w:t>c)</w:t>
      </w:r>
      <w:r>
        <w:tab/>
        <w:t>è possibile interrompere dal ponte l'alimentazione di combustibile.</w:t>
      </w:r>
    </w:p>
    <w:p w:rsidR="00260F40" w:rsidRPr="00C903F8" w:rsidRDefault="00260F40" w:rsidP="00260F40">
      <w:pPr>
        <w:pStyle w:val="ESch"/>
        <w:rPr>
          <w:noProof/>
        </w:rPr>
      </w:pPr>
    </w:p>
    <w:p w:rsidR="00260F40" w:rsidRPr="00C903F8" w:rsidRDefault="00260F40" w:rsidP="00260F40">
      <w:pPr>
        <w:pStyle w:val="ESch"/>
        <w:rPr>
          <w:rFonts w:cs="Arial"/>
        </w:rPr>
      </w:pPr>
      <w:r>
        <w:t>5.</w:t>
      </w:r>
      <w:r>
        <w:tab/>
        <w:t>I tubi per i fumi di scarico delle caldaie a olio combustibile con bruciatore a vaporizzazione sono provvisti di un dispositivo per evitare l'inversione del tiraggio.</w:t>
      </w:r>
    </w:p>
    <w:p w:rsidR="00260F40" w:rsidRPr="00C903F8" w:rsidRDefault="00260F40" w:rsidP="00260F40">
      <w:pPr>
        <w:pStyle w:val="ESch"/>
        <w:rPr>
          <w:rFonts w:cs="Arial"/>
        </w:rPr>
      </w:pPr>
    </w:p>
    <w:p w:rsidR="00260F40" w:rsidRPr="00C903F8" w:rsidRDefault="00260F40" w:rsidP="00260F40">
      <w:pPr>
        <w:pStyle w:val="ESch"/>
        <w:rPr>
          <w:rFonts w:cs="Arial"/>
        </w:rPr>
      </w:pPr>
    </w:p>
    <w:p w:rsidR="00260F40" w:rsidRPr="00C903F8" w:rsidRDefault="00260F40" w:rsidP="00260F40">
      <w:pPr>
        <w:pStyle w:val="ES-Titre3"/>
        <w:rPr>
          <w:rFonts w:cs="Arial"/>
          <w:i/>
        </w:rPr>
      </w:pPr>
      <w:bookmarkStart w:id="280" w:name="_Toc491854137"/>
      <w:bookmarkStart w:id="281" w:name="_Toc535500086"/>
      <w:r>
        <w:t>Articolo 16.05</w:t>
      </w:r>
      <w:r>
        <w:br/>
      </w:r>
      <w:r>
        <w:rPr>
          <w:i/>
          <w:noProof/>
        </w:rPr>
        <w:t>Impianti di riscaldamento con bruciatore a nebulizzazione</w:t>
      </w:r>
      <w:bookmarkEnd w:id="280"/>
      <w:bookmarkEnd w:id="281"/>
    </w:p>
    <w:p w:rsidR="00260F40" w:rsidRPr="00C903F8" w:rsidRDefault="00260F40" w:rsidP="00260F40">
      <w:pPr>
        <w:pStyle w:val="ESch"/>
        <w:rPr>
          <w:noProof/>
        </w:rPr>
      </w:pPr>
    </w:p>
    <w:p w:rsidR="00260F40" w:rsidRPr="00C903F8" w:rsidRDefault="00260F40" w:rsidP="00260F40">
      <w:pPr>
        <w:pStyle w:val="ESgauche"/>
        <w:rPr>
          <w:rFonts w:cs="Arial"/>
        </w:rPr>
      </w:pPr>
      <w:r>
        <w:t>Gli impianti di riscaldamento con bruciatore a nebulizzazione soddisfano in particolare i seguenti requisiti:</w:t>
      </w:r>
    </w:p>
    <w:p w:rsidR="00260F40" w:rsidRPr="00C903F8" w:rsidRDefault="005C7859" w:rsidP="00260F40">
      <w:pPr>
        <w:pStyle w:val="ESletgauche"/>
        <w:rPr>
          <w:rFonts w:cs="Arial"/>
        </w:rPr>
      </w:pPr>
      <w:r>
        <w:t>a)</w:t>
      </w:r>
      <w:r>
        <w:tab/>
        <w:t>è garantita una ventilazione sufficiente del bruciatore prima dell'alimentazione di combustibile;</w:t>
      </w:r>
    </w:p>
    <w:p w:rsidR="00260F40" w:rsidRPr="00C903F8" w:rsidRDefault="005C7859" w:rsidP="00260F40">
      <w:pPr>
        <w:pStyle w:val="ESletgauche"/>
        <w:rPr>
          <w:rFonts w:cs="Arial"/>
        </w:rPr>
      </w:pPr>
      <w:r>
        <w:t>b)</w:t>
      </w:r>
      <w:r>
        <w:tab/>
        <w:t>l'alimentazione di combustibile è regolata da un termostato;</w:t>
      </w:r>
    </w:p>
    <w:p w:rsidR="00260F40" w:rsidRPr="00C903F8" w:rsidRDefault="005C7859" w:rsidP="00260F40">
      <w:pPr>
        <w:pStyle w:val="ESletgauche"/>
        <w:rPr>
          <w:rFonts w:cs="Arial"/>
        </w:rPr>
      </w:pPr>
      <w:r>
        <w:t>c)</w:t>
      </w:r>
      <w:r>
        <w:tab/>
        <w:t>l'accensione del combustibile avviene mediante un dispositivo elettrico o una fiammella pilota;</w:t>
      </w:r>
    </w:p>
    <w:p w:rsidR="00260F40" w:rsidRPr="00C903F8" w:rsidRDefault="00260F40" w:rsidP="00260F40">
      <w:pPr>
        <w:pStyle w:val="ESletgauche"/>
        <w:rPr>
          <w:noProof/>
        </w:rPr>
      </w:pPr>
    </w:p>
    <w:p w:rsidR="00260F40" w:rsidRPr="00C903F8" w:rsidRDefault="00260F40" w:rsidP="00260F40">
      <w:pPr>
        <w:pStyle w:val="ESletgauche"/>
        <w:rPr>
          <w:noProof/>
        </w:rPr>
      </w:pPr>
      <w:r>
        <w:br w:type="page"/>
      </w:r>
    </w:p>
    <w:p w:rsidR="00260F40" w:rsidRPr="00C903F8" w:rsidRDefault="005C7859" w:rsidP="00260F40">
      <w:pPr>
        <w:pStyle w:val="ESletgauche"/>
        <w:rPr>
          <w:rFonts w:cs="Arial"/>
        </w:rPr>
      </w:pPr>
      <w:r>
        <w:lastRenderedPageBreak/>
        <w:t>d)</w:t>
      </w:r>
      <w:r>
        <w:tab/>
        <w:t>un dispositivo di controllo della fiamma interrompe l'alimentazione quando si spegne la fiamma;</w:t>
      </w:r>
    </w:p>
    <w:p w:rsidR="00260F40" w:rsidRPr="00C903F8" w:rsidRDefault="0029453D" w:rsidP="00260F40">
      <w:pPr>
        <w:pStyle w:val="ESletgauche"/>
        <w:rPr>
          <w:noProof/>
        </w:rPr>
      </w:pPr>
      <w:r>
        <w:t>e)</w:t>
      </w:r>
      <w:r>
        <w:tab/>
        <w:t>l'interruttore principale è collocato fuori dal locale dell'impianto, in un punto facilmente accessibile.</w:t>
      </w:r>
    </w:p>
    <w:p w:rsidR="00260F40" w:rsidRPr="00C903F8" w:rsidRDefault="00260F40" w:rsidP="00260F40">
      <w:pPr>
        <w:pStyle w:val="ESletgauche"/>
        <w:rPr>
          <w:noProof/>
        </w:rPr>
      </w:pPr>
    </w:p>
    <w:p w:rsidR="00260F40" w:rsidRPr="00C903F8" w:rsidRDefault="00260F40" w:rsidP="00260F40">
      <w:pPr>
        <w:pStyle w:val="ESch"/>
        <w:rPr>
          <w:rFonts w:cs="Arial"/>
        </w:rPr>
      </w:pPr>
    </w:p>
    <w:p w:rsidR="00260F40" w:rsidRPr="00C903F8" w:rsidRDefault="00260F40" w:rsidP="00260F40">
      <w:pPr>
        <w:pStyle w:val="ES-Titre3"/>
        <w:rPr>
          <w:rFonts w:cs="Arial"/>
          <w:i/>
        </w:rPr>
      </w:pPr>
      <w:bookmarkStart w:id="282" w:name="_Toc491854138"/>
      <w:bookmarkStart w:id="283" w:name="_Toc535500087"/>
      <w:r>
        <w:t>Articolo 16.06</w:t>
      </w:r>
      <w:r>
        <w:br/>
      </w:r>
      <w:r>
        <w:rPr>
          <w:i/>
          <w:noProof/>
        </w:rPr>
        <w:t>Impianti di riscaldamento a circolazione d'aria forzata</w:t>
      </w:r>
      <w:bookmarkEnd w:id="282"/>
      <w:bookmarkEnd w:id="283"/>
    </w:p>
    <w:p w:rsidR="00260F40" w:rsidRPr="00C903F8" w:rsidRDefault="00260F40" w:rsidP="00260F40">
      <w:pPr>
        <w:pStyle w:val="ESch"/>
        <w:rPr>
          <w:noProof/>
        </w:rPr>
      </w:pPr>
    </w:p>
    <w:p w:rsidR="00260F40" w:rsidRPr="00C903F8" w:rsidRDefault="00260F40" w:rsidP="00260F40">
      <w:pPr>
        <w:pStyle w:val="ESgauche"/>
        <w:rPr>
          <w:rFonts w:cs="Arial"/>
        </w:rPr>
      </w:pPr>
      <w:r>
        <w:t>Gli impianti di riscaldamento a circolazione d'aria forzata costituiti da una camera di combustione intorno alla quale l'aria di riscaldamento viene fatta circolare sotto pressione in direzione di un sistema di distribuzione o di un locale soddisfano i seguenti requisiti:</w:t>
      </w:r>
    </w:p>
    <w:p w:rsidR="00260F40" w:rsidRPr="00C903F8" w:rsidRDefault="005C7859" w:rsidP="00260F40">
      <w:pPr>
        <w:pStyle w:val="ESletgauche"/>
        <w:rPr>
          <w:rFonts w:cs="Arial"/>
        </w:rPr>
      </w:pPr>
      <w:r>
        <w:t>a)</w:t>
      </w:r>
      <w:r>
        <w:tab/>
        <w:t>se il combustibile è nebulizzato sotto pressione, l'alimentazione d'aria di combustione è garantita da una soffiante;</w:t>
      </w:r>
    </w:p>
    <w:p w:rsidR="00260F40" w:rsidRPr="00C903F8" w:rsidRDefault="005C7859" w:rsidP="00260F40">
      <w:pPr>
        <w:pStyle w:val="ESletgauche"/>
        <w:rPr>
          <w:rFonts w:cs="Arial"/>
        </w:rPr>
      </w:pPr>
      <w:r>
        <w:t>b)</w:t>
      </w:r>
      <w:r>
        <w:tab/>
        <w:t>la camera di combustione è ben ventilata prima che il bruciatore possa essere acceso; tale requisito si considera soddisfatto quando la soffiante d'aria di combustione continua a funzionare dopo l'estinzione della fiamma;</w:t>
      </w:r>
    </w:p>
    <w:p w:rsidR="00260F40" w:rsidRPr="00C903F8" w:rsidRDefault="005C7859" w:rsidP="00260F40">
      <w:pPr>
        <w:pStyle w:val="ESletgauche"/>
        <w:rPr>
          <w:rFonts w:cs="Arial"/>
        </w:rPr>
      </w:pPr>
      <w:r>
        <w:t>c)</w:t>
      </w:r>
      <w:r>
        <w:tab/>
        <w:t>l'erogazione di combustibile è interrotta automaticamente se:</w:t>
      </w:r>
    </w:p>
    <w:p w:rsidR="00260F40" w:rsidRPr="00C903F8" w:rsidRDefault="00260F40" w:rsidP="00260F40">
      <w:pPr>
        <w:pStyle w:val="ESletgauche"/>
        <w:ind w:firstLine="0"/>
        <w:rPr>
          <w:rFonts w:cs="Arial"/>
        </w:rPr>
      </w:pPr>
      <w:r>
        <w:t>il fuoco si spegne;</w:t>
      </w:r>
    </w:p>
    <w:p w:rsidR="00260F40" w:rsidRPr="00C903F8" w:rsidRDefault="00260F40" w:rsidP="00260F40">
      <w:pPr>
        <w:pStyle w:val="ESletgauche"/>
        <w:ind w:firstLine="0"/>
        <w:rPr>
          <w:rFonts w:cs="Arial"/>
        </w:rPr>
      </w:pPr>
      <w:r>
        <w:t>l'alimentazione d'aria di combustione non è sufficiente;</w:t>
      </w:r>
    </w:p>
    <w:p w:rsidR="00260F40" w:rsidRPr="00C903F8" w:rsidRDefault="00260F40" w:rsidP="00260F40">
      <w:pPr>
        <w:pStyle w:val="ESletgauche"/>
        <w:ind w:firstLine="0"/>
        <w:rPr>
          <w:rFonts w:cs="Arial"/>
        </w:rPr>
      </w:pPr>
      <w:r>
        <w:t>l'aria riscaldata supera una temperatura regolata in precedenza; oppure</w:t>
      </w:r>
    </w:p>
    <w:p w:rsidR="00260F40" w:rsidRPr="00C903F8" w:rsidRDefault="00260F40" w:rsidP="00260F40">
      <w:pPr>
        <w:pStyle w:val="ESletgauche"/>
        <w:ind w:firstLine="0"/>
        <w:rPr>
          <w:rFonts w:cs="Arial"/>
        </w:rPr>
      </w:pPr>
      <w:r>
        <w:t>agli impianti di sicurezza viene a mancare l'alimentazione di corrente elettrica.</w:t>
      </w:r>
    </w:p>
    <w:p w:rsidR="00260F40" w:rsidRPr="00C903F8" w:rsidRDefault="00260F40" w:rsidP="00260F40">
      <w:pPr>
        <w:pStyle w:val="ESletgauche"/>
        <w:ind w:firstLine="0"/>
        <w:rPr>
          <w:rFonts w:cs="Arial"/>
        </w:rPr>
      </w:pPr>
      <w:r>
        <w:t>Nei casi suddetti l'erogazione di combustibile non riprende automaticamente dopo l'interruzione;</w:t>
      </w:r>
    </w:p>
    <w:p w:rsidR="00260F40" w:rsidRPr="00C903F8" w:rsidRDefault="005C7859" w:rsidP="00260F40">
      <w:pPr>
        <w:pStyle w:val="ESletgauche"/>
        <w:rPr>
          <w:rFonts w:cs="Arial"/>
        </w:rPr>
      </w:pPr>
      <w:r>
        <w:t>d)</w:t>
      </w:r>
      <w:r>
        <w:tab/>
        <w:t>soffianti d'aria di combustione e di riscaldamento devono poter essere disattivate dall'esterno del locale in cui si trova l'impianto;</w:t>
      </w:r>
    </w:p>
    <w:p w:rsidR="00260F40" w:rsidRPr="00C903F8" w:rsidRDefault="0029453D" w:rsidP="00260F40">
      <w:pPr>
        <w:pStyle w:val="ESletgauche"/>
        <w:rPr>
          <w:rFonts w:cs="Arial"/>
        </w:rPr>
      </w:pPr>
      <w:r>
        <w:t>e)</w:t>
      </w:r>
      <w:r>
        <w:tab/>
        <w:t>se l'aria di riscaldamento è aspirata dall'esterno, gli orifizi d'aspirazione si trovano per quanto possibile in alto rispetto al ponte. Tali orifizi sono intallati in modo tale che la pioggia e gli spruzzi d'acqua non possano penetrarvi;</w:t>
      </w:r>
    </w:p>
    <w:p w:rsidR="00260F40" w:rsidRPr="00C903F8" w:rsidRDefault="0029453D" w:rsidP="00260F40">
      <w:pPr>
        <w:pStyle w:val="ESletgauche"/>
        <w:rPr>
          <w:rFonts w:cs="Arial"/>
        </w:rPr>
      </w:pPr>
      <w:r>
        <w:t>f)</w:t>
      </w:r>
      <w:r>
        <w:tab/>
        <w:t>le condutture dell'aria di riscaldamento sono costruite in metallo;</w:t>
      </w:r>
    </w:p>
    <w:p w:rsidR="00260F40" w:rsidRPr="00C903F8" w:rsidRDefault="0029453D" w:rsidP="00260F40">
      <w:pPr>
        <w:pStyle w:val="ESletgauche"/>
        <w:rPr>
          <w:rFonts w:cs="Arial"/>
        </w:rPr>
      </w:pPr>
      <w:r>
        <w:t>g)</w:t>
      </w:r>
      <w:r>
        <w:tab/>
        <w:t>gli orifizi di uscita dell'aria di riscaldamento non devono poter essere chiusi completamente;</w:t>
      </w:r>
    </w:p>
    <w:p w:rsidR="00260F40" w:rsidRPr="00C903F8" w:rsidRDefault="0029453D" w:rsidP="00260F40">
      <w:pPr>
        <w:pStyle w:val="ESletgauche"/>
        <w:rPr>
          <w:rFonts w:cs="Arial"/>
        </w:rPr>
      </w:pPr>
      <w:r>
        <w:t>h)</w:t>
      </w:r>
      <w:r>
        <w:tab/>
        <w:t>le eventuali fughe di combustibile non raggiungono le condutture dell'aria di riscaldamento;</w:t>
      </w:r>
    </w:p>
    <w:p w:rsidR="00260F40" w:rsidRPr="00C903F8" w:rsidRDefault="0029453D" w:rsidP="00260F40">
      <w:pPr>
        <w:pStyle w:val="ESletgauche"/>
        <w:rPr>
          <w:rFonts w:cs="Arial"/>
        </w:rPr>
      </w:pPr>
      <w:r>
        <w:t>i)</w:t>
      </w:r>
      <w:r>
        <w:tab/>
        <w:t>l'aria forzata degli impianti di riscaldamento non deve poter essere aspirata da una sala macchine.</w:t>
      </w:r>
    </w:p>
    <w:p w:rsidR="00260F40" w:rsidRPr="00C903F8" w:rsidRDefault="00260F40" w:rsidP="00260F40">
      <w:pPr>
        <w:pStyle w:val="ESch"/>
        <w:rPr>
          <w:rFonts w:cs="Arial"/>
        </w:rPr>
      </w:pPr>
    </w:p>
    <w:p w:rsidR="00260F40" w:rsidRPr="00C903F8" w:rsidRDefault="00260F40" w:rsidP="00260F40">
      <w:pPr>
        <w:pStyle w:val="ESch"/>
        <w:rPr>
          <w:rFonts w:cs="Arial"/>
        </w:rPr>
      </w:pPr>
    </w:p>
    <w:p w:rsidR="00260F40" w:rsidRPr="00C903F8" w:rsidRDefault="00260F40" w:rsidP="00260F40">
      <w:pPr>
        <w:pStyle w:val="ES-Titre3"/>
        <w:rPr>
          <w:rFonts w:cs="Arial"/>
          <w:i/>
        </w:rPr>
      </w:pPr>
      <w:bookmarkStart w:id="284" w:name="_Toc491854139"/>
      <w:bookmarkStart w:id="285" w:name="_Toc535500088"/>
      <w:r>
        <w:t>Articolo 16.07</w:t>
      </w:r>
      <w:r>
        <w:br/>
      </w:r>
      <w:r>
        <w:rPr>
          <w:i/>
          <w:noProof/>
        </w:rPr>
        <w:t>Riscaldamento a combustibile solido</w:t>
      </w:r>
      <w:bookmarkEnd w:id="284"/>
      <w:bookmarkEnd w:id="285"/>
    </w:p>
    <w:p w:rsidR="00260F40" w:rsidRPr="00C903F8" w:rsidRDefault="00260F40" w:rsidP="00260F40">
      <w:pPr>
        <w:pStyle w:val="ESch"/>
        <w:rPr>
          <w:noProof/>
        </w:rPr>
      </w:pPr>
    </w:p>
    <w:p w:rsidR="00260F40" w:rsidRPr="00C903F8" w:rsidRDefault="00260F40" w:rsidP="00260F40">
      <w:pPr>
        <w:pStyle w:val="ESch"/>
        <w:rPr>
          <w:rFonts w:cs="Arial"/>
        </w:rPr>
      </w:pPr>
      <w:r>
        <w:t>1.</w:t>
      </w:r>
      <w:r>
        <w:tab/>
        <w:t>Gli impianti di riscaldamento a combustibile solido sono sistemati su una piattaforma di metallo dotata di bordi rialzati, collocata in modo da evitare che combustibile incandescente o ceneri calde cadano fuori da tale piattaforma.</w:t>
      </w:r>
    </w:p>
    <w:p w:rsidR="00260F40" w:rsidRPr="00C903F8" w:rsidRDefault="00260F40" w:rsidP="00260F40">
      <w:pPr>
        <w:pStyle w:val="ESch"/>
        <w:rPr>
          <w:noProof/>
        </w:rPr>
      </w:pPr>
    </w:p>
    <w:p w:rsidR="00260F40" w:rsidRPr="00C903F8" w:rsidRDefault="00260F40" w:rsidP="00260F40">
      <w:pPr>
        <w:pStyle w:val="ESchpar"/>
        <w:rPr>
          <w:rFonts w:cs="Arial"/>
        </w:rPr>
      </w:pPr>
      <w:r>
        <w:t>Il presente requisito non si applica agli impianti installati in compartimenti costruiti in materiali non combustibili e destinati esclusivamente ad alloggiare la caldaia.</w:t>
      </w:r>
    </w:p>
    <w:p w:rsidR="00260F40" w:rsidRPr="00C903F8" w:rsidRDefault="00260F40" w:rsidP="00260F40">
      <w:pPr>
        <w:pStyle w:val="ESch"/>
        <w:rPr>
          <w:noProof/>
        </w:rPr>
      </w:pPr>
    </w:p>
    <w:p w:rsidR="00260F40" w:rsidRPr="00C903F8" w:rsidRDefault="00260F40" w:rsidP="00260F40">
      <w:pPr>
        <w:pStyle w:val="ESch"/>
        <w:rPr>
          <w:rFonts w:cs="Arial"/>
        </w:rPr>
      </w:pPr>
      <w:r>
        <w:t>2.</w:t>
      </w:r>
      <w:r>
        <w:tab/>
        <w:t>Le caldaie a combustibile solido sono provviste di regolatori termostatici che agiscono sul flusso d'aria necessaria alla combustione.</w:t>
      </w:r>
    </w:p>
    <w:p w:rsidR="00260F40" w:rsidRPr="00C903F8" w:rsidRDefault="00260F40" w:rsidP="00260F40">
      <w:pPr>
        <w:pStyle w:val="ESch"/>
        <w:rPr>
          <w:noProof/>
        </w:rPr>
      </w:pPr>
    </w:p>
    <w:p w:rsidR="00260F40" w:rsidRPr="00C903F8" w:rsidRDefault="00260F40" w:rsidP="00260F40">
      <w:pPr>
        <w:pStyle w:val="ESch"/>
        <w:rPr>
          <w:rFonts w:cs="Arial"/>
        </w:rPr>
      </w:pPr>
      <w:r>
        <w:t>3.</w:t>
      </w:r>
      <w:r>
        <w:tab/>
        <w:t>In prossimità di ciascun impianto di riscaldamento si trova un mezzo che consenta di spegnere facilmente le ceneri.</w:t>
      </w:r>
    </w:p>
    <w:p w:rsidR="00260F40" w:rsidRPr="00C903F8" w:rsidRDefault="00260F40" w:rsidP="00811428">
      <w:pPr>
        <w:pStyle w:val="ESch"/>
        <w:rPr>
          <w:szCs w:val="20"/>
        </w:rPr>
      </w:pPr>
    </w:p>
    <w:p w:rsidR="00B51D33" w:rsidRPr="00C903F8" w:rsidRDefault="00B51D33" w:rsidP="00811428">
      <w:pPr>
        <w:pStyle w:val="ESch"/>
        <w:rPr>
          <w:szCs w:val="20"/>
        </w:rPr>
      </w:pPr>
      <w:r>
        <w:br w:type="page"/>
      </w:r>
    </w:p>
    <w:p w:rsidR="00B51D33" w:rsidRPr="00C903F8" w:rsidRDefault="00B51D33" w:rsidP="00811428">
      <w:pPr>
        <w:pStyle w:val="ESch"/>
        <w:rPr>
          <w:szCs w:val="20"/>
        </w:rPr>
      </w:pPr>
    </w:p>
    <w:p w:rsidR="00D96486" w:rsidRPr="00C903F8" w:rsidRDefault="00D96486" w:rsidP="00811428">
      <w:pPr>
        <w:pStyle w:val="ESch"/>
        <w:rPr>
          <w:szCs w:val="20"/>
        </w:rPr>
      </w:pPr>
    </w:p>
    <w:p w:rsidR="00AE4E9D" w:rsidRPr="00C903F8" w:rsidRDefault="00AE4E9D" w:rsidP="00AE4E9D">
      <w:pPr>
        <w:pStyle w:val="ES-Titre2"/>
        <w:rPr>
          <w:szCs w:val="24"/>
        </w:rPr>
      </w:pPr>
      <w:bookmarkStart w:id="286" w:name="_Toc491854140"/>
      <w:bookmarkStart w:id="287" w:name="_Toc535500089"/>
      <w:r>
        <w:lastRenderedPageBreak/>
        <w:t>Capo 17</w:t>
      </w:r>
      <w:r>
        <w:br/>
        <w:t>Impianti a gas liquefatti per usi domestici</w:t>
      </w:r>
      <w:bookmarkEnd w:id="286"/>
      <w:bookmarkEnd w:id="287"/>
    </w:p>
    <w:p w:rsidR="00AE4E9D" w:rsidRPr="00C903F8" w:rsidRDefault="00AE4E9D" w:rsidP="00AE4E9D"/>
    <w:p w:rsidR="00AE4E9D" w:rsidRPr="00C903F8" w:rsidRDefault="00AE4E9D" w:rsidP="00AE4E9D">
      <w:pPr>
        <w:pStyle w:val="ES-Titre3"/>
      </w:pPr>
      <w:bookmarkStart w:id="288" w:name="_Toc491854141"/>
      <w:bookmarkStart w:id="289" w:name="_Toc535500090"/>
      <w:r>
        <w:t>Articolo 17.01</w:t>
      </w:r>
      <w:r>
        <w:br/>
      </w:r>
      <w:r>
        <w:rPr>
          <w:i/>
          <w:noProof/>
        </w:rPr>
        <w:t>Aspetti generali</w:t>
      </w:r>
      <w:bookmarkEnd w:id="288"/>
      <w:bookmarkEnd w:id="289"/>
    </w:p>
    <w:p w:rsidR="00AE4E9D" w:rsidRPr="00C903F8" w:rsidRDefault="00AE4E9D" w:rsidP="00AE4E9D">
      <w:pPr>
        <w:pStyle w:val="ESch"/>
        <w:rPr>
          <w:noProof/>
        </w:rPr>
      </w:pPr>
    </w:p>
    <w:p w:rsidR="00AE4E9D" w:rsidRPr="00C903F8" w:rsidRDefault="00AE4E9D" w:rsidP="00AE4E9D">
      <w:pPr>
        <w:pStyle w:val="ESch"/>
        <w:rPr>
          <w:szCs w:val="20"/>
        </w:rPr>
      </w:pPr>
      <w:r>
        <w:t>1.</w:t>
      </w:r>
      <w:r>
        <w:tab/>
        <w:t>Gli impianti a gas liquefatti sono costituiti essenzialmente da un posto di distribuzione che consiste in uno o più recipienti a gas, uno o più regolatori di pressione, una rete di distribuzione e un certo numero di apparecchi utilizzatori.</w:t>
      </w:r>
    </w:p>
    <w:p w:rsidR="00AE4E9D" w:rsidRPr="00C903F8" w:rsidRDefault="00AE4E9D" w:rsidP="00AE4E9D">
      <w:pPr>
        <w:pStyle w:val="ESch"/>
        <w:rPr>
          <w:szCs w:val="20"/>
        </w:rPr>
      </w:pPr>
    </w:p>
    <w:p w:rsidR="00AE4E9D" w:rsidRPr="00C903F8" w:rsidRDefault="00AE4E9D" w:rsidP="00AE4E9D">
      <w:pPr>
        <w:pStyle w:val="ESchpar"/>
      </w:pPr>
      <w:r>
        <w:t>Non si considerano parte dell'impianto i recipienti di ricambio e i recipienti vuoti che non si trovano nel posto di distribuzione. Ad essi si applica l'articolo 17.05 per analogia.</w:t>
      </w:r>
    </w:p>
    <w:p w:rsidR="00AE4E9D" w:rsidRPr="00C903F8" w:rsidRDefault="00AE4E9D" w:rsidP="00AE4E9D">
      <w:pPr>
        <w:pStyle w:val="ESch"/>
        <w:rPr>
          <w:szCs w:val="20"/>
        </w:rPr>
      </w:pPr>
    </w:p>
    <w:p w:rsidR="00AE4E9D" w:rsidRPr="00C903F8" w:rsidRDefault="00AE4E9D" w:rsidP="00AE4E9D">
      <w:pPr>
        <w:pStyle w:val="ESch"/>
        <w:rPr>
          <w:szCs w:val="20"/>
        </w:rPr>
      </w:pPr>
      <w:r>
        <w:t>2.</w:t>
      </w:r>
      <w:r>
        <w:tab/>
        <w:t>Gli impianti possono essere alimentati soltanto a propano commerciale.</w:t>
      </w:r>
    </w:p>
    <w:p w:rsidR="00AE4E9D" w:rsidRPr="00C903F8" w:rsidRDefault="00AE4E9D" w:rsidP="00AE4E9D">
      <w:pPr>
        <w:pStyle w:val="ESch"/>
        <w:rPr>
          <w:szCs w:val="20"/>
        </w:rPr>
      </w:pPr>
    </w:p>
    <w:p w:rsidR="001D67AA" w:rsidRPr="00C903F8" w:rsidRDefault="001D67AA" w:rsidP="00AE4E9D">
      <w:pPr>
        <w:pStyle w:val="ESch"/>
        <w:rPr>
          <w:szCs w:val="20"/>
        </w:rPr>
      </w:pPr>
    </w:p>
    <w:p w:rsidR="00AE4E9D" w:rsidRPr="00C903F8" w:rsidRDefault="00AE4E9D" w:rsidP="00AE4E9D">
      <w:pPr>
        <w:pStyle w:val="ES-Titre3"/>
      </w:pPr>
      <w:bookmarkStart w:id="290" w:name="_Toc491854142"/>
      <w:bookmarkStart w:id="291" w:name="_Toc535500091"/>
      <w:r>
        <w:t>Articolo 17.02</w:t>
      </w:r>
      <w:r>
        <w:br/>
      </w:r>
      <w:r>
        <w:rPr>
          <w:i/>
        </w:rPr>
        <w:t>Impianti</w:t>
      </w:r>
      <w:bookmarkEnd w:id="290"/>
      <w:bookmarkEnd w:id="291"/>
    </w:p>
    <w:p w:rsidR="001D67AA" w:rsidRPr="00C903F8" w:rsidRDefault="001D67AA" w:rsidP="00AE4E9D">
      <w:pPr>
        <w:pStyle w:val="ESch"/>
        <w:rPr>
          <w:szCs w:val="20"/>
        </w:rPr>
      </w:pPr>
    </w:p>
    <w:p w:rsidR="00AE4E9D" w:rsidRPr="00C903F8" w:rsidRDefault="00AE4E9D" w:rsidP="00AE4E9D">
      <w:pPr>
        <w:pStyle w:val="ESch"/>
        <w:rPr>
          <w:rFonts w:cs="Arial"/>
          <w:szCs w:val="20"/>
        </w:rPr>
      </w:pPr>
      <w:r>
        <w:t>1.</w:t>
      </w:r>
      <w:r>
        <w:tab/>
        <w:t>Gli impianti a gas liquefatti sono adatti in tutte le loro parti all'uso del propano e sono realizzati e installati a regola d'arte.</w:t>
      </w:r>
    </w:p>
    <w:p w:rsidR="001D67AA" w:rsidRPr="00C903F8" w:rsidRDefault="001D67AA" w:rsidP="00AE4E9D">
      <w:pPr>
        <w:pStyle w:val="ESch"/>
        <w:rPr>
          <w:szCs w:val="20"/>
        </w:rPr>
      </w:pPr>
    </w:p>
    <w:p w:rsidR="00AE4E9D" w:rsidRPr="00C903F8" w:rsidRDefault="00AE4E9D" w:rsidP="00AE4E9D">
      <w:pPr>
        <w:pStyle w:val="ESch"/>
        <w:rPr>
          <w:rFonts w:cs="Arial"/>
          <w:szCs w:val="20"/>
        </w:rPr>
      </w:pPr>
      <w:r>
        <w:t>2.</w:t>
      </w:r>
      <w:r>
        <w:tab/>
        <w:t>Gli impianti a gas liquefatti possono servire esclusivamente per usi domestici negli alloggi e nella timoneria, nonché per gli usi corrispondenti sulle navi da passeggeri.</w:t>
      </w:r>
    </w:p>
    <w:p w:rsidR="001D67AA" w:rsidRPr="00C903F8" w:rsidRDefault="001D67AA" w:rsidP="00AE4E9D">
      <w:pPr>
        <w:pStyle w:val="ESch"/>
        <w:rPr>
          <w:szCs w:val="20"/>
        </w:rPr>
      </w:pPr>
    </w:p>
    <w:p w:rsidR="00AE4E9D" w:rsidRPr="00C903F8" w:rsidRDefault="00AE4E9D" w:rsidP="00AE4E9D">
      <w:pPr>
        <w:pStyle w:val="ESch"/>
        <w:rPr>
          <w:rFonts w:cs="Arial"/>
          <w:szCs w:val="20"/>
        </w:rPr>
      </w:pPr>
      <w:r>
        <w:t>3.</w:t>
      </w:r>
      <w:r>
        <w:tab/>
        <w:t>A bordo possono esservi più impianti a gas liquefatti separati. Un unico impianto non serve alloggi separati da una stiva o da una cisterna fissa.</w:t>
      </w:r>
    </w:p>
    <w:p w:rsidR="001D67AA" w:rsidRPr="00C903F8" w:rsidRDefault="001D67AA" w:rsidP="00AE4E9D">
      <w:pPr>
        <w:pStyle w:val="ESch"/>
        <w:rPr>
          <w:szCs w:val="20"/>
        </w:rPr>
      </w:pPr>
    </w:p>
    <w:p w:rsidR="00AE4E9D" w:rsidRPr="00C903F8" w:rsidRDefault="00AE4E9D" w:rsidP="00AE4E9D">
      <w:pPr>
        <w:pStyle w:val="ESch"/>
        <w:rPr>
          <w:szCs w:val="20"/>
        </w:rPr>
      </w:pPr>
      <w:r>
        <w:t>4.</w:t>
      </w:r>
      <w:r>
        <w:tab/>
        <w:t>Nessuna parte dell'impianto a gas liquefatti si trova nella sala macchine.</w:t>
      </w:r>
    </w:p>
    <w:p w:rsidR="001D67AA" w:rsidRPr="00C903F8" w:rsidRDefault="001D67AA" w:rsidP="00AE4E9D">
      <w:pPr>
        <w:pStyle w:val="ESch"/>
        <w:rPr>
          <w:szCs w:val="20"/>
        </w:rPr>
      </w:pPr>
    </w:p>
    <w:p w:rsidR="001D67AA" w:rsidRPr="00C903F8" w:rsidRDefault="001D67AA" w:rsidP="00AE4E9D">
      <w:pPr>
        <w:pStyle w:val="ESch"/>
        <w:rPr>
          <w:rFonts w:cs="Arial"/>
          <w:szCs w:val="20"/>
        </w:rPr>
      </w:pPr>
    </w:p>
    <w:p w:rsidR="00AE4E9D" w:rsidRPr="00C903F8" w:rsidRDefault="00AE4E9D" w:rsidP="00AE4E9D">
      <w:pPr>
        <w:pStyle w:val="ES-Titre3"/>
      </w:pPr>
      <w:bookmarkStart w:id="292" w:name="_Toc491854143"/>
      <w:bookmarkStart w:id="293" w:name="_Toc535500092"/>
      <w:r>
        <w:t>Articolo 17.03</w:t>
      </w:r>
      <w:r>
        <w:br/>
      </w:r>
      <w:r>
        <w:rPr>
          <w:i/>
        </w:rPr>
        <w:t>Recipienti</w:t>
      </w:r>
      <w:bookmarkEnd w:id="292"/>
      <w:bookmarkEnd w:id="293"/>
    </w:p>
    <w:p w:rsidR="001D67AA" w:rsidRPr="00C903F8" w:rsidRDefault="001D67AA" w:rsidP="001D67AA">
      <w:pPr>
        <w:pStyle w:val="ESch"/>
      </w:pPr>
    </w:p>
    <w:p w:rsidR="00AE4E9D" w:rsidRPr="00C903F8" w:rsidRDefault="00AE4E9D" w:rsidP="001D67AA">
      <w:pPr>
        <w:pStyle w:val="ESch"/>
      </w:pPr>
      <w:r>
        <w:t>1.</w:t>
      </w:r>
      <w:r>
        <w:tab/>
        <w:t>Sono ammessi soltanto i recipienti la cui capacità autorizzata è compresa fra 5 e 35 kg. Per le navi da passeggeri, la commissione di ispezione può ammettere l'utilizzazione di recipienti di capacità superiore.</w:t>
      </w:r>
    </w:p>
    <w:p w:rsidR="001D67AA" w:rsidRPr="00C903F8" w:rsidRDefault="001D67AA" w:rsidP="001D67AA">
      <w:pPr>
        <w:pStyle w:val="ESch"/>
      </w:pPr>
    </w:p>
    <w:p w:rsidR="00AE4E9D" w:rsidRPr="00C903F8" w:rsidRDefault="00AE4E9D" w:rsidP="001D67AA">
      <w:pPr>
        <w:pStyle w:val="ESch"/>
      </w:pPr>
      <w:r>
        <w:t>2.</w:t>
      </w:r>
      <w:r>
        <w:tab/>
        <w:t>I recipienti soddisfano i requisiti in vigore in uno degli Stati membri.</w:t>
      </w:r>
    </w:p>
    <w:p w:rsidR="001D67AA" w:rsidRPr="00C903F8" w:rsidRDefault="001D67AA" w:rsidP="001D67AA">
      <w:pPr>
        <w:pStyle w:val="ESch"/>
      </w:pPr>
    </w:p>
    <w:p w:rsidR="00AE4E9D" w:rsidRPr="00C903F8" w:rsidRDefault="00AE4E9D" w:rsidP="001D67AA">
      <w:pPr>
        <w:pStyle w:val="ESchpar"/>
      </w:pPr>
      <w:r>
        <w:t>Tali recipienti recano la punzonatura ufficiale che attesta che hanno superato le prove richieste.</w:t>
      </w:r>
    </w:p>
    <w:p w:rsidR="00AE4E9D" w:rsidRPr="00C903F8" w:rsidRDefault="00AE4E9D" w:rsidP="001D67AA">
      <w:pPr>
        <w:pStyle w:val="ESch"/>
      </w:pPr>
    </w:p>
    <w:p w:rsidR="001D67AA" w:rsidRPr="00C903F8" w:rsidRDefault="001D67AA" w:rsidP="001D67AA">
      <w:pPr>
        <w:pStyle w:val="ESch"/>
      </w:pPr>
    </w:p>
    <w:p w:rsidR="00AE4E9D" w:rsidRPr="00C903F8" w:rsidRDefault="00AE4E9D" w:rsidP="00AE4E9D">
      <w:pPr>
        <w:pStyle w:val="ES-Titre3"/>
        <w:rPr>
          <w:i/>
        </w:rPr>
      </w:pPr>
      <w:bookmarkStart w:id="294" w:name="_Toc491854144"/>
      <w:bookmarkStart w:id="295" w:name="_Toc535500093"/>
      <w:r>
        <w:t>Articolo 17.04</w:t>
      </w:r>
      <w:r>
        <w:br/>
      </w:r>
      <w:r>
        <w:rPr>
          <w:i/>
        </w:rPr>
        <w:t>Posizione e sistemazione dei posti di distribuzione</w:t>
      </w:r>
      <w:bookmarkEnd w:id="294"/>
      <w:bookmarkEnd w:id="295"/>
    </w:p>
    <w:p w:rsidR="001D67AA" w:rsidRPr="00C903F8" w:rsidRDefault="001D67AA" w:rsidP="001D67AA">
      <w:pPr>
        <w:pStyle w:val="ESch"/>
      </w:pPr>
    </w:p>
    <w:p w:rsidR="00AE4E9D" w:rsidRPr="00C903F8" w:rsidRDefault="00AE4E9D" w:rsidP="001D67AA">
      <w:pPr>
        <w:pStyle w:val="ESch"/>
      </w:pPr>
      <w:r>
        <w:t>1.</w:t>
      </w:r>
      <w:r>
        <w:tab/>
        <w:t>I posti di distribuzione sono installati sul ponte in un armadio (o in un armadio a parete) speciale, all'esterno degli alloggi, in modo tale da non intralciare la circolazione a bordo. Essi tuttavia non sono installati contro l'impavesata di prua o di poppa. L'armadio può essere un armadio a parete incassato nelle sovrastrutture, a condizione di essere stagno ai gas e di aprirsi soltanto verso l'esterno. Esso è sistemato in modo tale che le condutture di distribuzione che portano ai punti d'utilizzazione siano quanto più corte possibile.</w:t>
      </w:r>
    </w:p>
    <w:p w:rsidR="001D67AA" w:rsidRPr="00C903F8" w:rsidRDefault="001D67AA" w:rsidP="001D67AA">
      <w:pPr>
        <w:pStyle w:val="ESch"/>
      </w:pPr>
    </w:p>
    <w:p w:rsidR="001D67AA" w:rsidRPr="00C903F8" w:rsidRDefault="001D67AA" w:rsidP="001D67AA">
      <w:pPr>
        <w:pStyle w:val="ESch"/>
      </w:pPr>
      <w:r>
        <w:br w:type="page"/>
      </w:r>
    </w:p>
    <w:p w:rsidR="00AE4E9D" w:rsidRPr="00C903F8" w:rsidRDefault="00AE4E9D" w:rsidP="001D67AA">
      <w:pPr>
        <w:pStyle w:val="ESchpar"/>
      </w:pPr>
      <w:r>
        <w:lastRenderedPageBreak/>
        <w:t>Possono essere contemporaneamente in funzione solo i recipienti necessari al funzionamento dell'impianto. Possono essere collegati più recipienti solo se si utilizza un commutatore invertitore. Per ogni posto di distribuzione possono essere collegati fino a quattro recipienti. Per ogni impianto non vi sono a bordo più di sei recipienti, compresi quelli di ricambio.</w:t>
      </w:r>
    </w:p>
    <w:p w:rsidR="00397B6A" w:rsidRPr="00C903F8" w:rsidRDefault="00397B6A" w:rsidP="001D67AA">
      <w:pPr>
        <w:pStyle w:val="ESchpar"/>
      </w:pPr>
    </w:p>
    <w:p w:rsidR="00AE4E9D" w:rsidRPr="00C903F8" w:rsidRDefault="00AE4E9D" w:rsidP="001D67AA">
      <w:pPr>
        <w:pStyle w:val="ESchpar"/>
      </w:pPr>
      <w:r>
        <w:t>Sulle navi da passeggeri dotate di cucine o di mense per i passeggeri possono essere collegati fino a sei recipienti. Per ogni impianto non vi sono a bordo più di nove recipienti, compresi quelli di ricambio.</w:t>
      </w:r>
    </w:p>
    <w:p w:rsidR="001D67AA" w:rsidRPr="00C903F8" w:rsidRDefault="001D67AA" w:rsidP="001D67AA">
      <w:pPr>
        <w:pStyle w:val="ESchpar"/>
      </w:pPr>
    </w:p>
    <w:p w:rsidR="00AE4E9D" w:rsidRPr="00C903F8" w:rsidRDefault="00AE4E9D" w:rsidP="001D67AA">
      <w:pPr>
        <w:pStyle w:val="ESchpar"/>
      </w:pPr>
      <w:r>
        <w:t>Il regolatore di pressione o, nel caso di regolazione a due stadi, il regolatore di primo stadio è fissato a parete nello stesso armadio che contiene i recipienti.</w:t>
      </w:r>
    </w:p>
    <w:p w:rsidR="001D67AA" w:rsidRPr="00C903F8" w:rsidRDefault="001D67AA" w:rsidP="001D67AA">
      <w:pPr>
        <w:pStyle w:val="ESchpar"/>
      </w:pPr>
    </w:p>
    <w:p w:rsidR="00AE4E9D" w:rsidRPr="00C903F8" w:rsidRDefault="00AE4E9D" w:rsidP="001D67AA">
      <w:pPr>
        <w:pStyle w:val="ESch"/>
      </w:pPr>
      <w:r>
        <w:t>2.</w:t>
      </w:r>
      <w:r>
        <w:tab/>
        <w:t>Il posto di distribuzione è installato in modo tale che il gas eventualmente fuoriuscito possa diffondersi all'esterno dell'armadio che lo contiene, senza rischio di penetrazione all'interno della nave o di contatto con una fonte d'ignizione.</w:t>
      </w:r>
    </w:p>
    <w:p w:rsidR="001D67AA" w:rsidRPr="00C903F8" w:rsidRDefault="001D67AA" w:rsidP="001D67AA">
      <w:pPr>
        <w:pStyle w:val="ESch"/>
      </w:pPr>
    </w:p>
    <w:p w:rsidR="00AE4E9D" w:rsidRPr="00C903F8" w:rsidRDefault="00AE4E9D" w:rsidP="001D67AA">
      <w:pPr>
        <w:pStyle w:val="ESch"/>
      </w:pPr>
      <w:r>
        <w:t>3.</w:t>
      </w:r>
      <w:r>
        <w:tab/>
        <w:t>Gli armadi sono costruiti in materiali ad infiammabilità ritardata e sufficientemente ventilati tramite orifizi nella parte inferiore e in quella superiore. I recipienti sono posti verticalmente negli armadi, in modo tale da non potersi rovesciare.</w:t>
      </w:r>
    </w:p>
    <w:p w:rsidR="001D67AA" w:rsidRPr="00C903F8" w:rsidRDefault="001D67AA" w:rsidP="001D67AA">
      <w:pPr>
        <w:pStyle w:val="ESch"/>
      </w:pPr>
    </w:p>
    <w:p w:rsidR="00AE4E9D" w:rsidRPr="00C903F8" w:rsidRDefault="00AE4E9D" w:rsidP="001D67AA">
      <w:pPr>
        <w:pStyle w:val="ESch"/>
      </w:pPr>
      <w:r>
        <w:t>4.</w:t>
      </w:r>
      <w:r>
        <w:tab/>
        <w:t>Gli armadi sono costruiti e posizionati in modo tale che la temperatura dei recipienti non possa superare i 50 °C.</w:t>
      </w:r>
    </w:p>
    <w:p w:rsidR="001D67AA" w:rsidRPr="00C903F8" w:rsidRDefault="001D67AA" w:rsidP="001D67AA">
      <w:pPr>
        <w:pStyle w:val="ESch"/>
      </w:pPr>
    </w:p>
    <w:p w:rsidR="00AE4E9D" w:rsidRPr="00C903F8" w:rsidRDefault="00AE4E9D" w:rsidP="001D67AA">
      <w:pPr>
        <w:pStyle w:val="ESch"/>
      </w:pPr>
      <w:r>
        <w:t>5.</w:t>
      </w:r>
      <w:r>
        <w:tab/>
        <w:t>Sulla parete esterna degli armadi sono apposti l'iscrizione "Impianto a gas liquefatto" e un pittogramma "Vietato utilizzare fiamme libere e vietato fumare" di un diametro minimo di 10 cm, conformemente all'allegato 4, figura 2.</w:t>
      </w:r>
    </w:p>
    <w:p w:rsidR="001D67AA" w:rsidRPr="00C903F8" w:rsidRDefault="001D67AA" w:rsidP="001D67AA">
      <w:pPr>
        <w:pStyle w:val="ESch"/>
      </w:pPr>
    </w:p>
    <w:p w:rsidR="00AE4E9D" w:rsidRPr="00C903F8" w:rsidRDefault="00AE4E9D" w:rsidP="001D67AA">
      <w:pPr>
        <w:pStyle w:val="ESch"/>
      </w:pPr>
    </w:p>
    <w:p w:rsidR="00AE4E9D" w:rsidRPr="00C903F8" w:rsidRDefault="00AE4E9D" w:rsidP="00AE4E9D">
      <w:pPr>
        <w:pStyle w:val="ES-Titre3"/>
        <w:rPr>
          <w:i/>
        </w:rPr>
      </w:pPr>
      <w:bookmarkStart w:id="296" w:name="_Toc491854145"/>
      <w:bookmarkStart w:id="297" w:name="_Toc535500094"/>
      <w:r>
        <w:t>Articolo 17.05</w:t>
      </w:r>
      <w:r>
        <w:br/>
      </w:r>
      <w:r>
        <w:rPr>
          <w:i/>
        </w:rPr>
        <w:t>Recipienti di ricambio e recipienti vuoti</w:t>
      </w:r>
      <w:bookmarkEnd w:id="296"/>
      <w:bookmarkEnd w:id="297"/>
    </w:p>
    <w:p w:rsidR="001D67AA" w:rsidRPr="00C903F8" w:rsidRDefault="001D67AA" w:rsidP="001D67AA">
      <w:pPr>
        <w:pStyle w:val="ESch"/>
      </w:pPr>
    </w:p>
    <w:p w:rsidR="00AE4E9D" w:rsidRPr="00C903F8" w:rsidRDefault="00AE4E9D" w:rsidP="001D67AA">
      <w:pPr>
        <w:pStyle w:val="ESgauche"/>
      </w:pPr>
      <w:r>
        <w:t>I recipienti di ricambio e i recipienti vuoti che non si trovano nel posto di distribuzione sono depositati all'esterno degli alloggi e della timoneria, in un armadio costruito conformemente all'articolo 17.04.</w:t>
      </w:r>
    </w:p>
    <w:p w:rsidR="00AE4E9D" w:rsidRPr="00C903F8" w:rsidRDefault="00AE4E9D" w:rsidP="001D67AA">
      <w:pPr>
        <w:pStyle w:val="ESch"/>
      </w:pPr>
    </w:p>
    <w:p w:rsidR="001D67AA" w:rsidRPr="00C903F8" w:rsidRDefault="001D67AA" w:rsidP="001D67AA">
      <w:pPr>
        <w:pStyle w:val="ESch"/>
      </w:pPr>
    </w:p>
    <w:p w:rsidR="00AE4E9D" w:rsidRPr="00C903F8" w:rsidRDefault="00AE4E9D" w:rsidP="00AE4E9D">
      <w:pPr>
        <w:pStyle w:val="ES-Titre3"/>
        <w:rPr>
          <w:i/>
        </w:rPr>
      </w:pPr>
      <w:bookmarkStart w:id="298" w:name="_Toc491854146"/>
      <w:bookmarkStart w:id="299" w:name="_Toc535500095"/>
      <w:r>
        <w:t>Articolo 17.06</w:t>
      </w:r>
      <w:r>
        <w:br/>
      </w:r>
      <w:r>
        <w:rPr>
          <w:i/>
        </w:rPr>
        <w:t>Regolatori di pressione</w:t>
      </w:r>
      <w:bookmarkEnd w:id="298"/>
      <w:bookmarkEnd w:id="299"/>
    </w:p>
    <w:p w:rsidR="001D67AA" w:rsidRPr="00C903F8" w:rsidRDefault="001D67AA" w:rsidP="001D67AA">
      <w:pPr>
        <w:pStyle w:val="ESch"/>
      </w:pPr>
    </w:p>
    <w:p w:rsidR="00AE4E9D" w:rsidRPr="00C903F8" w:rsidRDefault="00AE4E9D" w:rsidP="001D67AA">
      <w:pPr>
        <w:pStyle w:val="ESch"/>
      </w:pPr>
      <w:r>
        <w:t>1.</w:t>
      </w:r>
      <w:r>
        <w:tab/>
        <w:t>Gli apparecchi utilizzatori possono essere raccordati ai recipienti soltanto tramite una rete di distribuzione provvista di uno o più regolatori che abbassino la pressione del gas alla pressione di utilizzazione. Tale riduzione può essere realizzata in uno o due stadi. Tutti i regolatori di pressione sono regolati in modo fisso a una pressione determinata conformemente all'articolo 17.07.</w:t>
      </w:r>
    </w:p>
    <w:p w:rsidR="001D67AA" w:rsidRPr="00C903F8" w:rsidRDefault="001D67AA" w:rsidP="001D67AA">
      <w:pPr>
        <w:pStyle w:val="ESch"/>
      </w:pPr>
    </w:p>
    <w:p w:rsidR="00AE4E9D" w:rsidRPr="00C903F8" w:rsidRDefault="00AE4E9D" w:rsidP="001D67AA">
      <w:pPr>
        <w:pStyle w:val="ESch"/>
      </w:pPr>
      <w:r>
        <w:t>2.</w:t>
      </w:r>
      <w:r>
        <w:tab/>
        <w:t>I regolatori finali della pressione hanno o sono seguiti da un dispositivo che protegga automaticamente la conduttura contro un eccesso di pressione in caso di cattivo funzionamento del regolatore. Occorre garantire che, in caso di mancata tenuta stagna del dispositivo di protezione, i gas fuoriusciti siano dispersi all'aperto senza alcun rischio di penetrazione all'interno della nave o di contatto con una fonte d'ignizione; se necessario, occorre predisporre a tal fine una conduttura speciale.</w:t>
      </w:r>
    </w:p>
    <w:p w:rsidR="001D67AA" w:rsidRPr="00C903F8" w:rsidRDefault="001D67AA" w:rsidP="001D67AA">
      <w:pPr>
        <w:pStyle w:val="ESch"/>
      </w:pPr>
    </w:p>
    <w:p w:rsidR="00AE4E9D" w:rsidRPr="00C903F8" w:rsidRDefault="00AE4E9D" w:rsidP="001D67AA">
      <w:pPr>
        <w:pStyle w:val="ESch"/>
      </w:pPr>
      <w:r>
        <w:t>3.</w:t>
      </w:r>
      <w:r>
        <w:tab/>
        <w:t>I dispositivi di protezione e gli sfiatatoi sono protetti dalle infiltrazioni d'acqua.</w:t>
      </w:r>
    </w:p>
    <w:p w:rsidR="00AE4E9D" w:rsidRPr="00C903F8" w:rsidRDefault="00AE4E9D" w:rsidP="001D67AA">
      <w:pPr>
        <w:pStyle w:val="ESch"/>
      </w:pPr>
    </w:p>
    <w:p w:rsidR="001D67AA" w:rsidRPr="00C903F8" w:rsidRDefault="001D67AA" w:rsidP="001D67AA">
      <w:pPr>
        <w:pStyle w:val="ESch"/>
      </w:pPr>
      <w:r>
        <w:br w:type="page"/>
      </w:r>
    </w:p>
    <w:p w:rsidR="00AE4E9D" w:rsidRPr="00C903F8" w:rsidRDefault="00AE4E9D" w:rsidP="00AE4E9D">
      <w:pPr>
        <w:pStyle w:val="ES-Titre3"/>
        <w:rPr>
          <w:i/>
        </w:rPr>
      </w:pPr>
      <w:bookmarkStart w:id="300" w:name="_Toc491854147"/>
      <w:bookmarkStart w:id="301" w:name="_Toc535500096"/>
      <w:r>
        <w:lastRenderedPageBreak/>
        <w:t>Articolo 17.07</w:t>
      </w:r>
      <w:r>
        <w:br/>
      </w:r>
      <w:r>
        <w:rPr>
          <w:i/>
        </w:rPr>
        <w:t>Pressione</w:t>
      </w:r>
      <w:bookmarkEnd w:id="300"/>
      <w:bookmarkEnd w:id="301"/>
    </w:p>
    <w:p w:rsidR="001D67AA" w:rsidRPr="00C903F8" w:rsidRDefault="001D67AA" w:rsidP="001D67AA">
      <w:pPr>
        <w:pStyle w:val="ESch"/>
      </w:pPr>
    </w:p>
    <w:p w:rsidR="00AE4E9D" w:rsidRPr="00C903F8" w:rsidRDefault="00AE4E9D" w:rsidP="001D67AA">
      <w:pPr>
        <w:pStyle w:val="ESch"/>
      </w:pPr>
      <w:r>
        <w:t>1.</w:t>
      </w:r>
      <w:r>
        <w:tab/>
        <w:t>Nel caso di regolazione a due stadi, il valore della pressione media non supera di oltre 2,5 bar la pressione atmosferica.</w:t>
      </w:r>
    </w:p>
    <w:p w:rsidR="001D67AA" w:rsidRPr="00C903F8" w:rsidRDefault="001D67AA" w:rsidP="001D67AA">
      <w:pPr>
        <w:pStyle w:val="ESch"/>
      </w:pPr>
    </w:p>
    <w:p w:rsidR="00AE4E9D" w:rsidRPr="00C903F8" w:rsidRDefault="00AE4E9D" w:rsidP="001D67AA">
      <w:pPr>
        <w:pStyle w:val="ESch"/>
      </w:pPr>
      <w:r>
        <w:t>2.</w:t>
      </w:r>
      <w:r>
        <w:tab/>
        <w:t>La pressione all'uscita dell'ultimo regolatore non supera di oltre 0,05 bar la pressione atmosferica, con una tolleranza del 10 %.</w:t>
      </w:r>
    </w:p>
    <w:p w:rsidR="00AE4E9D" w:rsidRPr="00C903F8" w:rsidRDefault="00AE4E9D" w:rsidP="001D67AA">
      <w:pPr>
        <w:pStyle w:val="ESch"/>
      </w:pPr>
    </w:p>
    <w:p w:rsidR="001D67AA" w:rsidRPr="00C903F8" w:rsidRDefault="001D67AA" w:rsidP="001D67AA">
      <w:pPr>
        <w:pStyle w:val="ESch"/>
      </w:pPr>
    </w:p>
    <w:p w:rsidR="00AE4E9D" w:rsidRPr="00C903F8" w:rsidRDefault="00AE4E9D" w:rsidP="00AE4E9D">
      <w:pPr>
        <w:pStyle w:val="ES-Titre3"/>
        <w:rPr>
          <w:i/>
        </w:rPr>
      </w:pPr>
      <w:bookmarkStart w:id="302" w:name="_Toc491854148"/>
      <w:bookmarkStart w:id="303" w:name="_Toc535500097"/>
      <w:r>
        <w:t>Articolo 17.08</w:t>
      </w:r>
      <w:r>
        <w:br/>
      </w:r>
      <w:r>
        <w:rPr>
          <w:i/>
        </w:rPr>
        <w:t>Condutture e tubi flessibili</w:t>
      </w:r>
      <w:bookmarkEnd w:id="302"/>
      <w:bookmarkEnd w:id="303"/>
    </w:p>
    <w:p w:rsidR="001D67AA" w:rsidRPr="00C903F8" w:rsidRDefault="001D67AA" w:rsidP="001D67AA">
      <w:pPr>
        <w:pStyle w:val="ESch"/>
      </w:pPr>
    </w:p>
    <w:p w:rsidR="00AE4E9D" w:rsidRPr="00C903F8" w:rsidRDefault="00AE4E9D" w:rsidP="001D67AA">
      <w:pPr>
        <w:pStyle w:val="ESch"/>
      </w:pPr>
      <w:r>
        <w:t>1.</w:t>
      </w:r>
      <w:r>
        <w:tab/>
        <w:t>Le condutture sono realizzate in tubi d'acciaio o di rame installati in modo permanente.</w:t>
      </w:r>
    </w:p>
    <w:p w:rsidR="001D67AA" w:rsidRPr="00C903F8" w:rsidRDefault="001D67AA" w:rsidP="001D67AA">
      <w:pPr>
        <w:pStyle w:val="ESchpar"/>
      </w:pPr>
    </w:p>
    <w:p w:rsidR="00AE4E9D" w:rsidRPr="00C903F8" w:rsidRDefault="00AE4E9D" w:rsidP="001D67AA">
      <w:pPr>
        <w:pStyle w:val="ESchpar"/>
      </w:pPr>
      <w:r>
        <w:t>Tuttavia, le condutture di raccordo ai recipienti sono costituite da tubi flessibili per le alte pressioni o tubi a spirale adatti per il propano. Gli apparecchi utilizzatori che non sono installati in modo permanente possono essere raccordati mediante tubi flessibili adeguati, lunghi al massimo 1 m.</w:t>
      </w:r>
    </w:p>
    <w:p w:rsidR="001D67AA" w:rsidRPr="00C903F8" w:rsidRDefault="001D67AA" w:rsidP="001D67AA">
      <w:pPr>
        <w:pStyle w:val="ESch"/>
      </w:pPr>
    </w:p>
    <w:p w:rsidR="00AE4E9D" w:rsidRPr="00C903F8" w:rsidRDefault="00AE4E9D" w:rsidP="001D67AA">
      <w:pPr>
        <w:pStyle w:val="ESch"/>
      </w:pPr>
      <w:r>
        <w:t>2.</w:t>
      </w:r>
      <w:r>
        <w:tab/>
        <w:t>Le condutture sono in grado di resistere a tutte le sollecitazioni che possono subire a bordo, in condizioni normali di funzionamento, soprattutto in termini di corrosione e resistenza, e garantiscono, per le loro caratteristiche e la loro disposizione, un'alimentazione soddisfacente, per portata e pressione, degli apparecchi utilizzatori.</w:t>
      </w:r>
    </w:p>
    <w:p w:rsidR="001D67AA" w:rsidRPr="00C903F8" w:rsidRDefault="001D67AA" w:rsidP="001D67AA">
      <w:pPr>
        <w:pStyle w:val="ESch"/>
      </w:pPr>
    </w:p>
    <w:p w:rsidR="00AE4E9D" w:rsidRPr="00C903F8" w:rsidRDefault="00AE4E9D" w:rsidP="001D67AA">
      <w:pPr>
        <w:pStyle w:val="ESch"/>
      </w:pPr>
      <w:r>
        <w:t>3.</w:t>
      </w:r>
      <w:r>
        <w:tab/>
        <w:t>Le condutture hanno il minor numero possibile di raccordi. Le condutture e i raccordi sono stagni al gas e restano tali nonostante le vibrazioni e le dilatazioni che possono subire.</w:t>
      </w:r>
    </w:p>
    <w:p w:rsidR="001D67AA" w:rsidRPr="00C903F8" w:rsidRDefault="001D67AA" w:rsidP="001D67AA">
      <w:pPr>
        <w:pStyle w:val="ESch"/>
      </w:pPr>
    </w:p>
    <w:p w:rsidR="00AE4E9D" w:rsidRPr="00C903F8" w:rsidRDefault="00AE4E9D" w:rsidP="001D67AA">
      <w:pPr>
        <w:pStyle w:val="ESch"/>
      </w:pPr>
      <w:r>
        <w:t>4.</w:t>
      </w:r>
      <w:r>
        <w:tab/>
        <w:t>Le condutture sono facilmente accessibili, adeguatamente fissate e protette in tutti i punti in cui rischiano di subire urti o attriti, in particolare al passaggio di paratie d'acciaio o di pareti metalliche. Le condutture in acciaio subiscono un trattamento anticorrosivo su tutta la superficie.</w:t>
      </w:r>
    </w:p>
    <w:p w:rsidR="001D67AA" w:rsidRPr="00C903F8" w:rsidRDefault="001D67AA" w:rsidP="001D67AA">
      <w:pPr>
        <w:pStyle w:val="ESch"/>
      </w:pPr>
    </w:p>
    <w:p w:rsidR="00AE4E9D" w:rsidRPr="00C903F8" w:rsidRDefault="00AE4E9D" w:rsidP="001D67AA">
      <w:pPr>
        <w:pStyle w:val="ESch"/>
        <w:rPr>
          <w:rStyle w:val="HeaderChar"/>
          <w:rFonts w:ascii="Arial" w:hAnsi="Arial"/>
          <w:sz w:val="20"/>
        </w:rPr>
      </w:pPr>
      <w:r>
        <w:t>5.</w:t>
      </w:r>
      <w:r>
        <w:tab/>
        <w:t>I tubi flessibili e i loro raccordi sono in grado di resistere a tutte le sollecitazioni che possono subire a bordo in condizioni normali di funzionamento. Sono installati senza tensioni e in modo da non esporli a riscaldamento eccessivo e da poterli controllare su tutta la lunghezza.</w:t>
      </w:r>
    </w:p>
    <w:p w:rsidR="00AE4E9D" w:rsidRPr="00C903F8" w:rsidRDefault="00AE4E9D" w:rsidP="001D67AA">
      <w:pPr>
        <w:pStyle w:val="ESch"/>
      </w:pPr>
    </w:p>
    <w:p w:rsidR="001D67AA" w:rsidRPr="00C903F8" w:rsidRDefault="001D67AA" w:rsidP="001D67AA">
      <w:pPr>
        <w:pStyle w:val="ESch"/>
      </w:pPr>
    </w:p>
    <w:p w:rsidR="00AE4E9D" w:rsidRPr="00C903F8" w:rsidRDefault="00AE4E9D" w:rsidP="00AE4E9D">
      <w:pPr>
        <w:pStyle w:val="ES-Titre3"/>
        <w:rPr>
          <w:i/>
        </w:rPr>
      </w:pPr>
      <w:bookmarkStart w:id="304" w:name="_Toc491854149"/>
      <w:bookmarkStart w:id="305" w:name="_Toc535500098"/>
      <w:r>
        <w:t>Articolo 17.09</w:t>
      </w:r>
      <w:r>
        <w:br/>
      </w:r>
      <w:r>
        <w:rPr>
          <w:i/>
        </w:rPr>
        <w:t>Rete di distribuzione</w:t>
      </w:r>
      <w:bookmarkEnd w:id="304"/>
      <w:bookmarkEnd w:id="305"/>
    </w:p>
    <w:p w:rsidR="001D67AA" w:rsidRPr="00C903F8" w:rsidRDefault="001D67AA" w:rsidP="001D67AA">
      <w:pPr>
        <w:pStyle w:val="ESch"/>
      </w:pPr>
    </w:p>
    <w:p w:rsidR="00AE4E9D" w:rsidRPr="00C903F8" w:rsidRDefault="00AE4E9D" w:rsidP="001D67AA">
      <w:pPr>
        <w:pStyle w:val="ESch"/>
      </w:pPr>
      <w:r>
        <w:t>1.</w:t>
      </w:r>
      <w:r>
        <w:tab/>
        <w:t>L'intera rete di distribuzione può essere interrotta con un rubinetto d'arresto principale rapidamente e facilmente accessibile in qualsiasi momento.</w:t>
      </w:r>
    </w:p>
    <w:p w:rsidR="001D67AA" w:rsidRPr="00C903F8" w:rsidRDefault="001D67AA" w:rsidP="001D67AA">
      <w:pPr>
        <w:pStyle w:val="ESch"/>
      </w:pPr>
    </w:p>
    <w:p w:rsidR="00AE4E9D" w:rsidRPr="00C903F8" w:rsidRDefault="00AE4E9D" w:rsidP="001D67AA">
      <w:pPr>
        <w:pStyle w:val="ESch"/>
      </w:pPr>
      <w:r>
        <w:t>2.</w:t>
      </w:r>
      <w:r>
        <w:tab/>
        <w:t>Ogni apparecchio utilizzatore è montato in derivazione e ogni derivazione è comandata da un dispositivo di chiusura distinto.</w:t>
      </w:r>
    </w:p>
    <w:p w:rsidR="001D67AA" w:rsidRPr="00C903F8" w:rsidRDefault="001D67AA" w:rsidP="001D67AA">
      <w:pPr>
        <w:pStyle w:val="ESch"/>
      </w:pPr>
    </w:p>
    <w:p w:rsidR="005662C0" w:rsidRPr="00C903F8" w:rsidRDefault="005662C0" w:rsidP="001D67AA">
      <w:pPr>
        <w:pStyle w:val="ESch"/>
      </w:pPr>
      <w:r>
        <w:br w:type="page"/>
      </w:r>
    </w:p>
    <w:p w:rsidR="00AE4E9D" w:rsidRPr="00C903F8" w:rsidRDefault="00AE4E9D" w:rsidP="001D67AA">
      <w:pPr>
        <w:pStyle w:val="ESch"/>
      </w:pPr>
      <w:r>
        <w:lastRenderedPageBreak/>
        <w:t>3.</w:t>
      </w:r>
      <w:r>
        <w:tab/>
        <w:t>I rubinetti sono installati al riparo dalle intemperie e dagli urti.</w:t>
      </w:r>
    </w:p>
    <w:p w:rsidR="001D67AA" w:rsidRPr="00C903F8" w:rsidRDefault="001D67AA" w:rsidP="001D67AA">
      <w:pPr>
        <w:pStyle w:val="ESch"/>
      </w:pPr>
    </w:p>
    <w:p w:rsidR="00AE4E9D" w:rsidRPr="00C903F8" w:rsidRDefault="00AE4E9D" w:rsidP="001D67AA">
      <w:pPr>
        <w:pStyle w:val="ESch"/>
      </w:pPr>
      <w:r>
        <w:t>4.</w:t>
      </w:r>
      <w:r>
        <w:tab/>
        <w:t>A valle di ciascun regolatore di pressione viene montato un raccordo per il controllo. Mediante un dispositivo di chiusura si garantisce che, in occasione delle prove di pressione, il regolatore non sia soggetto alla pressione di prova.</w:t>
      </w:r>
    </w:p>
    <w:p w:rsidR="00AE4E9D" w:rsidRPr="00C903F8" w:rsidRDefault="00AE4E9D" w:rsidP="001D67AA">
      <w:pPr>
        <w:pStyle w:val="ESch"/>
      </w:pPr>
    </w:p>
    <w:p w:rsidR="001D67AA" w:rsidRPr="00C903F8" w:rsidRDefault="001D67AA" w:rsidP="001D67AA">
      <w:pPr>
        <w:pStyle w:val="ESch"/>
      </w:pPr>
    </w:p>
    <w:p w:rsidR="00AE4E9D" w:rsidRPr="00C903F8" w:rsidRDefault="00AE4E9D" w:rsidP="00AE4E9D">
      <w:pPr>
        <w:pStyle w:val="ES-Titre3"/>
        <w:rPr>
          <w:i/>
        </w:rPr>
      </w:pPr>
      <w:bookmarkStart w:id="306" w:name="_Toc491854150"/>
      <w:bookmarkStart w:id="307" w:name="_Toc535500099"/>
      <w:r>
        <w:t>Articolo 17.10</w:t>
      </w:r>
      <w:r>
        <w:br/>
      </w:r>
      <w:r>
        <w:rPr>
          <w:i/>
        </w:rPr>
        <w:t>Apparecchi utilizzatori e loro installazione</w:t>
      </w:r>
      <w:bookmarkEnd w:id="306"/>
      <w:bookmarkEnd w:id="307"/>
    </w:p>
    <w:p w:rsidR="005662C0" w:rsidRPr="00C903F8" w:rsidRDefault="005662C0" w:rsidP="005662C0">
      <w:pPr>
        <w:pStyle w:val="ESch"/>
      </w:pPr>
    </w:p>
    <w:p w:rsidR="00AE4E9D" w:rsidRPr="00C903F8" w:rsidRDefault="00AE4E9D" w:rsidP="005662C0">
      <w:pPr>
        <w:pStyle w:val="ESch"/>
      </w:pPr>
      <w:r>
        <w:t>1.</w:t>
      </w:r>
      <w:r>
        <w:tab/>
        <w:t>Possono essere installati soltanto apparecchi utilizzatori ammessi per il funzionamento a propano in uno degli Stati membri e provvisti di dispositivi che impediscano efficacemente lo sprigionamento di gas in caso di estinzione sia delle fiamme sia della fiammella pilota.</w:t>
      </w:r>
    </w:p>
    <w:p w:rsidR="005662C0" w:rsidRPr="00C903F8" w:rsidRDefault="005662C0" w:rsidP="005662C0">
      <w:pPr>
        <w:pStyle w:val="ESch"/>
      </w:pPr>
    </w:p>
    <w:p w:rsidR="00AE4E9D" w:rsidRPr="00C903F8" w:rsidRDefault="00AE4E9D" w:rsidP="005662C0">
      <w:pPr>
        <w:pStyle w:val="ESch"/>
      </w:pPr>
      <w:r>
        <w:t>2.</w:t>
      </w:r>
      <w:r>
        <w:tab/>
        <w:t>Gli apparecchi sono disposti e raccordati in modo da non potersi rovesciare o essere spostati accidentalmente e da evitare qualsiasi rischio di strappo accidentale dei tubi di raccordo.</w:t>
      </w:r>
    </w:p>
    <w:p w:rsidR="005662C0" w:rsidRPr="00C903F8" w:rsidRDefault="005662C0" w:rsidP="005662C0">
      <w:pPr>
        <w:pStyle w:val="ESch"/>
      </w:pPr>
    </w:p>
    <w:p w:rsidR="00AE4E9D" w:rsidRPr="00C903F8" w:rsidRDefault="00AE4E9D" w:rsidP="005662C0">
      <w:pPr>
        <w:pStyle w:val="ESch"/>
      </w:pPr>
      <w:r>
        <w:t>3.</w:t>
      </w:r>
      <w:r>
        <w:tab/>
        <w:t>Gli apparecchi di riscaldamento, gli scaldaacqua e i frigoriferi sono raccordati a un condotto di scarico dei gas di combustione verso l'esterno.</w:t>
      </w:r>
    </w:p>
    <w:p w:rsidR="005662C0" w:rsidRPr="00C903F8" w:rsidRDefault="005662C0" w:rsidP="005662C0">
      <w:pPr>
        <w:pStyle w:val="ESch"/>
      </w:pPr>
    </w:p>
    <w:p w:rsidR="00AE4E9D" w:rsidRPr="00C903F8" w:rsidRDefault="00AE4E9D" w:rsidP="005662C0">
      <w:pPr>
        <w:pStyle w:val="ESch"/>
      </w:pPr>
      <w:r>
        <w:t>4.</w:t>
      </w:r>
      <w:r>
        <w:tab/>
        <w:t>L'installazione di apparecchi utilizzatori nella timoneria è ammessa soltanto se quest'ultima è stata costruita in modo tale che, in caso di fuga accidentale di gas, questi non possano diffondersi in direzione dei locali inferiori dell'imbarcazione, in particolare attraverso le aperture da cui passano i comandi diretti alla sala macchine.</w:t>
      </w:r>
    </w:p>
    <w:p w:rsidR="005662C0" w:rsidRPr="00C903F8" w:rsidRDefault="005662C0" w:rsidP="005662C0">
      <w:pPr>
        <w:pStyle w:val="ESch"/>
      </w:pPr>
    </w:p>
    <w:p w:rsidR="00AE4E9D" w:rsidRPr="00C903F8" w:rsidRDefault="00AE4E9D" w:rsidP="005662C0">
      <w:pPr>
        <w:pStyle w:val="ESch"/>
      </w:pPr>
      <w:r>
        <w:t>5.</w:t>
      </w:r>
      <w:r>
        <w:tab/>
        <w:t>Gli apparecchi utilizzatori possono essere installati nella zona notte solo se la combustione avviene indipendentemente dall'aria ambiente.</w:t>
      </w:r>
    </w:p>
    <w:p w:rsidR="005662C0" w:rsidRPr="00C903F8" w:rsidRDefault="005662C0" w:rsidP="005662C0">
      <w:pPr>
        <w:pStyle w:val="ESch"/>
      </w:pPr>
    </w:p>
    <w:p w:rsidR="00AE4E9D" w:rsidRPr="00C903F8" w:rsidRDefault="00AE4E9D" w:rsidP="005662C0">
      <w:pPr>
        <w:pStyle w:val="ESch"/>
      </w:pPr>
      <w:r>
        <w:t>6.</w:t>
      </w:r>
      <w:r>
        <w:tab/>
        <w:t>Gli apparecchi utilizzatori la cui combustione dipenda dall'aria ambiente sono installati in locali di dimensioni sufficientemente grandi.</w:t>
      </w:r>
    </w:p>
    <w:p w:rsidR="00AE4E9D" w:rsidRPr="00C903F8" w:rsidRDefault="00AE4E9D" w:rsidP="005662C0">
      <w:pPr>
        <w:pStyle w:val="ESch"/>
      </w:pPr>
    </w:p>
    <w:p w:rsidR="005662C0" w:rsidRPr="00C903F8" w:rsidRDefault="005662C0" w:rsidP="005662C0">
      <w:pPr>
        <w:pStyle w:val="ESch"/>
      </w:pPr>
    </w:p>
    <w:p w:rsidR="00AE4E9D" w:rsidRPr="00C903F8" w:rsidRDefault="00AE4E9D" w:rsidP="00AE4E9D">
      <w:pPr>
        <w:pStyle w:val="ES-Titre3"/>
        <w:rPr>
          <w:i/>
        </w:rPr>
      </w:pPr>
      <w:bookmarkStart w:id="308" w:name="_Toc491854151"/>
      <w:bookmarkStart w:id="309" w:name="_Toc535500100"/>
      <w:r>
        <w:t>Articolo 17.11</w:t>
      </w:r>
      <w:r>
        <w:br/>
      </w:r>
      <w:r>
        <w:rPr>
          <w:i/>
        </w:rPr>
        <w:t>Ventilazione e scarico dei gas di combustione</w:t>
      </w:r>
      <w:bookmarkEnd w:id="308"/>
      <w:bookmarkEnd w:id="309"/>
    </w:p>
    <w:p w:rsidR="005662C0" w:rsidRPr="00C903F8" w:rsidRDefault="005662C0" w:rsidP="005662C0">
      <w:pPr>
        <w:pStyle w:val="ESch"/>
      </w:pPr>
    </w:p>
    <w:p w:rsidR="00AE4E9D" w:rsidRPr="00C903F8" w:rsidRDefault="00AE4E9D" w:rsidP="005662C0">
      <w:pPr>
        <w:pStyle w:val="ESch"/>
      </w:pPr>
      <w:r>
        <w:t>1.</w:t>
      </w:r>
      <w:r>
        <w:tab/>
        <w:t>Nei locali in cui sono installati apparecchi utilizzatori la cui combustione dipende dall'aria ambiente, l'apporto di aria fresca e l'evacuazione dei gas di combustione sono garantiti mediante aperture di ventilazione di dimensioni adeguante, di almeno 150 cm</w:t>
      </w:r>
      <w:r>
        <w:rPr>
          <w:vertAlign w:val="superscript"/>
        </w:rPr>
        <w:t>2</w:t>
      </w:r>
      <w:r>
        <w:t xml:space="preserve"> di sezione libera per apertura.</w:t>
      </w:r>
    </w:p>
    <w:p w:rsidR="005662C0" w:rsidRPr="00C903F8" w:rsidRDefault="005662C0" w:rsidP="005662C0">
      <w:pPr>
        <w:pStyle w:val="ESch"/>
      </w:pPr>
    </w:p>
    <w:p w:rsidR="00AE4E9D" w:rsidRPr="00C903F8" w:rsidRDefault="00AE4E9D" w:rsidP="005662C0">
      <w:pPr>
        <w:pStyle w:val="ESch"/>
      </w:pPr>
      <w:r>
        <w:t>2.</w:t>
      </w:r>
      <w:r>
        <w:tab/>
        <w:t>Le aperture di ventilazione non hanno dispositivi di chiusura, né danno su una zona notte.</w:t>
      </w:r>
    </w:p>
    <w:p w:rsidR="005662C0" w:rsidRPr="00C903F8" w:rsidRDefault="005662C0" w:rsidP="005662C0">
      <w:pPr>
        <w:pStyle w:val="ESch"/>
      </w:pPr>
    </w:p>
    <w:p w:rsidR="00AE4E9D" w:rsidRPr="00C903F8" w:rsidRDefault="00AE4E9D" w:rsidP="005662C0">
      <w:pPr>
        <w:pStyle w:val="ESch"/>
      </w:pPr>
      <w:r>
        <w:t>3.</w:t>
      </w:r>
      <w:r>
        <w:tab/>
        <w:t>I dispositivi d'evacuazione sono progettati affinché i gas di combustione vengano eliminati in modo sicuro. Hanno un funzionamento affidabile e sono costruiti in materiali non combustibili. La ventilazione forzata non ne pregiudica il funzionamento.</w:t>
      </w:r>
    </w:p>
    <w:p w:rsidR="00AE4E9D" w:rsidRPr="00C903F8" w:rsidRDefault="00AE4E9D" w:rsidP="005662C0">
      <w:pPr>
        <w:pStyle w:val="ESch"/>
      </w:pPr>
    </w:p>
    <w:p w:rsidR="005662C0" w:rsidRPr="00C903F8" w:rsidRDefault="005662C0" w:rsidP="005662C0">
      <w:pPr>
        <w:pStyle w:val="ESch"/>
      </w:pPr>
      <w:r>
        <w:br w:type="page"/>
      </w:r>
    </w:p>
    <w:p w:rsidR="00AE4E9D" w:rsidRPr="00C903F8" w:rsidRDefault="00AE4E9D" w:rsidP="00AE4E9D">
      <w:pPr>
        <w:pStyle w:val="ES-Titre3"/>
        <w:rPr>
          <w:i/>
        </w:rPr>
      </w:pPr>
      <w:bookmarkStart w:id="310" w:name="_Toc491854152"/>
      <w:bookmarkStart w:id="311" w:name="_Toc535500101"/>
      <w:r>
        <w:lastRenderedPageBreak/>
        <w:t>Articolo 17.12</w:t>
      </w:r>
      <w:r>
        <w:br/>
      </w:r>
      <w:r>
        <w:rPr>
          <w:i/>
        </w:rPr>
        <w:t>Istruzioni per l’uso</w:t>
      </w:r>
      <w:bookmarkEnd w:id="310"/>
      <w:bookmarkEnd w:id="311"/>
    </w:p>
    <w:p w:rsidR="005662C0" w:rsidRPr="00C903F8" w:rsidRDefault="005662C0" w:rsidP="005662C0">
      <w:pPr>
        <w:pStyle w:val="ESgauche"/>
      </w:pPr>
    </w:p>
    <w:p w:rsidR="00AE4E9D" w:rsidRPr="00C903F8" w:rsidRDefault="00AE4E9D" w:rsidP="005662C0">
      <w:pPr>
        <w:pStyle w:val="ESgauche"/>
      </w:pPr>
      <w:r>
        <w:t>Le istruzioni per l'uso dell'impianto sono affisse a bordo in luogo appropriato. Vi figurano almeno i seguenti avvisi:</w:t>
      </w:r>
    </w:p>
    <w:p w:rsidR="005662C0" w:rsidRPr="00C903F8" w:rsidRDefault="005662C0" w:rsidP="005662C0">
      <w:pPr>
        <w:pStyle w:val="ESgauche"/>
      </w:pPr>
    </w:p>
    <w:p w:rsidR="00AE4E9D" w:rsidRPr="00C903F8" w:rsidRDefault="0064343D" w:rsidP="005D13EF">
      <w:pPr>
        <w:pStyle w:val="ESgauche"/>
        <w:jc w:val="center"/>
      </w:pPr>
      <w:r>
        <w:t>"Chiudere la valvole dei recipienti che non sono collegati alla rete di distribuzione anche se si presume che i recipienti siano vuoti.";</w:t>
      </w:r>
    </w:p>
    <w:p w:rsidR="005662C0" w:rsidRPr="00C903F8" w:rsidRDefault="005662C0" w:rsidP="005D13EF">
      <w:pPr>
        <w:pStyle w:val="ESgauche"/>
        <w:jc w:val="center"/>
      </w:pPr>
    </w:p>
    <w:p w:rsidR="00AE4E9D" w:rsidRPr="00C903F8" w:rsidRDefault="0064343D" w:rsidP="005D13EF">
      <w:pPr>
        <w:pStyle w:val="ESgauche"/>
        <w:jc w:val="center"/>
      </w:pPr>
      <w:r>
        <w:t>"Sostituire i tubi flessibili non appena il loro stato lo richiede.";</w:t>
      </w:r>
    </w:p>
    <w:p w:rsidR="005662C0" w:rsidRPr="00C903F8" w:rsidRDefault="005662C0" w:rsidP="005D13EF">
      <w:pPr>
        <w:pStyle w:val="ESgauche"/>
        <w:jc w:val="center"/>
      </w:pPr>
    </w:p>
    <w:p w:rsidR="00AE4E9D" w:rsidRPr="00C903F8" w:rsidRDefault="0064343D" w:rsidP="005D13EF">
      <w:pPr>
        <w:pStyle w:val="ESgauche"/>
        <w:jc w:val="center"/>
      </w:pPr>
      <w:r>
        <w:t>"Mantenere collegati tutti gli apparecchi utilizzatori a meno che le condutture di raccordo corrispondenti non siano sigillate."</w:t>
      </w:r>
    </w:p>
    <w:p w:rsidR="00AE4E9D" w:rsidRPr="00C903F8" w:rsidRDefault="00AE4E9D" w:rsidP="005662C0">
      <w:pPr>
        <w:pStyle w:val="ESch"/>
      </w:pPr>
    </w:p>
    <w:p w:rsidR="005662C0" w:rsidRPr="00C903F8" w:rsidRDefault="005662C0" w:rsidP="005662C0">
      <w:pPr>
        <w:pStyle w:val="ESch"/>
      </w:pPr>
    </w:p>
    <w:p w:rsidR="00AE4E9D" w:rsidRPr="00C903F8" w:rsidRDefault="00AE4E9D" w:rsidP="00AE4E9D">
      <w:pPr>
        <w:pStyle w:val="ES-Titre3"/>
        <w:rPr>
          <w:i/>
        </w:rPr>
      </w:pPr>
      <w:bookmarkStart w:id="312" w:name="_Toc491854153"/>
      <w:bookmarkStart w:id="313" w:name="_Toc535500102"/>
      <w:r>
        <w:t>Articolo 17.13</w:t>
      </w:r>
      <w:r>
        <w:br/>
      </w:r>
      <w:r>
        <w:rPr>
          <w:i/>
        </w:rPr>
        <w:t>Collaudo</w:t>
      </w:r>
      <w:bookmarkEnd w:id="312"/>
      <w:bookmarkEnd w:id="313"/>
    </w:p>
    <w:p w:rsidR="005662C0" w:rsidRPr="00C903F8" w:rsidRDefault="005662C0" w:rsidP="005662C0">
      <w:pPr>
        <w:pStyle w:val="ESch"/>
      </w:pPr>
    </w:p>
    <w:p w:rsidR="00AE4E9D" w:rsidRPr="00C903F8" w:rsidRDefault="00AE4E9D" w:rsidP="005662C0">
      <w:pPr>
        <w:pStyle w:val="ESgauche"/>
      </w:pPr>
      <w:r>
        <w:t>Gli impianti a gas liquefatto sono controllati da un esperto che ne verifica la conformità ai requisiti del presente capo:</w:t>
      </w:r>
    </w:p>
    <w:p w:rsidR="00AE4E9D" w:rsidRPr="00C903F8" w:rsidRDefault="005C7859" w:rsidP="005662C0">
      <w:pPr>
        <w:pStyle w:val="ESletgauche"/>
      </w:pPr>
      <w:r>
        <w:t>a)</w:t>
      </w:r>
      <w:r>
        <w:tab/>
        <w:t>prima di essere messi in servizio per la prima volta;</w:t>
      </w:r>
    </w:p>
    <w:p w:rsidR="00AE4E9D" w:rsidRPr="00C903F8" w:rsidRDefault="005C7859" w:rsidP="005662C0">
      <w:pPr>
        <w:pStyle w:val="ESletgauche"/>
      </w:pPr>
      <w:r>
        <w:t>b)</w:t>
      </w:r>
      <w:r>
        <w:tab/>
        <w:t>prima di essere reimmessi in servizio dopo una modifica o una riparazione importante; e</w:t>
      </w:r>
    </w:p>
    <w:p w:rsidR="00AE4E9D" w:rsidRPr="00C903F8" w:rsidRDefault="005C7859" w:rsidP="005662C0">
      <w:pPr>
        <w:pStyle w:val="ESletgauche"/>
      </w:pPr>
      <w:r>
        <w:t>c)</w:t>
      </w:r>
      <w:r>
        <w:tab/>
        <w:t>a ogni rinnovo dell'attestato di cui all'articolo 17.15.</w:t>
      </w:r>
    </w:p>
    <w:p w:rsidR="00AE4E9D" w:rsidRPr="00C903F8" w:rsidRDefault="00AE4E9D" w:rsidP="005662C0">
      <w:pPr>
        <w:pStyle w:val="ESgauche"/>
      </w:pPr>
    </w:p>
    <w:p w:rsidR="00AE4E9D" w:rsidRPr="00C903F8" w:rsidRDefault="00AE4E9D" w:rsidP="005662C0">
      <w:pPr>
        <w:pStyle w:val="ESgauche"/>
      </w:pPr>
      <w:r>
        <w:t>L'esperto che ha effettuato il controllo redige e firma un attestato di ispezione che ne reca la data. Una copia dell'attestato di ispezione viene trasmessa alla commissione di ispezione.</w:t>
      </w:r>
    </w:p>
    <w:p w:rsidR="00AE4E9D" w:rsidRPr="00C903F8" w:rsidRDefault="00AE4E9D" w:rsidP="005662C0">
      <w:pPr>
        <w:pStyle w:val="ESgauche"/>
      </w:pPr>
    </w:p>
    <w:p w:rsidR="005662C0" w:rsidRPr="00C903F8" w:rsidRDefault="005662C0" w:rsidP="005662C0">
      <w:pPr>
        <w:pStyle w:val="ESgauche"/>
      </w:pPr>
    </w:p>
    <w:p w:rsidR="00AE4E9D" w:rsidRPr="00C903F8" w:rsidRDefault="00AE4E9D" w:rsidP="00AE4E9D">
      <w:pPr>
        <w:pStyle w:val="ES-Titre3"/>
        <w:rPr>
          <w:i/>
        </w:rPr>
      </w:pPr>
      <w:bookmarkStart w:id="314" w:name="_Toc491854154"/>
      <w:bookmarkStart w:id="315" w:name="_Toc535500103"/>
      <w:r>
        <w:t>Articolo 17.14</w:t>
      </w:r>
      <w:r>
        <w:br/>
      </w:r>
      <w:r>
        <w:rPr>
          <w:i/>
        </w:rPr>
        <w:t>Condizioni delle prove</w:t>
      </w:r>
      <w:bookmarkEnd w:id="314"/>
      <w:bookmarkEnd w:id="315"/>
    </w:p>
    <w:p w:rsidR="005662C0" w:rsidRPr="00C903F8" w:rsidRDefault="005662C0" w:rsidP="005662C0">
      <w:pPr>
        <w:pStyle w:val="ESgauche"/>
      </w:pPr>
    </w:p>
    <w:p w:rsidR="00AE4E9D" w:rsidRPr="00C903F8" w:rsidRDefault="00AE4E9D" w:rsidP="005662C0">
      <w:pPr>
        <w:pStyle w:val="ESgauche"/>
      </w:pPr>
      <w:r>
        <w:t>Le prove dell'impianto sono effettuate nelle seguenti condizioni.</w:t>
      </w:r>
    </w:p>
    <w:p w:rsidR="005662C0" w:rsidRPr="00C903F8" w:rsidRDefault="005662C0" w:rsidP="005662C0">
      <w:pPr>
        <w:pStyle w:val="ESch"/>
      </w:pPr>
    </w:p>
    <w:p w:rsidR="00AE4E9D" w:rsidRPr="00C903F8" w:rsidRDefault="00AE4E9D" w:rsidP="005662C0">
      <w:pPr>
        <w:pStyle w:val="ESch"/>
      </w:pPr>
      <w:r>
        <w:t>1.</w:t>
      </w:r>
      <w:r>
        <w:tab/>
        <w:t>Condutture a pressione media situate fra il dispositivo di chiusura di cui all'articolo 17.09, paragrafo 4, del regolatore di primo stadio e i rubinetti a monte dei regolatori di pressione finali:</w:t>
      </w:r>
    </w:p>
    <w:p w:rsidR="00AE4E9D" w:rsidRPr="00C903F8" w:rsidRDefault="005C7859" w:rsidP="005662C0">
      <w:pPr>
        <w:pStyle w:val="ESlet"/>
      </w:pPr>
      <w:r>
        <w:t>a)</w:t>
      </w:r>
      <w:r>
        <w:tab/>
        <w:t>prova di pressione, realizzata con aria, con un gas inerte o con un liquido, ad una pressione superiore di 20 bar alla pressione atmosferica;</w:t>
      </w:r>
    </w:p>
    <w:p w:rsidR="00AE4E9D" w:rsidRPr="00C903F8" w:rsidRDefault="005C7859" w:rsidP="005662C0">
      <w:pPr>
        <w:pStyle w:val="ESlet"/>
      </w:pPr>
      <w:r>
        <w:t>b)</w:t>
      </w:r>
      <w:r>
        <w:tab/>
        <w:t>prova di tenuta stagna, realizzata con aria o con un gas inerte, ad una pressione superiore di 3,5 bar alla pressione atmosferica.</w:t>
      </w:r>
    </w:p>
    <w:p w:rsidR="005662C0" w:rsidRPr="00C903F8" w:rsidRDefault="005662C0" w:rsidP="005662C0">
      <w:pPr>
        <w:pStyle w:val="ESch"/>
      </w:pPr>
    </w:p>
    <w:p w:rsidR="00AE4E9D" w:rsidRPr="00C903F8" w:rsidRDefault="00AE4E9D" w:rsidP="005662C0">
      <w:pPr>
        <w:pStyle w:val="ESch"/>
      </w:pPr>
      <w:r>
        <w:t>2.</w:t>
      </w:r>
      <w:r>
        <w:tab/>
        <w:t>Condutture a pressione di servizio situate fra il dispositivo di chiusura, di cui all'articolo 17.09, paragrafo 4, del regolatore di pressione unico o del regolatore di pressione finale e i rubinetti posti a monte degli apparecchi utilizzatori:</w:t>
      </w:r>
    </w:p>
    <w:p w:rsidR="00AE4E9D" w:rsidRPr="00C903F8" w:rsidRDefault="00AE4E9D" w:rsidP="00572BD3">
      <w:pPr>
        <w:pStyle w:val="ESletpar"/>
      </w:pPr>
      <w:r>
        <w:t>prova di tenuta stagna, realizzata con aria o con un gas inerte, ad una pressione superiore di 1 bar alla pressione atmosferica.</w:t>
      </w:r>
    </w:p>
    <w:p w:rsidR="005662C0" w:rsidRPr="00C903F8" w:rsidRDefault="005662C0" w:rsidP="005662C0">
      <w:pPr>
        <w:pStyle w:val="ESch"/>
      </w:pPr>
    </w:p>
    <w:p w:rsidR="00AE4E9D" w:rsidRPr="00C903F8" w:rsidRDefault="00AE4E9D" w:rsidP="005662C0">
      <w:pPr>
        <w:pStyle w:val="ESch"/>
      </w:pPr>
      <w:r>
        <w:t>3.</w:t>
      </w:r>
      <w:r>
        <w:tab/>
        <w:t>Condutture situate fra il dispositivo di chiusura, di cui all'articolo 17.09, paragrafo 4, del regolatore di pressione unico o del regolatore di pressione finale e i comandi degli apparecchi utilizzatori:</w:t>
      </w:r>
    </w:p>
    <w:p w:rsidR="00AE4E9D" w:rsidRPr="00C903F8" w:rsidRDefault="00AE4E9D" w:rsidP="00572BD3">
      <w:pPr>
        <w:pStyle w:val="ESletpar"/>
      </w:pPr>
      <w:r>
        <w:t>prova di tenuta stagna ad una pressione superiore di 0,15 bar alla pressione atmosferica.</w:t>
      </w:r>
    </w:p>
    <w:p w:rsidR="005662C0" w:rsidRPr="00C903F8" w:rsidRDefault="005662C0" w:rsidP="005662C0">
      <w:pPr>
        <w:pStyle w:val="ESch"/>
      </w:pPr>
    </w:p>
    <w:p w:rsidR="005662C0" w:rsidRPr="00C903F8" w:rsidRDefault="005662C0" w:rsidP="005662C0">
      <w:pPr>
        <w:pStyle w:val="ESch"/>
      </w:pPr>
      <w:r>
        <w:br w:type="page"/>
      </w:r>
    </w:p>
    <w:p w:rsidR="00AE4E9D" w:rsidRPr="00C903F8" w:rsidRDefault="00AE4E9D" w:rsidP="005662C0">
      <w:pPr>
        <w:pStyle w:val="ESch"/>
      </w:pPr>
      <w:r>
        <w:lastRenderedPageBreak/>
        <w:t>4.</w:t>
      </w:r>
      <w:r>
        <w:tab/>
        <w:t>Nel corso delle prove di cui al paragrafo 1, lettera b), e ai paragrafi 2 e 3, le condutture sono considerate stagne se, trascorso un lasso di tempo sufficiente per l'equilibratura termica, non si constata alcuna riduzione della pressione di prova nei 10 minuti successivi.</w:t>
      </w:r>
    </w:p>
    <w:p w:rsidR="005662C0" w:rsidRPr="00C903F8" w:rsidRDefault="005662C0" w:rsidP="005662C0">
      <w:pPr>
        <w:pStyle w:val="ESch"/>
      </w:pPr>
    </w:p>
    <w:p w:rsidR="00AE4E9D" w:rsidRPr="00C903F8" w:rsidRDefault="00AE4E9D" w:rsidP="005662C0">
      <w:pPr>
        <w:pStyle w:val="ESch"/>
      </w:pPr>
      <w:r>
        <w:t>5.</w:t>
      </w:r>
      <w:r>
        <w:tab/>
        <w:t>Raccordi con i recipienti, collegamenti ed armature soggetti alla pressione dei recipienti nonché raccordi del regolatore di pressione con la conduttura di distribuzione:</w:t>
      </w:r>
    </w:p>
    <w:p w:rsidR="00AE4E9D" w:rsidRPr="00C903F8" w:rsidRDefault="00AE4E9D" w:rsidP="00572BD3">
      <w:pPr>
        <w:pStyle w:val="ESletpar"/>
      </w:pPr>
      <w:r>
        <w:t>prova di tenuta stagna, realizzata mediante un prodotto schiumoso, alla pressione di servizio.</w:t>
      </w:r>
    </w:p>
    <w:p w:rsidR="005662C0" w:rsidRPr="00C903F8" w:rsidRDefault="005662C0" w:rsidP="005662C0">
      <w:pPr>
        <w:pStyle w:val="ESch"/>
      </w:pPr>
    </w:p>
    <w:p w:rsidR="00AE4E9D" w:rsidRPr="00C903F8" w:rsidRDefault="00AE4E9D" w:rsidP="005662C0">
      <w:pPr>
        <w:pStyle w:val="ESch"/>
      </w:pPr>
      <w:r>
        <w:t>6.</w:t>
      </w:r>
      <w:r>
        <w:tab/>
        <w:t>Tutti gli apparecchi utilizzatori sono messi in funzione alla capacità nominale e se ne verifica la combustione adeguata e regolare con diverse regolazioni della capacità.</w:t>
      </w:r>
    </w:p>
    <w:p w:rsidR="006058B1" w:rsidRPr="00C903F8" w:rsidRDefault="006058B1" w:rsidP="005662C0">
      <w:pPr>
        <w:pStyle w:val="ESchpar"/>
      </w:pPr>
    </w:p>
    <w:p w:rsidR="00AE4E9D" w:rsidRPr="00C903F8" w:rsidRDefault="00AE4E9D" w:rsidP="005662C0">
      <w:pPr>
        <w:pStyle w:val="ESchpar"/>
      </w:pPr>
      <w:r>
        <w:t>Occorre verificare il buon funzionamento dei dispositivi di sicurezza contro lo spegnimento della fiamma.</w:t>
      </w:r>
    </w:p>
    <w:p w:rsidR="005662C0" w:rsidRPr="00C903F8" w:rsidRDefault="005662C0" w:rsidP="005662C0">
      <w:pPr>
        <w:pStyle w:val="ESch"/>
      </w:pPr>
    </w:p>
    <w:p w:rsidR="00AE4E9D" w:rsidRPr="00C903F8" w:rsidRDefault="00AE4E9D" w:rsidP="005662C0">
      <w:pPr>
        <w:pStyle w:val="ESch"/>
      </w:pPr>
      <w:r>
        <w:t>7.</w:t>
      </w:r>
      <w:r>
        <w:tab/>
        <w:t>Dopo la prova di cui al paragrafo 6, per ogni apparecchio utilizzatore raccordato con una condotta d'evacuazione si verifica se, dopo un funzionamento di cinque minuti alla capacità nominale, con finestre e porte chiuse e dispositivi di ventilazione in funzione, attraverso la presa d'aria si diffondono nel locale gas di combustione.</w:t>
      </w:r>
    </w:p>
    <w:p w:rsidR="005662C0" w:rsidRPr="00C903F8" w:rsidRDefault="005662C0" w:rsidP="005662C0">
      <w:pPr>
        <w:pStyle w:val="ESch"/>
      </w:pPr>
    </w:p>
    <w:p w:rsidR="00AE4E9D" w:rsidRPr="00C903F8" w:rsidRDefault="00AE4E9D" w:rsidP="005662C0">
      <w:pPr>
        <w:pStyle w:val="ESchpar"/>
      </w:pPr>
      <w:r>
        <w:t>Se viene constatata una fuga di gas che non sia momentanea, occorre individuarne immediatamente la causa e eliminarla. Non si consente l'utilizzazione dell'apparecchio prima che siano stati eliminati tutti i difetti.</w:t>
      </w:r>
    </w:p>
    <w:p w:rsidR="00AE4E9D" w:rsidRPr="00C903F8" w:rsidRDefault="00AE4E9D" w:rsidP="005662C0">
      <w:pPr>
        <w:pStyle w:val="ESch"/>
      </w:pPr>
    </w:p>
    <w:p w:rsidR="005662C0" w:rsidRPr="00C903F8" w:rsidRDefault="005662C0" w:rsidP="005662C0">
      <w:pPr>
        <w:pStyle w:val="ESch"/>
      </w:pPr>
    </w:p>
    <w:p w:rsidR="00AE4E9D" w:rsidRPr="00C903F8" w:rsidRDefault="00AE4E9D" w:rsidP="00AE4E9D">
      <w:pPr>
        <w:pStyle w:val="ES-Titre3"/>
      </w:pPr>
      <w:bookmarkStart w:id="316" w:name="_Toc491854155"/>
      <w:bookmarkStart w:id="317" w:name="_Toc535500104"/>
      <w:r>
        <w:t>Articolo 17.15</w:t>
      </w:r>
      <w:r>
        <w:br/>
      </w:r>
      <w:r>
        <w:rPr>
          <w:i/>
        </w:rPr>
        <w:t>Attestato</w:t>
      </w:r>
      <w:bookmarkEnd w:id="316"/>
      <w:bookmarkEnd w:id="317"/>
    </w:p>
    <w:p w:rsidR="005662C0" w:rsidRPr="00C903F8" w:rsidRDefault="005662C0" w:rsidP="005662C0">
      <w:pPr>
        <w:pStyle w:val="ESch"/>
      </w:pPr>
    </w:p>
    <w:p w:rsidR="00AE4E9D" w:rsidRPr="00C903F8" w:rsidRDefault="00AE4E9D" w:rsidP="005662C0">
      <w:pPr>
        <w:pStyle w:val="ESch"/>
      </w:pPr>
      <w:r>
        <w:t>1.</w:t>
      </w:r>
      <w:r>
        <w:tab/>
        <w:t>La conformità di ogni impianto a gas liquefatti ai requisiti del presente capo è attestata nel certificato per la navigazione interna.</w:t>
      </w:r>
    </w:p>
    <w:p w:rsidR="005662C0" w:rsidRPr="00C903F8" w:rsidRDefault="005662C0" w:rsidP="005662C0">
      <w:pPr>
        <w:pStyle w:val="ESch"/>
      </w:pPr>
    </w:p>
    <w:p w:rsidR="00AE4E9D" w:rsidRPr="00C903F8" w:rsidRDefault="00AE4E9D" w:rsidP="005662C0">
      <w:pPr>
        <w:pStyle w:val="ESch"/>
      </w:pPr>
      <w:r>
        <w:t>2.</w:t>
      </w:r>
      <w:r>
        <w:tab/>
        <w:t>L'attestato è rilasciato dalla commissione di ispezione previo collaudo di cui all'articolo 17.13.</w:t>
      </w:r>
    </w:p>
    <w:p w:rsidR="005662C0" w:rsidRPr="00C903F8" w:rsidRDefault="005662C0" w:rsidP="005662C0">
      <w:pPr>
        <w:pStyle w:val="ESch"/>
      </w:pPr>
    </w:p>
    <w:p w:rsidR="00AE4E9D" w:rsidRPr="00C903F8" w:rsidRDefault="00AE4E9D" w:rsidP="005662C0">
      <w:pPr>
        <w:pStyle w:val="ESch"/>
      </w:pPr>
      <w:r>
        <w:t>3.</w:t>
      </w:r>
      <w:r>
        <w:tab/>
        <w:t>La validità dell'attestato è di 3 anni al massimo. Essa non può essere prorogata se non in seguito ad un nuovo collaudo, conformemente all'articolo 17.13.</w:t>
      </w:r>
    </w:p>
    <w:p w:rsidR="005662C0" w:rsidRPr="00C903F8" w:rsidRDefault="005662C0" w:rsidP="005662C0">
      <w:pPr>
        <w:pStyle w:val="ESch"/>
      </w:pPr>
    </w:p>
    <w:p w:rsidR="00AE4E9D" w:rsidRPr="00C903F8" w:rsidRDefault="00AE4E9D" w:rsidP="005662C0">
      <w:pPr>
        <w:pStyle w:val="ESchpar"/>
      </w:pPr>
      <w:r>
        <w:t>In via eccezionale, su richiesta motivata del proprietario della nave o del suo rappresentante, la commissione di ispezione può prorogare di tre mesi al massimo la validità dell'attestato senza procedere al collaudo di cui all'articolo 17.13. Tale proroga è annotata nel certificato per la navigazione interna.</w:t>
      </w:r>
    </w:p>
    <w:p w:rsidR="00AE4E9D" w:rsidRPr="00C903F8" w:rsidRDefault="00AE4E9D" w:rsidP="005662C0">
      <w:pPr>
        <w:pStyle w:val="ESch"/>
      </w:pPr>
    </w:p>
    <w:p w:rsidR="00973DAA" w:rsidRPr="00C903F8" w:rsidRDefault="00973DAA" w:rsidP="005662C0">
      <w:pPr>
        <w:pStyle w:val="ESch"/>
      </w:pPr>
    </w:p>
    <w:p w:rsidR="00AC39F0" w:rsidRPr="00C903F8" w:rsidRDefault="00AC39F0" w:rsidP="005662C0">
      <w:pPr>
        <w:pStyle w:val="ESch"/>
      </w:pPr>
    </w:p>
    <w:p w:rsidR="00AC39F0" w:rsidRPr="00C903F8" w:rsidRDefault="00AC39F0" w:rsidP="005662C0">
      <w:pPr>
        <w:pStyle w:val="ESch"/>
      </w:pPr>
    </w:p>
    <w:p w:rsidR="00AC39F0" w:rsidRPr="00C903F8" w:rsidRDefault="00AC39F0" w:rsidP="00AC39F0">
      <w:pPr>
        <w:pStyle w:val="ES-Titre2"/>
        <w:rPr>
          <w:szCs w:val="24"/>
        </w:rPr>
      </w:pPr>
      <w:bookmarkStart w:id="318" w:name="_Toc491854156"/>
      <w:bookmarkStart w:id="319" w:name="_Toc535500105"/>
      <w:r>
        <w:lastRenderedPageBreak/>
        <w:t>Capo 18</w:t>
      </w:r>
      <w:r>
        <w:br/>
      </w:r>
      <w:r>
        <w:rPr>
          <w:noProof/>
          <w:sz w:val="22"/>
        </w:rPr>
        <w:t>Impianti di depurazione di bordo</w:t>
      </w:r>
      <w:bookmarkEnd w:id="318"/>
      <w:bookmarkEnd w:id="319"/>
    </w:p>
    <w:p w:rsidR="00AC39F0" w:rsidRPr="00C903F8" w:rsidRDefault="00AC39F0" w:rsidP="00917628">
      <w:pPr>
        <w:pStyle w:val="ESch"/>
      </w:pPr>
    </w:p>
    <w:p w:rsidR="00F935C7" w:rsidRPr="00C903F8" w:rsidRDefault="00F935C7" w:rsidP="00F935C7">
      <w:pPr>
        <w:pStyle w:val="ES-Titre3"/>
      </w:pPr>
      <w:bookmarkStart w:id="320" w:name="_Toc491854157"/>
      <w:bookmarkStart w:id="321" w:name="_Toc535500106"/>
      <w:r>
        <w:t>Articolo 18.00</w:t>
      </w:r>
      <w:r>
        <w:br/>
      </w:r>
      <w:r>
        <w:rPr>
          <w:i/>
          <w:noProof/>
        </w:rPr>
        <w:t>Definizioni</w:t>
      </w:r>
      <w:bookmarkEnd w:id="320"/>
      <w:bookmarkEnd w:id="321"/>
    </w:p>
    <w:p w:rsidR="002A434E" w:rsidRPr="00C903F8" w:rsidRDefault="002A434E" w:rsidP="002A434E">
      <w:pPr>
        <w:rPr>
          <w:rFonts w:cs="Arial"/>
          <w:noProof/>
          <w:szCs w:val="20"/>
        </w:rPr>
      </w:pPr>
    </w:p>
    <w:p w:rsidR="002A434E" w:rsidRPr="00C903F8" w:rsidRDefault="002A434E" w:rsidP="002A434E">
      <w:pPr>
        <w:rPr>
          <w:rFonts w:cs="Arial"/>
          <w:noProof/>
          <w:szCs w:val="20"/>
        </w:rPr>
      </w:pPr>
      <w:r>
        <w:t>Nel presente capo si intende per:</w:t>
      </w:r>
    </w:p>
    <w:p w:rsidR="00F935C7" w:rsidRPr="00C903F8" w:rsidRDefault="00F935C7" w:rsidP="00E61447">
      <w:pPr>
        <w:pStyle w:val="ESch"/>
        <w:rPr>
          <w:noProof/>
        </w:rPr>
      </w:pPr>
    </w:p>
    <w:p w:rsidR="00E61447" w:rsidRPr="00C903F8" w:rsidRDefault="00E61447" w:rsidP="00E61447">
      <w:pPr>
        <w:pStyle w:val="ESch"/>
        <w:rPr>
          <w:rFonts w:cs="Arial"/>
          <w:szCs w:val="18"/>
        </w:rPr>
      </w:pPr>
      <w:r>
        <w:t>1.</w:t>
      </w:r>
      <w:r>
        <w:tab/>
        <w:t>"impianto di depurazione di bordo": un impianto di depurazione di forma compatta per il trattamento delle quantità di acque reflue domestiche accumulate a bordo;</w:t>
      </w:r>
    </w:p>
    <w:p w:rsidR="00E61447" w:rsidRPr="00C903F8" w:rsidRDefault="00E61447" w:rsidP="00E61447">
      <w:pPr>
        <w:pStyle w:val="ESch"/>
        <w:rPr>
          <w:noProof/>
        </w:rPr>
      </w:pPr>
    </w:p>
    <w:p w:rsidR="00E61447" w:rsidRPr="00C903F8" w:rsidRDefault="00E61447" w:rsidP="00E61447">
      <w:pPr>
        <w:pStyle w:val="ESch"/>
        <w:rPr>
          <w:rFonts w:cs="Arial"/>
          <w:szCs w:val="18"/>
        </w:rPr>
      </w:pPr>
      <w:r>
        <w:t>2.</w:t>
      </w:r>
      <w:r>
        <w:tab/>
        <w:t>"omologazione": la decisione con cui l'autorità competente conferma che un impianto di depurazione di bordo è conforme ai requisiti tecnici del presente capo;</w:t>
      </w:r>
    </w:p>
    <w:p w:rsidR="00E61447" w:rsidRPr="00C903F8" w:rsidRDefault="00E61447" w:rsidP="00E61447">
      <w:pPr>
        <w:pStyle w:val="ESch"/>
        <w:rPr>
          <w:noProof/>
        </w:rPr>
      </w:pPr>
    </w:p>
    <w:p w:rsidR="00E61447" w:rsidRPr="00C903F8" w:rsidRDefault="00E61447" w:rsidP="00E61447">
      <w:pPr>
        <w:pStyle w:val="ESch"/>
        <w:rPr>
          <w:rFonts w:cs="Arial"/>
          <w:szCs w:val="18"/>
        </w:rPr>
      </w:pPr>
      <w:r>
        <w:t>3.</w:t>
      </w:r>
      <w:r>
        <w:tab/>
        <w:t>"controllo speciale": la procedura effettuata a norma dell'articolo 18.09 con cui l'autorità competente garantisce che l'impianto di depurazione di bordo in uso su un'imbarcazione è conforme ai requisiti del capo 18;</w:t>
      </w:r>
    </w:p>
    <w:p w:rsidR="00E61447" w:rsidRPr="00C903F8" w:rsidRDefault="00E61447" w:rsidP="00E61447">
      <w:pPr>
        <w:pStyle w:val="ESch"/>
        <w:rPr>
          <w:noProof/>
        </w:rPr>
      </w:pPr>
    </w:p>
    <w:p w:rsidR="00E61447" w:rsidRPr="00C903F8" w:rsidRDefault="00E61447" w:rsidP="00E61447">
      <w:pPr>
        <w:pStyle w:val="ESch"/>
        <w:rPr>
          <w:rFonts w:cs="Arial"/>
          <w:szCs w:val="18"/>
        </w:rPr>
      </w:pPr>
      <w:r>
        <w:t>4.</w:t>
      </w:r>
      <w:r>
        <w:tab/>
        <w:t>"costruttore": la persona o l'ente responsabile, verso l'autorità competente, di tutti gli aspetti relativi alla procedura di omologazione nonché della conformità della produzione. Non è necessario che detta persona o ente partecipi a tutte le fasi di costruzione dell’impianto di depurazione di bordo. Se l'impianto di depurazione di bordo è riconvertito, mediante modifiche o adeguamenti dopo la sua fabbricazione originale, per essere utilizzato su un'imbarcazione ai fini del capo 18, sono considerati come costruttore la persona o l'ente che hanno effettuato le modifiche o l'adeguamento;</w:t>
      </w:r>
    </w:p>
    <w:p w:rsidR="00E61447" w:rsidRPr="00C903F8" w:rsidRDefault="00E61447" w:rsidP="00E61447">
      <w:pPr>
        <w:pStyle w:val="ESch"/>
        <w:rPr>
          <w:noProof/>
        </w:rPr>
      </w:pPr>
    </w:p>
    <w:p w:rsidR="00E61447" w:rsidRPr="00C903F8" w:rsidRDefault="00E61447" w:rsidP="00E61447">
      <w:pPr>
        <w:pStyle w:val="ESch"/>
        <w:rPr>
          <w:rFonts w:cs="Arial"/>
          <w:szCs w:val="18"/>
        </w:rPr>
      </w:pPr>
      <w:r>
        <w:t>5.</w:t>
      </w:r>
      <w:r>
        <w:tab/>
        <w:t>"scheda informativa": il documento riportato nell'allegato 7, sezione II, nel quale sono elencate le informazioni che un richiedente deve fornire;</w:t>
      </w:r>
    </w:p>
    <w:p w:rsidR="00E61447" w:rsidRPr="00C903F8" w:rsidRDefault="00E61447" w:rsidP="00E61447">
      <w:pPr>
        <w:pStyle w:val="ESch"/>
        <w:rPr>
          <w:noProof/>
        </w:rPr>
      </w:pPr>
    </w:p>
    <w:p w:rsidR="00E61447" w:rsidRPr="00C903F8" w:rsidRDefault="00E61447" w:rsidP="00E61447">
      <w:pPr>
        <w:pStyle w:val="ESch"/>
        <w:rPr>
          <w:rFonts w:cs="Arial"/>
          <w:szCs w:val="18"/>
        </w:rPr>
      </w:pPr>
      <w:r>
        <w:t>6.</w:t>
      </w:r>
      <w:r>
        <w:tab/>
        <w:t>"documentazione informativa": la serie completa di dati, disegni, fotografie o altri documenti forniti dal richiedente al servizio tecnico o all'autorità competente conformemente alle indicazioni della scheda informativa;</w:t>
      </w:r>
    </w:p>
    <w:p w:rsidR="00E61447" w:rsidRPr="00C903F8" w:rsidRDefault="00E61447" w:rsidP="00E61447">
      <w:pPr>
        <w:pStyle w:val="ESch"/>
        <w:rPr>
          <w:noProof/>
        </w:rPr>
      </w:pPr>
    </w:p>
    <w:p w:rsidR="00E61447" w:rsidRPr="00C903F8" w:rsidRDefault="00E61447" w:rsidP="00E61447">
      <w:pPr>
        <w:pStyle w:val="ESch"/>
        <w:rPr>
          <w:rFonts w:cs="Arial"/>
          <w:szCs w:val="18"/>
        </w:rPr>
      </w:pPr>
      <w:r>
        <w:t>7.</w:t>
      </w:r>
      <w:r>
        <w:tab/>
        <w:t>"fascicolo informativo": la documentazione informativa più tutti gli eventuali verbali di prova e gli altri documenti che il servizio tecnico o l'autorità competente hanno aggiunto alla documentazione informativa nello svolgimento delle rispettive funzioni;</w:t>
      </w:r>
    </w:p>
    <w:p w:rsidR="00E61447" w:rsidRPr="00C903F8" w:rsidRDefault="00E61447" w:rsidP="00E61447">
      <w:pPr>
        <w:pStyle w:val="ESch"/>
        <w:rPr>
          <w:noProof/>
        </w:rPr>
      </w:pPr>
    </w:p>
    <w:p w:rsidR="00E61447" w:rsidRPr="00C903F8" w:rsidRDefault="00E61447" w:rsidP="00E61447">
      <w:pPr>
        <w:pStyle w:val="ESch"/>
        <w:rPr>
          <w:rFonts w:cs="Arial"/>
          <w:szCs w:val="18"/>
        </w:rPr>
      </w:pPr>
      <w:r>
        <w:t>8.</w:t>
      </w:r>
      <w:r>
        <w:tab/>
        <w:t>"certificato di omologazione": il documento redatto in conformità dell'allegato 7, sezione III, con il quale l'autorità competente certifica l'omologazione;</w:t>
      </w:r>
    </w:p>
    <w:p w:rsidR="00E61447" w:rsidRPr="00C903F8" w:rsidRDefault="00E61447" w:rsidP="00E61447">
      <w:pPr>
        <w:pStyle w:val="ESch"/>
        <w:rPr>
          <w:noProof/>
        </w:rPr>
      </w:pPr>
    </w:p>
    <w:p w:rsidR="00E61447" w:rsidRPr="00C903F8" w:rsidRDefault="00E61447" w:rsidP="00E61447">
      <w:pPr>
        <w:pStyle w:val="ESch"/>
        <w:rPr>
          <w:rFonts w:cs="Arial"/>
          <w:szCs w:val="18"/>
        </w:rPr>
      </w:pPr>
      <w:r>
        <w:t>9.</w:t>
      </w:r>
      <w:r>
        <w:tab/>
        <w:t>"registrazione dei parametri relativi all'impianto di depurazione di bordo": il documento redatto in conformità dell'allegato 7, sezione VIII, che registra tutti i parametri, compresi componenti e adeguamenti, dell'impianto di depurazione di bordo, che incidono sul livello della depurazione, comprese le relative modifiche;</w:t>
      </w:r>
    </w:p>
    <w:p w:rsidR="00E61447" w:rsidRPr="00C903F8" w:rsidRDefault="00E61447" w:rsidP="00E61447">
      <w:pPr>
        <w:pStyle w:val="ESch"/>
        <w:rPr>
          <w:noProof/>
        </w:rPr>
      </w:pPr>
    </w:p>
    <w:p w:rsidR="00E61447" w:rsidRPr="00C903F8" w:rsidRDefault="00E61447" w:rsidP="00E61447">
      <w:pPr>
        <w:pStyle w:val="ESch"/>
        <w:rPr>
          <w:rFonts w:cs="Arial"/>
          <w:szCs w:val="18"/>
        </w:rPr>
      </w:pPr>
      <w:r>
        <w:t>10.</w:t>
      </w:r>
      <w:r>
        <w:tab/>
        <w:t>"guida del costruttore per il controllo dei componenti e parametri relativi alla trattamento delle acque reflue": il documento redatto in conformità dell'articolo 18.09, paragrafo 4, ai fini dell'esecuzione del controllo speciale;</w:t>
      </w:r>
    </w:p>
    <w:p w:rsidR="00E61447" w:rsidRPr="00C903F8" w:rsidRDefault="00E61447" w:rsidP="00E61447">
      <w:pPr>
        <w:pStyle w:val="ESch"/>
        <w:rPr>
          <w:noProof/>
        </w:rPr>
      </w:pPr>
    </w:p>
    <w:p w:rsidR="00E61447" w:rsidRPr="00C903F8" w:rsidRDefault="00E61447" w:rsidP="00E61447">
      <w:pPr>
        <w:pStyle w:val="ESch"/>
        <w:rPr>
          <w:rFonts w:cs="Arial"/>
          <w:szCs w:val="18"/>
        </w:rPr>
      </w:pPr>
      <w:r>
        <w:t>11.</w:t>
      </w:r>
      <w:r>
        <w:tab/>
        <w:t>"acque reflue domestiche": acque reflue provenienti da cucine, sale da pranzo, bagni, servizi igienici, lavanderie nonché le acque fecali;</w:t>
      </w:r>
    </w:p>
    <w:p w:rsidR="00E61447" w:rsidRPr="00C903F8" w:rsidRDefault="00E61447" w:rsidP="00E61447">
      <w:pPr>
        <w:pStyle w:val="ESch"/>
        <w:rPr>
          <w:noProof/>
        </w:rPr>
      </w:pPr>
    </w:p>
    <w:p w:rsidR="00E61447" w:rsidRPr="00C903F8" w:rsidRDefault="00E61447" w:rsidP="00E61447">
      <w:pPr>
        <w:pStyle w:val="ESch"/>
        <w:rPr>
          <w:rFonts w:cs="Arial"/>
          <w:szCs w:val="18"/>
        </w:rPr>
      </w:pPr>
      <w:r>
        <w:t>12.</w:t>
      </w:r>
      <w:r>
        <w:tab/>
        <w:t>"fanghi di depurazione": i residui derivanti dal funzionamento di un impianto di depurazione di bordo.</w:t>
      </w:r>
    </w:p>
    <w:p w:rsidR="00E61447" w:rsidRPr="00C903F8" w:rsidRDefault="00E61447" w:rsidP="00E61447">
      <w:pPr>
        <w:pStyle w:val="ESch"/>
      </w:pPr>
    </w:p>
    <w:p w:rsidR="00E61447" w:rsidRPr="00C903F8" w:rsidRDefault="00917628" w:rsidP="00917628">
      <w:pPr>
        <w:pStyle w:val="ESch"/>
        <w:rPr>
          <w:noProof/>
        </w:rPr>
      </w:pPr>
      <w:r>
        <w:br w:type="page"/>
      </w:r>
    </w:p>
    <w:p w:rsidR="00AC39F0" w:rsidRPr="00C903F8" w:rsidRDefault="00AC39F0" w:rsidP="00AC39F0">
      <w:pPr>
        <w:pStyle w:val="ES-Titre3"/>
      </w:pPr>
      <w:bookmarkStart w:id="322" w:name="_Toc491854158"/>
      <w:bookmarkStart w:id="323" w:name="_Toc535500107"/>
      <w:r>
        <w:lastRenderedPageBreak/>
        <w:t>Articolo 18.01</w:t>
      </w:r>
      <w:r>
        <w:br/>
      </w:r>
      <w:r>
        <w:rPr>
          <w:i/>
          <w:noProof/>
        </w:rPr>
        <w:t>Disposizioni generali</w:t>
      </w:r>
      <w:bookmarkEnd w:id="322"/>
      <w:bookmarkEnd w:id="323"/>
    </w:p>
    <w:p w:rsidR="00AC39F0" w:rsidRPr="00C903F8" w:rsidRDefault="00AC39F0" w:rsidP="005662C0">
      <w:pPr>
        <w:pStyle w:val="ESch"/>
      </w:pPr>
    </w:p>
    <w:p w:rsidR="00AC39F0" w:rsidRPr="00C903F8" w:rsidRDefault="00AC39F0" w:rsidP="00AC39F0">
      <w:pPr>
        <w:pStyle w:val="ESch"/>
        <w:rPr>
          <w:rFonts w:cs="Arial"/>
          <w:szCs w:val="20"/>
        </w:rPr>
      </w:pPr>
      <w:r>
        <w:t>1.</w:t>
      </w:r>
      <w:r>
        <w:tab/>
        <w:t>Il presente capo si applica agli impianti di depurazione di bordo installati a bordo di imbarcazioni.</w:t>
      </w:r>
    </w:p>
    <w:p w:rsidR="00AC39F0" w:rsidRPr="00C903F8" w:rsidRDefault="00AC39F0" w:rsidP="00AC39F0">
      <w:pPr>
        <w:pStyle w:val="ESch"/>
        <w:rPr>
          <w:noProof/>
          <w:szCs w:val="20"/>
        </w:rPr>
      </w:pPr>
    </w:p>
    <w:p w:rsidR="00AC39F0" w:rsidRPr="00C903F8" w:rsidRDefault="00AC39F0" w:rsidP="00AC39F0">
      <w:pPr>
        <w:pStyle w:val="ESch"/>
        <w:tabs>
          <w:tab w:val="left" w:pos="567"/>
        </w:tabs>
        <w:ind w:left="993" w:hanging="993"/>
        <w:rPr>
          <w:rFonts w:cs="Arial"/>
          <w:szCs w:val="20"/>
        </w:rPr>
      </w:pPr>
      <w:r>
        <w:t>2.</w:t>
      </w:r>
      <w:r>
        <w:tab/>
        <w:t>a)</w:t>
      </w:r>
      <w:r>
        <w:tab/>
        <w:t>Gli impianti di depurazione di bordo devono essere conformi ai seguenti valori limite nel corso della prova del tipo.</w:t>
      </w:r>
    </w:p>
    <w:p w:rsidR="00AC39F0" w:rsidRPr="00C903F8" w:rsidRDefault="00AC39F0" w:rsidP="00AC39F0">
      <w:pPr>
        <w:pStyle w:val="ESch"/>
        <w:rPr>
          <w:noProof/>
          <w:szCs w:val="20"/>
        </w:rPr>
      </w:pPr>
    </w:p>
    <w:p w:rsidR="00AC39F0" w:rsidRPr="00C903F8" w:rsidRDefault="00AC39F0" w:rsidP="00AC39F0">
      <w:pPr>
        <w:pStyle w:val="ESletpar"/>
        <w:rPr>
          <w:rFonts w:cs="Arial"/>
        </w:rPr>
      </w:pPr>
      <w:r>
        <w:t xml:space="preserve">Tabella </w:t>
      </w:r>
      <w:r>
        <w:rPr>
          <w:noProof/>
        </w:rPr>
        <w:fldChar w:fldCharType="begin"/>
      </w:r>
      <w:r>
        <w:rPr>
          <w:noProof/>
        </w:rPr>
        <w:instrText xml:space="preserve"> SEQ Tabelle \* ARABIC </w:instrText>
      </w:r>
      <w:r>
        <w:rPr>
          <w:noProof/>
        </w:rPr>
        <w:fldChar w:fldCharType="separate"/>
      </w:r>
      <w:r>
        <w:rPr>
          <w:noProof/>
        </w:rPr>
        <w:t>1</w:t>
      </w:r>
      <w:r>
        <w:rPr>
          <w:noProof/>
        </w:rPr>
        <w:fldChar w:fldCharType="end"/>
      </w:r>
      <w:r>
        <w:t>: Valori limite da osservare nel funzionamento in fase di deflusso dell’impianto di depurazione di bordo (impianto di prova) nel corso della prova del tipo</w:t>
      </w:r>
    </w:p>
    <w:p w:rsidR="00AC39F0" w:rsidRPr="00C903F8" w:rsidRDefault="00AC39F0" w:rsidP="00AC39F0">
      <w:pPr>
        <w:pStyle w:val="ESch"/>
        <w:rPr>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29"/>
        <w:gridCol w:w="1588"/>
        <w:gridCol w:w="2608"/>
      </w:tblGrid>
      <w:tr w:rsidR="000E1B99" w:rsidRPr="00C903F8" w:rsidTr="00EB78D3">
        <w:trPr>
          <w:trHeight w:val="836"/>
          <w:jc w:val="center"/>
        </w:trPr>
        <w:tc>
          <w:tcPr>
            <w:tcW w:w="3629" w:type="dxa"/>
            <w:vAlign w:val="center"/>
          </w:tcPr>
          <w:p w:rsidR="000E1B99" w:rsidRPr="00C903F8" w:rsidRDefault="000E1B99" w:rsidP="00274EE8">
            <w:pPr>
              <w:spacing w:before="60" w:after="60" w:line="240" w:lineRule="atLeast"/>
              <w:jc w:val="center"/>
              <w:rPr>
                <w:noProof/>
                <w:sz w:val="18"/>
                <w:szCs w:val="18"/>
              </w:rPr>
            </w:pPr>
            <w:r>
              <w:rPr>
                <w:noProof/>
                <w:sz w:val="18"/>
              </w:rPr>
              <w:t>Parametro</w:t>
            </w:r>
          </w:p>
        </w:tc>
        <w:tc>
          <w:tcPr>
            <w:tcW w:w="1588" w:type="dxa"/>
            <w:vAlign w:val="center"/>
          </w:tcPr>
          <w:p w:rsidR="000E1B99" w:rsidRPr="00C903F8" w:rsidRDefault="000E1B99" w:rsidP="00274EE8">
            <w:pPr>
              <w:spacing w:before="60" w:after="60" w:line="240" w:lineRule="atLeast"/>
              <w:ind w:left="0" w:firstLine="0"/>
              <w:jc w:val="center"/>
              <w:rPr>
                <w:noProof/>
                <w:sz w:val="18"/>
                <w:szCs w:val="18"/>
              </w:rPr>
            </w:pPr>
            <w:r>
              <w:rPr>
                <w:noProof/>
                <w:sz w:val="18"/>
              </w:rPr>
              <w:t>Concentrazione (fase II)</w:t>
            </w:r>
          </w:p>
        </w:tc>
        <w:tc>
          <w:tcPr>
            <w:tcW w:w="2608" w:type="dxa"/>
            <w:vAlign w:val="center"/>
          </w:tcPr>
          <w:p w:rsidR="000E1B99" w:rsidRPr="00C903F8" w:rsidRDefault="000E1B99" w:rsidP="00274EE8">
            <w:pPr>
              <w:spacing w:before="60" w:after="60" w:line="240" w:lineRule="atLeast"/>
              <w:jc w:val="center"/>
              <w:rPr>
                <w:noProof/>
                <w:sz w:val="18"/>
                <w:szCs w:val="18"/>
              </w:rPr>
            </w:pPr>
            <w:r>
              <w:rPr>
                <w:noProof/>
                <w:sz w:val="18"/>
              </w:rPr>
              <w:t>Campione</w:t>
            </w:r>
          </w:p>
        </w:tc>
      </w:tr>
      <w:tr w:rsidR="000E1B99" w:rsidRPr="00C903F8" w:rsidTr="00EB78D3">
        <w:trPr>
          <w:jc w:val="center"/>
        </w:trPr>
        <w:tc>
          <w:tcPr>
            <w:tcW w:w="3629" w:type="dxa"/>
            <w:vMerge w:val="restart"/>
            <w:vAlign w:val="center"/>
          </w:tcPr>
          <w:p w:rsidR="000E1B99" w:rsidRPr="00C903F8" w:rsidRDefault="000E1B99" w:rsidP="0085414C">
            <w:pPr>
              <w:spacing w:before="60" w:after="60" w:line="240" w:lineRule="atLeast"/>
              <w:ind w:left="0" w:firstLine="0"/>
              <w:jc w:val="left"/>
              <w:rPr>
                <w:noProof/>
                <w:sz w:val="18"/>
                <w:szCs w:val="18"/>
                <w:vertAlign w:val="superscript"/>
              </w:rPr>
            </w:pPr>
            <w:r>
              <w:rPr>
                <w:noProof/>
                <w:sz w:val="18"/>
              </w:rPr>
              <w:t>Fabbisogno biochimico di ossigeno (</w:t>
            </w: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w:r>
              <w:rPr>
                <w:noProof/>
                <w:sz w:val="18"/>
              </w:rPr>
              <w:t>)</w:t>
            </w:r>
            <w:r>
              <w:rPr>
                <w:noProof/>
                <w:sz w:val="18"/>
                <w:szCs w:val="18"/>
              </w:rPr>
              <w:br/>
            </w:r>
            <w:r>
              <w:rPr>
                <w:noProof/>
                <w:sz w:val="18"/>
              </w:rPr>
              <w:t>ISO 5815-1 e 5815-2:2003</w:t>
            </w:r>
            <w:r>
              <w:rPr>
                <w:noProof/>
                <w:sz w:val="18"/>
                <w:vertAlign w:val="superscript"/>
              </w:rPr>
              <w:t>1</w:t>
            </w:r>
          </w:p>
        </w:tc>
        <w:tc>
          <w:tcPr>
            <w:tcW w:w="1588" w:type="dxa"/>
            <w:vAlign w:val="center"/>
          </w:tcPr>
          <w:p w:rsidR="000E1B99" w:rsidRPr="00C903F8" w:rsidRDefault="000E1B99" w:rsidP="00274EE8">
            <w:pPr>
              <w:spacing w:before="60" w:after="60" w:line="240" w:lineRule="atLeast"/>
              <w:ind w:left="0" w:firstLine="0"/>
              <w:jc w:val="center"/>
              <w:rPr>
                <w:noProof/>
                <w:sz w:val="18"/>
                <w:szCs w:val="18"/>
              </w:rPr>
            </w:pPr>
            <w:r>
              <w:rPr>
                <w:noProof/>
                <w:sz w:val="18"/>
              </w:rPr>
              <w:t>20 mg/l</w:t>
            </w:r>
          </w:p>
        </w:tc>
        <w:tc>
          <w:tcPr>
            <w:tcW w:w="2608" w:type="dxa"/>
            <w:vAlign w:val="center"/>
          </w:tcPr>
          <w:p w:rsidR="000E1B99" w:rsidRPr="00C903F8" w:rsidRDefault="000E1B99" w:rsidP="00274EE8">
            <w:pPr>
              <w:spacing w:before="60" w:after="60" w:line="240" w:lineRule="atLeast"/>
              <w:ind w:left="0" w:firstLine="0"/>
              <w:jc w:val="left"/>
              <w:rPr>
                <w:noProof/>
                <w:sz w:val="18"/>
                <w:szCs w:val="18"/>
              </w:rPr>
            </w:pPr>
            <w:r>
              <w:rPr>
                <w:noProof/>
                <w:sz w:val="18"/>
              </w:rPr>
              <w:t>Campione composito su 24 ore, omogeneizzato</w:t>
            </w:r>
          </w:p>
        </w:tc>
      </w:tr>
      <w:tr w:rsidR="000E1B99" w:rsidRPr="00C903F8" w:rsidTr="00EB78D3">
        <w:trPr>
          <w:jc w:val="center"/>
        </w:trPr>
        <w:tc>
          <w:tcPr>
            <w:tcW w:w="3629" w:type="dxa"/>
            <w:vMerge/>
            <w:vAlign w:val="center"/>
          </w:tcPr>
          <w:p w:rsidR="000E1B99" w:rsidRPr="00C903F8" w:rsidRDefault="000E1B99" w:rsidP="00274EE8">
            <w:pPr>
              <w:spacing w:before="60" w:after="60" w:line="240" w:lineRule="atLeast"/>
              <w:ind w:left="0" w:firstLine="0"/>
              <w:jc w:val="left"/>
              <w:rPr>
                <w:noProof/>
                <w:sz w:val="18"/>
                <w:szCs w:val="18"/>
              </w:rPr>
            </w:pPr>
          </w:p>
        </w:tc>
        <w:tc>
          <w:tcPr>
            <w:tcW w:w="1588" w:type="dxa"/>
            <w:vAlign w:val="center"/>
          </w:tcPr>
          <w:p w:rsidR="000E1B99" w:rsidRPr="00C903F8" w:rsidRDefault="000E1B99" w:rsidP="00274EE8">
            <w:pPr>
              <w:spacing w:before="60" w:after="60" w:line="240" w:lineRule="atLeast"/>
              <w:ind w:left="0" w:firstLine="0"/>
              <w:jc w:val="center"/>
              <w:rPr>
                <w:noProof/>
                <w:sz w:val="18"/>
                <w:szCs w:val="18"/>
              </w:rPr>
            </w:pPr>
            <w:r>
              <w:rPr>
                <w:noProof/>
                <w:sz w:val="18"/>
              </w:rPr>
              <w:t>25 mg/l</w:t>
            </w:r>
          </w:p>
        </w:tc>
        <w:tc>
          <w:tcPr>
            <w:tcW w:w="2608" w:type="dxa"/>
            <w:vAlign w:val="center"/>
          </w:tcPr>
          <w:p w:rsidR="000E1B99" w:rsidRPr="00C903F8" w:rsidRDefault="000E1B99" w:rsidP="00274EE8">
            <w:pPr>
              <w:spacing w:before="60" w:after="60" w:line="240" w:lineRule="atLeast"/>
              <w:ind w:left="0" w:firstLine="0"/>
              <w:jc w:val="left"/>
              <w:rPr>
                <w:noProof/>
                <w:sz w:val="18"/>
                <w:szCs w:val="18"/>
              </w:rPr>
            </w:pPr>
            <w:r>
              <w:rPr>
                <w:noProof/>
                <w:sz w:val="18"/>
              </w:rPr>
              <w:t>Campione casuale, omogeneizzato</w:t>
            </w:r>
          </w:p>
        </w:tc>
      </w:tr>
      <w:tr w:rsidR="000E1B99" w:rsidRPr="00C903F8" w:rsidTr="00EB78D3">
        <w:trPr>
          <w:jc w:val="center"/>
        </w:trPr>
        <w:tc>
          <w:tcPr>
            <w:tcW w:w="3629" w:type="dxa"/>
            <w:vMerge w:val="restart"/>
            <w:vAlign w:val="center"/>
          </w:tcPr>
          <w:p w:rsidR="000E1B99" w:rsidRPr="00C903F8" w:rsidRDefault="000E1B99" w:rsidP="0085414C">
            <w:pPr>
              <w:spacing w:before="60" w:after="60" w:line="240" w:lineRule="atLeast"/>
              <w:ind w:left="0" w:firstLine="0"/>
              <w:jc w:val="left"/>
              <w:rPr>
                <w:noProof/>
                <w:sz w:val="18"/>
                <w:szCs w:val="18"/>
              </w:rPr>
            </w:pPr>
            <w:r>
              <w:rPr>
                <w:noProof/>
                <w:sz w:val="18"/>
              </w:rPr>
              <w:t>Fabbisogno chimico di ossigeno (COD)</w:t>
            </w:r>
            <w:r>
              <w:rPr>
                <w:noProof/>
                <w:sz w:val="18"/>
                <w:vertAlign w:val="superscript"/>
              </w:rPr>
              <w:t>2</w:t>
            </w:r>
            <w:r>
              <w:rPr>
                <w:noProof/>
                <w:sz w:val="18"/>
              </w:rPr>
              <w:t xml:space="preserve"> </w:t>
            </w:r>
            <w:r>
              <w:rPr>
                <w:noProof/>
                <w:sz w:val="18"/>
                <w:szCs w:val="18"/>
              </w:rPr>
              <w:br/>
            </w:r>
            <w:r>
              <w:rPr>
                <w:noProof/>
                <w:sz w:val="18"/>
              </w:rPr>
              <w:t>ISO 6060:1989</w:t>
            </w:r>
            <w:r>
              <w:rPr>
                <w:noProof/>
                <w:sz w:val="18"/>
                <w:vertAlign w:val="superscript"/>
              </w:rPr>
              <w:t>1)</w:t>
            </w:r>
          </w:p>
        </w:tc>
        <w:tc>
          <w:tcPr>
            <w:tcW w:w="1588" w:type="dxa"/>
            <w:vAlign w:val="center"/>
          </w:tcPr>
          <w:p w:rsidR="000E1B99" w:rsidRPr="00C903F8" w:rsidRDefault="000E1B99" w:rsidP="00274EE8">
            <w:pPr>
              <w:spacing w:before="60" w:after="60" w:line="240" w:lineRule="atLeast"/>
              <w:ind w:left="0" w:firstLine="0"/>
              <w:jc w:val="center"/>
              <w:rPr>
                <w:noProof/>
                <w:sz w:val="18"/>
                <w:szCs w:val="18"/>
              </w:rPr>
            </w:pPr>
            <w:r>
              <w:rPr>
                <w:noProof/>
                <w:sz w:val="18"/>
              </w:rPr>
              <w:t>100 mg/l</w:t>
            </w:r>
          </w:p>
        </w:tc>
        <w:tc>
          <w:tcPr>
            <w:tcW w:w="2608" w:type="dxa"/>
            <w:vAlign w:val="center"/>
          </w:tcPr>
          <w:p w:rsidR="000E1B99" w:rsidRPr="00C903F8" w:rsidRDefault="000E1B99" w:rsidP="00274EE8">
            <w:pPr>
              <w:spacing w:before="60" w:after="60" w:line="240" w:lineRule="atLeast"/>
              <w:ind w:left="0" w:firstLine="0"/>
              <w:jc w:val="left"/>
              <w:rPr>
                <w:noProof/>
                <w:sz w:val="18"/>
                <w:szCs w:val="18"/>
              </w:rPr>
            </w:pPr>
            <w:r>
              <w:rPr>
                <w:noProof/>
                <w:sz w:val="18"/>
              </w:rPr>
              <w:t>Campione composito su 24 ore, omogeneizzato</w:t>
            </w:r>
          </w:p>
        </w:tc>
      </w:tr>
      <w:tr w:rsidR="000E1B99" w:rsidRPr="00C903F8" w:rsidTr="00EB78D3">
        <w:trPr>
          <w:jc w:val="center"/>
        </w:trPr>
        <w:tc>
          <w:tcPr>
            <w:tcW w:w="3629" w:type="dxa"/>
            <w:vMerge/>
            <w:vAlign w:val="center"/>
          </w:tcPr>
          <w:p w:rsidR="000E1B99" w:rsidRPr="00C903F8" w:rsidRDefault="000E1B99" w:rsidP="00274EE8">
            <w:pPr>
              <w:spacing w:before="60" w:after="60" w:line="240" w:lineRule="atLeast"/>
              <w:ind w:left="0" w:firstLine="0"/>
              <w:jc w:val="left"/>
              <w:rPr>
                <w:noProof/>
                <w:sz w:val="18"/>
                <w:szCs w:val="18"/>
              </w:rPr>
            </w:pPr>
          </w:p>
        </w:tc>
        <w:tc>
          <w:tcPr>
            <w:tcW w:w="1588" w:type="dxa"/>
            <w:vAlign w:val="center"/>
          </w:tcPr>
          <w:p w:rsidR="000E1B99" w:rsidRPr="00C903F8" w:rsidRDefault="000E1B99" w:rsidP="00274EE8">
            <w:pPr>
              <w:spacing w:before="60" w:after="60" w:line="240" w:lineRule="atLeast"/>
              <w:ind w:left="0" w:firstLine="0"/>
              <w:jc w:val="center"/>
              <w:rPr>
                <w:noProof/>
                <w:sz w:val="18"/>
                <w:szCs w:val="18"/>
              </w:rPr>
            </w:pPr>
            <w:r>
              <w:rPr>
                <w:noProof/>
                <w:sz w:val="18"/>
              </w:rPr>
              <w:t>125 mg/l</w:t>
            </w:r>
          </w:p>
        </w:tc>
        <w:tc>
          <w:tcPr>
            <w:tcW w:w="2608" w:type="dxa"/>
            <w:vAlign w:val="center"/>
          </w:tcPr>
          <w:p w:rsidR="000E1B99" w:rsidRPr="00C903F8" w:rsidRDefault="000E1B99" w:rsidP="00274EE8">
            <w:pPr>
              <w:spacing w:before="60" w:after="60" w:line="240" w:lineRule="atLeast"/>
              <w:ind w:left="0" w:firstLine="0"/>
              <w:jc w:val="left"/>
              <w:rPr>
                <w:noProof/>
                <w:sz w:val="18"/>
                <w:szCs w:val="18"/>
              </w:rPr>
            </w:pPr>
            <w:r>
              <w:rPr>
                <w:noProof/>
                <w:sz w:val="18"/>
              </w:rPr>
              <w:t>Campione casuale, omogeneizzato</w:t>
            </w:r>
          </w:p>
        </w:tc>
      </w:tr>
      <w:tr w:rsidR="000E1B99" w:rsidRPr="00C903F8" w:rsidTr="00EB78D3">
        <w:trPr>
          <w:jc w:val="center"/>
        </w:trPr>
        <w:tc>
          <w:tcPr>
            <w:tcW w:w="3629" w:type="dxa"/>
            <w:vMerge w:val="restart"/>
            <w:vAlign w:val="center"/>
          </w:tcPr>
          <w:p w:rsidR="000E1B99" w:rsidRPr="00C903F8" w:rsidRDefault="000E1B99" w:rsidP="0085414C">
            <w:pPr>
              <w:spacing w:before="60" w:after="60" w:line="240" w:lineRule="atLeast"/>
              <w:ind w:left="0" w:firstLine="0"/>
              <w:jc w:val="left"/>
              <w:rPr>
                <w:noProof/>
                <w:sz w:val="18"/>
                <w:szCs w:val="18"/>
                <w:vertAlign w:val="superscript"/>
              </w:rPr>
            </w:pPr>
            <w:r>
              <w:rPr>
                <w:noProof/>
                <w:sz w:val="18"/>
              </w:rPr>
              <w:t>Carbonio organico totale (TOC)</w:t>
            </w:r>
            <w:r>
              <w:rPr>
                <w:noProof/>
                <w:sz w:val="18"/>
                <w:szCs w:val="18"/>
              </w:rPr>
              <w:br/>
            </w:r>
            <w:r>
              <w:rPr>
                <w:noProof/>
                <w:sz w:val="18"/>
              </w:rPr>
              <w:t>EN 1484:1997</w:t>
            </w:r>
            <w:r>
              <w:rPr>
                <w:noProof/>
                <w:sz w:val="18"/>
                <w:vertAlign w:val="superscript"/>
              </w:rPr>
              <w:t>1</w:t>
            </w:r>
          </w:p>
        </w:tc>
        <w:tc>
          <w:tcPr>
            <w:tcW w:w="1588" w:type="dxa"/>
            <w:vAlign w:val="center"/>
          </w:tcPr>
          <w:p w:rsidR="000E1B99" w:rsidRPr="00C903F8" w:rsidRDefault="000E1B99" w:rsidP="00274EE8">
            <w:pPr>
              <w:spacing w:before="60" w:after="60" w:line="240" w:lineRule="atLeast"/>
              <w:ind w:left="0" w:firstLine="0"/>
              <w:jc w:val="center"/>
              <w:rPr>
                <w:noProof/>
                <w:sz w:val="18"/>
                <w:szCs w:val="18"/>
              </w:rPr>
            </w:pPr>
            <w:r>
              <w:rPr>
                <w:noProof/>
                <w:sz w:val="18"/>
              </w:rPr>
              <w:t>35 mg/l</w:t>
            </w:r>
          </w:p>
        </w:tc>
        <w:tc>
          <w:tcPr>
            <w:tcW w:w="2608" w:type="dxa"/>
            <w:vAlign w:val="center"/>
          </w:tcPr>
          <w:p w:rsidR="000E1B99" w:rsidRPr="00C903F8" w:rsidRDefault="000E1B99" w:rsidP="00274EE8">
            <w:pPr>
              <w:spacing w:before="60" w:after="60" w:line="240" w:lineRule="atLeast"/>
              <w:ind w:left="0" w:firstLine="0"/>
              <w:jc w:val="left"/>
              <w:rPr>
                <w:noProof/>
                <w:sz w:val="18"/>
                <w:szCs w:val="18"/>
              </w:rPr>
            </w:pPr>
            <w:r>
              <w:rPr>
                <w:noProof/>
                <w:sz w:val="18"/>
              </w:rPr>
              <w:t>Campione composito su 24 ore, omogeneizzato</w:t>
            </w:r>
          </w:p>
        </w:tc>
      </w:tr>
      <w:tr w:rsidR="000E1B99" w:rsidRPr="00C903F8" w:rsidTr="00EB78D3">
        <w:trPr>
          <w:jc w:val="center"/>
        </w:trPr>
        <w:tc>
          <w:tcPr>
            <w:tcW w:w="3629" w:type="dxa"/>
            <w:vMerge/>
            <w:vAlign w:val="center"/>
          </w:tcPr>
          <w:p w:rsidR="000E1B99" w:rsidRPr="00C903F8" w:rsidRDefault="000E1B99" w:rsidP="00274EE8">
            <w:pPr>
              <w:spacing w:before="60" w:after="60" w:line="240" w:lineRule="atLeast"/>
              <w:rPr>
                <w:noProof/>
                <w:sz w:val="18"/>
                <w:szCs w:val="18"/>
              </w:rPr>
            </w:pPr>
          </w:p>
        </w:tc>
        <w:tc>
          <w:tcPr>
            <w:tcW w:w="1588" w:type="dxa"/>
            <w:vAlign w:val="center"/>
          </w:tcPr>
          <w:p w:rsidR="000E1B99" w:rsidRPr="00C903F8" w:rsidRDefault="000E1B99" w:rsidP="00274EE8">
            <w:pPr>
              <w:spacing w:before="60" w:after="60" w:line="240" w:lineRule="atLeast"/>
              <w:ind w:left="0" w:firstLine="0"/>
              <w:jc w:val="center"/>
              <w:rPr>
                <w:noProof/>
                <w:sz w:val="18"/>
                <w:szCs w:val="18"/>
              </w:rPr>
            </w:pPr>
            <w:r>
              <w:rPr>
                <w:noProof/>
                <w:sz w:val="18"/>
              </w:rPr>
              <w:t>45 mg/l</w:t>
            </w:r>
          </w:p>
        </w:tc>
        <w:tc>
          <w:tcPr>
            <w:tcW w:w="2608" w:type="dxa"/>
            <w:vAlign w:val="center"/>
          </w:tcPr>
          <w:p w:rsidR="000E1B99" w:rsidRPr="00C903F8" w:rsidRDefault="000E1B99" w:rsidP="00274EE8">
            <w:pPr>
              <w:spacing w:before="60" w:after="60" w:line="240" w:lineRule="atLeast"/>
              <w:ind w:left="0" w:firstLine="0"/>
              <w:jc w:val="left"/>
              <w:rPr>
                <w:noProof/>
                <w:sz w:val="18"/>
                <w:szCs w:val="18"/>
              </w:rPr>
            </w:pPr>
            <w:r>
              <w:rPr>
                <w:noProof/>
                <w:sz w:val="18"/>
              </w:rPr>
              <w:t>Campione casuale, omogeneizzato</w:t>
            </w:r>
          </w:p>
        </w:tc>
      </w:tr>
    </w:tbl>
    <w:p w:rsidR="00AC39F0" w:rsidRPr="00C903F8" w:rsidRDefault="00AC39F0" w:rsidP="000F3425">
      <w:pPr>
        <w:spacing w:before="60"/>
        <w:ind w:left="992"/>
        <w:rPr>
          <w:noProof/>
          <w:sz w:val="16"/>
          <w:szCs w:val="16"/>
        </w:rPr>
      </w:pPr>
      <w:r>
        <w:rPr>
          <w:noProof/>
          <w:sz w:val="14"/>
        </w:rPr>
        <w:t>1)</w:t>
      </w:r>
      <w:r>
        <w:tab/>
      </w:r>
      <w:r>
        <w:rPr>
          <w:noProof/>
          <w:sz w:val="16"/>
        </w:rPr>
        <w:t>Gli Stati membri possono applicare procedure equivalenti</w:t>
      </w:r>
    </w:p>
    <w:p w:rsidR="00AC39F0" w:rsidRPr="00C903F8" w:rsidRDefault="00AC39F0" w:rsidP="000F3425">
      <w:pPr>
        <w:ind w:left="992"/>
        <w:rPr>
          <w:noProof/>
          <w:sz w:val="16"/>
          <w:szCs w:val="16"/>
        </w:rPr>
      </w:pPr>
      <w:r>
        <w:rPr>
          <w:noProof/>
          <w:sz w:val="14"/>
        </w:rPr>
        <w:t>2)</w:t>
      </w:r>
      <w:r>
        <w:tab/>
      </w:r>
      <w:r>
        <w:rPr>
          <w:noProof/>
          <w:sz w:val="16"/>
        </w:rPr>
        <w:t>Ai fini della prova si può fare riferimento al carbonio organico totale (TOC) anziché al fabbisogno chimico di ossigeno (COD).</w:t>
      </w:r>
    </w:p>
    <w:p w:rsidR="00AC39F0" w:rsidRPr="00C903F8" w:rsidRDefault="00AC39F0" w:rsidP="00AC39F0">
      <w:pPr>
        <w:pStyle w:val="ESch"/>
        <w:rPr>
          <w:noProof/>
          <w:szCs w:val="20"/>
        </w:rPr>
      </w:pPr>
    </w:p>
    <w:p w:rsidR="003D0171" w:rsidRPr="00C903F8" w:rsidRDefault="003D0171" w:rsidP="00AC39F0">
      <w:pPr>
        <w:pStyle w:val="ESch"/>
        <w:rPr>
          <w:noProof/>
          <w:szCs w:val="20"/>
        </w:rPr>
      </w:pPr>
      <w:r>
        <w:br w:type="page"/>
      </w:r>
    </w:p>
    <w:p w:rsidR="00AC39F0" w:rsidRPr="00C903F8" w:rsidRDefault="005C7859" w:rsidP="00AC39F0">
      <w:pPr>
        <w:pStyle w:val="ESlet"/>
        <w:rPr>
          <w:rFonts w:cs="Arial"/>
        </w:rPr>
      </w:pPr>
      <w:r>
        <w:lastRenderedPageBreak/>
        <w:t>b)</w:t>
      </w:r>
      <w:r>
        <w:tab/>
        <w:t>Gli impianti di depurazione di bordo devono essere conformi ai seguenti valori di controllo durante il funzionamento.</w:t>
      </w:r>
    </w:p>
    <w:p w:rsidR="00AC39F0" w:rsidRPr="00C903F8" w:rsidRDefault="00AC39F0" w:rsidP="00AC39F0">
      <w:pPr>
        <w:pStyle w:val="ESch"/>
        <w:rPr>
          <w:noProof/>
          <w:szCs w:val="20"/>
        </w:rPr>
      </w:pPr>
    </w:p>
    <w:p w:rsidR="00AC39F0" w:rsidRPr="00C903F8" w:rsidRDefault="00AC39F0" w:rsidP="00AC39F0">
      <w:pPr>
        <w:pStyle w:val="ESletpar"/>
        <w:rPr>
          <w:rFonts w:cs="Arial"/>
        </w:rPr>
      </w:pPr>
      <w:r>
        <w:t>Tabella 2: valori di controllo da osservare in fase di deflusso nell'impianto di depurazione di bordo durante il suo funzionamento</w:t>
      </w:r>
    </w:p>
    <w:p w:rsidR="00AC39F0" w:rsidRPr="00C903F8" w:rsidRDefault="00AC39F0" w:rsidP="00AC39F0">
      <w:pPr>
        <w:pStyle w:val="ESch"/>
        <w:rPr>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29"/>
        <w:gridCol w:w="1588"/>
        <w:gridCol w:w="2608"/>
      </w:tblGrid>
      <w:tr w:rsidR="000E1B99" w:rsidRPr="00C903F8" w:rsidTr="000E1B99">
        <w:trPr>
          <w:trHeight w:val="836"/>
          <w:jc w:val="center"/>
        </w:trPr>
        <w:tc>
          <w:tcPr>
            <w:tcW w:w="3629" w:type="dxa"/>
            <w:vAlign w:val="center"/>
          </w:tcPr>
          <w:p w:rsidR="000E1B99" w:rsidRPr="00C903F8" w:rsidRDefault="000E1B99" w:rsidP="00B33A41">
            <w:pPr>
              <w:spacing w:before="60" w:after="60" w:line="240" w:lineRule="atLeast"/>
              <w:jc w:val="center"/>
              <w:rPr>
                <w:noProof/>
                <w:sz w:val="18"/>
                <w:szCs w:val="18"/>
              </w:rPr>
            </w:pPr>
            <w:r>
              <w:rPr>
                <w:noProof/>
                <w:sz w:val="18"/>
              </w:rPr>
              <w:t>Parametro</w:t>
            </w:r>
          </w:p>
        </w:tc>
        <w:tc>
          <w:tcPr>
            <w:tcW w:w="1588" w:type="dxa"/>
            <w:vAlign w:val="center"/>
          </w:tcPr>
          <w:p w:rsidR="000E1B99" w:rsidRPr="00C903F8" w:rsidRDefault="000E1B99" w:rsidP="00B33A41">
            <w:pPr>
              <w:spacing w:before="60" w:after="60" w:line="240" w:lineRule="atLeast"/>
              <w:ind w:left="0" w:firstLine="0"/>
              <w:jc w:val="center"/>
              <w:rPr>
                <w:noProof/>
                <w:sz w:val="18"/>
                <w:szCs w:val="18"/>
              </w:rPr>
            </w:pPr>
            <w:r>
              <w:rPr>
                <w:noProof/>
                <w:sz w:val="18"/>
              </w:rPr>
              <w:t>Concentrazione (fase II)</w:t>
            </w:r>
          </w:p>
        </w:tc>
        <w:tc>
          <w:tcPr>
            <w:tcW w:w="2608" w:type="dxa"/>
            <w:vAlign w:val="center"/>
          </w:tcPr>
          <w:p w:rsidR="000E1B99" w:rsidRPr="00C903F8" w:rsidRDefault="000E1B99" w:rsidP="00B33A41">
            <w:pPr>
              <w:spacing w:before="60" w:after="60" w:line="240" w:lineRule="atLeast"/>
              <w:jc w:val="center"/>
              <w:rPr>
                <w:noProof/>
                <w:sz w:val="18"/>
                <w:szCs w:val="18"/>
              </w:rPr>
            </w:pPr>
            <w:r>
              <w:rPr>
                <w:noProof/>
                <w:sz w:val="18"/>
              </w:rPr>
              <w:t>Campione</w:t>
            </w:r>
          </w:p>
        </w:tc>
      </w:tr>
      <w:tr w:rsidR="000E1B99" w:rsidRPr="00C903F8" w:rsidTr="000E1B99">
        <w:trPr>
          <w:trHeight w:val="1080"/>
          <w:jc w:val="center"/>
        </w:trPr>
        <w:tc>
          <w:tcPr>
            <w:tcW w:w="3629" w:type="dxa"/>
            <w:vAlign w:val="center"/>
          </w:tcPr>
          <w:p w:rsidR="000E1B99" w:rsidRPr="00C903F8" w:rsidRDefault="000E1B99" w:rsidP="00B33A41">
            <w:pPr>
              <w:spacing w:before="60" w:after="60" w:line="240" w:lineRule="atLeast"/>
              <w:ind w:left="0" w:firstLine="0"/>
              <w:jc w:val="left"/>
              <w:rPr>
                <w:noProof/>
                <w:sz w:val="18"/>
                <w:szCs w:val="18"/>
                <w:vertAlign w:val="superscript"/>
              </w:rPr>
            </w:pPr>
            <w:r>
              <w:rPr>
                <w:noProof/>
                <w:sz w:val="18"/>
              </w:rPr>
              <w:t>Fabbisogno biochimico di ossigeno (</w:t>
            </w: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w:r>
              <w:rPr>
                <w:noProof/>
                <w:sz w:val="18"/>
              </w:rPr>
              <w:t>)</w:t>
            </w:r>
            <w:r>
              <w:rPr>
                <w:noProof/>
                <w:sz w:val="18"/>
                <w:szCs w:val="18"/>
              </w:rPr>
              <w:br/>
            </w:r>
            <w:r>
              <w:rPr>
                <w:noProof/>
                <w:sz w:val="18"/>
              </w:rPr>
              <w:t>ISO 5815-1 e 5815-2 (2003)</w:t>
            </w:r>
            <w:r>
              <w:rPr>
                <w:noProof/>
                <w:sz w:val="18"/>
                <w:vertAlign w:val="superscript"/>
              </w:rPr>
              <w:t>1</w:t>
            </w:r>
          </w:p>
        </w:tc>
        <w:tc>
          <w:tcPr>
            <w:tcW w:w="1588" w:type="dxa"/>
            <w:vAlign w:val="center"/>
          </w:tcPr>
          <w:p w:rsidR="000E1B99" w:rsidRPr="00C903F8" w:rsidRDefault="000E1B99" w:rsidP="00B33A41">
            <w:pPr>
              <w:suppressAutoHyphens/>
              <w:autoSpaceDE/>
              <w:autoSpaceDN/>
              <w:snapToGrid w:val="0"/>
              <w:spacing w:before="60" w:after="60" w:line="240" w:lineRule="atLeast"/>
              <w:ind w:left="0" w:firstLine="0"/>
              <w:jc w:val="center"/>
              <w:rPr>
                <w:rFonts w:cs="Arial"/>
                <w:sz w:val="18"/>
                <w:szCs w:val="18"/>
              </w:rPr>
            </w:pPr>
            <w:r>
              <w:rPr>
                <w:sz w:val="18"/>
              </w:rPr>
              <w:t>25 mg/l</w:t>
            </w:r>
          </w:p>
        </w:tc>
        <w:tc>
          <w:tcPr>
            <w:tcW w:w="2608" w:type="dxa"/>
            <w:vAlign w:val="center"/>
          </w:tcPr>
          <w:p w:rsidR="000E1B99" w:rsidRPr="00C903F8" w:rsidRDefault="000E1B99" w:rsidP="00B33A41">
            <w:pPr>
              <w:spacing w:before="60" w:after="60" w:line="240" w:lineRule="atLeast"/>
              <w:ind w:left="0" w:firstLine="0"/>
              <w:jc w:val="left"/>
              <w:rPr>
                <w:noProof/>
                <w:sz w:val="18"/>
                <w:szCs w:val="18"/>
              </w:rPr>
            </w:pPr>
            <w:r>
              <w:rPr>
                <w:noProof/>
                <w:sz w:val="18"/>
              </w:rPr>
              <w:t>Campione casuale, omogeneizzato</w:t>
            </w:r>
          </w:p>
        </w:tc>
      </w:tr>
      <w:tr w:rsidR="000E1B99" w:rsidRPr="00C903F8" w:rsidTr="000E1B99">
        <w:trPr>
          <w:jc w:val="center"/>
        </w:trPr>
        <w:tc>
          <w:tcPr>
            <w:tcW w:w="3629" w:type="dxa"/>
            <w:vMerge w:val="restart"/>
            <w:vAlign w:val="center"/>
          </w:tcPr>
          <w:p w:rsidR="000E1B99" w:rsidRPr="00C903F8" w:rsidRDefault="000E1B99" w:rsidP="00B33A41">
            <w:pPr>
              <w:spacing w:before="60" w:after="60" w:line="240" w:lineRule="atLeast"/>
              <w:ind w:left="0" w:firstLine="0"/>
              <w:jc w:val="left"/>
              <w:rPr>
                <w:noProof/>
                <w:sz w:val="18"/>
                <w:szCs w:val="18"/>
              </w:rPr>
            </w:pPr>
            <w:r>
              <w:rPr>
                <w:noProof/>
                <w:sz w:val="18"/>
              </w:rPr>
              <w:t>Fabbisogno chimico di ossigeno (COD)</w:t>
            </w:r>
            <w:r>
              <w:rPr>
                <w:noProof/>
                <w:sz w:val="18"/>
                <w:vertAlign w:val="superscript"/>
              </w:rPr>
              <w:t xml:space="preserve">2 </w:t>
            </w:r>
            <w:r>
              <w:rPr>
                <w:noProof/>
                <w:sz w:val="18"/>
                <w:szCs w:val="18"/>
                <w:vertAlign w:val="superscript"/>
              </w:rPr>
              <w:br/>
            </w:r>
            <w:r>
              <w:rPr>
                <w:noProof/>
                <w:sz w:val="18"/>
              </w:rPr>
              <w:t>ISO 6060 (1989)</w:t>
            </w:r>
            <w:r>
              <w:rPr>
                <w:noProof/>
                <w:sz w:val="18"/>
                <w:vertAlign w:val="superscript"/>
              </w:rPr>
              <w:t>1</w:t>
            </w:r>
          </w:p>
        </w:tc>
        <w:tc>
          <w:tcPr>
            <w:tcW w:w="1588" w:type="dxa"/>
            <w:vAlign w:val="center"/>
          </w:tcPr>
          <w:p w:rsidR="000E1B99" w:rsidRPr="00C903F8" w:rsidRDefault="000E1B99" w:rsidP="00B33A41">
            <w:pPr>
              <w:suppressAutoHyphens/>
              <w:autoSpaceDE/>
              <w:autoSpaceDN/>
              <w:snapToGrid w:val="0"/>
              <w:spacing w:before="60" w:after="60" w:line="240" w:lineRule="atLeast"/>
              <w:ind w:left="0" w:firstLine="0"/>
              <w:jc w:val="center"/>
              <w:rPr>
                <w:rFonts w:cs="Arial"/>
                <w:sz w:val="18"/>
                <w:szCs w:val="18"/>
              </w:rPr>
            </w:pPr>
            <w:r>
              <w:rPr>
                <w:sz w:val="18"/>
              </w:rPr>
              <w:t>125 mg/l</w:t>
            </w:r>
          </w:p>
        </w:tc>
        <w:tc>
          <w:tcPr>
            <w:tcW w:w="2608" w:type="dxa"/>
            <w:vAlign w:val="center"/>
          </w:tcPr>
          <w:p w:rsidR="000E1B99" w:rsidRPr="00C903F8" w:rsidRDefault="000E1B99" w:rsidP="00B33A41">
            <w:pPr>
              <w:spacing w:before="60" w:after="60" w:line="240" w:lineRule="atLeast"/>
              <w:ind w:left="0" w:firstLine="0"/>
              <w:jc w:val="left"/>
              <w:rPr>
                <w:noProof/>
                <w:sz w:val="18"/>
                <w:szCs w:val="18"/>
              </w:rPr>
            </w:pPr>
            <w:r>
              <w:rPr>
                <w:noProof/>
                <w:sz w:val="18"/>
              </w:rPr>
              <w:t>Campione casuale, omogeneizzato</w:t>
            </w:r>
          </w:p>
        </w:tc>
      </w:tr>
      <w:tr w:rsidR="000E1B99" w:rsidRPr="00C903F8" w:rsidTr="000E1B99">
        <w:trPr>
          <w:jc w:val="center"/>
        </w:trPr>
        <w:tc>
          <w:tcPr>
            <w:tcW w:w="3629" w:type="dxa"/>
            <w:vMerge/>
            <w:vAlign w:val="center"/>
          </w:tcPr>
          <w:p w:rsidR="000E1B99" w:rsidRPr="00C903F8" w:rsidRDefault="000E1B99" w:rsidP="00B33A41">
            <w:pPr>
              <w:spacing w:before="60" w:after="60" w:line="240" w:lineRule="atLeast"/>
              <w:ind w:left="0" w:firstLine="0"/>
              <w:jc w:val="left"/>
              <w:rPr>
                <w:noProof/>
                <w:sz w:val="18"/>
                <w:szCs w:val="18"/>
              </w:rPr>
            </w:pPr>
          </w:p>
        </w:tc>
        <w:tc>
          <w:tcPr>
            <w:tcW w:w="1588" w:type="dxa"/>
            <w:vAlign w:val="center"/>
          </w:tcPr>
          <w:p w:rsidR="000E1B99" w:rsidRPr="00C903F8" w:rsidRDefault="000E1B99" w:rsidP="00B33A41">
            <w:pPr>
              <w:suppressAutoHyphens/>
              <w:autoSpaceDE/>
              <w:autoSpaceDN/>
              <w:snapToGrid w:val="0"/>
              <w:spacing w:before="60" w:after="60" w:line="240" w:lineRule="atLeast"/>
              <w:ind w:left="0" w:firstLine="0"/>
              <w:jc w:val="center"/>
              <w:rPr>
                <w:rFonts w:cs="Arial"/>
                <w:sz w:val="18"/>
                <w:szCs w:val="18"/>
              </w:rPr>
            </w:pPr>
            <w:r>
              <w:rPr>
                <w:sz w:val="18"/>
              </w:rPr>
              <w:t>150 mg/l</w:t>
            </w:r>
          </w:p>
        </w:tc>
        <w:tc>
          <w:tcPr>
            <w:tcW w:w="2608" w:type="dxa"/>
            <w:vAlign w:val="center"/>
          </w:tcPr>
          <w:p w:rsidR="000E1B99" w:rsidRPr="00C903F8" w:rsidRDefault="000E1B99" w:rsidP="00B33A41">
            <w:pPr>
              <w:spacing w:before="60" w:after="60" w:line="240" w:lineRule="atLeast"/>
              <w:ind w:left="0" w:firstLine="0"/>
              <w:jc w:val="left"/>
              <w:rPr>
                <w:noProof/>
                <w:sz w:val="18"/>
                <w:szCs w:val="18"/>
              </w:rPr>
            </w:pPr>
            <w:r>
              <w:rPr>
                <w:noProof/>
                <w:sz w:val="18"/>
              </w:rPr>
              <w:t>Campione casuale</w:t>
            </w:r>
          </w:p>
        </w:tc>
      </w:tr>
      <w:tr w:rsidR="000E1B99" w:rsidRPr="00C903F8" w:rsidTr="000E1B99">
        <w:trPr>
          <w:trHeight w:val="730"/>
          <w:jc w:val="center"/>
        </w:trPr>
        <w:tc>
          <w:tcPr>
            <w:tcW w:w="3629" w:type="dxa"/>
            <w:vAlign w:val="center"/>
          </w:tcPr>
          <w:p w:rsidR="000E1B99" w:rsidRPr="00C903F8" w:rsidRDefault="000E1B99" w:rsidP="00B33A41">
            <w:pPr>
              <w:spacing w:before="60" w:after="60" w:line="240" w:lineRule="atLeast"/>
              <w:ind w:left="0" w:firstLine="0"/>
              <w:jc w:val="left"/>
              <w:rPr>
                <w:noProof/>
                <w:sz w:val="18"/>
                <w:szCs w:val="18"/>
                <w:vertAlign w:val="superscript"/>
              </w:rPr>
            </w:pPr>
            <w:r>
              <w:rPr>
                <w:noProof/>
                <w:sz w:val="18"/>
              </w:rPr>
              <w:t xml:space="preserve">Carbonio organico totale (TOC) </w:t>
            </w:r>
            <w:r>
              <w:rPr>
                <w:noProof/>
                <w:sz w:val="18"/>
                <w:szCs w:val="18"/>
              </w:rPr>
              <w:br/>
            </w:r>
            <w:r>
              <w:rPr>
                <w:noProof/>
                <w:sz w:val="18"/>
              </w:rPr>
              <w:t>EN 1484 (1997)</w:t>
            </w:r>
            <w:r>
              <w:rPr>
                <w:noProof/>
                <w:sz w:val="18"/>
                <w:vertAlign w:val="superscript"/>
              </w:rPr>
              <w:t>1</w:t>
            </w:r>
          </w:p>
        </w:tc>
        <w:tc>
          <w:tcPr>
            <w:tcW w:w="1588" w:type="dxa"/>
            <w:vAlign w:val="center"/>
          </w:tcPr>
          <w:p w:rsidR="000E1B99" w:rsidRPr="00C903F8" w:rsidRDefault="000E1B99" w:rsidP="00B33A41">
            <w:pPr>
              <w:suppressAutoHyphens/>
              <w:autoSpaceDE/>
              <w:autoSpaceDN/>
              <w:snapToGrid w:val="0"/>
              <w:spacing w:before="60" w:after="60" w:line="240" w:lineRule="atLeast"/>
              <w:ind w:left="0" w:firstLine="0"/>
              <w:jc w:val="center"/>
              <w:rPr>
                <w:rFonts w:cs="Arial"/>
                <w:sz w:val="18"/>
                <w:szCs w:val="18"/>
              </w:rPr>
            </w:pPr>
            <w:r>
              <w:rPr>
                <w:sz w:val="18"/>
              </w:rPr>
              <w:t>45 mg/l</w:t>
            </w:r>
          </w:p>
        </w:tc>
        <w:tc>
          <w:tcPr>
            <w:tcW w:w="2608" w:type="dxa"/>
            <w:vAlign w:val="center"/>
          </w:tcPr>
          <w:p w:rsidR="000E1B99" w:rsidRPr="00C903F8" w:rsidRDefault="000E1B99" w:rsidP="00B33A41">
            <w:pPr>
              <w:spacing w:before="60" w:after="60" w:line="240" w:lineRule="atLeast"/>
              <w:ind w:left="0" w:firstLine="0"/>
              <w:jc w:val="left"/>
              <w:rPr>
                <w:noProof/>
                <w:sz w:val="18"/>
                <w:szCs w:val="18"/>
              </w:rPr>
            </w:pPr>
            <w:r>
              <w:rPr>
                <w:noProof/>
                <w:sz w:val="18"/>
              </w:rPr>
              <w:t>Campione casuale, omogeneizzato</w:t>
            </w:r>
          </w:p>
        </w:tc>
      </w:tr>
    </w:tbl>
    <w:p w:rsidR="003D0171" w:rsidRPr="00C903F8" w:rsidRDefault="003D0171" w:rsidP="000E1B99">
      <w:pPr>
        <w:spacing w:before="60" w:line="240" w:lineRule="atLeast"/>
        <w:ind w:left="993" w:hanging="426"/>
        <w:rPr>
          <w:noProof/>
          <w:sz w:val="16"/>
          <w:szCs w:val="16"/>
        </w:rPr>
      </w:pPr>
      <w:r>
        <w:rPr>
          <w:noProof/>
          <w:sz w:val="16"/>
        </w:rPr>
        <w:t>1)</w:t>
      </w:r>
      <w:r>
        <w:tab/>
      </w:r>
      <w:r>
        <w:rPr>
          <w:noProof/>
          <w:sz w:val="16"/>
        </w:rPr>
        <w:t>Gli Stati membri possono applicare procedure equivalenti</w:t>
      </w:r>
    </w:p>
    <w:p w:rsidR="003D0171" w:rsidRPr="00C903F8" w:rsidRDefault="003D0171" w:rsidP="000E1B99">
      <w:pPr>
        <w:spacing w:before="60" w:line="240" w:lineRule="atLeast"/>
        <w:ind w:left="993" w:hanging="426"/>
        <w:rPr>
          <w:noProof/>
          <w:sz w:val="16"/>
          <w:szCs w:val="16"/>
        </w:rPr>
      </w:pPr>
      <w:r>
        <w:rPr>
          <w:noProof/>
          <w:sz w:val="16"/>
        </w:rPr>
        <w:t>2)</w:t>
      </w:r>
      <w:r>
        <w:tab/>
      </w:r>
      <w:r>
        <w:rPr>
          <w:noProof/>
          <w:sz w:val="16"/>
        </w:rPr>
        <w:t>Ai fini della prova si può fare riferimento al carbonio organico totale (TOC) anziché al fabbisogno chimico di ossigeno (COD).</w:t>
      </w:r>
    </w:p>
    <w:p w:rsidR="003D0171" w:rsidRPr="00C903F8" w:rsidRDefault="003D0171" w:rsidP="00AC39F0">
      <w:pPr>
        <w:pStyle w:val="ESch"/>
        <w:rPr>
          <w:rFonts w:cs="Arial"/>
          <w:szCs w:val="20"/>
        </w:rPr>
      </w:pPr>
    </w:p>
    <w:p w:rsidR="00AC39F0" w:rsidRPr="00C903F8" w:rsidRDefault="00AC39F0" w:rsidP="00AC39F0">
      <w:pPr>
        <w:pStyle w:val="ESch"/>
        <w:rPr>
          <w:rFonts w:cs="Arial"/>
          <w:szCs w:val="20"/>
        </w:rPr>
      </w:pPr>
      <w:r>
        <w:t>3.</w:t>
      </w:r>
      <w:r>
        <w:tab/>
        <w:t>Non sono ammissibili procedimenti che utilizzino prodotti contenenti cloro.</w:t>
      </w:r>
    </w:p>
    <w:p w:rsidR="00AC39F0" w:rsidRPr="00C903F8" w:rsidRDefault="00AC39F0" w:rsidP="00AC39F0">
      <w:pPr>
        <w:pStyle w:val="ESch"/>
        <w:rPr>
          <w:noProof/>
          <w:szCs w:val="20"/>
        </w:rPr>
      </w:pPr>
    </w:p>
    <w:p w:rsidR="00AC39F0" w:rsidRPr="00C903F8" w:rsidRDefault="00AC39F0" w:rsidP="00AC39F0">
      <w:pPr>
        <w:pStyle w:val="ESchpar"/>
        <w:rPr>
          <w:rFonts w:cs="Arial"/>
        </w:rPr>
      </w:pPr>
      <w:r>
        <w:t>Non è inoltre ammissibile diluire le acque reflue domestiche in modo da diminuirne il peso specifico e consentirne anche così l'eliminazione.</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4.</w:t>
      </w:r>
      <w:r>
        <w:tab/>
        <w:t>Devono essere definiti accorgimenti adeguati per quanto riguarda lo stoccaggio, la conservazione (se necessario) e lo scarico dei fanghi di depurazione, comprendenti anche un piano di gestione per tali fanghi.</w:t>
      </w:r>
    </w:p>
    <w:p w:rsidR="00AC39F0" w:rsidRPr="00C903F8" w:rsidRDefault="00AC39F0" w:rsidP="00AC39F0">
      <w:pPr>
        <w:pStyle w:val="ESch"/>
        <w:rPr>
          <w:noProof/>
          <w:szCs w:val="20"/>
        </w:rPr>
      </w:pPr>
    </w:p>
    <w:p w:rsidR="00AC39F0" w:rsidRPr="00C903F8" w:rsidRDefault="00AC39F0" w:rsidP="00AC39F0">
      <w:pPr>
        <w:pStyle w:val="ESch"/>
        <w:rPr>
          <w:noProof/>
          <w:szCs w:val="20"/>
        </w:rPr>
      </w:pPr>
      <w:r>
        <w:t>5.</w:t>
      </w:r>
      <w:r>
        <w:tab/>
        <w:t>I valori limite di cui alla tabella 1 del paragrafo 2, lettera a), devono essere confermati da una prova del tipo e determinati dall'omologazione. L’omologazione è certificata da un certificato di omologazione. Prima di installare l'impianto di depurazione di bordo occorre inviare una copia del certificato di omologazione deve essere inviata alla commissione di ispezione. A bordo devono essere presenti una copia del certificato di omologazione e la registrazione dei parametri relativi all’impianto di depurazione di bordo.</w:t>
      </w:r>
    </w:p>
    <w:p w:rsidR="00C509E3" w:rsidRPr="00C903F8" w:rsidRDefault="00C509E3" w:rsidP="00AC39F0">
      <w:pPr>
        <w:pStyle w:val="ESch"/>
        <w:rPr>
          <w:noProof/>
          <w:szCs w:val="20"/>
        </w:rPr>
      </w:pPr>
    </w:p>
    <w:p w:rsidR="00AC39F0" w:rsidRPr="00C903F8" w:rsidRDefault="00AC39F0" w:rsidP="00AC39F0">
      <w:pPr>
        <w:pStyle w:val="ESch"/>
        <w:rPr>
          <w:rFonts w:cs="Arial"/>
          <w:szCs w:val="20"/>
        </w:rPr>
      </w:pPr>
      <w:r>
        <w:t>6.</w:t>
      </w:r>
      <w:r>
        <w:tab/>
        <w:t>Una volta installato a bordo l’impianto di depurazione il fabbricante esegue una prova di funzionamento prima dell’inizio dei servizi di linea. L'impianto di depurazione di bordo è inserito nella rubrica 52 del certificato per la navigazione interna con l'indicazione dei seguenti particolari dello stesso:</w:t>
      </w:r>
    </w:p>
    <w:p w:rsidR="00AC39F0" w:rsidRPr="00C903F8" w:rsidRDefault="005C7859" w:rsidP="00AC39F0">
      <w:pPr>
        <w:pStyle w:val="ESlet"/>
        <w:rPr>
          <w:rFonts w:cs="Arial"/>
        </w:rPr>
      </w:pPr>
      <w:r>
        <w:t>a)</w:t>
      </w:r>
      <w:r>
        <w:tab/>
        <w:t>denominazione;</w:t>
      </w:r>
    </w:p>
    <w:p w:rsidR="00AC39F0" w:rsidRPr="00C903F8" w:rsidRDefault="005C7859" w:rsidP="00AC39F0">
      <w:pPr>
        <w:pStyle w:val="ESlet"/>
      </w:pPr>
      <w:r>
        <w:t>b)</w:t>
      </w:r>
      <w:r>
        <w:tab/>
        <w:t>numero di omologazione;</w:t>
      </w:r>
    </w:p>
    <w:p w:rsidR="00AC39F0" w:rsidRPr="00C903F8" w:rsidRDefault="005C7859" w:rsidP="00AC39F0">
      <w:pPr>
        <w:pStyle w:val="ESlet"/>
        <w:rPr>
          <w:rFonts w:cs="Arial"/>
        </w:rPr>
      </w:pPr>
      <w:r>
        <w:t>c)</w:t>
      </w:r>
      <w:r>
        <w:tab/>
        <w:t>numero di serie;</w:t>
      </w:r>
    </w:p>
    <w:p w:rsidR="00AC39F0" w:rsidRPr="00C903F8" w:rsidRDefault="005C7859" w:rsidP="00AC39F0">
      <w:pPr>
        <w:pStyle w:val="ESlet"/>
        <w:rPr>
          <w:rFonts w:cs="Arial"/>
        </w:rPr>
      </w:pPr>
      <w:r>
        <w:t>d)</w:t>
      </w:r>
      <w:r>
        <w:tab/>
        <w:t>anno di costruzione.</w:t>
      </w:r>
    </w:p>
    <w:p w:rsidR="00AC39F0" w:rsidRPr="00C903F8" w:rsidRDefault="00AC39F0" w:rsidP="00AC39F0">
      <w:pPr>
        <w:pStyle w:val="ESch"/>
        <w:rPr>
          <w:noProof/>
          <w:szCs w:val="20"/>
        </w:rPr>
      </w:pPr>
    </w:p>
    <w:p w:rsidR="00B33A41" w:rsidRPr="00C903F8" w:rsidRDefault="00B33A41" w:rsidP="00AC39F0">
      <w:pPr>
        <w:pStyle w:val="ESch"/>
        <w:rPr>
          <w:noProof/>
          <w:szCs w:val="20"/>
        </w:rPr>
      </w:pPr>
      <w:r>
        <w:br w:type="page"/>
      </w:r>
    </w:p>
    <w:p w:rsidR="00AC39F0" w:rsidRPr="00C903F8" w:rsidRDefault="00AC39F0" w:rsidP="00AC39F0">
      <w:pPr>
        <w:pStyle w:val="ESch"/>
        <w:rPr>
          <w:rFonts w:cs="Arial"/>
          <w:szCs w:val="20"/>
        </w:rPr>
      </w:pPr>
      <w:r>
        <w:lastRenderedPageBreak/>
        <w:t xml:space="preserve">7. </w:t>
      </w:r>
      <w:r>
        <w:tab/>
        <w:t>Ogni eventuale modifica significativa dell'impianto di depurazione di bordo che incida sul trattamento delle acque reflue è sempre seguita da un controllo speciale conformemente all'articolo 18.09, paragrafo 3.</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8.</w:t>
      </w:r>
      <w:r>
        <w:tab/>
        <w:t>L’autorità competente può avvalersi di un servizio tecnico per lo svolgimento dei compiti di cui al presente capo.</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 xml:space="preserve">9. </w:t>
      </w:r>
      <w:r>
        <w:tab/>
        <w:t>L'impianto di depurazione di bordo è oggetto di manutenzione periodica in conformità delle indicazioni del costruttore al fine di garantirne costantemente il perfetto funzionamento. A bordo deve essere presente un apposito registro che attesti l’esecuzione degli interventi di manutenzione.</w:t>
      </w:r>
    </w:p>
    <w:p w:rsidR="00AC39F0" w:rsidRPr="00C903F8" w:rsidRDefault="00AC39F0" w:rsidP="00AC39F0">
      <w:pPr>
        <w:pStyle w:val="ESch"/>
        <w:rPr>
          <w:rFonts w:cs="Arial"/>
          <w:szCs w:val="20"/>
        </w:rPr>
      </w:pPr>
    </w:p>
    <w:p w:rsidR="00B33A41" w:rsidRPr="00C903F8" w:rsidRDefault="00B33A41" w:rsidP="00AC39F0">
      <w:pPr>
        <w:pStyle w:val="ESch"/>
        <w:rPr>
          <w:rFonts w:cs="Arial"/>
          <w:szCs w:val="20"/>
        </w:rPr>
      </w:pPr>
    </w:p>
    <w:p w:rsidR="00AC39F0" w:rsidRPr="00C903F8" w:rsidRDefault="00AC39F0" w:rsidP="00AC39F0">
      <w:pPr>
        <w:pStyle w:val="ES-Titre3"/>
        <w:rPr>
          <w:rFonts w:cs="Arial"/>
          <w:i/>
        </w:rPr>
      </w:pPr>
      <w:bookmarkStart w:id="324" w:name="_Toc491854159"/>
      <w:bookmarkStart w:id="325" w:name="_Toc535500108"/>
      <w:r>
        <w:t>Articolo 18.02</w:t>
      </w:r>
      <w:r>
        <w:br/>
      </w:r>
      <w:r>
        <w:rPr>
          <w:i/>
          <w:noProof/>
        </w:rPr>
        <w:t>Domanda di omologazione</w:t>
      </w:r>
      <w:bookmarkEnd w:id="324"/>
      <w:bookmarkEnd w:id="325"/>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1.</w:t>
      </w:r>
      <w:r>
        <w:tab/>
        <w:t>La domanda di omologazione di un tipo di impianto di depurazione di bordo è presentata dal costruttore all'autorità competente. Alla domanda devono essere allegati la documentazione informativa in conformità dell'articolo 18.00, paragrafo 6, e il progetto di registrazione dei parametri dell'impianto di depurazione in conformità dell'articolo 18.00, paragrafo 9, come pure il progetto di guida del costruttore per il controllo dei componenti e dei parametri relativi al trattamento delle acque reflue per il tipo specifico di impianto di depurazione di bordo in conformità dell'articolo 18.00, paragrafo 10. Per la prova del tipo il costruttore utilizza un prototipo dell'impianto di depurazione di bordo.</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2.</w:t>
      </w:r>
      <w:r>
        <w:tab/>
        <w:t>Se, nel caso di una domanda specifica di omologazione di un tipo di impianto di depurazione di bordo, l'autorità competente ritiene che la domanda inoltrata in relazione al prototipo di impianto presentato non sia rappresentativa di tale tipo di impianto di depurazione di bordo, quale descritto nell'allegato 7, sezione II, appendice 1, deve essere fornito per omologazione in conformità del paragrafo 1 un altro, se necessario aggiuntivo, prototipo designato dall'autorità competente.</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3.</w:t>
      </w:r>
      <w:r>
        <w:tab/>
        <w:t>Una domanda di omologazione di un tipo di impianto di depurazione di bordo non può essere presentata a più di un'autorità competente. Per ciascun impianto di depurazione di bordo da omologare deve essere presentata una domanda di omologazione distinta.</w:t>
      </w:r>
    </w:p>
    <w:p w:rsidR="00AC39F0" w:rsidRPr="00C903F8" w:rsidRDefault="00AC39F0" w:rsidP="00AC39F0">
      <w:pPr>
        <w:pStyle w:val="ESch"/>
        <w:rPr>
          <w:rFonts w:cs="Arial"/>
          <w:szCs w:val="20"/>
        </w:rPr>
      </w:pPr>
    </w:p>
    <w:p w:rsidR="00AC39F0" w:rsidRPr="00C903F8" w:rsidRDefault="00AC39F0" w:rsidP="00AC39F0">
      <w:pPr>
        <w:pStyle w:val="ESch"/>
        <w:rPr>
          <w:rFonts w:cs="Arial"/>
          <w:szCs w:val="20"/>
        </w:rPr>
      </w:pPr>
    </w:p>
    <w:p w:rsidR="00AC39F0" w:rsidRPr="00C903F8" w:rsidRDefault="00AC39F0" w:rsidP="00AC39F0">
      <w:pPr>
        <w:pStyle w:val="ES-Titre3"/>
        <w:rPr>
          <w:rFonts w:cs="Arial"/>
          <w:i/>
        </w:rPr>
      </w:pPr>
      <w:bookmarkStart w:id="326" w:name="_Toc491854160"/>
      <w:bookmarkStart w:id="327" w:name="_Toc535500109"/>
      <w:r>
        <w:t>Articolo 18.03</w:t>
      </w:r>
      <w:r>
        <w:br/>
      </w:r>
      <w:r>
        <w:rPr>
          <w:i/>
          <w:noProof/>
        </w:rPr>
        <w:t>Procedura di omologazione</w:t>
      </w:r>
      <w:bookmarkEnd w:id="326"/>
      <w:bookmarkEnd w:id="327"/>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1.</w:t>
      </w:r>
      <w:r>
        <w:tab/>
        <w:t>L’autorità competente a cui è presentata la domanda rilascia l’omologazione per il tipo di impianto di depurazione di bordo che corrisponde alle descrizioni contenute nella documentazione informativa ed è conforme ai requisiti del presente capo. Il rispetto di tali requisiti è valutato in conformità dell'allegato 7, sezione IX.</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2.</w:t>
      </w:r>
      <w:r>
        <w:tab/>
        <w:t>Per ciascun tipo di impianto di depurazione di bordo da essa omologato, l'autorità competente compila tutte le parti pertinenti del certificato di omologazione, il modello del quale figura nell'allegato 7, sezione III, e redige o verifica il contenuto dell'indice del fascicolo informativo. I certificati di omologazione sono numerati conformemente al metodo descritto nell'allegato 7, sezione IV. Il certificato di omologazione completato e i suoi allegati sono consegnati al richiedente.</w:t>
      </w:r>
    </w:p>
    <w:p w:rsidR="00AC39F0" w:rsidRPr="00C903F8" w:rsidRDefault="00AC39F0" w:rsidP="00AC39F0">
      <w:pPr>
        <w:pStyle w:val="ESch"/>
        <w:rPr>
          <w:noProof/>
          <w:szCs w:val="20"/>
        </w:rPr>
      </w:pPr>
    </w:p>
    <w:p w:rsidR="00B33A41" w:rsidRPr="00C903F8" w:rsidRDefault="00B33A41" w:rsidP="00AC39F0">
      <w:pPr>
        <w:pStyle w:val="ESch"/>
        <w:rPr>
          <w:noProof/>
          <w:szCs w:val="20"/>
        </w:rPr>
      </w:pPr>
      <w:r>
        <w:br w:type="page"/>
      </w:r>
    </w:p>
    <w:p w:rsidR="00AC39F0" w:rsidRPr="00C903F8" w:rsidRDefault="00AC39F0" w:rsidP="00AC39F0">
      <w:pPr>
        <w:pStyle w:val="ESch"/>
        <w:rPr>
          <w:rFonts w:cs="Arial"/>
          <w:szCs w:val="20"/>
        </w:rPr>
      </w:pPr>
      <w:r>
        <w:lastRenderedPageBreak/>
        <w:t>3.</w:t>
      </w:r>
      <w:r>
        <w:tab/>
        <w:t>Se l'impianto di depurazione di bordo per il quale è richiesta l'omologazione può svolgere le proprie funzioni o presenta proprietà specifiche soltanto in combinazione con altri componenti dell'imbarcazione sulla quale deve essere montato e se, per questo motivo, la conformità con uno o più requisiti può essere verificata soltanto se l'impianto di depurazione di bordo da omologare funziona in combinazione con altri componenti reali o simulati dell'imbarcazione, la portata dell'omologazione di tale impianto di depurazione di bordo viene limitata di conseguenza. In tali casi tutte le restrizioni d’uso e tutti i requisiti di montaggio sono indicati nel certificato di omologazione di tale tipo di impianto.</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p>
    <w:p w:rsidR="00AC39F0" w:rsidRPr="00C903F8" w:rsidRDefault="00AC39F0" w:rsidP="00AC39F0">
      <w:pPr>
        <w:pStyle w:val="ES-Titre3"/>
        <w:rPr>
          <w:rFonts w:cs="Arial"/>
          <w:i/>
        </w:rPr>
      </w:pPr>
      <w:bookmarkStart w:id="328" w:name="_Toc491854161"/>
      <w:bookmarkStart w:id="329" w:name="_Toc535500110"/>
      <w:r>
        <w:t>Articolo 18.04</w:t>
      </w:r>
      <w:r>
        <w:br/>
      </w:r>
      <w:r>
        <w:rPr>
          <w:i/>
          <w:noProof/>
        </w:rPr>
        <w:t>Modifica delle omologazioni</w:t>
      </w:r>
      <w:bookmarkEnd w:id="328"/>
      <w:bookmarkEnd w:id="329"/>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1.</w:t>
      </w:r>
      <w:r>
        <w:tab/>
        <w:t>L’autorità competente che ha rilasciato l’omologazione adotta le disposizioni necessarie per garantire di essere informata di qualsiasi modifica delle informazioni che figurano nel fascicolo informativo.</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2.</w:t>
      </w:r>
      <w:r>
        <w:tab/>
        <w:t>La domanda di modifica o di estensione di un’omologazione è presentata esclusivamente all’autorità competente che ha rilasciato l’omologazione originaria.</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3.</w:t>
      </w:r>
      <w:r>
        <w:tab/>
        <w:t>In caso di modifica delle caratteristiche dell'impianto di depurazione di bordo, quale descritto nel fascicolo informativo, l'autorità competente:</w:t>
      </w:r>
    </w:p>
    <w:p w:rsidR="00AC39F0" w:rsidRPr="00C903F8" w:rsidRDefault="005C7859" w:rsidP="00AC39F0">
      <w:pPr>
        <w:pStyle w:val="ESlet"/>
        <w:rPr>
          <w:rFonts w:cs="Arial"/>
        </w:rPr>
      </w:pPr>
      <w:r>
        <w:t>a)</w:t>
      </w:r>
      <w:r>
        <w:tab/>
        <w:t>rilascia, se necessario, le pagine modificate del fascicolo informativo, contrassegnando ciascuna pagina modificata in modo che risulti chiaramente la natura della modifica e la data del nuovo rilascio. In occasione di ogni rilascio di pagine modificate, viene modificato di conseguenza anche l’indice del fascicolo informativo allegato al certificato di omologazione;</w:t>
      </w:r>
    </w:p>
    <w:p w:rsidR="00AC39F0" w:rsidRPr="00C903F8" w:rsidRDefault="005C7859" w:rsidP="00AC39F0">
      <w:pPr>
        <w:pStyle w:val="ESlet"/>
        <w:rPr>
          <w:rFonts w:cs="Arial"/>
        </w:rPr>
      </w:pPr>
      <w:r>
        <w:t>b)</w:t>
      </w:r>
      <w:r>
        <w:tab/>
        <w:t>rilascia un certificato di omologazione modificato (contrassegnato da un numero di estensione) ove siano mutati alcuni dati in essa contenuti (esclusi gli allegati) oppure se, dopo la data indicata nell’omologazione originaria, siano mutati i requisiti minimi del presente capo. Il certificato di omologazione rivisto riporta chiaramente il motivo della modifica e la data del nuovo rilascio.</w:t>
      </w:r>
    </w:p>
    <w:p w:rsidR="00AC39F0" w:rsidRPr="00C903F8" w:rsidRDefault="00AC39F0" w:rsidP="00AC39F0">
      <w:pPr>
        <w:pStyle w:val="ESletpar"/>
        <w:rPr>
          <w:rFonts w:cs="Arial"/>
        </w:rPr>
      </w:pPr>
      <w:r>
        <w:t>Qualora l'autorità competente che ha rilasciato l'omologazione ritenga che nuove prove o controlli sono giustificati alla luce delle modifiche apportate al fascicolo informativo, ne dà comunicazione al costruttore e rilascia i documenti sopra specificati soltanto dopo il completamento con esito positivo dei nuovi controlli o prove.</w:t>
      </w:r>
    </w:p>
    <w:p w:rsidR="00AC39F0" w:rsidRPr="00C903F8" w:rsidRDefault="00AC39F0" w:rsidP="00AC39F0">
      <w:pPr>
        <w:pStyle w:val="ESch"/>
        <w:rPr>
          <w:rFonts w:cs="Arial"/>
          <w:szCs w:val="20"/>
        </w:rPr>
      </w:pPr>
    </w:p>
    <w:p w:rsidR="00AC39F0" w:rsidRPr="00C903F8" w:rsidRDefault="00AC39F0" w:rsidP="00AC39F0">
      <w:pPr>
        <w:pStyle w:val="ESch"/>
        <w:rPr>
          <w:rFonts w:cs="Arial"/>
          <w:szCs w:val="20"/>
        </w:rPr>
      </w:pPr>
    </w:p>
    <w:p w:rsidR="00B33A41" w:rsidRPr="00C903F8" w:rsidRDefault="00B33A41" w:rsidP="00AC39F0">
      <w:pPr>
        <w:pStyle w:val="ESch"/>
        <w:rPr>
          <w:rFonts w:cs="Arial"/>
          <w:szCs w:val="20"/>
        </w:rPr>
      </w:pPr>
      <w:r>
        <w:br w:type="page"/>
      </w:r>
    </w:p>
    <w:p w:rsidR="00AC39F0" w:rsidRPr="00C903F8" w:rsidRDefault="00AC39F0" w:rsidP="00AC39F0">
      <w:pPr>
        <w:pStyle w:val="ES-Titre3"/>
        <w:rPr>
          <w:rFonts w:cs="Arial"/>
        </w:rPr>
      </w:pPr>
      <w:bookmarkStart w:id="330" w:name="_Toc491854162"/>
      <w:bookmarkStart w:id="331" w:name="_Toc535500111"/>
      <w:r>
        <w:lastRenderedPageBreak/>
        <w:t>Articolo 18.05</w:t>
      </w:r>
      <w:r>
        <w:br/>
      </w:r>
      <w:r>
        <w:rPr>
          <w:i/>
          <w:noProof/>
        </w:rPr>
        <w:t>Conformità dell'omologazione</w:t>
      </w:r>
      <w:bookmarkEnd w:id="330"/>
      <w:bookmarkEnd w:id="331"/>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1.</w:t>
      </w:r>
      <w:r>
        <w:tab/>
        <w:t>Su ciascun impianto di depurazione di bordo fabbricato in conformità dell'omologazione il costruttore appone i marchi di cui all'allegato 7, sezione I, compreso il numero di omologazione.</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2.</w:t>
      </w:r>
      <w:r>
        <w:tab/>
        <w:t>Qualora l'omologazione preveda limitazioni d'uso in conformità dell'articolo 18.03, paragrafo 3, il costruttore allega a ciascuna unità prodotta informazioni dettagliate su tali limitazioni e tutti i requisiti di montaggio.</w:t>
      </w:r>
    </w:p>
    <w:p w:rsidR="00AC39F0" w:rsidRPr="00C903F8" w:rsidRDefault="00AC39F0" w:rsidP="00AC39F0">
      <w:pPr>
        <w:pStyle w:val="ESch"/>
        <w:rPr>
          <w:noProof/>
        </w:rPr>
      </w:pPr>
    </w:p>
    <w:p w:rsidR="00AC39F0" w:rsidRPr="00C903F8" w:rsidRDefault="00AC39F0" w:rsidP="00AC39F0">
      <w:pPr>
        <w:pStyle w:val="ESch"/>
        <w:rPr>
          <w:rFonts w:cs="Arial"/>
        </w:rPr>
      </w:pPr>
      <w:r>
        <w:t>3.</w:t>
      </w:r>
      <w:r>
        <w:tab/>
        <w:t>Su richiesta dell’autorità competente che ha rilasciato l’omologazione, il fabbricante fornisce un elenco di tutti i numeri di serie di tutti gli impianti di depurazione di bordo fabbricati in conformità dei requisiti del presente capo a partire dall’ultima notifica, o dal momento in cui tali disposizioni sono entrate in vigore per la prima volta, entro 45 giorni dalla fine di ogni anno civile, e immediatamente dopo ciascuna data aggiuntiva specificata dall’autorità competente. L’elenco indica le correlazioni tra i numeri di serie, i corrispondenti tipi di impianti di depurazione di bordo e i numeri di omologazione. L’elenco deve comportare inoltre informazioni particolari sui casi in cui il fabbricante interrompa la produzione di un tipo di impianto di depurazione di bordo omologato. Qualora l’autorità competente non chieda al fabbricante di fornirle regolarmente tale elenco, quest’ultimo è tenuto a conservare i dati registrati per un periodo di almeno 40 anni.</w:t>
      </w:r>
    </w:p>
    <w:p w:rsidR="00AC39F0" w:rsidRPr="00C903F8" w:rsidRDefault="00AC39F0" w:rsidP="00AC39F0">
      <w:pPr>
        <w:pStyle w:val="ESch"/>
      </w:pPr>
    </w:p>
    <w:p w:rsidR="00AC39F0" w:rsidRPr="00C903F8" w:rsidRDefault="00AC39F0" w:rsidP="00AC39F0">
      <w:pPr>
        <w:pStyle w:val="ESch"/>
      </w:pPr>
    </w:p>
    <w:p w:rsidR="00AC39F0" w:rsidRPr="00C903F8" w:rsidRDefault="00AC39F0" w:rsidP="00AC39F0">
      <w:pPr>
        <w:pStyle w:val="ES-Titre3"/>
        <w:rPr>
          <w:rFonts w:cs="Arial"/>
          <w:i/>
        </w:rPr>
      </w:pPr>
      <w:bookmarkStart w:id="332" w:name="_Toc491854163"/>
      <w:bookmarkStart w:id="333" w:name="_Toc535500112"/>
      <w:r>
        <w:t>Articolo 18.06</w:t>
      </w:r>
      <w:r>
        <w:br/>
      </w:r>
      <w:r>
        <w:rPr>
          <w:i/>
          <w:noProof/>
        </w:rPr>
        <w:t>Verifica dei numeri di serie</w:t>
      </w:r>
      <w:bookmarkEnd w:id="332"/>
      <w:bookmarkEnd w:id="333"/>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1.</w:t>
      </w:r>
      <w:r>
        <w:tab/>
        <w:t>L'autorità competente che rilascia un'omologazione garantisce la verifica e la registrazione dei numeri di serie degli impianti di depurazione di bordo fabbricati in conformità dei requisiti del presente capo. A tal fine</w:t>
      </w:r>
      <w:r w:rsidR="00A16690">
        <w:t xml:space="preserve"> </w:t>
      </w:r>
      <w:r>
        <w:t>può collaborare con altre autorità conformemente al presente capo e con le autorità competenti degli Stati membri.</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2.</w:t>
      </w:r>
      <w:r>
        <w:tab/>
        <w:t>Può essere effettuato un controllo supplementare dei numeri di serie in combinazione con il controllo della conformità della produzione rispetto ai requisiti di cui all'articolo 18.07.</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3.</w:t>
      </w:r>
      <w:r>
        <w:tab/>
        <w:t>In relazione al controllo dei numeri di serie, il costruttore o i suoi rappresentanti autorizzati stabiliti negli Stati membri su richiesta dell'autorità competente forniscono sollecitamente a quest'ultima tutte le informazioni necessarie relative ai loro acquirenti diretti come pure i numeri di serie degli impianti di depurazione di bordo notificati come fabbricati in conformità dell'articolo 18.05, paragrafo 3.</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4.</w:t>
      </w:r>
      <w:r>
        <w:tab/>
        <w:t>Qualora un costruttore non sia in grado di conformarsi ai requisiti di cui all'articolo 18.05 dietro richiesta dell'autorità competente, l'omologazione del tipo di impianto di depurazione di bordo in questione può essere revocata. In tale caso si utilizza la procedura di notifica di cui all'articolo 18.08, paragrafo 4.</w:t>
      </w:r>
    </w:p>
    <w:p w:rsidR="00AC39F0" w:rsidRPr="00C903F8" w:rsidRDefault="00AC39F0" w:rsidP="00AC39F0">
      <w:pPr>
        <w:pStyle w:val="ESch"/>
        <w:rPr>
          <w:rFonts w:cs="Arial"/>
          <w:szCs w:val="20"/>
        </w:rPr>
      </w:pPr>
    </w:p>
    <w:p w:rsidR="00CF5E0F" w:rsidRPr="00C903F8" w:rsidRDefault="00CF5E0F">
      <w:pPr>
        <w:autoSpaceDE/>
        <w:autoSpaceDN/>
        <w:ind w:left="0" w:firstLine="0"/>
        <w:jc w:val="left"/>
        <w:rPr>
          <w:rFonts w:cs="Arial"/>
          <w:szCs w:val="20"/>
        </w:rPr>
      </w:pPr>
      <w:r>
        <w:br w:type="page"/>
      </w:r>
    </w:p>
    <w:p w:rsidR="003216FC" w:rsidRPr="00C903F8" w:rsidRDefault="003216FC" w:rsidP="00AC39F0">
      <w:pPr>
        <w:pStyle w:val="ESch"/>
        <w:rPr>
          <w:rFonts w:cs="Arial"/>
          <w:szCs w:val="20"/>
        </w:rPr>
      </w:pPr>
    </w:p>
    <w:p w:rsidR="00AC39F0" w:rsidRPr="00C903F8" w:rsidRDefault="00AC39F0" w:rsidP="00AC39F0">
      <w:pPr>
        <w:pStyle w:val="ES-Titre3"/>
        <w:rPr>
          <w:rFonts w:cs="Arial"/>
          <w:i/>
        </w:rPr>
      </w:pPr>
      <w:bookmarkStart w:id="334" w:name="_Toc491854164"/>
      <w:bookmarkStart w:id="335" w:name="_Toc535500113"/>
      <w:r>
        <w:t>Articolo 18.07</w:t>
      </w:r>
      <w:r>
        <w:br/>
      </w:r>
      <w:r>
        <w:rPr>
          <w:i/>
          <w:noProof/>
        </w:rPr>
        <w:t>Conformità della produzione</w:t>
      </w:r>
      <w:bookmarkEnd w:id="334"/>
      <w:bookmarkEnd w:id="335"/>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1.</w:t>
      </w:r>
      <w:r>
        <w:tab/>
        <w:t>L'autorità competente che rilascia un'omologazione si accerta previamente che siano state adottate disposizioni adeguate per garantire un effettivo controllo della conformità della produzione in relazione ai requisiti dell'allegato 7, sezione I. Nel farlo può collaborare con altre autorità come definite nel presente capo e con le autorità competenti degli Stati membri.</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2.</w:t>
      </w:r>
      <w:r>
        <w:tab/>
        <w:t>L'autorità competente che ha rilasciato un'omologazione si accerta che le disposizioni di cui al paragrafo 1 in relazione ai requisiti di cui all'allegato 7, sezione I, continuino ad essere sufficienti e che ogni impianto di depurazione di bordo munito di numero di omologazione in conformità dei requisiti del presente capo continui a corrispondere alla descrizione che figura nel certificato di omologazione e nei relativi allegati per il tipo di impianto di depurazione di bordo omologato. Nel farlo può collaborare con altre autorità come definite nel presente capo e con le autorità competenti degli Stati membri.</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3.</w:t>
      </w:r>
      <w:r>
        <w:tab/>
        <w:t>L'autorità competente può riconoscere prove comparabili svolte da altre autorità competenti come equivalenti alle disposizioni dei paragrafi 1 e 2.</w:t>
      </w:r>
    </w:p>
    <w:p w:rsidR="00AC39F0" w:rsidRPr="00C903F8" w:rsidRDefault="00AC39F0" w:rsidP="00AC39F0">
      <w:pPr>
        <w:pStyle w:val="ESch"/>
        <w:rPr>
          <w:rFonts w:cs="Arial"/>
          <w:szCs w:val="20"/>
        </w:rPr>
      </w:pPr>
    </w:p>
    <w:p w:rsidR="00AC39F0" w:rsidRPr="00C903F8" w:rsidRDefault="00AC39F0" w:rsidP="00AC39F0">
      <w:pPr>
        <w:pStyle w:val="ESch"/>
        <w:rPr>
          <w:rFonts w:cs="Arial"/>
          <w:szCs w:val="20"/>
        </w:rPr>
      </w:pPr>
    </w:p>
    <w:p w:rsidR="00AC39F0" w:rsidRPr="00C903F8" w:rsidRDefault="00AC39F0" w:rsidP="00AC39F0">
      <w:pPr>
        <w:pStyle w:val="ES-Titre3"/>
        <w:rPr>
          <w:rFonts w:cs="Arial"/>
          <w:i/>
        </w:rPr>
      </w:pPr>
      <w:bookmarkStart w:id="336" w:name="_Toc491854165"/>
      <w:bookmarkStart w:id="337" w:name="_Toc535500114"/>
      <w:r>
        <w:t>Articolo 18.08</w:t>
      </w:r>
      <w:r>
        <w:br/>
      </w:r>
      <w:r>
        <w:rPr>
          <w:i/>
          <w:noProof/>
        </w:rPr>
        <w:t>Non conformità con il tipo omologato di impianto di depurazione di bordo</w:t>
      </w:r>
      <w:bookmarkEnd w:id="336"/>
      <w:bookmarkEnd w:id="337"/>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1.</w:t>
      </w:r>
      <w:r>
        <w:tab/>
        <w:t>Si ritiene che un tipo di impianto di depurazione di bordo sia non conforme quando si discosta dalle caratteristiche riportate nel certificato di omologazione o, se del caso, dal fascicolo informativo senza approvazione, a norma dell'articolo 18.04, paragrafo 3, da parte dell'autorità competente che ha rilasciato l'omologazione.</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2.</w:t>
      </w:r>
      <w:r>
        <w:tab/>
        <w:t>Qualora l’autorità competente che ha rilasciato l’omologazione riscontri che impianti di depurazione di bordo non sono conformi al tipo di impianto di depurazione di bordo per il quale ha rilasciato l’omologazione, essa adotta le misure necessarie per assicurare che gli impianti di depurazione di bordo in produzione siano di nuovo conformi al tipo di impianto di depurazione di bordo omologato. L'autorità competente che rileva la non conformità informa le altre autorità competenti delle misure adottate che possono contemplare finanche la revoca dell'omologazione.</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3.</w:t>
      </w:r>
      <w:r>
        <w:tab/>
        <w:t>Qualora un'autorità competente dimostri che impianti di depurazione di bordo provvisti di numero di omologazione non sono conformi al tipo di impianto di depurazione di bordo omologato, essa può chiedere all'autorità competente che ha rilasciato l'omologazione di far eseguire controlli sul tipo di impianto di depurazione di bordo in produzione per verificarne la conformità con il tipo di impianto di depurazione di bordo omologato. Tale verifica deve essere effettuata entro sei mesi dalla data della richiesta.</w:t>
      </w:r>
    </w:p>
    <w:p w:rsidR="00AC39F0" w:rsidRPr="00C903F8" w:rsidRDefault="00AC39F0" w:rsidP="00AC39F0">
      <w:pPr>
        <w:pStyle w:val="ESch"/>
        <w:rPr>
          <w:rFonts w:cs="Arial"/>
          <w:szCs w:val="20"/>
        </w:rPr>
      </w:pPr>
    </w:p>
    <w:p w:rsidR="00AC39F0" w:rsidRPr="00C903F8" w:rsidRDefault="00AC39F0" w:rsidP="00AC39F0">
      <w:pPr>
        <w:pStyle w:val="ESch"/>
        <w:rPr>
          <w:rFonts w:cs="Arial"/>
          <w:szCs w:val="20"/>
        </w:rPr>
      </w:pPr>
    </w:p>
    <w:p w:rsidR="003216FC" w:rsidRPr="00C903F8" w:rsidRDefault="003216FC" w:rsidP="00AC39F0">
      <w:pPr>
        <w:pStyle w:val="ESch"/>
        <w:rPr>
          <w:rFonts w:cs="Arial"/>
          <w:szCs w:val="20"/>
        </w:rPr>
      </w:pPr>
      <w:r>
        <w:br w:type="page"/>
      </w:r>
    </w:p>
    <w:p w:rsidR="00AC39F0" w:rsidRPr="00C903F8" w:rsidRDefault="00AC39F0" w:rsidP="00AC39F0">
      <w:pPr>
        <w:pStyle w:val="ES-Titre3"/>
        <w:rPr>
          <w:rFonts w:cs="Arial"/>
          <w:i/>
        </w:rPr>
      </w:pPr>
      <w:bookmarkStart w:id="338" w:name="_Toc491854166"/>
      <w:bookmarkStart w:id="339" w:name="_Toc535500115"/>
      <w:r>
        <w:lastRenderedPageBreak/>
        <w:t>Articolo 18.09</w:t>
      </w:r>
      <w:r>
        <w:br/>
      </w:r>
      <w:r>
        <w:rPr>
          <w:i/>
          <w:noProof/>
        </w:rPr>
        <w:t>Misurazione di campioni scelti a caso/Controllo speciale</w:t>
      </w:r>
      <w:bookmarkEnd w:id="338"/>
      <w:bookmarkEnd w:id="339"/>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1.</w:t>
      </w:r>
      <w:r>
        <w:tab/>
        <w:t>Entro e non oltre tre mesi dalla messa in servizio di un'imbarcazione o, in caso di adeguamento dell'impianto di depurazione di bordo, dopo l'installazione di quest'ultimo e l'esecuzione della pertinente prova di funzionamento, l'autorità competente preleva un campione scelto a caso durante le operazioni dell'imbarcazione al fine di verificare i valori di cui alla tabella 2 dell'articolo 18.01, paragrafo 2.</w:t>
      </w:r>
    </w:p>
    <w:p w:rsidR="00AC39F0" w:rsidRPr="00C903F8" w:rsidRDefault="00AC39F0" w:rsidP="00AC39F0">
      <w:pPr>
        <w:pStyle w:val="ESchpar"/>
        <w:rPr>
          <w:noProof/>
        </w:rPr>
      </w:pPr>
    </w:p>
    <w:p w:rsidR="00AC39F0" w:rsidRPr="00C903F8" w:rsidRDefault="00AC39F0" w:rsidP="00AC39F0">
      <w:pPr>
        <w:pStyle w:val="ESchpar"/>
        <w:rPr>
          <w:rFonts w:cs="Arial"/>
        </w:rPr>
      </w:pPr>
      <w:r>
        <w:t>A intervalli non regolari l'autorità competente effettua controlli sul funzionamento dell'impianto di depurazione di bordo mediante misurazioni di campioni scelti a caso al fine di verificare i valori di cui alla tabella 2 dell'articolo 18.01, paragrafo 2.</w:t>
      </w:r>
    </w:p>
    <w:p w:rsidR="00AC39F0" w:rsidRPr="00C903F8" w:rsidRDefault="00AC39F0" w:rsidP="00AC39F0">
      <w:pPr>
        <w:pStyle w:val="ESchpar"/>
        <w:rPr>
          <w:noProof/>
        </w:rPr>
      </w:pPr>
    </w:p>
    <w:p w:rsidR="00AC39F0" w:rsidRPr="00C903F8" w:rsidRDefault="00AC39F0" w:rsidP="00AC39F0">
      <w:pPr>
        <w:pStyle w:val="ESchpar"/>
        <w:rPr>
          <w:rFonts w:cs="Arial"/>
        </w:rPr>
      </w:pPr>
      <w:r>
        <w:t>Qualora l'autorità competente riscontri che i valori emersi dalle misurazioni dei campioni scelti a caso non sono conformi ai valori di cui alla tabella 2 dell'articolo 18.01, paragrafo 1, essa può chiedere che:</w:t>
      </w:r>
    </w:p>
    <w:p w:rsidR="00AC39F0" w:rsidRPr="00C903F8" w:rsidRDefault="005C7859" w:rsidP="00AC39F0">
      <w:pPr>
        <w:pStyle w:val="ESlet"/>
        <w:rPr>
          <w:rFonts w:cs="Arial"/>
        </w:rPr>
      </w:pPr>
      <w:r>
        <w:t xml:space="preserve">a) </w:t>
      </w:r>
      <w:r>
        <w:tab/>
        <w:t>si ponga rimedio alle anomalie riscontrate nell’impianto di depurazione di bordo in modo da garantirne il corretto funzionamento;</w:t>
      </w:r>
    </w:p>
    <w:p w:rsidR="00AC39F0" w:rsidRPr="00C903F8" w:rsidRDefault="005C7859" w:rsidP="00AC39F0">
      <w:pPr>
        <w:pStyle w:val="ESlet"/>
        <w:rPr>
          <w:rFonts w:cs="Arial"/>
        </w:rPr>
      </w:pPr>
      <w:r>
        <w:t xml:space="preserve">b) </w:t>
      </w:r>
      <w:r>
        <w:tab/>
        <w:t>sia ripristinata la conformità dell'impianto di depurazione di bordo con l'omologazione; oppure</w:t>
      </w:r>
    </w:p>
    <w:p w:rsidR="00AC39F0" w:rsidRDefault="005C7859" w:rsidP="00AC39F0">
      <w:pPr>
        <w:pStyle w:val="ESlet"/>
        <w:rPr>
          <w:noProof/>
        </w:rPr>
      </w:pPr>
      <w:r>
        <w:t xml:space="preserve">c) </w:t>
      </w:r>
      <w:r>
        <w:tab/>
        <w:t>sia eseguito un controllo speciale in conformità con il paragrafo 3.</w:t>
      </w:r>
    </w:p>
    <w:p w:rsidR="005714D9" w:rsidRPr="00C903F8" w:rsidRDefault="005714D9" w:rsidP="00AC39F0">
      <w:pPr>
        <w:pStyle w:val="ESlet"/>
        <w:rPr>
          <w:rFonts w:cs="Arial"/>
        </w:rPr>
      </w:pPr>
    </w:p>
    <w:p w:rsidR="00AC39F0" w:rsidRPr="005714D9" w:rsidRDefault="00AC39F0" w:rsidP="005714D9">
      <w:pPr>
        <w:pStyle w:val="ESchpar"/>
        <w:rPr>
          <w:noProof/>
        </w:rPr>
      </w:pPr>
      <w:r>
        <w:t>Una volta risolti i problemi di non conformità e ripristinata la conformità dell’impianto di depurazione di bordo con l’omologazione, l’autorità competente può effettuare nuove misurazioni di campioni scelti a caso.</w:t>
      </w:r>
    </w:p>
    <w:p w:rsidR="00AC39F0" w:rsidRPr="005714D9" w:rsidRDefault="00AC39F0" w:rsidP="005714D9">
      <w:pPr>
        <w:pStyle w:val="ESchpar"/>
        <w:rPr>
          <w:noProof/>
        </w:rPr>
      </w:pPr>
      <w:r>
        <w:t>Se le anomalie non sono risolte o la conformità dell'impianto di depurazione di bordo con l'omologazione non è ripristinata, l'autorità competente appone i sigilli all'impianto di depurazione di bordo e ne informa la commissione di ispezione che inserisce un'annotazione in tal senso nella rubrica 52 del certificato per la navigazione interna.</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2.</w:t>
      </w:r>
      <w:r>
        <w:tab/>
        <w:t>I campioni scelti a caso sono misurati conformemente alle specifiche di cui alla tabella 2 dell'articolo 18.01, paragrafo 2.</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3.</w:t>
      </w:r>
      <w:r>
        <w:tab/>
        <w:t>Qualora l’autorità competente riscontri anomalie nell’impianto di depurazione di bordo indicanti uno scostamento rispetto all’omologazione, essa esegue un controllo speciale per determinare lo stato attuale dell’impianto di depurazione di bordo in relazione ai componenti specificati nella registrazione dei parametri dell’impianto di depurazione di bordo, nonché la calibratura e la regolazione dei parametri di tale impianto.</w:t>
      </w:r>
    </w:p>
    <w:p w:rsidR="00AC39F0" w:rsidRPr="00C903F8" w:rsidRDefault="00AC39F0" w:rsidP="00AC39F0">
      <w:pPr>
        <w:pStyle w:val="ESch"/>
        <w:rPr>
          <w:noProof/>
          <w:szCs w:val="20"/>
        </w:rPr>
      </w:pPr>
    </w:p>
    <w:p w:rsidR="00AC39F0" w:rsidRPr="00C903F8" w:rsidRDefault="00AC39F0" w:rsidP="00AC39F0">
      <w:pPr>
        <w:pStyle w:val="ESchpar"/>
        <w:rPr>
          <w:rFonts w:cs="Arial"/>
        </w:rPr>
      </w:pPr>
      <w:r>
        <w:t>Qualora l’autorità competente giunga alla conclusione che l’impianto di depurazione di bordo non è conforme a quello omologato, essa procede come segue:</w:t>
      </w:r>
    </w:p>
    <w:p w:rsidR="00AC39F0" w:rsidRPr="00C903F8" w:rsidRDefault="005C7859" w:rsidP="00AC39F0">
      <w:pPr>
        <w:pStyle w:val="ESlet"/>
        <w:rPr>
          <w:rFonts w:cs="Arial"/>
        </w:rPr>
      </w:pPr>
      <w:r>
        <w:t>a)</w:t>
      </w:r>
      <w:r>
        <w:tab/>
        <w:t>chiede che:</w:t>
      </w:r>
    </w:p>
    <w:p w:rsidR="00AC39F0" w:rsidRPr="00C903F8" w:rsidRDefault="0029453D" w:rsidP="00AC39F0">
      <w:pPr>
        <w:pStyle w:val="EStiret"/>
        <w:rPr>
          <w:rFonts w:cs="Arial"/>
        </w:rPr>
      </w:pPr>
      <w:r>
        <w:t>aa)</w:t>
      </w:r>
      <w:r>
        <w:tab/>
        <w:t>sia ripristinata la conformità dell'impianto di depurazione di bordo; oppure</w:t>
      </w:r>
    </w:p>
    <w:p w:rsidR="00AC39F0" w:rsidRPr="00C903F8" w:rsidRDefault="0029453D" w:rsidP="00AC39F0">
      <w:pPr>
        <w:pStyle w:val="EStiret"/>
        <w:rPr>
          <w:rFonts w:cs="Arial"/>
        </w:rPr>
      </w:pPr>
      <w:r>
        <w:t>bb)</w:t>
      </w:r>
      <w:r>
        <w:tab/>
        <w:t>l'omologazione a norma dell'articolo 18.04 sia modificata di conseguenza; oppure</w:t>
      </w:r>
    </w:p>
    <w:p w:rsidR="00AC39F0" w:rsidRDefault="005C7859" w:rsidP="00AC39F0">
      <w:pPr>
        <w:pStyle w:val="ESlet"/>
        <w:rPr>
          <w:noProof/>
        </w:rPr>
      </w:pPr>
      <w:r>
        <w:t>b)</w:t>
      </w:r>
      <w:r>
        <w:tab/>
        <w:t>dispone che sia eseguita una misurazione in conformità alla procedura di prova di cui all'allegato 7, sezione IX.</w:t>
      </w:r>
    </w:p>
    <w:p w:rsidR="005714D9" w:rsidRPr="00C903F8" w:rsidRDefault="005714D9" w:rsidP="00AC39F0">
      <w:pPr>
        <w:pStyle w:val="ESlet"/>
        <w:rPr>
          <w:rFonts w:cs="Arial"/>
        </w:rPr>
      </w:pPr>
    </w:p>
    <w:p w:rsidR="00AC39F0" w:rsidRPr="00C903F8" w:rsidRDefault="00AC39F0" w:rsidP="005A6C74">
      <w:pPr>
        <w:pStyle w:val="ESletpar"/>
        <w:ind w:left="567"/>
        <w:rPr>
          <w:rFonts w:cs="Arial"/>
        </w:rPr>
      </w:pPr>
      <w:r>
        <w:t>Se la conformità non è ripristinata o l'omologazione non è modificata di conseguenza o se, dalle misurazioni effettuate in conformità della lettera b), emerge che non sono rispettati i limiti di cui alla tabella 1 dell'articolo 18.01, paragrafo 2, lettera a), l'autorità competente appone i sigilli all'impianto di depurazione di bordo e ne informa la commissione di ispezione che inserisce un'annotazione in tal senso nella rubrica 52 del certificato per la navigazione interna.</w:t>
      </w:r>
    </w:p>
    <w:p w:rsidR="00AC39F0" w:rsidRPr="00C903F8" w:rsidRDefault="00AC39F0" w:rsidP="00AC39F0">
      <w:pPr>
        <w:pStyle w:val="ESch"/>
        <w:rPr>
          <w:noProof/>
          <w:szCs w:val="20"/>
        </w:rPr>
      </w:pPr>
    </w:p>
    <w:p w:rsidR="003216FC" w:rsidRPr="00C903F8" w:rsidRDefault="003216FC" w:rsidP="00AC39F0">
      <w:pPr>
        <w:pStyle w:val="ESch"/>
        <w:rPr>
          <w:noProof/>
          <w:szCs w:val="20"/>
        </w:rPr>
      </w:pPr>
      <w:r>
        <w:br w:type="page"/>
      </w:r>
    </w:p>
    <w:p w:rsidR="00AC39F0" w:rsidRPr="00C903F8" w:rsidRDefault="00AC39F0" w:rsidP="00AC39F0">
      <w:pPr>
        <w:pStyle w:val="ESch"/>
        <w:rPr>
          <w:rFonts w:cs="Arial"/>
          <w:szCs w:val="20"/>
        </w:rPr>
      </w:pPr>
      <w:r>
        <w:lastRenderedPageBreak/>
        <w:t xml:space="preserve">4. </w:t>
      </w:r>
      <w:r>
        <w:tab/>
        <w:t>Le prove di cui al paragrafo 3 sono effettuate sulla base della guida del costruttore per il controllo dei componenti e dei parametri relativi al trattamento delle acque reflue da parte dell'impianto di depurazione di bordo. Tale guida, che deve essere redatta dal costruttore e approvata dall'autorità competente, specifica i componenti che intervengono nel trattamento delle acque reflue come pure le regolazioni, i criteri dimensionali e i parametri da applicare per garantire il rispetto costante dei valori di cui alle tabelle 1 e 2 dell'articolo 18.01, paragrafo 2. La guida deve contenere quantomeno le seguenti informazione:</w:t>
      </w:r>
    </w:p>
    <w:p w:rsidR="00AC39F0" w:rsidRPr="00C903F8" w:rsidRDefault="005C7859" w:rsidP="00AC39F0">
      <w:pPr>
        <w:pStyle w:val="ESlet"/>
        <w:rPr>
          <w:rFonts w:cs="Arial"/>
        </w:rPr>
      </w:pPr>
      <w:r>
        <w:t>a)</w:t>
      </w:r>
      <w:r>
        <w:tab/>
        <w:t>una specifica del tipo di impianto di depurazione di bordo con una descrizione del processo e l'indicazione se sia necessaria l'installazione di serbatoi di stoccaggio delle acque reflue a monte dell'impianto di depurazione di bordo;</w:t>
      </w:r>
    </w:p>
    <w:p w:rsidR="00AC39F0" w:rsidRPr="00C903F8" w:rsidRDefault="005C7859" w:rsidP="00AC39F0">
      <w:pPr>
        <w:pStyle w:val="ESlet"/>
        <w:rPr>
          <w:rFonts w:cs="Arial"/>
        </w:rPr>
      </w:pPr>
      <w:r>
        <w:t>b)</w:t>
      </w:r>
      <w:r>
        <w:tab/>
        <w:t>un elenco dei componenti specifici che intervengono nel trattamento delle acque reflue;</w:t>
      </w:r>
    </w:p>
    <w:p w:rsidR="00AC39F0" w:rsidRPr="00C903F8" w:rsidRDefault="005C7859" w:rsidP="00AC39F0">
      <w:pPr>
        <w:pStyle w:val="ESlet"/>
        <w:rPr>
          <w:rFonts w:cs="Arial"/>
        </w:rPr>
      </w:pPr>
      <w:r>
        <w:t>c)</w:t>
      </w:r>
      <w:r>
        <w:tab/>
        <w:t>i criteri dimensionali e di progettazione, le specifiche e i regolamenti dimensionali applicati;</w:t>
      </w:r>
    </w:p>
    <w:p w:rsidR="00AC39F0" w:rsidRPr="00C903F8" w:rsidRDefault="005C7859" w:rsidP="00AC39F0">
      <w:pPr>
        <w:pStyle w:val="ESlet"/>
        <w:rPr>
          <w:rFonts w:cs="Arial"/>
        </w:rPr>
      </w:pPr>
      <w:r>
        <w:t>d)</w:t>
      </w:r>
      <w:r>
        <w:tab/>
        <w:t>una rappresentazione schematica dell’impianto di depurazione di bordo con le caratteristiche identificative dei componenti omologati che intervengono nel trattamento delle acque reflue (ad esempio numeri delle parti sui componenti).</w:t>
      </w:r>
    </w:p>
    <w:p w:rsidR="00AC39F0" w:rsidRPr="00C903F8" w:rsidRDefault="00AC39F0" w:rsidP="00AC39F0">
      <w:pPr>
        <w:pStyle w:val="ESch"/>
        <w:rPr>
          <w:noProof/>
          <w:szCs w:val="20"/>
        </w:rPr>
      </w:pPr>
    </w:p>
    <w:p w:rsidR="00AC39F0" w:rsidRPr="00C903F8" w:rsidRDefault="00AC39F0" w:rsidP="00AC39F0">
      <w:pPr>
        <w:pStyle w:val="ESch"/>
        <w:rPr>
          <w:rFonts w:cs="Arial"/>
          <w:szCs w:val="20"/>
        </w:rPr>
      </w:pPr>
      <w:r>
        <w:t>5.</w:t>
      </w:r>
      <w:r>
        <w:tab/>
        <w:t>Un impianto di depurazione di bordo che è stato sigillato conformemente al paragrafo 3, terza frase, può essere rimesso in servizio solo dopo l'esecuzione di un controllo speciale a norma del paragrafo 3, primo comma.</w:t>
      </w:r>
    </w:p>
    <w:p w:rsidR="00AC39F0" w:rsidRPr="00C903F8" w:rsidRDefault="00AC39F0" w:rsidP="00AC39F0">
      <w:pPr>
        <w:pStyle w:val="ESch"/>
        <w:rPr>
          <w:rFonts w:cs="Arial"/>
          <w:szCs w:val="20"/>
        </w:rPr>
      </w:pPr>
    </w:p>
    <w:p w:rsidR="00AC39F0" w:rsidRPr="00C903F8" w:rsidRDefault="00AC39F0" w:rsidP="00AC39F0">
      <w:pPr>
        <w:pStyle w:val="ESch"/>
        <w:rPr>
          <w:rFonts w:cs="Arial"/>
          <w:szCs w:val="20"/>
        </w:rPr>
      </w:pPr>
    </w:p>
    <w:p w:rsidR="00AC39F0" w:rsidRPr="00C903F8" w:rsidRDefault="00AC39F0" w:rsidP="00AC39F0">
      <w:pPr>
        <w:pStyle w:val="ES-Titre3"/>
        <w:rPr>
          <w:rFonts w:cs="Arial"/>
          <w:i/>
        </w:rPr>
      </w:pPr>
      <w:bookmarkStart w:id="340" w:name="_Toc491854167"/>
      <w:bookmarkStart w:id="341" w:name="_Toc535500116"/>
      <w:r>
        <w:t>Articolo 18.10</w:t>
      </w:r>
      <w:r>
        <w:br/>
      </w:r>
      <w:r>
        <w:rPr>
          <w:i/>
          <w:noProof/>
        </w:rPr>
        <w:t>Autorità competenti e servizi tecnici</w:t>
      </w:r>
      <w:bookmarkEnd w:id="340"/>
      <w:bookmarkEnd w:id="341"/>
    </w:p>
    <w:p w:rsidR="00AC39F0" w:rsidRPr="00C903F8" w:rsidRDefault="00AC39F0" w:rsidP="00AC39F0">
      <w:pPr>
        <w:pStyle w:val="ESgauche"/>
      </w:pPr>
    </w:p>
    <w:p w:rsidR="00AC39F0" w:rsidRPr="00C903F8" w:rsidRDefault="00072882" w:rsidP="00AC39F0">
      <w:pPr>
        <w:pStyle w:val="ESgauche"/>
        <w:rPr>
          <w:rFonts w:cs="Arial"/>
        </w:rPr>
      </w:pPr>
      <w:r>
        <w:t>I servizi tecnici devono essere conformi alla norma europea</w:t>
      </w:r>
      <w:r>
        <w:rPr>
          <w:rFonts w:ascii="ArialMT" w:hAnsi="ArialMT"/>
        </w:rPr>
        <w:t xml:space="preserve"> EN ISO/IEC 17025:2005, tenuto conto delle seguenti condizioni</w:t>
      </w:r>
      <w:r>
        <w:t>:</w:t>
      </w:r>
    </w:p>
    <w:p w:rsidR="00AC39F0" w:rsidRPr="00C903F8" w:rsidRDefault="005C7859" w:rsidP="00AC39F0">
      <w:pPr>
        <w:pStyle w:val="ESletgauche"/>
        <w:rPr>
          <w:rFonts w:cs="Arial"/>
        </w:rPr>
      </w:pPr>
      <w:r>
        <w:t>a)</w:t>
      </w:r>
      <w:r>
        <w:tab/>
        <w:t>i fabbricanti di impianti di depurazione di bordo non possono essere riconosciuti come servizi tecnici;</w:t>
      </w:r>
    </w:p>
    <w:p w:rsidR="00AC39F0" w:rsidRPr="00C903F8" w:rsidRDefault="005C7859" w:rsidP="00AC39F0">
      <w:pPr>
        <w:pStyle w:val="ESletgauche"/>
        <w:rPr>
          <w:rFonts w:cs="Arial"/>
        </w:rPr>
      </w:pPr>
      <w:r>
        <w:t>b)</w:t>
      </w:r>
      <w:r>
        <w:tab/>
        <w:t>ai fini del presente capo, un servizio tecnico può, con l’accordo dell’autorità competente, utilizzare strutture che si trovano al di fuori del proprio laboratorio.</w:t>
      </w:r>
    </w:p>
    <w:p w:rsidR="00AC39F0" w:rsidRPr="00C903F8" w:rsidRDefault="00AC39F0" w:rsidP="00AC39F0">
      <w:pPr>
        <w:pStyle w:val="ESch"/>
        <w:rPr>
          <w:rFonts w:cs="Arial"/>
          <w:szCs w:val="20"/>
        </w:rPr>
      </w:pPr>
    </w:p>
    <w:p w:rsidR="00AC39F0" w:rsidRPr="00C903F8" w:rsidRDefault="00AC39F0" w:rsidP="00AC39F0">
      <w:pPr>
        <w:pStyle w:val="ESch"/>
        <w:rPr>
          <w:rFonts w:cs="Arial"/>
          <w:szCs w:val="20"/>
        </w:rPr>
      </w:pPr>
    </w:p>
    <w:p w:rsidR="00973DAA" w:rsidRPr="00C903F8" w:rsidRDefault="00973DAA" w:rsidP="005662C0">
      <w:pPr>
        <w:pStyle w:val="ESch"/>
      </w:pPr>
    </w:p>
    <w:p w:rsidR="00A2046F" w:rsidRPr="00C903F8" w:rsidRDefault="00A2046F" w:rsidP="005662C0">
      <w:pPr>
        <w:pStyle w:val="ESch"/>
      </w:pPr>
    </w:p>
    <w:p w:rsidR="00A2046F" w:rsidRDefault="00A2046F" w:rsidP="005662C0">
      <w:pPr>
        <w:pStyle w:val="ESch"/>
      </w:pPr>
      <w:r>
        <w:br w:type="page"/>
      </w:r>
    </w:p>
    <w:p w:rsidR="00FD5887" w:rsidRDefault="00FD5887" w:rsidP="005662C0">
      <w:pPr>
        <w:pStyle w:val="ESch"/>
      </w:pPr>
    </w:p>
    <w:p w:rsidR="00FD5887" w:rsidRDefault="00FD5887" w:rsidP="005662C0">
      <w:pPr>
        <w:pStyle w:val="ESch"/>
      </w:pPr>
    </w:p>
    <w:p w:rsidR="00FD5887" w:rsidRPr="00C903F8" w:rsidRDefault="00FD5887" w:rsidP="005662C0">
      <w:pPr>
        <w:pStyle w:val="ESch"/>
      </w:pPr>
    </w:p>
    <w:p w:rsidR="00FD5887" w:rsidRDefault="00FD5887" w:rsidP="005662C0">
      <w:pPr>
        <w:pStyle w:val="ESch"/>
        <w:sectPr w:rsidR="00FD5887" w:rsidSect="00AC5CC1">
          <w:footnotePr>
            <w:numRestart w:val="eachPage"/>
          </w:footnotePr>
          <w:pgSz w:w="11906" w:h="16838" w:code="9"/>
          <w:pgMar w:top="1418" w:right="1418" w:bottom="1418" w:left="1418" w:header="709" w:footer="709" w:gutter="0"/>
          <w:cols w:space="709"/>
          <w:titlePg/>
          <w:docGrid w:linePitch="272"/>
        </w:sectPr>
      </w:pPr>
    </w:p>
    <w:p w:rsidR="00A2046F" w:rsidRPr="00C903F8" w:rsidRDefault="00A2046F" w:rsidP="005662C0">
      <w:pPr>
        <w:pStyle w:val="ESch"/>
      </w:pPr>
    </w:p>
    <w:p w:rsidR="00A2046F" w:rsidRPr="00C903F8" w:rsidRDefault="00A2046F" w:rsidP="00A2046F">
      <w:pPr>
        <w:pStyle w:val="ES-Titre1"/>
      </w:pPr>
      <w:bookmarkStart w:id="342" w:name="_Toc491854168"/>
      <w:bookmarkStart w:id="343" w:name="_Toc535500117"/>
      <w:r>
        <w:t>PARTE III</w:t>
      </w:r>
      <w:r>
        <w:br/>
        <w:t>DISPOSIZIONI PARTICOLARI</w:t>
      </w:r>
      <w:bookmarkEnd w:id="342"/>
      <w:bookmarkEnd w:id="343"/>
    </w:p>
    <w:p w:rsidR="00A2046F" w:rsidRPr="00C903F8" w:rsidRDefault="00A2046F" w:rsidP="00A2046F"/>
    <w:p w:rsidR="00973DAA" w:rsidRPr="00C903F8" w:rsidRDefault="00973DAA" w:rsidP="00A2046F">
      <w:pPr>
        <w:pStyle w:val="ES-Titre2"/>
        <w:pageBreakBefore w:val="0"/>
        <w:rPr>
          <w:szCs w:val="24"/>
        </w:rPr>
      </w:pPr>
      <w:bookmarkStart w:id="344" w:name="_Toc491854169"/>
      <w:bookmarkStart w:id="345" w:name="_Toc535500118"/>
      <w:r>
        <w:t>Capo 19</w:t>
      </w:r>
      <w:r>
        <w:br/>
      </w:r>
      <w:r>
        <w:rPr>
          <w:noProof/>
          <w:sz w:val="22"/>
        </w:rPr>
        <w:t>Disposizioni particolari per le navi da passeggeri</w:t>
      </w:r>
      <w:bookmarkEnd w:id="344"/>
      <w:bookmarkEnd w:id="345"/>
    </w:p>
    <w:p w:rsidR="00973DAA" w:rsidRPr="00C903F8" w:rsidRDefault="00973DAA" w:rsidP="00973DAA"/>
    <w:p w:rsidR="00973DAA" w:rsidRPr="00C903F8" w:rsidRDefault="00973DAA" w:rsidP="00973DAA">
      <w:pPr>
        <w:pStyle w:val="ES-Titre3"/>
      </w:pPr>
      <w:bookmarkStart w:id="346" w:name="_Toc491854170"/>
      <w:bookmarkStart w:id="347" w:name="_Toc535500119"/>
      <w:r>
        <w:t>Articolo 19.01</w:t>
      </w:r>
      <w:r>
        <w:br/>
      </w:r>
      <w:r>
        <w:rPr>
          <w:i/>
          <w:noProof/>
        </w:rPr>
        <w:t>Disposizioni generali</w:t>
      </w:r>
      <w:bookmarkEnd w:id="346"/>
      <w:bookmarkEnd w:id="347"/>
    </w:p>
    <w:p w:rsidR="00973DAA" w:rsidRPr="00C903F8" w:rsidRDefault="00973DAA" w:rsidP="00973DAA">
      <w:pPr>
        <w:pStyle w:val="ESch"/>
        <w:rPr>
          <w:noProof/>
        </w:rPr>
      </w:pPr>
    </w:p>
    <w:p w:rsidR="00973DAA" w:rsidRPr="00C903F8" w:rsidRDefault="00973DAA" w:rsidP="00973DAA">
      <w:pPr>
        <w:pStyle w:val="ESch"/>
        <w:rPr>
          <w:rFonts w:eastAsia="Calibri" w:cs="Arial"/>
          <w:szCs w:val="18"/>
        </w:rPr>
      </w:pPr>
      <w:r>
        <w:t>1.</w:t>
      </w:r>
      <w:r>
        <w:tab/>
        <w:t>Non si applicano le seguenti disposizioni:</w:t>
      </w:r>
    </w:p>
    <w:p w:rsidR="00973DAA" w:rsidRPr="00C903F8" w:rsidRDefault="005C7859" w:rsidP="00973DAA">
      <w:pPr>
        <w:pStyle w:val="ESlet"/>
        <w:rPr>
          <w:rFonts w:eastAsia="Calibri" w:cs="Arial"/>
          <w:szCs w:val="18"/>
        </w:rPr>
      </w:pPr>
      <w:r>
        <w:t>a)</w:t>
      </w:r>
      <w:r>
        <w:tab/>
        <w:t>l'articolo 3.02, paragrafo 1, lettera b);</w:t>
      </w:r>
    </w:p>
    <w:p w:rsidR="00973DAA" w:rsidRPr="00C903F8" w:rsidRDefault="005C7859" w:rsidP="00973DAA">
      <w:pPr>
        <w:pStyle w:val="ESlet"/>
        <w:rPr>
          <w:rFonts w:eastAsia="Calibri" w:cs="Arial"/>
          <w:szCs w:val="18"/>
        </w:rPr>
      </w:pPr>
      <w:r>
        <w:t>b)</w:t>
      </w:r>
      <w:r>
        <w:tab/>
        <w:t>gli articoli da 4.01 a 4.03;</w:t>
      </w:r>
    </w:p>
    <w:p w:rsidR="00973DAA" w:rsidRPr="00C903F8" w:rsidRDefault="005C7859" w:rsidP="00973DAA">
      <w:pPr>
        <w:pStyle w:val="ESlet"/>
        <w:rPr>
          <w:rFonts w:eastAsia="Calibri" w:cs="Arial"/>
          <w:szCs w:val="18"/>
        </w:rPr>
      </w:pPr>
      <w:r>
        <w:t>c)</w:t>
      </w:r>
      <w:r>
        <w:tab/>
        <w:t>l'articolo 8.08, paragrafo 2, seconda frase, e paragrafo 7;</w:t>
      </w:r>
    </w:p>
    <w:p w:rsidR="00973DAA" w:rsidRPr="00C903F8" w:rsidRDefault="005C7859" w:rsidP="00973DAA">
      <w:pPr>
        <w:pStyle w:val="ESlet"/>
        <w:rPr>
          <w:rFonts w:eastAsia="Calibri" w:cs="Arial"/>
          <w:szCs w:val="18"/>
        </w:rPr>
      </w:pPr>
      <w:r>
        <w:t>d)</w:t>
      </w:r>
      <w:r>
        <w:tab/>
        <w:t>l'articolo 10.14, paragrafo 3, seconda frase per tensioni nominali superiori a 50 V.</w:t>
      </w:r>
    </w:p>
    <w:p w:rsidR="00973DAA" w:rsidRPr="00C903F8" w:rsidRDefault="00973DAA" w:rsidP="00973DAA">
      <w:pPr>
        <w:pStyle w:val="ESch"/>
        <w:rPr>
          <w:rFonts w:eastAsia="Calibri"/>
          <w:noProof/>
        </w:rPr>
      </w:pPr>
    </w:p>
    <w:p w:rsidR="00973DAA" w:rsidRPr="00C903F8" w:rsidRDefault="00973DAA" w:rsidP="00973DAA">
      <w:pPr>
        <w:pStyle w:val="ESch"/>
        <w:rPr>
          <w:rFonts w:eastAsia="Calibri" w:cs="Arial"/>
          <w:szCs w:val="18"/>
        </w:rPr>
      </w:pPr>
      <w:r>
        <w:t>2.</w:t>
      </w:r>
      <w:r>
        <w:tab/>
        <w:t>Sulle navi da passeggeri sono proibite le seguenti apparecchiature:</w:t>
      </w:r>
    </w:p>
    <w:p w:rsidR="00973DAA" w:rsidRPr="00C903F8" w:rsidRDefault="005C7859" w:rsidP="00973DAA">
      <w:pPr>
        <w:pStyle w:val="ESlet"/>
        <w:rPr>
          <w:rFonts w:eastAsia="Calibri"/>
          <w:noProof/>
        </w:rPr>
      </w:pPr>
      <w:r>
        <w:t>a)</w:t>
      </w:r>
      <w:r>
        <w:tab/>
        <w:t>lampade a combustibile gassoso o liquido conformemente all'articolo 15.07, paragrafo 3, seconda frase;</w:t>
      </w:r>
    </w:p>
    <w:p w:rsidR="00973DAA" w:rsidRPr="00C903F8" w:rsidRDefault="005C7859" w:rsidP="00973DAA">
      <w:pPr>
        <w:pStyle w:val="ESlet"/>
        <w:rPr>
          <w:rFonts w:eastAsia="Calibri"/>
          <w:noProof/>
        </w:rPr>
      </w:pPr>
      <w:r>
        <w:t>b)</w:t>
      </w:r>
      <w:r>
        <w:tab/>
        <w:t>apparecchi a miccia conformemente all'articolo 16.02, paragrafi 2 e 3; e</w:t>
      </w:r>
    </w:p>
    <w:p w:rsidR="00973DAA" w:rsidRPr="00C903F8" w:rsidRDefault="005C7859" w:rsidP="00973DAA">
      <w:pPr>
        <w:pStyle w:val="ESlet"/>
        <w:rPr>
          <w:rFonts w:eastAsia="Calibri" w:cs="Arial"/>
          <w:szCs w:val="18"/>
        </w:rPr>
      </w:pPr>
      <w:r>
        <w:t>c)</w:t>
      </w:r>
      <w:r>
        <w:tab/>
        <w:t>caldaie a olio combustibile con bruciatore a vaporizzatore conformemente all'articolo 16.04;</w:t>
      </w:r>
    </w:p>
    <w:p w:rsidR="00973DAA" w:rsidRPr="00C903F8" w:rsidRDefault="005C7859" w:rsidP="00973DAA">
      <w:pPr>
        <w:pStyle w:val="ESlet"/>
        <w:rPr>
          <w:rFonts w:eastAsia="Calibri" w:cs="Arial"/>
          <w:szCs w:val="18"/>
        </w:rPr>
      </w:pPr>
      <w:r>
        <w:t>d)</w:t>
      </w:r>
      <w:r>
        <w:tab/>
        <w:t>impianti di riscaldamento a combustibile solido e caldaie conformemente all'articolo 16.07;</w:t>
      </w:r>
    </w:p>
    <w:p w:rsidR="00973DAA" w:rsidRPr="00C903F8" w:rsidRDefault="0029453D" w:rsidP="00973DAA">
      <w:pPr>
        <w:pStyle w:val="ESlet"/>
        <w:rPr>
          <w:rFonts w:eastAsia="Calibri" w:cs="Arial"/>
          <w:szCs w:val="18"/>
        </w:rPr>
      </w:pPr>
      <w:r>
        <w:t>e)</w:t>
      </w:r>
      <w:r>
        <w:tab/>
        <w:t>apparecchi a gas liquefatto conformemente al capo 17.</w:t>
      </w:r>
    </w:p>
    <w:p w:rsidR="00973DAA" w:rsidRPr="00C903F8" w:rsidRDefault="00973DAA" w:rsidP="00973DAA">
      <w:pPr>
        <w:pStyle w:val="ESch"/>
        <w:rPr>
          <w:rFonts w:eastAsia="Calibri"/>
          <w:noProof/>
        </w:rPr>
      </w:pPr>
    </w:p>
    <w:p w:rsidR="00973DAA" w:rsidRPr="00C903F8" w:rsidRDefault="00973DAA" w:rsidP="00973DAA">
      <w:pPr>
        <w:pStyle w:val="ESch"/>
        <w:rPr>
          <w:rFonts w:eastAsia="Calibri"/>
          <w:noProof/>
        </w:rPr>
      </w:pPr>
      <w:r>
        <w:t>3.</w:t>
      </w:r>
      <w:r>
        <w:tab/>
        <w:t>Le navi che non sono dotate di mezzi di propulsione propri non possono essere autorizzate al trasporto di passeggeri.</w:t>
      </w:r>
    </w:p>
    <w:p w:rsidR="00573261" w:rsidRPr="00C903F8" w:rsidRDefault="00573261" w:rsidP="00973DAA">
      <w:pPr>
        <w:pStyle w:val="ESch"/>
        <w:rPr>
          <w:rFonts w:eastAsia="Calibri"/>
          <w:noProof/>
        </w:rPr>
      </w:pPr>
    </w:p>
    <w:p w:rsidR="00573261" w:rsidRPr="00C903F8" w:rsidRDefault="00573261" w:rsidP="00973DAA">
      <w:pPr>
        <w:pStyle w:val="ESch"/>
        <w:rPr>
          <w:rFonts w:eastAsia="Calibri" w:cs="Arial"/>
          <w:szCs w:val="18"/>
        </w:rPr>
      </w:pPr>
      <w:r>
        <w:t>4.</w:t>
      </w:r>
      <w:r>
        <w:tab/>
        <w:t>Sulle navi da passeggeri sono previste aree ad uso delle persone a mobilità ridotta, ai sensi delle disposizioni del presente capo.</w:t>
      </w:r>
    </w:p>
    <w:p w:rsidR="00973DAA" w:rsidRPr="00C903F8" w:rsidRDefault="00973DAA" w:rsidP="00973DAA">
      <w:pPr>
        <w:pStyle w:val="ESch"/>
        <w:rPr>
          <w:rFonts w:eastAsia="Calibri"/>
          <w:szCs w:val="18"/>
        </w:rPr>
      </w:pPr>
    </w:p>
    <w:p w:rsidR="00973DAA" w:rsidRPr="00C903F8" w:rsidRDefault="00573261" w:rsidP="00973DAA">
      <w:pPr>
        <w:pStyle w:val="ESch"/>
        <w:rPr>
          <w:rFonts w:eastAsia="Calibri"/>
          <w:szCs w:val="18"/>
        </w:rPr>
      </w:pPr>
      <w:r>
        <w:t>5.</w:t>
      </w:r>
      <w:r>
        <w:tab/>
        <w:t>In deroga all'articolo 7.02, paragrafo 2, prima frase, per il timoniere, la zona di non visibilità a prua della nave scarica, con metà dei rifornimenti, ma senza zavorra, non supera due lunghezze di nave o 250 m, a seconda di quale sia minore.</w:t>
      </w:r>
    </w:p>
    <w:p w:rsidR="00973DAA" w:rsidRPr="00C903F8" w:rsidRDefault="00973DAA" w:rsidP="00973DAA">
      <w:pPr>
        <w:pStyle w:val="ESch"/>
        <w:rPr>
          <w:rFonts w:eastAsia="Calibri" w:cs="Arial"/>
          <w:szCs w:val="18"/>
        </w:rPr>
      </w:pPr>
    </w:p>
    <w:p w:rsidR="00973DAA" w:rsidRPr="00C903F8" w:rsidRDefault="00573261" w:rsidP="00973DAA">
      <w:pPr>
        <w:pStyle w:val="ESch"/>
        <w:rPr>
          <w:rFonts w:eastAsia="Calibri"/>
          <w:szCs w:val="18"/>
        </w:rPr>
      </w:pPr>
      <w:r>
        <w:t>6.</w:t>
      </w:r>
      <w:r>
        <w:tab/>
        <w:t>In deroga all'articolo 7.02, paragrafo 3, terzo comma, una nave da passeggeri è dotata di adeguati mezzi ausiliari quando non è disponibile una visuale sufficientemente libera verso poppa. Se tali mezzi ausiliari non consentono una visuale libera di notte, è necessario annotare una restrizione corrispondente nella rubrica 52 del certificato per la navigazione interna.</w:t>
      </w:r>
    </w:p>
    <w:p w:rsidR="00973DAA" w:rsidRPr="00C903F8" w:rsidRDefault="00973DAA" w:rsidP="00973DAA">
      <w:pPr>
        <w:pStyle w:val="ESch"/>
        <w:rPr>
          <w:rFonts w:eastAsia="Calibri"/>
          <w:szCs w:val="18"/>
        </w:rPr>
      </w:pPr>
    </w:p>
    <w:p w:rsidR="00973DAA" w:rsidRPr="00C903F8" w:rsidRDefault="00973DAA" w:rsidP="00973DAA">
      <w:pPr>
        <w:pStyle w:val="ESch"/>
        <w:rPr>
          <w:rFonts w:eastAsia="Calibri"/>
          <w:szCs w:val="18"/>
        </w:rPr>
      </w:pPr>
    </w:p>
    <w:p w:rsidR="00973DAA" w:rsidRPr="00C903F8" w:rsidRDefault="00973DAA" w:rsidP="00973DAA">
      <w:pPr>
        <w:pStyle w:val="ES-Titre3"/>
        <w:rPr>
          <w:rFonts w:cs="Arial"/>
          <w:i/>
          <w:szCs w:val="18"/>
        </w:rPr>
      </w:pPr>
      <w:bookmarkStart w:id="348" w:name="_Toc491854171"/>
      <w:bookmarkStart w:id="349" w:name="_Toc535500120"/>
      <w:r>
        <w:t>Articolo 19.02</w:t>
      </w:r>
      <w:r>
        <w:br/>
      </w:r>
      <w:r>
        <w:rPr>
          <w:i/>
          <w:noProof/>
        </w:rPr>
        <w:t>Scafo</w:t>
      </w:r>
      <w:bookmarkEnd w:id="348"/>
      <w:bookmarkEnd w:id="349"/>
    </w:p>
    <w:p w:rsidR="00973DAA" w:rsidRPr="00C903F8" w:rsidRDefault="00973DAA" w:rsidP="00973DAA">
      <w:pPr>
        <w:pStyle w:val="ESch"/>
        <w:rPr>
          <w:rFonts w:eastAsia="Calibri"/>
          <w:noProof/>
        </w:rPr>
      </w:pPr>
    </w:p>
    <w:p w:rsidR="00973DAA" w:rsidRPr="00C903F8" w:rsidRDefault="00973DAA" w:rsidP="00973DAA">
      <w:pPr>
        <w:pStyle w:val="ESch"/>
        <w:rPr>
          <w:rFonts w:eastAsia="Calibri" w:cs="Arial"/>
          <w:szCs w:val="18"/>
        </w:rPr>
      </w:pPr>
      <w:r>
        <w:t xml:space="preserve">1 </w:t>
      </w:r>
      <w:r>
        <w:tab/>
        <w:t>Nel corso delle ispezioni periodiche lo spessore del fasciame esterno delle navi da passeggeri in acciaio è determinato come segue.</w:t>
      </w:r>
    </w:p>
    <w:p w:rsidR="00973DAA" w:rsidRPr="00C903F8" w:rsidRDefault="005C7859" w:rsidP="00577ECC">
      <w:pPr>
        <w:pStyle w:val="ESlet"/>
        <w:rPr>
          <w:rFonts w:eastAsia="Calibri"/>
          <w:noProof/>
        </w:rPr>
      </w:pPr>
      <w:r>
        <w:t>a)</w:t>
      </w:r>
      <w:r>
        <w:tab/>
        <w:t xml:space="preserve">Lo spessore minimo </w:t>
      </w:r>
      <m:oMath>
        <m:sSub>
          <m:sSubPr>
            <m:ctrlPr>
              <w:rPr>
                <w:rFonts w:ascii="Cambria Math" w:eastAsia="Calibri" w:hAnsi="Cambria Math"/>
                <w:i/>
                <w:noProof/>
              </w:rPr>
            </m:ctrlPr>
          </m:sSubPr>
          <m:e>
            <m:r>
              <w:rPr>
                <w:rFonts w:ascii="Cambria Math" w:eastAsia="Calibri" w:hAnsi="Cambria Math"/>
                <w:noProof/>
              </w:rPr>
              <m:t>t</m:t>
            </m:r>
          </m:e>
          <m:sub>
            <m:r>
              <w:rPr>
                <w:rFonts w:ascii="Cambria Math" w:eastAsia="Calibri" w:hAnsi="Cambria Math"/>
                <w:noProof/>
              </w:rPr>
              <m:t>min</m:t>
            </m:r>
          </m:sub>
        </m:sSub>
      </m:oMath>
      <w:r>
        <w:t>del fasciame del fondo, della sentina e delle fiancate dello scafo esterno delle navi da passeggeri è determinato in base al valore più elevato ottenuto dalle formule seguenti:</w:t>
      </w:r>
    </w:p>
    <w:p w:rsidR="00661999" w:rsidRPr="00C903F8" w:rsidRDefault="00624017" w:rsidP="00661999">
      <w:pPr>
        <w:pStyle w:val="ESlet"/>
        <w:ind w:firstLine="1"/>
        <w:rPr>
          <w:rFonts w:eastAsia="Calibri" w:cs="Arial"/>
          <w:szCs w:val="18"/>
        </w:rPr>
      </w:pPr>
      <m:oMathPara>
        <m:oMathParaPr>
          <m:jc m:val="left"/>
        </m:oMathParaPr>
        <m:oMath>
          <m:sSub>
            <m:sSubPr>
              <m:ctrlPr>
                <w:rPr>
                  <w:rFonts w:ascii="Cambria Math" w:eastAsia="Calibri" w:hAnsi="Cambria Math" w:cs="Arial"/>
                  <w:i/>
                  <w:szCs w:val="18"/>
                </w:rPr>
              </m:ctrlPr>
            </m:sSubPr>
            <m:e>
              <m:r>
                <w:rPr>
                  <w:rFonts w:ascii="Cambria Math" w:eastAsia="Calibri" w:hAnsi="Cambria Math" w:cs="Arial"/>
                  <w:szCs w:val="18"/>
                </w:rPr>
                <m:t>t</m:t>
              </m:r>
            </m:e>
            <m:sub>
              <m:sSub>
                <m:sSubPr>
                  <m:ctrlPr>
                    <w:rPr>
                      <w:rFonts w:ascii="Cambria Math" w:eastAsia="Calibri" w:hAnsi="Cambria Math" w:cs="Arial"/>
                      <w:i/>
                      <w:szCs w:val="18"/>
                    </w:rPr>
                  </m:ctrlPr>
                </m:sSubPr>
                <m:e>
                  <m:r>
                    <w:rPr>
                      <w:rFonts w:ascii="Cambria Math" w:eastAsia="Calibri" w:hAnsi="Cambria Math" w:cs="Arial"/>
                      <w:szCs w:val="18"/>
                    </w:rPr>
                    <m:t>1</m:t>
                  </m:r>
                </m:e>
                <m:sub>
                  <m:r>
                    <w:rPr>
                      <w:rFonts w:ascii="Cambria Math" w:eastAsia="Calibri" w:hAnsi="Cambria Math" w:cs="Arial"/>
                      <w:szCs w:val="18"/>
                    </w:rPr>
                    <m:t>min</m:t>
                  </m:r>
                </m:sub>
              </m:sSub>
              <m:r>
                <w:rPr>
                  <w:rFonts w:ascii="Cambria Math" w:eastAsia="Calibri" w:hAnsi="Cambria Math" w:cs="Arial"/>
                  <w:szCs w:val="18"/>
                </w:rPr>
                <m:t xml:space="preserve"> </m:t>
              </m:r>
            </m:sub>
          </m:sSub>
          <m:r>
            <w:rPr>
              <w:rFonts w:ascii="Cambria Math" w:eastAsia="Calibri" w:hAnsi="Cambria Math" w:cs="Arial"/>
              <w:szCs w:val="18"/>
            </w:rPr>
            <m:t xml:space="preserve">= 0,006 ∙a ∙ </m:t>
          </m:r>
          <m:rad>
            <m:radPr>
              <m:degHide m:val="1"/>
              <m:ctrlPr>
                <w:rPr>
                  <w:rFonts w:ascii="Cambria Math" w:eastAsia="Calibri" w:hAnsi="Cambria Math" w:cs="Arial"/>
                  <w:i/>
                  <w:szCs w:val="18"/>
                </w:rPr>
              </m:ctrlPr>
            </m:radPr>
            <m:deg/>
            <m:e>
              <m:r>
                <w:rPr>
                  <w:rFonts w:ascii="Cambria Math" w:eastAsia="Calibri" w:hAnsi="Cambria Math" w:cs="Arial"/>
                  <w:szCs w:val="18"/>
                </w:rPr>
                <m:t>T</m:t>
              </m:r>
            </m:e>
          </m:rad>
          <m:r>
            <w:rPr>
              <w:rFonts w:ascii="Cambria Math" w:eastAsia="Calibri" w:hAnsi="Cambria Math" w:cs="Arial"/>
              <w:szCs w:val="18"/>
            </w:rPr>
            <m:t xml:space="preserve"> </m:t>
          </m:r>
          <m:d>
            <m:dPr>
              <m:begChr m:val="["/>
              <m:endChr m:val="]"/>
              <m:ctrlPr>
                <w:rPr>
                  <w:rFonts w:ascii="Cambria Math" w:eastAsia="Calibri" w:hAnsi="Cambria Math" w:cs="Arial"/>
                  <w:i/>
                  <w:szCs w:val="18"/>
                </w:rPr>
              </m:ctrlPr>
            </m:dPr>
            <m:e>
              <m:r>
                <w:rPr>
                  <w:rFonts w:ascii="Cambria Math" w:eastAsia="Calibri" w:hAnsi="Cambria Math" w:cs="Arial"/>
                  <w:szCs w:val="18"/>
                </w:rPr>
                <m:t>mm</m:t>
              </m:r>
            </m:e>
          </m:d>
          <m:r>
            <w:rPr>
              <w:rFonts w:ascii="Cambria Math" w:eastAsia="Calibri" w:hAnsi="Cambria Math" w:cs="Arial"/>
              <w:szCs w:val="18"/>
            </w:rPr>
            <m:t>;</m:t>
          </m:r>
        </m:oMath>
      </m:oMathPara>
    </w:p>
    <w:p w:rsidR="00661999" w:rsidRPr="00C903F8" w:rsidRDefault="00624017" w:rsidP="00661999">
      <w:pPr>
        <w:pStyle w:val="ESlet"/>
        <w:ind w:firstLine="1"/>
        <w:rPr>
          <w:rFonts w:eastAsia="Calibri" w:cs="Arial"/>
          <w:szCs w:val="18"/>
        </w:rPr>
      </w:pPr>
      <m:oMathPara>
        <m:oMathParaPr>
          <m:jc m:val="left"/>
        </m:oMathParaPr>
        <m:oMath>
          <m:sSub>
            <m:sSubPr>
              <m:ctrlPr>
                <w:rPr>
                  <w:rFonts w:ascii="Cambria Math" w:eastAsia="Calibri" w:hAnsi="Cambria Math" w:cs="Arial"/>
                  <w:i/>
                  <w:szCs w:val="18"/>
                </w:rPr>
              </m:ctrlPr>
            </m:sSubPr>
            <m:e>
              <m:r>
                <w:rPr>
                  <w:rFonts w:ascii="Cambria Math" w:eastAsia="Calibri" w:hAnsi="Cambria Math" w:cs="Arial"/>
                  <w:szCs w:val="18"/>
                </w:rPr>
                <m:t>t</m:t>
              </m:r>
            </m:e>
            <m:sub>
              <m:sSub>
                <m:sSubPr>
                  <m:ctrlPr>
                    <w:rPr>
                      <w:rFonts w:ascii="Cambria Math" w:eastAsia="Calibri" w:hAnsi="Cambria Math" w:cs="Arial"/>
                      <w:i/>
                      <w:szCs w:val="18"/>
                    </w:rPr>
                  </m:ctrlPr>
                </m:sSubPr>
                <m:e>
                  <m:r>
                    <w:rPr>
                      <w:rFonts w:ascii="Cambria Math" w:eastAsia="Calibri" w:hAnsi="Cambria Math" w:cs="Arial"/>
                      <w:szCs w:val="18"/>
                    </w:rPr>
                    <m:t>2</m:t>
                  </m:r>
                </m:e>
                <m:sub>
                  <m:r>
                    <w:rPr>
                      <w:rFonts w:ascii="Cambria Math" w:eastAsia="Calibri" w:hAnsi="Cambria Math" w:cs="Arial"/>
                      <w:szCs w:val="18"/>
                    </w:rPr>
                    <m:t>min</m:t>
                  </m:r>
                </m:sub>
              </m:sSub>
              <m:r>
                <w:rPr>
                  <w:rFonts w:ascii="Cambria Math" w:eastAsia="Calibri" w:hAnsi="Cambria Math" w:cs="Arial"/>
                  <w:szCs w:val="18"/>
                </w:rPr>
                <m:t xml:space="preserve"> </m:t>
              </m:r>
            </m:sub>
          </m:sSub>
          <m:r>
            <w:rPr>
              <w:rFonts w:ascii="Cambria Math" w:eastAsia="Calibri" w:hAnsi="Cambria Math" w:cs="Arial"/>
              <w:szCs w:val="18"/>
            </w:rPr>
            <m:t xml:space="preserve">= f ∙0,55 ∙ </m:t>
          </m:r>
          <m:rad>
            <m:radPr>
              <m:degHide m:val="1"/>
              <m:ctrlPr>
                <w:rPr>
                  <w:rFonts w:ascii="Cambria Math" w:eastAsia="Calibri" w:hAnsi="Cambria Math" w:cs="Arial"/>
                  <w:i/>
                  <w:szCs w:val="18"/>
                </w:rPr>
              </m:ctrlPr>
            </m:radPr>
            <m:deg/>
            <m:e>
              <m:sSub>
                <m:sSubPr>
                  <m:ctrlPr>
                    <w:rPr>
                      <w:rFonts w:ascii="Cambria Math" w:eastAsia="Calibri" w:hAnsi="Cambria Math" w:cs="Arial"/>
                      <w:i/>
                      <w:szCs w:val="18"/>
                    </w:rPr>
                  </m:ctrlPr>
                </m:sSubPr>
                <m:e>
                  <m:r>
                    <w:rPr>
                      <w:rFonts w:ascii="Cambria Math" w:eastAsia="Calibri" w:hAnsi="Cambria Math" w:cs="Arial"/>
                      <w:szCs w:val="18"/>
                    </w:rPr>
                    <m:t>L</m:t>
                  </m:r>
                </m:e>
                <m:sub>
                  <m:r>
                    <w:rPr>
                      <w:rFonts w:ascii="Cambria Math" w:eastAsia="Calibri" w:hAnsi="Cambria Math" w:cs="Arial"/>
                      <w:szCs w:val="18"/>
                    </w:rPr>
                    <m:t>F</m:t>
                  </m:r>
                </m:sub>
              </m:sSub>
            </m:e>
          </m:rad>
          <m:r>
            <w:rPr>
              <w:rFonts w:ascii="Cambria Math" w:eastAsia="Calibri" w:hAnsi="Cambria Math" w:cs="Arial"/>
              <w:szCs w:val="18"/>
            </w:rPr>
            <m:t xml:space="preserve"> </m:t>
          </m:r>
          <m:d>
            <m:dPr>
              <m:begChr m:val="["/>
              <m:endChr m:val="]"/>
              <m:ctrlPr>
                <w:rPr>
                  <w:rFonts w:ascii="Cambria Math" w:eastAsia="Calibri" w:hAnsi="Cambria Math" w:cs="Arial"/>
                  <w:i/>
                  <w:szCs w:val="18"/>
                </w:rPr>
              </m:ctrlPr>
            </m:dPr>
            <m:e>
              <m:r>
                <w:rPr>
                  <w:rFonts w:ascii="Cambria Math" w:eastAsia="Calibri" w:hAnsi="Cambria Math" w:cs="Arial"/>
                  <w:szCs w:val="18"/>
                </w:rPr>
                <m:t>mm</m:t>
              </m:r>
            </m:e>
          </m:d>
          <m:r>
            <w:rPr>
              <w:rFonts w:ascii="Cambria Math" w:eastAsia="Calibri" w:hAnsi="Cambria Math" w:cs="Arial"/>
              <w:szCs w:val="18"/>
            </w:rPr>
            <m:t>.</m:t>
          </m:r>
        </m:oMath>
      </m:oMathPara>
    </w:p>
    <w:p w:rsidR="004C3399" w:rsidRPr="00C903F8" w:rsidRDefault="004C3399" w:rsidP="00577ECC">
      <w:pPr>
        <w:pStyle w:val="ESletpar"/>
        <w:rPr>
          <w:rFonts w:eastAsia="Calibri"/>
          <w:noProof/>
        </w:rPr>
      </w:pPr>
    </w:p>
    <w:p w:rsidR="00973DAA" w:rsidRPr="00C903F8" w:rsidRDefault="004C3399" w:rsidP="00577ECC">
      <w:pPr>
        <w:pStyle w:val="ESletpar"/>
        <w:rPr>
          <w:rFonts w:eastAsia="Calibri"/>
          <w:noProof/>
        </w:rPr>
      </w:pPr>
      <w:r>
        <w:br w:type="page"/>
      </w:r>
      <w:r>
        <w:lastRenderedPageBreak/>
        <w:t>In queste formule:</w:t>
      </w:r>
    </w:p>
    <w:p w:rsidR="00057037" w:rsidRPr="00C903F8" w:rsidRDefault="00057037" w:rsidP="00577ECC">
      <w:pPr>
        <w:pStyle w:val="ESletpar"/>
        <w:rPr>
          <w:rFonts w:eastAsia="Calibri" w:cs="Arial"/>
          <w:szCs w:val="18"/>
        </w:rPr>
      </w:pPr>
      <m:oMathPara>
        <m:oMathParaPr>
          <m:jc m:val="left"/>
        </m:oMathParaPr>
        <m:oMath>
          <m:r>
            <w:rPr>
              <w:rFonts w:ascii="Cambria Math" w:eastAsia="Calibri" w:hAnsi="Cambria Math" w:cs="Arial"/>
              <w:szCs w:val="18"/>
            </w:rPr>
            <m:t>f=1+0,0013 ∙</m:t>
          </m:r>
          <m:d>
            <m:dPr>
              <m:ctrlPr>
                <w:rPr>
                  <w:rFonts w:ascii="Cambria Math" w:eastAsia="Calibri" w:hAnsi="Cambria Math" w:cs="Arial"/>
                  <w:i/>
                  <w:szCs w:val="18"/>
                </w:rPr>
              </m:ctrlPr>
            </m:dPr>
            <m:e>
              <m:r>
                <w:rPr>
                  <w:rFonts w:ascii="Cambria Math" w:eastAsia="Calibri" w:hAnsi="Cambria Math" w:cs="Arial"/>
                  <w:szCs w:val="18"/>
                </w:rPr>
                <m:t>a-500</m:t>
              </m:r>
            </m:e>
          </m:d>
          <m:r>
            <w:rPr>
              <w:rFonts w:ascii="Cambria Math" w:eastAsia="Calibri" w:hAnsi="Cambria Math" w:cs="Arial"/>
              <w:szCs w:val="18"/>
            </w:rPr>
            <m:t>;</m:t>
          </m:r>
        </m:oMath>
      </m:oMathPara>
    </w:p>
    <w:p w:rsidR="00973DAA" w:rsidRPr="00C903F8" w:rsidRDefault="00057037" w:rsidP="00577ECC">
      <w:pPr>
        <w:pStyle w:val="EStiret"/>
        <w:rPr>
          <w:rFonts w:eastAsia="Calibri"/>
        </w:rPr>
      </w:pPr>
      <m:oMath>
        <m:r>
          <w:rPr>
            <w:rFonts w:ascii="Cambria Math" w:eastAsia="Calibri" w:hAnsi="Cambria Math"/>
          </w:rPr>
          <m:t>a</m:t>
        </m:r>
      </m:oMath>
      <w:r>
        <w:t xml:space="preserve"> = scarto delle coppie longitudinali o trasversali [mm]; quando lo scarto delle coppie è inferiore a 400 mm si assume </w:t>
      </w:r>
      <m:oMath>
        <m:r>
          <w:rPr>
            <w:rFonts w:ascii="Cambria Math" w:eastAsia="Calibri" w:hAnsi="Cambria Math"/>
          </w:rPr>
          <m:t>a=400 mm</m:t>
        </m:r>
      </m:oMath>
      <w:r>
        <w:t>;</w:t>
      </w:r>
    </w:p>
    <w:p w:rsidR="00973DAA" w:rsidRPr="00C903F8" w:rsidRDefault="005C7859" w:rsidP="00577ECC">
      <w:pPr>
        <w:pStyle w:val="ESlet"/>
        <w:rPr>
          <w:rFonts w:eastAsia="Calibri" w:cs="Arial"/>
          <w:szCs w:val="18"/>
        </w:rPr>
      </w:pPr>
      <w:r>
        <w:t>b)</w:t>
      </w:r>
      <w:r>
        <w:tab/>
        <w:t>È ammissibile che lo spessore delle lamiere sia inferiore al valore minimo determinato in conformità della precedente lettera a) nei casi in cui il valore permesso è stato determinato e certificato sulla base di una prova matematica della sufficiente robustezza (longitudinale, trasversale e locale) dello scafo della nave.</w:t>
      </w:r>
    </w:p>
    <w:p w:rsidR="00973DAA" w:rsidRPr="00C903F8" w:rsidRDefault="005C7859" w:rsidP="00577ECC">
      <w:pPr>
        <w:pStyle w:val="ESlet"/>
        <w:rPr>
          <w:rFonts w:eastAsia="Calibri" w:cs="Arial"/>
          <w:szCs w:val="18"/>
        </w:rPr>
      </w:pPr>
      <w:r>
        <w:t>c)</w:t>
      </w:r>
      <w:r>
        <w:tab/>
        <w:t>In nessun punto del fasciame esterno lo spessore calcolato in conformità delle precedenti lettere a) o b) è inferiore a 3 mm.</w:t>
      </w:r>
    </w:p>
    <w:p w:rsidR="00973DAA" w:rsidRPr="00C903F8" w:rsidRDefault="005C7859" w:rsidP="00577ECC">
      <w:pPr>
        <w:pStyle w:val="ESlet"/>
        <w:rPr>
          <w:rFonts w:eastAsia="Calibri" w:cs="Arial"/>
          <w:szCs w:val="18"/>
        </w:rPr>
      </w:pPr>
      <w:r>
        <w:t>d)</w:t>
      </w:r>
      <w:r>
        <w:tab/>
        <w:t>Si effettua la sostituzione delle lamiere quando lo spessore del fasciame del fondo, del ginocchio o delle fiancate è inferiore allo spessore minimo determinato a norma delle lettere a) o b), congiuntamente con la precedente lettera c).</w:t>
      </w:r>
    </w:p>
    <w:p w:rsidR="00577ECC" w:rsidRPr="00C903F8" w:rsidRDefault="00577ECC" w:rsidP="00973DAA">
      <w:pPr>
        <w:pStyle w:val="ESch"/>
        <w:rPr>
          <w:rFonts w:eastAsia="Calibri"/>
          <w:noProof/>
        </w:rPr>
      </w:pPr>
    </w:p>
    <w:p w:rsidR="00973DAA" w:rsidRPr="00C903F8" w:rsidRDefault="00973DAA" w:rsidP="00973DAA">
      <w:pPr>
        <w:pStyle w:val="ESch"/>
        <w:rPr>
          <w:rFonts w:eastAsia="Calibri" w:cs="Arial"/>
          <w:szCs w:val="18"/>
        </w:rPr>
      </w:pPr>
      <w:r>
        <w:t>2.</w:t>
      </w:r>
      <w:r>
        <w:tab/>
        <w:t>Il numero e la posizione delle paratie sono stabiliti in modo tale che, in caso di allagamento, la nave mantenga la galleggiabilità in conformità dell'articolo 19.03, paragrafi da 7 a 13. Ogni parte della struttura interna che influisce sull'efficienza della suddivisione di tali navi è stagna e progettata in maniera da mantenere l'integrità della suddivisione.</w:t>
      </w:r>
    </w:p>
    <w:p w:rsidR="00577ECC" w:rsidRPr="00C903F8" w:rsidRDefault="00577ECC" w:rsidP="00973DAA">
      <w:pPr>
        <w:pStyle w:val="ESch"/>
        <w:rPr>
          <w:rFonts w:eastAsia="Calibri" w:cs="Arial"/>
          <w:szCs w:val="18"/>
        </w:rPr>
      </w:pPr>
    </w:p>
    <w:p w:rsidR="00973DAA" w:rsidRPr="00C903F8" w:rsidRDefault="00973DAA" w:rsidP="00973DAA">
      <w:pPr>
        <w:pStyle w:val="ESch"/>
        <w:rPr>
          <w:rFonts w:eastAsia="Calibri" w:cs="Arial"/>
          <w:szCs w:val="18"/>
        </w:rPr>
      </w:pPr>
      <w:r>
        <w:t>3.</w:t>
      </w:r>
      <w:r>
        <w:tab/>
        <w:t xml:space="preserve">Ai fini della determinazione del posizionamento della paratia di collisione e della paratia del gavone di poppa, si applicano le disposizioni di cui all'articolo 3.03, paragrafo 1, tuttavia il valore di riferimento da utilizzare è la lunghezza al galleggiamento </w:t>
      </w:r>
      <m:oMath>
        <m:sSub>
          <m:sSubPr>
            <m:ctrlPr>
              <w:rPr>
                <w:rFonts w:ascii="Cambria Math" w:eastAsia="Calibri" w:hAnsi="Cambria Math"/>
                <w:i/>
              </w:rPr>
            </m:ctrlPr>
          </m:sSubPr>
          <m:e>
            <m:r>
              <w:rPr>
                <w:rFonts w:ascii="Cambria Math" w:eastAsia="Calibri" w:hAnsi="Cambria Math"/>
              </w:rPr>
              <m:t>L</m:t>
            </m:r>
          </m:e>
          <m:sub>
            <m:r>
              <w:rPr>
                <w:rFonts w:ascii="Cambria Math" w:eastAsia="Calibri" w:hAnsi="Cambria Math"/>
              </w:rPr>
              <m:t>WL</m:t>
            </m:r>
          </m:sub>
        </m:sSub>
      </m:oMath>
      <w:r>
        <w:t xml:space="preserve"> piuttosto che la lunghezza.</w:t>
      </w:r>
    </w:p>
    <w:p w:rsidR="00577ECC" w:rsidRPr="00C903F8" w:rsidRDefault="00577ECC" w:rsidP="00973DAA">
      <w:pPr>
        <w:pStyle w:val="ESch"/>
        <w:rPr>
          <w:rFonts w:eastAsia="Calibri"/>
          <w:noProof/>
        </w:rPr>
      </w:pPr>
    </w:p>
    <w:p w:rsidR="00973DAA" w:rsidRPr="00C903F8" w:rsidRDefault="00973DAA" w:rsidP="00973DAA">
      <w:pPr>
        <w:pStyle w:val="ESch"/>
        <w:rPr>
          <w:rFonts w:eastAsia="Calibri" w:cs="Arial"/>
          <w:szCs w:val="18"/>
        </w:rPr>
      </w:pPr>
      <w:r>
        <w:t>4.</w:t>
      </w:r>
      <w:r>
        <w:tab/>
        <w:t>Può essere fissata una paratia trasversale con una rientranza della paratia, se tutte le parti di tale rientranza si trovano nella zona sicura.</w:t>
      </w:r>
    </w:p>
    <w:p w:rsidR="00577ECC" w:rsidRPr="00C903F8" w:rsidRDefault="00577ECC" w:rsidP="00973DAA">
      <w:pPr>
        <w:pStyle w:val="ESch"/>
        <w:rPr>
          <w:rFonts w:eastAsia="Calibri"/>
          <w:noProof/>
        </w:rPr>
      </w:pPr>
    </w:p>
    <w:p w:rsidR="00973DAA" w:rsidRPr="00C903F8" w:rsidRDefault="00973DAA" w:rsidP="00973DAA">
      <w:pPr>
        <w:pStyle w:val="ESch"/>
        <w:rPr>
          <w:rFonts w:eastAsia="Calibri" w:cs="Arial"/>
          <w:szCs w:val="18"/>
        </w:rPr>
      </w:pPr>
      <w:r>
        <w:t>5.</w:t>
      </w:r>
      <w:r>
        <w:tab/>
        <w:t>Le paratie, di cui si tiene conto nel calcolo di stabilità in avaria in conformità dell'articolo 19.03, paragrafi da 7 a 13, sono stagne e installate fino al ponte di compartimentazione. In mancanza di un ponte di compartimentazione, queste paratie arrivano a un'altezza superiore di almeno 0,20 m alla linea limite.</w:t>
      </w:r>
    </w:p>
    <w:p w:rsidR="00577ECC" w:rsidRPr="00C903F8" w:rsidRDefault="00577ECC" w:rsidP="00973DAA">
      <w:pPr>
        <w:pStyle w:val="ESch"/>
        <w:rPr>
          <w:rFonts w:eastAsia="Calibri"/>
          <w:noProof/>
        </w:rPr>
      </w:pPr>
    </w:p>
    <w:p w:rsidR="00973DAA" w:rsidRPr="00C903F8" w:rsidRDefault="00973DAA" w:rsidP="00973DAA">
      <w:pPr>
        <w:pStyle w:val="ESch"/>
        <w:rPr>
          <w:rFonts w:eastAsia="Calibri" w:cs="Arial"/>
          <w:szCs w:val="18"/>
        </w:rPr>
      </w:pPr>
      <w:r>
        <w:t>6.</w:t>
      </w:r>
      <w:r>
        <w:tab/>
        <w:t>Il numero di aperture in queste paratie è sufficientemente ridotto per essere compatibile con il genere di costruzione e il funzionamento normale della nave. Le aperture e i passaggi sono tali da non alterare la funzione di tenuta stagna delle paratie.</w:t>
      </w:r>
    </w:p>
    <w:p w:rsidR="00577ECC" w:rsidRPr="00C903F8" w:rsidRDefault="00577ECC" w:rsidP="00973DAA">
      <w:pPr>
        <w:pStyle w:val="ESch"/>
        <w:rPr>
          <w:rFonts w:eastAsia="Calibri"/>
          <w:noProof/>
        </w:rPr>
      </w:pPr>
    </w:p>
    <w:p w:rsidR="00973DAA" w:rsidRPr="00C903F8" w:rsidRDefault="00973DAA" w:rsidP="00973DAA">
      <w:pPr>
        <w:pStyle w:val="ESch"/>
        <w:rPr>
          <w:rFonts w:eastAsia="Calibri" w:cs="Arial"/>
          <w:szCs w:val="18"/>
        </w:rPr>
      </w:pPr>
      <w:r>
        <w:t>7.</w:t>
      </w:r>
      <w:r>
        <w:tab/>
        <w:t>Le paratie di collisione sono provviste di aperture o porte.</w:t>
      </w:r>
    </w:p>
    <w:p w:rsidR="00577ECC" w:rsidRPr="00C903F8" w:rsidRDefault="00577ECC" w:rsidP="00973DAA">
      <w:pPr>
        <w:pStyle w:val="ESch"/>
        <w:rPr>
          <w:rFonts w:eastAsia="Calibri"/>
          <w:noProof/>
        </w:rPr>
      </w:pPr>
    </w:p>
    <w:p w:rsidR="00973DAA" w:rsidRPr="00C903F8" w:rsidRDefault="00973DAA" w:rsidP="00973DAA">
      <w:pPr>
        <w:pStyle w:val="ESch"/>
        <w:rPr>
          <w:rFonts w:eastAsia="Calibri" w:cs="Arial"/>
          <w:szCs w:val="18"/>
        </w:rPr>
      </w:pPr>
      <w:r>
        <w:t>8.</w:t>
      </w:r>
      <w:r>
        <w:tab/>
        <w:t>Le paratie che separano le sale macchine dai locali per i passeggeri o dagli alloggi per il personale di bordo e l'equipaggio sono sprovviste di porte.</w:t>
      </w:r>
    </w:p>
    <w:p w:rsidR="00577ECC" w:rsidRPr="00C903F8" w:rsidRDefault="00577ECC" w:rsidP="00973DAA">
      <w:pPr>
        <w:pStyle w:val="ESch"/>
        <w:rPr>
          <w:rFonts w:eastAsia="Calibri"/>
          <w:noProof/>
        </w:rPr>
      </w:pPr>
    </w:p>
    <w:p w:rsidR="00973DAA" w:rsidRPr="00C903F8" w:rsidRDefault="00973DAA" w:rsidP="00973DAA">
      <w:pPr>
        <w:pStyle w:val="ESch"/>
        <w:rPr>
          <w:rFonts w:eastAsia="Calibri" w:cs="Arial"/>
          <w:szCs w:val="18"/>
        </w:rPr>
      </w:pPr>
      <w:r>
        <w:t>9.</w:t>
      </w:r>
      <w:r>
        <w:tab/>
        <w:t>Nelle paratie di cui al paragrafo 5 sono ammesse le porte manovrate a mano senza comando a distanza solo nei locali a cui i passeggeri non hanno accesso. Esse:</w:t>
      </w:r>
    </w:p>
    <w:p w:rsidR="00973DAA" w:rsidRPr="00C903F8" w:rsidRDefault="005C7859" w:rsidP="00577ECC">
      <w:pPr>
        <w:pStyle w:val="ESlet"/>
        <w:rPr>
          <w:rFonts w:eastAsia="Calibri" w:cs="Arial"/>
          <w:szCs w:val="18"/>
        </w:rPr>
      </w:pPr>
      <w:r>
        <w:t>a)</w:t>
      </w:r>
      <w:r>
        <w:tab/>
        <w:t>rimangono chiuse in permanenza e sono aperte solo momentaneamente per consentire il passaggio;</w:t>
      </w:r>
    </w:p>
    <w:p w:rsidR="00973DAA" w:rsidRPr="00C903F8" w:rsidRDefault="005C7859" w:rsidP="00577ECC">
      <w:pPr>
        <w:pStyle w:val="ESlet"/>
        <w:rPr>
          <w:rFonts w:eastAsia="Calibri" w:cs="Arial"/>
          <w:szCs w:val="18"/>
        </w:rPr>
      </w:pPr>
      <w:r>
        <w:t>b)</w:t>
      </w:r>
      <w:r>
        <w:tab/>
        <w:t>sono attrezzate con dispositivi appositi in modo da poter essere chiuse velocemente e in maniera sicura;</w:t>
      </w:r>
    </w:p>
    <w:p w:rsidR="00973DAA" w:rsidRPr="00C903F8" w:rsidRDefault="005C7859" w:rsidP="00577ECC">
      <w:pPr>
        <w:pStyle w:val="ESlet"/>
        <w:rPr>
          <w:rFonts w:eastAsia="Calibri" w:cs="Arial"/>
          <w:szCs w:val="18"/>
        </w:rPr>
      </w:pPr>
      <w:r>
        <w:t>c)</w:t>
      </w:r>
      <w:r>
        <w:tab/>
        <w:t>riportano il seguente avviso su entrambi i lati della porta:</w:t>
      </w:r>
    </w:p>
    <w:p w:rsidR="00973DAA" w:rsidRPr="00C903F8" w:rsidRDefault="00BF7908" w:rsidP="00577ECC">
      <w:pPr>
        <w:pStyle w:val="ESlet"/>
        <w:jc w:val="center"/>
        <w:rPr>
          <w:rFonts w:eastAsia="Calibri" w:cs="Arial"/>
          <w:szCs w:val="18"/>
        </w:rPr>
      </w:pPr>
      <w:r>
        <w:t>"</w:t>
      </w:r>
      <w:r w:rsidR="00973DAA">
        <w:t>Chiudere la porta subito dopo il passaggio</w:t>
      </w:r>
      <w:r>
        <w:t>"</w:t>
      </w:r>
      <w:r w:rsidR="00973DAA">
        <w:t>.</w:t>
      </w:r>
    </w:p>
    <w:p w:rsidR="00577ECC" w:rsidRPr="00C903F8" w:rsidRDefault="00577ECC" w:rsidP="00973DAA">
      <w:pPr>
        <w:pStyle w:val="ESch"/>
        <w:rPr>
          <w:rFonts w:eastAsia="Calibri"/>
          <w:noProof/>
        </w:rPr>
      </w:pPr>
    </w:p>
    <w:p w:rsidR="00973DAA" w:rsidRPr="00C903F8" w:rsidRDefault="00973DAA" w:rsidP="00973DAA">
      <w:pPr>
        <w:pStyle w:val="ESch"/>
        <w:rPr>
          <w:rFonts w:eastAsia="Calibri" w:cs="Arial"/>
          <w:szCs w:val="18"/>
        </w:rPr>
      </w:pPr>
      <w:r>
        <w:t>10.</w:t>
      </w:r>
      <w:r>
        <w:tab/>
        <w:t>Le porte nelle paratie di cui al paragrafo 5 che restano aperte a lungo soddisfano i requisiti seguenti:</w:t>
      </w:r>
    </w:p>
    <w:p w:rsidR="00973DAA" w:rsidRPr="00C903F8" w:rsidRDefault="005C7859" w:rsidP="00577ECC">
      <w:pPr>
        <w:pStyle w:val="ESlet"/>
        <w:rPr>
          <w:rFonts w:eastAsia="Calibri" w:cs="Arial"/>
          <w:szCs w:val="18"/>
        </w:rPr>
      </w:pPr>
      <w:r>
        <w:t>a)</w:t>
      </w:r>
      <w:r>
        <w:tab/>
        <w:t>devono poter essere chiuse da entrambi i lati della paratia nonché da un punto facilmente accessibile situato al di sopra del ponte di compartimentazione;</w:t>
      </w:r>
    </w:p>
    <w:p w:rsidR="00973DAA" w:rsidRPr="00C903F8" w:rsidRDefault="004C3399" w:rsidP="00577ECC">
      <w:pPr>
        <w:pStyle w:val="ESlet"/>
        <w:rPr>
          <w:rFonts w:eastAsia="Calibri" w:cs="Arial"/>
          <w:szCs w:val="18"/>
        </w:rPr>
      </w:pPr>
      <w:r>
        <w:br w:type="page"/>
      </w:r>
      <w:r>
        <w:lastRenderedPageBreak/>
        <w:t>b)</w:t>
      </w:r>
      <w:r>
        <w:tab/>
        <w:t>dopo essere stata chiusa dal comando a distanza la porta deve poter essere aperta di nuovo sul posto e chiusa in modo sicuro. L'operazione di chiusura non è ostacolata in particolare da tappeti o da guardapiedi o da altre ostruzioni;</w:t>
      </w:r>
    </w:p>
    <w:p w:rsidR="00973DAA" w:rsidRPr="00C903F8" w:rsidRDefault="005C7859" w:rsidP="00577ECC">
      <w:pPr>
        <w:pStyle w:val="ESlet"/>
        <w:rPr>
          <w:rFonts w:eastAsia="Calibri" w:cs="Arial"/>
          <w:szCs w:val="18"/>
        </w:rPr>
      </w:pPr>
      <w:r>
        <w:t>c)</w:t>
      </w:r>
      <w:r>
        <w:tab/>
        <w:t>l'operazione di chiusura tramite comando a distanza dura almeno 30 secondi ma non supera i 60 secondi;</w:t>
      </w:r>
    </w:p>
    <w:p w:rsidR="00973DAA" w:rsidRPr="00C903F8" w:rsidRDefault="005C7859" w:rsidP="00577ECC">
      <w:pPr>
        <w:pStyle w:val="ESlet"/>
        <w:rPr>
          <w:rFonts w:eastAsia="Calibri" w:cs="Arial"/>
          <w:szCs w:val="18"/>
        </w:rPr>
      </w:pPr>
      <w:r>
        <w:t>d)</w:t>
      </w:r>
      <w:r>
        <w:tab/>
        <w:t>durante l'operazione di chiusura funziona un allarme acustico automatico accanto alla porta;</w:t>
      </w:r>
    </w:p>
    <w:p w:rsidR="00973DAA" w:rsidRPr="00C903F8" w:rsidRDefault="0029453D" w:rsidP="00577ECC">
      <w:pPr>
        <w:pStyle w:val="ESlet"/>
        <w:rPr>
          <w:rFonts w:eastAsia="Calibri" w:cs="Arial"/>
          <w:szCs w:val="18"/>
        </w:rPr>
      </w:pPr>
      <w:r>
        <w:t>e)</w:t>
      </w:r>
      <w:r>
        <w:tab/>
        <w:t>il controllo e l'allarme della porta devono anche poter funzionare in maniera indipendente dal sistema elettrico di bordo. Nel luogo da cui viene azionato il comando a distanza un dispositivo indica se la porta è aperta o chiusa.</w:t>
      </w:r>
    </w:p>
    <w:p w:rsidR="00577ECC" w:rsidRPr="00C903F8" w:rsidRDefault="00577ECC" w:rsidP="00973DAA">
      <w:pPr>
        <w:pStyle w:val="ESch"/>
        <w:rPr>
          <w:rFonts w:eastAsia="Calibri"/>
          <w:noProof/>
        </w:rPr>
      </w:pPr>
    </w:p>
    <w:p w:rsidR="00973DAA" w:rsidRPr="00C903F8" w:rsidRDefault="00973DAA" w:rsidP="00973DAA">
      <w:pPr>
        <w:pStyle w:val="ESch"/>
        <w:rPr>
          <w:rFonts w:eastAsia="Calibri" w:cs="Arial"/>
          <w:szCs w:val="18"/>
        </w:rPr>
      </w:pPr>
      <w:r>
        <w:t>11.</w:t>
      </w:r>
      <w:r>
        <w:tab/>
        <w:t>Le porte nelle paratie di cui al paragrafo 5 e i loro attuatori sono posizionati nella zona sicura.</w:t>
      </w:r>
    </w:p>
    <w:p w:rsidR="00577ECC" w:rsidRPr="00C903F8" w:rsidRDefault="00577ECC" w:rsidP="00973DAA">
      <w:pPr>
        <w:pStyle w:val="ESch"/>
        <w:rPr>
          <w:rFonts w:eastAsia="Calibri"/>
          <w:noProof/>
        </w:rPr>
      </w:pPr>
    </w:p>
    <w:p w:rsidR="00973DAA" w:rsidRPr="00C903F8" w:rsidRDefault="00973DAA" w:rsidP="00973DAA">
      <w:pPr>
        <w:pStyle w:val="ESch"/>
        <w:rPr>
          <w:rFonts w:eastAsia="Calibri" w:cs="Arial"/>
          <w:szCs w:val="18"/>
        </w:rPr>
      </w:pPr>
      <w:r>
        <w:t xml:space="preserve">12. </w:t>
      </w:r>
      <w:r>
        <w:tab/>
        <w:t>Nella timoneria è previsto un sistema d'allarme che indichi quali porte nelle paratie di cui al paragrafo 5 sono aperte.</w:t>
      </w:r>
    </w:p>
    <w:p w:rsidR="00577ECC" w:rsidRPr="00C903F8" w:rsidRDefault="00577ECC" w:rsidP="00973DAA">
      <w:pPr>
        <w:pStyle w:val="ESch"/>
        <w:rPr>
          <w:rFonts w:eastAsia="Calibri"/>
          <w:noProof/>
        </w:rPr>
      </w:pPr>
    </w:p>
    <w:p w:rsidR="00973DAA" w:rsidRPr="00C903F8" w:rsidRDefault="00973DAA" w:rsidP="00973DAA">
      <w:pPr>
        <w:pStyle w:val="ESch"/>
        <w:rPr>
          <w:rFonts w:eastAsia="Calibri" w:cs="Arial"/>
          <w:szCs w:val="18"/>
        </w:rPr>
      </w:pPr>
      <w:r>
        <w:t xml:space="preserve">13. </w:t>
      </w:r>
      <w:r>
        <w:tab/>
        <w:t>Le tubolature non dotate di mezzi di chiusura e le condutture di ventilazione sono bilanciate in modo tale che, con qualunque possibile allagamento, non vengano allagati tramite di esse altri locali o serbatoi.</w:t>
      </w:r>
    </w:p>
    <w:p w:rsidR="00973DAA" w:rsidRPr="00C903F8" w:rsidRDefault="005C7859" w:rsidP="00577ECC">
      <w:pPr>
        <w:pStyle w:val="ESlet"/>
        <w:rPr>
          <w:rFonts w:eastAsia="Calibri" w:cs="Arial"/>
          <w:szCs w:val="18"/>
        </w:rPr>
      </w:pPr>
      <w:r>
        <w:t>a)</w:t>
      </w:r>
      <w:r>
        <w:tab/>
        <w:t>Se più compartimenti sono chiaramente messi in comunicazione fra loro da tubolature o condutture di ventilazione, queste sboccano in un punto adatto al di sopra della linea di galleggiamento corrispondente all'allagamento più sfavorevole.</w:t>
      </w:r>
    </w:p>
    <w:p w:rsidR="00973DAA" w:rsidRPr="00C903F8" w:rsidRDefault="005C7859" w:rsidP="00577ECC">
      <w:pPr>
        <w:pStyle w:val="ESlet"/>
        <w:rPr>
          <w:rFonts w:eastAsia="Calibri"/>
          <w:noProof/>
        </w:rPr>
      </w:pPr>
      <w:r>
        <w:t>b)</w:t>
      </w:r>
      <w:r>
        <w:tab/>
        <w:t>Non è necessario che le tubolature siano conformi al requisito di cui alla lettera a) se nelle tubolature che passano attraverso le paratie sono montati dispositivi di interruzione, che possono essere operati a distanza da un punto al di sopra del ponte di compartimentazione.</w:t>
      </w:r>
    </w:p>
    <w:p w:rsidR="00973DAA" w:rsidRPr="00C903F8" w:rsidRDefault="005C7859" w:rsidP="00577ECC">
      <w:pPr>
        <w:pStyle w:val="ESlet"/>
        <w:rPr>
          <w:rFonts w:eastAsia="Calibri"/>
          <w:noProof/>
        </w:rPr>
      </w:pPr>
      <w:r>
        <w:t>c)</w:t>
      </w:r>
      <w:r>
        <w:tab/>
        <w:t>Se un sistema di condutture non comporta alcuno sbocco in un compartimento, esso è considerato intatto in caso di avaria di questo compartimento, se si trova all'interno della zona di sicurezza e a una distanza di più di 0,50 m dal fondo della nave.</w:t>
      </w:r>
    </w:p>
    <w:p w:rsidR="00973DAA" w:rsidRPr="00C903F8" w:rsidRDefault="00973DAA" w:rsidP="00973DAA">
      <w:pPr>
        <w:pStyle w:val="ESch"/>
        <w:rPr>
          <w:rFonts w:eastAsia="Calibri"/>
          <w:noProof/>
        </w:rPr>
      </w:pPr>
    </w:p>
    <w:p w:rsidR="00973DAA" w:rsidRPr="00C903F8" w:rsidRDefault="00973DAA" w:rsidP="00973DAA">
      <w:pPr>
        <w:pStyle w:val="ESch"/>
        <w:rPr>
          <w:rFonts w:eastAsia="Calibri"/>
          <w:noProof/>
        </w:rPr>
      </w:pPr>
      <w:r>
        <w:t>14.</w:t>
      </w:r>
      <w:r>
        <w:tab/>
        <w:t>I controlli a distanza delle porte stagne di cui al paragrafo 10 e i dispositivi di interruzione dell'erogazione di cui al paragrafo 13, lettera b), al di sopra del ponte di compartimentazione sono chiaramente indicati come tali.</w:t>
      </w:r>
    </w:p>
    <w:p w:rsidR="00973DAA" w:rsidRPr="00C903F8" w:rsidRDefault="00973DAA" w:rsidP="00973DAA">
      <w:pPr>
        <w:pStyle w:val="ESch"/>
        <w:rPr>
          <w:rFonts w:eastAsia="Calibri"/>
          <w:noProof/>
        </w:rPr>
      </w:pPr>
    </w:p>
    <w:p w:rsidR="00973DAA" w:rsidRPr="00C903F8" w:rsidRDefault="00973DAA" w:rsidP="00973DAA">
      <w:pPr>
        <w:pStyle w:val="ESch"/>
        <w:rPr>
          <w:rFonts w:eastAsia="Calibri"/>
          <w:noProof/>
        </w:rPr>
      </w:pPr>
      <w:r>
        <w:t>15.</w:t>
      </w:r>
      <w:r>
        <w:tab/>
        <w:t>Qualora vi siano doppi fondi, la loro altezza è pari almeno a 0,60 m, e qualora vi siano spazi laterali, la loro larghezza è pari almeno a 0,60 m.</w:t>
      </w:r>
    </w:p>
    <w:p w:rsidR="00973DAA" w:rsidRPr="00C903F8" w:rsidRDefault="00973DAA" w:rsidP="00973DAA">
      <w:pPr>
        <w:pStyle w:val="ESch"/>
        <w:rPr>
          <w:rFonts w:eastAsia="Calibri"/>
          <w:noProof/>
        </w:rPr>
      </w:pPr>
    </w:p>
    <w:p w:rsidR="00973DAA" w:rsidRPr="00C903F8" w:rsidRDefault="00973DAA" w:rsidP="00973DAA">
      <w:pPr>
        <w:pStyle w:val="ESch"/>
        <w:rPr>
          <w:rFonts w:eastAsia="Calibri"/>
          <w:noProof/>
        </w:rPr>
      </w:pPr>
      <w:r>
        <w:t>16.</w:t>
      </w:r>
      <w:r>
        <w:tab/>
        <w:t>Le finestre possono essere situate sotto la linea limite, se sono stagne all'acqua, non possono essere aperte, possiedono robustezza sufficiente e sono conformi all'articolo 19.06, paragrafo 14.</w:t>
      </w:r>
    </w:p>
    <w:p w:rsidR="00973DAA" w:rsidRPr="00C903F8" w:rsidRDefault="00973DAA" w:rsidP="00973DAA">
      <w:pPr>
        <w:pStyle w:val="ESch"/>
        <w:rPr>
          <w:rFonts w:eastAsia="Calibri" w:cs="Arial"/>
          <w:szCs w:val="18"/>
        </w:rPr>
      </w:pPr>
    </w:p>
    <w:p w:rsidR="00577ECC" w:rsidRPr="00C903F8" w:rsidRDefault="00577ECC" w:rsidP="00973DAA">
      <w:pPr>
        <w:pStyle w:val="ESch"/>
        <w:rPr>
          <w:rFonts w:eastAsia="Calibri" w:cs="Arial"/>
          <w:szCs w:val="18"/>
        </w:rPr>
      </w:pPr>
    </w:p>
    <w:p w:rsidR="00973DAA" w:rsidRPr="00C903F8" w:rsidRDefault="00973DAA" w:rsidP="00973DAA">
      <w:pPr>
        <w:pStyle w:val="ES-Titre3"/>
        <w:rPr>
          <w:rFonts w:cs="Arial"/>
        </w:rPr>
      </w:pPr>
      <w:bookmarkStart w:id="350" w:name="_Toc491854172"/>
      <w:bookmarkStart w:id="351" w:name="_Toc535500121"/>
      <w:r>
        <w:t>Articolo 19.03</w:t>
      </w:r>
      <w:r>
        <w:br/>
      </w:r>
      <w:r>
        <w:rPr>
          <w:i/>
          <w:noProof/>
        </w:rPr>
        <w:t>Stabilità</w:t>
      </w:r>
      <w:bookmarkEnd w:id="350"/>
      <w:bookmarkEnd w:id="351"/>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1.</w:t>
      </w:r>
      <w:r>
        <w:tab/>
        <w:t>Il richiedente dimostra mediante un calcolo basato sui risultati dell'applicazione di una norma di stabilità allo stato integro che la stabilità della nave allo stato integro è sufficiente. Tutti i calcoli sono effettuati lasciando libero il galleggiante di inclinarsi longitudinalmente e di immergersi. I dati relativi alla nave presi in considerazione per il calcolo della stabilità sono determinati con una prova di sbandamento.</w:t>
      </w:r>
    </w:p>
    <w:p w:rsidR="00577ECC" w:rsidRPr="00C903F8" w:rsidRDefault="00577ECC" w:rsidP="00973DAA">
      <w:pPr>
        <w:pStyle w:val="ESch"/>
        <w:rPr>
          <w:rFonts w:eastAsia="Calibri"/>
          <w:noProof/>
        </w:rPr>
      </w:pPr>
    </w:p>
    <w:p w:rsidR="004C3399" w:rsidRPr="00C903F8" w:rsidRDefault="004C3399" w:rsidP="00973DAA">
      <w:pPr>
        <w:pStyle w:val="ESch"/>
        <w:rPr>
          <w:rFonts w:eastAsia="Calibri"/>
          <w:noProof/>
        </w:rPr>
      </w:pPr>
      <w:r>
        <w:br w:type="page"/>
      </w:r>
    </w:p>
    <w:p w:rsidR="00973DAA" w:rsidRPr="00C903F8" w:rsidRDefault="00973DAA" w:rsidP="00973DAA">
      <w:pPr>
        <w:pStyle w:val="ESch"/>
        <w:rPr>
          <w:rFonts w:eastAsia="Calibri"/>
          <w:noProof/>
        </w:rPr>
      </w:pPr>
      <w:r>
        <w:lastRenderedPageBreak/>
        <w:t>2.</w:t>
      </w:r>
      <w:r>
        <w:tab/>
        <w:t>È dimostrata la stabilità allo stato integro per le seguenti condizioni di carico standard:</w:t>
      </w:r>
    </w:p>
    <w:p w:rsidR="00973DAA" w:rsidRPr="00C903F8" w:rsidRDefault="005C7859" w:rsidP="00577ECC">
      <w:pPr>
        <w:pStyle w:val="ESlet"/>
        <w:rPr>
          <w:rFonts w:eastAsia="Calibri"/>
          <w:noProof/>
        </w:rPr>
      </w:pPr>
      <w:r>
        <w:t>a)</w:t>
      </w:r>
      <w:r>
        <w:tab/>
        <w:t>all'inizio del viaggio:</w:t>
      </w:r>
    </w:p>
    <w:p w:rsidR="00973DAA" w:rsidRPr="00C903F8" w:rsidRDefault="00973DAA" w:rsidP="00577ECC">
      <w:pPr>
        <w:pStyle w:val="ESletpar"/>
        <w:rPr>
          <w:rFonts w:eastAsia="Calibri"/>
          <w:noProof/>
        </w:rPr>
      </w:pPr>
      <w:r>
        <w:t>100 % passeggeri, 98 % carburante e acqua dolce, 10 % acque reflue;</w:t>
      </w:r>
    </w:p>
    <w:p w:rsidR="00973DAA" w:rsidRPr="00C903F8" w:rsidRDefault="005C7859" w:rsidP="00577ECC">
      <w:pPr>
        <w:pStyle w:val="ESlet"/>
        <w:rPr>
          <w:rFonts w:eastAsia="Calibri"/>
          <w:noProof/>
        </w:rPr>
      </w:pPr>
      <w:r>
        <w:t>b)</w:t>
      </w:r>
      <w:r>
        <w:tab/>
        <w:t>durante il viaggio:</w:t>
      </w:r>
    </w:p>
    <w:p w:rsidR="00973DAA" w:rsidRPr="00C903F8" w:rsidRDefault="00973DAA" w:rsidP="00577ECC">
      <w:pPr>
        <w:pStyle w:val="ESletpar"/>
        <w:rPr>
          <w:rFonts w:eastAsia="Calibri"/>
          <w:noProof/>
        </w:rPr>
      </w:pPr>
      <w:r>
        <w:t>100 % passeggeri, 50 % carburante e acqua dolce, 50 % acque reflue;</w:t>
      </w:r>
    </w:p>
    <w:p w:rsidR="00973DAA" w:rsidRPr="00C903F8" w:rsidRDefault="005C7859" w:rsidP="00577ECC">
      <w:pPr>
        <w:pStyle w:val="ESlet"/>
        <w:rPr>
          <w:rFonts w:eastAsia="Calibri"/>
          <w:noProof/>
        </w:rPr>
      </w:pPr>
      <w:r>
        <w:t>c)</w:t>
      </w:r>
      <w:r>
        <w:tab/>
        <w:t>alla fine del viaggio:</w:t>
      </w:r>
    </w:p>
    <w:p w:rsidR="00973DAA" w:rsidRPr="00C903F8" w:rsidRDefault="00973DAA" w:rsidP="00577ECC">
      <w:pPr>
        <w:pStyle w:val="ESletpar"/>
        <w:rPr>
          <w:rFonts w:eastAsia="Calibri"/>
          <w:noProof/>
        </w:rPr>
      </w:pPr>
      <w:r>
        <w:t>100 % passeggeri, 10 % carburante e acqua dolce, 98 % acque reflue;</w:t>
      </w:r>
    </w:p>
    <w:p w:rsidR="00973DAA" w:rsidRPr="00C903F8" w:rsidRDefault="005C7859" w:rsidP="00577ECC">
      <w:pPr>
        <w:pStyle w:val="ESlet"/>
        <w:rPr>
          <w:rFonts w:eastAsia="Calibri"/>
          <w:noProof/>
        </w:rPr>
      </w:pPr>
      <w:r>
        <w:t>d)</w:t>
      </w:r>
      <w:r>
        <w:tab/>
        <w:t>a nave scarica:</w:t>
      </w:r>
    </w:p>
    <w:p w:rsidR="00973DAA" w:rsidRPr="00C903F8" w:rsidRDefault="00973DAA" w:rsidP="00577ECC">
      <w:pPr>
        <w:pStyle w:val="ESletpar"/>
        <w:rPr>
          <w:rFonts w:eastAsia="Calibri"/>
          <w:noProof/>
        </w:rPr>
      </w:pPr>
      <w:r>
        <w:t>nessun passeggero, 10 % carburante e acqua dolce, senza acque reflue.</w:t>
      </w:r>
    </w:p>
    <w:p w:rsidR="00577ECC" w:rsidRPr="00C903F8" w:rsidRDefault="00577ECC" w:rsidP="00577ECC">
      <w:pPr>
        <w:pStyle w:val="ESchpar"/>
        <w:rPr>
          <w:rFonts w:eastAsia="Calibri"/>
          <w:noProof/>
        </w:rPr>
      </w:pPr>
    </w:p>
    <w:p w:rsidR="00973DAA" w:rsidRPr="00C903F8" w:rsidRDefault="00973DAA" w:rsidP="00577ECC">
      <w:pPr>
        <w:pStyle w:val="ESchpar"/>
        <w:rPr>
          <w:rFonts w:eastAsia="Calibri" w:cs="Arial"/>
          <w:szCs w:val="18"/>
        </w:rPr>
      </w:pPr>
      <w:r>
        <w:t>Per tutte le condizioni di carico standard le cisterne di zavorra sono considerate come vuote o piene in conformità alle normali condizioni operative.</w:t>
      </w:r>
    </w:p>
    <w:p w:rsidR="00577ECC" w:rsidRPr="00C903F8" w:rsidRDefault="00577ECC" w:rsidP="00577ECC">
      <w:pPr>
        <w:pStyle w:val="ESchpar"/>
        <w:rPr>
          <w:rFonts w:eastAsia="Calibri"/>
          <w:noProof/>
        </w:rPr>
      </w:pPr>
    </w:p>
    <w:p w:rsidR="00973DAA" w:rsidRPr="00C903F8" w:rsidRDefault="00973DAA" w:rsidP="00577ECC">
      <w:pPr>
        <w:pStyle w:val="ESchpar"/>
        <w:rPr>
          <w:rFonts w:eastAsia="Calibri" w:cs="Arial"/>
          <w:szCs w:val="18"/>
        </w:rPr>
      </w:pPr>
      <w:r>
        <w:t>Inoltre, il requisito di cui al paragrafo 3, lettera d), deve essere dimostrato per la condizione di carico seguente:</w:t>
      </w:r>
    </w:p>
    <w:p w:rsidR="00973DAA" w:rsidRPr="00C903F8" w:rsidRDefault="00973DAA" w:rsidP="00633CC5">
      <w:pPr>
        <w:pStyle w:val="ESchpar"/>
        <w:spacing w:before="60"/>
        <w:ind w:left="992"/>
        <w:rPr>
          <w:rFonts w:eastAsia="Calibri" w:cs="Arial"/>
          <w:szCs w:val="18"/>
        </w:rPr>
      </w:pPr>
      <w:r>
        <w:t>100 % passeggeri, 50 % carburante e acqua dolce, 50 % acque di rifiuto, tutti gli altri serbatoi di liquidi (inclusa la zavorra) sono considerati pieni al 50 %.</w:t>
      </w:r>
    </w:p>
    <w:p w:rsidR="00973DAA" w:rsidRPr="00C903F8" w:rsidRDefault="00973DAA" w:rsidP="00973DAA">
      <w:pPr>
        <w:pStyle w:val="ESch"/>
        <w:rPr>
          <w:rFonts w:eastAsia="Calibri" w:cs="Arial"/>
          <w:szCs w:val="18"/>
        </w:rPr>
      </w:pPr>
    </w:p>
    <w:p w:rsidR="00973DAA" w:rsidRPr="00C903F8" w:rsidRDefault="00973DAA" w:rsidP="00973DAA">
      <w:pPr>
        <w:pStyle w:val="ESch"/>
        <w:rPr>
          <w:rFonts w:eastAsia="Calibri" w:cs="Arial"/>
          <w:szCs w:val="18"/>
        </w:rPr>
      </w:pPr>
      <w:r>
        <w:t>3.</w:t>
      </w:r>
      <w:r>
        <w:tab/>
        <w:t>La prova della sufficiente stabilità allo stato integro è fornita mediante un calcolo basato sulle seguenti definizioni per la stabilità allo stato integro e per le condizioni di carico standard di cui al paragrafo 2, lettere da a) a d):</w:t>
      </w:r>
    </w:p>
    <w:p w:rsidR="00973DAA" w:rsidRPr="00C903F8" w:rsidRDefault="005C7859" w:rsidP="00577ECC">
      <w:pPr>
        <w:pStyle w:val="ESlet"/>
        <w:rPr>
          <w:rFonts w:eastAsia="Calibri" w:cs="Arial"/>
          <w:szCs w:val="18"/>
        </w:rPr>
      </w:pPr>
      <w:r>
        <w:t>a)</w:t>
      </w:r>
      <w:r>
        <w:tab/>
        <w:t xml:space="preserve">il massimo braccio raddrizzante </w:t>
      </w:r>
      <m:oMath>
        <m:sSub>
          <m:sSubPr>
            <m:ctrlPr>
              <w:rPr>
                <w:rFonts w:ascii="Cambria Math" w:eastAsia="Calibri" w:hAnsi="Cambria Math"/>
                <w:i/>
                <w:noProof/>
              </w:rPr>
            </m:ctrlPr>
          </m:sSubPr>
          <m:e>
            <m:r>
              <w:rPr>
                <w:rFonts w:ascii="Cambria Math" w:eastAsia="Calibri" w:hAnsi="Cambria Math"/>
                <w:noProof/>
              </w:rPr>
              <m:t>h</m:t>
            </m:r>
          </m:e>
          <m:sub>
            <m:r>
              <w:rPr>
                <w:rFonts w:ascii="Cambria Math" w:eastAsia="Calibri" w:hAnsi="Cambria Math"/>
                <w:noProof/>
              </w:rPr>
              <m:t>max</m:t>
            </m:r>
          </m:sub>
        </m:sSub>
      </m:oMath>
      <w:r>
        <w:t xml:space="preserve"> si registra a un angolo di sbandamento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r>
          <w:rPr>
            <w:rFonts w:ascii="Cambria Math" w:eastAsia="Calibri" w:hAnsi="Cambria Math"/>
            <w:noProof/>
          </w:rPr>
          <m:t xml:space="preserve"> ≥(</m:t>
        </m:r>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mom</m:t>
            </m:r>
          </m:sub>
        </m:sSub>
        <m:r>
          <w:rPr>
            <w:rFonts w:ascii="Cambria Math" w:eastAsia="Calibri" w:hAnsi="Cambria Math"/>
            <w:noProof/>
          </w:rPr>
          <m:t>+3°)</m:t>
        </m:r>
      </m:oMath>
      <w:r>
        <w:t xml:space="preserve"> e non è inferiore a 0,20 m. Tuttavia, nel caso in cui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f</m:t>
            </m:r>
          </m:sub>
        </m:sSub>
        <m:r>
          <w:rPr>
            <w:rFonts w:ascii="Cambria Math" w:eastAsia="Calibri" w:hAnsi="Cambria Math"/>
            <w:noProof/>
          </w:rPr>
          <m:t>&lt;</m:t>
        </m:r>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oMath>
      <w:r>
        <w:t xml:space="preserve">, il braccio raddrizzante all'angolo di allagamento </w:t>
      </w:r>
      <m:oMath>
        <m:sSub>
          <m:sSubPr>
            <m:ctrlPr>
              <w:rPr>
                <w:rFonts w:ascii="Cambria Math" w:eastAsia="Calibri" w:hAnsi="Cambria Math"/>
                <w:i/>
              </w:rPr>
            </m:ctrlPr>
          </m:sSubPr>
          <m:e>
            <m:r>
              <w:rPr>
                <w:rFonts w:ascii="Cambria Math" w:eastAsia="Calibri" w:hAnsi="Cambria Math"/>
              </w:rPr>
              <m:t>φ</m:t>
            </m:r>
          </m:e>
          <m:sub>
            <m:r>
              <w:rPr>
                <w:rFonts w:ascii="Cambria Math" w:eastAsia="Calibri" w:hAnsi="Cambria Math"/>
              </w:rPr>
              <m:t>f</m:t>
            </m:r>
          </m:sub>
        </m:sSub>
      </m:oMath>
      <w:r>
        <w:t xml:space="preserve"> non è inferiore a 0,20 m;</w:t>
      </w:r>
    </w:p>
    <w:p w:rsidR="00973DAA" w:rsidRPr="00C903F8" w:rsidRDefault="005C7859" w:rsidP="00577ECC">
      <w:pPr>
        <w:pStyle w:val="ESlet"/>
        <w:rPr>
          <w:rFonts w:eastAsia="Calibri" w:cs="Arial"/>
          <w:szCs w:val="18"/>
        </w:rPr>
      </w:pPr>
      <w:r>
        <w:t>b)</w:t>
      </w:r>
      <w:r>
        <w:tab/>
        <w:t xml:space="preserve">l'angolo di allagamento </w:t>
      </w:r>
      <m:oMath>
        <m:sSub>
          <m:sSubPr>
            <m:ctrlPr>
              <w:rPr>
                <w:rFonts w:ascii="Cambria Math" w:eastAsia="Calibri" w:hAnsi="Cambria Math"/>
                <w:i/>
              </w:rPr>
            </m:ctrlPr>
          </m:sSubPr>
          <m:e>
            <m:r>
              <w:rPr>
                <w:rFonts w:ascii="Cambria Math" w:eastAsia="Calibri" w:hAnsi="Cambria Math"/>
              </w:rPr>
              <m:t>φ</m:t>
            </m:r>
          </m:e>
          <m:sub>
            <m:r>
              <w:rPr>
                <w:rFonts w:ascii="Cambria Math" w:eastAsia="Calibri" w:hAnsi="Cambria Math"/>
              </w:rPr>
              <m:t>f</m:t>
            </m:r>
          </m:sub>
        </m:sSub>
      </m:oMath>
      <w:r>
        <w:t xml:space="preserve"> non è inferiore a </w:t>
      </w:r>
      <m:oMath>
        <m:r>
          <w:rPr>
            <w:rFonts w:ascii="Cambria Math" w:eastAsia="Calibri" w:hAnsi="Cambria Math"/>
            <w:noProof/>
          </w:rPr>
          <m:t>(</m:t>
        </m:r>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mom</m:t>
            </m:r>
          </m:sub>
        </m:sSub>
        <m:r>
          <w:rPr>
            <w:rFonts w:ascii="Cambria Math" w:eastAsia="Calibri" w:hAnsi="Cambria Math"/>
            <w:noProof/>
          </w:rPr>
          <m:t>+3°)</m:t>
        </m:r>
      </m:oMath>
      <w:r>
        <w:t>;</w:t>
      </w:r>
    </w:p>
    <w:p w:rsidR="00973DAA" w:rsidRPr="00C903F8" w:rsidRDefault="005C7859" w:rsidP="00577ECC">
      <w:pPr>
        <w:pStyle w:val="ESlet"/>
        <w:rPr>
          <w:rFonts w:eastAsia="Calibri"/>
          <w:noProof/>
        </w:rPr>
      </w:pPr>
      <w:r>
        <w:t>c)</w:t>
      </w:r>
      <w:r>
        <w:tab/>
        <w:t xml:space="preserve">a seconda della posizione di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f</m:t>
            </m:r>
          </m:sub>
        </m:sSub>
      </m:oMath>
      <w:r>
        <w:t xml:space="preserve"> e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oMath>
      <w:r>
        <w:t xml:space="preserve">, l'area </w:t>
      </w:r>
      <m:oMath>
        <m:r>
          <w:rPr>
            <w:rFonts w:ascii="Cambria Math" w:eastAsia="Calibri" w:hAnsi="Cambria Math" w:cs="Arial"/>
            <w:szCs w:val="18"/>
          </w:rPr>
          <m:t>A</m:t>
        </m:r>
      </m:oMath>
      <w:r>
        <w:t xml:space="preserve"> sotto la curva del braccio raddrizzante raggiunge almeno i valori seguenti:</w:t>
      </w:r>
    </w:p>
    <w:p w:rsidR="00577ECC" w:rsidRPr="00C903F8" w:rsidRDefault="00577ECC" w:rsidP="00577ECC">
      <w:pPr>
        <w:pStyle w:val="ESgauche"/>
        <w:rPr>
          <w:rFonts w:eastAsia="Calibri"/>
        </w:rPr>
      </w:pPr>
    </w:p>
    <w:tbl>
      <w:tblPr>
        <w:tblW w:w="0" w:type="auto"/>
        <w:tblLayout w:type="fixed"/>
        <w:tblLook w:val="0000" w:firstRow="0" w:lastRow="0" w:firstColumn="0" w:lastColumn="0" w:noHBand="0" w:noVBand="0"/>
      </w:tblPr>
      <w:tblGrid>
        <w:gridCol w:w="680"/>
        <w:gridCol w:w="2381"/>
        <w:gridCol w:w="1393"/>
        <w:gridCol w:w="4736"/>
      </w:tblGrid>
      <w:tr w:rsidR="00505D66" w:rsidRPr="00C903F8" w:rsidTr="009F4F31">
        <w:tc>
          <w:tcPr>
            <w:tcW w:w="680" w:type="dxa"/>
            <w:tcBorders>
              <w:top w:val="single" w:sz="2" w:space="0" w:color="auto"/>
              <w:left w:val="single" w:sz="2" w:space="0" w:color="auto"/>
              <w:bottom w:val="single" w:sz="2" w:space="0" w:color="auto"/>
              <w:right w:val="single" w:sz="2" w:space="0" w:color="auto"/>
            </w:tcBorders>
          </w:tcPr>
          <w:p w:rsidR="00505D66" w:rsidRPr="00C903F8" w:rsidRDefault="00505D66" w:rsidP="00505D66">
            <w:pPr>
              <w:autoSpaceDE/>
              <w:autoSpaceDN/>
              <w:spacing w:before="60" w:after="60" w:line="240" w:lineRule="atLeast"/>
              <w:ind w:left="0" w:firstLine="0"/>
              <w:jc w:val="center"/>
              <w:rPr>
                <w:rFonts w:cs="Arial"/>
                <w:noProof/>
                <w:sz w:val="18"/>
                <w:szCs w:val="18"/>
              </w:rPr>
            </w:pPr>
            <w:r>
              <w:rPr>
                <w:noProof/>
                <w:sz w:val="18"/>
              </w:rPr>
              <w:t>Caso</w:t>
            </w:r>
          </w:p>
        </w:tc>
        <w:tc>
          <w:tcPr>
            <w:tcW w:w="2381" w:type="dxa"/>
            <w:tcBorders>
              <w:top w:val="single" w:sz="2" w:space="0" w:color="auto"/>
              <w:left w:val="single" w:sz="2" w:space="0" w:color="auto"/>
              <w:bottom w:val="single" w:sz="2" w:space="0" w:color="auto"/>
              <w:right w:val="single" w:sz="2" w:space="0" w:color="auto"/>
            </w:tcBorders>
          </w:tcPr>
          <w:p w:rsidR="00505D66" w:rsidRPr="00C903F8" w:rsidRDefault="00505D66" w:rsidP="00505D66">
            <w:pPr>
              <w:autoSpaceDE/>
              <w:autoSpaceDN/>
              <w:spacing w:before="60" w:after="60" w:line="240" w:lineRule="atLeast"/>
              <w:ind w:left="0" w:firstLine="0"/>
              <w:jc w:val="center"/>
              <w:rPr>
                <w:rFonts w:cs="Arial"/>
                <w:noProof/>
                <w:sz w:val="18"/>
                <w:szCs w:val="18"/>
              </w:rPr>
            </w:pPr>
          </w:p>
        </w:tc>
        <w:tc>
          <w:tcPr>
            <w:tcW w:w="1393" w:type="dxa"/>
            <w:tcBorders>
              <w:top w:val="single" w:sz="2" w:space="0" w:color="auto"/>
              <w:left w:val="single" w:sz="2" w:space="0" w:color="auto"/>
              <w:bottom w:val="single" w:sz="2" w:space="0" w:color="auto"/>
              <w:right w:val="single" w:sz="2" w:space="0" w:color="auto"/>
            </w:tcBorders>
          </w:tcPr>
          <w:p w:rsidR="00505D66" w:rsidRPr="00C903F8" w:rsidRDefault="00505D66" w:rsidP="00505D66">
            <w:pPr>
              <w:autoSpaceDE/>
              <w:autoSpaceDN/>
              <w:spacing w:before="60" w:after="60" w:line="240" w:lineRule="atLeast"/>
              <w:ind w:left="0" w:firstLine="0"/>
              <w:jc w:val="center"/>
              <w:rPr>
                <w:rFonts w:cs="Arial"/>
                <w:noProof/>
                <w:sz w:val="18"/>
                <w:szCs w:val="18"/>
              </w:rPr>
            </w:pPr>
          </w:p>
        </w:tc>
        <w:tc>
          <w:tcPr>
            <w:tcW w:w="4736" w:type="dxa"/>
            <w:tcBorders>
              <w:top w:val="single" w:sz="2" w:space="0" w:color="auto"/>
              <w:left w:val="single" w:sz="2" w:space="0" w:color="auto"/>
              <w:bottom w:val="single" w:sz="2" w:space="0" w:color="auto"/>
              <w:right w:val="single" w:sz="2" w:space="0" w:color="auto"/>
            </w:tcBorders>
          </w:tcPr>
          <w:p w:rsidR="00505D66" w:rsidRPr="00C903F8" w:rsidRDefault="00505D66" w:rsidP="00505D66">
            <w:pPr>
              <w:autoSpaceDE/>
              <w:autoSpaceDN/>
              <w:spacing w:before="60" w:after="60" w:line="240" w:lineRule="atLeast"/>
              <w:ind w:left="0" w:firstLine="0"/>
              <w:jc w:val="center"/>
              <w:rPr>
                <w:rFonts w:cs="Arial"/>
                <w:noProof/>
                <w:sz w:val="18"/>
                <w:szCs w:val="18"/>
              </w:rPr>
            </w:pPr>
            <w:r>
              <w:rPr>
                <w:noProof/>
                <w:sz w:val="18"/>
              </w:rPr>
              <w:t>A</w:t>
            </w:r>
          </w:p>
        </w:tc>
      </w:tr>
      <w:tr w:rsidR="00505D66" w:rsidRPr="00A0619C" w:rsidTr="009F4F31">
        <w:tc>
          <w:tcPr>
            <w:tcW w:w="680" w:type="dxa"/>
            <w:tcBorders>
              <w:top w:val="single" w:sz="2" w:space="0" w:color="auto"/>
              <w:left w:val="single" w:sz="2" w:space="0" w:color="auto"/>
              <w:bottom w:val="single" w:sz="2" w:space="0" w:color="auto"/>
              <w:right w:val="single" w:sz="2" w:space="0" w:color="auto"/>
            </w:tcBorders>
          </w:tcPr>
          <w:p w:rsidR="00505D66" w:rsidRPr="00C903F8" w:rsidRDefault="00505D66" w:rsidP="00505D66">
            <w:pPr>
              <w:autoSpaceDE/>
              <w:autoSpaceDN/>
              <w:spacing w:before="60" w:after="60" w:line="240" w:lineRule="atLeast"/>
              <w:ind w:left="0" w:firstLine="0"/>
              <w:jc w:val="left"/>
              <w:rPr>
                <w:rFonts w:cs="Arial"/>
                <w:noProof/>
                <w:sz w:val="18"/>
                <w:szCs w:val="18"/>
              </w:rPr>
            </w:pPr>
            <w:r>
              <w:rPr>
                <w:noProof/>
                <w:sz w:val="18"/>
              </w:rPr>
              <w:t>1</w:t>
            </w:r>
          </w:p>
        </w:tc>
        <w:tc>
          <w:tcPr>
            <w:tcW w:w="2381" w:type="dxa"/>
            <w:tcBorders>
              <w:top w:val="single" w:sz="2" w:space="0" w:color="auto"/>
              <w:left w:val="single" w:sz="2" w:space="0" w:color="auto"/>
              <w:bottom w:val="single" w:sz="2" w:space="0" w:color="auto"/>
              <w:right w:val="single" w:sz="2" w:space="0" w:color="auto"/>
            </w:tcBorders>
          </w:tcPr>
          <w:p w:rsidR="00505D66" w:rsidRPr="00C903F8" w:rsidRDefault="00624017" w:rsidP="009F4F31">
            <w:pPr>
              <w:autoSpaceDE/>
              <w:autoSpaceDN/>
              <w:spacing w:before="60" w:after="60" w:line="240" w:lineRule="atLeast"/>
              <w:ind w:left="0" w:firstLine="0"/>
              <w:jc w:val="left"/>
              <w:rPr>
                <w:rFonts w:cs="Arial"/>
                <w:noProof/>
                <w:szCs w:val="20"/>
              </w:rPr>
            </w:pPr>
            <m:oMath>
              <m:sSub>
                <m:sSubPr>
                  <m:ctrlPr>
                    <w:rPr>
                      <w:rFonts w:ascii="Cambria Math" w:eastAsia="Calibri" w:hAnsi="Cambria Math"/>
                      <w:i/>
                      <w:noProof/>
                      <w:szCs w:val="20"/>
                    </w:rPr>
                  </m:ctrlPr>
                </m:sSubPr>
                <m:e>
                  <m:r>
                    <w:rPr>
                      <w:rFonts w:ascii="Cambria Math" w:eastAsia="Calibri" w:hAnsi="Cambria Math"/>
                      <w:noProof/>
                      <w:szCs w:val="20"/>
                    </w:rPr>
                    <m:t>φ</m:t>
                  </m:r>
                </m:e>
                <m:sub>
                  <m:r>
                    <w:rPr>
                      <w:rFonts w:ascii="Cambria Math" w:eastAsia="Calibri" w:hAnsi="Cambria Math"/>
                      <w:noProof/>
                      <w:szCs w:val="20"/>
                    </w:rPr>
                    <m:t>max</m:t>
                  </m:r>
                </m:sub>
              </m:sSub>
              <m:r>
                <w:rPr>
                  <w:rFonts w:ascii="Cambria Math" w:eastAsia="Calibri" w:hAnsi="Cambria Math"/>
                  <w:noProof/>
                  <w:szCs w:val="20"/>
                </w:rPr>
                <m:t xml:space="preserve"> ≤15°</m:t>
              </m:r>
            </m:oMath>
            <w:r w:rsidR="00801F1F">
              <w:t xml:space="preserve"> oppure </w:t>
            </w:r>
            <m:oMath>
              <m:sSub>
                <m:sSubPr>
                  <m:ctrlPr>
                    <w:rPr>
                      <w:rFonts w:ascii="Cambria Math" w:eastAsia="Calibri" w:hAnsi="Cambria Math"/>
                      <w:i/>
                      <w:noProof/>
                      <w:szCs w:val="20"/>
                    </w:rPr>
                  </m:ctrlPr>
                </m:sSubPr>
                <m:e>
                  <m:r>
                    <w:rPr>
                      <w:rFonts w:ascii="Cambria Math" w:eastAsia="Calibri" w:hAnsi="Cambria Math"/>
                      <w:noProof/>
                      <w:szCs w:val="20"/>
                    </w:rPr>
                    <m:t>φ</m:t>
                  </m:r>
                </m:e>
                <m:sub>
                  <m:r>
                    <w:rPr>
                      <w:rFonts w:ascii="Cambria Math" w:eastAsia="Calibri" w:hAnsi="Cambria Math"/>
                      <w:noProof/>
                      <w:szCs w:val="20"/>
                    </w:rPr>
                    <m:t>f</m:t>
                  </m:r>
                </m:sub>
              </m:sSub>
              <m:r>
                <w:rPr>
                  <w:rFonts w:ascii="Cambria Math" w:eastAsia="Calibri" w:hAnsi="Cambria Math"/>
                  <w:noProof/>
                  <w:szCs w:val="20"/>
                </w:rPr>
                <m:t xml:space="preserve"> ≤15°</m:t>
              </m:r>
            </m:oMath>
          </w:p>
        </w:tc>
        <w:tc>
          <w:tcPr>
            <w:tcW w:w="1393" w:type="dxa"/>
            <w:tcBorders>
              <w:top w:val="single" w:sz="2" w:space="0" w:color="auto"/>
              <w:left w:val="single" w:sz="2" w:space="0" w:color="auto"/>
              <w:bottom w:val="single" w:sz="2" w:space="0" w:color="auto"/>
              <w:right w:val="single" w:sz="2" w:space="0" w:color="auto"/>
            </w:tcBorders>
          </w:tcPr>
          <w:p w:rsidR="00505D66" w:rsidRPr="00C903F8" w:rsidRDefault="00505D66" w:rsidP="00505D66">
            <w:pPr>
              <w:autoSpaceDE/>
              <w:autoSpaceDN/>
              <w:spacing w:before="60" w:after="60" w:line="240" w:lineRule="atLeast"/>
              <w:ind w:left="0" w:firstLine="0"/>
              <w:jc w:val="left"/>
              <w:rPr>
                <w:rFonts w:cs="Arial"/>
                <w:noProof/>
                <w:sz w:val="18"/>
                <w:szCs w:val="18"/>
              </w:rPr>
            </w:pPr>
          </w:p>
        </w:tc>
        <w:tc>
          <w:tcPr>
            <w:tcW w:w="4736" w:type="dxa"/>
            <w:tcBorders>
              <w:top w:val="single" w:sz="2" w:space="0" w:color="auto"/>
              <w:left w:val="single" w:sz="2" w:space="0" w:color="auto"/>
              <w:bottom w:val="single" w:sz="2" w:space="0" w:color="auto"/>
              <w:right w:val="single" w:sz="2" w:space="0" w:color="auto"/>
            </w:tcBorders>
          </w:tcPr>
          <w:p w:rsidR="00505D66" w:rsidRPr="00C903F8" w:rsidRDefault="00652561" w:rsidP="00652561">
            <w:pPr>
              <w:autoSpaceDE/>
              <w:autoSpaceDN/>
              <w:spacing w:before="60" w:after="60" w:line="240" w:lineRule="atLeast"/>
              <w:ind w:left="0" w:firstLine="0"/>
              <w:jc w:val="left"/>
              <w:rPr>
                <w:rFonts w:cs="Arial"/>
                <w:noProof/>
                <w:sz w:val="18"/>
                <w:szCs w:val="18"/>
              </w:rPr>
            </w:pPr>
            <m:oMath>
              <m:r>
                <w:rPr>
                  <w:rFonts w:ascii="Cambria Math" w:hAnsi="Cambria Math" w:cs="Arial"/>
                  <w:noProof/>
                  <w:szCs w:val="18"/>
                </w:rPr>
                <m:t>0,05 m ∙rad</m:t>
              </m:r>
            </m:oMath>
            <w:r>
              <w:rPr>
                <w:noProof/>
                <w:sz w:val="18"/>
              </w:rPr>
              <w:t xml:space="preserve"> al minore degli angoli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oMath>
            <w:r>
              <w:rPr>
                <w:noProof/>
                <w:sz w:val="18"/>
              </w:rPr>
              <w:t xml:space="preserve"> o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f</m:t>
                  </m:r>
                </m:sub>
              </m:sSub>
            </m:oMath>
          </w:p>
        </w:tc>
      </w:tr>
      <w:tr w:rsidR="00505D66" w:rsidRPr="00A0619C" w:rsidTr="009F4F31">
        <w:tc>
          <w:tcPr>
            <w:tcW w:w="680" w:type="dxa"/>
            <w:tcBorders>
              <w:top w:val="single" w:sz="2" w:space="0" w:color="auto"/>
              <w:left w:val="single" w:sz="2" w:space="0" w:color="auto"/>
              <w:bottom w:val="single" w:sz="2" w:space="0" w:color="auto"/>
              <w:right w:val="single" w:sz="2" w:space="0" w:color="auto"/>
            </w:tcBorders>
          </w:tcPr>
          <w:p w:rsidR="00505D66" w:rsidRPr="00C903F8" w:rsidRDefault="00505D66" w:rsidP="00505D66">
            <w:pPr>
              <w:autoSpaceDE/>
              <w:autoSpaceDN/>
              <w:spacing w:before="60" w:after="60" w:line="240" w:lineRule="atLeast"/>
              <w:ind w:left="0" w:firstLine="0"/>
              <w:jc w:val="left"/>
              <w:rPr>
                <w:rFonts w:cs="Arial"/>
                <w:noProof/>
                <w:sz w:val="18"/>
                <w:szCs w:val="18"/>
              </w:rPr>
            </w:pPr>
            <w:r>
              <w:rPr>
                <w:noProof/>
                <w:sz w:val="18"/>
              </w:rPr>
              <w:t>2</w:t>
            </w:r>
          </w:p>
        </w:tc>
        <w:tc>
          <w:tcPr>
            <w:tcW w:w="2381" w:type="dxa"/>
            <w:tcBorders>
              <w:top w:val="single" w:sz="2" w:space="0" w:color="auto"/>
              <w:left w:val="single" w:sz="2" w:space="0" w:color="auto"/>
              <w:bottom w:val="single" w:sz="2" w:space="0" w:color="auto"/>
              <w:right w:val="single" w:sz="2" w:space="0" w:color="auto"/>
            </w:tcBorders>
          </w:tcPr>
          <w:p w:rsidR="00505D66" w:rsidRPr="00C903F8" w:rsidRDefault="00624017" w:rsidP="009F4F31">
            <w:pPr>
              <w:autoSpaceDE/>
              <w:autoSpaceDN/>
              <w:spacing w:before="60" w:after="60" w:line="240" w:lineRule="atLeast"/>
              <w:ind w:left="0" w:firstLine="0"/>
              <w:jc w:val="left"/>
              <w:rPr>
                <w:rFonts w:cs="Arial"/>
                <w:noProof/>
                <w:szCs w:val="20"/>
              </w:rPr>
            </w:pPr>
            <m:oMathPara>
              <m:oMath>
                <m:sSub>
                  <m:sSubPr>
                    <m:ctrlPr>
                      <w:rPr>
                        <w:rFonts w:ascii="Cambria Math" w:eastAsia="Calibri" w:hAnsi="Cambria Math"/>
                        <w:i/>
                        <w:noProof/>
                        <w:szCs w:val="20"/>
                      </w:rPr>
                    </m:ctrlPr>
                  </m:sSubPr>
                  <m:e>
                    <m:r>
                      <w:rPr>
                        <w:rFonts w:ascii="Cambria Math" w:eastAsia="Calibri" w:hAnsi="Cambria Math"/>
                        <w:noProof/>
                        <w:szCs w:val="20"/>
                      </w:rPr>
                      <m:t>15° &lt;φ</m:t>
                    </m:r>
                  </m:e>
                  <m:sub>
                    <m:r>
                      <w:rPr>
                        <w:rFonts w:ascii="Cambria Math" w:eastAsia="Calibri" w:hAnsi="Cambria Math"/>
                        <w:noProof/>
                        <w:szCs w:val="20"/>
                      </w:rPr>
                      <m:t>max</m:t>
                    </m:r>
                  </m:sub>
                </m:sSub>
                <m:r>
                  <w:rPr>
                    <w:rFonts w:ascii="Cambria Math" w:eastAsia="Calibri" w:hAnsi="Cambria Math"/>
                    <w:noProof/>
                    <w:szCs w:val="20"/>
                  </w:rPr>
                  <m:t>&lt; 30°</m:t>
                </m:r>
              </m:oMath>
            </m:oMathPara>
          </w:p>
        </w:tc>
        <w:tc>
          <w:tcPr>
            <w:tcW w:w="1393" w:type="dxa"/>
            <w:tcBorders>
              <w:top w:val="single" w:sz="2" w:space="0" w:color="auto"/>
              <w:left w:val="single" w:sz="2" w:space="0" w:color="auto"/>
              <w:bottom w:val="single" w:sz="2" w:space="0" w:color="auto"/>
              <w:right w:val="single" w:sz="2" w:space="0" w:color="auto"/>
            </w:tcBorders>
          </w:tcPr>
          <w:p w:rsidR="00505D66" w:rsidRPr="00C903F8" w:rsidRDefault="00624017" w:rsidP="00D80B34">
            <w:pPr>
              <w:autoSpaceDE/>
              <w:autoSpaceDN/>
              <w:spacing w:before="60" w:after="60" w:line="240" w:lineRule="atLeast"/>
              <w:ind w:left="0" w:firstLine="0"/>
              <w:jc w:val="left"/>
              <w:rPr>
                <w:rFonts w:cs="Arial"/>
                <w:noProof/>
                <w:sz w:val="18"/>
                <w:szCs w:val="18"/>
              </w:rPr>
            </w:pPr>
            <m:oMathPara>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r>
                  <w:rPr>
                    <w:rFonts w:ascii="Cambria Math" w:eastAsia="Calibri" w:hAnsi="Cambria Math"/>
                    <w:noProof/>
                  </w:rPr>
                  <m:t xml:space="preserve"> ≤</m:t>
                </m:r>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f</m:t>
                    </m:r>
                  </m:sub>
                </m:sSub>
              </m:oMath>
            </m:oMathPara>
          </w:p>
        </w:tc>
        <w:tc>
          <w:tcPr>
            <w:tcW w:w="4736" w:type="dxa"/>
            <w:tcBorders>
              <w:top w:val="single" w:sz="2" w:space="0" w:color="auto"/>
              <w:left w:val="single" w:sz="2" w:space="0" w:color="auto"/>
              <w:bottom w:val="single" w:sz="2" w:space="0" w:color="auto"/>
              <w:right w:val="single" w:sz="2" w:space="0" w:color="auto"/>
            </w:tcBorders>
          </w:tcPr>
          <w:p w:rsidR="00505D66" w:rsidRPr="00C903F8" w:rsidRDefault="00652561" w:rsidP="00652561">
            <w:pPr>
              <w:autoSpaceDE/>
              <w:autoSpaceDN/>
              <w:spacing w:before="60" w:after="60" w:line="240" w:lineRule="atLeast"/>
              <w:ind w:left="0" w:firstLine="0"/>
              <w:jc w:val="left"/>
              <w:rPr>
                <w:rFonts w:cs="Arial"/>
                <w:noProof/>
                <w:sz w:val="18"/>
                <w:szCs w:val="18"/>
              </w:rPr>
            </w:pPr>
            <m:oMath>
              <m:r>
                <w:rPr>
                  <w:rFonts w:ascii="Cambria Math" w:hAnsi="Cambria Math" w:cs="Arial"/>
                  <w:noProof/>
                  <w:szCs w:val="18"/>
                </w:rPr>
                <m:t xml:space="preserve">0,035+0,001 ∙(30- </m:t>
              </m:r>
              <m:sSub>
                <m:sSubPr>
                  <m:ctrlPr>
                    <w:rPr>
                      <w:rFonts w:ascii="Cambria Math" w:hAnsi="Cambria Math" w:cs="Arial"/>
                      <w:i/>
                      <w:noProof/>
                      <w:szCs w:val="18"/>
                    </w:rPr>
                  </m:ctrlPr>
                </m:sSubPr>
                <m:e>
                  <m:r>
                    <w:rPr>
                      <w:rFonts w:ascii="Cambria Math" w:hAnsi="Cambria Math" w:cs="Arial"/>
                      <w:noProof/>
                      <w:szCs w:val="18"/>
                    </w:rPr>
                    <m:t>φ</m:t>
                  </m:r>
                </m:e>
                <m:sub>
                  <m:r>
                    <w:rPr>
                      <w:rFonts w:ascii="Cambria Math" w:hAnsi="Cambria Math" w:cs="Arial"/>
                      <w:noProof/>
                      <w:szCs w:val="18"/>
                    </w:rPr>
                    <m:t>max</m:t>
                  </m:r>
                </m:sub>
              </m:sSub>
              <m:r>
                <w:rPr>
                  <w:rFonts w:ascii="Cambria Math" w:hAnsi="Cambria Math" w:cs="Arial"/>
                  <w:noProof/>
                  <w:szCs w:val="18"/>
                </w:rPr>
                <m:t>) m ∙rad</m:t>
              </m:r>
            </m:oMath>
            <w:r>
              <w:t xml:space="preserve"> </w:t>
            </w:r>
            <w:r>
              <w:rPr>
                <w:noProof/>
                <w:sz w:val="18"/>
              </w:rPr>
              <w:t xml:space="preserve">fino all'angolo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oMath>
          </w:p>
        </w:tc>
      </w:tr>
      <w:tr w:rsidR="00505D66" w:rsidRPr="00A0619C" w:rsidTr="009F4F31">
        <w:tc>
          <w:tcPr>
            <w:tcW w:w="680" w:type="dxa"/>
            <w:tcBorders>
              <w:top w:val="single" w:sz="2" w:space="0" w:color="auto"/>
              <w:left w:val="single" w:sz="2" w:space="0" w:color="auto"/>
              <w:bottom w:val="single" w:sz="2" w:space="0" w:color="auto"/>
              <w:right w:val="single" w:sz="2" w:space="0" w:color="auto"/>
            </w:tcBorders>
          </w:tcPr>
          <w:p w:rsidR="00505D66" w:rsidRPr="00C903F8" w:rsidRDefault="00505D66" w:rsidP="00505D66">
            <w:pPr>
              <w:autoSpaceDE/>
              <w:autoSpaceDN/>
              <w:spacing w:before="60" w:after="60" w:line="240" w:lineRule="atLeast"/>
              <w:ind w:left="0" w:firstLine="0"/>
              <w:jc w:val="left"/>
              <w:rPr>
                <w:rFonts w:cs="Arial"/>
                <w:noProof/>
                <w:sz w:val="18"/>
                <w:szCs w:val="18"/>
              </w:rPr>
            </w:pPr>
            <w:r>
              <w:rPr>
                <w:noProof/>
                <w:sz w:val="18"/>
              </w:rPr>
              <w:t>3</w:t>
            </w:r>
          </w:p>
        </w:tc>
        <w:tc>
          <w:tcPr>
            <w:tcW w:w="2381" w:type="dxa"/>
            <w:tcBorders>
              <w:top w:val="single" w:sz="2" w:space="0" w:color="auto"/>
              <w:left w:val="single" w:sz="2" w:space="0" w:color="auto"/>
              <w:bottom w:val="single" w:sz="2" w:space="0" w:color="auto"/>
              <w:right w:val="single" w:sz="2" w:space="0" w:color="auto"/>
            </w:tcBorders>
          </w:tcPr>
          <w:p w:rsidR="00505D66" w:rsidRPr="00C903F8" w:rsidRDefault="00624017" w:rsidP="00820E6F">
            <w:pPr>
              <w:autoSpaceDE/>
              <w:autoSpaceDN/>
              <w:spacing w:before="60" w:after="60" w:line="240" w:lineRule="atLeast"/>
              <w:ind w:left="0" w:firstLine="0"/>
              <w:jc w:val="left"/>
              <w:rPr>
                <w:rFonts w:cs="Arial"/>
                <w:noProof/>
                <w:szCs w:val="20"/>
              </w:rPr>
            </w:pPr>
            <m:oMathPara>
              <m:oMath>
                <m:sSub>
                  <m:sSubPr>
                    <m:ctrlPr>
                      <w:rPr>
                        <w:rFonts w:ascii="Cambria Math" w:eastAsia="Calibri" w:hAnsi="Cambria Math"/>
                        <w:i/>
                        <w:noProof/>
                        <w:szCs w:val="20"/>
                      </w:rPr>
                    </m:ctrlPr>
                  </m:sSubPr>
                  <m:e>
                    <m:r>
                      <w:rPr>
                        <w:rFonts w:ascii="Cambria Math" w:eastAsia="Calibri" w:hAnsi="Cambria Math"/>
                        <w:noProof/>
                        <w:szCs w:val="20"/>
                      </w:rPr>
                      <m:t>15° &lt;φ</m:t>
                    </m:r>
                  </m:e>
                  <m:sub>
                    <m:r>
                      <w:rPr>
                        <w:rFonts w:ascii="Cambria Math" w:eastAsia="Calibri" w:hAnsi="Cambria Math"/>
                        <w:noProof/>
                        <w:szCs w:val="20"/>
                      </w:rPr>
                      <m:t>f</m:t>
                    </m:r>
                  </m:sub>
                </m:sSub>
                <m:r>
                  <w:rPr>
                    <w:rFonts w:ascii="Cambria Math" w:eastAsia="Calibri" w:hAnsi="Cambria Math"/>
                    <w:noProof/>
                    <w:szCs w:val="20"/>
                  </w:rPr>
                  <m:t>&lt; 30°</m:t>
                </m:r>
              </m:oMath>
            </m:oMathPara>
          </w:p>
        </w:tc>
        <w:tc>
          <w:tcPr>
            <w:tcW w:w="1393" w:type="dxa"/>
            <w:tcBorders>
              <w:top w:val="single" w:sz="2" w:space="0" w:color="auto"/>
              <w:left w:val="single" w:sz="2" w:space="0" w:color="auto"/>
              <w:bottom w:val="single" w:sz="2" w:space="0" w:color="auto"/>
              <w:right w:val="single" w:sz="2" w:space="0" w:color="auto"/>
            </w:tcBorders>
          </w:tcPr>
          <w:p w:rsidR="00505D66" w:rsidRPr="00C903F8" w:rsidRDefault="00624017" w:rsidP="00D80B34">
            <w:pPr>
              <w:autoSpaceDE/>
              <w:autoSpaceDN/>
              <w:spacing w:before="60" w:after="60" w:line="240" w:lineRule="atLeast"/>
              <w:ind w:left="0" w:firstLine="0"/>
              <w:jc w:val="left"/>
              <w:rPr>
                <w:rFonts w:cs="Arial"/>
                <w:noProof/>
                <w:sz w:val="18"/>
                <w:szCs w:val="18"/>
              </w:rPr>
            </w:pPr>
            <m:oMathPara>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r>
                  <w:rPr>
                    <w:rFonts w:ascii="Cambria Math" w:eastAsia="Calibri" w:hAnsi="Cambria Math"/>
                    <w:noProof/>
                  </w:rPr>
                  <m:t>&gt;</m:t>
                </m:r>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f</m:t>
                    </m:r>
                  </m:sub>
                </m:sSub>
              </m:oMath>
            </m:oMathPara>
          </w:p>
        </w:tc>
        <w:tc>
          <w:tcPr>
            <w:tcW w:w="4736" w:type="dxa"/>
            <w:tcBorders>
              <w:top w:val="single" w:sz="2" w:space="0" w:color="auto"/>
              <w:left w:val="single" w:sz="2" w:space="0" w:color="auto"/>
              <w:bottom w:val="single" w:sz="2" w:space="0" w:color="auto"/>
              <w:right w:val="single" w:sz="2" w:space="0" w:color="auto"/>
            </w:tcBorders>
          </w:tcPr>
          <w:p w:rsidR="00505D66" w:rsidRPr="00C903F8" w:rsidRDefault="00652561" w:rsidP="00652561">
            <w:pPr>
              <w:autoSpaceDE/>
              <w:autoSpaceDN/>
              <w:spacing w:before="60" w:after="60" w:line="240" w:lineRule="atLeast"/>
              <w:ind w:left="0" w:firstLine="0"/>
              <w:jc w:val="left"/>
              <w:rPr>
                <w:rFonts w:cs="Arial"/>
                <w:noProof/>
                <w:sz w:val="18"/>
                <w:szCs w:val="18"/>
              </w:rPr>
            </w:pPr>
            <m:oMath>
              <m:r>
                <w:rPr>
                  <w:rFonts w:ascii="Cambria Math" w:hAnsi="Cambria Math" w:cs="Arial"/>
                  <w:noProof/>
                  <w:szCs w:val="18"/>
                </w:rPr>
                <m:t xml:space="preserve">0,035+0,001 ∙(30- </m:t>
              </m:r>
              <m:sSub>
                <m:sSubPr>
                  <m:ctrlPr>
                    <w:rPr>
                      <w:rFonts w:ascii="Cambria Math" w:hAnsi="Cambria Math" w:cs="Arial"/>
                      <w:i/>
                      <w:noProof/>
                      <w:szCs w:val="18"/>
                    </w:rPr>
                  </m:ctrlPr>
                </m:sSubPr>
                <m:e>
                  <m:r>
                    <w:rPr>
                      <w:rFonts w:ascii="Cambria Math" w:hAnsi="Cambria Math" w:cs="Arial"/>
                      <w:noProof/>
                      <w:szCs w:val="18"/>
                    </w:rPr>
                    <m:t>φ</m:t>
                  </m:r>
                </m:e>
                <m:sub>
                  <m:r>
                    <w:rPr>
                      <w:rFonts w:ascii="Cambria Math" w:hAnsi="Cambria Math" w:cs="Arial"/>
                      <w:noProof/>
                      <w:szCs w:val="18"/>
                    </w:rPr>
                    <m:t>f</m:t>
                  </m:r>
                </m:sub>
              </m:sSub>
              <m:r>
                <w:rPr>
                  <w:rFonts w:ascii="Cambria Math" w:hAnsi="Cambria Math" w:cs="Arial"/>
                  <w:noProof/>
                  <w:szCs w:val="18"/>
                </w:rPr>
                <m:t>) m ∙rad</m:t>
              </m:r>
            </m:oMath>
            <w:r>
              <w:rPr>
                <w:noProof/>
                <w:sz w:val="18"/>
              </w:rPr>
              <w:t xml:space="preserve"> fino all'angolo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f</m:t>
                  </m:r>
                </m:sub>
              </m:sSub>
            </m:oMath>
          </w:p>
        </w:tc>
      </w:tr>
      <w:tr w:rsidR="00505D66" w:rsidRPr="00A0619C" w:rsidTr="009F4F31">
        <w:tc>
          <w:tcPr>
            <w:tcW w:w="680" w:type="dxa"/>
            <w:tcBorders>
              <w:top w:val="single" w:sz="2" w:space="0" w:color="auto"/>
              <w:left w:val="single" w:sz="2" w:space="0" w:color="auto"/>
              <w:bottom w:val="single" w:sz="2" w:space="0" w:color="auto"/>
              <w:right w:val="single" w:sz="2" w:space="0" w:color="auto"/>
            </w:tcBorders>
          </w:tcPr>
          <w:p w:rsidR="00505D66" w:rsidRPr="00C903F8" w:rsidRDefault="00505D66" w:rsidP="00505D66">
            <w:pPr>
              <w:autoSpaceDE/>
              <w:autoSpaceDN/>
              <w:spacing w:before="60" w:after="60" w:line="240" w:lineRule="atLeast"/>
              <w:ind w:left="0" w:firstLine="0"/>
              <w:jc w:val="left"/>
              <w:rPr>
                <w:rFonts w:cs="Arial"/>
                <w:noProof/>
                <w:sz w:val="18"/>
                <w:szCs w:val="18"/>
              </w:rPr>
            </w:pPr>
            <w:r>
              <w:rPr>
                <w:noProof/>
                <w:sz w:val="18"/>
              </w:rPr>
              <w:t>4</w:t>
            </w:r>
          </w:p>
        </w:tc>
        <w:tc>
          <w:tcPr>
            <w:tcW w:w="2381" w:type="dxa"/>
            <w:tcBorders>
              <w:top w:val="single" w:sz="2" w:space="0" w:color="auto"/>
              <w:left w:val="single" w:sz="2" w:space="0" w:color="auto"/>
              <w:bottom w:val="single" w:sz="2" w:space="0" w:color="auto"/>
              <w:right w:val="single" w:sz="2" w:space="0" w:color="auto"/>
            </w:tcBorders>
          </w:tcPr>
          <w:p w:rsidR="00505D66" w:rsidRPr="00C903F8" w:rsidRDefault="00624017" w:rsidP="009F4F31">
            <w:pPr>
              <w:autoSpaceDE/>
              <w:autoSpaceDN/>
              <w:spacing w:before="60" w:after="60" w:line="240" w:lineRule="atLeast"/>
              <w:ind w:left="0" w:firstLine="0"/>
              <w:jc w:val="left"/>
              <w:rPr>
                <w:rFonts w:cs="Arial"/>
                <w:noProof/>
                <w:szCs w:val="20"/>
              </w:rPr>
            </w:pPr>
            <m:oMath>
              <m:sSub>
                <m:sSubPr>
                  <m:ctrlPr>
                    <w:rPr>
                      <w:rFonts w:ascii="Cambria Math" w:eastAsia="Calibri" w:hAnsi="Cambria Math"/>
                      <w:i/>
                      <w:noProof/>
                      <w:szCs w:val="20"/>
                    </w:rPr>
                  </m:ctrlPr>
                </m:sSubPr>
                <m:e>
                  <m:r>
                    <w:rPr>
                      <w:rFonts w:ascii="Cambria Math" w:eastAsia="Calibri" w:hAnsi="Cambria Math"/>
                      <w:noProof/>
                      <w:szCs w:val="20"/>
                    </w:rPr>
                    <m:t>φ</m:t>
                  </m:r>
                </m:e>
                <m:sub>
                  <m:r>
                    <w:rPr>
                      <w:rFonts w:ascii="Cambria Math" w:eastAsia="Calibri" w:hAnsi="Cambria Math"/>
                      <w:noProof/>
                      <w:szCs w:val="20"/>
                    </w:rPr>
                    <m:t>max</m:t>
                  </m:r>
                </m:sub>
              </m:sSub>
              <m:r>
                <w:rPr>
                  <w:rFonts w:ascii="Cambria Math" w:eastAsia="Calibri" w:hAnsi="Cambria Math"/>
                  <w:noProof/>
                  <w:szCs w:val="20"/>
                </w:rPr>
                <m:t xml:space="preserve"> ≥30°</m:t>
              </m:r>
            </m:oMath>
            <w:r w:rsidR="00801F1F">
              <w:t xml:space="preserve"> e </w:t>
            </w:r>
            <m:oMath>
              <m:sSub>
                <m:sSubPr>
                  <m:ctrlPr>
                    <w:rPr>
                      <w:rFonts w:ascii="Cambria Math" w:eastAsia="Calibri" w:hAnsi="Cambria Math"/>
                      <w:i/>
                      <w:noProof/>
                      <w:szCs w:val="20"/>
                    </w:rPr>
                  </m:ctrlPr>
                </m:sSubPr>
                <m:e>
                  <m:r>
                    <w:rPr>
                      <w:rFonts w:ascii="Cambria Math" w:eastAsia="Calibri" w:hAnsi="Cambria Math"/>
                      <w:noProof/>
                      <w:szCs w:val="20"/>
                    </w:rPr>
                    <m:t>φ</m:t>
                  </m:r>
                </m:e>
                <m:sub>
                  <m:r>
                    <w:rPr>
                      <w:rFonts w:ascii="Cambria Math" w:eastAsia="Calibri" w:hAnsi="Cambria Math"/>
                      <w:noProof/>
                      <w:szCs w:val="20"/>
                    </w:rPr>
                    <m:t>f</m:t>
                  </m:r>
                </m:sub>
              </m:sSub>
              <m:r>
                <w:rPr>
                  <w:rFonts w:ascii="Cambria Math" w:eastAsia="Calibri" w:hAnsi="Cambria Math"/>
                  <w:noProof/>
                  <w:szCs w:val="20"/>
                </w:rPr>
                <m:t xml:space="preserve"> ≥30°</m:t>
              </m:r>
            </m:oMath>
          </w:p>
        </w:tc>
        <w:tc>
          <w:tcPr>
            <w:tcW w:w="1393" w:type="dxa"/>
            <w:tcBorders>
              <w:top w:val="single" w:sz="2" w:space="0" w:color="auto"/>
              <w:left w:val="single" w:sz="2" w:space="0" w:color="auto"/>
              <w:bottom w:val="single" w:sz="2" w:space="0" w:color="auto"/>
              <w:right w:val="single" w:sz="2" w:space="0" w:color="auto"/>
            </w:tcBorders>
          </w:tcPr>
          <w:p w:rsidR="00505D66" w:rsidRPr="00C903F8" w:rsidRDefault="00505D66" w:rsidP="00505D66">
            <w:pPr>
              <w:autoSpaceDE/>
              <w:autoSpaceDN/>
              <w:spacing w:before="60" w:after="60" w:line="240" w:lineRule="atLeast"/>
              <w:ind w:left="0" w:firstLine="0"/>
              <w:jc w:val="left"/>
              <w:rPr>
                <w:rFonts w:cs="Arial"/>
                <w:noProof/>
                <w:sz w:val="18"/>
                <w:szCs w:val="18"/>
              </w:rPr>
            </w:pPr>
          </w:p>
        </w:tc>
        <w:tc>
          <w:tcPr>
            <w:tcW w:w="4736" w:type="dxa"/>
            <w:tcBorders>
              <w:top w:val="single" w:sz="2" w:space="0" w:color="auto"/>
              <w:left w:val="single" w:sz="2" w:space="0" w:color="auto"/>
              <w:bottom w:val="single" w:sz="2" w:space="0" w:color="auto"/>
              <w:right w:val="single" w:sz="2" w:space="0" w:color="auto"/>
            </w:tcBorders>
          </w:tcPr>
          <w:p w:rsidR="00505D66" w:rsidRPr="00C903F8" w:rsidRDefault="00652561" w:rsidP="00652561">
            <w:pPr>
              <w:autoSpaceDE/>
              <w:autoSpaceDN/>
              <w:spacing w:before="60" w:after="60" w:line="240" w:lineRule="atLeast"/>
              <w:ind w:left="0" w:firstLine="0"/>
              <w:jc w:val="left"/>
              <w:rPr>
                <w:rFonts w:cs="Arial"/>
                <w:noProof/>
                <w:sz w:val="18"/>
                <w:szCs w:val="18"/>
              </w:rPr>
            </w:pPr>
            <m:oMath>
              <m:r>
                <w:rPr>
                  <w:rFonts w:ascii="Cambria Math" w:hAnsi="Cambria Math" w:cs="Arial"/>
                  <w:noProof/>
                  <w:szCs w:val="18"/>
                </w:rPr>
                <m:t>0,035 m ∙rad</m:t>
              </m:r>
            </m:oMath>
            <w:r>
              <w:rPr>
                <w:noProof/>
                <w:sz w:val="18"/>
              </w:rPr>
              <w:t xml:space="preserve"> fino all'angolo </w:t>
            </w:r>
            <m:oMath>
              <m:r>
                <w:rPr>
                  <w:rFonts w:ascii="Cambria Math" w:hAnsi="Cambria Math" w:cs="Arial"/>
                  <w:noProof/>
                  <w:sz w:val="18"/>
                  <w:szCs w:val="18"/>
                </w:rPr>
                <m:t>φ</m:t>
              </m:r>
              <m:r>
                <w:rPr>
                  <w:rFonts w:ascii="Cambria Math" w:eastAsia="Calibri" w:hAnsi="Cambria Math"/>
                  <w:noProof/>
                </w:rPr>
                <m:t>=30°</m:t>
              </m:r>
            </m:oMath>
          </w:p>
        </w:tc>
      </w:tr>
    </w:tbl>
    <w:p w:rsidR="00577ECC" w:rsidRPr="00C903F8" w:rsidRDefault="00577ECC" w:rsidP="00577ECC">
      <w:pPr>
        <w:pStyle w:val="ESgauche"/>
        <w:rPr>
          <w:rFonts w:eastAsia="Calibri"/>
        </w:rPr>
      </w:pPr>
    </w:p>
    <w:p w:rsidR="00973DAA" w:rsidRPr="00C903F8" w:rsidRDefault="00973DAA" w:rsidP="00222FDC">
      <w:pPr>
        <w:pStyle w:val="ESletpar"/>
        <w:ind w:left="567"/>
        <w:rPr>
          <w:rFonts w:ascii="Times New Roman" w:hAnsi="Times New Roman" w:cs="Arial"/>
          <w:szCs w:val="18"/>
        </w:rPr>
      </w:pPr>
      <w:r>
        <w:t>dove:</w:t>
      </w:r>
    </w:p>
    <w:p w:rsidR="00973DAA" w:rsidRPr="00C903F8" w:rsidRDefault="00624017" w:rsidP="00222FDC">
      <w:pPr>
        <w:pStyle w:val="EStiret"/>
        <w:ind w:left="1276" w:hanging="709"/>
        <w:rPr>
          <w:rFonts w:eastAsia="Calibri" w:cs="Arial"/>
          <w:szCs w:val="18"/>
        </w:rPr>
      </w:pPr>
      <m:oMath>
        <m:sSub>
          <m:sSubPr>
            <m:ctrlPr>
              <w:rPr>
                <w:rFonts w:ascii="Cambria Math" w:eastAsia="Calibri" w:hAnsi="Cambria Math"/>
                <w:i/>
                <w:snapToGrid/>
                <w:color w:val="auto"/>
              </w:rPr>
            </m:ctrlPr>
          </m:sSubPr>
          <m:e>
            <m:r>
              <w:rPr>
                <w:rFonts w:ascii="Cambria Math" w:eastAsia="Calibri" w:hAnsi="Cambria Math"/>
              </w:rPr>
              <m:t>h</m:t>
            </m:r>
          </m:e>
          <m:sub>
            <m:r>
              <w:rPr>
                <w:rFonts w:ascii="Cambria Math" w:eastAsia="Calibri" w:hAnsi="Cambria Math"/>
              </w:rPr>
              <m:t>max</m:t>
            </m:r>
          </m:sub>
        </m:sSub>
      </m:oMath>
      <w:r w:rsidR="00801F1F">
        <w:tab/>
        <w:t>è il massimo braccio</w:t>
      </w:r>
    </w:p>
    <w:p w:rsidR="00973DAA" w:rsidRPr="00C903F8" w:rsidRDefault="00A535DE" w:rsidP="00222FDC">
      <w:pPr>
        <w:pStyle w:val="EStiret"/>
        <w:ind w:left="1276" w:hanging="709"/>
        <w:rPr>
          <w:rFonts w:eastAsia="Calibri" w:cs="Arial"/>
          <w:szCs w:val="18"/>
          <w:vertAlign w:val="superscript"/>
        </w:rPr>
      </w:pPr>
      <m:oMath>
        <m:r>
          <w:rPr>
            <w:rFonts w:ascii="Cambria Math" w:eastAsia="Calibri" w:hAnsi="Cambria Math"/>
          </w:rPr>
          <m:t>φ</m:t>
        </m:r>
      </m:oMath>
      <w:r>
        <w:tab/>
        <w:t>è l'angolo di sbandamento;</w:t>
      </w:r>
    </w:p>
    <w:p w:rsidR="00973DAA" w:rsidRPr="00C903F8" w:rsidRDefault="00624017" w:rsidP="00222FDC">
      <w:pPr>
        <w:pStyle w:val="EStiret"/>
        <w:ind w:left="1276" w:hanging="709"/>
        <w:rPr>
          <w:rFonts w:eastAsia="Calibri" w:cs="Arial"/>
          <w:szCs w:val="18"/>
          <w:vertAlign w:val="superscript"/>
        </w:rPr>
      </w:pPr>
      <m:oMath>
        <m:sSub>
          <m:sSubPr>
            <m:ctrlPr>
              <w:rPr>
                <w:rFonts w:ascii="Cambria Math" w:eastAsia="Calibri" w:hAnsi="Cambria Math"/>
                <w:i/>
                <w:snapToGrid/>
                <w:color w:val="auto"/>
              </w:rPr>
            </m:ctrlPr>
          </m:sSubPr>
          <m:e>
            <m:r>
              <w:rPr>
                <w:rFonts w:ascii="Cambria Math" w:eastAsia="Calibri" w:hAnsi="Cambria Math"/>
              </w:rPr>
              <m:t>φ</m:t>
            </m:r>
          </m:e>
          <m:sub>
            <m:r>
              <w:rPr>
                <w:rFonts w:ascii="Cambria Math" w:eastAsia="Calibri" w:hAnsi="Cambria Math"/>
              </w:rPr>
              <m:t>f</m:t>
            </m:r>
          </m:sub>
        </m:sSub>
      </m:oMath>
      <w:r w:rsidR="00801F1F">
        <w:tab/>
        <w:t>è l’angolo di allagamento, ossia l’angolo di sbandamento, in cui le aperture nello scafo, nella sovrastruttura o tuga che non possono essere chiuse in modo da essere a chiusura stagna, sono sommerse</w:t>
      </w:r>
    </w:p>
    <w:p w:rsidR="00973DAA" w:rsidRPr="00C903F8" w:rsidRDefault="00624017" w:rsidP="00222FDC">
      <w:pPr>
        <w:pStyle w:val="EStiret"/>
        <w:ind w:left="1276" w:hanging="709"/>
        <w:rPr>
          <w:rFonts w:eastAsia="Calibri" w:cs="Arial"/>
          <w:szCs w:val="18"/>
          <w:vertAlign w:val="superscript"/>
        </w:rPr>
      </w:pPr>
      <m:oMath>
        <m:sSub>
          <m:sSubPr>
            <m:ctrlPr>
              <w:rPr>
                <w:rFonts w:ascii="Cambria Math" w:eastAsia="Calibri" w:hAnsi="Cambria Math"/>
                <w:i/>
                <w:snapToGrid/>
                <w:color w:val="auto"/>
              </w:rPr>
            </m:ctrlPr>
          </m:sSubPr>
          <m:e>
            <m:r>
              <w:rPr>
                <w:rFonts w:ascii="Cambria Math" w:eastAsia="Calibri" w:hAnsi="Cambria Math"/>
              </w:rPr>
              <m:t>φ</m:t>
            </m:r>
          </m:e>
          <m:sub>
            <m:r>
              <w:rPr>
                <w:rFonts w:ascii="Cambria Math" w:eastAsia="Calibri" w:hAnsi="Cambria Math"/>
              </w:rPr>
              <m:t>mom</m:t>
            </m:r>
          </m:sub>
        </m:sSub>
      </m:oMath>
      <w:r w:rsidR="00801F1F">
        <w:tab/>
        <w:t>è l’angolo di sbandamento massimo di cui alla lettera e)</w:t>
      </w:r>
    </w:p>
    <w:p w:rsidR="00973DAA" w:rsidRPr="00C903F8" w:rsidRDefault="00624017" w:rsidP="00222FDC">
      <w:pPr>
        <w:pStyle w:val="EStiret"/>
        <w:ind w:left="1276" w:hanging="709"/>
        <w:rPr>
          <w:rFonts w:eastAsia="Calibri" w:cs="Arial"/>
          <w:szCs w:val="18"/>
          <w:vertAlign w:val="superscript"/>
        </w:rPr>
      </w:pPr>
      <m:oMath>
        <m:sSub>
          <m:sSubPr>
            <m:ctrlPr>
              <w:rPr>
                <w:rFonts w:ascii="Cambria Math" w:eastAsia="Calibri" w:hAnsi="Cambria Math"/>
                <w:i/>
                <w:snapToGrid/>
                <w:color w:val="auto"/>
              </w:rPr>
            </m:ctrlPr>
          </m:sSubPr>
          <m:e>
            <m:r>
              <w:rPr>
                <w:rFonts w:ascii="Cambria Math" w:eastAsia="Calibri" w:hAnsi="Cambria Math"/>
              </w:rPr>
              <m:t>φ</m:t>
            </m:r>
          </m:e>
          <m:sub>
            <m:r>
              <w:rPr>
                <w:rFonts w:ascii="Cambria Math" w:eastAsia="Calibri" w:hAnsi="Cambria Math"/>
              </w:rPr>
              <m:t>max</m:t>
            </m:r>
          </m:sub>
        </m:sSub>
      </m:oMath>
      <w:r w:rsidR="00801F1F">
        <w:tab/>
        <w:t>è l’angolo di sbandamento in cui si registra il massimo braccio raddrizzante</w:t>
      </w:r>
    </w:p>
    <w:p w:rsidR="00973DAA" w:rsidRPr="00C903F8" w:rsidRDefault="00F1380E" w:rsidP="00222FDC">
      <w:pPr>
        <w:pStyle w:val="EStiret"/>
        <w:ind w:left="1276" w:hanging="709"/>
        <w:rPr>
          <w:rFonts w:eastAsia="Calibri" w:cs="Arial"/>
          <w:szCs w:val="18"/>
          <w:vertAlign w:val="superscript"/>
        </w:rPr>
      </w:pPr>
      <m:oMath>
        <m:r>
          <w:rPr>
            <w:rFonts w:ascii="Cambria Math" w:eastAsia="Calibri" w:hAnsi="Cambria Math" w:cs="Arial"/>
            <w:szCs w:val="18"/>
          </w:rPr>
          <m:t>A</m:t>
        </m:r>
      </m:oMath>
      <w:r>
        <w:tab/>
        <w:t>è l'area sotto la curva dei bracci raddrizzanti;</w:t>
      </w:r>
    </w:p>
    <w:p w:rsidR="00577ECC" w:rsidRPr="00C903F8" w:rsidRDefault="00577ECC" w:rsidP="00973DAA">
      <w:pPr>
        <w:pStyle w:val="ESch"/>
        <w:rPr>
          <w:rFonts w:eastAsia="Calibri"/>
          <w:noProof/>
        </w:rPr>
      </w:pPr>
    </w:p>
    <w:p w:rsidR="00505D66" w:rsidRPr="00C903F8" w:rsidRDefault="00505D66" w:rsidP="00973DAA">
      <w:pPr>
        <w:pStyle w:val="ESch"/>
        <w:rPr>
          <w:rFonts w:eastAsia="Calibri"/>
          <w:noProof/>
        </w:rPr>
      </w:pPr>
      <w:r>
        <w:br w:type="page"/>
      </w:r>
    </w:p>
    <w:p w:rsidR="00973DAA" w:rsidRPr="00C903F8" w:rsidRDefault="005C7859" w:rsidP="00577ECC">
      <w:pPr>
        <w:pStyle w:val="ESlet"/>
        <w:rPr>
          <w:rFonts w:eastAsia="Calibri" w:cs="Arial"/>
          <w:szCs w:val="18"/>
        </w:rPr>
      </w:pPr>
      <w:r>
        <w:lastRenderedPageBreak/>
        <w:t>d)</w:t>
      </w:r>
      <w:r>
        <w:tab/>
        <w:t xml:space="preserve">l'altezza metacentrica iniziale </w:t>
      </w:r>
      <m:oMath>
        <m:sSub>
          <m:sSubPr>
            <m:ctrlPr>
              <w:rPr>
                <w:rFonts w:ascii="Cambria Math" w:eastAsia="Calibri" w:hAnsi="Cambria Math"/>
                <w:i/>
                <w:noProof/>
              </w:rPr>
            </m:ctrlPr>
          </m:sSubPr>
          <m:e>
            <m:r>
              <w:rPr>
                <w:rFonts w:ascii="Cambria Math" w:eastAsia="Calibri" w:hAnsi="Cambria Math"/>
                <w:noProof/>
              </w:rPr>
              <m:t>GM</m:t>
            </m:r>
          </m:e>
          <m:sub>
            <m:r>
              <w:rPr>
                <w:rFonts w:ascii="Cambria Math" w:eastAsia="Calibri" w:hAnsi="Cambria Math"/>
                <w:noProof/>
              </w:rPr>
              <m:t>o</m:t>
            </m:r>
          </m:sub>
        </m:sSub>
      </m:oMath>
      <w:r>
        <w:t>, corretta dall'effetto delle superfici libere nei serbatoi di liquidi, non deve essere inferiore a 0,15 m;</w:t>
      </w:r>
    </w:p>
    <w:p w:rsidR="00973DAA" w:rsidRPr="00C903F8" w:rsidRDefault="0029453D" w:rsidP="00577ECC">
      <w:pPr>
        <w:pStyle w:val="ESlet"/>
        <w:rPr>
          <w:rFonts w:eastAsia="Calibri" w:cs="Arial"/>
          <w:szCs w:val="18"/>
        </w:rPr>
      </w:pPr>
      <w:r>
        <w:t>e)</w:t>
      </w:r>
      <w:r>
        <w:tab/>
        <w:t xml:space="preserve">in entrambi i casi seguenti l'angolo di sbandamento </w:t>
      </w:r>
      <m:oMath>
        <m:sSub>
          <m:sSubPr>
            <m:ctrlPr>
              <w:rPr>
                <w:rFonts w:ascii="Cambria Math" w:eastAsia="Calibri" w:hAnsi="Cambria Math"/>
                <w:i/>
              </w:rPr>
            </m:ctrlPr>
          </m:sSubPr>
          <m:e>
            <m:r>
              <w:rPr>
                <w:rFonts w:ascii="Cambria Math" w:eastAsia="Calibri" w:hAnsi="Cambria Math"/>
              </w:rPr>
              <m:t>φ</m:t>
            </m:r>
          </m:e>
          <m:sub>
            <m:r>
              <w:rPr>
                <w:rFonts w:ascii="Cambria Math" w:eastAsia="Calibri" w:hAnsi="Cambria Math"/>
              </w:rPr>
              <m:t>mom</m:t>
            </m:r>
          </m:sub>
        </m:sSub>
      </m:oMath>
      <w:r>
        <w:t xml:space="preserve"> non eccede 12°:</w:t>
      </w:r>
    </w:p>
    <w:p w:rsidR="00973DAA" w:rsidRPr="00C903F8" w:rsidRDefault="0029453D" w:rsidP="00577ECC">
      <w:pPr>
        <w:pStyle w:val="EStiret"/>
        <w:rPr>
          <w:rFonts w:eastAsia="Calibri" w:cs="Arial"/>
          <w:szCs w:val="18"/>
        </w:rPr>
      </w:pPr>
      <w:r>
        <w:t>aa)</w:t>
      </w:r>
      <w:r>
        <w:tab/>
        <w:t>nell'applicazione del momento di sbandamento dovuto ai passeggeri e al vento in conformità dei paragrafi 4 e 5;</w:t>
      </w:r>
    </w:p>
    <w:p w:rsidR="00973DAA" w:rsidRPr="00C903F8" w:rsidRDefault="00973DAA" w:rsidP="00577ECC">
      <w:pPr>
        <w:pStyle w:val="EStiret"/>
        <w:rPr>
          <w:rFonts w:eastAsia="Calibri" w:cs="Arial"/>
          <w:szCs w:val="18"/>
        </w:rPr>
      </w:pPr>
      <w:r>
        <w:t>bb)</w:t>
      </w:r>
      <w:r>
        <w:tab/>
        <w:t>nell'applicazione del momento di sbandamento dovuto ai passeggeri e alla virata in conformità dei paragrafi 4 e 6.</w:t>
      </w:r>
    </w:p>
    <w:p w:rsidR="00973DAA" w:rsidRPr="00C903F8" w:rsidRDefault="0029453D" w:rsidP="00577ECC">
      <w:pPr>
        <w:pStyle w:val="ESlet"/>
        <w:rPr>
          <w:rFonts w:eastAsia="Calibri" w:cs="Arial"/>
          <w:szCs w:val="18"/>
        </w:rPr>
      </w:pPr>
      <w:r>
        <w:t>f)</w:t>
      </w:r>
      <w:r>
        <w:tab/>
        <w:t>per un momento di sbandamento risultante dai momenti dovuti alle persone, al vento e alla virata in conformità dei paragrafi 4, 5 e 6, il bordo libero residuo non è inferiore a 0,20 m;</w:t>
      </w:r>
    </w:p>
    <w:p w:rsidR="00973DAA" w:rsidRPr="00C903F8" w:rsidRDefault="0029453D" w:rsidP="00577ECC">
      <w:pPr>
        <w:pStyle w:val="ESlet"/>
        <w:rPr>
          <w:rFonts w:eastAsia="Calibri" w:cs="Arial"/>
          <w:szCs w:val="18"/>
        </w:rPr>
      </w:pPr>
      <w:r>
        <w:t>g)</w:t>
      </w:r>
      <w:r>
        <w:tab/>
        <w:t>per navi con finestre o altre aperture nello scafo posizionate sotto i ponti di compartimentazione e non chiuse a tenuta stagna, la distanza di sicurezza residua è di almeno 0,10 m nell'applicazione dei tre momenti di sbandamento risultanti dalla precedente lettera f).</w:t>
      </w:r>
    </w:p>
    <w:p w:rsidR="00505D66" w:rsidRPr="00C903F8" w:rsidRDefault="00505D66" w:rsidP="00973DAA">
      <w:pPr>
        <w:pStyle w:val="ESch"/>
        <w:rPr>
          <w:rFonts w:eastAsia="Calibri"/>
          <w:noProof/>
        </w:rPr>
      </w:pPr>
    </w:p>
    <w:p w:rsidR="00973DAA" w:rsidRPr="00C903F8" w:rsidRDefault="00973DAA" w:rsidP="00973DAA">
      <w:pPr>
        <w:pStyle w:val="ESch"/>
        <w:rPr>
          <w:rFonts w:eastAsia="Calibri"/>
          <w:noProof/>
        </w:rPr>
      </w:pPr>
      <w:r>
        <w:t>4.</w:t>
      </w:r>
      <w:r>
        <w:tab/>
        <w:t xml:space="preserve">Il momento di sbandamento dovuto alla concentrazione su un lato delle persone </w:t>
      </w:r>
      <m:oMath>
        <m:sSub>
          <m:sSubPr>
            <m:ctrlPr>
              <w:rPr>
                <w:rFonts w:ascii="Cambria Math" w:eastAsia="Calibri" w:hAnsi="Cambria Math"/>
                <w:i/>
                <w:noProof/>
              </w:rPr>
            </m:ctrlPr>
          </m:sSubPr>
          <m:e>
            <m:r>
              <w:rPr>
                <w:rFonts w:ascii="Cambria Math" w:eastAsia="Calibri" w:hAnsi="Cambria Math"/>
                <w:noProof/>
              </w:rPr>
              <m:t>M</m:t>
            </m:r>
          </m:e>
          <m:sub>
            <m:r>
              <w:rPr>
                <w:rFonts w:ascii="Cambria Math" w:eastAsia="Calibri" w:hAnsi="Cambria Math"/>
                <w:noProof/>
              </w:rPr>
              <m:t>p</m:t>
            </m:r>
          </m:sub>
        </m:sSub>
      </m:oMath>
      <w:r>
        <w:t>è calcolato mediante la seguente formula:</w:t>
      </w:r>
    </w:p>
    <w:p w:rsidR="00BB70D1" w:rsidRPr="00C903F8" w:rsidRDefault="00BB70D1" w:rsidP="00973DAA">
      <w:pPr>
        <w:pStyle w:val="ESch"/>
        <w:rPr>
          <w:rFonts w:eastAsia="Calibri"/>
          <w:noProof/>
        </w:rPr>
      </w:pPr>
    </w:p>
    <w:p w:rsidR="00BB70D1" w:rsidRPr="00C903F8" w:rsidRDefault="00624017" w:rsidP="00BB70D1">
      <w:pPr>
        <w:pStyle w:val="ESch"/>
        <w:ind w:left="0" w:firstLine="0"/>
        <w:rPr>
          <w:rFonts w:eastAsia="Calibri" w:cs="Arial"/>
          <w:szCs w:val="18"/>
        </w:rPr>
      </w:pPr>
      <m:oMathPara>
        <m:oMath>
          <m:sSub>
            <m:sSubPr>
              <m:ctrlPr>
                <w:rPr>
                  <w:rFonts w:ascii="Cambria Math" w:eastAsia="Calibri" w:hAnsi="Cambria Math" w:cs="Arial"/>
                  <w:i/>
                  <w:szCs w:val="18"/>
                </w:rPr>
              </m:ctrlPr>
            </m:sSubPr>
            <m:e>
              <m:r>
                <w:rPr>
                  <w:rFonts w:ascii="Cambria Math" w:eastAsia="Calibri" w:hAnsi="Cambria Math" w:cs="Arial"/>
                  <w:szCs w:val="18"/>
                </w:rPr>
                <m:t>M</m:t>
              </m:r>
            </m:e>
            <m:sub>
              <m:r>
                <w:rPr>
                  <w:rFonts w:ascii="Cambria Math" w:eastAsia="Calibri" w:hAnsi="Cambria Math" w:cs="Arial"/>
                  <w:szCs w:val="18"/>
                </w:rPr>
                <m:t>p</m:t>
              </m:r>
            </m:sub>
          </m:sSub>
          <m:r>
            <w:rPr>
              <w:rFonts w:ascii="Cambria Math" w:eastAsia="Calibri" w:hAnsi="Cambria Math" w:cs="Arial"/>
              <w:szCs w:val="18"/>
            </w:rPr>
            <m:t xml:space="preserve">=g ∙P ∙y=g ∙ </m:t>
          </m:r>
          <m:nary>
            <m:naryPr>
              <m:chr m:val="∑"/>
              <m:limLoc m:val="undOvr"/>
              <m:subHide m:val="1"/>
              <m:supHide m:val="1"/>
              <m:ctrlPr>
                <w:rPr>
                  <w:rFonts w:ascii="Cambria Math" w:eastAsia="Calibri" w:hAnsi="Cambria Math" w:cs="Arial"/>
                  <w:i/>
                  <w:szCs w:val="18"/>
                </w:rPr>
              </m:ctrlPr>
            </m:naryPr>
            <m:sub/>
            <m:sup/>
            <m:e>
              <m:sSub>
                <m:sSubPr>
                  <m:ctrlPr>
                    <w:rPr>
                      <w:rFonts w:ascii="Cambria Math" w:eastAsia="Calibri" w:hAnsi="Cambria Math" w:cs="Arial"/>
                      <w:i/>
                      <w:szCs w:val="18"/>
                    </w:rPr>
                  </m:ctrlPr>
                </m:sSubPr>
                <m:e>
                  <m:r>
                    <w:rPr>
                      <w:rFonts w:ascii="Cambria Math" w:eastAsia="Calibri" w:hAnsi="Cambria Math" w:cs="Arial"/>
                      <w:szCs w:val="18"/>
                    </w:rPr>
                    <m:t>P</m:t>
                  </m:r>
                </m:e>
                <m:sub>
                  <m:r>
                    <w:rPr>
                      <w:rFonts w:ascii="Cambria Math" w:eastAsia="Calibri" w:hAnsi="Cambria Math" w:cs="Arial"/>
                      <w:szCs w:val="18"/>
                    </w:rPr>
                    <m:t>i</m:t>
                  </m:r>
                </m:sub>
              </m:sSub>
              <m:r>
                <w:rPr>
                  <w:rFonts w:ascii="Cambria Math" w:eastAsia="Calibri" w:hAnsi="Cambria Math" w:cs="Arial"/>
                  <w:szCs w:val="18"/>
                </w:rPr>
                <m:t xml:space="preserve"> ∙</m:t>
              </m:r>
              <m:sSub>
                <m:sSubPr>
                  <m:ctrlPr>
                    <w:rPr>
                      <w:rFonts w:ascii="Cambria Math" w:eastAsia="Calibri" w:hAnsi="Cambria Math" w:cs="Arial"/>
                      <w:i/>
                      <w:szCs w:val="18"/>
                    </w:rPr>
                  </m:ctrlPr>
                </m:sSubPr>
                <m:e>
                  <m:r>
                    <w:rPr>
                      <w:rFonts w:ascii="Cambria Math" w:eastAsia="Calibri" w:hAnsi="Cambria Math" w:cs="Arial"/>
                      <w:szCs w:val="18"/>
                    </w:rPr>
                    <m:t>y</m:t>
                  </m:r>
                </m:e>
                <m:sub>
                  <m:r>
                    <w:rPr>
                      <w:rFonts w:ascii="Cambria Math" w:eastAsia="Calibri" w:hAnsi="Cambria Math" w:cs="Arial"/>
                      <w:szCs w:val="18"/>
                    </w:rPr>
                    <m:t>i</m:t>
                  </m:r>
                </m:sub>
              </m:sSub>
              <m:r>
                <w:rPr>
                  <w:rFonts w:ascii="Cambria Math" w:eastAsia="Calibri" w:hAnsi="Cambria Math" w:cs="Arial"/>
                  <w:szCs w:val="18"/>
                </w:rPr>
                <m:t xml:space="preserve"> [kNm]</m:t>
              </m:r>
            </m:e>
          </m:nary>
        </m:oMath>
      </m:oMathPara>
    </w:p>
    <w:p w:rsidR="00505D66" w:rsidRPr="00C903F8" w:rsidRDefault="00505D66" w:rsidP="00973DAA">
      <w:pPr>
        <w:pStyle w:val="ESch"/>
        <w:rPr>
          <w:rFonts w:eastAsia="Calibri" w:cs="Arial"/>
        </w:rPr>
      </w:pPr>
    </w:p>
    <w:p w:rsidR="00973DAA" w:rsidRPr="00C903F8" w:rsidRDefault="00DA5DCE" w:rsidP="00505D66">
      <w:pPr>
        <w:pStyle w:val="ESlet"/>
        <w:rPr>
          <w:rFonts w:eastAsia="Calibri"/>
        </w:rPr>
      </w:pPr>
      <m:oMath>
        <m:r>
          <w:rPr>
            <w:rFonts w:ascii="Cambria Math" w:eastAsia="Calibri" w:hAnsi="Cambria Math" w:cs="Arial"/>
            <w:szCs w:val="18"/>
          </w:rPr>
          <m:t>P</m:t>
        </m:r>
      </m:oMath>
      <w:r>
        <w:t xml:space="preserve"> =</w:t>
      </w:r>
      <w:r>
        <w:tab/>
        <w:t>massa totale delle persone a bordo [t], calcolata sommando il numero massimo ammesso di passeggeri e il numero massimo di personale di bordo e equipaggio in condizioni operative normali, considerando una massa per persona di 0,075 t;</w:t>
      </w:r>
    </w:p>
    <w:p w:rsidR="00973DAA" w:rsidRPr="00C903F8" w:rsidRDefault="00DA5DCE" w:rsidP="00505D66">
      <w:pPr>
        <w:pStyle w:val="ESlet"/>
        <w:rPr>
          <w:rFonts w:eastAsia="Calibri"/>
          <w:noProof/>
        </w:rPr>
      </w:pPr>
      <m:oMath>
        <m:r>
          <w:rPr>
            <w:rFonts w:ascii="Cambria Math" w:eastAsia="Calibri" w:hAnsi="Cambria Math"/>
            <w:noProof/>
          </w:rPr>
          <m:t>y</m:t>
        </m:r>
      </m:oMath>
      <w:r>
        <w:t xml:space="preserve"> =</w:t>
      </w:r>
      <w:r>
        <w:tab/>
        <w:t xml:space="preserve">distanza laterale del centro di gravità della massa totale di persone </w:t>
      </w:r>
      <m:oMath>
        <m:r>
          <w:rPr>
            <w:rFonts w:ascii="Cambria Math" w:eastAsia="Calibri" w:hAnsi="Cambria Math"/>
            <w:noProof/>
          </w:rPr>
          <m:t>P</m:t>
        </m:r>
      </m:oMath>
      <w:r>
        <w:t xml:space="preserve"> dalla linea centrale [m];</w:t>
      </w:r>
    </w:p>
    <w:p w:rsidR="00973DAA" w:rsidRPr="00C903F8" w:rsidRDefault="00DA5DCE" w:rsidP="00505D66">
      <w:pPr>
        <w:pStyle w:val="ESlet"/>
        <w:rPr>
          <w:rFonts w:eastAsia="Calibri"/>
          <w:noProof/>
        </w:rPr>
      </w:pPr>
      <m:oMath>
        <m:r>
          <w:rPr>
            <w:rFonts w:ascii="Cambria Math" w:eastAsia="Calibri" w:hAnsi="Cambria Math"/>
            <w:noProof/>
          </w:rPr>
          <m:t>g</m:t>
        </m:r>
      </m:oMath>
      <w:r>
        <w:t xml:space="preserve"> =</w:t>
      </w:r>
      <w:r>
        <w:tab/>
        <w:t xml:space="preserve">accelerazione di gravità </w:t>
      </w:r>
      <m:oMath>
        <m:r>
          <w:rPr>
            <w:rFonts w:ascii="Cambria Math" w:eastAsia="Calibri" w:hAnsi="Cambria Math"/>
            <w:szCs w:val="18"/>
          </w:rPr>
          <m:t>(g=9,81 m/</m:t>
        </m:r>
        <m:sSup>
          <m:sSupPr>
            <m:ctrlPr>
              <w:rPr>
                <w:rFonts w:ascii="Cambria Math" w:eastAsia="Calibri" w:hAnsi="Cambria Math"/>
                <w:i/>
                <w:szCs w:val="18"/>
              </w:rPr>
            </m:ctrlPr>
          </m:sSupPr>
          <m:e>
            <m:r>
              <w:rPr>
                <w:rFonts w:ascii="Cambria Math" w:eastAsia="Calibri" w:hAnsi="Cambria Math"/>
                <w:szCs w:val="18"/>
              </w:rPr>
              <m:t>s</m:t>
            </m:r>
          </m:e>
          <m:sup>
            <m:r>
              <w:rPr>
                <w:rFonts w:ascii="Cambria Math" w:eastAsia="Calibri" w:hAnsi="Cambria Math"/>
                <w:szCs w:val="18"/>
              </w:rPr>
              <m:t>2</m:t>
            </m:r>
          </m:sup>
        </m:sSup>
        <m:r>
          <w:rPr>
            <w:rFonts w:ascii="Cambria Math" w:eastAsia="Calibri" w:hAnsi="Cambria Math"/>
            <w:szCs w:val="18"/>
          </w:rPr>
          <m:t>)</m:t>
        </m:r>
      </m:oMath>
      <w:r>
        <w:t>;</w:t>
      </w:r>
    </w:p>
    <w:p w:rsidR="00973DAA" w:rsidRPr="00C903F8" w:rsidRDefault="00624017" w:rsidP="00505D66">
      <w:pPr>
        <w:pStyle w:val="ESlet"/>
        <w:rPr>
          <w:rFonts w:eastAsia="Calibri"/>
          <w:noProof/>
        </w:rPr>
      </w:pPr>
      <m:oMath>
        <m:sSub>
          <m:sSubPr>
            <m:ctrlPr>
              <w:rPr>
                <w:rFonts w:ascii="Cambria Math" w:eastAsia="Calibri" w:hAnsi="Cambria Math"/>
                <w:i/>
                <w:szCs w:val="18"/>
              </w:rPr>
            </m:ctrlPr>
          </m:sSubPr>
          <m:e>
            <m:r>
              <w:rPr>
                <w:rFonts w:ascii="Cambria Math" w:eastAsia="Calibri" w:hAnsi="Cambria Math"/>
                <w:szCs w:val="18"/>
              </w:rPr>
              <m:t>P</m:t>
            </m:r>
          </m:e>
          <m:sub>
            <m:r>
              <w:rPr>
                <w:rFonts w:ascii="Cambria Math" w:eastAsia="Calibri" w:hAnsi="Cambria Math"/>
                <w:szCs w:val="18"/>
              </w:rPr>
              <m:t>i</m:t>
            </m:r>
          </m:sub>
        </m:sSub>
      </m:oMath>
      <w:r w:rsidR="00801F1F">
        <w:t xml:space="preserve"> =</w:t>
      </w:r>
      <w:r w:rsidR="00801F1F">
        <w:tab/>
        <w:t xml:space="preserve">massa di persone concentrate nell'area </w:t>
      </w:r>
      <m:oMath>
        <m:sSub>
          <m:sSubPr>
            <m:ctrlPr>
              <w:rPr>
                <w:rFonts w:ascii="Cambria Math" w:eastAsia="Calibri" w:hAnsi="Cambria Math"/>
                <w:i/>
                <w:noProof/>
              </w:rPr>
            </m:ctrlPr>
          </m:sSubPr>
          <m:e>
            <m:r>
              <w:rPr>
                <w:rFonts w:ascii="Cambria Math" w:eastAsia="Calibri" w:hAnsi="Cambria Math"/>
                <w:noProof/>
              </w:rPr>
              <m:t>A</m:t>
            </m:r>
          </m:e>
          <m:sub>
            <m:r>
              <w:rPr>
                <w:rFonts w:ascii="Cambria Math" w:eastAsia="Calibri" w:hAnsi="Cambria Math"/>
                <w:noProof/>
              </w:rPr>
              <m:t>i</m:t>
            </m:r>
          </m:sub>
        </m:sSub>
      </m:oMath>
      <w:r w:rsidR="00801F1F">
        <w:t>;</w:t>
      </w:r>
    </w:p>
    <w:p w:rsidR="00BB70D1" w:rsidRPr="00C903F8" w:rsidRDefault="00624017" w:rsidP="00BB70D1">
      <w:pPr>
        <w:pStyle w:val="ESlet"/>
        <w:ind w:left="0" w:firstLine="0"/>
        <w:rPr>
          <w:rFonts w:eastAsia="Calibri"/>
          <w:noProof/>
        </w:rPr>
      </w:pPr>
      <m:oMathPara>
        <m:oMath>
          <m:sSub>
            <m:sSubPr>
              <m:ctrlPr>
                <w:rPr>
                  <w:rFonts w:ascii="Cambria Math" w:eastAsia="Calibri" w:hAnsi="Cambria Math"/>
                  <w:i/>
                  <w:noProof/>
                </w:rPr>
              </m:ctrlPr>
            </m:sSubPr>
            <m:e>
              <m:r>
                <w:rPr>
                  <w:rFonts w:ascii="Cambria Math" w:eastAsia="Calibri" w:hAnsi="Cambria Math"/>
                  <w:noProof/>
                </w:rPr>
                <m:t>P</m:t>
              </m:r>
            </m:e>
            <m:sub>
              <m:r>
                <w:rPr>
                  <w:rFonts w:ascii="Cambria Math" w:eastAsia="Calibri" w:hAnsi="Cambria Math"/>
                  <w:noProof/>
                </w:rPr>
                <m:t>i</m:t>
              </m:r>
            </m:sub>
          </m:sSub>
          <m:r>
            <w:rPr>
              <w:rFonts w:ascii="Cambria Math" w:eastAsia="Calibri" w:hAnsi="Cambria Math"/>
              <w:noProof/>
            </w:rPr>
            <m:t xml:space="preserve">= </m:t>
          </m:r>
          <m:sSub>
            <m:sSubPr>
              <m:ctrlPr>
                <w:rPr>
                  <w:rFonts w:ascii="Cambria Math" w:eastAsia="Calibri" w:hAnsi="Cambria Math"/>
                  <w:i/>
                  <w:noProof/>
                </w:rPr>
              </m:ctrlPr>
            </m:sSubPr>
            <m:e>
              <m:r>
                <w:rPr>
                  <w:rFonts w:ascii="Cambria Math" w:eastAsia="Calibri" w:hAnsi="Cambria Math"/>
                  <w:noProof/>
                </w:rPr>
                <m:t>n</m:t>
              </m:r>
            </m:e>
            <m:sub>
              <m:r>
                <w:rPr>
                  <w:rFonts w:ascii="Cambria Math" w:eastAsia="Calibri" w:hAnsi="Cambria Math"/>
                  <w:noProof/>
                </w:rPr>
                <m:t>i</m:t>
              </m:r>
            </m:sub>
          </m:sSub>
          <m:r>
            <w:rPr>
              <w:rFonts w:ascii="Cambria Math" w:eastAsia="Calibri" w:hAnsi="Cambria Math"/>
              <w:noProof/>
            </w:rPr>
            <m:t xml:space="preserve"> ∙0,075 ∙ </m:t>
          </m:r>
          <m:sSub>
            <m:sSubPr>
              <m:ctrlPr>
                <w:rPr>
                  <w:rFonts w:ascii="Cambria Math" w:eastAsia="Calibri" w:hAnsi="Cambria Math"/>
                  <w:i/>
                  <w:noProof/>
                </w:rPr>
              </m:ctrlPr>
            </m:sSubPr>
            <m:e>
              <m:r>
                <w:rPr>
                  <w:rFonts w:ascii="Cambria Math" w:eastAsia="Calibri" w:hAnsi="Cambria Math"/>
                  <w:noProof/>
                </w:rPr>
                <m:t>A</m:t>
              </m:r>
            </m:e>
            <m:sub>
              <m:r>
                <w:rPr>
                  <w:rFonts w:ascii="Cambria Math" w:eastAsia="Calibri" w:hAnsi="Cambria Math"/>
                  <w:noProof/>
                </w:rPr>
                <m:t>i</m:t>
              </m:r>
            </m:sub>
          </m:sSub>
          <m:r>
            <w:rPr>
              <w:rFonts w:ascii="Cambria Math" w:eastAsia="Calibri" w:hAnsi="Cambria Math"/>
              <w:noProof/>
            </w:rPr>
            <m:t xml:space="preserve"> [t]</m:t>
          </m:r>
        </m:oMath>
      </m:oMathPara>
    </w:p>
    <w:p w:rsidR="00973DAA" w:rsidRPr="00C903F8" w:rsidRDefault="00973DAA" w:rsidP="00505D66">
      <w:pPr>
        <w:pStyle w:val="ESchpar"/>
        <w:rPr>
          <w:rFonts w:eastAsia="Calibri"/>
          <w:noProof/>
        </w:rPr>
      </w:pPr>
      <w:r>
        <w:t>dove:</w:t>
      </w:r>
    </w:p>
    <w:p w:rsidR="00973DAA" w:rsidRPr="00C903F8" w:rsidRDefault="00624017" w:rsidP="00505D66">
      <w:pPr>
        <w:pStyle w:val="ESlet"/>
        <w:rPr>
          <w:rFonts w:eastAsia="Calibri"/>
          <w:noProof/>
        </w:rPr>
      </w:pPr>
      <m:oMath>
        <m:sSub>
          <m:sSubPr>
            <m:ctrlPr>
              <w:rPr>
                <w:rFonts w:ascii="Cambria Math" w:eastAsia="Calibri" w:hAnsi="Cambria Math"/>
                <w:i/>
                <w:noProof/>
              </w:rPr>
            </m:ctrlPr>
          </m:sSubPr>
          <m:e>
            <m:r>
              <w:rPr>
                <w:rFonts w:ascii="Cambria Math" w:eastAsia="Calibri" w:hAnsi="Cambria Math"/>
                <w:noProof/>
              </w:rPr>
              <m:t>A</m:t>
            </m:r>
          </m:e>
          <m:sub>
            <m:r>
              <w:rPr>
                <w:rFonts w:ascii="Cambria Math" w:eastAsia="Calibri" w:hAnsi="Cambria Math"/>
                <w:noProof/>
              </w:rPr>
              <m:t>i</m:t>
            </m:r>
          </m:sub>
        </m:sSub>
      </m:oMath>
      <w:r w:rsidR="00801F1F">
        <w:t xml:space="preserve"> =</w:t>
      </w:r>
      <w:r w:rsidR="00801F1F">
        <w:tab/>
        <w:t>area occupata dalle persone [m</w:t>
      </w:r>
      <w:r w:rsidR="00801F1F">
        <w:rPr>
          <w:noProof/>
          <w:vertAlign w:val="superscript"/>
        </w:rPr>
        <w:t>2</w:t>
      </w:r>
      <w:r w:rsidR="00801F1F">
        <w:t>];</w:t>
      </w:r>
    </w:p>
    <w:p w:rsidR="00973DAA" w:rsidRPr="00C903F8" w:rsidRDefault="00624017" w:rsidP="00505D66">
      <w:pPr>
        <w:pStyle w:val="ESlet"/>
        <w:rPr>
          <w:rFonts w:eastAsia="Calibri"/>
          <w:noProof/>
        </w:rPr>
      </w:pPr>
      <m:oMath>
        <m:sSub>
          <m:sSubPr>
            <m:ctrlPr>
              <w:rPr>
                <w:rFonts w:ascii="Cambria Math" w:eastAsia="Calibri" w:hAnsi="Cambria Math"/>
                <w:i/>
                <w:noProof/>
              </w:rPr>
            </m:ctrlPr>
          </m:sSubPr>
          <m:e>
            <m:r>
              <w:rPr>
                <w:rFonts w:ascii="Cambria Math" w:eastAsia="Calibri" w:hAnsi="Cambria Math"/>
                <w:noProof/>
              </w:rPr>
              <m:t>n</m:t>
            </m:r>
          </m:e>
          <m:sub>
            <m:r>
              <w:rPr>
                <w:rFonts w:ascii="Cambria Math" w:eastAsia="Calibri" w:hAnsi="Cambria Math"/>
                <w:noProof/>
              </w:rPr>
              <m:t>i</m:t>
            </m:r>
          </m:sub>
        </m:sSub>
      </m:oMath>
      <w:r w:rsidR="00801F1F">
        <w:t xml:space="preserve"> =</w:t>
      </w:r>
      <w:r w:rsidR="00801F1F">
        <w:tab/>
        <w:t>numero di persone per metro quadrato:</w:t>
      </w:r>
    </w:p>
    <w:p w:rsidR="00973DAA" w:rsidRPr="00C903F8" w:rsidRDefault="00624017" w:rsidP="00505D66">
      <w:pPr>
        <w:pStyle w:val="EStiret"/>
        <w:rPr>
          <w:rFonts w:eastAsia="Calibri"/>
        </w:rPr>
      </w:pPr>
      <m:oMath>
        <m:sSub>
          <m:sSubPr>
            <m:ctrlPr>
              <w:rPr>
                <w:rFonts w:ascii="Cambria Math" w:eastAsia="Calibri" w:hAnsi="Cambria Math"/>
                <w:i/>
              </w:rPr>
            </m:ctrlPr>
          </m:sSubPr>
          <m:e>
            <m:r>
              <w:rPr>
                <w:rFonts w:ascii="Cambria Math" w:eastAsia="Calibri" w:hAnsi="Cambria Math"/>
              </w:rPr>
              <m:t>n</m:t>
            </m:r>
          </m:e>
          <m:sub>
            <m:r>
              <w:rPr>
                <w:rFonts w:ascii="Cambria Math" w:eastAsia="Calibri" w:hAnsi="Cambria Math"/>
              </w:rPr>
              <m:t>i</m:t>
            </m:r>
          </m:sub>
        </m:sSub>
      </m:oMath>
      <w:r w:rsidR="00801F1F">
        <w:t>=</w:t>
      </w:r>
      <w:r w:rsidR="00801F1F">
        <w:tab/>
        <w:t xml:space="preserve">3,75 per le zone ponte libere e le zone ponte con componenti d'arredamento mobili; per le zone ponte con componenti d'arredamento fissi per seduta come panche, </w:t>
      </w:r>
      <m:oMath>
        <m:sSub>
          <m:sSubPr>
            <m:ctrlPr>
              <w:rPr>
                <w:rFonts w:ascii="Cambria Math" w:eastAsia="Calibri" w:hAnsi="Cambria Math"/>
                <w:i/>
                <w:snapToGrid/>
                <w:color w:val="auto"/>
              </w:rPr>
            </m:ctrlPr>
          </m:sSubPr>
          <m:e>
            <m:r>
              <w:rPr>
                <w:rFonts w:ascii="Cambria Math" w:eastAsia="Calibri" w:hAnsi="Cambria Math"/>
              </w:rPr>
              <m:t>n</m:t>
            </m:r>
          </m:e>
          <m:sub>
            <m:r>
              <w:rPr>
                <w:rFonts w:ascii="Cambria Math" w:eastAsia="Calibri" w:hAnsi="Cambria Math"/>
              </w:rPr>
              <m:t>i</m:t>
            </m:r>
          </m:sub>
        </m:sSub>
      </m:oMath>
      <w:r w:rsidR="00801F1F">
        <w:t xml:space="preserve"> è calcolato considerando un'area di seduta per persona pari a 0,50 m (larghezza) e 0,75 m (profondità);</w:t>
      </w:r>
    </w:p>
    <w:p w:rsidR="00973DAA" w:rsidRPr="00C903F8" w:rsidRDefault="00624017" w:rsidP="00505D66">
      <w:pPr>
        <w:pStyle w:val="ESlet"/>
        <w:rPr>
          <w:rFonts w:eastAsia="Calibri"/>
          <w:noProof/>
        </w:rPr>
      </w:pPr>
      <m:oMath>
        <m:sSub>
          <m:sSubPr>
            <m:ctrlPr>
              <w:rPr>
                <w:rFonts w:ascii="Cambria Math" w:eastAsia="Calibri" w:hAnsi="Cambria Math"/>
                <w:i/>
                <w:noProof/>
              </w:rPr>
            </m:ctrlPr>
          </m:sSubPr>
          <m:e>
            <m:r>
              <w:rPr>
                <w:rFonts w:ascii="Cambria Math" w:eastAsia="Calibri" w:hAnsi="Cambria Math"/>
                <w:noProof/>
              </w:rPr>
              <m:t>y</m:t>
            </m:r>
          </m:e>
          <m:sub>
            <m:r>
              <w:rPr>
                <w:rFonts w:ascii="Cambria Math" w:eastAsia="Calibri" w:hAnsi="Cambria Math"/>
                <w:noProof/>
              </w:rPr>
              <m:t>i</m:t>
            </m:r>
          </m:sub>
        </m:sSub>
      </m:oMath>
      <w:r w:rsidR="00801F1F">
        <w:t xml:space="preserve"> =</w:t>
      </w:r>
      <w:r w:rsidR="00801F1F">
        <w:tab/>
        <w:t xml:space="preserve">distanza laterale del centro geometrico dell'area </w:t>
      </w:r>
      <m:oMath>
        <m:sSub>
          <m:sSubPr>
            <m:ctrlPr>
              <w:rPr>
                <w:rFonts w:ascii="Cambria Math" w:eastAsia="Calibri" w:hAnsi="Cambria Math"/>
                <w:i/>
                <w:noProof/>
              </w:rPr>
            </m:ctrlPr>
          </m:sSubPr>
          <m:e>
            <m:r>
              <w:rPr>
                <w:rFonts w:ascii="Cambria Math" w:eastAsia="Calibri" w:hAnsi="Cambria Math"/>
                <w:noProof/>
              </w:rPr>
              <m:t>A</m:t>
            </m:r>
          </m:e>
          <m:sub>
            <m:r>
              <w:rPr>
                <w:rFonts w:ascii="Cambria Math" w:eastAsia="Calibri" w:hAnsi="Cambria Math"/>
                <w:noProof/>
              </w:rPr>
              <m:t>i</m:t>
            </m:r>
          </m:sub>
        </m:sSub>
      </m:oMath>
      <w:r w:rsidR="00801F1F">
        <w:t xml:space="preserve"> dalla linea centrale [m].</w:t>
      </w:r>
    </w:p>
    <w:p w:rsidR="00505D66" w:rsidRPr="00C903F8" w:rsidRDefault="00505D66" w:rsidP="00973DAA">
      <w:pPr>
        <w:pStyle w:val="ESch"/>
        <w:rPr>
          <w:rFonts w:eastAsia="Calibri"/>
          <w:noProof/>
        </w:rPr>
      </w:pPr>
    </w:p>
    <w:p w:rsidR="00973DAA" w:rsidRPr="00C903F8" w:rsidRDefault="00973DAA" w:rsidP="00505D66">
      <w:pPr>
        <w:pStyle w:val="ESchpar"/>
        <w:rPr>
          <w:rFonts w:eastAsia="Calibri" w:cs="Arial"/>
          <w:szCs w:val="18"/>
        </w:rPr>
      </w:pPr>
      <w:r>
        <w:t>Il calcolo è effettuato per una concentrazione di persone sia a tribordo sia a babordo.</w:t>
      </w:r>
    </w:p>
    <w:p w:rsidR="00505D66" w:rsidRPr="00C903F8" w:rsidRDefault="00505D66" w:rsidP="00505D66">
      <w:pPr>
        <w:pStyle w:val="ESchpar"/>
        <w:rPr>
          <w:rFonts w:eastAsia="Calibri"/>
          <w:noProof/>
        </w:rPr>
      </w:pPr>
    </w:p>
    <w:p w:rsidR="00973DAA" w:rsidRPr="00C903F8" w:rsidRDefault="00973DAA" w:rsidP="00505D66">
      <w:pPr>
        <w:pStyle w:val="ESchpar"/>
        <w:rPr>
          <w:rFonts w:eastAsia="Calibri" w:cs="Arial"/>
          <w:szCs w:val="18"/>
        </w:rPr>
      </w:pPr>
      <w:r>
        <w:t>La ripartizione delle persone corrisponde a quella più sfavorevole dal punto di vista della stabilità. Le cabine sono considerate vuote ai fini del calcolo del momento delle persone.</w:t>
      </w:r>
    </w:p>
    <w:p w:rsidR="00505D66" w:rsidRPr="00C903F8" w:rsidRDefault="00505D66" w:rsidP="00505D66">
      <w:pPr>
        <w:pStyle w:val="ESchpar"/>
        <w:rPr>
          <w:rFonts w:eastAsia="Calibri"/>
          <w:noProof/>
        </w:rPr>
      </w:pPr>
    </w:p>
    <w:p w:rsidR="00973DAA" w:rsidRPr="00C903F8" w:rsidRDefault="00973DAA" w:rsidP="00505D66">
      <w:pPr>
        <w:pStyle w:val="ESchpar"/>
        <w:rPr>
          <w:rFonts w:eastAsia="Calibri" w:cs="Arial"/>
          <w:szCs w:val="18"/>
        </w:rPr>
      </w:pPr>
      <w:r>
        <w:t xml:space="preserve">Per il calcolo dei casi di carico, il centro di gravità di una persona deve essere preso ad un'altezza di 1 m al di sopra del punto più basso del ponte a </w:t>
      </w:r>
      <m:oMath>
        <m:r>
          <w:rPr>
            <w:rFonts w:ascii="Cambria Math" w:eastAsia="Calibri" w:hAnsi="Cambria Math"/>
            <w:noProof/>
          </w:rPr>
          <m:t xml:space="preserve">0,5 </m:t>
        </m:r>
        <m:sSub>
          <m:sSubPr>
            <m:ctrlPr>
              <w:rPr>
                <w:rFonts w:ascii="Cambria Math" w:eastAsia="Calibri" w:hAnsi="Cambria Math"/>
                <w:i/>
                <w:noProof/>
              </w:rPr>
            </m:ctrlPr>
          </m:sSubPr>
          <m:e>
            <m:r>
              <w:rPr>
                <w:rFonts w:ascii="Cambria Math" w:eastAsia="Calibri" w:hAnsi="Cambria Math"/>
                <w:noProof/>
              </w:rPr>
              <m:t>L</m:t>
            </m:r>
          </m:e>
          <m:sub>
            <m:r>
              <w:rPr>
                <w:rFonts w:ascii="Cambria Math" w:eastAsia="Calibri" w:hAnsi="Cambria Math"/>
                <w:noProof/>
              </w:rPr>
              <m:t>WL</m:t>
            </m:r>
          </m:sub>
        </m:sSub>
      </m:oMath>
      <w:r>
        <w:t>, senza tenere conto della curvatura del ponte e considerando una massa di 0,075 t per persona.</w:t>
      </w:r>
    </w:p>
    <w:p w:rsidR="00505D66" w:rsidRPr="00C903F8" w:rsidRDefault="00505D66" w:rsidP="00505D66">
      <w:pPr>
        <w:pStyle w:val="ESchpar"/>
        <w:rPr>
          <w:rFonts w:eastAsia="Calibri"/>
          <w:noProof/>
        </w:rPr>
      </w:pPr>
    </w:p>
    <w:p w:rsidR="00505D66" w:rsidRPr="00C903F8" w:rsidRDefault="00505D66" w:rsidP="00505D66">
      <w:pPr>
        <w:pStyle w:val="ESchpar"/>
        <w:rPr>
          <w:rFonts w:eastAsia="Calibri"/>
          <w:noProof/>
        </w:rPr>
      </w:pPr>
      <w:r>
        <w:br w:type="page"/>
      </w:r>
    </w:p>
    <w:p w:rsidR="00973DAA" w:rsidRPr="00C903F8" w:rsidRDefault="00973DAA" w:rsidP="00505D66">
      <w:pPr>
        <w:pStyle w:val="ESchpar"/>
        <w:rPr>
          <w:rFonts w:eastAsia="Calibri"/>
          <w:noProof/>
        </w:rPr>
      </w:pPr>
      <w:r>
        <w:lastRenderedPageBreak/>
        <w:t>Si può derogare al calcolo dettagliato delle superfici del ponte occupate dalle persone se sono utilizzati i valori seguenti:</w:t>
      </w:r>
    </w:p>
    <w:p w:rsidR="00497622" w:rsidRPr="00C903F8" w:rsidRDefault="00497622" w:rsidP="00505D66">
      <w:pPr>
        <w:pStyle w:val="ESchpar"/>
        <w:rPr>
          <w:rFonts w:eastAsia="Calibri"/>
          <w:noProof/>
        </w:rPr>
      </w:pPr>
    </w:p>
    <w:p w:rsidR="00497622" w:rsidRPr="00C903F8" w:rsidRDefault="00497622" w:rsidP="00505D66">
      <w:pPr>
        <w:pStyle w:val="ESchpar"/>
        <w:rPr>
          <w:rFonts w:eastAsia="Calibri"/>
        </w:rPr>
      </w:pPr>
      <m:oMath>
        <m:r>
          <w:rPr>
            <w:rFonts w:ascii="Cambria Math" w:eastAsia="Calibri" w:hAnsi="Cambria Math" w:cs="Arial"/>
            <w:szCs w:val="18"/>
          </w:rPr>
          <m:t xml:space="preserve">P=1,1 ∙ </m:t>
        </m:r>
        <m:sSub>
          <m:sSubPr>
            <m:ctrlPr>
              <w:rPr>
                <w:rFonts w:ascii="Cambria Math" w:eastAsia="Calibri" w:hAnsi="Cambria Math" w:cs="Arial"/>
                <w:i/>
                <w:szCs w:val="18"/>
              </w:rPr>
            </m:ctrlPr>
          </m:sSubPr>
          <m:e>
            <m:r>
              <w:rPr>
                <w:rFonts w:ascii="Cambria Math" w:eastAsia="Calibri" w:hAnsi="Cambria Math" w:cs="Arial"/>
                <w:szCs w:val="18"/>
              </w:rPr>
              <m:t>F</m:t>
            </m:r>
          </m:e>
          <m:sub>
            <m:r>
              <w:rPr>
                <w:rFonts w:ascii="Cambria Math" w:eastAsia="Calibri" w:hAnsi="Cambria Math" w:cs="Arial"/>
                <w:szCs w:val="18"/>
              </w:rPr>
              <m:t>max</m:t>
            </m:r>
          </m:sub>
        </m:sSub>
        <m:r>
          <w:rPr>
            <w:rFonts w:ascii="Cambria Math" w:eastAsia="Calibri" w:hAnsi="Cambria Math" w:cs="Arial"/>
            <w:szCs w:val="18"/>
          </w:rPr>
          <m:t>∙0,075</m:t>
        </m:r>
      </m:oMath>
      <w:r>
        <w:t xml:space="preserve"> per le navi per escursioni giornaliere</w:t>
      </w:r>
    </w:p>
    <w:p w:rsidR="00497622" w:rsidRPr="00C903F8" w:rsidRDefault="00497622" w:rsidP="00497622">
      <w:pPr>
        <w:pStyle w:val="ESchpar"/>
        <w:spacing w:before="60"/>
        <w:ind w:left="992"/>
        <w:rPr>
          <w:rFonts w:eastAsia="Calibri" w:cs="Arial"/>
          <w:szCs w:val="18"/>
        </w:rPr>
      </w:pPr>
      <m:oMath>
        <m:r>
          <w:rPr>
            <w:rFonts w:ascii="Cambria Math" w:eastAsia="Calibri" w:hAnsi="Cambria Math" w:cs="Arial"/>
            <w:szCs w:val="18"/>
          </w:rPr>
          <m:t xml:space="preserve">1,5 ∙ </m:t>
        </m:r>
        <m:sSub>
          <m:sSubPr>
            <m:ctrlPr>
              <w:rPr>
                <w:rFonts w:ascii="Cambria Math" w:eastAsia="Calibri" w:hAnsi="Cambria Math" w:cs="Arial"/>
                <w:i/>
                <w:szCs w:val="18"/>
              </w:rPr>
            </m:ctrlPr>
          </m:sSubPr>
          <m:e>
            <m:r>
              <w:rPr>
                <w:rFonts w:ascii="Cambria Math" w:eastAsia="Calibri" w:hAnsi="Cambria Math" w:cs="Arial"/>
                <w:szCs w:val="18"/>
              </w:rPr>
              <m:t>F</m:t>
            </m:r>
          </m:e>
          <m:sub>
            <m:r>
              <w:rPr>
                <w:rFonts w:ascii="Cambria Math" w:eastAsia="Calibri" w:hAnsi="Cambria Math" w:cs="Arial"/>
                <w:szCs w:val="18"/>
              </w:rPr>
              <m:t>max</m:t>
            </m:r>
          </m:sub>
        </m:sSub>
        <m:r>
          <w:rPr>
            <w:rFonts w:ascii="Cambria Math" w:eastAsia="Calibri" w:hAnsi="Cambria Math" w:cs="Arial"/>
            <w:szCs w:val="18"/>
          </w:rPr>
          <m:t>∙0,075</m:t>
        </m:r>
      </m:oMath>
      <w:r>
        <w:t xml:space="preserve"> per le navi cabinate</w:t>
      </w:r>
    </w:p>
    <w:p w:rsidR="00973DAA" w:rsidRPr="00C903F8" w:rsidRDefault="00973DAA" w:rsidP="00505D66">
      <w:pPr>
        <w:pStyle w:val="ESletpar"/>
        <w:rPr>
          <w:rFonts w:eastAsia="Calibri"/>
        </w:rPr>
      </w:pPr>
      <w:r>
        <w:t xml:space="preserve">dove: </w:t>
      </w:r>
    </w:p>
    <w:p w:rsidR="00973DAA" w:rsidRPr="00C903F8" w:rsidRDefault="00624017" w:rsidP="00505D66">
      <w:pPr>
        <w:pStyle w:val="EStiret"/>
        <w:ind w:left="1701" w:hanging="709"/>
        <w:rPr>
          <w:rFonts w:eastAsia="Calibri"/>
        </w:rPr>
      </w:pPr>
      <m:oMath>
        <m:sSub>
          <m:sSubPr>
            <m:ctrlPr>
              <w:rPr>
                <w:rFonts w:ascii="Cambria Math" w:eastAsia="Calibri" w:hAnsi="Cambria Math"/>
                <w:i/>
                <w:snapToGrid/>
                <w:color w:val="auto"/>
              </w:rPr>
            </m:ctrlPr>
          </m:sSubPr>
          <m:e>
            <m:r>
              <w:rPr>
                <w:rFonts w:ascii="Cambria Math" w:eastAsia="Calibri" w:hAnsi="Cambria Math"/>
              </w:rPr>
              <m:t>F</m:t>
            </m:r>
          </m:e>
          <m:sub>
            <m:r>
              <w:rPr>
                <w:rFonts w:ascii="Cambria Math" w:eastAsia="Calibri" w:hAnsi="Cambria Math"/>
              </w:rPr>
              <m:t>max</m:t>
            </m:r>
          </m:sub>
        </m:sSub>
      </m:oMath>
      <w:r w:rsidR="00801F1F">
        <w:t xml:space="preserve"> =</w:t>
      </w:r>
      <w:r w:rsidR="00801F1F">
        <w:tab/>
        <w:t xml:space="preserve">numero massimo ammesso di passeggeri a bordo; </w:t>
      </w:r>
    </w:p>
    <w:p w:rsidR="00973DAA" w:rsidRPr="00C903F8" w:rsidRDefault="00497622" w:rsidP="00505D66">
      <w:pPr>
        <w:pStyle w:val="ESlet"/>
        <w:rPr>
          <w:rFonts w:eastAsia="Calibri"/>
        </w:rPr>
      </w:pPr>
      <m:oMath>
        <m:r>
          <w:rPr>
            <w:rFonts w:ascii="Cambria Math" w:eastAsia="Calibri" w:hAnsi="Cambria Math"/>
          </w:rPr>
          <m:t>y=B/2</m:t>
        </m:r>
      </m:oMath>
      <w:r>
        <w:t xml:space="preserve"> in [m].</w:t>
      </w:r>
    </w:p>
    <w:p w:rsidR="00505D66" w:rsidRPr="00C903F8" w:rsidRDefault="00505D66" w:rsidP="00973DAA">
      <w:pPr>
        <w:pStyle w:val="ESch"/>
        <w:rPr>
          <w:rFonts w:eastAsia="Calibri"/>
          <w:noProof/>
        </w:rPr>
      </w:pPr>
    </w:p>
    <w:p w:rsidR="00973DAA" w:rsidRPr="00C903F8" w:rsidRDefault="00973DAA" w:rsidP="00973DAA">
      <w:pPr>
        <w:pStyle w:val="ESch"/>
        <w:rPr>
          <w:rFonts w:eastAsia="Calibri"/>
          <w:noProof/>
        </w:rPr>
      </w:pPr>
      <w:r>
        <w:t>5.</w:t>
      </w:r>
      <w:r>
        <w:tab/>
        <w:t xml:space="preserve">Il momento di sbandamento dovuto alla pressione del vento </w:t>
      </w:r>
      <m:oMath>
        <m:sSub>
          <m:sSubPr>
            <m:ctrlPr>
              <w:rPr>
                <w:rFonts w:ascii="Cambria Math" w:eastAsia="Calibri" w:hAnsi="Cambria Math"/>
                <w:i/>
                <w:noProof/>
              </w:rPr>
            </m:ctrlPr>
          </m:sSubPr>
          <m:e>
            <m:r>
              <w:rPr>
                <w:rFonts w:ascii="Cambria Math" w:eastAsia="Calibri" w:hAnsi="Cambria Math"/>
                <w:noProof/>
              </w:rPr>
              <m:t>M</m:t>
            </m:r>
          </m:e>
          <m:sub>
            <m:r>
              <w:rPr>
                <w:rFonts w:ascii="Cambria Math" w:eastAsia="Calibri" w:hAnsi="Cambria Math"/>
                <w:noProof/>
              </w:rPr>
              <m:t>w</m:t>
            </m:r>
          </m:sub>
        </m:sSub>
      </m:oMath>
      <w:r>
        <w:t xml:space="preserve"> è calcolato come segue:</w:t>
      </w:r>
    </w:p>
    <w:p w:rsidR="00505D66" w:rsidRPr="00C903F8" w:rsidRDefault="00505D66" w:rsidP="00973DAA">
      <w:pPr>
        <w:pStyle w:val="ESch"/>
        <w:rPr>
          <w:rFonts w:eastAsia="Calibri" w:cs="Arial"/>
          <w:szCs w:val="18"/>
        </w:rPr>
      </w:pPr>
    </w:p>
    <w:p w:rsidR="00FE79CB" w:rsidRPr="00C903F8" w:rsidRDefault="00624017" w:rsidP="00FE79CB">
      <w:pPr>
        <w:pStyle w:val="ESch"/>
        <w:ind w:left="0" w:firstLine="0"/>
        <w:rPr>
          <w:rFonts w:eastAsia="Calibri" w:cs="Arial"/>
          <w:szCs w:val="18"/>
        </w:rPr>
      </w:pPr>
      <m:oMathPara>
        <m:oMath>
          <m:sSub>
            <m:sSubPr>
              <m:ctrlPr>
                <w:rPr>
                  <w:rFonts w:ascii="Cambria Math" w:eastAsia="Calibri" w:hAnsi="Cambria Math" w:cs="Arial"/>
                  <w:i/>
                  <w:szCs w:val="18"/>
                </w:rPr>
              </m:ctrlPr>
            </m:sSubPr>
            <m:e>
              <m:r>
                <w:rPr>
                  <w:rFonts w:ascii="Cambria Math" w:eastAsia="Calibri" w:hAnsi="Cambria Math" w:cs="Arial"/>
                  <w:szCs w:val="18"/>
                </w:rPr>
                <m:t>M</m:t>
              </m:r>
            </m:e>
            <m:sub>
              <m:r>
                <w:rPr>
                  <w:rFonts w:ascii="Cambria Math" w:eastAsia="Calibri" w:hAnsi="Cambria Math" w:cs="Arial"/>
                  <w:szCs w:val="18"/>
                </w:rPr>
                <m:t>w</m:t>
              </m:r>
            </m:sub>
          </m:sSub>
          <m:r>
            <w:rPr>
              <w:rFonts w:ascii="Cambria Math" w:eastAsia="Calibri" w:hAnsi="Cambria Math" w:cs="Arial"/>
              <w:szCs w:val="18"/>
            </w:rPr>
            <m:t xml:space="preserve">= </m:t>
          </m:r>
          <m:sSub>
            <m:sSubPr>
              <m:ctrlPr>
                <w:rPr>
                  <w:rFonts w:ascii="Cambria Math" w:eastAsia="Calibri" w:hAnsi="Cambria Math" w:cs="Arial"/>
                  <w:i/>
                  <w:szCs w:val="18"/>
                </w:rPr>
              </m:ctrlPr>
            </m:sSubPr>
            <m:e>
              <m:r>
                <w:rPr>
                  <w:rFonts w:ascii="Cambria Math" w:eastAsia="Calibri" w:hAnsi="Cambria Math" w:cs="Arial"/>
                  <w:szCs w:val="18"/>
                </w:rPr>
                <m:t>p</m:t>
              </m:r>
            </m:e>
            <m:sub>
              <m:r>
                <w:rPr>
                  <w:rFonts w:ascii="Cambria Math" w:eastAsia="Calibri" w:hAnsi="Cambria Math" w:cs="Arial"/>
                  <w:szCs w:val="18"/>
                </w:rPr>
                <m:t>w</m:t>
              </m:r>
            </m:sub>
          </m:sSub>
          <m:r>
            <w:rPr>
              <w:rFonts w:ascii="Cambria Math" w:eastAsia="Calibri" w:hAnsi="Cambria Math" w:cs="Arial"/>
              <w:szCs w:val="18"/>
            </w:rPr>
            <m:t xml:space="preserve"> ∙ </m:t>
          </m:r>
          <m:sSub>
            <m:sSubPr>
              <m:ctrlPr>
                <w:rPr>
                  <w:rFonts w:ascii="Cambria Math" w:eastAsia="Calibri" w:hAnsi="Cambria Math" w:cs="Arial"/>
                  <w:i/>
                  <w:szCs w:val="18"/>
                </w:rPr>
              </m:ctrlPr>
            </m:sSubPr>
            <m:e>
              <m:r>
                <w:rPr>
                  <w:rFonts w:ascii="Cambria Math" w:eastAsia="Calibri" w:hAnsi="Cambria Math" w:cs="Arial"/>
                  <w:szCs w:val="18"/>
                </w:rPr>
                <m:t>A</m:t>
              </m:r>
            </m:e>
            <m:sub>
              <m:r>
                <w:rPr>
                  <w:rFonts w:ascii="Cambria Math" w:eastAsia="Calibri" w:hAnsi="Cambria Math" w:cs="Arial"/>
                  <w:szCs w:val="18"/>
                </w:rPr>
                <m:t>w</m:t>
              </m:r>
            </m:sub>
          </m:sSub>
          <m:r>
            <w:rPr>
              <w:rFonts w:ascii="Cambria Math" w:eastAsia="Calibri" w:hAnsi="Cambria Math" w:cs="Arial"/>
              <w:szCs w:val="18"/>
            </w:rPr>
            <m:t xml:space="preserve"> ∙</m:t>
          </m:r>
          <m:d>
            <m:dPr>
              <m:ctrlPr>
                <w:rPr>
                  <w:rFonts w:ascii="Cambria Math" w:eastAsia="Calibri" w:hAnsi="Cambria Math" w:cs="Arial"/>
                  <w:i/>
                  <w:szCs w:val="18"/>
                </w:rPr>
              </m:ctrlPr>
            </m:dPr>
            <m:e>
              <m:sSub>
                <m:sSubPr>
                  <m:ctrlPr>
                    <w:rPr>
                      <w:rFonts w:ascii="Cambria Math" w:eastAsia="Calibri" w:hAnsi="Cambria Math" w:cs="Arial"/>
                      <w:i/>
                      <w:szCs w:val="18"/>
                    </w:rPr>
                  </m:ctrlPr>
                </m:sSubPr>
                <m:e>
                  <m:r>
                    <w:rPr>
                      <w:rFonts w:ascii="Cambria Math" w:eastAsia="Calibri" w:hAnsi="Cambria Math" w:cs="Arial"/>
                      <w:szCs w:val="18"/>
                    </w:rPr>
                    <m:t>L</m:t>
                  </m:r>
                </m:e>
                <m:sub>
                  <m:r>
                    <w:rPr>
                      <w:rFonts w:ascii="Cambria Math" w:eastAsia="Calibri" w:hAnsi="Cambria Math" w:cs="Arial"/>
                      <w:szCs w:val="18"/>
                    </w:rPr>
                    <m:t>w</m:t>
                  </m:r>
                </m:sub>
              </m:sSub>
              <m:r>
                <w:rPr>
                  <w:rFonts w:ascii="Cambria Math" w:eastAsia="Calibri" w:hAnsi="Cambria Math" w:cs="Arial"/>
                  <w:szCs w:val="18"/>
                </w:rPr>
                <m:t>+</m:t>
              </m:r>
              <m:f>
                <m:fPr>
                  <m:ctrlPr>
                    <w:rPr>
                      <w:rFonts w:ascii="Cambria Math" w:eastAsia="Calibri" w:hAnsi="Cambria Math" w:cs="Arial"/>
                      <w:i/>
                      <w:szCs w:val="18"/>
                    </w:rPr>
                  </m:ctrlPr>
                </m:fPr>
                <m:num>
                  <m:r>
                    <w:rPr>
                      <w:rFonts w:ascii="Cambria Math" w:eastAsia="Calibri" w:hAnsi="Cambria Math" w:cs="Arial"/>
                      <w:szCs w:val="18"/>
                    </w:rPr>
                    <m:t>T</m:t>
                  </m:r>
                </m:num>
                <m:den>
                  <m:r>
                    <w:rPr>
                      <w:rFonts w:ascii="Cambria Math" w:eastAsia="Calibri" w:hAnsi="Cambria Math" w:cs="Arial"/>
                      <w:szCs w:val="18"/>
                    </w:rPr>
                    <m:t>2</m:t>
                  </m:r>
                </m:den>
              </m:f>
            </m:e>
          </m:d>
          <m:r>
            <w:rPr>
              <w:rFonts w:ascii="Cambria Math" w:eastAsia="Calibri" w:hAnsi="Cambria Math" w:cs="Arial"/>
              <w:szCs w:val="18"/>
            </w:rPr>
            <m:t xml:space="preserve"> [kNm]</m:t>
          </m:r>
        </m:oMath>
      </m:oMathPara>
    </w:p>
    <w:p w:rsidR="00FE79CB" w:rsidRPr="00C903F8" w:rsidRDefault="00FE79CB" w:rsidP="00973DAA">
      <w:pPr>
        <w:pStyle w:val="ESch"/>
        <w:rPr>
          <w:rFonts w:eastAsia="Calibri" w:cs="Arial"/>
          <w:szCs w:val="18"/>
        </w:rPr>
      </w:pPr>
    </w:p>
    <w:p w:rsidR="00973DAA" w:rsidRPr="00C903F8" w:rsidRDefault="00973DAA" w:rsidP="00505D66">
      <w:pPr>
        <w:pStyle w:val="ESchpar"/>
        <w:rPr>
          <w:rFonts w:eastAsia="Calibri" w:cs="Arial"/>
          <w:szCs w:val="18"/>
        </w:rPr>
      </w:pPr>
      <w:r>
        <w:t>dove:</w:t>
      </w:r>
    </w:p>
    <w:p w:rsidR="00973DAA" w:rsidRPr="00C903F8" w:rsidRDefault="00624017" w:rsidP="00505D66">
      <w:pPr>
        <w:pStyle w:val="ESlet"/>
        <w:ind w:left="1134" w:hanging="567"/>
        <w:rPr>
          <w:rFonts w:eastAsia="Calibri" w:cs="Arial"/>
          <w:szCs w:val="18"/>
        </w:rPr>
      </w:pPr>
      <m:oMath>
        <m:sSub>
          <m:sSubPr>
            <m:ctrlPr>
              <w:rPr>
                <w:rFonts w:ascii="Cambria Math" w:eastAsia="Calibri" w:hAnsi="Cambria Math"/>
                <w:i/>
                <w:noProof/>
              </w:rPr>
            </m:ctrlPr>
          </m:sSubPr>
          <m:e>
            <m:r>
              <w:rPr>
                <w:rFonts w:ascii="Cambria Math" w:eastAsia="Calibri" w:hAnsi="Cambria Math"/>
                <w:noProof/>
              </w:rPr>
              <m:t>p</m:t>
            </m:r>
          </m:e>
          <m:sub>
            <m:r>
              <w:rPr>
                <w:rFonts w:ascii="Cambria Math" w:eastAsia="Calibri" w:hAnsi="Cambria Math"/>
                <w:noProof/>
              </w:rPr>
              <m:t>w</m:t>
            </m:r>
          </m:sub>
        </m:sSub>
      </m:oMath>
      <w:r w:rsidR="00801F1F">
        <w:t xml:space="preserve"> =</w:t>
      </w:r>
      <w:r w:rsidR="00801F1F">
        <w:tab/>
        <w:t>la pressione del vento specifica di 0,25 kN/m</w:t>
      </w:r>
      <w:r w:rsidR="00801F1F">
        <w:rPr>
          <w:vertAlign w:val="superscript"/>
        </w:rPr>
        <w:t>2</w:t>
      </w:r>
      <w:r w:rsidR="00801F1F">
        <w:t>;</w:t>
      </w:r>
    </w:p>
    <w:p w:rsidR="00973DAA" w:rsidRPr="00C903F8" w:rsidRDefault="00624017" w:rsidP="00505D66">
      <w:pPr>
        <w:pStyle w:val="ESlet"/>
        <w:ind w:left="1134" w:hanging="567"/>
        <w:rPr>
          <w:rFonts w:eastAsia="Calibri" w:cs="Arial"/>
          <w:szCs w:val="18"/>
        </w:rPr>
      </w:pPr>
      <m:oMath>
        <m:sSub>
          <m:sSubPr>
            <m:ctrlPr>
              <w:rPr>
                <w:rFonts w:ascii="Cambria Math" w:eastAsia="Calibri" w:hAnsi="Cambria Math"/>
                <w:i/>
                <w:noProof/>
              </w:rPr>
            </m:ctrlPr>
          </m:sSubPr>
          <m:e>
            <m:r>
              <w:rPr>
                <w:rFonts w:ascii="Cambria Math" w:eastAsia="Calibri" w:hAnsi="Cambria Math"/>
                <w:noProof/>
              </w:rPr>
              <m:t>A</m:t>
            </m:r>
          </m:e>
          <m:sub>
            <m:r>
              <w:rPr>
                <w:rFonts w:ascii="Cambria Math" w:eastAsia="Calibri" w:hAnsi="Cambria Math"/>
                <w:noProof/>
              </w:rPr>
              <m:t>w</m:t>
            </m:r>
          </m:sub>
        </m:sSub>
      </m:oMath>
      <w:r w:rsidR="00801F1F">
        <w:t xml:space="preserve"> =</w:t>
      </w:r>
      <w:r w:rsidR="00801F1F">
        <w:tab/>
        <w:t>piano laterale della nave al di sopra del piano di immersione in base alla condizione di carico considerata in [m²];</w:t>
      </w:r>
    </w:p>
    <w:p w:rsidR="00973DAA" w:rsidRPr="00C903F8" w:rsidRDefault="00624017" w:rsidP="00505D66">
      <w:pPr>
        <w:pStyle w:val="ESlet"/>
        <w:ind w:left="1134" w:hanging="567"/>
        <w:rPr>
          <w:rFonts w:eastAsia="Calibri" w:cs="Arial"/>
          <w:szCs w:val="18"/>
        </w:rPr>
      </w:pPr>
      <m:oMath>
        <m:sSub>
          <m:sSubPr>
            <m:ctrlPr>
              <w:rPr>
                <w:rFonts w:ascii="Cambria Math" w:eastAsia="Calibri" w:hAnsi="Cambria Math"/>
                <w:i/>
                <w:noProof/>
              </w:rPr>
            </m:ctrlPr>
          </m:sSubPr>
          <m:e>
            <m:r>
              <w:rPr>
                <w:rFonts w:ascii="Cambria Math" w:eastAsia="Calibri" w:hAnsi="Cambria Math"/>
                <w:noProof/>
              </w:rPr>
              <m:t>l</m:t>
            </m:r>
          </m:e>
          <m:sub>
            <m:r>
              <w:rPr>
                <w:rFonts w:ascii="Cambria Math" w:eastAsia="Calibri" w:hAnsi="Cambria Math"/>
                <w:noProof/>
              </w:rPr>
              <m:t>w</m:t>
            </m:r>
          </m:sub>
        </m:sSub>
      </m:oMath>
      <w:r w:rsidR="00801F1F">
        <w:t xml:space="preserve"> =</w:t>
      </w:r>
      <w:r w:rsidR="00801F1F">
        <w:tab/>
        <w:t xml:space="preserve">distanza del centro di gravità del piano laterale </w:t>
      </w:r>
      <m:oMath>
        <m:sSub>
          <m:sSubPr>
            <m:ctrlPr>
              <w:rPr>
                <w:rFonts w:ascii="Cambria Math" w:eastAsia="Calibri" w:hAnsi="Cambria Math"/>
                <w:i/>
                <w:noProof/>
              </w:rPr>
            </m:ctrlPr>
          </m:sSubPr>
          <m:e>
            <m:r>
              <w:rPr>
                <w:rFonts w:ascii="Cambria Math" w:eastAsia="Calibri" w:hAnsi="Cambria Math"/>
                <w:noProof/>
              </w:rPr>
              <m:t>A</m:t>
            </m:r>
          </m:e>
          <m:sub>
            <m:r>
              <w:rPr>
                <w:rFonts w:ascii="Cambria Math" w:eastAsia="Calibri" w:hAnsi="Cambria Math"/>
                <w:noProof/>
              </w:rPr>
              <m:t>w</m:t>
            </m:r>
          </m:sub>
        </m:sSub>
      </m:oMath>
      <w:r w:rsidR="00801F1F">
        <w:t xml:space="preserve"> dal piano di immersione in base alla condizione di carico considerata in [m].</w:t>
      </w:r>
    </w:p>
    <w:p w:rsidR="00505D66" w:rsidRPr="00C903F8" w:rsidRDefault="00505D66" w:rsidP="00973DAA">
      <w:pPr>
        <w:pStyle w:val="ESch"/>
        <w:rPr>
          <w:rFonts w:eastAsia="Calibri"/>
          <w:noProof/>
        </w:rPr>
      </w:pPr>
    </w:p>
    <w:p w:rsidR="00973DAA" w:rsidRPr="00C903F8" w:rsidRDefault="00973DAA" w:rsidP="00505D66">
      <w:pPr>
        <w:pStyle w:val="ESchpar"/>
        <w:rPr>
          <w:rFonts w:eastAsia="Calibri" w:cs="Arial"/>
          <w:szCs w:val="18"/>
        </w:rPr>
      </w:pPr>
      <w:r>
        <w:t>Nel calcolo del piano laterale, si deve tener conto dello spazio chiuso da tende e altre installazioni mobili previsto sul ponte.</w:t>
      </w:r>
    </w:p>
    <w:p w:rsidR="00505D66" w:rsidRPr="00C903F8" w:rsidRDefault="00505D66" w:rsidP="00973DAA">
      <w:pPr>
        <w:pStyle w:val="ESch"/>
        <w:rPr>
          <w:rFonts w:eastAsia="Calibri"/>
          <w:noProof/>
        </w:rPr>
      </w:pPr>
    </w:p>
    <w:p w:rsidR="00973DAA" w:rsidRPr="00C903F8" w:rsidRDefault="00973DAA" w:rsidP="00973DAA">
      <w:pPr>
        <w:pStyle w:val="ESch"/>
        <w:rPr>
          <w:rFonts w:eastAsia="Calibri"/>
          <w:noProof/>
        </w:rPr>
      </w:pPr>
      <w:r>
        <w:t>6.</w:t>
      </w:r>
      <w:r>
        <w:tab/>
        <w:t xml:space="preserve">Il momento dovuto alla forza centrifuga </w:t>
      </w:r>
      <m:oMath>
        <m:sSub>
          <m:sSubPr>
            <m:ctrlPr>
              <w:rPr>
                <w:rFonts w:ascii="Cambria Math" w:eastAsia="Calibri" w:hAnsi="Cambria Math"/>
                <w:i/>
                <w:noProof/>
              </w:rPr>
            </m:ctrlPr>
          </m:sSubPr>
          <m:e>
            <m:r>
              <w:rPr>
                <w:rFonts w:ascii="Cambria Math" w:eastAsia="Calibri" w:hAnsi="Cambria Math"/>
                <w:noProof/>
              </w:rPr>
              <m:t>M</m:t>
            </m:r>
          </m:e>
          <m:sub>
            <m:r>
              <w:rPr>
                <w:rFonts w:ascii="Cambria Math" w:eastAsia="Calibri" w:hAnsi="Cambria Math"/>
                <w:noProof/>
              </w:rPr>
              <m:t>dr</m:t>
            </m:r>
          </m:sub>
        </m:sSub>
      </m:oMath>
      <w:r>
        <w:t>, causato dalla virata della nave, è calcolato come segue:</w:t>
      </w:r>
    </w:p>
    <w:p w:rsidR="001F199D" w:rsidRPr="00C903F8" w:rsidRDefault="001F199D" w:rsidP="00973DAA">
      <w:pPr>
        <w:pStyle w:val="ESch"/>
        <w:rPr>
          <w:rFonts w:eastAsia="Calibri" w:cs="Arial"/>
          <w:szCs w:val="18"/>
        </w:rPr>
      </w:pPr>
    </w:p>
    <w:p w:rsidR="00F92563" w:rsidRPr="00C903F8" w:rsidRDefault="00624017" w:rsidP="00F92563">
      <w:pPr>
        <w:pStyle w:val="ESch"/>
        <w:ind w:left="0" w:firstLine="0"/>
        <w:rPr>
          <w:rFonts w:eastAsia="Calibri" w:cs="Arial"/>
          <w:szCs w:val="18"/>
        </w:rPr>
      </w:pPr>
      <m:oMathPara>
        <m:oMath>
          <m:sSub>
            <m:sSubPr>
              <m:ctrlPr>
                <w:rPr>
                  <w:rFonts w:ascii="Cambria Math" w:eastAsia="Calibri" w:hAnsi="Cambria Math" w:cs="Arial"/>
                  <w:i/>
                  <w:szCs w:val="18"/>
                </w:rPr>
              </m:ctrlPr>
            </m:sSubPr>
            <m:e>
              <m:r>
                <w:rPr>
                  <w:rFonts w:ascii="Cambria Math" w:eastAsia="Calibri" w:hAnsi="Cambria Math" w:cs="Arial"/>
                  <w:szCs w:val="18"/>
                </w:rPr>
                <m:t>M</m:t>
              </m:r>
            </m:e>
            <m:sub>
              <m:r>
                <w:rPr>
                  <w:rFonts w:ascii="Cambria Math" w:eastAsia="Calibri" w:hAnsi="Cambria Math" w:cs="Arial"/>
                  <w:szCs w:val="18"/>
                </w:rPr>
                <m:t>dr</m:t>
              </m:r>
            </m:sub>
          </m:sSub>
          <m:r>
            <w:rPr>
              <w:rFonts w:ascii="Cambria Math" w:eastAsia="Calibri" w:hAnsi="Cambria Math" w:cs="Arial"/>
              <w:szCs w:val="18"/>
            </w:rPr>
            <m:t xml:space="preserve">= </m:t>
          </m:r>
          <m:sSub>
            <m:sSubPr>
              <m:ctrlPr>
                <w:rPr>
                  <w:rFonts w:ascii="Cambria Math" w:eastAsia="Calibri" w:hAnsi="Cambria Math" w:cs="Arial"/>
                  <w:i/>
                  <w:szCs w:val="18"/>
                </w:rPr>
              </m:ctrlPr>
            </m:sSubPr>
            <m:e>
              <m:r>
                <w:rPr>
                  <w:rFonts w:ascii="Cambria Math" w:eastAsia="Calibri" w:hAnsi="Cambria Math" w:cs="Arial"/>
                  <w:szCs w:val="18"/>
                </w:rPr>
                <m:t>c</m:t>
              </m:r>
            </m:e>
            <m:sub>
              <m:r>
                <w:rPr>
                  <w:rFonts w:ascii="Cambria Math" w:eastAsia="Calibri" w:hAnsi="Cambria Math" w:cs="Arial"/>
                  <w:szCs w:val="18"/>
                </w:rPr>
                <m:t>dr</m:t>
              </m:r>
            </m:sub>
          </m:sSub>
          <m:r>
            <w:rPr>
              <w:rFonts w:ascii="Cambria Math" w:eastAsia="Calibri" w:hAnsi="Cambria Math" w:cs="Arial"/>
              <w:szCs w:val="18"/>
            </w:rPr>
            <m:t xml:space="preserve"> ∙ </m:t>
          </m:r>
          <m:sSub>
            <m:sSubPr>
              <m:ctrlPr>
                <w:rPr>
                  <w:rFonts w:ascii="Cambria Math" w:eastAsia="Calibri" w:hAnsi="Cambria Math" w:cs="Arial"/>
                  <w:i/>
                  <w:szCs w:val="18"/>
                </w:rPr>
              </m:ctrlPr>
            </m:sSubPr>
            <m:e>
              <m:r>
                <w:rPr>
                  <w:rFonts w:ascii="Cambria Math" w:eastAsia="Calibri" w:hAnsi="Cambria Math" w:cs="Arial"/>
                  <w:szCs w:val="18"/>
                </w:rPr>
                <m:t>C</m:t>
              </m:r>
            </m:e>
            <m:sub>
              <m:r>
                <w:rPr>
                  <w:rFonts w:ascii="Cambria Math" w:eastAsia="Calibri" w:hAnsi="Cambria Math" w:cs="Arial"/>
                  <w:szCs w:val="18"/>
                </w:rPr>
                <m:t>B</m:t>
              </m:r>
            </m:sub>
          </m:sSub>
          <m:r>
            <w:rPr>
              <w:rFonts w:ascii="Cambria Math" w:eastAsia="Calibri" w:hAnsi="Cambria Math" w:cs="Arial"/>
              <w:szCs w:val="18"/>
            </w:rPr>
            <m:t xml:space="preserve"> ∙ </m:t>
          </m:r>
          <m:sSup>
            <m:sSupPr>
              <m:ctrlPr>
                <w:rPr>
                  <w:rFonts w:ascii="Cambria Math" w:eastAsia="Calibri" w:hAnsi="Cambria Math" w:cs="Arial"/>
                  <w:i/>
                  <w:szCs w:val="18"/>
                </w:rPr>
              </m:ctrlPr>
            </m:sSupPr>
            <m:e>
              <m:r>
                <w:rPr>
                  <w:rFonts w:ascii="Cambria Math" w:eastAsia="Calibri" w:hAnsi="Cambria Math" w:cs="Arial"/>
                  <w:szCs w:val="18"/>
                </w:rPr>
                <m:t>v</m:t>
              </m:r>
            </m:e>
            <m:sup>
              <m:r>
                <w:rPr>
                  <w:rFonts w:ascii="Cambria Math" w:eastAsia="Calibri" w:hAnsi="Cambria Math" w:cs="Arial"/>
                  <w:szCs w:val="18"/>
                </w:rPr>
                <m:t>2</m:t>
              </m:r>
            </m:sup>
          </m:sSup>
          <m:r>
            <w:rPr>
              <w:rFonts w:ascii="Cambria Math" w:eastAsia="Calibri" w:hAnsi="Cambria Math" w:cs="Arial"/>
              <w:szCs w:val="18"/>
            </w:rPr>
            <m:t xml:space="preserve"> ∙</m:t>
          </m:r>
          <m:f>
            <m:fPr>
              <m:ctrlPr>
                <w:rPr>
                  <w:rFonts w:ascii="Cambria Math" w:eastAsia="Calibri" w:hAnsi="Cambria Math" w:cs="Arial"/>
                  <w:i/>
                  <w:szCs w:val="18"/>
                </w:rPr>
              </m:ctrlPr>
            </m:fPr>
            <m:num>
              <m:r>
                <w:rPr>
                  <w:rFonts w:ascii="Cambria Math" w:eastAsia="Calibri" w:hAnsi="Cambria Math" w:cs="Arial"/>
                  <w:szCs w:val="18"/>
                </w:rPr>
                <m:t>D</m:t>
              </m:r>
            </m:num>
            <m:den>
              <m:sSub>
                <m:sSubPr>
                  <m:ctrlPr>
                    <w:rPr>
                      <w:rFonts w:ascii="Cambria Math" w:eastAsia="Calibri" w:hAnsi="Cambria Math" w:cs="Arial"/>
                      <w:i/>
                      <w:szCs w:val="18"/>
                    </w:rPr>
                  </m:ctrlPr>
                </m:sSubPr>
                <m:e>
                  <m:r>
                    <w:rPr>
                      <w:rFonts w:ascii="Cambria Math" w:eastAsia="Calibri" w:hAnsi="Cambria Math" w:cs="Arial"/>
                      <w:szCs w:val="18"/>
                    </w:rPr>
                    <m:t>L</m:t>
                  </m:r>
                </m:e>
                <m:sub>
                  <m:r>
                    <w:rPr>
                      <w:rFonts w:ascii="Cambria Math" w:eastAsia="Calibri" w:hAnsi="Cambria Math" w:cs="Arial"/>
                      <w:szCs w:val="18"/>
                    </w:rPr>
                    <m:t>WL</m:t>
                  </m:r>
                </m:sub>
              </m:sSub>
            </m:den>
          </m:f>
          <m:r>
            <w:rPr>
              <w:rFonts w:ascii="Cambria Math" w:eastAsia="Calibri" w:hAnsi="Cambria Math" w:cs="Arial"/>
              <w:szCs w:val="18"/>
            </w:rPr>
            <m:t>∙</m:t>
          </m:r>
          <m:d>
            <m:dPr>
              <m:ctrlPr>
                <w:rPr>
                  <w:rFonts w:ascii="Cambria Math" w:eastAsia="Calibri" w:hAnsi="Cambria Math" w:cs="Arial"/>
                  <w:i/>
                  <w:szCs w:val="18"/>
                </w:rPr>
              </m:ctrlPr>
            </m:dPr>
            <m:e>
              <m:r>
                <w:rPr>
                  <w:rFonts w:ascii="Cambria Math" w:eastAsia="Calibri" w:hAnsi="Cambria Math" w:cs="Arial"/>
                  <w:szCs w:val="18"/>
                </w:rPr>
                <m:t>KG-</m:t>
              </m:r>
              <m:f>
                <m:fPr>
                  <m:ctrlPr>
                    <w:rPr>
                      <w:rFonts w:ascii="Cambria Math" w:eastAsia="Calibri" w:hAnsi="Cambria Math" w:cs="Arial"/>
                      <w:i/>
                      <w:szCs w:val="18"/>
                    </w:rPr>
                  </m:ctrlPr>
                </m:fPr>
                <m:num>
                  <m:r>
                    <w:rPr>
                      <w:rFonts w:ascii="Cambria Math" w:eastAsia="Calibri" w:hAnsi="Cambria Math" w:cs="Arial"/>
                      <w:szCs w:val="18"/>
                    </w:rPr>
                    <m:t>T</m:t>
                  </m:r>
                </m:num>
                <m:den>
                  <m:r>
                    <w:rPr>
                      <w:rFonts w:ascii="Cambria Math" w:eastAsia="Calibri" w:hAnsi="Cambria Math" w:cs="Arial"/>
                      <w:szCs w:val="18"/>
                    </w:rPr>
                    <m:t>2</m:t>
                  </m:r>
                </m:den>
              </m:f>
            </m:e>
          </m:d>
          <m:r>
            <w:rPr>
              <w:rFonts w:ascii="Cambria Math" w:eastAsia="Calibri" w:hAnsi="Cambria Math" w:cs="Arial"/>
              <w:szCs w:val="18"/>
            </w:rPr>
            <m:t xml:space="preserve"> [kNm]</m:t>
          </m:r>
        </m:oMath>
      </m:oMathPara>
    </w:p>
    <w:p w:rsidR="00F92563" w:rsidRPr="00C903F8" w:rsidRDefault="00F92563" w:rsidP="00973DAA">
      <w:pPr>
        <w:pStyle w:val="ESch"/>
        <w:rPr>
          <w:rFonts w:eastAsia="Calibri" w:cs="Arial"/>
          <w:szCs w:val="18"/>
        </w:rPr>
      </w:pPr>
    </w:p>
    <w:p w:rsidR="00973DAA" w:rsidRPr="00C903F8" w:rsidRDefault="00986505" w:rsidP="001F199D">
      <w:pPr>
        <w:pStyle w:val="ESchpar"/>
        <w:rPr>
          <w:rFonts w:eastAsia="Calibri"/>
        </w:rPr>
      </w:pPr>
      <w:r>
        <w:t>dove:</w:t>
      </w:r>
    </w:p>
    <w:p w:rsidR="00973DAA" w:rsidRPr="00C903F8" w:rsidRDefault="00624017" w:rsidP="001F199D">
      <w:pPr>
        <w:pStyle w:val="ESlet"/>
        <w:ind w:left="1134" w:hanging="567"/>
        <w:rPr>
          <w:rFonts w:eastAsia="Calibri"/>
          <w:szCs w:val="20"/>
        </w:rPr>
      </w:pPr>
      <m:oMath>
        <m:sSub>
          <m:sSubPr>
            <m:ctrlPr>
              <w:rPr>
                <w:rFonts w:ascii="Cambria Math" w:eastAsia="Calibri" w:hAnsi="Cambria Math"/>
                <w:i/>
                <w:szCs w:val="18"/>
              </w:rPr>
            </m:ctrlPr>
          </m:sSubPr>
          <m:e>
            <m:r>
              <w:rPr>
                <w:rFonts w:ascii="Cambria Math" w:eastAsia="Calibri" w:hAnsi="Cambria Math"/>
                <w:szCs w:val="18"/>
              </w:rPr>
              <m:t>C</m:t>
            </m:r>
          </m:e>
          <m:sub>
            <m:r>
              <w:rPr>
                <w:rFonts w:ascii="Cambria Math" w:eastAsia="Calibri" w:hAnsi="Cambria Math"/>
                <w:szCs w:val="18"/>
              </w:rPr>
              <m:t>dr</m:t>
            </m:r>
          </m:sub>
        </m:sSub>
      </m:oMath>
      <w:r w:rsidR="00801F1F">
        <w:t xml:space="preserve"> =</w:t>
      </w:r>
      <w:r w:rsidR="00801F1F">
        <w:tab/>
        <w:t>un coefficiente di 0,45;</w:t>
      </w:r>
    </w:p>
    <w:p w:rsidR="00973DAA" w:rsidRPr="00C903F8" w:rsidRDefault="00624017" w:rsidP="001F199D">
      <w:pPr>
        <w:pStyle w:val="ESlet"/>
        <w:ind w:left="1134" w:hanging="567"/>
        <w:rPr>
          <w:rFonts w:eastAsia="Calibri"/>
          <w:noProof/>
          <w:szCs w:val="20"/>
        </w:rPr>
      </w:pPr>
      <m:oMath>
        <m:sSub>
          <m:sSubPr>
            <m:ctrlPr>
              <w:rPr>
                <w:rFonts w:ascii="Cambria Math" w:eastAsia="Calibri" w:hAnsi="Cambria Math"/>
                <w:i/>
                <w:szCs w:val="18"/>
              </w:rPr>
            </m:ctrlPr>
          </m:sSubPr>
          <m:e>
            <m:r>
              <w:rPr>
                <w:rFonts w:ascii="Cambria Math" w:eastAsia="Calibri" w:hAnsi="Cambria Math"/>
                <w:szCs w:val="18"/>
              </w:rPr>
              <m:t>C</m:t>
            </m:r>
          </m:e>
          <m:sub>
            <m:r>
              <w:rPr>
                <w:rFonts w:ascii="Cambria Math" w:eastAsia="Calibri" w:hAnsi="Cambria Math"/>
                <w:szCs w:val="18"/>
              </w:rPr>
              <m:t>B</m:t>
            </m:r>
          </m:sub>
        </m:sSub>
      </m:oMath>
      <w:r w:rsidR="00801F1F">
        <w:t xml:space="preserve"> =</w:t>
      </w:r>
      <w:r w:rsidR="00801F1F">
        <w:tab/>
        <w:t>coefficiente di blocco (se sconosciuto, assunto come 1,0);</w:t>
      </w:r>
    </w:p>
    <w:p w:rsidR="00973DAA" w:rsidRPr="00C903F8" w:rsidRDefault="00986505" w:rsidP="001F199D">
      <w:pPr>
        <w:pStyle w:val="ESlet"/>
        <w:ind w:left="1134" w:hanging="567"/>
        <w:rPr>
          <w:rFonts w:eastAsia="Calibri"/>
          <w:szCs w:val="20"/>
        </w:rPr>
      </w:pPr>
      <m:oMath>
        <m:r>
          <w:rPr>
            <w:rFonts w:ascii="Cambria Math" w:eastAsia="Calibri" w:hAnsi="Cambria Math"/>
            <w:szCs w:val="20"/>
          </w:rPr>
          <m:t>v</m:t>
        </m:r>
      </m:oMath>
      <w:r>
        <w:t xml:space="preserve"> =</w:t>
      </w:r>
      <w:r>
        <w:tab/>
        <w:t>velocità massima della nave [m/s];</w:t>
      </w:r>
    </w:p>
    <w:p w:rsidR="00973DAA" w:rsidRPr="00C903F8" w:rsidRDefault="00986505" w:rsidP="001F199D">
      <w:pPr>
        <w:pStyle w:val="ESlet"/>
        <w:ind w:left="1134" w:hanging="567"/>
        <w:rPr>
          <w:rFonts w:eastAsia="Calibri"/>
          <w:szCs w:val="20"/>
        </w:rPr>
      </w:pPr>
      <m:oMath>
        <m:r>
          <w:rPr>
            <w:rFonts w:ascii="Cambria Math" w:eastAsia="Calibri" w:hAnsi="Cambria Math"/>
            <w:szCs w:val="20"/>
          </w:rPr>
          <m:t>KG</m:t>
        </m:r>
      </m:oMath>
      <w:r>
        <w:t xml:space="preserve"> =</w:t>
      </w:r>
      <w:r>
        <w:tab/>
        <w:t>distanza tra il centro di gravità e la linea della chiglia [m].</w:t>
      </w:r>
    </w:p>
    <w:p w:rsidR="001F199D" w:rsidRPr="00C903F8" w:rsidRDefault="001F199D" w:rsidP="00973DAA">
      <w:pPr>
        <w:pStyle w:val="ESch"/>
        <w:rPr>
          <w:rFonts w:eastAsia="Calibri"/>
          <w:noProof/>
        </w:rPr>
      </w:pPr>
    </w:p>
    <w:p w:rsidR="00973DAA" w:rsidRPr="00C903F8" w:rsidRDefault="00973DAA" w:rsidP="001F199D">
      <w:pPr>
        <w:pStyle w:val="ESchpar"/>
        <w:rPr>
          <w:rFonts w:eastAsia="Calibri" w:cs="Arial"/>
          <w:szCs w:val="18"/>
        </w:rPr>
      </w:pPr>
      <w:r>
        <w:t xml:space="preserve">Per le navi da passeggeri con sistemi di propulsione di cui all'articolo 6.06, </w:t>
      </w:r>
      <m:oMath>
        <m:sSub>
          <m:sSubPr>
            <m:ctrlPr>
              <w:rPr>
                <w:rFonts w:ascii="Cambria Math" w:eastAsia="Calibri" w:hAnsi="Cambria Math"/>
                <w:i/>
                <w:szCs w:val="18"/>
              </w:rPr>
            </m:ctrlPr>
          </m:sSubPr>
          <m:e>
            <m:r>
              <w:rPr>
                <w:rFonts w:ascii="Cambria Math" w:eastAsia="Calibri" w:hAnsi="Cambria Math"/>
                <w:szCs w:val="18"/>
              </w:rPr>
              <m:t>M</m:t>
            </m:r>
          </m:e>
          <m:sub>
            <m:r>
              <w:rPr>
                <w:rFonts w:ascii="Cambria Math" w:eastAsia="Calibri" w:hAnsi="Cambria Math"/>
                <w:szCs w:val="18"/>
              </w:rPr>
              <m:t>dr</m:t>
            </m:r>
          </m:sub>
        </m:sSub>
      </m:oMath>
      <w:r>
        <w:t xml:space="preserve"> è desunto da prove su scala reale o su modelli o altrimenti da calcoli corrispondenti.</w:t>
      </w:r>
    </w:p>
    <w:p w:rsidR="001F199D" w:rsidRPr="00C903F8" w:rsidRDefault="001F199D" w:rsidP="00973DAA">
      <w:pPr>
        <w:pStyle w:val="ESch"/>
        <w:rPr>
          <w:rFonts w:eastAsia="Calibri" w:cs="Arial"/>
          <w:szCs w:val="18"/>
        </w:rPr>
      </w:pPr>
    </w:p>
    <w:p w:rsidR="00973DAA" w:rsidRPr="00C903F8" w:rsidRDefault="00973DAA" w:rsidP="00973DAA">
      <w:pPr>
        <w:pStyle w:val="ESch"/>
        <w:rPr>
          <w:rFonts w:eastAsia="Calibri" w:cs="Arial"/>
          <w:szCs w:val="18"/>
        </w:rPr>
      </w:pPr>
      <w:r>
        <w:t>7.</w:t>
      </w:r>
      <w:r>
        <w:tab/>
        <w:t>Il richiedente dimostra mediante un calcolo che la stabilità in condizioni di avaria della nave è appropriata. Il calcolo della fase finale di allagamento dovrebbe essere basato sul metodo per "sottrazione di carena" e le fasi intermedie di allagamento dovrebbero essere calcolate sulla base del metodo della "massa aggiunta". Tutti i calcoli sono effettuati lasciando libero il galleggiante di inclinarsi longitudinalmente e di immergersi.</w:t>
      </w:r>
    </w:p>
    <w:p w:rsidR="001F199D" w:rsidRPr="00C903F8" w:rsidRDefault="001F199D" w:rsidP="00973DAA">
      <w:pPr>
        <w:pStyle w:val="ESch"/>
        <w:rPr>
          <w:rFonts w:eastAsia="Calibri"/>
          <w:noProof/>
        </w:rPr>
      </w:pPr>
    </w:p>
    <w:p w:rsidR="00973DAA" w:rsidRPr="00C903F8" w:rsidRDefault="00973DAA" w:rsidP="00973DAA">
      <w:pPr>
        <w:pStyle w:val="ESch"/>
        <w:rPr>
          <w:rFonts w:eastAsia="Calibri" w:cs="Arial"/>
          <w:szCs w:val="18"/>
        </w:rPr>
      </w:pPr>
      <w:r>
        <w:t>8.</w:t>
      </w:r>
      <w:r>
        <w:tab/>
        <w:t>Si dimostra la galleggiabilità della nave in caso di allagamento alle condizioni di carico standard specificate al paragrafo 2. Parimenti la prova matematica di sufficiente stabilità è determinata per tre fasi intermedie di allagamento (25 %, 50 % e 75 % di incremento di allagamento) e per la posizione finale di allagamento.</w:t>
      </w:r>
    </w:p>
    <w:p w:rsidR="001F199D" w:rsidRPr="00C903F8" w:rsidRDefault="001F199D" w:rsidP="00973DAA">
      <w:pPr>
        <w:pStyle w:val="ESch"/>
        <w:rPr>
          <w:rFonts w:eastAsia="Calibri"/>
          <w:noProof/>
        </w:rPr>
      </w:pPr>
    </w:p>
    <w:p w:rsidR="001F199D" w:rsidRPr="00C903F8" w:rsidRDefault="001F199D" w:rsidP="00973DAA">
      <w:pPr>
        <w:pStyle w:val="ESch"/>
        <w:rPr>
          <w:rFonts w:eastAsia="Calibri"/>
          <w:noProof/>
        </w:rPr>
      </w:pPr>
      <w:r>
        <w:br w:type="page"/>
      </w:r>
    </w:p>
    <w:p w:rsidR="00973DAA" w:rsidRPr="00C903F8" w:rsidRDefault="00973DAA" w:rsidP="00973DAA">
      <w:pPr>
        <w:pStyle w:val="ESch"/>
        <w:rPr>
          <w:rFonts w:eastAsia="Calibri" w:cs="Arial"/>
          <w:szCs w:val="18"/>
        </w:rPr>
      </w:pPr>
      <w:r>
        <w:lastRenderedPageBreak/>
        <w:t>9.</w:t>
      </w:r>
      <w:r>
        <w:tab/>
        <w:t>Le navi da passeggeri sono conformi alla compartimentazione 1 e alla compartimentazione 2.</w:t>
      </w:r>
    </w:p>
    <w:p w:rsidR="001F199D" w:rsidRPr="00C903F8" w:rsidRDefault="001F199D" w:rsidP="00973DAA">
      <w:pPr>
        <w:pStyle w:val="ESch"/>
        <w:rPr>
          <w:rFonts w:eastAsia="Calibri"/>
          <w:noProof/>
        </w:rPr>
      </w:pPr>
    </w:p>
    <w:p w:rsidR="00973DAA" w:rsidRPr="00C903F8" w:rsidRDefault="00973DAA" w:rsidP="001F199D">
      <w:pPr>
        <w:pStyle w:val="ESchpar"/>
        <w:rPr>
          <w:rFonts w:eastAsia="Calibri"/>
          <w:noProof/>
        </w:rPr>
      </w:pPr>
      <w:r>
        <w:t>In caso di allagamento occorre prendere in considerazione le seguenti ipotesi relative all'estensione del danno:</w:t>
      </w:r>
    </w:p>
    <w:p w:rsidR="001F199D" w:rsidRPr="00C903F8" w:rsidRDefault="001F199D" w:rsidP="001F199D">
      <w:pPr>
        <w:pStyle w:val="ESchpar"/>
        <w:rPr>
          <w:rFonts w:eastAsia="Calibri"/>
          <w:noProof/>
        </w:rPr>
      </w:pPr>
    </w:p>
    <w:tbl>
      <w:tblPr>
        <w:tblW w:w="0" w:type="auto"/>
        <w:tblLayout w:type="fixed"/>
        <w:tblLook w:val="0000" w:firstRow="0" w:lastRow="0" w:firstColumn="0" w:lastColumn="0" w:noHBand="0" w:noVBand="0"/>
      </w:tblPr>
      <w:tblGrid>
        <w:gridCol w:w="2786"/>
        <w:gridCol w:w="3250"/>
        <w:gridCol w:w="3250"/>
      </w:tblGrid>
      <w:tr w:rsidR="001F199D" w:rsidRPr="00C903F8" w:rsidTr="000804D1">
        <w:tc>
          <w:tcPr>
            <w:tcW w:w="2786" w:type="dxa"/>
            <w:tcBorders>
              <w:top w:val="single" w:sz="2" w:space="0" w:color="auto"/>
              <w:left w:val="single" w:sz="2" w:space="0" w:color="auto"/>
              <w:bottom w:val="single" w:sz="2" w:space="0" w:color="auto"/>
              <w:right w:val="single" w:sz="2" w:space="0" w:color="auto"/>
            </w:tcBorders>
          </w:tcPr>
          <w:p w:rsidR="001F199D" w:rsidRPr="00C903F8" w:rsidRDefault="001F199D" w:rsidP="001F199D">
            <w:pPr>
              <w:autoSpaceDE/>
              <w:autoSpaceDN/>
              <w:adjustRightInd w:val="0"/>
              <w:spacing w:before="60" w:after="60" w:line="240" w:lineRule="atLeast"/>
              <w:ind w:left="0" w:firstLine="0"/>
              <w:jc w:val="left"/>
              <w:rPr>
                <w:rFonts w:cs="Arial"/>
                <w:noProof/>
                <w:sz w:val="18"/>
                <w:szCs w:val="18"/>
              </w:rPr>
            </w:pPr>
          </w:p>
        </w:tc>
        <w:tc>
          <w:tcPr>
            <w:tcW w:w="3250" w:type="dxa"/>
            <w:tcBorders>
              <w:top w:val="single" w:sz="2" w:space="0" w:color="auto"/>
              <w:left w:val="single" w:sz="2" w:space="0" w:color="auto"/>
              <w:bottom w:val="single" w:sz="2" w:space="0" w:color="auto"/>
              <w:right w:val="single" w:sz="2" w:space="0" w:color="auto"/>
            </w:tcBorders>
          </w:tcPr>
          <w:p w:rsidR="001F199D" w:rsidRPr="00C903F8" w:rsidRDefault="001F199D" w:rsidP="001F199D">
            <w:pPr>
              <w:autoSpaceDE/>
              <w:autoSpaceDN/>
              <w:spacing w:before="60" w:after="60" w:line="240" w:lineRule="atLeast"/>
              <w:ind w:left="0" w:firstLine="0"/>
              <w:jc w:val="center"/>
              <w:rPr>
                <w:rFonts w:cs="Arial"/>
                <w:noProof/>
                <w:sz w:val="18"/>
                <w:szCs w:val="18"/>
              </w:rPr>
            </w:pPr>
            <w:r>
              <w:rPr>
                <w:noProof/>
                <w:sz w:val="18"/>
              </w:rPr>
              <w:t>Le navi da passeggeri sono conformi con la compartimentazione 1 e la compartimentazione 2. In caso di allagamento si tiene conto dei dati seguenti riguardo all'estensione del danno:</w:t>
            </w:r>
          </w:p>
        </w:tc>
        <w:tc>
          <w:tcPr>
            <w:tcW w:w="3250" w:type="dxa"/>
            <w:tcBorders>
              <w:top w:val="single" w:sz="2" w:space="0" w:color="auto"/>
              <w:left w:val="single" w:sz="2" w:space="0" w:color="auto"/>
              <w:bottom w:val="single" w:sz="2" w:space="0" w:color="auto"/>
              <w:right w:val="single" w:sz="2" w:space="0" w:color="auto"/>
            </w:tcBorders>
          </w:tcPr>
          <w:p w:rsidR="001F199D" w:rsidRPr="00C903F8" w:rsidRDefault="001F199D" w:rsidP="001F199D">
            <w:pPr>
              <w:autoSpaceDE/>
              <w:autoSpaceDN/>
              <w:spacing w:before="60" w:after="60" w:line="240" w:lineRule="atLeast"/>
              <w:ind w:left="0" w:firstLine="0"/>
              <w:jc w:val="center"/>
              <w:rPr>
                <w:rFonts w:cs="Arial"/>
                <w:noProof/>
                <w:sz w:val="18"/>
                <w:szCs w:val="18"/>
              </w:rPr>
            </w:pPr>
            <w:r>
              <w:rPr>
                <w:noProof/>
                <w:sz w:val="18"/>
              </w:rPr>
              <w:t>compartimentazione 2</w:t>
            </w:r>
          </w:p>
        </w:tc>
      </w:tr>
      <w:tr w:rsidR="001F199D" w:rsidRPr="00A0619C" w:rsidTr="000804D1">
        <w:tc>
          <w:tcPr>
            <w:tcW w:w="2786" w:type="dxa"/>
            <w:tcBorders>
              <w:top w:val="single" w:sz="2" w:space="0" w:color="auto"/>
              <w:left w:val="single" w:sz="2" w:space="0" w:color="auto"/>
              <w:bottom w:val="single" w:sz="2" w:space="0" w:color="auto"/>
              <w:right w:val="single" w:sz="2" w:space="0" w:color="auto"/>
            </w:tcBorders>
          </w:tcPr>
          <w:p w:rsidR="001F199D" w:rsidRPr="00C903F8" w:rsidRDefault="001F199D" w:rsidP="001F199D">
            <w:pPr>
              <w:autoSpaceDE/>
              <w:autoSpaceDN/>
              <w:spacing w:before="60" w:after="60" w:line="240" w:lineRule="atLeast"/>
              <w:ind w:left="0" w:firstLine="0"/>
              <w:jc w:val="left"/>
              <w:rPr>
                <w:rFonts w:cs="Arial"/>
                <w:noProof/>
                <w:sz w:val="18"/>
                <w:szCs w:val="18"/>
              </w:rPr>
            </w:pPr>
            <w:r>
              <w:rPr>
                <w:noProof/>
                <w:sz w:val="18"/>
              </w:rPr>
              <w:t>compartimentazione 1 Dimensione del danno laterale</w:t>
            </w:r>
          </w:p>
        </w:tc>
        <w:tc>
          <w:tcPr>
            <w:tcW w:w="3250" w:type="dxa"/>
            <w:tcBorders>
              <w:top w:val="single" w:sz="2" w:space="0" w:color="auto"/>
              <w:left w:val="single" w:sz="2" w:space="0" w:color="auto"/>
              <w:bottom w:val="single" w:sz="2" w:space="0" w:color="auto"/>
              <w:right w:val="single" w:sz="2" w:space="0" w:color="auto"/>
            </w:tcBorders>
          </w:tcPr>
          <w:p w:rsidR="001F199D" w:rsidRPr="00C903F8" w:rsidRDefault="001F199D" w:rsidP="001F199D">
            <w:pPr>
              <w:autoSpaceDE/>
              <w:autoSpaceDN/>
              <w:spacing w:before="60" w:after="60" w:line="240" w:lineRule="atLeast"/>
              <w:ind w:left="0" w:firstLine="0"/>
              <w:jc w:val="center"/>
              <w:rPr>
                <w:rFonts w:cs="Arial"/>
                <w:noProof/>
                <w:sz w:val="18"/>
                <w:szCs w:val="18"/>
              </w:rPr>
            </w:pPr>
          </w:p>
        </w:tc>
        <w:tc>
          <w:tcPr>
            <w:tcW w:w="3250" w:type="dxa"/>
            <w:tcBorders>
              <w:top w:val="single" w:sz="2" w:space="0" w:color="auto"/>
              <w:left w:val="single" w:sz="2" w:space="0" w:color="auto"/>
              <w:bottom w:val="single" w:sz="2" w:space="0" w:color="auto"/>
              <w:right w:val="single" w:sz="2" w:space="0" w:color="auto"/>
            </w:tcBorders>
          </w:tcPr>
          <w:p w:rsidR="001F199D" w:rsidRPr="00C903F8" w:rsidRDefault="001F199D" w:rsidP="001F199D">
            <w:pPr>
              <w:autoSpaceDE/>
              <w:autoSpaceDN/>
              <w:spacing w:before="60" w:after="60" w:line="240" w:lineRule="atLeast"/>
              <w:ind w:left="0" w:firstLine="0"/>
              <w:jc w:val="center"/>
              <w:rPr>
                <w:rFonts w:cs="Arial"/>
                <w:noProof/>
                <w:sz w:val="18"/>
                <w:szCs w:val="18"/>
              </w:rPr>
            </w:pPr>
          </w:p>
        </w:tc>
      </w:tr>
      <w:tr w:rsidR="001F199D" w:rsidRPr="00A0619C" w:rsidTr="000804D1">
        <w:tc>
          <w:tcPr>
            <w:tcW w:w="2786" w:type="dxa"/>
            <w:tcBorders>
              <w:top w:val="single" w:sz="2" w:space="0" w:color="auto"/>
              <w:left w:val="single" w:sz="2" w:space="0" w:color="auto"/>
              <w:bottom w:val="single" w:sz="2" w:space="0" w:color="auto"/>
              <w:right w:val="single" w:sz="2" w:space="0" w:color="auto"/>
            </w:tcBorders>
          </w:tcPr>
          <w:p w:rsidR="001F199D" w:rsidRPr="00C903F8" w:rsidRDefault="001F199D" w:rsidP="00A22998">
            <w:pPr>
              <w:autoSpaceDE/>
              <w:autoSpaceDN/>
              <w:spacing w:before="60" w:after="60" w:line="240" w:lineRule="atLeast"/>
              <w:ind w:left="0" w:firstLine="0"/>
              <w:jc w:val="left"/>
              <w:rPr>
                <w:rFonts w:cs="Arial"/>
                <w:noProof/>
                <w:sz w:val="18"/>
                <w:szCs w:val="18"/>
              </w:rPr>
            </w:pPr>
            <w:r>
              <w:rPr>
                <w:noProof/>
                <w:sz w:val="18"/>
              </w:rPr>
              <w:t xml:space="preserve">longitudinale </w:t>
            </w:r>
            <m:oMath>
              <m:r>
                <w:rPr>
                  <w:rFonts w:ascii="Cambria Math" w:hAnsi="Cambria Math" w:cs="Arial"/>
                  <w:noProof/>
                  <w:sz w:val="18"/>
                  <w:szCs w:val="18"/>
                </w:rPr>
                <m:t xml:space="preserve">l </m:t>
              </m:r>
            </m:oMath>
            <w:r>
              <w:rPr>
                <w:noProof/>
                <w:sz w:val="18"/>
              </w:rPr>
              <w:t>[m]</w:t>
            </w:r>
          </w:p>
        </w:tc>
        <w:tc>
          <w:tcPr>
            <w:tcW w:w="3250" w:type="dxa"/>
            <w:tcBorders>
              <w:top w:val="single" w:sz="2" w:space="0" w:color="auto"/>
              <w:left w:val="single" w:sz="2" w:space="0" w:color="auto"/>
              <w:bottom w:val="single" w:sz="2" w:space="0" w:color="auto"/>
              <w:right w:val="single" w:sz="2" w:space="0" w:color="auto"/>
            </w:tcBorders>
          </w:tcPr>
          <w:p w:rsidR="001F199D" w:rsidRPr="00C903F8" w:rsidRDefault="00A22998" w:rsidP="00A22998">
            <w:pPr>
              <w:autoSpaceDE/>
              <w:autoSpaceDN/>
              <w:spacing w:before="60" w:after="60" w:line="240" w:lineRule="atLeast"/>
              <w:ind w:left="0" w:firstLine="0"/>
              <w:jc w:val="left"/>
              <w:rPr>
                <w:rFonts w:cs="Arial"/>
                <w:noProof/>
                <w:sz w:val="18"/>
                <w:szCs w:val="18"/>
              </w:rPr>
            </w:pPr>
            <m:oMath>
              <m:r>
                <w:rPr>
                  <w:rFonts w:ascii="Cambria Math" w:hAnsi="Cambria Math" w:cs="Arial"/>
                  <w:noProof/>
                  <w:sz w:val="18"/>
                  <w:szCs w:val="18"/>
                </w:rPr>
                <m:t xml:space="preserve">0,10 ∙ </m:t>
              </m:r>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Pr>
                <w:noProof/>
                <w:sz w:val="18"/>
              </w:rPr>
              <w:t>, tuttavia non inferiore a 4,00 m</w:t>
            </w:r>
          </w:p>
        </w:tc>
        <w:tc>
          <w:tcPr>
            <w:tcW w:w="3250" w:type="dxa"/>
            <w:tcBorders>
              <w:top w:val="single" w:sz="2" w:space="0" w:color="auto"/>
              <w:left w:val="single" w:sz="2" w:space="0" w:color="auto"/>
              <w:bottom w:val="single" w:sz="2" w:space="0" w:color="auto"/>
              <w:right w:val="single" w:sz="2" w:space="0" w:color="auto"/>
            </w:tcBorders>
          </w:tcPr>
          <w:p w:rsidR="001F199D" w:rsidRPr="00C903F8" w:rsidRDefault="00A22998" w:rsidP="00A22998">
            <w:pPr>
              <w:autoSpaceDE/>
              <w:autoSpaceDN/>
              <w:spacing w:before="60" w:after="60" w:line="240" w:lineRule="atLeast"/>
              <w:ind w:left="0" w:firstLine="0"/>
              <w:jc w:val="left"/>
              <w:rPr>
                <w:rFonts w:cs="Arial"/>
                <w:noProof/>
                <w:sz w:val="18"/>
                <w:szCs w:val="18"/>
              </w:rPr>
            </w:pPr>
            <m:oMath>
              <m:r>
                <w:rPr>
                  <w:rFonts w:ascii="Cambria Math" w:hAnsi="Cambria Math" w:cs="Arial"/>
                  <w:noProof/>
                  <w:sz w:val="18"/>
                  <w:szCs w:val="18"/>
                </w:rPr>
                <m:t xml:space="preserve">0,05 ∙ </m:t>
              </m:r>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Pr>
                <w:noProof/>
                <w:sz w:val="18"/>
              </w:rPr>
              <w:t>, tuttavia non inferiore a 2,25 m</w:t>
            </w:r>
          </w:p>
        </w:tc>
      </w:tr>
      <w:tr w:rsidR="001F199D" w:rsidRPr="00C903F8" w:rsidTr="000804D1">
        <w:tc>
          <w:tcPr>
            <w:tcW w:w="2786" w:type="dxa"/>
            <w:tcBorders>
              <w:top w:val="single" w:sz="2" w:space="0" w:color="auto"/>
              <w:left w:val="single" w:sz="2" w:space="0" w:color="auto"/>
              <w:bottom w:val="single" w:sz="2" w:space="0" w:color="auto"/>
              <w:right w:val="single" w:sz="2" w:space="0" w:color="auto"/>
            </w:tcBorders>
          </w:tcPr>
          <w:p w:rsidR="001F199D" w:rsidRPr="00C903F8" w:rsidRDefault="001F199D" w:rsidP="00A22998">
            <w:pPr>
              <w:autoSpaceDE/>
              <w:autoSpaceDN/>
              <w:spacing w:before="60" w:after="60" w:line="240" w:lineRule="atLeast"/>
              <w:ind w:left="0" w:firstLine="0"/>
              <w:jc w:val="left"/>
              <w:rPr>
                <w:rFonts w:cs="Arial"/>
                <w:noProof/>
                <w:sz w:val="18"/>
                <w:szCs w:val="18"/>
              </w:rPr>
            </w:pPr>
            <w:r>
              <w:rPr>
                <w:noProof/>
                <w:sz w:val="18"/>
              </w:rPr>
              <w:t xml:space="preserve">trasversale </w:t>
            </w:r>
            <m:oMath>
              <m:r>
                <w:rPr>
                  <w:rFonts w:ascii="Cambria Math" w:hAnsi="Cambria Math" w:cs="Arial"/>
                  <w:noProof/>
                  <w:sz w:val="18"/>
                  <w:szCs w:val="18"/>
                </w:rPr>
                <m:t xml:space="preserve">b </m:t>
              </m:r>
            </m:oMath>
            <w:r>
              <w:rPr>
                <w:noProof/>
                <w:sz w:val="18"/>
              </w:rPr>
              <w:t>[m]</w:t>
            </w:r>
          </w:p>
        </w:tc>
        <w:tc>
          <w:tcPr>
            <w:tcW w:w="3250" w:type="dxa"/>
            <w:tcBorders>
              <w:top w:val="single" w:sz="2" w:space="0" w:color="auto"/>
              <w:left w:val="single" w:sz="2" w:space="0" w:color="auto"/>
              <w:bottom w:val="single" w:sz="2" w:space="0" w:color="auto"/>
              <w:right w:val="single" w:sz="2" w:space="0" w:color="auto"/>
            </w:tcBorders>
          </w:tcPr>
          <w:p w:rsidR="001F199D" w:rsidRPr="00C903F8" w:rsidRDefault="001F199D" w:rsidP="001F199D">
            <w:pPr>
              <w:autoSpaceDE/>
              <w:autoSpaceDN/>
              <w:spacing w:before="60" w:after="60" w:line="240" w:lineRule="atLeast"/>
              <w:ind w:left="0" w:firstLine="0"/>
              <w:jc w:val="center"/>
              <w:rPr>
                <w:rFonts w:cs="Arial"/>
                <w:noProof/>
                <w:sz w:val="18"/>
                <w:szCs w:val="18"/>
              </w:rPr>
            </w:pPr>
            <w:r>
              <w:rPr>
                <w:noProof/>
                <w:sz w:val="18"/>
              </w:rPr>
              <w:t>B/5</w:t>
            </w:r>
          </w:p>
        </w:tc>
        <w:tc>
          <w:tcPr>
            <w:tcW w:w="3250" w:type="dxa"/>
            <w:tcBorders>
              <w:top w:val="single" w:sz="2" w:space="0" w:color="auto"/>
              <w:left w:val="single" w:sz="2" w:space="0" w:color="auto"/>
              <w:bottom w:val="single" w:sz="2" w:space="0" w:color="auto"/>
              <w:right w:val="single" w:sz="2" w:space="0" w:color="auto"/>
            </w:tcBorders>
          </w:tcPr>
          <w:p w:rsidR="001F199D" w:rsidRPr="00C903F8" w:rsidRDefault="001F199D" w:rsidP="001F199D">
            <w:pPr>
              <w:autoSpaceDE/>
              <w:autoSpaceDN/>
              <w:spacing w:before="60" w:after="60" w:line="240" w:lineRule="atLeast"/>
              <w:ind w:left="0" w:firstLine="0"/>
              <w:jc w:val="center"/>
              <w:rPr>
                <w:rFonts w:cs="Arial"/>
                <w:noProof/>
                <w:sz w:val="18"/>
                <w:szCs w:val="18"/>
              </w:rPr>
            </w:pPr>
            <w:r>
              <w:rPr>
                <w:noProof/>
                <w:sz w:val="18"/>
              </w:rPr>
              <w:t>0,59</w:t>
            </w:r>
          </w:p>
        </w:tc>
      </w:tr>
      <w:tr w:rsidR="001F199D" w:rsidRPr="00A0619C" w:rsidTr="000804D1">
        <w:tc>
          <w:tcPr>
            <w:tcW w:w="2786" w:type="dxa"/>
            <w:tcBorders>
              <w:top w:val="single" w:sz="2" w:space="0" w:color="auto"/>
              <w:left w:val="single" w:sz="2" w:space="0" w:color="auto"/>
              <w:bottom w:val="single" w:sz="2" w:space="0" w:color="auto"/>
              <w:right w:val="single" w:sz="2" w:space="0" w:color="auto"/>
            </w:tcBorders>
          </w:tcPr>
          <w:p w:rsidR="001F199D" w:rsidRPr="00C903F8" w:rsidRDefault="001F199D" w:rsidP="00A22998">
            <w:pPr>
              <w:autoSpaceDE/>
              <w:autoSpaceDN/>
              <w:spacing w:before="60" w:after="60" w:line="240" w:lineRule="atLeast"/>
              <w:ind w:left="0" w:firstLine="0"/>
              <w:jc w:val="left"/>
              <w:rPr>
                <w:rFonts w:cs="Arial"/>
                <w:noProof/>
                <w:sz w:val="18"/>
                <w:szCs w:val="18"/>
              </w:rPr>
            </w:pPr>
            <w:r>
              <w:rPr>
                <w:noProof/>
                <w:sz w:val="18"/>
              </w:rPr>
              <w:t xml:space="preserve">verticale </w:t>
            </w:r>
            <m:oMath>
              <m:r>
                <w:rPr>
                  <w:rFonts w:ascii="Cambria Math" w:hAnsi="Cambria Math" w:cs="Arial"/>
                  <w:noProof/>
                  <w:sz w:val="18"/>
                  <w:szCs w:val="18"/>
                </w:rPr>
                <m:t>h</m:t>
              </m:r>
            </m:oMath>
            <w:r>
              <w:rPr>
                <w:noProof/>
                <w:sz w:val="18"/>
              </w:rPr>
              <w:t>[m]</w:t>
            </w:r>
          </w:p>
        </w:tc>
        <w:tc>
          <w:tcPr>
            <w:tcW w:w="6500" w:type="dxa"/>
            <w:gridSpan w:val="2"/>
            <w:tcBorders>
              <w:top w:val="single" w:sz="2" w:space="0" w:color="auto"/>
              <w:left w:val="single" w:sz="2" w:space="0" w:color="auto"/>
              <w:bottom w:val="single" w:sz="2" w:space="0" w:color="auto"/>
              <w:right w:val="single" w:sz="2" w:space="0" w:color="auto"/>
            </w:tcBorders>
          </w:tcPr>
          <w:p w:rsidR="001F199D" w:rsidRPr="00C903F8" w:rsidRDefault="001F199D" w:rsidP="001F199D">
            <w:pPr>
              <w:autoSpaceDE/>
              <w:autoSpaceDN/>
              <w:spacing w:before="60" w:after="60" w:line="240" w:lineRule="atLeast"/>
              <w:ind w:left="0" w:firstLine="0"/>
              <w:jc w:val="left"/>
              <w:rPr>
                <w:rFonts w:cs="Arial"/>
                <w:noProof/>
                <w:sz w:val="18"/>
                <w:szCs w:val="18"/>
              </w:rPr>
            </w:pPr>
            <w:r>
              <w:rPr>
                <w:noProof/>
                <w:sz w:val="18"/>
              </w:rPr>
              <w:t>dal fondo della nave alla cima senza delimitazione</w:t>
            </w:r>
          </w:p>
        </w:tc>
      </w:tr>
      <w:tr w:rsidR="001F199D" w:rsidRPr="00A0619C" w:rsidTr="000804D1">
        <w:tc>
          <w:tcPr>
            <w:tcW w:w="2786" w:type="dxa"/>
            <w:tcBorders>
              <w:top w:val="single" w:sz="2" w:space="0" w:color="auto"/>
              <w:left w:val="single" w:sz="2" w:space="0" w:color="auto"/>
              <w:bottom w:val="single" w:sz="2" w:space="0" w:color="auto"/>
              <w:right w:val="single" w:sz="2" w:space="0" w:color="auto"/>
            </w:tcBorders>
          </w:tcPr>
          <w:p w:rsidR="001F199D" w:rsidRPr="00C903F8" w:rsidRDefault="001F199D" w:rsidP="001F199D">
            <w:pPr>
              <w:autoSpaceDE/>
              <w:autoSpaceDN/>
              <w:spacing w:before="60" w:after="60" w:line="240" w:lineRule="atLeast"/>
              <w:ind w:left="0" w:firstLine="0"/>
              <w:jc w:val="left"/>
              <w:rPr>
                <w:rFonts w:cs="Arial"/>
                <w:noProof/>
                <w:sz w:val="18"/>
                <w:szCs w:val="18"/>
              </w:rPr>
            </w:pPr>
            <w:r>
              <w:rPr>
                <w:noProof/>
                <w:sz w:val="18"/>
              </w:rPr>
              <w:t>Dimensione del danno del fondo</w:t>
            </w:r>
          </w:p>
        </w:tc>
        <w:tc>
          <w:tcPr>
            <w:tcW w:w="3250" w:type="dxa"/>
            <w:tcBorders>
              <w:top w:val="single" w:sz="2" w:space="0" w:color="auto"/>
              <w:left w:val="single" w:sz="2" w:space="0" w:color="auto"/>
              <w:bottom w:val="single" w:sz="2" w:space="0" w:color="auto"/>
              <w:right w:val="single" w:sz="2" w:space="0" w:color="auto"/>
            </w:tcBorders>
          </w:tcPr>
          <w:p w:rsidR="001F199D" w:rsidRPr="00C903F8" w:rsidRDefault="001F199D" w:rsidP="001F199D">
            <w:pPr>
              <w:autoSpaceDE/>
              <w:autoSpaceDN/>
              <w:spacing w:before="60" w:after="60" w:line="240" w:lineRule="atLeast"/>
              <w:ind w:left="0" w:firstLine="0"/>
              <w:jc w:val="center"/>
              <w:rPr>
                <w:rFonts w:cs="Arial"/>
                <w:noProof/>
                <w:sz w:val="18"/>
                <w:szCs w:val="18"/>
              </w:rPr>
            </w:pPr>
          </w:p>
        </w:tc>
        <w:tc>
          <w:tcPr>
            <w:tcW w:w="3250" w:type="dxa"/>
            <w:tcBorders>
              <w:top w:val="single" w:sz="2" w:space="0" w:color="auto"/>
              <w:left w:val="single" w:sz="2" w:space="0" w:color="auto"/>
              <w:bottom w:val="single" w:sz="2" w:space="0" w:color="auto"/>
              <w:right w:val="single" w:sz="2" w:space="0" w:color="auto"/>
            </w:tcBorders>
          </w:tcPr>
          <w:p w:rsidR="001F199D" w:rsidRPr="00C903F8" w:rsidRDefault="001F199D" w:rsidP="001F199D">
            <w:pPr>
              <w:autoSpaceDE/>
              <w:autoSpaceDN/>
              <w:spacing w:before="60" w:after="60" w:line="240" w:lineRule="atLeast"/>
              <w:ind w:left="0" w:firstLine="0"/>
              <w:jc w:val="center"/>
              <w:rPr>
                <w:rFonts w:cs="Arial"/>
                <w:noProof/>
                <w:sz w:val="18"/>
                <w:szCs w:val="18"/>
              </w:rPr>
            </w:pPr>
          </w:p>
        </w:tc>
      </w:tr>
      <w:tr w:rsidR="001F199D" w:rsidRPr="00A0619C" w:rsidTr="000804D1">
        <w:tc>
          <w:tcPr>
            <w:tcW w:w="2786" w:type="dxa"/>
            <w:tcBorders>
              <w:top w:val="single" w:sz="2" w:space="0" w:color="auto"/>
              <w:left w:val="single" w:sz="2" w:space="0" w:color="auto"/>
              <w:bottom w:val="single" w:sz="2" w:space="0" w:color="auto"/>
              <w:right w:val="single" w:sz="2" w:space="0" w:color="auto"/>
            </w:tcBorders>
          </w:tcPr>
          <w:p w:rsidR="001F199D" w:rsidRPr="00C903F8" w:rsidRDefault="001F199D" w:rsidP="00A22998">
            <w:pPr>
              <w:autoSpaceDE/>
              <w:autoSpaceDN/>
              <w:spacing w:before="60" w:after="60" w:line="240" w:lineRule="atLeast"/>
              <w:ind w:left="0" w:firstLine="0"/>
              <w:jc w:val="left"/>
              <w:rPr>
                <w:rFonts w:cs="Arial"/>
                <w:noProof/>
                <w:sz w:val="18"/>
                <w:szCs w:val="18"/>
              </w:rPr>
            </w:pPr>
            <w:r>
              <w:rPr>
                <w:noProof/>
                <w:sz w:val="18"/>
              </w:rPr>
              <w:t xml:space="preserve">longitudinale </w:t>
            </w:r>
            <m:oMath>
              <m:r>
                <w:rPr>
                  <w:rFonts w:ascii="Cambria Math" w:hAnsi="Cambria Math" w:cs="Arial"/>
                  <w:noProof/>
                  <w:sz w:val="18"/>
                  <w:szCs w:val="18"/>
                </w:rPr>
                <m:t>l</m:t>
              </m:r>
            </m:oMath>
            <w:r>
              <w:rPr>
                <w:noProof/>
                <w:sz w:val="18"/>
              </w:rPr>
              <w:t>[m]</w:t>
            </w:r>
          </w:p>
        </w:tc>
        <w:tc>
          <w:tcPr>
            <w:tcW w:w="3250" w:type="dxa"/>
            <w:tcBorders>
              <w:top w:val="single" w:sz="2" w:space="0" w:color="auto"/>
              <w:left w:val="single" w:sz="2" w:space="0" w:color="auto"/>
              <w:bottom w:val="single" w:sz="2" w:space="0" w:color="auto"/>
              <w:right w:val="single" w:sz="2" w:space="0" w:color="auto"/>
            </w:tcBorders>
          </w:tcPr>
          <w:p w:rsidR="001F199D" w:rsidRPr="00C903F8" w:rsidRDefault="00A22998" w:rsidP="001F199D">
            <w:pPr>
              <w:autoSpaceDE/>
              <w:autoSpaceDN/>
              <w:spacing w:before="60" w:after="60" w:line="240" w:lineRule="atLeast"/>
              <w:ind w:left="0" w:firstLine="0"/>
              <w:jc w:val="left"/>
              <w:rPr>
                <w:rFonts w:cs="Arial"/>
                <w:noProof/>
                <w:sz w:val="18"/>
                <w:szCs w:val="18"/>
              </w:rPr>
            </w:pPr>
            <m:oMath>
              <m:r>
                <w:rPr>
                  <w:rFonts w:ascii="Cambria Math" w:hAnsi="Cambria Math" w:cs="Arial"/>
                  <w:noProof/>
                  <w:sz w:val="18"/>
                  <w:szCs w:val="18"/>
                </w:rPr>
                <m:t xml:space="preserve">0,10 ∙ </m:t>
              </m:r>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Pr>
                <w:noProof/>
                <w:sz w:val="18"/>
              </w:rPr>
              <w:t>, tuttavia non inferiore a 4,00 m</w:t>
            </w:r>
          </w:p>
        </w:tc>
        <w:tc>
          <w:tcPr>
            <w:tcW w:w="3250" w:type="dxa"/>
            <w:tcBorders>
              <w:top w:val="single" w:sz="2" w:space="0" w:color="auto"/>
              <w:left w:val="single" w:sz="2" w:space="0" w:color="auto"/>
              <w:bottom w:val="single" w:sz="2" w:space="0" w:color="auto"/>
              <w:right w:val="single" w:sz="2" w:space="0" w:color="auto"/>
            </w:tcBorders>
          </w:tcPr>
          <w:p w:rsidR="001F199D" w:rsidRPr="00C903F8" w:rsidRDefault="00A22998" w:rsidP="001F199D">
            <w:pPr>
              <w:autoSpaceDE/>
              <w:autoSpaceDN/>
              <w:spacing w:before="60" w:after="60" w:line="240" w:lineRule="atLeast"/>
              <w:ind w:left="0" w:firstLine="0"/>
              <w:jc w:val="left"/>
              <w:rPr>
                <w:rFonts w:cs="Arial"/>
                <w:noProof/>
                <w:sz w:val="18"/>
                <w:szCs w:val="18"/>
              </w:rPr>
            </w:pPr>
            <m:oMath>
              <m:r>
                <w:rPr>
                  <w:rFonts w:ascii="Cambria Math" w:hAnsi="Cambria Math" w:cs="Arial"/>
                  <w:noProof/>
                  <w:sz w:val="18"/>
                  <w:szCs w:val="18"/>
                </w:rPr>
                <m:t xml:space="preserve">0,05 ∙ </m:t>
              </m:r>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Pr>
                <w:noProof/>
                <w:sz w:val="18"/>
              </w:rPr>
              <w:t>, tuttavia non inferiore a 2,25 m</w:t>
            </w:r>
          </w:p>
        </w:tc>
      </w:tr>
      <w:tr w:rsidR="001F199D" w:rsidRPr="00C903F8" w:rsidTr="000804D1">
        <w:tc>
          <w:tcPr>
            <w:tcW w:w="2786" w:type="dxa"/>
            <w:tcBorders>
              <w:top w:val="single" w:sz="2" w:space="0" w:color="auto"/>
              <w:left w:val="single" w:sz="2" w:space="0" w:color="auto"/>
              <w:bottom w:val="single" w:sz="2" w:space="0" w:color="auto"/>
              <w:right w:val="single" w:sz="2" w:space="0" w:color="auto"/>
            </w:tcBorders>
          </w:tcPr>
          <w:p w:rsidR="001F199D" w:rsidRPr="00C903F8" w:rsidRDefault="001F199D" w:rsidP="001F199D">
            <w:pPr>
              <w:autoSpaceDE/>
              <w:autoSpaceDN/>
              <w:spacing w:before="60" w:after="60" w:line="240" w:lineRule="atLeast"/>
              <w:ind w:left="0" w:firstLine="0"/>
              <w:jc w:val="left"/>
              <w:rPr>
                <w:rFonts w:cs="Arial"/>
                <w:noProof/>
                <w:sz w:val="18"/>
                <w:szCs w:val="18"/>
              </w:rPr>
            </w:pPr>
            <w:r>
              <w:rPr>
                <w:noProof/>
                <w:sz w:val="18"/>
              </w:rPr>
              <w:t xml:space="preserve">trasversale </w:t>
            </w:r>
            <m:oMath>
              <m:r>
                <w:rPr>
                  <w:rFonts w:ascii="Cambria Math" w:hAnsi="Cambria Math" w:cs="Arial"/>
                  <w:noProof/>
                  <w:sz w:val="18"/>
                  <w:szCs w:val="18"/>
                </w:rPr>
                <m:t>b</m:t>
              </m:r>
            </m:oMath>
            <w:r>
              <w:rPr>
                <w:noProof/>
                <w:sz w:val="18"/>
              </w:rPr>
              <w:t>[m]</w:t>
            </w:r>
          </w:p>
        </w:tc>
        <w:tc>
          <w:tcPr>
            <w:tcW w:w="6500" w:type="dxa"/>
            <w:gridSpan w:val="2"/>
            <w:tcBorders>
              <w:top w:val="single" w:sz="2" w:space="0" w:color="auto"/>
              <w:left w:val="single" w:sz="2" w:space="0" w:color="auto"/>
              <w:bottom w:val="single" w:sz="2" w:space="0" w:color="auto"/>
              <w:right w:val="single" w:sz="2" w:space="0" w:color="auto"/>
            </w:tcBorders>
          </w:tcPr>
          <w:p w:rsidR="001F199D" w:rsidRPr="00C903F8" w:rsidRDefault="001F199D" w:rsidP="001F199D">
            <w:pPr>
              <w:autoSpaceDE/>
              <w:autoSpaceDN/>
              <w:spacing w:before="60" w:after="60" w:line="240" w:lineRule="atLeast"/>
              <w:ind w:left="0" w:firstLine="0"/>
              <w:jc w:val="center"/>
              <w:rPr>
                <w:rFonts w:cs="Arial"/>
                <w:noProof/>
                <w:sz w:val="18"/>
                <w:szCs w:val="18"/>
              </w:rPr>
            </w:pPr>
            <w:r>
              <w:rPr>
                <w:noProof/>
                <w:sz w:val="18"/>
              </w:rPr>
              <w:t>B/5</w:t>
            </w:r>
          </w:p>
        </w:tc>
      </w:tr>
      <w:tr w:rsidR="001F199D" w:rsidRPr="00A0619C" w:rsidTr="000804D1">
        <w:tc>
          <w:tcPr>
            <w:tcW w:w="2786" w:type="dxa"/>
            <w:tcBorders>
              <w:top w:val="single" w:sz="2" w:space="0" w:color="auto"/>
              <w:left w:val="single" w:sz="2" w:space="0" w:color="auto"/>
              <w:bottom w:val="single" w:sz="2" w:space="0" w:color="auto"/>
              <w:right w:val="single" w:sz="2" w:space="0" w:color="auto"/>
            </w:tcBorders>
          </w:tcPr>
          <w:p w:rsidR="001F199D" w:rsidRPr="00C903F8" w:rsidRDefault="001F199D" w:rsidP="001F199D">
            <w:pPr>
              <w:autoSpaceDE/>
              <w:autoSpaceDN/>
              <w:spacing w:before="60" w:after="60" w:line="240" w:lineRule="atLeast"/>
              <w:ind w:left="0" w:firstLine="0"/>
              <w:jc w:val="left"/>
              <w:rPr>
                <w:rFonts w:cs="Arial"/>
                <w:noProof/>
                <w:sz w:val="18"/>
                <w:szCs w:val="18"/>
              </w:rPr>
            </w:pPr>
            <w:r>
              <w:rPr>
                <w:noProof/>
                <w:sz w:val="18"/>
              </w:rPr>
              <w:t xml:space="preserve">verticale </w:t>
            </w:r>
            <m:oMath>
              <m:r>
                <w:rPr>
                  <w:rFonts w:ascii="Cambria Math" w:hAnsi="Cambria Math" w:cs="Arial"/>
                  <w:noProof/>
                  <w:sz w:val="18"/>
                  <w:szCs w:val="18"/>
                </w:rPr>
                <m:t>h</m:t>
              </m:r>
            </m:oMath>
            <w:r>
              <w:rPr>
                <w:noProof/>
                <w:sz w:val="18"/>
              </w:rPr>
              <w:t>[m]</w:t>
            </w:r>
          </w:p>
        </w:tc>
        <w:tc>
          <w:tcPr>
            <w:tcW w:w="6500" w:type="dxa"/>
            <w:gridSpan w:val="2"/>
            <w:tcBorders>
              <w:top w:val="single" w:sz="2" w:space="0" w:color="auto"/>
              <w:left w:val="single" w:sz="2" w:space="0" w:color="auto"/>
              <w:bottom w:val="single" w:sz="2" w:space="0" w:color="auto"/>
              <w:right w:val="single" w:sz="2" w:space="0" w:color="auto"/>
            </w:tcBorders>
          </w:tcPr>
          <w:p w:rsidR="001F199D" w:rsidRPr="00C903F8" w:rsidRDefault="001F199D" w:rsidP="00D639C2">
            <w:pPr>
              <w:autoSpaceDE/>
              <w:autoSpaceDN/>
              <w:spacing w:before="60" w:after="60" w:line="240" w:lineRule="atLeast"/>
              <w:ind w:left="0" w:firstLine="0"/>
              <w:jc w:val="left"/>
              <w:rPr>
                <w:rFonts w:cs="Arial"/>
                <w:noProof/>
                <w:sz w:val="18"/>
                <w:szCs w:val="18"/>
              </w:rPr>
            </w:pPr>
            <w:r>
              <w:rPr>
                <w:noProof/>
                <w:sz w:val="18"/>
              </w:rPr>
              <w:t>0,59; la tubatura installata conformemente all'articolo 19.02, paragrafo 13, lettera c), è considerata intatta</w:t>
            </w:r>
          </w:p>
        </w:tc>
      </w:tr>
    </w:tbl>
    <w:p w:rsidR="001F199D" w:rsidRPr="00C903F8" w:rsidRDefault="001F199D" w:rsidP="001F199D">
      <w:pPr>
        <w:pStyle w:val="ESchpar"/>
        <w:rPr>
          <w:rFonts w:eastAsia="Calibri"/>
          <w:noProof/>
        </w:rPr>
      </w:pPr>
    </w:p>
    <w:p w:rsidR="00973DAA" w:rsidRPr="00C903F8" w:rsidRDefault="005C7859" w:rsidP="001F199D">
      <w:pPr>
        <w:pStyle w:val="ESlet"/>
        <w:rPr>
          <w:rFonts w:eastAsia="Calibri" w:cs="Arial"/>
          <w:szCs w:val="18"/>
        </w:rPr>
      </w:pPr>
      <w:r>
        <w:t>a)</w:t>
      </w:r>
      <w:r>
        <w:tab/>
        <w:t>Per la compartimentazione 1 le paratie possono essere considerate intatte se la distanza tra due paratie adiacenti è maggiore della lunghezza del danno. Le paratie longitudinali poste a una distanza inferiore a B/3 rispetto allo scafo, misurata perpendicolarmente alla linea centrale dal fasciame all’immersione massima non sono prese in considerazione ai fini del calcolo. Una rientranza della paratia in una paratia trasversale più lunga di 2,50 m è considerata una paratia longitudinale.</w:t>
      </w:r>
    </w:p>
    <w:p w:rsidR="00973DAA" w:rsidRPr="00C903F8" w:rsidRDefault="005C7859" w:rsidP="001F199D">
      <w:pPr>
        <w:pStyle w:val="ESlet"/>
        <w:rPr>
          <w:rFonts w:eastAsia="Calibri" w:cs="Arial"/>
          <w:szCs w:val="18"/>
        </w:rPr>
      </w:pPr>
      <w:r>
        <w:t>b)</w:t>
      </w:r>
      <w:r>
        <w:tab/>
        <w:t>Per la compartimentazione 2 si considera danneggiata ogni paratia situata all'interno dell'estensione del danno. Questo significa che la posizione delle paratie è scelta in modo tale da assicurare la galleggiabilità della nave da passeggeri dopo l'allagamento di due o più compartimenti adiacenti nel senso della lunghezza.</w:t>
      </w:r>
    </w:p>
    <w:p w:rsidR="00973DAA" w:rsidRPr="00C903F8" w:rsidRDefault="005C7859" w:rsidP="001F199D">
      <w:pPr>
        <w:pStyle w:val="ESlet"/>
        <w:rPr>
          <w:rFonts w:eastAsia="Calibri" w:cs="Arial"/>
          <w:szCs w:val="18"/>
        </w:rPr>
      </w:pPr>
      <w:r>
        <w:t>c)</w:t>
      </w:r>
      <w:r>
        <w:tab/>
        <w:t>Il punto più basso di qualsiasi apertura non a tenuta stagna (per esempio porte, finestre, boccaporti d'accesso) è almeno di 0,10 m al di sopra della linea di galleggiamento in caso di avaria. Il ponte di compartimentazione non è immerso nella fase finale di allagamento.</w:t>
      </w:r>
    </w:p>
    <w:p w:rsidR="00973DAA" w:rsidRPr="00C903F8" w:rsidRDefault="005C7859" w:rsidP="001F199D">
      <w:pPr>
        <w:pStyle w:val="ESlet"/>
        <w:rPr>
          <w:rFonts w:eastAsia="Calibri" w:cs="Arial"/>
          <w:szCs w:val="18"/>
        </w:rPr>
      </w:pPr>
      <w:r>
        <w:t>d)</w:t>
      </w:r>
      <w:r>
        <w:tab/>
        <w:t>Si presume una permeabilità del 95 %. Se i calcoli dimostrano che la permeabilità media di qualsiasi compartimento è inferiore al 95 %, si può considerare il valore così ottenuto anziché quello presunto.</w:t>
      </w:r>
    </w:p>
    <w:p w:rsidR="00973DAA" w:rsidRPr="00C903F8" w:rsidRDefault="00973DAA" w:rsidP="00324388">
      <w:pPr>
        <w:pStyle w:val="ESletpar"/>
        <w:rPr>
          <w:rFonts w:eastAsia="Calibri"/>
          <w:noProof/>
        </w:rPr>
      </w:pPr>
      <w:r>
        <w:t>I valori da adottare non devono essere inferiori a:</w:t>
      </w:r>
    </w:p>
    <w:tbl>
      <w:tblPr>
        <w:tblW w:w="8392" w:type="dxa"/>
        <w:tblInd w:w="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61"/>
        <w:gridCol w:w="1531"/>
      </w:tblGrid>
      <w:tr w:rsidR="00324388" w:rsidRPr="00C903F8" w:rsidTr="00B0682F">
        <w:tc>
          <w:tcPr>
            <w:tcW w:w="6861" w:type="dxa"/>
            <w:shd w:val="clear" w:color="auto" w:fill="auto"/>
            <w:vAlign w:val="center"/>
          </w:tcPr>
          <w:p w:rsidR="00324388" w:rsidRPr="00C903F8" w:rsidRDefault="00324388" w:rsidP="000804D1">
            <w:pPr>
              <w:pStyle w:val="ESlet"/>
              <w:ind w:left="0" w:firstLine="0"/>
            </w:pPr>
            <w:r>
              <w:t>Sale di ritrovo</w:t>
            </w:r>
          </w:p>
        </w:tc>
        <w:tc>
          <w:tcPr>
            <w:tcW w:w="1531" w:type="dxa"/>
            <w:shd w:val="clear" w:color="auto" w:fill="auto"/>
            <w:vAlign w:val="center"/>
          </w:tcPr>
          <w:p w:rsidR="00324388" w:rsidRPr="00C903F8" w:rsidRDefault="00324388" w:rsidP="00140690">
            <w:pPr>
              <w:pStyle w:val="ESlet"/>
              <w:ind w:left="0" w:firstLine="0"/>
              <w:jc w:val="center"/>
            </w:pPr>
            <w:r>
              <w:t>95 %</w:t>
            </w:r>
          </w:p>
        </w:tc>
      </w:tr>
      <w:tr w:rsidR="00324388" w:rsidRPr="00C903F8" w:rsidTr="00B0682F">
        <w:tc>
          <w:tcPr>
            <w:tcW w:w="6861" w:type="dxa"/>
            <w:shd w:val="clear" w:color="auto" w:fill="auto"/>
            <w:vAlign w:val="center"/>
          </w:tcPr>
          <w:p w:rsidR="00324388" w:rsidRPr="00C903F8" w:rsidRDefault="00324388" w:rsidP="000804D1">
            <w:pPr>
              <w:pStyle w:val="ESlet"/>
              <w:ind w:left="0" w:firstLine="0"/>
            </w:pPr>
            <w:r>
              <w:t>sale macchine e locali caldaie</w:t>
            </w:r>
          </w:p>
        </w:tc>
        <w:tc>
          <w:tcPr>
            <w:tcW w:w="1531" w:type="dxa"/>
            <w:shd w:val="clear" w:color="auto" w:fill="auto"/>
            <w:vAlign w:val="center"/>
          </w:tcPr>
          <w:p w:rsidR="00324388" w:rsidRPr="00C903F8" w:rsidRDefault="00324388" w:rsidP="00140690">
            <w:pPr>
              <w:pStyle w:val="ESlet"/>
              <w:ind w:left="0" w:firstLine="0"/>
              <w:jc w:val="center"/>
            </w:pPr>
            <w:r>
              <w:t>85 %</w:t>
            </w:r>
          </w:p>
        </w:tc>
      </w:tr>
      <w:tr w:rsidR="00324388" w:rsidRPr="00C903F8" w:rsidTr="00B0682F">
        <w:tc>
          <w:tcPr>
            <w:tcW w:w="6861" w:type="dxa"/>
            <w:shd w:val="clear" w:color="auto" w:fill="auto"/>
            <w:vAlign w:val="center"/>
          </w:tcPr>
          <w:p w:rsidR="00324388" w:rsidRPr="00C903F8" w:rsidRDefault="00324388" w:rsidP="000804D1">
            <w:pPr>
              <w:pStyle w:val="ESlet"/>
              <w:ind w:left="0" w:firstLine="0"/>
            </w:pPr>
            <w:r>
              <w:t>depositi bagagli e magazzini</w:t>
            </w:r>
          </w:p>
        </w:tc>
        <w:tc>
          <w:tcPr>
            <w:tcW w:w="1531" w:type="dxa"/>
            <w:shd w:val="clear" w:color="auto" w:fill="auto"/>
            <w:vAlign w:val="center"/>
          </w:tcPr>
          <w:p w:rsidR="00324388" w:rsidRPr="00C903F8" w:rsidRDefault="00324388" w:rsidP="00140690">
            <w:pPr>
              <w:pStyle w:val="ESlet"/>
              <w:ind w:left="0" w:firstLine="0"/>
              <w:jc w:val="center"/>
            </w:pPr>
            <w:r>
              <w:t>75 %</w:t>
            </w:r>
          </w:p>
        </w:tc>
      </w:tr>
      <w:tr w:rsidR="00324388" w:rsidRPr="00C903F8" w:rsidTr="00B0682F">
        <w:tc>
          <w:tcPr>
            <w:tcW w:w="6861" w:type="dxa"/>
            <w:shd w:val="clear" w:color="auto" w:fill="auto"/>
            <w:vAlign w:val="center"/>
          </w:tcPr>
          <w:p w:rsidR="00324388" w:rsidRPr="00C903F8" w:rsidRDefault="00324388" w:rsidP="000804D1">
            <w:pPr>
              <w:pStyle w:val="ESlet"/>
              <w:ind w:left="0" w:firstLine="0"/>
            </w:pPr>
            <w:r>
              <w:t>doppi fondi, serbatoi per il combustibile e altri serbatoi, a seconda che questi, per il loro utilizzo, debbano essere considerati pieni o vuoti per le navi affinché il galleggiamento sia garantito alla massima immersione ammissibile</w:t>
            </w:r>
          </w:p>
        </w:tc>
        <w:tc>
          <w:tcPr>
            <w:tcW w:w="1531" w:type="dxa"/>
            <w:shd w:val="clear" w:color="auto" w:fill="auto"/>
            <w:vAlign w:val="center"/>
          </w:tcPr>
          <w:p w:rsidR="00324388" w:rsidRPr="00C903F8" w:rsidRDefault="00324388" w:rsidP="00140690">
            <w:pPr>
              <w:pStyle w:val="ESlet"/>
              <w:ind w:left="0" w:firstLine="0"/>
              <w:jc w:val="center"/>
            </w:pPr>
            <w:r>
              <w:t>0 % o 95 %.</w:t>
            </w:r>
          </w:p>
        </w:tc>
      </w:tr>
    </w:tbl>
    <w:p w:rsidR="00973DAA" w:rsidRPr="00C903F8" w:rsidRDefault="0029453D" w:rsidP="001F199D">
      <w:pPr>
        <w:pStyle w:val="ESlet"/>
        <w:rPr>
          <w:rFonts w:eastAsia="Calibri" w:cs="Arial"/>
          <w:szCs w:val="18"/>
        </w:rPr>
      </w:pPr>
      <w:r>
        <w:lastRenderedPageBreak/>
        <w:t>e)</w:t>
      </w:r>
      <w:r>
        <w:tab/>
        <w:t>Se un danno di minori dimensioni rispetto a quanto indicato sopra produce effetti più dannosi riguardo allo sbandamento o alla perdita dell'altezza metacentrica, i calcoli tengono conto di tale danno.</w:t>
      </w:r>
    </w:p>
    <w:p w:rsidR="004A3862" w:rsidRPr="00C903F8" w:rsidRDefault="004A3862" w:rsidP="00973DAA">
      <w:pPr>
        <w:pStyle w:val="ESch"/>
        <w:rPr>
          <w:rFonts w:eastAsia="Calibri"/>
          <w:noProof/>
        </w:rPr>
      </w:pPr>
      <w:r>
        <w:br w:type="page"/>
      </w:r>
    </w:p>
    <w:p w:rsidR="00973DAA" w:rsidRPr="00C903F8" w:rsidRDefault="00973DAA" w:rsidP="00973DAA">
      <w:pPr>
        <w:pStyle w:val="ESch"/>
        <w:rPr>
          <w:rFonts w:eastAsia="Calibri" w:cs="Arial"/>
          <w:szCs w:val="18"/>
        </w:rPr>
      </w:pPr>
      <w:r>
        <w:lastRenderedPageBreak/>
        <w:t>10.</w:t>
      </w:r>
      <w:r>
        <w:tab/>
        <w:t>Per tutte le fasi intermedie di allagamento di cui al paragrafo 8 sono soddisfatti i seguenti criteri:</w:t>
      </w:r>
    </w:p>
    <w:p w:rsidR="00973DAA" w:rsidRPr="00C903F8" w:rsidRDefault="005C7859" w:rsidP="001F199D">
      <w:pPr>
        <w:pStyle w:val="ESlet"/>
        <w:rPr>
          <w:rFonts w:eastAsia="Calibri" w:cs="Arial"/>
          <w:szCs w:val="18"/>
        </w:rPr>
      </w:pPr>
      <w:r>
        <w:t>a)</w:t>
      </w:r>
      <w:r>
        <w:tab/>
        <w:t xml:space="preserve">l'angolo di sbandamento </w:t>
      </w:r>
      <m:oMath>
        <m:r>
          <w:rPr>
            <w:rFonts w:ascii="Cambria Math" w:eastAsia="Calibri" w:hAnsi="Cambria Math"/>
            <w:noProof/>
          </w:rPr>
          <m:t>φ</m:t>
        </m:r>
      </m:oMath>
      <w:r>
        <w:t xml:space="preserve"> nella posizione di equilibrio della fase intermedia in questione non è superiore a 15°;</w:t>
      </w:r>
    </w:p>
    <w:p w:rsidR="00973DAA" w:rsidRPr="00C903F8" w:rsidRDefault="005C7859" w:rsidP="001F199D">
      <w:pPr>
        <w:pStyle w:val="ESlet"/>
        <w:rPr>
          <w:rFonts w:eastAsia="Calibri" w:cs="Arial"/>
          <w:szCs w:val="18"/>
        </w:rPr>
      </w:pPr>
      <w:r>
        <w:t>b)</w:t>
      </w:r>
      <w:r>
        <w:tab/>
        <w:t xml:space="preserve">oltre allo sbandamento nella posizione di equilibrio della fase intermedia in questione, la parte positiva della curva del braccio raddrizzante mostra un valore del braccio raddrizzante di </w:t>
      </w:r>
      <m:oMath>
        <m:r>
          <w:rPr>
            <w:rFonts w:ascii="Cambria Math" w:eastAsia="Calibri" w:hAnsi="Cambria Math"/>
            <w:noProof/>
          </w:rPr>
          <m:t xml:space="preserve">GZ ≥0,02 m </m:t>
        </m:r>
      </m:oMath>
      <w:r>
        <w:t xml:space="preserve">anteriormente all'immersione della prima apertura non protetta o prima che sia raggiunto un angolo di sbandamento </w:t>
      </w:r>
      <m:oMath>
        <m:r>
          <w:rPr>
            <w:rFonts w:ascii="Cambria Math" w:eastAsia="Calibri" w:hAnsi="Cambria Math"/>
            <w:noProof/>
          </w:rPr>
          <m:t>φ</m:t>
        </m:r>
      </m:oMath>
      <w:r>
        <w:t xml:space="preserve"> di 25°;</w:t>
      </w:r>
    </w:p>
    <w:p w:rsidR="00973DAA" w:rsidRPr="00C903F8" w:rsidRDefault="005C7859" w:rsidP="001F199D">
      <w:pPr>
        <w:pStyle w:val="ESlet"/>
        <w:rPr>
          <w:rFonts w:eastAsia="Calibri" w:cs="Arial"/>
          <w:szCs w:val="18"/>
        </w:rPr>
      </w:pPr>
      <w:r>
        <w:t>c)</w:t>
      </w:r>
      <w:r>
        <w:tab/>
        <w:t>le aperture non a tenuta stagna non sono immerse prima che sia stato raggiunto lo sbandamento nella posizione di equilibrio della fase intermedia in questione;</w:t>
      </w:r>
    </w:p>
    <w:p w:rsidR="00973DAA" w:rsidRPr="00C903F8" w:rsidRDefault="005C7859" w:rsidP="001F199D">
      <w:pPr>
        <w:pStyle w:val="ESlet"/>
        <w:rPr>
          <w:rFonts w:eastAsia="Calibri" w:cs="Arial"/>
          <w:szCs w:val="18"/>
        </w:rPr>
      </w:pPr>
      <w:r>
        <w:t>d)</w:t>
      </w:r>
      <w:r>
        <w:tab/>
        <w:t>il calcolo dell'effetto di superficie libera in tutte le fasi intermedie di allagamento si basa sulla superficie lorda dei compartimenti danneggiati.</w:t>
      </w:r>
    </w:p>
    <w:p w:rsidR="001F199D" w:rsidRPr="00C903F8" w:rsidRDefault="001F199D" w:rsidP="00973DAA">
      <w:pPr>
        <w:pStyle w:val="ESch"/>
        <w:rPr>
          <w:rFonts w:eastAsia="Calibri"/>
          <w:noProof/>
        </w:rPr>
      </w:pPr>
    </w:p>
    <w:p w:rsidR="00973DAA" w:rsidRPr="00C903F8" w:rsidRDefault="00973DAA" w:rsidP="00973DAA">
      <w:pPr>
        <w:pStyle w:val="ESch"/>
        <w:rPr>
          <w:rFonts w:eastAsia="Calibri" w:cs="Arial"/>
          <w:szCs w:val="18"/>
        </w:rPr>
      </w:pPr>
      <w:r>
        <w:t xml:space="preserve">11. </w:t>
      </w:r>
      <w:r>
        <w:tab/>
        <w:t>Nella fase finale di allagamento sono soddisfatti i seguenti criteri, tenendo conto del momento di sbandamento in conformità del paragrafo 4:</w:t>
      </w:r>
    </w:p>
    <w:p w:rsidR="00973DAA" w:rsidRPr="00C903F8" w:rsidRDefault="005C7859" w:rsidP="004A3862">
      <w:pPr>
        <w:pStyle w:val="ESlet"/>
        <w:rPr>
          <w:rFonts w:eastAsia="Calibri" w:cs="Arial"/>
          <w:szCs w:val="18"/>
        </w:rPr>
      </w:pPr>
      <w:r>
        <w:t>a)</w:t>
      </w:r>
      <w:r>
        <w:tab/>
        <w:t xml:space="preserve">l'angolo di sbandamento </w:t>
      </w:r>
      <m:oMath>
        <m:sSub>
          <m:sSubPr>
            <m:ctrlPr>
              <w:rPr>
                <w:rFonts w:ascii="Cambria Math" w:eastAsia="Calibri" w:hAnsi="Cambria Math"/>
                <w:i/>
              </w:rPr>
            </m:ctrlPr>
          </m:sSubPr>
          <m:e>
            <m:r>
              <w:rPr>
                <w:rFonts w:ascii="Cambria Math" w:eastAsia="Calibri" w:hAnsi="Cambria Math"/>
              </w:rPr>
              <m:t>φ</m:t>
            </m:r>
          </m:e>
          <m:sub>
            <m:r>
              <w:rPr>
                <w:rFonts w:ascii="Cambria Math" w:eastAsia="Calibri" w:hAnsi="Cambria Math"/>
              </w:rPr>
              <m:t>E</m:t>
            </m:r>
          </m:sub>
        </m:sSub>
      </m:oMath>
      <w:r>
        <w:t xml:space="preserve"> non è superiore a 10°;</w:t>
      </w:r>
    </w:p>
    <w:p w:rsidR="00973DAA" w:rsidRPr="00C903F8" w:rsidRDefault="005C7859" w:rsidP="004A3862">
      <w:pPr>
        <w:pStyle w:val="ESlet"/>
        <w:rPr>
          <w:rFonts w:eastAsia="Calibri" w:cs="Arial"/>
          <w:szCs w:val="18"/>
        </w:rPr>
      </w:pPr>
      <w:r>
        <w:t>b)</w:t>
      </w:r>
      <w:r>
        <w:tab/>
        <w:t xml:space="preserve">oltre la posizione di equilibrio la parte positiva della curva del braccio raddrizzante mostra un valore del braccio raddrizzante di </w:t>
      </w:r>
      <m:oMath>
        <m:sSub>
          <m:sSubPr>
            <m:ctrlPr>
              <w:rPr>
                <w:rFonts w:ascii="Cambria Math" w:eastAsia="Calibri" w:hAnsi="Cambria Math"/>
                <w:i/>
                <w:noProof/>
              </w:rPr>
            </m:ctrlPr>
          </m:sSubPr>
          <m:e>
            <m:r>
              <w:rPr>
                <w:rFonts w:ascii="Cambria Math" w:eastAsia="Calibri" w:hAnsi="Cambria Math"/>
                <w:noProof/>
              </w:rPr>
              <m:t>GZ</m:t>
            </m:r>
          </m:e>
          <m:sub>
            <m:r>
              <w:rPr>
                <w:rFonts w:ascii="Cambria Math" w:eastAsia="Calibri" w:hAnsi="Cambria Math"/>
                <w:noProof/>
              </w:rPr>
              <m:t>R</m:t>
            </m:r>
          </m:sub>
        </m:sSub>
        <m:r>
          <w:rPr>
            <w:rFonts w:ascii="Cambria Math" w:eastAsia="Calibri" w:hAnsi="Cambria Math"/>
            <w:noProof/>
          </w:rPr>
          <m:t xml:space="preserve"> ≥0,02 m </m:t>
        </m:r>
      </m:oMath>
      <w:r>
        <w:t xml:space="preserve">con un'area </w:t>
      </w:r>
      <m:oMath>
        <m:r>
          <w:rPr>
            <w:rFonts w:ascii="Cambria Math" w:eastAsia="Calibri" w:hAnsi="Cambria Math"/>
            <w:noProof/>
          </w:rPr>
          <m:t>A ≥0,0025 m ∙rad</m:t>
        </m:r>
      </m:oMath>
      <w:r>
        <w:t>. Questi valori minimi per la stabilità sono soddisfatti fino all'immersione della prima apertura non protetta o in ogni caso prima del raggiungimento di un angolo di sbandamento di 25°.</w:t>
      </w:r>
    </w:p>
    <w:p w:rsidR="00973DAA" w:rsidRPr="00C903F8" w:rsidRDefault="00973DAA" w:rsidP="00973DAA">
      <w:pPr>
        <w:pStyle w:val="ESch"/>
        <w:rPr>
          <w:rFonts w:eastAsia="Calibri"/>
          <w:noProof/>
        </w:rPr>
      </w:pPr>
    </w:p>
    <w:p w:rsidR="009A4333" w:rsidRPr="00C903F8" w:rsidRDefault="009A4333" w:rsidP="009A4333">
      <w:pPr>
        <w:pStyle w:val="ESch"/>
        <w:jc w:val="center"/>
        <w:rPr>
          <w:rFonts w:eastAsia="Calibri"/>
          <w:noProof/>
        </w:rPr>
      </w:pPr>
      <w:r>
        <w:rPr>
          <w:rFonts w:eastAsia="Calibri"/>
          <w:noProof/>
          <w:lang w:val="en-GB" w:eastAsia="en-GB" w:bidi="ar-SA"/>
        </w:rPr>
        <w:drawing>
          <wp:inline distT="0" distB="0" distL="0" distR="0" wp14:anchorId="2E3636B3" wp14:editId="70DD3343">
            <wp:extent cx="5312664" cy="2831592"/>
            <wp:effectExtent l="0" t="0" r="2540" b="698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ES_Trin_19_03_11b_en.jpg"/>
                    <pic:cNvPicPr/>
                  </pic:nvPicPr>
                  <pic:blipFill>
                    <a:blip r:embed="rId25">
                      <a:extLst>
                        <a:ext uri="{28A0092B-C50C-407E-A947-70E740481C1C}">
                          <a14:useLocalDpi xmlns:a14="http://schemas.microsoft.com/office/drawing/2010/main" val="0"/>
                        </a:ext>
                      </a:extLst>
                    </a:blip>
                    <a:stretch>
                      <a:fillRect/>
                    </a:stretch>
                  </pic:blipFill>
                  <pic:spPr>
                    <a:xfrm>
                      <a:off x="0" y="0"/>
                      <a:ext cx="5312664" cy="2831592"/>
                    </a:xfrm>
                    <a:prstGeom prst="rect">
                      <a:avLst/>
                    </a:prstGeom>
                  </pic:spPr>
                </pic:pic>
              </a:graphicData>
            </a:graphic>
          </wp:inline>
        </w:drawing>
      </w:r>
    </w:p>
    <w:p w:rsidR="004A3862" w:rsidRPr="00C903F8" w:rsidRDefault="004A3862" w:rsidP="004A3862">
      <w:pPr>
        <w:pStyle w:val="ESch"/>
        <w:ind w:left="0" w:firstLine="0"/>
        <w:jc w:val="center"/>
        <w:rPr>
          <w:rFonts w:eastAsia="Calibri" w:cs="Arial"/>
          <w:szCs w:val="18"/>
        </w:rPr>
      </w:pPr>
    </w:p>
    <w:p w:rsidR="00973DAA" w:rsidRPr="00C903F8" w:rsidRDefault="00973DAA" w:rsidP="004A3862">
      <w:pPr>
        <w:pStyle w:val="EStiret"/>
        <w:rPr>
          <w:rFonts w:eastAsia="Calibri" w:cs="Arial"/>
          <w:szCs w:val="18"/>
        </w:rPr>
      </w:pPr>
      <w:r>
        <w:t>dove:</w:t>
      </w:r>
    </w:p>
    <w:p w:rsidR="00973DAA" w:rsidRPr="00C903F8" w:rsidRDefault="00624017" w:rsidP="00E004CF">
      <w:pPr>
        <w:pStyle w:val="EStiret"/>
        <w:ind w:left="1560" w:hanging="568"/>
        <w:rPr>
          <w:rFonts w:eastAsia="Calibri"/>
        </w:rPr>
      </w:pPr>
      <m:oMath>
        <m:sSub>
          <m:sSubPr>
            <m:ctrlPr>
              <w:rPr>
                <w:rFonts w:ascii="Cambria Math" w:eastAsia="Calibri" w:hAnsi="Cambria Math"/>
                <w:i/>
              </w:rPr>
            </m:ctrlPr>
          </m:sSubPr>
          <m:e>
            <m:r>
              <w:rPr>
                <w:rFonts w:ascii="Cambria Math" w:eastAsia="Calibri" w:hAnsi="Cambria Math"/>
              </w:rPr>
              <m:t>φ</m:t>
            </m:r>
          </m:e>
          <m:sub>
            <m:r>
              <w:rPr>
                <w:rFonts w:ascii="Cambria Math" w:eastAsia="Calibri" w:hAnsi="Cambria Math"/>
              </w:rPr>
              <m:t>E</m:t>
            </m:r>
          </m:sub>
        </m:sSub>
      </m:oMath>
      <w:r w:rsidR="00801F1F">
        <w:t xml:space="preserve"> </w:t>
      </w:r>
      <w:r w:rsidR="00801F1F">
        <w:tab/>
        <w:t>è l’angolo di sbandamento nella fase finale di allagamento tenendo conto del momento di cui al paragrafo 4</w:t>
      </w:r>
    </w:p>
    <w:p w:rsidR="00973DAA" w:rsidRPr="00C903F8" w:rsidRDefault="00624017" w:rsidP="00E004CF">
      <w:pPr>
        <w:pStyle w:val="EStiret"/>
        <w:ind w:left="1560" w:hanging="568"/>
        <w:rPr>
          <w:rFonts w:eastAsia="Calibri"/>
        </w:rPr>
      </w:pPr>
      <m:oMath>
        <m:sSub>
          <m:sSubPr>
            <m:ctrlPr>
              <w:rPr>
                <w:rFonts w:ascii="Cambria Math" w:eastAsia="Calibri" w:hAnsi="Cambria Math"/>
                <w:i/>
              </w:rPr>
            </m:ctrlPr>
          </m:sSubPr>
          <m:e>
            <m:r>
              <w:rPr>
                <w:rFonts w:ascii="Cambria Math" w:eastAsia="Calibri" w:hAnsi="Cambria Math"/>
              </w:rPr>
              <m:t>φ</m:t>
            </m:r>
          </m:e>
          <m:sub>
            <m:r>
              <w:rPr>
                <w:rFonts w:ascii="Cambria Math" w:eastAsia="Calibri" w:hAnsi="Cambria Math"/>
              </w:rPr>
              <m:t>m</m:t>
            </m:r>
          </m:sub>
        </m:sSub>
      </m:oMath>
      <w:r w:rsidR="00801F1F">
        <w:tab/>
        <w:t>è l'angolo di perdita di stabilità o l'angolo al quale la prima apertura non protetta è inondata o 25°; deve essere utilizzato il valore minore;</w:t>
      </w:r>
    </w:p>
    <w:p w:rsidR="00973DAA" w:rsidRPr="00C903F8" w:rsidRDefault="00624017" w:rsidP="00E004CF">
      <w:pPr>
        <w:pStyle w:val="EStiret"/>
        <w:ind w:left="1560" w:hanging="568"/>
        <w:rPr>
          <w:rFonts w:eastAsia="Calibri"/>
        </w:rPr>
      </w:pPr>
      <m:oMath>
        <m:sSub>
          <m:sSubPr>
            <m:ctrlPr>
              <w:rPr>
                <w:rFonts w:ascii="Cambria Math" w:eastAsia="Calibri" w:hAnsi="Cambria Math"/>
                <w:i/>
              </w:rPr>
            </m:ctrlPr>
          </m:sSubPr>
          <m:e>
            <m:r>
              <w:rPr>
                <w:rFonts w:ascii="Cambria Math" w:eastAsia="Calibri" w:hAnsi="Cambria Math"/>
              </w:rPr>
              <m:t>GZ</m:t>
            </m:r>
          </m:e>
          <m:sub>
            <m:r>
              <w:rPr>
                <w:rFonts w:ascii="Cambria Math" w:eastAsia="Calibri" w:hAnsi="Cambria Math"/>
              </w:rPr>
              <m:t>R</m:t>
            </m:r>
          </m:sub>
        </m:sSub>
      </m:oMath>
      <w:r w:rsidR="00801F1F">
        <w:t xml:space="preserve"> </w:t>
      </w:r>
      <w:r w:rsidR="00801F1F">
        <w:tab/>
        <w:t>è il braccio raddrizzante rimanente nella fase finale di allagamento tenendo conto del momento di cui al paragrafo 4</w:t>
      </w:r>
    </w:p>
    <w:p w:rsidR="00973DAA" w:rsidRPr="00C903F8" w:rsidRDefault="00624017" w:rsidP="00E004CF">
      <w:pPr>
        <w:pStyle w:val="EStiret"/>
        <w:ind w:left="1560" w:hanging="568"/>
        <w:rPr>
          <w:rFonts w:eastAsia="Calibri"/>
        </w:rPr>
      </w:pPr>
      <m:oMath>
        <m:sSub>
          <m:sSubPr>
            <m:ctrlPr>
              <w:rPr>
                <w:rFonts w:ascii="Cambria Math" w:eastAsia="Calibri" w:hAnsi="Cambria Math"/>
                <w:i/>
              </w:rPr>
            </m:ctrlPr>
          </m:sSubPr>
          <m:e>
            <m:r>
              <w:rPr>
                <w:rFonts w:ascii="Cambria Math" w:eastAsia="Calibri" w:hAnsi="Cambria Math"/>
              </w:rPr>
              <m:t>GZ</m:t>
            </m:r>
          </m:e>
          <m:sub>
            <m:r>
              <w:rPr>
                <w:rFonts w:ascii="Cambria Math" w:eastAsia="Calibri" w:hAnsi="Cambria Math"/>
              </w:rPr>
              <m:t>K</m:t>
            </m:r>
          </m:sub>
        </m:sSub>
      </m:oMath>
      <w:r w:rsidR="00801F1F">
        <w:tab/>
        <w:t>è il braccio di sbandamento risultante dal momento di cui al paragrafo 4;</w:t>
      </w:r>
    </w:p>
    <w:p w:rsidR="004A3862" w:rsidRPr="00C903F8" w:rsidRDefault="004A3862" w:rsidP="004A3862">
      <w:pPr>
        <w:pStyle w:val="ESlet"/>
        <w:rPr>
          <w:rFonts w:eastAsia="Calibri"/>
          <w:noProof/>
        </w:rPr>
      </w:pPr>
      <w:r>
        <w:br w:type="page"/>
      </w:r>
    </w:p>
    <w:p w:rsidR="00973DAA" w:rsidRPr="00C903F8" w:rsidRDefault="005C7859" w:rsidP="004A3862">
      <w:pPr>
        <w:pStyle w:val="ESlet"/>
        <w:rPr>
          <w:rFonts w:eastAsia="Calibri" w:cs="Arial"/>
          <w:szCs w:val="18"/>
        </w:rPr>
      </w:pPr>
      <w:r>
        <w:lastRenderedPageBreak/>
        <w:t>c)</w:t>
      </w:r>
      <w:r>
        <w:tab/>
        <w:t>le aperture non a tenuta stagna all'acqua non sono immerse prima che sia stata raggiunta la posizione di equilibrio. se dette aperture sono immerse prima di questo punto i locali che permettono l'accesso sono considerati allagati ai fini del calcolo della stabilità in avaria.</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12.</w:t>
      </w:r>
      <w:r>
        <w:tab/>
        <w:t>I dispositivi di interruzione dell'erogazione che possono essere chiusi a tenuta stagna sono contrassegnati in tal senso.</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13.</w:t>
      </w:r>
      <w:r>
        <w:tab/>
        <w:t>Se ci sono aperture di bilanciamento trasversale per ridurre l'allagamento asimmetrico, esse sono conformi alle seguenti condizioni:</w:t>
      </w:r>
    </w:p>
    <w:p w:rsidR="00973DAA" w:rsidRPr="00C903F8" w:rsidRDefault="005C7859" w:rsidP="004A3862">
      <w:pPr>
        <w:pStyle w:val="ESlet"/>
        <w:rPr>
          <w:rFonts w:eastAsia="Calibri" w:cs="Arial"/>
          <w:szCs w:val="18"/>
        </w:rPr>
      </w:pPr>
      <w:r>
        <w:t>a)</w:t>
      </w:r>
      <w:r>
        <w:tab/>
        <w:t>per il calcolo del bilanciamento trasversale si applica la risoluzione IMO A.266 (VIII)</w:t>
      </w:r>
      <w:r>
        <w:rPr>
          <w:rStyle w:val="FootnoteReference"/>
          <w:noProof/>
        </w:rPr>
        <w:footnoteReference w:id="11"/>
      </w:r>
      <w:r>
        <w:t>;</w:t>
      </w:r>
    </w:p>
    <w:p w:rsidR="00973DAA" w:rsidRPr="00C903F8" w:rsidRDefault="005C7859" w:rsidP="004A3862">
      <w:pPr>
        <w:pStyle w:val="ESlet"/>
        <w:rPr>
          <w:rFonts w:eastAsia="Calibri" w:cs="Arial"/>
          <w:szCs w:val="18"/>
        </w:rPr>
      </w:pPr>
      <w:r>
        <w:t>b)</w:t>
      </w:r>
      <w:r>
        <w:tab/>
        <w:t>sono automatiche;</w:t>
      </w:r>
    </w:p>
    <w:p w:rsidR="00973DAA" w:rsidRPr="00C903F8" w:rsidRDefault="005C7859" w:rsidP="004A3862">
      <w:pPr>
        <w:pStyle w:val="ESlet"/>
        <w:rPr>
          <w:rFonts w:eastAsia="Calibri" w:cs="Arial"/>
          <w:szCs w:val="18"/>
        </w:rPr>
      </w:pPr>
      <w:r>
        <w:t>c)</w:t>
      </w:r>
      <w:r>
        <w:tab/>
        <w:t>non sono dotate di dispositivi di interruzione dell’erogazione;</w:t>
      </w:r>
    </w:p>
    <w:p w:rsidR="00973DAA" w:rsidRPr="00C903F8" w:rsidRDefault="005C7859" w:rsidP="004A3862">
      <w:pPr>
        <w:pStyle w:val="ESlet"/>
        <w:rPr>
          <w:rFonts w:eastAsia="Calibri" w:cs="Arial"/>
          <w:szCs w:val="18"/>
        </w:rPr>
      </w:pPr>
      <w:r>
        <w:t>d)</w:t>
      </w:r>
      <w:r>
        <w:tab/>
        <w:t>il tempo totale consentito per la compensazione non supera i 15 minuti.</w:t>
      </w:r>
    </w:p>
    <w:p w:rsidR="00973DAA" w:rsidRPr="00C903F8" w:rsidRDefault="00973DAA" w:rsidP="00973DAA">
      <w:pPr>
        <w:pStyle w:val="ESch"/>
        <w:rPr>
          <w:rFonts w:eastAsia="Calibri" w:cs="Arial"/>
          <w:szCs w:val="18"/>
        </w:rPr>
      </w:pPr>
    </w:p>
    <w:p w:rsidR="004A3862" w:rsidRPr="00C903F8" w:rsidRDefault="004A3862" w:rsidP="00973DAA">
      <w:pPr>
        <w:pStyle w:val="ESch"/>
        <w:rPr>
          <w:rFonts w:eastAsia="Calibri" w:cs="Arial"/>
          <w:szCs w:val="18"/>
        </w:rPr>
      </w:pPr>
    </w:p>
    <w:p w:rsidR="00973DAA" w:rsidRPr="00C903F8" w:rsidRDefault="00973DAA" w:rsidP="004A3862">
      <w:pPr>
        <w:pStyle w:val="ES-Titre3"/>
        <w:rPr>
          <w:rFonts w:cs="Arial"/>
          <w:i/>
          <w:szCs w:val="18"/>
        </w:rPr>
      </w:pPr>
      <w:bookmarkStart w:id="352" w:name="_Toc491854173"/>
      <w:bookmarkStart w:id="353" w:name="_Toc535500122"/>
      <w:r>
        <w:t>Articolo 19.04</w:t>
      </w:r>
      <w:r>
        <w:br/>
      </w:r>
      <w:r>
        <w:rPr>
          <w:i/>
          <w:noProof/>
        </w:rPr>
        <w:t>Distanza di sicurezza e bordo libero</w:t>
      </w:r>
      <w:bookmarkEnd w:id="352"/>
      <w:bookmarkEnd w:id="353"/>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1.</w:t>
      </w:r>
      <w:r>
        <w:tab/>
        <w:t>La distanza di sicurezza è almeno pari alla somma:</w:t>
      </w:r>
    </w:p>
    <w:p w:rsidR="00973DAA" w:rsidRPr="00C903F8" w:rsidRDefault="005C7859" w:rsidP="004A3862">
      <w:pPr>
        <w:pStyle w:val="ESlet"/>
        <w:rPr>
          <w:rFonts w:eastAsia="Calibri" w:cs="Arial"/>
          <w:szCs w:val="18"/>
        </w:rPr>
      </w:pPr>
      <w:r>
        <w:t>a)</w:t>
      </w:r>
      <w:r>
        <w:tab/>
        <w:t>dell'immersione laterale supplementare che, misurata sul fasciame esterno, deriva dall'angolo di sbandamento autorizzato in conformità dell'articolo 19.03, paragrafo 3, lettera e); e</w:t>
      </w:r>
    </w:p>
    <w:p w:rsidR="00973DAA" w:rsidRPr="00C903F8" w:rsidRDefault="005C7859" w:rsidP="004A3862">
      <w:pPr>
        <w:pStyle w:val="ESlet"/>
        <w:rPr>
          <w:rFonts w:eastAsia="Calibri" w:cs="Arial"/>
          <w:szCs w:val="18"/>
        </w:rPr>
      </w:pPr>
      <w:r>
        <w:t>b)</w:t>
      </w:r>
      <w:r>
        <w:tab/>
        <w:t>della distanza di sicurezza residua in conformità dell'articolo 19.03, paragrafo 3, lettera g).</w:t>
      </w:r>
    </w:p>
    <w:p w:rsidR="004A3862" w:rsidRPr="00C903F8" w:rsidRDefault="004A3862" w:rsidP="00973DAA">
      <w:pPr>
        <w:pStyle w:val="ESch"/>
        <w:rPr>
          <w:rFonts w:eastAsia="Calibri"/>
          <w:noProof/>
        </w:rPr>
      </w:pPr>
    </w:p>
    <w:p w:rsidR="00973DAA" w:rsidRPr="00C903F8" w:rsidRDefault="00973DAA" w:rsidP="004A3862">
      <w:pPr>
        <w:pStyle w:val="ESchpar"/>
        <w:rPr>
          <w:rFonts w:eastAsia="Calibri" w:cs="Arial"/>
          <w:szCs w:val="18"/>
        </w:rPr>
      </w:pPr>
      <w:r>
        <w:t>Per le navi senza ponte di compartimentazione, la distanza di sicurezza è di almeno 0,50 m.</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2.</w:t>
      </w:r>
      <w:r>
        <w:tab/>
        <w:t>Il bordo libero è almeno pari alla somma:</w:t>
      </w:r>
    </w:p>
    <w:p w:rsidR="00973DAA" w:rsidRPr="00C903F8" w:rsidRDefault="005C7859" w:rsidP="004A3862">
      <w:pPr>
        <w:pStyle w:val="ESlet"/>
        <w:rPr>
          <w:rFonts w:eastAsia="Calibri" w:cs="Arial"/>
          <w:szCs w:val="18"/>
        </w:rPr>
      </w:pPr>
      <w:r>
        <w:t>a)</w:t>
      </w:r>
      <w:r>
        <w:tab/>
        <w:t>dell'immersione laterale supplementare che, misurata sul fasciame esterno, deriva dall'angolo di sbandamento autorizzato in conformità dell'articolo 19.03, paragrafo 3, lettera e); e</w:t>
      </w:r>
    </w:p>
    <w:p w:rsidR="00973DAA" w:rsidRPr="00C903F8" w:rsidRDefault="005C7859" w:rsidP="004A3862">
      <w:pPr>
        <w:pStyle w:val="ESlet"/>
        <w:rPr>
          <w:rFonts w:eastAsia="Calibri" w:cs="Arial"/>
          <w:szCs w:val="18"/>
        </w:rPr>
      </w:pPr>
      <w:r>
        <w:t>b)</w:t>
      </w:r>
      <w:r>
        <w:tab/>
        <w:t>del bordo libero residuo in conformità dell'articolo 19.03, paragrafo 3, lettera f).</w:t>
      </w:r>
    </w:p>
    <w:p w:rsidR="004A3862" w:rsidRPr="00C903F8" w:rsidRDefault="004A3862" w:rsidP="004A3862">
      <w:pPr>
        <w:pStyle w:val="ESchpar"/>
        <w:rPr>
          <w:rFonts w:eastAsia="Calibri"/>
          <w:noProof/>
        </w:rPr>
      </w:pPr>
    </w:p>
    <w:p w:rsidR="00973DAA" w:rsidRPr="00C903F8" w:rsidRDefault="00973DAA" w:rsidP="004A3862">
      <w:pPr>
        <w:pStyle w:val="ESchpar"/>
        <w:rPr>
          <w:rFonts w:eastAsia="Calibri" w:cs="Arial"/>
          <w:szCs w:val="18"/>
        </w:rPr>
      </w:pPr>
      <w:r>
        <w:t>Il bordo libero è comunque almeno pari a 0,30 m.</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3.</w:t>
      </w:r>
      <w:r>
        <w:tab/>
        <w:t>Il piano di massima immersione è fissato in modo da garantire il rispetto della distanza di sicurezza in conformità del paragrafo 1, e del bordo libero in conformità del paragrafo 2, nonché degli articoli 19.02 e 19.03.</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4.</w:t>
      </w:r>
      <w:r>
        <w:tab/>
        <w:t>Per motivi di sicurezza, la commissione di ispezione può fissare un bordo libero o una distanza di sicurezza superiori.</w:t>
      </w:r>
    </w:p>
    <w:p w:rsidR="00973DAA" w:rsidRPr="00C903F8" w:rsidRDefault="00973DAA" w:rsidP="00973DAA">
      <w:pPr>
        <w:pStyle w:val="ESch"/>
        <w:rPr>
          <w:rFonts w:eastAsia="Calibri"/>
          <w:noProof/>
        </w:rPr>
      </w:pPr>
    </w:p>
    <w:p w:rsidR="004A3862" w:rsidRPr="00C903F8" w:rsidRDefault="004A3862" w:rsidP="00973DAA">
      <w:pPr>
        <w:pStyle w:val="ESch"/>
        <w:rPr>
          <w:rFonts w:eastAsia="Calibri"/>
          <w:noProof/>
        </w:rPr>
      </w:pPr>
    </w:p>
    <w:p w:rsidR="00973DAA" w:rsidRPr="00C903F8" w:rsidRDefault="00973DAA" w:rsidP="004A3862">
      <w:pPr>
        <w:pStyle w:val="ES-Titre3"/>
        <w:rPr>
          <w:rFonts w:cs="Arial"/>
          <w:i/>
          <w:szCs w:val="18"/>
        </w:rPr>
      </w:pPr>
      <w:bookmarkStart w:id="354" w:name="_Toc491854174"/>
      <w:bookmarkStart w:id="355" w:name="_Toc535500123"/>
      <w:r>
        <w:t>Articolo 19.05</w:t>
      </w:r>
      <w:r>
        <w:br/>
      </w:r>
      <w:r>
        <w:rPr>
          <w:i/>
          <w:noProof/>
        </w:rPr>
        <w:t>Numero massimo ammesso di passeggeri</w:t>
      </w:r>
      <w:bookmarkEnd w:id="354"/>
      <w:bookmarkEnd w:id="355"/>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1.</w:t>
      </w:r>
      <w:r>
        <w:tab/>
        <w:t>La commissione di ispezione fissa il numero massimo ammesso di passeggeri e lo menziona nel certificato per la navigazione interna.</w:t>
      </w:r>
    </w:p>
    <w:p w:rsidR="00FB0A98" w:rsidRPr="00C903F8" w:rsidRDefault="00FB0A98" w:rsidP="00973DAA">
      <w:pPr>
        <w:pStyle w:val="ESch"/>
        <w:rPr>
          <w:rFonts w:eastAsia="Calibri"/>
          <w:noProof/>
        </w:rPr>
      </w:pPr>
    </w:p>
    <w:p w:rsidR="00973DAA" w:rsidRPr="00C903F8" w:rsidRDefault="00973DAA" w:rsidP="00973DAA">
      <w:pPr>
        <w:pStyle w:val="ESch"/>
        <w:rPr>
          <w:rFonts w:eastAsia="Calibri" w:cs="Arial"/>
          <w:szCs w:val="18"/>
        </w:rPr>
      </w:pPr>
      <w:r>
        <w:t>2.</w:t>
      </w:r>
      <w:r>
        <w:tab/>
        <w:t>Il numero massimo ammesso di passeggeri non supera nessuno dei seguenti valori:</w:t>
      </w:r>
    </w:p>
    <w:p w:rsidR="00973DAA" w:rsidRPr="00C903F8" w:rsidRDefault="005C7859" w:rsidP="004A3862">
      <w:pPr>
        <w:pStyle w:val="ESlet"/>
        <w:rPr>
          <w:rFonts w:eastAsia="Calibri" w:cs="Arial"/>
          <w:szCs w:val="18"/>
        </w:rPr>
      </w:pPr>
      <w:r>
        <w:t>a)</w:t>
      </w:r>
      <w:r>
        <w:tab/>
        <w:t>il numero di passeggeri per i quali è stata dimostrata l'esistenza di una zona di evacuazione in conformità dell'articolo 19.06, paragrafo 8;</w:t>
      </w:r>
    </w:p>
    <w:p w:rsidR="004A3862" w:rsidRPr="00C903F8" w:rsidRDefault="004A3862" w:rsidP="004A3862">
      <w:pPr>
        <w:pStyle w:val="ESlet"/>
        <w:rPr>
          <w:rFonts w:eastAsia="Calibri"/>
          <w:noProof/>
        </w:rPr>
      </w:pPr>
      <w:r>
        <w:br w:type="page"/>
      </w:r>
    </w:p>
    <w:p w:rsidR="00973DAA" w:rsidRPr="00C903F8" w:rsidRDefault="005C7859" w:rsidP="004A3862">
      <w:pPr>
        <w:pStyle w:val="ESlet"/>
        <w:rPr>
          <w:rFonts w:eastAsia="Calibri" w:cs="Arial"/>
          <w:szCs w:val="18"/>
        </w:rPr>
      </w:pPr>
      <w:r>
        <w:lastRenderedPageBreak/>
        <w:t>b)</w:t>
      </w:r>
      <w:r>
        <w:tab/>
        <w:t>il numero di passeggeri che è stato considerato per il calcolo di stabilità in conformità dell'articolo 19.03;</w:t>
      </w:r>
    </w:p>
    <w:p w:rsidR="00973DAA" w:rsidRPr="00C903F8" w:rsidRDefault="005C7859" w:rsidP="004A3862">
      <w:pPr>
        <w:pStyle w:val="ESlet"/>
        <w:rPr>
          <w:rFonts w:eastAsia="Calibri" w:cs="Arial"/>
          <w:szCs w:val="18"/>
        </w:rPr>
      </w:pPr>
      <w:r>
        <w:t>c)</w:t>
      </w:r>
      <w:r>
        <w:tab/>
        <w:t>il numero di posti letto disponibili per i passeggeri nelle navi cabinate usate per viaggi che includono pernottamenti.</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3.</w:t>
      </w:r>
      <w:r>
        <w:tab/>
        <w:t>Per le navi cabinate che sono usate anche come navi per escursioni giornaliere, il numero di passeggeri è calcolato per l'utilizzo sia come battello per escursioni giornaliere che come nave cabinata ed è menzionato sul certificato per la navigazione interna.</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4.</w:t>
      </w:r>
      <w:r>
        <w:tab/>
        <w:t>Il numero massimo autorizzato di passeggeri è indicato su cartelli chiaramente leggibili, affissi in punti ben visibili a bordo della nave.</w:t>
      </w:r>
    </w:p>
    <w:p w:rsidR="00973DAA" w:rsidRPr="00C903F8" w:rsidRDefault="00973DAA" w:rsidP="00973DAA">
      <w:pPr>
        <w:pStyle w:val="ESch"/>
        <w:rPr>
          <w:rFonts w:eastAsia="Calibri" w:cs="Arial"/>
          <w:szCs w:val="18"/>
        </w:rPr>
      </w:pPr>
    </w:p>
    <w:p w:rsidR="00FB0A98" w:rsidRPr="00C903F8" w:rsidRDefault="00FB0A98" w:rsidP="00973DAA">
      <w:pPr>
        <w:pStyle w:val="ESch"/>
        <w:rPr>
          <w:rFonts w:eastAsia="Calibri" w:cs="Arial"/>
          <w:szCs w:val="18"/>
        </w:rPr>
      </w:pPr>
    </w:p>
    <w:p w:rsidR="00973DAA" w:rsidRPr="00C903F8" w:rsidRDefault="00973DAA" w:rsidP="004A3862">
      <w:pPr>
        <w:pStyle w:val="ES-Titre3"/>
        <w:rPr>
          <w:rFonts w:cs="Arial"/>
          <w:i/>
          <w:szCs w:val="18"/>
        </w:rPr>
      </w:pPr>
      <w:bookmarkStart w:id="356" w:name="_Toc491854175"/>
      <w:bookmarkStart w:id="357" w:name="_Toc535500124"/>
      <w:r>
        <w:t>Articolo 19.06</w:t>
      </w:r>
      <w:r>
        <w:br/>
      </w:r>
      <w:r>
        <w:rPr>
          <w:i/>
          <w:noProof/>
        </w:rPr>
        <w:t>Locali e zone per i passeggeri</w:t>
      </w:r>
      <w:bookmarkEnd w:id="356"/>
      <w:bookmarkEnd w:id="357"/>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1.</w:t>
      </w:r>
      <w:r>
        <w:tab/>
        <w:t>I locali per i passeggeri:</w:t>
      </w:r>
    </w:p>
    <w:p w:rsidR="00973DAA" w:rsidRPr="00C903F8" w:rsidRDefault="005C7859" w:rsidP="004A3862">
      <w:pPr>
        <w:pStyle w:val="ESlet"/>
        <w:rPr>
          <w:rFonts w:eastAsia="Calibri" w:cs="Arial"/>
          <w:szCs w:val="18"/>
        </w:rPr>
      </w:pPr>
      <w:r>
        <w:t>a)</w:t>
      </w:r>
      <w:r>
        <w:tab/>
        <w:t>sono situati, su tutti i ponti, a poppa dietro al piano della paratia di collisione e, se sono sotto il ponte di compartimentazione, davanti al piano della paratia del gavone di poppa; e</w:t>
      </w:r>
    </w:p>
    <w:p w:rsidR="00973DAA" w:rsidRPr="00C903F8" w:rsidRDefault="005C7859" w:rsidP="004A3862">
      <w:pPr>
        <w:pStyle w:val="ESlet"/>
        <w:rPr>
          <w:rFonts w:eastAsia="Calibri" w:cs="Arial"/>
          <w:szCs w:val="18"/>
        </w:rPr>
      </w:pPr>
      <w:r>
        <w:t>b)</w:t>
      </w:r>
      <w:r>
        <w:tab/>
        <w:t>sono separati dalle sale macchine e dai locali caldaie in maniera stagna al gas;</w:t>
      </w:r>
    </w:p>
    <w:p w:rsidR="004A3862" w:rsidRPr="00C903F8" w:rsidRDefault="004A3862" w:rsidP="00973DAA">
      <w:pPr>
        <w:pStyle w:val="ESch"/>
        <w:rPr>
          <w:rFonts w:eastAsia="Calibri"/>
          <w:noProof/>
        </w:rPr>
      </w:pPr>
    </w:p>
    <w:p w:rsidR="00973DAA" w:rsidRPr="00C903F8" w:rsidRDefault="00973DAA" w:rsidP="004A3862">
      <w:pPr>
        <w:pStyle w:val="ESchpar"/>
        <w:rPr>
          <w:rFonts w:eastAsia="Calibri" w:cs="Arial"/>
          <w:szCs w:val="18"/>
        </w:rPr>
      </w:pPr>
      <w:r>
        <w:t>Le zone del ponte che sono chiuse da tende o altre installazioni mobili non solo nella parte superiore ma anche sui lati, in tutto o in parte, devono soddisfare gli stessi requisiti dei locali passeggeri coperti.</w:t>
      </w:r>
    </w:p>
    <w:p w:rsidR="00973DAA" w:rsidRPr="00C903F8" w:rsidRDefault="00973DAA" w:rsidP="00973DAA">
      <w:pPr>
        <w:pStyle w:val="ESch"/>
        <w:rPr>
          <w:rFonts w:eastAsia="Calibri"/>
          <w:noProof/>
        </w:rPr>
      </w:pPr>
    </w:p>
    <w:p w:rsidR="00973DAA" w:rsidRPr="00C903F8" w:rsidRDefault="00973DAA" w:rsidP="00973DAA">
      <w:pPr>
        <w:pStyle w:val="ESch"/>
        <w:rPr>
          <w:rFonts w:eastAsia="Calibri" w:cs="Arial"/>
          <w:szCs w:val="18"/>
        </w:rPr>
      </w:pPr>
      <w:r>
        <w:t>2.</w:t>
      </w:r>
      <w:r>
        <w:tab/>
        <w:t>Gli armadi di cui all'articolo 14.13 ed i locali intesi per il deposito dei liquidi infiammabili sono al di fuori della zona passeggeri.</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3.</w:t>
      </w:r>
      <w:r>
        <w:tab/>
        <w:t>Il numero e l'ampiezza delle uscite dei locali per i passeggeri sono conformi ai seguenti requisiti:</w:t>
      </w:r>
    </w:p>
    <w:p w:rsidR="00973DAA" w:rsidRPr="00C903F8" w:rsidRDefault="005C7859" w:rsidP="004A3862">
      <w:pPr>
        <w:pStyle w:val="ESlet"/>
        <w:rPr>
          <w:rFonts w:eastAsia="Calibri" w:cs="Arial"/>
          <w:szCs w:val="18"/>
        </w:rPr>
      </w:pPr>
      <w:r>
        <w:t>a)</w:t>
      </w:r>
      <w:r>
        <w:tab/>
        <w:t>i locali o gruppi di locali previsti o attrezzati per 30 o più passeggeri o provvisti di cuccette per 12 o più passeggeri hanno almeno due uscite. Sui battelli per escursioni giornaliere una di queste due uscite può essere sostituita da due uscite di sicurezza; i locali, ad eccezione delle cabine, e i gruppi di locali che hanno una sola uscita, hanno almeno una uscita di emergenza;</w:t>
      </w:r>
    </w:p>
    <w:p w:rsidR="00973DAA" w:rsidRPr="00C903F8" w:rsidRDefault="005C7859" w:rsidP="004A3862">
      <w:pPr>
        <w:pStyle w:val="ESlet"/>
        <w:rPr>
          <w:rFonts w:eastAsia="Calibri" w:cs="Arial"/>
          <w:szCs w:val="18"/>
        </w:rPr>
      </w:pPr>
      <w:r>
        <w:t>b)</w:t>
      </w:r>
      <w:r>
        <w:tab/>
        <w:t>se i locali si trovano sotto il ponte di compartimentazione, una delle uscite può essere una porta stagna all'acqua, in conformità dell'articolo 19.02, paragrafo 10, che dia accesso a un compartimento adiacente da cui si può raggiungere direttamente il ponte superiore. L'altra uscita conduce direttamente, se permesso in conformità della lettera a), come uscita di sicurezza, o all'aperto o sul ponte di compartimentazione. Questo requisito non si applica alle cabine individuali;</w:t>
      </w:r>
    </w:p>
    <w:p w:rsidR="00973DAA" w:rsidRPr="00C903F8" w:rsidRDefault="005C7859" w:rsidP="004A3862">
      <w:pPr>
        <w:pStyle w:val="ESlet"/>
        <w:rPr>
          <w:rFonts w:eastAsia="Calibri" w:cs="Arial"/>
          <w:szCs w:val="18"/>
        </w:rPr>
      </w:pPr>
      <w:r>
        <w:t>c)</w:t>
      </w:r>
      <w:r>
        <w:tab/>
        <w:t>le uscite di cui alle lettere a) e b) sono realizzate in maniera appropriata e hanno un'ampiezza libera di almeno 0,80 m e anche un'altezza libera di almeno 2,00 m. Per le porte delle cabine passeggeri e di altri locali di piccole dimensioni l'ampiezza libera può essere ridotta a 0,70 m;</w:t>
      </w:r>
    </w:p>
    <w:p w:rsidR="00973DAA" w:rsidRPr="00C903F8" w:rsidRDefault="005C7859" w:rsidP="004A3862">
      <w:pPr>
        <w:pStyle w:val="ESlet"/>
        <w:rPr>
          <w:rFonts w:eastAsia="Calibri" w:cs="Arial"/>
          <w:szCs w:val="18"/>
        </w:rPr>
      </w:pPr>
      <w:r>
        <w:t>d)</w:t>
      </w:r>
      <w:r>
        <w:tab/>
        <w:t>per i locali o gruppi di locali previsti per più di 80 passeggeri la somma delle ampiezze di tutte le uscite destinate ai passeggeri e da essi utilizzate in caso di necessità corrisponde almeno a 0,01 m per passeggero;</w:t>
      </w:r>
    </w:p>
    <w:p w:rsidR="00973DAA" w:rsidRPr="00C903F8" w:rsidRDefault="0029453D" w:rsidP="004A3862">
      <w:pPr>
        <w:pStyle w:val="ESlet"/>
        <w:rPr>
          <w:rFonts w:eastAsia="Calibri" w:cs="Arial"/>
          <w:szCs w:val="18"/>
        </w:rPr>
      </w:pPr>
      <w:r>
        <w:t>e)</w:t>
      </w:r>
      <w:r>
        <w:tab/>
        <w:t>se la larghezza totale delle uscite è determinata dal numero di passeggeri, la larghezza di ciascuna uscita è di almeno 0,005 m per passeggero;</w:t>
      </w:r>
    </w:p>
    <w:p w:rsidR="004A3862" w:rsidRPr="00C903F8" w:rsidRDefault="004A3862" w:rsidP="004A3862">
      <w:pPr>
        <w:pStyle w:val="ESlet"/>
        <w:rPr>
          <w:rFonts w:eastAsia="Calibri"/>
          <w:noProof/>
        </w:rPr>
      </w:pPr>
    </w:p>
    <w:p w:rsidR="004A3862" w:rsidRPr="00C903F8" w:rsidRDefault="004A3862" w:rsidP="004A3862">
      <w:pPr>
        <w:pStyle w:val="ESlet"/>
        <w:rPr>
          <w:rFonts w:eastAsia="Calibri"/>
          <w:noProof/>
        </w:rPr>
      </w:pPr>
      <w:r>
        <w:br w:type="page"/>
      </w:r>
    </w:p>
    <w:p w:rsidR="00973DAA" w:rsidRPr="00C903F8" w:rsidRDefault="0029453D" w:rsidP="004A3862">
      <w:pPr>
        <w:pStyle w:val="ESlet"/>
        <w:rPr>
          <w:rFonts w:eastAsia="Calibri" w:cs="Arial"/>
          <w:szCs w:val="18"/>
        </w:rPr>
      </w:pPr>
      <w:r>
        <w:lastRenderedPageBreak/>
        <w:t>f)</w:t>
      </w:r>
      <w:r>
        <w:tab/>
        <w:t>il lato minore delle uscite di sicurezza è lungo almeno 0,60 m o ha un diametro minimo di 0,70 m. Tali uscite si aprono verso l'esterno e sono contrassegnate su entrambi i lati;</w:t>
      </w:r>
    </w:p>
    <w:p w:rsidR="00973DAA" w:rsidRPr="00C903F8" w:rsidRDefault="00973DAA" w:rsidP="004A3862">
      <w:pPr>
        <w:pStyle w:val="ESlet"/>
        <w:rPr>
          <w:rFonts w:eastAsia="Calibri" w:cs="Arial"/>
          <w:szCs w:val="18"/>
        </w:rPr>
      </w:pPr>
      <w:r>
        <w:t>g)</w:t>
      </w:r>
      <w:r>
        <w:tab/>
        <w:t>le uscite dei locali destinati all'uso delle persone a mobilità ridotta hanno un'ampiezza libera di almeno 0,90 m. Le uscite normalmente usate per l'imbarco e lo sbarco delle persone a mobilità ridotta hanno un'ampiezza libera di almeno 1,50 m.</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4.</w:t>
      </w:r>
      <w:r>
        <w:tab/>
        <w:t>Le porte dei locali per i passeggeri soddisfano i requisiti seguenti:</w:t>
      </w:r>
    </w:p>
    <w:p w:rsidR="00973DAA" w:rsidRPr="00C903F8" w:rsidRDefault="005C7859" w:rsidP="004A3862">
      <w:pPr>
        <w:pStyle w:val="ESlet"/>
        <w:rPr>
          <w:rFonts w:eastAsia="Calibri" w:cs="Arial"/>
          <w:szCs w:val="18"/>
        </w:rPr>
      </w:pPr>
      <w:r>
        <w:t>a)</w:t>
      </w:r>
      <w:r>
        <w:tab/>
        <w:t>con l'eccezione delle porte che conducono ai corridoi di comunicazione, si possono aprire verso l'esterno o sono costruite come porte scorrevoli;</w:t>
      </w:r>
    </w:p>
    <w:p w:rsidR="00973DAA" w:rsidRPr="00C903F8" w:rsidRDefault="005C7859" w:rsidP="004A3862">
      <w:pPr>
        <w:pStyle w:val="ESlet"/>
        <w:rPr>
          <w:rFonts w:eastAsia="Calibri" w:cs="Arial"/>
          <w:szCs w:val="18"/>
        </w:rPr>
      </w:pPr>
      <w:r>
        <w:t>b)</w:t>
      </w:r>
      <w:r>
        <w:tab/>
        <w:t>le porte delle cabine sono realizzate in modo da poter essere in qualsiasi momento sbloccate anche dall'esterno;</w:t>
      </w:r>
    </w:p>
    <w:p w:rsidR="00973DAA" w:rsidRPr="00C903F8" w:rsidRDefault="005C7859" w:rsidP="004A3862">
      <w:pPr>
        <w:pStyle w:val="ESlet"/>
        <w:rPr>
          <w:rFonts w:eastAsia="Calibri" w:cs="Arial"/>
          <w:szCs w:val="18"/>
        </w:rPr>
      </w:pPr>
      <w:r>
        <w:t>c)</w:t>
      </w:r>
      <w:r>
        <w:tab/>
        <w:t>le porte automatiche si aprono facilmente in caso di interruzione dell'alimentazione elettrica di questo meccanismo;</w:t>
      </w:r>
    </w:p>
    <w:p w:rsidR="00973DAA" w:rsidRPr="00C903F8" w:rsidRDefault="005C7859" w:rsidP="004A3862">
      <w:pPr>
        <w:pStyle w:val="ESlet"/>
        <w:rPr>
          <w:rFonts w:eastAsia="Calibri" w:cs="Arial"/>
          <w:szCs w:val="18"/>
        </w:rPr>
      </w:pPr>
      <w:r>
        <w:t>d)</w:t>
      </w:r>
      <w:r>
        <w:tab/>
        <w:t>per le porte destinate all'uso da parte delle persone a mobilità ridotta, dalla direzione di apertura della porta vi è una distanza minima di 0,60 m tra il bordo interno dell'intelaiatura della porta dalla parte della serratura ed una parete perpendicolare adiacente.</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5.</w:t>
      </w:r>
      <w:r>
        <w:tab/>
        <w:t>I corridoi di comunicazione soddisfano i requisiti seguenti:</w:t>
      </w:r>
    </w:p>
    <w:p w:rsidR="00973DAA" w:rsidRPr="00C903F8" w:rsidRDefault="005C7859" w:rsidP="004A3862">
      <w:pPr>
        <w:pStyle w:val="ESlet"/>
        <w:rPr>
          <w:rFonts w:eastAsia="Calibri" w:cs="Arial"/>
          <w:szCs w:val="18"/>
        </w:rPr>
      </w:pPr>
      <w:r>
        <w:t>a)</w:t>
      </w:r>
      <w:r>
        <w:tab/>
        <w:t>hanno un'ampiezza libera di almeno 0,80 m. Se conducono a locali utilizzati da più di 80 passeggeri, sono conformi alle disposizioni di cui al paragrafo 3, lettere d) ed e), relative alla larghezza delle uscite che conducono a corridoi di comunicazione;</w:t>
      </w:r>
    </w:p>
    <w:p w:rsidR="00973DAA" w:rsidRPr="00C903F8" w:rsidRDefault="005C7859" w:rsidP="004A3862">
      <w:pPr>
        <w:pStyle w:val="ESlet"/>
        <w:rPr>
          <w:rFonts w:eastAsia="Calibri" w:cs="Arial"/>
          <w:szCs w:val="18"/>
        </w:rPr>
      </w:pPr>
      <w:r>
        <w:t>b)</w:t>
      </w:r>
      <w:r>
        <w:tab/>
        <w:t>la loro altezza libera non è inferiore a 2,00 m;</w:t>
      </w:r>
    </w:p>
    <w:p w:rsidR="00973DAA" w:rsidRPr="00C903F8" w:rsidRDefault="005C7859" w:rsidP="004A3862">
      <w:pPr>
        <w:pStyle w:val="ESlet"/>
        <w:rPr>
          <w:rFonts w:eastAsia="Calibri" w:cs="Arial"/>
          <w:szCs w:val="18"/>
        </w:rPr>
      </w:pPr>
      <w:r>
        <w:t>c)</w:t>
      </w:r>
      <w:r>
        <w:tab/>
        <w:t>i corridoi di comunicazione destinati all'uso delle persone a mobilità ridotta hanno un'ampiezza libera di 1,30 m. I corridoi di comunicazione di ampiezza superiore a 1,50 m sono forniti di corrimano su entrambi i lati;</w:t>
      </w:r>
    </w:p>
    <w:p w:rsidR="00973DAA" w:rsidRPr="00C903F8" w:rsidRDefault="005C7859" w:rsidP="004A3862">
      <w:pPr>
        <w:pStyle w:val="ESlet"/>
        <w:rPr>
          <w:rFonts w:eastAsia="Calibri" w:cs="Arial"/>
          <w:szCs w:val="18"/>
        </w:rPr>
      </w:pPr>
      <w:r>
        <w:t>d)</w:t>
      </w:r>
      <w:r>
        <w:tab/>
        <w:t>quando una parte della nave o un locale destinato ai passeggeri dispone di un unico corridoio di comunicazione, l'ampiezza libera del medesimo è di almeno 1,00 m;</w:t>
      </w:r>
    </w:p>
    <w:p w:rsidR="00973DAA" w:rsidRPr="00C903F8" w:rsidRDefault="0029453D" w:rsidP="004A3862">
      <w:pPr>
        <w:pStyle w:val="ESlet"/>
        <w:rPr>
          <w:rFonts w:eastAsia="Calibri" w:cs="Arial"/>
          <w:szCs w:val="18"/>
        </w:rPr>
      </w:pPr>
      <w:r>
        <w:t>e)</w:t>
      </w:r>
      <w:r>
        <w:tab/>
        <w:t>i corridoi di comunicazione sono privi di gradini;</w:t>
      </w:r>
    </w:p>
    <w:p w:rsidR="00973DAA" w:rsidRPr="00C903F8" w:rsidRDefault="0029453D" w:rsidP="004A3862">
      <w:pPr>
        <w:pStyle w:val="ESlet"/>
        <w:rPr>
          <w:rFonts w:eastAsia="Calibri" w:cs="Arial"/>
          <w:szCs w:val="18"/>
        </w:rPr>
      </w:pPr>
      <w:r>
        <w:t>f)</w:t>
      </w:r>
      <w:r>
        <w:tab/>
        <w:t>essi conducono soltanto a ponti scoperti, locali o scale;</w:t>
      </w:r>
    </w:p>
    <w:p w:rsidR="00973DAA" w:rsidRPr="00C903F8" w:rsidRDefault="0029453D" w:rsidP="004A3862">
      <w:pPr>
        <w:pStyle w:val="ESlet"/>
        <w:rPr>
          <w:rFonts w:eastAsia="Calibri" w:cs="Arial"/>
          <w:szCs w:val="18"/>
        </w:rPr>
      </w:pPr>
      <w:r>
        <w:t>g)</w:t>
      </w:r>
      <w:r>
        <w:tab/>
        <w:t>i vicoli ciechi nei corridoi di comunicazione non hanno una lunghezza superiore a due metri.</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6.</w:t>
      </w:r>
      <w:r>
        <w:tab/>
        <w:t>In aggiunta alle disposizioni del paragrafo 5 anche le vie di evacuazione sono conformi ai requisiti seguenti:</w:t>
      </w:r>
    </w:p>
    <w:p w:rsidR="00973DAA" w:rsidRPr="00C903F8" w:rsidRDefault="005C7859" w:rsidP="004A3862">
      <w:pPr>
        <w:pStyle w:val="ESlet"/>
        <w:rPr>
          <w:rFonts w:eastAsia="Calibri" w:cs="Arial"/>
          <w:szCs w:val="18"/>
        </w:rPr>
      </w:pPr>
      <w:r>
        <w:t>a)</w:t>
      </w:r>
      <w:r>
        <w:tab/>
        <w:t>scale, uscite e uscite di sicurezza sono disposte in modo tale per cui, in caso di incendio in qualsiasi zona, le altre zone possano essere evacuate in completa sicurezza;</w:t>
      </w:r>
    </w:p>
    <w:p w:rsidR="00973DAA" w:rsidRPr="00C903F8" w:rsidRDefault="005C7859" w:rsidP="004A3862">
      <w:pPr>
        <w:pStyle w:val="ESlet"/>
        <w:rPr>
          <w:rFonts w:eastAsia="Calibri" w:cs="Arial"/>
          <w:szCs w:val="18"/>
        </w:rPr>
      </w:pPr>
      <w:r>
        <w:t>b)</w:t>
      </w:r>
      <w:r>
        <w:tab/>
        <w:t>le vie di evacuazione conducono per la via più breve alle zone di evacuazione in conformità del paragrafo 8;</w:t>
      </w:r>
    </w:p>
    <w:p w:rsidR="00973DAA" w:rsidRPr="00C903F8" w:rsidRDefault="005C7859" w:rsidP="004A3862">
      <w:pPr>
        <w:pStyle w:val="ESlet"/>
        <w:rPr>
          <w:rFonts w:eastAsia="Calibri" w:cs="Arial"/>
          <w:szCs w:val="18"/>
        </w:rPr>
      </w:pPr>
      <w:r>
        <w:t>c)</w:t>
      </w:r>
      <w:r>
        <w:tab/>
        <w:t>le vie di evacuazione non attraversano le sale macchine o le cucine;</w:t>
      </w:r>
    </w:p>
    <w:p w:rsidR="00973DAA" w:rsidRPr="00C903F8" w:rsidRDefault="005C7859" w:rsidP="004A3862">
      <w:pPr>
        <w:pStyle w:val="ESlet"/>
        <w:rPr>
          <w:rFonts w:eastAsia="Calibri" w:cs="Arial"/>
          <w:szCs w:val="18"/>
        </w:rPr>
      </w:pPr>
      <w:r>
        <w:t>d)</w:t>
      </w:r>
      <w:r>
        <w:tab/>
        <w:t>le vie di evacuazione non comportano pioli, scale a pioli o similari;</w:t>
      </w:r>
    </w:p>
    <w:p w:rsidR="00973DAA" w:rsidRPr="00C903F8" w:rsidRDefault="0029453D" w:rsidP="004A3862">
      <w:pPr>
        <w:pStyle w:val="ESlet"/>
        <w:rPr>
          <w:rFonts w:eastAsia="Calibri" w:cs="Arial"/>
          <w:szCs w:val="18"/>
        </w:rPr>
      </w:pPr>
      <w:r>
        <w:t>e)</w:t>
      </w:r>
      <w:r>
        <w:tab/>
        <w:t>le porte che danno sulle vie di evacuazione sono costruite in modo da non ridurre l'ampiezza minima della via di evacuazione di cui al paragrafo 5, lettere a) o d);</w:t>
      </w:r>
    </w:p>
    <w:p w:rsidR="00973DAA" w:rsidRPr="00C903F8" w:rsidRDefault="0029453D" w:rsidP="004A3862">
      <w:pPr>
        <w:pStyle w:val="ESlet"/>
        <w:rPr>
          <w:rFonts w:eastAsia="Calibri" w:cs="Arial"/>
          <w:szCs w:val="18"/>
        </w:rPr>
      </w:pPr>
      <w:r>
        <w:t>f)</w:t>
      </w:r>
      <w:r>
        <w:tab/>
        <w:t>le vie di evacuazione e le uscite di sicurezza sono segnalate in modo chiaro. Le insegne sono illuminate dall'impianto elettrico di sicurezza.</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7.</w:t>
      </w:r>
      <w:r>
        <w:tab/>
        <w:t>Le vie di evacuazione e le uscite di sicurezza hanno un adeguato sistema di guida di sicurezza.</w:t>
      </w:r>
    </w:p>
    <w:p w:rsidR="004A3862" w:rsidRPr="00C903F8" w:rsidRDefault="004A3862" w:rsidP="00973DAA">
      <w:pPr>
        <w:pStyle w:val="ESch"/>
        <w:rPr>
          <w:rFonts w:eastAsia="Calibri"/>
          <w:noProof/>
        </w:rPr>
      </w:pPr>
    </w:p>
    <w:p w:rsidR="004A3862" w:rsidRPr="00C903F8" w:rsidRDefault="004A3862" w:rsidP="00973DAA">
      <w:pPr>
        <w:pStyle w:val="ESch"/>
        <w:rPr>
          <w:rFonts w:eastAsia="Calibri"/>
          <w:noProof/>
        </w:rPr>
      </w:pPr>
      <w:r>
        <w:br w:type="page"/>
      </w:r>
    </w:p>
    <w:p w:rsidR="00973DAA" w:rsidRPr="00C903F8" w:rsidRDefault="00973DAA" w:rsidP="00973DAA">
      <w:pPr>
        <w:pStyle w:val="ESch"/>
        <w:rPr>
          <w:rFonts w:eastAsia="Calibri" w:cs="Arial"/>
          <w:szCs w:val="18"/>
        </w:rPr>
      </w:pPr>
      <w:r>
        <w:lastRenderedPageBreak/>
        <w:t>8.</w:t>
      </w:r>
      <w:r>
        <w:tab/>
        <w:t>Sono a disposizione di tutte le persone a bordo zone di raccolta che soddisfino i requisiti seguenti:</w:t>
      </w:r>
    </w:p>
    <w:p w:rsidR="00973DAA" w:rsidRPr="00C903F8" w:rsidRDefault="005C7859" w:rsidP="004A3862">
      <w:pPr>
        <w:pStyle w:val="ESlet"/>
        <w:rPr>
          <w:rFonts w:eastAsia="Calibri" w:cs="Arial"/>
          <w:szCs w:val="18"/>
        </w:rPr>
      </w:pPr>
      <w:r>
        <w:t>a)</w:t>
      </w:r>
      <w:r>
        <w:tab/>
        <w:t xml:space="preserve">la superficie totale delle zone di raccolta </w:t>
      </w:r>
      <m:oMath>
        <m:sSub>
          <m:sSubPr>
            <m:ctrlPr>
              <w:rPr>
                <w:rFonts w:ascii="Cambria Math" w:eastAsia="Calibri" w:hAnsi="Cambria Math"/>
                <w:i/>
              </w:rPr>
            </m:ctrlPr>
          </m:sSubPr>
          <m:e>
            <m:r>
              <w:rPr>
                <w:rFonts w:ascii="Cambria Math" w:eastAsia="Calibri" w:hAnsi="Cambria Math"/>
              </w:rPr>
              <m:t>A</m:t>
            </m:r>
          </m:e>
          <m:sub>
            <m:r>
              <w:rPr>
                <w:rFonts w:ascii="Cambria Math" w:eastAsia="Calibri" w:hAnsi="Cambria Math"/>
              </w:rPr>
              <m:t>S</m:t>
            </m:r>
          </m:sub>
        </m:sSub>
      </m:oMath>
      <w:r>
        <w:t xml:space="preserve"> corrisponde almeno al seguente valore:</w:t>
      </w:r>
    </w:p>
    <w:p w:rsidR="00973DAA" w:rsidRPr="00C903F8" w:rsidRDefault="00973DAA" w:rsidP="004A3862">
      <w:pPr>
        <w:pStyle w:val="ESletpar"/>
        <w:rPr>
          <w:rFonts w:eastAsia="Calibri"/>
        </w:rPr>
      </w:pPr>
      <w:r>
        <w:t>battelli per escursioni giornaliere:</w:t>
      </w:r>
      <w:r>
        <w:tab/>
      </w:r>
      <m:oMath>
        <m:sSub>
          <m:sSubPr>
            <m:ctrlPr>
              <w:rPr>
                <w:rFonts w:ascii="Cambria Math" w:eastAsia="Calibri" w:hAnsi="Cambria Math"/>
                <w:i/>
              </w:rPr>
            </m:ctrlPr>
          </m:sSubPr>
          <m:e>
            <m:r>
              <w:rPr>
                <w:rFonts w:ascii="Cambria Math" w:eastAsia="Calibri" w:hAnsi="Cambria Math"/>
              </w:rPr>
              <m:t>A</m:t>
            </m:r>
          </m:e>
          <m:sub>
            <m:r>
              <w:rPr>
                <w:rFonts w:ascii="Cambria Math" w:eastAsia="Calibri" w:hAnsi="Cambria Math"/>
              </w:rPr>
              <m:t>S</m:t>
            </m:r>
          </m:sub>
        </m:sSub>
        <m:r>
          <w:rPr>
            <w:rFonts w:ascii="Cambria Math" w:eastAsia="Calibri" w:hAnsi="Cambria Math"/>
          </w:rPr>
          <m:t xml:space="preserve">=0,35 ∙ </m:t>
        </m:r>
        <m:sSub>
          <m:sSubPr>
            <m:ctrlPr>
              <w:rPr>
                <w:rFonts w:ascii="Cambria Math" w:eastAsia="Calibri" w:hAnsi="Cambria Math"/>
                <w:i/>
              </w:rPr>
            </m:ctrlPr>
          </m:sSubPr>
          <m:e>
            <m:r>
              <w:rPr>
                <w:rFonts w:ascii="Cambria Math" w:eastAsia="Calibri" w:hAnsi="Cambria Math"/>
              </w:rPr>
              <m:t>F</m:t>
            </m:r>
          </m:e>
          <m:sub>
            <m:r>
              <w:rPr>
                <w:rFonts w:ascii="Cambria Math" w:eastAsia="Calibri" w:hAnsi="Cambria Math"/>
              </w:rPr>
              <m:t>max</m:t>
            </m:r>
          </m:sub>
        </m:sSub>
        <m:r>
          <w:rPr>
            <w:rFonts w:ascii="Cambria Math" w:eastAsia="Calibri" w:hAnsi="Cambria Math"/>
          </w:rPr>
          <m:t xml:space="preserve"> </m:t>
        </m:r>
        <m:d>
          <m:dPr>
            <m:begChr m:val="["/>
            <m:endChr m:val="]"/>
            <m:ctrlPr>
              <w:rPr>
                <w:rFonts w:ascii="Cambria Math" w:eastAsia="Calibri" w:hAnsi="Cambria Math"/>
                <w:i/>
              </w:rPr>
            </m:ctrlPr>
          </m:dPr>
          <m:e>
            <m:sSup>
              <m:sSupPr>
                <m:ctrlPr>
                  <w:rPr>
                    <w:rFonts w:ascii="Cambria Math" w:eastAsia="Calibri" w:hAnsi="Cambria Math"/>
                    <w:i/>
                  </w:rPr>
                </m:ctrlPr>
              </m:sSupPr>
              <m:e>
                <m:r>
                  <w:rPr>
                    <w:rFonts w:ascii="Cambria Math" w:eastAsia="Calibri" w:hAnsi="Cambria Math"/>
                  </w:rPr>
                  <m:t>m</m:t>
                </m:r>
              </m:e>
              <m:sup>
                <m:r>
                  <w:rPr>
                    <w:rFonts w:ascii="Cambria Math" w:eastAsia="Calibri" w:hAnsi="Cambria Math"/>
                  </w:rPr>
                  <m:t>2</m:t>
                </m:r>
              </m:sup>
            </m:sSup>
          </m:e>
        </m:d>
      </m:oMath>
      <w:r>
        <w:rPr>
          <w:vertAlign w:val="subscript"/>
        </w:rPr>
        <w:t xml:space="preserve"> </w:t>
      </w:r>
    </w:p>
    <w:p w:rsidR="00973DAA" w:rsidRPr="00C903F8" w:rsidRDefault="00973DAA" w:rsidP="004A3862">
      <w:pPr>
        <w:pStyle w:val="ESletpar"/>
        <w:rPr>
          <w:rFonts w:eastAsia="Calibri"/>
        </w:rPr>
      </w:pPr>
      <w:r>
        <w:t>navi cabinate:</w:t>
      </w:r>
      <w:r>
        <w:tab/>
      </w:r>
      <m:oMath>
        <m:sSub>
          <m:sSubPr>
            <m:ctrlPr>
              <w:rPr>
                <w:rFonts w:ascii="Cambria Math" w:eastAsia="Calibri" w:hAnsi="Cambria Math"/>
                <w:i/>
              </w:rPr>
            </m:ctrlPr>
          </m:sSubPr>
          <m:e>
            <m:r>
              <w:rPr>
                <w:rFonts w:ascii="Cambria Math" w:eastAsia="Calibri" w:hAnsi="Cambria Math"/>
              </w:rPr>
              <m:t>A</m:t>
            </m:r>
          </m:e>
          <m:sub>
            <m:r>
              <w:rPr>
                <w:rFonts w:ascii="Cambria Math" w:eastAsia="Calibri" w:hAnsi="Cambria Math"/>
              </w:rPr>
              <m:t>S</m:t>
            </m:r>
          </m:sub>
        </m:sSub>
        <m:r>
          <w:rPr>
            <w:rFonts w:ascii="Cambria Math" w:eastAsia="Calibri" w:hAnsi="Cambria Math"/>
          </w:rPr>
          <m:t xml:space="preserve">=0,45 ∙ </m:t>
        </m:r>
        <m:sSub>
          <m:sSubPr>
            <m:ctrlPr>
              <w:rPr>
                <w:rFonts w:ascii="Cambria Math" w:eastAsia="Calibri" w:hAnsi="Cambria Math"/>
                <w:i/>
              </w:rPr>
            </m:ctrlPr>
          </m:sSubPr>
          <m:e>
            <m:r>
              <w:rPr>
                <w:rFonts w:ascii="Cambria Math" w:eastAsia="Calibri" w:hAnsi="Cambria Math"/>
              </w:rPr>
              <m:t>F</m:t>
            </m:r>
          </m:e>
          <m:sub>
            <m:r>
              <w:rPr>
                <w:rFonts w:ascii="Cambria Math" w:eastAsia="Calibri" w:hAnsi="Cambria Math"/>
              </w:rPr>
              <m:t>max</m:t>
            </m:r>
          </m:sub>
        </m:sSub>
        <m:r>
          <w:rPr>
            <w:rFonts w:ascii="Cambria Math" w:eastAsia="Calibri" w:hAnsi="Cambria Math"/>
          </w:rPr>
          <m:t xml:space="preserve"> </m:t>
        </m:r>
        <m:d>
          <m:dPr>
            <m:begChr m:val="["/>
            <m:endChr m:val="]"/>
            <m:ctrlPr>
              <w:rPr>
                <w:rFonts w:ascii="Cambria Math" w:eastAsia="Calibri" w:hAnsi="Cambria Math"/>
                <w:i/>
              </w:rPr>
            </m:ctrlPr>
          </m:dPr>
          <m:e>
            <m:sSup>
              <m:sSupPr>
                <m:ctrlPr>
                  <w:rPr>
                    <w:rFonts w:ascii="Cambria Math" w:eastAsia="Calibri" w:hAnsi="Cambria Math"/>
                    <w:i/>
                  </w:rPr>
                </m:ctrlPr>
              </m:sSupPr>
              <m:e>
                <m:r>
                  <w:rPr>
                    <w:rFonts w:ascii="Cambria Math" w:eastAsia="Calibri" w:hAnsi="Cambria Math"/>
                  </w:rPr>
                  <m:t>m</m:t>
                </m:r>
              </m:e>
              <m:sup>
                <m:r>
                  <w:rPr>
                    <w:rFonts w:ascii="Cambria Math" w:eastAsia="Calibri" w:hAnsi="Cambria Math"/>
                  </w:rPr>
                  <m:t>2</m:t>
                </m:r>
              </m:sup>
            </m:sSup>
          </m:e>
        </m:d>
      </m:oMath>
    </w:p>
    <w:p w:rsidR="00973DAA" w:rsidRPr="00C903F8" w:rsidRDefault="00973DAA" w:rsidP="004A3862">
      <w:pPr>
        <w:pStyle w:val="ESletpar"/>
        <w:rPr>
          <w:rFonts w:eastAsia="Calibri"/>
        </w:rPr>
      </w:pPr>
      <w:r>
        <w:t>dove:</w:t>
      </w:r>
    </w:p>
    <w:p w:rsidR="00973DAA" w:rsidRPr="00C903F8" w:rsidRDefault="00624017" w:rsidP="004A3862">
      <w:pPr>
        <w:pStyle w:val="ESletpar"/>
        <w:tabs>
          <w:tab w:val="left" w:pos="1701"/>
        </w:tabs>
        <w:rPr>
          <w:rFonts w:eastAsia="Calibri"/>
          <w:szCs w:val="18"/>
        </w:rPr>
      </w:pPr>
      <m:oMath>
        <m:sSub>
          <m:sSubPr>
            <m:ctrlPr>
              <w:rPr>
                <w:rFonts w:ascii="Cambria Math" w:eastAsia="Calibri" w:hAnsi="Cambria Math"/>
                <w:i/>
                <w:szCs w:val="18"/>
              </w:rPr>
            </m:ctrlPr>
          </m:sSubPr>
          <m:e>
            <m:r>
              <w:rPr>
                <w:rFonts w:ascii="Cambria Math" w:eastAsia="Calibri" w:hAnsi="Cambria Math"/>
                <w:szCs w:val="18"/>
              </w:rPr>
              <m:t>F</m:t>
            </m:r>
          </m:e>
          <m:sub>
            <m:r>
              <w:rPr>
                <w:rFonts w:ascii="Cambria Math" w:eastAsia="Calibri" w:hAnsi="Cambria Math"/>
                <w:szCs w:val="18"/>
              </w:rPr>
              <m:t>max</m:t>
            </m:r>
          </m:sub>
        </m:sSub>
      </m:oMath>
      <w:r w:rsidR="00801F1F">
        <w:t xml:space="preserve"> =</w:t>
      </w:r>
      <w:r w:rsidR="00801F1F">
        <w:tab/>
        <w:t>numero massimo ammesso di passeggeri a bordo;</w:t>
      </w:r>
    </w:p>
    <w:p w:rsidR="00973DAA" w:rsidRPr="00C903F8" w:rsidRDefault="005C7859" w:rsidP="004A3862">
      <w:pPr>
        <w:pStyle w:val="ESlet"/>
        <w:rPr>
          <w:rFonts w:eastAsia="Calibri" w:cs="Arial"/>
          <w:szCs w:val="18"/>
        </w:rPr>
      </w:pPr>
      <w:r>
        <w:t>b)</w:t>
      </w:r>
      <w:r>
        <w:tab/>
        <w:t>ogni zona individuale di raccolta o di evacuazione ha una superficie superiore a 10 m</w:t>
      </w:r>
      <w:r>
        <w:rPr>
          <w:noProof/>
          <w:vertAlign w:val="superscript"/>
        </w:rPr>
        <w:t>2</w:t>
      </w:r>
      <w:r>
        <w:t>;</w:t>
      </w:r>
    </w:p>
    <w:p w:rsidR="00973DAA" w:rsidRPr="00C903F8" w:rsidRDefault="005C7859" w:rsidP="004A3862">
      <w:pPr>
        <w:pStyle w:val="ESlet"/>
        <w:rPr>
          <w:rFonts w:eastAsia="Calibri" w:cs="Arial"/>
          <w:szCs w:val="18"/>
        </w:rPr>
      </w:pPr>
      <w:r>
        <w:t>c)</w:t>
      </w:r>
      <w:r>
        <w:tab/>
        <w:t>le zone di raccolta sono libere da componenti d'arredamento, fissi o mobili;</w:t>
      </w:r>
    </w:p>
    <w:p w:rsidR="00973DAA" w:rsidRPr="00C903F8" w:rsidRDefault="0029453D" w:rsidP="004A3862">
      <w:pPr>
        <w:pStyle w:val="ESlet"/>
        <w:rPr>
          <w:rFonts w:eastAsia="Calibri" w:cs="Arial"/>
          <w:szCs w:val="18"/>
        </w:rPr>
      </w:pPr>
      <w:r>
        <w:t>d)</w:t>
      </w:r>
      <w:r>
        <w:tab/>
        <w:t>se componenti d'arredamento mobili sono posizionati in un locale in cui sono predisposte zone di raccolta, sono adeguatamente fissati in maniera da evitare slittamenti;</w:t>
      </w:r>
    </w:p>
    <w:p w:rsidR="00973DAA" w:rsidRPr="00C903F8" w:rsidRDefault="0029453D" w:rsidP="004A3862">
      <w:pPr>
        <w:pStyle w:val="ESlet"/>
        <w:rPr>
          <w:rFonts w:eastAsia="Calibri" w:cs="Arial"/>
          <w:szCs w:val="18"/>
        </w:rPr>
      </w:pPr>
      <w:r>
        <w:t>e)</w:t>
      </w:r>
      <w:r>
        <w:tab/>
        <w:t>se in un locale in cui sono definite zone di raccolta vi sono sedili o panche fissi non è necessario considerare il numero corrispondente di persone nel calcolo dell'area totale delle zone di raccolta ai sensi della lettera a). Tuttavia, il numero di persone per le quali si considerano i sedili o le panche fissi in un determinato locale non deve superare il numero delle persone per le quali sono disponibili zone di raccolta in questo locale;</w:t>
      </w:r>
    </w:p>
    <w:p w:rsidR="00973DAA" w:rsidRPr="00C903F8" w:rsidRDefault="0029453D" w:rsidP="004A3862">
      <w:pPr>
        <w:pStyle w:val="ESlet"/>
        <w:rPr>
          <w:rFonts w:eastAsia="Calibri" w:cs="Arial"/>
          <w:szCs w:val="18"/>
        </w:rPr>
      </w:pPr>
      <w:r>
        <w:t>f)</w:t>
      </w:r>
      <w:r>
        <w:tab/>
        <w:t>i mezzi di salvataggio sono facilmente accessibili dalle zone di evacuazione;</w:t>
      </w:r>
    </w:p>
    <w:p w:rsidR="00973DAA" w:rsidRPr="00C903F8" w:rsidRDefault="0029453D" w:rsidP="004A3862">
      <w:pPr>
        <w:pStyle w:val="ESlet"/>
        <w:rPr>
          <w:rFonts w:eastAsia="Calibri" w:cs="Arial"/>
          <w:szCs w:val="18"/>
        </w:rPr>
      </w:pPr>
      <w:r>
        <w:t>g)</w:t>
      </w:r>
      <w:r>
        <w:tab/>
        <w:t>è possibile evacuare in maniera sicura le persone che si trovano in queste zone di raccolta, utilizzando una o l'altra delle due fiancate della nave;</w:t>
      </w:r>
    </w:p>
    <w:p w:rsidR="00973DAA" w:rsidRPr="00C903F8" w:rsidRDefault="0029453D" w:rsidP="004A3862">
      <w:pPr>
        <w:pStyle w:val="ESlet"/>
        <w:rPr>
          <w:rFonts w:eastAsia="Calibri" w:cs="Arial"/>
          <w:szCs w:val="18"/>
        </w:rPr>
      </w:pPr>
      <w:r>
        <w:t>h)</w:t>
      </w:r>
      <w:r>
        <w:tab/>
        <w:t>le zone di raccolta sono situate al di sopra della linea limite;</w:t>
      </w:r>
    </w:p>
    <w:p w:rsidR="00973DAA" w:rsidRPr="00C903F8" w:rsidRDefault="0029453D" w:rsidP="004A3862">
      <w:pPr>
        <w:pStyle w:val="ESlet"/>
        <w:rPr>
          <w:rFonts w:eastAsia="Calibri" w:cs="Arial"/>
          <w:szCs w:val="18"/>
        </w:rPr>
      </w:pPr>
      <w:r>
        <w:t>i)</w:t>
      </w:r>
      <w:r>
        <w:tab/>
        <w:t>le zone di raccolta e di evacuazione devono essere indicate come tali nel piano di sicurezza e segnalate a bordo della nave;</w:t>
      </w:r>
    </w:p>
    <w:p w:rsidR="00973DAA" w:rsidRPr="00C903F8" w:rsidRDefault="0029453D" w:rsidP="004A3862">
      <w:pPr>
        <w:pStyle w:val="ESlet"/>
        <w:rPr>
          <w:rFonts w:eastAsia="Calibri" w:cs="Arial"/>
          <w:szCs w:val="18"/>
        </w:rPr>
      </w:pPr>
      <w:r>
        <w:t>j)</w:t>
      </w:r>
      <w:r>
        <w:tab/>
        <w:t>le disposizioni delle lettere d) ed e) si applicano anche ai ponti aperti su cui sono definite zone di raccolta;</w:t>
      </w:r>
    </w:p>
    <w:p w:rsidR="00973DAA" w:rsidRPr="00C903F8" w:rsidRDefault="0029453D" w:rsidP="004A3862">
      <w:pPr>
        <w:pStyle w:val="ESlet"/>
        <w:rPr>
          <w:rFonts w:eastAsia="Calibri" w:cs="Arial"/>
          <w:szCs w:val="18"/>
        </w:rPr>
      </w:pPr>
      <w:r>
        <w:t>k)</w:t>
      </w:r>
      <w:r>
        <w:tab/>
        <w:t>se a bordo sono disponibili mezzi di salvataggio collettivi conformi all'articolo 19.09, paragrafo 5, non è necessario tenere conto del numero delle persone per cui tali mezzi sono disponibili nel calcolo della superficie totale delle zone di raccolta di cui alla lettera a);</w:t>
      </w:r>
    </w:p>
    <w:p w:rsidR="00973DAA" w:rsidRPr="00C903F8" w:rsidRDefault="0029453D" w:rsidP="004A3862">
      <w:pPr>
        <w:pStyle w:val="ESlet"/>
        <w:rPr>
          <w:rFonts w:eastAsia="Calibri" w:cs="Arial"/>
          <w:szCs w:val="18"/>
        </w:rPr>
      </w:pPr>
      <w:r>
        <w:t>l)</w:t>
      </w:r>
      <w:r>
        <w:tab/>
        <w:t>tuttavia, in tutti i casi in cui si applicano le riduzioni di cui alle lettere e), j) e k), l'area totale indicata alla lettera a) deve essere sufficiente per almeno il 50 % del numero massimo di passeggeri consentito.</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9.</w:t>
      </w:r>
      <w:r>
        <w:tab/>
        <w:t>Le scale e i relativi pianerottoli nelle zone passeggeri sono conformi ai seguenti requisiti:</w:t>
      </w:r>
    </w:p>
    <w:p w:rsidR="00973DAA" w:rsidRPr="00C903F8" w:rsidRDefault="005C7859" w:rsidP="004A3862">
      <w:pPr>
        <w:pStyle w:val="ESlet"/>
        <w:rPr>
          <w:rFonts w:eastAsia="Calibri" w:cs="Arial"/>
          <w:szCs w:val="18"/>
        </w:rPr>
      </w:pPr>
      <w:r>
        <w:t>a)</w:t>
      </w:r>
      <w:r>
        <w:tab/>
        <w:t>sono costruiti in conformità della norma europea EN 13056:2000;</w:t>
      </w:r>
    </w:p>
    <w:p w:rsidR="00973DAA" w:rsidRPr="00C903F8" w:rsidRDefault="005C7859" w:rsidP="004A3862">
      <w:pPr>
        <w:pStyle w:val="ESlet"/>
        <w:rPr>
          <w:rFonts w:eastAsia="Calibri" w:cs="Arial"/>
          <w:szCs w:val="18"/>
        </w:rPr>
      </w:pPr>
      <w:r>
        <w:t>b)</w:t>
      </w:r>
      <w:r>
        <w:tab/>
        <w:t>hanno un'ampiezza libera di almeno 0,80 m o, se conducono a corridoi di comunicazione o a zone utilizzate da più di 80 passeggeri, di almeno 0,01 m per passeggero;</w:t>
      </w:r>
    </w:p>
    <w:p w:rsidR="00973DAA" w:rsidRPr="00C903F8" w:rsidRDefault="005C7859" w:rsidP="004A3862">
      <w:pPr>
        <w:pStyle w:val="ESlet"/>
        <w:rPr>
          <w:rFonts w:eastAsia="Calibri" w:cs="Arial"/>
          <w:szCs w:val="18"/>
        </w:rPr>
      </w:pPr>
      <w:r>
        <w:t>c)</w:t>
      </w:r>
      <w:r>
        <w:tab/>
        <w:t>se costituiscono il solo mezzo di accesso a un locale destinato ai passeggeri hanno un'ampiezza libera di almeno 1,00 m;</w:t>
      </w:r>
    </w:p>
    <w:p w:rsidR="00973DAA" w:rsidRPr="00C903F8" w:rsidRDefault="0029453D" w:rsidP="004A3862">
      <w:pPr>
        <w:pStyle w:val="ESlet"/>
        <w:rPr>
          <w:rFonts w:eastAsia="Calibri" w:cs="Arial"/>
          <w:szCs w:val="18"/>
        </w:rPr>
      </w:pPr>
      <w:r>
        <w:t>d)</w:t>
      </w:r>
      <w:r>
        <w:tab/>
        <w:t>quando all'interno dello stesso locale non ci sia almeno una scala da ciascun lato della nave, sono situati nella zona sicura;</w:t>
      </w:r>
    </w:p>
    <w:p w:rsidR="00973DAA" w:rsidRPr="00C903F8" w:rsidRDefault="0029453D" w:rsidP="004A3862">
      <w:pPr>
        <w:pStyle w:val="ESlet"/>
        <w:rPr>
          <w:rFonts w:eastAsia="Calibri" w:cs="Arial"/>
          <w:szCs w:val="18"/>
        </w:rPr>
      </w:pPr>
      <w:r>
        <w:t>e)</w:t>
      </w:r>
      <w:r>
        <w:tab/>
        <w:t>inoltre, le scale destinate all'uso delle persone a mobilità ridotta sono conformi ai requisiti seguenti:</w:t>
      </w:r>
    </w:p>
    <w:p w:rsidR="00973DAA" w:rsidRPr="00C903F8" w:rsidRDefault="0029453D" w:rsidP="004A3862">
      <w:pPr>
        <w:pStyle w:val="EStiret"/>
        <w:rPr>
          <w:rFonts w:eastAsia="Calibri" w:cs="Arial"/>
          <w:szCs w:val="18"/>
        </w:rPr>
      </w:pPr>
      <w:r>
        <w:t>aa)</w:t>
      </w:r>
      <w:r>
        <w:tab/>
        <w:t>la pendenza delle scale non supera 38°;</w:t>
      </w:r>
    </w:p>
    <w:p w:rsidR="00973DAA" w:rsidRPr="00C903F8" w:rsidRDefault="00973DAA" w:rsidP="004A3862">
      <w:pPr>
        <w:pStyle w:val="EStiret"/>
        <w:rPr>
          <w:rFonts w:eastAsia="Calibri" w:cs="Arial"/>
          <w:szCs w:val="18"/>
        </w:rPr>
      </w:pPr>
      <w:r>
        <w:t>bb)</w:t>
      </w:r>
      <w:r>
        <w:tab/>
        <w:t>le scale hanno un'ampiezza libera di almeno 0,90 m;</w:t>
      </w:r>
    </w:p>
    <w:p w:rsidR="00FB0A98" w:rsidRPr="00C903F8" w:rsidRDefault="00FB0A98" w:rsidP="004A3862">
      <w:pPr>
        <w:pStyle w:val="EStiret"/>
        <w:rPr>
          <w:rFonts w:eastAsia="Calibri"/>
        </w:rPr>
      </w:pPr>
      <w:r>
        <w:br w:type="page"/>
      </w:r>
    </w:p>
    <w:p w:rsidR="00973DAA" w:rsidRPr="00C903F8" w:rsidRDefault="00973DAA" w:rsidP="004A3862">
      <w:pPr>
        <w:pStyle w:val="EStiret"/>
        <w:rPr>
          <w:rFonts w:eastAsia="Calibri" w:cs="Arial"/>
          <w:szCs w:val="18"/>
        </w:rPr>
      </w:pPr>
      <w:r>
        <w:lastRenderedPageBreak/>
        <w:t>cc)</w:t>
      </w:r>
      <w:r>
        <w:tab/>
        <w:t>non sono ammesse scale a chiocciola;</w:t>
      </w:r>
    </w:p>
    <w:p w:rsidR="00973DAA" w:rsidRPr="00C903F8" w:rsidRDefault="00973DAA" w:rsidP="004A3862">
      <w:pPr>
        <w:pStyle w:val="EStiret"/>
        <w:rPr>
          <w:rFonts w:eastAsia="Calibri" w:cs="Arial"/>
          <w:szCs w:val="18"/>
        </w:rPr>
      </w:pPr>
      <w:r>
        <w:t>dd)</w:t>
      </w:r>
      <w:r>
        <w:tab/>
        <w:t>le scale non sono posizionate in una direzione trasversale rispetto alla nave;</w:t>
      </w:r>
    </w:p>
    <w:p w:rsidR="00973DAA" w:rsidRPr="00C903F8" w:rsidRDefault="00973DAA" w:rsidP="004A3862">
      <w:pPr>
        <w:pStyle w:val="EStiret"/>
        <w:rPr>
          <w:rFonts w:eastAsia="Calibri" w:cs="Arial"/>
          <w:szCs w:val="18"/>
        </w:rPr>
      </w:pPr>
      <w:r>
        <w:t>ee)</w:t>
      </w:r>
      <w:r>
        <w:tab/>
        <w:t>i corrimano delle scale si prolungano di circa 0,30 m oltre la parte superiore e quella inferiore delle scale senza restringere le vie di comunicazione;</w:t>
      </w:r>
    </w:p>
    <w:p w:rsidR="00973DAA" w:rsidRPr="00C903F8" w:rsidRDefault="00973DAA" w:rsidP="004A3862">
      <w:pPr>
        <w:pStyle w:val="EStiret"/>
        <w:rPr>
          <w:rFonts w:eastAsia="Calibri" w:cs="Arial"/>
          <w:szCs w:val="18"/>
        </w:rPr>
      </w:pPr>
      <w:r>
        <w:t>ff)</w:t>
      </w:r>
      <w:r>
        <w:tab/>
        <w:t>i corrimano, le parti anteriori almeno del primo e dell'ultimo gradino nonché le coperture del pavimento all'estremità delle scale sono evidenziati tramite colore.</w:t>
      </w:r>
    </w:p>
    <w:p w:rsidR="00973DAA" w:rsidRPr="00C903F8" w:rsidRDefault="00973DAA" w:rsidP="00F50FB5">
      <w:pPr>
        <w:pStyle w:val="ESletpar"/>
        <w:rPr>
          <w:rFonts w:eastAsia="Calibri" w:cs="Arial"/>
          <w:szCs w:val="18"/>
        </w:rPr>
      </w:pPr>
      <w:r>
        <w:t>Gli ascensori destinati alle persone a mobilità ridotta, e le attrezzature di sollevamento, come gli elevatori su rampa o le piattaforme di sollevamento, sono costruiti conformemente a una norma pertinente o a un regolamento di uno Stato membro.</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10.</w:t>
      </w:r>
      <w:r>
        <w:tab/>
        <w:t>Le parti del ponte destinate ai passeggeri, e non costituite da spazi chiusi, sono conformi ai seguenti requisiti:</w:t>
      </w:r>
    </w:p>
    <w:p w:rsidR="00973DAA" w:rsidRPr="00C903F8" w:rsidRDefault="005C7859" w:rsidP="004A3862">
      <w:pPr>
        <w:pStyle w:val="ESlet"/>
        <w:rPr>
          <w:rFonts w:eastAsia="Calibri" w:cs="Arial"/>
          <w:szCs w:val="18"/>
        </w:rPr>
      </w:pPr>
      <w:r>
        <w:t>a)</w:t>
      </w:r>
      <w:r>
        <w:tab/>
      </w:r>
      <w:r>
        <w:rPr>
          <w:rFonts w:ascii="ArialMT" w:hAnsi="ArialMT"/>
        </w:rPr>
        <w:t>sono circondate da una impavesata o da un guardacorpo fissi con un'altezza di almeno 1,00 m o da una ringhiera in conformità della norma europea EN 711:2016, costruzione tipo PF, PG o PZ. Le impavesate e le ringhiere dei ponti destinati all'uso delle persone a mobilità ridotta sono alte almeno 1,10 m</w:t>
      </w:r>
      <w:r>
        <w:t>;</w:t>
      </w:r>
    </w:p>
    <w:p w:rsidR="00973DAA" w:rsidRPr="00C903F8" w:rsidRDefault="005C7859" w:rsidP="004A3862">
      <w:pPr>
        <w:pStyle w:val="ESlet"/>
        <w:rPr>
          <w:rFonts w:eastAsia="Calibri" w:cs="Arial"/>
          <w:szCs w:val="18"/>
        </w:rPr>
      </w:pPr>
      <w:r>
        <w:t>b)</w:t>
      </w:r>
      <w:r>
        <w:tab/>
        <w:t>le aperture e l'attrezzatura per l'imbarco e lo sbarco ed anche le aperture per il carico e lo scarico devono poter essere munite di un dispositivo di sicurezza e avere un'ampiezza libera di almeno 1,00 m. Le aperture normalmente utilizzate per l'imbarco e lo sbarco delle persone a mobilità ridotta hanno un'ampiezza libera di almeno 1,50 m;</w:t>
      </w:r>
    </w:p>
    <w:p w:rsidR="00973DAA" w:rsidRPr="00C903F8" w:rsidRDefault="005C7859" w:rsidP="004A3862">
      <w:pPr>
        <w:pStyle w:val="ESlet"/>
        <w:rPr>
          <w:rFonts w:eastAsia="Calibri" w:cs="Arial"/>
          <w:szCs w:val="18"/>
        </w:rPr>
      </w:pPr>
      <w:r>
        <w:t>c)</w:t>
      </w:r>
      <w:r>
        <w:tab/>
        <w:t>se le aperture e l'attrezzatura per l'imbarco e lo sbarco non possono essere visibili dalla timoneria, sono previsti dispositivi ausiliari adeguati;</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11.</w:t>
      </w:r>
      <w:r>
        <w:tab/>
        <w:t>Le zone della nave non destinate ai passeggeri, in particolare l'accesso alla timoneria, ai verricelli e alle sale macchine devono essere protetti contro l'ingresso di persone non autorizzate. Ogni accesso a queste zone è munito, in un punto ben visibile, di un pittogramma corrispondente alla figura 1 nell'allegato 4.</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12.</w:t>
      </w:r>
      <w:r>
        <w:tab/>
        <w:t>Le passerelle sono costruite in conformità della norma europea EN 14206:2003. In deroga all'articolo 13.02, paragrafo 3, lettera d), la loro lunghezza può essere inferiore a 4 m.</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13.</w:t>
      </w:r>
      <w:r>
        <w:tab/>
        <w:t>Le zona di passaggio destinate all'uso da parte di persone a mobilità ridotta hanno un'ampiezza libera di 1,30 m e sono prive di soglie e mastre di altezza superiore a 0,025 m. Le parete nelle zone di passaggio destinate all'uso da parte di persone a mobilità ridotta sono dotate di corrimano a un'altezza di 0,90 m dal pavimento.</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14.</w:t>
      </w:r>
      <w:r>
        <w:tab/>
        <w:t>Le porte e le pareti di vetro nelle zone di passaggio e anche i vetri delle finestre sono in vetro temprato o laminato. Possono anche essere di un materiale sintetico purché il suo uso sia ammesso nel contesto della protezione contro gli incendi.</w:t>
      </w:r>
    </w:p>
    <w:p w:rsidR="004A3862" w:rsidRPr="00C903F8" w:rsidRDefault="004A3862" w:rsidP="00973DAA">
      <w:pPr>
        <w:pStyle w:val="ESch"/>
        <w:rPr>
          <w:rFonts w:eastAsia="Calibri"/>
          <w:noProof/>
        </w:rPr>
      </w:pPr>
    </w:p>
    <w:p w:rsidR="00973DAA" w:rsidRPr="00C903F8" w:rsidRDefault="00973DAA" w:rsidP="004A3862">
      <w:pPr>
        <w:pStyle w:val="ESchpar"/>
        <w:rPr>
          <w:rFonts w:eastAsia="Calibri" w:cs="Arial"/>
          <w:szCs w:val="18"/>
        </w:rPr>
      </w:pPr>
      <w:r>
        <w:t>Le porte e le pareti trasparenti che arrivano al pavimento nelle zone di passaggio sono segnalate in maniera visibile.</w:t>
      </w:r>
    </w:p>
    <w:p w:rsidR="004A3862" w:rsidRPr="00C903F8" w:rsidRDefault="004A3862" w:rsidP="00973DAA">
      <w:pPr>
        <w:pStyle w:val="ESch"/>
        <w:rPr>
          <w:rFonts w:eastAsia="Calibri" w:cs="Arial"/>
          <w:color w:val="000000"/>
          <w:szCs w:val="20"/>
        </w:rPr>
      </w:pPr>
    </w:p>
    <w:p w:rsidR="00B72823" w:rsidRPr="00C903F8" w:rsidRDefault="00B72823" w:rsidP="00973DAA">
      <w:pPr>
        <w:pStyle w:val="ESch"/>
        <w:rPr>
          <w:rFonts w:eastAsia="Calibri" w:cs="Arial"/>
          <w:color w:val="000000"/>
          <w:szCs w:val="20"/>
        </w:rPr>
      </w:pPr>
      <w:r>
        <w:br w:type="page"/>
      </w:r>
    </w:p>
    <w:p w:rsidR="00973DAA" w:rsidRPr="00C903F8" w:rsidRDefault="00973DAA" w:rsidP="00973DAA">
      <w:pPr>
        <w:pStyle w:val="ESch"/>
        <w:rPr>
          <w:rFonts w:eastAsia="Calibri" w:cs="Arial"/>
          <w:szCs w:val="18"/>
        </w:rPr>
      </w:pPr>
      <w:r>
        <w:rPr>
          <w:color w:val="000000"/>
        </w:rPr>
        <w:lastRenderedPageBreak/>
        <w:t>15.</w:t>
      </w:r>
      <w:r>
        <w:tab/>
      </w:r>
      <w:r>
        <w:rPr>
          <w:color w:val="000000"/>
        </w:rPr>
        <w:t>Le sovrastrutture (o le loro coperture) consistenti interamente in vetri panoramici, ripari creati da tende o installazioni mobili simili, unitamente alle loro sottostrutture, sono costruiti unicamente in maniera tale da fare sì che il modo in cui sono costruiti e i materiali impiegati non comportino alcun rischio di lesioni alle persone a bordo in caso di danno.</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16.</w:t>
      </w:r>
      <w:r>
        <w:tab/>
        <w:t>Gli impianti di acqua potabile sono almeno conformi ai requisiti di cui all'articolo 15.05.</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17.</w:t>
      </w:r>
      <w:r>
        <w:tab/>
        <w:t>A bordo delle navi devono essere previsti dei locali igienici a disposizione dei passeggeri. Almeno uno dei locali igienici è progettato per essere accessibile alle persone a mobilità ridotta conformemente a una norma pertinente o a un regolamento di uno Stato membro ed è accessibile dalle zone destinate all'uso delle persone a mobilità ridotta.</w:t>
      </w:r>
    </w:p>
    <w:p w:rsidR="004A3862" w:rsidRPr="00C903F8" w:rsidRDefault="004A3862" w:rsidP="00973DAA">
      <w:pPr>
        <w:pStyle w:val="ESch"/>
        <w:rPr>
          <w:rFonts w:eastAsia="Calibri"/>
          <w:noProof/>
        </w:rPr>
      </w:pPr>
    </w:p>
    <w:p w:rsidR="00973DAA" w:rsidRPr="00C903F8" w:rsidRDefault="00B72823" w:rsidP="00973DAA">
      <w:pPr>
        <w:pStyle w:val="ESch"/>
        <w:rPr>
          <w:rFonts w:eastAsia="Calibri" w:cs="Arial"/>
          <w:szCs w:val="18"/>
        </w:rPr>
      </w:pPr>
      <w:r>
        <w:t>18.</w:t>
      </w:r>
      <w:r>
        <w:tab/>
        <w:t>Le cabine senza una finestra apribile sono collegate a un sistema di ventilazione.</w:t>
      </w:r>
    </w:p>
    <w:p w:rsidR="004A3862" w:rsidRPr="00C903F8" w:rsidRDefault="004A3862" w:rsidP="00973DAA">
      <w:pPr>
        <w:pStyle w:val="ESch"/>
        <w:rPr>
          <w:rFonts w:eastAsia="Calibri"/>
          <w:noProof/>
        </w:rPr>
      </w:pPr>
    </w:p>
    <w:p w:rsidR="00973DAA" w:rsidRPr="00C903F8" w:rsidRDefault="00973DAA" w:rsidP="00973DAA">
      <w:pPr>
        <w:pStyle w:val="ESch"/>
        <w:rPr>
          <w:rFonts w:eastAsia="Calibri" w:cs="Arial"/>
          <w:szCs w:val="18"/>
        </w:rPr>
      </w:pPr>
      <w:r>
        <w:t>19.</w:t>
      </w:r>
      <w:r>
        <w:tab/>
        <w:t>Per analogia, i locali in cui alloggiano i membri dell'equipaggio o il personale di bordo sono conformi alle disposizioni del presente articolo.</w:t>
      </w:r>
    </w:p>
    <w:p w:rsidR="00973DAA" w:rsidRPr="00C903F8" w:rsidRDefault="00973DAA" w:rsidP="00973DAA">
      <w:pPr>
        <w:pStyle w:val="ESch"/>
        <w:rPr>
          <w:rFonts w:eastAsia="Calibri" w:cs="Arial"/>
          <w:szCs w:val="18"/>
        </w:rPr>
      </w:pPr>
    </w:p>
    <w:p w:rsidR="00B72823" w:rsidRPr="00C903F8" w:rsidRDefault="00B72823" w:rsidP="00973DAA">
      <w:pPr>
        <w:pStyle w:val="ESch"/>
        <w:rPr>
          <w:rFonts w:eastAsia="Calibri" w:cs="Arial"/>
          <w:szCs w:val="18"/>
        </w:rPr>
      </w:pPr>
    </w:p>
    <w:p w:rsidR="00973DAA" w:rsidRPr="00C903F8" w:rsidRDefault="00973DAA" w:rsidP="00B72823">
      <w:pPr>
        <w:pStyle w:val="ES-Titre3"/>
        <w:rPr>
          <w:i/>
          <w:noProof/>
        </w:rPr>
      </w:pPr>
      <w:bookmarkStart w:id="358" w:name="_Toc491854176"/>
      <w:bookmarkStart w:id="359" w:name="_Toc535500125"/>
      <w:r>
        <w:t>Articolo 19.07</w:t>
      </w:r>
      <w:r>
        <w:br/>
      </w:r>
      <w:r>
        <w:rPr>
          <w:i/>
          <w:noProof/>
        </w:rPr>
        <w:t>Sistema di propulsione</w:t>
      </w:r>
      <w:bookmarkEnd w:id="358"/>
      <w:bookmarkEnd w:id="359"/>
    </w:p>
    <w:p w:rsidR="00B72823" w:rsidRPr="00C903F8" w:rsidRDefault="00B72823" w:rsidP="00973DAA">
      <w:pPr>
        <w:pStyle w:val="ESch"/>
        <w:rPr>
          <w:rFonts w:eastAsia="Calibri"/>
          <w:noProof/>
        </w:rPr>
      </w:pPr>
    </w:p>
    <w:p w:rsidR="00973DAA" w:rsidRPr="00C903F8" w:rsidRDefault="00973DAA" w:rsidP="00973DAA">
      <w:pPr>
        <w:pStyle w:val="ESch"/>
        <w:rPr>
          <w:rFonts w:eastAsia="Calibri"/>
          <w:noProof/>
        </w:rPr>
      </w:pPr>
      <w:r>
        <w:t>1.</w:t>
      </w:r>
      <w:r>
        <w:tab/>
        <w:t>In aggiunta al sistema di propulsione principale, le navi sono munite di un secondo sistema di propulsione indipendente in modo da assicurare che, in caso di avaria del sistema di propulsione principale, la nave possa continuare il percorso con mezzi propri.</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noProof/>
        </w:rPr>
      </w:pPr>
      <w:r>
        <w:t>2.</w:t>
      </w:r>
      <w:r>
        <w:tab/>
        <w:t>Il secondo sistema di propulsione indipendente è installato in una sala macchine separata. Se le due sale macchine hanno paratie comuni, queste sono costruite in conformità dell'articolo 19.11, paragrafo 2.</w:t>
      </w:r>
    </w:p>
    <w:p w:rsidR="00973DAA" w:rsidRPr="00C903F8" w:rsidRDefault="00973DAA" w:rsidP="00973DAA">
      <w:pPr>
        <w:pStyle w:val="ESch"/>
        <w:rPr>
          <w:rFonts w:eastAsia="Calibri" w:cs="Arial"/>
          <w:szCs w:val="18"/>
        </w:rPr>
      </w:pPr>
    </w:p>
    <w:p w:rsidR="00B72823" w:rsidRPr="00C903F8" w:rsidRDefault="00B72823" w:rsidP="00973DAA">
      <w:pPr>
        <w:pStyle w:val="ESch"/>
        <w:rPr>
          <w:rFonts w:eastAsia="Calibri" w:cs="Arial"/>
          <w:szCs w:val="18"/>
        </w:rPr>
      </w:pPr>
    </w:p>
    <w:p w:rsidR="00973DAA" w:rsidRPr="00C903F8" w:rsidRDefault="00973DAA" w:rsidP="00B72823">
      <w:pPr>
        <w:pStyle w:val="ES-Titre3"/>
        <w:rPr>
          <w:rFonts w:cs="Arial"/>
          <w:i/>
          <w:szCs w:val="18"/>
        </w:rPr>
      </w:pPr>
      <w:bookmarkStart w:id="360" w:name="_Toc491854177"/>
      <w:bookmarkStart w:id="361" w:name="_Toc535500126"/>
      <w:r>
        <w:t>Articolo 19.08</w:t>
      </w:r>
      <w:r>
        <w:br/>
      </w:r>
      <w:r>
        <w:rPr>
          <w:i/>
          <w:noProof/>
        </w:rPr>
        <w:t>Impianti e mezzi di sicurezza</w:t>
      </w:r>
      <w:bookmarkEnd w:id="360"/>
      <w:bookmarkEnd w:id="361"/>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 xml:space="preserve">1. </w:t>
      </w:r>
      <w:r>
        <w:tab/>
        <w:t>Tutte le navi da passeggeri hanno un servizio di comunicazione interna in conformità dell'articolo 7.08. Tale servizio è disponibile anche nei locali di servizio e - in mancanza di comunicazione diretta con il posto di pilotaggio - nelle zone di accesso e di raccolta per i passeggeri di cui all'articolo 19.06, paragrafo 8.</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2.</w:t>
      </w:r>
      <w:r>
        <w:tab/>
        <w:t>Tutte le zone destinate ai passeggeri sono raggiungibili per mezzo di un sistema di altoparlanti. Il sistema è configurato in modo tale da assicurare che le informazioni trasmesse possano essere chiaramente distinte dal rumore di fondo. Gli altoparlanti sono facoltativi quando è possibile la comunicazione diretta tra la timoneria e la zona destinata ai passeggeri.</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3.</w:t>
      </w:r>
      <w:r>
        <w:tab/>
        <w:t>La nave è munita di un sistema d'allarme. Esso include:</w:t>
      </w:r>
    </w:p>
    <w:p w:rsidR="00973DAA" w:rsidRPr="00C903F8" w:rsidRDefault="005C7859" w:rsidP="00B72823">
      <w:pPr>
        <w:pStyle w:val="ESlet"/>
        <w:rPr>
          <w:rFonts w:eastAsia="Calibri" w:cs="Arial"/>
          <w:szCs w:val="18"/>
        </w:rPr>
      </w:pPr>
      <w:r>
        <w:t>a)</w:t>
      </w:r>
      <w:r>
        <w:tab/>
        <w:t>un impianto di allarme che permetta ai passeggeri, ai membri dell'equipaggio e al personale di bordo di dare l'allarme al personale di comando e all'equipaggio della nave.</w:t>
      </w:r>
    </w:p>
    <w:p w:rsidR="00973DAA" w:rsidRPr="00C903F8" w:rsidRDefault="00973DAA" w:rsidP="00B72823">
      <w:pPr>
        <w:pStyle w:val="ESletpar"/>
        <w:rPr>
          <w:rFonts w:eastAsia="Calibri" w:cs="Arial"/>
          <w:szCs w:val="18"/>
        </w:rPr>
      </w:pPr>
      <w:r>
        <w:t>Tale allarme dovrebbe essere dato solo nei locali riservati al personale di comando della nave e all'equipaggio; dovrebbe poter essere disattivato solo dal personale di comando della nave. L'allarme deve poter essere azionato almeno nei punti che seguono:</w:t>
      </w:r>
    </w:p>
    <w:p w:rsidR="00973DAA" w:rsidRPr="00C903F8" w:rsidRDefault="0029453D" w:rsidP="00B72823">
      <w:pPr>
        <w:pStyle w:val="EStiret"/>
        <w:rPr>
          <w:rFonts w:eastAsia="Calibri" w:cs="Arial"/>
          <w:szCs w:val="18"/>
        </w:rPr>
      </w:pPr>
      <w:r>
        <w:t>aa)</w:t>
      </w:r>
      <w:r>
        <w:tab/>
        <w:t>in ciascuna cabina;</w:t>
      </w:r>
    </w:p>
    <w:p w:rsidR="00B72823" w:rsidRPr="00C903F8" w:rsidRDefault="00B72823" w:rsidP="00B72823">
      <w:pPr>
        <w:pStyle w:val="EStiret"/>
        <w:rPr>
          <w:rFonts w:eastAsia="Calibri"/>
        </w:rPr>
      </w:pPr>
    </w:p>
    <w:p w:rsidR="00B72823" w:rsidRPr="00C903F8" w:rsidRDefault="00B72823" w:rsidP="00B72823">
      <w:pPr>
        <w:pStyle w:val="EStiret"/>
        <w:rPr>
          <w:rFonts w:eastAsia="Calibri"/>
        </w:rPr>
      </w:pPr>
      <w:r>
        <w:br w:type="page"/>
      </w:r>
    </w:p>
    <w:p w:rsidR="00973DAA" w:rsidRPr="00C903F8" w:rsidRDefault="00973DAA" w:rsidP="00B72823">
      <w:pPr>
        <w:pStyle w:val="EStiret"/>
        <w:rPr>
          <w:rFonts w:eastAsia="Calibri" w:cs="Arial"/>
          <w:szCs w:val="18"/>
        </w:rPr>
      </w:pPr>
      <w:r>
        <w:lastRenderedPageBreak/>
        <w:t>bb)</w:t>
      </w:r>
      <w:r>
        <w:tab/>
        <w:t>nei corridoi, negli ascensori e nei vani scala, in modo che la distanza dal pulsante più vicino non superi 10 m, con almeno un pulsante per compartimento stagno all'acqua;</w:t>
      </w:r>
    </w:p>
    <w:p w:rsidR="00973DAA" w:rsidRPr="00C903F8" w:rsidRDefault="00973DAA" w:rsidP="00B72823">
      <w:pPr>
        <w:pStyle w:val="EStiret"/>
        <w:rPr>
          <w:rFonts w:eastAsia="Calibri" w:cs="Arial"/>
          <w:szCs w:val="18"/>
        </w:rPr>
      </w:pPr>
      <w:r>
        <w:t>cc)</w:t>
      </w:r>
      <w:r>
        <w:tab/>
        <w:t>nei saloni, nelle sale da pranzo e nei locali di soggiorno analoghi;</w:t>
      </w:r>
    </w:p>
    <w:p w:rsidR="00973DAA" w:rsidRPr="00C903F8" w:rsidRDefault="00973DAA" w:rsidP="00B72823">
      <w:pPr>
        <w:pStyle w:val="EStiret"/>
        <w:rPr>
          <w:rFonts w:eastAsia="Calibri" w:cs="Arial"/>
          <w:szCs w:val="18"/>
        </w:rPr>
      </w:pPr>
      <w:r>
        <w:t>dd)</w:t>
      </w:r>
      <w:r>
        <w:tab/>
        <w:t>nei locali igienici destinati alle persone a mobilità ridotta;</w:t>
      </w:r>
    </w:p>
    <w:p w:rsidR="00973DAA" w:rsidRPr="00C903F8" w:rsidRDefault="00973DAA" w:rsidP="00B72823">
      <w:pPr>
        <w:pStyle w:val="EStiret"/>
        <w:rPr>
          <w:rFonts w:eastAsia="Calibri" w:cs="Arial"/>
          <w:szCs w:val="18"/>
        </w:rPr>
      </w:pPr>
      <w:r>
        <w:t>ee)</w:t>
      </w:r>
      <w:r>
        <w:tab/>
        <w:t>nelle sale macchine, nelle cucine e in altri locali analoghi;</w:t>
      </w:r>
    </w:p>
    <w:p w:rsidR="00973DAA" w:rsidRPr="00C903F8" w:rsidRDefault="00B72823" w:rsidP="00B72823">
      <w:pPr>
        <w:pStyle w:val="EStiret"/>
        <w:rPr>
          <w:rFonts w:eastAsia="Calibri" w:cs="Arial"/>
          <w:szCs w:val="18"/>
        </w:rPr>
      </w:pPr>
      <w:r>
        <w:t>ff)</w:t>
      </w:r>
      <w:r>
        <w:tab/>
        <w:t>nelle celle frigorifere e negli altri magazzini.</w:t>
      </w:r>
    </w:p>
    <w:p w:rsidR="00973DAA" w:rsidRPr="00C903F8" w:rsidRDefault="00973DAA" w:rsidP="00B72823">
      <w:pPr>
        <w:pStyle w:val="ESletpar"/>
        <w:rPr>
          <w:rFonts w:eastAsia="Calibri" w:cs="Arial"/>
          <w:szCs w:val="18"/>
        </w:rPr>
      </w:pPr>
      <w:r>
        <w:t>I pulsanti di allarme sono installati a un'altezza da 0,85 a 1,10 m dal pavimento;</w:t>
      </w:r>
    </w:p>
    <w:p w:rsidR="00973DAA" w:rsidRPr="00C903F8" w:rsidRDefault="005C7859" w:rsidP="00B72823">
      <w:pPr>
        <w:pStyle w:val="ESlet"/>
        <w:rPr>
          <w:rFonts w:eastAsia="Calibri" w:cs="Arial"/>
          <w:szCs w:val="18"/>
        </w:rPr>
      </w:pPr>
      <w:r>
        <w:t>b)</w:t>
      </w:r>
      <w:r>
        <w:tab/>
        <w:t>un impianto d'allarme che permetta al personale di comando della nave di dare l'allarme ai passeggeri.</w:t>
      </w:r>
    </w:p>
    <w:p w:rsidR="00973DAA" w:rsidRPr="00C903F8" w:rsidRDefault="00973DAA" w:rsidP="00B72823">
      <w:pPr>
        <w:pStyle w:val="ESletpar"/>
        <w:rPr>
          <w:rFonts w:eastAsia="Calibri" w:cs="Arial"/>
          <w:szCs w:val="18"/>
        </w:rPr>
      </w:pPr>
      <w:r>
        <w:t>Tale allarme è chiaramente percettibile, senza possibilità di confusione, in tutti i locali accessibili ai passeggeri. Esso deve poter essere azionato dalla timoneria e da una postazione occupata in permanenza dal personale;</w:t>
      </w:r>
    </w:p>
    <w:p w:rsidR="00973DAA" w:rsidRPr="00C903F8" w:rsidRDefault="005C7859" w:rsidP="00B72823">
      <w:pPr>
        <w:pStyle w:val="ESlet"/>
        <w:rPr>
          <w:rFonts w:eastAsia="Calibri" w:cs="Arial"/>
          <w:szCs w:val="18"/>
        </w:rPr>
      </w:pPr>
      <w:r>
        <w:t>c)</w:t>
      </w:r>
      <w:r>
        <w:tab/>
        <w:t>un sistema d'allarme che permetta al personale di comando della nave di dare l'allarme all'equipaggio e al personale di bordo, di cui all'articolo 7.09, paragrafo 1.</w:t>
      </w:r>
    </w:p>
    <w:p w:rsidR="00973DAA" w:rsidRPr="00C903F8" w:rsidRDefault="00973DAA" w:rsidP="00B72823">
      <w:pPr>
        <w:pStyle w:val="ESletpar"/>
        <w:rPr>
          <w:rFonts w:eastAsia="Calibri" w:cs="Arial"/>
          <w:szCs w:val="18"/>
        </w:rPr>
      </w:pPr>
      <w:r>
        <w:t>Tale sistema d'allarme deve anche raggiungere i locali di soggiorno per il personale di bordo, le celle frigorifere e gli altri magazzini.</w:t>
      </w:r>
    </w:p>
    <w:p w:rsidR="00B72823" w:rsidRPr="00C903F8" w:rsidRDefault="00B72823" w:rsidP="00B72823">
      <w:pPr>
        <w:pStyle w:val="ESchpar"/>
        <w:rPr>
          <w:rFonts w:eastAsia="Calibri"/>
          <w:noProof/>
        </w:rPr>
      </w:pPr>
    </w:p>
    <w:p w:rsidR="00973DAA" w:rsidRPr="00C903F8" w:rsidRDefault="00973DAA" w:rsidP="00B72823">
      <w:pPr>
        <w:pStyle w:val="ESchpar"/>
        <w:rPr>
          <w:rFonts w:eastAsia="Calibri" w:cs="Arial"/>
          <w:szCs w:val="18"/>
        </w:rPr>
      </w:pPr>
      <w:r>
        <w:t>I pulsanti per l'azionamento dell'allarme sono protetti contro un uso improprio.</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noProof/>
        </w:rPr>
      </w:pPr>
      <w:r>
        <w:t>4.</w:t>
      </w:r>
      <w:r>
        <w:tab/>
        <w:t>Ogni compartimento stagno è munito di un allarme per il livello della sentina.</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noProof/>
        </w:rPr>
      </w:pPr>
      <w:r>
        <w:t>5.</w:t>
      </w:r>
      <w:r>
        <w:tab/>
        <w:t>Sono installate due pompe di sentina motorizzate.</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noProof/>
        </w:rPr>
      </w:pPr>
      <w:r>
        <w:t>6.</w:t>
      </w:r>
      <w:r>
        <w:tab/>
        <w:t>È disponibile un impianto di esaurimento della sentina con tubatura installata in modo permanente.</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noProof/>
        </w:rPr>
      </w:pPr>
      <w:r>
        <w:t>7.</w:t>
      </w:r>
      <w:r>
        <w:tab/>
        <w:t>Le porte delle celle refrigerate, anche quando sono chiuse a chiave, devono anche poter essere aperte dall'interno.</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8.</w:t>
      </w:r>
      <w:r>
        <w:tab/>
        <w:t>Quando i sistemi di distribuzione di CO</w:t>
      </w:r>
      <w:r>
        <w:rPr>
          <w:noProof/>
          <w:vertAlign w:val="subscript"/>
        </w:rPr>
        <w:t>2</w:t>
      </w:r>
      <w:r>
        <w:t xml:space="preserve"> sono ubicati in locali situati al di sotto del ponte, questi locali sono attrezzati con un sistema di ventilazione automatico che si attiva all'apertura della porta o del boccaporto del locale. Le condotte di ventilazione escono a 0,05 m dal pavimento di questo locale.</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9.</w:t>
      </w:r>
      <w:r>
        <w:tab/>
        <w:t>In aggiunta alla cassetta di pronto soccorso in conformità dell'articolo 13.02, paragrafo 2, lettera f), sono fornite in numero sufficiente cassette di pronto soccorso supplementari. Le cassette di pronto soccorso e i luoghi in cui sono conservate sono conformi ai requisiti fissati all'articolo 13.02, paragrafo 2, lettera f).</w:t>
      </w:r>
    </w:p>
    <w:p w:rsidR="00973DAA" w:rsidRPr="00C903F8" w:rsidRDefault="00973DAA" w:rsidP="00973DAA">
      <w:pPr>
        <w:pStyle w:val="ESch"/>
        <w:rPr>
          <w:rFonts w:eastAsia="Calibri" w:cs="Arial"/>
          <w:szCs w:val="18"/>
        </w:rPr>
      </w:pPr>
    </w:p>
    <w:p w:rsidR="00B72823" w:rsidRPr="00C903F8" w:rsidRDefault="00B72823" w:rsidP="00973DAA">
      <w:pPr>
        <w:pStyle w:val="ESch"/>
        <w:rPr>
          <w:rFonts w:eastAsia="Calibri" w:cs="Arial"/>
          <w:szCs w:val="18"/>
        </w:rPr>
      </w:pPr>
    </w:p>
    <w:p w:rsidR="00973DAA" w:rsidRPr="00C903F8" w:rsidRDefault="00973DAA" w:rsidP="00B72823">
      <w:pPr>
        <w:pStyle w:val="ES-Titre3"/>
        <w:rPr>
          <w:rFonts w:cs="Arial"/>
          <w:i/>
          <w:szCs w:val="18"/>
        </w:rPr>
      </w:pPr>
      <w:bookmarkStart w:id="362" w:name="_Toc491854178"/>
      <w:bookmarkStart w:id="363" w:name="_Toc535500127"/>
      <w:r>
        <w:t>Articolo 19.09</w:t>
      </w:r>
      <w:r>
        <w:br/>
      </w:r>
      <w:r>
        <w:rPr>
          <w:i/>
          <w:noProof/>
        </w:rPr>
        <w:t>Mezzi di salvataggio</w:t>
      </w:r>
      <w:bookmarkEnd w:id="362"/>
      <w:bookmarkEnd w:id="363"/>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1.</w:t>
      </w:r>
      <w:r>
        <w:tab/>
        <w:t>In aggiunta ai salvagenti galleggianti di cui all'articolo 13.08, paragrafo 1, tutte le sezioni del ponte destinate ai passeggeri e non costituite da spazi chiusi sono attrezzate su ambo i lati della nave con salvagenti galleggianti ad una distanza non superiore a 20 m. I salvagenti galleggianti sono considerati adatti se sono conformi:</w:t>
      </w:r>
    </w:p>
    <w:p w:rsidR="00973DAA" w:rsidRPr="00C903F8" w:rsidRDefault="00973DAA" w:rsidP="00B72823">
      <w:pPr>
        <w:pStyle w:val="ESlet"/>
        <w:rPr>
          <w:rFonts w:eastAsia="Calibri" w:cs="Arial"/>
          <w:szCs w:val="18"/>
        </w:rPr>
      </w:pPr>
      <w:r>
        <w:t>-</w:t>
      </w:r>
      <w:r>
        <w:tab/>
        <w:t>alla norma europea EN 14144:2003; oppure</w:t>
      </w:r>
    </w:p>
    <w:p w:rsidR="00973DAA" w:rsidRPr="00C903F8" w:rsidRDefault="00973DAA" w:rsidP="00B72823">
      <w:pPr>
        <w:pStyle w:val="ESlet"/>
        <w:rPr>
          <w:rFonts w:eastAsia="Calibri"/>
          <w:noProof/>
        </w:rPr>
      </w:pPr>
      <w:r>
        <w:t>-</w:t>
      </w:r>
      <w:r>
        <w:tab/>
        <w:t>alla Convenzione internazionale per la salvaguardia della vita umana in mare (SOLAS 1974), capitolo III, regola 7.1, e al Codice internazionale relativo agli strumenti di salvataggio (LSA), paragrafo 2.1.</w:t>
      </w:r>
    </w:p>
    <w:p w:rsidR="00B72823" w:rsidRPr="00C903F8" w:rsidRDefault="00B72823" w:rsidP="00B72823">
      <w:pPr>
        <w:pStyle w:val="ESch"/>
        <w:rPr>
          <w:rFonts w:eastAsia="Calibri"/>
          <w:noProof/>
        </w:rPr>
      </w:pPr>
    </w:p>
    <w:p w:rsidR="00B72823" w:rsidRPr="00C903F8" w:rsidRDefault="00B72823" w:rsidP="00B72823">
      <w:pPr>
        <w:pStyle w:val="ESch"/>
        <w:rPr>
          <w:rFonts w:eastAsia="Calibri"/>
          <w:noProof/>
        </w:rPr>
      </w:pPr>
    </w:p>
    <w:p w:rsidR="00B72823" w:rsidRPr="00C903F8" w:rsidRDefault="00B72823" w:rsidP="00B72823">
      <w:pPr>
        <w:pStyle w:val="ESch"/>
        <w:rPr>
          <w:rFonts w:eastAsia="Calibri" w:cs="Arial"/>
          <w:szCs w:val="18"/>
        </w:rPr>
      </w:pPr>
    </w:p>
    <w:p w:rsidR="00B72823" w:rsidRPr="00C903F8" w:rsidRDefault="00B72823" w:rsidP="00973DAA">
      <w:pPr>
        <w:pStyle w:val="ESch"/>
        <w:rPr>
          <w:rFonts w:eastAsia="Calibri"/>
          <w:noProof/>
        </w:rPr>
      </w:pPr>
      <w:r>
        <w:br w:type="page"/>
      </w:r>
    </w:p>
    <w:p w:rsidR="00973DAA" w:rsidRPr="00C903F8" w:rsidRDefault="00973DAA" w:rsidP="00B72823">
      <w:pPr>
        <w:pStyle w:val="ESchpar"/>
        <w:rPr>
          <w:rFonts w:eastAsia="Calibri" w:cs="Arial"/>
          <w:szCs w:val="18"/>
        </w:rPr>
      </w:pPr>
      <w:r>
        <w:lastRenderedPageBreak/>
        <w:t>La metà dei salvagenti galleggianti prescritti è attrezzata con una corda galleggiante lunga almeno 30 m con un diametro compreso tra 8 e 11 mm. L'altra metà dei salvagenti galleggianti prescritti è attrezzata con una luce ad accensione automatica alimentata a batteria che non si spegne in acqua.</w:t>
      </w:r>
    </w:p>
    <w:p w:rsidR="00B72823" w:rsidRPr="00C903F8" w:rsidRDefault="00B72823" w:rsidP="00973DAA">
      <w:pPr>
        <w:pStyle w:val="ESch"/>
        <w:rPr>
          <w:rFonts w:eastAsia="Calibri"/>
          <w:noProof/>
        </w:rPr>
      </w:pPr>
    </w:p>
    <w:p w:rsidR="00973DAA" w:rsidRPr="00C903F8" w:rsidRDefault="00B72823" w:rsidP="00973DAA">
      <w:pPr>
        <w:pStyle w:val="ESch"/>
        <w:rPr>
          <w:rFonts w:eastAsia="Calibri" w:cs="Arial"/>
          <w:szCs w:val="18"/>
        </w:rPr>
      </w:pPr>
      <w:r>
        <w:t>2.</w:t>
      </w:r>
      <w:r>
        <w:tab/>
        <w:t>In aggiunta ai salvagenti galleggianti di cui al paragrafo 1, devono essere predisposti mezzi di salvataggio pronti all'uso per tutto il personale di bordo ai sensi dell'articolo 13.08, paragrafo 2. Per il personale di bordo che non assicura le funzioni previste dal piano di sicurezza sono consentiti salvagenti non gonfiabili o salvagenti gonfiabili semiautomatici secondo le norme di cui all'articolo 13.08, paragrafo 2.</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3.</w:t>
      </w:r>
      <w:r>
        <w:tab/>
        <w:t>Le navi da passeggeri hanno i mezzi adeguati per permettere alle persone di essere trasferite in sicurezza in acque poco profonde, a riva o su un'altra imbarcazione.</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4.</w:t>
      </w:r>
      <w:r>
        <w:tab/>
        <w:t>In aggiunta ai mezzi di salvataggio di cui ai paragrafi 1 e 2, mezzi di salvataggio individuali ai sensi dell'articolo 13.08, paragrafo 2, sono disponibili per il 100 % del numero massimo autorizzato di passeggeri. Sono autorizzati anche i giubbotti di salvataggio non gonfiabili o a gonfiamento semiautomatico ai sensi delle norme di cui all'articolo 13.08, paragrafo 2.</w:t>
      </w:r>
    </w:p>
    <w:p w:rsidR="00973DAA" w:rsidRPr="00C903F8" w:rsidRDefault="00973DAA" w:rsidP="00973DAA">
      <w:pPr>
        <w:pStyle w:val="ESch"/>
        <w:rPr>
          <w:rFonts w:eastAsia="Calibri" w:cs="Arial"/>
          <w:szCs w:val="18"/>
        </w:rPr>
      </w:pPr>
    </w:p>
    <w:p w:rsidR="00973DAA" w:rsidRPr="00C903F8" w:rsidRDefault="00973DAA" w:rsidP="00973DAA">
      <w:pPr>
        <w:pStyle w:val="ESch"/>
        <w:rPr>
          <w:rFonts w:eastAsia="Calibri" w:cs="Arial"/>
          <w:szCs w:val="18"/>
        </w:rPr>
      </w:pPr>
      <w:r>
        <w:t>5.</w:t>
      </w:r>
      <w:r>
        <w:tab/>
        <w:t>Il termine "mezzi di salvataggio collettivi" riguarda le lance, di cui all'articolo 13.07, e le zattere di salvataggio.</w:t>
      </w:r>
    </w:p>
    <w:p w:rsidR="00B72823" w:rsidRPr="00C903F8" w:rsidRDefault="00B72823" w:rsidP="00973DAA">
      <w:pPr>
        <w:pStyle w:val="ESch"/>
        <w:rPr>
          <w:rFonts w:eastAsia="Calibri"/>
          <w:noProof/>
        </w:rPr>
      </w:pPr>
    </w:p>
    <w:p w:rsidR="00973DAA" w:rsidRPr="00C903F8" w:rsidRDefault="00973DAA" w:rsidP="00B72823">
      <w:pPr>
        <w:pStyle w:val="ESchpar"/>
        <w:rPr>
          <w:rFonts w:eastAsia="Calibri" w:cs="Arial"/>
          <w:szCs w:val="18"/>
        </w:rPr>
      </w:pPr>
      <w:r>
        <w:t>Le zattere di salvataggio:</w:t>
      </w:r>
    </w:p>
    <w:p w:rsidR="00973DAA" w:rsidRPr="00C903F8" w:rsidRDefault="005C7859" w:rsidP="00B72823">
      <w:pPr>
        <w:pStyle w:val="ESlet"/>
        <w:rPr>
          <w:rFonts w:eastAsia="Calibri" w:cs="Arial"/>
          <w:szCs w:val="18"/>
        </w:rPr>
      </w:pPr>
      <w:r>
        <w:t>a)</w:t>
      </w:r>
      <w:r>
        <w:tab/>
        <w:t>recano una targhetta indicante l'uso previsto e il numero di persone per il quale sono approvati;</w:t>
      </w:r>
    </w:p>
    <w:p w:rsidR="00973DAA" w:rsidRPr="00C903F8" w:rsidRDefault="005C7859" w:rsidP="00B72823">
      <w:pPr>
        <w:pStyle w:val="ESlet"/>
        <w:rPr>
          <w:rFonts w:eastAsia="Calibri" w:cs="Arial"/>
          <w:szCs w:val="18"/>
        </w:rPr>
      </w:pPr>
      <w:r>
        <w:t>b)</w:t>
      </w:r>
      <w:r>
        <w:tab/>
        <w:t>hanno posti a sedere adeguati al numero ammesso di persone;</w:t>
      </w:r>
    </w:p>
    <w:p w:rsidR="00973DAA" w:rsidRPr="00C903F8" w:rsidRDefault="005C7859" w:rsidP="00B72823">
      <w:pPr>
        <w:pStyle w:val="ESlet"/>
        <w:rPr>
          <w:rFonts w:eastAsia="Calibri" w:cs="Arial"/>
          <w:szCs w:val="18"/>
        </w:rPr>
      </w:pPr>
      <w:r>
        <w:t>c)</w:t>
      </w:r>
      <w:r>
        <w:tab/>
        <w:t>hanno una capacità di sostegno di almeno 750 N per persona in acqua dolce;</w:t>
      </w:r>
    </w:p>
    <w:p w:rsidR="00973DAA" w:rsidRPr="00C903F8" w:rsidRDefault="0029453D" w:rsidP="00B72823">
      <w:pPr>
        <w:pStyle w:val="ESlet"/>
        <w:rPr>
          <w:rFonts w:eastAsia="Calibri" w:cs="Arial"/>
          <w:szCs w:val="18"/>
        </w:rPr>
      </w:pPr>
      <w:r>
        <w:t>d)</w:t>
      </w:r>
      <w:r>
        <w:tab/>
        <w:t>sono fornite di una corda collegata alla nave da passeggeri per evitare che vadano alla deriva;</w:t>
      </w:r>
    </w:p>
    <w:p w:rsidR="00973DAA" w:rsidRPr="00C903F8" w:rsidRDefault="0029453D" w:rsidP="00B72823">
      <w:pPr>
        <w:pStyle w:val="ESlet"/>
        <w:rPr>
          <w:rFonts w:eastAsia="Calibri" w:cs="Arial"/>
          <w:szCs w:val="18"/>
        </w:rPr>
      </w:pPr>
      <w:r>
        <w:t>e)</w:t>
      </w:r>
      <w:r>
        <w:tab/>
        <w:t>sono fabbricate in un materiale adatto e sono resistenti all'olio e ai derivati dell'olio, come pure a temperature minori o uguali a 50 °C;</w:t>
      </w:r>
    </w:p>
    <w:p w:rsidR="00973DAA" w:rsidRPr="00C903F8" w:rsidRDefault="0029453D" w:rsidP="00B72823">
      <w:pPr>
        <w:pStyle w:val="ESlet"/>
        <w:rPr>
          <w:rFonts w:eastAsia="Calibri" w:cs="Arial"/>
          <w:szCs w:val="18"/>
        </w:rPr>
      </w:pPr>
      <w:r>
        <w:t>f)</w:t>
      </w:r>
      <w:r>
        <w:tab/>
        <w:t>assumono e mantengono un assetto stabile e, a tal proposito, sono dotati di dispositivi appropriati che consentano al numero di persone indicate di afferrarli;</w:t>
      </w:r>
    </w:p>
    <w:p w:rsidR="00973DAA" w:rsidRPr="00C903F8" w:rsidRDefault="0029453D" w:rsidP="00B72823">
      <w:pPr>
        <w:pStyle w:val="ESlet"/>
        <w:rPr>
          <w:rFonts w:eastAsia="Calibri" w:cs="Arial"/>
          <w:szCs w:val="18"/>
        </w:rPr>
      </w:pPr>
      <w:r>
        <w:t>g)</w:t>
      </w:r>
      <w:r>
        <w:tab/>
        <w:t>sono di color arancio fluorescente o sono provvisti di superfici fluorescenti, visibili da tutti i lati, di almeno 100 cm</w:t>
      </w:r>
      <w:r>
        <w:rPr>
          <w:noProof/>
          <w:vertAlign w:val="superscript"/>
        </w:rPr>
        <w:t>2</w:t>
      </w:r>
      <w:r>
        <w:t>;</w:t>
      </w:r>
    </w:p>
    <w:p w:rsidR="00973DAA" w:rsidRPr="00C903F8" w:rsidRDefault="0029453D" w:rsidP="00B72823">
      <w:pPr>
        <w:pStyle w:val="ESlet"/>
        <w:rPr>
          <w:rFonts w:eastAsia="Calibri" w:cs="Arial"/>
          <w:szCs w:val="18"/>
        </w:rPr>
      </w:pPr>
      <w:r>
        <w:t>h)</w:t>
      </w:r>
      <w:r>
        <w:tab/>
        <w:t>sono tali da poter essere rilasciate e messe velocemente e sicuramente in acqua da una sola persona, o da poter galleggiare liberamente dal loro posizionamento;</w:t>
      </w:r>
    </w:p>
    <w:p w:rsidR="00973DAA" w:rsidRPr="00C903F8" w:rsidRDefault="0029453D" w:rsidP="00B72823">
      <w:pPr>
        <w:pStyle w:val="ESlet"/>
        <w:rPr>
          <w:rFonts w:eastAsia="Calibri" w:cs="Arial"/>
          <w:szCs w:val="18"/>
        </w:rPr>
      </w:pPr>
      <w:r>
        <w:t>i)</w:t>
      </w:r>
      <w:r>
        <w:tab/>
        <w:t>sono fornite di mezzi adeguati per accedere dalle zone di evacuazione, di cui all'articolo 19.06, paragrafo 8, alle zattere di salvataggio se la distanza verticale tra il ponte delle zone di evacuazione e il piano di massima immersione è superiore a 1 m.</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6.</w:t>
      </w:r>
      <w:r>
        <w:tab/>
        <w:t>I mezzi di salvataggio collettivi supplementari sono attrezzature di salvataggio che assicurano la galleggiabilità di più persone in acqua. Essi:</w:t>
      </w:r>
    </w:p>
    <w:p w:rsidR="00973DAA" w:rsidRPr="00C903F8" w:rsidRDefault="005C7859" w:rsidP="00B72823">
      <w:pPr>
        <w:pStyle w:val="ESlet"/>
        <w:rPr>
          <w:rFonts w:eastAsia="Calibri" w:cs="Arial"/>
          <w:szCs w:val="18"/>
        </w:rPr>
      </w:pPr>
      <w:r>
        <w:t>a)</w:t>
      </w:r>
      <w:r>
        <w:tab/>
        <w:t>recano una targhetta indicante l'uso previsto e il numero di persone per il quale sono approvati;</w:t>
      </w:r>
    </w:p>
    <w:p w:rsidR="00973DAA" w:rsidRPr="00C903F8" w:rsidRDefault="005C7859" w:rsidP="00B72823">
      <w:pPr>
        <w:pStyle w:val="ESlet"/>
        <w:rPr>
          <w:rFonts w:eastAsia="Calibri" w:cs="Arial"/>
          <w:szCs w:val="18"/>
        </w:rPr>
      </w:pPr>
      <w:r>
        <w:t>b)</w:t>
      </w:r>
      <w:r>
        <w:tab/>
        <w:t>hanno una capacità di sostegno di almeno 100 N per persona in acqua dolce;</w:t>
      </w:r>
    </w:p>
    <w:p w:rsidR="00973DAA" w:rsidRPr="00C903F8" w:rsidRDefault="005C7859" w:rsidP="00B72823">
      <w:pPr>
        <w:pStyle w:val="ESlet"/>
        <w:rPr>
          <w:rFonts w:eastAsia="Calibri"/>
          <w:noProof/>
        </w:rPr>
      </w:pPr>
      <w:r>
        <w:t>c)</w:t>
      </w:r>
      <w:r>
        <w:tab/>
        <w:t>sono fabbricati in un materiale adatto e sono resistenti all'olio e ai derivati dell'olio, come pure a temperature minori o uguali a 50 °C;</w:t>
      </w:r>
    </w:p>
    <w:p w:rsidR="00B72823" w:rsidRPr="00C903F8" w:rsidRDefault="00B72823" w:rsidP="00B72823">
      <w:pPr>
        <w:pStyle w:val="ESlet"/>
        <w:rPr>
          <w:rFonts w:eastAsia="Calibri"/>
          <w:noProof/>
        </w:rPr>
      </w:pPr>
    </w:p>
    <w:p w:rsidR="00B72823" w:rsidRPr="00C903F8" w:rsidRDefault="00B72823" w:rsidP="00B72823">
      <w:pPr>
        <w:pStyle w:val="ESlet"/>
        <w:rPr>
          <w:rFonts w:eastAsia="Calibri" w:cs="Arial"/>
          <w:szCs w:val="18"/>
        </w:rPr>
      </w:pPr>
    </w:p>
    <w:p w:rsidR="00B72823" w:rsidRPr="00C903F8" w:rsidRDefault="00B72823" w:rsidP="00B72823">
      <w:pPr>
        <w:pStyle w:val="ESlet"/>
        <w:rPr>
          <w:rFonts w:eastAsia="Calibri"/>
          <w:noProof/>
        </w:rPr>
      </w:pPr>
      <w:r>
        <w:br w:type="page"/>
      </w:r>
    </w:p>
    <w:p w:rsidR="00973DAA" w:rsidRPr="00C903F8" w:rsidRDefault="0029453D" w:rsidP="00B72823">
      <w:pPr>
        <w:pStyle w:val="ESlet"/>
        <w:rPr>
          <w:rFonts w:eastAsia="Calibri" w:cs="Arial"/>
          <w:szCs w:val="18"/>
        </w:rPr>
      </w:pPr>
      <w:r>
        <w:lastRenderedPageBreak/>
        <w:t>d)</w:t>
      </w:r>
      <w:r>
        <w:tab/>
        <w:t>assumono e mantengono un assetto stabile e, a tal proposito, sono dotati di dispositivi appropriati che consentano al numero di persone indicate di afferrarli;</w:t>
      </w:r>
    </w:p>
    <w:p w:rsidR="00973DAA" w:rsidRPr="00C903F8" w:rsidRDefault="0029453D" w:rsidP="00B72823">
      <w:pPr>
        <w:pStyle w:val="ESlet"/>
        <w:rPr>
          <w:rFonts w:eastAsia="Calibri" w:cs="Arial"/>
          <w:szCs w:val="18"/>
        </w:rPr>
      </w:pPr>
      <w:r>
        <w:t>e)</w:t>
      </w:r>
      <w:r>
        <w:tab/>
        <w:t>sono di color arancio fluorescente o sono provvisti di superfici fluorescenti, visibili da tutti i lati, di almeno 100 cm</w:t>
      </w:r>
      <w:r>
        <w:rPr>
          <w:noProof/>
          <w:vertAlign w:val="superscript"/>
        </w:rPr>
        <w:t>2</w:t>
      </w:r>
      <w:r>
        <w:t>;</w:t>
      </w:r>
    </w:p>
    <w:p w:rsidR="00973DAA" w:rsidRPr="00C903F8" w:rsidRDefault="0029453D" w:rsidP="00B72823">
      <w:pPr>
        <w:pStyle w:val="ESlet"/>
        <w:rPr>
          <w:rFonts w:eastAsia="Calibri" w:cs="Arial"/>
          <w:szCs w:val="18"/>
        </w:rPr>
      </w:pPr>
      <w:r>
        <w:t>f)</w:t>
      </w:r>
      <w:r>
        <w:tab/>
        <w:t>sono tali da poter essere rilasciate e messi velocemente e sicuramente in acqua da una sola persona, o da poter galleggiare liberamente dal loro posizionamento;</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7.</w:t>
      </w:r>
      <w:r>
        <w:tab/>
        <w:t>Inoltre, i mezzi di salvataggio collettivi gonfiabili:</w:t>
      </w:r>
    </w:p>
    <w:p w:rsidR="00973DAA" w:rsidRPr="00C903F8" w:rsidRDefault="005C7859" w:rsidP="00B72823">
      <w:pPr>
        <w:pStyle w:val="ESlet"/>
        <w:rPr>
          <w:rFonts w:eastAsia="Calibri" w:cs="Arial"/>
          <w:szCs w:val="18"/>
        </w:rPr>
      </w:pPr>
      <w:r>
        <w:t>a)</w:t>
      </w:r>
      <w:r>
        <w:tab/>
        <w:t>sono costituiti da almeno due camere d'aria separate;</w:t>
      </w:r>
    </w:p>
    <w:p w:rsidR="00973DAA" w:rsidRPr="00C903F8" w:rsidRDefault="005C7859" w:rsidP="00B72823">
      <w:pPr>
        <w:pStyle w:val="ESlet"/>
        <w:rPr>
          <w:rFonts w:eastAsia="Calibri" w:cs="Arial"/>
          <w:szCs w:val="18"/>
        </w:rPr>
      </w:pPr>
      <w:r>
        <w:t>b)</w:t>
      </w:r>
      <w:r>
        <w:tab/>
        <w:t>si gonfiano automaticamente o a comando manuale al momento di essere messi in acqua;</w:t>
      </w:r>
    </w:p>
    <w:p w:rsidR="00973DAA" w:rsidRPr="00C903F8" w:rsidRDefault="005C7859" w:rsidP="00B72823">
      <w:pPr>
        <w:pStyle w:val="ESlet"/>
        <w:rPr>
          <w:rFonts w:eastAsia="Calibri"/>
          <w:noProof/>
        </w:rPr>
      </w:pPr>
      <w:r>
        <w:t>c)</w:t>
      </w:r>
      <w:r>
        <w:tab/>
        <w:t>assumono e mantengono un assetto stabile indipendentemente dal peso da sostenere, anche con la metà soltanto delle camere d'aria gonfiate;</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noProof/>
        </w:rPr>
      </w:pPr>
      <w:r>
        <w:t>8.</w:t>
      </w:r>
      <w:r>
        <w:tab/>
        <w:t>I mezzi di salvataggio sono sistemati a bordo in modo da poter essere raggiunti con facilità e sicurezza in caso di necessità. La loro sistemazione in punti non visibili è segnalata in modo chiaro.</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noProof/>
        </w:rPr>
      </w:pPr>
      <w:r>
        <w:t>9.</w:t>
      </w:r>
      <w:r>
        <w:tab/>
        <w:t>I mezzi di salvataggio sono istruzioni secondo le istruzioni fornite dal costruttore.</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noProof/>
        </w:rPr>
      </w:pPr>
      <w:r>
        <w:t>10.</w:t>
      </w:r>
      <w:r>
        <w:tab/>
        <w:t>La lancia è fornita di motore e proiettore orientabile.</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noProof/>
        </w:rPr>
      </w:pPr>
      <w:r>
        <w:t>11.</w:t>
      </w:r>
      <w:r>
        <w:tab/>
        <w:t>È disponibile una barella adeguata.</w:t>
      </w:r>
    </w:p>
    <w:p w:rsidR="00973DAA" w:rsidRPr="00C903F8" w:rsidRDefault="00973DAA" w:rsidP="00973DAA">
      <w:pPr>
        <w:pStyle w:val="ESch"/>
        <w:rPr>
          <w:rFonts w:eastAsia="Calibri" w:cs="Arial"/>
          <w:szCs w:val="18"/>
        </w:rPr>
      </w:pPr>
    </w:p>
    <w:p w:rsidR="00B72823" w:rsidRPr="00C903F8" w:rsidRDefault="00B72823" w:rsidP="00973DAA">
      <w:pPr>
        <w:pStyle w:val="ESch"/>
        <w:rPr>
          <w:rFonts w:eastAsia="Calibri" w:cs="Arial"/>
          <w:szCs w:val="18"/>
        </w:rPr>
      </w:pPr>
    </w:p>
    <w:p w:rsidR="00973DAA" w:rsidRPr="00C903F8" w:rsidRDefault="00973DAA" w:rsidP="00B72823">
      <w:pPr>
        <w:pStyle w:val="ES-Titre3"/>
        <w:rPr>
          <w:rFonts w:cs="Arial"/>
          <w:i/>
          <w:szCs w:val="18"/>
        </w:rPr>
      </w:pPr>
      <w:bookmarkStart w:id="364" w:name="_Toc491854179"/>
      <w:bookmarkStart w:id="365" w:name="_Toc535500128"/>
      <w:r>
        <w:t>Articolo 19.10</w:t>
      </w:r>
      <w:r>
        <w:br/>
      </w:r>
      <w:r>
        <w:rPr>
          <w:i/>
          <w:noProof/>
        </w:rPr>
        <w:t>Impianto elettrico</w:t>
      </w:r>
      <w:bookmarkEnd w:id="364"/>
      <w:bookmarkEnd w:id="365"/>
    </w:p>
    <w:p w:rsidR="00B72823" w:rsidRPr="00C903F8" w:rsidRDefault="00B72823" w:rsidP="00973DAA">
      <w:pPr>
        <w:pStyle w:val="ESch"/>
        <w:rPr>
          <w:rFonts w:eastAsia="Calibri"/>
          <w:noProof/>
        </w:rPr>
      </w:pPr>
    </w:p>
    <w:p w:rsidR="00973DAA" w:rsidRPr="00C903F8" w:rsidRDefault="00B72823" w:rsidP="00973DAA">
      <w:pPr>
        <w:pStyle w:val="ESch"/>
        <w:rPr>
          <w:rFonts w:eastAsia="Calibri" w:cs="Arial"/>
          <w:szCs w:val="18"/>
        </w:rPr>
      </w:pPr>
      <w:r>
        <w:t>1.</w:t>
      </w:r>
      <w:r>
        <w:tab/>
        <w:t>Per l'illuminazione è ammesso soltanto l'impianto elettrico.</w:t>
      </w:r>
    </w:p>
    <w:p w:rsidR="00B72823" w:rsidRPr="00C903F8" w:rsidRDefault="00B72823" w:rsidP="00973DAA">
      <w:pPr>
        <w:pStyle w:val="ESch"/>
        <w:rPr>
          <w:rFonts w:eastAsia="Calibri"/>
          <w:noProof/>
        </w:rPr>
      </w:pPr>
    </w:p>
    <w:p w:rsidR="00973DAA" w:rsidRPr="00C903F8" w:rsidRDefault="00B72823" w:rsidP="00973DAA">
      <w:pPr>
        <w:pStyle w:val="ESch"/>
        <w:rPr>
          <w:rFonts w:eastAsia="Calibri" w:cs="Arial"/>
          <w:szCs w:val="18"/>
        </w:rPr>
      </w:pPr>
      <w:r>
        <w:t>2.</w:t>
      </w:r>
      <w:r>
        <w:tab/>
        <w:t>L'articolo 10.16, paragrafo 3, si applica altresì in aggiunta ai locali per i passeggeri.</w:t>
      </w:r>
    </w:p>
    <w:p w:rsidR="00E04714" w:rsidRPr="00C903F8" w:rsidRDefault="00E04714" w:rsidP="00973DAA">
      <w:pPr>
        <w:pStyle w:val="ESch"/>
        <w:rPr>
          <w:rFonts w:eastAsia="Calibri"/>
          <w:noProof/>
        </w:rPr>
      </w:pPr>
    </w:p>
    <w:p w:rsidR="00973DAA" w:rsidRPr="00C903F8" w:rsidRDefault="00973DAA" w:rsidP="00973DAA">
      <w:pPr>
        <w:pStyle w:val="ESch"/>
        <w:rPr>
          <w:rFonts w:eastAsia="Calibri" w:cs="Arial"/>
          <w:szCs w:val="18"/>
        </w:rPr>
      </w:pPr>
      <w:r>
        <w:t>3.</w:t>
      </w:r>
      <w:r>
        <w:tab/>
        <w:t>Un'illuminazione e un'illuminazione di sicurezza adeguate sono previste per i locali e le postazioni seguenti:</w:t>
      </w:r>
    </w:p>
    <w:p w:rsidR="00973DAA" w:rsidRPr="00C903F8" w:rsidRDefault="005C7859" w:rsidP="00B72823">
      <w:pPr>
        <w:pStyle w:val="ESlet"/>
        <w:rPr>
          <w:rFonts w:eastAsia="Calibri" w:cs="Arial"/>
          <w:szCs w:val="18"/>
        </w:rPr>
      </w:pPr>
      <w:r>
        <w:t>a)</w:t>
      </w:r>
      <w:r>
        <w:tab/>
        <w:t>le postazioni in cui sono conservati i mezzi di salvataggio e quelle in cui vengono normalmente preparati per essere utilizzati;</w:t>
      </w:r>
    </w:p>
    <w:p w:rsidR="00973DAA" w:rsidRPr="00C903F8" w:rsidRDefault="005C7859" w:rsidP="00B72823">
      <w:pPr>
        <w:pStyle w:val="ESlet"/>
        <w:rPr>
          <w:rFonts w:eastAsia="Calibri" w:cs="Arial"/>
          <w:szCs w:val="18"/>
        </w:rPr>
      </w:pPr>
      <w:r>
        <w:t>b)</w:t>
      </w:r>
      <w:r>
        <w:tab/>
        <w:t>le vie di evacuazione, l'accesso per i passeggeri, compresi le passerelle, le entrate e le uscite, i corridoi di collegamento, gli ascensori e i corridoi di accesso alle zone degli alloggi, le zone cabine e alloggi;</w:t>
      </w:r>
    </w:p>
    <w:p w:rsidR="00973DAA" w:rsidRPr="00C903F8" w:rsidRDefault="005C7859" w:rsidP="00B72823">
      <w:pPr>
        <w:pStyle w:val="ESlet"/>
        <w:rPr>
          <w:rFonts w:eastAsia="Calibri"/>
          <w:noProof/>
        </w:rPr>
      </w:pPr>
      <w:r>
        <w:t>c)</w:t>
      </w:r>
      <w:r>
        <w:tab/>
        <w:t>le indicazioni delle vie di evacuazione e delle uscite di sicurezza;</w:t>
      </w:r>
    </w:p>
    <w:p w:rsidR="00973DAA" w:rsidRPr="00C903F8" w:rsidRDefault="0029453D" w:rsidP="00B72823">
      <w:pPr>
        <w:pStyle w:val="ESlet"/>
        <w:rPr>
          <w:rFonts w:eastAsia="Calibri"/>
          <w:noProof/>
        </w:rPr>
      </w:pPr>
      <w:r>
        <w:t>d)</w:t>
      </w:r>
      <w:r>
        <w:tab/>
        <w:t>le altre zone destinate alle persone con mobilità ridotta;</w:t>
      </w:r>
    </w:p>
    <w:p w:rsidR="00973DAA" w:rsidRPr="00C903F8" w:rsidRDefault="0029453D" w:rsidP="00B72823">
      <w:pPr>
        <w:pStyle w:val="ESlet"/>
        <w:rPr>
          <w:rFonts w:eastAsia="Calibri"/>
          <w:noProof/>
        </w:rPr>
      </w:pPr>
      <w:r>
        <w:t>e)</w:t>
      </w:r>
      <w:r>
        <w:tab/>
        <w:t>i locali di servizio, le sale macchine, i locali di comando e le loro uscite;</w:t>
      </w:r>
    </w:p>
    <w:p w:rsidR="00973DAA" w:rsidRPr="00C903F8" w:rsidRDefault="0029453D" w:rsidP="00B72823">
      <w:pPr>
        <w:pStyle w:val="ESlet"/>
        <w:rPr>
          <w:rFonts w:eastAsia="Calibri"/>
          <w:noProof/>
        </w:rPr>
      </w:pPr>
      <w:r>
        <w:t>f)</w:t>
      </w:r>
      <w:r>
        <w:tab/>
        <w:t>la timoneria;</w:t>
      </w:r>
    </w:p>
    <w:p w:rsidR="00973DAA" w:rsidRPr="002614C4" w:rsidRDefault="0029453D" w:rsidP="002614C4">
      <w:pPr>
        <w:pStyle w:val="ESlet"/>
        <w:rPr>
          <w:rFonts w:eastAsia="Calibri"/>
          <w:noProof/>
        </w:rPr>
      </w:pPr>
      <w:r>
        <w:t>g)</w:t>
      </w:r>
      <w:r>
        <w:tab/>
        <w:t>il locale della fonte di alimentazione elettrica di emergenza;</w:t>
      </w:r>
    </w:p>
    <w:p w:rsidR="00973DAA" w:rsidRPr="00C903F8" w:rsidRDefault="0029453D" w:rsidP="00B72823">
      <w:pPr>
        <w:pStyle w:val="ESlet"/>
        <w:rPr>
          <w:rFonts w:eastAsia="Calibri"/>
          <w:noProof/>
        </w:rPr>
      </w:pPr>
      <w:r>
        <w:t>h)</w:t>
      </w:r>
      <w:r>
        <w:tab/>
        <w:t>i punti in cui si trovano gli estintori e i comandi dei dispositivi antincendio;</w:t>
      </w:r>
    </w:p>
    <w:p w:rsidR="00973DAA" w:rsidRPr="00C903F8" w:rsidRDefault="0029453D" w:rsidP="00B72823">
      <w:pPr>
        <w:pStyle w:val="ESlet"/>
        <w:rPr>
          <w:rFonts w:eastAsia="Calibri"/>
          <w:noProof/>
        </w:rPr>
      </w:pPr>
      <w:r>
        <w:t>i)</w:t>
      </w:r>
      <w:r>
        <w:tab/>
        <w:t>i locali in cui si raccolgono i passeggeri, il personale di bordo e l'equipaggio in caso di pericolo.</w:t>
      </w:r>
    </w:p>
    <w:p w:rsidR="00B72823" w:rsidRPr="00C903F8" w:rsidRDefault="00B72823" w:rsidP="00973DAA">
      <w:pPr>
        <w:pStyle w:val="ESch"/>
        <w:rPr>
          <w:rFonts w:eastAsia="Calibri"/>
          <w:noProof/>
        </w:rPr>
      </w:pPr>
    </w:p>
    <w:p w:rsidR="00B72823" w:rsidRPr="00C903F8" w:rsidRDefault="00B72823" w:rsidP="00973DAA">
      <w:pPr>
        <w:pStyle w:val="ESch"/>
        <w:rPr>
          <w:rFonts w:eastAsia="Calibri"/>
          <w:noProof/>
        </w:rPr>
      </w:pPr>
      <w:r>
        <w:br w:type="page"/>
      </w:r>
    </w:p>
    <w:p w:rsidR="00973DAA" w:rsidRPr="002614C4" w:rsidRDefault="00973DAA" w:rsidP="00973DAA">
      <w:pPr>
        <w:pStyle w:val="ESch"/>
        <w:rPr>
          <w:rFonts w:eastAsia="Calibri"/>
          <w:noProof/>
        </w:rPr>
      </w:pPr>
      <w:r>
        <w:lastRenderedPageBreak/>
        <w:t>4.</w:t>
      </w:r>
      <w:r>
        <w:tab/>
        <w:t>È previsto un impianto elettrico di emergenza composto da un gruppo elettrogeno di emergenza con relativo quadro che, in caso di un'interruzione di corrente alle attrezzature elettriche che seguono, possa immediatamente fornire l'alimentazione, se dette attrezzature non hanno un'alimentazione propria:</w:t>
      </w:r>
    </w:p>
    <w:p w:rsidR="00973DAA" w:rsidRPr="00C903F8" w:rsidRDefault="005C7859" w:rsidP="00B72823">
      <w:pPr>
        <w:pStyle w:val="ESlet"/>
        <w:rPr>
          <w:rFonts w:eastAsia="Calibri"/>
          <w:noProof/>
        </w:rPr>
      </w:pPr>
      <w:r>
        <w:t>a)</w:t>
      </w:r>
      <w:r>
        <w:tab/>
        <w:t>le luci di navigazione;</w:t>
      </w:r>
    </w:p>
    <w:p w:rsidR="00973DAA" w:rsidRPr="00C903F8" w:rsidRDefault="005C7859" w:rsidP="00B72823">
      <w:pPr>
        <w:pStyle w:val="ESlet"/>
        <w:rPr>
          <w:rFonts w:eastAsia="Calibri"/>
          <w:noProof/>
        </w:rPr>
      </w:pPr>
      <w:r>
        <w:t>b)</w:t>
      </w:r>
      <w:r>
        <w:tab/>
        <w:t>i segnalatori acustici;</w:t>
      </w:r>
    </w:p>
    <w:p w:rsidR="00973DAA" w:rsidRPr="00C903F8" w:rsidRDefault="005C7859" w:rsidP="00B72823">
      <w:pPr>
        <w:pStyle w:val="ESlet"/>
        <w:rPr>
          <w:rFonts w:eastAsia="Calibri"/>
          <w:noProof/>
        </w:rPr>
      </w:pPr>
      <w:r>
        <w:t>c)</w:t>
      </w:r>
      <w:r>
        <w:tab/>
        <w:t>l'illuminazione di sicurezza di cui al paragrafo 3;</w:t>
      </w:r>
    </w:p>
    <w:p w:rsidR="00973DAA" w:rsidRPr="00C903F8" w:rsidRDefault="0029453D" w:rsidP="00B72823">
      <w:pPr>
        <w:pStyle w:val="ESlet"/>
        <w:rPr>
          <w:rFonts w:eastAsia="Calibri"/>
          <w:noProof/>
        </w:rPr>
      </w:pPr>
      <w:r>
        <w:t>d)</w:t>
      </w:r>
      <w:r>
        <w:tab/>
        <w:t>gli impianti di radiotelefonia;</w:t>
      </w:r>
    </w:p>
    <w:p w:rsidR="00973DAA" w:rsidRPr="00C903F8" w:rsidRDefault="0029453D" w:rsidP="00B72823">
      <w:pPr>
        <w:pStyle w:val="ESlet"/>
        <w:rPr>
          <w:rFonts w:eastAsia="Calibri"/>
          <w:noProof/>
        </w:rPr>
      </w:pPr>
      <w:r>
        <w:t>e)</w:t>
      </w:r>
      <w:r>
        <w:tab/>
        <w:t>gli impianti d'allarme, gli altoparlanti e gli impianti di comunicazione delle informazioni a bordo;</w:t>
      </w:r>
    </w:p>
    <w:p w:rsidR="00973DAA" w:rsidRPr="00C903F8" w:rsidRDefault="0029453D" w:rsidP="00B72823">
      <w:pPr>
        <w:pStyle w:val="ESlet"/>
        <w:rPr>
          <w:rFonts w:eastAsia="Calibri"/>
          <w:noProof/>
        </w:rPr>
      </w:pPr>
      <w:r>
        <w:t>f)</w:t>
      </w:r>
      <w:r>
        <w:tab/>
        <w:t>i proiettori di cui all'articolo 13.02, paragrafo 2, lettera i);</w:t>
      </w:r>
    </w:p>
    <w:p w:rsidR="00973DAA" w:rsidRPr="00C903F8" w:rsidRDefault="0029453D" w:rsidP="00B72823">
      <w:pPr>
        <w:pStyle w:val="ESlet"/>
        <w:rPr>
          <w:rFonts w:eastAsia="Calibri"/>
          <w:noProof/>
        </w:rPr>
      </w:pPr>
      <w:r>
        <w:t>g)</w:t>
      </w:r>
      <w:r>
        <w:tab/>
        <w:t>il sistema di allarme antincendio;</w:t>
      </w:r>
    </w:p>
    <w:p w:rsidR="00973DAA" w:rsidRPr="00C903F8" w:rsidRDefault="0029453D" w:rsidP="00B72823">
      <w:pPr>
        <w:pStyle w:val="ESlet"/>
        <w:rPr>
          <w:rFonts w:eastAsia="Calibri"/>
          <w:noProof/>
        </w:rPr>
      </w:pPr>
      <w:r>
        <w:t>h)</w:t>
      </w:r>
      <w:r>
        <w:tab/>
        <w:t>gli altri impianti di sicurezza quali gli impianti automatici pressurizzati a Sprinkler o le pompe antincendio;</w:t>
      </w:r>
    </w:p>
    <w:p w:rsidR="00973DAA" w:rsidRPr="00C903F8" w:rsidRDefault="0029453D" w:rsidP="00B72823">
      <w:pPr>
        <w:pStyle w:val="ESlet"/>
        <w:rPr>
          <w:rFonts w:eastAsia="Calibri"/>
          <w:noProof/>
        </w:rPr>
      </w:pPr>
      <w:r>
        <w:t>i)</w:t>
      </w:r>
      <w:r>
        <w:tab/>
        <w:t>gli ascensori e gli impianti di sollevamento di cui all'articolo 19.06, paragrafo 9, seconda frase.</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noProof/>
        </w:rPr>
      </w:pPr>
      <w:r>
        <w:t>5.</w:t>
      </w:r>
      <w:r>
        <w:tab/>
        <w:t>Gli elementi luminosi per l'illuminazione di sicurezza sono contrassegnati come tali.</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noProof/>
        </w:rPr>
      </w:pPr>
      <w:r>
        <w:t>6.</w:t>
      </w:r>
      <w:r>
        <w:tab/>
        <w:t>L'impianto elettrico di emergenza è installato al di fuori della sala macchine principale, al di fuori dei locali in cui si trovano gli impianti di alimentazione di cui all'articolo 10.2, paragrafo 1, e al di fuori del locale in cui si trova il quadro principale; è separato da questi locali da paratie di cui all'articolo 19.11, paragrafo 2.</w:t>
      </w:r>
    </w:p>
    <w:p w:rsidR="00B72823" w:rsidRPr="00C903F8" w:rsidRDefault="00B72823" w:rsidP="00973DAA">
      <w:pPr>
        <w:pStyle w:val="ESch"/>
        <w:rPr>
          <w:rFonts w:eastAsia="Calibri"/>
          <w:noProof/>
        </w:rPr>
      </w:pPr>
    </w:p>
    <w:p w:rsidR="00973DAA" w:rsidRPr="00C903F8" w:rsidRDefault="00973DAA" w:rsidP="00B72823">
      <w:pPr>
        <w:pStyle w:val="ESchpar"/>
        <w:rPr>
          <w:rFonts w:eastAsia="Calibri" w:cs="Arial"/>
          <w:szCs w:val="18"/>
        </w:rPr>
      </w:pPr>
      <w:r>
        <w:t>I cavi che alimentano gli impianti elettrici in caso di emergenza sono posati in modo tale da mantenere la continuità di alimentazione di questi impianti in caso di incendio o allagamento. Questi cavi non sono mai posati in modo da attraversare la sala macchine principale, le cucine o i locali in cui è installato il generatore principale e le relative attrezzature, eccetto se è necessario fornire attrezzatura di emergenza in tali zone.</w:t>
      </w:r>
    </w:p>
    <w:p w:rsidR="00B72823" w:rsidRPr="00C903F8" w:rsidRDefault="00B72823" w:rsidP="00B72823">
      <w:pPr>
        <w:pStyle w:val="ESchpar"/>
        <w:rPr>
          <w:rFonts w:eastAsia="Calibri"/>
          <w:noProof/>
        </w:rPr>
      </w:pPr>
    </w:p>
    <w:p w:rsidR="00973DAA" w:rsidRPr="00C903F8" w:rsidRDefault="00973DAA" w:rsidP="00B72823">
      <w:pPr>
        <w:pStyle w:val="ESchpar"/>
        <w:rPr>
          <w:rFonts w:eastAsia="Calibri" w:cs="Arial"/>
          <w:szCs w:val="18"/>
        </w:rPr>
      </w:pPr>
      <w:r>
        <w:t>L'impianto elettrico di emergenza è installato o al di sopra della linea limite o quanto più possibile lontano dalle altre fonti di energia ai sensi dell'articolo 10.02, paragrafo 1, per assicurare che, in caso di inondamento in conformità dell'articolo 19.03, paragrafo 9, non sia inondato contemporaneamente a queste fonti di energia.</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7.</w:t>
      </w:r>
      <w:r>
        <w:tab/>
        <w:t>Sono ammessi come fonte di alimentazione elettrica di emergenza:</w:t>
      </w:r>
    </w:p>
    <w:p w:rsidR="00973DAA" w:rsidRPr="00C903F8" w:rsidRDefault="005C7859" w:rsidP="00B72823">
      <w:pPr>
        <w:pStyle w:val="ESlet"/>
        <w:rPr>
          <w:rFonts w:eastAsia="Calibri" w:cs="Arial"/>
          <w:szCs w:val="18"/>
        </w:rPr>
      </w:pPr>
      <w:r>
        <w:t>a)</w:t>
      </w:r>
      <w:r>
        <w:tab/>
        <w:t>i gruppi di generatori ausiliari con scorta di combustibile indipendente e sistema di raffreddamento indipendente che, in caso di guasto elettrico, si attivano e forniscono elettricità automaticamente entro 30 secondi o, se si trovano nelle immediate vicinanze della timoneria o di altra postazione costantemente presidiata dai membri dell'equipaggio, possono essere attivate manualmente; oppure</w:t>
      </w:r>
    </w:p>
    <w:p w:rsidR="00973DAA" w:rsidRPr="00C903F8" w:rsidRDefault="005C7859" w:rsidP="00B72823">
      <w:pPr>
        <w:pStyle w:val="ESlet"/>
        <w:rPr>
          <w:rFonts w:eastAsia="Calibri" w:cs="Arial"/>
          <w:szCs w:val="18"/>
        </w:rPr>
      </w:pPr>
      <w:r>
        <w:t>b)</w:t>
      </w:r>
      <w:r>
        <w:tab/>
        <w:t>batterie di accumulatori che, in caso di guasto elettrico, si attivano automaticamente o, se si trovano nelle immediate vicinanze della timoneria o di altra postazione costantemente presidiata dai membri dell'equipaggio, possono essere attivate manualmente. Devono essere in grado di alimentare i suddetti consumi per il periodo prescritto senza ricarica e senza una riduzione di voltaggio inaccettabile.</w:t>
      </w:r>
    </w:p>
    <w:p w:rsidR="00B72823" w:rsidRPr="00C903F8" w:rsidRDefault="00B72823" w:rsidP="00973DAA">
      <w:pPr>
        <w:pStyle w:val="ESch"/>
        <w:rPr>
          <w:rFonts w:eastAsia="Calibri"/>
          <w:noProof/>
        </w:rPr>
      </w:pPr>
    </w:p>
    <w:p w:rsidR="00B72823" w:rsidRPr="00C903F8" w:rsidRDefault="00B72823" w:rsidP="00973DAA">
      <w:pPr>
        <w:pStyle w:val="ESch"/>
        <w:rPr>
          <w:rFonts w:eastAsia="Calibri"/>
          <w:noProof/>
        </w:rPr>
      </w:pPr>
      <w:r>
        <w:br w:type="page"/>
      </w:r>
    </w:p>
    <w:p w:rsidR="00973DAA" w:rsidRPr="00C903F8" w:rsidRDefault="00973DAA" w:rsidP="00973DAA">
      <w:pPr>
        <w:pStyle w:val="ESch"/>
        <w:rPr>
          <w:rFonts w:eastAsia="Calibri" w:cs="Arial"/>
          <w:szCs w:val="18"/>
        </w:rPr>
      </w:pPr>
      <w:r>
        <w:lastRenderedPageBreak/>
        <w:t>8.</w:t>
      </w:r>
      <w:r>
        <w:tab/>
        <w:t>Il periodo operativo previsto per l'alimentazione elettrica di emergenza è definito in base alla destinazione della nave da passeggeri. Esso non deve essere inferiore a 30 minuti.</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noProof/>
        </w:rPr>
      </w:pPr>
      <w:r>
        <w:t>9.</w:t>
      </w:r>
      <w:r>
        <w:tab/>
        <w:t>Le resistenze di isolamento e la messa a terra degli impianti elettrici sono testate in occasione delle ispezioni periodiche.</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noProof/>
        </w:rPr>
      </w:pPr>
      <w:r>
        <w:t>10.</w:t>
      </w:r>
      <w:r>
        <w:tab/>
        <w:t>Le fonti di alimentazione elettrica di cui all'articolo 10.02, paragrafo 1, sono indipendenti l'una dall'altra.</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noProof/>
        </w:rPr>
      </w:pPr>
      <w:r>
        <w:t>11.</w:t>
      </w:r>
      <w:r>
        <w:tab/>
        <w:t>Un guasto dell'impianto elettrico principale o di quello di emergenza non deve influire sulla sicurezza operativa dell'altro impianto.</w:t>
      </w:r>
    </w:p>
    <w:p w:rsidR="00973DAA" w:rsidRPr="00C903F8" w:rsidRDefault="00973DAA" w:rsidP="00973DAA">
      <w:pPr>
        <w:pStyle w:val="ESch"/>
        <w:rPr>
          <w:rFonts w:eastAsia="Calibri" w:cs="Arial"/>
          <w:szCs w:val="18"/>
        </w:rPr>
      </w:pPr>
    </w:p>
    <w:p w:rsidR="00B72823" w:rsidRPr="00C903F8" w:rsidRDefault="00B72823" w:rsidP="00973DAA">
      <w:pPr>
        <w:pStyle w:val="ESch"/>
        <w:rPr>
          <w:rFonts w:eastAsia="Calibri" w:cs="Arial"/>
          <w:szCs w:val="18"/>
        </w:rPr>
      </w:pPr>
    </w:p>
    <w:p w:rsidR="00973DAA" w:rsidRPr="00C903F8" w:rsidRDefault="00973DAA" w:rsidP="00B72823">
      <w:pPr>
        <w:pStyle w:val="ES-Titre3"/>
        <w:rPr>
          <w:rFonts w:cs="Arial"/>
          <w:i/>
          <w:szCs w:val="18"/>
        </w:rPr>
      </w:pPr>
      <w:bookmarkStart w:id="366" w:name="_Toc491854180"/>
      <w:bookmarkStart w:id="367" w:name="_Toc535500129"/>
      <w:r>
        <w:t>Articolo 19.11</w:t>
      </w:r>
      <w:r>
        <w:br/>
      </w:r>
      <w:r>
        <w:rPr>
          <w:i/>
          <w:noProof/>
        </w:rPr>
        <w:t>Protezione antincendio</w:t>
      </w:r>
      <w:bookmarkEnd w:id="366"/>
      <w:bookmarkEnd w:id="367"/>
    </w:p>
    <w:p w:rsidR="00B72823" w:rsidRPr="00C903F8" w:rsidRDefault="00B72823" w:rsidP="00973DAA">
      <w:pPr>
        <w:pStyle w:val="ESch"/>
        <w:rPr>
          <w:rFonts w:eastAsia="Calibri"/>
          <w:noProof/>
        </w:rPr>
      </w:pPr>
    </w:p>
    <w:p w:rsidR="00973DAA" w:rsidRPr="00C903F8" w:rsidRDefault="00B72823" w:rsidP="00973DAA">
      <w:pPr>
        <w:pStyle w:val="ESch"/>
        <w:rPr>
          <w:rFonts w:eastAsia="Calibri" w:cs="Arial"/>
          <w:szCs w:val="18"/>
        </w:rPr>
      </w:pPr>
      <w:r>
        <w:t>1.</w:t>
      </w:r>
      <w:r>
        <w:tab/>
        <w:t>L'idoneità alla protezione antincendio dei materiali e dei componenti è stabilita da un ente di controllo accreditato sulla base di adeguati metodi di prova.</w:t>
      </w:r>
    </w:p>
    <w:p w:rsidR="00973DAA" w:rsidRPr="00C903F8" w:rsidRDefault="005C7859" w:rsidP="00B72823">
      <w:pPr>
        <w:pStyle w:val="ESlet"/>
        <w:rPr>
          <w:rFonts w:eastAsia="Calibri" w:cs="Arial"/>
          <w:szCs w:val="18"/>
        </w:rPr>
      </w:pPr>
      <w:r>
        <w:t>a)</w:t>
      </w:r>
      <w:r>
        <w:tab/>
        <w:t>L'ente di controllo deve soddisfare:</w:t>
      </w:r>
    </w:p>
    <w:p w:rsidR="00973DAA" w:rsidRPr="00C903F8" w:rsidRDefault="0029453D" w:rsidP="00B72823">
      <w:pPr>
        <w:pStyle w:val="EStiret"/>
        <w:rPr>
          <w:rFonts w:eastAsia="Calibri" w:cs="Arial"/>
          <w:szCs w:val="18"/>
        </w:rPr>
      </w:pPr>
      <w:r>
        <w:t>aa)</w:t>
      </w:r>
      <w:r>
        <w:tab/>
        <w:t>il codice delle procedure per le prove antincendio; oppure</w:t>
      </w:r>
    </w:p>
    <w:p w:rsidR="00973DAA" w:rsidRPr="00762086" w:rsidRDefault="00973DAA" w:rsidP="00B72823">
      <w:pPr>
        <w:pStyle w:val="EStiret"/>
        <w:rPr>
          <w:rFonts w:eastAsia="Calibri" w:cs="Arial"/>
          <w:szCs w:val="18"/>
          <w:lang w:val="es-ES"/>
        </w:rPr>
      </w:pPr>
      <w:r w:rsidRPr="00762086">
        <w:rPr>
          <w:lang w:val="es-ES"/>
        </w:rPr>
        <w:t>bb)</w:t>
      </w:r>
      <w:r w:rsidRPr="00762086">
        <w:rPr>
          <w:lang w:val="es-ES"/>
        </w:rPr>
        <w:tab/>
        <w:t>la norma europea EN ISO/IEC 17025:2005.</w:t>
      </w:r>
    </w:p>
    <w:p w:rsidR="00973DAA" w:rsidRPr="00C903F8" w:rsidRDefault="005C7859" w:rsidP="00B72823">
      <w:pPr>
        <w:pStyle w:val="ESlet"/>
        <w:rPr>
          <w:rFonts w:eastAsia="Calibri" w:cs="Arial"/>
          <w:szCs w:val="18"/>
        </w:rPr>
      </w:pPr>
      <w:r>
        <w:t>b)</w:t>
      </w:r>
      <w:r>
        <w:tab/>
        <w:t>I metodi di prova riconosciuti per determinare la non infiammabilità dei materiali sono:</w:t>
      </w:r>
    </w:p>
    <w:p w:rsidR="00973DAA" w:rsidRPr="00C903F8" w:rsidRDefault="0029453D" w:rsidP="00B72823">
      <w:pPr>
        <w:pStyle w:val="EStiret"/>
        <w:rPr>
          <w:rFonts w:eastAsia="Calibri" w:cs="Arial"/>
          <w:szCs w:val="18"/>
        </w:rPr>
      </w:pPr>
      <w:r>
        <w:t>aa)</w:t>
      </w:r>
      <w:r>
        <w:tab/>
        <w:t>l'allegato 1, parte 1, del codice delle procedure per le prove antincendio; e</w:t>
      </w:r>
    </w:p>
    <w:p w:rsidR="00973DAA" w:rsidRPr="00C903F8" w:rsidRDefault="00973DAA" w:rsidP="00B72823">
      <w:pPr>
        <w:pStyle w:val="EStiret"/>
        <w:rPr>
          <w:rFonts w:eastAsia="Calibri" w:cs="Arial"/>
          <w:szCs w:val="18"/>
        </w:rPr>
      </w:pPr>
      <w:r>
        <w:t>bb)</w:t>
      </w:r>
      <w:r>
        <w:tab/>
        <w:t>i regolamenti equivalenti di uno degli Stati membri.</w:t>
      </w:r>
    </w:p>
    <w:p w:rsidR="00973DAA" w:rsidRPr="00C903F8" w:rsidRDefault="005C7859" w:rsidP="00B72823">
      <w:pPr>
        <w:pStyle w:val="ESlet"/>
        <w:rPr>
          <w:rFonts w:eastAsia="Calibri" w:cs="Arial"/>
          <w:szCs w:val="18"/>
        </w:rPr>
      </w:pPr>
      <w:r>
        <w:t>c)</w:t>
      </w:r>
      <w:r>
        <w:tab/>
        <w:t>I metodi di prova riconosciuti per determinare che un materiale è ad infiammabilità ritardata sono:</w:t>
      </w:r>
    </w:p>
    <w:p w:rsidR="00973DAA" w:rsidRPr="00C903F8" w:rsidRDefault="0029453D" w:rsidP="00B72823">
      <w:pPr>
        <w:pStyle w:val="EStiret"/>
        <w:rPr>
          <w:rFonts w:eastAsia="Calibri" w:cs="Arial"/>
          <w:szCs w:val="18"/>
        </w:rPr>
      </w:pPr>
      <w:r>
        <w:t>aa)</w:t>
      </w:r>
      <w:r>
        <w:tab/>
        <w:t>i rispettivi requisiti di cui all'allegato 1, parte 5 (prova di infiammabilità delle superfici - prova relativa ai materiali delle superfici e ai rivestimenti primari dei ponti), parte 7 (prova relativa ai materiali tessili e sintetici sospesi verticalmente), parte 8 (prova relativa al mobilio imbottito) e parte 9 (prova relativa alla biancheria da letto) del codice delle procedure per le prove antincendio; e</w:t>
      </w:r>
    </w:p>
    <w:p w:rsidR="00973DAA" w:rsidRPr="00C903F8" w:rsidRDefault="00973DAA" w:rsidP="00B72823">
      <w:pPr>
        <w:pStyle w:val="EStiret"/>
        <w:rPr>
          <w:rFonts w:eastAsia="Calibri" w:cs="Arial"/>
          <w:szCs w:val="18"/>
        </w:rPr>
      </w:pPr>
      <w:r>
        <w:t>bb)</w:t>
      </w:r>
      <w:r>
        <w:tab/>
        <w:t>i regolamenti equivalenti di uno degli Stati membri.</w:t>
      </w:r>
    </w:p>
    <w:p w:rsidR="00973DAA" w:rsidRPr="00C903F8" w:rsidRDefault="0029453D" w:rsidP="00B72823">
      <w:pPr>
        <w:pStyle w:val="ESlet"/>
        <w:rPr>
          <w:rFonts w:eastAsia="Calibri" w:cs="Arial"/>
          <w:szCs w:val="18"/>
        </w:rPr>
      </w:pPr>
      <w:r>
        <w:t>d)</w:t>
      </w:r>
      <w:r>
        <w:tab/>
        <w:t>I metodi di prova riconosciuti per determinare la resistenza al fuoco sono:</w:t>
      </w:r>
    </w:p>
    <w:p w:rsidR="00973DAA" w:rsidRPr="00C903F8" w:rsidRDefault="0029453D" w:rsidP="00B72823">
      <w:pPr>
        <w:pStyle w:val="EStiret"/>
        <w:rPr>
          <w:rFonts w:eastAsia="Calibri" w:cs="Arial"/>
          <w:szCs w:val="18"/>
        </w:rPr>
      </w:pPr>
      <w:r>
        <w:t>aa)</w:t>
      </w:r>
      <w:r>
        <w:tab/>
        <w:t>allegato I, parte 3, del codice delle procedure per le prove antincendio; e</w:t>
      </w:r>
    </w:p>
    <w:p w:rsidR="00973DAA" w:rsidRPr="00C903F8" w:rsidRDefault="00973DAA" w:rsidP="00B72823">
      <w:pPr>
        <w:pStyle w:val="EStiret"/>
        <w:rPr>
          <w:rFonts w:eastAsia="Calibri" w:cs="Arial"/>
          <w:szCs w:val="18"/>
        </w:rPr>
      </w:pPr>
      <w:r>
        <w:t>bb)</w:t>
      </w:r>
      <w:r>
        <w:tab/>
        <w:t>i regolamenti equivalenti di uno degli Stati membri.</w:t>
      </w:r>
    </w:p>
    <w:p w:rsidR="00973DAA" w:rsidRPr="00C903F8" w:rsidRDefault="0029453D" w:rsidP="00B72823">
      <w:pPr>
        <w:pStyle w:val="ESlet"/>
        <w:rPr>
          <w:rFonts w:eastAsia="Calibri" w:cs="Arial"/>
          <w:szCs w:val="18"/>
        </w:rPr>
      </w:pPr>
      <w:r>
        <w:t>e)</w:t>
      </w:r>
      <w:r>
        <w:tab/>
        <w:t>la commissione di ispezione può richiedere, conformemente al codice delle procedure per le prove antincendio, una prova su una paratia divisoria campione per assicurarsi che sia conforme alle disposizioni di cui al paragrafo 2 concernenti la resistività e l'aumento della temperatura.</w:t>
      </w:r>
    </w:p>
    <w:p w:rsidR="00B72823" w:rsidRPr="00C903F8" w:rsidRDefault="00B72823" w:rsidP="00973DAA">
      <w:pPr>
        <w:pStyle w:val="ESch"/>
        <w:rPr>
          <w:rFonts w:eastAsia="Calibri"/>
          <w:noProof/>
        </w:rPr>
      </w:pPr>
    </w:p>
    <w:p w:rsidR="00124738" w:rsidRPr="00C903F8" w:rsidRDefault="00124738" w:rsidP="00973DAA">
      <w:pPr>
        <w:pStyle w:val="ESch"/>
        <w:rPr>
          <w:rFonts w:eastAsia="Calibri"/>
          <w:noProof/>
        </w:rPr>
      </w:pPr>
      <w:r>
        <w:br w:type="page"/>
      </w:r>
    </w:p>
    <w:p w:rsidR="00973DAA" w:rsidRPr="00C903F8" w:rsidRDefault="00973DAA" w:rsidP="00973DAA">
      <w:pPr>
        <w:pStyle w:val="ESch"/>
        <w:rPr>
          <w:rFonts w:eastAsia="Calibri" w:cs="Arial"/>
          <w:szCs w:val="18"/>
        </w:rPr>
      </w:pPr>
      <w:r>
        <w:lastRenderedPageBreak/>
        <w:t>2.</w:t>
      </w:r>
      <w:r>
        <w:tab/>
        <w:t>Paratie</w:t>
      </w:r>
    </w:p>
    <w:p w:rsidR="00973DAA" w:rsidRPr="00C903F8" w:rsidRDefault="005C7859" w:rsidP="00B72823">
      <w:pPr>
        <w:pStyle w:val="ESlet"/>
        <w:rPr>
          <w:rFonts w:eastAsia="Calibri" w:cs="Arial"/>
          <w:szCs w:val="18"/>
        </w:rPr>
      </w:pPr>
      <w:r>
        <w:t>a)</w:t>
      </w:r>
      <w:r>
        <w:tab/>
        <w:t>tra i locali sono progettate secondo le seguenti tabelle:</w:t>
      </w:r>
    </w:p>
    <w:p w:rsidR="00973DAA" w:rsidRPr="00C903F8" w:rsidRDefault="00973DAA" w:rsidP="0029453D">
      <w:pPr>
        <w:pStyle w:val="ESlet"/>
        <w:ind w:left="1560" w:hanging="567"/>
        <w:rPr>
          <w:rFonts w:eastAsia="Calibri"/>
          <w:noProof/>
        </w:rPr>
      </w:pPr>
      <w:r>
        <w:t>aa)</w:t>
      </w:r>
      <w:r>
        <w:tab/>
        <w:t xml:space="preserve">tabella relativa alle paratie divisorie tra locali in cui non sono installati impianti pressurizzati a </w:t>
      </w:r>
      <w:r>
        <w:rPr>
          <w:i/>
        </w:rPr>
        <w:t>sprinkler</w:t>
      </w:r>
      <w:r>
        <w:t xml:space="preserve"> a norma dell'articolo 13.04;</w:t>
      </w:r>
    </w:p>
    <w:p w:rsidR="00124738" w:rsidRPr="00C903F8" w:rsidRDefault="00124738" w:rsidP="00124738">
      <w:pPr>
        <w:pStyle w:val="ESch"/>
        <w:rPr>
          <w:rFonts w:eastAsia="Calibri"/>
          <w:noProof/>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1843"/>
        <w:gridCol w:w="972"/>
        <w:gridCol w:w="972"/>
        <w:gridCol w:w="972"/>
        <w:gridCol w:w="972"/>
        <w:gridCol w:w="972"/>
        <w:gridCol w:w="972"/>
        <w:gridCol w:w="972"/>
      </w:tblGrid>
      <w:tr w:rsidR="00124738" w:rsidRPr="00C903F8" w:rsidTr="007A7CC3">
        <w:trPr>
          <w:jc w:val="center"/>
        </w:trPr>
        <w:tc>
          <w:tcPr>
            <w:tcW w:w="1843" w:type="dxa"/>
          </w:tcPr>
          <w:p w:rsidR="00124738" w:rsidRPr="00C903F8" w:rsidRDefault="00124738" w:rsidP="00124738">
            <w:pPr>
              <w:spacing w:before="60" w:after="60" w:line="240" w:lineRule="atLeast"/>
              <w:ind w:left="0" w:firstLine="0"/>
              <w:rPr>
                <w:rFonts w:cs="Arial"/>
                <w:noProof/>
                <w:sz w:val="18"/>
                <w:szCs w:val="18"/>
              </w:rPr>
            </w:pPr>
            <w:r>
              <w:rPr>
                <w:noProof/>
                <w:sz w:val="18"/>
              </w:rPr>
              <w:t>Locali</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Centri di comando</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Vani scale</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Punti di riunione</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Sale di ritrovo</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Sale macchine</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Cucine</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Magazzini</w:t>
            </w:r>
          </w:p>
        </w:tc>
      </w:tr>
      <w:tr w:rsidR="00124738" w:rsidRPr="00C903F8" w:rsidTr="007A7CC3">
        <w:trPr>
          <w:jc w:val="center"/>
        </w:trPr>
        <w:tc>
          <w:tcPr>
            <w:tcW w:w="1843" w:type="dxa"/>
          </w:tcPr>
          <w:p w:rsidR="00124738" w:rsidRPr="00C903F8" w:rsidRDefault="00124738" w:rsidP="00124738">
            <w:pPr>
              <w:spacing w:before="60" w:after="60" w:line="240" w:lineRule="atLeast"/>
              <w:ind w:left="0" w:firstLine="0"/>
              <w:rPr>
                <w:rFonts w:cs="Arial"/>
                <w:noProof/>
                <w:sz w:val="18"/>
                <w:szCs w:val="18"/>
              </w:rPr>
            </w:pPr>
            <w:r>
              <w:rPr>
                <w:noProof/>
                <w:sz w:val="18"/>
              </w:rPr>
              <w:t>Centri di comando</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r>
              <w:rPr>
                <w:noProof/>
                <w:sz w:val="18"/>
              </w:rPr>
              <w:t>-</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r>
              <w:rPr>
                <w:noProof/>
                <w:sz w:val="18"/>
              </w:rPr>
              <w:t>A0</w:t>
            </w:r>
          </w:p>
        </w:tc>
        <w:tc>
          <w:tcPr>
            <w:tcW w:w="972" w:type="dxa"/>
          </w:tcPr>
          <w:p w:rsidR="00124738" w:rsidRPr="00C903F8" w:rsidRDefault="00124738" w:rsidP="00275065">
            <w:pPr>
              <w:spacing w:before="60" w:after="60" w:line="240" w:lineRule="atLeast"/>
              <w:ind w:left="0" w:firstLine="0"/>
              <w:jc w:val="center"/>
              <w:rPr>
                <w:rFonts w:cs="Arial"/>
                <w:noProof/>
                <w:sz w:val="18"/>
                <w:szCs w:val="18"/>
                <w:vertAlign w:val="superscript"/>
              </w:rPr>
            </w:pPr>
            <w:r>
              <w:rPr>
                <w:noProof/>
                <w:sz w:val="18"/>
              </w:rPr>
              <w:t>A0/B15</w:t>
            </w:r>
            <w:r>
              <w:rPr>
                <w:noProof/>
                <w:sz w:val="18"/>
                <w:vertAlign w:val="superscript"/>
              </w:rPr>
              <w:t>1)</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r>
              <w:rPr>
                <w:noProof/>
                <w:sz w:val="18"/>
              </w:rPr>
              <w:t>A30</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r>
              <w:rPr>
                <w:noProof/>
                <w:sz w:val="18"/>
              </w:rPr>
              <w:t>A60</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r>
              <w:rPr>
                <w:noProof/>
                <w:sz w:val="18"/>
              </w:rPr>
              <w:t>A60</w:t>
            </w:r>
          </w:p>
        </w:tc>
        <w:tc>
          <w:tcPr>
            <w:tcW w:w="972" w:type="dxa"/>
            <w:vAlign w:val="center"/>
          </w:tcPr>
          <w:p w:rsidR="00124738" w:rsidRPr="00C903F8" w:rsidRDefault="00124738" w:rsidP="00275065">
            <w:pPr>
              <w:spacing w:before="60" w:after="60" w:line="240" w:lineRule="atLeast"/>
              <w:ind w:left="0" w:firstLine="0"/>
              <w:jc w:val="center"/>
              <w:rPr>
                <w:rFonts w:cs="Arial"/>
                <w:noProof/>
                <w:sz w:val="18"/>
                <w:szCs w:val="18"/>
              </w:rPr>
            </w:pPr>
            <w:r>
              <w:rPr>
                <w:noProof/>
                <w:sz w:val="18"/>
              </w:rPr>
              <w:t>A30/A60</w:t>
            </w:r>
            <w:r>
              <w:rPr>
                <w:noProof/>
                <w:sz w:val="18"/>
                <w:vertAlign w:val="superscript"/>
              </w:rPr>
              <w:t>5)</w:t>
            </w:r>
          </w:p>
        </w:tc>
      </w:tr>
      <w:tr w:rsidR="00124738" w:rsidRPr="00C903F8" w:rsidTr="007A7CC3">
        <w:trPr>
          <w:jc w:val="center"/>
        </w:trPr>
        <w:tc>
          <w:tcPr>
            <w:tcW w:w="1843" w:type="dxa"/>
          </w:tcPr>
          <w:p w:rsidR="00124738" w:rsidRPr="00C903F8" w:rsidRDefault="00124738" w:rsidP="00124738">
            <w:pPr>
              <w:spacing w:before="60" w:after="60" w:line="240" w:lineRule="atLeast"/>
              <w:ind w:left="0" w:firstLine="0"/>
              <w:rPr>
                <w:rFonts w:cs="Arial"/>
                <w:noProof/>
                <w:sz w:val="18"/>
                <w:szCs w:val="18"/>
              </w:rPr>
            </w:pPr>
            <w:r>
              <w:rPr>
                <w:noProof/>
                <w:sz w:val="18"/>
              </w:rPr>
              <w:t>Vani scale</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r>
              <w:rPr>
                <w:noProof/>
                <w:sz w:val="18"/>
              </w:rPr>
              <w:t>-</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r>
              <w:rPr>
                <w:noProof/>
                <w:sz w:val="18"/>
              </w:rPr>
              <w:t>A0</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r>
              <w:rPr>
                <w:noProof/>
                <w:sz w:val="18"/>
              </w:rPr>
              <w:t>A30</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r>
              <w:rPr>
                <w:noProof/>
                <w:sz w:val="18"/>
              </w:rPr>
              <w:t>A60</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r>
              <w:rPr>
                <w:noProof/>
                <w:sz w:val="18"/>
              </w:rPr>
              <w:t>A60</w:t>
            </w:r>
          </w:p>
        </w:tc>
        <w:tc>
          <w:tcPr>
            <w:tcW w:w="972" w:type="dxa"/>
            <w:vAlign w:val="center"/>
          </w:tcPr>
          <w:p w:rsidR="00124738" w:rsidRPr="00C903F8" w:rsidRDefault="00124738" w:rsidP="00275065">
            <w:pPr>
              <w:spacing w:before="60" w:after="60" w:line="240" w:lineRule="atLeast"/>
              <w:ind w:left="0" w:firstLine="0"/>
              <w:jc w:val="center"/>
              <w:rPr>
                <w:rFonts w:cs="Arial"/>
                <w:noProof/>
                <w:sz w:val="18"/>
                <w:szCs w:val="18"/>
              </w:rPr>
            </w:pPr>
            <w:r>
              <w:rPr>
                <w:noProof/>
                <w:sz w:val="18"/>
              </w:rPr>
              <w:t>A30</w:t>
            </w:r>
          </w:p>
        </w:tc>
      </w:tr>
      <w:tr w:rsidR="00124738" w:rsidRPr="00C903F8" w:rsidTr="007A7CC3">
        <w:trPr>
          <w:jc w:val="center"/>
        </w:trPr>
        <w:tc>
          <w:tcPr>
            <w:tcW w:w="1843" w:type="dxa"/>
          </w:tcPr>
          <w:p w:rsidR="00124738" w:rsidRPr="00C903F8" w:rsidRDefault="00124738" w:rsidP="00124738">
            <w:pPr>
              <w:spacing w:before="60" w:after="60" w:line="240" w:lineRule="atLeast"/>
              <w:ind w:left="0" w:firstLine="0"/>
              <w:rPr>
                <w:rFonts w:cs="Arial"/>
                <w:noProof/>
                <w:sz w:val="18"/>
                <w:szCs w:val="18"/>
              </w:rPr>
            </w:pPr>
            <w:r>
              <w:rPr>
                <w:noProof/>
                <w:sz w:val="18"/>
              </w:rPr>
              <w:t>Punti di riunione</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r>
              <w:rPr>
                <w:noProof/>
                <w:sz w:val="18"/>
              </w:rPr>
              <w:t>-</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r>
              <w:rPr>
                <w:noProof/>
                <w:sz w:val="18"/>
              </w:rPr>
              <w:t>A30/B15</w:t>
            </w:r>
            <w:r>
              <w:rPr>
                <w:noProof/>
                <w:sz w:val="18"/>
                <w:vertAlign w:val="superscript"/>
              </w:rPr>
              <w:t>2)</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r>
              <w:rPr>
                <w:noProof/>
                <w:sz w:val="18"/>
              </w:rPr>
              <w:t>A60</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r>
              <w:rPr>
                <w:noProof/>
                <w:sz w:val="18"/>
              </w:rPr>
              <w:t>A60</w:t>
            </w:r>
          </w:p>
        </w:tc>
        <w:tc>
          <w:tcPr>
            <w:tcW w:w="972" w:type="dxa"/>
            <w:vAlign w:val="center"/>
          </w:tcPr>
          <w:p w:rsidR="00124738" w:rsidRPr="00C903F8" w:rsidRDefault="00124738" w:rsidP="00275065">
            <w:pPr>
              <w:spacing w:before="60" w:after="60" w:line="240" w:lineRule="atLeast"/>
              <w:ind w:left="0" w:firstLine="0"/>
              <w:jc w:val="center"/>
              <w:rPr>
                <w:rFonts w:cs="Arial"/>
                <w:noProof/>
                <w:sz w:val="18"/>
                <w:szCs w:val="18"/>
              </w:rPr>
            </w:pPr>
            <w:r>
              <w:rPr>
                <w:noProof/>
                <w:sz w:val="18"/>
              </w:rPr>
              <w:t>A30/A60</w:t>
            </w:r>
            <w:r>
              <w:rPr>
                <w:noProof/>
                <w:sz w:val="18"/>
                <w:vertAlign w:val="superscript"/>
              </w:rPr>
              <w:t>5)</w:t>
            </w:r>
          </w:p>
        </w:tc>
      </w:tr>
      <w:tr w:rsidR="00124738" w:rsidRPr="00C903F8" w:rsidTr="007A7CC3">
        <w:trPr>
          <w:jc w:val="center"/>
        </w:trPr>
        <w:tc>
          <w:tcPr>
            <w:tcW w:w="1843" w:type="dxa"/>
          </w:tcPr>
          <w:p w:rsidR="00124738" w:rsidRPr="00C903F8" w:rsidRDefault="00124738" w:rsidP="00124738">
            <w:pPr>
              <w:spacing w:before="60" w:after="60" w:line="240" w:lineRule="atLeast"/>
              <w:ind w:left="0" w:firstLine="0"/>
              <w:rPr>
                <w:rFonts w:cs="Arial"/>
                <w:noProof/>
                <w:sz w:val="18"/>
                <w:szCs w:val="18"/>
              </w:rPr>
            </w:pPr>
            <w:r>
              <w:rPr>
                <w:noProof/>
                <w:sz w:val="18"/>
              </w:rPr>
              <w:t>Sale di ritrovo</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r>
              <w:rPr>
                <w:noProof/>
                <w:sz w:val="18"/>
              </w:rPr>
              <w:t>-/A0/B15</w:t>
            </w:r>
            <w:r>
              <w:rPr>
                <w:noProof/>
                <w:sz w:val="18"/>
                <w:vertAlign w:val="superscript"/>
              </w:rPr>
              <w:t>3)</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r>
              <w:rPr>
                <w:noProof/>
                <w:sz w:val="18"/>
              </w:rPr>
              <w:t>A60</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r>
              <w:rPr>
                <w:noProof/>
                <w:sz w:val="18"/>
              </w:rPr>
              <w:t>A60</w:t>
            </w:r>
          </w:p>
        </w:tc>
        <w:tc>
          <w:tcPr>
            <w:tcW w:w="972" w:type="dxa"/>
            <w:vAlign w:val="center"/>
          </w:tcPr>
          <w:p w:rsidR="00124738" w:rsidRPr="00C903F8" w:rsidRDefault="00124738" w:rsidP="00275065">
            <w:pPr>
              <w:spacing w:before="60" w:after="60" w:line="240" w:lineRule="atLeast"/>
              <w:ind w:left="0" w:firstLine="0"/>
              <w:jc w:val="center"/>
              <w:rPr>
                <w:rFonts w:cs="Arial"/>
                <w:noProof/>
                <w:sz w:val="18"/>
                <w:szCs w:val="18"/>
              </w:rPr>
            </w:pPr>
            <w:r>
              <w:rPr>
                <w:noProof/>
                <w:sz w:val="18"/>
              </w:rPr>
              <w:t>A30</w:t>
            </w:r>
          </w:p>
        </w:tc>
      </w:tr>
      <w:tr w:rsidR="00124738" w:rsidRPr="00C903F8" w:rsidTr="007A7CC3">
        <w:trPr>
          <w:jc w:val="center"/>
        </w:trPr>
        <w:tc>
          <w:tcPr>
            <w:tcW w:w="1843" w:type="dxa"/>
          </w:tcPr>
          <w:p w:rsidR="00124738" w:rsidRPr="00C903F8" w:rsidRDefault="00124738" w:rsidP="00124738">
            <w:pPr>
              <w:spacing w:before="60" w:after="60" w:line="240" w:lineRule="atLeast"/>
              <w:ind w:left="0" w:firstLine="0"/>
              <w:rPr>
                <w:rFonts w:cs="Arial"/>
                <w:noProof/>
                <w:sz w:val="18"/>
                <w:szCs w:val="18"/>
              </w:rPr>
            </w:pPr>
            <w:r>
              <w:rPr>
                <w:noProof/>
                <w:sz w:val="18"/>
              </w:rPr>
              <w:t>Sale macchine</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vertAlign w:val="superscript"/>
              </w:rPr>
            </w:pPr>
            <w:r>
              <w:rPr>
                <w:noProof/>
                <w:sz w:val="18"/>
              </w:rPr>
              <w:t>A60/A0</w:t>
            </w:r>
            <w:r>
              <w:rPr>
                <w:noProof/>
                <w:sz w:val="18"/>
                <w:vertAlign w:val="superscript"/>
              </w:rPr>
              <w:t>4)</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r>
              <w:rPr>
                <w:noProof/>
                <w:sz w:val="18"/>
              </w:rPr>
              <w:t>A60</w:t>
            </w:r>
          </w:p>
        </w:tc>
        <w:tc>
          <w:tcPr>
            <w:tcW w:w="972" w:type="dxa"/>
            <w:vAlign w:val="center"/>
          </w:tcPr>
          <w:p w:rsidR="00124738" w:rsidRPr="00C903F8" w:rsidRDefault="00124738" w:rsidP="00275065">
            <w:pPr>
              <w:spacing w:before="60" w:after="60" w:line="240" w:lineRule="atLeast"/>
              <w:ind w:left="0" w:firstLine="0"/>
              <w:jc w:val="center"/>
              <w:rPr>
                <w:rFonts w:cs="Arial"/>
                <w:noProof/>
                <w:sz w:val="18"/>
                <w:szCs w:val="18"/>
              </w:rPr>
            </w:pPr>
            <w:r>
              <w:rPr>
                <w:noProof/>
                <w:sz w:val="18"/>
              </w:rPr>
              <w:t>A60</w:t>
            </w:r>
          </w:p>
        </w:tc>
      </w:tr>
      <w:tr w:rsidR="00124738" w:rsidRPr="00C903F8" w:rsidTr="007A7CC3">
        <w:trPr>
          <w:jc w:val="center"/>
        </w:trPr>
        <w:tc>
          <w:tcPr>
            <w:tcW w:w="1843" w:type="dxa"/>
          </w:tcPr>
          <w:p w:rsidR="00124738" w:rsidRPr="00C903F8" w:rsidRDefault="00124738" w:rsidP="00124738">
            <w:pPr>
              <w:spacing w:before="60" w:after="60" w:line="240" w:lineRule="atLeast"/>
              <w:ind w:left="0" w:firstLine="0"/>
              <w:rPr>
                <w:rFonts w:cs="Arial"/>
                <w:noProof/>
                <w:sz w:val="18"/>
                <w:szCs w:val="18"/>
              </w:rPr>
            </w:pPr>
            <w:r>
              <w:rPr>
                <w:noProof/>
                <w:sz w:val="18"/>
              </w:rPr>
              <w:t>Cucine</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r>
              <w:rPr>
                <w:noProof/>
                <w:sz w:val="18"/>
              </w:rPr>
              <w:t>A0</w:t>
            </w:r>
          </w:p>
        </w:tc>
        <w:tc>
          <w:tcPr>
            <w:tcW w:w="972" w:type="dxa"/>
            <w:vAlign w:val="center"/>
          </w:tcPr>
          <w:p w:rsidR="00124738" w:rsidRPr="00C903F8" w:rsidRDefault="00124738" w:rsidP="00275065">
            <w:pPr>
              <w:spacing w:before="60" w:after="60" w:line="240" w:lineRule="atLeast"/>
              <w:ind w:left="0" w:firstLine="0"/>
              <w:jc w:val="center"/>
              <w:rPr>
                <w:rFonts w:cs="Arial"/>
                <w:noProof/>
                <w:sz w:val="18"/>
                <w:szCs w:val="18"/>
              </w:rPr>
            </w:pPr>
            <w:r>
              <w:rPr>
                <w:noProof/>
                <w:sz w:val="18"/>
              </w:rPr>
              <w:t>A30/B15</w:t>
            </w:r>
            <w:r>
              <w:rPr>
                <w:noProof/>
                <w:sz w:val="18"/>
                <w:vertAlign w:val="superscript"/>
              </w:rPr>
              <w:t>6)</w:t>
            </w:r>
          </w:p>
        </w:tc>
      </w:tr>
      <w:tr w:rsidR="00124738" w:rsidRPr="00C903F8" w:rsidTr="007A7CC3">
        <w:trPr>
          <w:jc w:val="center"/>
        </w:trPr>
        <w:tc>
          <w:tcPr>
            <w:tcW w:w="1843" w:type="dxa"/>
          </w:tcPr>
          <w:p w:rsidR="00124738" w:rsidRPr="00C903F8" w:rsidRDefault="00124738" w:rsidP="00124738">
            <w:pPr>
              <w:spacing w:before="60" w:after="60" w:line="240" w:lineRule="atLeast"/>
              <w:ind w:left="0" w:firstLine="0"/>
              <w:rPr>
                <w:rFonts w:cs="Arial"/>
                <w:noProof/>
                <w:sz w:val="18"/>
                <w:szCs w:val="18"/>
              </w:rPr>
            </w:pPr>
            <w:r>
              <w:rPr>
                <w:noProof/>
                <w:sz w:val="18"/>
              </w:rPr>
              <w:t>Magazzini</w:t>
            </w: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p>
        </w:tc>
        <w:tc>
          <w:tcPr>
            <w:tcW w:w="972" w:type="dxa"/>
          </w:tcPr>
          <w:p w:rsidR="00124738" w:rsidRPr="00C903F8" w:rsidRDefault="00124738" w:rsidP="00275065">
            <w:pPr>
              <w:spacing w:before="60" w:after="60" w:line="240" w:lineRule="atLeast"/>
              <w:ind w:left="0" w:firstLine="0"/>
              <w:jc w:val="center"/>
              <w:rPr>
                <w:rFonts w:cs="Arial"/>
                <w:noProof/>
                <w:sz w:val="18"/>
                <w:szCs w:val="18"/>
              </w:rPr>
            </w:pPr>
            <w:r>
              <w:rPr>
                <w:noProof/>
                <w:sz w:val="18"/>
              </w:rPr>
              <w:t>-</w:t>
            </w:r>
          </w:p>
        </w:tc>
      </w:tr>
    </w:tbl>
    <w:p w:rsidR="00124738" w:rsidRPr="00C903F8" w:rsidRDefault="00124738" w:rsidP="00124738">
      <w:pPr>
        <w:pStyle w:val="ESch"/>
        <w:rPr>
          <w:rFonts w:eastAsia="Calibri"/>
          <w:noProof/>
        </w:rPr>
      </w:pPr>
    </w:p>
    <w:p w:rsidR="00124738" w:rsidRPr="00C903F8" w:rsidRDefault="00124738" w:rsidP="00124738">
      <w:pPr>
        <w:pStyle w:val="ESch"/>
        <w:rPr>
          <w:rFonts w:eastAsia="Calibri" w:cs="Arial"/>
          <w:szCs w:val="18"/>
        </w:rPr>
      </w:pPr>
    </w:p>
    <w:p w:rsidR="00973DAA" w:rsidRPr="00C903F8" w:rsidRDefault="00973DAA" w:rsidP="0029453D">
      <w:pPr>
        <w:pStyle w:val="ESlet"/>
        <w:ind w:left="1560" w:hanging="567"/>
        <w:rPr>
          <w:rFonts w:eastAsia="Calibri"/>
          <w:noProof/>
        </w:rPr>
      </w:pPr>
      <w:r>
        <w:t>bb)</w:t>
      </w:r>
      <w:r>
        <w:tab/>
        <w:t xml:space="preserve">tabella relativa alle paratie divisorie tra locali in cui sono installati impianti pressurizzati a </w:t>
      </w:r>
      <w:r>
        <w:rPr>
          <w:i/>
        </w:rPr>
        <w:t>sprinkler</w:t>
      </w:r>
      <w:r>
        <w:t xml:space="preserve"> a norma dell'articolo 13.04;</w:t>
      </w:r>
    </w:p>
    <w:p w:rsidR="00124738" w:rsidRPr="00C903F8" w:rsidRDefault="00124738" w:rsidP="00124738">
      <w:pPr>
        <w:pStyle w:val="ESch"/>
        <w:rPr>
          <w:rFonts w:eastAsia="Calibri"/>
          <w:noProof/>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1843"/>
        <w:gridCol w:w="972"/>
        <w:gridCol w:w="972"/>
        <w:gridCol w:w="972"/>
        <w:gridCol w:w="972"/>
        <w:gridCol w:w="972"/>
        <w:gridCol w:w="972"/>
        <w:gridCol w:w="972"/>
      </w:tblGrid>
      <w:tr w:rsidR="00124738" w:rsidRPr="00C903F8" w:rsidTr="007A7CC3">
        <w:trPr>
          <w:tblHeader/>
          <w:jc w:val="center"/>
        </w:trPr>
        <w:tc>
          <w:tcPr>
            <w:tcW w:w="1843" w:type="dxa"/>
          </w:tcPr>
          <w:p w:rsidR="00124738" w:rsidRPr="00C903F8" w:rsidRDefault="00124738" w:rsidP="00124738">
            <w:pPr>
              <w:spacing w:before="60" w:after="60" w:line="240" w:lineRule="atLeast"/>
              <w:ind w:left="0" w:firstLine="0"/>
              <w:jc w:val="left"/>
              <w:rPr>
                <w:rFonts w:cs="Arial"/>
                <w:noProof/>
                <w:sz w:val="18"/>
                <w:szCs w:val="18"/>
              </w:rPr>
            </w:pPr>
            <w:r>
              <w:rPr>
                <w:noProof/>
                <w:sz w:val="18"/>
              </w:rPr>
              <w:t>Locali</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Centri di comando</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Vani scale</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Punti di riunione</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Sale di ritrovo</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Sale macchine</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Cucine</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 xml:space="preserve">Magazzini </w:t>
            </w:r>
          </w:p>
        </w:tc>
      </w:tr>
      <w:tr w:rsidR="00124738" w:rsidRPr="00C903F8" w:rsidTr="007A7CC3">
        <w:trPr>
          <w:jc w:val="center"/>
        </w:trPr>
        <w:tc>
          <w:tcPr>
            <w:tcW w:w="1843" w:type="dxa"/>
          </w:tcPr>
          <w:p w:rsidR="00124738" w:rsidRPr="00C903F8" w:rsidRDefault="00124738" w:rsidP="00124738">
            <w:pPr>
              <w:spacing w:before="60" w:after="60" w:line="240" w:lineRule="atLeast"/>
              <w:ind w:left="0" w:firstLine="0"/>
              <w:jc w:val="left"/>
              <w:rPr>
                <w:rFonts w:cs="Arial"/>
                <w:noProof/>
                <w:sz w:val="18"/>
                <w:szCs w:val="18"/>
              </w:rPr>
            </w:pPr>
            <w:r>
              <w:rPr>
                <w:noProof/>
                <w:sz w:val="18"/>
              </w:rPr>
              <w:t>Centri di comando</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A0</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A0/ B15</w:t>
            </w:r>
            <w:r>
              <w:rPr>
                <w:noProof/>
                <w:sz w:val="18"/>
                <w:vertAlign w:val="superscript"/>
              </w:rPr>
              <w:t>1)</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A0</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A60</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A30</w:t>
            </w:r>
          </w:p>
        </w:tc>
        <w:tc>
          <w:tcPr>
            <w:tcW w:w="972" w:type="dxa"/>
            <w:vAlign w:val="center"/>
          </w:tcPr>
          <w:p w:rsidR="00124738" w:rsidRPr="00C903F8" w:rsidRDefault="00124738" w:rsidP="00124738">
            <w:pPr>
              <w:spacing w:before="60" w:after="60" w:line="240" w:lineRule="atLeast"/>
              <w:ind w:left="0" w:firstLine="0"/>
              <w:jc w:val="center"/>
              <w:rPr>
                <w:rFonts w:cs="Arial"/>
                <w:noProof/>
                <w:sz w:val="18"/>
                <w:szCs w:val="18"/>
              </w:rPr>
            </w:pPr>
            <w:r>
              <w:rPr>
                <w:noProof/>
                <w:sz w:val="18"/>
              </w:rPr>
              <w:t>A0/A30</w:t>
            </w:r>
            <w:r>
              <w:rPr>
                <w:noProof/>
                <w:sz w:val="18"/>
                <w:vertAlign w:val="superscript"/>
              </w:rPr>
              <w:t>5)</w:t>
            </w:r>
          </w:p>
        </w:tc>
      </w:tr>
      <w:tr w:rsidR="00124738" w:rsidRPr="00C903F8" w:rsidTr="007A7CC3">
        <w:trPr>
          <w:jc w:val="center"/>
        </w:trPr>
        <w:tc>
          <w:tcPr>
            <w:tcW w:w="1843" w:type="dxa"/>
          </w:tcPr>
          <w:p w:rsidR="00124738" w:rsidRPr="00C903F8" w:rsidRDefault="00124738" w:rsidP="00124738">
            <w:pPr>
              <w:spacing w:before="60" w:after="60" w:line="240" w:lineRule="atLeast"/>
              <w:ind w:left="0" w:firstLine="0"/>
              <w:jc w:val="left"/>
              <w:rPr>
                <w:rFonts w:cs="Arial"/>
                <w:noProof/>
                <w:sz w:val="18"/>
                <w:szCs w:val="18"/>
              </w:rPr>
            </w:pPr>
            <w:r>
              <w:rPr>
                <w:noProof/>
                <w:sz w:val="18"/>
              </w:rPr>
              <w:t>Vani scale</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p>
        </w:tc>
        <w:tc>
          <w:tcPr>
            <w:tcW w:w="972" w:type="dxa"/>
          </w:tcPr>
          <w:p w:rsidR="00124738" w:rsidRPr="00C903F8" w:rsidRDefault="00124738" w:rsidP="00124738">
            <w:pPr>
              <w:spacing w:before="60" w:after="60" w:line="240" w:lineRule="atLeast"/>
              <w:ind w:left="0" w:firstLine="0"/>
              <w:jc w:val="center"/>
              <w:rPr>
                <w:rFonts w:cs="Arial"/>
                <w:b/>
                <w:noProof/>
                <w:sz w:val="18"/>
                <w:szCs w:val="18"/>
              </w:rPr>
            </w:pPr>
            <w:r>
              <w:rPr>
                <w:b/>
                <w:noProof/>
                <w:sz w:val="18"/>
              </w:rPr>
              <w:t>-</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A0</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A0</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A60</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A30</w:t>
            </w:r>
          </w:p>
        </w:tc>
        <w:tc>
          <w:tcPr>
            <w:tcW w:w="972" w:type="dxa"/>
            <w:vAlign w:val="center"/>
          </w:tcPr>
          <w:p w:rsidR="00124738" w:rsidRPr="00C903F8" w:rsidRDefault="00124738" w:rsidP="00124738">
            <w:pPr>
              <w:spacing w:before="60" w:after="60" w:line="240" w:lineRule="atLeast"/>
              <w:ind w:left="0" w:firstLine="0"/>
              <w:jc w:val="center"/>
              <w:rPr>
                <w:rFonts w:cs="Arial"/>
                <w:noProof/>
                <w:sz w:val="18"/>
                <w:szCs w:val="18"/>
              </w:rPr>
            </w:pPr>
            <w:r>
              <w:rPr>
                <w:noProof/>
                <w:sz w:val="18"/>
              </w:rPr>
              <w:t>A0</w:t>
            </w:r>
          </w:p>
        </w:tc>
      </w:tr>
      <w:tr w:rsidR="00124738" w:rsidRPr="00C903F8" w:rsidTr="007A7CC3">
        <w:trPr>
          <w:jc w:val="center"/>
        </w:trPr>
        <w:tc>
          <w:tcPr>
            <w:tcW w:w="1843" w:type="dxa"/>
          </w:tcPr>
          <w:p w:rsidR="00124738" w:rsidRPr="00C903F8" w:rsidRDefault="00124738" w:rsidP="00124738">
            <w:pPr>
              <w:spacing w:before="60" w:after="60" w:line="240" w:lineRule="atLeast"/>
              <w:ind w:left="0" w:firstLine="0"/>
              <w:jc w:val="left"/>
              <w:rPr>
                <w:rFonts w:cs="Arial"/>
                <w:noProof/>
                <w:sz w:val="18"/>
                <w:szCs w:val="18"/>
              </w:rPr>
            </w:pPr>
            <w:r>
              <w:rPr>
                <w:noProof/>
                <w:sz w:val="18"/>
              </w:rPr>
              <w:t>Punti di riunione</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A30/B15</w:t>
            </w:r>
            <w:r>
              <w:rPr>
                <w:noProof/>
                <w:sz w:val="18"/>
                <w:vertAlign w:val="superscript"/>
              </w:rPr>
              <w:t>2)</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A60</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A30</w:t>
            </w:r>
          </w:p>
        </w:tc>
        <w:tc>
          <w:tcPr>
            <w:tcW w:w="972" w:type="dxa"/>
            <w:vAlign w:val="center"/>
          </w:tcPr>
          <w:p w:rsidR="00124738" w:rsidRPr="00C903F8" w:rsidRDefault="00124738" w:rsidP="00124738">
            <w:pPr>
              <w:spacing w:before="60" w:after="60" w:line="240" w:lineRule="atLeast"/>
              <w:ind w:left="0" w:firstLine="0"/>
              <w:jc w:val="center"/>
              <w:rPr>
                <w:rFonts w:cs="Arial"/>
                <w:noProof/>
                <w:sz w:val="18"/>
                <w:szCs w:val="18"/>
              </w:rPr>
            </w:pPr>
            <w:r>
              <w:rPr>
                <w:noProof/>
                <w:sz w:val="18"/>
              </w:rPr>
              <w:t>A0/A30</w:t>
            </w:r>
            <w:r>
              <w:rPr>
                <w:noProof/>
                <w:sz w:val="18"/>
                <w:vertAlign w:val="superscript"/>
              </w:rPr>
              <w:t>5)</w:t>
            </w:r>
          </w:p>
        </w:tc>
      </w:tr>
      <w:tr w:rsidR="00124738" w:rsidRPr="00C903F8" w:rsidTr="007A7CC3">
        <w:trPr>
          <w:jc w:val="center"/>
        </w:trPr>
        <w:tc>
          <w:tcPr>
            <w:tcW w:w="1843" w:type="dxa"/>
          </w:tcPr>
          <w:p w:rsidR="00124738" w:rsidRPr="00C903F8" w:rsidRDefault="00124738" w:rsidP="00124738">
            <w:pPr>
              <w:spacing w:before="60" w:after="60" w:line="240" w:lineRule="atLeast"/>
              <w:ind w:left="0" w:firstLine="0"/>
              <w:jc w:val="left"/>
              <w:rPr>
                <w:rFonts w:cs="Arial"/>
                <w:noProof/>
                <w:sz w:val="18"/>
                <w:szCs w:val="18"/>
              </w:rPr>
            </w:pPr>
            <w:r>
              <w:rPr>
                <w:noProof/>
                <w:sz w:val="18"/>
              </w:rPr>
              <w:t>Sale di ritrovo</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p>
        </w:tc>
        <w:tc>
          <w:tcPr>
            <w:tcW w:w="972" w:type="dxa"/>
          </w:tcPr>
          <w:p w:rsidR="00124738" w:rsidRPr="00C903F8" w:rsidRDefault="00124738" w:rsidP="00570639">
            <w:pPr>
              <w:spacing w:before="60" w:after="60" w:line="240" w:lineRule="atLeast"/>
              <w:ind w:left="0" w:firstLine="0"/>
              <w:jc w:val="center"/>
              <w:rPr>
                <w:rFonts w:cs="Arial"/>
                <w:noProof/>
                <w:sz w:val="18"/>
                <w:szCs w:val="18"/>
              </w:rPr>
            </w:pPr>
            <w:r>
              <w:rPr>
                <w:noProof/>
                <w:sz w:val="18"/>
              </w:rPr>
              <w:t>-/B15/B0</w:t>
            </w:r>
            <w:r>
              <w:rPr>
                <w:noProof/>
                <w:sz w:val="18"/>
                <w:vertAlign w:val="superscript"/>
              </w:rPr>
              <w:t>3)</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A60</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A30</w:t>
            </w:r>
          </w:p>
        </w:tc>
        <w:tc>
          <w:tcPr>
            <w:tcW w:w="972" w:type="dxa"/>
            <w:vAlign w:val="center"/>
          </w:tcPr>
          <w:p w:rsidR="00124738" w:rsidRPr="00C903F8" w:rsidRDefault="00124738" w:rsidP="00124738">
            <w:pPr>
              <w:spacing w:before="60" w:after="60" w:line="240" w:lineRule="atLeast"/>
              <w:ind w:left="0" w:firstLine="0"/>
              <w:jc w:val="center"/>
              <w:rPr>
                <w:rFonts w:cs="Arial"/>
                <w:noProof/>
                <w:sz w:val="18"/>
                <w:szCs w:val="18"/>
              </w:rPr>
            </w:pPr>
            <w:r>
              <w:rPr>
                <w:noProof/>
                <w:sz w:val="18"/>
              </w:rPr>
              <w:t>A0</w:t>
            </w:r>
          </w:p>
        </w:tc>
      </w:tr>
      <w:tr w:rsidR="00124738" w:rsidRPr="00C903F8" w:rsidTr="007A7CC3">
        <w:trPr>
          <w:jc w:val="center"/>
        </w:trPr>
        <w:tc>
          <w:tcPr>
            <w:tcW w:w="1843" w:type="dxa"/>
          </w:tcPr>
          <w:p w:rsidR="00124738" w:rsidRPr="00C903F8" w:rsidRDefault="00124738" w:rsidP="00124738">
            <w:pPr>
              <w:spacing w:before="60" w:after="60" w:line="240" w:lineRule="atLeast"/>
              <w:ind w:left="0" w:firstLine="0"/>
              <w:jc w:val="left"/>
              <w:rPr>
                <w:rFonts w:cs="Arial"/>
                <w:noProof/>
                <w:sz w:val="18"/>
                <w:szCs w:val="18"/>
              </w:rPr>
            </w:pPr>
            <w:r>
              <w:rPr>
                <w:noProof/>
                <w:sz w:val="18"/>
              </w:rPr>
              <w:t>Sale macchine</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p>
        </w:tc>
        <w:tc>
          <w:tcPr>
            <w:tcW w:w="972" w:type="dxa"/>
          </w:tcPr>
          <w:p w:rsidR="00124738" w:rsidRPr="00C903F8" w:rsidRDefault="00124738" w:rsidP="00124738">
            <w:pPr>
              <w:spacing w:before="60" w:after="60" w:line="240" w:lineRule="atLeast"/>
              <w:ind w:left="0" w:firstLine="0"/>
              <w:jc w:val="center"/>
              <w:rPr>
                <w:rFonts w:cs="Arial"/>
                <w:b/>
                <w:noProof/>
                <w:sz w:val="18"/>
                <w:szCs w:val="18"/>
              </w:rPr>
            </w:pP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A60/A0</w:t>
            </w:r>
            <w:r>
              <w:rPr>
                <w:noProof/>
                <w:sz w:val="18"/>
                <w:vertAlign w:val="superscript"/>
              </w:rPr>
              <w:t>4)</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A60</w:t>
            </w:r>
          </w:p>
        </w:tc>
        <w:tc>
          <w:tcPr>
            <w:tcW w:w="972" w:type="dxa"/>
            <w:vAlign w:val="center"/>
          </w:tcPr>
          <w:p w:rsidR="00124738" w:rsidRPr="00C903F8" w:rsidRDefault="00124738" w:rsidP="00124738">
            <w:pPr>
              <w:spacing w:before="60" w:after="60" w:line="240" w:lineRule="atLeast"/>
              <w:ind w:left="0" w:firstLine="0"/>
              <w:jc w:val="center"/>
              <w:rPr>
                <w:rFonts w:cs="Arial"/>
                <w:noProof/>
                <w:sz w:val="18"/>
                <w:szCs w:val="18"/>
              </w:rPr>
            </w:pPr>
            <w:r>
              <w:rPr>
                <w:noProof/>
                <w:sz w:val="18"/>
              </w:rPr>
              <w:t>A60</w:t>
            </w:r>
          </w:p>
        </w:tc>
      </w:tr>
      <w:tr w:rsidR="00124738" w:rsidRPr="00C903F8" w:rsidTr="007A7CC3">
        <w:trPr>
          <w:jc w:val="center"/>
        </w:trPr>
        <w:tc>
          <w:tcPr>
            <w:tcW w:w="1843" w:type="dxa"/>
          </w:tcPr>
          <w:p w:rsidR="00124738" w:rsidRPr="00C903F8" w:rsidRDefault="00124738" w:rsidP="00124738">
            <w:pPr>
              <w:spacing w:before="60" w:after="60" w:line="240" w:lineRule="atLeast"/>
              <w:ind w:left="0" w:firstLine="0"/>
              <w:jc w:val="left"/>
              <w:rPr>
                <w:rFonts w:cs="Arial"/>
                <w:noProof/>
                <w:sz w:val="18"/>
                <w:szCs w:val="18"/>
              </w:rPr>
            </w:pPr>
            <w:r>
              <w:rPr>
                <w:noProof/>
                <w:sz w:val="18"/>
              </w:rPr>
              <w:t>Cucine</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p>
        </w:tc>
        <w:tc>
          <w:tcPr>
            <w:tcW w:w="972" w:type="dxa"/>
          </w:tcPr>
          <w:p w:rsidR="00124738" w:rsidRPr="00C903F8" w:rsidRDefault="00124738" w:rsidP="00124738">
            <w:pPr>
              <w:spacing w:before="60" w:after="60" w:line="240" w:lineRule="atLeast"/>
              <w:ind w:left="0" w:firstLine="0"/>
              <w:jc w:val="center"/>
              <w:rPr>
                <w:rFonts w:cs="Arial"/>
                <w:b/>
                <w:noProof/>
                <w:sz w:val="18"/>
                <w:szCs w:val="18"/>
              </w:rPr>
            </w:pPr>
          </w:p>
        </w:tc>
        <w:tc>
          <w:tcPr>
            <w:tcW w:w="972" w:type="dxa"/>
          </w:tcPr>
          <w:p w:rsidR="00124738" w:rsidRPr="00C903F8" w:rsidRDefault="00124738" w:rsidP="00124738">
            <w:pPr>
              <w:spacing w:before="60" w:after="60" w:line="240" w:lineRule="atLeast"/>
              <w:ind w:left="0" w:firstLine="0"/>
              <w:jc w:val="center"/>
              <w:rPr>
                <w:rFonts w:cs="Arial"/>
                <w:b/>
                <w:noProof/>
                <w:sz w:val="18"/>
                <w:szCs w:val="18"/>
              </w:rPr>
            </w:pPr>
          </w:p>
        </w:tc>
        <w:tc>
          <w:tcPr>
            <w:tcW w:w="972" w:type="dxa"/>
          </w:tcPr>
          <w:p w:rsidR="00124738" w:rsidRPr="00C903F8" w:rsidRDefault="00124738" w:rsidP="00124738">
            <w:pPr>
              <w:spacing w:before="60" w:after="60" w:line="240" w:lineRule="atLeast"/>
              <w:ind w:left="0" w:firstLine="0"/>
              <w:jc w:val="center"/>
              <w:rPr>
                <w:rFonts w:cs="Arial"/>
                <w:b/>
                <w:noProof/>
                <w:sz w:val="18"/>
                <w:szCs w:val="18"/>
              </w:rPr>
            </w:pPr>
            <w:r>
              <w:rPr>
                <w:b/>
                <w:noProof/>
                <w:sz w:val="18"/>
              </w:rPr>
              <w:t>-</w:t>
            </w:r>
          </w:p>
        </w:tc>
        <w:tc>
          <w:tcPr>
            <w:tcW w:w="972" w:type="dxa"/>
            <w:vAlign w:val="center"/>
          </w:tcPr>
          <w:p w:rsidR="00124738" w:rsidRPr="00C903F8" w:rsidRDefault="00124738" w:rsidP="00124738">
            <w:pPr>
              <w:spacing w:before="60" w:after="60" w:line="240" w:lineRule="atLeast"/>
              <w:ind w:left="0" w:firstLine="0"/>
              <w:jc w:val="center"/>
              <w:rPr>
                <w:rFonts w:cs="Arial"/>
                <w:noProof/>
                <w:sz w:val="18"/>
                <w:szCs w:val="18"/>
              </w:rPr>
            </w:pPr>
            <w:r>
              <w:rPr>
                <w:noProof/>
                <w:sz w:val="18"/>
              </w:rPr>
              <w:t>A0/B15</w:t>
            </w:r>
            <w:r>
              <w:rPr>
                <w:noProof/>
                <w:sz w:val="18"/>
                <w:vertAlign w:val="superscript"/>
              </w:rPr>
              <w:t xml:space="preserve">6) </w:t>
            </w:r>
          </w:p>
        </w:tc>
      </w:tr>
      <w:tr w:rsidR="00124738" w:rsidRPr="00C903F8" w:rsidTr="007A7CC3">
        <w:trPr>
          <w:jc w:val="center"/>
        </w:trPr>
        <w:tc>
          <w:tcPr>
            <w:tcW w:w="1843" w:type="dxa"/>
          </w:tcPr>
          <w:p w:rsidR="00124738" w:rsidRPr="00C903F8" w:rsidRDefault="00124738" w:rsidP="00124738">
            <w:pPr>
              <w:spacing w:before="60" w:after="60" w:line="240" w:lineRule="atLeast"/>
              <w:ind w:left="0" w:firstLine="0"/>
              <w:jc w:val="left"/>
              <w:rPr>
                <w:rFonts w:cs="Arial"/>
                <w:noProof/>
                <w:sz w:val="18"/>
                <w:szCs w:val="18"/>
              </w:rPr>
            </w:pPr>
            <w:r>
              <w:rPr>
                <w:noProof/>
                <w:sz w:val="18"/>
              </w:rPr>
              <w:t>Magazzini</w:t>
            </w: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p>
        </w:tc>
        <w:tc>
          <w:tcPr>
            <w:tcW w:w="972" w:type="dxa"/>
          </w:tcPr>
          <w:p w:rsidR="00124738" w:rsidRPr="00C903F8" w:rsidRDefault="00124738" w:rsidP="00124738">
            <w:pPr>
              <w:spacing w:before="60" w:after="60" w:line="240" w:lineRule="atLeast"/>
              <w:ind w:left="0" w:firstLine="0"/>
              <w:jc w:val="center"/>
              <w:rPr>
                <w:rFonts w:cs="Arial"/>
                <w:noProof/>
                <w:sz w:val="18"/>
                <w:szCs w:val="18"/>
              </w:rPr>
            </w:pPr>
            <w:r>
              <w:rPr>
                <w:noProof/>
                <w:sz w:val="18"/>
              </w:rPr>
              <w:t>-</w:t>
            </w:r>
          </w:p>
        </w:tc>
      </w:tr>
      <w:tr w:rsidR="00124738" w:rsidRPr="00A0619C" w:rsidTr="007A7CC3">
        <w:trPr>
          <w:jc w:val="center"/>
        </w:trPr>
        <w:tc>
          <w:tcPr>
            <w:tcW w:w="8647" w:type="dxa"/>
            <w:gridSpan w:val="8"/>
            <w:tcBorders>
              <w:left w:val="nil"/>
              <w:bottom w:val="nil"/>
              <w:right w:val="nil"/>
            </w:tcBorders>
          </w:tcPr>
          <w:p w:rsidR="00124738" w:rsidRPr="00C903F8" w:rsidRDefault="00124738" w:rsidP="007A7CC3">
            <w:pPr>
              <w:tabs>
                <w:tab w:val="left" w:pos="567"/>
                <w:tab w:val="left" w:pos="1134"/>
                <w:tab w:val="left" w:pos="5670"/>
              </w:tabs>
              <w:suppressAutoHyphens/>
              <w:spacing w:before="60" w:after="20"/>
              <w:ind w:left="284" w:hanging="284"/>
              <w:rPr>
                <w:noProof/>
                <w:spacing w:val="-20"/>
                <w:sz w:val="18"/>
                <w:szCs w:val="18"/>
                <w:vertAlign w:val="superscript"/>
              </w:rPr>
            </w:pPr>
          </w:p>
          <w:p w:rsidR="00124738" w:rsidRPr="00C903F8" w:rsidRDefault="00124738" w:rsidP="007A7CC3">
            <w:pPr>
              <w:tabs>
                <w:tab w:val="left" w:pos="567"/>
                <w:tab w:val="left" w:pos="1134"/>
                <w:tab w:val="left" w:pos="5670"/>
              </w:tabs>
              <w:suppressAutoHyphens/>
              <w:spacing w:before="60" w:after="20"/>
              <w:ind w:left="284" w:hanging="284"/>
              <w:rPr>
                <w:noProof/>
                <w:spacing w:val="-20"/>
                <w:sz w:val="18"/>
                <w:szCs w:val="18"/>
              </w:rPr>
            </w:pPr>
            <w:r>
              <w:rPr>
                <w:noProof/>
                <w:spacing w:val="-20"/>
                <w:sz w:val="18"/>
                <w:vertAlign w:val="superscript"/>
              </w:rPr>
              <w:t>1)</w:t>
            </w:r>
            <w:r>
              <w:tab/>
            </w:r>
            <w:r>
              <w:rPr>
                <w:noProof/>
                <w:sz w:val="18"/>
              </w:rPr>
              <w:t>Le paratie divisorie tra i centri di comando e i punti di riunione interni sono di tipo A0, mentre quelle con i punti di riunione esterni sono solo di tipo B15.</w:t>
            </w:r>
          </w:p>
        </w:tc>
      </w:tr>
      <w:tr w:rsidR="00124738" w:rsidRPr="00A0619C" w:rsidTr="007A7CC3">
        <w:trPr>
          <w:jc w:val="center"/>
        </w:trPr>
        <w:tc>
          <w:tcPr>
            <w:tcW w:w="8647" w:type="dxa"/>
            <w:gridSpan w:val="8"/>
            <w:tcBorders>
              <w:top w:val="nil"/>
              <w:left w:val="nil"/>
              <w:bottom w:val="nil"/>
              <w:right w:val="nil"/>
            </w:tcBorders>
          </w:tcPr>
          <w:p w:rsidR="00124738" w:rsidRPr="00C903F8" w:rsidRDefault="00124738" w:rsidP="007A7CC3">
            <w:pPr>
              <w:tabs>
                <w:tab w:val="left" w:pos="567"/>
                <w:tab w:val="left" w:pos="1134"/>
                <w:tab w:val="left" w:pos="5670"/>
              </w:tabs>
              <w:suppressAutoHyphens/>
              <w:spacing w:before="20" w:after="20"/>
              <w:ind w:left="284" w:hanging="284"/>
              <w:rPr>
                <w:noProof/>
                <w:spacing w:val="-20"/>
                <w:sz w:val="18"/>
                <w:szCs w:val="18"/>
              </w:rPr>
            </w:pPr>
            <w:r>
              <w:rPr>
                <w:noProof/>
                <w:spacing w:val="-20"/>
                <w:sz w:val="18"/>
                <w:vertAlign w:val="superscript"/>
              </w:rPr>
              <w:t>2)</w:t>
            </w:r>
            <w:r>
              <w:tab/>
            </w:r>
            <w:r>
              <w:rPr>
                <w:noProof/>
                <w:sz w:val="18"/>
              </w:rPr>
              <w:t>Le paratie divisorie tra le sale di ritrovo e i punti di riunione interni sono di tipo A30, mentre quelle con i punti di riunione esterni sono solo di tipo B15.</w:t>
            </w:r>
          </w:p>
        </w:tc>
      </w:tr>
      <w:tr w:rsidR="00124738" w:rsidRPr="00A0619C" w:rsidTr="007A7CC3">
        <w:trPr>
          <w:jc w:val="center"/>
        </w:trPr>
        <w:tc>
          <w:tcPr>
            <w:tcW w:w="8647" w:type="dxa"/>
            <w:gridSpan w:val="8"/>
            <w:tcBorders>
              <w:top w:val="nil"/>
              <w:left w:val="nil"/>
              <w:bottom w:val="nil"/>
              <w:right w:val="nil"/>
            </w:tcBorders>
          </w:tcPr>
          <w:p w:rsidR="00124738" w:rsidRPr="00C903F8" w:rsidRDefault="00124738" w:rsidP="00380DE8">
            <w:pPr>
              <w:tabs>
                <w:tab w:val="left" w:pos="567"/>
                <w:tab w:val="left" w:pos="1134"/>
                <w:tab w:val="left" w:pos="5670"/>
              </w:tabs>
              <w:suppressAutoHyphens/>
              <w:spacing w:before="20" w:after="20"/>
              <w:ind w:left="284" w:hanging="284"/>
              <w:rPr>
                <w:noProof/>
                <w:spacing w:val="-20"/>
                <w:sz w:val="18"/>
                <w:szCs w:val="18"/>
              </w:rPr>
            </w:pPr>
            <w:r>
              <w:rPr>
                <w:noProof/>
                <w:spacing w:val="-20"/>
                <w:sz w:val="18"/>
                <w:vertAlign w:val="superscript"/>
              </w:rPr>
              <w:t>3)</w:t>
            </w:r>
            <w:r>
              <w:tab/>
            </w:r>
            <w:r>
              <w:rPr>
                <w:noProof/>
                <w:sz w:val="18"/>
              </w:rPr>
              <w:t xml:space="preserve">Le paratie divisorie tra le cabine, le paratie divisorie tra le cabine e i corridoi e le paratie divisorie verticali che separano le sale di ritrovo a norma del paragrafo 10 sono conformi al tipo B15; nei locali in cui sono installati impianti pressurizzati a </w:t>
            </w:r>
            <w:r>
              <w:rPr>
                <w:i/>
                <w:noProof/>
                <w:sz w:val="18"/>
              </w:rPr>
              <w:t>sprinkler</w:t>
            </w:r>
            <w:r>
              <w:rPr>
                <w:noProof/>
                <w:sz w:val="18"/>
              </w:rPr>
              <w:t xml:space="preserve"> tali elementi sono invece conformi al tipo B0. Le paratie divisorie tra le cabine e le sale sauna sono conformi al tipo A0; nei locali in cui sono installati impianti pressurizzati a </w:t>
            </w:r>
            <w:r>
              <w:rPr>
                <w:i/>
                <w:noProof/>
                <w:sz w:val="18"/>
              </w:rPr>
              <w:t>sprinkler</w:t>
            </w:r>
            <w:r>
              <w:rPr>
                <w:noProof/>
                <w:sz w:val="18"/>
              </w:rPr>
              <w:t xml:space="preserve"> tali paratie sono invece conformi al tipo B15.</w:t>
            </w:r>
          </w:p>
        </w:tc>
      </w:tr>
      <w:tr w:rsidR="00124738" w:rsidRPr="00A0619C" w:rsidTr="007A7CC3">
        <w:trPr>
          <w:jc w:val="center"/>
        </w:trPr>
        <w:tc>
          <w:tcPr>
            <w:tcW w:w="8647" w:type="dxa"/>
            <w:gridSpan w:val="8"/>
            <w:tcBorders>
              <w:top w:val="nil"/>
              <w:left w:val="nil"/>
              <w:bottom w:val="nil"/>
              <w:right w:val="nil"/>
            </w:tcBorders>
          </w:tcPr>
          <w:p w:rsidR="00124738" w:rsidRPr="00C903F8" w:rsidRDefault="00124738" w:rsidP="00570639">
            <w:pPr>
              <w:tabs>
                <w:tab w:val="left" w:pos="567"/>
                <w:tab w:val="left" w:pos="1134"/>
                <w:tab w:val="left" w:pos="5670"/>
              </w:tabs>
              <w:suppressAutoHyphens/>
              <w:spacing w:before="20" w:after="20"/>
              <w:ind w:left="284" w:hanging="284"/>
              <w:rPr>
                <w:noProof/>
                <w:spacing w:val="-20"/>
                <w:sz w:val="18"/>
                <w:szCs w:val="18"/>
              </w:rPr>
            </w:pPr>
            <w:r>
              <w:rPr>
                <w:noProof/>
                <w:spacing w:val="-20"/>
                <w:sz w:val="18"/>
                <w:vertAlign w:val="superscript"/>
              </w:rPr>
              <w:t>4)</w:t>
            </w:r>
            <w:r>
              <w:tab/>
            </w:r>
            <w:r>
              <w:rPr>
                <w:noProof/>
                <w:sz w:val="18"/>
              </w:rPr>
              <w:t>Le paratie divisorie tra le sale macchine a norma degli articoli 19.07 e 19.10, paragrafo 6, sono conformi al tipo A60; negli altri casi sono conformi al tipo A0.</w:t>
            </w:r>
          </w:p>
        </w:tc>
      </w:tr>
      <w:tr w:rsidR="00124738" w:rsidRPr="00A0619C" w:rsidTr="007A7CC3">
        <w:trPr>
          <w:jc w:val="center"/>
        </w:trPr>
        <w:tc>
          <w:tcPr>
            <w:tcW w:w="8647" w:type="dxa"/>
            <w:gridSpan w:val="8"/>
            <w:tcBorders>
              <w:top w:val="nil"/>
              <w:left w:val="nil"/>
              <w:bottom w:val="nil"/>
              <w:right w:val="nil"/>
            </w:tcBorders>
          </w:tcPr>
          <w:p w:rsidR="00124738" w:rsidRPr="00C903F8" w:rsidRDefault="00124738" w:rsidP="007A7CC3">
            <w:pPr>
              <w:tabs>
                <w:tab w:val="left" w:pos="567"/>
                <w:tab w:val="left" w:pos="1134"/>
                <w:tab w:val="left" w:pos="5670"/>
              </w:tabs>
              <w:suppressAutoHyphens/>
              <w:spacing w:before="20" w:after="20"/>
              <w:ind w:left="284" w:hanging="284"/>
              <w:rPr>
                <w:noProof/>
                <w:spacing w:val="-20"/>
                <w:sz w:val="18"/>
                <w:szCs w:val="18"/>
              </w:rPr>
            </w:pPr>
            <w:r>
              <w:rPr>
                <w:noProof/>
                <w:spacing w:val="-20"/>
                <w:sz w:val="18"/>
                <w:vertAlign w:val="superscript"/>
              </w:rPr>
              <w:t>5)</w:t>
            </w:r>
            <w:r>
              <w:tab/>
            </w:r>
            <w:r>
              <w:rPr>
                <w:noProof/>
                <w:sz w:val="18"/>
              </w:rPr>
              <w:t>Le paratie divisorie tra i magazzini dove sono conservati liquidi infiammabili e i centri di comando e i punti di riunione sono conformi al tipo A60, e al tipo 30 nel caso di locali in cui sono installati impianti pressurizzati a sprinkler.</w:t>
            </w:r>
          </w:p>
        </w:tc>
      </w:tr>
      <w:tr w:rsidR="00124738" w:rsidRPr="00A0619C" w:rsidTr="007A7CC3">
        <w:trPr>
          <w:jc w:val="center"/>
        </w:trPr>
        <w:tc>
          <w:tcPr>
            <w:tcW w:w="8647" w:type="dxa"/>
            <w:gridSpan w:val="8"/>
            <w:tcBorders>
              <w:top w:val="nil"/>
              <w:left w:val="nil"/>
              <w:bottom w:val="nil"/>
              <w:right w:val="nil"/>
            </w:tcBorders>
          </w:tcPr>
          <w:p w:rsidR="00124738" w:rsidRPr="00C903F8" w:rsidRDefault="00124738" w:rsidP="007A7CC3">
            <w:pPr>
              <w:tabs>
                <w:tab w:val="left" w:pos="567"/>
                <w:tab w:val="left" w:pos="1134"/>
                <w:tab w:val="left" w:pos="5670"/>
              </w:tabs>
              <w:suppressAutoHyphens/>
              <w:spacing w:before="20" w:after="20"/>
              <w:ind w:left="284" w:hanging="284"/>
              <w:rPr>
                <w:noProof/>
                <w:spacing w:val="-20"/>
                <w:sz w:val="18"/>
                <w:szCs w:val="18"/>
              </w:rPr>
            </w:pPr>
            <w:r>
              <w:rPr>
                <w:noProof/>
                <w:spacing w:val="-20"/>
                <w:sz w:val="18"/>
                <w:vertAlign w:val="superscript"/>
              </w:rPr>
              <w:t>6)</w:t>
            </w:r>
            <w:r>
              <w:tab/>
            </w:r>
            <w:r>
              <w:rPr>
                <w:noProof/>
                <w:sz w:val="18"/>
              </w:rPr>
              <w:t>B15 è sufficiente per le paratie divisorie tra le cucine, da un lato, e le celle frigorifere e le dispense, dall’altro.</w:t>
            </w:r>
          </w:p>
        </w:tc>
      </w:tr>
    </w:tbl>
    <w:p w:rsidR="00124738" w:rsidRPr="00C903F8" w:rsidRDefault="00124738" w:rsidP="00124738">
      <w:pPr>
        <w:pStyle w:val="ESch"/>
        <w:rPr>
          <w:rFonts w:eastAsia="Calibri" w:cs="Arial"/>
          <w:szCs w:val="18"/>
        </w:rPr>
      </w:pPr>
    </w:p>
    <w:p w:rsidR="00124738" w:rsidRPr="00C903F8" w:rsidRDefault="00124738" w:rsidP="00124738">
      <w:pPr>
        <w:pStyle w:val="ESch"/>
        <w:rPr>
          <w:rFonts w:eastAsia="Calibri" w:cs="Arial"/>
          <w:szCs w:val="18"/>
        </w:rPr>
      </w:pPr>
      <w:r>
        <w:br w:type="page"/>
      </w:r>
    </w:p>
    <w:p w:rsidR="00973DAA" w:rsidRPr="00C903F8" w:rsidRDefault="005C7859" w:rsidP="00B72823">
      <w:pPr>
        <w:pStyle w:val="ESlet"/>
        <w:rPr>
          <w:rFonts w:eastAsia="Calibri" w:cs="Arial"/>
          <w:szCs w:val="18"/>
        </w:rPr>
      </w:pPr>
      <w:r>
        <w:lastRenderedPageBreak/>
        <w:t>b)</w:t>
      </w:r>
      <w:r>
        <w:tab/>
        <w:t>Le paratie divisorie di tipo A sono paratie, pareti e ponti che soddisfano i seguenti requisiti:</w:t>
      </w:r>
    </w:p>
    <w:p w:rsidR="00973DAA" w:rsidRPr="00C903F8" w:rsidRDefault="00973DAA" w:rsidP="00124738">
      <w:pPr>
        <w:pStyle w:val="EStiret"/>
        <w:rPr>
          <w:rFonts w:eastAsia="Calibri" w:cs="Arial"/>
          <w:szCs w:val="18"/>
        </w:rPr>
      </w:pPr>
      <w:r>
        <w:t>aa)</w:t>
      </w:r>
      <w:r>
        <w:tab/>
        <w:t>sono costruiti in acciaio o in altro materiale equivalente;</w:t>
      </w:r>
    </w:p>
    <w:p w:rsidR="00973DAA" w:rsidRPr="00C903F8" w:rsidRDefault="00973DAA" w:rsidP="00124738">
      <w:pPr>
        <w:pStyle w:val="EStiret"/>
        <w:rPr>
          <w:rFonts w:eastAsia="Calibri" w:cs="Arial"/>
          <w:szCs w:val="18"/>
        </w:rPr>
      </w:pPr>
      <w:r>
        <w:t>bb)</w:t>
      </w:r>
      <w:r>
        <w:tab/>
        <w:t>sono adeguatamente rinforzati;</w:t>
      </w:r>
    </w:p>
    <w:p w:rsidR="00973DAA" w:rsidRPr="00C903F8" w:rsidRDefault="00973DAA" w:rsidP="00124738">
      <w:pPr>
        <w:pStyle w:val="EStiret"/>
        <w:rPr>
          <w:rFonts w:eastAsia="Calibri"/>
        </w:rPr>
      </w:pPr>
      <w:r>
        <w:t>cc)</w:t>
      </w:r>
      <w:r>
        <w:tab/>
        <w:t>sono coibentati con materiale non combustibile autorizzato in modo che la temperatura media sul lato non esposto al fuoco aumenti di non oltre 140 °C rispetto alla temperatura iniziale e che in nessun punto, ivi comprese le distanze in corrispondenza dei giunti, si verifichi un aumento della temperatura di oltre 180 °C rispetto alla temperatura iniziale nell'arco di tempo corrispondente sottoelencato:</w:t>
      </w:r>
    </w:p>
    <w:p w:rsidR="00973DAA" w:rsidRPr="00C903F8" w:rsidRDefault="00973DAA" w:rsidP="00124738">
      <w:pPr>
        <w:pStyle w:val="EStiretpar"/>
        <w:tabs>
          <w:tab w:val="decimal" w:pos="2835"/>
          <w:tab w:val="left" w:pos="2977"/>
        </w:tabs>
        <w:rPr>
          <w:rFonts w:eastAsia="Calibri" w:cs="Arial"/>
          <w:szCs w:val="18"/>
        </w:rPr>
      </w:pPr>
      <w:r>
        <w:t xml:space="preserve">Tipo A60 </w:t>
      </w:r>
      <w:r>
        <w:tab/>
        <w:t>60</w:t>
      </w:r>
      <w:r>
        <w:tab/>
        <w:t>minuti;</w:t>
      </w:r>
    </w:p>
    <w:p w:rsidR="00973DAA" w:rsidRPr="00C903F8" w:rsidRDefault="00973DAA" w:rsidP="00124738">
      <w:pPr>
        <w:pStyle w:val="EStiretpar"/>
        <w:tabs>
          <w:tab w:val="decimal" w:pos="2835"/>
          <w:tab w:val="left" w:pos="2977"/>
        </w:tabs>
        <w:rPr>
          <w:rFonts w:eastAsia="Calibri" w:cs="Arial"/>
          <w:szCs w:val="18"/>
        </w:rPr>
      </w:pPr>
      <w:r>
        <w:t>Tipo A30</w:t>
      </w:r>
      <w:r>
        <w:tab/>
        <w:t>30</w:t>
      </w:r>
      <w:r>
        <w:tab/>
        <w:t>minuti;</w:t>
      </w:r>
    </w:p>
    <w:p w:rsidR="00973DAA" w:rsidRPr="00C903F8" w:rsidRDefault="00973DAA" w:rsidP="00124738">
      <w:pPr>
        <w:pStyle w:val="EStiretpar"/>
        <w:tabs>
          <w:tab w:val="decimal" w:pos="2835"/>
          <w:tab w:val="left" w:pos="2977"/>
        </w:tabs>
        <w:rPr>
          <w:rFonts w:eastAsia="Calibri" w:cs="Arial"/>
          <w:szCs w:val="18"/>
        </w:rPr>
      </w:pPr>
      <w:r>
        <w:t xml:space="preserve">Tipo A0 </w:t>
      </w:r>
      <w:r>
        <w:tab/>
        <w:t>0</w:t>
      </w:r>
      <w:r>
        <w:tab/>
        <w:t>minuti;</w:t>
      </w:r>
    </w:p>
    <w:p w:rsidR="00973DAA" w:rsidRPr="00C903F8" w:rsidRDefault="00973DAA" w:rsidP="00124738">
      <w:pPr>
        <w:pStyle w:val="EStiret"/>
        <w:rPr>
          <w:rFonts w:eastAsia="Calibri" w:cs="Arial"/>
          <w:szCs w:val="18"/>
        </w:rPr>
      </w:pPr>
      <w:r>
        <w:t>dd)</w:t>
      </w:r>
      <w:r>
        <w:tab/>
        <w:t>sono costruiti in modo da impedire il propagarsi del fumo e delle fiamme fino al termine della prova standard del fuoco avente la durata di un'ora.</w:t>
      </w:r>
    </w:p>
    <w:p w:rsidR="00973DAA" w:rsidRPr="00C903F8" w:rsidRDefault="005C7859" w:rsidP="00B72823">
      <w:pPr>
        <w:pStyle w:val="ESlet"/>
        <w:rPr>
          <w:rFonts w:eastAsia="Calibri" w:cs="Arial"/>
          <w:szCs w:val="18"/>
        </w:rPr>
      </w:pPr>
      <w:r>
        <w:t>c)</w:t>
      </w:r>
      <w:r>
        <w:tab/>
        <w:t>Le paratie divisorie di tipo B sono paratie, pareti, ponti, soffittature o rivestimenti che soddisfano i seguenti requisiti:</w:t>
      </w:r>
    </w:p>
    <w:p w:rsidR="00973DAA" w:rsidRPr="00C903F8" w:rsidRDefault="00973DAA" w:rsidP="00124738">
      <w:pPr>
        <w:pStyle w:val="EStiret"/>
        <w:rPr>
          <w:rFonts w:eastAsia="Calibri" w:cs="Arial"/>
          <w:szCs w:val="18"/>
        </w:rPr>
      </w:pPr>
      <w:r>
        <w:t>aa)</w:t>
      </w:r>
      <w:r>
        <w:tab/>
        <w:t>sono costruiti in materiale non combustibile autorizzato. Inoltre tutti i materiali usati per la costruzione e l’assemblaggio sono non combustibili, eccetto il rivestimento, che è almeno ad infiammabilità ritardata;</w:t>
      </w:r>
    </w:p>
    <w:p w:rsidR="00973DAA" w:rsidRPr="00C903F8" w:rsidRDefault="00973DAA" w:rsidP="00124738">
      <w:pPr>
        <w:pStyle w:val="EStiret"/>
        <w:rPr>
          <w:rFonts w:eastAsia="Calibri" w:cs="Arial"/>
          <w:szCs w:val="18"/>
        </w:rPr>
      </w:pPr>
      <w:r>
        <w:t>bb)</w:t>
      </w:r>
      <w:r>
        <w:tab/>
        <w:t>hanno un grado di coibentazione tale che la temperatura media sul lato non esposto al fuoco aumenti di non oltre 140 °C rispetto alla temperatura iniziale e che in nessun punto, ivi comprese le distanze in corrispondenza dei giunti, si verifichi un aumento della temperatura di oltre 225 °C rispetto alla temperatura iniziale nell'arco di tempo corrispondente sottoelencato:</w:t>
      </w:r>
    </w:p>
    <w:p w:rsidR="00973DAA" w:rsidRPr="00C903F8" w:rsidRDefault="00973DAA" w:rsidP="00124738">
      <w:pPr>
        <w:pStyle w:val="EStiretpar"/>
        <w:tabs>
          <w:tab w:val="decimal" w:pos="2835"/>
          <w:tab w:val="left" w:pos="2977"/>
        </w:tabs>
        <w:rPr>
          <w:rFonts w:eastAsia="Calibri" w:cs="Arial"/>
          <w:szCs w:val="18"/>
        </w:rPr>
      </w:pPr>
      <w:r>
        <w:t xml:space="preserve">Tipo B15 </w:t>
      </w:r>
      <w:r>
        <w:tab/>
        <w:t>15</w:t>
      </w:r>
      <w:r>
        <w:tab/>
        <w:t>minuti;</w:t>
      </w:r>
    </w:p>
    <w:p w:rsidR="00973DAA" w:rsidRPr="00C903F8" w:rsidRDefault="00973DAA" w:rsidP="00124738">
      <w:pPr>
        <w:pStyle w:val="EStiretpar"/>
        <w:tabs>
          <w:tab w:val="decimal" w:pos="2835"/>
          <w:tab w:val="left" w:pos="2977"/>
        </w:tabs>
        <w:rPr>
          <w:rFonts w:eastAsia="Calibri" w:cs="Arial"/>
          <w:szCs w:val="18"/>
        </w:rPr>
      </w:pPr>
      <w:r>
        <w:t xml:space="preserve">Tipo B0 </w:t>
      </w:r>
      <w:r>
        <w:tab/>
        <w:t>0</w:t>
      </w:r>
      <w:r>
        <w:tab/>
        <w:t>minuti;</w:t>
      </w:r>
    </w:p>
    <w:p w:rsidR="00973DAA" w:rsidRPr="00C903F8" w:rsidRDefault="00973DAA" w:rsidP="00124738">
      <w:pPr>
        <w:pStyle w:val="EStiret"/>
        <w:rPr>
          <w:rFonts w:eastAsia="Calibri" w:cs="Arial"/>
          <w:szCs w:val="18"/>
        </w:rPr>
      </w:pPr>
      <w:r>
        <w:t>cc)</w:t>
      </w:r>
      <w:r>
        <w:tab/>
        <w:t>sono costruiti in modo da impedire il propagarsi delle fiamme fino al termine della prima mezz'ora della prova standard del fuoco.</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3.</w:t>
      </w:r>
      <w:r>
        <w:tab/>
        <w:t xml:space="preserve">Le pitture, le lacche, gli altri prodotti per il trattamento delle superfici e i rivestimenti dei ponti utilizzati nei locali, eccetto le sale macchine e i magazzini, sono ad infiammabilità ritardata. Le moquette, i tessuti, le tendine e gli altri materiali tessili sospesi, così come le imbottiture dei mobili e gli effetti letterecci, sono ad infiammabilità ritardata se collocati in locali non dotati di un impianto pressurizzato a </w:t>
      </w:r>
      <w:r>
        <w:rPr>
          <w:i/>
        </w:rPr>
        <w:t>sprinkler</w:t>
      </w:r>
      <w:r>
        <w:t xml:space="preserve"> a norma dell'articolo 13.04.</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4.</w:t>
      </w:r>
      <w:r>
        <w:tab/>
        <w:t xml:space="preserve">Le soffittature e i rivestimenti delle pareti, comprese le relative strutture di sostegno, delle sale di ritrovo non dotate di un impianto pressurizzato a </w:t>
      </w:r>
      <w:r>
        <w:rPr>
          <w:i/>
        </w:rPr>
        <w:t>sprinkler</w:t>
      </w:r>
      <w:r>
        <w:t xml:space="preserve"> a norma dell'articolo 13.04 sono costruiti con materiali non combustibili, fatta eccezione per le relative superfici, che sono almeno ad infiammabilità ritardata. La prima frase non si applica alle saune.</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5.</w:t>
      </w:r>
      <w:r>
        <w:tab/>
        <w:t xml:space="preserve">Il mobilio e l'arredo delle sale di ritrovo che fungono da punti di riunione e non sono dotate di un impianto pressurizzato a </w:t>
      </w:r>
      <w:r>
        <w:rPr>
          <w:i/>
        </w:rPr>
        <w:t>sprinkler</w:t>
      </w:r>
      <w:r>
        <w:t xml:space="preserve"> a norma dell'articolo 13.04 sono costruiti con materiali non combustibili.</w:t>
      </w:r>
    </w:p>
    <w:p w:rsidR="00B72823" w:rsidRPr="00C903F8" w:rsidRDefault="00B72823" w:rsidP="00973DAA">
      <w:pPr>
        <w:pStyle w:val="ESch"/>
        <w:rPr>
          <w:rFonts w:eastAsia="Calibri"/>
          <w:noProof/>
        </w:rPr>
      </w:pPr>
    </w:p>
    <w:p w:rsidR="00124738" w:rsidRPr="00C903F8" w:rsidRDefault="00124738" w:rsidP="00973DAA">
      <w:pPr>
        <w:pStyle w:val="ESch"/>
        <w:rPr>
          <w:rFonts w:eastAsia="Calibri"/>
          <w:noProof/>
        </w:rPr>
      </w:pPr>
      <w:r>
        <w:br w:type="page"/>
      </w:r>
    </w:p>
    <w:p w:rsidR="00973DAA" w:rsidRPr="00C903F8" w:rsidRDefault="00973DAA" w:rsidP="00973DAA">
      <w:pPr>
        <w:pStyle w:val="ESch"/>
        <w:rPr>
          <w:rFonts w:eastAsia="Calibri"/>
          <w:noProof/>
        </w:rPr>
      </w:pPr>
      <w:r>
        <w:lastRenderedPageBreak/>
        <w:t>6.</w:t>
      </w:r>
      <w:r>
        <w:tab/>
        <w:t>Le pitture, le lacche e gli altri prodotti utilizzati su superfici interne esposte non emanano quantità eccessive di fumo né di sostanze tossiche. Tale caratteristica è dimostrata conformemente al codice per le procedure di prova del fuoco.</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noProof/>
        </w:rPr>
      </w:pPr>
      <w:r>
        <w:t>7.</w:t>
      </w:r>
      <w:r>
        <w:tab/>
        <w:t>I materiali coibentanti nelle sale di ritrovo sono non combustibili. Tale prescrizione non si applica alle coibentazioni utilizzate nei tubi del refrigerante. Le superfici dei materiali coibentanti utilizzati su questi tubi sono almeno ad infiammabilità ritardata.</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8.</w:t>
      </w:r>
      <w:r>
        <w:tab/>
        <w:t>Le tende e le installazioni mobili simili che servono a riparare in tutto o in parte le zone del ponte e le loro strutture di sostegno sono almeno ad infiammabilità ritardata.</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9.</w:t>
      </w:r>
      <w:r>
        <w:tab/>
        <w:t>Le porte delle paratie divisorie a norma del paragrafo 2 soddisfano i seguenti requisiti:</w:t>
      </w:r>
    </w:p>
    <w:p w:rsidR="00973DAA" w:rsidRPr="00C903F8" w:rsidRDefault="005C7859" w:rsidP="00B72823">
      <w:pPr>
        <w:pStyle w:val="ESlet"/>
        <w:rPr>
          <w:rFonts w:eastAsia="Calibri" w:cs="Arial"/>
          <w:szCs w:val="18"/>
        </w:rPr>
      </w:pPr>
      <w:r>
        <w:t>a)</w:t>
      </w:r>
      <w:r>
        <w:tab/>
        <w:t>soddisfano gli stessi requisiti previsti per le paratie divisorie nel paragrafo 2;</w:t>
      </w:r>
    </w:p>
    <w:p w:rsidR="00973DAA" w:rsidRPr="00C903F8" w:rsidRDefault="005C7859" w:rsidP="00B72823">
      <w:pPr>
        <w:pStyle w:val="ESlet"/>
        <w:rPr>
          <w:rFonts w:eastAsia="Calibri" w:cs="Arial"/>
          <w:szCs w:val="18"/>
        </w:rPr>
      </w:pPr>
      <w:r>
        <w:t>b)</w:t>
      </w:r>
      <w:r>
        <w:tab/>
        <w:t>sono a chiusura automatica quando si tratta di porte di paratie divisorie a norma del paragrafo 10 o di cofani che racchiudono sale macchine, cucine e vani scale;</w:t>
      </w:r>
    </w:p>
    <w:p w:rsidR="00973DAA" w:rsidRPr="00C903F8" w:rsidRDefault="005C7859" w:rsidP="00B72823">
      <w:pPr>
        <w:pStyle w:val="ESlet"/>
        <w:rPr>
          <w:rFonts w:eastAsia="Calibri" w:cs="Arial"/>
          <w:szCs w:val="18"/>
        </w:rPr>
      </w:pPr>
      <w:r>
        <w:t>c)</w:t>
      </w:r>
      <w:r>
        <w:tab/>
        <w:t>le porte a chiusura automatica che restano aperte in condizioni normali di esercizio possono essere chiuse da una postazione costantemente presidiata dal personale di bordo o da membri dell'equipaggio. Dopo la chiusura effettuata a distanza, è possibile riaprire la porta e richiuderla sul posto in modo sicuro;</w:t>
      </w:r>
    </w:p>
    <w:p w:rsidR="00973DAA" w:rsidRPr="00C903F8" w:rsidRDefault="0029453D" w:rsidP="00B72823">
      <w:pPr>
        <w:pStyle w:val="ESlet"/>
        <w:rPr>
          <w:rFonts w:eastAsia="Calibri" w:cs="Arial"/>
          <w:szCs w:val="18"/>
        </w:rPr>
      </w:pPr>
      <w:r>
        <w:t>d)</w:t>
      </w:r>
      <w:r>
        <w:tab/>
        <w:t>non è necessario coibentare le porte stagne all'acqua a norma dell'articolo 19.02.</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 xml:space="preserve">10. </w:t>
      </w:r>
      <w:r>
        <w:tab/>
        <w:t>Le pareti a norma del paragrafo 2 si estendono senza interruzioni da ponte a ponte o terminano alle soffittature continue, che soddisfano gli stessi requisiti di cui al paragrafo 2.</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11.</w:t>
      </w:r>
      <w:r>
        <w:tab/>
        <w:t>Le seguenti zone passeggeri sono divise dalle paratie divisorie verticali a norma del paragrafo 2:</w:t>
      </w:r>
    </w:p>
    <w:p w:rsidR="00973DAA" w:rsidRPr="00C903F8" w:rsidRDefault="005C7859" w:rsidP="00B72823">
      <w:pPr>
        <w:pStyle w:val="ESlet"/>
        <w:rPr>
          <w:rFonts w:eastAsia="Calibri" w:cs="Arial"/>
          <w:szCs w:val="18"/>
        </w:rPr>
      </w:pPr>
      <w:r>
        <w:t>a)</w:t>
      </w:r>
      <w:r>
        <w:tab/>
        <w:t>zone passeggeri aventi una superficie totale di oltre 800 m</w:t>
      </w:r>
      <w:r>
        <w:rPr>
          <w:noProof/>
          <w:vertAlign w:val="superscript"/>
        </w:rPr>
        <w:t>2</w:t>
      </w:r>
      <w:r>
        <w:t>;</w:t>
      </w:r>
    </w:p>
    <w:p w:rsidR="00973DAA" w:rsidRPr="00C903F8" w:rsidRDefault="005C7859" w:rsidP="00B72823">
      <w:pPr>
        <w:pStyle w:val="ESlet"/>
        <w:rPr>
          <w:rFonts w:eastAsia="Calibri" w:cs="Arial"/>
          <w:szCs w:val="18"/>
        </w:rPr>
      </w:pPr>
      <w:r>
        <w:t>b)</w:t>
      </w:r>
      <w:r>
        <w:tab/>
        <w:t>zone passeggeri contenenti cabine, a intervalli di non oltre 40 m.</w:t>
      </w:r>
    </w:p>
    <w:p w:rsidR="00B72823" w:rsidRPr="00C903F8" w:rsidRDefault="00B72823" w:rsidP="00973DAA">
      <w:pPr>
        <w:pStyle w:val="ESch"/>
        <w:rPr>
          <w:rFonts w:eastAsia="Calibri"/>
          <w:noProof/>
        </w:rPr>
      </w:pPr>
    </w:p>
    <w:p w:rsidR="00973DAA" w:rsidRPr="00C903F8" w:rsidRDefault="00973DAA" w:rsidP="00B72823">
      <w:pPr>
        <w:pStyle w:val="ESchpar"/>
        <w:rPr>
          <w:rFonts w:eastAsia="Calibri" w:cs="Arial"/>
          <w:szCs w:val="18"/>
        </w:rPr>
      </w:pPr>
      <w:r>
        <w:t>In condizioni normali di esercizio le paratie divisorie verticali sono a tenuta di fumo e si estendono senza interruzioni da ponte a ponte.</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12.</w:t>
      </w:r>
      <w:r>
        <w:tab/>
        <w:t>Le cavità al di sopra delle soffittature, al di sotto dei pavimenti e dietro i rivestimenti delle pareti sono separate a intervalli di non oltre 14 m da diaframmi tagliatiraggio non combustibili che, anche in caso di incendio, fungono efficacemente da guarnizioni ignifughe.</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13.</w:t>
      </w:r>
      <w:r>
        <w:tab/>
        <w:t>Le scale sono costruite in acciaio o in altro materiale non combustibile equivalente.</w:t>
      </w:r>
    </w:p>
    <w:p w:rsidR="00B72823" w:rsidRPr="00C903F8" w:rsidRDefault="00B72823" w:rsidP="00973DAA">
      <w:pPr>
        <w:pStyle w:val="ESch"/>
        <w:rPr>
          <w:rFonts w:eastAsia="Calibri"/>
          <w:noProof/>
        </w:rPr>
      </w:pPr>
    </w:p>
    <w:p w:rsidR="00973DAA" w:rsidRPr="00C903F8" w:rsidRDefault="00973DAA" w:rsidP="00973DAA">
      <w:pPr>
        <w:pStyle w:val="ESch"/>
        <w:rPr>
          <w:rFonts w:eastAsia="Calibri" w:cs="Arial"/>
          <w:szCs w:val="18"/>
        </w:rPr>
      </w:pPr>
      <w:r>
        <w:t>14.</w:t>
      </w:r>
      <w:r>
        <w:tab/>
        <w:t>Le scale interne e gli ascensori sono circondati a tutti i livelli da pareti a norma del paragrafo 2. Sono ammesse le seguenti deroghe:</w:t>
      </w:r>
    </w:p>
    <w:p w:rsidR="00973DAA" w:rsidRPr="00C903F8" w:rsidRDefault="005C7859" w:rsidP="00676205">
      <w:pPr>
        <w:pStyle w:val="ESlet"/>
        <w:rPr>
          <w:rFonts w:eastAsia="Calibri" w:cs="Arial"/>
          <w:szCs w:val="18"/>
        </w:rPr>
      </w:pPr>
      <w:r>
        <w:t>a)</w:t>
      </w:r>
      <w:r>
        <w:tab/>
        <w:t>non è necessario che una scala che mette in comunicazione due soli ponti sia circondata da pareti se su uno dei ponti la scala è racchiusa in un cofano a norma del paragrafo 2;</w:t>
      </w:r>
    </w:p>
    <w:p w:rsidR="00676205" w:rsidRPr="00C903F8" w:rsidRDefault="00676205" w:rsidP="00676205">
      <w:pPr>
        <w:pStyle w:val="ESlet"/>
        <w:rPr>
          <w:rFonts w:eastAsia="Calibri"/>
          <w:noProof/>
        </w:rPr>
      </w:pPr>
    </w:p>
    <w:p w:rsidR="00676205" w:rsidRPr="00C903F8" w:rsidRDefault="00676205" w:rsidP="00676205">
      <w:pPr>
        <w:pStyle w:val="ESlet"/>
        <w:rPr>
          <w:rFonts w:eastAsia="Calibri"/>
          <w:noProof/>
        </w:rPr>
      </w:pPr>
      <w:r>
        <w:br w:type="page"/>
      </w:r>
    </w:p>
    <w:p w:rsidR="00973DAA" w:rsidRPr="00C903F8" w:rsidRDefault="005C7859" w:rsidP="00676205">
      <w:pPr>
        <w:pStyle w:val="ESlet"/>
        <w:rPr>
          <w:rFonts w:eastAsia="Calibri" w:cs="Arial"/>
          <w:szCs w:val="18"/>
        </w:rPr>
      </w:pPr>
      <w:r>
        <w:lastRenderedPageBreak/>
        <w:t>b)</w:t>
      </w:r>
      <w:r>
        <w:tab/>
        <w:t>non è necessario circondare di pareti le scale di una sala di ritrovo purché si trovino completamente all'interno di tale locale, e:</w:t>
      </w:r>
    </w:p>
    <w:p w:rsidR="00973DAA" w:rsidRPr="00C903F8" w:rsidRDefault="0029453D" w:rsidP="00676205">
      <w:pPr>
        <w:pStyle w:val="EStiret"/>
        <w:rPr>
          <w:rFonts w:eastAsia="Calibri" w:cs="Arial"/>
          <w:szCs w:val="18"/>
        </w:rPr>
      </w:pPr>
      <w:r>
        <w:t>aa)</w:t>
      </w:r>
      <w:r>
        <w:tab/>
        <w:t>se tale locale si estende solo per due ponti; oppure</w:t>
      </w:r>
    </w:p>
    <w:p w:rsidR="00973DAA" w:rsidRPr="00C903F8" w:rsidRDefault="0029453D" w:rsidP="00676205">
      <w:pPr>
        <w:pStyle w:val="EStiret"/>
        <w:rPr>
          <w:rFonts w:eastAsia="Calibri" w:cs="Arial"/>
          <w:szCs w:val="18"/>
        </w:rPr>
      </w:pPr>
      <w:r>
        <w:t>bb)</w:t>
      </w:r>
      <w:r>
        <w:tab/>
        <w:t xml:space="preserve">se in tale locale è installato, su tutti i ponti, un impianto pressurizzato a </w:t>
      </w:r>
      <w:r>
        <w:rPr>
          <w:i/>
        </w:rPr>
        <w:t>sprinkler</w:t>
      </w:r>
      <w:r>
        <w:t xml:space="preserve"> a norma dell'articolo 13.04, se il locale è provvisto di un sistema di estrazione dei fumi a norma del paragrafo 16 e se da tale locale si accede su tutti i ponti ad un vano scale.</w:t>
      </w:r>
    </w:p>
    <w:p w:rsidR="00676205" w:rsidRPr="00C903F8" w:rsidRDefault="00676205" w:rsidP="00973DAA">
      <w:pPr>
        <w:pStyle w:val="ESch"/>
        <w:rPr>
          <w:rFonts w:eastAsia="Calibri"/>
          <w:noProof/>
        </w:rPr>
      </w:pPr>
    </w:p>
    <w:p w:rsidR="00973DAA" w:rsidRPr="00C903F8" w:rsidRDefault="00973DAA" w:rsidP="00973DAA">
      <w:pPr>
        <w:pStyle w:val="ESch"/>
        <w:rPr>
          <w:rFonts w:eastAsia="Calibri" w:cs="Arial"/>
          <w:szCs w:val="18"/>
        </w:rPr>
      </w:pPr>
      <w:r>
        <w:t>15.</w:t>
      </w:r>
      <w:r>
        <w:tab/>
        <w:t>I sistemi di ventilazione e i sistemi di alimentazione d'aria soddisfano i seguenti requisiti:</w:t>
      </w:r>
    </w:p>
    <w:p w:rsidR="00973DAA" w:rsidRPr="00C903F8" w:rsidRDefault="005C7859" w:rsidP="00676205">
      <w:pPr>
        <w:pStyle w:val="ESlet"/>
        <w:rPr>
          <w:rFonts w:eastAsia="Calibri" w:cs="Arial"/>
          <w:szCs w:val="18"/>
        </w:rPr>
      </w:pPr>
      <w:r>
        <w:t>a)</w:t>
      </w:r>
      <w:r>
        <w:tab/>
        <w:t>sono progettati in modo da assicurare che non possano causare il propagarsi del fuoco e del fumo;</w:t>
      </w:r>
    </w:p>
    <w:p w:rsidR="00973DAA" w:rsidRPr="00C903F8" w:rsidRDefault="005C7859" w:rsidP="00676205">
      <w:pPr>
        <w:pStyle w:val="ESlet"/>
        <w:rPr>
          <w:rFonts w:eastAsia="Calibri" w:cs="Arial"/>
          <w:szCs w:val="18"/>
        </w:rPr>
      </w:pPr>
      <w:r>
        <w:t>b)</w:t>
      </w:r>
      <w:r>
        <w:tab/>
        <w:t>le aperture per le prese d'aria e per i sistemi di estrazione e alimentazione d'aria possono essere chiuse;</w:t>
      </w:r>
    </w:p>
    <w:p w:rsidR="00973DAA" w:rsidRPr="00C903F8" w:rsidRDefault="005C7859" w:rsidP="00676205">
      <w:pPr>
        <w:pStyle w:val="ESlet"/>
        <w:rPr>
          <w:rFonts w:eastAsia="Calibri" w:cs="Arial"/>
          <w:szCs w:val="18"/>
        </w:rPr>
      </w:pPr>
      <w:r>
        <w:t>c)</w:t>
      </w:r>
      <w:r>
        <w:tab/>
        <w:t>le condotte di ventilazione sono in acciaio o altro materiale non combustibile equivalente e sono saldamente raccordate le une alle altre ed alla sovrastruttura della nave;</w:t>
      </w:r>
    </w:p>
    <w:p w:rsidR="00973DAA" w:rsidRPr="00C903F8" w:rsidRDefault="0029453D" w:rsidP="00676205">
      <w:pPr>
        <w:pStyle w:val="ESlet"/>
        <w:rPr>
          <w:rFonts w:eastAsia="Calibri" w:cs="Arial"/>
          <w:szCs w:val="18"/>
        </w:rPr>
      </w:pPr>
      <w:r>
        <w:t>d)</w:t>
      </w:r>
      <w:r>
        <w:tab/>
        <w:t>quando condotte di ventilazione aventi una sezione trasversale superiore a 0,02 m</w:t>
      </w:r>
      <w:r>
        <w:rPr>
          <w:noProof/>
          <w:vertAlign w:val="superscript"/>
        </w:rPr>
        <w:t>2</w:t>
      </w:r>
      <w:r>
        <w:t xml:space="preserve"> attraversano paratie divisorie di tipo A a norma del paragrafo 2 o paratie divisorie a norma del paragrafo 10, esse sono provviste di serrande tagliafuoco automatiche che possono essere azionate da una postazione costantemente presidiata dal personale di bordo o da membri dell'equipaggio;</w:t>
      </w:r>
    </w:p>
    <w:p w:rsidR="00973DAA" w:rsidRPr="00C903F8" w:rsidRDefault="0029453D" w:rsidP="00676205">
      <w:pPr>
        <w:pStyle w:val="ESlet"/>
        <w:rPr>
          <w:rFonts w:eastAsia="Calibri" w:cs="Arial"/>
          <w:szCs w:val="18"/>
        </w:rPr>
      </w:pPr>
      <w:r>
        <w:t>e)</w:t>
      </w:r>
      <w:r>
        <w:tab/>
        <w:t>i sistemi di ventilazione delle cucine e delle sale macchine sono separati dai sistemi di ventilazione che servono altre zone;</w:t>
      </w:r>
    </w:p>
    <w:p w:rsidR="00973DAA" w:rsidRPr="00C903F8" w:rsidRDefault="0029453D" w:rsidP="00676205">
      <w:pPr>
        <w:pStyle w:val="ESlet"/>
        <w:rPr>
          <w:rFonts w:eastAsia="Calibri" w:cs="Arial"/>
          <w:szCs w:val="18"/>
        </w:rPr>
      </w:pPr>
      <w:r>
        <w:t>f)</w:t>
      </w:r>
      <w:r>
        <w:tab/>
        <w:t>le condotte di estrazione dell'aria sono provviste di aperture che possono essere chiuse a chiave per consentirne l'ispezione e la pulizia. Tali aperture sono situate in prossimità delle serrande tagliafuoco;</w:t>
      </w:r>
    </w:p>
    <w:p w:rsidR="00973DAA" w:rsidRPr="00C903F8" w:rsidRDefault="0029453D" w:rsidP="00676205">
      <w:pPr>
        <w:pStyle w:val="ESlet"/>
        <w:rPr>
          <w:rFonts w:eastAsia="Calibri" w:cs="Arial"/>
          <w:szCs w:val="18"/>
        </w:rPr>
      </w:pPr>
      <w:r>
        <w:t>g)</w:t>
      </w:r>
      <w:r>
        <w:tab/>
        <w:t>i ventilatori incorporati possono essere disattivati da una postazione centrale situata fuori dalla sala macchine.</w:t>
      </w:r>
    </w:p>
    <w:p w:rsidR="00676205" w:rsidRPr="00C903F8" w:rsidRDefault="00676205" w:rsidP="00973DAA">
      <w:pPr>
        <w:pStyle w:val="ESch"/>
        <w:rPr>
          <w:rFonts w:eastAsia="Calibri"/>
          <w:noProof/>
        </w:rPr>
      </w:pPr>
    </w:p>
    <w:p w:rsidR="00973DAA" w:rsidRPr="00C903F8" w:rsidRDefault="00973DAA" w:rsidP="00973DAA">
      <w:pPr>
        <w:pStyle w:val="ESch"/>
        <w:rPr>
          <w:rFonts w:eastAsia="Calibri" w:cs="Arial"/>
          <w:szCs w:val="18"/>
        </w:rPr>
      </w:pPr>
      <w:r>
        <w:t>16.</w:t>
      </w:r>
      <w:r>
        <w:tab/>
        <w:t>Le cucine sono dotate di sistemi di ventilazione e di stufe con estrattori. Le condotte per l'estrazione dell'aria degli estrattori soddisfano i requisiti di cui al paragrafo 14 e sono provviste altresì di serrande tagliafuoco azionate a mano in corrispondenza delle aperture per le prese d'aria.</w:t>
      </w:r>
    </w:p>
    <w:p w:rsidR="00676205" w:rsidRPr="00C903F8" w:rsidRDefault="00676205" w:rsidP="00973DAA">
      <w:pPr>
        <w:pStyle w:val="ESch"/>
        <w:rPr>
          <w:rFonts w:eastAsia="Calibri"/>
          <w:noProof/>
        </w:rPr>
      </w:pPr>
    </w:p>
    <w:p w:rsidR="00973DAA" w:rsidRPr="00C903F8" w:rsidRDefault="00973DAA" w:rsidP="00973DAA">
      <w:pPr>
        <w:pStyle w:val="ESch"/>
        <w:rPr>
          <w:rFonts w:eastAsia="Calibri" w:cs="Arial"/>
          <w:szCs w:val="18"/>
        </w:rPr>
      </w:pPr>
      <w:r>
        <w:t>17.</w:t>
      </w:r>
      <w:r>
        <w:tab/>
        <w:t>I centri di comando, i vani scale e le zone di raccolta interne sono dotati di sistemi naturali o meccanici di estrazione dei fumi. I sistemi di estrazione dei fumi soddisfano i seguenti requisiti:</w:t>
      </w:r>
    </w:p>
    <w:p w:rsidR="00973DAA" w:rsidRPr="00C903F8" w:rsidRDefault="005C7859" w:rsidP="00676205">
      <w:pPr>
        <w:pStyle w:val="ESlet"/>
        <w:rPr>
          <w:rFonts w:eastAsia="Calibri" w:cs="Arial"/>
          <w:szCs w:val="18"/>
        </w:rPr>
      </w:pPr>
      <w:r>
        <w:t>a)</w:t>
      </w:r>
      <w:r>
        <w:tab/>
        <w:t>garantiscono capacità e affidabilità sufficienti;</w:t>
      </w:r>
    </w:p>
    <w:p w:rsidR="00973DAA" w:rsidRPr="00C903F8" w:rsidRDefault="005C7859" w:rsidP="00676205">
      <w:pPr>
        <w:pStyle w:val="ESlet"/>
        <w:rPr>
          <w:rFonts w:eastAsia="Calibri" w:cs="Arial"/>
          <w:szCs w:val="18"/>
        </w:rPr>
      </w:pPr>
      <w:r>
        <w:t>b)</w:t>
      </w:r>
      <w:r>
        <w:tab/>
        <w:t>soddisfano le condizioni d'esercizio relative alle navi da passeggeri;</w:t>
      </w:r>
    </w:p>
    <w:p w:rsidR="00973DAA" w:rsidRPr="00C903F8" w:rsidRDefault="005C7859" w:rsidP="00676205">
      <w:pPr>
        <w:pStyle w:val="ESlet"/>
        <w:rPr>
          <w:rFonts w:eastAsia="Calibri" w:cs="Arial"/>
          <w:szCs w:val="18"/>
        </w:rPr>
      </w:pPr>
      <w:r>
        <w:t>c)</w:t>
      </w:r>
      <w:r>
        <w:tab/>
        <w:t>qualora i sistemi di estrazione dei fumi fungano anche da ventilatori generali per i locali, essi mantengono comunque la loro funzione di sistemi di estrazione dei fumi in caso di incendio;</w:t>
      </w:r>
    </w:p>
    <w:p w:rsidR="00973DAA" w:rsidRPr="00C903F8" w:rsidRDefault="0029453D" w:rsidP="00676205">
      <w:pPr>
        <w:pStyle w:val="ESlet"/>
        <w:rPr>
          <w:rFonts w:eastAsia="Calibri" w:cs="Arial"/>
          <w:szCs w:val="18"/>
        </w:rPr>
      </w:pPr>
      <w:r>
        <w:t>d)</w:t>
      </w:r>
      <w:r>
        <w:tab/>
        <w:t>i sistemi di estrazione dei fumi sono provvisti di un dispositivo di attivazione ad azionamento manuale;</w:t>
      </w:r>
    </w:p>
    <w:p w:rsidR="00973DAA" w:rsidRPr="00C903F8" w:rsidRDefault="0029453D" w:rsidP="00676205">
      <w:pPr>
        <w:pStyle w:val="ESlet"/>
        <w:rPr>
          <w:rFonts w:eastAsia="Calibri" w:cs="Arial"/>
          <w:szCs w:val="18"/>
        </w:rPr>
      </w:pPr>
      <w:r>
        <w:t>e)</w:t>
      </w:r>
      <w:r>
        <w:tab/>
        <w:t>i sistemi meccanici di estrazione dei fumi possono inoltre essere azionati da una postazione costantemente presidiata dal personale di bordo o da membri dell'equipaggio;</w:t>
      </w:r>
    </w:p>
    <w:p w:rsidR="00973DAA" w:rsidRPr="00C903F8" w:rsidRDefault="0029453D" w:rsidP="00676205">
      <w:pPr>
        <w:pStyle w:val="ESlet"/>
        <w:rPr>
          <w:rFonts w:eastAsia="Calibri" w:cs="Arial"/>
          <w:szCs w:val="18"/>
        </w:rPr>
      </w:pPr>
      <w:r>
        <w:t>f)</w:t>
      </w:r>
      <w:r>
        <w:tab/>
        <w:t>i sistemi naturali di estrazione dei fumi sono provvisti di un meccanismo di apertura azionato a mano o mediante una fonte di energia all'interno del sistema di estrazione;</w:t>
      </w:r>
    </w:p>
    <w:p w:rsidR="00973DAA" w:rsidRPr="00C903F8" w:rsidRDefault="0029453D" w:rsidP="00676205">
      <w:pPr>
        <w:pStyle w:val="ESlet"/>
        <w:rPr>
          <w:rFonts w:eastAsia="Calibri" w:cs="Arial"/>
          <w:szCs w:val="18"/>
        </w:rPr>
      </w:pPr>
      <w:r>
        <w:t>g)</w:t>
      </w:r>
      <w:r>
        <w:tab/>
        <w:t>i dispositivi di attivazione ed i meccanismi di apertura ad azionamento manuale sono accessibili dall'interno o dall'esterno del locale da proteggere.</w:t>
      </w:r>
    </w:p>
    <w:p w:rsidR="00676205" w:rsidRPr="00C903F8" w:rsidRDefault="00676205" w:rsidP="00973DAA">
      <w:pPr>
        <w:pStyle w:val="ESch"/>
        <w:rPr>
          <w:rFonts w:eastAsia="Calibri"/>
          <w:noProof/>
        </w:rPr>
      </w:pPr>
    </w:p>
    <w:p w:rsidR="00676205" w:rsidRPr="00C903F8" w:rsidRDefault="00676205" w:rsidP="00973DAA">
      <w:pPr>
        <w:pStyle w:val="ESch"/>
        <w:rPr>
          <w:rFonts w:eastAsia="Calibri"/>
          <w:noProof/>
        </w:rPr>
      </w:pPr>
      <w:r>
        <w:br w:type="page"/>
      </w:r>
    </w:p>
    <w:p w:rsidR="00973DAA" w:rsidRPr="00C903F8" w:rsidRDefault="00973DAA" w:rsidP="00973DAA">
      <w:pPr>
        <w:pStyle w:val="ESch"/>
        <w:rPr>
          <w:rFonts w:eastAsia="Calibri" w:cs="Arial"/>
          <w:szCs w:val="18"/>
        </w:rPr>
      </w:pPr>
      <w:r>
        <w:lastRenderedPageBreak/>
        <w:t>18.</w:t>
      </w:r>
      <w:r>
        <w:tab/>
        <w:t>Le sale di ritrovo non costantemente sorvegliate dal personale di bordo o da membri dell'equipaggio, le cucine, le sale macchine ed altri locali che presentano rischi d'incendio sono collegati ad un adeguato sistema d'allarme antincendio. La presenza di un incendio e la sua esatta ubicazione sono automaticamente segnalate in una postazione costantemente presidiata dal personale di bordo o da membri dell'equipaggio.</w:t>
      </w:r>
    </w:p>
    <w:p w:rsidR="00973DAA" w:rsidRPr="00C903F8" w:rsidRDefault="00973DAA" w:rsidP="00973DAA">
      <w:pPr>
        <w:pStyle w:val="ESch"/>
        <w:rPr>
          <w:rFonts w:eastAsia="Calibri" w:cs="Arial"/>
          <w:szCs w:val="18"/>
        </w:rPr>
      </w:pPr>
    </w:p>
    <w:p w:rsidR="00676205" w:rsidRPr="00C903F8" w:rsidRDefault="00676205" w:rsidP="00973DAA">
      <w:pPr>
        <w:pStyle w:val="ESch"/>
        <w:rPr>
          <w:rFonts w:eastAsia="Calibri" w:cs="Arial"/>
          <w:szCs w:val="18"/>
        </w:rPr>
      </w:pPr>
    </w:p>
    <w:p w:rsidR="00973DAA" w:rsidRPr="00C903F8" w:rsidRDefault="00973DAA" w:rsidP="00676205">
      <w:pPr>
        <w:pStyle w:val="ES-Titre3"/>
        <w:rPr>
          <w:rFonts w:cs="Arial"/>
          <w:i/>
          <w:szCs w:val="18"/>
        </w:rPr>
      </w:pPr>
      <w:bookmarkStart w:id="368" w:name="_Toc491854181"/>
      <w:bookmarkStart w:id="369" w:name="_Toc535500130"/>
      <w:r>
        <w:t>Articolo 19.12</w:t>
      </w:r>
      <w:r>
        <w:br/>
      </w:r>
      <w:r>
        <w:rPr>
          <w:i/>
          <w:noProof/>
        </w:rPr>
        <w:t>Mezzi antincendio</w:t>
      </w:r>
      <w:bookmarkEnd w:id="368"/>
      <w:bookmarkEnd w:id="369"/>
    </w:p>
    <w:p w:rsidR="00676205" w:rsidRPr="00C903F8" w:rsidRDefault="00676205" w:rsidP="00973DAA">
      <w:pPr>
        <w:pStyle w:val="ESch"/>
        <w:rPr>
          <w:rFonts w:eastAsia="Calibri"/>
          <w:noProof/>
        </w:rPr>
      </w:pPr>
    </w:p>
    <w:p w:rsidR="00973DAA" w:rsidRPr="00C903F8" w:rsidRDefault="00676205" w:rsidP="00973DAA">
      <w:pPr>
        <w:pStyle w:val="ESch"/>
        <w:rPr>
          <w:rFonts w:eastAsia="Calibri" w:cs="Arial"/>
          <w:szCs w:val="18"/>
        </w:rPr>
      </w:pPr>
      <w:r>
        <w:t>1.</w:t>
      </w:r>
      <w:r>
        <w:tab/>
        <w:t>Oltre agli estintori portatili a norma dell'articolo 13.03, a bordo sono disponibili almeno i seguenti estintori portatili:</w:t>
      </w:r>
    </w:p>
    <w:p w:rsidR="00973DAA" w:rsidRPr="00C903F8" w:rsidRDefault="005C7859" w:rsidP="00676205">
      <w:pPr>
        <w:pStyle w:val="ESlet"/>
        <w:rPr>
          <w:rFonts w:eastAsia="Calibri" w:cs="Arial"/>
          <w:szCs w:val="18"/>
        </w:rPr>
      </w:pPr>
      <w:r>
        <w:t>a)</w:t>
      </w:r>
      <w:r>
        <w:tab/>
        <w:t>un estintore portatile ogni 120 m</w:t>
      </w:r>
      <w:r>
        <w:rPr>
          <w:noProof/>
          <w:vertAlign w:val="superscript"/>
        </w:rPr>
        <w:t>2</w:t>
      </w:r>
      <w:r>
        <w:t xml:space="preserve"> di superficie al suolo lorda nei locali per i passeggeri;</w:t>
      </w:r>
    </w:p>
    <w:p w:rsidR="00973DAA" w:rsidRPr="00C903F8" w:rsidRDefault="005C7859" w:rsidP="00676205">
      <w:pPr>
        <w:pStyle w:val="ESlet"/>
        <w:rPr>
          <w:rFonts w:eastAsia="Calibri" w:cs="Arial"/>
          <w:szCs w:val="18"/>
        </w:rPr>
      </w:pPr>
      <w:r>
        <w:t>b)</w:t>
      </w:r>
      <w:r>
        <w:tab/>
        <w:t>un estintore portatile per ogni gruppo di 10 cabine, con arrotondamento per eccesso;</w:t>
      </w:r>
    </w:p>
    <w:p w:rsidR="00973DAA" w:rsidRPr="00C903F8" w:rsidRDefault="005C7859" w:rsidP="00676205">
      <w:pPr>
        <w:pStyle w:val="ESlet"/>
        <w:rPr>
          <w:rFonts w:eastAsia="Calibri" w:cs="Arial"/>
          <w:szCs w:val="18"/>
        </w:rPr>
      </w:pPr>
      <w:r>
        <w:t>c)</w:t>
      </w:r>
      <w:r>
        <w:tab/>
        <w:t>un estintore portatile in ogni cucina e in prossimità di ogni locale in cui sono immagazzinati o utilizzati liquidi infiammabili. Nelle cucine l'agente estinguente è adatto anche contro i fuochi allargati.</w:t>
      </w:r>
    </w:p>
    <w:p w:rsidR="00676205" w:rsidRPr="00C903F8" w:rsidRDefault="00676205" w:rsidP="00973DAA">
      <w:pPr>
        <w:pStyle w:val="ESch"/>
        <w:rPr>
          <w:rFonts w:eastAsia="Calibri"/>
          <w:noProof/>
        </w:rPr>
      </w:pPr>
    </w:p>
    <w:p w:rsidR="00973DAA" w:rsidRPr="00C903F8" w:rsidRDefault="00973DAA" w:rsidP="00676205">
      <w:pPr>
        <w:pStyle w:val="ESchpar"/>
        <w:rPr>
          <w:rFonts w:eastAsia="Calibri" w:cs="Arial"/>
          <w:szCs w:val="18"/>
        </w:rPr>
      </w:pPr>
      <w:r>
        <w:t>I suddetti estintori aggiuntivi soddisfano i requisiti di cui all'articolo 13.03, paragrafo 2, e sono installati e ripartiti sulla nave in modo che, in qualsiasi punto e in qualsiasi momento si scateni un incendio, sia possibile raggiungere immediatamente un estintore. In ogni cucina e in ogni negozio di parrucchiere e profumeria è prontamente disponibile una coperta antincendio.</w:t>
      </w:r>
    </w:p>
    <w:p w:rsidR="00676205" w:rsidRPr="00C903F8" w:rsidRDefault="00676205" w:rsidP="00973DAA">
      <w:pPr>
        <w:pStyle w:val="ESch"/>
        <w:rPr>
          <w:rFonts w:eastAsia="Calibri"/>
          <w:noProof/>
        </w:rPr>
      </w:pPr>
    </w:p>
    <w:p w:rsidR="00973DAA" w:rsidRPr="00C903F8" w:rsidRDefault="00973DAA" w:rsidP="00973DAA">
      <w:pPr>
        <w:pStyle w:val="ESch"/>
        <w:rPr>
          <w:rFonts w:eastAsia="Calibri" w:cs="Arial"/>
          <w:szCs w:val="18"/>
        </w:rPr>
      </w:pPr>
      <w:r>
        <w:t>2.</w:t>
      </w:r>
      <w:r>
        <w:tab/>
        <w:t>Le navi da passeggeri sono provviste di un sistema di prese d'acqua consistente in:</w:t>
      </w:r>
    </w:p>
    <w:p w:rsidR="00973DAA" w:rsidRPr="00C903F8" w:rsidRDefault="005C7859" w:rsidP="00676205">
      <w:pPr>
        <w:pStyle w:val="ESlet"/>
        <w:rPr>
          <w:rFonts w:eastAsia="Calibri" w:cs="Arial"/>
          <w:szCs w:val="18"/>
        </w:rPr>
      </w:pPr>
      <w:r>
        <w:t>a)</w:t>
      </w:r>
      <w:r>
        <w:tab/>
        <w:t>due pompe antincendio a motore di capacità sufficiente, delle quali almeno una fissa;</w:t>
      </w:r>
    </w:p>
    <w:p w:rsidR="00973DAA" w:rsidRPr="006B6215" w:rsidRDefault="005C7859" w:rsidP="00676205">
      <w:pPr>
        <w:pStyle w:val="ESlet"/>
        <w:rPr>
          <w:rFonts w:eastAsia="Calibri" w:cs="Arial"/>
          <w:szCs w:val="18"/>
        </w:rPr>
      </w:pPr>
      <w:r>
        <w:t>b)</w:t>
      </w:r>
      <w:r>
        <w:tab/>
        <w:t>una conduttura d'estinzione incendi con un numero sufficiente di prese d'acqua alle quali sono collegate in permanenza manichette antincendio di almeno 20 metri di lunghezza dotate di una lancia in grado di erogare un getto d'acqua pieno o nebulizzato e provvista di un dispositivo di arresto.</w:t>
      </w:r>
    </w:p>
    <w:p w:rsidR="00676205" w:rsidRPr="006B6215" w:rsidRDefault="00676205" w:rsidP="00973DAA">
      <w:pPr>
        <w:pStyle w:val="ESch"/>
        <w:rPr>
          <w:rFonts w:eastAsia="Calibri"/>
          <w:noProof/>
        </w:rPr>
      </w:pPr>
    </w:p>
    <w:p w:rsidR="00973DAA" w:rsidRPr="006B6215" w:rsidRDefault="00973DAA" w:rsidP="00973DAA">
      <w:pPr>
        <w:pStyle w:val="ESch"/>
        <w:rPr>
          <w:rFonts w:eastAsia="Calibri" w:cs="Arial"/>
          <w:szCs w:val="18"/>
        </w:rPr>
      </w:pPr>
      <w:r>
        <w:t>3.</w:t>
      </w:r>
      <w:r>
        <w:tab/>
        <w:t>I sistemi di prese d'acqua sono costruiti e proporzionati in modo tale che:</w:t>
      </w:r>
    </w:p>
    <w:p w:rsidR="00973DAA" w:rsidRPr="006B6215" w:rsidRDefault="005C7859" w:rsidP="00676205">
      <w:pPr>
        <w:pStyle w:val="ESlet"/>
        <w:rPr>
          <w:rFonts w:eastAsia="Calibri" w:cs="Arial"/>
          <w:szCs w:val="18"/>
        </w:rPr>
      </w:pPr>
      <w:r>
        <w:t>a)</w:t>
      </w:r>
      <w:r>
        <w:tab/>
        <w:t>qualsiasi punto della nave possa essere raggiunto partendo almeno da due prese d'acqua situate in luoghi differenti, da ciascuna mediante un'unica manichetta antincendio di non più di 20 m di lunghezza;</w:t>
      </w:r>
    </w:p>
    <w:p w:rsidR="00973DAA" w:rsidRPr="006B6215" w:rsidRDefault="005C7859" w:rsidP="00676205">
      <w:pPr>
        <w:pStyle w:val="ESlet"/>
        <w:rPr>
          <w:rFonts w:eastAsia="Calibri" w:cs="Arial"/>
          <w:szCs w:val="18"/>
        </w:rPr>
      </w:pPr>
      <w:r>
        <w:t>b)</w:t>
      </w:r>
      <w:r>
        <w:tab/>
        <w:t>la pressione in corrispondenza delle prese d'acqua sia pari almeno a 300 kPa; e</w:t>
      </w:r>
    </w:p>
    <w:p w:rsidR="00973DAA" w:rsidRPr="006B6215" w:rsidRDefault="005C7859" w:rsidP="00676205">
      <w:pPr>
        <w:pStyle w:val="ESlet"/>
        <w:rPr>
          <w:rFonts w:eastAsia="Calibri" w:cs="Arial"/>
          <w:szCs w:val="18"/>
        </w:rPr>
      </w:pPr>
      <w:r>
        <w:t>c)</w:t>
      </w:r>
      <w:r>
        <w:tab/>
        <w:t>su tutti i ponti sia possibile ottenere un getto d'acqua di almeno 6 m.</w:t>
      </w:r>
    </w:p>
    <w:p w:rsidR="00676205" w:rsidRPr="006B6215" w:rsidRDefault="00676205" w:rsidP="00973DAA">
      <w:pPr>
        <w:pStyle w:val="ESch"/>
        <w:rPr>
          <w:rFonts w:eastAsia="Calibri"/>
          <w:noProof/>
        </w:rPr>
      </w:pPr>
    </w:p>
    <w:p w:rsidR="00973DAA" w:rsidRPr="006B6215" w:rsidRDefault="00973DAA" w:rsidP="00676205">
      <w:pPr>
        <w:pStyle w:val="ESchpar"/>
        <w:rPr>
          <w:rFonts w:eastAsia="Calibri" w:cs="Arial"/>
          <w:szCs w:val="18"/>
        </w:rPr>
      </w:pPr>
      <w:r>
        <w:t>In presenza di armadi per idranti, è apposto sull'esterno degli stessi un pittogramma per "manichetta antincendio", simile a quello della figura 5 dell'allegato 4, avente una lunghezza del lato di almeno 10 cm.</w:t>
      </w:r>
    </w:p>
    <w:p w:rsidR="00676205" w:rsidRPr="006B6215" w:rsidRDefault="00676205" w:rsidP="00973DAA">
      <w:pPr>
        <w:pStyle w:val="ESch"/>
        <w:rPr>
          <w:rFonts w:eastAsia="Calibri"/>
          <w:noProof/>
        </w:rPr>
      </w:pPr>
    </w:p>
    <w:p w:rsidR="00973DAA" w:rsidRPr="00C903F8" w:rsidRDefault="00973DAA" w:rsidP="00973DAA">
      <w:pPr>
        <w:pStyle w:val="ESch"/>
        <w:rPr>
          <w:rFonts w:eastAsia="Calibri" w:cs="Arial"/>
          <w:szCs w:val="18"/>
        </w:rPr>
      </w:pPr>
      <w:r>
        <w:t>4.</w:t>
      </w:r>
      <w:r>
        <w:tab/>
        <w:t>Le valvole per prese d'acqua con passi di vite o rubinetti sono tali da poter essere collocate in modo che ciascuna manichetta antincendio possa essere separata e ritirata durante il funzionamento delle pompe antincendio.</w:t>
      </w:r>
    </w:p>
    <w:p w:rsidR="00676205" w:rsidRPr="00C903F8" w:rsidRDefault="00676205" w:rsidP="00973DAA">
      <w:pPr>
        <w:pStyle w:val="ESch"/>
        <w:rPr>
          <w:rFonts w:eastAsia="Calibri"/>
          <w:noProof/>
        </w:rPr>
      </w:pPr>
    </w:p>
    <w:p w:rsidR="00973DAA" w:rsidRPr="00C903F8" w:rsidRDefault="00973DAA" w:rsidP="00973DAA">
      <w:pPr>
        <w:pStyle w:val="ESch"/>
        <w:rPr>
          <w:rFonts w:eastAsia="Calibri" w:cs="Arial"/>
          <w:szCs w:val="18"/>
        </w:rPr>
      </w:pPr>
      <w:r>
        <w:t>5.</w:t>
      </w:r>
      <w:r>
        <w:tab/>
        <w:t>Nell'area interna, le manichette antincendio sono arrotolate su un naspo ad alimentazione assiale.</w:t>
      </w:r>
    </w:p>
    <w:p w:rsidR="00676205" w:rsidRPr="00C903F8" w:rsidRDefault="00676205" w:rsidP="00973DAA">
      <w:pPr>
        <w:pStyle w:val="ESch"/>
        <w:rPr>
          <w:rFonts w:eastAsia="Calibri"/>
          <w:noProof/>
        </w:rPr>
      </w:pPr>
    </w:p>
    <w:p w:rsidR="00973DAA" w:rsidRPr="00C903F8" w:rsidRDefault="00973DAA" w:rsidP="00973DAA">
      <w:pPr>
        <w:pStyle w:val="ESch"/>
        <w:rPr>
          <w:rFonts w:eastAsia="Calibri" w:cs="Arial"/>
          <w:szCs w:val="18"/>
        </w:rPr>
      </w:pPr>
      <w:r>
        <w:t>6.</w:t>
      </w:r>
      <w:r>
        <w:tab/>
        <w:t>Il materiale delle attrezzature antincendio è termoresistente o adeguatamente protetto contro la perdita di efficienza in presenza di temperature elevate.</w:t>
      </w:r>
    </w:p>
    <w:p w:rsidR="00676205" w:rsidRPr="00C903F8" w:rsidRDefault="00676205" w:rsidP="00973DAA">
      <w:pPr>
        <w:pStyle w:val="ESch"/>
        <w:rPr>
          <w:rFonts w:eastAsia="Calibri"/>
          <w:noProof/>
        </w:rPr>
      </w:pPr>
    </w:p>
    <w:p w:rsidR="00973DAA" w:rsidRPr="00C903F8" w:rsidRDefault="00973DAA" w:rsidP="00973DAA">
      <w:pPr>
        <w:pStyle w:val="ESch"/>
        <w:rPr>
          <w:rFonts w:eastAsia="Calibri" w:cs="Arial"/>
          <w:szCs w:val="18"/>
        </w:rPr>
      </w:pPr>
      <w:r>
        <w:t>7.</w:t>
      </w:r>
      <w:r>
        <w:tab/>
        <w:t>Le tubazioni e le prese d'acqua sono disposte in modo da scongiurare il rischio di gelamento.</w:t>
      </w:r>
    </w:p>
    <w:p w:rsidR="00676205" w:rsidRPr="00C903F8" w:rsidRDefault="00676205" w:rsidP="00973DAA">
      <w:pPr>
        <w:pStyle w:val="ESch"/>
        <w:rPr>
          <w:rFonts w:eastAsia="Calibri"/>
          <w:noProof/>
        </w:rPr>
      </w:pPr>
    </w:p>
    <w:p w:rsidR="00676205" w:rsidRPr="00C903F8" w:rsidRDefault="00676205" w:rsidP="00973DAA">
      <w:pPr>
        <w:pStyle w:val="ESch"/>
        <w:rPr>
          <w:rFonts w:eastAsia="Calibri"/>
          <w:noProof/>
        </w:rPr>
      </w:pPr>
      <w:r>
        <w:br w:type="page"/>
      </w:r>
    </w:p>
    <w:p w:rsidR="00973DAA" w:rsidRPr="00C903F8" w:rsidRDefault="00973DAA" w:rsidP="00973DAA">
      <w:pPr>
        <w:pStyle w:val="ESch"/>
        <w:rPr>
          <w:rFonts w:eastAsia="Calibri" w:cs="Arial"/>
          <w:szCs w:val="18"/>
        </w:rPr>
      </w:pPr>
      <w:r>
        <w:lastRenderedPageBreak/>
        <w:t>8.</w:t>
      </w:r>
      <w:r>
        <w:tab/>
        <w:t>Le pompe antincendio:</w:t>
      </w:r>
    </w:p>
    <w:p w:rsidR="00973DAA" w:rsidRPr="00C903F8" w:rsidRDefault="005C7859" w:rsidP="00676205">
      <w:pPr>
        <w:pStyle w:val="ESlet"/>
        <w:rPr>
          <w:rFonts w:eastAsia="Calibri" w:cs="Arial"/>
          <w:szCs w:val="18"/>
        </w:rPr>
      </w:pPr>
      <w:r>
        <w:t>a)</w:t>
      </w:r>
      <w:r>
        <w:tab/>
        <w:t>sono installate o alloggiate in locali separati;</w:t>
      </w:r>
    </w:p>
    <w:p w:rsidR="00973DAA" w:rsidRPr="00C903F8" w:rsidRDefault="005C7859" w:rsidP="00676205">
      <w:pPr>
        <w:pStyle w:val="ESlet"/>
        <w:rPr>
          <w:rFonts w:eastAsia="Calibri" w:cs="Arial"/>
          <w:szCs w:val="18"/>
        </w:rPr>
      </w:pPr>
      <w:r>
        <w:t>b)</w:t>
      </w:r>
      <w:r>
        <w:tab/>
        <w:t>sono tali da poter essere utilizzate in modo indipendente l'una dall'altra;</w:t>
      </w:r>
    </w:p>
    <w:p w:rsidR="00973DAA" w:rsidRPr="00C903F8" w:rsidRDefault="005C7859" w:rsidP="00676205">
      <w:pPr>
        <w:pStyle w:val="ESlet"/>
        <w:rPr>
          <w:rFonts w:eastAsia="Calibri" w:cs="Arial"/>
          <w:szCs w:val="18"/>
        </w:rPr>
      </w:pPr>
      <w:r>
        <w:t>c)</w:t>
      </w:r>
      <w:r>
        <w:tab/>
        <w:t>sono ciascuna in grado di mantenere, su tutti i ponti, la pressione necessaria in corrispondenza delle prese d'acqua e di ottenere un getto d'acqua della lunghezza prescritta;</w:t>
      </w:r>
    </w:p>
    <w:p w:rsidR="00973DAA" w:rsidRPr="00C903F8" w:rsidRDefault="0029453D" w:rsidP="00676205">
      <w:pPr>
        <w:pStyle w:val="ESlet"/>
        <w:rPr>
          <w:rFonts w:eastAsia="Calibri" w:cs="Arial"/>
          <w:szCs w:val="18"/>
        </w:rPr>
      </w:pPr>
      <w:r>
        <w:t>d)</w:t>
      </w:r>
      <w:r>
        <w:tab/>
        <w:t>sono installate a prua della paratia del gavone di poppa.</w:t>
      </w:r>
    </w:p>
    <w:p w:rsidR="00676205" w:rsidRPr="00C903F8" w:rsidRDefault="00676205" w:rsidP="00973DAA">
      <w:pPr>
        <w:pStyle w:val="ESch"/>
        <w:rPr>
          <w:rFonts w:eastAsia="Calibri"/>
          <w:noProof/>
        </w:rPr>
      </w:pPr>
    </w:p>
    <w:p w:rsidR="00973DAA" w:rsidRPr="00C903F8" w:rsidRDefault="00973DAA" w:rsidP="00676205">
      <w:pPr>
        <w:pStyle w:val="ESchpar"/>
        <w:rPr>
          <w:rFonts w:eastAsia="Calibri" w:cs="Arial"/>
          <w:szCs w:val="18"/>
        </w:rPr>
      </w:pPr>
      <w:r>
        <w:t>Le pompe antincendio possono essere utilizzate anche per funzioni generali.</w:t>
      </w:r>
    </w:p>
    <w:p w:rsidR="00676205" w:rsidRPr="00C903F8" w:rsidRDefault="00676205" w:rsidP="00973DAA">
      <w:pPr>
        <w:pStyle w:val="ESch"/>
        <w:rPr>
          <w:rFonts w:eastAsia="Calibri"/>
          <w:noProof/>
        </w:rPr>
      </w:pPr>
    </w:p>
    <w:p w:rsidR="00973DAA" w:rsidRPr="00C903F8" w:rsidRDefault="00973DAA" w:rsidP="00973DAA">
      <w:pPr>
        <w:pStyle w:val="ESch"/>
        <w:rPr>
          <w:rFonts w:eastAsia="Calibri" w:cs="Arial"/>
          <w:szCs w:val="18"/>
        </w:rPr>
      </w:pPr>
      <w:r>
        <w:t>9.</w:t>
      </w:r>
      <w:r>
        <w:tab/>
        <w:t>Le sale macchine sono dotate di un impianto antincendio fisso conformemente all'articolo 13.05.</w:t>
      </w:r>
    </w:p>
    <w:p w:rsidR="00676205" w:rsidRPr="00C903F8" w:rsidRDefault="00676205" w:rsidP="00973DAA">
      <w:pPr>
        <w:pStyle w:val="ESch"/>
        <w:rPr>
          <w:rFonts w:eastAsia="Calibri"/>
          <w:noProof/>
        </w:rPr>
      </w:pPr>
    </w:p>
    <w:p w:rsidR="00973DAA" w:rsidRPr="00C903F8" w:rsidRDefault="00973DAA" w:rsidP="00973DAA">
      <w:pPr>
        <w:pStyle w:val="ESch"/>
        <w:rPr>
          <w:rFonts w:eastAsia="Calibri" w:cs="Arial"/>
          <w:szCs w:val="18"/>
        </w:rPr>
      </w:pPr>
      <w:r>
        <w:t>10.</w:t>
      </w:r>
      <w:r>
        <w:tab/>
        <w:t>Sulle navi cabinate sono presenti:</w:t>
      </w:r>
    </w:p>
    <w:p w:rsidR="00973DAA" w:rsidRPr="00C903F8" w:rsidRDefault="005C7859" w:rsidP="00676205">
      <w:pPr>
        <w:pStyle w:val="ESlet"/>
        <w:rPr>
          <w:rFonts w:eastAsia="Calibri" w:cs="Arial"/>
          <w:szCs w:val="18"/>
        </w:rPr>
      </w:pPr>
      <w:r>
        <w:t>a)</w:t>
      </w:r>
      <w:r>
        <w:tab/>
      </w:r>
      <w:r>
        <w:rPr>
          <w:rFonts w:ascii="ArialMT" w:hAnsi="ArialMT"/>
        </w:rPr>
        <w:t>due apparecchi autorespiratori conformi alla norma europea EN 137:2006 di tipo 2 con maschera facciale completa conforme alla norma europea EN 136:1998</w:t>
      </w:r>
      <w:r>
        <w:t>;</w:t>
      </w:r>
    </w:p>
    <w:p w:rsidR="00973DAA" w:rsidRPr="00C903F8" w:rsidRDefault="005C7859" w:rsidP="00676205">
      <w:pPr>
        <w:pStyle w:val="ESlet"/>
        <w:rPr>
          <w:rFonts w:eastAsia="Calibri" w:cs="Arial"/>
          <w:szCs w:val="18"/>
        </w:rPr>
      </w:pPr>
      <w:r>
        <w:t>b)</w:t>
      </w:r>
      <w:r>
        <w:tab/>
        <w:t xml:space="preserve">due equipaggiamenti, ciascuno costituito almeno da tuta protettiva, casco, stivali, guanti, ascia, piede di porco, lampada tascabile e cavo di sicurezza; </w:t>
      </w:r>
    </w:p>
    <w:p w:rsidR="00973DAA" w:rsidRPr="00C903F8" w:rsidRDefault="005C7859" w:rsidP="00676205">
      <w:pPr>
        <w:pStyle w:val="ESlet"/>
        <w:rPr>
          <w:rFonts w:eastAsia="Calibri" w:cs="Arial"/>
          <w:szCs w:val="18"/>
        </w:rPr>
      </w:pPr>
      <w:r>
        <w:t>c)</w:t>
      </w:r>
      <w:r>
        <w:tab/>
        <w:t>quattro maschere antifumo.</w:t>
      </w:r>
    </w:p>
    <w:p w:rsidR="00973DAA" w:rsidRPr="00C903F8" w:rsidRDefault="00973DAA" w:rsidP="00973DAA">
      <w:pPr>
        <w:pStyle w:val="ESch"/>
        <w:rPr>
          <w:rFonts w:eastAsia="Calibri" w:cs="Arial"/>
          <w:szCs w:val="18"/>
        </w:rPr>
      </w:pPr>
    </w:p>
    <w:p w:rsidR="00676205" w:rsidRPr="00C903F8" w:rsidRDefault="00676205" w:rsidP="00973DAA">
      <w:pPr>
        <w:pStyle w:val="ESch"/>
        <w:rPr>
          <w:rFonts w:eastAsia="Calibri" w:cs="Arial"/>
          <w:szCs w:val="18"/>
        </w:rPr>
      </w:pPr>
    </w:p>
    <w:p w:rsidR="00973DAA" w:rsidRPr="00C903F8" w:rsidRDefault="00973DAA" w:rsidP="009870AF">
      <w:pPr>
        <w:pStyle w:val="ES-Titre3"/>
        <w:rPr>
          <w:rFonts w:cs="Arial"/>
          <w:i/>
          <w:szCs w:val="18"/>
        </w:rPr>
      </w:pPr>
      <w:bookmarkStart w:id="370" w:name="_Toc491854182"/>
      <w:bookmarkStart w:id="371" w:name="_Toc535500131"/>
      <w:r>
        <w:t>Articolo 19.13</w:t>
      </w:r>
      <w:r>
        <w:br/>
      </w:r>
      <w:r>
        <w:rPr>
          <w:i/>
          <w:noProof/>
        </w:rPr>
        <w:t>Organizzazione della sicurezza</w:t>
      </w:r>
      <w:bookmarkEnd w:id="370"/>
      <w:bookmarkEnd w:id="371"/>
    </w:p>
    <w:p w:rsidR="009870AF" w:rsidRPr="00C903F8" w:rsidRDefault="009870AF" w:rsidP="00973DAA">
      <w:pPr>
        <w:pStyle w:val="ESch"/>
        <w:rPr>
          <w:rFonts w:eastAsia="Calibri"/>
          <w:noProof/>
        </w:rPr>
      </w:pPr>
    </w:p>
    <w:p w:rsidR="00973DAA" w:rsidRPr="00C903F8" w:rsidRDefault="00973DAA" w:rsidP="00973DAA">
      <w:pPr>
        <w:pStyle w:val="ESch"/>
        <w:rPr>
          <w:rFonts w:eastAsia="Calibri" w:cs="Arial"/>
          <w:szCs w:val="18"/>
        </w:rPr>
      </w:pPr>
      <w:r>
        <w:t>1.</w:t>
      </w:r>
      <w:r>
        <w:tab/>
        <w:t>A bordo delle navi da passeggeri deve essere presente un ruolo d'appello. Esso descrive i compiti dell'equipaggio e del personale di bordo nei seguenti casi:</w:t>
      </w:r>
    </w:p>
    <w:p w:rsidR="00973DAA" w:rsidRPr="00C903F8" w:rsidRDefault="005C7859" w:rsidP="009870AF">
      <w:pPr>
        <w:pStyle w:val="ESlet"/>
        <w:rPr>
          <w:rFonts w:eastAsia="Calibri" w:cs="Arial"/>
          <w:szCs w:val="18"/>
        </w:rPr>
      </w:pPr>
      <w:r>
        <w:t>a)</w:t>
      </w:r>
      <w:r>
        <w:tab/>
        <w:t>avaria;</w:t>
      </w:r>
    </w:p>
    <w:p w:rsidR="00973DAA" w:rsidRPr="00C903F8" w:rsidRDefault="005C7859" w:rsidP="009870AF">
      <w:pPr>
        <w:pStyle w:val="ESlet"/>
        <w:rPr>
          <w:rFonts w:eastAsia="Calibri" w:cs="Arial"/>
          <w:szCs w:val="18"/>
        </w:rPr>
      </w:pPr>
      <w:r>
        <w:t>b)</w:t>
      </w:r>
      <w:r>
        <w:tab/>
        <w:t>incendio a bordo;</w:t>
      </w:r>
    </w:p>
    <w:p w:rsidR="00973DAA" w:rsidRPr="00C903F8" w:rsidRDefault="005C7859" w:rsidP="009870AF">
      <w:pPr>
        <w:pStyle w:val="ESlet"/>
        <w:rPr>
          <w:rFonts w:eastAsia="Calibri" w:cs="Arial"/>
          <w:szCs w:val="18"/>
        </w:rPr>
      </w:pPr>
      <w:r>
        <w:t>c)</w:t>
      </w:r>
      <w:r>
        <w:tab/>
        <w:t>evacuazione dei passeggeri,</w:t>
      </w:r>
    </w:p>
    <w:p w:rsidR="00973DAA" w:rsidRPr="00C903F8" w:rsidRDefault="0029453D" w:rsidP="009870AF">
      <w:pPr>
        <w:pStyle w:val="ESlet"/>
        <w:rPr>
          <w:rFonts w:eastAsia="Calibri" w:cs="Arial"/>
          <w:szCs w:val="18"/>
        </w:rPr>
      </w:pPr>
      <w:r>
        <w:t>d)</w:t>
      </w:r>
      <w:r>
        <w:tab/>
        <w:t>uomo in mare.</w:t>
      </w:r>
    </w:p>
    <w:p w:rsidR="009870AF" w:rsidRPr="00C903F8" w:rsidRDefault="009870AF" w:rsidP="00973DAA">
      <w:pPr>
        <w:pStyle w:val="ESch"/>
        <w:rPr>
          <w:rFonts w:eastAsia="Calibri"/>
          <w:noProof/>
        </w:rPr>
      </w:pPr>
    </w:p>
    <w:p w:rsidR="00973DAA" w:rsidRPr="00C903F8" w:rsidRDefault="00973DAA" w:rsidP="009870AF">
      <w:pPr>
        <w:pStyle w:val="ESchpar"/>
        <w:rPr>
          <w:rFonts w:eastAsia="Calibri" w:cs="Arial"/>
          <w:szCs w:val="18"/>
        </w:rPr>
      </w:pPr>
      <w:r>
        <w:t>Sono prese in considerazione misure di sicurezza specifiche per le persone a mobilità ridotta.</w:t>
      </w:r>
    </w:p>
    <w:p w:rsidR="009870AF" w:rsidRPr="00C903F8" w:rsidRDefault="009870AF" w:rsidP="009870AF">
      <w:pPr>
        <w:pStyle w:val="ESchpar"/>
        <w:rPr>
          <w:rFonts w:eastAsia="Calibri"/>
          <w:noProof/>
        </w:rPr>
      </w:pPr>
    </w:p>
    <w:p w:rsidR="00973DAA" w:rsidRPr="00C903F8" w:rsidRDefault="00973DAA" w:rsidP="009870AF">
      <w:pPr>
        <w:pStyle w:val="ESchpar"/>
        <w:rPr>
          <w:rFonts w:eastAsia="Calibri" w:cs="Arial"/>
          <w:szCs w:val="18"/>
        </w:rPr>
      </w:pPr>
      <w:r>
        <w:t>I diversi compiti dovrebbero essere assegnati ai membri dell'equipaggio e al personale di bordo designati nel ruolo d'appello in base ai posti occupati. Consegne specifiche all'equipaggio garantiscono, in caso di pericolo, l'immediata chiusura ermetica di tutte le porte e aperture delle paratie stagne di cui all'articolo 19.02.</w:t>
      </w:r>
    </w:p>
    <w:p w:rsidR="009870AF" w:rsidRPr="00C903F8" w:rsidRDefault="009870AF" w:rsidP="00973DAA">
      <w:pPr>
        <w:pStyle w:val="ESch"/>
        <w:rPr>
          <w:rFonts w:eastAsia="Calibri"/>
          <w:noProof/>
        </w:rPr>
      </w:pPr>
    </w:p>
    <w:p w:rsidR="00973DAA" w:rsidRPr="00C903F8" w:rsidRDefault="00973DAA" w:rsidP="00973DAA">
      <w:pPr>
        <w:pStyle w:val="ESch"/>
        <w:rPr>
          <w:rFonts w:eastAsia="Calibri" w:cs="Arial"/>
          <w:szCs w:val="18"/>
        </w:rPr>
      </w:pPr>
      <w:r>
        <w:t>2.</w:t>
      </w:r>
      <w:r>
        <w:tab/>
        <w:t>Il ruolo di appello include un piano d'emergenza in cui sono indicati in modo chiaro e preciso almeno:</w:t>
      </w:r>
    </w:p>
    <w:p w:rsidR="00973DAA" w:rsidRPr="00C903F8" w:rsidRDefault="005C7859" w:rsidP="009870AF">
      <w:pPr>
        <w:pStyle w:val="ESlet"/>
        <w:rPr>
          <w:rFonts w:eastAsia="Calibri" w:cs="Arial"/>
          <w:szCs w:val="18"/>
        </w:rPr>
      </w:pPr>
      <w:r>
        <w:t>a)</w:t>
      </w:r>
      <w:r>
        <w:tab/>
        <w:t>le zone ad uso delle persone a mobilità ridotta;</w:t>
      </w:r>
    </w:p>
    <w:p w:rsidR="00973DAA" w:rsidRPr="00C903F8" w:rsidRDefault="005C7859" w:rsidP="009870AF">
      <w:pPr>
        <w:pStyle w:val="ESlet"/>
        <w:rPr>
          <w:rFonts w:eastAsia="Calibri" w:cs="Arial"/>
          <w:szCs w:val="18"/>
        </w:rPr>
      </w:pPr>
      <w:r>
        <w:t>b)</w:t>
      </w:r>
      <w:r>
        <w:tab/>
        <w:t>le vie di evacuazione, le uscite di sicurezza, i punti di riunione e le zone di evacuazione;</w:t>
      </w:r>
    </w:p>
    <w:p w:rsidR="00973DAA" w:rsidRPr="00C903F8" w:rsidRDefault="005C7859" w:rsidP="009870AF">
      <w:pPr>
        <w:pStyle w:val="ESlet"/>
        <w:rPr>
          <w:rFonts w:eastAsia="Calibri" w:cs="Arial"/>
          <w:szCs w:val="18"/>
        </w:rPr>
      </w:pPr>
      <w:r>
        <w:t>c)</w:t>
      </w:r>
      <w:r>
        <w:tab/>
        <w:t>le attrezzature di salvataggio e le lance;</w:t>
      </w:r>
    </w:p>
    <w:p w:rsidR="00973DAA" w:rsidRPr="00C903F8" w:rsidRDefault="0029453D" w:rsidP="009870AF">
      <w:pPr>
        <w:pStyle w:val="ESlet"/>
        <w:rPr>
          <w:rFonts w:eastAsia="Calibri" w:cs="Arial"/>
          <w:szCs w:val="18"/>
        </w:rPr>
      </w:pPr>
      <w:r>
        <w:t>d)</w:t>
      </w:r>
      <w:r>
        <w:tab/>
        <w:t>gli estintori e gli impianti d'estinzione incendi e impianti pressurizzati a sprinkler;</w:t>
      </w:r>
    </w:p>
    <w:p w:rsidR="00973DAA" w:rsidRPr="00C903F8" w:rsidRDefault="0029453D" w:rsidP="009870AF">
      <w:pPr>
        <w:pStyle w:val="ESlet"/>
        <w:rPr>
          <w:rFonts w:eastAsia="Calibri" w:cs="Arial"/>
          <w:szCs w:val="18"/>
        </w:rPr>
      </w:pPr>
      <w:r>
        <w:t>e)</w:t>
      </w:r>
      <w:r>
        <w:tab/>
        <w:t>le altre attrezzature di sicurezza;</w:t>
      </w:r>
    </w:p>
    <w:p w:rsidR="00973DAA" w:rsidRPr="00C903F8" w:rsidRDefault="0029453D" w:rsidP="009870AF">
      <w:pPr>
        <w:pStyle w:val="ESlet"/>
        <w:rPr>
          <w:rFonts w:eastAsia="Calibri" w:cs="Arial"/>
          <w:szCs w:val="18"/>
        </w:rPr>
      </w:pPr>
      <w:r>
        <w:t>f)</w:t>
      </w:r>
      <w:r>
        <w:tab/>
        <w:t>il sistema di allarme di cui all'articolo 19.08, paragrafo 3, lettera a);</w:t>
      </w:r>
    </w:p>
    <w:p w:rsidR="009870AF" w:rsidRPr="00C903F8" w:rsidRDefault="009870AF" w:rsidP="009870AF">
      <w:pPr>
        <w:pStyle w:val="ESlet"/>
        <w:rPr>
          <w:rFonts w:eastAsia="Calibri"/>
          <w:noProof/>
        </w:rPr>
      </w:pPr>
    </w:p>
    <w:p w:rsidR="009870AF" w:rsidRPr="00C903F8" w:rsidRDefault="009870AF" w:rsidP="009870AF">
      <w:pPr>
        <w:pStyle w:val="ESlet"/>
        <w:rPr>
          <w:rFonts w:eastAsia="Calibri"/>
          <w:noProof/>
        </w:rPr>
      </w:pPr>
      <w:r>
        <w:br w:type="page"/>
      </w:r>
    </w:p>
    <w:p w:rsidR="00973DAA" w:rsidRPr="00C903F8" w:rsidRDefault="0029453D" w:rsidP="009870AF">
      <w:pPr>
        <w:pStyle w:val="ESlet"/>
        <w:rPr>
          <w:rFonts w:eastAsia="Calibri" w:cs="Arial"/>
          <w:szCs w:val="18"/>
        </w:rPr>
      </w:pPr>
      <w:r>
        <w:lastRenderedPageBreak/>
        <w:t>g)</w:t>
      </w:r>
      <w:r>
        <w:tab/>
        <w:t>il sistema di allarme di cui all'articolo 19.08, paragrafo 3, lettere b) e c);</w:t>
      </w:r>
    </w:p>
    <w:p w:rsidR="00973DAA" w:rsidRPr="00C903F8" w:rsidRDefault="0029453D" w:rsidP="009870AF">
      <w:pPr>
        <w:pStyle w:val="ESlet"/>
        <w:rPr>
          <w:rFonts w:eastAsia="Calibri" w:cs="Arial"/>
          <w:szCs w:val="18"/>
        </w:rPr>
      </w:pPr>
      <w:r>
        <w:t>h)</w:t>
      </w:r>
      <w:r>
        <w:tab/>
        <w:t>le porte stagne di cui all'articolo 19.02, paragrafo 5, e la collocazione dei loro comandi, nonché le altre aperture di cui all'articolo 19.02, paragrafi 9, 10 e 13, e all'articolo 19.03, paragrafo 12;</w:t>
      </w:r>
    </w:p>
    <w:p w:rsidR="00973DAA" w:rsidRPr="00C903F8" w:rsidRDefault="0029453D" w:rsidP="009870AF">
      <w:pPr>
        <w:pStyle w:val="ESlet"/>
        <w:rPr>
          <w:rFonts w:eastAsia="Calibri" w:cs="Arial"/>
          <w:szCs w:val="18"/>
        </w:rPr>
      </w:pPr>
      <w:r>
        <w:t>i)</w:t>
      </w:r>
      <w:r>
        <w:tab/>
        <w:t>le porte di cui all'articolo 19.11, paragrafo 9;</w:t>
      </w:r>
    </w:p>
    <w:p w:rsidR="00973DAA" w:rsidRPr="00C903F8" w:rsidRDefault="00973DAA" w:rsidP="009870AF">
      <w:pPr>
        <w:pStyle w:val="ESlet"/>
        <w:rPr>
          <w:rFonts w:eastAsia="Calibri" w:cs="Arial"/>
          <w:szCs w:val="18"/>
        </w:rPr>
      </w:pPr>
      <w:r>
        <w:t>j)</w:t>
      </w:r>
      <w:r>
        <w:tab/>
        <w:t>le serrande tagliafuoco;</w:t>
      </w:r>
    </w:p>
    <w:p w:rsidR="00973DAA" w:rsidRPr="00C903F8" w:rsidRDefault="0029453D" w:rsidP="009870AF">
      <w:pPr>
        <w:pStyle w:val="ESlet"/>
        <w:rPr>
          <w:rFonts w:eastAsia="Calibri" w:cs="Arial"/>
          <w:szCs w:val="18"/>
        </w:rPr>
      </w:pPr>
      <w:r>
        <w:t>k)</w:t>
      </w:r>
      <w:r>
        <w:tab/>
        <w:t>il sistema di allarme antincendio;</w:t>
      </w:r>
    </w:p>
    <w:p w:rsidR="00973DAA" w:rsidRPr="00C903F8" w:rsidRDefault="0029453D" w:rsidP="009870AF">
      <w:pPr>
        <w:pStyle w:val="ESlet"/>
        <w:rPr>
          <w:rFonts w:eastAsia="Calibri" w:cs="Arial"/>
          <w:szCs w:val="18"/>
        </w:rPr>
      </w:pPr>
      <w:r>
        <w:t>l)</w:t>
      </w:r>
      <w:r>
        <w:tab/>
        <w:t>la centrale elettrica d'emergenza;</w:t>
      </w:r>
    </w:p>
    <w:p w:rsidR="00973DAA" w:rsidRPr="00C903F8" w:rsidRDefault="0029453D" w:rsidP="009870AF">
      <w:pPr>
        <w:pStyle w:val="ESlet"/>
        <w:rPr>
          <w:rFonts w:eastAsia="Calibri" w:cs="Arial"/>
          <w:szCs w:val="18"/>
        </w:rPr>
      </w:pPr>
      <w:r>
        <w:t>m)</w:t>
      </w:r>
      <w:r>
        <w:tab/>
        <w:t>gli organi di comando del sistema di ventilazione;</w:t>
      </w:r>
    </w:p>
    <w:p w:rsidR="00973DAA" w:rsidRPr="00C903F8" w:rsidRDefault="00973DAA" w:rsidP="009870AF">
      <w:pPr>
        <w:pStyle w:val="ESlet"/>
        <w:rPr>
          <w:rFonts w:eastAsia="Calibri" w:cs="Arial"/>
          <w:szCs w:val="18"/>
        </w:rPr>
      </w:pPr>
      <w:r>
        <w:t>n)</w:t>
      </w:r>
      <w:r>
        <w:tab/>
        <w:t>i collegamenti alla terraferma;</w:t>
      </w:r>
    </w:p>
    <w:p w:rsidR="00973DAA" w:rsidRPr="00C903F8" w:rsidRDefault="00973DAA" w:rsidP="009870AF">
      <w:pPr>
        <w:pStyle w:val="ESlet"/>
        <w:rPr>
          <w:rFonts w:eastAsia="Calibri" w:cs="Arial"/>
          <w:szCs w:val="18"/>
        </w:rPr>
      </w:pPr>
      <w:r>
        <w:t>o)</w:t>
      </w:r>
      <w:r>
        <w:tab/>
        <w:t>i dispositivi di chiusura delle tubature di alimentazione di combustibile;</w:t>
      </w:r>
    </w:p>
    <w:p w:rsidR="00973DAA" w:rsidRPr="00C903F8" w:rsidRDefault="00973DAA" w:rsidP="009870AF">
      <w:pPr>
        <w:pStyle w:val="ESlet"/>
        <w:rPr>
          <w:rFonts w:eastAsia="Calibri" w:cs="Arial"/>
          <w:szCs w:val="18"/>
        </w:rPr>
      </w:pPr>
      <w:r>
        <w:t>p)</w:t>
      </w:r>
      <w:r>
        <w:tab/>
        <w:t>gli impianti a gas liquefatto;</w:t>
      </w:r>
    </w:p>
    <w:p w:rsidR="00973DAA" w:rsidRPr="00C903F8" w:rsidRDefault="00973DAA" w:rsidP="009870AF">
      <w:pPr>
        <w:pStyle w:val="ESlet"/>
        <w:rPr>
          <w:rFonts w:eastAsia="Calibri" w:cs="Arial"/>
          <w:szCs w:val="18"/>
        </w:rPr>
      </w:pPr>
      <w:r>
        <w:t xml:space="preserve">q) </w:t>
      </w:r>
      <w:r>
        <w:tab/>
        <w:t>gli impianti degli altoparlanti;</w:t>
      </w:r>
    </w:p>
    <w:p w:rsidR="00973DAA" w:rsidRPr="00C903F8" w:rsidRDefault="00973DAA" w:rsidP="009870AF">
      <w:pPr>
        <w:pStyle w:val="ESlet"/>
        <w:rPr>
          <w:rFonts w:eastAsia="Calibri" w:cs="Arial"/>
          <w:szCs w:val="18"/>
        </w:rPr>
      </w:pPr>
      <w:r>
        <w:t xml:space="preserve">r) </w:t>
      </w:r>
      <w:r>
        <w:tab/>
        <w:t>gli impianti di radiotelefonia;</w:t>
      </w:r>
    </w:p>
    <w:p w:rsidR="00973DAA" w:rsidRPr="00C903F8" w:rsidRDefault="00973DAA" w:rsidP="009870AF">
      <w:pPr>
        <w:pStyle w:val="ESlet"/>
        <w:rPr>
          <w:rFonts w:eastAsia="Calibri" w:cs="Arial"/>
          <w:szCs w:val="18"/>
        </w:rPr>
      </w:pPr>
      <w:r>
        <w:t xml:space="preserve">s) </w:t>
      </w:r>
      <w:r>
        <w:tab/>
        <w:t>le cassette di pronto soccorso.</w:t>
      </w:r>
    </w:p>
    <w:p w:rsidR="009870AF" w:rsidRPr="00C903F8" w:rsidRDefault="009870AF" w:rsidP="00973DAA">
      <w:pPr>
        <w:pStyle w:val="ESch"/>
        <w:rPr>
          <w:rFonts w:eastAsia="Calibri"/>
          <w:noProof/>
        </w:rPr>
      </w:pPr>
    </w:p>
    <w:p w:rsidR="00973DAA" w:rsidRPr="00C903F8" w:rsidRDefault="00973DAA" w:rsidP="00973DAA">
      <w:pPr>
        <w:pStyle w:val="ESch"/>
        <w:rPr>
          <w:rFonts w:eastAsia="Calibri" w:cs="Arial"/>
          <w:szCs w:val="18"/>
        </w:rPr>
      </w:pPr>
      <w:r>
        <w:t>3.</w:t>
      </w:r>
      <w:r>
        <w:tab/>
        <w:t>Il ruolo d'appello di cui al paragrafo 1 e il piano d'emergenza di cui al paragrafo 2:</w:t>
      </w:r>
    </w:p>
    <w:p w:rsidR="00973DAA" w:rsidRPr="00C903F8" w:rsidRDefault="005C7859" w:rsidP="009870AF">
      <w:pPr>
        <w:pStyle w:val="ESlet"/>
        <w:rPr>
          <w:rFonts w:eastAsia="Calibri" w:cs="Arial"/>
          <w:szCs w:val="18"/>
        </w:rPr>
      </w:pPr>
      <w:r>
        <w:t>a)</w:t>
      </w:r>
      <w:r>
        <w:tab/>
        <w:t>recano l'apposito visto della commissione di ispezione;</w:t>
      </w:r>
    </w:p>
    <w:p w:rsidR="00973DAA" w:rsidRPr="00C903F8" w:rsidRDefault="005C7859" w:rsidP="009870AF">
      <w:pPr>
        <w:pStyle w:val="ESlet"/>
        <w:rPr>
          <w:rFonts w:eastAsia="Calibri" w:cs="Arial"/>
          <w:szCs w:val="18"/>
        </w:rPr>
      </w:pPr>
      <w:r>
        <w:t>b)</w:t>
      </w:r>
      <w:r>
        <w:tab/>
        <w:t>sono affissi su ogni ponte in punti adatti in modo da essere ben visibili.</w:t>
      </w:r>
    </w:p>
    <w:p w:rsidR="009870AF" w:rsidRPr="00C903F8" w:rsidRDefault="009870AF" w:rsidP="00973DAA">
      <w:pPr>
        <w:pStyle w:val="ESch"/>
        <w:rPr>
          <w:rFonts w:eastAsia="Calibri"/>
          <w:noProof/>
        </w:rPr>
      </w:pPr>
    </w:p>
    <w:p w:rsidR="00973DAA" w:rsidRPr="00C903F8" w:rsidRDefault="00973DAA" w:rsidP="00973DAA">
      <w:pPr>
        <w:pStyle w:val="ESch"/>
        <w:rPr>
          <w:rFonts w:eastAsia="Calibri" w:cs="Arial"/>
          <w:szCs w:val="18"/>
        </w:rPr>
      </w:pPr>
      <w:r>
        <w:t>4.</w:t>
      </w:r>
      <w:r>
        <w:tab/>
        <w:t>In ogni cabina è affisso un codice di comportamento per i passeggeri, nonché un piano d'emergenza semplificato contenente soltanto le informazioni di cui al paragrafo 2, lettere da a) a f).</w:t>
      </w:r>
    </w:p>
    <w:p w:rsidR="009870AF" w:rsidRPr="00C903F8" w:rsidRDefault="009870AF" w:rsidP="009870AF">
      <w:pPr>
        <w:pStyle w:val="ESchpar"/>
        <w:rPr>
          <w:rFonts w:eastAsia="Calibri"/>
          <w:noProof/>
        </w:rPr>
      </w:pPr>
    </w:p>
    <w:p w:rsidR="00973DAA" w:rsidRPr="00C903F8" w:rsidRDefault="00973DAA" w:rsidP="009870AF">
      <w:pPr>
        <w:pStyle w:val="ESchpar"/>
        <w:rPr>
          <w:rFonts w:eastAsia="Calibri" w:cs="Arial"/>
          <w:szCs w:val="18"/>
        </w:rPr>
      </w:pPr>
      <w:r>
        <w:t>Il codice di comportamento include almeno:</w:t>
      </w:r>
    </w:p>
    <w:p w:rsidR="00973DAA" w:rsidRPr="00C903F8" w:rsidRDefault="005C7859" w:rsidP="009870AF">
      <w:pPr>
        <w:pStyle w:val="ESlet"/>
        <w:rPr>
          <w:rFonts w:eastAsia="Calibri" w:cs="Arial"/>
          <w:szCs w:val="18"/>
        </w:rPr>
      </w:pPr>
      <w:r>
        <w:t>a)</w:t>
      </w:r>
      <w:r>
        <w:tab/>
        <w:t>l'indicazione delle seguenti situazioni di emergenza:</w:t>
      </w:r>
    </w:p>
    <w:p w:rsidR="00973DAA" w:rsidRPr="00C903F8" w:rsidRDefault="00973DAA" w:rsidP="009870AF">
      <w:pPr>
        <w:pStyle w:val="ESletpar"/>
        <w:rPr>
          <w:rFonts w:eastAsia="Calibri" w:cs="Arial"/>
          <w:szCs w:val="18"/>
        </w:rPr>
      </w:pPr>
      <w:r>
        <w:t>aa)</w:t>
      </w:r>
      <w:r>
        <w:tab/>
        <w:t>incendio;</w:t>
      </w:r>
    </w:p>
    <w:p w:rsidR="00973DAA" w:rsidRPr="00C903F8" w:rsidRDefault="00973DAA" w:rsidP="009870AF">
      <w:pPr>
        <w:pStyle w:val="ESletpar"/>
        <w:rPr>
          <w:rFonts w:eastAsia="Calibri" w:cs="Arial"/>
          <w:szCs w:val="18"/>
        </w:rPr>
      </w:pPr>
      <w:r>
        <w:t>bb)</w:t>
      </w:r>
      <w:r>
        <w:tab/>
        <w:t>allagamento;</w:t>
      </w:r>
    </w:p>
    <w:p w:rsidR="00973DAA" w:rsidRPr="00C903F8" w:rsidRDefault="00973DAA" w:rsidP="009870AF">
      <w:pPr>
        <w:pStyle w:val="ESletpar"/>
        <w:rPr>
          <w:rFonts w:eastAsia="Calibri" w:cs="Arial"/>
          <w:szCs w:val="18"/>
        </w:rPr>
      </w:pPr>
      <w:r>
        <w:t>cc)</w:t>
      </w:r>
      <w:r>
        <w:tab/>
        <w:t>pericolo generico;</w:t>
      </w:r>
    </w:p>
    <w:p w:rsidR="00973DAA" w:rsidRPr="00C903F8" w:rsidRDefault="005C7859" w:rsidP="009870AF">
      <w:pPr>
        <w:pStyle w:val="ESlet"/>
        <w:rPr>
          <w:rFonts w:eastAsia="Calibri" w:cs="Arial"/>
          <w:szCs w:val="18"/>
        </w:rPr>
      </w:pPr>
      <w:r>
        <w:t>b)</w:t>
      </w:r>
      <w:r>
        <w:tab/>
        <w:t>la descrizione dei diversi segnali d'allarme;</w:t>
      </w:r>
    </w:p>
    <w:p w:rsidR="00973DAA" w:rsidRPr="00C903F8" w:rsidRDefault="005C7859" w:rsidP="009870AF">
      <w:pPr>
        <w:pStyle w:val="ESlet"/>
        <w:rPr>
          <w:rFonts w:eastAsia="Calibri" w:cs="Arial"/>
          <w:szCs w:val="18"/>
        </w:rPr>
      </w:pPr>
      <w:r>
        <w:t>c)</w:t>
      </w:r>
      <w:r>
        <w:tab/>
        <w:t>le consegne relative a:</w:t>
      </w:r>
    </w:p>
    <w:p w:rsidR="00973DAA" w:rsidRPr="00C903F8" w:rsidRDefault="00973DAA" w:rsidP="009870AF">
      <w:pPr>
        <w:pStyle w:val="ESletpar"/>
        <w:rPr>
          <w:rFonts w:eastAsia="Calibri" w:cs="Arial"/>
          <w:szCs w:val="18"/>
        </w:rPr>
      </w:pPr>
      <w:r>
        <w:t>aa)</w:t>
      </w:r>
      <w:r>
        <w:tab/>
        <w:t>vie di evacuazione;</w:t>
      </w:r>
    </w:p>
    <w:p w:rsidR="00973DAA" w:rsidRPr="00C903F8" w:rsidRDefault="00973DAA" w:rsidP="009870AF">
      <w:pPr>
        <w:pStyle w:val="ESletpar"/>
        <w:rPr>
          <w:rFonts w:eastAsia="Calibri" w:cs="Arial"/>
          <w:szCs w:val="18"/>
        </w:rPr>
      </w:pPr>
      <w:r>
        <w:t>bb)</w:t>
      </w:r>
      <w:r>
        <w:tab/>
        <w:t>comportamento;</w:t>
      </w:r>
    </w:p>
    <w:p w:rsidR="00973DAA" w:rsidRPr="00C903F8" w:rsidRDefault="00973DAA" w:rsidP="009870AF">
      <w:pPr>
        <w:pStyle w:val="ESletpar"/>
        <w:rPr>
          <w:rFonts w:eastAsia="Calibri" w:cs="Arial"/>
          <w:szCs w:val="18"/>
        </w:rPr>
      </w:pPr>
      <w:r>
        <w:t>cc)</w:t>
      </w:r>
      <w:r>
        <w:tab/>
        <w:t>necessità di mantenere la calma;</w:t>
      </w:r>
    </w:p>
    <w:p w:rsidR="00973DAA" w:rsidRPr="00C903F8" w:rsidRDefault="0029453D" w:rsidP="009870AF">
      <w:pPr>
        <w:pStyle w:val="ESlet"/>
        <w:rPr>
          <w:rFonts w:eastAsia="Calibri" w:cs="Arial"/>
          <w:szCs w:val="18"/>
        </w:rPr>
      </w:pPr>
      <w:r>
        <w:t>d) le consegne relative a:</w:t>
      </w:r>
    </w:p>
    <w:p w:rsidR="00973DAA" w:rsidRPr="00C903F8" w:rsidRDefault="00973DAA" w:rsidP="009870AF">
      <w:pPr>
        <w:pStyle w:val="ESletpar"/>
        <w:rPr>
          <w:rFonts w:eastAsia="Calibri" w:cs="Arial"/>
          <w:szCs w:val="18"/>
        </w:rPr>
      </w:pPr>
      <w:r>
        <w:t>aa)</w:t>
      </w:r>
      <w:r>
        <w:tab/>
        <w:t>fumo;</w:t>
      </w:r>
    </w:p>
    <w:p w:rsidR="00973DAA" w:rsidRPr="00C903F8" w:rsidRDefault="00973DAA" w:rsidP="009870AF">
      <w:pPr>
        <w:pStyle w:val="ESletpar"/>
        <w:rPr>
          <w:rFonts w:eastAsia="Calibri" w:cs="Arial"/>
          <w:szCs w:val="18"/>
        </w:rPr>
      </w:pPr>
      <w:r>
        <w:t>bb)</w:t>
      </w:r>
      <w:r>
        <w:tab/>
        <w:t>uso di fuochi e fiamme libere;</w:t>
      </w:r>
    </w:p>
    <w:p w:rsidR="00973DAA" w:rsidRPr="00C903F8" w:rsidRDefault="00973DAA" w:rsidP="009870AF">
      <w:pPr>
        <w:pStyle w:val="ESletpar"/>
        <w:rPr>
          <w:rFonts w:eastAsia="Calibri" w:cs="Arial"/>
          <w:szCs w:val="18"/>
        </w:rPr>
      </w:pPr>
      <w:r>
        <w:t>cc)</w:t>
      </w:r>
      <w:r>
        <w:tab/>
        <w:t>apertura di finestre;</w:t>
      </w:r>
    </w:p>
    <w:p w:rsidR="00973DAA" w:rsidRPr="00C903F8" w:rsidRDefault="00973DAA" w:rsidP="009870AF">
      <w:pPr>
        <w:pStyle w:val="ESletpar"/>
        <w:rPr>
          <w:rFonts w:eastAsia="Calibri" w:cs="Arial"/>
          <w:szCs w:val="18"/>
        </w:rPr>
      </w:pPr>
      <w:r>
        <w:t>dd)</w:t>
      </w:r>
      <w:r>
        <w:tab/>
        <w:t>utilizzo di determinate attrezzature.</w:t>
      </w:r>
    </w:p>
    <w:p w:rsidR="009870AF" w:rsidRPr="00C903F8" w:rsidRDefault="009870AF" w:rsidP="009870AF">
      <w:pPr>
        <w:pStyle w:val="ESchpar"/>
        <w:rPr>
          <w:rFonts w:eastAsia="Calibri"/>
          <w:noProof/>
        </w:rPr>
      </w:pPr>
    </w:p>
    <w:p w:rsidR="00973DAA" w:rsidRPr="00C903F8" w:rsidRDefault="00973DAA" w:rsidP="009870AF">
      <w:pPr>
        <w:pStyle w:val="ESchpar"/>
        <w:rPr>
          <w:rFonts w:eastAsia="Calibri" w:cs="Arial"/>
          <w:szCs w:val="18"/>
        </w:rPr>
      </w:pPr>
      <w:r>
        <w:t>Dette informazioni sono affisse in francese, inglese, neerlandese e tedesco.</w:t>
      </w:r>
    </w:p>
    <w:p w:rsidR="00973DAA" w:rsidRPr="00C903F8" w:rsidRDefault="00973DAA" w:rsidP="00973DAA">
      <w:pPr>
        <w:pStyle w:val="ESch"/>
        <w:rPr>
          <w:rFonts w:eastAsia="Calibri" w:cs="Arial"/>
          <w:szCs w:val="18"/>
        </w:rPr>
      </w:pPr>
    </w:p>
    <w:p w:rsidR="009870AF" w:rsidRPr="00C903F8" w:rsidRDefault="009870AF" w:rsidP="00973DAA">
      <w:pPr>
        <w:pStyle w:val="ESch"/>
        <w:rPr>
          <w:rFonts w:eastAsia="Calibri" w:cs="Arial"/>
          <w:szCs w:val="18"/>
        </w:rPr>
      </w:pPr>
      <w:r>
        <w:br w:type="page"/>
      </w:r>
    </w:p>
    <w:p w:rsidR="00973DAA" w:rsidRPr="00C903F8" w:rsidRDefault="00973DAA" w:rsidP="009870AF">
      <w:pPr>
        <w:pStyle w:val="ES-Titre3"/>
        <w:rPr>
          <w:rFonts w:cs="Arial"/>
          <w:i/>
          <w:szCs w:val="18"/>
        </w:rPr>
      </w:pPr>
      <w:bookmarkStart w:id="372" w:name="_Toc491854183"/>
      <w:bookmarkStart w:id="373" w:name="_Toc535500132"/>
      <w:r>
        <w:lastRenderedPageBreak/>
        <w:t>Articolo 19.14</w:t>
      </w:r>
      <w:r>
        <w:br/>
      </w:r>
      <w:r>
        <w:rPr>
          <w:i/>
          <w:noProof/>
        </w:rPr>
        <w:t>Impianti di eliminazione e di raccolta delle acque reflue</w:t>
      </w:r>
      <w:bookmarkEnd w:id="372"/>
      <w:bookmarkEnd w:id="373"/>
    </w:p>
    <w:p w:rsidR="000D3586" w:rsidRPr="00C903F8" w:rsidRDefault="000D3586" w:rsidP="00973DAA">
      <w:pPr>
        <w:pStyle w:val="ESch"/>
        <w:rPr>
          <w:rFonts w:eastAsia="Calibri"/>
          <w:noProof/>
        </w:rPr>
      </w:pPr>
    </w:p>
    <w:p w:rsidR="00973DAA" w:rsidRPr="00C903F8" w:rsidRDefault="00973DAA" w:rsidP="00973DAA">
      <w:pPr>
        <w:pStyle w:val="ESch"/>
        <w:rPr>
          <w:rFonts w:eastAsia="Calibri" w:cs="Arial"/>
          <w:szCs w:val="18"/>
        </w:rPr>
      </w:pPr>
      <w:r>
        <w:t>1.</w:t>
      </w:r>
      <w:r>
        <w:tab/>
        <w:t>Le navi passeggeri sono provviste di serbatoi di raccolta delle acque reflue domestiche in conformità del paragrafo 2 del presente articolo o di adeguati impianti di depurazione in conformità del capo 18.</w:t>
      </w:r>
    </w:p>
    <w:p w:rsidR="000D3586" w:rsidRPr="00C903F8" w:rsidRDefault="000D3586" w:rsidP="00973DAA">
      <w:pPr>
        <w:pStyle w:val="ESch"/>
        <w:rPr>
          <w:rFonts w:eastAsia="Calibri"/>
          <w:noProof/>
        </w:rPr>
      </w:pPr>
    </w:p>
    <w:p w:rsidR="00973DAA" w:rsidRPr="00C903F8" w:rsidRDefault="00973DAA" w:rsidP="00973DAA">
      <w:pPr>
        <w:pStyle w:val="ESch"/>
        <w:rPr>
          <w:rFonts w:eastAsia="Calibri" w:cs="Arial"/>
          <w:szCs w:val="18"/>
        </w:rPr>
      </w:pPr>
      <w:r>
        <w:t>2.</w:t>
      </w:r>
      <w:r>
        <w:tab/>
        <w:t>I serbatoi di raccolta delle acque reflue hanno volume sufficiente. Essi sono provvisti di un dispositivo che indica il livello del contenuto. Per vuotare i serbatoi, sono predisposte a bordo pompe e condutture mediante le quali le acque reflue possono essere espulse da entrambe le navate della nave. È possibile effettuare un collegamento per il travaso delle acque reflue con altre navi.</w:t>
      </w:r>
    </w:p>
    <w:p w:rsidR="000D3586" w:rsidRPr="00C903F8" w:rsidRDefault="000D3586" w:rsidP="00973DAA">
      <w:pPr>
        <w:pStyle w:val="ESch"/>
        <w:rPr>
          <w:rFonts w:eastAsia="Calibri"/>
          <w:noProof/>
        </w:rPr>
      </w:pPr>
    </w:p>
    <w:p w:rsidR="00973DAA" w:rsidRPr="00C903F8" w:rsidRDefault="00973DAA" w:rsidP="000D3586">
      <w:pPr>
        <w:pStyle w:val="ESchpar"/>
        <w:rPr>
          <w:rFonts w:eastAsia="Calibri" w:cs="Arial"/>
          <w:szCs w:val="18"/>
        </w:rPr>
      </w:pPr>
      <w:r>
        <w:t>Le condutture devono essere provviste di raccordi di scarico conformi alla norma europea EN 1306:1996.</w:t>
      </w:r>
    </w:p>
    <w:p w:rsidR="00973DAA" w:rsidRPr="00C903F8" w:rsidRDefault="00973DAA" w:rsidP="00973DAA">
      <w:pPr>
        <w:pStyle w:val="ESch"/>
        <w:rPr>
          <w:rFonts w:eastAsia="Calibri" w:cs="Arial"/>
          <w:szCs w:val="18"/>
        </w:rPr>
      </w:pPr>
    </w:p>
    <w:p w:rsidR="000D3586" w:rsidRPr="00C903F8" w:rsidRDefault="000D3586" w:rsidP="00973DAA">
      <w:pPr>
        <w:pStyle w:val="ESch"/>
        <w:rPr>
          <w:rFonts w:eastAsia="Calibri" w:cs="Arial"/>
          <w:szCs w:val="18"/>
        </w:rPr>
      </w:pPr>
    </w:p>
    <w:p w:rsidR="00973DAA" w:rsidRPr="00C903F8" w:rsidRDefault="00973DAA" w:rsidP="009870AF">
      <w:pPr>
        <w:pStyle w:val="ES-Titre3"/>
        <w:rPr>
          <w:rFonts w:cs="Arial"/>
          <w:i/>
          <w:szCs w:val="18"/>
        </w:rPr>
      </w:pPr>
      <w:bookmarkStart w:id="374" w:name="_Toc491854184"/>
      <w:bookmarkStart w:id="375" w:name="_Toc535500133"/>
      <w:r>
        <w:t>Articolo 19.15</w:t>
      </w:r>
      <w:r>
        <w:br/>
      </w:r>
      <w:r>
        <w:rPr>
          <w:i/>
          <w:noProof/>
        </w:rPr>
        <w:t>Deroghe applicabili a talune navi da passeggeri</w:t>
      </w:r>
      <w:bookmarkEnd w:id="374"/>
      <w:bookmarkEnd w:id="375"/>
    </w:p>
    <w:p w:rsidR="000D3586" w:rsidRPr="00C903F8" w:rsidRDefault="000D3586" w:rsidP="00973DAA">
      <w:pPr>
        <w:pStyle w:val="ESch"/>
        <w:rPr>
          <w:rFonts w:eastAsia="Calibri"/>
          <w:noProof/>
        </w:rPr>
      </w:pPr>
    </w:p>
    <w:p w:rsidR="00973DAA" w:rsidRPr="00C903F8" w:rsidRDefault="00973DAA" w:rsidP="00973DAA">
      <w:pPr>
        <w:pStyle w:val="ESch"/>
        <w:rPr>
          <w:rFonts w:eastAsia="Calibri" w:cs="Arial"/>
          <w:szCs w:val="18"/>
        </w:rPr>
      </w:pPr>
      <w:r>
        <w:t>1.</w:t>
      </w:r>
      <w:r>
        <w:tab/>
        <w:t xml:space="preserve">Le navi da passeggeri autorizzate a trasportare al massimo 50 passeggeri e con una lunghezza al galleggiamento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t xml:space="preserve"> non superiore a 25 m forniscono le prove di una stabilità sufficiente in condizioni di avaria ai sensi dell'articolo 19.03, paragrafi da 7 a 13, o, in alternativa, dimostrano di essere conformi ai seguenti criteri dopo l'allagamento simmetrico:</w:t>
      </w:r>
    </w:p>
    <w:p w:rsidR="00973DAA" w:rsidRPr="00C903F8" w:rsidRDefault="005C7859" w:rsidP="000D3586">
      <w:pPr>
        <w:pStyle w:val="ESlet"/>
        <w:rPr>
          <w:rFonts w:eastAsia="Calibri" w:cs="Arial"/>
          <w:szCs w:val="18"/>
        </w:rPr>
      </w:pPr>
      <w:r>
        <w:t>a)</w:t>
      </w:r>
      <w:r>
        <w:tab/>
        <w:t>l’immersione della nave non supera la linea di limite; e</w:t>
      </w:r>
    </w:p>
    <w:p w:rsidR="00973DAA" w:rsidRPr="00C903F8" w:rsidRDefault="005C7859" w:rsidP="000D3586">
      <w:pPr>
        <w:pStyle w:val="ESlet"/>
        <w:rPr>
          <w:rFonts w:eastAsia="Calibri" w:cs="Arial"/>
          <w:szCs w:val="18"/>
        </w:rPr>
      </w:pPr>
      <w:r>
        <w:t>b)</w:t>
      </w:r>
      <w:r>
        <w:tab/>
        <w:t xml:space="preserve">l'altezza metacentrica residua </w:t>
      </w:r>
      <m:oMath>
        <m:sSub>
          <m:sSubPr>
            <m:ctrlPr>
              <w:rPr>
                <w:rFonts w:ascii="Cambria Math" w:eastAsia="Calibri" w:hAnsi="Cambria Math"/>
                <w:i/>
                <w:noProof/>
              </w:rPr>
            </m:ctrlPr>
          </m:sSubPr>
          <m:e>
            <m:r>
              <w:rPr>
                <w:rFonts w:ascii="Cambria Math" w:eastAsia="Calibri" w:hAnsi="Cambria Math"/>
                <w:noProof/>
              </w:rPr>
              <m:t>GM</m:t>
            </m:r>
          </m:e>
          <m:sub>
            <m:r>
              <w:rPr>
                <w:rFonts w:ascii="Cambria Math" w:eastAsia="Calibri" w:hAnsi="Cambria Math"/>
                <w:noProof/>
              </w:rPr>
              <m:t>R</m:t>
            </m:r>
          </m:sub>
        </m:sSub>
      </m:oMath>
      <w:r>
        <w:t xml:space="preserve"> non è inferiore a 0,10 m.</w:t>
      </w:r>
    </w:p>
    <w:p w:rsidR="000D3586" w:rsidRPr="00C903F8" w:rsidRDefault="000D3586" w:rsidP="00973DAA">
      <w:pPr>
        <w:pStyle w:val="ESch"/>
        <w:rPr>
          <w:rFonts w:eastAsia="Calibri"/>
          <w:noProof/>
        </w:rPr>
      </w:pPr>
    </w:p>
    <w:p w:rsidR="00973DAA" w:rsidRPr="00C903F8" w:rsidRDefault="00973DAA" w:rsidP="000D3586">
      <w:pPr>
        <w:pStyle w:val="ESchpar"/>
        <w:rPr>
          <w:rFonts w:eastAsia="Calibri" w:cs="Arial"/>
          <w:szCs w:val="18"/>
        </w:rPr>
      </w:pPr>
      <w:r>
        <w:t>La necessaria galleggiabilità residua è assicurata attraverso una scelta appropriata del materiale utilizzato per la costruzione dello scafo o attraverso oggetti galleggianti di schiuma altamente alveolata saldamente fissati allo scafo. Per le navi di lunghezza superiore a 15 m, la galleggiabilità residua può essere assicurata associando oggetti galleggianti a una compartimentazione conforme allo stato di stabilità 1 di cui all'articolo 19.03.</w:t>
      </w:r>
    </w:p>
    <w:p w:rsidR="000D3586" w:rsidRPr="00C903F8" w:rsidRDefault="000D3586" w:rsidP="00973DAA">
      <w:pPr>
        <w:pStyle w:val="ESch"/>
        <w:rPr>
          <w:rFonts w:eastAsia="Calibri"/>
          <w:noProof/>
        </w:rPr>
      </w:pPr>
    </w:p>
    <w:p w:rsidR="00973DAA" w:rsidRPr="00C903F8" w:rsidRDefault="00973DAA" w:rsidP="00973DAA">
      <w:pPr>
        <w:pStyle w:val="ESch"/>
        <w:rPr>
          <w:rFonts w:eastAsia="Calibri" w:cs="Arial"/>
          <w:szCs w:val="18"/>
        </w:rPr>
      </w:pPr>
      <w:r>
        <w:t>2.</w:t>
      </w:r>
      <w:r>
        <w:tab/>
        <w:t>Per le navi da passeggeri di cui al paragrafo 1 la commissione di ispezione può accettare uno scostamento minimo dall'altezza libera prescritta all'articolo 19.06, paragrafo 3, lettera c), e paragrafo 5, lettera b). Lo scostamento non supera il 5 %. In caso di scostamento le parti interessate sono colorate.</w:t>
      </w:r>
    </w:p>
    <w:p w:rsidR="000D3586" w:rsidRPr="00C903F8" w:rsidRDefault="000D3586" w:rsidP="00973DAA">
      <w:pPr>
        <w:pStyle w:val="ESch"/>
        <w:rPr>
          <w:rFonts w:eastAsia="Calibri"/>
          <w:noProof/>
        </w:rPr>
      </w:pPr>
    </w:p>
    <w:p w:rsidR="00973DAA" w:rsidRPr="00C903F8" w:rsidRDefault="00973DAA" w:rsidP="00973DAA">
      <w:pPr>
        <w:pStyle w:val="ESch"/>
        <w:rPr>
          <w:rFonts w:eastAsia="Calibri" w:cs="Arial"/>
          <w:szCs w:val="18"/>
        </w:rPr>
      </w:pPr>
      <w:r>
        <w:t>3.</w:t>
      </w:r>
      <w:r>
        <w:tab/>
        <w:t xml:space="preserve">In deroga all'articolo 19.03, paragrafo 9, le navi da passeggeri di lunghezza </w:t>
      </w:r>
      <m:oMath>
        <m:r>
          <w:rPr>
            <w:rFonts w:ascii="Cambria Math" w:eastAsia="Calibri" w:hAnsi="Cambria Math"/>
            <w:noProof/>
          </w:rPr>
          <m:t>L</m:t>
        </m:r>
      </m:oMath>
      <w:r>
        <w:t xml:space="preserve"> non superiore a 45 m destinate a trasportare al massimo 250 passeggeri non sono tenute a rispettare lo stato di compartimentazione 2.</w:t>
      </w:r>
    </w:p>
    <w:p w:rsidR="00973DAA" w:rsidRPr="00C903F8" w:rsidRDefault="00973DAA" w:rsidP="00973DAA">
      <w:pPr>
        <w:pStyle w:val="ESch"/>
        <w:rPr>
          <w:rFonts w:eastAsia="Calibri" w:cs="Arial"/>
          <w:szCs w:val="18"/>
        </w:rPr>
      </w:pPr>
    </w:p>
    <w:p w:rsidR="00973DAA" w:rsidRPr="00C903F8" w:rsidRDefault="00973DAA" w:rsidP="00973DAA">
      <w:pPr>
        <w:pStyle w:val="ESch"/>
        <w:rPr>
          <w:rFonts w:eastAsia="Calibri" w:cs="Arial"/>
          <w:szCs w:val="18"/>
        </w:rPr>
      </w:pPr>
      <w:r>
        <w:t>4.</w:t>
      </w:r>
      <w:r>
        <w:tab/>
        <w:t xml:space="preserve">La commissione di ispezione può derogare all'applicazione dell'articolo 13.07 per le navi da passeggeri di lunghezza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Pr>
          <w:noProof/>
          <w:sz w:val="18"/>
        </w:rPr>
        <w:t xml:space="preserve"> </w:t>
      </w:r>
      <w:r>
        <w:t>non superiore a 25 m, destinate a trasportare al massimo 250 passeggeri, a condizione che siano provviste di una piattaforma accessibile da entrambe le navate della nave e posta direttamente al di sopra della linea di galleggiamento, per consentire il salvataggio di persone a mare. Le navi da passeggeri possono essere dotate di un impianto analogo alle seguenti condizioni:</w:t>
      </w:r>
    </w:p>
    <w:p w:rsidR="00973DAA" w:rsidRPr="00C903F8" w:rsidRDefault="005C7859" w:rsidP="000D3586">
      <w:pPr>
        <w:pStyle w:val="ESlet"/>
        <w:rPr>
          <w:rFonts w:eastAsia="Calibri" w:cs="Arial"/>
          <w:szCs w:val="18"/>
        </w:rPr>
      </w:pPr>
      <w:r>
        <w:t>a)</w:t>
      </w:r>
      <w:r>
        <w:tab/>
        <w:t>l'impianto può essere azionato da una sola persona;</w:t>
      </w:r>
    </w:p>
    <w:p w:rsidR="00973DAA" w:rsidRPr="00C903F8" w:rsidRDefault="005C7859" w:rsidP="000D3586">
      <w:pPr>
        <w:pStyle w:val="ESlet"/>
        <w:rPr>
          <w:rFonts w:eastAsia="Calibri" w:cs="Arial"/>
          <w:szCs w:val="18"/>
        </w:rPr>
      </w:pPr>
      <w:r>
        <w:t>b)</w:t>
      </w:r>
      <w:r>
        <w:tab/>
        <w:t>sono ammessi gli impianti mobili;</w:t>
      </w:r>
    </w:p>
    <w:p w:rsidR="00973DAA" w:rsidRPr="00C903F8" w:rsidRDefault="005C7859" w:rsidP="000D3586">
      <w:pPr>
        <w:pStyle w:val="ESlet"/>
        <w:rPr>
          <w:rFonts w:eastAsia="Calibri" w:cs="Arial"/>
          <w:szCs w:val="18"/>
        </w:rPr>
      </w:pPr>
      <w:r>
        <w:t>c)</w:t>
      </w:r>
      <w:r>
        <w:tab/>
        <w:t>gli impianti sono ubicati al di fuori della zona a rischio dei sistemi di propulsione; e</w:t>
      </w:r>
    </w:p>
    <w:p w:rsidR="00973DAA" w:rsidRPr="00C903F8" w:rsidRDefault="00973DAA" w:rsidP="000D3586">
      <w:pPr>
        <w:pStyle w:val="ESlet"/>
        <w:rPr>
          <w:rFonts w:eastAsia="Calibri" w:cs="Arial"/>
          <w:szCs w:val="18"/>
        </w:rPr>
      </w:pPr>
      <w:r>
        <w:t>d)</w:t>
      </w:r>
      <w:r>
        <w:tab/>
        <w:t>è assicurata una comunicazione efficace tra il conduttore e la persona incaricata dell'impianto.</w:t>
      </w:r>
    </w:p>
    <w:p w:rsidR="000D3586" w:rsidRPr="00C903F8" w:rsidRDefault="000D3586" w:rsidP="00973DAA">
      <w:pPr>
        <w:pStyle w:val="ESch"/>
        <w:rPr>
          <w:rFonts w:eastAsia="Calibri"/>
          <w:noProof/>
        </w:rPr>
      </w:pPr>
      <w:r>
        <w:br w:type="page"/>
      </w:r>
    </w:p>
    <w:p w:rsidR="00973DAA" w:rsidRPr="00C903F8" w:rsidRDefault="00973DAA" w:rsidP="00973DAA">
      <w:pPr>
        <w:pStyle w:val="ESch"/>
        <w:rPr>
          <w:rFonts w:eastAsia="Calibri" w:cs="Arial"/>
          <w:szCs w:val="18"/>
        </w:rPr>
      </w:pPr>
      <w:r>
        <w:lastRenderedPageBreak/>
        <w:t>5.</w:t>
      </w:r>
      <w:r>
        <w:tab/>
        <w:t xml:space="preserve">La commissione di ispezione può derogare all'applicazione dell'articolo 13.07 per le navi da passeggeri di lunghezza </w:t>
      </w:r>
      <m:oMath>
        <m:r>
          <w:rPr>
            <w:rFonts w:ascii="Cambria Math" w:eastAsia="Calibri" w:hAnsi="Cambria Math"/>
            <w:noProof/>
          </w:rPr>
          <m:t>L</m:t>
        </m:r>
      </m:oMath>
      <w:r>
        <w:t xml:space="preserve"> non superiore a 45 m, certificate per il trasporto, al massimo, di 600 passeggeri, a condizione che la nave sia provvista di una piattaforma ai sensi del paragrafo 4, prima frase o di un impianto analogo ai sensi del paragrafo 4, seconda frase. Inoltre la nave è provvista di:</w:t>
      </w:r>
    </w:p>
    <w:p w:rsidR="00973DAA" w:rsidRPr="00C903F8" w:rsidRDefault="005C7859" w:rsidP="000D3586">
      <w:pPr>
        <w:pStyle w:val="ESlet"/>
        <w:rPr>
          <w:rFonts w:eastAsia="Calibri" w:cs="Arial"/>
          <w:szCs w:val="18"/>
        </w:rPr>
      </w:pPr>
      <w:r>
        <w:t>a)</w:t>
      </w:r>
      <w:r>
        <w:tab/>
        <w:t>un'elica orientabile, un propulsore cicloidale o un idrogetto per la propulsione principale; oppure</w:t>
      </w:r>
    </w:p>
    <w:p w:rsidR="00973DAA" w:rsidRPr="00C903F8" w:rsidRDefault="005C7859" w:rsidP="000D3586">
      <w:pPr>
        <w:pStyle w:val="ESlet"/>
        <w:rPr>
          <w:rFonts w:eastAsia="Calibri" w:cs="Arial"/>
          <w:szCs w:val="18"/>
        </w:rPr>
      </w:pPr>
      <w:r>
        <w:t>b)</w:t>
      </w:r>
      <w:r>
        <w:tab/>
        <w:t>2 organi di propulsione per la propulsione principale; oppure</w:t>
      </w:r>
    </w:p>
    <w:p w:rsidR="00973DAA" w:rsidRPr="00C903F8" w:rsidRDefault="005C7859" w:rsidP="000D3586">
      <w:pPr>
        <w:pStyle w:val="ESlet"/>
        <w:rPr>
          <w:rFonts w:eastAsia="Calibri" w:cs="Arial"/>
          <w:szCs w:val="18"/>
        </w:rPr>
      </w:pPr>
      <w:r>
        <w:t>c)</w:t>
      </w:r>
      <w:r>
        <w:tab/>
        <w:t>un sistema di propulsione principale e un'elica di prua.</w:t>
      </w:r>
    </w:p>
    <w:p w:rsidR="006D32EE" w:rsidRPr="00C903F8" w:rsidRDefault="006D32EE" w:rsidP="00973DAA">
      <w:pPr>
        <w:pStyle w:val="ESch"/>
        <w:rPr>
          <w:rFonts w:eastAsia="Calibri"/>
          <w:noProof/>
        </w:rPr>
      </w:pPr>
    </w:p>
    <w:p w:rsidR="00973DAA" w:rsidRPr="00C903F8" w:rsidRDefault="00973DAA" w:rsidP="00973DAA">
      <w:pPr>
        <w:pStyle w:val="ESch"/>
        <w:rPr>
          <w:rFonts w:eastAsia="Calibri" w:cs="Arial"/>
          <w:szCs w:val="18"/>
        </w:rPr>
      </w:pPr>
      <w:r>
        <w:t>6.</w:t>
      </w:r>
      <w:r>
        <w:tab/>
        <w:t xml:space="preserve">In deroga all'articolo 19.02, paragrafo 9, sulle navi da passeggeri di lunghezza </w:t>
      </w:r>
      <m:oMath>
        <m:r>
          <w:rPr>
            <w:rFonts w:ascii="Cambria Math" w:eastAsia="Calibri" w:hAnsi="Cambria Math"/>
            <w:noProof/>
          </w:rPr>
          <m:t>L</m:t>
        </m:r>
      </m:oMath>
      <w:r>
        <w:t xml:space="preserve"> non superiore a 45 m e autorizzate a trasportare al massimo un numero di passeggeri corrispondente alla lunghezza della nave in metri, è ammessa nella zona passeggeri una porta stagna a comando manuale e priva di comando a distanza ai sensi dell'articolo 19.02, paragrafo 5, se:</w:t>
      </w:r>
    </w:p>
    <w:p w:rsidR="00973DAA" w:rsidRPr="00C903F8" w:rsidRDefault="005C7859" w:rsidP="006D32EE">
      <w:pPr>
        <w:pStyle w:val="ESlet"/>
        <w:rPr>
          <w:rFonts w:eastAsia="Calibri" w:cs="Arial"/>
          <w:szCs w:val="18"/>
        </w:rPr>
      </w:pPr>
      <w:r>
        <w:t>a)</w:t>
      </w:r>
      <w:r>
        <w:tab/>
        <w:t>la nave è dotata di un solo ponte;</w:t>
      </w:r>
    </w:p>
    <w:p w:rsidR="00973DAA" w:rsidRPr="00C903F8" w:rsidRDefault="005C7859" w:rsidP="006D32EE">
      <w:pPr>
        <w:pStyle w:val="ESlet"/>
        <w:rPr>
          <w:rFonts w:eastAsia="Calibri" w:cs="Arial"/>
          <w:szCs w:val="18"/>
        </w:rPr>
      </w:pPr>
      <w:r>
        <w:t>b)</w:t>
      </w:r>
      <w:r>
        <w:tab/>
        <w:t>la porta è accessibile direttamente dal ponte e non dista da esso più di 10 m;</w:t>
      </w:r>
    </w:p>
    <w:p w:rsidR="00973DAA" w:rsidRPr="00C903F8" w:rsidRDefault="005C7859" w:rsidP="006D32EE">
      <w:pPr>
        <w:pStyle w:val="ESlet"/>
        <w:rPr>
          <w:rFonts w:eastAsia="Calibri" w:cs="Arial"/>
          <w:szCs w:val="18"/>
        </w:rPr>
      </w:pPr>
      <w:r>
        <w:t>c)</w:t>
      </w:r>
      <w:r>
        <w:tab/>
        <w:t>il bordo inferiore della porta si trova almeno 30 cm al di sopra del pavimento della zona passeggeri;</w:t>
      </w:r>
    </w:p>
    <w:p w:rsidR="00973DAA" w:rsidRPr="00C903F8" w:rsidRDefault="0029453D" w:rsidP="006D32EE">
      <w:pPr>
        <w:pStyle w:val="ESlet"/>
        <w:rPr>
          <w:rFonts w:eastAsia="Calibri" w:cs="Arial"/>
          <w:szCs w:val="18"/>
        </w:rPr>
      </w:pPr>
      <w:r>
        <w:t>d)</w:t>
      </w:r>
      <w:r>
        <w:tab/>
        <w:t>ciascuno dei compartimenti separati dalla porta è provvisto di un sistema d'allarme per il livello della sentina.</w:t>
      </w:r>
    </w:p>
    <w:p w:rsidR="006D32EE" w:rsidRPr="00C903F8" w:rsidRDefault="006D32EE" w:rsidP="00973DAA">
      <w:pPr>
        <w:pStyle w:val="ESch"/>
        <w:rPr>
          <w:rFonts w:eastAsia="Calibri"/>
          <w:noProof/>
        </w:rPr>
      </w:pPr>
    </w:p>
    <w:p w:rsidR="00973DAA" w:rsidRPr="00C903F8" w:rsidRDefault="00973DAA" w:rsidP="00973DAA">
      <w:pPr>
        <w:pStyle w:val="ESch"/>
        <w:rPr>
          <w:rFonts w:eastAsia="Calibri" w:cs="Arial"/>
          <w:szCs w:val="18"/>
        </w:rPr>
      </w:pPr>
      <w:r>
        <w:t>7.</w:t>
      </w:r>
      <w:r>
        <w:tab/>
        <w:t>Nonostante l'articolo 19.06, paragrafo 6, lettera c), sulle navi da passeggeri di cui al paragrafo 6 una via di evacuazione può attraversare una cucina, sempreché sia disponibile una seconda via di evacuazione.</w:t>
      </w:r>
    </w:p>
    <w:p w:rsidR="006D32EE" w:rsidRPr="00C903F8" w:rsidRDefault="006D32EE" w:rsidP="00973DAA">
      <w:pPr>
        <w:pStyle w:val="ESch"/>
        <w:rPr>
          <w:rFonts w:eastAsia="Calibri"/>
          <w:noProof/>
        </w:rPr>
      </w:pPr>
    </w:p>
    <w:p w:rsidR="00973DAA" w:rsidRPr="00C903F8" w:rsidRDefault="00973DAA" w:rsidP="00973DAA">
      <w:pPr>
        <w:pStyle w:val="ESch"/>
        <w:rPr>
          <w:rFonts w:eastAsia="Calibri"/>
          <w:noProof/>
        </w:rPr>
      </w:pPr>
      <w:r>
        <w:t>8.</w:t>
      </w:r>
      <w:r>
        <w:tab/>
        <w:t xml:space="preserve">Per le navi da passeggeri di lunghezza </w:t>
      </w:r>
      <m:oMath>
        <m:r>
          <w:rPr>
            <w:rFonts w:ascii="Cambria Math" w:eastAsia="Calibri" w:hAnsi="Cambria Math"/>
            <w:noProof/>
          </w:rPr>
          <m:t>L</m:t>
        </m:r>
      </m:oMath>
      <w:r>
        <w:t xml:space="preserve"> non superiore a 45 m non si applica quanto segue: l'articolo 19.01, paragrafo 2, lettera e), quando gli impianti a gas liquefatto sono dotati di adeguati sistemi di segnalazione per le concentrazioni di CO che costituiscono un rischio per la salute e per miscele di gas e aria potenzialmente esplosive.</w:t>
      </w:r>
    </w:p>
    <w:p w:rsidR="006D32EE" w:rsidRPr="00C903F8" w:rsidRDefault="006D32EE" w:rsidP="00973DAA">
      <w:pPr>
        <w:pStyle w:val="ESch"/>
        <w:rPr>
          <w:rFonts w:eastAsia="Calibri"/>
          <w:noProof/>
        </w:rPr>
      </w:pPr>
    </w:p>
    <w:p w:rsidR="00973DAA" w:rsidRPr="00C903F8" w:rsidRDefault="00973DAA" w:rsidP="00973DAA">
      <w:pPr>
        <w:pStyle w:val="ESch"/>
        <w:rPr>
          <w:rFonts w:eastAsia="Calibri" w:cs="Arial"/>
          <w:szCs w:val="18"/>
        </w:rPr>
      </w:pPr>
      <w:r>
        <w:t>9.</w:t>
      </w:r>
      <w:r>
        <w:tab/>
        <w:t xml:space="preserve">Le seguenti disposizioni non si applicano alle navi da passeggeri di lunghezza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Pr>
          <w:noProof/>
          <w:sz w:val="18"/>
        </w:rPr>
        <w:t xml:space="preserve"> </w:t>
      </w:r>
      <w:r>
        <w:t>non superiore a 25 m:</w:t>
      </w:r>
    </w:p>
    <w:p w:rsidR="00973DAA" w:rsidRPr="00C903F8" w:rsidRDefault="005C7859" w:rsidP="006D32EE">
      <w:pPr>
        <w:pStyle w:val="ESlet"/>
        <w:rPr>
          <w:rFonts w:eastAsia="Calibri" w:cs="Arial"/>
          <w:szCs w:val="18"/>
        </w:rPr>
      </w:pPr>
      <w:r>
        <w:t>a)</w:t>
      </w:r>
      <w:r>
        <w:tab/>
        <w:t>articolo 19.04, paragrafo 1, ultima frase;</w:t>
      </w:r>
    </w:p>
    <w:p w:rsidR="00973DAA" w:rsidRPr="00C903F8" w:rsidRDefault="005C7859" w:rsidP="006D32EE">
      <w:pPr>
        <w:pStyle w:val="ESlet"/>
        <w:rPr>
          <w:rFonts w:eastAsia="Calibri" w:cs="Arial"/>
          <w:szCs w:val="18"/>
        </w:rPr>
      </w:pPr>
      <w:r>
        <w:t>b)</w:t>
      </w:r>
      <w:r>
        <w:tab/>
        <w:t>articolo 19.06, paragrafo 6, lettera c), per le cucine, sempreché sia disponibile una seconda via di evacuazione;</w:t>
      </w:r>
    </w:p>
    <w:p w:rsidR="00973DAA" w:rsidRPr="00C903F8" w:rsidRDefault="005C7859" w:rsidP="006D32EE">
      <w:pPr>
        <w:pStyle w:val="ESlet"/>
        <w:rPr>
          <w:rFonts w:eastAsia="Calibri" w:cs="Arial"/>
          <w:szCs w:val="18"/>
        </w:rPr>
      </w:pPr>
      <w:r>
        <w:t>c)</w:t>
      </w:r>
      <w:r>
        <w:tab/>
        <w:t>articolo 19.07.</w:t>
      </w:r>
    </w:p>
    <w:p w:rsidR="006D32EE" w:rsidRPr="00C903F8" w:rsidRDefault="006D32EE" w:rsidP="00973DAA">
      <w:pPr>
        <w:pStyle w:val="ESch"/>
        <w:rPr>
          <w:rFonts w:eastAsia="Calibri"/>
          <w:noProof/>
        </w:rPr>
      </w:pPr>
    </w:p>
    <w:p w:rsidR="00973DAA" w:rsidRPr="00C903F8" w:rsidRDefault="00973DAA" w:rsidP="00973DAA">
      <w:pPr>
        <w:pStyle w:val="ESch"/>
        <w:rPr>
          <w:rFonts w:eastAsia="Calibri"/>
          <w:noProof/>
        </w:rPr>
      </w:pPr>
      <w:r>
        <w:t>10.</w:t>
      </w:r>
      <w:r>
        <w:tab/>
        <w:t xml:space="preserve">L'articolo 19.12, paragrafo 10, non si applica alle navi cabinate di lunghezza </w:t>
      </w:r>
      <m:oMath>
        <m:r>
          <w:rPr>
            <w:rFonts w:ascii="Cambria Math" w:eastAsia="Calibri" w:hAnsi="Cambria Math"/>
            <w:noProof/>
          </w:rPr>
          <m:t>L</m:t>
        </m:r>
      </m:oMath>
      <w:r>
        <w:t xml:space="preserve"> non superiore a 45 m, a condizione che ogni cabina sia provvista di maschere antifumo prontamente accessibili e in numero corrispondente al numero dei posti letto.</w:t>
      </w:r>
    </w:p>
    <w:p w:rsidR="00973DAA" w:rsidRPr="00C903F8" w:rsidRDefault="00973DAA" w:rsidP="00973DAA">
      <w:pPr>
        <w:pStyle w:val="ESch"/>
      </w:pPr>
    </w:p>
    <w:p w:rsidR="00973DAA" w:rsidRPr="00C903F8" w:rsidRDefault="00973DAA" w:rsidP="00973DAA">
      <w:pPr>
        <w:pStyle w:val="ESch"/>
      </w:pPr>
    </w:p>
    <w:p w:rsidR="003D2554" w:rsidRPr="00C903F8" w:rsidRDefault="003D2554" w:rsidP="003D2554">
      <w:pPr>
        <w:pStyle w:val="ES-Titre2"/>
        <w:rPr>
          <w:szCs w:val="24"/>
        </w:rPr>
      </w:pPr>
      <w:bookmarkStart w:id="376" w:name="_Toc491854185"/>
      <w:bookmarkStart w:id="377" w:name="_Toc535500134"/>
      <w:r>
        <w:lastRenderedPageBreak/>
        <w:t>Capo 20</w:t>
      </w:r>
      <w:r>
        <w:br/>
      </w:r>
      <w:r>
        <w:rPr>
          <w:noProof/>
          <w:sz w:val="22"/>
        </w:rPr>
        <w:t xml:space="preserve">Disposizioni particolari per le navi da passeggeri a vela che non </w:t>
      </w:r>
      <w:r>
        <w:t>navigano sul Reno (Zona R)</w:t>
      </w:r>
      <w:bookmarkEnd w:id="376"/>
      <w:bookmarkEnd w:id="377"/>
    </w:p>
    <w:p w:rsidR="003D2554" w:rsidRPr="00C903F8" w:rsidRDefault="003D2554" w:rsidP="003D2554"/>
    <w:p w:rsidR="003D2554" w:rsidRPr="00C903F8" w:rsidRDefault="003D2554" w:rsidP="003D2554">
      <w:pPr>
        <w:pStyle w:val="ES-Titre3"/>
        <w:rPr>
          <w:i/>
        </w:rPr>
      </w:pPr>
      <w:bookmarkStart w:id="378" w:name="_Toc491854186"/>
      <w:bookmarkStart w:id="379" w:name="_Toc535500135"/>
      <w:r>
        <w:t>Articolo 20.01</w:t>
      </w:r>
      <w:r>
        <w:br/>
      </w:r>
      <w:r>
        <w:rPr>
          <w:i/>
        </w:rPr>
        <w:t>Applicazione delle parti II e III</w:t>
      </w:r>
      <w:bookmarkEnd w:id="378"/>
      <w:bookmarkEnd w:id="379"/>
    </w:p>
    <w:p w:rsidR="003D2554" w:rsidRPr="00C903F8" w:rsidRDefault="003D2554" w:rsidP="00973DAA">
      <w:pPr>
        <w:pStyle w:val="ESch"/>
      </w:pPr>
    </w:p>
    <w:p w:rsidR="003D2554" w:rsidRPr="00C903F8" w:rsidRDefault="003D2554" w:rsidP="003D2554">
      <w:pPr>
        <w:pStyle w:val="ESgauche"/>
        <w:rPr>
          <w:rFonts w:cs="Arial"/>
        </w:rPr>
      </w:pPr>
      <w:r>
        <w:t>Oltre alle disposizioni delle parti II e III, alle navi da passeggeri a vela che non navigano sul Reno (zona R) si applicano le disposizioni del presente capo.</w:t>
      </w:r>
    </w:p>
    <w:p w:rsidR="003D2554" w:rsidRPr="00C903F8" w:rsidRDefault="003D2554" w:rsidP="003D2554">
      <w:pPr>
        <w:pStyle w:val="ESch"/>
        <w:rPr>
          <w:i/>
          <w:noProof/>
          <w:szCs w:val="20"/>
        </w:rPr>
      </w:pPr>
    </w:p>
    <w:p w:rsidR="003D2554" w:rsidRPr="00C903F8" w:rsidRDefault="003D2554" w:rsidP="003D2554">
      <w:pPr>
        <w:pStyle w:val="ESch"/>
        <w:rPr>
          <w:i/>
          <w:noProof/>
          <w:szCs w:val="20"/>
        </w:rPr>
      </w:pPr>
    </w:p>
    <w:p w:rsidR="003D2554" w:rsidRPr="00C903F8" w:rsidRDefault="003D2554" w:rsidP="003D2554">
      <w:pPr>
        <w:pStyle w:val="ES-Titre3"/>
        <w:rPr>
          <w:rFonts w:cs="Arial"/>
          <w:i/>
        </w:rPr>
      </w:pPr>
      <w:bookmarkStart w:id="380" w:name="_Toc491854187"/>
      <w:bookmarkStart w:id="381" w:name="_Toc535500136"/>
      <w:r>
        <w:t>Articolo 20.02</w:t>
      </w:r>
      <w:r>
        <w:br/>
      </w:r>
      <w:r>
        <w:rPr>
          <w:i/>
          <w:noProof/>
        </w:rPr>
        <w:t>Deroghe per talune navi da passeggeri a vela</w:t>
      </w:r>
      <w:bookmarkEnd w:id="380"/>
      <w:bookmarkEnd w:id="381"/>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 xml:space="preserve">1. </w:t>
      </w:r>
      <w:r>
        <w:tab/>
        <w:t xml:space="preserve">Le seguenti disposizioni non si applicano alle navi da passeggeri a vela aventi </w:t>
      </w:r>
      <m:oMath>
        <m:sSub>
          <m:sSubPr>
            <m:ctrlPr>
              <w:rPr>
                <w:rFonts w:ascii="Cambria Math" w:hAnsi="Cambria Math"/>
                <w:i/>
                <w:noProof/>
                <w:szCs w:val="20"/>
              </w:rPr>
            </m:ctrlPr>
          </m:sSubPr>
          <m:e>
            <m:r>
              <w:rPr>
                <w:rFonts w:ascii="Cambria Math" w:hAnsi="Cambria Math"/>
                <w:noProof/>
                <w:szCs w:val="20"/>
              </w:rPr>
              <m:t>L</m:t>
            </m:r>
          </m:e>
          <m:sub>
            <m:r>
              <w:rPr>
                <w:rFonts w:ascii="Cambria Math" w:hAnsi="Cambria Math"/>
                <w:noProof/>
                <w:szCs w:val="20"/>
              </w:rPr>
              <m:t>WL</m:t>
            </m:r>
          </m:sub>
        </m:sSub>
      </m:oMath>
      <w:r>
        <w:t xml:space="preserve"> non superiore a 45 m e un numero massimo autorizzato di passeggeri non superiore a </w:t>
      </w:r>
      <m:oMath>
        <m:sSub>
          <m:sSubPr>
            <m:ctrlPr>
              <w:rPr>
                <w:rFonts w:ascii="Cambria Math" w:hAnsi="Cambria Math"/>
                <w:i/>
                <w:noProof/>
                <w:szCs w:val="20"/>
              </w:rPr>
            </m:ctrlPr>
          </m:sSubPr>
          <m:e>
            <m:r>
              <w:rPr>
                <w:rFonts w:ascii="Cambria Math" w:hAnsi="Cambria Math"/>
                <w:noProof/>
                <w:szCs w:val="20"/>
              </w:rPr>
              <m:t>L</m:t>
            </m:r>
          </m:e>
          <m:sub>
            <m:r>
              <w:rPr>
                <w:rFonts w:ascii="Cambria Math" w:hAnsi="Cambria Math"/>
                <w:noProof/>
                <w:szCs w:val="20"/>
              </w:rPr>
              <m:t>WL</m:t>
            </m:r>
          </m:sub>
        </m:sSub>
      </m:oMath>
      <w:r>
        <w:t xml:space="preserve"> in metri interi:</w:t>
      </w:r>
    </w:p>
    <w:p w:rsidR="003D2554" w:rsidRPr="00C903F8" w:rsidRDefault="005C7859" w:rsidP="003D2554">
      <w:pPr>
        <w:pStyle w:val="ESlet"/>
        <w:rPr>
          <w:rFonts w:cs="Arial"/>
        </w:rPr>
      </w:pPr>
      <w:r>
        <w:t>a)</w:t>
      </w:r>
      <w:r>
        <w:tab/>
        <w:t>articolo 3.03, paragrafo 7, purché le ancore non siano immagazzinate in cubie;</w:t>
      </w:r>
    </w:p>
    <w:p w:rsidR="003D2554" w:rsidRPr="00C903F8" w:rsidRDefault="005C7859" w:rsidP="003D2554">
      <w:pPr>
        <w:pStyle w:val="ESlet"/>
        <w:rPr>
          <w:rFonts w:cs="Arial"/>
        </w:rPr>
      </w:pPr>
      <w:r>
        <w:t>b)</w:t>
      </w:r>
      <w:r>
        <w:tab/>
        <w:t>articolo 13.02, paragrafo 2, lettera d), in ordine alla lunghezza;</w:t>
      </w:r>
    </w:p>
    <w:p w:rsidR="003D2554" w:rsidRPr="00C903F8" w:rsidRDefault="005C7859" w:rsidP="003D2554">
      <w:pPr>
        <w:pStyle w:val="ESlet"/>
        <w:rPr>
          <w:rFonts w:cs="Arial"/>
        </w:rPr>
      </w:pPr>
      <w:r>
        <w:t>c)</w:t>
      </w:r>
      <w:r>
        <w:tab/>
        <w:t>articolo 19.08, paragrafo 3, lettera a);</w:t>
      </w:r>
    </w:p>
    <w:p w:rsidR="003D2554" w:rsidRPr="00C903F8" w:rsidRDefault="0029453D" w:rsidP="003D2554">
      <w:pPr>
        <w:pStyle w:val="ESlet"/>
        <w:rPr>
          <w:rFonts w:cs="Arial"/>
        </w:rPr>
      </w:pPr>
      <w:r>
        <w:t>d)</w:t>
      </w:r>
      <w:r>
        <w:tab/>
        <w:t>articolo 19.15, paragrafo 8.</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2.</w:t>
      </w:r>
      <w:r>
        <w:tab/>
        <w:t xml:space="preserve">In deroga al paragrafo 1, il numero di passeggeri può essere portato a 1,5 volte la </w:t>
      </w:r>
      <m:oMath>
        <m:sSub>
          <m:sSubPr>
            <m:ctrlPr>
              <w:rPr>
                <w:rFonts w:ascii="Cambria Math" w:hAnsi="Cambria Math"/>
                <w:i/>
                <w:noProof/>
                <w:szCs w:val="20"/>
              </w:rPr>
            </m:ctrlPr>
          </m:sSubPr>
          <m:e>
            <m:r>
              <w:rPr>
                <w:rFonts w:ascii="Cambria Math" w:hAnsi="Cambria Math"/>
                <w:noProof/>
                <w:szCs w:val="20"/>
              </w:rPr>
              <m:t>L</m:t>
            </m:r>
          </m:e>
          <m:sub>
            <m:r>
              <w:rPr>
                <w:rFonts w:ascii="Cambria Math" w:hAnsi="Cambria Math"/>
                <w:noProof/>
                <w:szCs w:val="20"/>
              </w:rPr>
              <m:t>WL</m:t>
            </m:r>
          </m:sub>
        </m:sSub>
      </m:oMath>
      <w:r>
        <w:t xml:space="preserve"> in metri interi nella misura in cui la velatura, le manovre e le attrezzature del ponte lo consentano.</w:t>
      </w:r>
    </w:p>
    <w:p w:rsidR="003D2554" w:rsidRPr="00C903F8" w:rsidRDefault="003D2554" w:rsidP="003D2554">
      <w:pPr>
        <w:pStyle w:val="ESch"/>
        <w:rPr>
          <w:rFonts w:cs="Arial"/>
          <w:szCs w:val="20"/>
        </w:rPr>
      </w:pPr>
    </w:p>
    <w:p w:rsidR="003D2554" w:rsidRPr="00C903F8" w:rsidRDefault="003D2554" w:rsidP="003D2554">
      <w:pPr>
        <w:pStyle w:val="ESch"/>
        <w:rPr>
          <w:rFonts w:cs="Arial"/>
          <w:szCs w:val="20"/>
        </w:rPr>
      </w:pPr>
    </w:p>
    <w:p w:rsidR="003D2554" w:rsidRPr="00C903F8" w:rsidRDefault="003D2554" w:rsidP="003D2554">
      <w:pPr>
        <w:pStyle w:val="ES-Titre3"/>
        <w:rPr>
          <w:rFonts w:cs="Arial"/>
          <w:i/>
        </w:rPr>
      </w:pPr>
      <w:bookmarkStart w:id="382" w:name="_Toc491854188"/>
      <w:bookmarkStart w:id="383" w:name="_Toc535500137"/>
      <w:r>
        <w:t>Articolo 20.03</w:t>
      </w:r>
      <w:r>
        <w:br/>
      </w:r>
      <w:r>
        <w:rPr>
          <w:i/>
          <w:noProof/>
        </w:rPr>
        <w:t>Requisiti di stabilità delle navi che navigano a vela</w:t>
      </w:r>
      <w:bookmarkEnd w:id="382"/>
      <w:bookmarkEnd w:id="383"/>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 xml:space="preserve">1. </w:t>
      </w:r>
      <w:r>
        <w:tab/>
        <w:t>Per il calcolo del momento di sbandamento ai sensi dell'articolo 19.03, paragrafo 3, è tenuto conto delle vele ammainate nel determinare il centro di gravità della nave.</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 xml:space="preserve">2. </w:t>
      </w:r>
      <w:r>
        <w:tab/>
        <w:t>Tenendo conto di tutte le situazioni di carico ai sensi dell'articolo 19.03, paragrafo 2, e posto l'utilizzo di una velatura standard, il momento di sbandamento risultante dall'influsso della pressione del vento non può essere tale da superare un angolo di sbandamento di 20°. Nel contempo:</w:t>
      </w:r>
    </w:p>
    <w:p w:rsidR="003D2554" w:rsidRPr="00C903F8" w:rsidRDefault="005C7859" w:rsidP="003D2554">
      <w:pPr>
        <w:pStyle w:val="ESlet"/>
        <w:rPr>
          <w:rFonts w:cs="Arial"/>
        </w:rPr>
      </w:pPr>
      <w:r>
        <w:t>a)</w:t>
      </w:r>
      <w:r>
        <w:tab/>
        <w:t>per questo calcolo si presume una pressione del vento costante di 0,07 kN/m</w:t>
      </w:r>
      <w:r>
        <w:rPr>
          <w:noProof/>
          <w:vertAlign w:val="superscript"/>
        </w:rPr>
        <w:t>2</w:t>
      </w:r>
      <w:r>
        <w:t>;</w:t>
      </w:r>
    </w:p>
    <w:p w:rsidR="003D2554" w:rsidRPr="00C903F8" w:rsidRDefault="005C7859" w:rsidP="003D2554">
      <w:pPr>
        <w:pStyle w:val="ESlet"/>
        <w:rPr>
          <w:rFonts w:cs="Arial"/>
        </w:rPr>
      </w:pPr>
      <w:r>
        <w:t>b)</w:t>
      </w:r>
      <w:r>
        <w:tab/>
        <w:t>la distanza di sicurezza residua è di almeno 100 mm;</w:t>
      </w:r>
    </w:p>
    <w:p w:rsidR="003D2554" w:rsidRPr="00C903F8" w:rsidRDefault="005C7859" w:rsidP="003D2554">
      <w:pPr>
        <w:pStyle w:val="ESlet"/>
        <w:rPr>
          <w:rFonts w:cs="Arial"/>
        </w:rPr>
      </w:pPr>
      <w:r>
        <w:t>c)</w:t>
      </w:r>
      <w:r>
        <w:tab/>
        <w:t>il bordo libero residuo non è negativo.</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 xml:space="preserve">3. </w:t>
      </w:r>
      <w:r>
        <w:tab/>
        <w:t>Il braccio raddrizzante di stabilità statica:</w:t>
      </w:r>
    </w:p>
    <w:p w:rsidR="003D2554" w:rsidRPr="00C903F8" w:rsidRDefault="005C7859" w:rsidP="003D2554">
      <w:pPr>
        <w:pStyle w:val="ESlet"/>
        <w:rPr>
          <w:rFonts w:cs="Arial"/>
        </w:rPr>
      </w:pPr>
      <w:r>
        <w:t>a)</w:t>
      </w:r>
      <w:r>
        <w:tab/>
        <w:t xml:space="preserve">raggiunge il valore massimo </w:t>
      </w:r>
      <m:oMath>
        <m:sSub>
          <m:sSubPr>
            <m:ctrlPr>
              <w:rPr>
                <w:rFonts w:ascii="Cambria Math" w:hAnsi="Cambria Math"/>
                <w:i/>
                <w:noProof/>
                <w:szCs w:val="20"/>
              </w:rPr>
            </m:ctrlPr>
          </m:sSubPr>
          <m:e>
            <m:r>
              <w:rPr>
                <w:rFonts w:ascii="Cambria Math" w:hAnsi="Cambria Math"/>
                <w:noProof/>
                <w:szCs w:val="20"/>
              </w:rPr>
              <m:t>h</m:t>
            </m:r>
          </m:e>
          <m:sub>
            <m:r>
              <w:rPr>
                <w:rFonts w:ascii="Cambria Math" w:hAnsi="Cambria Math"/>
                <w:noProof/>
                <w:szCs w:val="20"/>
              </w:rPr>
              <m:t>max</m:t>
            </m:r>
          </m:sub>
        </m:sSub>
      </m:oMath>
      <w:r>
        <w:t xml:space="preserve"> con un angolo di sbandamento </w:t>
      </w:r>
      <m:oMath>
        <m:sSub>
          <m:sSubPr>
            <m:ctrlPr>
              <w:rPr>
                <w:rFonts w:ascii="Cambria Math" w:hAnsi="Cambria Math"/>
                <w:i/>
                <w:noProof/>
              </w:rPr>
            </m:ctrlPr>
          </m:sSubPr>
          <m:e>
            <m:r>
              <w:rPr>
                <w:rFonts w:ascii="Cambria Math" w:hAnsi="Cambria Math"/>
                <w:noProof/>
              </w:rPr>
              <m:t>φ</m:t>
            </m:r>
          </m:e>
          <m:sub>
            <m:r>
              <w:rPr>
                <w:rFonts w:ascii="Cambria Math" w:hAnsi="Cambria Math"/>
                <w:noProof/>
              </w:rPr>
              <m:t>max</m:t>
            </m:r>
          </m:sub>
        </m:sSub>
      </m:oMath>
      <w:r>
        <w:t xml:space="preserve"> di 25° o superiore;</w:t>
      </w:r>
    </w:p>
    <w:p w:rsidR="003D2554" w:rsidRPr="00C903F8" w:rsidRDefault="005C7859" w:rsidP="003D2554">
      <w:pPr>
        <w:pStyle w:val="ESlet"/>
        <w:rPr>
          <w:rFonts w:cs="Arial"/>
        </w:rPr>
      </w:pPr>
      <w:r>
        <w:t>b)</w:t>
      </w:r>
      <w:r>
        <w:tab/>
        <w:t>raggiunge almeno 0,20 m con un angolo di sbandamento di 30° o superiore;</w:t>
      </w:r>
    </w:p>
    <w:p w:rsidR="003D2554" w:rsidRPr="00C903F8" w:rsidRDefault="005C7859" w:rsidP="003D2554">
      <w:pPr>
        <w:pStyle w:val="ESlet"/>
        <w:rPr>
          <w:rFonts w:cs="Arial"/>
        </w:rPr>
      </w:pPr>
      <w:r>
        <w:t xml:space="preserve">c) </w:t>
      </w:r>
      <w:r>
        <w:tab/>
        <w:t>è positivo con un angolo di sbandamento fino a 60°.</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 xml:space="preserve">4. </w:t>
      </w:r>
      <w:r>
        <w:tab/>
        <w:t>L'area A sotto la curva dei bracci raddrizzanti non è inferiore a:</w:t>
      </w:r>
    </w:p>
    <w:p w:rsidR="003D2554" w:rsidRPr="00C903F8" w:rsidRDefault="005C7859" w:rsidP="003D2554">
      <w:pPr>
        <w:pStyle w:val="ESlet"/>
        <w:rPr>
          <w:rFonts w:cs="Arial"/>
        </w:rPr>
      </w:pPr>
      <w:r>
        <w:t>a)</w:t>
      </w:r>
      <w:r>
        <w:tab/>
      </w:r>
      <m:oMath>
        <m:r>
          <w:rPr>
            <w:rFonts w:ascii="Cambria Math" w:hAnsi="Cambria Math"/>
            <w:noProof/>
          </w:rPr>
          <m:t>0,055 m ∙rad</m:t>
        </m:r>
      </m:oMath>
      <w:r>
        <w:t xml:space="preserve"> fino a 30°;</w:t>
      </w:r>
    </w:p>
    <w:p w:rsidR="003D2554" w:rsidRPr="00C903F8" w:rsidRDefault="005C7859" w:rsidP="003D2554">
      <w:pPr>
        <w:pStyle w:val="ESlet"/>
        <w:rPr>
          <w:rFonts w:cs="Arial"/>
        </w:rPr>
      </w:pPr>
      <w:r>
        <w:t>b)</w:t>
      </w:r>
      <w:r>
        <w:tab/>
      </w:r>
      <m:oMath>
        <m:r>
          <w:rPr>
            <w:rFonts w:ascii="Cambria Math" w:hAnsi="Cambria Math"/>
            <w:noProof/>
          </w:rPr>
          <m:t>0,09 m ∙rad</m:t>
        </m:r>
      </m:oMath>
      <w:r>
        <w:t xml:space="preserve"> fino a 40° o all'angolo </w:t>
      </w:r>
      <m:oMath>
        <m:sSub>
          <m:sSubPr>
            <m:ctrlPr>
              <w:rPr>
                <w:rFonts w:ascii="Cambria Math" w:hAnsi="Cambria Math"/>
                <w:i/>
                <w:noProof/>
              </w:rPr>
            </m:ctrlPr>
          </m:sSubPr>
          <m:e>
            <m:r>
              <w:rPr>
                <w:rFonts w:ascii="Cambria Math" w:hAnsi="Cambria Math"/>
                <w:noProof/>
              </w:rPr>
              <m:t>φ</m:t>
            </m:r>
          </m:e>
          <m:sub>
            <m:r>
              <w:rPr>
                <w:rFonts w:ascii="Cambria Math" w:hAnsi="Cambria Math"/>
                <w:noProof/>
              </w:rPr>
              <m:t>f</m:t>
            </m:r>
          </m:sub>
        </m:sSub>
      </m:oMath>
      <w:r>
        <w:t>, inferiore a 40°, in cui un'apertura non protetta comincia ad essere sommersa.</w:t>
      </w:r>
    </w:p>
    <w:p w:rsidR="000928CC" w:rsidRPr="00C903F8" w:rsidRDefault="000928CC" w:rsidP="003D2554">
      <w:pPr>
        <w:pStyle w:val="ESlet"/>
        <w:rPr>
          <w:noProof/>
        </w:rPr>
      </w:pPr>
    </w:p>
    <w:p w:rsidR="000928CC" w:rsidRPr="00C903F8" w:rsidRDefault="000928CC">
      <w:pPr>
        <w:autoSpaceDE/>
        <w:autoSpaceDN/>
        <w:ind w:left="0" w:firstLine="0"/>
        <w:jc w:val="left"/>
        <w:rPr>
          <w:noProof/>
        </w:rPr>
      </w:pPr>
      <w:r>
        <w:br w:type="page"/>
      </w:r>
    </w:p>
    <w:p w:rsidR="000928CC" w:rsidRPr="00C903F8" w:rsidRDefault="000928CC" w:rsidP="003D2554">
      <w:pPr>
        <w:pStyle w:val="ESlet"/>
        <w:rPr>
          <w:noProof/>
        </w:rPr>
      </w:pPr>
    </w:p>
    <w:p w:rsidR="003D2554" w:rsidRPr="00C903F8" w:rsidRDefault="003D2554" w:rsidP="003D2554">
      <w:pPr>
        <w:pStyle w:val="ESlet"/>
        <w:rPr>
          <w:rFonts w:cs="Arial"/>
        </w:rPr>
      </w:pPr>
      <w:r>
        <w:t>Tra:</w:t>
      </w:r>
    </w:p>
    <w:p w:rsidR="003D2554" w:rsidRPr="00C903F8" w:rsidRDefault="005C7859" w:rsidP="003D2554">
      <w:pPr>
        <w:pStyle w:val="ESlet"/>
        <w:rPr>
          <w:rFonts w:cs="Arial"/>
        </w:rPr>
      </w:pPr>
      <w:r>
        <w:t>c)</w:t>
      </w:r>
      <w:r>
        <w:tab/>
        <w:t>30° e 40°; oppure</w:t>
      </w:r>
    </w:p>
    <w:p w:rsidR="003D2554" w:rsidRPr="00C903F8" w:rsidRDefault="0029453D" w:rsidP="003D2554">
      <w:pPr>
        <w:pStyle w:val="ESlet"/>
        <w:rPr>
          <w:rFonts w:cs="Arial"/>
        </w:rPr>
      </w:pPr>
      <w:r>
        <w:t>d)</w:t>
      </w:r>
      <w:r>
        <w:tab/>
        <w:t xml:space="preserve">30° e l'angolo </w:t>
      </w:r>
      <m:oMath>
        <m:sSub>
          <m:sSubPr>
            <m:ctrlPr>
              <w:rPr>
                <w:rFonts w:ascii="Cambria Math" w:hAnsi="Cambria Math"/>
                <w:i/>
                <w:noProof/>
              </w:rPr>
            </m:ctrlPr>
          </m:sSubPr>
          <m:e>
            <m:r>
              <w:rPr>
                <w:rFonts w:ascii="Cambria Math" w:hAnsi="Cambria Math"/>
                <w:noProof/>
              </w:rPr>
              <m:t>φ</m:t>
            </m:r>
          </m:e>
          <m:sub>
            <m:r>
              <w:rPr>
                <w:rFonts w:ascii="Cambria Math" w:hAnsi="Cambria Math"/>
                <w:noProof/>
              </w:rPr>
              <m:t>f</m:t>
            </m:r>
          </m:sub>
        </m:sSub>
      </m:oMath>
      <w:r>
        <w:t>, inferiore a 40°, in cui un'apertura non protetta comincia ad essere sommersa,</w:t>
      </w:r>
    </w:p>
    <w:p w:rsidR="003D2554" w:rsidRPr="00C903F8" w:rsidRDefault="00772341" w:rsidP="003D2554">
      <w:pPr>
        <w:pStyle w:val="Esletgauchepar"/>
        <w:rPr>
          <w:rFonts w:cs="Arial"/>
        </w:rPr>
      </w:pPr>
      <w:r>
        <w:t xml:space="preserve">detta area non è inferiore a </w:t>
      </w:r>
      <m:oMath>
        <m:r>
          <w:rPr>
            <w:rFonts w:ascii="Cambria Math" w:hAnsi="Cambria Math"/>
            <w:noProof/>
          </w:rPr>
          <m:t>0,03 m ∙rad</m:t>
        </m:r>
      </m:oMath>
      <w:r>
        <w:t>.</w:t>
      </w:r>
    </w:p>
    <w:p w:rsidR="003D2554" w:rsidRPr="00C903F8" w:rsidRDefault="003D2554" w:rsidP="003D2554">
      <w:pPr>
        <w:pStyle w:val="ESch"/>
        <w:rPr>
          <w:rFonts w:cs="Arial"/>
          <w:szCs w:val="20"/>
        </w:rPr>
      </w:pPr>
    </w:p>
    <w:p w:rsidR="000928CC" w:rsidRPr="00C903F8" w:rsidRDefault="000928CC" w:rsidP="003D2554">
      <w:pPr>
        <w:pStyle w:val="ESch"/>
        <w:rPr>
          <w:rFonts w:cs="Arial"/>
          <w:szCs w:val="20"/>
        </w:rPr>
      </w:pPr>
    </w:p>
    <w:p w:rsidR="003D2554" w:rsidRPr="00C903F8" w:rsidRDefault="003D2554" w:rsidP="003D2554">
      <w:pPr>
        <w:pStyle w:val="ES-Titre3"/>
        <w:rPr>
          <w:rFonts w:cs="Arial"/>
          <w:i/>
        </w:rPr>
      </w:pPr>
      <w:bookmarkStart w:id="384" w:name="_Toc491854189"/>
      <w:bookmarkStart w:id="385" w:name="_Toc535500138"/>
      <w:r>
        <w:t>Articolo 20.04</w:t>
      </w:r>
      <w:r>
        <w:br/>
      </w:r>
      <w:r>
        <w:rPr>
          <w:i/>
          <w:noProof/>
        </w:rPr>
        <w:t>Requisiti di costruzione e di meccanica</w:t>
      </w:r>
      <w:bookmarkEnd w:id="384"/>
      <w:bookmarkEnd w:id="385"/>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 xml:space="preserve">1. </w:t>
      </w:r>
      <w:r>
        <w:tab/>
        <w:t>In deroga all'articolo 6.01, paragrafo 3, e all'articolo 10.01, paragrafo 3, l'armamento deve essere progettato per sopportare sbandamenti fino a 20°.</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2.</w:t>
      </w:r>
      <w:r>
        <w:tab/>
        <w:t>In deroga all'articolo 19.06, paragrafo 5, lettera a), e paragrafo 9, lettera b), la commissione di ispezione può, per le navi da passeggeri a vela di lunghezza non superiore a 25 m, autorizzare un'ampiezza libera inferiore a 0,80 m per i corridoi di comunicazione e le scale. Tuttavia, l'ampiezza libera è almeno di 0,60 m.</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3.</w:t>
      </w:r>
      <w:r>
        <w:tab/>
        <w:t>In deroga all'articolo 19.06, paragrafo 10, lettera a), la commissione di ispezione può, in casi specifici, autorizzare l'uso di guardacorpi amovibili in zone in cui risulti necessario per manovrare la velatura.</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4.</w:t>
      </w:r>
      <w:r>
        <w:tab/>
        <w:t>Le vele costituiscono un sistema di propulsione principale ai sensi dell'articolo 19.07.</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5.</w:t>
      </w:r>
      <w:r>
        <w:tab/>
        <w:t>In deroga all'articolo 19.15, paragrafo 6, lettera c), l'altezza del bordo inferiore dell'apertura della porta può essere ridotta a 0,20 m al di sopra del pavimento della zona passeggeri. Dopo l'apertura, la porta si richiude e si blocca automaticamente.</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6.</w:t>
      </w:r>
      <w:r>
        <w:tab/>
        <w:t>Qualora l'elica possa girare a vuoto durante la navigazione a vela, le parti a rischio del sistema di propulsione sono protette da eventuali danni.</w:t>
      </w:r>
    </w:p>
    <w:p w:rsidR="003D2554" w:rsidRPr="00C903F8" w:rsidRDefault="003D2554" w:rsidP="003D2554">
      <w:pPr>
        <w:pStyle w:val="ESch"/>
        <w:rPr>
          <w:rFonts w:cs="Arial"/>
          <w:szCs w:val="20"/>
        </w:rPr>
      </w:pPr>
    </w:p>
    <w:p w:rsidR="003D2554" w:rsidRPr="00C903F8" w:rsidRDefault="003D2554" w:rsidP="003D2554">
      <w:pPr>
        <w:pStyle w:val="ESch"/>
        <w:rPr>
          <w:rFonts w:cs="Arial"/>
          <w:szCs w:val="20"/>
        </w:rPr>
      </w:pPr>
    </w:p>
    <w:p w:rsidR="003D2554" w:rsidRPr="00C903F8" w:rsidRDefault="003D2554" w:rsidP="003D2554">
      <w:pPr>
        <w:pStyle w:val="ES-Titre3"/>
        <w:rPr>
          <w:rFonts w:cs="Arial"/>
          <w:i/>
        </w:rPr>
      </w:pPr>
      <w:bookmarkStart w:id="386" w:name="_Toc491854190"/>
      <w:bookmarkStart w:id="387" w:name="_Toc535500139"/>
      <w:r>
        <w:t>Articolo 20.05</w:t>
      </w:r>
      <w:r>
        <w:br/>
      </w:r>
      <w:r>
        <w:rPr>
          <w:i/>
          <w:noProof/>
        </w:rPr>
        <w:t>Disposizioni generali sulle manovre</w:t>
      </w:r>
      <w:bookmarkEnd w:id="386"/>
      <w:bookmarkEnd w:id="387"/>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1.</w:t>
      </w:r>
      <w:r>
        <w:tab/>
        <w:t>Le componenti delle manovre sono posizionate in modo da evitare un'usura eccessiva.</w:t>
      </w:r>
    </w:p>
    <w:p w:rsidR="003D2554" w:rsidRPr="00C903F8" w:rsidRDefault="003D2554" w:rsidP="003D2554">
      <w:pPr>
        <w:pStyle w:val="ESch"/>
        <w:rPr>
          <w:noProof/>
          <w:szCs w:val="20"/>
        </w:rPr>
      </w:pPr>
    </w:p>
    <w:p w:rsidR="003D2554" w:rsidRPr="00C903F8" w:rsidRDefault="003D2554" w:rsidP="003D2554">
      <w:pPr>
        <w:pStyle w:val="ESch"/>
        <w:rPr>
          <w:noProof/>
          <w:szCs w:val="20"/>
        </w:rPr>
      </w:pPr>
      <w:r>
        <w:t>2.</w:t>
      </w:r>
      <w:r>
        <w:tab/>
        <w:t xml:space="preserve">Qualora si utilizzi un materiale diverso dal legno o manovre di tipo particolare, le modalità di costruzione utilizzate garantiscono livelli di sicurezza equivalenti a quelli assicurati dalle dimensioni e dai criteri di resistenza previsti nel presente capo. </w:t>
      </w:r>
    </w:p>
    <w:p w:rsidR="003D2554" w:rsidRPr="00C903F8" w:rsidRDefault="003D2554" w:rsidP="003D2554">
      <w:pPr>
        <w:pStyle w:val="ESchpar"/>
        <w:rPr>
          <w:noProof/>
        </w:rPr>
      </w:pPr>
    </w:p>
    <w:p w:rsidR="003D2554" w:rsidRPr="00C903F8" w:rsidRDefault="003D2554" w:rsidP="003D2554">
      <w:pPr>
        <w:pStyle w:val="ESchpar"/>
        <w:rPr>
          <w:rFonts w:cs="Arial"/>
        </w:rPr>
      </w:pPr>
      <w:r>
        <w:t>Come prova di resistenza sufficiente:</w:t>
      </w:r>
    </w:p>
    <w:p w:rsidR="003D2554" w:rsidRPr="00C903F8" w:rsidRDefault="005C7859" w:rsidP="003D2554">
      <w:pPr>
        <w:pStyle w:val="ESlet"/>
        <w:rPr>
          <w:rFonts w:cs="Arial"/>
        </w:rPr>
      </w:pPr>
      <w:r>
        <w:t>a)</w:t>
      </w:r>
      <w:r>
        <w:tab/>
        <w:t>è effettuato un calcolo di resistenza; oppure</w:t>
      </w:r>
    </w:p>
    <w:p w:rsidR="003D2554" w:rsidRPr="00C903F8" w:rsidRDefault="005C7859" w:rsidP="003D2554">
      <w:pPr>
        <w:pStyle w:val="ESlet"/>
        <w:rPr>
          <w:rFonts w:cs="Arial"/>
        </w:rPr>
      </w:pPr>
      <w:r>
        <w:t>b)</w:t>
      </w:r>
      <w:r>
        <w:tab/>
        <w:t>è stato ottenuto un certificato da un organismo di classificazione autorizzato; oppure</w:t>
      </w:r>
    </w:p>
    <w:p w:rsidR="003D2554" w:rsidRPr="00C903F8" w:rsidRDefault="005C7859" w:rsidP="003D2554">
      <w:pPr>
        <w:pStyle w:val="ESlet"/>
        <w:rPr>
          <w:rFonts w:cs="Arial"/>
        </w:rPr>
      </w:pPr>
      <w:r>
        <w:t>c)</w:t>
      </w:r>
      <w:r>
        <w:tab/>
        <w:t>il dimensionamento è basato su procedure stabilite in un quadro regolamentare riconosciuto (ad esempio Middendorf, Kusk-Jensen).</w:t>
      </w:r>
    </w:p>
    <w:p w:rsidR="003D2554" w:rsidRPr="00C903F8" w:rsidRDefault="003D2554" w:rsidP="003D2554">
      <w:pPr>
        <w:pStyle w:val="ESch"/>
        <w:rPr>
          <w:noProof/>
          <w:szCs w:val="20"/>
        </w:rPr>
      </w:pPr>
    </w:p>
    <w:p w:rsidR="003D2554" w:rsidRPr="00C903F8" w:rsidRDefault="003D2554" w:rsidP="003D2554">
      <w:pPr>
        <w:pStyle w:val="ESchpar"/>
        <w:rPr>
          <w:noProof/>
        </w:rPr>
      </w:pPr>
      <w:r>
        <w:t>L'evidenza è presentata alla commissione di ispezione.</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p>
    <w:p w:rsidR="000928CC" w:rsidRPr="00C903F8" w:rsidRDefault="000928CC">
      <w:pPr>
        <w:autoSpaceDE/>
        <w:autoSpaceDN/>
        <w:ind w:left="0" w:firstLine="0"/>
        <w:jc w:val="left"/>
        <w:rPr>
          <w:rFonts w:cs="Arial"/>
          <w:szCs w:val="20"/>
        </w:rPr>
      </w:pPr>
      <w:r>
        <w:br w:type="page"/>
      </w:r>
    </w:p>
    <w:p w:rsidR="003D2554" w:rsidRPr="00C903F8" w:rsidRDefault="003D2554" w:rsidP="003D2554">
      <w:pPr>
        <w:pStyle w:val="ES-Titre3"/>
        <w:rPr>
          <w:rFonts w:cs="Arial"/>
          <w:i/>
        </w:rPr>
      </w:pPr>
      <w:bookmarkStart w:id="388" w:name="_Toc491854191"/>
      <w:bookmarkStart w:id="389" w:name="_Toc535500140"/>
      <w:r>
        <w:lastRenderedPageBreak/>
        <w:t>Articolo 20.06</w:t>
      </w:r>
      <w:r>
        <w:br/>
      </w:r>
      <w:r>
        <w:rPr>
          <w:i/>
          <w:noProof/>
        </w:rPr>
        <w:t>Disposizioni generali su alberi e pennoni</w:t>
      </w:r>
      <w:bookmarkEnd w:id="388"/>
      <w:bookmarkEnd w:id="389"/>
    </w:p>
    <w:p w:rsidR="003D2554" w:rsidRPr="00C903F8" w:rsidRDefault="003D2554" w:rsidP="003D2554">
      <w:pPr>
        <w:pStyle w:val="ESch"/>
        <w:rPr>
          <w:i/>
          <w:noProof/>
          <w:szCs w:val="20"/>
        </w:rPr>
      </w:pPr>
    </w:p>
    <w:p w:rsidR="003D2554" w:rsidRPr="00C903F8" w:rsidRDefault="003D2554" w:rsidP="003D2554">
      <w:pPr>
        <w:pStyle w:val="ESch"/>
        <w:rPr>
          <w:rFonts w:cs="Arial"/>
          <w:szCs w:val="20"/>
        </w:rPr>
      </w:pPr>
      <w:r>
        <w:t xml:space="preserve">1. </w:t>
      </w:r>
      <w:r>
        <w:tab/>
        <w:t>Tutti i pennoni sono fabbricati con materiali di buona qualità.</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 xml:space="preserve">2. </w:t>
      </w:r>
      <w:r>
        <w:tab/>
        <w:t>Il legno utilizzato per gli alberi:</w:t>
      </w:r>
    </w:p>
    <w:p w:rsidR="003D2554" w:rsidRPr="00C903F8" w:rsidRDefault="005C7859" w:rsidP="003D2554">
      <w:pPr>
        <w:pStyle w:val="ESlet"/>
        <w:rPr>
          <w:rFonts w:cs="Arial"/>
        </w:rPr>
      </w:pPr>
      <w:r>
        <w:t>a)</w:t>
      </w:r>
      <w:r>
        <w:tab/>
        <w:t>non presenta un numero elevato di nodi;</w:t>
      </w:r>
    </w:p>
    <w:p w:rsidR="003D2554" w:rsidRPr="00C903F8" w:rsidRDefault="005C7859" w:rsidP="003D2554">
      <w:pPr>
        <w:pStyle w:val="ESlet"/>
        <w:rPr>
          <w:rFonts w:cs="Arial"/>
        </w:rPr>
      </w:pPr>
      <w:r>
        <w:t>b)</w:t>
      </w:r>
      <w:r>
        <w:tab/>
        <w:t>non presenta alburno nell'ambito delle misure prescritte;</w:t>
      </w:r>
    </w:p>
    <w:p w:rsidR="003D2554" w:rsidRPr="00C903F8" w:rsidRDefault="003D2554" w:rsidP="003D2554">
      <w:pPr>
        <w:pStyle w:val="ESlet"/>
        <w:rPr>
          <w:rFonts w:cs="Arial"/>
        </w:rPr>
      </w:pPr>
      <w:r>
        <w:t xml:space="preserve">c) </w:t>
      </w:r>
      <w:r>
        <w:tab/>
        <w:t>nella misura del possibile, è a fibra longitudinale;</w:t>
      </w:r>
    </w:p>
    <w:p w:rsidR="003D2554" w:rsidRPr="00C903F8" w:rsidRDefault="003D2554" w:rsidP="003D2554">
      <w:pPr>
        <w:pStyle w:val="ESlet"/>
        <w:rPr>
          <w:rFonts w:cs="Arial"/>
        </w:rPr>
      </w:pPr>
      <w:r>
        <w:t>d)</w:t>
      </w:r>
      <w:r>
        <w:tab/>
        <w:t>nella misura del possibile, è a fibra diritta.</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3.</w:t>
      </w:r>
      <w:r>
        <w:tab/>
        <w:t xml:space="preserve">Se è utilizzato il tipo di legno </w:t>
      </w:r>
      <w:r>
        <w:rPr>
          <w:i/>
        </w:rPr>
        <w:t>Pitch pine</w:t>
      </w:r>
      <w:r>
        <w:t xml:space="preserve"> o </w:t>
      </w:r>
      <w:r>
        <w:rPr>
          <w:i/>
        </w:rPr>
        <w:t>Oregon pine</w:t>
      </w:r>
      <w:r>
        <w:t xml:space="preserve"> (</w:t>
      </w:r>
      <w:r>
        <w:rPr>
          <w:i/>
        </w:rPr>
        <w:t>clear and better</w:t>
      </w:r>
      <w:r>
        <w:t>), i diametri indicati nelle tabelle riportate negli articoli da 20.07 a 20.12 possono essere ridotti del 5 %.</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4.</w:t>
      </w:r>
      <w:r>
        <w:tab/>
        <w:t>Se i legni utilizzati per alberi, alberetti di testa, pennoni, boma e bompressi non sono a sezione circolare, essi devono presentare resistenza equivalente.</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5.</w:t>
      </w:r>
      <w:r>
        <w:tab/>
        <w:t>I piedi d'albero, le scasse, i fissaggi al ponte, ai madieri o al dritto sono costruiti in modo da assorbire le forze cui sono sottoposti o scaricarle su altre parti collegate della costruzione.</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 xml:space="preserve">6. </w:t>
      </w:r>
      <w:r>
        <w:tab/>
        <w:t>In funzione della stabilità della nave e delle forze esterne cui è soggetta, nonché della ripartizione della superficie velica disponibile, la commissione di ispezione può, in base alle misure prescritte negli articoli da 20.07 a 20.12, autorizzare riduzioni delle sezioni circolari dei pennoni e, se del caso, delle manovre. Sono apportate prove a norma dell'articolo 20.05, paragrafo 2.</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7.</w:t>
      </w:r>
      <w:r>
        <w:tab/>
        <w:t>Se il periodo di beccheggio/periodo di rollio della nave, espresso in secondi, è inferiore ai 3/4 della larghezza della nave, espressa in metri, le misure di cui agli articoli da 20.07 a 20.12 sono aumentate. Sono apportate prove a norma dell'articolo 20.05, paragrafo 2.</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 xml:space="preserve">8. </w:t>
      </w:r>
      <w:r>
        <w:tab/>
        <w:t>Nelle tabelle riportate negli articoli da 20.07 a 20.12 e nell'articolo 20.14 sono interpolati eventuali valori intermedi.</w:t>
      </w:r>
    </w:p>
    <w:p w:rsidR="003D2554" w:rsidRPr="00C903F8" w:rsidRDefault="003D2554" w:rsidP="000E2CDC">
      <w:pPr>
        <w:pStyle w:val="ESch"/>
        <w:rPr>
          <w:rFonts w:cs="Arial"/>
          <w:szCs w:val="20"/>
        </w:rPr>
      </w:pPr>
    </w:p>
    <w:p w:rsidR="003D2554" w:rsidRPr="00C903F8" w:rsidRDefault="003D2554" w:rsidP="000E2CDC">
      <w:pPr>
        <w:pStyle w:val="ESch"/>
        <w:rPr>
          <w:rFonts w:cs="Arial"/>
          <w:szCs w:val="20"/>
        </w:rPr>
      </w:pPr>
    </w:p>
    <w:p w:rsidR="003D2554" w:rsidRPr="00C903F8" w:rsidRDefault="003D2554" w:rsidP="003D2554">
      <w:pPr>
        <w:pStyle w:val="ES-Titre3"/>
        <w:rPr>
          <w:rFonts w:cs="Arial"/>
          <w:i/>
        </w:rPr>
      </w:pPr>
      <w:bookmarkStart w:id="390" w:name="_Toc491854192"/>
      <w:bookmarkStart w:id="391" w:name="_Toc535500141"/>
      <w:r>
        <w:t>Articolo 20.07</w:t>
      </w:r>
      <w:r>
        <w:br/>
      </w:r>
      <w:r>
        <w:rPr>
          <w:i/>
          <w:noProof/>
        </w:rPr>
        <w:t>Prescrizioni speciali per gli alberi</w:t>
      </w:r>
      <w:bookmarkEnd w:id="390"/>
      <w:bookmarkEnd w:id="391"/>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 xml:space="preserve">1. </w:t>
      </w:r>
      <w:r>
        <w:tab/>
        <w:t>Gli alberi in legno soddisfano i seguenti requisiti minimi:</w:t>
      </w:r>
    </w:p>
    <w:p w:rsidR="003D2554" w:rsidRPr="00C903F8" w:rsidRDefault="003D2554" w:rsidP="003D2554">
      <w:pPr>
        <w:pStyle w:val="ESch"/>
        <w:rPr>
          <w:szCs w:val="20"/>
        </w:rPr>
      </w:pPr>
    </w:p>
    <w:tbl>
      <w:tblPr>
        <w:tblW w:w="0" w:type="auto"/>
        <w:jc w:val="center"/>
        <w:tblLayout w:type="fixed"/>
        <w:tblLook w:val="0000" w:firstRow="0" w:lastRow="0" w:firstColumn="0" w:lastColumn="0" w:noHBand="0" w:noVBand="0"/>
      </w:tblPr>
      <w:tblGrid>
        <w:gridCol w:w="1871"/>
        <w:gridCol w:w="1871"/>
        <w:gridCol w:w="1871"/>
        <w:gridCol w:w="1871"/>
      </w:tblGrid>
      <w:tr w:rsidR="003D2554" w:rsidRPr="00A0619C" w:rsidTr="003D2554">
        <w:trPr>
          <w:cantSplit/>
          <w:tblHeader/>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Centered"/>
              <w:spacing w:before="20" w:after="20" w:line="240" w:lineRule="atLeast"/>
              <w:ind w:left="0" w:firstLine="0"/>
              <w:rPr>
                <w:rFonts w:cs="Arial"/>
                <w:noProof/>
                <w:sz w:val="18"/>
                <w:szCs w:val="18"/>
              </w:rPr>
            </w:pPr>
            <w:r>
              <w:rPr>
                <w:noProof/>
                <w:sz w:val="18"/>
              </w:rPr>
              <w:t>Lunghezza</w:t>
            </w:r>
            <w:r>
              <w:rPr>
                <w:rStyle w:val="FootnoteReference"/>
                <w:noProof/>
                <w:sz w:val="18"/>
              </w:rPr>
              <w:footnoteReference w:id="12"/>
            </w:r>
            <w:r>
              <w:rPr>
                <w:rFonts w:cs="Arial"/>
                <w:noProof/>
                <w:sz w:val="18"/>
                <w:szCs w:val="18"/>
              </w:rPr>
              <w:br/>
            </w:r>
            <w:r>
              <w:rPr>
                <w:noProof/>
                <w:sz w:val="18"/>
              </w:rPr>
              <w:t>[m]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94498">
            <w:pPr>
              <w:pStyle w:val="NormalCentered"/>
              <w:spacing w:before="20" w:after="20" w:line="240" w:lineRule="atLeast"/>
              <w:ind w:left="0" w:firstLine="0"/>
              <w:rPr>
                <w:rFonts w:cs="Arial"/>
                <w:noProof/>
                <w:sz w:val="18"/>
                <w:szCs w:val="18"/>
              </w:rPr>
            </w:pPr>
            <w:r>
              <w:rPr>
                <w:noProof/>
                <w:sz w:val="18"/>
              </w:rPr>
              <w:t>Diametro al ponte</w:t>
            </w:r>
            <w:r>
              <w:rPr>
                <w:rFonts w:cs="Arial"/>
                <w:noProof/>
                <w:sz w:val="18"/>
                <w:szCs w:val="18"/>
              </w:rPr>
              <w:br/>
            </w:r>
            <w:r>
              <w:rPr>
                <w:noProof/>
                <w:sz w:val="18"/>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94498">
            <w:pPr>
              <w:pStyle w:val="NormalCentered"/>
              <w:spacing w:before="20" w:after="20" w:line="240" w:lineRule="atLeast"/>
              <w:ind w:left="0" w:firstLine="0"/>
              <w:rPr>
                <w:rFonts w:cs="Arial"/>
                <w:noProof/>
                <w:sz w:val="18"/>
                <w:szCs w:val="18"/>
              </w:rPr>
            </w:pPr>
            <w:r>
              <w:rPr>
                <w:noProof/>
                <w:sz w:val="18"/>
              </w:rPr>
              <w:t>Diametro alla crocetta</w:t>
            </w:r>
            <w:r>
              <w:rPr>
                <w:rFonts w:cs="Arial"/>
                <w:noProof/>
                <w:sz w:val="18"/>
                <w:szCs w:val="18"/>
              </w:rPr>
              <w:br/>
            </w:r>
            <w:r>
              <w:rPr>
                <w:noProof/>
                <w:sz w:val="18"/>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94498">
            <w:pPr>
              <w:pStyle w:val="NormalCentered"/>
              <w:spacing w:before="20" w:after="20" w:line="240" w:lineRule="atLeast"/>
              <w:ind w:left="0" w:firstLine="0"/>
              <w:rPr>
                <w:rFonts w:cs="Arial"/>
                <w:noProof/>
                <w:sz w:val="18"/>
                <w:szCs w:val="18"/>
              </w:rPr>
            </w:pPr>
            <w:r>
              <w:rPr>
                <w:noProof/>
                <w:sz w:val="18"/>
              </w:rPr>
              <w:t>Diametro alla trozza</w:t>
            </w:r>
            <w:r>
              <w:rPr>
                <w:rFonts w:cs="Arial"/>
                <w:noProof/>
                <w:sz w:val="18"/>
                <w:szCs w:val="18"/>
              </w:rPr>
              <w:br/>
            </w:r>
            <w:r>
              <w:rPr>
                <w:noProof/>
                <w:sz w:val="18"/>
              </w:rPr>
              <w:t>[cm]</w:t>
            </w:r>
          </w:p>
        </w:tc>
      </w:tr>
      <w:tr w:rsidR="003D2554" w:rsidRPr="00C903F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17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15</w:t>
            </w:r>
          </w:p>
        </w:tc>
      </w:tr>
      <w:tr w:rsidR="003D2554" w:rsidRPr="00C903F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17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15</w:t>
            </w:r>
          </w:p>
        </w:tc>
      </w:tr>
      <w:tr w:rsidR="003D2554" w:rsidRPr="00C903F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12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24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19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17</w:t>
            </w:r>
          </w:p>
        </w:tc>
      </w:tr>
      <w:tr w:rsidR="003D2554" w:rsidRPr="00C903F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26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21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18</w:t>
            </w:r>
          </w:p>
        </w:tc>
      </w:tr>
      <w:tr w:rsidR="003D2554" w:rsidRPr="00C903F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14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28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23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19</w:t>
            </w:r>
          </w:p>
        </w:tc>
      </w:tr>
      <w:tr w:rsidR="003D2554" w:rsidRPr="00C903F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15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30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21</w:t>
            </w:r>
          </w:p>
        </w:tc>
      </w:tr>
      <w:tr w:rsidR="003D2554" w:rsidRPr="00C903F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16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32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26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E2CDC">
            <w:pPr>
              <w:pStyle w:val="NormalLeft"/>
              <w:spacing w:before="40" w:after="20" w:line="240" w:lineRule="atLeast"/>
              <w:ind w:left="0" w:firstLine="0"/>
              <w:jc w:val="center"/>
              <w:rPr>
                <w:rFonts w:cs="Arial"/>
                <w:noProof/>
                <w:sz w:val="18"/>
                <w:szCs w:val="18"/>
              </w:rPr>
            </w:pPr>
            <w:r>
              <w:rPr>
                <w:noProof/>
                <w:sz w:val="18"/>
              </w:rPr>
              <w:t>22</w:t>
            </w:r>
          </w:p>
        </w:tc>
      </w:tr>
      <w:tr w:rsidR="003D2554" w:rsidRPr="00C903F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17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34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28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23</w:t>
            </w:r>
          </w:p>
        </w:tc>
      </w:tr>
      <w:tr w:rsidR="003D2554" w:rsidRPr="00C903F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36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29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24</w:t>
            </w:r>
          </w:p>
        </w:tc>
      </w:tr>
      <w:tr w:rsidR="003D2554" w:rsidRPr="00C903F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19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39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31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25</w:t>
            </w:r>
          </w:p>
        </w:tc>
      </w:tr>
      <w:tr w:rsidR="003D2554" w:rsidRPr="00C903F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lastRenderedPageBreak/>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41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33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26</w:t>
            </w:r>
          </w:p>
        </w:tc>
      </w:tr>
      <w:tr w:rsidR="003D2554" w:rsidRPr="00C903F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21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43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34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28</w:t>
            </w:r>
          </w:p>
        </w:tc>
      </w:tr>
      <w:tr w:rsidR="003D2554" w:rsidRPr="00C903F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44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35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29</w:t>
            </w:r>
          </w:p>
        </w:tc>
      </w:tr>
      <w:tr w:rsidR="003D2554" w:rsidRPr="00C903F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23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46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37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30</w:t>
            </w:r>
          </w:p>
        </w:tc>
      </w:tr>
      <w:tr w:rsidR="003D2554" w:rsidRPr="00C903F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24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49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39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32</w:t>
            </w:r>
          </w:p>
        </w:tc>
      </w:tr>
      <w:tr w:rsidR="003D2554" w:rsidRPr="00C903F8"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51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41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147283">
            <w:pPr>
              <w:pStyle w:val="NormalLeft"/>
              <w:spacing w:before="20" w:after="20" w:line="240" w:lineRule="atLeast"/>
              <w:ind w:left="0" w:firstLine="0"/>
              <w:jc w:val="center"/>
              <w:rPr>
                <w:rFonts w:cs="Arial"/>
                <w:noProof/>
                <w:sz w:val="18"/>
                <w:szCs w:val="18"/>
              </w:rPr>
            </w:pPr>
            <w:r>
              <w:rPr>
                <w:noProof/>
                <w:sz w:val="18"/>
              </w:rPr>
              <w:t>33</w:t>
            </w:r>
          </w:p>
        </w:tc>
      </w:tr>
    </w:tbl>
    <w:p w:rsidR="00147283" w:rsidRPr="00C903F8" w:rsidRDefault="00147283" w:rsidP="003D2554">
      <w:pPr>
        <w:pStyle w:val="ESchpar"/>
        <w:rPr>
          <w:noProof/>
        </w:rPr>
      </w:pPr>
    </w:p>
    <w:p w:rsidR="003D2554" w:rsidRPr="00C903F8" w:rsidRDefault="003D2554" w:rsidP="003D2554">
      <w:pPr>
        <w:pStyle w:val="ESchpar"/>
        <w:rPr>
          <w:rFonts w:cs="Arial"/>
        </w:rPr>
      </w:pPr>
      <w:r>
        <w:t>Se l'albero è dotato di due pennoni, ai diametri si applica un aumento minimo del 10 %.</w:t>
      </w:r>
    </w:p>
    <w:p w:rsidR="003D2554" w:rsidRPr="00C903F8" w:rsidRDefault="003D2554" w:rsidP="003D2554">
      <w:pPr>
        <w:pStyle w:val="ESchpar"/>
        <w:rPr>
          <w:noProof/>
        </w:rPr>
      </w:pPr>
    </w:p>
    <w:p w:rsidR="003D2554" w:rsidRPr="00C903F8" w:rsidRDefault="003D2554" w:rsidP="003D2554">
      <w:pPr>
        <w:pStyle w:val="ESchpar"/>
        <w:rPr>
          <w:rFonts w:cs="Arial"/>
        </w:rPr>
      </w:pPr>
      <w:r>
        <w:t>Se l'albero è dotato di più di due pennoni, ai diametri si applica un aumento minimo del 15 %.</w:t>
      </w:r>
    </w:p>
    <w:p w:rsidR="003D2554" w:rsidRPr="00C903F8" w:rsidRDefault="003D2554" w:rsidP="003D2554">
      <w:pPr>
        <w:pStyle w:val="ESchpar"/>
        <w:rPr>
          <w:noProof/>
        </w:rPr>
      </w:pPr>
    </w:p>
    <w:p w:rsidR="003D2554" w:rsidRPr="00C903F8" w:rsidRDefault="003D2554" w:rsidP="003D2554">
      <w:pPr>
        <w:pStyle w:val="ESchpar"/>
        <w:rPr>
          <w:rFonts w:cs="Arial"/>
        </w:rPr>
      </w:pPr>
      <w:r>
        <w:t>In caso di albero passante, il diametro al piede dell'albero è pari perlomeno al 75 % del diametro dell'albero all'altezza del ponte.</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 xml:space="preserve">2. </w:t>
      </w:r>
      <w:r>
        <w:tab/>
        <w:t>L'attrezzatura d'albero, le legature, le crocette e le trozze hanno dimensioni e fissazioni tali da garantire una solidità sufficiente.</w:t>
      </w:r>
    </w:p>
    <w:p w:rsidR="003D2554" w:rsidRPr="00C903F8" w:rsidRDefault="003D2554" w:rsidP="003D2554">
      <w:pPr>
        <w:pStyle w:val="ESch"/>
        <w:rPr>
          <w:rFonts w:cs="Arial"/>
          <w:szCs w:val="20"/>
        </w:rPr>
      </w:pPr>
    </w:p>
    <w:p w:rsidR="003D2554" w:rsidRPr="00C903F8" w:rsidRDefault="003D2554" w:rsidP="003D2554">
      <w:pPr>
        <w:pStyle w:val="ESch"/>
        <w:rPr>
          <w:rFonts w:cs="Arial"/>
          <w:szCs w:val="20"/>
        </w:rPr>
      </w:pPr>
    </w:p>
    <w:p w:rsidR="003D2554" w:rsidRPr="00C903F8" w:rsidRDefault="003D2554" w:rsidP="003D2554">
      <w:pPr>
        <w:pStyle w:val="ES-Titre3"/>
        <w:rPr>
          <w:rFonts w:cs="Arial"/>
          <w:i/>
        </w:rPr>
      </w:pPr>
      <w:bookmarkStart w:id="392" w:name="_Toc491854193"/>
      <w:bookmarkStart w:id="393" w:name="_Toc535500142"/>
      <w:r>
        <w:t>Articolo 20.08</w:t>
      </w:r>
      <w:r>
        <w:br/>
      </w:r>
      <w:r>
        <w:rPr>
          <w:i/>
          <w:noProof/>
        </w:rPr>
        <w:t>Prescrizioni speciali per gli alberetti</w:t>
      </w:r>
      <w:bookmarkEnd w:id="392"/>
      <w:bookmarkEnd w:id="393"/>
    </w:p>
    <w:p w:rsidR="003D2554" w:rsidRPr="00C903F8" w:rsidRDefault="003D2554" w:rsidP="003D2554">
      <w:pPr>
        <w:pStyle w:val="ESch"/>
        <w:rPr>
          <w:noProof/>
          <w:szCs w:val="20"/>
        </w:rPr>
      </w:pPr>
    </w:p>
    <w:p w:rsidR="003D2554" w:rsidRPr="00C903F8" w:rsidRDefault="003D2554" w:rsidP="003D2554">
      <w:pPr>
        <w:pStyle w:val="ESch"/>
        <w:rPr>
          <w:noProof/>
          <w:szCs w:val="20"/>
        </w:rPr>
      </w:pPr>
      <w:r>
        <w:t>1.</w:t>
      </w:r>
      <w:r>
        <w:tab/>
        <w:t>Gli alberetti in legno soddisfano i seguenti requisiti minimi:</w:t>
      </w:r>
    </w:p>
    <w:p w:rsidR="003D2554" w:rsidRPr="00C903F8" w:rsidRDefault="003D2554" w:rsidP="003D2554">
      <w:pPr>
        <w:pStyle w:val="ESch"/>
        <w:rPr>
          <w:rFonts w:cs="Arial"/>
          <w:szCs w:val="20"/>
        </w:rPr>
      </w:pPr>
    </w:p>
    <w:tbl>
      <w:tblPr>
        <w:tblW w:w="0" w:type="auto"/>
        <w:jc w:val="center"/>
        <w:tblLayout w:type="fixed"/>
        <w:tblLook w:val="0000" w:firstRow="0" w:lastRow="0" w:firstColumn="0" w:lastColumn="0" w:noHBand="0" w:noVBand="0"/>
      </w:tblPr>
      <w:tblGrid>
        <w:gridCol w:w="1871"/>
        <w:gridCol w:w="1871"/>
        <w:gridCol w:w="1871"/>
        <w:gridCol w:w="1871"/>
      </w:tblGrid>
      <w:tr w:rsidR="003D2554" w:rsidRPr="00C903F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0323C7">
            <w:pPr>
              <w:pStyle w:val="NormalCentered"/>
              <w:spacing w:before="60" w:after="60" w:line="240" w:lineRule="atLeast"/>
              <w:ind w:left="0" w:firstLine="0"/>
              <w:rPr>
                <w:rFonts w:cs="Arial"/>
                <w:noProof/>
                <w:sz w:val="18"/>
                <w:szCs w:val="18"/>
              </w:rPr>
            </w:pPr>
            <w:r>
              <w:rPr>
                <w:noProof/>
                <w:sz w:val="18"/>
              </w:rPr>
              <w:t>Lunghezza</w:t>
            </w:r>
            <w:r>
              <w:rPr>
                <w:rStyle w:val="FootnoteReference"/>
                <w:noProof/>
                <w:sz w:val="18"/>
              </w:rPr>
              <w:footnoteReference w:id="13"/>
            </w:r>
            <w:r>
              <w:rPr>
                <w:rFonts w:cs="Arial"/>
                <w:noProof/>
                <w:sz w:val="18"/>
                <w:szCs w:val="18"/>
              </w:rPr>
              <w:br/>
            </w:r>
            <w:r>
              <w:rPr>
                <w:noProof/>
                <w:sz w:val="18"/>
              </w:rPr>
              <w:t>[m]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Centered"/>
              <w:spacing w:before="60" w:after="60" w:line="240" w:lineRule="atLeast"/>
              <w:ind w:left="0" w:firstLine="0"/>
              <w:rPr>
                <w:rFonts w:cs="Arial"/>
                <w:noProof/>
                <w:sz w:val="18"/>
                <w:szCs w:val="18"/>
              </w:rPr>
            </w:pPr>
            <w:r>
              <w:rPr>
                <w:noProof/>
                <w:sz w:val="18"/>
              </w:rPr>
              <w:t>Diametro al piede</w:t>
            </w:r>
            <w:r>
              <w:rPr>
                <w:rFonts w:cs="Arial"/>
                <w:noProof/>
                <w:sz w:val="18"/>
                <w:szCs w:val="18"/>
              </w:rPr>
              <w:br/>
            </w:r>
            <w:r>
              <w:rPr>
                <w:noProof/>
                <w:sz w:val="18"/>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Centered"/>
              <w:spacing w:before="60" w:after="60" w:line="240" w:lineRule="atLeast"/>
              <w:ind w:left="0" w:firstLine="0"/>
              <w:rPr>
                <w:rFonts w:cs="Arial"/>
                <w:noProof/>
                <w:sz w:val="18"/>
                <w:szCs w:val="18"/>
              </w:rPr>
            </w:pPr>
            <w:r>
              <w:rPr>
                <w:noProof/>
                <w:sz w:val="18"/>
              </w:rPr>
              <w:t>Diametro a metà lunghezza</w:t>
            </w:r>
            <w:r>
              <w:rPr>
                <w:rFonts w:cs="Arial"/>
                <w:noProof/>
                <w:sz w:val="18"/>
                <w:szCs w:val="18"/>
              </w:rPr>
              <w:br/>
            </w:r>
            <w:r>
              <w:rPr>
                <w:noProof/>
                <w:sz w:val="18"/>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Centered"/>
              <w:spacing w:before="60" w:after="60" w:line="240" w:lineRule="atLeast"/>
              <w:ind w:left="0" w:firstLine="0"/>
              <w:rPr>
                <w:rFonts w:cs="Arial"/>
                <w:noProof/>
                <w:sz w:val="18"/>
                <w:szCs w:val="18"/>
              </w:rPr>
            </w:pPr>
            <w:r>
              <w:rPr>
                <w:noProof/>
                <w:sz w:val="18"/>
              </w:rPr>
              <w:t>Diametro d'attrezzatura</w:t>
            </w:r>
            <w:r>
              <w:rPr>
                <w:rStyle w:val="FootnoteReference"/>
                <w:noProof/>
                <w:sz w:val="18"/>
              </w:rPr>
              <w:footnoteReference w:id="14"/>
            </w:r>
            <w:r>
              <w:rPr>
                <w:rFonts w:cs="Arial"/>
                <w:noProof/>
                <w:sz w:val="18"/>
                <w:szCs w:val="18"/>
              </w:rPr>
              <w:br/>
            </w:r>
            <w:r>
              <w:rPr>
                <w:noProof/>
                <w:sz w:val="18"/>
              </w:rPr>
              <w:t>[cm]</w:t>
            </w:r>
          </w:p>
        </w:tc>
      </w:tr>
      <w:tr w:rsidR="003D2554" w:rsidRPr="00C903F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6</w:t>
            </w:r>
          </w:p>
        </w:tc>
      </w:tr>
      <w:tr w:rsidR="003D2554" w:rsidRPr="00C903F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7</w:t>
            </w:r>
          </w:p>
        </w:tc>
      </w:tr>
      <w:tr w:rsidR="003D2554" w:rsidRPr="00C903F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8</w:t>
            </w:r>
          </w:p>
        </w:tc>
      </w:tr>
      <w:tr w:rsidR="003D2554" w:rsidRPr="00C903F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10</w:t>
            </w:r>
          </w:p>
        </w:tc>
      </w:tr>
      <w:tr w:rsidR="003D2554" w:rsidRPr="00C903F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11</w:t>
            </w:r>
          </w:p>
        </w:tc>
      </w:tr>
      <w:tr w:rsidR="003D2554" w:rsidRPr="00C903F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13</w:t>
            </w:r>
          </w:p>
        </w:tc>
      </w:tr>
      <w:tr w:rsidR="003D2554" w:rsidRPr="00C903F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15</w:t>
            </w:r>
          </w:p>
        </w:tc>
      </w:tr>
      <w:tr w:rsidR="003D2554" w:rsidRPr="00C903F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23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16</w:t>
            </w:r>
          </w:p>
        </w:tc>
      </w:tr>
      <w:tr w:rsidR="003D2554" w:rsidRPr="00C903F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17</w:t>
            </w:r>
          </w:p>
        </w:tc>
      </w:tr>
      <w:tr w:rsidR="003D2554" w:rsidRPr="00C903F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26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24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18</w:t>
            </w:r>
          </w:p>
        </w:tc>
      </w:tr>
      <w:tr w:rsidR="003D2554" w:rsidRPr="00C903F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28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20</w:t>
            </w:r>
          </w:p>
        </w:tc>
      </w:tr>
      <w:tr w:rsidR="003D2554" w:rsidRPr="00C903F8"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15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31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27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B2265">
            <w:pPr>
              <w:pStyle w:val="NormalLeft"/>
              <w:spacing w:before="60" w:after="60" w:line="240" w:lineRule="atLeast"/>
              <w:ind w:left="0" w:firstLine="0"/>
              <w:jc w:val="center"/>
              <w:rPr>
                <w:rFonts w:cs="Arial"/>
                <w:noProof/>
                <w:sz w:val="18"/>
                <w:szCs w:val="18"/>
              </w:rPr>
            </w:pPr>
            <w:r>
              <w:rPr>
                <w:noProof/>
                <w:sz w:val="18"/>
              </w:rPr>
              <w:t>21</w:t>
            </w:r>
          </w:p>
        </w:tc>
      </w:tr>
    </w:tbl>
    <w:p w:rsidR="003D2554" w:rsidRPr="00C903F8" w:rsidRDefault="003D2554" w:rsidP="003D2554">
      <w:pPr>
        <w:pStyle w:val="ESch"/>
        <w:rPr>
          <w:noProof/>
          <w:szCs w:val="20"/>
        </w:rPr>
      </w:pPr>
    </w:p>
    <w:p w:rsidR="003D2554" w:rsidRPr="00C903F8" w:rsidRDefault="003D2554" w:rsidP="003D2554">
      <w:pPr>
        <w:pStyle w:val="ESchpar"/>
        <w:rPr>
          <w:rFonts w:cs="Arial"/>
        </w:rPr>
      </w:pPr>
      <w:r>
        <w:t>Se un alberetto è dotato di vele quadre, alle misure riportate nella tabella si applica un aumento del 10 %.</w:t>
      </w:r>
    </w:p>
    <w:p w:rsidR="003D2554" w:rsidRPr="00C903F8" w:rsidRDefault="003D2554" w:rsidP="003D2554">
      <w:pPr>
        <w:pStyle w:val="ESch"/>
        <w:rPr>
          <w:noProof/>
          <w:szCs w:val="20"/>
        </w:rPr>
      </w:pPr>
    </w:p>
    <w:p w:rsidR="000E2CDC" w:rsidRPr="00C903F8" w:rsidRDefault="000E2CDC">
      <w:pPr>
        <w:autoSpaceDE/>
        <w:autoSpaceDN/>
        <w:ind w:left="0" w:firstLine="0"/>
        <w:jc w:val="left"/>
        <w:rPr>
          <w:noProof/>
          <w:szCs w:val="20"/>
        </w:rPr>
      </w:pPr>
      <w:r>
        <w:br w:type="page"/>
      </w:r>
    </w:p>
    <w:p w:rsidR="003D2554" w:rsidRPr="00C903F8" w:rsidRDefault="000E2CDC" w:rsidP="003D2554">
      <w:pPr>
        <w:pStyle w:val="ESch"/>
        <w:rPr>
          <w:rFonts w:cs="Arial"/>
          <w:szCs w:val="20"/>
        </w:rPr>
      </w:pPr>
      <w:r>
        <w:lastRenderedPageBreak/>
        <w:t>2.</w:t>
      </w:r>
      <w:r>
        <w:tab/>
        <w:t>La sovrapposizione fra alberetto e albero equivale perlomeno al decuplo del diametro prescritto per il piede dell'alberetto.</w:t>
      </w:r>
    </w:p>
    <w:p w:rsidR="003D2554" w:rsidRPr="00C903F8" w:rsidRDefault="003D2554" w:rsidP="003D2554">
      <w:pPr>
        <w:pStyle w:val="ESch"/>
        <w:rPr>
          <w:rFonts w:cs="Arial"/>
          <w:szCs w:val="20"/>
        </w:rPr>
      </w:pPr>
    </w:p>
    <w:p w:rsidR="00147283" w:rsidRPr="00C903F8" w:rsidRDefault="00147283" w:rsidP="003D2554">
      <w:pPr>
        <w:pStyle w:val="ESch"/>
        <w:rPr>
          <w:rFonts w:cs="Arial"/>
          <w:szCs w:val="20"/>
        </w:rPr>
      </w:pPr>
    </w:p>
    <w:p w:rsidR="003D2554" w:rsidRPr="00C903F8" w:rsidRDefault="003D2554" w:rsidP="003D2554">
      <w:pPr>
        <w:pStyle w:val="ES-Titre3"/>
        <w:rPr>
          <w:rFonts w:cs="Arial"/>
          <w:i/>
        </w:rPr>
      </w:pPr>
      <w:bookmarkStart w:id="394" w:name="_Toc491854194"/>
      <w:bookmarkStart w:id="395" w:name="_Toc535500143"/>
      <w:r>
        <w:t>Articolo 20.09</w:t>
      </w:r>
      <w:r>
        <w:br/>
      </w:r>
      <w:r>
        <w:rPr>
          <w:i/>
          <w:noProof/>
        </w:rPr>
        <w:t>Prescrizioni speciali per i bompressi</w:t>
      </w:r>
      <w:bookmarkEnd w:id="394"/>
      <w:bookmarkEnd w:id="395"/>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 xml:space="preserve">1. </w:t>
      </w:r>
      <w:r>
        <w:tab/>
        <w:t>I bompressi in legno soddisfano i seguenti requisiti minimi:</w:t>
      </w:r>
    </w:p>
    <w:p w:rsidR="003D2554" w:rsidRPr="00C903F8" w:rsidRDefault="003D2554" w:rsidP="003D2554">
      <w:pPr>
        <w:pStyle w:val="ESch"/>
        <w:rPr>
          <w:szCs w:val="20"/>
        </w:rPr>
      </w:pPr>
    </w:p>
    <w:tbl>
      <w:tblPr>
        <w:tblW w:w="0" w:type="auto"/>
        <w:jc w:val="center"/>
        <w:tblLayout w:type="fixed"/>
        <w:tblLook w:val="0000" w:firstRow="0" w:lastRow="0" w:firstColumn="0" w:lastColumn="0" w:noHBand="0" w:noVBand="0"/>
      </w:tblPr>
      <w:tblGrid>
        <w:gridCol w:w="1871"/>
        <w:gridCol w:w="1871"/>
        <w:gridCol w:w="1871"/>
      </w:tblGrid>
      <w:tr w:rsidR="003D2554" w:rsidRPr="00C903F8"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Centered"/>
              <w:spacing w:before="60" w:after="60" w:line="240" w:lineRule="atLeast"/>
              <w:ind w:left="0" w:firstLine="0"/>
              <w:rPr>
                <w:rFonts w:cs="Arial"/>
                <w:noProof/>
                <w:sz w:val="18"/>
                <w:szCs w:val="18"/>
              </w:rPr>
            </w:pPr>
            <w:r>
              <w:rPr>
                <w:noProof/>
                <w:sz w:val="18"/>
              </w:rPr>
              <w:t>Lunghezza</w:t>
            </w:r>
            <w:r>
              <w:rPr>
                <w:rStyle w:val="FootnoteReference"/>
                <w:noProof/>
                <w:sz w:val="18"/>
              </w:rPr>
              <w:footnoteReference w:id="15"/>
            </w:r>
            <w:r>
              <w:rPr>
                <w:rFonts w:cs="Arial"/>
                <w:noProof/>
                <w:sz w:val="18"/>
                <w:szCs w:val="18"/>
              </w:rPr>
              <w:br/>
            </w:r>
            <w:r>
              <w:rPr>
                <w:noProof/>
                <w:sz w:val="18"/>
              </w:rPr>
              <w:t>[m]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772341">
            <w:pPr>
              <w:pStyle w:val="NormalCentered"/>
              <w:spacing w:before="60" w:after="60" w:line="240" w:lineRule="atLeast"/>
              <w:ind w:left="0" w:firstLine="0"/>
              <w:rPr>
                <w:rFonts w:cs="Arial"/>
                <w:noProof/>
                <w:sz w:val="18"/>
                <w:szCs w:val="18"/>
              </w:rPr>
            </w:pPr>
            <w:r>
              <w:rPr>
                <w:noProof/>
                <w:sz w:val="18"/>
              </w:rPr>
              <w:t>Diametro al dritto</w:t>
            </w:r>
            <w:r>
              <w:rPr>
                <w:rFonts w:cs="Arial"/>
                <w:noProof/>
                <w:sz w:val="18"/>
                <w:szCs w:val="18"/>
              </w:rPr>
              <w:br/>
            </w:r>
            <w:r>
              <w:rPr>
                <w:noProof/>
                <w:sz w:val="18"/>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772341">
            <w:pPr>
              <w:pStyle w:val="NormalCentered"/>
              <w:spacing w:before="60" w:after="60" w:line="240" w:lineRule="atLeast"/>
              <w:ind w:left="0" w:firstLine="0"/>
              <w:rPr>
                <w:rFonts w:cs="Arial"/>
                <w:noProof/>
                <w:sz w:val="18"/>
                <w:szCs w:val="18"/>
              </w:rPr>
            </w:pPr>
            <w:r>
              <w:rPr>
                <w:noProof/>
                <w:sz w:val="18"/>
              </w:rPr>
              <w:t>Diametro a metà lunghezza</w:t>
            </w:r>
            <w:r>
              <w:rPr>
                <w:rFonts w:cs="Arial"/>
                <w:noProof/>
                <w:sz w:val="18"/>
                <w:szCs w:val="18"/>
              </w:rPr>
              <w:br/>
            </w:r>
            <w:r>
              <w:rPr>
                <w:noProof/>
                <w:sz w:val="18"/>
              </w:rPr>
              <w:t>[cm]</w:t>
            </w:r>
          </w:p>
        </w:tc>
      </w:tr>
      <w:tr w:rsidR="003D2554" w:rsidRPr="00C903F8"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14,5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12,5</w:t>
            </w:r>
          </w:p>
        </w:tc>
      </w:tr>
      <w:tr w:rsidR="003D2554" w:rsidRPr="00C903F8"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16</w:t>
            </w:r>
          </w:p>
        </w:tc>
      </w:tr>
      <w:tr w:rsidR="003D2554" w:rsidRPr="00C903F8"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19</w:t>
            </w:r>
          </w:p>
        </w:tc>
      </w:tr>
      <w:tr w:rsidR="003D2554" w:rsidRPr="00C903F8"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23</w:t>
            </w:r>
          </w:p>
        </w:tc>
      </w:tr>
      <w:tr w:rsidR="003D2554" w:rsidRPr="00C903F8"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29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25</w:t>
            </w:r>
          </w:p>
        </w:tc>
      </w:tr>
      <w:tr w:rsidR="003D2554" w:rsidRPr="00C903F8"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32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29</w:t>
            </w:r>
          </w:p>
        </w:tc>
      </w:tr>
      <w:tr w:rsidR="003D2554" w:rsidRPr="00C903F8"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36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32</w:t>
            </w:r>
          </w:p>
        </w:tc>
      </w:tr>
      <w:tr w:rsidR="003D2554" w:rsidRPr="00C903F8"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39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35</w:t>
            </w:r>
          </w:p>
        </w:tc>
      </w:tr>
      <w:tr w:rsidR="003D2554" w:rsidRPr="00C903F8"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12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43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39</w:t>
            </w:r>
          </w:p>
        </w:tc>
      </w:tr>
    </w:tbl>
    <w:p w:rsidR="003D2554" w:rsidRPr="00C903F8" w:rsidRDefault="003D2554" w:rsidP="003D2554">
      <w:pPr>
        <w:pStyle w:val="ESch"/>
        <w:rPr>
          <w:noProof/>
          <w:szCs w:val="20"/>
        </w:rPr>
      </w:pPr>
    </w:p>
    <w:p w:rsidR="003D2554" w:rsidRPr="00C903F8" w:rsidRDefault="003D2554" w:rsidP="003D2554">
      <w:pPr>
        <w:pStyle w:val="ESch"/>
        <w:rPr>
          <w:rFonts w:cs="Arial"/>
          <w:szCs w:val="20"/>
        </w:rPr>
      </w:pPr>
      <w:r>
        <w:t xml:space="preserve">2. </w:t>
      </w:r>
      <w:r>
        <w:tab/>
        <w:t>La parte del bompresso situata entrobordo ha lunghezza almeno quadrupla rispetto al diametro del bompresso al dritto.</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 xml:space="preserve">3. </w:t>
      </w:r>
      <w:r>
        <w:tab/>
        <w:t>Il diametro del bompresso alla penna è pari almeno al 60 % del diametro del bompresso al dritto.</w:t>
      </w:r>
    </w:p>
    <w:p w:rsidR="003D2554" w:rsidRDefault="003D2554" w:rsidP="003D2554">
      <w:pPr>
        <w:pStyle w:val="ESch"/>
        <w:rPr>
          <w:rFonts w:cs="Arial"/>
          <w:szCs w:val="20"/>
        </w:rPr>
      </w:pPr>
    </w:p>
    <w:p w:rsidR="00277E12" w:rsidRPr="00C903F8" w:rsidRDefault="00277E12" w:rsidP="003D2554">
      <w:pPr>
        <w:pStyle w:val="ESch"/>
        <w:rPr>
          <w:rFonts w:cs="Arial"/>
          <w:szCs w:val="20"/>
        </w:rPr>
      </w:pPr>
    </w:p>
    <w:p w:rsidR="003D2554" w:rsidRPr="00C903F8" w:rsidRDefault="003D2554" w:rsidP="003D2554">
      <w:pPr>
        <w:pStyle w:val="ES-Titre3"/>
        <w:rPr>
          <w:rFonts w:cs="Arial"/>
          <w:i/>
        </w:rPr>
      </w:pPr>
      <w:bookmarkStart w:id="396" w:name="_Toc491854195"/>
      <w:bookmarkStart w:id="397" w:name="_Toc535500144"/>
      <w:r>
        <w:t>Articolo 20.10</w:t>
      </w:r>
      <w:r>
        <w:br/>
      </w:r>
      <w:r>
        <w:rPr>
          <w:i/>
          <w:noProof/>
        </w:rPr>
        <w:t>Prescrizioni speciali per le aste di fiocco</w:t>
      </w:r>
      <w:bookmarkEnd w:id="396"/>
      <w:bookmarkEnd w:id="397"/>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 xml:space="preserve">1. </w:t>
      </w:r>
      <w:r>
        <w:tab/>
        <w:t>Le aste di fiocco in legno soddisfano i seguenti requisiti minimi:</w:t>
      </w:r>
    </w:p>
    <w:p w:rsidR="003D2554" w:rsidRPr="00C903F8" w:rsidRDefault="003D2554" w:rsidP="003D2554">
      <w:pPr>
        <w:pStyle w:val="ESch"/>
        <w:rPr>
          <w:szCs w:val="20"/>
        </w:rPr>
      </w:pPr>
    </w:p>
    <w:tbl>
      <w:tblPr>
        <w:tblW w:w="0" w:type="auto"/>
        <w:jc w:val="center"/>
        <w:tblLayout w:type="fixed"/>
        <w:tblLook w:val="0000" w:firstRow="0" w:lastRow="0" w:firstColumn="0" w:lastColumn="0" w:noHBand="0" w:noVBand="0"/>
      </w:tblPr>
      <w:tblGrid>
        <w:gridCol w:w="2835"/>
        <w:gridCol w:w="510"/>
        <w:gridCol w:w="510"/>
        <w:gridCol w:w="510"/>
        <w:gridCol w:w="510"/>
        <w:gridCol w:w="510"/>
        <w:gridCol w:w="510"/>
        <w:gridCol w:w="510"/>
        <w:gridCol w:w="510"/>
        <w:gridCol w:w="510"/>
      </w:tblGrid>
      <w:tr w:rsidR="003D2554" w:rsidRPr="00C903F8" w:rsidTr="00A90B64">
        <w:trPr>
          <w:cantSplit/>
          <w:jc w:val="center"/>
        </w:trPr>
        <w:tc>
          <w:tcPr>
            <w:tcW w:w="2835"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Lunghezza</w:t>
            </w:r>
            <w:r>
              <w:rPr>
                <w:rStyle w:val="FootnoteReference"/>
                <w:noProof/>
                <w:sz w:val="18"/>
              </w:rPr>
              <w:footnoteReference w:id="16"/>
            </w:r>
            <w:r>
              <w:rPr>
                <w:noProof/>
                <w:sz w:val="18"/>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3</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9</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10</w:t>
            </w:r>
          </w:p>
        </w:tc>
      </w:tr>
      <w:tr w:rsidR="003D2554" w:rsidRPr="00C903F8" w:rsidTr="00A90B64">
        <w:trPr>
          <w:cantSplit/>
          <w:jc w:val="center"/>
        </w:trPr>
        <w:tc>
          <w:tcPr>
            <w:tcW w:w="2835"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Diametro al dritto [cm]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31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35</w:t>
            </w:r>
          </w:p>
        </w:tc>
      </w:tr>
    </w:tbl>
    <w:p w:rsidR="003D2554" w:rsidRPr="00C903F8" w:rsidRDefault="003D2554" w:rsidP="003D2554">
      <w:pPr>
        <w:pStyle w:val="ESch"/>
        <w:rPr>
          <w:noProof/>
          <w:szCs w:val="20"/>
        </w:rPr>
      </w:pPr>
    </w:p>
    <w:p w:rsidR="003D2554" w:rsidRPr="00C903F8" w:rsidRDefault="003D2554" w:rsidP="003D2554">
      <w:pPr>
        <w:pStyle w:val="ESch"/>
        <w:rPr>
          <w:rFonts w:cs="Arial"/>
          <w:szCs w:val="20"/>
        </w:rPr>
      </w:pPr>
      <w:r>
        <w:t>2.</w:t>
      </w:r>
      <w:r>
        <w:tab/>
        <w:t>Il diametro dell'asta di fiocco alla penna equivale almeno al 60 % del diametro al dritto.</w:t>
      </w:r>
    </w:p>
    <w:p w:rsidR="003D2554" w:rsidRPr="00C903F8" w:rsidRDefault="003D2554" w:rsidP="003D2554">
      <w:pPr>
        <w:pStyle w:val="ESch"/>
        <w:rPr>
          <w:rFonts w:cs="Arial"/>
          <w:szCs w:val="20"/>
        </w:rPr>
      </w:pPr>
    </w:p>
    <w:p w:rsidR="003D2554" w:rsidRPr="00C903F8" w:rsidRDefault="003D2554" w:rsidP="003D2554">
      <w:pPr>
        <w:pStyle w:val="ESch"/>
        <w:rPr>
          <w:rFonts w:cs="Arial"/>
          <w:szCs w:val="20"/>
        </w:rPr>
      </w:pPr>
    </w:p>
    <w:p w:rsidR="00A90B64" w:rsidRPr="00C903F8" w:rsidRDefault="00A90B64" w:rsidP="003D2554">
      <w:pPr>
        <w:pStyle w:val="ESch"/>
        <w:rPr>
          <w:rFonts w:cs="Arial"/>
          <w:szCs w:val="20"/>
        </w:rPr>
      </w:pPr>
      <w:r>
        <w:br w:type="page"/>
      </w:r>
    </w:p>
    <w:p w:rsidR="003D2554" w:rsidRPr="00C903F8" w:rsidRDefault="003D2554" w:rsidP="003D2554">
      <w:pPr>
        <w:pStyle w:val="ES-Titre3"/>
        <w:rPr>
          <w:rFonts w:cs="Arial"/>
          <w:i/>
        </w:rPr>
      </w:pPr>
      <w:bookmarkStart w:id="398" w:name="_Toc491854196"/>
      <w:bookmarkStart w:id="399" w:name="_Toc535500145"/>
      <w:r>
        <w:lastRenderedPageBreak/>
        <w:t>Articolo 20.11</w:t>
      </w:r>
      <w:r>
        <w:br/>
      </w:r>
      <w:r>
        <w:rPr>
          <w:i/>
          <w:noProof/>
        </w:rPr>
        <w:t>Disposizioni particolari per i boma di maestra</w:t>
      </w:r>
      <w:bookmarkEnd w:id="398"/>
      <w:bookmarkEnd w:id="399"/>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 xml:space="preserve">1. </w:t>
      </w:r>
      <w:r>
        <w:tab/>
        <w:t>Il boma di maestra di legno soddisfa almeno i seguenti requisiti:</w:t>
      </w:r>
    </w:p>
    <w:p w:rsidR="003D2554" w:rsidRPr="00C903F8" w:rsidRDefault="003D2554" w:rsidP="003D2554">
      <w:pPr>
        <w:pStyle w:val="ESch"/>
        <w:rPr>
          <w:szCs w:val="20"/>
        </w:rPr>
      </w:pPr>
    </w:p>
    <w:tbl>
      <w:tblPr>
        <w:tblW w:w="0" w:type="auto"/>
        <w:jc w:val="center"/>
        <w:tblLayout w:type="fixed"/>
        <w:tblLook w:val="0000" w:firstRow="0" w:lastRow="0" w:firstColumn="0" w:lastColumn="0" w:noHBand="0" w:noVBand="0"/>
      </w:tblPr>
      <w:tblGrid>
        <w:gridCol w:w="1985"/>
        <w:gridCol w:w="510"/>
        <w:gridCol w:w="510"/>
        <w:gridCol w:w="510"/>
        <w:gridCol w:w="510"/>
        <w:gridCol w:w="510"/>
        <w:gridCol w:w="510"/>
        <w:gridCol w:w="510"/>
        <w:gridCol w:w="510"/>
        <w:gridCol w:w="510"/>
        <w:gridCol w:w="510"/>
        <w:gridCol w:w="510"/>
        <w:gridCol w:w="510"/>
      </w:tblGrid>
      <w:tr w:rsidR="003D2554" w:rsidRPr="00C903F8"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Lunghezza</w:t>
            </w:r>
            <w:r>
              <w:rPr>
                <w:rStyle w:val="FootnoteReference"/>
                <w:noProof/>
                <w:sz w:val="18"/>
              </w:rPr>
              <w:footnoteReference w:id="17"/>
            </w:r>
            <w:r>
              <w:rPr>
                <w:noProof/>
                <w:sz w:val="18"/>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9</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12</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13</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16</w:t>
            </w:r>
          </w:p>
        </w:tc>
      </w:tr>
      <w:tr w:rsidR="003D2554" w:rsidRPr="00C903F8"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Diametro [cm]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23</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27</w:t>
            </w:r>
          </w:p>
        </w:tc>
      </w:tr>
    </w:tbl>
    <w:p w:rsidR="003D2554" w:rsidRPr="00C903F8" w:rsidRDefault="003D2554" w:rsidP="003D2554">
      <w:pPr>
        <w:pStyle w:val="ESch"/>
        <w:rPr>
          <w:noProof/>
          <w:szCs w:val="20"/>
        </w:rPr>
      </w:pPr>
    </w:p>
    <w:p w:rsidR="003D2554" w:rsidRPr="00C903F8" w:rsidRDefault="003D2554" w:rsidP="003D2554">
      <w:pPr>
        <w:pStyle w:val="ESch"/>
        <w:rPr>
          <w:rFonts w:cs="Arial"/>
          <w:szCs w:val="20"/>
        </w:rPr>
      </w:pPr>
      <w:r>
        <w:t>2.</w:t>
      </w:r>
      <w:r>
        <w:tab/>
        <w:t>Il diametro al perno girevole è pari almeno al 72 % del diametro riportato nella tabella.</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3.</w:t>
      </w:r>
      <w:r>
        <w:tab/>
        <w:t>Il diametro all'angolo di scotta è pari almeno all'85 % del diametro riportato nella tabella.</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4.</w:t>
      </w:r>
      <w:r>
        <w:tab/>
        <w:t>Il diametro — misurato dall'albero — raggiunge il valore massimo a 2/3 della lunghezza.</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5.</w:t>
      </w:r>
      <w:r>
        <w:tab/>
        <w:t>dove:</w:t>
      </w:r>
    </w:p>
    <w:p w:rsidR="003D2554" w:rsidRPr="00C903F8" w:rsidRDefault="005C7859" w:rsidP="003D2554">
      <w:pPr>
        <w:pStyle w:val="ESlet"/>
        <w:rPr>
          <w:rFonts w:cs="Arial"/>
        </w:rPr>
      </w:pPr>
      <w:r>
        <w:t>a)</w:t>
      </w:r>
      <w:r>
        <w:tab/>
        <w:t>l'angolo fra balumina e boma di maestra sia inferiore a 65° e all'estremità del boma vi sia una scotta di randa; o</w:t>
      </w:r>
    </w:p>
    <w:p w:rsidR="003D2554" w:rsidRPr="00C903F8" w:rsidRDefault="005C7859" w:rsidP="003D2554">
      <w:pPr>
        <w:pStyle w:val="ESlet"/>
        <w:rPr>
          <w:rFonts w:cs="Arial"/>
        </w:rPr>
      </w:pPr>
      <w:r>
        <w:t>b)</w:t>
      </w:r>
      <w:r>
        <w:tab/>
        <w:t>il punto d'attacco della scotta non si trovi dirimpetto all'angolo di scotta,</w:t>
      </w:r>
    </w:p>
    <w:p w:rsidR="003D2554" w:rsidRPr="00C903F8" w:rsidRDefault="003D2554" w:rsidP="003D2554">
      <w:pPr>
        <w:pStyle w:val="ESch"/>
        <w:rPr>
          <w:noProof/>
          <w:szCs w:val="20"/>
        </w:rPr>
      </w:pPr>
    </w:p>
    <w:p w:rsidR="003D2554" w:rsidRPr="00C903F8" w:rsidRDefault="003D2554" w:rsidP="003D2554">
      <w:pPr>
        <w:pStyle w:val="ESchpar"/>
        <w:rPr>
          <w:rFonts w:cs="Arial"/>
        </w:rPr>
      </w:pPr>
      <w:r>
        <w:t>la commissione di ispezione può prescrivere, conformemente all'articolo 20.05, paragrafo 2, un diametro maggiore.</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6.</w:t>
      </w:r>
      <w:r>
        <w:tab/>
        <w:t>Qualora la superficie velica sia inferiore a 50 m</w:t>
      </w:r>
      <w:r>
        <w:rPr>
          <w:noProof/>
          <w:vertAlign w:val="superscript"/>
        </w:rPr>
        <w:t>2</w:t>
      </w:r>
      <w:r>
        <w:t>, la commissione di ispezione può autorizzare una riduzione delle misure riportate nella tabella.</w:t>
      </w:r>
    </w:p>
    <w:p w:rsidR="003D2554" w:rsidRPr="00C903F8" w:rsidRDefault="003D2554" w:rsidP="003D2554">
      <w:pPr>
        <w:pStyle w:val="ESch"/>
        <w:rPr>
          <w:rFonts w:cs="Arial"/>
          <w:szCs w:val="20"/>
        </w:rPr>
      </w:pPr>
    </w:p>
    <w:p w:rsidR="003D2554" w:rsidRPr="00C903F8" w:rsidRDefault="003D2554" w:rsidP="003D2554">
      <w:pPr>
        <w:pStyle w:val="ESch"/>
        <w:rPr>
          <w:rFonts w:cs="Arial"/>
          <w:szCs w:val="20"/>
        </w:rPr>
      </w:pPr>
    </w:p>
    <w:p w:rsidR="003D2554" w:rsidRPr="00C903F8" w:rsidRDefault="003D2554" w:rsidP="003D2554">
      <w:pPr>
        <w:pStyle w:val="ES-Titre3"/>
        <w:rPr>
          <w:rFonts w:cs="Arial"/>
          <w:i/>
        </w:rPr>
      </w:pPr>
      <w:bookmarkStart w:id="400" w:name="_Toc491854197"/>
      <w:bookmarkStart w:id="401" w:name="_Toc535500146"/>
      <w:r>
        <w:t>Articolo 20.12</w:t>
      </w:r>
      <w:r>
        <w:br/>
      </w:r>
      <w:r>
        <w:rPr>
          <w:i/>
          <w:noProof/>
        </w:rPr>
        <w:t>Disposizioni particolari per i picchi</w:t>
      </w:r>
      <w:bookmarkEnd w:id="400"/>
      <w:bookmarkEnd w:id="401"/>
    </w:p>
    <w:p w:rsidR="003D2554" w:rsidRPr="00C903F8" w:rsidRDefault="003D2554" w:rsidP="003D2554">
      <w:pPr>
        <w:pStyle w:val="ESch"/>
        <w:rPr>
          <w:noProof/>
          <w:szCs w:val="20"/>
        </w:rPr>
      </w:pPr>
    </w:p>
    <w:p w:rsidR="003D2554" w:rsidRPr="00C903F8" w:rsidRDefault="00B92309" w:rsidP="003D2554">
      <w:pPr>
        <w:pStyle w:val="ESch"/>
        <w:rPr>
          <w:rFonts w:cs="Arial"/>
          <w:szCs w:val="20"/>
        </w:rPr>
      </w:pPr>
      <w:r>
        <w:t>1.</w:t>
      </w:r>
      <w:r>
        <w:tab/>
        <w:t>Il picco di legno soddisfa almeno i seguenti requisiti:</w:t>
      </w:r>
    </w:p>
    <w:p w:rsidR="003D2554" w:rsidRPr="00C903F8" w:rsidRDefault="003D2554" w:rsidP="003D2554">
      <w:pPr>
        <w:pStyle w:val="ESch"/>
        <w:rPr>
          <w:szCs w:val="20"/>
        </w:rPr>
      </w:pPr>
    </w:p>
    <w:tbl>
      <w:tblPr>
        <w:tblW w:w="0" w:type="auto"/>
        <w:jc w:val="center"/>
        <w:tblLayout w:type="fixed"/>
        <w:tblLook w:val="0000" w:firstRow="0" w:lastRow="0" w:firstColumn="0" w:lastColumn="0" w:noHBand="0" w:noVBand="0"/>
      </w:tblPr>
      <w:tblGrid>
        <w:gridCol w:w="1985"/>
        <w:gridCol w:w="510"/>
        <w:gridCol w:w="510"/>
        <w:gridCol w:w="510"/>
        <w:gridCol w:w="510"/>
        <w:gridCol w:w="510"/>
        <w:gridCol w:w="510"/>
        <w:gridCol w:w="510"/>
      </w:tblGrid>
      <w:tr w:rsidR="003D2554" w:rsidRPr="00C903F8"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Lunghezza</w:t>
            </w:r>
            <w:r>
              <w:rPr>
                <w:rStyle w:val="FootnoteReference"/>
                <w:noProof/>
                <w:sz w:val="18"/>
              </w:rPr>
              <w:footnoteReference w:id="18"/>
            </w:r>
            <w:r>
              <w:rPr>
                <w:noProof/>
                <w:sz w:val="18"/>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9</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10</w:t>
            </w:r>
          </w:p>
        </w:tc>
      </w:tr>
      <w:tr w:rsidR="003D2554" w:rsidRPr="00C903F8"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Diametro [cm]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12</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20</w:t>
            </w:r>
          </w:p>
        </w:tc>
      </w:tr>
    </w:tbl>
    <w:p w:rsidR="003D2554" w:rsidRPr="00C903F8" w:rsidRDefault="003D2554" w:rsidP="003D2554">
      <w:pPr>
        <w:pStyle w:val="ESch"/>
        <w:rPr>
          <w:rFonts w:cs="Arial"/>
          <w:szCs w:val="20"/>
        </w:rPr>
      </w:pPr>
    </w:p>
    <w:p w:rsidR="003D2554" w:rsidRPr="00C903F8" w:rsidRDefault="003D2554" w:rsidP="003D2554">
      <w:pPr>
        <w:pStyle w:val="ESch"/>
        <w:rPr>
          <w:rFonts w:cs="Arial"/>
          <w:szCs w:val="20"/>
        </w:rPr>
      </w:pPr>
      <w:r>
        <w:t>2.</w:t>
      </w:r>
      <w:r>
        <w:tab/>
        <w:t>La lunghezza senza appoggio del picco equivale al massimo al 75 % della lunghezza complessiva.</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3.</w:t>
      </w:r>
      <w:r>
        <w:tab/>
        <w:t>La resistenza alla rottura del piede di pollo equivale perlomeno a 1,2 volte la resistenza alla rottura dell'angolo di penna.</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4.</w:t>
      </w:r>
      <w:r>
        <w:tab/>
        <w:t>L'angolo al vertice del piede di pollo misura al massimo 60°.</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5.</w:t>
      </w:r>
      <w:r>
        <w:tab/>
        <w:t>Qualora, in deroga al paragrafo 4, l'angolo al vertice del piede di pollo sia superiore a 60°, la resistenza alla trazione è adeguata alle forze che si manifestano in tal caso.</w:t>
      </w:r>
    </w:p>
    <w:p w:rsidR="003D2554" w:rsidRPr="00C903F8" w:rsidRDefault="003D2554" w:rsidP="003D2554">
      <w:pPr>
        <w:pStyle w:val="ESch"/>
        <w:rPr>
          <w:noProof/>
          <w:szCs w:val="20"/>
        </w:rPr>
      </w:pPr>
    </w:p>
    <w:p w:rsidR="003D2554" w:rsidRPr="00C903F8" w:rsidRDefault="00B92309" w:rsidP="003D2554">
      <w:pPr>
        <w:pStyle w:val="ESch"/>
        <w:rPr>
          <w:rFonts w:cs="Arial"/>
          <w:szCs w:val="20"/>
        </w:rPr>
      </w:pPr>
      <w:r>
        <w:t>6.</w:t>
      </w:r>
      <w:r>
        <w:tab/>
        <w:t>Qualora la superficie velica sia inferiore a 50 m</w:t>
      </w:r>
      <w:r>
        <w:rPr>
          <w:noProof/>
          <w:vertAlign w:val="superscript"/>
        </w:rPr>
        <w:t>2</w:t>
      </w:r>
      <w:r>
        <w:t>, la commissione di ispezione può autorizzare una riduzione delle misure riportate nella tabella.</w:t>
      </w:r>
    </w:p>
    <w:p w:rsidR="003D2554" w:rsidRPr="00C903F8" w:rsidRDefault="003D2554" w:rsidP="003D2554">
      <w:pPr>
        <w:pStyle w:val="ESch"/>
        <w:rPr>
          <w:rFonts w:cs="Arial"/>
          <w:szCs w:val="20"/>
        </w:rPr>
      </w:pPr>
    </w:p>
    <w:p w:rsidR="003D2554" w:rsidRPr="00C903F8" w:rsidRDefault="00A90B64" w:rsidP="003D2554">
      <w:pPr>
        <w:pStyle w:val="ESch"/>
        <w:rPr>
          <w:rFonts w:cs="Arial"/>
          <w:szCs w:val="20"/>
        </w:rPr>
      </w:pPr>
      <w:r>
        <w:br w:type="page"/>
      </w:r>
    </w:p>
    <w:p w:rsidR="003D2554" w:rsidRPr="00C903F8" w:rsidRDefault="003D2554" w:rsidP="003D2554">
      <w:pPr>
        <w:pStyle w:val="ES-Titre3"/>
        <w:rPr>
          <w:rFonts w:cs="Arial"/>
          <w:i/>
        </w:rPr>
      </w:pPr>
      <w:bookmarkStart w:id="402" w:name="_Toc491854198"/>
      <w:bookmarkStart w:id="403" w:name="_Toc535500147"/>
      <w:r>
        <w:lastRenderedPageBreak/>
        <w:t>Articolo 20.13</w:t>
      </w:r>
      <w:r>
        <w:br/>
      </w:r>
      <w:r>
        <w:rPr>
          <w:i/>
          <w:noProof/>
        </w:rPr>
        <w:t>Disposizioni generali per le manovre fisse e correnti</w:t>
      </w:r>
      <w:bookmarkEnd w:id="402"/>
      <w:bookmarkEnd w:id="403"/>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 xml:space="preserve">1. </w:t>
      </w:r>
      <w:r>
        <w:tab/>
        <w:t>Le manovre fisse e correnti soddisfano i requisiti di resistenza di cui agli articoli 20.14 e 20.15.</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 xml:space="preserve">2. </w:t>
      </w:r>
      <w:r>
        <w:tab/>
        <w:t>Sono ammessi i seguenti collegamenti metallici:</w:t>
      </w:r>
    </w:p>
    <w:p w:rsidR="003D2554" w:rsidRPr="00C903F8" w:rsidRDefault="005C7859" w:rsidP="003D2554">
      <w:pPr>
        <w:pStyle w:val="ESlet"/>
        <w:rPr>
          <w:rFonts w:cs="Arial"/>
        </w:rPr>
      </w:pPr>
      <w:r>
        <w:t>a)</w:t>
      </w:r>
      <w:r>
        <w:tab/>
        <w:t>impiombature;</w:t>
      </w:r>
    </w:p>
    <w:p w:rsidR="003D2554" w:rsidRPr="00C903F8" w:rsidRDefault="005C7859" w:rsidP="003D2554">
      <w:pPr>
        <w:pStyle w:val="ESlet"/>
        <w:rPr>
          <w:rFonts w:cs="Arial"/>
        </w:rPr>
      </w:pPr>
      <w:r>
        <w:t>b)</w:t>
      </w:r>
      <w:r>
        <w:tab/>
        <w:t>strozzacavi;</w:t>
      </w:r>
    </w:p>
    <w:p w:rsidR="003D2554" w:rsidRPr="00C903F8" w:rsidRDefault="005C7859" w:rsidP="003D2554">
      <w:pPr>
        <w:pStyle w:val="ESlet"/>
        <w:rPr>
          <w:rFonts w:cs="Arial"/>
        </w:rPr>
      </w:pPr>
      <w:r>
        <w:t>c)</w:t>
      </w:r>
      <w:r>
        <w:tab/>
        <w:t>dispositivi di bloccaggio.</w:t>
      </w:r>
    </w:p>
    <w:p w:rsidR="003D2554" w:rsidRPr="00C903F8" w:rsidRDefault="003D2554" w:rsidP="003D2554">
      <w:pPr>
        <w:pStyle w:val="ESlet"/>
        <w:rPr>
          <w:rFonts w:cs="Arial"/>
        </w:rPr>
      </w:pPr>
      <w:r>
        <w:t>Le impiombature sono fasciate e le estremità impalmate.</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3.</w:t>
      </w:r>
      <w:r>
        <w:tab/>
        <w:t>Le impiombature di gassa sono dotate di redancia.</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4.</w:t>
      </w:r>
      <w:r>
        <w:tab/>
        <w:t>Le cime sono addugliate in modo tale da non ostruire gli accessi e le scale.</w:t>
      </w:r>
    </w:p>
    <w:p w:rsidR="003D2554" w:rsidRPr="00C903F8" w:rsidRDefault="003D2554" w:rsidP="003D2554">
      <w:pPr>
        <w:pStyle w:val="ESch"/>
        <w:rPr>
          <w:rFonts w:cs="Arial"/>
          <w:szCs w:val="20"/>
        </w:rPr>
      </w:pPr>
    </w:p>
    <w:p w:rsidR="003D2554" w:rsidRPr="00C903F8" w:rsidRDefault="003D2554" w:rsidP="003D2554">
      <w:pPr>
        <w:pStyle w:val="ESch"/>
        <w:rPr>
          <w:rFonts w:cs="Arial"/>
          <w:szCs w:val="20"/>
        </w:rPr>
      </w:pPr>
    </w:p>
    <w:p w:rsidR="003D2554" w:rsidRPr="00C903F8" w:rsidRDefault="003D2554" w:rsidP="003D2554">
      <w:pPr>
        <w:pStyle w:val="ES-Titre3"/>
        <w:rPr>
          <w:rFonts w:cs="Arial"/>
          <w:i/>
        </w:rPr>
      </w:pPr>
      <w:bookmarkStart w:id="404" w:name="_Toc491854199"/>
      <w:bookmarkStart w:id="405" w:name="_Toc535500148"/>
      <w:r>
        <w:t>Articolo 20.14</w:t>
      </w:r>
      <w:r>
        <w:br/>
      </w:r>
      <w:r>
        <w:rPr>
          <w:i/>
          <w:noProof/>
        </w:rPr>
        <w:t>Disposizioni particolari per le manovre fisse</w:t>
      </w:r>
      <w:bookmarkEnd w:id="404"/>
      <w:bookmarkEnd w:id="405"/>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1.</w:t>
      </w:r>
      <w:r>
        <w:tab/>
        <w:t>Gli stralli di trinchetto e le sartie soddisfano almeno i seguenti requisiti:</w:t>
      </w:r>
    </w:p>
    <w:p w:rsidR="003D2554" w:rsidRPr="00C903F8" w:rsidRDefault="003D2554" w:rsidP="003D2554">
      <w:pPr>
        <w:pStyle w:val="ESch"/>
        <w:rPr>
          <w:szCs w:val="20"/>
        </w:rPr>
      </w:pPr>
    </w:p>
    <w:tbl>
      <w:tblPr>
        <w:tblW w:w="0" w:type="auto"/>
        <w:jc w:val="center"/>
        <w:tblLayout w:type="fixed"/>
        <w:tblLook w:val="0000" w:firstRow="0" w:lastRow="0" w:firstColumn="0" w:lastColumn="0" w:noHBand="0" w:noVBand="0"/>
      </w:tblPr>
      <w:tblGrid>
        <w:gridCol w:w="3343"/>
        <w:gridCol w:w="567"/>
        <w:gridCol w:w="567"/>
        <w:gridCol w:w="567"/>
        <w:gridCol w:w="567"/>
        <w:gridCol w:w="567"/>
        <w:gridCol w:w="567"/>
        <w:gridCol w:w="567"/>
        <w:gridCol w:w="567"/>
      </w:tblGrid>
      <w:tr w:rsidR="003D2554" w:rsidRPr="00C903F8"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Lunghezza dell'albero</w:t>
            </w:r>
            <w:r>
              <w:rPr>
                <w:rStyle w:val="FootnoteReference"/>
                <w:noProof/>
                <w:sz w:val="18"/>
              </w:rPr>
              <w:footnoteReference w:id="19"/>
            </w:r>
            <w:r>
              <w:rPr>
                <w:noProof/>
                <w:sz w:val="18"/>
              </w:rPr>
              <w:t xml:space="preserve"> [m]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11</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12</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17</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18</w:t>
            </w:r>
          </w:p>
        </w:tc>
      </w:tr>
      <w:tr w:rsidR="003D2554" w:rsidRPr="00C903F8"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610BD">
            <w:pPr>
              <w:pStyle w:val="NormalLeft"/>
              <w:spacing w:before="60" w:after="60" w:line="240" w:lineRule="atLeast"/>
              <w:ind w:left="0" w:firstLine="0"/>
              <w:rPr>
                <w:rFonts w:cs="Arial"/>
                <w:noProof/>
                <w:sz w:val="18"/>
                <w:szCs w:val="18"/>
              </w:rPr>
            </w:pPr>
            <w:r>
              <w:rPr>
                <w:noProof/>
                <w:sz w:val="18"/>
              </w:rPr>
              <w:t>Resistenza alla trazione dello strallo di trinchetto [kN]</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160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172</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185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200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220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244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269</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294</w:t>
            </w:r>
          </w:p>
        </w:tc>
      </w:tr>
      <w:tr w:rsidR="003D2554" w:rsidRPr="00C903F8"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Resistenza alla trazione delle sartie [kN]</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355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415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450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485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525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540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630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720</w:t>
            </w:r>
          </w:p>
        </w:tc>
      </w:tr>
      <w:tr w:rsidR="003D2554" w:rsidRPr="00C903F8"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Numero di cavi e cime delle sartie per lato</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4</w:t>
            </w:r>
          </w:p>
        </w:tc>
      </w:tr>
    </w:tbl>
    <w:p w:rsidR="003D2554" w:rsidRPr="00C903F8" w:rsidRDefault="003D2554" w:rsidP="003D2554">
      <w:pPr>
        <w:pStyle w:val="ESch"/>
        <w:rPr>
          <w:noProof/>
          <w:szCs w:val="20"/>
        </w:rPr>
      </w:pPr>
    </w:p>
    <w:p w:rsidR="003D2554" w:rsidRPr="00C903F8" w:rsidRDefault="003D2554" w:rsidP="003D2554">
      <w:pPr>
        <w:pStyle w:val="ESch"/>
        <w:rPr>
          <w:rFonts w:cs="Arial"/>
          <w:szCs w:val="20"/>
        </w:rPr>
      </w:pPr>
      <w:r>
        <w:t>2.</w:t>
      </w:r>
      <w:r>
        <w:tab/>
        <w:t>I paterazzi, gli alberetti di testa, le sartie volanti, le aste di fiocco e gli stralli di prua soddisfano almeno i seguenti requisiti:</w:t>
      </w:r>
    </w:p>
    <w:p w:rsidR="003D2554" w:rsidRPr="00C903F8" w:rsidRDefault="003D2554" w:rsidP="003D2554">
      <w:pPr>
        <w:pStyle w:val="ESch"/>
        <w:rPr>
          <w:szCs w:val="20"/>
        </w:rPr>
      </w:pPr>
    </w:p>
    <w:tbl>
      <w:tblPr>
        <w:tblW w:w="0" w:type="auto"/>
        <w:jc w:val="center"/>
        <w:tblLayout w:type="fixed"/>
        <w:tblLook w:val="0000" w:firstRow="0" w:lastRow="0" w:firstColumn="0" w:lastColumn="0" w:noHBand="0" w:noVBand="0"/>
      </w:tblPr>
      <w:tblGrid>
        <w:gridCol w:w="4736"/>
        <w:gridCol w:w="737"/>
        <w:gridCol w:w="737"/>
        <w:gridCol w:w="737"/>
      </w:tblGrid>
      <w:tr w:rsidR="003D2554" w:rsidRPr="00C903F8"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Lunghezza dell'albero</w:t>
            </w:r>
            <w:r>
              <w:rPr>
                <w:rStyle w:val="FootnoteReference"/>
                <w:noProof/>
                <w:sz w:val="18"/>
              </w:rPr>
              <w:footnoteReference w:id="20"/>
            </w:r>
            <w:r>
              <w:rPr>
                <w:noProof/>
                <w:sz w:val="18"/>
              </w:rPr>
              <w:t xml:space="preserve"> [m]</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tabs>
                <w:tab w:val="decimal" w:pos="332"/>
              </w:tabs>
              <w:spacing w:before="60" w:after="60" w:line="240" w:lineRule="atLeast"/>
              <w:ind w:left="0" w:firstLine="0"/>
              <w:rPr>
                <w:rFonts w:cs="Arial"/>
                <w:noProof/>
                <w:sz w:val="18"/>
                <w:szCs w:val="18"/>
              </w:rPr>
            </w:pPr>
            <w:r>
              <w:rPr>
                <w:noProof/>
                <w:sz w:val="18"/>
              </w:rPr>
              <w:t>&lt;13</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13-18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tabs>
                <w:tab w:val="decimal" w:pos="332"/>
              </w:tabs>
              <w:spacing w:before="60" w:after="60" w:line="240" w:lineRule="atLeast"/>
              <w:ind w:left="0" w:firstLine="0"/>
              <w:rPr>
                <w:rFonts w:cs="Arial"/>
                <w:noProof/>
                <w:sz w:val="18"/>
                <w:szCs w:val="18"/>
              </w:rPr>
            </w:pPr>
            <w:r>
              <w:rPr>
                <w:noProof/>
                <w:sz w:val="18"/>
              </w:rPr>
              <w:t>&gt;18</w:t>
            </w:r>
          </w:p>
        </w:tc>
      </w:tr>
      <w:tr w:rsidR="003D2554" w:rsidRPr="00C903F8"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Resistenza alla trazione del paterazzo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tabs>
                <w:tab w:val="decimal" w:pos="332"/>
              </w:tabs>
              <w:spacing w:before="60" w:after="60" w:line="240" w:lineRule="atLeast"/>
              <w:ind w:left="0" w:firstLine="0"/>
              <w:rPr>
                <w:rFonts w:cs="Arial"/>
                <w:noProof/>
                <w:sz w:val="18"/>
                <w:szCs w:val="18"/>
              </w:rPr>
            </w:pPr>
            <w:r>
              <w:rPr>
                <w:noProof/>
                <w:sz w:val="18"/>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tabs>
                <w:tab w:val="decimal" w:pos="332"/>
              </w:tabs>
              <w:spacing w:before="60" w:after="60" w:line="240" w:lineRule="atLeast"/>
              <w:ind w:left="0" w:firstLine="0"/>
              <w:rPr>
                <w:rFonts w:cs="Arial"/>
                <w:noProof/>
                <w:sz w:val="18"/>
                <w:szCs w:val="18"/>
              </w:rPr>
            </w:pPr>
            <w:r>
              <w:rPr>
                <w:noProof/>
                <w:sz w:val="18"/>
              </w:rPr>
              <w:t>119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tabs>
                <w:tab w:val="decimal" w:pos="332"/>
              </w:tabs>
              <w:spacing w:before="60" w:after="60" w:line="240" w:lineRule="atLeast"/>
              <w:ind w:left="0" w:firstLine="0"/>
              <w:rPr>
                <w:rFonts w:cs="Arial"/>
                <w:noProof/>
                <w:sz w:val="18"/>
                <w:szCs w:val="18"/>
              </w:rPr>
            </w:pPr>
            <w:r>
              <w:rPr>
                <w:noProof/>
                <w:sz w:val="18"/>
              </w:rPr>
              <w:t>159</w:t>
            </w:r>
          </w:p>
        </w:tc>
      </w:tr>
      <w:tr w:rsidR="003D2554" w:rsidRPr="00C903F8"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Resistenza alla trazione dell'alberetto di testa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tabs>
                <w:tab w:val="decimal" w:pos="332"/>
              </w:tabs>
              <w:spacing w:before="60" w:after="60" w:line="240" w:lineRule="atLeast"/>
              <w:ind w:left="0" w:firstLine="0"/>
              <w:rPr>
                <w:rFonts w:cs="Arial"/>
                <w:noProof/>
                <w:sz w:val="18"/>
                <w:szCs w:val="18"/>
              </w:rPr>
            </w:pPr>
            <w:r>
              <w:rPr>
                <w:noProof/>
                <w:sz w:val="18"/>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tabs>
                <w:tab w:val="decimal" w:pos="332"/>
              </w:tabs>
              <w:spacing w:before="60" w:after="60" w:line="240" w:lineRule="atLeast"/>
              <w:ind w:left="0" w:firstLine="0"/>
              <w:rPr>
                <w:rFonts w:cs="Arial"/>
                <w:noProof/>
                <w:sz w:val="18"/>
                <w:szCs w:val="18"/>
              </w:rPr>
            </w:pPr>
            <w:r>
              <w:rPr>
                <w:noProof/>
                <w:sz w:val="18"/>
              </w:rPr>
              <w:t>119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tabs>
                <w:tab w:val="decimal" w:pos="332"/>
              </w:tabs>
              <w:spacing w:before="60" w:after="60" w:line="240" w:lineRule="atLeast"/>
              <w:ind w:left="0" w:firstLine="0"/>
              <w:rPr>
                <w:rFonts w:cs="Arial"/>
                <w:noProof/>
                <w:sz w:val="18"/>
                <w:szCs w:val="18"/>
              </w:rPr>
            </w:pPr>
            <w:r>
              <w:rPr>
                <w:noProof/>
                <w:sz w:val="18"/>
              </w:rPr>
              <w:t>159</w:t>
            </w:r>
          </w:p>
        </w:tc>
      </w:tr>
      <w:tr w:rsidR="003D2554" w:rsidRPr="00C903F8"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Lunghezza dell'alberetto [m]</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tabs>
                <w:tab w:val="decimal" w:pos="332"/>
              </w:tabs>
              <w:spacing w:before="60" w:after="60" w:line="240" w:lineRule="atLeast"/>
              <w:ind w:left="0" w:firstLine="0"/>
              <w:rPr>
                <w:rFonts w:cs="Arial"/>
                <w:noProof/>
                <w:sz w:val="18"/>
                <w:szCs w:val="18"/>
              </w:rPr>
            </w:pPr>
            <w:r>
              <w:rPr>
                <w:noProof/>
                <w:sz w:val="18"/>
              </w:rPr>
              <w:t>&lt;6</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6-8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tabs>
                <w:tab w:val="decimal" w:pos="332"/>
              </w:tabs>
              <w:spacing w:before="60" w:after="60" w:line="240" w:lineRule="atLeast"/>
              <w:ind w:left="0" w:firstLine="0"/>
              <w:rPr>
                <w:rFonts w:cs="Arial"/>
                <w:noProof/>
                <w:sz w:val="18"/>
                <w:szCs w:val="18"/>
              </w:rPr>
            </w:pPr>
            <w:r>
              <w:rPr>
                <w:noProof/>
                <w:sz w:val="18"/>
              </w:rPr>
              <w:t>&gt;8</w:t>
            </w:r>
          </w:p>
        </w:tc>
      </w:tr>
      <w:tr w:rsidR="003D2554" w:rsidRPr="00C903F8"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610BD">
            <w:pPr>
              <w:pStyle w:val="NormalLeft"/>
              <w:spacing w:before="60" w:after="60" w:line="240" w:lineRule="atLeast"/>
              <w:ind w:left="0" w:firstLine="0"/>
              <w:rPr>
                <w:rFonts w:cs="Arial"/>
                <w:noProof/>
                <w:sz w:val="18"/>
                <w:szCs w:val="18"/>
              </w:rPr>
            </w:pPr>
            <w:r>
              <w:rPr>
                <w:noProof/>
                <w:sz w:val="18"/>
              </w:rPr>
              <w:t>Resistenza alla trazione della sartia volante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tabs>
                <w:tab w:val="decimal" w:pos="332"/>
              </w:tabs>
              <w:spacing w:before="60" w:after="60" w:line="240" w:lineRule="atLeast"/>
              <w:ind w:left="0" w:firstLine="0"/>
              <w:rPr>
                <w:rFonts w:cs="Arial"/>
                <w:noProof/>
                <w:sz w:val="18"/>
                <w:szCs w:val="18"/>
              </w:rPr>
            </w:pPr>
            <w:r>
              <w:rPr>
                <w:noProof/>
                <w:sz w:val="18"/>
              </w:rPr>
              <w:t>58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tabs>
                <w:tab w:val="decimal" w:pos="332"/>
              </w:tabs>
              <w:spacing w:before="60" w:after="60" w:line="240" w:lineRule="atLeast"/>
              <w:ind w:left="0" w:firstLine="0"/>
              <w:rPr>
                <w:rFonts w:cs="Arial"/>
                <w:noProof/>
                <w:sz w:val="18"/>
                <w:szCs w:val="18"/>
              </w:rPr>
            </w:pPr>
            <w:r>
              <w:rPr>
                <w:noProof/>
                <w:sz w:val="18"/>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tabs>
                <w:tab w:val="decimal" w:pos="332"/>
              </w:tabs>
              <w:spacing w:before="60" w:after="60" w:line="240" w:lineRule="atLeast"/>
              <w:ind w:left="0" w:firstLine="0"/>
              <w:rPr>
                <w:rFonts w:cs="Arial"/>
                <w:noProof/>
                <w:sz w:val="18"/>
                <w:szCs w:val="18"/>
              </w:rPr>
            </w:pPr>
            <w:r>
              <w:rPr>
                <w:noProof/>
                <w:sz w:val="18"/>
              </w:rPr>
              <w:t>119</w:t>
            </w:r>
          </w:p>
        </w:tc>
      </w:tr>
      <w:tr w:rsidR="003D2554" w:rsidRPr="00C903F8"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Lunghezza dell'asta di fiocco [m]</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tabs>
                <w:tab w:val="decimal" w:pos="332"/>
              </w:tabs>
              <w:spacing w:before="60" w:after="60" w:line="240" w:lineRule="atLeast"/>
              <w:ind w:left="0" w:firstLine="0"/>
              <w:rPr>
                <w:rFonts w:cs="Arial"/>
                <w:noProof/>
                <w:sz w:val="18"/>
                <w:szCs w:val="18"/>
              </w:rPr>
            </w:pPr>
            <w:r>
              <w:rPr>
                <w:noProof/>
                <w:sz w:val="18"/>
              </w:rPr>
              <w:t>&lt;5</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5-7</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tabs>
                <w:tab w:val="decimal" w:pos="332"/>
              </w:tabs>
              <w:spacing w:before="60" w:after="60" w:line="240" w:lineRule="atLeast"/>
              <w:ind w:left="0" w:firstLine="0"/>
              <w:rPr>
                <w:rFonts w:cs="Arial"/>
                <w:noProof/>
                <w:sz w:val="18"/>
                <w:szCs w:val="18"/>
              </w:rPr>
            </w:pPr>
            <w:r>
              <w:rPr>
                <w:noProof/>
                <w:sz w:val="18"/>
              </w:rPr>
              <w:t>&gt;7</w:t>
            </w:r>
          </w:p>
        </w:tc>
      </w:tr>
      <w:tr w:rsidR="003D2554" w:rsidRPr="00C903F8"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610BD">
            <w:pPr>
              <w:pStyle w:val="NormalLeft"/>
              <w:spacing w:before="60" w:after="60" w:line="240" w:lineRule="atLeast"/>
              <w:ind w:left="0" w:firstLine="0"/>
              <w:rPr>
                <w:rFonts w:cs="Arial"/>
                <w:noProof/>
                <w:sz w:val="18"/>
                <w:szCs w:val="18"/>
              </w:rPr>
            </w:pPr>
            <w:r>
              <w:rPr>
                <w:noProof/>
                <w:sz w:val="18"/>
              </w:rPr>
              <w:t>Resistenza alla trazione dello strallo di prua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tabs>
                <w:tab w:val="decimal" w:pos="332"/>
              </w:tabs>
              <w:spacing w:before="60" w:after="60" w:line="240" w:lineRule="atLeast"/>
              <w:ind w:left="0" w:firstLine="0"/>
              <w:rPr>
                <w:rFonts w:cs="Arial"/>
                <w:noProof/>
                <w:sz w:val="18"/>
                <w:szCs w:val="18"/>
              </w:rPr>
            </w:pPr>
            <w:r>
              <w:rPr>
                <w:noProof/>
                <w:sz w:val="18"/>
              </w:rPr>
              <w:t>58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tabs>
                <w:tab w:val="decimal" w:pos="332"/>
              </w:tabs>
              <w:spacing w:before="60" w:after="60" w:line="240" w:lineRule="atLeast"/>
              <w:ind w:left="0" w:firstLine="0"/>
              <w:rPr>
                <w:rFonts w:cs="Arial"/>
                <w:noProof/>
                <w:sz w:val="18"/>
                <w:szCs w:val="18"/>
              </w:rPr>
            </w:pPr>
            <w:r>
              <w:rPr>
                <w:noProof/>
                <w:sz w:val="18"/>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tabs>
                <w:tab w:val="decimal" w:pos="332"/>
              </w:tabs>
              <w:spacing w:before="60" w:after="60" w:line="240" w:lineRule="atLeast"/>
              <w:ind w:left="0" w:firstLine="0"/>
              <w:rPr>
                <w:rFonts w:cs="Arial"/>
                <w:noProof/>
                <w:sz w:val="18"/>
                <w:szCs w:val="18"/>
              </w:rPr>
            </w:pPr>
            <w:r>
              <w:rPr>
                <w:noProof/>
                <w:sz w:val="18"/>
              </w:rPr>
              <w:t>119</w:t>
            </w:r>
          </w:p>
        </w:tc>
      </w:tr>
    </w:tbl>
    <w:p w:rsidR="003D2554" w:rsidRPr="00C903F8" w:rsidRDefault="003D2554" w:rsidP="003D2554">
      <w:pPr>
        <w:pStyle w:val="ESch"/>
        <w:rPr>
          <w:noProof/>
          <w:szCs w:val="20"/>
        </w:rPr>
      </w:pPr>
    </w:p>
    <w:p w:rsidR="00A90B64" w:rsidRPr="00C903F8" w:rsidRDefault="00A90B64" w:rsidP="003D2554">
      <w:pPr>
        <w:pStyle w:val="ESch"/>
        <w:rPr>
          <w:noProof/>
          <w:szCs w:val="20"/>
        </w:rPr>
      </w:pPr>
      <w:r>
        <w:br w:type="page"/>
      </w:r>
    </w:p>
    <w:p w:rsidR="003D2554" w:rsidRPr="00C903F8" w:rsidRDefault="003D2554" w:rsidP="003D2554">
      <w:pPr>
        <w:pStyle w:val="ESch"/>
        <w:rPr>
          <w:rFonts w:cs="Arial"/>
          <w:szCs w:val="20"/>
        </w:rPr>
      </w:pPr>
      <w:r>
        <w:lastRenderedPageBreak/>
        <w:t>3.</w:t>
      </w:r>
      <w:r>
        <w:tab/>
        <w:t>Le cime sono fabbricate preferibilmente secondo l'avvolgimento 6 x 7 FE con una resistenza pari a 1550 N/mm</w:t>
      </w:r>
      <w:r>
        <w:rPr>
          <w:noProof/>
          <w:vertAlign w:val="superscript"/>
        </w:rPr>
        <w:t>2</w:t>
      </w:r>
      <w:r>
        <w:t>. In alternativa, a parità di resistenza, può essere usato il tipo di lavorazione 6 x 36 SE o 6 x 19 FE. Considerata la maggiore elasticità del tipo di lavorazione 6 x 19, si applica un supplemento del 10 % alle resistenze alla trazione riportate nella tabella. Altri tipi di lavorazione sono ammessi purché presentino caratteristiche analoghe.</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4.</w:t>
      </w:r>
      <w:r>
        <w:tab/>
        <w:t>In caso di attrezzatura rigida, si applica un supplemento del 30 % alla resistenza alla trazione riportata nella tabella.</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5.</w:t>
      </w:r>
      <w:r>
        <w:tab/>
        <w:t>Per l'attrezzatura si possono utilizzare soltanto forcelle, terminali circolari e perni di tipo approvato.</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6.</w:t>
      </w:r>
      <w:r>
        <w:tab/>
        <w:t>I perni, le forcelle, i terminali circolari e gli arridatoi possono essere fissati in modo adeguato.</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7.</w:t>
      </w:r>
      <w:r>
        <w:tab/>
        <w:t>La resistenza alla trazione della briglia di bompresso equivale perlomeno a 1,2 volte la resistenza alla trazione dello strallo di fiocco e dello strallo volante corrispondenti.</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8.</w:t>
      </w:r>
      <w:r>
        <w:tab/>
        <w:t>In caso di navi aventi un volume di immersione inferiore ai 30 m</w:t>
      </w:r>
      <w:r>
        <w:rPr>
          <w:noProof/>
          <w:vertAlign w:val="superscript"/>
        </w:rPr>
        <w:t>3</w:t>
      </w:r>
      <w:r>
        <w:t>, la commissione di ispezione può autorizzare una riduzione delle resistenze alla trazione secondo la seguente tabella:</w:t>
      </w:r>
    </w:p>
    <w:p w:rsidR="003D2554" w:rsidRPr="00C903F8" w:rsidRDefault="003D2554" w:rsidP="003D2554">
      <w:pPr>
        <w:pStyle w:val="ESch"/>
        <w:rPr>
          <w:rFonts w:cs="Arial"/>
          <w:szCs w:val="20"/>
        </w:rPr>
      </w:pPr>
    </w:p>
    <w:tbl>
      <w:tblPr>
        <w:tblW w:w="0" w:type="auto"/>
        <w:jc w:val="center"/>
        <w:tblLayout w:type="fixed"/>
        <w:tblLook w:val="0000" w:firstRow="0" w:lastRow="0" w:firstColumn="0" w:lastColumn="0" w:noHBand="0" w:noVBand="0"/>
      </w:tblPr>
      <w:tblGrid>
        <w:gridCol w:w="5863"/>
        <w:gridCol w:w="1752"/>
      </w:tblGrid>
      <w:tr w:rsidR="003D2554" w:rsidRPr="00C903F8"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Centered"/>
              <w:spacing w:before="60" w:after="60" w:line="240" w:lineRule="atLeast"/>
              <w:ind w:left="0" w:firstLine="0"/>
              <w:rPr>
                <w:rFonts w:cs="Arial"/>
                <w:noProof/>
                <w:sz w:val="18"/>
                <w:szCs w:val="18"/>
              </w:rPr>
            </w:pPr>
            <w:r>
              <w:rPr>
                <w:noProof/>
                <w:sz w:val="18"/>
              </w:rPr>
              <w:t xml:space="preserve">Volume di immersione diviso per numero di alberi </w:t>
            </w:r>
            <w:r>
              <w:rPr>
                <w:noProof/>
                <w:color w:val="000000"/>
                <w:sz w:val="18"/>
              </w:rPr>
              <w:t>[m</w:t>
            </w:r>
            <w:r>
              <w:rPr>
                <w:noProof/>
                <w:color w:val="000000"/>
                <w:sz w:val="18"/>
                <w:vertAlign w:val="superscript"/>
              </w:rPr>
              <w:t>3</w:t>
            </w:r>
            <w:r>
              <w:rPr>
                <w:noProof/>
                <w:color w:val="000000"/>
                <w:sz w:val="18"/>
              </w:rPr>
              <w:t>]</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C903F8" w:rsidRDefault="00790FAC" w:rsidP="00790FAC">
            <w:pPr>
              <w:pStyle w:val="NormalCentered"/>
              <w:spacing w:before="60" w:after="60" w:line="240" w:lineRule="atLeast"/>
              <w:ind w:left="0" w:firstLine="0"/>
              <w:rPr>
                <w:rFonts w:cs="Arial"/>
                <w:noProof/>
                <w:sz w:val="18"/>
                <w:szCs w:val="18"/>
              </w:rPr>
            </w:pPr>
            <w:r>
              <w:rPr>
                <w:noProof/>
                <w:sz w:val="18"/>
              </w:rPr>
              <w:t>Riduzione [%]</w:t>
            </w:r>
          </w:p>
        </w:tc>
      </w:tr>
      <w:tr w:rsidR="003D2554" w:rsidRPr="00C903F8"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60" w:after="60" w:line="240" w:lineRule="atLeast"/>
              <w:ind w:left="0" w:firstLine="0"/>
              <w:jc w:val="center"/>
              <w:rPr>
                <w:rFonts w:cs="Arial"/>
                <w:noProof/>
                <w:sz w:val="18"/>
                <w:szCs w:val="18"/>
              </w:rPr>
            </w:pPr>
            <w:r>
              <w:rPr>
                <w:noProof/>
                <w:sz w:val="18"/>
              </w:rPr>
              <w:t>&gt; 20-30</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790FAC">
            <w:pPr>
              <w:pStyle w:val="NormalLeft"/>
              <w:spacing w:before="60" w:after="60" w:line="240" w:lineRule="atLeast"/>
              <w:ind w:left="0" w:firstLine="0"/>
              <w:jc w:val="center"/>
              <w:rPr>
                <w:rFonts w:cs="Arial"/>
                <w:noProof/>
                <w:sz w:val="18"/>
                <w:szCs w:val="18"/>
              </w:rPr>
            </w:pPr>
            <w:r>
              <w:rPr>
                <w:noProof/>
                <w:sz w:val="18"/>
              </w:rPr>
              <w:t>20</w:t>
            </w:r>
          </w:p>
        </w:tc>
      </w:tr>
      <w:tr w:rsidR="003D2554" w:rsidRPr="00C903F8"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60" w:after="60" w:line="240" w:lineRule="atLeast"/>
              <w:ind w:left="0" w:firstLine="0"/>
              <w:jc w:val="center"/>
              <w:rPr>
                <w:rFonts w:cs="Arial"/>
                <w:noProof/>
                <w:sz w:val="18"/>
                <w:szCs w:val="18"/>
              </w:rPr>
            </w:pPr>
            <w:r>
              <w:rPr>
                <w:noProof/>
                <w:sz w:val="18"/>
              </w:rPr>
              <w:t>10-20</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790FAC">
            <w:pPr>
              <w:pStyle w:val="NormalLeft"/>
              <w:spacing w:before="60" w:after="60" w:line="240" w:lineRule="atLeast"/>
              <w:ind w:left="0" w:firstLine="0"/>
              <w:jc w:val="center"/>
              <w:rPr>
                <w:rFonts w:cs="Arial"/>
                <w:noProof/>
                <w:sz w:val="18"/>
                <w:szCs w:val="18"/>
              </w:rPr>
            </w:pPr>
            <w:r>
              <w:rPr>
                <w:noProof/>
                <w:sz w:val="18"/>
              </w:rPr>
              <w:t>35</w:t>
            </w:r>
          </w:p>
        </w:tc>
      </w:tr>
      <w:tr w:rsidR="003D2554" w:rsidRPr="00C903F8"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60" w:after="60" w:line="240" w:lineRule="atLeast"/>
              <w:ind w:left="0" w:firstLine="0"/>
              <w:jc w:val="center"/>
              <w:rPr>
                <w:rFonts w:cs="Arial"/>
                <w:noProof/>
                <w:sz w:val="18"/>
                <w:szCs w:val="18"/>
              </w:rPr>
            </w:pPr>
            <w:r>
              <w:rPr>
                <w:noProof/>
                <w:sz w:val="18"/>
              </w:rPr>
              <w:t>&lt; 10</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790FAC">
            <w:pPr>
              <w:pStyle w:val="NormalLeft"/>
              <w:spacing w:before="60" w:after="60" w:line="240" w:lineRule="atLeast"/>
              <w:ind w:left="0" w:firstLine="0"/>
              <w:jc w:val="center"/>
              <w:rPr>
                <w:rFonts w:cs="Arial"/>
                <w:noProof/>
                <w:sz w:val="18"/>
                <w:szCs w:val="18"/>
              </w:rPr>
            </w:pPr>
            <w:r>
              <w:rPr>
                <w:noProof/>
                <w:sz w:val="18"/>
              </w:rPr>
              <w:t>60</w:t>
            </w:r>
          </w:p>
        </w:tc>
      </w:tr>
    </w:tbl>
    <w:p w:rsidR="003D2554" w:rsidRPr="00C903F8" w:rsidRDefault="003D2554" w:rsidP="003D2554">
      <w:pPr>
        <w:pStyle w:val="ESch"/>
        <w:rPr>
          <w:rFonts w:cs="Arial"/>
          <w:szCs w:val="20"/>
        </w:rPr>
      </w:pPr>
    </w:p>
    <w:p w:rsidR="003D2554" w:rsidRPr="00C903F8" w:rsidRDefault="003D2554" w:rsidP="003D2554">
      <w:pPr>
        <w:pStyle w:val="ESch"/>
        <w:rPr>
          <w:rFonts w:cs="Arial"/>
          <w:szCs w:val="20"/>
        </w:rPr>
      </w:pPr>
    </w:p>
    <w:p w:rsidR="003D2554" w:rsidRPr="00C903F8" w:rsidRDefault="003D2554" w:rsidP="003D2554">
      <w:pPr>
        <w:pStyle w:val="ES-Titre3"/>
        <w:rPr>
          <w:rFonts w:cs="Arial"/>
          <w:i/>
        </w:rPr>
      </w:pPr>
      <w:bookmarkStart w:id="406" w:name="_Toc491854200"/>
      <w:bookmarkStart w:id="407" w:name="_Toc535500149"/>
      <w:r>
        <w:t>Articolo 20.15</w:t>
      </w:r>
      <w:r>
        <w:br/>
      </w:r>
      <w:r>
        <w:rPr>
          <w:i/>
          <w:noProof/>
        </w:rPr>
        <w:t>Disposizioni particolari per le manovre correnti</w:t>
      </w:r>
      <w:bookmarkEnd w:id="406"/>
      <w:bookmarkEnd w:id="407"/>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1.</w:t>
      </w:r>
      <w:r>
        <w:tab/>
        <w:t>Per le manovre correnti sono usati cavi in fibra o cavi di acciaio. La resistenza minima alla trazione e il diametro delle manovre correnti, rispetto alla superficie velica, soddisfano almeno i seguenti requisiti:</w:t>
      </w:r>
    </w:p>
    <w:p w:rsidR="003D2554" w:rsidRPr="00C903F8" w:rsidRDefault="003D2554" w:rsidP="003D2554">
      <w:pPr>
        <w:pStyle w:val="ESch"/>
        <w:rPr>
          <w:noProof/>
          <w:szCs w:val="20"/>
        </w:rPr>
      </w:pPr>
    </w:p>
    <w:tbl>
      <w:tblPr>
        <w:tblW w:w="0" w:type="auto"/>
        <w:jc w:val="center"/>
        <w:tblLayout w:type="fixed"/>
        <w:tblLook w:val="0000" w:firstRow="0" w:lastRow="0" w:firstColumn="0" w:lastColumn="0" w:noHBand="0" w:noVBand="0"/>
      </w:tblPr>
      <w:tblGrid>
        <w:gridCol w:w="2229"/>
        <w:gridCol w:w="1393"/>
        <w:gridCol w:w="1578"/>
        <w:gridCol w:w="2136"/>
        <w:gridCol w:w="1950"/>
      </w:tblGrid>
      <w:tr w:rsidR="003D2554" w:rsidRPr="00C903F8" w:rsidTr="00A90B64">
        <w:trPr>
          <w:cantSplit/>
          <w:tblHeader/>
          <w:jc w:val="center"/>
        </w:trPr>
        <w:tc>
          <w:tcPr>
            <w:tcW w:w="2229"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Centered"/>
              <w:spacing w:before="60" w:after="60" w:line="240" w:lineRule="atLeast"/>
              <w:ind w:left="0" w:firstLine="0"/>
              <w:rPr>
                <w:rFonts w:cs="Arial"/>
                <w:noProof/>
                <w:sz w:val="18"/>
                <w:szCs w:val="18"/>
              </w:rPr>
            </w:pPr>
            <w:r>
              <w:rPr>
                <w:noProof/>
                <w:sz w:val="18"/>
              </w:rPr>
              <w:t>Tipo di manovra corrente</w:t>
            </w: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Centered"/>
              <w:spacing w:before="60" w:after="60" w:line="240" w:lineRule="atLeast"/>
              <w:ind w:left="0" w:firstLine="0"/>
              <w:rPr>
                <w:rFonts w:cs="Arial"/>
                <w:noProof/>
                <w:sz w:val="18"/>
                <w:szCs w:val="18"/>
              </w:rPr>
            </w:pPr>
            <w:r>
              <w:rPr>
                <w:noProof/>
                <w:sz w:val="18"/>
              </w:rPr>
              <w:t>Materiale del cavo</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Centered"/>
              <w:spacing w:before="60" w:after="60" w:line="240" w:lineRule="atLeast"/>
              <w:ind w:left="0" w:firstLine="0"/>
              <w:rPr>
                <w:rFonts w:cs="Arial"/>
                <w:noProof/>
                <w:sz w:val="18"/>
                <w:szCs w:val="18"/>
              </w:rPr>
            </w:pPr>
            <w:r>
              <w:rPr>
                <w:noProof/>
                <w:sz w:val="18"/>
              </w:rPr>
              <w:t xml:space="preserve">Superficie velica </w:t>
            </w:r>
            <w:r>
              <w:rPr>
                <w:noProof/>
                <w:color w:val="000000"/>
                <w:sz w:val="18"/>
              </w:rPr>
              <w:t>[m</w:t>
            </w:r>
            <w:r>
              <w:rPr>
                <w:noProof/>
                <w:color w:val="000000"/>
                <w:sz w:val="18"/>
                <w:vertAlign w:val="superscript"/>
              </w:rPr>
              <w:t>2</w:t>
            </w:r>
            <w:r>
              <w:rPr>
                <w:noProof/>
                <w:color w:val="000000"/>
                <w:sz w:val="18"/>
              </w:rPr>
              <w:t>]</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610BD">
            <w:pPr>
              <w:pStyle w:val="NormalCentered"/>
              <w:spacing w:before="60" w:after="60" w:line="240" w:lineRule="atLeast"/>
              <w:ind w:left="0" w:firstLine="0"/>
              <w:rPr>
                <w:rFonts w:cs="Arial"/>
                <w:noProof/>
                <w:sz w:val="18"/>
                <w:szCs w:val="18"/>
              </w:rPr>
            </w:pPr>
            <w:r>
              <w:rPr>
                <w:noProof/>
                <w:sz w:val="18"/>
              </w:rPr>
              <w:t>Resistenza minima alla trazione [kN]</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Centered"/>
              <w:spacing w:before="60" w:after="60" w:line="240" w:lineRule="atLeast"/>
              <w:ind w:left="0" w:firstLine="0"/>
              <w:rPr>
                <w:rFonts w:cs="Arial"/>
                <w:noProof/>
                <w:sz w:val="18"/>
                <w:szCs w:val="18"/>
              </w:rPr>
            </w:pPr>
            <w:r>
              <w:rPr>
                <w:noProof/>
                <w:sz w:val="18"/>
              </w:rPr>
              <w:t>Diametro del cavo [mm]</w:t>
            </w:r>
          </w:p>
        </w:tc>
      </w:tr>
      <w:tr w:rsidR="003D2554" w:rsidRPr="00C903F8"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60" w:line="240" w:lineRule="atLeast"/>
              <w:ind w:left="0" w:firstLine="0"/>
              <w:rPr>
                <w:rFonts w:cs="Arial"/>
                <w:noProof/>
                <w:sz w:val="18"/>
                <w:szCs w:val="18"/>
              </w:rPr>
            </w:pPr>
            <w:r>
              <w:rPr>
                <w:noProof/>
                <w:sz w:val="18"/>
              </w:rPr>
              <w:t>Drizze prodiere</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60" w:line="240" w:lineRule="atLeast"/>
              <w:ind w:left="0" w:firstLine="0"/>
              <w:rPr>
                <w:rFonts w:cs="Arial"/>
                <w:noProof/>
                <w:sz w:val="18"/>
                <w:szCs w:val="18"/>
              </w:rPr>
            </w:pPr>
            <w:r>
              <w:rPr>
                <w:noProof/>
                <w:sz w:val="18"/>
              </w:rPr>
              <w:t>Filo di acciaio</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60" w:line="240" w:lineRule="atLeast"/>
              <w:ind w:left="0" w:firstLine="0"/>
              <w:jc w:val="center"/>
              <w:rPr>
                <w:rFonts w:cs="Arial"/>
                <w:noProof/>
                <w:sz w:val="18"/>
                <w:szCs w:val="18"/>
              </w:rPr>
            </w:pPr>
            <w:r>
              <w:rPr>
                <w:noProof/>
                <w:sz w:val="18"/>
              </w:rPr>
              <w:t>fino a 35</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60" w:line="240" w:lineRule="atLeast"/>
              <w:ind w:left="0" w:firstLine="0"/>
              <w:jc w:val="center"/>
              <w:rPr>
                <w:rFonts w:cs="Arial"/>
                <w:noProof/>
                <w:sz w:val="18"/>
                <w:szCs w:val="18"/>
              </w:rPr>
            </w:pPr>
            <w:r>
              <w:rPr>
                <w:noProof/>
                <w:sz w:val="18"/>
              </w:rPr>
              <w:t>20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60" w:line="240" w:lineRule="atLeast"/>
              <w:ind w:left="0" w:firstLine="0"/>
              <w:jc w:val="center"/>
              <w:rPr>
                <w:rFonts w:cs="Arial"/>
                <w:noProof/>
                <w:sz w:val="18"/>
                <w:szCs w:val="18"/>
              </w:rPr>
            </w:pPr>
            <w:r>
              <w:rPr>
                <w:noProof/>
                <w:sz w:val="18"/>
              </w:rPr>
              <w:t>6</w:t>
            </w:r>
          </w:p>
        </w:tc>
      </w:tr>
      <w:tr w:rsidR="003D2554" w:rsidRPr="00C903F8"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adjustRightInd w:val="0"/>
              <w:spacing w:before="160" w:after="160" w:line="240" w:lineRule="atLeast"/>
              <w:ind w:left="0" w:firstLine="0"/>
              <w:jc w:val="lef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adjustRightInd w:val="0"/>
              <w:spacing w:before="160" w:after="160" w:line="240" w:lineRule="atLeast"/>
              <w:ind w:left="0" w:firstLine="0"/>
              <w:jc w:val="lef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60" w:line="240" w:lineRule="atLeast"/>
              <w:ind w:left="0" w:firstLine="0"/>
              <w:jc w:val="center"/>
              <w:rPr>
                <w:rFonts w:cs="Arial"/>
                <w:noProof/>
                <w:sz w:val="18"/>
                <w:szCs w:val="18"/>
              </w:rPr>
            </w:pPr>
            <w:r>
              <w:rPr>
                <w:noProof/>
                <w:sz w:val="18"/>
              </w:rPr>
              <w:t>&gt; 35</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60" w:line="240" w:lineRule="atLeast"/>
              <w:ind w:left="0" w:firstLine="0"/>
              <w:jc w:val="center"/>
              <w:rPr>
                <w:rFonts w:cs="Arial"/>
                <w:noProof/>
                <w:sz w:val="18"/>
                <w:szCs w:val="18"/>
              </w:rPr>
            </w:pPr>
            <w:r>
              <w:rPr>
                <w:noProof/>
                <w:sz w:val="18"/>
              </w:rPr>
              <w:t>38</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60" w:line="240" w:lineRule="atLeast"/>
              <w:ind w:left="0" w:firstLine="0"/>
              <w:jc w:val="center"/>
              <w:rPr>
                <w:rFonts w:cs="Arial"/>
                <w:noProof/>
                <w:sz w:val="18"/>
                <w:szCs w:val="18"/>
              </w:rPr>
            </w:pPr>
            <w:r>
              <w:rPr>
                <w:noProof/>
                <w:sz w:val="18"/>
              </w:rPr>
              <w:t>8</w:t>
            </w:r>
          </w:p>
        </w:tc>
      </w:tr>
      <w:tr w:rsidR="003D2554" w:rsidRPr="00A0619C"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adjustRightInd w:val="0"/>
              <w:spacing w:before="160" w:after="160" w:line="240" w:lineRule="atLeast"/>
              <w:ind w:left="0" w:firstLine="0"/>
              <w:jc w:val="left"/>
              <w:rPr>
                <w:rFonts w:cs="Arial"/>
                <w:noProof/>
                <w:sz w:val="18"/>
                <w:szCs w:val="18"/>
              </w:rPr>
            </w:pP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60" w:line="240" w:lineRule="atLeast"/>
              <w:ind w:left="0" w:firstLine="0"/>
              <w:rPr>
                <w:rFonts w:cs="Arial"/>
                <w:noProof/>
                <w:sz w:val="18"/>
                <w:szCs w:val="18"/>
              </w:rPr>
            </w:pPr>
            <w:r>
              <w:rPr>
                <w:noProof/>
                <w:sz w:val="18"/>
              </w:rPr>
              <w:t>Fibra (polipropilene -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60" w:line="240" w:lineRule="atLeast"/>
              <w:ind w:left="0" w:firstLine="0"/>
              <w:jc w:val="both"/>
              <w:rPr>
                <w:rFonts w:cs="Arial"/>
                <w:noProof/>
                <w:sz w:val="18"/>
                <w:szCs w:val="18"/>
              </w:rPr>
            </w:pPr>
            <w:r>
              <w:rPr>
                <w:noProof/>
                <w:sz w:val="18"/>
              </w:rPr>
              <w:t>Diametro del cavo di almeno 14 mm e una puleggia ogni 25 m</w:t>
            </w:r>
            <w:r>
              <w:rPr>
                <w:noProof/>
                <w:sz w:val="18"/>
                <w:vertAlign w:val="superscript"/>
              </w:rPr>
              <w:t>2</w:t>
            </w:r>
            <w:r>
              <w:rPr>
                <w:noProof/>
                <w:sz w:val="18"/>
              </w:rPr>
              <w:t xml:space="preserve"> o parte rimanente</w:t>
            </w:r>
          </w:p>
        </w:tc>
      </w:tr>
      <w:tr w:rsidR="003D2554" w:rsidRPr="00C903F8"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40" w:line="240" w:lineRule="atLeast"/>
              <w:ind w:left="0" w:firstLine="0"/>
              <w:rPr>
                <w:rFonts w:cs="Arial"/>
                <w:noProof/>
                <w:sz w:val="18"/>
                <w:szCs w:val="18"/>
              </w:rPr>
            </w:pPr>
            <w:r>
              <w:rPr>
                <w:noProof/>
                <w:sz w:val="18"/>
              </w:rPr>
              <w:t>Drizze di randa</w:t>
            </w:r>
            <w:r>
              <w:rPr>
                <w:rFonts w:cs="Arial"/>
                <w:noProof/>
                <w:sz w:val="18"/>
                <w:szCs w:val="18"/>
              </w:rPr>
              <w:br/>
            </w:r>
            <w:r>
              <w:rPr>
                <w:noProof/>
                <w:sz w:val="18"/>
              </w:rPr>
              <w:t>Drizze poppiere</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40" w:line="240" w:lineRule="atLeast"/>
              <w:ind w:left="0" w:firstLine="0"/>
              <w:rPr>
                <w:rFonts w:cs="Arial"/>
                <w:noProof/>
                <w:sz w:val="18"/>
                <w:szCs w:val="18"/>
              </w:rPr>
            </w:pPr>
            <w:r>
              <w:rPr>
                <w:noProof/>
                <w:sz w:val="18"/>
              </w:rPr>
              <w:t>Filo di acciaio</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40" w:line="240" w:lineRule="atLeast"/>
              <w:ind w:left="0" w:firstLine="0"/>
              <w:jc w:val="center"/>
              <w:rPr>
                <w:rFonts w:cs="Arial"/>
                <w:noProof/>
                <w:sz w:val="18"/>
                <w:szCs w:val="18"/>
              </w:rPr>
            </w:pPr>
            <w:r>
              <w:rPr>
                <w:noProof/>
                <w:sz w:val="18"/>
              </w:rPr>
              <w:t>fino a 50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40" w:line="240" w:lineRule="atLeast"/>
              <w:ind w:left="0" w:firstLine="0"/>
              <w:jc w:val="center"/>
              <w:rPr>
                <w:rFonts w:cs="Arial"/>
                <w:noProof/>
                <w:sz w:val="18"/>
                <w:szCs w:val="18"/>
              </w:rPr>
            </w:pPr>
            <w:r>
              <w:rPr>
                <w:noProof/>
                <w:sz w:val="18"/>
              </w:rPr>
              <w:t>20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40" w:line="240" w:lineRule="atLeast"/>
              <w:ind w:left="0" w:firstLine="0"/>
              <w:jc w:val="center"/>
              <w:rPr>
                <w:rFonts w:cs="Arial"/>
                <w:noProof/>
                <w:sz w:val="18"/>
                <w:szCs w:val="18"/>
              </w:rPr>
            </w:pPr>
            <w:r>
              <w:rPr>
                <w:noProof/>
                <w:sz w:val="18"/>
              </w:rPr>
              <w:t>6</w:t>
            </w:r>
          </w:p>
        </w:tc>
      </w:tr>
      <w:tr w:rsidR="003D2554" w:rsidRPr="00C903F8"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adjustRightInd w:val="0"/>
              <w:spacing w:before="160" w:after="140" w:line="240" w:lineRule="atLeast"/>
              <w:ind w:left="0" w:firstLine="0"/>
              <w:jc w:val="lef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adjustRightInd w:val="0"/>
              <w:spacing w:before="160" w:after="140" w:line="240" w:lineRule="atLeast"/>
              <w:ind w:left="0" w:firstLine="0"/>
              <w:jc w:val="lef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40" w:line="240" w:lineRule="atLeast"/>
              <w:ind w:left="0" w:firstLine="0"/>
              <w:jc w:val="center"/>
              <w:rPr>
                <w:rFonts w:cs="Arial"/>
                <w:noProof/>
                <w:sz w:val="18"/>
                <w:szCs w:val="18"/>
              </w:rPr>
            </w:pPr>
            <w:r>
              <w:rPr>
                <w:noProof/>
                <w:sz w:val="18"/>
              </w:rPr>
              <w:t>&gt; 50-80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40" w:line="240" w:lineRule="atLeast"/>
              <w:ind w:left="0" w:firstLine="0"/>
              <w:jc w:val="center"/>
              <w:rPr>
                <w:rFonts w:cs="Arial"/>
                <w:noProof/>
                <w:sz w:val="18"/>
                <w:szCs w:val="18"/>
              </w:rPr>
            </w:pPr>
            <w:r>
              <w:rPr>
                <w:noProof/>
                <w:sz w:val="18"/>
              </w:rPr>
              <w:t>30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40" w:line="240" w:lineRule="atLeast"/>
              <w:ind w:left="0" w:firstLine="0"/>
              <w:jc w:val="center"/>
              <w:rPr>
                <w:rFonts w:cs="Arial"/>
                <w:noProof/>
                <w:sz w:val="18"/>
                <w:szCs w:val="18"/>
              </w:rPr>
            </w:pPr>
            <w:r>
              <w:rPr>
                <w:noProof/>
                <w:sz w:val="18"/>
              </w:rPr>
              <w:t>8</w:t>
            </w:r>
          </w:p>
        </w:tc>
      </w:tr>
      <w:tr w:rsidR="003D2554" w:rsidRPr="00C903F8"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adjustRightInd w:val="0"/>
              <w:spacing w:before="160" w:after="140" w:line="240" w:lineRule="atLeast"/>
              <w:ind w:left="0" w:firstLine="0"/>
              <w:jc w:val="lef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adjustRightInd w:val="0"/>
              <w:spacing w:before="160" w:after="140" w:line="240" w:lineRule="atLeast"/>
              <w:ind w:left="0" w:firstLine="0"/>
              <w:jc w:val="lef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40" w:line="240" w:lineRule="atLeast"/>
              <w:ind w:left="0" w:firstLine="0"/>
              <w:jc w:val="center"/>
              <w:rPr>
                <w:rFonts w:cs="Arial"/>
                <w:noProof/>
                <w:sz w:val="18"/>
                <w:szCs w:val="18"/>
              </w:rPr>
            </w:pPr>
            <w:r>
              <w:rPr>
                <w:noProof/>
                <w:sz w:val="18"/>
              </w:rPr>
              <w:t>&gt; 80-120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40" w:line="240" w:lineRule="atLeast"/>
              <w:ind w:left="0" w:firstLine="0"/>
              <w:jc w:val="center"/>
              <w:rPr>
                <w:rFonts w:cs="Arial"/>
                <w:noProof/>
                <w:sz w:val="18"/>
                <w:szCs w:val="18"/>
              </w:rPr>
            </w:pPr>
            <w:r>
              <w:rPr>
                <w:noProof/>
                <w:sz w:val="18"/>
              </w:rPr>
              <w:t>60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40" w:line="240" w:lineRule="atLeast"/>
              <w:ind w:left="0" w:firstLine="0"/>
              <w:jc w:val="center"/>
              <w:rPr>
                <w:rFonts w:cs="Arial"/>
                <w:noProof/>
                <w:sz w:val="18"/>
                <w:szCs w:val="18"/>
              </w:rPr>
            </w:pPr>
            <w:r>
              <w:rPr>
                <w:noProof/>
                <w:sz w:val="18"/>
              </w:rPr>
              <w:t>10</w:t>
            </w:r>
          </w:p>
        </w:tc>
      </w:tr>
      <w:tr w:rsidR="003D2554" w:rsidRPr="00C903F8"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adjustRightInd w:val="0"/>
              <w:spacing w:before="160" w:after="140" w:line="240" w:lineRule="atLeast"/>
              <w:ind w:left="0" w:firstLine="0"/>
              <w:jc w:val="lef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adjustRightInd w:val="0"/>
              <w:spacing w:before="160" w:after="140" w:line="240" w:lineRule="atLeast"/>
              <w:ind w:left="0" w:firstLine="0"/>
              <w:jc w:val="lef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40" w:line="240" w:lineRule="atLeast"/>
              <w:ind w:left="0" w:firstLine="0"/>
              <w:jc w:val="center"/>
              <w:rPr>
                <w:rFonts w:cs="Arial"/>
                <w:noProof/>
                <w:sz w:val="18"/>
                <w:szCs w:val="18"/>
              </w:rPr>
            </w:pPr>
            <w:r>
              <w:rPr>
                <w:noProof/>
                <w:sz w:val="18"/>
              </w:rPr>
              <w:t>&gt;120-160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40" w:line="240" w:lineRule="atLeast"/>
              <w:ind w:left="0" w:firstLine="0"/>
              <w:jc w:val="center"/>
              <w:rPr>
                <w:rFonts w:cs="Arial"/>
                <w:noProof/>
                <w:sz w:val="18"/>
                <w:szCs w:val="18"/>
              </w:rPr>
            </w:pPr>
            <w:r>
              <w:rPr>
                <w:noProof/>
                <w:sz w:val="18"/>
              </w:rPr>
              <w:t>80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40" w:line="240" w:lineRule="atLeast"/>
              <w:ind w:left="0" w:firstLine="0"/>
              <w:jc w:val="center"/>
              <w:rPr>
                <w:rFonts w:cs="Arial"/>
                <w:noProof/>
                <w:sz w:val="18"/>
                <w:szCs w:val="18"/>
              </w:rPr>
            </w:pPr>
            <w:r>
              <w:rPr>
                <w:noProof/>
                <w:sz w:val="18"/>
              </w:rPr>
              <w:t>12</w:t>
            </w:r>
          </w:p>
        </w:tc>
      </w:tr>
      <w:tr w:rsidR="003D2554" w:rsidRPr="00A0619C"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adjustRightInd w:val="0"/>
              <w:spacing w:before="160" w:after="140" w:line="240" w:lineRule="atLeast"/>
              <w:ind w:left="0" w:firstLine="0"/>
              <w:jc w:val="left"/>
              <w:rPr>
                <w:rFonts w:cs="Arial"/>
                <w:noProof/>
                <w:sz w:val="18"/>
                <w:szCs w:val="18"/>
              </w:rPr>
            </w:pP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40" w:line="240" w:lineRule="atLeast"/>
              <w:ind w:left="0" w:firstLine="0"/>
              <w:rPr>
                <w:rFonts w:cs="Arial"/>
                <w:noProof/>
                <w:sz w:val="18"/>
                <w:szCs w:val="18"/>
              </w:rPr>
            </w:pPr>
            <w:r>
              <w:rPr>
                <w:noProof/>
                <w:sz w:val="18"/>
              </w:rPr>
              <w:t>Fibra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C903F8" w:rsidRDefault="003D2554" w:rsidP="0042206B">
            <w:pPr>
              <w:pStyle w:val="NormalLeft"/>
              <w:spacing w:before="160" w:after="140" w:line="240" w:lineRule="atLeast"/>
              <w:ind w:left="0" w:firstLine="0"/>
              <w:jc w:val="both"/>
              <w:rPr>
                <w:rFonts w:cs="Arial"/>
                <w:noProof/>
                <w:sz w:val="18"/>
                <w:szCs w:val="18"/>
              </w:rPr>
            </w:pPr>
            <w:r>
              <w:rPr>
                <w:noProof/>
                <w:sz w:val="18"/>
              </w:rPr>
              <w:t>Diametro del cavo di almeno 18 mm e una puleggia ogni 30 m</w:t>
            </w:r>
            <w:r>
              <w:rPr>
                <w:noProof/>
                <w:sz w:val="18"/>
                <w:vertAlign w:val="superscript"/>
              </w:rPr>
              <w:t>2</w:t>
            </w:r>
            <w:r>
              <w:rPr>
                <w:noProof/>
                <w:sz w:val="18"/>
              </w:rPr>
              <w:t xml:space="preserve"> o parte rimanente</w:t>
            </w:r>
          </w:p>
        </w:tc>
      </w:tr>
      <w:tr w:rsidR="003D2554" w:rsidRPr="00C903F8"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Scotte prodiere</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Fibra (PP)</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fino a 40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14</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p>
        </w:tc>
      </w:tr>
      <w:tr w:rsidR="003D2554" w:rsidRPr="00C903F8"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adjustRightInd w:val="0"/>
              <w:spacing w:before="60" w:after="60" w:line="240" w:lineRule="atLeast"/>
              <w:ind w:left="0" w:firstLine="0"/>
              <w:jc w:val="lef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adjustRightInd w:val="0"/>
              <w:spacing w:before="60" w:after="60" w:line="240" w:lineRule="atLeast"/>
              <w:ind w:left="0" w:firstLine="0"/>
              <w:jc w:val="lef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&gt; 40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r>
              <w:rPr>
                <w:noProof/>
                <w:sz w:val="18"/>
              </w:rPr>
              <w:t>18</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center"/>
              <w:rPr>
                <w:rFonts w:cs="Arial"/>
                <w:noProof/>
                <w:sz w:val="18"/>
                <w:szCs w:val="18"/>
              </w:rPr>
            </w:pPr>
          </w:p>
        </w:tc>
      </w:tr>
      <w:tr w:rsidR="003D2554" w:rsidRPr="00A0619C"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adjustRightInd w:val="0"/>
              <w:spacing w:before="60" w:after="60" w:line="240" w:lineRule="atLeast"/>
              <w:ind w:left="0" w:firstLine="0"/>
              <w:jc w:val="left"/>
              <w:rPr>
                <w:rFonts w:cs="Arial"/>
                <w:noProof/>
                <w:sz w:val="18"/>
                <w:szCs w:val="18"/>
              </w:rPr>
            </w:pPr>
          </w:p>
        </w:tc>
        <w:tc>
          <w:tcPr>
            <w:tcW w:w="7057" w:type="dxa"/>
            <w:gridSpan w:val="4"/>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both"/>
              <w:rPr>
                <w:rFonts w:cs="Arial"/>
                <w:noProof/>
                <w:sz w:val="18"/>
                <w:szCs w:val="18"/>
              </w:rPr>
            </w:pPr>
            <w:r>
              <w:rPr>
                <w:noProof/>
                <w:sz w:val="18"/>
              </w:rPr>
              <w:t>Per superfici veliche oltre i 30 m</w:t>
            </w:r>
            <w:r>
              <w:rPr>
                <w:noProof/>
                <w:sz w:val="18"/>
                <w:vertAlign w:val="superscript"/>
              </w:rPr>
              <w:t>2</w:t>
            </w:r>
            <w:r>
              <w:rPr>
                <w:noProof/>
                <w:sz w:val="18"/>
              </w:rPr>
              <w:t xml:space="preserve"> la scotta è apposta come attrezzatura o è in grado di essere dotata di un verricello</w:t>
            </w:r>
          </w:p>
        </w:tc>
      </w:tr>
      <w:tr w:rsidR="003D2554" w:rsidRPr="00C903F8"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Scotte di randa Scotte poppiere</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Filo di acciaio</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&lt; 100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60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10</w:t>
            </w:r>
          </w:p>
        </w:tc>
      </w:tr>
      <w:tr w:rsidR="003D2554" w:rsidRPr="00C903F8"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adjustRightInd w:val="0"/>
              <w:spacing w:before="60" w:after="60" w:line="240" w:lineRule="atLeast"/>
              <w:ind w:left="0" w:firstLine="0"/>
              <w:jc w:val="lef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adjustRightInd w:val="0"/>
              <w:spacing w:before="60" w:after="60" w:line="240" w:lineRule="atLeast"/>
              <w:ind w:left="0" w:firstLine="0"/>
              <w:jc w:val="lef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100-150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85</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12</w:t>
            </w:r>
          </w:p>
        </w:tc>
      </w:tr>
      <w:tr w:rsidR="003D2554" w:rsidRPr="00C903F8"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adjustRightInd w:val="0"/>
              <w:spacing w:before="60" w:after="60" w:line="240" w:lineRule="atLeast"/>
              <w:ind w:left="0" w:firstLine="0"/>
              <w:jc w:val="lef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adjustRightInd w:val="0"/>
              <w:spacing w:before="60" w:after="60" w:line="240" w:lineRule="atLeast"/>
              <w:ind w:left="0" w:firstLine="0"/>
              <w:jc w:val="lef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&gt; 150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116</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14</w:t>
            </w:r>
          </w:p>
        </w:tc>
      </w:tr>
      <w:tr w:rsidR="003D2554" w:rsidRPr="00A0619C"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adjustRightInd w:val="0"/>
              <w:spacing w:before="60" w:after="60" w:line="240" w:lineRule="atLeast"/>
              <w:ind w:left="0" w:firstLine="0"/>
              <w:jc w:val="lef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adjustRightInd w:val="0"/>
              <w:spacing w:before="60" w:after="60" w:line="240" w:lineRule="atLeast"/>
              <w:ind w:left="0" w:firstLine="0"/>
              <w:jc w:val="left"/>
              <w:rPr>
                <w:rFonts w:cs="Arial"/>
                <w:noProof/>
                <w:sz w:val="18"/>
                <w:szCs w:val="18"/>
              </w:rPr>
            </w:pP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both"/>
              <w:rPr>
                <w:rFonts w:cs="Arial"/>
                <w:noProof/>
                <w:sz w:val="18"/>
                <w:szCs w:val="18"/>
              </w:rPr>
            </w:pPr>
            <w:r>
              <w:rPr>
                <w:noProof/>
                <w:sz w:val="18"/>
              </w:rPr>
              <w:t>per le scotte poppiere sono necessari elementi di collegamento elastici (ammortizzatori dinamici)</w:t>
            </w:r>
          </w:p>
        </w:tc>
      </w:tr>
      <w:tr w:rsidR="003D2554" w:rsidRPr="00A0619C"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adjustRightInd w:val="0"/>
              <w:spacing w:before="60" w:after="60" w:line="240" w:lineRule="atLeast"/>
              <w:ind w:left="0" w:firstLine="0"/>
              <w:jc w:val="left"/>
              <w:rPr>
                <w:rFonts w:cs="Arial"/>
                <w:noProof/>
                <w:sz w:val="18"/>
                <w:szCs w:val="18"/>
              </w:rPr>
            </w:pP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Fibra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both"/>
              <w:rPr>
                <w:rFonts w:cs="Arial"/>
                <w:noProof/>
                <w:sz w:val="18"/>
                <w:szCs w:val="18"/>
              </w:rPr>
            </w:pPr>
            <w:r>
              <w:rPr>
                <w:noProof/>
                <w:sz w:val="18"/>
              </w:rPr>
              <w:t>Diametro del cavo di almeno 18 mm e almeno tre pulegge. Per superfici veliche oltre i 60 m</w:t>
            </w:r>
            <w:r>
              <w:rPr>
                <w:noProof/>
                <w:sz w:val="18"/>
                <w:vertAlign w:val="superscript"/>
              </w:rPr>
              <w:t>2</w:t>
            </w:r>
            <w:r>
              <w:rPr>
                <w:noProof/>
                <w:sz w:val="18"/>
              </w:rPr>
              <w:t>, una puleggia ogni 20 m</w:t>
            </w:r>
            <w:r>
              <w:rPr>
                <w:noProof/>
                <w:sz w:val="18"/>
                <w:vertAlign w:val="superscript"/>
              </w:rPr>
              <w:t>2</w:t>
            </w:r>
            <w:r>
              <w:rPr>
                <w:noProof/>
                <w:sz w:val="18"/>
              </w:rPr>
              <w:t>.</w:t>
            </w:r>
          </w:p>
        </w:tc>
      </w:tr>
    </w:tbl>
    <w:p w:rsidR="003D2554" w:rsidRPr="00C903F8" w:rsidRDefault="003D2554" w:rsidP="003D2554">
      <w:pPr>
        <w:pStyle w:val="ESch"/>
        <w:rPr>
          <w:noProof/>
          <w:szCs w:val="20"/>
        </w:rPr>
      </w:pPr>
    </w:p>
    <w:p w:rsidR="003D2554" w:rsidRPr="00C903F8" w:rsidRDefault="003D2554" w:rsidP="003D2554">
      <w:pPr>
        <w:pStyle w:val="ESch"/>
        <w:rPr>
          <w:rFonts w:cs="Arial"/>
          <w:szCs w:val="20"/>
        </w:rPr>
      </w:pPr>
      <w:r>
        <w:t>2.</w:t>
      </w:r>
      <w:r>
        <w:tab/>
        <w:t>Le manovre correnti utilizzate per il fissaggio degli stralli hanno una resistenza alla trazione che coincide con quella dello strallo o delle sartie corrispondenti.</w:t>
      </w:r>
    </w:p>
    <w:p w:rsidR="003D2554" w:rsidRPr="00C903F8" w:rsidRDefault="003D2554" w:rsidP="003D2554">
      <w:pPr>
        <w:pStyle w:val="ESch"/>
        <w:rPr>
          <w:noProof/>
          <w:szCs w:val="20"/>
        </w:rPr>
      </w:pPr>
    </w:p>
    <w:p w:rsidR="003D2554" w:rsidRPr="00C903F8" w:rsidRDefault="00B92309" w:rsidP="003D2554">
      <w:pPr>
        <w:pStyle w:val="ESch"/>
        <w:rPr>
          <w:rFonts w:cs="Arial"/>
          <w:szCs w:val="20"/>
        </w:rPr>
      </w:pPr>
      <w:r>
        <w:t>3.</w:t>
      </w:r>
      <w:r>
        <w:tab/>
        <w:t>In caso di utilizzo di materiali diversi da quelli indicati nel paragrafo 1, sono osservati i valori di resistenza riportati nella tabella figurante in detto paragrafo.</w:t>
      </w:r>
    </w:p>
    <w:p w:rsidR="003D2554" w:rsidRPr="00C903F8" w:rsidRDefault="003D2554" w:rsidP="003D2554">
      <w:pPr>
        <w:pStyle w:val="ESch"/>
        <w:rPr>
          <w:noProof/>
          <w:szCs w:val="20"/>
        </w:rPr>
      </w:pPr>
    </w:p>
    <w:p w:rsidR="003D2554" w:rsidRPr="00C903F8" w:rsidRDefault="003D2554" w:rsidP="003D2554">
      <w:pPr>
        <w:pStyle w:val="ESchpar"/>
        <w:rPr>
          <w:rFonts w:cs="Arial"/>
        </w:rPr>
      </w:pPr>
      <w:r>
        <w:t>Non sono usati cavi in fibra di polietilene.</w:t>
      </w:r>
    </w:p>
    <w:p w:rsidR="003D2554" w:rsidRPr="00C903F8" w:rsidRDefault="003D2554" w:rsidP="003D2554">
      <w:pPr>
        <w:pStyle w:val="ESch"/>
        <w:rPr>
          <w:rFonts w:cs="Arial"/>
          <w:szCs w:val="20"/>
        </w:rPr>
      </w:pPr>
    </w:p>
    <w:p w:rsidR="003D2554" w:rsidRPr="00C903F8" w:rsidRDefault="003D2554" w:rsidP="003D2554">
      <w:pPr>
        <w:pStyle w:val="ESch"/>
        <w:rPr>
          <w:rFonts w:cs="Arial"/>
          <w:szCs w:val="20"/>
        </w:rPr>
      </w:pPr>
    </w:p>
    <w:p w:rsidR="003D2554" w:rsidRPr="00C903F8" w:rsidRDefault="003D2554" w:rsidP="003D2554">
      <w:pPr>
        <w:pStyle w:val="ES-Titre3"/>
        <w:rPr>
          <w:rFonts w:cs="Arial"/>
          <w:i/>
        </w:rPr>
      </w:pPr>
      <w:bookmarkStart w:id="408" w:name="_Toc491854201"/>
      <w:bookmarkStart w:id="409" w:name="_Toc535500150"/>
      <w:r>
        <w:t>Articolo 20.16</w:t>
      </w:r>
      <w:r>
        <w:br/>
      </w:r>
      <w:r>
        <w:rPr>
          <w:i/>
          <w:noProof/>
        </w:rPr>
        <w:t>Attrezzature e componenti</w:t>
      </w:r>
      <w:bookmarkEnd w:id="408"/>
      <w:bookmarkEnd w:id="409"/>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1.</w:t>
      </w:r>
      <w:r>
        <w:tab/>
        <w:t>In caso di utilizzo di cavi d'acciaio o di cavi in fibra il diametro delle pulegge (misurato da centro a centro del cavo), soddisfa almeno i seguenti requisiti:</w:t>
      </w:r>
    </w:p>
    <w:p w:rsidR="003D2554" w:rsidRPr="00C903F8" w:rsidRDefault="003D2554" w:rsidP="003D2554">
      <w:pPr>
        <w:pStyle w:val="ESch"/>
        <w:rPr>
          <w:noProof/>
          <w:szCs w:val="20"/>
        </w:rPr>
      </w:pPr>
    </w:p>
    <w:tbl>
      <w:tblPr>
        <w:tblW w:w="0" w:type="auto"/>
        <w:jc w:val="center"/>
        <w:tblLayout w:type="fixed"/>
        <w:tblLook w:val="0000" w:firstRow="0" w:lastRow="0" w:firstColumn="0" w:lastColumn="0" w:noHBand="0" w:noVBand="0"/>
      </w:tblPr>
      <w:tblGrid>
        <w:gridCol w:w="2268"/>
        <w:gridCol w:w="567"/>
        <w:gridCol w:w="567"/>
        <w:gridCol w:w="567"/>
        <w:gridCol w:w="567"/>
        <w:gridCol w:w="567"/>
        <w:gridCol w:w="567"/>
        <w:gridCol w:w="567"/>
      </w:tblGrid>
      <w:tr w:rsidR="003D2554" w:rsidRPr="00C903F8" w:rsidTr="00A90B64">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Cavo d'acciaio [mm]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7</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8</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9</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11</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12</w:t>
            </w:r>
          </w:p>
        </w:tc>
      </w:tr>
      <w:tr w:rsidR="003D2554" w:rsidRPr="00C903F8" w:rsidTr="00A90B64">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3D2554">
            <w:pPr>
              <w:pStyle w:val="NormalLeft"/>
              <w:spacing w:before="60" w:after="60" w:line="240" w:lineRule="atLeast"/>
              <w:ind w:left="0" w:firstLine="0"/>
              <w:rPr>
                <w:rFonts w:cs="Arial"/>
                <w:noProof/>
                <w:sz w:val="18"/>
                <w:szCs w:val="18"/>
              </w:rPr>
            </w:pPr>
            <w:r>
              <w:rPr>
                <w:noProof/>
                <w:sz w:val="18"/>
              </w:rPr>
              <w:t>Cavo in fibra [mm]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18</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22</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28</w:t>
            </w:r>
          </w:p>
        </w:tc>
      </w:tr>
      <w:tr w:rsidR="003D2554" w:rsidRPr="00C903F8" w:rsidTr="00A90B64">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3D2554" w:rsidRPr="00C903F8" w:rsidRDefault="00790FAC" w:rsidP="003D2554">
            <w:pPr>
              <w:pStyle w:val="NormalLeft"/>
              <w:spacing w:before="60" w:after="60" w:line="240" w:lineRule="atLeast"/>
              <w:ind w:left="0" w:firstLine="0"/>
              <w:rPr>
                <w:rFonts w:cs="Arial"/>
                <w:noProof/>
                <w:sz w:val="18"/>
                <w:szCs w:val="18"/>
              </w:rPr>
            </w:pPr>
            <w:r>
              <w:rPr>
                <w:noProof/>
                <w:sz w:val="18"/>
              </w:rPr>
              <w:t>Puleggia [mm]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100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110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120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130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145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155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C903F8" w:rsidRDefault="003D2554" w:rsidP="00A90B64">
            <w:pPr>
              <w:pStyle w:val="NormalLeft"/>
              <w:spacing w:before="60" w:after="60" w:line="240" w:lineRule="atLeast"/>
              <w:ind w:left="0" w:firstLine="0"/>
              <w:jc w:val="right"/>
              <w:rPr>
                <w:rFonts w:cs="Arial"/>
                <w:noProof/>
                <w:sz w:val="18"/>
                <w:szCs w:val="18"/>
              </w:rPr>
            </w:pPr>
            <w:r>
              <w:rPr>
                <w:noProof/>
                <w:sz w:val="18"/>
              </w:rPr>
              <w:t>165</w:t>
            </w:r>
          </w:p>
        </w:tc>
      </w:tr>
    </w:tbl>
    <w:p w:rsidR="003D2554" w:rsidRPr="00C903F8" w:rsidRDefault="003D2554" w:rsidP="003D2554">
      <w:pPr>
        <w:pStyle w:val="ESch"/>
        <w:rPr>
          <w:noProof/>
          <w:szCs w:val="20"/>
        </w:rPr>
      </w:pPr>
    </w:p>
    <w:p w:rsidR="003D2554" w:rsidRPr="00C903F8" w:rsidRDefault="003D2554" w:rsidP="003D2554">
      <w:pPr>
        <w:pStyle w:val="ESch"/>
        <w:rPr>
          <w:rFonts w:cs="Arial"/>
          <w:szCs w:val="20"/>
        </w:rPr>
      </w:pPr>
      <w:r>
        <w:t>2.</w:t>
      </w:r>
      <w:r>
        <w:tab/>
        <w:t>In deroga al paragrafo 1, il diametro delle pulegge può equivalere al sestuplo del diametro del cavo d'acciaio, purché il cavo non sia continuamente soggetto a scorrimento su pulegge.</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 xml:space="preserve">3. </w:t>
      </w:r>
      <w:r>
        <w:tab/>
        <w:t>La resistenza alla trazione delle attrezzature (ad esempio forcelle), terminali circolari, arridatoi, golfari, perni, copiglie e grilli) è compatibile con la resistenza alla trazione della manovra fissa o corrente ad esse fissata.</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4.</w:t>
      </w:r>
      <w:r>
        <w:tab/>
        <w:t>I fissaggi delle lande degli stralli e delle sartie sono adeguati alle forze su di essi esercitate.</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5.</w:t>
      </w:r>
      <w:r>
        <w:tab/>
        <w:t>Ad ogni gassa può essere fissato un solo grillo con relativo strallo o sartia.</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6.</w:t>
      </w:r>
      <w:r>
        <w:tab/>
        <w:t>I bazzelli delle drizze e degli amantigli sono adeguatamente fissati all'albero, avendo cura che i piedi di pollo girevoli utilizzati a tal fine siano in buone condizioni.</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lastRenderedPageBreak/>
        <w:t>7.</w:t>
      </w:r>
      <w:r>
        <w:tab/>
        <w:t>I fissaggi di golfari, gallocce, chiodi e banchi chiodati sono adeguati alle forze su di essi esercitate.</w:t>
      </w:r>
    </w:p>
    <w:p w:rsidR="003D2554" w:rsidRPr="00C903F8" w:rsidRDefault="00A90B64" w:rsidP="003D2554">
      <w:pPr>
        <w:pStyle w:val="ESch"/>
        <w:rPr>
          <w:rFonts w:cs="Arial"/>
          <w:szCs w:val="20"/>
        </w:rPr>
      </w:pPr>
      <w:r>
        <w:br w:type="page"/>
      </w:r>
    </w:p>
    <w:p w:rsidR="003D2554" w:rsidRPr="00C903F8" w:rsidRDefault="003D2554" w:rsidP="003D2554">
      <w:pPr>
        <w:pStyle w:val="ES-Titre3"/>
        <w:rPr>
          <w:rFonts w:cs="Arial"/>
          <w:i/>
        </w:rPr>
      </w:pPr>
      <w:bookmarkStart w:id="410" w:name="_Toc491854202"/>
      <w:bookmarkStart w:id="411" w:name="_Toc535500151"/>
      <w:r>
        <w:lastRenderedPageBreak/>
        <w:t>Articolo 20.17</w:t>
      </w:r>
      <w:r>
        <w:br/>
      </w:r>
      <w:r>
        <w:rPr>
          <w:i/>
          <w:noProof/>
        </w:rPr>
        <w:t>Velatura</w:t>
      </w:r>
      <w:bookmarkEnd w:id="410"/>
      <w:bookmarkEnd w:id="411"/>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1.</w:t>
      </w:r>
      <w:r>
        <w:tab/>
        <w:t>È garantito che le vele possano essere recuperate in modo semplice, rapido e sicuro.</w:t>
      </w:r>
    </w:p>
    <w:p w:rsidR="00001079" w:rsidRPr="00C903F8" w:rsidRDefault="00001079" w:rsidP="003D2554">
      <w:pPr>
        <w:pStyle w:val="ESch"/>
        <w:rPr>
          <w:noProof/>
          <w:szCs w:val="20"/>
        </w:rPr>
      </w:pPr>
    </w:p>
    <w:p w:rsidR="003D2554" w:rsidRPr="00C903F8" w:rsidRDefault="003D2554" w:rsidP="003D2554">
      <w:pPr>
        <w:pStyle w:val="ESch"/>
        <w:rPr>
          <w:rFonts w:cs="Arial"/>
          <w:szCs w:val="20"/>
        </w:rPr>
      </w:pPr>
      <w:r>
        <w:t>2.</w:t>
      </w:r>
      <w:r>
        <w:tab/>
        <w:t>La superficie velica è adeguata al tipo di nave e al volume d'immersione.</w:t>
      </w:r>
    </w:p>
    <w:p w:rsidR="003D2554" w:rsidRPr="00C903F8" w:rsidRDefault="003D2554" w:rsidP="003D2554">
      <w:pPr>
        <w:pStyle w:val="ESch"/>
        <w:rPr>
          <w:rFonts w:cs="Arial"/>
          <w:szCs w:val="20"/>
        </w:rPr>
      </w:pPr>
    </w:p>
    <w:p w:rsidR="003D2554" w:rsidRPr="00C903F8" w:rsidRDefault="003D2554" w:rsidP="003D2554">
      <w:pPr>
        <w:pStyle w:val="ESch"/>
        <w:rPr>
          <w:rFonts w:cs="Arial"/>
          <w:szCs w:val="20"/>
        </w:rPr>
      </w:pPr>
    </w:p>
    <w:p w:rsidR="003D2554" w:rsidRPr="00C903F8" w:rsidRDefault="003D2554" w:rsidP="003D2554">
      <w:pPr>
        <w:pStyle w:val="ES-Titre3"/>
        <w:rPr>
          <w:rFonts w:cs="Arial"/>
          <w:i/>
        </w:rPr>
      </w:pPr>
      <w:bookmarkStart w:id="412" w:name="_Toc491854203"/>
      <w:bookmarkStart w:id="413" w:name="_Toc535500152"/>
      <w:r>
        <w:t>Articolo 20.18</w:t>
      </w:r>
      <w:r>
        <w:br/>
      </w:r>
      <w:r>
        <w:rPr>
          <w:i/>
          <w:noProof/>
        </w:rPr>
        <w:t>Dotazioni</w:t>
      </w:r>
      <w:bookmarkEnd w:id="412"/>
      <w:bookmarkEnd w:id="413"/>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 xml:space="preserve">1. </w:t>
      </w:r>
      <w:r>
        <w:tab/>
        <w:t>Le navi munite di un'asta di fiocco o di un bompresso sono dotate di una rete del bompresso e di un numero adeguato di dispositivi di ritenuta e di tensionamento appropriati.</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2.</w:t>
      </w:r>
      <w:r>
        <w:tab/>
        <w:t>È possibile fare a meno dell'armamento di cui al paragrafo 1 se l'asta di fiocco o il bompresso presentano una maniglia e un marciapiede adeguatamente dimensionati per consentire il fissaggio di una cintura di sicurezza da tenere a bordo.</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3.</w:t>
      </w:r>
      <w:r>
        <w:tab/>
        <w:t>Per lavori sull'attrezzatura si dispone di un bansigo.</w:t>
      </w:r>
    </w:p>
    <w:p w:rsidR="003D2554" w:rsidRPr="00C903F8" w:rsidRDefault="003D2554" w:rsidP="003D2554">
      <w:pPr>
        <w:pStyle w:val="ESch"/>
        <w:rPr>
          <w:rFonts w:cs="Arial"/>
          <w:szCs w:val="20"/>
        </w:rPr>
      </w:pPr>
    </w:p>
    <w:p w:rsidR="003D2554" w:rsidRPr="00C903F8" w:rsidRDefault="003D2554" w:rsidP="003D2554">
      <w:pPr>
        <w:pStyle w:val="ESch"/>
        <w:rPr>
          <w:rFonts w:cs="Arial"/>
          <w:szCs w:val="20"/>
        </w:rPr>
      </w:pPr>
    </w:p>
    <w:p w:rsidR="003D2554" w:rsidRPr="00C903F8" w:rsidRDefault="003D2554" w:rsidP="003D2554">
      <w:pPr>
        <w:pStyle w:val="ES-Titre3"/>
        <w:rPr>
          <w:rFonts w:cs="Arial"/>
          <w:i/>
        </w:rPr>
      </w:pPr>
      <w:bookmarkStart w:id="414" w:name="_Toc491854204"/>
      <w:bookmarkStart w:id="415" w:name="_Toc535500153"/>
      <w:r>
        <w:t>Articolo 20.19</w:t>
      </w:r>
      <w:r>
        <w:br/>
      </w:r>
      <w:r>
        <w:rPr>
          <w:i/>
          <w:noProof/>
        </w:rPr>
        <w:t>Prove</w:t>
      </w:r>
      <w:bookmarkEnd w:id="414"/>
      <w:bookmarkEnd w:id="415"/>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1.</w:t>
      </w:r>
      <w:r>
        <w:tab/>
        <w:t>L'attrezzatura è controllata ogni due anni e mezzo dalla commissione di ispezione. Il controllo riguarda almeno quanto segue:</w:t>
      </w:r>
    </w:p>
    <w:p w:rsidR="003D2554" w:rsidRPr="00C903F8" w:rsidRDefault="005C7859" w:rsidP="003D2554">
      <w:pPr>
        <w:pStyle w:val="ESlet"/>
        <w:rPr>
          <w:rFonts w:cs="Arial"/>
        </w:rPr>
      </w:pPr>
      <w:r>
        <w:t>a)</w:t>
      </w:r>
      <w:r>
        <w:tab/>
        <w:t>le vele, con ralinghe, angolo di scotta e brancarelle;</w:t>
      </w:r>
    </w:p>
    <w:p w:rsidR="003D2554" w:rsidRPr="00C903F8" w:rsidRDefault="005C7859" w:rsidP="003D2554">
      <w:pPr>
        <w:pStyle w:val="ESlet"/>
        <w:rPr>
          <w:rFonts w:cs="Arial"/>
        </w:rPr>
      </w:pPr>
      <w:r>
        <w:t>b)</w:t>
      </w:r>
      <w:r>
        <w:tab/>
        <w:t>le condizioni di alberi e pennoni;</w:t>
      </w:r>
    </w:p>
    <w:p w:rsidR="003D2554" w:rsidRPr="00C903F8" w:rsidRDefault="005C7859" w:rsidP="003D2554">
      <w:pPr>
        <w:pStyle w:val="ESlet"/>
        <w:rPr>
          <w:rFonts w:cs="Arial"/>
        </w:rPr>
      </w:pPr>
      <w:r>
        <w:t>c)</w:t>
      </w:r>
      <w:r>
        <w:tab/>
        <w:t>le condizioni delle manovre fisse e correnti, e relativi collegamenti metallici;</w:t>
      </w:r>
    </w:p>
    <w:p w:rsidR="003D2554" w:rsidRPr="00C903F8" w:rsidRDefault="0029453D" w:rsidP="003D2554">
      <w:pPr>
        <w:pStyle w:val="ESlet"/>
        <w:rPr>
          <w:rFonts w:cs="Arial"/>
        </w:rPr>
      </w:pPr>
      <w:r>
        <w:t>d)</w:t>
      </w:r>
      <w:r>
        <w:tab/>
        <w:t>possibilità di terzarolare la vela in modo rapido e sicuro;</w:t>
      </w:r>
    </w:p>
    <w:p w:rsidR="003D2554" w:rsidRPr="00C903F8" w:rsidRDefault="0029453D" w:rsidP="003D2554">
      <w:pPr>
        <w:pStyle w:val="ESlet"/>
        <w:rPr>
          <w:rFonts w:cs="Arial"/>
        </w:rPr>
      </w:pPr>
      <w:r>
        <w:t>e)</w:t>
      </w:r>
      <w:r>
        <w:tab/>
        <w:t>il fissaggio adeguato dei bozzelli delle drizze e degli amantigli;</w:t>
      </w:r>
    </w:p>
    <w:p w:rsidR="003D2554" w:rsidRPr="00C903F8" w:rsidRDefault="0029453D" w:rsidP="003D2554">
      <w:pPr>
        <w:pStyle w:val="ESlet"/>
        <w:rPr>
          <w:rFonts w:cs="Arial"/>
        </w:rPr>
      </w:pPr>
      <w:r>
        <w:t>f)</w:t>
      </w:r>
      <w:r>
        <w:tab/>
        <w:t>il fissaggio dei pozzi dell'albero e altri punti di fissaggio delle manovre fisse e correnti allo scafo della nave;</w:t>
      </w:r>
    </w:p>
    <w:p w:rsidR="003D2554" w:rsidRPr="00C903F8" w:rsidRDefault="0029453D" w:rsidP="003D2554">
      <w:pPr>
        <w:pStyle w:val="ESlet"/>
        <w:rPr>
          <w:rFonts w:cs="Arial"/>
        </w:rPr>
      </w:pPr>
      <w:r>
        <w:t>g)</w:t>
      </w:r>
      <w:r>
        <w:tab/>
        <w:t>i verricelli predisposti per la regolazione delle vele;</w:t>
      </w:r>
    </w:p>
    <w:p w:rsidR="003D2554" w:rsidRPr="00C903F8" w:rsidRDefault="0029453D" w:rsidP="003D2554">
      <w:pPr>
        <w:pStyle w:val="ESlet"/>
        <w:rPr>
          <w:rFonts w:cs="Arial"/>
        </w:rPr>
      </w:pPr>
      <w:r>
        <w:t>h)</w:t>
      </w:r>
      <w:r>
        <w:tab/>
        <w:t>altri dispositivi previsti per la navigazione a vela, come le lame di deriva e gli impianti di manovra;</w:t>
      </w:r>
    </w:p>
    <w:p w:rsidR="003D2554" w:rsidRPr="00C903F8" w:rsidRDefault="0029453D" w:rsidP="003D2554">
      <w:pPr>
        <w:pStyle w:val="ESlet"/>
        <w:rPr>
          <w:rFonts w:cs="Arial"/>
        </w:rPr>
      </w:pPr>
      <w:r>
        <w:t>i)</w:t>
      </w:r>
      <w:r>
        <w:tab/>
        <w:t>i dispositivi per evitare l'usura dei pennoni, delle manovre fisse e correnti e delle vele;</w:t>
      </w:r>
    </w:p>
    <w:p w:rsidR="003D2554" w:rsidRPr="00C903F8" w:rsidRDefault="005B0BB8" w:rsidP="003D2554">
      <w:pPr>
        <w:pStyle w:val="ESlet"/>
        <w:rPr>
          <w:rFonts w:cs="Arial"/>
        </w:rPr>
      </w:pPr>
      <w:r>
        <w:t>j)</w:t>
      </w:r>
      <w:r>
        <w:tab/>
        <w:t>l'armamento di cui all'articolo 20.18.</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2.</w:t>
      </w:r>
      <w:r>
        <w:tab/>
        <w:t>La parte dell'albero di legno passante attraverso il ponte e quella che si trova sottocoperta sono controllate ad intervalli che saranno determinati dalla commissione di ispezione, ma almeno ad ogni ispezione periodica. A tal fine l'albero è estratto.</w:t>
      </w:r>
    </w:p>
    <w:p w:rsidR="003D2554" w:rsidRPr="00C903F8" w:rsidRDefault="003D2554" w:rsidP="003D2554">
      <w:pPr>
        <w:pStyle w:val="ESch"/>
        <w:rPr>
          <w:noProof/>
          <w:szCs w:val="20"/>
        </w:rPr>
      </w:pPr>
    </w:p>
    <w:p w:rsidR="003D2554" w:rsidRPr="00C903F8" w:rsidRDefault="003D2554" w:rsidP="003D2554">
      <w:pPr>
        <w:pStyle w:val="ESch"/>
        <w:rPr>
          <w:rFonts w:cs="Arial"/>
          <w:szCs w:val="20"/>
        </w:rPr>
      </w:pPr>
      <w:r>
        <w:t>3.</w:t>
      </w:r>
      <w:r>
        <w:tab/>
        <w:t>È tenuto a bordo un registro dell'ultima ispezione effettuata in conformità del paragrafo 1, redatto, datato e sottoscritto dalla commissione di ispezione.</w:t>
      </w:r>
    </w:p>
    <w:p w:rsidR="003D2554" w:rsidRPr="00C903F8" w:rsidRDefault="003D2554" w:rsidP="00973DAA">
      <w:pPr>
        <w:pStyle w:val="ESch"/>
      </w:pPr>
    </w:p>
    <w:p w:rsidR="006E0BD7" w:rsidRPr="00C903F8" w:rsidRDefault="006E0BD7" w:rsidP="00973DAA">
      <w:pPr>
        <w:pStyle w:val="ESch"/>
      </w:pPr>
    </w:p>
    <w:p w:rsidR="006E0BD7" w:rsidRPr="00C903F8" w:rsidRDefault="006E0BD7" w:rsidP="006E0BD7">
      <w:pPr>
        <w:pStyle w:val="ES-Titre2"/>
        <w:rPr>
          <w:szCs w:val="24"/>
        </w:rPr>
      </w:pPr>
      <w:bookmarkStart w:id="416" w:name="_Toc491854205"/>
      <w:bookmarkStart w:id="417" w:name="_Toc535500154"/>
      <w:r>
        <w:lastRenderedPageBreak/>
        <w:t>Capo 21</w:t>
      </w:r>
      <w:r>
        <w:br/>
      </w:r>
      <w:r>
        <w:rPr>
          <w:noProof/>
          <w:sz w:val="22"/>
        </w:rPr>
        <w:t>Disposizioni particolari per imbarcazioni destinate a far parte di un convoglio spinto, di un convoglio rimorchiato o di una formazione in coppia</w:t>
      </w:r>
      <w:bookmarkEnd w:id="416"/>
      <w:bookmarkEnd w:id="417"/>
    </w:p>
    <w:p w:rsidR="006E0BD7" w:rsidRPr="00C903F8" w:rsidRDefault="006E0BD7" w:rsidP="006E0BD7"/>
    <w:p w:rsidR="006E0BD7" w:rsidRPr="00C903F8" w:rsidRDefault="006E0BD7" w:rsidP="006E0BD7">
      <w:pPr>
        <w:pStyle w:val="ES-Titre3"/>
      </w:pPr>
      <w:bookmarkStart w:id="418" w:name="_Toc491854206"/>
      <w:bookmarkStart w:id="419" w:name="_Toc535500155"/>
      <w:r>
        <w:t>Articolo 21.01</w:t>
      </w:r>
      <w:r>
        <w:br/>
      </w:r>
      <w:r>
        <w:rPr>
          <w:i/>
          <w:noProof/>
        </w:rPr>
        <w:t>Imbarcazioni idonee a spingere</w:t>
      </w:r>
      <w:bookmarkEnd w:id="418"/>
      <w:bookmarkEnd w:id="419"/>
    </w:p>
    <w:p w:rsidR="006E0BD7" w:rsidRPr="00C903F8" w:rsidRDefault="006E0BD7" w:rsidP="006E0BD7">
      <w:pPr>
        <w:pStyle w:val="ESch"/>
        <w:rPr>
          <w:noProof/>
        </w:rPr>
      </w:pPr>
    </w:p>
    <w:p w:rsidR="006E0BD7" w:rsidRPr="00C903F8" w:rsidRDefault="006E0BD7" w:rsidP="006E0BD7">
      <w:pPr>
        <w:pStyle w:val="ESch"/>
        <w:rPr>
          <w:rFonts w:eastAsia="Calibri" w:cs="Arial"/>
          <w:szCs w:val="18"/>
        </w:rPr>
      </w:pPr>
      <w:r>
        <w:t xml:space="preserve">1. </w:t>
      </w:r>
      <w:r>
        <w:tab/>
        <w:t>Le imbarcazioni che devono essere utilizzate per spingere sono dotate di un dispositivo per la navigazione a spinta appropriato. Esse sono costruite e attrezzate in modo che:</w:t>
      </w:r>
    </w:p>
    <w:p w:rsidR="006E0BD7" w:rsidRPr="00C903F8" w:rsidRDefault="005C7859" w:rsidP="006E0BD7">
      <w:pPr>
        <w:pStyle w:val="ESlet"/>
        <w:rPr>
          <w:rFonts w:eastAsia="Calibri" w:cs="Arial"/>
          <w:szCs w:val="18"/>
        </w:rPr>
      </w:pPr>
      <w:r>
        <w:t>a)</w:t>
      </w:r>
      <w:r>
        <w:tab/>
        <w:t>l'equipaggio possa passare con facilità e senza pericolo sull'imbarcazione spinta con i mezzi d'accoppiamento collegati;</w:t>
      </w:r>
    </w:p>
    <w:p w:rsidR="006E0BD7" w:rsidRPr="00C903F8" w:rsidRDefault="005C7859" w:rsidP="006E0BD7">
      <w:pPr>
        <w:pStyle w:val="ESlet"/>
        <w:rPr>
          <w:rFonts w:eastAsia="Calibri" w:cs="Arial"/>
          <w:szCs w:val="18"/>
        </w:rPr>
      </w:pPr>
      <w:r>
        <w:t>b)</w:t>
      </w:r>
      <w:r>
        <w:tab/>
        <w:t>possano occupare una posizione fissa rispetto alle imbarcazioni accoppiate; e</w:t>
      </w:r>
    </w:p>
    <w:p w:rsidR="006E0BD7" w:rsidRPr="00C903F8" w:rsidRDefault="005C7859" w:rsidP="006E0BD7">
      <w:pPr>
        <w:pStyle w:val="ESlet"/>
        <w:rPr>
          <w:rFonts w:eastAsia="Calibri" w:cs="Arial"/>
          <w:szCs w:val="18"/>
        </w:rPr>
      </w:pPr>
      <w:r>
        <w:t>c)</w:t>
      </w:r>
      <w:r>
        <w:tab/>
        <w:t>sia evitato il movimento relativo fra le imbarcazioni stesse.</w:t>
      </w:r>
    </w:p>
    <w:p w:rsidR="006E0BD7" w:rsidRPr="00C903F8" w:rsidRDefault="006E0BD7" w:rsidP="006E0BD7">
      <w:pPr>
        <w:pStyle w:val="ESch"/>
        <w:rPr>
          <w:rFonts w:eastAsia="Calibri"/>
          <w:noProof/>
        </w:rPr>
      </w:pPr>
    </w:p>
    <w:p w:rsidR="006E0BD7" w:rsidRPr="00C903F8" w:rsidRDefault="006E0BD7" w:rsidP="006E0BD7">
      <w:pPr>
        <w:pStyle w:val="ESch"/>
        <w:rPr>
          <w:rFonts w:eastAsia="Calibri" w:cs="Arial"/>
          <w:szCs w:val="18"/>
        </w:rPr>
      </w:pPr>
      <w:r>
        <w:t>2.</w:t>
      </w:r>
      <w:r>
        <w:tab/>
        <w:t>Se gli accoppiamenti sono effettuati mediante cavi, l'imbarcazione spintore è provvista di almeno due verricelli speciali o di dispositivi d'accoppiamento equivalenti per il tensionamento dei cavi.</w:t>
      </w:r>
    </w:p>
    <w:p w:rsidR="006E0BD7" w:rsidRPr="00C903F8" w:rsidRDefault="006E0BD7" w:rsidP="006E0BD7">
      <w:pPr>
        <w:pStyle w:val="ESch"/>
        <w:rPr>
          <w:rFonts w:eastAsia="Calibri"/>
          <w:noProof/>
        </w:rPr>
      </w:pPr>
    </w:p>
    <w:p w:rsidR="006E0BD7" w:rsidRPr="00C903F8" w:rsidRDefault="006E0BD7" w:rsidP="006E0BD7">
      <w:pPr>
        <w:pStyle w:val="ESch"/>
        <w:rPr>
          <w:rFonts w:eastAsia="Calibri" w:cs="Arial"/>
          <w:szCs w:val="18"/>
        </w:rPr>
      </w:pPr>
      <w:r>
        <w:t xml:space="preserve">3. </w:t>
      </w:r>
      <w:r>
        <w:tab/>
        <w:t>I dispositivi d'accoppiamento consentono di formare un insieme rigido con l'imbarcazione spinta.</w:t>
      </w:r>
    </w:p>
    <w:p w:rsidR="006E0BD7" w:rsidRPr="00C903F8" w:rsidRDefault="006E0BD7" w:rsidP="006E0BD7">
      <w:pPr>
        <w:pStyle w:val="ESch"/>
        <w:rPr>
          <w:rFonts w:eastAsia="Calibri"/>
          <w:noProof/>
        </w:rPr>
      </w:pPr>
    </w:p>
    <w:p w:rsidR="006E0BD7" w:rsidRPr="00C903F8" w:rsidRDefault="006E0BD7" w:rsidP="006E0BD7">
      <w:pPr>
        <w:pStyle w:val="ESchpar"/>
        <w:rPr>
          <w:rFonts w:eastAsia="Calibri" w:cs="Arial"/>
          <w:szCs w:val="18"/>
        </w:rPr>
      </w:pPr>
      <w:r>
        <w:t>Per i convogli spinti composti da una imbarcazione spintore e da una sola imbarcazione spinta, i dispositivi d'accoppiamento possono consentire un'articolazione controllata. I dispositivi di azionamento necessari assorbono con facilità le forze da trasmettere e possono essere comandati con facilità e senza pericolo. A detti dispositivi di azionamento si applicano per analogia gli articoli da 6.02 a 6.04.</w:t>
      </w:r>
    </w:p>
    <w:p w:rsidR="006E0BD7" w:rsidRPr="00C903F8" w:rsidRDefault="006E0BD7" w:rsidP="006E0BD7">
      <w:pPr>
        <w:pStyle w:val="ESch"/>
        <w:rPr>
          <w:rFonts w:eastAsia="Calibri"/>
          <w:noProof/>
        </w:rPr>
      </w:pPr>
    </w:p>
    <w:p w:rsidR="006E0BD7" w:rsidRPr="00C903F8" w:rsidRDefault="006E0BD7" w:rsidP="006E0BD7">
      <w:pPr>
        <w:pStyle w:val="ESch"/>
        <w:rPr>
          <w:rFonts w:eastAsia="Calibri" w:cs="Arial"/>
          <w:szCs w:val="18"/>
        </w:rPr>
      </w:pPr>
      <w:r>
        <w:t xml:space="preserve">4. </w:t>
      </w:r>
      <w:r>
        <w:tab/>
        <w:t>Per gli spintori, è possibile fare a meno della paratia di collisione di cui all'articolo 3.03, paragrafo 1, lettera a).</w:t>
      </w:r>
    </w:p>
    <w:p w:rsidR="006E0BD7" w:rsidRPr="00C903F8" w:rsidRDefault="006E0BD7" w:rsidP="006E0BD7">
      <w:pPr>
        <w:pStyle w:val="ESch"/>
        <w:rPr>
          <w:rFonts w:eastAsia="Calibri" w:cs="Arial"/>
          <w:szCs w:val="18"/>
        </w:rPr>
      </w:pPr>
    </w:p>
    <w:p w:rsidR="006E0BD7" w:rsidRPr="00C903F8" w:rsidRDefault="006E0BD7" w:rsidP="006E0BD7">
      <w:pPr>
        <w:pStyle w:val="ESch"/>
        <w:rPr>
          <w:rFonts w:eastAsia="Calibri" w:cs="Arial"/>
          <w:szCs w:val="18"/>
        </w:rPr>
      </w:pPr>
    </w:p>
    <w:p w:rsidR="006E0BD7" w:rsidRPr="00C903F8" w:rsidRDefault="006E0BD7" w:rsidP="006E0BD7">
      <w:pPr>
        <w:pStyle w:val="ES-Titre3"/>
        <w:rPr>
          <w:rFonts w:cs="Arial"/>
          <w:i/>
          <w:szCs w:val="18"/>
        </w:rPr>
      </w:pPr>
      <w:bookmarkStart w:id="420" w:name="_Toc491854207"/>
      <w:bookmarkStart w:id="421" w:name="_Toc535500156"/>
      <w:r>
        <w:t>Articolo 21.02</w:t>
      </w:r>
      <w:r>
        <w:br/>
      </w:r>
      <w:r>
        <w:rPr>
          <w:i/>
          <w:noProof/>
        </w:rPr>
        <w:t>Imbarcazioni idonee a essere spinte</w:t>
      </w:r>
      <w:bookmarkEnd w:id="420"/>
      <w:bookmarkEnd w:id="421"/>
    </w:p>
    <w:p w:rsidR="006E0BD7" w:rsidRPr="00C903F8" w:rsidRDefault="006E0BD7" w:rsidP="006E0BD7">
      <w:pPr>
        <w:pStyle w:val="ESch"/>
        <w:rPr>
          <w:rFonts w:eastAsia="Calibri"/>
          <w:noProof/>
        </w:rPr>
      </w:pPr>
    </w:p>
    <w:p w:rsidR="006E0BD7" w:rsidRPr="00C903F8" w:rsidRDefault="006E0BD7" w:rsidP="006E0BD7">
      <w:pPr>
        <w:pStyle w:val="ESch"/>
        <w:rPr>
          <w:rFonts w:eastAsia="Calibri" w:cs="Arial"/>
          <w:szCs w:val="18"/>
        </w:rPr>
      </w:pPr>
      <w:r>
        <w:t xml:space="preserve">1. </w:t>
      </w:r>
      <w:r>
        <w:tab/>
        <w:t>Alle bettoline prive di apparato di governo, alloggio equipaggio, sala macchine o locale caldaie non si applicano:</w:t>
      </w:r>
    </w:p>
    <w:p w:rsidR="006E0BD7" w:rsidRPr="00C903F8" w:rsidRDefault="005C7859" w:rsidP="0034719E">
      <w:pPr>
        <w:pStyle w:val="ESlet"/>
        <w:rPr>
          <w:rFonts w:eastAsia="Calibri" w:cs="Arial"/>
          <w:szCs w:val="18"/>
        </w:rPr>
      </w:pPr>
      <w:r>
        <w:t>a)</w:t>
      </w:r>
      <w:r>
        <w:tab/>
        <w:t>i capi da 5 a 7 e il capo 15;</w:t>
      </w:r>
    </w:p>
    <w:p w:rsidR="006E0BD7" w:rsidRPr="00C903F8" w:rsidRDefault="005C7859" w:rsidP="0034719E">
      <w:pPr>
        <w:pStyle w:val="ESlet"/>
        <w:rPr>
          <w:rFonts w:eastAsia="Calibri" w:cs="Arial"/>
          <w:szCs w:val="18"/>
        </w:rPr>
      </w:pPr>
      <w:r>
        <w:t>b)</w:t>
      </w:r>
      <w:r>
        <w:tab/>
        <w:t>l'articolo 8.08, paragrafi da 2 a 8, l'articolo 13.02 e l'articolo 13.08, paragrafo 1.</w:t>
      </w:r>
    </w:p>
    <w:p w:rsidR="006E0BD7" w:rsidRPr="00C903F8" w:rsidRDefault="006E0BD7" w:rsidP="006E0BD7">
      <w:pPr>
        <w:pStyle w:val="ESch"/>
        <w:rPr>
          <w:rFonts w:eastAsia="Calibri"/>
          <w:noProof/>
        </w:rPr>
      </w:pPr>
    </w:p>
    <w:p w:rsidR="006E0BD7" w:rsidRPr="00C903F8" w:rsidRDefault="006E0BD7" w:rsidP="006E0BD7">
      <w:pPr>
        <w:pStyle w:val="ESchpar"/>
        <w:rPr>
          <w:rFonts w:eastAsia="Calibri" w:cs="Arial"/>
          <w:szCs w:val="18"/>
        </w:rPr>
      </w:pPr>
      <w:r>
        <w:t>Se sono dotate di apparato di governo, alloggio equipaggio, sala macchine o locale caldaie, si applicano i corrispondenti requisiti della presente norma.</w:t>
      </w:r>
    </w:p>
    <w:p w:rsidR="006E0BD7" w:rsidRPr="00C903F8" w:rsidRDefault="006E0BD7" w:rsidP="006E0BD7">
      <w:pPr>
        <w:pStyle w:val="ESch"/>
        <w:rPr>
          <w:rFonts w:eastAsia="Calibri"/>
          <w:noProof/>
        </w:rPr>
      </w:pPr>
    </w:p>
    <w:p w:rsidR="006E0BD7" w:rsidRPr="00C903F8" w:rsidRDefault="006E0BD7" w:rsidP="006E0BD7">
      <w:pPr>
        <w:pStyle w:val="ESch"/>
        <w:rPr>
          <w:rFonts w:eastAsia="Calibri" w:cs="Arial"/>
          <w:szCs w:val="18"/>
        </w:rPr>
      </w:pPr>
      <w:r>
        <w:t>2.</w:t>
      </w:r>
      <w:r>
        <w:tab/>
        <w:t xml:space="preserve">Le bettoline trasportabili su nave di lunghezza </w:t>
      </w:r>
      <m:oMath>
        <m:r>
          <w:rPr>
            <w:rFonts w:ascii="Cambria Math" w:eastAsia="Calibri" w:hAnsi="Cambria Math"/>
            <w:noProof/>
          </w:rPr>
          <m:t>L</m:t>
        </m:r>
      </m:oMath>
      <w:r>
        <w:t xml:space="preserve"> inferiore o uguale a 40 m soddisfano inoltre i seguenti requisiti:</w:t>
      </w:r>
    </w:p>
    <w:p w:rsidR="006E0BD7" w:rsidRPr="00C903F8" w:rsidRDefault="005C7859" w:rsidP="0034719E">
      <w:pPr>
        <w:pStyle w:val="ESlet"/>
        <w:rPr>
          <w:rFonts w:eastAsia="Calibri" w:cs="Arial"/>
          <w:szCs w:val="18"/>
        </w:rPr>
      </w:pPr>
      <w:r>
        <w:t>a)</w:t>
      </w:r>
      <w:r>
        <w:tab/>
        <w:t>è possibile fare a meno delle paratie di collisione di cui all'articolo 3.03, paragrafo 1, se la parte frontale è in grado di sopportare un carico pari ad almeno 2,5 volte quello previsto per la paratia di collisione di una nave destinata alla navigazione interna con la medesima immersione, costruita conformemente ai requisiti stabiliti da un organismo di classificazione autorizzato;</w:t>
      </w:r>
    </w:p>
    <w:p w:rsidR="006E0BD7" w:rsidRPr="00C903F8" w:rsidRDefault="005C7859" w:rsidP="0034719E">
      <w:pPr>
        <w:pStyle w:val="ESlet"/>
        <w:rPr>
          <w:rFonts w:eastAsia="Calibri" w:cs="Arial"/>
          <w:szCs w:val="18"/>
        </w:rPr>
      </w:pPr>
      <w:r>
        <w:t>b)</w:t>
      </w:r>
      <w:r>
        <w:tab/>
        <w:t>in deroga all'articolo 8.08, paragrafo 1, l'esaurimento nei compartimenti dal doppio fondo di difficile accesso dev'essere possibile solo quando il volume dei compartimenti supera il 5 % del volume d'immersione della bettolina trasportabile su nave alla massima immersione a pieno carico autorizzata.</w:t>
      </w:r>
    </w:p>
    <w:p w:rsidR="006E0BD7" w:rsidRPr="00C903F8" w:rsidRDefault="006E0BD7" w:rsidP="006E0BD7">
      <w:pPr>
        <w:pStyle w:val="ESch"/>
        <w:rPr>
          <w:rFonts w:eastAsia="Calibri"/>
          <w:noProof/>
        </w:rPr>
      </w:pPr>
    </w:p>
    <w:p w:rsidR="006E0BD7" w:rsidRPr="00C903F8" w:rsidRDefault="006E0BD7" w:rsidP="006E0BD7">
      <w:pPr>
        <w:pStyle w:val="ESch"/>
        <w:rPr>
          <w:rFonts w:eastAsia="Calibri" w:cs="Arial"/>
          <w:szCs w:val="18"/>
        </w:rPr>
      </w:pPr>
      <w:r>
        <w:lastRenderedPageBreak/>
        <w:t xml:space="preserve">3. </w:t>
      </w:r>
      <w:r>
        <w:tab/>
        <w:t>Le imbarcazioni destinate ad essere spinte sono provviste di dispositivi d'accoppiamento che garantiscano un collegamento sicuro con le altre imbarcazioni.</w:t>
      </w:r>
    </w:p>
    <w:p w:rsidR="006E0BD7" w:rsidRPr="00C903F8" w:rsidRDefault="006E0BD7" w:rsidP="006E0BD7">
      <w:pPr>
        <w:pStyle w:val="ESch"/>
        <w:rPr>
          <w:rFonts w:eastAsia="Calibri" w:cs="Arial"/>
          <w:szCs w:val="18"/>
        </w:rPr>
      </w:pPr>
    </w:p>
    <w:p w:rsidR="00D66948" w:rsidRDefault="00D66948" w:rsidP="006E0BD7">
      <w:pPr>
        <w:pStyle w:val="ESch"/>
        <w:rPr>
          <w:rFonts w:eastAsia="Calibri" w:cs="Arial"/>
          <w:szCs w:val="18"/>
        </w:rPr>
      </w:pPr>
    </w:p>
    <w:p w:rsidR="00561878" w:rsidRDefault="00561878">
      <w:pPr>
        <w:autoSpaceDE/>
        <w:autoSpaceDN/>
        <w:ind w:left="0" w:firstLine="0"/>
        <w:jc w:val="left"/>
        <w:rPr>
          <w:rFonts w:eastAsia="Calibri" w:cs="Arial"/>
          <w:szCs w:val="18"/>
        </w:rPr>
      </w:pPr>
      <w:r>
        <w:br w:type="page"/>
      </w:r>
    </w:p>
    <w:p w:rsidR="006E0BD7" w:rsidRPr="00C903F8" w:rsidRDefault="006E0BD7" w:rsidP="006E0BD7">
      <w:pPr>
        <w:pStyle w:val="ES-Titre3"/>
        <w:rPr>
          <w:rFonts w:cs="Arial"/>
          <w:i/>
          <w:szCs w:val="18"/>
        </w:rPr>
      </w:pPr>
      <w:bookmarkStart w:id="422" w:name="_Toc491854208"/>
      <w:bookmarkStart w:id="423" w:name="_Toc535500157"/>
      <w:r>
        <w:lastRenderedPageBreak/>
        <w:t>Articolo 21.03</w:t>
      </w:r>
      <w:r>
        <w:br/>
      </w:r>
      <w:r>
        <w:rPr>
          <w:i/>
          <w:noProof/>
        </w:rPr>
        <w:t>Imbarcazioni idonee alla propulsione di una formazione in coppia</w:t>
      </w:r>
      <w:bookmarkEnd w:id="422"/>
      <w:bookmarkEnd w:id="423"/>
    </w:p>
    <w:p w:rsidR="006E0BD7" w:rsidRPr="00C903F8" w:rsidRDefault="006E0BD7" w:rsidP="006E0BD7">
      <w:pPr>
        <w:pStyle w:val="ESch"/>
        <w:rPr>
          <w:rFonts w:eastAsia="Calibri"/>
          <w:noProof/>
        </w:rPr>
      </w:pPr>
    </w:p>
    <w:p w:rsidR="006E0BD7" w:rsidRPr="00C903F8" w:rsidRDefault="006E0BD7" w:rsidP="006E0BD7">
      <w:pPr>
        <w:pStyle w:val="ESgauche"/>
        <w:rPr>
          <w:rFonts w:eastAsia="Calibri" w:cs="Arial"/>
          <w:szCs w:val="18"/>
        </w:rPr>
      </w:pPr>
      <w:r>
        <w:t>Le imbarcazioni destinate alla propulsione di una formazione in coppia sono provviste di bitte o di dispositivi equivalenti che, per numero e disposizione, consentono l'accoppiamento sicuro della formazione.</w:t>
      </w:r>
    </w:p>
    <w:p w:rsidR="006E0BD7" w:rsidRPr="00C903F8" w:rsidRDefault="006E0BD7" w:rsidP="006E0BD7">
      <w:pPr>
        <w:pStyle w:val="ESch"/>
        <w:rPr>
          <w:rFonts w:eastAsia="Calibri" w:cs="Arial"/>
          <w:szCs w:val="18"/>
        </w:rPr>
      </w:pPr>
    </w:p>
    <w:p w:rsidR="006E0BD7" w:rsidRPr="00C903F8" w:rsidRDefault="006E0BD7" w:rsidP="006E0BD7">
      <w:pPr>
        <w:pStyle w:val="ESch"/>
        <w:rPr>
          <w:rFonts w:eastAsia="Calibri" w:cs="Arial"/>
          <w:szCs w:val="18"/>
        </w:rPr>
      </w:pPr>
    </w:p>
    <w:p w:rsidR="006E0BD7" w:rsidRPr="00C903F8" w:rsidRDefault="006E0BD7" w:rsidP="006E0BD7">
      <w:pPr>
        <w:pStyle w:val="ES-Titre3"/>
        <w:rPr>
          <w:rFonts w:cs="Arial"/>
          <w:i/>
          <w:szCs w:val="18"/>
        </w:rPr>
      </w:pPr>
      <w:bookmarkStart w:id="424" w:name="_Toc491854209"/>
      <w:bookmarkStart w:id="425" w:name="_Toc535500158"/>
      <w:r>
        <w:t>Articolo 21.04</w:t>
      </w:r>
      <w:r>
        <w:br/>
      </w:r>
      <w:r>
        <w:rPr>
          <w:i/>
          <w:noProof/>
        </w:rPr>
        <w:t>Imbarcazioni idonee ad essere spostate in convoglio</w:t>
      </w:r>
      <w:bookmarkEnd w:id="424"/>
      <w:bookmarkEnd w:id="425"/>
    </w:p>
    <w:p w:rsidR="006E0BD7" w:rsidRPr="00C903F8" w:rsidRDefault="006E0BD7" w:rsidP="006E0BD7">
      <w:pPr>
        <w:pStyle w:val="ESch"/>
        <w:rPr>
          <w:rFonts w:eastAsia="Calibri"/>
          <w:noProof/>
        </w:rPr>
      </w:pPr>
    </w:p>
    <w:p w:rsidR="006E0BD7" w:rsidRPr="00C903F8" w:rsidRDefault="006E0BD7" w:rsidP="006E0BD7">
      <w:pPr>
        <w:pStyle w:val="ESgauche"/>
        <w:rPr>
          <w:rFonts w:eastAsia="Calibri" w:cs="Arial"/>
          <w:szCs w:val="18"/>
        </w:rPr>
      </w:pPr>
      <w:r>
        <w:t>Le imbarcazioni destinate ad essere spostate in convoglio sono provviste di dispositivi d'accoppiamento, di bitte o di dispositivi equivalenti che, per numero e disposizione, garantiscono un collegamento sicuro con l'altra o le altre imbarcazioni del convoglio.</w:t>
      </w:r>
    </w:p>
    <w:p w:rsidR="006E0BD7" w:rsidRPr="00C903F8" w:rsidRDefault="006E0BD7" w:rsidP="006E0BD7">
      <w:pPr>
        <w:pStyle w:val="ESch"/>
        <w:rPr>
          <w:rFonts w:eastAsia="Calibri" w:cs="Arial"/>
          <w:szCs w:val="18"/>
        </w:rPr>
      </w:pPr>
    </w:p>
    <w:p w:rsidR="006E0BD7" w:rsidRPr="00C903F8" w:rsidRDefault="006E0BD7" w:rsidP="006E0BD7">
      <w:pPr>
        <w:pStyle w:val="ESch"/>
        <w:rPr>
          <w:rFonts w:eastAsia="Calibri" w:cs="Arial"/>
          <w:szCs w:val="18"/>
        </w:rPr>
      </w:pPr>
    </w:p>
    <w:p w:rsidR="006E0BD7" w:rsidRPr="00C903F8" w:rsidRDefault="006E0BD7" w:rsidP="006E0BD7">
      <w:pPr>
        <w:pStyle w:val="ES-Titre3"/>
        <w:rPr>
          <w:rFonts w:cs="Arial"/>
          <w:i/>
          <w:szCs w:val="18"/>
        </w:rPr>
      </w:pPr>
      <w:bookmarkStart w:id="426" w:name="_Toc491854210"/>
      <w:bookmarkStart w:id="427" w:name="_Toc535500159"/>
      <w:r>
        <w:t>Articolo 21.05</w:t>
      </w:r>
      <w:r>
        <w:br/>
      </w:r>
      <w:r>
        <w:rPr>
          <w:i/>
          <w:noProof/>
        </w:rPr>
        <w:t>Imbarcazioni idonee al rimorchio</w:t>
      </w:r>
      <w:bookmarkEnd w:id="426"/>
      <w:bookmarkEnd w:id="427"/>
    </w:p>
    <w:p w:rsidR="006E0BD7" w:rsidRPr="00C903F8" w:rsidRDefault="006E0BD7" w:rsidP="006E0BD7">
      <w:pPr>
        <w:pStyle w:val="ESch"/>
        <w:rPr>
          <w:rFonts w:eastAsia="Calibri"/>
          <w:noProof/>
        </w:rPr>
      </w:pPr>
    </w:p>
    <w:p w:rsidR="006E0BD7" w:rsidRPr="00C903F8" w:rsidRDefault="008E7AC7" w:rsidP="006E0BD7">
      <w:pPr>
        <w:pStyle w:val="ESch"/>
        <w:rPr>
          <w:rFonts w:eastAsia="Calibri" w:cs="Arial"/>
          <w:szCs w:val="18"/>
        </w:rPr>
      </w:pPr>
      <w:r>
        <w:t>1.</w:t>
      </w:r>
      <w:r>
        <w:tab/>
        <w:t>Le imbarcazioni destinate al rimorchio soddisfano le seguenti condizioni:</w:t>
      </w:r>
    </w:p>
    <w:p w:rsidR="006E0BD7" w:rsidRPr="00C903F8" w:rsidRDefault="005C7859" w:rsidP="0034719E">
      <w:pPr>
        <w:pStyle w:val="ESlet"/>
        <w:rPr>
          <w:rFonts w:eastAsia="Calibri" w:cs="Arial"/>
          <w:szCs w:val="18"/>
        </w:rPr>
      </w:pPr>
      <w:r>
        <w:t>a)</w:t>
      </w:r>
      <w:r>
        <w:tab/>
        <w:t>i dispositivi di rimorchio sono disposti in modo tale che la loro utilizzazione non comprometta la sicurezza dell'imbarcazione, dell'equipaggio o del carico;</w:t>
      </w:r>
    </w:p>
    <w:p w:rsidR="006E0BD7" w:rsidRPr="00C903F8" w:rsidRDefault="005C7859" w:rsidP="0034719E">
      <w:pPr>
        <w:pStyle w:val="ESlet"/>
        <w:rPr>
          <w:rFonts w:eastAsia="Calibri" w:cs="Arial"/>
          <w:szCs w:val="18"/>
        </w:rPr>
      </w:pPr>
      <w:r>
        <w:t>b)</w:t>
      </w:r>
      <w:r>
        <w:tab/>
        <w:t>le imbarcazioni destinate al tonneggio e al rimorchio sono provviste di un gancio di traino che può essere mollato in modo sicuro dalla timoneria; la presente disposizione non si applica se le imbarcazioni sono costruite in modo tale o dotate di dispositivi tali da rendere impossibile il capovolgimento;</w:t>
      </w:r>
    </w:p>
    <w:p w:rsidR="006E0BD7" w:rsidRPr="00C903F8" w:rsidRDefault="005C7859" w:rsidP="0034719E">
      <w:pPr>
        <w:pStyle w:val="ESlet"/>
        <w:rPr>
          <w:rFonts w:eastAsia="Calibri" w:cs="Arial"/>
          <w:szCs w:val="18"/>
        </w:rPr>
      </w:pPr>
      <w:r>
        <w:t>c)</w:t>
      </w:r>
      <w:r>
        <w:tab/>
        <w:t>come dispositivi di rimorchio, sono previsti verricelli o un gancio di traino. I dispositivi di rimorchio sono collocati a proravia del piano delle eliche. Detto requisito non si applica alle imbarcazioni governate da organi di propulsione propri come le eliche orientabili o i propulsori cicloidali;</w:t>
      </w:r>
    </w:p>
    <w:p w:rsidR="006E0BD7" w:rsidRPr="00C903F8" w:rsidRDefault="0029453D" w:rsidP="0034719E">
      <w:pPr>
        <w:pStyle w:val="ESlet"/>
        <w:rPr>
          <w:rFonts w:eastAsia="Calibri" w:cs="Arial"/>
          <w:szCs w:val="18"/>
        </w:rPr>
      </w:pPr>
      <w:r>
        <w:t>d)</w:t>
      </w:r>
      <w:r>
        <w:tab/>
        <w:t>in deroga ai requisiti di cui alla lettera c), per le imbarcazioni che, in base alle disposizioni di sicurezza della navigazione in vigore negli Stati membri, sono destinate al solo rimorchio di rinforzo per imbarcazioni motorizzate, è sufficiente un dispositivo di rimorchio, come una bitta o dispositivo equivalente; le disposizioni di cui alla lettera b) si applicano per analogia;</w:t>
      </w:r>
    </w:p>
    <w:p w:rsidR="006E0BD7" w:rsidRPr="00C903F8" w:rsidRDefault="0029453D" w:rsidP="0034719E">
      <w:pPr>
        <w:pStyle w:val="ESlet"/>
        <w:rPr>
          <w:rFonts w:eastAsia="Calibri" w:cs="Arial"/>
          <w:szCs w:val="18"/>
        </w:rPr>
      </w:pPr>
      <w:r>
        <w:t>e)</w:t>
      </w:r>
      <w:r>
        <w:tab/>
        <w:t>per evitare che i cavi di rimorchio si impiglino a poppa, sono previsti archetti di guida dotati di arresti metallici.</w:t>
      </w:r>
    </w:p>
    <w:p w:rsidR="006E0BD7" w:rsidRPr="00C903F8" w:rsidRDefault="006E0BD7" w:rsidP="006E0BD7">
      <w:pPr>
        <w:pStyle w:val="ESch"/>
        <w:rPr>
          <w:rFonts w:eastAsia="Calibri"/>
          <w:noProof/>
        </w:rPr>
      </w:pPr>
    </w:p>
    <w:p w:rsidR="006E0BD7" w:rsidRPr="00C903F8" w:rsidRDefault="008E7AC7" w:rsidP="006E0BD7">
      <w:pPr>
        <w:pStyle w:val="ESch"/>
        <w:rPr>
          <w:rFonts w:eastAsia="Calibri" w:cs="Arial"/>
          <w:szCs w:val="18"/>
        </w:rPr>
      </w:pPr>
      <w:r>
        <w:t>2.</w:t>
      </w:r>
      <w:r>
        <w:tab/>
        <w:t xml:space="preserve">Le imbarcazioni di lunghezza </w:t>
      </w:r>
      <m:oMath>
        <m:r>
          <w:rPr>
            <w:rFonts w:ascii="Cambria Math" w:eastAsia="Calibri" w:hAnsi="Cambria Math"/>
            <w:noProof/>
          </w:rPr>
          <m:t>L</m:t>
        </m:r>
      </m:oMath>
      <w:r>
        <w:t xml:space="preserve"> superiore a 86 m non sono autorizzate al rimorchio a valle.</w:t>
      </w:r>
    </w:p>
    <w:p w:rsidR="006E0BD7" w:rsidRPr="00C903F8" w:rsidRDefault="006E0BD7" w:rsidP="006E0BD7">
      <w:pPr>
        <w:pStyle w:val="ESch"/>
        <w:rPr>
          <w:rFonts w:eastAsia="Calibri" w:cs="Arial"/>
          <w:szCs w:val="18"/>
        </w:rPr>
      </w:pPr>
    </w:p>
    <w:p w:rsidR="006E0BD7" w:rsidRPr="00C903F8" w:rsidRDefault="006E0BD7" w:rsidP="006E0BD7">
      <w:pPr>
        <w:pStyle w:val="ESch"/>
        <w:rPr>
          <w:rFonts w:eastAsia="Calibri" w:cs="Arial"/>
          <w:szCs w:val="18"/>
        </w:rPr>
      </w:pPr>
    </w:p>
    <w:p w:rsidR="006E0BD7" w:rsidRPr="00C903F8" w:rsidRDefault="006E0BD7" w:rsidP="006E0BD7">
      <w:pPr>
        <w:pStyle w:val="ES-Titre3"/>
        <w:rPr>
          <w:rFonts w:cs="Arial"/>
          <w:i/>
          <w:szCs w:val="18"/>
        </w:rPr>
      </w:pPr>
      <w:bookmarkStart w:id="428" w:name="_Toc491854211"/>
      <w:bookmarkStart w:id="429" w:name="_Toc535500160"/>
      <w:r>
        <w:t>Articolo 21.06</w:t>
      </w:r>
      <w:r>
        <w:br/>
      </w:r>
      <w:r>
        <w:rPr>
          <w:i/>
          <w:noProof/>
        </w:rPr>
        <w:t>Prove di navigazione sui convogli</w:t>
      </w:r>
      <w:bookmarkEnd w:id="428"/>
      <w:bookmarkEnd w:id="429"/>
    </w:p>
    <w:p w:rsidR="006E0BD7" w:rsidRPr="00C903F8" w:rsidRDefault="006E0BD7" w:rsidP="006E0BD7">
      <w:pPr>
        <w:pStyle w:val="ESch"/>
        <w:rPr>
          <w:rFonts w:eastAsia="Calibri"/>
          <w:noProof/>
        </w:rPr>
      </w:pPr>
    </w:p>
    <w:p w:rsidR="006E0BD7" w:rsidRPr="00C903F8" w:rsidRDefault="006E0BD7" w:rsidP="006E0BD7">
      <w:pPr>
        <w:pStyle w:val="ESch"/>
        <w:rPr>
          <w:rFonts w:eastAsia="Calibri" w:cs="Arial"/>
          <w:szCs w:val="18"/>
        </w:rPr>
      </w:pPr>
      <w:r>
        <w:t>1</w:t>
      </w:r>
      <w:r>
        <w:tab/>
        <w:t>Ai fini del rilascio di un'autorizzazione come spintore o motonave atto a spostare un convoglio rigido e dell'inserimento della menzione corrispondente nel certificato per la navigazione interna, la commissione di ispezione decide quali formazioni devono essere presentate ed effettua le prove di navigazione di cui all'articolo 5.02 con il convoglio nella formazione o nelle formazioni richieste che le sembrino più sfavorevoli. Il convoglio soddisfa i requisiti di cui agli articoli da 5.02 a 5.10.</w:t>
      </w:r>
    </w:p>
    <w:p w:rsidR="006E0BD7" w:rsidRPr="00C903F8" w:rsidRDefault="006E0BD7" w:rsidP="006E0BD7">
      <w:pPr>
        <w:pStyle w:val="ESch"/>
        <w:rPr>
          <w:rFonts w:eastAsia="Calibri"/>
          <w:noProof/>
        </w:rPr>
      </w:pPr>
    </w:p>
    <w:p w:rsidR="006E0BD7" w:rsidRPr="00C903F8" w:rsidRDefault="006E0BD7" w:rsidP="006E0BD7">
      <w:pPr>
        <w:pStyle w:val="ESchpar"/>
        <w:rPr>
          <w:rFonts w:eastAsia="Calibri" w:cs="Arial"/>
          <w:szCs w:val="18"/>
        </w:rPr>
      </w:pPr>
      <w:r>
        <w:t>La commissione di ispezione verifica che la rigidità del collegamento di tutte le imbarcazioni del convoglio sia garantita nel corso delle manovre previste al capo 5.</w:t>
      </w:r>
    </w:p>
    <w:p w:rsidR="006E0BD7" w:rsidRPr="00C903F8" w:rsidRDefault="006E0BD7" w:rsidP="006E0BD7">
      <w:pPr>
        <w:pStyle w:val="ESch"/>
        <w:rPr>
          <w:rFonts w:eastAsia="Calibri"/>
          <w:noProof/>
        </w:rPr>
      </w:pPr>
    </w:p>
    <w:p w:rsidR="00D66948" w:rsidRDefault="00D66948">
      <w:pPr>
        <w:autoSpaceDE/>
        <w:autoSpaceDN/>
        <w:ind w:left="0" w:firstLine="0"/>
        <w:jc w:val="left"/>
        <w:rPr>
          <w:rFonts w:eastAsia="Calibri"/>
          <w:noProof/>
        </w:rPr>
      </w:pPr>
      <w:r>
        <w:br w:type="page"/>
      </w:r>
    </w:p>
    <w:p w:rsidR="006E0BD7" w:rsidRPr="00C903F8" w:rsidRDefault="006E0BD7" w:rsidP="006E0BD7">
      <w:pPr>
        <w:pStyle w:val="ESch"/>
        <w:rPr>
          <w:rFonts w:eastAsia="Calibri" w:cs="Arial"/>
          <w:szCs w:val="18"/>
        </w:rPr>
      </w:pPr>
      <w:r>
        <w:lastRenderedPageBreak/>
        <w:t xml:space="preserve">2 </w:t>
      </w:r>
      <w:r>
        <w:tab/>
        <w:t>Se, nel corso delle prove di navigazione di cui al paragrafo 1, strutture speciali sono presenti a bordo delle imbarcazioni spinte o rimorchiate a coppia, come apparato di governo, organi di propulsione o apparecchi di manovra, oppure accoppiamenti articolati, per soddisfare i requisiti di cui agli articoli da 5.02 a 5.10, nel certificato per la navigazione interna dell'imbarcazione di propulsione del convoglio sono inserite le seguenti annotazioni: formazione, posizione, nome e numero unico europeo di identificazione delle navi dei galleggianti provvisti delle strutture speciali utilizzate.</w:t>
      </w:r>
    </w:p>
    <w:p w:rsidR="006E0BD7" w:rsidRPr="00C903F8" w:rsidRDefault="006E0BD7" w:rsidP="006E0BD7">
      <w:pPr>
        <w:pStyle w:val="ESch"/>
        <w:rPr>
          <w:rFonts w:eastAsia="Calibri" w:cs="Arial"/>
          <w:szCs w:val="18"/>
        </w:rPr>
      </w:pPr>
    </w:p>
    <w:p w:rsidR="006E0BD7" w:rsidRPr="00C903F8" w:rsidRDefault="006E0BD7" w:rsidP="006E0BD7">
      <w:pPr>
        <w:pStyle w:val="ESch"/>
        <w:rPr>
          <w:rFonts w:eastAsia="Calibri" w:cs="Arial"/>
          <w:szCs w:val="18"/>
        </w:rPr>
      </w:pPr>
    </w:p>
    <w:p w:rsidR="006E0BD7" w:rsidRPr="00C903F8" w:rsidRDefault="006E0BD7" w:rsidP="006E0BD7">
      <w:pPr>
        <w:pStyle w:val="ES-Titre3"/>
        <w:rPr>
          <w:rFonts w:cs="Arial"/>
          <w:i/>
          <w:szCs w:val="18"/>
        </w:rPr>
      </w:pPr>
      <w:bookmarkStart w:id="430" w:name="_Toc491854212"/>
      <w:bookmarkStart w:id="431" w:name="_Toc535500161"/>
      <w:r>
        <w:t>Articolo 21.07</w:t>
      </w:r>
      <w:r>
        <w:br/>
      </w:r>
      <w:r>
        <w:rPr>
          <w:i/>
          <w:noProof/>
        </w:rPr>
        <w:t>Annotazioni sul certificato per la navigazione interna</w:t>
      </w:r>
      <w:bookmarkEnd w:id="430"/>
      <w:bookmarkEnd w:id="431"/>
    </w:p>
    <w:p w:rsidR="006E0BD7" w:rsidRPr="00C903F8" w:rsidRDefault="006E0BD7" w:rsidP="006E0BD7">
      <w:pPr>
        <w:pStyle w:val="ESch"/>
        <w:rPr>
          <w:rFonts w:eastAsia="Calibri"/>
          <w:noProof/>
        </w:rPr>
      </w:pPr>
    </w:p>
    <w:p w:rsidR="006E0BD7" w:rsidRPr="00C903F8" w:rsidRDefault="006E0BD7" w:rsidP="006E0BD7">
      <w:pPr>
        <w:pStyle w:val="ESch"/>
        <w:rPr>
          <w:rFonts w:eastAsia="Calibri" w:cs="Arial"/>
          <w:szCs w:val="18"/>
        </w:rPr>
      </w:pPr>
      <w:r>
        <w:t xml:space="preserve">1 </w:t>
      </w:r>
      <w:r>
        <w:tab/>
        <w:t>Se un'imbarcazione è destinata alla propulsione di un convoglio o ad essere spostata in un convoglio, la sua conformità ai requisiti applicabili di cui agli articoli da 21.01 a 21.06 è annotata nel certificato per la navigazione interna.</w:t>
      </w:r>
    </w:p>
    <w:p w:rsidR="006E0BD7" w:rsidRPr="00C903F8" w:rsidRDefault="006E0BD7" w:rsidP="006E0BD7">
      <w:pPr>
        <w:pStyle w:val="ESch"/>
        <w:rPr>
          <w:rFonts w:eastAsia="Calibri"/>
          <w:noProof/>
        </w:rPr>
      </w:pPr>
    </w:p>
    <w:p w:rsidR="006E0BD7" w:rsidRPr="00C903F8" w:rsidRDefault="006E0BD7" w:rsidP="006E0BD7">
      <w:pPr>
        <w:pStyle w:val="ESch"/>
        <w:rPr>
          <w:rFonts w:eastAsia="Calibri" w:cs="Arial"/>
          <w:szCs w:val="18"/>
        </w:rPr>
      </w:pPr>
      <w:r>
        <w:t xml:space="preserve">2 </w:t>
      </w:r>
      <w:r>
        <w:tab/>
        <w:t>Nel certificato per la navigazione interna dell'imbarcazione di propulsione, sono inserite le seguenti annotazioni:</w:t>
      </w:r>
    </w:p>
    <w:p w:rsidR="006E0BD7" w:rsidRPr="00C903F8" w:rsidRDefault="005C7859" w:rsidP="006E0BD7">
      <w:pPr>
        <w:pStyle w:val="ESlet"/>
        <w:rPr>
          <w:rFonts w:eastAsia="Calibri" w:cs="Arial"/>
          <w:szCs w:val="18"/>
        </w:rPr>
      </w:pPr>
      <w:r>
        <w:t>a)</w:t>
      </w:r>
      <w:r>
        <w:tab/>
        <w:t>i convogli e le formazioni ammessi;</w:t>
      </w:r>
    </w:p>
    <w:p w:rsidR="006E0BD7" w:rsidRPr="00C903F8" w:rsidRDefault="005C7859" w:rsidP="006E0BD7">
      <w:pPr>
        <w:pStyle w:val="ESlet"/>
        <w:rPr>
          <w:rFonts w:eastAsia="Calibri" w:cs="Arial"/>
          <w:szCs w:val="18"/>
        </w:rPr>
      </w:pPr>
      <w:r>
        <w:t>b)</w:t>
      </w:r>
      <w:r>
        <w:tab/>
        <w:t>i tipi d'accoppiamento;</w:t>
      </w:r>
    </w:p>
    <w:p w:rsidR="006E0BD7" w:rsidRPr="00C903F8" w:rsidRDefault="005C7859" w:rsidP="006E0BD7">
      <w:pPr>
        <w:pStyle w:val="ESlet"/>
        <w:rPr>
          <w:rFonts w:eastAsia="Calibri" w:cs="Arial"/>
          <w:szCs w:val="18"/>
        </w:rPr>
      </w:pPr>
      <w:r>
        <w:t>c)</w:t>
      </w:r>
      <w:r>
        <w:tab/>
        <w:t>le forze d'accoppiamento massime stabilite;</w:t>
      </w:r>
    </w:p>
    <w:p w:rsidR="006E0BD7" w:rsidRPr="00C903F8" w:rsidRDefault="0029453D" w:rsidP="006E0BD7">
      <w:pPr>
        <w:pStyle w:val="ESlet"/>
        <w:rPr>
          <w:rFonts w:eastAsia="Calibri" w:cs="Arial"/>
          <w:szCs w:val="18"/>
        </w:rPr>
      </w:pPr>
      <w:r>
        <w:t>d)</w:t>
      </w:r>
      <w:r>
        <w:tab/>
        <w:t>eventualmente, il carico di rottura minimo dei cavi d'accoppiamento del collegamento longitudinale, e il numero di giri di cavo.</w:t>
      </w:r>
    </w:p>
    <w:p w:rsidR="006E0BD7" w:rsidRPr="00C903F8" w:rsidRDefault="006E0BD7" w:rsidP="00973DAA">
      <w:pPr>
        <w:pStyle w:val="ESch"/>
      </w:pPr>
    </w:p>
    <w:p w:rsidR="00716655" w:rsidRPr="00C903F8" w:rsidRDefault="00716655" w:rsidP="00973DAA">
      <w:pPr>
        <w:pStyle w:val="ESch"/>
      </w:pPr>
    </w:p>
    <w:p w:rsidR="00377B97" w:rsidRPr="00C903F8" w:rsidRDefault="00377B97" w:rsidP="00973DAA">
      <w:pPr>
        <w:pStyle w:val="ESch"/>
      </w:pPr>
    </w:p>
    <w:p w:rsidR="00A71FF0" w:rsidRPr="00C903F8" w:rsidRDefault="00A71FF0" w:rsidP="00973DAA">
      <w:pPr>
        <w:pStyle w:val="ESch"/>
      </w:pPr>
      <w:r>
        <w:br w:type="page"/>
      </w:r>
    </w:p>
    <w:p w:rsidR="00377B97" w:rsidRPr="00C903F8" w:rsidRDefault="00377B97" w:rsidP="00973DAA">
      <w:pPr>
        <w:pStyle w:val="ESch"/>
      </w:pPr>
    </w:p>
    <w:p w:rsidR="00377B97" w:rsidRPr="00C903F8" w:rsidRDefault="00377B97" w:rsidP="00377B97">
      <w:pPr>
        <w:pStyle w:val="ES-Titre2"/>
        <w:rPr>
          <w:szCs w:val="24"/>
        </w:rPr>
      </w:pPr>
      <w:bookmarkStart w:id="432" w:name="_Toc491854213"/>
      <w:bookmarkStart w:id="433" w:name="_Toc535500162"/>
      <w:r>
        <w:lastRenderedPageBreak/>
        <w:t>Capo 22</w:t>
      </w:r>
      <w:r>
        <w:br/>
      </w:r>
      <w:r>
        <w:rPr>
          <w:noProof/>
          <w:sz w:val="22"/>
        </w:rPr>
        <w:t>Disposizioni particolari per i galleggianti speciali</w:t>
      </w:r>
      <w:bookmarkEnd w:id="432"/>
      <w:bookmarkEnd w:id="433"/>
    </w:p>
    <w:p w:rsidR="00377B97" w:rsidRPr="00C903F8" w:rsidRDefault="00377B97" w:rsidP="00377B97"/>
    <w:p w:rsidR="00377B97" w:rsidRPr="00C903F8" w:rsidRDefault="00377B97" w:rsidP="00377B97">
      <w:pPr>
        <w:pStyle w:val="ES-Titre3"/>
      </w:pPr>
      <w:bookmarkStart w:id="434" w:name="_Toc491854214"/>
      <w:bookmarkStart w:id="435" w:name="_Toc535500163"/>
      <w:r>
        <w:t>Articolo 22.01</w:t>
      </w:r>
      <w:r>
        <w:br/>
      </w:r>
      <w:r>
        <w:rPr>
          <w:i/>
          <w:noProof/>
        </w:rPr>
        <w:t>Aspetti generali</w:t>
      </w:r>
      <w:bookmarkEnd w:id="434"/>
      <w:bookmarkEnd w:id="435"/>
    </w:p>
    <w:p w:rsidR="00377B97" w:rsidRPr="00C903F8" w:rsidRDefault="00377B97" w:rsidP="00377B97">
      <w:pPr>
        <w:pStyle w:val="ESch"/>
        <w:rPr>
          <w:noProof/>
        </w:rPr>
      </w:pPr>
    </w:p>
    <w:p w:rsidR="00377B97" w:rsidRPr="00C903F8" w:rsidRDefault="00377B97" w:rsidP="00377B97">
      <w:pPr>
        <w:pStyle w:val="ESgauche"/>
        <w:rPr>
          <w:rFonts w:cs="Arial"/>
          <w:szCs w:val="18"/>
        </w:rPr>
      </w:pPr>
      <w:r>
        <w:t>Il capo 3, i capi da 7 a 17 e il capo 21 si applicano ai galleggianti per quanto concerne la costruzione e l'armamento. I galleggianti dotati di mezzo di propulsione proprio soddisfano inoltre le disposizioni dei capi 5 e 6. Gli organi di propulsione che consentono solo brevi spostamenti non costituiscono mezzi di propulsione propri.</w:t>
      </w:r>
    </w:p>
    <w:p w:rsidR="00377B97" w:rsidRPr="00C903F8" w:rsidRDefault="00377B97" w:rsidP="00377B97">
      <w:pPr>
        <w:pStyle w:val="ESch"/>
        <w:rPr>
          <w:rFonts w:cs="Arial"/>
          <w:szCs w:val="18"/>
        </w:rPr>
      </w:pPr>
    </w:p>
    <w:p w:rsidR="00377B97" w:rsidRPr="00C903F8" w:rsidRDefault="00377B97" w:rsidP="00377B97">
      <w:pPr>
        <w:pStyle w:val="ESch"/>
        <w:rPr>
          <w:rFonts w:cs="Arial"/>
          <w:szCs w:val="18"/>
        </w:rPr>
      </w:pPr>
    </w:p>
    <w:p w:rsidR="00377B97" w:rsidRPr="00C903F8" w:rsidRDefault="00377B97" w:rsidP="00377B97">
      <w:pPr>
        <w:pStyle w:val="ES-Titre3"/>
        <w:rPr>
          <w:rFonts w:cs="Arial"/>
          <w:i/>
          <w:szCs w:val="18"/>
        </w:rPr>
      </w:pPr>
      <w:bookmarkStart w:id="436" w:name="_Toc491854215"/>
      <w:bookmarkStart w:id="437" w:name="_Toc535500164"/>
      <w:r>
        <w:t>Articolo 22.02</w:t>
      </w:r>
      <w:r>
        <w:br/>
      </w:r>
      <w:r>
        <w:rPr>
          <w:i/>
          <w:noProof/>
        </w:rPr>
        <w:t>Deroghe</w:t>
      </w:r>
      <w:bookmarkEnd w:id="436"/>
      <w:bookmarkEnd w:id="437"/>
    </w:p>
    <w:p w:rsidR="00377B97" w:rsidRPr="00C903F8" w:rsidRDefault="00377B97" w:rsidP="00377B97">
      <w:pPr>
        <w:pStyle w:val="ESch"/>
        <w:rPr>
          <w:noProof/>
        </w:rPr>
      </w:pPr>
    </w:p>
    <w:p w:rsidR="00377B97" w:rsidRPr="00C903F8" w:rsidRDefault="00377B97" w:rsidP="00377B97">
      <w:pPr>
        <w:pStyle w:val="ESch"/>
        <w:rPr>
          <w:rFonts w:cs="Arial"/>
          <w:szCs w:val="18"/>
        </w:rPr>
      </w:pPr>
      <w:r>
        <w:t xml:space="preserve">1. </w:t>
      </w:r>
      <w:r>
        <w:tab/>
      </w:r>
    </w:p>
    <w:p w:rsidR="00377B97" w:rsidRPr="00C903F8" w:rsidRDefault="005C7859" w:rsidP="00377B97">
      <w:pPr>
        <w:pStyle w:val="ESlet"/>
        <w:rPr>
          <w:rFonts w:cs="Arial"/>
          <w:szCs w:val="18"/>
        </w:rPr>
      </w:pPr>
      <w:r>
        <w:t>a)</w:t>
      </w:r>
      <w:r>
        <w:tab/>
        <w:t>L'articolo 3.03, paragrafi 1 e 2, si applica per analogia;</w:t>
      </w:r>
    </w:p>
    <w:p w:rsidR="00377B97" w:rsidRPr="00C903F8" w:rsidRDefault="005C7859" w:rsidP="00377B97">
      <w:pPr>
        <w:pStyle w:val="ESlet"/>
        <w:rPr>
          <w:rFonts w:cs="Arial"/>
          <w:szCs w:val="18"/>
        </w:rPr>
      </w:pPr>
      <w:r>
        <w:t>b)</w:t>
      </w:r>
      <w:r>
        <w:tab/>
        <w:t>l'articolo 7.02 si applica per analogia;</w:t>
      </w:r>
    </w:p>
    <w:p w:rsidR="00377B97" w:rsidRPr="00C903F8" w:rsidRDefault="005C7859" w:rsidP="00377B97">
      <w:pPr>
        <w:pStyle w:val="ESlet"/>
        <w:rPr>
          <w:rFonts w:cs="Arial"/>
          <w:szCs w:val="18"/>
        </w:rPr>
      </w:pPr>
      <w:r>
        <w:t>c)</w:t>
      </w:r>
      <w:r>
        <w:tab/>
        <w:t>i livelli massimi di pressione acustica previsti all'articolo 15.02, paragrafo 5, seconda frase, possono essere superati quando sono in funzione gli impianti adibiti a lavori del galleggiante speciale, a condizione che, durante il funzionamento, nessuno dorma a bordo di notte;</w:t>
      </w:r>
    </w:p>
    <w:p w:rsidR="00377B97" w:rsidRPr="00C903F8" w:rsidRDefault="0029453D" w:rsidP="006136F0">
      <w:pPr>
        <w:pStyle w:val="ESlet"/>
        <w:rPr>
          <w:rFonts w:cs="Arial"/>
          <w:szCs w:val="18"/>
        </w:rPr>
      </w:pPr>
      <w:r>
        <w:t>d)</w:t>
      </w:r>
      <w:r>
        <w:tab/>
        <w:t>la commissione di ispezione può accordare deroghe alle altre disposizioni relative alla costruzione navale, all'allestimento e all'armamento purché in ciascun caso sia provata una sicurezza equivalente.</w:t>
      </w:r>
    </w:p>
    <w:p w:rsidR="00377B97" w:rsidRPr="00C903F8" w:rsidRDefault="00377B97" w:rsidP="00377B97">
      <w:pPr>
        <w:pStyle w:val="ESch"/>
        <w:rPr>
          <w:noProof/>
        </w:rPr>
      </w:pPr>
    </w:p>
    <w:p w:rsidR="00377B97" w:rsidRPr="00C903F8" w:rsidRDefault="00377B97" w:rsidP="00377B97">
      <w:pPr>
        <w:pStyle w:val="ESch"/>
        <w:rPr>
          <w:rFonts w:cs="Arial"/>
          <w:szCs w:val="18"/>
        </w:rPr>
      </w:pPr>
      <w:r>
        <w:t>2.</w:t>
      </w:r>
      <w:r>
        <w:tab/>
        <w:t>La commissione di ispezione può esonerare dall'applicazione delle seguenti disposizioni:</w:t>
      </w:r>
    </w:p>
    <w:p w:rsidR="00377B97" w:rsidRPr="00C903F8" w:rsidRDefault="005C7859" w:rsidP="00377B97">
      <w:pPr>
        <w:pStyle w:val="ESlet"/>
        <w:rPr>
          <w:rFonts w:cs="Arial"/>
          <w:szCs w:val="18"/>
        </w:rPr>
      </w:pPr>
      <w:r>
        <w:t>a)</w:t>
      </w:r>
      <w:r>
        <w:tab/>
        <w:t xml:space="preserve">articolo 13.01: il paragrafo 1 non si applica se, durante l'utilizzazione il galleggiante speciale può essere ancorato in modo sicuro mediante l'ausilio di un'ancora da lavoro o di pali da ormeggio. Tuttavia, un galleggiante speciale dotato di mezzo di propulsione proprio è provvisto di almeno un'ancora come da articolo 13.01, paragrafo 1, con un coefficiente empirico </w:t>
      </w:r>
      <m:oMath>
        <m:r>
          <w:rPr>
            <w:rFonts w:ascii="Cambria Math" w:hAnsi="Cambria Math"/>
            <w:noProof/>
          </w:rPr>
          <m:t>k</m:t>
        </m:r>
      </m:oMath>
      <w:r>
        <w:t xml:space="preserve"> pari a 45 e </w:t>
      </w:r>
      <m:oMath>
        <m:r>
          <w:rPr>
            <w:rFonts w:ascii="Cambria Math" w:hAnsi="Cambria Math"/>
            <w:noProof/>
          </w:rPr>
          <m:t>T</m:t>
        </m:r>
      </m:oMath>
      <w:r>
        <w:t xml:space="preserve"> pari all'altezza </w:t>
      </w:r>
      <m:oMath>
        <m:r>
          <w:rPr>
            <w:rFonts w:ascii="Cambria Math" w:hAnsi="Cambria Math"/>
            <w:noProof/>
          </w:rPr>
          <m:t>H</m:t>
        </m:r>
      </m:oMath>
      <w:r>
        <w:t>;</w:t>
      </w:r>
    </w:p>
    <w:p w:rsidR="00377B97" w:rsidRPr="00C903F8" w:rsidRDefault="005C7859" w:rsidP="00377B97">
      <w:pPr>
        <w:pStyle w:val="ESlet"/>
        <w:rPr>
          <w:rFonts w:cs="Arial"/>
          <w:szCs w:val="18"/>
        </w:rPr>
      </w:pPr>
      <w:r>
        <w:t>b)</w:t>
      </w:r>
      <w:r>
        <w:tab/>
        <w:t>articolo 15.02, paragrafo 1, seconda parte della frase: se l'alloggio equipaggio è illuminato adeguatamente dalla luce elettrica.</w:t>
      </w:r>
    </w:p>
    <w:p w:rsidR="00377B97" w:rsidRPr="00C903F8" w:rsidRDefault="00377B97" w:rsidP="00377B97">
      <w:pPr>
        <w:pStyle w:val="ESch"/>
        <w:rPr>
          <w:noProof/>
        </w:rPr>
      </w:pPr>
    </w:p>
    <w:p w:rsidR="00377B97" w:rsidRPr="00C903F8" w:rsidRDefault="00377B97" w:rsidP="00377B97">
      <w:pPr>
        <w:pStyle w:val="ESch"/>
        <w:rPr>
          <w:rFonts w:cs="Arial"/>
          <w:szCs w:val="18"/>
        </w:rPr>
      </w:pPr>
      <w:r>
        <w:t>3.</w:t>
      </w:r>
      <w:r>
        <w:tab/>
        <w:t>Si applica inoltre quanto segue:</w:t>
      </w:r>
    </w:p>
    <w:p w:rsidR="00377B97" w:rsidRPr="00C903F8" w:rsidRDefault="005C7859" w:rsidP="00377B97">
      <w:pPr>
        <w:pStyle w:val="ESlet"/>
        <w:rPr>
          <w:rFonts w:cs="Arial"/>
          <w:szCs w:val="18"/>
        </w:rPr>
      </w:pPr>
      <w:r>
        <w:t>a)</w:t>
      </w:r>
      <w:r>
        <w:tab/>
        <w:t>articolo 8.08, paragrafo 2, seconda frase: la pompa di sentina è a motore;</w:t>
      </w:r>
    </w:p>
    <w:p w:rsidR="00377B97" w:rsidRPr="00C903F8" w:rsidRDefault="005C7859" w:rsidP="00377B97">
      <w:pPr>
        <w:pStyle w:val="ESlet"/>
        <w:rPr>
          <w:rFonts w:cs="Arial"/>
          <w:szCs w:val="18"/>
        </w:rPr>
      </w:pPr>
      <w:r>
        <w:t>b)</w:t>
      </w:r>
      <w:r>
        <w:tab/>
        <w:t>articolo 8.10, paragrafo 3: il rumore può superare 65 dB(A) ad una distanza laterale di 25 m dalla murata del galleggiante speciale quando sono in funzione gli impianti adibiti a lavori;</w:t>
      </w:r>
    </w:p>
    <w:p w:rsidR="00377B97" w:rsidRPr="00C903F8" w:rsidRDefault="005C7859" w:rsidP="00377B97">
      <w:pPr>
        <w:pStyle w:val="ESlet"/>
        <w:rPr>
          <w:rFonts w:cs="Arial"/>
          <w:szCs w:val="18"/>
        </w:rPr>
      </w:pPr>
      <w:r>
        <w:t>c)</w:t>
      </w:r>
      <w:r>
        <w:tab/>
        <w:t>articolo 13.03, paragrafo 1: occorre almeno un estintore portatile supplementare se sul ponte sono collocati impianti adibiti a lavori non fissati in modo permanente al galleggiante;</w:t>
      </w:r>
    </w:p>
    <w:p w:rsidR="00377B97" w:rsidRPr="00C903F8" w:rsidRDefault="0029453D" w:rsidP="00377B97">
      <w:pPr>
        <w:pStyle w:val="ESlet"/>
        <w:rPr>
          <w:rFonts w:cs="Arial"/>
          <w:szCs w:val="18"/>
        </w:rPr>
      </w:pPr>
      <w:r>
        <w:t>d)</w:t>
      </w:r>
      <w:r>
        <w:tab/>
        <w:t>articolo 17.02, paragrafo 2: oltre agli impianti a gas liquefatto per uso domestico, possono esservi anche altri impianti a gas liquefatto. Detti impianti e i loro accessori soddisfano le disposizioni in vigore in uno degli Stati membri.</w:t>
      </w:r>
    </w:p>
    <w:p w:rsidR="00377B97" w:rsidRPr="00C903F8" w:rsidRDefault="00377B97" w:rsidP="00377B97">
      <w:pPr>
        <w:pStyle w:val="ESch"/>
        <w:rPr>
          <w:rFonts w:cs="Arial"/>
          <w:szCs w:val="18"/>
        </w:rPr>
      </w:pPr>
    </w:p>
    <w:p w:rsidR="003D6C36" w:rsidRPr="00C903F8" w:rsidRDefault="003D6C36" w:rsidP="00377B97">
      <w:pPr>
        <w:pStyle w:val="ESch"/>
        <w:rPr>
          <w:rFonts w:cs="Arial"/>
          <w:szCs w:val="18"/>
        </w:rPr>
      </w:pPr>
      <w:r>
        <w:br w:type="page"/>
      </w:r>
    </w:p>
    <w:p w:rsidR="00377B97" w:rsidRPr="00C903F8" w:rsidRDefault="00377B97" w:rsidP="00377B97">
      <w:pPr>
        <w:pStyle w:val="ES-Titre3"/>
        <w:rPr>
          <w:rFonts w:cs="Arial"/>
          <w:i/>
          <w:szCs w:val="18"/>
        </w:rPr>
      </w:pPr>
      <w:bookmarkStart w:id="438" w:name="_Toc491854216"/>
      <w:bookmarkStart w:id="439" w:name="_Toc535500165"/>
      <w:r>
        <w:lastRenderedPageBreak/>
        <w:t>Articolo 22.03</w:t>
      </w:r>
      <w:r>
        <w:br/>
      </w:r>
      <w:r>
        <w:rPr>
          <w:i/>
          <w:noProof/>
        </w:rPr>
        <w:t>Requisiti supplementari</w:t>
      </w:r>
      <w:bookmarkEnd w:id="438"/>
      <w:bookmarkEnd w:id="439"/>
    </w:p>
    <w:p w:rsidR="00377B97" w:rsidRPr="00C903F8" w:rsidRDefault="00377B97" w:rsidP="00377B97">
      <w:pPr>
        <w:pStyle w:val="ESch"/>
        <w:rPr>
          <w:noProof/>
        </w:rPr>
      </w:pPr>
    </w:p>
    <w:p w:rsidR="00377B97" w:rsidRPr="00C903F8" w:rsidRDefault="00377B97" w:rsidP="00377B97">
      <w:pPr>
        <w:pStyle w:val="ESch"/>
        <w:rPr>
          <w:rFonts w:cs="Arial"/>
          <w:szCs w:val="18"/>
        </w:rPr>
      </w:pPr>
      <w:r>
        <w:t>1.</w:t>
      </w:r>
      <w:r>
        <w:tab/>
        <w:t>I galleggianti a bordo dei quali vi sono persone durante l'esercizio sono dotati di un dispositivo d'allarme generale. Il segnale d'allarme è chiaramente distinguibile dagli altri e raggiunge, nell'alloggio equipaggio e in tutti i posti di lavoro, un livello di pressione acustica superiore di almeno 5 dB(A) al livello massimo di pressione acustica locale. Il dispositivo d'allarme può essere attivato dalla timoneria e dalle principali postazioni operative.</w:t>
      </w:r>
    </w:p>
    <w:p w:rsidR="00377B97" w:rsidRPr="00C903F8" w:rsidRDefault="00377B97" w:rsidP="00377B97">
      <w:pPr>
        <w:pStyle w:val="ESch"/>
        <w:rPr>
          <w:noProof/>
        </w:rPr>
      </w:pPr>
    </w:p>
    <w:p w:rsidR="00377B97" w:rsidRPr="00C903F8" w:rsidRDefault="00377B97" w:rsidP="00377B97">
      <w:pPr>
        <w:pStyle w:val="ESch"/>
        <w:rPr>
          <w:rFonts w:cs="Arial"/>
          <w:szCs w:val="18"/>
        </w:rPr>
      </w:pPr>
      <w:r>
        <w:t>2.</w:t>
      </w:r>
      <w:r>
        <w:tab/>
        <w:t>Gli impianti adibiti a lavori sono sufficientemente robusti per sostenere i carichi a cui sono sottoposti e soddisfano le prescrizioni di uno degli Stati membri della CCNR o della direttiva 2006/42/CE</w:t>
      </w:r>
      <w:r>
        <w:rPr>
          <w:rStyle w:val="FootnoteReference"/>
          <w:noProof/>
        </w:rPr>
        <w:footnoteReference w:id="21"/>
      </w:r>
      <w:r>
        <w:t>, come modificata.</w:t>
      </w:r>
    </w:p>
    <w:p w:rsidR="00377B97" w:rsidRPr="00C903F8" w:rsidRDefault="00377B97" w:rsidP="00377B97">
      <w:pPr>
        <w:pStyle w:val="ESch"/>
        <w:rPr>
          <w:noProof/>
        </w:rPr>
      </w:pPr>
    </w:p>
    <w:p w:rsidR="00377B97" w:rsidRPr="00C903F8" w:rsidRDefault="00377B97" w:rsidP="00377B97">
      <w:pPr>
        <w:pStyle w:val="ESch"/>
        <w:rPr>
          <w:rFonts w:cs="Arial"/>
          <w:szCs w:val="18"/>
        </w:rPr>
      </w:pPr>
      <w:r>
        <w:t>3.</w:t>
      </w:r>
      <w:r>
        <w:tab/>
        <w:t>La stabilità e la robustezza degli impianti adibiti a lavori e, a seconda dei casi, il loro fissaggio sono sufficienti da poter sopportare le possibili sollecitazioni risultanti dallo sbandamento, dall'assetto e dai movimenti del galleggiante speciale.</w:t>
      </w:r>
    </w:p>
    <w:p w:rsidR="00377B97" w:rsidRPr="00C903F8" w:rsidRDefault="00377B97" w:rsidP="00377B97">
      <w:pPr>
        <w:pStyle w:val="ESch"/>
        <w:rPr>
          <w:rFonts w:cs="Arial"/>
          <w:szCs w:val="18"/>
        </w:rPr>
      </w:pPr>
    </w:p>
    <w:p w:rsidR="00377B97" w:rsidRPr="00C903F8" w:rsidRDefault="00377B97" w:rsidP="00377B97">
      <w:pPr>
        <w:pStyle w:val="ESch"/>
        <w:rPr>
          <w:rFonts w:cs="Arial"/>
          <w:szCs w:val="18"/>
        </w:rPr>
      </w:pPr>
      <w:r>
        <w:t>4.</w:t>
      </w:r>
      <w:r>
        <w:tab/>
        <w:t>Se sono issati carichi con l'ausilio di paranchi, il carico massimo autorizzato risultante dalla stabilità e dalla robustezza è indicato in modo visibile su cartelli affissi sul ponte e nelle postazioni operative. Se è possibile aumentare la capacità di sollevamento mediante l'accoppiamento di oggetti galleggianti supplementari, i valori autorizzati con e senza tali oggetti galleggianti supplementari sono indicati in modo chiaro.</w:t>
      </w:r>
    </w:p>
    <w:p w:rsidR="00377B97" w:rsidRPr="00C903F8" w:rsidRDefault="00377B97" w:rsidP="00377B97">
      <w:pPr>
        <w:pStyle w:val="ESch"/>
        <w:rPr>
          <w:rFonts w:cs="Arial"/>
          <w:szCs w:val="18"/>
        </w:rPr>
      </w:pPr>
    </w:p>
    <w:p w:rsidR="00377B97" w:rsidRPr="00C903F8" w:rsidRDefault="00377B97" w:rsidP="00377B97">
      <w:pPr>
        <w:pStyle w:val="ESch"/>
        <w:rPr>
          <w:rFonts w:cs="Arial"/>
          <w:szCs w:val="18"/>
        </w:rPr>
      </w:pPr>
    </w:p>
    <w:p w:rsidR="00377B97" w:rsidRPr="00C903F8" w:rsidRDefault="00377B97" w:rsidP="00377B97">
      <w:pPr>
        <w:pStyle w:val="ES-Titre3"/>
        <w:rPr>
          <w:rFonts w:cs="Arial"/>
          <w:i/>
          <w:szCs w:val="18"/>
        </w:rPr>
      </w:pPr>
      <w:bookmarkStart w:id="440" w:name="_Toc491854217"/>
      <w:bookmarkStart w:id="441" w:name="_Toc535500166"/>
      <w:r>
        <w:t>Articolo 22.04</w:t>
      </w:r>
      <w:r>
        <w:br/>
      </w:r>
      <w:r>
        <w:rPr>
          <w:i/>
          <w:noProof/>
        </w:rPr>
        <w:t>Distanza di sicurezza residua</w:t>
      </w:r>
      <w:bookmarkEnd w:id="440"/>
      <w:bookmarkEnd w:id="441"/>
    </w:p>
    <w:p w:rsidR="00377B97" w:rsidRPr="00C903F8" w:rsidRDefault="00377B97" w:rsidP="00377B97">
      <w:pPr>
        <w:pStyle w:val="ESch"/>
        <w:rPr>
          <w:noProof/>
        </w:rPr>
      </w:pPr>
    </w:p>
    <w:p w:rsidR="00377B97" w:rsidRPr="00C903F8" w:rsidRDefault="00377B97" w:rsidP="00377B97">
      <w:pPr>
        <w:pStyle w:val="ESch"/>
        <w:rPr>
          <w:rFonts w:cs="Arial"/>
          <w:szCs w:val="18"/>
        </w:rPr>
      </w:pPr>
      <w:r>
        <w:t>1.</w:t>
      </w:r>
      <w:r>
        <w:tab/>
        <w:t>Ai fini del presente capo e in deroga all'articolo 1.01, la distanza di sicurezza residua è la distanza verticale minore fra la superficie del piano dell'acqua e il punto più basso del galleggiante speciale oltre il quale esso non è più stagno all'acqua, tenuto conto dell'assetto e dello sbandamento risultante dall'azione dei momenti di cui all'articolo 22.07, paragrafi da 4 a 9.</w:t>
      </w:r>
    </w:p>
    <w:p w:rsidR="00377B97" w:rsidRPr="00C903F8" w:rsidRDefault="00377B97" w:rsidP="00377B97">
      <w:pPr>
        <w:pStyle w:val="ESch"/>
        <w:rPr>
          <w:noProof/>
        </w:rPr>
      </w:pPr>
    </w:p>
    <w:p w:rsidR="00377B97" w:rsidRPr="00C903F8" w:rsidRDefault="00377B97" w:rsidP="00377B97">
      <w:pPr>
        <w:pStyle w:val="ESch"/>
        <w:rPr>
          <w:rFonts w:cs="Arial"/>
          <w:szCs w:val="18"/>
        </w:rPr>
      </w:pPr>
      <w:r>
        <w:t>2.</w:t>
      </w:r>
      <w:r>
        <w:tab/>
        <w:t>La distanza di sicurezza residua è sufficiente ai sensi dell'articolo 22.07, paragrafo 1, per un'apertura stagna agli spruzzi e alle intemperie se è di almeno 300 mm.</w:t>
      </w:r>
    </w:p>
    <w:p w:rsidR="00377B97" w:rsidRPr="00C903F8" w:rsidRDefault="00377B97" w:rsidP="00377B97">
      <w:pPr>
        <w:pStyle w:val="ESch"/>
        <w:rPr>
          <w:noProof/>
        </w:rPr>
      </w:pPr>
    </w:p>
    <w:p w:rsidR="00377B97" w:rsidRPr="00C903F8" w:rsidRDefault="00377B97" w:rsidP="00377B97">
      <w:pPr>
        <w:pStyle w:val="ESch"/>
        <w:rPr>
          <w:rFonts w:cs="Arial"/>
          <w:szCs w:val="18"/>
        </w:rPr>
      </w:pPr>
      <w:r>
        <w:t>3.</w:t>
      </w:r>
      <w:r>
        <w:tab/>
        <w:t>Se l'apertura non è stagna agli spruzzi e alle intemperie, la distanza di sicurezza residua è di almeno 400 mm.</w:t>
      </w:r>
    </w:p>
    <w:p w:rsidR="00377B97" w:rsidRPr="00C903F8" w:rsidRDefault="00377B97" w:rsidP="00377B97">
      <w:pPr>
        <w:pStyle w:val="ESch"/>
        <w:rPr>
          <w:rFonts w:cs="Arial"/>
          <w:szCs w:val="18"/>
        </w:rPr>
      </w:pPr>
    </w:p>
    <w:p w:rsidR="00377B97" w:rsidRPr="00C903F8" w:rsidRDefault="00377B97" w:rsidP="00377B97">
      <w:pPr>
        <w:pStyle w:val="ESch"/>
        <w:rPr>
          <w:rFonts w:cs="Arial"/>
          <w:szCs w:val="18"/>
        </w:rPr>
      </w:pPr>
    </w:p>
    <w:p w:rsidR="00377B97" w:rsidRPr="00C903F8" w:rsidRDefault="00377B97" w:rsidP="00377B97">
      <w:pPr>
        <w:pStyle w:val="ES-Titre3"/>
        <w:rPr>
          <w:i/>
          <w:noProof/>
        </w:rPr>
      </w:pPr>
      <w:bookmarkStart w:id="442" w:name="_Toc491854218"/>
      <w:bookmarkStart w:id="443" w:name="_Toc535500167"/>
      <w:r>
        <w:t>Articolo 22.05</w:t>
      </w:r>
      <w:r>
        <w:br/>
      </w:r>
      <w:r>
        <w:rPr>
          <w:i/>
          <w:noProof/>
        </w:rPr>
        <w:t>Bordo libero residuo</w:t>
      </w:r>
      <w:bookmarkEnd w:id="442"/>
      <w:bookmarkEnd w:id="443"/>
    </w:p>
    <w:p w:rsidR="00377B97" w:rsidRPr="00C903F8" w:rsidRDefault="00377B97" w:rsidP="00377B97">
      <w:pPr>
        <w:pStyle w:val="ESch"/>
        <w:rPr>
          <w:noProof/>
        </w:rPr>
      </w:pPr>
    </w:p>
    <w:p w:rsidR="00377B97" w:rsidRPr="00C903F8" w:rsidRDefault="00377B97" w:rsidP="00377B97">
      <w:pPr>
        <w:pStyle w:val="ESch"/>
        <w:rPr>
          <w:noProof/>
        </w:rPr>
      </w:pPr>
      <w:r>
        <w:t>1.</w:t>
      </w:r>
      <w:r>
        <w:tab/>
        <w:t>Ai fini del presente capo e in deroga all'articolo 1.01, il bordo libero residuo è la distanza verticale minore fra la superficie del piano dell'acqua e la superficie superiore del ponte in corrispondenza del bordo, tenuto conto dell'assetto e dello sbandamento risultante dall'azione dei momenti di cui all'articolo 22.07, paragrafi da 4 a 9.</w:t>
      </w:r>
    </w:p>
    <w:p w:rsidR="00377B97" w:rsidRPr="00C903F8" w:rsidRDefault="00377B97" w:rsidP="00377B97">
      <w:pPr>
        <w:pStyle w:val="ESch"/>
        <w:rPr>
          <w:noProof/>
        </w:rPr>
      </w:pPr>
    </w:p>
    <w:p w:rsidR="00377B97" w:rsidRPr="00C903F8" w:rsidRDefault="00377B97" w:rsidP="00377B97">
      <w:pPr>
        <w:pStyle w:val="ESch"/>
        <w:rPr>
          <w:noProof/>
        </w:rPr>
      </w:pPr>
      <w:r>
        <w:t>2.</w:t>
      </w:r>
      <w:r>
        <w:tab/>
        <w:t>Il bordo libero residuo è sufficiente ai sensi dell'articolo 22.07, paragrafo 1, se è di almeno 300 mm.</w:t>
      </w:r>
    </w:p>
    <w:p w:rsidR="00377B97" w:rsidRPr="00C903F8" w:rsidRDefault="00377B97" w:rsidP="00377B97">
      <w:pPr>
        <w:pStyle w:val="ESch"/>
        <w:rPr>
          <w:noProof/>
        </w:rPr>
      </w:pPr>
    </w:p>
    <w:p w:rsidR="00377B97" w:rsidRPr="00C903F8" w:rsidRDefault="00377B97" w:rsidP="00377B97">
      <w:pPr>
        <w:pStyle w:val="ESch"/>
        <w:rPr>
          <w:noProof/>
        </w:rPr>
      </w:pPr>
      <w:r>
        <w:t>3.</w:t>
      </w:r>
      <w:r>
        <w:tab/>
        <w:t>Il bordo libero residuo può essere ridotto se è provato che i requisiti di cui all'articolo 22.08 sono soddisfatti.</w:t>
      </w:r>
    </w:p>
    <w:p w:rsidR="00377B97" w:rsidRPr="00C903F8" w:rsidRDefault="00377B97" w:rsidP="00377B97">
      <w:pPr>
        <w:pStyle w:val="ESch"/>
        <w:rPr>
          <w:noProof/>
        </w:rPr>
      </w:pPr>
    </w:p>
    <w:p w:rsidR="003D6C36" w:rsidRPr="00C903F8" w:rsidRDefault="003D6C36" w:rsidP="00377B97">
      <w:pPr>
        <w:pStyle w:val="ESch"/>
        <w:rPr>
          <w:noProof/>
        </w:rPr>
      </w:pPr>
      <w:r>
        <w:br w:type="page"/>
      </w:r>
    </w:p>
    <w:p w:rsidR="00377B97" w:rsidRPr="00C903F8" w:rsidRDefault="00377B97" w:rsidP="00377B97">
      <w:pPr>
        <w:pStyle w:val="ESch"/>
        <w:rPr>
          <w:noProof/>
        </w:rPr>
      </w:pPr>
      <w:r>
        <w:lastRenderedPageBreak/>
        <w:t>4.</w:t>
      </w:r>
      <w:r>
        <w:tab/>
        <w:t>Quando la forma di un oggetto galleggiante differisce sensibilmente dalla forma di un pontone, come nel caso di un oggetto galleggiante cilindrico o nel caso di un oggetto galleggiante la cui sezione trasversale presenta più di quattro lati, la commissione di ispezione può esigere o autorizzare un bordo libero residuo diverso da quello di cui al paragrafo 2. Ciò vale anche nel caso di un galleggiante speciale costituito da più oggetti galleggianti.</w:t>
      </w:r>
    </w:p>
    <w:p w:rsidR="00377B97" w:rsidRPr="00C903F8" w:rsidRDefault="00377B97" w:rsidP="00377B97">
      <w:pPr>
        <w:pStyle w:val="ESch"/>
        <w:rPr>
          <w:rFonts w:cs="Arial"/>
          <w:szCs w:val="18"/>
        </w:rPr>
      </w:pPr>
    </w:p>
    <w:p w:rsidR="00377B97" w:rsidRPr="00C903F8" w:rsidRDefault="00377B97" w:rsidP="00377B97">
      <w:pPr>
        <w:pStyle w:val="ESch"/>
        <w:rPr>
          <w:rFonts w:cs="Arial"/>
          <w:szCs w:val="18"/>
        </w:rPr>
      </w:pPr>
    </w:p>
    <w:p w:rsidR="00377B97" w:rsidRPr="00C903F8" w:rsidRDefault="00377B97" w:rsidP="00377B97">
      <w:pPr>
        <w:pStyle w:val="ES-Titre3"/>
        <w:rPr>
          <w:rFonts w:cs="Arial"/>
          <w:i/>
          <w:szCs w:val="18"/>
        </w:rPr>
      </w:pPr>
      <w:bookmarkStart w:id="444" w:name="_Toc491854219"/>
      <w:bookmarkStart w:id="445" w:name="_Toc535500168"/>
      <w:r>
        <w:t>Articolo 22.06</w:t>
      </w:r>
      <w:r>
        <w:br/>
      </w:r>
      <w:r>
        <w:rPr>
          <w:i/>
          <w:noProof/>
        </w:rPr>
        <w:t>Prova di sbandamento</w:t>
      </w:r>
      <w:bookmarkEnd w:id="444"/>
      <w:bookmarkEnd w:id="445"/>
    </w:p>
    <w:p w:rsidR="00377B97" w:rsidRPr="00C903F8" w:rsidRDefault="00377B97" w:rsidP="00377B97">
      <w:pPr>
        <w:pStyle w:val="ESch"/>
        <w:rPr>
          <w:noProof/>
        </w:rPr>
      </w:pPr>
    </w:p>
    <w:p w:rsidR="00377B97" w:rsidRPr="00C903F8" w:rsidRDefault="00377B97" w:rsidP="00377B97">
      <w:pPr>
        <w:pStyle w:val="ESch"/>
        <w:rPr>
          <w:rFonts w:cs="Arial"/>
          <w:szCs w:val="18"/>
        </w:rPr>
      </w:pPr>
      <w:r>
        <w:t>1.</w:t>
      </w:r>
      <w:r>
        <w:tab/>
        <w:t>Ai sensi degli articoli 22.07 e 22.08, la stabilità è dimostrata sulla base di una prova di sbandamento effettuata nella debita forma.</w:t>
      </w:r>
    </w:p>
    <w:p w:rsidR="00377B97" w:rsidRPr="00C903F8" w:rsidRDefault="00377B97" w:rsidP="00377B97">
      <w:pPr>
        <w:pStyle w:val="ESch"/>
        <w:rPr>
          <w:noProof/>
        </w:rPr>
      </w:pPr>
    </w:p>
    <w:p w:rsidR="00377B97" w:rsidRPr="00C903F8" w:rsidRDefault="00377B97" w:rsidP="00377B97">
      <w:pPr>
        <w:pStyle w:val="ESch"/>
        <w:rPr>
          <w:rFonts w:cs="Arial"/>
          <w:szCs w:val="18"/>
        </w:rPr>
      </w:pPr>
      <w:r>
        <w:t>2.</w:t>
      </w:r>
      <w:r>
        <w:tab/>
        <w:t>Se, in occasione di una prova di sbandamento, non si riesce a ottenere un angolo di sbandamento adeguato o se la prova di sbandamento genera difficoltà tecniche eccessive, è possibile effettuare, in sostituzione, un calcolo del peso e del centro di gravità dell'imbarcazione. Il risultato del calcolo del peso è controllato effettuando misurazioni dell'immersione, ammettendo una differenza massima del ± 5 %.</w:t>
      </w:r>
    </w:p>
    <w:p w:rsidR="00377B97" w:rsidRPr="00C903F8" w:rsidRDefault="00377B97" w:rsidP="00377B97">
      <w:pPr>
        <w:pStyle w:val="ESch"/>
        <w:rPr>
          <w:rFonts w:cs="Arial"/>
          <w:szCs w:val="18"/>
        </w:rPr>
      </w:pPr>
    </w:p>
    <w:p w:rsidR="00377B97" w:rsidRPr="00C903F8" w:rsidRDefault="00377B97" w:rsidP="00377B97">
      <w:pPr>
        <w:pStyle w:val="ESch"/>
        <w:rPr>
          <w:rFonts w:cs="Arial"/>
          <w:szCs w:val="18"/>
        </w:rPr>
      </w:pPr>
    </w:p>
    <w:p w:rsidR="00377B97" w:rsidRPr="00C903F8" w:rsidRDefault="00377B97" w:rsidP="00377B97">
      <w:pPr>
        <w:pStyle w:val="ES-Titre3"/>
        <w:rPr>
          <w:rFonts w:cs="Arial"/>
          <w:i/>
          <w:szCs w:val="18"/>
        </w:rPr>
      </w:pPr>
      <w:bookmarkStart w:id="446" w:name="_Toc491854220"/>
      <w:bookmarkStart w:id="447" w:name="_Toc535500169"/>
      <w:r>
        <w:t>Articolo 22.07</w:t>
      </w:r>
      <w:r>
        <w:br/>
      </w:r>
      <w:r>
        <w:rPr>
          <w:i/>
          <w:noProof/>
        </w:rPr>
        <w:t>Dimostrazione della stabilità</w:t>
      </w:r>
      <w:bookmarkEnd w:id="446"/>
      <w:bookmarkEnd w:id="447"/>
    </w:p>
    <w:p w:rsidR="00377B97" w:rsidRPr="00C903F8" w:rsidRDefault="00377B97" w:rsidP="00377B97">
      <w:pPr>
        <w:pStyle w:val="ESch"/>
        <w:rPr>
          <w:noProof/>
        </w:rPr>
      </w:pPr>
    </w:p>
    <w:p w:rsidR="00377B97" w:rsidRPr="00C903F8" w:rsidRDefault="00377B97" w:rsidP="00377B97">
      <w:pPr>
        <w:pStyle w:val="ESch"/>
        <w:rPr>
          <w:rFonts w:cs="Arial"/>
          <w:szCs w:val="18"/>
        </w:rPr>
      </w:pPr>
      <w:r>
        <w:t xml:space="preserve">1. </w:t>
      </w:r>
      <w:r>
        <w:tab/>
        <w:t>Deve essere dimostrato che il bordo libero residuo e la distanza di sicurezza residua sono sufficienti, tenuto conto dei carichi esercitati durante il funzionamento degli impianti adibiti a lavori e in navigazione. A tal fine, la somma degli angoli di sbandamento e di assetto non supera 10° e il fondo dell'oggetto galleggiante non emerge.</w:t>
      </w:r>
    </w:p>
    <w:p w:rsidR="00377B97" w:rsidRPr="00C903F8" w:rsidRDefault="00377B97" w:rsidP="00377B97">
      <w:pPr>
        <w:pStyle w:val="ESch"/>
        <w:rPr>
          <w:noProof/>
        </w:rPr>
      </w:pPr>
    </w:p>
    <w:p w:rsidR="00377B97" w:rsidRPr="00C903F8" w:rsidRDefault="00377B97" w:rsidP="00377B97">
      <w:pPr>
        <w:pStyle w:val="ESch"/>
        <w:rPr>
          <w:rFonts w:cs="Arial"/>
          <w:szCs w:val="18"/>
        </w:rPr>
      </w:pPr>
      <w:r>
        <w:t>2.</w:t>
      </w:r>
      <w:r>
        <w:tab/>
        <w:t>Per dimostrare la stabilità, occorrono i dati e documenti seguenti:</w:t>
      </w:r>
    </w:p>
    <w:p w:rsidR="00377B97" w:rsidRPr="00C903F8" w:rsidRDefault="005C7859" w:rsidP="003D6C36">
      <w:pPr>
        <w:pStyle w:val="ESlet"/>
        <w:rPr>
          <w:noProof/>
        </w:rPr>
      </w:pPr>
      <w:r>
        <w:t>a)</w:t>
      </w:r>
      <w:r>
        <w:tab/>
        <w:t>disegni in scala degli oggetti galleggianti e degli impianti adibiti a lavori, nonché i relativi dati dettagliati necessari per dimostrare la stabilità, quali il contenuto delle cisterne e le aperture di accesso all'interno della nave;</w:t>
      </w:r>
    </w:p>
    <w:p w:rsidR="00377B97" w:rsidRPr="00C903F8" w:rsidRDefault="005C7859" w:rsidP="003D6C36">
      <w:pPr>
        <w:pStyle w:val="ESlet"/>
        <w:rPr>
          <w:noProof/>
        </w:rPr>
      </w:pPr>
      <w:r>
        <w:t>b)</w:t>
      </w:r>
      <w:r>
        <w:tab/>
        <w:t>dati o curve idrostatici;</w:t>
      </w:r>
    </w:p>
    <w:p w:rsidR="00377B97" w:rsidRPr="00C903F8" w:rsidRDefault="005C7859" w:rsidP="003D6C36">
      <w:pPr>
        <w:pStyle w:val="ESlet"/>
        <w:rPr>
          <w:noProof/>
        </w:rPr>
      </w:pPr>
      <w:r>
        <w:t>c)</w:t>
      </w:r>
      <w:r>
        <w:tab/>
        <w:t>curve dei bracci raddrizzanti di stabilità statica, se necessario conformemente al paragrafo 5 o all'articolo 22.08;</w:t>
      </w:r>
    </w:p>
    <w:p w:rsidR="00377B97" w:rsidRPr="00C903F8" w:rsidRDefault="0029453D" w:rsidP="003D6C36">
      <w:pPr>
        <w:pStyle w:val="ESlet"/>
        <w:rPr>
          <w:noProof/>
        </w:rPr>
      </w:pPr>
      <w:r>
        <w:t>d)</w:t>
      </w:r>
      <w:r>
        <w:tab/>
        <w:t>descrizione delle condizioni di esercizio corredate dei dati corrispondenti concernenti il peso e il centro di gravità, compreso lo stato del galleggiante senza carico e pronto per essere trasportato;</w:t>
      </w:r>
    </w:p>
    <w:p w:rsidR="00377B97" w:rsidRPr="00C903F8" w:rsidRDefault="0029453D" w:rsidP="003D6C36">
      <w:pPr>
        <w:pStyle w:val="ESlet"/>
        <w:rPr>
          <w:noProof/>
        </w:rPr>
      </w:pPr>
      <w:r>
        <w:t>e)</w:t>
      </w:r>
      <w:r>
        <w:tab/>
        <w:t>calcolo dei momenti di sbandamento, di assetto e di raddrizzamento con indicazione degli angoli di sbandamento e di assetto, nonché delle distanze di sicurezza residue e dei bordi liberi residui corrispondenti;</w:t>
      </w:r>
    </w:p>
    <w:p w:rsidR="00377B97" w:rsidRPr="00C903F8" w:rsidRDefault="0029453D" w:rsidP="003D6C36">
      <w:pPr>
        <w:pStyle w:val="ESlet"/>
        <w:rPr>
          <w:noProof/>
        </w:rPr>
      </w:pPr>
      <w:r>
        <w:t>f)</w:t>
      </w:r>
      <w:r>
        <w:tab/>
        <w:t>insieme dei risultati dei calcoli con indicazione dei limiti di esercizio e di massimo carico.</w:t>
      </w:r>
    </w:p>
    <w:p w:rsidR="00377B97" w:rsidRPr="00C903F8" w:rsidRDefault="00377B97" w:rsidP="00377B97">
      <w:pPr>
        <w:pStyle w:val="ESch"/>
        <w:rPr>
          <w:noProof/>
        </w:rPr>
      </w:pPr>
    </w:p>
    <w:p w:rsidR="00377B97" w:rsidRPr="00C903F8" w:rsidRDefault="00377B97" w:rsidP="00377B97">
      <w:pPr>
        <w:pStyle w:val="ESch"/>
        <w:rPr>
          <w:noProof/>
        </w:rPr>
      </w:pPr>
      <w:r>
        <w:t>3.</w:t>
      </w:r>
      <w:r>
        <w:tab/>
        <w:t>La stabilità è dimostrata sulla base delle seguenti ipotesi di carico:</w:t>
      </w:r>
    </w:p>
    <w:p w:rsidR="00377B97" w:rsidRPr="00C903F8" w:rsidRDefault="005C7859" w:rsidP="003D6C36">
      <w:pPr>
        <w:pStyle w:val="ESlet"/>
        <w:rPr>
          <w:rFonts w:cs="Arial"/>
          <w:szCs w:val="18"/>
        </w:rPr>
      </w:pPr>
      <w:r>
        <w:t>a)</w:t>
      </w:r>
      <w:r>
        <w:tab/>
        <w:t>massa specifica dei prodotti di dragaggio per le draghe:</w:t>
      </w:r>
    </w:p>
    <w:p w:rsidR="00377B97" w:rsidRPr="00C903F8" w:rsidRDefault="00377B97" w:rsidP="003D6C36">
      <w:pPr>
        <w:pStyle w:val="ESletpar"/>
        <w:rPr>
          <w:rFonts w:cs="Arial"/>
          <w:szCs w:val="18"/>
        </w:rPr>
      </w:pPr>
      <w:r>
        <w:t>sabbia e ghiaia: 1,5 t/m</w:t>
      </w:r>
      <w:r>
        <w:rPr>
          <w:noProof/>
          <w:vertAlign w:val="superscript"/>
        </w:rPr>
        <w:t>3</w:t>
      </w:r>
      <w:r>
        <w:t>;</w:t>
      </w:r>
    </w:p>
    <w:p w:rsidR="00377B97" w:rsidRPr="00C903F8" w:rsidRDefault="004D3A30" w:rsidP="003D6C36">
      <w:pPr>
        <w:pStyle w:val="ESletpar"/>
        <w:rPr>
          <w:rFonts w:cs="Arial"/>
          <w:szCs w:val="18"/>
        </w:rPr>
      </w:pPr>
      <w:r>
        <w:t>sabbia molto bagnata: 2,0 t/m</w:t>
      </w:r>
      <w:r>
        <w:rPr>
          <w:noProof/>
          <w:vertAlign w:val="superscript"/>
        </w:rPr>
        <w:t>3</w:t>
      </w:r>
      <w:r>
        <w:t>;</w:t>
      </w:r>
    </w:p>
    <w:p w:rsidR="00377B97" w:rsidRPr="00C903F8" w:rsidRDefault="00377B97" w:rsidP="003D6C36">
      <w:pPr>
        <w:pStyle w:val="ESletpar"/>
        <w:rPr>
          <w:rFonts w:cs="Arial"/>
          <w:szCs w:val="18"/>
        </w:rPr>
      </w:pPr>
      <w:r>
        <w:t>terra, di media: 1,8 t/m</w:t>
      </w:r>
      <w:r>
        <w:rPr>
          <w:noProof/>
          <w:vertAlign w:val="superscript"/>
        </w:rPr>
        <w:t>3</w:t>
      </w:r>
      <w:r>
        <w:t>;</w:t>
      </w:r>
    </w:p>
    <w:p w:rsidR="00377B97" w:rsidRPr="00C903F8" w:rsidRDefault="00377B97" w:rsidP="003D6C36">
      <w:pPr>
        <w:pStyle w:val="ESletpar"/>
        <w:rPr>
          <w:rFonts w:cs="Arial"/>
          <w:szCs w:val="18"/>
        </w:rPr>
      </w:pPr>
      <w:r>
        <w:t>sabbia mista a acqua nelle condotte: 1,3 t/m</w:t>
      </w:r>
      <w:r>
        <w:rPr>
          <w:noProof/>
          <w:vertAlign w:val="superscript"/>
        </w:rPr>
        <w:t>3</w:t>
      </w:r>
      <w:r>
        <w:t>;</w:t>
      </w:r>
    </w:p>
    <w:p w:rsidR="008E7AC7" w:rsidRPr="00C903F8" w:rsidRDefault="008E7AC7" w:rsidP="003D6C36">
      <w:pPr>
        <w:pStyle w:val="ESlet"/>
        <w:rPr>
          <w:noProof/>
        </w:rPr>
      </w:pPr>
      <w:r>
        <w:br w:type="page"/>
      </w:r>
    </w:p>
    <w:p w:rsidR="00377B97" w:rsidRPr="00C903F8" w:rsidRDefault="005C7859" w:rsidP="003D6C36">
      <w:pPr>
        <w:pStyle w:val="ESlet"/>
        <w:rPr>
          <w:noProof/>
        </w:rPr>
      </w:pPr>
      <w:r>
        <w:lastRenderedPageBreak/>
        <w:t>b)</w:t>
      </w:r>
      <w:r>
        <w:tab/>
        <w:t>per le draghe a grappino, i valori di cui alla lettera a) sono aumentati del 15 %;</w:t>
      </w:r>
    </w:p>
    <w:p w:rsidR="00377B97" w:rsidRPr="00C903F8" w:rsidRDefault="005C7859" w:rsidP="003D6C36">
      <w:pPr>
        <w:pStyle w:val="ESlet"/>
        <w:rPr>
          <w:noProof/>
        </w:rPr>
      </w:pPr>
      <w:r>
        <w:t>c)</w:t>
      </w:r>
      <w:r>
        <w:tab/>
        <w:t>per le draghe idrauliche, è considerata la potenza massima di sollevamento.</w:t>
      </w:r>
    </w:p>
    <w:p w:rsidR="003D6C36" w:rsidRPr="00C903F8" w:rsidRDefault="003D6C36" w:rsidP="00377B97">
      <w:pPr>
        <w:pStyle w:val="ESch"/>
        <w:rPr>
          <w:noProof/>
        </w:rPr>
      </w:pPr>
    </w:p>
    <w:p w:rsidR="00377B97" w:rsidRPr="00C903F8" w:rsidRDefault="00377B97" w:rsidP="00377B97">
      <w:pPr>
        <w:pStyle w:val="ESch"/>
        <w:rPr>
          <w:noProof/>
        </w:rPr>
      </w:pPr>
      <w:r>
        <w:t>4.</w:t>
      </w:r>
      <w:r>
        <w:tab/>
        <w:t>Per dimostrare la stabilità si tiene conto dei momenti risultanti da:</w:t>
      </w:r>
    </w:p>
    <w:p w:rsidR="00377B97" w:rsidRPr="00C903F8" w:rsidRDefault="005C7859" w:rsidP="00377B97">
      <w:pPr>
        <w:pStyle w:val="ESlet"/>
        <w:rPr>
          <w:noProof/>
        </w:rPr>
      </w:pPr>
      <w:r>
        <w:t>a)</w:t>
      </w:r>
      <w:r>
        <w:tab/>
        <w:t>carico;</w:t>
      </w:r>
    </w:p>
    <w:p w:rsidR="00377B97" w:rsidRPr="00C903F8" w:rsidRDefault="005C7859" w:rsidP="00377B97">
      <w:pPr>
        <w:pStyle w:val="ESlet"/>
        <w:rPr>
          <w:noProof/>
        </w:rPr>
      </w:pPr>
      <w:r>
        <w:t>b)</w:t>
      </w:r>
      <w:r>
        <w:tab/>
        <w:t>costruzione asimmetrica;</w:t>
      </w:r>
    </w:p>
    <w:p w:rsidR="00377B97" w:rsidRPr="00C903F8" w:rsidRDefault="005C7859" w:rsidP="00377B97">
      <w:pPr>
        <w:pStyle w:val="ESlet"/>
        <w:rPr>
          <w:noProof/>
        </w:rPr>
      </w:pPr>
      <w:r>
        <w:t>c)</w:t>
      </w:r>
      <w:r>
        <w:tab/>
        <w:t>pressione del vento;</w:t>
      </w:r>
    </w:p>
    <w:p w:rsidR="00377B97" w:rsidRPr="00C903F8" w:rsidRDefault="0029453D" w:rsidP="00377B97">
      <w:pPr>
        <w:pStyle w:val="ESlet"/>
        <w:rPr>
          <w:noProof/>
        </w:rPr>
      </w:pPr>
      <w:r>
        <w:t>d)</w:t>
      </w:r>
      <w:r>
        <w:tab/>
        <w:t>accostata in navigazione per i galleggianti speciali a motore;</w:t>
      </w:r>
    </w:p>
    <w:p w:rsidR="00377B97" w:rsidRPr="00C903F8" w:rsidRDefault="0029453D" w:rsidP="00377B97">
      <w:pPr>
        <w:pStyle w:val="ESlet"/>
        <w:rPr>
          <w:noProof/>
        </w:rPr>
      </w:pPr>
      <w:r>
        <w:t>e)</w:t>
      </w:r>
      <w:r>
        <w:tab/>
        <w:t>corrente di traverso, se necessario;</w:t>
      </w:r>
    </w:p>
    <w:p w:rsidR="00377B97" w:rsidRPr="00C903F8" w:rsidRDefault="0029453D" w:rsidP="00377B97">
      <w:pPr>
        <w:pStyle w:val="ESlet"/>
        <w:rPr>
          <w:noProof/>
        </w:rPr>
      </w:pPr>
      <w:r>
        <w:t>f)</w:t>
      </w:r>
      <w:r>
        <w:tab/>
        <w:t>zavorra e provviste;</w:t>
      </w:r>
    </w:p>
    <w:p w:rsidR="00377B97" w:rsidRPr="00C903F8" w:rsidRDefault="0029453D" w:rsidP="00377B97">
      <w:pPr>
        <w:pStyle w:val="ESlet"/>
        <w:rPr>
          <w:noProof/>
        </w:rPr>
      </w:pPr>
      <w:r>
        <w:t>g)</w:t>
      </w:r>
      <w:r>
        <w:tab/>
        <w:t>carico di coperta e, a seconda dei casi, carico stivato;</w:t>
      </w:r>
    </w:p>
    <w:p w:rsidR="00377B97" w:rsidRPr="00C903F8" w:rsidRDefault="0029453D" w:rsidP="00377B97">
      <w:pPr>
        <w:pStyle w:val="ESlet"/>
        <w:rPr>
          <w:rFonts w:cs="Arial"/>
          <w:szCs w:val="18"/>
        </w:rPr>
      </w:pPr>
      <w:r>
        <w:t>h)</w:t>
      </w:r>
      <w:r>
        <w:tab/>
        <w:t>superfici libere dei liquidi;</w:t>
      </w:r>
    </w:p>
    <w:p w:rsidR="00377B97" w:rsidRPr="00C903F8" w:rsidRDefault="0029453D" w:rsidP="00377B97">
      <w:pPr>
        <w:pStyle w:val="ESlet"/>
        <w:rPr>
          <w:rFonts w:cs="Arial"/>
          <w:szCs w:val="18"/>
        </w:rPr>
      </w:pPr>
      <w:r>
        <w:t>i)</w:t>
      </w:r>
      <w:r>
        <w:tab/>
        <w:t>forze d'inerzia;</w:t>
      </w:r>
    </w:p>
    <w:p w:rsidR="00377B97" w:rsidRPr="00C903F8" w:rsidRDefault="00377B97" w:rsidP="00377B97">
      <w:pPr>
        <w:pStyle w:val="ESlet"/>
        <w:rPr>
          <w:rFonts w:cs="Arial"/>
          <w:szCs w:val="18"/>
        </w:rPr>
      </w:pPr>
      <w:r>
        <w:t>j)</w:t>
      </w:r>
      <w:r>
        <w:tab/>
        <w:t>altri apparecchi meccanici.</w:t>
      </w:r>
    </w:p>
    <w:p w:rsidR="003D6C36" w:rsidRPr="00C903F8" w:rsidRDefault="003D6C36" w:rsidP="00377B97">
      <w:pPr>
        <w:pStyle w:val="ESch"/>
        <w:rPr>
          <w:noProof/>
        </w:rPr>
      </w:pPr>
    </w:p>
    <w:p w:rsidR="00377B97" w:rsidRPr="00C903F8" w:rsidRDefault="00377B97" w:rsidP="003D6C36">
      <w:pPr>
        <w:pStyle w:val="ESchpar"/>
        <w:rPr>
          <w:rFonts w:cs="Arial"/>
          <w:szCs w:val="18"/>
        </w:rPr>
      </w:pPr>
      <w:r>
        <w:t>I momenti che possono agire contemporaneamente sono sommati.</w:t>
      </w:r>
    </w:p>
    <w:p w:rsidR="00377B97" w:rsidRPr="00C903F8" w:rsidRDefault="00377B97" w:rsidP="00377B97">
      <w:pPr>
        <w:pStyle w:val="ESch"/>
      </w:pPr>
    </w:p>
    <w:p w:rsidR="00377B97" w:rsidRPr="00C903F8" w:rsidRDefault="00377B97" w:rsidP="00377B97">
      <w:pPr>
        <w:pStyle w:val="ESch"/>
      </w:pPr>
      <w:r>
        <w:t>5.</w:t>
      </w:r>
      <w:r>
        <w:tab/>
        <w:t>Il momento risultante dalla pressione del vento è calcolato mediante la seguente formula:</w:t>
      </w:r>
    </w:p>
    <w:p w:rsidR="003D6C36" w:rsidRPr="00C903F8" w:rsidRDefault="003D6C36" w:rsidP="00377B97">
      <w:pPr>
        <w:pStyle w:val="ESch"/>
      </w:pPr>
    </w:p>
    <w:p w:rsidR="000C41E0" w:rsidRPr="00C903F8" w:rsidRDefault="00624017" w:rsidP="00377B97">
      <w:pPr>
        <w:pStyle w:val="ESch"/>
      </w:pPr>
      <m:oMathPara>
        <m:oMath>
          <m:sSub>
            <m:sSubPr>
              <m:ctrlPr>
                <w:rPr>
                  <w:rFonts w:ascii="Cambria Math" w:hAnsi="Cambria Math"/>
                  <w:i/>
                </w:rPr>
              </m:ctrlPr>
            </m:sSubPr>
            <m:e>
              <m:r>
                <w:rPr>
                  <w:rFonts w:ascii="Cambria Math" w:hAnsi="Cambria Math"/>
                </w:rPr>
                <m:t>M</m:t>
              </m:r>
            </m:e>
            <m:sub>
              <m:r>
                <w:rPr>
                  <w:rFonts w:ascii="Cambria Math" w:hAnsi="Cambria Math"/>
                </w:rPr>
                <m:t>W</m:t>
              </m:r>
            </m:sub>
          </m:sSub>
          <m:r>
            <w:rPr>
              <w:rFonts w:ascii="Cambria Math" w:hAnsi="Cambria Math"/>
            </w:rPr>
            <m:t xml:space="preserve">=c ∙ </m:t>
          </m:r>
          <m:sSub>
            <m:sSubPr>
              <m:ctrlPr>
                <w:rPr>
                  <w:rFonts w:ascii="Cambria Math" w:hAnsi="Cambria Math"/>
                  <w:i/>
                </w:rPr>
              </m:ctrlPr>
            </m:sSubPr>
            <m:e>
              <m:r>
                <w:rPr>
                  <w:rFonts w:ascii="Cambria Math" w:hAnsi="Cambria Math"/>
                </w:rPr>
                <m:t>P</m:t>
              </m:r>
            </m:e>
            <m:sub>
              <m:r>
                <w:rPr>
                  <w:rFonts w:ascii="Cambria Math" w:hAnsi="Cambria Math"/>
                </w:rPr>
                <m:t>W</m:t>
              </m:r>
            </m:sub>
          </m:sSub>
          <m:r>
            <w:rPr>
              <w:rFonts w:ascii="Cambria Math" w:hAnsi="Cambria Math"/>
            </w:rPr>
            <m:t xml:space="preserve"> ∙ </m:t>
          </m:r>
          <m:sSub>
            <m:sSubPr>
              <m:ctrlPr>
                <w:rPr>
                  <w:rFonts w:ascii="Cambria Math" w:hAnsi="Cambria Math"/>
                  <w:i/>
                </w:rPr>
              </m:ctrlPr>
            </m:sSubPr>
            <m:e>
              <m:r>
                <w:rPr>
                  <w:rFonts w:ascii="Cambria Math" w:hAnsi="Cambria Math"/>
                </w:rPr>
                <m:t>A</m:t>
              </m:r>
            </m:e>
            <m:sub>
              <m:r>
                <w:rPr>
                  <w:rFonts w:ascii="Cambria Math" w:hAnsi="Cambria Math"/>
                </w:rPr>
                <m:t>w</m:t>
              </m:r>
            </m:sub>
          </m:sSub>
          <m:r>
            <w:rPr>
              <w:rFonts w:ascii="Cambria Math" w:hAnsi="Cambria Math"/>
            </w:rPr>
            <m:t xml:space="preserve"> ∙</m:t>
          </m:r>
          <m:d>
            <m:dPr>
              <m:ctrlPr>
                <w:rPr>
                  <w:rFonts w:ascii="Cambria Math" w:hAnsi="Cambria Math"/>
                  <w:i/>
                </w:rPr>
              </m:ctrlPr>
            </m:dPr>
            <m:e>
              <m:sSub>
                <m:sSubPr>
                  <m:ctrlPr>
                    <w:rPr>
                      <w:rFonts w:ascii="Cambria Math" w:hAnsi="Cambria Math"/>
                      <w:i/>
                    </w:rPr>
                  </m:ctrlPr>
                </m:sSubPr>
                <m:e>
                  <m:r>
                    <w:rPr>
                      <w:rFonts w:ascii="Cambria Math" w:hAnsi="Cambria Math"/>
                    </w:rPr>
                    <m:t>l</m:t>
                  </m:r>
                </m:e>
                <m:sub>
                  <m:r>
                    <w:rPr>
                      <w:rFonts w:ascii="Cambria Math" w:hAnsi="Cambria Math"/>
                    </w:rPr>
                    <m:t>W</m:t>
                  </m:r>
                </m:sub>
              </m:sSub>
              <m:r>
                <w:rPr>
                  <w:rFonts w:ascii="Cambria Math" w:hAnsi="Cambria Math"/>
                </w:rPr>
                <m:t>+</m:t>
              </m:r>
              <m:f>
                <m:fPr>
                  <m:ctrlPr>
                    <w:rPr>
                      <w:rFonts w:ascii="Cambria Math" w:hAnsi="Cambria Math"/>
                      <w:i/>
                    </w:rPr>
                  </m:ctrlPr>
                </m:fPr>
                <m:num>
                  <m:r>
                    <w:rPr>
                      <w:rFonts w:ascii="Cambria Math" w:hAnsi="Cambria Math"/>
                    </w:rPr>
                    <m:t>T</m:t>
                  </m:r>
                </m:num>
                <m:den>
                  <m:r>
                    <w:rPr>
                      <w:rFonts w:ascii="Cambria Math" w:hAnsi="Cambria Math"/>
                    </w:rPr>
                    <m:t>2</m:t>
                  </m:r>
                </m:den>
              </m:f>
            </m:e>
          </m:d>
          <m:r>
            <w:rPr>
              <w:rFonts w:ascii="Cambria Math" w:hAnsi="Cambria Math"/>
            </w:rPr>
            <m:t xml:space="preserve"> </m:t>
          </m:r>
          <m:d>
            <m:dPr>
              <m:begChr m:val="["/>
              <m:endChr m:val="]"/>
              <m:ctrlPr>
                <w:rPr>
                  <w:rFonts w:ascii="Cambria Math" w:hAnsi="Cambria Math"/>
                  <w:i/>
                </w:rPr>
              </m:ctrlPr>
            </m:dPr>
            <m:e>
              <m:r>
                <w:rPr>
                  <w:rFonts w:ascii="Cambria Math" w:hAnsi="Cambria Math"/>
                </w:rPr>
                <m:t>kNm</m:t>
              </m:r>
            </m:e>
          </m:d>
        </m:oMath>
      </m:oMathPara>
    </w:p>
    <w:p w:rsidR="000C41E0" w:rsidRPr="00C903F8" w:rsidRDefault="000C41E0" w:rsidP="00377B97">
      <w:pPr>
        <w:pStyle w:val="ESch"/>
      </w:pPr>
    </w:p>
    <w:p w:rsidR="00377B97" w:rsidRPr="00C903F8" w:rsidRDefault="00377B97" w:rsidP="003D6C36">
      <w:pPr>
        <w:pStyle w:val="ESlet"/>
      </w:pPr>
      <w:r>
        <w:t>dove:</w:t>
      </w:r>
    </w:p>
    <w:p w:rsidR="00377B97" w:rsidRPr="00C903F8" w:rsidRDefault="000C41E0" w:rsidP="003D6C36">
      <w:pPr>
        <w:pStyle w:val="ESlet"/>
      </w:pPr>
      <m:oMath>
        <m:r>
          <w:rPr>
            <w:rFonts w:ascii="Cambria Math" w:hAnsi="Cambria Math"/>
          </w:rPr>
          <m:t>c</m:t>
        </m:r>
      </m:oMath>
      <w:r>
        <w:tab/>
        <w:t xml:space="preserve"> =</w:t>
      </w:r>
      <w:r>
        <w:tab/>
        <w:t>coefficiente di resistenza dipendente dalla forma.</w:t>
      </w:r>
    </w:p>
    <w:p w:rsidR="00377B97" w:rsidRPr="00C903F8" w:rsidRDefault="00377B97" w:rsidP="003D6C36">
      <w:pPr>
        <w:pStyle w:val="EStiretpar"/>
      </w:pPr>
      <w:r>
        <w:t xml:space="preserve">Per le ossature, si assume </w:t>
      </w:r>
      <m:oMath>
        <m:r>
          <w:rPr>
            <w:rFonts w:ascii="Cambria Math" w:hAnsi="Cambria Math"/>
          </w:rPr>
          <m:t>c=1,2</m:t>
        </m:r>
      </m:oMath>
      <w:r>
        <w:t xml:space="preserve"> e per le travi ad anima piena </w:t>
      </w:r>
      <m:oMath>
        <m:r>
          <w:rPr>
            <w:rFonts w:ascii="Cambria Math" w:hAnsi="Cambria Math"/>
          </w:rPr>
          <m:t>c=1,6</m:t>
        </m:r>
      </m:oMath>
      <w:r>
        <w:t>. I due valori tengono conto dei colpi di vento.</w:t>
      </w:r>
    </w:p>
    <w:p w:rsidR="00377B97" w:rsidRPr="00C903F8" w:rsidRDefault="00377B97" w:rsidP="003D6C36">
      <w:pPr>
        <w:pStyle w:val="EStiretpar"/>
      </w:pPr>
      <w:r>
        <w:t>Come superficie esposta al vento, si assume l'intera superficie compresa all'interno della sagoma.</w:t>
      </w:r>
    </w:p>
    <w:p w:rsidR="00377B97" w:rsidRPr="00C903F8" w:rsidRDefault="00624017" w:rsidP="003D6C36">
      <w:pPr>
        <w:pStyle w:val="ESlet"/>
      </w:pPr>
      <m:oMath>
        <m:sSub>
          <m:sSubPr>
            <m:ctrlPr>
              <w:rPr>
                <w:rFonts w:ascii="Cambria Math" w:hAnsi="Cambria Math"/>
                <w:i/>
              </w:rPr>
            </m:ctrlPr>
          </m:sSubPr>
          <m:e>
            <m:r>
              <w:rPr>
                <w:rFonts w:ascii="Cambria Math" w:hAnsi="Cambria Math"/>
              </w:rPr>
              <m:t>P</m:t>
            </m:r>
          </m:e>
          <m:sub>
            <m:r>
              <w:rPr>
                <w:rFonts w:ascii="Cambria Math" w:hAnsi="Cambria Math"/>
              </w:rPr>
              <m:t>W</m:t>
            </m:r>
          </m:sub>
        </m:sSub>
      </m:oMath>
      <w:r w:rsidR="00801F1F">
        <w:tab/>
        <w:t>=</w:t>
      </w:r>
      <w:r w:rsidR="00801F1F">
        <w:tab/>
        <w:t>pressione specifica del vento; si assume uniformemente a 0,25 kN/m</w:t>
      </w:r>
      <w:r w:rsidR="00801F1F">
        <w:rPr>
          <w:vertAlign w:val="superscript"/>
        </w:rPr>
        <w:t>2</w:t>
      </w:r>
      <w:r w:rsidR="00801F1F">
        <w:t>;</w:t>
      </w:r>
    </w:p>
    <w:p w:rsidR="00377B97" w:rsidRPr="00C903F8" w:rsidRDefault="00624017" w:rsidP="003D6C36">
      <w:pPr>
        <w:pStyle w:val="ESlet"/>
        <w:tabs>
          <w:tab w:val="left" w:pos="993"/>
        </w:tabs>
        <w:ind w:left="1418" w:hanging="851"/>
      </w:pPr>
      <m:oMath>
        <m:sSub>
          <m:sSubPr>
            <m:ctrlPr>
              <w:rPr>
                <w:rFonts w:ascii="Cambria Math" w:hAnsi="Cambria Math"/>
                <w:i/>
              </w:rPr>
            </m:ctrlPr>
          </m:sSubPr>
          <m:e>
            <m:r>
              <w:rPr>
                <w:rFonts w:ascii="Cambria Math" w:hAnsi="Cambria Math"/>
              </w:rPr>
              <m:t>A</m:t>
            </m:r>
          </m:e>
          <m:sub>
            <m:r>
              <w:rPr>
                <w:rFonts w:ascii="Cambria Math" w:hAnsi="Cambria Math"/>
              </w:rPr>
              <m:t>W</m:t>
            </m:r>
          </m:sub>
        </m:sSub>
      </m:oMath>
      <w:r w:rsidR="00801F1F">
        <w:tab/>
        <w:t>=</w:t>
      </w:r>
      <w:r w:rsidR="00801F1F">
        <w:tab/>
        <w:t>piano laterale della nave al di sopra del piano di immersione in base alla condizione di carico considerata in [m</w:t>
      </w:r>
      <w:r w:rsidR="00801F1F">
        <w:rPr>
          <w:vertAlign w:val="superscript"/>
        </w:rPr>
        <w:t>2</w:t>
      </w:r>
      <w:r w:rsidR="00801F1F">
        <w:t>];</w:t>
      </w:r>
    </w:p>
    <w:p w:rsidR="00377B97" w:rsidRPr="00C903F8" w:rsidRDefault="00624017" w:rsidP="003D6C36">
      <w:pPr>
        <w:pStyle w:val="ESlet"/>
        <w:tabs>
          <w:tab w:val="left" w:pos="993"/>
        </w:tabs>
        <w:ind w:left="1418" w:hanging="851"/>
      </w:pPr>
      <m:oMath>
        <m:sSub>
          <m:sSubPr>
            <m:ctrlPr>
              <w:rPr>
                <w:rFonts w:ascii="Cambria Math" w:hAnsi="Cambria Math"/>
                <w:i/>
              </w:rPr>
            </m:ctrlPr>
          </m:sSubPr>
          <m:e>
            <m:r>
              <w:rPr>
                <w:rFonts w:ascii="Cambria Math" w:hAnsi="Cambria Math"/>
              </w:rPr>
              <m:t>l</m:t>
            </m:r>
          </m:e>
          <m:sub>
            <m:r>
              <w:rPr>
                <w:rFonts w:ascii="Cambria Math" w:hAnsi="Cambria Math"/>
              </w:rPr>
              <m:t>W</m:t>
            </m:r>
          </m:sub>
        </m:sSub>
      </m:oMath>
      <w:r w:rsidR="00801F1F">
        <w:t xml:space="preserve"> </w:t>
      </w:r>
      <w:r w:rsidR="00801F1F">
        <w:tab/>
        <w:t>=</w:t>
      </w:r>
      <w:r w:rsidR="00801F1F">
        <w:tab/>
        <w:t xml:space="preserve">distanza del centro di gravità del piano laterale </w:t>
      </w:r>
      <m:oMath>
        <m:sSub>
          <m:sSubPr>
            <m:ctrlPr>
              <w:rPr>
                <w:rFonts w:ascii="Cambria Math" w:hAnsi="Cambria Math"/>
                <w:i/>
              </w:rPr>
            </m:ctrlPr>
          </m:sSubPr>
          <m:e>
            <m:r>
              <w:rPr>
                <w:rFonts w:ascii="Cambria Math" w:hAnsi="Cambria Math"/>
              </w:rPr>
              <m:t>A</m:t>
            </m:r>
          </m:e>
          <m:sub>
            <m:r>
              <w:rPr>
                <w:rFonts w:ascii="Cambria Math" w:hAnsi="Cambria Math"/>
              </w:rPr>
              <m:t>W</m:t>
            </m:r>
          </m:sub>
        </m:sSub>
      </m:oMath>
      <w:r w:rsidR="00801F1F">
        <w:t xml:space="preserve"> dal piano di immersione in base alla condizione di carico considerata in [m].</w:t>
      </w:r>
    </w:p>
    <w:p w:rsidR="00377B97" w:rsidRPr="00C903F8" w:rsidRDefault="00377B97" w:rsidP="00377B97">
      <w:pPr>
        <w:pStyle w:val="ESch"/>
      </w:pPr>
    </w:p>
    <w:p w:rsidR="00377B97" w:rsidRPr="00C903F8" w:rsidRDefault="00377B97" w:rsidP="00377B97">
      <w:pPr>
        <w:pStyle w:val="ESch"/>
      </w:pPr>
      <w:r>
        <w:t>6.</w:t>
      </w:r>
      <w:r>
        <w:tab/>
        <w:t>Per determinare i momenti dovuti all'accostata in navigazione di cui al paragrafo 4, lettera d), per i galleggianti speciali a motore è utilizzata la formula di cui all'articolo 19.03, paragrafo 6.</w:t>
      </w:r>
    </w:p>
    <w:p w:rsidR="00377B97" w:rsidRPr="00C903F8" w:rsidRDefault="00377B97" w:rsidP="00377B97">
      <w:pPr>
        <w:pStyle w:val="ESch"/>
      </w:pPr>
    </w:p>
    <w:p w:rsidR="00377B97" w:rsidRPr="00C903F8" w:rsidRDefault="00377B97" w:rsidP="00377B97">
      <w:pPr>
        <w:pStyle w:val="ESch"/>
      </w:pPr>
      <w:r>
        <w:t>7.</w:t>
      </w:r>
      <w:r>
        <w:tab/>
        <w:t>Il momento risultante dalla corrente di traverso di cui al paragrafo 4, lettera e), è preso in considerazione solo per i galleggianti speciali che in fase di esercizio sono ancorati o ormeggiati di traverso alla corrente.</w:t>
      </w:r>
    </w:p>
    <w:p w:rsidR="00377B97" w:rsidRPr="00C903F8" w:rsidRDefault="00377B97" w:rsidP="00377B97">
      <w:pPr>
        <w:pStyle w:val="ESch"/>
      </w:pPr>
    </w:p>
    <w:p w:rsidR="00377B97" w:rsidRPr="00C903F8" w:rsidRDefault="00377B97" w:rsidP="00377B97">
      <w:pPr>
        <w:pStyle w:val="ESch"/>
      </w:pPr>
      <w:r>
        <w:t>8.</w:t>
      </w:r>
      <w:r>
        <w:tab/>
        <w:t>Per il calcolo dei momenti risultanti dalla zavorra liquida e dalle provviste liquide di cui al paragrafo 4, lettera f), è determinato il livello di riempimento delle cisterne più sfavorevole per la stabilità e il momento corrispondente è inserito nel calcolo.</w:t>
      </w:r>
    </w:p>
    <w:p w:rsidR="00377B97" w:rsidRPr="00C903F8" w:rsidRDefault="00377B97" w:rsidP="00377B97">
      <w:pPr>
        <w:pStyle w:val="ESch"/>
      </w:pPr>
    </w:p>
    <w:p w:rsidR="00377B97" w:rsidRPr="00C903F8" w:rsidRDefault="00377B97" w:rsidP="00377B97">
      <w:pPr>
        <w:pStyle w:val="ESch"/>
      </w:pPr>
      <w:r>
        <w:t>9.</w:t>
      </w:r>
      <w:r>
        <w:tab/>
        <w:t>Il momento risultante dalle forze d'inerzia di cui al paragrafo 4, lettera i), è preso debitamente in considerazione se i movimenti del carico e gli impianti adibiti a lavori possono influire sulla stabilità.</w:t>
      </w:r>
    </w:p>
    <w:p w:rsidR="00377B97" w:rsidRPr="00C903F8" w:rsidRDefault="00377B97" w:rsidP="00377B97">
      <w:pPr>
        <w:pStyle w:val="ESch"/>
      </w:pPr>
    </w:p>
    <w:p w:rsidR="003D6C36" w:rsidRPr="00C903F8" w:rsidRDefault="003D6C36" w:rsidP="00377B97">
      <w:pPr>
        <w:pStyle w:val="ESch"/>
      </w:pPr>
      <w:r>
        <w:br w:type="page"/>
      </w:r>
    </w:p>
    <w:p w:rsidR="00377B97" w:rsidRPr="00C903F8" w:rsidRDefault="00377B97" w:rsidP="00377B97">
      <w:pPr>
        <w:pStyle w:val="ESch"/>
      </w:pPr>
      <w:r>
        <w:lastRenderedPageBreak/>
        <w:t>10.</w:t>
      </w:r>
      <w:r>
        <w:tab/>
        <w:t>Per gli oggetti galleggianti a pareti laterali verticali, i momenti di raddrizzamento possono essere calcolati mediante la seguente formula:</w:t>
      </w:r>
    </w:p>
    <w:p w:rsidR="003D6C36" w:rsidRPr="00C903F8" w:rsidRDefault="003D6C36" w:rsidP="00377B97">
      <w:pPr>
        <w:pStyle w:val="ESch"/>
      </w:pPr>
    </w:p>
    <w:p w:rsidR="000C41E0" w:rsidRPr="00C903F8" w:rsidRDefault="00624017" w:rsidP="00377B97">
      <w:pPr>
        <w:pStyle w:val="ESch"/>
      </w:pPr>
      <m:oMathPara>
        <m:oMath>
          <m:sSub>
            <m:sSubPr>
              <m:ctrlPr>
                <w:rPr>
                  <w:rFonts w:ascii="Cambria Math" w:hAnsi="Cambria Math"/>
                  <w:i/>
                </w:rPr>
              </m:ctrlPr>
            </m:sSubPr>
            <m:e>
              <m:r>
                <w:rPr>
                  <w:rFonts w:ascii="Cambria Math" w:hAnsi="Cambria Math"/>
                </w:rPr>
                <m:t>M</m:t>
              </m:r>
            </m:e>
            <m:sub>
              <m:r>
                <w:rPr>
                  <w:rFonts w:ascii="Cambria Math" w:hAnsi="Cambria Math"/>
                </w:rPr>
                <m:t>R</m:t>
              </m:r>
            </m:sub>
          </m:sSub>
          <m:r>
            <w:rPr>
              <w:rFonts w:ascii="Cambria Math" w:hAnsi="Cambria Math"/>
            </w:rPr>
            <m:t xml:space="preserve">=10 ∙D ∙ </m:t>
          </m:r>
          <m:acc>
            <m:accPr>
              <m:chr m:val="̅"/>
              <m:ctrlPr>
                <w:rPr>
                  <w:rFonts w:ascii="Cambria Math" w:hAnsi="Cambria Math"/>
                  <w:i/>
                </w:rPr>
              </m:ctrlPr>
            </m:accPr>
            <m:e>
              <m:r>
                <w:rPr>
                  <w:rFonts w:ascii="Cambria Math" w:hAnsi="Cambria Math"/>
                </w:rPr>
                <m:t>MG</m:t>
              </m:r>
            </m:e>
          </m:acc>
          <m:r>
            <w:rPr>
              <w:rFonts w:ascii="Cambria Math" w:hAnsi="Cambria Math"/>
            </w:rPr>
            <m:t xml:space="preserve"> ∙ </m:t>
          </m:r>
          <m:func>
            <m:funcPr>
              <m:ctrlPr>
                <w:rPr>
                  <w:rFonts w:ascii="Cambria Math" w:hAnsi="Cambria Math"/>
                  <w:i/>
                </w:rPr>
              </m:ctrlPr>
            </m:funcPr>
            <m:fName>
              <m:r>
                <m:rPr>
                  <m:sty m:val="p"/>
                </m:rPr>
                <w:rPr>
                  <w:rFonts w:ascii="Cambria Math" w:hAnsi="Cambria Math"/>
                </w:rPr>
                <m:t>sin</m:t>
              </m:r>
            </m:fName>
            <m:e>
              <m:r>
                <w:rPr>
                  <w:rFonts w:ascii="Cambria Math" w:hAnsi="Cambria Math"/>
                </w:rPr>
                <m:t>φ</m:t>
              </m:r>
            </m:e>
          </m:func>
          <m:r>
            <w:rPr>
              <w:rFonts w:ascii="Cambria Math" w:hAnsi="Cambria Math"/>
            </w:rPr>
            <m:t xml:space="preserve"> </m:t>
          </m:r>
          <m:d>
            <m:dPr>
              <m:begChr m:val="["/>
              <m:endChr m:val="]"/>
              <m:ctrlPr>
                <w:rPr>
                  <w:rFonts w:ascii="Cambria Math" w:hAnsi="Cambria Math"/>
                  <w:i/>
                </w:rPr>
              </m:ctrlPr>
            </m:dPr>
            <m:e>
              <m:r>
                <w:rPr>
                  <w:rFonts w:ascii="Cambria Math" w:hAnsi="Cambria Math"/>
                </w:rPr>
                <m:t>kNm</m:t>
              </m:r>
            </m:e>
          </m:d>
        </m:oMath>
      </m:oMathPara>
    </w:p>
    <w:p w:rsidR="003D6C36" w:rsidRPr="00C903F8" w:rsidRDefault="003D6C36" w:rsidP="00377B97">
      <w:pPr>
        <w:pStyle w:val="ESch"/>
        <w:rPr>
          <w:noProof/>
        </w:rPr>
      </w:pPr>
    </w:p>
    <w:p w:rsidR="00377B97" w:rsidRPr="00C903F8" w:rsidRDefault="00377B97" w:rsidP="003D6C36">
      <w:pPr>
        <w:pStyle w:val="ESchpar"/>
        <w:rPr>
          <w:rFonts w:cs="Arial"/>
          <w:szCs w:val="18"/>
        </w:rPr>
      </w:pPr>
      <w:r>
        <w:t>dove:</w:t>
      </w:r>
    </w:p>
    <w:p w:rsidR="00377B97" w:rsidRPr="00C903F8" w:rsidRDefault="00624017" w:rsidP="003D6C36">
      <w:pPr>
        <w:pStyle w:val="ESlet"/>
        <w:tabs>
          <w:tab w:val="left" w:pos="1134"/>
        </w:tabs>
        <w:ind w:left="1560" w:hanging="993"/>
      </w:pPr>
      <m:oMath>
        <m:acc>
          <m:accPr>
            <m:chr m:val="̅"/>
            <m:ctrlPr>
              <w:rPr>
                <w:rFonts w:ascii="Cambria Math" w:hAnsi="Cambria Math"/>
                <w:i/>
              </w:rPr>
            </m:ctrlPr>
          </m:accPr>
          <m:e>
            <m:r>
              <w:rPr>
                <w:rFonts w:ascii="Cambria Math" w:hAnsi="Cambria Math"/>
              </w:rPr>
              <m:t>MG</m:t>
            </m:r>
          </m:e>
        </m:acc>
      </m:oMath>
      <w:r w:rsidR="00801F1F">
        <w:tab/>
      </w:r>
      <w:r w:rsidR="00801F1F">
        <w:rPr>
          <w:noProof/>
          <w:vertAlign w:val="superscript"/>
        </w:rPr>
        <w:t xml:space="preserve"> </w:t>
      </w:r>
      <w:r w:rsidR="00801F1F">
        <w:t>=</w:t>
      </w:r>
      <w:r w:rsidR="00801F1F">
        <w:tab/>
        <w:t>altezza metacentrica, in m;</w:t>
      </w:r>
    </w:p>
    <w:p w:rsidR="00377B97" w:rsidRPr="00C903F8" w:rsidRDefault="00377B97" w:rsidP="003D6C36">
      <w:pPr>
        <w:pStyle w:val="ESlet"/>
        <w:tabs>
          <w:tab w:val="left" w:pos="1134"/>
        </w:tabs>
        <w:ind w:left="1560" w:hanging="993"/>
      </w:pPr>
      <m:oMath>
        <m:r>
          <w:rPr>
            <w:rFonts w:ascii="Cambria Math" w:hAnsi="Cambria Math"/>
            <w:i/>
          </w:rPr>
          <w:sym w:font="Symbol" w:char="F06A"/>
        </m:r>
      </m:oMath>
      <w:r>
        <w:tab/>
        <w:t>=</w:t>
      </w:r>
      <w:r>
        <w:tab/>
        <w:t>angolo di sbandamento, in gradi.</w:t>
      </w:r>
    </w:p>
    <w:p w:rsidR="003D6C36" w:rsidRPr="00C903F8" w:rsidRDefault="003D6C36" w:rsidP="003D6C36">
      <w:pPr>
        <w:pStyle w:val="ESchpar"/>
        <w:rPr>
          <w:noProof/>
        </w:rPr>
      </w:pPr>
    </w:p>
    <w:p w:rsidR="00377B97" w:rsidRPr="00C903F8" w:rsidRDefault="00377B97" w:rsidP="003D6C36">
      <w:pPr>
        <w:pStyle w:val="ESchpar"/>
        <w:rPr>
          <w:rFonts w:cs="Arial"/>
          <w:szCs w:val="18"/>
        </w:rPr>
      </w:pPr>
      <w:r>
        <w:t>Questa formula si applica fino ad angoli di sbandamento di 10° o fino a un angolo di sbandamento corrispondente all'immersione del bordo del ponte o all'emersione del bordo del fondo; è determinante l'angolo minore. Per le pareti laterali oblique, la formula si applica fino ad angoli di sbandamento di 5°; si applicano inoltre le condizioni limite dei paragrafi da 3 a 9.</w:t>
      </w:r>
    </w:p>
    <w:p w:rsidR="003D6C36" w:rsidRPr="00C903F8" w:rsidRDefault="003D6C36" w:rsidP="003D6C36">
      <w:pPr>
        <w:pStyle w:val="ESchpar"/>
        <w:rPr>
          <w:noProof/>
        </w:rPr>
      </w:pPr>
    </w:p>
    <w:p w:rsidR="00377B97" w:rsidRPr="00C903F8" w:rsidRDefault="00377B97" w:rsidP="003D6C36">
      <w:pPr>
        <w:pStyle w:val="ESchpar"/>
        <w:rPr>
          <w:rFonts w:cs="Arial"/>
          <w:szCs w:val="18"/>
        </w:rPr>
      </w:pPr>
      <w:r>
        <w:t>Se la forma caratteristica dell'oggetto o degli oggetti galleggianti non consente questa semplificazione, sono richieste le curve dei bracci raddrizzanti di cui al paragrafo 2, lettera c).</w:t>
      </w:r>
    </w:p>
    <w:p w:rsidR="00377B97" w:rsidRPr="00C903F8" w:rsidRDefault="00377B97" w:rsidP="008E7AC7">
      <w:pPr>
        <w:pStyle w:val="ESch"/>
      </w:pPr>
    </w:p>
    <w:p w:rsidR="00377B97" w:rsidRPr="00C903F8" w:rsidRDefault="00377B97" w:rsidP="008E7AC7">
      <w:pPr>
        <w:pStyle w:val="ESch"/>
      </w:pPr>
    </w:p>
    <w:p w:rsidR="00377B97" w:rsidRPr="00C903F8" w:rsidRDefault="00377B97" w:rsidP="00377B97">
      <w:pPr>
        <w:pStyle w:val="ES-Titre3"/>
        <w:rPr>
          <w:rFonts w:cs="Arial"/>
          <w:i/>
          <w:szCs w:val="18"/>
        </w:rPr>
      </w:pPr>
      <w:bookmarkStart w:id="448" w:name="_Toc491854221"/>
      <w:bookmarkStart w:id="449" w:name="_Toc535500170"/>
      <w:r>
        <w:t>Articolo 22.08</w:t>
      </w:r>
      <w:r>
        <w:br/>
      </w:r>
      <w:r>
        <w:rPr>
          <w:i/>
          <w:noProof/>
        </w:rPr>
        <w:t>Dimostrazione della stabilità in caso di bordo libero residuo ridotto</w:t>
      </w:r>
      <w:bookmarkEnd w:id="448"/>
      <w:bookmarkEnd w:id="449"/>
    </w:p>
    <w:p w:rsidR="00377B97" w:rsidRPr="00C903F8" w:rsidRDefault="00377B97" w:rsidP="00377B97">
      <w:pPr>
        <w:pStyle w:val="ESch"/>
        <w:rPr>
          <w:noProof/>
        </w:rPr>
      </w:pPr>
    </w:p>
    <w:p w:rsidR="00377B97" w:rsidRPr="00C903F8" w:rsidRDefault="00377B97" w:rsidP="00377B97">
      <w:pPr>
        <w:pStyle w:val="ESgauche"/>
        <w:rPr>
          <w:rFonts w:cs="Arial"/>
          <w:szCs w:val="18"/>
        </w:rPr>
      </w:pPr>
      <w:r>
        <w:t>Se, ai sensi dell'articolo 22.05, paragrafo 3, si prende in considerazione un bordo libero residuo ridotto, si verifica, per tutte le condizioni di esercizio, che:</w:t>
      </w:r>
    </w:p>
    <w:p w:rsidR="00377B97" w:rsidRPr="00C903F8" w:rsidRDefault="005C7859" w:rsidP="003D6C36">
      <w:pPr>
        <w:pStyle w:val="ESletgauche"/>
        <w:rPr>
          <w:rFonts w:cs="Arial"/>
          <w:szCs w:val="18"/>
        </w:rPr>
      </w:pPr>
      <w:r>
        <w:t>a)</w:t>
      </w:r>
      <w:r>
        <w:tab/>
        <w:t>dopo una correzione per le superfici libere dei liquidi, l'altezza metacentrica non sia inferiore a 0,15 m;</w:t>
      </w:r>
    </w:p>
    <w:p w:rsidR="00377B97" w:rsidRPr="00C903F8" w:rsidRDefault="005C7859" w:rsidP="003D6C36">
      <w:pPr>
        <w:pStyle w:val="ESletgauche"/>
        <w:rPr>
          <w:noProof/>
        </w:rPr>
      </w:pPr>
      <w:r>
        <w:t>b)</w:t>
      </w:r>
      <w:r>
        <w:tab/>
        <w:t>per angoli di sbandamento da 0° a 30°, esista un braccio raddrizzante di almeno</w:t>
      </w:r>
    </w:p>
    <w:p w:rsidR="000A105C" w:rsidRPr="00C903F8" w:rsidRDefault="000A105C" w:rsidP="003D6C36">
      <w:pPr>
        <w:pStyle w:val="ESletgauche"/>
        <w:rPr>
          <w:rFonts w:cs="Arial"/>
          <w:szCs w:val="18"/>
        </w:rPr>
      </w:pPr>
      <m:oMathPara>
        <m:oMath>
          <m:r>
            <w:rPr>
              <w:rFonts w:ascii="Cambria Math" w:hAnsi="Cambria Math" w:cs="Arial"/>
              <w:szCs w:val="18"/>
            </w:rPr>
            <m:t>h=</m:t>
          </m:r>
          <m:r>
            <w:rPr>
              <w:rFonts w:ascii="Cambria Math" w:hAnsi="Cambria Math" w:cs="Arial"/>
              <w:szCs w:val="18"/>
            </w:rPr>
            <m:t xml:space="preserve">0,30-0,28 ∙ </m:t>
          </m:r>
          <m:sSub>
            <m:sSubPr>
              <m:ctrlPr>
                <w:rPr>
                  <w:rFonts w:ascii="Cambria Math" w:hAnsi="Cambria Math" w:cs="Arial"/>
                  <w:i/>
                  <w:szCs w:val="18"/>
                </w:rPr>
              </m:ctrlPr>
            </m:sSubPr>
            <m:e>
              <m:r>
                <w:rPr>
                  <w:rFonts w:ascii="Cambria Math" w:hAnsi="Cambria Math" w:cs="Arial"/>
                  <w:szCs w:val="18"/>
                </w:rPr>
                <m:t>φ</m:t>
              </m:r>
            </m:e>
            <m:sub>
              <m:r>
                <w:rPr>
                  <w:rFonts w:ascii="Cambria Math" w:hAnsi="Cambria Math" w:cs="Arial"/>
                  <w:szCs w:val="18"/>
                </w:rPr>
                <m:t>n</m:t>
              </m:r>
            </m:sub>
          </m:sSub>
          <m:r>
            <w:rPr>
              <w:rFonts w:ascii="Cambria Math" w:hAnsi="Cambria Math" w:cs="Arial"/>
              <w:szCs w:val="18"/>
            </w:rPr>
            <m:t xml:space="preserve"> </m:t>
          </m:r>
          <m:d>
            <m:dPr>
              <m:begChr m:val="["/>
              <m:endChr m:val="]"/>
              <m:ctrlPr>
                <w:rPr>
                  <w:rFonts w:ascii="Cambria Math" w:hAnsi="Cambria Math" w:cs="Arial"/>
                  <w:i/>
                  <w:szCs w:val="18"/>
                </w:rPr>
              </m:ctrlPr>
            </m:dPr>
            <m:e>
              <m:r>
                <w:rPr>
                  <w:rFonts w:ascii="Cambria Math" w:hAnsi="Cambria Math" w:cs="Arial"/>
                  <w:szCs w:val="18"/>
                </w:rPr>
                <m:t>m</m:t>
              </m:r>
            </m:e>
          </m:d>
        </m:oMath>
      </m:oMathPara>
    </w:p>
    <w:p w:rsidR="00377B97" w:rsidRPr="00C903F8" w:rsidRDefault="00624017" w:rsidP="003D6C36">
      <w:pPr>
        <w:pStyle w:val="ESletgauche"/>
        <w:ind w:left="993" w:hanging="426"/>
        <w:rPr>
          <w:rFonts w:cs="Arial"/>
          <w:szCs w:val="18"/>
        </w:rPr>
      </w:pPr>
      <m:oMath>
        <m:sSub>
          <m:sSubPr>
            <m:ctrlPr>
              <w:rPr>
                <w:rFonts w:ascii="Cambria Math" w:hAnsi="Cambria Math"/>
                <w:i/>
                <w:noProof/>
              </w:rPr>
            </m:ctrlPr>
          </m:sSubPr>
          <m:e>
            <m:r>
              <w:rPr>
                <w:rFonts w:ascii="Cambria Math" w:hAnsi="Cambria Math"/>
                <w:noProof/>
              </w:rPr>
              <m:t>φ</m:t>
            </m:r>
          </m:e>
          <m:sub>
            <m:r>
              <w:rPr>
                <w:rFonts w:ascii="Cambria Math" w:hAnsi="Cambria Math"/>
                <w:noProof/>
              </w:rPr>
              <m:t>n</m:t>
            </m:r>
          </m:sub>
        </m:sSub>
      </m:oMath>
      <w:r w:rsidR="00801F1F">
        <w:tab/>
        <w:t xml:space="preserve">è l'angolo di sbandamento a partire dal quale la curva dei bracci raddrizzanti raggiunge valori negativi (limite di stabilità); esso non deve essere inferiore a 20° o a 0,35 rad e non è inserito nella formula per più di 30° o di 0,52 rad assumendo per unità di </w:t>
      </w:r>
      <m:oMath>
        <m:sSub>
          <m:sSubPr>
            <m:ctrlPr>
              <w:rPr>
                <w:rFonts w:ascii="Cambria Math" w:hAnsi="Cambria Math"/>
                <w:i/>
                <w:noProof/>
              </w:rPr>
            </m:ctrlPr>
          </m:sSubPr>
          <m:e>
            <m:r>
              <w:rPr>
                <w:rFonts w:ascii="Cambria Math" w:hAnsi="Cambria Math"/>
                <w:noProof/>
              </w:rPr>
              <m:t>φ</m:t>
            </m:r>
          </m:e>
          <m:sub>
            <m:r>
              <w:rPr>
                <w:rFonts w:ascii="Cambria Math" w:hAnsi="Cambria Math"/>
                <w:noProof/>
              </w:rPr>
              <m:t>n</m:t>
            </m:r>
          </m:sub>
        </m:sSub>
      </m:oMath>
      <w:r w:rsidR="00801F1F">
        <w:t xml:space="preserve"> il radiante (rad) (1° = 0,01745 rad);</w:t>
      </w:r>
    </w:p>
    <w:p w:rsidR="00377B97" w:rsidRPr="00C903F8" w:rsidRDefault="005C7859" w:rsidP="003D6C36">
      <w:pPr>
        <w:pStyle w:val="ESletgauche"/>
        <w:rPr>
          <w:rFonts w:cs="Arial"/>
          <w:szCs w:val="18"/>
        </w:rPr>
      </w:pPr>
      <w:r>
        <w:t>c)</w:t>
      </w:r>
      <w:r>
        <w:tab/>
        <w:t>la somma degli angoli di sbandamento e d'assetto non superi 10°;</w:t>
      </w:r>
    </w:p>
    <w:p w:rsidR="00377B97" w:rsidRPr="00C903F8" w:rsidRDefault="0029453D" w:rsidP="003D6C36">
      <w:pPr>
        <w:pStyle w:val="ESletgauche"/>
        <w:rPr>
          <w:rFonts w:cs="Arial"/>
          <w:szCs w:val="18"/>
        </w:rPr>
      </w:pPr>
      <w:r>
        <w:t>d)</w:t>
      </w:r>
      <w:r>
        <w:tab/>
        <w:t>sia mantenuta una distanza di sicurezza residua conforme all'articolo 22.04;</w:t>
      </w:r>
    </w:p>
    <w:p w:rsidR="00377B97" w:rsidRPr="00C903F8" w:rsidRDefault="0029453D" w:rsidP="003D6C36">
      <w:pPr>
        <w:pStyle w:val="ESletgauche"/>
        <w:rPr>
          <w:rFonts w:cs="Arial"/>
          <w:szCs w:val="18"/>
        </w:rPr>
      </w:pPr>
      <w:r>
        <w:t>e)</w:t>
      </w:r>
      <w:r>
        <w:tab/>
        <w:t>sia mantenuto un bordo libero residuo di almeno 0,05 m;</w:t>
      </w:r>
    </w:p>
    <w:p w:rsidR="00377B97" w:rsidRPr="00C903F8" w:rsidRDefault="0029453D" w:rsidP="003D6C36">
      <w:pPr>
        <w:pStyle w:val="ESletgauche"/>
        <w:rPr>
          <w:noProof/>
        </w:rPr>
      </w:pPr>
      <w:r>
        <w:t>f)</w:t>
      </w:r>
      <w:r>
        <w:tab/>
        <w:t>per angoli di sbandamento da 0° a 30°, sia mantenuto un braccio raddrizzante residuo di almeno</w:t>
      </w:r>
    </w:p>
    <w:p w:rsidR="000A105C" w:rsidRPr="00C903F8" w:rsidRDefault="000A105C" w:rsidP="000A105C">
      <w:pPr>
        <w:pStyle w:val="ESletgauche"/>
        <w:rPr>
          <w:rFonts w:cs="Arial"/>
          <w:szCs w:val="18"/>
        </w:rPr>
      </w:pPr>
      <m:oMathPara>
        <m:oMath>
          <m:r>
            <w:rPr>
              <w:rFonts w:ascii="Cambria Math" w:hAnsi="Cambria Math" w:cs="Arial"/>
              <w:szCs w:val="18"/>
            </w:rPr>
            <m:t>h=</m:t>
          </m:r>
          <m:r>
            <w:rPr>
              <w:rFonts w:ascii="Cambria Math" w:hAnsi="Cambria Math" w:cs="Arial"/>
              <w:szCs w:val="18"/>
            </w:rPr>
            <m:t xml:space="preserve">0,20-0,23 ∙ </m:t>
          </m:r>
          <m:sSub>
            <m:sSubPr>
              <m:ctrlPr>
                <w:rPr>
                  <w:rFonts w:ascii="Cambria Math" w:hAnsi="Cambria Math" w:cs="Arial"/>
                  <w:i/>
                  <w:szCs w:val="18"/>
                </w:rPr>
              </m:ctrlPr>
            </m:sSubPr>
            <m:e>
              <m:r>
                <w:rPr>
                  <w:rFonts w:ascii="Cambria Math" w:hAnsi="Cambria Math" w:cs="Arial"/>
                  <w:szCs w:val="18"/>
                </w:rPr>
                <m:t>φ</m:t>
              </m:r>
            </m:e>
            <m:sub>
              <m:r>
                <w:rPr>
                  <w:rFonts w:ascii="Cambria Math" w:hAnsi="Cambria Math" w:cs="Arial"/>
                  <w:szCs w:val="18"/>
                </w:rPr>
                <m:t>n</m:t>
              </m:r>
            </m:sub>
          </m:sSub>
          <m:r>
            <w:rPr>
              <w:rFonts w:ascii="Cambria Math" w:hAnsi="Cambria Math" w:cs="Arial"/>
              <w:szCs w:val="18"/>
            </w:rPr>
            <m:t xml:space="preserve"> </m:t>
          </m:r>
          <m:d>
            <m:dPr>
              <m:begChr m:val="["/>
              <m:endChr m:val="]"/>
              <m:ctrlPr>
                <w:rPr>
                  <w:rFonts w:ascii="Cambria Math" w:hAnsi="Cambria Math" w:cs="Arial"/>
                  <w:i/>
                  <w:szCs w:val="18"/>
                </w:rPr>
              </m:ctrlPr>
            </m:dPr>
            <m:e>
              <m:r>
                <w:rPr>
                  <w:rFonts w:ascii="Cambria Math" w:hAnsi="Cambria Math" w:cs="Arial"/>
                  <w:szCs w:val="18"/>
                </w:rPr>
                <m:t>m</m:t>
              </m:r>
            </m:e>
          </m:d>
        </m:oMath>
      </m:oMathPara>
    </w:p>
    <w:p w:rsidR="00377B97" w:rsidRPr="00C903F8" w:rsidRDefault="00377B97" w:rsidP="009615E1">
      <w:pPr>
        <w:pStyle w:val="ESlet"/>
        <w:ind w:left="567" w:firstLine="0"/>
        <w:rPr>
          <w:szCs w:val="18"/>
        </w:rPr>
      </w:pPr>
      <w:r>
        <w:t xml:space="preserve">dove </w:t>
      </w:r>
      <m:oMath>
        <m:sSub>
          <m:sSubPr>
            <m:ctrlPr>
              <w:rPr>
                <w:rFonts w:ascii="Cambria Math" w:hAnsi="Cambria Math"/>
                <w:i/>
                <w:noProof/>
              </w:rPr>
            </m:ctrlPr>
          </m:sSubPr>
          <m:e>
            <m:r>
              <w:rPr>
                <w:rFonts w:ascii="Cambria Math" w:hAnsi="Cambria Math"/>
                <w:noProof/>
              </w:rPr>
              <m:t>φ</m:t>
            </m:r>
          </m:e>
          <m:sub>
            <m:r>
              <w:rPr>
                <w:rFonts w:ascii="Cambria Math" w:hAnsi="Cambria Math"/>
                <w:noProof/>
              </w:rPr>
              <m:t>n</m:t>
            </m:r>
          </m:sub>
        </m:sSub>
      </m:oMath>
      <w:r>
        <w:t xml:space="preserve"> è l'angolo di sbandamento a partire dal quale la curva dei bracci raddrizzanti raggiunge valori negativi; esso non è inserito nella formula per più di 30° o di 0,52 rad.</w:t>
      </w:r>
    </w:p>
    <w:p w:rsidR="00C26EBD" w:rsidRPr="00C903F8" w:rsidRDefault="00C26EBD" w:rsidP="00C26EBD">
      <w:pPr>
        <w:pStyle w:val="ESgauche"/>
      </w:pPr>
    </w:p>
    <w:p w:rsidR="00377B97" w:rsidRPr="00C903F8" w:rsidRDefault="00377B97" w:rsidP="00C26EBD">
      <w:pPr>
        <w:pStyle w:val="Esletgauchepar"/>
        <w:rPr>
          <w:szCs w:val="18"/>
        </w:rPr>
      </w:pPr>
      <w:r>
        <w:t>Per braccio raddrizzante residuo si intende la differenza massima esistente, fra 0° e 30° di sbandamento, fra la curva dei bracci raddrizzanti e la curva dei bracci inclinanti. Se un'apertura verso l'interno della nave è raggiunta dall'acqua a un angolo di sbandamento inferiore a quello corrispondente alla differenza massima fra le curve dei bracci, è preso in considerazione il braccio corrispondente a quest'angolo di sbandamento.</w:t>
      </w:r>
    </w:p>
    <w:p w:rsidR="00377B97" w:rsidRPr="00C903F8" w:rsidRDefault="00377B97" w:rsidP="00377B97">
      <w:pPr>
        <w:pStyle w:val="ESch"/>
        <w:rPr>
          <w:rFonts w:cs="Arial"/>
          <w:szCs w:val="18"/>
        </w:rPr>
      </w:pPr>
    </w:p>
    <w:p w:rsidR="009615E1" w:rsidRPr="00C903F8" w:rsidRDefault="009615E1" w:rsidP="00377B97">
      <w:pPr>
        <w:pStyle w:val="ESch"/>
        <w:rPr>
          <w:rFonts w:cs="Arial"/>
          <w:szCs w:val="18"/>
        </w:rPr>
      </w:pPr>
      <w:r>
        <w:br w:type="page"/>
      </w:r>
    </w:p>
    <w:p w:rsidR="00377B97" w:rsidRPr="00C903F8" w:rsidRDefault="00377B97" w:rsidP="00377B97">
      <w:pPr>
        <w:pStyle w:val="ES-Titre3"/>
        <w:rPr>
          <w:rFonts w:cs="Arial"/>
          <w:i/>
          <w:szCs w:val="18"/>
        </w:rPr>
      </w:pPr>
      <w:bookmarkStart w:id="450" w:name="_Toc491854222"/>
      <w:bookmarkStart w:id="451" w:name="_Toc535500171"/>
      <w:r>
        <w:lastRenderedPageBreak/>
        <w:t>Articolo 22.09</w:t>
      </w:r>
      <w:r>
        <w:br/>
      </w:r>
      <w:r>
        <w:rPr>
          <w:i/>
          <w:noProof/>
        </w:rPr>
        <w:t>Marche d'immersione e scale d'immersione</w:t>
      </w:r>
      <w:bookmarkEnd w:id="450"/>
      <w:bookmarkEnd w:id="451"/>
    </w:p>
    <w:p w:rsidR="00377B97" w:rsidRPr="00C903F8" w:rsidRDefault="00377B97" w:rsidP="00377B97">
      <w:pPr>
        <w:pStyle w:val="ESch"/>
        <w:rPr>
          <w:noProof/>
        </w:rPr>
      </w:pPr>
    </w:p>
    <w:p w:rsidR="00377B97" w:rsidRPr="00C903F8" w:rsidRDefault="00377B97" w:rsidP="00377B97">
      <w:pPr>
        <w:pStyle w:val="ESgauche"/>
        <w:rPr>
          <w:rFonts w:cs="Arial"/>
          <w:szCs w:val="18"/>
        </w:rPr>
      </w:pPr>
      <w:r>
        <w:t>Sono apposte marche d'immersione e scale d'immersione conformemente agli articoli 4.04 e 4.06.</w:t>
      </w:r>
    </w:p>
    <w:p w:rsidR="00377B97" w:rsidRPr="00C903F8" w:rsidRDefault="00377B97" w:rsidP="00377B97">
      <w:pPr>
        <w:pStyle w:val="ESch"/>
        <w:rPr>
          <w:rFonts w:cs="Arial"/>
          <w:szCs w:val="18"/>
        </w:rPr>
      </w:pPr>
    </w:p>
    <w:p w:rsidR="00377B97" w:rsidRPr="00C903F8" w:rsidRDefault="00377B97" w:rsidP="00377B97">
      <w:pPr>
        <w:pStyle w:val="ESch"/>
        <w:rPr>
          <w:rFonts w:cs="Arial"/>
          <w:szCs w:val="18"/>
        </w:rPr>
      </w:pPr>
    </w:p>
    <w:p w:rsidR="00377B97" w:rsidRPr="00C903F8" w:rsidRDefault="00377B97" w:rsidP="00377B97">
      <w:pPr>
        <w:pStyle w:val="ES-Titre3"/>
        <w:rPr>
          <w:rFonts w:cs="Arial"/>
          <w:i/>
          <w:szCs w:val="18"/>
        </w:rPr>
      </w:pPr>
      <w:bookmarkStart w:id="452" w:name="_Toc491854223"/>
      <w:bookmarkStart w:id="453" w:name="_Toc535500172"/>
      <w:r>
        <w:t>Articolo 22.10</w:t>
      </w:r>
      <w:r>
        <w:br/>
      </w:r>
      <w:r>
        <w:rPr>
          <w:i/>
          <w:noProof/>
        </w:rPr>
        <w:t>Galleggianti speciali senza dimostrazione della stabilità</w:t>
      </w:r>
      <w:bookmarkEnd w:id="452"/>
      <w:bookmarkEnd w:id="453"/>
    </w:p>
    <w:p w:rsidR="00377B97" w:rsidRPr="00C903F8" w:rsidRDefault="00377B97" w:rsidP="00377B97">
      <w:pPr>
        <w:pStyle w:val="ESch"/>
        <w:rPr>
          <w:noProof/>
        </w:rPr>
      </w:pPr>
    </w:p>
    <w:p w:rsidR="00377B97" w:rsidRPr="00C903F8" w:rsidRDefault="00377B97" w:rsidP="00377B97">
      <w:pPr>
        <w:pStyle w:val="ESch"/>
        <w:rPr>
          <w:rFonts w:cs="Arial"/>
          <w:szCs w:val="18"/>
        </w:rPr>
      </w:pPr>
      <w:r>
        <w:t>1.</w:t>
      </w:r>
      <w:r>
        <w:tab/>
        <w:t>Si può soprassedere all'applicazione degli articoli da 22.04 a 22.08 per i galleggianti speciali:</w:t>
      </w:r>
    </w:p>
    <w:p w:rsidR="00377B97" w:rsidRPr="00C903F8" w:rsidRDefault="005C7859" w:rsidP="00377B97">
      <w:pPr>
        <w:pStyle w:val="ESlet"/>
        <w:rPr>
          <w:rFonts w:cs="Arial"/>
          <w:szCs w:val="18"/>
        </w:rPr>
      </w:pPr>
      <w:r>
        <w:t>a)</w:t>
      </w:r>
      <w:r>
        <w:tab/>
        <w:t>i cui impianti adibiti a lavori non possono in alcun modo modificare lo sbandamento o l'assetto;</w:t>
      </w:r>
    </w:p>
    <w:p w:rsidR="00377B97" w:rsidRPr="00C903F8" w:rsidRDefault="005C7859" w:rsidP="00377B97">
      <w:pPr>
        <w:pStyle w:val="ESlet"/>
        <w:rPr>
          <w:rFonts w:cs="Arial"/>
          <w:szCs w:val="18"/>
        </w:rPr>
      </w:pPr>
      <w:r>
        <w:t>b)</w:t>
      </w:r>
      <w:r>
        <w:tab/>
        <w:t>per i quali si può assolutamente escludere uno spostamento del centro di gravità.</w:t>
      </w:r>
    </w:p>
    <w:p w:rsidR="00377B97" w:rsidRPr="00C903F8" w:rsidRDefault="00377B97" w:rsidP="00377B97">
      <w:pPr>
        <w:pStyle w:val="ESch"/>
        <w:rPr>
          <w:noProof/>
        </w:rPr>
      </w:pPr>
    </w:p>
    <w:p w:rsidR="00377B97" w:rsidRPr="00C903F8" w:rsidRDefault="00377B97" w:rsidP="00377B97">
      <w:pPr>
        <w:pStyle w:val="ESch"/>
        <w:rPr>
          <w:noProof/>
        </w:rPr>
      </w:pPr>
      <w:r>
        <w:t>2.</w:t>
      </w:r>
      <w:r>
        <w:tab/>
        <w:t>Tuttavia:</w:t>
      </w:r>
    </w:p>
    <w:p w:rsidR="00377B97" w:rsidRPr="00C903F8" w:rsidRDefault="005C7859" w:rsidP="00377B97">
      <w:pPr>
        <w:pStyle w:val="ESlet"/>
        <w:rPr>
          <w:noProof/>
        </w:rPr>
      </w:pPr>
      <w:r>
        <w:t>a)</w:t>
      </w:r>
      <w:r>
        <w:tab/>
        <w:t>a massimo carico, la distanza di sicurezza è di almeno 300 mm e il bordo libero di almeno 150 mm; e</w:t>
      </w:r>
    </w:p>
    <w:p w:rsidR="00377B97" w:rsidRPr="00C903F8" w:rsidRDefault="005C7859" w:rsidP="00377B97">
      <w:pPr>
        <w:pStyle w:val="ESlet"/>
        <w:rPr>
          <w:noProof/>
        </w:rPr>
      </w:pPr>
      <w:r>
        <w:t>b)</w:t>
      </w:r>
      <w:r>
        <w:tab/>
        <w:t>nel caso di aperture che non possono essere chiuse in modo stagno agli spruzzi e alle intemperie, la distanza di sicurezza è di almeno 500 mm.</w:t>
      </w:r>
    </w:p>
    <w:p w:rsidR="00377B97" w:rsidRPr="00C903F8" w:rsidRDefault="00377B97" w:rsidP="00973DAA">
      <w:pPr>
        <w:pStyle w:val="ESch"/>
      </w:pPr>
    </w:p>
    <w:p w:rsidR="00377B97" w:rsidRPr="00C903F8" w:rsidRDefault="00377B97" w:rsidP="00973DAA">
      <w:pPr>
        <w:pStyle w:val="ESch"/>
      </w:pPr>
    </w:p>
    <w:p w:rsidR="00377B97" w:rsidRPr="00C903F8" w:rsidRDefault="00377B97" w:rsidP="00973DAA">
      <w:pPr>
        <w:pStyle w:val="ESch"/>
      </w:pPr>
    </w:p>
    <w:p w:rsidR="00377B97" w:rsidRPr="00C903F8" w:rsidRDefault="00377B97" w:rsidP="00973DAA">
      <w:pPr>
        <w:pStyle w:val="ESch"/>
      </w:pPr>
    </w:p>
    <w:p w:rsidR="00716655" w:rsidRPr="00C903F8" w:rsidRDefault="00716655" w:rsidP="00716655">
      <w:pPr>
        <w:pStyle w:val="ES-Titre2"/>
        <w:rPr>
          <w:szCs w:val="24"/>
        </w:rPr>
      </w:pPr>
      <w:bookmarkStart w:id="454" w:name="_Toc491854224"/>
      <w:bookmarkStart w:id="455" w:name="_Toc535500173"/>
      <w:r>
        <w:lastRenderedPageBreak/>
        <w:t>Capo 23</w:t>
      </w:r>
      <w:r>
        <w:br/>
      </w:r>
      <w:r>
        <w:rPr>
          <w:noProof/>
          <w:sz w:val="22"/>
        </w:rPr>
        <w:t>Disposizioni particolari per le navi cantiere</w:t>
      </w:r>
      <w:bookmarkEnd w:id="454"/>
      <w:bookmarkEnd w:id="455"/>
    </w:p>
    <w:p w:rsidR="00716655" w:rsidRPr="00C903F8" w:rsidRDefault="00716655" w:rsidP="00716655"/>
    <w:p w:rsidR="00716655" w:rsidRPr="00C903F8" w:rsidRDefault="00716655" w:rsidP="00716655">
      <w:pPr>
        <w:pStyle w:val="ES-Titre3"/>
      </w:pPr>
      <w:bookmarkStart w:id="456" w:name="_Toc491854225"/>
      <w:bookmarkStart w:id="457" w:name="_Toc535500174"/>
      <w:r>
        <w:t>Articolo 23.01</w:t>
      </w:r>
      <w:r>
        <w:br/>
      </w:r>
      <w:r>
        <w:rPr>
          <w:i/>
          <w:noProof/>
        </w:rPr>
        <w:t>Condizioni d'esercizio</w:t>
      </w:r>
      <w:bookmarkEnd w:id="456"/>
      <w:bookmarkEnd w:id="457"/>
    </w:p>
    <w:p w:rsidR="00716655" w:rsidRPr="00C903F8" w:rsidRDefault="00716655" w:rsidP="00716655">
      <w:pPr>
        <w:pStyle w:val="ESch"/>
        <w:rPr>
          <w:noProof/>
        </w:rPr>
      </w:pPr>
    </w:p>
    <w:p w:rsidR="00716655" w:rsidRPr="00C903F8" w:rsidRDefault="00716655" w:rsidP="00716655">
      <w:pPr>
        <w:pStyle w:val="ESgauche"/>
      </w:pPr>
      <w:r>
        <w:t>Le navi cantiere così denominate nel certificato per la navigazione interna, possono navigare al di fuori dei cantieri soltanto se prive di carico. Detta limitazione deve essere annotata nel certificato per la navigazione interna.</w:t>
      </w:r>
    </w:p>
    <w:p w:rsidR="00716655" w:rsidRPr="00C903F8" w:rsidRDefault="00716655" w:rsidP="00716655">
      <w:pPr>
        <w:pStyle w:val="ESgauche"/>
      </w:pPr>
    </w:p>
    <w:p w:rsidR="00716655" w:rsidRPr="00C903F8" w:rsidRDefault="00716655" w:rsidP="00716655">
      <w:pPr>
        <w:pStyle w:val="ESgauche"/>
      </w:pPr>
      <w:r>
        <w:t>A tal fine, le navi cantiere sono provviste di un attestato dell'autorità competente indicante la durata dei lavori e la delimitazione geografica del cantiere in cui la nave può essere impiegata.</w:t>
      </w:r>
    </w:p>
    <w:p w:rsidR="00716655" w:rsidRPr="00C903F8" w:rsidRDefault="00716655" w:rsidP="00716655">
      <w:pPr>
        <w:pStyle w:val="ESch"/>
      </w:pPr>
    </w:p>
    <w:p w:rsidR="00716655" w:rsidRPr="00C903F8" w:rsidRDefault="00716655" w:rsidP="00716655">
      <w:pPr>
        <w:pStyle w:val="ESch"/>
      </w:pPr>
    </w:p>
    <w:p w:rsidR="00716655" w:rsidRPr="00C903F8" w:rsidRDefault="00716655" w:rsidP="00716655">
      <w:pPr>
        <w:pStyle w:val="ES-Titre3"/>
        <w:rPr>
          <w:i/>
        </w:rPr>
      </w:pPr>
      <w:bookmarkStart w:id="458" w:name="_Toc491854226"/>
      <w:bookmarkStart w:id="459" w:name="_Toc535500175"/>
      <w:r>
        <w:t>Articolo 23.02</w:t>
      </w:r>
      <w:r>
        <w:br/>
      </w:r>
      <w:r>
        <w:rPr>
          <w:i/>
          <w:noProof/>
        </w:rPr>
        <w:t>Applicazione della parte II</w:t>
      </w:r>
      <w:bookmarkEnd w:id="458"/>
      <w:bookmarkEnd w:id="459"/>
    </w:p>
    <w:p w:rsidR="00716655" w:rsidRPr="00C903F8" w:rsidRDefault="00716655" w:rsidP="00716655">
      <w:pPr>
        <w:pStyle w:val="ESgauche"/>
      </w:pPr>
    </w:p>
    <w:p w:rsidR="00716655" w:rsidRPr="00C903F8" w:rsidRDefault="00716655" w:rsidP="00716655">
      <w:pPr>
        <w:pStyle w:val="ESgauche"/>
      </w:pPr>
      <w:r>
        <w:t>Salvo disposizioni contrarie contenute nel presente capo, la costruzione e l'armamento delle navi cantiere devono essere conformi alla parte II, capi da 3 a 17.</w:t>
      </w:r>
    </w:p>
    <w:p w:rsidR="00716655" w:rsidRPr="00C903F8" w:rsidRDefault="00716655" w:rsidP="00716655">
      <w:pPr>
        <w:pStyle w:val="ESch"/>
      </w:pPr>
    </w:p>
    <w:p w:rsidR="00716655" w:rsidRPr="00C903F8" w:rsidRDefault="00716655" w:rsidP="00716655">
      <w:pPr>
        <w:pStyle w:val="ESch"/>
      </w:pPr>
    </w:p>
    <w:p w:rsidR="00716655" w:rsidRPr="00C903F8" w:rsidRDefault="00716655" w:rsidP="00716655">
      <w:pPr>
        <w:pStyle w:val="ES-Titre3"/>
      </w:pPr>
      <w:bookmarkStart w:id="460" w:name="_Toc491854227"/>
      <w:bookmarkStart w:id="461" w:name="_Toc535500176"/>
      <w:r>
        <w:t>Articolo 23.03</w:t>
      </w:r>
      <w:r>
        <w:br/>
      </w:r>
      <w:r>
        <w:rPr>
          <w:i/>
          <w:noProof/>
        </w:rPr>
        <w:t>Deroghe</w:t>
      </w:r>
      <w:bookmarkEnd w:id="460"/>
      <w:bookmarkEnd w:id="461"/>
    </w:p>
    <w:p w:rsidR="00716655" w:rsidRPr="00C903F8" w:rsidRDefault="00716655" w:rsidP="00716655">
      <w:pPr>
        <w:pStyle w:val="ESch"/>
        <w:rPr>
          <w:noProof/>
        </w:rPr>
      </w:pPr>
    </w:p>
    <w:p w:rsidR="00716655" w:rsidRPr="00C903F8" w:rsidRDefault="00716655" w:rsidP="00716655">
      <w:pPr>
        <w:pStyle w:val="ESch"/>
        <w:tabs>
          <w:tab w:val="left" w:pos="567"/>
        </w:tabs>
        <w:ind w:left="993" w:hanging="993"/>
      </w:pPr>
      <w:r>
        <w:t>1.</w:t>
      </w:r>
      <w:r>
        <w:tab/>
        <w:t>a)</w:t>
      </w:r>
      <w:r>
        <w:tab/>
        <w:t>L'articolo 3.03, paragrafo 1, si applica per analogia;</w:t>
      </w:r>
    </w:p>
    <w:p w:rsidR="00716655" w:rsidRPr="00C903F8" w:rsidRDefault="005C7859" w:rsidP="00716655">
      <w:pPr>
        <w:pStyle w:val="ESlet"/>
      </w:pPr>
      <w:r>
        <w:t>b)</w:t>
      </w:r>
      <w:r>
        <w:tab/>
        <w:t>i capi 5 e 6 si applicano per analogia se la nave è a motore;</w:t>
      </w:r>
    </w:p>
    <w:p w:rsidR="00716655" w:rsidRPr="00C903F8" w:rsidRDefault="005C7859" w:rsidP="00716655">
      <w:pPr>
        <w:pStyle w:val="ESlet"/>
      </w:pPr>
      <w:r>
        <w:t>c)</w:t>
      </w:r>
      <w:r>
        <w:tab/>
        <w:t>l'articolo 13.02, paragrafo 2, lettere a) e b), si applica per analogia;</w:t>
      </w:r>
    </w:p>
    <w:p w:rsidR="00EA03BA" w:rsidRPr="00C903F8" w:rsidRDefault="0029453D" w:rsidP="00EA03BA">
      <w:pPr>
        <w:pStyle w:val="ESlet"/>
        <w:rPr>
          <w:rFonts w:cs="Arial"/>
          <w:szCs w:val="18"/>
        </w:rPr>
      </w:pPr>
      <w:r>
        <w:t>d)</w:t>
      </w:r>
      <w:r>
        <w:tab/>
        <w:t>la commissione di ispezione può accordare deroghe alle altre disposizioni relative alla costruzione navale, all'allestimento e all'armamento purché in ciascun caso sia provata una sicurezza equivalente.</w:t>
      </w:r>
    </w:p>
    <w:p w:rsidR="00716655" w:rsidRPr="00C903F8" w:rsidRDefault="00716655" w:rsidP="00716655">
      <w:pPr>
        <w:pStyle w:val="ESch"/>
        <w:rPr>
          <w:noProof/>
        </w:rPr>
      </w:pPr>
    </w:p>
    <w:p w:rsidR="00716655" w:rsidRPr="00C903F8" w:rsidRDefault="00716655" w:rsidP="00716655">
      <w:pPr>
        <w:pStyle w:val="ESch"/>
        <w:rPr>
          <w:b/>
        </w:rPr>
      </w:pPr>
      <w:r>
        <w:t>2.</w:t>
      </w:r>
      <w:r>
        <w:tab/>
        <w:t>La commissione di ispezione può esonerare dall'applicazione delle seguenti disposizioni:</w:t>
      </w:r>
    </w:p>
    <w:p w:rsidR="00716655" w:rsidRPr="00C903F8" w:rsidRDefault="005C7859" w:rsidP="00716655">
      <w:pPr>
        <w:pStyle w:val="ESlet"/>
        <w:rPr>
          <w:b/>
        </w:rPr>
      </w:pPr>
      <w:r>
        <w:t>a)</w:t>
      </w:r>
      <w:r>
        <w:tab/>
        <w:t>articolo 8.08, paragrafi da 2 a 8, se non è previsto un equipaggio;</w:t>
      </w:r>
    </w:p>
    <w:p w:rsidR="00716655" w:rsidRPr="00C903F8" w:rsidRDefault="005C7859" w:rsidP="00716655">
      <w:pPr>
        <w:pStyle w:val="ESlet"/>
      </w:pPr>
      <w:r>
        <w:t>b)</w:t>
      </w:r>
      <w:r>
        <w:tab/>
        <w:t xml:space="preserve">articolo 13.1, paragrafi 1 e 3, se la nave cantiere può essere ancorata in modo sicuro mediante ancore da lavoro o pali da ormeggio. Tuttavia, le navi cantiere a motore sono provviste almeno di un'ancora conforme all'articolo 13.01, paragrafo 1, con un coefficiente </w:t>
      </w:r>
      <m:oMath>
        <m:r>
          <w:rPr>
            <w:rFonts w:ascii="Cambria Math" w:hAnsi="Cambria Math"/>
            <w:noProof/>
          </w:rPr>
          <m:t>k</m:t>
        </m:r>
      </m:oMath>
      <w:r>
        <w:t xml:space="preserve"> pari a 45 e </w:t>
      </w:r>
      <m:oMath>
        <m:r>
          <w:rPr>
            <w:rFonts w:ascii="Cambria Math" w:hAnsi="Cambria Math"/>
            <w:noProof/>
          </w:rPr>
          <m:t>T</m:t>
        </m:r>
      </m:oMath>
      <w:r>
        <w:t xml:space="preserve"> pari all'altezza </w:t>
      </w:r>
      <m:oMath>
        <m:r>
          <w:rPr>
            <w:rFonts w:ascii="Cambria Math" w:hAnsi="Cambria Math"/>
            <w:noProof/>
          </w:rPr>
          <m:t>H</m:t>
        </m:r>
      </m:oMath>
      <w:r>
        <w:t>;</w:t>
      </w:r>
    </w:p>
    <w:p w:rsidR="00716655" w:rsidRPr="00C903F8" w:rsidRDefault="005C7859" w:rsidP="00716655">
      <w:pPr>
        <w:pStyle w:val="ESlet"/>
      </w:pPr>
      <w:r>
        <w:t>c)</w:t>
      </w:r>
      <w:r>
        <w:tab/>
        <w:t>articolo 13.02, paragrafo 1, lettera c), se la nave cantiere non è a motore.</w:t>
      </w:r>
    </w:p>
    <w:p w:rsidR="00716655" w:rsidRPr="00C903F8" w:rsidRDefault="00716655" w:rsidP="00716655">
      <w:pPr>
        <w:pStyle w:val="ESch"/>
      </w:pPr>
    </w:p>
    <w:p w:rsidR="00716655" w:rsidRPr="00C903F8" w:rsidRDefault="00716655" w:rsidP="00716655">
      <w:pPr>
        <w:pStyle w:val="ESch"/>
      </w:pPr>
    </w:p>
    <w:p w:rsidR="00716655" w:rsidRPr="00C903F8" w:rsidRDefault="00716655" w:rsidP="00716655">
      <w:pPr>
        <w:pStyle w:val="ESch"/>
      </w:pPr>
      <w:r>
        <w:br w:type="page"/>
      </w:r>
    </w:p>
    <w:p w:rsidR="00716655" w:rsidRPr="00C903F8" w:rsidRDefault="00716655" w:rsidP="00716655">
      <w:pPr>
        <w:pStyle w:val="ES-Titre3"/>
        <w:rPr>
          <w:i/>
        </w:rPr>
      </w:pPr>
      <w:bookmarkStart w:id="462" w:name="_Toc491854228"/>
      <w:bookmarkStart w:id="463" w:name="_Toc535500177"/>
      <w:r>
        <w:lastRenderedPageBreak/>
        <w:t>Articolo 23.04</w:t>
      </w:r>
      <w:r>
        <w:br/>
      </w:r>
      <w:r>
        <w:rPr>
          <w:i/>
          <w:noProof/>
        </w:rPr>
        <w:t>Distanza di sicurezza e bordo libero</w:t>
      </w:r>
      <w:bookmarkEnd w:id="462"/>
      <w:bookmarkEnd w:id="463"/>
    </w:p>
    <w:p w:rsidR="00716655" w:rsidRPr="00C903F8" w:rsidRDefault="00716655" w:rsidP="00716655">
      <w:pPr>
        <w:pStyle w:val="ESch"/>
        <w:rPr>
          <w:noProof/>
        </w:rPr>
      </w:pPr>
    </w:p>
    <w:p w:rsidR="00716655" w:rsidRPr="00C903F8" w:rsidRDefault="00716655" w:rsidP="00716655">
      <w:pPr>
        <w:pStyle w:val="ESch"/>
      </w:pPr>
      <w:r>
        <w:t>1.</w:t>
      </w:r>
      <w:r>
        <w:tab/>
        <w:t>Se una nave cantiere è impiegata come rifluitore o betta a sportelli, la distanza di sicurezza all'esterno della zona stive è di almeno 300 mm e il bordo libero di almeno 150 mm. La commissione di ispezione può ammettere un bordo libero inferiore se è fornita una prova di calcolo che la stabilità è sufficiente per un carico la cui massa specifica è di 1,5 t/m</w:t>
      </w:r>
      <w:r>
        <w:rPr>
          <w:noProof/>
          <w:vertAlign w:val="superscript"/>
        </w:rPr>
        <w:t>3</w:t>
      </w:r>
      <w:r>
        <w:t xml:space="preserve"> e che nessun lato del ponte è lambito dall'acqua. Si tiene conto dell'influsso del carico liquefatto.</w:t>
      </w:r>
    </w:p>
    <w:p w:rsidR="00716655" w:rsidRPr="00C903F8" w:rsidRDefault="00716655" w:rsidP="00716655">
      <w:pPr>
        <w:pStyle w:val="ESch"/>
        <w:rPr>
          <w:noProof/>
        </w:rPr>
      </w:pPr>
    </w:p>
    <w:p w:rsidR="00716655" w:rsidRPr="00C903F8" w:rsidRDefault="00716655" w:rsidP="00716655">
      <w:pPr>
        <w:pStyle w:val="ESch"/>
      </w:pPr>
      <w:r>
        <w:t>2.</w:t>
      </w:r>
      <w:r>
        <w:tab/>
        <w:t>Alle navi cantiere non previste al paragrafo 1 si applicano per analogia le disposizioni degli articoli 4.01 e 4.02. La commissione di ispezione può stabilire per la distanza di sicurezza e il bordo libero valori differenti da quelli sopra indicati.</w:t>
      </w:r>
    </w:p>
    <w:p w:rsidR="00716655" w:rsidRPr="00C903F8" w:rsidRDefault="00716655" w:rsidP="00716655">
      <w:pPr>
        <w:pStyle w:val="ESch"/>
      </w:pPr>
    </w:p>
    <w:p w:rsidR="00716655" w:rsidRPr="00C903F8" w:rsidRDefault="00716655" w:rsidP="00716655">
      <w:pPr>
        <w:pStyle w:val="ESch"/>
      </w:pPr>
    </w:p>
    <w:p w:rsidR="00716655" w:rsidRPr="00C903F8" w:rsidRDefault="00716655" w:rsidP="00716655">
      <w:pPr>
        <w:pStyle w:val="ES-Titre3"/>
      </w:pPr>
      <w:bookmarkStart w:id="464" w:name="_Toc491854229"/>
      <w:bookmarkStart w:id="465" w:name="_Toc535500178"/>
      <w:r>
        <w:t>Articolo 23.05</w:t>
      </w:r>
      <w:r>
        <w:br/>
      </w:r>
      <w:r>
        <w:rPr>
          <w:i/>
          <w:noProof/>
        </w:rPr>
        <w:t>Lance</w:t>
      </w:r>
      <w:bookmarkEnd w:id="464"/>
      <w:bookmarkEnd w:id="465"/>
    </w:p>
    <w:p w:rsidR="00716655" w:rsidRPr="00C903F8" w:rsidRDefault="00716655" w:rsidP="00716655">
      <w:pPr>
        <w:pStyle w:val="ESch"/>
        <w:rPr>
          <w:noProof/>
        </w:rPr>
      </w:pPr>
    </w:p>
    <w:p w:rsidR="00716655" w:rsidRPr="00C903F8" w:rsidRDefault="00716655" w:rsidP="00716655">
      <w:pPr>
        <w:pStyle w:val="ESgauche"/>
      </w:pPr>
      <w:r>
        <w:t>Le navi cantiere sono dispensate dall'obbligo di tenere una lancia quando:</w:t>
      </w:r>
    </w:p>
    <w:p w:rsidR="00716655" w:rsidRPr="00C903F8" w:rsidRDefault="005C7859" w:rsidP="00716655">
      <w:pPr>
        <w:pStyle w:val="ESletgauche"/>
      </w:pPr>
      <w:r>
        <w:t>a)</w:t>
      </w:r>
      <w:r>
        <w:tab/>
        <w:t>non sono a motore;</w:t>
      </w:r>
    </w:p>
    <w:p w:rsidR="00716655" w:rsidRPr="00C903F8" w:rsidRDefault="005C7859" w:rsidP="00716655">
      <w:pPr>
        <w:pStyle w:val="ESletgauche"/>
      </w:pPr>
      <w:r>
        <w:t>b)</w:t>
      </w:r>
      <w:r>
        <w:tab/>
        <w:t>una lancia è disponibile altrove nel cantiere.</w:t>
      </w:r>
    </w:p>
    <w:p w:rsidR="00716655" w:rsidRPr="00C903F8" w:rsidRDefault="00716655" w:rsidP="00716655">
      <w:pPr>
        <w:pStyle w:val="ESch"/>
        <w:rPr>
          <w:noProof/>
        </w:rPr>
      </w:pPr>
    </w:p>
    <w:p w:rsidR="00716655" w:rsidRPr="00C903F8" w:rsidRDefault="00716655" w:rsidP="00716655">
      <w:pPr>
        <w:pStyle w:val="ESgauche"/>
      </w:pPr>
      <w:r>
        <w:t>Detta deroga deve essere annotata nel certificato per la navigazione interna.</w:t>
      </w:r>
    </w:p>
    <w:p w:rsidR="00716655" w:rsidRPr="00C903F8" w:rsidRDefault="00716655" w:rsidP="00973DAA">
      <w:pPr>
        <w:pStyle w:val="ESch"/>
      </w:pPr>
    </w:p>
    <w:p w:rsidR="00AE3F86" w:rsidRPr="00C903F8" w:rsidRDefault="00AE3F86" w:rsidP="00973DAA">
      <w:pPr>
        <w:pStyle w:val="ESch"/>
      </w:pPr>
    </w:p>
    <w:p w:rsidR="00AE3F86" w:rsidRPr="00C903F8" w:rsidRDefault="00AE3F86" w:rsidP="00973DAA">
      <w:pPr>
        <w:pStyle w:val="ESch"/>
      </w:pPr>
    </w:p>
    <w:p w:rsidR="00AE3F86" w:rsidRPr="00C903F8" w:rsidRDefault="00AE3F86" w:rsidP="00973DAA">
      <w:pPr>
        <w:pStyle w:val="ESch"/>
      </w:pPr>
    </w:p>
    <w:p w:rsidR="00716655" w:rsidRPr="00C903F8" w:rsidRDefault="00716655" w:rsidP="00973DAA">
      <w:pPr>
        <w:pStyle w:val="ESch"/>
      </w:pPr>
    </w:p>
    <w:p w:rsidR="00AE3F86" w:rsidRPr="00C903F8" w:rsidRDefault="00AE3F86" w:rsidP="00AE3F86">
      <w:pPr>
        <w:pStyle w:val="ES-Titre2"/>
        <w:rPr>
          <w:szCs w:val="24"/>
        </w:rPr>
      </w:pPr>
      <w:bookmarkStart w:id="466" w:name="_Toc491854230"/>
      <w:bookmarkStart w:id="467" w:name="_Toc535500179"/>
      <w:r>
        <w:lastRenderedPageBreak/>
        <w:t>Capo 24</w:t>
      </w:r>
      <w:r>
        <w:br/>
      </w:r>
      <w:r>
        <w:rPr>
          <w:noProof/>
          <w:sz w:val="22"/>
        </w:rPr>
        <w:t>Disposizioni particolari per le imbarcazioni tradizionali</w:t>
      </w:r>
      <w:bookmarkEnd w:id="466"/>
      <w:bookmarkEnd w:id="467"/>
    </w:p>
    <w:p w:rsidR="00AE3F86" w:rsidRPr="00C903F8" w:rsidRDefault="00AE3F86" w:rsidP="00973DAA">
      <w:pPr>
        <w:pStyle w:val="ESch"/>
      </w:pPr>
    </w:p>
    <w:p w:rsidR="00221291" w:rsidRPr="006B6215" w:rsidRDefault="00221291" w:rsidP="006B6215">
      <w:pPr>
        <w:pStyle w:val="ES-Titre3"/>
        <w:rPr>
          <w:rFonts w:cs="Arial"/>
          <w:i/>
        </w:rPr>
      </w:pPr>
      <w:bookmarkStart w:id="468" w:name="_Toc491854231"/>
      <w:bookmarkStart w:id="469" w:name="_Toc535500180"/>
      <w:r>
        <w:t>Articolo 24.01</w:t>
      </w:r>
      <w:r>
        <w:br/>
      </w:r>
      <w:r>
        <w:rPr>
          <w:i/>
        </w:rPr>
        <w:t>Applicazione delle parti II e III</w:t>
      </w:r>
      <w:bookmarkEnd w:id="468"/>
      <w:bookmarkEnd w:id="469"/>
      <w:r>
        <w:rPr>
          <w:i/>
        </w:rPr>
        <w:t xml:space="preserve"> </w:t>
      </w:r>
    </w:p>
    <w:p w:rsidR="00221291" w:rsidRPr="006B6215" w:rsidRDefault="00221291" w:rsidP="006B6215">
      <w:pPr>
        <w:pStyle w:val="ESch"/>
      </w:pPr>
    </w:p>
    <w:p w:rsidR="00221291" w:rsidRPr="006B6215" w:rsidRDefault="00221291" w:rsidP="006B6215">
      <w:pPr>
        <w:pStyle w:val="ESch"/>
      </w:pPr>
      <w:r>
        <w:t>1.</w:t>
      </w:r>
      <w:r>
        <w:tab/>
        <w:t>Le imbarcazioni tradizionali sono costruite secondo le buone pratiche di costruzione navale nel rispetto delle condizioni tecniche del periodo storico scelto.</w:t>
      </w:r>
    </w:p>
    <w:p w:rsidR="00221291" w:rsidRPr="006B6215" w:rsidRDefault="00221291" w:rsidP="006B6215">
      <w:pPr>
        <w:pStyle w:val="ESch"/>
      </w:pPr>
    </w:p>
    <w:p w:rsidR="00221291" w:rsidRPr="006B6215" w:rsidRDefault="00221291" w:rsidP="006B6215">
      <w:pPr>
        <w:pStyle w:val="ESchpar"/>
      </w:pPr>
      <w:r>
        <w:t>Lo stato della costruzione, dell'allestimento e dell'armamento dell'imbarcazione tradizionale è almeno conforme alle norme nazionali dello Stato membro nel quale detta imbarcazione era originariamente in servizio alla data storica scelta.</w:t>
      </w:r>
    </w:p>
    <w:p w:rsidR="00221291" w:rsidRPr="006B6215" w:rsidRDefault="00221291" w:rsidP="006B6215">
      <w:pPr>
        <w:pStyle w:val="ESch"/>
      </w:pPr>
    </w:p>
    <w:p w:rsidR="00221291" w:rsidRPr="006B6215" w:rsidRDefault="00221291" w:rsidP="006B6215">
      <w:pPr>
        <w:pStyle w:val="ESch"/>
      </w:pPr>
      <w:r>
        <w:t>2.</w:t>
      </w:r>
      <w:r>
        <w:tab/>
        <w:t>Tutte le parti componenti, l'allestimento e l'armamento non inclusi nello stato della costruzione navale, dell'allestimento e dell'armamento del periodo di tempo prescelto devono soddisfare tutte le disposizioni applicabili delle Parti II e III della presente norma.</w:t>
      </w:r>
    </w:p>
    <w:p w:rsidR="00221291" w:rsidRPr="006B6215" w:rsidRDefault="00221291" w:rsidP="006B6215">
      <w:pPr>
        <w:pStyle w:val="ESch"/>
      </w:pPr>
    </w:p>
    <w:p w:rsidR="00221291" w:rsidRPr="006B6215" w:rsidRDefault="00221291" w:rsidP="006B6215">
      <w:pPr>
        <w:pStyle w:val="ESch"/>
      </w:pPr>
      <w:r>
        <w:t>3.</w:t>
      </w:r>
      <w:r>
        <w:tab/>
        <w:t>In caso di deviazioni dalle disposizioni attualmente applicabili della presente norma, la commissione di ispezione deve stabilire, come compensazione di bilanciamento, un livello equivalente di sicurezza in considerazione del funzionamento tecnico dell'imbarcazione tradizionale e anche del suo impatto visivo. Tali deviazioni sono consentite soltanto se necessarie in ragione della preservazione del carattere storico dell'imbarcazione.</w:t>
      </w:r>
    </w:p>
    <w:p w:rsidR="00221291" w:rsidRPr="006B6215" w:rsidRDefault="00221291" w:rsidP="006B6215">
      <w:pPr>
        <w:pStyle w:val="ESch"/>
        <w:rPr>
          <w:rFonts w:cs="Arial"/>
          <w:szCs w:val="20"/>
        </w:rPr>
      </w:pPr>
    </w:p>
    <w:p w:rsidR="00221291" w:rsidRPr="006B6215" w:rsidRDefault="00221291" w:rsidP="00221291">
      <w:pPr>
        <w:autoSpaceDE/>
        <w:autoSpaceDN/>
        <w:ind w:left="0" w:firstLine="0"/>
        <w:jc w:val="left"/>
        <w:rPr>
          <w:rFonts w:cs="Arial"/>
          <w:color w:val="000000"/>
          <w:szCs w:val="20"/>
        </w:rPr>
      </w:pPr>
    </w:p>
    <w:p w:rsidR="00221291" w:rsidRPr="006B6215" w:rsidRDefault="00221291" w:rsidP="006B6215">
      <w:pPr>
        <w:pStyle w:val="ES-Titre3"/>
        <w:rPr>
          <w:rFonts w:cs="Arial"/>
          <w:i/>
        </w:rPr>
      </w:pPr>
      <w:bookmarkStart w:id="470" w:name="_Toc491854232"/>
      <w:bookmarkStart w:id="471" w:name="_Toc535500181"/>
      <w:r>
        <w:t>Articolo 24.02</w:t>
      </w:r>
      <w:r>
        <w:br/>
      </w:r>
      <w:r>
        <w:rPr>
          <w:i/>
        </w:rPr>
        <w:t>Riconoscimento ed annotazione nel certificato per la navigazione interna</w:t>
      </w:r>
      <w:bookmarkEnd w:id="470"/>
      <w:bookmarkEnd w:id="471"/>
    </w:p>
    <w:p w:rsidR="00221291" w:rsidRPr="006B6215" w:rsidRDefault="00221291" w:rsidP="00221291">
      <w:pPr>
        <w:widowControl w:val="0"/>
        <w:autoSpaceDE/>
        <w:autoSpaceDN/>
        <w:spacing w:line="240" w:lineRule="exact"/>
        <w:ind w:left="0" w:firstLine="0"/>
        <w:jc w:val="center"/>
        <w:rPr>
          <w:rFonts w:cs="Arial"/>
          <w:color w:val="000000"/>
          <w:szCs w:val="20"/>
        </w:rPr>
      </w:pPr>
    </w:p>
    <w:p w:rsidR="00221291" w:rsidRPr="00221291" w:rsidRDefault="00221291" w:rsidP="00221291">
      <w:pPr>
        <w:pStyle w:val="ESch"/>
        <w:rPr>
          <w:highlight w:val="lightGray"/>
        </w:rPr>
      </w:pPr>
      <w:r>
        <w:t>1.</w:t>
      </w:r>
      <w:r>
        <w:tab/>
        <w:t>Affinché un'imbarcazione possa essere riconosciuta come un'imbarcazione tradizionale occorre:</w:t>
      </w:r>
    </w:p>
    <w:p w:rsidR="00221291" w:rsidRPr="000E732C" w:rsidRDefault="00221291" w:rsidP="00221291">
      <w:pPr>
        <w:pStyle w:val="ESlet"/>
      </w:pPr>
      <w:r>
        <w:t xml:space="preserve">a) </w:t>
      </w:r>
      <w:r>
        <w:tab/>
        <w:t xml:space="preserve">un'ispezione iniziale prima del rilascio per la prima volta di un certificato per la navigazione interna; oppure </w:t>
      </w:r>
    </w:p>
    <w:p w:rsidR="00221291" w:rsidRPr="00221291" w:rsidRDefault="00221291" w:rsidP="00221291">
      <w:pPr>
        <w:pStyle w:val="ESlet"/>
      </w:pPr>
      <w:r>
        <w:t xml:space="preserve">b) </w:t>
      </w:r>
      <w:r>
        <w:tab/>
        <w:t>un'ispezione speciale prima dell'emissione di un certificato per la navigazione interna modificato a seguito della trasformazione o della variazione di destinazione di un'imbarcazione in un'imbarcazione tradizionale.</w:t>
      </w:r>
    </w:p>
    <w:p w:rsidR="00221291" w:rsidRPr="00221291" w:rsidRDefault="00221291" w:rsidP="00221291">
      <w:pPr>
        <w:spacing w:line="240" w:lineRule="atLeast"/>
        <w:ind w:left="567" w:hanging="567"/>
        <w:rPr>
          <w:highlight w:val="lightGray"/>
        </w:rPr>
      </w:pPr>
    </w:p>
    <w:p w:rsidR="00221291" w:rsidRPr="000E732C" w:rsidRDefault="00221291" w:rsidP="00221291">
      <w:pPr>
        <w:pStyle w:val="ESch"/>
      </w:pPr>
      <w:r>
        <w:t>2.</w:t>
      </w:r>
      <w:r>
        <w:tab/>
        <w:t>Oltre ai documenti normativi richiesti, unitamente alla domanda di ispezione, i seguenti documenti devono essere presentati alla commissione di ispezione:</w:t>
      </w:r>
    </w:p>
    <w:p w:rsidR="00221291" w:rsidRPr="000E732C" w:rsidRDefault="00221291" w:rsidP="00221291">
      <w:pPr>
        <w:pStyle w:val="ESlet"/>
      </w:pPr>
      <w:r>
        <w:t>a)</w:t>
      </w:r>
      <w:r>
        <w:tab/>
        <w:t>la perizia di un esperto di un'autorità per la conservazione del patrimonio avente competenza corrispondente nel settore o di un esperto di imbarcazioni tradizionali, rilasciata in risposta ad un'ispezione che è stata effettuata non più di tre mesi prima della presentazione della domanda, attestante: che le prescrizioni di cui all'articolo 24.01, paragrafo 1, sono soddisfatte; che l'idoneità all'uso a norma dell'articolo 1.01, paragrafo 1, punto 29, è confermata; e che l'imbarcazione è di conseguenza degna di essere preservata;</w:t>
      </w:r>
    </w:p>
    <w:p w:rsidR="00221291" w:rsidRPr="000E732C" w:rsidRDefault="00221291" w:rsidP="00221291">
      <w:pPr>
        <w:pStyle w:val="ESlet"/>
      </w:pPr>
      <w:r>
        <w:t>b)</w:t>
      </w:r>
      <w:r>
        <w:tab/>
        <w:t>il concetto di funzionamento;</w:t>
      </w:r>
    </w:p>
    <w:p w:rsidR="00221291" w:rsidRPr="000E732C" w:rsidRDefault="00221291" w:rsidP="00221291">
      <w:pPr>
        <w:pStyle w:val="ESlet"/>
      </w:pPr>
      <w:r>
        <w:t>c)</w:t>
      </w:r>
      <w:r>
        <w:tab/>
        <w:t>un concetto di sicurezza basato sul concetto di funzionamento di cui alla lettera b);</w:t>
      </w:r>
    </w:p>
    <w:p w:rsidR="00221291" w:rsidRPr="000E732C" w:rsidRDefault="00221291" w:rsidP="00221291">
      <w:pPr>
        <w:pStyle w:val="ESlet"/>
      </w:pPr>
      <w:r>
        <w:t>d)</w:t>
      </w:r>
      <w:r>
        <w:tab/>
        <w:t>la documentazione relativa all'imbarcazione tradizionale, costituita dalle seguenti parti:</w:t>
      </w:r>
    </w:p>
    <w:p w:rsidR="00221291" w:rsidRPr="000E732C" w:rsidRDefault="00221291" w:rsidP="00221291">
      <w:pPr>
        <w:pStyle w:val="EStiret"/>
      </w:pPr>
      <w:r>
        <w:t>aa)</w:t>
      </w:r>
      <w:r>
        <w:tab/>
        <w:t>dettagli dello stato della costruzione navale, dell'allestimento e dell'armamento dell'imbarcazione presentata per l'ispezione, mediante descrizioni, disegni, fotografie e altra documentazione pertinenti;</w:t>
      </w:r>
    </w:p>
    <w:p w:rsidR="00221291" w:rsidRPr="000E732C" w:rsidRDefault="00221291" w:rsidP="00221291">
      <w:pPr>
        <w:pStyle w:val="EStiret"/>
      </w:pPr>
      <w:r>
        <w:t>bb)</w:t>
      </w:r>
      <w:r>
        <w:tab/>
        <w:t>un elenco delle prescrizioni applicabili alla data storica prescelta e copie delle stesse nella misura in cui essi siano necessari per giustificare eventuali deviazioni rispetto alle prescrizioni di cui alle parti II e III della presente norma;</w:t>
      </w:r>
    </w:p>
    <w:p w:rsidR="00221291" w:rsidRPr="000E732C" w:rsidRDefault="00221291">
      <w:pPr>
        <w:autoSpaceDE/>
        <w:autoSpaceDN/>
        <w:ind w:left="0" w:firstLine="0"/>
        <w:jc w:val="left"/>
        <w:rPr>
          <w:noProof/>
          <w:snapToGrid w:val="0"/>
          <w:color w:val="000000"/>
        </w:rPr>
      </w:pPr>
      <w:r>
        <w:br w:type="page"/>
      </w:r>
    </w:p>
    <w:p w:rsidR="00221291" w:rsidRPr="00221291" w:rsidRDefault="00221291" w:rsidP="00221291">
      <w:pPr>
        <w:pStyle w:val="EStiret"/>
      </w:pPr>
      <w:r>
        <w:lastRenderedPageBreak/>
        <w:t>cc)</w:t>
      </w:r>
      <w:r>
        <w:tab/>
        <w:t>la dimostrazione del fatto che lo stato della costruzione navale, dell'allestimento e dell'armamento è appropriato per l'esercizio dell'imbarcazione come un'imbarcazione tradizionale;</w:t>
      </w:r>
    </w:p>
    <w:p w:rsidR="00221291" w:rsidRPr="000E732C" w:rsidRDefault="00221291" w:rsidP="00221291">
      <w:pPr>
        <w:pStyle w:val="EStiret"/>
      </w:pPr>
      <w:r>
        <w:t>dd)</w:t>
      </w:r>
      <w:r>
        <w:tab/>
        <w:t>disegni, piani, calcoli e evidenze ai sensi della presente norma. Tali elementi devono rispettare lo stato applicabile all'imbarcazione al momento della presentazione della domanda;</w:t>
      </w:r>
    </w:p>
    <w:p w:rsidR="00221291" w:rsidRPr="000E732C" w:rsidRDefault="00221291" w:rsidP="00221291">
      <w:pPr>
        <w:pStyle w:val="EStiret"/>
      </w:pPr>
      <w:r>
        <w:t>ee)</w:t>
      </w:r>
      <w:r>
        <w:tab/>
        <w:t>un elenco delle deviazioni in termini di stato della costruzione navale, dell'allestimento e dell'armamento in base ai dettagli di cui al punto aa) rispetto alle prescrizioni della presente norma applicabili al momento della presentazione della domanda;</w:t>
      </w:r>
    </w:p>
    <w:p w:rsidR="00221291" w:rsidRPr="000E732C" w:rsidRDefault="00221291" w:rsidP="00221291">
      <w:pPr>
        <w:pStyle w:val="EStiret"/>
      </w:pPr>
      <w:r>
        <w:t>ff)</w:t>
      </w:r>
      <w:r>
        <w:tab/>
        <w:t>dati sull'equipaggio dell'imbarcazione tradizionale nel periodo storico prescelto.</w:t>
      </w:r>
    </w:p>
    <w:p w:rsidR="00221291" w:rsidRPr="00221291" w:rsidRDefault="00221291" w:rsidP="00221291">
      <w:pPr>
        <w:spacing w:line="240" w:lineRule="atLeast"/>
        <w:ind w:left="567" w:hanging="567"/>
        <w:rPr>
          <w:highlight w:val="lightGray"/>
        </w:rPr>
      </w:pPr>
    </w:p>
    <w:p w:rsidR="00221291" w:rsidRPr="000E732C" w:rsidRDefault="00221291" w:rsidP="00221291">
      <w:pPr>
        <w:pStyle w:val="ESch"/>
      </w:pPr>
      <w:r>
        <w:t>3.</w:t>
      </w:r>
      <w:r>
        <w:tab/>
        <w:t>Il richiedente fa domanda per la data storica per l'imbarcazione tradizionale; tale data non deve essere scelta anteriormente la data in cui l'imbarcazione è stata messa in servizio per la prima volta. Nel caso di una riproduzione di un'imbarcazione tradizionale, la data storica può essere desunta dalla perizia dell'esperto di cui al paragrafo 2, lettera a).</w:t>
      </w:r>
    </w:p>
    <w:p w:rsidR="00221291" w:rsidRPr="000E732C" w:rsidRDefault="00221291" w:rsidP="00221291">
      <w:pPr>
        <w:pStyle w:val="ESch"/>
      </w:pPr>
    </w:p>
    <w:p w:rsidR="00221291" w:rsidRPr="000E732C" w:rsidRDefault="00221291" w:rsidP="00221291">
      <w:pPr>
        <w:pStyle w:val="ESch"/>
      </w:pPr>
      <w:r>
        <w:t>4.</w:t>
      </w:r>
      <w:r>
        <w:tab/>
        <w:t xml:space="preserve">Sulla base della documentazione di cui sopra e dell'ispezione ai sensi del paragrafo 1, la commissione di ispezione valuta la conformità conformemente all'articolo 1.01, paragrafo 1, punto 29, e all'articolo 24.01 e il riconoscimento come "imbarcazione tradizionale" viene annotato nella rubrica 2 del certificato per la navigazione interna. </w:t>
      </w:r>
    </w:p>
    <w:p w:rsidR="00221291" w:rsidRPr="000E732C" w:rsidRDefault="00221291" w:rsidP="00221291">
      <w:pPr>
        <w:pStyle w:val="ESch"/>
      </w:pPr>
    </w:p>
    <w:p w:rsidR="00221291" w:rsidRPr="00221291" w:rsidRDefault="00221291" w:rsidP="00221291">
      <w:pPr>
        <w:pStyle w:val="ESch"/>
        <w:ind w:firstLine="0"/>
      </w:pPr>
      <w:r>
        <w:t>La valutazione della conformità non può avere luogo contro il giudizio dell'esperto di imbarcazioni tradizionali e contro la perizia dell'esperto di cui al paragrafo 2, lettera a).</w:t>
      </w:r>
    </w:p>
    <w:p w:rsidR="00221291" w:rsidRPr="00221291" w:rsidRDefault="00221291" w:rsidP="00221291">
      <w:pPr>
        <w:pStyle w:val="ESch"/>
      </w:pPr>
    </w:p>
    <w:p w:rsidR="00221291" w:rsidRPr="000E732C" w:rsidRDefault="00221291" w:rsidP="00221291">
      <w:pPr>
        <w:pStyle w:val="ESch"/>
      </w:pPr>
      <w:r>
        <w:t>5.</w:t>
      </w:r>
      <w:r>
        <w:tab/>
        <w:t>Oltre all'annotazione "imbarcazione tradizionale", viene rilasciato l'allegato "imbarcazione tradizionale" conformemente al modello di cui all'allegato 3, sezione V. La seguente annotazione viene inserita nella rubrica 52 del certificato per la navigazione interna:</w:t>
      </w:r>
    </w:p>
    <w:p w:rsidR="00221291" w:rsidRPr="00221291" w:rsidRDefault="00221291" w:rsidP="00221291">
      <w:pPr>
        <w:spacing w:line="240" w:lineRule="atLeast"/>
        <w:ind w:left="0" w:firstLine="0"/>
        <w:rPr>
          <w:highlight w:val="lightGray"/>
        </w:rPr>
      </w:pPr>
    </w:p>
    <w:p w:rsidR="00221291" w:rsidRPr="006B6215" w:rsidRDefault="00221291" w:rsidP="006B6215">
      <w:pPr>
        <w:pStyle w:val="ESch"/>
        <w:jc w:val="center"/>
      </w:pPr>
      <w:r>
        <w:t>"Cfr. allegato imbarcazione tradizionale."</w:t>
      </w:r>
    </w:p>
    <w:p w:rsidR="00221291" w:rsidRPr="00221291" w:rsidRDefault="00221291" w:rsidP="00221291">
      <w:pPr>
        <w:autoSpaceDE/>
        <w:autoSpaceDN/>
        <w:ind w:left="0" w:firstLine="0"/>
        <w:jc w:val="left"/>
        <w:rPr>
          <w:highlight w:val="lightGray"/>
        </w:rPr>
      </w:pPr>
    </w:p>
    <w:p w:rsidR="00221291" w:rsidRPr="000E732C" w:rsidRDefault="00221291" w:rsidP="00221291">
      <w:pPr>
        <w:pStyle w:val="ESch"/>
      </w:pPr>
      <w:r>
        <w:t>6.</w:t>
      </w:r>
      <w:r>
        <w:tab/>
        <w:t>Qualora nella documentazione di cui al paragrafo 2, lettera d), punto ee) oppure durante l'ispezione di cui al paragrafo 1, si riscontrino non conformità rispetto alla versione della presente norma applicabile al momento della presentazione della domanda,</w:t>
      </w:r>
    </w:p>
    <w:p w:rsidR="00221291" w:rsidRPr="000E732C" w:rsidRDefault="00221291" w:rsidP="00221291">
      <w:pPr>
        <w:pStyle w:val="ESlet"/>
      </w:pPr>
      <w:r>
        <w:t>a)</w:t>
      </w:r>
      <w:r>
        <w:tab/>
        <w:t>soltanto l'equipaggio o le persone che svolgono attività ufficiali a bordo possono rimanere sull'imbarcazione mentre la stessa è in movimento; e</w:t>
      </w:r>
    </w:p>
    <w:p w:rsidR="00221291" w:rsidRPr="000E732C" w:rsidRDefault="00221291" w:rsidP="00221291">
      <w:pPr>
        <w:pStyle w:val="ESlet"/>
      </w:pPr>
      <w:r>
        <w:t>b)</w:t>
      </w:r>
      <w:r>
        <w:tab/>
        <w:t>il funzionamento di macchine o apparecchiature ad azionamento meccanico presenti a bordo che sono facilmente accessibili è consentito soltanto se non vi è nessuno a bordo, fatta eccezione per l'equipaggio o le persone che svolgono attività ufficiali a bordo.</w:t>
      </w:r>
    </w:p>
    <w:p w:rsidR="00221291" w:rsidRPr="00221291" w:rsidRDefault="00221291" w:rsidP="00221291">
      <w:pPr>
        <w:autoSpaceDE/>
        <w:autoSpaceDN/>
        <w:ind w:left="0" w:firstLine="0"/>
        <w:jc w:val="left"/>
        <w:rPr>
          <w:highlight w:val="lightGray"/>
        </w:rPr>
      </w:pPr>
    </w:p>
    <w:p w:rsidR="00221291" w:rsidRPr="006B6215" w:rsidRDefault="00221291" w:rsidP="006B6215">
      <w:pPr>
        <w:pStyle w:val="ESchpar"/>
      </w:pPr>
      <w:r>
        <w:t>La seguente annotazione viene inserita alla rubrica 52 del certificato per la navigazione interna:</w:t>
      </w:r>
    </w:p>
    <w:p w:rsidR="00221291" w:rsidRPr="006B6215" w:rsidRDefault="00221291" w:rsidP="006B6215">
      <w:pPr>
        <w:pStyle w:val="ESchpar"/>
      </w:pPr>
    </w:p>
    <w:p w:rsidR="00221291" w:rsidRPr="006B6215" w:rsidRDefault="00221291" w:rsidP="006B6215">
      <w:pPr>
        <w:pStyle w:val="ESchpar"/>
      </w:pPr>
      <w:r>
        <w:t>"Le persone diverse dall'equipaggio o dalle persone che svolgono attività ufficiali a bordo possono restare a bordo soltanto quando l'imbarcazione è ormeggiata in modo sicuro e macchine e apparecchiature ad azionamento meccanico liberamente accessibili non sono in funzione".</w:t>
      </w:r>
    </w:p>
    <w:p w:rsidR="00221291" w:rsidRPr="006B6215" w:rsidRDefault="00221291" w:rsidP="006B6215">
      <w:pPr>
        <w:pStyle w:val="ESchpar"/>
      </w:pPr>
    </w:p>
    <w:p w:rsidR="00221291" w:rsidRPr="006B6215" w:rsidRDefault="00221291" w:rsidP="006B6215">
      <w:pPr>
        <w:pStyle w:val="ESchpar"/>
        <w:rPr>
          <w:rFonts w:cs="Arial"/>
          <w:color w:val="000000"/>
          <w:szCs w:val="20"/>
        </w:rPr>
      </w:pPr>
    </w:p>
    <w:p w:rsidR="00221291" w:rsidRPr="006B6215" w:rsidRDefault="00221291">
      <w:pPr>
        <w:autoSpaceDE/>
        <w:autoSpaceDN/>
        <w:ind w:left="0" w:firstLine="0"/>
        <w:jc w:val="left"/>
        <w:rPr>
          <w:rFonts w:cs="Arial"/>
          <w:b/>
          <w:color w:val="000000"/>
          <w:sz w:val="22"/>
          <w:szCs w:val="22"/>
        </w:rPr>
      </w:pPr>
      <w:r>
        <w:br w:type="page"/>
      </w:r>
    </w:p>
    <w:p w:rsidR="00221291" w:rsidRDefault="00221291" w:rsidP="006B6215">
      <w:pPr>
        <w:pStyle w:val="ESch"/>
        <w:rPr>
          <w:highlight w:val="lightGray"/>
        </w:rPr>
      </w:pPr>
    </w:p>
    <w:p w:rsidR="00221291" w:rsidRPr="006B6215" w:rsidRDefault="00221291" w:rsidP="006B6215">
      <w:pPr>
        <w:pStyle w:val="ES-Titre3"/>
        <w:rPr>
          <w:szCs w:val="20"/>
        </w:rPr>
      </w:pPr>
      <w:bookmarkStart w:id="472" w:name="_Toc491854233"/>
      <w:bookmarkStart w:id="473" w:name="_Toc535500182"/>
      <w:r>
        <w:t>Articolo 24.03</w:t>
      </w:r>
      <w:r>
        <w:br/>
      </w:r>
      <w:r>
        <w:rPr>
          <w:i/>
        </w:rPr>
        <w:t>Altre disposizioni e prescrizioni</w:t>
      </w:r>
      <w:bookmarkEnd w:id="472"/>
      <w:bookmarkEnd w:id="473"/>
    </w:p>
    <w:p w:rsidR="00221291" w:rsidRPr="006B6215" w:rsidRDefault="00221291" w:rsidP="00221291">
      <w:pPr>
        <w:widowControl w:val="0"/>
        <w:autoSpaceDE/>
        <w:autoSpaceDN/>
        <w:ind w:left="0" w:firstLine="0"/>
        <w:outlineLvl w:val="0"/>
        <w:rPr>
          <w:rFonts w:cs="Arial"/>
          <w:color w:val="000000"/>
          <w:szCs w:val="20"/>
        </w:rPr>
      </w:pPr>
    </w:p>
    <w:p w:rsidR="00221291" w:rsidRPr="006B6215" w:rsidRDefault="00221291" w:rsidP="00221291">
      <w:pPr>
        <w:pStyle w:val="ESch"/>
      </w:pPr>
      <w:r>
        <w:t>1.</w:t>
      </w:r>
      <w:r>
        <w:tab/>
        <w:t>Sulla base del concetto operativo e di quello di sicurezza di cui all'articolo 24.02, paragrafo 2, lettere b) e c), nonché sullo stato della costruzione navale, dell'allestimento e dell'armamento dell'imbarcazione tradizionale, la commissione di ispezione stabilisce:</w:t>
      </w:r>
    </w:p>
    <w:p w:rsidR="00221291" w:rsidRPr="006B6215" w:rsidRDefault="00221291" w:rsidP="00221291">
      <w:pPr>
        <w:pStyle w:val="ESlet"/>
      </w:pPr>
      <w:r>
        <w:t>a)</w:t>
      </w:r>
      <w:r>
        <w:tab/>
        <w:t>l'equipaggio minimo e le qualifiche degli stessi;</w:t>
      </w:r>
    </w:p>
    <w:p w:rsidR="00221291" w:rsidRPr="006B6215" w:rsidRDefault="00221291" w:rsidP="00221291">
      <w:pPr>
        <w:pStyle w:val="ESlet"/>
      </w:pPr>
      <w:r>
        <w:t>b)</w:t>
      </w:r>
      <w:r>
        <w:tab/>
        <w:t>il numero di persone consentito che può essere ridotto all'equipaggio minimo;</w:t>
      </w:r>
    </w:p>
    <w:p w:rsidR="00221291" w:rsidRPr="006B6215" w:rsidRDefault="00221291" w:rsidP="00221291">
      <w:pPr>
        <w:pStyle w:val="ESlet"/>
      </w:pPr>
      <w:r>
        <w:t>c)</w:t>
      </w:r>
      <w:r>
        <w:tab/>
        <w:t>condizioni restrittive per la permanenza a bordo di persone diverse dai membri dell'equipaggio;</w:t>
      </w:r>
    </w:p>
    <w:p w:rsidR="00221291" w:rsidRPr="006B6215" w:rsidRDefault="00221291" w:rsidP="00221291">
      <w:pPr>
        <w:pStyle w:val="ESlet"/>
      </w:pPr>
      <w:r>
        <w:t>d)</w:t>
      </w:r>
      <w:r>
        <w:tab/>
        <w:t>il carico ammissibile che può essere ridotto a "zero";</w:t>
      </w:r>
    </w:p>
    <w:p w:rsidR="00221291" w:rsidRPr="006B6215" w:rsidRDefault="00221291" w:rsidP="00221291">
      <w:pPr>
        <w:pStyle w:val="ESlet"/>
      </w:pPr>
      <w:r>
        <w:t>e)</w:t>
      </w:r>
      <w:r>
        <w:tab/>
        <w:t>la zona di esercizio consentita;</w:t>
      </w:r>
    </w:p>
    <w:p w:rsidR="00221291" w:rsidRPr="006B6215" w:rsidRDefault="00221291" w:rsidP="00221291">
      <w:pPr>
        <w:pStyle w:val="ESlet"/>
      </w:pPr>
      <w:r>
        <w:t>f)</w:t>
      </w:r>
      <w:r>
        <w:tab/>
        <w:t>le restrizioni meteorologiche;</w:t>
      </w:r>
    </w:p>
    <w:p w:rsidR="00221291" w:rsidRPr="006B6215" w:rsidRDefault="00221291" w:rsidP="00221291">
      <w:pPr>
        <w:pStyle w:val="ESlet"/>
      </w:pPr>
      <w:r>
        <w:t>g)</w:t>
      </w:r>
      <w:r>
        <w:tab/>
        <w:t>le restrizioni nautiche;</w:t>
      </w:r>
    </w:p>
    <w:p w:rsidR="00221291" w:rsidRPr="006B6215" w:rsidRDefault="00221291" w:rsidP="00221291">
      <w:pPr>
        <w:pStyle w:val="ESlet"/>
      </w:pPr>
      <w:r>
        <w:t>h)</w:t>
      </w:r>
      <w:r>
        <w:tab/>
        <w:t>ulteriori condizioni restrittive.</w:t>
      </w:r>
    </w:p>
    <w:p w:rsidR="00221291" w:rsidRPr="006B6215" w:rsidRDefault="00221291" w:rsidP="00221291">
      <w:pPr>
        <w:widowControl w:val="0"/>
        <w:tabs>
          <w:tab w:val="left" w:pos="1440"/>
        </w:tabs>
        <w:autoSpaceDE/>
        <w:autoSpaceDN/>
        <w:spacing w:line="240" w:lineRule="atLeast"/>
        <w:ind w:left="900" w:firstLine="0"/>
        <w:rPr>
          <w:rFonts w:ascii="Times New Roman" w:hAnsi="Times New Roman"/>
          <w:szCs w:val="20"/>
        </w:rPr>
      </w:pPr>
    </w:p>
    <w:p w:rsidR="00AE3F86" w:rsidRPr="006B6215" w:rsidRDefault="00221291" w:rsidP="006B6215">
      <w:pPr>
        <w:pStyle w:val="ESch"/>
      </w:pPr>
      <w:r>
        <w:t>2.</w:t>
      </w:r>
      <w:r>
        <w:tab/>
        <w:t>In caso di ispezioni periodiche, la commissione di ispezione può modificare le condizioni conformemente all'articolo 24.03, paragrafo 1, e all'articolo 24.01, paragrafo 3, sulla base dell'ulteriore sviluppo dei regolamenti tecnici della presente norma. Tali modifiche vengono annotate nell'allegato "imbarcazione tradizionale" del certificato per la navigazione interna.</w:t>
      </w:r>
    </w:p>
    <w:p w:rsidR="00BF049A" w:rsidRPr="00C903F8" w:rsidRDefault="00BF049A" w:rsidP="00973DAA">
      <w:pPr>
        <w:pStyle w:val="ESch"/>
      </w:pPr>
    </w:p>
    <w:p w:rsidR="00AE3F86" w:rsidRPr="00C903F8" w:rsidRDefault="00AE3F86" w:rsidP="00973DAA">
      <w:pPr>
        <w:pStyle w:val="ESch"/>
      </w:pPr>
    </w:p>
    <w:p w:rsidR="00A71FF0" w:rsidRPr="00C903F8" w:rsidRDefault="00A71FF0" w:rsidP="00973DAA">
      <w:pPr>
        <w:pStyle w:val="ESch"/>
      </w:pPr>
      <w:r>
        <w:br w:type="page"/>
      </w:r>
    </w:p>
    <w:p w:rsidR="00AE3F86" w:rsidRPr="00C903F8" w:rsidRDefault="00AE3F86" w:rsidP="00973DAA">
      <w:pPr>
        <w:pStyle w:val="ESch"/>
      </w:pPr>
    </w:p>
    <w:p w:rsidR="00AE3F86" w:rsidRPr="00C903F8" w:rsidRDefault="00AE3F86" w:rsidP="00973DAA">
      <w:pPr>
        <w:pStyle w:val="ESch"/>
      </w:pPr>
    </w:p>
    <w:p w:rsidR="00AE3F86" w:rsidRPr="00C903F8" w:rsidRDefault="00AE3F86" w:rsidP="00973DAA">
      <w:pPr>
        <w:pStyle w:val="ESch"/>
      </w:pPr>
    </w:p>
    <w:p w:rsidR="00BF049A" w:rsidRPr="00C903F8" w:rsidRDefault="00BF049A" w:rsidP="00BF049A">
      <w:pPr>
        <w:pStyle w:val="ES-Titre2"/>
        <w:rPr>
          <w:szCs w:val="24"/>
        </w:rPr>
      </w:pPr>
      <w:bookmarkStart w:id="474" w:name="_Toc491854234"/>
      <w:bookmarkStart w:id="475" w:name="_Toc535500183"/>
      <w:r>
        <w:lastRenderedPageBreak/>
        <w:t>Capo 25</w:t>
      </w:r>
      <w:r>
        <w:br/>
      </w:r>
      <w:r>
        <w:rPr>
          <w:noProof/>
          <w:sz w:val="22"/>
        </w:rPr>
        <w:t>Disposizioni particolari per le navi della navigazione marittima</w:t>
      </w:r>
      <w:bookmarkEnd w:id="474"/>
      <w:bookmarkEnd w:id="475"/>
    </w:p>
    <w:p w:rsidR="00BF049A" w:rsidRPr="00C903F8" w:rsidRDefault="00BF049A" w:rsidP="00BF049A"/>
    <w:p w:rsidR="00BF049A" w:rsidRPr="00C903F8" w:rsidRDefault="00BF049A" w:rsidP="00BF049A">
      <w:pPr>
        <w:pStyle w:val="ES-Titre3"/>
      </w:pPr>
      <w:bookmarkStart w:id="476" w:name="_Toc491854235"/>
      <w:bookmarkStart w:id="477" w:name="_Toc535500184"/>
      <w:r>
        <w:t>Articolo 25.01</w:t>
      </w:r>
      <w:r>
        <w:br/>
      </w:r>
      <w:r>
        <w:rPr>
          <w:i/>
          <w:noProof/>
        </w:rPr>
        <w:t>Disposizioni per il Reno (zona R)</w:t>
      </w:r>
      <w:bookmarkEnd w:id="476"/>
      <w:bookmarkEnd w:id="477"/>
    </w:p>
    <w:p w:rsidR="00BF049A" w:rsidRPr="00C903F8" w:rsidRDefault="00BF049A" w:rsidP="00BF049A">
      <w:pPr>
        <w:pStyle w:val="ESch"/>
        <w:rPr>
          <w:noProof/>
        </w:rPr>
      </w:pPr>
    </w:p>
    <w:p w:rsidR="00237080" w:rsidRPr="00C903F8" w:rsidRDefault="00237080" w:rsidP="00237080">
      <w:pPr>
        <w:pStyle w:val="ESch"/>
      </w:pPr>
      <w:r>
        <w:t xml:space="preserve">1. </w:t>
      </w:r>
      <w:r>
        <w:tab/>
        <w:t xml:space="preserve">Le navi della navigazione marittima che navigano sul Reno rispettano le pertinenti disposizioni nazionali e internazionali in materia di requisiti tecnici per quanto concerne la costruzione navale, l'armamento e l'ambiente di tale tipologia di navi e devono essere in grado di provare tale conformità mediante i certificati necessari. </w:t>
      </w:r>
    </w:p>
    <w:p w:rsidR="00237080" w:rsidRPr="00C903F8" w:rsidRDefault="00237080" w:rsidP="00237080">
      <w:pPr>
        <w:pStyle w:val="ESch"/>
        <w:rPr>
          <w:noProof/>
        </w:rPr>
      </w:pPr>
    </w:p>
    <w:p w:rsidR="00237080" w:rsidRPr="00C903F8" w:rsidRDefault="00237080" w:rsidP="00237080">
      <w:pPr>
        <w:pStyle w:val="ESch"/>
        <w:rPr>
          <w:noProof/>
        </w:rPr>
      </w:pPr>
      <w:r>
        <w:t>2.</w:t>
      </w:r>
      <w:r>
        <w:tab/>
        <w:t>Oltre alle prescrizioni di cui al paragrafo 1, le navi della navigazione marittima rispettano le seguenti disposizioni della presente norma:</w:t>
      </w:r>
    </w:p>
    <w:p w:rsidR="00BF049A" w:rsidRPr="00C903F8" w:rsidRDefault="005C7859" w:rsidP="00BF049A">
      <w:pPr>
        <w:pStyle w:val="ESletgauche"/>
        <w:rPr>
          <w:rFonts w:cs="Arial"/>
          <w:szCs w:val="20"/>
        </w:rPr>
      </w:pPr>
      <w:r>
        <w:t>a)</w:t>
      </w:r>
      <w:r>
        <w:tab/>
        <w:t>capo 5;</w:t>
      </w:r>
    </w:p>
    <w:p w:rsidR="00BF049A" w:rsidRPr="00C903F8" w:rsidRDefault="005C7859" w:rsidP="00BF049A">
      <w:pPr>
        <w:pStyle w:val="ESletgauche"/>
        <w:rPr>
          <w:rFonts w:cs="Arial"/>
          <w:szCs w:val="20"/>
        </w:rPr>
      </w:pPr>
      <w:r>
        <w:t>b)</w:t>
      </w:r>
      <w:r>
        <w:tab/>
        <w:t>capo 6:</w:t>
      </w:r>
    </w:p>
    <w:p w:rsidR="00BF049A" w:rsidRPr="00C903F8" w:rsidRDefault="00ED0C30" w:rsidP="00BF049A">
      <w:pPr>
        <w:pStyle w:val="Esletgauchepar"/>
        <w:rPr>
          <w:rFonts w:cs="Arial"/>
          <w:szCs w:val="20"/>
        </w:rPr>
      </w:pPr>
      <w:r>
        <w:t>articolo 6.01, paragrafo 1; e articolo 6.02, paragrafi 1 e 2;</w:t>
      </w:r>
    </w:p>
    <w:p w:rsidR="00BF049A" w:rsidRPr="00C903F8" w:rsidRDefault="005C7859" w:rsidP="00BF049A">
      <w:pPr>
        <w:pStyle w:val="ESletgauche"/>
        <w:rPr>
          <w:rFonts w:cs="Arial"/>
          <w:szCs w:val="20"/>
        </w:rPr>
      </w:pPr>
      <w:r>
        <w:t>c)</w:t>
      </w:r>
      <w:r>
        <w:tab/>
        <w:t>capo 7:</w:t>
      </w:r>
    </w:p>
    <w:p w:rsidR="00BF049A" w:rsidRPr="00C903F8" w:rsidRDefault="00ED0C30" w:rsidP="00BF049A">
      <w:pPr>
        <w:pStyle w:val="Esletgauchepar"/>
        <w:rPr>
          <w:rFonts w:cs="Arial"/>
        </w:rPr>
      </w:pPr>
      <w:r>
        <w:t>articolo 7.01, paragrafo 2; articolo 7.02, paragrafi 1 e 3; articolo 7.05, paragrafo 2;</w:t>
      </w:r>
    </w:p>
    <w:p w:rsidR="00BF049A" w:rsidRPr="00C903F8" w:rsidRDefault="00ED0C30" w:rsidP="00BF049A">
      <w:pPr>
        <w:pStyle w:val="Esletgauchepar"/>
        <w:rPr>
          <w:rFonts w:cs="Arial"/>
        </w:rPr>
      </w:pPr>
      <w:r>
        <w:t>articolo 7.13 per le navi della navigazione marittima attrezzate per la navigazione con radar da parte di una sola persona;</w:t>
      </w:r>
    </w:p>
    <w:p w:rsidR="00BF049A" w:rsidRPr="00C903F8" w:rsidRDefault="0029453D" w:rsidP="00BF049A">
      <w:pPr>
        <w:pStyle w:val="ESletgauche"/>
        <w:rPr>
          <w:rFonts w:cs="Arial"/>
          <w:szCs w:val="20"/>
        </w:rPr>
      </w:pPr>
      <w:r>
        <w:t>d)</w:t>
      </w:r>
      <w:r>
        <w:tab/>
        <w:t>capo 8:</w:t>
      </w:r>
    </w:p>
    <w:p w:rsidR="00BF049A" w:rsidRPr="00C903F8" w:rsidRDefault="00ED0C30" w:rsidP="00BF049A">
      <w:pPr>
        <w:pStyle w:val="Esletgauchepar"/>
        <w:rPr>
          <w:rFonts w:cs="Arial"/>
        </w:rPr>
      </w:pPr>
      <w:r>
        <w:t>articolo 8.03, paragrafo 3, per le navi della navigazione marittima quando un dispositivo di interruzione automatica dell'erogazione può essere spento dal posto di pilotaggio; articolo 8.05, paragrafo 13; articolo 8.08, paragrafo 10; articolo 8.09, paragrafi 1 e 2; e articolo 8.10.</w:t>
      </w:r>
    </w:p>
    <w:p w:rsidR="00BF049A" w:rsidRPr="00C903F8" w:rsidRDefault="00BF049A" w:rsidP="00BF049A">
      <w:pPr>
        <w:pStyle w:val="Esletgauchepar"/>
        <w:rPr>
          <w:rFonts w:cs="Arial"/>
        </w:rPr>
      </w:pPr>
      <w:r>
        <w:t>Il blocco dei dispositivi di chiusura nella posizione prescritta all'articolo 8.08, paragrafo 10, è considerato equivalente alla sigillatura dei dispositivi di chiusura del sistema di sentina attraverso il quale l'acqua oleosa può essere pompata fuori dalla nave. La o le chiavi necessarie sono conservate in una posizione centrale che è contrassegnata di conseguenza.</w:t>
      </w:r>
    </w:p>
    <w:p w:rsidR="00BF049A" w:rsidRPr="00C903F8" w:rsidRDefault="00BF049A" w:rsidP="00BF049A">
      <w:pPr>
        <w:pStyle w:val="Esletgauchepar"/>
        <w:rPr>
          <w:rFonts w:cs="Arial"/>
        </w:rPr>
      </w:pPr>
      <w:r>
        <w:t>Un sistema di controllo e comando dello scarico dell'olio conforme alla regola 16 della MARPOL 73/78 è considerato equivalente al blocco dei dispositivi di chiusura nella posizione prescritta all'articolo 8.08, paragrafo 10. L'esistenza del sistema di controllo e comando è attestata da un certificato internazionale per la prevenzione dell'inquinamento da olio minerale (IOPP) conforme alla MARPOL 73/78.</w:t>
      </w:r>
    </w:p>
    <w:p w:rsidR="00BF049A" w:rsidRPr="00C903F8" w:rsidRDefault="00BF049A" w:rsidP="00BF049A">
      <w:pPr>
        <w:pStyle w:val="Esletgauchepar"/>
        <w:rPr>
          <w:rFonts w:cs="Arial"/>
        </w:rPr>
      </w:pPr>
      <w:r>
        <w:t>L'articolo 8.09, paragrafo 2, si considera rispettato se l'attestato IOPP rivela che la nave è dotata di serbatoi di raccolta che consentono la conservazione a bordo di tutte le acque oleose e di tutti i residui oleosi;</w:t>
      </w:r>
    </w:p>
    <w:p w:rsidR="00BF049A" w:rsidRPr="00C903F8" w:rsidRDefault="0029453D" w:rsidP="00BF049A">
      <w:pPr>
        <w:pStyle w:val="ESletgauche"/>
        <w:rPr>
          <w:rFonts w:cs="Arial"/>
          <w:szCs w:val="20"/>
        </w:rPr>
      </w:pPr>
      <w:r>
        <w:t>e)</w:t>
      </w:r>
      <w:r>
        <w:tab/>
        <w:t>capo 10:</w:t>
      </w:r>
    </w:p>
    <w:p w:rsidR="00BF049A" w:rsidRPr="00C903F8" w:rsidRDefault="00ED0C30" w:rsidP="00BF049A">
      <w:pPr>
        <w:pStyle w:val="Esletgauchepar"/>
        <w:rPr>
          <w:rFonts w:cs="Arial"/>
        </w:rPr>
      </w:pPr>
      <w:r>
        <w:t>articolo 10.17;</w:t>
      </w:r>
    </w:p>
    <w:p w:rsidR="00BF049A" w:rsidRPr="00C903F8" w:rsidRDefault="0029453D" w:rsidP="00BF049A">
      <w:pPr>
        <w:pStyle w:val="ESletgauche"/>
        <w:rPr>
          <w:rFonts w:cs="Arial"/>
          <w:szCs w:val="20"/>
        </w:rPr>
      </w:pPr>
      <w:r>
        <w:t>f)</w:t>
      </w:r>
      <w:r>
        <w:tab/>
        <w:t>capo 13:</w:t>
      </w:r>
    </w:p>
    <w:p w:rsidR="00BF049A" w:rsidRPr="00C903F8" w:rsidRDefault="00ED0C30" w:rsidP="00BF049A">
      <w:pPr>
        <w:pStyle w:val="Esletgauchepar"/>
        <w:rPr>
          <w:rFonts w:cs="Arial"/>
        </w:rPr>
      </w:pPr>
      <w:r>
        <w:t>articolo 13.01 e articolo 13.02, paragrafo 1;</w:t>
      </w:r>
    </w:p>
    <w:p w:rsidR="00BF049A" w:rsidRPr="00C903F8" w:rsidRDefault="0029453D" w:rsidP="00BF049A">
      <w:pPr>
        <w:pStyle w:val="ESletgauche"/>
        <w:rPr>
          <w:rFonts w:cs="Arial"/>
          <w:szCs w:val="20"/>
        </w:rPr>
      </w:pPr>
      <w:r>
        <w:t>g)</w:t>
      </w:r>
      <w:r>
        <w:tab/>
        <w:t>capo 21:</w:t>
      </w:r>
    </w:p>
    <w:p w:rsidR="00BF049A" w:rsidRPr="00C903F8" w:rsidRDefault="00BF049A" w:rsidP="00BF049A">
      <w:pPr>
        <w:pStyle w:val="Esletgauchepar"/>
        <w:rPr>
          <w:rFonts w:cs="Arial"/>
        </w:rPr>
      </w:pPr>
      <w:r>
        <w:t>per le navi della navigazione marittima autorizzate a far parte di un convoglio;</w:t>
      </w:r>
    </w:p>
    <w:p w:rsidR="00BF049A" w:rsidRPr="00C903F8" w:rsidRDefault="0029453D" w:rsidP="00BF049A">
      <w:pPr>
        <w:pStyle w:val="ESletgauche"/>
        <w:rPr>
          <w:rFonts w:cs="Arial"/>
          <w:szCs w:val="20"/>
        </w:rPr>
      </w:pPr>
      <w:r>
        <w:t>h)</w:t>
      </w:r>
      <w:r>
        <w:tab/>
        <w:t>capo 27;</w:t>
      </w:r>
    </w:p>
    <w:p w:rsidR="00BF049A" w:rsidRPr="00C903F8" w:rsidRDefault="00BF049A" w:rsidP="00BF049A">
      <w:pPr>
        <w:pStyle w:val="Esletgauchepar"/>
        <w:rPr>
          <w:rFonts w:cs="Arial"/>
        </w:rPr>
      </w:pPr>
      <w:r>
        <w:t>il capo 27 si considera rispettato quando la stabilità è conforme alle attuali risoluzioni IMO, i corrispondenti documenti relativi alla stabilità sono stati approvati dall'autorità competente e i contenitori sono protetti secondo le consuete modalità della navigazione marittima.</w:t>
      </w:r>
    </w:p>
    <w:p w:rsidR="00BF049A" w:rsidRPr="00C903F8" w:rsidRDefault="00BF049A" w:rsidP="00BF049A">
      <w:pPr>
        <w:pStyle w:val="Esletgauchepar"/>
      </w:pPr>
    </w:p>
    <w:p w:rsidR="00D96486" w:rsidRPr="00C903F8" w:rsidRDefault="00D96486" w:rsidP="00973DAA">
      <w:pPr>
        <w:pStyle w:val="ESch"/>
      </w:pPr>
    </w:p>
    <w:p w:rsidR="00A71FF0" w:rsidRPr="00C903F8" w:rsidRDefault="00A71FF0" w:rsidP="00973DAA">
      <w:pPr>
        <w:pStyle w:val="ESch"/>
      </w:pPr>
      <w:r>
        <w:br w:type="page"/>
      </w:r>
    </w:p>
    <w:p w:rsidR="00A71FF0" w:rsidRPr="00C903F8" w:rsidRDefault="00A71FF0" w:rsidP="00973DAA">
      <w:pPr>
        <w:pStyle w:val="ESch"/>
      </w:pPr>
    </w:p>
    <w:p w:rsidR="00A71FF0" w:rsidRPr="00C903F8" w:rsidRDefault="00A71FF0" w:rsidP="00973DAA">
      <w:pPr>
        <w:pStyle w:val="ESch"/>
      </w:pPr>
    </w:p>
    <w:p w:rsidR="00D96486" w:rsidRPr="00C903F8" w:rsidRDefault="00D96486" w:rsidP="00973DAA">
      <w:pPr>
        <w:pStyle w:val="ESch"/>
      </w:pPr>
    </w:p>
    <w:p w:rsidR="00BF049A" w:rsidRPr="00C903F8" w:rsidRDefault="00BF049A" w:rsidP="00BF049A">
      <w:pPr>
        <w:pStyle w:val="ES-Titre2"/>
        <w:rPr>
          <w:szCs w:val="24"/>
        </w:rPr>
      </w:pPr>
      <w:bookmarkStart w:id="478" w:name="_Toc491854236"/>
      <w:bookmarkStart w:id="479" w:name="_Toc535500185"/>
      <w:r>
        <w:lastRenderedPageBreak/>
        <w:t>Capo 26</w:t>
      </w:r>
      <w:r>
        <w:br/>
      </w:r>
      <w:r>
        <w:rPr>
          <w:noProof/>
          <w:sz w:val="22"/>
        </w:rPr>
        <w:t>Disposizioni particolari per le imbarcazioni da diporto</w:t>
      </w:r>
      <w:bookmarkEnd w:id="478"/>
      <w:bookmarkEnd w:id="479"/>
    </w:p>
    <w:p w:rsidR="00BF049A" w:rsidRDefault="00BF049A" w:rsidP="00BF049A"/>
    <w:p w:rsidR="00BF049A" w:rsidRPr="00C903F8" w:rsidRDefault="00BF049A" w:rsidP="00BF049A">
      <w:pPr>
        <w:pStyle w:val="ES-Titre3"/>
        <w:rPr>
          <w:rFonts w:cs="Arial"/>
          <w:i/>
          <w:szCs w:val="18"/>
        </w:rPr>
      </w:pPr>
      <w:bookmarkStart w:id="480" w:name="_Toc491854237"/>
      <w:bookmarkStart w:id="481" w:name="_Toc535500186"/>
      <w:r>
        <w:t>Articolo 26.01</w:t>
      </w:r>
      <w:r>
        <w:br/>
      </w:r>
      <w:r>
        <w:rPr>
          <w:i/>
          <w:noProof/>
        </w:rPr>
        <w:t>Applicazione della parte II</w:t>
      </w:r>
      <w:bookmarkEnd w:id="480"/>
      <w:bookmarkEnd w:id="481"/>
    </w:p>
    <w:p w:rsidR="00BF049A" w:rsidRPr="00C903F8" w:rsidRDefault="00BF049A" w:rsidP="00BF049A">
      <w:pPr>
        <w:pStyle w:val="ESch"/>
        <w:rPr>
          <w:rFonts w:eastAsia="Calibri"/>
          <w:noProof/>
        </w:rPr>
      </w:pPr>
    </w:p>
    <w:p w:rsidR="00DE2419" w:rsidRPr="004B606C" w:rsidRDefault="00DE2419" w:rsidP="00DE2419">
      <w:pPr>
        <w:pStyle w:val="ESch"/>
        <w:rPr>
          <w:rFonts w:eastAsia="Calibri" w:cs="Arial"/>
          <w:szCs w:val="18"/>
        </w:rPr>
      </w:pPr>
      <w:r>
        <w:t xml:space="preserve">1. </w:t>
      </w:r>
      <w:r>
        <w:tab/>
        <w:t>Le imbarcazioni da diporto rispettano le seguenti disposizioni:</w:t>
      </w:r>
    </w:p>
    <w:p w:rsidR="00DE2419" w:rsidRPr="004B606C" w:rsidRDefault="00DE2419" w:rsidP="00DE2419">
      <w:pPr>
        <w:pStyle w:val="ESlet"/>
        <w:rPr>
          <w:rFonts w:eastAsia="Calibri" w:cs="Arial"/>
          <w:szCs w:val="18"/>
        </w:rPr>
      </w:pPr>
      <w:r>
        <w:t>a)</w:t>
      </w:r>
      <w:r>
        <w:tab/>
        <w:t>capo 3:</w:t>
      </w:r>
    </w:p>
    <w:p w:rsidR="00DE2419" w:rsidRPr="004B606C" w:rsidRDefault="00DE2419" w:rsidP="00DE2419">
      <w:pPr>
        <w:pStyle w:val="ESletpar"/>
        <w:rPr>
          <w:rFonts w:eastAsia="Calibri" w:cs="Arial"/>
          <w:szCs w:val="18"/>
        </w:rPr>
      </w:pPr>
      <w:r>
        <w:t>articolo 3.01; articolo 3.02, paragrafo 1, lettera a), e paragrafo 2; articolo 3.03, paragrafo 1, lettera a), e paragrafo 6; articolo 3.04, paragrafo 1;</w:t>
      </w:r>
    </w:p>
    <w:p w:rsidR="00DE2419" w:rsidRPr="004B606C" w:rsidRDefault="00DE2419" w:rsidP="00DE2419">
      <w:pPr>
        <w:pStyle w:val="ESlet"/>
        <w:rPr>
          <w:rFonts w:eastAsia="Calibri" w:cs="Arial"/>
          <w:szCs w:val="18"/>
        </w:rPr>
      </w:pPr>
      <w:r>
        <w:t>b)</w:t>
      </w:r>
      <w:r>
        <w:tab/>
        <w:t>capo 5;</w:t>
      </w:r>
    </w:p>
    <w:p w:rsidR="00DE2419" w:rsidRPr="004B606C" w:rsidRDefault="00DE2419" w:rsidP="00DE2419">
      <w:pPr>
        <w:pStyle w:val="ESlet"/>
        <w:rPr>
          <w:rFonts w:eastAsia="Calibri" w:cs="Arial"/>
          <w:szCs w:val="18"/>
        </w:rPr>
      </w:pPr>
      <w:r>
        <w:t>c)</w:t>
      </w:r>
      <w:r>
        <w:tab/>
        <w:t>capo 6:</w:t>
      </w:r>
    </w:p>
    <w:p w:rsidR="00DE2419" w:rsidRPr="004B606C" w:rsidRDefault="00DE2419" w:rsidP="00DE2419">
      <w:pPr>
        <w:pStyle w:val="ESletpar"/>
        <w:rPr>
          <w:rFonts w:eastAsia="Calibri" w:cs="Arial"/>
          <w:szCs w:val="18"/>
        </w:rPr>
      </w:pPr>
      <w:r>
        <w:t>articoli 6.01, paragrafo 1, e articolo 6.08;</w:t>
      </w:r>
    </w:p>
    <w:p w:rsidR="00DE2419" w:rsidRPr="004B606C" w:rsidRDefault="00DE2419" w:rsidP="00DE2419">
      <w:pPr>
        <w:pStyle w:val="ESlet"/>
        <w:rPr>
          <w:rFonts w:eastAsia="Calibri" w:cs="Arial"/>
          <w:szCs w:val="18"/>
        </w:rPr>
      </w:pPr>
      <w:r>
        <w:t>d)</w:t>
      </w:r>
      <w:r>
        <w:tab/>
        <w:t>capo 7:</w:t>
      </w:r>
    </w:p>
    <w:p w:rsidR="00DE2419" w:rsidRPr="004B606C" w:rsidRDefault="00DE2419" w:rsidP="00DE2419">
      <w:pPr>
        <w:pStyle w:val="ESletpar"/>
        <w:rPr>
          <w:rFonts w:eastAsia="Calibri"/>
          <w:noProof/>
        </w:rPr>
      </w:pPr>
      <w:r>
        <w:t xml:space="preserve">articolo 7.01, paragrafi 1 e 2; articolo 7.02; articolo 7.03, paragrafi 1 e 2; articolo 7.04, paragrafo 1; articolo 7.05, paragrafo 2; </w:t>
      </w:r>
    </w:p>
    <w:p w:rsidR="00DE2419" w:rsidRPr="004B606C" w:rsidRDefault="00DE2419" w:rsidP="00DE2419">
      <w:pPr>
        <w:pStyle w:val="ESletpar"/>
        <w:rPr>
          <w:rFonts w:eastAsia="Calibri" w:cs="Arial"/>
          <w:szCs w:val="18"/>
        </w:rPr>
      </w:pPr>
      <w:r>
        <w:t>articolo 7.13 se vi è una timoneria attrezzata per la navigazione con radar da parte di una sola persona;</w:t>
      </w:r>
    </w:p>
    <w:p w:rsidR="00DE2419" w:rsidRPr="004B606C" w:rsidRDefault="00DE2419" w:rsidP="00DE2419">
      <w:pPr>
        <w:pStyle w:val="ESlet"/>
        <w:rPr>
          <w:rFonts w:eastAsia="Calibri" w:cs="Arial"/>
          <w:szCs w:val="18"/>
        </w:rPr>
      </w:pPr>
      <w:r>
        <w:t>e)</w:t>
      </w:r>
      <w:r>
        <w:tab/>
        <w:t>capo 8:</w:t>
      </w:r>
    </w:p>
    <w:p w:rsidR="00DE2419" w:rsidRPr="004B606C" w:rsidRDefault="00DE2419" w:rsidP="00DE2419">
      <w:pPr>
        <w:pStyle w:val="ESletpar"/>
        <w:rPr>
          <w:rFonts w:eastAsia="Calibri"/>
          <w:noProof/>
        </w:rPr>
      </w:pPr>
      <w:r>
        <w:t>articolo 8.01, paragrafi 1 e 2; articolo 8.02, paragrafi 1 e 2; articolo 8.03, paragrafi 1 e 3; articolo 8.04; articolo 8.05, paragrafi da 1 a 10 e 13; articolo 8.06; articolo 8.07; articolo 8.08, paragrafi 1, 2, 5, 7 e 10; articolo 8.09, paragrafo 1; e articolo 8.10;</w:t>
      </w:r>
    </w:p>
    <w:p w:rsidR="00DE2419" w:rsidRPr="00DE2419" w:rsidRDefault="00DE2419" w:rsidP="00DE2419">
      <w:pPr>
        <w:pStyle w:val="ESlet"/>
        <w:rPr>
          <w:rFonts w:eastAsia="Calibri" w:cs="Arial"/>
          <w:szCs w:val="18"/>
        </w:rPr>
      </w:pPr>
      <w:r>
        <w:t>f)</w:t>
      </w:r>
      <w:r>
        <w:tab/>
        <w:t>capo 9;</w:t>
      </w:r>
    </w:p>
    <w:p w:rsidR="00DE2419" w:rsidRPr="004B606C" w:rsidRDefault="00DE2419" w:rsidP="00DE2419">
      <w:pPr>
        <w:pStyle w:val="ESlet"/>
        <w:rPr>
          <w:rFonts w:eastAsia="Calibri" w:cs="Arial"/>
          <w:szCs w:val="18"/>
        </w:rPr>
      </w:pPr>
      <w:r>
        <w:t>g)</w:t>
      </w:r>
      <w:r>
        <w:tab/>
        <w:t>capo 10:</w:t>
      </w:r>
    </w:p>
    <w:p w:rsidR="00DE2419" w:rsidRPr="004B606C" w:rsidRDefault="00DE2419" w:rsidP="00DE2419">
      <w:pPr>
        <w:pStyle w:val="ESletpar"/>
        <w:rPr>
          <w:rFonts w:eastAsia="Calibri" w:cs="Arial"/>
          <w:szCs w:val="18"/>
        </w:rPr>
      </w:pPr>
      <w:r>
        <w:t>articolo 10.01, paragrafo 1, per analogia;</w:t>
      </w:r>
    </w:p>
    <w:p w:rsidR="00DE2419" w:rsidRPr="004B606C" w:rsidRDefault="00DE2419" w:rsidP="00DE2419">
      <w:pPr>
        <w:pStyle w:val="ESlet"/>
        <w:rPr>
          <w:rFonts w:eastAsia="Calibri" w:cs="Arial"/>
          <w:szCs w:val="18"/>
        </w:rPr>
      </w:pPr>
      <w:r>
        <w:t>h)</w:t>
      </w:r>
      <w:r>
        <w:tab/>
        <w:t>capo 13:</w:t>
      </w:r>
    </w:p>
    <w:p w:rsidR="00DE2419" w:rsidRPr="004B606C" w:rsidRDefault="00DE2419" w:rsidP="00DE2419">
      <w:pPr>
        <w:pStyle w:val="ESletpar"/>
        <w:rPr>
          <w:rFonts w:eastAsia="Calibri" w:cs="Arial"/>
          <w:szCs w:val="18"/>
        </w:rPr>
      </w:pPr>
      <w:r>
        <w:t>articolo 13.01, paragrafi 2, 3 e da 5 a 14; articolo 13.02, paragrafo 1, lettere da a) a c), e paragrafo 3, lettera a) e da e) ad h); articolo 13.03, paragrafo 1, lettere a), b) e d): tuttavia, vi devono essere almeno due estintori a bordo; articolo 13.03, paragrafi da 2 a 6; articolo 13.04; articoli 13.05, 13.07 e 13.08;</w:t>
      </w:r>
    </w:p>
    <w:p w:rsidR="00DE2419" w:rsidRPr="004B606C" w:rsidRDefault="00DE2419" w:rsidP="00DE2419">
      <w:pPr>
        <w:pStyle w:val="ESlet"/>
        <w:rPr>
          <w:rFonts w:eastAsia="Calibri" w:cs="Arial"/>
          <w:szCs w:val="18"/>
        </w:rPr>
      </w:pPr>
      <w:r>
        <w:t>i)</w:t>
      </w:r>
      <w:r>
        <w:tab/>
        <w:t>capo 16;</w:t>
      </w:r>
    </w:p>
    <w:p w:rsidR="00DE2419" w:rsidRPr="004B606C" w:rsidRDefault="00DE2419" w:rsidP="00DE2419">
      <w:pPr>
        <w:pStyle w:val="ESlet"/>
        <w:rPr>
          <w:rFonts w:eastAsia="Calibri" w:cs="Arial"/>
          <w:szCs w:val="18"/>
        </w:rPr>
      </w:pPr>
      <w:r>
        <w:t>j)</w:t>
      </w:r>
      <w:r>
        <w:tab/>
        <w:t>capo 17.</w:t>
      </w:r>
    </w:p>
    <w:p w:rsidR="00BF049A" w:rsidRPr="00C903F8" w:rsidRDefault="00BF049A" w:rsidP="00BF049A">
      <w:pPr>
        <w:pStyle w:val="ESch"/>
        <w:rPr>
          <w:rFonts w:eastAsia="Calibri"/>
          <w:noProof/>
        </w:rPr>
      </w:pPr>
    </w:p>
    <w:p w:rsidR="00BF049A" w:rsidRPr="00C903F8" w:rsidRDefault="00BF049A" w:rsidP="00BF049A">
      <w:pPr>
        <w:pStyle w:val="ESch"/>
        <w:rPr>
          <w:rFonts w:eastAsia="Calibri" w:cs="Arial"/>
          <w:szCs w:val="18"/>
        </w:rPr>
      </w:pPr>
      <w:r>
        <w:t>2.</w:t>
      </w:r>
      <w:r>
        <w:tab/>
        <w:t>Per le imbarcazioni da diporto soggette alla direttiva 2013/53/UE</w:t>
      </w:r>
      <w:r>
        <w:rPr>
          <w:rStyle w:val="FootnoteReference"/>
          <w:noProof/>
        </w:rPr>
        <w:footnoteReference w:id="22"/>
      </w:r>
      <w:r>
        <w:t>, l'ispezione iniziale e le ispezioni periodiche si estendono soltanto a:</w:t>
      </w:r>
    </w:p>
    <w:p w:rsidR="00BF049A" w:rsidRPr="00C903F8" w:rsidRDefault="005C7859" w:rsidP="00BF049A">
      <w:pPr>
        <w:pStyle w:val="ESlet"/>
        <w:rPr>
          <w:rFonts w:eastAsia="Calibri" w:cs="Arial"/>
          <w:szCs w:val="18"/>
        </w:rPr>
      </w:pPr>
      <w:r>
        <w:t>a)</w:t>
      </w:r>
      <w:r>
        <w:tab/>
        <w:t>l'articolo 6.08, se le imbarcazioni dispongono di un regolatore di velocità di accostata;</w:t>
      </w:r>
    </w:p>
    <w:p w:rsidR="00BF049A" w:rsidRPr="00C903F8" w:rsidRDefault="005C7859" w:rsidP="00BF049A">
      <w:pPr>
        <w:pStyle w:val="ESlet"/>
        <w:rPr>
          <w:rFonts w:eastAsia="Calibri" w:cs="Arial"/>
          <w:szCs w:val="18"/>
        </w:rPr>
      </w:pPr>
      <w:r>
        <w:t>b)</w:t>
      </w:r>
      <w:r>
        <w:tab/>
        <w:t>l'articolo 7.01, paragrafo 2; l'articolo 7.02; l'articolo 7.03, paragrafo 1, e l'articolo 7.13, se le imbarcazioni dispongono di una timoneria attrezzata per la navigazione con radar da parte di una sola persona;</w:t>
      </w:r>
    </w:p>
    <w:p w:rsidR="00BF049A" w:rsidRPr="00C903F8" w:rsidRDefault="005C7859" w:rsidP="00BF049A">
      <w:pPr>
        <w:pStyle w:val="ESlet"/>
        <w:rPr>
          <w:rFonts w:eastAsia="Calibri" w:cs="Arial"/>
          <w:szCs w:val="18"/>
        </w:rPr>
      </w:pPr>
      <w:r>
        <w:t>c)</w:t>
      </w:r>
      <w:r>
        <w:tab/>
        <w:t>l'articolo 8.01, paragrafo 2; l'articolo 8.02, paragrafo 1; l'articolo 8.03, paragrafo 3; l'articolo 8.05, paragrafo 5; l'articolo 8.08, paragrafo 2; l'articolo 8.10;</w:t>
      </w:r>
    </w:p>
    <w:p w:rsidR="00BF049A" w:rsidRPr="00C903F8" w:rsidRDefault="00BF049A" w:rsidP="00BF049A">
      <w:pPr>
        <w:pStyle w:val="ESlet"/>
        <w:rPr>
          <w:rFonts w:eastAsia="Calibri"/>
          <w:noProof/>
        </w:rPr>
      </w:pPr>
    </w:p>
    <w:p w:rsidR="00BF049A" w:rsidRPr="00C903F8" w:rsidRDefault="00BF049A" w:rsidP="00BF049A">
      <w:pPr>
        <w:pStyle w:val="ESlet"/>
        <w:rPr>
          <w:rFonts w:eastAsia="Calibri"/>
          <w:noProof/>
        </w:rPr>
      </w:pPr>
      <w:r>
        <w:br w:type="page"/>
      </w:r>
    </w:p>
    <w:p w:rsidR="00BF049A" w:rsidRPr="00C903F8" w:rsidRDefault="0029453D" w:rsidP="00BF049A">
      <w:pPr>
        <w:pStyle w:val="ESlet"/>
        <w:rPr>
          <w:rFonts w:eastAsia="Calibri" w:cs="Arial"/>
          <w:szCs w:val="18"/>
        </w:rPr>
      </w:pPr>
      <w:r>
        <w:lastRenderedPageBreak/>
        <w:t>d)</w:t>
      </w:r>
      <w:r>
        <w:tab/>
        <w:t>l'articolo 13.01, paragrafi 2, 3, 6 e 14; l'articolo 13.02, paragrafo 1, lettere b) e c), paragrafo 3, lettere a) e da e) a h); l'articolo 13.03, paragrafo 1, lettere b) e d), e paragrafi da 2 a 6; l'articolo 13.08;</w:t>
      </w:r>
    </w:p>
    <w:p w:rsidR="00BF049A" w:rsidRPr="00C903F8" w:rsidRDefault="0029453D" w:rsidP="00BF049A">
      <w:pPr>
        <w:pStyle w:val="ESlet"/>
        <w:rPr>
          <w:rFonts w:eastAsia="Calibri" w:cs="Arial"/>
          <w:szCs w:val="18"/>
        </w:rPr>
      </w:pPr>
      <w:r>
        <w:t>e)</w:t>
      </w:r>
      <w:r>
        <w:tab/>
        <w:t>capo 16;</w:t>
      </w:r>
    </w:p>
    <w:p w:rsidR="00BF049A" w:rsidRPr="00C903F8" w:rsidRDefault="0029453D" w:rsidP="00BF049A">
      <w:pPr>
        <w:pStyle w:val="ESlet"/>
        <w:rPr>
          <w:rFonts w:eastAsia="Calibri" w:cs="Arial"/>
          <w:szCs w:val="18"/>
        </w:rPr>
      </w:pPr>
      <w:r>
        <w:t>f)</w:t>
      </w:r>
      <w:r>
        <w:tab/>
        <w:t>capo 17:</w:t>
      </w:r>
    </w:p>
    <w:p w:rsidR="00BF049A" w:rsidRPr="00C903F8" w:rsidRDefault="0029453D" w:rsidP="00BF049A">
      <w:pPr>
        <w:pStyle w:val="EStiret"/>
        <w:rPr>
          <w:rFonts w:eastAsia="Calibri" w:cs="Arial"/>
          <w:szCs w:val="18"/>
        </w:rPr>
      </w:pPr>
      <w:r>
        <w:t>aa)</w:t>
      </w:r>
      <w:r>
        <w:tab/>
        <w:t>l'articolo 17.12;</w:t>
      </w:r>
    </w:p>
    <w:p w:rsidR="00BF049A" w:rsidRPr="00C903F8" w:rsidRDefault="0029453D" w:rsidP="00BF049A">
      <w:pPr>
        <w:pStyle w:val="EStiret"/>
        <w:rPr>
          <w:rFonts w:eastAsia="Calibri" w:cs="Arial"/>
          <w:szCs w:val="18"/>
        </w:rPr>
      </w:pPr>
      <w:r>
        <w:t>bb)</w:t>
      </w:r>
      <w:r>
        <w:tab/>
        <w:t>l'articolo 17.13; la prova di collaudo dopo la messa in funzione di un impianto a gas liquefatto è effettuata in conformità delle disposizioni della direttiva 2013/53/UE; un attestato dell'ispezione è trasmesso alla commissione di ispezione;</w:t>
      </w:r>
    </w:p>
    <w:p w:rsidR="00BF049A" w:rsidRPr="00C903F8" w:rsidRDefault="0029453D" w:rsidP="00BF049A">
      <w:pPr>
        <w:pStyle w:val="EStiret"/>
        <w:rPr>
          <w:rFonts w:eastAsia="Calibri" w:cs="Arial"/>
          <w:szCs w:val="18"/>
        </w:rPr>
      </w:pPr>
      <w:r>
        <w:t>cc)</w:t>
      </w:r>
      <w:r>
        <w:tab/>
        <w:t>gli articoli 17.14 e 17.15; l'impianto a gas liquefatto è conforme alle disposizioni della direttiva 2013/53/UE;</w:t>
      </w:r>
    </w:p>
    <w:p w:rsidR="00BF049A" w:rsidRPr="00C903F8" w:rsidRDefault="00BF049A" w:rsidP="00BF049A">
      <w:pPr>
        <w:pStyle w:val="EStiret"/>
        <w:rPr>
          <w:rFonts w:eastAsia="Calibri" w:cs="Arial"/>
          <w:szCs w:val="18"/>
        </w:rPr>
      </w:pPr>
      <w:r>
        <w:t>dd)</w:t>
      </w:r>
      <w:r>
        <w:tab/>
        <w:t>l'intero capo 17, se l'impianto a gas liquefatto è installato dopo l'immissione in commercio dell'imbarcazione da diporto.</w:t>
      </w:r>
    </w:p>
    <w:p w:rsidR="00BF049A" w:rsidRPr="00C903F8" w:rsidRDefault="00BF049A" w:rsidP="00BF049A">
      <w:pPr>
        <w:pStyle w:val="EStiret"/>
        <w:rPr>
          <w:rFonts w:eastAsia="Calibri" w:cs="Arial"/>
          <w:szCs w:val="18"/>
        </w:rPr>
      </w:pPr>
    </w:p>
    <w:p w:rsidR="00BF049A" w:rsidRPr="00C903F8" w:rsidRDefault="00BF049A" w:rsidP="00973DAA">
      <w:pPr>
        <w:pStyle w:val="ESch"/>
      </w:pPr>
    </w:p>
    <w:p w:rsidR="00BF049A" w:rsidRPr="00C903F8" w:rsidRDefault="00BF049A" w:rsidP="00973DAA">
      <w:pPr>
        <w:pStyle w:val="ESch"/>
      </w:pPr>
    </w:p>
    <w:p w:rsidR="00BF049A" w:rsidRPr="00C903F8" w:rsidRDefault="00BF049A" w:rsidP="00BF049A">
      <w:pPr>
        <w:pStyle w:val="ES-Titre2"/>
        <w:rPr>
          <w:szCs w:val="24"/>
        </w:rPr>
      </w:pPr>
      <w:bookmarkStart w:id="482" w:name="_Toc491854238"/>
      <w:bookmarkStart w:id="483" w:name="_Toc535500187"/>
      <w:r>
        <w:lastRenderedPageBreak/>
        <w:t>Capo 27</w:t>
      </w:r>
      <w:r>
        <w:br/>
      </w:r>
      <w:r>
        <w:rPr>
          <w:noProof/>
          <w:sz w:val="22"/>
        </w:rPr>
        <w:t>Disposizioni particolari per le navi che trasportano container</w:t>
      </w:r>
      <w:bookmarkEnd w:id="482"/>
      <w:bookmarkEnd w:id="483"/>
    </w:p>
    <w:p w:rsidR="00BF049A" w:rsidRPr="00C903F8" w:rsidRDefault="00BF049A" w:rsidP="00BF049A"/>
    <w:p w:rsidR="00BF049A" w:rsidRPr="00C903F8" w:rsidRDefault="00BF049A" w:rsidP="00BF049A">
      <w:pPr>
        <w:pStyle w:val="ES-Titre3"/>
      </w:pPr>
      <w:bookmarkStart w:id="484" w:name="_Toc491854239"/>
      <w:bookmarkStart w:id="485" w:name="_Toc535500188"/>
      <w:r>
        <w:t>Articolo 27.01</w:t>
      </w:r>
      <w:r>
        <w:br/>
      </w:r>
      <w:r>
        <w:rPr>
          <w:i/>
          <w:noProof/>
        </w:rPr>
        <w:t>Aspetti generali</w:t>
      </w:r>
      <w:bookmarkEnd w:id="484"/>
      <w:bookmarkEnd w:id="485"/>
    </w:p>
    <w:p w:rsidR="00BF049A" w:rsidRPr="00C903F8" w:rsidRDefault="00BF049A" w:rsidP="00BF049A">
      <w:pPr>
        <w:pStyle w:val="ESch"/>
        <w:rPr>
          <w:noProof/>
        </w:rPr>
      </w:pPr>
    </w:p>
    <w:p w:rsidR="00BF049A" w:rsidRPr="00C903F8" w:rsidRDefault="00BF049A" w:rsidP="00BF049A">
      <w:pPr>
        <w:pStyle w:val="ESch"/>
        <w:rPr>
          <w:rFonts w:cs="Arial"/>
          <w:szCs w:val="18"/>
        </w:rPr>
      </w:pPr>
      <w:r>
        <w:t xml:space="preserve">1. </w:t>
      </w:r>
      <w:r>
        <w:tab/>
        <w:t>Le disposizioni del presente capo si applicano alle navi che trasportano container quando i documenti concernenti la stabilità sono obbligatori in base alle disposizioni di sicurezza della navigazione degli Stati membri applicabili.</w:t>
      </w:r>
    </w:p>
    <w:p w:rsidR="00BF049A" w:rsidRPr="00C903F8" w:rsidRDefault="00BF049A" w:rsidP="00BF049A">
      <w:pPr>
        <w:pStyle w:val="ESch"/>
        <w:rPr>
          <w:noProof/>
        </w:rPr>
      </w:pPr>
    </w:p>
    <w:p w:rsidR="00BF049A" w:rsidRPr="00C903F8" w:rsidRDefault="00BF049A" w:rsidP="00BF049A">
      <w:pPr>
        <w:pStyle w:val="ESchpar"/>
        <w:rPr>
          <w:rFonts w:cs="Arial"/>
          <w:szCs w:val="18"/>
        </w:rPr>
      </w:pPr>
      <w:r>
        <w:t>I documenti concernenti la stabilità sono verificati da una commissione di ispezione, o altrimenti verificati, e da essa debitamente vistati.</w:t>
      </w:r>
    </w:p>
    <w:p w:rsidR="00BF049A" w:rsidRPr="00C903F8" w:rsidRDefault="00BF049A" w:rsidP="00BF049A">
      <w:pPr>
        <w:pStyle w:val="ESch"/>
        <w:rPr>
          <w:noProof/>
        </w:rPr>
      </w:pPr>
    </w:p>
    <w:p w:rsidR="00BF049A" w:rsidRPr="00C903F8" w:rsidRDefault="00BF049A" w:rsidP="00BF049A">
      <w:pPr>
        <w:pStyle w:val="ESch"/>
        <w:rPr>
          <w:rFonts w:cs="Arial"/>
          <w:szCs w:val="18"/>
        </w:rPr>
      </w:pPr>
      <w:r>
        <w:t xml:space="preserve">2. </w:t>
      </w:r>
      <w:r>
        <w:tab/>
        <w:t>I documenti concernenti la stabilità forniscono informazioni comprensibili per il conduttore in merito alla stabilità della nave in tutte le condizioni di carico.</w:t>
      </w:r>
    </w:p>
    <w:p w:rsidR="00BF049A" w:rsidRPr="00C903F8" w:rsidRDefault="00BF049A" w:rsidP="00BF049A">
      <w:pPr>
        <w:pStyle w:val="ESch"/>
        <w:rPr>
          <w:noProof/>
        </w:rPr>
      </w:pPr>
    </w:p>
    <w:p w:rsidR="00BF049A" w:rsidRPr="00C903F8" w:rsidRDefault="00BF049A" w:rsidP="00BF049A">
      <w:pPr>
        <w:pStyle w:val="ESchpar"/>
        <w:rPr>
          <w:rFonts w:cs="Arial"/>
          <w:szCs w:val="18"/>
        </w:rPr>
      </w:pPr>
      <w:r>
        <w:t>I documenti concernenti la stabilità comprendono almeno:</w:t>
      </w:r>
    </w:p>
    <w:p w:rsidR="00BF049A" w:rsidRPr="00C903F8" w:rsidRDefault="005C7859" w:rsidP="00E370BE">
      <w:pPr>
        <w:pStyle w:val="ESlet"/>
        <w:rPr>
          <w:rFonts w:cs="Arial"/>
          <w:szCs w:val="18"/>
        </w:rPr>
      </w:pPr>
      <w:r>
        <w:t>a)</w:t>
      </w:r>
      <w:r>
        <w:tab/>
        <w:t xml:space="preserve">le tabelle dei coefficienti di stabilità ammissibili, dei valori </w:t>
      </w:r>
      <m:oMath>
        <m:acc>
          <m:accPr>
            <m:chr m:val="̅"/>
            <m:ctrlPr>
              <w:rPr>
                <w:rFonts w:ascii="Cambria Math" w:hAnsi="Cambria Math"/>
                <w:i/>
                <w:noProof/>
              </w:rPr>
            </m:ctrlPr>
          </m:accPr>
          <m:e>
            <m:r>
              <w:rPr>
                <w:rFonts w:ascii="Cambria Math" w:hAnsi="Cambria Math"/>
                <w:noProof/>
              </w:rPr>
              <m:t>KG</m:t>
            </m:r>
          </m:e>
        </m:acc>
      </m:oMath>
      <w:r>
        <w:t xml:space="preserve"> ammissibili o delle altezze ammissibili del centro di gravità del carico;</w:t>
      </w:r>
    </w:p>
    <w:p w:rsidR="00BF049A" w:rsidRPr="00C903F8" w:rsidRDefault="005C7859" w:rsidP="00E370BE">
      <w:pPr>
        <w:pStyle w:val="ESlet"/>
        <w:rPr>
          <w:rFonts w:cs="Arial"/>
          <w:szCs w:val="18"/>
        </w:rPr>
      </w:pPr>
      <w:r>
        <w:t>b)</w:t>
      </w:r>
      <w:r>
        <w:tab/>
        <w:t>i dati relativi ai volumi che possono essere riempiti di acqua di zavorra;</w:t>
      </w:r>
    </w:p>
    <w:p w:rsidR="00BF049A" w:rsidRPr="00C903F8" w:rsidRDefault="005C7859" w:rsidP="00E370BE">
      <w:pPr>
        <w:pStyle w:val="ESlet"/>
        <w:rPr>
          <w:rFonts w:cs="Arial"/>
          <w:szCs w:val="18"/>
        </w:rPr>
      </w:pPr>
      <w:r>
        <w:t>c)</w:t>
      </w:r>
      <w:r>
        <w:tab/>
        <w:t>i formulari per il controllo della stabilità.</w:t>
      </w:r>
    </w:p>
    <w:p w:rsidR="00BF049A" w:rsidRPr="00C903F8" w:rsidRDefault="0029453D" w:rsidP="00E370BE">
      <w:pPr>
        <w:pStyle w:val="ESlet"/>
        <w:rPr>
          <w:rFonts w:cs="Arial"/>
          <w:szCs w:val="18"/>
        </w:rPr>
      </w:pPr>
      <w:r>
        <w:t>d)</w:t>
      </w:r>
      <w:r>
        <w:tab/>
        <w:t>un esempio di calcolo o le istruzioni per l'uso destinate al conduttore.</w:t>
      </w:r>
    </w:p>
    <w:p w:rsidR="00BF049A" w:rsidRPr="00C903F8" w:rsidRDefault="00BF049A" w:rsidP="00BF049A">
      <w:pPr>
        <w:pStyle w:val="ESch"/>
        <w:rPr>
          <w:noProof/>
        </w:rPr>
      </w:pPr>
    </w:p>
    <w:p w:rsidR="00BF049A" w:rsidRPr="00C903F8" w:rsidRDefault="00BF049A" w:rsidP="00BF049A">
      <w:pPr>
        <w:pStyle w:val="ESch"/>
        <w:rPr>
          <w:rFonts w:cs="Arial"/>
          <w:szCs w:val="18"/>
        </w:rPr>
      </w:pPr>
      <w:r>
        <w:t xml:space="preserve">3. </w:t>
      </w:r>
      <w:r>
        <w:tab/>
        <w:t>Nel caso di navi che possono trasportare alternativamente container non fissi o container fissi, è richiesta l'applicazione di modalità di calcolo separate per la dimostrazione della stabilità in caso di trasporto sia di container non fissi che di container fissi.</w:t>
      </w:r>
    </w:p>
    <w:p w:rsidR="00BF049A" w:rsidRPr="00C903F8" w:rsidRDefault="00BF049A" w:rsidP="00BF049A">
      <w:pPr>
        <w:pStyle w:val="ESch"/>
        <w:rPr>
          <w:noProof/>
        </w:rPr>
      </w:pPr>
    </w:p>
    <w:p w:rsidR="00BF049A" w:rsidRPr="00C903F8" w:rsidRDefault="00BF049A" w:rsidP="00BF049A">
      <w:pPr>
        <w:pStyle w:val="ESch"/>
        <w:rPr>
          <w:rFonts w:cs="Arial"/>
          <w:szCs w:val="18"/>
        </w:rPr>
      </w:pPr>
      <w:r>
        <w:t>4.</w:t>
      </w:r>
      <w:r>
        <w:tab/>
        <w:t>Un carico di container è considerato fisso solo quando ogni singolo container è collegato saldamente allo scafo della nave mediante guide o tenditori e quando la sua posizione non può cambiare durante la navigazione.</w:t>
      </w:r>
    </w:p>
    <w:p w:rsidR="00BF049A" w:rsidRPr="00C903F8" w:rsidRDefault="00BF049A" w:rsidP="00BF049A">
      <w:pPr>
        <w:pStyle w:val="ESch"/>
        <w:rPr>
          <w:rFonts w:eastAsia="Calibri" w:cs="Arial"/>
          <w:szCs w:val="18"/>
        </w:rPr>
      </w:pPr>
    </w:p>
    <w:p w:rsidR="00BF049A" w:rsidRPr="00C903F8" w:rsidRDefault="00BF049A" w:rsidP="00BF049A">
      <w:pPr>
        <w:pStyle w:val="ESch"/>
        <w:rPr>
          <w:rFonts w:eastAsia="Calibri" w:cs="Arial"/>
          <w:szCs w:val="18"/>
        </w:rPr>
      </w:pPr>
    </w:p>
    <w:p w:rsidR="00BF049A" w:rsidRPr="00C903F8" w:rsidRDefault="00BF049A" w:rsidP="00BF049A">
      <w:pPr>
        <w:pStyle w:val="ES-Titre3"/>
        <w:rPr>
          <w:rFonts w:cs="Arial"/>
          <w:i/>
          <w:szCs w:val="18"/>
        </w:rPr>
      </w:pPr>
      <w:bookmarkStart w:id="486" w:name="_Toc491854240"/>
      <w:bookmarkStart w:id="487" w:name="_Toc535500189"/>
      <w:r>
        <w:rPr>
          <w:rStyle w:val="ES-Titre3Car"/>
          <w:b/>
        </w:rPr>
        <w:t>Articolo 27.02</w:t>
      </w:r>
      <w:r>
        <w:rPr>
          <w:rStyle w:val="ES-Titre3Car"/>
          <w:b/>
          <w:i/>
        </w:rPr>
        <w:t>Condizioni limite e metodo di calcolo per la dimostrazione della stabilità</w:t>
      </w:r>
      <w:r>
        <w:rPr>
          <w:rStyle w:val="ES-Titre3Car"/>
          <w:b/>
          <w:i/>
        </w:rPr>
        <w:br/>
      </w:r>
      <w:r>
        <w:rPr>
          <w:i/>
          <w:noProof/>
        </w:rPr>
        <w:t>per il trasporto di container non fissi</w:t>
      </w:r>
      <w:bookmarkEnd w:id="486"/>
      <w:bookmarkEnd w:id="487"/>
    </w:p>
    <w:p w:rsidR="00BF049A" w:rsidRPr="00C903F8" w:rsidRDefault="00BF049A" w:rsidP="00BF049A">
      <w:pPr>
        <w:pStyle w:val="ESch"/>
        <w:rPr>
          <w:noProof/>
        </w:rPr>
      </w:pPr>
    </w:p>
    <w:p w:rsidR="00BF049A" w:rsidRPr="00C903F8" w:rsidRDefault="00BF049A" w:rsidP="00BF049A">
      <w:pPr>
        <w:pStyle w:val="ESch"/>
        <w:rPr>
          <w:rFonts w:cs="Arial"/>
          <w:szCs w:val="18"/>
        </w:rPr>
      </w:pPr>
      <w:r>
        <w:t xml:space="preserve">1. </w:t>
      </w:r>
      <w:r>
        <w:tab/>
        <w:t>Nel caso di container non fissi, qualunque modalità di calcolo adottata per determinare la stabilità della nave rispetta le seguenti condizioni limite:</w:t>
      </w:r>
    </w:p>
    <w:p w:rsidR="00BF049A" w:rsidRPr="00C903F8" w:rsidRDefault="005C7859" w:rsidP="00E370BE">
      <w:pPr>
        <w:pStyle w:val="ESlet"/>
        <w:rPr>
          <w:rFonts w:cs="Arial"/>
          <w:szCs w:val="18"/>
        </w:rPr>
      </w:pPr>
      <w:r>
        <w:t>a)</w:t>
      </w:r>
      <w:r>
        <w:tab/>
        <w:t xml:space="preserve">l'altezza metacentrica </w:t>
      </w:r>
      <m:oMath>
        <m:acc>
          <m:accPr>
            <m:chr m:val="̅"/>
            <m:ctrlPr>
              <w:rPr>
                <w:rFonts w:ascii="Cambria Math" w:hAnsi="Cambria Math"/>
                <w:i/>
                <w:noProof/>
              </w:rPr>
            </m:ctrlPr>
          </m:accPr>
          <m:e>
            <m:r>
              <w:rPr>
                <w:rFonts w:ascii="Cambria Math" w:hAnsi="Cambria Math"/>
                <w:noProof/>
              </w:rPr>
              <m:t>MG</m:t>
            </m:r>
          </m:e>
        </m:acc>
      </m:oMath>
      <w:r>
        <w:t xml:space="preserve"> non è inferiore a 1,00 m;</w:t>
      </w:r>
    </w:p>
    <w:p w:rsidR="00BF049A" w:rsidRPr="00C903F8" w:rsidRDefault="005C7859" w:rsidP="00E370BE">
      <w:pPr>
        <w:pStyle w:val="ESlet"/>
        <w:rPr>
          <w:rFonts w:cs="Arial"/>
          <w:szCs w:val="18"/>
        </w:rPr>
      </w:pPr>
      <w:r>
        <w:t>b)</w:t>
      </w:r>
      <w:r>
        <w:tab/>
        <w:t>sotto l'azione congiunta della forza centrifuga risultante dall'accostata della nave, dalla pressione del vento e dalle superfici libere dei liquidi, l'angolo di sbandamento non è superiore a 5° e il bordo del ponte non è immerso;</w:t>
      </w:r>
    </w:p>
    <w:p w:rsidR="00BF049A" w:rsidRPr="00C903F8" w:rsidRDefault="005C7859" w:rsidP="00E370BE">
      <w:pPr>
        <w:pStyle w:val="ESlet"/>
        <w:rPr>
          <w:rFonts w:cs="Arial"/>
          <w:szCs w:val="18"/>
        </w:rPr>
      </w:pPr>
      <w:r>
        <w:t>c)</w:t>
      </w:r>
      <w:r>
        <w:tab/>
        <w:t>il braccio inclinante risultante dalla forza centrifuga prodotta dall'accostata della nave è determinato dalla formula:</w:t>
      </w:r>
    </w:p>
    <w:p w:rsidR="00BF049A" w:rsidRPr="00C903F8" w:rsidRDefault="00624017" w:rsidP="005833A6">
      <w:pPr>
        <w:pStyle w:val="ESlet"/>
        <w:ind w:left="0" w:firstLine="0"/>
        <w:rPr>
          <w:rFonts w:eastAsia="Calibri" w:cs="Arial"/>
          <w:szCs w:val="18"/>
        </w:rPr>
      </w:pPr>
      <m:oMathPara>
        <m:oMath>
          <m:sSub>
            <m:sSubPr>
              <m:ctrlPr>
                <w:rPr>
                  <w:rFonts w:ascii="Cambria Math" w:eastAsia="Calibri" w:hAnsi="Cambria Math" w:cs="Arial"/>
                  <w:i/>
                  <w:szCs w:val="18"/>
                </w:rPr>
              </m:ctrlPr>
            </m:sSubPr>
            <m:e>
              <m:r>
                <w:rPr>
                  <w:rFonts w:ascii="Cambria Math" w:eastAsia="Calibri" w:hAnsi="Cambria Math" w:cs="Arial"/>
                  <w:szCs w:val="18"/>
                </w:rPr>
                <m:t>h</m:t>
              </m:r>
            </m:e>
            <m:sub>
              <m:r>
                <w:rPr>
                  <w:rFonts w:ascii="Cambria Math" w:eastAsia="Calibri" w:hAnsi="Cambria Math" w:cs="Arial"/>
                  <w:szCs w:val="18"/>
                </w:rPr>
                <m:t>KZ</m:t>
              </m:r>
            </m:sub>
          </m:sSub>
          <m:r>
            <w:rPr>
              <w:rFonts w:ascii="Cambria Math" w:eastAsia="Calibri" w:hAnsi="Cambria Math" w:cs="Arial"/>
              <w:szCs w:val="18"/>
            </w:rPr>
            <m:t xml:space="preserve">= </m:t>
          </m:r>
          <m:sSub>
            <m:sSubPr>
              <m:ctrlPr>
                <w:rPr>
                  <w:rFonts w:ascii="Cambria Math" w:eastAsia="Calibri" w:hAnsi="Cambria Math" w:cs="Arial"/>
                  <w:i/>
                  <w:szCs w:val="18"/>
                </w:rPr>
              </m:ctrlPr>
            </m:sSubPr>
            <m:e>
              <m:r>
                <w:rPr>
                  <w:rFonts w:ascii="Cambria Math" w:eastAsia="Calibri" w:hAnsi="Cambria Math" w:cs="Arial"/>
                  <w:szCs w:val="18"/>
                </w:rPr>
                <m:t>c</m:t>
              </m:r>
            </m:e>
            <m:sub>
              <m:r>
                <w:rPr>
                  <w:rFonts w:ascii="Cambria Math" w:eastAsia="Calibri" w:hAnsi="Cambria Math" w:cs="Arial"/>
                  <w:szCs w:val="18"/>
                </w:rPr>
                <m:t>KZ</m:t>
              </m:r>
            </m:sub>
          </m:sSub>
          <m:r>
            <w:rPr>
              <w:rFonts w:ascii="Cambria Math" w:eastAsia="Calibri" w:hAnsi="Cambria Math" w:cs="Arial"/>
              <w:szCs w:val="18"/>
            </w:rPr>
            <m:t xml:space="preserve"> ∙ </m:t>
          </m:r>
          <m:f>
            <m:fPr>
              <m:ctrlPr>
                <w:rPr>
                  <w:rFonts w:ascii="Cambria Math" w:eastAsia="Calibri" w:hAnsi="Cambria Math" w:cs="Arial"/>
                  <w:i/>
                  <w:szCs w:val="18"/>
                </w:rPr>
              </m:ctrlPr>
            </m:fPr>
            <m:num>
              <m:sSup>
                <m:sSupPr>
                  <m:ctrlPr>
                    <w:rPr>
                      <w:rFonts w:ascii="Cambria Math" w:eastAsia="Calibri" w:hAnsi="Cambria Math" w:cs="Arial"/>
                      <w:i/>
                      <w:szCs w:val="18"/>
                    </w:rPr>
                  </m:ctrlPr>
                </m:sSupPr>
                <m:e>
                  <m:r>
                    <w:rPr>
                      <w:rFonts w:ascii="Cambria Math" w:eastAsia="Calibri" w:hAnsi="Cambria Math" w:cs="Arial"/>
                      <w:szCs w:val="18"/>
                    </w:rPr>
                    <m:t>v</m:t>
                  </m:r>
                </m:e>
                <m:sup>
                  <m:r>
                    <w:rPr>
                      <w:rFonts w:ascii="Cambria Math" w:eastAsia="Calibri" w:hAnsi="Cambria Math" w:cs="Arial"/>
                      <w:szCs w:val="18"/>
                    </w:rPr>
                    <m:t>2</m:t>
                  </m:r>
                </m:sup>
              </m:sSup>
            </m:num>
            <m:den>
              <m:sSub>
                <m:sSubPr>
                  <m:ctrlPr>
                    <w:rPr>
                      <w:rFonts w:ascii="Cambria Math" w:eastAsia="Calibri" w:hAnsi="Cambria Math" w:cs="Arial"/>
                      <w:i/>
                      <w:szCs w:val="18"/>
                    </w:rPr>
                  </m:ctrlPr>
                </m:sSubPr>
                <m:e>
                  <m:r>
                    <w:rPr>
                      <w:rFonts w:ascii="Cambria Math" w:eastAsia="Calibri" w:hAnsi="Cambria Math" w:cs="Arial"/>
                      <w:szCs w:val="18"/>
                    </w:rPr>
                    <m:t>L</m:t>
                  </m:r>
                </m:e>
                <m:sub>
                  <m:r>
                    <w:rPr>
                      <w:rFonts w:ascii="Cambria Math" w:eastAsia="Calibri" w:hAnsi="Cambria Math" w:cs="Arial"/>
                      <w:szCs w:val="18"/>
                    </w:rPr>
                    <m:t>WL</m:t>
                  </m:r>
                </m:sub>
              </m:sSub>
            </m:den>
          </m:f>
          <m:r>
            <w:rPr>
              <w:rFonts w:ascii="Cambria Math" w:eastAsia="Calibri" w:hAnsi="Cambria Math" w:cs="Arial"/>
              <w:szCs w:val="18"/>
            </w:rPr>
            <m:t xml:space="preserve"> ∙ </m:t>
          </m:r>
          <m:d>
            <m:dPr>
              <m:ctrlPr>
                <w:rPr>
                  <w:rFonts w:ascii="Cambria Math" w:eastAsia="Calibri" w:hAnsi="Cambria Math" w:cs="Arial"/>
                  <w:i/>
                  <w:szCs w:val="18"/>
                </w:rPr>
              </m:ctrlPr>
            </m:dPr>
            <m:e>
              <m:acc>
                <m:accPr>
                  <m:chr m:val="̅"/>
                  <m:ctrlPr>
                    <w:rPr>
                      <w:rFonts w:ascii="Cambria Math" w:eastAsia="Calibri" w:hAnsi="Cambria Math" w:cs="Arial"/>
                      <w:i/>
                      <w:szCs w:val="18"/>
                    </w:rPr>
                  </m:ctrlPr>
                </m:accPr>
                <m:e>
                  <m:r>
                    <w:rPr>
                      <w:rFonts w:ascii="Cambria Math" w:eastAsia="Calibri" w:hAnsi="Cambria Math" w:cs="Arial"/>
                      <w:szCs w:val="18"/>
                    </w:rPr>
                    <m:t>KG</m:t>
                  </m:r>
                </m:e>
              </m:acc>
              <m:r>
                <w:rPr>
                  <w:rFonts w:ascii="Cambria Math" w:eastAsia="Calibri" w:hAnsi="Cambria Math" w:cs="Arial"/>
                  <w:szCs w:val="18"/>
                </w:rPr>
                <m:t xml:space="preserve">- </m:t>
              </m:r>
              <m:f>
                <m:fPr>
                  <m:ctrlPr>
                    <w:rPr>
                      <w:rFonts w:ascii="Cambria Math" w:eastAsia="Calibri" w:hAnsi="Cambria Math" w:cs="Arial"/>
                      <w:i/>
                      <w:szCs w:val="18"/>
                    </w:rPr>
                  </m:ctrlPr>
                </m:fPr>
                <m:num>
                  <m:sSup>
                    <m:sSupPr>
                      <m:ctrlPr>
                        <w:rPr>
                          <w:rFonts w:ascii="Cambria Math" w:eastAsia="Calibri" w:hAnsi="Cambria Math" w:cs="Arial"/>
                          <w:i/>
                          <w:szCs w:val="18"/>
                        </w:rPr>
                      </m:ctrlPr>
                    </m:sSupPr>
                    <m:e>
                      <m:r>
                        <w:rPr>
                          <w:rFonts w:ascii="Cambria Math" w:eastAsia="Calibri" w:hAnsi="Cambria Math" w:cs="Arial"/>
                          <w:szCs w:val="18"/>
                        </w:rPr>
                        <m:t>T</m:t>
                      </m:r>
                    </m:e>
                    <m:sup>
                      <m:r>
                        <w:rPr>
                          <w:rFonts w:ascii="Cambria Math" w:eastAsia="Calibri" w:hAnsi="Cambria Math" w:cs="Arial"/>
                          <w:szCs w:val="18"/>
                        </w:rPr>
                        <m:t>'</m:t>
                      </m:r>
                    </m:sup>
                  </m:sSup>
                </m:num>
                <m:den>
                  <m:r>
                    <w:rPr>
                      <w:rFonts w:ascii="Cambria Math" w:eastAsia="Calibri" w:hAnsi="Cambria Math" w:cs="Arial"/>
                      <w:szCs w:val="18"/>
                    </w:rPr>
                    <m:t>2</m:t>
                  </m:r>
                </m:den>
              </m:f>
            </m:e>
          </m:d>
          <m:r>
            <w:rPr>
              <w:rFonts w:ascii="Cambria Math" w:eastAsia="Calibri" w:hAnsi="Cambria Math" w:cs="Arial"/>
              <w:szCs w:val="18"/>
            </w:rPr>
            <m:t xml:space="preserve"> </m:t>
          </m:r>
          <m:d>
            <m:dPr>
              <m:begChr m:val="["/>
              <m:endChr m:val="]"/>
              <m:ctrlPr>
                <w:rPr>
                  <w:rFonts w:ascii="Cambria Math" w:eastAsia="Calibri" w:hAnsi="Cambria Math" w:cs="Arial"/>
                  <w:i/>
                  <w:szCs w:val="18"/>
                </w:rPr>
              </m:ctrlPr>
            </m:dPr>
            <m:e>
              <m:r>
                <w:rPr>
                  <w:rFonts w:ascii="Cambria Math" w:eastAsia="Calibri" w:hAnsi="Cambria Math" w:cs="Arial"/>
                  <w:szCs w:val="18"/>
                </w:rPr>
                <m:t>m</m:t>
              </m:r>
            </m:e>
          </m:d>
        </m:oMath>
      </m:oMathPara>
    </w:p>
    <w:p w:rsidR="00AB4321" w:rsidRPr="00C903F8" w:rsidRDefault="00AB4321" w:rsidP="00AB4321">
      <w:pPr>
        <w:pStyle w:val="EStiret"/>
      </w:pPr>
    </w:p>
    <w:p w:rsidR="00AB4321" w:rsidRPr="00C903F8" w:rsidRDefault="00AB4321" w:rsidP="00AB4321">
      <w:pPr>
        <w:pStyle w:val="EStiret"/>
      </w:pPr>
      <w:r>
        <w:br w:type="page"/>
      </w:r>
    </w:p>
    <w:p w:rsidR="00BF049A" w:rsidRPr="00C903F8" w:rsidRDefault="00BF049A" w:rsidP="00AB4321">
      <w:pPr>
        <w:pStyle w:val="EStiret"/>
        <w:rPr>
          <w:rFonts w:cs="Arial"/>
          <w:szCs w:val="18"/>
        </w:rPr>
      </w:pPr>
      <w:r>
        <w:lastRenderedPageBreak/>
        <w:t>dove:</w:t>
      </w:r>
    </w:p>
    <w:p w:rsidR="00BF049A" w:rsidRPr="00C903F8" w:rsidRDefault="00624017" w:rsidP="000153B3">
      <w:pPr>
        <w:pStyle w:val="EStiret"/>
        <w:ind w:left="1701" w:hanging="709"/>
        <w:rPr>
          <w:rFonts w:eastAsia="Calibri"/>
        </w:rPr>
      </w:pPr>
      <m:oMath>
        <m:sSub>
          <m:sSubPr>
            <m:ctrlPr>
              <w:rPr>
                <w:rFonts w:ascii="Cambria Math" w:eastAsia="Calibri" w:hAnsi="Cambria Math"/>
                <w:i/>
              </w:rPr>
            </m:ctrlPr>
          </m:sSubPr>
          <m:e>
            <m:r>
              <w:rPr>
                <w:rFonts w:ascii="Cambria Math" w:eastAsia="Calibri" w:hAnsi="Cambria Math"/>
              </w:rPr>
              <m:t>c</m:t>
            </m:r>
          </m:e>
          <m:sub>
            <m:r>
              <w:rPr>
                <w:rFonts w:ascii="Cambria Math" w:eastAsia="Calibri" w:hAnsi="Cambria Math"/>
              </w:rPr>
              <m:t>KZ</m:t>
            </m:r>
          </m:sub>
        </m:sSub>
      </m:oMath>
      <w:r w:rsidR="00801F1F">
        <w:tab/>
        <w:t xml:space="preserve">parametro </w:t>
      </w:r>
      <m:oMath>
        <m:d>
          <m:dPr>
            <m:ctrlPr>
              <w:rPr>
                <w:rFonts w:ascii="Cambria Math" w:eastAsia="Calibri" w:hAnsi="Cambria Math"/>
                <w:i/>
                <w:szCs w:val="16"/>
              </w:rPr>
            </m:ctrlPr>
          </m:dPr>
          <m:e>
            <m:sSub>
              <m:sSubPr>
                <m:ctrlPr>
                  <w:rPr>
                    <w:rFonts w:ascii="Cambria Math" w:eastAsia="Calibri" w:hAnsi="Cambria Math"/>
                    <w:i/>
                    <w:szCs w:val="16"/>
                  </w:rPr>
                </m:ctrlPr>
              </m:sSubPr>
              <m:e>
                <m:r>
                  <w:rPr>
                    <w:rFonts w:ascii="Cambria Math" w:eastAsia="Calibri" w:hAnsi="Cambria Math"/>
                    <w:szCs w:val="16"/>
                  </w:rPr>
                  <m:t>c</m:t>
                </m:r>
              </m:e>
              <m:sub>
                <m:r>
                  <w:rPr>
                    <w:rFonts w:ascii="Cambria Math" w:eastAsia="Calibri" w:hAnsi="Cambria Math"/>
                    <w:szCs w:val="16"/>
                  </w:rPr>
                  <m:t>KZ</m:t>
                </m:r>
              </m:sub>
            </m:sSub>
            <m:r>
              <w:rPr>
                <w:rFonts w:ascii="Cambria Math" w:eastAsia="Calibri" w:hAnsi="Cambria Math"/>
                <w:szCs w:val="16"/>
              </w:rPr>
              <m:t>=0,04</m:t>
            </m:r>
          </m:e>
        </m:d>
      </m:oMath>
      <w:r w:rsidR="00801F1F">
        <w:t xml:space="preserve"> [s</w:t>
      </w:r>
      <w:r w:rsidR="00801F1F">
        <w:rPr>
          <w:vertAlign w:val="superscript"/>
        </w:rPr>
        <w:t>2</w:t>
      </w:r>
      <w:r w:rsidR="00801F1F">
        <w:t>/m];</w:t>
      </w:r>
    </w:p>
    <w:p w:rsidR="00BF049A" w:rsidRPr="00C903F8" w:rsidRDefault="005833A6" w:rsidP="000153B3">
      <w:pPr>
        <w:pStyle w:val="EStiret"/>
        <w:ind w:left="1701" w:hanging="709"/>
        <w:rPr>
          <w:rFonts w:eastAsia="Calibri"/>
        </w:rPr>
      </w:pPr>
      <m:oMath>
        <m:r>
          <w:rPr>
            <w:rFonts w:ascii="Cambria Math" w:eastAsia="Calibri" w:hAnsi="Cambria Math"/>
          </w:rPr>
          <m:t>v</m:t>
        </m:r>
      </m:oMath>
      <w:r>
        <w:tab/>
        <w:t>velocità massima della nave rispetto all'acqua [m/s];</w:t>
      </w:r>
    </w:p>
    <w:p w:rsidR="00BF049A" w:rsidRPr="00C903F8" w:rsidRDefault="00624017" w:rsidP="000153B3">
      <w:pPr>
        <w:pStyle w:val="EStiret"/>
        <w:ind w:left="1701" w:hanging="709"/>
        <w:rPr>
          <w:rFonts w:eastAsia="Calibri"/>
        </w:rPr>
      </w:pPr>
      <m:oMath>
        <m:acc>
          <m:accPr>
            <m:chr m:val="̅"/>
            <m:ctrlPr>
              <w:rPr>
                <w:rFonts w:ascii="Cambria Math" w:eastAsia="Calibri" w:hAnsi="Cambria Math"/>
                <w:i/>
              </w:rPr>
            </m:ctrlPr>
          </m:accPr>
          <m:e>
            <m:r>
              <w:rPr>
                <w:rFonts w:ascii="Cambria Math" w:eastAsia="Calibri" w:hAnsi="Cambria Math"/>
              </w:rPr>
              <m:t>KG</m:t>
            </m:r>
          </m:e>
        </m:acc>
      </m:oMath>
      <w:r w:rsidR="00801F1F">
        <w:tab/>
        <w:t>altezza del centro di gravità della nave carica al di sopra della base [m];</w:t>
      </w:r>
    </w:p>
    <w:p w:rsidR="00BF049A" w:rsidRPr="00C903F8" w:rsidRDefault="00333A30" w:rsidP="000153B3">
      <w:pPr>
        <w:pStyle w:val="EStiret"/>
        <w:ind w:left="1701" w:hanging="709"/>
        <w:rPr>
          <w:rFonts w:eastAsia="Calibri"/>
        </w:rPr>
      </w:pPr>
      <m:oMath>
        <m:r>
          <w:rPr>
            <w:rFonts w:ascii="Cambria Math" w:eastAsia="Calibri" w:hAnsi="Cambria Math"/>
          </w:rPr>
          <m:t>T'</m:t>
        </m:r>
      </m:oMath>
      <w:r>
        <w:tab/>
        <w:t>immersione della nave carica [m];</w:t>
      </w:r>
    </w:p>
    <w:p w:rsidR="00AB4321" w:rsidRPr="00C903F8" w:rsidRDefault="00AB4321" w:rsidP="00E370BE">
      <w:pPr>
        <w:pStyle w:val="ESlet"/>
        <w:rPr>
          <w:noProof/>
        </w:rPr>
      </w:pPr>
    </w:p>
    <w:p w:rsidR="00BF049A" w:rsidRPr="00C903F8" w:rsidRDefault="0029453D" w:rsidP="00E370BE">
      <w:pPr>
        <w:pStyle w:val="ESlet"/>
        <w:rPr>
          <w:noProof/>
        </w:rPr>
      </w:pPr>
      <w:r>
        <w:t>d)</w:t>
      </w:r>
      <w:r>
        <w:tab/>
        <w:t>il braccio inclinante risultante dalla pressione del vento è determinato dalla formula:</w:t>
      </w:r>
    </w:p>
    <w:p w:rsidR="00333A30" w:rsidRPr="00C903F8" w:rsidRDefault="00624017" w:rsidP="00333A30">
      <w:pPr>
        <w:pStyle w:val="ESlet"/>
        <w:ind w:left="0" w:firstLine="0"/>
        <w:rPr>
          <w:rFonts w:cs="Arial"/>
          <w:szCs w:val="18"/>
        </w:rPr>
      </w:pPr>
      <m:oMathPara>
        <m:oMath>
          <m:sSub>
            <m:sSubPr>
              <m:ctrlPr>
                <w:rPr>
                  <w:rFonts w:ascii="Cambria Math" w:hAnsi="Cambria Math" w:cs="Arial"/>
                  <w:i/>
                  <w:szCs w:val="18"/>
                </w:rPr>
              </m:ctrlPr>
            </m:sSubPr>
            <m:e>
              <m:r>
                <w:rPr>
                  <w:rFonts w:ascii="Cambria Math" w:hAnsi="Cambria Math" w:cs="Arial"/>
                  <w:szCs w:val="18"/>
                </w:rPr>
                <m:t>h</m:t>
              </m:r>
            </m:e>
            <m:sub>
              <m:r>
                <w:rPr>
                  <w:rFonts w:ascii="Cambria Math" w:hAnsi="Cambria Math" w:cs="Arial"/>
                  <w:szCs w:val="18"/>
                </w:rPr>
                <m:t>KW</m:t>
              </m:r>
            </m:sub>
          </m:sSub>
          <m:r>
            <w:rPr>
              <w:rFonts w:ascii="Cambria Math" w:hAnsi="Cambria Math" w:cs="Arial"/>
              <w:szCs w:val="18"/>
            </w:rPr>
            <m:t xml:space="preserve">= </m:t>
          </m:r>
          <m:sSub>
            <m:sSubPr>
              <m:ctrlPr>
                <w:rPr>
                  <w:rFonts w:ascii="Cambria Math" w:hAnsi="Cambria Math" w:cs="Arial"/>
                  <w:i/>
                  <w:szCs w:val="18"/>
                </w:rPr>
              </m:ctrlPr>
            </m:sSubPr>
            <m:e>
              <m:r>
                <w:rPr>
                  <w:rFonts w:ascii="Cambria Math" w:hAnsi="Cambria Math" w:cs="Arial"/>
                  <w:szCs w:val="18"/>
                </w:rPr>
                <m:t>c</m:t>
              </m:r>
            </m:e>
            <m:sub>
              <m:r>
                <w:rPr>
                  <w:rFonts w:ascii="Cambria Math" w:hAnsi="Cambria Math" w:cs="Arial"/>
                  <w:szCs w:val="18"/>
                </w:rPr>
                <m:t>KW</m:t>
              </m:r>
            </m:sub>
          </m:sSub>
          <m:r>
            <w:rPr>
              <w:rFonts w:ascii="Cambria Math" w:hAnsi="Cambria Math" w:cs="Arial"/>
              <w:szCs w:val="18"/>
            </w:rPr>
            <m:t xml:space="preserve"> ∙ </m:t>
          </m:r>
          <m:f>
            <m:fPr>
              <m:ctrlPr>
                <w:rPr>
                  <w:rFonts w:ascii="Cambria Math" w:hAnsi="Cambria Math" w:cs="Arial"/>
                  <w:i/>
                  <w:szCs w:val="18"/>
                </w:rPr>
              </m:ctrlPr>
            </m:fPr>
            <m:num>
              <m:sSup>
                <m:sSupPr>
                  <m:ctrlPr>
                    <w:rPr>
                      <w:rFonts w:ascii="Cambria Math" w:hAnsi="Cambria Math" w:cs="Arial"/>
                      <w:i/>
                      <w:szCs w:val="18"/>
                    </w:rPr>
                  </m:ctrlPr>
                </m:sSupPr>
                <m:e>
                  <m:r>
                    <w:rPr>
                      <w:rFonts w:ascii="Cambria Math" w:hAnsi="Cambria Math" w:cs="Arial"/>
                      <w:szCs w:val="18"/>
                    </w:rPr>
                    <m:t>A</m:t>
                  </m:r>
                </m:e>
                <m:sup>
                  <m:r>
                    <w:rPr>
                      <w:rFonts w:ascii="Cambria Math" w:hAnsi="Cambria Math" w:cs="Arial"/>
                      <w:szCs w:val="18"/>
                    </w:rPr>
                    <m:t>'</m:t>
                  </m:r>
                </m:sup>
              </m:sSup>
            </m:num>
            <m:den>
              <m:sSup>
                <m:sSupPr>
                  <m:ctrlPr>
                    <w:rPr>
                      <w:rFonts w:ascii="Cambria Math" w:hAnsi="Cambria Math" w:cs="Arial"/>
                      <w:i/>
                      <w:szCs w:val="18"/>
                    </w:rPr>
                  </m:ctrlPr>
                </m:sSupPr>
                <m:e>
                  <m:r>
                    <w:rPr>
                      <w:rFonts w:ascii="Cambria Math" w:hAnsi="Cambria Math" w:cs="Arial"/>
                      <w:szCs w:val="18"/>
                    </w:rPr>
                    <m:t>D</m:t>
                  </m:r>
                </m:e>
                <m:sup>
                  <m:r>
                    <w:rPr>
                      <w:rFonts w:ascii="Cambria Math" w:hAnsi="Cambria Math" w:cs="Arial"/>
                      <w:szCs w:val="18"/>
                    </w:rPr>
                    <m:t>'</m:t>
                  </m:r>
                </m:sup>
              </m:sSup>
            </m:den>
          </m:f>
          <m:r>
            <w:rPr>
              <w:rFonts w:ascii="Cambria Math" w:hAnsi="Cambria Math" w:cs="Arial"/>
              <w:szCs w:val="18"/>
            </w:rPr>
            <m:t xml:space="preserve"> ∙ </m:t>
          </m:r>
          <m:d>
            <m:dPr>
              <m:ctrlPr>
                <w:rPr>
                  <w:rFonts w:ascii="Cambria Math" w:hAnsi="Cambria Math" w:cs="Arial"/>
                  <w:i/>
                  <w:szCs w:val="18"/>
                </w:rPr>
              </m:ctrlPr>
            </m:dPr>
            <m:e>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W</m:t>
                  </m:r>
                </m:sub>
              </m:sSub>
              <m:r>
                <w:rPr>
                  <w:rFonts w:ascii="Cambria Math" w:hAnsi="Cambria Math" w:cs="Arial"/>
                  <w:szCs w:val="18"/>
                </w:rPr>
                <m:t xml:space="preserve">+ </m:t>
              </m:r>
              <m:f>
                <m:fPr>
                  <m:ctrlPr>
                    <w:rPr>
                      <w:rFonts w:ascii="Cambria Math" w:hAnsi="Cambria Math" w:cs="Arial"/>
                      <w:i/>
                      <w:szCs w:val="18"/>
                    </w:rPr>
                  </m:ctrlPr>
                </m:fPr>
                <m:num>
                  <m:sSup>
                    <m:sSupPr>
                      <m:ctrlPr>
                        <w:rPr>
                          <w:rFonts w:ascii="Cambria Math" w:hAnsi="Cambria Math" w:cs="Arial"/>
                          <w:i/>
                          <w:szCs w:val="18"/>
                        </w:rPr>
                      </m:ctrlPr>
                    </m:sSupPr>
                    <m:e>
                      <m:r>
                        <w:rPr>
                          <w:rFonts w:ascii="Cambria Math" w:hAnsi="Cambria Math" w:cs="Arial"/>
                          <w:szCs w:val="18"/>
                        </w:rPr>
                        <m:t>T</m:t>
                      </m:r>
                    </m:e>
                    <m:sup>
                      <m:r>
                        <w:rPr>
                          <w:rFonts w:ascii="Cambria Math" w:hAnsi="Cambria Math" w:cs="Arial"/>
                          <w:szCs w:val="18"/>
                        </w:rPr>
                        <m:t>'</m:t>
                      </m:r>
                    </m:sup>
                  </m:sSup>
                </m:num>
                <m:den>
                  <m:r>
                    <w:rPr>
                      <w:rFonts w:ascii="Cambria Math" w:hAnsi="Cambria Math" w:cs="Arial"/>
                      <w:szCs w:val="18"/>
                    </w:rPr>
                    <m:t>2</m:t>
                  </m:r>
                </m:den>
              </m:f>
            </m:e>
          </m:d>
          <m:r>
            <w:rPr>
              <w:rFonts w:ascii="Cambria Math" w:hAnsi="Cambria Math" w:cs="Arial"/>
              <w:szCs w:val="18"/>
            </w:rPr>
            <m:t xml:space="preserve"> </m:t>
          </m:r>
          <m:d>
            <m:dPr>
              <m:begChr m:val="["/>
              <m:endChr m:val="]"/>
              <m:ctrlPr>
                <w:rPr>
                  <w:rFonts w:ascii="Cambria Math" w:hAnsi="Cambria Math" w:cs="Arial"/>
                  <w:i/>
                  <w:szCs w:val="18"/>
                </w:rPr>
              </m:ctrlPr>
            </m:dPr>
            <m:e>
              <m:r>
                <w:rPr>
                  <w:rFonts w:ascii="Cambria Math" w:hAnsi="Cambria Math" w:cs="Arial"/>
                  <w:szCs w:val="18"/>
                </w:rPr>
                <m:t>m</m:t>
              </m:r>
            </m:e>
          </m:d>
        </m:oMath>
      </m:oMathPara>
    </w:p>
    <w:p w:rsidR="00BF049A" w:rsidRPr="00C903F8" w:rsidRDefault="00BF049A" w:rsidP="00AB4321">
      <w:pPr>
        <w:pStyle w:val="EStiret"/>
        <w:rPr>
          <w:rFonts w:eastAsia="Calibri"/>
          <w:szCs w:val="20"/>
        </w:rPr>
      </w:pPr>
      <w:r>
        <w:t>dove:</w:t>
      </w:r>
    </w:p>
    <w:p w:rsidR="00BF049A" w:rsidRPr="00C903F8" w:rsidRDefault="00624017" w:rsidP="000153B3">
      <w:pPr>
        <w:pStyle w:val="EStiret"/>
        <w:ind w:left="1701" w:hanging="709"/>
        <w:rPr>
          <w:rFonts w:eastAsia="Calibri"/>
          <w:szCs w:val="20"/>
        </w:rPr>
      </w:pPr>
      <m:oMath>
        <m:sSub>
          <m:sSubPr>
            <m:ctrlPr>
              <w:rPr>
                <w:rFonts w:ascii="Cambria Math" w:eastAsia="Calibri" w:hAnsi="Cambria Math"/>
                <w:i/>
              </w:rPr>
            </m:ctrlPr>
          </m:sSubPr>
          <m:e>
            <m:r>
              <w:rPr>
                <w:rFonts w:ascii="Cambria Math" w:eastAsia="Calibri" w:hAnsi="Cambria Math"/>
              </w:rPr>
              <m:t>c</m:t>
            </m:r>
          </m:e>
          <m:sub>
            <m:r>
              <w:rPr>
                <w:rFonts w:ascii="Cambria Math" w:eastAsia="Calibri" w:hAnsi="Cambria Math"/>
              </w:rPr>
              <m:t>KW</m:t>
            </m:r>
          </m:sub>
        </m:sSub>
      </m:oMath>
      <w:r w:rsidR="00801F1F">
        <w:tab/>
        <w:t xml:space="preserve">parametro </w:t>
      </w:r>
      <m:oMath>
        <m:d>
          <m:dPr>
            <m:ctrlPr>
              <w:rPr>
                <w:rFonts w:ascii="Cambria Math" w:eastAsia="Calibri" w:hAnsi="Cambria Math"/>
                <w:i/>
                <w:szCs w:val="16"/>
              </w:rPr>
            </m:ctrlPr>
          </m:dPr>
          <m:e>
            <m:sSub>
              <m:sSubPr>
                <m:ctrlPr>
                  <w:rPr>
                    <w:rFonts w:ascii="Cambria Math" w:eastAsia="Calibri" w:hAnsi="Cambria Math"/>
                    <w:i/>
                    <w:szCs w:val="16"/>
                  </w:rPr>
                </m:ctrlPr>
              </m:sSubPr>
              <m:e>
                <m:r>
                  <w:rPr>
                    <w:rFonts w:ascii="Cambria Math" w:eastAsia="Calibri" w:hAnsi="Cambria Math"/>
                    <w:szCs w:val="16"/>
                  </w:rPr>
                  <m:t>c</m:t>
                </m:r>
              </m:e>
              <m:sub>
                <m:r>
                  <w:rPr>
                    <w:rFonts w:ascii="Cambria Math" w:eastAsia="Calibri" w:hAnsi="Cambria Math"/>
                    <w:szCs w:val="16"/>
                  </w:rPr>
                  <m:t>KW</m:t>
                </m:r>
              </m:sub>
            </m:sSub>
            <m:r>
              <w:rPr>
                <w:rFonts w:ascii="Cambria Math" w:eastAsia="Calibri" w:hAnsi="Cambria Math"/>
                <w:szCs w:val="16"/>
              </w:rPr>
              <m:t>=0,025</m:t>
            </m:r>
          </m:e>
        </m:d>
      </m:oMath>
      <w:r w:rsidR="00801F1F">
        <w:t xml:space="preserve"> [t/m</w:t>
      </w:r>
      <w:r w:rsidR="00801F1F">
        <w:rPr>
          <w:position w:val="6"/>
          <w:sz w:val="16"/>
          <w:vertAlign w:val="superscript"/>
        </w:rPr>
        <w:t>2</w:t>
      </w:r>
      <w:r w:rsidR="00801F1F">
        <w:t>];</w:t>
      </w:r>
    </w:p>
    <w:p w:rsidR="00BF049A" w:rsidRPr="00C903F8" w:rsidRDefault="00333A30" w:rsidP="000153B3">
      <w:pPr>
        <w:pStyle w:val="EStiret"/>
        <w:ind w:left="1701" w:hanging="709"/>
        <w:rPr>
          <w:rFonts w:eastAsia="Calibri"/>
          <w:szCs w:val="20"/>
        </w:rPr>
      </w:pPr>
      <m:oMath>
        <m:r>
          <w:rPr>
            <w:rFonts w:ascii="Cambria Math" w:eastAsia="Calibri" w:hAnsi="Cambria Math"/>
            <w:szCs w:val="20"/>
          </w:rPr>
          <m:t>A'</m:t>
        </m:r>
      </m:oMath>
      <w:r>
        <w:tab/>
        <w:t>superficie laterale al di sopra dell'acqua con la nave carica [m</w:t>
      </w:r>
      <w:r>
        <w:rPr>
          <w:vertAlign w:val="superscript"/>
        </w:rPr>
        <w:t>2</w:t>
      </w:r>
      <w:r>
        <w:t xml:space="preserve">]; </w:t>
      </w:r>
    </w:p>
    <w:p w:rsidR="00BF049A" w:rsidRPr="00C903F8" w:rsidRDefault="00333A30" w:rsidP="000153B3">
      <w:pPr>
        <w:pStyle w:val="EStiret"/>
        <w:ind w:left="1701" w:hanging="709"/>
        <w:rPr>
          <w:rFonts w:eastAsia="Calibri"/>
          <w:szCs w:val="20"/>
        </w:rPr>
      </w:pPr>
      <m:oMath>
        <m:r>
          <w:rPr>
            <w:rFonts w:ascii="Cambria Math" w:eastAsia="Calibri" w:hAnsi="Cambria Math"/>
            <w:szCs w:val="20"/>
          </w:rPr>
          <m:t>D'</m:t>
        </m:r>
      </m:oMath>
      <w:r>
        <w:tab/>
        <w:t>dislocamento della nave carica [t];</w:t>
      </w:r>
    </w:p>
    <w:p w:rsidR="00BF049A" w:rsidRPr="00C903F8" w:rsidRDefault="00624017" w:rsidP="000153B3">
      <w:pPr>
        <w:pStyle w:val="EStiret"/>
        <w:ind w:left="1701" w:hanging="709"/>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l</m:t>
            </m:r>
          </m:e>
          <m:sub>
            <m:r>
              <w:rPr>
                <w:rFonts w:ascii="Cambria Math" w:eastAsia="Calibri" w:hAnsi="Cambria Math"/>
                <w:szCs w:val="20"/>
              </w:rPr>
              <m:t>W</m:t>
            </m:r>
          </m:sub>
        </m:sSub>
      </m:oMath>
      <w:r w:rsidR="00801F1F">
        <w:tab/>
        <w:t>altezza del centro di gravità del piano laterale A' sopra la rispettiva linea di galleggiamento [m];</w:t>
      </w:r>
    </w:p>
    <w:p w:rsidR="00BF049A" w:rsidRPr="00C903F8" w:rsidRDefault="007C7C40" w:rsidP="000153B3">
      <w:pPr>
        <w:pStyle w:val="EStiret"/>
        <w:ind w:left="1701" w:hanging="709"/>
        <w:rPr>
          <w:rFonts w:eastAsia="Calibri"/>
          <w:szCs w:val="20"/>
        </w:rPr>
      </w:pPr>
      <m:oMath>
        <m:r>
          <w:rPr>
            <w:rFonts w:ascii="Cambria Math" w:eastAsia="Calibri" w:hAnsi="Cambria Math"/>
            <w:szCs w:val="20"/>
          </w:rPr>
          <m:t>T'</m:t>
        </m:r>
      </m:oMath>
      <w:r>
        <w:tab/>
        <w:t>immersione della nave carica [m];</w:t>
      </w:r>
    </w:p>
    <w:p w:rsidR="00AB4321" w:rsidRPr="00C903F8" w:rsidRDefault="00AB4321" w:rsidP="00BF049A">
      <w:pPr>
        <w:pStyle w:val="ESch"/>
        <w:rPr>
          <w:noProof/>
        </w:rPr>
      </w:pPr>
    </w:p>
    <w:p w:rsidR="00BF049A" w:rsidRPr="00C903F8" w:rsidRDefault="00BF049A" w:rsidP="00AB4321">
      <w:pPr>
        <w:pStyle w:val="ESlet"/>
        <w:rPr>
          <w:noProof/>
        </w:rPr>
      </w:pPr>
      <w:r>
        <w:t>e)</w:t>
      </w:r>
      <w:r>
        <w:tab/>
        <w:t>il braccio inclinante risultante dalle superfici libere dell'acqua piovana e delle acque residue all'interno della stiva o del doppio fondo è determinato dalla formula:</w:t>
      </w:r>
    </w:p>
    <w:p w:rsidR="008F61C4" w:rsidRPr="00C903F8" w:rsidRDefault="00624017" w:rsidP="008F61C4">
      <w:pPr>
        <w:pStyle w:val="ESlet"/>
        <w:ind w:left="0" w:firstLine="0"/>
        <w:rPr>
          <w:rFonts w:cs="Arial"/>
          <w:szCs w:val="18"/>
        </w:rPr>
      </w:pPr>
      <m:oMathPara>
        <m:oMath>
          <m:sSub>
            <m:sSubPr>
              <m:ctrlPr>
                <w:rPr>
                  <w:rFonts w:ascii="Cambria Math" w:hAnsi="Cambria Math" w:cs="Arial"/>
                  <w:i/>
                  <w:szCs w:val="18"/>
                </w:rPr>
              </m:ctrlPr>
            </m:sSubPr>
            <m:e>
              <m:r>
                <w:rPr>
                  <w:rFonts w:ascii="Cambria Math" w:hAnsi="Cambria Math" w:cs="Arial"/>
                  <w:szCs w:val="18"/>
                </w:rPr>
                <m:t>h</m:t>
              </m:r>
            </m:e>
            <m:sub>
              <m:r>
                <w:rPr>
                  <w:rFonts w:ascii="Cambria Math" w:hAnsi="Cambria Math" w:cs="Arial"/>
                  <w:szCs w:val="18"/>
                </w:rPr>
                <m:t>KfO</m:t>
              </m:r>
            </m:sub>
          </m:sSub>
          <m:r>
            <w:rPr>
              <w:rFonts w:ascii="Cambria Math" w:hAnsi="Cambria Math" w:cs="Arial"/>
              <w:szCs w:val="18"/>
            </w:rPr>
            <m:t xml:space="preserve">=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c</m:t>
                  </m:r>
                </m:e>
                <m:sub>
                  <m:r>
                    <w:rPr>
                      <w:rFonts w:ascii="Cambria Math" w:hAnsi="Cambria Math" w:cs="Arial"/>
                      <w:szCs w:val="18"/>
                    </w:rPr>
                    <m:t>KfO</m:t>
                  </m:r>
                </m:sub>
              </m:sSub>
            </m:num>
            <m:den>
              <m:r>
                <w:rPr>
                  <w:rFonts w:ascii="Cambria Math" w:hAnsi="Cambria Math" w:cs="Arial"/>
                  <w:szCs w:val="18"/>
                </w:rPr>
                <m:t>D'</m:t>
              </m:r>
            </m:den>
          </m:f>
          <m:r>
            <w:rPr>
              <w:rFonts w:ascii="Cambria Math" w:hAnsi="Cambria Math" w:cs="Arial"/>
              <w:szCs w:val="18"/>
            </w:rPr>
            <m:t xml:space="preserve"> ∙ </m:t>
          </m:r>
          <m:nary>
            <m:naryPr>
              <m:chr m:val="∑"/>
              <m:limLoc m:val="undOvr"/>
              <m:subHide m:val="1"/>
              <m:supHide m:val="1"/>
              <m:ctrlPr>
                <w:rPr>
                  <w:rFonts w:ascii="Cambria Math" w:hAnsi="Cambria Math" w:cs="Arial"/>
                  <w:i/>
                  <w:szCs w:val="18"/>
                </w:rPr>
              </m:ctrlPr>
            </m:naryPr>
            <m:sub/>
            <m:sup/>
            <m:e>
              <m:d>
                <m:dPr>
                  <m:ctrlPr>
                    <w:rPr>
                      <w:rFonts w:ascii="Cambria Math" w:hAnsi="Cambria Math" w:cs="Arial"/>
                      <w:i/>
                      <w:szCs w:val="18"/>
                    </w:rPr>
                  </m:ctrlPr>
                </m:dPr>
                <m:e>
                  <m:r>
                    <w:rPr>
                      <w:rFonts w:ascii="Cambria Math" w:hAnsi="Cambria Math" w:cs="Arial"/>
                      <w:szCs w:val="18"/>
                    </w:rPr>
                    <m:t xml:space="preserve">b ∙l ∙ </m:t>
                  </m:r>
                  <m:d>
                    <m:dPr>
                      <m:ctrlPr>
                        <w:rPr>
                          <w:rFonts w:ascii="Cambria Math" w:hAnsi="Cambria Math" w:cs="Arial"/>
                          <w:i/>
                          <w:szCs w:val="18"/>
                        </w:rPr>
                      </m:ctrlPr>
                    </m:dPr>
                    <m:e>
                      <m:r>
                        <w:rPr>
                          <w:rFonts w:ascii="Cambria Math" w:hAnsi="Cambria Math" w:cs="Arial"/>
                          <w:szCs w:val="18"/>
                        </w:rPr>
                        <m:t xml:space="preserve">b-0,55 </m:t>
                      </m:r>
                      <m:rad>
                        <m:radPr>
                          <m:degHide m:val="1"/>
                          <m:ctrlPr>
                            <w:rPr>
                              <w:rFonts w:ascii="Cambria Math" w:hAnsi="Cambria Math" w:cs="Arial"/>
                              <w:i/>
                              <w:szCs w:val="18"/>
                            </w:rPr>
                          </m:ctrlPr>
                        </m:radPr>
                        <m:deg/>
                        <m:e>
                          <m:r>
                            <w:rPr>
                              <w:rFonts w:ascii="Cambria Math" w:hAnsi="Cambria Math" w:cs="Arial"/>
                              <w:szCs w:val="18"/>
                            </w:rPr>
                            <m:t>b</m:t>
                          </m:r>
                        </m:e>
                      </m:rad>
                    </m:e>
                  </m:d>
                </m:e>
              </m:d>
              <m:r>
                <w:rPr>
                  <w:rFonts w:ascii="Cambria Math" w:hAnsi="Cambria Math" w:cs="Arial"/>
                  <w:szCs w:val="18"/>
                </w:rPr>
                <m:t xml:space="preserve"> </m:t>
              </m:r>
              <m:d>
                <m:dPr>
                  <m:begChr m:val="["/>
                  <m:endChr m:val="]"/>
                  <m:ctrlPr>
                    <w:rPr>
                      <w:rFonts w:ascii="Cambria Math" w:hAnsi="Cambria Math" w:cs="Arial"/>
                      <w:i/>
                      <w:szCs w:val="18"/>
                    </w:rPr>
                  </m:ctrlPr>
                </m:dPr>
                <m:e>
                  <m:r>
                    <w:rPr>
                      <w:rFonts w:ascii="Cambria Math" w:hAnsi="Cambria Math" w:cs="Arial"/>
                      <w:szCs w:val="18"/>
                    </w:rPr>
                    <m:t>m</m:t>
                  </m:r>
                </m:e>
              </m:d>
            </m:e>
          </m:nary>
        </m:oMath>
      </m:oMathPara>
    </w:p>
    <w:p w:rsidR="00BF049A" w:rsidRPr="00C903F8" w:rsidRDefault="00BF049A" w:rsidP="00AB4321">
      <w:pPr>
        <w:pStyle w:val="EStiret"/>
        <w:rPr>
          <w:rFonts w:cs="Arial"/>
          <w:szCs w:val="20"/>
        </w:rPr>
      </w:pPr>
      <w:r>
        <w:t>dove:</w:t>
      </w:r>
    </w:p>
    <w:p w:rsidR="00BF049A" w:rsidRPr="00C903F8" w:rsidRDefault="00624017" w:rsidP="000153B3">
      <w:pPr>
        <w:pStyle w:val="EStiret"/>
        <w:ind w:left="1701" w:hanging="709"/>
        <w:rPr>
          <w:rFonts w:eastAsia="Calibri" w:cs="Arial"/>
          <w:szCs w:val="20"/>
        </w:rPr>
      </w:pPr>
      <m:oMath>
        <m:sSub>
          <m:sSubPr>
            <m:ctrlPr>
              <w:rPr>
                <w:rFonts w:ascii="Cambria Math" w:eastAsia="Calibri" w:hAnsi="Cambria Math"/>
                <w:i/>
              </w:rPr>
            </m:ctrlPr>
          </m:sSubPr>
          <m:e>
            <m:r>
              <w:rPr>
                <w:rFonts w:ascii="Cambria Math" w:eastAsia="Calibri" w:hAnsi="Cambria Math"/>
              </w:rPr>
              <m:t>c</m:t>
            </m:r>
          </m:e>
          <m:sub>
            <m:r>
              <w:rPr>
                <w:rFonts w:ascii="Cambria Math" w:eastAsia="Calibri" w:hAnsi="Cambria Math"/>
              </w:rPr>
              <m:t>KfO</m:t>
            </m:r>
          </m:sub>
        </m:sSub>
      </m:oMath>
      <w:r w:rsidR="00801F1F">
        <w:tab/>
        <w:t xml:space="preserve">parametro </w:t>
      </w:r>
      <m:oMath>
        <m:d>
          <m:dPr>
            <m:ctrlPr>
              <w:rPr>
                <w:rFonts w:ascii="Cambria Math" w:eastAsia="Calibri" w:hAnsi="Cambria Math"/>
                <w:i/>
                <w:szCs w:val="16"/>
              </w:rPr>
            </m:ctrlPr>
          </m:dPr>
          <m:e>
            <m:sSub>
              <m:sSubPr>
                <m:ctrlPr>
                  <w:rPr>
                    <w:rFonts w:ascii="Cambria Math" w:eastAsia="Calibri" w:hAnsi="Cambria Math"/>
                    <w:i/>
                    <w:szCs w:val="16"/>
                  </w:rPr>
                </m:ctrlPr>
              </m:sSubPr>
              <m:e>
                <m:r>
                  <w:rPr>
                    <w:rFonts w:ascii="Cambria Math" w:eastAsia="Calibri" w:hAnsi="Cambria Math"/>
                    <w:szCs w:val="16"/>
                  </w:rPr>
                  <m:t>c</m:t>
                </m:r>
              </m:e>
              <m:sub>
                <m:r>
                  <w:rPr>
                    <w:rFonts w:ascii="Cambria Math" w:eastAsia="Calibri" w:hAnsi="Cambria Math"/>
                    <w:szCs w:val="16"/>
                  </w:rPr>
                  <m:t>KfO</m:t>
                </m:r>
              </m:sub>
            </m:sSub>
            <m:r>
              <w:rPr>
                <w:rFonts w:ascii="Cambria Math" w:eastAsia="Calibri" w:hAnsi="Cambria Math"/>
                <w:szCs w:val="16"/>
              </w:rPr>
              <m:t>=0,015</m:t>
            </m:r>
          </m:e>
        </m:d>
      </m:oMath>
      <w:r w:rsidR="00801F1F">
        <w:t xml:space="preserve"> [t/m</w:t>
      </w:r>
      <w:r w:rsidR="00801F1F">
        <w:rPr>
          <w:position w:val="6"/>
          <w:sz w:val="16"/>
          <w:vertAlign w:val="superscript"/>
        </w:rPr>
        <w:t>2</w:t>
      </w:r>
      <w:r w:rsidR="00801F1F">
        <w:t>];</w:t>
      </w:r>
    </w:p>
    <w:p w:rsidR="00BF049A" w:rsidRPr="00C903F8" w:rsidRDefault="007C7C40" w:rsidP="000153B3">
      <w:pPr>
        <w:pStyle w:val="EStiret"/>
        <w:ind w:left="1701" w:hanging="709"/>
        <w:rPr>
          <w:rFonts w:eastAsia="Calibri" w:cs="Arial"/>
          <w:szCs w:val="20"/>
        </w:rPr>
      </w:pPr>
      <m:oMath>
        <m:r>
          <w:rPr>
            <w:rFonts w:ascii="Cambria Math" w:eastAsia="Calibri" w:hAnsi="Cambria Math" w:cs="Arial"/>
            <w:szCs w:val="20"/>
          </w:rPr>
          <m:t>b</m:t>
        </m:r>
      </m:oMath>
      <w:r>
        <w:tab/>
        <w:t>larghezza della stiva o della sezione di stiva considerata [m]</w:t>
      </w:r>
      <w:r>
        <w:rPr>
          <w:rStyle w:val="FootnoteReference"/>
        </w:rPr>
        <w:footnoteReference w:customMarkFollows="1" w:id="23"/>
        <w:t>*</w:t>
      </w:r>
      <w:r>
        <w:t>;</w:t>
      </w:r>
    </w:p>
    <w:p w:rsidR="00BF049A" w:rsidRPr="00C903F8" w:rsidRDefault="007C7C40" w:rsidP="000153B3">
      <w:pPr>
        <w:pStyle w:val="EStiret"/>
        <w:ind w:left="1701" w:hanging="709"/>
        <w:rPr>
          <w:rFonts w:eastAsia="Calibri" w:cs="Arial"/>
          <w:szCs w:val="20"/>
          <w:vertAlign w:val="superscript"/>
        </w:rPr>
      </w:pPr>
      <m:oMath>
        <m:r>
          <w:rPr>
            <w:rFonts w:ascii="Cambria Math" w:eastAsia="Calibri" w:hAnsi="Cambria Math" w:cs="Arial"/>
            <w:szCs w:val="20"/>
          </w:rPr>
          <m:t>l</m:t>
        </m:r>
      </m:oMath>
      <w:r>
        <w:tab/>
        <w:t>lunghezza della stiva o della sezione di stiva considerata [m]</w:t>
      </w:r>
      <w:r>
        <w:rPr>
          <w:vertAlign w:val="superscript"/>
        </w:rPr>
        <w:t>*</w:t>
      </w:r>
      <w:r>
        <w:t>;</w:t>
      </w:r>
    </w:p>
    <w:p w:rsidR="00BF049A" w:rsidRPr="00C903F8" w:rsidRDefault="007C7C40" w:rsidP="000153B3">
      <w:pPr>
        <w:pStyle w:val="EStiret"/>
        <w:ind w:left="1701" w:hanging="709"/>
        <w:rPr>
          <w:rFonts w:eastAsia="Calibri" w:cs="Arial"/>
          <w:szCs w:val="20"/>
        </w:rPr>
      </w:pPr>
      <m:oMath>
        <m:r>
          <w:rPr>
            <w:rFonts w:ascii="Cambria Math" w:eastAsia="Calibri" w:hAnsi="Cambria Math" w:cs="Arial"/>
            <w:szCs w:val="20"/>
          </w:rPr>
          <m:t>D'</m:t>
        </m:r>
      </m:oMath>
      <w:r>
        <w:tab/>
        <w:t>dislocamento della nave carica [t];</w:t>
      </w:r>
    </w:p>
    <w:p w:rsidR="00AB4321" w:rsidRPr="00C903F8" w:rsidRDefault="00AB4321" w:rsidP="00BF049A">
      <w:pPr>
        <w:pStyle w:val="ESch"/>
        <w:rPr>
          <w:noProof/>
        </w:rPr>
      </w:pPr>
    </w:p>
    <w:p w:rsidR="00BF049A" w:rsidRPr="00C903F8" w:rsidRDefault="00BF049A" w:rsidP="00AB4321">
      <w:pPr>
        <w:pStyle w:val="ESlet"/>
        <w:rPr>
          <w:rFonts w:cs="Arial"/>
          <w:szCs w:val="18"/>
        </w:rPr>
      </w:pPr>
      <w:r>
        <w:t>f)</w:t>
      </w:r>
      <w:r>
        <w:tab/>
        <w:t>per tutte le condizioni di carico occorre considerare la metà del rifornimento di combustibile e di acqua dolce.</w:t>
      </w:r>
    </w:p>
    <w:p w:rsidR="00AB4321" w:rsidRPr="00C903F8" w:rsidRDefault="00AB4321" w:rsidP="00BF049A">
      <w:pPr>
        <w:pStyle w:val="ESch"/>
        <w:rPr>
          <w:noProof/>
        </w:rPr>
      </w:pPr>
    </w:p>
    <w:p w:rsidR="00BF049A" w:rsidRPr="00C903F8" w:rsidRDefault="00BF049A" w:rsidP="00BF049A">
      <w:pPr>
        <w:pStyle w:val="ESch"/>
        <w:rPr>
          <w:noProof/>
        </w:rPr>
      </w:pPr>
      <w:r>
        <w:t>2.</w:t>
      </w:r>
      <w:r>
        <w:tab/>
        <w:t xml:space="preserve">La stabilità di una nave carica di container non fissi si considera sufficiente quando la </w:t>
      </w:r>
      <m:oMath>
        <m:acc>
          <m:accPr>
            <m:chr m:val="̅"/>
            <m:ctrlPr>
              <w:rPr>
                <w:rFonts w:ascii="Cambria Math" w:hAnsi="Cambria Math"/>
                <w:i/>
                <w:noProof/>
              </w:rPr>
            </m:ctrlPr>
          </m:accPr>
          <m:e>
            <m:r>
              <w:rPr>
                <w:rFonts w:ascii="Cambria Math" w:hAnsi="Cambria Math"/>
                <w:noProof/>
              </w:rPr>
              <m:t>KG</m:t>
            </m:r>
          </m:e>
        </m:acc>
      </m:oMath>
      <w:r>
        <w:t xml:space="preserve"> effettiva è minore o uguale alla </w:t>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oMath>
      <w:r>
        <w:t xml:space="preserve"> risultante dalla formula. La </w:t>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oMath>
      <w:r>
        <w:t xml:space="preserve"> è calcolata per dislocamenti diversi che prendono in considerazione tutte le immersioni possibili:</w:t>
      </w:r>
    </w:p>
    <w:p w:rsidR="00487BDA" w:rsidRPr="00C903F8" w:rsidRDefault="00487BDA" w:rsidP="00BF049A">
      <w:pPr>
        <w:pStyle w:val="ESch"/>
        <w:rPr>
          <w:noProof/>
        </w:rPr>
      </w:pPr>
    </w:p>
    <w:p w:rsidR="00487BDA" w:rsidRPr="00C903F8" w:rsidRDefault="00487BDA" w:rsidP="00BF049A">
      <w:pPr>
        <w:pStyle w:val="ESch"/>
        <w:rPr>
          <w:rFonts w:cs="Arial"/>
          <w:szCs w:val="18"/>
        </w:rPr>
      </w:pPr>
      <w:r>
        <w:br w:type="page"/>
      </w:r>
    </w:p>
    <w:p w:rsidR="00487BDA" w:rsidRPr="00C903F8" w:rsidRDefault="005C7859" w:rsidP="00487BDA">
      <w:pPr>
        <w:pStyle w:val="ESlet"/>
        <w:rPr>
          <w:rFonts w:eastAsia="Calibri"/>
          <w:noProof/>
        </w:rPr>
      </w:pPr>
      <w:r>
        <w:lastRenderedPageBreak/>
        <w:t>a)</w:t>
      </w:r>
    </w:p>
    <w:p w:rsidR="001C29FD" w:rsidRPr="00C903F8" w:rsidRDefault="00624017" w:rsidP="001C29FD">
      <w:pPr>
        <w:pStyle w:val="ESlet"/>
        <w:ind w:left="0" w:firstLine="0"/>
        <w:rPr>
          <w:rFonts w:eastAsia="Calibri"/>
        </w:rPr>
      </w:pPr>
      <m:oMathPara>
        <m:oMath>
          <m:sSub>
            <m:sSubPr>
              <m:ctrlPr>
                <w:rPr>
                  <w:rFonts w:ascii="Cambria Math" w:eastAsia="Calibri" w:hAnsi="Cambria Math"/>
                  <w:i/>
                </w:rPr>
              </m:ctrlPr>
            </m:sSubPr>
            <m:e>
              <m:acc>
                <m:accPr>
                  <m:chr m:val="̅"/>
                  <m:ctrlPr>
                    <w:rPr>
                      <w:rFonts w:ascii="Cambria Math" w:eastAsia="Calibri" w:hAnsi="Cambria Math"/>
                      <w:i/>
                    </w:rPr>
                  </m:ctrlPr>
                </m:accPr>
                <m:e>
                  <m:r>
                    <w:rPr>
                      <w:rFonts w:ascii="Cambria Math" w:eastAsia="Calibri" w:hAnsi="Cambria Math"/>
                    </w:rPr>
                    <m:t>KG</m:t>
                  </m:r>
                </m:e>
              </m:acc>
            </m:e>
            <m:sub>
              <m:r>
                <w:rPr>
                  <w:rFonts w:ascii="Cambria Math" w:eastAsia="Calibri" w:hAnsi="Cambria Math"/>
                </w:rPr>
                <m:t>zul</m:t>
              </m:r>
            </m:sub>
          </m:sSub>
          <m:r>
            <w:rPr>
              <w:rFonts w:ascii="Cambria Math" w:eastAsia="Calibri" w:hAnsi="Cambria Math"/>
            </w:rPr>
            <m:t xml:space="preserve">= </m:t>
          </m:r>
          <m:f>
            <m:fPr>
              <m:ctrlPr>
                <w:rPr>
                  <w:rFonts w:ascii="Cambria Math" w:eastAsia="Calibri" w:hAnsi="Cambria Math"/>
                  <w:i/>
                </w:rPr>
              </m:ctrlPr>
            </m:fPr>
            <m:num>
              <m:acc>
                <m:accPr>
                  <m:chr m:val="̅"/>
                  <m:ctrlPr>
                    <w:rPr>
                      <w:rFonts w:ascii="Cambria Math" w:eastAsia="Calibri" w:hAnsi="Cambria Math"/>
                      <w:i/>
                    </w:rPr>
                  </m:ctrlPr>
                </m:accPr>
                <m:e>
                  <m:r>
                    <w:rPr>
                      <w:rFonts w:ascii="Cambria Math" w:eastAsia="Calibri" w:hAnsi="Cambria Math"/>
                    </w:rPr>
                    <m:t>KM</m:t>
                  </m:r>
                </m:e>
              </m:acc>
              <m:r>
                <w:rPr>
                  <w:rFonts w:ascii="Cambria Math" w:eastAsia="Calibri" w:hAnsi="Cambria Math"/>
                </w:rPr>
                <m:t xml:space="preserve">+ </m:t>
              </m:r>
              <m:f>
                <m:fPr>
                  <m:ctrlPr>
                    <w:rPr>
                      <w:rFonts w:ascii="Cambria Math" w:eastAsia="Calibri" w:hAnsi="Cambria Math"/>
                      <w:i/>
                    </w:rPr>
                  </m:ctrlPr>
                </m:fPr>
                <m:num>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WL</m:t>
                      </m:r>
                    </m:sub>
                  </m:sSub>
                </m:num>
                <m:den>
                  <m:r>
                    <w:rPr>
                      <w:rFonts w:ascii="Cambria Math" w:eastAsia="Calibri" w:hAnsi="Cambria Math"/>
                    </w:rPr>
                    <m:t>2F</m:t>
                  </m:r>
                </m:den>
              </m:f>
              <m:r>
                <w:rPr>
                  <w:rFonts w:ascii="Cambria Math" w:eastAsia="Calibri" w:hAnsi="Cambria Math"/>
                </w:rPr>
                <m:t xml:space="preserve"> ∙ </m:t>
              </m:r>
              <m:d>
                <m:dPr>
                  <m:ctrlPr>
                    <w:rPr>
                      <w:rFonts w:ascii="Cambria Math" w:eastAsia="Calibri" w:hAnsi="Cambria Math"/>
                      <w:i/>
                    </w:rPr>
                  </m:ctrlPr>
                </m:dPr>
                <m:e>
                  <m:r>
                    <w:rPr>
                      <w:rFonts w:ascii="Cambria Math" w:eastAsia="Calibri" w:hAnsi="Cambria Math"/>
                    </w:rPr>
                    <m:t xml:space="preserve">Z ∙ </m:t>
                  </m:r>
                  <m:f>
                    <m:fPr>
                      <m:ctrlPr>
                        <w:rPr>
                          <w:rFonts w:ascii="Cambria Math" w:eastAsia="Calibri" w:hAnsi="Cambria Math"/>
                          <w:i/>
                        </w:rPr>
                      </m:ctrlPr>
                    </m:fPr>
                    <m:num>
                      <m:sSub>
                        <m:sSubPr>
                          <m:ctrlPr>
                            <w:rPr>
                              <w:rFonts w:ascii="Cambria Math" w:eastAsia="Calibri" w:hAnsi="Cambria Math"/>
                              <w:i/>
                            </w:rPr>
                          </m:ctrlPr>
                        </m:sSubPr>
                        <m:e>
                          <m:r>
                            <w:rPr>
                              <w:rFonts w:ascii="Cambria Math" w:eastAsia="Calibri" w:hAnsi="Cambria Math"/>
                            </w:rPr>
                            <m:t>T</m:t>
                          </m:r>
                        </m:e>
                        <m:sub>
                          <m:r>
                            <w:rPr>
                              <w:rFonts w:ascii="Cambria Math" w:eastAsia="Calibri" w:hAnsi="Cambria Math"/>
                            </w:rPr>
                            <m:t>m</m:t>
                          </m:r>
                        </m:sub>
                      </m:sSub>
                    </m:num>
                    <m:den>
                      <m:r>
                        <w:rPr>
                          <w:rFonts w:ascii="Cambria Math" w:eastAsia="Calibri" w:hAnsi="Cambria Math"/>
                        </w:rPr>
                        <m:t>2</m:t>
                      </m:r>
                    </m:den>
                  </m:f>
                  <m:r>
                    <w:rPr>
                      <w:rFonts w:ascii="Cambria Math" w:eastAsia="Calibri" w:hAnsi="Cambria Math"/>
                    </w:rPr>
                    <m:t xml:space="preserve">- </m:t>
                  </m:r>
                  <m:sSub>
                    <m:sSubPr>
                      <m:ctrlPr>
                        <w:rPr>
                          <w:rFonts w:ascii="Cambria Math" w:eastAsia="Calibri" w:hAnsi="Cambria Math"/>
                          <w:i/>
                        </w:rPr>
                      </m:ctrlPr>
                    </m:sSubPr>
                    <m:e>
                      <m:r>
                        <w:rPr>
                          <w:rFonts w:ascii="Cambria Math" w:eastAsia="Calibri" w:hAnsi="Cambria Math"/>
                        </w:rPr>
                        <m:t>h</m:t>
                      </m:r>
                    </m:e>
                    <m:sub>
                      <m:r>
                        <w:rPr>
                          <w:rFonts w:ascii="Cambria Math" w:eastAsia="Calibri" w:hAnsi="Cambria Math"/>
                        </w:rPr>
                        <m:t>KW</m:t>
                      </m:r>
                    </m:sub>
                  </m:sSub>
                  <m:r>
                    <w:rPr>
                      <w:rFonts w:ascii="Cambria Math" w:eastAsia="Calibri" w:hAnsi="Cambria Math"/>
                    </w:rPr>
                    <m:t xml:space="preserve">- </m:t>
                  </m:r>
                  <m:sSub>
                    <m:sSubPr>
                      <m:ctrlPr>
                        <w:rPr>
                          <w:rFonts w:ascii="Cambria Math" w:eastAsia="Calibri" w:hAnsi="Cambria Math"/>
                          <w:i/>
                        </w:rPr>
                      </m:ctrlPr>
                    </m:sSubPr>
                    <m:e>
                      <m:r>
                        <w:rPr>
                          <w:rFonts w:ascii="Cambria Math" w:eastAsia="Calibri" w:hAnsi="Cambria Math"/>
                        </w:rPr>
                        <m:t>h</m:t>
                      </m:r>
                    </m:e>
                    <m:sub>
                      <m:r>
                        <w:rPr>
                          <w:rFonts w:ascii="Cambria Math" w:eastAsia="Calibri" w:hAnsi="Cambria Math"/>
                        </w:rPr>
                        <m:t>kFO</m:t>
                      </m:r>
                    </m:sub>
                  </m:sSub>
                </m:e>
              </m:d>
            </m:num>
            <m:den>
              <m:f>
                <m:fPr>
                  <m:ctrlPr>
                    <w:rPr>
                      <w:rFonts w:ascii="Cambria Math" w:eastAsia="Calibri" w:hAnsi="Cambria Math"/>
                      <w:i/>
                    </w:rPr>
                  </m:ctrlPr>
                </m:fPr>
                <m:num>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WL</m:t>
                      </m:r>
                    </m:sub>
                  </m:sSub>
                </m:num>
                <m:den>
                  <m:r>
                    <w:rPr>
                      <w:rFonts w:ascii="Cambria Math" w:eastAsia="Calibri" w:hAnsi="Cambria Math"/>
                    </w:rPr>
                    <m:t>2F</m:t>
                  </m:r>
                </m:den>
              </m:f>
              <m:r>
                <w:rPr>
                  <w:rFonts w:ascii="Cambria Math" w:eastAsia="Calibri" w:hAnsi="Cambria Math"/>
                </w:rPr>
                <m:t xml:space="preserve"> ∙Z+1</m:t>
              </m:r>
            </m:den>
          </m:f>
          <m:r>
            <w:rPr>
              <w:rFonts w:ascii="Cambria Math" w:eastAsia="Calibri" w:hAnsi="Cambria Math"/>
            </w:rPr>
            <m:t xml:space="preserve"> </m:t>
          </m:r>
          <m:d>
            <m:dPr>
              <m:begChr m:val="["/>
              <m:endChr m:val="]"/>
              <m:ctrlPr>
                <w:rPr>
                  <w:rFonts w:ascii="Cambria Math" w:eastAsia="Calibri" w:hAnsi="Cambria Math"/>
                  <w:i/>
                </w:rPr>
              </m:ctrlPr>
            </m:dPr>
            <m:e>
              <m:r>
                <w:rPr>
                  <w:rFonts w:ascii="Cambria Math" w:eastAsia="Calibri" w:hAnsi="Cambria Math"/>
                </w:rPr>
                <m:t>m</m:t>
              </m:r>
            </m:e>
          </m:d>
        </m:oMath>
      </m:oMathPara>
    </w:p>
    <w:p w:rsidR="00BF049A" w:rsidRPr="00C903F8" w:rsidRDefault="00BF049A" w:rsidP="00487BDA">
      <w:pPr>
        <w:pStyle w:val="ESletpar"/>
        <w:rPr>
          <w:rFonts w:cs="Arial"/>
          <w:szCs w:val="18"/>
        </w:rPr>
      </w:pPr>
      <w:r>
        <w:t xml:space="preserve">Non si assume mai un valore inferiore a 11,5 (11,5 = l/tan 5°) per </w:t>
      </w:r>
      <m:oMath>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B</m:t>
                </m:r>
              </m:e>
              <m:sub>
                <m:r>
                  <w:rPr>
                    <w:rFonts w:ascii="Cambria Math" w:hAnsi="Cambria Math"/>
                    <w:noProof/>
                  </w:rPr>
                  <m:t>WL</m:t>
                </m:r>
              </m:sub>
            </m:sSub>
          </m:num>
          <m:den>
            <m:r>
              <w:rPr>
                <w:rFonts w:ascii="Cambria Math" w:hAnsi="Cambria Math"/>
                <w:noProof/>
              </w:rPr>
              <m:t>2F</m:t>
            </m:r>
          </m:den>
        </m:f>
      </m:oMath>
      <w:r>
        <w:t xml:space="preserve"> </w:t>
      </w:r>
    </w:p>
    <w:p w:rsidR="00BF049A" w:rsidRPr="00C903F8" w:rsidRDefault="005C7859" w:rsidP="00487BDA">
      <w:pPr>
        <w:pStyle w:val="ESlet"/>
        <w:rPr>
          <w:rFonts w:cs="Arial"/>
          <w:szCs w:val="18"/>
        </w:rPr>
      </w:pPr>
      <w:r>
        <w:t>b)</w:t>
      </w:r>
      <w:r>
        <w:tab/>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r>
          <w:rPr>
            <w:rFonts w:ascii="Cambria Math" w:hAnsi="Cambria Math"/>
            <w:noProof/>
          </w:rPr>
          <m:t xml:space="preserve">= </m:t>
        </m:r>
        <m:acc>
          <m:accPr>
            <m:chr m:val="̅"/>
            <m:ctrlPr>
              <w:rPr>
                <w:rFonts w:ascii="Cambria Math" w:hAnsi="Cambria Math"/>
                <w:i/>
                <w:noProof/>
              </w:rPr>
            </m:ctrlPr>
          </m:accPr>
          <m:e>
            <m:r>
              <w:rPr>
                <w:rFonts w:ascii="Cambria Math" w:hAnsi="Cambria Math"/>
                <w:noProof/>
              </w:rPr>
              <m:t>KM</m:t>
            </m:r>
          </m:e>
        </m:acc>
        <m:r>
          <w:rPr>
            <w:rFonts w:ascii="Cambria Math" w:hAnsi="Cambria Math"/>
            <w:noProof/>
          </w:rPr>
          <m:t xml:space="preserve">-1,00 </m:t>
        </m:r>
        <m:d>
          <m:dPr>
            <m:begChr m:val="["/>
            <m:endChr m:val="]"/>
            <m:ctrlPr>
              <w:rPr>
                <w:rFonts w:ascii="Cambria Math" w:hAnsi="Cambria Math"/>
                <w:i/>
                <w:noProof/>
              </w:rPr>
            </m:ctrlPr>
          </m:dPr>
          <m:e>
            <m:r>
              <w:rPr>
                <w:rFonts w:ascii="Cambria Math" w:hAnsi="Cambria Math"/>
                <w:noProof/>
              </w:rPr>
              <m:t>m</m:t>
            </m:r>
          </m:e>
        </m:d>
      </m:oMath>
    </w:p>
    <w:p w:rsidR="00BF049A" w:rsidRPr="00C903F8" w:rsidRDefault="00BF049A" w:rsidP="00487BDA">
      <w:pPr>
        <w:pStyle w:val="ESletpar"/>
        <w:rPr>
          <w:rFonts w:cs="Arial"/>
          <w:szCs w:val="18"/>
        </w:rPr>
      </w:pPr>
      <w:r>
        <w:t xml:space="preserve">Il valore minore di </w:t>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oMath>
      <w:r>
        <w:t xml:space="preserve"> ottenuto dalla formula a) o dalla formula b) è determinante.</w:t>
      </w:r>
    </w:p>
    <w:p w:rsidR="00BF049A" w:rsidRPr="00C903F8" w:rsidRDefault="00BF049A" w:rsidP="00487BDA">
      <w:pPr>
        <w:pStyle w:val="ESletpar"/>
        <w:rPr>
          <w:rFonts w:cs="Arial"/>
          <w:szCs w:val="18"/>
        </w:rPr>
      </w:pPr>
      <w:r>
        <w:t>Nelle formule a) e b):</w:t>
      </w:r>
    </w:p>
    <w:p w:rsidR="00487BDA" w:rsidRPr="00C903F8" w:rsidRDefault="00624017" w:rsidP="00487BDA">
      <w:pPr>
        <w:pStyle w:val="EStiret"/>
        <w:ind w:left="1701" w:hanging="709"/>
        <w:rPr>
          <w:rFonts w:eastAsia="Calibri"/>
        </w:rPr>
      </w:pPr>
      <m:oMath>
        <m:sSub>
          <m:sSubPr>
            <m:ctrlPr>
              <w:rPr>
                <w:rFonts w:ascii="Cambria Math" w:hAnsi="Cambria Math"/>
                <w:i/>
                <w:snapToGrid/>
                <w:color w:val="auto"/>
              </w:rPr>
            </m:ctrlPr>
          </m:sSubPr>
          <m:e>
            <m:acc>
              <m:accPr>
                <m:chr m:val="̅"/>
                <m:ctrlPr>
                  <w:rPr>
                    <w:rFonts w:ascii="Cambria Math" w:hAnsi="Cambria Math"/>
                    <w:i/>
                    <w:snapToGrid/>
                    <w:color w:val="auto"/>
                  </w:rPr>
                </m:ctrlPr>
              </m:accPr>
              <m:e>
                <m:r>
                  <w:rPr>
                    <w:rFonts w:ascii="Cambria Math" w:hAnsi="Cambria Math"/>
                  </w:rPr>
                  <m:t>KG</m:t>
                </m:r>
              </m:e>
            </m:acc>
          </m:e>
          <m:sub>
            <m:r>
              <w:rPr>
                <w:rFonts w:ascii="Cambria Math" w:hAnsi="Cambria Math"/>
              </w:rPr>
              <m:t>zul</m:t>
            </m:r>
          </m:sub>
        </m:sSub>
      </m:oMath>
      <w:r w:rsidR="00801F1F">
        <w:tab/>
        <w:t>altezza massima ammissibile del centro di gravità della nave carica, al di sopra della base [m];</w:t>
      </w:r>
    </w:p>
    <w:p w:rsidR="00BF049A" w:rsidRPr="00C903F8" w:rsidRDefault="00624017" w:rsidP="00487BDA">
      <w:pPr>
        <w:pStyle w:val="EStiret"/>
        <w:ind w:left="1701" w:hanging="709"/>
        <w:rPr>
          <w:rFonts w:eastAsia="Calibri"/>
        </w:rPr>
      </w:pPr>
      <m:oMath>
        <m:acc>
          <m:accPr>
            <m:chr m:val="̅"/>
            <m:ctrlPr>
              <w:rPr>
                <w:rFonts w:ascii="Cambria Math" w:eastAsia="Calibri" w:hAnsi="Cambria Math"/>
                <w:i/>
              </w:rPr>
            </m:ctrlPr>
          </m:accPr>
          <m:e>
            <m:r>
              <w:rPr>
                <w:rFonts w:ascii="Cambria Math" w:eastAsia="Calibri" w:hAnsi="Cambria Math"/>
              </w:rPr>
              <m:t>KM</m:t>
            </m:r>
          </m:e>
        </m:acc>
      </m:oMath>
      <w:r w:rsidR="00801F1F">
        <w:tab/>
        <w:t>altezza del metacentro al di sopra della base [m] secondo la formula d'approssimazione di cui al paragrafo 3;</w:t>
      </w:r>
    </w:p>
    <w:p w:rsidR="00BF049A" w:rsidRPr="00C903F8" w:rsidRDefault="00056313" w:rsidP="00487BDA">
      <w:pPr>
        <w:pStyle w:val="EStiret"/>
        <w:ind w:left="1701" w:hanging="709"/>
        <w:rPr>
          <w:rFonts w:eastAsia="Calibri"/>
        </w:rPr>
      </w:pPr>
      <m:oMath>
        <m:r>
          <w:rPr>
            <w:rFonts w:ascii="Cambria Math" w:eastAsia="Calibri" w:hAnsi="Cambria Math"/>
          </w:rPr>
          <m:t>F</m:t>
        </m:r>
      </m:oMath>
      <w:r>
        <w:tab/>
        <w:t xml:space="preserve">rispettivo bordo libero effettivo a </w:t>
      </w:r>
      <m:oMath>
        <m:f>
          <m:fPr>
            <m:ctrlPr>
              <w:rPr>
                <w:rFonts w:ascii="Cambria Math" w:eastAsia="Calibri" w:hAnsi="Cambria Math"/>
                <w:i/>
              </w:rPr>
            </m:ctrlPr>
          </m:fPr>
          <m:num>
            <m:r>
              <w:rPr>
                <w:rFonts w:ascii="Cambria Math" w:eastAsia="Calibri" w:hAnsi="Cambria Math"/>
              </w:rPr>
              <m:t>1</m:t>
            </m:r>
          </m:num>
          <m:den>
            <m:r>
              <w:rPr>
                <w:rFonts w:ascii="Cambria Math" w:eastAsia="Calibri" w:hAnsi="Cambria Math"/>
              </w:rPr>
              <m:t>2</m:t>
            </m:r>
          </m:den>
        </m:f>
        <m:r>
          <w:rPr>
            <w:rFonts w:ascii="Cambria Math" w:eastAsia="Calibri" w:hAnsi="Cambria Math"/>
          </w:rPr>
          <m:t xml:space="preserve"> L</m:t>
        </m:r>
      </m:oMath>
      <w:r>
        <w:t xml:space="preserve"> [m];</w:t>
      </w:r>
    </w:p>
    <w:p w:rsidR="00BF049A" w:rsidRPr="00C903F8" w:rsidRDefault="00056313" w:rsidP="00487BDA">
      <w:pPr>
        <w:pStyle w:val="EStiret"/>
        <w:ind w:left="1701" w:hanging="709"/>
      </w:pPr>
      <m:oMath>
        <m:r>
          <w:rPr>
            <w:rFonts w:ascii="Cambria Math" w:hAnsi="Cambria Math"/>
          </w:rPr>
          <m:t>Z</m:t>
        </m:r>
      </m:oMath>
      <w:r>
        <w:tab/>
        <w:t>parametro per la forza centrifuga risultante dall'accostata</w:t>
      </w:r>
    </w:p>
    <w:p w:rsidR="004B5897" w:rsidRPr="00C903F8" w:rsidRDefault="004B5897" w:rsidP="00F670A2">
      <w:pPr>
        <w:pStyle w:val="ESch"/>
        <w:spacing w:before="60"/>
        <w:ind w:left="0" w:firstLine="0"/>
        <w:rPr>
          <w:rFonts w:eastAsia="Calibri" w:cs="Arial"/>
          <w:szCs w:val="18"/>
        </w:rPr>
      </w:pPr>
      <m:oMathPara>
        <m:oMath>
          <m:r>
            <w:rPr>
              <w:rFonts w:ascii="Cambria Math" w:eastAsia="Calibri" w:hAnsi="Cambria Math" w:cs="Arial"/>
              <w:szCs w:val="18"/>
            </w:rPr>
            <m:t xml:space="preserve">Z= </m:t>
          </m:r>
          <m:f>
            <m:fPr>
              <m:ctrlPr>
                <w:rPr>
                  <w:rFonts w:ascii="Cambria Math" w:eastAsia="Calibri" w:hAnsi="Cambria Math" w:cs="Arial"/>
                  <w:i/>
                  <w:szCs w:val="18"/>
                </w:rPr>
              </m:ctrlPr>
            </m:fPr>
            <m:num>
              <m:sSup>
                <m:sSupPr>
                  <m:ctrlPr>
                    <w:rPr>
                      <w:rFonts w:ascii="Cambria Math" w:eastAsia="Calibri" w:hAnsi="Cambria Math" w:cs="Arial"/>
                      <w:i/>
                      <w:szCs w:val="18"/>
                    </w:rPr>
                  </m:ctrlPr>
                </m:sSupPr>
                <m:e>
                  <m:d>
                    <m:dPr>
                      <m:ctrlPr>
                        <w:rPr>
                          <w:rFonts w:ascii="Cambria Math" w:eastAsia="Calibri" w:hAnsi="Cambria Math" w:cs="Arial"/>
                          <w:i/>
                          <w:szCs w:val="18"/>
                        </w:rPr>
                      </m:ctrlPr>
                    </m:dPr>
                    <m:e>
                      <m:r>
                        <w:rPr>
                          <w:rFonts w:ascii="Cambria Math" w:eastAsia="Calibri" w:hAnsi="Cambria Math" w:cs="Arial"/>
                          <w:szCs w:val="18"/>
                        </w:rPr>
                        <m:t>0,7 ∙v</m:t>
                      </m:r>
                    </m:e>
                  </m:d>
                </m:e>
                <m:sup>
                  <m:r>
                    <w:rPr>
                      <w:rFonts w:ascii="Cambria Math" w:eastAsia="Calibri" w:hAnsi="Cambria Math" w:cs="Arial"/>
                      <w:szCs w:val="18"/>
                    </w:rPr>
                    <m:t>2</m:t>
                  </m:r>
                </m:sup>
              </m:sSup>
            </m:num>
            <m:den>
              <m:r>
                <w:rPr>
                  <w:rFonts w:ascii="Cambria Math" w:eastAsia="Calibri" w:hAnsi="Cambria Math" w:cs="Arial"/>
                  <w:szCs w:val="18"/>
                </w:rPr>
                <m:t xml:space="preserve">9,81 ∙1,25 </m:t>
              </m:r>
              <m:sSub>
                <m:sSubPr>
                  <m:ctrlPr>
                    <w:rPr>
                      <w:rFonts w:ascii="Cambria Math" w:eastAsia="Calibri" w:hAnsi="Cambria Math" w:cs="Arial"/>
                      <w:i/>
                      <w:szCs w:val="18"/>
                    </w:rPr>
                  </m:ctrlPr>
                </m:sSubPr>
                <m:e>
                  <m:r>
                    <w:rPr>
                      <w:rFonts w:ascii="Cambria Math" w:eastAsia="Calibri" w:hAnsi="Cambria Math" w:cs="Arial"/>
                      <w:szCs w:val="18"/>
                    </w:rPr>
                    <m:t>L</m:t>
                  </m:r>
                </m:e>
                <m:sub>
                  <m:r>
                    <w:rPr>
                      <w:rFonts w:ascii="Cambria Math" w:eastAsia="Calibri" w:hAnsi="Cambria Math" w:cs="Arial"/>
                      <w:szCs w:val="18"/>
                    </w:rPr>
                    <m:t>WL</m:t>
                  </m:r>
                </m:sub>
              </m:sSub>
            </m:den>
          </m:f>
          <m:r>
            <w:rPr>
              <w:rFonts w:ascii="Cambria Math" w:eastAsia="Calibri" w:hAnsi="Cambria Math" w:cs="Arial"/>
              <w:szCs w:val="18"/>
            </w:rPr>
            <m:t xml:space="preserve">=0,04 ∙ </m:t>
          </m:r>
          <m:f>
            <m:fPr>
              <m:ctrlPr>
                <w:rPr>
                  <w:rFonts w:ascii="Cambria Math" w:eastAsia="Calibri" w:hAnsi="Cambria Math" w:cs="Arial"/>
                  <w:i/>
                  <w:szCs w:val="18"/>
                </w:rPr>
              </m:ctrlPr>
            </m:fPr>
            <m:num>
              <m:sSup>
                <m:sSupPr>
                  <m:ctrlPr>
                    <w:rPr>
                      <w:rFonts w:ascii="Cambria Math" w:eastAsia="Calibri" w:hAnsi="Cambria Math" w:cs="Arial"/>
                      <w:i/>
                      <w:szCs w:val="18"/>
                    </w:rPr>
                  </m:ctrlPr>
                </m:sSupPr>
                <m:e>
                  <m:r>
                    <w:rPr>
                      <w:rFonts w:ascii="Cambria Math" w:eastAsia="Calibri" w:hAnsi="Cambria Math" w:cs="Arial"/>
                      <w:szCs w:val="18"/>
                    </w:rPr>
                    <m:t>v</m:t>
                  </m:r>
                </m:e>
                <m:sup>
                  <m:r>
                    <w:rPr>
                      <w:rFonts w:ascii="Cambria Math" w:eastAsia="Calibri" w:hAnsi="Cambria Math" w:cs="Arial"/>
                      <w:szCs w:val="18"/>
                    </w:rPr>
                    <m:t>2</m:t>
                  </m:r>
                </m:sup>
              </m:sSup>
            </m:num>
            <m:den>
              <m:sSub>
                <m:sSubPr>
                  <m:ctrlPr>
                    <w:rPr>
                      <w:rFonts w:ascii="Cambria Math" w:eastAsia="Calibri" w:hAnsi="Cambria Math" w:cs="Arial"/>
                      <w:i/>
                      <w:szCs w:val="18"/>
                    </w:rPr>
                  </m:ctrlPr>
                </m:sSubPr>
                <m:e>
                  <m:r>
                    <w:rPr>
                      <w:rFonts w:ascii="Cambria Math" w:eastAsia="Calibri" w:hAnsi="Cambria Math" w:cs="Arial"/>
                      <w:szCs w:val="18"/>
                    </w:rPr>
                    <m:t>L</m:t>
                  </m:r>
                </m:e>
                <m:sub>
                  <m:r>
                    <w:rPr>
                      <w:rFonts w:ascii="Cambria Math" w:eastAsia="Calibri" w:hAnsi="Cambria Math" w:cs="Arial"/>
                      <w:szCs w:val="18"/>
                    </w:rPr>
                    <m:t>WL</m:t>
                  </m:r>
                </m:sub>
              </m:sSub>
            </m:den>
          </m:f>
        </m:oMath>
      </m:oMathPara>
    </w:p>
    <w:p w:rsidR="00487BDA" w:rsidRPr="00C903F8" w:rsidRDefault="00487BDA" w:rsidP="00BF049A">
      <w:pPr>
        <w:pStyle w:val="ESch"/>
        <w:rPr>
          <w:rFonts w:eastAsia="Calibri" w:cs="Arial"/>
          <w:szCs w:val="18"/>
        </w:rPr>
      </w:pPr>
    </w:p>
    <w:p w:rsidR="00BF049A" w:rsidRPr="00C903F8" w:rsidRDefault="00056313" w:rsidP="00487BDA">
      <w:pPr>
        <w:pStyle w:val="EStiret"/>
        <w:ind w:left="1701" w:hanging="709"/>
        <w:rPr>
          <w:rFonts w:cs="Arial"/>
        </w:rPr>
      </w:pPr>
      <m:oMath>
        <m:r>
          <w:rPr>
            <w:rFonts w:ascii="Cambria Math" w:hAnsi="Cambria Math" w:cs="Arial"/>
          </w:rPr>
          <m:t>v</m:t>
        </m:r>
      </m:oMath>
      <w:r>
        <w:tab/>
        <w:t>velocità massima della nave rispetto all'acqua [m/s];</w:t>
      </w:r>
    </w:p>
    <w:p w:rsidR="00BF049A" w:rsidRPr="00C903F8" w:rsidRDefault="00624017" w:rsidP="00487BDA">
      <w:pPr>
        <w:pStyle w:val="EStiret"/>
        <w:ind w:left="1701" w:hanging="709"/>
        <w:rPr>
          <w:rFonts w:cs="Arial"/>
        </w:rPr>
      </w:pPr>
      <m:oMath>
        <m:sSub>
          <m:sSubPr>
            <m:ctrlPr>
              <w:rPr>
                <w:rFonts w:ascii="Cambria Math" w:hAnsi="Cambria Math" w:cs="Arial"/>
                <w:i/>
              </w:rPr>
            </m:ctrlPr>
          </m:sSubPr>
          <m:e>
            <m:r>
              <w:rPr>
                <w:rFonts w:ascii="Cambria Math" w:hAnsi="Cambria Math" w:cs="Arial"/>
              </w:rPr>
              <m:t>T</m:t>
            </m:r>
          </m:e>
          <m:sub>
            <m:r>
              <w:rPr>
                <w:rFonts w:ascii="Cambria Math" w:hAnsi="Cambria Math" w:cs="Arial"/>
              </w:rPr>
              <m:t>m</m:t>
            </m:r>
          </m:sub>
        </m:sSub>
      </m:oMath>
      <w:r w:rsidR="00801F1F">
        <w:t xml:space="preserve"> </w:t>
      </w:r>
      <w:r w:rsidR="00801F1F">
        <w:tab/>
        <w:t>rispettiva immersione media [m];</w:t>
      </w:r>
    </w:p>
    <w:p w:rsidR="00BF049A" w:rsidRPr="00C903F8" w:rsidRDefault="00624017" w:rsidP="00487BDA">
      <w:pPr>
        <w:pStyle w:val="EStiret"/>
        <w:ind w:left="1701" w:hanging="709"/>
        <w:rPr>
          <w:rFonts w:cs="Arial"/>
        </w:rPr>
      </w:pPr>
      <m:oMath>
        <m:sSub>
          <m:sSubPr>
            <m:ctrlPr>
              <w:rPr>
                <w:rFonts w:ascii="Cambria Math" w:hAnsi="Cambria Math" w:cs="Arial"/>
                <w:i/>
              </w:rPr>
            </m:ctrlPr>
          </m:sSubPr>
          <m:e>
            <m:r>
              <w:rPr>
                <w:rFonts w:ascii="Cambria Math" w:hAnsi="Cambria Math" w:cs="Arial"/>
              </w:rPr>
              <m:t>h</m:t>
            </m:r>
          </m:e>
          <m:sub>
            <m:r>
              <w:rPr>
                <w:rFonts w:ascii="Cambria Math" w:hAnsi="Cambria Math" w:cs="Arial"/>
              </w:rPr>
              <m:t>KW</m:t>
            </m:r>
          </m:sub>
        </m:sSub>
      </m:oMath>
      <w:r w:rsidR="00801F1F">
        <w:tab/>
        <w:t>braccio inclinante risultante dalla pressione laterale del vento di cui al paragrafo 1, lettera d) [m];</w:t>
      </w:r>
    </w:p>
    <w:p w:rsidR="00BF049A" w:rsidRPr="00C903F8" w:rsidRDefault="00624017" w:rsidP="00056313">
      <w:pPr>
        <w:pStyle w:val="EStiret"/>
        <w:ind w:left="1701" w:hanging="709"/>
        <w:rPr>
          <w:rFonts w:cs="Arial"/>
        </w:rPr>
      </w:pPr>
      <m:oMath>
        <m:sSub>
          <m:sSubPr>
            <m:ctrlPr>
              <w:rPr>
                <w:rFonts w:ascii="Cambria Math" w:hAnsi="Cambria Math" w:cs="Arial"/>
                <w:i/>
              </w:rPr>
            </m:ctrlPr>
          </m:sSubPr>
          <m:e>
            <m:r>
              <w:rPr>
                <w:rFonts w:ascii="Cambria Math" w:hAnsi="Cambria Math" w:cs="Arial"/>
              </w:rPr>
              <m:t>h</m:t>
            </m:r>
          </m:e>
          <m:sub>
            <m:r>
              <w:rPr>
                <w:rFonts w:ascii="Cambria Math" w:hAnsi="Cambria Math" w:cs="Arial"/>
              </w:rPr>
              <m:t>KfO</m:t>
            </m:r>
          </m:sub>
        </m:sSub>
      </m:oMath>
      <w:r w:rsidR="00801F1F">
        <w:tab/>
        <w:t>somma dei bracci inclinanti risultanti dalle superfici libere dei liquidi di cui al paragrafo 1, lettera e) [m].</w:t>
      </w:r>
    </w:p>
    <w:p w:rsidR="00BF049A" w:rsidRPr="00C903F8" w:rsidRDefault="00BF049A" w:rsidP="00BF049A">
      <w:pPr>
        <w:pStyle w:val="ESch"/>
        <w:rPr>
          <w:noProof/>
          <w:szCs w:val="18"/>
        </w:rPr>
      </w:pPr>
    </w:p>
    <w:p w:rsidR="00BF049A" w:rsidRPr="00C903F8" w:rsidRDefault="00BF049A" w:rsidP="00BF049A">
      <w:pPr>
        <w:pStyle w:val="ESch"/>
        <w:rPr>
          <w:rFonts w:cs="Arial"/>
          <w:szCs w:val="18"/>
        </w:rPr>
      </w:pPr>
      <w:r>
        <w:t>3.</w:t>
      </w:r>
      <w:r>
        <w:tab/>
        <w:t xml:space="preserve">Formula d'approssimazione per </w:t>
      </w:r>
      <m:oMath>
        <m:acc>
          <m:accPr>
            <m:chr m:val="̅"/>
            <m:ctrlPr>
              <w:rPr>
                <w:rFonts w:ascii="Cambria Math" w:eastAsia="Calibri" w:hAnsi="Cambria Math"/>
                <w:i/>
                <w:noProof/>
                <w:snapToGrid w:val="0"/>
                <w:color w:val="000000"/>
              </w:rPr>
            </m:ctrlPr>
          </m:accPr>
          <m:e>
            <m:r>
              <w:rPr>
                <w:rFonts w:ascii="Cambria Math" w:eastAsia="Calibri" w:hAnsi="Cambria Math"/>
              </w:rPr>
              <m:t>KM</m:t>
            </m:r>
          </m:e>
        </m:acc>
      </m:oMath>
    </w:p>
    <w:p w:rsidR="003F1CB4" w:rsidRPr="00C903F8" w:rsidRDefault="003F1CB4" w:rsidP="003F1CB4">
      <w:pPr>
        <w:pStyle w:val="ESchpar"/>
        <w:rPr>
          <w:noProof/>
        </w:rPr>
      </w:pPr>
    </w:p>
    <w:p w:rsidR="00BF049A" w:rsidRPr="00C903F8" w:rsidRDefault="00BF049A" w:rsidP="003F1CB4">
      <w:pPr>
        <w:pStyle w:val="ESchpar"/>
        <w:rPr>
          <w:rFonts w:cs="Arial"/>
          <w:szCs w:val="18"/>
        </w:rPr>
      </w:pPr>
      <w:r>
        <w:t xml:space="preserve">Quando non è disponibile un piano delle curve idrostatiche, il valore </w:t>
      </w:r>
      <m:oMath>
        <m:acc>
          <m:accPr>
            <m:chr m:val="̅"/>
            <m:ctrlPr>
              <w:rPr>
                <w:rFonts w:ascii="Cambria Math" w:eastAsia="Calibri" w:hAnsi="Cambria Math"/>
                <w:i/>
                <w:noProof/>
                <w:snapToGrid w:val="0"/>
                <w:color w:val="000000"/>
              </w:rPr>
            </m:ctrlPr>
          </m:accPr>
          <m:e>
            <m:r>
              <w:rPr>
                <w:rFonts w:ascii="Cambria Math" w:eastAsia="Calibri" w:hAnsi="Cambria Math"/>
              </w:rPr>
              <m:t>KM</m:t>
            </m:r>
          </m:e>
        </m:acc>
      </m:oMath>
      <w:r>
        <w:t xml:space="preserve"> per il calcolo di cui al paragrafo 2 e all'articolo 27.03, paragrafo 2, può essere determinato mediante le seguenti formule d'approssimazione:</w:t>
      </w:r>
    </w:p>
    <w:p w:rsidR="00BF049A" w:rsidRPr="00C903F8" w:rsidRDefault="005C7859" w:rsidP="003F1CB4">
      <w:pPr>
        <w:pStyle w:val="ESlet"/>
        <w:rPr>
          <w:noProof/>
        </w:rPr>
      </w:pPr>
      <w:r>
        <w:t>a)</w:t>
      </w:r>
      <w:r>
        <w:tab/>
        <w:t>navi a forma di pontone</w:t>
      </w:r>
    </w:p>
    <w:p w:rsidR="00EE69C0" w:rsidRPr="00C903F8" w:rsidRDefault="00624017" w:rsidP="006B5BE0">
      <w:pPr>
        <w:pStyle w:val="ESlet"/>
        <w:ind w:left="0" w:firstLine="0"/>
        <w:rPr>
          <w:rFonts w:cs="Arial"/>
          <w:szCs w:val="18"/>
        </w:rPr>
      </w:pPr>
      <m:oMathPara>
        <m:oMath>
          <m:acc>
            <m:accPr>
              <m:chr m:val="̅"/>
              <m:ctrlPr>
                <w:rPr>
                  <w:rFonts w:ascii="Cambria Math" w:hAnsi="Cambria Math" w:cs="Arial"/>
                  <w:i/>
                  <w:szCs w:val="18"/>
                </w:rPr>
              </m:ctrlPr>
            </m:accPr>
            <m:e>
              <m:r>
                <w:rPr>
                  <w:rFonts w:ascii="Cambria Math" w:hAnsi="Cambria Math" w:cs="Arial"/>
                  <w:szCs w:val="18"/>
                </w:rPr>
                <m:t>KM</m:t>
              </m:r>
            </m:e>
          </m:acc>
          <m:r>
            <w:rPr>
              <w:rFonts w:ascii="Cambria Math" w:hAnsi="Cambria Math" w:cs="Arial"/>
              <w:szCs w:val="18"/>
            </w:rPr>
            <m:t xml:space="preserve">= </m:t>
          </m:r>
          <m:f>
            <m:fPr>
              <m:ctrlPr>
                <w:rPr>
                  <w:rFonts w:ascii="Cambria Math" w:hAnsi="Cambria Math" w:cs="Arial"/>
                  <w:i/>
                  <w:szCs w:val="18"/>
                </w:rPr>
              </m:ctrlPr>
            </m:fPr>
            <m:num>
              <m:sSub>
                <m:sSubPr>
                  <m:ctrlPr>
                    <w:rPr>
                      <w:rFonts w:ascii="Cambria Math" w:hAnsi="Cambria Math" w:cs="Arial"/>
                      <w:i/>
                      <w:szCs w:val="18"/>
                    </w:rPr>
                  </m:ctrlPr>
                </m:sSubPr>
                <m:e>
                  <m:sSup>
                    <m:sSupPr>
                      <m:ctrlPr>
                        <w:rPr>
                          <w:rFonts w:ascii="Cambria Math" w:hAnsi="Cambria Math" w:cs="Arial"/>
                          <w:i/>
                          <w:szCs w:val="18"/>
                        </w:rPr>
                      </m:ctrlPr>
                    </m:sSupPr>
                    <m:e>
                      <m:r>
                        <w:rPr>
                          <w:rFonts w:ascii="Cambria Math" w:hAnsi="Cambria Math" w:cs="Arial"/>
                          <w:szCs w:val="18"/>
                        </w:rPr>
                        <m:t>B</m:t>
                      </m:r>
                    </m:e>
                    <m:sup>
                      <m:r>
                        <w:rPr>
                          <w:rFonts w:ascii="Cambria Math" w:hAnsi="Cambria Math" w:cs="Arial"/>
                          <w:szCs w:val="18"/>
                        </w:rPr>
                        <m:t>2</m:t>
                      </m:r>
                    </m:sup>
                  </m:sSup>
                </m:e>
                <m:sub>
                  <m:r>
                    <w:rPr>
                      <w:rFonts w:ascii="Cambria Math" w:hAnsi="Cambria Math" w:cs="Arial"/>
                      <w:szCs w:val="18"/>
                    </w:rPr>
                    <m:t>WL</m:t>
                  </m:r>
                </m:sub>
              </m:sSub>
            </m:num>
            <m:den>
              <m:d>
                <m:dPr>
                  <m:ctrlPr>
                    <w:rPr>
                      <w:rFonts w:ascii="Cambria Math" w:hAnsi="Cambria Math" w:cs="Arial"/>
                      <w:i/>
                      <w:szCs w:val="18"/>
                    </w:rPr>
                  </m:ctrlPr>
                </m:dPr>
                <m:e>
                  <m:r>
                    <w:rPr>
                      <w:rFonts w:ascii="Cambria Math" w:hAnsi="Cambria Math" w:cs="Arial"/>
                      <w:szCs w:val="18"/>
                    </w:rPr>
                    <m:t xml:space="preserve">12,5-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num>
                    <m:den>
                      <m:r>
                        <w:rPr>
                          <w:rFonts w:ascii="Cambria Math" w:hAnsi="Cambria Math" w:cs="Arial"/>
                          <w:szCs w:val="18"/>
                        </w:rPr>
                        <m:t>H</m:t>
                      </m:r>
                    </m:den>
                  </m:f>
                </m:e>
              </m:d>
              <m:r>
                <w:rPr>
                  <w:rFonts w:ascii="Cambria Math" w:hAnsi="Cambria Math" w:cs="Arial"/>
                  <w:szCs w:val="18"/>
                </w:rPr>
                <m:t xml:space="preserve"> ∙ </m:t>
              </m:r>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den>
          </m:f>
          <m:r>
            <w:rPr>
              <w:rFonts w:ascii="Cambria Math" w:hAnsi="Cambria Math" w:cs="Arial"/>
              <w:szCs w:val="18"/>
            </w:rPr>
            <m:t xml:space="preserve">+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num>
            <m:den>
              <m:r>
                <w:rPr>
                  <w:rFonts w:ascii="Cambria Math" w:hAnsi="Cambria Math" w:cs="Arial"/>
                  <w:szCs w:val="18"/>
                </w:rPr>
                <m:t>2</m:t>
              </m:r>
            </m:den>
          </m:f>
          <m:r>
            <w:rPr>
              <w:rFonts w:ascii="Cambria Math" w:hAnsi="Cambria Math" w:cs="Arial"/>
              <w:szCs w:val="18"/>
            </w:rPr>
            <m:t xml:space="preserve"> </m:t>
          </m:r>
          <m:d>
            <m:dPr>
              <m:begChr m:val="["/>
              <m:endChr m:val="]"/>
              <m:ctrlPr>
                <w:rPr>
                  <w:rFonts w:ascii="Cambria Math" w:hAnsi="Cambria Math" w:cs="Arial"/>
                  <w:i/>
                  <w:szCs w:val="18"/>
                </w:rPr>
              </m:ctrlPr>
            </m:dPr>
            <m:e>
              <m:r>
                <w:rPr>
                  <w:rFonts w:ascii="Cambria Math" w:hAnsi="Cambria Math" w:cs="Arial"/>
                  <w:szCs w:val="18"/>
                </w:rPr>
                <m:t>m</m:t>
              </m:r>
            </m:e>
          </m:d>
        </m:oMath>
      </m:oMathPara>
    </w:p>
    <w:p w:rsidR="00EE69C0" w:rsidRPr="00C903F8" w:rsidRDefault="00EE69C0" w:rsidP="00EE69C0">
      <w:pPr>
        <w:pStyle w:val="ESlet"/>
        <w:ind w:left="0" w:firstLine="0"/>
        <w:rPr>
          <w:rFonts w:cs="Arial"/>
          <w:szCs w:val="18"/>
        </w:rPr>
      </w:pPr>
    </w:p>
    <w:p w:rsidR="00BF049A" w:rsidRPr="00C903F8" w:rsidRDefault="005C7859" w:rsidP="003F1CB4">
      <w:pPr>
        <w:pStyle w:val="ESlet"/>
        <w:rPr>
          <w:noProof/>
        </w:rPr>
      </w:pPr>
      <w:r>
        <w:t>b)</w:t>
      </w:r>
      <w:r>
        <w:tab/>
        <w:t>altre navi</w:t>
      </w:r>
    </w:p>
    <w:p w:rsidR="006B5BE0" w:rsidRPr="00C903F8" w:rsidRDefault="00624017" w:rsidP="006B5BE0">
      <w:pPr>
        <w:pStyle w:val="ESlet"/>
        <w:ind w:left="0" w:firstLine="0"/>
        <w:rPr>
          <w:rFonts w:cs="Arial"/>
          <w:szCs w:val="18"/>
        </w:rPr>
      </w:pPr>
      <m:oMathPara>
        <m:oMath>
          <m:acc>
            <m:accPr>
              <m:chr m:val="̅"/>
              <m:ctrlPr>
                <w:rPr>
                  <w:rFonts w:ascii="Cambria Math" w:hAnsi="Cambria Math" w:cs="Arial"/>
                  <w:i/>
                  <w:szCs w:val="18"/>
                </w:rPr>
              </m:ctrlPr>
            </m:accPr>
            <m:e>
              <m:r>
                <w:rPr>
                  <w:rFonts w:ascii="Cambria Math" w:hAnsi="Cambria Math" w:cs="Arial"/>
                  <w:szCs w:val="18"/>
                </w:rPr>
                <m:t>KM</m:t>
              </m:r>
            </m:e>
          </m:acc>
          <m:r>
            <w:rPr>
              <w:rFonts w:ascii="Cambria Math" w:hAnsi="Cambria Math" w:cs="Arial"/>
              <w:szCs w:val="18"/>
            </w:rPr>
            <m:t xml:space="preserve">= </m:t>
          </m:r>
          <m:f>
            <m:fPr>
              <m:ctrlPr>
                <w:rPr>
                  <w:rFonts w:ascii="Cambria Math" w:hAnsi="Cambria Math" w:cs="Arial"/>
                  <w:i/>
                  <w:szCs w:val="18"/>
                </w:rPr>
              </m:ctrlPr>
            </m:fPr>
            <m:num>
              <m:sSub>
                <m:sSubPr>
                  <m:ctrlPr>
                    <w:rPr>
                      <w:rFonts w:ascii="Cambria Math" w:hAnsi="Cambria Math" w:cs="Arial"/>
                      <w:i/>
                      <w:szCs w:val="18"/>
                    </w:rPr>
                  </m:ctrlPr>
                </m:sSubPr>
                <m:e>
                  <m:sSup>
                    <m:sSupPr>
                      <m:ctrlPr>
                        <w:rPr>
                          <w:rFonts w:ascii="Cambria Math" w:hAnsi="Cambria Math" w:cs="Arial"/>
                          <w:i/>
                          <w:szCs w:val="18"/>
                        </w:rPr>
                      </m:ctrlPr>
                    </m:sSupPr>
                    <m:e>
                      <m:r>
                        <w:rPr>
                          <w:rFonts w:ascii="Cambria Math" w:hAnsi="Cambria Math" w:cs="Arial"/>
                          <w:szCs w:val="18"/>
                        </w:rPr>
                        <m:t>B</m:t>
                      </m:r>
                    </m:e>
                    <m:sup>
                      <m:r>
                        <w:rPr>
                          <w:rFonts w:ascii="Cambria Math" w:hAnsi="Cambria Math" w:cs="Arial"/>
                          <w:szCs w:val="18"/>
                        </w:rPr>
                        <m:t>2</m:t>
                      </m:r>
                    </m:sup>
                  </m:sSup>
                </m:e>
                <m:sub>
                  <m:r>
                    <w:rPr>
                      <w:rFonts w:ascii="Cambria Math" w:hAnsi="Cambria Math" w:cs="Arial"/>
                      <w:szCs w:val="18"/>
                    </w:rPr>
                    <m:t>WL</m:t>
                  </m:r>
                </m:sub>
              </m:sSub>
            </m:num>
            <m:den>
              <m:d>
                <m:dPr>
                  <m:ctrlPr>
                    <w:rPr>
                      <w:rFonts w:ascii="Cambria Math" w:hAnsi="Cambria Math" w:cs="Arial"/>
                      <w:i/>
                      <w:szCs w:val="18"/>
                    </w:rPr>
                  </m:ctrlPr>
                </m:dPr>
                <m:e>
                  <m:r>
                    <w:rPr>
                      <w:rFonts w:ascii="Cambria Math" w:hAnsi="Cambria Math" w:cs="Arial"/>
                      <w:szCs w:val="18"/>
                    </w:rPr>
                    <m:t xml:space="preserve">12,7-1,2 ∙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num>
                    <m:den>
                      <m:r>
                        <w:rPr>
                          <w:rFonts w:ascii="Cambria Math" w:hAnsi="Cambria Math" w:cs="Arial"/>
                          <w:szCs w:val="18"/>
                        </w:rPr>
                        <m:t>H</m:t>
                      </m:r>
                    </m:den>
                  </m:f>
                </m:e>
              </m:d>
              <m:r>
                <w:rPr>
                  <w:rFonts w:ascii="Cambria Math" w:hAnsi="Cambria Math" w:cs="Arial"/>
                  <w:szCs w:val="18"/>
                </w:rPr>
                <m:t xml:space="preserve"> ∙ </m:t>
              </m:r>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den>
          </m:f>
          <m:r>
            <w:rPr>
              <w:rFonts w:ascii="Cambria Math" w:hAnsi="Cambria Math" w:cs="Arial"/>
              <w:szCs w:val="18"/>
            </w:rPr>
            <m:t xml:space="preserve">+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num>
            <m:den>
              <m:r>
                <w:rPr>
                  <w:rFonts w:ascii="Cambria Math" w:hAnsi="Cambria Math" w:cs="Arial"/>
                  <w:szCs w:val="18"/>
                </w:rPr>
                <m:t>2</m:t>
              </m:r>
            </m:den>
          </m:f>
          <m:r>
            <w:rPr>
              <w:rFonts w:ascii="Cambria Math" w:hAnsi="Cambria Math" w:cs="Arial"/>
              <w:szCs w:val="18"/>
            </w:rPr>
            <m:t xml:space="preserve"> </m:t>
          </m:r>
          <m:d>
            <m:dPr>
              <m:begChr m:val="["/>
              <m:endChr m:val="]"/>
              <m:ctrlPr>
                <w:rPr>
                  <w:rFonts w:ascii="Cambria Math" w:hAnsi="Cambria Math" w:cs="Arial"/>
                  <w:i/>
                  <w:szCs w:val="18"/>
                </w:rPr>
              </m:ctrlPr>
            </m:dPr>
            <m:e>
              <m:r>
                <w:rPr>
                  <w:rFonts w:ascii="Cambria Math" w:hAnsi="Cambria Math" w:cs="Arial"/>
                  <w:szCs w:val="18"/>
                </w:rPr>
                <m:t>m</m:t>
              </m:r>
            </m:e>
          </m:d>
        </m:oMath>
      </m:oMathPara>
    </w:p>
    <w:p w:rsidR="006B5BE0" w:rsidRPr="00C903F8" w:rsidRDefault="006B5BE0" w:rsidP="006B5BE0">
      <w:pPr>
        <w:pStyle w:val="ESlet"/>
        <w:ind w:left="0" w:firstLine="0"/>
        <w:rPr>
          <w:rFonts w:cs="Arial"/>
          <w:szCs w:val="18"/>
        </w:rPr>
      </w:pPr>
    </w:p>
    <w:p w:rsidR="00487BDA" w:rsidRPr="00C903F8" w:rsidRDefault="00487BDA" w:rsidP="00BF049A">
      <w:pPr>
        <w:pStyle w:val="ESch"/>
        <w:rPr>
          <w:rFonts w:eastAsia="Calibri" w:cs="Arial"/>
          <w:szCs w:val="18"/>
        </w:rPr>
      </w:pPr>
      <w:r>
        <w:br w:type="page"/>
      </w:r>
    </w:p>
    <w:p w:rsidR="00BF049A" w:rsidRPr="00C903F8" w:rsidRDefault="00BF049A" w:rsidP="003F1CB4">
      <w:pPr>
        <w:pStyle w:val="ES-Titre3"/>
        <w:rPr>
          <w:rFonts w:cs="Arial"/>
          <w:i/>
          <w:szCs w:val="18"/>
        </w:rPr>
      </w:pPr>
      <w:bookmarkStart w:id="488" w:name="_Toc491854241"/>
      <w:bookmarkStart w:id="489" w:name="_Toc535500190"/>
      <w:r>
        <w:lastRenderedPageBreak/>
        <w:t>Articolo 27.03</w:t>
      </w:r>
      <w:r>
        <w:br/>
      </w:r>
      <w:r>
        <w:rPr>
          <w:i/>
          <w:noProof/>
        </w:rPr>
        <w:t>Condizioni limite e metodo di calcolo per la dimostrazione della stabilità</w:t>
      </w:r>
      <w:r>
        <w:rPr>
          <w:i/>
          <w:noProof/>
        </w:rPr>
        <w:br/>
        <w:t>per il trasporto di container fissi</w:t>
      </w:r>
      <w:bookmarkEnd w:id="488"/>
      <w:bookmarkEnd w:id="489"/>
    </w:p>
    <w:p w:rsidR="003F1CB4" w:rsidRPr="00C903F8" w:rsidRDefault="003F1CB4" w:rsidP="00BF049A">
      <w:pPr>
        <w:pStyle w:val="ESch"/>
        <w:rPr>
          <w:noProof/>
        </w:rPr>
      </w:pPr>
    </w:p>
    <w:p w:rsidR="00BF049A" w:rsidRPr="00C903F8" w:rsidRDefault="00BF049A" w:rsidP="00BF049A">
      <w:pPr>
        <w:pStyle w:val="ESch"/>
        <w:rPr>
          <w:rFonts w:cs="Arial"/>
          <w:szCs w:val="18"/>
        </w:rPr>
      </w:pPr>
      <w:r>
        <w:t>1.</w:t>
      </w:r>
      <w:r>
        <w:tab/>
        <w:t>Nel caso di container fissi, qualunque modalità di calcolo adottata per determinare la stabilità della nave rispetta le seguenti condizioni limite:</w:t>
      </w:r>
    </w:p>
    <w:p w:rsidR="00BF049A" w:rsidRPr="00C903F8" w:rsidRDefault="005C7859" w:rsidP="00F6695F">
      <w:pPr>
        <w:pStyle w:val="ESlet"/>
        <w:rPr>
          <w:rFonts w:cs="Arial"/>
          <w:szCs w:val="18"/>
        </w:rPr>
      </w:pPr>
      <w:r>
        <w:t>a)</w:t>
      </w:r>
      <w:r>
        <w:tab/>
        <w:t xml:space="preserve">l'altezza metacentrica </w:t>
      </w:r>
      <m:oMath>
        <m:acc>
          <m:accPr>
            <m:chr m:val="̅"/>
            <m:ctrlPr>
              <w:rPr>
                <w:rFonts w:ascii="Cambria Math" w:hAnsi="Cambria Math"/>
                <w:i/>
                <w:noProof/>
              </w:rPr>
            </m:ctrlPr>
          </m:accPr>
          <m:e>
            <m:r>
              <w:rPr>
                <w:rFonts w:ascii="Cambria Math" w:hAnsi="Cambria Math"/>
                <w:noProof/>
              </w:rPr>
              <m:t>MG</m:t>
            </m:r>
          </m:e>
        </m:acc>
      </m:oMath>
      <w:r>
        <w:t xml:space="preserve"> non è inferiore a 0,50 m;</w:t>
      </w:r>
    </w:p>
    <w:p w:rsidR="00BF049A" w:rsidRPr="00C903F8" w:rsidRDefault="005C7859" w:rsidP="00F6695F">
      <w:pPr>
        <w:pStyle w:val="ESlet"/>
        <w:rPr>
          <w:rFonts w:cs="Arial"/>
          <w:szCs w:val="18"/>
        </w:rPr>
      </w:pPr>
      <w:r>
        <w:t>b)</w:t>
      </w:r>
      <w:r>
        <w:tab/>
        <w:t>sotto l'azione congiunta della forza centrifuga risultante dall'accostata della nave, dalla pressione del vento e dalle superfici libere dei liquidi, nessuna apertura dello scafo risulta immersa;</w:t>
      </w:r>
    </w:p>
    <w:p w:rsidR="00BF049A" w:rsidRPr="00C903F8" w:rsidRDefault="005C7859" w:rsidP="00F6695F">
      <w:pPr>
        <w:pStyle w:val="ESlet"/>
        <w:rPr>
          <w:rFonts w:cs="Arial"/>
          <w:szCs w:val="18"/>
        </w:rPr>
      </w:pPr>
      <w:r>
        <w:t>c)</w:t>
      </w:r>
      <w:r>
        <w:tab/>
        <w:t>i bracci inclinanti risultanti dalla forza centrifuga prodotta dall'accostata della nave, dalla pressione del vento e dalle superfici libere dei liquidi sono determinati dalle formule di cui all'articolo 27.02, paragrafo 1, lettere da c) a e);</w:t>
      </w:r>
    </w:p>
    <w:p w:rsidR="00BF049A" w:rsidRPr="00C903F8" w:rsidRDefault="0029453D" w:rsidP="00F6695F">
      <w:pPr>
        <w:pStyle w:val="ESlet"/>
        <w:rPr>
          <w:rFonts w:cs="Arial"/>
          <w:szCs w:val="18"/>
        </w:rPr>
      </w:pPr>
      <w:r>
        <w:t>d)</w:t>
      </w:r>
      <w:r>
        <w:tab/>
        <w:t>per tutte le condizioni di carico occorre considerare la metà del rifornimento di combustibile e di acqua dolce.</w:t>
      </w:r>
    </w:p>
    <w:p w:rsidR="003F1CB4" w:rsidRPr="00C903F8" w:rsidRDefault="003F1CB4" w:rsidP="00BF049A">
      <w:pPr>
        <w:pStyle w:val="ESch"/>
        <w:rPr>
          <w:noProof/>
        </w:rPr>
      </w:pPr>
    </w:p>
    <w:p w:rsidR="00BF049A" w:rsidRPr="00C903F8" w:rsidRDefault="00BF049A" w:rsidP="00BF049A">
      <w:pPr>
        <w:pStyle w:val="ESch"/>
        <w:rPr>
          <w:noProof/>
        </w:rPr>
      </w:pPr>
      <w:r>
        <w:t>2.</w:t>
      </w:r>
      <w:r>
        <w:tab/>
        <w:t xml:space="preserve">La stabilità di una nave carica di container fissi si considera sufficiente quando la </w:t>
      </w:r>
      <m:oMath>
        <m:acc>
          <m:accPr>
            <m:chr m:val="̅"/>
            <m:ctrlPr>
              <w:rPr>
                <w:rFonts w:ascii="Cambria Math" w:eastAsia="Calibri" w:hAnsi="Cambria Math"/>
                <w:i/>
              </w:rPr>
            </m:ctrlPr>
          </m:accPr>
          <m:e>
            <m:r>
              <w:rPr>
                <w:rFonts w:ascii="Cambria Math" w:eastAsia="Calibri" w:hAnsi="Cambria Math"/>
              </w:rPr>
              <m:t>KG</m:t>
            </m:r>
          </m:e>
        </m:acc>
      </m:oMath>
      <w:r>
        <w:t xml:space="preserve"> effettiva è minore o uguale alla </w:t>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oMath>
      <w:r>
        <w:t xml:space="preserve"> risultante dalla formula. La zul è calcolata per dislocamenti diversi che prendono in considerazione tutte le immersioni possibili:</w:t>
      </w:r>
    </w:p>
    <w:p w:rsidR="000526B5" w:rsidRPr="00C903F8" w:rsidRDefault="000526B5" w:rsidP="00BF049A">
      <w:pPr>
        <w:pStyle w:val="ESch"/>
        <w:rPr>
          <w:rFonts w:cs="Arial"/>
          <w:szCs w:val="18"/>
        </w:rPr>
      </w:pPr>
    </w:p>
    <w:p w:rsidR="000525EE" w:rsidRPr="00762086" w:rsidRDefault="005C7859" w:rsidP="000526B5">
      <w:pPr>
        <w:pStyle w:val="ESlet"/>
        <w:rPr>
          <w:rFonts w:eastAsia="Calibri"/>
          <w:lang w:val="pt-PT"/>
        </w:rPr>
      </w:pPr>
      <w:r w:rsidRPr="00762086">
        <w:rPr>
          <w:lang w:val="pt-PT"/>
        </w:rPr>
        <w:t>a)</w:t>
      </w:r>
      <w:r w:rsidRPr="00762086">
        <w:rPr>
          <w:lang w:val="pt-PT"/>
        </w:rPr>
        <w:tab/>
      </w:r>
      <m:oMath>
        <m:sSub>
          <m:sSubPr>
            <m:ctrlPr>
              <w:rPr>
                <w:rFonts w:ascii="Cambria Math" w:eastAsia="Calibri" w:hAnsi="Cambria Math"/>
                <w:i/>
                <w:sz w:val="22"/>
              </w:rPr>
            </m:ctrlPr>
          </m:sSubPr>
          <m:e>
            <m:acc>
              <m:accPr>
                <m:chr m:val="̅"/>
                <m:ctrlPr>
                  <w:rPr>
                    <w:rFonts w:ascii="Cambria Math" w:eastAsia="Calibri" w:hAnsi="Cambria Math"/>
                    <w:i/>
                    <w:sz w:val="22"/>
                  </w:rPr>
                </m:ctrlPr>
              </m:accPr>
              <m:e>
                <m:r>
                  <w:rPr>
                    <w:rFonts w:ascii="Cambria Math" w:eastAsia="Calibri" w:hAnsi="Cambria Math"/>
                    <w:sz w:val="24"/>
                  </w:rPr>
                  <m:t>KG</m:t>
                </m:r>
              </m:e>
            </m:acc>
          </m:e>
          <m:sub>
            <m:r>
              <w:rPr>
                <w:rFonts w:ascii="Cambria Math" w:eastAsia="Calibri" w:hAnsi="Cambria Math"/>
                <w:sz w:val="22"/>
              </w:rPr>
              <m:t>zul</m:t>
            </m:r>
          </m:sub>
        </m:sSub>
        <m:r>
          <w:rPr>
            <w:rFonts w:ascii="Cambria Math" w:eastAsia="Calibri" w:hAnsi="Cambria Math"/>
            <w:sz w:val="22"/>
            <w:lang w:val="pt-PT"/>
          </w:rPr>
          <m:t xml:space="preserve">= </m:t>
        </m:r>
        <m:f>
          <m:fPr>
            <m:ctrlPr>
              <w:rPr>
                <w:rFonts w:ascii="Cambria Math" w:eastAsia="Calibri" w:hAnsi="Cambria Math"/>
                <w:i/>
                <w:sz w:val="22"/>
              </w:rPr>
            </m:ctrlPr>
          </m:fPr>
          <m:num>
            <m:acc>
              <m:accPr>
                <m:chr m:val="̅"/>
                <m:ctrlPr>
                  <w:rPr>
                    <w:rFonts w:ascii="Cambria Math" w:eastAsia="Calibri" w:hAnsi="Cambria Math"/>
                    <w:i/>
                    <w:sz w:val="22"/>
                  </w:rPr>
                </m:ctrlPr>
              </m:accPr>
              <m:e>
                <m:r>
                  <w:rPr>
                    <w:rFonts w:ascii="Cambria Math" w:eastAsia="Calibri" w:hAnsi="Cambria Math"/>
                    <w:sz w:val="22"/>
                  </w:rPr>
                  <m:t>KM</m:t>
                </m:r>
              </m:e>
            </m:acc>
            <m:r>
              <w:rPr>
                <w:rFonts w:ascii="Cambria Math" w:eastAsia="Calibri" w:hAnsi="Cambria Math"/>
                <w:sz w:val="22"/>
                <w:lang w:val="pt-PT"/>
              </w:rPr>
              <m:t xml:space="preserve">- </m:t>
            </m:r>
            <m:f>
              <m:fPr>
                <m:ctrlPr>
                  <w:rPr>
                    <w:rFonts w:ascii="Cambria Math" w:eastAsia="Calibri" w:hAnsi="Cambria Math"/>
                    <w:i/>
                    <w:sz w:val="22"/>
                  </w:rPr>
                </m:ctrlPr>
              </m:fPr>
              <m:num>
                <m:r>
                  <w:rPr>
                    <w:rFonts w:ascii="Cambria Math" w:eastAsia="Calibri" w:hAnsi="Cambria Math"/>
                    <w:sz w:val="22"/>
                  </w:rPr>
                  <m:t>I</m:t>
                </m:r>
                <m:r>
                  <w:rPr>
                    <w:rFonts w:ascii="Cambria Math" w:eastAsia="Calibri" w:hAnsi="Cambria Math"/>
                    <w:sz w:val="22"/>
                    <w:lang w:val="pt-PT"/>
                  </w:rPr>
                  <m:t>-</m:t>
                </m:r>
                <m:r>
                  <w:rPr>
                    <w:rFonts w:ascii="Cambria Math" w:eastAsia="Calibri" w:hAnsi="Cambria Math"/>
                    <w:sz w:val="22"/>
                  </w:rPr>
                  <m:t>i</m:t>
                </m:r>
              </m:num>
              <m:den>
                <m:r>
                  <w:rPr>
                    <w:rFonts w:ascii="Cambria Math" w:eastAsia="Calibri" w:hAnsi="Cambria Math"/>
                    <w:sz w:val="22"/>
                    <w:lang w:val="pt-PT"/>
                  </w:rPr>
                  <m:t>2 ∀</m:t>
                </m:r>
              </m:den>
            </m:f>
            <m:r>
              <w:rPr>
                <w:rFonts w:ascii="Cambria Math" w:eastAsia="Calibri" w:hAnsi="Cambria Math"/>
                <w:sz w:val="22"/>
                <w:lang w:val="pt-PT"/>
              </w:rPr>
              <m:t xml:space="preserve"> </m:t>
            </m:r>
            <m:d>
              <m:dPr>
                <m:ctrlPr>
                  <w:rPr>
                    <w:rFonts w:ascii="Cambria Math" w:eastAsia="Calibri" w:hAnsi="Cambria Math"/>
                    <w:i/>
                    <w:sz w:val="22"/>
                  </w:rPr>
                </m:ctrlPr>
              </m:dPr>
              <m:e>
                <m:r>
                  <w:rPr>
                    <w:rFonts w:ascii="Cambria Math" w:eastAsia="Calibri" w:hAnsi="Cambria Math"/>
                    <w:sz w:val="22"/>
                    <w:lang w:val="pt-PT"/>
                  </w:rPr>
                  <m:t xml:space="preserve">1-1,5 </m:t>
                </m:r>
                <m:f>
                  <m:fPr>
                    <m:ctrlPr>
                      <w:rPr>
                        <w:rFonts w:ascii="Cambria Math" w:eastAsia="Calibri" w:hAnsi="Cambria Math"/>
                        <w:i/>
                        <w:sz w:val="22"/>
                      </w:rPr>
                    </m:ctrlPr>
                  </m:fPr>
                  <m:num>
                    <m:r>
                      <w:rPr>
                        <w:rFonts w:ascii="Cambria Math" w:eastAsia="Calibri" w:hAnsi="Cambria Math"/>
                        <w:sz w:val="22"/>
                      </w:rPr>
                      <m:t>F</m:t>
                    </m:r>
                  </m:num>
                  <m:den>
                    <m:sSup>
                      <m:sSupPr>
                        <m:ctrlPr>
                          <w:rPr>
                            <w:rFonts w:ascii="Cambria Math" w:eastAsia="Calibri" w:hAnsi="Cambria Math"/>
                            <w:i/>
                            <w:sz w:val="22"/>
                          </w:rPr>
                        </m:ctrlPr>
                      </m:sSupPr>
                      <m:e>
                        <m:r>
                          <w:rPr>
                            <w:rFonts w:ascii="Cambria Math" w:eastAsia="Calibri" w:hAnsi="Cambria Math"/>
                            <w:sz w:val="22"/>
                          </w:rPr>
                          <m:t>F</m:t>
                        </m:r>
                      </m:e>
                      <m:sup>
                        <m:r>
                          <w:rPr>
                            <w:rFonts w:ascii="Cambria Math" w:eastAsia="Calibri" w:hAnsi="Cambria Math"/>
                            <w:sz w:val="22"/>
                            <w:lang w:val="pt-PT"/>
                          </w:rPr>
                          <m:t>'</m:t>
                        </m:r>
                      </m:sup>
                    </m:sSup>
                  </m:den>
                </m:f>
              </m:e>
            </m:d>
            <m:r>
              <w:rPr>
                <w:rFonts w:ascii="Cambria Math" w:eastAsia="Calibri" w:hAnsi="Cambria Math"/>
                <w:sz w:val="22"/>
                <w:lang w:val="pt-PT"/>
              </w:rPr>
              <m:t xml:space="preserve">+0,75 </m:t>
            </m:r>
            <m:f>
              <m:fPr>
                <m:ctrlPr>
                  <w:rPr>
                    <w:rFonts w:ascii="Cambria Math" w:eastAsia="Calibri" w:hAnsi="Cambria Math"/>
                    <w:i/>
                    <w:sz w:val="22"/>
                  </w:rPr>
                </m:ctrlPr>
              </m:fPr>
              <m:num>
                <m:sSub>
                  <m:sSubPr>
                    <m:ctrlPr>
                      <w:rPr>
                        <w:rFonts w:ascii="Cambria Math" w:eastAsia="Calibri" w:hAnsi="Cambria Math"/>
                        <w:i/>
                        <w:sz w:val="22"/>
                      </w:rPr>
                    </m:ctrlPr>
                  </m:sSubPr>
                  <m:e>
                    <m:r>
                      <w:rPr>
                        <w:rFonts w:ascii="Cambria Math" w:eastAsia="Calibri" w:hAnsi="Cambria Math"/>
                        <w:sz w:val="22"/>
                      </w:rPr>
                      <m:t>B</m:t>
                    </m:r>
                  </m:e>
                  <m:sub>
                    <m:r>
                      <w:rPr>
                        <w:rFonts w:ascii="Cambria Math" w:eastAsia="Calibri" w:hAnsi="Cambria Math"/>
                        <w:sz w:val="22"/>
                      </w:rPr>
                      <m:t>WL</m:t>
                    </m:r>
                  </m:sub>
                </m:sSub>
              </m:num>
              <m:den>
                <m:sSup>
                  <m:sSupPr>
                    <m:ctrlPr>
                      <w:rPr>
                        <w:rFonts w:ascii="Cambria Math" w:eastAsia="Calibri" w:hAnsi="Cambria Math"/>
                        <w:i/>
                        <w:sz w:val="22"/>
                      </w:rPr>
                    </m:ctrlPr>
                  </m:sSupPr>
                  <m:e>
                    <m:r>
                      <w:rPr>
                        <w:rFonts w:ascii="Cambria Math" w:eastAsia="Calibri" w:hAnsi="Cambria Math"/>
                        <w:sz w:val="22"/>
                      </w:rPr>
                      <m:t>F</m:t>
                    </m:r>
                  </m:e>
                  <m:sup>
                    <m:r>
                      <w:rPr>
                        <w:rFonts w:ascii="Cambria Math" w:eastAsia="Calibri" w:hAnsi="Cambria Math"/>
                        <w:sz w:val="22"/>
                        <w:lang w:val="pt-PT"/>
                      </w:rPr>
                      <m:t>'</m:t>
                    </m:r>
                  </m:sup>
                </m:sSup>
              </m:den>
            </m:f>
            <m:r>
              <w:rPr>
                <w:rFonts w:ascii="Cambria Math" w:eastAsia="Calibri" w:hAnsi="Cambria Math"/>
                <w:sz w:val="22"/>
                <w:lang w:val="pt-PT"/>
              </w:rPr>
              <m:t xml:space="preserve"> </m:t>
            </m:r>
            <m:d>
              <m:dPr>
                <m:ctrlPr>
                  <w:rPr>
                    <w:rFonts w:ascii="Cambria Math" w:eastAsia="Calibri" w:hAnsi="Cambria Math"/>
                    <w:i/>
                    <w:sz w:val="22"/>
                  </w:rPr>
                </m:ctrlPr>
              </m:dPr>
              <m:e>
                <m:r>
                  <w:rPr>
                    <w:rFonts w:ascii="Cambria Math" w:eastAsia="Calibri" w:hAnsi="Cambria Math"/>
                    <w:sz w:val="22"/>
                  </w:rPr>
                  <m:t>Z</m:t>
                </m:r>
                <m:r>
                  <w:rPr>
                    <w:rFonts w:ascii="Cambria Math" w:eastAsia="Calibri" w:hAnsi="Cambria Math"/>
                    <w:sz w:val="22"/>
                    <w:lang w:val="pt-PT"/>
                  </w:rPr>
                  <m:t xml:space="preserve"> ∙ </m:t>
                </m:r>
                <m:f>
                  <m:fPr>
                    <m:ctrlPr>
                      <w:rPr>
                        <w:rFonts w:ascii="Cambria Math" w:eastAsia="Calibri" w:hAnsi="Cambria Math"/>
                        <w:i/>
                        <w:sz w:val="22"/>
                      </w:rPr>
                    </m:ctrlPr>
                  </m:fPr>
                  <m:num>
                    <m:sSub>
                      <m:sSubPr>
                        <m:ctrlPr>
                          <w:rPr>
                            <w:rFonts w:ascii="Cambria Math" w:eastAsia="Calibri" w:hAnsi="Cambria Math"/>
                            <w:i/>
                            <w:sz w:val="22"/>
                          </w:rPr>
                        </m:ctrlPr>
                      </m:sSubPr>
                      <m:e>
                        <m:r>
                          <w:rPr>
                            <w:rFonts w:ascii="Cambria Math" w:eastAsia="Calibri" w:hAnsi="Cambria Math"/>
                            <w:sz w:val="22"/>
                          </w:rPr>
                          <m:t>T</m:t>
                        </m:r>
                      </m:e>
                      <m:sub>
                        <m:r>
                          <w:rPr>
                            <w:rFonts w:ascii="Cambria Math" w:eastAsia="Calibri" w:hAnsi="Cambria Math"/>
                            <w:sz w:val="22"/>
                          </w:rPr>
                          <m:t>m</m:t>
                        </m:r>
                      </m:sub>
                    </m:sSub>
                  </m:num>
                  <m:den>
                    <m:r>
                      <w:rPr>
                        <w:rFonts w:ascii="Cambria Math" w:eastAsia="Calibri" w:hAnsi="Cambria Math"/>
                        <w:sz w:val="22"/>
                        <w:lang w:val="pt-PT"/>
                      </w:rPr>
                      <m:t>2</m:t>
                    </m:r>
                  </m:den>
                </m:f>
                <m:r>
                  <w:rPr>
                    <w:rFonts w:ascii="Cambria Math" w:eastAsia="Calibri" w:hAnsi="Cambria Math"/>
                    <w:sz w:val="22"/>
                    <w:lang w:val="pt-PT"/>
                  </w:rPr>
                  <m:t xml:space="preserve">- </m:t>
                </m:r>
                <m:sSub>
                  <m:sSubPr>
                    <m:ctrlPr>
                      <w:rPr>
                        <w:rFonts w:ascii="Cambria Math" w:eastAsia="Calibri" w:hAnsi="Cambria Math"/>
                        <w:i/>
                        <w:sz w:val="22"/>
                      </w:rPr>
                    </m:ctrlPr>
                  </m:sSubPr>
                  <m:e>
                    <m:r>
                      <w:rPr>
                        <w:rFonts w:ascii="Cambria Math" w:eastAsia="Calibri" w:hAnsi="Cambria Math"/>
                        <w:sz w:val="22"/>
                        <w:lang w:val="pt-PT"/>
                      </w:rPr>
                      <m:t>h</m:t>
                    </m:r>
                  </m:e>
                  <m:sub>
                    <m:r>
                      <w:rPr>
                        <w:rFonts w:ascii="Cambria Math" w:eastAsia="Calibri" w:hAnsi="Cambria Math"/>
                        <w:sz w:val="22"/>
                      </w:rPr>
                      <m:t>KW</m:t>
                    </m:r>
                  </m:sub>
                </m:sSub>
                <m:r>
                  <w:rPr>
                    <w:rFonts w:ascii="Cambria Math" w:eastAsia="Calibri" w:hAnsi="Cambria Math"/>
                    <w:sz w:val="22"/>
                    <w:lang w:val="pt-PT"/>
                  </w:rPr>
                  <m:t xml:space="preserve">- </m:t>
                </m:r>
                <m:sSub>
                  <m:sSubPr>
                    <m:ctrlPr>
                      <w:rPr>
                        <w:rFonts w:ascii="Cambria Math" w:eastAsia="Calibri" w:hAnsi="Cambria Math"/>
                        <w:i/>
                        <w:sz w:val="22"/>
                      </w:rPr>
                    </m:ctrlPr>
                  </m:sSubPr>
                  <m:e>
                    <m:r>
                      <w:rPr>
                        <w:rFonts w:ascii="Cambria Math" w:eastAsia="Calibri" w:hAnsi="Cambria Math"/>
                        <w:sz w:val="22"/>
                        <w:lang w:val="pt-PT"/>
                      </w:rPr>
                      <m:t>h</m:t>
                    </m:r>
                  </m:e>
                  <m:sub>
                    <m:r>
                      <w:rPr>
                        <w:rFonts w:ascii="Cambria Math" w:eastAsia="Calibri" w:hAnsi="Cambria Math"/>
                        <w:sz w:val="22"/>
                      </w:rPr>
                      <m:t>KfO</m:t>
                    </m:r>
                  </m:sub>
                </m:sSub>
              </m:e>
            </m:d>
          </m:num>
          <m:den>
            <m:r>
              <w:rPr>
                <w:rFonts w:ascii="Cambria Math" w:eastAsia="Calibri" w:hAnsi="Cambria Math"/>
                <w:sz w:val="22"/>
                <w:lang w:val="pt-PT"/>
              </w:rPr>
              <m:t xml:space="preserve">0,75 ∙ </m:t>
            </m:r>
            <m:f>
              <m:fPr>
                <m:ctrlPr>
                  <w:rPr>
                    <w:rFonts w:ascii="Cambria Math" w:eastAsia="Calibri" w:hAnsi="Cambria Math"/>
                    <w:i/>
                    <w:sz w:val="22"/>
                  </w:rPr>
                </m:ctrlPr>
              </m:fPr>
              <m:num>
                <m:sSub>
                  <m:sSubPr>
                    <m:ctrlPr>
                      <w:rPr>
                        <w:rFonts w:ascii="Cambria Math" w:eastAsia="Calibri" w:hAnsi="Cambria Math"/>
                        <w:i/>
                        <w:sz w:val="22"/>
                      </w:rPr>
                    </m:ctrlPr>
                  </m:sSubPr>
                  <m:e>
                    <m:r>
                      <w:rPr>
                        <w:rFonts w:ascii="Cambria Math" w:eastAsia="Calibri" w:hAnsi="Cambria Math"/>
                        <w:sz w:val="22"/>
                      </w:rPr>
                      <m:t>B</m:t>
                    </m:r>
                  </m:e>
                  <m:sub>
                    <m:r>
                      <w:rPr>
                        <w:rFonts w:ascii="Cambria Math" w:eastAsia="Calibri" w:hAnsi="Cambria Math"/>
                        <w:sz w:val="22"/>
                      </w:rPr>
                      <m:t>WL</m:t>
                    </m:r>
                  </m:sub>
                </m:sSub>
              </m:num>
              <m:den>
                <m:sSup>
                  <m:sSupPr>
                    <m:ctrlPr>
                      <w:rPr>
                        <w:rFonts w:ascii="Cambria Math" w:eastAsia="Calibri" w:hAnsi="Cambria Math"/>
                        <w:i/>
                        <w:sz w:val="22"/>
                      </w:rPr>
                    </m:ctrlPr>
                  </m:sSupPr>
                  <m:e>
                    <m:r>
                      <w:rPr>
                        <w:rFonts w:ascii="Cambria Math" w:eastAsia="Calibri" w:hAnsi="Cambria Math"/>
                        <w:sz w:val="22"/>
                      </w:rPr>
                      <m:t>F</m:t>
                    </m:r>
                  </m:e>
                  <m:sup>
                    <m:r>
                      <w:rPr>
                        <w:rFonts w:ascii="Cambria Math" w:eastAsia="Calibri" w:hAnsi="Cambria Math"/>
                        <w:sz w:val="22"/>
                        <w:lang w:val="pt-PT"/>
                      </w:rPr>
                      <m:t>'</m:t>
                    </m:r>
                  </m:sup>
                </m:sSup>
              </m:den>
            </m:f>
            <m:r>
              <w:rPr>
                <w:rFonts w:ascii="Cambria Math" w:eastAsia="Calibri" w:hAnsi="Cambria Math"/>
                <w:sz w:val="22"/>
                <w:lang w:val="pt-PT"/>
              </w:rPr>
              <m:t xml:space="preserve"> ∙ </m:t>
            </m:r>
            <m:r>
              <w:rPr>
                <w:rFonts w:ascii="Cambria Math" w:eastAsia="Calibri" w:hAnsi="Cambria Math"/>
                <w:sz w:val="22"/>
              </w:rPr>
              <m:t>Z</m:t>
            </m:r>
            <m:r>
              <w:rPr>
                <w:rFonts w:ascii="Cambria Math" w:eastAsia="Calibri" w:hAnsi="Cambria Math"/>
                <w:sz w:val="22"/>
                <w:lang w:val="pt-PT"/>
              </w:rPr>
              <m:t>+1</m:t>
            </m:r>
          </m:den>
        </m:f>
        <m:r>
          <w:rPr>
            <w:rFonts w:ascii="Cambria Math" w:eastAsia="Calibri" w:hAnsi="Cambria Math"/>
            <w:sz w:val="22"/>
            <w:lang w:val="pt-PT"/>
          </w:rPr>
          <m:t xml:space="preserve"> </m:t>
        </m:r>
        <m:d>
          <m:dPr>
            <m:begChr m:val="["/>
            <m:endChr m:val="]"/>
            <m:ctrlPr>
              <w:rPr>
                <w:rFonts w:ascii="Cambria Math" w:eastAsia="Calibri" w:hAnsi="Cambria Math"/>
                <w:i/>
                <w:sz w:val="22"/>
              </w:rPr>
            </m:ctrlPr>
          </m:dPr>
          <m:e>
            <m:r>
              <w:rPr>
                <w:rFonts w:ascii="Cambria Math" w:eastAsia="Calibri" w:hAnsi="Cambria Math"/>
                <w:sz w:val="22"/>
              </w:rPr>
              <m:t>m</m:t>
            </m:r>
          </m:e>
        </m:d>
      </m:oMath>
    </w:p>
    <w:p w:rsidR="000525EE" w:rsidRPr="00762086" w:rsidRDefault="000525EE" w:rsidP="000526B5">
      <w:pPr>
        <w:pStyle w:val="ESlet"/>
        <w:rPr>
          <w:rFonts w:eastAsia="Calibri"/>
          <w:lang w:val="pt-PT"/>
        </w:rPr>
      </w:pPr>
    </w:p>
    <w:p w:rsidR="00BF049A" w:rsidRPr="00C903F8" w:rsidRDefault="00BF049A" w:rsidP="000526B5">
      <w:pPr>
        <w:pStyle w:val="ESletpar"/>
        <w:rPr>
          <w:rFonts w:cs="Arial"/>
          <w:szCs w:val="18"/>
        </w:rPr>
      </w:pPr>
      <w:r>
        <w:t xml:space="preserve">non si assume mai un valore inferiore a 6,6 per </w:t>
      </w:r>
      <m:oMath>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B</m:t>
                </m:r>
              </m:e>
              <m:sub>
                <m:r>
                  <w:rPr>
                    <w:rFonts w:ascii="Cambria Math" w:hAnsi="Cambria Math"/>
                    <w:noProof/>
                  </w:rPr>
                  <m:t>WL</m:t>
                </m:r>
              </m:sub>
            </m:sSub>
          </m:num>
          <m:den>
            <m:r>
              <w:rPr>
                <w:rFonts w:ascii="Cambria Math" w:hAnsi="Cambria Math"/>
                <w:noProof/>
              </w:rPr>
              <m:t>F'</m:t>
            </m:r>
          </m:den>
        </m:f>
      </m:oMath>
      <w:r>
        <w:t xml:space="preserve"> e</w:t>
      </w:r>
    </w:p>
    <w:p w:rsidR="00BF049A" w:rsidRPr="00C903F8" w:rsidRDefault="00BF049A" w:rsidP="000526B5">
      <w:pPr>
        <w:pStyle w:val="ESletpar"/>
        <w:rPr>
          <w:rFonts w:cs="Arial"/>
          <w:szCs w:val="18"/>
        </w:rPr>
      </w:pPr>
      <w:r>
        <w:t>per mai un valore inferiore a 0</w:t>
      </w:r>
      <w:r w:rsidR="00A16690">
        <w:t xml:space="preserve"> </w:t>
      </w:r>
      <m:oMath>
        <m:f>
          <m:fPr>
            <m:ctrlPr>
              <w:rPr>
                <w:rFonts w:ascii="Cambria Math" w:hAnsi="Cambria Math"/>
                <w:i/>
                <w:noProof/>
              </w:rPr>
            </m:ctrlPr>
          </m:fPr>
          <m:num>
            <m:r>
              <w:rPr>
                <w:rFonts w:ascii="Cambria Math" w:hAnsi="Cambria Math"/>
                <w:noProof/>
              </w:rPr>
              <m:t>I-i</m:t>
            </m:r>
          </m:num>
          <m:den>
            <m:r>
              <w:rPr>
                <w:rFonts w:ascii="Cambria Math" w:hAnsi="Cambria Math"/>
                <w:noProof/>
              </w:rPr>
              <m:t>2 ∀</m:t>
            </m:r>
          </m:den>
        </m:f>
        <m:r>
          <w:rPr>
            <w:rFonts w:ascii="Cambria Math" w:hAnsi="Cambria Math"/>
            <w:noProof/>
          </w:rPr>
          <m:t xml:space="preserve"> ∙ </m:t>
        </m:r>
        <m:d>
          <m:dPr>
            <m:ctrlPr>
              <w:rPr>
                <w:rFonts w:ascii="Cambria Math" w:hAnsi="Cambria Math"/>
                <w:i/>
                <w:noProof/>
              </w:rPr>
            </m:ctrlPr>
          </m:dPr>
          <m:e>
            <m:r>
              <w:rPr>
                <w:rFonts w:ascii="Cambria Math" w:hAnsi="Cambria Math"/>
                <w:noProof/>
              </w:rPr>
              <m:t xml:space="preserve">1-1,5 </m:t>
            </m:r>
            <m:f>
              <m:fPr>
                <m:ctrlPr>
                  <w:rPr>
                    <w:rFonts w:ascii="Cambria Math" w:hAnsi="Cambria Math"/>
                    <w:i/>
                    <w:noProof/>
                  </w:rPr>
                </m:ctrlPr>
              </m:fPr>
              <m:num>
                <m:r>
                  <w:rPr>
                    <w:rFonts w:ascii="Cambria Math" w:hAnsi="Cambria Math"/>
                    <w:noProof/>
                  </w:rPr>
                  <m:t>F</m:t>
                </m:r>
              </m:num>
              <m:den>
                <m:r>
                  <w:rPr>
                    <w:rFonts w:ascii="Cambria Math" w:hAnsi="Cambria Math"/>
                    <w:noProof/>
                  </w:rPr>
                  <m:t>F'</m:t>
                </m:r>
              </m:den>
            </m:f>
          </m:e>
        </m:d>
      </m:oMath>
    </w:p>
    <w:p w:rsidR="00BF049A" w:rsidRPr="00C903F8" w:rsidRDefault="005C7859" w:rsidP="000526B5">
      <w:pPr>
        <w:pStyle w:val="ESlet"/>
        <w:rPr>
          <w:rFonts w:cs="Arial"/>
          <w:szCs w:val="18"/>
        </w:rPr>
      </w:pPr>
      <w:r>
        <w:t>b)</w:t>
      </w:r>
      <w:r>
        <w:tab/>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r>
          <w:rPr>
            <w:rFonts w:ascii="Cambria Math" w:hAnsi="Cambria Math"/>
            <w:noProof/>
          </w:rPr>
          <m:t xml:space="preserve">= </m:t>
        </m:r>
        <m:acc>
          <m:accPr>
            <m:chr m:val="̅"/>
            <m:ctrlPr>
              <w:rPr>
                <w:rFonts w:ascii="Cambria Math" w:hAnsi="Cambria Math"/>
                <w:i/>
                <w:noProof/>
              </w:rPr>
            </m:ctrlPr>
          </m:accPr>
          <m:e>
            <m:r>
              <w:rPr>
                <w:rFonts w:ascii="Cambria Math" w:hAnsi="Cambria Math"/>
                <w:noProof/>
              </w:rPr>
              <m:t>KM</m:t>
            </m:r>
          </m:e>
        </m:acc>
        <m:r>
          <w:rPr>
            <w:rFonts w:ascii="Cambria Math" w:hAnsi="Cambria Math"/>
            <w:noProof/>
          </w:rPr>
          <m:t xml:space="preserve">-0,50 </m:t>
        </m:r>
        <m:d>
          <m:dPr>
            <m:begChr m:val="["/>
            <m:endChr m:val="]"/>
            <m:ctrlPr>
              <w:rPr>
                <w:rFonts w:ascii="Cambria Math" w:hAnsi="Cambria Math"/>
                <w:i/>
                <w:noProof/>
              </w:rPr>
            </m:ctrlPr>
          </m:dPr>
          <m:e>
            <m:r>
              <w:rPr>
                <w:rFonts w:ascii="Cambria Math" w:hAnsi="Cambria Math"/>
                <w:noProof/>
              </w:rPr>
              <m:t>m</m:t>
            </m:r>
          </m:e>
        </m:d>
      </m:oMath>
    </w:p>
    <w:p w:rsidR="00BF049A" w:rsidRPr="00C903F8" w:rsidRDefault="00BF049A" w:rsidP="000526B5">
      <w:pPr>
        <w:pStyle w:val="ESletpar"/>
        <w:rPr>
          <w:rFonts w:cs="Arial"/>
          <w:szCs w:val="18"/>
        </w:rPr>
      </w:pPr>
      <w:r>
        <w:t xml:space="preserve">Il valore minore per </w:t>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oMath>
      <w:r>
        <w:t xml:space="preserve"> ottenuto dalla formula a) o dalla formula b) è determinante.</w:t>
      </w:r>
    </w:p>
    <w:p w:rsidR="00BF049A" w:rsidRPr="00C903F8" w:rsidRDefault="00BF049A" w:rsidP="000526B5">
      <w:pPr>
        <w:pStyle w:val="ESletpar"/>
        <w:rPr>
          <w:rFonts w:cs="Arial"/>
          <w:szCs w:val="18"/>
        </w:rPr>
      </w:pPr>
      <w:r>
        <w:t>Oltre ai termini definiti precedentemente, in queste formule:</w:t>
      </w:r>
    </w:p>
    <w:p w:rsidR="00BF049A" w:rsidRPr="00C903F8" w:rsidRDefault="00851A17" w:rsidP="000526B5">
      <w:pPr>
        <w:pStyle w:val="EStiret"/>
        <w:rPr>
          <w:rFonts w:eastAsia="Calibri"/>
        </w:rPr>
      </w:pPr>
      <m:oMath>
        <m:r>
          <w:rPr>
            <w:rFonts w:ascii="Cambria Math" w:eastAsia="Calibri" w:hAnsi="Cambria Math"/>
          </w:rPr>
          <m:t>I</m:t>
        </m:r>
      </m:oMath>
      <w:r>
        <w:tab/>
        <w:t xml:space="preserve">momento d'inerzia trasversale della linea di galleggiamento a </w:t>
      </w:r>
      <m:oMath>
        <m:sSub>
          <m:sSubPr>
            <m:ctrlPr>
              <w:rPr>
                <w:rFonts w:ascii="Cambria Math" w:eastAsia="Calibri" w:hAnsi="Cambria Math"/>
                <w:i/>
              </w:rPr>
            </m:ctrlPr>
          </m:sSubPr>
          <m:e>
            <m:r>
              <w:rPr>
                <w:rFonts w:ascii="Cambria Math" w:eastAsia="Calibri" w:hAnsi="Cambria Math"/>
              </w:rPr>
              <m:t>T</m:t>
            </m:r>
          </m:e>
          <m:sub>
            <m:r>
              <w:rPr>
                <w:rFonts w:ascii="Cambria Math" w:eastAsia="Calibri" w:hAnsi="Cambria Math"/>
              </w:rPr>
              <m:t>m</m:t>
            </m:r>
          </m:sub>
        </m:sSub>
      </m:oMath>
      <w:r>
        <w:t xml:space="preserve"> [m</w:t>
      </w:r>
      <w:r>
        <w:rPr>
          <w:vertAlign w:val="superscript"/>
        </w:rPr>
        <w:t>4</w:t>
      </w:r>
      <w:r>
        <w:t>] (per la formula di approssimazione, cfr. paragrafo 3);</w:t>
      </w:r>
    </w:p>
    <w:p w:rsidR="00851A17" w:rsidRPr="00C903F8" w:rsidRDefault="00851A17" w:rsidP="000526B5">
      <w:pPr>
        <w:pStyle w:val="EStiret"/>
        <w:rPr>
          <w:rFonts w:eastAsia="Calibri"/>
        </w:rPr>
      </w:pPr>
      <m:oMath>
        <m:r>
          <w:rPr>
            <w:rFonts w:ascii="Cambria Math" w:eastAsia="Calibri" w:hAnsi="Cambria Math"/>
          </w:rPr>
          <m:t>i</m:t>
        </m:r>
      </m:oMath>
      <w:r>
        <w:tab/>
        <w:t>momento d'inerzia trasversale della linea di galleggiamento parallela alla base, all'altezza</w:t>
      </w:r>
    </w:p>
    <w:p w:rsidR="00851A17" w:rsidRPr="00C903F8" w:rsidRDefault="00624017" w:rsidP="00851A17">
      <w:pPr>
        <w:pStyle w:val="EStiret"/>
        <w:ind w:left="0" w:firstLine="0"/>
        <w:rPr>
          <w:rFonts w:eastAsia="Calibri"/>
        </w:rPr>
      </w:pPr>
      <m:oMathPara>
        <m:oMath>
          <m:sSub>
            <m:sSubPr>
              <m:ctrlPr>
                <w:rPr>
                  <w:rFonts w:ascii="Cambria Math" w:eastAsia="Calibri" w:hAnsi="Cambria Math"/>
                  <w:i/>
                </w:rPr>
              </m:ctrlPr>
            </m:sSubPr>
            <m:e>
              <m:r>
                <w:rPr>
                  <w:rFonts w:ascii="Cambria Math" w:eastAsia="Calibri" w:hAnsi="Cambria Math"/>
                </w:rPr>
                <m:t>T</m:t>
              </m:r>
            </m:e>
            <m:sub>
              <m:r>
                <w:rPr>
                  <w:rFonts w:ascii="Cambria Math" w:eastAsia="Calibri" w:hAnsi="Cambria Math"/>
                </w:rPr>
                <m:t>m</m:t>
              </m:r>
            </m:sub>
          </m:sSub>
          <m:r>
            <w:rPr>
              <w:rFonts w:ascii="Cambria Math" w:eastAsia="Calibri" w:hAnsi="Cambria Math"/>
            </w:rPr>
            <m:t xml:space="preserve">+ </m:t>
          </m:r>
          <m:f>
            <m:fPr>
              <m:ctrlPr>
                <w:rPr>
                  <w:rFonts w:ascii="Cambria Math" w:eastAsia="Calibri" w:hAnsi="Cambria Math"/>
                  <w:i/>
                </w:rPr>
              </m:ctrlPr>
            </m:fPr>
            <m:num>
              <m:r>
                <w:rPr>
                  <w:rFonts w:ascii="Cambria Math" w:eastAsia="Calibri" w:hAnsi="Cambria Math"/>
                </w:rPr>
                <m:t>2</m:t>
              </m:r>
            </m:num>
            <m:den>
              <m:r>
                <w:rPr>
                  <w:rFonts w:ascii="Cambria Math" w:eastAsia="Calibri" w:hAnsi="Cambria Math"/>
                </w:rPr>
                <m:t>3</m:t>
              </m:r>
            </m:den>
          </m:f>
          <m:r>
            <w:rPr>
              <w:rFonts w:ascii="Cambria Math" w:eastAsia="Calibri" w:hAnsi="Cambria Math"/>
            </w:rPr>
            <m:t xml:space="preserve"> </m:t>
          </m:r>
          <m:sSup>
            <m:sSupPr>
              <m:ctrlPr>
                <w:rPr>
                  <w:rFonts w:ascii="Cambria Math" w:eastAsia="Calibri" w:hAnsi="Cambria Math"/>
                  <w:i/>
                </w:rPr>
              </m:ctrlPr>
            </m:sSupPr>
            <m:e>
              <m:r>
                <w:rPr>
                  <w:rFonts w:ascii="Cambria Math" w:eastAsia="Calibri" w:hAnsi="Cambria Math"/>
                </w:rPr>
                <m:t>F</m:t>
              </m:r>
            </m:e>
            <m:sup>
              <m:r>
                <w:rPr>
                  <w:rFonts w:ascii="Cambria Math" w:eastAsia="Calibri" w:hAnsi="Cambria Math"/>
                </w:rPr>
                <m:t>'</m:t>
              </m:r>
            </m:sup>
          </m:sSup>
          <m:d>
            <m:dPr>
              <m:begChr m:val="["/>
              <m:endChr m:val="]"/>
              <m:ctrlPr>
                <w:rPr>
                  <w:rFonts w:ascii="Cambria Math" w:eastAsia="Calibri" w:hAnsi="Cambria Math"/>
                  <w:i/>
                </w:rPr>
              </m:ctrlPr>
            </m:dPr>
            <m:e>
              <m:sSup>
                <m:sSupPr>
                  <m:ctrlPr>
                    <w:rPr>
                      <w:rFonts w:ascii="Cambria Math" w:eastAsia="Calibri" w:hAnsi="Cambria Math"/>
                      <w:i/>
                    </w:rPr>
                  </m:ctrlPr>
                </m:sSupPr>
                <m:e>
                  <m:r>
                    <w:rPr>
                      <w:rFonts w:ascii="Cambria Math" w:eastAsia="Calibri" w:hAnsi="Cambria Math"/>
                    </w:rPr>
                    <m:t>m</m:t>
                  </m:r>
                </m:e>
                <m:sup>
                  <m:r>
                    <w:rPr>
                      <w:rFonts w:ascii="Cambria Math" w:eastAsia="Calibri" w:hAnsi="Cambria Math"/>
                    </w:rPr>
                    <m:t>4</m:t>
                  </m:r>
                </m:sup>
              </m:sSup>
            </m:e>
          </m:d>
        </m:oMath>
      </m:oMathPara>
    </w:p>
    <w:p w:rsidR="00BF049A" w:rsidRPr="00C903F8" w:rsidRDefault="00851A17" w:rsidP="000526B5">
      <w:pPr>
        <w:pStyle w:val="EStiret"/>
        <w:rPr>
          <w:rFonts w:eastAsia="Calibri"/>
        </w:rPr>
      </w:pPr>
      <m:oMath>
        <m:r>
          <w:rPr>
            <w:rFonts w:ascii="Cambria Math" w:eastAsia="Calibri" w:hAnsi="Cambria Math"/>
          </w:rPr>
          <m:t>∀</m:t>
        </m:r>
      </m:oMath>
      <w:r>
        <w:tab/>
        <w:t xml:space="preserve">dislocamento della nave a </w:t>
      </w:r>
      <m:oMath>
        <m:sSub>
          <m:sSubPr>
            <m:ctrlPr>
              <w:rPr>
                <w:rFonts w:ascii="Cambria Math" w:eastAsia="Calibri" w:hAnsi="Cambria Math"/>
                <w:i/>
              </w:rPr>
            </m:ctrlPr>
          </m:sSubPr>
          <m:e>
            <m:r>
              <w:rPr>
                <w:rFonts w:ascii="Cambria Math" w:eastAsia="Calibri" w:hAnsi="Cambria Math"/>
              </w:rPr>
              <m:t>T</m:t>
            </m:r>
          </m:e>
          <m:sub>
            <m:r>
              <w:rPr>
                <w:rFonts w:ascii="Cambria Math" w:eastAsia="Calibri" w:hAnsi="Cambria Math"/>
              </w:rPr>
              <m:t>m</m:t>
            </m:r>
          </m:sub>
        </m:sSub>
      </m:oMath>
      <w:r>
        <w:t xml:space="preserve"> [m</w:t>
      </w:r>
      <w:r>
        <w:rPr>
          <w:vertAlign w:val="superscript"/>
        </w:rPr>
        <w:t>3</w:t>
      </w:r>
      <w:r>
        <w:t>];</w:t>
      </w:r>
    </w:p>
    <w:p w:rsidR="0067550D" w:rsidRPr="00C903F8" w:rsidRDefault="00851A17" w:rsidP="000526B5">
      <w:pPr>
        <w:pStyle w:val="EStiret"/>
        <w:rPr>
          <w:rFonts w:eastAsia="Calibri"/>
        </w:rPr>
      </w:pPr>
      <m:oMath>
        <m:r>
          <w:rPr>
            <w:rFonts w:ascii="Cambria Math" w:eastAsia="Calibri" w:hAnsi="Cambria Math"/>
          </w:rPr>
          <m:t>F'</m:t>
        </m:r>
      </m:oMath>
      <w:r>
        <w:tab/>
        <w:t xml:space="preserve">bordo libero ideale; </w:t>
      </w:r>
    </w:p>
    <w:p w:rsidR="00BF049A" w:rsidRPr="00C903F8" w:rsidRDefault="00624017" w:rsidP="0067550D">
      <w:pPr>
        <w:pStyle w:val="EStiret"/>
        <w:ind w:firstLine="1"/>
        <w:rPr>
          <w:rFonts w:eastAsia="Calibri"/>
        </w:rPr>
      </w:pPr>
      <m:oMath>
        <m:sSup>
          <m:sSupPr>
            <m:ctrlPr>
              <w:rPr>
                <w:rFonts w:ascii="Cambria Math" w:eastAsia="Calibri" w:hAnsi="Cambria Math"/>
                <w:i/>
              </w:rPr>
            </m:ctrlPr>
          </m:sSupPr>
          <m:e>
            <m:r>
              <w:rPr>
                <w:rFonts w:ascii="Cambria Math" w:eastAsia="Calibri" w:hAnsi="Cambria Math"/>
              </w:rPr>
              <m:t>F</m:t>
            </m:r>
          </m:e>
          <m:sup>
            <m:r>
              <w:rPr>
                <w:rFonts w:ascii="Cambria Math" w:eastAsia="Calibri" w:hAnsi="Cambria Math"/>
              </w:rPr>
              <m:t>'</m:t>
            </m:r>
          </m:sup>
        </m:sSup>
        <m:r>
          <w:rPr>
            <w:rFonts w:ascii="Cambria Math" w:eastAsia="Calibri" w:hAnsi="Cambria Math"/>
          </w:rPr>
          <m:t>=</m:t>
        </m:r>
        <m:sSup>
          <m:sSupPr>
            <m:ctrlPr>
              <w:rPr>
                <w:rFonts w:ascii="Cambria Math" w:eastAsia="Calibri" w:hAnsi="Cambria Math"/>
                <w:i/>
              </w:rPr>
            </m:ctrlPr>
          </m:sSupPr>
          <m:e>
            <m:r>
              <w:rPr>
                <w:rFonts w:ascii="Cambria Math" w:eastAsia="Calibri" w:hAnsi="Cambria Math"/>
              </w:rPr>
              <m:t>H</m:t>
            </m:r>
          </m:e>
          <m:sup>
            <m:r>
              <w:rPr>
                <w:rFonts w:ascii="Cambria Math" w:eastAsia="Calibri" w:hAnsi="Cambria Math"/>
              </w:rPr>
              <m:t>'</m:t>
            </m:r>
          </m:sup>
        </m:sSup>
        <m:r>
          <w:rPr>
            <w:rFonts w:ascii="Cambria Math" w:eastAsia="Calibri" w:hAnsi="Cambria Math"/>
          </w:rPr>
          <m:t xml:space="preserve">- </m:t>
        </m:r>
        <m:sSub>
          <m:sSubPr>
            <m:ctrlPr>
              <w:rPr>
                <w:rFonts w:ascii="Cambria Math" w:eastAsia="Calibri" w:hAnsi="Cambria Math"/>
                <w:i/>
              </w:rPr>
            </m:ctrlPr>
          </m:sSubPr>
          <m:e>
            <m:r>
              <w:rPr>
                <w:rFonts w:ascii="Cambria Math" w:eastAsia="Calibri" w:hAnsi="Cambria Math"/>
              </w:rPr>
              <m:t>T</m:t>
            </m:r>
          </m:e>
          <m:sub>
            <m:r>
              <w:rPr>
                <w:rFonts w:ascii="Cambria Math" w:eastAsia="Calibri" w:hAnsi="Cambria Math"/>
              </w:rPr>
              <m:t>m</m:t>
            </m:r>
          </m:sub>
        </m:sSub>
        <m:r>
          <w:rPr>
            <w:rFonts w:ascii="Cambria Math" w:eastAsia="Calibri" w:hAnsi="Cambria Math"/>
          </w:rPr>
          <m:t xml:space="preserve"> </m:t>
        </m:r>
        <m:d>
          <m:dPr>
            <m:begChr m:val="["/>
            <m:endChr m:val="]"/>
            <m:ctrlPr>
              <w:rPr>
                <w:rFonts w:ascii="Cambria Math" w:eastAsia="Calibri" w:hAnsi="Cambria Math"/>
                <w:i/>
              </w:rPr>
            </m:ctrlPr>
          </m:dPr>
          <m:e>
            <m:r>
              <w:rPr>
                <w:rFonts w:ascii="Cambria Math" w:eastAsia="Calibri" w:hAnsi="Cambria Math"/>
              </w:rPr>
              <m:t>m</m:t>
            </m:r>
          </m:e>
        </m:d>
      </m:oMath>
      <w:r w:rsidR="00801F1F">
        <w:t xml:space="preserve"> o </w:t>
      </w:r>
      <m:oMath>
        <m:sSup>
          <m:sSupPr>
            <m:ctrlPr>
              <w:rPr>
                <w:rFonts w:ascii="Cambria Math" w:eastAsia="Calibri" w:hAnsi="Cambria Math"/>
                <w:i/>
              </w:rPr>
            </m:ctrlPr>
          </m:sSupPr>
          <m:e>
            <m:r>
              <w:rPr>
                <w:rFonts w:ascii="Cambria Math" w:eastAsia="Calibri" w:hAnsi="Cambria Math"/>
              </w:rPr>
              <m:t>F</m:t>
            </m:r>
          </m:e>
          <m:sup>
            <m:r>
              <w:rPr>
                <w:rFonts w:ascii="Cambria Math" w:eastAsia="Calibri" w:hAnsi="Cambria Math"/>
              </w:rPr>
              <m:t>'</m:t>
            </m:r>
          </m:sup>
        </m:sSup>
        <m:r>
          <w:rPr>
            <w:rFonts w:ascii="Cambria Math" w:eastAsia="Calibri" w:hAnsi="Cambria Math"/>
          </w:rPr>
          <m:t xml:space="preserve">= </m:t>
        </m:r>
        <m:f>
          <m:fPr>
            <m:ctrlPr>
              <w:rPr>
                <w:rFonts w:ascii="Cambria Math" w:eastAsia="Calibri" w:hAnsi="Cambria Math"/>
                <w:i/>
              </w:rPr>
            </m:ctrlPr>
          </m:fPr>
          <m:num>
            <m:r>
              <w:rPr>
                <w:rFonts w:ascii="Cambria Math" w:eastAsia="Calibri" w:hAnsi="Cambria Math"/>
              </w:rPr>
              <m:t xml:space="preserve">a ∙ </m:t>
            </m:r>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WL</m:t>
                </m:r>
              </m:sub>
            </m:sSub>
          </m:num>
          <m:den>
            <m:r>
              <w:rPr>
                <w:rFonts w:ascii="Cambria Math" w:eastAsia="Calibri" w:hAnsi="Cambria Math"/>
              </w:rPr>
              <m:t>2 ∙b</m:t>
            </m:r>
          </m:den>
        </m:f>
        <m:r>
          <w:rPr>
            <w:rFonts w:ascii="Cambria Math" w:eastAsia="Calibri" w:hAnsi="Cambria Math"/>
          </w:rPr>
          <m:t xml:space="preserve"> </m:t>
        </m:r>
        <m:d>
          <m:dPr>
            <m:begChr m:val="["/>
            <m:endChr m:val="]"/>
            <m:ctrlPr>
              <w:rPr>
                <w:rFonts w:ascii="Cambria Math" w:eastAsia="Calibri" w:hAnsi="Cambria Math"/>
                <w:i/>
              </w:rPr>
            </m:ctrlPr>
          </m:dPr>
          <m:e>
            <m:r>
              <w:rPr>
                <w:rFonts w:ascii="Cambria Math" w:eastAsia="Calibri" w:hAnsi="Cambria Math"/>
              </w:rPr>
              <m:t>m</m:t>
            </m:r>
          </m:e>
        </m:d>
      </m:oMath>
      <w:r w:rsidR="00801F1F">
        <w:t>, il valore minore è determinante;</w:t>
      </w:r>
    </w:p>
    <w:p w:rsidR="000526B5" w:rsidRPr="00C903F8" w:rsidRDefault="000526B5" w:rsidP="000526B5">
      <w:pPr>
        <w:pStyle w:val="EStiret"/>
        <w:rPr>
          <w:rFonts w:eastAsia="Calibri"/>
        </w:rPr>
      </w:pPr>
    </w:p>
    <w:p w:rsidR="000526B5" w:rsidRPr="00C903F8" w:rsidRDefault="000526B5" w:rsidP="000526B5">
      <w:pPr>
        <w:pStyle w:val="EStiret"/>
        <w:rPr>
          <w:rFonts w:eastAsia="Calibri"/>
        </w:rPr>
      </w:pPr>
      <w:r>
        <w:br w:type="page"/>
      </w:r>
    </w:p>
    <w:p w:rsidR="00BF049A" w:rsidRPr="00C903F8" w:rsidRDefault="004F13FC" w:rsidP="000526B5">
      <w:pPr>
        <w:pStyle w:val="EStiret"/>
        <w:rPr>
          <w:rFonts w:eastAsia="Calibri"/>
        </w:rPr>
      </w:pPr>
      <m:oMath>
        <m:r>
          <w:rPr>
            <w:rFonts w:ascii="Cambria Math" w:eastAsia="Calibri" w:hAnsi="Cambria Math"/>
          </w:rPr>
          <w:lastRenderedPageBreak/>
          <m:t>a</m:t>
        </m:r>
      </m:oMath>
      <w:r>
        <w:tab/>
        <w:t>distanza verticale fra il bordo inferiore dell'apertura immersa per prima in caso d'inclinazione e la linea di galleggiamento della nave diritta [m];</w:t>
      </w:r>
    </w:p>
    <w:p w:rsidR="00BF049A" w:rsidRPr="00C903F8" w:rsidRDefault="004F13FC" w:rsidP="000526B5">
      <w:pPr>
        <w:pStyle w:val="EStiret"/>
        <w:rPr>
          <w:rFonts w:eastAsia="Calibri"/>
        </w:rPr>
      </w:pPr>
      <m:oMath>
        <m:r>
          <w:rPr>
            <w:rFonts w:ascii="Cambria Math" w:eastAsia="Calibri" w:hAnsi="Cambria Math"/>
          </w:rPr>
          <m:t>b</m:t>
        </m:r>
      </m:oMath>
      <w:r>
        <w:tab/>
        <w:t>distanza di questa stessa apertura dal centro della nave [m];</w:t>
      </w:r>
    </w:p>
    <w:p w:rsidR="00BF049A" w:rsidRPr="00C903F8" w:rsidRDefault="004F13FC" w:rsidP="000526B5">
      <w:pPr>
        <w:pStyle w:val="EStiret"/>
        <w:rPr>
          <w:rFonts w:eastAsia="Calibri"/>
        </w:rPr>
      </w:pPr>
      <m:oMath>
        <m:r>
          <w:rPr>
            <w:rFonts w:ascii="Cambria Math" w:eastAsia="Calibri" w:hAnsi="Cambria Math"/>
          </w:rPr>
          <m:t>H'</m:t>
        </m:r>
      </m:oMath>
      <w:r>
        <w:tab/>
        <w:t xml:space="preserve">altezza laterale ideale </w:t>
      </w:r>
      <m:oMath>
        <m:sSup>
          <m:sSupPr>
            <m:ctrlPr>
              <w:rPr>
                <w:rFonts w:ascii="Cambria Math" w:eastAsia="Calibri" w:hAnsi="Cambria Math"/>
                <w:i/>
              </w:rPr>
            </m:ctrlPr>
          </m:sSupPr>
          <m:e>
            <m:r>
              <w:rPr>
                <w:rFonts w:ascii="Cambria Math" w:eastAsia="Calibri" w:hAnsi="Cambria Math"/>
              </w:rPr>
              <m:t>H</m:t>
            </m:r>
          </m:e>
          <m:sup>
            <m:r>
              <w:rPr>
                <w:rFonts w:ascii="Cambria Math" w:eastAsia="Calibri" w:hAnsi="Cambria Math"/>
              </w:rPr>
              <m:t>'</m:t>
            </m:r>
          </m:sup>
        </m:sSup>
        <m:r>
          <w:rPr>
            <w:rFonts w:ascii="Cambria Math" w:eastAsia="Calibri" w:hAnsi="Cambria Math"/>
          </w:rPr>
          <m:t xml:space="preserve">=H+ </m:t>
        </m:r>
        <m:f>
          <m:fPr>
            <m:ctrlPr>
              <w:rPr>
                <w:rFonts w:ascii="Cambria Math" w:eastAsia="Calibri" w:hAnsi="Cambria Math"/>
                <w:i/>
              </w:rPr>
            </m:ctrlPr>
          </m:fPr>
          <m:num>
            <m:r>
              <w:rPr>
                <w:rFonts w:ascii="Cambria Math" w:eastAsia="Calibri" w:hAnsi="Cambria Math"/>
              </w:rPr>
              <m:t>q</m:t>
            </m:r>
          </m:num>
          <m:den>
            <m:r>
              <w:rPr>
                <w:rFonts w:ascii="Cambria Math" w:eastAsia="Calibri" w:hAnsi="Cambria Math"/>
              </w:rPr>
              <m:t xml:space="preserve">0,9 ∙L ∙ </m:t>
            </m:r>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WL</m:t>
                </m:r>
              </m:sub>
            </m:sSub>
          </m:den>
        </m:f>
        <m:r>
          <w:rPr>
            <w:rFonts w:ascii="Cambria Math" w:eastAsia="Calibri" w:hAnsi="Cambria Math"/>
          </w:rPr>
          <m:t xml:space="preserve"> </m:t>
        </m:r>
        <m:d>
          <m:dPr>
            <m:begChr m:val="["/>
            <m:endChr m:val="]"/>
            <m:ctrlPr>
              <w:rPr>
                <w:rFonts w:ascii="Cambria Math" w:eastAsia="Calibri" w:hAnsi="Cambria Math"/>
                <w:i/>
              </w:rPr>
            </m:ctrlPr>
          </m:dPr>
          <m:e>
            <m:r>
              <w:rPr>
                <w:rFonts w:ascii="Cambria Math" w:eastAsia="Calibri" w:hAnsi="Cambria Math"/>
              </w:rPr>
              <m:t>m</m:t>
            </m:r>
          </m:e>
        </m:d>
        <m:r>
          <w:rPr>
            <w:rFonts w:ascii="Cambria Math" w:eastAsia="Calibri" w:hAnsi="Cambria Math"/>
          </w:rPr>
          <m:t>;</m:t>
        </m:r>
      </m:oMath>
    </w:p>
    <w:p w:rsidR="00BF049A" w:rsidRPr="00C903F8" w:rsidRDefault="004F13FC" w:rsidP="000526B5">
      <w:pPr>
        <w:pStyle w:val="EStiret"/>
        <w:rPr>
          <w:rFonts w:eastAsia="Calibri"/>
        </w:rPr>
      </w:pPr>
      <m:oMath>
        <m:r>
          <w:rPr>
            <w:rFonts w:ascii="Cambria Math" w:eastAsia="Calibri" w:hAnsi="Cambria Math"/>
            <w:szCs w:val="16"/>
          </w:rPr>
          <m:t>q</m:t>
        </m:r>
      </m:oMath>
      <w:r>
        <w:tab/>
        <w:t xml:space="preserve">somma dei volumi di tughe, boccaporti, cofani ed altre sovrastrutture fino a un'altezza di 1,0 m al di sopra di </w:t>
      </w:r>
      <m:oMath>
        <m:r>
          <w:rPr>
            <w:rFonts w:ascii="Cambria Math" w:eastAsia="Calibri" w:hAnsi="Cambria Math"/>
            <w:szCs w:val="16"/>
          </w:rPr>
          <m:t>H</m:t>
        </m:r>
      </m:oMath>
      <w:r>
        <w:t xml:space="preserve"> o fino all'apertura più bassa del volume considerato (il valore minore è determinante). Le parti di volume situate in un settore di </w:t>
      </w:r>
      <m:oMath>
        <m:r>
          <w:rPr>
            <w:rFonts w:ascii="Cambria Math" w:eastAsia="Calibri" w:hAnsi="Cambria Math"/>
            <w:szCs w:val="16"/>
          </w:rPr>
          <m:t>0,05 L</m:t>
        </m:r>
      </m:oMath>
      <w:r>
        <w:t xml:space="preserve"> dalle due estremità della nave non sono prese in considerazione [m</w:t>
      </w:r>
      <w:r>
        <w:rPr>
          <w:vertAlign w:val="superscript"/>
        </w:rPr>
        <w:t>3</w:t>
      </w:r>
      <w:r>
        <w:t>].</w:t>
      </w:r>
    </w:p>
    <w:p w:rsidR="00BD3403" w:rsidRPr="00C903F8" w:rsidRDefault="00BD3403" w:rsidP="00BF049A">
      <w:pPr>
        <w:pStyle w:val="ESch"/>
        <w:rPr>
          <w:rFonts w:eastAsia="Calibri" w:cs="Arial"/>
          <w:szCs w:val="18"/>
        </w:rPr>
      </w:pPr>
    </w:p>
    <w:p w:rsidR="00BF049A" w:rsidRPr="00C903F8" w:rsidRDefault="00BD3403" w:rsidP="00BF049A">
      <w:pPr>
        <w:pStyle w:val="ESch"/>
        <w:rPr>
          <w:rFonts w:eastAsia="Calibri" w:cs="Arial"/>
          <w:szCs w:val="18"/>
        </w:rPr>
      </w:pPr>
      <w:r>
        <w:t>3.</w:t>
      </w:r>
      <w:r>
        <w:tab/>
        <w:t>Formula d'approssimazione per I</w:t>
      </w:r>
    </w:p>
    <w:p w:rsidR="003F1CB4" w:rsidRPr="00C903F8" w:rsidRDefault="003F1CB4" w:rsidP="003F1CB4">
      <w:pPr>
        <w:pStyle w:val="ESchpar"/>
        <w:rPr>
          <w:noProof/>
        </w:rPr>
      </w:pPr>
    </w:p>
    <w:p w:rsidR="00BF049A" w:rsidRPr="00C903F8" w:rsidRDefault="00BF049A" w:rsidP="003F1CB4">
      <w:pPr>
        <w:pStyle w:val="ESchpar"/>
        <w:rPr>
          <w:rFonts w:cs="Arial"/>
          <w:szCs w:val="18"/>
        </w:rPr>
      </w:pPr>
      <w:r>
        <w:t>Quando non è disponibile un piano delle curve idrostatiche, il valore per il calcolo del momento I d'inerzia trasversale della linea di galleggiamento può essere determinato mediante le seguenti formule d'approssimazione:</w:t>
      </w:r>
    </w:p>
    <w:p w:rsidR="00BF049A" w:rsidRPr="00C903F8" w:rsidRDefault="005C7859" w:rsidP="003F1CB4">
      <w:pPr>
        <w:pStyle w:val="ESlet"/>
        <w:rPr>
          <w:noProof/>
        </w:rPr>
      </w:pPr>
      <w:r>
        <w:t>a)</w:t>
      </w:r>
      <w:r>
        <w:tab/>
        <w:t>navi a forma di pontone</w:t>
      </w:r>
    </w:p>
    <w:p w:rsidR="003F1CB4" w:rsidRPr="00C903F8" w:rsidRDefault="003F1CB4" w:rsidP="003F1CB4">
      <w:pPr>
        <w:pStyle w:val="ESlet"/>
        <w:rPr>
          <w:rFonts w:cs="Arial"/>
          <w:szCs w:val="18"/>
        </w:rPr>
      </w:pPr>
    </w:p>
    <w:p w:rsidR="004F13FC" w:rsidRPr="00C903F8" w:rsidRDefault="004F13FC" w:rsidP="004F13FC">
      <w:pPr>
        <w:pStyle w:val="ESlet"/>
        <w:ind w:left="0" w:firstLine="0"/>
        <w:rPr>
          <w:rFonts w:cs="Arial"/>
          <w:szCs w:val="18"/>
        </w:rPr>
      </w:pPr>
      <m:oMathPara>
        <m:oMath>
          <m:r>
            <w:rPr>
              <w:rFonts w:ascii="Cambria Math" w:hAnsi="Cambria Math" w:cs="Arial"/>
              <w:szCs w:val="18"/>
            </w:rPr>
            <m:t xml:space="preserve">I= </m:t>
          </m:r>
          <m:f>
            <m:fPr>
              <m:ctrlPr>
                <w:rPr>
                  <w:rFonts w:ascii="Cambria Math" w:hAnsi="Cambria Math" w:cs="Arial"/>
                  <w:i/>
                  <w:szCs w:val="18"/>
                </w:rPr>
              </m:ctrlPr>
            </m:fPr>
            <m:num>
              <m:sSub>
                <m:sSubPr>
                  <m:ctrlPr>
                    <w:rPr>
                      <w:rFonts w:ascii="Cambria Math" w:hAnsi="Cambria Math" w:cs="Arial"/>
                      <w:i/>
                      <w:szCs w:val="18"/>
                    </w:rPr>
                  </m:ctrlPr>
                </m:sSubPr>
                <m:e>
                  <m:sSup>
                    <m:sSupPr>
                      <m:ctrlPr>
                        <w:rPr>
                          <w:rFonts w:ascii="Cambria Math" w:hAnsi="Cambria Math" w:cs="Arial"/>
                          <w:i/>
                          <w:szCs w:val="18"/>
                        </w:rPr>
                      </m:ctrlPr>
                    </m:sSupPr>
                    <m:e>
                      <m:r>
                        <w:rPr>
                          <w:rFonts w:ascii="Cambria Math" w:hAnsi="Cambria Math" w:cs="Arial"/>
                          <w:szCs w:val="18"/>
                        </w:rPr>
                        <m:t>B</m:t>
                      </m:r>
                    </m:e>
                    <m:sup>
                      <m:r>
                        <w:rPr>
                          <w:rFonts w:ascii="Cambria Math" w:hAnsi="Cambria Math" w:cs="Arial"/>
                          <w:szCs w:val="18"/>
                        </w:rPr>
                        <m:t>2</m:t>
                      </m:r>
                    </m:sup>
                  </m:sSup>
                </m:e>
                <m:sub>
                  <m:r>
                    <w:rPr>
                      <w:rFonts w:ascii="Cambria Math" w:hAnsi="Cambria Math" w:cs="Arial"/>
                      <w:szCs w:val="18"/>
                    </w:rPr>
                    <m:t>WL</m:t>
                  </m:r>
                </m:sub>
              </m:sSub>
              <m:r>
                <w:rPr>
                  <w:rFonts w:ascii="Cambria Math" w:hAnsi="Cambria Math" w:cs="Arial"/>
                  <w:szCs w:val="18"/>
                </w:rPr>
                <m:t xml:space="preserve"> ∙ ∀</m:t>
              </m:r>
            </m:num>
            <m:den>
              <m:d>
                <m:dPr>
                  <m:ctrlPr>
                    <w:rPr>
                      <w:rFonts w:ascii="Cambria Math" w:hAnsi="Cambria Math" w:cs="Arial"/>
                      <w:i/>
                      <w:szCs w:val="18"/>
                    </w:rPr>
                  </m:ctrlPr>
                </m:dPr>
                <m:e>
                  <m:r>
                    <w:rPr>
                      <w:rFonts w:ascii="Cambria Math" w:hAnsi="Cambria Math" w:cs="Arial"/>
                      <w:szCs w:val="18"/>
                    </w:rPr>
                    <m:t xml:space="preserve">12,5-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num>
                    <m:den>
                      <m:r>
                        <w:rPr>
                          <w:rFonts w:ascii="Cambria Math" w:hAnsi="Cambria Math" w:cs="Arial"/>
                          <w:szCs w:val="18"/>
                        </w:rPr>
                        <m:t>H</m:t>
                      </m:r>
                    </m:den>
                  </m:f>
                </m:e>
              </m:d>
              <m:r>
                <w:rPr>
                  <w:rFonts w:ascii="Cambria Math" w:hAnsi="Cambria Math" w:cs="Arial"/>
                  <w:szCs w:val="18"/>
                </w:rPr>
                <m:t xml:space="preserve"> ∙ </m:t>
              </m:r>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den>
          </m:f>
          <m:r>
            <w:rPr>
              <w:rFonts w:ascii="Cambria Math" w:hAnsi="Cambria Math" w:cs="Arial"/>
              <w:szCs w:val="18"/>
            </w:rPr>
            <m:t xml:space="preserve"> </m:t>
          </m:r>
          <m:d>
            <m:dPr>
              <m:begChr m:val="["/>
              <m:endChr m:val="]"/>
              <m:ctrlPr>
                <w:rPr>
                  <w:rFonts w:ascii="Cambria Math" w:hAnsi="Cambria Math" w:cs="Arial"/>
                  <w:i/>
                  <w:szCs w:val="18"/>
                </w:rPr>
              </m:ctrlPr>
            </m:dPr>
            <m:e>
              <m:sSup>
                <m:sSupPr>
                  <m:ctrlPr>
                    <w:rPr>
                      <w:rFonts w:ascii="Cambria Math" w:hAnsi="Cambria Math" w:cs="Arial"/>
                      <w:i/>
                      <w:szCs w:val="18"/>
                    </w:rPr>
                  </m:ctrlPr>
                </m:sSupPr>
                <m:e>
                  <m:r>
                    <w:rPr>
                      <w:rFonts w:ascii="Cambria Math" w:hAnsi="Cambria Math" w:cs="Arial"/>
                      <w:szCs w:val="18"/>
                    </w:rPr>
                    <m:t>m</m:t>
                  </m:r>
                </m:e>
                <m:sup>
                  <m:r>
                    <w:rPr>
                      <w:rFonts w:ascii="Cambria Math" w:hAnsi="Cambria Math" w:cs="Arial"/>
                      <w:szCs w:val="18"/>
                    </w:rPr>
                    <m:t>4</m:t>
                  </m:r>
                </m:sup>
              </m:sSup>
            </m:e>
          </m:d>
        </m:oMath>
      </m:oMathPara>
    </w:p>
    <w:p w:rsidR="003F1CB4" w:rsidRPr="00C903F8" w:rsidRDefault="003F1CB4" w:rsidP="003F1CB4">
      <w:pPr>
        <w:pStyle w:val="ESlet"/>
        <w:rPr>
          <w:rFonts w:eastAsia="Calibri"/>
        </w:rPr>
      </w:pPr>
    </w:p>
    <w:p w:rsidR="00BF049A" w:rsidRPr="00C903F8" w:rsidRDefault="005C7859" w:rsidP="003F1CB4">
      <w:pPr>
        <w:pStyle w:val="ESlet"/>
        <w:rPr>
          <w:rFonts w:eastAsia="Calibri"/>
        </w:rPr>
      </w:pPr>
      <w:r>
        <w:t>b)</w:t>
      </w:r>
      <w:r>
        <w:tab/>
        <w:t>altre navi</w:t>
      </w:r>
    </w:p>
    <w:p w:rsidR="003F1CB4" w:rsidRPr="00C903F8" w:rsidRDefault="003F1CB4" w:rsidP="003F1CB4">
      <w:pPr>
        <w:pStyle w:val="ESlet"/>
        <w:rPr>
          <w:rFonts w:eastAsia="Calibri"/>
        </w:rPr>
      </w:pPr>
    </w:p>
    <w:p w:rsidR="001179E7" w:rsidRPr="00C903F8" w:rsidRDefault="001179E7" w:rsidP="001179E7">
      <w:pPr>
        <w:pStyle w:val="ESlet"/>
        <w:ind w:left="0" w:firstLine="0"/>
        <w:rPr>
          <w:rFonts w:cs="Arial"/>
          <w:szCs w:val="18"/>
        </w:rPr>
      </w:pPr>
      <m:oMathPara>
        <m:oMath>
          <m:r>
            <w:rPr>
              <w:rFonts w:ascii="Cambria Math" w:hAnsi="Cambria Math" w:cs="Arial"/>
              <w:szCs w:val="18"/>
            </w:rPr>
            <m:t xml:space="preserve">I= </m:t>
          </m:r>
          <m:f>
            <m:fPr>
              <m:ctrlPr>
                <w:rPr>
                  <w:rFonts w:ascii="Cambria Math" w:hAnsi="Cambria Math" w:cs="Arial"/>
                  <w:i/>
                  <w:szCs w:val="18"/>
                </w:rPr>
              </m:ctrlPr>
            </m:fPr>
            <m:num>
              <m:sSub>
                <m:sSubPr>
                  <m:ctrlPr>
                    <w:rPr>
                      <w:rFonts w:ascii="Cambria Math" w:hAnsi="Cambria Math" w:cs="Arial"/>
                      <w:i/>
                      <w:szCs w:val="18"/>
                    </w:rPr>
                  </m:ctrlPr>
                </m:sSubPr>
                <m:e>
                  <m:sSup>
                    <m:sSupPr>
                      <m:ctrlPr>
                        <w:rPr>
                          <w:rFonts w:ascii="Cambria Math" w:hAnsi="Cambria Math" w:cs="Arial"/>
                          <w:i/>
                          <w:szCs w:val="18"/>
                        </w:rPr>
                      </m:ctrlPr>
                    </m:sSupPr>
                    <m:e>
                      <m:r>
                        <w:rPr>
                          <w:rFonts w:ascii="Cambria Math" w:hAnsi="Cambria Math" w:cs="Arial"/>
                          <w:szCs w:val="18"/>
                        </w:rPr>
                        <m:t>B</m:t>
                      </m:r>
                    </m:e>
                    <m:sup>
                      <m:r>
                        <w:rPr>
                          <w:rFonts w:ascii="Cambria Math" w:hAnsi="Cambria Math" w:cs="Arial"/>
                          <w:szCs w:val="18"/>
                        </w:rPr>
                        <m:t>2</m:t>
                      </m:r>
                    </m:sup>
                  </m:sSup>
                </m:e>
                <m:sub>
                  <m:r>
                    <w:rPr>
                      <w:rFonts w:ascii="Cambria Math" w:hAnsi="Cambria Math" w:cs="Arial"/>
                      <w:szCs w:val="18"/>
                    </w:rPr>
                    <m:t>WL</m:t>
                  </m:r>
                </m:sub>
              </m:sSub>
              <m:r>
                <w:rPr>
                  <w:rFonts w:ascii="Cambria Math" w:hAnsi="Cambria Math" w:cs="Arial"/>
                  <w:szCs w:val="18"/>
                </w:rPr>
                <m:t xml:space="preserve"> ∙ ∀</m:t>
              </m:r>
            </m:num>
            <m:den>
              <m:d>
                <m:dPr>
                  <m:ctrlPr>
                    <w:rPr>
                      <w:rFonts w:ascii="Cambria Math" w:hAnsi="Cambria Math" w:cs="Arial"/>
                      <w:i/>
                      <w:szCs w:val="18"/>
                    </w:rPr>
                  </m:ctrlPr>
                </m:dPr>
                <m:e>
                  <m:r>
                    <w:rPr>
                      <w:rFonts w:ascii="Cambria Math" w:hAnsi="Cambria Math" w:cs="Arial"/>
                      <w:szCs w:val="18"/>
                    </w:rPr>
                    <m:t xml:space="preserve">12,7-1,2 ∙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num>
                    <m:den>
                      <m:r>
                        <w:rPr>
                          <w:rFonts w:ascii="Cambria Math" w:hAnsi="Cambria Math" w:cs="Arial"/>
                          <w:szCs w:val="18"/>
                        </w:rPr>
                        <m:t>H</m:t>
                      </m:r>
                    </m:den>
                  </m:f>
                </m:e>
              </m:d>
              <m:r>
                <w:rPr>
                  <w:rFonts w:ascii="Cambria Math" w:hAnsi="Cambria Math" w:cs="Arial"/>
                  <w:szCs w:val="18"/>
                </w:rPr>
                <m:t xml:space="preserve"> ∙ </m:t>
              </m:r>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den>
          </m:f>
          <m:r>
            <w:rPr>
              <w:rFonts w:ascii="Cambria Math" w:hAnsi="Cambria Math" w:cs="Arial"/>
              <w:szCs w:val="18"/>
            </w:rPr>
            <m:t xml:space="preserve"> </m:t>
          </m:r>
          <m:d>
            <m:dPr>
              <m:begChr m:val="["/>
              <m:endChr m:val="]"/>
              <m:ctrlPr>
                <w:rPr>
                  <w:rFonts w:ascii="Cambria Math" w:hAnsi="Cambria Math" w:cs="Arial"/>
                  <w:i/>
                  <w:szCs w:val="18"/>
                </w:rPr>
              </m:ctrlPr>
            </m:dPr>
            <m:e>
              <m:sSup>
                <m:sSupPr>
                  <m:ctrlPr>
                    <w:rPr>
                      <w:rFonts w:ascii="Cambria Math" w:hAnsi="Cambria Math" w:cs="Arial"/>
                      <w:i/>
                      <w:szCs w:val="18"/>
                    </w:rPr>
                  </m:ctrlPr>
                </m:sSupPr>
                <m:e>
                  <m:r>
                    <w:rPr>
                      <w:rFonts w:ascii="Cambria Math" w:hAnsi="Cambria Math" w:cs="Arial"/>
                      <w:szCs w:val="18"/>
                    </w:rPr>
                    <m:t>m</m:t>
                  </m:r>
                </m:e>
                <m:sup>
                  <m:r>
                    <w:rPr>
                      <w:rFonts w:ascii="Cambria Math" w:hAnsi="Cambria Math" w:cs="Arial"/>
                      <w:szCs w:val="18"/>
                    </w:rPr>
                    <m:t>4</m:t>
                  </m:r>
                </m:sup>
              </m:sSup>
            </m:e>
          </m:d>
        </m:oMath>
      </m:oMathPara>
    </w:p>
    <w:p w:rsidR="00BF049A" w:rsidRPr="00C903F8" w:rsidRDefault="00BF049A" w:rsidP="00BF049A">
      <w:pPr>
        <w:pStyle w:val="ESch"/>
        <w:rPr>
          <w:rFonts w:eastAsia="Calibri" w:cs="Arial"/>
          <w:szCs w:val="18"/>
        </w:rPr>
      </w:pPr>
    </w:p>
    <w:p w:rsidR="00BD3403" w:rsidRPr="00C903F8" w:rsidRDefault="00BD3403" w:rsidP="00BF049A">
      <w:pPr>
        <w:pStyle w:val="ESch"/>
        <w:rPr>
          <w:rFonts w:eastAsia="Calibri" w:cs="Arial"/>
          <w:szCs w:val="18"/>
        </w:rPr>
      </w:pPr>
    </w:p>
    <w:p w:rsidR="00BF049A" w:rsidRPr="00C903F8" w:rsidRDefault="00BF049A" w:rsidP="00BD3403">
      <w:pPr>
        <w:pStyle w:val="ES-Titre3"/>
        <w:rPr>
          <w:rFonts w:cs="Arial"/>
          <w:i/>
          <w:szCs w:val="18"/>
        </w:rPr>
      </w:pPr>
      <w:bookmarkStart w:id="490" w:name="_Toc491854242"/>
      <w:bookmarkStart w:id="491" w:name="_Toc535500191"/>
      <w:r>
        <w:t>Articolo 27.04</w:t>
      </w:r>
      <w:r>
        <w:br/>
      </w:r>
      <w:r>
        <w:rPr>
          <w:i/>
          <w:noProof/>
        </w:rPr>
        <w:t>Procedura di valutazione della stabilità a bordo</w:t>
      </w:r>
      <w:bookmarkEnd w:id="490"/>
      <w:bookmarkEnd w:id="491"/>
    </w:p>
    <w:p w:rsidR="00BD3403" w:rsidRPr="00C903F8" w:rsidRDefault="00BD3403" w:rsidP="00BF049A">
      <w:pPr>
        <w:pStyle w:val="ESch"/>
        <w:rPr>
          <w:noProof/>
        </w:rPr>
      </w:pPr>
    </w:p>
    <w:p w:rsidR="00BF049A" w:rsidRPr="00C903F8" w:rsidRDefault="00BF049A" w:rsidP="00BD3403">
      <w:pPr>
        <w:pStyle w:val="ESgauche"/>
        <w:rPr>
          <w:rFonts w:cs="Arial"/>
          <w:szCs w:val="18"/>
        </w:rPr>
      </w:pPr>
      <w:r>
        <w:t>La procedura per la valutazione della stabilità può essere determinata in base ai documenti di cui all'articolo 27.01, paragrafo 2.</w:t>
      </w:r>
    </w:p>
    <w:p w:rsidR="00BF049A" w:rsidRPr="00C903F8" w:rsidRDefault="00BF049A" w:rsidP="00973DAA">
      <w:pPr>
        <w:pStyle w:val="ESch"/>
      </w:pPr>
    </w:p>
    <w:p w:rsidR="000526B5" w:rsidRPr="00C903F8" w:rsidRDefault="000526B5" w:rsidP="00973DAA">
      <w:pPr>
        <w:pStyle w:val="ESch"/>
      </w:pPr>
    </w:p>
    <w:p w:rsidR="00A71FF0" w:rsidRPr="00C903F8" w:rsidRDefault="00A71FF0" w:rsidP="00973DAA">
      <w:pPr>
        <w:pStyle w:val="ESch"/>
      </w:pPr>
      <w:r>
        <w:br w:type="page"/>
      </w:r>
    </w:p>
    <w:p w:rsidR="00A71FF0" w:rsidRPr="00C903F8" w:rsidRDefault="00A71FF0" w:rsidP="00973DAA">
      <w:pPr>
        <w:pStyle w:val="ESch"/>
      </w:pPr>
    </w:p>
    <w:p w:rsidR="00A71FF0" w:rsidRPr="00C903F8" w:rsidRDefault="00A71FF0" w:rsidP="00973DAA">
      <w:pPr>
        <w:pStyle w:val="ESch"/>
      </w:pPr>
    </w:p>
    <w:p w:rsidR="005B2F7E" w:rsidRPr="00C903F8" w:rsidRDefault="005B2F7E" w:rsidP="00973DAA">
      <w:pPr>
        <w:pStyle w:val="ESch"/>
      </w:pPr>
    </w:p>
    <w:p w:rsidR="005B2F7E" w:rsidRPr="00C903F8" w:rsidRDefault="005B2F7E" w:rsidP="005B2F7E">
      <w:pPr>
        <w:pStyle w:val="ES-Titre2"/>
        <w:rPr>
          <w:szCs w:val="24"/>
        </w:rPr>
      </w:pPr>
      <w:bookmarkStart w:id="492" w:name="_Toc491854243"/>
      <w:bookmarkStart w:id="493" w:name="_Toc535500192"/>
      <w:r>
        <w:lastRenderedPageBreak/>
        <w:t>Capo 28</w:t>
      </w:r>
      <w:r>
        <w:br/>
      </w:r>
      <w:r>
        <w:rPr>
          <w:noProof/>
          <w:sz w:val="22"/>
        </w:rPr>
        <w:t>Disposizioni particolari per le imbarcazioni di lunghezza superiore a 110 m</w:t>
      </w:r>
      <w:bookmarkEnd w:id="492"/>
      <w:bookmarkEnd w:id="493"/>
    </w:p>
    <w:p w:rsidR="005B2F7E" w:rsidRPr="00C903F8" w:rsidRDefault="005B2F7E" w:rsidP="005B2F7E"/>
    <w:p w:rsidR="005B2F7E" w:rsidRPr="00C903F8" w:rsidRDefault="005B2F7E" w:rsidP="005B2F7E">
      <w:pPr>
        <w:pStyle w:val="ES-Titre3"/>
      </w:pPr>
      <w:bookmarkStart w:id="494" w:name="_Toc491854244"/>
      <w:bookmarkStart w:id="495" w:name="_Toc535500193"/>
      <w:r>
        <w:t>Articolo 28.01</w:t>
      </w:r>
      <w:r>
        <w:br/>
      </w:r>
      <w:r>
        <w:rPr>
          <w:i/>
          <w:noProof/>
        </w:rPr>
        <w:t>Applicazione della parte II</w:t>
      </w:r>
      <w:bookmarkEnd w:id="494"/>
      <w:bookmarkEnd w:id="495"/>
    </w:p>
    <w:p w:rsidR="005B2F7E" w:rsidRPr="00C903F8" w:rsidRDefault="005B2F7E" w:rsidP="005B2F7E">
      <w:pPr>
        <w:pStyle w:val="ESch"/>
        <w:rPr>
          <w:noProof/>
        </w:rPr>
      </w:pPr>
    </w:p>
    <w:p w:rsidR="0090753B" w:rsidRPr="00C903F8" w:rsidRDefault="0090753B" w:rsidP="0090753B">
      <w:pPr>
        <w:pStyle w:val="ESgauche"/>
      </w:pPr>
      <w:r>
        <w:t xml:space="preserve">Alle imbarcazioni di lunghezza </w:t>
      </w:r>
      <m:oMath>
        <m:r>
          <w:rPr>
            <w:rFonts w:ascii="Cambria Math" w:hAnsi="Cambria Math"/>
          </w:rPr>
          <m:t>L</m:t>
        </m:r>
      </m:oMath>
      <w:r>
        <w:t xml:space="preserve"> superiore a 110 m, oltre alle parti II e III si applicano gli articoli da 28.02 a 28.04.</w:t>
      </w:r>
    </w:p>
    <w:p w:rsidR="0090753B" w:rsidRPr="00C903F8" w:rsidRDefault="0090753B" w:rsidP="0090753B">
      <w:pPr>
        <w:pStyle w:val="ESch"/>
        <w:rPr>
          <w:noProof/>
          <w:szCs w:val="20"/>
        </w:rPr>
      </w:pPr>
    </w:p>
    <w:p w:rsidR="0090753B" w:rsidRPr="00C903F8" w:rsidRDefault="0090753B" w:rsidP="0090753B">
      <w:pPr>
        <w:pStyle w:val="ESch"/>
        <w:rPr>
          <w:noProof/>
          <w:szCs w:val="20"/>
        </w:rPr>
      </w:pPr>
    </w:p>
    <w:p w:rsidR="0090753B" w:rsidRPr="00C903F8" w:rsidRDefault="0090753B" w:rsidP="0090753B">
      <w:pPr>
        <w:pStyle w:val="ES-Titre3"/>
        <w:rPr>
          <w:i/>
          <w:noProof/>
        </w:rPr>
      </w:pPr>
      <w:bookmarkStart w:id="496" w:name="_Toc491854245"/>
      <w:bookmarkStart w:id="497" w:name="_Toc535500194"/>
      <w:r>
        <w:t>Articolo 28.02</w:t>
      </w:r>
      <w:r>
        <w:br/>
      </w:r>
      <w:r>
        <w:rPr>
          <w:i/>
          <w:noProof/>
        </w:rPr>
        <w:t>Robustezza</w:t>
      </w:r>
      <w:bookmarkEnd w:id="496"/>
      <w:bookmarkEnd w:id="497"/>
    </w:p>
    <w:p w:rsidR="0090753B" w:rsidRPr="00C903F8" w:rsidRDefault="0090753B" w:rsidP="0090753B">
      <w:pPr>
        <w:pStyle w:val="ESgauche"/>
      </w:pPr>
    </w:p>
    <w:p w:rsidR="0090753B" w:rsidRPr="00C903F8" w:rsidRDefault="0090753B" w:rsidP="0090753B">
      <w:pPr>
        <w:pStyle w:val="ESgauche"/>
      </w:pPr>
      <w:r>
        <w:t>La robustezza sufficiente dello scafo, ai sensi dell'articolo 3.02, paragrafo 1, lettera a), (robustezza longitudinale, trasversale e locale) è dimostrata mediante attestato rilasciato da un organismo di classificazione autorizzato.</w:t>
      </w:r>
    </w:p>
    <w:p w:rsidR="0090753B" w:rsidRPr="00C903F8" w:rsidRDefault="0090753B" w:rsidP="0090753B">
      <w:pPr>
        <w:pStyle w:val="ESch"/>
        <w:rPr>
          <w:rFonts w:cs="Arial"/>
          <w:szCs w:val="20"/>
        </w:rPr>
      </w:pPr>
    </w:p>
    <w:p w:rsidR="0090753B" w:rsidRPr="00C903F8" w:rsidRDefault="0090753B" w:rsidP="0090753B">
      <w:pPr>
        <w:pStyle w:val="ESch"/>
        <w:rPr>
          <w:rFonts w:cs="Arial"/>
          <w:szCs w:val="20"/>
        </w:rPr>
      </w:pPr>
    </w:p>
    <w:p w:rsidR="0090753B" w:rsidRPr="00C903F8" w:rsidRDefault="0090753B" w:rsidP="0090753B">
      <w:pPr>
        <w:pStyle w:val="ES-Titre3"/>
        <w:rPr>
          <w:i/>
          <w:noProof/>
        </w:rPr>
      </w:pPr>
      <w:bookmarkStart w:id="498" w:name="_Toc491854246"/>
      <w:bookmarkStart w:id="499" w:name="_Toc535500195"/>
      <w:r>
        <w:rPr>
          <w:i/>
          <w:noProof/>
        </w:rPr>
        <w:t>Articolo 28.03</w:t>
      </w:r>
      <w:r>
        <w:br/>
      </w:r>
      <w:r>
        <w:rPr>
          <w:i/>
          <w:noProof/>
        </w:rPr>
        <w:t>Galleggiabilità e stabilità</w:t>
      </w:r>
      <w:bookmarkEnd w:id="498"/>
      <w:bookmarkEnd w:id="499"/>
    </w:p>
    <w:p w:rsidR="0090753B" w:rsidRPr="00C903F8" w:rsidRDefault="0090753B" w:rsidP="0090753B">
      <w:pPr>
        <w:pStyle w:val="ESch"/>
        <w:rPr>
          <w:noProof/>
          <w:szCs w:val="20"/>
        </w:rPr>
      </w:pPr>
    </w:p>
    <w:p w:rsidR="0090753B" w:rsidRPr="00C903F8" w:rsidRDefault="0090753B" w:rsidP="0090753B">
      <w:pPr>
        <w:pStyle w:val="ESch"/>
        <w:rPr>
          <w:noProof/>
          <w:szCs w:val="20"/>
        </w:rPr>
      </w:pPr>
      <w:r>
        <w:t>1.</w:t>
      </w:r>
      <w:r>
        <w:tab/>
        <w:t xml:space="preserve">Alle imbarcazioni di lunghezza superiore a </w:t>
      </w:r>
      <m:oMath>
        <m:r>
          <w:rPr>
            <w:rFonts w:ascii="Cambria Math" w:hAnsi="Cambria Math"/>
            <w:noProof/>
            <w:szCs w:val="20"/>
          </w:rPr>
          <m:t>L</m:t>
        </m:r>
      </m:oMath>
      <w:r>
        <w:t xml:space="preserve"> 110 m, ad eccezione delle navi da passeggeri, si applicano i paragrafi da 2 a 10.</w:t>
      </w:r>
    </w:p>
    <w:p w:rsidR="0090753B" w:rsidRPr="00C903F8" w:rsidRDefault="0090753B" w:rsidP="0090753B">
      <w:pPr>
        <w:pStyle w:val="ESch"/>
        <w:rPr>
          <w:noProof/>
          <w:szCs w:val="20"/>
        </w:rPr>
      </w:pPr>
    </w:p>
    <w:p w:rsidR="0090753B" w:rsidRPr="00C903F8" w:rsidRDefault="0090753B" w:rsidP="0090753B">
      <w:pPr>
        <w:pStyle w:val="ESch"/>
        <w:rPr>
          <w:noProof/>
          <w:szCs w:val="20"/>
        </w:rPr>
      </w:pPr>
      <w:r>
        <w:t>2.</w:t>
      </w:r>
      <w:r>
        <w:tab/>
        <w:t>I valori di base per il calcolo della stabilità (dislocamento a nave scarica e centro di gravità) sono determinati effettuando una prova di sbandamento in conformità dell'allegato 1 della risoluzione IMO MSC 267(85)</w:t>
      </w:r>
      <w:r>
        <w:rPr>
          <w:rStyle w:val="FootnoteReference"/>
          <w:noProof/>
        </w:rPr>
        <w:footnoteReference w:id="24"/>
      </w:r>
      <w:r>
        <w:t>.</w:t>
      </w:r>
    </w:p>
    <w:p w:rsidR="0090753B" w:rsidRPr="00C903F8" w:rsidRDefault="0090753B" w:rsidP="0090753B">
      <w:pPr>
        <w:pStyle w:val="ESch"/>
        <w:rPr>
          <w:szCs w:val="20"/>
        </w:rPr>
      </w:pPr>
    </w:p>
    <w:p w:rsidR="0090753B" w:rsidRPr="00C903F8" w:rsidRDefault="0090753B" w:rsidP="0090753B">
      <w:pPr>
        <w:pStyle w:val="ESch"/>
        <w:rPr>
          <w:rFonts w:cs="Arial"/>
          <w:szCs w:val="20"/>
        </w:rPr>
      </w:pPr>
      <w:r>
        <w:t>3.</w:t>
      </w:r>
      <w:r>
        <w:tab/>
        <w:t>Il richiedente dimostra mediante un calcolo che la stabilità in condizioni di avaria della nave è appropriata. Il calcolo della fase finale di allagamento dovrebbe essere basato sul metodo per "sottrazione di carena" e le fasi intermedie di allagamento dovrebbero essere calcolate sulla base del metodo della "massa aggiunta". Tutti i calcoli sono effettuati lasciando libero il galleggiante di inclinarsi longitudinalmente e di immergersi.</w:t>
      </w:r>
    </w:p>
    <w:p w:rsidR="0090753B" w:rsidRPr="00C903F8" w:rsidRDefault="0090753B" w:rsidP="0090753B">
      <w:pPr>
        <w:pStyle w:val="ESchpar"/>
        <w:rPr>
          <w:noProof/>
        </w:rPr>
      </w:pPr>
    </w:p>
    <w:p w:rsidR="0090753B" w:rsidRPr="00C903F8" w:rsidRDefault="0090753B" w:rsidP="0090753B">
      <w:pPr>
        <w:pStyle w:val="ESchpar"/>
        <w:rPr>
          <w:noProof/>
        </w:rPr>
      </w:pPr>
      <w:r>
        <w:t>La galleggiabilità e la stabilità sufficienti della nave in caso di allagamento sono dimostrate con un carico corrispondente alla massima immersione ed equamente distribuito tra tutte le stive, con il massimo delle scorte e con il pieno di combustibile.</w:t>
      </w:r>
    </w:p>
    <w:p w:rsidR="0090753B" w:rsidRPr="00C903F8" w:rsidRDefault="0090753B" w:rsidP="0090753B">
      <w:pPr>
        <w:pStyle w:val="ESchpar"/>
        <w:rPr>
          <w:noProof/>
        </w:rPr>
      </w:pPr>
    </w:p>
    <w:p w:rsidR="0090753B" w:rsidRPr="00C903F8" w:rsidRDefault="0090753B" w:rsidP="0090753B">
      <w:pPr>
        <w:pStyle w:val="ESchpar"/>
        <w:rPr>
          <w:noProof/>
        </w:rPr>
      </w:pPr>
      <w:r>
        <w:t>Per i carichi diversificati, il calcolo della stabilità viene effettuato nelle condizioni di carico più sfavorevoli. Questo calcolo di stabilità viene effettuato a bordo.</w:t>
      </w:r>
    </w:p>
    <w:p w:rsidR="0090753B" w:rsidRPr="00C903F8" w:rsidRDefault="0090753B" w:rsidP="0090753B">
      <w:pPr>
        <w:pStyle w:val="ESchpar"/>
        <w:rPr>
          <w:noProof/>
        </w:rPr>
      </w:pPr>
    </w:p>
    <w:p w:rsidR="0090753B" w:rsidRPr="00C903F8" w:rsidRDefault="0090753B" w:rsidP="0090753B">
      <w:pPr>
        <w:pStyle w:val="ESchpar"/>
        <w:rPr>
          <w:noProof/>
        </w:rPr>
      </w:pPr>
      <w:r>
        <w:t>A tal fine la prova matematica di sufficiente stabilità è effettuata sia per le fasi intermedie di allagamento (25 %, 50 % e 75 % della fase finale di allagamento e, se del caso, per la fase immediatamente precedente l'equilibrio trasversale) sia per la fase finale di allagamento, nelle condizioni di carico specificate sopra.</w:t>
      </w:r>
    </w:p>
    <w:p w:rsidR="00894C4D" w:rsidRPr="00C903F8" w:rsidRDefault="00894C4D" w:rsidP="0090753B">
      <w:pPr>
        <w:pStyle w:val="ESch"/>
        <w:rPr>
          <w:noProof/>
          <w:szCs w:val="20"/>
        </w:rPr>
      </w:pPr>
    </w:p>
    <w:p w:rsidR="0090753B" w:rsidRPr="00C903F8" w:rsidRDefault="0090753B" w:rsidP="0090753B">
      <w:pPr>
        <w:pStyle w:val="ESch"/>
        <w:rPr>
          <w:noProof/>
          <w:szCs w:val="20"/>
        </w:rPr>
      </w:pPr>
      <w:r>
        <w:t>4.</w:t>
      </w:r>
      <w:r>
        <w:tab/>
        <w:t>Per le situazioni di avaria si assumono i valori seguenti:</w:t>
      </w:r>
    </w:p>
    <w:p w:rsidR="0090753B" w:rsidRPr="00C903F8" w:rsidRDefault="005C7859" w:rsidP="00894C4D">
      <w:pPr>
        <w:pStyle w:val="ESlet"/>
        <w:rPr>
          <w:noProof/>
        </w:rPr>
      </w:pPr>
      <w:r>
        <w:t>a)</w:t>
      </w:r>
      <w:r>
        <w:tab/>
        <w:t>dimensioni della falla laterale:</w:t>
      </w:r>
    </w:p>
    <w:p w:rsidR="0090753B" w:rsidRPr="00C903F8" w:rsidRDefault="00894C4D" w:rsidP="00894C4D">
      <w:pPr>
        <w:pStyle w:val="ESletpar"/>
        <w:rPr>
          <w:noProof/>
        </w:rPr>
      </w:pPr>
      <w:r>
        <w:t>estensione longitudinale:</w:t>
      </w:r>
      <w:r>
        <w:tab/>
        <w:t xml:space="preserve">minimo 0,10 </w:t>
      </w:r>
      <m:oMath>
        <m:r>
          <w:rPr>
            <w:rFonts w:ascii="Cambria Math" w:hAnsi="Cambria Math"/>
            <w:noProof/>
          </w:rPr>
          <m:t xml:space="preserve">L </m:t>
        </m:r>
      </m:oMath>
      <w:r>
        <w:t>;</w:t>
      </w:r>
    </w:p>
    <w:p w:rsidR="0090753B" w:rsidRPr="00C903F8" w:rsidRDefault="00894C4D" w:rsidP="00894C4D">
      <w:pPr>
        <w:pStyle w:val="ESletpar"/>
        <w:rPr>
          <w:noProof/>
        </w:rPr>
      </w:pPr>
      <w:r>
        <w:t>estensione trasversale:</w:t>
      </w:r>
      <w:r>
        <w:tab/>
        <w:t>0,59 m;</w:t>
      </w:r>
    </w:p>
    <w:p w:rsidR="0090753B" w:rsidRPr="00C903F8" w:rsidRDefault="00894C4D" w:rsidP="00894C4D">
      <w:pPr>
        <w:pStyle w:val="ESletpar"/>
        <w:rPr>
          <w:noProof/>
        </w:rPr>
      </w:pPr>
      <w:r>
        <w:t>estensione verticale:</w:t>
      </w:r>
      <w:r>
        <w:tab/>
        <w:t>dal fondo verso l'alto senza limitazione;</w:t>
      </w:r>
    </w:p>
    <w:p w:rsidR="00894C4D" w:rsidRPr="00C903F8" w:rsidRDefault="00894C4D" w:rsidP="00894C4D">
      <w:pPr>
        <w:pStyle w:val="ESlet"/>
        <w:rPr>
          <w:noProof/>
        </w:rPr>
      </w:pPr>
    </w:p>
    <w:p w:rsidR="00894C4D" w:rsidRPr="00C903F8" w:rsidRDefault="00894C4D" w:rsidP="00894C4D">
      <w:pPr>
        <w:pStyle w:val="ESlet"/>
        <w:rPr>
          <w:noProof/>
        </w:rPr>
      </w:pPr>
      <w:r>
        <w:lastRenderedPageBreak/>
        <w:br w:type="page"/>
      </w:r>
    </w:p>
    <w:p w:rsidR="0090753B" w:rsidRPr="00C903F8" w:rsidRDefault="005C7859" w:rsidP="00894C4D">
      <w:pPr>
        <w:pStyle w:val="ESlet"/>
        <w:rPr>
          <w:noProof/>
        </w:rPr>
      </w:pPr>
      <w:r>
        <w:lastRenderedPageBreak/>
        <w:t>b)</w:t>
      </w:r>
      <w:r>
        <w:tab/>
        <w:t>dimensioni della falla sul fondo:</w:t>
      </w:r>
    </w:p>
    <w:p w:rsidR="0090753B" w:rsidRPr="00C903F8" w:rsidRDefault="00894C4D" w:rsidP="00894C4D">
      <w:pPr>
        <w:pStyle w:val="ESletpar"/>
        <w:rPr>
          <w:noProof/>
        </w:rPr>
      </w:pPr>
      <w:r>
        <w:t>estensione longitudinale:</w:t>
      </w:r>
      <w:r>
        <w:tab/>
        <w:t xml:space="preserve">almeno </w:t>
      </w:r>
      <m:oMath>
        <m:r>
          <w:rPr>
            <w:rFonts w:ascii="Cambria Math" w:hAnsi="Cambria Math"/>
            <w:noProof/>
          </w:rPr>
          <m:t>0,10 L</m:t>
        </m:r>
      </m:oMath>
      <w:r>
        <w:t>;</w:t>
      </w:r>
    </w:p>
    <w:p w:rsidR="0090753B" w:rsidRPr="00C903F8" w:rsidRDefault="00894C4D" w:rsidP="00894C4D">
      <w:pPr>
        <w:pStyle w:val="ESletpar"/>
        <w:rPr>
          <w:noProof/>
        </w:rPr>
      </w:pPr>
      <w:r>
        <w:t>estensione trasversale:</w:t>
      </w:r>
      <w:r>
        <w:tab/>
        <w:t>3,00 m;</w:t>
      </w:r>
    </w:p>
    <w:p w:rsidR="0090753B" w:rsidRPr="00C903F8" w:rsidRDefault="00894C4D" w:rsidP="00894C4D">
      <w:pPr>
        <w:pStyle w:val="ESletpar"/>
        <w:rPr>
          <w:noProof/>
        </w:rPr>
      </w:pPr>
      <w:r>
        <w:t>estensione verticale:</w:t>
      </w:r>
      <w:r>
        <w:tab/>
        <w:t>dalla base fino a 0,39 m, escluso il pozzo di sentina;</w:t>
      </w:r>
    </w:p>
    <w:p w:rsidR="0090753B" w:rsidRPr="00C903F8" w:rsidRDefault="005C7859" w:rsidP="00894C4D">
      <w:pPr>
        <w:pStyle w:val="ESlet"/>
        <w:rPr>
          <w:noProof/>
        </w:rPr>
      </w:pPr>
      <w:r>
        <w:t>c)</w:t>
      </w:r>
      <w:r>
        <w:tab/>
        <w:t>tutte le paratie situate nella zona interessata dalla falla sono considerate danneggiate e la distribuzione di tali paratie è pertanto studiata in modo da garantire la galleggiabilità dopo l’allagamento di due o tre compartimenti contigui, posti sulla stessa linea longitudinale. Per quanto riguarda la sala macchine principale, è preso in considerazione un solo compartimento, vale a dire che si considerano intatte le paratie che delimitano le estremità della sala macchine.</w:t>
      </w:r>
    </w:p>
    <w:p w:rsidR="0090753B" w:rsidRPr="00C903F8" w:rsidRDefault="0090753B" w:rsidP="00894C4D">
      <w:pPr>
        <w:pStyle w:val="ESletpar"/>
        <w:rPr>
          <w:rFonts w:cs="Arial"/>
        </w:rPr>
      </w:pPr>
      <w:r>
        <w:t>Nel caso di avaria localizzata sul fondo della nave, si considerano allagati anche i compartimenti trasversali allo scafo;</w:t>
      </w:r>
    </w:p>
    <w:p w:rsidR="0090753B" w:rsidRPr="00C903F8" w:rsidRDefault="0029453D" w:rsidP="00894C4D">
      <w:pPr>
        <w:pStyle w:val="ESlet"/>
        <w:rPr>
          <w:noProof/>
        </w:rPr>
      </w:pPr>
      <w:r>
        <w:t>d)</w:t>
      </w:r>
      <w:r>
        <w:tab/>
        <w:t>permeabilità</w:t>
      </w:r>
    </w:p>
    <w:p w:rsidR="0090753B" w:rsidRPr="00C903F8" w:rsidRDefault="0090753B" w:rsidP="00894C4D">
      <w:pPr>
        <w:pStyle w:val="ESletpar"/>
        <w:rPr>
          <w:noProof/>
        </w:rPr>
      </w:pPr>
      <w:r>
        <w:t>si assume una permeabilità del 95 %.</w:t>
      </w:r>
    </w:p>
    <w:p w:rsidR="0090753B" w:rsidRPr="00C903F8" w:rsidRDefault="0090753B" w:rsidP="00894C4D">
      <w:pPr>
        <w:pStyle w:val="ESletpar"/>
        <w:rPr>
          <w:noProof/>
        </w:rPr>
      </w:pPr>
      <w:r>
        <w:t>Se tramite prova di calcolo la permeabilità media di un compartimento risulta inferiore al 95 %, può essere assunto invece tale valore.</w:t>
      </w:r>
    </w:p>
    <w:p w:rsidR="0090753B" w:rsidRPr="00C903F8" w:rsidRDefault="0090753B" w:rsidP="00894C4D">
      <w:pPr>
        <w:pStyle w:val="ESletpar"/>
        <w:rPr>
          <w:noProof/>
        </w:rPr>
      </w:pPr>
      <w:r>
        <w:t>I valori utilizzati non devono essere inferiori a:</w:t>
      </w:r>
    </w:p>
    <w:p w:rsidR="00241CDC" w:rsidRPr="00C903F8" w:rsidRDefault="00241CDC" w:rsidP="00241CDC">
      <w:pPr>
        <w:pStyle w:val="ESch"/>
        <w:rPr>
          <w:noProof/>
        </w:rPr>
      </w:pPr>
    </w:p>
    <w:tbl>
      <w:tblPr>
        <w:tblW w:w="0" w:type="auto"/>
        <w:tblInd w:w="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7"/>
        <w:gridCol w:w="1418"/>
      </w:tblGrid>
      <w:tr w:rsidR="00241CDC" w:rsidRPr="00C903F8" w:rsidTr="00DB6EC2">
        <w:tc>
          <w:tcPr>
            <w:tcW w:w="6747" w:type="dxa"/>
            <w:shd w:val="clear" w:color="auto" w:fill="auto"/>
            <w:vAlign w:val="center"/>
          </w:tcPr>
          <w:p w:rsidR="00241CDC" w:rsidRPr="00C903F8" w:rsidRDefault="00241CDC" w:rsidP="00DB6EC2">
            <w:pPr>
              <w:pStyle w:val="ESletpar"/>
              <w:spacing w:after="60"/>
              <w:ind w:left="0"/>
              <w:rPr>
                <w:rFonts w:eastAsia="Batang"/>
              </w:rPr>
            </w:pPr>
            <w:r>
              <w:t>Sale macchine e locali di servizio</w:t>
            </w:r>
          </w:p>
        </w:tc>
        <w:tc>
          <w:tcPr>
            <w:tcW w:w="1418" w:type="dxa"/>
            <w:shd w:val="clear" w:color="auto" w:fill="auto"/>
            <w:vAlign w:val="center"/>
          </w:tcPr>
          <w:p w:rsidR="00241CDC" w:rsidRPr="00C903F8" w:rsidRDefault="00241CDC" w:rsidP="00DA4114">
            <w:pPr>
              <w:pStyle w:val="ESletpar"/>
              <w:spacing w:after="60"/>
              <w:ind w:left="0"/>
              <w:jc w:val="center"/>
              <w:rPr>
                <w:rFonts w:eastAsia="Batang"/>
              </w:rPr>
            </w:pPr>
            <w:r>
              <w:t>85 %</w:t>
            </w:r>
          </w:p>
        </w:tc>
      </w:tr>
      <w:tr w:rsidR="00241CDC" w:rsidRPr="00C903F8" w:rsidTr="00DB6EC2">
        <w:tc>
          <w:tcPr>
            <w:tcW w:w="6747" w:type="dxa"/>
            <w:shd w:val="clear" w:color="auto" w:fill="auto"/>
            <w:vAlign w:val="center"/>
          </w:tcPr>
          <w:p w:rsidR="00241CDC" w:rsidRPr="00C903F8" w:rsidRDefault="00241CDC" w:rsidP="00DB6EC2">
            <w:pPr>
              <w:pStyle w:val="ESletpar"/>
              <w:spacing w:after="60"/>
              <w:ind w:left="0"/>
              <w:rPr>
                <w:rFonts w:eastAsia="Batang"/>
              </w:rPr>
            </w:pPr>
            <w:r>
              <w:t>Stive di carico</w:t>
            </w:r>
          </w:p>
        </w:tc>
        <w:tc>
          <w:tcPr>
            <w:tcW w:w="1418" w:type="dxa"/>
            <w:shd w:val="clear" w:color="auto" w:fill="auto"/>
            <w:vAlign w:val="center"/>
          </w:tcPr>
          <w:p w:rsidR="00241CDC" w:rsidRPr="00C903F8" w:rsidRDefault="00241CDC" w:rsidP="00DA4114">
            <w:pPr>
              <w:pStyle w:val="ESletpar"/>
              <w:spacing w:after="60"/>
              <w:ind w:left="0"/>
              <w:jc w:val="center"/>
              <w:rPr>
                <w:rFonts w:eastAsia="Batang"/>
              </w:rPr>
            </w:pPr>
            <w:r>
              <w:t>70 %</w:t>
            </w:r>
          </w:p>
        </w:tc>
      </w:tr>
      <w:tr w:rsidR="00241CDC" w:rsidRPr="00C903F8" w:rsidTr="00DB6EC2">
        <w:tc>
          <w:tcPr>
            <w:tcW w:w="6747" w:type="dxa"/>
            <w:shd w:val="clear" w:color="auto" w:fill="auto"/>
            <w:vAlign w:val="center"/>
          </w:tcPr>
          <w:p w:rsidR="00241CDC" w:rsidRPr="00C903F8" w:rsidRDefault="00241CDC" w:rsidP="00DB6EC2">
            <w:pPr>
              <w:pStyle w:val="ESletpar"/>
              <w:spacing w:after="60"/>
              <w:ind w:left="0"/>
              <w:rPr>
                <w:rFonts w:eastAsia="Batang"/>
              </w:rPr>
            </w:pPr>
            <w:r>
              <w:t>Doppi fondi, serbatoi per il combustibile, cisterne di zavorra ecc., a seconda che tali serbatoi, in base alla loro destinazione, debbano essere considerati pieni o vuoti, affinché il galleggiamento sia garantito alla massima immersione ammissibile</w:t>
            </w:r>
          </w:p>
        </w:tc>
        <w:tc>
          <w:tcPr>
            <w:tcW w:w="1418" w:type="dxa"/>
            <w:shd w:val="clear" w:color="auto" w:fill="auto"/>
            <w:vAlign w:val="center"/>
          </w:tcPr>
          <w:p w:rsidR="00241CDC" w:rsidRPr="00C903F8" w:rsidRDefault="00241CDC" w:rsidP="00DA4114">
            <w:pPr>
              <w:pStyle w:val="ESletpar"/>
              <w:spacing w:after="60"/>
              <w:ind w:left="0"/>
              <w:jc w:val="center"/>
              <w:rPr>
                <w:rFonts w:eastAsia="Batang"/>
              </w:rPr>
            </w:pPr>
            <w:r>
              <w:t>0 o 95 %.</w:t>
            </w:r>
          </w:p>
        </w:tc>
      </w:tr>
    </w:tbl>
    <w:p w:rsidR="00241CDC" w:rsidRPr="00C903F8" w:rsidRDefault="00241CDC" w:rsidP="00241CDC">
      <w:pPr>
        <w:pStyle w:val="ESch"/>
        <w:rPr>
          <w:noProof/>
        </w:rPr>
      </w:pPr>
    </w:p>
    <w:p w:rsidR="0090753B" w:rsidRPr="00C903F8" w:rsidRDefault="0029453D" w:rsidP="00894C4D">
      <w:pPr>
        <w:pStyle w:val="ESlet"/>
        <w:rPr>
          <w:rFonts w:cs="Arial"/>
        </w:rPr>
      </w:pPr>
      <w:r>
        <w:t>e)</w:t>
      </w:r>
      <w:r>
        <w:tab/>
        <w:t>il calcolo dell'effetto delle superfici libere nelle fasi intermedie di allagamento si basa sulla superficie lorda dei compartimenti in avaria.</w:t>
      </w:r>
    </w:p>
    <w:p w:rsidR="00894C4D" w:rsidRPr="00C903F8" w:rsidRDefault="00894C4D" w:rsidP="0090753B">
      <w:pPr>
        <w:pStyle w:val="ESch"/>
        <w:rPr>
          <w:noProof/>
          <w:szCs w:val="20"/>
        </w:rPr>
      </w:pPr>
    </w:p>
    <w:p w:rsidR="0090753B" w:rsidRPr="00C903F8" w:rsidRDefault="0090753B" w:rsidP="0090753B">
      <w:pPr>
        <w:pStyle w:val="ESch"/>
        <w:rPr>
          <w:noProof/>
          <w:szCs w:val="20"/>
        </w:rPr>
      </w:pPr>
      <w:r>
        <w:t>5.</w:t>
      </w:r>
      <w:r>
        <w:tab/>
        <w:t>Per tutte le fasi intermedie di allagamento di cui al paragrafo 3 sono soddisfatti i seguenti criteri:</w:t>
      </w:r>
    </w:p>
    <w:p w:rsidR="0090753B" w:rsidRPr="00C903F8" w:rsidRDefault="005C7859" w:rsidP="00894C4D">
      <w:pPr>
        <w:pStyle w:val="ESlet"/>
        <w:rPr>
          <w:noProof/>
        </w:rPr>
      </w:pPr>
      <w:r>
        <w:t>a)</w:t>
      </w:r>
      <w:r>
        <w:tab/>
        <w:t xml:space="preserve">l'angolo di sbandamento </w:t>
      </w:r>
      <m:oMath>
        <m:r>
          <w:rPr>
            <w:rFonts w:ascii="Cambria Math" w:hAnsi="Cambria Math"/>
            <w:noProof/>
          </w:rPr>
          <m:t>φ</m:t>
        </m:r>
      </m:oMath>
      <w:r>
        <w:t xml:space="preserve"> nella posizione di equilibrio della fase intermedia in questione non deve superare 15° (5° quando i container non sono messi in sicurezza);</w:t>
      </w:r>
    </w:p>
    <w:p w:rsidR="0090753B" w:rsidRPr="00C903F8" w:rsidRDefault="005C7859" w:rsidP="00894C4D">
      <w:pPr>
        <w:pStyle w:val="ESlet"/>
        <w:rPr>
          <w:rFonts w:cs="Arial"/>
        </w:rPr>
      </w:pPr>
      <w:r>
        <w:t>b)</w:t>
      </w:r>
      <w:r>
        <w:tab/>
        <w:t xml:space="preserve">oltre allo sbandamento nella posizione di equilibrio della fase intermedia in questione, la parte positiva della curva del braccio raddrizzante mostra un valore del braccio raddrizzante di </w:t>
      </w:r>
      <m:oMath>
        <m:r>
          <w:rPr>
            <w:rFonts w:ascii="Cambria Math" w:hAnsi="Cambria Math"/>
            <w:noProof/>
          </w:rPr>
          <m:t>GZ ≥0,02 m</m:t>
        </m:r>
      </m:oMath>
      <w:r>
        <w:t xml:space="preserve"> (0,03 m quando i container non sono messi in sicurezza) anteriormente all'immersione della prima apertura non protetta o prima che sia raggiunto un angolo di sbandamento </w:t>
      </w:r>
      <m:oMath>
        <m:r>
          <w:rPr>
            <w:rFonts w:ascii="Cambria Math" w:hAnsi="Cambria Math"/>
            <w:noProof/>
          </w:rPr>
          <m:t>φ</m:t>
        </m:r>
      </m:oMath>
      <w:r>
        <w:t xml:space="preserve"> di 27° (15° quando i container non sono messi in sicurezza);</w:t>
      </w:r>
    </w:p>
    <w:p w:rsidR="0090753B" w:rsidRPr="00C903F8" w:rsidRDefault="005C7859" w:rsidP="00894C4D">
      <w:pPr>
        <w:pStyle w:val="ESlet"/>
        <w:rPr>
          <w:noProof/>
        </w:rPr>
      </w:pPr>
      <w:r>
        <w:t>c)</w:t>
      </w:r>
      <w:r>
        <w:tab/>
        <w:t>le aperture non a tenuta stagna non sono immerse prima che sia stato raggiunto lo sbandamento nella posizione di equilibrio della fase intermedia in questione.</w:t>
      </w:r>
    </w:p>
    <w:p w:rsidR="00894C4D" w:rsidRPr="00C903F8" w:rsidRDefault="00894C4D" w:rsidP="0090753B">
      <w:pPr>
        <w:pStyle w:val="ESch"/>
        <w:rPr>
          <w:noProof/>
          <w:szCs w:val="20"/>
        </w:rPr>
      </w:pPr>
    </w:p>
    <w:p w:rsidR="0090753B" w:rsidRPr="00C903F8" w:rsidRDefault="0090753B" w:rsidP="0090753B">
      <w:pPr>
        <w:pStyle w:val="ESch"/>
        <w:rPr>
          <w:noProof/>
          <w:szCs w:val="20"/>
        </w:rPr>
      </w:pPr>
      <w:r>
        <w:t>6.</w:t>
      </w:r>
      <w:r>
        <w:tab/>
        <w:t>Durante la fase finale di allagamento, sono soddisfatti i seguenti criteri:</w:t>
      </w:r>
    </w:p>
    <w:p w:rsidR="0090753B" w:rsidRPr="00C903F8" w:rsidRDefault="005C7859" w:rsidP="00894C4D">
      <w:pPr>
        <w:pStyle w:val="ESlet"/>
        <w:rPr>
          <w:noProof/>
        </w:rPr>
      </w:pPr>
      <w:r>
        <w:t>a)</w:t>
      </w:r>
      <w:r>
        <w:tab/>
        <w:t>il bordo inferiore di qualsiasi apertura non a tenuta stagna all'acqua (ad esempio porte, finestre, portelli d'accesso) si trova ad almeno 0,10 m sopra la linea di galleggiamento danneggiata;</w:t>
      </w:r>
    </w:p>
    <w:p w:rsidR="0090753B" w:rsidRPr="00C903F8" w:rsidRDefault="005C7859" w:rsidP="00894C4D">
      <w:pPr>
        <w:pStyle w:val="ESlet"/>
        <w:rPr>
          <w:noProof/>
        </w:rPr>
      </w:pPr>
      <w:r>
        <w:t>b)</w:t>
      </w:r>
      <w:r>
        <w:tab/>
        <w:t xml:space="preserve">l'angolo di sbandamento </w:t>
      </w:r>
      <m:oMath>
        <m:r>
          <w:rPr>
            <w:rFonts w:ascii="Cambria Math" w:hAnsi="Cambria Math"/>
            <w:noProof/>
          </w:rPr>
          <m:t>φ</m:t>
        </m:r>
      </m:oMath>
      <w:r>
        <w:t xml:space="preserve"> nella posizione di equilibrio non deve superare 12° (5° quando i container non sono messi in sicurezza);</w:t>
      </w:r>
    </w:p>
    <w:p w:rsidR="00894C4D" w:rsidRPr="00C903F8" w:rsidRDefault="00894C4D" w:rsidP="00894C4D">
      <w:pPr>
        <w:pStyle w:val="ESlet"/>
        <w:rPr>
          <w:noProof/>
        </w:rPr>
      </w:pPr>
    </w:p>
    <w:p w:rsidR="00894C4D" w:rsidRPr="00C903F8" w:rsidRDefault="00894C4D" w:rsidP="00894C4D">
      <w:pPr>
        <w:pStyle w:val="ESlet"/>
        <w:rPr>
          <w:noProof/>
        </w:rPr>
      </w:pPr>
      <w:r>
        <w:br w:type="page"/>
      </w:r>
    </w:p>
    <w:p w:rsidR="0090753B" w:rsidRPr="00C903F8" w:rsidRDefault="005C7859" w:rsidP="00894C4D">
      <w:pPr>
        <w:pStyle w:val="ESlet"/>
        <w:rPr>
          <w:noProof/>
        </w:rPr>
      </w:pPr>
      <w:r>
        <w:lastRenderedPageBreak/>
        <w:t>c)</w:t>
      </w:r>
      <w:r>
        <w:tab/>
        <w:t xml:space="preserve">oltre allo sbandamento nella posizione di equilibrio della fase intermedia in questione, la parte positiva della curva del braccio raddrizzante mostra un valore del braccio raddrizzante di </w:t>
      </w:r>
      <m:oMath>
        <m:sSub>
          <m:sSubPr>
            <m:ctrlPr>
              <w:rPr>
                <w:rFonts w:ascii="Cambria Math" w:hAnsi="Cambria Math"/>
                <w:i/>
                <w:noProof/>
              </w:rPr>
            </m:ctrlPr>
          </m:sSubPr>
          <m:e>
            <m:r>
              <w:rPr>
                <w:rFonts w:ascii="Cambria Math" w:hAnsi="Cambria Math"/>
                <w:noProof/>
              </w:rPr>
              <m:t>GZ</m:t>
            </m:r>
          </m:e>
          <m:sub>
            <m:r>
              <w:rPr>
                <w:rFonts w:ascii="Cambria Math" w:hAnsi="Cambria Math"/>
                <w:noProof/>
              </w:rPr>
              <m:t>R</m:t>
            </m:r>
          </m:sub>
        </m:sSub>
        <m:r>
          <w:rPr>
            <w:rFonts w:ascii="Cambria Math" w:hAnsi="Cambria Math"/>
            <w:noProof/>
          </w:rPr>
          <m:t xml:space="preserve"> ≥0,05 m</m:t>
        </m:r>
      </m:oMath>
      <w:r>
        <w:t xml:space="preserve"> e l'area sotto la curva raggiunge almeno </w:t>
      </w:r>
      <m:oMath>
        <m:r>
          <w:rPr>
            <w:rFonts w:ascii="Cambria Math" w:hAnsi="Cambria Math"/>
            <w:noProof/>
          </w:rPr>
          <m:t>0,0065 m ∙rad</m:t>
        </m:r>
      </m:oMath>
      <w:r>
        <w:t xml:space="preserve"> anteriormente all'immersione della prima apertura non protetta o prima che sia raggiunto un angolo di sbandamento </w:t>
      </w:r>
      <m:oMath>
        <m:r>
          <w:rPr>
            <w:rFonts w:ascii="Cambria Math" w:hAnsi="Cambria Math"/>
            <w:noProof/>
          </w:rPr>
          <m:t>φ</m:t>
        </m:r>
      </m:oMath>
      <w:r>
        <w:t xml:space="preserve"> di 27° (10° quando i container non sono messi in sicurezza);</w:t>
      </w:r>
    </w:p>
    <w:p w:rsidR="004A75F7" w:rsidRPr="00C903F8" w:rsidRDefault="004A75F7" w:rsidP="001E7C77">
      <w:pPr>
        <w:pStyle w:val="ESch"/>
        <w:rPr>
          <w:noProof/>
          <w:szCs w:val="20"/>
        </w:rPr>
      </w:pPr>
    </w:p>
    <w:p w:rsidR="001E7C77" w:rsidRPr="00C903F8" w:rsidRDefault="006A4701" w:rsidP="006A4701">
      <w:pPr>
        <w:pStyle w:val="ESch"/>
        <w:ind w:firstLine="0"/>
        <w:jc w:val="center"/>
        <w:rPr>
          <w:noProof/>
          <w:szCs w:val="20"/>
        </w:rPr>
      </w:pPr>
      <w:r>
        <w:rPr>
          <w:noProof/>
          <w:szCs w:val="20"/>
          <w:lang w:val="en-GB" w:eastAsia="en-GB" w:bidi="ar-SA"/>
        </w:rPr>
        <w:drawing>
          <wp:inline distT="0" distB="0" distL="0" distR="0" wp14:anchorId="7104810E" wp14:editId="54D7EFB2">
            <wp:extent cx="4782312" cy="2740152"/>
            <wp:effectExtent l="0" t="0" r="0" b="3175"/>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ES_Trin_courbe_28_03_6c_en.jpg"/>
                    <pic:cNvPicPr/>
                  </pic:nvPicPr>
                  <pic:blipFill>
                    <a:blip r:embed="rId26">
                      <a:extLst>
                        <a:ext uri="{28A0092B-C50C-407E-A947-70E740481C1C}">
                          <a14:useLocalDpi xmlns:a14="http://schemas.microsoft.com/office/drawing/2010/main" val="0"/>
                        </a:ext>
                      </a:extLst>
                    </a:blip>
                    <a:stretch>
                      <a:fillRect/>
                    </a:stretch>
                  </pic:blipFill>
                  <pic:spPr>
                    <a:xfrm>
                      <a:off x="0" y="0"/>
                      <a:ext cx="4782312" cy="2740152"/>
                    </a:xfrm>
                    <a:prstGeom prst="rect">
                      <a:avLst/>
                    </a:prstGeom>
                  </pic:spPr>
                </pic:pic>
              </a:graphicData>
            </a:graphic>
          </wp:inline>
        </w:drawing>
      </w:r>
    </w:p>
    <w:p w:rsidR="00001079" w:rsidRPr="00C903F8" w:rsidRDefault="00001079" w:rsidP="00894C4D">
      <w:pPr>
        <w:pStyle w:val="ESlet"/>
        <w:rPr>
          <w:noProof/>
        </w:rPr>
      </w:pPr>
    </w:p>
    <w:p w:rsidR="0090753B" w:rsidRPr="00C903F8" w:rsidRDefault="0029453D" w:rsidP="00894C4D">
      <w:pPr>
        <w:pStyle w:val="ESlet"/>
        <w:rPr>
          <w:noProof/>
        </w:rPr>
      </w:pPr>
      <w:r>
        <w:t>d)</w:t>
      </w:r>
      <w:r>
        <w:tab/>
        <w:t>se delle aperture non a tenuta stagna vengono immerse prima che venga raggiunta la posizione di equilibrio, le sale che consentono l'accesso sono considerate allagate ai fini del calcolo della stabilità in condizioni di avaria.</w:t>
      </w:r>
    </w:p>
    <w:p w:rsidR="00310312" w:rsidRPr="00C903F8" w:rsidRDefault="00310312" w:rsidP="0090753B">
      <w:pPr>
        <w:pStyle w:val="ESch"/>
        <w:rPr>
          <w:noProof/>
          <w:szCs w:val="20"/>
        </w:rPr>
      </w:pPr>
    </w:p>
    <w:p w:rsidR="0090753B" w:rsidRPr="00C903F8" w:rsidRDefault="0090753B" w:rsidP="0090753B">
      <w:pPr>
        <w:pStyle w:val="ESch"/>
        <w:rPr>
          <w:noProof/>
          <w:szCs w:val="20"/>
        </w:rPr>
      </w:pPr>
      <w:r>
        <w:t>7.</w:t>
      </w:r>
      <w:r>
        <w:tab/>
        <w:t>Se ci sono aperture di bilanciamento trasversale per ridurre l’allagamento asimmetrico, vengono soddisfatte le seguenti condizioni:</w:t>
      </w:r>
    </w:p>
    <w:p w:rsidR="0090753B" w:rsidRPr="00C903F8" w:rsidRDefault="005C7859" w:rsidP="00310312">
      <w:pPr>
        <w:pStyle w:val="ESlet"/>
        <w:rPr>
          <w:noProof/>
        </w:rPr>
      </w:pPr>
      <w:r>
        <w:t>a)</w:t>
      </w:r>
      <w:r>
        <w:tab/>
        <w:t>per il calcolo del bilanciamento trasversale si applica la risoluzione IMO A.266 (VIII);</w:t>
      </w:r>
    </w:p>
    <w:p w:rsidR="0090753B" w:rsidRPr="00C903F8" w:rsidRDefault="005C7859" w:rsidP="00310312">
      <w:pPr>
        <w:pStyle w:val="ESlet"/>
        <w:rPr>
          <w:noProof/>
        </w:rPr>
      </w:pPr>
      <w:r>
        <w:t>b)</w:t>
      </w:r>
      <w:r>
        <w:tab/>
        <w:t>sono automatiche;</w:t>
      </w:r>
    </w:p>
    <w:p w:rsidR="0090753B" w:rsidRPr="00C903F8" w:rsidRDefault="005C7859" w:rsidP="00310312">
      <w:pPr>
        <w:pStyle w:val="ESlet"/>
        <w:rPr>
          <w:noProof/>
        </w:rPr>
      </w:pPr>
      <w:r>
        <w:t>c)</w:t>
      </w:r>
      <w:r>
        <w:tab/>
        <w:t>non sono dotate di dispositivi di interruzione dell’erogazione;</w:t>
      </w:r>
    </w:p>
    <w:p w:rsidR="0090753B" w:rsidRPr="00C903F8" w:rsidRDefault="0029453D" w:rsidP="00310312">
      <w:pPr>
        <w:pStyle w:val="ESlet"/>
        <w:rPr>
          <w:noProof/>
        </w:rPr>
      </w:pPr>
      <w:r>
        <w:t>d)</w:t>
      </w:r>
      <w:r>
        <w:tab/>
        <w:t>il tempo totale consentito per il riequilibrio non supera i 15 minuti.</w:t>
      </w:r>
    </w:p>
    <w:p w:rsidR="00310312" w:rsidRPr="00C903F8" w:rsidRDefault="00310312" w:rsidP="0090753B">
      <w:pPr>
        <w:pStyle w:val="ESch"/>
        <w:rPr>
          <w:noProof/>
          <w:szCs w:val="20"/>
        </w:rPr>
      </w:pPr>
    </w:p>
    <w:p w:rsidR="0090753B" w:rsidRPr="00C903F8" w:rsidRDefault="0090753B" w:rsidP="0090753B">
      <w:pPr>
        <w:pStyle w:val="ESch"/>
        <w:rPr>
          <w:noProof/>
          <w:szCs w:val="20"/>
        </w:rPr>
      </w:pPr>
      <w:r>
        <w:t>8.</w:t>
      </w:r>
      <w:r>
        <w:tab/>
        <w:t>Se le aperture attraverso le quali l’allagamento può estendersi anche ai compartimenti non danneggiati possono essere chiuse a tenuta stagna, i dispositivi di chiusura recano le seguenti istruzioni facilmente leggibili su entrambi i lati:</w:t>
      </w:r>
    </w:p>
    <w:p w:rsidR="0090753B" w:rsidRPr="00C903F8" w:rsidRDefault="007E1D94" w:rsidP="00B006DB">
      <w:pPr>
        <w:pStyle w:val="ESlet"/>
        <w:jc w:val="center"/>
        <w:rPr>
          <w:noProof/>
        </w:rPr>
      </w:pPr>
      <w:r>
        <w:t>"chiudere immediatamente dopo il passaggio".</w:t>
      </w:r>
    </w:p>
    <w:p w:rsidR="00310312" w:rsidRPr="00C903F8" w:rsidRDefault="00310312" w:rsidP="0090753B">
      <w:pPr>
        <w:pStyle w:val="ESch"/>
        <w:rPr>
          <w:noProof/>
          <w:szCs w:val="20"/>
        </w:rPr>
      </w:pPr>
    </w:p>
    <w:p w:rsidR="0090753B" w:rsidRPr="00C903F8" w:rsidRDefault="0090753B" w:rsidP="0090753B">
      <w:pPr>
        <w:pStyle w:val="ESch"/>
        <w:rPr>
          <w:noProof/>
          <w:szCs w:val="20"/>
        </w:rPr>
      </w:pPr>
      <w:r>
        <w:t>9.</w:t>
      </w:r>
      <w:r>
        <w:tab/>
        <w:t>La dimostrazione mediante calcolo conformemente ai paragrafi da 3 a 7 si considera fornita se i calcoli sulla stabilità in condizioni di avaria effettuati in base alla parte 9 dell'ADN hanno dato esito positivo.</w:t>
      </w:r>
    </w:p>
    <w:p w:rsidR="00310312" w:rsidRPr="00C903F8" w:rsidRDefault="00310312" w:rsidP="0090753B">
      <w:pPr>
        <w:pStyle w:val="ESch"/>
        <w:rPr>
          <w:noProof/>
          <w:szCs w:val="20"/>
        </w:rPr>
      </w:pPr>
    </w:p>
    <w:p w:rsidR="0090753B" w:rsidRPr="00C903F8" w:rsidRDefault="0090753B" w:rsidP="0090753B">
      <w:pPr>
        <w:pStyle w:val="ESch"/>
        <w:rPr>
          <w:noProof/>
          <w:szCs w:val="20"/>
        </w:rPr>
      </w:pPr>
      <w:r>
        <w:t>10.</w:t>
      </w:r>
      <w:r>
        <w:tab/>
        <w:t>Se necessario per soddisfare i requisiti di cui al paragrafo 3, il piano di massima immersione è nuovamente determinato.</w:t>
      </w:r>
    </w:p>
    <w:p w:rsidR="0090753B" w:rsidRPr="00C903F8" w:rsidRDefault="0090753B" w:rsidP="0090753B">
      <w:pPr>
        <w:pStyle w:val="ESch"/>
        <w:rPr>
          <w:rFonts w:cs="Arial"/>
          <w:szCs w:val="20"/>
        </w:rPr>
      </w:pPr>
    </w:p>
    <w:p w:rsidR="00310312" w:rsidRPr="00C903F8" w:rsidRDefault="00310312" w:rsidP="0090753B">
      <w:pPr>
        <w:pStyle w:val="ESch"/>
        <w:rPr>
          <w:rFonts w:cs="Arial"/>
          <w:szCs w:val="20"/>
        </w:rPr>
      </w:pPr>
    </w:p>
    <w:p w:rsidR="00310312" w:rsidRPr="00C903F8" w:rsidRDefault="00310312" w:rsidP="0090753B">
      <w:pPr>
        <w:pStyle w:val="ESch"/>
        <w:rPr>
          <w:rFonts w:cs="Arial"/>
          <w:szCs w:val="20"/>
        </w:rPr>
      </w:pPr>
      <w:r>
        <w:br w:type="page"/>
      </w:r>
    </w:p>
    <w:p w:rsidR="0090753B" w:rsidRPr="00C903F8" w:rsidRDefault="0090753B" w:rsidP="00310312">
      <w:pPr>
        <w:pStyle w:val="ES-Titre3"/>
        <w:rPr>
          <w:i/>
          <w:noProof/>
        </w:rPr>
      </w:pPr>
      <w:bookmarkStart w:id="500" w:name="_Toc491854247"/>
      <w:bookmarkStart w:id="501" w:name="_Toc535500196"/>
      <w:r>
        <w:lastRenderedPageBreak/>
        <w:t>Articolo 28.04</w:t>
      </w:r>
      <w:r>
        <w:br/>
      </w:r>
      <w:r>
        <w:rPr>
          <w:i/>
          <w:noProof/>
        </w:rPr>
        <w:t>Requisiti supplementari</w:t>
      </w:r>
      <w:bookmarkEnd w:id="500"/>
      <w:bookmarkEnd w:id="501"/>
    </w:p>
    <w:p w:rsidR="00310312" w:rsidRPr="00C903F8" w:rsidRDefault="00310312" w:rsidP="0090753B">
      <w:pPr>
        <w:pStyle w:val="ESch"/>
        <w:rPr>
          <w:b/>
          <w:noProof/>
          <w:szCs w:val="20"/>
        </w:rPr>
      </w:pPr>
    </w:p>
    <w:p w:rsidR="0090753B" w:rsidRPr="00C903F8" w:rsidRDefault="0090753B" w:rsidP="0090753B">
      <w:pPr>
        <w:pStyle w:val="ESch"/>
        <w:rPr>
          <w:noProof/>
          <w:szCs w:val="20"/>
        </w:rPr>
      </w:pPr>
      <w:r>
        <w:t>1.</w:t>
      </w:r>
      <w:r>
        <w:tab/>
        <w:t xml:space="preserve">Le imbarcazioni di lunghezza </w:t>
      </w:r>
      <m:oMath>
        <m:r>
          <w:rPr>
            <w:rFonts w:ascii="Cambria Math" w:hAnsi="Cambria Math"/>
            <w:noProof/>
            <w:szCs w:val="20"/>
          </w:rPr>
          <m:t>L</m:t>
        </m:r>
      </m:oMath>
      <w:r>
        <w:t xml:space="preserve"> superiore a 110 m:</w:t>
      </w:r>
    </w:p>
    <w:p w:rsidR="00AD176C" w:rsidRPr="00C903F8" w:rsidRDefault="005C7859" w:rsidP="00310312">
      <w:pPr>
        <w:pStyle w:val="ESlet"/>
        <w:rPr>
          <w:noProof/>
        </w:rPr>
      </w:pPr>
      <w:r>
        <w:t>a)</w:t>
      </w:r>
      <w:r>
        <w:tab/>
        <w:t xml:space="preserve">dispongono di un sistema di propulsione a più eliche, dotato di almeno due motori indipendenti di pari potenza e di un'elica di prua comandato dalla timoneria e funzionante anche quando l'imbarcazione è vuota; </w:t>
      </w:r>
    </w:p>
    <w:p w:rsidR="0090753B" w:rsidRPr="00C903F8" w:rsidRDefault="0090753B" w:rsidP="00AD176C">
      <w:pPr>
        <w:pStyle w:val="ESletpar"/>
        <w:rPr>
          <w:noProof/>
        </w:rPr>
      </w:pPr>
      <w:r>
        <w:t>oppure</w:t>
      </w:r>
    </w:p>
    <w:p w:rsidR="0090753B" w:rsidRPr="00C903F8" w:rsidRDefault="0090753B" w:rsidP="00310312">
      <w:pPr>
        <w:pStyle w:val="ESletpar"/>
        <w:rPr>
          <w:noProof/>
        </w:rPr>
      </w:pPr>
      <w:r>
        <w:t>dispongono di un sistema di propulsione monoelica, e di un'elica di prua comandato dalla timoneria e alimentato da una fonte di energia indipendente, funzionante anche quando l'imbarcazione è vuota e in grado di garantire la propulsione in caso di avaria del sistema principale;</w:t>
      </w:r>
    </w:p>
    <w:p w:rsidR="0090753B" w:rsidRPr="00C903F8" w:rsidRDefault="005C7859" w:rsidP="00310312">
      <w:pPr>
        <w:pStyle w:val="ESlet"/>
        <w:rPr>
          <w:noProof/>
        </w:rPr>
      </w:pPr>
      <w:r>
        <w:t>b)</w:t>
      </w:r>
      <w:r>
        <w:tab/>
        <w:t>dispongono di un impianto radar di navigazione con indicatore della velocità di accostata, conforme alle disposizioni dell'articolo 7.06, paragrafo 1;</w:t>
      </w:r>
    </w:p>
    <w:p w:rsidR="0090753B" w:rsidRPr="00C903F8" w:rsidRDefault="005C7859" w:rsidP="00310312">
      <w:pPr>
        <w:pStyle w:val="ESlet"/>
        <w:rPr>
          <w:noProof/>
        </w:rPr>
      </w:pPr>
      <w:r>
        <w:t>c)</w:t>
      </w:r>
      <w:r>
        <w:tab/>
        <w:t>dispongono di un impianto fisso di esaurimento della sentina, conforme alle disposizioni dell'articolo 8.08;</w:t>
      </w:r>
    </w:p>
    <w:p w:rsidR="0090753B" w:rsidRPr="00C903F8" w:rsidRDefault="0029453D" w:rsidP="00310312">
      <w:pPr>
        <w:pStyle w:val="ESlet"/>
        <w:rPr>
          <w:noProof/>
        </w:rPr>
      </w:pPr>
      <w:r>
        <w:t>d)</w:t>
      </w:r>
      <w:r>
        <w:tab/>
        <w:t>soddisfano i requisiti di cui all'articolo 31.09, paragrafo 1.1.</w:t>
      </w:r>
    </w:p>
    <w:p w:rsidR="00310312" w:rsidRPr="00C903F8" w:rsidRDefault="00310312" w:rsidP="0090753B">
      <w:pPr>
        <w:pStyle w:val="ESch"/>
        <w:rPr>
          <w:noProof/>
          <w:szCs w:val="20"/>
        </w:rPr>
      </w:pPr>
    </w:p>
    <w:p w:rsidR="0090753B" w:rsidRPr="00C903F8" w:rsidRDefault="0090753B" w:rsidP="0090753B">
      <w:pPr>
        <w:pStyle w:val="ESch"/>
        <w:rPr>
          <w:noProof/>
          <w:szCs w:val="20"/>
        </w:rPr>
      </w:pPr>
      <w:r>
        <w:t>2.</w:t>
      </w:r>
      <w:r>
        <w:tab/>
        <w:t xml:space="preserve">In deroga al paragrafo 1 e considerando le disposizioni di sicurezza della navigazione applicabili per talune zone di navigazione negli Stati membri, per le imbarcazioni, ad eccezione delle navi da passeggeri, di lunghezza </w:t>
      </w:r>
      <m:oMath>
        <m:r>
          <w:rPr>
            <w:rFonts w:ascii="Cambria Math" w:hAnsi="Cambria Math"/>
            <w:noProof/>
            <w:szCs w:val="20"/>
          </w:rPr>
          <m:t>L</m:t>
        </m:r>
      </m:oMath>
      <w:r>
        <w:t xml:space="preserve"> superiore a 110 m, che:</w:t>
      </w:r>
    </w:p>
    <w:p w:rsidR="00FC5FF6" w:rsidRDefault="005C7859" w:rsidP="00310312">
      <w:pPr>
        <w:pStyle w:val="ESlet"/>
        <w:rPr>
          <w:noProof/>
        </w:rPr>
      </w:pPr>
      <w:r>
        <w:t>a)</w:t>
      </w:r>
      <w:r>
        <w:tab/>
        <w:t>rispettano il paragrafo 1, lettere da a) a d);</w:t>
      </w:r>
    </w:p>
    <w:p w:rsidR="0090753B" w:rsidRPr="00C903F8" w:rsidRDefault="00FC5FF6" w:rsidP="00310312">
      <w:pPr>
        <w:pStyle w:val="ESlet"/>
        <w:rPr>
          <w:noProof/>
        </w:rPr>
      </w:pPr>
      <w:r>
        <w:t>b)</w:t>
      </w:r>
      <w:r>
        <w:tab/>
        <w:t>in caso di incidente, possono essere separate nel terzo medio dell'imbarcazione senza ricorrere ad attrezzature di salvataggio pesanti e le cui parti separate restano a galla dopo la separazione;</w:t>
      </w:r>
    </w:p>
    <w:p w:rsidR="0090753B" w:rsidRPr="00C903F8" w:rsidRDefault="00E56841" w:rsidP="00310312">
      <w:pPr>
        <w:pStyle w:val="ESlet"/>
        <w:rPr>
          <w:noProof/>
        </w:rPr>
      </w:pPr>
      <w:r>
        <w:t>c)</w:t>
      </w:r>
      <w:r>
        <w:tab/>
        <w:t>sono provviste di un'evidenza, tenuta a bordo e rilasciata da un organismo di classificazione autorizzato, relativa alla galleggiabilità, all'assetto e alla stabilità delle parti separate dell'imbarcazione, con l'indicazione del livello di carico al di sopra del quale la galleggiabilità delle due parti non è più assicurata;</w:t>
      </w:r>
    </w:p>
    <w:p w:rsidR="0090753B" w:rsidRPr="00C903F8" w:rsidRDefault="00E56841" w:rsidP="00310312">
      <w:pPr>
        <w:pStyle w:val="ESlet"/>
        <w:rPr>
          <w:rFonts w:cs="Arial"/>
        </w:rPr>
      </w:pPr>
      <w:r>
        <w:t>d)</w:t>
      </w:r>
      <w:r>
        <w:tab/>
        <w:t>sono costruite con un doppio scafo in conformità dell'ADN, laddove alle motonavi si applicano le sezioni da 9.1.0.91 a 9.1.0.95, e alle motonavi-cisterna il paragrafo 9.3.2.11.7 e le sezioni da 9.3.2.13 a 9.3.2.15 della parte 9 dell'ADN;</w:t>
      </w:r>
    </w:p>
    <w:p w:rsidR="0090753B" w:rsidRPr="00C903F8" w:rsidRDefault="00E56841" w:rsidP="00310312">
      <w:pPr>
        <w:pStyle w:val="ESlet"/>
        <w:rPr>
          <w:rFonts w:cs="Arial"/>
        </w:rPr>
      </w:pPr>
      <w:r>
        <w:t>e)</w:t>
      </w:r>
      <w:r>
        <w:tab/>
        <w:t>dispongono di un sistema di propulsione a più eliche conformemente al paragrafo 1, lettera a), prima metà della frase,</w:t>
      </w:r>
    </w:p>
    <w:p w:rsidR="00447377" w:rsidRDefault="00447377" w:rsidP="00447377">
      <w:pPr>
        <w:pStyle w:val="ESchpar"/>
        <w:rPr>
          <w:noProof/>
        </w:rPr>
      </w:pPr>
    </w:p>
    <w:p w:rsidR="0090753B" w:rsidRPr="00C903F8" w:rsidRDefault="0090753B" w:rsidP="00447377">
      <w:pPr>
        <w:pStyle w:val="ESchpar"/>
        <w:rPr>
          <w:rFonts w:cs="Arial"/>
        </w:rPr>
      </w:pPr>
      <w:r>
        <w:t>il certificato per la navigazione interna precisa, nella rubrica 52, che sono conformi a tutti i requisiti di cui alle lettere da a) a e).</w:t>
      </w:r>
    </w:p>
    <w:p w:rsidR="00310312" w:rsidRPr="00C903F8" w:rsidRDefault="00310312" w:rsidP="0090753B">
      <w:pPr>
        <w:pStyle w:val="ESch"/>
        <w:rPr>
          <w:noProof/>
          <w:szCs w:val="20"/>
        </w:rPr>
      </w:pPr>
    </w:p>
    <w:p w:rsidR="0090753B" w:rsidRPr="00C903F8" w:rsidRDefault="0090753B" w:rsidP="0090753B">
      <w:pPr>
        <w:pStyle w:val="ESch"/>
        <w:rPr>
          <w:rFonts w:cs="Arial"/>
          <w:szCs w:val="20"/>
        </w:rPr>
      </w:pPr>
      <w:r>
        <w:t>3.</w:t>
      </w:r>
      <w:r>
        <w:tab/>
        <w:t xml:space="preserve">In deroga al paragrafo 1 e considerando le disposizioni di sicurezza della navigazione applicabili per talune zone di navigazione negli Stati membri, per le navi da passeggeri di lunghezza </w:t>
      </w:r>
      <m:oMath>
        <m:r>
          <w:rPr>
            <w:rFonts w:ascii="Cambria Math" w:hAnsi="Cambria Math"/>
            <w:noProof/>
            <w:szCs w:val="20"/>
          </w:rPr>
          <m:t>L</m:t>
        </m:r>
      </m:oMath>
      <w:r>
        <w:t xml:space="preserve"> superiore a 110 m, che:</w:t>
      </w:r>
    </w:p>
    <w:p w:rsidR="00FC5FF6" w:rsidRDefault="00FC5FF6" w:rsidP="00310312">
      <w:pPr>
        <w:pStyle w:val="ESlet"/>
        <w:rPr>
          <w:noProof/>
        </w:rPr>
      </w:pPr>
      <w:r>
        <w:t>a)</w:t>
      </w:r>
      <w:r>
        <w:tab/>
        <w:t>rispettano il paragrafo 1, lettere da a) a d);</w:t>
      </w:r>
    </w:p>
    <w:p w:rsidR="0090753B" w:rsidRPr="00C903F8" w:rsidRDefault="00FC5FF6" w:rsidP="00310312">
      <w:pPr>
        <w:pStyle w:val="ESlet"/>
        <w:rPr>
          <w:rFonts w:cs="Arial"/>
        </w:rPr>
      </w:pPr>
      <w:r>
        <w:t>b)</w:t>
      </w:r>
      <w:r>
        <w:tab/>
        <w:t>sono costruite o modificate per la classe superiore sotto il controllo di un organismo di classificazione autorizzato, nel qual caso la conformità è comprovata da un attestato rilasciato dall'organismo di classificazione. Il mantenimento della classe non è necessario;</w:t>
      </w:r>
    </w:p>
    <w:p w:rsidR="00310312" w:rsidRPr="00C903F8" w:rsidRDefault="00310312" w:rsidP="00310312">
      <w:pPr>
        <w:pStyle w:val="ESlet"/>
        <w:rPr>
          <w:noProof/>
        </w:rPr>
      </w:pPr>
      <w:r>
        <w:br w:type="page"/>
      </w:r>
    </w:p>
    <w:p w:rsidR="00FC5FF6" w:rsidRPr="00C903F8" w:rsidRDefault="00FC5FF6" w:rsidP="00FC5FF6">
      <w:pPr>
        <w:pStyle w:val="ESlet"/>
        <w:rPr>
          <w:noProof/>
        </w:rPr>
      </w:pPr>
      <w:r>
        <w:lastRenderedPageBreak/>
        <w:t>c)</w:t>
      </w:r>
      <w:r>
        <w:tab/>
        <w:t>dispongono di un doppio fondo di altezza non inferiore a 600 mm e presentano una compartimentazione tale che, in caso di allagamento di due compartimenti stagni contigui, la nave non affondi oltre la linea limite e rimanga una distanza di sicurezza residua pari a 100 mm;</w:t>
      </w:r>
    </w:p>
    <w:p w:rsidR="00FC5FF6" w:rsidRPr="00C903F8" w:rsidRDefault="00FC5FF6" w:rsidP="00FC5FF6">
      <w:pPr>
        <w:pStyle w:val="ESletpar"/>
        <w:rPr>
          <w:noProof/>
        </w:rPr>
      </w:pPr>
      <w:r>
        <w:t>oppure</w:t>
      </w:r>
    </w:p>
    <w:p w:rsidR="00FC5FF6" w:rsidRPr="00C903F8" w:rsidRDefault="00FC5FF6" w:rsidP="00FC5FF6">
      <w:pPr>
        <w:pStyle w:val="ESletpar"/>
        <w:rPr>
          <w:noProof/>
        </w:rPr>
      </w:pPr>
      <w:r>
        <w:t>dispongono di un doppio fondo di altezza non inferiore a 600 mm e di un doppio scafo con una distanza di almeno 800 mm tra la parete laterale del galleggiante e la paratia longitudinale;</w:t>
      </w:r>
    </w:p>
    <w:p w:rsidR="0090753B" w:rsidRPr="00C903F8" w:rsidRDefault="00FC5FF6" w:rsidP="00310312">
      <w:pPr>
        <w:pStyle w:val="ESlet"/>
        <w:rPr>
          <w:noProof/>
        </w:rPr>
      </w:pPr>
      <w:r>
        <w:t>d)</w:t>
      </w:r>
      <w:r>
        <w:tab/>
        <w:t>dispongono di un sistema di propulsione a più eliche, dotato di almeno due motori indipendenti di pari potenza e di un'elica di prua comandata dalla timoneria e funzionante sia in senso longitudinale che trasversale;</w:t>
      </w:r>
    </w:p>
    <w:p w:rsidR="0090753B" w:rsidRPr="00C903F8" w:rsidRDefault="00FC5FF6" w:rsidP="00310312">
      <w:pPr>
        <w:pStyle w:val="ESlet"/>
        <w:rPr>
          <w:noProof/>
        </w:rPr>
      </w:pPr>
      <w:r>
        <w:t>e)</w:t>
      </w:r>
      <w:r>
        <w:tab/>
        <w:t>dispongono di ancore di poppa comandate direttamente dalla timoneria,</w:t>
      </w:r>
    </w:p>
    <w:p w:rsidR="00447377" w:rsidRDefault="00447377" w:rsidP="00447377">
      <w:pPr>
        <w:pStyle w:val="ESchpar"/>
        <w:rPr>
          <w:noProof/>
        </w:rPr>
      </w:pPr>
    </w:p>
    <w:p w:rsidR="0090753B" w:rsidRPr="00C903F8" w:rsidRDefault="0090753B" w:rsidP="00447377">
      <w:pPr>
        <w:pStyle w:val="ESchpar"/>
        <w:rPr>
          <w:noProof/>
        </w:rPr>
      </w:pPr>
      <w:r>
        <w:t>il certificato per la navigazione interna precisa, nella rubrica 52, che sono conformi a tutti i requisiti di cui alle lettere da a) a e).</w:t>
      </w:r>
    </w:p>
    <w:p w:rsidR="0090753B" w:rsidRPr="00C903F8" w:rsidRDefault="0090753B" w:rsidP="0090753B">
      <w:pPr>
        <w:pStyle w:val="ESch"/>
        <w:rPr>
          <w:rFonts w:eastAsia="Arial" w:cs="Arial"/>
          <w:noProof/>
          <w:snapToGrid w:val="0"/>
          <w:color w:val="000000"/>
          <w:szCs w:val="20"/>
        </w:rPr>
      </w:pPr>
    </w:p>
    <w:p w:rsidR="0090753B" w:rsidRPr="00C903F8" w:rsidRDefault="0090753B" w:rsidP="0090753B">
      <w:pPr>
        <w:pStyle w:val="ESch"/>
        <w:rPr>
          <w:rFonts w:cs="Arial"/>
          <w:szCs w:val="20"/>
        </w:rPr>
      </w:pPr>
    </w:p>
    <w:p w:rsidR="00451B55" w:rsidRPr="00C903F8" w:rsidRDefault="00451B55" w:rsidP="0090753B">
      <w:pPr>
        <w:pStyle w:val="ESch"/>
        <w:rPr>
          <w:rFonts w:cs="Arial"/>
          <w:szCs w:val="20"/>
        </w:rPr>
      </w:pPr>
      <w:r>
        <w:br w:type="page"/>
      </w:r>
    </w:p>
    <w:p w:rsidR="0090753B" w:rsidRPr="00C903F8" w:rsidRDefault="0090753B" w:rsidP="0090753B">
      <w:pPr>
        <w:pStyle w:val="ESch"/>
        <w:rPr>
          <w:rFonts w:cs="Arial"/>
          <w:szCs w:val="20"/>
        </w:rPr>
      </w:pPr>
    </w:p>
    <w:p w:rsidR="0035236A" w:rsidRPr="00C903F8" w:rsidRDefault="0035236A" w:rsidP="0035236A">
      <w:pPr>
        <w:pStyle w:val="ES-Titre2"/>
        <w:rPr>
          <w:szCs w:val="24"/>
        </w:rPr>
      </w:pPr>
      <w:bookmarkStart w:id="502" w:name="_Toc491854248"/>
      <w:bookmarkStart w:id="503" w:name="_Toc535500197"/>
      <w:r>
        <w:lastRenderedPageBreak/>
        <w:t>Capo 29</w:t>
      </w:r>
      <w:r>
        <w:br/>
      </w:r>
      <w:r>
        <w:rPr>
          <w:noProof/>
          <w:sz w:val="22"/>
        </w:rPr>
        <w:t>Disposizioni particolari per le unità veloci</w:t>
      </w:r>
      <w:bookmarkEnd w:id="502"/>
      <w:bookmarkEnd w:id="503"/>
    </w:p>
    <w:p w:rsidR="0035236A" w:rsidRPr="00C903F8" w:rsidRDefault="0035236A" w:rsidP="007407E1">
      <w:pPr>
        <w:pStyle w:val="ESgauche"/>
      </w:pPr>
    </w:p>
    <w:p w:rsidR="0035236A" w:rsidRPr="00C903F8" w:rsidRDefault="0035236A" w:rsidP="0035236A">
      <w:pPr>
        <w:pStyle w:val="ES-Titre3"/>
      </w:pPr>
      <w:bookmarkStart w:id="504" w:name="_Toc491854249"/>
      <w:bookmarkStart w:id="505" w:name="_Toc535500198"/>
      <w:r>
        <w:t>Articolo 29.01</w:t>
      </w:r>
      <w:r>
        <w:br/>
      </w:r>
      <w:r>
        <w:rPr>
          <w:i/>
          <w:noProof/>
        </w:rPr>
        <w:t>Aspetti generali</w:t>
      </w:r>
      <w:bookmarkEnd w:id="504"/>
      <w:bookmarkEnd w:id="505"/>
    </w:p>
    <w:p w:rsidR="0035236A" w:rsidRPr="00C903F8" w:rsidRDefault="0035236A" w:rsidP="0035236A">
      <w:pPr>
        <w:pStyle w:val="ESch"/>
        <w:rPr>
          <w:noProof/>
        </w:rPr>
      </w:pPr>
    </w:p>
    <w:p w:rsidR="00125490" w:rsidRPr="00C903F8" w:rsidRDefault="00125490" w:rsidP="00125490">
      <w:pPr>
        <w:pStyle w:val="ESch"/>
        <w:rPr>
          <w:noProof/>
        </w:rPr>
      </w:pPr>
      <w:r>
        <w:t>1.</w:t>
      </w:r>
      <w:r>
        <w:tab/>
        <w:t>Le unità veloci non possono essere costruite come navi cabinate.</w:t>
      </w:r>
    </w:p>
    <w:p w:rsidR="00125490" w:rsidRPr="00C903F8" w:rsidRDefault="00125490" w:rsidP="00125490">
      <w:pPr>
        <w:pStyle w:val="ESch"/>
        <w:rPr>
          <w:noProof/>
        </w:rPr>
      </w:pPr>
    </w:p>
    <w:p w:rsidR="00125490" w:rsidRPr="00C903F8" w:rsidRDefault="00125490" w:rsidP="00125490">
      <w:pPr>
        <w:pStyle w:val="ESch"/>
        <w:rPr>
          <w:noProof/>
        </w:rPr>
      </w:pPr>
      <w:r>
        <w:t>2.</w:t>
      </w:r>
      <w:r>
        <w:tab/>
        <w:t>I seguenti impianti sono vietati a bordo di unità veloci:</w:t>
      </w:r>
    </w:p>
    <w:p w:rsidR="00125490" w:rsidRPr="00C903F8" w:rsidRDefault="005C7859" w:rsidP="00125490">
      <w:pPr>
        <w:pStyle w:val="ESlet"/>
        <w:rPr>
          <w:noProof/>
        </w:rPr>
      </w:pPr>
      <w:r>
        <w:t>a)</w:t>
      </w:r>
      <w:r>
        <w:tab/>
        <w:t>apparecchi a miccia di cui all'articolo 16.02;</w:t>
      </w:r>
    </w:p>
    <w:p w:rsidR="00125490" w:rsidRPr="00C903F8" w:rsidRDefault="005C7859" w:rsidP="00125490">
      <w:pPr>
        <w:pStyle w:val="ESlet"/>
        <w:rPr>
          <w:noProof/>
        </w:rPr>
      </w:pPr>
      <w:r>
        <w:t>b)</w:t>
      </w:r>
      <w:r>
        <w:tab/>
        <w:t>caldaie a olio combustibile con bruciatore a vaporizzazione di cui agli articoli 16.03 e 16.04;</w:t>
      </w:r>
    </w:p>
    <w:p w:rsidR="00125490" w:rsidRPr="00C903F8" w:rsidRDefault="005C7859" w:rsidP="00125490">
      <w:pPr>
        <w:pStyle w:val="ESlet"/>
        <w:rPr>
          <w:noProof/>
        </w:rPr>
      </w:pPr>
      <w:r>
        <w:t>c)</w:t>
      </w:r>
      <w:r>
        <w:tab/>
        <w:t>impianti di riscaldamento a combustibile solido di cui all'articolo 16.07;</w:t>
      </w:r>
    </w:p>
    <w:p w:rsidR="00125490" w:rsidRPr="00C903F8" w:rsidRDefault="0029453D" w:rsidP="00125490">
      <w:pPr>
        <w:pStyle w:val="ESlet"/>
        <w:rPr>
          <w:noProof/>
        </w:rPr>
      </w:pPr>
      <w:r>
        <w:t>d)</w:t>
      </w:r>
      <w:r>
        <w:tab/>
        <w:t>impianti a gas liquefatto di cui al capo 17.</w:t>
      </w:r>
    </w:p>
    <w:p w:rsidR="00125490" w:rsidRPr="00C903F8" w:rsidRDefault="00125490" w:rsidP="00125490">
      <w:pPr>
        <w:pStyle w:val="ESch"/>
        <w:rPr>
          <w:rFonts w:cs="Arial"/>
          <w:szCs w:val="20"/>
        </w:rPr>
      </w:pPr>
    </w:p>
    <w:p w:rsidR="00125490" w:rsidRPr="00C903F8" w:rsidRDefault="00F33F55" w:rsidP="00125490">
      <w:pPr>
        <w:pStyle w:val="ESch"/>
        <w:rPr>
          <w:noProof/>
          <w:szCs w:val="20"/>
        </w:rPr>
      </w:pPr>
      <w:r>
        <w:t>3.</w:t>
      </w:r>
      <w:r>
        <w:tab/>
        <w:t>Le unità veloci sono costruite e classificate sotto il controllo di un organismo di classificazione autorizzato, che dispone di norme specifiche per le unità veloci, e in conformità delle norme da essa applicabili. La classe è mantenuta.</w:t>
      </w:r>
    </w:p>
    <w:p w:rsidR="00125490" w:rsidRPr="00C903F8" w:rsidRDefault="00125490" w:rsidP="00125490">
      <w:pPr>
        <w:pStyle w:val="ESch"/>
        <w:rPr>
          <w:noProof/>
          <w:szCs w:val="20"/>
        </w:rPr>
      </w:pPr>
    </w:p>
    <w:p w:rsidR="00125490" w:rsidRPr="00C903F8" w:rsidRDefault="00125490" w:rsidP="00125490">
      <w:pPr>
        <w:pStyle w:val="ESch"/>
        <w:rPr>
          <w:noProof/>
          <w:szCs w:val="20"/>
        </w:rPr>
      </w:pPr>
    </w:p>
    <w:p w:rsidR="00125490" w:rsidRPr="00C903F8" w:rsidRDefault="00125490" w:rsidP="00125490">
      <w:pPr>
        <w:pStyle w:val="ES-Titre3"/>
        <w:rPr>
          <w:i/>
          <w:noProof/>
        </w:rPr>
      </w:pPr>
      <w:bookmarkStart w:id="506" w:name="_Toc491854250"/>
      <w:bookmarkStart w:id="507" w:name="_Toc535500199"/>
      <w:r>
        <w:t>Articolo 29.02</w:t>
      </w:r>
      <w:r>
        <w:br/>
      </w:r>
      <w:r>
        <w:rPr>
          <w:i/>
          <w:noProof/>
        </w:rPr>
        <w:t>Applicazione delle parti II e III</w:t>
      </w:r>
      <w:bookmarkEnd w:id="506"/>
      <w:bookmarkEnd w:id="507"/>
    </w:p>
    <w:p w:rsidR="00125490" w:rsidRPr="00C903F8" w:rsidRDefault="00125490" w:rsidP="00125490">
      <w:pPr>
        <w:pStyle w:val="ESch"/>
        <w:rPr>
          <w:noProof/>
          <w:szCs w:val="20"/>
        </w:rPr>
      </w:pPr>
    </w:p>
    <w:p w:rsidR="00125490" w:rsidRPr="00C903F8" w:rsidRDefault="00125490" w:rsidP="00125490">
      <w:pPr>
        <w:pStyle w:val="ESch"/>
        <w:rPr>
          <w:noProof/>
          <w:szCs w:val="20"/>
        </w:rPr>
      </w:pPr>
      <w:r>
        <w:t>1.</w:t>
      </w:r>
      <w:r>
        <w:tab/>
        <w:t>Fatto salvo il paragrafo 2, i capi da 3 a 19 si applicano alle unità veloci, fatta eccezione per le seguenti disposizioni:</w:t>
      </w:r>
    </w:p>
    <w:p w:rsidR="00125490" w:rsidRPr="00C903F8" w:rsidRDefault="005C7859" w:rsidP="00125490">
      <w:pPr>
        <w:pStyle w:val="ESlet"/>
        <w:rPr>
          <w:noProof/>
        </w:rPr>
      </w:pPr>
      <w:r>
        <w:t>a)</w:t>
      </w:r>
      <w:r>
        <w:tab/>
        <w:t>articolo 3.04, paragrafo 6, secondo comma;</w:t>
      </w:r>
    </w:p>
    <w:p w:rsidR="00125490" w:rsidRPr="00C903F8" w:rsidRDefault="005C7859" w:rsidP="00125490">
      <w:pPr>
        <w:pStyle w:val="ESlet"/>
        <w:rPr>
          <w:noProof/>
        </w:rPr>
      </w:pPr>
      <w:r>
        <w:t>b)</w:t>
      </w:r>
      <w:r>
        <w:tab/>
        <w:t>articolo 8.08, paragrafo 2, seconda frase;</w:t>
      </w:r>
    </w:p>
    <w:p w:rsidR="00125490" w:rsidRPr="00C903F8" w:rsidRDefault="005C7859" w:rsidP="00125490">
      <w:pPr>
        <w:pStyle w:val="ESlet"/>
        <w:rPr>
          <w:noProof/>
        </w:rPr>
      </w:pPr>
      <w:r>
        <w:t>c)</w:t>
      </w:r>
      <w:r>
        <w:tab/>
        <w:t>articolo 14.02, paragrafo 4, seconda e terza frase;</w:t>
      </w:r>
    </w:p>
    <w:p w:rsidR="00125490" w:rsidRPr="00C903F8" w:rsidRDefault="0029453D" w:rsidP="00125490">
      <w:pPr>
        <w:pStyle w:val="ESlet"/>
        <w:rPr>
          <w:noProof/>
        </w:rPr>
      </w:pPr>
      <w:r>
        <w:t>d)</w:t>
      </w:r>
      <w:r>
        <w:tab/>
        <w:t>articolo 15.02, paragrafo 4, seconda frase;</w:t>
      </w:r>
    </w:p>
    <w:p w:rsidR="00125490" w:rsidRPr="00C903F8" w:rsidRDefault="0029453D" w:rsidP="00125490">
      <w:pPr>
        <w:pStyle w:val="ESlet"/>
        <w:rPr>
          <w:noProof/>
        </w:rPr>
      </w:pPr>
      <w:r>
        <w:t>e)</w:t>
      </w:r>
      <w:r>
        <w:tab/>
        <w:t>articolo 19.06, paragrafo 3, lettera a), seconda frase.</w:t>
      </w:r>
    </w:p>
    <w:p w:rsidR="00125490" w:rsidRPr="00C903F8" w:rsidRDefault="00125490" w:rsidP="00125490">
      <w:pPr>
        <w:pStyle w:val="ESch"/>
        <w:rPr>
          <w:noProof/>
          <w:szCs w:val="20"/>
        </w:rPr>
      </w:pPr>
    </w:p>
    <w:p w:rsidR="00125490" w:rsidRPr="00C903F8" w:rsidRDefault="00125490" w:rsidP="00125490">
      <w:pPr>
        <w:pStyle w:val="ESch"/>
        <w:rPr>
          <w:noProof/>
          <w:szCs w:val="20"/>
        </w:rPr>
      </w:pPr>
      <w:r>
        <w:t>2.</w:t>
      </w:r>
      <w:r>
        <w:tab/>
        <w:t>In deroga all'articolo 19.02, paragrafo 9, e all'articolo 19.15, paragrafo 7, tutte le porte delle paratie stagne all'acqua sono comandate a distanza.</w:t>
      </w:r>
    </w:p>
    <w:p w:rsidR="00125490" w:rsidRPr="00C903F8" w:rsidRDefault="00125490" w:rsidP="00125490">
      <w:pPr>
        <w:pStyle w:val="ESch"/>
        <w:rPr>
          <w:noProof/>
          <w:szCs w:val="20"/>
        </w:rPr>
      </w:pPr>
    </w:p>
    <w:p w:rsidR="00125490" w:rsidRPr="00C903F8" w:rsidRDefault="00125490" w:rsidP="00125490">
      <w:pPr>
        <w:pStyle w:val="ESch"/>
        <w:rPr>
          <w:noProof/>
          <w:szCs w:val="20"/>
        </w:rPr>
      </w:pPr>
      <w:r>
        <w:t>3.</w:t>
      </w:r>
      <w:r>
        <w:tab/>
        <w:t>In deroga all'articolo 6.02, paragrafo 1, in caso di guasto o anomalia del dispositivo di azionamento del mezzo di governo entra in funzione immediatamente un secondo dispositivo di azionamento del mezzo di governo indipendente oppure un dispositivo di azionamento manuale.</w:t>
      </w:r>
    </w:p>
    <w:p w:rsidR="00125490" w:rsidRPr="00C903F8" w:rsidRDefault="00125490" w:rsidP="00125490">
      <w:pPr>
        <w:pStyle w:val="ESch"/>
        <w:rPr>
          <w:noProof/>
          <w:szCs w:val="20"/>
        </w:rPr>
      </w:pPr>
    </w:p>
    <w:p w:rsidR="00125490" w:rsidRPr="00C903F8" w:rsidRDefault="00125490" w:rsidP="00125490">
      <w:pPr>
        <w:pStyle w:val="ESch"/>
        <w:rPr>
          <w:noProof/>
          <w:szCs w:val="20"/>
        </w:rPr>
      </w:pPr>
      <w:r>
        <w:t>4.</w:t>
      </w:r>
      <w:r>
        <w:tab/>
        <w:t>Oltre ai requisiti di cui ai paragrafi da 1 a 3, le unità veloci devono soddisfare i requisiti di cui agli articoli da 29.03 a 29.10.</w:t>
      </w:r>
    </w:p>
    <w:p w:rsidR="00125490" w:rsidRPr="00C903F8" w:rsidRDefault="00125490" w:rsidP="00125490">
      <w:pPr>
        <w:pStyle w:val="ESch"/>
        <w:rPr>
          <w:rFonts w:cs="Arial"/>
          <w:szCs w:val="20"/>
        </w:rPr>
      </w:pPr>
    </w:p>
    <w:p w:rsidR="00125490" w:rsidRPr="00C903F8" w:rsidRDefault="00125490" w:rsidP="00125490">
      <w:pPr>
        <w:pStyle w:val="ESch"/>
        <w:rPr>
          <w:rFonts w:cs="Arial"/>
          <w:szCs w:val="20"/>
        </w:rPr>
      </w:pPr>
      <w:r>
        <w:br w:type="page"/>
      </w:r>
    </w:p>
    <w:p w:rsidR="00125490" w:rsidRPr="00C903F8" w:rsidRDefault="00125490" w:rsidP="00125490">
      <w:pPr>
        <w:pStyle w:val="ES-Titre3"/>
        <w:rPr>
          <w:i/>
          <w:noProof/>
        </w:rPr>
      </w:pPr>
      <w:bookmarkStart w:id="508" w:name="_Toc491854251"/>
      <w:bookmarkStart w:id="509" w:name="_Toc535500200"/>
      <w:r>
        <w:lastRenderedPageBreak/>
        <w:t>Articolo 29.03</w:t>
      </w:r>
      <w:r>
        <w:br/>
      </w:r>
      <w:r>
        <w:rPr>
          <w:i/>
          <w:noProof/>
        </w:rPr>
        <w:t>Posti a sedere e cinture di sicurezza</w:t>
      </w:r>
      <w:bookmarkEnd w:id="508"/>
      <w:bookmarkEnd w:id="509"/>
    </w:p>
    <w:p w:rsidR="00125490" w:rsidRPr="00C903F8" w:rsidRDefault="00125490" w:rsidP="00125490">
      <w:pPr>
        <w:pStyle w:val="ESch"/>
        <w:rPr>
          <w:noProof/>
          <w:szCs w:val="20"/>
        </w:rPr>
      </w:pPr>
    </w:p>
    <w:p w:rsidR="00125490" w:rsidRPr="00C903F8" w:rsidRDefault="00125490" w:rsidP="009B3495">
      <w:pPr>
        <w:pStyle w:val="ESgauche"/>
      </w:pPr>
      <w:r>
        <w:t>Devono essere disponibili posti a sedere per il numero massimo di persone ammesse a bordo. I posti a sedere sono provvisti di cinture di sicurezza. Si può derogare all'obbligo delle cinture di sicurezza se esistono protezioni adeguate in caso di impatto o se le cinture non sono richieste a norma del capo 4, parte 6, del codice HSC 2000.</w:t>
      </w:r>
    </w:p>
    <w:p w:rsidR="00125490" w:rsidRPr="00C903F8" w:rsidRDefault="00125490" w:rsidP="00125490">
      <w:pPr>
        <w:pStyle w:val="ESch"/>
        <w:rPr>
          <w:rFonts w:cs="Arial"/>
          <w:szCs w:val="20"/>
        </w:rPr>
      </w:pPr>
    </w:p>
    <w:p w:rsidR="009B3495" w:rsidRPr="00C903F8" w:rsidRDefault="009B3495" w:rsidP="00125490">
      <w:pPr>
        <w:pStyle w:val="ESch"/>
        <w:rPr>
          <w:rFonts w:cs="Arial"/>
          <w:szCs w:val="20"/>
        </w:rPr>
      </w:pPr>
    </w:p>
    <w:p w:rsidR="00125490" w:rsidRPr="00C903F8" w:rsidRDefault="00125490" w:rsidP="00125490">
      <w:pPr>
        <w:pStyle w:val="ES-Titre3"/>
        <w:rPr>
          <w:i/>
          <w:noProof/>
        </w:rPr>
      </w:pPr>
      <w:bookmarkStart w:id="510" w:name="_Toc491854252"/>
      <w:bookmarkStart w:id="511" w:name="_Toc535500201"/>
      <w:r>
        <w:t>Articolo 29.04</w:t>
      </w:r>
      <w:r>
        <w:br/>
      </w:r>
      <w:r>
        <w:rPr>
          <w:i/>
          <w:noProof/>
        </w:rPr>
        <w:t>Bordo libero</w:t>
      </w:r>
      <w:bookmarkEnd w:id="510"/>
      <w:bookmarkEnd w:id="511"/>
    </w:p>
    <w:p w:rsidR="009B3495" w:rsidRPr="00C903F8" w:rsidRDefault="009B3495" w:rsidP="00125490">
      <w:pPr>
        <w:pStyle w:val="ESch"/>
        <w:rPr>
          <w:noProof/>
          <w:szCs w:val="20"/>
        </w:rPr>
      </w:pPr>
    </w:p>
    <w:p w:rsidR="00125490" w:rsidRPr="00C903F8" w:rsidRDefault="00125490" w:rsidP="009B3495">
      <w:pPr>
        <w:pStyle w:val="ESgauche"/>
      </w:pPr>
      <w:r>
        <w:t>In deroga agli articoli 4.02 e 4.03, il bordo libero è pari ad almeno 500 mm.</w:t>
      </w:r>
    </w:p>
    <w:p w:rsidR="00125490" w:rsidRPr="00C903F8" w:rsidRDefault="00125490" w:rsidP="00125490">
      <w:pPr>
        <w:pStyle w:val="ESch"/>
        <w:rPr>
          <w:rFonts w:cs="Arial"/>
          <w:szCs w:val="20"/>
        </w:rPr>
      </w:pPr>
    </w:p>
    <w:p w:rsidR="009B3495" w:rsidRPr="00C903F8" w:rsidRDefault="009B3495" w:rsidP="00125490">
      <w:pPr>
        <w:pStyle w:val="ESch"/>
        <w:rPr>
          <w:rFonts w:cs="Arial"/>
          <w:szCs w:val="20"/>
        </w:rPr>
      </w:pPr>
    </w:p>
    <w:p w:rsidR="00125490" w:rsidRPr="00C903F8" w:rsidRDefault="00125490" w:rsidP="00125490">
      <w:pPr>
        <w:pStyle w:val="ES-Titre3"/>
        <w:rPr>
          <w:i/>
          <w:noProof/>
        </w:rPr>
      </w:pPr>
      <w:bookmarkStart w:id="512" w:name="_Toc491854253"/>
      <w:bookmarkStart w:id="513" w:name="_Toc535500202"/>
      <w:r>
        <w:t>Articolo 29.05</w:t>
      </w:r>
      <w:r>
        <w:br/>
      </w:r>
      <w:r>
        <w:rPr>
          <w:i/>
          <w:noProof/>
        </w:rPr>
        <w:t>Galleggiabilità, stabilità e compartimentazione</w:t>
      </w:r>
      <w:bookmarkEnd w:id="512"/>
      <w:bookmarkEnd w:id="513"/>
    </w:p>
    <w:p w:rsidR="009B3495" w:rsidRPr="00C903F8" w:rsidRDefault="009B3495" w:rsidP="00125490">
      <w:pPr>
        <w:pStyle w:val="ESch"/>
        <w:rPr>
          <w:noProof/>
          <w:szCs w:val="20"/>
        </w:rPr>
      </w:pPr>
    </w:p>
    <w:p w:rsidR="00125490" w:rsidRPr="00C903F8" w:rsidRDefault="00125490" w:rsidP="009B3495">
      <w:pPr>
        <w:pStyle w:val="ESgauche"/>
      </w:pPr>
      <w:r>
        <w:t>Per le unità veloci devono essere debitamente comprovate:</w:t>
      </w:r>
    </w:p>
    <w:p w:rsidR="00125490" w:rsidRPr="00C903F8" w:rsidRDefault="005C7859" w:rsidP="009B3495">
      <w:pPr>
        <w:pStyle w:val="ESletgauche"/>
        <w:rPr>
          <w:noProof/>
        </w:rPr>
      </w:pPr>
      <w:r>
        <w:t>a)</w:t>
      </w:r>
      <w:r>
        <w:tab/>
        <w:t>caratteristiche di galleggiabilità e stabilità tali da garantire la sicurezza dell'imbarcazione durante la navigazione in dislocamento, sia a imbarcazione integra sia in caso di falla;</w:t>
      </w:r>
    </w:p>
    <w:p w:rsidR="00125490" w:rsidRPr="00C903F8" w:rsidRDefault="005C7859" w:rsidP="009B3495">
      <w:pPr>
        <w:pStyle w:val="ESletgauche"/>
        <w:rPr>
          <w:noProof/>
        </w:rPr>
      </w:pPr>
      <w:r>
        <w:t>b)</w:t>
      </w:r>
      <w:r>
        <w:tab/>
        <w:t>caratteristiche di stabilità e sistemi di stabilizzazione adeguate tali da garantire la sicurezza dell'imbarcazione durante la navigazione a sostentazione dinamica e nella fase transitoria;</w:t>
      </w:r>
    </w:p>
    <w:p w:rsidR="00125490" w:rsidRPr="00C903F8" w:rsidRDefault="005C7859" w:rsidP="009B3495">
      <w:pPr>
        <w:pStyle w:val="ESletgauche"/>
        <w:rPr>
          <w:noProof/>
        </w:rPr>
      </w:pPr>
      <w:r>
        <w:t>c)</w:t>
      </w:r>
      <w:r>
        <w:tab/>
        <w:t>caratteristiche di stabilità adeguate tali da garantire la sicurezza dell'imbarcazione durante la navigazione a sostentazione dinamica e nella fase transitoria e tali da consentire all'imbarcazione di passare in maniera sicura alla navigazione in dislocamento in caso di eventuale anomalia del sistema.</w:t>
      </w:r>
    </w:p>
    <w:p w:rsidR="00125490" w:rsidRPr="00C903F8" w:rsidRDefault="00125490" w:rsidP="00125490">
      <w:pPr>
        <w:pStyle w:val="ESch"/>
        <w:rPr>
          <w:rFonts w:cs="Arial"/>
          <w:szCs w:val="20"/>
        </w:rPr>
      </w:pPr>
    </w:p>
    <w:p w:rsidR="009B3495" w:rsidRPr="00C903F8" w:rsidRDefault="009B3495" w:rsidP="00125490">
      <w:pPr>
        <w:pStyle w:val="ESch"/>
        <w:rPr>
          <w:rFonts w:cs="Arial"/>
          <w:szCs w:val="20"/>
        </w:rPr>
      </w:pPr>
    </w:p>
    <w:p w:rsidR="00125490" w:rsidRPr="00C903F8" w:rsidRDefault="00125490" w:rsidP="00125490">
      <w:pPr>
        <w:pStyle w:val="ES-Titre3"/>
        <w:rPr>
          <w:i/>
          <w:noProof/>
        </w:rPr>
      </w:pPr>
      <w:bookmarkStart w:id="514" w:name="_Toc491854254"/>
      <w:bookmarkStart w:id="515" w:name="_Toc535500203"/>
      <w:r>
        <w:t>Articolo 29.06</w:t>
      </w:r>
      <w:r>
        <w:br/>
      </w:r>
      <w:r>
        <w:rPr>
          <w:i/>
          <w:noProof/>
        </w:rPr>
        <w:t>Timoneria</w:t>
      </w:r>
      <w:bookmarkEnd w:id="514"/>
      <w:bookmarkEnd w:id="515"/>
    </w:p>
    <w:p w:rsidR="00125490" w:rsidRPr="00C903F8" w:rsidRDefault="00125490" w:rsidP="00125490">
      <w:pPr>
        <w:pStyle w:val="ESch"/>
        <w:rPr>
          <w:noProof/>
          <w:szCs w:val="20"/>
        </w:rPr>
      </w:pPr>
      <w:r>
        <w:t>1.</w:t>
      </w:r>
      <w:r>
        <w:tab/>
        <w:t>Allestimento</w:t>
      </w:r>
    </w:p>
    <w:p w:rsidR="00125490" w:rsidRPr="00C903F8" w:rsidRDefault="005C7859" w:rsidP="009B3495">
      <w:pPr>
        <w:pStyle w:val="ESlet"/>
        <w:rPr>
          <w:rFonts w:cs="Arial"/>
        </w:rPr>
      </w:pPr>
      <w:r>
        <w:t>a)</w:t>
      </w:r>
      <w:r>
        <w:tab/>
        <w:t>In deroga all'articolo 7.01, paragrafo 1, la timoneria è allestita in modo tale che durante la navigazione il timoniere e un secondo membro dell'equipaggio possano svolgere in qualsiasi momento i loro compiti.</w:t>
      </w:r>
    </w:p>
    <w:p w:rsidR="00125490" w:rsidRPr="00C903F8" w:rsidRDefault="005C7859" w:rsidP="009B3495">
      <w:pPr>
        <w:pStyle w:val="ESlet"/>
        <w:rPr>
          <w:noProof/>
        </w:rPr>
      </w:pPr>
      <w:r>
        <w:t>b)</w:t>
      </w:r>
      <w:r>
        <w:tab/>
        <w:t>Il posto di pilotaggio è allestito in modo tale da contenere le postazioni di lavoro destinate alle persone di cui alla lettera a). Gli strumenti di navigazione, governo, controllo e comunicazione e altri importanti dispositivi di guida sono sufficientemente ravvicinati, in modo da consentire a un secondo membro dell'equipaggio e al timoniere di ottenere le informazioni necessarie e di azionare i comandi e gli impianti in posizione seduta. I seguenti requisiti si applicano in tutti i casi:</w:t>
      </w:r>
    </w:p>
    <w:p w:rsidR="00125490" w:rsidRPr="00C903F8" w:rsidRDefault="0029453D" w:rsidP="009B3495">
      <w:pPr>
        <w:pStyle w:val="EStiret"/>
      </w:pPr>
      <w:r>
        <w:t>aa)</w:t>
      </w:r>
      <w:r>
        <w:tab/>
        <w:t>il posto di pilotaggio del timoniere è attrezzato in maniera tale da consentire la navigazione con radar da parte di una sola persona;</w:t>
      </w:r>
    </w:p>
    <w:p w:rsidR="00125490" w:rsidRPr="00C903F8" w:rsidRDefault="0029453D" w:rsidP="009B3495">
      <w:pPr>
        <w:pStyle w:val="EStiret"/>
      </w:pPr>
      <w:r>
        <w:t>bb)</w:t>
      </w:r>
      <w:r>
        <w:tab/>
        <w:t>il secondo membro dell'equipaggio dispone nella sua postazione di lavoro di un proprio schermo radar (slave) ed è in grado di intervenire dalla sua postazione di lavoro per trasmettere informazioni e comandare la propulsione della nave.</w:t>
      </w:r>
    </w:p>
    <w:p w:rsidR="00125490" w:rsidRPr="00C903F8" w:rsidRDefault="005C7859" w:rsidP="009B3495">
      <w:pPr>
        <w:pStyle w:val="ESlet"/>
        <w:rPr>
          <w:noProof/>
        </w:rPr>
      </w:pPr>
      <w:r>
        <w:t>c)</w:t>
      </w:r>
      <w:r>
        <w:tab/>
        <w:t>Le persone di cui alla lettera a) sono in grado di azionare gli impianti di cui alla lettera b) senza impedimenti, anche con le cinture di sicurezza debitamente allacciate.</w:t>
      </w:r>
    </w:p>
    <w:p w:rsidR="00125490" w:rsidRPr="00C903F8" w:rsidRDefault="00125490" w:rsidP="00125490">
      <w:pPr>
        <w:pStyle w:val="ESch"/>
        <w:rPr>
          <w:rFonts w:cs="Arial"/>
          <w:szCs w:val="20"/>
        </w:rPr>
      </w:pPr>
    </w:p>
    <w:p w:rsidR="009B3495" w:rsidRPr="00C903F8" w:rsidRDefault="009B3495" w:rsidP="00125490">
      <w:pPr>
        <w:pStyle w:val="ESch"/>
        <w:rPr>
          <w:rFonts w:cs="Arial"/>
          <w:szCs w:val="20"/>
        </w:rPr>
      </w:pPr>
      <w:r>
        <w:br w:type="page"/>
      </w:r>
    </w:p>
    <w:p w:rsidR="00125490" w:rsidRPr="00C903F8" w:rsidRDefault="00125490" w:rsidP="00125490">
      <w:pPr>
        <w:pStyle w:val="ESch"/>
        <w:rPr>
          <w:noProof/>
          <w:szCs w:val="20"/>
        </w:rPr>
      </w:pPr>
      <w:r>
        <w:lastRenderedPageBreak/>
        <w:t>2.</w:t>
      </w:r>
      <w:r>
        <w:tab/>
        <w:t>Visuale libera</w:t>
      </w:r>
    </w:p>
    <w:p w:rsidR="00125490" w:rsidRPr="00C903F8" w:rsidRDefault="005C7859" w:rsidP="009B3495">
      <w:pPr>
        <w:pStyle w:val="ESlet"/>
        <w:rPr>
          <w:noProof/>
        </w:rPr>
      </w:pPr>
      <w:r>
        <w:t>a)</w:t>
      </w:r>
      <w:r>
        <w:tab/>
        <w:t>In deroga all'articolo 7.02, paragrafo 2, la zona di non visibilità per il timoniere in posizione seduta a prua della nave non supera una lunghezza della nave, indipendentemente dalle condizioni di carico.</w:t>
      </w:r>
    </w:p>
    <w:p w:rsidR="00125490" w:rsidRPr="00C903F8" w:rsidRDefault="005C7859" w:rsidP="009B3495">
      <w:pPr>
        <w:pStyle w:val="ESlet"/>
        <w:rPr>
          <w:noProof/>
        </w:rPr>
      </w:pPr>
      <w:r>
        <w:t>b)</w:t>
      </w:r>
      <w:r>
        <w:tab/>
        <w:t>In deroga all'articolo 7.02, paragrafo 3, la somma degli archi dei settori di non visibilità da avanti dritta fino a 22,5° a poppavia del traverso non supera i 20° su ciascun lato. Ogni singolo settore di non visibilità non supera i 5°. Il settore di visibilità tra due zone di non visibilità non deve essere inferiore a 10°.</w:t>
      </w:r>
    </w:p>
    <w:p w:rsidR="009B3495" w:rsidRPr="00C903F8" w:rsidRDefault="009B3495" w:rsidP="00125490">
      <w:pPr>
        <w:pStyle w:val="ESch"/>
        <w:rPr>
          <w:noProof/>
          <w:szCs w:val="20"/>
        </w:rPr>
      </w:pPr>
    </w:p>
    <w:p w:rsidR="00125490" w:rsidRPr="00C903F8" w:rsidRDefault="00125490" w:rsidP="00125490">
      <w:pPr>
        <w:pStyle w:val="ESch"/>
        <w:rPr>
          <w:noProof/>
          <w:szCs w:val="20"/>
        </w:rPr>
      </w:pPr>
      <w:r>
        <w:t>3.</w:t>
      </w:r>
      <w:r>
        <w:tab/>
        <w:t>Strumenti</w:t>
      </w:r>
    </w:p>
    <w:p w:rsidR="009B3495" w:rsidRPr="00C903F8" w:rsidRDefault="009B3495" w:rsidP="009B3495">
      <w:pPr>
        <w:pStyle w:val="ESchpar"/>
        <w:rPr>
          <w:noProof/>
        </w:rPr>
      </w:pPr>
    </w:p>
    <w:p w:rsidR="00125490" w:rsidRPr="00C903F8" w:rsidRDefault="00125490" w:rsidP="009B3495">
      <w:pPr>
        <w:pStyle w:val="ESchpar"/>
        <w:rPr>
          <w:noProof/>
        </w:rPr>
      </w:pPr>
      <w:r>
        <w:t>I quadri degli strumenti di comando e controllo degli impianti di cui all'articolo 29.10 sono collocati nella timoneria in posizioni separate e chiaramente contrassegnate. Questa disposizione si applica, eventualmente, anche ai comandi per la messa in acqua di mezzi di salvataggio collettivi.</w:t>
      </w:r>
    </w:p>
    <w:p w:rsidR="009B3495" w:rsidRPr="00C903F8" w:rsidRDefault="009B3495" w:rsidP="00125490">
      <w:pPr>
        <w:pStyle w:val="ESch"/>
        <w:rPr>
          <w:noProof/>
          <w:szCs w:val="20"/>
        </w:rPr>
      </w:pPr>
    </w:p>
    <w:p w:rsidR="00125490" w:rsidRPr="00C903F8" w:rsidRDefault="00125490" w:rsidP="00125490">
      <w:pPr>
        <w:pStyle w:val="ESch"/>
        <w:rPr>
          <w:noProof/>
          <w:szCs w:val="20"/>
        </w:rPr>
      </w:pPr>
      <w:r>
        <w:t>4.</w:t>
      </w:r>
      <w:r>
        <w:tab/>
        <w:t>Illuminazione</w:t>
      </w:r>
    </w:p>
    <w:p w:rsidR="009B3495" w:rsidRPr="00C903F8" w:rsidRDefault="009B3495" w:rsidP="009B3495">
      <w:pPr>
        <w:pStyle w:val="ESchpar"/>
        <w:rPr>
          <w:noProof/>
        </w:rPr>
      </w:pPr>
    </w:p>
    <w:p w:rsidR="00125490" w:rsidRPr="00C903F8" w:rsidRDefault="00125490" w:rsidP="009B3495">
      <w:pPr>
        <w:pStyle w:val="ESchpar"/>
        <w:rPr>
          <w:noProof/>
        </w:rPr>
      </w:pPr>
      <w:r>
        <w:t>Le zone o parti di apparecchiature illuminate durante il funzionamento sono provviste di luci di colore rosso.</w:t>
      </w:r>
    </w:p>
    <w:p w:rsidR="009B3495" w:rsidRPr="00C903F8" w:rsidRDefault="009B3495" w:rsidP="00125490">
      <w:pPr>
        <w:pStyle w:val="ESch"/>
        <w:rPr>
          <w:noProof/>
          <w:szCs w:val="20"/>
        </w:rPr>
      </w:pPr>
    </w:p>
    <w:p w:rsidR="00125490" w:rsidRPr="00C903F8" w:rsidRDefault="00125490" w:rsidP="00125490">
      <w:pPr>
        <w:pStyle w:val="ESch"/>
        <w:rPr>
          <w:noProof/>
          <w:szCs w:val="20"/>
        </w:rPr>
      </w:pPr>
      <w:r>
        <w:t>5.</w:t>
      </w:r>
      <w:r>
        <w:tab/>
        <w:t>Finestre</w:t>
      </w:r>
    </w:p>
    <w:p w:rsidR="009B3495" w:rsidRPr="00C903F8" w:rsidRDefault="009B3495" w:rsidP="009B3495">
      <w:pPr>
        <w:pStyle w:val="ESchpar"/>
        <w:rPr>
          <w:noProof/>
        </w:rPr>
      </w:pPr>
    </w:p>
    <w:p w:rsidR="00125490" w:rsidRPr="00C903F8" w:rsidRDefault="00125490" w:rsidP="009B3495">
      <w:pPr>
        <w:pStyle w:val="ESchpar"/>
        <w:rPr>
          <w:noProof/>
        </w:rPr>
      </w:pPr>
      <w:r>
        <w:t>I riflessi sono evitati. Sono predisposti mezzi che evitino l'abbagliamento dovuto alla luce solare.</w:t>
      </w:r>
    </w:p>
    <w:p w:rsidR="009B3495" w:rsidRPr="00C903F8" w:rsidRDefault="009B3495" w:rsidP="00125490">
      <w:pPr>
        <w:pStyle w:val="ESch"/>
        <w:rPr>
          <w:noProof/>
          <w:szCs w:val="20"/>
        </w:rPr>
      </w:pPr>
    </w:p>
    <w:p w:rsidR="00125490" w:rsidRPr="00C903F8" w:rsidRDefault="00125490" w:rsidP="00125490">
      <w:pPr>
        <w:pStyle w:val="ESch"/>
        <w:rPr>
          <w:noProof/>
          <w:szCs w:val="20"/>
        </w:rPr>
      </w:pPr>
      <w:r>
        <w:t>6.</w:t>
      </w:r>
      <w:r>
        <w:tab/>
        <w:t>Materiali delle superfici</w:t>
      </w:r>
    </w:p>
    <w:p w:rsidR="009B3495" w:rsidRPr="00C903F8" w:rsidRDefault="009B3495" w:rsidP="009B3495">
      <w:pPr>
        <w:pStyle w:val="ESchpar"/>
        <w:rPr>
          <w:noProof/>
        </w:rPr>
      </w:pPr>
    </w:p>
    <w:p w:rsidR="00125490" w:rsidRPr="00C903F8" w:rsidRDefault="00125490" w:rsidP="009B3495">
      <w:pPr>
        <w:pStyle w:val="ESchpar"/>
        <w:rPr>
          <w:noProof/>
        </w:rPr>
      </w:pPr>
      <w:r>
        <w:t>Nella timoneria non è consentito l'uso di materiali riflettenti per le superfici.</w:t>
      </w:r>
    </w:p>
    <w:p w:rsidR="00125490" w:rsidRPr="00C903F8" w:rsidRDefault="00125490" w:rsidP="00125490">
      <w:pPr>
        <w:pStyle w:val="ESch"/>
        <w:rPr>
          <w:rFonts w:cs="Arial"/>
          <w:szCs w:val="20"/>
        </w:rPr>
      </w:pPr>
    </w:p>
    <w:p w:rsidR="00125490" w:rsidRPr="00C903F8" w:rsidRDefault="00125490" w:rsidP="00125490">
      <w:pPr>
        <w:pStyle w:val="ESch"/>
        <w:rPr>
          <w:rFonts w:cs="Arial"/>
          <w:szCs w:val="20"/>
        </w:rPr>
      </w:pPr>
    </w:p>
    <w:p w:rsidR="00125490" w:rsidRPr="00C903F8" w:rsidRDefault="00125490" w:rsidP="00125490">
      <w:pPr>
        <w:pStyle w:val="ES-Titre3"/>
        <w:rPr>
          <w:rFonts w:cs="Arial"/>
          <w:i/>
        </w:rPr>
      </w:pPr>
      <w:bookmarkStart w:id="516" w:name="_Toc491854255"/>
      <w:bookmarkStart w:id="517" w:name="_Toc535500204"/>
      <w:r>
        <w:t>Articolo 29.07</w:t>
      </w:r>
      <w:r>
        <w:br/>
      </w:r>
      <w:r>
        <w:rPr>
          <w:i/>
          <w:noProof/>
        </w:rPr>
        <w:t>Attrezzature supplementari</w:t>
      </w:r>
      <w:bookmarkEnd w:id="516"/>
      <w:bookmarkEnd w:id="517"/>
    </w:p>
    <w:p w:rsidR="00125490" w:rsidRPr="00C903F8" w:rsidRDefault="00125490" w:rsidP="00125490">
      <w:pPr>
        <w:pStyle w:val="ESch"/>
        <w:rPr>
          <w:rFonts w:cs="Arial"/>
          <w:szCs w:val="20"/>
        </w:rPr>
      </w:pPr>
    </w:p>
    <w:p w:rsidR="00125490" w:rsidRPr="00C903F8" w:rsidRDefault="00125490" w:rsidP="00125490">
      <w:pPr>
        <w:pStyle w:val="ESgauche"/>
      </w:pPr>
      <w:r>
        <w:t>Le unità veloci devono essere provviste:</w:t>
      </w:r>
    </w:p>
    <w:p w:rsidR="00125490" w:rsidRPr="00C903F8" w:rsidRDefault="005C7859" w:rsidP="00125490">
      <w:pPr>
        <w:pStyle w:val="ESletgauche"/>
      </w:pPr>
      <w:r>
        <w:t>a)</w:t>
      </w:r>
      <w:r>
        <w:tab/>
        <w:t>di un impianto radar di navigazione e di un indicatore della velocità di accostata conformemente all'articolo 7.06, paragrafo 1; e</w:t>
      </w:r>
    </w:p>
    <w:p w:rsidR="00125490" w:rsidRPr="00C903F8" w:rsidRDefault="005C7859" w:rsidP="00125490">
      <w:pPr>
        <w:pStyle w:val="ESletgauche"/>
      </w:pPr>
      <w:r>
        <w:t>b)</w:t>
      </w:r>
      <w:r>
        <w:tab/>
        <w:t>un equipaggiamento individuale di salvataggio facilmente accessibile installato conformemente all'articolo 19.09, paragrafo 4.</w:t>
      </w:r>
    </w:p>
    <w:p w:rsidR="00125490" w:rsidRPr="00C903F8" w:rsidRDefault="00125490" w:rsidP="00125490">
      <w:pPr>
        <w:pStyle w:val="ESch"/>
        <w:rPr>
          <w:rFonts w:cs="Arial"/>
          <w:szCs w:val="20"/>
        </w:rPr>
      </w:pPr>
    </w:p>
    <w:p w:rsidR="00125490" w:rsidRPr="00C903F8" w:rsidRDefault="00125490" w:rsidP="00125490">
      <w:pPr>
        <w:pStyle w:val="ESch"/>
        <w:rPr>
          <w:rFonts w:cs="Arial"/>
          <w:szCs w:val="20"/>
        </w:rPr>
      </w:pPr>
    </w:p>
    <w:p w:rsidR="00125490" w:rsidRPr="00C903F8" w:rsidRDefault="00125490" w:rsidP="00125490">
      <w:pPr>
        <w:pStyle w:val="ES-Titre3"/>
        <w:rPr>
          <w:i/>
          <w:noProof/>
        </w:rPr>
      </w:pPr>
      <w:bookmarkStart w:id="518" w:name="_Toc491854256"/>
      <w:bookmarkStart w:id="519" w:name="_Toc535500205"/>
      <w:r>
        <w:t>Articolo 29.08</w:t>
      </w:r>
      <w:r>
        <w:br/>
      </w:r>
      <w:r>
        <w:rPr>
          <w:i/>
          <w:noProof/>
        </w:rPr>
        <w:t>Zone chiuse</w:t>
      </w:r>
      <w:bookmarkEnd w:id="518"/>
      <w:bookmarkEnd w:id="519"/>
    </w:p>
    <w:p w:rsidR="00125490" w:rsidRPr="00C903F8" w:rsidRDefault="00125490" w:rsidP="00125490">
      <w:pPr>
        <w:pStyle w:val="ESch"/>
        <w:rPr>
          <w:noProof/>
          <w:szCs w:val="20"/>
        </w:rPr>
      </w:pPr>
    </w:p>
    <w:p w:rsidR="00125490" w:rsidRPr="00C903F8" w:rsidRDefault="00125490" w:rsidP="00125490">
      <w:pPr>
        <w:pStyle w:val="ESch"/>
        <w:rPr>
          <w:noProof/>
          <w:szCs w:val="20"/>
        </w:rPr>
      </w:pPr>
      <w:r>
        <w:t>1.</w:t>
      </w:r>
      <w:r>
        <w:tab/>
        <w:t>Aspetti generali</w:t>
      </w:r>
    </w:p>
    <w:p w:rsidR="00125490" w:rsidRPr="00C903F8" w:rsidRDefault="00125490" w:rsidP="00125490">
      <w:pPr>
        <w:pStyle w:val="ESchpar"/>
        <w:rPr>
          <w:noProof/>
        </w:rPr>
      </w:pPr>
    </w:p>
    <w:p w:rsidR="00125490" w:rsidRPr="00C903F8" w:rsidRDefault="00125490" w:rsidP="00125490">
      <w:pPr>
        <w:pStyle w:val="ESchpar"/>
        <w:rPr>
          <w:noProof/>
        </w:rPr>
      </w:pPr>
      <w:r>
        <w:t>I locali accessibili al pubblico e gli alloggi, nonché le relative attrezzature sono progettati in maniera tale da non provocare lesioni alle persone che ne fanno un uso adeguato durante un avvio o un arresto normale o di emergenza o durante le manovre in condizioni normali di navigazione e in caso di guasto o anomalia.</w:t>
      </w:r>
    </w:p>
    <w:p w:rsidR="00125490" w:rsidRPr="00C903F8" w:rsidRDefault="00125490" w:rsidP="00125490">
      <w:pPr>
        <w:pStyle w:val="ESch"/>
        <w:rPr>
          <w:noProof/>
          <w:szCs w:val="20"/>
        </w:rPr>
      </w:pPr>
    </w:p>
    <w:p w:rsidR="009B3495" w:rsidRPr="00C903F8" w:rsidRDefault="009B3495" w:rsidP="00125490">
      <w:pPr>
        <w:pStyle w:val="ESch"/>
        <w:rPr>
          <w:noProof/>
          <w:szCs w:val="20"/>
        </w:rPr>
      </w:pPr>
      <w:r>
        <w:br w:type="page"/>
      </w:r>
    </w:p>
    <w:p w:rsidR="00125490" w:rsidRPr="00C903F8" w:rsidRDefault="00125490" w:rsidP="00125490">
      <w:pPr>
        <w:pStyle w:val="ESch"/>
        <w:rPr>
          <w:noProof/>
          <w:szCs w:val="20"/>
        </w:rPr>
      </w:pPr>
      <w:r>
        <w:lastRenderedPageBreak/>
        <w:t>2.</w:t>
      </w:r>
      <w:r>
        <w:tab/>
        <w:t>Comunicazioni</w:t>
      </w:r>
    </w:p>
    <w:p w:rsidR="00125490" w:rsidRPr="00C903F8" w:rsidRDefault="005C7859" w:rsidP="00125490">
      <w:pPr>
        <w:pStyle w:val="ESlet"/>
        <w:rPr>
          <w:noProof/>
        </w:rPr>
      </w:pPr>
      <w:r>
        <w:t>a)</w:t>
      </w:r>
      <w:r>
        <w:tab/>
        <w:t>Allo scopo di informare i passeggeri sulle misure di sicurezza, tutte le navi da passeggeri sono dotate di impianti visivi e acustici, visibili e udibili da tutti i passeggeri.</w:t>
      </w:r>
    </w:p>
    <w:p w:rsidR="00125490" w:rsidRPr="00C903F8" w:rsidRDefault="005C7859" w:rsidP="00125490">
      <w:pPr>
        <w:pStyle w:val="ESlet"/>
        <w:rPr>
          <w:noProof/>
        </w:rPr>
      </w:pPr>
      <w:r>
        <w:t>b)</w:t>
      </w:r>
      <w:r>
        <w:tab/>
        <w:t>Gli impianti di cui alla lettera a) consentono al conduttore di impartire istruzioni ai passeggeri.</w:t>
      </w:r>
    </w:p>
    <w:p w:rsidR="00125490" w:rsidRPr="00C903F8" w:rsidRDefault="005C7859" w:rsidP="00125490">
      <w:pPr>
        <w:pStyle w:val="ESlet"/>
        <w:rPr>
          <w:noProof/>
        </w:rPr>
      </w:pPr>
      <w:r>
        <w:t>c)</w:t>
      </w:r>
      <w:r>
        <w:tab/>
        <w:t>Ciascun passeggero dispone, in prossimità del suo posto, delle istruzioni per le situazioni di emergenza, comprensive di una pianta della nave sulla quale siano indicate tutte le uscite, le vie di evacuazione, le attrezzature di sicurezza e di salvataggio e le istruzioni per l'uso dei giubbotti di salvataggio.</w:t>
      </w:r>
    </w:p>
    <w:p w:rsidR="00125490" w:rsidRPr="00C903F8" w:rsidRDefault="00125490" w:rsidP="00125490">
      <w:pPr>
        <w:pStyle w:val="ESch"/>
        <w:rPr>
          <w:noProof/>
          <w:szCs w:val="20"/>
        </w:rPr>
      </w:pPr>
    </w:p>
    <w:p w:rsidR="00125490" w:rsidRPr="00C903F8" w:rsidRDefault="00125490" w:rsidP="00125490">
      <w:pPr>
        <w:pStyle w:val="ESch"/>
        <w:rPr>
          <w:noProof/>
          <w:szCs w:val="20"/>
        </w:rPr>
      </w:pPr>
    </w:p>
    <w:p w:rsidR="00125490" w:rsidRPr="00C903F8" w:rsidRDefault="00125490" w:rsidP="00125490">
      <w:pPr>
        <w:pStyle w:val="ES-Titre3"/>
        <w:rPr>
          <w:i/>
          <w:noProof/>
        </w:rPr>
      </w:pPr>
      <w:bookmarkStart w:id="520" w:name="_Toc491854257"/>
      <w:bookmarkStart w:id="521" w:name="_Toc535500206"/>
      <w:r>
        <w:t>Articolo 29.09</w:t>
      </w:r>
      <w:r>
        <w:br/>
      </w:r>
      <w:r>
        <w:rPr>
          <w:i/>
          <w:noProof/>
        </w:rPr>
        <w:t>Uscite e vie di evacuazione</w:t>
      </w:r>
      <w:bookmarkEnd w:id="520"/>
      <w:bookmarkEnd w:id="521"/>
    </w:p>
    <w:p w:rsidR="00125490" w:rsidRPr="00C903F8" w:rsidRDefault="00125490" w:rsidP="00125490">
      <w:pPr>
        <w:pStyle w:val="ESch"/>
        <w:rPr>
          <w:noProof/>
          <w:szCs w:val="20"/>
        </w:rPr>
      </w:pPr>
    </w:p>
    <w:p w:rsidR="00125490" w:rsidRPr="00C903F8" w:rsidRDefault="00125490" w:rsidP="00125490">
      <w:pPr>
        <w:pStyle w:val="ESgauche"/>
      </w:pPr>
      <w:r>
        <w:t>Le uscite e le vie di evacuazione soddisfano i seguenti requisiti:</w:t>
      </w:r>
    </w:p>
    <w:p w:rsidR="00125490" w:rsidRPr="00C903F8" w:rsidRDefault="005C7859" w:rsidP="00125490">
      <w:pPr>
        <w:pStyle w:val="ESletgauche"/>
        <w:rPr>
          <w:noProof/>
        </w:rPr>
      </w:pPr>
      <w:r>
        <w:t>a)</w:t>
      </w:r>
      <w:r>
        <w:tab/>
        <w:t>dal posto di pilotaggio è garantito un accesso facile, sicuro e rapido ai locali e agli alloggi accessibili al pubblico;</w:t>
      </w:r>
    </w:p>
    <w:p w:rsidR="00125490" w:rsidRPr="00C903F8" w:rsidRDefault="005C7859" w:rsidP="00125490">
      <w:pPr>
        <w:pStyle w:val="ESletgauche"/>
        <w:rPr>
          <w:noProof/>
        </w:rPr>
      </w:pPr>
      <w:r>
        <w:t>b)</w:t>
      </w:r>
      <w:r>
        <w:tab/>
        <w:t>le vie di evacuazione che conducono alle uscite di emergenza sono contrassegnate in maniera chiara e permanente;</w:t>
      </w:r>
    </w:p>
    <w:p w:rsidR="00125490" w:rsidRPr="00C903F8" w:rsidRDefault="005C7859" w:rsidP="00125490">
      <w:pPr>
        <w:pStyle w:val="ESletgauche"/>
        <w:rPr>
          <w:noProof/>
        </w:rPr>
      </w:pPr>
      <w:r>
        <w:t>c)</w:t>
      </w:r>
      <w:r>
        <w:tab/>
        <w:t>tutte le uscite sono adeguatamente contrassegnate. Il funzionamento del meccanismo di apertura è evidente sia all'esterno che all'interno;</w:t>
      </w:r>
    </w:p>
    <w:p w:rsidR="00125490" w:rsidRPr="00C903F8" w:rsidRDefault="0029453D" w:rsidP="00125490">
      <w:pPr>
        <w:pStyle w:val="ESletgauche"/>
        <w:rPr>
          <w:noProof/>
        </w:rPr>
      </w:pPr>
      <w:r>
        <w:t>d)</w:t>
      </w:r>
      <w:r>
        <w:tab/>
        <w:t>le vie di evacuazione e le uscite di emergenza sono provviste di un idoneo sistema di guida di sicurezza;</w:t>
      </w:r>
    </w:p>
    <w:p w:rsidR="00125490" w:rsidRPr="00C903F8" w:rsidRDefault="0029453D" w:rsidP="00125490">
      <w:pPr>
        <w:pStyle w:val="ESletgauche"/>
        <w:rPr>
          <w:noProof/>
        </w:rPr>
      </w:pPr>
      <w:r>
        <w:t>e)</w:t>
      </w:r>
      <w:r>
        <w:tab/>
        <w:t>in prossimità delle uscite è previsto spazio sufficiente per un membro dell'equipaggio.</w:t>
      </w:r>
    </w:p>
    <w:p w:rsidR="00125490" w:rsidRPr="00C903F8" w:rsidRDefault="00125490" w:rsidP="00125490">
      <w:pPr>
        <w:pStyle w:val="ESch"/>
        <w:rPr>
          <w:rFonts w:cs="Arial"/>
          <w:szCs w:val="20"/>
        </w:rPr>
      </w:pPr>
    </w:p>
    <w:p w:rsidR="00125490" w:rsidRPr="00C903F8" w:rsidRDefault="00125490" w:rsidP="00125490">
      <w:pPr>
        <w:pStyle w:val="ESch"/>
        <w:rPr>
          <w:rFonts w:cs="Arial"/>
          <w:szCs w:val="20"/>
        </w:rPr>
      </w:pPr>
    </w:p>
    <w:p w:rsidR="00125490" w:rsidRPr="00C903F8" w:rsidRDefault="00125490" w:rsidP="00125490">
      <w:pPr>
        <w:pStyle w:val="ES-Titre3"/>
        <w:rPr>
          <w:i/>
          <w:noProof/>
        </w:rPr>
      </w:pPr>
      <w:bookmarkStart w:id="522" w:name="_Toc491854258"/>
      <w:bookmarkStart w:id="523" w:name="_Toc535500207"/>
      <w:r>
        <w:t>Articolo 29.10</w:t>
      </w:r>
      <w:r>
        <w:br/>
      </w:r>
      <w:r>
        <w:rPr>
          <w:i/>
          <w:noProof/>
        </w:rPr>
        <w:t>Protezione e prevenzione antincendio</w:t>
      </w:r>
      <w:bookmarkEnd w:id="522"/>
      <w:bookmarkEnd w:id="523"/>
    </w:p>
    <w:p w:rsidR="00125490" w:rsidRPr="00C903F8" w:rsidRDefault="00125490" w:rsidP="00125490">
      <w:pPr>
        <w:pStyle w:val="ESch"/>
        <w:rPr>
          <w:noProof/>
          <w:szCs w:val="20"/>
        </w:rPr>
      </w:pPr>
    </w:p>
    <w:p w:rsidR="00125490" w:rsidRPr="00C903F8" w:rsidRDefault="00125490" w:rsidP="00125490">
      <w:pPr>
        <w:pStyle w:val="ESch"/>
        <w:rPr>
          <w:noProof/>
          <w:szCs w:val="20"/>
        </w:rPr>
      </w:pPr>
      <w:r>
        <w:t>1.</w:t>
      </w:r>
      <w:r>
        <w:tab/>
        <w:t>I corridoi, i locali e gli alloggi accessibili al pubblico nonché le cabine di servizio e le sale macchine sono collegati a un idoneo sistema di allarme antincendio. La presenza di un incendio e la sua posizione sono segnalate automaticamente a una postazione costantemente presidiata dal personale di bordo o dall'equipaggio.</w:t>
      </w:r>
    </w:p>
    <w:p w:rsidR="00125490" w:rsidRPr="00C903F8" w:rsidRDefault="00125490" w:rsidP="00125490">
      <w:pPr>
        <w:pStyle w:val="ESch"/>
        <w:rPr>
          <w:noProof/>
          <w:szCs w:val="20"/>
        </w:rPr>
      </w:pPr>
    </w:p>
    <w:p w:rsidR="00125490" w:rsidRPr="00C903F8" w:rsidRDefault="00125490" w:rsidP="00125490">
      <w:pPr>
        <w:pStyle w:val="ESch"/>
        <w:rPr>
          <w:noProof/>
          <w:szCs w:val="20"/>
        </w:rPr>
      </w:pPr>
      <w:r>
        <w:t>2.</w:t>
      </w:r>
      <w:r>
        <w:tab/>
        <w:t>Le sale macchine sono provviste di un sistema antincendio fisso conforme all'articolo 13.05.</w:t>
      </w:r>
    </w:p>
    <w:p w:rsidR="00125490" w:rsidRPr="00C903F8" w:rsidRDefault="00125490" w:rsidP="00125490">
      <w:pPr>
        <w:pStyle w:val="ESch"/>
        <w:rPr>
          <w:noProof/>
          <w:szCs w:val="20"/>
        </w:rPr>
      </w:pPr>
    </w:p>
    <w:p w:rsidR="00125490" w:rsidRPr="00C903F8" w:rsidRDefault="00125490" w:rsidP="00125490">
      <w:pPr>
        <w:pStyle w:val="ESch"/>
        <w:rPr>
          <w:rFonts w:cs="Arial"/>
          <w:szCs w:val="20"/>
        </w:rPr>
      </w:pPr>
      <w:r>
        <w:t>3.</w:t>
      </w:r>
      <w:r>
        <w:tab/>
        <w:t xml:space="preserve">I locali e gli alloggi accessibili al pubblico e le relative vie di evacuazione sono dotate di un impianto pressurizzato a </w:t>
      </w:r>
      <w:r>
        <w:rPr>
          <w:i/>
        </w:rPr>
        <w:t>sprinkler</w:t>
      </w:r>
      <w:r>
        <w:t>, alimentato ad acqua, conforme all'articolo 13.04. È previsto il drenaggio rapido e direttamente all'esterno dell'acqua utilizzata.</w:t>
      </w:r>
    </w:p>
    <w:p w:rsidR="00125490" w:rsidRPr="00C903F8" w:rsidRDefault="00125490" w:rsidP="00125490">
      <w:pPr>
        <w:pStyle w:val="ESch"/>
        <w:rPr>
          <w:rFonts w:cs="Arial"/>
          <w:szCs w:val="20"/>
        </w:rPr>
      </w:pPr>
    </w:p>
    <w:p w:rsidR="007407E1" w:rsidRPr="00C903F8" w:rsidRDefault="007407E1" w:rsidP="00125490">
      <w:pPr>
        <w:pStyle w:val="ESch"/>
        <w:rPr>
          <w:rFonts w:cs="Arial"/>
          <w:szCs w:val="20"/>
        </w:rPr>
      </w:pPr>
    </w:p>
    <w:p w:rsidR="007407E1" w:rsidRPr="00C903F8" w:rsidRDefault="007407E1" w:rsidP="007407E1">
      <w:pPr>
        <w:pStyle w:val="ES-Titre2"/>
        <w:rPr>
          <w:szCs w:val="24"/>
        </w:rPr>
      </w:pPr>
      <w:bookmarkStart w:id="524" w:name="_Toc491854259"/>
      <w:bookmarkStart w:id="525" w:name="_Toc535500208"/>
      <w:r>
        <w:lastRenderedPageBreak/>
        <w:t>Capo 30</w:t>
      </w:r>
      <w:r>
        <w:br/>
        <w:t>Disposizioni particolari per le imbarcazioni dotate di sistemi di propulsione o ausiliari funzionanti con combustibile avente un punto di infiammabilità pari o inferiore a 55 °C</w:t>
      </w:r>
      <w:bookmarkEnd w:id="524"/>
      <w:bookmarkEnd w:id="525"/>
    </w:p>
    <w:p w:rsidR="007407E1" w:rsidRPr="00C903F8" w:rsidRDefault="007407E1" w:rsidP="007407E1">
      <w:pPr>
        <w:pStyle w:val="ESgauche"/>
      </w:pPr>
    </w:p>
    <w:p w:rsidR="007E5FD5" w:rsidRPr="00C903F8" w:rsidRDefault="007E5FD5" w:rsidP="007E5FD5">
      <w:pPr>
        <w:pStyle w:val="ES-Titre3"/>
        <w:rPr>
          <w:i/>
        </w:rPr>
      </w:pPr>
      <w:bookmarkStart w:id="526" w:name="_Toc491854260"/>
      <w:bookmarkStart w:id="527" w:name="_Toc535500209"/>
      <w:r>
        <w:t>Articolo 30.01</w:t>
      </w:r>
      <w:r>
        <w:br/>
      </w:r>
      <w:r>
        <w:rPr>
          <w:i/>
        </w:rPr>
        <w:t>Aspetti generali</w:t>
      </w:r>
      <w:bookmarkEnd w:id="526"/>
      <w:bookmarkEnd w:id="527"/>
    </w:p>
    <w:p w:rsidR="007E5FD5" w:rsidRPr="00C903F8" w:rsidRDefault="007E5FD5" w:rsidP="007E5FD5">
      <w:pPr>
        <w:autoSpaceDE/>
        <w:autoSpaceDN/>
        <w:spacing w:line="240" w:lineRule="atLeast"/>
        <w:ind w:left="0" w:firstLine="0"/>
        <w:rPr>
          <w:rFonts w:cs="Arial"/>
          <w:color w:val="000000"/>
          <w:szCs w:val="20"/>
        </w:rPr>
      </w:pPr>
    </w:p>
    <w:p w:rsidR="007E5FD5" w:rsidRPr="00C903F8" w:rsidRDefault="007E5FD5" w:rsidP="007E5FD5">
      <w:pPr>
        <w:pStyle w:val="ESch"/>
      </w:pPr>
      <w:r>
        <w:t>1.</w:t>
      </w:r>
      <w:r>
        <w:tab/>
        <w:t>Ai fini del presente capo, per "sistemi di propulsione e ausiliari" si intende qualsiasi sistema che utilizza combustibile, tra i quali:</w:t>
      </w:r>
    </w:p>
    <w:p w:rsidR="007E5FD5" w:rsidRPr="00C903F8" w:rsidRDefault="007E5FD5" w:rsidP="007E5FD5">
      <w:pPr>
        <w:pStyle w:val="ESlet"/>
      </w:pPr>
      <w:r>
        <w:t>a)</w:t>
      </w:r>
      <w:r>
        <w:tab/>
        <w:t>serbatoi per il combustibile e collegamenti dei serbatoi;</w:t>
      </w:r>
    </w:p>
    <w:p w:rsidR="007E5FD5" w:rsidRPr="00C903F8" w:rsidRDefault="007E5FD5" w:rsidP="007E5FD5">
      <w:pPr>
        <w:pStyle w:val="ESlet"/>
      </w:pPr>
      <w:r>
        <w:t>b)</w:t>
      </w:r>
      <w:r>
        <w:tab/>
        <w:t>sistemi di preparazione del gas;</w:t>
      </w:r>
    </w:p>
    <w:p w:rsidR="007E5FD5" w:rsidRPr="00C903F8" w:rsidRDefault="007E5FD5" w:rsidP="007E5FD5">
      <w:pPr>
        <w:pStyle w:val="ESlet"/>
      </w:pPr>
      <w:r>
        <w:t>c)</w:t>
      </w:r>
      <w:r>
        <w:tab/>
        <w:t>tubolature e valvole;</w:t>
      </w:r>
    </w:p>
    <w:p w:rsidR="007E5FD5" w:rsidRPr="00C903F8" w:rsidRDefault="007E5FD5" w:rsidP="007E5FD5">
      <w:pPr>
        <w:pStyle w:val="ESlet"/>
      </w:pPr>
      <w:r>
        <w:t>d)</w:t>
      </w:r>
      <w:r>
        <w:tab/>
        <w:t>motori e turbine;</w:t>
      </w:r>
    </w:p>
    <w:p w:rsidR="007E5FD5" w:rsidRPr="00C903F8" w:rsidRDefault="007E5FD5" w:rsidP="007E5FD5">
      <w:pPr>
        <w:pStyle w:val="ESlet"/>
      </w:pPr>
      <w:r>
        <w:t>e)</w:t>
      </w:r>
      <w:r>
        <w:tab/>
        <w:t>sistemi di comando, controllo e sicurezza.</w:t>
      </w:r>
    </w:p>
    <w:p w:rsidR="007E5FD5" w:rsidRPr="00C903F8" w:rsidRDefault="007E5FD5" w:rsidP="007E5FD5">
      <w:pPr>
        <w:pStyle w:val="ESch"/>
      </w:pPr>
    </w:p>
    <w:p w:rsidR="007E5FD5" w:rsidRPr="00C903F8" w:rsidRDefault="007E5FD5" w:rsidP="007E5FD5">
      <w:pPr>
        <w:pStyle w:val="ESch"/>
      </w:pPr>
      <w:r>
        <w:t xml:space="preserve">2. </w:t>
      </w:r>
      <w:r>
        <w:tab/>
        <w:t xml:space="preserve">In deroga all'articolo 8.01, paragrafo 3, all'articolo 8.05, paragrafi 1, 6, 9, 11 e 12 e alle disposizioni del capo 9, i sistemi di propulsione e ausiliari funzionanti con combustibili aventi un punto di infiammabilità pari o inferiore a 55 °C possono essere installati a bordo di imbarcazioni a condizione che siano stati rispettati i requisiti previsti per tali combustibili nel presente capo e nell'allegato 8. </w:t>
      </w:r>
    </w:p>
    <w:p w:rsidR="007E5FD5" w:rsidRPr="00C903F8" w:rsidRDefault="007E5FD5" w:rsidP="007E5FD5">
      <w:pPr>
        <w:pStyle w:val="ESch"/>
      </w:pPr>
    </w:p>
    <w:p w:rsidR="007E5FD5" w:rsidRPr="00C903F8" w:rsidRDefault="007E5FD5" w:rsidP="007E5FD5">
      <w:pPr>
        <w:pStyle w:val="ESch"/>
      </w:pPr>
      <w:r>
        <w:t>3.</w:t>
      </w:r>
      <w:r>
        <w:tab/>
        <w:t xml:space="preserve">I sistemi di propulsione e ausiliari di cui al paragrafo 2 sono costruiti e installati sotto il controllo della commissione di ispezione. </w:t>
      </w:r>
    </w:p>
    <w:p w:rsidR="007E5FD5" w:rsidRPr="00C903F8" w:rsidRDefault="007E5FD5" w:rsidP="007E5FD5">
      <w:pPr>
        <w:pStyle w:val="ESch"/>
      </w:pPr>
    </w:p>
    <w:p w:rsidR="007E5FD5" w:rsidRPr="00C903F8" w:rsidRDefault="007E5FD5" w:rsidP="007E5FD5">
      <w:pPr>
        <w:pStyle w:val="ESch"/>
      </w:pPr>
      <w:r>
        <w:t>4.</w:t>
      </w:r>
      <w:r>
        <w:tab/>
        <w:t xml:space="preserve">Per lo svolgimento dei compiti di cui al presente capo l'autorità competente può avvalersi di un servizio tecnico conformemente all'articolo 30.07. </w:t>
      </w:r>
    </w:p>
    <w:p w:rsidR="007E5FD5" w:rsidRPr="00C903F8" w:rsidRDefault="007E5FD5" w:rsidP="007E5FD5">
      <w:pPr>
        <w:pStyle w:val="ESch"/>
      </w:pPr>
    </w:p>
    <w:p w:rsidR="007E5FD5" w:rsidRPr="00C903F8" w:rsidRDefault="007E5FD5" w:rsidP="007E5FD5">
      <w:pPr>
        <w:pStyle w:val="ESch"/>
      </w:pPr>
      <w:r>
        <w:t>5.</w:t>
      </w:r>
      <w:r>
        <w:tab/>
        <w:t>Prima della messa in servizio di un sistema di propulsione o ausiliario di cui al paragrafo 2, occorre presentare alla commissione di ispezione i seguenti documenti:</w:t>
      </w:r>
    </w:p>
    <w:p w:rsidR="007E5FD5" w:rsidRPr="00C903F8" w:rsidRDefault="007E5FD5" w:rsidP="007E5FD5">
      <w:pPr>
        <w:pStyle w:val="ESlet"/>
      </w:pPr>
      <w:r>
        <w:t>a)</w:t>
      </w:r>
      <w:r>
        <w:tab/>
        <w:t>una valutazione dei rischi conformemente all'allegato 8;</w:t>
      </w:r>
    </w:p>
    <w:p w:rsidR="007E5FD5" w:rsidRPr="00C903F8" w:rsidRDefault="007E5FD5" w:rsidP="007E5FD5">
      <w:pPr>
        <w:pStyle w:val="ESlet"/>
      </w:pPr>
      <w:r>
        <w:t>b)</w:t>
      </w:r>
      <w:r>
        <w:tab/>
        <w:t>una descrizione del sistema di propulsione o ausiliario;</w:t>
      </w:r>
    </w:p>
    <w:p w:rsidR="007E5FD5" w:rsidRPr="00C903F8" w:rsidRDefault="007E5FD5" w:rsidP="007E5FD5">
      <w:pPr>
        <w:pStyle w:val="ESlet"/>
      </w:pPr>
      <w:r>
        <w:t>c)</w:t>
      </w:r>
      <w:r>
        <w:tab/>
        <w:t>disegni del sistema di propulsione o ausiliario;</w:t>
      </w:r>
    </w:p>
    <w:p w:rsidR="007E5FD5" w:rsidRPr="00C903F8" w:rsidRDefault="007E5FD5" w:rsidP="007E5FD5">
      <w:pPr>
        <w:pStyle w:val="ESlet"/>
      </w:pPr>
      <w:r>
        <w:t>d)</w:t>
      </w:r>
      <w:r>
        <w:tab/>
        <w:t>un diagramma della pressione e della temperatura all'interno del sistema;</w:t>
      </w:r>
    </w:p>
    <w:p w:rsidR="007E5FD5" w:rsidRPr="00C903F8" w:rsidRDefault="007E5FD5" w:rsidP="007E5FD5">
      <w:pPr>
        <w:pStyle w:val="ESlet"/>
      </w:pPr>
      <w:r>
        <w:t>e)</w:t>
      </w:r>
      <w:r>
        <w:tab/>
        <w:t>un manuale operativo contenente tutte le procedure applicabili, destinato all'uso pratico del sistema;</w:t>
      </w:r>
    </w:p>
    <w:p w:rsidR="007E5FD5" w:rsidRPr="00C903F8" w:rsidRDefault="007E5FD5" w:rsidP="007E5FD5">
      <w:pPr>
        <w:pStyle w:val="ESlet"/>
      </w:pPr>
      <w:r>
        <w:t>f)</w:t>
      </w:r>
      <w:r>
        <w:tab/>
        <w:t>un ruolo d'appello ai sensi dell'articolo 30.03;</w:t>
      </w:r>
    </w:p>
    <w:p w:rsidR="007E5FD5" w:rsidRPr="00C903F8" w:rsidRDefault="007E5FD5" w:rsidP="007E5FD5">
      <w:pPr>
        <w:pStyle w:val="ESlet"/>
      </w:pPr>
      <w:r>
        <w:t>g)</w:t>
      </w:r>
      <w:r>
        <w:tab/>
        <w:t>una copia del certificato di ispezione di cui all'articolo 30.02, paragrafo 4.</w:t>
      </w:r>
    </w:p>
    <w:p w:rsidR="007E5FD5" w:rsidRPr="00C903F8" w:rsidRDefault="007E5FD5" w:rsidP="007E5FD5">
      <w:pPr>
        <w:pStyle w:val="ESch"/>
      </w:pPr>
    </w:p>
    <w:p w:rsidR="007E5FD5" w:rsidRPr="00C903F8" w:rsidRDefault="007E5FD5" w:rsidP="007E5FD5">
      <w:pPr>
        <w:pStyle w:val="ESch"/>
      </w:pPr>
      <w:r>
        <w:t>6.</w:t>
      </w:r>
      <w:r>
        <w:tab/>
        <w:t>Una copia dei documenti di cui al paragrafo 5 deve essere conservata a bordo.</w:t>
      </w:r>
    </w:p>
    <w:p w:rsidR="007E5FD5" w:rsidRPr="00C903F8" w:rsidRDefault="007E5FD5" w:rsidP="007E5FD5">
      <w:pPr>
        <w:pStyle w:val="ESch"/>
        <w:rPr>
          <w:b/>
        </w:rPr>
      </w:pPr>
      <w:r>
        <w:br w:type="page"/>
      </w:r>
    </w:p>
    <w:p w:rsidR="007E5FD5" w:rsidRPr="00C903F8" w:rsidRDefault="009F3E19" w:rsidP="007E5FD5">
      <w:pPr>
        <w:pStyle w:val="ES-Titre3"/>
        <w:rPr>
          <w:i/>
        </w:rPr>
      </w:pPr>
      <w:bookmarkStart w:id="528" w:name="_Toc491854261"/>
      <w:bookmarkStart w:id="529" w:name="_Toc535500210"/>
      <w:r>
        <w:lastRenderedPageBreak/>
        <w:t>Articolo 30.02</w:t>
      </w:r>
      <w:r>
        <w:br/>
      </w:r>
      <w:r>
        <w:rPr>
          <w:i/>
        </w:rPr>
        <w:t>Prove</w:t>
      </w:r>
      <w:bookmarkEnd w:id="528"/>
      <w:bookmarkEnd w:id="529"/>
    </w:p>
    <w:p w:rsidR="007E5FD5" w:rsidRPr="00C903F8" w:rsidRDefault="007E5FD5" w:rsidP="007E5FD5">
      <w:pPr>
        <w:pStyle w:val="ESch"/>
      </w:pPr>
    </w:p>
    <w:p w:rsidR="007E5FD5" w:rsidRPr="00C903F8" w:rsidRDefault="007E5FD5" w:rsidP="007E5FD5">
      <w:pPr>
        <w:pStyle w:val="ESch"/>
      </w:pPr>
      <w:r>
        <w:t>1.</w:t>
      </w:r>
      <w:r>
        <w:tab/>
        <w:t xml:space="preserve">I sistemi di propulsione e ausiliari funzionanti con combustibili aventi un punto di infiammabilità pari o inferiore a 55 °C sono soggetti ad ispezione da parte della commissione di ispezione: </w:t>
      </w:r>
    </w:p>
    <w:p w:rsidR="007E5FD5" w:rsidRPr="00C903F8" w:rsidRDefault="007E5FD5" w:rsidP="007E5FD5">
      <w:pPr>
        <w:pStyle w:val="ESlet"/>
      </w:pPr>
      <w:r>
        <w:t>a)</w:t>
      </w:r>
      <w:r>
        <w:tab/>
        <w:t>prima della messa in servizio;</w:t>
      </w:r>
    </w:p>
    <w:p w:rsidR="007E5FD5" w:rsidRPr="00C903F8" w:rsidRDefault="007E5FD5" w:rsidP="007E5FD5">
      <w:pPr>
        <w:pStyle w:val="ESlet"/>
      </w:pPr>
      <w:r>
        <w:t>b)</w:t>
      </w:r>
      <w:r>
        <w:tab/>
        <w:t>dopo qualsiasi modifica o riparazione;</w:t>
      </w:r>
    </w:p>
    <w:p w:rsidR="007E5FD5" w:rsidRPr="00C903F8" w:rsidRDefault="007E5FD5" w:rsidP="007E5FD5">
      <w:pPr>
        <w:pStyle w:val="ESlet"/>
      </w:pPr>
      <w:r>
        <w:t>c)</w:t>
      </w:r>
      <w:r>
        <w:tab/>
        <w:t>periodicamente, almeno ogni anno.</w:t>
      </w:r>
    </w:p>
    <w:p w:rsidR="007E5FD5" w:rsidRPr="00C903F8" w:rsidRDefault="007E5FD5" w:rsidP="007E5FD5">
      <w:pPr>
        <w:pStyle w:val="ESchpar"/>
      </w:pPr>
    </w:p>
    <w:p w:rsidR="007E5FD5" w:rsidRPr="00C903F8" w:rsidRDefault="007E5FD5" w:rsidP="007E5FD5">
      <w:pPr>
        <w:pStyle w:val="ESchpar"/>
      </w:pPr>
      <w:r>
        <w:t>Nel contesto di tale processo occorre tenere conto delle istruzioni pertinenti dei costruttori.</w:t>
      </w:r>
    </w:p>
    <w:p w:rsidR="007E5FD5" w:rsidRPr="00C903F8" w:rsidRDefault="007E5FD5" w:rsidP="007E5FD5">
      <w:pPr>
        <w:pStyle w:val="ESchpar"/>
      </w:pPr>
    </w:p>
    <w:p w:rsidR="007E5FD5" w:rsidRPr="00C903F8" w:rsidRDefault="007E5FD5" w:rsidP="007E5FD5">
      <w:pPr>
        <w:pStyle w:val="ESch"/>
      </w:pPr>
      <w:r>
        <w:t>2.</w:t>
      </w:r>
      <w:r>
        <w:tab/>
        <w:t>Le ispezioni di cui al paragrafo 1, lettere a) e c), devono riguardare almeno:</w:t>
      </w:r>
    </w:p>
    <w:p w:rsidR="007E5FD5" w:rsidRPr="00C903F8" w:rsidRDefault="007E5FD5" w:rsidP="007E5FD5">
      <w:pPr>
        <w:pStyle w:val="ESlet"/>
      </w:pPr>
      <w:r>
        <w:t>a)</w:t>
      </w:r>
      <w:r>
        <w:tab/>
        <w:t>una verifica della conformità dei sistemi di propulsione e ausiliari rispetto ai disegni approvati e, in caso di controlli successivi, se sono state apportate modifiche al sistema di propulsione o ausiliario;</w:t>
      </w:r>
    </w:p>
    <w:p w:rsidR="007E5FD5" w:rsidRPr="00C903F8" w:rsidRDefault="007E5FD5" w:rsidP="007E5FD5">
      <w:pPr>
        <w:pStyle w:val="ESlet"/>
      </w:pPr>
      <w:r>
        <w:t>b)</w:t>
      </w:r>
      <w:r>
        <w:tab/>
        <w:t>se necessario, un test funzionale dei sistemi di propulsione e ausiliari in relazione a tutte le possibilità operative;</w:t>
      </w:r>
    </w:p>
    <w:p w:rsidR="007E5FD5" w:rsidRPr="00C903F8" w:rsidRDefault="007E5FD5" w:rsidP="007E5FD5">
      <w:pPr>
        <w:pStyle w:val="ESlet"/>
      </w:pPr>
      <w:r>
        <w:t>c)</w:t>
      </w:r>
      <w:r>
        <w:tab/>
        <w:t>un controllo visivo e un controllo della tenuta stagna di tutti i componenti dei sistemi, in particolare valvole, tubazioni, tubi flessibili, pistoni, pompe e filtri;</w:t>
      </w:r>
    </w:p>
    <w:p w:rsidR="007E5FD5" w:rsidRPr="00C903F8" w:rsidRDefault="007E5FD5" w:rsidP="007E5FD5">
      <w:pPr>
        <w:pStyle w:val="ESlet"/>
      </w:pPr>
      <w:r>
        <w:t>d)</w:t>
      </w:r>
      <w:r>
        <w:tab/>
        <w:t>un controllo visivo degli apparecchi elettrici ed elettronici dell'impianto;</w:t>
      </w:r>
    </w:p>
    <w:p w:rsidR="007E5FD5" w:rsidRPr="00C903F8" w:rsidRDefault="007E5FD5" w:rsidP="007E5FD5">
      <w:pPr>
        <w:pStyle w:val="ESlet"/>
      </w:pPr>
      <w:r>
        <w:t>e)</w:t>
      </w:r>
      <w:r>
        <w:tab/>
        <w:t>una verifica dei sistemi di comando, controllo e sicurezza.</w:t>
      </w:r>
    </w:p>
    <w:p w:rsidR="007E5FD5" w:rsidRPr="00C903F8" w:rsidRDefault="007E5FD5" w:rsidP="007E5FD5">
      <w:pPr>
        <w:pStyle w:val="ESch"/>
      </w:pPr>
    </w:p>
    <w:p w:rsidR="007E5FD5" w:rsidRPr="00C903F8" w:rsidRDefault="007E5FD5" w:rsidP="007E5FD5">
      <w:pPr>
        <w:pStyle w:val="ESch"/>
        <w:rPr>
          <w:spacing w:val="-2"/>
        </w:rPr>
      </w:pPr>
      <w:r>
        <w:t>3.</w:t>
      </w:r>
      <w:r>
        <w:tab/>
        <w:t>Le ispezioni di cui al paragrafo 1, lettera b), comprendono le parti interessate di cui al paragrafo 2.</w:t>
      </w:r>
    </w:p>
    <w:p w:rsidR="007E5FD5" w:rsidRPr="00C903F8" w:rsidRDefault="007E5FD5" w:rsidP="007E5FD5">
      <w:pPr>
        <w:pStyle w:val="ESch"/>
      </w:pPr>
    </w:p>
    <w:p w:rsidR="007E5FD5" w:rsidRPr="00C903F8" w:rsidRDefault="007E5FD5" w:rsidP="007E5FD5">
      <w:pPr>
        <w:pStyle w:val="ESch"/>
      </w:pPr>
      <w:r>
        <w:t>4.</w:t>
      </w:r>
      <w:r>
        <w:tab/>
        <w:t>Per ciascuna ispezione a norma del paragrafo 1, viene rilasciato un attestato di ispezione che reca la data dell'ispezione.</w:t>
      </w:r>
    </w:p>
    <w:p w:rsidR="007E5FD5" w:rsidRPr="00C903F8" w:rsidRDefault="007E5FD5" w:rsidP="007E5FD5">
      <w:pPr>
        <w:pStyle w:val="ESch"/>
      </w:pPr>
    </w:p>
    <w:p w:rsidR="007E5FD5" w:rsidRPr="00C903F8" w:rsidRDefault="007E5FD5" w:rsidP="007E5FD5">
      <w:pPr>
        <w:pStyle w:val="ESch"/>
      </w:pPr>
    </w:p>
    <w:p w:rsidR="007E5FD5" w:rsidRPr="00C903F8" w:rsidRDefault="007E5FD5" w:rsidP="007E5FD5">
      <w:pPr>
        <w:pStyle w:val="ES-Titre3"/>
        <w:rPr>
          <w:i/>
        </w:rPr>
      </w:pPr>
      <w:bookmarkStart w:id="530" w:name="_Toc491854262"/>
      <w:bookmarkStart w:id="531" w:name="_Toc535500211"/>
      <w:r>
        <w:t>Articolo 30.03</w:t>
      </w:r>
      <w:r>
        <w:br/>
      </w:r>
      <w:r>
        <w:rPr>
          <w:i/>
        </w:rPr>
        <w:t>Organizzazione della sicurezza</w:t>
      </w:r>
      <w:bookmarkEnd w:id="530"/>
      <w:bookmarkEnd w:id="531"/>
    </w:p>
    <w:p w:rsidR="007E5FD5" w:rsidRPr="00C903F8" w:rsidRDefault="007E5FD5" w:rsidP="007E5FD5">
      <w:pPr>
        <w:pStyle w:val="ESch"/>
      </w:pPr>
    </w:p>
    <w:p w:rsidR="007E5FD5" w:rsidRPr="00C903F8" w:rsidRDefault="007E5FD5" w:rsidP="007E5FD5">
      <w:pPr>
        <w:pStyle w:val="ESch"/>
        <w:rPr>
          <w:color w:val="000000"/>
        </w:rPr>
      </w:pPr>
      <w:r>
        <w:rPr>
          <w:color w:val="000000"/>
        </w:rPr>
        <w:t>1.</w:t>
      </w:r>
      <w:r>
        <w:tab/>
      </w:r>
      <w:r>
        <w:rPr>
          <w:color w:val="000000"/>
        </w:rPr>
        <w:t>A bordo di un'imbarcazione dotata di sistema di propulsione o ausiliario alimentati da combustibile avente un punto di infiammabilità pari o inferiore a 55 °C è previsto un ruolo d'appello. Quest'ultimo include le istruzioni in materia di sicurezza di cui al paragrafo 2 e un piano di sicurezza per l'imbarcazione di cui al paragrafo 3.</w:t>
      </w:r>
    </w:p>
    <w:p w:rsidR="007E5FD5" w:rsidRPr="00C903F8" w:rsidRDefault="007E5FD5" w:rsidP="007E5FD5">
      <w:pPr>
        <w:pStyle w:val="ESch"/>
        <w:rPr>
          <w:color w:val="000000"/>
        </w:rPr>
      </w:pPr>
    </w:p>
    <w:p w:rsidR="007E5FD5" w:rsidRPr="00C903F8" w:rsidRDefault="007E5FD5" w:rsidP="007E5FD5">
      <w:pPr>
        <w:pStyle w:val="ESch"/>
      </w:pPr>
      <w:r>
        <w:rPr>
          <w:color w:val="000000"/>
        </w:rPr>
        <w:t>2.</w:t>
      </w:r>
      <w:r>
        <w:tab/>
        <w:t>Tali istruzioni in materia di sicurezza devono contenere quantomeno le seguenti informazioni:</w:t>
      </w:r>
    </w:p>
    <w:p w:rsidR="007E5FD5" w:rsidRPr="00C903F8" w:rsidRDefault="007E5FD5" w:rsidP="007E5FD5">
      <w:pPr>
        <w:pStyle w:val="ESlet"/>
      </w:pPr>
      <w:r>
        <w:t>a)</w:t>
      </w:r>
      <w:r>
        <w:tab/>
        <w:t xml:space="preserve">arresto di emergenza del sistema; </w:t>
      </w:r>
    </w:p>
    <w:p w:rsidR="007E5FD5" w:rsidRPr="00C903F8" w:rsidRDefault="007E5FD5" w:rsidP="007E5FD5">
      <w:pPr>
        <w:pStyle w:val="ESlet"/>
      </w:pPr>
      <w:r>
        <w:t>b)</w:t>
      </w:r>
      <w:r>
        <w:tab/>
        <w:t xml:space="preserve">misure da adottare in caso di rilascio accidentale di combustibile liquido o gassoso, ad esempio durante il rifornimento; </w:t>
      </w:r>
    </w:p>
    <w:p w:rsidR="007E5FD5" w:rsidRPr="00C903F8" w:rsidRDefault="007E5FD5" w:rsidP="007E5FD5">
      <w:pPr>
        <w:pStyle w:val="ESlet"/>
      </w:pPr>
      <w:r>
        <w:t>c)</w:t>
      </w:r>
      <w:r>
        <w:tab/>
        <w:t>misure da adottare in caso di incendio o di altri incidenti a bordo;</w:t>
      </w:r>
    </w:p>
    <w:p w:rsidR="007E5FD5" w:rsidRPr="00C903F8" w:rsidRDefault="007E5FD5" w:rsidP="007E5FD5">
      <w:pPr>
        <w:pStyle w:val="ESlet"/>
      </w:pPr>
      <w:r>
        <w:t>d)</w:t>
      </w:r>
      <w:r>
        <w:tab/>
        <w:t>misure da adottare in caso di collisione;</w:t>
      </w:r>
    </w:p>
    <w:p w:rsidR="007E5FD5" w:rsidRPr="00C903F8" w:rsidRDefault="007E5FD5" w:rsidP="007E5FD5">
      <w:pPr>
        <w:pStyle w:val="ESlet"/>
      </w:pPr>
      <w:r>
        <w:t>e)</w:t>
      </w:r>
      <w:r>
        <w:tab/>
        <w:t>uso di dispositivi di sicurezza;</w:t>
      </w:r>
    </w:p>
    <w:p w:rsidR="007E5FD5" w:rsidRPr="00C903F8" w:rsidRDefault="007E5FD5" w:rsidP="007E5FD5">
      <w:pPr>
        <w:pStyle w:val="ESlet"/>
      </w:pPr>
      <w:r>
        <w:t>f)</w:t>
      </w:r>
      <w:r>
        <w:tab/>
        <w:t>procedure per segnalare un allarme;</w:t>
      </w:r>
    </w:p>
    <w:p w:rsidR="007E5FD5" w:rsidRPr="00C903F8" w:rsidRDefault="007E5FD5" w:rsidP="007E5FD5">
      <w:pPr>
        <w:pStyle w:val="ESlet"/>
      </w:pPr>
      <w:r>
        <w:t>g)</w:t>
      </w:r>
      <w:r>
        <w:tab/>
        <w:t>procedure di evacuazione.</w:t>
      </w:r>
    </w:p>
    <w:p w:rsidR="007E5FD5" w:rsidRPr="00C903F8" w:rsidRDefault="007E5FD5" w:rsidP="007E5FD5">
      <w:pPr>
        <w:pStyle w:val="ESch"/>
      </w:pPr>
    </w:p>
    <w:p w:rsidR="009F3E19" w:rsidRPr="00C903F8" w:rsidRDefault="009F3E19">
      <w:pPr>
        <w:autoSpaceDE/>
        <w:autoSpaceDN/>
        <w:ind w:left="0" w:firstLine="0"/>
        <w:jc w:val="left"/>
      </w:pPr>
      <w:r>
        <w:br w:type="page"/>
      </w:r>
    </w:p>
    <w:p w:rsidR="009F3E19" w:rsidRPr="00C903F8" w:rsidRDefault="009F3E19" w:rsidP="007E5FD5">
      <w:pPr>
        <w:pStyle w:val="ESch"/>
      </w:pPr>
    </w:p>
    <w:p w:rsidR="007E5FD5" w:rsidRPr="00C903F8" w:rsidRDefault="007E5FD5" w:rsidP="007E5FD5">
      <w:pPr>
        <w:pStyle w:val="ESch"/>
        <w:rPr>
          <w:color w:val="000000"/>
        </w:rPr>
      </w:pPr>
      <w:r>
        <w:rPr>
          <w:color w:val="000000"/>
        </w:rPr>
        <w:t>3.</w:t>
      </w:r>
      <w:r>
        <w:tab/>
        <w:t>Il piano di sicurezza deve contenere quantomeno le seguenti informazioni</w:t>
      </w:r>
      <w:r>
        <w:rPr>
          <w:color w:val="000000"/>
        </w:rPr>
        <w:t>:</w:t>
      </w:r>
    </w:p>
    <w:p w:rsidR="007E5FD5" w:rsidRPr="00C903F8" w:rsidRDefault="007E5FD5" w:rsidP="007E5FD5">
      <w:pPr>
        <w:pStyle w:val="ESlet"/>
      </w:pPr>
      <w:r>
        <w:t>a)</w:t>
      </w:r>
      <w:r>
        <w:tab/>
        <w:t>le zone pericolose;</w:t>
      </w:r>
    </w:p>
    <w:p w:rsidR="007E5FD5" w:rsidRPr="00C903F8" w:rsidRDefault="007E5FD5" w:rsidP="007E5FD5">
      <w:pPr>
        <w:pStyle w:val="ESlet"/>
      </w:pPr>
      <w:r>
        <w:t>b)</w:t>
      </w:r>
      <w:r>
        <w:tab/>
        <w:t>le vie di evacuazione, le uscite di emergenza e i locali a tenuta stagna al gas;</w:t>
      </w:r>
    </w:p>
    <w:p w:rsidR="007E5FD5" w:rsidRPr="00C903F8" w:rsidRDefault="007E5FD5" w:rsidP="007E5FD5">
      <w:pPr>
        <w:pStyle w:val="ESlet"/>
      </w:pPr>
      <w:r>
        <w:t>c)</w:t>
      </w:r>
      <w:r>
        <w:tab/>
        <w:t>le attrezzature di salvataggio e le lance;</w:t>
      </w:r>
    </w:p>
    <w:p w:rsidR="007E5FD5" w:rsidRPr="00C903F8" w:rsidRDefault="007E5FD5" w:rsidP="007E5FD5">
      <w:pPr>
        <w:pStyle w:val="ESlet"/>
      </w:pPr>
      <w:r>
        <w:t>d)</w:t>
      </w:r>
      <w:r>
        <w:tab/>
        <w:t xml:space="preserve">gli estintori, i sistemi antincendio e gli impianti pressurizzati a </w:t>
      </w:r>
      <w:r>
        <w:rPr>
          <w:i/>
        </w:rPr>
        <w:t>sprinkler</w:t>
      </w:r>
      <w:r>
        <w:t>;</w:t>
      </w:r>
    </w:p>
    <w:p w:rsidR="007E5FD5" w:rsidRPr="00C903F8" w:rsidRDefault="007E5FD5" w:rsidP="007E5FD5">
      <w:pPr>
        <w:pStyle w:val="ESlet"/>
      </w:pPr>
      <w:r>
        <w:t>e)</w:t>
      </w:r>
      <w:r>
        <w:tab/>
        <w:t>i sistemi d'allarme;</w:t>
      </w:r>
    </w:p>
    <w:p w:rsidR="007E5FD5" w:rsidRPr="00C903F8" w:rsidRDefault="00F87682" w:rsidP="007E5FD5">
      <w:pPr>
        <w:pStyle w:val="ESlet"/>
      </w:pPr>
      <w:r>
        <w:t>f)</w:t>
      </w:r>
      <w:r>
        <w:tab/>
        <w:t>i comandi degli interruttori di emergenza;</w:t>
      </w:r>
    </w:p>
    <w:p w:rsidR="007E5FD5" w:rsidRPr="00C903F8" w:rsidRDefault="007E5FD5" w:rsidP="007E5FD5">
      <w:pPr>
        <w:pStyle w:val="ESlet"/>
      </w:pPr>
      <w:r>
        <w:t>g)</w:t>
      </w:r>
      <w:r>
        <w:tab/>
        <w:t>le serrande tagliafuoco;</w:t>
      </w:r>
    </w:p>
    <w:p w:rsidR="007E5FD5" w:rsidRPr="00C903F8" w:rsidRDefault="007E5FD5" w:rsidP="007E5FD5">
      <w:pPr>
        <w:pStyle w:val="ESlet"/>
      </w:pPr>
      <w:r>
        <w:t>h)</w:t>
      </w:r>
      <w:r>
        <w:tab/>
        <w:t>le fonti di alimentazione elettrica d'emergenza;</w:t>
      </w:r>
    </w:p>
    <w:p w:rsidR="007E5FD5" w:rsidRPr="00C903F8" w:rsidRDefault="007E5FD5" w:rsidP="007E5FD5">
      <w:pPr>
        <w:pStyle w:val="ESlet"/>
      </w:pPr>
      <w:r>
        <w:t>i)</w:t>
      </w:r>
      <w:r>
        <w:tab/>
        <w:t>i comandi del sistema di ventilazione;</w:t>
      </w:r>
    </w:p>
    <w:p w:rsidR="007E5FD5" w:rsidRPr="00C903F8" w:rsidRDefault="007E5FD5" w:rsidP="007E5FD5">
      <w:pPr>
        <w:pStyle w:val="ESlet"/>
      </w:pPr>
      <w:r>
        <w:t>j)</w:t>
      </w:r>
      <w:r>
        <w:tab/>
        <w:t>i comandi delle linee di alimentazione del combustibile;</w:t>
      </w:r>
    </w:p>
    <w:p w:rsidR="007E5FD5" w:rsidRPr="00C903F8" w:rsidRDefault="007E5FD5" w:rsidP="007E5FD5">
      <w:pPr>
        <w:pStyle w:val="ESlet"/>
      </w:pPr>
      <w:r>
        <w:t>k)</w:t>
      </w:r>
      <w:r>
        <w:tab/>
        <w:t>i dispositivi di sicurezza.</w:t>
      </w:r>
    </w:p>
    <w:p w:rsidR="007E5FD5" w:rsidRPr="00C903F8" w:rsidRDefault="007E5FD5" w:rsidP="007E5FD5">
      <w:pPr>
        <w:pStyle w:val="ESch"/>
      </w:pPr>
    </w:p>
    <w:p w:rsidR="007E5FD5" w:rsidRPr="00C903F8" w:rsidRDefault="007E5FD5" w:rsidP="007E5FD5">
      <w:pPr>
        <w:pStyle w:val="ESch"/>
      </w:pPr>
      <w:r>
        <w:t>4.</w:t>
      </w:r>
      <w:r>
        <w:tab/>
        <w:t>Il ruolo d'appello:</w:t>
      </w:r>
    </w:p>
    <w:p w:rsidR="007E5FD5" w:rsidRPr="00C903F8" w:rsidRDefault="007E5FD5" w:rsidP="007E5FD5">
      <w:pPr>
        <w:pStyle w:val="ESlet"/>
      </w:pPr>
      <w:r>
        <w:t>a)</w:t>
      </w:r>
      <w:r>
        <w:tab/>
        <w:t xml:space="preserve">recano l'apposito visto della commissione di ispezione; </w:t>
      </w:r>
    </w:p>
    <w:p w:rsidR="007E5FD5" w:rsidRPr="00C903F8" w:rsidRDefault="007E5FD5" w:rsidP="007E5FD5">
      <w:pPr>
        <w:pStyle w:val="ESlet"/>
      </w:pPr>
      <w:r>
        <w:t>b)</w:t>
      </w:r>
      <w:r>
        <w:tab/>
        <w:t>è affisso su uno o più punti adatti a bordo in modo da essere ben visibili.</w:t>
      </w:r>
    </w:p>
    <w:p w:rsidR="007E5FD5" w:rsidRPr="00C903F8" w:rsidRDefault="007E5FD5" w:rsidP="007E5FD5">
      <w:pPr>
        <w:pStyle w:val="ESch"/>
      </w:pPr>
    </w:p>
    <w:p w:rsidR="007E5FD5" w:rsidRDefault="007E5FD5" w:rsidP="007E5FD5">
      <w:pPr>
        <w:pStyle w:val="ESch"/>
      </w:pPr>
    </w:p>
    <w:p w:rsidR="00745362" w:rsidRPr="00C903F8" w:rsidRDefault="00745362" w:rsidP="00745362">
      <w:pPr>
        <w:pStyle w:val="ES-Titre3"/>
        <w:rPr>
          <w:i/>
        </w:rPr>
      </w:pPr>
      <w:bookmarkStart w:id="532" w:name="_Toc491854263"/>
      <w:bookmarkStart w:id="533" w:name="_Toc535500212"/>
      <w:r>
        <w:t>Articolo 30.04</w:t>
      </w:r>
      <w:r>
        <w:br/>
      </w:r>
      <w:r>
        <w:rPr>
          <w:i/>
        </w:rPr>
        <w:t>(Senza oggetto)</w:t>
      </w:r>
      <w:bookmarkEnd w:id="532"/>
      <w:bookmarkEnd w:id="533"/>
    </w:p>
    <w:p w:rsidR="00745362" w:rsidRDefault="00745362" w:rsidP="007E5FD5">
      <w:pPr>
        <w:pStyle w:val="ESch"/>
      </w:pPr>
    </w:p>
    <w:p w:rsidR="00745362" w:rsidRPr="00C903F8" w:rsidRDefault="00745362" w:rsidP="007E5FD5">
      <w:pPr>
        <w:pStyle w:val="ESch"/>
      </w:pPr>
    </w:p>
    <w:p w:rsidR="007E5FD5" w:rsidRPr="00C903F8" w:rsidRDefault="007E5FD5" w:rsidP="007E5FD5">
      <w:pPr>
        <w:pStyle w:val="ES-Titre3"/>
        <w:rPr>
          <w:i/>
        </w:rPr>
      </w:pPr>
      <w:bookmarkStart w:id="534" w:name="_Toc491854264"/>
      <w:bookmarkStart w:id="535" w:name="_Toc535500213"/>
      <w:r>
        <w:t>Articolo 30.05</w:t>
      </w:r>
      <w:r>
        <w:br/>
      </w:r>
      <w:r>
        <w:rPr>
          <w:i/>
        </w:rPr>
        <w:t>Marcatura:</w:t>
      </w:r>
      <w:bookmarkEnd w:id="534"/>
      <w:bookmarkEnd w:id="535"/>
    </w:p>
    <w:p w:rsidR="007E5FD5" w:rsidRPr="00C903F8" w:rsidRDefault="007E5FD5" w:rsidP="007E5FD5">
      <w:pPr>
        <w:pStyle w:val="ESgauche"/>
      </w:pPr>
    </w:p>
    <w:p w:rsidR="007E5FD5" w:rsidRPr="00C903F8" w:rsidRDefault="007E5FD5" w:rsidP="007E5FD5">
      <w:pPr>
        <w:pStyle w:val="ESgauche"/>
      </w:pPr>
      <w:r>
        <w:t>I locali di servizio e i componenti dei sistemi sono opportunamente contrassegnati in modo da indicare chiaramente i combustibili in uso.</w:t>
      </w:r>
    </w:p>
    <w:p w:rsidR="007E5FD5" w:rsidRPr="00C903F8" w:rsidRDefault="007E5FD5" w:rsidP="007E5FD5">
      <w:pPr>
        <w:pStyle w:val="ESgauche"/>
      </w:pPr>
    </w:p>
    <w:p w:rsidR="007E5FD5" w:rsidRPr="00C903F8" w:rsidRDefault="007E5FD5" w:rsidP="007E5FD5">
      <w:pPr>
        <w:pStyle w:val="ESgauche"/>
      </w:pPr>
    </w:p>
    <w:p w:rsidR="007E5FD5" w:rsidRPr="00C903F8" w:rsidRDefault="009F3E19" w:rsidP="007E5FD5">
      <w:pPr>
        <w:pStyle w:val="ES-Titre3"/>
        <w:rPr>
          <w:i/>
        </w:rPr>
      </w:pPr>
      <w:bookmarkStart w:id="536" w:name="_Toc491854265"/>
      <w:bookmarkStart w:id="537" w:name="_Toc535500214"/>
      <w:r>
        <w:t>Articolo 30.06</w:t>
      </w:r>
      <w:r>
        <w:br/>
      </w:r>
      <w:r>
        <w:rPr>
          <w:i/>
        </w:rPr>
        <w:t>Propulsione indipendente</w:t>
      </w:r>
      <w:bookmarkEnd w:id="536"/>
      <w:bookmarkEnd w:id="537"/>
    </w:p>
    <w:p w:rsidR="007E5FD5" w:rsidRPr="00C903F8" w:rsidRDefault="007E5FD5" w:rsidP="007E5FD5">
      <w:pPr>
        <w:pStyle w:val="ESgauche"/>
      </w:pPr>
    </w:p>
    <w:p w:rsidR="007E5FD5" w:rsidRPr="00C903F8" w:rsidRDefault="007E5FD5" w:rsidP="007E5FD5">
      <w:pPr>
        <w:pStyle w:val="ESgauche"/>
        <w:rPr>
          <w:rFonts w:eastAsia="Calibri"/>
        </w:rPr>
      </w:pPr>
      <w:r>
        <w:t xml:space="preserve">In caso di spegnimento automatico del sistema di propulsione o di sue parti, l'imbarcazione deve poter proseguire la navigazione con mezzi propri. </w:t>
      </w:r>
    </w:p>
    <w:p w:rsidR="007E5FD5" w:rsidRPr="00C903F8" w:rsidRDefault="007E5FD5" w:rsidP="007E5FD5">
      <w:pPr>
        <w:pStyle w:val="ESgauche"/>
        <w:rPr>
          <w:rFonts w:eastAsia="Calibri"/>
          <w:iCs/>
        </w:rPr>
      </w:pPr>
    </w:p>
    <w:p w:rsidR="007E5FD5" w:rsidRPr="00C903F8" w:rsidRDefault="007E5FD5" w:rsidP="007E5FD5">
      <w:pPr>
        <w:pStyle w:val="ESgauche"/>
        <w:rPr>
          <w:rFonts w:eastAsia="Calibri"/>
          <w:iCs/>
        </w:rPr>
      </w:pPr>
    </w:p>
    <w:p w:rsidR="007E5FD5" w:rsidRPr="00C903F8" w:rsidRDefault="007E5FD5" w:rsidP="007E5FD5">
      <w:pPr>
        <w:pStyle w:val="ES-Titre3"/>
        <w:rPr>
          <w:i/>
        </w:rPr>
      </w:pPr>
      <w:bookmarkStart w:id="538" w:name="_Toc491854266"/>
      <w:bookmarkStart w:id="539" w:name="_Toc535500215"/>
      <w:r>
        <w:t>Articolo 30.07</w:t>
      </w:r>
      <w:r>
        <w:br/>
      </w:r>
      <w:r>
        <w:rPr>
          <w:i/>
        </w:rPr>
        <w:t>Servizi tecnici</w:t>
      </w:r>
      <w:bookmarkEnd w:id="538"/>
      <w:bookmarkEnd w:id="539"/>
    </w:p>
    <w:p w:rsidR="007E5FD5" w:rsidRPr="00C903F8" w:rsidRDefault="007E5FD5" w:rsidP="007E5FD5">
      <w:pPr>
        <w:pStyle w:val="ESch"/>
        <w:rPr>
          <w:rFonts w:eastAsia="Calibri"/>
        </w:rPr>
      </w:pPr>
    </w:p>
    <w:p w:rsidR="007E5FD5" w:rsidRPr="00C903F8" w:rsidRDefault="007E5FD5" w:rsidP="007E5FD5">
      <w:pPr>
        <w:pStyle w:val="ESch"/>
        <w:rPr>
          <w:rFonts w:eastAsia="Calibri"/>
        </w:rPr>
      </w:pPr>
      <w:r>
        <w:t>1.</w:t>
      </w:r>
      <w:r>
        <w:tab/>
        <w:t>I servizi tecnici sono conformi alla norma europea EN ISO 17020:2012.</w:t>
      </w:r>
    </w:p>
    <w:p w:rsidR="007E5FD5" w:rsidRPr="00C903F8" w:rsidRDefault="007E5FD5" w:rsidP="007E5FD5">
      <w:pPr>
        <w:pStyle w:val="ESch"/>
        <w:rPr>
          <w:rFonts w:eastAsia="Calibri"/>
        </w:rPr>
      </w:pPr>
    </w:p>
    <w:p w:rsidR="007E5FD5" w:rsidRPr="00C903F8" w:rsidRDefault="007E5FD5" w:rsidP="007E5FD5">
      <w:pPr>
        <w:pStyle w:val="ESch"/>
        <w:rPr>
          <w:rFonts w:eastAsia="Calibri"/>
        </w:rPr>
      </w:pPr>
      <w:r>
        <w:t>2.</w:t>
      </w:r>
      <w:r>
        <w:tab/>
        <w:t>I costruttori e i distributori di sistemi di propulsione o ausiliari o di parti di questi sistemi non possono essere riconosciuti come servizi tecnici.</w:t>
      </w:r>
    </w:p>
    <w:p w:rsidR="007E5FD5" w:rsidRPr="00C903F8" w:rsidRDefault="007E5FD5" w:rsidP="007E5FD5">
      <w:pPr>
        <w:pStyle w:val="ESch"/>
        <w:rPr>
          <w:rFonts w:eastAsia="Calibri"/>
        </w:rPr>
      </w:pPr>
    </w:p>
    <w:p w:rsidR="007E5FD5" w:rsidRPr="00C903F8" w:rsidRDefault="007E5FD5" w:rsidP="007E5FD5">
      <w:pPr>
        <w:pStyle w:val="ESch"/>
        <w:rPr>
          <w:rFonts w:eastAsia="Calibri"/>
        </w:rPr>
      </w:pPr>
      <w:r>
        <w:t>3.</w:t>
      </w:r>
      <w:r>
        <w:tab/>
        <w:t>L'esperienza del servizio tecnico è conforme alla prescrizioni di cui all'allegato 8.</w:t>
      </w:r>
    </w:p>
    <w:p w:rsidR="007E5FD5" w:rsidRPr="00C903F8" w:rsidRDefault="007E5FD5" w:rsidP="007E5FD5">
      <w:pPr>
        <w:pStyle w:val="ESch"/>
        <w:rPr>
          <w:rFonts w:eastAsia="Calibri"/>
        </w:rPr>
      </w:pPr>
    </w:p>
    <w:p w:rsidR="007E5FD5" w:rsidRPr="00C903F8" w:rsidRDefault="007E5FD5" w:rsidP="007E5FD5">
      <w:pPr>
        <w:pStyle w:val="ESch"/>
        <w:rPr>
          <w:rFonts w:eastAsia="Calibri"/>
        </w:rPr>
      </w:pPr>
      <w:r>
        <w:t>4.</w:t>
      </w:r>
      <w:r>
        <w:tab/>
        <w:t xml:space="preserve">Il controllo e le prove di cui agli articoli 30.01 e 30.02 possono essere eseguiti da servizi tecnici diversi purché tutte le competenze descritte al paragrafo 3 siano prese in considerazione nel contesto di tale processo. </w:t>
      </w:r>
    </w:p>
    <w:p w:rsidR="007E5FD5" w:rsidRDefault="007E5FD5" w:rsidP="007E5FD5">
      <w:pPr>
        <w:pStyle w:val="ESch"/>
        <w:rPr>
          <w:rFonts w:eastAsia="Calibri"/>
        </w:rPr>
      </w:pPr>
    </w:p>
    <w:p w:rsidR="005B594A" w:rsidRDefault="005B594A">
      <w:pPr>
        <w:autoSpaceDE/>
        <w:autoSpaceDN/>
        <w:ind w:left="0" w:firstLine="0"/>
        <w:jc w:val="left"/>
        <w:rPr>
          <w:rFonts w:eastAsia="Calibri"/>
        </w:rPr>
      </w:pPr>
      <w:r>
        <w:br w:type="page"/>
      </w:r>
    </w:p>
    <w:p w:rsidR="005B594A" w:rsidRPr="00C903F8" w:rsidRDefault="005B594A" w:rsidP="007E5FD5">
      <w:pPr>
        <w:pStyle w:val="ESch"/>
        <w:rPr>
          <w:rFonts w:eastAsia="Calibri"/>
        </w:rPr>
      </w:pPr>
    </w:p>
    <w:p w:rsidR="00451B55" w:rsidRPr="00C903F8" w:rsidRDefault="00451B55" w:rsidP="00125490">
      <w:pPr>
        <w:pStyle w:val="ESch"/>
        <w:rPr>
          <w:rFonts w:cs="Arial"/>
          <w:szCs w:val="20"/>
        </w:rPr>
      </w:pPr>
    </w:p>
    <w:p w:rsidR="000D44AE" w:rsidRPr="00C903F8" w:rsidRDefault="000D44AE" w:rsidP="000D44AE">
      <w:pPr>
        <w:pStyle w:val="ES-Titre2"/>
        <w:rPr>
          <w:szCs w:val="24"/>
        </w:rPr>
      </w:pPr>
      <w:bookmarkStart w:id="540" w:name="_Toc491854267"/>
      <w:bookmarkStart w:id="541" w:name="_Toc535500216"/>
      <w:r>
        <w:lastRenderedPageBreak/>
        <w:t>Capo 31</w:t>
      </w:r>
      <w:r>
        <w:br/>
      </w:r>
      <w:r>
        <w:rPr>
          <w:noProof/>
          <w:sz w:val="22"/>
        </w:rPr>
        <w:t>Disposizioni particolari per le navi che navigano con un</w:t>
      </w:r>
      <w:r w:rsidR="00A16690">
        <w:rPr>
          <w:noProof/>
          <w:sz w:val="22"/>
        </w:rPr>
        <w:t xml:space="preserve"> </w:t>
      </w:r>
      <w:r>
        <w:rPr>
          <w:noProof/>
          <w:sz w:val="22"/>
        </w:rPr>
        <w:t>equipaggio minimo</w:t>
      </w:r>
      <w:bookmarkEnd w:id="540"/>
      <w:bookmarkEnd w:id="541"/>
    </w:p>
    <w:p w:rsidR="000D44AE" w:rsidRPr="00C903F8" w:rsidRDefault="000D44AE" w:rsidP="000D44AE"/>
    <w:p w:rsidR="000D44AE" w:rsidRPr="00C903F8" w:rsidRDefault="000D44AE" w:rsidP="000D44AE">
      <w:pPr>
        <w:pStyle w:val="ES-Titre3"/>
      </w:pPr>
      <w:bookmarkStart w:id="542" w:name="_Toc491854268"/>
      <w:bookmarkStart w:id="543" w:name="_Toc535500217"/>
      <w:r>
        <w:t>Articolo 31.01</w:t>
      </w:r>
      <w:r>
        <w:br/>
      </w:r>
      <w:r>
        <w:rPr>
          <w:i/>
          <w:noProof/>
        </w:rPr>
        <w:t>Dotazioni di armamento delle navi</w:t>
      </w:r>
      <w:bookmarkEnd w:id="542"/>
      <w:bookmarkEnd w:id="543"/>
    </w:p>
    <w:p w:rsidR="00125490" w:rsidRPr="00C903F8" w:rsidRDefault="00125490" w:rsidP="00125490">
      <w:pPr>
        <w:pStyle w:val="ESch"/>
        <w:rPr>
          <w:rFonts w:cs="Arial"/>
          <w:szCs w:val="20"/>
        </w:rPr>
      </w:pPr>
    </w:p>
    <w:p w:rsidR="00031119" w:rsidRPr="00C903F8" w:rsidRDefault="00031119" w:rsidP="00031119">
      <w:pPr>
        <w:pStyle w:val="ESgauche"/>
        <w:rPr>
          <w:szCs w:val="18"/>
        </w:rPr>
      </w:pPr>
      <w:r>
        <w:t>Per quanto riguarda le motonavi, gli spintori, i convogli spinti e le navi da passeggeri, la conformità o la non conformità alle disposizioni di cui all'articolo 31.02 o</w:t>
      </w:r>
      <w:r w:rsidR="00A16690">
        <w:t xml:space="preserve"> </w:t>
      </w:r>
      <w:r>
        <w:t>31.03 è annotata dalla commissione di ispezione nella rubrica 47 del certificato per la navigazione interna.</w:t>
      </w:r>
    </w:p>
    <w:p w:rsidR="00031119" w:rsidRPr="00C903F8" w:rsidRDefault="00031119" w:rsidP="00031119">
      <w:pPr>
        <w:pStyle w:val="ESch"/>
      </w:pPr>
    </w:p>
    <w:p w:rsidR="00031119" w:rsidRPr="00C903F8" w:rsidRDefault="00031119" w:rsidP="00031119">
      <w:pPr>
        <w:pStyle w:val="ESch"/>
      </w:pPr>
    </w:p>
    <w:p w:rsidR="00031119" w:rsidRPr="00C903F8" w:rsidRDefault="00031119" w:rsidP="00031119">
      <w:pPr>
        <w:pStyle w:val="ES-Titre3"/>
        <w:rPr>
          <w:rFonts w:cs="Arial"/>
          <w:szCs w:val="18"/>
        </w:rPr>
      </w:pPr>
      <w:bookmarkStart w:id="544" w:name="_Toc491854269"/>
      <w:bookmarkStart w:id="545" w:name="_Toc535500218"/>
      <w:r>
        <w:t>Articolo 31.02</w:t>
      </w:r>
      <w:r>
        <w:br/>
      </w:r>
      <w:r>
        <w:rPr>
          <w:i/>
          <w:noProof/>
        </w:rPr>
        <w:t>Norma S1</w:t>
      </w:r>
      <w:bookmarkEnd w:id="544"/>
      <w:bookmarkEnd w:id="545"/>
    </w:p>
    <w:p w:rsidR="00031119" w:rsidRPr="00C903F8" w:rsidRDefault="00031119" w:rsidP="00031119">
      <w:pPr>
        <w:pStyle w:val="ESch"/>
        <w:rPr>
          <w:noProof/>
        </w:rPr>
      </w:pPr>
    </w:p>
    <w:p w:rsidR="00031119" w:rsidRPr="00C903F8" w:rsidRDefault="00031119" w:rsidP="00031119">
      <w:pPr>
        <w:pStyle w:val="ESch"/>
        <w:rPr>
          <w:noProof/>
          <w:szCs w:val="18"/>
        </w:rPr>
      </w:pPr>
      <w:r>
        <w:t>1.</w:t>
      </w:r>
      <w:r>
        <w:tab/>
        <w:t>I sistemi di propulsione sono allestiti in maniera tale che sia possibile modificare la velocità e invertire la direzione di spinta dell'elica dalla timoneria.</w:t>
      </w:r>
    </w:p>
    <w:p w:rsidR="00031119" w:rsidRPr="00C903F8" w:rsidRDefault="00031119" w:rsidP="00031119">
      <w:pPr>
        <w:pStyle w:val="ESch"/>
        <w:rPr>
          <w:noProof/>
        </w:rPr>
      </w:pPr>
    </w:p>
    <w:p w:rsidR="00031119" w:rsidRPr="00C903F8" w:rsidRDefault="00031119" w:rsidP="00031119">
      <w:pPr>
        <w:pStyle w:val="ESchpar"/>
        <w:rPr>
          <w:noProof/>
          <w:szCs w:val="18"/>
        </w:rPr>
      </w:pPr>
      <w:r>
        <w:t>Le macchine ausiliarie necessarie alla propulsione possono essere avviate e arrestate dalla timoneria, a meno che ciò non avvenga automaticamente oppure che le macchine funzionino ininterrottamente nel corso di ciascun viaggio.</w:t>
      </w:r>
    </w:p>
    <w:p w:rsidR="00031119" w:rsidRPr="00C903F8" w:rsidRDefault="00031119" w:rsidP="00031119">
      <w:pPr>
        <w:pStyle w:val="ESch"/>
        <w:rPr>
          <w:noProof/>
        </w:rPr>
      </w:pPr>
    </w:p>
    <w:p w:rsidR="00031119" w:rsidRPr="00C903F8" w:rsidRDefault="00031119" w:rsidP="00031119">
      <w:pPr>
        <w:pStyle w:val="ESch"/>
        <w:rPr>
          <w:noProof/>
          <w:szCs w:val="18"/>
        </w:rPr>
      </w:pPr>
      <w:r>
        <w:t>2.</w:t>
      </w:r>
      <w:r>
        <w:tab/>
        <w:t>I livelli critici:</w:t>
      </w:r>
    </w:p>
    <w:p w:rsidR="00031119" w:rsidRPr="00C903F8" w:rsidRDefault="00031119" w:rsidP="00031119">
      <w:pPr>
        <w:pStyle w:val="ESlet"/>
        <w:rPr>
          <w:noProof/>
          <w:szCs w:val="18"/>
        </w:rPr>
      </w:pPr>
      <w:r>
        <w:t>-</w:t>
      </w:r>
      <w:r>
        <w:tab/>
        <w:t>della temperatura dell'acqua di raffreddamento dei motori principali,</w:t>
      </w:r>
    </w:p>
    <w:p w:rsidR="00031119" w:rsidRPr="00C903F8" w:rsidRDefault="00031119" w:rsidP="00031119">
      <w:pPr>
        <w:pStyle w:val="ESlet"/>
        <w:rPr>
          <w:noProof/>
          <w:szCs w:val="18"/>
        </w:rPr>
      </w:pPr>
      <w:r>
        <w:t>-</w:t>
      </w:r>
      <w:r>
        <w:tab/>
        <w:t>della pressione dell'olio lubrificante dei motori principali e degli organi di trasmissione,</w:t>
      </w:r>
    </w:p>
    <w:p w:rsidR="00031119" w:rsidRPr="00C903F8" w:rsidRDefault="00031119" w:rsidP="00031119">
      <w:pPr>
        <w:pStyle w:val="ESlet"/>
        <w:rPr>
          <w:noProof/>
          <w:szCs w:val="18"/>
        </w:rPr>
      </w:pPr>
      <w:r>
        <w:t>-</w:t>
      </w:r>
      <w:r>
        <w:tab/>
        <w:t>della pressione dell'olio e della pressione dell'aria dei dispositivi d'inversione dei motori principali, degli organi di trasmissione reversibile o delle eliche,</w:t>
      </w:r>
    </w:p>
    <w:p w:rsidR="00031119" w:rsidRPr="00C903F8" w:rsidRDefault="00031119" w:rsidP="00031119">
      <w:pPr>
        <w:pStyle w:val="ESlet"/>
        <w:rPr>
          <w:noProof/>
          <w:szCs w:val="18"/>
        </w:rPr>
      </w:pPr>
      <w:r>
        <w:t>-</w:t>
      </w:r>
      <w:r>
        <w:tab/>
        <w:t>della sentina nella sala macchine principale,</w:t>
      </w:r>
    </w:p>
    <w:p w:rsidR="00031119" w:rsidRPr="00C903F8" w:rsidRDefault="00031119" w:rsidP="000F7006">
      <w:pPr>
        <w:pStyle w:val="ESchpar"/>
        <w:spacing w:before="60"/>
        <w:rPr>
          <w:noProof/>
          <w:szCs w:val="18"/>
        </w:rPr>
      </w:pPr>
      <w:r>
        <w:t>sono controllati per mezzo di strumenti che, in caso di anomalia, attivano segnali visivi e acustici nella timoneria. I segnali di allarme acustico possono essere integrati in un unico avvisatore acustico. Essi possono essere disinseriti non appena l'anomalia è stata constatata. I segnali di allarme visivo possono essere disinseriti soltanto quando le anomalie che ne hanno provocato l'attivazione sono state eliminate.</w:t>
      </w:r>
    </w:p>
    <w:p w:rsidR="00031119" w:rsidRPr="00C903F8" w:rsidRDefault="00031119" w:rsidP="00031119">
      <w:pPr>
        <w:pStyle w:val="ESch"/>
        <w:rPr>
          <w:noProof/>
        </w:rPr>
      </w:pPr>
    </w:p>
    <w:p w:rsidR="00031119" w:rsidRPr="00C903F8" w:rsidRDefault="00031119" w:rsidP="00031119">
      <w:pPr>
        <w:pStyle w:val="ESch"/>
        <w:rPr>
          <w:noProof/>
          <w:szCs w:val="18"/>
        </w:rPr>
      </w:pPr>
      <w:r>
        <w:t>3.</w:t>
      </w:r>
      <w:r>
        <w:tab/>
        <w:t>Il rifornimento di combustibile e il raffreddamento dei motori principali sono automatici.</w:t>
      </w:r>
    </w:p>
    <w:p w:rsidR="00031119" w:rsidRPr="00C903F8" w:rsidRDefault="00031119" w:rsidP="00031119">
      <w:pPr>
        <w:pStyle w:val="ESch"/>
        <w:rPr>
          <w:noProof/>
        </w:rPr>
      </w:pPr>
    </w:p>
    <w:p w:rsidR="00031119" w:rsidRPr="00C903F8" w:rsidRDefault="00031119" w:rsidP="00031119">
      <w:pPr>
        <w:pStyle w:val="ESch"/>
        <w:rPr>
          <w:noProof/>
          <w:szCs w:val="18"/>
        </w:rPr>
      </w:pPr>
      <w:r>
        <w:t>4.</w:t>
      </w:r>
      <w:r>
        <w:tab/>
        <w:t>L'apparato di governo può essere manovrato da una sola persona, anche a livello di massima immersione, senza particolare sforzo.</w:t>
      </w:r>
    </w:p>
    <w:p w:rsidR="00031119" w:rsidRPr="00C903F8" w:rsidRDefault="00031119" w:rsidP="00031119">
      <w:pPr>
        <w:pStyle w:val="ESch"/>
        <w:rPr>
          <w:noProof/>
        </w:rPr>
      </w:pPr>
    </w:p>
    <w:p w:rsidR="00031119" w:rsidRPr="00C903F8" w:rsidRDefault="00031119" w:rsidP="00031119">
      <w:pPr>
        <w:pStyle w:val="ESch"/>
        <w:rPr>
          <w:noProof/>
          <w:szCs w:val="18"/>
        </w:rPr>
      </w:pPr>
      <w:r>
        <w:t>5.</w:t>
      </w:r>
      <w:r>
        <w:tab/>
        <w:t>Deve essere possibile fornire segnali visivi e acustici in conformità alle disposizioni di sicurezza della navigazione degli Stati membri applicabili, a seconda dei casi, dal posto di pilotaggio di navi in movimento.</w:t>
      </w:r>
    </w:p>
    <w:p w:rsidR="00031119" w:rsidRPr="00C903F8" w:rsidRDefault="00031119" w:rsidP="00031119">
      <w:pPr>
        <w:pStyle w:val="ESch"/>
        <w:rPr>
          <w:noProof/>
        </w:rPr>
      </w:pPr>
    </w:p>
    <w:p w:rsidR="00031119" w:rsidRPr="00C903F8" w:rsidRDefault="00031119" w:rsidP="00031119">
      <w:pPr>
        <w:pStyle w:val="ESch"/>
        <w:rPr>
          <w:noProof/>
          <w:szCs w:val="18"/>
        </w:rPr>
      </w:pPr>
      <w:r>
        <w:t>6.</w:t>
      </w:r>
      <w:r>
        <w:tab/>
        <w:t>Qualora non vi sia comunicazione diretta tra il posto di pilotaggio e la prua, la poppa, gli alloggi e le sale macchine è previsto un sistema di comunicazione vocale. Per comunicare con le sale macchine il sistema può essere sostituito da un segnale visivo o acustico.</w:t>
      </w:r>
    </w:p>
    <w:p w:rsidR="00031119" w:rsidRPr="00C903F8" w:rsidRDefault="00031119" w:rsidP="00031119">
      <w:pPr>
        <w:pStyle w:val="ESch"/>
        <w:rPr>
          <w:noProof/>
        </w:rPr>
      </w:pPr>
    </w:p>
    <w:p w:rsidR="00031119" w:rsidRPr="00C903F8" w:rsidRDefault="00031119" w:rsidP="00031119">
      <w:pPr>
        <w:pStyle w:val="ESch"/>
        <w:rPr>
          <w:rFonts w:cs="Arial"/>
          <w:szCs w:val="18"/>
        </w:rPr>
      </w:pPr>
      <w:r>
        <w:t>7.</w:t>
      </w:r>
      <w:r>
        <w:tab/>
        <w:t>Il funzionamento di manovelle e analoghe parti rotanti di apparecchi di sollevamento non richiede una forza superiore a 160 N.</w:t>
      </w:r>
    </w:p>
    <w:p w:rsidR="00031119" w:rsidRPr="00C903F8" w:rsidRDefault="00031119" w:rsidP="00031119">
      <w:pPr>
        <w:pStyle w:val="ESch"/>
        <w:rPr>
          <w:noProof/>
        </w:rPr>
      </w:pPr>
    </w:p>
    <w:p w:rsidR="00031119" w:rsidRPr="00C903F8" w:rsidRDefault="00031119" w:rsidP="00031119">
      <w:pPr>
        <w:pStyle w:val="ESch"/>
        <w:rPr>
          <w:noProof/>
        </w:rPr>
      </w:pPr>
      <w:r>
        <w:br w:type="page"/>
      </w:r>
    </w:p>
    <w:p w:rsidR="00031119" w:rsidRPr="00C903F8" w:rsidRDefault="00031119" w:rsidP="00031119">
      <w:pPr>
        <w:pStyle w:val="ESch"/>
        <w:rPr>
          <w:noProof/>
          <w:szCs w:val="18"/>
        </w:rPr>
      </w:pPr>
      <w:r>
        <w:lastRenderedPageBreak/>
        <w:t>8.</w:t>
      </w:r>
      <w:r>
        <w:tab/>
        <w:t>I verricelli per il rimorchio menzionati nel certificato per la navigazione interna sono motorizzati.</w:t>
      </w:r>
    </w:p>
    <w:p w:rsidR="00031119" w:rsidRPr="00C903F8" w:rsidRDefault="00031119" w:rsidP="00031119">
      <w:pPr>
        <w:pStyle w:val="ESch"/>
        <w:rPr>
          <w:noProof/>
        </w:rPr>
      </w:pPr>
    </w:p>
    <w:p w:rsidR="00031119" w:rsidRPr="00C903F8" w:rsidRDefault="00031119" w:rsidP="00031119">
      <w:pPr>
        <w:pStyle w:val="ESch"/>
        <w:rPr>
          <w:noProof/>
          <w:szCs w:val="18"/>
        </w:rPr>
      </w:pPr>
      <w:r>
        <w:t>9.</w:t>
      </w:r>
      <w:r>
        <w:tab/>
        <w:t>Le pompe di sentina e le pompe di lavaggio del ponte sono motorizzate.</w:t>
      </w:r>
    </w:p>
    <w:p w:rsidR="00031119" w:rsidRPr="00C903F8" w:rsidRDefault="00031119" w:rsidP="00031119">
      <w:pPr>
        <w:pStyle w:val="ESch"/>
        <w:rPr>
          <w:noProof/>
        </w:rPr>
      </w:pPr>
    </w:p>
    <w:p w:rsidR="00031119" w:rsidRPr="00C903F8" w:rsidRDefault="00031119" w:rsidP="00031119">
      <w:pPr>
        <w:pStyle w:val="ESch"/>
        <w:rPr>
          <w:noProof/>
          <w:szCs w:val="18"/>
        </w:rPr>
      </w:pPr>
      <w:r>
        <w:t>10.</w:t>
      </w:r>
      <w:r>
        <w:tab/>
        <w:t>I principali organi di comando e strumenti di controllo sono disposti ergonomicamente.</w:t>
      </w:r>
    </w:p>
    <w:p w:rsidR="00031119" w:rsidRPr="00C903F8" w:rsidRDefault="00031119" w:rsidP="00031119">
      <w:pPr>
        <w:pStyle w:val="ESch"/>
        <w:rPr>
          <w:noProof/>
        </w:rPr>
      </w:pPr>
    </w:p>
    <w:p w:rsidR="00031119" w:rsidRPr="00C903F8" w:rsidRDefault="00031119" w:rsidP="00031119">
      <w:pPr>
        <w:pStyle w:val="ESch"/>
        <w:rPr>
          <w:noProof/>
        </w:rPr>
      </w:pPr>
      <w:r>
        <w:t>11.</w:t>
      </w:r>
      <w:r>
        <w:tab/>
        <w:t>L'apparato di cui all'articolo 6.01, paragrafo 1, è comandato a distanza dalla timoneria.</w:t>
      </w:r>
    </w:p>
    <w:p w:rsidR="00031119" w:rsidRPr="00C903F8" w:rsidRDefault="00031119" w:rsidP="00031119">
      <w:pPr>
        <w:pStyle w:val="ESch"/>
        <w:rPr>
          <w:noProof/>
        </w:rPr>
      </w:pPr>
    </w:p>
    <w:p w:rsidR="00031119" w:rsidRPr="00C903F8" w:rsidRDefault="00031119" w:rsidP="00031119">
      <w:pPr>
        <w:pStyle w:val="ESch"/>
        <w:rPr>
          <w:noProof/>
          <w:szCs w:val="18"/>
        </w:rPr>
      </w:pPr>
    </w:p>
    <w:p w:rsidR="00031119" w:rsidRPr="00C903F8" w:rsidRDefault="00031119" w:rsidP="00031119">
      <w:pPr>
        <w:pStyle w:val="ES-Titre3"/>
        <w:rPr>
          <w:rFonts w:cs="Arial"/>
          <w:szCs w:val="18"/>
        </w:rPr>
      </w:pPr>
      <w:bookmarkStart w:id="546" w:name="_Toc491854270"/>
      <w:bookmarkStart w:id="547" w:name="_Toc535500219"/>
      <w:r>
        <w:t>Articolo 31.03</w:t>
      </w:r>
      <w:r>
        <w:br/>
      </w:r>
      <w:r>
        <w:rPr>
          <w:i/>
          <w:noProof/>
        </w:rPr>
        <w:t>Norma S2</w:t>
      </w:r>
      <w:bookmarkEnd w:id="546"/>
      <w:bookmarkEnd w:id="547"/>
    </w:p>
    <w:p w:rsidR="00031119" w:rsidRPr="00C903F8" w:rsidRDefault="00031119" w:rsidP="00031119">
      <w:pPr>
        <w:pStyle w:val="ESch"/>
        <w:rPr>
          <w:noProof/>
        </w:rPr>
      </w:pPr>
    </w:p>
    <w:p w:rsidR="00320EDC" w:rsidRPr="00C903F8" w:rsidRDefault="00320EDC" w:rsidP="00031119">
      <w:pPr>
        <w:pStyle w:val="ESch"/>
        <w:rPr>
          <w:noProof/>
        </w:rPr>
      </w:pPr>
      <w:r>
        <w:t>Norma S1 e, in aggiunta:</w:t>
      </w:r>
    </w:p>
    <w:p w:rsidR="00320EDC" w:rsidRPr="00C903F8" w:rsidRDefault="00320EDC" w:rsidP="00031119">
      <w:pPr>
        <w:pStyle w:val="ESch"/>
        <w:rPr>
          <w:noProof/>
        </w:rPr>
      </w:pPr>
    </w:p>
    <w:p w:rsidR="00031119" w:rsidRPr="00C903F8" w:rsidRDefault="00031119" w:rsidP="00031119">
      <w:pPr>
        <w:pStyle w:val="ESch"/>
        <w:rPr>
          <w:noProof/>
          <w:szCs w:val="18"/>
        </w:rPr>
      </w:pPr>
      <w:r>
        <w:t>1.</w:t>
      </w:r>
      <w:r>
        <w:tab/>
        <w:t>Per quanto riguarda le motonavi che navigano separatamente:</w:t>
      </w:r>
    </w:p>
    <w:p w:rsidR="00031119" w:rsidRPr="00C903F8" w:rsidRDefault="00031119" w:rsidP="00031119">
      <w:pPr>
        <w:pStyle w:val="ESch"/>
        <w:rPr>
          <w:noProof/>
        </w:rPr>
      </w:pPr>
    </w:p>
    <w:p w:rsidR="00031119" w:rsidRPr="00C903F8" w:rsidRDefault="00031119" w:rsidP="00031119">
      <w:pPr>
        <w:pStyle w:val="ESchpar"/>
        <w:rPr>
          <w:noProof/>
          <w:szCs w:val="18"/>
        </w:rPr>
      </w:pPr>
      <w:r>
        <w:t>un'elica di prua manovrabile dal posto di pilotaggio.</w:t>
      </w:r>
    </w:p>
    <w:p w:rsidR="00031119" w:rsidRPr="00C903F8" w:rsidRDefault="00031119" w:rsidP="00031119">
      <w:pPr>
        <w:pStyle w:val="ESch"/>
        <w:rPr>
          <w:noProof/>
        </w:rPr>
      </w:pPr>
    </w:p>
    <w:p w:rsidR="00031119" w:rsidRPr="00C903F8" w:rsidRDefault="00031119" w:rsidP="00031119">
      <w:pPr>
        <w:pStyle w:val="ESch"/>
        <w:rPr>
          <w:noProof/>
          <w:szCs w:val="18"/>
        </w:rPr>
      </w:pPr>
      <w:r>
        <w:t>2.</w:t>
      </w:r>
      <w:r>
        <w:tab/>
        <w:t>Per quanto riguarda le motonavi che provvedono alla propulsione di una formazione in coppia:</w:t>
      </w:r>
    </w:p>
    <w:p w:rsidR="00031119" w:rsidRPr="00C903F8" w:rsidRDefault="00031119" w:rsidP="00031119">
      <w:pPr>
        <w:pStyle w:val="ESch"/>
        <w:rPr>
          <w:noProof/>
        </w:rPr>
      </w:pPr>
    </w:p>
    <w:p w:rsidR="00031119" w:rsidRPr="00C903F8" w:rsidRDefault="00031119" w:rsidP="00031119">
      <w:pPr>
        <w:pStyle w:val="ESchpar"/>
        <w:rPr>
          <w:noProof/>
          <w:szCs w:val="18"/>
        </w:rPr>
      </w:pPr>
      <w:r>
        <w:t>un'elica di prua manovrabile dal posto di pilotaggio.</w:t>
      </w:r>
    </w:p>
    <w:p w:rsidR="00031119" w:rsidRPr="00C903F8" w:rsidRDefault="00031119" w:rsidP="00031119">
      <w:pPr>
        <w:pStyle w:val="ESch"/>
        <w:rPr>
          <w:noProof/>
        </w:rPr>
      </w:pPr>
    </w:p>
    <w:p w:rsidR="00031119" w:rsidRPr="00C903F8" w:rsidRDefault="00031119" w:rsidP="00031119">
      <w:pPr>
        <w:pStyle w:val="ESch"/>
        <w:rPr>
          <w:noProof/>
          <w:szCs w:val="18"/>
        </w:rPr>
      </w:pPr>
      <w:r>
        <w:t>3.</w:t>
      </w:r>
      <w:r>
        <w:tab/>
        <w:t>Per quanto riguarda le motonavi che provvedono alla propulsione di convogli spinti composti dalla motonave stessa e da un'imbarcazione collocata davanti:</w:t>
      </w:r>
    </w:p>
    <w:p w:rsidR="00031119" w:rsidRPr="00C903F8" w:rsidRDefault="00031119" w:rsidP="00031119">
      <w:pPr>
        <w:pStyle w:val="ESch"/>
        <w:rPr>
          <w:noProof/>
        </w:rPr>
      </w:pPr>
    </w:p>
    <w:p w:rsidR="00031119" w:rsidRPr="00C903F8" w:rsidRDefault="00031119" w:rsidP="00031119">
      <w:pPr>
        <w:pStyle w:val="ESchpar"/>
        <w:rPr>
          <w:noProof/>
          <w:szCs w:val="18"/>
        </w:rPr>
      </w:pPr>
      <w:r>
        <w:t>verricelli per l'accoppiamento idraulici o elettrici. Questa dotazione non è richiesta tuttavia se il galleggiante collocato davanti nel convoglio spinto è dotato di un'elica di prua manovrabile dalla timoneria della motonave adibita a spintore.</w:t>
      </w:r>
    </w:p>
    <w:p w:rsidR="00031119" w:rsidRPr="00C903F8" w:rsidRDefault="00031119" w:rsidP="00031119">
      <w:pPr>
        <w:pStyle w:val="ESch"/>
        <w:rPr>
          <w:noProof/>
        </w:rPr>
      </w:pPr>
    </w:p>
    <w:p w:rsidR="00031119" w:rsidRPr="00C903F8" w:rsidRDefault="00031119" w:rsidP="00031119">
      <w:pPr>
        <w:pStyle w:val="ESch"/>
        <w:rPr>
          <w:noProof/>
          <w:szCs w:val="18"/>
        </w:rPr>
      </w:pPr>
      <w:r>
        <w:t>4.</w:t>
      </w:r>
      <w:r>
        <w:tab/>
        <w:t>Per quanto riguarda gli spintori che provvedono alla propulsione di un convoglio spinto:</w:t>
      </w:r>
    </w:p>
    <w:p w:rsidR="00031119" w:rsidRPr="00C903F8" w:rsidRDefault="00031119" w:rsidP="00031119">
      <w:pPr>
        <w:pStyle w:val="ESch"/>
        <w:rPr>
          <w:noProof/>
        </w:rPr>
      </w:pPr>
    </w:p>
    <w:p w:rsidR="00031119" w:rsidRPr="00C903F8" w:rsidRDefault="00031119" w:rsidP="00031119">
      <w:pPr>
        <w:pStyle w:val="ESchpar"/>
        <w:rPr>
          <w:noProof/>
          <w:szCs w:val="18"/>
        </w:rPr>
      </w:pPr>
      <w:r>
        <w:t>verricelli per l'accoppiamento idraulici o elettrici. Questa dotazione non è richiesta tuttavia se l'imbarcazione collocata davanti nel convoglio spinto è provvista di un'elica di prua manovrabile dalla timoneria dello spintore.</w:t>
      </w:r>
    </w:p>
    <w:p w:rsidR="00031119" w:rsidRPr="00C903F8" w:rsidRDefault="00031119" w:rsidP="00031119">
      <w:pPr>
        <w:pStyle w:val="ESchpar"/>
        <w:rPr>
          <w:noProof/>
        </w:rPr>
      </w:pPr>
    </w:p>
    <w:p w:rsidR="00031119" w:rsidRPr="00C903F8" w:rsidRDefault="00031119" w:rsidP="00031119">
      <w:pPr>
        <w:pStyle w:val="ESch"/>
        <w:rPr>
          <w:noProof/>
          <w:szCs w:val="18"/>
        </w:rPr>
      </w:pPr>
      <w:r>
        <w:t>5.</w:t>
      </w:r>
      <w:r>
        <w:tab/>
        <w:t>Per quanto riguarda le navi da passeggeri:</w:t>
      </w:r>
    </w:p>
    <w:p w:rsidR="00031119" w:rsidRPr="00C903F8" w:rsidRDefault="00031119" w:rsidP="00031119">
      <w:pPr>
        <w:pStyle w:val="ESch"/>
        <w:rPr>
          <w:noProof/>
        </w:rPr>
      </w:pPr>
    </w:p>
    <w:p w:rsidR="00031119" w:rsidRPr="00C903F8" w:rsidRDefault="00031119" w:rsidP="00031119">
      <w:pPr>
        <w:pStyle w:val="ESchpar"/>
        <w:rPr>
          <w:noProof/>
        </w:rPr>
      </w:pPr>
      <w:r>
        <w:t>un'elica di prua manovrabile dal posto di pilotaggio. Tuttavia, questa dotazione non è richiesta se il sistema di propulsione e l'apparato di governo della nave da passeggeri garantiscono pari manovrabilità.</w:t>
      </w:r>
    </w:p>
    <w:p w:rsidR="00AB18EA" w:rsidRDefault="00AB18EA" w:rsidP="00031119">
      <w:pPr>
        <w:pStyle w:val="ESchpar"/>
        <w:rPr>
          <w:noProof/>
        </w:rPr>
      </w:pPr>
    </w:p>
    <w:p w:rsidR="008F13FA" w:rsidRDefault="008F13FA" w:rsidP="00031119">
      <w:pPr>
        <w:pStyle w:val="ESchpar"/>
        <w:rPr>
          <w:noProof/>
        </w:rPr>
      </w:pPr>
    </w:p>
    <w:p w:rsidR="008F13FA" w:rsidRDefault="008F13FA" w:rsidP="00031119">
      <w:pPr>
        <w:pStyle w:val="ESchpar"/>
        <w:rPr>
          <w:noProof/>
        </w:rPr>
      </w:pPr>
    </w:p>
    <w:p w:rsidR="008F13FA" w:rsidRPr="00C903F8" w:rsidRDefault="008F13FA" w:rsidP="00031119">
      <w:pPr>
        <w:pStyle w:val="ESchpar"/>
        <w:rPr>
          <w:noProof/>
        </w:rPr>
      </w:pPr>
    </w:p>
    <w:p w:rsidR="00125490" w:rsidRPr="00C903F8" w:rsidRDefault="00125490" w:rsidP="00125490">
      <w:pPr>
        <w:pStyle w:val="ESch"/>
        <w:rPr>
          <w:rFonts w:cs="Arial"/>
          <w:szCs w:val="20"/>
        </w:rPr>
      </w:pPr>
    </w:p>
    <w:p w:rsidR="00AB18EA" w:rsidRPr="00C903F8" w:rsidRDefault="00AB18EA" w:rsidP="00125490">
      <w:pPr>
        <w:pStyle w:val="ESch"/>
        <w:sectPr w:rsidR="00AB18EA" w:rsidRPr="00C903F8" w:rsidSect="00AC5CC1">
          <w:footnotePr>
            <w:numRestart w:val="eachPage"/>
          </w:footnotePr>
          <w:pgSz w:w="11906" w:h="16838" w:code="9"/>
          <w:pgMar w:top="1418" w:right="1418" w:bottom="1418" w:left="1418" w:header="709" w:footer="709" w:gutter="0"/>
          <w:cols w:space="709"/>
          <w:titlePg/>
          <w:docGrid w:linePitch="272"/>
        </w:sectPr>
      </w:pPr>
    </w:p>
    <w:p w:rsidR="00AB18EA" w:rsidRPr="00C903F8" w:rsidRDefault="00AB18EA" w:rsidP="00AB18EA">
      <w:pPr>
        <w:pStyle w:val="ES-Titre1"/>
      </w:pPr>
      <w:bookmarkStart w:id="548" w:name="_Toc491854271"/>
      <w:bookmarkStart w:id="549" w:name="_Toc535500220"/>
      <w:r>
        <w:lastRenderedPageBreak/>
        <w:t>PARTE IV</w:t>
      </w:r>
      <w:r>
        <w:br/>
        <w:t>DISPOSIZIONI TRANSITORIE</w:t>
      </w:r>
      <w:bookmarkEnd w:id="548"/>
      <w:bookmarkEnd w:id="549"/>
    </w:p>
    <w:p w:rsidR="00AB18EA" w:rsidRPr="00C903F8" w:rsidRDefault="00AB18EA" w:rsidP="00AB18EA"/>
    <w:p w:rsidR="001E2331" w:rsidRPr="00C903F8" w:rsidRDefault="001E2331" w:rsidP="00986EBC">
      <w:pPr>
        <w:pStyle w:val="ES-Titre2"/>
        <w:pageBreakBefore w:val="0"/>
      </w:pPr>
      <w:bookmarkStart w:id="550" w:name="_Toc491854272"/>
      <w:bookmarkStart w:id="551" w:name="_Toc535500221"/>
      <w:r>
        <w:t>Capo 32</w:t>
      </w:r>
      <w:r>
        <w:br/>
        <w:t>Disposizioni transitorie per le imbarcazioni che navigano sul Reno (zona R)</w:t>
      </w:r>
      <w:bookmarkEnd w:id="550"/>
      <w:bookmarkEnd w:id="551"/>
    </w:p>
    <w:p w:rsidR="001E2331" w:rsidRPr="00C903F8" w:rsidRDefault="001E2331" w:rsidP="001E2331">
      <w:pPr>
        <w:overflowPunct w:val="0"/>
        <w:adjustRightInd w:val="0"/>
        <w:spacing w:line="240" w:lineRule="exact"/>
        <w:ind w:left="0" w:firstLine="0"/>
        <w:jc w:val="center"/>
        <w:textAlignment w:val="baseline"/>
        <w:rPr>
          <w:rFonts w:eastAsia="Calibri"/>
          <w:b/>
          <w:sz w:val="22"/>
          <w:szCs w:val="22"/>
        </w:rPr>
      </w:pPr>
    </w:p>
    <w:p w:rsidR="001E2331" w:rsidRPr="00C903F8" w:rsidRDefault="001E2331" w:rsidP="00A455C7">
      <w:pPr>
        <w:pStyle w:val="ES-Titre3prchap32"/>
      </w:pPr>
      <w:bookmarkStart w:id="552" w:name="_Toc491854273"/>
      <w:bookmarkStart w:id="553" w:name="_Toc535500222"/>
      <w:r>
        <w:t>Articolo 32.01</w:t>
      </w:r>
      <w:bookmarkEnd w:id="552"/>
      <w:bookmarkEnd w:id="553"/>
    </w:p>
    <w:p w:rsidR="001E2331" w:rsidRPr="00C903F8" w:rsidRDefault="00C903F8" w:rsidP="00A455C7">
      <w:pPr>
        <w:pStyle w:val="ES-Titre3a"/>
      </w:pPr>
      <w:bookmarkStart w:id="554" w:name="_Toc421775883"/>
      <w:bookmarkStart w:id="555" w:name="_Toc491854274"/>
      <w:bookmarkStart w:id="556" w:name="_Toc535500223"/>
      <w:r>
        <w:t>Applicabilità delle disposizioni transitorie per le imbarcazioni già in servizio</w:t>
      </w:r>
      <w:bookmarkEnd w:id="554"/>
      <w:bookmarkEnd w:id="555"/>
      <w:bookmarkEnd w:id="556"/>
    </w:p>
    <w:p w:rsidR="001E2331" w:rsidRPr="00C903F8" w:rsidRDefault="001E2331" w:rsidP="001E2331">
      <w:pPr>
        <w:spacing w:line="240" w:lineRule="atLeast"/>
        <w:ind w:left="567" w:hanging="567"/>
      </w:pPr>
    </w:p>
    <w:p w:rsidR="00320EDC" w:rsidRPr="00C903F8" w:rsidRDefault="001E2331" w:rsidP="001E2331">
      <w:pPr>
        <w:spacing w:line="240" w:lineRule="atLeast"/>
        <w:ind w:left="567" w:hanging="567"/>
      </w:pPr>
      <w:r>
        <w:t>1.</w:t>
      </w:r>
      <w:r>
        <w:tab/>
        <w:t>Le disposizioni di cui agli articoli da 32.02 a 32.04 si applicano solo alle imbarcazioni in possesso di un valido certificato di ispezione delle navi sul Reno:</w:t>
      </w:r>
    </w:p>
    <w:p w:rsidR="00C903F8" w:rsidRPr="009C40EF" w:rsidRDefault="00C903F8" w:rsidP="00C903F8">
      <w:pPr>
        <w:spacing w:before="60" w:line="240" w:lineRule="atLeast"/>
        <w:ind w:left="992"/>
      </w:pPr>
      <w:r>
        <w:t>a)</w:t>
      </w:r>
      <w:r>
        <w:tab/>
        <w:t xml:space="preserve">rilasciato per la prima volta conformemente al regolamento di ispezione delle navi sul Reno in vigore al 31 dicembre 1994; oppure </w:t>
      </w:r>
    </w:p>
    <w:p w:rsidR="00C903F8" w:rsidRPr="009C40EF" w:rsidRDefault="00C903F8" w:rsidP="00C903F8">
      <w:pPr>
        <w:spacing w:before="60" w:line="240" w:lineRule="atLeast"/>
        <w:ind w:left="992"/>
      </w:pPr>
      <w:r>
        <w:t>b)</w:t>
      </w:r>
      <w:r>
        <w:tab/>
        <w:t>rinnovato almeno una volta prima del 31 dicembre 1994; oppure</w:t>
      </w:r>
    </w:p>
    <w:p w:rsidR="00C903F8" w:rsidRPr="009C40EF" w:rsidRDefault="00C903F8" w:rsidP="00C903F8">
      <w:pPr>
        <w:spacing w:before="60" w:line="240" w:lineRule="atLeast"/>
        <w:ind w:left="992"/>
      </w:pPr>
      <w:r>
        <w:t>c)</w:t>
      </w:r>
      <w:r>
        <w:tab/>
        <w:t>che erano in costruzione o in fase di trasformazione alla data del 31 dicembre 1994.</w:t>
      </w:r>
    </w:p>
    <w:p w:rsidR="001E2331" w:rsidRPr="009C40EF" w:rsidRDefault="001E2331" w:rsidP="001E2331">
      <w:pPr>
        <w:spacing w:line="240" w:lineRule="atLeast"/>
        <w:ind w:left="567" w:firstLine="0"/>
      </w:pPr>
    </w:p>
    <w:p w:rsidR="001E2331" w:rsidRPr="009C40EF" w:rsidRDefault="001E2331" w:rsidP="001E2331">
      <w:pPr>
        <w:spacing w:line="240" w:lineRule="atLeast"/>
        <w:ind w:left="567" w:hanging="567"/>
      </w:pPr>
      <w:r>
        <w:t>2.</w:t>
      </w:r>
      <w:r>
        <w:tab/>
        <w:t>Alle imbarcazioni non contemplate dal paragrafo 1 si applicano le disposizioni dell'articolo 32.05.</w:t>
      </w:r>
    </w:p>
    <w:p w:rsidR="001E2331" w:rsidRPr="009C40EF" w:rsidRDefault="001E2331" w:rsidP="001E2331">
      <w:pPr>
        <w:spacing w:line="240" w:lineRule="atLeast"/>
        <w:ind w:left="567" w:hanging="567"/>
      </w:pPr>
    </w:p>
    <w:p w:rsidR="001E2331" w:rsidRPr="009C40EF" w:rsidRDefault="001E2331" w:rsidP="001E2331">
      <w:pPr>
        <w:spacing w:line="240" w:lineRule="atLeast"/>
        <w:ind w:left="567" w:hanging="567"/>
      </w:pPr>
    </w:p>
    <w:p w:rsidR="001E2331" w:rsidRPr="009C40EF" w:rsidRDefault="001E2331" w:rsidP="00A455C7">
      <w:pPr>
        <w:pStyle w:val="ES-Titre3"/>
      </w:pPr>
      <w:bookmarkStart w:id="557" w:name="_Toc491854275"/>
      <w:bookmarkStart w:id="558" w:name="_Toc535500224"/>
      <w:r>
        <w:t>Articolo 32.02</w:t>
      </w:r>
      <w:bookmarkEnd w:id="557"/>
      <w:bookmarkEnd w:id="558"/>
    </w:p>
    <w:p w:rsidR="001E2331" w:rsidRPr="009C40EF" w:rsidRDefault="00C903F8" w:rsidP="00A455C7">
      <w:pPr>
        <w:pStyle w:val="ES-Titre3a"/>
      </w:pPr>
      <w:bookmarkStart w:id="559" w:name="_Toc421775885"/>
      <w:bookmarkStart w:id="560" w:name="_Toc491854276"/>
      <w:bookmarkStart w:id="561" w:name="_Toc535500225"/>
      <w:r>
        <w:t>Disposizioni transitorie per le imbarcazioni già in servizio</w:t>
      </w:r>
      <w:bookmarkEnd w:id="559"/>
      <w:bookmarkEnd w:id="560"/>
      <w:bookmarkEnd w:id="561"/>
    </w:p>
    <w:p w:rsidR="001E2331" w:rsidRPr="009C40EF" w:rsidRDefault="001E2331" w:rsidP="001E2331">
      <w:pPr>
        <w:spacing w:line="240" w:lineRule="atLeast"/>
        <w:ind w:left="567" w:hanging="567"/>
      </w:pPr>
    </w:p>
    <w:p w:rsidR="00C903F8" w:rsidRPr="009C40EF" w:rsidRDefault="00C903F8" w:rsidP="00C903F8">
      <w:pPr>
        <w:spacing w:line="240" w:lineRule="atLeast"/>
        <w:ind w:left="567" w:hanging="567"/>
        <w:rPr>
          <w:b/>
        </w:rPr>
      </w:pPr>
      <w:r>
        <w:t>1.</w:t>
      </w:r>
      <w:r>
        <w:tab/>
        <w:t>Le imbarcazioni che non soddisfano pienamente le prescrizioni della presente norma:</w:t>
      </w:r>
    </w:p>
    <w:p w:rsidR="00C903F8" w:rsidRPr="00C903F8" w:rsidRDefault="00C903F8" w:rsidP="00C903F8">
      <w:pPr>
        <w:spacing w:before="60" w:line="240" w:lineRule="atLeast"/>
        <w:ind w:left="992"/>
      </w:pPr>
      <w:r>
        <w:t>a)</w:t>
      </w:r>
      <w:r>
        <w:tab/>
        <w:t>devono essere adeguate per soddisfare dette disposizioni in conformità alle disposizioni transitorie elencate nella tabella riportata qui di seguito; e</w:t>
      </w:r>
    </w:p>
    <w:p w:rsidR="00C903F8" w:rsidRPr="00C903F8" w:rsidRDefault="00C903F8" w:rsidP="00C903F8">
      <w:pPr>
        <w:spacing w:before="60" w:line="240" w:lineRule="atLeast"/>
        <w:ind w:left="992"/>
      </w:pPr>
      <w:r>
        <w:t>b)</w:t>
      </w:r>
      <w:r>
        <w:tab/>
        <w:t>fino ad allora, devono soddisfare le disposizioni del regolamento di ispezione delle navi sul Reno in vigore al 31 dicembre 1994.</w:t>
      </w:r>
    </w:p>
    <w:p w:rsidR="00550E01" w:rsidRPr="00C903F8" w:rsidRDefault="00550E01" w:rsidP="001E2331">
      <w:pPr>
        <w:spacing w:line="240" w:lineRule="atLeast"/>
        <w:ind w:left="567" w:hanging="567"/>
        <w:rPr>
          <w:rFonts w:cs="Arial"/>
          <w:sz w:val="18"/>
          <w:szCs w:val="18"/>
        </w:rPr>
      </w:pPr>
    </w:p>
    <w:p w:rsidR="00C903F8" w:rsidRPr="00C903F8" w:rsidRDefault="00C903F8" w:rsidP="00C903F8">
      <w:pPr>
        <w:spacing w:before="60" w:line="240" w:lineRule="atLeast"/>
        <w:ind w:left="567" w:firstLine="0"/>
      </w:pPr>
      <w:r>
        <w:t>In caso di rilascio di un nuovo certificato per la navigazione interna a un'imbarcazione corrispondente alla definizione di cui all'articolo 32.01, paragrafo 1, occorre presentare il certificato di ispezione delle navi sul Reno come evidenza a sostegno, il quale verrà ritirato e la data di emissione di tale certificato ai sensi del regolamento di ispezione delle navi sul Reno in vigore al 31 dicembre 1994 verrà annotata nella rubrica 52 del nuovo certificato per la navigazione interna come segue:</w:t>
      </w:r>
    </w:p>
    <w:p w:rsidR="00C903F8" w:rsidRPr="00C903F8" w:rsidRDefault="00C903F8" w:rsidP="00C903F8">
      <w:pPr>
        <w:spacing w:before="60" w:line="240" w:lineRule="atLeast"/>
        <w:ind w:left="567" w:firstLine="0"/>
      </w:pPr>
      <w:r>
        <w:t>"Un certificato di ispezione delle navi sul Reno conforme al regolamento di ispezione delle navi sul Reno in vigore al 31 dicembre 1994 è stato rilasciato il: ..."</w:t>
      </w:r>
    </w:p>
    <w:p w:rsidR="00C903F8" w:rsidRPr="00C903F8" w:rsidRDefault="00C903F8" w:rsidP="00C903F8">
      <w:pPr>
        <w:spacing w:line="240" w:lineRule="atLeast"/>
        <w:ind w:left="567" w:hanging="567"/>
      </w:pPr>
    </w:p>
    <w:p w:rsidR="009068C8" w:rsidRDefault="009068C8">
      <w:pPr>
        <w:autoSpaceDE/>
        <w:autoSpaceDN/>
        <w:ind w:left="0" w:firstLine="0"/>
        <w:jc w:val="left"/>
      </w:pPr>
      <w:r>
        <w:br w:type="page"/>
      </w:r>
    </w:p>
    <w:p w:rsidR="00C903F8" w:rsidRPr="00C903F8" w:rsidRDefault="00C903F8" w:rsidP="00C903F8">
      <w:pPr>
        <w:spacing w:line="240" w:lineRule="atLeast"/>
        <w:ind w:left="567" w:hanging="567"/>
      </w:pPr>
      <w:r>
        <w:lastRenderedPageBreak/>
        <w:t>2.</w:t>
      </w:r>
      <w:r>
        <w:tab/>
        <w:t>Nella tabella riportata qui di seguito si applicano le seguenti definizioni:</w:t>
      </w:r>
    </w:p>
    <w:p w:rsidR="00C903F8" w:rsidRPr="00C903F8" w:rsidRDefault="00C903F8" w:rsidP="00C903F8">
      <w:pPr>
        <w:spacing w:line="240" w:lineRule="atLeast"/>
        <w:ind w:left="567" w:hanging="567"/>
      </w:pPr>
    </w:p>
    <w:p w:rsidR="00C903F8" w:rsidRPr="00C903F8" w:rsidRDefault="00C903F8" w:rsidP="00C903F8">
      <w:pPr>
        <w:spacing w:line="240" w:lineRule="atLeast"/>
        <w:ind w:left="567" w:firstLine="0"/>
      </w:pPr>
      <w:r>
        <w:t xml:space="preserve">"N.S.T.": la disposizione non si applica alle imbarcazioni già in servizio soltanto se le parti in questione sono sostituite o trasformate, la disposizione si applica cioè soltanto alle unità di </w:t>
      </w:r>
      <w:r>
        <w:rPr>
          <w:u w:val="single"/>
        </w:rPr>
        <w:t>N</w:t>
      </w:r>
      <w:r>
        <w:t xml:space="preserve">uova costruzione e alle parti o zone </w:t>
      </w:r>
      <w:r>
        <w:rPr>
          <w:u w:val="single"/>
        </w:rPr>
        <w:t>S</w:t>
      </w:r>
      <w:r>
        <w:t xml:space="preserve">ostituite o </w:t>
      </w:r>
      <w:r>
        <w:rPr>
          <w:u w:val="single"/>
        </w:rPr>
        <w:t>T</w:t>
      </w:r>
      <w:r>
        <w:t xml:space="preserve">rasformate. Se alcune parti esistenti sono sostituite con pezzi di ricambio uguali quanto a tecnologia e tipo, non si tratta di sostituzione "S" ai sensi delle disposizioni transitorie; </w:t>
      </w:r>
    </w:p>
    <w:p w:rsidR="00C903F8" w:rsidRPr="00C903F8" w:rsidRDefault="00C903F8" w:rsidP="00C903F8">
      <w:pPr>
        <w:spacing w:line="240" w:lineRule="atLeast"/>
        <w:ind w:left="567" w:firstLine="0"/>
      </w:pPr>
    </w:p>
    <w:p w:rsidR="00C903F8" w:rsidRPr="00C903F8" w:rsidRDefault="00C903F8" w:rsidP="00C903F8">
      <w:pPr>
        <w:tabs>
          <w:tab w:val="left" w:pos="4678"/>
        </w:tabs>
        <w:spacing w:line="240" w:lineRule="atLeast"/>
        <w:ind w:left="567" w:firstLine="0"/>
      </w:pPr>
      <w:r>
        <w:t>"rilascio o rinnovo del certificato per la navigazione interna": la disposizione deve essere soddisfatta entro la data di rilascio o di rinnovo del certificato per la navigazione interna successivamente all'entrata in vigore della disposizione.</w:t>
      </w:r>
    </w:p>
    <w:p w:rsidR="00740370" w:rsidRPr="00C903F8" w:rsidRDefault="00740370" w:rsidP="001E2331">
      <w:pPr>
        <w:spacing w:line="240" w:lineRule="atLeast"/>
        <w:ind w:left="567" w:firstLine="0"/>
      </w:pPr>
    </w:p>
    <w:p w:rsidR="001E2331" w:rsidRPr="00C903F8" w:rsidRDefault="001E2331" w:rsidP="001E2331">
      <w:pPr>
        <w:spacing w:line="240" w:lineRule="atLeast"/>
        <w:ind w:left="567" w:firstLine="0"/>
      </w:pPr>
    </w:p>
    <w:p w:rsidR="00740370" w:rsidRPr="00C903F8" w:rsidRDefault="00740370" w:rsidP="00196FBC">
      <w:pPr>
        <w:spacing w:line="240" w:lineRule="atLeast"/>
        <w:ind w:left="567" w:firstLine="0"/>
        <w:sectPr w:rsidR="00740370" w:rsidRPr="00C903F8" w:rsidSect="001E2331">
          <w:headerReference w:type="default" r:id="rId27"/>
          <w:footerReference w:type="default" r:id="rId28"/>
          <w:headerReference w:type="first" r:id="rId29"/>
          <w:footerReference w:type="first" r:id="rId30"/>
          <w:footnotePr>
            <w:numRestart w:val="eachPage"/>
          </w:footnotePr>
          <w:pgSz w:w="16838" w:h="11906" w:orient="landscape" w:code="9"/>
          <w:pgMar w:top="1418" w:right="1418" w:bottom="1418" w:left="1418" w:header="709" w:footer="709" w:gutter="0"/>
          <w:cols w:space="709"/>
          <w:titlePg/>
          <w:docGrid w:linePitch="272"/>
        </w:sectPr>
      </w:pPr>
    </w:p>
    <w:p w:rsidR="00A455C7" w:rsidRPr="00C903F8" w:rsidRDefault="00A455C7" w:rsidP="00196FBC">
      <w:pPr>
        <w:spacing w:line="240" w:lineRule="atLeast"/>
        <w:ind w:left="567" w:firstLine="0"/>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196FBC" w:rsidRPr="00C903F8" w:rsidTr="00F46772">
        <w:trPr>
          <w:cantSplit/>
          <w:tblHeader/>
          <w:jc w:val="center"/>
        </w:trPr>
        <w:tc>
          <w:tcPr>
            <w:tcW w:w="2800" w:type="dxa"/>
            <w:gridSpan w:val="2"/>
            <w:shd w:val="clear" w:color="auto" w:fill="auto"/>
          </w:tcPr>
          <w:p w:rsidR="00196FBC" w:rsidRPr="00C903F8" w:rsidRDefault="00196FBC" w:rsidP="00196FBC">
            <w:pPr>
              <w:spacing w:before="120" w:after="120" w:line="240" w:lineRule="atLeast"/>
              <w:ind w:left="0" w:firstLine="0"/>
              <w:jc w:val="center"/>
              <w:rPr>
                <w:rFonts w:cs="Arial"/>
                <w:sz w:val="18"/>
                <w:szCs w:val="18"/>
              </w:rPr>
            </w:pPr>
            <w:r>
              <w:rPr>
                <w:i/>
                <w:sz w:val="18"/>
              </w:rPr>
              <w:t>Articolo e paragrafo</w:t>
            </w:r>
          </w:p>
        </w:tc>
        <w:tc>
          <w:tcPr>
            <w:tcW w:w="3296" w:type="dxa"/>
            <w:shd w:val="clear" w:color="auto" w:fill="auto"/>
          </w:tcPr>
          <w:p w:rsidR="00196FBC" w:rsidRPr="00C903F8" w:rsidRDefault="00196FBC" w:rsidP="00196FBC">
            <w:pPr>
              <w:spacing w:before="120" w:after="120" w:line="240" w:lineRule="atLeast"/>
              <w:ind w:left="0" w:firstLine="0"/>
              <w:jc w:val="center"/>
              <w:rPr>
                <w:rFonts w:cs="Arial"/>
                <w:sz w:val="18"/>
                <w:szCs w:val="18"/>
              </w:rPr>
            </w:pPr>
            <w:r>
              <w:rPr>
                <w:i/>
                <w:sz w:val="18"/>
              </w:rPr>
              <w:t>Contenuto</w:t>
            </w:r>
          </w:p>
        </w:tc>
        <w:tc>
          <w:tcPr>
            <w:tcW w:w="7797" w:type="dxa"/>
            <w:gridSpan w:val="2"/>
            <w:shd w:val="clear" w:color="auto" w:fill="auto"/>
          </w:tcPr>
          <w:p w:rsidR="00196FBC" w:rsidRPr="00C903F8" w:rsidRDefault="00196FBC" w:rsidP="00196FBC">
            <w:pPr>
              <w:spacing w:before="120" w:after="120" w:line="240" w:lineRule="atLeast"/>
              <w:ind w:left="0" w:firstLine="0"/>
              <w:jc w:val="center"/>
              <w:rPr>
                <w:rFonts w:cs="Arial"/>
                <w:sz w:val="18"/>
                <w:szCs w:val="18"/>
              </w:rPr>
            </w:pPr>
            <w:r>
              <w:rPr>
                <w:i/>
                <w:sz w:val="18"/>
              </w:rPr>
              <w:t>Scadenze e osservazioni</w:t>
            </w:r>
          </w:p>
        </w:tc>
      </w:tr>
      <w:tr w:rsidR="00196FBC" w:rsidRPr="00C903F8" w:rsidTr="00196FBC">
        <w:trPr>
          <w:cantSplit/>
          <w:jc w:val="center"/>
        </w:trPr>
        <w:tc>
          <w:tcPr>
            <w:tcW w:w="6096" w:type="dxa"/>
            <w:gridSpan w:val="3"/>
            <w:shd w:val="clear" w:color="auto" w:fill="auto"/>
          </w:tcPr>
          <w:p w:rsidR="00196FBC" w:rsidRPr="00C903F8" w:rsidRDefault="00196FBC" w:rsidP="001E2331">
            <w:pPr>
              <w:spacing w:before="100" w:after="100" w:line="240" w:lineRule="atLeast"/>
              <w:ind w:left="0" w:firstLine="0"/>
              <w:jc w:val="center"/>
              <w:rPr>
                <w:rFonts w:cs="Arial"/>
                <w:b/>
                <w:sz w:val="18"/>
                <w:szCs w:val="18"/>
              </w:rPr>
            </w:pPr>
            <w:r>
              <w:rPr>
                <w:b/>
                <w:sz w:val="18"/>
              </w:rPr>
              <w:t>CAPO 3</w:t>
            </w:r>
          </w:p>
        </w:tc>
        <w:tc>
          <w:tcPr>
            <w:tcW w:w="6521" w:type="dxa"/>
            <w:shd w:val="clear" w:color="auto" w:fill="auto"/>
          </w:tcPr>
          <w:p w:rsidR="00196FBC" w:rsidRPr="00C903F8" w:rsidRDefault="00196FBC" w:rsidP="001E2331">
            <w:pPr>
              <w:spacing w:before="100" w:after="100" w:line="240" w:lineRule="atLeast"/>
              <w:ind w:left="0" w:firstLine="0"/>
              <w:jc w:val="center"/>
              <w:rPr>
                <w:rFonts w:cs="Arial"/>
                <w:sz w:val="18"/>
                <w:szCs w:val="18"/>
              </w:rPr>
            </w:pPr>
          </w:p>
        </w:tc>
        <w:tc>
          <w:tcPr>
            <w:tcW w:w="1276" w:type="dxa"/>
            <w:shd w:val="clear" w:color="auto" w:fill="auto"/>
          </w:tcPr>
          <w:p w:rsidR="00196FBC" w:rsidRPr="00C903F8" w:rsidRDefault="00196FBC" w:rsidP="001E2331">
            <w:pPr>
              <w:spacing w:before="100" w:after="100" w:line="240" w:lineRule="atLeast"/>
              <w:ind w:left="0" w:firstLine="0"/>
              <w:jc w:val="center"/>
              <w:rPr>
                <w:rFonts w:cs="Arial"/>
                <w:sz w:val="18"/>
                <w:szCs w:val="18"/>
              </w:rPr>
            </w:pPr>
          </w:p>
        </w:tc>
      </w:tr>
      <w:tr w:rsidR="00196FBC" w:rsidRPr="00C903F8" w:rsidTr="00196FBC">
        <w:trPr>
          <w:cantSplit/>
          <w:jc w:val="center"/>
        </w:trPr>
        <w:tc>
          <w:tcPr>
            <w:tcW w:w="1342" w:type="dxa"/>
            <w:vMerge w:val="restart"/>
            <w:shd w:val="clear" w:color="auto" w:fill="auto"/>
          </w:tcPr>
          <w:p w:rsidR="00196FBC" w:rsidRPr="00C903F8" w:rsidRDefault="00196FBC" w:rsidP="009C40EF">
            <w:pPr>
              <w:spacing w:before="160" w:after="160" w:line="240" w:lineRule="atLeast"/>
              <w:ind w:left="0" w:firstLine="0"/>
              <w:jc w:val="left"/>
              <w:rPr>
                <w:rFonts w:cs="Arial"/>
                <w:sz w:val="18"/>
                <w:szCs w:val="18"/>
              </w:rPr>
            </w:pPr>
            <w:r>
              <w:rPr>
                <w:sz w:val="18"/>
              </w:rPr>
              <w:t>3.03</w:t>
            </w:r>
          </w:p>
        </w:tc>
        <w:tc>
          <w:tcPr>
            <w:tcW w:w="1458" w:type="dxa"/>
            <w:shd w:val="clear" w:color="auto" w:fill="auto"/>
          </w:tcPr>
          <w:p w:rsidR="00196FBC" w:rsidRPr="00C903F8" w:rsidRDefault="00196FBC" w:rsidP="009C40EF">
            <w:pPr>
              <w:spacing w:before="160" w:after="160" w:line="240" w:lineRule="atLeast"/>
              <w:ind w:left="0" w:firstLine="0"/>
              <w:rPr>
                <w:rFonts w:cs="Arial"/>
                <w:sz w:val="18"/>
                <w:szCs w:val="18"/>
              </w:rPr>
            </w:pPr>
            <w:r>
              <w:rPr>
                <w:sz w:val="18"/>
              </w:rPr>
              <w:t>paragrafo 1, lettera a)</w:t>
            </w:r>
          </w:p>
        </w:tc>
        <w:tc>
          <w:tcPr>
            <w:tcW w:w="3296" w:type="dxa"/>
            <w:shd w:val="clear" w:color="auto" w:fill="auto"/>
          </w:tcPr>
          <w:p w:rsidR="00196FBC" w:rsidRPr="00C903F8" w:rsidRDefault="00196FBC" w:rsidP="00740370">
            <w:pPr>
              <w:spacing w:before="160" w:after="160" w:line="240" w:lineRule="atLeast"/>
              <w:ind w:left="0" w:firstLine="0"/>
              <w:rPr>
                <w:rFonts w:cs="Arial"/>
                <w:sz w:val="18"/>
                <w:szCs w:val="18"/>
              </w:rPr>
            </w:pPr>
            <w:r>
              <w:rPr>
                <w:sz w:val="18"/>
              </w:rPr>
              <w:t>Posizione della paratia di collisione</w:t>
            </w:r>
          </w:p>
        </w:tc>
        <w:tc>
          <w:tcPr>
            <w:tcW w:w="6521" w:type="dxa"/>
            <w:shd w:val="clear" w:color="auto" w:fill="auto"/>
          </w:tcPr>
          <w:p w:rsidR="00196FBC" w:rsidRPr="00C903F8" w:rsidRDefault="008761D9" w:rsidP="00740370">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740370">
            <w:pPr>
              <w:spacing w:before="160" w:after="160" w:line="240" w:lineRule="atLeast"/>
              <w:ind w:left="0" w:firstLine="0"/>
              <w:rPr>
                <w:rFonts w:cs="Arial"/>
                <w:sz w:val="18"/>
                <w:szCs w:val="18"/>
              </w:rPr>
            </w:pPr>
            <w:r>
              <w:rPr>
                <w:sz w:val="18"/>
              </w:rPr>
              <w:t>1.1.2035</w:t>
            </w:r>
          </w:p>
        </w:tc>
      </w:tr>
      <w:tr w:rsidR="00196FBC" w:rsidRPr="00C903F8" w:rsidTr="00196FBC">
        <w:trPr>
          <w:cantSplit/>
          <w:jc w:val="center"/>
        </w:trPr>
        <w:tc>
          <w:tcPr>
            <w:tcW w:w="1342" w:type="dxa"/>
            <w:vMerge/>
            <w:shd w:val="clear" w:color="auto" w:fill="auto"/>
          </w:tcPr>
          <w:p w:rsidR="00196FBC" w:rsidRPr="00C903F8" w:rsidRDefault="00196FBC" w:rsidP="009C40EF">
            <w:pPr>
              <w:spacing w:before="120" w:after="120" w:line="240" w:lineRule="atLeast"/>
              <w:ind w:left="0" w:firstLine="0"/>
              <w:jc w:val="left"/>
              <w:rPr>
                <w:rFonts w:cs="Arial"/>
                <w:b/>
                <w:sz w:val="18"/>
                <w:szCs w:val="18"/>
              </w:rPr>
            </w:pPr>
          </w:p>
        </w:tc>
        <w:tc>
          <w:tcPr>
            <w:tcW w:w="1458" w:type="dxa"/>
            <w:shd w:val="clear" w:color="auto" w:fill="auto"/>
          </w:tcPr>
          <w:p w:rsidR="00196FBC" w:rsidRPr="00C903F8" w:rsidRDefault="00196FBC" w:rsidP="009C40EF">
            <w:pPr>
              <w:spacing w:before="120" w:after="120" w:line="240" w:lineRule="atLeast"/>
              <w:ind w:left="0" w:firstLine="0"/>
              <w:jc w:val="left"/>
              <w:rPr>
                <w:rFonts w:cs="Arial"/>
                <w:sz w:val="18"/>
                <w:szCs w:val="18"/>
              </w:rPr>
            </w:pPr>
            <w:r>
              <w:rPr>
                <w:sz w:val="18"/>
              </w:rPr>
              <w:t>paragrafo 1, lettera b)</w:t>
            </w:r>
          </w:p>
        </w:tc>
        <w:tc>
          <w:tcPr>
            <w:tcW w:w="3296" w:type="dxa"/>
            <w:shd w:val="clear" w:color="auto" w:fill="auto"/>
          </w:tcPr>
          <w:p w:rsidR="00196FBC" w:rsidRPr="00C903F8" w:rsidRDefault="00196FBC" w:rsidP="001E2331">
            <w:pPr>
              <w:spacing w:before="120" w:after="120" w:line="240" w:lineRule="atLeast"/>
              <w:ind w:left="0" w:firstLine="0"/>
              <w:rPr>
                <w:rFonts w:cs="Arial"/>
                <w:sz w:val="18"/>
                <w:szCs w:val="18"/>
              </w:rPr>
            </w:pPr>
            <w:r>
              <w:rPr>
                <w:sz w:val="18"/>
              </w:rPr>
              <w:t>Posizione della paratia del gavone di poppa</w:t>
            </w:r>
          </w:p>
        </w:tc>
        <w:tc>
          <w:tcPr>
            <w:tcW w:w="6521" w:type="dxa"/>
            <w:shd w:val="clear" w:color="auto" w:fill="auto"/>
          </w:tcPr>
          <w:p w:rsidR="00196FBC" w:rsidRPr="00C903F8" w:rsidRDefault="008761D9" w:rsidP="00B534F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1E2331">
            <w:pPr>
              <w:spacing w:before="120" w:after="120" w:line="240" w:lineRule="atLeast"/>
              <w:ind w:left="0" w:firstLine="0"/>
              <w:rPr>
                <w:rFonts w:cs="Arial"/>
                <w:sz w:val="18"/>
                <w:szCs w:val="18"/>
              </w:rPr>
            </w:pPr>
            <w:r>
              <w:rPr>
                <w:sz w:val="18"/>
              </w:rPr>
              <w:t>1.1.2035</w:t>
            </w:r>
          </w:p>
        </w:tc>
      </w:tr>
      <w:tr w:rsidR="00196FBC" w:rsidRPr="00C903F8" w:rsidTr="00196FBC">
        <w:trPr>
          <w:cantSplit/>
          <w:jc w:val="center"/>
        </w:trPr>
        <w:tc>
          <w:tcPr>
            <w:tcW w:w="1342" w:type="dxa"/>
            <w:vMerge/>
            <w:shd w:val="clear" w:color="auto" w:fill="auto"/>
          </w:tcPr>
          <w:p w:rsidR="00196FBC" w:rsidRPr="00C903F8" w:rsidRDefault="00196FBC" w:rsidP="009C40EF">
            <w:pPr>
              <w:spacing w:before="120" w:after="120" w:line="240" w:lineRule="atLeast"/>
              <w:ind w:left="0" w:firstLine="0"/>
              <w:jc w:val="left"/>
              <w:rPr>
                <w:rFonts w:cs="Arial"/>
                <w:b/>
                <w:sz w:val="18"/>
                <w:szCs w:val="18"/>
              </w:rPr>
            </w:pPr>
          </w:p>
        </w:tc>
        <w:tc>
          <w:tcPr>
            <w:tcW w:w="1458" w:type="dxa"/>
            <w:vMerge w:val="restart"/>
            <w:shd w:val="clear" w:color="auto" w:fill="auto"/>
          </w:tcPr>
          <w:p w:rsidR="00196FBC" w:rsidRPr="00C903F8" w:rsidRDefault="00196FBC" w:rsidP="001E2331">
            <w:pPr>
              <w:spacing w:before="120" w:after="120" w:line="240" w:lineRule="atLeast"/>
              <w:ind w:left="0" w:firstLine="0"/>
              <w:rPr>
                <w:rFonts w:cs="Arial"/>
                <w:sz w:val="18"/>
                <w:szCs w:val="18"/>
              </w:rPr>
            </w:pPr>
            <w:r>
              <w:rPr>
                <w:sz w:val="18"/>
              </w:rPr>
              <w:t>paragrafo 2</w:t>
            </w:r>
          </w:p>
        </w:tc>
        <w:tc>
          <w:tcPr>
            <w:tcW w:w="3296" w:type="dxa"/>
            <w:shd w:val="clear" w:color="auto" w:fill="auto"/>
          </w:tcPr>
          <w:p w:rsidR="00196FBC" w:rsidRPr="00C903F8" w:rsidRDefault="00196FBC" w:rsidP="001E2331">
            <w:pPr>
              <w:spacing w:before="120" w:after="120" w:line="240" w:lineRule="atLeast"/>
              <w:ind w:left="0" w:firstLine="0"/>
              <w:rPr>
                <w:rFonts w:cs="Arial"/>
                <w:sz w:val="18"/>
                <w:szCs w:val="18"/>
              </w:rPr>
            </w:pPr>
            <w:r>
              <w:rPr>
                <w:sz w:val="18"/>
              </w:rPr>
              <w:t>Alloggio equipaggio a prua rispetto alla paratia di collisione</w:t>
            </w:r>
          </w:p>
        </w:tc>
        <w:tc>
          <w:tcPr>
            <w:tcW w:w="6521" w:type="dxa"/>
            <w:shd w:val="clear" w:color="auto" w:fill="auto"/>
          </w:tcPr>
          <w:p w:rsidR="00196FBC" w:rsidRPr="00C903F8" w:rsidRDefault="008761D9" w:rsidP="001E2331">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1E2331">
            <w:pPr>
              <w:spacing w:before="120" w:after="120" w:line="240" w:lineRule="atLeast"/>
              <w:ind w:left="0" w:firstLine="0"/>
              <w:rPr>
                <w:rFonts w:cs="Arial"/>
                <w:sz w:val="18"/>
                <w:szCs w:val="18"/>
              </w:rPr>
            </w:pPr>
            <w:r>
              <w:rPr>
                <w:sz w:val="18"/>
              </w:rPr>
              <w:t>1.1.2010</w:t>
            </w:r>
          </w:p>
        </w:tc>
      </w:tr>
      <w:tr w:rsidR="00196FBC" w:rsidRPr="00C903F8" w:rsidTr="00196FBC">
        <w:trPr>
          <w:cantSplit/>
          <w:jc w:val="center"/>
        </w:trPr>
        <w:tc>
          <w:tcPr>
            <w:tcW w:w="1342" w:type="dxa"/>
            <w:vMerge/>
            <w:shd w:val="clear" w:color="auto" w:fill="auto"/>
          </w:tcPr>
          <w:p w:rsidR="00196FBC" w:rsidRPr="00C903F8" w:rsidRDefault="00196FBC" w:rsidP="009C40EF">
            <w:pPr>
              <w:spacing w:before="120" w:after="120" w:line="240" w:lineRule="atLeast"/>
              <w:ind w:left="0" w:firstLine="0"/>
              <w:jc w:val="left"/>
              <w:rPr>
                <w:rFonts w:cs="Arial"/>
                <w:b/>
                <w:sz w:val="18"/>
                <w:szCs w:val="18"/>
              </w:rPr>
            </w:pPr>
          </w:p>
        </w:tc>
        <w:tc>
          <w:tcPr>
            <w:tcW w:w="1458" w:type="dxa"/>
            <w:vMerge/>
            <w:shd w:val="clear" w:color="auto" w:fill="auto"/>
          </w:tcPr>
          <w:p w:rsidR="00196FBC" w:rsidRPr="00C903F8" w:rsidRDefault="00196FBC" w:rsidP="001E2331">
            <w:pPr>
              <w:spacing w:before="120" w:after="120" w:line="240" w:lineRule="atLeast"/>
              <w:ind w:left="0" w:firstLine="0"/>
              <w:rPr>
                <w:rFonts w:cs="Arial"/>
                <w:sz w:val="18"/>
                <w:szCs w:val="18"/>
              </w:rPr>
            </w:pPr>
          </w:p>
        </w:tc>
        <w:tc>
          <w:tcPr>
            <w:tcW w:w="3296" w:type="dxa"/>
            <w:shd w:val="clear" w:color="auto" w:fill="auto"/>
          </w:tcPr>
          <w:p w:rsidR="00196FBC" w:rsidRPr="00C903F8" w:rsidRDefault="00196FBC" w:rsidP="001E2331">
            <w:pPr>
              <w:tabs>
                <w:tab w:val="left" w:pos="2790"/>
              </w:tabs>
              <w:spacing w:before="120" w:after="120" w:line="240" w:lineRule="atLeast"/>
              <w:ind w:left="0" w:firstLine="0"/>
              <w:jc w:val="left"/>
              <w:rPr>
                <w:rFonts w:cs="Arial"/>
                <w:sz w:val="18"/>
                <w:szCs w:val="18"/>
              </w:rPr>
            </w:pPr>
            <w:r>
              <w:rPr>
                <w:sz w:val="18"/>
              </w:rPr>
              <w:t>Alloggio a poppa della paratia del gavone di poppa</w:t>
            </w:r>
          </w:p>
        </w:tc>
        <w:tc>
          <w:tcPr>
            <w:tcW w:w="6521" w:type="dxa"/>
            <w:shd w:val="clear" w:color="auto" w:fill="auto"/>
          </w:tcPr>
          <w:p w:rsidR="00196FBC" w:rsidRPr="00C903F8" w:rsidRDefault="008761D9" w:rsidP="001E2331">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1E2331">
            <w:pPr>
              <w:spacing w:before="120" w:after="120" w:line="240" w:lineRule="atLeast"/>
              <w:ind w:left="0" w:firstLine="0"/>
              <w:rPr>
                <w:rFonts w:cs="Arial"/>
                <w:sz w:val="18"/>
                <w:szCs w:val="18"/>
              </w:rPr>
            </w:pPr>
            <w:r>
              <w:rPr>
                <w:sz w:val="18"/>
              </w:rPr>
              <w:t>1.1.2045</w:t>
            </w:r>
          </w:p>
        </w:tc>
      </w:tr>
      <w:tr w:rsidR="00196FBC" w:rsidRPr="00C903F8" w:rsidTr="00A5358D">
        <w:trPr>
          <w:cantSplit/>
          <w:trHeight w:val="675"/>
          <w:jc w:val="center"/>
        </w:trPr>
        <w:tc>
          <w:tcPr>
            <w:tcW w:w="1342" w:type="dxa"/>
            <w:vMerge/>
            <w:shd w:val="clear" w:color="auto" w:fill="auto"/>
          </w:tcPr>
          <w:p w:rsidR="00196FBC" w:rsidRPr="00C903F8" w:rsidRDefault="00196FBC" w:rsidP="009C40EF">
            <w:pPr>
              <w:spacing w:before="120" w:after="120" w:line="240" w:lineRule="atLeast"/>
              <w:ind w:left="0" w:firstLine="0"/>
              <w:jc w:val="left"/>
              <w:rPr>
                <w:rFonts w:cs="Arial"/>
                <w:b/>
                <w:sz w:val="18"/>
                <w:szCs w:val="18"/>
              </w:rPr>
            </w:pPr>
          </w:p>
        </w:tc>
        <w:tc>
          <w:tcPr>
            <w:tcW w:w="1458" w:type="dxa"/>
            <w:vMerge/>
            <w:shd w:val="clear" w:color="auto" w:fill="auto"/>
          </w:tcPr>
          <w:p w:rsidR="00196FBC" w:rsidRPr="00C903F8" w:rsidRDefault="00196FBC" w:rsidP="001E2331">
            <w:pPr>
              <w:spacing w:before="120" w:after="120" w:line="240" w:lineRule="atLeast"/>
              <w:ind w:left="0" w:firstLine="0"/>
              <w:rPr>
                <w:rFonts w:cs="Arial"/>
                <w:sz w:val="18"/>
                <w:szCs w:val="18"/>
              </w:rPr>
            </w:pPr>
          </w:p>
        </w:tc>
        <w:tc>
          <w:tcPr>
            <w:tcW w:w="3296" w:type="dxa"/>
            <w:shd w:val="clear" w:color="auto" w:fill="auto"/>
          </w:tcPr>
          <w:p w:rsidR="00196FBC" w:rsidRPr="00C903F8" w:rsidRDefault="00196FBC" w:rsidP="001E2331">
            <w:pPr>
              <w:spacing w:before="120" w:after="120" w:line="240" w:lineRule="atLeast"/>
              <w:rPr>
                <w:rFonts w:cs="Arial"/>
                <w:sz w:val="18"/>
                <w:szCs w:val="18"/>
              </w:rPr>
            </w:pPr>
            <w:r>
              <w:rPr>
                <w:sz w:val="18"/>
              </w:rPr>
              <w:t>Dispositivi di sicurezza</w:t>
            </w:r>
          </w:p>
        </w:tc>
        <w:tc>
          <w:tcPr>
            <w:tcW w:w="6521" w:type="dxa"/>
            <w:shd w:val="clear" w:color="auto" w:fill="auto"/>
          </w:tcPr>
          <w:p w:rsidR="00196FBC" w:rsidRPr="00C903F8" w:rsidRDefault="008761D9" w:rsidP="001E2331">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1A19C2">
            <w:pPr>
              <w:spacing w:before="120" w:after="120" w:line="240" w:lineRule="atLeast"/>
              <w:ind w:left="0" w:firstLine="0"/>
              <w:rPr>
                <w:rFonts w:cs="Arial"/>
                <w:sz w:val="18"/>
                <w:szCs w:val="18"/>
              </w:rPr>
            </w:pPr>
            <w:r>
              <w:rPr>
                <w:sz w:val="18"/>
              </w:rPr>
              <w:t>1.1.2015</w:t>
            </w:r>
          </w:p>
        </w:tc>
      </w:tr>
      <w:tr w:rsidR="00196FBC" w:rsidRPr="00C903F8" w:rsidTr="00196FBC">
        <w:trPr>
          <w:cantSplit/>
          <w:jc w:val="center"/>
        </w:trPr>
        <w:tc>
          <w:tcPr>
            <w:tcW w:w="1342" w:type="dxa"/>
            <w:vMerge/>
            <w:shd w:val="clear" w:color="auto" w:fill="auto"/>
          </w:tcPr>
          <w:p w:rsidR="00196FBC" w:rsidRPr="00C903F8" w:rsidRDefault="00196FBC" w:rsidP="009C40EF">
            <w:pPr>
              <w:spacing w:before="80" w:after="80" w:line="240" w:lineRule="atLeast"/>
              <w:ind w:left="0" w:firstLine="0"/>
              <w:jc w:val="left"/>
              <w:rPr>
                <w:rFonts w:cs="Arial"/>
                <w:b/>
                <w:sz w:val="18"/>
                <w:szCs w:val="18"/>
              </w:rPr>
            </w:pPr>
          </w:p>
        </w:tc>
        <w:tc>
          <w:tcPr>
            <w:tcW w:w="1458" w:type="dxa"/>
            <w:shd w:val="clear" w:color="auto" w:fill="auto"/>
          </w:tcPr>
          <w:p w:rsidR="00196FBC" w:rsidRPr="00C903F8" w:rsidRDefault="00196FBC" w:rsidP="00BB7B04">
            <w:pPr>
              <w:spacing w:before="80" w:after="80" w:line="240" w:lineRule="atLeast"/>
              <w:ind w:left="0" w:firstLine="0"/>
              <w:rPr>
                <w:rFonts w:cs="Arial"/>
                <w:sz w:val="18"/>
                <w:szCs w:val="18"/>
              </w:rPr>
            </w:pPr>
            <w:r>
              <w:rPr>
                <w:sz w:val="18"/>
              </w:rPr>
              <w:t>paragrafo 4</w:t>
            </w:r>
          </w:p>
        </w:tc>
        <w:tc>
          <w:tcPr>
            <w:tcW w:w="3296" w:type="dxa"/>
            <w:shd w:val="clear" w:color="auto" w:fill="auto"/>
          </w:tcPr>
          <w:p w:rsidR="00196FBC" w:rsidRPr="00C903F8" w:rsidRDefault="00196FBC" w:rsidP="00BB7B04">
            <w:pPr>
              <w:spacing w:before="80" w:after="80" w:line="240" w:lineRule="atLeast"/>
              <w:ind w:left="0" w:firstLine="0"/>
              <w:rPr>
                <w:rFonts w:cs="Arial"/>
                <w:sz w:val="18"/>
                <w:szCs w:val="18"/>
              </w:rPr>
            </w:pPr>
            <w:r>
              <w:rPr>
                <w:sz w:val="18"/>
              </w:rPr>
              <w:t>Separazione stagna al gas degli alloggi dalle sale macchine, dai locali caldaie e dalle stive</w:t>
            </w:r>
          </w:p>
        </w:tc>
        <w:tc>
          <w:tcPr>
            <w:tcW w:w="6521" w:type="dxa"/>
            <w:shd w:val="clear" w:color="auto" w:fill="auto"/>
          </w:tcPr>
          <w:p w:rsidR="00196FBC" w:rsidRPr="00C903F8" w:rsidRDefault="008761D9" w:rsidP="00BB7B04">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BB7B04">
            <w:pPr>
              <w:spacing w:before="80" w:after="80" w:line="240" w:lineRule="atLeast"/>
              <w:ind w:left="0" w:firstLine="0"/>
              <w:rPr>
                <w:rFonts w:cs="Arial"/>
                <w:sz w:val="18"/>
                <w:szCs w:val="18"/>
              </w:rPr>
            </w:pPr>
            <w:r>
              <w:rPr>
                <w:sz w:val="18"/>
              </w:rPr>
              <w:t>1.1.2010</w:t>
            </w:r>
          </w:p>
        </w:tc>
      </w:tr>
      <w:tr w:rsidR="00196FBC" w:rsidRPr="00C903F8" w:rsidTr="00196FBC">
        <w:trPr>
          <w:cantSplit/>
          <w:jc w:val="center"/>
        </w:trPr>
        <w:tc>
          <w:tcPr>
            <w:tcW w:w="1342" w:type="dxa"/>
            <w:vMerge/>
            <w:shd w:val="clear" w:color="auto" w:fill="auto"/>
          </w:tcPr>
          <w:p w:rsidR="00196FBC" w:rsidRPr="00C903F8" w:rsidRDefault="00196FBC" w:rsidP="009C40EF">
            <w:pPr>
              <w:spacing w:before="80" w:after="80" w:line="240" w:lineRule="atLeast"/>
              <w:ind w:left="0" w:firstLine="0"/>
              <w:jc w:val="left"/>
              <w:rPr>
                <w:rFonts w:cs="Arial"/>
                <w:b/>
                <w:sz w:val="18"/>
                <w:szCs w:val="18"/>
              </w:rPr>
            </w:pPr>
          </w:p>
        </w:tc>
        <w:tc>
          <w:tcPr>
            <w:tcW w:w="1458" w:type="dxa"/>
            <w:shd w:val="clear" w:color="auto" w:fill="auto"/>
          </w:tcPr>
          <w:p w:rsidR="00196FBC" w:rsidRPr="00C903F8" w:rsidRDefault="00196FBC" w:rsidP="00BB7B04">
            <w:pPr>
              <w:spacing w:before="80" w:after="80" w:line="240" w:lineRule="atLeast"/>
              <w:ind w:left="0" w:firstLine="0"/>
              <w:jc w:val="left"/>
              <w:rPr>
                <w:rFonts w:cs="Arial"/>
                <w:sz w:val="18"/>
                <w:szCs w:val="18"/>
              </w:rPr>
            </w:pPr>
            <w:r>
              <w:rPr>
                <w:sz w:val="18"/>
              </w:rPr>
              <w:t>paragrafo 5, secondo comma</w:t>
            </w:r>
          </w:p>
        </w:tc>
        <w:tc>
          <w:tcPr>
            <w:tcW w:w="3296" w:type="dxa"/>
            <w:shd w:val="clear" w:color="auto" w:fill="auto"/>
          </w:tcPr>
          <w:p w:rsidR="00196FBC" w:rsidRPr="00C903F8" w:rsidRDefault="00196FBC" w:rsidP="00BB7B04">
            <w:pPr>
              <w:tabs>
                <w:tab w:val="left" w:pos="1260"/>
              </w:tabs>
              <w:spacing w:before="80" w:after="80" w:line="240" w:lineRule="atLeast"/>
              <w:ind w:left="0" w:firstLine="0"/>
              <w:rPr>
                <w:rFonts w:cs="Arial"/>
                <w:sz w:val="18"/>
                <w:szCs w:val="18"/>
              </w:rPr>
            </w:pPr>
            <w:r>
              <w:rPr>
                <w:sz w:val="18"/>
              </w:rPr>
              <w:t>Controllo delle porte nella paratia del gavone di poppa</w:t>
            </w:r>
          </w:p>
        </w:tc>
        <w:tc>
          <w:tcPr>
            <w:tcW w:w="6521" w:type="dxa"/>
            <w:shd w:val="clear" w:color="auto" w:fill="auto"/>
          </w:tcPr>
          <w:p w:rsidR="00196FBC" w:rsidRPr="00C903F8" w:rsidRDefault="008761D9" w:rsidP="00BB7B04">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BB7B04">
            <w:pPr>
              <w:spacing w:before="80" w:after="80" w:line="240" w:lineRule="atLeast"/>
              <w:ind w:left="0" w:firstLine="0"/>
              <w:rPr>
                <w:rFonts w:cs="Arial"/>
                <w:sz w:val="18"/>
                <w:szCs w:val="18"/>
              </w:rPr>
            </w:pPr>
            <w:r>
              <w:rPr>
                <w:sz w:val="18"/>
              </w:rPr>
              <w:t>1.1.2010</w:t>
            </w:r>
          </w:p>
        </w:tc>
      </w:tr>
      <w:tr w:rsidR="00196FBC" w:rsidRPr="00C903F8" w:rsidTr="00196FBC">
        <w:trPr>
          <w:cantSplit/>
          <w:jc w:val="center"/>
        </w:trPr>
        <w:tc>
          <w:tcPr>
            <w:tcW w:w="1342" w:type="dxa"/>
            <w:vMerge/>
            <w:shd w:val="clear" w:color="auto" w:fill="auto"/>
          </w:tcPr>
          <w:p w:rsidR="00196FBC" w:rsidRPr="00C903F8" w:rsidRDefault="00196FBC" w:rsidP="009C40EF">
            <w:pPr>
              <w:spacing w:before="80" w:after="80" w:line="240" w:lineRule="atLeast"/>
              <w:ind w:left="0" w:firstLine="0"/>
              <w:jc w:val="left"/>
              <w:rPr>
                <w:rFonts w:cs="Arial"/>
                <w:b/>
                <w:sz w:val="18"/>
                <w:szCs w:val="18"/>
              </w:rPr>
            </w:pPr>
          </w:p>
        </w:tc>
        <w:tc>
          <w:tcPr>
            <w:tcW w:w="1458" w:type="dxa"/>
            <w:shd w:val="clear" w:color="auto" w:fill="auto"/>
          </w:tcPr>
          <w:p w:rsidR="00196FBC" w:rsidRPr="00C903F8" w:rsidRDefault="00196FBC" w:rsidP="00BB7B04">
            <w:pPr>
              <w:spacing w:before="80" w:after="80" w:line="240" w:lineRule="atLeast"/>
              <w:ind w:left="0" w:firstLine="0"/>
              <w:rPr>
                <w:rFonts w:cs="Arial"/>
                <w:sz w:val="18"/>
                <w:szCs w:val="18"/>
              </w:rPr>
            </w:pPr>
            <w:r>
              <w:rPr>
                <w:sz w:val="18"/>
              </w:rPr>
              <w:t>paragrafo 7</w:t>
            </w:r>
          </w:p>
        </w:tc>
        <w:tc>
          <w:tcPr>
            <w:tcW w:w="3296" w:type="dxa"/>
            <w:shd w:val="clear" w:color="auto" w:fill="auto"/>
          </w:tcPr>
          <w:p w:rsidR="00196FBC" w:rsidRPr="00C903F8" w:rsidRDefault="00196FBC" w:rsidP="00CE1CF7">
            <w:pPr>
              <w:spacing w:before="80" w:after="80" w:line="240" w:lineRule="atLeast"/>
              <w:ind w:left="0" w:firstLine="0"/>
              <w:rPr>
                <w:rFonts w:cs="Arial"/>
                <w:sz w:val="18"/>
                <w:szCs w:val="18"/>
              </w:rPr>
            </w:pPr>
            <w:r>
              <w:rPr>
                <w:sz w:val="18"/>
              </w:rPr>
              <w:t>Prue con nicchie per ancore</w:t>
            </w:r>
          </w:p>
        </w:tc>
        <w:tc>
          <w:tcPr>
            <w:tcW w:w="6521" w:type="dxa"/>
            <w:shd w:val="clear" w:color="auto" w:fill="auto"/>
          </w:tcPr>
          <w:p w:rsidR="00196FBC" w:rsidRPr="00C903F8" w:rsidRDefault="008761D9" w:rsidP="00BB7B04">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BB7B04">
            <w:pPr>
              <w:spacing w:before="80" w:after="80" w:line="240" w:lineRule="atLeast"/>
              <w:ind w:left="0" w:firstLine="0"/>
              <w:rPr>
                <w:rFonts w:cs="Arial"/>
                <w:sz w:val="18"/>
                <w:szCs w:val="18"/>
              </w:rPr>
            </w:pPr>
            <w:r>
              <w:rPr>
                <w:sz w:val="18"/>
              </w:rPr>
              <w:t>1.1.2041</w:t>
            </w:r>
          </w:p>
        </w:tc>
      </w:tr>
      <w:tr w:rsidR="00196FBC" w:rsidRPr="00C903F8" w:rsidTr="00196FBC">
        <w:trPr>
          <w:cantSplit/>
          <w:jc w:val="center"/>
        </w:trPr>
        <w:tc>
          <w:tcPr>
            <w:tcW w:w="1342" w:type="dxa"/>
            <w:shd w:val="clear" w:color="auto" w:fill="auto"/>
          </w:tcPr>
          <w:p w:rsidR="00196FBC" w:rsidRPr="00C903F8" w:rsidRDefault="00196FBC" w:rsidP="009C40EF">
            <w:pPr>
              <w:spacing w:before="80" w:after="80" w:line="240" w:lineRule="atLeast"/>
              <w:ind w:left="0" w:firstLine="0"/>
              <w:jc w:val="left"/>
              <w:rPr>
                <w:rFonts w:cs="Arial"/>
                <w:sz w:val="18"/>
                <w:szCs w:val="18"/>
              </w:rPr>
            </w:pPr>
            <w:r>
              <w:rPr>
                <w:sz w:val="18"/>
              </w:rPr>
              <w:t>3.04</w:t>
            </w:r>
          </w:p>
        </w:tc>
        <w:tc>
          <w:tcPr>
            <w:tcW w:w="1458" w:type="dxa"/>
            <w:shd w:val="clear" w:color="auto" w:fill="auto"/>
          </w:tcPr>
          <w:p w:rsidR="00196FBC" w:rsidRPr="00C903F8" w:rsidRDefault="00196FBC" w:rsidP="00BB7B04">
            <w:pPr>
              <w:spacing w:before="80" w:after="80" w:line="240" w:lineRule="atLeast"/>
              <w:ind w:left="0" w:firstLine="0"/>
              <w:rPr>
                <w:rFonts w:cs="Arial"/>
                <w:sz w:val="18"/>
                <w:szCs w:val="18"/>
              </w:rPr>
            </w:pPr>
            <w:r>
              <w:rPr>
                <w:sz w:val="18"/>
              </w:rPr>
              <w:t>paragrafo 6</w:t>
            </w:r>
          </w:p>
        </w:tc>
        <w:tc>
          <w:tcPr>
            <w:tcW w:w="3296" w:type="dxa"/>
            <w:shd w:val="clear" w:color="auto" w:fill="auto"/>
          </w:tcPr>
          <w:p w:rsidR="00196FBC" w:rsidRPr="00C903F8" w:rsidRDefault="00196FBC" w:rsidP="00BB7B04">
            <w:pPr>
              <w:spacing w:before="80" w:after="80" w:line="240" w:lineRule="atLeast"/>
              <w:ind w:left="0" w:firstLine="0"/>
              <w:rPr>
                <w:rFonts w:cs="Arial"/>
                <w:sz w:val="18"/>
                <w:szCs w:val="18"/>
              </w:rPr>
            </w:pPr>
            <w:r>
              <w:rPr>
                <w:sz w:val="18"/>
              </w:rPr>
              <w:t>Uscite delle sale macchine</w:t>
            </w:r>
          </w:p>
        </w:tc>
        <w:tc>
          <w:tcPr>
            <w:tcW w:w="6521" w:type="dxa"/>
            <w:shd w:val="clear" w:color="auto" w:fill="auto"/>
          </w:tcPr>
          <w:p w:rsidR="00196FBC" w:rsidRPr="00C903F8" w:rsidRDefault="00196FBC" w:rsidP="00BB7B04">
            <w:pPr>
              <w:spacing w:before="80" w:after="80" w:line="240" w:lineRule="atLeast"/>
              <w:ind w:left="0" w:firstLine="0"/>
              <w:rPr>
                <w:rFonts w:cs="Arial"/>
                <w:sz w:val="18"/>
                <w:szCs w:val="18"/>
              </w:rPr>
            </w:pPr>
            <w:r>
              <w:rPr>
                <w:sz w:val="18"/>
              </w:rPr>
              <w:t>Le sale macchine non considerate tali ai sensi dell'articolo 1.01 prima del 1995 devono essere provviste di una seconda uscita in sede di N.S.T., al più tardi alla data di rinnovo del certificato per la navigazione interna posteriormente al</w:t>
            </w:r>
          </w:p>
        </w:tc>
        <w:tc>
          <w:tcPr>
            <w:tcW w:w="1276" w:type="dxa"/>
            <w:shd w:val="clear" w:color="auto" w:fill="auto"/>
          </w:tcPr>
          <w:p w:rsidR="00196FBC" w:rsidRPr="00C903F8" w:rsidRDefault="00196FBC" w:rsidP="00BB7B04">
            <w:pPr>
              <w:spacing w:before="80" w:after="80" w:line="240" w:lineRule="atLeast"/>
              <w:ind w:left="0" w:firstLine="0"/>
              <w:rPr>
                <w:rFonts w:cs="Arial"/>
                <w:sz w:val="18"/>
                <w:szCs w:val="18"/>
              </w:rPr>
            </w:pPr>
            <w:r>
              <w:rPr>
                <w:sz w:val="18"/>
              </w:rPr>
              <w:t>1.1.2035</w:t>
            </w:r>
          </w:p>
        </w:tc>
      </w:tr>
      <w:tr w:rsidR="00196FBC" w:rsidRPr="00C903F8" w:rsidTr="00196FBC">
        <w:trPr>
          <w:cantSplit/>
          <w:jc w:val="center"/>
        </w:trPr>
        <w:tc>
          <w:tcPr>
            <w:tcW w:w="6096" w:type="dxa"/>
            <w:gridSpan w:val="3"/>
            <w:shd w:val="clear" w:color="auto" w:fill="auto"/>
          </w:tcPr>
          <w:p w:rsidR="00196FBC" w:rsidRPr="00C903F8" w:rsidRDefault="00196FBC" w:rsidP="00740370">
            <w:pPr>
              <w:spacing w:before="140" w:after="140" w:line="240" w:lineRule="atLeast"/>
              <w:ind w:left="0" w:firstLine="0"/>
              <w:jc w:val="center"/>
              <w:rPr>
                <w:rFonts w:cs="Arial"/>
                <w:sz w:val="18"/>
                <w:szCs w:val="18"/>
              </w:rPr>
            </w:pPr>
            <w:r>
              <w:rPr>
                <w:b/>
                <w:sz w:val="18"/>
              </w:rPr>
              <w:t>CAPO 5</w:t>
            </w:r>
          </w:p>
        </w:tc>
        <w:tc>
          <w:tcPr>
            <w:tcW w:w="6521" w:type="dxa"/>
            <w:shd w:val="clear" w:color="auto" w:fill="auto"/>
          </w:tcPr>
          <w:p w:rsidR="00196FBC" w:rsidRPr="00C903F8" w:rsidRDefault="00196FBC" w:rsidP="00740370">
            <w:pPr>
              <w:spacing w:before="140" w:after="140" w:line="240" w:lineRule="atLeast"/>
              <w:ind w:left="0" w:firstLine="0"/>
              <w:jc w:val="center"/>
              <w:rPr>
                <w:rFonts w:cs="Arial"/>
                <w:b/>
                <w:sz w:val="18"/>
                <w:szCs w:val="18"/>
              </w:rPr>
            </w:pPr>
          </w:p>
        </w:tc>
        <w:tc>
          <w:tcPr>
            <w:tcW w:w="1276" w:type="dxa"/>
            <w:shd w:val="clear" w:color="auto" w:fill="auto"/>
          </w:tcPr>
          <w:p w:rsidR="00196FBC" w:rsidRPr="00C903F8" w:rsidRDefault="00196FBC" w:rsidP="00740370">
            <w:pPr>
              <w:spacing w:before="140" w:after="140" w:line="240" w:lineRule="atLeast"/>
              <w:ind w:left="0" w:firstLine="0"/>
              <w:jc w:val="center"/>
              <w:rPr>
                <w:rFonts w:cs="Arial"/>
                <w:sz w:val="18"/>
                <w:szCs w:val="18"/>
              </w:rPr>
            </w:pPr>
          </w:p>
        </w:tc>
      </w:tr>
      <w:tr w:rsidR="00196FBC" w:rsidRPr="00C903F8" w:rsidTr="00A5358D">
        <w:trPr>
          <w:cantSplit/>
          <w:trHeight w:val="832"/>
          <w:jc w:val="center"/>
        </w:trPr>
        <w:tc>
          <w:tcPr>
            <w:tcW w:w="1342" w:type="dxa"/>
            <w:shd w:val="clear" w:color="auto" w:fill="auto"/>
          </w:tcPr>
          <w:p w:rsidR="00196FBC" w:rsidRPr="00C903F8" w:rsidRDefault="00196FBC" w:rsidP="009C40EF">
            <w:pPr>
              <w:spacing w:before="120" w:after="120" w:line="240" w:lineRule="atLeast"/>
              <w:ind w:left="0" w:firstLine="0"/>
              <w:jc w:val="left"/>
              <w:rPr>
                <w:rFonts w:cs="Arial"/>
                <w:sz w:val="18"/>
                <w:szCs w:val="18"/>
              </w:rPr>
            </w:pPr>
            <w:r>
              <w:rPr>
                <w:sz w:val="18"/>
              </w:rPr>
              <w:lastRenderedPageBreak/>
              <w:t>5.06</w:t>
            </w:r>
          </w:p>
        </w:tc>
        <w:tc>
          <w:tcPr>
            <w:tcW w:w="1458" w:type="dxa"/>
            <w:shd w:val="clear" w:color="auto" w:fill="auto"/>
          </w:tcPr>
          <w:p w:rsidR="00196FBC" w:rsidRPr="00C903F8" w:rsidRDefault="00196FBC" w:rsidP="00740370">
            <w:pPr>
              <w:spacing w:before="120" w:after="120" w:line="240" w:lineRule="atLeast"/>
              <w:ind w:left="0" w:firstLine="0"/>
              <w:jc w:val="left"/>
              <w:rPr>
                <w:rFonts w:cs="Arial"/>
                <w:sz w:val="18"/>
                <w:szCs w:val="18"/>
              </w:rPr>
            </w:pPr>
            <w:r>
              <w:rPr>
                <w:sz w:val="18"/>
              </w:rPr>
              <w:t>paragrafo 1, prima frase</w:t>
            </w:r>
          </w:p>
        </w:tc>
        <w:tc>
          <w:tcPr>
            <w:tcW w:w="3296" w:type="dxa"/>
            <w:shd w:val="clear" w:color="auto" w:fill="auto"/>
          </w:tcPr>
          <w:p w:rsidR="00196FBC" w:rsidRPr="00C903F8" w:rsidRDefault="00196FBC" w:rsidP="00740370">
            <w:pPr>
              <w:spacing w:before="120" w:after="120" w:line="240" w:lineRule="atLeast"/>
              <w:ind w:left="0" w:firstLine="0"/>
              <w:rPr>
                <w:rFonts w:cs="Arial"/>
                <w:sz w:val="18"/>
                <w:szCs w:val="18"/>
              </w:rPr>
            </w:pPr>
            <w:r>
              <w:rPr>
                <w:noProof/>
                <w:sz w:val="18"/>
              </w:rPr>
              <w:t>Velocità prescritta (in marcia avanti)</w:t>
            </w:r>
          </w:p>
        </w:tc>
        <w:tc>
          <w:tcPr>
            <w:tcW w:w="6521" w:type="dxa"/>
            <w:shd w:val="clear" w:color="auto" w:fill="auto"/>
          </w:tcPr>
          <w:p w:rsidR="00196FBC" w:rsidRPr="00C903F8" w:rsidRDefault="008761D9" w:rsidP="0074037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740370">
            <w:pPr>
              <w:spacing w:before="120" w:after="120" w:line="240" w:lineRule="atLeast"/>
              <w:ind w:left="0" w:firstLine="0"/>
              <w:rPr>
                <w:rFonts w:cs="Arial"/>
                <w:sz w:val="18"/>
                <w:szCs w:val="18"/>
              </w:rPr>
            </w:pPr>
            <w:r>
              <w:rPr>
                <w:sz w:val="18"/>
              </w:rPr>
              <w:t>1.1.2035</w:t>
            </w:r>
          </w:p>
        </w:tc>
      </w:tr>
      <w:tr w:rsidR="00196FBC" w:rsidRPr="00C903F8" w:rsidTr="00196FBC">
        <w:trPr>
          <w:cantSplit/>
          <w:jc w:val="center"/>
        </w:trPr>
        <w:tc>
          <w:tcPr>
            <w:tcW w:w="6096" w:type="dxa"/>
            <w:gridSpan w:val="3"/>
            <w:shd w:val="clear" w:color="auto" w:fill="auto"/>
          </w:tcPr>
          <w:p w:rsidR="00196FBC" w:rsidRPr="00C903F8" w:rsidRDefault="00196FBC" w:rsidP="00BB7B04">
            <w:pPr>
              <w:spacing w:before="80" w:after="80" w:line="240" w:lineRule="atLeast"/>
              <w:ind w:left="0" w:firstLine="0"/>
              <w:jc w:val="center"/>
              <w:rPr>
                <w:rFonts w:cs="Arial"/>
                <w:sz w:val="18"/>
                <w:szCs w:val="18"/>
              </w:rPr>
            </w:pPr>
            <w:r>
              <w:rPr>
                <w:b/>
                <w:sz w:val="18"/>
              </w:rPr>
              <w:t>CAPO 6</w:t>
            </w:r>
          </w:p>
        </w:tc>
        <w:tc>
          <w:tcPr>
            <w:tcW w:w="6521" w:type="dxa"/>
            <w:shd w:val="clear" w:color="auto" w:fill="auto"/>
          </w:tcPr>
          <w:p w:rsidR="00196FBC" w:rsidRPr="00C903F8" w:rsidRDefault="00196FBC" w:rsidP="00BB7B04">
            <w:pPr>
              <w:spacing w:before="80" w:after="80" w:line="240" w:lineRule="atLeast"/>
              <w:ind w:left="0" w:firstLine="0"/>
              <w:jc w:val="center"/>
              <w:rPr>
                <w:rFonts w:cs="Arial"/>
                <w:sz w:val="18"/>
                <w:szCs w:val="18"/>
              </w:rPr>
            </w:pPr>
          </w:p>
        </w:tc>
        <w:tc>
          <w:tcPr>
            <w:tcW w:w="1276" w:type="dxa"/>
            <w:shd w:val="clear" w:color="auto" w:fill="auto"/>
          </w:tcPr>
          <w:p w:rsidR="00196FBC" w:rsidRPr="00C903F8" w:rsidRDefault="00196FBC" w:rsidP="00BB7B04">
            <w:pPr>
              <w:spacing w:before="80" w:after="80" w:line="240" w:lineRule="atLeast"/>
              <w:ind w:left="0" w:firstLine="0"/>
              <w:jc w:val="center"/>
              <w:rPr>
                <w:rFonts w:cs="Arial"/>
                <w:sz w:val="18"/>
                <w:szCs w:val="18"/>
              </w:rPr>
            </w:pPr>
          </w:p>
        </w:tc>
      </w:tr>
      <w:tr w:rsidR="00196FBC" w:rsidRPr="00C903F8" w:rsidTr="00196FBC">
        <w:trPr>
          <w:cantSplit/>
          <w:jc w:val="center"/>
        </w:trPr>
        <w:tc>
          <w:tcPr>
            <w:tcW w:w="1342" w:type="dxa"/>
            <w:vMerge w:val="restart"/>
            <w:shd w:val="clear" w:color="auto" w:fill="auto"/>
          </w:tcPr>
          <w:p w:rsidR="00196FBC" w:rsidRPr="00C903F8" w:rsidRDefault="00196FBC" w:rsidP="009C40EF">
            <w:pPr>
              <w:spacing w:before="140" w:after="140" w:line="240" w:lineRule="atLeast"/>
              <w:ind w:left="0" w:firstLine="0"/>
              <w:jc w:val="left"/>
              <w:rPr>
                <w:rFonts w:cs="Arial"/>
                <w:sz w:val="18"/>
                <w:szCs w:val="18"/>
              </w:rPr>
            </w:pPr>
            <w:r>
              <w:rPr>
                <w:sz w:val="18"/>
              </w:rPr>
              <w:t>6.01</w:t>
            </w:r>
          </w:p>
        </w:tc>
        <w:tc>
          <w:tcPr>
            <w:tcW w:w="1458" w:type="dxa"/>
            <w:shd w:val="clear" w:color="auto" w:fill="auto"/>
          </w:tcPr>
          <w:p w:rsidR="00196FBC" w:rsidRPr="00C903F8" w:rsidRDefault="00196FBC" w:rsidP="00BB7B04">
            <w:pPr>
              <w:spacing w:before="140" w:after="140" w:line="240" w:lineRule="atLeast"/>
              <w:ind w:left="0" w:firstLine="0"/>
              <w:rPr>
                <w:rFonts w:cs="Arial"/>
                <w:sz w:val="18"/>
                <w:szCs w:val="18"/>
              </w:rPr>
            </w:pPr>
            <w:r>
              <w:rPr>
                <w:sz w:val="18"/>
              </w:rPr>
              <w:t>paragrafo 1</w:t>
            </w:r>
          </w:p>
        </w:tc>
        <w:tc>
          <w:tcPr>
            <w:tcW w:w="3296" w:type="dxa"/>
            <w:shd w:val="clear" w:color="auto" w:fill="auto"/>
          </w:tcPr>
          <w:p w:rsidR="00196FBC" w:rsidRPr="00C903F8" w:rsidRDefault="00196FBC" w:rsidP="00BB7B04">
            <w:pPr>
              <w:spacing w:before="140" w:after="140"/>
              <w:ind w:left="0" w:firstLine="0"/>
              <w:rPr>
                <w:rFonts w:cs="Arial"/>
                <w:sz w:val="18"/>
                <w:szCs w:val="18"/>
              </w:rPr>
            </w:pPr>
            <w:r>
              <w:rPr>
                <w:sz w:val="18"/>
              </w:rPr>
              <w:t>Manovrabilità prescritta dal capo 5</w:t>
            </w:r>
          </w:p>
        </w:tc>
        <w:tc>
          <w:tcPr>
            <w:tcW w:w="6521" w:type="dxa"/>
            <w:shd w:val="clear" w:color="auto" w:fill="auto"/>
          </w:tcPr>
          <w:p w:rsidR="00196FBC" w:rsidRPr="00C903F8" w:rsidRDefault="008761D9" w:rsidP="00BB7B04">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BB7B04">
            <w:pPr>
              <w:spacing w:before="140" w:after="140" w:line="240" w:lineRule="atLeast"/>
              <w:ind w:left="0" w:firstLine="0"/>
              <w:rPr>
                <w:rFonts w:cs="Arial"/>
                <w:sz w:val="18"/>
                <w:szCs w:val="18"/>
              </w:rPr>
            </w:pPr>
            <w:r>
              <w:rPr>
                <w:sz w:val="18"/>
              </w:rPr>
              <w:t>1.1.2035</w:t>
            </w:r>
          </w:p>
        </w:tc>
      </w:tr>
      <w:tr w:rsidR="00196FBC" w:rsidRPr="00C903F8" w:rsidTr="00196FBC">
        <w:trPr>
          <w:cantSplit/>
          <w:jc w:val="center"/>
        </w:trPr>
        <w:tc>
          <w:tcPr>
            <w:tcW w:w="1342" w:type="dxa"/>
            <w:vMerge/>
            <w:shd w:val="clear" w:color="auto" w:fill="auto"/>
          </w:tcPr>
          <w:p w:rsidR="00196FBC" w:rsidRPr="00C903F8" w:rsidRDefault="00196FBC" w:rsidP="009C40EF">
            <w:pPr>
              <w:spacing w:before="140" w:after="140" w:line="240" w:lineRule="atLeast"/>
              <w:ind w:left="0" w:firstLine="0"/>
              <w:jc w:val="left"/>
              <w:rPr>
                <w:rFonts w:cs="Arial"/>
                <w:sz w:val="18"/>
                <w:szCs w:val="18"/>
              </w:rPr>
            </w:pPr>
          </w:p>
        </w:tc>
        <w:tc>
          <w:tcPr>
            <w:tcW w:w="1458" w:type="dxa"/>
            <w:shd w:val="clear" w:color="auto" w:fill="auto"/>
          </w:tcPr>
          <w:p w:rsidR="00196FBC" w:rsidRPr="00C903F8" w:rsidRDefault="00196FBC" w:rsidP="00BB7B04">
            <w:pPr>
              <w:spacing w:before="140" w:after="140" w:line="240" w:lineRule="atLeast"/>
              <w:ind w:left="0" w:firstLine="0"/>
              <w:rPr>
                <w:rFonts w:cs="Arial"/>
                <w:sz w:val="18"/>
                <w:szCs w:val="18"/>
              </w:rPr>
            </w:pPr>
            <w:r>
              <w:rPr>
                <w:sz w:val="18"/>
              </w:rPr>
              <w:t>paragrafo 3</w:t>
            </w:r>
          </w:p>
        </w:tc>
        <w:tc>
          <w:tcPr>
            <w:tcW w:w="3296" w:type="dxa"/>
            <w:shd w:val="clear" w:color="auto" w:fill="auto"/>
          </w:tcPr>
          <w:p w:rsidR="00196FBC" w:rsidRPr="00C903F8" w:rsidRDefault="00196FBC" w:rsidP="00BB7B04">
            <w:pPr>
              <w:spacing w:before="140" w:after="140"/>
              <w:ind w:left="0" w:firstLine="0"/>
              <w:rPr>
                <w:rFonts w:cs="Arial"/>
                <w:sz w:val="18"/>
                <w:szCs w:val="18"/>
              </w:rPr>
            </w:pPr>
            <w:r>
              <w:rPr>
                <w:sz w:val="18"/>
              </w:rPr>
              <w:t>Sbandamenti permanenti e temperature ambiente</w:t>
            </w:r>
          </w:p>
        </w:tc>
        <w:tc>
          <w:tcPr>
            <w:tcW w:w="6521" w:type="dxa"/>
            <w:shd w:val="clear" w:color="auto" w:fill="auto"/>
          </w:tcPr>
          <w:p w:rsidR="00196FBC" w:rsidRPr="00C903F8" w:rsidRDefault="008761D9" w:rsidP="00BB7B04">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BB7B04">
            <w:pPr>
              <w:spacing w:before="140" w:after="140" w:line="240" w:lineRule="atLeast"/>
              <w:ind w:left="0" w:firstLine="0"/>
              <w:rPr>
                <w:rFonts w:cs="Arial"/>
                <w:sz w:val="18"/>
                <w:szCs w:val="18"/>
              </w:rPr>
            </w:pPr>
            <w:r>
              <w:rPr>
                <w:sz w:val="18"/>
              </w:rPr>
              <w:t>1.1.2010</w:t>
            </w:r>
          </w:p>
        </w:tc>
      </w:tr>
      <w:tr w:rsidR="00196FBC" w:rsidRPr="00C903F8" w:rsidTr="00196FBC">
        <w:trPr>
          <w:cantSplit/>
          <w:jc w:val="center"/>
        </w:trPr>
        <w:tc>
          <w:tcPr>
            <w:tcW w:w="1342" w:type="dxa"/>
            <w:vMerge/>
            <w:shd w:val="clear" w:color="auto" w:fill="auto"/>
          </w:tcPr>
          <w:p w:rsidR="00196FBC" w:rsidRPr="00C903F8" w:rsidRDefault="00196FBC" w:rsidP="009C40EF">
            <w:pPr>
              <w:spacing w:before="140" w:after="140" w:line="240" w:lineRule="atLeast"/>
              <w:ind w:left="0" w:firstLine="0"/>
              <w:jc w:val="left"/>
              <w:rPr>
                <w:rFonts w:cs="Arial"/>
                <w:sz w:val="18"/>
                <w:szCs w:val="18"/>
              </w:rPr>
            </w:pPr>
          </w:p>
        </w:tc>
        <w:tc>
          <w:tcPr>
            <w:tcW w:w="1458" w:type="dxa"/>
            <w:shd w:val="clear" w:color="auto" w:fill="auto"/>
          </w:tcPr>
          <w:p w:rsidR="00196FBC" w:rsidRPr="00C903F8" w:rsidRDefault="00196FBC" w:rsidP="00BB7B04">
            <w:pPr>
              <w:spacing w:before="140" w:after="140" w:line="240" w:lineRule="atLeast"/>
              <w:ind w:left="0" w:firstLine="0"/>
              <w:rPr>
                <w:rFonts w:cs="Arial"/>
                <w:sz w:val="18"/>
                <w:szCs w:val="18"/>
              </w:rPr>
            </w:pPr>
            <w:r>
              <w:rPr>
                <w:sz w:val="18"/>
              </w:rPr>
              <w:t>paragrafo 7</w:t>
            </w:r>
          </w:p>
        </w:tc>
        <w:tc>
          <w:tcPr>
            <w:tcW w:w="3296" w:type="dxa"/>
            <w:shd w:val="clear" w:color="auto" w:fill="auto"/>
          </w:tcPr>
          <w:p w:rsidR="00196FBC" w:rsidRPr="00C903F8" w:rsidRDefault="00196FBC" w:rsidP="00BB7B04">
            <w:pPr>
              <w:spacing w:before="140" w:after="140"/>
              <w:ind w:left="0" w:firstLine="0"/>
              <w:rPr>
                <w:rFonts w:cs="Arial"/>
                <w:sz w:val="18"/>
                <w:szCs w:val="18"/>
              </w:rPr>
            </w:pPr>
            <w:r>
              <w:rPr>
                <w:sz w:val="18"/>
              </w:rPr>
              <w:t>Progettazione degli assi del timone</w:t>
            </w:r>
          </w:p>
        </w:tc>
        <w:tc>
          <w:tcPr>
            <w:tcW w:w="6521" w:type="dxa"/>
            <w:shd w:val="clear" w:color="auto" w:fill="auto"/>
          </w:tcPr>
          <w:p w:rsidR="00196FBC" w:rsidRPr="00C903F8" w:rsidRDefault="008761D9" w:rsidP="00BB7B04">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BB7B04">
            <w:pPr>
              <w:spacing w:before="140" w:after="140" w:line="240" w:lineRule="atLeast"/>
              <w:ind w:left="0" w:firstLine="0"/>
              <w:rPr>
                <w:rFonts w:cs="Arial"/>
                <w:sz w:val="18"/>
                <w:szCs w:val="18"/>
              </w:rPr>
            </w:pPr>
            <w:r>
              <w:rPr>
                <w:sz w:val="18"/>
              </w:rPr>
              <w:t>1.1.2015</w:t>
            </w:r>
          </w:p>
        </w:tc>
      </w:tr>
      <w:tr w:rsidR="00196FBC" w:rsidRPr="00C903F8" w:rsidTr="00196FBC">
        <w:trPr>
          <w:cantSplit/>
          <w:jc w:val="center"/>
        </w:trPr>
        <w:tc>
          <w:tcPr>
            <w:tcW w:w="1342" w:type="dxa"/>
            <w:vMerge w:val="restart"/>
            <w:shd w:val="clear" w:color="auto" w:fill="auto"/>
          </w:tcPr>
          <w:p w:rsidR="00196FBC" w:rsidRPr="00C903F8" w:rsidRDefault="00196FBC" w:rsidP="009C40EF">
            <w:pPr>
              <w:spacing w:before="120" w:after="120" w:line="240" w:lineRule="atLeast"/>
              <w:ind w:left="0" w:firstLine="0"/>
              <w:jc w:val="left"/>
              <w:rPr>
                <w:rFonts w:cs="Arial"/>
                <w:sz w:val="18"/>
                <w:szCs w:val="18"/>
              </w:rPr>
            </w:pPr>
            <w:r>
              <w:rPr>
                <w:sz w:val="18"/>
              </w:rPr>
              <w:t>6.02</w:t>
            </w:r>
          </w:p>
        </w:tc>
        <w:tc>
          <w:tcPr>
            <w:tcW w:w="1458" w:type="dxa"/>
            <w:vMerge w:val="restart"/>
            <w:shd w:val="clear" w:color="auto" w:fill="auto"/>
          </w:tcPr>
          <w:p w:rsidR="00196FBC" w:rsidRPr="00C903F8" w:rsidRDefault="00196FBC" w:rsidP="00740370">
            <w:pPr>
              <w:spacing w:before="120" w:after="120" w:line="240" w:lineRule="atLeast"/>
              <w:ind w:left="0" w:firstLine="0"/>
              <w:rPr>
                <w:rFonts w:cs="Arial"/>
                <w:sz w:val="18"/>
                <w:szCs w:val="18"/>
              </w:rPr>
            </w:pPr>
            <w:r>
              <w:rPr>
                <w:sz w:val="18"/>
              </w:rPr>
              <w:t>paragrafo 1</w:t>
            </w:r>
          </w:p>
        </w:tc>
        <w:tc>
          <w:tcPr>
            <w:tcW w:w="3296" w:type="dxa"/>
            <w:shd w:val="clear" w:color="auto" w:fill="auto"/>
          </w:tcPr>
          <w:p w:rsidR="00196FBC" w:rsidRPr="00C903F8" w:rsidRDefault="00196FBC" w:rsidP="00740370">
            <w:pPr>
              <w:spacing w:before="120" w:after="120"/>
              <w:ind w:left="0" w:firstLine="0"/>
              <w:rPr>
                <w:rFonts w:cs="Arial"/>
                <w:sz w:val="18"/>
                <w:szCs w:val="18"/>
              </w:rPr>
            </w:pPr>
            <w:r>
              <w:rPr>
                <w:sz w:val="18"/>
              </w:rPr>
              <w:t xml:space="preserve">Presenza di serbatoi idraulici separati </w:t>
            </w:r>
          </w:p>
        </w:tc>
        <w:tc>
          <w:tcPr>
            <w:tcW w:w="6521" w:type="dxa"/>
            <w:shd w:val="clear" w:color="auto" w:fill="auto"/>
          </w:tcPr>
          <w:p w:rsidR="00196FBC" w:rsidRPr="00C903F8" w:rsidRDefault="008761D9" w:rsidP="0074037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740370">
            <w:pPr>
              <w:spacing w:before="120" w:after="120" w:line="240" w:lineRule="atLeast"/>
              <w:ind w:left="0" w:firstLine="0"/>
              <w:rPr>
                <w:rFonts w:cs="Arial"/>
                <w:sz w:val="18"/>
                <w:szCs w:val="18"/>
              </w:rPr>
            </w:pPr>
            <w:r>
              <w:rPr>
                <w:sz w:val="18"/>
              </w:rPr>
              <w:t>1.1.2010</w:t>
            </w:r>
          </w:p>
        </w:tc>
      </w:tr>
      <w:tr w:rsidR="00196FBC" w:rsidRPr="00C903F8" w:rsidTr="00196FBC">
        <w:trPr>
          <w:cantSplit/>
          <w:jc w:val="center"/>
        </w:trPr>
        <w:tc>
          <w:tcPr>
            <w:tcW w:w="1342" w:type="dxa"/>
            <w:vMerge/>
            <w:shd w:val="clear" w:color="auto" w:fill="auto"/>
          </w:tcPr>
          <w:p w:rsidR="00196FBC" w:rsidRPr="00C903F8" w:rsidRDefault="00196FBC" w:rsidP="009C40EF">
            <w:pPr>
              <w:spacing w:before="120" w:after="120" w:line="240" w:lineRule="atLeast"/>
              <w:ind w:left="0" w:firstLine="0"/>
              <w:jc w:val="left"/>
              <w:rPr>
                <w:rFonts w:cs="Arial"/>
                <w:sz w:val="18"/>
                <w:szCs w:val="18"/>
              </w:rPr>
            </w:pPr>
          </w:p>
        </w:tc>
        <w:tc>
          <w:tcPr>
            <w:tcW w:w="1458" w:type="dxa"/>
            <w:vMerge/>
            <w:shd w:val="clear" w:color="auto" w:fill="auto"/>
          </w:tcPr>
          <w:p w:rsidR="00196FBC" w:rsidRPr="00C903F8" w:rsidRDefault="00196FBC" w:rsidP="00740370">
            <w:pPr>
              <w:spacing w:before="120" w:after="120" w:line="240" w:lineRule="atLeast"/>
              <w:ind w:left="0" w:firstLine="0"/>
              <w:rPr>
                <w:rFonts w:cs="Arial"/>
                <w:sz w:val="18"/>
                <w:szCs w:val="18"/>
              </w:rPr>
            </w:pPr>
          </w:p>
        </w:tc>
        <w:tc>
          <w:tcPr>
            <w:tcW w:w="3296" w:type="dxa"/>
            <w:shd w:val="clear" w:color="auto" w:fill="auto"/>
          </w:tcPr>
          <w:p w:rsidR="00196FBC" w:rsidRPr="00C903F8" w:rsidRDefault="00196FBC" w:rsidP="00740370">
            <w:pPr>
              <w:spacing w:before="120" w:after="120" w:line="240" w:lineRule="atLeast"/>
              <w:ind w:left="0" w:firstLine="0"/>
              <w:rPr>
                <w:rFonts w:cs="Arial"/>
                <w:sz w:val="18"/>
                <w:szCs w:val="18"/>
              </w:rPr>
            </w:pPr>
            <w:r>
              <w:rPr>
                <w:sz w:val="18"/>
              </w:rPr>
              <w:t>Raddoppio della valvole di manovra in caso di dispositivo di azionamento idraulico</w:t>
            </w:r>
          </w:p>
        </w:tc>
        <w:tc>
          <w:tcPr>
            <w:tcW w:w="6521" w:type="dxa"/>
            <w:shd w:val="clear" w:color="auto" w:fill="auto"/>
          </w:tcPr>
          <w:p w:rsidR="00196FBC" w:rsidRPr="00C903F8" w:rsidRDefault="008761D9" w:rsidP="0074037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740370">
            <w:pPr>
              <w:spacing w:before="120" w:after="120" w:line="240" w:lineRule="atLeast"/>
              <w:ind w:left="0" w:firstLine="0"/>
              <w:rPr>
                <w:rFonts w:cs="Arial"/>
                <w:sz w:val="18"/>
                <w:szCs w:val="18"/>
              </w:rPr>
            </w:pPr>
            <w:r>
              <w:rPr>
                <w:sz w:val="18"/>
              </w:rPr>
              <w:t>1.1.2020</w:t>
            </w:r>
          </w:p>
        </w:tc>
      </w:tr>
      <w:tr w:rsidR="00196FBC" w:rsidRPr="00C903F8" w:rsidTr="00196FBC">
        <w:trPr>
          <w:cantSplit/>
          <w:jc w:val="center"/>
        </w:trPr>
        <w:tc>
          <w:tcPr>
            <w:tcW w:w="1342" w:type="dxa"/>
            <w:vMerge/>
            <w:shd w:val="clear" w:color="auto" w:fill="auto"/>
          </w:tcPr>
          <w:p w:rsidR="00196FBC" w:rsidRPr="00C903F8" w:rsidRDefault="00196FBC" w:rsidP="009C40EF">
            <w:pPr>
              <w:spacing w:before="120" w:after="120" w:line="240" w:lineRule="atLeast"/>
              <w:ind w:left="0" w:firstLine="0"/>
              <w:jc w:val="left"/>
              <w:rPr>
                <w:rFonts w:cs="Arial"/>
                <w:sz w:val="18"/>
                <w:szCs w:val="18"/>
              </w:rPr>
            </w:pPr>
          </w:p>
        </w:tc>
        <w:tc>
          <w:tcPr>
            <w:tcW w:w="1458" w:type="dxa"/>
            <w:vMerge/>
            <w:shd w:val="clear" w:color="auto" w:fill="auto"/>
          </w:tcPr>
          <w:p w:rsidR="00196FBC" w:rsidRPr="00C903F8" w:rsidRDefault="00196FBC" w:rsidP="00740370">
            <w:pPr>
              <w:spacing w:before="120" w:after="120" w:line="240" w:lineRule="atLeast"/>
              <w:ind w:left="0" w:firstLine="0"/>
              <w:rPr>
                <w:rFonts w:cs="Arial"/>
                <w:sz w:val="18"/>
                <w:szCs w:val="18"/>
              </w:rPr>
            </w:pPr>
          </w:p>
        </w:tc>
        <w:tc>
          <w:tcPr>
            <w:tcW w:w="3296" w:type="dxa"/>
            <w:shd w:val="clear" w:color="auto" w:fill="auto"/>
          </w:tcPr>
          <w:p w:rsidR="00196FBC" w:rsidRPr="00C903F8" w:rsidRDefault="00196FBC" w:rsidP="00740370">
            <w:pPr>
              <w:tabs>
                <w:tab w:val="left" w:pos="1125"/>
              </w:tabs>
              <w:spacing w:before="120" w:after="120" w:line="240" w:lineRule="atLeast"/>
              <w:ind w:left="0" w:firstLine="0"/>
              <w:rPr>
                <w:rFonts w:cs="Arial"/>
                <w:sz w:val="18"/>
                <w:szCs w:val="18"/>
              </w:rPr>
            </w:pPr>
            <w:r>
              <w:rPr>
                <w:sz w:val="18"/>
              </w:rPr>
              <w:t>Condutture separate per il secondo dispositivo di azionamento in caso di dispositivi di azionamento idraulici</w:t>
            </w:r>
          </w:p>
        </w:tc>
        <w:tc>
          <w:tcPr>
            <w:tcW w:w="6521" w:type="dxa"/>
            <w:shd w:val="clear" w:color="auto" w:fill="auto"/>
          </w:tcPr>
          <w:p w:rsidR="00196FBC" w:rsidRPr="00C903F8" w:rsidRDefault="008761D9" w:rsidP="0074037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740370">
            <w:pPr>
              <w:spacing w:before="120" w:after="120" w:line="240" w:lineRule="atLeast"/>
              <w:ind w:left="0" w:firstLine="0"/>
              <w:rPr>
                <w:rFonts w:cs="Arial"/>
                <w:sz w:val="18"/>
                <w:szCs w:val="18"/>
              </w:rPr>
            </w:pPr>
            <w:r>
              <w:rPr>
                <w:sz w:val="18"/>
              </w:rPr>
              <w:t>1.1.2020</w:t>
            </w:r>
          </w:p>
        </w:tc>
      </w:tr>
      <w:tr w:rsidR="00196FBC" w:rsidRPr="00C903F8" w:rsidTr="00196FBC">
        <w:trPr>
          <w:cantSplit/>
          <w:jc w:val="center"/>
        </w:trPr>
        <w:tc>
          <w:tcPr>
            <w:tcW w:w="1342" w:type="dxa"/>
            <w:vMerge/>
            <w:shd w:val="clear" w:color="auto" w:fill="auto"/>
          </w:tcPr>
          <w:p w:rsidR="00196FBC" w:rsidRPr="00C903F8" w:rsidRDefault="00196FBC" w:rsidP="009C40EF">
            <w:pPr>
              <w:spacing w:before="120" w:after="120" w:line="240" w:lineRule="atLeast"/>
              <w:ind w:left="0" w:firstLine="0"/>
              <w:jc w:val="left"/>
              <w:rPr>
                <w:rFonts w:cs="Arial"/>
                <w:sz w:val="18"/>
                <w:szCs w:val="18"/>
              </w:rPr>
            </w:pPr>
          </w:p>
        </w:tc>
        <w:tc>
          <w:tcPr>
            <w:tcW w:w="1458" w:type="dxa"/>
            <w:shd w:val="clear" w:color="auto" w:fill="auto"/>
          </w:tcPr>
          <w:p w:rsidR="00196FBC" w:rsidRPr="00C903F8" w:rsidRDefault="00196FBC" w:rsidP="00740370">
            <w:pPr>
              <w:spacing w:before="120" w:after="120" w:line="240" w:lineRule="atLeast"/>
              <w:ind w:left="0" w:firstLine="0"/>
              <w:rPr>
                <w:rFonts w:cs="Arial"/>
                <w:sz w:val="18"/>
                <w:szCs w:val="18"/>
              </w:rPr>
            </w:pPr>
            <w:r>
              <w:rPr>
                <w:sz w:val="18"/>
              </w:rPr>
              <w:t>paragrafo 2</w:t>
            </w:r>
          </w:p>
        </w:tc>
        <w:tc>
          <w:tcPr>
            <w:tcW w:w="3296" w:type="dxa"/>
            <w:shd w:val="clear" w:color="auto" w:fill="auto"/>
          </w:tcPr>
          <w:p w:rsidR="00196FBC" w:rsidRPr="00C903F8" w:rsidRDefault="00196FBC" w:rsidP="00740370">
            <w:pPr>
              <w:spacing w:before="120" w:after="120" w:line="240" w:lineRule="atLeast"/>
              <w:ind w:left="0" w:firstLine="0"/>
              <w:rPr>
                <w:rFonts w:cs="Arial"/>
                <w:sz w:val="18"/>
                <w:szCs w:val="18"/>
              </w:rPr>
            </w:pPr>
            <w:r>
              <w:rPr>
                <w:sz w:val="18"/>
              </w:rPr>
              <w:t>Condutture separate per il secondo dispositivo di azionamento in caso di dispositivi di azionamento idraulici</w:t>
            </w:r>
          </w:p>
        </w:tc>
        <w:tc>
          <w:tcPr>
            <w:tcW w:w="6521" w:type="dxa"/>
            <w:shd w:val="clear" w:color="auto" w:fill="auto"/>
          </w:tcPr>
          <w:p w:rsidR="00196FBC" w:rsidRPr="00C903F8" w:rsidRDefault="008761D9" w:rsidP="0074037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740370">
            <w:pPr>
              <w:spacing w:before="120" w:after="120" w:line="240" w:lineRule="atLeast"/>
              <w:ind w:left="0" w:firstLine="0"/>
              <w:rPr>
                <w:rFonts w:cs="Arial"/>
                <w:sz w:val="18"/>
                <w:szCs w:val="18"/>
              </w:rPr>
            </w:pPr>
            <w:r>
              <w:rPr>
                <w:sz w:val="18"/>
              </w:rPr>
              <w:t>1.1.2010</w:t>
            </w:r>
          </w:p>
        </w:tc>
      </w:tr>
      <w:tr w:rsidR="00196FBC" w:rsidRPr="00C903F8" w:rsidTr="00196FBC">
        <w:trPr>
          <w:cantSplit/>
          <w:jc w:val="center"/>
        </w:trPr>
        <w:tc>
          <w:tcPr>
            <w:tcW w:w="1342" w:type="dxa"/>
            <w:vMerge/>
            <w:shd w:val="clear" w:color="auto" w:fill="auto"/>
          </w:tcPr>
          <w:p w:rsidR="00196FBC" w:rsidRPr="00C903F8" w:rsidRDefault="00196FBC" w:rsidP="009C40EF">
            <w:pPr>
              <w:spacing w:before="120" w:after="120" w:line="240" w:lineRule="atLeast"/>
              <w:ind w:left="0" w:firstLine="0"/>
              <w:jc w:val="left"/>
              <w:rPr>
                <w:rFonts w:cs="Arial"/>
                <w:sz w:val="18"/>
                <w:szCs w:val="18"/>
              </w:rPr>
            </w:pPr>
          </w:p>
        </w:tc>
        <w:tc>
          <w:tcPr>
            <w:tcW w:w="1458" w:type="dxa"/>
            <w:shd w:val="clear" w:color="auto" w:fill="auto"/>
          </w:tcPr>
          <w:p w:rsidR="00196FBC" w:rsidRPr="00C903F8" w:rsidRDefault="00196FBC" w:rsidP="00740370">
            <w:pPr>
              <w:spacing w:before="120" w:after="120" w:line="240" w:lineRule="atLeast"/>
              <w:ind w:left="0" w:firstLine="0"/>
              <w:rPr>
                <w:rFonts w:cs="Arial"/>
                <w:sz w:val="18"/>
                <w:szCs w:val="18"/>
              </w:rPr>
            </w:pPr>
            <w:r>
              <w:rPr>
                <w:sz w:val="18"/>
              </w:rPr>
              <w:t>paragrafo 3</w:t>
            </w:r>
          </w:p>
        </w:tc>
        <w:tc>
          <w:tcPr>
            <w:tcW w:w="3296" w:type="dxa"/>
            <w:shd w:val="clear" w:color="auto" w:fill="auto"/>
          </w:tcPr>
          <w:p w:rsidR="00196FBC" w:rsidRPr="00C903F8" w:rsidRDefault="00196FBC" w:rsidP="00740370">
            <w:pPr>
              <w:spacing w:before="120" w:after="120" w:line="240" w:lineRule="atLeast"/>
              <w:ind w:left="0" w:firstLine="0"/>
              <w:rPr>
                <w:rFonts w:cs="Arial"/>
                <w:sz w:val="18"/>
                <w:szCs w:val="18"/>
              </w:rPr>
            </w:pPr>
            <w:r>
              <w:rPr>
                <w:sz w:val="18"/>
              </w:rPr>
              <w:t>Manovrabilità prescritta dal capo 5 garantita dal dispositivo di azionamento ausiliario o dall'azionamento manuale</w:t>
            </w:r>
          </w:p>
        </w:tc>
        <w:tc>
          <w:tcPr>
            <w:tcW w:w="6521" w:type="dxa"/>
            <w:shd w:val="clear" w:color="auto" w:fill="auto"/>
          </w:tcPr>
          <w:p w:rsidR="00196FBC" w:rsidRPr="00C903F8" w:rsidRDefault="008761D9" w:rsidP="0074037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740370">
            <w:pPr>
              <w:spacing w:before="120" w:after="120" w:line="240" w:lineRule="atLeast"/>
              <w:ind w:left="0" w:firstLine="0"/>
              <w:rPr>
                <w:rFonts w:cs="Arial"/>
                <w:sz w:val="18"/>
                <w:szCs w:val="18"/>
              </w:rPr>
            </w:pPr>
            <w:r>
              <w:rPr>
                <w:sz w:val="18"/>
              </w:rPr>
              <w:t>1.1.2035</w:t>
            </w:r>
          </w:p>
        </w:tc>
      </w:tr>
      <w:tr w:rsidR="00196FBC" w:rsidRPr="00C903F8" w:rsidTr="00196FBC">
        <w:trPr>
          <w:cantSplit/>
          <w:jc w:val="center"/>
        </w:trPr>
        <w:tc>
          <w:tcPr>
            <w:tcW w:w="1342" w:type="dxa"/>
            <w:shd w:val="clear" w:color="auto" w:fill="auto"/>
          </w:tcPr>
          <w:p w:rsidR="00196FBC" w:rsidRPr="00C903F8" w:rsidRDefault="00196FBC" w:rsidP="009C40EF">
            <w:pPr>
              <w:spacing w:before="120" w:after="120" w:line="240" w:lineRule="atLeast"/>
              <w:ind w:left="0" w:firstLine="0"/>
              <w:jc w:val="left"/>
              <w:rPr>
                <w:rFonts w:cs="Arial"/>
                <w:sz w:val="18"/>
                <w:szCs w:val="18"/>
              </w:rPr>
            </w:pPr>
            <w:r>
              <w:rPr>
                <w:sz w:val="18"/>
              </w:rPr>
              <w:lastRenderedPageBreak/>
              <w:t>6.03</w:t>
            </w:r>
          </w:p>
        </w:tc>
        <w:tc>
          <w:tcPr>
            <w:tcW w:w="1458" w:type="dxa"/>
            <w:shd w:val="clear" w:color="auto" w:fill="auto"/>
          </w:tcPr>
          <w:p w:rsidR="00196FBC" w:rsidRPr="00C903F8" w:rsidRDefault="00196FBC" w:rsidP="00740370">
            <w:pPr>
              <w:spacing w:before="120" w:after="120" w:line="240" w:lineRule="atLeast"/>
              <w:ind w:left="0" w:firstLine="0"/>
              <w:rPr>
                <w:rFonts w:cs="Arial"/>
                <w:sz w:val="18"/>
                <w:szCs w:val="18"/>
              </w:rPr>
            </w:pPr>
            <w:r>
              <w:rPr>
                <w:sz w:val="18"/>
              </w:rPr>
              <w:t>paragrafo 1</w:t>
            </w:r>
          </w:p>
        </w:tc>
        <w:tc>
          <w:tcPr>
            <w:tcW w:w="3296" w:type="dxa"/>
            <w:shd w:val="clear" w:color="auto" w:fill="auto"/>
          </w:tcPr>
          <w:p w:rsidR="00196FBC" w:rsidRPr="00C903F8" w:rsidRDefault="00196FBC" w:rsidP="00740370">
            <w:pPr>
              <w:spacing w:before="120" w:after="120" w:line="240" w:lineRule="atLeast"/>
              <w:ind w:left="0" w:firstLine="0"/>
              <w:rPr>
                <w:rFonts w:cs="Arial"/>
                <w:sz w:val="18"/>
                <w:szCs w:val="18"/>
              </w:rPr>
            </w:pPr>
            <w:r>
              <w:rPr>
                <w:sz w:val="18"/>
              </w:rPr>
              <w:t>Collegamento del dispositivo di azionamento del mezzo di governo ad altre utenze.</w:t>
            </w:r>
          </w:p>
        </w:tc>
        <w:tc>
          <w:tcPr>
            <w:tcW w:w="6521" w:type="dxa"/>
            <w:shd w:val="clear" w:color="auto" w:fill="auto"/>
          </w:tcPr>
          <w:p w:rsidR="00196FBC" w:rsidRPr="00C903F8" w:rsidRDefault="008761D9" w:rsidP="0074037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740370">
            <w:pPr>
              <w:spacing w:before="120" w:after="120" w:line="240" w:lineRule="atLeast"/>
              <w:ind w:left="0" w:firstLine="0"/>
              <w:rPr>
                <w:rFonts w:cs="Arial"/>
                <w:sz w:val="18"/>
                <w:szCs w:val="18"/>
              </w:rPr>
            </w:pPr>
            <w:r>
              <w:rPr>
                <w:sz w:val="18"/>
              </w:rPr>
              <w:t>1.1.2010</w:t>
            </w:r>
          </w:p>
        </w:tc>
      </w:tr>
      <w:tr w:rsidR="00196FBC" w:rsidRPr="00C903F8" w:rsidTr="00196FBC">
        <w:trPr>
          <w:cantSplit/>
          <w:jc w:val="center"/>
        </w:trPr>
        <w:tc>
          <w:tcPr>
            <w:tcW w:w="1342" w:type="dxa"/>
            <w:shd w:val="clear" w:color="auto" w:fill="auto"/>
          </w:tcPr>
          <w:p w:rsidR="00196FBC" w:rsidRPr="00C903F8" w:rsidRDefault="00196FBC" w:rsidP="009C40EF">
            <w:pPr>
              <w:spacing w:before="120" w:after="120" w:line="240" w:lineRule="atLeast"/>
              <w:ind w:left="0" w:firstLine="0"/>
              <w:jc w:val="left"/>
              <w:rPr>
                <w:rFonts w:cs="Arial"/>
                <w:sz w:val="18"/>
                <w:szCs w:val="18"/>
              </w:rPr>
            </w:pPr>
            <w:r>
              <w:rPr>
                <w:sz w:val="18"/>
              </w:rPr>
              <w:t>6.05</w:t>
            </w:r>
          </w:p>
        </w:tc>
        <w:tc>
          <w:tcPr>
            <w:tcW w:w="1458" w:type="dxa"/>
            <w:shd w:val="clear" w:color="auto" w:fill="auto"/>
          </w:tcPr>
          <w:p w:rsidR="00196FBC" w:rsidRPr="00C903F8" w:rsidRDefault="00196FBC" w:rsidP="00740370">
            <w:pPr>
              <w:spacing w:before="120" w:after="120" w:line="240" w:lineRule="atLeast"/>
              <w:ind w:left="0" w:firstLine="0"/>
              <w:rPr>
                <w:rFonts w:cs="Arial"/>
                <w:sz w:val="18"/>
                <w:szCs w:val="18"/>
              </w:rPr>
            </w:pPr>
            <w:r>
              <w:rPr>
                <w:sz w:val="18"/>
              </w:rPr>
              <w:t>paragrafo 1</w:t>
            </w:r>
          </w:p>
        </w:tc>
        <w:tc>
          <w:tcPr>
            <w:tcW w:w="3296" w:type="dxa"/>
            <w:shd w:val="clear" w:color="auto" w:fill="auto"/>
          </w:tcPr>
          <w:p w:rsidR="00196FBC" w:rsidRPr="00C903F8" w:rsidRDefault="00196FBC" w:rsidP="00740370">
            <w:pPr>
              <w:spacing w:before="120" w:after="120" w:line="240" w:lineRule="atLeast"/>
              <w:ind w:left="0" w:firstLine="0"/>
              <w:rPr>
                <w:rFonts w:cs="Arial"/>
                <w:sz w:val="18"/>
                <w:szCs w:val="18"/>
              </w:rPr>
            </w:pPr>
            <w:r>
              <w:rPr>
                <w:sz w:val="18"/>
              </w:rPr>
              <w:t>Disattivazione automatica del dispositivo di azionamento manuale</w:t>
            </w:r>
          </w:p>
        </w:tc>
        <w:tc>
          <w:tcPr>
            <w:tcW w:w="6521" w:type="dxa"/>
            <w:shd w:val="clear" w:color="auto" w:fill="auto"/>
          </w:tcPr>
          <w:p w:rsidR="00196FBC" w:rsidRPr="00C903F8" w:rsidRDefault="008761D9" w:rsidP="0074037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740370">
            <w:pPr>
              <w:spacing w:before="120" w:after="120" w:line="240" w:lineRule="atLeast"/>
              <w:ind w:left="0" w:firstLine="0"/>
              <w:rPr>
                <w:rFonts w:cs="Arial"/>
                <w:sz w:val="18"/>
                <w:szCs w:val="18"/>
              </w:rPr>
            </w:pPr>
            <w:r>
              <w:rPr>
                <w:sz w:val="18"/>
              </w:rPr>
              <w:t>1.1.2010</w:t>
            </w:r>
          </w:p>
        </w:tc>
      </w:tr>
      <w:tr w:rsidR="00196FBC" w:rsidRPr="00C903F8" w:rsidTr="00196FBC">
        <w:trPr>
          <w:cantSplit/>
          <w:jc w:val="center"/>
        </w:trPr>
        <w:tc>
          <w:tcPr>
            <w:tcW w:w="1342" w:type="dxa"/>
            <w:shd w:val="clear" w:color="auto" w:fill="auto"/>
          </w:tcPr>
          <w:p w:rsidR="00196FBC" w:rsidRPr="00C903F8" w:rsidRDefault="00196FBC" w:rsidP="009C40EF">
            <w:pPr>
              <w:spacing w:before="140" w:after="140" w:line="240" w:lineRule="atLeast"/>
              <w:ind w:left="0" w:firstLine="0"/>
              <w:jc w:val="left"/>
              <w:rPr>
                <w:rFonts w:cs="Arial"/>
                <w:sz w:val="18"/>
                <w:szCs w:val="18"/>
              </w:rPr>
            </w:pPr>
            <w:r>
              <w:rPr>
                <w:sz w:val="18"/>
              </w:rPr>
              <w:t>6.06</w:t>
            </w:r>
          </w:p>
        </w:tc>
        <w:tc>
          <w:tcPr>
            <w:tcW w:w="1458" w:type="dxa"/>
            <w:shd w:val="clear" w:color="auto" w:fill="auto"/>
          </w:tcPr>
          <w:p w:rsidR="00196FBC" w:rsidRPr="00C903F8" w:rsidRDefault="00196FBC" w:rsidP="00BB7B04">
            <w:pPr>
              <w:spacing w:before="140" w:after="140" w:line="240" w:lineRule="atLeast"/>
              <w:ind w:left="0" w:firstLine="0"/>
              <w:rPr>
                <w:rFonts w:cs="Arial"/>
                <w:sz w:val="18"/>
                <w:szCs w:val="18"/>
              </w:rPr>
            </w:pPr>
            <w:r>
              <w:rPr>
                <w:sz w:val="18"/>
              </w:rPr>
              <w:t>paragrafo 1</w:t>
            </w:r>
          </w:p>
        </w:tc>
        <w:tc>
          <w:tcPr>
            <w:tcW w:w="3296" w:type="dxa"/>
            <w:shd w:val="clear" w:color="auto" w:fill="auto"/>
          </w:tcPr>
          <w:p w:rsidR="00196FBC" w:rsidRPr="00C903F8" w:rsidRDefault="00196FBC" w:rsidP="00BB7B04">
            <w:pPr>
              <w:spacing w:before="140" w:after="140" w:line="240" w:lineRule="atLeast"/>
              <w:ind w:left="0" w:firstLine="0"/>
              <w:rPr>
                <w:rFonts w:cs="Arial"/>
                <w:sz w:val="18"/>
                <w:szCs w:val="18"/>
              </w:rPr>
            </w:pPr>
            <w:r>
              <w:rPr>
                <w:noProof/>
                <w:sz w:val="18"/>
              </w:rPr>
              <w:t>Due comandi di governo indipendenti</w:t>
            </w:r>
          </w:p>
        </w:tc>
        <w:tc>
          <w:tcPr>
            <w:tcW w:w="6521" w:type="dxa"/>
            <w:shd w:val="clear" w:color="auto" w:fill="auto"/>
          </w:tcPr>
          <w:p w:rsidR="00196FBC" w:rsidRPr="00C903F8" w:rsidRDefault="008761D9" w:rsidP="00BB7B04">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BB7B04">
            <w:pPr>
              <w:spacing w:before="140" w:after="140" w:line="240" w:lineRule="atLeast"/>
              <w:ind w:left="0" w:firstLine="0"/>
              <w:rPr>
                <w:rFonts w:cs="Arial"/>
                <w:sz w:val="18"/>
                <w:szCs w:val="18"/>
              </w:rPr>
            </w:pPr>
            <w:r>
              <w:rPr>
                <w:sz w:val="18"/>
              </w:rPr>
              <w:t>1.1.2015</w:t>
            </w:r>
          </w:p>
        </w:tc>
      </w:tr>
      <w:tr w:rsidR="00196FBC" w:rsidRPr="00C903F8" w:rsidTr="00196FBC">
        <w:trPr>
          <w:cantSplit/>
          <w:jc w:val="center"/>
        </w:trPr>
        <w:tc>
          <w:tcPr>
            <w:tcW w:w="1342" w:type="dxa"/>
            <w:shd w:val="clear" w:color="auto" w:fill="auto"/>
          </w:tcPr>
          <w:p w:rsidR="00196FBC" w:rsidRPr="00C903F8" w:rsidRDefault="00196FBC" w:rsidP="009C40EF">
            <w:pPr>
              <w:spacing w:before="120" w:after="120" w:line="240" w:lineRule="atLeast"/>
              <w:ind w:left="0" w:firstLine="0"/>
              <w:jc w:val="left"/>
              <w:rPr>
                <w:rFonts w:cs="Arial"/>
                <w:sz w:val="18"/>
                <w:szCs w:val="18"/>
              </w:rPr>
            </w:pPr>
            <w:r>
              <w:rPr>
                <w:sz w:val="18"/>
              </w:rPr>
              <w:t>6.07</w:t>
            </w:r>
          </w:p>
        </w:tc>
        <w:tc>
          <w:tcPr>
            <w:tcW w:w="1458" w:type="dxa"/>
            <w:shd w:val="clear" w:color="auto" w:fill="auto"/>
          </w:tcPr>
          <w:p w:rsidR="00196FBC" w:rsidRPr="00C903F8" w:rsidRDefault="009C40EF" w:rsidP="00BB7B04">
            <w:pPr>
              <w:spacing w:before="120" w:after="120" w:line="240" w:lineRule="atLeast"/>
              <w:ind w:left="0" w:firstLine="0"/>
              <w:rPr>
                <w:rFonts w:cs="Arial"/>
                <w:sz w:val="18"/>
                <w:szCs w:val="18"/>
              </w:rPr>
            </w:pPr>
            <w:r>
              <w:rPr>
                <w:sz w:val="18"/>
              </w:rPr>
              <w:t>paragrafo 2, lettera a)</w:t>
            </w:r>
          </w:p>
        </w:tc>
        <w:tc>
          <w:tcPr>
            <w:tcW w:w="3296" w:type="dxa"/>
            <w:shd w:val="clear" w:color="auto" w:fill="auto"/>
          </w:tcPr>
          <w:p w:rsidR="00196FBC" w:rsidRPr="00C903F8" w:rsidRDefault="00196FBC" w:rsidP="00BB7B04">
            <w:pPr>
              <w:tabs>
                <w:tab w:val="left" w:pos="1080"/>
              </w:tabs>
              <w:spacing w:before="120" w:after="120" w:line="240" w:lineRule="atLeast"/>
              <w:ind w:left="0" w:firstLine="0"/>
              <w:rPr>
                <w:rFonts w:cs="Arial"/>
                <w:sz w:val="18"/>
                <w:szCs w:val="18"/>
              </w:rPr>
            </w:pPr>
            <w:r>
              <w:rPr>
                <w:sz w:val="18"/>
              </w:rPr>
              <w:t>Allarme di livello dei serbatoi idraulici e allarme di pressione di servizio</w:t>
            </w:r>
          </w:p>
        </w:tc>
        <w:tc>
          <w:tcPr>
            <w:tcW w:w="6521" w:type="dxa"/>
            <w:shd w:val="clear" w:color="auto" w:fill="auto"/>
          </w:tcPr>
          <w:p w:rsidR="00196FBC" w:rsidRPr="00C903F8" w:rsidRDefault="008761D9" w:rsidP="00BB7B0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BB7B04">
            <w:pPr>
              <w:spacing w:before="120" w:after="120" w:line="240" w:lineRule="atLeast"/>
              <w:ind w:left="0" w:firstLine="0"/>
              <w:rPr>
                <w:rFonts w:cs="Arial"/>
                <w:sz w:val="18"/>
                <w:szCs w:val="18"/>
              </w:rPr>
            </w:pPr>
            <w:r>
              <w:rPr>
                <w:sz w:val="18"/>
              </w:rPr>
              <w:t>1.1.2010</w:t>
            </w:r>
          </w:p>
        </w:tc>
      </w:tr>
      <w:tr w:rsidR="00196FBC" w:rsidRPr="00C903F8" w:rsidTr="00196FBC">
        <w:trPr>
          <w:cantSplit/>
          <w:jc w:val="center"/>
        </w:trPr>
        <w:tc>
          <w:tcPr>
            <w:tcW w:w="1342" w:type="dxa"/>
            <w:shd w:val="clear" w:color="auto" w:fill="auto"/>
          </w:tcPr>
          <w:p w:rsidR="00196FBC" w:rsidRPr="00C903F8" w:rsidRDefault="00196FBC" w:rsidP="009C40EF">
            <w:pPr>
              <w:spacing w:before="120" w:after="120" w:line="240" w:lineRule="atLeast"/>
              <w:ind w:left="0" w:firstLine="0"/>
              <w:jc w:val="left"/>
              <w:rPr>
                <w:rFonts w:cs="Arial"/>
                <w:sz w:val="18"/>
                <w:szCs w:val="18"/>
              </w:rPr>
            </w:pPr>
            <w:r>
              <w:rPr>
                <w:sz w:val="18"/>
              </w:rPr>
              <w:t>6.08</w:t>
            </w:r>
          </w:p>
        </w:tc>
        <w:tc>
          <w:tcPr>
            <w:tcW w:w="1458" w:type="dxa"/>
            <w:shd w:val="clear" w:color="auto" w:fill="auto"/>
          </w:tcPr>
          <w:p w:rsidR="00196FBC" w:rsidRPr="00C903F8" w:rsidRDefault="00196FBC" w:rsidP="00BB7B04">
            <w:pPr>
              <w:spacing w:before="120" w:after="120" w:line="240" w:lineRule="atLeast"/>
              <w:ind w:left="0" w:firstLine="0"/>
              <w:rPr>
                <w:rFonts w:cs="Arial"/>
                <w:sz w:val="18"/>
                <w:szCs w:val="18"/>
              </w:rPr>
            </w:pPr>
            <w:r>
              <w:rPr>
                <w:sz w:val="18"/>
              </w:rPr>
              <w:t>paragrafo 1</w:t>
            </w:r>
          </w:p>
        </w:tc>
        <w:tc>
          <w:tcPr>
            <w:tcW w:w="3296" w:type="dxa"/>
            <w:shd w:val="clear" w:color="auto" w:fill="auto"/>
          </w:tcPr>
          <w:p w:rsidR="00196FBC" w:rsidRPr="00C903F8" w:rsidRDefault="00196FBC" w:rsidP="00BB7B04">
            <w:pPr>
              <w:spacing w:before="120" w:after="120" w:line="240" w:lineRule="atLeast"/>
              <w:ind w:left="0" w:firstLine="0"/>
              <w:rPr>
                <w:rFonts w:cs="Arial"/>
                <w:sz w:val="18"/>
                <w:szCs w:val="18"/>
              </w:rPr>
            </w:pPr>
            <w:r>
              <w:rPr>
                <w:sz w:val="18"/>
              </w:rPr>
              <w:t>Requisiti per impianti elettrici di cui all'articolo 10.20</w:t>
            </w:r>
          </w:p>
        </w:tc>
        <w:tc>
          <w:tcPr>
            <w:tcW w:w="6521" w:type="dxa"/>
            <w:shd w:val="clear" w:color="auto" w:fill="auto"/>
          </w:tcPr>
          <w:p w:rsidR="00196FBC" w:rsidRPr="00C903F8" w:rsidRDefault="008761D9" w:rsidP="00BB7B0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BB7B04">
            <w:pPr>
              <w:spacing w:before="120" w:after="120" w:line="240" w:lineRule="atLeast"/>
              <w:ind w:left="0" w:firstLine="0"/>
              <w:rPr>
                <w:rFonts w:cs="Arial"/>
                <w:sz w:val="18"/>
                <w:szCs w:val="18"/>
              </w:rPr>
            </w:pPr>
            <w:r>
              <w:rPr>
                <w:sz w:val="18"/>
              </w:rPr>
              <w:t>1.1.2015</w:t>
            </w:r>
          </w:p>
        </w:tc>
      </w:tr>
      <w:tr w:rsidR="00196FBC" w:rsidRPr="00C903F8" w:rsidTr="00196FBC">
        <w:trPr>
          <w:cantSplit/>
          <w:jc w:val="center"/>
        </w:trPr>
        <w:tc>
          <w:tcPr>
            <w:tcW w:w="6096" w:type="dxa"/>
            <w:gridSpan w:val="3"/>
            <w:shd w:val="clear" w:color="auto" w:fill="auto"/>
          </w:tcPr>
          <w:p w:rsidR="00196FBC" w:rsidRPr="00C903F8" w:rsidRDefault="00196FBC" w:rsidP="00BB7B04">
            <w:pPr>
              <w:spacing w:before="120" w:after="120" w:line="240" w:lineRule="atLeast"/>
              <w:ind w:left="0" w:firstLine="0"/>
              <w:jc w:val="center"/>
              <w:rPr>
                <w:rFonts w:cs="Arial"/>
                <w:sz w:val="18"/>
                <w:szCs w:val="18"/>
              </w:rPr>
            </w:pPr>
            <w:r>
              <w:rPr>
                <w:b/>
                <w:sz w:val="18"/>
              </w:rPr>
              <w:t>CAPO 7</w:t>
            </w:r>
          </w:p>
        </w:tc>
        <w:tc>
          <w:tcPr>
            <w:tcW w:w="6521" w:type="dxa"/>
            <w:shd w:val="clear" w:color="auto" w:fill="auto"/>
          </w:tcPr>
          <w:p w:rsidR="00196FBC" w:rsidRPr="00C903F8" w:rsidRDefault="00196FBC" w:rsidP="00BB7B04">
            <w:pPr>
              <w:spacing w:before="120" w:after="120" w:line="240" w:lineRule="atLeast"/>
              <w:ind w:left="0" w:firstLine="0"/>
              <w:rPr>
                <w:rFonts w:cs="Arial"/>
                <w:sz w:val="18"/>
                <w:szCs w:val="18"/>
              </w:rPr>
            </w:pPr>
          </w:p>
        </w:tc>
        <w:tc>
          <w:tcPr>
            <w:tcW w:w="1276" w:type="dxa"/>
            <w:shd w:val="clear" w:color="auto" w:fill="auto"/>
          </w:tcPr>
          <w:p w:rsidR="00196FBC" w:rsidRPr="00C903F8" w:rsidRDefault="00196FBC" w:rsidP="00BB7B04">
            <w:pPr>
              <w:spacing w:before="120" w:after="120" w:line="240" w:lineRule="atLeast"/>
              <w:ind w:left="0" w:firstLine="0"/>
              <w:rPr>
                <w:rFonts w:cs="Arial"/>
                <w:sz w:val="18"/>
                <w:szCs w:val="18"/>
              </w:rPr>
            </w:pPr>
          </w:p>
        </w:tc>
      </w:tr>
      <w:tr w:rsidR="00196FBC" w:rsidRPr="00C903F8" w:rsidTr="00196FBC">
        <w:trPr>
          <w:cantSplit/>
          <w:jc w:val="center"/>
        </w:trPr>
        <w:tc>
          <w:tcPr>
            <w:tcW w:w="1342" w:type="dxa"/>
            <w:vMerge w:val="restart"/>
            <w:shd w:val="clear" w:color="auto" w:fill="auto"/>
          </w:tcPr>
          <w:p w:rsidR="00196FBC" w:rsidRPr="00C903F8" w:rsidRDefault="00196FBC" w:rsidP="009C40EF">
            <w:pPr>
              <w:spacing w:before="120" w:after="120" w:line="240" w:lineRule="atLeast"/>
              <w:ind w:left="0" w:firstLine="0"/>
              <w:jc w:val="left"/>
              <w:rPr>
                <w:rFonts w:cs="Arial"/>
                <w:sz w:val="18"/>
                <w:szCs w:val="18"/>
              </w:rPr>
            </w:pPr>
            <w:r>
              <w:rPr>
                <w:sz w:val="18"/>
              </w:rPr>
              <w:t>7.02</w:t>
            </w:r>
          </w:p>
        </w:tc>
        <w:tc>
          <w:tcPr>
            <w:tcW w:w="1458" w:type="dxa"/>
            <w:shd w:val="clear" w:color="auto" w:fill="auto"/>
          </w:tcPr>
          <w:p w:rsidR="00196FBC" w:rsidRPr="00C903F8" w:rsidRDefault="00196FBC" w:rsidP="00D321F1">
            <w:pPr>
              <w:spacing w:before="120" w:after="120" w:line="240" w:lineRule="atLeast"/>
              <w:ind w:left="0" w:firstLine="0"/>
              <w:jc w:val="left"/>
              <w:rPr>
                <w:rFonts w:cs="Arial"/>
                <w:sz w:val="18"/>
                <w:szCs w:val="18"/>
              </w:rPr>
            </w:pPr>
            <w:r>
              <w:rPr>
                <w:sz w:val="18"/>
              </w:rPr>
              <w:t>paragrafo 3, secondo comma</w:t>
            </w:r>
          </w:p>
        </w:tc>
        <w:tc>
          <w:tcPr>
            <w:tcW w:w="3296" w:type="dxa"/>
            <w:shd w:val="clear" w:color="auto" w:fill="auto"/>
          </w:tcPr>
          <w:p w:rsidR="00196FBC" w:rsidRPr="00C903F8" w:rsidRDefault="00196FBC" w:rsidP="001E2331">
            <w:pPr>
              <w:spacing w:before="120" w:after="120" w:line="240" w:lineRule="atLeast"/>
              <w:ind w:left="0" w:firstLine="0"/>
              <w:rPr>
                <w:rFonts w:cs="Arial"/>
                <w:sz w:val="18"/>
                <w:szCs w:val="18"/>
              </w:rPr>
            </w:pPr>
            <w:r>
              <w:rPr>
                <w:color w:val="000000"/>
                <w:sz w:val="18"/>
              </w:rPr>
              <w:t>Visuale libera nell'asse normale di visione del timoniere</w:t>
            </w:r>
          </w:p>
        </w:tc>
        <w:tc>
          <w:tcPr>
            <w:tcW w:w="6521" w:type="dxa"/>
            <w:shd w:val="clear" w:color="auto" w:fill="auto"/>
          </w:tcPr>
          <w:p w:rsidR="00196FBC" w:rsidRPr="00C903F8" w:rsidRDefault="008761D9" w:rsidP="001E2331">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1E2331">
            <w:pPr>
              <w:spacing w:before="120" w:after="120" w:line="240" w:lineRule="atLeast"/>
              <w:ind w:left="0" w:firstLine="0"/>
              <w:rPr>
                <w:rFonts w:cs="Arial"/>
                <w:sz w:val="18"/>
                <w:szCs w:val="18"/>
              </w:rPr>
            </w:pPr>
            <w:r>
              <w:rPr>
                <w:sz w:val="18"/>
              </w:rPr>
              <w:t>1.1.2015</w:t>
            </w:r>
          </w:p>
        </w:tc>
      </w:tr>
      <w:tr w:rsidR="00196FBC" w:rsidRPr="00C903F8" w:rsidTr="00196FBC">
        <w:trPr>
          <w:cantSplit/>
          <w:jc w:val="center"/>
        </w:trPr>
        <w:tc>
          <w:tcPr>
            <w:tcW w:w="1342" w:type="dxa"/>
            <w:vMerge/>
            <w:shd w:val="clear" w:color="auto" w:fill="auto"/>
          </w:tcPr>
          <w:p w:rsidR="00196FBC" w:rsidRPr="00C903F8" w:rsidRDefault="00196FBC" w:rsidP="009C40EF">
            <w:pPr>
              <w:spacing w:before="120" w:after="120" w:line="240" w:lineRule="atLeast"/>
              <w:ind w:left="0" w:firstLine="0"/>
              <w:jc w:val="left"/>
              <w:rPr>
                <w:rFonts w:cs="Arial"/>
                <w:sz w:val="18"/>
                <w:szCs w:val="18"/>
              </w:rPr>
            </w:pPr>
          </w:p>
        </w:tc>
        <w:tc>
          <w:tcPr>
            <w:tcW w:w="1458" w:type="dxa"/>
            <w:vMerge w:val="restart"/>
            <w:shd w:val="clear" w:color="auto" w:fill="auto"/>
          </w:tcPr>
          <w:p w:rsidR="00196FBC" w:rsidRPr="00C903F8" w:rsidRDefault="00196FBC" w:rsidP="001E2331">
            <w:pPr>
              <w:spacing w:before="120" w:after="120" w:line="240" w:lineRule="atLeast"/>
              <w:ind w:left="0" w:firstLine="0"/>
              <w:rPr>
                <w:rFonts w:cs="Arial"/>
                <w:sz w:val="18"/>
                <w:szCs w:val="18"/>
              </w:rPr>
            </w:pPr>
            <w:r>
              <w:rPr>
                <w:sz w:val="18"/>
              </w:rPr>
              <w:t>paragrafo 6</w:t>
            </w:r>
          </w:p>
        </w:tc>
        <w:tc>
          <w:tcPr>
            <w:tcW w:w="3296" w:type="dxa"/>
            <w:vMerge w:val="restart"/>
            <w:shd w:val="clear" w:color="auto" w:fill="auto"/>
          </w:tcPr>
          <w:p w:rsidR="00196FBC" w:rsidRPr="00C903F8" w:rsidRDefault="00196FBC" w:rsidP="001E2331">
            <w:pPr>
              <w:spacing w:before="120" w:after="120" w:line="240" w:lineRule="atLeast"/>
              <w:ind w:left="0" w:firstLine="0"/>
              <w:rPr>
                <w:rFonts w:cs="Arial"/>
                <w:sz w:val="18"/>
                <w:szCs w:val="18"/>
              </w:rPr>
            </w:pPr>
            <w:r>
              <w:rPr>
                <w:sz w:val="18"/>
              </w:rPr>
              <w:t>Livello minimo di trasparenza</w:t>
            </w:r>
          </w:p>
        </w:tc>
        <w:tc>
          <w:tcPr>
            <w:tcW w:w="6521" w:type="dxa"/>
            <w:shd w:val="clear" w:color="auto" w:fill="auto"/>
          </w:tcPr>
          <w:p w:rsidR="00196FBC" w:rsidRPr="00C903F8" w:rsidRDefault="008761D9" w:rsidP="001E2331">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1E2331">
            <w:pPr>
              <w:spacing w:before="120" w:after="120" w:line="240" w:lineRule="atLeast"/>
              <w:ind w:left="0" w:firstLine="0"/>
              <w:rPr>
                <w:rFonts w:cs="Arial"/>
                <w:sz w:val="18"/>
                <w:szCs w:val="18"/>
              </w:rPr>
            </w:pPr>
            <w:r>
              <w:rPr>
                <w:sz w:val="18"/>
              </w:rPr>
              <w:t>1.1.2010</w:t>
            </w:r>
          </w:p>
        </w:tc>
      </w:tr>
      <w:tr w:rsidR="00196FBC" w:rsidRPr="00A0619C" w:rsidTr="00196FBC">
        <w:trPr>
          <w:cantSplit/>
          <w:jc w:val="center"/>
        </w:trPr>
        <w:tc>
          <w:tcPr>
            <w:tcW w:w="1342" w:type="dxa"/>
            <w:vMerge/>
            <w:shd w:val="clear" w:color="auto" w:fill="auto"/>
          </w:tcPr>
          <w:p w:rsidR="00196FBC" w:rsidRPr="00C903F8" w:rsidRDefault="00196FBC" w:rsidP="009C40EF">
            <w:pPr>
              <w:spacing w:before="120" w:after="120" w:line="240" w:lineRule="atLeast"/>
              <w:ind w:left="0" w:firstLine="0"/>
              <w:jc w:val="left"/>
              <w:rPr>
                <w:rFonts w:cs="Arial"/>
                <w:sz w:val="18"/>
                <w:szCs w:val="18"/>
              </w:rPr>
            </w:pPr>
          </w:p>
        </w:tc>
        <w:tc>
          <w:tcPr>
            <w:tcW w:w="1458" w:type="dxa"/>
            <w:vMerge/>
            <w:shd w:val="clear" w:color="auto" w:fill="auto"/>
          </w:tcPr>
          <w:p w:rsidR="00196FBC" w:rsidRPr="00C903F8" w:rsidRDefault="00196FBC" w:rsidP="001E2331">
            <w:pPr>
              <w:spacing w:before="120" w:after="120" w:line="240" w:lineRule="atLeast"/>
              <w:ind w:left="0" w:firstLine="0"/>
              <w:rPr>
                <w:rFonts w:cs="Arial"/>
                <w:sz w:val="18"/>
                <w:szCs w:val="18"/>
              </w:rPr>
            </w:pPr>
          </w:p>
        </w:tc>
        <w:tc>
          <w:tcPr>
            <w:tcW w:w="3296" w:type="dxa"/>
            <w:vMerge/>
            <w:shd w:val="clear" w:color="auto" w:fill="auto"/>
          </w:tcPr>
          <w:p w:rsidR="00196FBC" w:rsidRPr="00C903F8" w:rsidRDefault="00196FBC" w:rsidP="001E2331">
            <w:pPr>
              <w:spacing w:before="120" w:after="120" w:line="240" w:lineRule="atLeast"/>
              <w:ind w:left="0" w:firstLine="0"/>
              <w:rPr>
                <w:rFonts w:cs="Arial"/>
                <w:sz w:val="18"/>
                <w:szCs w:val="18"/>
              </w:rPr>
            </w:pPr>
          </w:p>
        </w:tc>
        <w:tc>
          <w:tcPr>
            <w:tcW w:w="6521" w:type="dxa"/>
            <w:shd w:val="clear" w:color="auto" w:fill="auto"/>
          </w:tcPr>
          <w:p w:rsidR="00196FBC" w:rsidRPr="00C903F8" w:rsidRDefault="008761D9" w:rsidP="001E2331">
            <w:pPr>
              <w:spacing w:before="120" w:after="120" w:line="240" w:lineRule="atLeast"/>
              <w:ind w:left="0" w:firstLine="0"/>
              <w:rPr>
                <w:rFonts w:cs="Arial"/>
                <w:sz w:val="18"/>
                <w:szCs w:val="18"/>
              </w:rPr>
            </w:pPr>
            <w:r>
              <w:rPr>
                <w:sz w:val="18"/>
              </w:rPr>
              <w:t>N.S.T. per le navi con finestre colorate che soddisfano le seguenti condizioni:</w:t>
            </w:r>
          </w:p>
          <w:p w:rsidR="00196FBC" w:rsidRPr="00C903F8" w:rsidRDefault="00196FBC" w:rsidP="001E2331">
            <w:pPr>
              <w:spacing w:before="120" w:after="120" w:line="240" w:lineRule="atLeast"/>
              <w:ind w:left="262" w:hanging="262"/>
              <w:rPr>
                <w:rFonts w:cs="Arial"/>
                <w:sz w:val="18"/>
                <w:szCs w:val="18"/>
              </w:rPr>
            </w:pPr>
            <w:r>
              <w:rPr>
                <w:sz w:val="18"/>
              </w:rPr>
              <w:t>-</w:t>
            </w:r>
            <w:r>
              <w:tab/>
            </w:r>
            <w:r>
              <w:rPr>
                <w:sz w:val="18"/>
              </w:rPr>
              <w:t>le finestre sono colorate di verde e presentano una trasmissione della luce minima del 60 %;</w:t>
            </w:r>
          </w:p>
          <w:p w:rsidR="00196FBC" w:rsidRPr="00C903F8" w:rsidRDefault="00196FBC" w:rsidP="001E2331">
            <w:pPr>
              <w:spacing w:before="120" w:after="120" w:line="240" w:lineRule="atLeast"/>
              <w:ind w:left="262" w:hanging="262"/>
              <w:rPr>
                <w:rFonts w:cs="Arial"/>
                <w:sz w:val="18"/>
                <w:szCs w:val="18"/>
              </w:rPr>
            </w:pPr>
            <w:r>
              <w:rPr>
                <w:sz w:val="18"/>
              </w:rPr>
              <w:t>-</w:t>
            </w:r>
            <w:r>
              <w:tab/>
            </w:r>
            <w:r>
              <w:rPr>
                <w:sz w:val="18"/>
              </w:rPr>
              <w:t>il soffitto della timoneria è progettato in maniera tale da evitare riflessi sulle finestre;</w:t>
            </w:r>
          </w:p>
          <w:p w:rsidR="00196FBC" w:rsidRPr="00C903F8" w:rsidRDefault="00196FBC" w:rsidP="001E2331">
            <w:pPr>
              <w:spacing w:before="120" w:after="120" w:line="240" w:lineRule="atLeast"/>
              <w:ind w:left="262" w:hanging="262"/>
              <w:rPr>
                <w:rFonts w:cs="Arial"/>
                <w:sz w:val="18"/>
                <w:szCs w:val="18"/>
              </w:rPr>
            </w:pPr>
            <w:r>
              <w:rPr>
                <w:sz w:val="18"/>
              </w:rPr>
              <w:t>-</w:t>
            </w:r>
            <w:r>
              <w:tab/>
            </w:r>
            <w:r>
              <w:rPr>
                <w:sz w:val="18"/>
              </w:rPr>
              <w:t>le sorgenti di luce nella timoneria devono avere una luminosità regolabile in modo continuo o devono poter essere spente;</w:t>
            </w:r>
          </w:p>
          <w:p w:rsidR="00196FBC" w:rsidRPr="00C903F8" w:rsidRDefault="00196FBC" w:rsidP="001E2331">
            <w:pPr>
              <w:spacing w:before="120" w:after="120" w:line="240" w:lineRule="atLeast"/>
              <w:ind w:left="262" w:hanging="262"/>
              <w:rPr>
                <w:rFonts w:cs="Arial"/>
                <w:sz w:val="18"/>
                <w:szCs w:val="18"/>
              </w:rPr>
            </w:pPr>
            <w:r>
              <w:rPr>
                <w:sz w:val="18"/>
              </w:rPr>
              <w:t>-</w:t>
            </w:r>
            <w:r>
              <w:tab/>
            </w:r>
            <w:r>
              <w:rPr>
                <w:sz w:val="18"/>
              </w:rPr>
              <w:t>sono state adottate tutte le misure ragionevoli per evitare altre riflessi.</w:t>
            </w:r>
          </w:p>
        </w:tc>
        <w:tc>
          <w:tcPr>
            <w:tcW w:w="1276" w:type="dxa"/>
            <w:shd w:val="clear" w:color="auto" w:fill="auto"/>
          </w:tcPr>
          <w:p w:rsidR="00196FBC" w:rsidRPr="00C903F8" w:rsidRDefault="00196FBC" w:rsidP="001E2331">
            <w:pPr>
              <w:spacing w:before="120" w:after="120" w:line="240" w:lineRule="atLeast"/>
              <w:ind w:left="0" w:firstLine="0"/>
              <w:rPr>
                <w:rFonts w:cs="Arial"/>
                <w:sz w:val="18"/>
                <w:szCs w:val="18"/>
              </w:rPr>
            </w:pPr>
          </w:p>
        </w:tc>
      </w:tr>
      <w:tr w:rsidR="00196FBC" w:rsidRPr="00C903F8" w:rsidTr="00196FBC">
        <w:trPr>
          <w:cantSplit/>
          <w:jc w:val="center"/>
        </w:trPr>
        <w:tc>
          <w:tcPr>
            <w:tcW w:w="1342" w:type="dxa"/>
            <w:vMerge/>
            <w:shd w:val="clear" w:color="auto" w:fill="auto"/>
          </w:tcPr>
          <w:p w:rsidR="00196FBC" w:rsidRPr="00C903F8" w:rsidRDefault="00196FBC" w:rsidP="009C40EF">
            <w:pPr>
              <w:spacing w:before="120" w:after="120" w:line="240" w:lineRule="atLeast"/>
              <w:ind w:left="0" w:firstLine="0"/>
              <w:jc w:val="left"/>
              <w:rPr>
                <w:rFonts w:cs="Arial"/>
                <w:sz w:val="18"/>
                <w:szCs w:val="18"/>
              </w:rPr>
            </w:pPr>
          </w:p>
        </w:tc>
        <w:tc>
          <w:tcPr>
            <w:tcW w:w="1458" w:type="dxa"/>
            <w:shd w:val="clear" w:color="auto" w:fill="auto"/>
          </w:tcPr>
          <w:p w:rsidR="00196FBC" w:rsidRPr="00C903F8" w:rsidRDefault="00196FBC" w:rsidP="001E2331">
            <w:pPr>
              <w:spacing w:before="120" w:after="120"/>
              <w:rPr>
                <w:rFonts w:cs="Arial"/>
                <w:sz w:val="18"/>
                <w:szCs w:val="18"/>
              </w:rPr>
            </w:pPr>
            <w:r>
              <w:rPr>
                <w:sz w:val="18"/>
              </w:rPr>
              <w:t>paragrafo 6</w:t>
            </w:r>
          </w:p>
        </w:tc>
        <w:tc>
          <w:tcPr>
            <w:tcW w:w="3296" w:type="dxa"/>
            <w:shd w:val="clear" w:color="auto" w:fill="auto"/>
          </w:tcPr>
          <w:p w:rsidR="00196FBC" w:rsidRPr="00C903F8" w:rsidRDefault="00196FBC" w:rsidP="001E2331">
            <w:pPr>
              <w:spacing w:before="120" w:after="120"/>
              <w:rPr>
                <w:rFonts w:cs="Arial"/>
                <w:sz w:val="18"/>
                <w:szCs w:val="18"/>
              </w:rPr>
            </w:pPr>
            <w:r>
              <w:rPr>
                <w:sz w:val="18"/>
              </w:rPr>
              <w:t>Progettazione del vetro di sicurezza</w:t>
            </w:r>
          </w:p>
        </w:tc>
        <w:tc>
          <w:tcPr>
            <w:tcW w:w="6521" w:type="dxa"/>
            <w:shd w:val="clear" w:color="auto" w:fill="auto"/>
          </w:tcPr>
          <w:p w:rsidR="00196FBC" w:rsidRPr="00C903F8" w:rsidRDefault="008761D9" w:rsidP="001E2331">
            <w:pPr>
              <w:spacing w:before="120" w:after="120"/>
              <w:rPr>
                <w:rFonts w:cs="Arial"/>
                <w:sz w:val="18"/>
                <w:szCs w:val="18"/>
              </w:rPr>
            </w:pPr>
            <w:r>
              <w:rPr>
                <w:sz w:val="18"/>
              </w:rPr>
              <w:t>N.S.T</w:t>
            </w:r>
          </w:p>
        </w:tc>
        <w:tc>
          <w:tcPr>
            <w:tcW w:w="1276" w:type="dxa"/>
            <w:shd w:val="clear" w:color="auto" w:fill="auto"/>
          </w:tcPr>
          <w:p w:rsidR="00196FBC" w:rsidRPr="00C903F8" w:rsidRDefault="00196FBC" w:rsidP="001E2331">
            <w:pPr>
              <w:spacing w:before="120" w:after="120" w:line="240" w:lineRule="atLeast"/>
              <w:ind w:left="0" w:firstLine="0"/>
              <w:rPr>
                <w:rFonts w:cs="Arial"/>
                <w:sz w:val="18"/>
                <w:szCs w:val="18"/>
              </w:rPr>
            </w:pPr>
          </w:p>
        </w:tc>
      </w:tr>
      <w:tr w:rsidR="00196FBC" w:rsidRPr="00A0619C" w:rsidTr="00196FBC">
        <w:trPr>
          <w:cantSplit/>
          <w:jc w:val="center"/>
        </w:trPr>
        <w:tc>
          <w:tcPr>
            <w:tcW w:w="1342" w:type="dxa"/>
            <w:vMerge w:val="restart"/>
            <w:shd w:val="clear" w:color="auto" w:fill="auto"/>
          </w:tcPr>
          <w:p w:rsidR="00196FBC" w:rsidRPr="00C903F8" w:rsidRDefault="00196FBC" w:rsidP="009C40EF">
            <w:pPr>
              <w:spacing w:before="120" w:after="120" w:line="240" w:lineRule="atLeast"/>
              <w:ind w:left="0" w:firstLine="0"/>
              <w:jc w:val="left"/>
              <w:rPr>
                <w:rFonts w:cs="Arial"/>
                <w:sz w:val="18"/>
                <w:szCs w:val="18"/>
              </w:rPr>
            </w:pPr>
            <w:r>
              <w:rPr>
                <w:sz w:val="18"/>
              </w:rPr>
              <w:t>7.03</w:t>
            </w:r>
          </w:p>
        </w:tc>
        <w:tc>
          <w:tcPr>
            <w:tcW w:w="1458" w:type="dxa"/>
            <w:shd w:val="clear" w:color="auto" w:fill="auto"/>
          </w:tcPr>
          <w:p w:rsidR="00196FBC" w:rsidRPr="00C903F8" w:rsidRDefault="00196FBC" w:rsidP="001E2331">
            <w:pPr>
              <w:spacing w:before="120" w:after="120" w:line="240" w:lineRule="atLeast"/>
              <w:ind w:left="0" w:firstLine="0"/>
              <w:rPr>
                <w:rFonts w:cs="Arial"/>
                <w:sz w:val="18"/>
                <w:szCs w:val="18"/>
              </w:rPr>
            </w:pPr>
            <w:r>
              <w:rPr>
                <w:sz w:val="18"/>
              </w:rPr>
              <w:t>paragrafo 7</w:t>
            </w:r>
          </w:p>
        </w:tc>
        <w:tc>
          <w:tcPr>
            <w:tcW w:w="3296" w:type="dxa"/>
            <w:shd w:val="clear" w:color="auto" w:fill="auto"/>
          </w:tcPr>
          <w:p w:rsidR="00196FBC" w:rsidRPr="00C903F8" w:rsidRDefault="00196FBC" w:rsidP="001E2331">
            <w:pPr>
              <w:spacing w:before="120" w:after="120" w:line="240" w:lineRule="atLeast"/>
              <w:ind w:left="0" w:firstLine="0"/>
              <w:rPr>
                <w:rFonts w:cs="Arial"/>
                <w:sz w:val="18"/>
                <w:szCs w:val="18"/>
              </w:rPr>
            </w:pPr>
            <w:r>
              <w:rPr>
                <w:sz w:val="18"/>
              </w:rPr>
              <w:t>Disinserimento degli allarmi</w:t>
            </w:r>
          </w:p>
        </w:tc>
        <w:tc>
          <w:tcPr>
            <w:tcW w:w="6521" w:type="dxa"/>
            <w:shd w:val="clear" w:color="auto" w:fill="auto"/>
          </w:tcPr>
          <w:p w:rsidR="00196FBC" w:rsidRPr="00C903F8" w:rsidRDefault="008761D9" w:rsidP="001E2331">
            <w:pPr>
              <w:spacing w:before="120" w:after="120" w:line="240" w:lineRule="atLeast"/>
              <w:ind w:left="0" w:firstLine="0"/>
              <w:rPr>
                <w:rFonts w:cs="Arial"/>
                <w:sz w:val="18"/>
                <w:szCs w:val="18"/>
              </w:rPr>
            </w:pPr>
            <w:r>
              <w:rPr>
                <w:sz w:val="18"/>
              </w:rPr>
              <w:t>N.S.T., al più tardi alla data di rinnovo del certificato per la navigazione interna, a meno che la timoneria sia stata attrezzata per la navigazione con radar da parte di una sola persona</w:t>
            </w:r>
          </w:p>
        </w:tc>
        <w:tc>
          <w:tcPr>
            <w:tcW w:w="1276" w:type="dxa"/>
            <w:shd w:val="clear" w:color="auto" w:fill="auto"/>
          </w:tcPr>
          <w:p w:rsidR="00196FBC" w:rsidRPr="00C903F8" w:rsidRDefault="00196FBC" w:rsidP="001E2331">
            <w:pPr>
              <w:spacing w:before="120" w:after="120" w:line="240" w:lineRule="atLeast"/>
              <w:ind w:left="0" w:firstLine="0"/>
              <w:rPr>
                <w:rFonts w:cs="Arial"/>
                <w:sz w:val="18"/>
                <w:szCs w:val="18"/>
              </w:rPr>
            </w:pPr>
          </w:p>
        </w:tc>
      </w:tr>
      <w:tr w:rsidR="00196FBC" w:rsidRPr="00C903F8" w:rsidTr="00196FBC">
        <w:trPr>
          <w:cantSplit/>
          <w:jc w:val="center"/>
        </w:trPr>
        <w:tc>
          <w:tcPr>
            <w:tcW w:w="1342" w:type="dxa"/>
            <w:vMerge/>
            <w:shd w:val="clear" w:color="auto" w:fill="auto"/>
          </w:tcPr>
          <w:p w:rsidR="00196FBC" w:rsidRPr="00C903F8" w:rsidRDefault="00196FBC" w:rsidP="001E2331">
            <w:pPr>
              <w:spacing w:before="120" w:after="120" w:line="240" w:lineRule="atLeast"/>
              <w:ind w:left="0" w:firstLine="0"/>
              <w:rPr>
                <w:rFonts w:cs="Arial"/>
                <w:sz w:val="18"/>
                <w:szCs w:val="18"/>
              </w:rPr>
            </w:pPr>
          </w:p>
        </w:tc>
        <w:tc>
          <w:tcPr>
            <w:tcW w:w="1458" w:type="dxa"/>
            <w:shd w:val="clear" w:color="auto" w:fill="auto"/>
          </w:tcPr>
          <w:p w:rsidR="00196FBC" w:rsidRPr="00C903F8" w:rsidRDefault="00196FBC" w:rsidP="001E2331">
            <w:pPr>
              <w:spacing w:before="120" w:after="120" w:line="240" w:lineRule="atLeast"/>
              <w:ind w:left="0" w:firstLine="0"/>
              <w:rPr>
                <w:rFonts w:cs="Arial"/>
                <w:sz w:val="18"/>
                <w:szCs w:val="18"/>
              </w:rPr>
            </w:pPr>
            <w:r>
              <w:rPr>
                <w:sz w:val="18"/>
              </w:rPr>
              <w:t>paragrafo 8</w:t>
            </w:r>
          </w:p>
        </w:tc>
        <w:tc>
          <w:tcPr>
            <w:tcW w:w="3296" w:type="dxa"/>
            <w:shd w:val="clear" w:color="auto" w:fill="auto"/>
          </w:tcPr>
          <w:p w:rsidR="00196FBC" w:rsidRPr="009942A5" w:rsidRDefault="007D2A57" w:rsidP="001E2331">
            <w:pPr>
              <w:spacing w:before="120" w:after="120" w:line="240" w:lineRule="atLeast"/>
              <w:ind w:left="0" w:firstLine="0"/>
              <w:rPr>
                <w:rFonts w:cs="Arial"/>
                <w:sz w:val="18"/>
                <w:szCs w:val="18"/>
              </w:rPr>
            </w:pPr>
            <w:r>
              <w:rPr>
                <w:sz w:val="18"/>
              </w:rPr>
              <w:t>Collegamento automatico a un'altra fonte d'energia</w:t>
            </w:r>
          </w:p>
        </w:tc>
        <w:tc>
          <w:tcPr>
            <w:tcW w:w="6521" w:type="dxa"/>
            <w:shd w:val="clear" w:color="auto" w:fill="auto"/>
          </w:tcPr>
          <w:p w:rsidR="00196FBC" w:rsidRPr="00C903F8" w:rsidRDefault="008761D9" w:rsidP="001E2331">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1E2331">
            <w:pPr>
              <w:spacing w:before="120" w:after="120" w:line="240" w:lineRule="atLeast"/>
              <w:ind w:left="0" w:firstLine="0"/>
              <w:rPr>
                <w:rFonts w:cs="Arial"/>
                <w:sz w:val="18"/>
                <w:szCs w:val="18"/>
              </w:rPr>
            </w:pPr>
            <w:r>
              <w:rPr>
                <w:sz w:val="18"/>
              </w:rPr>
              <w:t>1.1.2010</w:t>
            </w:r>
          </w:p>
        </w:tc>
      </w:tr>
      <w:tr w:rsidR="00196FBC" w:rsidRPr="00A0619C" w:rsidTr="00196FBC">
        <w:trPr>
          <w:cantSplit/>
          <w:jc w:val="center"/>
        </w:trPr>
        <w:tc>
          <w:tcPr>
            <w:tcW w:w="1342" w:type="dxa"/>
            <w:vMerge w:val="restart"/>
            <w:shd w:val="clear" w:color="auto" w:fill="auto"/>
          </w:tcPr>
          <w:p w:rsidR="00196FBC" w:rsidRPr="00C903F8" w:rsidRDefault="00196FBC" w:rsidP="009C40EF">
            <w:pPr>
              <w:spacing w:before="80" w:after="80" w:line="240" w:lineRule="atLeast"/>
              <w:ind w:left="0" w:firstLine="0"/>
              <w:jc w:val="left"/>
              <w:rPr>
                <w:rFonts w:cs="Arial"/>
                <w:sz w:val="18"/>
                <w:szCs w:val="18"/>
              </w:rPr>
            </w:pPr>
            <w:r>
              <w:rPr>
                <w:sz w:val="18"/>
              </w:rPr>
              <w:t>7.04</w:t>
            </w:r>
          </w:p>
        </w:tc>
        <w:tc>
          <w:tcPr>
            <w:tcW w:w="1458" w:type="dxa"/>
            <w:shd w:val="clear" w:color="auto" w:fill="auto"/>
          </w:tcPr>
          <w:p w:rsidR="00196FBC" w:rsidRPr="00C903F8" w:rsidRDefault="00330D4B" w:rsidP="00740370">
            <w:pPr>
              <w:spacing w:before="80" w:after="80" w:line="240" w:lineRule="atLeast"/>
              <w:ind w:left="0" w:firstLine="0"/>
              <w:rPr>
                <w:rFonts w:cs="Arial"/>
                <w:sz w:val="18"/>
                <w:szCs w:val="18"/>
              </w:rPr>
            </w:pPr>
            <w:r>
              <w:rPr>
                <w:sz w:val="18"/>
              </w:rPr>
              <w:t>paragrafo 2</w:t>
            </w:r>
          </w:p>
        </w:tc>
        <w:tc>
          <w:tcPr>
            <w:tcW w:w="3296" w:type="dxa"/>
            <w:shd w:val="clear" w:color="auto" w:fill="auto"/>
          </w:tcPr>
          <w:p w:rsidR="00196FBC" w:rsidRPr="00C903F8" w:rsidRDefault="00330D4B" w:rsidP="00740370">
            <w:pPr>
              <w:spacing w:before="80" w:after="80" w:line="240" w:lineRule="atLeast"/>
              <w:ind w:left="0" w:firstLine="0"/>
              <w:rPr>
                <w:rFonts w:cs="Arial"/>
                <w:sz w:val="18"/>
                <w:szCs w:val="18"/>
              </w:rPr>
            </w:pPr>
            <w:r>
              <w:rPr>
                <w:noProof/>
                <w:sz w:val="18"/>
              </w:rPr>
              <w:t>Comando di ciascun motore principale</w:t>
            </w:r>
          </w:p>
        </w:tc>
        <w:tc>
          <w:tcPr>
            <w:tcW w:w="6521" w:type="dxa"/>
            <w:shd w:val="clear" w:color="auto" w:fill="auto"/>
          </w:tcPr>
          <w:p w:rsidR="00196FBC" w:rsidRPr="00C903F8" w:rsidRDefault="00330D4B" w:rsidP="00740370">
            <w:pPr>
              <w:spacing w:before="80" w:after="80" w:line="240" w:lineRule="atLeast"/>
              <w:ind w:left="0" w:firstLine="0"/>
              <w:rPr>
                <w:rFonts w:cs="Arial"/>
                <w:sz w:val="18"/>
                <w:szCs w:val="18"/>
              </w:rPr>
            </w:pPr>
            <w:r>
              <w:rPr>
                <w:noProof/>
                <w:sz w:val="18"/>
              </w:rPr>
              <w:t>Salvo nelle timonerie attrezzate per la navigazione con radar da parte di una sola persona: N.S.T., al più tardi alla data del rinnovo del certificato per la navigazione interna posteriormente al</w:t>
            </w:r>
          </w:p>
        </w:tc>
        <w:tc>
          <w:tcPr>
            <w:tcW w:w="1276" w:type="dxa"/>
            <w:shd w:val="clear" w:color="auto" w:fill="auto"/>
          </w:tcPr>
          <w:p w:rsidR="00196FBC" w:rsidRPr="00C903F8" w:rsidRDefault="00330D4B" w:rsidP="00740370">
            <w:pPr>
              <w:spacing w:before="80" w:after="80" w:line="240" w:lineRule="atLeast"/>
              <w:ind w:left="0" w:firstLine="0"/>
              <w:rPr>
                <w:rFonts w:cs="Arial"/>
                <w:sz w:val="18"/>
                <w:szCs w:val="18"/>
              </w:rPr>
            </w:pPr>
            <w:r>
              <w:rPr>
                <w:sz w:val="18"/>
              </w:rPr>
              <w:t xml:space="preserve">1.1.2035 </w:t>
            </w:r>
            <w:r>
              <w:rPr>
                <w:rFonts w:cs="Arial"/>
                <w:sz w:val="18"/>
                <w:szCs w:val="18"/>
              </w:rPr>
              <w:br/>
            </w:r>
            <w:r>
              <w:rPr>
                <w:sz w:val="18"/>
              </w:rPr>
              <w:t>se il senso di marcia può essere ottenuto direttamente</w:t>
            </w:r>
            <w:r>
              <w:rPr>
                <w:rFonts w:cs="Arial"/>
                <w:sz w:val="18"/>
                <w:szCs w:val="18"/>
              </w:rPr>
              <w:br/>
            </w:r>
            <w:r>
              <w:rPr>
                <w:sz w:val="18"/>
              </w:rPr>
              <w:t xml:space="preserve">1.1.2010 </w:t>
            </w:r>
            <w:r>
              <w:rPr>
                <w:rFonts w:cs="Arial"/>
                <w:sz w:val="18"/>
                <w:szCs w:val="18"/>
              </w:rPr>
              <w:br/>
            </w:r>
            <w:r>
              <w:rPr>
                <w:sz w:val="18"/>
              </w:rPr>
              <w:t>per altri motori</w:t>
            </w:r>
          </w:p>
        </w:tc>
      </w:tr>
      <w:tr w:rsidR="00196FBC" w:rsidRPr="00C903F8" w:rsidTr="00196FBC">
        <w:trPr>
          <w:cantSplit/>
          <w:jc w:val="center"/>
        </w:trPr>
        <w:tc>
          <w:tcPr>
            <w:tcW w:w="1342" w:type="dxa"/>
            <w:vMerge/>
            <w:shd w:val="clear" w:color="auto" w:fill="auto"/>
          </w:tcPr>
          <w:p w:rsidR="00196FBC" w:rsidRPr="00C903F8" w:rsidRDefault="00196FBC" w:rsidP="009C40EF">
            <w:pPr>
              <w:spacing w:before="80" w:after="80" w:line="240" w:lineRule="atLeast"/>
              <w:ind w:left="0" w:firstLine="0"/>
              <w:jc w:val="left"/>
              <w:rPr>
                <w:rFonts w:cs="Arial"/>
                <w:sz w:val="18"/>
                <w:szCs w:val="18"/>
              </w:rPr>
            </w:pPr>
          </w:p>
        </w:tc>
        <w:tc>
          <w:tcPr>
            <w:tcW w:w="1458" w:type="dxa"/>
            <w:shd w:val="clear" w:color="auto" w:fill="auto"/>
          </w:tcPr>
          <w:p w:rsidR="00196FBC" w:rsidRPr="00C903F8" w:rsidRDefault="00196FBC" w:rsidP="00740370">
            <w:pPr>
              <w:spacing w:before="80" w:after="80" w:line="240" w:lineRule="atLeast"/>
              <w:ind w:left="0" w:firstLine="0"/>
              <w:rPr>
                <w:rFonts w:cs="Arial"/>
                <w:sz w:val="18"/>
                <w:szCs w:val="18"/>
              </w:rPr>
            </w:pPr>
            <w:r>
              <w:rPr>
                <w:sz w:val="18"/>
              </w:rPr>
              <w:t>paragrafo 3</w:t>
            </w:r>
          </w:p>
        </w:tc>
        <w:tc>
          <w:tcPr>
            <w:tcW w:w="3296" w:type="dxa"/>
            <w:shd w:val="clear" w:color="auto" w:fill="auto"/>
          </w:tcPr>
          <w:p w:rsidR="00196FBC" w:rsidRPr="00C903F8" w:rsidRDefault="00196FBC" w:rsidP="00740370">
            <w:pPr>
              <w:spacing w:before="80" w:after="80" w:line="240" w:lineRule="atLeast"/>
              <w:ind w:left="0" w:firstLine="0"/>
              <w:rPr>
                <w:rFonts w:cs="Arial"/>
                <w:sz w:val="18"/>
                <w:szCs w:val="18"/>
              </w:rPr>
            </w:pPr>
            <w:r>
              <w:rPr>
                <w:noProof/>
                <w:sz w:val="18"/>
              </w:rPr>
              <w:t>Schermo</w:t>
            </w:r>
          </w:p>
        </w:tc>
        <w:tc>
          <w:tcPr>
            <w:tcW w:w="6521" w:type="dxa"/>
            <w:shd w:val="clear" w:color="auto" w:fill="auto"/>
          </w:tcPr>
          <w:p w:rsidR="00196FBC" w:rsidRPr="00C903F8" w:rsidRDefault="00196FBC" w:rsidP="00740370">
            <w:pPr>
              <w:spacing w:before="80" w:after="80" w:line="240" w:lineRule="atLeast"/>
              <w:ind w:left="0" w:firstLine="0"/>
              <w:rPr>
                <w:rFonts w:cs="Arial"/>
                <w:sz w:val="18"/>
                <w:szCs w:val="18"/>
              </w:rPr>
            </w:pPr>
            <w:r>
              <w:rPr>
                <w:noProof/>
                <w:sz w:val="18"/>
              </w:rPr>
              <w:t>Salvo nelle timonerie attrezzate per la navigazione con radar da parte di una sola persona: N.S.T., al più tardi alla data del rinnovo del certificato per la navigazione interna posteriormente al</w:t>
            </w:r>
          </w:p>
        </w:tc>
        <w:tc>
          <w:tcPr>
            <w:tcW w:w="1276" w:type="dxa"/>
            <w:shd w:val="clear" w:color="auto" w:fill="auto"/>
          </w:tcPr>
          <w:p w:rsidR="00196FBC" w:rsidRPr="00C903F8" w:rsidRDefault="00196FBC" w:rsidP="00740370">
            <w:pPr>
              <w:spacing w:before="80" w:after="80" w:line="240" w:lineRule="atLeast"/>
              <w:ind w:left="0" w:firstLine="0"/>
              <w:rPr>
                <w:rFonts w:cs="Arial"/>
                <w:sz w:val="18"/>
                <w:szCs w:val="18"/>
              </w:rPr>
            </w:pPr>
            <w:r>
              <w:rPr>
                <w:sz w:val="18"/>
              </w:rPr>
              <w:t>1.1.2010</w:t>
            </w:r>
          </w:p>
        </w:tc>
      </w:tr>
      <w:tr w:rsidR="00196FBC" w:rsidRPr="00C903F8" w:rsidTr="00196FBC">
        <w:trPr>
          <w:cantSplit/>
          <w:jc w:val="center"/>
        </w:trPr>
        <w:tc>
          <w:tcPr>
            <w:tcW w:w="1342" w:type="dxa"/>
            <w:vMerge/>
            <w:shd w:val="clear" w:color="auto" w:fill="auto"/>
          </w:tcPr>
          <w:p w:rsidR="00196FBC" w:rsidRPr="00C903F8" w:rsidRDefault="00196FBC" w:rsidP="009C40EF">
            <w:pPr>
              <w:spacing w:before="80" w:after="80" w:line="240" w:lineRule="atLeast"/>
              <w:ind w:left="0" w:firstLine="0"/>
              <w:jc w:val="left"/>
              <w:rPr>
                <w:rFonts w:cs="Arial"/>
                <w:sz w:val="18"/>
                <w:szCs w:val="18"/>
              </w:rPr>
            </w:pPr>
          </w:p>
        </w:tc>
        <w:tc>
          <w:tcPr>
            <w:tcW w:w="1458" w:type="dxa"/>
            <w:shd w:val="clear" w:color="auto" w:fill="auto"/>
          </w:tcPr>
          <w:p w:rsidR="00196FBC" w:rsidRPr="00C903F8" w:rsidRDefault="00196FBC" w:rsidP="00740370">
            <w:pPr>
              <w:spacing w:before="80" w:after="80" w:line="240" w:lineRule="atLeast"/>
              <w:ind w:left="0" w:firstLine="0"/>
              <w:jc w:val="left"/>
              <w:rPr>
                <w:rFonts w:cs="Arial"/>
                <w:sz w:val="18"/>
                <w:szCs w:val="18"/>
              </w:rPr>
            </w:pPr>
            <w:r>
              <w:rPr>
                <w:sz w:val="18"/>
              </w:rPr>
              <w:t>paragrafo 9, terza frase</w:t>
            </w:r>
          </w:p>
        </w:tc>
        <w:tc>
          <w:tcPr>
            <w:tcW w:w="3296" w:type="dxa"/>
            <w:shd w:val="clear" w:color="auto" w:fill="auto"/>
          </w:tcPr>
          <w:p w:rsidR="00196FBC" w:rsidRPr="00C903F8" w:rsidRDefault="00196FBC" w:rsidP="00740370">
            <w:pPr>
              <w:spacing w:before="80" w:after="80" w:line="240" w:lineRule="atLeast"/>
              <w:ind w:left="0" w:firstLine="0"/>
              <w:rPr>
                <w:rFonts w:cs="Arial"/>
                <w:sz w:val="18"/>
                <w:szCs w:val="18"/>
              </w:rPr>
            </w:pPr>
            <w:r>
              <w:rPr>
                <w:noProof/>
                <w:sz w:val="18"/>
              </w:rPr>
              <w:t>Controllo tramite leva</w:t>
            </w:r>
          </w:p>
        </w:tc>
        <w:tc>
          <w:tcPr>
            <w:tcW w:w="6521" w:type="dxa"/>
            <w:shd w:val="clear" w:color="auto" w:fill="auto"/>
          </w:tcPr>
          <w:p w:rsidR="00196FBC" w:rsidRPr="00C903F8" w:rsidRDefault="008761D9" w:rsidP="00740370">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740370">
            <w:pPr>
              <w:spacing w:before="80" w:after="80" w:line="240" w:lineRule="atLeast"/>
              <w:ind w:left="0" w:firstLine="0"/>
              <w:rPr>
                <w:rFonts w:cs="Arial"/>
                <w:sz w:val="18"/>
                <w:szCs w:val="18"/>
              </w:rPr>
            </w:pPr>
            <w:r>
              <w:rPr>
                <w:sz w:val="18"/>
              </w:rPr>
              <w:t>1.1.2010</w:t>
            </w:r>
          </w:p>
        </w:tc>
      </w:tr>
      <w:tr w:rsidR="00196FBC" w:rsidRPr="00C903F8" w:rsidTr="00196FBC">
        <w:trPr>
          <w:cantSplit/>
          <w:jc w:val="center"/>
        </w:trPr>
        <w:tc>
          <w:tcPr>
            <w:tcW w:w="1342" w:type="dxa"/>
            <w:vMerge/>
            <w:shd w:val="clear" w:color="auto" w:fill="auto"/>
          </w:tcPr>
          <w:p w:rsidR="00196FBC" w:rsidRPr="00C903F8" w:rsidRDefault="00196FBC" w:rsidP="009C40EF">
            <w:pPr>
              <w:spacing w:before="80" w:after="80" w:line="240" w:lineRule="atLeast"/>
              <w:ind w:left="0" w:firstLine="0"/>
              <w:jc w:val="left"/>
              <w:rPr>
                <w:rFonts w:cs="Arial"/>
                <w:sz w:val="18"/>
                <w:szCs w:val="18"/>
              </w:rPr>
            </w:pPr>
          </w:p>
        </w:tc>
        <w:tc>
          <w:tcPr>
            <w:tcW w:w="1458" w:type="dxa"/>
            <w:shd w:val="clear" w:color="auto" w:fill="auto"/>
          </w:tcPr>
          <w:p w:rsidR="00196FBC" w:rsidRPr="00C903F8" w:rsidRDefault="00196FBC" w:rsidP="00694E6B">
            <w:pPr>
              <w:spacing w:before="80" w:after="80" w:line="240" w:lineRule="atLeast"/>
              <w:ind w:left="0" w:firstLine="0"/>
              <w:jc w:val="left"/>
              <w:rPr>
                <w:rFonts w:cs="Arial"/>
                <w:sz w:val="18"/>
                <w:szCs w:val="18"/>
              </w:rPr>
            </w:pPr>
            <w:r>
              <w:rPr>
                <w:sz w:val="18"/>
              </w:rPr>
              <w:t>paragrafo 9, quarta frase</w:t>
            </w:r>
          </w:p>
        </w:tc>
        <w:tc>
          <w:tcPr>
            <w:tcW w:w="3296" w:type="dxa"/>
            <w:shd w:val="clear" w:color="auto" w:fill="auto"/>
          </w:tcPr>
          <w:p w:rsidR="00196FBC" w:rsidRPr="00C903F8" w:rsidRDefault="00196FBC" w:rsidP="00740370">
            <w:pPr>
              <w:spacing w:before="80" w:after="80" w:line="240" w:lineRule="atLeast"/>
              <w:ind w:left="0" w:firstLine="0"/>
              <w:rPr>
                <w:rFonts w:cs="Arial"/>
                <w:sz w:val="18"/>
                <w:szCs w:val="18"/>
              </w:rPr>
            </w:pPr>
            <w:r>
              <w:rPr>
                <w:noProof/>
                <w:sz w:val="18"/>
              </w:rPr>
              <w:t>Chiara indicazione della direzione della spinta</w:t>
            </w:r>
          </w:p>
        </w:tc>
        <w:tc>
          <w:tcPr>
            <w:tcW w:w="6521" w:type="dxa"/>
            <w:shd w:val="clear" w:color="auto" w:fill="auto"/>
          </w:tcPr>
          <w:p w:rsidR="00196FBC" w:rsidRPr="00C903F8" w:rsidRDefault="008761D9" w:rsidP="00740370">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740370">
            <w:pPr>
              <w:spacing w:before="80" w:after="80" w:line="240" w:lineRule="atLeast"/>
              <w:ind w:left="0" w:firstLine="0"/>
              <w:rPr>
                <w:rFonts w:cs="Arial"/>
                <w:sz w:val="18"/>
                <w:szCs w:val="18"/>
              </w:rPr>
            </w:pPr>
            <w:r>
              <w:rPr>
                <w:sz w:val="18"/>
              </w:rPr>
              <w:t>1.1.2010</w:t>
            </w:r>
          </w:p>
        </w:tc>
      </w:tr>
      <w:tr w:rsidR="00643C51" w:rsidRPr="00A0619C" w:rsidTr="00C50120">
        <w:trPr>
          <w:cantSplit/>
          <w:jc w:val="center"/>
        </w:trPr>
        <w:tc>
          <w:tcPr>
            <w:tcW w:w="1342" w:type="dxa"/>
            <w:tcBorders>
              <w:bottom w:val="single" w:sz="4" w:space="0" w:color="auto"/>
            </w:tcBorders>
            <w:shd w:val="clear" w:color="auto" w:fill="auto"/>
          </w:tcPr>
          <w:p w:rsidR="00643C51" w:rsidRPr="00337011" w:rsidRDefault="00643C51" w:rsidP="00B90A00">
            <w:pPr>
              <w:spacing w:before="60" w:after="60" w:line="240" w:lineRule="atLeast"/>
              <w:rPr>
                <w:rFonts w:cs="Arial"/>
                <w:sz w:val="18"/>
                <w:szCs w:val="18"/>
              </w:rPr>
            </w:pPr>
            <w:r>
              <w:rPr>
                <w:sz w:val="18"/>
              </w:rPr>
              <w:t>7.05</w:t>
            </w:r>
          </w:p>
        </w:tc>
        <w:tc>
          <w:tcPr>
            <w:tcW w:w="1458" w:type="dxa"/>
            <w:tcBorders>
              <w:bottom w:val="single" w:sz="4" w:space="0" w:color="auto"/>
            </w:tcBorders>
            <w:shd w:val="clear" w:color="auto" w:fill="auto"/>
          </w:tcPr>
          <w:p w:rsidR="00643C51" w:rsidRPr="00643C51" w:rsidRDefault="00643C51" w:rsidP="00643C51">
            <w:pPr>
              <w:spacing w:before="80" w:after="80" w:line="240" w:lineRule="atLeast"/>
              <w:ind w:left="0" w:firstLine="0"/>
              <w:rPr>
                <w:rFonts w:cs="Arial"/>
                <w:sz w:val="18"/>
                <w:szCs w:val="18"/>
              </w:rPr>
            </w:pPr>
            <w:r>
              <w:rPr>
                <w:sz w:val="18"/>
              </w:rPr>
              <w:t>paragrafo 1</w:t>
            </w:r>
          </w:p>
        </w:tc>
        <w:tc>
          <w:tcPr>
            <w:tcW w:w="3296" w:type="dxa"/>
            <w:shd w:val="clear" w:color="auto" w:fill="auto"/>
          </w:tcPr>
          <w:p w:rsidR="00643C51" w:rsidRPr="00643C51" w:rsidRDefault="00643C51" w:rsidP="00643C51">
            <w:pPr>
              <w:spacing w:before="80" w:after="80" w:line="240" w:lineRule="atLeast"/>
              <w:ind w:left="0" w:firstLine="0"/>
              <w:rPr>
                <w:rFonts w:cs="Arial"/>
                <w:sz w:val="18"/>
                <w:szCs w:val="18"/>
              </w:rPr>
            </w:pPr>
            <w:r>
              <w:rPr>
                <w:sz w:val="18"/>
              </w:rPr>
              <w:t>Luci di navigazione, loro alloggiamenti, accessori e sorgenti luminose</w:t>
            </w:r>
          </w:p>
        </w:tc>
        <w:tc>
          <w:tcPr>
            <w:tcW w:w="6521" w:type="dxa"/>
            <w:shd w:val="clear" w:color="auto" w:fill="auto"/>
          </w:tcPr>
          <w:p w:rsidR="00643C51" w:rsidRPr="00643C51" w:rsidRDefault="00643C51" w:rsidP="00643C51">
            <w:pPr>
              <w:spacing w:before="80" w:after="80" w:line="240" w:lineRule="atLeast"/>
              <w:ind w:left="0" w:firstLine="0"/>
              <w:rPr>
                <w:rFonts w:cs="Arial"/>
                <w:sz w:val="18"/>
                <w:szCs w:val="18"/>
              </w:rPr>
            </w:pPr>
            <w:r>
              <w:rPr>
                <w:sz w:val="18"/>
              </w:rPr>
              <w:t>Possono sempre essere usate luci di navigazione, loro alloggiamenti, accessori e sorgenti luminose che soddisfano i requisiti relativi al colore e all'intensità luminosa delle luci a bordo e relativi all'ammissione di luci di navigazione per la navigazione sul Reno, a partire dal 30 novembre 2009.</w:t>
            </w:r>
          </w:p>
        </w:tc>
        <w:tc>
          <w:tcPr>
            <w:tcW w:w="1276" w:type="dxa"/>
            <w:shd w:val="clear" w:color="auto" w:fill="auto"/>
          </w:tcPr>
          <w:p w:rsidR="00643C51" w:rsidRPr="00643C51" w:rsidRDefault="00643C51" w:rsidP="00B90A00">
            <w:pPr>
              <w:spacing w:before="60" w:after="60" w:line="240" w:lineRule="atLeast"/>
              <w:rPr>
                <w:rFonts w:cs="Arial"/>
                <w:sz w:val="18"/>
                <w:szCs w:val="18"/>
              </w:rPr>
            </w:pPr>
          </w:p>
        </w:tc>
      </w:tr>
      <w:tr w:rsidR="00643C51" w:rsidRPr="00A0619C" w:rsidTr="00C50120">
        <w:trPr>
          <w:cantSplit/>
          <w:jc w:val="center"/>
        </w:trPr>
        <w:tc>
          <w:tcPr>
            <w:tcW w:w="1342" w:type="dxa"/>
            <w:vMerge w:val="restart"/>
            <w:tcBorders>
              <w:bottom w:val="nil"/>
            </w:tcBorders>
            <w:shd w:val="clear" w:color="auto" w:fill="auto"/>
          </w:tcPr>
          <w:p w:rsidR="00643C51" w:rsidRPr="00643C51" w:rsidRDefault="00643C51" w:rsidP="00B90A00">
            <w:pPr>
              <w:spacing w:before="60" w:after="60" w:line="240" w:lineRule="atLeast"/>
              <w:rPr>
                <w:rFonts w:cs="Arial"/>
                <w:sz w:val="18"/>
                <w:szCs w:val="18"/>
              </w:rPr>
            </w:pPr>
            <w:r>
              <w:rPr>
                <w:sz w:val="18"/>
              </w:rPr>
              <w:t>7.06</w:t>
            </w:r>
          </w:p>
        </w:tc>
        <w:tc>
          <w:tcPr>
            <w:tcW w:w="1458" w:type="dxa"/>
            <w:tcBorders>
              <w:bottom w:val="nil"/>
            </w:tcBorders>
            <w:shd w:val="clear" w:color="auto" w:fill="auto"/>
          </w:tcPr>
          <w:p w:rsidR="00643C51" w:rsidRPr="00643C51" w:rsidRDefault="00643C51" w:rsidP="00B90A00">
            <w:pPr>
              <w:spacing w:before="60" w:after="60" w:line="240" w:lineRule="atLeast"/>
              <w:rPr>
                <w:rFonts w:cs="Arial"/>
                <w:sz w:val="18"/>
                <w:szCs w:val="18"/>
              </w:rPr>
            </w:pPr>
            <w:r>
              <w:rPr>
                <w:sz w:val="18"/>
              </w:rPr>
              <w:t>paragrafo 1</w:t>
            </w:r>
          </w:p>
        </w:tc>
        <w:tc>
          <w:tcPr>
            <w:tcW w:w="3296" w:type="dxa"/>
            <w:shd w:val="clear" w:color="auto" w:fill="auto"/>
          </w:tcPr>
          <w:p w:rsidR="00643C51" w:rsidRPr="00643C51" w:rsidRDefault="00643C51" w:rsidP="008373D8">
            <w:pPr>
              <w:spacing w:before="60" w:after="60" w:line="240" w:lineRule="atLeast"/>
              <w:ind w:left="0" w:firstLine="0"/>
              <w:rPr>
                <w:rFonts w:cs="Arial"/>
                <w:sz w:val="18"/>
                <w:szCs w:val="18"/>
              </w:rPr>
            </w:pPr>
            <w:r>
              <w:rPr>
                <w:noProof/>
                <w:sz w:val="18"/>
              </w:rPr>
              <w:t>Indicatori della velocità di accostata autorizzati prima del 1° gennaio 1990</w:t>
            </w:r>
          </w:p>
        </w:tc>
        <w:tc>
          <w:tcPr>
            <w:tcW w:w="6521" w:type="dxa"/>
            <w:shd w:val="clear" w:color="auto" w:fill="auto"/>
          </w:tcPr>
          <w:p w:rsidR="00643C51" w:rsidRPr="00643C51" w:rsidRDefault="00643C51" w:rsidP="008E24ED">
            <w:pPr>
              <w:spacing w:before="60" w:after="60" w:line="240" w:lineRule="atLeast"/>
              <w:ind w:left="0" w:firstLine="0"/>
              <w:rPr>
                <w:rFonts w:cs="Arial"/>
                <w:sz w:val="18"/>
                <w:szCs w:val="18"/>
              </w:rPr>
            </w:pPr>
            <w:r>
              <w:rPr>
                <w:sz w:val="18"/>
              </w:rPr>
              <w:t>Gli indicatori della velocità di accostata, autorizzati prima del 1° gennaio 1990 e installati prima del 1° gennaio 2000, possono essere mantenuti e utilizzati fino al rinnovo del certificato per la navigazione interna dopo il 1° gennaio 2015 in presenza di un certificato di installazione valido ai sensi della direttiva 2006/87/CE</w:t>
            </w:r>
            <w:r>
              <w:rPr>
                <w:rStyle w:val="FootnoteReference"/>
                <w:sz w:val="18"/>
              </w:rPr>
              <w:footnoteReference w:id="25"/>
            </w:r>
            <w:r>
              <w:rPr>
                <w:sz w:val="18"/>
              </w:rPr>
              <w:t xml:space="preserve"> o della risoluzione CCNR 1989-II-35.</w:t>
            </w:r>
          </w:p>
        </w:tc>
        <w:tc>
          <w:tcPr>
            <w:tcW w:w="1276" w:type="dxa"/>
            <w:shd w:val="clear" w:color="auto" w:fill="auto"/>
          </w:tcPr>
          <w:p w:rsidR="00643C51" w:rsidRPr="00643C51" w:rsidRDefault="00643C51" w:rsidP="00B90A00">
            <w:pPr>
              <w:spacing w:before="60" w:after="60" w:line="240" w:lineRule="atLeast"/>
              <w:rPr>
                <w:rFonts w:cs="Arial"/>
                <w:sz w:val="18"/>
                <w:szCs w:val="18"/>
              </w:rPr>
            </w:pPr>
          </w:p>
        </w:tc>
      </w:tr>
      <w:tr w:rsidR="00643C51" w:rsidRPr="00A0619C" w:rsidTr="00C50120">
        <w:trPr>
          <w:cantSplit/>
          <w:jc w:val="center"/>
        </w:trPr>
        <w:tc>
          <w:tcPr>
            <w:tcW w:w="1342" w:type="dxa"/>
            <w:vMerge/>
            <w:tcBorders>
              <w:top w:val="nil"/>
            </w:tcBorders>
            <w:shd w:val="clear" w:color="auto" w:fill="auto"/>
          </w:tcPr>
          <w:p w:rsidR="00643C51" w:rsidRPr="00643C51" w:rsidRDefault="00643C51" w:rsidP="000D7607">
            <w:pPr>
              <w:spacing w:before="40" w:after="40" w:line="240" w:lineRule="atLeast"/>
              <w:ind w:left="0" w:firstLine="0"/>
              <w:rPr>
                <w:rFonts w:cs="Arial"/>
                <w:sz w:val="18"/>
                <w:szCs w:val="18"/>
              </w:rPr>
            </w:pPr>
          </w:p>
        </w:tc>
        <w:tc>
          <w:tcPr>
            <w:tcW w:w="1458" w:type="dxa"/>
            <w:vMerge w:val="restart"/>
            <w:tcBorders>
              <w:top w:val="nil"/>
            </w:tcBorders>
            <w:shd w:val="clear" w:color="auto" w:fill="auto"/>
          </w:tcPr>
          <w:p w:rsidR="00643C51" w:rsidRPr="00643C51" w:rsidRDefault="00643C51" w:rsidP="000D7607">
            <w:pPr>
              <w:spacing w:before="40" w:after="40" w:line="240" w:lineRule="atLeast"/>
              <w:ind w:left="0" w:firstLine="0"/>
              <w:rPr>
                <w:rFonts w:cs="Arial"/>
                <w:sz w:val="18"/>
                <w:szCs w:val="18"/>
              </w:rPr>
            </w:pPr>
            <w:r>
              <w:rPr>
                <w:sz w:val="18"/>
              </w:rPr>
              <w:t>paragrafo 1</w:t>
            </w:r>
          </w:p>
        </w:tc>
        <w:tc>
          <w:tcPr>
            <w:tcW w:w="3296" w:type="dxa"/>
            <w:shd w:val="clear" w:color="auto" w:fill="auto"/>
          </w:tcPr>
          <w:p w:rsidR="00643C51" w:rsidRPr="00643C51" w:rsidRDefault="00643C51" w:rsidP="00F91AFF">
            <w:pPr>
              <w:spacing w:before="40" w:after="40" w:line="240" w:lineRule="atLeast"/>
              <w:ind w:left="0" w:firstLine="0"/>
              <w:rPr>
                <w:rFonts w:cs="Arial"/>
                <w:sz w:val="18"/>
                <w:szCs w:val="18"/>
              </w:rPr>
            </w:pPr>
            <w:r>
              <w:rPr>
                <w:noProof/>
                <w:sz w:val="18"/>
              </w:rPr>
              <w:t>Impianti di navigazione radar e indicatori della velocità di accostata autorizzati dopo il 1° gennaio 1990</w:t>
            </w:r>
          </w:p>
        </w:tc>
        <w:tc>
          <w:tcPr>
            <w:tcW w:w="6521" w:type="dxa"/>
            <w:shd w:val="clear" w:color="auto" w:fill="auto"/>
          </w:tcPr>
          <w:p w:rsidR="00643C51" w:rsidRPr="00643C51" w:rsidRDefault="00643C51" w:rsidP="000D7607">
            <w:pPr>
              <w:spacing w:before="40" w:after="40" w:line="240" w:lineRule="atLeast"/>
              <w:ind w:left="0" w:firstLine="0"/>
              <w:rPr>
                <w:rFonts w:cs="Arial"/>
                <w:sz w:val="18"/>
                <w:szCs w:val="18"/>
              </w:rPr>
            </w:pPr>
            <w:r>
              <w:rPr>
                <w:sz w:val="18"/>
              </w:rPr>
              <w:t>Gli impianti di navigazione radar e gli indicatori della velocità di accostata che sono stati autorizzati il 1° gennaio 1990 o successivamente a tale data, a norma dei requisiti minimi e delle condizioni di prova previsti per gli impianti radar utilizzati per la navigazione sul Reno e dei requisiti minimi e delle condizioni di prova previsti per gli indicatori della velocità di accostata utilizzati nella navigazione sul Reno possono continuare ad essere installati e utilizzati in presenza di un certificato di installazione valido ai sensi della presente norma, della direttiva 2006/87/CE o della risoluzione CCNR 1989-II-35</w:t>
            </w:r>
            <w:r>
              <w:rPr>
                <w:sz w:val="18"/>
                <w:vertAlign w:val="superscript"/>
              </w:rPr>
              <w:t>.</w:t>
            </w:r>
          </w:p>
        </w:tc>
        <w:tc>
          <w:tcPr>
            <w:tcW w:w="1276" w:type="dxa"/>
            <w:shd w:val="clear" w:color="auto" w:fill="auto"/>
          </w:tcPr>
          <w:p w:rsidR="00643C51" w:rsidRPr="00643C51" w:rsidRDefault="00643C51" w:rsidP="000D7607">
            <w:pPr>
              <w:spacing w:before="40" w:after="40" w:line="240" w:lineRule="atLeast"/>
              <w:ind w:left="0" w:firstLine="0"/>
              <w:rPr>
                <w:rFonts w:cs="Arial"/>
                <w:sz w:val="18"/>
                <w:szCs w:val="18"/>
              </w:rPr>
            </w:pPr>
          </w:p>
        </w:tc>
      </w:tr>
      <w:tr w:rsidR="00643C51" w:rsidRPr="00A0619C" w:rsidTr="00196FBC">
        <w:trPr>
          <w:cantSplit/>
          <w:jc w:val="center"/>
        </w:trPr>
        <w:tc>
          <w:tcPr>
            <w:tcW w:w="1342" w:type="dxa"/>
            <w:vMerge/>
            <w:shd w:val="clear" w:color="auto" w:fill="auto"/>
          </w:tcPr>
          <w:p w:rsidR="00643C51" w:rsidRPr="00643C51" w:rsidRDefault="00643C51" w:rsidP="000D7607">
            <w:pPr>
              <w:spacing w:before="40" w:after="40" w:line="240" w:lineRule="atLeast"/>
              <w:ind w:left="0" w:firstLine="0"/>
              <w:rPr>
                <w:rFonts w:cs="Arial"/>
                <w:sz w:val="18"/>
                <w:szCs w:val="18"/>
              </w:rPr>
            </w:pPr>
          </w:p>
        </w:tc>
        <w:tc>
          <w:tcPr>
            <w:tcW w:w="1458" w:type="dxa"/>
            <w:vMerge/>
            <w:shd w:val="clear" w:color="auto" w:fill="auto"/>
          </w:tcPr>
          <w:p w:rsidR="00643C51" w:rsidRPr="00643C51" w:rsidRDefault="00643C51" w:rsidP="000D7607">
            <w:pPr>
              <w:spacing w:before="40" w:after="40" w:line="240" w:lineRule="atLeast"/>
              <w:ind w:left="0" w:firstLine="0"/>
              <w:rPr>
                <w:rFonts w:cs="Arial"/>
                <w:sz w:val="18"/>
                <w:szCs w:val="18"/>
              </w:rPr>
            </w:pPr>
          </w:p>
        </w:tc>
        <w:tc>
          <w:tcPr>
            <w:tcW w:w="3296" w:type="dxa"/>
            <w:shd w:val="clear" w:color="auto" w:fill="auto"/>
          </w:tcPr>
          <w:p w:rsidR="00643C51" w:rsidRPr="00643C51" w:rsidRDefault="00643C51" w:rsidP="000D7607">
            <w:pPr>
              <w:spacing w:before="40" w:after="40" w:line="240" w:lineRule="atLeast"/>
              <w:ind w:left="0" w:firstLine="0"/>
              <w:rPr>
                <w:rFonts w:cs="Arial"/>
                <w:noProof/>
                <w:sz w:val="18"/>
                <w:szCs w:val="18"/>
              </w:rPr>
            </w:pPr>
            <w:r>
              <w:rPr>
                <w:noProof/>
                <w:sz w:val="18"/>
              </w:rPr>
              <w:t>Impianti di navigazione radar e indicatori della velocità di accostata autorizzati dopo il 31 dicembre 2006</w:t>
            </w:r>
          </w:p>
        </w:tc>
        <w:tc>
          <w:tcPr>
            <w:tcW w:w="6521" w:type="dxa"/>
            <w:shd w:val="clear" w:color="auto" w:fill="auto"/>
          </w:tcPr>
          <w:p w:rsidR="00643C51" w:rsidRPr="00643C51" w:rsidRDefault="00643C51" w:rsidP="000D7607">
            <w:pPr>
              <w:spacing w:before="40" w:after="40" w:line="240" w:lineRule="atLeast"/>
              <w:ind w:left="0" w:firstLine="0"/>
              <w:rPr>
                <w:rFonts w:cs="Arial"/>
                <w:sz w:val="18"/>
                <w:szCs w:val="18"/>
              </w:rPr>
            </w:pPr>
            <w:r>
              <w:rPr>
                <w:sz w:val="18"/>
              </w:rPr>
              <w:t>Gli impianti di navigazione radar e gli indicatori della velocità di accostata autorizzati il 31 dicembre 2006 o successivamente a tale data, a norma dei requisiti minimi e delle condizioni di prova previsti dalla direttiva 2006/87/CE, possono continuare ad essere installati e utilizzati in presenza di un certificato di installazione valido ai sensi della presente norma o della direttiva 2006/87/CE.</w:t>
            </w:r>
          </w:p>
        </w:tc>
        <w:tc>
          <w:tcPr>
            <w:tcW w:w="1276" w:type="dxa"/>
            <w:shd w:val="clear" w:color="auto" w:fill="auto"/>
          </w:tcPr>
          <w:p w:rsidR="00643C51" w:rsidRPr="00643C51" w:rsidRDefault="00643C51" w:rsidP="000D7607">
            <w:pPr>
              <w:spacing w:before="40" w:after="40" w:line="240" w:lineRule="atLeast"/>
              <w:ind w:left="0" w:firstLine="0"/>
              <w:rPr>
                <w:rFonts w:cs="Arial"/>
                <w:sz w:val="18"/>
                <w:szCs w:val="18"/>
              </w:rPr>
            </w:pPr>
          </w:p>
        </w:tc>
      </w:tr>
      <w:tr w:rsidR="00643C51" w:rsidRPr="00A0619C" w:rsidTr="00F76D36">
        <w:trPr>
          <w:cantSplit/>
          <w:jc w:val="center"/>
        </w:trPr>
        <w:tc>
          <w:tcPr>
            <w:tcW w:w="1342" w:type="dxa"/>
            <w:vMerge/>
            <w:tcBorders>
              <w:bottom w:val="nil"/>
            </w:tcBorders>
            <w:shd w:val="clear" w:color="auto" w:fill="auto"/>
          </w:tcPr>
          <w:p w:rsidR="00643C51" w:rsidRPr="00643C51" w:rsidRDefault="00643C51" w:rsidP="000D7607">
            <w:pPr>
              <w:spacing w:before="40" w:after="40" w:line="240" w:lineRule="atLeast"/>
              <w:ind w:left="0" w:firstLine="0"/>
              <w:rPr>
                <w:rFonts w:cs="Arial"/>
                <w:sz w:val="18"/>
                <w:szCs w:val="18"/>
              </w:rPr>
            </w:pPr>
          </w:p>
        </w:tc>
        <w:tc>
          <w:tcPr>
            <w:tcW w:w="1458" w:type="dxa"/>
            <w:vMerge/>
            <w:tcBorders>
              <w:bottom w:val="nil"/>
            </w:tcBorders>
            <w:shd w:val="clear" w:color="auto" w:fill="auto"/>
          </w:tcPr>
          <w:p w:rsidR="00643C51" w:rsidRPr="00643C51" w:rsidRDefault="00643C51" w:rsidP="000D7607">
            <w:pPr>
              <w:spacing w:before="40" w:after="40" w:line="240" w:lineRule="atLeast"/>
              <w:ind w:left="0" w:firstLine="0"/>
              <w:rPr>
                <w:rFonts w:cs="Arial"/>
                <w:sz w:val="18"/>
                <w:szCs w:val="18"/>
              </w:rPr>
            </w:pPr>
          </w:p>
        </w:tc>
        <w:tc>
          <w:tcPr>
            <w:tcW w:w="3296" w:type="dxa"/>
            <w:tcBorders>
              <w:bottom w:val="single" w:sz="4" w:space="0" w:color="auto"/>
            </w:tcBorders>
            <w:shd w:val="clear" w:color="auto" w:fill="auto"/>
          </w:tcPr>
          <w:p w:rsidR="00643C51" w:rsidRPr="00643C51" w:rsidRDefault="00643C51" w:rsidP="000D7607">
            <w:pPr>
              <w:spacing w:before="40" w:after="40" w:line="240" w:lineRule="atLeast"/>
              <w:ind w:left="0" w:firstLine="0"/>
              <w:rPr>
                <w:rFonts w:cs="Arial"/>
                <w:noProof/>
                <w:sz w:val="18"/>
                <w:szCs w:val="18"/>
              </w:rPr>
            </w:pPr>
            <w:r>
              <w:rPr>
                <w:noProof/>
                <w:sz w:val="18"/>
              </w:rPr>
              <w:t>Impianti di navigazione radar e indicatori della velocità di accostata autorizzati dopo il 1° dicembre 2009</w:t>
            </w:r>
          </w:p>
        </w:tc>
        <w:tc>
          <w:tcPr>
            <w:tcW w:w="6521" w:type="dxa"/>
            <w:shd w:val="clear" w:color="auto" w:fill="auto"/>
          </w:tcPr>
          <w:p w:rsidR="00643C51" w:rsidRPr="00643C51" w:rsidRDefault="00643C51" w:rsidP="000D7607">
            <w:pPr>
              <w:spacing w:before="40" w:after="40" w:line="240" w:lineRule="atLeast"/>
              <w:ind w:left="0" w:firstLine="0"/>
              <w:rPr>
                <w:rFonts w:cs="Arial"/>
                <w:sz w:val="18"/>
                <w:szCs w:val="18"/>
              </w:rPr>
            </w:pPr>
            <w:r>
              <w:rPr>
                <w:sz w:val="18"/>
              </w:rPr>
              <w:t>Gli impianti di navigazione radar e gli indicatori della velocità di accostata autorizzati il 1° dicembre 2009 o successivamente a tale data, a norma dei requisiti minimi e delle condizioni di prova previsti dalla risoluzione CCNR 2008-II-11, possono continuare ad essere installati e utilizzati in presenza di un certificato di installazione valido ai sensi della presente norma o della risoluzione CCNR 2008-II-11.</w:t>
            </w:r>
          </w:p>
        </w:tc>
        <w:tc>
          <w:tcPr>
            <w:tcW w:w="1276" w:type="dxa"/>
            <w:shd w:val="clear" w:color="auto" w:fill="auto"/>
          </w:tcPr>
          <w:p w:rsidR="00643C51" w:rsidRPr="00643C51" w:rsidRDefault="00643C51" w:rsidP="000D7607">
            <w:pPr>
              <w:spacing w:before="40" w:after="40" w:line="240" w:lineRule="atLeast"/>
              <w:ind w:left="0" w:firstLine="0"/>
              <w:rPr>
                <w:rFonts w:cs="Arial"/>
                <w:sz w:val="18"/>
                <w:szCs w:val="18"/>
              </w:rPr>
            </w:pPr>
          </w:p>
        </w:tc>
      </w:tr>
      <w:tr w:rsidR="00643C51" w:rsidRPr="00A0619C" w:rsidTr="00F76D36">
        <w:trPr>
          <w:cantSplit/>
          <w:jc w:val="center"/>
        </w:trPr>
        <w:tc>
          <w:tcPr>
            <w:tcW w:w="1342" w:type="dxa"/>
            <w:tcBorders>
              <w:top w:val="nil"/>
              <w:bottom w:val="nil"/>
            </w:tcBorders>
            <w:shd w:val="clear" w:color="auto" w:fill="auto"/>
          </w:tcPr>
          <w:p w:rsidR="00643C51" w:rsidRPr="00C903F8" w:rsidRDefault="00643C51" w:rsidP="004F5E7B">
            <w:pPr>
              <w:spacing w:before="120" w:after="120" w:line="240" w:lineRule="atLeast"/>
              <w:ind w:left="0" w:firstLine="0"/>
              <w:rPr>
                <w:rFonts w:cs="Arial"/>
                <w:sz w:val="18"/>
                <w:szCs w:val="18"/>
              </w:rPr>
            </w:pPr>
          </w:p>
        </w:tc>
        <w:tc>
          <w:tcPr>
            <w:tcW w:w="1458" w:type="dxa"/>
            <w:tcBorders>
              <w:top w:val="nil"/>
              <w:bottom w:val="nil"/>
            </w:tcBorders>
            <w:shd w:val="clear" w:color="auto" w:fill="auto"/>
          </w:tcPr>
          <w:p w:rsidR="00643C51" w:rsidRPr="00020C43" w:rsidRDefault="00643C51" w:rsidP="00B90A00">
            <w:pPr>
              <w:spacing w:before="60" w:after="60" w:line="240" w:lineRule="atLeast"/>
              <w:rPr>
                <w:rFonts w:cs="Arial"/>
                <w:sz w:val="18"/>
                <w:szCs w:val="18"/>
              </w:rPr>
            </w:pPr>
            <w:r>
              <w:rPr>
                <w:sz w:val="18"/>
              </w:rPr>
              <w:t>paragrafo 3</w:t>
            </w:r>
          </w:p>
        </w:tc>
        <w:tc>
          <w:tcPr>
            <w:tcW w:w="3296" w:type="dxa"/>
            <w:tcBorders>
              <w:bottom w:val="nil"/>
            </w:tcBorders>
            <w:shd w:val="clear" w:color="auto" w:fill="auto"/>
          </w:tcPr>
          <w:p w:rsidR="00643C51" w:rsidRPr="00020C43" w:rsidRDefault="00643C51" w:rsidP="00B90A00">
            <w:pPr>
              <w:spacing w:before="60" w:after="60" w:line="240" w:lineRule="atLeast"/>
              <w:rPr>
                <w:rFonts w:cs="Arial"/>
                <w:sz w:val="18"/>
                <w:szCs w:val="18"/>
              </w:rPr>
            </w:pPr>
            <w:r>
              <w:rPr>
                <w:sz w:val="18"/>
              </w:rPr>
              <w:t>Dispositivo AIS interno</w:t>
            </w:r>
          </w:p>
        </w:tc>
        <w:tc>
          <w:tcPr>
            <w:tcW w:w="6521" w:type="dxa"/>
            <w:shd w:val="clear" w:color="auto" w:fill="auto"/>
          </w:tcPr>
          <w:p w:rsidR="00643C51" w:rsidRPr="00643C51" w:rsidRDefault="00643C51" w:rsidP="00643C51">
            <w:pPr>
              <w:spacing w:before="40" w:after="40" w:line="240" w:lineRule="atLeast"/>
              <w:ind w:left="0" w:firstLine="0"/>
              <w:rPr>
                <w:rFonts w:cs="Arial"/>
                <w:sz w:val="18"/>
                <w:szCs w:val="18"/>
              </w:rPr>
            </w:pPr>
            <w:r>
              <w:rPr>
                <w:sz w:val="18"/>
              </w:rPr>
              <w:t>Un dispositivo AIS interno con omologazione conforme alle edizioni 1.0 e 1.01 della norma sulle prove per AIS interno e installato prima del 1° dicembre 2015 può continuare ad essere utilizzato.</w:t>
            </w:r>
          </w:p>
        </w:tc>
        <w:tc>
          <w:tcPr>
            <w:tcW w:w="1276" w:type="dxa"/>
            <w:shd w:val="clear" w:color="auto" w:fill="auto"/>
          </w:tcPr>
          <w:p w:rsidR="00643C51" w:rsidRPr="00C903F8" w:rsidRDefault="00643C51" w:rsidP="004F5E7B">
            <w:pPr>
              <w:spacing w:before="120" w:after="120" w:line="240" w:lineRule="atLeast"/>
              <w:ind w:left="0" w:firstLine="0"/>
              <w:rPr>
                <w:rFonts w:cs="Arial"/>
                <w:sz w:val="18"/>
                <w:szCs w:val="18"/>
              </w:rPr>
            </w:pPr>
          </w:p>
        </w:tc>
      </w:tr>
      <w:tr w:rsidR="00F76D36" w:rsidRPr="00A0619C" w:rsidTr="00F76D36">
        <w:trPr>
          <w:cantSplit/>
          <w:jc w:val="center"/>
        </w:trPr>
        <w:tc>
          <w:tcPr>
            <w:tcW w:w="1342" w:type="dxa"/>
            <w:tcBorders>
              <w:top w:val="nil"/>
            </w:tcBorders>
            <w:shd w:val="clear" w:color="auto" w:fill="auto"/>
          </w:tcPr>
          <w:p w:rsidR="00F76D36" w:rsidRPr="00C903F8" w:rsidRDefault="00F76D36" w:rsidP="004F5E7B">
            <w:pPr>
              <w:spacing w:before="120" w:after="120" w:line="240" w:lineRule="atLeast"/>
              <w:ind w:left="0" w:firstLine="0"/>
              <w:rPr>
                <w:rFonts w:cs="Arial"/>
                <w:sz w:val="18"/>
                <w:szCs w:val="18"/>
              </w:rPr>
            </w:pPr>
          </w:p>
        </w:tc>
        <w:tc>
          <w:tcPr>
            <w:tcW w:w="1458" w:type="dxa"/>
            <w:tcBorders>
              <w:top w:val="nil"/>
            </w:tcBorders>
            <w:shd w:val="clear" w:color="auto" w:fill="auto"/>
          </w:tcPr>
          <w:p w:rsidR="00F76D36" w:rsidRPr="00EB50AB" w:rsidRDefault="00F76D36" w:rsidP="00B90A00">
            <w:pPr>
              <w:spacing w:before="60" w:after="60" w:line="240" w:lineRule="atLeast"/>
              <w:rPr>
                <w:rFonts w:cs="Arial"/>
                <w:sz w:val="18"/>
                <w:szCs w:val="18"/>
              </w:rPr>
            </w:pPr>
          </w:p>
        </w:tc>
        <w:tc>
          <w:tcPr>
            <w:tcW w:w="3296" w:type="dxa"/>
            <w:tcBorders>
              <w:top w:val="nil"/>
            </w:tcBorders>
            <w:shd w:val="clear" w:color="auto" w:fill="auto"/>
          </w:tcPr>
          <w:p w:rsidR="00F76D36" w:rsidRPr="00EB50AB" w:rsidRDefault="00F76D36" w:rsidP="00B90A00">
            <w:pPr>
              <w:spacing w:before="60" w:after="60" w:line="240" w:lineRule="atLeast"/>
              <w:rPr>
                <w:rFonts w:cs="Arial"/>
                <w:sz w:val="18"/>
                <w:szCs w:val="18"/>
              </w:rPr>
            </w:pPr>
          </w:p>
        </w:tc>
        <w:tc>
          <w:tcPr>
            <w:tcW w:w="6521" w:type="dxa"/>
            <w:shd w:val="clear" w:color="auto" w:fill="auto"/>
          </w:tcPr>
          <w:p w:rsidR="00F76D36" w:rsidRPr="00020C43" w:rsidRDefault="00F76D36" w:rsidP="007A3786">
            <w:pPr>
              <w:spacing w:before="40" w:after="40" w:line="240" w:lineRule="atLeast"/>
              <w:ind w:left="0" w:firstLine="0"/>
              <w:rPr>
                <w:rFonts w:cs="Arial"/>
                <w:sz w:val="18"/>
                <w:szCs w:val="18"/>
              </w:rPr>
            </w:pPr>
            <w:r>
              <w:rPr>
                <w:sz w:val="18"/>
              </w:rPr>
              <w:t>Un dispositivo AIS interno autorizzato il 19 ottobre 2012 o successivamente a tale data, conformemente ai requisiti della norma sulle prove per AIS interno, edizione 2.0, adottata tramite la risoluzione CCNR 2012-II-20, può continuare ad essere installato e utilizzato.</w:t>
            </w:r>
          </w:p>
        </w:tc>
        <w:tc>
          <w:tcPr>
            <w:tcW w:w="1276" w:type="dxa"/>
            <w:shd w:val="clear" w:color="auto" w:fill="auto"/>
          </w:tcPr>
          <w:p w:rsidR="00F76D36" w:rsidRPr="00C903F8" w:rsidRDefault="00F76D36" w:rsidP="004F5E7B">
            <w:pPr>
              <w:spacing w:before="120" w:after="120" w:line="240" w:lineRule="atLeast"/>
              <w:ind w:left="0" w:firstLine="0"/>
              <w:rPr>
                <w:rFonts w:cs="Arial"/>
                <w:sz w:val="18"/>
                <w:szCs w:val="18"/>
              </w:rPr>
            </w:pPr>
          </w:p>
        </w:tc>
      </w:tr>
      <w:tr w:rsidR="00196FBC" w:rsidRPr="00C903F8" w:rsidTr="00196FBC">
        <w:trPr>
          <w:cantSplit/>
          <w:jc w:val="center"/>
        </w:trPr>
        <w:tc>
          <w:tcPr>
            <w:tcW w:w="1342" w:type="dxa"/>
            <w:shd w:val="clear" w:color="auto" w:fill="auto"/>
          </w:tcPr>
          <w:p w:rsidR="00196FBC" w:rsidRPr="00C903F8" w:rsidRDefault="00196FBC" w:rsidP="008D121C">
            <w:pPr>
              <w:spacing w:before="240" w:after="240" w:line="240" w:lineRule="atLeast"/>
              <w:ind w:left="0" w:firstLine="0"/>
              <w:jc w:val="left"/>
              <w:rPr>
                <w:rFonts w:cs="Arial"/>
                <w:sz w:val="18"/>
                <w:szCs w:val="18"/>
              </w:rPr>
            </w:pPr>
            <w:r>
              <w:rPr>
                <w:sz w:val="18"/>
              </w:rPr>
              <w:t>7.09</w:t>
            </w:r>
          </w:p>
        </w:tc>
        <w:tc>
          <w:tcPr>
            <w:tcW w:w="1458" w:type="dxa"/>
            <w:tcBorders>
              <w:bottom w:val="single" w:sz="4" w:space="0" w:color="auto"/>
            </w:tcBorders>
            <w:shd w:val="clear" w:color="auto" w:fill="auto"/>
          </w:tcPr>
          <w:p w:rsidR="00196FBC" w:rsidRPr="00C903F8" w:rsidRDefault="00196FBC" w:rsidP="008D121C">
            <w:pPr>
              <w:spacing w:before="240" w:after="240" w:line="240" w:lineRule="atLeast"/>
              <w:ind w:left="0" w:firstLine="0"/>
              <w:rPr>
                <w:rFonts w:cs="Arial"/>
                <w:sz w:val="18"/>
                <w:szCs w:val="18"/>
              </w:rPr>
            </w:pPr>
          </w:p>
        </w:tc>
        <w:tc>
          <w:tcPr>
            <w:tcW w:w="3296" w:type="dxa"/>
            <w:tcBorders>
              <w:bottom w:val="single" w:sz="4" w:space="0" w:color="auto"/>
            </w:tcBorders>
            <w:shd w:val="clear" w:color="auto" w:fill="auto"/>
          </w:tcPr>
          <w:p w:rsidR="00196FBC" w:rsidRPr="00C903F8" w:rsidRDefault="00196FBC" w:rsidP="008D121C">
            <w:pPr>
              <w:spacing w:before="240" w:after="240" w:line="240" w:lineRule="atLeast"/>
              <w:ind w:left="0" w:firstLine="0"/>
              <w:rPr>
                <w:rFonts w:cs="Arial"/>
                <w:sz w:val="18"/>
                <w:szCs w:val="18"/>
              </w:rPr>
            </w:pPr>
            <w:r>
              <w:rPr>
                <w:noProof/>
                <w:sz w:val="18"/>
              </w:rPr>
              <w:t>Sistemi d'allarme</w:t>
            </w:r>
          </w:p>
        </w:tc>
        <w:tc>
          <w:tcPr>
            <w:tcW w:w="6521" w:type="dxa"/>
            <w:shd w:val="clear" w:color="auto" w:fill="auto"/>
          </w:tcPr>
          <w:p w:rsidR="00196FBC" w:rsidRPr="00C903F8" w:rsidRDefault="008761D9" w:rsidP="008D121C">
            <w:pPr>
              <w:spacing w:before="240" w:after="2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8D121C">
            <w:pPr>
              <w:spacing w:before="240" w:after="240" w:line="240" w:lineRule="atLeast"/>
              <w:ind w:left="0" w:firstLine="0"/>
              <w:rPr>
                <w:rFonts w:cs="Arial"/>
                <w:sz w:val="18"/>
                <w:szCs w:val="18"/>
              </w:rPr>
            </w:pPr>
            <w:r>
              <w:rPr>
                <w:sz w:val="18"/>
              </w:rPr>
              <w:t>1.1.2010</w:t>
            </w:r>
          </w:p>
        </w:tc>
      </w:tr>
      <w:tr w:rsidR="007406CD" w:rsidRPr="00A0619C" w:rsidTr="00F14E8B">
        <w:trPr>
          <w:cantSplit/>
          <w:jc w:val="center"/>
        </w:trPr>
        <w:tc>
          <w:tcPr>
            <w:tcW w:w="1342" w:type="dxa"/>
            <w:vMerge w:val="restart"/>
            <w:shd w:val="clear" w:color="auto" w:fill="auto"/>
          </w:tcPr>
          <w:p w:rsidR="007406CD" w:rsidRPr="00C903F8" w:rsidRDefault="007406CD" w:rsidP="007406CD">
            <w:pPr>
              <w:spacing w:before="120" w:after="120" w:line="240" w:lineRule="atLeast"/>
              <w:ind w:left="0" w:firstLine="0"/>
              <w:jc w:val="left"/>
              <w:rPr>
                <w:rFonts w:cs="Arial"/>
                <w:sz w:val="18"/>
                <w:szCs w:val="18"/>
              </w:rPr>
            </w:pPr>
            <w:r>
              <w:rPr>
                <w:sz w:val="18"/>
              </w:rPr>
              <w:t>7.12</w:t>
            </w:r>
          </w:p>
        </w:tc>
        <w:tc>
          <w:tcPr>
            <w:tcW w:w="1458" w:type="dxa"/>
            <w:shd w:val="clear" w:color="auto" w:fill="auto"/>
          </w:tcPr>
          <w:p w:rsidR="007406CD" w:rsidRPr="009942A5" w:rsidRDefault="007406CD" w:rsidP="007406CD">
            <w:pPr>
              <w:widowControl w:val="0"/>
              <w:spacing w:before="60" w:after="60" w:line="240" w:lineRule="atLeast"/>
              <w:ind w:left="0" w:firstLine="0"/>
              <w:jc w:val="left"/>
              <w:rPr>
                <w:rFonts w:cs="Arial"/>
                <w:sz w:val="18"/>
                <w:szCs w:val="18"/>
              </w:rPr>
            </w:pPr>
            <w:r>
              <w:rPr>
                <w:sz w:val="18"/>
              </w:rPr>
              <w:t xml:space="preserve">paragrafo 4 </w:t>
            </w:r>
            <w:r>
              <w:rPr>
                <w:rFonts w:cs="Arial"/>
                <w:sz w:val="18"/>
                <w:szCs w:val="18"/>
              </w:rPr>
              <w:br/>
            </w:r>
            <w:r>
              <w:rPr>
                <w:sz w:val="18"/>
              </w:rPr>
              <w:t>seconda frase</w:t>
            </w:r>
          </w:p>
        </w:tc>
        <w:tc>
          <w:tcPr>
            <w:tcW w:w="3296" w:type="dxa"/>
            <w:shd w:val="clear" w:color="auto" w:fill="auto"/>
          </w:tcPr>
          <w:p w:rsidR="007406CD" w:rsidRPr="009942A5" w:rsidRDefault="007406CD" w:rsidP="000E732C">
            <w:pPr>
              <w:widowControl w:val="0"/>
              <w:spacing w:before="60" w:after="60" w:line="240" w:lineRule="atLeast"/>
              <w:rPr>
                <w:rFonts w:cs="Arial"/>
                <w:sz w:val="18"/>
                <w:szCs w:val="18"/>
              </w:rPr>
            </w:pPr>
            <w:r>
              <w:rPr>
                <w:sz w:val="18"/>
              </w:rPr>
              <w:t>Segni</w:t>
            </w:r>
          </w:p>
        </w:tc>
        <w:tc>
          <w:tcPr>
            <w:tcW w:w="6521" w:type="dxa"/>
            <w:shd w:val="clear" w:color="auto" w:fill="auto"/>
          </w:tcPr>
          <w:p w:rsidR="007406CD" w:rsidRPr="009942A5" w:rsidRDefault="008761D9" w:rsidP="009942A5">
            <w:pPr>
              <w:widowControl w:val="0"/>
              <w:spacing w:before="60" w:after="6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7406CD" w:rsidRPr="009942A5" w:rsidRDefault="007406CD" w:rsidP="000E732C">
            <w:pPr>
              <w:widowControl w:val="0"/>
              <w:spacing w:before="60" w:after="60" w:line="240" w:lineRule="atLeast"/>
              <w:rPr>
                <w:rFonts w:cs="Arial"/>
                <w:sz w:val="18"/>
                <w:szCs w:val="18"/>
              </w:rPr>
            </w:pPr>
          </w:p>
        </w:tc>
      </w:tr>
      <w:tr w:rsidR="007406CD" w:rsidRPr="0092687B" w:rsidTr="007406CD">
        <w:trPr>
          <w:cantSplit/>
          <w:trHeight w:val="517"/>
          <w:jc w:val="center"/>
        </w:trPr>
        <w:tc>
          <w:tcPr>
            <w:tcW w:w="1342" w:type="dxa"/>
            <w:vMerge/>
            <w:shd w:val="clear" w:color="auto" w:fill="auto"/>
          </w:tcPr>
          <w:p w:rsidR="007406CD" w:rsidRPr="007406CD" w:rsidRDefault="007406CD" w:rsidP="009C40EF">
            <w:pPr>
              <w:spacing w:before="120" w:after="120" w:line="240" w:lineRule="atLeast"/>
              <w:ind w:left="0"/>
              <w:jc w:val="left"/>
              <w:rPr>
                <w:rFonts w:cs="Arial"/>
                <w:sz w:val="18"/>
                <w:szCs w:val="18"/>
              </w:rPr>
            </w:pPr>
          </w:p>
        </w:tc>
        <w:tc>
          <w:tcPr>
            <w:tcW w:w="1458" w:type="dxa"/>
            <w:shd w:val="clear" w:color="auto" w:fill="auto"/>
          </w:tcPr>
          <w:p w:rsidR="007406CD" w:rsidRPr="009942A5" w:rsidRDefault="007406CD" w:rsidP="007406CD">
            <w:pPr>
              <w:widowControl w:val="0"/>
              <w:spacing w:before="60" w:after="60" w:line="240" w:lineRule="atLeast"/>
              <w:ind w:left="0" w:firstLine="0"/>
              <w:jc w:val="left"/>
              <w:rPr>
                <w:rFonts w:cs="Arial"/>
                <w:sz w:val="18"/>
                <w:szCs w:val="18"/>
              </w:rPr>
            </w:pPr>
            <w:r>
              <w:rPr>
                <w:sz w:val="18"/>
              </w:rPr>
              <w:t>paragrafo 5</w:t>
            </w:r>
          </w:p>
        </w:tc>
        <w:tc>
          <w:tcPr>
            <w:tcW w:w="3296" w:type="dxa"/>
            <w:shd w:val="clear" w:color="auto" w:fill="auto"/>
          </w:tcPr>
          <w:p w:rsidR="007406CD" w:rsidRPr="009942A5" w:rsidRDefault="007406CD" w:rsidP="000E732C">
            <w:pPr>
              <w:widowControl w:val="0"/>
              <w:spacing w:before="60" w:after="60" w:line="240" w:lineRule="atLeast"/>
              <w:rPr>
                <w:rFonts w:cs="Arial"/>
                <w:sz w:val="18"/>
                <w:szCs w:val="18"/>
              </w:rPr>
            </w:pPr>
            <w:r>
              <w:rPr>
                <w:sz w:val="18"/>
              </w:rPr>
              <w:t>Arresto e blocco</w:t>
            </w:r>
          </w:p>
        </w:tc>
        <w:tc>
          <w:tcPr>
            <w:tcW w:w="6521" w:type="dxa"/>
            <w:shd w:val="clear" w:color="auto" w:fill="auto"/>
          </w:tcPr>
          <w:p w:rsidR="007406CD" w:rsidRPr="009942A5" w:rsidRDefault="008761D9" w:rsidP="009942A5">
            <w:pPr>
              <w:widowControl w:val="0"/>
              <w:spacing w:before="60" w:after="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7406CD" w:rsidRPr="009942A5" w:rsidRDefault="007406CD" w:rsidP="000E732C">
            <w:pPr>
              <w:widowControl w:val="0"/>
              <w:spacing w:before="60" w:after="60" w:line="240" w:lineRule="atLeast"/>
              <w:rPr>
                <w:rFonts w:cs="Arial"/>
                <w:sz w:val="18"/>
                <w:szCs w:val="18"/>
              </w:rPr>
            </w:pPr>
            <w:r>
              <w:rPr>
                <w:sz w:val="18"/>
              </w:rPr>
              <w:t>1.1.2025</w:t>
            </w:r>
          </w:p>
        </w:tc>
      </w:tr>
      <w:tr w:rsidR="007406CD" w:rsidRPr="0092687B" w:rsidTr="007406CD">
        <w:trPr>
          <w:cantSplit/>
          <w:trHeight w:val="553"/>
          <w:jc w:val="center"/>
        </w:trPr>
        <w:tc>
          <w:tcPr>
            <w:tcW w:w="1342" w:type="dxa"/>
            <w:vMerge/>
            <w:shd w:val="clear" w:color="auto" w:fill="auto"/>
          </w:tcPr>
          <w:p w:rsidR="007406CD" w:rsidRPr="007406CD" w:rsidRDefault="007406CD" w:rsidP="009C40EF">
            <w:pPr>
              <w:spacing w:before="120" w:after="120" w:line="240" w:lineRule="atLeast"/>
              <w:ind w:left="0"/>
              <w:jc w:val="left"/>
              <w:rPr>
                <w:rFonts w:cs="Arial"/>
                <w:sz w:val="18"/>
                <w:szCs w:val="18"/>
              </w:rPr>
            </w:pPr>
          </w:p>
        </w:tc>
        <w:tc>
          <w:tcPr>
            <w:tcW w:w="1458" w:type="dxa"/>
            <w:shd w:val="clear" w:color="auto" w:fill="auto"/>
          </w:tcPr>
          <w:p w:rsidR="007406CD" w:rsidRPr="009942A5" w:rsidRDefault="007406CD" w:rsidP="007406CD">
            <w:pPr>
              <w:widowControl w:val="0"/>
              <w:spacing w:before="60" w:after="60" w:line="240" w:lineRule="atLeast"/>
              <w:ind w:left="0" w:firstLine="0"/>
              <w:jc w:val="left"/>
              <w:rPr>
                <w:rFonts w:cs="Arial"/>
                <w:sz w:val="18"/>
                <w:szCs w:val="18"/>
              </w:rPr>
            </w:pPr>
            <w:r>
              <w:rPr>
                <w:sz w:val="18"/>
              </w:rPr>
              <w:t>paragrafo 6</w:t>
            </w:r>
          </w:p>
        </w:tc>
        <w:tc>
          <w:tcPr>
            <w:tcW w:w="3296" w:type="dxa"/>
            <w:shd w:val="clear" w:color="auto" w:fill="auto"/>
          </w:tcPr>
          <w:p w:rsidR="007406CD" w:rsidRPr="009942A5" w:rsidRDefault="007406CD" w:rsidP="000E732C">
            <w:pPr>
              <w:widowControl w:val="0"/>
              <w:spacing w:before="60" w:after="60" w:line="240" w:lineRule="atLeast"/>
              <w:rPr>
                <w:rFonts w:cs="Arial"/>
                <w:sz w:val="18"/>
                <w:szCs w:val="18"/>
              </w:rPr>
            </w:pPr>
            <w:r>
              <w:rPr>
                <w:sz w:val="18"/>
              </w:rPr>
              <w:t>Disattivazione automatica</w:t>
            </w:r>
          </w:p>
        </w:tc>
        <w:tc>
          <w:tcPr>
            <w:tcW w:w="6521" w:type="dxa"/>
            <w:shd w:val="clear" w:color="auto" w:fill="auto"/>
          </w:tcPr>
          <w:p w:rsidR="007406CD" w:rsidRPr="009942A5" w:rsidRDefault="008761D9" w:rsidP="009942A5">
            <w:pPr>
              <w:widowControl w:val="0"/>
              <w:spacing w:before="60" w:after="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7406CD" w:rsidRPr="009942A5" w:rsidRDefault="007406CD" w:rsidP="000E732C">
            <w:pPr>
              <w:widowControl w:val="0"/>
              <w:spacing w:before="60" w:after="60" w:line="240" w:lineRule="atLeast"/>
              <w:rPr>
                <w:rFonts w:cs="Arial"/>
                <w:sz w:val="18"/>
                <w:szCs w:val="18"/>
              </w:rPr>
            </w:pPr>
            <w:r>
              <w:rPr>
                <w:sz w:val="18"/>
              </w:rPr>
              <w:t>1.1.2025</w:t>
            </w:r>
          </w:p>
        </w:tc>
      </w:tr>
      <w:tr w:rsidR="007406CD" w:rsidRPr="0092687B" w:rsidTr="00F14E8B">
        <w:trPr>
          <w:cantSplit/>
          <w:jc w:val="center"/>
        </w:trPr>
        <w:tc>
          <w:tcPr>
            <w:tcW w:w="1342" w:type="dxa"/>
            <w:vMerge/>
            <w:shd w:val="clear" w:color="auto" w:fill="auto"/>
          </w:tcPr>
          <w:p w:rsidR="007406CD" w:rsidRPr="007406CD" w:rsidRDefault="007406CD" w:rsidP="009C40EF">
            <w:pPr>
              <w:spacing w:before="120" w:after="120" w:line="240" w:lineRule="atLeast"/>
              <w:ind w:left="0"/>
              <w:jc w:val="left"/>
              <w:rPr>
                <w:rFonts w:cs="Arial"/>
                <w:sz w:val="18"/>
                <w:szCs w:val="18"/>
              </w:rPr>
            </w:pPr>
          </w:p>
        </w:tc>
        <w:tc>
          <w:tcPr>
            <w:tcW w:w="1458" w:type="dxa"/>
            <w:shd w:val="clear" w:color="auto" w:fill="auto"/>
          </w:tcPr>
          <w:p w:rsidR="007406CD" w:rsidRPr="009942A5" w:rsidRDefault="007406CD" w:rsidP="007406CD">
            <w:pPr>
              <w:widowControl w:val="0"/>
              <w:spacing w:before="60" w:after="60" w:line="240" w:lineRule="atLeast"/>
              <w:ind w:left="0" w:firstLine="0"/>
              <w:jc w:val="left"/>
              <w:rPr>
                <w:rFonts w:cs="Arial"/>
                <w:sz w:val="18"/>
                <w:szCs w:val="18"/>
              </w:rPr>
            </w:pPr>
            <w:r>
              <w:rPr>
                <w:sz w:val="18"/>
              </w:rPr>
              <w:t xml:space="preserve">paragrafo 7 </w:t>
            </w:r>
            <w:r>
              <w:rPr>
                <w:rFonts w:cs="Arial"/>
                <w:sz w:val="18"/>
                <w:szCs w:val="18"/>
              </w:rPr>
              <w:br/>
            </w:r>
            <w:r>
              <w:rPr>
                <w:sz w:val="18"/>
              </w:rPr>
              <w:t>prima e seconda frase</w:t>
            </w:r>
          </w:p>
        </w:tc>
        <w:tc>
          <w:tcPr>
            <w:tcW w:w="3296" w:type="dxa"/>
            <w:shd w:val="clear" w:color="auto" w:fill="auto"/>
          </w:tcPr>
          <w:p w:rsidR="007406CD" w:rsidRPr="009942A5" w:rsidRDefault="007406CD" w:rsidP="000E732C">
            <w:pPr>
              <w:widowControl w:val="0"/>
              <w:spacing w:before="60" w:after="60" w:line="240" w:lineRule="atLeast"/>
              <w:rPr>
                <w:rFonts w:cs="Arial"/>
                <w:sz w:val="18"/>
                <w:szCs w:val="18"/>
              </w:rPr>
            </w:pPr>
            <w:r>
              <w:rPr>
                <w:sz w:val="18"/>
              </w:rPr>
              <w:t>Sistemazioni e caratteristiche di protezione</w:t>
            </w:r>
          </w:p>
        </w:tc>
        <w:tc>
          <w:tcPr>
            <w:tcW w:w="6521" w:type="dxa"/>
            <w:shd w:val="clear" w:color="auto" w:fill="auto"/>
          </w:tcPr>
          <w:p w:rsidR="007406CD" w:rsidRPr="009942A5" w:rsidRDefault="008761D9" w:rsidP="009942A5">
            <w:pPr>
              <w:widowControl w:val="0"/>
              <w:spacing w:before="60" w:after="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7406CD" w:rsidRPr="009942A5" w:rsidRDefault="007406CD" w:rsidP="000E732C">
            <w:pPr>
              <w:widowControl w:val="0"/>
              <w:spacing w:before="60" w:after="60" w:line="240" w:lineRule="atLeast"/>
              <w:rPr>
                <w:rFonts w:cs="Arial"/>
                <w:sz w:val="18"/>
                <w:szCs w:val="18"/>
              </w:rPr>
            </w:pPr>
            <w:r>
              <w:rPr>
                <w:sz w:val="18"/>
              </w:rPr>
              <w:t>1.1.2025</w:t>
            </w:r>
          </w:p>
        </w:tc>
      </w:tr>
      <w:tr w:rsidR="007406CD" w:rsidRPr="00A0619C" w:rsidTr="00F14E8B">
        <w:trPr>
          <w:cantSplit/>
          <w:jc w:val="center"/>
        </w:trPr>
        <w:tc>
          <w:tcPr>
            <w:tcW w:w="1342" w:type="dxa"/>
            <w:vMerge/>
            <w:shd w:val="clear" w:color="auto" w:fill="auto"/>
          </w:tcPr>
          <w:p w:rsidR="007406CD" w:rsidRPr="007406CD" w:rsidRDefault="007406CD" w:rsidP="009C40EF">
            <w:pPr>
              <w:spacing w:before="120" w:after="120" w:line="240" w:lineRule="atLeast"/>
              <w:ind w:left="0"/>
              <w:jc w:val="left"/>
              <w:rPr>
                <w:rFonts w:cs="Arial"/>
                <w:sz w:val="18"/>
                <w:szCs w:val="18"/>
              </w:rPr>
            </w:pPr>
          </w:p>
        </w:tc>
        <w:tc>
          <w:tcPr>
            <w:tcW w:w="1458" w:type="dxa"/>
            <w:shd w:val="clear" w:color="auto" w:fill="auto"/>
          </w:tcPr>
          <w:p w:rsidR="007406CD" w:rsidRPr="009942A5" w:rsidRDefault="007406CD" w:rsidP="007406CD">
            <w:pPr>
              <w:widowControl w:val="0"/>
              <w:spacing w:before="60" w:after="60" w:line="240" w:lineRule="atLeast"/>
              <w:ind w:left="0" w:firstLine="0"/>
              <w:jc w:val="left"/>
              <w:rPr>
                <w:rFonts w:cs="Arial"/>
                <w:sz w:val="18"/>
                <w:szCs w:val="18"/>
              </w:rPr>
            </w:pPr>
            <w:r>
              <w:rPr>
                <w:sz w:val="18"/>
              </w:rPr>
              <w:t xml:space="preserve">paragrafo 7 </w:t>
            </w:r>
            <w:r>
              <w:rPr>
                <w:rFonts w:cs="Arial"/>
                <w:sz w:val="18"/>
                <w:szCs w:val="18"/>
              </w:rPr>
              <w:br/>
            </w:r>
            <w:r>
              <w:rPr>
                <w:sz w:val="18"/>
              </w:rPr>
              <w:t>terza frase</w:t>
            </w:r>
          </w:p>
        </w:tc>
        <w:tc>
          <w:tcPr>
            <w:tcW w:w="3296" w:type="dxa"/>
            <w:shd w:val="clear" w:color="auto" w:fill="auto"/>
          </w:tcPr>
          <w:p w:rsidR="007406CD" w:rsidRPr="009942A5" w:rsidRDefault="007406CD" w:rsidP="000E732C">
            <w:pPr>
              <w:widowControl w:val="0"/>
              <w:spacing w:before="60" w:after="60" w:line="240" w:lineRule="atLeast"/>
              <w:rPr>
                <w:rFonts w:cs="Arial"/>
                <w:sz w:val="18"/>
                <w:szCs w:val="18"/>
              </w:rPr>
            </w:pPr>
            <w:r>
              <w:rPr>
                <w:sz w:val="18"/>
              </w:rPr>
              <w:t>Segnale visivo</w:t>
            </w:r>
          </w:p>
        </w:tc>
        <w:tc>
          <w:tcPr>
            <w:tcW w:w="6521" w:type="dxa"/>
            <w:shd w:val="clear" w:color="auto" w:fill="auto"/>
          </w:tcPr>
          <w:p w:rsidR="007406CD" w:rsidRPr="009942A5" w:rsidRDefault="008761D9" w:rsidP="009942A5">
            <w:pPr>
              <w:widowControl w:val="0"/>
              <w:spacing w:before="60" w:after="6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7406CD" w:rsidRPr="009942A5" w:rsidRDefault="007406CD" w:rsidP="000E732C">
            <w:pPr>
              <w:widowControl w:val="0"/>
              <w:spacing w:before="60" w:after="60" w:line="240" w:lineRule="atLeast"/>
              <w:rPr>
                <w:rFonts w:cs="Arial"/>
                <w:sz w:val="18"/>
                <w:szCs w:val="18"/>
              </w:rPr>
            </w:pPr>
          </w:p>
        </w:tc>
      </w:tr>
      <w:tr w:rsidR="007406CD" w:rsidRPr="0092687B" w:rsidTr="00F14E8B">
        <w:trPr>
          <w:cantSplit/>
          <w:jc w:val="center"/>
        </w:trPr>
        <w:tc>
          <w:tcPr>
            <w:tcW w:w="1342" w:type="dxa"/>
            <w:vMerge/>
            <w:shd w:val="clear" w:color="auto" w:fill="auto"/>
          </w:tcPr>
          <w:p w:rsidR="007406CD" w:rsidRPr="007406CD" w:rsidRDefault="007406CD" w:rsidP="009C40EF">
            <w:pPr>
              <w:spacing w:before="120" w:after="120" w:line="240" w:lineRule="atLeast"/>
              <w:ind w:left="0"/>
              <w:jc w:val="left"/>
              <w:rPr>
                <w:rFonts w:cs="Arial"/>
                <w:sz w:val="18"/>
                <w:szCs w:val="18"/>
              </w:rPr>
            </w:pPr>
          </w:p>
        </w:tc>
        <w:tc>
          <w:tcPr>
            <w:tcW w:w="1458" w:type="dxa"/>
            <w:shd w:val="clear" w:color="auto" w:fill="auto"/>
          </w:tcPr>
          <w:p w:rsidR="007406CD" w:rsidRPr="009942A5" w:rsidRDefault="007406CD" w:rsidP="007406CD">
            <w:pPr>
              <w:widowControl w:val="0"/>
              <w:spacing w:before="60" w:after="60" w:line="240" w:lineRule="atLeast"/>
              <w:ind w:left="0" w:firstLine="0"/>
              <w:jc w:val="left"/>
              <w:rPr>
                <w:rFonts w:cs="Arial"/>
                <w:sz w:val="18"/>
                <w:szCs w:val="18"/>
              </w:rPr>
            </w:pPr>
            <w:r>
              <w:rPr>
                <w:sz w:val="18"/>
              </w:rPr>
              <w:t>paragrafo 8</w:t>
            </w:r>
          </w:p>
        </w:tc>
        <w:tc>
          <w:tcPr>
            <w:tcW w:w="3296" w:type="dxa"/>
            <w:shd w:val="clear" w:color="auto" w:fill="auto"/>
          </w:tcPr>
          <w:p w:rsidR="007406CD" w:rsidRPr="009942A5" w:rsidRDefault="007406CD" w:rsidP="000E732C">
            <w:pPr>
              <w:widowControl w:val="0"/>
              <w:tabs>
                <w:tab w:val="left" w:pos="1260"/>
              </w:tabs>
              <w:adjustRightInd w:val="0"/>
              <w:spacing w:before="60" w:after="60" w:line="240" w:lineRule="atLeast"/>
              <w:rPr>
                <w:rFonts w:cs="Arial"/>
                <w:sz w:val="18"/>
                <w:szCs w:val="18"/>
              </w:rPr>
            </w:pPr>
            <w:r>
              <w:rPr>
                <w:sz w:val="18"/>
              </w:rPr>
              <w:t>Sistema di abbassamento di emergenza</w:t>
            </w:r>
          </w:p>
        </w:tc>
        <w:tc>
          <w:tcPr>
            <w:tcW w:w="6521" w:type="dxa"/>
            <w:shd w:val="clear" w:color="auto" w:fill="auto"/>
          </w:tcPr>
          <w:p w:rsidR="007406CD" w:rsidRPr="009942A5" w:rsidRDefault="007406CD" w:rsidP="009942A5">
            <w:pPr>
              <w:widowControl w:val="0"/>
              <w:spacing w:before="60" w:after="60" w:line="240" w:lineRule="atLeast"/>
              <w:ind w:left="0" w:firstLine="0"/>
              <w:rPr>
                <w:rFonts w:cs="Arial"/>
                <w:sz w:val="18"/>
                <w:szCs w:val="18"/>
              </w:rPr>
            </w:pPr>
            <w:r>
              <w:rPr>
                <w:sz w:val="18"/>
              </w:rPr>
              <w:t xml:space="preserve">Se l'abbassamento idraulico non è possibile: N.S.T., al più tardi alla data del rinnovo del certificato per la navigazione interna posteriormente al </w:t>
            </w:r>
          </w:p>
        </w:tc>
        <w:tc>
          <w:tcPr>
            <w:tcW w:w="1276" w:type="dxa"/>
            <w:shd w:val="clear" w:color="auto" w:fill="auto"/>
          </w:tcPr>
          <w:p w:rsidR="007406CD" w:rsidRPr="009942A5" w:rsidRDefault="007406CD" w:rsidP="000E732C">
            <w:pPr>
              <w:widowControl w:val="0"/>
              <w:spacing w:before="60" w:after="60" w:line="240" w:lineRule="atLeast"/>
              <w:rPr>
                <w:rFonts w:cs="Arial"/>
                <w:sz w:val="18"/>
                <w:szCs w:val="18"/>
              </w:rPr>
            </w:pPr>
            <w:r>
              <w:rPr>
                <w:sz w:val="18"/>
              </w:rPr>
              <w:t>1.1.2040</w:t>
            </w:r>
          </w:p>
        </w:tc>
      </w:tr>
      <w:tr w:rsidR="007406CD" w:rsidRPr="00A0619C" w:rsidTr="00F14E8B">
        <w:trPr>
          <w:cantSplit/>
          <w:jc w:val="center"/>
        </w:trPr>
        <w:tc>
          <w:tcPr>
            <w:tcW w:w="1342" w:type="dxa"/>
            <w:vMerge/>
            <w:shd w:val="clear" w:color="auto" w:fill="auto"/>
          </w:tcPr>
          <w:p w:rsidR="007406CD" w:rsidRPr="007406CD" w:rsidRDefault="007406CD" w:rsidP="009C40EF">
            <w:pPr>
              <w:spacing w:before="120" w:after="120" w:line="240" w:lineRule="atLeast"/>
              <w:ind w:left="0" w:firstLine="0"/>
              <w:jc w:val="left"/>
              <w:rPr>
                <w:rFonts w:cs="Arial"/>
                <w:sz w:val="18"/>
                <w:szCs w:val="18"/>
              </w:rPr>
            </w:pPr>
          </w:p>
        </w:tc>
        <w:tc>
          <w:tcPr>
            <w:tcW w:w="1458" w:type="dxa"/>
            <w:vMerge w:val="restart"/>
            <w:shd w:val="clear" w:color="auto" w:fill="auto"/>
          </w:tcPr>
          <w:p w:rsidR="007406CD" w:rsidRPr="009942A5" w:rsidDel="00F12D85" w:rsidRDefault="007406CD" w:rsidP="007406CD">
            <w:pPr>
              <w:widowControl w:val="0"/>
              <w:spacing w:before="60" w:after="60" w:line="240" w:lineRule="atLeast"/>
              <w:ind w:left="0" w:firstLine="0"/>
              <w:jc w:val="left"/>
              <w:rPr>
                <w:rFonts w:cs="Arial"/>
                <w:sz w:val="18"/>
                <w:szCs w:val="18"/>
              </w:rPr>
            </w:pPr>
            <w:r>
              <w:rPr>
                <w:sz w:val="18"/>
              </w:rPr>
              <w:t>paragrafo 12, lettera c)</w:t>
            </w:r>
          </w:p>
        </w:tc>
        <w:tc>
          <w:tcPr>
            <w:tcW w:w="3296" w:type="dxa"/>
            <w:vMerge w:val="restart"/>
            <w:shd w:val="clear" w:color="auto" w:fill="auto"/>
          </w:tcPr>
          <w:p w:rsidR="007406CD" w:rsidRPr="009942A5" w:rsidRDefault="007406CD" w:rsidP="000E732C">
            <w:pPr>
              <w:widowControl w:val="0"/>
              <w:tabs>
                <w:tab w:val="left" w:pos="1260"/>
              </w:tabs>
              <w:adjustRightInd w:val="0"/>
              <w:spacing w:before="60" w:after="60" w:line="240" w:lineRule="atLeast"/>
              <w:rPr>
                <w:rFonts w:cs="Arial"/>
                <w:sz w:val="18"/>
                <w:szCs w:val="18"/>
              </w:rPr>
            </w:pPr>
            <w:r>
              <w:rPr>
                <w:sz w:val="18"/>
              </w:rPr>
              <w:t>Prove</w:t>
            </w:r>
          </w:p>
        </w:tc>
        <w:tc>
          <w:tcPr>
            <w:tcW w:w="6521" w:type="dxa"/>
            <w:shd w:val="clear" w:color="auto" w:fill="auto"/>
          </w:tcPr>
          <w:p w:rsidR="007406CD" w:rsidRPr="009942A5" w:rsidRDefault="008761D9" w:rsidP="009942A5">
            <w:pPr>
              <w:widowControl w:val="0"/>
              <w:spacing w:before="60" w:after="60" w:line="240" w:lineRule="atLeast"/>
              <w:ind w:left="0" w:firstLine="0"/>
              <w:rPr>
                <w:rFonts w:cs="Arial"/>
                <w:sz w:val="18"/>
                <w:szCs w:val="18"/>
              </w:rPr>
            </w:pPr>
            <w:r>
              <w:rPr>
                <w:sz w:val="18"/>
              </w:rPr>
              <w:t>N.S.T., al più tardi alla data del rinnovo del certificato per la navigazione interna.</w:t>
            </w:r>
          </w:p>
        </w:tc>
        <w:tc>
          <w:tcPr>
            <w:tcW w:w="1276" w:type="dxa"/>
            <w:vMerge w:val="restart"/>
            <w:shd w:val="clear" w:color="auto" w:fill="auto"/>
          </w:tcPr>
          <w:p w:rsidR="007406CD" w:rsidRPr="009942A5" w:rsidRDefault="007406CD" w:rsidP="000E732C">
            <w:pPr>
              <w:widowControl w:val="0"/>
              <w:spacing w:before="60" w:after="60" w:line="240" w:lineRule="atLeast"/>
              <w:rPr>
                <w:rFonts w:cs="Arial"/>
                <w:sz w:val="18"/>
                <w:szCs w:val="18"/>
              </w:rPr>
            </w:pPr>
          </w:p>
        </w:tc>
      </w:tr>
      <w:tr w:rsidR="007406CD" w:rsidRPr="00A0619C" w:rsidTr="00F14E8B">
        <w:trPr>
          <w:cantSplit/>
          <w:jc w:val="center"/>
        </w:trPr>
        <w:tc>
          <w:tcPr>
            <w:tcW w:w="1342" w:type="dxa"/>
            <w:vMerge/>
            <w:shd w:val="clear" w:color="auto" w:fill="auto"/>
          </w:tcPr>
          <w:p w:rsidR="007406CD" w:rsidRPr="00C903F8" w:rsidRDefault="007406CD" w:rsidP="00740370">
            <w:pPr>
              <w:spacing w:before="120" w:after="120" w:line="240" w:lineRule="atLeast"/>
              <w:ind w:left="0" w:firstLine="0"/>
              <w:rPr>
                <w:rFonts w:cs="Arial"/>
                <w:sz w:val="18"/>
                <w:szCs w:val="18"/>
              </w:rPr>
            </w:pPr>
          </w:p>
        </w:tc>
        <w:tc>
          <w:tcPr>
            <w:tcW w:w="1458" w:type="dxa"/>
            <w:vMerge/>
            <w:shd w:val="clear" w:color="auto" w:fill="auto"/>
          </w:tcPr>
          <w:p w:rsidR="007406CD" w:rsidRPr="00C903F8" w:rsidRDefault="007406CD" w:rsidP="00740370">
            <w:pPr>
              <w:spacing w:before="120" w:after="120" w:line="240" w:lineRule="atLeast"/>
              <w:ind w:left="0" w:firstLine="0"/>
              <w:rPr>
                <w:rFonts w:cs="Arial"/>
                <w:sz w:val="18"/>
                <w:szCs w:val="18"/>
              </w:rPr>
            </w:pPr>
          </w:p>
        </w:tc>
        <w:tc>
          <w:tcPr>
            <w:tcW w:w="3296" w:type="dxa"/>
            <w:vMerge/>
            <w:shd w:val="clear" w:color="auto" w:fill="auto"/>
          </w:tcPr>
          <w:p w:rsidR="007406CD" w:rsidRPr="00C903F8" w:rsidRDefault="007406CD" w:rsidP="00740370">
            <w:pPr>
              <w:spacing w:before="120" w:after="120" w:line="240" w:lineRule="atLeast"/>
              <w:ind w:left="0" w:firstLine="0"/>
              <w:rPr>
                <w:rFonts w:cs="Arial"/>
                <w:sz w:val="18"/>
                <w:szCs w:val="18"/>
              </w:rPr>
            </w:pPr>
          </w:p>
        </w:tc>
        <w:tc>
          <w:tcPr>
            <w:tcW w:w="6521" w:type="dxa"/>
            <w:shd w:val="clear" w:color="auto" w:fill="auto"/>
          </w:tcPr>
          <w:p w:rsidR="007406CD" w:rsidRPr="009942A5" w:rsidRDefault="007406CD" w:rsidP="009942A5">
            <w:pPr>
              <w:widowControl w:val="0"/>
              <w:spacing w:before="60" w:after="60" w:line="240" w:lineRule="atLeast"/>
              <w:ind w:left="0" w:firstLine="0"/>
              <w:rPr>
                <w:rFonts w:cs="Arial"/>
                <w:sz w:val="18"/>
                <w:szCs w:val="18"/>
              </w:rPr>
            </w:pPr>
            <w:r>
              <w:rPr>
                <w:sz w:val="18"/>
              </w:rPr>
              <w:t>Qualora non possa essere fornita la prova matematica, la commissione di ispezione può riconoscere altre prove idonee come equivalenti.</w:t>
            </w:r>
          </w:p>
        </w:tc>
        <w:tc>
          <w:tcPr>
            <w:tcW w:w="1276" w:type="dxa"/>
            <w:vMerge/>
            <w:shd w:val="clear" w:color="auto" w:fill="auto"/>
          </w:tcPr>
          <w:p w:rsidR="007406CD" w:rsidRPr="00E83191" w:rsidRDefault="007406CD" w:rsidP="000E732C">
            <w:pPr>
              <w:widowControl w:val="0"/>
              <w:spacing w:before="60" w:after="60" w:line="240" w:lineRule="atLeast"/>
              <w:rPr>
                <w:rFonts w:cs="Arial"/>
                <w:sz w:val="18"/>
                <w:szCs w:val="18"/>
                <w:highlight w:val="lightGray"/>
              </w:rPr>
            </w:pPr>
          </w:p>
        </w:tc>
      </w:tr>
      <w:tr w:rsidR="00196FBC" w:rsidRPr="00C903F8" w:rsidTr="00196FBC">
        <w:trPr>
          <w:cantSplit/>
          <w:jc w:val="center"/>
        </w:trPr>
        <w:tc>
          <w:tcPr>
            <w:tcW w:w="6096" w:type="dxa"/>
            <w:gridSpan w:val="3"/>
            <w:shd w:val="clear" w:color="auto" w:fill="auto"/>
          </w:tcPr>
          <w:p w:rsidR="00196FBC" w:rsidRPr="00C903F8" w:rsidRDefault="00196FBC" w:rsidP="00BB7B04">
            <w:pPr>
              <w:spacing w:before="60" w:after="60" w:line="240" w:lineRule="atLeast"/>
              <w:ind w:left="0" w:firstLine="0"/>
              <w:jc w:val="center"/>
              <w:rPr>
                <w:rFonts w:cs="Arial"/>
                <w:sz w:val="18"/>
                <w:szCs w:val="18"/>
              </w:rPr>
            </w:pPr>
            <w:r>
              <w:rPr>
                <w:b/>
                <w:sz w:val="18"/>
              </w:rPr>
              <w:t>CAPO 8</w:t>
            </w:r>
          </w:p>
        </w:tc>
        <w:tc>
          <w:tcPr>
            <w:tcW w:w="6521" w:type="dxa"/>
            <w:shd w:val="clear" w:color="auto" w:fill="auto"/>
          </w:tcPr>
          <w:p w:rsidR="00196FBC" w:rsidRPr="00C903F8" w:rsidRDefault="00196FBC" w:rsidP="00BB7B04">
            <w:pPr>
              <w:spacing w:before="60" w:after="60" w:line="240" w:lineRule="atLeast"/>
              <w:ind w:left="0" w:firstLine="0"/>
              <w:rPr>
                <w:rFonts w:cs="Arial"/>
                <w:sz w:val="18"/>
                <w:szCs w:val="18"/>
              </w:rPr>
            </w:pPr>
          </w:p>
        </w:tc>
        <w:tc>
          <w:tcPr>
            <w:tcW w:w="1276" w:type="dxa"/>
            <w:shd w:val="clear" w:color="auto" w:fill="auto"/>
          </w:tcPr>
          <w:p w:rsidR="00196FBC" w:rsidRPr="00C903F8" w:rsidRDefault="00196FBC" w:rsidP="00BB7B04">
            <w:pPr>
              <w:spacing w:before="60" w:after="60" w:line="240" w:lineRule="atLeast"/>
              <w:ind w:left="0" w:firstLine="0"/>
              <w:rPr>
                <w:rFonts w:cs="Arial"/>
                <w:sz w:val="18"/>
                <w:szCs w:val="18"/>
              </w:rPr>
            </w:pPr>
          </w:p>
        </w:tc>
      </w:tr>
      <w:tr w:rsidR="00196FBC" w:rsidRPr="00C903F8" w:rsidTr="00196FBC">
        <w:trPr>
          <w:cantSplit/>
          <w:jc w:val="center"/>
        </w:trPr>
        <w:tc>
          <w:tcPr>
            <w:tcW w:w="1342" w:type="dxa"/>
            <w:tcBorders>
              <w:bottom w:val="single" w:sz="4" w:space="0" w:color="auto"/>
            </w:tcBorders>
            <w:shd w:val="clear" w:color="auto" w:fill="auto"/>
          </w:tcPr>
          <w:p w:rsidR="00196FBC" w:rsidRPr="00C903F8" w:rsidRDefault="00196FBC" w:rsidP="00BB7B04">
            <w:pPr>
              <w:spacing w:before="80" w:after="80" w:line="240" w:lineRule="atLeast"/>
              <w:ind w:left="0" w:firstLine="0"/>
              <w:rPr>
                <w:rFonts w:cs="Arial"/>
                <w:sz w:val="18"/>
                <w:szCs w:val="18"/>
              </w:rPr>
            </w:pPr>
            <w:r>
              <w:rPr>
                <w:sz w:val="18"/>
              </w:rPr>
              <w:t>8.01</w:t>
            </w:r>
          </w:p>
        </w:tc>
        <w:tc>
          <w:tcPr>
            <w:tcW w:w="1458" w:type="dxa"/>
            <w:shd w:val="clear" w:color="auto" w:fill="auto"/>
          </w:tcPr>
          <w:p w:rsidR="00196FBC" w:rsidRPr="00C903F8" w:rsidRDefault="00196FBC" w:rsidP="00A5358D">
            <w:pPr>
              <w:spacing w:before="120" w:after="120" w:line="240" w:lineRule="atLeast"/>
              <w:ind w:left="0" w:firstLine="0"/>
              <w:rPr>
                <w:rFonts w:cs="Arial"/>
                <w:sz w:val="18"/>
                <w:szCs w:val="18"/>
              </w:rPr>
            </w:pPr>
            <w:r>
              <w:rPr>
                <w:sz w:val="18"/>
              </w:rPr>
              <w:t>paragrafo 3</w:t>
            </w:r>
          </w:p>
        </w:tc>
        <w:tc>
          <w:tcPr>
            <w:tcW w:w="3296" w:type="dxa"/>
            <w:shd w:val="clear" w:color="auto" w:fill="auto"/>
          </w:tcPr>
          <w:p w:rsidR="00196FBC" w:rsidRPr="00C903F8" w:rsidRDefault="00196FBC" w:rsidP="00A5358D">
            <w:pPr>
              <w:spacing w:before="120" w:after="120" w:line="240" w:lineRule="atLeast"/>
              <w:ind w:left="0" w:firstLine="0"/>
              <w:rPr>
                <w:rFonts w:cs="Arial"/>
                <w:sz w:val="18"/>
                <w:szCs w:val="18"/>
              </w:rPr>
            </w:pPr>
            <w:r>
              <w:rPr>
                <w:noProof/>
                <w:sz w:val="18"/>
              </w:rPr>
              <w:t>Soltanto motori a combustione interna funzionanti con combustibile avente un punto d'infiammabilità superiore a 55 °C</w:t>
            </w:r>
          </w:p>
        </w:tc>
        <w:tc>
          <w:tcPr>
            <w:tcW w:w="6521" w:type="dxa"/>
            <w:shd w:val="clear" w:color="auto" w:fill="auto"/>
          </w:tcPr>
          <w:p w:rsidR="00196FBC" w:rsidRPr="00C903F8" w:rsidRDefault="008761D9" w:rsidP="00A5358D">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BB7B04">
            <w:pPr>
              <w:spacing w:before="80" w:after="80" w:line="240" w:lineRule="atLeast"/>
              <w:ind w:left="0" w:firstLine="0"/>
              <w:rPr>
                <w:rFonts w:cs="Arial"/>
                <w:sz w:val="18"/>
                <w:szCs w:val="18"/>
              </w:rPr>
            </w:pPr>
            <w:r>
              <w:rPr>
                <w:sz w:val="18"/>
              </w:rPr>
              <w:t>1.1.2015</w:t>
            </w:r>
          </w:p>
        </w:tc>
      </w:tr>
      <w:tr w:rsidR="00196FBC" w:rsidRPr="00C903F8" w:rsidTr="009068C8">
        <w:trPr>
          <w:cantSplit/>
          <w:jc w:val="center"/>
        </w:trPr>
        <w:tc>
          <w:tcPr>
            <w:tcW w:w="1342" w:type="dxa"/>
            <w:tcBorders>
              <w:bottom w:val="nil"/>
            </w:tcBorders>
            <w:shd w:val="clear" w:color="auto" w:fill="auto"/>
          </w:tcPr>
          <w:p w:rsidR="00196FBC" w:rsidRPr="00C903F8" w:rsidRDefault="00196FBC" w:rsidP="00740370">
            <w:pPr>
              <w:spacing w:before="120" w:after="120" w:line="240" w:lineRule="atLeast"/>
              <w:ind w:left="0" w:firstLine="0"/>
              <w:rPr>
                <w:rFonts w:cs="Arial"/>
                <w:sz w:val="18"/>
                <w:szCs w:val="18"/>
              </w:rPr>
            </w:pPr>
            <w:r>
              <w:rPr>
                <w:sz w:val="18"/>
              </w:rPr>
              <w:t>8.02</w:t>
            </w:r>
          </w:p>
        </w:tc>
        <w:tc>
          <w:tcPr>
            <w:tcW w:w="1458" w:type="dxa"/>
            <w:shd w:val="clear" w:color="auto" w:fill="auto"/>
          </w:tcPr>
          <w:p w:rsidR="00196FBC" w:rsidRPr="00C903F8" w:rsidRDefault="00196FBC" w:rsidP="00A5358D">
            <w:pPr>
              <w:spacing w:before="120" w:after="120" w:line="240" w:lineRule="atLeast"/>
              <w:ind w:left="0" w:firstLine="0"/>
              <w:rPr>
                <w:rFonts w:cs="Arial"/>
                <w:sz w:val="18"/>
                <w:szCs w:val="18"/>
              </w:rPr>
            </w:pPr>
            <w:r>
              <w:rPr>
                <w:sz w:val="18"/>
              </w:rPr>
              <w:t>paragrafo 1</w:t>
            </w:r>
          </w:p>
        </w:tc>
        <w:tc>
          <w:tcPr>
            <w:tcW w:w="3296" w:type="dxa"/>
            <w:shd w:val="clear" w:color="auto" w:fill="auto"/>
          </w:tcPr>
          <w:p w:rsidR="00196FBC" w:rsidRPr="00C903F8" w:rsidRDefault="00196FBC" w:rsidP="00A5358D">
            <w:pPr>
              <w:spacing w:before="120" w:after="120" w:line="240" w:lineRule="atLeast"/>
              <w:ind w:left="0" w:firstLine="0"/>
              <w:rPr>
                <w:rFonts w:cs="Arial"/>
                <w:sz w:val="18"/>
                <w:szCs w:val="18"/>
              </w:rPr>
            </w:pPr>
            <w:r>
              <w:rPr>
                <w:noProof/>
                <w:sz w:val="18"/>
              </w:rPr>
              <w:t>Macchine garantite contro un avviamento accidentale</w:t>
            </w:r>
          </w:p>
        </w:tc>
        <w:tc>
          <w:tcPr>
            <w:tcW w:w="6521" w:type="dxa"/>
            <w:shd w:val="clear" w:color="auto" w:fill="auto"/>
          </w:tcPr>
          <w:p w:rsidR="00196FBC" w:rsidRPr="00C903F8" w:rsidRDefault="008761D9" w:rsidP="00A5358D">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740370">
            <w:pPr>
              <w:spacing w:before="120" w:after="120" w:line="240" w:lineRule="atLeast"/>
              <w:ind w:left="0" w:firstLine="0"/>
              <w:rPr>
                <w:rFonts w:cs="Arial"/>
                <w:sz w:val="18"/>
                <w:szCs w:val="18"/>
              </w:rPr>
            </w:pPr>
            <w:r>
              <w:rPr>
                <w:sz w:val="18"/>
              </w:rPr>
              <w:t>1.1.2010</w:t>
            </w:r>
          </w:p>
        </w:tc>
      </w:tr>
      <w:tr w:rsidR="00196FBC" w:rsidRPr="00C903F8" w:rsidTr="00E113D0">
        <w:trPr>
          <w:cantSplit/>
          <w:trHeight w:val="203"/>
          <w:jc w:val="center"/>
        </w:trPr>
        <w:tc>
          <w:tcPr>
            <w:tcW w:w="1342" w:type="dxa"/>
            <w:tcBorders>
              <w:top w:val="nil"/>
              <w:bottom w:val="single" w:sz="4" w:space="0" w:color="auto"/>
            </w:tcBorders>
            <w:shd w:val="clear" w:color="auto" w:fill="auto"/>
          </w:tcPr>
          <w:p w:rsidR="00196FBC" w:rsidRPr="00C903F8" w:rsidRDefault="00196FBC" w:rsidP="00E113D0">
            <w:pPr>
              <w:spacing w:before="240" w:after="240" w:line="240" w:lineRule="atLeast"/>
              <w:ind w:left="0" w:firstLine="0"/>
              <w:rPr>
                <w:rFonts w:cs="Arial"/>
                <w:sz w:val="18"/>
                <w:szCs w:val="18"/>
              </w:rPr>
            </w:pPr>
          </w:p>
        </w:tc>
        <w:tc>
          <w:tcPr>
            <w:tcW w:w="1458" w:type="dxa"/>
            <w:tcBorders>
              <w:bottom w:val="single" w:sz="4" w:space="0" w:color="auto"/>
            </w:tcBorders>
            <w:shd w:val="clear" w:color="auto" w:fill="auto"/>
          </w:tcPr>
          <w:p w:rsidR="00196FBC" w:rsidRPr="00E113D0" w:rsidRDefault="00196FBC" w:rsidP="00A5358D">
            <w:pPr>
              <w:spacing w:before="120" w:after="120" w:line="240" w:lineRule="atLeast"/>
              <w:ind w:left="0" w:firstLine="0"/>
              <w:rPr>
                <w:rFonts w:cs="Arial"/>
                <w:sz w:val="18"/>
                <w:szCs w:val="18"/>
              </w:rPr>
            </w:pPr>
            <w:r>
              <w:rPr>
                <w:sz w:val="18"/>
              </w:rPr>
              <w:t>paragrafo 4</w:t>
            </w:r>
          </w:p>
        </w:tc>
        <w:tc>
          <w:tcPr>
            <w:tcW w:w="3296" w:type="dxa"/>
            <w:tcBorders>
              <w:bottom w:val="single" w:sz="4" w:space="0" w:color="auto"/>
            </w:tcBorders>
            <w:shd w:val="clear" w:color="auto" w:fill="auto"/>
          </w:tcPr>
          <w:p w:rsidR="00196FBC" w:rsidRPr="00E113D0" w:rsidRDefault="00196FBC" w:rsidP="00A5358D">
            <w:pPr>
              <w:spacing w:before="120" w:after="120" w:line="240" w:lineRule="atLeast"/>
              <w:ind w:left="0" w:firstLine="0"/>
              <w:rPr>
                <w:rFonts w:cs="Arial"/>
                <w:noProof/>
                <w:sz w:val="18"/>
                <w:szCs w:val="18"/>
              </w:rPr>
            </w:pPr>
            <w:r>
              <w:rPr>
                <w:noProof/>
                <w:sz w:val="18"/>
              </w:rPr>
              <w:t>Schermatura delle tubature</w:t>
            </w:r>
          </w:p>
        </w:tc>
        <w:tc>
          <w:tcPr>
            <w:tcW w:w="6521" w:type="dxa"/>
            <w:tcBorders>
              <w:bottom w:val="single" w:sz="4" w:space="0" w:color="auto"/>
            </w:tcBorders>
            <w:shd w:val="clear" w:color="auto" w:fill="auto"/>
          </w:tcPr>
          <w:p w:rsidR="00196FBC" w:rsidRPr="000E732C" w:rsidRDefault="008761D9" w:rsidP="00A5358D">
            <w:pPr>
              <w:spacing w:before="120" w:after="120" w:line="240" w:lineRule="atLeast"/>
              <w:ind w:left="0" w:firstLine="0"/>
              <w:rPr>
                <w:rFonts w:cs="Arial"/>
                <w:noProof/>
                <w:sz w:val="18"/>
                <w:szCs w:val="18"/>
              </w:rPr>
            </w:pPr>
            <w:r>
              <w:rPr>
                <w:noProof/>
                <w:sz w:val="18"/>
              </w:rPr>
              <w:t>N.S.T., al più tardi alla data del rinnovo del certificato per la navigazione interna posteriormente al</w:t>
            </w:r>
          </w:p>
        </w:tc>
        <w:tc>
          <w:tcPr>
            <w:tcW w:w="1276" w:type="dxa"/>
            <w:tcBorders>
              <w:bottom w:val="single" w:sz="4" w:space="0" w:color="auto"/>
            </w:tcBorders>
            <w:shd w:val="clear" w:color="auto" w:fill="auto"/>
          </w:tcPr>
          <w:p w:rsidR="00196FBC" w:rsidRPr="00C903F8" w:rsidRDefault="00196FBC" w:rsidP="008D121C">
            <w:pPr>
              <w:spacing w:before="240" w:after="240" w:line="240" w:lineRule="atLeast"/>
              <w:ind w:left="0" w:firstLine="0"/>
              <w:rPr>
                <w:rFonts w:cs="Arial"/>
                <w:sz w:val="18"/>
                <w:szCs w:val="18"/>
              </w:rPr>
            </w:pPr>
            <w:r>
              <w:rPr>
                <w:sz w:val="18"/>
              </w:rPr>
              <w:t>1.1.2025</w:t>
            </w:r>
          </w:p>
        </w:tc>
      </w:tr>
      <w:tr w:rsidR="00196FBC" w:rsidRPr="00C903F8" w:rsidTr="009068C8">
        <w:trPr>
          <w:cantSplit/>
          <w:jc w:val="center"/>
        </w:trPr>
        <w:tc>
          <w:tcPr>
            <w:tcW w:w="1342" w:type="dxa"/>
            <w:tcBorders>
              <w:top w:val="single" w:sz="4" w:space="0" w:color="auto"/>
              <w:bottom w:val="nil"/>
            </w:tcBorders>
            <w:shd w:val="clear" w:color="auto" w:fill="auto"/>
          </w:tcPr>
          <w:p w:rsidR="00196FBC" w:rsidRPr="00C903F8" w:rsidRDefault="00196FBC" w:rsidP="000D7607">
            <w:pPr>
              <w:spacing w:before="120" w:after="120" w:line="240" w:lineRule="atLeast"/>
              <w:ind w:left="0" w:firstLine="0"/>
              <w:rPr>
                <w:rFonts w:cs="Arial"/>
                <w:sz w:val="18"/>
                <w:szCs w:val="18"/>
              </w:rPr>
            </w:pPr>
            <w:r>
              <w:rPr>
                <w:sz w:val="18"/>
              </w:rPr>
              <w:t>8.03</w:t>
            </w:r>
          </w:p>
        </w:tc>
        <w:tc>
          <w:tcPr>
            <w:tcW w:w="1458" w:type="dxa"/>
            <w:tcBorders>
              <w:top w:val="single" w:sz="4" w:space="0" w:color="auto"/>
            </w:tcBorders>
            <w:shd w:val="clear" w:color="auto" w:fill="auto"/>
          </w:tcPr>
          <w:p w:rsidR="00196FBC" w:rsidRPr="00C903F8" w:rsidRDefault="00196FBC" w:rsidP="00A5358D">
            <w:pPr>
              <w:spacing w:before="120" w:after="120" w:line="240" w:lineRule="atLeast"/>
              <w:ind w:left="0" w:firstLine="0"/>
              <w:rPr>
                <w:rFonts w:cs="Arial"/>
                <w:sz w:val="18"/>
                <w:szCs w:val="18"/>
              </w:rPr>
            </w:pPr>
            <w:r>
              <w:rPr>
                <w:sz w:val="18"/>
              </w:rPr>
              <w:t>paragrafo 2</w:t>
            </w:r>
          </w:p>
        </w:tc>
        <w:tc>
          <w:tcPr>
            <w:tcW w:w="3296" w:type="dxa"/>
            <w:tcBorders>
              <w:top w:val="single" w:sz="4" w:space="0" w:color="auto"/>
            </w:tcBorders>
            <w:shd w:val="clear" w:color="auto" w:fill="auto"/>
          </w:tcPr>
          <w:p w:rsidR="00196FBC" w:rsidRPr="00C903F8" w:rsidRDefault="00196FBC" w:rsidP="00A5358D">
            <w:pPr>
              <w:spacing w:before="120" w:after="120" w:line="240" w:lineRule="atLeast"/>
              <w:ind w:left="0" w:firstLine="0"/>
              <w:rPr>
                <w:rFonts w:cs="Arial"/>
                <w:sz w:val="18"/>
                <w:szCs w:val="18"/>
              </w:rPr>
            </w:pPr>
            <w:r>
              <w:rPr>
                <w:noProof/>
                <w:sz w:val="18"/>
              </w:rPr>
              <w:t>Dispositivi di controllo</w:t>
            </w:r>
          </w:p>
        </w:tc>
        <w:tc>
          <w:tcPr>
            <w:tcW w:w="6521" w:type="dxa"/>
            <w:tcBorders>
              <w:top w:val="single" w:sz="4" w:space="0" w:color="auto"/>
            </w:tcBorders>
            <w:shd w:val="clear" w:color="auto" w:fill="auto"/>
          </w:tcPr>
          <w:p w:rsidR="00196FBC" w:rsidRPr="00C903F8" w:rsidRDefault="008761D9" w:rsidP="00A5358D">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tcBorders>
              <w:top w:val="single" w:sz="4" w:space="0" w:color="auto"/>
            </w:tcBorders>
            <w:shd w:val="clear" w:color="auto" w:fill="auto"/>
          </w:tcPr>
          <w:p w:rsidR="00196FBC" w:rsidRPr="00C903F8" w:rsidRDefault="00196FBC" w:rsidP="000D7607">
            <w:pPr>
              <w:spacing w:before="120" w:after="120" w:line="240" w:lineRule="atLeast"/>
              <w:ind w:left="0" w:firstLine="0"/>
              <w:rPr>
                <w:rFonts w:cs="Arial"/>
                <w:sz w:val="18"/>
                <w:szCs w:val="18"/>
              </w:rPr>
            </w:pPr>
            <w:r>
              <w:rPr>
                <w:sz w:val="18"/>
              </w:rPr>
              <w:t>1.1.2010</w:t>
            </w:r>
          </w:p>
        </w:tc>
      </w:tr>
      <w:tr w:rsidR="00196FBC" w:rsidRPr="00C903F8" w:rsidTr="00196FBC">
        <w:trPr>
          <w:cantSplit/>
          <w:jc w:val="center"/>
        </w:trPr>
        <w:tc>
          <w:tcPr>
            <w:tcW w:w="1342" w:type="dxa"/>
            <w:tcBorders>
              <w:top w:val="nil"/>
              <w:bottom w:val="nil"/>
            </w:tcBorders>
            <w:shd w:val="clear" w:color="auto" w:fill="auto"/>
          </w:tcPr>
          <w:p w:rsidR="00196FBC" w:rsidRPr="00C903F8" w:rsidRDefault="00196FBC" w:rsidP="000D7607">
            <w:pPr>
              <w:spacing w:before="120" w:after="120" w:line="240" w:lineRule="atLeast"/>
              <w:ind w:left="0" w:firstLine="0"/>
              <w:rPr>
                <w:rFonts w:cs="Arial"/>
                <w:sz w:val="18"/>
                <w:szCs w:val="18"/>
              </w:rPr>
            </w:pPr>
          </w:p>
        </w:tc>
        <w:tc>
          <w:tcPr>
            <w:tcW w:w="1458" w:type="dxa"/>
            <w:shd w:val="clear" w:color="auto" w:fill="auto"/>
          </w:tcPr>
          <w:p w:rsidR="00196FBC" w:rsidRPr="00C903F8" w:rsidRDefault="00196FBC" w:rsidP="00A5358D">
            <w:pPr>
              <w:spacing w:before="120" w:after="120" w:line="240" w:lineRule="atLeast"/>
              <w:ind w:left="0" w:firstLine="0"/>
              <w:rPr>
                <w:rFonts w:cs="Arial"/>
                <w:sz w:val="18"/>
                <w:szCs w:val="18"/>
              </w:rPr>
            </w:pPr>
            <w:r>
              <w:rPr>
                <w:sz w:val="18"/>
              </w:rPr>
              <w:t>paragrafo 4</w:t>
            </w:r>
          </w:p>
        </w:tc>
        <w:tc>
          <w:tcPr>
            <w:tcW w:w="3296" w:type="dxa"/>
            <w:shd w:val="clear" w:color="auto" w:fill="auto"/>
          </w:tcPr>
          <w:p w:rsidR="00196FBC" w:rsidRPr="00C903F8" w:rsidRDefault="00196FBC" w:rsidP="00A5358D">
            <w:pPr>
              <w:spacing w:before="120" w:after="120" w:line="240" w:lineRule="atLeast"/>
              <w:ind w:left="0" w:firstLine="0"/>
              <w:rPr>
                <w:rFonts w:cs="Arial"/>
                <w:sz w:val="18"/>
                <w:szCs w:val="18"/>
              </w:rPr>
            </w:pPr>
            <w:r>
              <w:rPr>
                <w:noProof/>
                <w:sz w:val="18"/>
              </w:rPr>
              <w:t>Protezione automatica contro la manifestazione di sovravelocità e lo spegnimento</w:t>
            </w:r>
          </w:p>
        </w:tc>
        <w:tc>
          <w:tcPr>
            <w:tcW w:w="6521" w:type="dxa"/>
            <w:shd w:val="clear" w:color="auto" w:fill="auto"/>
          </w:tcPr>
          <w:p w:rsidR="00196FBC" w:rsidRPr="00C903F8" w:rsidRDefault="008761D9" w:rsidP="00A5358D">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0D7607">
            <w:pPr>
              <w:spacing w:before="120" w:after="120" w:line="240" w:lineRule="atLeast"/>
              <w:ind w:left="0" w:firstLine="0"/>
              <w:rPr>
                <w:rFonts w:cs="Arial"/>
                <w:sz w:val="18"/>
                <w:szCs w:val="18"/>
              </w:rPr>
            </w:pPr>
            <w:r>
              <w:rPr>
                <w:sz w:val="18"/>
              </w:rPr>
              <w:t>1.1.2010</w:t>
            </w:r>
          </w:p>
        </w:tc>
      </w:tr>
      <w:tr w:rsidR="00196FBC" w:rsidRPr="00C903F8" w:rsidTr="00E113D0">
        <w:trPr>
          <w:cantSplit/>
          <w:trHeight w:val="387"/>
          <w:jc w:val="center"/>
        </w:trPr>
        <w:tc>
          <w:tcPr>
            <w:tcW w:w="1342" w:type="dxa"/>
            <w:tcBorders>
              <w:top w:val="nil"/>
              <w:bottom w:val="single" w:sz="4" w:space="0" w:color="auto"/>
            </w:tcBorders>
            <w:shd w:val="clear" w:color="auto" w:fill="auto"/>
          </w:tcPr>
          <w:p w:rsidR="00196FBC" w:rsidRPr="00C903F8" w:rsidRDefault="00196FBC" w:rsidP="006435E7">
            <w:pPr>
              <w:spacing w:before="240" w:after="240" w:line="240" w:lineRule="atLeast"/>
              <w:ind w:left="0" w:firstLine="0"/>
              <w:rPr>
                <w:rFonts w:cs="Arial"/>
                <w:sz w:val="18"/>
                <w:szCs w:val="18"/>
              </w:rPr>
            </w:pPr>
          </w:p>
        </w:tc>
        <w:tc>
          <w:tcPr>
            <w:tcW w:w="1458" w:type="dxa"/>
            <w:shd w:val="clear" w:color="auto" w:fill="auto"/>
          </w:tcPr>
          <w:p w:rsidR="00196FBC" w:rsidRPr="00C903F8" w:rsidRDefault="00196FBC" w:rsidP="00A5358D">
            <w:pPr>
              <w:spacing w:before="120" w:after="120" w:line="240" w:lineRule="atLeast"/>
              <w:ind w:left="0" w:firstLine="0"/>
              <w:rPr>
                <w:rFonts w:cs="Arial"/>
                <w:sz w:val="18"/>
                <w:szCs w:val="18"/>
              </w:rPr>
            </w:pPr>
            <w:r>
              <w:rPr>
                <w:sz w:val="18"/>
              </w:rPr>
              <w:t>paragrafo 5</w:t>
            </w:r>
          </w:p>
        </w:tc>
        <w:tc>
          <w:tcPr>
            <w:tcW w:w="3296" w:type="dxa"/>
            <w:shd w:val="clear" w:color="auto" w:fill="auto"/>
          </w:tcPr>
          <w:p w:rsidR="00196FBC" w:rsidRPr="00E113D0" w:rsidRDefault="00E113D0" w:rsidP="00A5358D">
            <w:pPr>
              <w:spacing w:before="120" w:after="120" w:line="240" w:lineRule="atLeast"/>
              <w:ind w:left="0" w:firstLine="0"/>
              <w:rPr>
                <w:rFonts w:cs="Arial"/>
                <w:sz w:val="18"/>
                <w:szCs w:val="18"/>
              </w:rPr>
            </w:pPr>
            <w:r>
              <w:rPr>
                <w:noProof/>
                <w:sz w:val="18"/>
              </w:rPr>
              <w:t>Progettazione del passaggio dell'albero</w:t>
            </w:r>
          </w:p>
        </w:tc>
        <w:tc>
          <w:tcPr>
            <w:tcW w:w="6521" w:type="dxa"/>
            <w:shd w:val="clear" w:color="auto" w:fill="auto"/>
          </w:tcPr>
          <w:p w:rsidR="00196FBC" w:rsidRPr="00C903F8" w:rsidRDefault="008761D9" w:rsidP="00A5358D">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6435E7">
            <w:pPr>
              <w:spacing w:before="240" w:after="240" w:line="240" w:lineRule="atLeast"/>
              <w:ind w:left="0" w:firstLine="0"/>
              <w:rPr>
                <w:rFonts w:cs="Arial"/>
                <w:sz w:val="18"/>
                <w:szCs w:val="18"/>
              </w:rPr>
            </w:pPr>
            <w:r>
              <w:rPr>
                <w:sz w:val="18"/>
              </w:rPr>
              <w:t>1.1.2015</w:t>
            </w:r>
          </w:p>
        </w:tc>
      </w:tr>
      <w:tr w:rsidR="00196FBC" w:rsidRPr="00C903F8" w:rsidTr="00E113D0">
        <w:trPr>
          <w:cantSplit/>
          <w:trHeight w:val="355"/>
          <w:jc w:val="center"/>
        </w:trPr>
        <w:tc>
          <w:tcPr>
            <w:tcW w:w="1342" w:type="dxa"/>
            <w:tcBorders>
              <w:bottom w:val="nil"/>
            </w:tcBorders>
            <w:shd w:val="clear" w:color="auto" w:fill="auto"/>
          </w:tcPr>
          <w:p w:rsidR="00196FBC" w:rsidRPr="00C903F8" w:rsidRDefault="00196FBC" w:rsidP="00F91AFF">
            <w:pPr>
              <w:spacing w:before="120" w:after="240" w:line="240" w:lineRule="atLeast"/>
              <w:ind w:left="0" w:firstLine="0"/>
              <w:rPr>
                <w:rFonts w:cs="Arial"/>
                <w:sz w:val="18"/>
                <w:szCs w:val="18"/>
              </w:rPr>
            </w:pPr>
            <w:r>
              <w:rPr>
                <w:sz w:val="18"/>
              </w:rPr>
              <w:t>8.05</w:t>
            </w:r>
          </w:p>
        </w:tc>
        <w:tc>
          <w:tcPr>
            <w:tcW w:w="1458" w:type="dxa"/>
            <w:shd w:val="clear" w:color="auto" w:fill="auto"/>
          </w:tcPr>
          <w:p w:rsidR="00196FBC" w:rsidRPr="00C903F8" w:rsidRDefault="00196FBC" w:rsidP="00A5358D">
            <w:pPr>
              <w:spacing w:before="120" w:after="120" w:line="240" w:lineRule="atLeast"/>
              <w:ind w:left="0" w:firstLine="0"/>
              <w:rPr>
                <w:rFonts w:cs="Arial"/>
                <w:sz w:val="18"/>
                <w:szCs w:val="18"/>
              </w:rPr>
            </w:pPr>
            <w:r>
              <w:rPr>
                <w:sz w:val="18"/>
              </w:rPr>
              <w:t>paragrafo 1</w:t>
            </w:r>
          </w:p>
        </w:tc>
        <w:tc>
          <w:tcPr>
            <w:tcW w:w="3296" w:type="dxa"/>
            <w:shd w:val="clear" w:color="auto" w:fill="auto"/>
          </w:tcPr>
          <w:p w:rsidR="00196FBC" w:rsidRPr="00C903F8" w:rsidRDefault="00196FBC" w:rsidP="00A5358D">
            <w:pPr>
              <w:spacing w:before="120" w:after="120" w:line="240" w:lineRule="atLeast"/>
              <w:ind w:left="0" w:firstLine="0"/>
              <w:rPr>
                <w:rFonts w:cs="Arial"/>
                <w:sz w:val="18"/>
                <w:szCs w:val="18"/>
              </w:rPr>
            </w:pPr>
            <w:r>
              <w:rPr>
                <w:noProof/>
                <w:sz w:val="18"/>
              </w:rPr>
              <w:t>Serbatoi in acciaio per combustibili liquidi</w:t>
            </w:r>
          </w:p>
        </w:tc>
        <w:tc>
          <w:tcPr>
            <w:tcW w:w="6521" w:type="dxa"/>
            <w:shd w:val="clear" w:color="auto" w:fill="auto"/>
          </w:tcPr>
          <w:p w:rsidR="00196FBC" w:rsidRPr="00C903F8" w:rsidRDefault="008761D9" w:rsidP="00A5358D">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6435E7">
            <w:pPr>
              <w:spacing w:before="240" w:after="240" w:line="240" w:lineRule="atLeast"/>
              <w:ind w:left="0" w:firstLine="0"/>
              <w:rPr>
                <w:rFonts w:cs="Arial"/>
                <w:sz w:val="18"/>
                <w:szCs w:val="18"/>
              </w:rPr>
            </w:pPr>
            <w:r>
              <w:rPr>
                <w:sz w:val="18"/>
              </w:rPr>
              <w:t>1.1.2015</w:t>
            </w:r>
          </w:p>
        </w:tc>
      </w:tr>
      <w:tr w:rsidR="004F5E7B" w:rsidRPr="00C903F8" w:rsidTr="00F14E8B">
        <w:trPr>
          <w:cantSplit/>
          <w:jc w:val="center"/>
        </w:trPr>
        <w:tc>
          <w:tcPr>
            <w:tcW w:w="1342" w:type="dxa"/>
            <w:vMerge w:val="restart"/>
            <w:tcBorders>
              <w:top w:val="nil"/>
            </w:tcBorders>
            <w:shd w:val="clear" w:color="auto" w:fill="auto"/>
          </w:tcPr>
          <w:p w:rsidR="004F5E7B" w:rsidRPr="00C903F8" w:rsidRDefault="004F5E7B" w:rsidP="000D7607">
            <w:pPr>
              <w:spacing w:before="120" w:after="120" w:line="240" w:lineRule="atLeast"/>
              <w:ind w:left="0" w:firstLine="0"/>
              <w:rPr>
                <w:rFonts w:cs="Arial"/>
                <w:sz w:val="18"/>
                <w:szCs w:val="18"/>
              </w:rPr>
            </w:pPr>
          </w:p>
        </w:tc>
        <w:tc>
          <w:tcPr>
            <w:tcW w:w="1458" w:type="dxa"/>
            <w:vMerge w:val="restart"/>
            <w:shd w:val="clear" w:color="auto" w:fill="auto"/>
          </w:tcPr>
          <w:p w:rsidR="004F5E7B" w:rsidRPr="00C903F8" w:rsidRDefault="004F5E7B" w:rsidP="00A5358D">
            <w:pPr>
              <w:spacing w:before="120" w:after="120" w:line="240" w:lineRule="atLeast"/>
              <w:ind w:left="0" w:firstLine="0"/>
              <w:rPr>
                <w:rFonts w:cs="Arial"/>
                <w:sz w:val="18"/>
                <w:szCs w:val="18"/>
              </w:rPr>
            </w:pPr>
            <w:r>
              <w:rPr>
                <w:sz w:val="18"/>
              </w:rPr>
              <w:t>paragrafo 3</w:t>
            </w:r>
          </w:p>
        </w:tc>
        <w:tc>
          <w:tcPr>
            <w:tcW w:w="3296" w:type="dxa"/>
            <w:shd w:val="clear" w:color="auto" w:fill="auto"/>
          </w:tcPr>
          <w:p w:rsidR="004F5E7B" w:rsidRPr="00C903F8" w:rsidRDefault="004F5E7B" w:rsidP="00A5358D">
            <w:pPr>
              <w:tabs>
                <w:tab w:val="left" w:pos="1170"/>
              </w:tabs>
              <w:spacing w:before="120" w:after="120" w:line="240" w:lineRule="atLeast"/>
              <w:ind w:left="0" w:firstLine="0"/>
              <w:rPr>
                <w:rFonts w:cs="Arial"/>
                <w:sz w:val="18"/>
                <w:szCs w:val="18"/>
              </w:rPr>
            </w:pPr>
            <w:r>
              <w:rPr>
                <w:noProof/>
                <w:sz w:val="18"/>
              </w:rPr>
              <w:t>Divieto di collocare a prua della paratia di collisione serbatoi per il combustibile</w:t>
            </w:r>
          </w:p>
        </w:tc>
        <w:tc>
          <w:tcPr>
            <w:tcW w:w="6521" w:type="dxa"/>
            <w:shd w:val="clear" w:color="auto" w:fill="auto"/>
          </w:tcPr>
          <w:p w:rsidR="004F5E7B" w:rsidRPr="00C903F8" w:rsidRDefault="008761D9" w:rsidP="00A5358D">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4F5E7B" w:rsidRPr="00C903F8" w:rsidRDefault="004F5E7B" w:rsidP="000D7607">
            <w:pPr>
              <w:spacing w:before="120" w:after="120" w:line="240" w:lineRule="atLeast"/>
              <w:ind w:left="0" w:firstLine="0"/>
              <w:rPr>
                <w:rFonts w:cs="Arial"/>
                <w:sz w:val="18"/>
                <w:szCs w:val="18"/>
              </w:rPr>
            </w:pPr>
            <w:r>
              <w:rPr>
                <w:sz w:val="18"/>
              </w:rPr>
              <w:t>1.1.2010</w:t>
            </w:r>
          </w:p>
        </w:tc>
      </w:tr>
      <w:tr w:rsidR="004F5E7B" w:rsidRPr="00C903F8" w:rsidTr="00E113D0">
        <w:trPr>
          <w:cantSplit/>
          <w:trHeight w:val="585"/>
          <w:jc w:val="center"/>
        </w:trPr>
        <w:tc>
          <w:tcPr>
            <w:tcW w:w="1342" w:type="dxa"/>
            <w:vMerge/>
            <w:tcBorders>
              <w:bottom w:val="nil"/>
            </w:tcBorders>
            <w:shd w:val="clear" w:color="auto" w:fill="auto"/>
          </w:tcPr>
          <w:p w:rsidR="004F5E7B" w:rsidRPr="00C903F8" w:rsidRDefault="004F5E7B" w:rsidP="000D7607">
            <w:pPr>
              <w:spacing w:before="120" w:after="120" w:line="240" w:lineRule="atLeast"/>
              <w:ind w:left="0" w:firstLine="0"/>
              <w:rPr>
                <w:rFonts w:cs="Arial"/>
                <w:sz w:val="18"/>
                <w:szCs w:val="18"/>
              </w:rPr>
            </w:pPr>
          </w:p>
        </w:tc>
        <w:tc>
          <w:tcPr>
            <w:tcW w:w="1458" w:type="dxa"/>
            <w:vMerge/>
            <w:tcBorders>
              <w:bottom w:val="single" w:sz="4" w:space="0" w:color="auto"/>
            </w:tcBorders>
            <w:shd w:val="clear" w:color="auto" w:fill="auto"/>
          </w:tcPr>
          <w:p w:rsidR="004F5E7B" w:rsidRPr="00C903F8" w:rsidRDefault="004F5E7B" w:rsidP="00A5358D">
            <w:pPr>
              <w:spacing w:before="120" w:after="120" w:line="240" w:lineRule="atLeast"/>
              <w:ind w:left="0" w:firstLine="0"/>
              <w:rPr>
                <w:rFonts w:cs="Arial"/>
                <w:sz w:val="18"/>
                <w:szCs w:val="18"/>
              </w:rPr>
            </w:pPr>
          </w:p>
        </w:tc>
        <w:tc>
          <w:tcPr>
            <w:tcW w:w="3296" w:type="dxa"/>
            <w:tcBorders>
              <w:bottom w:val="single" w:sz="4" w:space="0" w:color="auto"/>
            </w:tcBorders>
            <w:shd w:val="clear" w:color="auto" w:fill="auto"/>
          </w:tcPr>
          <w:p w:rsidR="004F5E7B" w:rsidRPr="00C903F8" w:rsidRDefault="004F5E7B" w:rsidP="00A5358D">
            <w:pPr>
              <w:spacing w:before="120" w:after="120" w:line="240" w:lineRule="atLeast"/>
              <w:ind w:left="0" w:firstLine="0"/>
              <w:rPr>
                <w:rFonts w:cs="Arial"/>
                <w:sz w:val="18"/>
                <w:szCs w:val="18"/>
              </w:rPr>
            </w:pPr>
            <w:r>
              <w:rPr>
                <w:sz w:val="18"/>
              </w:rPr>
              <w:t>Nessun serbatoio per combustibili a poppa della paratia del gavone di poppa</w:t>
            </w:r>
          </w:p>
        </w:tc>
        <w:tc>
          <w:tcPr>
            <w:tcW w:w="6521" w:type="dxa"/>
            <w:shd w:val="clear" w:color="auto" w:fill="auto"/>
          </w:tcPr>
          <w:p w:rsidR="004F5E7B" w:rsidRPr="00C903F8" w:rsidRDefault="008761D9" w:rsidP="00A5358D">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4F5E7B" w:rsidRPr="00C903F8" w:rsidRDefault="004F5E7B" w:rsidP="000D7607">
            <w:pPr>
              <w:spacing w:before="120" w:after="120" w:line="240" w:lineRule="atLeast"/>
              <w:ind w:left="0" w:firstLine="0"/>
              <w:rPr>
                <w:rFonts w:cs="Arial"/>
                <w:sz w:val="18"/>
                <w:szCs w:val="18"/>
              </w:rPr>
            </w:pPr>
            <w:r>
              <w:rPr>
                <w:sz w:val="18"/>
              </w:rPr>
              <w:t>1.1.2035</w:t>
            </w:r>
          </w:p>
        </w:tc>
      </w:tr>
      <w:tr w:rsidR="004F5E7B" w:rsidRPr="00C903F8" w:rsidTr="00F14E8B">
        <w:trPr>
          <w:cantSplit/>
          <w:jc w:val="center"/>
        </w:trPr>
        <w:tc>
          <w:tcPr>
            <w:tcW w:w="1342" w:type="dxa"/>
            <w:vMerge w:val="restart"/>
            <w:tcBorders>
              <w:top w:val="nil"/>
            </w:tcBorders>
            <w:shd w:val="clear" w:color="auto" w:fill="auto"/>
          </w:tcPr>
          <w:p w:rsidR="004F5E7B" w:rsidRPr="00C903F8" w:rsidRDefault="004F5E7B" w:rsidP="000D7607">
            <w:pPr>
              <w:spacing w:before="120" w:after="120" w:line="240" w:lineRule="atLeast"/>
              <w:ind w:left="0" w:firstLine="0"/>
              <w:rPr>
                <w:rFonts w:cs="Arial"/>
                <w:sz w:val="18"/>
                <w:szCs w:val="18"/>
              </w:rPr>
            </w:pPr>
          </w:p>
        </w:tc>
        <w:tc>
          <w:tcPr>
            <w:tcW w:w="1458" w:type="dxa"/>
            <w:vMerge w:val="restart"/>
            <w:shd w:val="clear" w:color="auto" w:fill="auto"/>
          </w:tcPr>
          <w:p w:rsidR="004F5E7B" w:rsidRPr="00C903F8" w:rsidRDefault="004F5E7B" w:rsidP="00A5358D">
            <w:pPr>
              <w:spacing w:before="120" w:after="120" w:line="240" w:lineRule="atLeast"/>
              <w:ind w:left="0" w:firstLine="0"/>
              <w:rPr>
                <w:rFonts w:cs="Arial"/>
                <w:sz w:val="18"/>
                <w:szCs w:val="18"/>
              </w:rPr>
            </w:pPr>
            <w:r>
              <w:rPr>
                <w:sz w:val="18"/>
              </w:rPr>
              <w:t>paragrafo 4</w:t>
            </w:r>
          </w:p>
        </w:tc>
        <w:tc>
          <w:tcPr>
            <w:tcW w:w="3296" w:type="dxa"/>
            <w:vMerge w:val="restart"/>
            <w:shd w:val="clear" w:color="auto" w:fill="auto"/>
          </w:tcPr>
          <w:p w:rsidR="004F5E7B" w:rsidRPr="00C903F8" w:rsidRDefault="004F5E7B" w:rsidP="00A5358D">
            <w:pPr>
              <w:spacing w:before="120" w:after="120" w:line="240" w:lineRule="atLeast"/>
              <w:ind w:left="0" w:firstLine="0"/>
              <w:rPr>
                <w:rFonts w:cs="Arial"/>
                <w:sz w:val="18"/>
                <w:szCs w:val="18"/>
              </w:rPr>
            </w:pPr>
            <w:r>
              <w:rPr>
                <w:noProof/>
                <w:sz w:val="18"/>
              </w:rPr>
              <w:t>Nessun serbatoio per combustibili né relativi accessori al di sopra dei motori o dei tubi di scarico</w:t>
            </w:r>
          </w:p>
        </w:tc>
        <w:tc>
          <w:tcPr>
            <w:tcW w:w="6521" w:type="dxa"/>
            <w:shd w:val="clear" w:color="auto" w:fill="auto"/>
          </w:tcPr>
          <w:p w:rsidR="004F5E7B" w:rsidRPr="00C903F8" w:rsidRDefault="008761D9" w:rsidP="00A5358D">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4F5E7B" w:rsidRPr="00C903F8" w:rsidRDefault="004F5E7B" w:rsidP="000D7607">
            <w:pPr>
              <w:spacing w:before="120" w:after="120" w:line="240" w:lineRule="atLeast"/>
              <w:ind w:left="0" w:firstLine="0"/>
              <w:rPr>
                <w:rFonts w:cs="Arial"/>
                <w:sz w:val="18"/>
                <w:szCs w:val="18"/>
              </w:rPr>
            </w:pPr>
            <w:r>
              <w:rPr>
                <w:sz w:val="18"/>
              </w:rPr>
              <w:t>1.1.2010</w:t>
            </w:r>
          </w:p>
        </w:tc>
      </w:tr>
      <w:tr w:rsidR="004F5E7B" w:rsidRPr="00A0619C" w:rsidTr="00F14E8B">
        <w:trPr>
          <w:cantSplit/>
          <w:jc w:val="center"/>
        </w:trPr>
        <w:tc>
          <w:tcPr>
            <w:tcW w:w="1342" w:type="dxa"/>
            <w:vMerge/>
            <w:tcBorders>
              <w:bottom w:val="nil"/>
            </w:tcBorders>
            <w:shd w:val="clear" w:color="auto" w:fill="auto"/>
          </w:tcPr>
          <w:p w:rsidR="004F5E7B" w:rsidRPr="00C903F8" w:rsidRDefault="004F5E7B" w:rsidP="006435E7">
            <w:pPr>
              <w:spacing w:before="240" w:after="240" w:line="240" w:lineRule="atLeast"/>
              <w:ind w:left="0" w:firstLine="0"/>
              <w:rPr>
                <w:rFonts w:cs="Arial"/>
                <w:sz w:val="18"/>
                <w:szCs w:val="18"/>
              </w:rPr>
            </w:pPr>
          </w:p>
        </w:tc>
        <w:tc>
          <w:tcPr>
            <w:tcW w:w="1458" w:type="dxa"/>
            <w:vMerge/>
            <w:shd w:val="clear" w:color="auto" w:fill="auto"/>
          </w:tcPr>
          <w:p w:rsidR="004F5E7B" w:rsidRPr="00C903F8" w:rsidRDefault="004F5E7B" w:rsidP="00A5358D">
            <w:pPr>
              <w:spacing w:before="120" w:after="120" w:line="240" w:lineRule="atLeast"/>
              <w:ind w:left="0" w:firstLine="0"/>
              <w:rPr>
                <w:rFonts w:cs="Arial"/>
                <w:sz w:val="18"/>
                <w:szCs w:val="18"/>
              </w:rPr>
            </w:pPr>
          </w:p>
        </w:tc>
        <w:tc>
          <w:tcPr>
            <w:tcW w:w="3296" w:type="dxa"/>
            <w:vMerge/>
            <w:shd w:val="clear" w:color="auto" w:fill="auto"/>
          </w:tcPr>
          <w:p w:rsidR="004F5E7B" w:rsidRPr="00C903F8" w:rsidRDefault="004F5E7B" w:rsidP="00A5358D">
            <w:pPr>
              <w:spacing w:before="120" w:after="120" w:line="240" w:lineRule="atLeast"/>
              <w:ind w:left="0" w:firstLine="0"/>
              <w:rPr>
                <w:rFonts w:cs="Arial"/>
                <w:sz w:val="18"/>
                <w:szCs w:val="18"/>
              </w:rPr>
            </w:pPr>
          </w:p>
        </w:tc>
        <w:tc>
          <w:tcPr>
            <w:tcW w:w="6521" w:type="dxa"/>
            <w:shd w:val="clear" w:color="auto" w:fill="auto"/>
          </w:tcPr>
          <w:p w:rsidR="004F5E7B" w:rsidRPr="00C903F8" w:rsidRDefault="004F5E7B" w:rsidP="00A5358D">
            <w:pPr>
              <w:spacing w:before="120" w:after="120" w:line="240" w:lineRule="atLeast"/>
              <w:ind w:left="0" w:firstLine="0"/>
              <w:rPr>
                <w:rFonts w:cs="Arial"/>
                <w:sz w:val="18"/>
                <w:szCs w:val="18"/>
              </w:rPr>
            </w:pPr>
            <w:r>
              <w:rPr>
                <w:sz w:val="18"/>
              </w:rPr>
              <w:t>Fino a tale data, opportuni dispositivi devono garantire l'evacuazione sicura dei combustibili.</w:t>
            </w:r>
          </w:p>
        </w:tc>
        <w:tc>
          <w:tcPr>
            <w:tcW w:w="1276" w:type="dxa"/>
            <w:shd w:val="clear" w:color="auto" w:fill="auto"/>
          </w:tcPr>
          <w:p w:rsidR="004F5E7B" w:rsidRPr="00C903F8" w:rsidRDefault="004F5E7B" w:rsidP="006435E7">
            <w:pPr>
              <w:spacing w:before="240" w:after="240" w:line="240" w:lineRule="atLeast"/>
              <w:ind w:left="0" w:firstLine="0"/>
              <w:rPr>
                <w:rFonts w:cs="Arial"/>
                <w:sz w:val="18"/>
                <w:szCs w:val="18"/>
              </w:rPr>
            </w:pPr>
          </w:p>
        </w:tc>
      </w:tr>
      <w:tr w:rsidR="00196FBC" w:rsidRPr="00C903F8" w:rsidTr="00196FBC">
        <w:trPr>
          <w:cantSplit/>
          <w:jc w:val="center"/>
        </w:trPr>
        <w:tc>
          <w:tcPr>
            <w:tcW w:w="1342" w:type="dxa"/>
            <w:tcBorders>
              <w:top w:val="nil"/>
              <w:bottom w:val="nil"/>
            </w:tcBorders>
            <w:shd w:val="clear" w:color="auto" w:fill="auto"/>
          </w:tcPr>
          <w:p w:rsidR="00196FBC" w:rsidRPr="00C903F8" w:rsidRDefault="00196FBC" w:rsidP="006435E7">
            <w:pPr>
              <w:spacing w:before="240" w:after="240" w:line="240" w:lineRule="atLeast"/>
              <w:ind w:left="0" w:firstLine="0"/>
              <w:rPr>
                <w:rFonts w:cs="Arial"/>
                <w:sz w:val="18"/>
                <w:szCs w:val="18"/>
              </w:rPr>
            </w:pPr>
          </w:p>
        </w:tc>
        <w:tc>
          <w:tcPr>
            <w:tcW w:w="1458" w:type="dxa"/>
            <w:shd w:val="clear" w:color="auto" w:fill="auto"/>
          </w:tcPr>
          <w:p w:rsidR="00196FBC" w:rsidRPr="00C903F8" w:rsidRDefault="00196FBC" w:rsidP="00E113D0">
            <w:pPr>
              <w:spacing w:before="120" w:after="120" w:line="240" w:lineRule="atLeast"/>
              <w:ind w:left="0" w:firstLine="0"/>
              <w:rPr>
                <w:rFonts w:cs="Arial"/>
                <w:sz w:val="18"/>
                <w:szCs w:val="18"/>
              </w:rPr>
            </w:pPr>
            <w:r>
              <w:rPr>
                <w:sz w:val="18"/>
              </w:rPr>
              <w:t>paragrafo 6, terza e quinta frase</w:t>
            </w:r>
          </w:p>
        </w:tc>
        <w:tc>
          <w:tcPr>
            <w:tcW w:w="3296" w:type="dxa"/>
            <w:shd w:val="clear" w:color="auto" w:fill="auto"/>
          </w:tcPr>
          <w:p w:rsidR="00196FBC" w:rsidRPr="00C903F8" w:rsidRDefault="00196FBC" w:rsidP="00E113D0">
            <w:pPr>
              <w:spacing w:before="120" w:after="120" w:line="240" w:lineRule="atLeast"/>
              <w:ind w:left="0" w:firstLine="0"/>
              <w:rPr>
                <w:rFonts w:cs="Arial"/>
                <w:sz w:val="18"/>
                <w:szCs w:val="18"/>
              </w:rPr>
            </w:pPr>
            <w:r>
              <w:rPr>
                <w:noProof/>
                <w:sz w:val="18"/>
              </w:rPr>
              <w:t>Installazione e misure dei tubi di sfogo e dei tubi di collegamento</w:t>
            </w:r>
          </w:p>
        </w:tc>
        <w:tc>
          <w:tcPr>
            <w:tcW w:w="6521" w:type="dxa"/>
            <w:shd w:val="clear" w:color="auto" w:fill="auto"/>
          </w:tcPr>
          <w:p w:rsidR="00196FBC" w:rsidRPr="00C903F8" w:rsidRDefault="008761D9" w:rsidP="00E113D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9942A5">
            <w:pPr>
              <w:spacing w:before="120" w:after="240" w:line="240" w:lineRule="atLeast"/>
              <w:ind w:left="0" w:firstLine="0"/>
              <w:rPr>
                <w:rFonts w:cs="Arial"/>
                <w:sz w:val="18"/>
                <w:szCs w:val="18"/>
              </w:rPr>
            </w:pPr>
            <w:r>
              <w:rPr>
                <w:sz w:val="18"/>
              </w:rPr>
              <w:t>1.1.2020</w:t>
            </w:r>
          </w:p>
        </w:tc>
      </w:tr>
      <w:tr w:rsidR="00196FBC" w:rsidRPr="00C903F8" w:rsidTr="00196FBC">
        <w:trPr>
          <w:cantSplit/>
          <w:jc w:val="center"/>
        </w:trPr>
        <w:tc>
          <w:tcPr>
            <w:tcW w:w="1342" w:type="dxa"/>
            <w:tcBorders>
              <w:top w:val="nil"/>
              <w:bottom w:val="nil"/>
            </w:tcBorders>
            <w:shd w:val="clear" w:color="auto" w:fill="auto"/>
          </w:tcPr>
          <w:p w:rsidR="00196FBC" w:rsidRPr="00C903F8" w:rsidRDefault="00196FBC" w:rsidP="001E2331">
            <w:pPr>
              <w:spacing w:before="240" w:after="160" w:line="240" w:lineRule="atLeast"/>
              <w:ind w:left="0" w:firstLine="0"/>
              <w:rPr>
                <w:rFonts w:cs="Arial"/>
                <w:sz w:val="18"/>
                <w:szCs w:val="18"/>
              </w:rPr>
            </w:pPr>
          </w:p>
        </w:tc>
        <w:tc>
          <w:tcPr>
            <w:tcW w:w="1458" w:type="dxa"/>
            <w:shd w:val="clear" w:color="auto" w:fill="auto"/>
          </w:tcPr>
          <w:p w:rsidR="00196FBC" w:rsidRPr="00C903F8" w:rsidRDefault="00196FBC" w:rsidP="00E113D0">
            <w:pPr>
              <w:spacing w:before="120" w:after="120" w:line="240" w:lineRule="atLeast"/>
              <w:ind w:left="0" w:firstLine="0"/>
              <w:jc w:val="left"/>
              <w:rPr>
                <w:rFonts w:cs="Arial"/>
                <w:sz w:val="18"/>
                <w:szCs w:val="18"/>
              </w:rPr>
            </w:pPr>
            <w:r>
              <w:rPr>
                <w:sz w:val="18"/>
              </w:rPr>
              <w:t>paragrafo 7, prima frase</w:t>
            </w:r>
          </w:p>
        </w:tc>
        <w:tc>
          <w:tcPr>
            <w:tcW w:w="3296" w:type="dxa"/>
            <w:shd w:val="clear" w:color="auto" w:fill="auto"/>
          </w:tcPr>
          <w:p w:rsidR="00196FBC" w:rsidRPr="00C903F8" w:rsidRDefault="00196FBC" w:rsidP="00E113D0">
            <w:pPr>
              <w:spacing w:before="120" w:after="120" w:line="240" w:lineRule="atLeast"/>
              <w:ind w:left="0" w:firstLine="0"/>
              <w:rPr>
                <w:rFonts w:cs="Arial"/>
                <w:sz w:val="18"/>
                <w:szCs w:val="18"/>
              </w:rPr>
            </w:pPr>
            <w:r>
              <w:rPr>
                <w:sz w:val="18"/>
              </w:rPr>
              <w:t>Valvola a chiusura rapida sul serbatoio azionata dal ponte, anche quando i locali in questione sono chiusi</w:t>
            </w:r>
          </w:p>
        </w:tc>
        <w:tc>
          <w:tcPr>
            <w:tcW w:w="6521" w:type="dxa"/>
            <w:shd w:val="clear" w:color="auto" w:fill="auto"/>
          </w:tcPr>
          <w:p w:rsidR="00196FBC" w:rsidRPr="00C903F8" w:rsidRDefault="008761D9" w:rsidP="00E113D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9942A5">
            <w:pPr>
              <w:spacing w:before="120" w:after="160" w:line="240" w:lineRule="atLeast"/>
              <w:ind w:left="0" w:firstLine="0"/>
              <w:rPr>
                <w:rFonts w:cs="Arial"/>
                <w:sz w:val="18"/>
                <w:szCs w:val="18"/>
              </w:rPr>
            </w:pPr>
            <w:r>
              <w:rPr>
                <w:sz w:val="18"/>
              </w:rPr>
              <w:t>1.1.2015</w:t>
            </w:r>
          </w:p>
        </w:tc>
      </w:tr>
      <w:tr w:rsidR="00196FBC" w:rsidRPr="00C903F8" w:rsidTr="00196FBC">
        <w:trPr>
          <w:cantSplit/>
          <w:jc w:val="center"/>
        </w:trPr>
        <w:tc>
          <w:tcPr>
            <w:tcW w:w="1342" w:type="dxa"/>
            <w:tcBorders>
              <w:top w:val="nil"/>
              <w:bottom w:val="nil"/>
            </w:tcBorders>
            <w:shd w:val="clear" w:color="auto" w:fill="auto"/>
          </w:tcPr>
          <w:p w:rsidR="00196FBC" w:rsidRPr="00C903F8" w:rsidRDefault="00196FBC" w:rsidP="006435E7">
            <w:pPr>
              <w:spacing w:before="240" w:after="240" w:line="240" w:lineRule="atLeast"/>
              <w:ind w:left="0" w:firstLine="0"/>
              <w:rPr>
                <w:rFonts w:cs="Arial"/>
                <w:sz w:val="18"/>
                <w:szCs w:val="18"/>
              </w:rPr>
            </w:pPr>
          </w:p>
        </w:tc>
        <w:tc>
          <w:tcPr>
            <w:tcW w:w="1458" w:type="dxa"/>
            <w:shd w:val="clear" w:color="auto" w:fill="auto"/>
          </w:tcPr>
          <w:p w:rsidR="00196FBC" w:rsidRPr="00C903F8" w:rsidRDefault="00196FBC" w:rsidP="00E113D0">
            <w:pPr>
              <w:spacing w:before="120" w:after="120" w:line="240" w:lineRule="atLeast"/>
              <w:ind w:left="0" w:firstLine="0"/>
              <w:jc w:val="left"/>
              <w:rPr>
                <w:rFonts w:cs="Arial"/>
                <w:sz w:val="18"/>
                <w:szCs w:val="18"/>
              </w:rPr>
            </w:pPr>
            <w:r>
              <w:rPr>
                <w:sz w:val="18"/>
              </w:rPr>
              <w:t>paragrafo 9, seconda frase</w:t>
            </w:r>
          </w:p>
        </w:tc>
        <w:tc>
          <w:tcPr>
            <w:tcW w:w="3296" w:type="dxa"/>
            <w:shd w:val="clear" w:color="auto" w:fill="auto"/>
          </w:tcPr>
          <w:p w:rsidR="00196FBC" w:rsidRPr="00C903F8" w:rsidRDefault="00196FBC" w:rsidP="00E113D0">
            <w:pPr>
              <w:spacing w:before="120" w:after="120" w:line="240" w:lineRule="atLeast"/>
              <w:ind w:left="0" w:firstLine="0"/>
              <w:rPr>
                <w:rFonts w:cs="Arial"/>
                <w:sz w:val="18"/>
                <w:szCs w:val="18"/>
              </w:rPr>
            </w:pPr>
            <w:r>
              <w:rPr>
                <w:noProof/>
                <w:sz w:val="18"/>
              </w:rPr>
              <w:t>Dispositivi di misurazione leggibili fino al livello di massimo riempimento</w:t>
            </w:r>
          </w:p>
        </w:tc>
        <w:tc>
          <w:tcPr>
            <w:tcW w:w="6521" w:type="dxa"/>
            <w:shd w:val="clear" w:color="auto" w:fill="auto"/>
          </w:tcPr>
          <w:p w:rsidR="00196FBC" w:rsidRPr="00C903F8" w:rsidRDefault="008761D9" w:rsidP="00E113D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9942A5">
            <w:pPr>
              <w:spacing w:before="120" w:after="240" w:line="240" w:lineRule="atLeast"/>
              <w:ind w:left="0" w:firstLine="0"/>
              <w:rPr>
                <w:rFonts w:cs="Arial"/>
                <w:sz w:val="18"/>
                <w:szCs w:val="18"/>
              </w:rPr>
            </w:pPr>
            <w:r>
              <w:rPr>
                <w:sz w:val="18"/>
              </w:rPr>
              <w:t>1.1.2010</w:t>
            </w:r>
          </w:p>
        </w:tc>
      </w:tr>
      <w:tr w:rsidR="00196FBC" w:rsidRPr="00C903F8" w:rsidTr="00196FBC">
        <w:trPr>
          <w:cantSplit/>
          <w:jc w:val="center"/>
        </w:trPr>
        <w:tc>
          <w:tcPr>
            <w:tcW w:w="1342" w:type="dxa"/>
            <w:tcBorders>
              <w:top w:val="nil"/>
            </w:tcBorders>
            <w:shd w:val="clear" w:color="auto" w:fill="auto"/>
          </w:tcPr>
          <w:p w:rsidR="00196FBC" w:rsidRPr="00C903F8" w:rsidRDefault="00196FBC" w:rsidP="001E2331">
            <w:pPr>
              <w:spacing w:before="240" w:after="160" w:line="240" w:lineRule="atLeast"/>
              <w:ind w:left="0" w:firstLine="0"/>
              <w:rPr>
                <w:rFonts w:cs="Arial"/>
                <w:sz w:val="18"/>
                <w:szCs w:val="18"/>
              </w:rPr>
            </w:pPr>
          </w:p>
        </w:tc>
        <w:tc>
          <w:tcPr>
            <w:tcW w:w="1458" w:type="dxa"/>
            <w:shd w:val="clear" w:color="auto" w:fill="auto"/>
          </w:tcPr>
          <w:p w:rsidR="00196FBC" w:rsidRPr="00C903F8" w:rsidRDefault="00196FBC" w:rsidP="00E113D0">
            <w:pPr>
              <w:spacing w:before="120" w:after="120" w:line="240" w:lineRule="atLeast"/>
              <w:ind w:left="0" w:firstLine="0"/>
              <w:rPr>
                <w:rFonts w:cs="Arial"/>
                <w:sz w:val="18"/>
                <w:szCs w:val="18"/>
              </w:rPr>
            </w:pPr>
            <w:r>
              <w:rPr>
                <w:sz w:val="18"/>
              </w:rPr>
              <w:t>paragrafo 13</w:t>
            </w:r>
          </w:p>
        </w:tc>
        <w:tc>
          <w:tcPr>
            <w:tcW w:w="3296" w:type="dxa"/>
            <w:shd w:val="clear" w:color="auto" w:fill="auto"/>
          </w:tcPr>
          <w:p w:rsidR="00196FBC" w:rsidRPr="00C903F8" w:rsidRDefault="00196FBC" w:rsidP="00E113D0">
            <w:pPr>
              <w:spacing w:before="120" w:after="120" w:line="240" w:lineRule="atLeast"/>
              <w:ind w:left="0" w:firstLine="0"/>
              <w:rPr>
                <w:rFonts w:cs="Arial"/>
                <w:sz w:val="18"/>
                <w:szCs w:val="18"/>
              </w:rPr>
            </w:pPr>
            <w:r>
              <w:rPr>
                <w:noProof/>
                <w:sz w:val="18"/>
              </w:rPr>
              <w:t>Controllo del livello del combustibile non soltanto per i motori principali ma anche per gli altri motori necessari per il funzionamento sicuro della nave</w:t>
            </w:r>
          </w:p>
        </w:tc>
        <w:tc>
          <w:tcPr>
            <w:tcW w:w="6521" w:type="dxa"/>
            <w:shd w:val="clear" w:color="auto" w:fill="auto"/>
          </w:tcPr>
          <w:p w:rsidR="00196FBC" w:rsidRPr="00C903F8" w:rsidRDefault="008761D9" w:rsidP="00E113D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9942A5">
            <w:pPr>
              <w:spacing w:before="120" w:after="160" w:line="240" w:lineRule="atLeast"/>
              <w:ind w:left="0" w:firstLine="0"/>
              <w:rPr>
                <w:rFonts w:cs="Arial"/>
                <w:sz w:val="18"/>
                <w:szCs w:val="18"/>
              </w:rPr>
            </w:pPr>
            <w:r>
              <w:rPr>
                <w:sz w:val="18"/>
              </w:rPr>
              <w:t>1.1.2015</w:t>
            </w:r>
          </w:p>
        </w:tc>
      </w:tr>
      <w:tr w:rsidR="00196FBC" w:rsidRPr="00C903F8" w:rsidTr="00196FBC">
        <w:trPr>
          <w:cantSplit/>
          <w:jc w:val="center"/>
        </w:trPr>
        <w:tc>
          <w:tcPr>
            <w:tcW w:w="1342" w:type="dxa"/>
            <w:shd w:val="clear" w:color="auto" w:fill="auto"/>
          </w:tcPr>
          <w:p w:rsidR="00196FBC" w:rsidRPr="00C903F8" w:rsidRDefault="00196FBC" w:rsidP="00F91AFF">
            <w:pPr>
              <w:spacing w:before="120" w:after="160" w:line="240" w:lineRule="atLeast"/>
              <w:ind w:left="0" w:firstLine="0"/>
              <w:rPr>
                <w:rFonts w:cs="Arial"/>
                <w:sz w:val="18"/>
                <w:szCs w:val="18"/>
              </w:rPr>
            </w:pPr>
            <w:r>
              <w:rPr>
                <w:sz w:val="18"/>
              </w:rPr>
              <w:t>8.06</w:t>
            </w:r>
          </w:p>
        </w:tc>
        <w:tc>
          <w:tcPr>
            <w:tcW w:w="1458" w:type="dxa"/>
            <w:shd w:val="clear" w:color="auto" w:fill="auto"/>
          </w:tcPr>
          <w:p w:rsidR="00196FBC" w:rsidRPr="00C903F8" w:rsidRDefault="00196FBC" w:rsidP="00E113D0">
            <w:pPr>
              <w:spacing w:before="120" w:after="120" w:line="240" w:lineRule="atLeast"/>
              <w:ind w:left="0" w:firstLine="0"/>
              <w:rPr>
                <w:rFonts w:cs="Arial"/>
                <w:sz w:val="18"/>
                <w:szCs w:val="18"/>
              </w:rPr>
            </w:pPr>
          </w:p>
        </w:tc>
        <w:tc>
          <w:tcPr>
            <w:tcW w:w="3296" w:type="dxa"/>
            <w:shd w:val="clear" w:color="auto" w:fill="auto"/>
          </w:tcPr>
          <w:p w:rsidR="00196FBC" w:rsidRPr="00C903F8" w:rsidRDefault="00196FBC" w:rsidP="00E113D0">
            <w:pPr>
              <w:spacing w:before="120" w:after="120" w:line="240" w:lineRule="atLeast"/>
              <w:ind w:left="0" w:firstLine="0"/>
              <w:rPr>
                <w:rFonts w:cs="Arial"/>
                <w:sz w:val="18"/>
                <w:szCs w:val="18"/>
              </w:rPr>
            </w:pPr>
            <w:r>
              <w:rPr>
                <w:noProof/>
                <w:sz w:val="18"/>
              </w:rPr>
              <w:t>Serbatoi di olio lubrificante, tubature e accessori</w:t>
            </w:r>
          </w:p>
        </w:tc>
        <w:tc>
          <w:tcPr>
            <w:tcW w:w="6521" w:type="dxa"/>
            <w:shd w:val="clear" w:color="auto" w:fill="auto"/>
          </w:tcPr>
          <w:p w:rsidR="00196FBC" w:rsidRPr="00C903F8" w:rsidRDefault="008761D9" w:rsidP="00E113D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9942A5">
            <w:pPr>
              <w:spacing w:before="120" w:after="160" w:line="240" w:lineRule="atLeast"/>
              <w:ind w:left="0" w:firstLine="0"/>
              <w:rPr>
                <w:rFonts w:cs="Arial"/>
                <w:sz w:val="18"/>
                <w:szCs w:val="18"/>
              </w:rPr>
            </w:pPr>
            <w:r>
              <w:rPr>
                <w:sz w:val="18"/>
              </w:rPr>
              <w:t>1.1.2045</w:t>
            </w:r>
          </w:p>
        </w:tc>
      </w:tr>
      <w:tr w:rsidR="00196FBC" w:rsidRPr="00C903F8" w:rsidTr="00196FBC">
        <w:trPr>
          <w:cantSplit/>
          <w:jc w:val="center"/>
        </w:trPr>
        <w:tc>
          <w:tcPr>
            <w:tcW w:w="1342" w:type="dxa"/>
            <w:tcBorders>
              <w:bottom w:val="single" w:sz="4" w:space="0" w:color="auto"/>
            </w:tcBorders>
            <w:shd w:val="clear" w:color="auto" w:fill="auto"/>
          </w:tcPr>
          <w:p w:rsidR="00196FBC" w:rsidRPr="00C903F8" w:rsidRDefault="00196FBC" w:rsidP="00C01A94">
            <w:pPr>
              <w:spacing w:before="80" w:after="100" w:line="240" w:lineRule="atLeast"/>
              <w:ind w:left="0" w:firstLine="0"/>
              <w:rPr>
                <w:rFonts w:cs="Arial"/>
                <w:sz w:val="18"/>
                <w:szCs w:val="18"/>
              </w:rPr>
            </w:pPr>
            <w:r>
              <w:rPr>
                <w:sz w:val="18"/>
              </w:rPr>
              <w:lastRenderedPageBreak/>
              <w:t>8.07</w:t>
            </w:r>
          </w:p>
        </w:tc>
        <w:tc>
          <w:tcPr>
            <w:tcW w:w="1458" w:type="dxa"/>
            <w:shd w:val="clear" w:color="auto" w:fill="auto"/>
          </w:tcPr>
          <w:p w:rsidR="00196FBC" w:rsidRPr="00C903F8" w:rsidRDefault="00196FBC" w:rsidP="00C01A94">
            <w:pPr>
              <w:spacing w:before="80" w:after="100" w:line="240" w:lineRule="atLeast"/>
              <w:ind w:left="0" w:firstLine="0"/>
              <w:rPr>
                <w:rFonts w:cs="Arial"/>
                <w:sz w:val="18"/>
                <w:szCs w:val="18"/>
              </w:rPr>
            </w:pPr>
          </w:p>
        </w:tc>
        <w:tc>
          <w:tcPr>
            <w:tcW w:w="3296" w:type="dxa"/>
            <w:shd w:val="clear" w:color="auto" w:fill="auto"/>
          </w:tcPr>
          <w:p w:rsidR="00196FBC" w:rsidRPr="00C903F8" w:rsidRDefault="00196FBC" w:rsidP="00C01A94">
            <w:pPr>
              <w:spacing w:before="80" w:after="100" w:line="240" w:lineRule="atLeast"/>
              <w:ind w:left="0" w:firstLine="0"/>
              <w:rPr>
                <w:rFonts w:cs="Arial"/>
                <w:sz w:val="18"/>
                <w:szCs w:val="18"/>
              </w:rPr>
            </w:pPr>
            <w:r>
              <w:rPr>
                <w:noProof/>
                <w:sz w:val="18"/>
              </w:rPr>
              <w:t>Serbatoi di oli negli impianti di trasmissione di energia, negli impianti di comando e attivazione e negli impianti di riscaldamento, tubature e accessori</w:t>
            </w:r>
          </w:p>
        </w:tc>
        <w:tc>
          <w:tcPr>
            <w:tcW w:w="6521" w:type="dxa"/>
            <w:shd w:val="clear" w:color="auto" w:fill="auto"/>
          </w:tcPr>
          <w:p w:rsidR="00196FBC" w:rsidRPr="00C903F8" w:rsidRDefault="008761D9" w:rsidP="00C01A94">
            <w:pPr>
              <w:spacing w:before="8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C01A94">
            <w:pPr>
              <w:spacing w:before="80" w:after="100" w:line="240" w:lineRule="atLeast"/>
              <w:ind w:left="0" w:firstLine="0"/>
              <w:rPr>
                <w:rFonts w:cs="Arial"/>
                <w:sz w:val="18"/>
                <w:szCs w:val="18"/>
              </w:rPr>
            </w:pPr>
            <w:r>
              <w:rPr>
                <w:sz w:val="18"/>
              </w:rPr>
              <w:t>1.1.2045</w:t>
            </w:r>
          </w:p>
        </w:tc>
      </w:tr>
      <w:tr w:rsidR="00196FBC" w:rsidRPr="00C903F8" w:rsidTr="00E113D0">
        <w:trPr>
          <w:cantSplit/>
          <w:trHeight w:val="1431"/>
          <w:jc w:val="center"/>
        </w:trPr>
        <w:tc>
          <w:tcPr>
            <w:tcW w:w="1342" w:type="dxa"/>
            <w:tcBorders>
              <w:bottom w:val="nil"/>
            </w:tcBorders>
            <w:shd w:val="clear" w:color="auto" w:fill="auto"/>
          </w:tcPr>
          <w:p w:rsidR="00196FBC" w:rsidRPr="00C903F8" w:rsidRDefault="00196FBC" w:rsidP="00C01A94">
            <w:pPr>
              <w:spacing w:before="80" w:after="100" w:line="240" w:lineRule="atLeast"/>
              <w:ind w:left="0" w:firstLine="0"/>
              <w:rPr>
                <w:rFonts w:cs="Arial"/>
                <w:sz w:val="18"/>
                <w:szCs w:val="18"/>
              </w:rPr>
            </w:pPr>
            <w:r>
              <w:rPr>
                <w:sz w:val="18"/>
              </w:rPr>
              <w:t>8.08</w:t>
            </w:r>
          </w:p>
        </w:tc>
        <w:tc>
          <w:tcPr>
            <w:tcW w:w="1458" w:type="dxa"/>
            <w:shd w:val="clear" w:color="auto" w:fill="auto"/>
          </w:tcPr>
          <w:p w:rsidR="00196FBC" w:rsidRPr="00C903F8" w:rsidRDefault="00196FBC" w:rsidP="00C01A94">
            <w:pPr>
              <w:spacing w:before="80" w:after="100" w:line="240" w:lineRule="atLeast"/>
              <w:ind w:left="0" w:firstLine="0"/>
              <w:rPr>
                <w:rFonts w:cs="Arial"/>
                <w:sz w:val="18"/>
                <w:szCs w:val="18"/>
              </w:rPr>
            </w:pPr>
            <w:r>
              <w:rPr>
                <w:sz w:val="18"/>
              </w:rPr>
              <w:t>paragrafo 8</w:t>
            </w:r>
          </w:p>
        </w:tc>
        <w:tc>
          <w:tcPr>
            <w:tcW w:w="3296" w:type="dxa"/>
            <w:shd w:val="clear" w:color="auto" w:fill="auto"/>
          </w:tcPr>
          <w:p w:rsidR="00196FBC" w:rsidRPr="00C903F8" w:rsidRDefault="00196FBC" w:rsidP="00C01A94">
            <w:pPr>
              <w:spacing w:before="80" w:after="100" w:line="240" w:lineRule="atLeast"/>
              <w:ind w:left="0" w:firstLine="0"/>
              <w:rPr>
                <w:rFonts w:cs="Arial"/>
                <w:sz w:val="18"/>
                <w:szCs w:val="18"/>
              </w:rPr>
            </w:pPr>
            <w:r>
              <w:rPr>
                <w:noProof/>
                <w:sz w:val="18"/>
              </w:rPr>
              <w:t>Semplice dispositivo di chiusura non sufficiente per il raccordo dei locali adibiti al servizio di zavorra alle tubolature di prosciugamento per le stive attrezzate per il servizio di zavorra</w:t>
            </w:r>
          </w:p>
        </w:tc>
        <w:tc>
          <w:tcPr>
            <w:tcW w:w="6521" w:type="dxa"/>
            <w:shd w:val="clear" w:color="auto" w:fill="auto"/>
          </w:tcPr>
          <w:p w:rsidR="00196FBC" w:rsidRPr="00C903F8" w:rsidRDefault="008761D9" w:rsidP="00C01A94">
            <w:pPr>
              <w:spacing w:before="8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C01A94">
            <w:pPr>
              <w:spacing w:before="80" w:after="100" w:line="240" w:lineRule="atLeast"/>
              <w:ind w:left="0" w:firstLine="0"/>
              <w:rPr>
                <w:rFonts w:cs="Arial"/>
                <w:sz w:val="18"/>
                <w:szCs w:val="18"/>
              </w:rPr>
            </w:pPr>
            <w:r>
              <w:rPr>
                <w:sz w:val="18"/>
              </w:rPr>
              <w:t>1.1.2010</w:t>
            </w:r>
          </w:p>
        </w:tc>
      </w:tr>
      <w:tr w:rsidR="00196FBC" w:rsidRPr="00C903F8" w:rsidTr="00196FBC">
        <w:trPr>
          <w:cantSplit/>
          <w:jc w:val="center"/>
        </w:trPr>
        <w:tc>
          <w:tcPr>
            <w:tcW w:w="1342" w:type="dxa"/>
            <w:tcBorders>
              <w:top w:val="nil"/>
            </w:tcBorders>
            <w:shd w:val="clear" w:color="auto" w:fill="auto"/>
          </w:tcPr>
          <w:p w:rsidR="00196FBC" w:rsidRPr="00C903F8" w:rsidRDefault="00196FBC" w:rsidP="00C01A94">
            <w:pPr>
              <w:spacing w:before="80" w:after="100" w:line="240" w:lineRule="atLeast"/>
              <w:ind w:left="0" w:firstLine="0"/>
              <w:rPr>
                <w:rFonts w:cs="Arial"/>
                <w:sz w:val="18"/>
                <w:szCs w:val="18"/>
              </w:rPr>
            </w:pPr>
          </w:p>
        </w:tc>
        <w:tc>
          <w:tcPr>
            <w:tcW w:w="1458" w:type="dxa"/>
            <w:shd w:val="clear" w:color="auto" w:fill="auto"/>
          </w:tcPr>
          <w:p w:rsidR="00196FBC" w:rsidRPr="00C903F8" w:rsidRDefault="00196FBC" w:rsidP="00C01A94">
            <w:pPr>
              <w:spacing w:before="80" w:after="100" w:line="240" w:lineRule="atLeast"/>
              <w:ind w:left="0" w:firstLine="0"/>
              <w:rPr>
                <w:rFonts w:cs="Arial"/>
                <w:sz w:val="18"/>
                <w:szCs w:val="18"/>
              </w:rPr>
            </w:pPr>
            <w:r>
              <w:rPr>
                <w:sz w:val="18"/>
              </w:rPr>
              <w:t>paragrafo 9</w:t>
            </w:r>
          </w:p>
        </w:tc>
        <w:tc>
          <w:tcPr>
            <w:tcW w:w="3296" w:type="dxa"/>
            <w:shd w:val="clear" w:color="auto" w:fill="auto"/>
          </w:tcPr>
          <w:p w:rsidR="00196FBC" w:rsidRPr="00C903F8" w:rsidRDefault="00196FBC" w:rsidP="00C01A94">
            <w:pPr>
              <w:spacing w:before="80" w:after="100" w:line="240" w:lineRule="atLeast"/>
              <w:ind w:left="0" w:firstLine="0"/>
              <w:rPr>
                <w:rFonts w:cs="Arial"/>
                <w:sz w:val="18"/>
                <w:szCs w:val="18"/>
              </w:rPr>
            </w:pPr>
            <w:r>
              <w:rPr>
                <w:noProof/>
                <w:sz w:val="18"/>
              </w:rPr>
              <w:t>Dispositivi di misurazione per il fondo delle stive</w:t>
            </w:r>
          </w:p>
        </w:tc>
        <w:tc>
          <w:tcPr>
            <w:tcW w:w="6521" w:type="dxa"/>
            <w:shd w:val="clear" w:color="auto" w:fill="auto"/>
          </w:tcPr>
          <w:p w:rsidR="00196FBC" w:rsidRPr="00C903F8" w:rsidRDefault="008761D9" w:rsidP="00C01A94">
            <w:pPr>
              <w:spacing w:before="8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C01A94">
            <w:pPr>
              <w:spacing w:before="80" w:after="100" w:line="240" w:lineRule="atLeast"/>
              <w:ind w:left="0" w:firstLine="0"/>
              <w:rPr>
                <w:rFonts w:cs="Arial"/>
                <w:sz w:val="18"/>
                <w:szCs w:val="18"/>
              </w:rPr>
            </w:pPr>
            <w:r>
              <w:rPr>
                <w:sz w:val="18"/>
              </w:rPr>
              <w:t>1.1.2010</w:t>
            </w:r>
          </w:p>
        </w:tc>
      </w:tr>
      <w:tr w:rsidR="00196FBC" w:rsidRPr="00C903F8" w:rsidTr="00196FBC">
        <w:trPr>
          <w:cantSplit/>
          <w:jc w:val="center"/>
        </w:trPr>
        <w:tc>
          <w:tcPr>
            <w:tcW w:w="1342" w:type="dxa"/>
            <w:shd w:val="clear" w:color="auto" w:fill="auto"/>
          </w:tcPr>
          <w:p w:rsidR="00196FBC" w:rsidRPr="00C903F8" w:rsidRDefault="00196FBC" w:rsidP="00C01A94">
            <w:pPr>
              <w:spacing w:before="80" w:after="100" w:line="240" w:lineRule="atLeast"/>
              <w:ind w:left="0" w:firstLine="0"/>
              <w:rPr>
                <w:rFonts w:cs="Arial"/>
                <w:sz w:val="18"/>
                <w:szCs w:val="18"/>
              </w:rPr>
            </w:pPr>
            <w:r>
              <w:rPr>
                <w:sz w:val="18"/>
              </w:rPr>
              <w:t>8.09</w:t>
            </w:r>
          </w:p>
        </w:tc>
        <w:tc>
          <w:tcPr>
            <w:tcW w:w="1458" w:type="dxa"/>
            <w:shd w:val="clear" w:color="auto" w:fill="auto"/>
          </w:tcPr>
          <w:p w:rsidR="00196FBC" w:rsidRPr="00C903F8" w:rsidRDefault="00196FBC" w:rsidP="00C01A94">
            <w:pPr>
              <w:spacing w:before="80" w:after="100" w:line="240" w:lineRule="atLeast"/>
              <w:ind w:left="0" w:firstLine="0"/>
              <w:rPr>
                <w:rFonts w:cs="Arial"/>
                <w:sz w:val="18"/>
                <w:szCs w:val="18"/>
              </w:rPr>
            </w:pPr>
            <w:r>
              <w:rPr>
                <w:sz w:val="18"/>
              </w:rPr>
              <w:t>paragrafo 2</w:t>
            </w:r>
          </w:p>
        </w:tc>
        <w:tc>
          <w:tcPr>
            <w:tcW w:w="3296" w:type="dxa"/>
            <w:shd w:val="clear" w:color="auto" w:fill="auto"/>
          </w:tcPr>
          <w:p w:rsidR="00196FBC" w:rsidRPr="00C903F8" w:rsidRDefault="00196FBC" w:rsidP="00C01A94">
            <w:pPr>
              <w:spacing w:before="80" w:after="100" w:line="240" w:lineRule="atLeast"/>
              <w:ind w:left="0" w:firstLine="0"/>
              <w:rPr>
                <w:rFonts w:cs="Arial"/>
                <w:sz w:val="18"/>
                <w:szCs w:val="18"/>
              </w:rPr>
            </w:pPr>
            <w:r>
              <w:rPr>
                <w:noProof/>
                <w:sz w:val="18"/>
              </w:rPr>
              <w:t>Impianti di raccolta delle acque oleose e degli oli usati</w:t>
            </w:r>
          </w:p>
        </w:tc>
        <w:tc>
          <w:tcPr>
            <w:tcW w:w="6521" w:type="dxa"/>
            <w:shd w:val="clear" w:color="auto" w:fill="auto"/>
          </w:tcPr>
          <w:p w:rsidR="00196FBC" w:rsidRPr="00C903F8" w:rsidRDefault="008761D9" w:rsidP="00C01A94">
            <w:pPr>
              <w:spacing w:before="8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FBC" w:rsidRPr="00C903F8" w:rsidRDefault="00196FBC" w:rsidP="00C01A94">
            <w:pPr>
              <w:spacing w:before="80" w:after="100" w:line="240" w:lineRule="atLeast"/>
              <w:ind w:left="0" w:firstLine="0"/>
              <w:rPr>
                <w:rFonts w:cs="Arial"/>
                <w:sz w:val="18"/>
                <w:szCs w:val="18"/>
              </w:rPr>
            </w:pPr>
            <w:r>
              <w:rPr>
                <w:sz w:val="18"/>
              </w:rPr>
              <w:t>1.1.2010</w:t>
            </w:r>
          </w:p>
        </w:tc>
      </w:tr>
      <w:tr w:rsidR="00196FBC" w:rsidRPr="00C903F8" w:rsidTr="00C01A94">
        <w:trPr>
          <w:cantSplit/>
          <w:jc w:val="center"/>
        </w:trPr>
        <w:tc>
          <w:tcPr>
            <w:tcW w:w="1342" w:type="dxa"/>
            <w:shd w:val="clear" w:color="auto" w:fill="auto"/>
          </w:tcPr>
          <w:p w:rsidR="00196FBC" w:rsidRPr="00C903F8" w:rsidRDefault="00196FBC" w:rsidP="00C01A94">
            <w:pPr>
              <w:spacing w:before="80" w:after="100" w:line="240" w:lineRule="atLeast"/>
              <w:ind w:left="0" w:firstLine="0"/>
              <w:rPr>
                <w:rFonts w:cs="Arial"/>
                <w:sz w:val="18"/>
                <w:szCs w:val="18"/>
              </w:rPr>
            </w:pPr>
            <w:r>
              <w:rPr>
                <w:sz w:val="18"/>
              </w:rPr>
              <w:t>8.10</w:t>
            </w:r>
          </w:p>
        </w:tc>
        <w:tc>
          <w:tcPr>
            <w:tcW w:w="1458" w:type="dxa"/>
            <w:shd w:val="clear" w:color="auto" w:fill="auto"/>
          </w:tcPr>
          <w:p w:rsidR="00196FBC" w:rsidRPr="00C903F8" w:rsidRDefault="00196FBC" w:rsidP="00C01A94">
            <w:pPr>
              <w:spacing w:before="80" w:after="100" w:line="240" w:lineRule="atLeast"/>
              <w:ind w:left="0" w:firstLine="0"/>
              <w:rPr>
                <w:rFonts w:cs="Arial"/>
                <w:sz w:val="18"/>
                <w:szCs w:val="18"/>
              </w:rPr>
            </w:pPr>
            <w:r>
              <w:rPr>
                <w:sz w:val="18"/>
              </w:rPr>
              <w:t>paragrafo 3</w:t>
            </w:r>
            <w:r>
              <w:rPr>
                <w:color w:val="000000"/>
                <w:sz w:val="18"/>
                <w:vertAlign w:val="superscript"/>
              </w:rPr>
              <w:footnoteReference w:id="26"/>
            </w:r>
          </w:p>
        </w:tc>
        <w:tc>
          <w:tcPr>
            <w:tcW w:w="3296" w:type="dxa"/>
            <w:shd w:val="clear" w:color="auto" w:fill="auto"/>
          </w:tcPr>
          <w:p w:rsidR="00196FBC" w:rsidRPr="00C903F8" w:rsidRDefault="00196FBC" w:rsidP="00C01A94">
            <w:pPr>
              <w:spacing w:before="80" w:after="100" w:line="240" w:lineRule="atLeast"/>
              <w:ind w:left="0" w:firstLine="0"/>
              <w:rPr>
                <w:rFonts w:cs="Arial"/>
                <w:sz w:val="18"/>
                <w:szCs w:val="18"/>
              </w:rPr>
            </w:pPr>
            <w:r>
              <w:rPr>
                <w:noProof/>
                <w:sz w:val="18"/>
              </w:rPr>
              <w:t>Limite di emissione di 65 dB(A) per le navi in stazionamento</w:t>
            </w:r>
          </w:p>
        </w:tc>
        <w:tc>
          <w:tcPr>
            <w:tcW w:w="6521" w:type="dxa"/>
            <w:shd w:val="clear" w:color="auto" w:fill="auto"/>
          </w:tcPr>
          <w:p w:rsidR="00196FBC" w:rsidRPr="00C903F8" w:rsidRDefault="008761D9" w:rsidP="00C01A94">
            <w:pPr>
              <w:spacing w:before="8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tcBorders>
              <w:bottom w:val="single" w:sz="4" w:space="0" w:color="auto"/>
            </w:tcBorders>
            <w:shd w:val="clear" w:color="auto" w:fill="auto"/>
          </w:tcPr>
          <w:p w:rsidR="00196FBC" w:rsidRPr="00C903F8" w:rsidRDefault="00196FBC" w:rsidP="00C01A94">
            <w:pPr>
              <w:spacing w:before="80" w:after="100" w:line="240" w:lineRule="atLeast"/>
              <w:ind w:left="0" w:firstLine="0"/>
              <w:rPr>
                <w:rFonts w:cs="Arial"/>
                <w:sz w:val="18"/>
                <w:szCs w:val="18"/>
              </w:rPr>
            </w:pPr>
            <w:r>
              <w:rPr>
                <w:sz w:val="18"/>
              </w:rPr>
              <w:t>1.1.2020</w:t>
            </w:r>
          </w:p>
        </w:tc>
      </w:tr>
      <w:tr w:rsidR="00196FBC" w:rsidRPr="00A0619C" w:rsidTr="00C01A94">
        <w:trPr>
          <w:cantSplit/>
          <w:jc w:val="center"/>
        </w:trPr>
        <w:tc>
          <w:tcPr>
            <w:tcW w:w="6096" w:type="dxa"/>
            <w:gridSpan w:val="3"/>
            <w:shd w:val="clear" w:color="auto" w:fill="auto"/>
          </w:tcPr>
          <w:p w:rsidR="00196FBC" w:rsidRPr="00C903F8" w:rsidRDefault="00196FBC" w:rsidP="00C01A94">
            <w:pPr>
              <w:spacing w:before="80" w:after="100" w:line="240" w:lineRule="atLeast"/>
              <w:ind w:left="0" w:firstLine="0"/>
              <w:jc w:val="center"/>
              <w:rPr>
                <w:rFonts w:cs="Arial"/>
                <w:sz w:val="18"/>
                <w:szCs w:val="18"/>
              </w:rPr>
            </w:pPr>
            <w:r>
              <w:rPr>
                <w:b/>
                <w:sz w:val="18"/>
              </w:rPr>
              <w:t>CAPO 9</w:t>
            </w:r>
          </w:p>
        </w:tc>
        <w:tc>
          <w:tcPr>
            <w:tcW w:w="6521" w:type="dxa"/>
            <w:tcBorders>
              <w:bottom w:val="single" w:sz="4" w:space="0" w:color="auto"/>
            </w:tcBorders>
            <w:shd w:val="clear" w:color="auto" w:fill="auto"/>
          </w:tcPr>
          <w:p w:rsidR="00196FBC" w:rsidRPr="00C01A94" w:rsidRDefault="00C01A94" w:rsidP="00C01A94">
            <w:pPr>
              <w:spacing w:before="80" w:after="100" w:line="240" w:lineRule="atLeast"/>
              <w:ind w:left="0" w:firstLine="0"/>
              <w:rPr>
                <w:rFonts w:cs="Arial"/>
                <w:sz w:val="18"/>
                <w:szCs w:val="18"/>
              </w:rPr>
            </w:pPr>
            <w:r>
              <w:rPr>
                <w:sz w:val="18"/>
              </w:rPr>
              <w:t>Per i motori già installati a bordo e non omologati, si applica solo l'articolo 9.02.</w:t>
            </w:r>
          </w:p>
        </w:tc>
        <w:tc>
          <w:tcPr>
            <w:tcW w:w="1276" w:type="dxa"/>
            <w:tcBorders>
              <w:bottom w:val="nil"/>
            </w:tcBorders>
            <w:shd w:val="clear" w:color="auto" w:fill="auto"/>
          </w:tcPr>
          <w:p w:rsidR="00196FBC" w:rsidRPr="00C01A94" w:rsidRDefault="00196FBC" w:rsidP="00C01A94">
            <w:pPr>
              <w:spacing w:before="80" w:after="100" w:line="240" w:lineRule="atLeast"/>
              <w:ind w:left="0" w:firstLine="0"/>
              <w:rPr>
                <w:rFonts w:cs="Arial"/>
                <w:sz w:val="18"/>
                <w:szCs w:val="18"/>
              </w:rPr>
            </w:pPr>
          </w:p>
        </w:tc>
      </w:tr>
      <w:tr w:rsidR="00C01A94" w:rsidRPr="00A0619C" w:rsidTr="00C01A94">
        <w:trPr>
          <w:cantSplit/>
          <w:jc w:val="center"/>
        </w:trPr>
        <w:tc>
          <w:tcPr>
            <w:tcW w:w="1342" w:type="dxa"/>
            <w:tcBorders>
              <w:bottom w:val="single" w:sz="4" w:space="0" w:color="auto"/>
            </w:tcBorders>
            <w:shd w:val="clear" w:color="auto" w:fill="auto"/>
          </w:tcPr>
          <w:p w:rsidR="00C01A94" w:rsidRPr="004B606C" w:rsidRDefault="00C01A94" w:rsidP="00C01A94">
            <w:pPr>
              <w:spacing w:before="80" w:after="100" w:line="240" w:lineRule="atLeast"/>
              <w:rPr>
                <w:rFonts w:eastAsia="Calibri" w:cs="Arial"/>
                <w:sz w:val="18"/>
                <w:szCs w:val="18"/>
              </w:rPr>
            </w:pPr>
            <w:r>
              <w:rPr>
                <w:sz w:val="18"/>
              </w:rPr>
              <w:t>9.01</w:t>
            </w:r>
          </w:p>
        </w:tc>
        <w:tc>
          <w:tcPr>
            <w:tcW w:w="1458" w:type="dxa"/>
            <w:tcBorders>
              <w:bottom w:val="single" w:sz="4" w:space="0" w:color="auto"/>
            </w:tcBorders>
            <w:shd w:val="clear" w:color="auto" w:fill="auto"/>
          </w:tcPr>
          <w:p w:rsidR="00C01A94" w:rsidRPr="004B606C" w:rsidRDefault="00C01A94" w:rsidP="00C01A94">
            <w:pPr>
              <w:spacing w:before="80" w:after="100" w:line="240" w:lineRule="atLeast"/>
              <w:rPr>
                <w:sz w:val="18"/>
                <w:szCs w:val="18"/>
              </w:rPr>
            </w:pPr>
            <w:r>
              <w:rPr>
                <w:sz w:val="18"/>
              </w:rPr>
              <w:t>paragrafi da 1 a 4</w:t>
            </w:r>
          </w:p>
        </w:tc>
        <w:tc>
          <w:tcPr>
            <w:tcW w:w="3296" w:type="dxa"/>
            <w:shd w:val="clear" w:color="auto" w:fill="auto"/>
          </w:tcPr>
          <w:p w:rsidR="00C01A94" w:rsidRPr="004B606C" w:rsidRDefault="00C01A94" w:rsidP="00C01A94">
            <w:pPr>
              <w:spacing w:before="80" w:after="100" w:line="240" w:lineRule="atLeast"/>
              <w:rPr>
                <w:rFonts w:eastAsia="Calibri" w:cs="Arial"/>
                <w:sz w:val="18"/>
                <w:szCs w:val="18"/>
              </w:rPr>
            </w:pPr>
            <w:r>
              <w:rPr>
                <w:sz w:val="18"/>
              </w:rPr>
              <w:t>Disposizioni generali</w:t>
            </w:r>
          </w:p>
        </w:tc>
        <w:tc>
          <w:tcPr>
            <w:tcW w:w="6521" w:type="dxa"/>
            <w:vMerge w:val="restart"/>
            <w:tcBorders>
              <w:right w:val="single" w:sz="4" w:space="0" w:color="auto"/>
            </w:tcBorders>
            <w:shd w:val="clear" w:color="auto" w:fill="auto"/>
            <w:vAlign w:val="center"/>
          </w:tcPr>
          <w:p w:rsidR="00C01A94" w:rsidRPr="00C903F8" w:rsidRDefault="00C01A94" w:rsidP="00C01A94">
            <w:pPr>
              <w:spacing w:before="80" w:after="100" w:line="240" w:lineRule="atLeast"/>
              <w:ind w:left="404" w:hanging="404"/>
              <w:rPr>
                <w:rFonts w:cs="Arial"/>
                <w:sz w:val="18"/>
                <w:szCs w:val="18"/>
              </w:rPr>
            </w:pPr>
            <w:r>
              <w:rPr>
                <w:sz w:val="18"/>
              </w:rPr>
              <w:t>Per motori conformi alle disposizioni di omologazione e installazione in vigore alla data di installazione: S.T.</w:t>
            </w:r>
          </w:p>
        </w:tc>
        <w:tc>
          <w:tcPr>
            <w:tcW w:w="1276" w:type="dxa"/>
            <w:tcBorders>
              <w:top w:val="nil"/>
              <w:left w:val="single" w:sz="4" w:space="0" w:color="auto"/>
              <w:bottom w:val="nil"/>
            </w:tcBorders>
            <w:shd w:val="clear" w:color="auto" w:fill="auto"/>
          </w:tcPr>
          <w:p w:rsidR="00C01A94" w:rsidRPr="00C903F8" w:rsidRDefault="00C01A94" w:rsidP="00C01A94">
            <w:pPr>
              <w:spacing w:before="80" w:after="100" w:line="240" w:lineRule="atLeast"/>
              <w:ind w:left="0" w:firstLine="0"/>
              <w:rPr>
                <w:rFonts w:cs="Arial"/>
                <w:sz w:val="18"/>
                <w:szCs w:val="18"/>
              </w:rPr>
            </w:pPr>
          </w:p>
        </w:tc>
      </w:tr>
      <w:tr w:rsidR="00C01A94" w:rsidRPr="00276993" w:rsidTr="00C01A94">
        <w:trPr>
          <w:cantSplit/>
          <w:jc w:val="center"/>
        </w:trPr>
        <w:tc>
          <w:tcPr>
            <w:tcW w:w="1342" w:type="dxa"/>
            <w:tcBorders>
              <w:top w:val="single" w:sz="4" w:space="0" w:color="auto"/>
              <w:bottom w:val="single" w:sz="4" w:space="0" w:color="auto"/>
            </w:tcBorders>
            <w:shd w:val="clear" w:color="auto" w:fill="auto"/>
          </w:tcPr>
          <w:p w:rsidR="00C01A94" w:rsidRPr="004B606C" w:rsidRDefault="00C01A94" w:rsidP="00C01A94">
            <w:pPr>
              <w:spacing w:before="80" w:after="100" w:line="240" w:lineRule="atLeast"/>
              <w:rPr>
                <w:sz w:val="18"/>
                <w:szCs w:val="18"/>
              </w:rPr>
            </w:pPr>
            <w:r>
              <w:rPr>
                <w:sz w:val="18"/>
              </w:rPr>
              <w:t>9.06</w:t>
            </w:r>
          </w:p>
        </w:tc>
        <w:tc>
          <w:tcPr>
            <w:tcW w:w="1458" w:type="dxa"/>
            <w:tcBorders>
              <w:top w:val="single" w:sz="4" w:space="0" w:color="auto"/>
              <w:bottom w:val="single" w:sz="4" w:space="0" w:color="auto"/>
            </w:tcBorders>
            <w:shd w:val="clear" w:color="auto" w:fill="auto"/>
          </w:tcPr>
          <w:p w:rsidR="00C01A94" w:rsidRPr="004B606C" w:rsidRDefault="00C01A94" w:rsidP="00C01A94">
            <w:pPr>
              <w:spacing w:before="80" w:after="100" w:line="240" w:lineRule="atLeast"/>
              <w:rPr>
                <w:sz w:val="18"/>
                <w:szCs w:val="18"/>
              </w:rPr>
            </w:pPr>
          </w:p>
        </w:tc>
        <w:tc>
          <w:tcPr>
            <w:tcW w:w="3296" w:type="dxa"/>
            <w:shd w:val="clear" w:color="auto" w:fill="auto"/>
          </w:tcPr>
          <w:p w:rsidR="00C01A94" w:rsidRPr="004B606C" w:rsidRDefault="00C01A94" w:rsidP="00C01A94">
            <w:pPr>
              <w:spacing w:before="80" w:after="100" w:line="240" w:lineRule="atLeast"/>
              <w:rPr>
                <w:sz w:val="18"/>
                <w:szCs w:val="18"/>
              </w:rPr>
            </w:pPr>
            <w:r>
              <w:rPr>
                <w:sz w:val="18"/>
              </w:rPr>
              <w:t>Controllo di montaggio</w:t>
            </w:r>
          </w:p>
        </w:tc>
        <w:tc>
          <w:tcPr>
            <w:tcW w:w="6521" w:type="dxa"/>
            <w:vMerge/>
            <w:tcBorders>
              <w:right w:val="single" w:sz="4" w:space="0" w:color="auto"/>
            </w:tcBorders>
            <w:shd w:val="clear" w:color="auto" w:fill="auto"/>
          </w:tcPr>
          <w:p w:rsidR="00C01A94" w:rsidRPr="00C903F8" w:rsidRDefault="00C01A94" w:rsidP="00C01A94">
            <w:pPr>
              <w:spacing w:before="80" w:after="100" w:line="240" w:lineRule="atLeast"/>
              <w:rPr>
                <w:rFonts w:cs="Arial"/>
                <w:sz w:val="18"/>
                <w:szCs w:val="18"/>
              </w:rPr>
            </w:pPr>
          </w:p>
        </w:tc>
        <w:tc>
          <w:tcPr>
            <w:tcW w:w="1276" w:type="dxa"/>
            <w:tcBorders>
              <w:top w:val="nil"/>
              <w:left w:val="single" w:sz="4" w:space="0" w:color="auto"/>
            </w:tcBorders>
            <w:shd w:val="clear" w:color="auto" w:fill="auto"/>
          </w:tcPr>
          <w:p w:rsidR="00C01A94" w:rsidRPr="00C903F8" w:rsidRDefault="00C01A94" w:rsidP="00C01A94">
            <w:pPr>
              <w:spacing w:before="80" w:after="100" w:line="240" w:lineRule="atLeast"/>
              <w:ind w:left="0" w:firstLine="0"/>
              <w:rPr>
                <w:rFonts w:cs="Arial"/>
                <w:sz w:val="18"/>
                <w:szCs w:val="18"/>
              </w:rPr>
            </w:pPr>
          </w:p>
        </w:tc>
      </w:tr>
      <w:tr w:rsidR="00C01A94" w:rsidRPr="00C903F8" w:rsidTr="00196FBC">
        <w:trPr>
          <w:cantSplit/>
          <w:jc w:val="center"/>
        </w:trPr>
        <w:tc>
          <w:tcPr>
            <w:tcW w:w="6096" w:type="dxa"/>
            <w:gridSpan w:val="3"/>
            <w:shd w:val="clear" w:color="auto" w:fill="auto"/>
          </w:tcPr>
          <w:p w:rsidR="00C01A94" w:rsidRPr="00852DB3" w:rsidRDefault="00C01A94" w:rsidP="00C01A94">
            <w:pPr>
              <w:spacing w:before="80" w:after="100" w:line="240" w:lineRule="atLeast"/>
              <w:jc w:val="center"/>
              <w:rPr>
                <w:rFonts w:cs="Arial"/>
                <w:b/>
                <w:sz w:val="18"/>
                <w:szCs w:val="18"/>
              </w:rPr>
            </w:pPr>
            <w:r>
              <w:rPr>
                <w:b/>
                <w:sz w:val="18"/>
              </w:rPr>
              <w:t>CAPO 10</w:t>
            </w:r>
          </w:p>
        </w:tc>
        <w:tc>
          <w:tcPr>
            <w:tcW w:w="6521" w:type="dxa"/>
            <w:shd w:val="clear" w:color="auto" w:fill="auto"/>
          </w:tcPr>
          <w:p w:rsidR="00C01A94" w:rsidRPr="00852DB3" w:rsidRDefault="00C01A94" w:rsidP="00C01A94">
            <w:pPr>
              <w:spacing w:before="80" w:after="100" w:line="240" w:lineRule="atLeast"/>
              <w:jc w:val="center"/>
              <w:rPr>
                <w:rFonts w:cs="Arial"/>
                <w:sz w:val="18"/>
                <w:szCs w:val="18"/>
              </w:rPr>
            </w:pPr>
          </w:p>
        </w:tc>
        <w:tc>
          <w:tcPr>
            <w:tcW w:w="1276" w:type="dxa"/>
            <w:shd w:val="clear" w:color="auto" w:fill="auto"/>
          </w:tcPr>
          <w:p w:rsidR="00C01A94" w:rsidRPr="00C903F8" w:rsidRDefault="00C01A94" w:rsidP="00C01A94">
            <w:pPr>
              <w:spacing w:before="80" w:after="100" w:line="240" w:lineRule="atLeast"/>
              <w:ind w:left="0" w:firstLine="0"/>
              <w:rPr>
                <w:rFonts w:cs="Arial"/>
                <w:sz w:val="18"/>
                <w:szCs w:val="18"/>
              </w:rPr>
            </w:pPr>
          </w:p>
        </w:tc>
      </w:tr>
      <w:tr w:rsidR="00C01A94" w:rsidRPr="00C903F8" w:rsidTr="00196FBC">
        <w:trPr>
          <w:cantSplit/>
          <w:jc w:val="center"/>
        </w:trPr>
        <w:tc>
          <w:tcPr>
            <w:tcW w:w="1342" w:type="dxa"/>
            <w:tcBorders>
              <w:bottom w:val="nil"/>
            </w:tcBorders>
            <w:shd w:val="clear" w:color="auto" w:fill="auto"/>
          </w:tcPr>
          <w:p w:rsidR="00C01A94" w:rsidRPr="00C903F8" w:rsidRDefault="00C01A94" w:rsidP="00C01A94">
            <w:pPr>
              <w:spacing w:before="80" w:after="100" w:line="240" w:lineRule="atLeast"/>
              <w:ind w:left="0" w:firstLine="0"/>
              <w:rPr>
                <w:rFonts w:cs="Arial"/>
                <w:sz w:val="18"/>
                <w:szCs w:val="18"/>
              </w:rPr>
            </w:pPr>
            <w:r>
              <w:rPr>
                <w:sz w:val="18"/>
              </w:rPr>
              <w:t>10.01</w:t>
            </w:r>
          </w:p>
        </w:tc>
        <w:tc>
          <w:tcPr>
            <w:tcW w:w="1458" w:type="dxa"/>
            <w:shd w:val="clear" w:color="auto" w:fill="auto"/>
          </w:tcPr>
          <w:p w:rsidR="00C01A94" w:rsidRPr="00852DB3" w:rsidRDefault="00C01A94" w:rsidP="00C01A94">
            <w:pPr>
              <w:spacing w:before="80" w:after="100" w:line="240" w:lineRule="atLeast"/>
              <w:ind w:left="0" w:firstLine="0"/>
              <w:jc w:val="left"/>
              <w:rPr>
                <w:rFonts w:cs="Arial"/>
                <w:sz w:val="18"/>
                <w:szCs w:val="18"/>
              </w:rPr>
            </w:pPr>
            <w:r>
              <w:rPr>
                <w:sz w:val="18"/>
              </w:rPr>
              <w:t>paragrafo 1, seconda frase</w:t>
            </w:r>
          </w:p>
        </w:tc>
        <w:tc>
          <w:tcPr>
            <w:tcW w:w="3296" w:type="dxa"/>
            <w:shd w:val="clear" w:color="auto" w:fill="auto"/>
          </w:tcPr>
          <w:p w:rsidR="00C01A94" w:rsidRPr="003F5E4D" w:rsidRDefault="00C01A94" w:rsidP="00C01A94">
            <w:pPr>
              <w:spacing w:before="80" w:after="100" w:line="240" w:lineRule="atLeast"/>
              <w:ind w:left="0" w:firstLine="0"/>
              <w:rPr>
                <w:rFonts w:cs="Arial"/>
                <w:noProof/>
                <w:sz w:val="18"/>
                <w:szCs w:val="18"/>
              </w:rPr>
            </w:pPr>
            <w:r>
              <w:rPr>
                <w:noProof/>
                <w:sz w:val="18"/>
              </w:rPr>
              <w:t>Documenti richiesti da presentare alla commissione di ispezione</w:t>
            </w:r>
          </w:p>
        </w:tc>
        <w:tc>
          <w:tcPr>
            <w:tcW w:w="6521" w:type="dxa"/>
            <w:shd w:val="clear" w:color="auto" w:fill="auto"/>
          </w:tcPr>
          <w:p w:rsidR="00C01A94" w:rsidRPr="00852DB3" w:rsidRDefault="00C01A94" w:rsidP="00C01A94">
            <w:pPr>
              <w:spacing w:before="80" w:after="10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C01A94">
            <w:pPr>
              <w:spacing w:before="80" w:after="100" w:line="240" w:lineRule="atLeast"/>
              <w:jc w:val="center"/>
              <w:rPr>
                <w:rFonts w:cs="Arial"/>
                <w:sz w:val="18"/>
                <w:szCs w:val="18"/>
              </w:rPr>
            </w:pPr>
            <w:r>
              <w:rPr>
                <w:sz w:val="18"/>
              </w:rPr>
              <w:t>1.1.2035</w:t>
            </w:r>
          </w:p>
        </w:tc>
      </w:tr>
      <w:tr w:rsidR="00C01A94" w:rsidRPr="00C903F8" w:rsidTr="00C07595">
        <w:trPr>
          <w:cantSplit/>
          <w:jc w:val="center"/>
        </w:trPr>
        <w:tc>
          <w:tcPr>
            <w:tcW w:w="1342" w:type="dxa"/>
            <w:vMerge w:val="restart"/>
            <w:tcBorders>
              <w:top w:val="nil"/>
            </w:tcBorders>
            <w:shd w:val="clear" w:color="auto" w:fill="auto"/>
          </w:tcPr>
          <w:p w:rsidR="00C01A94" w:rsidRPr="00C903F8" w:rsidRDefault="00C01A94" w:rsidP="00C01A94">
            <w:pPr>
              <w:spacing w:before="120" w:after="100" w:line="240" w:lineRule="atLeast"/>
              <w:ind w:left="0" w:firstLine="0"/>
              <w:rPr>
                <w:rFonts w:cs="Arial"/>
                <w:sz w:val="18"/>
                <w:szCs w:val="18"/>
              </w:rPr>
            </w:pPr>
          </w:p>
        </w:tc>
        <w:tc>
          <w:tcPr>
            <w:tcW w:w="1458" w:type="dxa"/>
            <w:shd w:val="clear" w:color="auto" w:fill="auto"/>
          </w:tcPr>
          <w:p w:rsidR="00C01A94" w:rsidRPr="00852DB3" w:rsidRDefault="00C01A94" w:rsidP="00C01A94">
            <w:pPr>
              <w:spacing w:before="120" w:after="100" w:line="240" w:lineRule="atLeast"/>
              <w:rPr>
                <w:rFonts w:cs="Arial"/>
                <w:sz w:val="18"/>
                <w:szCs w:val="18"/>
              </w:rPr>
            </w:pPr>
            <w:r>
              <w:rPr>
                <w:sz w:val="18"/>
              </w:rPr>
              <w:t>paragrafo 2, lettera b)</w:t>
            </w:r>
          </w:p>
        </w:tc>
        <w:tc>
          <w:tcPr>
            <w:tcW w:w="3296" w:type="dxa"/>
            <w:shd w:val="clear" w:color="auto" w:fill="auto"/>
          </w:tcPr>
          <w:p w:rsidR="00C01A94" w:rsidRPr="003F5E4D" w:rsidRDefault="00C01A94" w:rsidP="00C01A94">
            <w:pPr>
              <w:spacing w:before="120" w:after="100" w:line="240" w:lineRule="atLeast"/>
              <w:ind w:left="0" w:firstLine="0"/>
              <w:rPr>
                <w:rFonts w:cs="Arial"/>
                <w:noProof/>
                <w:sz w:val="18"/>
                <w:szCs w:val="18"/>
              </w:rPr>
            </w:pPr>
            <w:r>
              <w:rPr>
                <w:noProof/>
                <w:sz w:val="18"/>
              </w:rPr>
              <w:t>Piani del quadro principale, del quadro dell'impianto di emergenza e dei quadri di distribuzione che devono essere a bordo</w:t>
            </w:r>
          </w:p>
        </w:tc>
        <w:tc>
          <w:tcPr>
            <w:tcW w:w="6521" w:type="dxa"/>
            <w:shd w:val="clear" w:color="auto" w:fill="auto"/>
          </w:tcPr>
          <w:p w:rsidR="00C01A94" w:rsidRPr="00852DB3" w:rsidRDefault="00C01A94" w:rsidP="00C01A94">
            <w:pPr>
              <w:spacing w:before="120" w:after="10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C01A94">
            <w:pPr>
              <w:spacing w:before="120" w:after="100" w:line="240" w:lineRule="atLeast"/>
              <w:jc w:val="center"/>
              <w:rPr>
                <w:rFonts w:cs="Arial"/>
                <w:sz w:val="18"/>
                <w:szCs w:val="18"/>
              </w:rPr>
            </w:pPr>
            <w:r>
              <w:rPr>
                <w:sz w:val="18"/>
              </w:rPr>
              <w:t>1.1.2010</w:t>
            </w:r>
          </w:p>
        </w:tc>
      </w:tr>
      <w:tr w:rsidR="00C01A94" w:rsidRPr="00C903F8" w:rsidTr="00C07595">
        <w:trPr>
          <w:cantSplit/>
          <w:jc w:val="center"/>
        </w:trPr>
        <w:tc>
          <w:tcPr>
            <w:tcW w:w="1342" w:type="dxa"/>
            <w:vMerge/>
            <w:shd w:val="clear" w:color="auto" w:fill="auto"/>
          </w:tcPr>
          <w:p w:rsidR="00C01A94" w:rsidRPr="00C903F8" w:rsidRDefault="00C01A94" w:rsidP="00C01A94">
            <w:pPr>
              <w:spacing w:before="120" w:after="100" w:line="240" w:lineRule="atLeast"/>
              <w:ind w:left="0" w:firstLine="0"/>
              <w:rPr>
                <w:rFonts w:cs="Arial"/>
                <w:sz w:val="18"/>
                <w:szCs w:val="18"/>
              </w:rPr>
            </w:pPr>
          </w:p>
        </w:tc>
        <w:tc>
          <w:tcPr>
            <w:tcW w:w="1458" w:type="dxa"/>
            <w:shd w:val="clear" w:color="auto" w:fill="auto"/>
          </w:tcPr>
          <w:p w:rsidR="00C01A94" w:rsidRPr="00852DB3" w:rsidRDefault="00AA3519" w:rsidP="00AA3519">
            <w:pPr>
              <w:spacing w:before="120" w:after="100" w:line="240" w:lineRule="atLeast"/>
              <w:rPr>
                <w:rFonts w:cs="Arial"/>
                <w:sz w:val="18"/>
                <w:szCs w:val="18"/>
              </w:rPr>
            </w:pPr>
            <w:r>
              <w:rPr>
                <w:sz w:val="18"/>
              </w:rPr>
              <w:t>paragrafo 2, lettera e)</w:t>
            </w:r>
          </w:p>
        </w:tc>
        <w:tc>
          <w:tcPr>
            <w:tcW w:w="3296" w:type="dxa"/>
            <w:shd w:val="clear" w:color="auto" w:fill="auto"/>
          </w:tcPr>
          <w:p w:rsidR="00C01A94" w:rsidRPr="003F5E4D" w:rsidRDefault="00C01A94" w:rsidP="00C01A94">
            <w:pPr>
              <w:spacing w:before="120" w:after="100" w:line="240" w:lineRule="atLeast"/>
              <w:ind w:left="0" w:firstLine="0"/>
              <w:rPr>
                <w:rFonts w:cs="Arial"/>
                <w:noProof/>
                <w:sz w:val="18"/>
                <w:szCs w:val="18"/>
              </w:rPr>
            </w:pPr>
            <w:r>
              <w:rPr>
                <w:noProof/>
                <w:sz w:val="18"/>
              </w:rPr>
              <w:t>Piani dei quadri elettrici e documentazione del motore elettrico di propulsore</w:t>
            </w:r>
          </w:p>
        </w:tc>
        <w:tc>
          <w:tcPr>
            <w:tcW w:w="6521" w:type="dxa"/>
            <w:shd w:val="clear" w:color="auto" w:fill="auto"/>
          </w:tcPr>
          <w:p w:rsidR="00C01A94" w:rsidRPr="00852DB3" w:rsidRDefault="00F91AFF" w:rsidP="00C01A94">
            <w:pPr>
              <w:spacing w:before="120" w:after="100" w:line="240" w:lineRule="atLeast"/>
              <w:rPr>
                <w:rFonts w:cs="Arial"/>
                <w:sz w:val="18"/>
                <w:szCs w:val="18"/>
              </w:rPr>
            </w:pPr>
            <w:r>
              <w:rPr>
                <w:sz w:val="18"/>
              </w:rPr>
              <w:t>N.S.T</w:t>
            </w:r>
          </w:p>
        </w:tc>
        <w:tc>
          <w:tcPr>
            <w:tcW w:w="1276" w:type="dxa"/>
            <w:shd w:val="clear" w:color="auto" w:fill="auto"/>
          </w:tcPr>
          <w:p w:rsidR="00C01A94" w:rsidRPr="00852DB3" w:rsidRDefault="00C01A94" w:rsidP="00C01A94">
            <w:pPr>
              <w:spacing w:before="120" w:after="100" w:line="240" w:lineRule="atLeast"/>
              <w:jc w:val="center"/>
              <w:rPr>
                <w:rFonts w:cs="Arial"/>
                <w:sz w:val="18"/>
                <w:szCs w:val="18"/>
              </w:rPr>
            </w:pPr>
          </w:p>
        </w:tc>
      </w:tr>
      <w:tr w:rsidR="00C01A94" w:rsidRPr="00C903F8" w:rsidTr="00C07595">
        <w:trPr>
          <w:cantSplit/>
          <w:jc w:val="center"/>
        </w:trPr>
        <w:tc>
          <w:tcPr>
            <w:tcW w:w="1342" w:type="dxa"/>
            <w:vMerge/>
            <w:shd w:val="clear" w:color="auto" w:fill="auto"/>
          </w:tcPr>
          <w:p w:rsidR="00C01A94" w:rsidRPr="00C903F8" w:rsidRDefault="00C01A94" w:rsidP="00C01A94">
            <w:pPr>
              <w:spacing w:before="120" w:after="100" w:line="240" w:lineRule="atLeast"/>
              <w:ind w:left="0" w:firstLine="0"/>
              <w:rPr>
                <w:rFonts w:cs="Arial"/>
                <w:sz w:val="18"/>
                <w:szCs w:val="18"/>
              </w:rPr>
            </w:pPr>
          </w:p>
        </w:tc>
        <w:tc>
          <w:tcPr>
            <w:tcW w:w="1458" w:type="dxa"/>
            <w:shd w:val="clear" w:color="auto" w:fill="auto"/>
          </w:tcPr>
          <w:p w:rsidR="00C01A94" w:rsidRPr="00852DB3" w:rsidRDefault="00AA3519" w:rsidP="00AA3519">
            <w:pPr>
              <w:spacing w:before="120" w:after="100" w:line="240" w:lineRule="atLeast"/>
              <w:rPr>
                <w:rFonts w:cs="Arial"/>
                <w:sz w:val="18"/>
                <w:szCs w:val="18"/>
              </w:rPr>
            </w:pPr>
            <w:r>
              <w:rPr>
                <w:sz w:val="18"/>
              </w:rPr>
              <w:t>paragrafo 2, lettera f)</w:t>
            </w:r>
          </w:p>
        </w:tc>
        <w:tc>
          <w:tcPr>
            <w:tcW w:w="3296" w:type="dxa"/>
            <w:shd w:val="clear" w:color="auto" w:fill="auto"/>
          </w:tcPr>
          <w:p w:rsidR="00C01A94" w:rsidRPr="00852DB3" w:rsidRDefault="00C01A94" w:rsidP="00C01A94">
            <w:pPr>
              <w:spacing w:before="120" w:after="100" w:line="240" w:lineRule="atLeast"/>
              <w:ind w:left="0" w:firstLine="0"/>
              <w:rPr>
                <w:rFonts w:cs="Arial"/>
                <w:noProof/>
                <w:sz w:val="18"/>
                <w:szCs w:val="18"/>
              </w:rPr>
            </w:pPr>
            <w:r>
              <w:rPr>
                <w:noProof/>
                <w:sz w:val="18"/>
              </w:rPr>
              <w:t>Piani dei sistemi elettronici</w:t>
            </w:r>
          </w:p>
        </w:tc>
        <w:tc>
          <w:tcPr>
            <w:tcW w:w="6521" w:type="dxa"/>
            <w:shd w:val="clear" w:color="auto" w:fill="auto"/>
          </w:tcPr>
          <w:p w:rsidR="00C01A94" w:rsidRPr="00852DB3" w:rsidRDefault="00F91AFF" w:rsidP="00C01A94">
            <w:pPr>
              <w:spacing w:before="120" w:after="100" w:line="240" w:lineRule="atLeast"/>
              <w:rPr>
                <w:rFonts w:cs="Arial"/>
                <w:sz w:val="18"/>
                <w:szCs w:val="18"/>
              </w:rPr>
            </w:pPr>
            <w:r>
              <w:rPr>
                <w:sz w:val="18"/>
              </w:rPr>
              <w:t>N.S.T</w:t>
            </w:r>
          </w:p>
        </w:tc>
        <w:tc>
          <w:tcPr>
            <w:tcW w:w="1276" w:type="dxa"/>
            <w:shd w:val="clear" w:color="auto" w:fill="auto"/>
          </w:tcPr>
          <w:p w:rsidR="00C01A94" w:rsidRPr="00852DB3" w:rsidRDefault="00C01A94" w:rsidP="00C01A94">
            <w:pPr>
              <w:spacing w:before="120" w:after="100" w:line="240" w:lineRule="atLeast"/>
              <w:jc w:val="center"/>
              <w:rPr>
                <w:rFonts w:cs="Arial"/>
                <w:sz w:val="18"/>
                <w:szCs w:val="18"/>
              </w:rPr>
            </w:pPr>
          </w:p>
        </w:tc>
      </w:tr>
      <w:tr w:rsidR="00C01A94" w:rsidRPr="00C903F8" w:rsidTr="00C07595">
        <w:trPr>
          <w:cantSplit/>
          <w:jc w:val="center"/>
        </w:trPr>
        <w:tc>
          <w:tcPr>
            <w:tcW w:w="1342" w:type="dxa"/>
            <w:vMerge/>
            <w:shd w:val="clear" w:color="auto" w:fill="auto"/>
          </w:tcPr>
          <w:p w:rsidR="00C01A94" w:rsidRPr="00C903F8" w:rsidRDefault="00C01A94" w:rsidP="00C01A94">
            <w:pPr>
              <w:spacing w:before="120" w:after="100" w:line="240" w:lineRule="atLeast"/>
              <w:ind w:left="0" w:firstLine="0"/>
              <w:rPr>
                <w:rFonts w:cs="Arial"/>
                <w:sz w:val="18"/>
                <w:szCs w:val="18"/>
              </w:rPr>
            </w:pPr>
          </w:p>
        </w:tc>
        <w:tc>
          <w:tcPr>
            <w:tcW w:w="1458" w:type="dxa"/>
            <w:shd w:val="clear" w:color="auto" w:fill="auto"/>
          </w:tcPr>
          <w:p w:rsidR="00C01A94" w:rsidRPr="00852DB3" w:rsidRDefault="00AA3519" w:rsidP="00AA3519">
            <w:pPr>
              <w:spacing w:before="120" w:after="100" w:line="240" w:lineRule="atLeast"/>
              <w:rPr>
                <w:rFonts w:cs="Arial"/>
                <w:sz w:val="18"/>
                <w:szCs w:val="18"/>
              </w:rPr>
            </w:pPr>
            <w:r>
              <w:rPr>
                <w:sz w:val="18"/>
              </w:rPr>
              <w:t>paragrafo 2, lettera g)</w:t>
            </w:r>
          </w:p>
        </w:tc>
        <w:tc>
          <w:tcPr>
            <w:tcW w:w="3296" w:type="dxa"/>
            <w:shd w:val="clear" w:color="auto" w:fill="auto"/>
          </w:tcPr>
          <w:p w:rsidR="00C01A94" w:rsidRPr="00852DB3" w:rsidRDefault="00A77DA6" w:rsidP="00C01A94">
            <w:pPr>
              <w:spacing w:before="120" w:after="100" w:line="240" w:lineRule="atLeast"/>
              <w:ind w:left="0" w:firstLine="0"/>
              <w:rPr>
                <w:rFonts w:cs="Arial"/>
                <w:noProof/>
                <w:sz w:val="18"/>
                <w:szCs w:val="18"/>
              </w:rPr>
            </w:pPr>
            <w:r>
              <w:rPr>
                <w:noProof/>
                <w:sz w:val="18"/>
              </w:rPr>
              <w:t>Piani dei circuiti di comando</w:t>
            </w:r>
          </w:p>
        </w:tc>
        <w:tc>
          <w:tcPr>
            <w:tcW w:w="6521" w:type="dxa"/>
            <w:shd w:val="clear" w:color="auto" w:fill="auto"/>
          </w:tcPr>
          <w:p w:rsidR="00C01A94" w:rsidRPr="00852DB3" w:rsidRDefault="00F91AFF" w:rsidP="00C01A94">
            <w:pPr>
              <w:spacing w:before="120" w:after="100" w:line="240" w:lineRule="atLeast"/>
              <w:rPr>
                <w:rFonts w:cs="Arial"/>
                <w:sz w:val="18"/>
                <w:szCs w:val="18"/>
              </w:rPr>
            </w:pPr>
            <w:r>
              <w:rPr>
                <w:sz w:val="18"/>
              </w:rPr>
              <w:t>N.S.T</w:t>
            </w:r>
          </w:p>
        </w:tc>
        <w:tc>
          <w:tcPr>
            <w:tcW w:w="1276" w:type="dxa"/>
            <w:shd w:val="clear" w:color="auto" w:fill="auto"/>
          </w:tcPr>
          <w:p w:rsidR="00C01A94" w:rsidRPr="00852DB3" w:rsidRDefault="00C01A94" w:rsidP="00C01A94">
            <w:pPr>
              <w:spacing w:before="120" w:after="100" w:line="240" w:lineRule="atLeast"/>
              <w:jc w:val="center"/>
              <w:rPr>
                <w:rFonts w:cs="Arial"/>
                <w:sz w:val="18"/>
                <w:szCs w:val="18"/>
              </w:rPr>
            </w:pPr>
          </w:p>
        </w:tc>
      </w:tr>
      <w:tr w:rsidR="00C01A94" w:rsidRPr="00C903F8" w:rsidTr="00C07595">
        <w:trPr>
          <w:cantSplit/>
          <w:jc w:val="center"/>
        </w:trPr>
        <w:tc>
          <w:tcPr>
            <w:tcW w:w="1342" w:type="dxa"/>
            <w:vMerge/>
            <w:shd w:val="clear" w:color="auto" w:fill="auto"/>
          </w:tcPr>
          <w:p w:rsidR="00C01A94" w:rsidRPr="00C903F8" w:rsidRDefault="00C01A94" w:rsidP="00C01A94">
            <w:pPr>
              <w:spacing w:before="120" w:after="100" w:line="240" w:lineRule="atLeast"/>
              <w:ind w:left="0" w:firstLine="0"/>
              <w:rPr>
                <w:rFonts w:cs="Arial"/>
                <w:sz w:val="18"/>
                <w:szCs w:val="18"/>
              </w:rPr>
            </w:pPr>
          </w:p>
        </w:tc>
        <w:tc>
          <w:tcPr>
            <w:tcW w:w="1458" w:type="dxa"/>
            <w:shd w:val="clear" w:color="auto" w:fill="auto"/>
          </w:tcPr>
          <w:p w:rsidR="00C01A94" w:rsidRPr="00852DB3" w:rsidRDefault="00C01A94" w:rsidP="00C01A94">
            <w:pPr>
              <w:spacing w:before="120" w:after="100" w:line="240" w:lineRule="atLeast"/>
              <w:rPr>
                <w:rFonts w:cs="Arial"/>
                <w:sz w:val="18"/>
                <w:szCs w:val="18"/>
              </w:rPr>
            </w:pPr>
            <w:r>
              <w:rPr>
                <w:sz w:val="18"/>
              </w:rPr>
              <w:t>paragrafo 3</w:t>
            </w:r>
          </w:p>
        </w:tc>
        <w:tc>
          <w:tcPr>
            <w:tcW w:w="3296" w:type="dxa"/>
            <w:shd w:val="clear" w:color="auto" w:fill="auto"/>
          </w:tcPr>
          <w:p w:rsidR="00C01A94" w:rsidRPr="00852DB3" w:rsidRDefault="00C01A94" w:rsidP="00C01A94">
            <w:pPr>
              <w:spacing w:before="120" w:after="100" w:line="240" w:lineRule="atLeast"/>
              <w:ind w:left="0" w:firstLine="0"/>
              <w:rPr>
                <w:rFonts w:cs="Arial"/>
                <w:noProof/>
                <w:sz w:val="18"/>
                <w:szCs w:val="18"/>
              </w:rPr>
            </w:pPr>
            <w:r>
              <w:rPr>
                <w:noProof/>
                <w:sz w:val="18"/>
              </w:rPr>
              <w:t>Temperature ambiente all'interno e sul ponte</w:t>
            </w:r>
          </w:p>
        </w:tc>
        <w:tc>
          <w:tcPr>
            <w:tcW w:w="6521" w:type="dxa"/>
            <w:shd w:val="clear" w:color="auto" w:fill="auto"/>
          </w:tcPr>
          <w:p w:rsidR="00C01A94" w:rsidRPr="00852DB3" w:rsidRDefault="00C01A94" w:rsidP="00C01A94">
            <w:pPr>
              <w:spacing w:before="120" w:after="10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C01A94">
            <w:pPr>
              <w:spacing w:before="120" w:after="100" w:line="240" w:lineRule="atLeast"/>
              <w:jc w:val="center"/>
              <w:rPr>
                <w:rFonts w:cs="Arial"/>
                <w:sz w:val="18"/>
                <w:szCs w:val="18"/>
              </w:rPr>
            </w:pPr>
            <w:r>
              <w:rPr>
                <w:sz w:val="18"/>
              </w:rPr>
              <w:t>1.1.2010</w:t>
            </w:r>
          </w:p>
        </w:tc>
      </w:tr>
      <w:tr w:rsidR="00C01A94" w:rsidRPr="00C903F8" w:rsidTr="00196FBC">
        <w:trPr>
          <w:cantSplit/>
          <w:jc w:val="center"/>
        </w:trPr>
        <w:tc>
          <w:tcPr>
            <w:tcW w:w="1342" w:type="dxa"/>
            <w:shd w:val="clear" w:color="auto" w:fill="auto"/>
          </w:tcPr>
          <w:p w:rsidR="00C01A94" w:rsidRPr="004B4203" w:rsidRDefault="00C01A94" w:rsidP="00C01A94">
            <w:pPr>
              <w:spacing w:before="120" w:after="100" w:line="240" w:lineRule="atLeast"/>
              <w:rPr>
                <w:rFonts w:cs="Arial"/>
                <w:sz w:val="18"/>
                <w:szCs w:val="18"/>
              </w:rPr>
            </w:pPr>
            <w:r>
              <w:rPr>
                <w:sz w:val="18"/>
              </w:rPr>
              <w:t>10.02</w:t>
            </w:r>
          </w:p>
        </w:tc>
        <w:tc>
          <w:tcPr>
            <w:tcW w:w="1458" w:type="dxa"/>
            <w:shd w:val="clear" w:color="auto" w:fill="auto"/>
          </w:tcPr>
          <w:p w:rsidR="00C01A94" w:rsidRPr="00852DB3" w:rsidRDefault="00C01A94" w:rsidP="00C01A94">
            <w:pPr>
              <w:spacing w:before="120" w:after="100" w:line="240" w:lineRule="atLeast"/>
              <w:rPr>
                <w:rFonts w:cs="Arial"/>
                <w:sz w:val="18"/>
                <w:szCs w:val="18"/>
              </w:rPr>
            </w:pPr>
          </w:p>
        </w:tc>
        <w:tc>
          <w:tcPr>
            <w:tcW w:w="3296" w:type="dxa"/>
            <w:shd w:val="clear" w:color="auto" w:fill="auto"/>
          </w:tcPr>
          <w:p w:rsidR="00C01A94" w:rsidRPr="00852DB3" w:rsidRDefault="00C01A94" w:rsidP="00C01A94">
            <w:pPr>
              <w:spacing w:before="120" w:after="100" w:line="240" w:lineRule="atLeast"/>
              <w:ind w:left="0" w:firstLine="0"/>
              <w:rPr>
                <w:rFonts w:cs="Arial"/>
                <w:noProof/>
                <w:sz w:val="18"/>
                <w:szCs w:val="18"/>
              </w:rPr>
            </w:pPr>
            <w:r>
              <w:rPr>
                <w:noProof/>
                <w:sz w:val="18"/>
              </w:rPr>
              <w:t>Sistemi d'alimentazione di energia elettrica</w:t>
            </w:r>
          </w:p>
        </w:tc>
        <w:tc>
          <w:tcPr>
            <w:tcW w:w="6521" w:type="dxa"/>
            <w:shd w:val="clear" w:color="auto" w:fill="auto"/>
          </w:tcPr>
          <w:p w:rsidR="00C01A94" w:rsidRPr="00852DB3" w:rsidRDefault="00C01A94" w:rsidP="00C01A94">
            <w:pPr>
              <w:spacing w:before="120" w:after="10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C01A94">
            <w:pPr>
              <w:spacing w:before="120" w:after="100" w:line="240" w:lineRule="atLeast"/>
              <w:jc w:val="center"/>
              <w:rPr>
                <w:rFonts w:cs="Arial"/>
                <w:sz w:val="18"/>
                <w:szCs w:val="18"/>
              </w:rPr>
            </w:pPr>
            <w:r>
              <w:rPr>
                <w:sz w:val="18"/>
              </w:rPr>
              <w:t>1.1.2010</w:t>
            </w:r>
          </w:p>
        </w:tc>
      </w:tr>
      <w:tr w:rsidR="00C01A94" w:rsidRPr="00C903F8" w:rsidTr="00196FBC">
        <w:trPr>
          <w:cantSplit/>
          <w:jc w:val="center"/>
        </w:trPr>
        <w:tc>
          <w:tcPr>
            <w:tcW w:w="1342" w:type="dxa"/>
            <w:shd w:val="clear" w:color="auto" w:fill="auto"/>
          </w:tcPr>
          <w:p w:rsidR="00C01A94" w:rsidRPr="004B4203" w:rsidRDefault="00C01A94" w:rsidP="00C01A94">
            <w:pPr>
              <w:spacing w:before="120" w:after="100" w:line="240" w:lineRule="atLeast"/>
              <w:rPr>
                <w:rFonts w:cs="Arial"/>
                <w:sz w:val="18"/>
                <w:szCs w:val="18"/>
              </w:rPr>
            </w:pPr>
            <w:r>
              <w:rPr>
                <w:sz w:val="18"/>
              </w:rPr>
              <w:t>10.03</w:t>
            </w:r>
          </w:p>
        </w:tc>
        <w:tc>
          <w:tcPr>
            <w:tcW w:w="1458" w:type="dxa"/>
            <w:shd w:val="clear" w:color="auto" w:fill="auto"/>
          </w:tcPr>
          <w:p w:rsidR="00C01A94" w:rsidRPr="00852DB3" w:rsidRDefault="00C01A94" w:rsidP="00C01A94">
            <w:pPr>
              <w:spacing w:before="120" w:after="100" w:line="240" w:lineRule="atLeast"/>
              <w:rPr>
                <w:rFonts w:cs="Arial"/>
                <w:sz w:val="18"/>
                <w:szCs w:val="18"/>
              </w:rPr>
            </w:pPr>
          </w:p>
        </w:tc>
        <w:tc>
          <w:tcPr>
            <w:tcW w:w="3296" w:type="dxa"/>
            <w:shd w:val="clear" w:color="auto" w:fill="auto"/>
          </w:tcPr>
          <w:p w:rsidR="00C01A94" w:rsidRPr="003F5E4D" w:rsidRDefault="00C01A94" w:rsidP="00C01A94">
            <w:pPr>
              <w:spacing w:before="120" w:after="100" w:line="240" w:lineRule="atLeast"/>
              <w:ind w:left="0" w:firstLine="0"/>
              <w:rPr>
                <w:rFonts w:cs="Arial"/>
                <w:noProof/>
                <w:sz w:val="18"/>
                <w:szCs w:val="18"/>
              </w:rPr>
            </w:pPr>
            <w:r>
              <w:rPr>
                <w:noProof/>
                <w:sz w:val="18"/>
              </w:rPr>
              <w:t>Tipo di protezione in base alla posizione di installazione</w:t>
            </w:r>
          </w:p>
        </w:tc>
        <w:tc>
          <w:tcPr>
            <w:tcW w:w="6521" w:type="dxa"/>
            <w:shd w:val="clear" w:color="auto" w:fill="auto"/>
          </w:tcPr>
          <w:p w:rsidR="00C01A94" w:rsidRPr="00852DB3" w:rsidRDefault="00F91AFF" w:rsidP="00C01A94">
            <w:pPr>
              <w:spacing w:before="120" w:after="100" w:line="240" w:lineRule="atLeast"/>
              <w:rPr>
                <w:rFonts w:cs="Arial"/>
                <w:sz w:val="18"/>
                <w:szCs w:val="18"/>
              </w:rPr>
            </w:pPr>
            <w:r>
              <w:rPr>
                <w:sz w:val="18"/>
              </w:rPr>
              <w:t>N.S.T</w:t>
            </w:r>
          </w:p>
        </w:tc>
        <w:tc>
          <w:tcPr>
            <w:tcW w:w="1276" w:type="dxa"/>
            <w:shd w:val="clear" w:color="auto" w:fill="auto"/>
          </w:tcPr>
          <w:p w:rsidR="00C01A94" w:rsidRPr="00852DB3" w:rsidRDefault="00C01A94" w:rsidP="00C01A94">
            <w:pPr>
              <w:spacing w:before="120" w:after="100" w:line="240" w:lineRule="atLeast"/>
              <w:jc w:val="center"/>
              <w:rPr>
                <w:rFonts w:cs="Arial"/>
                <w:sz w:val="18"/>
                <w:szCs w:val="18"/>
              </w:rPr>
            </w:pPr>
          </w:p>
        </w:tc>
      </w:tr>
      <w:tr w:rsidR="00C01A94" w:rsidRPr="00C903F8" w:rsidTr="00196FBC">
        <w:trPr>
          <w:cantSplit/>
          <w:jc w:val="center"/>
        </w:trPr>
        <w:tc>
          <w:tcPr>
            <w:tcW w:w="1342" w:type="dxa"/>
            <w:shd w:val="clear" w:color="auto" w:fill="auto"/>
          </w:tcPr>
          <w:p w:rsidR="00C01A94" w:rsidRPr="004B4203" w:rsidRDefault="00C01A94" w:rsidP="00C01A94">
            <w:pPr>
              <w:spacing w:before="120" w:after="100" w:line="240" w:lineRule="atLeast"/>
              <w:rPr>
                <w:rFonts w:cs="Arial"/>
                <w:sz w:val="18"/>
                <w:szCs w:val="18"/>
              </w:rPr>
            </w:pPr>
            <w:r>
              <w:rPr>
                <w:sz w:val="18"/>
              </w:rPr>
              <w:t>10.04</w:t>
            </w:r>
          </w:p>
        </w:tc>
        <w:tc>
          <w:tcPr>
            <w:tcW w:w="1458" w:type="dxa"/>
            <w:shd w:val="clear" w:color="auto" w:fill="auto"/>
          </w:tcPr>
          <w:p w:rsidR="00C01A94" w:rsidRPr="00852DB3" w:rsidRDefault="00C01A94" w:rsidP="00C01A94">
            <w:pPr>
              <w:spacing w:before="120" w:after="100" w:line="240" w:lineRule="atLeast"/>
              <w:rPr>
                <w:rFonts w:cs="Arial"/>
                <w:sz w:val="18"/>
                <w:szCs w:val="18"/>
              </w:rPr>
            </w:pPr>
          </w:p>
        </w:tc>
        <w:tc>
          <w:tcPr>
            <w:tcW w:w="3296" w:type="dxa"/>
            <w:shd w:val="clear" w:color="auto" w:fill="auto"/>
          </w:tcPr>
          <w:p w:rsidR="00C01A94" w:rsidRPr="00852DB3" w:rsidRDefault="00C01A94" w:rsidP="00C01A94">
            <w:pPr>
              <w:spacing w:before="120" w:after="100" w:line="240" w:lineRule="atLeast"/>
              <w:ind w:left="0" w:firstLine="0"/>
              <w:rPr>
                <w:rFonts w:cs="Arial"/>
                <w:noProof/>
                <w:sz w:val="18"/>
                <w:szCs w:val="18"/>
              </w:rPr>
            </w:pPr>
            <w:r>
              <w:rPr>
                <w:noProof/>
                <w:sz w:val="18"/>
              </w:rPr>
              <w:t>Protezione contro le esplosioni</w:t>
            </w:r>
          </w:p>
        </w:tc>
        <w:tc>
          <w:tcPr>
            <w:tcW w:w="6521" w:type="dxa"/>
            <w:shd w:val="clear" w:color="auto" w:fill="auto"/>
          </w:tcPr>
          <w:p w:rsidR="00C01A94" w:rsidRPr="00852DB3" w:rsidRDefault="00F91AFF" w:rsidP="00C01A94">
            <w:pPr>
              <w:spacing w:before="120" w:after="100" w:line="240" w:lineRule="atLeast"/>
              <w:rPr>
                <w:rFonts w:cs="Arial"/>
                <w:sz w:val="18"/>
                <w:szCs w:val="18"/>
              </w:rPr>
            </w:pPr>
            <w:r>
              <w:rPr>
                <w:sz w:val="18"/>
              </w:rPr>
              <w:t>N.S.T</w:t>
            </w:r>
          </w:p>
        </w:tc>
        <w:tc>
          <w:tcPr>
            <w:tcW w:w="1276" w:type="dxa"/>
            <w:shd w:val="clear" w:color="auto" w:fill="auto"/>
          </w:tcPr>
          <w:p w:rsidR="00C01A94" w:rsidRPr="00852DB3" w:rsidRDefault="00C01A94" w:rsidP="00C01A94">
            <w:pPr>
              <w:spacing w:before="120" w:after="100" w:line="240" w:lineRule="atLeast"/>
              <w:jc w:val="center"/>
              <w:rPr>
                <w:rFonts w:cs="Arial"/>
                <w:sz w:val="18"/>
                <w:szCs w:val="18"/>
              </w:rPr>
            </w:pPr>
          </w:p>
        </w:tc>
      </w:tr>
      <w:tr w:rsidR="00C01A94" w:rsidRPr="00C903F8" w:rsidTr="00196FBC">
        <w:trPr>
          <w:cantSplit/>
          <w:jc w:val="center"/>
        </w:trPr>
        <w:tc>
          <w:tcPr>
            <w:tcW w:w="1342" w:type="dxa"/>
            <w:shd w:val="clear" w:color="auto" w:fill="auto"/>
          </w:tcPr>
          <w:p w:rsidR="00C01A94" w:rsidRPr="004B4203" w:rsidRDefault="00C01A94" w:rsidP="00F91AFF">
            <w:pPr>
              <w:spacing w:before="60" w:after="60" w:line="240" w:lineRule="atLeast"/>
              <w:rPr>
                <w:rFonts w:cs="Arial"/>
                <w:sz w:val="18"/>
                <w:szCs w:val="18"/>
              </w:rPr>
            </w:pPr>
            <w:r>
              <w:rPr>
                <w:sz w:val="18"/>
              </w:rPr>
              <w:t>10.05</w:t>
            </w:r>
          </w:p>
        </w:tc>
        <w:tc>
          <w:tcPr>
            <w:tcW w:w="1458" w:type="dxa"/>
            <w:shd w:val="clear" w:color="auto" w:fill="auto"/>
          </w:tcPr>
          <w:p w:rsidR="00C01A94" w:rsidRPr="00852DB3" w:rsidRDefault="00C01A94" w:rsidP="00F91AFF">
            <w:pPr>
              <w:spacing w:before="60" w:after="60" w:line="240" w:lineRule="atLeast"/>
              <w:rPr>
                <w:rFonts w:cs="Arial"/>
                <w:sz w:val="18"/>
                <w:szCs w:val="18"/>
              </w:rPr>
            </w:pPr>
            <w:r>
              <w:rPr>
                <w:sz w:val="18"/>
              </w:rPr>
              <w:t>paragrafo 4</w:t>
            </w:r>
          </w:p>
        </w:tc>
        <w:tc>
          <w:tcPr>
            <w:tcW w:w="3296" w:type="dxa"/>
            <w:shd w:val="clear" w:color="auto" w:fill="auto"/>
          </w:tcPr>
          <w:p w:rsidR="00C01A94" w:rsidRPr="001717EA" w:rsidRDefault="00C01A94" w:rsidP="00F91AFF">
            <w:pPr>
              <w:spacing w:before="60" w:after="60" w:line="240" w:lineRule="atLeast"/>
              <w:rPr>
                <w:rFonts w:cs="Arial"/>
                <w:sz w:val="18"/>
                <w:szCs w:val="18"/>
              </w:rPr>
            </w:pPr>
            <w:r>
              <w:rPr>
                <w:sz w:val="18"/>
              </w:rPr>
              <w:t>Sezione dei conduttori di messa a terra</w:t>
            </w:r>
          </w:p>
        </w:tc>
        <w:tc>
          <w:tcPr>
            <w:tcW w:w="6521" w:type="dxa"/>
            <w:shd w:val="clear" w:color="auto" w:fill="auto"/>
          </w:tcPr>
          <w:p w:rsidR="00C01A94" w:rsidRPr="00852DB3" w:rsidRDefault="00C01A94" w:rsidP="00F91AFF">
            <w:pPr>
              <w:spacing w:before="60" w:after="6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F91AFF">
            <w:pPr>
              <w:spacing w:before="60" w:after="60" w:line="240" w:lineRule="atLeast"/>
              <w:jc w:val="center"/>
              <w:rPr>
                <w:rFonts w:cs="Arial"/>
                <w:sz w:val="18"/>
                <w:szCs w:val="18"/>
              </w:rPr>
            </w:pPr>
            <w:r>
              <w:rPr>
                <w:sz w:val="18"/>
              </w:rPr>
              <w:t>1.1.2015</w:t>
            </w:r>
          </w:p>
        </w:tc>
      </w:tr>
      <w:tr w:rsidR="00C01A94" w:rsidRPr="00C903F8" w:rsidTr="00196FBC">
        <w:trPr>
          <w:cantSplit/>
          <w:jc w:val="center"/>
        </w:trPr>
        <w:tc>
          <w:tcPr>
            <w:tcW w:w="1342" w:type="dxa"/>
            <w:shd w:val="clear" w:color="auto" w:fill="auto"/>
          </w:tcPr>
          <w:p w:rsidR="00C01A94" w:rsidRPr="004B4203" w:rsidRDefault="00C01A94" w:rsidP="00F91AFF">
            <w:pPr>
              <w:spacing w:before="60" w:after="60" w:line="240" w:lineRule="atLeast"/>
              <w:rPr>
                <w:rFonts w:cs="Arial"/>
                <w:sz w:val="18"/>
                <w:szCs w:val="18"/>
              </w:rPr>
            </w:pPr>
            <w:r>
              <w:rPr>
                <w:sz w:val="18"/>
              </w:rPr>
              <w:t xml:space="preserve">10.06 </w:t>
            </w:r>
          </w:p>
        </w:tc>
        <w:tc>
          <w:tcPr>
            <w:tcW w:w="1458" w:type="dxa"/>
            <w:shd w:val="clear" w:color="auto" w:fill="auto"/>
          </w:tcPr>
          <w:p w:rsidR="00C01A94" w:rsidRPr="00852DB3" w:rsidRDefault="00C01A94" w:rsidP="00F91AFF">
            <w:pPr>
              <w:spacing w:before="60" w:after="60" w:line="240" w:lineRule="atLeast"/>
              <w:rPr>
                <w:rFonts w:cs="Arial"/>
                <w:sz w:val="18"/>
                <w:szCs w:val="18"/>
              </w:rPr>
            </w:pPr>
            <w:r>
              <w:rPr>
                <w:sz w:val="18"/>
              </w:rPr>
              <w:t>paragrafo 1, tabella</w:t>
            </w:r>
          </w:p>
        </w:tc>
        <w:tc>
          <w:tcPr>
            <w:tcW w:w="3296" w:type="dxa"/>
            <w:shd w:val="clear" w:color="auto" w:fill="auto"/>
          </w:tcPr>
          <w:p w:rsidR="00C01A94" w:rsidRPr="00852DB3" w:rsidRDefault="00C01A94" w:rsidP="00F91AFF">
            <w:pPr>
              <w:spacing w:before="60" w:after="60" w:line="240" w:lineRule="atLeast"/>
              <w:rPr>
                <w:rFonts w:cs="Arial"/>
                <w:sz w:val="18"/>
                <w:szCs w:val="18"/>
              </w:rPr>
            </w:pPr>
            <w:r>
              <w:rPr>
                <w:sz w:val="18"/>
              </w:rPr>
              <w:t>Corrente alternata trifase</w:t>
            </w:r>
          </w:p>
        </w:tc>
        <w:tc>
          <w:tcPr>
            <w:tcW w:w="6521" w:type="dxa"/>
            <w:shd w:val="clear" w:color="auto" w:fill="auto"/>
          </w:tcPr>
          <w:p w:rsidR="00C01A94" w:rsidRPr="00852DB3" w:rsidRDefault="00F91AFF" w:rsidP="00F91AFF">
            <w:pPr>
              <w:spacing w:before="60" w:after="60" w:line="240" w:lineRule="atLeast"/>
              <w:rPr>
                <w:rFonts w:cs="Arial"/>
                <w:sz w:val="18"/>
                <w:szCs w:val="18"/>
              </w:rPr>
            </w:pPr>
            <w:r>
              <w:rPr>
                <w:sz w:val="18"/>
              </w:rPr>
              <w:t>N.S.T</w:t>
            </w:r>
          </w:p>
        </w:tc>
        <w:tc>
          <w:tcPr>
            <w:tcW w:w="1276" w:type="dxa"/>
            <w:shd w:val="clear" w:color="auto" w:fill="auto"/>
          </w:tcPr>
          <w:p w:rsidR="00C01A94" w:rsidRPr="00852DB3" w:rsidRDefault="00C01A94" w:rsidP="00F91AFF">
            <w:pPr>
              <w:spacing w:before="60" w:after="60" w:line="240" w:lineRule="atLeast"/>
              <w:jc w:val="center"/>
              <w:rPr>
                <w:rFonts w:cs="Arial"/>
                <w:sz w:val="18"/>
                <w:szCs w:val="18"/>
              </w:rPr>
            </w:pPr>
          </w:p>
        </w:tc>
      </w:tr>
      <w:tr w:rsidR="00C01A94" w:rsidRPr="00C903F8" w:rsidTr="00016542">
        <w:trPr>
          <w:cantSplit/>
          <w:jc w:val="center"/>
        </w:trPr>
        <w:tc>
          <w:tcPr>
            <w:tcW w:w="1342" w:type="dxa"/>
            <w:tcBorders>
              <w:bottom w:val="single" w:sz="4" w:space="0" w:color="auto"/>
            </w:tcBorders>
            <w:shd w:val="clear" w:color="auto" w:fill="auto"/>
          </w:tcPr>
          <w:p w:rsidR="00C01A94" w:rsidRPr="004B4203" w:rsidRDefault="00C01A94" w:rsidP="00F91AFF">
            <w:pPr>
              <w:spacing w:before="60" w:after="60" w:line="240" w:lineRule="atLeast"/>
              <w:rPr>
                <w:rFonts w:cs="Arial"/>
                <w:sz w:val="18"/>
                <w:szCs w:val="18"/>
              </w:rPr>
            </w:pPr>
            <w:r>
              <w:rPr>
                <w:sz w:val="18"/>
              </w:rPr>
              <w:t>10.08</w:t>
            </w:r>
          </w:p>
        </w:tc>
        <w:tc>
          <w:tcPr>
            <w:tcW w:w="1458" w:type="dxa"/>
            <w:shd w:val="clear" w:color="auto" w:fill="auto"/>
          </w:tcPr>
          <w:p w:rsidR="00C01A94" w:rsidRPr="00852DB3" w:rsidRDefault="00C01A94" w:rsidP="00F91AFF">
            <w:pPr>
              <w:spacing w:before="60" w:after="60" w:line="240" w:lineRule="atLeast"/>
              <w:rPr>
                <w:rFonts w:cs="Arial"/>
                <w:sz w:val="18"/>
                <w:szCs w:val="18"/>
              </w:rPr>
            </w:pPr>
            <w:r>
              <w:rPr>
                <w:sz w:val="18"/>
              </w:rPr>
              <w:t>paragrafo 1</w:t>
            </w:r>
          </w:p>
        </w:tc>
        <w:tc>
          <w:tcPr>
            <w:tcW w:w="3296" w:type="dxa"/>
            <w:shd w:val="clear" w:color="auto" w:fill="auto"/>
          </w:tcPr>
          <w:p w:rsidR="00C01A94" w:rsidRPr="00852DB3" w:rsidRDefault="00C01A94" w:rsidP="00F91AFF">
            <w:pPr>
              <w:spacing w:before="60" w:after="60" w:line="240" w:lineRule="atLeast"/>
              <w:ind w:left="15" w:hanging="15"/>
              <w:rPr>
                <w:rFonts w:cs="Arial"/>
                <w:sz w:val="18"/>
                <w:szCs w:val="18"/>
              </w:rPr>
            </w:pPr>
            <w:r>
              <w:rPr>
                <w:sz w:val="18"/>
              </w:rPr>
              <w:t>Conformità rispetto alle norme europee EN 15869-1, EN 15869-3 ed EN 16840</w:t>
            </w:r>
          </w:p>
        </w:tc>
        <w:tc>
          <w:tcPr>
            <w:tcW w:w="6521" w:type="dxa"/>
            <w:shd w:val="clear" w:color="auto" w:fill="auto"/>
          </w:tcPr>
          <w:p w:rsidR="00C01A94" w:rsidRPr="00852DB3" w:rsidRDefault="00F91AFF" w:rsidP="00F91AFF">
            <w:pPr>
              <w:spacing w:before="60" w:after="60" w:line="240" w:lineRule="atLeast"/>
              <w:rPr>
                <w:rFonts w:cs="Arial"/>
                <w:sz w:val="18"/>
                <w:szCs w:val="18"/>
              </w:rPr>
            </w:pPr>
            <w:r>
              <w:rPr>
                <w:sz w:val="18"/>
              </w:rPr>
              <w:t>N.S.T</w:t>
            </w:r>
          </w:p>
        </w:tc>
        <w:tc>
          <w:tcPr>
            <w:tcW w:w="1276" w:type="dxa"/>
            <w:shd w:val="clear" w:color="auto" w:fill="auto"/>
          </w:tcPr>
          <w:p w:rsidR="00C01A94" w:rsidRPr="00852DB3" w:rsidRDefault="00C01A94" w:rsidP="00F91AFF">
            <w:pPr>
              <w:spacing w:before="60" w:after="60" w:line="240" w:lineRule="atLeast"/>
              <w:jc w:val="center"/>
              <w:rPr>
                <w:rFonts w:cs="Arial"/>
                <w:sz w:val="18"/>
                <w:szCs w:val="18"/>
              </w:rPr>
            </w:pPr>
          </w:p>
        </w:tc>
      </w:tr>
      <w:tr w:rsidR="00C01A94" w:rsidRPr="00C903F8" w:rsidTr="00C07595">
        <w:trPr>
          <w:cantSplit/>
          <w:jc w:val="center"/>
        </w:trPr>
        <w:tc>
          <w:tcPr>
            <w:tcW w:w="1342" w:type="dxa"/>
            <w:vMerge w:val="restart"/>
            <w:shd w:val="clear" w:color="auto" w:fill="auto"/>
          </w:tcPr>
          <w:p w:rsidR="00C01A94" w:rsidRPr="004B4203" w:rsidRDefault="00C01A94" w:rsidP="00F91AFF">
            <w:pPr>
              <w:spacing w:before="60" w:after="60" w:line="240" w:lineRule="atLeast"/>
              <w:rPr>
                <w:rFonts w:cs="Arial"/>
                <w:sz w:val="18"/>
                <w:szCs w:val="18"/>
              </w:rPr>
            </w:pPr>
            <w:r>
              <w:rPr>
                <w:sz w:val="18"/>
              </w:rPr>
              <w:lastRenderedPageBreak/>
              <w:t xml:space="preserve">10.10 </w:t>
            </w:r>
          </w:p>
        </w:tc>
        <w:tc>
          <w:tcPr>
            <w:tcW w:w="1458" w:type="dxa"/>
            <w:shd w:val="clear" w:color="auto" w:fill="auto"/>
          </w:tcPr>
          <w:p w:rsidR="00C01A94" w:rsidRPr="00852DB3" w:rsidRDefault="00C01A94" w:rsidP="00F91AFF">
            <w:pPr>
              <w:spacing w:before="60" w:after="60" w:line="240" w:lineRule="atLeast"/>
              <w:rPr>
                <w:rFonts w:cs="Arial"/>
                <w:sz w:val="18"/>
                <w:szCs w:val="18"/>
              </w:rPr>
            </w:pPr>
            <w:r>
              <w:rPr>
                <w:sz w:val="18"/>
              </w:rPr>
              <w:t>paragrafo 2</w:t>
            </w:r>
          </w:p>
        </w:tc>
        <w:tc>
          <w:tcPr>
            <w:tcW w:w="3296" w:type="dxa"/>
            <w:shd w:val="clear" w:color="auto" w:fill="auto"/>
          </w:tcPr>
          <w:p w:rsidR="00C01A94" w:rsidRPr="00852DB3" w:rsidRDefault="00C01A94" w:rsidP="00F91AFF">
            <w:pPr>
              <w:spacing w:before="60" w:after="60" w:line="240" w:lineRule="atLeast"/>
              <w:rPr>
                <w:rFonts w:cs="Arial"/>
                <w:sz w:val="18"/>
                <w:szCs w:val="18"/>
              </w:rPr>
            </w:pPr>
            <w:r>
              <w:rPr>
                <w:sz w:val="18"/>
              </w:rPr>
              <w:t>Installazione di trasformatori</w:t>
            </w:r>
          </w:p>
        </w:tc>
        <w:tc>
          <w:tcPr>
            <w:tcW w:w="6521" w:type="dxa"/>
            <w:shd w:val="clear" w:color="auto" w:fill="auto"/>
          </w:tcPr>
          <w:p w:rsidR="00C01A94" w:rsidRPr="00852DB3" w:rsidRDefault="00F91AFF" w:rsidP="00F91AFF">
            <w:pPr>
              <w:spacing w:before="60" w:after="60" w:line="240" w:lineRule="atLeast"/>
              <w:rPr>
                <w:rFonts w:cs="Arial"/>
                <w:sz w:val="18"/>
                <w:szCs w:val="18"/>
              </w:rPr>
            </w:pPr>
            <w:r>
              <w:rPr>
                <w:sz w:val="18"/>
              </w:rPr>
              <w:t>N.S.T</w:t>
            </w:r>
          </w:p>
        </w:tc>
        <w:tc>
          <w:tcPr>
            <w:tcW w:w="1276" w:type="dxa"/>
            <w:shd w:val="clear" w:color="auto" w:fill="auto"/>
          </w:tcPr>
          <w:p w:rsidR="00C01A94" w:rsidRPr="00852DB3" w:rsidRDefault="00C01A94" w:rsidP="00F91AFF">
            <w:pPr>
              <w:spacing w:before="60" w:after="60" w:line="240" w:lineRule="atLeast"/>
              <w:jc w:val="center"/>
              <w:rPr>
                <w:rFonts w:cs="Arial"/>
                <w:sz w:val="18"/>
                <w:szCs w:val="18"/>
              </w:rPr>
            </w:pPr>
          </w:p>
        </w:tc>
      </w:tr>
      <w:tr w:rsidR="00C01A94" w:rsidRPr="00C903F8" w:rsidTr="00C07595">
        <w:trPr>
          <w:cantSplit/>
          <w:jc w:val="center"/>
        </w:trPr>
        <w:tc>
          <w:tcPr>
            <w:tcW w:w="1342" w:type="dxa"/>
            <w:vMerge/>
            <w:shd w:val="clear" w:color="auto" w:fill="auto"/>
          </w:tcPr>
          <w:p w:rsidR="00C01A94" w:rsidRPr="00C903F8" w:rsidRDefault="00C01A94" w:rsidP="00F91AFF">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F91AFF">
            <w:pPr>
              <w:spacing w:before="60" w:after="60" w:line="240" w:lineRule="atLeast"/>
              <w:ind w:left="0" w:firstLine="0"/>
              <w:rPr>
                <w:rFonts w:cs="Arial"/>
                <w:sz w:val="18"/>
                <w:szCs w:val="18"/>
              </w:rPr>
            </w:pPr>
            <w:r>
              <w:rPr>
                <w:sz w:val="18"/>
              </w:rPr>
              <w:t>paragrafo 3</w:t>
            </w:r>
          </w:p>
        </w:tc>
        <w:tc>
          <w:tcPr>
            <w:tcW w:w="3296" w:type="dxa"/>
            <w:shd w:val="clear" w:color="auto" w:fill="auto"/>
          </w:tcPr>
          <w:p w:rsidR="00C01A94" w:rsidRPr="00C903F8" w:rsidRDefault="00C01A94" w:rsidP="00F91AFF">
            <w:pPr>
              <w:adjustRightInd w:val="0"/>
              <w:spacing w:before="60" w:after="60" w:line="240" w:lineRule="atLeast"/>
              <w:ind w:left="0" w:firstLine="0"/>
              <w:jc w:val="left"/>
              <w:rPr>
                <w:rFonts w:cs="Arial"/>
                <w:sz w:val="18"/>
                <w:szCs w:val="18"/>
              </w:rPr>
            </w:pPr>
            <w:r>
              <w:rPr>
                <w:sz w:val="18"/>
              </w:rPr>
              <w:t>Avvolgimenti primari e secondari separati dei trasformatori</w:t>
            </w:r>
          </w:p>
        </w:tc>
        <w:tc>
          <w:tcPr>
            <w:tcW w:w="6521" w:type="dxa"/>
            <w:shd w:val="clear" w:color="auto" w:fill="auto"/>
          </w:tcPr>
          <w:p w:rsidR="00C01A94" w:rsidRDefault="00F91AFF" w:rsidP="00F91AFF">
            <w:pPr>
              <w:spacing w:before="60" w:after="6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F91AFF">
            <w:pPr>
              <w:spacing w:before="60" w:after="60" w:line="240" w:lineRule="atLeast"/>
              <w:ind w:left="0" w:firstLine="0"/>
              <w:jc w:val="center"/>
              <w:rPr>
                <w:rFonts w:cs="Arial"/>
                <w:sz w:val="18"/>
                <w:szCs w:val="18"/>
              </w:rPr>
            </w:pPr>
          </w:p>
        </w:tc>
      </w:tr>
      <w:tr w:rsidR="00C01A94" w:rsidRPr="00C903F8" w:rsidTr="00C07595">
        <w:trPr>
          <w:cantSplit/>
          <w:jc w:val="center"/>
        </w:trPr>
        <w:tc>
          <w:tcPr>
            <w:tcW w:w="1342" w:type="dxa"/>
            <w:vMerge/>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paragrafo 4</w:t>
            </w:r>
          </w:p>
        </w:tc>
        <w:tc>
          <w:tcPr>
            <w:tcW w:w="3296" w:type="dxa"/>
            <w:shd w:val="clear" w:color="auto" w:fill="auto"/>
          </w:tcPr>
          <w:p w:rsidR="00C01A94" w:rsidRPr="00C903F8" w:rsidRDefault="00C01A94" w:rsidP="00C01A94">
            <w:pPr>
              <w:adjustRightInd w:val="0"/>
              <w:spacing w:before="160" w:after="160" w:line="240" w:lineRule="atLeast"/>
              <w:ind w:left="0" w:firstLine="0"/>
              <w:jc w:val="left"/>
              <w:rPr>
                <w:rFonts w:cs="Arial"/>
                <w:sz w:val="18"/>
                <w:szCs w:val="18"/>
              </w:rPr>
            </w:pPr>
            <w:r>
              <w:rPr>
                <w:sz w:val="18"/>
              </w:rPr>
              <w:t>Dispositivi di cambio prese sugli avvolgimenti secondari dei trasformatori</w:t>
            </w:r>
          </w:p>
        </w:tc>
        <w:tc>
          <w:tcPr>
            <w:tcW w:w="6521" w:type="dxa"/>
            <w:shd w:val="clear" w:color="auto" w:fill="auto"/>
          </w:tcPr>
          <w:p w:rsidR="00C01A94" w:rsidRDefault="00F91AFF" w:rsidP="00C01A94">
            <w:pPr>
              <w:spacing w:before="160" w:after="16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C01A94">
            <w:pPr>
              <w:spacing w:before="160" w:after="160" w:line="240" w:lineRule="atLeast"/>
              <w:ind w:left="0" w:firstLine="0"/>
              <w:jc w:val="center"/>
              <w:rPr>
                <w:rFonts w:cs="Arial"/>
                <w:sz w:val="18"/>
                <w:szCs w:val="18"/>
              </w:rPr>
            </w:pPr>
          </w:p>
        </w:tc>
      </w:tr>
      <w:tr w:rsidR="00C01A94" w:rsidRPr="00C903F8" w:rsidTr="00016542">
        <w:trPr>
          <w:cantSplit/>
          <w:jc w:val="center"/>
        </w:trPr>
        <w:tc>
          <w:tcPr>
            <w:tcW w:w="1342" w:type="dxa"/>
            <w:vMerge/>
            <w:tcBorders>
              <w:bottom w:val="single" w:sz="4" w:space="0" w:color="auto"/>
            </w:tcBorders>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paragrafo 5</w:t>
            </w:r>
          </w:p>
        </w:tc>
        <w:tc>
          <w:tcPr>
            <w:tcW w:w="3296" w:type="dxa"/>
            <w:shd w:val="clear" w:color="auto" w:fill="auto"/>
          </w:tcPr>
          <w:p w:rsidR="00C01A94" w:rsidRPr="00C903F8" w:rsidRDefault="00C01A94" w:rsidP="00C01A94">
            <w:pPr>
              <w:adjustRightInd w:val="0"/>
              <w:spacing w:before="160" w:after="160" w:line="240" w:lineRule="atLeast"/>
              <w:ind w:left="0" w:firstLine="0"/>
              <w:jc w:val="left"/>
              <w:rPr>
                <w:rFonts w:cs="Arial"/>
                <w:sz w:val="18"/>
                <w:szCs w:val="18"/>
              </w:rPr>
            </w:pPr>
            <w:r>
              <w:rPr>
                <w:sz w:val="18"/>
              </w:rPr>
              <w:t>Targhetta con costruttore e potenza di motori, generatori e trasformatori</w:t>
            </w:r>
          </w:p>
        </w:tc>
        <w:tc>
          <w:tcPr>
            <w:tcW w:w="6521" w:type="dxa"/>
            <w:shd w:val="clear" w:color="auto" w:fill="auto"/>
          </w:tcPr>
          <w:p w:rsidR="00C01A94" w:rsidRDefault="00F91AFF" w:rsidP="00C01A94">
            <w:pPr>
              <w:spacing w:before="160" w:after="16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C01A94">
            <w:pPr>
              <w:spacing w:before="160" w:after="160" w:line="240" w:lineRule="atLeast"/>
              <w:ind w:left="0" w:firstLine="0"/>
              <w:jc w:val="center"/>
              <w:rPr>
                <w:rFonts w:cs="Arial"/>
                <w:sz w:val="18"/>
                <w:szCs w:val="18"/>
              </w:rPr>
            </w:pPr>
          </w:p>
        </w:tc>
      </w:tr>
      <w:tr w:rsidR="00C01A94" w:rsidRPr="00C903F8" w:rsidTr="00016542">
        <w:trPr>
          <w:cantSplit/>
          <w:jc w:val="center"/>
        </w:trPr>
        <w:tc>
          <w:tcPr>
            <w:tcW w:w="1342" w:type="dxa"/>
            <w:vMerge w:val="restart"/>
            <w:tcBorders>
              <w:top w:val="single" w:sz="4" w:space="0" w:color="auto"/>
              <w:left w:val="single" w:sz="6" w:space="0" w:color="auto"/>
              <w:bottom w:val="single" w:sz="6" w:space="0" w:color="auto"/>
              <w:right w:val="single" w:sz="6" w:space="0" w:color="auto"/>
            </w:tcBorders>
            <w:shd w:val="clear" w:color="auto" w:fill="auto"/>
          </w:tcPr>
          <w:p w:rsidR="00C01A94" w:rsidRPr="004B4203" w:rsidRDefault="00C01A94" w:rsidP="00C01A94">
            <w:pPr>
              <w:spacing w:before="160" w:after="160" w:line="240" w:lineRule="atLeast"/>
              <w:rPr>
                <w:rFonts w:cs="Arial"/>
                <w:sz w:val="18"/>
                <w:szCs w:val="18"/>
              </w:rPr>
            </w:pPr>
            <w:r>
              <w:rPr>
                <w:sz w:val="18"/>
              </w:rPr>
              <w:t xml:space="preserve">10.11 </w:t>
            </w:r>
          </w:p>
        </w:tc>
        <w:tc>
          <w:tcPr>
            <w:tcW w:w="1458" w:type="dxa"/>
            <w:tcBorders>
              <w:left w:val="single" w:sz="6" w:space="0" w:color="auto"/>
            </w:tcBorders>
            <w:shd w:val="clear" w:color="auto" w:fill="auto"/>
          </w:tcPr>
          <w:p w:rsidR="00C01A94" w:rsidRPr="00852DB3" w:rsidRDefault="00C01A94" w:rsidP="00C01A94">
            <w:pPr>
              <w:spacing w:before="160" w:after="160" w:line="240" w:lineRule="atLeast"/>
              <w:rPr>
                <w:rFonts w:cs="Arial"/>
                <w:sz w:val="18"/>
                <w:szCs w:val="18"/>
              </w:rPr>
            </w:pPr>
            <w:r>
              <w:rPr>
                <w:sz w:val="18"/>
              </w:rPr>
              <w:t>paragrafo 3</w:t>
            </w:r>
          </w:p>
        </w:tc>
        <w:tc>
          <w:tcPr>
            <w:tcW w:w="3296" w:type="dxa"/>
            <w:shd w:val="clear" w:color="auto" w:fill="auto"/>
          </w:tcPr>
          <w:p w:rsidR="00C01A94" w:rsidRPr="001717EA" w:rsidRDefault="00C01A94" w:rsidP="00C01A94">
            <w:pPr>
              <w:adjustRightInd w:val="0"/>
              <w:spacing w:before="160" w:after="160" w:line="240" w:lineRule="atLeast"/>
              <w:ind w:left="0" w:firstLine="0"/>
              <w:jc w:val="left"/>
              <w:rPr>
                <w:rFonts w:cs="Arial"/>
                <w:sz w:val="18"/>
                <w:szCs w:val="18"/>
              </w:rPr>
            </w:pPr>
            <w:r>
              <w:rPr>
                <w:sz w:val="18"/>
              </w:rPr>
              <w:t>Ventilazione di locali servizi e dell'armadio con sbocco sul ponte scoperto</w:t>
            </w:r>
          </w:p>
        </w:tc>
        <w:tc>
          <w:tcPr>
            <w:tcW w:w="6521" w:type="dxa"/>
            <w:shd w:val="clear" w:color="auto" w:fill="auto"/>
          </w:tcPr>
          <w:p w:rsidR="00C01A94" w:rsidRPr="00852DB3" w:rsidRDefault="00F91AFF" w:rsidP="00C01A94">
            <w:pPr>
              <w:spacing w:before="160" w:after="160" w:line="240" w:lineRule="atLeast"/>
              <w:rPr>
                <w:rFonts w:cs="Arial"/>
                <w:sz w:val="18"/>
                <w:szCs w:val="18"/>
              </w:rPr>
            </w:pPr>
            <w:r>
              <w:rPr>
                <w:sz w:val="18"/>
              </w:rPr>
              <w:t>N.S.T</w:t>
            </w:r>
          </w:p>
        </w:tc>
        <w:tc>
          <w:tcPr>
            <w:tcW w:w="1276" w:type="dxa"/>
            <w:shd w:val="clear" w:color="auto" w:fill="auto"/>
          </w:tcPr>
          <w:p w:rsidR="00C01A94" w:rsidRPr="00852DB3" w:rsidRDefault="00C01A94" w:rsidP="00C01A94">
            <w:pPr>
              <w:spacing w:before="160" w:after="160" w:line="240" w:lineRule="atLeast"/>
              <w:jc w:val="center"/>
              <w:rPr>
                <w:rFonts w:cs="Arial"/>
                <w:sz w:val="18"/>
                <w:szCs w:val="18"/>
              </w:rPr>
            </w:pPr>
          </w:p>
        </w:tc>
      </w:tr>
      <w:tr w:rsidR="00C01A94" w:rsidRPr="00A0619C"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1458" w:type="dxa"/>
            <w:tcBorders>
              <w:left w:val="single" w:sz="6" w:space="0" w:color="auto"/>
            </w:tcBorders>
            <w:shd w:val="clear" w:color="auto" w:fill="auto"/>
          </w:tcPr>
          <w:p w:rsidR="00C01A94" w:rsidRPr="004B4203" w:rsidRDefault="00C01A94" w:rsidP="001610C7">
            <w:pPr>
              <w:spacing w:before="160" w:after="160" w:line="240" w:lineRule="atLeast"/>
              <w:ind w:left="0" w:firstLine="0"/>
              <w:rPr>
                <w:rFonts w:cs="Arial"/>
                <w:sz w:val="18"/>
                <w:szCs w:val="18"/>
              </w:rPr>
            </w:pPr>
            <w:r>
              <w:rPr>
                <w:sz w:val="18"/>
              </w:rPr>
              <w:t>paragrafo 7</w:t>
            </w:r>
          </w:p>
        </w:tc>
        <w:tc>
          <w:tcPr>
            <w:tcW w:w="3296" w:type="dxa"/>
            <w:shd w:val="clear" w:color="auto" w:fill="auto"/>
          </w:tcPr>
          <w:p w:rsidR="00C01A94" w:rsidRPr="001717EA" w:rsidRDefault="00C01A94" w:rsidP="00C01A94">
            <w:pPr>
              <w:adjustRightInd w:val="0"/>
              <w:spacing w:before="160" w:after="160" w:line="240" w:lineRule="atLeast"/>
              <w:ind w:left="0" w:firstLine="0"/>
              <w:jc w:val="left"/>
              <w:rPr>
                <w:rFonts w:cs="Arial"/>
                <w:sz w:val="18"/>
                <w:szCs w:val="18"/>
              </w:rPr>
            </w:pPr>
            <w:r>
              <w:rPr>
                <w:sz w:val="18"/>
              </w:rPr>
              <w:t>Ventilazione di locali chiusi, armadi o cassoni, nei quali sono installati gli accumulatori</w:t>
            </w:r>
          </w:p>
        </w:tc>
        <w:tc>
          <w:tcPr>
            <w:tcW w:w="6521" w:type="dxa"/>
            <w:shd w:val="clear" w:color="auto" w:fill="auto"/>
          </w:tcPr>
          <w:p w:rsidR="00C01A94" w:rsidRPr="004B4203" w:rsidRDefault="00C01A94" w:rsidP="00C01A94">
            <w:pPr>
              <w:spacing w:before="160" w:after="16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C01A94" w:rsidRPr="000C0B7A" w:rsidRDefault="00C01A94" w:rsidP="00C01A94">
            <w:pPr>
              <w:spacing w:before="160" w:after="160" w:line="240" w:lineRule="atLeast"/>
              <w:ind w:left="0" w:firstLine="0"/>
              <w:jc w:val="center"/>
              <w:rPr>
                <w:rFonts w:cs="Arial"/>
                <w:sz w:val="18"/>
                <w:szCs w:val="18"/>
              </w:rPr>
            </w:pPr>
          </w:p>
        </w:tc>
      </w:tr>
      <w:tr w:rsidR="00C01A94" w:rsidRPr="00C903F8"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1458" w:type="dxa"/>
            <w:tcBorders>
              <w:left w:val="single" w:sz="6" w:space="0" w:color="auto"/>
            </w:tcBorders>
            <w:shd w:val="clear" w:color="auto" w:fill="auto"/>
          </w:tcPr>
          <w:p w:rsidR="00C01A94" w:rsidRPr="004B4203" w:rsidRDefault="00C01A94" w:rsidP="00C01A94">
            <w:pPr>
              <w:spacing w:before="160" w:after="160" w:line="240" w:lineRule="atLeast"/>
              <w:ind w:left="0" w:firstLine="0"/>
              <w:rPr>
                <w:rFonts w:cs="Arial"/>
                <w:sz w:val="18"/>
                <w:szCs w:val="18"/>
              </w:rPr>
            </w:pPr>
            <w:r>
              <w:rPr>
                <w:sz w:val="18"/>
              </w:rPr>
              <w:t>paragrafo 12</w:t>
            </w:r>
          </w:p>
        </w:tc>
        <w:tc>
          <w:tcPr>
            <w:tcW w:w="3296" w:type="dxa"/>
            <w:shd w:val="clear" w:color="auto" w:fill="auto"/>
          </w:tcPr>
          <w:p w:rsidR="00C01A94" w:rsidRPr="001717EA" w:rsidRDefault="00C01A94" w:rsidP="00C01A94">
            <w:pPr>
              <w:adjustRightInd w:val="0"/>
              <w:spacing w:before="160" w:after="160" w:line="240" w:lineRule="atLeast"/>
              <w:ind w:left="0" w:firstLine="0"/>
              <w:jc w:val="left"/>
              <w:rPr>
                <w:rFonts w:cs="Arial"/>
                <w:sz w:val="18"/>
                <w:szCs w:val="18"/>
              </w:rPr>
            </w:pPr>
            <w:r>
              <w:rPr>
                <w:sz w:val="18"/>
              </w:rPr>
              <w:t>Misurazione dei dispositivi di carica</w:t>
            </w:r>
          </w:p>
        </w:tc>
        <w:tc>
          <w:tcPr>
            <w:tcW w:w="6521" w:type="dxa"/>
            <w:shd w:val="clear" w:color="auto" w:fill="auto"/>
          </w:tcPr>
          <w:p w:rsidR="00C01A94" w:rsidRPr="004B4203" w:rsidRDefault="00F91AFF" w:rsidP="00C01A94">
            <w:pPr>
              <w:spacing w:before="160" w:after="16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C01A94">
            <w:pPr>
              <w:spacing w:before="160" w:after="160" w:line="240" w:lineRule="atLeast"/>
              <w:ind w:left="0" w:firstLine="0"/>
              <w:jc w:val="center"/>
              <w:rPr>
                <w:rFonts w:cs="Arial"/>
                <w:sz w:val="18"/>
                <w:szCs w:val="18"/>
              </w:rPr>
            </w:pPr>
          </w:p>
        </w:tc>
      </w:tr>
      <w:tr w:rsidR="00C01A94" w:rsidRPr="00C903F8"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1458" w:type="dxa"/>
            <w:tcBorders>
              <w:left w:val="single" w:sz="6" w:space="0" w:color="auto"/>
            </w:tcBorders>
            <w:shd w:val="clear" w:color="auto" w:fill="auto"/>
          </w:tcPr>
          <w:p w:rsidR="00C01A94" w:rsidRPr="004B4203" w:rsidRDefault="00C01A94" w:rsidP="00C01A94">
            <w:pPr>
              <w:spacing w:before="160" w:after="160" w:line="240" w:lineRule="atLeast"/>
              <w:ind w:left="0" w:firstLine="0"/>
              <w:rPr>
                <w:rFonts w:cs="Arial"/>
                <w:sz w:val="18"/>
                <w:szCs w:val="18"/>
              </w:rPr>
            </w:pPr>
            <w:r>
              <w:rPr>
                <w:sz w:val="18"/>
              </w:rPr>
              <w:t>paragrafo 13</w:t>
            </w:r>
          </w:p>
        </w:tc>
        <w:tc>
          <w:tcPr>
            <w:tcW w:w="3296" w:type="dxa"/>
            <w:shd w:val="clear" w:color="auto" w:fill="auto"/>
          </w:tcPr>
          <w:p w:rsidR="00C01A94" w:rsidRPr="001717EA" w:rsidRDefault="00C01A94" w:rsidP="00C01A94">
            <w:pPr>
              <w:adjustRightInd w:val="0"/>
              <w:spacing w:before="160" w:after="160" w:line="240" w:lineRule="atLeast"/>
              <w:ind w:left="0" w:firstLine="0"/>
              <w:jc w:val="left"/>
              <w:rPr>
                <w:rFonts w:cs="Arial"/>
                <w:sz w:val="18"/>
                <w:szCs w:val="18"/>
              </w:rPr>
            </w:pPr>
            <w:r>
              <w:rPr>
                <w:sz w:val="18"/>
              </w:rPr>
              <w:t>Dispositivi di carica automatici</w:t>
            </w:r>
          </w:p>
        </w:tc>
        <w:tc>
          <w:tcPr>
            <w:tcW w:w="6521" w:type="dxa"/>
            <w:shd w:val="clear" w:color="auto" w:fill="auto"/>
          </w:tcPr>
          <w:p w:rsidR="00C01A94" w:rsidRPr="004B4203" w:rsidRDefault="00F91AFF" w:rsidP="00C01A94">
            <w:pPr>
              <w:spacing w:before="160" w:after="16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C01A94">
            <w:pPr>
              <w:spacing w:before="160" w:after="160" w:line="240" w:lineRule="atLeast"/>
              <w:ind w:left="0" w:firstLine="0"/>
              <w:jc w:val="center"/>
              <w:rPr>
                <w:rFonts w:cs="Arial"/>
                <w:sz w:val="18"/>
                <w:szCs w:val="18"/>
              </w:rPr>
            </w:pPr>
          </w:p>
        </w:tc>
      </w:tr>
      <w:tr w:rsidR="00C01A94" w:rsidRPr="00C903F8"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1458" w:type="dxa"/>
            <w:tcBorders>
              <w:left w:val="single" w:sz="6" w:space="0" w:color="auto"/>
            </w:tcBorders>
            <w:shd w:val="clear" w:color="auto" w:fill="auto"/>
          </w:tcPr>
          <w:p w:rsidR="00C01A94" w:rsidRPr="004B4203" w:rsidRDefault="00C01A94" w:rsidP="00C01A94">
            <w:pPr>
              <w:spacing w:before="160" w:after="160" w:line="240" w:lineRule="atLeast"/>
              <w:ind w:left="0" w:firstLine="0"/>
              <w:rPr>
                <w:rFonts w:cs="Arial"/>
                <w:sz w:val="18"/>
                <w:szCs w:val="18"/>
              </w:rPr>
            </w:pPr>
            <w:r>
              <w:rPr>
                <w:sz w:val="18"/>
              </w:rPr>
              <w:t>paragrafo 14</w:t>
            </w:r>
          </w:p>
        </w:tc>
        <w:tc>
          <w:tcPr>
            <w:tcW w:w="3296" w:type="dxa"/>
            <w:shd w:val="clear" w:color="auto" w:fill="auto"/>
          </w:tcPr>
          <w:p w:rsidR="00C01A94" w:rsidRPr="001717EA" w:rsidRDefault="00C01A94" w:rsidP="00C01A94">
            <w:pPr>
              <w:adjustRightInd w:val="0"/>
              <w:spacing w:before="160" w:after="160" w:line="240" w:lineRule="atLeast"/>
              <w:ind w:left="0" w:firstLine="0"/>
              <w:jc w:val="left"/>
              <w:rPr>
                <w:rFonts w:cs="Arial"/>
                <w:sz w:val="18"/>
                <w:szCs w:val="18"/>
              </w:rPr>
            </w:pPr>
            <w:r>
              <w:rPr>
                <w:sz w:val="18"/>
              </w:rPr>
              <w:t>Tensione massima di carica</w:t>
            </w:r>
          </w:p>
        </w:tc>
        <w:tc>
          <w:tcPr>
            <w:tcW w:w="6521" w:type="dxa"/>
            <w:shd w:val="clear" w:color="auto" w:fill="auto"/>
          </w:tcPr>
          <w:p w:rsidR="00C01A94" w:rsidRPr="004B4203" w:rsidRDefault="00F91AFF" w:rsidP="00C01A94">
            <w:pPr>
              <w:spacing w:before="160" w:after="16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C01A94">
            <w:pPr>
              <w:spacing w:before="160" w:after="160" w:line="240" w:lineRule="atLeast"/>
              <w:ind w:left="0" w:firstLine="0"/>
              <w:jc w:val="center"/>
              <w:rPr>
                <w:rFonts w:cs="Arial"/>
                <w:sz w:val="18"/>
                <w:szCs w:val="18"/>
              </w:rPr>
            </w:pPr>
          </w:p>
        </w:tc>
      </w:tr>
      <w:tr w:rsidR="00C01A94" w:rsidRPr="00C903F8"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1458" w:type="dxa"/>
            <w:tcBorders>
              <w:left w:val="single" w:sz="6" w:space="0" w:color="auto"/>
            </w:tcBorders>
            <w:shd w:val="clear" w:color="auto" w:fill="auto"/>
          </w:tcPr>
          <w:p w:rsidR="00C01A94" w:rsidRPr="004B4203" w:rsidRDefault="00C01A94" w:rsidP="00C01A94">
            <w:pPr>
              <w:spacing w:before="160" w:after="160" w:line="240" w:lineRule="atLeast"/>
              <w:ind w:left="0" w:firstLine="0"/>
              <w:rPr>
                <w:rFonts w:cs="Arial"/>
                <w:sz w:val="18"/>
                <w:szCs w:val="18"/>
              </w:rPr>
            </w:pPr>
            <w:r>
              <w:rPr>
                <w:sz w:val="18"/>
              </w:rPr>
              <w:t>paragrafo 15</w:t>
            </w:r>
          </w:p>
        </w:tc>
        <w:tc>
          <w:tcPr>
            <w:tcW w:w="3296" w:type="dxa"/>
            <w:shd w:val="clear" w:color="auto" w:fill="auto"/>
          </w:tcPr>
          <w:p w:rsidR="00C01A94" w:rsidRPr="001717EA" w:rsidRDefault="00C01A94" w:rsidP="00C01A94">
            <w:pPr>
              <w:adjustRightInd w:val="0"/>
              <w:spacing w:before="160" w:after="160" w:line="240" w:lineRule="atLeast"/>
              <w:ind w:left="0" w:firstLine="0"/>
              <w:jc w:val="left"/>
              <w:rPr>
                <w:rFonts w:cs="Arial"/>
                <w:sz w:val="18"/>
                <w:szCs w:val="18"/>
              </w:rPr>
            </w:pPr>
            <w:r>
              <w:rPr>
                <w:sz w:val="18"/>
              </w:rPr>
              <w:t>Norme EN 62619 e EN 62620 per accumulatori agli ioni di litio</w:t>
            </w:r>
          </w:p>
        </w:tc>
        <w:tc>
          <w:tcPr>
            <w:tcW w:w="6521" w:type="dxa"/>
            <w:shd w:val="clear" w:color="auto" w:fill="auto"/>
          </w:tcPr>
          <w:p w:rsidR="00C01A94" w:rsidRPr="004B4203" w:rsidRDefault="00C01A94" w:rsidP="00C01A94">
            <w:pPr>
              <w:spacing w:before="160" w:after="16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C01A94">
            <w:pPr>
              <w:spacing w:before="160" w:after="160" w:line="240" w:lineRule="atLeast"/>
              <w:ind w:left="0" w:firstLine="0"/>
              <w:jc w:val="center"/>
              <w:rPr>
                <w:rFonts w:cs="Arial"/>
                <w:sz w:val="18"/>
                <w:szCs w:val="18"/>
              </w:rPr>
            </w:pPr>
          </w:p>
        </w:tc>
      </w:tr>
      <w:tr w:rsidR="00C01A94" w:rsidRPr="00C903F8" w:rsidTr="000C0B7A">
        <w:trPr>
          <w:cantSplit/>
          <w:jc w:val="center"/>
        </w:trPr>
        <w:tc>
          <w:tcPr>
            <w:tcW w:w="1342" w:type="dxa"/>
            <w:vMerge/>
            <w:tcBorders>
              <w:left w:val="single" w:sz="6" w:space="0" w:color="auto"/>
              <w:bottom w:val="single" w:sz="6" w:space="0" w:color="auto"/>
              <w:right w:val="single" w:sz="6" w:space="0" w:color="auto"/>
            </w:tcBorders>
            <w:shd w:val="clear" w:color="auto" w:fill="auto"/>
            <w:vAlign w:val="center"/>
          </w:tcPr>
          <w:p w:rsidR="00C01A94" w:rsidRPr="00C903F8" w:rsidRDefault="00C01A94" w:rsidP="00C01A94">
            <w:pPr>
              <w:spacing w:before="160" w:after="160" w:line="240" w:lineRule="atLeast"/>
              <w:ind w:left="0" w:firstLine="0"/>
              <w:rPr>
                <w:rFonts w:cs="Arial"/>
                <w:sz w:val="18"/>
                <w:szCs w:val="18"/>
              </w:rPr>
            </w:pPr>
          </w:p>
        </w:tc>
        <w:tc>
          <w:tcPr>
            <w:tcW w:w="1458" w:type="dxa"/>
            <w:tcBorders>
              <w:left w:val="single" w:sz="6" w:space="0" w:color="auto"/>
            </w:tcBorders>
            <w:shd w:val="clear" w:color="auto" w:fill="auto"/>
            <w:vAlign w:val="center"/>
          </w:tcPr>
          <w:p w:rsidR="00C01A94" w:rsidRPr="00C903F8" w:rsidRDefault="00C01A94" w:rsidP="00C01A94">
            <w:pPr>
              <w:spacing w:before="160" w:after="160" w:line="240" w:lineRule="atLeast"/>
              <w:ind w:left="0" w:firstLine="0"/>
              <w:rPr>
                <w:rFonts w:cs="Arial"/>
                <w:sz w:val="18"/>
                <w:szCs w:val="18"/>
              </w:rPr>
            </w:pPr>
            <w:r>
              <w:rPr>
                <w:sz w:val="18"/>
              </w:rPr>
              <w:t>paragrafo 16</w:t>
            </w:r>
          </w:p>
        </w:tc>
        <w:tc>
          <w:tcPr>
            <w:tcW w:w="3296" w:type="dxa"/>
            <w:shd w:val="clear" w:color="auto" w:fill="auto"/>
          </w:tcPr>
          <w:p w:rsidR="00C01A94" w:rsidRPr="00C903F8" w:rsidRDefault="00C01A94" w:rsidP="00C01A94">
            <w:pPr>
              <w:adjustRightInd w:val="0"/>
              <w:spacing w:before="160" w:after="160" w:line="240" w:lineRule="atLeast"/>
              <w:ind w:left="0" w:firstLine="0"/>
              <w:jc w:val="left"/>
              <w:rPr>
                <w:rFonts w:cs="Arial"/>
                <w:sz w:val="18"/>
                <w:szCs w:val="18"/>
              </w:rPr>
            </w:pPr>
            <w:r>
              <w:rPr>
                <w:sz w:val="18"/>
              </w:rPr>
              <w:t>Sistema di gestione degli accumulatori</w:t>
            </w:r>
          </w:p>
        </w:tc>
        <w:tc>
          <w:tcPr>
            <w:tcW w:w="6521" w:type="dxa"/>
            <w:shd w:val="clear" w:color="auto" w:fill="auto"/>
          </w:tcPr>
          <w:p w:rsidR="00C01A94" w:rsidRDefault="00F91AFF" w:rsidP="00C01A94">
            <w:pPr>
              <w:spacing w:before="160" w:after="16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C01A94">
            <w:pPr>
              <w:spacing w:before="160" w:after="160" w:line="240" w:lineRule="atLeast"/>
              <w:ind w:left="0" w:firstLine="0"/>
              <w:jc w:val="center"/>
              <w:rPr>
                <w:rFonts w:cs="Arial"/>
                <w:sz w:val="18"/>
                <w:szCs w:val="18"/>
              </w:rPr>
            </w:pPr>
          </w:p>
        </w:tc>
      </w:tr>
      <w:tr w:rsidR="00C01A94" w:rsidRPr="00C903F8" w:rsidTr="00DB5653">
        <w:trPr>
          <w:cantSplit/>
          <w:jc w:val="center"/>
        </w:trPr>
        <w:tc>
          <w:tcPr>
            <w:tcW w:w="1342" w:type="dxa"/>
            <w:vMerge w:val="restart"/>
            <w:tcBorders>
              <w:top w:val="single" w:sz="6" w:space="0" w:color="auto"/>
            </w:tcBorders>
            <w:shd w:val="clear" w:color="auto" w:fill="auto"/>
          </w:tcPr>
          <w:p w:rsidR="00C01A94" w:rsidRPr="004B4203" w:rsidRDefault="00C01A94" w:rsidP="00F91AFF">
            <w:pPr>
              <w:spacing w:before="60" w:after="60" w:line="240" w:lineRule="atLeast"/>
              <w:rPr>
                <w:rFonts w:cs="Arial"/>
                <w:sz w:val="18"/>
                <w:szCs w:val="18"/>
              </w:rPr>
            </w:pPr>
            <w:r>
              <w:rPr>
                <w:sz w:val="18"/>
              </w:rPr>
              <w:lastRenderedPageBreak/>
              <w:t xml:space="preserve">10.12 </w:t>
            </w:r>
          </w:p>
        </w:tc>
        <w:tc>
          <w:tcPr>
            <w:tcW w:w="1458" w:type="dxa"/>
            <w:shd w:val="clear" w:color="auto" w:fill="auto"/>
          </w:tcPr>
          <w:p w:rsidR="00C01A94" w:rsidRPr="00852DB3" w:rsidRDefault="00C01A94" w:rsidP="00F91AFF">
            <w:pPr>
              <w:spacing w:before="60" w:after="60" w:line="240" w:lineRule="atLeast"/>
              <w:rPr>
                <w:rFonts w:cs="Arial"/>
                <w:sz w:val="18"/>
                <w:szCs w:val="18"/>
              </w:rPr>
            </w:pPr>
            <w:r>
              <w:rPr>
                <w:sz w:val="18"/>
              </w:rPr>
              <w:t>paragrafo 2, lettera d)</w:t>
            </w:r>
          </w:p>
        </w:tc>
        <w:tc>
          <w:tcPr>
            <w:tcW w:w="3296" w:type="dxa"/>
            <w:shd w:val="clear" w:color="auto" w:fill="auto"/>
          </w:tcPr>
          <w:p w:rsidR="00C01A94" w:rsidRPr="003F5E4D" w:rsidRDefault="00C01A94" w:rsidP="00F91AFF">
            <w:pPr>
              <w:adjustRightInd w:val="0"/>
              <w:spacing w:before="60" w:after="60" w:line="240" w:lineRule="atLeast"/>
              <w:ind w:left="0" w:firstLine="0"/>
              <w:jc w:val="left"/>
              <w:rPr>
                <w:rFonts w:cs="Arial"/>
                <w:sz w:val="18"/>
                <w:szCs w:val="18"/>
              </w:rPr>
            </w:pPr>
            <w:r>
              <w:rPr>
                <w:sz w:val="18"/>
              </w:rPr>
              <w:t>Alimentazione elettrica diretta per utenze per sistemi di propulsione e di manovra della nave</w:t>
            </w:r>
          </w:p>
        </w:tc>
        <w:tc>
          <w:tcPr>
            <w:tcW w:w="6521" w:type="dxa"/>
            <w:shd w:val="clear" w:color="auto" w:fill="auto"/>
          </w:tcPr>
          <w:p w:rsidR="00C01A94" w:rsidRPr="00852DB3" w:rsidRDefault="00C01A94" w:rsidP="00F91AFF">
            <w:pPr>
              <w:spacing w:before="60" w:after="6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F91AFF">
            <w:pPr>
              <w:spacing w:before="60" w:after="60" w:line="240" w:lineRule="atLeast"/>
              <w:jc w:val="center"/>
              <w:rPr>
                <w:rFonts w:cs="Arial"/>
                <w:sz w:val="18"/>
                <w:szCs w:val="18"/>
              </w:rPr>
            </w:pPr>
            <w:r>
              <w:rPr>
                <w:sz w:val="18"/>
              </w:rPr>
              <w:t>1.1.2015</w:t>
            </w:r>
          </w:p>
        </w:tc>
      </w:tr>
      <w:tr w:rsidR="00C01A94" w:rsidRPr="00C903F8" w:rsidTr="00DB5653">
        <w:trPr>
          <w:cantSplit/>
          <w:jc w:val="center"/>
        </w:trPr>
        <w:tc>
          <w:tcPr>
            <w:tcW w:w="1342" w:type="dxa"/>
            <w:vMerge/>
            <w:shd w:val="clear" w:color="auto" w:fill="auto"/>
          </w:tcPr>
          <w:p w:rsidR="00C01A94" w:rsidRPr="004B4203" w:rsidRDefault="00C01A94" w:rsidP="00F91AFF">
            <w:pPr>
              <w:spacing w:before="60" w:after="60" w:line="240" w:lineRule="atLeast"/>
              <w:rPr>
                <w:rFonts w:cs="Arial"/>
                <w:sz w:val="18"/>
                <w:szCs w:val="18"/>
              </w:rPr>
            </w:pPr>
          </w:p>
        </w:tc>
        <w:tc>
          <w:tcPr>
            <w:tcW w:w="1458" w:type="dxa"/>
            <w:shd w:val="clear" w:color="auto" w:fill="auto"/>
          </w:tcPr>
          <w:p w:rsidR="00C01A94" w:rsidRPr="00852DB3" w:rsidRDefault="00C01A94" w:rsidP="00F91AFF">
            <w:pPr>
              <w:spacing w:before="60" w:after="60" w:line="240" w:lineRule="atLeast"/>
              <w:rPr>
                <w:rFonts w:cs="Arial"/>
                <w:sz w:val="18"/>
                <w:szCs w:val="18"/>
              </w:rPr>
            </w:pPr>
            <w:r>
              <w:rPr>
                <w:sz w:val="18"/>
              </w:rPr>
              <w:t>paragrafo 3, lettera b)</w:t>
            </w:r>
          </w:p>
        </w:tc>
        <w:tc>
          <w:tcPr>
            <w:tcW w:w="3296" w:type="dxa"/>
            <w:shd w:val="clear" w:color="auto" w:fill="auto"/>
          </w:tcPr>
          <w:p w:rsidR="00C01A94" w:rsidRPr="00852DB3" w:rsidRDefault="00C01A94" w:rsidP="00F91AFF">
            <w:pPr>
              <w:adjustRightInd w:val="0"/>
              <w:spacing w:before="60" w:after="60" w:line="240" w:lineRule="atLeast"/>
              <w:ind w:left="0" w:firstLine="0"/>
              <w:jc w:val="left"/>
              <w:rPr>
                <w:rFonts w:cs="Arial"/>
                <w:sz w:val="18"/>
                <w:szCs w:val="18"/>
              </w:rPr>
            </w:pPr>
            <w:r>
              <w:rPr>
                <w:sz w:val="18"/>
              </w:rPr>
              <w:t>Dispositivo di controllo dell'isolamento</w:t>
            </w:r>
          </w:p>
        </w:tc>
        <w:tc>
          <w:tcPr>
            <w:tcW w:w="6521" w:type="dxa"/>
            <w:shd w:val="clear" w:color="auto" w:fill="auto"/>
          </w:tcPr>
          <w:p w:rsidR="00C01A94" w:rsidRPr="00852DB3" w:rsidRDefault="00C01A94" w:rsidP="00F91AFF">
            <w:pPr>
              <w:spacing w:before="60" w:after="6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F91AFF">
            <w:pPr>
              <w:spacing w:before="60" w:after="60" w:line="240" w:lineRule="atLeast"/>
              <w:jc w:val="center"/>
              <w:rPr>
                <w:rFonts w:cs="Arial"/>
                <w:sz w:val="18"/>
                <w:szCs w:val="18"/>
              </w:rPr>
            </w:pPr>
            <w:r>
              <w:rPr>
                <w:sz w:val="18"/>
              </w:rPr>
              <w:t>1.1.2010</w:t>
            </w:r>
          </w:p>
        </w:tc>
      </w:tr>
      <w:tr w:rsidR="00C01A94" w:rsidRPr="00C903F8" w:rsidTr="00EB50AB">
        <w:trPr>
          <w:cantSplit/>
          <w:jc w:val="center"/>
        </w:trPr>
        <w:tc>
          <w:tcPr>
            <w:tcW w:w="1342" w:type="dxa"/>
            <w:tcBorders>
              <w:bottom w:val="single" w:sz="4" w:space="0" w:color="auto"/>
            </w:tcBorders>
            <w:shd w:val="clear" w:color="auto" w:fill="auto"/>
          </w:tcPr>
          <w:p w:rsidR="00C01A94" w:rsidRPr="004B4203" w:rsidRDefault="00C01A94" w:rsidP="00F91AFF">
            <w:pPr>
              <w:spacing w:before="60" w:after="60" w:line="240" w:lineRule="atLeast"/>
              <w:rPr>
                <w:rFonts w:cs="Arial"/>
                <w:sz w:val="18"/>
                <w:szCs w:val="18"/>
              </w:rPr>
            </w:pPr>
            <w:r>
              <w:rPr>
                <w:sz w:val="18"/>
              </w:rPr>
              <w:t>10.13</w:t>
            </w:r>
          </w:p>
        </w:tc>
        <w:tc>
          <w:tcPr>
            <w:tcW w:w="1458" w:type="dxa"/>
            <w:shd w:val="clear" w:color="auto" w:fill="auto"/>
          </w:tcPr>
          <w:p w:rsidR="00C01A94" w:rsidRPr="00852DB3" w:rsidRDefault="00C01A94" w:rsidP="00F91AFF">
            <w:pPr>
              <w:spacing w:before="60" w:after="60" w:line="240" w:lineRule="atLeast"/>
              <w:rPr>
                <w:rFonts w:cs="Arial"/>
                <w:sz w:val="18"/>
                <w:szCs w:val="18"/>
              </w:rPr>
            </w:pPr>
          </w:p>
        </w:tc>
        <w:tc>
          <w:tcPr>
            <w:tcW w:w="3296" w:type="dxa"/>
            <w:shd w:val="clear" w:color="auto" w:fill="auto"/>
          </w:tcPr>
          <w:p w:rsidR="00C01A94" w:rsidRPr="00852DB3" w:rsidRDefault="00F87682" w:rsidP="00F91AFF">
            <w:pPr>
              <w:adjustRightInd w:val="0"/>
              <w:spacing w:before="60" w:after="60" w:line="240" w:lineRule="atLeast"/>
              <w:ind w:left="0" w:firstLine="0"/>
              <w:jc w:val="left"/>
              <w:rPr>
                <w:rFonts w:cs="Arial"/>
                <w:sz w:val="18"/>
                <w:szCs w:val="18"/>
              </w:rPr>
            </w:pPr>
            <w:r>
              <w:rPr>
                <w:sz w:val="18"/>
              </w:rPr>
              <w:t>Interruttori di emergenza</w:t>
            </w:r>
          </w:p>
        </w:tc>
        <w:tc>
          <w:tcPr>
            <w:tcW w:w="6521" w:type="dxa"/>
            <w:shd w:val="clear" w:color="auto" w:fill="auto"/>
          </w:tcPr>
          <w:p w:rsidR="00C01A94" w:rsidRPr="00852DB3" w:rsidRDefault="00C01A94" w:rsidP="00F91AFF">
            <w:pPr>
              <w:spacing w:before="60" w:after="6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F91AFF">
            <w:pPr>
              <w:spacing w:before="60" w:after="60" w:line="240" w:lineRule="atLeast"/>
              <w:jc w:val="center"/>
              <w:rPr>
                <w:rFonts w:cs="Arial"/>
                <w:sz w:val="18"/>
                <w:szCs w:val="18"/>
              </w:rPr>
            </w:pPr>
            <w:r>
              <w:rPr>
                <w:sz w:val="18"/>
              </w:rPr>
              <w:t>1.1.2010</w:t>
            </w:r>
          </w:p>
        </w:tc>
      </w:tr>
      <w:tr w:rsidR="00C01A94" w:rsidRPr="00C903F8" w:rsidTr="00EB50AB">
        <w:trPr>
          <w:cantSplit/>
          <w:jc w:val="center"/>
        </w:trPr>
        <w:tc>
          <w:tcPr>
            <w:tcW w:w="1342" w:type="dxa"/>
            <w:tcBorders>
              <w:bottom w:val="nil"/>
            </w:tcBorders>
            <w:shd w:val="clear" w:color="auto" w:fill="auto"/>
          </w:tcPr>
          <w:p w:rsidR="00C01A94" w:rsidRPr="004B4203" w:rsidRDefault="00C01A94" w:rsidP="00F91AFF">
            <w:pPr>
              <w:spacing w:before="60" w:after="60" w:line="240" w:lineRule="atLeast"/>
              <w:rPr>
                <w:rFonts w:cs="Arial"/>
                <w:sz w:val="18"/>
                <w:szCs w:val="18"/>
              </w:rPr>
            </w:pPr>
            <w:r>
              <w:rPr>
                <w:sz w:val="18"/>
              </w:rPr>
              <w:t xml:space="preserve">10.14 </w:t>
            </w:r>
          </w:p>
        </w:tc>
        <w:tc>
          <w:tcPr>
            <w:tcW w:w="1458" w:type="dxa"/>
            <w:shd w:val="clear" w:color="auto" w:fill="auto"/>
          </w:tcPr>
          <w:p w:rsidR="00C01A94" w:rsidRPr="000C0B7A" w:rsidRDefault="00C01A94" w:rsidP="00F91AFF">
            <w:pPr>
              <w:spacing w:before="60" w:after="60" w:line="240" w:lineRule="atLeast"/>
              <w:ind w:left="0" w:firstLine="0"/>
              <w:jc w:val="left"/>
              <w:rPr>
                <w:rFonts w:cs="Arial"/>
                <w:sz w:val="18"/>
                <w:szCs w:val="18"/>
              </w:rPr>
            </w:pPr>
            <w:r>
              <w:rPr>
                <w:sz w:val="18"/>
              </w:rPr>
              <w:t>paragrafo 3, seconda frase</w:t>
            </w:r>
          </w:p>
        </w:tc>
        <w:tc>
          <w:tcPr>
            <w:tcW w:w="3296" w:type="dxa"/>
            <w:shd w:val="clear" w:color="auto" w:fill="auto"/>
          </w:tcPr>
          <w:p w:rsidR="00C01A94" w:rsidRPr="000C0B7A" w:rsidRDefault="00C01A94" w:rsidP="00F91AFF">
            <w:pPr>
              <w:adjustRightInd w:val="0"/>
              <w:spacing w:before="60" w:after="60" w:line="240" w:lineRule="atLeast"/>
              <w:ind w:left="0" w:firstLine="0"/>
              <w:jc w:val="left"/>
              <w:rPr>
                <w:rFonts w:cs="Arial"/>
                <w:sz w:val="18"/>
                <w:szCs w:val="18"/>
              </w:rPr>
            </w:pPr>
            <w:r>
              <w:rPr>
                <w:sz w:val="18"/>
              </w:rPr>
              <w:t>Divieto di installare commutatori unipolari in servizi igienici, bagni e altri locali analoghi</w:t>
            </w:r>
          </w:p>
        </w:tc>
        <w:tc>
          <w:tcPr>
            <w:tcW w:w="6521" w:type="dxa"/>
            <w:shd w:val="clear" w:color="auto" w:fill="auto"/>
          </w:tcPr>
          <w:p w:rsidR="00C01A94" w:rsidRPr="00852DB3" w:rsidRDefault="00C01A94" w:rsidP="00F91AFF">
            <w:pPr>
              <w:spacing w:before="60" w:after="6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F91AFF">
            <w:pPr>
              <w:spacing w:before="60" w:after="60" w:line="240" w:lineRule="atLeast"/>
              <w:jc w:val="center"/>
              <w:rPr>
                <w:rFonts w:cs="Arial"/>
                <w:sz w:val="18"/>
                <w:szCs w:val="18"/>
              </w:rPr>
            </w:pPr>
            <w:r>
              <w:rPr>
                <w:sz w:val="18"/>
              </w:rPr>
              <w:t>1.1.2010</w:t>
            </w:r>
          </w:p>
        </w:tc>
      </w:tr>
      <w:tr w:rsidR="00C01A94" w:rsidRPr="00A0619C" w:rsidTr="00DB5653">
        <w:trPr>
          <w:cantSplit/>
          <w:jc w:val="center"/>
        </w:trPr>
        <w:tc>
          <w:tcPr>
            <w:tcW w:w="1342" w:type="dxa"/>
            <w:vMerge w:val="restart"/>
            <w:shd w:val="clear" w:color="auto" w:fill="auto"/>
          </w:tcPr>
          <w:p w:rsidR="00C01A94" w:rsidRPr="00C903F8" w:rsidRDefault="00C01A94" w:rsidP="000B4982">
            <w:pPr>
              <w:spacing w:before="80" w:after="80" w:line="240" w:lineRule="atLeast"/>
              <w:ind w:left="0" w:firstLine="0"/>
              <w:rPr>
                <w:rFonts w:cs="Arial"/>
                <w:sz w:val="18"/>
                <w:szCs w:val="18"/>
              </w:rPr>
            </w:pPr>
            <w:r>
              <w:rPr>
                <w:sz w:val="18"/>
              </w:rPr>
              <w:t>10.15</w:t>
            </w:r>
          </w:p>
        </w:tc>
        <w:tc>
          <w:tcPr>
            <w:tcW w:w="1458" w:type="dxa"/>
            <w:shd w:val="clear" w:color="auto" w:fill="auto"/>
          </w:tcPr>
          <w:p w:rsidR="00C01A94" w:rsidRPr="00852DB3" w:rsidRDefault="00C01A94" w:rsidP="000B4982">
            <w:pPr>
              <w:spacing w:before="80" w:after="80" w:line="240" w:lineRule="atLeast"/>
              <w:rPr>
                <w:rFonts w:cs="Arial"/>
                <w:sz w:val="18"/>
                <w:szCs w:val="18"/>
              </w:rPr>
            </w:pPr>
            <w:r>
              <w:rPr>
                <w:sz w:val="18"/>
              </w:rPr>
              <w:t>paragrafo 2</w:t>
            </w:r>
          </w:p>
        </w:tc>
        <w:tc>
          <w:tcPr>
            <w:tcW w:w="3296" w:type="dxa"/>
            <w:shd w:val="clear" w:color="auto" w:fill="auto"/>
          </w:tcPr>
          <w:p w:rsidR="00C01A94" w:rsidRPr="003F5E4D" w:rsidRDefault="00C01A94" w:rsidP="000B4982">
            <w:pPr>
              <w:adjustRightInd w:val="0"/>
              <w:spacing w:before="80" w:after="80" w:line="240" w:lineRule="atLeast"/>
              <w:ind w:left="0" w:firstLine="0"/>
              <w:jc w:val="left"/>
              <w:rPr>
                <w:rFonts w:cs="Arial"/>
                <w:sz w:val="18"/>
                <w:szCs w:val="18"/>
              </w:rPr>
            </w:pPr>
            <w:r>
              <w:rPr>
                <w:sz w:val="18"/>
              </w:rPr>
              <w:t>Sezione minima per conduttore pari a 1,5 mm</w:t>
            </w:r>
            <w:r>
              <w:rPr>
                <w:sz w:val="18"/>
                <w:vertAlign w:val="superscript"/>
              </w:rPr>
              <w:t>2</w:t>
            </w:r>
          </w:p>
        </w:tc>
        <w:tc>
          <w:tcPr>
            <w:tcW w:w="6521" w:type="dxa"/>
            <w:shd w:val="clear" w:color="auto" w:fill="auto"/>
          </w:tcPr>
          <w:p w:rsidR="00C01A94" w:rsidRPr="00852DB3" w:rsidRDefault="00C01A94" w:rsidP="000B4982">
            <w:pPr>
              <w:spacing w:before="80" w:after="80" w:line="240" w:lineRule="atLeast"/>
              <w:rPr>
                <w:rFonts w:cs="Arial"/>
                <w:sz w:val="18"/>
                <w:szCs w:val="18"/>
              </w:rPr>
            </w:pPr>
            <w:r>
              <w:rPr>
                <w:sz w:val="18"/>
              </w:rPr>
              <w:t>N.S.T., al più tardi alla data del rinnovo del certificato per la navigazione interna.</w:t>
            </w:r>
          </w:p>
        </w:tc>
        <w:tc>
          <w:tcPr>
            <w:tcW w:w="1276" w:type="dxa"/>
            <w:shd w:val="clear" w:color="auto" w:fill="auto"/>
          </w:tcPr>
          <w:p w:rsidR="00C01A94" w:rsidRPr="00AD76BF" w:rsidRDefault="00C01A94" w:rsidP="000B4982">
            <w:pPr>
              <w:spacing w:before="80" w:after="80" w:line="240" w:lineRule="atLeast"/>
              <w:jc w:val="center"/>
              <w:rPr>
                <w:rFonts w:cs="Arial"/>
                <w:sz w:val="18"/>
                <w:szCs w:val="18"/>
              </w:rPr>
            </w:pPr>
          </w:p>
        </w:tc>
      </w:tr>
      <w:tr w:rsidR="00C01A94" w:rsidRPr="00A0619C" w:rsidTr="00DB5653">
        <w:trPr>
          <w:cantSplit/>
          <w:jc w:val="center"/>
        </w:trPr>
        <w:tc>
          <w:tcPr>
            <w:tcW w:w="1342" w:type="dxa"/>
            <w:vMerge/>
            <w:shd w:val="clear" w:color="auto" w:fill="auto"/>
          </w:tcPr>
          <w:p w:rsidR="00C01A94" w:rsidRPr="00AD76BF" w:rsidRDefault="00C01A94" w:rsidP="000B4982">
            <w:pPr>
              <w:spacing w:before="80" w:after="80" w:line="240" w:lineRule="atLeast"/>
              <w:ind w:left="0" w:firstLine="0"/>
              <w:rPr>
                <w:rFonts w:cs="Arial"/>
                <w:sz w:val="18"/>
                <w:szCs w:val="18"/>
              </w:rPr>
            </w:pPr>
          </w:p>
        </w:tc>
        <w:tc>
          <w:tcPr>
            <w:tcW w:w="1458" w:type="dxa"/>
            <w:shd w:val="clear" w:color="auto" w:fill="auto"/>
          </w:tcPr>
          <w:p w:rsidR="00C01A94" w:rsidRPr="00852DB3" w:rsidRDefault="00C01A94" w:rsidP="000B4982">
            <w:pPr>
              <w:spacing w:before="80" w:after="80" w:line="240" w:lineRule="atLeast"/>
              <w:rPr>
                <w:rFonts w:cs="Arial"/>
                <w:sz w:val="18"/>
                <w:szCs w:val="18"/>
              </w:rPr>
            </w:pPr>
            <w:r>
              <w:rPr>
                <w:sz w:val="18"/>
              </w:rPr>
              <w:t>paragrafo 10</w:t>
            </w:r>
          </w:p>
        </w:tc>
        <w:tc>
          <w:tcPr>
            <w:tcW w:w="3296" w:type="dxa"/>
            <w:shd w:val="clear" w:color="auto" w:fill="auto"/>
          </w:tcPr>
          <w:p w:rsidR="00C01A94" w:rsidRPr="003F5E4D" w:rsidRDefault="00C01A94" w:rsidP="000B4982">
            <w:pPr>
              <w:adjustRightInd w:val="0"/>
              <w:spacing w:before="80" w:after="80" w:line="240" w:lineRule="atLeast"/>
              <w:ind w:left="0" w:firstLine="0"/>
              <w:jc w:val="left"/>
              <w:rPr>
                <w:rFonts w:cs="Arial"/>
                <w:sz w:val="18"/>
                <w:szCs w:val="18"/>
              </w:rPr>
            </w:pPr>
            <w:r>
              <w:rPr>
                <w:sz w:val="18"/>
              </w:rPr>
              <w:t>Cavi collegati alle timonerie elevabili</w:t>
            </w:r>
          </w:p>
        </w:tc>
        <w:tc>
          <w:tcPr>
            <w:tcW w:w="6521" w:type="dxa"/>
            <w:shd w:val="clear" w:color="auto" w:fill="auto"/>
          </w:tcPr>
          <w:p w:rsidR="00C01A94" w:rsidRPr="00852DB3" w:rsidRDefault="00C01A94" w:rsidP="000B4982">
            <w:pPr>
              <w:spacing w:before="80" w:after="80" w:line="240" w:lineRule="atLeast"/>
              <w:rPr>
                <w:rFonts w:cs="Arial"/>
                <w:sz w:val="18"/>
                <w:szCs w:val="18"/>
              </w:rPr>
            </w:pPr>
            <w:r>
              <w:rPr>
                <w:sz w:val="18"/>
              </w:rPr>
              <w:t xml:space="preserve">N.S.T., al più tardi alla data del rinnovo del certificato per la navigazione interna. </w:t>
            </w:r>
          </w:p>
        </w:tc>
        <w:tc>
          <w:tcPr>
            <w:tcW w:w="1276" w:type="dxa"/>
            <w:shd w:val="clear" w:color="auto" w:fill="auto"/>
          </w:tcPr>
          <w:p w:rsidR="00C01A94" w:rsidRPr="00F91AFF" w:rsidRDefault="00C01A94" w:rsidP="000B4982">
            <w:pPr>
              <w:spacing w:before="80" w:after="80" w:line="240" w:lineRule="atLeast"/>
              <w:jc w:val="center"/>
              <w:rPr>
                <w:rFonts w:cs="Arial"/>
                <w:sz w:val="18"/>
                <w:szCs w:val="18"/>
              </w:rPr>
            </w:pPr>
          </w:p>
        </w:tc>
      </w:tr>
      <w:tr w:rsidR="00C01A94" w:rsidRPr="00C903F8" w:rsidTr="00DB5653">
        <w:trPr>
          <w:cantSplit/>
          <w:jc w:val="center"/>
        </w:trPr>
        <w:tc>
          <w:tcPr>
            <w:tcW w:w="1342" w:type="dxa"/>
            <w:vMerge/>
            <w:shd w:val="clear" w:color="auto" w:fill="auto"/>
          </w:tcPr>
          <w:p w:rsidR="00C01A94" w:rsidRPr="00F91AFF" w:rsidRDefault="00C01A94" w:rsidP="000B4982">
            <w:pPr>
              <w:spacing w:before="80" w:after="80" w:line="240" w:lineRule="atLeast"/>
              <w:ind w:left="0" w:firstLine="0"/>
              <w:rPr>
                <w:rFonts w:cs="Arial"/>
                <w:sz w:val="18"/>
                <w:szCs w:val="18"/>
              </w:rPr>
            </w:pPr>
          </w:p>
        </w:tc>
        <w:tc>
          <w:tcPr>
            <w:tcW w:w="1458" w:type="dxa"/>
            <w:shd w:val="clear" w:color="auto" w:fill="auto"/>
          </w:tcPr>
          <w:p w:rsidR="00C01A94" w:rsidRPr="00F91AFF" w:rsidRDefault="00C01A94" w:rsidP="000B4982">
            <w:pPr>
              <w:spacing w:before="80" w:after="80" w:line="240" w:lineRule="atLeast"/>
              <w:rPr>
                <w:rFonts w:cs="Arial"/>
                <w:sz w:val="18"/>
                <w:szCs w:val="18"/>
              </w:rPr>
            </w:pPr>
            <w:r>
              <w:rPr>
                <w:sz w:val="18"/>
              </w:rPr>
              <w:t>paragrafo 11</w:t>
            </w:r>
          </w:p>
        </w:tc>
        <w:tc>
          <w:tcPr>
            <w:tcW w:w="3296" w:type="dxa"/>
            <w:shd w:val="clear" w:color="auto" w:fill="auto"/>
          </w:tcPr>
          <w:p w:rsidR="00C01A94" w:rsidRPr="00F91AFF" w:rsidRDefault="00C01A94" w:rsidP="000B4982">
            <w:pPr>
              <w:adjustRightInd w:val="0"/>
              <w:spacing w:before="80" w:after="80" w:line="240" w:lineRule="atLeast"/>
              <w:ind w:left="0" w:firstLine="0"/>
              <w:jc w:val="left"/>
              <w:rPr>
                <w:rFonts w:cs="Arial"/>
                <w:sz w:val="18"/>
                <w:szCs w:val="18"/>
              </w:rPr>
            </w:pPr>
            <w:r>
              <w:rPr>
                <w:sz w:val="18"/>
              </w:rPr>
              <w:t>Passaggi di gruppi di cavi</w:t>
            </w:r>
          </w:p>
        </w:tc>
        <w:tc>
          <w:tcPr>
            <w:tcW w:w="6521" w:type="dxa"/>
            <w:shd w:val="clear" w:color="auto" w:fill="auto"/>
          </w:tcPr>
          <w:p w:rsidR="00C01A94" w:rsidRPr="00852DB3" w:rsidRDefault="00F91AFF" w:rsidP="000B4982">
            <w:pPr>
              <w:spacing w:before="80" w:after="80" w:line="240" w:lineRule="atLeast"/>
              <w:rPr>
                <w:rFonts w:cs="Arial"/>
                <w:sz w:val="18"/>
                <w:szCs w:val="18"/>
              </w:rPr>
            </w:pPr>
            <w:r>
              <w:rPr>
                <w:sz w:val="18"/>
              </w:rPr>
              <w:t>N.S.T</w:t>
            </w:r>
          </w:p>
        </w:tc>
        <w:tc>
          <w:tcPr>
            <w:tcW w:w="1276" w:type="dxa"/>
            <w:shd w:val="clear" w:color="auto" w:fill="auto"/>
          </w:tcPr>
          <w:p w:rsidR="00C01A94" w:rsidRPr="00852DB3" w:rsidRDefault="00C01A94" w:rsidP="000B4982">
            <w:pPr>
              <w:spacing w:before="80" w:after="80" w:line="240" w:lineRule="atLeast"/>
              <w:jc w:val="center"/>
              <w:rPr>
                <w:rFonts w:cs="Arial"/>
                <w:sz w:val="18"/>
                <w:szCs w:val="18"/>
              </w:rPr>
            </w:pPr>
          </w:p>
        </w:tc>
      </w:tr>
      <w:tr w:rsidR="00C01A94" w:rsidRPr="00C903F8" w:rsidTr="00DB5653">
        <w:trPr>
          <w:cantSplit/>
          <w:jc w:val="center"/>
        </w:trPr>
        <w:tc>
          <w:tcPr>
            <w:tcW w:w="1342" w:type="dxa"/>
            <w:vMerge/>
            <w:shd w:val="clear" w:color="auto" w:fill="auto"/>
          </w:tcPr>
          <w:p w:rsidR="00C01A94" w:rsidRPr="00C903F8" w:rsidRDefault="00C01A94" w:rsidP="000B4982">
            <w:pPr>
              <w:spacing w:before="80" w:after="80" w:line="240" w:lineRule="atLeast"/>
              <w:ind w:left="0" w:firstLine="0"/>
              <w:rPr>
                <w:rFonts w:cs="Arial"/>
                <w:sz w:val="18"/>
                <w:szCs w:val="18"/>
              </w:rPr>
            </w:pPr>
          </w:p>
        </w:tc>
        <w:tc>
          <w:tcPr>
            <w:tcW w:w="1458" w:type="dxa"/>
            <w:shd w:val="clear" w:color="auto" w:fill="auto"/>
          </w:tcPr>
          <w:p w:rsidR="00C01A94" w:rsidRPr="00852DB3" w:rsidRDefault="00C01A94" w:rsidP="000B4982">
            <w:pPr>
              <w:spacing w:before="80" w:after="80" w:line="240" w:lineRule="atLeast"/>
              <w:rPr>
                <w:rFonts w:cs="Arial"/>
                <w:sz w:val="18"/>
                <w:szCs w:val="18"/>
              </w:rPr>
            </w:pPr>
            <w:r>
              <w:rPr>
                <w:sz w:val="18"/>
              </w:rPr>
              <w:t>paragrafo 12</w:t>
            </w:r>
          </w:p>
        </w:tc>
        <w:tc>
          <w:tcPr>
            <w:tcW w:w="3296" w:type="dxa"/>
            <w:shd w:val="clear" w:color="auto" w:fill="auto"/>
          </w:tcPr>
          <w:p w:rsidR="00C01A94" w:rsidRPr="003F5E4D" w:rsidRDefault="00C01A94" w:rsidP="000B4982">
            <w:pPr>
              <w:adjustRightInd w:val="0"/>
              <w:spacing w:before="80" w:after="80" w:line="240" w:lineRule="atLeast"/>
              <w:ind w:left="0" w:firstLine="0"/>
              <w:jc w:val="left"/>
              <w:rPr>
                <w:rFonts w:cs="Arial"/>
                <w:sz w:val="18"/>
                <w:szCs w:val="18"/>
              </w:rPr>
            </w:pPr>
            <w:r>
              <w:rPr>
                <w:sz w:val="18"/>
              </w:rPr>
              <w:t>Cavi da una fonte di alimentazione elettrica di emergenza alle utenze</w:t>
            </w:r>
          </w:p>
        </w:tc>
        <w:tc>
          <w:tcPr>
            <w:tcW w:w="6521" w:type="dxa"/>
            <w:shd w:val="clear" w:color="auto" w:fill="auto"/>
          </w:tcPr>
          <w:p w:rsidR="00C01A94" w:rsidRPr="00852DB3" w:rsidRDefault="00F91AFF" w:rsidP="000B4982">
            <w:pPr>
              <w:spacing w:before="80" w:after="80" w:line="240" w:lineRule="atLeast"/>
              <w:rPr>
                <w:rFonts w:cs="Arial"/>
                <w:sz w:val="18"/>
                <w:szCs w:val="18"/>
              </w:rPr>
            </w:pPr>
            <w:r>
              <w:rPr>
                <w:sz w:val="18"/>
              </w:rPr>
              <w:t>N.S.T</w:t>
            </w:r>
          </w:p>
        </w:tc>
        <w:tc>
          <w:tcPr>
            <w:tcW w:w="1276" w:type="dxa"/>
            <w:shd w:val="clear" w:color="auto" w:fill="auto"/>
          </w:tcPr>
          <w:p w:rsidR="00C01A94" w:rsidRPr="00852DB3" w:rsidRDefault="00C01A94" w:rsidP="000B4982">
            <w:pPr>
              <w:spacing w:before="80" w:after="80" w:line="240" w:lineRule="atLeast"/>
              <w:jc w:val="center"/>
              <w:rPr>
                <w:rFonts w:cs="Arial"/>
                <w:sz w:val="18"/>
                <w:szCs w:val="18"/>
              </w:rPr>
            </w:pPr>
          </w:p>
        </w:tc>
      </w:tr>
      <w:tr w:rsidR="00C01A94" w:rsidRPr="00C903F8" w:rsidTr="00DB5653">
        <w:trPr>
          <w:cantSplit/>
          <w:jc w:val="center"/>
        </w:trPr>
        <w:tc>
          <w:tcPr>
            <w:tcW w:w="1342" w:type="dxa"/>
            <w:vMerge/>
            <w:shd w:val="clear" w:color="auto" w:fill="auto"/>
          </w:tcPr>
          <w:p w:rsidR="00C01A94" w:rsidRPr="00C903F8" w:rsidRDefault="00C01A94" w:rsidP="000B4982">
            <w:pPr>
              <w:spacing w:before="80" w:after="80" w:line="240" w:lineRule="atLeast"/>
              <w:ind w:left="0" w:firstLine="0"/>
              <w:rPr>
                <w:rFonts w:cs="Arial"/>
                <w:sz w:val="18"/>
                <w:szCs w:val="18"/>
              </w:rPr>
            </w:pPr>
          </w:p>
        </w:tc>
        <w:tc>
          <w:tcPr>
            <w:tcW w:w="1458" w:type="dxa"/>
            <w:shd w:val="clear" w:color="auto" w:fill="auto"/>
          </w:tcPr>
          <w:p w:rsidR="00C01A94" w:rsidRPr="00852DB3" w:rsidRDefault="00C01A94" w:rsidP="000B4982">
            <w:pPr>
              <w:spacing w:before="80" w:after="80" w:line="240" w:lineRule="atLeast"/>
              <w:rPr>
                <w:rFonts w:cs="Arial"/>
                <w:sz w:val="18"/>
                <w:szCs w:val="18"/>
              </w:rPr>
            </w:pPr>
            <w:r>
              <w:rPr>
                <w:sz w:val="18"/>
              </w:rPr>
              <w:t>paragrafo 13</w:t>
            </w:r>
          </w:p>
        </w:tc>
        <w:tc>
          <w:tcPr>
            <w:tcW w:w="3296" w:type="dxa"/>
            <w:shd w:val="clear" w:color="auto" w:fill="auto"/>
          </w:tcPr>
          <w:p w:rsidR="00C01A94" w:rsidRPr="003F5E4D" w:rsidRDefault="00C01A94" w:rsidP="000B4982">
            <w:pPr>
              <w:adjustRightInd w:val="0"/>
              <w:spacing w:before="80" w:after="80" w:line="240" w:lineRule="atLeast"/>
              <w:ind w:left="0" w:firstLine="0"/>
              <w:jc w:val="left"/>
              <w:rPr>
                <w:rFonts w:cs="Arial"/>
                <w:sz w:val="18"/>
                <w:szCs w:val="18"/>
              </w:rPr>
            </w:pPr>
            <w:r>
              <w:rPr>
                <w:sz w:val="18"/>
              </w:rPr>
              <w:t>Cavo in zone con temperature ambiente elevate</w:t>
            </w:r>
          </w:p>
        </w:tc>
        <w:tc>
          <w:tcPr>
            <w:tcW w:w="6521" w:type="dxa"/>
            <w:shd w:val="clear" w:color="auto" w:fill="auto"/>
          </w:tcPr>
          <w:p w:rsidR="00C01A94" w:rsidRPr="00852DB3" w:rsidRDefault="00F91AFF" w:rsidP="000B4982">
            <w:pPr>
              <w:spacing w:before="80" w:after="80" w:line="240" w:lineRule="atLeast"/>
              <w:rPr>
                <w:rFonts w:cs="Arial"/>
                <w:sz w:val="18"/>
                <w:szCs w:val="18"/>
              </w:rPr>
            </w:pPr>
            <w:r>
              <w:rPr>
                <w:sz w:val="18"/>
              </w:rPr>
              <w:t>N.S.T</w:t>
            </w:r>
          </w:p>
        </w:tc>
        <w:tc>
          <w:tcPr>
            <w:tcW w:w="1276" w:type="dxa"/>
            <w:shd w:val="clear" w:color="auto" w:fill="auto"/>
          </w:tcPr>
          <w:p w:rsidR="00C01A94" w:rsidRPr="00852DB3" w:rsidRDefault="00C01A94" w:rsidP="000B4982">
            <w:pPr>
              <w:spacing w:before="80" w:after="80" w:line="240" w:lineRule="atLeast"/>
              <w:jc w:val="center"/>
              <w:rPr>
                <w:rFonts w:cs="Arial"/>
                <w:sz w:val="18"/>
                <w:szCs w:val="18"/>
              </w:rPr>
            </w:pPr>
          </w:p>
        </w:tc>
      </w:tr>
      <w:tr w:rsidR="00C01A94" w:rsidRPr="00C903F8" w:rsidTr="00DB5653">
        <w:trPr>
          <w:cantSplit/>
          <w:jc w:val="center"/>
        </w:trPr>
        <w:tc>
          <w:tcPr>
            <w:tcW w:w="1342" w:type="dxa"/>
            <w:vMerge/>
            <w:shd w:val="clear" w:color="auto" w:fill="auto"/>
          </w:tcPr>
          <w:p w:rsidR="00C01A94" w:rsidRPr="00C903F8" w:rsidRDefault="00C01A94" w:rsidP="000B4982">
            <w:pPr>
              <w:spacing w:before="80" w:after="80" w:line="240" w:lineRule="atLeast"/>
              <w:ind w:left="0" w:firstLine="0"/>
              <w:rPr>
                <w:rFonts w:cs="Arial"/>
                <w:sz w:val="18"/>
                <w:szCs w:val="18"/>
              </w:rPr>
            </w:pPr>
          </w:p>
        </w:tc>
        <w:tc>
          <w:tcPr>
            <w:tcW w:w="1458" w:type="dxa"/>
            <w:shd w:val="clear" w:color="auto" w:fill="auto"/>
          </w:tcPr>
          <w:p w:rsidR="00C01A94" w:rsidRPr="00852DB3" w:rsidRDefault="00C01A94" w:rsidP="000B4982">
            <w:pPr>
              <w:spacing w:before="80" w:after="80" w:line="240" w:lineRule="atLeast"/>
              <w:rPr>
                <w:rFonts w:cs="Arial"/>
                <w:sz w:val="18"/>
                <w:szCs w:val="18"/>
              </w:rPr>
            </w:pPr>
            <w:r>
              <w:rPr>
                <w:sz w:val="18"/>
              </w:rPr>
              <w:t>paragrafo 14</w:t>
            </w:r>
          </w:p>
        </w:tc>
        <w:tc>
          <w:tcPr>
            <w:tcW w:w="3296" w:type="dxa"/>
            <w:shd w:val="clear" w:color="auto" w:fill="auto"/>
          </w:tcPr>
          <w:p w:rsidR="00C01A94" w:rsidRPr="003F5E4D" w:rsidRDefault="00C01A94" w:rsidP="000B4982">
            <w:pPr>
              <w:adjustRightInd w:val="0"/>
              <w:spacing w:before="80" w:after="80" w:line="240" w:lineRule="atLeast"/>
              <w:ind w:left="0" w:firstLine="0"/>
              <w:jc w:val="left"/>
              <w:rPr>
                <w:rFonts w:cs="Arial"/>
                <w:sz w:val="18"/>
                <w:szCs w:val="18"/>
              </w:rPr>
            </w:pPr>
            <w:r>
              <w:rPr>
                <w:sz w:val="18"/>
              </w:rPr>
              <w:t>Installazione dei cavi di alimentazione elettrica principale e di emergenza</w:t>
            </w:r>
          </w:p>
        </w:tc>
        <w:tc>
          <w:tcPr>
            <w:tcW w:w="6521" w:type="dxa"/>
            <w:shd w:val="clear" w:color="auto" w:fill="auto"/>
          </w:tcPr>
          <w:p w:rsidR="00C01A94" w:rsidRPr="00852DB3" w:rsidRDefault="00F91AFF" w:rsidP="000B4982">
            <w:pPr>
              <w:spacing w:before="80" w:after="80" w:line="240" w:lineRule="atLeast"/>
              <w:rPr>
                <w:rFonts w:cs="Arial"/>
                <w:sz w:val="18"/>
                <w:szCs w:val="18"/>
              </w:rPr>
            </w:pPr>
            <w:r>
              <w:rPr>
                <w:sz w:val="18"/>
              </w:rPr>
              <w:t>N.S.T</w:t>
            </w:r>
          </w:p>
        </w:tc>
        <w:tc>
          <w:tcPr>
            <w:tcW w:w="1276" w:type="dxa"/>
            <w:shd w:val="clear" w:color="auto" w:fill="auto"/>
          </w:tcPr>
          <w:p w:rsidR="00C01A94" w:rsidRPr="00852DB3" w:rsidRDefault="00C01A94" w:rsidP="000B4982">
            <w:pPr>
              <w:spacing w:before="80" w:after="80" w:line="240" w:lineRule="atLeast"/>
              <w:jc w:val="center"/>
              <w:rPr>
                <w:rFonts w:cs="Arial"/>
                <w:sz w:val="18"/>
                <w:szCs w:val="18"/>
              </w:rPr>
            </w:pPr>
          </w:p>
        </w:tc>
      </w:tr>
      <w:tr w:rsidR="00C01A94" w:rsidRPr="00C903F8" w:rsidTr="00196FBC">
        <w:trPr>
          <w:cantSplit/>
          <w:jc w:val="center"/>
        </w:trPr>
        <w:tc>
          <w:tcPr>
            <w:tcW w:w="1342" w:type="dxa"/>
            <w:shd w:val="clear" w:color="auto" w:fill="auto"/>
          </w:tcPr>
          <w:p w:rsidR="00C01A94" w:rsidRPr="004B4203" w:rsidRDefault="00C01A94" w:rsidP="000B4982">
            <w:pPr>
              <w:spacing w:before="80" w:after="80" w:line="240" w:lineRule="atLeast"/>
              <w:rPr>
                <w:rFonts w:cs="Arial"/>
                <w:sz w:val="18"/>
                <w:szCs w:val="18"/>
              </w:rPr>
            </w:pPr>
            <w:r>
              <w:rPr>
                <w:sz w:val="18"/>
              </w:rPr>
              <w:t xml:space="preserve">10.16 </w:t>
            </w:r>
          </w:p>
        </w:tc>
        <w:tc>
          <w:tcPr>
            <w:tcW w:w="1458" w:type="dxa"/>
            <w:shd w:val="clear" w:color="auto" w:fill="auto"/>
          </w:tcPr>
          <w:p w:rsidR="00C01A94" w:rsidRPr="00852DB3" w:rsidRDefault="00C01A94" w:rsidP="000B4982">
            <w:pPr>
              <w:spacing w:before="80" w:after="80" w:line="240" w:lineRule="atLeast"/>
              <w:ind w:left="0" w:firstLine="0"/>
              <w:jc w:val="left"/>
              <w:rPr>
                <w:rFonts w:cs="Arial"/>
                <w:sz w:val="18"/>
                <w:szCs w:val="18"/>
              </w:rPr>
            </w:pPr>
            <w:r>
              <w:rPr>
                <w:sz w:val="18"/>
              </w:rPr>
              <w:t>paragrafo 3, seconda frase</w:t>
            </w:r>
          </w:p>
        </w:tc>
        <w:tc>
          <w:tcPr>
            <w:tcW w:w="3296" w:type="dxa"/>
            <w:shd w:val="clear" w:color="auto" w:fill="auto"/>
          </w:tcPr>
          <w:p w:rsidR="00C01A94" w:rsidRPr="00852DB3" w:rsidRDefault="00C01A94" w:rsidP="000B4982">
            <w:pPr>
              <w:spacing w:before="80" w:after="80" w:line="240" w:lineRule="atLeast"/>
              <w:rPr>
                <w:rFonts w:cs="Arial"/>
                <w:sz w:val="18"/>
                <w:szCs w:val="18"/>
              </w:rPr>
            </w:pPr>
            <w:r>
              <w:rPr>
                <w:sz w:val="18"/>
              </w:rPr>
              <w:t>Secondo circuito</w:t>
            </w:r>
          </w:p>
        </w:tc>
        <w:tc>
          <w:tcPr>
            <w:tcW w:w="6521" w:type="dxa"/>
            <w:shd w:val="clear" w:color="auto" w:fill="auto"/>
          </w:tcPr>
          <w:p w:rsidR="00C01A94" w:rsidRPr="00852DB3" w:rsidRDefault="00C01A94" w:rsidP="000B4982">
            <w:pPr>
              <w:spacing w:before="80" w:after="8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0B4982">
            <w:pPr>
              <w:spacing w:before="80" w:after="80" w:line="240" w:lineRule="atLeast"/>
              <w:jc w:val="center"/>
              <w:rPr>
                <w:rFonts w:cs="Arial"/>
                <w:sz w:val="18"/>
                <w:szCs w:val="18"/>
              </w:rPr>
            </w:pPr>
            <w:r>
              <w:rPr>
                <w:sz w:val="18"/>
              </w:rPr>
              <w:t>1.1.2015</w:t>
            </w:r>
          </w:p>
        </w:tc>
      </w:tr>
      <w:tr w:rsidR="00C01A94" w:rsidRPr="00C903F8" w:rsidTr="00196FBC">
        <w:trPr>
          <w:cantSplit/>
          <w:jc w:val="center"/>
        </w:trPr>
        <w:tc>
          <w:tcPr>
            <w:tcW w:w="1342" w:type="dxa"/>
            <w:vMerge w:val="restart"/>
            <w:shd w:val="clear" w:color="auto" w:fill="auto"/>
          </w:tcPr>
          <w:p w:rsidR="00C01A94" w:rsidRPr="004B4203" w:rsidRDefault="00C01A94" w:rsidP="000B4982">
            <w:pPr>
              <w:spacing w:before="60" w:after="60" w:line="240" w:lineRule="atLeast"/>
              <w:rPr>
                <w:rFonts w:cs="Arial"/>
                <w:sz w:val="18"/>
                <w:szCs w:val="18"/>
              </w:rPr>
            </w:pPr>
            <w:r>
              <w:rPr>
                <w:sz w:val="18"/>
              </w:rPr>
              <w:t xml:space="preserve">10.18 </w:t>
            </w:r>
          </w:p>
        </w:tc>
        <w:tc>
          <w:tcPr>
            <w:tcW w:w="1458" w:type="dxa"/>
            <w:shd w:val="clear" w:color="auto" w:fill="auto"/>
          </w:tcPr>
          <w:p w:rsidR="00C01A94" w:rsidRPr="00852DB3" w:rsidRDefault="00C01A94" w:rsidP="000B4982">
            <w:pPr>
              <w:spacing w:before="60" w:after="60" w:line="240" w:lineRule="atLeast"/>
              <w:rPr>
                <w:rFonts w:cs="Arial"/>
                <w:sz w:val="18"/>
                <w:szCs w:val="18"/>
              </w:rPr>
            </w:pPr>
            <w:r>
              <w:rPr>
                <w:sz w:val="18"/>
              </w:rPr>
              <w:t>paragrafo 1</w:t>
            </w:r>
          </w:p>
        </w:tc>
        <w:tc>
          <w:tcPr>
            <w:tcW w:w="3296" w:type="dxa"/>
            <w:shd w:val="clear" w:color="auto" w:fill="auto"/>
          </w:tcPr>
          <w:p w:rsidR="00C01A94" w:rsidRPr="003F5E4D" w:rsidRDefault="00C01A94" w:rsidP="000B4982">
            <w:pPr>
              <w:adjustRightInd w:val="0"/>
              <w:spacing w:before="60" w:after="60" w:line="240" w:lineRule="atLeast"/>
              <w:ind w:left="0" w:firstLine="0"/>
              <w:jc w:val="left"/>
              <w:rPr>
                <w:rFonts w:cs="Arial"/>
                <w:sz w:val="18"/>
                <w:szCs w:val="18"/>
              </w:rPr>
            </w:pPr>
            <w:r>
              <w:rPr>
                <w:sz w:val="18"/>
              </w:rPr>
              <w:t>Dispositivo per la disconnessione dalla rete</w:t>
            </w:r>
          </w:p>
        </w:tc>
        <w:tc>
          <w:tcPr>
            <w:tcW w:w="6521" w:type="dxa"/>
            <w:shd w:val="clear" w:color="auto" w:fill="auto"/>
          </w:tcPr>
          <w:p w:rsidR="00C01A94" w:rsidRPr="00852DB3" w:rsidRDefault="00F91AFF" w:rsidP="000B4982">
            <w:pPr>
              <w:spacing w:before="60" w:after="60" w:line="240" w:lineRule="atLeast"/>
              <w:rPr>
                <w:rFonts w:cs="Arial"/>
                <w:sz w:val="18"/>
                <w:szCs w:val="18"/>
              </w:rPr>
            </w:pPr>
            <w:r>
              <w:rPr>
                <w:sz w:val="18"/>
              </w:rPr>
              <w:t>N.S.T</w:t>
            </w:r>
          </w:p>
        </w:tc>
        <w:tc>
          <w:tcPr>
            <w:tcW w:w="1276" w:type="dxa"/>
            <w:shd w:val="clear" w:color="auto" w:fill="auto"/>
          </w:tcPr>
          <w:p w:rsidR="00C01A94" w:rsidRPr="00852DB3" w:rsidRDefault="00C01A94" w:rsidP="000B4982">
            <w:pPr>
              <w:spacing w:before="60" w:after="60" w:line="240" w:lineRule="atLeast"/>
              <w:jc w:val="center"/>
              <w:rPr>
                <w:rFonts w:cs="Arial"/>
                <w:sz w:val="18"/>
                <w:szCs w:val="18"/>
              </w:rPr>
            </w:pPr>
          </w:p>
        </w:tc>
      </w:tr>
      <w:tr w:rsidR="00C01A94" w:rsidRPr="00C903F8" w:rsidTr="00196FBC">
        <w:trPr>
          <w:cantSplit/>
          <w:jc w:val="center"/>
        </w:trPr>
        <w:tc>
          <w:tcPr>
            <w:tcW w:w="1342" w:type="dxa"/>
            <w:vMerge/>
            <w:shd w:val="clear" w:color="auto" w:fill="auto"/>
          </w:tcPr>
          <w:p w:rsidR="00C01A94" w:rsidRPr="00C903F8" w:rsidRDefault="00C01A94" w:rsidP="000B4982">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0B4982">
            <w:pPr>
              <w:spacing w:before="60" w:after="60" w:line="240" w:lineRule="atLeast"/>
              <w:ind w:left="0" w:firstLine="0"/>
              <w:rPr>
                <w:rFonts w:cs="Arial"/>
                <w:sz w:val="18"/>
                <w:szCs w:val="18"/>
              </w:rPr>
            </w:pPr>
            <w:r>
              <w:rPr>
                <w:sz w:val="18"/>
              </w:rPr>
              <w:t>paragrafo 2</w:t>
            </w:r>
          </w:p>
        </w:tc>
        <w:tc>
          <w:tcPr>
            <w:tcW w:w="3296" w:type="dxa"/>
            <w:shd w:val="clear" w:color="auto" w:fill="auto"/>
          </w:tcPr>
          <w:p w:rsidR="00C01A94" w:rsidRPr="000C0B7A" w:rsidRDefault="00C01A94" w:rsidP="000B4982">
            <w:pPr>
              <w:adjustRightInd w:val="0"/>
              <w:spacing w:before="60" w:after="60" w:line="240" w:lineRule="atLeast"/>
              <w:ind w:left="0" w:firstLine="0"/>
              <w:jc w:val="left"/>
              <w:rPr>
                <w:rFonts w:cs="Arial"/>
                <w:sz w:val="18"/>
                <w:szCs w:val="18"/>
              </w:rPr>
            </w:pPr>
            <w:r>
              <w:rPr>
                <w:sz w:val="18"/>
              </w:rPr>
              <w:t>Accessibilità</w:t>
            </w:r>
          </w:p>
        </w:tc>
        <w:tc>
          <w:tcPr>
            <w:tcW w:w="6521" w:type="dxa"/>
            <w:shd w:val="clear" w:color="auto" w:fill="auto"/>
          </w:tcPr>
          <w:p w:rsidR="00C01A94" w:rsidRDefault="00F91AFF" w:rsidP="000B4982">
            <w:pPr>
              <w:spacing w:before="60" w:after="6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0B4982">
            <w:pPr>
              <w:spacing w:before="60" w:after="60" w:line="240" w:lineRule="atLeast"/>
              <w:ind w:left="0" w:firstLine="0"/>
              <w:jc w:val="center"/>
              <w:rPr>
                <w:rFonts w:cs="Arial"/>
                <w:sz w:val="18"/>
                <w:szCs w:val="18"/>
              </w:rPr>
            </w:pPr>
          </w:p>
        </w:tc>
      </w:tr>
      <w:tr w:rsidR="00C01A94" w:rsidRPr="00C903F8" w:rsidTr="00196FBC">
        <w:trPr>
          <w:cantSplit/>
          <w:jc w:val="center"/>
        </w:trPr>
        <w:tc>
          <w:tcPr>
            <w:tcW w:w="1342" w:type="dxa"/>
            <w:vMerge/>
            <w:shd w:val="clear" w:color="auto" w:fill="auto"/>
          </w:tcPr>
          <w:p w:rsidR="00C01A94" w:rsidRPr="00C903F8" w:rsidRDefault="00C01A94" w:rsidP="000B4982">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0B4982">
            <w:pPr>
              <w:spacing w:before="60" w:after="60" w:line="240" w:lineRule="atLeast"/>
              <w:ind w:left="0" w:firstLine="0"/>
              <w:rPr>
                <w:rFonts w:cs="Arial"/>
                <w:sz w:val="18"/>
                <w:szCs w:val="18"/>
              </w:rPr>
            </w:pPr>
            <w:r>
              <w:rPr>
                <w:sz w:val="18"/>
              </w:rPr>
              <w:t>paragrafo 3</w:t>
            </w:r>
          </w:p>
        </w:tc>
        <w:tc>
          <w:tcPr>
            <w:tcW w:w="3296" w:type="dxa"/>
            <w:shd w:val="clear" w:color="auto" w:fill="auto"/>
          </w:tcPr>
          <w:p w:rsidR="00C01A94" w:rsidRPr="003F5E4D" w:rsidRDefault="00C01A94" w:rsidP="000B4982">
            <w:pPr>
              <w:adjustRightInd w:val="0"/>
              <w:spacing w:before="60" w:after="60" w:line="240" w:lineRule="atLeast"/>
              <w:ind w:left="0" w:firstLine="0"/>
              <w:jc w:val="left"/>
              <w:rPr>
                <w:rFonts w:cs="Arial"/>
                <w:sz w:val="18"/>
                <w:szCs w:val="18"/>
              </w:rPr>
            </w:pPr>
            <w:r>
              <w:rPr>
                <w:sz w:val="18"/>
              </w:rPr>
              <w:t>Separazione galvanica dei circuiti di comando e di potenza</w:t>
            </w:r>
          </w:p>
        </w:tc>
        <w:tc>
          <w:tcPr>
            <w:tcW w:w="6521" w:type="dxa"/>
            <w:shd w:val="clear" w:color="auto" w:fill="auto"/>
          </w:tcPr>
          <w:p w:rsidR="00C01A94" w:rsidRDefault="00F91AFF" w:rsidP="000B4982">
            <w:pPr>
              <w:spacing w:before="60" w:after="6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0B4982">
            <w:pPr>
              <w:spacing w:before="60" w:after="60" w:line="240" w:lineRule="atLeast"/>
              <w:ind w:left="0" w:firstLine="0"/>
              <w:jc w:val="center"/>
              <w:rPr>
                <w:rFonts w:cs="Arial"/>
                <w:sz w:val="18"/>
                <w:szCs w:val="18"/>
              </w:rPr>
            </w:pPr>
          </w:p>
        </w:tc>
      </w:tr>
      <w:tr w:rsidR="00C01A94" w:rsidRPr="00C903F8" w:rsidTr="00196FBC">
        <w:trPr>
          <w:cantSplit/>
          <w:jc w:val="center"/>
        </w:trPr>
        <w:tc>
          <w:tcPr>
            <w:tcW w:w="1342" w:type="dxa"/>
            <w:vMerge/>
            <w:shd w:val="clear" w:color="auto" w:fill="auto"/>
          </w:tcPr>
          <w:p w:rsidR="00C01A94" w:rsidRPr="00C903F8" w:rsidRDefault="00C01A94" w:rsidP="000B4982">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0B4982">
            <w:pPr>
              <w:spacing w:before="60" w:after="60" w:line="240" w:lineRule="atLeast"/>
              <w:ind w:left="0" w:firstLine="0"/>
              <w:rPr>
                <w:rFonts w:cs="Arial"/>
                <w:sz w:val="18"/>
                <w:szCs w:val="18"/>
              </w:rPr>
            </w:pPr>
            <w:r>
              <w:rPr>
                <w:sz w:val="18"/>
              </w:rPr>
              <w:t>paragrafo 4</w:t>
            </w:r>
          </w:p>
        </w:tc>
        <w:tc>
          <w:tcPr>
            <w:tcW w:w="3296" w:type="dxa"/>
            <w:shd w:val="clear" w:color="auto" w:fill="auto"/>
          </w:tcPr>
          <w:p w:rsidR="00C01A94" w:rsidRPr="003F5E4D" w:rsidRDefault="00C01A94" w:rsidP="000B4982">
            <w:pPr>
              <w:adjustRightInd w:val="0"/>
              <w:spacing w:before="60" w:after="60" w:line="240" w:lineRule="atLeast"/>
              <w:ind w:left="0" w:firstLine="0"/>
              <w:jc w:val="left"/>
              <w:rPr>
                <w:rFonts w:cs="Arial"/>
                <w:sz w:val="18"/>
                <w:szCs w:val="18"/>
              </w:rPr>
            </w:pPr>
            <w:r>
              <w:rPr>
                <w:sz w:val="18"/>
              </w:rPr>
              <w:t>Funzionamento con variazioni di tensione e di frequenza</w:t>
            </w:r>
          </w:p>
        </w:tc>
        <w:tc>
          <w:tcPr>
            <w:tcW w:w="6521" w:type="dxa"/>
            <w:shd w:val="clear" w:color="auto" w:fill="auto"/>
          </w:tcPr>
          <w:p w:rsidR="00C01A94" w:rsidRDefault="00F91AFF" w:rsidP="000B4982">
            <w:pPr>
              <w:spacing w:before="60" w:after="6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0B4982">
            <w:pPr>
              <w:spacing w:before="60" w:after="60" w:line="240" w:lineRule="atLeast"/>
              <w:ind w:left="0" w:firstLine="0"/>
              <w:jc w:val="center"/>
              <w:rPr>
                <w:rFonts w:cs="Arial"/>
                <w:sz w:val="18"/>
                <w:szCs w:val="18"/>
              </w:rPr>
            </w:pPr>
          </w:p>
        </w:tc>
      </w:tr>
      <w:tr w:rsidR="00C01A94" w:rsidRPr="003971A3" w:rsidTr="00196FBC">
        <w:trPr>
          <w:cantSplit/>
          <w:jc w:val="center"/>
        </w:trPr>
        <w:tc>
          <w:tcPr>
            <w:tcW w:w="1342" w:type="dxa"/>
            <w:vMerge/>
            <w:shd w:val="clear" w:color="auto" w:fill="auto"/>
          </w:tcPr>
          <w:p w:rsidR="00C01A94" w:rsidRPr="00C903F8" w:rsidRDefault="00C01A94" w:rsidP="000B4982">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0B4982">
            <w:pPr>
              <w:spacing w:before="60" w:after="60" w:line="240" w:lineRule="atLeast"/>
              <w:ind w:left="0" w:firstLine="0"/>
              <w:rPr>
                <w:rFonts w:cs="Arial"/>
                <w:sz w:val="18"/>
                <w:szCs w:val="18"/>
              </w:rPr>
            </w:pPr>
            <w:r>
              <w:rPr>
                <w:sz w:val="18"/>
              </w:rPr>
              <w:t>paragrafo 5</w:t>
            </w:r>
          </w:p>
        </w:tc>
        <w:tc>
          <w:tcPr>
            <w:tcW w:w="3296" w:type="dxa"/>
            <w:shd w:val="clear" w:color="auto" w:fill="auto"/>
          </w:tcPr>
          <w:p w:rsidR="00C01A94" w:rsidRPr="003F5E4D" w:rsidRDefault="00C01A94" w:rsidP="000B4982">
            <w:pPr>
              <w:adjustRightInd w:val="0"/>
              <w:spacing w:before="60" w:after="60" w:line="240" w:lineRule="atLeast"/>
              <w:ind w:left="0" w:firstLine="0"/>
              <w:jc w:val="left"/>
              <w:rPr>
                <w:rFonts w:cs="Arial"/>
                <w:sz w:val="18"/>
                <w:szCs w:val="18"/>
              </w:rPr>
            </w:pPr>
            <w:r>
              <w:rPr>
                <w:sz w:val="18"/>
              </w:rPr>
              <w:t>Tempo di scarica in caso di disconnessione dalla rete</w:t>
            </w:r>
          </w:p>
        </w:tc>
        <w:tc>
          <w:tcPr>
            <w:tcW w:w="6521" w:type="dxa"/>
            <w:shd w:val="clear" w:color="auto" w:fill="auto"/>
          </w:tcPr>
          <w:p w:rsidR="00C01A94" w:rsidRDefault="00F91AFF" w:rsidP="000B4982">
            <w:pPr>
              <w:spacing w:before="60" w:after="60" w:line="240" w:lineRule="atLeast"/>
              <w:ind w:left="0" w:firstLine="0"/>
              <w:rPr>
                <w:rFonts w:cs="Arial"/>
                <w:sz w:val="18"/>
                <w:szCs w:val="18"/>
              </w:rPr>
            </w:pPr>
            <w:r>
              <w:rPr>
                <w:sz w:val="18"/>
              </w:rPr>
              <w:t>N.S.T</w:t>
            </w:r>
          </w:p>
        </w:tc>
        <w:tc>
          <w:tcPr>
            <w:tcW w:w="1276" w:type="dxa"/>
            <w:shd w:val="clear" w:color="auto" w:fill="auto"/>
          </w:tcPr>
          <w:p w:rsidR="00C01A94" w:rsidRPr="000C0B7A" w:rsidRDefault="00C01A94" w:rsidP="000B4982">
            <w:pPr>
              <w:spacing w:before="60" w:after="60" w:line="240" w:lineRule="atLeast"/>
              <w:ind w:left="0" w:firstLine="0"/>
              <w:jc w:val="center"/>
              <w:rPr>
                <w:rFonts w:cs="Arial"/>
                <w:sz w:val="18"/>
                <w:szCs w:val="18"/>
              </w:rPr>
            </w:pPr>
          </w:p>
        </w:tc>
      </w:tr>
      <w:tr w:rsidR="00C01A94" w:rsidRPr="00C903F8" w:rsidTr="00196FBC">
        <w:trPr>
          <w:cantSplit/>
          <w:jc w:val="center"/>
        </w:trPr>
        <w:tc>
          <w:tcPr>
            <w:tcW w:w="1342" w:type="dxa"/>
            <w:vMerge/>
            <w:shd w:val="clear" w:color="auto" w:fill="auto"/>
          </w:tcPr>
          <w:p w:rsidR="00C01A94" w:rsidRPr="000C0B7A" w:rsidRDefault="00C01A94" w:rsidP="000B4982">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0B4982">
            <w:pPr>
              <w:spacing w:before="60" w:after="60" w:line="240" w:lineRule="atLeast"/>
              <w:ind w:left="0" w:firstLine="0"/>
              <w:rPr>
                <w:rFonts w:cs="Arial"/>
                <w:sz w:val="18"/>
                <w:szCs w:val="18"/>
              </w:rPr>
            </w:pPr>
            <w:r>
              <w:rPr>
                <w:sz w:val="18"/>
              </w:rPr>
              <w:t>paragrafo 6</w:t>
            </w:r>
          </w:p>
        </w:tc>
        <w:tc>
          <w:tcPr>
            <w:tcW w:w="3296" w:type="dxa"/>
            <w:shd w:val="clear" w:color="auto" w:fill="auto"/>
          </w:tcPr>
          <w:p w:rsidR="00C01A94" w:rsidRPr="003F5E4D" w:rsidRDefault="00C01A94" w:rsidP="000B4982">
            <w:pPr>
              <w:adjustRightInd w:val="0"/>
              <w:spacing w:before="60" w:after="60" w:line="240" w:lineRule="atLeast"/>
              <w:ind w:left="0" w:firstLine="0"/>
              <w:jc w:val="left"/>
              <w:rPr>
                <w:rFonts w:cs="Arial"/>
                <w:sz w:val="18"/>
                <w:szCs w:val="18"/>
              </w:rPr>
            </w:pPr>
            <w:r>
              <w:rPr>
                <w:sz w:val="18"/>
              </w:rPr>
              <w:t>Risposta in caso di guasto di segnali di comando esterni</w:t>
            </w:r>
          </w:p>
        </w:tc>
        <w:tc>
          <w:tcPr>
            <w:tcW w:w="6521" w:type="dxa"/>
            <w:shd w:val="clear" w:color="auto" w:fill="auto"/>
          </w:tcPr>
          <w:p w:rsidR="00C01A94" w:rsidRDefault="00F91AFF" w:rsidP="000B4982">
            <w:pPr>
              <w:spacing w:before="60" w:after="6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0B4982">
            <w:pPr>
              <w:spacing w:before="60" w:after="60" w:line="240" w:lineRule="atLeast"/>
              <w:ind w:left="0" w:firstLine="0"/>
              <w:jc w:val="center"/>
              <w:rPr>
                <w:rFonts w:cs="Arial"/>
                <w:sz w:val="18"/>
                <w:szCs w:val="18"/>
              </w:rPr>
            </w:pPr>
          </w:p>
        </w:tc>
      </w:tr>
      <w:tr w:rsidR="00C01A94" w:rsidRPr="00C903F8" w:rsidTr="00196FBC">
        <w:trPr>
          <w:cantSplit/>
          <w:jc w:val="center"/>
        </w:trPr>
        <w:tc>
          <w:tcPr>
            <w:tcW w:w="1342" w:type="dxa"/>
            <w:vMerge/>
            <w:shd w:val="clear" w:color="auto" w:fill="auto"/>
          </w:tcPr>
          <w:p w:rsidR="00C01A94" w:rsidRPr="00C903F8" w:rsidRDefault="00C01A94" w:rsidP="00C01A94">
            <w:pPr>
              <w:spacing w:before="100" w:after="10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00" w:after="100" w:line="240" w:lineRule="atLeast"/>
              <w:ind w:left="0" w:firstLine="0"/>
              <w:rPr>
                <w:rFonts w:cs="Arial"/>
                <w:sz w:val="18"/>
                <w:szCs w:val="18"/>
              </w:rPr>
            </w:pPr>
            <w:r>
              <w:rPr>
                <w:sz w:val="18"/>
              </w:rPr>
              <w:t>paragrafo 7</w:t>
            </w:r>
          </w:p>
        </w:tc>
        <w:tc>
          <w:tcPr>
            <w:tcW w:w="3296" w:type="dxa"/>
            <w:shd w:val="clear" w:color="auto" w:fill="auto"/>
          </w:tcPr>
          <w:p w:rsidR="00C01A94" w:rsidRPr="003F5E4D" w:rsidRDefault="00C01A94" w:rsidP="00C01A94">
            <w:pPr>
              <w:adjustRightInd w:val="0"/>
              <w:spacing w:before="100" w:after="100" w:line="240" w:lineRule="atLeast"/>
              <w:ind w:left="0" w:firstLine="0"/>
              <w:jc w:val="left"/>
              <w:rPr>
                <w:rFonts w:cs="Arial"/>
                <w:sz w:val="18"/>
                <w:szCs w:val="18"/>
              </w:rPr>
            </w:pPr>
            <w:r>
              <w:rPr>
                <w:sz w:val="18"/>
              </w:rPr>
              <w:t>Risposta in caso di guasto delle tensioni di comando</w:t>
            </w:r>
          </w:p>
        </w:tc>
        <w:tc>
          <w:tcPr>
            <w:tcW w:w="6521" w:type="dxa"/>
            <w:shd w:val="clear" w:color="auto" w:fill="auto"/>
          </w:tcPr>
          <w:p w:rsidR="00C01A94" w:rsidRDefault="00F91AFF" w:rsidP="00C01A94">
            <w:pPr>
              <w:spacing w:before="100" w:after="10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C01A94">
            <w:pPr>
              <w:spacing w:before="100" w:after="100" w:line="240" w:lineRule="atLeast"/>
              <w:ind w:left="0" w:firstLine="0"/>
              <w:jc w:val="center"/>
              <w:rPr>
                <w:rFonts w:cs="Arial"/>
                <w:sz w:val="18"/>
                <w:szCs w:val="18"/>
              </w:rPr>
            </w:pPr>
          </w:p>
        </w:tc>
      </w:tr>
      <w:tr w:rsidR="00C01A94" w:rsidRPr="00C903F8" w:rsidTr="00196FBC">
        <w:trPr>
          <w:cantSplit/>
          <w:jc w:val="center"/>
        </w:trPr>
        <w:tc>
          <w:tcPr>
            <w:tcW w:w="1342" w:type="dxa"/>
            <w:vMerge/>
            <w:shd w:val="clear" w:color="auto" w:fill="auto"/>
          </w:tcPr>
          <w:p w:rsidR="00C01A94" w:rsidRPr="00C903F8" w:rsidRDefault="00C01A94" w:rsidP="00C01A94">
            <w:pPr>
              <w:spacing w:before="100" w:after="10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00" w:after="100" w:line="240" w:lineRule="atLeast"/>
              <w:ind w:left="0" w:firstLine="0"/>
              <w:rPr>
                <w:rFonts w:cs="Arial"/>
                <w:sz w:val="18"/>
                <w:szCs w:val="18"/>
              </w:rPr>
            </w:pPr>
            <w:r>
              <w:rPr>
                <w:sz w:val="18"/>
              </w:rPr>
              <w:t>paragrafo 8</w:t>
            </w:r>
          </w:p>
        </w:tc>
        <w:tc>
          <w:tcPr>
            <w:tcW w:w="3296" w:type="dxa"/>
            <w:shd w:val="clear" w:color="auto" w:fill="auto"/>
          </w:tcPr>
          <w:p w:rsidR="00C01A94" w:rsidRPr="003F5E4D" w:rsidRDefault="00C01A94" w:rsidP="00C01A94">
            <w:pPr>
              <w:adjustRightInd w:val="0"/>
              <w:spacing w:before="100" w:after="100" w:line="240" w:lineRule="atLeast"/>
              <w:ind w:left="0" w:firstLine="0"/>
              <w:jc w:val="left"/>
              <w:rPr>
                <w:rFonts w:cs="Arial"/>
                <w:sz w:val="18"/>
                <w:szCs w:val="18"/>
              </w:rPr>
            </w:pPr>
            <w:r>
              <w:rPr>
                <w:sz w:val="18"/>
              </w:rPr>
              <w:t>Rilevamento di errori e prevenzione di errori non rilevati</w:t>
            </w:r>
          </w:p>
        </w:tc>
        <w:tc>
          <w:tcPr>
            <w:tcW w:w="6521" w:type="dxa"/>
            <w:shd w:val="clear" w:color="auto" w:fill="auto"/>
          </w:tcPr>
          <w:p w:rsidR="00C01A94" w:rsidRDefault="00F91AFF" w:rsidP="00C01A94">
            <w:pPr>
              <w:spacing w:before="100" w:after="10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C01A94">
            <w:pPr>
              <w:spacing w:before="100" w:after="100" w:line="240" w:lineRule="atLeast"/>
              <w:ind w:left="0" w:firstLine="0"/>
              <w:jc w:val="center"/>
              <w:rPr>
                <w:rFonts w:cs="Arial"/>
                <w:sz w:val="18"/>
                <w:szCs w:val="18"/>
              </w:rPr>
            </w:pPr>
          </w:p>
        </w:tc>
      </w:tr>
      <w:tr w:rsidR="00C01A94" w:rsidRPr="00C903F8" w:rsidTr="00196FBC">
        <w:trPr>
          <w:cantSplit/>
          <w:jc w:val="center"/>
        </w:trPr>
        <w:tc>
          <w:tcPr>
            <w:tcW w:w="1342" w:type="dxa"/>
            <w:vMerge/>
            <w:shd w:val="clear" w:color="auto" w:fill="auto"/>
          </w:tcPr>
          <w:p w:rsidR="00C01A94" w:rsidRPr="00C903F8" w:rsidRDefault="00C01A94" w:rsidP="00C01A94">
            <w:pPr>
              <w:spacing w:before="100" w:after="10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00" w:after="100" w:line="240" w:lineRule="atLeast"/>
              <w:ind w:left="0" w:firstLine="0"/>
              <w:rPr>
                <w:rFonts w:cs="Arial"/>
                <w:sz w:val="18"/>
                <w:szCs w:val="18"/>
              </w:rPr>
            </w:pPr>
            <w:r>
              <w:rPr>
                <w:sz w:val="18"/>
              </w:rPr>
              <w:t>paragrafo 9</w:t>
            </w:r>
          </w:p>
        </w:tc>
        <w:tc>
          <w:tcPr>
            <w:tcW w:w="3296" w:type="dxa"/>
            <w:shd w:val="clear" w:color="auto" w:fill="auto"/>
          </w:tcPr>
          <w:p w:rsidR="00C01A94" w:rsidRPr="000C0B7A" w:rsidRDefault="00C01A94" w:rsidP="00C01A94">
            <w:pPr>
              <w:adjustRightInd w:val="0"/>
              <w:spacing w:before="100" w:after="100" w:line="240" w:lineRule="atLeast"/>
              <w:ind w:left="0" w:firstLine="0"/>
              <w:jc w:val="left"/>
              <w:rPr>
                <w:rFonts w:cs="Arial"/>
                <w:sz w:val="18"/>
                <w:szCs w:val="18"/>
              </w:rPr>
            </w:pPr>
            <w:r>
              <w:rPr>
                <w:sz w:val="18"/>
              </w:rPr>
              <w:t>Controllo</w:t>
            </w:r>
          </w:p>
        </w:tc>
        <w:tc>
          <w:tcPr>
            <w:tcW w:w="6521" w:type="dxa"/>
            <w:shd w:val="clear" w:color="auto" w:fill="auto"/>
          </w:tcPr>
          <w:p w:rsidR="00C01A94" w:rsidRDefault="00F91AFF" w:rsidP="00C01A94">
            <w:pPr>
              <w:spacing w:before="100" w:after="10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C01A94">
            <w:pPr>
              <w:spacing w:before="100" w:after="100" w:line="240" w:lineRule="atLeast"/>
              <w:ind w:left="0" w:firstLine="0"/>
              <w:jc w:val="center"/>
              <w:rPr>
                <w:rFonts w:cs="Arial"/>
                <w:sz w:val="18"/>
                <w:szCs w:val="18"/>
              </w:rPr>
            </w:pPr>
          </w:p>
        </w:tc>
      </w:tr>
      <w:tr w:rsidR="00C01A94" w:rsidRPr="00C903F8" w:rsidTr="00196FBC">
        <w:trPr>
          <w:cantSplit/>
          <w:jc w:val="center"/>
        </w:trPr>
        <w:tc>
          <w:tcPr>
            <w:tcW w:w="1342" w:type="dxa"/>
            <w:vMerge/>
            <w:shd w:val="clear" w:color="auto" w:fill="auto"/>
          </w:tcPr>
          <w:p w:rsidR="00C01A94" w:rsidRPr="00C903F8" w:rsidRDefault="00C01A94" w:rsidP="00C01A94">
            <w:pPr>
              <w:spacing w:before="100" w:after="10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00" w:after="100" w:line="240" w:lineRule="atLeast"/>
              <w:ind w:left="0" w:firstLine="0"/>
              <w:rPr>
                <w:rFonts w:cs="Arial"/>
                <w:sz w:val="18"/>
                <w:szCs w:val="18"/>
              </w:rPr>
            </w:pPr>
            <w:r>
              <w:rPr>
                <w:sz w:val="18"/>
              </w:rPr>
              <w:t>paragrafo 10</w:t>
            </w:r>
          </w:p>
        </w:tc>
        <w:tc>
          <w:tcPr>
            <w:tcW w:w="3296" w:type="dxa"/>
            <w:shd w:val="clear" w:color="auto" w:fill="auto"/>
          </w:tcPr>
          <w:p w:rsidR="00C01A94" w:rsidRPr="000C0B7A" w:rsidRDefault="00C01A94" w:rsidP="00C01A94">
            <w:pPr>
              <w:adjustRightInd w:val="0"/>
              <w:spacing w:before="100" w:after="100" w:line="240" w:lineRule="atLeast"/>
              <w:ind w:left="0" w:firstLine="0"/>
              <w:jc w:val="left"/>
              <w:rPr>
                <w:rFonts w:cs="Arial"/>
                <w:sz w:val="18"/>
                <w:szCs w:val="18"/>
              </w:rPr>
            </w:pPr>
            <w:r>
              <w:rPr>
                <w:sz w:val="18"/>
              </w:rPr>
              <w:t>Esame del tipo</w:t>
            </w:r>
          </w:p>
        </w:tc>
        <w:tc>
          <w:tcPr>
            <w:tcW w:w="6521" w:type="dxa"/>
            <w:shd w:val="clear" w:color="auto" w:fill="auto"/>
          </w:tcPr>
          <w:p w:rsidR="00C01A94" w:rsidRDefault="00F91AFF" w:rsidP="00C01A94">
            <w:pPr>
              <w:spacing w:before="100" w:after="10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C01A94">
            <w:pPr>
              <w:spacing w:before="100" w:after="100" w:line="240" w:lineRule="atLeast"/>
              <w:ind w:left="0" w:firstLine="0"/>
              <w:jc w:val="center"/>
              <w:rPr>
                <w:rFonts w:cs="Arial"/>
                <w:sz w:val="18"/>
                <w:szCs w:val="18"/>
              </w:rPr>
            </w:pPr>
          </w:p>
        </w:tc>
      </w:tr>
      <w:tr w:rsidR="00C01A94" w:rsidRPr="00C903F8" w:rsidTr="00196FBC">
        <w:trPr>
          <w:cantSplit/>
          <w:jc w:val="center"/>
        </w:trPr>
        <w:tc>
          <w:tcPr>
            <w:tcW w:w="1342" w:type="dxa"/>
            <w:shd w:val="clear" w:color="auto" w:fill="auto"/>
          </w:tcPr>
          <w:p w:rsidR="00C01A94" w:rsidRPr="004B4203" w:rsidRDefault="00C01A94" w:rsidP="00B74390">
            <w:pPr>
              <w:spacing w:before="60" w:after="60" w:line="240" w:lineRule="atLeast"/>
              <w:rPr>
                <w:rFonts w:cs="Arial"/>
                <w:sz w:val="18"/>
                <w:szCs w:val="18"/>
              </w:rPr>
            </w:pPr>
            <w:r>
              <w:rPr>
                <w:sz w:val="18"/>
              </w:rPr>
              <w:t>10.19</w:t>
            </w:r>
          </w:p>
        </w:tc>
        <w:tc>
          <w:tcPr>
            <w:tcW w:w="1458" w:type="dxa"/>
            <w:shd w:val="clear" w:color="auto" w:fill="auto"/>
          </w:tcPr>
          <w:p w:rsidR="00C01A94" w:rsidRPr="00852DB3" w:rsidRDefault="00C01A94" w:rsidP="00B74390">
            <w:pPr>
              <w:spacing w:before="60" w:after="60" w:line="240" w:lineRule="atLeast"/>
              <w:rPr>
                <w:rFonts w:cs="Arial"/>
                <w:sz w:val="18"/>
                <w:szCs w:val="18"/>
              </w:rPr>
            </w:pPr>
          </w:p>
        </w:tc>
        <w:tc>
          <w:tcPr>
            <w:tcW w:w="3296" w:type="dxa"/>
            <w:shd w:val="clear" w:color="auto" w:fill="auto"/>
          </w:tcPr>
          <w:p w:rsidR="00C01A94" w:rsidRPr="003F5E4D" w:rsidRDefault="00C01A94" w:rsidP="00B74390">
            <w:pPr>
              <w:adjustRightInd w:val="0"/>
              <w:spacing w:before="60" w:after="60" w:line="240" w:lineRule="atLeast"/>
              <w:ind w:left="0" w:firstLine="0"/>
              <w:jc w:val="left"/>
              <w:rPr>
                <w:rFonts w:cs="Arial"/>
                <w:sz w:val="18"/>
                <w:szCs w:val="18"/>
              </w:rPr>
            </w:pPr>
            <w:r>
              <w:rPr>
                <w:sz w:val="18"/>
              </w:rPr>
              <w:t xml:space="preserve">Sistemi d'allarme e di sicurezza per gli impianti meccanici </w:t>
            </w:r>
          </w:p>
        </w:tc>
        <w:tc>
          <w:tcPr>
            <w:tcW w:w="6521" w:type="dxa"/>
            <w:shd w:val="clear" w:color="auto" w:fill="auto"/>
          </w:tcPr>
          <w:p w:rsidR="00C01A94" w:rsidRPr="00852DB3" w:rsidRDefault="00C01A94" w:rsidP="00B74390">
            <w:pPr>
              <w:spacing w:before="60" w:after="6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B74390">
            <w:pPr>
              <w:spacing w:before="60" w:after="60" w:line="240" w:lineRule="atLeast"/>
              <w:jc w:val="center"/>
              <w:rPr>
                <w:rFonts w:cs="Arial"/>
                <w:sz w:val="18"/>
                <w:szCs w:val="18"/>
              </w:rPr>
            </w:pPr>
            <w:r>
              <w:rPr>
                <w:sz w:val="18"/>
              </w:rPr>
              <w:t>1.1.2015</w:t>
            </w:r>
          </w:p>
        </w:tc>
      </w:tr>
      <w:tr w:rsidR="00C01A94" w:rsidRPr="00C903F8" w:rsidTr="00196FBC">
        <w:trPr>
          <w:cantSplit/>
          <w:jc w:val="center"/>
        </w:trPr>
        <w:tc>
          <w:tcPr>
            <w:tcW w:w="1342" w:type="dxa"/>
            <w:shd w:val="clear" w:color="auto" w:fill="auto"/>
          </w:tcPr>
          <w:p w:rsidR="00C01A94" w:rsidRPr="004B4203" w:rsidRDefault="00C01A94" w:rsidP="00B74390">
            <w:pPr>
              <w:spacing w:before="60" w:after="60" w:line="240" w:lineRule="atLeast"/>
              <w:rPr>
                <w:rFonts w:cs="Arial"/>
                <w:sz w:val="18"/>
                <w:szCs w:val="18"/>
              </w:rPr>
            </w:pPr>
            <w:r>
              <w:rPr>
                <w:sz w:val="18"/>
              </w:rPr>
              <w:t>10.20</w:t>
            </w:r>
          </w:p>
        </w:tc>
        <w:tc>
          <w:tcPr>
            <w:tcW w:w="1458" w:type="dxa"/>
            <w:shd w:val="clear" w:color="auto" w:fill="auto"/>
          </w:tcPr>
          <w:p w:rsidR="00C01A94" w:rsidRPr="00852DB3" w:rsidRDefault="00C01A94" w:rsidP="00B74390">
            <w:pPr>
              <w:spacing w:before="60" w:after="60" w:line="240" w:lineRule="atLeast"/>
              <w:rPr>
                <w:rFonts w:cs="Arial"/>
                <w:sz w:val="18"/>
                <w:szCs w:val="18"/>
              </w:rPr>
            </w:pPr>
          </w:p>
        </w:tc>
        <w:tc>
          <w:tcPr>
            <w:tcW w:w="3296" w:type="dxa"/>
            <w:shd w:val="clear" w:color="auto" w:fill="auto"/>
          </w:tcPr>
          <w:p w:rsidR="00C01A94" w:rsidRPr="003F5E4D" w:rsidRDefault="00C01A94" w:rsidP="00B74390">
            <w:pPr>
              <w:adjustRightInd w:val="0"/>
              <w:spacing w:before="60" w:after="60" w:line="240" w:lineRule="atLeast"/>
              <w:ind w:left="0" w:firstLine="0"/>
              <w:jc w:val="left"/>
              <w:rPr>
                <w:rFonts w:cs="Arial"/>
                <w:sz w:val="18"/>
                <w:szCs w:val="18"/>
              </w:rPr>
            </w:pPr>
            <w:r>
              <w:rPr>
                <w:sz w:val="18"/>
              </w:rPr>
              <w:t>Condizioni delle prove per gli impianti elettronici</w:t>
            </w:r>
          </w:p>
        </w:tc>
        <w:tc>
          <w:tcPr>
            <w:tcW w:w="6521" w:type="dxa"/>
            <w:shd w:val="clear" w:color="auto" w:fill="auto"/>
          </w:tcPr>
          <w:p w:rsidR="00C01A94" w:rsidRPr="00852DB3" w:rsidRDefault="00C01A94" w:rsidP="00B74390">
            <w:pPr>
              <w:spacing w:before="60" w:after="6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B74390">
            <w:pPr>
              <w:spacing w:before="60" w:after="60" w:line="240" w:lineRule="atLeast"/>
              <w:jc w:val="center"/>
              <w:rPr>
                <w:rFonts w:cs="Arial"/>
                <w:sz w:val="18"/>
                <w:szCs w:val="18"/>
              </w:rPr>
            </w:pPr>
            <w:r>
              <w:rPr>
                <w:sz w:val="18"/>
              </w:rPr>
              <w:t>1.1.2035</w:t>
            </w:r>
          </w:p>
        </w:tc>
      </w:tr>
      <w:tr w:rsidR="00C01A94" w:rsidRPr="00C903F8" w:rsidTr="00196FBC">
        <w:trPr>
          <w:cantSplit/>
          <w:jc w:val="center"/>
        </w:trPr>
        <w:tc>
          <w:tcPr>
            <w:tcW w:w="1342" w:type="dxa"/>
            <w:shd w:val="clear" w:color="auto" w:fill="auto"/>
          </w:tcPr>
          <w:p w:rsidR="00C01A94" w:rsidRPr="004B4203" w:rsidRDefault="00C01A94" w:rsidP="00B74390">
            <w:pPr>
              <w:spacing w:before="60" w:after="60" w:line="240" w:lineRule="atLeast"/>
              <w:rPr>
                <w:rFonts w:cs="Arial"/>
                <w:sz w:val="18"/>
                <w:szCs w:val="18"/>
              </w:rPr>
            </w:pPr>
            <w:r>
              <w:rPr>
                <w:sz w:val="18"/>
              </w:rPr>
              <w:t>10.21</w:t>
            </w:r>
          </w:p>
        </w:tc>
        <w:tc>
          <w:tcPr>
            <w:tcW w:w="1458" w:type="dxa"/>
            <w:shd w:val="clear" w:color="auto" w:fill="auto"/>
          </w:tcPr>
          <w:p w:rsidR="00C01A94" w:rsidRPr="00852DB3" w:rsidRDefault="00C01A94" w:rsidP="00B74390">
            <w:pPr>
              <w:spacing w:before="60" w:after="60" w:line="240" w:lineRule="atLeast"/>
              <w:rPr>
                <w:rFonts w:cs="Arial"/>
                <w:sz w:val="18"/>
                <w:szCs w:val="18"/>
              </w:rPr>
            </w:pPr>
          </w:p>
        </w:tc>
        <w:tc>
          <w:tcPr>
            <w:tcW w:w="3296" w:type="dxa"/>
            <w:shd w:val="clear" w:color="auto" w:fill="auto"/>
          </w:tcPr>
          <w:p w:rsidR="00C01A94" w:rsidRPr="00852DB3" w:rsidRDefault="00C01A94" w:rsidP="00B74390">
            <w:pPr>
              <w:adjustRightInd w:val="0"/>
              <w:spacing w:before="60" w:after="60" w:line="240" w:lineRule="atLeast"/>
              <w:ind w:left="0" w:firstLine="0"/>
              <w:jc w:val="left"/>
              <w:rPr>
                <w:rFonts w:cs="Arial"/>
                <w:sz w:val="18"/>
                <w:szCs w:val="18"/>
              </w:rPr>
            </w:pPr>
            <w:r>
              <w:rPr>
                <w:sz w:val="18"/>
              </w:rPr>
              <w:t>Compatibilità elettromagnetica</w:t>
            </w:r>
          </w:p>
        </w:tc>
        <w:tc>
          <w:tcPr>
            <w:tcW w:w="6521" w:type="dxa"/>
            <w:shd w:val="clear" w:color="auto" w:fill="auto"/>
          </w:tcPr>
          <w:p w:rsidR="00C01A94" w:rsidRPr="00852DB3" w:rsidRDefault="00C01A94" w:rsidP="00B74390">
            <w:pPr>
              <w:spacing w:before="60" w:after="60" w:line="240" w:lineRule="atLeast"/>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852DB3" w:rsidRDefault="00C01A94" w:rsidP="00B74390">
            <w:pPr>
              <w:spacing w:before="60" w:after="60" w:line="240" w:lineRule="atLeast"/>
              <w:jc w:val="center"/>
              <w:rPr>
                <w:rFonts w:cs="Arial"/>
                <w:sz w:val="18"/>
                <w:szCs w:val="18"/>
              </w:rPr>
            </w:pPr>
            <w:r>
              <w:rPr>
                <w:sz w:val="18"/>
              </w:rPr>
              <w:t>1.1.2035</w:t>
            </w:r>
          </w:p>
        </w:tc>
      </w:tr>
      <w:tr w:rsidR="00C01A94" w:rsidRPr="00C903F8" w:rsidTr="00196FBC">
        <w:trPr>
          <w:cantSplit/>
          <w:jc w:val="center"/>
        </w:trPr>
        <w:tc>
          <w:tcPr>
            <w:tcW w:w="6096" w:type="dxa"/>
            <w:gridSpan w:val="3"/>
            <w:shd w:val="clear" w:color="auto" w:fill="auto"/>
          </w:tcPr>
          <w:p w:rsidR="00C01A94" w:rsidRPr="00C903F8" w:rsidRDefault="00C01A94" w:rsidP="00B74390">
            <w:pPr>
              <w:spacing w:before="60" w:after="60" w:line="240" w:lineRule="atLeast"/>
              <w:ind w:left="0" w:firstLine="0"/>
              <w:jc w:val="center"/>
              <w:rPr>
                <w:rFonts w:cs="Arial"/>
                <w:sz w:val="18"/>
                <w:szCs w:val="18"/>
              </w:rPr>
            </w:pPr>
            <w:r>
              <w:rPr>
                <w:b/>
                <w:sz w:val="18"/>
              </w:rPr>
              <w:t>CAPO 13</w:t>
            </w:r>
          </w:p>
        </w:tc>
        <w:tc>
          <w:tcPr>
            <w:tcW w:w="6521" w:type="dxa"/>
            <w:shd w:val="clear" w:color="auto" w:fill="auto"/>
          </w:tcPr>
          <w:p w:rsidR="00C01A94" w:rsidRPr="00C903F8" w:rsidRDefault="00C01A94" w:rsidP="00B74390">
            <w:pPr>
              <w:spacing w:before="60" w:after="60" w:line="240" w:lineRule="atLeast"/>
              <w:ind w:left="0" w:firstLine="0"/>
              <w:rPr>
                <w:rFonts w:cs="Arial"/>
                <w:sz w:val="18"/>
                <w:szCs w:val="18"/>
              </w:rPr>
            </w:pPr>
          </w:p>
        </w:tc>
        <w:tc>
          <w:tcPr>
            <w:tcW w:w="1276" w:type="dxa"/>
            <w:shd w:val="clear" w:color="auto" w:fill="auto"/>
          </w:tcPr>
          <w:p w:rsidR="00C01A94" w:rsidRPr="00C903F8" w:rsidRDefault="00C01A94" w:rsidP="00B74390">
            <w:pPr>
              <w:spacing w:before="60" w:after="60" w:line="240" w:lineRule="atLeast"/>
              <w:ind w:left="0" w:firstLine="0"/>
              <w:rPr>
                <w:rFonts w:cs="Arial"/>
                <w:sz w:val="18"/>
                <w:szCs w:val="18"/>
              </w:rPr>
            </w:pPr>
          </w:p>
        </w:tc>
      </w:tr>
      <w:tr w:rsidR="00C01A94" w:rsidRPr="00C903F8" w:rsidTr="00196FBC">
        <w:trPr>
          <w:cantSplit/>
          <w:jc w:val="center"/>
        </w:trPr>
        <w:tc>
          <w:tcPr>
            <w:tcW w:w="1342" w:type="dxa"/>
            <w:tcBorders>
              <w:bottom w:val="single" w:sz="4" w:space="0" w:color="auto"/>
            </w:tcBorders>
            <w:shd w:val="clear" w:color="auto" w:fill="auto"/>
          </w:tcPr>
          <w:p w:rsidR="00C01A94" w:rsidRPr="00C903F8" w:rsidRDefault="00C01A94" w:rsidP="00B74390">
            <w:pPr>
              <w:spacing w:before="60" w:after="60" w:line="240" w:lineRule="atLeast"/>
              <w:ind w:left="0" w:firstLine="0"/>
              <w:rPr>
                <w:rFonts w:cs="Arial"/>
                <w:sz w:val="18"/>
                <w:szCs w:val="18"/>
              </w:rPr>
            </w:pPr>
            <w:r>
              <w:rPr>
                <w:sz w:val="18"/>
              </w:rPr>
              <w:t>13.01</w:t>
            </w:r>
          </w:p>
        </w:tc>
        <w:tc>
          <w:tcPr>
            <w:tcW w:w="1458" w:type="dxa"/>
            <w:shd w:val="clear" w:color="auto" w:fill="auto"/>
          </w:tcPr>
          <w:p w:rsidR="00C01A94" w:rsidRPr="00C903F8" w:rsidRDefault="00C01A94" w:rsidP="00B74390">
            <w:pPr>
              <w:spacing w:before="60" w:after="60" w:line="240" w:lineRule="atLeast"/>
              <w:ind w:left="0" w:firstLine="0"/>
              <w:rPr>
                <w:rFonts w:cs="Arial"/>
                <w:sz w:val="18"/>
                <w:szCs w:val="18"/>
              </w:rPr>
            </w:pPr>
          </w:p>
        </w:tc>
        <w:tc>
          <w:tcPr>
            <w:tcW w:w="3296" w:type="dxa"/>
            <w:shd w:val="clear" w:color="auto" w:fill="auto"/>
          </w:tcPr>
          <w:p w:rsidR="00C01A94" w:rsidRPr="00C903F8" w:rsidRDefault="00C01A94" w:rsidP="00B74390">
            <w:pPr>
              <w:spacing w:before="60" w:after="60" w:line="240" w:lineRule="atLeast"/>
              <w:ind w:left="0" w:firstLine="0"/>
              <w:rPr>
                <w:rFonts w:cs="Arial"/>
                <w:sz w:val="18"/>
                <w:szCs w:val="18"/>
              </w:rPr>
            </w:pPr>
            <w:r>
              <w:rPr>
                <w:noProof/>
                <w:sz w:val="18"/>
              </w:rPr>
              <w:t>Dispositivi di ancoraggio</w:t>
            </w:r>
          </w:p>
        </w:tc>
        <w:tc>
          <w:tcPr>
            <w:tcW w:w="6521" w:type="dxa"/>
            <w:shd w:val="clear" w:color="auto" w:fill="auto"/>
          </w:tcPr>
          <w:p w:rsidR="00C01A94" w:rsidRPr="00C903F8" w:rsidRDefault="00C01A94" w:rsidP="00B74390">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60" w:after="60" w:line="240" w:lineRule="atLeast"/>
              <w:ind w:left="0" w:firstLine="0"/>
              <w:rPr>
                <w:rFonts w:cs="Arial"/>
                <w:sz w:val="18"/>
                <w:szCs w:val="18"/>
              </w:rPr>
            </w:pPr>
            <w:r>
              <w:rPr>
                <w:sz w:val="18"/>
              </w:rPr>
              <w:t>1.1.2010</w:t>
            </w:r>
          </w:p>
        </w:tc>
      </w:tr>
      <w:tr w:rsidR="00C01A94" w:rsidRPr="00A0619C" w:rsidTr="0063563D">
        <w:trPr>
          <w:cantSplit/>
          <w:jc w:val="center"/>
        </w:trPr>
        <w:tc>
          <w:tcPr>
            <w:tcW w:w="1342" w:type="dxa"/>
            <w:tcBorders>
              <w:bottom w:val="nil"/>
            </w:tcBorders>
            <w:shd w:val="clear" w:color="auto" w:fill="auto"/>
          </w:tcPr>
          <w:p w:rsidR="00C01A94" w:rsidRPr="00C903F8" w:rsidRDefault="00C01A94" w:rsidP="00B74390">
            <w:pPr>
              <w:spacing w:before="60" w:after="60" w:line="240" w:lineRule="atLeast"/>
              <w:ind w:left="0" w:firstLine="0"/>
              <w:rPr>
                <w:rFonts w:cs="Arial"/>
                <w:sz w:val="18"/>
                <w:szCs w:val="18"/>
              </w:rPr>
            </w:pPr>
            <w:r>
              <w:rPr>
                <w:sz w:val="18"/>
              </w:rPr>
              <w:t>13.02</w:t>
            </w:r>
          </w:p>
        </w:tc>
        <w:tc>
          <w:tcPr>
            <w:tcW w:w="1458" w:type="dxa"/>
            <w:tcBorders>
              <w:bottom w:val="single" w:sz="4" w:space="0" w:color="auto"/>
            </w:tcBorders>
            <w:shd w:val="clear" w:color="auto" w:fill="auto"/>
          </w:tcPr>
          <w:p w:rsidR="00C01A94" w:rsidRPr="00C903F8" w:rsidRDefault="00C01A94" w:rsidP="00B74390">
            <w:pPr>
              <w:spacing w:before="60" w:after="60" w:line="240" w:lineRule="atLeast"/>
              <w:ind w:left="0" w:firstLine="0"/>
              <w:rPr>
                <w:rFonts w:cs="Arial"/>
                <w:sz w:val="18"/>
                <w:szCs w:val="18"/>
              </w:rPr>
            </w:pPr>
            <w:r>
              <w:rPr>
                <w:sz w:val="18"/>
              </w:rPr>
              <w:t>paragrafo 2, lettera b)</w:t>
            </w:r>
          </w:p>
        </w:tc>
        <w:tc>
          <w:tcPr>
            <w:tcW w:w="3296" w:type="dxa"/>
            <w:tcBorders>
              <w:bottom w:val="single" w:sz="4" w:space="0" w:color="auto"/>
            </w:tcBorders>
            <w:shd w:val="clear" w:color="auto" w:fill="auto"/>
          </w:tcPr>
          <w:p w:rsidR="00C01A94" w:rsidRPr="00C903F8" w:rsidRDefault="00C01A94" w:rsidP="00B74390">
            <w:pPr>
              <w:spacing w:before="60" w:after="60" w:line="240" w:lineRule="atLeast"/>
              <w:ind w:left="0" w:firstLine="0"/>
              <w:rPr>
                <w:rFonts w:cs="Arial"/>
                <w:sz w:val="18"/>
                <w:szCs w:val="18"/>
              </w:rPr>
            </w:pPr>
            <w:r>
              <w:rPr>
                <w:noProof/>
                <w:sz w:val="18"/>
              </w:rPr>
              <w:t>Recipienti in acciaio o in altro materiale solido e non infiammabile, in grado di contenere almeno 10 litri</w:t>
            </w:r>
          </w:p>
        </w:tc>
        <w:tc>
          <w:tcPr>
            <w:tcW w:w="6521" w:type="dxa"/>
            <w:shd w:val="clear" w:color="auto" w:fill="auto"/>
          </w:tcPr>
          <w:p w:rsidR="00C01A94" w:rsidRPr="00C903F8" w:rsidRDefault="00C01A94" w:rsidP="00B74390">
            <w:pPr>
              <w:spacing w:before="60" w:after="6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C01A94" w:rsidRPr="00C903F8" w:rsidRDefault="00C01A94" w:rsidP="00B74390">
            <w:pPr>
              <w:spacing w:before="60" w:after="60" w:line="240" w:lineRule="atLeast"/>
              <w:ind w:left="0" w:firstLine="0"/>
              <w:rPr>
                <w:rFonts w:cs="Arial"/>
                <w:sz w:val="18"/>
                <w:szCs w:val="18"/>
              </w:rPr>
            </w:pPr>
          </w:p>
        </w:tc>
      </w:tr>
      <w:tr w:rsidR="00C01A94" w:rsidRPr="00C903F8" w:rsidTr="00196FBC">
        <w:trPr>
          <w:cantSplit/>
          <w:jc w:val="center"/>
        </w:trPr>
        <w:tc>
          <w:tcPr>
            <w:tcW w:w="1342" w:type="dxa"/>
            <w:tcBorders>
              <w:bottom w:val="nil"/>
            </w:tcBorders>
            <w:shd w:val="clear" w:color="auto" w:fill="auto"/>
          </w:tcPr>
          <w:p w:rsidR="00C01A94" w:rsidRPr="00C903F8" w:rsidRDefault="00C01A94" w:rsidP="00B74390">
            <w:pPr>
              <w:spacing w:before="60" w:after="60" w:line="240" w:lineRule="atLeast"/>
              <w:ind w:left="0" w:firstLine="0"/>
              <w:rPr>
                <w:rFonts w:cs="Arial"/>
                <w:sz w:val="18"/>
                <w:szCs w:val="18"/>
              </w:rPr>
            </w:pPr>
            <w:r>
              <w:rPr>
                <w:sz w:val="18"/>
              </w:rPr>
              <w:lastRenderedPageBreak/>
              <w:t>13.03</w:t>
            </w:r>
          </w:p>
        </w:tc>
        <w:tc>
          <w:tcPr>
            <w:tcW w:w="1458" w:type="dxa"/>
            <w:shd w:val="clear" w:color="auto" w:fill="auto"/>
          </w:tcPr>
          <w:p w:rsidR="00C01A94" w:rsidRPr="00C903F8" w:rsidRDefault="00C01A94" w:rsidP="00B74390">
            <w:pPr>
              <w:spacing w:before="60" w:after="60" w:line="240" w:lineRule="atLeast"/>
              <w:ind w:left="0" w:firstLine="0"/>
              <w:rPr>
                <w:rFonts w:cs="Arial"/>
                <w:sz w:val="18"/>
                <w:szCs w:val="18"/>
              </w:rPr>
            </w:pPr>
            <w:r>
              <w:rPr>
                <w:sz w:val="18"/>
              </w:rPr>
              <w:t>paragrafo 1</w:t>
            </w:r>
          </w:p>
        </w:tc>
        <w:tc>
          <w:tcPr>
            <w:tcW w:w="3296" w:type="dxa"/>
            <w:shd w:val="clear" w:color="auto" w:fill="auto"/>
          </w:tcPr>
          <w:p w:rsidR="00C01A94" w:rsidRPr="00C903F8" w:rsidRDefault="00C01A94" w:rsidP="00B74390">
            <w:pPr>
              <w:spacing w:before="60" w:after="60" w:line="240" w:lineRule="atLeast"/>
              <w:ind w:left="0" w:firstLine="0"/>
              <w:rPr>
                <w:rFonts w:cs="Arial"/>
                <w:sz w:val="18"/>
                <w:szCs w:val="18"/>
              </w:rPr>
            </w:pPr>
            <w:r>
              <w:rPr>
                <w:noProof/>
                <w:sz w:val="18"/>
              </w:rPr>
              <w:t>Norma europea</w:t>
            </w:r>
          </w:p>
        </w:tc>
        <w:tc>
          <w:tcPr>
            <w:tcW w:w="6521" w:type="dxa"/>
            <w:shd w:val="clear" w:color="auto" w:fill="auto"/>
          </w:tcPr>
          <w:p w:rsidR="00C01A94" w:rsidRPr="00C903F8" w:rsidRDefault="00C01A94" w:rsidP="00B74390">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60" w:after="60" w:line="240" w:lineRule="atLeast"/>
              <w:ind w:left="0" w:firstLine="0"/>
              <w:rPr>
                <w:rFonts w:cs="Arial"/>
                <w:sz w:val="18"/>
                <w:szCs w:val="18"/>
              </w:rPr>
            </w:pPr>
            <w:r>
              <w:rPr>
                <w:sz w:val="18"/>
              </w:rPr>
              <w:t>1.1.2010</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60" w:after="60" w:line="240" w:lineRule="atLeast"/>
              <w:ind w:left="0" w:firstLine="0"/>
              <w:rPr>
                <w:rFonts w:cs="Arial"/>
                <w:sz w:val="18"/>
                <w:szCs w:val="18"/>
              </w:rPr>
            </w:pPr>
            <w:r>
              <w:rPr>
                <w:sz w:val="18"/>
              </w:rPr>
              <w:t>paragrafo 2</w:t>
            </w:r>
          </w:p>
        </w:tc>
        <w:tc>
          <w:tcPr>
            <w:tcW w:w="3296" w:type="dxa"/>
            <w:shd w:val="clear" w:color="auto" w:fill="auto"/>
          </w:tcPr>
          <w:p w:rsidR="00C01A94" w:rsidRPr="00C903F8" w:rsidRDefault="00C01A94" w:rsidP="00B74390">
            <w:pPr>
              <w:spacing w:before="60" w:after="60" w:line="240" w:lineRule="atLeast"/>
              <w:ind w:left="0" w:firstLine="0"/>
              <w:rPr>
                <w:rFonts w:cs="Arial"/>
                <w:sz w:val="18"/>
                <w:szCs w:val="18"/>
              </w:rPr>
            </w:pPr>
            <w:r>
              <w:rPr>
                <w:noProof/>
                <w:sz w:val="18"/>
              </w:rPr>
              <w:t>Idoneità contro i fuochi delle classi A, B e C</w:t>
            </w:r>
          </w:p>
        </w:tc>
        <w:tc>
          <w:tcPr>
            <w:tcW w:w="6521" w:type="dxa"/>
            <w:shd w:val="clear" w:color="auto" w:fill="auto"/>
          </w:tcPr>
          <w:p w:rsidR="00C01A94" w:rsidRPr="00C903F8" w:rsidRDefault="00C01A94" w:rsidP="00B74390">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60" w:after="60" w:line="240" w:lineRule="atLeast"/>
              <w:ind w:left="0" w:firstLine="0"/>
              <w:rPr>
                <w:rFonts w:cs="Arial"/>
                <w:sz w:val="18"/>
                <w:szCs w:val="18"/>
              </w:rPr>
            </w:pPr>
            <w:r>
              <w:rPr>
                <w:sz w:val="18"/>
              </w:rPr>
              <w:t>1.1.2010</w:t>
            </w:r>
          </w:p>
        </w:tc>
      </w:tr>
      <w:tr w:rsidR="00C01A94" w:rsidRPr="00C903F8" w:rsidTr="00196FBC">
        <w:trPr>
          <w:cantSplit/>
          <w:jc w:val="center"/>
        </w:trPr>
        <w:tc>
          <w:tcPr>
            <w:tcW w:w="1342" w:type="dxa"/>
            <w:tcBorders>
              <w:top w:val="nil"/>
            </w:tcBorders>
            <w:shd w:val="clear" w:color="auto" w:fill="auto"/>
          </w:tcPr>
          <w:p w:rsidR="00C01A94" w:rsidRPr="00C903F8" w:rsidRDefault="00C01A94" w:rsidP="00B74390">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60" w:after="60" w:line="240" w:lineRule="atLeast"/>
              <w:ind w:left="0" w:firstLine="0"/>
              <w:rPr>
                <w:rFonts w:cs="Arial"/>
                <w:sz w:val="18"/>
                <w:szCs w:val="18"/>
              </w:rPr>
            </w:pPr>
            <w:r>
              <w:rPr>
                <w:sz w:val="18"/>
              </w:rPr>
              <w:t>paragrafo 4</w:t>
            </w:r>
          </w:p>
        </w:tc>
        <w:tc>
          <w:tcPr>
            <w:tcW w:w="3296" w:type="dxa"/>
            <w:shd w:val="clear" w:color="auto" w:fill="auto"/>
          </w:tcPr>
          <w:p w:rsidR="00C01A94" w:rsidRPr="00C903F8" w:rsidRDefault="00C01A94" w:rsidP="00B74390">
            <w:pPr>
              <w:spacing w:before="60" w:after="60" w:line="240" w:lineRule="atLeast"/>
              <w:ind w:left="0" w:firstLine="0"/>
              <w:rPr>
                <w:rFonts w:cs="Arial"/>
                <w:sz w:val="18"/>
                <w:szCs w:val="18"/>
              </w:rPr>
            </w:pPr>
            <w:r>
              <w:rPr>
                <w:noProof/>
                <w:sz w:val="18"/>
              </w:rPr>
              <w:t>Rapporto fra contenuto di CO</w:t>
            </w:r>
            <w:r>
              <w:rPr>
                <w:noProof/>
                <w:sz w:val="18"/>
                <w:vertAlign w:val="subscript"/>
              </w:rPr>
              <w:t>2</w:t>
            </w:r>
            <w:r>
              <w:rPr>
                <w:noProof/>
                <w:sz w:val="18"/>
              </w:rPr>
              <w:t xml:space="preserve"> e dimensioni del locale</w:t>
            </w:r>
          </w:p>
        </w:tc>
        <w:tc>
          <w:tcPr>
            <w:tcW w:w="6521" w:type="dxa"/>
            <w:shd w:val="clear" w:color="auto" w:fill="auto"/>
          </w:tcPr>
          <w:p w:rsidR="00C01A94" w:rsidRPr="00C903F8" w:rsidRDefault="00C01A94" w:rsidP="00B74390">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60" w:after="60" w:line="240" w:lineRule="atLeast"/>
              <w:ind w:left="0" w:firstLine="0"/>
              <w:rPr>
                <w:rFonts w:cs="Arial"/>
                <w:sz w:val="18"/>
                <w:szCs w:val="18"/>
              </w:rPr>
            </w:pPr>
            <w:r>
              <w:rPr>
                <w:sz w:val="18"/>
              </w:rPr>
              <w:t>1.1.2010</w:t>
            </w:r>
          </w:p>
        </w:tc>
      </w:tr>
      <w:tr w:rsidR="00C01A94" w:rsidRPr="00C903F8" w:rsidTr="00196FBC">
        <w:trPr>
          <w:cantSplit/>
          <w:jc w:val="center"/>
        </w:trPr>
        <w:tc>
          <w:tcPr>
            <w:tcW w:w="1342"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13.04</w:t>
            </w: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3296" w:type="dxa"/>
            <w:shd w:val="clear" w:color="auto" w:fill="auto"/>
          </w:tcPr>
          <w:p w:rsidR="00C01A94" w:rsidRPr="00C903F8" w:rsidRDefault="00C01A94" w:rsidP="00C01A94">
            <w:pPr>
              <w:spacing w:before="120" w:after="120" w:line="240" w:lineRule="atLeast"/>
              <w:ind w:left="0" w:firstLine="0"/>
              <w:rPr>
                <w:rFonts w:cs="Arial"/>
                <w:sz w:val="18"/>
                <w:szCs w:val="18"/>
              </w:rPr>
            </w:pPr>
            <w:r>
              <w:rPr>
                <w:noProof/>
                <w:sz w:val="18"/>
              </w:rPr>
              <w:t>Sistemi antincendio fissi negli alloggi, nelle timonerie e nei locali per i passeggeri</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1.1.2035</w:t>
            </w:r>
          </w:p>
        </w:tc>
      </w:tr>
      <w:tr w:rsidR="00C01A94" w:rsidRPr="00A0619C" w:rsidTr="00196FBC">
        <w:trPr>
          <w:cantSplit/>
          <w:jc w:val="center"/>
        </w:trPr>
        <w:tc>
          <w:tcPr>
            <w:tcW w:w="1342" w:type="dxa"/>
            <w:shd w:val="clear" w:color="auto" w:fill="auto"/>
          </w:tcPr>
          <w:p w:rsidR="00C01A94" w:rsidRPr="00C903F8" w:rsidRDefault="00C01A94" w:rsidP="00B74390">
            <w:pPr>
              <w:spacing w:before="160" w:after="160" w:line="240" w:lineRule="atLeast"/>
              <w:ind w:left="0" w:firstLine="0"/>
              <w:rPr>
                <w:rFonts w:cs="Arial"/>
                <w:sz w:val="18"/>
                <w:szCs w:val="18"/>
              </w:rPr>
            </w:pPr>
            <w:r>
              <w:rPr>
                <w:sz w:val="18"/>
              </w:rPr>
              <w:t>13.05</w:t>
            </w:r>
          </w:p>
        </w:tc>
        <w:tc>
          <w:tcPr>
            <w:tcW w:w="1458" w:type="dxa"/>
            <w:shd w:val="clear" w:color="auto" w:fill="auto"/>
          </w:tcPr>
          <w:p w:rsidR="00C01A94" w:rsidRPr="00C903F8" w:rsidRDefault="00C01A94" w:rsidP="00B74390">
            <w:pPr>
              <w:spacing w:before="160" w:after="160" w:line="240" w:lineRule="atLeast"/>
              <w:ind w:left="0" w:firstLine="0"/>
              <w:rPr>
                <w:rFonts w:cs="Arial"/>
                <w:sz w:val="18"/>
                <w:szCs w:val="18"/>
              </w:rPr>
            </w:pPr>
          </w:p>
        </w:tc>
        <w:tc>
          <w:tcPr>
            <w:tcW w:w="3296" w:type="dxa"/>
            <w:shd w:val="clear" w:color="auto" w:fill="auto"/>
          </w:tcPr>
          <w:p w:rsidR="00C01A94" w:rsidRPr="00C903F8" w:rsidRDefault="00C01A94" w:rsidP="00B74390">
            <w:pPr>
              <w:spacing w:before="160" w:after="160" w:line="240" w:lineRule="atLeast"/>
              <w:ind w:left="0" w:firstLine="0"/>
              <w:rPr>
                <w:rFonts w:cs="Arial"/>
                <w:sz w:val="18"/>
                <w:szCs w:val="18"/>
              </w:rPr>
            </w:pPr>
            <w:r>
              <w:rPr>
                <w:noProof/>
                <w:sz w:val="18"/>
              </w:rPr>
              <w:t>Sistemi antincendio fissi nelle sale macchine, nei locali caldaie e nei locali pompe</w:t>
            </w:r>
          </w:p>
        </w:tc>
        <w:tc>
          <w:tcPr>
            <w:tcW w:w="6521" w:type="dxa"/>
            <w:shd w:val="clear" w:color="auto" w:fill="auto"/>
          </w:tcPr>
          <w:p w:rsidR="00C01A94" w:rsidRPr="00330D4B" w:rsidRDefault="00C01A94" w:rsidP="00B74390">
            <w:pPr>
              <w:shd w:val="clear" w:color="auto" w:fill="FFFFFF"/>
              <w:tabs>
                <w:tab w:val="left" w:pos="263"/>
              </w:tabs>
              <w:spacing w:before="160" w:after="160" w:line="240" w:lineRule="atLeast"/>
              <w:ind w:left="263" w:hanging="263"/>
              <w:rPr>
                <w:rFonts w:cs="Arial"/>
                <w:sz w:val="18"/>
                <w:szCs w:val="18"/>
              </w:rPr>
            </w:pPr>
            <w:r>
              <w:rPr>
                <w:sz w:val="18"/>
              </w:rPr>
              <w:t>a)</w:t>
            </w:r>
            <w:r>
              <w:tab/>
            </w:r>
            <w:r>
              <w:rPr>
                <w:sz w:val="18"/>
              </w:rPr>
              <w:t>Gli impianti di estinzione a CO</w:t>
            </w:r>
            <w:r>
              <w:rPr>
                <w:sz w:val="18"/>
                <w:vertAlign w:val="subscript"/>
              </w:rPr>
              <w:t>2</w:t>
            </w:r>
            <w:r>
              <w:rPr>
                <w:sz w:val="18"/>
              </w:rPr>
              <w:t xml:space="preserve"> installati prima del 1° ottobre 1980 possono rimanere in uso fino al rinnovo del certificato per la navigazione interna posteriormente al 1.1.2035, se soddisfano i requisiti di cui all'articolo 7.03, paragrafo 5, del regolamento di ispezione delle navi sul Reno in vigore al 1° aprile 1976 (protocollo CCNR 1975-I-23).</w:t>
            </w:r>
          </w:p>
          <w:p w:rsidR="00C01A94" w:rsidRPr="00330D4B" w:rsidRDefault="00C01A94" w:rsidP="00B74390">
            <w:pPr>
              <w:pStyle w:val="BodyTextIndent"/>
              <w:shd w:val="clear" w:color="auto" w:fill="FFFFFF"/>
              <w:tabs>
                <w:tab w:val="left" w:pos="263"/>
              </w:tabs>
              <w:spacing w:before="160" w:after="160" w:line="240" w:lineRule="atLeast"/>
              <w:ind w:left="263" w:hanging="263"/>
              <w:rPr>
                <w:rFonts w:cs="Arial"/>
                <w:sz w:val="18"/>
                <w:szCs w:val="18"/>
              </w:rPr>
            </w:pPr>
            <w:r>
              <w:rPr>
                <w:sz w:val="18"/>
              </w:rPr>
              <w:t>b)</w:t>
            </w:r>
            <w:r>
              <w:tab/>
            </w:r>
            <w:r>
              <w:rPr>
                <w:sz w:val="18"/>
              </w:rPr>
              <w:t>Gli impianti di estinzione fissi al CO</w:t>
            </w:r>
            <w:r>
              <w:rPr>
                <w:sz w:val="18"/>
                <w:vertAlign w:val="subscript"/>
              </w:rPr>
              <w:t>2</w:t>
            </w:r>
            <w:r>
              <w:rPr>
                <w:sz w:val="18"/>
              </w:rPr>
              <w:t xml:space="preserve"> installati fra il 1° aprile 1992 e il 31 dicembre 1994 possono rimanere in uso fino al rinnovo del certificato per la navigazione interna posteriormente al 1.1.2035, se soddisfano i requisiti di cui all'articolo 7.03, paragrafo 5, del regolamento di ispezione delle navi sul Reno in vigore al 31 dicembre 1994.</w:t>
            </w:r>
          </w:p>
          <w:p w:rsidR="00C01A94" w:rsidRPr="00330D4B" w:rsidRDefault="00C01A94" w:rsidP="00B74390">
            <w:pPr>
              <w:pStyle w:val="FootnoteText"/>
              <w:tabs>
                <w:tab w:val="left" w:pos="263"/>
              </w:tabs>
              <w:spacing w:before="160" w:after="160" w:line="240" w:lineRule="atLeast"/>
              <w:ind w:left="263" w:hanging="263"/>
              <w:rPr>
                <w:rFonts w:cs="Arial"/>
                <w:sz w:val="18"/>
                <w:szCs w:val="18"/>
              </w:rPr>
            </w:pPr>
            <w:r>
              <w:rPr>
                <w:sz w:val="18"/>
              </w:rPr>
              <w:t>c)</w:t>
            </w:r>
            <w:r>
              <w:tab/>
            </w:r>
            <w:r>
              <w:rPr>
                <w:sz w:val="18"/>
              </w:rPr>
              <w:t>Le raccomandazioni della CCNR formulate fra il 1° aprile 1992 e il 31 dicembre 1994 in relazione all'articolo 7.03, paragrafo 5, del regolamento di ispezione delle navi sul Reno in vigore al 31 dicembre 1994 continuano a vigere fino al rinnovo del certificato per la navigazione interna posteriormente al 1.1.2035.</w:t>
            </w:r>
          </w:p>
          <w:p w:rsidR="00C01A94" w:rsidRPr="00C903F8" w:rsidRDefault="00C01A94" w:rsidP="00B74390">
            <w:pPr>
              <w:pStyle w:val="FootnoteText"/>
              <w:shd w:val="clear" w:color="auto" w:fill="FFFFFF"/>
              <w:tabs>
                <w:tab w:val="left" w:pos="263"/>
              </w:tabs>
              <w:spacing w:before="160" w:after="160" w:line="240" w:lineRule="atLeast"/>
              <w:ind w:left="263" w:hanging="263"/>
              <w:rPr>
                <w:rFonts w:cs="Arial"/>
                <w:sz w:val="18"/>
                <w:szCs w:val="18"/>
              </w:rPr>
            </w:pPr>
            <w:r>
              <w:rPr>
                <w:sz w:val="18"/>
              </w:rPr>
              <w:t>d)</w:t>
            </w:r>
            <w:r>
              <w:tab/>
            </w:r>
            <w:r>
              <w:rPr>
                <w:sz w:val="18"/>
              </w:rPr>
              <w:t>L'articolo 13.05, paragrafo 2, lettera a), si applica soltanto fino al rinnovo del certificato per la navigazione interna posteriormente al 1.1.2035 se gli impianti sono stati installati in navi la cui chiglia è stata impostata dopo il 1° ottobre 1992.</w:t>
            </w:r>
          </w:p>
        </w:tc>
        <w:tc>
          <w:tcPr>
            <w:tcW w:w="1276" w:type="dxa"/>
            <w:shd w:val="clear" w:color="auto" w:fill="auto"/>
          </w:tcPr>
          <w:p w:rsidR="00C01A94" w:rsidRPr="00A21D74" w:rsidRDefault="00C01A94" w:rsidP="00B74390">
            <w:pPr>
              <w:spacing w:before="160" w:after="160" w:line="240" w:lineRule="atLeast"/>
              <w:ind w:left="0" w:firstLine="0"/>
              <w:rPr>
                <w:rFonts w:cs="Arial"/>
                <w:sz w:val="18"/>
                <w:szCs w:val="18"/>
              </w:rPr>
            </w:pPr>
          </w:p>
        </w:tc>
      </w:tr>
      <w:tr w:rsidR="00C01A94" w:rsidRPr="00C903F8" w:rsidTr="00C01A94">
        <w:trPr>
          <w:cantSplit/>
          <w:jc w:val="center"/>
        </w:trPr>
        <w:tc>
          <w:tcPr>
            <w:tcW w:w="1342" w:type="dxa"/>
            <w:tcBorders>
              <w:bottom w:val="single" w:sz="4" w:space="0" w:color="auto"/>
            </w:tcBorders>
            <w:shd w:val="clear" w:color="auto" w:fill="auto"/>
          </w:tcPr>
          <w:p w:rsidR="00C01A94" w:rsidRPr="00C903F8" w:rsidRDefault="00C01A94" w:rsidP="00B74390">
            <w:pPr>
              <w:spacing w:before="240" w:after="240" w:line="240" w:lineRule="atLeast"/>
              <w:ind w:left="0" w:firstLine="0"/>
              <w:rPr>
                <w:rFonts w:cs="Arial"/>
                <w:sz w:val="18"/>
                <w:szCs w:val="18"/>
              </w:rPr>
            </w:pPr>
            <w:r>
              <w:rPr>
                <w:sz w:val="18"/>
              </w:rPr>
              <w:lastRenderedPageBreak/>
              <w:t>13.07</w:t>
            </w:r>
            <w:r>
              <w:rPr>
                <w:color w:val="000000"/>
                <w:sz w:val="18"/>
                <w:vertAlign w:val="superscript"/>
              </w:rPr>
              <w:footnoteReference w:id="27"/>
            </w:r>
          </w:p>
        </w:tc>
        <w:tc>
          <w:tcPr>
            <w:tcW w:w="1458" w:type="dxa"/>
            <w:tcBorders>
              <w:bottom w:val="single" w:sz="4" w:space="0" w:color="auto"/>
            </w:tcBorders>
            <w:shd w:val="clear" w:color="auto" w:fill="auto"/>
          </w:tcPr>
          <w:p w:rsidR="00C01A94" w:rsidRPr="00C903F8" w:rsidRDefault="00C01A94" w:rsidP="00B74390">
            <w:pPr>
              <w:spacing w:before="240" w:after="240" w:line="240" w:lineRule="atLeast"/>
              <w:ind w:left="0" w:firstLine="0"/>
              <w:rPr>
                <w:rFonts w:cs="Arial"/>
                <w:sz w:val="18"/>
                <w:szCs w:val="18"/>
              </w:rPr>
            </w:pPr>
          </w:p>
        </w:tc>
        <w:tc>
          <w:tcPr>
            <w:tcW w:w="3296" w:type="dxa"/>
            <w:tcBorders>
              <w:bottom w:val="single" w:sz="4" w:space="0" w:color="auto"/>
            </w:tcBorders>
            <w:shd w:val="clear" w:color="auto" w:fill="auto"/>
          </w:tcPr>
          <w:p w:rsidR="00C01A94" w:rsidRPr="00C903F8" w:rsidRDefault="00C01A94" w:rsidP="00B74390">
            <w:pPr>
              <w:spacing w:before="240" w:after="240" w:line="240" w:lineRule="atLeast"/>
              <w:ind w:left="0" w:firstLine="0"/>
              <w:rPr>
                <w:rFonts w:cs="Arial"/>
                <w:sz w:val="18"/>
                <w:szCs w:val="18"/>
              </w:rPr>
            </w:pPr>
            <w:r>
              <w:rPr>
                <w:noProof/>
                <w:sz w:val="18"/>
              </w:rPr>
              <w:t>Applicazione della norma europea alle lance</w:t>
            </w:r>
          </w:p>
        </w:tc>
        <w:tc>
          <w:tcPr>
            <w:tcW w:w="6521" w:type="dxa"/>
            <w:shd w:val="clear" w:color="auto" w:fill="auto"/>
          </w:tcPr>
          <w:p w:rsidR="00C01A94" w:rsidRPr="00C903F8" w:rsidRDefault="00C01A94" w:rsidP="00B74390">
            <w:pPr>
              <w:spacing w:before="240" w:after="2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240" w:after="240" w:line="240" w:lineRule="atLeast"/>
              <w:ind w:left="0" w:firstLine="0"/>
              <w:rPr>
                <w:rFonts w:cs="Arial"/>
                <w:sz w:val="18"/>
                <w:szCs w:val="18"/>
              </w:rPr>
            </w:pPr>
            <w:r>
              <w:rPr>
                <w:sz w:val="18"/>
              </w:rPr>
              <w:t>1.1.2020</w:t>
            </w:r>
          </w:p>
        </w:tc>
      </w:tr>
      <w:tr w:rsidR="00C01A94" w:rsidRPr="00C903F8" w:rsidTr="00C01A94">
        <w:trPr>
          <w:cantSplit/>
          <w:jc w:val="center"/>
        </w:trPr>
        <w:tc>
          <w:tcPr>
            <w:tcW w:w="1342" w:type="dxa"/>
            <w:tcBorders>
              <w:bottom w:val="nil"/>
            </w:tcBorders>
            <w:shd w:val="clear" w:color="auto" w:fill="auto"/>
          </w:tcPr>
          <w:p w:rsidR="00C01A94" w:rsidRPr="00C903F8" w:rsidRDefault="00C01A94" w:rsidP="00B74390">
            <w:pPr>
              <w:spacing w:before="240" w:after="240" w:line="240" w:lineRule="atLeast"/>
              <w:ind w:left="0" w:firstLine="0"/>
              <w:rPr>
                <w:rFonts w:cs="Arial"/>
                <w:sz w:val="18"/>
                <w:szCs w:val="18"/>
              </w:rPr>
            </w:pPr>
            <w:r>
              <w:rPr>
                <w:sz w:val="18"/>
              </w:rPr>
              <w:t>13.08</w:t>
            </w:r>
          </w:p>
        </w:tc>
        <w:tc>
          <w:tcPr>
            <w:tcW w:w="1458" w:type="dxa"/>
            <w:vMerge w:val="restart"/>
            <w:shd w:val="clear" w:color="auto" w:fill="auto"/>
          </w:tcPr>
          <w:p w:rsidR="00C01A94" w:rsidRPr="00C903F8" w:rsidRDefault="00C01A94" w:rsidP="00B74390">
            <w:pPr>
              <w:spacing w:before="240" w:after="240" w:line="240" w:lineRule="atLeast"/>
              <w:ind w:left="0" w:firstLine="0"/>
              <w:rPr>
                <w:rFonts w:cs="Arial"/>
                <w:sz w:val="18"/>
                <w:szCs w:val="18"/>
              </w:rPr>
            </w:pPr>
            <w:r>
              <w:rPr>
                <w:sz w:val="18"/>
              </w:rPr>
              <w:t>paragrafo 2</w:t>
            </w:r>
          </w:p>
        </w:tc>
        <w:tc>
          <w:tcPr>
            <w:tcW w:w="3296" w:type="dxa"/>
            <w:vMerge w:val="restart"/>
            <w:shd w:val="clear" w:color="auto" w:fill="auto"/>
          </w:tcPr>
          <w:p w:rsidR="00C01A94" w:rsidRPr="00C903F8" w:rsidRDefault="00C01A94" w:rsidP="00B74390">
            <w:pPr>
              <w:spacing w:before="240" w:after="240" w:line="240" w:lineRule="atLeast"/>
              <w:ind w:left="0" w:firstLine="0"/>
              <w:rPr>
                <w:rFonts w:cs="Arial"/>
                <w:sz w:val="18"/>
                <w:szCs w:val="18"/>
              </w:rPr>
            </w:pPr>
            <w:r>
              <w:rPr>
                <w:noProof/>
                <w:sz w:val="18"/>
              </w:rPr>
              <w:t>Giubbotti di salvataggio gonfiabili</w:t>
            </w:r>
          </w:p>
        </w:tc>
        <w:tc>
          <w:tcPr>
            <w:tcW w:w="6521" w:type="dxa"/>
            <w:shd w:val="clear" w:color="auto" w:fill="auto"/>
          </w:tcPr>
          <w:p w:rsidR="00C01A94" w:rsidRPr="00C903F8" w:rsidRDefault="00C01A94" w:rsidP="00B74390">
            <w:pPr>
              <w:spacing w:before="240" w:after="2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240" w:after="240" w:line="240" w:lineRule="atLeast"/>
              <w:ind w:left="0" w:firstLine="0"/>
              <w:rPr>
                <w:rFonts w:cs="Arial"/>
                <w:sz w:val="18"/>
                <w:szCs w:val="18"/>
              </w:rPr>
            </w:pPr>
            <w:r>
              <w:rPr>
                <w:sz w:val="18"/>
              </w:rPr>
              <w:t>1.1.2010</w:t>
            </w:r>
          </w:p>
        </w:tc>
      </w:tr>
      <w:tr w:rsidR="00C01A94" w:rsidRPr="00C903F8" w:rsidTr="00C01A94">
        <w:trPr>
          <w:cantSplit/>
          <w:jc w:val="center"/>
        </w:trPr>
        <w:tc>
          <w:tcPr>
            <w:tcW w:w="1342" w:type="dxa"/>
            <w:tcBorders>
              <w:top w:val="nil"/>
            </w:tcBorders>
            <w:shd w:val="clear" w:color="auto" w:fill="auto"/>
          </w:tcPr>
          <w:p w:rsidR="00C01A94" w:rsidRPr="00C903F8" w:rsidRDefault="00C01A94" w:rsidP="00B74390">
            <w:pPr>
              <w:spacing w:before="240" w:after="240" w:line="240" w:lineRule="atLeast"/>
              <w:ind w:left="0" w:firstLine="0"/>
              <w:rPr>
                <w:rFonts w:cs="Arial"/>
                <w:sz w:val="18"/>
                <w:szCs w:val="18"/>
              </w:rPr>
            </w:pPr>
          </w:p>
        </w:tc>
        <w:tc>
          <w:tcPr>
            <w:tcW w:w="1458" w:type="dxa"/>
            <w:vMerge/>
            <w:shd w:val="clear" w:color="auto" w:fill="auto"/>
          </w:tcPr>
          <w:p w:rsidR="00C01A94" w:rsidRPr="00C903F8" w:rsidRDefault="00C01A94" w:rsidP="00B74390">
            <w:pPr>
              <w:spacing w:before="240" w:after="240" w:line="240" w:lineRule="atLeast"/>
              <w:ind w:left="0" w:firstLine="0"/>
              <w:rPr>
                <w:rFonts w:cs="Arial"/>
                <w:sz w:val="18"/>
                <w:szCs w:val="18"/>
              </w:rPr>
            </w:pPr>
          </w:p>
        </w:tc>
        <w:tc>
          <w:tcPr>
            <w:tcW w:w="3296" w:type="dxa"/>
            <w:vMerge/>
            <w:shd w:val="clear" w:color="auto" w:fill="auto"/>
          </w:tcPr>
          <w:p w:rsidR="00C01A94" w:rsidRPr="00C903F8" w:rsidRDefault="00C01A94" w:rsidP="00B74390">
            <w:pPr>
              <w:spacing w:before="240" w:after="240" w:line="240" w:lineRule="atLeast"/>
              <w:ind w:left="0" w:firstLine="0"/>
              <w:rPr>
                <w:rFonts w:cs="Arial"/>
                <w:sz w:val="18"/>
                <w:szCs w:val="18"/>
              </w:rPr>
            </w:pPr>
          </w:p>
        </w:tc>
        <w:tc>
          <w:tcPr>
            <w:tcW w:w="6521" w:type="dxa"/>
            <w:shd w:val="clear" w:color="auto" w:fill="auto"/>
          </w:tcPr>
          <w:p w:rsidR="00C01A94" w:rsidRPr="00C903F8" w:rsidRDefault="00C01A94" w:rsidP="00B74390">
            <w:pPr>
              <w:spacing w:before="240" w:after="240" w:line="240" w:lineRule="atLeast"/>
              <w:ind w:left="0" w:firstLine="0"/>
              <w:rPr>
                <w:rFonts w:cs="Arial"/>
                <w:sz w:val="18"/>
                <w:szCs w:val="18"/>
              </w:rPr>
            </w:pPr>
            <w:r>
              <w:rPr>
                <w:sz w:val="18"/>
              </w:rPr>
              <w:t xml:space="preserve">I giubbotti di salvataggio a bordo al 30.9.2003 possono essere usati fino al rinnovo del certificato per la navigazione interna posteriormente al </w:t>
            </w:r>
          </w:p>
        </w:tc>
        <w:tc>
          <w:tcPr>
            <w:tcW w:w="1276" w:type="dxa"/>
            <w:shd w:val="clear" w:color="auto" w:fill="auto"/>
          </w:tcPr>
          <w:p w:rsidR="00C01A94" w:rsidRPr="00C903F8" w:rsidRDefault="00C01A94" w:rsidP="00B74390">
            <w:pPr>
              <w:spacing w:before="240" w:after="240" w:line="240" w:lineRule="atLeast"/>
              <w:ind w:left="0" w:firstLine="0"/>
              <w:rPr>
                <w:rFonts w:cs="Arial"/>
                <w:sz w:val="18"/>
                <w:szCs w:val="18"/>
              </w:rPr>
            </w:pPr>
            <w:r>
              <w:rPr>
                <w:sz w:val="18"/>
              </w:rPr>
              <w:t>1.1.2010</w:t>
            </w:r>
          </w:p>
        </w:tc>
      </w:tr>
      <w:tr w:rsidR="00C01A94" w:rsidRPr="00C903F8" w:rsidTr="00E113D0">
        <w:trPr>
          <w:cantSplit/>
          <w:trHeight w:val="64"/>
          <w:jc w:val="center"/>
        </w:trPr>
        <w:tc>
          <w:tcPr>
            <w:tcW w:w="6096" w:type="dxa"/>
            <w:gridSpan w:val="3"/>
            <w:shd w:val="clear" w:color="auto" w:fill="auto"/>
          </w:tcPr>
          <w:p w:rsidR="00C01A94" w:rsidRPr="00C903F8" w:rsidRDefault="00C01A94" w:rsidP="00B74390">
            <w:pPr>
              <w:spacing w:before="100" w:after="100" w:line="240" w:lineRule="atLeast"/>
              <w:ind w:left="0" w:firstLine="0"/>
              <w:jc w:val="center"/>
              <w:rPr>
                <w:rFonts w:cs="Arial"/>
                <w:sz w:val="18"/>
                <w:szCs w:val="18"/>
              </w:rPr>
            </w:pPr>
            <w:r>
              <w:rPr>
                <w:b/>
                <w:sz w:val="18"/>
              </w:rPr>
              <w:t>CAPO 14</w:t>
            </w:r>
          </w:p>
        </w:tc>
        <w:tc>
          <w:tcPr>
            <w:tcW w:w="6521" w:type="dxa"/>
            <w:shd w:val="clear" w:color="auto" w:fill="auto"/>
          </w:tcPr>
          <w:p w:rsidR="00C01A94" w:rsidRPr="00C903F8" w:rsidRDefault="00C01A94" w:rsidP="00B74390">
            <w:pPr>
              <w:spacing w:before="100" w:after="100" w:line="240" w:lineRule="atLeast"/>
              <w:ind w:left="0" w:firstLine="0"/>
              <w:rPr>
                <w:rFonts w:cs="Arial"/>
                <w:sz w:val="18"/>
                <w:szCs w:val="18"/>
              </w:rPr>
            </w:pPr>
          </w:p>
        </w:tc>
        <w:tc>
          <w:tcPr>
            <w:tcW w:w="1276" w:type="dxa"/>
            <w:shd w:val="clear" w:color="auto" w:fill="auto"/>
          </w:tcPr>
          <w:p w:rsidR="00C01A94" w:rsidRPr="00C903F8" w:rsidRDefault="00C01A94" w:rsidP="00B74390">
            <w:pPr>
              <w:spacing w:before="100" w:after="100" w:line="240" w:lineRule="atLeast"/>
              <w:ind w:left="0" w:firstLine="0"/>
              <w:rPr>
                <w:rFonts w:cs="Arial"/>
                <w:sz w:val="18"/>
                <w:szCs w:val="18"/>
              </w:rPr>
            </w:pPr>
          </w:p>
        </w:tc>
      </w:tr>
      <w:tr w:rsidR="00C01A94" w:rsidRPr="00C903F8" w:rsidTr="00196FBC">
        <w:trPr>
          <w:cantSplit/>
          <w:jc w:val="center"/>
        </w:trPr>
        <w:tc>
          <w:tcPr>
            <w:tcW w:w="1342" w:type="dxa"/>
            <w:tcBorders>
              <w:bottom w:val="nil"/>
            </w:tcBorders>
            <w:shd w:val="clear" w:color="auto" w:fill="auto"/>
          </w:tcPr>
          <w:p w:rsidR="00C01A94" w:rsidRPr="00C903F8" w:rsidRDefault="00C01A94" w:rsidP="00B74390">
            <w:pPr>
              <w:spacing w:before="100" w:after="100" w:line="240" w:lineRule="atLeast"/>
              <w:ind w:left="0" w:firstLine="0"/>
              <w:rPr>
                <w:rFonts w:cs="Arial"/>
                <w:sz w:val="18"/>
                <w:szCs w:val="18"/>
              </w:rPr>
            </w:pPr>
            <w:r>
              <w:rPr>
                <w:sz w:val="18"/>
              </w:rPr>
              <w:t>14.02</w:t>
            </w:r>
          </w:p>
        </w:tc>
        <w:tc>
          <w:tcPr>
            <w:tcW w:w="1458" w:type="dxa"/>
            <w:tcBorders>
              <w:bottom w:val="nil"/>
            </w:tcBorders>
            <w:shd w:val="clear" w:color="auto" w:fill="auto"/>
          </w:tcPr>
          <w:p w:rsidR="00C01A94" w:rsidRPr="00C903F8" w:rsidRDefault="00C01A94" w:rsidP="00B74390">
            <w:pPr>
              <w:spacing w:before="100" w:after="100" w:line="240" w:lineRule="atLeast"/>
              <w:ind w:left="0" w:firstLine="0"/>
              <w:rPr>
                <w:rFonts w:cs="Arial"/>
                <w:sz w:val="18"/>
                <w:szCs w:val="18"/>
              </w:rPr>
            </w:pPr>
            <w:r>
              <w:rPr>
                <w:sz w:val="18"/>
              </w:rPr>
              <w:t>paragrafo 4</w:t>
            </w:r>
          </w:p>
        </w:tc>
        <w:tc>
          <w:tcPr>
            <w:tcW w:w="3296" w:type="dxa"/>
            <w:shd w:val="clear" w:color="auto" w:fill="auto"/>
          </w:tcPr>
          <w:p w:rsidR="00C01A94" w:rsidRPr="00C903F8" w:rsidRDefault="00C01A94" w:rsidP="00B74390">
            <w:pPr>
              <w:spacing w:before="100" w:after="100" w:line="240" w:lineRule="atLeast"/>
              <w:ind w:left="0" w:firstLine="0"/>
              <w:rPr>
                <w:rFonts w:cs="Arial"/>
                <w:sz w:val="18"/>
                <w:szCs w:val="18"/>
              </w:rPr>
            </w:pPr>
            <w:r>
              <w:rPr>
                <w:noProof/>
                <w:sz w:val="18"/>
              </w:rPr>
              <w:t>Attrezzatura del bordo esterno dei ponti, dei ponti laterali e di altri posti di lavoro</w:t>
            </w:r>
          </w:p>
        </w:tc>
        <w:tc>
          <w:tcPr>
            <w:tcW w:w="6521" w:type="dxa"/>
            <w:shd w:val="clear" w:color="auto" w:fill="auto"/>
          </w:tcPr>
          <w:p w:rsidR="00C01A94" w:rsidRPr="00C903F8" w:rsidRDefault="00C01A94" w:rsidP="00B74390">
            <w:pPr>
              <w:spacing w:before="100" w:after="100" w:line="240" w:lineRule="atLeast"/>
              <w:ind w:left="0" w:firstLine="0"/>
              <w:rPr>
                <w:rFonts w:cs="Arial"/>
                <w:sz w:val="18"/>
                <w:szCs w:val="18"/>
              </w:rPr>
            </w:pPr>
            <w:r>
              <w:rPr>
                <w:sz w:val="18"/>
              </w:rPr>
              <w:t>N.S.T</w:t>
            </w:r>
            <w:r>
              <w:rPr>
                <w:rStyle w:val="FootnoteReference"/>
                <w:sz w:val="18"/>
              </w:rPr>
              <w:footnoteReference w:id="28"/>
            </w:r>
          </w:p>
        </w:tc>
        <w:tc>
          <w:tcPr>
            <w:tcW w:w="1276" w:type="dxa"/>
            <w:shd w:val="clear" w:color="auto" w:fill="auto"/>
          </w:tcPr>
          <w:p w:rsidR="00C01A94" w:rsidRPr="00C903F8" w:rsidRDefault="00C01A94" w:rsidP="00B74390">
            <w:pPr>
              <w:spacing w:before="100" w:after="100" w:line="240" w:lineRule="atLeast"/>
              <w:ind w:left="0" w:firstLine="0"/>
              <w:rPr>
                <w:rFonts w:cs="Arial"/>
                <w:sz w:val="18"/>
                <w:szCs w:val="18"/>
              </w:rPr>
            </w:pPr>
          </w:p>
        </w:tc>
      </w:tr>
      <w:tr w:rsidR="00C01A94" w:rsidRPr="00C903F8" w:rsidTr="00196FBC">
        <w:trPr>
          <w:cantSplit/>
          <w:jc w:val="center"/>
        </w:trPr>
        <w:tc>
          <w:tcPr>
            <w:tcW w:w="1342" w:type="dxa"/>
            <w:tcBorders>
              <w:bottom w:val="nil"/>
            </w:tcBorders>
            <w:shd w:val="clear" w:color="auto" w:fill="auto"/>
          </w:tcPr>
          <w:p w:rsidR="00C01A94" w:rsidRPr="00C903F8" w:rsidRDefault="00C01A94" w:rsidP="00B74390">
            <w:pPr>
              <w:spacing w:before="100" w:after="100" w:line="240" w:lineRule="atLeast"/>
              <w:ind w:left="0" w:firstLine="0"/>
              <w:rPr>
                <w:rFonts w:cs="Arial"/>
                <w:sz w:val="18"/>
                <w:szCs w:val="18"/>
              </w:rPr>
            </w:pPr>
            <w:r>
              <w:rPr>
                <w:sz w:val="18"/>
              </w:rPr>
              <w:t>14.04</w:t>
            </w:r>
          </w:p>
        </w:tc>
        <w:tc>
          <w:tcPr>
            <w:tcW w:w="1458" w:type="dxa"/>
            <w:shd w:val="clear" w:color="auto" w:fill="auto"/>
          </w:tcPr>
          <w:p w:rsidR="00C01A94" w:rsidRPr="00C903F8" w:rsidRDefault="00C01A94" w:rsidP="00B74390">
            <w:pPr>
              <w:spacing w:before="100" w:after="100" w:line="240" w:lineRule="atLeast"/>
              <w:ind w:left="0" w:firstLine="0"/>
              <w:rPr>
                <w:rFonts w:cs="Arial"/>
                <w:sz w:val="18"/>
                <w:szCs w:val="18"/>
              </w:rPr>
            </w:pPr>
            <w:r>
              <w:rPr>
                <w:sz w:val="18"/>
              </w:rPr>
              <w:t>paragrafo 1</w:t>
            </w:r>
          </w:p>
        </w:tc>
        <w:tc>
          <w:tcPr>
            <w:tcW w:w="3296" w:type="dxa"/>
            <w:shd w:val="clear" w:color="auto" w:fill="auto"/>
          </w:tcPr>
          <w:p w:rsidR="00C01A94" w:rsidRPr="00C903F8" w:rsidRDefault="00C01A94" w:rsidP="00B74390">
            <w:pPr>
              <w:spacing w:before="100" w:after="100" w:line="240" w:lineRule="atLeast"/>
              <w:ind w:left="0" w:firstLine="0"/>
              <w:rPr>
                <w:rFonts w:cs="Arial"/>
                <w:sz w:val="18"/>
                <w:szCs w:val="18"/>
              </w:rPr>
            </w:pPr>
            <w:r>
              <w:rPr>
                <w:noProof/>
                <w:sz w:val="18"/>
              </w:rPr>
              <w:t>Ampiezza libera dei ponti laterali</w:t>
            </w:r>
          </w:p>
        </w:tc>
        <w:tc>
          <w:tcPr>
            <w:tcW w:w="6521" w:type="dxa"/>
            <w:shd w:val="clear" w:color="auto" w:fill="auto"/>
          </w:tcPr>
          <w:p w:rsidR="00C01A94" w:rsidRPr="00C903F8" w:rsidRDefault="00C01A94" w:rsidP="00B74390">
            <w:pPr>
              <w:spacing w:before="100" w:after="100" w:line="240" w:lineRule="atLeast"/>
              <w:ind w:left="0" w:firstLine="0"/>
              <w:rPr>
                <w:rFonts w:cs="Arial"/>
                <w:sz w:val="18"/>
                <w:szCs w:val="18"/>
              </w:rPr>
            </w:pPr>
            <w:r>
              <w:rPr>
                <w:sz w:val="18"/>
              </w:rPr>
              <w:t xml:space="preserve">Per le navi di </w:t>
            </w:r>
            <m:oMath>
              <m:r>
                <w:rPr>
                  <w:rFonts w:ascii="Cambria Math" w:hAnsi="Cambria Math" w:cs="Arial"/>
                  <w:sz w:val="18"/>
                  <w:szCs w:val="18"/>
                </w:rPr>
                <m:t>B &gt; 7,30 m</m:t>
              </m:r>
            </m:oMath>
            <w:r>
              <w:rPr>
                <w:sz w:val="18"/>
              </w:rPr>
              <w:t>, 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00" w:after="100" w:line="240" w:lineRule="atLeast"/>
              <w:ind w:left="0" w:firstLine="0"/>
              <w:rPr>
                <w:rFonts w:cs="Arial"/>
                <w:sz w:val="18"/>
                <w:szCs w:val="18"/>
              </w:rPr>
            </w:pPr>
            <w:r>
              <w:rPr>
                <w:sz w:val="18"/>
              </w:rPr>
              <w:t>1.1.2035</w:t>
            </w:r>
            <w:r>
              <w:rPr>
                <w:sz w:val="18"/>
                <w:vertAlign w:val="superscript"/>
              </w:rPr>
              <w:footnoteReference w:id="29"/>
            </w:r>
          </w:p>
        </w:tc>
      </w:tr>
      <w:tr w:rsidR="00C01A94" w:rsidRPr="00C903F8" w:rsidTr="00196FBC">
        <w:trPr>
          <w:cantSplit/>
          <w:jc w:val="center"/>
        </w:trPr>
        <w:tc>
          <w:tcPr>
            <w:tcW w:w="1342" w:type="dxa"/>
            <w:tcBorders>
              <w:top w:val="nil"/>
              <w:bottom w:val="single" w:sz="4" w:space="0" w:color="auto"/>
            </w:tcBorders>
            <w:shd w:val="clear" w:color="auto" w:fill="auto"/>
          </w:tcPr>
          <w:p w:rsidR="00C01A94" w:rsidRPr="00C903F8" w:rsidRDefault="00C01A94" w:rsidP="00B74390">
            <w:pPr>
              <w:spacing w:before="100" w:after="10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100" w:after="100" w:line="240" w:lineRule="atLeast"/>
              <w:ind w:left="0" w:firstLine="0"/>
              <w:rPr>
                <w:rFonts w:cs="Arial"/>
                <w:sz w:val="18"/>
                <w:szCs w:val="18"/>
              </w:rPr>
            </w:pPr>
            <w:r>
              <w:rPr>
                <w:sz w:val="18"/>
              </w:rPr>
              <w:t>paragrafo 2</w:t>
            </w:r>
          </w:p>
        </w:tc>
        <w:tc>
          <w:tcPr>
            <w:tcW w:w="3296" w:type="dxa"/>
            <w:shd w:val="clear" w:color="auto" w:fill="auto"/>
          </w:tcPr>
          <w:p w:rsidR="00C01A94" w:rsidRPr="00C903F8" w:rsidRDefault="00C01A94" w:rsidP="00B74390">
            <w:pPr>
              <w:spacing w:before="100" w:after="100" w:line="240" w:lineRule="atLeast"/>
              <w:ind w:left="0" w:firstLine="0"/>
              <w:rPr>
                <w:rFonts w:cs="Arial"/>
                <w:sz w:val="18"/>
                <w:szCs w:val="18"/>
              </w:rPr>
            </w:pPr>
            <w:r>
              <w:rPr>
                <w:noProof/>
                <w:sz w:val="18"/>
              </w:rPr>
              <w:t>Parapetti dei ponti laterali</w:t>
            </w:r>
          </w:p>
        </w:tc>
        <w:tc>
          <w:tcPr>
            <w:tcW w:w="6521" w:type="dxa"/>
            <w:shd w:val="clear" w:color="auto" w:fill="auto"/>
          </w:tcPr>
          <w:p w:rsidR="00C01A94" w:rsidRPr="00C903F8" w:rsidRDefault="002D3F17" w:rsidP="00B74390">
            <w:pPr>
              <w:spacing w:before="100" w:after="10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B74390">
            <w:pPr>
              <w:spacing w:before="100" w:after="100" w:line="240" w:lineRule="atLeast"/>
              <w:ind w:left="0" w:firstLine="0"/>
              <w:rPr>
                <w:rFonts w:cs="Arial"/>
                <w:sz w:val="18"/>
                <w:szCs w:val="18"/>
              </w:rPr>
            </w:pPr>
          </w:p>
        </w:tc>
      </w:tr>
      <w:tr w:rsidR="00C01A94" w:rsidRPr="00C903F8" w:rsidTr="00196FBC">
        <w:trPr>
          <w:cantSplit/>
          <w:jc w:val="center"/>
        </w:trPr>
        <w:tc>
          <w:tcPr>
            <w:tcW w:w="1342" w:type="dxa"/>
            <w:tcBorders>
              <w:bottom w:val="nil"/>
            </w:tcBorders>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lastRenderedPageBreak/>
              <w:t>14.05</w:t>
            </w:r>
          </w:p>
        </w:tc>
        <w:tc>
          <w:tcPr>
            <w:tcW w:w="1458"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paragrafo 1</w:t>
            </w:r>
          </w:p>
        </w:tc>
        <w:tc>
          <w:tcPr>
            <w:tcW w:w="3296" w:type="dxa"/>
            <w:shd w:val="clear" w:color="auto" w:fill="auto"/>
          </w:tcPr>
          <w:p w:rsidR="00C01A94" w:rsidRPr="00C903F8" w:rsidRDefault="00C01A94" w:rsidP="00C01A94">
            <w:pPr>
              <w:spacing w:before="160" w:after="160" w:line="240" w:lineRule="atLeast"/>
              <w:ind w:left="0" w:firstLine="0"/>
              <w:rPr>
                <w:rFonts w:cs="Arial"/>
                <w:sz w:val="18"/>
                <w:szCs w:val="18"/>
              </w:rPr>
            </w:pPr>
            <w:r>
              <w:rPr>
                <w:noProof/>
                <w:sz w:val="18"/>
              </w:rPr>
              <w:t>Accesso ai posti di lavoro</w:t>
            </w:r>
          </w:p>
        </w:tc>
        <w:tc>
          <w:tcPr>
            <w:tcW w:w="6521"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1.1.2035</w:t>
            </w:r>
          </w:p>
        </w:tc>
      </w:tr>
      <w:tr w:rsidR="00C01A94" w:rsidRPr="00C903F8" w:rsidTr="00196FBC">
        <w:trPr>
          <w:cantSplit/>
          <w:jc w:val="center"/>
        </w:trPr>
        <w:tc>
          <w:tcPr>
            <w:tcW w:w="1342" w:type="dxa"/>
            <w:tcBorders>
              <w:top w:val="nil"/>
            </w:tcBorders>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paragrafo 4</w:t>
            </w:r>
          </w:p>
        </w:tc>
        <w:tc>
          <w:tcPr>
            <w:tcW w:w="3296" w:type="dxa"/>
            <w:shd w:val="clear" w:color="auto" w:fill="auto"/>
          </w:tcPr>
          <w:p w:rsidR="00C01A94" w:rsidRPr="00C903F8" w:rsidRDefault="00C01A94" w:rsidP="00C01A94">
            <w:pPr>
              <w:spacing w:before="160" w:after="160" w:line="240" w:lineRule="atLeast"/>
              <w:ind w:left="0" w:firstLine="0"/>
              <w:rPr>
                <w:rFonts w:cs="Arial"/>
                <w:sz w:val="18"/>
                <w:szCs w:val="18"/>
              </w:rPr>
            </w:pPr>
            <w:r>
              <w:rPr>
                <w:noProof/>
                <w:sz w:val="18"/>
              </w:rPr>
              <w:t>Scale nei posti di lavoro occupati in permanenza</w:t>
            </w:r>
          </w:p>
        </w:tc>
        <w:tc>
          <w:tcPr>
            <w:tcW w:w="6521"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1.1.2035</w:t>
            </w:r>
          </w:p>
        </w:tc>
      </w:tr>
      <w:tr w:rsidR="00C01A94" w:rsidRPr="00C903F8" w:rsidTr="00196FBC">
        <w:trPr>
          <w:cantSplit/>
          <w:jc w:val="center"/>
        </w:trPr>
        <w:tc>
          <w:tcPr>
            <w:tcW w:w="1342" w:type="dxa"/>
            <w:tcBorders>
              <w:bottom w:val="single" w:sz="4" w:space="0" w:color="auto"/>
            </w:tcBorders>
            <w:shd w:val="clear" w:color="auto" w:fill="auto"/>
          </w:tcPr>
          <w:p w:rsidR="00C01A94" w:rsidRPr="00C903F8" w:rsidRDefault="00C01A94" w:rsidP="00C01A94">
            <w:pPr>
              <w:spacing w:before="100" w:after="100" w:line="240" w:lineRule="atLeast"/>
              <w:ind w:left="0" w:firstLine="0"/>
              <w:rPr>
                <w:rFonts w:cs="Arial"/>
                <w:sz w:val="18"/>
                <w:szCs w:val="18"/>
              </w:rPr>
            </w:pPr>
            <w:r>
              <w:rPr>
                <w:sz w:val="18"/>
              </w:rPr>
              <w:t>14.06</w:t>
            </w:r>
          </w:p>
        </w:tc>
        <w:tc>
          <w:tcPr>
            <w:tcW w:w="1458" w:type="dxa"/>
            <w:shd w:val="clear" w:color="auto" w:fill="auto"/>
          </w:tcPr>
          <w:p w:rsidR="00C01A94" w:rsidRPr="00C903F8" w:rsidRDefault="00C01A94" w:rsidP="00C01A94">
            <w:pPr>
              <w:spacing w:before="100" w:after="100" w:line="240" w:lineRule="atLeast"/>
              <w:ind w:left="0" w:firstLine="0"/>
              <w:rPr>
                <w:rFonts w:cs="Arial"/>
                <w:sz w:val="18"/>
                <w:szCs w:val="18"/>
              </w:rPr>
            </w:pPr>
            <w:r>
              <w:rPr>
                <w:sz w:val="18"/>
              </w:rPr>
              <w:t>paragrafo 2</w:t>
            </w:r>
          </w:p>
        </w:tc>
        <w:tc>
          <w:tcPr>
            <w:tcW w:w="3296" w:type="dxa"/>
            <w:shd w:val="clear" w:color="auto" w:fill="auto"/>
          </w:tcPr>
          <w:p w:rsidR="00C01A94" w:rsidRPr="00C903F8" w:rsidRDefault="00C01A94" w:rsidP="00C01A94">
            <w:pPr>
              <w:spacing w:before="100" w:after="100" w:line="240" w:lineRule="atLeast"/>
              <w:ind w:left="0" w:firstLine="0"/>
              <w:rPr>
                <w:rFonts w:cs="Arial"/>
                <w:sz w:val="18"/>
                <w:szCs w:val="18"/>
              </w:rPr>
            </w:pPr>
            <w:r>
              <w:rPr>
                <w:noProof/>
                <w:sz w:val="18"/>
              </w:rPr>
              <w:t>Uscite e uscite di sicurezza</w:t>
            </w:r>
          </w:p>
        </w:tc>
        <w:tc>
          <w:tcPr>
            <w:tcW w:w="6521" w:type="dxa"/>
            <w:shd w:val="clear" w:color="auto" w:fill="auto"/>
          </w:tcPr>
          <w:p w:rsidR="00C01A94" w:rsidRPr="00C903F8" w:rsidRDefault="00C01A94" w:rsidP="00C01A94">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00" w:after="100" w:line="240" w:lineRule="atLeast"/>
              <w:ind w:left="0" w:firstLine="0"/>
              <w:rPr>
                <w:rFonts w:cs="Arial"/>
                <w:sz w:val="18"/>
                <w:szCs w:val="18"/>
              </w:rPr>
            </w:pPr>
            <w:r>
              <w:rPr>
                <w:sz w:val="18"/>
              </w:rPr>
              <w:t>1.1.2035</w:t>
            </w:r>
          </w:p>
        </w:tc>
      </w:tr>
      <w:tr w:rsidR="00C01A94" w:rsidRPr="00C903F8" w:rsidTr="00196FBC">
        <w:trPr>
          <w:cantSplit/>
          <w:jc w:val="center"/>
        </w:trPr>
        <w:tc>
          <w:tcPr>
            <w:tcW w:w="1342" w:type="dxa"/>
            <w:tcBorders>
              <w:bottom w:val="nil"/>
            </w:tcBorders>
            <w:shd w:val="clear" w:color="auto" w:fill="auto"/>
          </w:tcPr>
          <w:p w:rsidR="00C01A94" w:rsidRPr="00C903F8" w:rsidRDefault="00C01A94" w:rsidP="00C01A94">
            <w:pPr>
              <w:spacing w:before="100" w:after="100" w:line="240" w:lineRule="atLeast"/>
              <w:ind w:left="0" w:firstLine="0"/>
              <w:rPr>
                <w:rFonts w:cs="Arial"/>
                <w:sz w:val="18"/>
                <w:szCs w:val="18"/>
              </w:rPr>
            </w:pPr>
            <w:r>
              <w:rPr>
                <w:sz w:val="18"/>
              </w:rPr>
              <w:t>14.07</w:t>
            </w:r>
          </w:p>
        </w:tc>
        <w:tc>
          <w:tcPr>
            <w:tcW w:w="1458" w:type="dxa"/>
            <w:shd w:val="clear" w:color="auto" w:fill="auto"/>
          </w:tcPr>
          <w:p w:rsidR="00C01A94" w:rsidRPr="00C903F8" w:rsidRDefault="00C01A94" w:rsidP="00C01A94">
            <w:pPr>
              <w:spacing w:before="100" w:after="100" w:line="240" w:lineRule="atLeast"/>
              <w:ind w:left="0" w:firstLine="0"/>
              <w:jc w:val="left"/>
              <w:rPr>
                <w:rFonts w:cs="Arial"/>
                <w:sz w:val="18"/>
                <w:szCs w:val="18"/>
              </w:rPr>
            </w:pPr>
            <w:r>
              <w:rPr>
                <w:sz w:val="18"/>
              </w:rPr>
              <w:t>paragrafo 1, seconda frase</w:t>
            </w:r>
          </w:p>
        </w:tc>
        <w:tc>
          <w:tcPr>
            <w:tcW w:w="3296" w:type="dxa"/>
            <w:shd w:val="clear" w:color="auto" w:fill="auto"/>
          </w:tcPr>
          <w:p w:rsidR="00C01A94" w:rsidRPr="00C903F8" w:rsidRDefault="00C01A94" w:rsidP="00C01A94">
            <w:pPr>
              <w:spacing w:before="100" w:after="100" w:line="240" w:lineRule="atLeast"/>
              <w:ind w:left="0" w:firstLine="0"/>
              <w:rPr>
                <w:rFonts w:cs="Arial"/>
                <w:sz w:val="18"/>
                <w:szCs w:val="18"/>
              </w:rPr>
            </w:pPr>
            <w:r>
              <w:rPr>
                <w:noProof/>
                <w:sz w:val="18"/>
              </w:rPr>
              <w:t>Dispositivi di salita</w:t>
            </w:r>
          </w:p>
        </w:tc>
        <w:tc>
          <w:tcPr>
            <w:tcW w:w="6521" w:type="dxa"/>
            <w:shd w:val="clear" w:color="auto" w:fill="auto"/>
          </w:tcPr>
          <w:p w:rsidR="00C01A94" w:rsidRPr="00C903F8" w:rsidRDefault="00C01A94" w:rsidP="00C01A94">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00" w:after="100" w:line="240" w:lineRule="atLeast"/>
              <w:ind w:left="0" w:firstLine="0"/>
              <w:rPr>
                <w:rFonts w:cs="Arial"/>
                <w:sz w:val="18"/>
                <w:szCs w:val="18"/>
              </w:rPr>
            </w:pPr>
            <w:r>
              <w:rPr>
                <w:sz w:val="18"/>
              </w:rPr>
              <w:t>1.1.2035</w:t>
            </w:r>
          </w:p>
        </w:tc>
      </w:tr>
      <w:tr w:rsidR="00C01A94" w:rsidRPr="00C903F8" w:rsidTr="00196FBC">
        <w:trPr>
          <w:cantSplit/>
          <w:jc w:val="center"/>
        </w:trPr>
        <w:tc>
          <w:tcPr>
            <w:tcW w:w="1342" w:type="dxa"/>
            <w:shd w:val="clear" w:color="auto" w:fill="auto"/>
          </w:tcPr>
          <w:p w:rsidR="00C01A94" w:rsidRPr="00C903F8" w:rsidRDefault="00C01A94" w:rsidP="00C01A94">
            <w:pPr>
              <w:spacing w:before="100" w:after="100" w:line="240" w:lineRule="atLeast"/>
              <w:ind w:left="0" w:firstLine="0"/>
              <w:rPr>
                <w:rFonts w:cs="Arial"/>
                <w:sz w:val="18"/>
                <w:szCs w:val="18"/>
              </w:rPr>
            </w:pPr>
            <w:r>
              <w:rPr>
                <w:sz w:val="18"/>
              </w:rPr>
              <w:t>14.10</w:t>
            </w:r>
          </w:p>
        </w:tc>
        <w:tc>
          <w:tcPr>
            <w:tcW w:w="1458" w:type="dxa"/>
            <w:shd w:val="clear" w:color="auto" w:fill="auto"/>
          </w:tcPr>
          <w:p w:rsidR="00C01A94" w:rsidRPr="00C903F8" w:rsidRDefault="00C01A94" w:rsidP="00C01A94">
            <w:pPr>
              <w:spacing w:before="100" w:after="100" w:line="240" w:lineRule="atLeast"/>
              <w:ind w:left="0" w:firstLine="0"/>
              <w:rPr>
                <w:rFonts w:cs="Arial"/>
                <w:sz w:val="18"/>
                <w:szCs w:val="18"/>
              </w:rPr>
            </w:pPr>
          </w:p>
        </w:tc>
        <w:tc>
          <w:tcPr>
            <w:tcW w:w="3296" w:type="dxa"/>
            <w:shd w:val="clear" w:color="auto" w:fill="auto"/>
          </w:tcPr>
          <w:p w:rsidR="00C01A94" w:rsidRPr="00C903F8" w:rsidRDefault="00C01A94" w:rsidP="00C01A94">
            <w:pPr>
              <w:spacing w:before="100" w:after="100" w:line="240" w:lineRule="atLeast"/>
              <w:ind w:left="0" w:firstLine="0"/>
              <w:rPr>
                <w:rFonts w:cs="Arial"/>
                <w:sz w:val="18"/>
                <w:szCs w:val="18"/>
              </w:rPr>
            </w:pPr>
            <w:r>
              <w:rPr>
                <w:noProof/>
                <w:sz w:val="18"/>
              </w:rPr>
              <w:t>Coperchi di boccaporto</w:t>
            </w:r>
          </w:p>
        </w:tc>
        <w:tc>
          <w:tcPr>
            <w:tcW w:w="6521" w:type="dxa"/>
            <w:shd w:val="clear" w:color="auto" w:fill="auto"/>
          </w:tcPr>
          <w:p w:rsidR="00C01A94" w:rsidRPr="00C903F8" w:rsidRDefault="00C01A94" w:rsidP="00C01A94">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00" w:after="100" w:line="240" w:lineRule="atLeast"/>
              <w:ind w:left="0" w:firstLine="0"/>
              <w:rPr>
                <w:rFonts w:cs="Arial"/>
                <w:sz w:val="18"/>
                <w:szCs w:val="18"/>
              </w:rPr>
            </w:pPr>
            <w:r>
              <w:rPr>
                <w:sz w:val="18"/>
              </w:rPr>
              <w:t>1.1.2010</w:t>
            </w:r>
          </w:p>
        </w:tc>
      </w:tr>
      <w:tr w:rsidR="00C01A94" w:rsidRPr="00C903F8" w:rsidTr="00196FBC">
        <w:trPr>
          <w:cantSplit/>
          <w:jc w:val="center"/>
        </w:trPr>
        <w:tc>
          <w:tcPr>
            <w:tcW w:w="1342" w:type="dxa"/>
            <w:shd w:val="clear" w:color="auto" w:fill="auto"/>
          </w:tcPr>
          <w:p w:rsidR="00C01A94" w:rsidRPr="00C903F8" w:rsidRDefault="00C01A94" w:rsidP="00C01A94">
            <w:pPr>
              <w:spacing w:before="100" w:after="100" w:line="240" w:lineRule="atLeast"/>
              <w:ind w:left="0" w:firstLine="0"/>
              <w:rPr>
                <w:rFonts w:cs="Arial"/>
                <w:sz w:val="18"/>
                <w:szCs w:val="18"/>
              </w:rPr>
            </w:pPr>
            <w:r>
              <w:rPr>
                <w:sz w:val="18"/>
              </w:rPr>
              <w:t>14.11</w:t>
            </w:r>
          </w:p>
        </w:tc>
        <w:tc>
          <w:tcPr>
            <w:tcW w:w="1458" w:type="dxa"/>
            <w:shd w:val="clear" w:color="auto" w:fill="auto"/>
          </w:tcPr>
          <w:p w:rsidR="00C01A94" w:rsidRPr="00C903F8" w:rsidRDefault="00C01A94" w:rsidP="00C01A94">
            <w:pPr>
              <w:spacing w:before="100" w:after="100" w:line="240" w:lineRule="atLeast"/>
              <w:ind w:left="0" w:firstLine="0"/>
              <w:rPr>
                <w:rFonts w:cs="Arial"/>
                <w:sz w:val="18"/>
                <w:szCs w:val="18"/>
              </w:rPr>
            </w:pPr>
          </w:p>
        </w:tc>
        <w:tc>
          <w:tcPr>
            <w:tcW w:w="3296" w:type="dxa"/>
            <w:shd w:val="clear" w:color="auto" w:fill="auto"/>
          </w:tcPr>
          <w:p w:rsidR="00C01A94" w:rsidRPr="00C903F8" w:rsidRDefault="00C01A94" w:rsidP="00C01A94">
            <w:pPr>
              <w:spacing w:before="100" w:after="100" w:line="240" w:lineRule="atLeast"/>
              <w:ind w:left="0" w:firstLine="0"/>
              <w:rPr>
                <w:rFonts w:cs="Arial"/>
                <w:sz w:val="18"/>
                <w:szCs w:val="18"/>
              </w:rPr>
            </w:pPr>
            <w:r>
              <w:rPr>
                <w:noProof/>
                <w:sz w:val="18"/>
              </w:rPr>
              <w:t>Verricelli</w:t>
            </w:r>
          </w:p>
        </w:tc>
        <w:tc>
          <w:tcPr>
            <w:tcW w:w="6521" w:type="dxa"/>
            <w:shd w:val="clear" w:color="auto" w:fill="auto"/>
          </w:tcPr>
          <w:p w:rsidR="00C01A94" w:rsidRPr="00C903F8" w:rsidRDefault="00C01A94" w:rsidP="00C01A94">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00" w:after="100" w:line="240" w:lineRule="atLeast"/>
              <w:ind w:left="0" w:firstLine="0"/>
              <w:rPr>
                <w:rFonts w:cs="Arial"/>
                <w:sz w:val="18"/>
                <w:szCs w:val="18"/>
              </w:rPr>
            </w:pPr>
            <w:r>
              <w:rPr>
                <w:sz w:val="18"/>
              </w:rPr>
              <w:t>1.1.2010</w:t>
            </w:r>
          </w:p>
        </w:tc>
      </w:tr>
      <w:tr w:rsidR="00C01A94" w:rsidRPr="00C903F8" w:rsidTr="00196FBC">
        <w:trPr>
          <w:cantSplit/>
          <w:jc w:val="center"/>
        </w:trPr>
        <w:tc>
          <w:tcPr>
            <w:tcW w:w="1342" w:type="dxa"/>
            <w:vMerge w:val="restart"/>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14.12</w:t>
            </w:r>
          </w:p>
        </w:tc>
        <w:tc>
          <w:tcPr>
            <w:tcW w:w="1458" w:type="dxa"/>
            <w:shd w:val="clear" w:color="auto" w:fill="auto"/>
          </w:tcPr>
          <w:p w:rsidR="00C01A94" w:rsidRPr="00F7713D" w:rsidRDefault="00C01A94" w:rsidP="00B74390">
            <w:pPr>
              <w:spacing w:before="80" w:after="80" w:line="240" w:lineRule="atLeast"/>
              <w:ind w:left="0" w:firstLine="0"/>
              <w:jc w:val="left"/>
              <w:rPr>
                <w:sz w:val="18"/>
                <w:szCs w:val="18"/>
              </w:rPr>
            </w:pPr>
            <w:r>
              <w:rPr>
                <w:sz w:val="18"/>
              </w:rPr>
              <w:t>paragrafo 2</w:t>
            </w:r>
          </w:p>
        </w:tc>
        <w:tc>
          <w:tcPr>
            <w:tcW w:w="3296" w:type="dxa"/>
            <w:shd w:val="clear" w:color="auto" w:fill="auto"/>
          </w:tcPr>
          <w:p w:rsidR="00C01A94" w:rsidRPr="00F7713D" w:rsidRDefault="00C01A94" w:rsidP="00B74390">
            <w:pPr>
              <w:spacing w:before="80" w:after="80" w:line="240" w:lineRule="atLeast"/>
              <w:rPr>
                <w:sz w:val="18"/>
                <w:szCs w:val="18"/>
              </w:rPr>
            </w:pPr>
            <w:r>
              <w:rPr>
                <w:sz w:val="18"/>
              </w:rPr>
              <w:t>Targhetta del costruttore</w:t>
            </w:r>
          </w:p>
        </w:tc>
        <w:tc>
          <w:tcPr>
            <w:tcW w:w="6521" w:type="dxa"/>
            <w:shd w:val="clear" w:color="auto" w:fill="auto"/>
          </w:tcPr>
          <w:p w:rsidR="00C01A94" w:rsidRPr="00F7713D" w:rsidRDefault="00C01A94" w:rsidP="00B74390">
            <w:pPr>
              <w:spacing w:before="80" w:after="8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1.1.2020</w:t>
            </w:r>
          </w:p>
        </w:tc>
      </w:tr>
      <w:tr w:rsidR="00C01A94" w:rsidRPr="0029395D" w:rsidTr="00196FBC">
        <w:trPr>
          <w:cantSplit/>
          <w:jc w:val="center"/>
        </w:trPr>
        <w:tc>
          <w:tcPr>
            <w:tcW w:w="1342" w:type="dxa"/>
            <w:vMerge/>
            <w:shd w:val="clear" w:color="auto" w:fill="auto"/>
          </w:tcPr>
          <w:p w:rsidR="00C01A94" w:rsidRPr="00C903F8" w:rsidRDefault="00C01A94" w:rsidP="00B74390">
            <w:pPr>
              <w:spacing w:before="80" w:after="80" w:line="240" w:lineRule="atLeast"/>
              <w:ind w:left="0" w:firstLine="0"/>
              <w:rPr>
                <w:rFonts w:cs="Arial"/>
                <w:sz w:val="18"/>
                <w:szCs w:val="18"/>
              </w:rPr>
            </w:pPr>
          </w:p>
        </w:tc>
        <w:tc>
          <w:tcPr>
            <w:tcW w:w="1458" w:type="dxa"/>
            <w:shd w:val="clear" w:color="auto" w:fill="auto"/>
          </w:tcPr>
          <w:p w:rsidR="00C01A94" w:rsidRPr="00F7713D" w:rsidRDefault="00C01A94" w:rsidP="00B74390">
            <w:pPr>
              <w:tabs>
                <w:tab w:val="left" w:pos="360"/>
              </w:tabs>
              <w:spacing w:before="80" w:after="80" w:line="240" w:lineRule="atLeast"/>
              <w:ind w:left="0" w:firstLine="0"/>
              <w:jc w:val="left"/>
              <w:rPr>
                <w:rFonts w:cs="Arial"/>
                <w:sz w:val="18"/>
                <w:szCs w:val="18"/>
              </w:rPr>
            </w:pPr>
            <w:r>
              <w:t xml:space="preserve">paragrafo 4 </w:t>
            </w:r>
            <w:r>
              <w:br/>
            </w:r>
            <w:r>
              <w:rPr>
                <w:sz w:val="18"/>
              </w:rPr>
              <w:t>prima frase</w:t>
            </w:r>
          </w:p>
        </w:tc>
        <w:tc>
          <w:tcPr>
            <w:tcW w:w="3296" w:type="dxa"/>
            <w:shd w:val="clear" w:color="auto" w:fill="auto"/>
          </w:tcPr>
          <w:p w:rsidR="00C01A94" w:rsidRPr="00F7713D" w:rsidRDefault="00C01A94" w:rsidP="00B74390">
            <w:pPr>
              <w:spacing w:before="80" w:after="80" w:line="240" w:lineRule="atLeast"/>
              <w:rPr>
                <w:sz w:val="18"/>
                <w:szCs w:val="18"/>
              </w:rPr>
            </w:pPr>
            <w:r>
              <w:rPr>
                <w:sz w:val="18"/>
              </w:rPr>
              <w:t>Dispositivi di sicurezza</w:t>
            </w:r>
          </w:p>
        </w:tc>
        <w:tc>
          <w:tcPr>
            <w:tcW w:w="6521" w:type="dxa"/>
            <w:shd w:val="clear" w:color="auto" w:fill="auto"/>
          </w:tcPr>
          <w:p w:rsidR="00C01A94" w:rsidRPr="00F7713D" w:rsidRDefault="00C01A94" w:rsidP="00B74390">
            <w:pPr>
              <w:spacing w:before="80" w:after="80" w:line="240" w:lineRule="atLeast"/>
              <w:ind w:left="0" w:firstLine="0"/>
              <w:rPr>
                <w:rFonts w:cs="Arial"/>
                <w:sz w:val="18"/>
                <w:szCs w:val="18"/>
              </w:rPr>
            </w:pPr>
            <w:r>
              <w:rPr>
                <w:sz w:val="18"/>
              </w:rPr>
              <w:t xml:space="preserve">N.S.T., al più tardi dopo il primo rinnovo del certificato per la navigazione interna posteriormente al </w:t>
            </w:r>
          </w:p>
        </w:tc>
        <w:tc>
          <w:tcPr>
            <w:tcW w:w="1276" w:type="dxa"/>
            <w:shd w:val="clear" w:color="auto" w:fill="auto"/>
          </w:tcPr>
          <w:p w:rsidR="00C01A94" w:rsidRPr="00F7713D" w:rsidRDefault="00C01A94" w:rsidP="00B74390">
            <w:pPr>
              <w:spacing w:before="80" w:after="80" w:line="240" w:lineRule="atLeast"/>
              <w:ind w:left="0" w:firstLine="0"/>
              <w:rPr>
                <w:rFonts w:cs="Arial"/>
                <w:sz w:val="18"/>
                <w:szCs w:val="18"/>
              </w:rPr>
            </w:pPr>
            <w:r>
              <w:rPr>
                <w:sz w:val="18"/>
              </w:rPr>
              <w:t>1.1.2020</w:t>
            </w:r>
          </w:p>
        </w:tc>
      </w:tr>
      <w:tr w:rsidR="00C01A94" w:rsidRPr="0029395D" w:rsidTr="0029395D">
        <w:trPr>
          <w:cantSplit/>
          <w:trHeight w:val="252"/>
          <w:jc w:val="center"/>
        </w:trPr>
        <w:tc>
          <w:tcPr>
            <w:tcW w:w="1342" w:type="dxa"/>
            <w:vMerge/>
            <w:shd w:val="clear" w:color="auto" w:fill="auto"/>
          </w:tcPr>
          <w:p w:rsidR="00C01A94" w:rsidRPr="0029395D" w:rsidRDefault="00C01A94" w:rsidP="00B74390">
            <w:pPr>
              <w:spacing w:before="80" w:after="80" w:line="240" w:lineRule="atLeast"/>
              <w:ind w:left="0" w:firstLine="0"/>
              <w:rPr>
                <w:rFonts w:cs="Arial"/>
                <w:sz w:val="18"/>
                <w:szCs w:val="18"/>
              </w:rPr>
            </w:pPr>
          </w:p>
        </w:tc>
        <w:tc>
          <w:tcPr>
            <w:tcW w:w="1458" w:type="dxa"/>
            <w:vMerge w:val="restart"/>
            <w:shd w:val="clear" w:color="auto" w:fill="auto"/>
          </w:tcPr>
          <w:p w:rsidR="00C01A94" w:rsidRPr="00F7713D" w:rsidRDefault="00C01A94" w:rsidP="00B74390">
            <w:pPr>
              <w:tabs>
                <w:tab w:val="left" w:pos="0"/>
              </w:tabs>
              <w:spacing w:before="80" w:after="80" w:line="240" w:lineRule="atLeast"/>
              <w:ind w:left="0" w:right="-231" w:firstLine="0"/>
              <w:jc w:val="left"/>
              <w:rPr>
                <w:rFonts w:cs="Arial"/>
                <w:sz w:val="18"/>
                <w:szCs w:val="18"/>
              </w:rPr>
            </w:pPr>
            <w:r>
              <w:rPr>
                <w:sz w:val="18"/>
              </w:rPr>
              <w:t xml:space="preserve">paragrafo 4 </w:t>
            </w:r>
            <w:r>
              <w:rPr>
                <w:rFonts w:cs="Arial"/>
                <w:sz w:val="18"/>
                <w:szCs w:val="18"/>
              </w:rPr>
              <w:br/>
            </w:r>
            <w:r>
              <w:rPr>
                <w:sz w:val="18"/>
              </w:rPr>
              <w:t>frase</w:t>
            </w:r>
          </w:p>
        </w:tc>
        <w:tc>
          <w:tcPr>
            <w:tcW w:w="3296" w:type="dxa"/>
            <w:vMerge w:val="restart"/>
            <w:shd w:val="clear" w:color="auto" w:fill="auto"/>
          </w:tcPr>
          <w:p w:rsidR="00C01A94" w:rsidRPr="00F7713D" w:rsidRDefault="00C01A94" w:rsidP="00B74390">
            <w:pPr>
              <w:spacing w:before="80" w:after="80" w:line="240" w:lineRule="atLeast"/>
              <w:rPr>
                <w:sz w:val="18"/>
                <w:szCs w:val="18"/>
              </w:rPr>
            </w:pPr>
            <w:r>
              <w:rPr>
                <w:sz w:val="18"/>
              </w:rPr>
              <w:t>Distanza di sicurezza</w:t>
            </w:r>
          </w:p>
        </w:tc>
        <w:tc>
          <w:tcPr>
            <w:tcW w:w="6521" w:type="dxa"/>
            <w:shd w:val="clear" w:color="auto" w:fill="auto"/>
          </w:tcPr>
          <w:p w:rsidR="00C01A94" w:rsidRPr="00F7713D" w:rsidRDefault="00C01A94" w:rsidP="00B74390">
            <w:pPr>
              <w:spacing w:before="80" w:after="8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vMerge w:val="restart"/>
            <w:shd w:val="clear" w:color="auto" w:fill="auto"/>
          </w:tcPr>
          <w:p w:rsidR="00C01A94" w:rsidRPr="00F7713D" w:rsidRDefault="00C01A94" w:rsidP="00B74390">
            <w:pPr>
              <w:spacing w:before="80" w:after="80" w:line="240" w:lineRule="atLeast"/>
              <w:ind w:left="0" w:firstLine="0"/>
              <w:rPr>
                <w:rFonts w:cs="Arial"/>
                <w:sz w:val="18"/>
                <w:szCs w:val="18"/>
              </w:rPr>
            </w:pPr>
            <w:r>
              <w:rPr>
                <w:sz w:val="18"/>
              </w:rPr>
              <w:t>1.1.2020</w:t>
            </w:r>
          </w:p>
        </w:tc>
      </w:tr>
      <w:tr w:rsidR="00C01A94" w:rsidRPr="00A0619C" w:rsidTr="00196FBC">
        <w:trPr>
          <w:cantSplit/>
          <w:trHeight w:val="251"/>
          <w:jc w:val="center"/>
        </w:trPr>
        <w:tc>
          <w:tcPr>
            <w:tcW w:w="1342" w:type="dxa"/>
            <w:vMerge/>
            <w:shd w:val="clear" w:color="auto" w:fill="auto"/>
          </w:tcPr>
          <w:p w:rsidR="00C01A94" w:rsidRPr="0029395D" w:rsidRDefault="00C01A94" w:rsidP="00B74390">
            <w:pPr>
              <w:spacing w:before="80" w:after="80" w:line="240" w:lineRule="atLeast"/>
              <w:ind w:left="0" w:firstLine="0"/>
              <w:rPr>
                <w:rFonts w:cs="Arial"/>
                <w:sz w:val="18"/>
                <w:szCs w:val="18"/>
              </w:rPr>
            </w:pPr>
          </w:p>
        </w:tc>
        <w:tc>
          <w:tcPr>
            <w:tcW w:w="1458" w:type="dxa"/>
            <w:vMerge/>
            <w:shd w:val="clear" w:color="auto" w:fill="auto"/>
          </w:tcPr>
          <w:p w:rsidR="00C01A94" w:rsidRPr="00F7713D" w:rsidRDefault="00C01A94" w:rsidP="00B74390">
            <w:pPr>
              <w:tabs>
                <w:tab w:val="left" w:pos="0"/>
              </w:tabs>
              <w:spacing w:before="80" w:after="80" w:line="240" w:lineRule="atLeast"/>
              <w:ind w:left="0" w:right="-231" w:firstLine="0"/>
              <w:jc w:val="left"/>
              <w:rPr>
                <w:rFonts w:cs="Arial"/>
                <w:sz w:val="18"/>
                <w:szCs w:val="18"/>
              </w:rPr>
            </w:pPr>
          </w:p>
        </w:tc>
        <w:tc>
          <w:tcPr>
            <w:tcW w:w="3296" w:type="dxa"/>
            <w:vMerge/>
            <w:shd w:val="clear" w:color="auto" w:fill="auto"/>
          </w:tcPr>
          <w:p w:rsidR="00C01A94" w:rsidRPr="00F7713D" w:rsidRDefault="00C01A94" w:rsidP="00B74390">
            <w:pPr>
              <w:spacing w:before="80" w:after="80" w:line="240" w:lineRule="atLeast"/>
              <w:rPr>
                <w:sz w:val="18"/>
                <w:szCs w:val="18"/>
              </w:rPr>
            </w:pPr>
          </w:p>
        </w:tc>
        <w:tc>
          <w:tcPr>
            <w:tcW w:w="6521" w:type="dxa"/>
            <w:shd w:val="clear" w:color="auto" w:fill="auto"/>
          </w:tcPr>
          <w:p w:rsidR="00C01A94" w:rsidRPr="00F7713D" w:rsidRDefault="00C01A94" w:rsidP="00B74390">
            <w:pPr>
              <w:spacing w:before="80" w:after="80" w:line="240" w:lineRule="atLeast"/>
              <w:ind w:left="0" w:firstLine="0"/>
              <w:rPr>
                <w:rFonts w:cs="Arial"/>
                <w:sz w:val="18"/>
                <w:szCs w:val="18"/>
              </w:rPr>
            </w:pPr>
            <w:r>
              <w:rPr>
                <w:sz w:val="18"/>
              </w:rPr>
              <w:t>Qualora tale disposizione non sia realizzabile nella pratica dopo la scadenza di tale data, le aree all'interno delle postazioni di lavoro e delle zone di passaggio nelle quali la distanza di sicurezza è inferiore a 0,50 m devono essere chiaramente contrassegnate come tali.</w:t>
            </w:r>
          </w:p>
        </w:tc>
        <w:tc>
          <w:tcPr>
            <w:tcW w:w="1276" w:type="dxa"/>
            <w:vMerge/>
            <w:shd w:val="clear" w:color="auto" w:fill="auto"/>
          </w:tcPr>
          <w:p w:rsidR="00C01A94" w:rsidRPr="00F7713D" w:rsidRDefault="00C01A94" w:rsidP="00B74390">
            <w:pPr>
              <w:spacing w:before="80" w:after="80" w:line="240" w:lineRule="atLeast"/>
              <w:ind w:left="0" w:firstLine="0"/>
              <w:rPr>
                <w:rFonts w:cs="Arial"/>
                <w:sz w:val="18"/>
                <w:szCs w:val="18"/>
              </w:rPr>
            </w:pPr>
          </w:p>
        </w:tc>
      </w:tr>
      <w:tr w:rsidR="00C01A94" w:rsidRPr="0029395D" w:rsidTr="00196FBC">
        <w:trPr>
          <w:cantSplit/>
          <w:jc w:val="center"/>
        </w:trPr>
        <w:tc>
          <w:tcPr>
            <w:tcW w:w="1342" w:type="dxa"/>
            <w:vMerge/>
            <w:shd w:val="clear" w:color="auto" w:fill="auto"/>
          </w:tcPr>
          <w:p w:rsidR="00C01A94" w:rsidRPr="0029395D" w:rsidRDefault="00C01A94" w:rsidP="00B74390">
            <w:pPr>
              <w:spacing w:before="80" w:after="80" w:line="240" w:lineRule="atLeast"/>
              <w:ind w:left="0" w:firstLine="0"/>
              <w:rPr>
                <w:rFonts w:cs="Arial"/>
                <w:sz w:val="18"/>
                <w:szCs w:val="18"/>
              </w:rPr>
            </w:pPr>
          </w:p>
        </w:tc>
        <w:tc>
          <w:tcPr>
            <w:tcW w:w="1458" w:type="dxa"/>
            <w:shd w:val="clear" w:color="auto" w:fill="auto"/>
          </w:tcPr>
          <w:p w:rsidR="00C01A94" w:rsidRPr="00F7713D" w:rsidRDefault="00C01A94" w:rsidP="00B74390">
            <w:pPr>
              <w:tabs>
                <w:tab w:val="left" w:pos="180"/>
              </w:tabs>
              <w:spacing w:before="80" w:after="80" w:line="240" w:lineRule="atLeast"/>
              <w:ind w:left="0" w:firstLine="0"/>
              <w:rPr>
                <w:rFonts w:cs="Arial"/>
                <w:sz w:val="18"/>
                <w:szCs w:val="18"/>
              </w:rPr>
            </w:pPr>
            <w:r>
              <w:rPr>
                <w:sz w:val="18"/>
              </w:rPr>
              <w:t>paragrafo 5</w:t>
            </w:r>
          </w:p>
        </w:tc>
        <w:tc>
          <w:tcPr>
            <w:tcW w:w="3296" w:type="dxa"/>
            <w:shd w:val="clear" w:color="auto" w:fill="auto"/>
          </w:tcPr>
          <w:p w:rsidR="00C01A94" w:rsidRPr="00F7713D" w:rsidRDefault="00C01A94" w:rsidP="00B74390">
            <w:pPr>
              <w:spacing w:before="80" w:after="80" w:line="240" w:lineRule="atLeast"/>
              <w:rPr>
                <w:rFonts w:cs="Arial"/>
                <w:sz w:val="18"/>
                <w:szCs w:val="18"/>
              </w:rPr>
            </w:pPr>
            <w:r>
              <w:rPr>
                <w:sz w:val="18"/>
              </w:rPr>
              <w:t>Sicurezza durante l'esercizio</w:t>
            </w:r>
          </w:p>
        </w:tc>
        <w:tc>
          <w:tcPr>
            <w:tcW w:w="6521" w:type="dxa"/>
            <w:shd w:val="clear" w:color="auto" w:fill="auto"/>
          </w:tcPr>
          <w:p w:rsidR="00C01A94" w:rsidRPr="00F7713D" w:rsidRDefault="00C01A94" w:rsidP="00B74390">
            <w:pPr>
              <w:spacing w:before="80" w:after="80" w:line="240" w:lineRule="atLeast"/>
              <w:ind w:left="0" w:firstLine="0"/>
              <w:rPr>
                <w:rFonts w:cs="Arial"/>
                <w:sz w:val="18"/>
                <w:szCs w:val="18"/>
              </w:rPr>
            </w:pPr>
            <w:r>
              <w:rPr>
                <w:sz w:val="18"/>
              </w:rPr>
              <w:t>N.S.T., al più tardi dopo il primo rinnovo del certificato per la navigazione interna posteriormente al</w:t>
            </w:r>
          </w:p>
        </w:tc>
        <w:tc>
          <w:tcPr>
            <w:tcW w:w="1276" w:type="dxa"/>
            <w:shd w:val="clear" w:color="auto" w:fill="auto"/>
          </w:tcPr>
          <w:p w:rsidR="00C01A94" w:rsidRPr="00F7713D" w:rsidRDefault="00C01A94" w:rsidP="00B74390">
            <w:pPr>
              <w:spacing w:before="80" w:after="80" w:line="240" w:lineRule="atLeast"/>
              <w:ind w:left="0" w:firstLine="0"/>
              <w:rPr>
                <w:rFonts w:cs="Arial"/>
                <w:sz w:val="18"/>
                <w:szCs w:val="18"/>
              </w:rPr>
            </w:pPr>
            <w:r>
              <w:rPr>
                <w:sz w:val="18"/>
              </w:rPr>
              <w:t>1.1.2020</w:t>
            </w:r>
          </w:p>
        </w:tc>
      </w:tr>
      <w:tr w:rsidR="00C01A94" w:rsidRPr="0029395D" w:rsidTr="0029395D">
        <w:trPr>
          <w:cantSplit/>
          <w:trHeight w:val="197"/>
          <w:jc w:val="center"/>
        </w:trPr>
        <w:tc>
          <w:tcPr>
            <w:tcW w:w="1342" w:type="dxa"/>
            <w:vMerge/>
            <w:shd w:val="clear" w:color="auto" w:fill="auto"/>
          </w:tcPr>
          <w:p w:rsidR="00C01A94" w:rsidRPr="0029395D" w:rsidRDefault="00C01A94" w:rsidP="00B74390">
            <w:pPr>
              <w:spacing w:before="80" w:after="80" w:line="240" w:lineRule="atLeast"/>
              <w:ind w:left="0" w:firstLine="0"/>
              <w:rPr>
                <w:rFonts w:cs="Arial"/>
                <w:sz w:val="18"/>
                <w:szCs w:val="18"/>
              </w:rPr>
            </w:pPr>
          </w:p>
        </w:tc>
        <w:tc>
          <w:tcPr>
            <w:tcW w:w="1458" w:type="dxa"/>
            <w:vMerge w:val="restart"/>
            <w:shd w:val="clear" w:color="auto" w:fill="auto"/>
          </w:tcPr>
          <w:p w:rsidR="00C01A94" w:rsidRPr="00F7713D" w:rsidRDefault="00C01A94" w:rsidP="00B74390">
            <w:pPr>
              <w:tabs>
                <w:tab w:val="left" w:pos="720"/>
              </w:tabs>
              <w:spacing w:before="80" w:after="80" w:line="240" w:lineRule="atLeast"/>
              <w:ind w:left="0" w:firstLine="0"/>
              <w:rPr>
                <w:rFonts w:cs="Arial"/>
                <w:sz w:val="18"/>
                <w:szCs w:val="18"/>
              </w:rPr>
            </w:pPr>
            <w:r>
              <w:rPr>
                <w:sz w:val="18"/>
              </w:rPr>
              <w:t>paragrafo 9</w:t>
            </w:r>
          </w:p>
        </w:tc>
        <w:tc>
          <w:tcPr>
            <w:tcW w:w="3296" w:type="dxa"/>
            <w:vMerge w:val="restart"/>
            <w:shd w:val="clear" w:color="auto" w:fill="auto"/>
          </w:tcPr>
          <w:p w:rsidR="00C01A94" w:rsidRPr="00F7713D" w:rsidRDefault="00C01A94" w:rsidP="00B74390">
            <w:pPr>
              <w:spacing w:before="80" w:after="80" w:line="240" w:lineRule="atLeast"/>
              <w:rPr>
                <w:rFonts w:cs="Arial"/>
                <w:sz w:val="18"/>
                <w:szCs w:val="18"/>
              </w:rPr>
            </w:pPr>
            <w:r>
              <w:rPr>
                <w:sz w:val="18"/>
              </w:rPr>
              <w:t>Istruzioni per l’uso</w:t>
            </w:r>
          </w:p>
        </w:tc>
        <w:tc>
          <w:tcPr>
            <w:tcW w:w="6521" w:type="dxa"/>
            <w:shd w:val="clear" w:color="auto" w:fill="auto"/>
          </w:tcPr>
          <w:p w:rsidR="00C01A94" w:rsidRPr="00F7713D" w:rsidRDefault="00C01A94" w:rsidP="00B74390">
            <w:pPr>
              <w:spacing w:before="80" w:after="80" w:line="240" w:lineRule="atLeast"/>
              <w:ind w:left="0" w:firstLine="0"/>
              <w:rPr>
                <w:rFonts w:cs="Arial"/>
                <w:sz w:val="18"/>
                <w:szCs w:val="18"/>
              </w:rPr>
            </w:pPr>
            <w:r>
              <w:rPr>
                <w:sz w:val="18"/>
              </w:rPr>
              <w:t>N.S.T., al più tardi dopo il primo rinnovo del certificato per la navigazione interna posteriormente al</w:t>
            </w:r>
          </w:p>
        </w:tc>
        <w:tc>
          <w:tcPr>
            <w:tcW w:w="1276" w:type="dxa"/>
            <w:vMerge w:val="restart"/>
            <w:shd w:val="clear" w:color="auto" w:fill="auto"/>
          </w:tcPr>
          <w:p w:rsidR="00C01A94" w:rsidRPr="00F7713D" w:rsidRDefault="00C01A94" w:rsidP="00B74390">
            <w:pPr>
              <w:spacing w:before="80" w:after="80" w:line="240" w:lineRule="atLeast"/>
              <w:ind w:left="0" w:firstLine="0"/>
              <w:rPr>
                <w:rFonts w:cs="Arial"/>
                <w:sz w:val="18"/>
                <w:szCs w:val="18"/>
              </w:rPr>
            </w:pPr>
            <w:r>
              <w:rPr>
                <w:sz w:val="18"/>
              </w:rPr>
              <w:t>1.1.2020</w:t>
            </w:r>
          </w:p>
        </w:tc>
      </w:tr>
      <w:tr w:rsidR="00C01A94" w:rsidRPr="00A0619C" w:rsidTr="00196FBC">
        <w:trPr>
          <w:cantSplit/>
          <w:trHeight w:val="197"/>
          <w:jc w:val="center"/>
        </w:trPr>
        <w:tc>
          <w:tcPr>
            <w:tcW w:w="1342" w:type="dxa"/>
            <w:vMerge/>
            <w:shd w:val="clear" w:color="auto" w:fill="auto"/>
          </w:tcPr>
          <w:p w:rsidR="00C01A94" w:rsidRPr="0029395D" w:rsidRDefault="00C01A94" w:rsidP="00B74390">
            <w:pPr>
              <w:spacing w:before="80" w:after="80" w:line="240" w:lineRule="atLeast"/>
              <w:ind w:left="0" w:firstLine="0"/>
              <w:rPr>
                <w:rFonts w:cs="Arial"/>
                <w:sz w:val="18"/>
                <w:szCs w:val="18"/>
              </w:rPr>
            </w:pPr>
          </w:p>
        </w:tc>
        <w:tc>
          <w:tcPr>
            <w:tcW w:w="1458" w:type="dxa"/>
            <w:vMerge/>
            <w:shd w:val="clear" w:color="auto" w:fill="auto"/>
          </w:tcPr>
          <w:p w:rsidR="00C01A94" w:rsidRPr="0029395D" w:rsidRDefault="00C01A94" w:rsidP="00B74390">
            <w:pPr>
              <w:tabs>
                <w:tab w:val="left" w:pos="720"/>
              </w:tabs>
              <w:spacing w:before="80" w:after="80" w:line="240" w:lineRule="atLeast"/>
              <w:ind w:left="0" w:firstLine="0"/>
              <w:rPr>
                <w:rFonts w:cs="Arial"/>
                <w:sz w:val="18"/>
                <w:szCs w:val="18"/>
                <w:highlight w:val="lightGray"/>
              </w:rPr>
            </w:pPr>
          </w:p>
        </w:tc>
        <w:tc>
          <w:tcPr>
            <w:tcW w:w="3296" w:type="dxa"/>
            <w:vMerge/>
            <w:shd w:val="clear" w:color="auto" w:fill="auto"/>
          </w:tcPr>
          <w:p w:rsidR="00C01A94" w:rsidRPr="0029395D" w:rsidRDefault="00C01A94" w:rsidP="00B74390">
            <w:pPr>
              <w:spacing w:before="80" w:after="80" w:line="240" w:lineRule="atLeast"/>
              <w:rPr>
                <w:rFonts w:cs="Arial"/>
                <w:sz w:val="18"/>
                <w:szCs w:val="18"/>
                <w:highlight w:val="lightGray"/>
              </w:rPr>
            </w:pPr>
          </w:p>
        </w:tc>
        <w:tc>
          <w:tcPr>
            <w:tcW w:w="6521" w:type="dxa"/>
            <w:shd w:val="clear" w:color="auto" w:fill="auto"/>
          </w:tcPr>
          <w:p w:rsidR="00C01A94" w:rsidRPr="00F7713D" w:rsidRDefault="00C01A94" w:rsidP="00B74390">
            <w:pPr>
              <w:spacing w:before="80" w:after="80" w:line="240" w:lineRule="atLeast"/>
              <w:ind w:left="0" w:firstLine="0"/>
              <w:rPr>
                <w:rFonts w:cs="Arial"/>
                <w:sz w:val="18"/>
                <w:szCs w:val="18"/>
              </w:rPr>
            </w:pPr>
            <w:r>
              <w:rPr>
                <w:sz w:val="18"/>
              </w:rPr>
              <w:t>Se, dopo tale data, non è più possibile ottenere istruzioni d'uso dal costruttore, le stesse saranno scritte da uno specialista. Successivamente, a partire dalla prima prova in conformità dell'articolo 14.12, paragrafo 6, lettera c), tali istruzioni d'uso saranno approvate dall'esperto che svolge detta prova.</w:t>
            </w:r>
          </w:p>
        </w:tc>
        <w:tc>
          <w:tcPr>
            <w:tcW w:w="1276" w:type="dxa"/>
            <w:vMerge/>
            <w:shd w:val="clear" w:color="auto" w:fill="auto"/>
          </w:tcPr>
          <w:p w:rsidR="00C01A94" w:rsidRPr="0029395D" w:rsidRDefault="00C01A94" w:rsidP="00B74390">
            <w:pPr>
              <w:spacing w:before="80" w:after="80" w:line="240" w:lineRule="atLeast"/>
              <w:ind w:left="0" w:firstLine="0"/>
              <w:rPr>
                <w:rFonts w:cs="Arial"/>
                <w:sz w:val="18"/>
                <w:szCs w:val="18"/>
              </w:rPr>
            </w:pPr>
          </w:p>
        </w:tc>
      </w:tr>
      <w:tr w:rsidR="00C01A94" w:rsidRPr="00C903F8" w:rsidTr="00196FBC">
        <w:trPr>
          <w:cantSplit/>
          <w:jc w:val="center"/>
        </w:trPr>
        <w:tc>
          <w:tcPr>
            <w:tcW w:w="6096" w:type="dxa"/>
            <w:gridSpan w:val="3"/>
            <w:shd w:val="clear" w:color="auto" w:fill="auto"/>
          </w:tcPr>
          <w:p w:rsidR="00C01A94" w:rsidRPr="00C903F8" w:rsidRDefault="00C01A94" w:rsidP="00C01A94">
            <w:pPr>
              <w:spacing w:before="100" w:after="100" w:line="240" w:lineRule="atLeast"/>
              <w:ind w:left="0" w:firstLine="0"/>
              <w:jc w:val="center"/>
              <w:rPr>
                <w:rFonts w:cs="Arial"/>
                <w:sz w:val="18"/>
                <w:szCs w:val="18"/>
              </w:rPr>
            </w:pPr>
            <w:r>
              <w:rPr>
                <w:b/>
                <w:sz w:val="18"/>
              </w:rPr>
              <w:t>CAPO 15</w:t>
            </w:r>
          </w:p>
        </w:tc>
        <w:tc>
          <w:tcPr>
            <w:tcW w:w="6521" w:type="dxa"/>
            <w:shd w:val="clear" w:color="auto" w:fill="auto"/>
          </w:tcPr>
          <w:p w:rsidR="00C01A94" w:rsidRPr="00C903F8" w:rsidRDefault="00C01A94" w:rsidP="00C01A94">
            <w:pPr>
              <w:spacing w:before="100" w:after="100" w:line="240" w:lineRule="atLeast"/>
              <w:ind w:left="0" w:firstLine="0"/>
              <w:rPr>
                <w:rFonts w:cs="Arial"/>
                <w:sz w:val="18"/>
                <w:szCs w:val="18"/>
              </w:rPr>
            </w:pPr>
          </w:p>
        </w:tc>
        <w:tc>
          <w:tcPr>
            <w:tcW w:w="1276" w:type="dxa"/>
            <w:shd w:val="clear" w:color="auto" w:fill="auto"/>
          </w:tcPr>
          <w:p w:rsidR="00C01A94" w:rsidRPr="00C903F8" w:rsidRDefault="00C01A94" w:rsidP="00C01A94">
            <w:pPr>
              <w:spacing w:before="100" w:after="100" w:line="240" w:lineRule="atLeast"/>
              <w:ind w:left="0" w:firstLine="0"/>
              <w:rPr>
                <w:rFonts w:cs="Arial"/>
                <w:sz w:val="18"/>
                <w:szCs w:val="18"/>
              </w:rPr>
            </w:pPr>
          </w:p>
        </w:tc>
      </w:tr>
      <w:tr w:rsidR="00C01A94" w:rsidRPr="00C903F8" w:rsidTr="00196FBC">
        <w:trPr>
          <w:cantSplit/>
          <w:jc w:val="center"/>
        </w:trPr>
        <w:tc>
          <w:tcPr>
            <w:tcW w:w="1342" w:type="dxa"/>
            <w:tcBorders>
              <w:bottom w:val="single" w:sz="4" w:space="0" w:color="auto"/>
            </w:tcBorders>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15.01</w:t>
            </w:r>
          </w:p>
        </w:tc>
        <w:tc>
          <w:tcPr>
            <w:tcW w:w="1458"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paragrafo 1</w:t>
            </w:r>
          </w:p>
        </w:tc>
        <w:tc>
          <w:tcPr>
            <w:tcW w:w="3296" w:type="dxa"/>
            <w:shd w:val="clear" w:color="auto" w:fill="auto"/>
          </w:tcPr>
          <w:p w:rsidR="00C01A94" w:rsidRPr="00C903F8" w:rsidRDefault="00C01A94" w:rsidP="00B74390">
            <w:pPr>
              <w:spacing w:before="80" w:after="80" w:line="240" w:lineRule="atLeast"/>
              <w:ind w:left="0" w:firstLine="0"/>
              <w:rPr>
                <w:rFonts w:cs="Arial"/>
                <w:sz w:val="18"/>
                <w:szCs w:val="18"/>
              </w:rPr>
            </w:pPr>
            <w:r>
              <w:rPr>
                <w:noProof/>
                <w:sz w:val="18"/>
              </w:rPr>
              <w:t>Alloggi per le persone che vivono abitualmente a bordo</w:t>
            </w:r>
          </w:p>
        </w:tc>
        <w:tc>
          <w:tcPr>
            <w:tcW w:w="6521"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1.1.2035</w:t>
            </w:r>
          </w:p>
        </w:tc>
      </w:tr>
      <w:tr w:rsidR="00C01A94" w:rsidRPr="00C903F8" w:rsidTr="00196FBC">
        <w:trPr>
          <w:cantSplit/>
          <w:jc w:val="center"/>
        </w:trPr>
        <w:tc>
          <w:tcPr>
            <w:tcW w:w="1342" w:type="dxa"/>
            <w:tcBorders>
              <w:bottom w:val="nil"/>
            </w:tcBorders>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15.02</w:t>
            </w:r>
          </w:p>
        </w:tc>
        <w:tc>
          <w:tcPr>
            <w:tcW w:w="1458"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paragrafo 3</w:t>
            </w:r>
          </w:p>
        </w:tc>
        <w:tc>
          <w:tcPr>
            <w:tcW w:w="3296" w:type="dxa"/>
            <w:shd w:val="clear" w:color="auto" w:fill="auto"/>
          </w:tcPr>
          <w:p w:rsidR="00C01A94" w:rsidRPr="00C903F8" w:rsidRDefault="00C01A94" w:rsidP="00B74390">
            <w:pPr>
              <w:spacing w:before="80" w:after="80" w:line="240" w:lineRule="atLeast"/>
              <w:ind w:left="0" w:firstLine="0"/>
              <w:rPr>
                <w:rFonts w:cs="Arial"/>
                <w:sz w:val="18"/>
                <w:szCs w:val="18"/>
              </w:rPr>
            </w:pPr>
            <w:r>
              <w:rPr>
                <w:noProof/>
                <w:sz w:val="18"/>
              </w:rPr>
              <w:t>Ubicazione dei pavimenti</w:t>
            </w:r>
          </w:p>
        </w:tc>
        <w:tc>
          <w:tcPr>
            <w:tcW w:w="6521"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1.1.2035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80" w:after="8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paragrafo 4</w:t>
            </w:r>
          </w:p>
        </w:tc>
        <w:tc>
          <w:tcPr>
            <w:tcW w:w="3296"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Locali di soggiorno comuni e camere da letto</w:t>
            </w:r>
          </w:p>
        </w:tc>
        <w:tc>
          <w:tcPr>
            <w:tcW w:w="6521"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1.1.2035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80" w:after="8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paragrafo 6</w:t>
            </w:r>
          </w:p>
        </w:tc>
        <w:tc>
          <w:tcPr>
            <w:tcW w:w="3296" w:type="dxa"/>
            <w:shd w:val="clear" w:color="auto" w:fill="auto"/>
          </w:tcPr>
          <w:p w:rsidR="00C01A94" w:rsidRPr="00C903F8" w:rsidRDefault="00C01A94" w:rsidP="00B74390">
            <w:pPr>
              <w:spacing w:before="80" w:after="80" w:line="240" w:lineRule="atLeast"/>
              <w:ind w:left="0" w:firstLine="0"/>
              <w:rPr>
                <w:rFonts w:cs="Arial"/>
                <w:sz w:val="18"/>
                <w:szCs w:val="18"/>
              </w:rPr>
            </w:pPr>
            <w:r>
              <w:rPr>
                <w:noProof/>
                <w:sz w:val="18"/>
              </w:rPr>
              <w:t>Altezza libera negli alloggi</w:t>
            </w:r>
          </w:p>
        </w:tc>
        <w:tc>
          <w:tcPr>
            <w:tcW w:w="6521"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1.1.2035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paragrafo 8</w:t>
            </w:r>
          </w:p>
        </w:tc>
        <w:tc>
          <w:tcPr>
            <w:tcW w:w="3296" w:type="dxa"/>
            <w:shd w:val="clear" w:color="auto" w:fill="auto"/>
          </w:tcPr>
          <w:p w:rsidR="00C01A94" w:rsidRPr="00C903F8" w:rsidRDefault="00C01A94" w:rsidP="00C01A94">
            <w:pPr>
              <w:spacing w:before="160" w:after="160" w:line="240" w:lineRule="atLeast"/>
              <w:ind w:left="0" w:firstLine="0"/>
              <w:rPr>
                <w:rFonts w:cs="Arial"/>
                <w:sz w:val="18"/>
                <w:szCs w:val="18"/>
              </w:rPr>
            </w:pPr>
            <w:r>
              <w:rPr>
                <w:noProof/>
                <w:sz w:val="18"/>
              </w:rPr>
              <w:t>Superficie disponibile al suolo nei locali di soggiorno comuni</w:t>
            </w:r>
          </w:p>
        </w:tc>
        <w:tc>
          <w:tcPr>
            <w:tcW w:w="6521"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1.1.2035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paragrafo 9</w:t>
            </w:r>
          </w:p>
        </w:tc>
        <w:tc>
          <w:tcPr>
            <w:tcW w:w="3296" w:type="dxa"/>
            <w:shd w:val="clear" w:color="auto" w:fill="auto"/>
          </w:tcPr>
          <w:p w:rsidR="00C01A94" w:rsidRPr="00C903F8" w:rsidRDefault="00C01A94" w:rsidP="00C01A94">
            <w:pPr>
              <w:spacing w:before="160" w:after="160" w:line="240" w:lineRule="atLeast"/>
              <w:ind w:left="0" w:firstLine="0"/>
              <w:rPr>
                <w:rFonts w:cs="Arial"/>
                <w:sz w:val="18"/>
                <w:szCs w:val="18"/>
              </w:rPr>
            </w:pPr>
            <w:r>
              <w:rPr>
                <w:noProof/>
                <w:sz w:val="18"/>
              </w:rPr>
              <w:t>Volume dei locali</w:t>
            </w:r>
          </w:p>
        </w:tc>
        <w:tc>
          <w:tcPr>
            <w:tcW w:w="6521"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1.1.2035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paragrafo 10</w:t>
            </w:r>
          </w:p>
        </w:tc>
        <w:tc>
          <w:tcPr>
            <w:tcW w:w="3296" w:type="dxa"/>
            <w:shd w:val="clear" w:color="auto" w:fill="auto"/>
          </w:tcPr>
          <w:p w:rsidR="00C01A94" w:rsidRPr="00C903F8" w:rsidRDefault="00C01A94" w:rsidP="00C01A94">
            <w:pPr>
              <w:spacing w:before="160" w:after="160" w:line="240" w:lineRule="atLeast"/>
              <w:ind w:left="0" w:firstLine="0"/>
              <w:rPr>
                <w:rFonts w:cs="Arial"/>
                <w:sz w:val="18"/>
                <w:szCs w:val="18"/>
              </w:rPr>
            </w:pPr>
            <w:r>
              <w:rPr>
                <w:noProof/>
                <w:sz w:val="18"/>
              </w:rPr>
              <w:t>Volume minimo d'aria per occupante</w:t>
            </w:r>
          </w:p>
        </w:tc>
        <w:tc>
          <w:tcPr>
            <w:tcW w:w="6521"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1.1.2035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paragrafo 11</w:t>
            </w:r>
          </w:p>
        </w:tc>
        <w:tc>
          <w:tcPr>
            <w:tcW w:w="3296" w:type="dxa"/>
            <w:shd w:val="clear" w:color="auto" w:fill="auto"/>
          </w:tcPr>
          <w:p w:rsidR="00C01A94" w:rsidRPr="00C903F8" w:rsidRDefault="00C01A94" w:rsidP="00C01A94">
            <w:pPr>
              <w:spacing w:before="160" w:after="160" w:line="240" w:lineRule="atLeast"/>
              <w:jc w:val="left"/>
              <w:rPr>
                <w:rFonts w:cs="Arial"/>
                <w:noProof/>
                <w:sz w:val="18"/>
                <w:szCs w:val="18"/>
              </w:rPr>
            </w:pPr>
            <w:r>
              <w:rPr>
                <w:noProof/>
                <w:sz w:val="18"/>
              </w:rPr>
              <w:t>Dimensioni delle porte</w:t>
            </w:r>
          </w:p>
        </w:tc>
        <w:tc>
          <w:tcPr>
            <w:tcW w:w="6521"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1.1.2035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paragrafo 12, lettere a) e b)</w:t>
            </w:r>
          </w:p>
        </w:tc>
        <w:tc>
          <w:tcPr>
            <w:tcW w:w="3296" w:type="dxa"/>
            <w:shd w:val="clear" w:color="auto" w:fill="auto"/>
          </w:tcPr>
          <w:p w:rsidR="00C01A94" w:rsidRPr="00C903F8" w:rsidRDefault="00C01A94" w:rsidP="00C01A94">
            <w:pPr>
              <w:spacing w:before="160" w:after="160" w:line="240" w:lineRule="atLeast"/>
              <w:jc w:val="left"/>
              <w:rPr>
                <w:rFonts w:cs="Arial"/>
                <w:noProof/>
                <w:sz w:val="18"/>
                <w:szCs w:val="18"/>
              </w:rPr>
            </w:pPr>
            <w:r>
              <w:rPr>
                <w:noProof/>
                <w:sz w:val="18"/>
              </w:rPr>
              <w:t>Caratteristiche delle scale</w:t>
            </w:r>
          </w:p>
        </w:tc>
        <w:tc>
          <w:tcPr>
            <w:tcW w:w="6521"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1.1.2035</w:t>
            </w:r>
          </w:p>
        </w:tc>
      </w:tr>
      <w:tr w:rsidR="00C01A94" w:rsidRPr="00C903F8" w:rsidTr="00196FBC">
        <w:trPr>
          <w:cantSplit/>
          <w:jc w:val="center"/>
        </w:trPr>
        <w:tc>
          <w:tcPr>
            <w:tcW w:w="1342" w:type="dxa"/>
            <w:tcBorders>
              <w:top w:val="nil"/>
            </w:tcBorders>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paragrafo 13</w:t>
            </w:r>
          </w:p>
        </w:tc>
        <w:tc>
          <w:tcPr>
            <w:tcW w:w="3296" w:type="dxa"/>
            <w:shd w:val="clear" w:color="auto" w:fill="auto"/>
          </w:tcPr>
          <w:p w:rsidR="00C01A94" w:rsidRPr="00C903F8" w:rsidRDefault="00C01A94" w:rsidP="00C01A94">
            <w:pPr>
              <w:spacing w:before="160" w:after="160" w:line="240" w:lineRule="atLeast"/>
              <w:ind w:left="0" w:firstLine="0"/>
              <w:jc w:val="left"/>
              <w:rPr>
                <w:rFonts w:cs="Arial"/>
                <w:noProof/>
                <w:sz w:val="18"/>
                <w:szCs w:val="18"/>
              </w:rPr>
            </w:pPr>
            <w:r>
              <w:rPr>
                <w:noProof/>
                <w:sz w:val="18"/>
              </w:rPr>
              <w:t>Condutture di gas e liquidi pericolosi</w:t>
            </w:r>
          </w:p>
        </w:tc>
        <w:tc>
          <w:tcPr>
            <w:tcW w:w="6521"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1.1.2035</w:t>
            </w:r>
          </w:p>
        </w:tc>
      </w:tr>
      <w:tr w:rsidR="00C01A94" w:rsidRPr="00C903F8" w:rsidTr="00196FBC">
        <w:trPr>
          <w:cantSplit/>
          <w:jc w:val="center"/>
        </w:trPr>
        <w:tc>
          <w:tcPr>
            <w:tcW w:w="1342"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15.03</w:t>
            </w:r>
          </w:p>
        </w:tc>
        <w:tc>
          <w:tcPr>
            <w:tcW w:w="1458" w:type="dxa"/>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3296" w:type="dxa"/>
            <w:shd w:val="clear" w:color="auto" w:fill="auto"/>
          </w:tcPr>
          <w:p w:rsidR="00C01A94" w:rsidRPr="00C903F8" w:rsidRDefault="00C01A94" w:rsidP="00C01A94">
            <w:pPr>
              <w:spacing w:before="160" w:after="160" w:line="240" w:lineRule="atLeast"/>
              <w:jc w:val="left"/>
              <w:rPr>
                <w:rFonts w:cs="Arial"/>
                <w:noProof/>
                <w:sz w:val="18"/>
                <w:szCs w:val="18"/>
              </w:rPr>
            </w:pPr>
            <w:r>
              <w:rPr>
                <w:noProof/>
                <w:sz w:val="18"/>
              </w:rPr>
              <w:t>Servizi igienici</w:t>
            </w:r>
          </w:p>
        </w:tc>
        <w:tc>
          <w:tcPr>
            <w:tcW w:w="6521"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1.1.2035</w:t>
            </w:r>
          </w:p>
        </w:tc>
      </w:tr>
      <w:tr w:rsidR="00C01A94" w:rsidRPr="00C903F8" w:rsidTr="00196FBC">
        <w:trPr>
          <w:cantSplit/>
          <w:jc w:val="center"/>
        </w:trPr>
        <w:tc>
          <w:tcPr>
            <w:tcW w:w="1342"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15.04</w:t>
            </w:r>
          </w:p>
        </w:tc>
        <w:tc>
          <w:tcPr>
            <w:tcW w:w="1458" w:type="dxa"/>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3296" w:type="dxa"/>
            <w:shd w:val="clear" w:color="auto" w:fill="auto"/>
          </w:tcPr>
          <w:p w:rsidR="00C01A94" w:rsidRPr="00C903F8" w:rsidRDefault="00C01A94" w:rsidP="00C01A94">
            <w:pPr>
              <w:spacing w:before="160" w:after="160" w:line="240" w:lineRule="atLeast"/>
              <w:jc w:val="left"/>
              <w:rPr>
                <w:rFonts w:cs="Arial"/>
                <w:noProof/>
                <w:sz w:val="18"/>
                <w:szCs w:val="18"/>
              </w:rPr>
            </w:pPr>
            <w:r>
              <w:rPr>
                <w:noProof/>
                <w:sz w:val="18"/>
              </w:rPr>
              <w:t>Cucine</w:t>
            </w:r>
          </w:p>
        </w:tc>
        <w:tc>
          <w:tcPr>
            <w:tcW w:w="6521"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1.1.2035</w:t>
            </w:r>
          </w:p>
        </w:tc>
      </w:tr>
      <w:tr w:rsidR="00C01A94" w:rsidRPr="00C903F8" w:rsidTr="00196FBC">
        <w:trPr>
          <w:cantSplit/>
          <w:jc w:val="center"/>
        </w:trPr>
        <w:tc>
          <w:tcPr>
            <w:tcW w:w="1342"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15.06</w:t>
            </w:r>
          </w:p>
        </w:tc>
        <w:tc>
          <w:tcPr>
            <w:tcW w:w="1458" w:type="dxa"/>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3296" w:type="dxa"/>
            <w:shd w:val="clear" w:color="auto" w:fill="auto"/>
          </w:tcPr>
          <w:p w:rsidR="00C01A94" w:rsidRPr="00C903F8" w:rsidRDefault="00C01A94" w:rsidP="00C01A94">
            <w:pPr>
              <w:spacing w:before="160" w:after="160" w:line="240" w:lineRule="atLeast"/>
              <w:rPr>
                <w:rFonts w:cs="Arial"/>
                <w:color w:val="000000"/>
                <w:sz w:val="18"/>
                <w:szCs w:val="18"/>
              </w:rPr>
            </w:pPr>
            <w:r>
              <w:rPr>
                <w:noProof/>
                <w:sz w:val="18"/>
              </w:rPr>
              <w:t>Riscaldamento e ventilazione</w:t>
            </w:r>
          </w:p>
        </w:tc>
        <w:tc>
          <w:tcPr>
            <w:tcW w:w="6521"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1.1.2035</w:t>
            </w:r>
          </w:p>
        </w:tc>
      </w:tr>
      <w:tr w:rsidR="00C01A94" w:rsidRPr="00C903F8" w:rsidTr="00196FBC">
        <w:trPr>
          <w:cantSplit/>
          <w:jc w:val="center"/>
        </w:trPr>
        <w:tc>
          <w:tcPr>
            <w:tcW w:w="1342"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15.07</w:t>
            </w:r>
          </w:p>
        </w:tc>
        <w:tc>
          <w:tcPr>
            <w:tcW w:w="1458" w:type="dxa"/>
            <w:shd w:val="clear" w:color="auto" w:fill="auto"/>
          </w:tcPr>
          <w:p w:rsidR="00C01A94" w:rsidRPr="00C903F8" w:rsidRDefault="00C01A94" w:rsidP="00C01A94">
            <w:pPr>
              <w:spacing w:before="160" w:after="160" w:line="240" w:lineRule="atLeast"/>
              <w:ind w:left="0" w:firstLine="0"/>
              <w:jc w:val="left"/>
              <w:rPr>
                <w:rFonts w:cs="Arial"/>
                <w:sz w:val="18"/>
                <w:szCs w:val="18"/>
              </w:rPr>
            </w:pPr>
            <w:r>
              <w:rPr>
                <w:sz w:val="18"/>
              </w:rPr>
              <w:t>paragrafo 1, seconda frase</w:t>
            </w:r>
          </w:p>
        </w:tc>
        <w:tc>
          <w:tcPr>
            <w:tcW w:w="3296" w:type="dxa"/>
            <w:shd w:val="clear" w:color="auto" w:fill="auto"/>
          </w:tcPr>
          <w:p w:rsidR="00C01A94" w:rsidRPr="00C903F8" w:rsidRDefault="00C01A94" w:rsidP="00C01A94">
            <w:pPr>
              <w:spacing w:before="160" w:after="160" w:line="240" w:lineRule="atLeast"/>
              <w:rPr>
                <w:rFonts w:cs="Arial"/>
                <w:color w:val="000000"/>
                <w:sz w:val="18"/>
                <w:szCs w:val="18"/>
              </w:rPr>
            </w:pPr>
            <w:r>
              <w:rPr>
                <w:noProof/>
                <w:sz w:val="18"/>
              </w:rPr>
              <w:t>Altri impianti</w:t>
            </w:r>
          </w:p>
        </w:tc>
        <w:tc>
          <w:tcPr>
            <w:tcW w:w="6521"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1.1.2035</w:t>
            </w:r>
          </w:p>
        </w:tc>
      </w:tr>
      <w:tr w:rsidR="00C01A94" w:rsidRPr="00C903F8" w:rsidTr="00196FBC">
        <w:trPr>
          <w:cantSplit/>
          <w:trHeight w:val="70"/>
          <w:jc w:val="center"/>
        </w:trPr>
        <w:tc>
          <w:tcPr>
            <w:tcW w:w="6096" w:type="dxa"/>
            <w:gridSpan w:val="3"/>
            <w:shd w:val="clear" w:color="auto" w:fill="auto"/>
          </w:tcPr>
          <w:p w:rsidR="00C01A94" w:rsidRPr="00C903F8" w:rsidRDefault="00C01A94" w:rsidP="00C01A94">
            <w:pPr>
              <w:spacing w:before="60" w:after="60" w:line="240" w:lineRule="atLeast"/>
              <w:ind w:left="0" w:firstLine="0"/>
              <w:jc w:val="center"/>
              <w:rPr>
                <w:rFonts w:cs="Arial"/>
                <w:b/>
                <w:sz w:val="18"/>
                <w:szCs w:val="18"/>
              </w:rPr>
            </w:pPr>
            <w:r>
              <w:rPr>
                <w:b/>
                <w:sz w:val="18"/>
              </w:rPr>
              <w:t>CAPO 18</w:t>
            </w:r>
          </w:p>
        </w:tc>
        <w:tc>
          <w:tcPr>
            <w:tcW w:w="6521" w:type="dxa"/>
            <w:shd w:val="clear" w:color="auto" w:fill="auto"/>
          </w:tcPr>
          <w:p w:rsidR="00C01A94" w:rsidRPr="00C903F8" w:rsidRDefault="00C01A94" w:rsidP="00C01A94">
            <w:pPr>
              <w:spacing w:before="60" w:after="60" w:line="240" w:lineRule="atLeast"/>
              <w:ind w:left="0" w:firstLine="0"/>
              <w:rPr>
                <w:rFonts w:cs="Arial"/>
                <w:sz w:val="18"/>
                <w:szCs w:val="18"/>
              </w:rPr>
            </w:pP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p>
        </w:tc>
      </w:tr>
      <w:tr w:rsidR="00C01A94" w:rsidRPr="00A0619C" w:rsidTr="00196FBC">
        <w:trPr>
          <w:cantSplit/>
          <w:jc w:val="center"/>
        </w:trPr>
        <w:tc>
          <w:tcPr>
            <w:tcW w:w="1342" w:type="dxa"/>
            <w:vMerge w:val="restart"/>
            <w:shd w:val="clear" w:color="auto" w:fill="auto"/>
          </w:tcPr>
          <w:p w:rsidR="00C01A94" w:rsidRPr="0021540A" w:rsidRDefault="00C01A94" w:rsidP="00C01A94">
            <w:pPr>
              <w:spacing w:before="80" w:after="80" w:line="240" w:lineRule="atLeast"/>
              <w:rPr>
                <w:rFonts w:cs="Arial"/>
                <w:sz w:val="18"/>
                <w:szCs w:val="18"/>
              </w:rPr>
            </w:pPr>
            <w:r>
              <w:rPr>
                <w:sz w:val="18"/>
              </w:rPr>
              <w:t>18.01</w:t>
            </w:r>
          </w:p>
        </w:tc>
        <w:tc>
          <w:tcPr>
            <w:tcW w:w="1458" w:type="dxa"/>
            <w:vMerge w:val="restart"/>
            <w:shd w:val="clear" w:color="auto" w:fill="auto"/>
          </w:tcPr>
          <w:p w:rsidR="00C01A94" w:rsidRPr="0021540A" w:rsidRDefault="00C01A94" w:rsidP="004D2B3E">
            <w:pPr>
              <w:spacing w:before="80" w:after="80" w:line="240" w:lineRule="atLeast"/>
              <w:ind w:left="0" w:firstLine="0"/>
              <w:rPr>
                <w:rFonts w:cs="Arial"/>
                <w:sz w:val="18"/>
                <w:szCs w:val="18"/>
              </w:rPr>
            </w:pPr>
            <w:r>
              <w:rPr>
                <w:sz w:val="18"/>
              </w:rPr>
              <w:t>paragrafo 2, tabelle 1 e 2 e paragrafo 5</w:t>
            </w:r>
          </w:p>
        </w:tc>
        <w:tc>
          <w:tcPr>
            <w:tcW w:w="3296" w:type="dxa"/>
            <w:vMerge w:val="restart"/>
            <w:shd w:val="clear" w:color="auto" w:fill="auto"/>
          </w:tcPr>
          <w:p w:rsidR="00C01A94" w:rsidRPr="0021540A" w:rsidRDefault="00C01A94" w:rsidP="00C01A94">
            <w:pPr>
              <w:adjustRightInd w:val="0"/>
              <w:spacing w:before="80" w:after="80" w:line="240" w:lineRule="atLeast"/>
              <w:ind w:left="0" w:firstLine="0"/>
              <w:rPr>
                <w:rFonts w:cs="Arial"/>
                <w:sz w:val="18"/>
                <w:szCs w:val="18"/>
              </w:rPr>
            </w:pPr>
            <w:r>
              <w:rPr>
                <w:noProof/>
                <w:sz w:val="18"/>
              </w:rPr>
              <w:t>Valori limite/controllo e omologazioni</w:t>
            </w:r>
          </w:p>
        </w:tc>
        <w:tc>
          <w:tcPr>
            <w:tcW w:w="6521" w:type="dxa"/>
            <w:shd w:val="clear" w:color="auto" w:fill="auto"/>
          </w:tcPr>
          <w:p w:rsidR="00C01A94" w:rsidRPr="0021540A" w:rsidRDefault="00C01A94" w:rsidP="00C01A94">
            <w:pPr>
              <w:spacing w:before="80" w:after="80" w:line="240" w:lineRule="atLeast"/>
              <w:rPr>
                <w:rFonts w:cs="Arial"/>
                <w:sz w:val="18"/>
                <w:szCs w:val="18"/>
              </w:rPr>
            </w:pPr>
            <w:r>
              <w:rPr>
                <w:sz w:val="18"/>
              </w:rPr>
              <w:t>N.S.T. nella misura in cui</w:t>
            </w:r>
          </w:p>
          <w:p w:rsidR="00C01A94" w:rsidRPr="0021540A" w:rsidRDefault="00C01A94" w:rsidP="00C01A94">
            <w:pPr>
              <w:spacing w:before="80" w:after="80" w:line="240" w:lineRule="atLeast"/>
              <w:ind w:left="317" w:hanging="317"/>
              <w:rPr>
                <w:rFonts w:cs="Arial"/>
                <w:sz w:val="18"/>
                <w:szCs w:val="18"/>
              </w:rPr>
            </w:pPr>
            <w:r>
              <w:rPr>
                <w:sz w:val="18"/>
              </w:rPr>
              <w:t>a)</w:t>
            </w:r>
            <w:r>
              <w:tab/>
            </w:r>
            <w:r>
              <w:rPr>
                <w:sz w:val="18"/>
              </w:rPr>
              <w:t>i valori limite e di controllo non superano i valori di cui alla fase II di più del fattore 2;</w:t>
            </w:r>
          </w:p>
          <w:p w:rsidR="00C01A94" w:rsidRPr="0021540A" w:rsidRDefault="00C01A94" w:rsidP="00C01A94">
            <w:pPr>
              <w:spacing w:before="80" w:after="80" w:line="240" w:lineRule="atLeast"/>
              <w:ind w:left="317" w:hanging="317"/>
              <w:rPr>
                <w:rFonts w:cs="Arial"/>
                <w:sz w:val="18"/>
                <w:szCs w:val="18"/>
              </w:rPr>
            </w:pPr>
            <w:r>
              <w:rPr>
                <w:sz w:val="18"/>
              </w:rPr>
              <w:t>b)</w:t>
            </w:r>
            <w:r>
              <w:tab/>
            </w:r>
            <w:r>
              <w:rPr>
                <w:sz w:val="18"/>
              </w:rPr>
              <w:t>l'impianto di depurazione di bordo è provvisto di un certificato del costruttore o di un esperto attestante che esso è in grado di gestire le situazioni di carico tipiche a bordo della nave;</w:t>
            </w:r>
          </w:p>
          <w:p w:rsidR="00C01A94" w:rsidRPr="0021540A" w:rsidRDefault="00C01A94" w:rsidP="00C01A94">
            <w:pPr>
              <w:adjustRightInd w:val="0"/>
              <w:spacing w:before="80" w:after="80" w:line="240" w:lineRule="atLeast"/>
              <w:ind w:left="317" w:hanging="317"/>
              <w:rPr>
                <w:rFonts w:cs="Arial"/>
                <w:sz w:val="18"/>
                <w:szCs w:val="18"/>
              </w:rPr>
            </w:pPr>
            <w:r>
              <w:rPr>
                <w:sz w:val="18"/>
              </w:rPr>
              <w:t>c)</w:t>
            </w:r>
            <w:r>
              <w:tab/>
            </w:r>
            <w:r>
              <w:rPr>
                <w:noProof/>
                <w:sz w:val="18"/>
              </w:rPr>
              <w:t>è in funzione un sistema di gestione dei fanghi di depurazione adeguato alle condizioni operative dell'impianto di depurazione presente sulla nave passeggeri.</w:t>
            </w:r>
          </w:p>
        </w:tc>
        <w:tc>
          <w:tcPr>
            <w:tcW w:w="1276" w:type="dxa"/>
            <w:shd w:val="clear" w:color="auto" w:fill="auto"/>
          </w:tcPr>
          <w:p w:rsidR="00C01A94" w:rsidRPr="0021540A" w:rsidRDefault="00C01A94" w:rsidP="00C01A94">
            <w:pPr>
              <w:spacing w:before="80" w:after="80" w:line="240" w:lineRule="atLeast"/>
              <w:rPr>
                <w:rFonts w:cs="Arial"/>
                <w:sz w:val="18"/>
                <w:szCs w:val="18"/>
              </w:rPr>
            </w:pPr>
          </w:p>
        </w:tc>
      </w:tr>
      <w:tr w:rsidR="00C01A94" w:rsidRPr="00A0619C" w:rsidTr="00196FBC">
        <w:trPr>
          <w:cantSplit/>
          <w:jc w:val="center"/>
        </w:trPr>
        <w:tc>
          <w:tcPr>
            <w:tcW w:w="1342" w:type="dxa"/>
            <w:vMerge/>
            <w:shd w:val="clear" w:color="auto" w:fill="auto"/>
          </w:tcPr>
          <w:p w:rsidR="00C01A94" w:rsidRPr="0021540A" w:rsidRDefault="00C01A94" w:rsidP="00C01A94">
            <w:pPr>
              <w:spacing w:before="80" w:after="80" w:line="240" w:lineRule="atLeast"/>
              <w:ind w:left="0" w:firstLine="0"/>
              <w:rPr>
                <w:rFonts w:cs="Arial"/>
                <w:sz w:val="18"/>
                <w:szCs w:val="18"/>
              </w:rPr>
            </w:pPr>
          </w:p>
        </w:tc>
        <w:tc>
          <w:tcPr>
            <w:tcW w:w="1458" w:type="dxa"/>
            <w:vMerge/>
            <w:shd w:val="clear" w:color="auto" w:fill="auto"/>
          </w:tcPr>
          <w:p w:rsidR="00C01A94" w:rsidRPr="0021540A" w:rsidRDefault="00C01A94" w:rsidP="00C01A94">
            <w:pPr>
              <w:spacing w:before="80" w:after="80" w:line="240" w:lineRule="atLeast"/>
              <w:ind w:left="0" w:firstLine="0"/>
              <w:rPr>
                <w:rFonts w:cs="Arial"/>
                <w:sz w:val="18"/>
                <w:szCs w:val="18"/>
              </w:rPr>
            </w:pPr>
          </w:p>
        </w:tc>
        <w:tc>
          <w:tcPr>
            <w:tcW w:w="3296" w:type="dxa"/>
            <w:vMerge/>
            <w:shd w:val="clear" w:color="auto" w:fill="auto"/>
          </w:tcPr>
          <w:p w:rsidR="00C01A94" w:rsidRPr="0021540A" w:rsidRDefault="00C01A94" w:rsidP="00C01A94">
            <w:pPr>
              <w:tabs>
                <w:tab w:val="left" w:pos="1080"/>
              </w:tabs>
              <w:spacing w:before="80" w:after="80" w:line="240" w:lineRule="atLeast"/>
              <w:ind w:left="0" w:firstLine="0"/>
              <w:rPr>
                <w:rFonts w:cs="Arial"/>
                <w:noProof/>
                <w:sz w:val="18"/>
                <w:szCs w:val="18"/>
              </w:rPr>
            </w:pPr>
          </w:p>
        </w:tc>
        <w:tc>
          <w:tcPr>
            <w:tcW w:w="6521" w:type="dxa"/>
            <w:shd w:val="clear" w:color="auto" w:fill="auto"/>
          </w:tcPr>
          <w:p w:rsidR="00C01A94" w:rsidRPr="0021540A" w:rsidRDefault="00C01A94" w:rsidP="00C01A94">
            <w:pPr>
              <w:spacing w:before="80" w:after="80" w:line="240" w:lineRule="atLeast"/>
              <w:ind w:left="0" w:firstLine="0"/>
              <w:rPr>
                <w:rFonts w:cs="Arial"/>
                <w:sz w:val="18"/>
                <w:szCs w:val="18"/>
              </w:rPr>
            </w:pPr>
            <w:r>
              <w:rPr>
                <w:sz w:val="18"/>
              </w:rPr>
              <w:t>Gli impianti di depurazione di bordo autorizzati il 1° dicembre 2011 o successivamente a tale data, in conformità dei requisiti della risoluzione CCNR 2010-II-27 (fase II), possono continuare ad essere installati e utilizzati.</w:t>
            </w:r>
          </w:p>
        </w:tc>
        <w:tc>
          <w:tcPr>
            <w:tcW w:w="1276" w:type="dxa"/>
            <w:shd w:val="clear" w:color="auto" w:fill="auto"/>
          </w:tcPr>
          <w:p w:rsidR="00C01A94" w:rsidRPr="0021540A" w:rsidRDefault="00C01A94" w:rsidP="00C01A94">
            <w:pPr>
              <w:spacing w:before="80" w:after="80" w:line="240" w:lineRule="atLeast"/>
              <w:ind w:left="0" w:firstLine="0"/>
              <w:rPr>
                <w:rFonts w:cs="Arial"/>
                <w:sz w:val="18"/>
                <w:szCs w:val="18"/>
              </w:rPr>
            </w:pPr>
          </w:p>
        </w:tc>
      </w:tr>
      <w:tr w:rsidR="00C01A94" w:rsidRPr="00A0619C" w:rsidTr="00196FBC">
        <w:trPr>
          <w:cantSplit/>
          <w:jc w:val="center"/>
        </w:trPr>
        <w:tc>
          <w:tcPr>
            <w:tcW w:w="1342" w:type="dxa"/>
            <w:vMerge/>
            <w:shd w:val="clear" w:color="auto" w:fill="auto"/>
          </w:tcPr>
          <w:p w:rsidR="00C01A94" w:rsidRPr="0021540A" w:rsidRDefault="00C01A94" w:rsidP="00C01A94">
            <w:pPr>
              <w:spacing w:before="80" w:after="80" w:line="240" w:lineRule="atLeast"/>
              <w:ind w:left="0" w:firstLine="0"/>
              <w:rPr>
                <w:rFonts w:cs="Arial"/>
                <w:sz w:val="18"/>
                <w:szCs w:val="18"/>
              </w:rPr>
            </w:pPr>
          </w:p>
        </w:tc>
        <w:tc>
          <w:tcPr>
            <w:tcW w:w="1458" w:type="dxa"/>
            <w:vMerge/>
            <w:shd w:val="clear" w:color="auto" w:fill="auto"/>
          </w:tcPr>
          <w:p w:rsidR="00C01A94" w:rsidRPr="0021540A" w:rsidRDefault="00C01A94" w:rsidP="00C01A94">
            <w:pPr>
              <w:spacing w:before="80" w:after="80" w:line="240" w:lineRule="atLeast"/>
              <w:ind w:left="0" w:firstLine="0"/>
              <w:rPr>
                <w:rFonts w:cs="Arial"/>
                <w:sz w:val="18"/>
                <w:szCs w:val="18"/>
              </w:rPr>
            </w:pPr>
          </w:p>
        </w:tc>
        <w:tc>
          <w:tcPr>
            <w:tcW w:w="3296" w:type="dxa"/>
            <w:vMerge/>
            <w:shd w:val="clear" w:color="auto" w:fill="auto"/>
          </w:tcPr>
          <w:p w:rsidR="00C01A94" w:rsidRPr="0021540A" w:rsidRDefault="00C01A94" w:rsidP="00C01A94">
            <w:pPr>
              <w:tabs>
                <w:tab w:val="left" w:pos="1080"/>
              </w:tabs>
              <w:spacing w:before="80" w:after="80" w:line="240" w:lineRule="atLeast"/>
              <w:ind w:left="0" w:firstLine="0"/>
              <w:rPr>
                <w:rFonts w:cs="Arial"/>
                <w:noProof/>
                <w:sz w:val="18"/>
                <w:szCs w:val="18"/>
              </w:rPr>
            </w:pPr>
          </w:p>
        </w:tc>
        <w:tc>
          <w:tcPr>
            <w:tcW w:w="6521" w:type="dxa"/>
            <w:shd w:val="clear" w:color="auto" w:fill="auto"/>
          </w:tcPr>
          <w:p w:rsidR="00C01A94" w:rsidRPr="0021540A" w:rsidRDefault="00C01A94" w:rsidP="00C01A94">
            <w:pPr>
              <w:spacing w:before="80" w:after="80" w:line="240" w:lineRule="atLeast"/>
              <w:ind w:left="0" w:firstLine="0"/>
              <w:rPr>
                <w:rFonts w:cs="Arial"/>
                <w:sz w:val="18"/>
                <w:szCs w:val="18"/>
              </w:rPr>
            </w:pPr>
            <w:r>
              <w:rPr>
                <w:sz w:val="18"/>
              </w:rPr>
              <w:t>Gli impianti di depurazione di bordo autorizzati il 10 gennaio 2013 o successivamente a tale data, in conformità dei requisiti della direttiva 2012/49/UE (fase II), possono continuare ad essere installati e utilizzati.</w:t>
            </w:r>
          </w:p>
        </w:tc>
        <w:tc>
          <w:tcPr>
            <w:tcW w:w="1276" w:type="dxa"/>
            <w:shd w:val="clear" w:color="auto" w:fill="auto"/>
          </w:tcPr>
          <w:p w:rsidR="00C01A94" w:rsidRPr="0021540A" w:rsidRDefault="00C01A94" w:rsidP="00C01A94">
            <w:pPr>
              <w:spacing w:before="80" w:after="80" w:line="240" w:lineRule="atLeast"/>
              <w:ind w:left="0" w:firstLine="0"/>
              <w:rPr>
                <w:rFonts w:cs="Arial"/>
                <w:sz w:val="18"/>
                <w:szCs w:val="18"/>
              </w:rPr>
            </w:pPr>
          </w:p>
        </w:tc>
      </w:tr>
      <w:tr w:rsidR="00C01A94" w:rsidRPr="00C903F8" w:rsidTr="00196FBC">
        <w:trPr>
          <w:cantSplit/>
          <w:jc w:val="center"/>
        </w:trPr>
        <w:tc>
          <w:tcPr>
            <w:tcW w:w="6096" w:type="dxa"/>
            <w:gridSpan w:val="3"/>
            <w:shd w:val="clear" w:color="auto" w:fill="auto"/>
          </w:tcPr>
          <w:p w:rsidR="00C01A94" w:rsidRPr="00C903F8" w:rsidRDefault="00C01A94" w:rsidP="00C01A94">
            <w:pPr>
              <w:tabs>
                <w:tab w:val="left" w:pos="1080"/>
              </w:tabs>
              <w:spacing w:before="80" w:after="80" w:line="240" w:lineRule="atLeast"/>
              <w:ind w:left="0" w:firstLine="0"/>
              <w:jc w:val="center"/>
              <w:rPr>
                <w:rFonts w:cs="Arial"/>
                <w:sz w:val="18"/>
                <w:szCs w:val="18"/>
              </w:rPr>
            </w:pPr>
            <w:r>
              <w:rPr>
                <w:b/>
                <w:sz w:val="18"/>
              </w:rPr>
              <w:t>CAPO 19</w:t>
            </w:r>
          </w:p>
        </w:tc>
        <w:tc>
          <w:tcPr>
            <w:tcW w:w="6521" w:type="dxa"/>
            <w:shd w:val="clear" w:color="auto" w:fill="auto"/>
          </w:tcPr>
          <w:p w:rsidR="00C01A94" w:rsidRPr="00C903F8" w:rsidRDefault="00C01A94" w:rsidP="00C01A94">
            <w:pPr>
              <w:spacing w:before="80" w:after="80" w:line="240" w:lineRule="atLeast"/>
              <w:ind w:left="0" w:firstLine="0"/>
              <w:rPr>
                <w:rFonts w:cs="Arial"/>
                <w:sz w:val="18"/>
                <w:szCs w:val="18"/>
              </w:rPr>
            </w:pPr>
          </w:p>
        </w:tc>
        <w:tc>
          <w:tcPr>
            <w:tcW w:w="1276" w:type="dxa"/>
            <w:shd w:val="clear" w:color="auto" w:fill="auto"/>
          </w:tcPr>
          <w:p w:rsidR="00C01A94" w:rsidRPr="00C903F8" w:rsidRDefault="00C01A94" w:rsidP="00C01A94">
            <w:pPr>
              <w:spacing w:before="80" w:after="80" w:line="240" w:lineRule="atLeast"/>
              <w:ind w:left="0" w:firstLine="0"/>
              <w:rPr>
                <w:rFonts w:cs="Arial"/>
                <w:sz w:val="18"/>
                <w:szCs w:val="18"/>
              </w:rPr>
            </w:pPr>
          </w:p>
        </w:tc>
      </w:tr>
      <w:tr w:rsidR="00C01A94" w:rsidRPr="00A0619C" w:rsidTr="00330D4B">
        <w:trPr>
          <w:cantSplit/>
          <w:trHeight w:val="1050"/>
          <w:jc w:val="center"/>
        </w:trPr>
        <w:tc>
          <w:tcPr>
            <w:tcW w:w="1342" w:type="dxa"/>
            <w:tcBorders>
              <w:top w:val="nil"/>
              <w:bottom w:val="nil"/>
            </w:tcBorders>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19.01</w:t>
            </w:r>
          </w:p>
        </w:tc>
        <w:tc>
          <w:tcPr>
            <w:tcW w:w="1458"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paragrafo 2, lettera d)</w:t>
            </w:r>
          </w:p>
        </w:tc>
        <w:tc>
          <w:tcPr>
            <w:tcW w:w="3296" w:type="dxa"/>
            <w:shd w:val="clear" w:color="auto" w:fill="auto"/>
          </w:tcPr>
          <w:p w:rsidR="00C01A94" w:rsidRPr="00C903F8" w:rsidRDefault="00C01A94" w:rsidP="00B74390">
            <w:pPr>
              <w:tabs>
                <w:tab w:val="left" w:pos="1080"/>
              </w:tabs>
              <w:spacing w:before="120" w:after="120" w:line="240" w:lineRule="atLeast"/>
              <w:ind w:left="0" w:firstLine="0"/>
              <w:rPr>
                <w:rFonts w:cs="Arial"/>
                <w:sz w:val="18"/>
                <w:szCs w:val="18"/>
              </w:rPr>
            </w:pPr>
            <w:r>
              <w:rPr>
                <w:noProof/>
                <w:sz w:val="18"/>
              </w:rPr>
              <w:t>Divieto di caldaie a combustibile solido a norma dell'articolo 16.07</w:t>
            </w:r>
          </w:p>
        </w:tc>
        <w:tc>
          <w:tcPr>
            <w:tcW w:w="6521" w:type="dxa"/>
            <w:shd w:val="clear" w:color="auto" w:fill="auto"/>
          </w:tcPr>
          <w:p w:rsidR="00C01A94" w:rsidRPr="00C903F8" w:rsidRDefault="00C01A94" w:rsidP="00B74390">
            <w:pPr>
              <w:spacing w:before="120" w:after="120" w:line="240" w:lineRule="atLeast"/>
              <w:ind w:left="0" w:firstLine="0"/>
              <w:rPr>
                <w:rFonts w:cs="Arial"/>
                <w:sz w:val="18"/>
                <w:szCs w:val="18"/>
              </w:rPr>
            </w:pPr>
            <w:r>
              <w:rPr>
                <w:noProof/>
                <w:sz w:val="18"/>
              </w:rPr>
              <w:t>La disposizione non si applica alle imbarcazioni dotate di motori a combustibile solido (motori a vapore).</w:t>
            </w:r>
          </w:p>
        </w:tc>
        <w:tc>
          <w:tcPr>
            <w:tcW w:w="1276" w:type="dxa"/>
            <w:shd w:val="clear" w:color="auto" w:fill="auto"/>
          </w:tcPr>
          <w:p w:rsidR="00C01A94" w:rsidRPr="00330D4B" w:rsidRDefault="00C01A94" w:rsidP="00B74390">
            <w:pPr>
              <w:spacing w:before="120" w:after="120" w:line="240" w:lineRule="atLeast"/>
              <w:ind w:left="0" w:firstLine="0"/>
              <w:rPr>
                <w:rFonts w:cs="Arial"/>
                <w:sz w:val="18"/>
                <w:szCs w:val="18"/>
              </w:rPr>
            </w:pPr>
          </w:p>
        </w:tc>
      </w:tr>
      <w:tr w:rsidR="00C01A94" w:rsidRPr="00C903F8" w:rsidTr="00330D4B">
        <w:trPr>
          <w:cantSplit/>
          <w:jc w:val="center"/>
        </w:trPr>
        <w:tc>
          <w:tcPr>
            <w:tcW w:w="1342" w:type="dxa"/>
            <w:tcBorders>
              <w:top w:val="nil"/>
              <w:bottom w:val="nil"/>
            </w:tcBorders>
            <w:shd w:val="clear" w:color="auto" w:fill="auto"/>
          </w:tcPr>
          <w:p w:rsidR="00C01A94" w:rsidRPr="00C903F8" w:rsidRDefault="00C01A94" w:rsidP="00B74390">
            <w:pPr>
              <w:spacing w:before="120" w:after="120" w:line="240" w:lineRule="atLeast"/>
              <w:ind w:left="0" w:firstLine="0"/>
              <w:rPr>
                <w:rFonts w:cs="Arial"/>
                <w:sz w:val="18"/>
                <w:szCs w:val="18"/>
              </w:rPr>
            </w:pPr>
          </w:p>
        </w:tc>
        <w:tc>
          <w:tcPr>
            <w:tcW w:w="1458" w:type="dxa"/>
            <w:vMerge w:val="restart"/>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paragrafo 2, lettera e)</w:t>
            </w:r>
          </w:p>
        </w:tc>
        <w:tc>
          <w:tcPr>
            <w:tcW w:w="3296" w:type="dxa"/>
            <w:vMerge w:val="restart"/>
            <w:shd w:val="clear" w:color="auto" w:fill="auto"/>
          </w:tcPr>
          <w:p w:rsidR="00C01A94" w:rsidRPr="00C903F8" w:rsidRDefault="00C01A94" w:rsidP="00B74390">
            <w:pPr>
              <w:tabs>
                <w:tab w:val="left" w:pos="1080"/>
              </w:tabs>
              <w:spacing w:before="120" w:after="120" w:line="240" w:lineRule="atLeast"/>
              <w:ind w:left="0" w:firstLine="0"/>
              <w:rPr>
                <w:rFonts w:cs="Arial"/>
                <w:sz w:val="18"/>
                <w:szCs w:val="18"/>
              </w:rPr>
            </w:pPr>
            <w:r>
              <w:rPr>
                <w:noProof/>
                <w:sz w:val="18"/>
              </w:rPr>
              <w:t>Divieto di impianti a gas liquefatto ai sensi del capitolo 17</w:t>
            </w:r>
          </w:p>
        </w:tc>
        <w:tc>
          <w:tcPr>
            <w:tcW w:w="6521"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1.1.2045</w:t>
            </w:r>
          </w:p>
        </w:tc>
      </w:tr>
      <w:tr w:rsidR="00C01A94" w:rsidRPr="00A0619C" w:rsidTr="00F14E8B">
        <w:trPr>
          <w:cantSplit/>
          <w:jc w:val="center"/>
        </w:trPr>
        <w:tc>
          <w:tcPr>
            <w:tcW w:w="1342" w:type="dxa"/>
            <w:tcBorders>
              <w:top w:val="nil"/>
              <w:bottom w:val="nil"/>
            </w:tcBorders>
            <w:shd w:val="clear" w:color="auto" w:fill="auto"/>
          </w:tcPr>
          <w:p w:rsidR="00C01A94" w:rsidRPr="00C903F8" w:rsidRDefault="00C01A94" w:rsidP="00B74390">
            <w:pPr>
              <w:spacing w:before="120" w:after="120" w:line="240" w:lineRule="atLeast"/>
              <w:ind w:left="0" w:firstLine="0"/>
              <w:rPr>
                <w:rFonts w:cs="Arial"/>
                <w:sz w:val="18"/>
                <w:szCs w:val="18"/>
              </w:rPr>
            </w:pPr>
          </w:p>
        </w:tc>
        <w:tc>
          <w:tcPr>
            <w:tcW w:w="1458" w:type="dxa"/>
            <w:vMerge/>
            <w:shd w:val="clear" w:color="auto" w:fill="auto"/>
          </w:tcPr>
          <w:p w:rsidR="00C01A94" w:rsidRPr="00C903F8" w:rsidRDefault="00C01A94" w:rsidP="00B74390">
            <w:pPr>
              <w:spacing w:before="120" w:after="120" w:line="240" w:lineRule="atLeast"/>
              <w:ind w:left="0" w:firstLine="0"/>
              <w:rPr>
                <w:rFonts w:cs="Arial"/>
                <w:sz w:val="18"/>
                <w:szCs w:val="18"/>
              </w:rPr>
            </w:pPr>
          </w:p>
        </w:tc>
        <w:tc>
          <w:tcPr>
            <w:tcW w:w="3296" w:type="dxa"/>
            <w:vMerge/>
            <w:shd w:val="clear" w:color="auto" w:fill="auto"/>
          </w:tcPr>
          <w:p w:rsidR="00C01A94" w:rsidRPr="00C903F8" w:rsidRDefault="00C01A94" w:rsidP="00B74390">
            <w:pPr>
              <w:tabs>
                <w:tab w:val="left" w:pos="1080"/>
              </w:tabs>
              <w:spacing w:before="120" w:after="120" w:line="240" w:lineRule="atLeast"/>
              <w:ind w:left="0" w:firstLine="0"/>
              <w:rPr>
                <w:rFonts w:cs="Arial"/>
                <w:sz w:val="18"/>
                <w:szCs w:val="18"/>
              </w:rPr>
            </w:pPr>
          </w:p>
        </w:tc>
        <w:tc>
          <w:tcPr>
            <w:tcW w:w="6521" w:type="dxa"/>
            <w:shd w:val="clear" w:color="auto" w:fill="auto"/>
          </w:tcPr>
          <w:p w:rsidR="00C01A94" w:rsidRPr="00C903F8" w:rsidRDefault="00C01A94" w:rsidP="00B74390">
            <w:pPr>
              <w:spacing w:before="120" w:after="120" w:line="240" w:lineRule="atLeast"/>
              <w:ind w:left="0" w:firstLine="0"/>
              <w:rPr>
                <w:rFonts w:cs="Arial"/>
                <w:sz w:val="18"/>
                <w:szCs w:val="18"/>
              </w:rPr>
            </w:pPr>
            <w:r>
              <w:rPr>
                <w:noProof/>
                <w:sz w:val="18"/>
              </w:rPr>
              <w:t>La disposizione transitoria si applica solo se i sistemi di allarme sono installati conformemente all'articolo 19.15, paragrafo 8.</w:t>
            </w:r>
          </w:p>
        </w:tc>
        <w:tc>
          <w:tcPr>
            <w:tcW w:w="1276" w:type="dxa"/>
            <w:shd w:val="clear" w:color="auto" w:fill="auto"/>
          </w:tcPr>
          <w:p w:rsidR="00C01A94" w:rsidRPr="00C903F8" w:rsidRDefault="00C01A94" w:rsidP="00B74390">
            <w:pPr>
              <w:spacing w:before="120" w:after="120" w:line="240" w:lineRule="atLeast"/>
              <w:ind w:left="0" w:firstLine="0"/>
              <w:rPr>
                <w:rFonts w:cs="Arial"/>
                <w:sz w:val="18"/>
                <w:szCs w:val="18"/>
              </w:rPr>
            </w:pPr>
          </w:p>
        </w:tc>
      </w:tr>
      <w:tr w:rsidR="00C01A94" w:rsidRPr="00C903F8" w:rsidTr="00196FBC">
        <w:trPr>
          <w:cantSplit/>
          <w:jc w:val="center"/>
        </w:trPr>
        <w:tc>
          <w:tcPr>
            <w:tcW w:w="1342" w:type="dxa"/>
            <w:tcBorders>
              <w:top w:val="nil"/>
              <w:bottom w:val="single" w:sz="4" w:space="0" w:color="auto"/>
            </w:tcBorders>
            <w:shd w:val="clear" w:color="auto" w:fill="auto"/>
          </w:tcPr>
          <w:p w:rsidR="00C01A94" w:rsidRPr="00C903F8" w:rsidRDefault="00C01A94" w:rsidP="00B74390">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paragrafi 5 e 6</w:t>
            </w:r>
          </w:p>
        </w:tc>
        <w:tc>
          <w:tcPr>
            <w:tcW w:w="3296" w:type="dxa"/>
            <w:shd w:val="clear" w:color="auto" w:fill="auto"/>
          </w:tcPr>
          <w:p w:rsidR="00C01A94" w:rsidRPr="00C903F8" w:rsidRDefault="00C01A94" w:rsidP="00B74390">
            <w:pPr>
              <w:tabs>
                <w:tab w:val="right" w:pos="3856"/>
                <w:tab w:val="center" w:pos="4536"/>
                <w:tab w:val="left" w:pos="6521"/>
                <w:tab w:val="right" w:pos="9072"/>
              </w:tabs>
              <w:spacing w:before="120" w:after="120" w:line="240" w:lineRule="atLeast"/>
              <w:ind w:left="0" w:firstLine="0"/>
              <w:rPr>
                <w:rFonts w:cs="Arial"/>
                <w:sz w:val="18"/>
                <w:szCs w:val="18"/>
              </w:rPr>
            </w:pPr>
            <w:r>
              <w:rPr>
                <w:color w:val="000000"/>
                <w:sz w:val="18"/>
              </w:rPr>
              <w:t xml:space="preserve">Visuale ostruita davanti alla nave per due lunghezze di nave se inferiore a 250 m </w:t>
            </w:r>
            <w:r>
              <w:rPr>
                <w:rFonts w:cs="Arial"/>
                <w:color w:val="000000"/>
                <w:sz w:val="18"/>
                <w:szCs w:val="18"/>
              </w:rPr>
              <w:br/>
            </w:r>
            <w:r>
              <w:rPr>
                <w:sz w:val="18"/>
              </w:rPr>
              <w:t>Visuale sufficiente a marcia indietro</w:t>
            </w:r>
          </w:p>
        </w:tc>
        <w:tc>
          <w:tcPr>
            <w:tcW w:w="6521"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1.1.2045</w:t>
            </w:r>
          </w:p>
        </w:tc>
      </w:tr>
      <w:tr w:rsidR="00C01A94" w:rsidRPr="00C903F8" w:rsidTr="00A66FB3">
        <w:trPr>
          <w:cantSplit/>
          <w:jc w:val="center"/>
        </w:trPr>
        <w:tc>
          <w:tcPr>
            <w:tcW w:w="1342" w:type="dxa"/>
            <w:tcBorders>
              <w:bottom w:val="nil"/>
            </w:tcBorders>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19.02</w:t>
            </w:r>
          </w:p>
        </w:tc>
        <w:tc>
          <w:tcPr>
            <w:tcW w:w="1458" w:type="dxa"/>
            <w:tcBorders>
              <w:bottom w:val="single" w:sz="4" w:space="0" w:color="auto"/>
            </w:tcBorders>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paragrafo 2</w:t>
            </w:r>
          </w:p>
        </w:tc>
        <w:tc>
          <w:tcPr>
            <w:tcW w:w="3296" w:type="dxa"/>
            <w:tcBorders>
              <w:bottom w:val="single" w:sz="4" w:space="0" w:color="auto"/>
            </w:tcBorders>
            <w:shd w:val="clear" w:color="auto" w:fill="auto"/>
          </w:tcPr>
          <w:p w:rsidR="00C01A94" w:rsidRPr="00C903F8" w:rsidRDefault="00C01A94" w:rsidP="00B74390">
            <w:pPr>
              <w:tabs>
                <w:tab w:val="left" w:pos="1080"/>
              </w:tabs>
              <w:spacing w:before="120" w:after="120" w:line="240" w:lineRule="atLeast"/>
              <w:ind w:left="0" w:firstLine="0"/>
              <w:rPr>
                <w:rFonts w:cs="Arial"/>
                <w:sz w:val="18"/>
                <w:szCs w:val="18"/>
              </w:rPr>
            </w:pPr>
            <w:r>
              <w:rPr>
                <w:noProof/>
                <w:sz w:val="18"/>
              </w:rPr>
              <w:t>Numero e posizione delle paratie</w:t>
            </w:r>
          </w:p>
        </w:tc>
        <w:tc>
          <w:tcPr>
            <w:tcW w:w="6521"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1.1.2045</w:t>
            </w:r>
          </w:p>
        </w:tc>
      </w:tr>
      <w:tr w:rsidR="00C01A94" w:rsidRPr="00C903F8" w:rsidTr="00F14E8B">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vMerge w:val="restart"/>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3</w:t>
            </w:r>
          </w:p>
        </w:tc>
        <w:tc>
          <w:tcPr>
            <w:tcW w:w="3296" w:type="dxa"/>
            <w:vMerge w:val="restart"/>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sz w:val="18"/>
              </w:rPr>
              <w:t>Posizione della paratia del gavone di poppa</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1.1.2035</w:t>
            </w:r>
          </w:p>
        </w:tc>
      </w:tr>
      <w:tr w:rsidR="00C01A94" w:rsidRPr="00A0619C" w:rsidTr="00F14E8B">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vMerge/>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3296" w:type="dxa"/>
            <w:vMerge/>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Questa prescrizione non si applica alle navi da passeggeri che, a causa della conformità alle prescrizioni di base per la compartimentazione 2 di cui all'articolo 19.03, paragrafo 9 o della conformità alle prescrizioni di cui all'articolo 19.07, raggiungono un livello equivalente di sicurezza e manovrabilità.</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jc w:val="left"/>
              <w:rPr>
                <w:rFonts w:cs="Arial"/>
                <w:sz w:val="18"/>
                <w:szCs w:val="18"/>
              </w:rPr>
            </w:pPr>
            <w:r>
              <w:rPr>
                <w:sz w:val="18"/>
              </w:rPr>
              <w:t>paragrafo 5, seconda frase</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Linea limite in mancanza di un ponte di compartimentazione</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noProof/>
                <w:sz w:val="18"/>
              </w:rPr>
              <w:t>Per le navi da passeggeri la cui chiglia è stata impostata prima dell'1.1.1996, 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jc w:val="center"/>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10, lettera c</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Tempo per il processo di chiusura</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jc w:val="center"/>
              <w:rPr>
                <w:rFonts w:cs="Arial"/>
                <w:sz w:val="18"/>
                <w:szCs w:val="18"/>
              </w:rPr>
            </w:pPr>
            <w:r>
              <w:rPr>
                <w:sz w:val="18"/>
              </w:rPr>
              <w:t>1.1.2015</w:t>
            </w:r>
          </w:p>
        </w:tc>
      </w:tr>
      <w:tr w:rsidR="00C01A94" w:rsidRPr="00C903F8" w:rsidTr="00196FBC">
        <w:trPr>
          <w:cantSplit/>
          <w:jc w:val="center"/>
        </w:trPr>
        <w:tc>
          <w:tcPr>
            <w:tcW w:w="1342" w:type="dxa"/>
            <w:tcBorders>
              <w:top w:val="nil"/>
              <w:bottom w:val="single" w:sz="4" w:space="0" w:color="auto"/>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15</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Altezza minima dei doppi fondi o degli spazi laterali</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jc w:val="center"/>
              <w:rPr>
                <w:rFonts w:cs="Arial"/>
                <w:sz w:val="18"/>
                <w:szCs w:val="18"/>
              </w:rPr>
            </w:pPr>
            <w:r>
              <w:rPr>
                <w:sz w:val="18"/>
              </w:rPr>
              <w:t>1.1.2045</w:t>
            </w:r>
          </w:p>
        </w:tc>
      </w:tr>
      <w:tr w:rsidR="00C01A94" w:rsidRPr="00C903F8" w:rsidTr="00291A42">
        <w:trPr>
          <w:cantSplit/>
          <w:jc w:val="center"/>
        </w:trPr>
        <w:tc>
          <w:tcPr>
            <w:tcW w:w="1342" w:type="dxa"/>
            <w:tcBorders>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19.03</w:t>
            </w: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paragrafi da 1 a 6</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Stabilità a nave integra</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noProof/>
                <w:sz w:val="18"/>
              </w:rPr>
              <w:t>N.S.T., e in caso di aumento del numero massimo di passeggeri, al più tardi alla data di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jc w:val="center"/>
              <w:rPr>
                <w:rFonts w:cs="Arial"/>
                <w:sz w:val="18"/>
                <w:szCs w:val="18"/>
              </w:rPr>
            </w:pPr>
            <w:r>
              <w:rPr>
                <w:sz w:val="18"/>
              </w:rPr>
              <w:t>1.1.2045</w:t>
            </w:r>
          </w:p>
        </w:tc>
      </w:tr>
      <w:tr w:rsidR="00C01A94" w:rsidRPr="00C903F8" w:rsidTr="00291A42">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tcBorders>
              <w:bottom w:val="single" w:sz="4" w:space="0" w:color="auto"/>
            </w:tcBorders>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paragrafi 7 e 8</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Stabilità in condizioni di avaria</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jc w:val="center"/>
              <w:rPr>
                <w:rFonts w:cs="Arial"/>
                <w:sz w:val="18"/>
                <w:szCs w:val="18"/>
              </w:rPr>
            </w:pPr>
            <w:r>
              <w:rPr>
                <w:sz w:val="18"/>
              </w:rPr>
              <w:t>1.1.2045</w:t>
            </w:r>
          </w:p>
        </w:tc>
      </w:tr>
      <w:tr w:rsidR="00C01A94" w:rsidRPr="00C903F8" w:rsidTr="00291A42">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tcBorders>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9</w:t>
            </w:r>
          </w:p>
        </w:tc>
        <w:tc>
          <w:tcPr>
            <w:tcW w:w="3296" w:type="dxa"/>
            <w:tcBorders>
              <w:bottom w:val="single" w:sz="4" w:space="0" w:color="auto"/>
            </w:tcBorders>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sz w:val="18"/>
              </w:rPr>
              <w:t>Stabilità in condizioni di avaria</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jc w:val="center"/>
              <w:rPr>
                <w:rFonts w:cs="Arial"/>
                <w:sz w:val="18"/>
                <w:szCs w:val="18"/>
              </w:rPr>
            </w:pPr>
            <w:r>
              <w:rPr>
                <w:sz w:val="18"/>
              </w:rPr>
              <w:t>1.1.2045</w:t>
            </w:r>
          </w:p>
        </w:tc>
      </w:tr>
      <w:tr w:rsidR="00C01A94" w:rsidRPr="00C903F8" w:rsidTr="00F14E8B">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vMerge w:val="restart"/>
            <w:tcBorders>
              <w:top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3296" w:type="dxa"/>
            <w:vMerge w:val="restart"/>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sz w:val="18"/>
              </w:rPr>
              <w:t>Dimensioni verticali della falla sul fondo dell’imbarcazione</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jc w:val="center"/>
              <w:rPr>
                <w:rFonts w:cs="Arial"/>
                <w:sz w:val="18"/>
                <w:szCs w:val="18"/>
              </w:rPr>
            </w:pPr>
            <w:r>
              <w:rPr>
                <w:sz w:val="18"/>
              </w:rPr>
              <w:t>1.1.2045</w:t>
            </w:r>
          </w:p>
        </w:tc>
      </w:tr>
      <w:tr w:rsidR="00C01A94" w:rsidRPr="00A0619C" w:rsidTr="00F14E8B">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vMerge/>
            <w:tcBorders>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3296" w:type="dxa"/>
            <w:vMerge/>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noProof/>
                <w:sz w:val="18"/>
              </w:rPr>
              <w:t>N.S.T. applicabile alle navi con ponti a tenuta stagna all'acqua su una distanza minima di 0,50 m e meno di 0,60 m dal fondo di navi che hanno ottenuto un primo certificato per la navigazione interna anteriormente al 31.12.2005</w:t>
            </w:r>
          </w:p>
        </w:tc>
        <w:tc>
          <w:tcPr>
            <w:tcW w:w="1276" w:type="dxa"/>
            <w:shd w:val="clear" w:color="auto" w:fill="auto"/>
          </w:tcPr>
          <w:p w:rsidR="00C01A94" w:rsidRPr="00C903F8" w:rsidRDefault="00C01A94" w:rsidP="00C01A94">
            <w:pPr>
              <w:spacing w:before="120" w:after="120" w:line="240" w:lineRule="atLeast"/>
              <w:ind w:left="0" w:firstLine="0"/>
              <w:jc w:val="center"/>
              <w:rPr>
                <w:rFonts w:cs="Arial"/>
                <w:sz w:val="18"/>
                <w:szCs w:val="18"/>
              </w:rPr>
            </w:pP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tcBorders>
              <w:top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sz w:val="18"/>
              </w:rPr>
              <w:t>Compartimentazione 2</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C01A94">
            <w:pPr>
              <w:spacing w:before="120" w:after="120" w:line="240" w:lineRule="atLeast"/>
              <w:ind w:left="0" w:firstLine="0"/>
              <w:jc w:val="center"/>
              <w:rPr>
                <w:rFonts w:cs="Arial"/>
                <w:sz w:val="18"/>
                <w:szCs w:val="18"/>
              </w:rPr>
            </w:pPr>
          </w:p>
        </w:tc>
      </w:tr>
      <w:tr w:rsidR="00C01A94" w:rsidRPr="00C903F8" w:rsidTr="00196FBC">
        <w:trPr>
          <w:cantSplit/>
          <w:jc w:val="center"/>
        </w:trPr>
        <w:tc>
          <w:tcPr>
            <w:tcW w:w="1342" w:type="dxa"/>
            <w:tcBorders>
              <w:top w:val="nil"/>
              <w:bottom w:val="single" w:sz="4" w:space="0" w:color="auto"/>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paragrafi da 10 a 13</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sz w:val="18"/>
              </w:rPr>
              <w:t>Stabilità in condizioni di avaria</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jc w:val="center"/>
              <w:rPr>
                <w:rFonts w:cs="Arial"/>
                <w:sz w:val="18"/>
                <w:szCs w:val="18"/>
              </w:rPr>
            </w:pPr>
            <w:r>
              <w:rPr>
                <w:sz w:val="18"/>
              </w:rPr>
              <w:t>1.1.2045</w:t>
            </w:r>
          </w:p>
        </w:tc>
      </w:tr>
      <w:tr w:rsidR="00C01A94" w:rsidRPr="00C903F8" w:rsidTr="00196FBC">
        <w:trPr>
          <w:cantSplit/>
          <w:jc w:val="center"/>
        </w:trPr>
        <w:tc>
          <w:tcPr>
            <w:tcW w:w="1342" w:type="dxa"/>
            <w:tcBorders>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lastRenderedPageBreak/>
              <w:t>19.05</w:t>
            </w: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2, lettera a)</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Numero di passeggeri per i quali è stata dimostrata l'esistenza di una zona di evacuazione in conformità dell'articolo 19.06, paragrafo 8</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single" w:sz="4" w:space="0" w:color="auto"/>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2, lettera b)</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Numero di passeggeri che è stato considerato per il calcolo di stabilità in conformità dell'articolo 19.03</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19.06</w:t>
            </w:r>
          </w:p>
        </w:tc>
        <w:tc>
          <w:tcPr>
            <w:tcW w:w="1458" w:type="dxa"/>
            <w:shd w:val="clear" w:color="auto" w:fill="auto"/>
          </w:tcPr>
          <w:p w:rsidR="00C01A94" w:rsidRPr="00C903F8" w:rsidRDefault="00C01A94" w:rsidP="00C01A94">
            <w:pPr>
              <w:spacing w:before="120" w:after="120" w:line="240" w:lineRule="atLeast"/>
              <w:ind w:left="0" w:firstLine="0"/>
              <w:jc w:val="left"/>
              <w:rPr>
                <w:rFonts w:cs="Arial"/>
                <w:sz w:val="18"/>
                <w:szCs w:val="18"/>
              </w:rPr>
            </w:pPr>
            <w:r>
              <w:rPr>
                <w:sz w:val="18"/>
              </w:rPr>
              <w:t>paragrafo 1, prima frase</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sz w:val="18"/>
              </w:rPr>
              <w:t>Locali per i passeggeri su tutti i ponti a poppa della paratia di collisione e, a patto che si trovino sotto il ponte di compartimentazione, a prua della paratia del gavone di poppa</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jc w:val="left"/>
              <w:rPr>
                <w:rFonts w:cs="Arial"/>
                <w:sz w:val="18"/>
                <w:szCs w:val="18"/>
              </w:rPr>
            </w:pPr>
            <w:r>
              <w:rPr>
                <w:sz w:val="18"/>
              </w:rPr>
              <w:t>paragrafo 3, lettera c), prima frase</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Altezza libera delle uscite</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jc w:val="left"/>
              <w:rPr>
                <w:rFonts w:cs="Arial"/>
                <w:sz w:val="18"/>
                <w:szCs w:val="18"/>
              </w:rPr>
            </w:pPr>
            <w:r>
              <w:rPr>
                <w:sz w:val="18"/>
              </w:rPr>
              <w:t>paragrafo 3, secondo comma, seconda frase</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Ampiezza libera delle porte delle cabine passeggeri e di altri locali di piccole dimensioni</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jc w:val="left"/>
              <w:rPr>
                <w:rFonts w:cs="Arial"/>
                <w:sz w:val="18"/>
                <w:szCs w:val="18"/>
              </w:rPr>
            </w:pPr>
            <w:r>
              <w:rPr>
                <w:sz w:val="18"/>
              </w:rPr>
              <w:t>paragrafo 3, lettera f), prima frase</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Dimensioni delle uscite di sicurezza</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3, lettera g)</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Uscite dei locali destinati all'uso delle persone a mobilità ridotta</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paragrafo 4, lettera d)</w:t>
            </w:r>
          </w:p>
        </w:tc>
        <w:tc>
          <w:tcPr>
            <w:tcW w:w="3296" w:type="dxa"/>
            <w:shd w:val="clear" w:color="auto" w:fill="auto"/>
          </w:tcPr>
          <w:p w:rsidR="00C01A94" w:rsidRPr="00C903F8" w:rsidRDefault="00C01A94" w:rsidP="00B74390">
            <w:pPr>
              <w:tabs>
                <w:tab w:val="left" w:pos="930"/>
              </w:tabs>
              <w:spacing w:before="120" w:after="120" w:line="240" w:lineRule="atLeast"/>
              <w:ind w:left="0" w:firstLine="0"/>
              <w:rPr>
                <w:rFonts w:cs="Arial"/>
                <w:sz w:val="18"/>
                <w:szCs w:val="18"/>
              </w:rPr>
            </w:pPr>
            <w:r>
              <w:rPr>
                <w:noProof/>
                <w:sz w:val="18"/>
              </w:rPr>
              <w:t>Porte destinate all'uso da parte delle persone a mobilità ridotta</w:t>
            </w:r>
          </w:p>
        </w:tc>
        <w:tc>
          <w:tcPr>
            <w:tcW w:w="6521"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paragrafo 5</w:t>
            </w:r>
          </w:p>
        </w:tc>
        <w:tc>
          <w:tcPr>
            <w:tcW w:w="3296" w:type="dxa"/>
            <w:shd w:val="clear" w:color="auto" w:fill="auto"/>
          </w:tcPr>
          <w:p w:rsidR="00C01A94" w:rsidRPr="00C903F8" w:rsidRDefault="00C01A94" w:rsidP="00B74390">
            <w:pPr>
              <w:tabs>
                <w:tab w:val="left" w:pos="1080"/>
              </w:tabs>
              <w:spacing w:before="120" w:after="120" w:line="240" w:lineRule="atLeast"/>
              <w:ind w:left="0" w:firstLine="0"/>
              <w:rPr>
                <w:rFonts w:cs="Arial"/>
                <w:sz w:val="18"/>
                <w:szCs w:val="18"/>
              </w:rPr>
            </w:pPr>
            <w:r>
              <w:rPr>
                <w:noProof/>
                <w:sz w:val="18"/>
              </w:rPr>
              <w:t>Requisiti dei corridoi di comunicazione</w:t>
            </w:r>
          </w:p>
        </w:tc>
        <w:tc>
          <w:tcPr>
            <w:tcW w:w="6521"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paragrafo 6, lettera b)</w:t>
            </w:r>
          </w:p>
        </w:tc>
        <w:tc>
          <w:tcPr>
            <w:tcW w:w="3296" w:type="dxa"/>
            <w:shd w:val="clear" w:color="auto" w:fill="auto"/>
          </w:tcPr>
          <w:p w:rsidR="00C01A94" w:rsidRPr="00C903F8" w:rsidRDefault="00C01A94" w:rsidP="00B74390">
            <w:pPr>
              <w:tabs>
                <w:tab w:val="left" w:pos="1080"/>
              </w:tabs>
              <w:spacing w:before="120" w:after="120" w:line="240" w:lineRule="atLeast"/>
              <w:ind w:left="0" w:firstLine="0"/>
              <w:rPr>
                <w:rFonts w:cs="Arial"/>
                <w:sz w:val="18"/>
                <w:szCs w:val="18"/>
              </w:rPr>
            </w:pPr>
            <w:r>
              <w:rPr>
                <w:noProof/>
                <w:sz w:val="18"/>
              </w:rPr>
              <w:t>Vie di evacuazione verso le zone di evacuazione</w:t>
            </w:r>
          </w:p>
        </w:tc>
        <w:tc>
          <w:tcPr>
            <w:tcW w:w="6521"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paragrafo 6, lettera c)</w:t>
            </w:r>
            <w:r>
              <w:rPr>
                <w:color w:val="000000"/>
                <w:sz w:val="18"/>
                <w:vertAlign w:val="superscript"/>
              </w:rPr>
              <w:footnoteReference w:id="30"/>
            </w:r>
          </w:p>
        </w:tc>
        <w:tc>
          <w:tcPr>
            <w:tcW w:w="3296" w:type="dxa"/>
            <w:shd w:val="clear" w:color="auto" w:fill="auto"/>
          </w:tcPr>
          <w:p w:rsidR="00C01A94" w:rsidRPr="00C903F8" w:rsidRDefault="00C01A94" w:rsidP="00B74390">
            <w:pPr>
              <w:tabs>
                <w:tab w:val="left" w:pos="1080"/>
              </w:tabs>
              <w:spacing w:before="120" w:after="120" w:line="240" w:lineRule="atLeast"/>
              <w:ind w:left="0" w:firstLine="0"/>
              <w:rPr>
                <w:rFonts w:cs="Arial"/>
                <w:sz w:val="18"/>
                <w:szCs w:val="18"/>
              </w:rPr>
            </w:pPr>
            <w:r>
              <w:rPr>
                <w:sz w:val="18"/>
              </w:rPr>
              <w:t>Divieto di vie di sfuggita attraverso le cucine</w:t>
            </w:r>
          </w:p>
        </w:tc>
        <w:tc>
          <w:tcPr>
            <w:tcW w:w="6521"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1.1.2020</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120" w:after="120" w:line="240" w:lineRule="atLeast"/>
              <w:ind w:left="0" w:firstLine="0"/>
              <w:jc w:val="left"/>
              <w:rPr>
                <w:rFonts w:cs="Arial"/>
                <w:sz w:val="18"/>
                <w:szCs w:val="18"/>
              </w:rPr>
            </w:pPr>
            <w:r>
              <w:rPr>
                <w:sz w:val="18"/>
              </w:rPr>
              <w:t>paragrafo 6, lettera d)</w:t>
            </w:r>
          </w:p>
        </w:tc>
        <w:tc>
          <w:tcPr>
            <w:tcW w:w="3296" w:type="dxa"/>
            <w:shd w:val="clear" w:color="auto" w:fill="auto"/>
          </w:tcPr>
          <w:p w:rsidR="00C01A94" w:rsidRPr="00C903F8" w:rsidRDefault="00C01A94" w:rsidP="00B74390">
            <w:pPr>
              <w:tabs>
                <w:tab w:val="left" w:pos="1080"/>
              </w:tabs>
              <w:spacing w:before="120" w:after="120" w:line="240" w:lineRule="atLeast"/>
              <w:ind w:left="0" w:firstLine="0"/>
              <w:rPr>
                <w:rFonts w:cs="Arial"/>
                <w:sz w:val="18"/>
                <w:szCs w:val="18"/>
              </w:rPr>
            </w:pPr>
            <w:r>
              <w:rPr>
                <w:noProof/>
                <w:sz w:val="18"/>
              </w:rPr>
              <w:t>Divieto di installare pioli, scale a pioli o similari lungo le vie di evacuazione</w:t>
            </w:r>
          </w:p>
        </w:tc>
        <w:tc>
          <w:tcPr>
            <w:tcW w:w="6521"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20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200" w:after="160" w:line="240" w:lineRule="atLeast"/>
              <w:ind w:left="0" w:firstLine="0"/>
              <w:jc w:val="left"/>
              <w:rPr>
                <w:rFonts w:cs="Arial"/>
                <w:sz w:val="18"/>
                <w:szCs w:val="18"/>
              </w:rPr>
            </w:pPr>
            <w:r>
              <w:rPr>
                <w:sz w:val="18"/>
              </w:rPr>
              <w:t>paragrafo 7</w:t>
            </w:r>
          </w:p>
        </w:tc>
        <w:tc>
          <w:tcPr>
            <w:tcW w:w="3296" w:type="dxa"/>
            <w:shd w:val="clear" w:color="auto" w:fill="auto"/>
          </w:tcPr>
          <w:p w:rsidR="00C01A94" w:rsidRPr="00C903F8" w:rsidRDefault="00C01A94" w:rsidP="00C01A94">
            <w:pPr>
              <w:tabs>
                <w:tab w:val="left" w:pos="1080"/>
              </w:tabs>
              <w:spacing w:before="200" w:after="160" w:line="240" w:lineRule="atLeast"/>
              <w:ind w:left="0" w:firstLine="0"/>
              <w:rPr>
                <w:rFonts w:cs="Arial"/>
                <w:sz w:val="18"/>
                <w:szCs w:val="18"/>
              </w:rPr>
            </w:pPr>
            <w:r>
              <w:rPr>
                <w:noProof/>
                <w:sz w:val="18"/>
              </w:rPr>
              <w:t>Adeguato sistema di guida di sicurezza</w:t>
            </w:r>
          </w:p>
        </w:tc>
        <w:tc>
          <w:tcPr>
            <w:tcW w:w="6521" w:type="dxa"/>
            <w:shd w:val="clear" w:color="auto" w:fill="auto"/>
          </w:tcPr>
          <w:p w:rsidR="00C01A94" w:rsidRPr="00C903F8" w:rsidRDefault="00C01A94" w:rsidP="00C01A94">
            <w:pPr>
              <w:spacing w:before="20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200" w:after="160" w:line="240" w:lineRule="atLeast"/>
              <w:ind w:left="0" w:firstLine="0"/>
              <w:rPr>
                <w:rFonts w:cs="Arial"/>
                <w:sz w:val="18"/>
                <w:szCs w:val="18"/>
              </w:rPr>
            </w:pPr>
            <w:r>
              <w:rPr>
                <w:sz w:val="18"/>
              </w:rPr>
              <w:t>1.1.2015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20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200" w:after="160" w:line="240" w:lineRule="atLeast"/>
              <w:ind w:left="0" w:firstLine="0"/>
              <w:jc w:val="left"/>
              <w:rPr>
                <w:rFonts w:cs="Arial"/>
                <w:sz w:val="18"/>
                <w:szCs w:val="18"/>
              </w:rPr>
            </w:pPr>
            <w:r>
              <w:rPr>
                <w:sz w:val="18"/>
              </w:rPr>
              <w:t>paragrafo 8</w:t>
            </w:r>
          </w:p>
        </w:tc>
        <w:tc>
          <w:tcPr>
            <w:tcW w:w="3296" w:type="dxa"/>
            <w:shd w:val="clear" w:color="auto" w:fill="auto"/>
          </w:tcPr>
          <w:p w:rsidR="00C01A94" w:rsidRPr="00C903F8" w:rsidRDefault="00C01A94" w:rsidP="00C01A94">
            <w:pPr>
              <w:tabs>
                <w:tab w:val="left" w:pos="1080"/>
              </w:tabs>
              <w:spacing w:before="200" w:after="160" w:line="240" w:lineRule="atLeast"/>
              <w:ind w:left="0" w:firstLine="0"/>
              <w:rPr>
                <w:rFonts w:cs="Arial"/>
                <w:sz w:val="18"/>
                <w:szCs w:val="18"/>
              </w:rPr>
            </w:pPr>
            <w:r>
              <w:rPr>
                <w:noProof/>
                <w:sz w:val="18"/>
              </w:rPr>
              <w:t>Requisiti delle zone di raccolta</w:t>
            </w:r>
          </w:p>
        </w:tc>
        <w:tc>
          <w:tcPr>
            <w:tcW w:w="6521" w:type="dxa"/>
            <w:shd w:val="clear" w:color="auto" w:fill="auto"/>
          </w:tcPr>
          <w:p w:rsidR="00C01A94" w:rsidRPr="00C903F8" w:rsidRDefault="00C01A94" w:rsidP="00C01A94">
            <w:pPr>
              <w:spacing w:before="20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200" w:after="16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20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200" w:after="160" w:line="240" w:lineRule="atLeast"/>
              <w:ind w:left="0" w:firstLine="0"/>
              <w:jc w:val="left"/>
              <w:rPr>
                <w:rFonts w:cs="Arial"/>
                <w:sz w:val="18"/>
                <w:szCs w:val="18"/>
              </w:rPr>
            </w:pPr>
            <w:r>
              <w:rPr>
                <w:sz w:val="18"/>
              </w:rPr>
              <w:t>paragrafo 9</w:t>
            </w:r>
          </w:p>
        </w:tc>
        <w:tc>
          <w:tcPr>
            <w:tcW w:w="3296" w:type="dxa"/>
            <w:shd w:val="clear" w:color="auto" w:fill="auto"/>
          </w:tcPr>
          <w:p w:rsidR="00C01A94" w:rsidRPr="00C903F8" w:rsidRDefault="00C01A94" w:rsidP="00C01A94">
            <w:pPr>
              <w:tabs>
                <w:tab w:val="left" w:pos="1080"/>
              </w:tabs>
              <w:spacing w:before="200" w:after="160" w:line="240" w:lineRule="atLeast"/>
              <w:ind w:left="0" w:firstLine="0"/>
              <w:rPr>
                <w:rFonts w:cs="Arial"/>
                <w:sz w:val="18"/>
                <w:szCs w:val="18"/>
              </w:rPr>
            </w:pPr>
            <w:r>
              <w:rPr>
                <w:noProof/>
                <w:sz w:val="18"/>
              </w:rPr>
              <w:t>Requisiti delle scale e dei relativi pianerottoli nelle zone passeggeri</w:t>
            </w:r>
          </w:p>
        </w:tc>
        <w:tc>
          <w:tcPr>
            <w:tcW w:w="6521" w:type="dxa"/>
            <w:shd w:val="clear" w:color="auto" w:fill="auto"/>
          </w:tcPr>
          <w:p w:rsidR="00C01A94" w:rsidRPr="00C903F8" w:rsidRDefault="00C01A94" w:rsidP="00C01A94">
            <w:pPr>
              <w:spacing w:before="20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200" w:after="16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20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200" w:after="160" w:line="240" w:lineRule="atLeast"/>
              <w:ind w:left="0" w:firstLine="0"/>
              <w:jc w:val="left"/>
              <w:rPr>
                <w:rFonts w:cs="Arial"/>
                <w:sz w:val="18"/>
                <w:szCs w:val="18"/>
              </w:rPr>
            </w:pPr>
            <w:r>
              <w:rPr>
                <w:sz w:val="18"/>
              </w:rPr>
              <w:t>paragrafo 10, lettera a), prima frase</w:t>
            </w:r>
          </w:p>
        </w:tc>
        <w:tc>
          <w:tcPr>
            <w:tcW w:w="3296" w:type="dxa"/>
            <w:shd w:val="clear" w:color="auto" w:fill="auto"/>
          </w:tcPr>
          <w:p w:rsidR="00C01A94" w:rsidRPr="00696567" w:rsidRDefault="00C01A94" w:rsidP="00C01A94">
            <w:pPr>
              <w:adjustRightInd w:val="0"/>
              <w:spacing w:before="200" w:after="160" w:line="240" w:lineRule="atLeast"/>
              <w:ind w:left="0" w:firstLine="0"/>
              <w:jc w:val="left"/>
              <w:rPr>
                <w:rFonts w:eastAsia="Calibri" w:cs="Arial"/>
                <w:color w:val="000000"/>
                <w:szCs w:val="22"/>
              </w:rPr>
            </w:pPr>
            <w:r>
              <w:rPr>
                <w:rFonts w:ascii="ArialMT" w:hAnsi="ArialMT"/>
                <w:sz w:val="18"/>
              </w:rPr>
              <w:t xml:space="preserve">Ringhiere conformi alla norma europea </w:t>
            </w:r>
          </w:p>
        </w:tc>
        <w:tc>
          <w:tcPr>
            <w:tcW w:w="6521" w:type="dxa"/>
            <w:shd w:val="clear" w:color="auto" w:fill="auto"/>
          </w:tcPr>
          <w:p w:rsidR="00C01A94" w:rsidRPr="00696567" w:rsidRDefault="00C01A94" w:rsidP="00C01A94">
            <w:pPr>
              <w:adjustRightInd w:val="0"/>
              <w:spacing w:before="200" w:after="160" w:line="240" w:lineRule="atLeast"/>
              <w:rPr>
                <w:rFonts w:eastAsia="Calibri" w:cs="Arial"/>
                <w:color w:val="000000"/>
                <w:szCs w:val="22"/>
              </w:rPr>
            </w:pPr>
            <w:r>
              <w:rPr>
                <w:rFonts w:ascii="ArialMT" w:hAnsi="ArialMT"/>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200" w:after="16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29395D" w:rsidRDefault="00C01A94" w:rsidP="00C01A94">
            <w:pPr>
              <w:spacing w:before="20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200" w:after="160" w:line="240" w:lineRule="atLeast"/>
              <w:ind w:left="0" w:firstLine="0"/>
              <w:jc w:val="left"/>
              <w:rPr>
                <w:rFonts w:cs="Arial"/>
                <w:sz w:val="18"/>
                <w:szCs w:val="18"/>
              </w:rPr>
            </w:pPr>
            <w:r>
              <w:rPr>
                <w:sz w:val="18"/>
              </w:rPr>
              <w:t>paragrafo 10, lettera a), seconda frase</w:t>
            </w:r>
          </w:p>
        </w:tc>
        <w:tc>
          <w:tcPr>
            <w:tcW w:w="3296" w:type="dxa"/>
            <w:shd w:val="clear" w:color="auto" w:fill="auto"/>
          </w:tcPr>
          <w:p w:rsidR="00C01A94" w:rsidRPr="00C903F8" w:rsidRDefault="00C01A94" w:rsidP="00C01A94">
            <w:pPr>
              <w:tabs>
                <w:tab w:val="left" w:pos="1080"/>
              </w:tabs>
              <w:spacing w:before="200" w:after="160" w:line="240" w:lineRule="atLeast"/>
              <w:ind w:left="0" w:firstLine="0"/>
              <w:rPr>
                <w:rFonts w:cs="Arial"/>
                <w:sz w:val="18"/>
                <w:szCs w:val="18"/>
              </w:rPr>
            </w:pPr>
            <w:r>
              <w:rPr>
                <w:sz w:val="18"/>
              </w:rPr>
              <w:t>Altezza delle impavesate e delle ringhiere dei ponti destinati all'uso delle persone a mobilità ridotta</w:t>
            </w:r>
          </w:p>
        </w:tc>
        <w:tc>
          <w:tcPr>
            <w:tcW w:w="6521" w:type="dxa"/>
            <w:shd w:val="clear" w:color="auto" w:fill="auto"/>
          </w:tcPr>
          <w:p w:rsidR="00C01A94" w:rsidRPr="00C903F8" w:rsidRDefault="00C01A94" w:rsidP="00C01A94">
            <w:pPr>
              <w:spacing w:before="20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200" w:after="16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120" w:after="120" w:line="240" w:lineRule="atLeast"/>
              <w:ind w:left="0" w:firstLine="0"/>
              <w:jc w:val="left"/>
              <w:rPr>
                <w:rFonts w:cs="Arial"/>
                <w:sz w:val="18"/>
                <w:szCs w:val="18"/>
              </w:rPr>
            </w:pPr>
            <w:r>
              <w:rPr>
                <w:sz w:val="18"/>
              </w:rPr>
              <w:t>paragrafo 10, lettera b), seconda frase</w:t>
            </w:r>
          </w:p>
        </w:tc>
        <w:tc>
          <w:tcPr>
            <w:tcW w:w="3296" w:type="dxa"/>
            <w:shd w:val="clear" w:color="auto" w:fill="auto"/>
          </w:tcPr>
          <w:p w:rsidR="00C01A94" w:rsidRPr="00C903F8" w:rsidRDefault="00C01A94" w:rsidP="00B74390">
            <w:pPr>
              <w:tabs>
                <w:tab w:val="left" w:pos="1080"/>
              </w:tabs>
              <w:spacing w:before="120" w:after="120" w:line="240" w:lineRule="atLeast"/>
              <w:ind w:left="0" w:firstLine="0"/>
              <w:rPr>
                <w:rFonts w:cs="Arial"/>
                <w:sz w:val="18"/>
                <w:szCs w:val="18"/>
              </w:rPr>
            </w:pPr>
            <w:r>
              <w:rPr>
                <w:noProof/>
                <w:sz w:val="18"/>
              </w:rPr>
              <w:t>Ringhiere conformi alla norma europea EN 711:1995 N.S.T., al più tardi alla data di rilascio o di rinnovo del certificato comunitario posteriormente all'1.1.2045 seconda frase</w:t>
            </w:r>
          </w:p>
        </w:tc>
        <w:tc>
          <w:tcPr>
            <w:tcW w:w="6521"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120" w:after="120" w:line="240" w:lineRule="atLeast"/>
              <w:ind w:left="0" w:firstLine="0"/>
              <w:jc w:val="left"/>
              <w:rPr>
                <w:rFonts w:cs="Arial"/>
                <w:sz w:val="18"/>
                <w:szCs w:val="18"/>
              </w:rPr>
            </w:pPr>
            <w:r>
              <w:rPr>
                <w:sz w:val="18"/>
              </w:rPr>
              <w:t>paragrafo 13</w:t>
            </w:r>
          </w:p>
        </w:tc>
        <w:tc>
          <w:tcPr>
            <w:tcW w:w="3296" w:type="dxa"/>
            <w:shd w:val="clear" w:color="auto" w:fill="auto"/>
          </w:tcPr>
          <w:p w:rsidR="00C01A94" w:rsidRPr="00C903F8" w:rsidRDefault="00C01A94" w:rsidP="00B74390">
            <w:pPr>
              <w:tabs>
                <w:tab w:val="left" w:pos="1080"/>
              </w:tabs>
              <w:spacing w:before="120" w:after="120" w:line="240" w:lineRule="atLeast"/>
              <w:ind w:left="0" w:firstLine="0"/>
              <w:rPr>
                <w:rFonts w:cs="Arial"/>
                <w:sz w:val="18"/>
                <w:szCs w:val="18"/>
              </w:rPr>
            </w:pPr>
            <w:r>
              <w:rPr>
                <w:noProof/>
                <w:sz w:val="18"/>
              </w:rPr>
              <w:t>Zone di passaggio e pareti di tali zone destinate all'uso da parte di persone a mobilità ridotta</w:t>
            </w:r>
          </w:p>
        </w:tc>
        <w:tc>
          <w:tcPr>
            <w:tcW w:w="6521"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1.1.2045</w:t>
            </w:r>
          </w:p>
        </w:tc>
      </w:tr>
      <w:tr w:rsidR="00C01A94" w:rsidRPr="00C903F8" w:rsidTr="008433CF">
        <w:trPr>
          <w:cantSplit/>
          <w:jc w:val="center"/>
        </w:trPr>
        <w:tc>
          <w:tcPr>
            <w:tcW w:w="1342" w:type="dxa"/>
            <w:tcBorders>
              <w:top w:val="nil"/>
              <w:bottom w:val="nil"/>
            </w:tcBorders>
            <w:shd w:val="clear" w:color="auto" w:fill="auto"/>
          </w:tcPr>
          <w:p w:rsidR="00C01A94" w:rsidRPr="00C903F8" w:rsidRDefault="00C01A94" w:rsidP="00B74390">
            <w:pPr>
              <w:spacing w:before="120" w:after="120" w:line="240" w:lineRule="atLeast"/>
              <w:ind w:left="0" w:firstLine="0"/>
              <w:rPr>
                <w:rFonts w:cs="Arial"/>
                <w:sz w:val="18"/>
                <w:szCs w:val="18"/>
              </w:rPr>
            </w:pPr>
          </w:p>
        </w:tc>
        <w:tc>
          <w:tcPr>
            <w:tcW w:w="1458" w:type="dxa"/>
            <w:tcBorders>
              <w:bottom w:val="single" w:sz="4" w:space="0" w:color="auto"/>
            </w:tcBorders>
            <w:shd w:val="clear" w:color="auto" w:fill="auto"/>
          </w:tcPr>
          <w:p w:rsidR="00C01A94" w:rsidRPr="00C903F8" w:rsidRDefault="00C01A94" w:rsidP="00B74390">
            <w:pPr>
              <w:spacing w:before="120" w:after="120" w:line="240" w:lineRule="atLeast"/>
              <w:ind w:left="0" w:firstLine="0"/>
              <w:jc w:val="left"/>
              <w:rPr>
                <w:rFonts w:cs="Arial"/>
                <w:sz w:val="18"/>
                <w:szCs w:val="18"/>
              </w:rPr>
            </w:pPr>
            <w:r>
              <w:rPr>
                <w:sz w:val="18"/>
              </w:rPr>
              <w:t>paragrafo 14, prima frase</w:t>
            </w:r>
          </w:p>
        </w:tc>
        <w:tc>
          <w:tcPr>
            <w:tcW w:w="3296" w:type="dxa"/>
            <w:shd w:val="clear" w:color="auto" w:fill="auto"/>
          </w:tcPr>
          <w:p w:rsidR="00C01A94" w:rsidRPr="00C903F8" w:rsidRDefault="00C01A94" w:rsidP="00B74390">
            <w:pPr>
              <w:tabs>
                <w:tab w:val="left" w:pos="1080"/>
              </w:tabs>
              <w:spacing w:before="120" w:after="120" w:line="240" w:lineRule="atLeast"/>
              <w:ind w:left="0" w:firstLine="0"/>
              <w:rPr>
                <w:rFonts w:cs="Arial"/>
                <w:sz w:val="18"/>
                <w:szCs w:val="18"/>
              </w:rPr>
            </w:pPr>
            <w:r>
              <w:rPr>
                <w:noProof/>
                <w:sz w:val="18"/>
              </w:rPr>
              <w:t>Progettazione delle porte e delle pareti di vetro nelle zone di passaggio e dei vetri delle finestre</w:t>
            </w:r>
          </w:p>
        </w:tc>
        <w:tc>
          <w:tcPr>
            <w:tcW w:w="6521"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1.1.2045</w:t>
            </w:r>
          </w:p>
        </w:tc>
      </w:tr>
      <w:tr w:rsidR="00C01A94" w:rsidRPr="00C903F8" w:rsidTr="008433CF">
        <w:trPr>
          <w:cantSplit/>
          <w:jc w:val="center"/>
        </w:trPr>
        <w:tc>
          <w:tcPr>
            <w:tcW w:w="1342" w:type="dxa"/>
            <w:tcBorders>
              <w:top w:val="nil"/>
              <w:bottom w:val="nil"/>
            </w:tcBorders>
            <w:shd w:val="clear" w:color="auto" w:fill="auto"/>
          </w:tcPr>
          <w:p w:rsidR="00C01A94" w:rsidRPr="00C903F8" w:rsidRDefault="00C01A94" w:rsidP="00B74390">
            <w:pPr>
              <w:spacing w:before="120" w:after="120" w:line="240" w:lineRule="atLeast"/>
              <w:ind w:left="0" w:firstLine="0"/>
              <w:rPr>
                <w:rFonts w:cs="Arial"/>
                <w:sz w:val="18"/>
                <w:szCs w:val="18"/>
              </w:rPr>
            </w:pPr>
          </w:p>
        </w:tc>
        <w:tc>
          <w:tcPr>
            <w:tcW w:w="1458" w:type="dxa"/>
            <w:tcBorders>
              <w:bottom w:val="nil"/>
            </w:tcBorders>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paragrafo 15</w:t>
            </w:r>
          </w:p>
        </w:tc>
        <w:tc>
          <w:tcPr>
            <w:tcW w:w="3296" w:type="dxa"/>
            <w:shd w:val="clear" w:color="auto" w:fill="auto"/>
          </w:tcPr>
          <w:p w:rsidR="00C01A94" w:rsidRPr="00C903F8" w:rsidRDefault="00C01A94" w:rsidP="00B74390">
            <w:pPr>
              <w:tabs>
                <w:tab w:val="left" w:pos="1080"/>
              </w:tabs>
              <w:spacing w:before="120" w:after="120" w:line="240" w:lineRule="atLeast"/>
              <w:ind w:left="0" w:firstLine="0"/>
              <w:rPr>
                <w:rFonts w:cs="Arial"/>
                <w:sz w:val="18"/>
                <w:szCs w:val="18"/>
              </w:rPr>
            </w:pPr>
            <w:r>
              <w:rPr>
                <w:sz w:val="18"/>
              </w:rPr>
              <w:t>Requisiti per sovrastrutture che consistono totalmente o in parte di finestre panoramiche.</w:t>
            </w:r>
          </w:p>
        </w:tc>
        <w:tc>
          <w:tcPr>
            <w:tcW w:w="6521"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120" w:after="120" w:line="240" w:lineRule="atLeast"/>
              <w:ind w:left="0" w:firstLine="0"/>
              <w:jc w:val="left"/>
              <w:rPr>
                <w:rFonts w:cs="Arial"/>
                <w:sz w:val="18"/>
                <w:szCs w:val="18"/>
              </w:rPr>
            </w:pPr>
            <w:r>
              <w:rPr>
                <w:sz w:val="18"/>
              </w:rPr>
              <w:t>paragrafo 17, seconda frase</w:t>
            </w:r>
          </w:p>
        </w:tc>
        <w:tc>
          <w:tcPr>
            <w:tcW w:w="3296" w:type="dxa"/>
            <w:shd w:val="clear" w:color="auto" w:fill="auto"/>
          </w:tcPr>
          <w:p w:rsidR="00C01A94" w:rsidRPr="00C903F8" w:rsidRDefault="00C01A94" w:rsidP="00B74390">
            <w:pPr>
              <w:tabs>
                <w:tab w:val="left" w:pos="1080"/>
              </w:tabs>
              <w:spacing w:before="120" w:after="120" w:line="240" w:lineRule="atLeast"/>
              <w:ind w:left="0" w:firstLine="0"/>
              <w:rPr>
                <w:rFonts w:cs="Arial"/>
                <w:sz w:val="18"/>
                <w:szCs w:val="18"/>
              </w:rPr>
            </w:pPr>
            <w:r>
              <w:rPr>
                <w:noProof/>
                <w:sz w:val="18"/>
              </w:rPr>
              <w:t>Requisiti dei gabinetti progettati per l'uso da parte delle persone a mobilità ridotta</w:t>
            </w:r>
          </w:p>
        </w:tc>
        <w:tc>
          <w:tcPr>
            <w:tcW w:w="6521"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20" w:after="12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40" w:after="14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40" w:after="140" w:line="240" w:lineRule="atLeast"/>
              <w:ind w:left="0" w:firstLine="0"/>
              <w:rPr>
                <w:rFonts w:cs="Arial"/>
                <w:sz w:val="18"/>
                <w:szCs w:val="18"/>
              </w:rPr>
            </w:pPr>
            <w:r>
              <w:rPr>
                <w:sz w:val="18"/>
              </w:rPr>
              <w:t>paragrafo 18</w:t>
            </w:r>
          </w:p>
        </w:tc>
        <w:tc>
          <w:tcPr>
            <w:tcW w:w="3296" w:type="dxa"/>
            <w:shd w:val="clear" w:color="auto" w:fill="auto"/>
          </w:tcPr>
          <w:p w:rsidR="00C01A94" w:rsidRPr="00C903F8" w:rsidRDefault="00C01A94" w:rsidP="00C01A94">
            <w:pPr>
              <w:tabs>
                <w:tab w:val="left" w:pos="1080"/>
              </w:tabs>
              <w:spacing w:before="140" w:after="140" w:line="240" w:lineRule="atLeast"/>
              <w:ind w:left="0" w:firstLine="0"/>
              <w:rPr>
                <w:rFonts w:cs="Arial"/>
                <w:sz w:val="18"/>
                <w:szCs w:val="18"/>
              </w:rPr>
            </w:pPr>
            <w:r>
              <w:rPr>
                <w:noProof/>
                <w:sz w:val="18"/>
              </w:rPr>
              <w:t>Sistema di ventilazione per le cabine sprovviste di finestre apribili</w:t>
            </w:r>
          </w:p>
        </w:tc>
        <w:tc>
          <w:tcPr>
            <w:tcW w:w="6521" w:type="dxa"/>
            <w:shd w:val="clear" w:color="auto" w:fill="auto"/>
          </w:tcPr>
          <w:p w:rsidR="00C01A94" w:rsidRPr="00C903F8" w:rsidRDefault="00C01A94" w:rsidP="00C01A94">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40" w:after="14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tcBorders>
            <w:shd w:val="clear" w:color="auto" w:fill="auto"/>
          </w:tcPr>
          <w:p w:rsidR="00C01A94" w:rsidRPr="00C903F8" w:rsidRDefault="00C01A94" w:rsidP="00C01A94">
            <w:pPr>
              <w:spacing w:before="140" w:after="14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40" w:after="140" w:line="240" w:lineRule="atLeast"/>
              <w:ind w:left="0" w:firstLine="0"/>
              <w:rPr>
                <w:rFonts w:cs="Arial"/>
                <w:sz w:val="18"/>
                <w:szCs w:val="18"/>
              </w:rPr>
            </w:pPr>
            <w:r>
              <w:rPr>
                <w:sz w:val="18"/>
              </w:rPr>
              <w:t>paragrafo 19</w:t>
            </w:r>
          </w:p>
        </w:tc>
        <w:tc>
          <w:tcPr>
            <w:tcW w:w="3296" w:type="dxa"/>
            <w:shd w:val="clear" w:color="auto" w:fill="auto"/>
          </w:tcPr>
          <w:p w:rsidR="00C01A94" w:rsidRPr="00C903F8" w:rsidRDefault="00C01A94" w:rsidP="00C01A94">
            <w:pPr>
              <w:tabs>
                <w:tab w:val="left" w:pos="1080"/>
              </w:tabs>
              <w:spacing w:before="140" w:after="140" w:line="240" w:lineRule="atLeast"/>
              <w:ind w:left="0" w:firstLine="0"/>
              <w:rPr>
                <w:rFonts w:cs="Arial"/>
                <w:sz w:val="18"/>
                <w:szCs w:val="18"/>
              </w:rPr>
            </w:pPr>
            <w:r>
              <w:rPr>
                <w:noProof/>
                <w:sz w:val="18"/>
              </w:rPr>
              <w:t>Requisiti di cui all'articolo 19.06 per i locali destinati all'alloggio dei membri dell'equipaggio e del personale di bordo</w:t>
            </w:r>
          </w:p>
        </w:tc>
        <w:tc>
          <w:tcPr>
            <w:tcW w:w="6521" w:type="dxa"/>
            <w:shd w:val="clear" w:color="auto" w:fill="auto"/>
          </w:tcPr>
          <w:p w:rsidR="00C01A94" w:rsidRPr="00C903F8" w:rsidRDefault="00C01A94" w:rsidP="00C01A94">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40" w:after="14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bottom w:val="single" w:sz="4" w:space="0" w:color="auto"/>
            </w:tcBorders>
            <w:shd w:val="clear" w:color="auto" w:fill="auto"/>
          </w:tcPr>
          <w:p w:rsidR="00C01A94" w:rsidRPr="00C903F8" w:rsidRDefault="00C01A94" w:rsidP="001C15FF">
            <w:pPr>
              <w:spacing w:before="200" w:after="200" w:line="240" w:lineRule="atLeast"/>
              <w:ind w:left="0" w:firstLine="0"/>
              <w:rPr>
                <w:rFonts w:cs="Arial"/>
                <w:sz w:val="18"/>
                <w:szCs w:val="18"/>
              </w:rPr>
            </w:pPr>
            <w:r>
              <w:rPr>
                <w:sz w:val="18"/>
              </w:rPr>
              <w:t>19.07</w:t>
            </w:r>
            <w:r>
              <w:rPr>
                <w:color w:val="000000"/>
                <w:sz w:val="18"/>
                <w:vertAlign w:val="superscript"/>
              </w:rPr>
              <w:footnoteReference w:id="31"/>
            </w:r>
          </w:p>
        </w:tc>
        <w:tc>
          <w:tcPr>
            <w:tcW w:w="1458" w:type="dxa"/>
            <w:shd w:val="clear" w:color="auto" w:fill="auto"/>
          </w:tcPr>
          <w:p w:rsidR="00C01A94" w:rsidRPr="00C903F8" w:rsidRDefault="00C01A94" w:rsidP="001C15FF">
            <w:pPr>
              <w:spacing w:before="200" w:after="200" w:line="240" w:lineRule="atLeast"/>
              <w:ind w:left="0" w:firstLine="0"/>
              <w:rPr>
                <w:rFonts w:cs="Arial"/>
                <w:sz w:val="18"/>
                <w:szCs w:val="18"/>
              </w:rPr>
            </w:pPr>
          </w:p>
        </w:tc>
        <w:tc>
          <w:tcPr>
            <w:tcW w:w="3296" w:type="dxa"/>
            <w:shd w:val="clear" w:color="auto" w:fill="auto"/>
          </w:tcPr>
          <w:p w:rsidR="00C01A94" w:rsidRPr="00C903F8" w:rsidRDefault="001C15FF" w:rsidP="001C15FF">
            <w:pPr>
              <w:tabs>
                <w:tab w:val="left" w:pos="1080"/>
              </w:tabs>
              <w:spacing w:before="200" w:after="200" w:line="240" w:lineRule="atLeast"/>
              <w:ind w:left="0" w:firstLine="0"/>
              <w:rPr>
                <w:rFonts w:cs="Arial"/>
                <w:sz w:val="18"/>
                <w:szCs w:val="18"/>
              </w:rPr>
            </w:pPr>
            <w:r>
              <w:rPr>
                <w:sz w:val="18"/>
              </w:rPr>
              <w:t>Sala macchine separata</w:t>
            </w:r>
          </w:p>
        </w:tc>
        <w:tc>
          <w:tcPr>
            <w:tcW w:w="6521" w:type="dxa"/>
            <w:shd w:val="clear" w:color="auto" w:fill="auto"/>
          </w:tcPr>
          <w:p w:rsidR="00C01A94" w:rsidRPr="00C903F8" w:rsidRDefault="00C01A94" w:rsidP="001C15FF">
            <w:pPr>
              <w:spacing w:before="200" w:after="2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1C15FF">
            <w:pPr>
              <w:spacing w:before="200" w:after="200" w:line="240" w:lineRule="atLeast"/>
              <w:ind w:left="0" w:firstLine="0"/>
              <w:rPr>
                <w:rFonts w:cs="Arial"/>
                <w:sz w:val="18"/>
                <w:szCs w:val="18"/>
              </w:rPr>
            </w:pPr>
            <w:r>
              <w:rPr>
                <w:sz w:val="18"/>
              </w:rPr>
              <w:t>1.1.2020</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40" w:after="140" w:line="240" w:lineRule="atLeast"/>
              <w:ind w:left="0" w:firstLine="0"/>
              <w:rPr>
                <w:rFonts w:cs="Arial"/>
                <w:sz w:val="18"/>
                <w:szCs w:val="18"/>
              </w:rPr>
            </w:pPr>
            <w:r>
              <w:rPr>
                <w:sz w:val="18"/>
              </w:rPr>
              <w:t>19.08</w:t>
            </w:r>
          </w:p>
        </w:tc>
        <w:tc>
          <w:tcPr>
            <w:tcW w:w="1458" w:type="dxa"/>
            <w:shd w:val="clear" w:color="auto" w:fill="auto"/>
          </w:tcPr>
          <w:p w:rsidR="00C01A94" w:rsidRPr="00C903F8" w:rsidRDefault="00C01A94" w:rsidP="00C01A94">
            <w:pPr>
              <w:spacing w:before="140" w:after="140" w:line="240" w:lineRule="atLeast"/>
              <w:ind w:left="0" w:firstLine="0"/>
              <w:rPr>
                <w:rFonts w:cs="Arial"/>
                <w:sz w:val="18"/>
                <w:szCs w:val="18"/>
              </w:rPr>
            </w:pPr>
            <w:r>
              <w:rPr>
                <w:sz w:val="18"/>
              </w:rPr>
              <w:t>paragrafo 3, lettera a)</w:t>
            </w:r>
            <w:r>
              <w:rPr>
                <w:color w:val="000000"/>
                <w:sz w:val="18"/>
                <w:vertAlign w:val="superscript"/>
              </w:rPr>
              <w:footnoteReference w:id="32"/>
            </w:r>
          </w:p>
        </w:tc>
        <w:tc>
          <w:tcPr>
            <w:tcW w:w="3296" w:type="dxa"/>
            <w:shd w:val="clear" w:color="auto" w:fill="auto"/>
          </w:tcPr>
          <w:p w:rsidR="00C01A94" w:rsidRPr="00C903F8" w:rsidRDefault="00C01A94" w:rsidP="00C42516">
            <w:pPr>
              <w:spacing w:before="140" w:after="140" w:line="240" w:lineRule="atLeast"/>
              <w:ind w:left="0" w:firstLine="0"/>
              <w:rPr>
                <w:rFonts w:cs="Arial"/>
                <w:sz w:val="18"/>
                <w:szCs w:val="18"/>
              </w:rPr>
            </w:pPr>
            <w:r>
              <w:rPr>
                <w:sz w:val="18"/>
              </w:rPr>
              <w:t>Requisiti per l'impianto di allarme che permetta ai passeggeri, ai membri dell'equipaggio e al personale di bordo di dare l'allarme al personale di comando e all'equipaggio della nave.</w:t>
            </w:r>
          </w:p>
        </w:tc>
        <w:tc>
          <w:tcPr>
            <w:tcW w:w="6521" w:type="dxa"/>
            <w:shd w:val="clear" w:color="auto" w:fill="auto"/>
          </w:tcPr>
          <w:p w:rsidR="00C01A94" w:rsidRPr="00C903F8" w:rsidRDefault="00C01A94" w:rsidP="00C01A94">
            <w:pPr>
              <w:spacing w:before="140" w:after="140" w:line="240" w:lineRule="atLeast"/>
              <w:ind w:left="0" w:firstLine="0"/>
              <w:rPr>
                <w:rFonts w:cs="Arial"/>
                <w:sz w:val="18"/>
                <w:szCs w:val="18"/>
              </w:rPr>
            </w:pPr>
            <w:r>
              <w:rPr>
                <w:sz w:val="18"/>
              </w:rPr>
              <w:t>Per i battelli per escursioni giornaliere, il requisito si applica per N.S.T., al più tardi dopo la data di rinnovo del certificato per la navigazione interna posteriormente al</w:t>
            </w:r>
          </w:p>
        </w:tc>
        <w:tc>
          <w:tcPr>
            <w:tcW w:w="1276" w:type="dxa"/>
            <w:shd w:val="clear" w:color="auto" w:fill="auto"/>
          </w:tcPr>
          <w:p w:rsidR="00C01A94" w:rsidRPr="00C903F8" w:rsidRDefault="00C01A94" w:rsidP="00C01A94">
            <w:pPr>
              <w:spacing w:before="140" w:after="140" w:line="240" w:lineRule="atLeast"/>
              <w:ind w:left="0" w:firstLine="0"/>
              <w:rPr>
                <w:rFonts w:cs="Arial"/>
                <w:sz w:val="18"/>
                <w:szCs w:val="18"/>
              </w:rPr>
            </w:pPr>
            <w:r>
              <w:rPr>
                <w:sz w:val="18"/>
              </w:rPr>
              <w:t>1.1.2020</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40" w:after="14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40" w:after="140" w:line="240" w:lineRule="atLeast"/>
              <w:ind w:left="0" w:firstLine="0"/>
              <w:rPr>
                <w:rFonts w:cs="Arial"/>
                <w:sz w:val="18"/>
                <w:szCs w:val="18"/>
              </w:rPr>
            </w:pPr>
            <w:r>
              <w:rPr>
                <w:sz w:val="18"/>
              </w:rPr>
              <w:t>paragrafo 6</w:t>
            </w:r>
          </w:p>
        </w:tc>
        <w:tc>
          <w:tcPr>
            <w:tcW w:w="3296" w:type="dxa"/>
            <w:shd w:val="clear" w:color="auto" w:fill="auto"/>
          </w:tcPr>
          <w:p w:rsidR="00C01A94" w:rsidRPr="00C903F8" w:rsidRDefault="00C01A94" w:rsidP="00C01A94">
            <w:pPr>
              <w:tabs>
                <w:tab w:val="left" w:pos="1080"/>
              </w:tabs>
              <w:spacing w:before="140" w:after="140" w:line="240" w:lineRule="atLeast"/>
              <w:ind w:left="0" w:firstLine="0"/>
              <w:rPr>
                <w:rFonts w:cs="Arial"/>
                <w:sz w:val="18"/>
                <w:szCs w:val="18"/>
              </w:rPr>
            </w:pPr>
            <w:r>
              <w:rPr>
                <w:noProof/>
                <w:sz w:val="18"/>
              </w:rPr>
              <w:t>Sistema di sentina fisso</w:t>
            </w:r>
          </w:p>
        </w:tc>
        <w:tc>
          <w:tcPr>
            <w:tcW w:w="6521" w:type="dxa"/>
            <w:shd w:val="clear" w:color="auto" w:fill="auto"/>
          </w:tcPr>
          <w:p w:rsidR="00C01A94" w:rsidRPr="00C903F8" w:rsidRDefault="00C01A94" w:rsidP="00C01A94">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40" w:after="140" w:line="240" w:lineRule="atLeast"/>
              <w:ind w:left="0" w:firstLine="0"/>
              <w:rPr>
                <w:rFonts w:cs="Arial"/>
                <w:sz w:val="18"/>
                <w:szCs w:val="18"/>
              </w:rPr>
            </w:pPr>
            <w:r>
              <w:rPr>
                <w:sz w:val="18"/>
              </w:rPr>
              <w:t>1.1.2015</w:t>
            </w:r>
          </w:p>
        </w:tc>
      </w:tr>
      <w:tr w:rsidR="00C01A94" w:rsidRPr="00C903F8" w:rsidTr="00196FBC">
        <w:trPr>
          <w:cantSplit/>
          <w:jc w:val="center"/>
        </w:trPr>
        <w:tc>
          <w:tcPr>
            <w:tcW w:w="1342" w:type="dxa"/>
            <w:tcBorders>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19.10</w:t>
            </w: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2</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L'articolo 10.16, paragrafo 3, si applica inoltre alle zone di passaggio e ai locali di soggiorno destinati ai passeggeri</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1.1.2015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3</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Idonea illuminazione di sicurezza</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1.1.2015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4</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Impianto elettrico di emergenza</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noProof/>
                <w:sz w:val="18"/>
              </w:rPr>
              <w:t xml:space="preserve">Alle navi per escursioni giornaliere di lunghezza al galleggiamento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Pr>
                <w:noProof/>
                <w:sz w:val="18"/>
              </w:rPr>
              <w:t xml:space="preserve"> pari o inferiore a 25 m, la disposizione si applica per N.S.T., al più tardi alla data di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1.1.2015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D321F1">
            <w:pPr>
              <w:spacing w:before="120" w:after="120" w:line="240" w:lineRule="atLeast"/>
              <w:ind w:left="0" w:firstLine="0"/>
              <w:rPr>
                <w:rFonts w:cs="Arial"/>
                <w:sz w:val="18"/>
                <w:szCs w:val="18"/>
              </w:rPr>
            </w:pPr>
            <w:r>
              <w:rPr>
                <w:sz w:val="18"/>
              </w:rPr>
              <w:t>paragrafo 4, lettera f)</w:t>
            </w:r>
          </w:p>
        </w:tc>
        <w:tc>
          <w:tcPr>
            <w:tcW w:w="3296" w:type="dxa"/>
            <w:shd w:val="clear" w:color="auto" w:fill="auto"/>
          </w:tcPr>
          <w:p w:rsidR="00C01A94" w:rsidRPr="00C903F8" w:rsidRDefault="00C01A94" w:rsidP="00C42516">
            <w:pPr>
              <w:tabs>
                <w:tab w:val="left" w:pos="1080"/>
              </w:tabs>
              <w:spacing w:before="120" w:after="120" w:line="240" w:lineRule="atLeast"/>
              <w:ind w:left="0" w:firstLine="0"/>
              <w:rPr>
                <w:rFonts w:cs="Arial"/>
                <w:sz w:val="18"/>
                <w:szCs w:val="18"/>
              </w:rPr>
            </w:pPr>
            <w:r>
              <w:rPr>
                <w:noProof/>
                <w:sz w:val="18"/>
              </w:rPr>
              <w:t>Alimentazione di emergenza per proiettori a norma dell'articolo 13.02, paragrafo 2, lettera i)</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1.1.2015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D321F1">
            <w:pPr>
              <w:spacing w:before="120" w:after="120" w:line="240" w:lineRule="atLeast"/>
              <w:ind w:left="0" w:firstLine="0"/>
              <w:rPr>
                <w:rFonts w:cs="Arial"/>
                <w:sz w:val="18"/>
                <w:szCs w:val="18"/>
              </w:rPr>
            </w:pPr>
            <w:r>
              <w:rPr>
                <w:sz w:val="18"/>
              </w:rPr>
              <w:t>paragrafo 4, lettera i)</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Alimentazione di emergenza per ascensori e impianti di sollevamento a norma dell'articolo 19.06, paragrafo 9, seconda frase</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1.1.2015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jc w:val="left"/>
              <w:rPr>
                <w:rFonts w:cs="Arial"/>
                <w:sz w:val="18"/>
                <w:szCs w:val="18"/>
              </w:rPr>
            </w:pPr>
            <w:r>
              <w:rPr>
                <w:sz w:val="18"/>
              </w:rPr>
              <w:t>paragrafo 6, prima frase</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Paratie a norma dell'articolo 19.11, paragrafo 2</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1.1.2015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jc w:val="left"/>
              <w:rPr>
                <w:rFonts w:cs="Arial"/>
                <w:sz w:val="18"/>
                <w:szCs w:val="18"/>
              </w:rPr>
            </w:pPr>
            <w:r>
              <w:rPr>
                <w:sz w:val="18"/>
              </w:rPr>
              <w:t>paragrafo 6, seconda e terza frase</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Installazione di cavi</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1.1.2015</w:t>
            </w:r>
          </w:p>
        </w:tc>
      </w:tr>
      <w:tr w:rsidR="00C01A94" w:rsidRPr="00C903F8" w:rsidTr="00196FBC">
        <w:trPr>
          <w:cantSplit/>
          <w:jc w:val="center"/>
        </w:trPr>
        <w:tc>
          <w:tcPr>
            <w:tcW w:w="1342" w:type="dxa"/>
            <w:tcBorders>
              <w:top w:val="nil"/>
              <w:bottom w:val="single" w:sz="4" w:space="0" w:color="auto"/>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jc w:val="left"/>
              <w:rPr>
                <w:rFonts w:cs="Arial"/>
                <w:sz w:val="18"/>
                <w:szCs w:val="18"/>
              </w:rPr>
            </w:pPr>
            <w:r>
              <w:rPr>
                <w:sz w:val="18"/>
              </w:rPr>
              <w:t>paragrafo 6, quarta frase</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Impianto elettrico di emergenza al di sopra della linea limite</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1.1.2015</w:t>
            </w:r>
          </w:p>
        </w:tc>
      </w:tr>
      <w:tr w:rsidR="00C01A94" w:rsidRPr="00C903F8" w:rsidTr="000E732C">
        <w:trPr>
          <w:cantSplit/>
          <w:trHeight w:val="347"/>
          <w:jc w:val="center"/>
        </w:trPr>
        <w:tc>
          <w:tcPr>
            <w:tcW w:w="1342" w:type="dxa"/>
            <w:vMerge w:val="restart"/>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19.11</w:t>
            </w:r>
          </w:p>
        </w:tc>
        <w:tc>
          <w:tcPr>
            <w:tcW w:w="1458" w:type="dxa"/>
            <w:vMerge w:val="restart"/>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paragrafo 1</w:t>
            </w:r>
          </w:p>
        </w:tc>
        <w:tc>
          <w:tcPr>
            <w:tcW w:w="3296" w:type="dxa"/>
            <w:vMerge w:val="restart"/>
            <w:shd w:val="clear" w:color="auto" w:fill="auto"/>
          </w:tcPr>
          <w:p w:rsidR="00C01A94" w:rsidRPr="00C903F8" w:rsidRDefault="00C01A94" w:rsidP="00B74390">
            <w:pPr>
              <w:tabs>
                <w:tab w:val="left" w:pos="1080"/>
              </w:tabs>
              <w:spacing w:before="80" w:after="80" w:line="240" w:lineRule="atLeast"/>
              <w:ind w:left="0" w:firstLine="0"/>
              <w:rPr>
                <w:rFonts w:cs="Arial"/>
                <w:sz w:val="18"/>
                <w:szCs w:val="18"/>
              </w:rPr>
            </w:pPr>
            <w:r>
              <w:rPr>
                <w:noProof/>
                <w:sz w:val="18"/>
              </w:rPr>
              <w:t>Idoneità alla protezione antincendio dei materiali e delle componenti</w:t>
            </w:r>
          </w:p>
        </w:tc>
        <w:tc>
          <w:tcPr>
            <w:tcW w:w="6521"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vMerge w:val="restart"/>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1.1.2045</w:t>
            </w:r>
          </w:p>
        </w:tc>
      </w:tr>
      <w:tr w:rsidR="00C01A94" w:rsidRPr="00A0619C" w:rsidTr="00196FBC">
        <w:trPr>
          <w:cantSplit/>
          <w:trHeight w:val="346"/>
          <w:jc w:val="center"/>
        </w:trPr>
        <w:tc>
          <w:tcPr>
            <w:tcW w:w="1342" w:type="dxa"/>
            <w:vMerge/>
            <w:tcBorders>
              <w:bottom w:val="nil"/>
            </w:tcBorders>
            <w:shd w:val="clear" w:color="auto" w:fill="auto"/>
          </w:tcPr>
          <w:p w:rsidR="00C01A94" w:rsidRPr="00C903F8" w:rsidRDefault="00C01A94" w:rsidP="00B74390">
            <w:pPr>
              <w:spacing w:before="80" w:after="80" w:line="240" w:lineRule="atLeast"/>
              <w:ind w:left="0" w:firstLine="0"/>
              <w:rPr>
                <w:rFonts w:cs="Arial"/>
                <w:sz w:val="18"/>
                <w:szCs w:val="18"/>
              </w:rPr>
            </w:pPr>
          </w:p>
        </w:tc>
        <w:tc>
          <w:tcPr>
            <w:tcW w:w="1458" w:type="dxa"/>
            <w:vMerge/>
            <w:shd w:val="clear" w:color="auto" w:fill="auto"/>
          </w:tcPr>
          <w:p w:rsidR="00C01A94" w:rsidRPr="00C903F8" w:rsidRDefault="00C01A94" w:rsidP="00B74390">
            <w:pPr>
              <w:spacing w:before="80" w:after="80" w:line="240" w:lineRule="atLeast"/>
              <w:ind w:left="0" w:firstLine="0"/>
              <w:rPr>
                <w:rFonts w:cs="Arial"/>
                <w:sz w:val="18"/>
                <w:szCs w:val="18"/>
              </w:rPr>
            </w:pPr>
          </w:p>
        </w:tc>
        <w:tc>
          <w:tcPr>
            <w:tcW w:w="3296" w:type="dxa"/>
            <w:vMerge/>
            <w:shd w:val="clear" w:color="auto" w:fill="auto"/>
          </w:tcPr>
          <w:p w:rsidR="00C01A94" w:rsidRPr="00C903F8" w:rsidRDefault="00C01A94" w:rsidP="00B74390">
            <w:pPr>
              <w:tabs>
                <w:tab w:val="left" w:pos="1080"/>
              </w:tabs>
              <w:spacing w:before="80" w:after="80" w:line="240" w:lineRule="atLeast"/>
              <w:ind w:left="0" w:firstLine="0"/>
              <w:rPr>
                <w:rFonts w:cs="Arial"/>
                <w:noProof/>
                <w:sz w:val="18"/>
                <w:szCs w:val="18"/>
              </w:rPr>
            </w:pPr>
          </w:p>
        </w:tc>
        <w:tc>
          <w:tcPr>
            <w:tcW w:w="6521" w:type="dxa"/>
            <w:shd w:val="clear" w:color="auto" w:fill="auto"/>
          </w:tcPr>
          <w:p w:rsidR="00C01A94" w:rsidRPr="00066459" w:rsidRDefault="00C01A94" w:rsidP="00B74390">
            <w:pPr>
              <w:spacing w:before="80" w:after="80" w:line="240" w:lineRule="atLeast"/>
              <w:ind w:left="0" w:firstLine="0"/>
              <w:rPr>
                <w:rFonts w:cs="Arial"/>
                <w:sz w:val="18"/>
                <w:szCs w:val="18"/>
              </w:rPr>
            </w:pPr>
            <w:r>
              <w:rPr>
                <w:sz w:val="18"/>
              </w:rPr>
              <w:t>Per materiali e componenti autorizzati in conformità</w:t>
            </w:r>
            <w:r w:rsidR="00A16690">
              <w:rPr>
                <w:sz w:val="18"/>
              </w:rPr>
              <w:t xml:space="preserve"> </w:t>
            </w:r>
            <w:r>
              <w:rPr>
                <w:sz w:val="18"/>
              </w:rPr>
              <w:t>al codice internazionale per l'applicazione delle procedure di prova del fuoco adottato tramite la risoluzione MSC.61(67)</w:t>
            </w:r>
            <w:r>
              <w:rPr>
                <w:rStyle w:val="FootnoteReference"/>
                <w:sz w:val="18"/>
              </w:rPr>
              <w:footnoteReference w:id="33"/>
            </w:r>
            <w:r>
              <w:rPr>
                <w:sz w:val="18"/>
              </w:rPr>
              <w:t>: N.S.T</w:t>
            </w:r>
          </w:p>
        </w:tc>
        <w:tc>
          <w:tcPr>
            <w:tcW w:w="1276" w:type="dxa"/>
            <w:vMerge/>
            <w:shd w:val="clear" w:color="auto" w:fill="auto"/>
          </w:tcPr>
          <w:p w:rsidR="00C01A94" w:rsidRPr="0044336D" w:rsidRDefault="00C01A94" w:rsidP="00B74390">
            <w:pPr>
              <w:spacing w:before="80" w:after="80" w:line="240" w:lineRule="atLeast"/>
              <w:ind w:left="0" w:firstLine="0"/>
              <w:rPr>
                <w:rFonts w:cs="Arial"/>
                <w:sz w:val="18"/>
                <w:szCs w:val="18"/>
              </w:rPr>
            </w:pPr>
          </w:p>
        </w:tc>
      </w:tr>
      <w:tr w:rsidR="00C01A94" w:rsidRPr="00C903F8" w:rsidTr="00196FBC">
        <w:trPr>
          <w:cantSplit/>
          <w:jc w:val="center"/>
        </w:trPr>
        <w:tc>
          <w:tcPr>
            <w:tcW w:w="1342" w:type="dxa"/>
            <w:tcBorders>
              <w:top w:val="nil"/>
              <w:bottom w:val="nil"/>
            </w:tcBorders>
            <w:shd w:val="clear" w:color="auto" w:fill="auto"/>
          </w:tcPr>
          <w:p w:rsidR="00C01A94" w:rsidRPr="0044336D" w:rsidRDefault="00C01A94" w:rsidP="00B74390">
            <w:pPr>
              <w:spacing w:before="80" w:after="8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paragrafo 2</w:t>
            </w:r>
          </w:p>
        </w:tc>
        <w:tc>
          <w:tcPr>
            <w:tcW w:w="3296" w:type="dxa"/>
            <w:shd w:val="clear" w:color="auto" w:fill="auto"/>
          </w:tcPr>
          <w:p w:rsidR="00C01A94" w:rsidRPr="00C903F8" w:rsidRDefault="00C01A94" w:rsidP="00B74390">
            <w:pPr>
              <w:tabs>
                <w:tab w:val="left" w:pos="1080"/>
              </w:tabs>
              <w:spacing w:before="80" w:after="80" w:line="240" w:lineRule="atLeast"/>
              <w:ind w:left="0" w:firstLine="0"/>
              <w:rPr>
                <w:rFonts w:cs="Arial"/>
                <w:sz w:val="18"/>
                <w:szCs w:val="18"/>
              </w:rPr>
            </w:pPr>
            <w:r>
              <w:rPr>
                <w:noProof/>
                <w:sz w:val="18"/>
              </w:rPr>
              <w:t>Progettazione delle paratie</w:t>
            </w:r>
          </w:p>
        </w:tc>
        <w:tc>
          <w:tcPr>
            <w:tcW w:w="6521"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80" w:after="8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paragrafo 3</w:t>
            </w:r>
          </w:p>
        </w:tc>
        <w:tc>
          <w:tcPr>
            <w:tcW w:w="3296" w:type="dxa"/>
            <w:shd w:val="clear" w:color="auto" w:fill="auto"/>
          </w:tcPr>
          <w:p w:rsidR="00C01A94" w:rsidRPr="00C903F8" w:rsidRDefault="00C01A94" w:rsidP="00B74390">
            <w:pPr>
              <w:tabs>
                <w:tab w:val="left" w:pos="1080"/>
              </w:tabs>
              <w:spacing w:before="80" w:after="80" w:line="240" w:lineRule="atLeast"/>
              <w:ind w:left="0" w:firstLine="0"/>
              <w:rPr>
                <w:rFonts w:cs="Arial"/>
                <w:sz w:val="18"/>
                <w:szCs w:val="18"/>
              </w:rPr>
            </w:pPr>
            <w:r>
              <w:rPr>
                <w:noProof/>
                <w:sz w:val="18"/>
              </w:rPr>
              <w:t>Le pitture, le lacche e altri prodotti per il trattamento delle superfici nonché i rivestimenti dei ponti utilizzati nei locali a eccezione della sala macchine e dei magazzini sono a infiammabilità ritardata</w:t>
            </w:r>
          </w:p>
        </w:tc>
        <w:tc>
          <w:tcPr>
            <w:tcW w:w="6521"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1.1.2015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80" w:after="8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paragrafo 4</w:t>
            </w:r>
          </w:p>
        </w:tc>
        <w:tc>
          <w:tcPr>
            <w:tcW w:w="3296" w:type="dxa"/>
            <w:shd w:val="clear" w:color="auto" w:fill="auto"/>
          </w:tcPr>
          <w:p w:rsidR="00C01A94" w:rsidRPr="00C903F8" w:rsidRDefault="00C01A94" w:rsidP="00B74390">
            <w:pPr>
              <w:tabs>
                <w:tab w:val="left" w:pos="1080"/>
              </w:tabs>
              <w:spacing w:before="80" w:after="80" w:line="240" w:lineRule="atLeast"/>
              <w:ind w:left="0" w:firstLine="0"/>
              <w:rPr>
                <w:rFonts w:cs="Arial"/>
                <w:sz w:val="18"/>
                <w:szCs w:val="18"/>
              </w:rPr>
            </w:pPr>
            <w:r>
              <w:rPr>
                <w:noProof/>
                <w:sz w:val="18"/>
              </w:rPr>
              <w:t>Soffittature e rivestimenti delle pareti realizzati in materiale non combustibile</w:t>
            </w:r>
          </w:p>
        </w:tc>
        <w:tc>
          <w:tcPr>
            <w:tcW w:w="6521"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80" w:after="8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5</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Mobilio e arredo nei punti di riunione realizzati in materiale non combustibile</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6</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Prova del fuoco conforme al codice</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7</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Materiali coibentanti nelle sale di ritrovo nei saloni</w:t>
            </w:r>
          </w:p>
        </w:tc>
        <w:tc>
          <w:tcPr>
            <w:tcW w:w="6521"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140" w:after="14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paragrafo 9</w:t>
            </w:r>
          </w:p>
        </w:tc>
        <w:tc>
          <w:tcPr>
            <w:tcW w:w="3296" w:type="dxa"/>
            <w:shd w:val="clear" w:color="auto" w:fill="auto"/>
          </w:tcPr>
          <w:p w:rsidR="00C01A94" w:rsidRPr="00C903F8" w:rsidRDefault="00C01A94" w:rsidP="00B74390">
            <w:pPr>
              <w:tabs>
                <w:tab w:val="left" w:pos="1080"/>
              </w:tabs>
              <w:spacing w:before="140" w:after="140" w:line="240" w:lineRule="atLeast"/>
              <w:ind w:left="0" w:firstLine="0"/>
              <w:rPr>
                <w:rFonts w:cs="Arial"/>
                <w:sz w:val="18"/>
                <w:szCs w:val="18"/>
              </w:rPr>
            </w:pPr>
            <w:r>
              <w:rPr>
                <w:noProof/>
                <w:sz w:val="18"/>
              </w:rPr>
              <w:t>Requisiti delle porte delle paratie</w:t>
            </w:r>
          </w:p>
        </w:tc>
        <w:tc>
          <w:tcPr>
            <w:tcW w:w="6521"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140" w:after="14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paragrafo 11</w:t>
            </w:r>
          </w:p>
        </w:tc>
        <w:tc>
          <w:tcPr>
            <w:tcW w:w="3296" w:type="dxa"/>
            <w:shd w:val="clear" w:color="auto" w:fill="auto"/>
          </w:tcPr>
          <w:p w:rsidR="00C01A94" w:rsidRPr="00C903F8" w:rsidRDefault="00C01A94" w:rsidP="00B74390">
            <w:pPr>
              <w:tabs>
                <w:tab w:val="left" w:pos="1080"/>
              </w:tabs>
              <w:spacing w:before="140" w:after="140" w:line="240" w:lineRule="atLeast"/>
              <w:ind w:left="0" w:firstLine="0"/>
              <w:rPr>
                <w:rFonts w:cs="Arial"/>
                <w:sz w:val="18"/>
                <w:szCs w:val="18"/>
              </w:rPr>
            </w:pPr>
            <w:r>
              <w:rPr>
                <w:sz w:val="18"/>
              </w:rPr>
              <w:t>Paratie</w:t>
            </w:r>
          </w:p>
        </w:tc>
        <w:tc>
          <w:tcPr>
            <w:tcW w:w="6521"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140" w:after="14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paragrafo 12</w:t>
            </w:r>
          </w:p>
        </w:tc>
        <w:tc>
          <w:tcPr>
            <w:tcW w:w="3296" w:type="dxa"/>
            <w:shd w:val="clear" w:color="auto" w:fill="auto"/>
          </w:tcPr>
          <w:p w:rsidR="00C01A94" w:rsidRPr="00C903F8" w:rsidRDefault="00C01A94" w:rsidP="00B74390">
            <w:pPr>
              <w:tabs>
                <w:tab w:val="left" w:pos="1080"/>
              </w:tabs>
              <w:spacing w:before="140" w:after="140" w:line="240" w:lineRule="atLeast"/>
              <w:ind w:left="0" w:firstLine="0"/>
              <w:rPr>
                <w:rFonts w:cs="Arial"/>
                <w:sz w:val="18"/>
                <w:szCs w:val="18"/>
              </w:rPr>
            </w:pPr>
            <w:r>
              <w:rPr>
                <w:noProof/>
                <w:sz w:val="18"/>
              </w:rPr>
              <w:t>Diaframmi tagliatiraggio</w:t>
            </w:r>
          </w:p>
        </w:tc>
        <w:tc>
          <w:tcPr>
            <w:tcW w:w="6521"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140" w:after="14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paragrafo 13</w:t>
            </w:r>
          </w:p>
        </w:tc>
        <w:tc>
          <w:tcPr>
            <w:tcW w:w="3296" w:type="dxa"/>
            <w:shd w:val="clear" w:color="auto" w:fill="auto"/>
          </w:tcPr>
          <w:p w:rsidR="00C01A94" w:rsidRPr="00C903F8" w:rsidRDefault="00C01A94" w:rsidP="00B74390">
            <w:pPr>
              <w:tabs>
                <w:tab w:val="left" w:pos="1080"/>
              </w:tabs>
              <w:spacing w:before="140" w:after="140" w:line="240" w:lineRule="atLeast"/>
              <w:ind w:left="0" w:firstLine="0"/>
              <w:rPr>
                <w:rFonts w:cs="Arial"/>
                <w:sz w:val="18"/>
                <w:szCs w:val="18"/>
              </w:rPr>
            </w:pPr>
            <w:r>
              <w:rPr>
                <w:noProof/>
                <w:sz w:val="18"/>
              </w:rPr>
              <w:t>Scale di acciaio o altro materiale non combustibile equivalente</w:t>
            </w:r>
          </w:p>
        </w:tc>
        <w:tc>
          <w:tcPr>
            <w:tcW w:w="6521"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140" w:after="14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paragrafo 14</w:t>
            </w:r>
          </w:p>
        </w:tc>
        <w:tc>
          <w:tcPr>
            <w:tcW w:w="3296" w:type="dxa"/>
            <w:shd w:val="clear" w:color="auto" w:fill="auto"/>
          </w:tcPr>
          <w:p w:rsidR="00C01A94" w:rsidRPr="00C903F8" w:rsidRDefault="00C01A94" w:rsidP="00B74390">
            <w:pPr>
              <w:tabs>
                <w:tab w:val="left" w:pos="1080"/>
              </w:tabs>
              <w:spacing w:before="140" w:after="140" w:line="240" w:lineRule="atLeast"/>
              <w:ind w:left="0" w:firstLine="0"/>
              <w:rPr>
                <w:rFonts w:cs="Arial"/>
                <w:sz w:val="18"/>
                <w:szCs w:val="18"/>
              </w:rPr>
            </w:pPr>
            <w:r>
              <w:rPr>
                <w:sz w:val="18"/>
              </w:rPr>
              <w:t>Le scale interne circondate a tutti i livelli da pareti a norma del paragrafo 2.</w:t>
            </w:r>
          </w:p>
        </w:tc>
        <w:tc>
          <w:tcPr>
            <w:tcW w:w="6521"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140" w:after="14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paragrafo 15</w:t>
            </w:r>
          </w:p>
        </w:tc>
        <w:tc>
          <w:tcPr>
            <w:tcW w:w="3296" w:type="dxa"/>
            <w:shd w:val="clear" w:color="auto" w:fill="auto"/>
          </w:tcPr>
          <w:p w:rsidR="00C01A94" w:rsidRPr="00C903F8" w:rsidRDefault="00C01A94" w:rsidP="00B74390">
            <w:pPr>
              <w:tabs>
                <w:tab w:val="left" w:pos="1080"/>
              </w:tabs>
              <w:spacing w:before="140" w:after="140" w:line="240" w:lineRule="atLeast"/>
              <w:ind w:left="0" w:firstLine="0"/>
              <w:rPr>
                <w:rFonts w:cs="Arial"/>
                <w:sz w:val="18"/>
                <w:szCs w:val="18"/>
              </w:rPr>
            </w:pPr>
            <w:r>
              <w:rPr>
                <w:noProof/>
                <w:sz w:val="18"/>
              </w:rPr>
              <w:t>Sistemi di ventilazione e sistemi di alimentazione d'aria</w:t>
            </w:r>
          </w:p>
        </w:tc>
        <w:tc>
          <w:tcPr>
            <w:tcW w:w="6521"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140" w:after="14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paragrafo 16</w:t>
            </w:r>
          </w:p>
        </w:tc>
        <w:tc>
          <w:tcPr>
            <w:tcW w:w="3296" w:type="dxa"/>
            <w:shd w:val="clear" w:color="auto" w:fill="auto"/>
          </w:tcPr>
          <w:p w:rsidR="00C01A94" w:rsidRPr="00C903F8" w:rsidRDefault="00C01A94" w:rsidP="00B74390">
            <w:pPr>
              <w:tabs>
                <w:tab w:val="left" w:pos="1080"/>
              </w:tabs>
              <w:spacing w:before="140" w:after="140" w:line="240" w:lineRule="atLeast"/>
              <w:ind w:left="0" w:firstLine="0"/>
              <w:rPr>
                <w:rFonts w:cs="Arial"/>
                <w:sz w:val="18"/>
                <w:szCs w:val="18"/>
              </w:rPr>
            </w:pPr>
            <w:r>
              <w:rPr>
                <w:noProof/>
                <w:sz w:val="18"/>
              </w:rPr>
              <w:t>Sistemi di ventilazione nelle cucine e stufe con estrattori</w:t>
            </w:r>
          </w:p>
        </w:tc>
        <w:tc>
          <w:tcPr>
            <w:tcW w:w="6521"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nil"/>
            </w:tcBorders>
            <w:shd w:val="clear" w:color="auto" w:fill="auto"/>
          </w:tcPr>
          <w:p w:rsidR="00C01A94" w:rsidRPr="00C903F8" w:rsidRDefault="00C01A94" w:rsidP="00B74390">
            <w:pPr>
              <w:spacing w:before="140" w:after="14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paragrafo 17</w:t>
            </w:r>
          </w:p>
        </w:tc>
        <w:tc>
          <w:tcPr>
            <w:tcW w:w="3296" w:type="dxa"/>
            <w:shd w:val="clear" w:color="auto" w:fill="auto"/>
          </w:tcPr>
          <w:p w:rsidR="00C01A94" w:rsidRPr="00C903F8" w:rsidRDefault="00C01A94" w:rsidP="00B74390">
            <w:pPr>
              <w:tabs>
                <w:tab w:val="left" w:pos="1080"/>
              </w:tabs>
              <w:spacing w:before="140" w:after="140" w:line="240" w:lineRule="atLeast"/>
              <w:ind w:left="0" w:firstLine="0"/>
              <w:rPr>
                <w:rFonts w:cs="Arial"/>
                <w:sz w:val="18"/>
                <w:szCs w:val="18"/>
              </w:rPr>
            </w:pPr>
            <w:r>
              <w:rPr>
                <w:noProof/>
                <w:sz w:val="18"/>
              </w:rPr>
              <w:t>Centri di comando, vani scale, punti di riunione e sistemi di estrazione del fumo</w:t>
            </w:r>
          </w:p>
        </w:tc>
        <w:tc>
          <w:tcPr>
            <w:tcW w:w="6521"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bottom w:val="nil"/>
            </w:tcBorders>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19.12</w:t>
            </w:r>
          </w:p>
        </w:tc>
        <w:tc>
          <w:tcPr>
            <w:tcW w:w="1458"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paragrafo 8, lettera d)</w:t>
            </w:r>
          </w:p>
        </w:tc>
        <w:tc>
          <w:tcPr>
            <w:tcW w:w="3296" w:type="dxa"/>
            <w:shd w:val="clear" w:color="auto" w:fill="auto"/>
          </w:tcPr>
          <w:p w:rsidR="00C01A94" w:rsidRPr="00C903F8" w:rsidRDefault="00C01A94" w:rsidP="00B74390">
            <w:pPr>
              <w:tabs>
                <w:tab w:val="left" w:pos="1080"/>
              </w:tabs>
              <w:spacing w:before="140" w:after="140" w:line="240" w:lineRule="atLeast"/>
              <w:ind w:left="0" w:firstLine="0"/>
              <w:rPr>
                <w:rFonts w:cs="Arial"/>
                <w:sz w:val="18"/>
                <w:szCs w:val="18"/>
              </w:rPr>
            </w:pPr>
            <w:r>
              <w:rPr>
                <w:sz w:val="18"/>
              </w:rPr>
              <w:t>Installazione delle pompe antincendio</w:t>
            </w:r>
          </w:p>
        </w:tc>
        <w:tc>
          <w:tcPr>
            <w:tcW w:w="6521"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Entrambe le pompe: 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1.1.2035</w:t>
            </w:r>
          </w:p>
        </w:tc>
      </w:tr>
      <w:tr w:rsidR="00C01A94" w:rsidRPr="00C903F8" w:rsidTr="00196FBC">
        <w:trPr>
          <w:cantSplit/>
          <w:jc w:val="center"/>
        </w:trPr>
        <w:tc>
          <w:tcPr>
            <w:tcW w:w="1342" w:type="dxa"/>
            <w:tcBorders>
              <w:top w:val="nil"/>
            </w:tcBorders>
            <w:shd w:val="clear" w:color="auto" w:fill="auto"/>
          </w:tcPr>
          <w:p w:rsidR="00C01A94" w:rsidRPr="00C903F8" w:rsidRDefault="00C01A94" w:rsidP="00B74390">
            <w:pPr>
              <w:spacing w:before="140" w:after="140" w:line="240" w:lineRule="atLeast"/>
              <w:ind w:left="0" w:firstLine="0"/>
              <w:rPr>
                <w:rFonts w:cs="Arial"/>
                <w:sz w:val="18"/>
                <w:szCs w:val="18"/>
              </w:rPr>
            </w:pPr>
          </w:p>
        </w:tc>
        <w:tc>
          <w:tcPr>
            <w:tcW w:w="1458"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paragrafo 9</w:t>
            </w:r>
          </w:p>
        </w:tc>
        <w:tc>
          <w:tcPr>
            <w:tcW w:w="3296" w:type="dxa"/>
            <w:shd w:val="clear" w:color="auto" w:fill="auto"/>
          </w:tcPr>
          <w:p w:rsidR="00C01A94" w:rsidRPr="00C903F8" w:rsidRDefault="00C01A94" w:rsidP="00B74390">
            <w:pPr>
              <w:tabs>
                <w:tab w:val="left" w:pos="1080"/>
              </w:tabs>
              <w:spacing w:before="140" w:after="140" w:line="240" w:lineRule="atLeast"/>
              <w:ind w:left="0" w:firstLine="0"/>
              <w:rPr>
                <w:rFonts w:cs="Arial"/>
                <w:sz w:val="18"/>
                <w:szCs w:val="18"/>
              </w:rPr>
            </w:pPr>
            <w:r>
              <w:rPr>
                <w:noProof/>
                <w:sz w:val="18"/>
              </w:rPr>
              <w:t>Sistema antincendio nelle sale macchine</w:t>
            </w:r>
          </w:p>
        </w:tc>
        <w:tc>
          <w:tcPr>
            <w:tcW w:w="6521"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40" w:after="140" w:line="240" w:lineRule="atLeast"/>
              <w:ind w:left="0" w:firstLine="0"/>
              <w:rPr>
                <w:rFonts w:cs="Arial"/>
                <w:sz w:val="18"/>
                <w:szCs w:val="18"/>
              </w:rPr>
            </w:pPr>
            <w:r>
              <w:rPr>
                <w:sz w:val="18"/>
              </w:rPr>
              <w:t>1.1.2015</w:t>
            </w:r>
          </w:p>
        </w:tc>
      </w:tr>
      <w:tr w:rsidR="00C01A94" w:rsidRPr="00C903F8" w:rsidTr="00196FBC">
        <w:trPr>
          <w:cantSplit/>
          <w:jc w:val="center"/>
        </w:trPr>
        <w:tc>
          <w:tcPr>
            <w:tcW w:w="1342" w:type="dxa"/>
            <w:tcBorders>
              <w:bottom w:val="nil"/>
            </w:tcBorders>
            <w:shd w:val="clear" w:color="auto" w:fill="auto"/>
          </w:tcPr>
          <w:p w:rsidR="00C01A94" w:rsidRPr="00C903F8" w:rsidRDefault="00C01A94" w:rsidP="00B74390">
            <w:pPr>
              <w:spacing w:before="160" w:after="160" w:line="240" w:lineRule="atLeast"/>
              <w:ind w:left="0" w:firstLine="0"/>
              <w:rPr>
                <w:rFonts w:cs="Arial"/>
                <w:sz w:val="18"/>
                <w:szCs w:val="18"/>
              </w:rPr>
            </w:pPr>
            <w:r>
              <w:rPr>
                <w:sz w:val="18"/>
              </w:rPr>
              <w:t>19.14</w:t>
            </w:r>
          </w:p>
        </w:tc>
        <w:tc>
          <w:tcPr>
            <w:tcW w:w="1458" w:type="dxa"/>
            <w:shd w:val="clear" w:color="auto" w:fill="auto"/>
          </w:tcPr>
          <w:p w:rsidR="00C01A94" w:rsidRPr="00C903F8" w:rsidRDefault="00C01A94" w:rsidP="00B74390">
            <w:pPr>
              <w:spacing w:before="160" w:after="160" w:line="240" w:lineRule="atLeast"/>
              <w:ind w:left="0" w:firstLine="0"/>
              <w:rPr>
                <w:rFonts w:cs="Arial"/>
                <w:sz w:val="18"/>
                <w:szCs w:val="18"/>
              </w:rPr>
            </w:pPr>
            <w:r>
              <w:rPr>
                <w:sz w:val="18"/>
              </w:rPr>
              <w:t>paragrafo 1</w:t>
            </w:r>
          </w:p>
        </w:tc>
        <w:tc>
          <w:tcPr>
            <w:tcW w:w="3296" w:type="dxa"/>
            <w:shd w:val="clear" w:color="auto" w:fill="auto"/>
          </w:tcPr>
          <w:p w:rsidR="00C01A94" w:rsidRPr="00C903F8" w:rsidRDefault="00C01A94" w:rsidP="00B74390">
            <w:pPr>
              <w:tabs>
                <w:tab w:val="left" w:pos="1080"/>
              </w:tabs>
              <w:spacing w:before="160" w:after="160" w:line="240" w:lineRule="atLeast"/>
              <w:ind w:left="0" w:firstLine="0"/>
              <w:rPr>
                <w:rFonts w:cs="Arial"/>
                <w:sz w:val="18"/>
                <w:szCs w:val="18"/>
              </w:rPr>
            </w:pPr>
            <w:r>
              <w:rPr>
                <w:noProof/>
                <w:sz w:val="18"/>
              </w:rPr>
              <w:t>Impianti di eliminazione e serbatoi di raccolta delle acque reflue</w:t>
            </w:r>
          </w:p>
        </w:tc>
        <w:tc>
          <w:tcPr>
            <w:tcW w:w="6521" w:type="dxa"/>
            <w:shd w:val="clear" w:color="auto" w:fill="auto"/>
          </w:tcPr>
          <w:p w:rsidR="00C01A94" w:rsidRPr="00C903F8" w:rsidRDefault="00C01A94" w:rsidP="00B74390">
            <w:pPr>
              <w:spacing w:before="160" w:after="160" w:line="240" w:lineRule="atLeast"/>
              <w:ind w:left="0" w:firstLine="0"/>
              <w:rPr>
                <w:rFonts w:cs="Arial"/>
                <w:sz w:val="18"/>
                <w:szCs w:val="18"/>
              </w:rPr>
            </w:pPr>
            <w:r>
              <w:rPr>
                <w:noProof/>
                <w:sz w:val="18"/>
              </w:rPr>
              <w:t>Per le navi cabinate con non più di 50 letti (cuccette) e per i battelli per escursioni giornaliere: N.S.T., al più tardi alla data del rinnovo del certificato per la navigazione interna posteriormente al</w:t>
            </w:r>
          </w:p>
        </w:tc>
        <w:tc>
          <w:tcPr>
            <w:tcW w:w="1276" w:type="dxa"/>
            <w:shd w:val="clear" w:color="auto" w:fill="auto"/>
          </w:tcPr>
          <w:p w:rsidR="00C01A94" w:rsidRPr="00C903F8" w:rsidRDefault="00C01A94" w:rsidP="00B74390">
            <w:pPr>
              <w:spacing w:before="160" w:after="16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top w:val="nil"/>
              <w:bottom w:val="single" w:sz="4" w:space="0" w:color="auto"/>
            </w:tcBorders>
            <w:shd w:val="clear" w:color="auto" w:fill="auto"/>
          </w:tcPr>
          <w:p w:rsidR="00C01A94" w:rsidRPr="00C903F8" w:rsidRDefault="00C01A94" w:rsidP="00727AB6">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727AB6">
            <w:pPr>
              <w:spacing w:before="60" w:after="60" w:line="240" w:lineRule="atLeast"/>
              <w:ind w:left="0" w:firstLine="0"/>
              <w:rPr>
                <w:rFonts w:cs="Arial"/>
                <w:sz w:val="18"/>
                <w:szCs w:val="18"/>
              </w:rPr>
            </w:pPr>
            <w:r>
              <w:rPr>
                <w:sz w:val="18"/>
              </w:rPr>
              <w:t>paragrafo 2</w:t>
            </w:r>
          </w:p>
        </w:tc>
        <w:tc>
          <w:tcPr>
            <w:tcW w:w="3296" w:type="dxa"/>
            <w:shd w:val="clear" w:color="auto" w:fill="auto"/>
          </w:tcPr>
          <w:p w:rsidR="00C01A94" w:rsidRPr="00C903F8" w:rsidRDefault="00C01A94" w:rsidP="00727AB6">
            <w:pPr>
              <w:tabs>
                <w:tab w:val="left" w:pos="1080"/>
              </w:tabs>
              <w:spacing w:before="60" w:after="60" w:line="240" w:lineRule="atLeast"/>
              <w:ind w:left="0" w:firstLine="0"/>
              <w:rPr>
                <w:rFonts w:cs="Arial"/>
                <w:sz w:val="18"/>
                <w:szCs w:val="18"/>
              </w:rPr>
            </w:pPr>
            <w:r>
              <w:rPr>
                <w:noProof/>
                <w:sz w:val="18"/>
              </w:rPr>
              <w:t>Requisiti dei serbatoi di raccolta delle acque reflue</w:t>
            </w:r>
          </w:p>
        </w:tc>
        <w:tc>
          <w:tcPr>
            <w:tcW w:w="6521" w:type="dxa"/>
            <w:shd w:val="clear" w:color="auto" w:fill="auto"/>
          </w:tcPr>
          <w:p w:rsidR="00C01A94" w:rsidRPr="00C903F8" w:rsidRDefault="00C01A94" w:rsidP="00727AB6">
            <w:pPr>
              <w:spacing w:before="60" w:after="60" w:line="240" w:lineRule="atLeast"/>
              <w:ind w:left="0" w:firstLine="0"/>
              <w:rPr>
                <w:rFonts w:cs="Arial"/>
                <w:sz w:val="18"/>
                <w:szCs w:val="18"/>
              </w:rPr>
            </w:pPr>
            <w:r>
              <w:rPr>
                <w:noProof/>
                <w:sz w:val="18"/>
              </w:rPr>
              <w:t>Per le navi cabinate che dispongono di non più di 50 letti (cuccette) e per le navi per escursioni giornaliere che trasportano non più di 50 passeggeri: N.S.T., al più tardi alla data del rinnovo del certificato per la navigazione interna posteriormente al</w:t>
            </w:r>
          </w:p>
        </w:tc>
        <w:tc>
          <w:tcPr>
            <w:tcW w:w="1276" w:type="dxa"/>
            <w:shd w:val="clear" w:color="auto" w:fill="auto"/>
          </w:tcPr>
          <w:p w:rsidR="00C01A94" w:rsidRPr="00C903F8" w:rsidRDefault="00C01A94" w:rsidP="00727AB6">
            <w:pPr>
              <w:spacing w:before="60" w:after="60" w:line="240" w:lineRule="atLeast"/>
              <w:ind w:left="0" w:firstLine="0"/>
              <w:rPr>
                <w:rFonts w:cs="Arial"/>
                <w:sz w:val="18"/>
                <w:szCs w:val="18"/>
              </w:rPr>
            </w:pPr>
            <w:r>
              <w:rPr>
                <w:sz w:val="18"/>
              </w:rPr>
              <w:t>1.1.2045</w:t>
            </w:r>
          </w:p>
        </w:tc>
      </w:tr>
      <w:tr w:rsidR="00C01A94" w:rsidRPr="00C903F8" w:rsidTr="00196FBC">
        <w:trPr>
          <w:cantSplit/>
          <w:jc w:val="center"/>
        </w:trPr>
        <w:tc>
          <w:tcPr>
            <w:tcW w:w="1342" w:type="dxa"/>
            <w:tcBorders>
              <w:bottom w:val="nil"/>
            </w:tcBorders>
            <w:shd w:val="clear" w:color="auto" w:fill="auto"/>
          </w:tcPr>
          <w:p w:rsidR="00C01A94" w:rsidRPr="00C903F8" w:rsidRDefault="00C01A94" w:rsidP="00727AB6">
            <w:pPr>
              <w:spacing w:before="60" w:after="60" w:line="240" w:lineRule="atLeast"/>
              <w:ind w:left="0" w:firstLine="0"/>
              <w:rPr>
                <w:rFonts w:cs="Arial"/>
                <w:sz w:val="18"/>
                <w:szCs w:val="18"/>
              </w:rPr>
            </w:pPr>
            <w:r>
              <w:rPr>
                <w:sz w:val="18"/>
              </w:rPr>
              <w:t>19.15</w:t>
            </w:r>
          </w:p>
        </w:tc>
        <w:tc>
          <w:tcPr>
            <w:tcW w:w="1458" w:type="dxa"/>
            <w:shd w:val="clear" w:color="auto" w:fill="auto"/>
          </w:tcPr>
          <w:p w:rsidR="00C01A94" w:rsidRPr="00C903F8" w:rsidRDefault="00C01A94" w:rsidP="00727AB6">
            <w:pPr>
              <w:spacing w:before="60" w:after="60" w:line="240" w:lineRule="atLeast"/>
              <w:ind w:left="0" w:firstLine="0"/>
              <w:rPr>
                <w:rFonts w:cs="Arial"/>
                <w:sz w:val="18"/>
                <w:szCs w:val="18"/>
              </w:rPr>
            </w:pPr>
            <w:r>
              <w:rPr>
                <w:sz w:val="18"/>
              </w:rPr>
              <w:t>paragrafo 1</w:t>
            </w:r>
          </w:p>
        </w:tc>
        <w:tc>
          <w:tcPr>
            <w:tcW w:w="3296" w:type="dxa"/>
            <w:shd w:val="clear" w:color="auto" w:fill="auto"/>
          </w:tcPr>
          <w:p w:rsidR="00C01A94" w:rsidRPr="00C903F8" w:rsidRDefault="00C01A94" w:rsidP="00727AB6">
            <w:pPr>
              <w:tabs>
                <w:tab w:val="left" w:pos="1080"/>
              </w:tabs>
              <w:spacing w:before="60" w:after="60" w:line="240" w:lineRule="atLeast"/>
              <w:ind w:left="0" w:firstLine="0"/>
              <w:rPr>
                <w:rFonts w:cs="Arial"/>
                <w:sz w:val="18"/>
                <w:szCs w:val="18"/>
              </w:rPr>
            </w:pPr>
            <w:r>
              <w:rPr>
                <w:noProof/>
                <w:sz w:val="18"/>
              </w:rPr>
              <w:t>Stabilità in condizioni di avaria</w:t>
            </w:r>
          </w:p>
        </w:tc>
        <w:tc>
          <w:tcPr>
            <w:tcW w:w="6521" w:type="dxa"/>
            <w:shd w:val="clear" w:color="auto" w:fill="auto"/>
          </w:tcPr>
          <w:p w:rsidR="00C01A94" w:rsidRPr="00C903F8" w:rsidRDefault="00C01A94" w:rsidP="00727AB6">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727AB6">
            <w:pPr>
              <w:spacing w:before="60" w:after="60" w:line="240" w:lineRule="atLeast"/>
              <w:ind w:left="0" w:firstLine="0"/>
              <w:rPr>
                <w:rFonts w:cs="Arial"/>
                <w:sz w:val="18"/>
                <w:szCs w:val="18"/>
              </w:rPr>
            </w:pPr>
            <w:r>
              <w:rPr>
                <w:sz w:val="18"/>
              </w:rPr>
              <w:t>1.1.2045</w:t>
            </w:r>
          </w:p>
        </w:tc>
      </w:tr>
      <w:tr w:rsidR="00C01A94" w:rsidRPr="00C903F8" w:rsidTr="00196FBC">
        <w:trPr>
          <w:cantSplit/>
          <w:jc w:val="center"/>
        </w:trPr>
        <w:tc>
          <w:tcPr>
            <w:tcW w:w="6096" w:type="dxa"/>
            <w:gridSpan w:val="3"/>
            <w:shd w:val="clear" w:color="auto" w:fill="auto"/>
          </w:tcPr>
          <w:p w:rsidR="00C01A94" w:rsidRPr="00C903F8" w:rsidRDefault="00C01A94" w:rsidP="00727AB6">
            <w:pPr>
              <w:tabs>
                <w:tab w:val="left" w:pos="1080"/>
              </w:tabs>
              <w:spacing w:before="60" w:after="60" w:line="240" w:lineRule="atLeast"/>
              <w:ind w:left="0" w:firstLine="0"/>
              <w:jc w:val="center"/>
              <w:rPr>
                <w:rFonts w:cs="Arial"/>
                <w:sz w:val="18"/>
                <w:szCs w:val="18"/>
              </w:rPr>
            </w:pPr>
            <w:r>
              <w:rPr>
                <w:b/>
                <w:sz w:val="18"/>
              </w:rPr>
              <w:t>CAPO 21</w:t>
            </w:r>
          </w:p>
        </w:tc>
        <w:tc>
          <w:tcPr>
            <w:tcW w:w="6521" w:type="dxa"/>
            <w:shd w:val="clear" w:color="auto" w:fill="auto"/>
          </w:tcPr>
          <w:p w:rsidR="00C01A94" w:rsidRPr="00C903F8" w:rsidRDefault="00C01A94" w:rsidP="00727AB6">
            <w:pPr>
              <w:spacing w:before="60" w:after="60" w:line="240" w:lineRule="atLeast"/>
              <w:ind w:left="0" w:firstLine="0"/>
              <w:rPr>
                <w:rFonts w:cs="Arial"/>
                <w:sz w:val="18"/>
                <w:szCs w:val="18"/>
              </w:rPr>
            </w:pPr>
          </w:p>
        </w:tc>
        <w:tc>
          <w:tcPr>
            <w:tcW w:w="1276" w:type="dxa"/>
            <w:shd w:val="clear" w:color="auto" w:fill="auto"/>
          </w:tcPr>
          <w:p w:rsidR="00C01A94" w:rsidRPr="00C903F8" w:rsidRDefault="00C01A94" w:rsidP="00727AB6">
            <w:pPr>
              <w:spacing w:before="60" w:after="60" w:line="240" w:lineRule="atLeast"/>
              <w:ind w:left="0" w:firstLine="0"/>
              <w:rPr>
                <w:rFonts w:cs="Arial"/>
                <w:sz w:val="18"/>
                <w:szCs w:val="18"/>
              </w:rPr>
            </w:pPr>
          </w:p>
        </w:tc>
      </w:tr>
      <w:tr w:rsidR="00C01A94" w:rsidRPr="00C903F8" w:rsidTr="00A5358D">
        <w:trPr>
          <w:cantSplit/>
          <w:trHeight w:val="1156"/>
          <w:jc w:val="center"/>
        </w:trPr>
        <w:tc>
          <w:tcPr>
            <w:tcW w:w="1342" w:type="dxa"/>
            <w:tcBorders>
              <w:bottom w:val="nil"/>
            </w:tcBorders>
            <w:shd w:val="clear" w:color="auto" w:fill="auto"/>
          </w:tcPr>
          <w:p w:rsidR="00C01A94" w:rsidRPr="00C903F8" w:rsidRDefault="00C01A94" w:rsidP="00727AB6">
            <w:pPr>
              <w:spacing w:before="60" w:after="60" w:line="240" w:lineRule="atLeast"/>
              <w:ind w:left="0" w:firstLine="0"/>
              <w:rPr>
                <w:rFonts w:cs="Arial"/>
                <w:sz w:val="18"/>
                <w:szCs w:val="18"/>
              </w:rPr>
            </w:pPr>
            <w:r>
              <w:rPr>
                <w:sz w:val="18"/>
              </w:rPr>
              <w:lastRenderedPageBreak/>
              <w:t>21.01</w:t>
            </w:r>
          </w:p>
        </w:tc>
        <w:tc>
          <w:tcPr>
            <w:tcW w:w="1458" w:type="dxa"/>
            <w:shd w:val="clear" w:color="auto" w:fill="auto"/>
          </w:tcPr>
          <w:p w:rsidR="00C01A94" w:rsidRPr="00C903F8" w:rsidRDefault="00C01A94" w:rsidP="00727AB6">
            <w:pPr>
              <w:spacing w:before="60" w:after="60" w:line="240" w:lineRule="atLeast"/>
              <w:ind w:left="0" w:firstLine="0"/>
              <w:rPr>
                <w:rFonts w:cs="Arial"/>
                <w:sz w:val="18"/>
                <w:szCs w:val="18"/>
              </w:rPr>
            </w:pPr>
            <w:r>
              <w:rPr>
                <w:sz w:val="18"/>
              </w:rPr>
              <w:t>paragrafo 2</w:t>
            </w:r>
          </w:p>
        </w:tc>
        <w:tc>
          <w:tcPr>
            <w:tcW w:w="3296" w:type="dxa"/>
            <w:shd w:val="clear" w:color="auto" w:fill="auto"/>
          </w:tcPr>
          <w:p w:rsidR="00C01A94" w:rsidRPr="00C903F8" w:rsidRDefault="00C01A94" w:rsidP="00727AB6">
            <w:pPr>
              <w:tabs>
                <w:tab w:val="left" w:pos="1080"/>
              </w:tabs>
              <w:spacing w:before="60" w:after="60" w:line="240" w:lineRule="atLeast"/>
              <w:ind w:left="0" w:firstLine="0"/>
              <w:rPr>
                <w:rFonts w:cs="Arial"/>
                <w:sz w:val="18"/>
                <w:szCs w:val="18"/>
              </w:rPr>
            </w:pPr>
            <w:r>
              <w:rPr>
                <w:noProof/>
                <w:sz w:val="18"/>
              </w:rPr>
              <w:t>Verricelli speciali o dispositivi d'accoppiamento equivalenti da utilizzare per spingere</w:t>
            </w:r>
          </w:p>
        </w:tc>
        <w:tc>
          <w:tcPr>
            <w:tcW w:w="6521" w:type="dxa"/>
            <w:shd w:val="clear" w:color="auto" w:fill="auto"/>
          </w:tcPr>
          <w:p w:rsidR="00C01A94" w:rsidRPr="00C903F8" w:rsidRDefault="00C01A94" w:rsidP="00727AB6">
            <w:pPr>
              <w:spacing w:before="60" w:after="60" w:line="240" w:lineRule="atLeast"/>
              <w:ind w:left="0" w:firstLine="0"/>
              <w:rPr>
                <w:rFonts w:cs="Arial"/>
                <w:sz w:val="18"/>
                <w:szCs w:val="18"/>
              </w:rPr>
            </w:pPr>
            <w:r>
              <w:rPr>
                <w:noProof/>
                <w:sz w:val="18"/>
              </w:rPr>
              <w:t>Per imbarcazioni autorizzate anteriormente all'1.1.1995 a spingere senza idonei dispositivi di fissaggio: N.S.T., al più tardi alla data del rinnovo del certificato per la navigazione interna posteriormente al</w:t>
            </w:r>
          </w:p>
        </w:tc>
        <w:tc>
          <w:tcPr>
            <w:tcW w:w="1276" w:type="dxa"/>
            <w:shd w:val="clear" w:color="auto" w:fill="auto"/>
          </w:tcPr>
          <w:p w:rsidR="00C01A94" w:rsidRPr="00C903F8" w:rsidRDefault="00C01A94" w:rsidP="00727AB6">
            <w:pPr>
              <w:spacing w:before="60" w:after="60" w:line="240" w:lineRule="atLeast"/>
              <w:ind w:left="0" w:firstLine="0"/>
              <w:rPr>
                <w:rFonts w:cs="Arial"/>
                <w:sz w:val="18"/>
                <w:szCs w:val="18"/>
              </w:rPr>
            </w:pPr>
            <w:r>
              <w:rPr>
                <w:sz w:val="18"/>
              </w:rPr>
              <w:t>1.1.2035</w:t>
            </w:r>
          </w:p>
        </w:tc>
      </w:tr>
      <w:tr w:rsidR="00C01A94" w:rsidRPr="00C903F8" w:rsidTr="00196FBC">
        <w:trPr>
          <w:cantSplit/>
          <w:jc w:val="center"/>
        </w:trPr>
        <w:tc>
          <w:tcPr>
            <w:tcW w:w="1342" w:type="dxa"/>
            <w:tcBorders>
              <w:top w:val="nil"/>
            </w:tcBorders>
            <w:shd w:val="clear" w:color="auto" w:fill="auto"/>
          </w:tcPr>
          <w:p w:rsidR="00C01A94" w:rsidRPr="00C903F8" w:rsidRDefault="00C01A94" w:rsidP="00727AB6">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727AB6">
            <w:pPr>
              <w:spacing w:before="60" w:after="60" w:line="240" w:lineRule="atLeast"/>
              <w:ind w:left="0" w:firstLine="0"/>
              <w:jc w:val="left"/>
              <w:rPr>
                <w:rFonts w:cs="Arial"/>
                <w:sz w:val="18"/>
                <w:szCs w:val="18"/>
              </w:rPr>
            </w:pPr>
            <w:r>
              <w:rPr>
                <w:sz w:val="18"/>
              </w:rPr>
              <w:t>paragrafo 3, ultima frase</w:t>
            </w:r>
          </w:p>
        </w:tc>
        <w:tc>
          <w:tcPr>
            <w:tcW w:w="3296" w:type="dxa"/>
            <w:shd w:val="clear" w:color="auto" w:fill="auto"/>
          </w:tcPr>
          <w:p w:rsidR="00C01A94" w:rsidRPr="00C903F8" w:rsidRDefault="00C01A94" w:rsidP="00727AB6">
            <w:pPr>
              <w:tabs>
                <w:tab w:val="left" w:pos="1080"/>
              </w:tabs>
              <w:spacing w:before="60" w:after="60" w:line="240" w:lineRule="atLeast"/>
              <w:ind w:left="0" w:firstLine="0"/>
              <w:rPr>
                <w:rFonts w:cs="Arial"/>
                <w:sz w:val="18"/>
                <w:szCs w:val="18"/>
              </w:rPr>
            </w:pPr>
            <w:r>
              <w:rPr>
                <w:noProof/>
                <w:sz w:val="18"/>
              </w:rPr>
              <w:t>Requisiti dei dispositivi di azionamento</w:t>
            </w:r>
          </w:p>
        </w:tc>
        <w:tc>
          <w:tcPr>
            <w:tcW w:w="6521" w:type="dxa"/>
            <w:shd w:val="clear" w:color="auto" w:fill="auto"/>
          </w:tcPr>
          <w:p w:rsidR="00C01A94" w:rsidRPr="00C903F8" w:rsidRDefault="00C01A94" w:rsidP="00727AB6">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727AB6">
            <w:pPr>
              <w:spacing w:before="60" w:after="60" w:line="240" w:lineRule="atLeast"/>
              <w:ind w:left="0" w:firstLine="0"/>
              <w:rPr>
                <w:rFonts w:cs="Arial"/>
                <w:sz w:val="18"/>
                <w:szCs w:val="18"/>
              </w:rPr>
            </w:pPr>
            <w:r>
              <w:rPr>
                <w:sz w:val="18"/>
              </w:rPr>
              <w:t>1.1.2035</w:t>
            </w:r>
          </w:p>
        </w:tc>
      </w:tr>
      <w:tr w:rsidR="00C01A94" w:rsidRPr="00C903F8" w:rsidTr="00196FBC">
        <w:trPr>
          <w:cantSplit/>
          <w:jc w:val="center"/>
        </w:trPr>
        <w:tc>
          <w:tcPr>
            <w:tcW w:w="6096" w:type="dxa"/>
            <w:gridSpan w:val="3"/>
            <w:shd w:val="clear" w:color="auto" w:fill="auto"/>
          </w:tcPr>
          <w:p w:rsidR="00C01A94" w:rsidRPr="00C903F8" w:rsidRDefault="00C01A94" w:rsidP="00727AB6">
            <w:pPr>
              <w:tabs>
                <w:tab w:val="left" w:pos="1080"/>
              </w:tabs>
              <w:spacing w:before="60" w:after="60" w:line="240" w:lineRule="atLeast"/>
              <w:ind w:left="0" w:firstLine="0"/>
              <w:jc w:val="center"/>
              <w:rPr>
                <w:rFonts w:cs="Arial"/>
                <w:sz w:val="18"/>
                <w:szCs w:val="18"/>
              </w:rPr>
            </w:pPr>
            <w:r>
              <w:rPr>
                <w:b/>
                <w:sz w:val="18"/>
              </w:rPr>
              <w:t>CAPO 22</w:t>
            </w:r>
          </w:p>
        </w:tc>
        <w:tc>
          <w:tcPr>
            <w:tcW w:w="6521" w:type="dxa"/>
            <w:shd w:val="clear" w:color="auto" w:fill="auto"/>
          </w:tcPr>
          <w:p w:rsidR="00C01A94" w:rsidRPr="00C903F8" w:rsidRDefault="00C01A94" w:rsidP="00727AB6">
            <w:pPr>
              <w:spacing w:before="60" w:after="60" w:line="240" w:lineRule="atLeast"/>
              <w:ind w:left="0" w:firstLine="0"/>
              <w:rPr>
                <w:rFonts w:cs="Arial"/>
                <w:sz w:val="18"/>
                <w:szCs w:val="18"/>
              </w:rPr>
            </w:pPr>
          </w:p>
        </w:tc>
        <w:tc>
          <w:tcPr>
            <w:tcW w:w="1276" w:type="dxa"/>
            <w:shd w:val="clear" w:color="auto" w:fill="auto"/>
          </w:tcPr>
          <w:p w:rsidR="00C01A94" w:rsidRPr="00C903F8" w:rsidRDefault="00C01A94" w:rsidP="00727AB6">
            <w:pPr>
              <w:spacing w:before="60" w:after="60" w:line="240" w:lineRule="atLeast"/>
              <w:ind w:left="0" w:firstLine="0"/>
              <w:rPr>
                <w:rFonts w:cs="Arial"/>
                <w:sz w:val="18"/>
                <w:szCs w:val="18"/>
              </w:rPr>
            </w:pPr>
          </w:p>
        </w:tc>
      </w:tr>
      <w:tr w:rsidR="00C01A94" w:rsidRPr="00A0619C" w:rsidTr="00196FBC">
        <w:trPr>
          <w:cantSplit/>
          <w:jc w:val="center"/>
        </w:trPr>
        <w:tc>
          <w:tcPr>
            <w:tcW w:w="1342" w:type="dxa"/>
            <w:tcBorders>
              <w:bottom w:val="single" w:sz="4" w:space="0" w:color="auto"/>
            </w:tcBorders>
            <w:shd w:val="clear" w:color="auto" w:fill="auto"/>
          </w:tcPr>
          <w:p w:rsidR="00C01A94" w:rsidRPr="00C903F8" w:rsidRDefault="00C01A94" w:rsidP="00727AB6">
            <w:pPr>
              <w:spacing w:before="60" w:after="60" w:line="240" w:lineRule="atLeast"/>
              <w:ind w:left="0" w:firstLine="0"/>
              <w:rPr>
                <w:rFonts w:cs="Arial"/>
                <w:sz w:val="18"/>
                <w:szCs w:val="18"/>
              </w:rPr>
            </w:pPr>
            <w:r>
              <w:rPr>
                <w:sz w:val="18"/>
              </w:rPr>
              <w:t>22.02</w:t>
            </w:r>
          </w:p>
        </w:tc>
        <w:tc>
          <w:tcPr>
            <w:tcW w:w="1458" w:type="dxa"/>
            <w:shd w:val="clear" w:color="auto" w:fill="auto"/>
          </w:tcPr>
          <w:p w:rsidR="00C01A94" w:rsidRPr="00C903F8" w:rsidRDefault="00C01A94" w:rsidP="00727AB6">
            <w:pPr>
              <w:spacing w:before="60" w:after="60" w:line="240" w:lineRule="atLeast"/>
              <w:ind w:left="0" w:firstLine="0"/>
              <w:rPr>
                <w:rFonts w:cs="Arial"/>
                <w:sz w:val="18"/>
                <w:szCs w:val="18"/>
              </w:rPr>
            </w:pPr>
            <w:r>
              <w:rPr>
                <w:sz w:val="18"/>
              </w:rPr>
              <w:t>paragrafo 3</w:t>
            </w:r>
          </w:p>
        </w:tc>
        <w:tc>
          <w:tcPr>
            <w:tcW w:w="3296" w:type="dxa"/>
            <w:shd w:val="clear" w:color="auto" w:fill="auto"/>
          </w:tcPr>
          <w:p w:rsidR="00C01A94" w:rsidRPr="00C903F8" w:rsidRDefault="00C01A94" w:rsidP="00727AB6">
            <w:pPr>
              <w:tabs>
                <w:tab w:val="left" w:pos="1080"/>
              </w:tabs>
              <w:spacing w:before="60" w:after="60" w:line="240" w:lineRule="atLeast"/>
              <w:ind w:left="0" w:firstLine="0"/>
              <w:rPr>
                <w:rFonts w:cs="Arial"/>
                <w:sz w:val="18"/>
                <w:szCs w:val="18"/>
              </w:rPr>
            </w:pPr>
            <w:r>
              <w:rPr>
                <w:noProof/>
                <w:sz w:val="18"/>
              </w:rPr>
              <w:t>Requisiti supplementari</w:t>
            </w:r>
          </w:p>
        </w:tc>
        <w:tc>
          <w:tcPr>
            <w:tcW w:w="6521" w:type="dxa"/>
            <w:shd w:val="clear" w:color="auto" w:fill="auto"/>
          </w:tcPr>
          <w:p w:rsidR="00C01A94" w:rsidRPr="00C903F8" w:rsidRDefault="00C01A94" w:rsidP="00727AB6">
            <w:pPr>
              <w:spacing w:before="60" w:after="60" w:line="240" w:lineRule="atLeast"/>
              <w:ind w:left="0" w:firstLine="0"/>
              <w:rPr>
                <w:rFonts w:cs="Arial"/>
                <w:sz w:val="18"/>
                <w:szCs w:val="18"/>
              </w:rPr>
            </w:pPr>
            <w:r>
              <w:rPr>
                <w:sz w:val="18"/>
              </w:rPr>
              <w:t>Si applicano le stesse disposizioni transitorie di quelle indicate nel relativo articolo.</w:t>
            </w:r>
          </w:p>
        </w:tc>
        <w:tc>
          <w:tcPr>
            <w:tcW w:w="1276" w:type="dxa"/>
            <w:shd w:val="clear" w:color="auto" w:fill="auto"/>
          </w:tcPr>
          <w:p w:rsidR="00C01A94" w:rsidRPr="00C903F8" w:rsidRDefault="00C01A94" w:rsidP="00727AB6">
            <w:pPr>
              <w:spacing w:before="60" w:after="60" w:line="240" w:lineRule="atLeast"/>
              <w:ind w:left="0" w:firstLine="0"/>
              <w:rPr>
                <w:rFonts w:cs="Arial"/>
                <w:sz w:val="18"/>
                <w:szCs w:val="18"/>
              </w:rPr>
            </w:pPr>
          </w:p>
        </w:tc>
      </w:tr>
      <w:tr w:rsidR="00C01A94" w:rsidRPr="00C903F8" w:rsidTr="00196FBC">
        <w:trPr>
          <w:cantSplit/>
          <w:jc w:val="center"/>
        </w:trPr>
        <w:tc>
          <w:tcPr>
            <w:tcW w:w="6096" w:type="dxa"/>
            <w:gridSpan w:val="3"/>
            <w:shd w:val="clear" w:color="auto" w:fill="auto"/>
          </w:tcPr>
          <w:p w:rsidR="00C01A94" w:rsidRPr="00C903F8" w:rsidRDefault="00C01A94" w:rsidP="00727AB6">
            <w:pPr>
              <w:tabs>
                <w:tab w:val="left" w:pos="1080"/>
              </w:tabs>
              <w:spacing w:before="60" w:after="60" w:line="240" w:lineRule="atLeast"/>
              <w:ind w:left="0" w:firstLine="0"/>
              <w:jc w:val="center"/>
              <w:rPr>
                <w:rFonts w:cs="Arial"/>
                <w:sz w:val="18"/>
                <w:szCs w:val="18"/>
              </w:rPr>
            </w:pPr>
            <w:r>
              <w:rPr>
                <w:b/>
                <w:sz w:val="18"/>
              </w:rPr>
              <w:t>CAPO 25</w:t>
            </w:r>
          </w:p>
        </w:tc>
        <w:tc>
          <w:tcPr>
            <w:tcW w:w="6521" w:type="dxa"/>
            <w:shd w:val="clear" w:color="auto" w:fill="auto"/>
          </w:tcPr>
          <w:p w:rsidR="00C01A94" w:rsidRPr="00C903F8" w:rsidRDefault="00C01A94" w:rsidP="00727AB6">
            <w:pPr>
              <w:spacing w:before="60" w:after="60" w:line="240" w:lineRule="atLeast"/>
              <w:ind w:left="0" w:firstLine="0"/>
              <w:rPr>
                <w:rFonts w:cs="Arial"/>
                <w:sz w:val="18"/>
                <w:szCs w:val="18"/>
              </w:rPr>
            </w:pPr>
          </w:p>
        </w:tc>
        <w:tc>
          <w:tcPr>
            <w:tcW w:w="1276" w:type="dxa"/>
            <w:shd w:val="clear" w:color="auto" w:fill="auto"/>
          </w:tcPr>
          <w:p w:rsidR="00C01A94" w:rsidRPr="00C903F8" w:rsidRDefault="00C01A94" w:rsidP="00727AB6">
            <w:pPr>
              <w:spacing w:before="60" w:after="60" w:line="240" w:lineRule="atLeast"/>
              <w:ind w:left="0" w:firstLine="0"/>
              <w:rPr>
                <w:rFonts w:cs="Arial"/>
                <w:sz w:val="18"/>
                <w:szCs w:val="18"/>
              </w:rPr>
            </w:pPr>
          </w:p>
        </w:tc>
      </w:tr>
      <w:tr w:rsidR="00C01A94" w:rsidRPr="00C903F8" w:rsidTr="0018359A">
        <w:trPr>
          <w:cantSplit/>
          <w:jc w:val="center"/>
        </w:trPr>
        <w:tc>
          <w:tcPr>
            <w:tcW w:w="1342" w:type="dxa"/>
            <w:tcBorders>
              <w:bottom w:val="nil"/>
            </w:tcBorders>
            <w:shd w:val="clear" w:color="auto" w:fill="auto"/>
          </w:tcPr>
          <w:p w:rsidR="00C01A94" w:rsidRPr="00C903F8" w:rsidRDefault="00C01A94" w:rsidP="00727AB6">
            <w:pPr>
              <w:spacing w:before="60" w:after="60" w:line="240" w:lineRule="atLeast"/>
              <w:ind w:left="0" w:firstLine="0"/>
              <w:rPr>
                <w:rFonts w:cs="Arial"/>
                <w:sz w:val="18"/>
                <w:szCs w:val="18"/>
              </w:rPr>
            </w:pPr>
            <w:r>
              <w:rPr>
                <w:sz w:val="18"/>
              </w:rPr>
              <w:t>25.01</w:t>
            </w:r>
          </w:p>
        </w:tc>
        <w:tc>
          <w:tcPr>
            <w:tcW w:w="1458" w:type="dxa"/>
            <w:tcBorders>
              <w:bottom w:val="nil"/>
            </w:tcBorders>
            <w:shd w:val="clear" w:color="auto" w:fill="auto"/>
          </w:tcPr>
          <w:p w:rsidR="00C01A94" w:rsidRPr="00C903F8" w:rsidRDefault="00C01A94" w:rsidP="00727AB6">
            <w:pPr>
              <w:spacing w:before="60" w:after="60" w:line="240" w:lineRule="atLeast"/>
              <w:ind w:left="0" w:firstLine="0"/>
              <w:rPr>
                <w:rFonts w:cs="Arial"/>
                <w:sz w:val="18"/>
                <w:szCs w:val="18"/>
              </w:rPr>
            </w:pPr>
          </w:p>
        </w:tc>
        <w:tc>
          <w:tcPr>
            <w:tcW w:w="3296" w:type="dxa"/>
            <w:shd w:val="clear" w:color="auto" w:fill="auto"/>
          </w:tcPr>
          <w:p w:rsidR="00C01A94" w:rsidRPr="00C903F8" w:rsidRDefault="00C01A94" w:rsidP="00727AB6">
            <w:pPr>
              <w:tabs>
                <w:tab w:val="left" w:pos="1080"/>
              </w:tabs>
              <w:spacing w:before="60" w:after="60" w:line="240" w:lineRule="atLeast"/>
              <w:ind w:left="0" w:firstLine="0"/>
              <w:jc w:val="left"/>
              <w:rPr>
                <w:rFonts w:cs="Arial"/>
                <w:sz w:val="18"/>
                <w:szCs w:val="18"/>
              </w:rPr>
            </w:pPr>
            <w:r>
              <w:rPr>
                <w:sz w:val="18"/>
              </w:rPr>
              <w:t>Applicazione dell'articolo 7.01, paragrafo 2, dell'articolo 8.05, paragrafo 13 e dell'articolo 8.10</w:t>
            </w:r>
          </w:p>
        </w:tc>
        <w:tc>
          <w:tcPr>
            <w:tcW w:w="6521" w:type="dxa"/>
            <w:shd w:val="clear" w:color="auto" w:fill="auto"/>
          </w:tcPr>
          <w:p w:rsidR="00C01A94" w:rsidRPr="00C903F8" w:rsidRDefault="00C01A94" w:rsidP="00727AB6">
            <w:pPr>
              <w:spacing w:before="60" w:after="60" w:line="240" w:lineRule="atLeast"/>
              <w:ind w:left="0" w:firstLine="0"/>
              <w:rPr>
                <w:rFonts w:cs="Arial"/>
                <w:sz w:val="18"/>
                <w:szCs w:val="18"/>
              </w:rPr>
            </w:pPr>
            <w:r>
              <w:rPr>
                <w:sz w:val="18"/>
              </w:rPr>
              <w:t>Per le navi della navigazione marittima non destinate al trasporto di sostanze di cui all'ADN e la cui chiglia è stata impostata antecedentemente all'1.10.1987: N.S.T., al più tardi alla data del rinnovo del certificato per la navigazione interna posteriormente al</w:t>
            </w:r>
          </w:p>
        </w:tc>
        <w:tc>
          <w:tcPr>
            <w:tcW w:w="1276" w:type="dxa"/>
            <w:shd w:val="clear" w:color="auto" w:fill="auto"/>
          </w:tcPr>
          <w:p w:rsidR="00C01A94" w:rsidRPr="00C903F8" w:rsidRDefault="00C01A94" w:rsidP="00727AB6">
            <w:pPr>
              <w:spacing w:before="60" w:after="60" w:line="240" w:lineRule="atLeast"/>
              <w:ind w:left="0" w:firstLine="0"/>
              <w:rPr>
                <w:rFonts w:cs="Arial"/>
                <w:sz w:val="18"/>
                <w:szCs w:val="18"/>
              </w:rPr>
            </w:pPr>
            <w:r>
              <w:rPr>
                <w:sz w:val="18"/>
              </w:rPr>
              <w:t>1.1.2015</w:t>
            </w:r>
          </w:p>
        </w:tc>
      </w:tr>
      <w:tr w:rsidR="00C01A94" w:rsidRPr="00C903F8" w:rsidTr="0018359A">
        <w:trPr>
          <w:cantSplit/>
          <w:jc w:val="center"/>
        </w:trPr>
        <w:tc>
          <w:tcPr>
            <w:tcW w:w="1342" w:type="dxa"/>
            <w:tcBorders>
              <w:top w:val="nil"/>
            </w:tcBorders>
            <w:shd w:val="clear" w:color="auto" w:fill="auto"/>
          </w:tcPr>
          <w:p w:rsidR="00C01A94" w:rsidRPr="00C903F8" w:rsidRDefault="00C01A94" w:rsidP="00727AB6">
            <w:pPr>
              <w:spacing w:before="60" w:after="60" w:line="240" w:lineRule="atLeast"/>
              <w:ind w:left="0" w:firstLine="0"/>
              <w:rPr>
                <w:rFonts w:cs="Arial"/>
                <w:sz w:val="18"/>
                <w:szCs w:val="18"/>
              </w:rPr>
            </w:pPr>
          </w:p>
        </w:tc>
        <w:tc>
          <w:tcPr>
            <w:tcW w:w="1458" w:type="dxa"/>
            <w:tcBorders>
              <w:top w:val="nil"/>
            </w:tcBorders>
            <w:shd w:val="clear" w:color="auto" w:fill="auto"/>
          </w:tcPr>
          <w:p w:rsidR="00C01A94" w:rsidRPr="00C903F8" w:rsidRDefault="00C01A94" w:rsidP="00727AB6">
            <w:pPr>
              <w:spacing w:before="60" w:after="60" w:line="240" w:lineRule="atLeast"/>
              <w:ind w:left="0" w:firstLine="0"/>
              <w:rPr>
                <w:rFonts w:cs="Arial"/>
                <w:sz w:val="18"/>
                <w:szCs w:val="18"/>
              </w:rPr>
            </w:pPr>
          </w:p>
        </w:tc>
        <w:tc>
          <w:tcPr>
            <w:tcW w:w="3296" w:type="dxa"/>
            <w:shd w:val="clear" w:color="auto" w:fill="auto"/>
          </w:tcPr>
          <w:p w:rsidR="00C01A94" w:rsidRPr="00C903F8" w:rsidRDefault="00C01A94" w:rsidP="00727AB6">
            <w:pPr>
              <w:tabs>
                <w:tab w:val="left" w:pos="1080"/>
              </w:tabs>
              <w:spacing w:before="60" w:after="60" w:line="240" w:lineRule="atLeast"/>
              <w:ind w:left="0" w:firstLine="0"/>
              <w:rPr>
                <w:rFonts w:cs="Arial"/>
                <w:sz w:val="18"/>
                <w:szCs w:val="18"/>
              </w:rPr>
            </w:pPr>
            <w:r>
              <w:rPr>
                <w:sz w:val="18"/>
              </w:rPr>
              <w:t>Applicazione dell'articolo 8.09, paragrafo 2</w:t>
            </w:r>
          </w:p>
        </w:tc>
        <w:tc>
          <w:tcPr>
            <w:tcW w:w="6521" w:type="dxa"/>
            <w:shd w:val="clear" w:color="auto" w:fill="auto"/>
          </w:tcPr>
          <w:p w:rsidR="00C01A94" w:rsidRPr="00C903F8" w:rsidRDefault="00C01A94" w:rsidP="00727AB6">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727AB6">
            <w:pPr>
              <w:spacing w:before="60" w:after="60" w:line="240" w:lineRule="atLeast"/>
              <w:ind w:left="0" w:firstLine="0"/>
              <w:rPr>
                <w:rFonts w:cs="Arial"/>
                <w:sz w:val="18"/>
                <w:szCs w:val="18"/>
              </w:rPr>
            </w:pPr>
            <w:r>
              <w:rPr>
                <w:sz w:val="18"/>
              </w:rPr>
              <w:t>1.1.2010</w:t>
            </w:r>
          </w:p>
        </w:tc>
      </w:tr>
      <w:tr w:rsidR="00C01A94" w:rsidRPr="00C903F8" w:rsidTr="00196FBC">
        <w:trPr>
          <w:cantSplit/>
          <w:jc w:val="center"/>
        </w:trPr>
        <w:tc>
          <w:tcPr>
            <w:tcW w:w="6096" w:type="dxa"/>
            <w:gridSpan w:val="3"/>
            <w:shd w:val="clear" w:color="auto" w:fill="auto"/>
          </w:tcPr>
          <w:p w:rsidR="00C01A94" w:rsidRPr="00C903F8" w:rsidRDefault="00C01A94" w:rsidP="00727AB6">
            <w:pPr>
              <w:tabs>
                <w:tab w:val="left" w:pos="1080"/>
              </w:tabs>
              <w:spacing w:before="60" w:after="60" w:line="240" w:lineRule="atLeast"/>
              <w:ind w:left="0" w:firstLine="0"/>
              <w:jc w:val="center"/>
              <w:rPr>
                <w:rFonts w:cs="Arial"/>
                <w:sz w:val="18"/>
                <w:szCs w:val="18"/>
              </w:rPr>
            </w:pPr>
            <w:r>
              <w:rPr>
                <w:b/>
                <w:sz w:val="18"/>
              </w:rPr>
              <w:t>CAPO 26</w:t>
            </w:r>
          </w:p>
        </w:tc>
        <w:tc>
          <w:tcPr>
            <w:tcW w:w="6521" w:type="dxa"/>
            <w:shd w:val="clear" w:color="auto" w:fill="auto"/>
          </w:tcPr>
          <w:p w:rsidR="00C01A94" w:rsidRPr="00C903F8" w:rsidRDefault="00C01A94" w:rsidP="00727AB6">
            <w:pPr>
              <w:spacing w:before="60" w:after="60" w:line="240" w:lineRule="atLeast"/>
              <w:ind w:left="0" w:firstLine="0"/>
              <w:rPr>
                <w:rFonts w:cs="Arial"/>
                <w:sz w:val="18"/>
                <w:szCs w:val="18"/>
              </w:rPr>
            </w:pPr>
          </w:p>
        </w:tc>
        <w:tc>
          <w:tcPr>
            <w:tcW w:w="1276" w:type="dxa"/>
            <w:shd w:val="clear" w:color="auto" w:fill="auto"/>
          </w:tcPr>
          <w:p w:rsidR="00C01A94" w:rsidRPr="00C903F8" w:rsidRDefault="00C01A94" w:rsidP="00727AB6">
            <w:pPr>
              <w:spacing w:before="60" w:after="60" w:line="240" w:lineRule="atLeast"/>
              <w:ind w:left="0" w:firstLine="0"/>
              <w:rPr>
                <w:rFonts w:cs="Arial"/>
                <w:sz w:val="18"/>
                <w:szCs w:val="18"/>
              </w:rPr>
            </w:pPr>
          </w:p>
        </w:tc>
      </w:tr>
      <w:tr w:rsidR="00C01A94" w:rsidRPr="00C903F8" w:rsidTr="00196FBC">
        <w:trPr>
          <w:cantSplit/>
          <w:jc w:val="center"/>
        </w:trPr>
        <w:tc>
          <w:tcPr>
            <w:tcW w:w="1342" w:type="dxa"/>
            <w:shd w:val="clear" w:color="auto" w:fill="auto"/>
          </w:tcPr>
          <w:p w:rsidR="00C01A94" w:rsidRPr="00C903F8" w:rsidRDefault="00C01A94" w:rsidP="00727AB6">
            <w:pPr>
              <w:spacing w:before="60" w:after="60" w:line="240" w:lineRule="atLeast"/>
              <w:ind w:left="0" w:firstLine="0"/>
              <w:jc w:val="left"/>
              <w:rPr>
                <w:rFonts w:cs="Arial"/>
                <w:sz w:val="18"/>
                <w:szCs w:val="18"/>
              </w:rPr>
            </w:pPr>
            <w:r>
              <w:rPr>
                <w:sz w:val="18"/>
              </w:rPr>
              <w:t>26.01</w:t>
            </w:r>
          </w:p>
        </w:tc>
        <w:tc>
          <w:tcPr>
            <w:tcW w:w="1458" w:type="dxa"/>
            <w:shd w:val="clear" w:color="auto" w:fill="auto"/>
          </w:tcPr>
          <w:p w:rsidR="00C01A94" w:rsidRPr="00C903F8" w:rsidRDefault="00C01A94" w:rsidP="00727AB6">
            <w:pPr>
              <w:spacing w:before="60" w:after="60" w:line="240" w:lineRule="atLeast"/>
              <w:ind w:left="0" w:firstLine="0"/>
              <w:rPr>
                <w:rFonts w:cs="Arial"/>
                <w:sz w:val="18"/>
                <w:szCs w:val="18"/>
              </w:rPr>
            </w:pPr>
          </w:p>
        </w:tc>
        <w:tc>
          <w:tcPr>
            <w:tcW w:w="3296" w:type="dxa"/>
            <w:shd w:val="clear" w:color="auto" w:fill="auto"/>
          </w:tcPr>
          <w:p w:rsidR="00C01A94" w:rsidRPr="00C903F8" w:rsidRDefault="00C01A94" w:rsidP="00727AB6">
            <w:pPr>
              <w:tabs>
                <w:tab w:val="left" w:pos="1080"/>
              </w:tabs>
              <w:spacing w:before="60" w:after="60" w:line="240" w:lineRule="atLeast"/>
              <w:ind w:left="0" w:firstLine="0"/>
              <w:rPr>
                <w:rFonts w:cs="Arial"/>
                <w:sz w:val="18"/>
                <w:szCs w:val="18"/>
              </w:rPr>
            </w:pPr>
          </w:p>
        </w:tc>
        <w:tc>
          <w:tcPr>
            <w:tcW w:w="6521" w:type="dxa"/>
            <w:shd w:val="clear" w:color="auto" w:fill="auto"/>
          </w:tcPr>
          <w:p w:rsidR="00C01A94" w:rsidRPr="00C903F8" w:rsidRDefault="00C01A94" w:rsidP="00727AB6">
            <w:pPr>
              <w:spacing w:before="60" w:after="60" w:line="240" w:lineRule="atLeast"/>
              <w:ind w:left="0" w:firstLine="0"/>
              <w:rPr>
                <w:rFonts w:cs="Arial"/>
                <w:sz w:val="18"/>
                <w:szCs w:val="18"/>
              </w:rPr>
            </w:pPr>
            <w:r>
              <w:rPr>
                <w:sz w:val="18"/>
              </w:rPr>
              <w:t>Per le imbarcazioni da diporto costruite antecedentemente all'1.1.1995: N.S.T., al più tardi alla data del rinnovo del certificato per la navigazione interna posteriormente al</w:t>
            </w:r>
          </w:p>
        </w:tc>
        <w:tc>
          <w:tcPr>
            <w:tcW w:w="1276" w:type="dxa"/>
            <w:shd w:val="clear" w:color="auto" w:fill="auto"/>
          </w:tcPr>
          <w:p w:rsidR="00C01A94" w:rsidRPr="00C903F8" w:rsidRDefault="00C01A94" w:rsidP="00727AB6">
            <w:pPr>
              <w:spacing w:before="60" w:after="60" w:line="240" w:lineRule="atLeast"/>
              <w:ind w:left="0" w:firstLine="0"/>
              <w:rPr>
                <w:rFonts w:cs="Arial"/>
                <w:sz w:val="18"/>
                <w:szCs w:val="18"/>
              </w:rPr>
            </w:pPr>
            <w:r>
              <w:rPr>
                <w:sz w:val="18"/>
              </w:rPr>
              <w:t>1.1.2035</w:t>
            </w:r>
          </w:p>
        </w:tc>
      </w:tr>
    </w:tbl>
    <w:p w:rsidR="00451B55" w:rsidRPr="00C903F8" w:rsidRDefault="00451B55" w:rsidP="001E2331">
      <w:pPr>
        <w:spacing w:line="240" w:lineRule="atLeast"/>
        <w:ind w:left="567" w:hanging="567"/>
      </w:pPr>
    </w:p>
    <w:p w:rsidR="00451B55" w:rsidRPr="00C903F8" w:rsidRDefault="00451B55" w:rsidP="001E2331">
      <w:pPr>
        <w:spacing w:line="240" w:lineRule="atLeast"/>
        <w:ind w:left="567" w:hanging="567"/>
      </w:pPr>
    </w:p>
    <w:p w:rsidR="005034E6" w:rsidRDefault="005034E6" w:rsidP="001E2331">
      <w:pPr>
        <w:spacing w:line="240" w:lineRule="atLeast"/>
        <w:ind w:left="567" w:hanging="567"/>
        <w:sectPr w:rsidR="005034E6" w:rsidSect="001E2331">
          <w:headerReference w:type="default" r:id="rId31"/>
          <w:headerReference w:type="first" r:id="rId32"/>
          <w:footnotePr>
            <w:numRestart w:val="eachPage"/>
          </w:footnotePr>
          <w:pgSz w:w="16838" w:h="11906" w:orient="landscape" w:code="9"/>
          <w:pgMar w:top="1418" w:right="1418" w:bottom="1418" w:left="1418" w:header="709" w:footer="709" w:gutter="0"/>
          <w:cols w:space="709"/>
          <w:titlePg/>
          <w:docGrid w:linePitch="272"/>
        </w:sectPr>
      </w:pPr>
    </w:p>
    <w:p w:rsidR="00451B55" w:rsidRPr="00C903F8" w:rsidRDefault="00451B55" w:rsidP="001E2331">
      <w:pPr>
        <w:spacing w:line="240" w:lineRule="atLeast"/>
        <w:ind w:left="567" w:hanging="567"/>
      </w:pPr>
    </w:p>
    <w:p w:rsidR="001E2331" w:rsidRPr="00C903F8" w:rsidRDefault="001E2331" w:rsidP="00A455C7">
      <w:pPr>
        <w:pStyle w:val="ES-Titre3"/>
      </w:pPr>
      <w:bookmarkStart w:id="562" w:name="_Toc491854277"/>
      <w:bookmarkStart w:id="563" w:name="_Toc535500226"/>
      <w:r>
        <w:t>Articolo 32,03</w:t>
      </w:r>
      <w:bookmarkEnd w:id="562"/>
      <w:bookmarkEnd w:id="563"/>
    </w:p>
    <w:p w:rsidR="001E2331" w:rsidRPr="00C903F8" w:rsidRDefault="00C903F8" w:rsidP="00A455C7">
      <w:pPr>
        <w:pStyle w:val="ES-Titre3a"/>
      </w:pPr>
      <w:bookmarkStart w:id="564" w:name="_Toc421775887"/>
      <w:bookmarkStart w:id="565" w:name="_Toc491854278"/>
      <w:bookmarkStart w:id="566" w:name="_Toc535500227"/>
      <w:r>
        <w:t>Disposizioni transitorie aggiuntive per le imbarcazioni la cui chiglia è stata impostata il 1° aprile 1976 o anteriormente a tale data</w:t>
      </w:r>
      <w:bookmarkEnd w:id="564"/>
      <w:bookmarkEnd w:id="565"/>
      <w:bookmarkEnd w:id="566"/>
    </w:p>
    <w:p w:rsidR="001E2331" w:rsidRPr="00C903F8" w:rsidRDefault="001E2331" w:rsidP="001E2331">
      <w:pPr>
        <w:spacing w:line="240" w:lineRule="atLeast"/>
        <w:ind w:left="567" w:hanging="567"/>
      </w:pPr>
    </w:p>
    <w:p w:rsidR="00C903F8" w:rsidRPr="00C903F8" w:rsidRDefault="00C903F8" w:rsidP="00C903F8">
      <w:pPr>
        <w:spacing w:line="240" w:lineRule="atLeast"/>
        <w:ind w:left="567" w:hanging="567"/>
      </w:pPr>
      <w:r>
        <w:t>1.</w:t>
      </w:r>
      <w:r>
        <w:tab/>
        <w:t>In aggiunta alle disposizioni transitorie di cui all'articolo 32.02, le navi impostate il 1° aprile 1976 o anteriormente a tale data sono soggette alle seguenti disposizioni.</w:t>
      </w:r>
    </w:p>
    <w:p w:rsidR="00C903F8" w:rsidRPr="00C903F8" w:rsidRDefault="00C903F8" w:rsidP="00C903F8">
      <w:pPr>
        <w:spacing w:line="240" w:lineRule="atLeast"/>
        <w:ind w:left="567" w:hanging="567"/>
        <w:rPr>
          <w:rFonts w:cs="Arial"/>
          <w:sz w:val="18"/>
          <w:szCs w:val="18"/>
        </w:rPr>
      </w:pPr>
    </w:p>
    <w:p w:rsidR="00C903F8" w:rsidRPr="00C903F8" w:rsidRDefault="00C903F8" w:rsidP="00C903F8">
      <w:pPr>
        <w:spacing w:line="240" w:lineRule="atLeast"/>
        <w:ind w:left="567" w:hanging="567"/>
      </w:pPr>
      <w:r>
        <w:t>2.</w:t>
      </w:r>
      <w:r>
        <w:tab/>
        <w:t>Nella tabella riportata qui di seguito valgono le seguenti definizioni:</w:t>
      </w:r>
    </w:p>
    <w:p w:rsidR="00C903F8" w:rsidRPr="00C903F8" w:rsidRDefault="00C903F8" w:rsidP="00C903F8">
      <w:pPr>
        <w:spacing w:line="240" w:lineRule="atLeast"/>
        <w:ind w:left="567" w:hanging="567"/>
      </w:pPr>
    </w:p>
    <w:p w:rsidR="00C903F8" w:rsidRPr="00C903F8" w:rsidRDefault="00C903F8" w:rsidP="00C903F8">
      <w:pPr>
        <w:spacing w:line="240" w:lineRule="atLeast"/>
        <w:ind w:left="567" w:firstLine="0"/>
      </w:pPr>
      <w:r>
        <w:t xml:space="preserve">"S.T.": la disposizione si applica alle navi già in servizio soltanto se le parti in questione sono sostituite o trasformate, la disposizione si applica cioè soltanto alle parti o zone </w:t>
      </w:r>
      <w:r>
        <w:rPr>
          <w:u w:val="single"/>
        </w:rPr>
        <w:t>S</w:t>
      </w:r>
      <w:r>
        <w:t xml:space="preserve">ostituite o </w:t>
      </w:r>
      <w:r>
        <w:rPr>
          <w:u w:val="single"/>
        </w:rPr>
        <w:t>T</w:t>
      </w:r>
      <w:r>
        <w:t xml:space="preserve">rasformate. Se alcune parti esistenti sono sostituite con pezzi di ricambio uguali quanto a tecnologia e tipo, non si tratta di sostituzione "S" ai sensi delle disposizioni transitorie; </w:t>
      </w:r>
    </w:p>
    <w:p w:rsidR="00C903F8" w:rsidRPr="00C903F8" w:rsidRDefault="00C903F8" w:rsidP="00C903F8">
      <w:pPr>
        <w:spacing w:line="240" w:lineRule="atLeast"/>
        <w:ind w:left="567" w:firstLine="0"/>
      </w:pPr>
    </w:p>
    <w:p w:rsidR="00C903F8" w:rsidRPr="00C903F8" w:rsidRDefault="00C903F8" w:rsidP="00C903F8">
      <w:pPr>
        <w:tabs>
          <w:tab w:val="left" w:pos="4678"/>
        </w:tabs>
        <w:spacing w:line="240" w:lineRule="atLeast"/>
        <w:ind w:left="567" w:firstLine="0"/>
      </w:pPr>
      <w:r>
        <w:t>"rilascio o rinnovo del certificato per la navigazione interna": la disposizione deve essere soddisfatta entro la data di rilascio o di rinnovo del certificato per la navigazione interna successivamente all'entrata in vigore della disposizione.</w:t>
      </w:r>
    </w:p>
    <w:p w:rsidR="00E67DA4" w:rsidRPr="00C903F8" w:rsidRDefault="00E67DA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E67DA4" w:rsidRPr="00C903F8" w:rsidTr="00E67DA4">
        <w:trPr>
          <w:cantSplit/>
          <w:tblHeader/>
          <w:jc w:val="center"/>
        </w:trPr>
        <w:tc>
          <w:tcPr>
            <w:tcW w:w="2800" w:type="dxa"/>
            <w:gridSpan w:val="2"/>
            <w:tcBorders>
              <w:bottom w:val="single" w:sz="4" w:space="0" w:color="auto"/>
            </w:tcBorders>
            <w:shd w:val="clear" w:color="auto" w:fill="auto"/>
          </w:tcPr>
          <w:p w:rsidR="00E67DA4" w:rsidRPr="00C903F8" w:rsidRDefault="00E67DA4" w:rsidP="00C01A94">
            <w:pPr>
              <w:spacing w:before="60" w:after="60" w:line="240" w:lineRule="atLeast"/>
              <w:ind w:left="0" w:firstLine="0"/>
              <w:jc w:val="center"/>
              <w:rPr>
                <w:rFonts w:cs="Arial"/>
                <w:sz w:val="18"/>
                <w:szCs w:val="18"/>
              </w:rPr>
            </w:pPr>
            <w:r>
              <w:rPr>
                <w:i/>
                <w:sz w:val="18"/>
              </w:rPr>
              <w:t>Articolo e paragrafo</w:t>
            </w:r>
          </w:p>
        </w:tc>
        <w:tc>
          <w:tcPr>
            <w:tcW w:w="3296" w:type="dxa"/>
            <w:shd w:val="clear" w:color="auto" w:fill="auto"/>
          </w:tcPr>
          <w:p w:rsidR="00E67DA4" w:rsidRPr="00C903F8" w:rsidRDefault="00E67DA4" w:rsidP="00C01A94">
            <w:pPr>
              <w:spacing w:before="60" w:after="60" w:line="240" w:lineRule="atLeast"/>
              <w:ind w:left="0" w:firstLine="0"/>
              <w:jc w:val="center"/>
              <w:rPr>
                <w:rFonts w:cs="Arial"/>
                <w:sz w:val="18"/>
                <w:szCs w:val="18"/>
              </w:rPr>
            </w:pPr>
            <w:r>
              <w:rPr>
                <w:i/>
                <w:sz w:val="18"/>
              </w:rPr>
              <w:t>Contenuto</w:t>
            </w:r>
          </w:p>
        </w:tc>
        <w:tc>
          <w:tcPr>
            <w:tcW w:w="7797" w:type="dxa"/>
            <w:gridSpan w:val="2"/>
            <w:shd w:val="clear" w:color="auto" w:fill="auto"/>
          </w:tcPr>
          <w:p w:rsidR="00E67DA4" w:rsidRPr="00C903F8" w:rsidRDefault="00E67DA4" w:rsidP="00C01A94">
            <w:pPr>
              <w:spacing w:before="60" w:after="60" w:line="240" w:lineRule="atLeast"/>
              <w:ind w:left="0" w:firstLine="0"/>
              <w:jc w:val="center"/>
              <w:rPr>
                <w:rFonts w:cs="Arial"/>
                <w:sz w:val="18"/>
                <w:szCs w:val="18"/>
              </w:rPr>
            </w:pPr>
            <w:r>
              <w:rPr>
                <w:i/>
                <w:sz w:val="18"/>
              </w:rPr>
              <w:t>Scadenze e osservazioni</w:t>
            </w:r>
          </w:p>
        </w:tc>
      </w:tr>
      <w:tr w:rsidR="00E67DA4" w:rsidRPr="00C903F8" w:rsidTr="00E67DA4">
        <w:trPr>
          <w:cantSplit/>
          <w:jc w:val="center"/>
        </w:trPr>
        <w:tc>
          <w:tcPr>
            <w:tcW w:w="6096" w:type="dxa"/>
            <w:gridSpan w:val="3"/>
            <w:shd w:val="clear" w:color="auto" w:fill="auto"/>
          </w:tcPr>
          <w:p w:rsidR="00E67DA4" w:rsidRPr="00C903F8" w:rsidRDefault="00E67DA4" w:rsidP="00C01A94">
            <w:pPr>
              <w:spacing w:before="120" w:after="120" w:line="240" w:lineRule="atLeast"/>
              <w:ind w:left="0" w:firstLine="0"/>
              <w:jc w:val="center"/>
              <w:rPr>
                <w:rFonts w:cs="Arial"/>
                <w:b/>
                <w:sz w:val="18"/>
                <w:szCs w:val="18"/>
              </w:rPr>
            </w:pPr>
            <w:r>
              <w:rPr>
                <w:b/>
                <w:sz w:val="18"/>
              </w:rPr>
              <w:t>CAPO 3</w:t>
            </w:r>
          </w:p>
        </w:tc>
        <w:tc>
          <w:tcPr>
            <w:tcW w:w="6521" w:type="dxa"/>
            <w:shd w:val="clear" w:color="auto" w:fill="auto"/>
          </w:tcPr>
          <w:p w:rsidR="00E67DA4" w:rsidRPr="00C903F8" w:rsidRDefault="00E67DA4" w:rsidP="00C01A94">
            <w:pPr>
              <w:spacing w:before="120" w:after="120" w:line="240" w:lineRule="atLeast"/>
              <w:ind w:left="0" w:firstLine="0"/>
              <w:rPr>
                <w:rFonts w:cs="Arial"/>
                <w:sz w:val="18"/>
                <w:szCs w:val="18"/>
              </w:rPr>
            </w:pPr>
          </w:p>
        </w:tc>
        <w:tc>
          <w:tcPr>
            <w:tcW w:w="1276" w:type="dxa"/>
            <w:shd w:val="clear" w:color="auto" w:fill="auto"/>
          </w:tcPr>
          <w:p w:rsidR="00E67DA4" w:rsidRPr="00C903F8" w:rsidRDefault="00E67DA4" w:rsidP="00C01A94">
            <w:pPr>
              <w:spacing w:before="120" w:after="120" w:line="240" w:lineRule="atLeast"/>
              <w:ind w:left="0" w:firstLine="0"/>
              <w:rPr>
                <w:rFonts w:cs="Arial"/>
                <w:sz w:val="18"/>
                <w:szCs w:val="18"/>
              </w:rPr>
            </w:pPr>
          </w:p>
        </w:tc>
      </w:tr>
      <w:tr w:rsidR="00E67DA4" w:rsidRPr="00C903F8" w:rsidTr="00E67DA4">
        <w:trPr>
          <w:cantSplit/>
          <w:jc w:val="center"/>
        </w:trPr>
        <w:tc>
          <w:tcPr>
            <w:tcW w:w="1342" w:type="dxa"/>
            <w:tcBorders>
              <w:bottom w:val="nil"/>
            </w:tcBorders>
            <w:shd w:val="clear" w:color="auto" w:fill="auto"/>
          </w:tcPr>
          <w:p w:rsidR="00E67DA4" w:rsidRPr="00C903F8" w:rsidRDefault="00E67DA4" w:rsidP="00C01A94">
            <w:pPr>
              <w:spacing w:before="120" w:after="120" w:line="240" w:lineRule="atLeast"/>
              <w:ind w:left="0" w:firstLine="0"/>
              <w:rPr>
                <w:rFonts w:cs="Arial"/>
                <w:sz w:val="18"/>
                <w:szCs w:val="18"/>
              </w:rPr>
            </w:pPr>
            <w:r>
              <w:rPr>
                <w:sz w:val="18"/>
              </w:rPr>
              <w:t>3.04</w:t>
            </w:r>
          </w:p>
        </w:tc>
        <w:tc>
          <w:tcPr>
            <w:tcW w:w="1458" w:type="dxa"/>
            <w:shd w:val="clear" w:color="auto" w:fill="auto"/>
          </w:tcPr>
          <w:p w:rsidR="00E67DA4" w:rsidRPr="00C903F8" w:rsidRDefault="00E67DA4" w:rsidP="00C01A94">
            <w:pPr>
              <w:spacing w:before="120" w:after="120" w:line="240" w:lineRule="atLeast"/>
              <w:ind w:left="0" w:firstLine="0"/>
              <w:rPr>
                <w:rFonts w:cs="Arial"/>
                <w:sz w:val="18"/>
                <w:szCs w:val="18"/>
              </w:rPr>
            </w:pPr>
            <w:r>
              <w:rPr>
                <w:sz w:val="18"/>
              </w:rPr>
              <w:t>paragrafo 2</w:t>
            </w:r>
          </w:p>
        </w:tc>
        <w:tc>
          <w:tcPr>
            <w:tcW w:w="3296" w:type="dxa"/>
            <w:shd w:val="clear" w:color="auto" w:fill="auto"/>
          </w:tcPr>
          <w:p w:rsidR="00E67DA4" w:rsidRPr="00C903F8" w:rsidRDefault="00E67DA4" w:rsidP="00C01A94">
            <w:pPr>
              <w:spacing w:before="120" w:after="120" w:line="240" w:lineRule="atLeast"/>
              <w:ind w:left="0" w:firstLine="0"/>
              <w:rPr>
                <w:rFonts w:cs="Arial"/>
                <w:sz w:val="18"/>
                <w:szCs w:val="18"/>
              </w:rPr>
            </w:pPr>
            <w:r>
              <w:rPr>
                <w:noProof/>
                <w:sz w:val="18"/>
              </w:rPr>
              <w:t>Superfici in comune tra i serbatoi e spazi riservati agli alloggi e ai locali per i passeggeri</w:t>
            </w:r>
          </w:p>
        </w:tc>
        <w:tc>
          <w:tcPr>
            <w:tcW w:w="6521" w:type="dxa"/>
            <w:shd w:val="clear" w:color="auto" w:fill="auto"/>
          </w:tcPr>
          <w:p w:rsidR="00E67DA4" w:rsidRPr="00C903F8" w:rsidRDefault="00AD3E75" w:rsidP="00C01A94">
            <w:pPr>
              <w:spacing w:before="120" w:after="120" w:line="240" w:lineRule="atLeast"/>
              <w:ind w:left="0" w:firstLine="0"/>
              <w:rPr>
                <w:rFonts w:cs="Arial"/>
                <w:sz w:val="18"/>
                <w:szCs w:val="18"/>
              </w:rPr>
            </w:pPr>
            <w:r>
              <w:rPr>
                <w:sz w:val="18"/>
              </w:rPr>
              <w:t>S.T., al più tardi alla data del rinnovo del certificato per la navigazione interna posteriormente al</w:t>
            </w:r>
          </w:p>
        </w:tc>
        <w:tc>
          <w:tcPr>
            <w:tcW w:w="1276" w:type="dxa"/>
            <w:shd w:val="clear" w:color="auto" w:fill="auto"/>
          </w:tcPr>
          <w:p w:rsidR="00E67DA4" w:rsidRPr="00C903F8" w:rsidRDefault="00E67DA4" w:rsidP="00C01A94">
            <w:pPr>
              <w:spacing w:before="120" w:after="120" w:line="240" w:lineRule="atLeast"/>
              <w:ind w:left="0" w:firstLine="0"/>
              <w:rPr>
                <w:rFonts w:cs="Arial"/>
                <w:sz w:val="18"/>
                <w:szCs w:val="18"/>
              </w:rPr>
            </w:pPr>
            <w:r>
              <w:rPr>
                <w:sz w:val="18"/>
              </w:rPr>
              <w:t>1.1.2035</w:t>
            </w:r>
          </w:p>
        </w:tc>
      </w:tr>
      <w:tr w:rsidR="00E67DA4" w:rsidRPr="00C903F8" w:rsidTr="00E67DA4">
        <w:trPr>
          <w:cantSplit/>
          <w:jc w:val="center"/>
        </w:trPr>
        <w:tc>
          <w:tcPr>
            <w:tcW w:w="1342" w:type="dxa"/>
            <w:tcBorders>
              <w:top w:val="nil"/>
            </w:tcBorders>
            <w:shd w:val="clear" w:color="auto" w:fill="auto"/>
          </w:tcPr>
          <w:p w:rsidR="00E67DA4" w:rsidRPr="00C903F8" w:rsidRDefault="00E67DA4" w:rsidP="00C01A94">
            <w:pPr>
              <w:spacing w:before="120" w:after="120" w:line="240" w:lineRule="atLeast"/>
              <w:ind w:left="0" w:firstLine="0"/>
              <w:rPr>
                <w:rFonts w:cs="Arial"/>
                <w:sz w:val="18"/>
                <w:szCs w:val="18"/>
              </w:rPr>
            </w:pPr>
          </w:p>
        </w:tc>
        <w:tc>
          <w:tcPr>
            <w:tcW w:w="1458" w:type="dxa"/>
            <w:shd w:val="clear" w:color="auto" w:fill="auto"/>
          </w:tcPr>
          <w:p w:rsidR="00E67DA4" w:rsidRPr="00C903F8" w:rsidRDefault="000E732C" w:rsidP="00C01A94">
            <w:pPr>
              <w:spacing w:before="120" w:after="120" w:line="240" w:lineRule="atLeast"/>
              <w:ind w:left="0" w:firstLine="0"/>
              <w:rPr>
                <w:rFonts w:cs="Arial"/>
                <w:sz w:val="18"/>
                <w:szCs w:val="18"/>
              </w:rPr>
            </w:pPr>
            <w:r>
              <w:rPr>
                <w:sz w:val="18"/>
              </w:rPr>
              <w:t>paragrafo 7</w:t>
            </w:r>
            <w:r>
              <w:rPr>
                <w:color w:val="000000"/>
                <w:sz w:val="18"/>
                <w:vertAlign w:val="superscript"/>
              </w:rPr>
              <w:footnoteReference w:id="34"/>
            </w:r>
          </w:p>
        </w:tc>
        <w:tc>
          <w:tcPr>
            <w:tcW w:w="3296" w:type="dxa"/>
            <w:shd w:val="clear" w:color="auto" w:fill="auto"/>
          </w:tcPr>
          <w:p w:rsidR="00E67DA4" w:rsidRPr="00C903F8" w:rsidRDefault="00E67DA4" w:rsidP="00C01A94">
            <w:pPr>
              <w:spacing w:before="120" w:after="120" w:line="240" w:lineRule="atLeast"/>
              <w:ind w:left="0" w:firstLine="0"/>
              <w:rPr>
                <w:rFonts w:cs="Arial"/>
                <w:sz w:val="18"/>
                <w:szCs w:val="18"/>
              </w:rPr>
            </w:pPr>
            <w:r>
              <w:rPr>
                <w:noProof/>
                <w:sz w:val="18"/>
              </w:rPr>
              <w:t>Massimo livello di pressione acustica ammissibile</w:t>
            </w:r>
          </w:p>
        </w:tc>
        <w:tc>
          <w:tcPr>
            <w:tcW w:w="6521" w:type="dxa"/>
            <w:shd w:val="clear" w:color="auto" w:fill="auto"/>
          </w:tcPr>
          <w:p w:rsidR="00E67DA4" w:rsidRPr="00C903F8" w:rsidRDefault="00E67DA4" w:rsidP="00C01A94">
            <w:pPr>
              <w:spacing w:before="120" w:after="120" w:line="240" w:lineRule="atLeast"/>
              <w:ind w:left="0" w:firstLine="0"/>
              <w:rPr>
                <w:rFonts w:cs="Arial"/>
                <w:sz w:val="18"/>
                <w:szCs w:val="18"/>
              </w:rPr>
            </w:pPr>
            <w:r>
              <w:rPr>
                <w:sz w:val="18"/>
              </w:rPr>
              <w:t>Rinnovo del certificato per la navigazione interna posteriormente al</w:t>
            </w:r>
          </w:p>
        </w:tc>
        <w:tc>
          <w:tcPr>
            <w:tcW w:w="1276" w:type="dxa"/>
            <w:shd w:val="clear" w:color="auto" w:fill="auto"/>
          </w:tcPr>
          <w:p w:rsidR="00E67DA4" w:rsidRPr="00C903F8" w:rsidRDefault="00E67DA4" w:rsidP="00C01A94">
            <w:pPr>
              <w:spacing w:before="120" w:after="120" w:line="240" w:lineRule="atLeast"/>
              <w:ind w:left="0" w:firstLine="0"/>
              <w:rPr>
                <w:rFonts w:cs="Arial"/>
                <w:sz w:val="18"/>
                <w:szCs w:val="18"/>
              </w:rPr>
            </w:pPr>
            <w:r>
              <w:rPr>
                <w:sz w:val="18"/>
              </w:rPr>
              <w:t>1.1.2020</w:t>
            </w:r>
          </w:p>
        </w:tc>
      </w:tr>
      <w:tr w:rsidR="00E67DA4" w:rsidRPr="00C903F8" w:rsidTr="00E67DA4">
        <w:trPr>
          <w:cantSplit/>
          <w:jc w:val="center"/>
        </w:trPr>
        <w:tc>
          <w:tcPr>
            <w:tcW w:w="6096" w:type="dxa"/>
            <w:gridSpan w:val="3"/>
            <w:shd w:val="clear" w:color="auto" w:fill="auto"/>
          </w:tcPr>
          <w:p w:rsidR="00E67DA4" w:rsidRPr="00C903F8" w:rsidRDefault="00E67DA4" w:rsidP="00C01A94">
            <w:pPr>
              <w:spacing w:before="120" w:after="120" w:line="240" w:lineRule="atLeast"/>
              <w:ind w:left="0" w:firstLine="0"/>
              <w:jc w:val="center"/>
              <w:rPr>
                <w:rFonts w:cs="Arial"/>
                <w:sz w:val="18"/>
                <w:szCs w:val="18"/>
              </w:rPr>
            </w:pPr>
            <w:r>
              <w:rPr>
                <w:b/>
                <w:sz w:val="18"/>
              </w:rPr>
              <w:t>CAPO 4</w:t>
            </w:r>
          </w:p>
        </w:tc>
        <w:tc>
          <w:tcPr>
            <w:tcW w:w="6521" w:type="dxa"/>
            <w:shd w:val="clear" w:color="auto" w:fill="auto"/>
          </w:tcPr>
          <w:p w:rsidR="00E67DA4" w:rsidRPr="00C903F8" w:rsidRDefault="00E67DA4" w:rsidP="00C01A94">
            <w:pPr>
              <w:spacing w:before="120" w:after="120" w:line="240" w:lineRule="atLeast"/>
              <w:ind w:left="0" w:firstLine="0"/>
              <w:rPr>
                <w:rFonts w:cs="Arial"/>
                <w:b/>
                <w:sz w:val="18"/>
                <w:szCs w:val="18"/>
              </w:rPr>
            </w:pPr>
          </w:p>
        </w:tc>
        <w:tc>
          <w:tcPr>
            <w:tcW w:w="1276" w:type="dxa"/>
            <w:shd w:val="clear" w:color="auto" w:fill="auto"/>
          </w:tcPr>
          <w:p w:rsidR="00E67DA4" w:rsidRPr="00C903F8" w:rsidRDefault="00E67DA4" w:rsidP="00C01A94">
            <w:pPr>
              <w:spacing w:before="120" w:after="120" w:line="240" w:lineRule="atLeast"/>
              <w:ind w:left="0" w:firstLine="0"/>
              <w:rPr>
                <w:rFonts w:cs="Arial"/>
                <w:sz w:val="18"/>
                <w:szCs w:val="18"/>
              </w:rPr>
            </w:pPr>
          </w:p>
        </w:tc>
      </w:tr>
      <w:tr w:rsidR="00E67DA4" w:rsidRPr="00C903F8" w:rsidTr="00E67DA4">
        <w:trPr>
          <w:cantSplit/>
          <w:jc w:val="center"/>
        </w:trPr>
        <w:tc>
          <w:tcPr>
            <w:tcW w:w="1342" w:type="dxa"/>
            <w:shd w:val="clear" w:color="auto" w:fill="auto"/>
          </w:tcPr>
          <w:p w:rsidR="00E67DA4" w:rsidRPr="00C903F8" w:rsidRDefault="00E67DA4" w:rsidP="00C01A94">
            <w:pPr>
              <w:spacing w:before="120" w:after="120" w:line="240" w:lineRule="atLeast"/>
              <w:ind w:left="0" w:firstLine="0"/>
              <w:rPr>
                <w:rFonts w:cs="Arial"/>
                <w:sz w:val="18"/>
                <w:szCs w:val="18"/>
              </w:rPr>
            </w:pPr>
            <w:r>
              <w:rPr>
                <w:sz w:val="18"/>
              </w:rPr>
              <w:t>4.01</w:t>
            </w:r>
          </w:p>
        </w:tc>
        <w:tc>
          <w:tcPr>
            <w:tcW w:w="1458" w:type="dxa"/>
            <w:shd w:val="clear" w:color="auto" w:fill="auto"/>
          </w:tcPr>
          <w:p w:rsidR="00E67DA4" w:rsidRPr="00C903F8" w:rsidRDefault="00B956B5" w:rsidP="00C01A94">
            <w:pPr>
              <w:spacing w:before="120" w:after="120" w:line="240" w:lineRule="atLeast"/>
              <w:ind w:left="0" w:firstLine="0"/>
              <w:rPr>
                <w:rFonts w:cs="Arial"/>
                <w:sz w:val="18"/>
                <w:szCs w:val="18"/>
              </w:rPr>
            </w:pPr>
            <w:r>
              <w:rPr>
                <w:sz w:val="18"/>
              </w:rPr>
              <w:t>paragrafo 1</w:t>
            </w:r>
          </w:p>
        </w:tc>
        <w:tc>
          <w:tcPr>
            <w:tcW w:w="3296" w:type="dxa"/>
            <w:shd w:val="clear" w:color="auto" w:fill="auto"/>
          </w:tcPr>
          <w:p w:rsidR="00E67DA4" w:rsidRPr="00C903F8" w:rsidRDefault="00E67DA4" w:rsidP="00C01A94">
            <w:pPr>
              <w:spacing w:before="120" w:after="120" w:line="240" w:lineRule="atLeast"/>
              <w:ind w:left="0" w:firstLine="0"/>
              <w:rPr>
                <w:rFonts w:cs="Arial"/>
                <w:sz w:val="18"/>
                <w:szCs w:val="18"/>
              </w:rPr>
            </w:pPr>
            <w:r>
              <w:rPr>
                <w:noProof/>
                <w:sz w:val="18"/>
              </w:rPr>
              <w:t>Distanza di sicurezza</w:t>
            </w:r>
          </w:p>
        </w:tc>
        <w:tc>
          <w:tcPr>
            <w:tcW w:w="6521" w:type="dxa"/>
            <w:shd w:val="clear" w:color="auto" w:fill="auto"/>
          </w:tcPr>
          <w:p w:rsidR="00E67DA4" w:rsidRPr="00C903F8" w:rsidRDefault="00E67DA4" w:rsidP="00C01A94">
            <w:pPr>
              <w:spacing w:before="120" w:after="120" w:line="240" w:lineRule="atLeast"/>
              <w:ind w:left="0" w:firstLine="0"/>
              <w:rPr>
                <w:rFonts w:cs="Arial"/>
                <w:sz w:val="18"/>
                <w:szCs w:val="18"/>
              </w:rPr>
            </w:pPr>
            <w:r>
              <w:rPr>
                <w:sz w:val="18"/>
              </w:rPr>
              <w:t>Rinnovo del certificato per la navigazione interna posteriormente al</w:t>
            </w:r>
          </w:p>
        </w:tc>
        <w:tc>
          <w:tcPr>
            <w:tcW w:w="1276" w:type="dxa"/>
            <w:shd w:val="clear" w:color="auto" w:fill="auto"/>
          </w:tcPr>
          <w:p w:rsidR="00E67DA4" w:rsidRPr="00C903F8" w:rsidRDefault="00E67DA4" w:rsidP="00C01A94">
            <w:pPr>
              <w:spacing w:before="120" w:after="120" w:line="240" w:lineRule="atLeast"/>
              <w:ind w:left="0" w:firstLine="0"/>
              <w:rPr>
                <w:rFonts w:cs="Arial"/>
                <w:sz w:val="18"/>
                <w:szCs w:val="18"/>
              </w:rPr>
            </w:pPr>
            <w:r>
              <w:rPr>
                <w:sz w:val="18"/>
              </w:rPr>
              <w:t>1.1.2015</w:t>
            </w:r>
          </w:p>
        </w:tc>
      </w:tr>
      <w:tr w:rsidR="00E67DA4" w:rsidRPr="00C903F8" w:rsidTr="00E67DA4">
        <w:trPr>
          <w:cantSplit/>
          <w:jc w:val="center"/>
        </w:trPr>
        <w:tc>
          <w:tcPr>
            <w:tcW w:w="1342" w:type="dxa"/>
            <w:shd w:val="clear" w:color="auto" w:fill="auto"/>
          </w:tcPr>
          <w:p w:rsidR="00E67DA4" w:rsidRPr="00C903F8" w:rsidRDefault="00E67DA4" w:rsidP="00C01A94">
            <w:pPr>
              <w:spacing w:before="120" w:after="120" w:line="240" w:lineRule="atLeast"/>
              <w:ind w:left="0" w:firstLine="0"/>
              <w:rPr>
                <w:rFonts w:cs="Arial"/>
                <w:sz w:val="18"/>
                <w:szCs w:val="18"/>
              </w:rPr>
            </w:pPr>
            <w:r>
              <w:rPr>
                <w:sz w:val="18"/>
              </w:rPr>
              <w:t>4.02</w:t>
            </w:r>
          </w:p>
        </w:tc>
        <w:tc>
          <w:tcPr>
            <w:tcW w:w="1458" w:type="dxa"/>
            <w:shd w:val="clear" w:color="auto" w:fill="auto"/>
          </w:tcPr>
          <w:p w:rsidR="00E67DA4" w:rsidRPr="00C903F8" w:rsidRDefault="00E67DA4" w:rsidP="00C01A94">
            <w:pPr>
              <w:spacing w:before="120" w:after="120" w:line="240" w:lineRule="atLeast"/>
              <w:ind w:left="0" w:firstLine="0"/>
              <w:jc w:val="center"/>
              <w:rPr>
                <w:rFonts w:cs="Arial"/>
                <w:sz w:val="18"/>
                <w:szCs w:val="18"/>
              </w:rPr>
            </w:pPr>
          </w:p>
        </w:tc>
        <w:tc>
          <w:tcPr>
            <w:tcW w:w="3296" w:type="dxa"/>
            <w:shd w:val="clear" w:color="auto" w:fill="auto"/>
          </w:tcPr>
          <w:p w:rsidR="00E67DA4" w:rsidRPr="00C903F8" w:rsidRDefault="00E67DA4" w:rsidP="00C01A94">
            <w:pPr>
              <w:spacing w:before="120" w:after="120" w:line="240" w:lineRule="atLeast"/>
              <w:ind w:left="0" w:firstLine="0"/>
              <w:rPr>
                <w:rFonts w:cs="Arial"/>
                <w:sz w:val="18"/>
                <w:szCs w:val="18"/>
              </w:rPr>
            </w:pPr>
            <w:r>
              <w:rPr>
                <w:noProof/>
                <w:sz w:val="18"/>
              </w:rPr>
              <w:t>Bordo libero</w:t>
            </w:r>
          </w:p>
        </w:tc>
        <w:tc>
          <w:tcPr>
            <w:tcW w:w="6521" w:type="dxa"/>
            <w:shd w:val="clear" w:color="auto" w:fill="auto"/>
          </w:tcPr>
          <w:p w:rsidR="00E67DA4" w:rsidRPr="00C903F8" w:rsidRDefault="00E67DA4" w:rsidP="00C01A94">
            <w:pPr>
              <w:spacing w:before="120" w:after="120" w:line="240" w:lineRule="atLeast"/>
              <w:ind w:left="0" w:firstLine="0"/>
              <w:rPr>
                <w:rFonts w:cs="Arial"/>
                <w:sz w:val="18"/>
                <w:szCs w:val="18"/>
              </w:rPr>
            </w:pPr>
            <w:r>
              <w:rPr>
                <w:sz w:val="18"/>
              </w:rPr>
              <w:t>Rinnovo del certificato per la navigazione interna posteriormente al</w:t>
            </w:r>
          </w:p>
        </w:tc>
        <w:tc>
          <w:tcPr>
            <w:tcW w:w="1276" w:type="dxa"/>
            <w:shd w:val="clear" w:color="auto" w:fill="auto"/>
          </w:tcPr>
          <w:p w:rsidR="00E67DA4" w:rsidRPr="00C903F8" w:rsidRDefault="00E67DA4" w:rsidP="00C01A94">
            <w:pPr>
              <w:spacing w:before="120" w:after="120" w:line="240" w:lineRule="atLeast"/>
              <w:ind w:left="0" w:firstLine="0"/>
              <w:rPr>
                <w:rFonts w:cs="Arial"/>
                <w:sz w:val="18"/>
                <w:szCs w:val="18"/>
              </w:rPr>
            </w:pPr>
            <w:r>
              <w:rPr>
                <w:sz w:val="18"/>
              </w:rPr>
              <w:t>1.1.2015</w:t>
            </w:r>
          </w:p>
        </w:tc>
      </w:tr>
      <w:tr w:rsidR="00E67DA4" w:rsidRPr="00C903F8" w:rsidTr="00E67DA4">
        <w:trPr>
          <w:cantSplit/>
          <w:jc w:val="center"/>
        </w:trPr>
        <w:tc>
          <w:tcPr>
            <w:tcW w:w="1342" w:type="dxa"/>
            <w:shd w:val="clear" w:color="auto" w:fill="auto"/>
          </w:tcPr>
          <w:p w:rsidR="00E67DA4" w:rsidRPr="00C903F8" w:rsidRDefault="00E67DA4" w:rsidP="00C01A94">
            <w:pPr>
              <w:spacing w:before="120" w:after="120" w:line="240" w:lineRule="atLeast"/>
              <w:ind w:left="0" w:firstLine="0"/>
              <w:rPr>
                <w:rFonts w:cs="Arial"/>
                <w:sz w:val="18"/>
                <w:szCs w:val="18"/>
              </w:rPr>
            </w:pPr>
            <w:r>
              <w:rPr>
                <w:sz w:val="18"/>
              </w:rPr>
              <w:lastRenderedPageBreak/>
              <w:t>4.03</w:t>
            </w:r>
          </w:p>
        </w:tc>
        <w:tc>
          <w:tcPr>
            <w:tcW w:w="1458" w:type="dxa"/>
            <w:shd w:val="clear" w:color="auto" w:fill="auto"/>
          </w:tcPr>
          <w:p w:rsidR="00E67DA4" w:rsidRPr="00C903F8" w:rsidRDefault="00E67DA4" w:rsidP="00C01A94">
            <w:pPr>
              <w:spacing w:before="120" w:after="120" w:line="240" w:lineRule="atLeast"/>
              <w:ind w:left="0" w:firstLine="0"/>
              <w:jc w:val="center"/>
              <w:rPr>
                <w:rFonts w:cs="Arial"/>
                <w:sz w:val="18"/>
                <w:szCs w:val="18"/>
              </w:rPr>
            </w:pPr>
          </w:p>
        </w:tc>
        <w:tc>
          <w:tcPr>
            <w:tcW w:w="3296" w:type="dxa"/>
            <w:shd w:val="clear" w:color="auto" w:fill="auto"/>
          </w:tcPr>
          <w:p w:rsidR="00E67DA4" w:rsidRPr="00C903F8" w:rsidRDefault="00E67DA4" w:rsidP="00C01A94">
            <w:pPr>
              <w:spacing w:before="120" w:after="120" w:line="240" w:lineRule="atLeast"/>
              <w:ind w:left="0" w:firstLine="0"/>
              <w:rPr>
                <w:rFonts w:cs="Arial"/>
                <w:sz w:val="18"/>
                <w:szCs w:val="18"/>
              </w:rPr>
            </w:pPr>
            <w:r>
              <w:rPr>
                <w:noProof/>
                <w:sz w:val="18"/>
              </w:rPr>
              <w:t>Bordo libero minimo</w:t>
            </w:r>
          </w:p>
        </w:tc>
        <w:tc>
          <w:tcPr>
            <w:tcW w:w="6521" w:type="dxa"/>
            <w:shd w:val="clear" w:color="auto" w:fill="auto"/>
          </w:tcPr>
          <w:p w:rsidR="00E67DA4" w:rsidRPr="00C903F8" w:rsidRDefault="00E67DA4" w:rsidP="00C01A94">
            <w:pPr>
              <w:spacing w:before="120" w:after="120" w:line="240" w:lineRule="atLeast"/>
              <w:ind w:left="0" w:firstLine="0"/>
              <w:rPr>
                <w:rFonts w:cs="Arial"/>
                <w:sz w:val="18"/>
                <w:szCs w:val="18"/>
              </w:rPr>
            </w:pPr>
            <w:r>
              <w:rPr>
                <w:sz w:val="18"/>
              </w:rPr>
              <w:t>Rinnovo del certificato per la navigazione interna posteriormente al</w:t>
            </w:r>
          </w:p>
        </w:tc>
        <w:tc>
          <w:tcPr>
            <w:tcW w:w="1276" w:type="dxa"/>
            <w:shd w:val="clear" w:color="auto" w:fill="auto"/>
          </w:tcPr>
          <w:p w:rsidR="00E67DA4" w:rsidRPr="00C903F8" w:rsidRDefault="00E67DA4" w:rsidP="00C01A94">
            <w:pPr>
              <w:spacing w:before="120" w:after="120" w:line="240" w:lineRule="atLeast"/>
              <w:ind w:left="0" w:firstLine="0"/>
              <w:rPr>
                <w:rFonts w:cs="Arial"/>
                <w:sz w:val="18"/>
                <w:szCs w:val="18"/>
              </w:rPr>
            </w:pPr>
            <w:r>
              <w:rPr>
                <w:sz w:val="18"/>
              </w:rPr>
              <w:t>1.1.2015</w:t>
            </w:r>
          </w:p>
        </w:tc>
      </w:tr>
      <w:tr w:rsidR="00E67DA4" w:rsidRPr="00C903F8" w:rsidTr="00E67DA4">
        <w:trPr>
          <w:cantSplit/>
          <w:jc w:val="center"/>
        </w:trPr>
        <w:tc>
          <w:tcPr>
            <w:tcW w:w="6096" w:type="dxa"/>
            <w:gridSpan w:val="3"/>
            <w:shd w:val="clear" w:color="auto" w:fill="auto"/>
          </w:tcPr>
          <w:p w:rsidR="00E67DA4" w:rsidRPr="00C903F8" w:rsidRDefault="00E67DA4" w:rsidP="00C01A94">
            <w:pPr>
              <w:spacing w:before="100" w:after="100" w:line="240" w:lineRule="atLeast"/>
              <w:ind w:left="0" w:firstLine="0"/>
              <w:jc w:val="center"/>
              <w:rPr>
                <w:rFonts w:cs="Arial"/>
                <w:sz w:val="18"/>
                <w:szCs w:val="18"/>
              </w:rPr>
            </w:pPr>
            <w:r>
              <w:rPr>
                <w:b/>
                <w:sz w:val="18"/>
              </w:rPr>
              <w:t>CAPO 7</w:t>
            </w:r>
          </w:p>
        </w:tc>
        <w:tc>
          <w:tcPr>
            <w:tcW w:w="6521" w:type="dxa"/>
            <w:shd w:val="clear" w:color="auto" w:fill="auto"/>
          </w:tcPr>
          <w:p w:rsidR="00E67DA4" w:rsidRPr="00C903F8" w:rsidRDefault="00E67DA4" w:rsidP="00C01A94">
            <w:pPr>
              <w:spacing w:before="100" w:after="100" w:line="240" w:lineRule="atLeast"/>
              <w:ind w:left="0" w:firstLine="0"/>
              <w:rPr>
                <w:rFonts w:cs="Arial"/>
                <w:sz w:val="18"/>
                <w:szCs w:val="18"/>
              </w:rPr>
            </w:pPr>
          </w:p>
        </w:tc>
        <w:tc>
          <w:tcPr>
            <w:tcW w:w="1276" w:type="dxa"/>
            <w:shd w:val="clear" w:color="auto" w:fill="auto"/>
          </w:tcPr>
          <w:p w:rsidR="00E67DA4" w:rsidRPr="00C903F8" w:rsidRDefault="00E67DA4" w:rsidP="00C01A94">
            <w:pPr>
              <w:spacing w:before="100" w:after="100" w:line="240" w:lineRule="atLeast"/>
              <w:ind w:left="0" w:firstLine="0"/>
              <w:rPr>
                <w:rFonts w:cs="Arial"/>
                <w:sz w:val="18"/>
                <w:szCs w:val="18"/>
              </w:rPr>
            </w:pPr>
          </w:p>
        </w:tc>
      </w:tr>
      <w:tr w:rsidR="00E67DA4" w:rsidRPr="00C903F8" w:rsidTr="00E67DA4">
        <w:trPr>
          <w:cantSplit/>
          <w:jc w:val="center"/>
        </w:trPr>
        <w:tc>
          <w:tcPr>
            <w:tcW w:w="1342"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t>7.01</w:t>
            </w:r>
          </w:p>
        </w:tc>
        <w:tc>
          <w:tcPr>
            <w:tcW w:w="1458" w:type="dxa"/>
            <w:shd w:val="clear" w:color="auto" w:fill="auto"/>
          </w:tcPr>
          <w:p w:rsidR="00E67DA4" w:rsidRPr="00C903F8" w:rsidRDefault="000E732C" w:rsidP="00C01A94">
            <w:pPr>
              <w:spacing w:before="100" w:after="100" w:line="240" w:lineRule="atLeast"/>
              <w:ind w:left="0" w:firstLine="0"/>
              <w:rPr>
                <w:rFonts w:cs="Arial"/>
                <w:sz w:val="18"/>
                <w:szCs w:val="18"/>
              </w:rPr>
            </w:pPr>
            <w:r>
              <w:rPr>
                <w:sz w:val="18"/>
              </w:rPr>
              <w:t>paragrafo 2</w:t>
            </w:r>
            <w:r>
              <w:rPr>
                <w:color w:val="000000"/>
                <w:sz w:val="18"/>
                <w:vertAlign w:val="superscript"/>
              </w:rPr>
              <w:footnoteReference w:id="35"/>
            </w:r>
          </w:p>
        </w:tc>
        <w:tc>
          <w:tcPr>
            <w:tcW w:w="3296" w:type="dxa"/>
            <w:shd w:val="clear" w:color="auto" w:fill="auto"/>
          </w:tcPr>
          <w:p w:rsidR="00E67DA4" w:rsidRPr="00C903F8" w:rsidRDefault="00E67DA4" w:rsidP="00C01A94">
            <w:pPr>
              <w:spacing w:before="100" w:after="100" w:line="240" w:lineRule="atLeast"/>
              <w:ind w:left="0" w:firstLine="0"/>
              <w:rPr>
                <w:rFonts w:cs="Arial"/>
                <w:sz w:val="18"/>
                <w:szCs w:val="18"/>
              </w:rPr>
            </w:pPr>
            <w:r>
              <w:rPr>
                <w:noProof/>
                <w:sz w:val="18"/>
              </w:rPr>
              <w:t>Livello della pressione acustica del rumore prodotto dalla nave</w:t>
            </w:r>
          </w:p>
        </w:tc>
        <w:tc>
          <w:tcPr>
            <w:tcW w:w="6521" w:type="dxa"/>
            <w:shd w:val="clear" w:color="auto" w:fill="auto"/>
          </w:tcPr>
          <w:p w:rsidR="00E67DA4" w:rsidRPr="00C903F8" w:rsidRDefault="00AD3E75" w:rsidP="00C01A94">
            <w:pPr>
              <w:spacing w:before="100" w:after="100" w:line="240" w:lineRule="atLeast"/>
              <w:ind w:left="0" w:firstLine="0"/>
              <w:rPr>
                <w:rFonts w:cs="Arial"/>
                <w:sz w:val="18"/>
                <w:szCs w:val="18"/>
              </w:rPr>
            </w:pPr>
            <w:r>
              <w:rPr>
                <w:sz w:val="18"/>
              </w:rPr>
              <w:t>S.T., al più tardi alla data del rinnovo del certificato per la navigazione interna posteriormente al</w:t>
            </w:r>
          </w:p>
        </w:tc>
        <w:tc>
          <w:tcPr>
            <w:tcW w:w="1276"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t>1.1.2020</w:t>
            </w:r>
          </w:p>
        </w:tc>
      </w:tr>
      <w:tr w:rsidR="00E67DA4" w:rsidRPr="00C903F8" w:rsidTr="00E67DA4">
        <w:trPr>
          <w:cantSplit/>
          <w:jc w:val="center"/>
        </w:trPr>
        <w:tc>
          <w:tcPr>
            <w:tcW w:w="6096" w:type="dxa"/>
            <w:gridSpan w:val="3"/>
            <w:shd w:val="clear" w:color="auto" w:fill="auto"/>
          </w:tcPr>
          <w:p w:rsidR="00E67DA4" w:rsidRPr="00C903F8" w:rsidRDefault="00E67DA4" w:rsidP="00C01A94">
            <w:pPr>
              <w:spacing w:before="100" w:after="100" w:line="240" w:lineRule="atLeast"/>
              <w:ind w:left="0" w:firstLine="0"/>
              <w:jc w:val="center"/>
              <w:rPr>
                <w:rFonts w:cs="Arial"/>
                <w:sz w:val="18"/>
                <w:szCs w:val="18"/>
              </w:rPr>
            </w:pPr>
            <w:r>
              <w:rPr>
                <w:b/>
                <w:sz w:val="18"/>
              </w:rPr>
              <w:t>CAPO 8</w:t>
            </w:r>
          </w:p>
        </w:tc>
        <w:tc>
          <w:tcPr>
            <w:tcW w:w="6521" w:type="dxa"/>
            <w:shd w:val="clear" w:color="auto" w:fill="auto"/>
          </w:tcPr>
          <w:p w:rsidR="00E67DA4" w:rsidRPr="00C903F8" w:rsidRDefault="00E67DA4" w:rsidP="00C01A94">
            <w:pPr>
              <w:spacing w:before="100" w:after="100" w:line="240" w:lineRule="atLeast"/>
              <w:ind w:left="0" w:firstLine="0"/>
              <w:rPr>
                <w:rFonts w:cs="Arial"/>
                <w:sz w:val="18"/>
                <w:szCs w:val="18"/>
              </w:rPr>
            </w:pPr>
          </w:p>
        </w:tc>
        <w:tc>
          <w:tcPr>
            <w:tcW w:w="1276" w:type="dxa"/>
            <w:shd w:val="clear" w:color="auto" w:fill="auto"/>
          </w:tcPr>
          <w:p w:rsidR="00E67DA4" w:rsidRPr="00C903F8" w:rsidRDefault="00E67DA4" w:rsidP="00C01A94">
            <w:pPr>
              <w:spacing w:before="100" w:after="100" w:line="240" w:lineRule="atLeast"/>
              <w:ind w:left="0" w:firstLine="0"/>
              <w:rPr>
                <w:rFonts w:cs="Arial"/>
                <w:sz w:val="18"/>
                <w:szCs w:val="18"/>
              </w:rPr>
            </w:pPr>
          </w:p>
        </w:tc>
      </w:tr>
      <w:tr w:rsidR="00E67DA4" w:rsidRPr="00C903F8" w:rsidTr="00E67DA4">
        <w:trPr>
          <w:cantSplit/>
          <w:jc w:val="center"/>
        </w:trPr>
        <w:tc>
          <w:tcPr>
            <w:tcW w:w="1342"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t>8.08</w:t>
            </w:r>
          </w:p>
        </w:tc>
        <w:tc>
          <w:tcPr>
            <w:tcW w:w="1458"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t>paragrafi 3 e 4</w:t>
            </w:r>
          </w:p>
        </w:tc>
        <w:tc>
          <w:tcPr>
            <w:tcW w:w="3296" w:type="dxa"/>
            <w:shd w:val="clear" w:color="auto" w:fill="auto"/>
          </w:tcPr>
          <w:p w:rsidR="00E67DA4" w:rsidRPr="00C903F8" w:rsidRDefault="00E67DA4" w:rsidP="00C01A94">
            <w:pPr>
              <w:spacing w:before="100" w:after="100" w:line="240" w:lineRule="atLeast"/>
              <w:ind w:left="0" w:firstLine="0"/>
              <w:rPr>
                <w:rFonts w:cs="Arial"/>
                <w:sz w:val="18"/>
                <w:szCs w:val="18"/>
              </w:rPr>
            </w:pPr>
            <w:r>
              <w:rPr>
                <w:noProof/>
                <w:sz w:val="18"/>
              </w:rPr>
              <w:t>Portata minima e diametro interno dei tubi di prosciugamento</w:t>
            </w:r>
          </w:p>
        </w:tc>
        <w:tc>
          <w:tcPr>
            <w:tcW w:w="6521"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t>Rinnovo del certificato per la navigazione interna posteriormente al</w:t>
            </w:r>
          </w:p>
        </w:tc>
        <w:tc>
          <w:tcPr>
            <w:tcW w:w="1276"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t>1.1.2015</w:t>
            </w:r>
          </w:p>
        </w:tc>
      </w:tr>
      <w:tr w:rsidR="00E67DA4" w:rsidRPr="00C903F8" w:rsidTr="00E67DA4">
        <w:trPr>
          <w:cantSplit/>
          <w:jc w:val="center"/>
        </w:trPr>
        <w:tc>
          <w:tcPr>
            <w:tcW w:w="1342"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t>8.10</w:t>
            </w:r>
          </w:p>
        </w:tc>
        <w:tc>
          <w:tcPr>
            <w:tcW w:w="1458" w:type="dxa"/>
            <w:shd w:val="clear" w:color="auto" w:fill="auto"/>
          </w:tcPr>
          <w:p w:rsidR="00E67DA4" w:rsidRPr="00C903F8" w:rsidRDefault="000E732C" w:rsidP="00C01A94">
            <w:pPr>
              <w:spacing w:before="100" w:after="100" w:line="240" w:lineRule="atLeast"/>
              <w:ind w:left="0" w:firstLine="0"/>
              <w:rPr>
                <w:rFonts w:cs="Arial"/>
                <w:sz w:val="18"/>
                <w:szCs w:val="18"/>
              </w:rPr>
            </w:pPr>
            <w:r>
              <w:rPr>
                <w:sz w:val="18"/>
              </w:rPr>
              <w:t>paragrafo 2</w:t>
            </w:r>
            <w:r>
              <w:rPr>
                <w:color w:val="000000"/>
                <w:sz w:val="18"/>
                <w:vertAlign w:val="superscript"/>
              </w:rPr>
              <w:footnoteReference w:id="36"/>
            </w:r>
          </w:p>
        </w:tc>
        <w:tc>
          <w:tcPr>
            <w:tcW w:w="3296" w:type="dxa"/>
            <w:shd w:val="clear" w:color="auto" w:fill="auto"/>
          </w:tcPr>
          <w:p w:rsidR="00E67DA4" w:rsidRPr="00C903F8" w:rsidRDefault="00E67DA4" w:rsidP="00C01A94">
            <w:pPr>
              <w:spacing w:before="100" w:after="100" w:line="240" w:lineRule="atLeast"/>
              <w:ind w:left="0" w:firstLine="0"/>
              <w:rPr>
                <w:rFonts w:cs="Arial"/>
                <w:sz w:val="18"/>
                <w:szCs w:val="18"/>
              </w:rPr>
            </w:pPr>
            <w:r>
              <w:rPr>
                <w:noProof/>
                <w:sz w:val="18"/>
              </w:rPr>
              <w:t>Rumore prodotto dalla nave in navigazione</w:t>
            </w:r>
          </w:p>
        </w:tc>
        <w:tc>
          <w:tcPr>
            <w:tcW w:w="6521" w:type="dxa"/>
            <w:shd w:val="clear" w:color="auto" w:fill="auto"/>
          </w:tcPr>
          <w:p w:rsidR="00E67DA4" w:rsidRPr="00C903F8" w:rsidRDefault="00AD3E75" w:rsidP="00C01A94">
            <w:pPr>
              <w:spacing w:before="100" w:after="100" w:line="240" w:lineRule="atLeast"/>
              <w:ind w:left="0" w:firstLine="0"/>
              <w:rPr>
                <w:rFonts w:cs="Arial"/>
                <w:sz w:val="18"/>
                <w:szCs w:val="18"/>
              </w:rPr>
            </w:pPr>
            <w:r>
              <w:rPr>
                <w:sz w:val="18"/>
              </w:rPr>
              <w:t>S.T., al più tardi alla data del rinnovo del certificato per la navigazione interna posteriormente al</w:t>
            </w:r>
          </w:p>
        </w:tc>
        <w:tc>
          <w:tcPr>
            <w:tcW w:w="1276"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t>1.1.2020</w:t>
            </w:r>
          </w:p>
        </w:tc>
      </w:tr>
      <w:tr w:rsidR="00E67DA4" w:rsidRPr="00C903F8" w:rsidTr="00E67DA4">
        <w:trPr>
          <w:cantSplit/>
          <w:jc w:val="center"/>
        </w:trPr>
        <w:tc>
          <w:tcPr>
            <w:tcW w:w="6096" w:type="dxa"/>
            <w:gridSpan w:val="3"/>
            <w:shd w:val="clear" w:color="auto" w:fill="auto"/>
          </w:tcPr>
          <w:p w:rsidR="00E67DA4" w:rsidRPr="00C903F8" w:rsidRDefault="00E67DA4" w:rsidP="00C01A94">
            <w:pPr>
              <w:spacing w:before="100" w:after="100" w:line="240" w:lineRule="atLeast"/>
              <w:ind w:left="0" w:firstLine="0"/>
              <w:jc w:val="center"/>
              <w:rPr>
                <w:rFonts w:cs="Arial"/>
                <w:sz w:val="18"/>
                <w:szCs w:val="18"/>
              </w:rPr>
            </w:pPr>
            <w:r>
              <w:rPr>
                <w:b/>
                <w:sz w:val="18"/>
              </w:rPr>
              <w:t>CAPO 10</w:t>
            </w:r>
          </w:p>
        </w:tc>
        <w:tc>
          <w:tcPr>
            <w:tcW w:w="6521" w:type="dxa"/>
            <w:shd w:val="clear" w:color="auto" w:fill="auto"/>
          </w:tcPr>
          <w:p w:rsidR="00E67DA4" w:rsidRPr="00C903F8" w:rsidRDefault="00E67DA4" w:rsidP="00C01A94">
            <w:pPr>
              <w:spacing w:before="100" w:after="100" w:line="240" w:lineRule="atLeast"/>
              <w:ind w:left="0" w:firstLine="0"/>
              <w:rPr>
                <w:rFonts w:cs="Arial"/>
                <w:sz w:val="18"/>
                <w:szCs w:val="18"/>
              </w:rPr>
            </w:pPr>
          </w:p>
        </w:tc>
        <w:tc>
          <w:tcPr>
            <w:tcW w:w="1276" w:type="dxa"/>
            <w:shd w:val="clear" w:color="auto" w:fill="auto"/>
          </w:tcPr>
          <w:p w:rsidR="00E67DA4" w:rsidRPr="00C903F8" w:rsidRDefault="00E67DA4" w:rsidP="00C01A94">
            <w:pPr>
              <w:spacing w:before="100" w:after="100" w:line="240" w:lineRule="atLeast"/>
              <w:ind w:left="0" w:firstLine="0"/>
              <w:rPr>
                <w:rFonts w:cs="Arial"/>
                <w:sz w:val="18"/>
                <w:szCs w:val="18"/>
              </w:rPr>
            </w:pPr>
          </w:p>
        </w:tc>
      </w:tr>
      <w:tr w:rsidR="00E67DA4" w:rsidRPr="000E732C" w:rsidTr="00E67DA4">
        <w:trPr>
          <w:cantSplit/>
          <w:jc w:val="center"/>
        </w:trPr>
        <w:tc>
          <w:tcPr>
            <w:tcW w:w="1342" w:type="dxa"/>
            <w:shd w:val="clear" w:color="auto" w:fill="auto"/>
          </w:tcPr>
          <w:p w:rsidR="00E67DA4" w:rsidRPr="00C903F8" w:rsidRDefault="000E732C" w:rsidP="00C01A94">
            <w:pPr>
              <w:spacing w:before="100" w:after="100" w:line="240" w:lineRule="atLeast"/>
              <w:ind w:left="0" w:firstLine="0"/>
              <w:rPr>
                <w:rFonts w:cs="Arial"/>
                <w:sz w:val="18"/>
                <w:szCs w:val="18"/>
              </w:rPr>
            </w:pPr>
            <w:r>
              <w:rPr>
                <w:sz w:val="18"/>
              </w:rPr>
              <w:t>10.01</w:t>
            </w:r>
            <w:r>
              <w:rPr>
                <w:color w:val="000000"/>
                <w:sz w:val="18"/>
                <w:vertAlign w:val="superscript"/>
              </w:rPr>
              <w:footnoteReference w:id="37"/>
            </w:r>
          </w:p>
        </w:tc>
        <w:tc>
          <w:tcPr>
            <w:tcW w:w="1458" w:type="dxa"/>
            <w:shd w:val="clear" w:color="auto" w:fill="auto"/>
          </w:tcPr>
          <w:p w:rsidR="00E67DA4" w:rsidRPr="000E732C" w:rsidRDefault="009B46F3" w:rsidP="00C01A94">
            <w:pPr>
              <w:spacing w:before="100" w:after="100" w:line="240" w:lineRule="atLeast"/>
              <w:ind w:left="0" w:firstLine="0"/>
              <w:jc w:val="left"/>
              <w:rPr>
                <w:rFonts w:cs="Arial"/>
                <w:sz w:val="18"/>
                <w:szCs w:val="18"/>
              </w:rPr>
            </w:pPr>
            <w:r>
              <w:rPr>
                <w:sz w:val="18"/>
              </w:rPr>
              <w:t xml:space="preserve">paragrafo 1 </w:t>
            </w:r>
            <w:r>
              <w:rPr>
                <w:rFonts w:cs="Arial"/>
                <w:sz w:val="18"/>
                <w:szCs w:val="18"/>
              </w:rPr>
              <w:br/>
            </w:r>
            <w:r>
              <w:rPr>
                <w:sz w:val="18"/>
              </w:rPr>
              <w:t xml:space="preserve">prima frase; </w:t>
            </w:r>
            <w:r>
              <w:rPr>
                <w:rFonts w:cs="Arial"/>
                <w:sz w:val="18"/>
                <w:szCs w:val="18"/>
              </w:rPr>
              <w:br/>
            </w:r>
            <w:r>
              <w:rPr>
                <w:sz w:val="18"/>
              </w:rPr>
              <w:t>paragrafi da 2 a 4</w:t>
            </w:r>
          </w:p>
        </w:tc>
        <w:tc>
          <w:tcPr>
            <w:tcW w:w="3296" w:type="dxa"/>
            <w:shd w:val="clear" w:color="auto" w:fill="auto"/>
          </w:tcPr>
          <w:p w:rsidR="00E67DA4" w:rsidRPr="000E732C" w:rsidRDefault="00E67DA4" w:rsidP="00C01A94">
            <w:pPr>
              <w:spacing w:before="100" w:after="100" w:line="240" w:lineRule="atLeast"/>
              <w:ind w:left="0" w:firstLine="0"/>
              <w:rPr>
                <w:rFonts w:cs="Arial"/>
                <w:sz w:val="18"/>
                <w:szCs w:val="18"/>
              </w:rPr>
            </w:pPr>
            <w:r>
              <w:rPr>
                <w:sz w:val="18"/>
              </w:rPr>
              <w:t>Requisiti degli impianti elettrici</w:t>
            </w:r>
          </w:p>
        </w:tc>
        <w:tc>
          <w:tcPr>
            <w:tcW w:w="6521" w:type="dxa"/>
            <w:shd w:val="clear" w:color="auto" w:fill="auto"/>
          </w:tcPr>
          <w:p w:rsidR="00E67DA4" w:rsidRPr="00C903F8" w:rsidRDefault="00AD3E75" w:rsidP="00C01A94">
            <w:pPr>
              <w:spacing w:before="100" w:after="100" w:line="240" w:lineRule="atLeast"/>
              <w:ind w:left="0" w:firstLine="0"/>
              <w:rPr>
                <w:rFonts w:cs="Arial"/>
                <w:sz w:val="18"/>
                <w:szCs w:val="18"/>
              </w:rPr>
            </w:pPr>
            <w:r>
              <w:rPr>
                <w:sz w:val="18"/>
              </w:rPr>
              <w:t>S.T., al più tardi alla data del rinnovo del certificato per la navigazione interna posteriormente al</w:t>
            </w:r>
          </w:p>
        </w:tc>
        <w:tc>
          <w:tcPr>
            <w:tcW w:w="1276" w:type="dxa"/>
            <w:shd w:val="clear" w:color="auto" w:fill="auto"/>
          </w:tcPr>
          <w:p w:rsidR="00E67DA4" w:rsidRPr="000E732C" w:rsidRDefault="00E67DA4" w:rsidP="00C01A94">
            <w:pPr>
              <w:spacing w:before="100" w:after="100" w:line="240" w:lineRule="atLeast"/>
              <w:ind w:left="0" w:firstLine="0"/>
              <w:rPr>
                <w:rFonts w:cs="Arial"/>
                <w:sz w:val="18"/>
                <w:szCs w:val="18"/>
              </w:rPr>
            </w:pPr>
            <w:r>
              <w:rPr>
                <w:sz w:val="18"/>
              </w:rPr>
              <w:t>1.1.2020</w:t>
            </w:r>
          </w:p>
        </w:tc>
      </w:tr>
      <w:tr w:rsidR="00E67DA4" w:rsidRPr="00C903F8" w:rsidTr="00E67DA4">
        <w:trPr>
          <w:cantSplit/>
          <w:jc w:val="center"/>
        </w:trPr>
        <w:tc>
          <w:tcPr>
            <w:tcW w:w="1342"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t>10.03</w:t>
            </w:r>
          </w:p>
        </w:tc>
        <w:tc>
          <w:tcPr>
            <w:tcW w:w="1458" w:type="dxa"/>
            <w:shd w:val="clear" w:color="auto" w:fill="auto"/>
          </w:tcPr>
          <w:p w:rsidR="00E67DA4" w:rsidRPr="00C903F8" w:rsidRDefault="00E67DA4" w:rsidP="00C01A94">
            <w:pPr>
              <w:spacing w:before="100" w:after="100" w:line="240" w:lineRule="atLeast"/>
              <w:ind w:left="0" w:firstLine="0"/>
              <w:rPr>
                <w:rFonts w:cs="Arial"/>
                <w:sz w:val="18"/>
                <w:szCs w:val="18"/>
              </w:rPr>
            </w:pPr>
          </w:p>
        </w:tc>
        <w:tc>
          <w:tcPr>
            <w:tcW w:w="3296"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t>Protezione contro i contatti accidentali, la penetrazione di corpi solidi e di acqua</w:t>
            </w:r>
          </w:p>
        </w:tc>
        <w:tc>
          <w:tcPr>
            <w:tcW w:w="6521" w:type="dxa"/>
            <w:shd w:val="clear" w:color="auto" w:fill="auto"/>
          </w:tcPr>
          <w:p w:rsidR="00E67DA4" w:rsidRPr="00C903F8" w:rsidRDefault="00AD3E75" w:rsidP="00C01A94">
            <w:pPr>
              <w:spacing w:before="100" w:after="100" w:line="240" w:lineRule="atLeast"/>
              <w:ind w:left="0" w:firstLine="0"/>
              <w:rPr>
                <w:rFonts w:cs="Arial"/>
                <w:sz w:val="18"/>
                <w:szCs w:val="18"/>
              </w:rPr>
            </w:pPr>
            <w:r>
              <w:rPr>
                <w:sz w:val="18"/>
              </w:rPr>
              <w:t>S.T., al più tardi alla data del rinnovo del certificato per la navigazione interna posteriormente al</w:t>
            </w:r>
          </w:p>
        </w:tc>
        <w:tc>
          <w:tcPr>
            <w:tcW w:w="1276"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t>1.1.2015</w:t>
            </w:r>
          </w:p>
        </w:tc>
      </w:tr>
      <w:tr w:rsidR="00E67DA4" w:rsidRPr="00C903F8" w:rsidTr="00E67DA4">
        <w:trPr>
          <w:cantSplit/>
          <w:jc w:val="center"/>
        </w:trPr>
        <w:tc>
          <w:tcPr>
            <w:tcW w:w="1342"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t>10.06</w:t>
            </w:r>
          </w:p>
        </w:tc>
        <w:tc>
          <w:tcPr>
            <w:tcW w:w="1458" w:type="dxa"/>
            <w:shd w:val="clear" w:color="auto" w:fill="auto"/>
          </w:tcPr>
          <w:p w:rsidR="00E67DA4" w:rsidRPr="00C903F8" w:rsidRDefault="00E67DA4" w:rsidP="00C01A94">
            <w:pPr>
              <w:spacing w:before="100" w:after="100" w:line="240" w:lineRule="atLeast"/>
              <w:ind w:left="0" w:firstLine="0"/>
              <w:rPr>
                <w:rFonts w:cs="Arial"/>
                <w:sz w:val="18"/>
                <w:szCs w:val="18"/>
              </w:rPr>
            </w:pPr>
          </w:p>
        </w:tc>
        <w:tc>
          <w:tcPr>
            <w:tcW w:w="3296"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t>Tensioni massime ammissibili</w:t>
            </w:r>
          </w:p>
        </w:tc>
        <w:tc>
          <w:tcPr>
            <w:tcW w:w="6521" w:type="dxa"/>
            <w:shd w:val="clear" w:color="auto" w:fill="auto"/>
          </w:tcPr>
          <w:p w:rsidR="00E67DA4" w:rsidRPr="00C903F8" w:rsidRDefault="00AD3E75" w:rsidP="00C01A94">
            <w:pPr>
              <w:spacing w:before="100" w:after="100" w:line="240" w:lineRule="atLeast"/>
              <w:ind w:left="0" w:firstLine="0"/>
              <w:rPr>
                <w:rFonts w:cs="Arial"/>
                <w:sz w:val="18"/>
                <w:szCs w:val="18"/>
              </w:rPr>
            </w:pPr>
            <w:r>
              <w:rPr>
                <w:sz w:val="18"/>
              </w:rPr>
              <w:t>S.T., al più tardi alla data del rinnovo del certificato per la navigazione interna posteriormente al</w:t>
            </w:r>
          </w:p>
        </w:tc>
        <w:tc>
          <w:tcPr>
            <w:tcW w:w="1276"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t>1.1.2015</w:t>
            </w:r>
          </w:p>
        </w:tc>
      </w:tr>
      <w:tr w:rsidR="00E67DA4" w:rsidRPr="00C903F8" w:rsidTr="00E67DA4">
        <w:trPr>
          <w:cantSplit/>
          <w:jc w:val="center"/>
        </w:trPr>
        <w:tc>
          <w:tcPr>
            <w:tcW w:w="1342"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lastRenderedPageBreak/>
              <w:t>10.10</w:t>
            </w:r>
          </w:p>
        </w:tc>
        <w:tc>
          <w:tcPr>
            <w:tcW w:w="1458" w:type="dxa"/>
            <w:shd w:val="clear" w:color="auto" w:fill="auto"/>
          </w:tcPr>
          <w:p w:rsidR="00E67DA4" w:rsidRPr="00C903F8" w:rsidRDefault="00E67DA4" w:rsidP="00C01A94">
            <w:pPr>
              <w:spacing w:before="100" w:after="100" w:line="240" w:lineRule="atLeast"/>
              <w:ind w:left="0" w:firstLine="0"/>
              <w:rPr>
                <w:rFonts w:cs="Arial"/>
                <w:sz w:val="18"/>
                <w:szCs w:val="18"/>
              </w:rPr>
            </w:pPr>
          </w:p>
        </w:tc>
        <w:tc>
          <w:tcPr>
            <w:tcW w:w="3296" w:type="dxa"/>
            <w:shd w:val="clear" w:color="auto" w:fill="auto"/>
          </w:tcPr>
          <w:p w:rsidR="00E67DA4" w:rsidRPr="00C903F8" w:rsidRDefault="00AC3F9A" w:rsidP="00C01A94">
            <w:pPr>
              <w:spacing w:before="100" w:after="100" w:line="240" w:lineRule="atLeast"/>
              <w:ind w:left="0" w:firstLine="0"/>
              <w:rPr>
                <w:rFonts w:cs="Arial"/>
                <w:sz w:val="18"/>
                <w:szCs w:val="18"/>
              </w:rPr>
            </w:pPr>
            <w:r>
              <w:rPr>
                <w:sz w:val="18"/>
              </w:rPr>
              <w:t>Generatori, motori e trasformatori</w:t>
            </w:r>
          </w:p>
        </w:tc>
        <w:tc>
          <w:tcPr>
            <w:tcW w:w="6521" w:type="dxa"/>
            <w:shd w:val="clear" w:color="auto" w:fill="auto"/>
          </w:tcPr>
          <w:p w:rsidR="00E67DA4" w:rsidRPr="00C903F8" w:rsidRDefault="00AD3E75" w:rsidP="00C01A94">
            <w:pPr>
              <w:spacing w:before="100" w:after="100" w:line="240" w:lineRule="atLeast"/>
              <w:ind w:left="0" w:firstLine="0"/>
              <w:rPr>
                <w:rFonts w:cs="Arial"/>
                <w:sz w:val="18"/>
                <w:szCs w:val="18"/>
              </w:rPr>
            </w:pPr>
            <w:r>
              <w:rPr>
                <w:sz w:val="18"/>
              </w:rPr>
              <w:t>S.T., al più tardi alla data del rinnovo del certificato per la navigazione interna posteriormente al</w:t>
            </w:r>
          </w:p>
        </w:tc>
        <w:tc>
          <w:tcPr>
            <w:tcW w:w="1276"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t>1.1.2015</w:t>
            </w:r>
          </w:p>
        </w:tc>
      </w:tr>
      <w:tr w:rsidR="00E67DA4" w:rsidRPr="00C903F8" w:rsidTr="00E67DA4">
        <w:trPr>
          <w:cantSplit/>
          <w:jc w:val="center"/>
        </w:trPr>
        <w:tc>
          <w:tcPr>
            <w:tcW w:w="1342"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t>10.11</w:t>
            </w:r>
          </w:p>
        </w:tc>
        <w:tc>
          <w:tcPr>
            <w:tcW w:w="1458"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t>paragrafo 2</w:t>
            </w:r>
          </w:p>
        </w:tc>
        <w:tc>
          <w:tcPr>
            <w:tcW w:w="3296" w:type="dxa"/>
            <w:shd w:val="clear" w:color="auto" w:fill="auto"/>
          </w:tcPr>
          <w:p w:rsidR="00E67DA4" w:rsidRPr="00C903F8" w:rsidRDefault="00E67DA4" w:rsidP="00C01A94">
            <w:pPr>
              <w:spacing w:before="100" w:after="100" w:line="240" w:lineRule="atLeast"/>
              <w:ind w:left="0" w:firstLine="0"/>
              <w:rPr>
                <w:rFonts w:cs="Arial"/>
                <w:sz w:val="18"/>
                <w:szCs w:val="18"/>
              </w:rPr>
            </w:pPr>
            <w:r>
              <w:rPr>
                <w:noProof/>
                <w:sz w:val="18"/>
              </w:rPr>
              <w:t>Installazione degli accumulatori</w:t>
            </w:r>
          </w:p>
        </w:tc>
        <w:tc>
          <w:tcPr>
            <w:tcW w:w="6521" w:type="dxa"/>
            <w:shd w:val="clear" w:color="auto" w:fill="auto"/>
          </w:tcPr>
          <w:p w:rsidR="00E67DA4" w:rsidRPr="00C903F8" w:rsidRDefault="00AD3E75" w:rsidP="00C01A94">
            <w:pPr>
              <w:spacing w:before="100" w:after="100" w:line="240" w:lineRule="atLeast"/>
              <w:ind w:left="0" w:firstLine="0"/>
              <w:rPr>
                <w:rFonts w:cs="Arial"/>
                <w:sz w:val="18"/>
                <w:szCs w:val="18"/>
              </w:rPr>
            </w:pPr>
            <w:r>
              <w:rPr>
                <w:sz w:val="18"/>
              </w:rPr>
              <w:t>S.T., al più tardi alla data del rinnovo del certificato per la navigazione interna posteriormente al</w:t>
            </w:r>
          </w:p>
        </w:tc>
        <w:tc>
          <w:tcPr>
            <w:tcW w:w="1276"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t>1.1.2015</w:t>
            </w:r>
          </w:p>
        </w:tc>
      </w:tr>
      <w:tr w:rsidR="00E67DA4" w:rsidRPr="00C903F8" w:rsidTr="00E67DA4">
        <w:trPr>
          <w:cantSplit/>
          <w:jc w:val="center"/>
        </w:trPr>
        <w:tc>
          <w:tcPr>
            <w:tcW w:w="1342"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t>10.12</w:t>
            </w:r>
          </w:p>
        </w:tc>
        <w:tc>
          <w:tcPr>
            <w:tcW w:w="1458" w:type="dxa"/>
            <w:shd w:val="clear" w:color="auto" w:fill="auto"/>
          </w:tcPr>
          <w:p w:rsidR="00E67DA4" w:rsidRPr="00C903F8" w:rsidRDefault="00E67DA4" w:rsidP="00C01A94">
            <w:pPr>
              <w:spacing w:before="100" w:after="100" w:line="240" w:lineRule="atLeast"/>
              <w:ind w:left="0" w:firstLine="0"/>
              <w:rPr>
                <w:rFonts w:cs="Arial"/>
                <w:sz w:val="18"/>
                <w:szCs w:val="18"/>
              </w:rPr>
            </w:pPr>
          </w:p>
        </w:tc>
        <w:tc>
          <w:tcPr>
            <w:tcW w:w="3296" w:type="dxa"/>
            <w:shd w:val="clear" w:color="auto" w:fill="auto"/>
          </w:tcPr>
          <w:p w:rsidR="00E67DA4" w:rsidRPr="00C903F8" w:rsidRDefault="000B4123" w:rsidP="00C01A94">
            <w:pPr>
              <w:spacing w:before="100" w:after="100" w:line="240" w:lineRule="atLeast"/>
              <w:ind w:left="0" w:firstLine="0"/>
              <w:rPr>
                <w:rFonts w:cs="Arial"/>
                <w:sz w:val="18"/>
                <w:szCs w:val="18"/>
              </w:rPr>
            </w:pPr>
            <w:r>
              <w:rPr>
                <w:sz w:val="18"/>
              </w:rPr>
              <w:t>Apparecchi di manovra e di comando</w:t>
            </w:r>
          </w:p>
        </w:tc>
        <w:tc>
          <w:tcPr>
            <w:tcW w:w="6521" w:type="dxa"/>
            <w:shd w:val="clear" w:color="auto" w:fill="auto"/>
          </w:tcPr>
          <w:p w:rsidR="00E67DA4" w:rsidRPr="00C903F8" w:rsidRDefault="00AD3E75" w:rsidP="00C01A94">
            <w:pPr>
              <w:spacing w:before="100" w:after="100" w:line="240" w:lineRule="atLeast"/>
              <w:ind w:left="0" w:firstLine="0"/>
              <w:rPr>
                <w:rFonts w:cs="Arial"/>
                <w:sz w:val="18"/>
                <w:szCs w:val="18"/>
              </w:rPr>
            </w:pPr>
            <w:r>
              <w:rPr>
                <w:sz w:val="18"/>
              </w:rPr>
              <w:t>S.T., al più tardi alla data del rinnovo del certificato per la navigazione interna posteriormente al</w:t>
            </w:r>
          </w:p>
        </w:tc>
        <w:tc>
          <w:tcPr>
            <w:tcW w:w="1276" w:type="dxa"/>
            <w:shd w:val="clear" w:color="auto" w:fill="auto"/>
          </w:tcPr>
          <w:p w:rsidR="00E67DA4" w:rsidRPr="00C903F8" w:rsidRDefault="00E67DA4" w:rsidP="00C01A94">
            <w:pPr>
              <w:spacing w:before="100" w:after="100" w:line="240" w:lineRule="atLeast"/>
              <w:ind w:left="0" w:firstLine="0"/>
              <w:rPr>
                <w:rFonts w:cs="Arial"/>
                <w:sz w:val="18"/>
                <w:szCs w:val="18"/>
              </w:rPr>
            </w:pPr>
            <w:r>
              <w:rPr>
                <w:sz w:val="18"/>
              </w:rPr>
              <w:t>1.1.2015</w:t>
            </w:r>
          </w:p>
        </w:tc>
      </w:tr>
      <w:tr w:rsidR="00E67DA4" w:rsidRPr="00C903F8" w:rsidTr="00E67DA4">
        <w:trPr>
          <w:cantSplit/>
          <w:jc w:val="center"/>
        </w:trPr>
        <w:tc>
          <w:tcPr>
            <w:tcW w:w="1342"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10.14</w:t>
            </w:r>
          </w:p>
        </w:tc>
        <w:tc>
          <w:tcPr>
            <w:tcW w:w="1458" w:type="dxa"/>
            <w:shd w:val="clear" w:color="auto" w:fill="auto"/>
          </w:tcPr>
          <w:p w:rsidR="00E67DA4" w:rsidRPr="00C903F8" w:rsidRDefault="00E67DA4" w:rsidP="00C01A94">
            <w:pPr>
              <w:spacing w:before="60" w:after="60" w:line="240" w:lineRule="atLeast"/>
              <w:ind w:left="0" w:firstLine="0"/>
              <w:rPr>
                <w:rFonts w:cs="Arial"/>
                <w:sz w:val="18"/>
                <w:szCs w:val="18"/>
              </w:rPr>
            </w:pPr>
          </w:p>
        </w:tc>
        <w:tc>
          <w:tcPr>
            <w:tcW w:w="3296"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Accessori</w:t>
            </w:r>
          </w:p>
        </w:tc>
        <w:tc>
          <w:tcPr>
            <w:tcW w:w="6521" w:type="dxa"/>
            <w:shd w:val="clear" w:color="auto" w:fill="auto"/>
          </w:tcPr>
          <w:p w:rsidR="00E67DA4" w:rsidRPr="00C903F8" w:rsidRDefault="00AD3E75" w:rsidP="00C01A94">
            <w:pPr>
              <w:spacing w:before="60" w:after="60" w:line="240" w:lineRule="atLeast"/>
              <w:ind w:left="0" w:firstLine="0"/>
              <w:rPr>
                <w:rFonts w:cs="Arial"/>
                <w:sz w:val="18"/>
                <w:szCs w:val="18"/>
              </w:rPr>
            </w:pPr>
            <w:r>
              <w:rPr>
                <w:sz w:val="18"/>
              </w:rPr>
              <w:t>S.T., al più tardi alla data del rinnovo del certificato per la navigazione interna posteriormente al</w:t>
            </w:r>
          </w:p>
        </w:tc>
        <w:tc>
          <w:tcPr>
            <w:tcW w:w="1276"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1.1.2015</w:t>
            </w:r>
          </w:p>
        </w:tc>
      </w:tr>
      <w:tr w:rsidR="00E67DA4" w:rsidRPr="00C903F8" w:rsidTr="00E67DA4">
        <w:trPr>
          <w:cantSplit/>
          <w:jc w:val="center"/>
        </w:trPr>
        <w:tc>
          <w:tcPr>
            <w:tcW w:w="1342"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10.15</w:t>
            </w:r>
          </w:p>
        </w:tc>
        <w:tc>
          <w:tcPr>
            <w:tcW w:w="1458" w:type="dxa"/>
            <w:shd w:val="clear" w:color="auto" w:fill="auto"/>
          </w:tcPr>
          <w:p w:rsidR="00E67DA4" w:rsidRPr="00C903F8" w:rsidRDefault="00E67DA4" w:rsidP="00C01A94">
            <w:pPr>
              <w:spacing w:before="60" w:after="60" w:line="240" w:lineRule="atLeast"/>
              <w:ind w:left="0" w:firstLine="0"/>
              <w:rPr>
                <w:rFonts w:cs="Arial"/>
                <w:sz w:val="18"/>
                <w:szCs w:val="18"/>
              </w:rPr>
            </w:pPr>
          </w:p>
        </w:tc>
        <w:tc>
          <w:tcPr>
            <w:tcW w:w="3296"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Cavi</w:t>
            </w:r>
          </w:p>
        </w:tc>
        <w:tc>
          <w:tcPr>
            <w:tcW w:w="6521" w:type="dxa"/>
            <w:shd w:val="clear" w:color="auto" w:fill="auto"/>
          </w:tcPr>
          <w:p w:rsidR="00E67DA4" w:rsidRPr="00C903F8" w:rsidRDefault="00AD3E75" w:rsidP="00C01A94">
            <w:pPr>
              <w:spacing w:before="60" w:after="60" w:line="240" w:lineRule="atLeast"/>
              <w:ind w:left="0" w:firstLine="0"/>
              <w:rPr>
                <w:rFonts w:cs="Arial"/>
                <w:sz w:val="18"/>
                <w:szCs w:val="18"/>
              </w:rPr>
            </w:pPr>
            <w:r>
              <w:rPr>
                <w:sz w:val="18"/>
              </w:rPr>
              <w:t>S.T., al più tardi alla data del rinnovo del certificato per la navigazione interna posteriormente al</w:t>
            </w:r>
          </w:p>
        </w:tc>
        <w:tc>
          <w:tcPr>
            <w:tcW w:w="1276"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1.1.2015</w:t>
            </w:r>
          </w:p>
        </w:tc>
      </w:tr>
      <w:tr w:rsidR="00E67DA4" w:rsidRPr="00C903F8" w:rsidTr="00E67DA4">
        <w:trPr>
          <w:cantSplit/>
          <w:jc w:val="center"/>
        </w:trPr>
        <w:tc>
          <w:tcPr>
            <w:tcW w:w="1342"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10.17</w:t>
            </w:r>
          </w:p>
        </w:tc>
        <w:tc>
          <w:tcPr>
            <w:tcW w:w="1458" w:type="dxa"/>
            <w:shd w:val="clear" w:color="auto" w:fill="auto"/>
          </w:tcPr>
          <w:p w:rsidR="00E67DA4" w:rsidRPr="00C903F8" w:rsidRDefault="00E67DA4" w:rsidP="00C01A94">
            <w:pPr>
              <w:spacing w:before="60" w:after="60" w:line="240" w:lineRule="atLeast"/>
              <w:ind w:left="0" w:firstLine="0"/>
              <w:rPr>
                <w:rFonts w:cs="Arial"/>
                <w:sz w:val="18"/>
                <w:szCs w:val="18"/>
              </w:rPr>
            </w:pPr>
          </w:p>
        </w:tc>
        <w:tc>
          <w:tcPr>
            <w:tcW w:w="3296"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Luci di navigazione</w:t>
            </w:r>
          </w:p>
        </w:tc>
        <w:tc>
          <w:tcPr>
            <w:tcW w:w="6521" w:type="dxa"/>
            <w:shd w:val="clear" w:color="auto" w:fill="auto"/>
          </w:tcPr>
          <w:p w:rsidR="00E67DA4" w:rsidRPr="00C903F8" w:rsidRDefault="00AD3E75" w:rsidP="00C01A94">
            <w:pPr>
              <w:spacing w:before="60" w:after="60" w:line="240" w:lineRule="atLeast"/>
              <w:ind w:left="0" w:firstLine="0"/>
              <w:rPr>
                <w:rFonts w:cs="Arial"/>
                <w:sz w:val="18"/>
                <w:szCs w:val="18"/>
              </w:rPr>
            </w:pPr>
            <w:r>
              <w:rPr>
                <w:sz w:val="18"/>
              </w:rPr>
              <w:t>S.T., al più tardi alla data del rinnovo del certificato per la navigazione interna posteriormente al</w:t>
            </w:r>
          </w:p>
        </w:tc>
        <w:tc>
          <w:tcPr>
            <w:tcW w:w="1276"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1.1.2015</w:t>
            </w:r>
          </w:p>
        </w:tc>
      </w:tr>
      <w:tr w:rsidR="00E67DA4" w:rsidRPr="00C903F8" w:rsidTr="00E67DA4">
        <w:trPr>
          <w:cantSplit/>
          <w:jc w:val="center"/>
        </w:trPr>
        <w:tc>
          <w:tcPr>
            <w:tcW w:w="6096" w:type="dxa"/>
            <w:gridSpan w:val="3"/>
            <w:shd w:val="clear" w:color="auto" w:fill="auto"/>
          </w:tcPr>
          <w:p w:rsidR="00E67DA4" w:rsidRPr="00C903F8" w:rsidRDefault="00E67DA4" w:rsidP="00C01A94">
            <w:pPr>
              <w:spacing w:before="60" w:after="60" w:line="240" w:lineRule="atLeast"/>
              <w:ind w:left="0" w:firstLine="0"/>
              <w:jc w:val="center"/>
              <w:rPr>
                <w:rFonts w:cs="Arial"/>
                <w:sz w:val="18"/>
                <w:szCs w:val="18"/>
              </w:rPr>
            </w:pPr>
            <w:r>
              <w:rPr>
                <w:b/>
                <w:sz w:val="18"/>
              </w:rPr>
              <w:t>CAPO 15</w:t>
            </w:r>
          </w:p>
        </w:tc>
        <w:tc>
          <w:tcPr>
            <w:tcW w:w="6521" w:type="dxa"/>
            <w:shd w:val="clear" w:color="auto" w:fill="auto"/>
          </w:tcPr>
          <w:p w:rsidR="00E67DA4" w:rsidRPr="00C903F8" w:rsidRDefault="00E67DA4" w:rsidP="00C01A94">
            <w:pPr>
              <w:spacing w:before="60" w:after="60" w:line="240" w:lineRule="atLeast"/>
              <w:ind w:left="0" w:firstLine="0"/>
              <w:rPr>
                <w:rFonts w:cs="Arial"/>
                <w:sz w:val="18"/>
                <w:szCs w:val="18"/>
              </w:rPr>
            </w:pPr>
          </w:p>
        </w:tc>
        <w:tc>
          <w:tcPr>
            <w:tcW w:w="1276" w:type="dxa"/>
            <w:shd w:val="clear" w:color="auto" w:fill="auto"/>
          </w:tcPr>
          <w:p w:rsidR="00E67DA4" w:rsidRPr="00C903F8" w:rsidRDefault="00E67DA4" w:rsidP="00C01A94">
            <w:pPr>
              <w:spacing w:before="60" w:after="60" w:line="240" w:lineRule="atLeast"/>
              <w:ind w:left="0" w:firstLine="0"/>
              <w:rPr>
                <w:rFonts w:cs="Arial"/>
                <w:sz w:val="18"/>
                <w:szCs w:val="18"/>
              </w:rPr>
            </w:pPr>
          </w:p>
        </w:tc>
      </w:tr>
      <w:tr w:rsidR="00E67DA4" w:rsidRPr="00C903F8" w:rsidTr="00E67DA4">
        <w:trPr>
          <w:cantSplit/>
          <w:jc w:val="center"/>
        </w:trPr>
        <w:tc>
          <w:tcPr>
            <w:tcW w:w="1342"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15.02</w:t>
            </w:r>
          </w:p>
        </w:tc>
        <w:tc>
          <w:tcPr>
            <w:tcW w:w="1458" w:type="dxa"/>
            <w:shd w:val="clear" w:color="auto" w:fill="auto"/>
          </w:tcPr>
          <w:p w:rsidR="00E67DA4" w:rsidRPr="00C903F8" w:rsidRDefault="000E732C" w:rsidP="00C01A94">
            <w:pPr>
              <w:spacing w:before="60" w:after="60" w:line="240" w:lineRule="atLeast"/>
              <w:ind w:left="0" w:firstLine="0"/>
              <w:rPr>
                <w:rFonts w:cs="Arial"/>
                <w:sz w:val="18"/>
                <w:szCs w:val="18"/>
              </w:rPr>
            </w:pPr>
            <w:r>
              <w:rPr>
                <w:sz w:val="18"/>
              </w:rPr>
              <w:t>paragrafo 5</w:t>
            </w:r>
            <w:r>
              <w:rPr>
                <w:color w:val="000000"/>
                <w:sz w:val="18"/>
                <w:vertAlign w:val="superscript"/>
              </w:rPr>
              <w:footnoteReference w:id="38"/>
            </w:r>
          </w:p>
        </w:tc>
        <w:tc>
          <w:tcPr>
            <w:tcW w:w="3296" w:type="dxa"/>
            <w:shd w:val="clear" w:color="auto" w:fill="auto"/>
          </w:tcPr>
          <w:p w:rsidR="00E67DA4" w:rsidRPr="00C903F8" w:rsidRDefault="00E67DA4" w:rsidP="00C01A94">
            <w:pPr>
              <w:spacing w:before="60" w:after="60" w:line="240" w:lineRule="atLeast"/>
              <w:ind w:left="0" w:firstLine="0"/>
              <w:rPr>
                <w:rFonts w:cs="Arial"/>
                <w:sz w:val="18"/>
                <w:szCs w:val="18"/>
              </w:rPr>
            </w:pPr>
            <w:r>
              <w:rPr>
                <w:noProof/>
                <w:sz w:val="18"/>
              </w:rPr>
              <w:t>Rumori e vibrazioni negli alloggi</w:t>
            </w:r>
          </w:p>
        </w:tc>
        <w:tc>
          <w:tcPr>
            <w:tcW w:w="6521" w:type="dxa"/>
            <w:shd w:val="clear" w:color="auto" w:fill="auto"/>
          </w:tcPr>
          <w:p w:rsidR="00E67DA4" w:rsidRPr="00C903F8" w:rsidRDefault="00AD3E75" w:rsidP="00C01A94">
            <w:pPr>
              <w:spacing w:before="60" w:after="60" w:line="240" w:lineRule="atLeast"/>
              <w:ind w:left="0" w:firstLine="0"/>
              <w:rPr>
                <w:rFonts w:cs="Arial"/>
                <w:sz w:val="18"/>
                <w:szCs w:val="18"/>
              </w:rPr>
            </w:pPr>
            <w:r>
              <w:rPr>
                <w:sz w:val="18"/>
              </w:rPr>
              <w:t>S.T., al più tardi alla data del rinnovo del certificato per la navigazione interna posteriormente al</w:t>
            </w:r>
          </w:p>
        </w:tc>
        <w:tc>
          <w:tcPr>
            <w:tcW w:w="1276"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1.1.2020</w:t>
            </w:r>
          </w:p>
        </w:tc>
      </w:tr>
      <w:tr w:rsidR="00E67DA4" w:rsidRPr="00C903F8" w:rsidTr="00E67DA4">
        <w:trPr>
          <w:cantSplit/>
          <w:jc w:val="center"/>
        </w:trPr>
        <w:tc>
          <w:tcPr>
            <w:tcW w:w="6096" w:type="dxa"/>
            <w:gridSpan w:val="3"/>
            <w:shd w:val="clear" w:color="auto" w:fill="auto"/>
          </w:tcPr>
          <w:p w:rsidR="00E67DA4" w:rsidRPr="00C903F8" w:rsidRDefault="00E67DA4" w:rsidP="00C01A94">
            <w:pPr>
              <w:spacing w:before="60" w:after="60" w:line="240" w:lineRule="atLeast"/>
              <w:ind w:left="0" w:firstLine="0"/>
              <w:jc w:val="center"/>
              <w:rPr>
                <w:rFonts w:cs="Arial"/>
                <w:sz w:val="18"/>
                <w:szCs w:val="18"/>
              </w:rPr>
            </w:pPr>
            <w:r>
              <w:rPr>
                <w:b/>
                <w:sz w:val="18"/>
              </w:rPr>
              <w:t>CAPO 19</w:t>
            </w:r>
          </w:p>
        </w:tc>
        <w:tc>
          <w:tcPr>
            <w:tcW w:w="6521" w:type="dxa"/>
            <w:shd w:val="clear" w:color="auto" w:fill="auto"/>
          </w:tcPr>
          <w:p w:rsidR="00E67DA4" w:rsidRPr="00C903F8" w:rsidRDefault="00E67DA4" w:rsidP="00C01A94">
            <w:pPr>
              <w:spacing w:before="60" w:after="60" w:line="240" w:lineRule="atLeast"/>
              <w:ind w:left="0" w:firstLine="0"/>
              <w:rPr>
                <w:rFonts w:cs="Arial"/>
                <w:sz w:val="18"/>
                <w:szCs w:val="18"/>
              </w:rPr>
            </w:pPr>
          </w:p>
        </w:tc>
        <w:tc>
          <w:tcPr>
            <w:tcW w:w="1276" w:type="dxa"/>
            <w:shd w:val="clear" w:color="auto" w:fill="auto"/>
          </w:tcPr>
          <w:p w:rsidR="00E67DA4" w:rsidRPr="00C903F8" w:rsidRDefault="00E67DA4" w:rsidP="00C01A94">
            <w:pPr>
              <w:spacing w:before="60" w:after="60" w:line="240" w:lineRule="atLeast"/>
              <w:ind w:left="0" w:firstLine="0"/>
              <w:rPr>
                <w:rFonts w:cs="Arial"/>
                <w:sz w:val="18"/>
                <w:szCs w:val="18"/>
              </w:rPr>
            </w:pPr>
          </w:p>
        </w:tc>
      </w:tr>
      <w:tr w:rsidR="00A26CDA" w:rsidRPr="00C903F8" w:rsidTr="00E67DA4">
        <w:trPr>
          <w:cantSplit/>
          <w:jc w:val="center"/>
        </w:trPr>
        <w:tc>
          <w:tcPr>
            <w:tcW w:w="1342" w:type="dxa"/>
            <w:vMerge w:val="restart"/>
            <w:shd w:val="clear" w:color="auto" w:fill="auto"/>
          </w:tcPr>
          <w:p w:rsidR="00A26CDA" w:rsidRPr="00C903F8" w:rsidRDefault="00A26CDA" w:rsidP="00C01A94">
            <w:pPr>
              <w:spacing w:before="60" w:after="60" w:line="240" w:lineRule="atLeast"/>
              <w:ind w:left="0" w:firstLine="0"/>
              <w:rPr>
                <w:rFonts w:cs="Arial"/>
                <w:sz w:val="18"/>
                <w:szCs w:val="18"/>
              </w:rPr>
            </w:pPr>
            <w:r>
              <w:rPr>
                <w:sz w:val="18"/>
              </w:rPr>
              <w:t>19.02</w:t>
            </w:r>
          </w:p>
        </w:tc>
        <w:tc>
          <w:tcPr>
            <w:tcW w:w="1458" w:type="dxa"/>
            <w:shd w:val="clear" w:color="auto" w:fill="auto"/>
          </w:tcPr>
          <w:p w:rsidR="00A26CDA" w:rsidRPr="00C903F8" w:rsidRDefault="00A26CDA" w:rsidP="00C01A94">
            <w:pPr>
              <w:spacing w:before="60" w:after="60" w:line="240" w:lineRule="atLeast"/>
              <w:ind w:left="0" w:firstLine="0"/>
              <w:rPr>
                <w:rFonts w:cs="Arial"/>
                <w:sz w:val="18"/>
                <w:szCs w:val="18"/>
              </w:rPr>
            </w:pPr>
            <w:r>
              <w:rPr>
                <w:sz w:val="18"/>
              </w:rPr>
              <w:t>paragrafo 3</w:t>
            </w:r>
          </w:p>
        </w:tc>
        <w:tc>
          <w:tcPr>
            <w:tcW w:w="3296" w:type="dxa"/>
            <w:shd w:val="clear" w:color="auto" w:fill="auto"/>
          </w:tcPr>
          <w:p w:rsidR="00A26CDA" w:rsidRPr="00C903F8" w:rsidRDefault="00A26CDA" w:rsidP="00C01A94">
            <w:pPr>
              <w:spacing w:before="60" w:after="60" w:line="240" w:lineRule="atLeast"/>
              <w:ind w:left="0" w:firstLine="0"/>
              <w:rPr>
                <w:rFonts w:cs="Arial"/>
                <w:sz w:val="18"/>
                <w:szCs w:val="18"/>
              </w:rPr>
            </w:pPr>
            <w:r>
              <w:rPr>
                <w:sz w:val="18"/>
              </w:rPr>
              <w:t>Posizione delle paratie di collisione e del gavone di poppa</w:t>
            </w:r>
          </w:p>
        </w:tc>
        <w:tc>
          <w:tcPr>
            <w:tcW w:w="6521" w:type="dxa"/>
            <w:shd w:val="clear" w:color="auto" w:fill="auto"/>
          </w:tcPr>
          <w:p w:rsidR="00A26CDA" w:rsidRPr="00C903F8" w:rsidRDefault="00AD3E75" w:rsidP="00C01A94">
            <w:pPr>
              <w:spacing w:before="60" w:after="60" w:line="240" w:lineRule="atLeast"/>
              <w:ind w:left="0" w:firstLine="0"/>
              <w:rPr>
                <w:rFonts w:cs="Arial"/>
                <w:sz w:val="18"/>
                <w:szCs w:val="18"/>
              </w:rPr>
            </w:pPr>
            <w:r>
              <w:rPr>
                <w:sz w:val="18"/>
              </w:rPr>
              <w:t>S.T., al più tardi alla data del rinnovo del certificato per la navigazione interna posteriormente al</w:t>
            </w:r>
          </w:p>
        </w:tc>
        <w:tc>
          <w:tcPr>
            <w:tcW w:w="1276" w:type="dxa"/>
            <w:shd w:val="clear" w:color="auto" w:fill="auto"/>
          </w:tcPr>
          <w:p w:rsidR="00A26CDA" w:rsidRPr="00C903F8" w:rsidRDefault="00A26CDA" w:rsidP="00C01A94">
            <w:pPr>
              <w:spacing w:before="60" w:after="60" w:line="240" w:lineRule="atLeast"/>
              <w:ind w:left="0" w:firstLine="0"/>
              <w:rPr>
                <w:rFonts w:cs="Arial"/>
                <w:sz w:val="18"/>
                <w:szCs w:val="18"/>
              </w:rPr>
            </w:pPr>
            <w:r>
              <w:rPr>
                <w:sz w:val="18"/>
              </w:rPr>
              <w:t>1.1.2045</w:t>
            </w:r>
          </w:p>
        </w:tc>
      </w:tr>
      <w:tr w:rsidR="00A26CDA" w:rsidRPr="00C903F8" w:rsidTr="00E67DA4">
        <w:trPr>
          <w:cantSplit/>
          <w:jc w:val="center"/>
        </w:trPr>
        <w:tc>
          <w:tcPr>
            <w:tcW w:w="1342" w:type="dxa"/>
            <w:vMerge/>
            <w:shd w:val="clear" w:color="auto" w:fill="auto"/>
          </w:tcPr>
          <w:p w:rsidR="00A26CDA" w:rsidRPr="00C903F8" w:rsidRDefault="00A26CDA" w:rsidP="00C01A94">
            <w:pPr>
              <w:spacing w:before="60" w:after="60" w:line="240" w:lineRule="atLeast"/>
              <w:ind w:left="0" w:firstLine="0"/>
              <w:rPr>
                <w:rFonts w:cs="Arial"/>
                <w:sz w:val="18"/>
                <w:szCs w:val="18"/>
              </w:rPr>
            </w:pPr>
          </w:p>
        </w:tc>
        <w:tc>
          <w:tcPr>
            <w:tcW w:w="1458" w:type="dxa"/>
            <w:shd w:val="clear" w:color="auto" w:fill="auto"/>
          </w:tcPr>
          <w:p w:rsidR="00A26CDA" w:rsidRPr="00C903F8" w:rsidRDefault="00A26CDA" w:rsidP="00C01A94">
            <w:pPr>
              <w:spacing w:before="60" w:after="60" w:line="240" w:lineRule="atLeast"/>
              <w:ind w:left="0" w:firstLine="0"/>
              <w:rPr>
                <w:rFonts w:cs="Arial"/>
                <w:sz w:val="18"/>
                <w:szCs w:val="18"/>
              </w:rPr>
            </w:pPr>
            <w:r>
              <w:rPr>
                <w:sz w:val="18"/>
              </w:rPr>
              <w:t>paragrafo 5; paragrafo 6, prima frase; paragrafi da 7 a 11 e paragrafo 13</w:t>
            </w:r>
          </w:p>
        </w:tc>
        <w:tc>
          <w:tcPr>
            <w:tcW w:w="3296" w:type="dxa"/>
            <w:shd w:val="clear" w:color="auto" w:fill="auto"/>
          </w:tcPr>
          <w:p w:rsidR="00A26CDA" w:rsidRPr="00C903F8" w:rsidRDefault="00A26CDA" w:rsidP="00C01A94">
            <w:pPr>
              <w:spacing w:before="60" w:after="60" w:line="240" w:lineRule="atLeast"/>
              <w:ind w:left="0" w:firstLine="0"/>
              <w:rPr>
                <w:rFonts w:cs="Arial"/>
                <w:sz w:val="18"/>
                <w:szCs w:val="18"/>
              </w:rPr>
            </w:pPr>
            <w:r>
              <w:rPr>
                <w:noProof/>
                <w:sz w:val="18"/>
              </w:rPr>
              <w:t>Linea limite in mancanza di un ponte di compartimentazione</w:t>
            </w:r>
          </w:p>
        </w:tc>
        <w:tc>
          <w:tcPr>
            <w:tcW w:w="6521" w:type="dxa"/>
            <w:shd w:val="clear" w:color="auto" w:fill="auto"/>
          </w:tcPr>
          <w:p w:rsidR="00A26CDA" w:rsidRPr="00C903F8" w:rsidRDefault="00AD3E75" w:rsidP="00C01A94">
            <w:pPr>
              <w:spacing w:before="60" w:after="60" w:line="240" w:lineRule="atLeast"/>
              <w:ind w:left="0" w:firstLine="0"/>
              <w:rPr>
                <w:rFonts w:cs="Arial"/>
                <w:sz w:val="18"/>
                <w:szCs w:val="18"/>
              </w:rPr>
            </w:pPr>
            <w:r>
              <w:rPr>
                <w:sz w:val="18"/>
              </w:rPr>
              <w:t>S.T., al più tardi alla data del rinnovo del certificato per la navigazione interna posteriormente al</w:t>
            </w:r>
          </w:p>
        </w:tc>
        <w:tc>
          <w:tcPr>
            <w:tcW w:w="1276" w:type="dxa"/>
            <w:shd w:val="clear" w:color="auto" w:fill="auto"/>
          </w:tcPr>
          <w:p w:rsidR="00A26CDA" w:rsidRPr="00C903F8" w:rsidRDefault="00A26CDA" w:rsidP="00C01A94">
            <w:pPr>
              <w:spacing w:before="60" w:after="60" w:line="240" w:lineRule="atLeast"/>
              <w:ind w:left="0" w:firstLine="0"/>
              <w:rPr>
                <w:rFonts w:cs="Arial"/>
                <w:sz w:val="18"/>
                <w:szCs w:val="18"/>
              </w:rPr>
            </w:pPr>
            <w:r>
              <w:rPr>
                <w:sz w:val="18"/>
              </w:rPr>
              <w:t>1.1.2045</w:t>
            </w:r>
          </w:p>
        </w:tc>
      </w:tr>
      <w:tr w:rsidR="00A26CDA" w:rsidRPr="00C903F8" w:rsidTr="00E67DA4">
        <w:trPr>
          <w:cantSplit/>
          <w:jc w:val="center"/>
        </w:trPr>
        <w:tc>
          <w:tcPr>
            <w:tcW w:w="1342" w:type="dxa"/>
            <w:vMerge/>
            <w:shd w:val="clear" w:color="auto" w:fill="auto"/>
          </w:tcPr>
          <w:p w:rsidR="00A26CDA" w:rsidRPr="00C903F8" w:rsidRDefault="00A26CDA" w:rsidP="00C01A94">
            <w:pPr>
              <w:spacing w:before="60" w:after="60" w:line="240" w:lineRule="atLeast"/>
              <w:ind w:left="0" w:firstLine="0"/>
              <w:rPr>
                <w:rFonts w:cs="Arial"/>
                <w:sz w:val="18"/>
                <w:szCs w:val="18"/>
              </w:rPr>
            </w:pPr>
          </w:p>
        </w:tc>
        <w:tc>
          <w:tcPr>
            <w:tcW w:w="1458" w:type="dxa"/>
            <w:shd w:val="clear" w:color="auto" w:fill="auto"/>
          </w:tcPr>
          <w:p w:rsidR="00A26CDA" w:rsidRPr="00C903F8" w:rsidRDefault="00A26CDA" w:rsidP="00C01A94">
            <w:pPr>
              <w:spacing w:before="60" w:after="60" w:line="240" w:lineRule="atLeast"/>
              <w:ind w:left="0" w:firstLine="0"/>
              <w:rPr>
                <w:rFonts w:cs="Arial"/>
                <w:sz w:val="18"/>
                <w:szCs w:val="18"/>
              </w:rPr>
            </w:pPr>
            <w:r>
              <w:rPr>
                <w:sz w:val="18"/>
              </w:rPr>
              <w:t>paragrafo 16</w:t>
            </w:r>
          </w:p>
        </w:tc>
        <w:tc>
          <w:tcPr>
            <w:tcW w:w="3296" w:type="dxa"/>
            <w:shd w:val="clear" w:color="auto" w:fill="auto"/>
          </w:tcPr>
          <w:p w:rsidR="00A26CDA" w:rsidRPr="00C903F8" w:rsidRDefault="00A26CDA" w:rsidP="00C01A94">
            <w:pPr>
              <w:spacing w:before="60" w:after="60" w:line="240" w:lineRule="atLeast"/>
              <w:ind w:left="0" w:firstLine="0"/>
              <w:rPr>
                <w:rFonts w:cs="Arial"/>
                <w:sz w:val="18"/>
                <w:szCs w:val="18"/>
              </w:rPr>
            </w:pPr>
            <w:r>
              <w:rPr>
                <w:noProof/>
                <w:sz w:val="18"/>
              </w:rPr>
              <w:t>Finestre stagne</w:t>
            </w:r>
          </w:p>
        </w:tc>
        <w:tc>
          <w:tcPr>
            <w:tcW w:w="6521" w:type="dxa"/>
            <w:shd w:val="clear" w:color="auto" w:fill="auto"/>
          </w:tcPr>
          <w:p w:rsidR="00A26CDA" w:rsidRPr="00C903F8" w:rsidRDefault="00AD3E75" w:rsidP="00C01A94">
            <w:pPr>
              <w:spacing w:before="60" w:after="60" w:line="240" w:lineRule="atLeast"/>
              <w:ind w:left="0" w:firstLine="0"/>
              <w:rPr>
                <w:rFonts w:cs="Arial"/>
                <w:sz w:val="18"/>
                <w:szCs w:val="18"/>
              </w:rPr>
            </w:pPr>
            <w:r>
              <w:rPr>
                <w:sz w:val="18"/>
              </w:rPr>
              <w:t>S.T., al più tardi alla data del rinnovo del certificato per la navigazione interna posteriormente al</w:t>
            </w:r>
          </w:p>
        </w:tc>
        <w:tc>
          <w:tcPr>
            <w:tcW w:w="1276" w:type="dxa"/>
            <w:shd w:val="clear" w:color="auto" w:fill="auto"/>
          </w:tcPr>
          <w:p w:rsidR="00A26CDA" w:rsidRPr="00C903F8" w:rsidRDefault="00A26CDA" w:rsidP="00C01A94">
            <w:pPr>
              <w:spacing w:before="60" w:after="60" w:line="240" w:lineRule="atLeast"/>
              <w:ind w:left="0" w:firstLine="0"/>
              <w:rPr>
                <w:rFonts w:cs="Arial"/>
                <w:sz w:val="18"/>
                <w:szCs w:val="18"/>
              </w:rPr>
            </w:pPr>
            <w:r>
              <w:rPr>
                <w:sz w:val="18"/>
              </w:rPr>
              <w:t>1.1.2045</w:t>
            </w:r>
          </w:p>
        </w:tc>
      </w:tr>
      <w:tr w:rsidR="00E67DA4" w:rsidRPr="00C903F8" w:rsidTr="00E67DA4">
        <w:trPr>
          <w:cantSplit/>
          <w:jc w:val="center"/>
        </w:trPr>
        <w:tc>
          <w:tcPr>
            <w:tcW w:w="1342"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lastRenderedPageBreak/>
              <w:t>19.04</w:t>
            </w:r>
          </w:p>
        </w:tc>
        <w:tc>
          <w:tcPr>
            <w:tcW w:w="1458" w:type="dxa"/>
            <w:shd w:val="clear" w:color="auto" w:fill="auto"/>
          </w:tcPr>
          <w:p w:rsidR="00E67DA4" w:rsidRPr="00C903F8" w:rsidRDefault="00E67DA4" w:rsidP="00C01A94">
            <w:pPr>
              <w:spacing w:before="60" w:after="60" w:line="240" w:lineRule="atLeast"/>
              <w:ind w:left="0" w:firstLine="0"/>
              <w:rPr>
                <w:rFonts w:cs="Arial"/>
                <w:sz w:val="18"/>
                <w:szCs w:val="18"/>
              </w:rPr>
            </w:pPr>
          </w:p>
        </w:tc>
        <w:tc>
          <w:tcPr>
            <w:tcW w:w="3296" w:type="dxa"/>
            <w:shd w:val="clear" w:color="auto" w:fill="auto"/>
          </w:tcPr>
          <w:p w:rsidR="00E67DA4" w:rsidRPr="00C903F8" w:rsidRDefault="00E67DA4" w:rsidP="00C01A94">
            <w:pPr>
              <w:spacing w:before="60" w:after="60" w:line="240" w:lineRule="atLeast"/>
              <w:ind w:left="0" w:firstLine="0"/>
              <w:rPr>
                <w:rFonts w:cs="Arial"/>
                <w:sz w:val="18"/>
                <w:szCs w:val="18"/>
              </w:rPr>
            </w:pPr>
            <w:r>
              <w:rPr>
                <w:noProof/>
                <w:sz w:val="18"/>
              </w:rPr>
              <w:t>Distanza di sicurezza, bordo libero, misure in immersione</w:t>
            </w:r>
          </w:p>
        </w:tc>
        <w:tc>
          <w:tcPr>
            <w:tcW w:w="6521" w:type="dxa"/>
            <w:shd w:val="clear" w:color="auto" w:fill="auto"/>
          </w:tcPr>
          <w:p w:rsidR="00E67DA4" w:rsidRPr="00C903F8" w:rsidRDefault="00AD3E75" w:rsidP="00C01A94">
            <w:pPr>
              <w:spacing w:before="60" w:after="60" w:line="240" w:lineRule="atLeast"/>
              <w:ind w:left="0" w:firstLine="0"/>
              <w:rPr>
                <w:rFonts w:cs="Arial"/>
                <w:sz w:val="18"/>
                <w:szCs w:val="18"/>
              </w:rPr>
            </w:pPr>
            <w:r>
              <w:rPr>
                <w:sz w:val="18"/>
              </w:rPr>
              <w:t>S.T., al più tardi alla data del rinnovo del certificato per la navigazione interna posteriormente al</w:t>
            </w:r>
          </w:p>
        </w:tc>
        <w:tc>
          <w:tcPr>
            <w:tcW w:w="1276"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1.1.2045</w:t>
            </w:r>
          </w:p>
        </w:tc>
      </w:tr>
      <w:tr w:rsidR="00E67DA4" w:rsidRPr="00C903F8" w:rsidTr="00E67DA4">
        <w:trPr>
          <w:cantSplit/>
          <w:jc w:val="center"/>
        </w:trPr>
        <w:tc>
          <w:tcPr>
            <w:tcW w:w="1342"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19.05</w:t>
            </w:r>
          </w:p>
        </w:tc>
        <w:tc>
          <w:tcPr>
            <w:tcW w:w="1458" w:type="dxa"/>
            <w:shd w:val="clear" w:color="auto" w:fill="auto"/>
          </w:tcPr>
          <w:p w:rsidR="00E67DA4" w:rsidRPr="00C903F8" w:rsidRDefault="00E67DA4" w:rsidP="00C01A94">
            <w:pPr>
              <w:spacing w:before="60" w:after="60" w:line="240" w:lineRule="atLeast"/>
              <w:ind w:left="0" w:firstLine="0"/>
              <w:rPr>
                <w:rFonts w:cs="Arial"/>
                <w:sz w:val="18"/>
                <w:szCs w:val="18"/>
              </w:rPr>
            </w:pPr>
          </w:p>
        </w:tc>
        <w:tc>
          <w:tcPr>
            <w:tcW w:w="3296" w:type="dxa"/>
            <w:shd w:val="clear" w:color="auto" w:fill="auto"/>
          </w:tcPr>
          <w:p w:rsidR="00E67DA4" w:rsidRPr="00C903F8" w:rsidRDefault="00E67DA4" w:rsidP="00C01A94">
            <w:pPr>
              <w:tabs>
                <w:tab w:val="left" w:pos="1080"/>
              </w:tabs>
              <w:spacing w:before="60" w:after="60" w:line="240" w:lineRule="atLeast"/>
              <w:ind w:left="0" w:firstLine="0"/>
              <w:rPr>
                <w:rFonts w:cs="Arial"/>
                <w:sz w:val="18"/>
                <w:szCs w:val="18"/>
              </w:rPr>
            </w:pPr>
            <w:r>
              <w:rPr>
                <w:noProof/>
                <w:sz w:val="18"/>
              </w:rPr>
              <w:t>Numero di passeggeri</w:t>
            </w:r>
          </w:p>
        </w:tc>
        <w:tc>
          <w:tcPr>
            <w:tcW w:w="6521"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Rinnovo del certificato per la navigazione interna posteriormente al</w:t>
            </w:r>
          </w:p>
        </w:tc>
        <w:tc>
          <w:tcPr>
            <w:tcW w:w="1276"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1.1.2045</w:t>
            </w:r>
          </w:p>
        </w:tc>
      </w:tr>
      <w:tr w:rsidR="00E67DA4" w:rsidRPr="00C903F8" w:rsidTr="00E67DA4">
        <w:trPr>
          <w:cantSplit/>
          <w:jc w:val="center"/>
        </w:trPr>
        <w:tc>
          <w:tcPr>
            <w:tcW w:w="1342"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19.10</w:t>
            </w:r>
          </w:p>
        </w:tc>
        <w:tc>
          <w:tcPr>
            <w:tcW w:w="1458"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paragrafi 4, 6, 7, 8 e 11</w:t>
            </w:r>
          </w:p>
        </w:tc>
        <w:tc>
          <w:tcPr>
            <w:tcW w:w="3296" w:type="dxa"/>
            <w:shd w:val="clear" w:color="auto" w:fill="auto"/>
          </w:tcPr>
          <w:p w:rsidR="00E67DA4" w:rsidRPr="00C903F8" w:rsidRDefault="00E67DA4" w:rsidP="00C01A94">
            <w:pPr>
              <w:tabs>
                <w:tab w:val="left" w:pos="1080"/>
              </w:tabs>
              <w:spacing w:before="60" w:after="60" w:line="240" w:lineRule="atLeast"/>
              <w:ind w:left="0" w:firstLine="0"/>
              <w:rPr>
                <w:rFonts w:cs="Arial"/>
                <w:sz w:val="18"/>
                <w:szCs w:val="18"/>
              </w:rPr>
            </w:pPr>
            <w:r>
              <w:rPr>
                <w:noProof/>
                <w:sz w:val="18"/>
              </w:rPr>
              <w:t>Impianto elettrico di emergenza</w:t>
            </w:r>
          </w:p>
        </w:tc>
        <w:tc>
          <w:tcPr>
            <w:tcW w:w="6521" w:type="dxa"/>
            <w:shd w:val="clear" w:color="auto" w:fill="auto"/>
          </w:tcPr>
          <w:p w:rsidR="00E67DA4" w:rsidRPr="00C903F8" w:rsidRDefault="00AD3E75" w:rsidP="00C01A94">
            <w:pPr>
              <w:spacing w:before="60" w:after="60" w:line="240" w:lineRule="atLeast"/>
              <w:ind w:left="0" w:firstLine="0"/>
              <w:rPr>
                <w:rFonts w:cs="Arial"/>
                <w:sz w:val="18"/>
                <w:szCs w:val="18"/>
              </w:rPr>
            </w:pPr>
            <w:r>
              <w:rPr>
                <w:sz w:val="18"/>
              </w:rPr>
              <w:t>S.T., al più tardi alla data del rinnovo del certificato per la navigazione interna posteriormente al</w:t>
            </w:r>
          </w:p>
        </w:tc>
        <w:tc>
          <w:tcPr>
            <w:tcW w:w="1276"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1.1.2045</w:t>
            </w:r>
          </w:p>
        </w:tc>
      </w:tr>
    </w:tbl>
    <w:p w:rsidR="001E2331" w:rsidRDefault="001E2331" w:rsidP="001E2331">
      <w:pPr>
        <w:spacing w:line="240" w:lineRule="atLeast"/>
        <w:ind w:left="567" w:hanging="567"/>
      </w:pPr>
    </w:p>
    <w:p w:rsidR="00C01A94" w:rsidRDefault="00C01A94">
      <w:pPr>
        <w:autoSpaceDE/>
        <w:autoSpaceDN/>
        <w:ind w:left="0" w:firstLine="0"/>
        <w:jc w:val="left"/>
      </w:pPr>
      <w:r>
        <w:br w:type="page"/>
      </w:r>
    </w:p>
    <w:p w:rsidR="00C01A94" w:rsidRPr="00C903F8" w:rsidRDefault="00C01A94" w:rsidP="001E2331">
      <w:pPr>
        <w:spacing w:line="240" w:lineRule="atLeast"/>
        <w:ind w:left="567" w:hanging="567"/>
      </w:pPr>
    </w:p>
    <w:p w:rsidR="001E2331" w:rsidRPr="00C903F8" w:rsidRDefault="00C903F8" w:rsidP="001E2331">
      <w:pPr>
        <w:spacing w:line="240" w:lineRule="atLeast"/>
        <w:ind w:left="567" w:hanging="567"/>
      </w:pPr>
      <w:r>
        <w:t>3.</w:t>
      </w:r>
      <w:r>
        <w:tab/>
        <w:t>L'articolo 19.11, paragrafo 3, prima frase e paragrafo 6, si applica ai battelli per escursioni giornaliere impostati il 1° aprile 1976 o anteriormente a tale data fino al primo rinnovo del certificato per la navigazione interna successivamente al 1.1.2045, a condizione che soltanto le pitture, le vernici, i rivestimenti ed altri materiali usati sulle superfici situate di fronte alle vie di evacuazione e gli altri materiali per il trattamento delle superfici dei pannelli debbano essere resistenti al fuoco e che fumo o vapori tossici non possano svilupparsi fino a raggiungere livelli pericolosi.</w:t>
      </w:r>
    </w:p>
    <w:p w:rsidR="001E2331" w:rsidRPr="00C903F8" w:rsidRDefault="001E2331" w:rsidP="001E2331">
      <w:pPr>
        <w:spacing w:line="240" w:lineRule="atLeast"/>
        <w:ind w:left="567" w:hanging="567"/>
      </w:pPr>
    </w:p>
    <w:p w:rsidR="001E2331" w:rsidRPr="00C903F8" w:rsidRDefault="00C903F8" w:rsidP="001E2331">
      <w:pPr>
        <w:spacing w:line="240" w:lineRule="atLeast"/>
        <w:ind w:left="567" w:hanging="567"/>
        <w:rPr>
          <w:noProof/>
        </w:rPr>
      </w:pPr>
      <w:r>
        <w:t>4.</w:t>
      </w:r>
      <w:r>
        <w:tab/>
        <w:t>L'articolo 19.11, paragrafo 12, si applica ai battelli per escursioni giornaliere impostati il 1° aprile 1976 o anteriormente a tale data sino al rinnovo del certificato per la navigazione interna anteriormente al 1.1.2045, a condizione che sia sufficiente che, al posto di scale costituite da una struttura portante assemblata in acciaio, le scale che fungono da via di evacuazione siano concepite in modo tale da restare utilizzabili, in caso di incendio, per la stessa durata circa delle scale costituite da una struttura portante assemblata in acciaio.</w:t>
      </w:r>
    </w:p>
    <w:p w:rsidR="001E2331" w:rsidRPr="00C903F8" w:rsidRDefault="001E2331" w:rsidP="001E2331">
      <w:pPr>
        <w:spacing w:line="240" w:lineRule="atLeast"/>
        <w:ind w:left="567" w:hanging="567"/>
      </w:pPr>
    </w:p>
    <w:p w:rsidR="001E2331" w:rsidRPr="00C903F8" w:rsidRDefault="001E2331" w:rsidP="001E2331">
      <w:pPr>
        <w:spacing w:line="240" w:lineRule="atLeast"/>
        <w:ind w:left="567" w:hanging="567"/>
      </w:pPr>
    </w:p>
    <w:p w:rsidR="00A90F88" w:rsidRDefault="001E2331" w:rsidP="00B769C2">
      <w:pPr>
        <w:pStyle w:val="ES-Titre3"/>
      </w:pPr>
      <w:bookmarkStart w:id="567" w:name="_Toc491854279"/>
      <w:bookmarkStart w:id="568" w:name="_Toc535500228"/>
      <w:r>
        <w:t>Articolo 32.04</w:t>
      </w:r>
      <w:bookmarkEnd w:id="567"/>
      <w:bookmarkEnd w:id="568"/>
    </w:p>
    <w:p w:rsidR="001E2331" w:rsidRPr="00B769C2" w:rsidRDefault="00C903F8" w:rsidP="00A90F88">
      <w:pPr>
        <w:pStyle w:val="ES-Titre3a"/>
      </w:pPr>
      <w:bookmarkStart w:id="569" w:name="_Toc421775889"/>
      <w:bookmarkStart w:id="570" w:name="_Toc491854280"/>
      <w:bookmarkStart w:id="571" w:name="_Toc535500229"/>
      <w:r>
        <w:t xml:space="preserve">Altre </w:t>
      </w:r>
      <w:bookmarkEnd w:id="569"/>
      <w:r>
        <w:t>disposizioni transitorie</w:t>
      </w:r>
      <w:bookmarkEnd w:id="570"/>
      <w:bookmarkEnd w:id="571"/>
    </w:p>
    <w:p w:rsidR="001E2331" w:rsidRPr="00C903F8" w:rsidRDefault="001E2331" w:rsidP="001E2331">
      <w:pPr>
        <w:spacing w:line="240" w:lineRule="atLeast"/>
        <w:ind w:left="567" w:hanging="567"/>
      </w:pPr>
    </w:p>
    <w:p w:rsidR="00C903F8" w:rsidRPr="00C903F8" w:rsidRDefault="00C903F8" w:rsidP="00C903F8">
      <w:pPr>
        <w:spacing w:line="240" w:lineRule="atLeast"/>
      </w:pPr>
      <w:r>
        <w:t>1.</w:t>
      </w:r>
      <w:r>
        <w:tab/>
        <w:t>Le disposizioni di cui al presente articolo si applicano in aggiunta alle disposizioni transitorie degli articoli 32.02 e 32.03.</w:t>
      </w:r>
    </w:p>
    <w:p w:rsidR="00C903F8" w:rsidRPr="00C903F8" w:rsidRDefault="00C903F8" w:rsidP="00C903F8">
      <w:pPr>
        <w:spacing w:line="240" w:lineRule="atLeast"/>
        <w:ind w:left="567" w:hanging="567"/>
      </w:pPr>
    </w:p>
    <w:p w:rsidR="00C903F8" w:rsidRPr="00C903F8" w:rsidRDefault="00C903F8" w:rsidP="00C903F8">
      <w:pPr>
        <w:spacing w:line="240" w:lineRule="atLeast"/>
        <w:ind w:left="567" w:hanging="567"/>
      </w:pPr>
      <w:r>
        <w:t>2.</w:t>
      </w:r>
      <w:r>
        <w:tab/>
        <w:t>Per le imbarcazioni il cui bordo libero minimo è stato determinato conformemente all'articolo 4.04 del regolamento di ispezione delle navi sul Reno in vigore al 31 marzo 1983, la commissione di ispezione, su richiesta del proprietario, può determinare il bordo libero conformemente all'articolo 4.03 del regolamento di ispezione delle navi sul Reno in vigore al 1° gennaio 1995.</w:t>
      </w:r>
    </w:p>
    <w:p w:rsidR="00C903F8" w:rsidRPr="00C903F8" w:rsidRDefault="00C903F8" w:rsidP="00C903F8">
      <w:pPr>
        <w:spacing w:line="240" w:lineRule="atLeast"/>
        <w:ind w:left="567" w:hanging="567"/>
      </w:pPr>
    </w:p>
    <w:p w:rsidR="00C903F8" w:rsidRPr="00C903F8" w:rsidRDefault="00C903F8" w:rsidP="00C903F8">
      <w:pPr>
        <w:spacing w:line="240" w:lineRule="atLeast"/>
        <w:ind w:left="567" w:hanging="567"/>
      </w:pPr>
      <w:r>
        <w:t>3.</w:t>
      </w:r>
      <w:r>
        <w:tab/>
        <w:t>Per le imbarcazioni la cui chiglia è stata impostata anteriormente al 1° luglio 1983 non è necessaria la conformità al capo 10 della presente norma, ma devono essere conformi almeno al capo 6 del regolamento di ispezione delle navi sul Reno in vigore al 31 marzo 1983.</w:t>
      </w:r>
    </w:p>
    <w:p w:rsidR="00C903F8" w:rsidRPr="00C903F8" w:rsidRDefault="00C903F8" w:rsidP="00C903F8">
      <w:pPr>
        <w:spacing w:line="240" w:lineRule="atLeast"/>
        <w:ind w:left="567" w:hanging="567"/>
      </w:pPr>
    </w:p>
    <w:p w:rsidR="00C903F8" w:rsidRPr="00C903F8" w:rsidRDefault="00C903F8" w:rsidP="00C903F8">
      <w:pPr>
        <w:spacing w:line="240" w:lineRule="atLeast"/>
        <w:ind w:left="567" w:hanging="567"/>
      </w:pPr>
      <w:r>
        <w:t>4.</w:t>
      </w:r>
      <w:r>
        <w:tab/>
        <w:t xml:space="preserve">L'articolo 19.06, paragrafo 3, lettere da a) a e), e l'articolo 19.12, paragrafo 3, lettera a), per quanto riguarda la norma relativa alla lunghezza dell'unica manichetta antincendio, si applicano soltanto alle navi da passeggeri impostate </w:t>
      </w:r>
      <w:r>
        <w:rPr>
          <w:color w:val="000000" w:themeColor="text1"/>
        </w:rPr>
        <w:t>dopo il 30 settembre 1984 e alle trasformazioni delle zone interessate</w:t>
      </w:r>
      <w:r>
        <w:t>, al più tardi al momento del rinnovo del certificato di ispezione delle navi sul Reno successivamente al 1° gennaio 2045.</w:t>
      </w:r>
    </w:p>
    <w:p w:rsidR="00C903F8" w:rsidRPr="00C903F8" w:rsidRDefault="00C903F8" w:rsidP="00C903F8">
      <w:pPr>
        <w:spacing w:line="240" w:lineRule="atLeast"/>
        <w:ind w:left="567" w:hanging="567"/>
      </w:pPr>
    </w:p>
    <w:p w:rsidR="000E732C" w:rsidRDefault="000E732C">
      <w:pPr>
        <w:autoSpaceDE/>
        <w:autoSpaceDN/>
        <w:ind w:left="0" w:firstLine="0"/>
        <w:jc w:val="left"/>
      </w:pPr>
      <w:r>
        <w:br w:type="page"/>
      </w:r>
    </w:p>
    <w:p w:rsidR="000E732C" w:rsidRPr="008F19E2" w:rsidRDefault="00C903F8" w:rsidP="000E732C">
      <w:pPr>
        <w:spacing w:line="240" w:lineRule="atLeast"/>
        <w:ind w:left="567" w:hanging="567"/>
      </w:pPr>
      <w:r>
        <w:lastRenderedPageBreak/>
        <w:t>5.</w:t>
      </w:r>
      <w:r>
        <w:tab/>
        <w:t>Quando la presente disposizione faccia riferimento, relativamente ai requisiti di progettazione:</w:t>
      </w:r>
    </w:p>
    <w:p w:rsidR="000E732C" w:rsidRPr="00157062" w:rsidRDefault="000E732C" w:rsidP="000E732C">
      <w:pPr>
        <w:autoSpaceDE/>
        <w:autoSpaceDN/>
        <w:spacing w:before="60" w:line="240" w:lineRule="atLeast"/>
        <w:ind w:left="993" w:hanging="426"/>
        <w:rPr>
          <w:rFonts w:eastAsia="Batang"/>
          <w:szCs w:val="20"/>
        </w:rPr>
      </w:pPr>
      <w:r>
        <w:t>a)</w:t>
      </w:r>
      <w:r>
        <w:tab/>
        <w:t>concernenti elementi degli equipaggiamenti indipendenti, a una norma europea o internazionale, tali elementi degli equipaggiamenti possono, in seguito a ogni nuova pubblicazione o revisione della norma, continuare ad essere utilizzati per ulteriori 20 anni dopo la nuova pubblicazione o la revisione della presente norma;</w:t>
      </w:r>
    </w:p>
    <w:p w:rsidR="000E732C" w:rsidRPr="000E732C" w:rsidRDefault="000E732C" w:rsidP="000E732C">
      <w:pPr>
        <w:adjustRightInd w:val="0"/>
        <w:spacing w:before="60" w:line="240" w:lineRule="atLeast"/>
        <w:ind w:left="993" w:hanging="426"/>
        <w:rPr>
          <w:rFonts w:eastAsia="Batang"/>
          <w:szCs w:val="20"/>
        </w:rPr>
      </w:pPr>
      <w:r>
        <w:t>b)</w:t>
      </w:r>
      <w:r>
        <w:tab/>
        <w:t>concernenti elementi fissi degli equipaggiamenti, a una norma europea o internazionale, tali elementi degli equipaggiamenti possono continuare ad essere utilizzati fino a quando non vengono sostituiti o fino a quando le zone in questione sono oggetto di trasformazione.</w:t>
      </w:r>
    </w:p>
    <w:p w:rsidR="00C903F8" w:rsidRPr="00C903F8" w:rsidRDefault="00C903F8" w:rsidP="00C903F8">
      <w:pPr>
        <w:spacing w:line="240" w:lineRule="atLeast"/>
        <w:ind w:left="567" w:hanging="567"/>
      </w:pPr>
    </w:p>
    <w:p w:rsidR="00C903F8" w:rsidRPr="00C903F8" w:rsidRDefault="00C903F8" w:rsidP="00C903F8">
      <w:pPr>
        <w:spacing w:line="240" w:lineRule="atLeast"/>
        <w:ind w:left="567" w:hanging="567"/>
      </w:pPr>
      <w:r>
        <w:t>6.</w:t>
      </w:r>
      <w:r>
        <w:tab/>
        <w:t>Le unità veloci che il 31 marzo 2003 disponevano di un certificato di ispezione delle navi sul Reno valido, il 1° gennaio 2023 devono soddisfare le disposizioni di cui all'articolo 29.01, paragrafo 3, all'articolo 29.02, all'articolo 29.04, all'articolo 29.05, all'articolo 29.06, paragrafo 2, all'articolo 29.10, paragrafi 2 e 3.</w:t>
      </w:r>
    </w:p>
    <w:p w:rsidR="000D2654" w:rsidRDefault="000D2654">
      <w:pPr>
        <w:autoSpaceDE/>
        <w:autoSpaceDN/>
        <w:ind w:left="0" w:firstLine="0"/>
        <w:jc w:val="left"/>
      </w:pPr>
    </w:p>
    <w:p w:rsidR="000E732C" w:rsidRDefault="000E732C">
      <w:pPr>
        <w:autoSpaceDE/>
        <w:autoSpaceDN/>
        <w:ind w:left="0" w:firstLine="0"/>
        <w:jc w:val="left"/>
      </w:pPr>
    </w:p>
    <w:p w:rsidR="001E2331" w:rsidRPr="00C903F8" w:rsidRDefault="001E2331" w:rsidP="00A455C7">
      <w:pPr>
        <w:pStyle w:val="ES-Titre3"/>
      </w:pPr>
      <w:bookmarkStart w:id="572" w:name="_Toc491854281"/>
      <w:bookmarkStart w:id="573" w:name="_Toc535500230"/>
      <w:r>
        <w:t>Articolo 32.05</w:t>
      </w:r>
      <w:bookmarkEnd w:id="572"/>
      <w:bookmarkEnd w:id="573"/>
    </w:p>
    <w:p w:rsidR="001E2331" w:rsidRPr="00C903F8" w:rsidRDefault="00C903F8" w:rsidP="00A455C7">
      <w:pPr>
        <w:pStyle w:val="ES-Titre3a"/>
      </w:pPr>
      <w:bookmarkStart w:id="574" w:name="_Toc421775891"/>
      <w:bookmarkStart w:id="575" w:name="_Toc491854282"/>
      <w:bookmarkStart w:id="576" w:name="_Toc535500231"/>
      <w:r>
        <w:t>Disposizioni transitorie per imbarcazioni non contemplate dall'articolo 32.01</w:t>
      </w:r>
      <w:bookmarkEnd w:id="574"/>
      <w:bookmarkEnd w:id="575"/>
      <w:bookmarkEnd w:id="576"/>
    </w:p>
    <w:p w:rsidR="001E2331" w:rsidRPr="00C903F8" w:rsidRDefault="001E2331" w:rsidP="001E2331">
      <w:pPr>
        <w:spacing w:line="240" w:lineRule="atLeast"/>
        <w:ind w:left="567" w:hanging="567"/>
      </w:pPr>
    </w:p>
    <w:p w:rsidR="00C903F8" w:rsidRPr="00C903F8" w:rsidRDefault="00C903F8" w:rsidP="00C903F8">
      <w:pPr>
        <w:spacing w:line="240" w:lineRule="atLeast"/>
        <w:ind w:left="567" w:hanging="567"/>
        <w:rPr>
          <w:color w:val="000000" w:themeColor="text1"/>
        </w:rPr>
      </w:pPr>
      <w:r>
        <w:rPr>
          <w:color w:val="000000" w:themeColor="text1"/>
        </w:rPr>
        <w:t>1.</w:t>
      </w:r>
      <w:r>
        <w:tab/>
      </w:r>
      <w:r>
        <w:rPr>
          <w:color w:val="000000" w:themeColor="text1"/>
        </w:rPr>
        <w:t>Le seguenti disposizioni si applicano</w:t>
      </w:r>
    </w:p>
    <w:p w:rsidR="00C903F8" w:rsidRPr="001D5B87" w:rsidRDefault="00C903F8" w:rsidP="00C903F8">
      <w:pPr>
        <w:spacing w:before="60" w:line="240" w:lineRule="atLeast"/>
        <w:ind w:left="992"/>
      </w:pPr>
      <w:r>
        <w:t xml:space="preserve">a) </w:t>
      </w:r>
      <w:r>
        <w:tab/>
        <w:t>alle imbarcazioni per le quali è stato rilasciato un certificato di ispezione delle navi sul Reno conformemente al regolamento corrispondente per la prima volta il 1° gennaio 1995, sempre che non fossero in costruzione o sottoposte a trasformazioni alla data del 31 dicembre 1994;</w:t>
      </w:r>
    </w:p>
    <w:p w:rsidR="00C903F8" w:rsidRPr="001D5B87" w:rsidRDefault="00C903F8" w:rsidP="00C903F8">
      <w:pPr>
        <w:spacing w:before="60" w:line="240" w:lineRule="atLeast"/>
        <w:ind w:left="992"/>
      </w:pPr>
      <w:r>
        <w:t>b)</w:t>
      </w:r>
      <w:r>
        <w:tab/>
        <w:t>alle imbarcazioni che hanno ottenuto un'altra licenza di navigazione tra il 1° gennaio 1995 e il 30 dicembre 2008;</w:t>
      </w:r>
    </w:p>
    <w:p w:rsidR="00C903F8" w:rsidRPr="004A2F59" w:rsidRDefault="00C903F8" w:rsidP="00C903F8">
      <w:pPr>
        <w:spacing w:before="60" w:line="240" w:lineRule="atLeast"/>
        <w:ind w:left="992"/>
      </w:pPr>
      <w:r>
        <w:t>c)</w:t>
      </w:r>
      <w:r>
        <w:tab/>
        <w:t>alle imbarcazioni per le quali è stato rilasciato un certificato comunitario valido per la zona R conformemente alla direttiva 2006/87/CE per la prima volta tra il 30 dicembre 2008 e il 6 ottobre 2018;</w:t>
      </w:r>
    </w:p>
    <w:p w:rsidR="00C903F8" w:rsidRPr="004A2F59" w:rsidRDefault="00C903F8" w:rsidP="00C903F8">
      <w:pPr>
        <w:spacing w:before="60" w:line="240" w:lineRule="atLeast"/>
        <w:ind w:left="992"/>
      </w:pPr>
      <w:r>
        <w:t>d)</w:t>
      </w:r>
      <w:r>
        <w:tab/>
        <w:t>alle imbarcazioni per le quali è stato rilasciato un certificato dell'Unione valido per la zona R conformemente alla direttiva 2016/1629/UE per la prima volta a partire dal 7 ottobre 2018.</w:t>
      </w:r>
    </w:p>
    <w:p w:rsidR="00C903F8" w:rsidRPr="004A2F59" w:rsidRDefault="00C903F8" w:rsidP="00C903F8">
      <w:pPr>
        <w:spacing w:line="240" w:lineRule="atLeast"/>
        <w:ind w:left="567" w:hanging="567"/>
      </w:pPr>
    </w:p>
    <w:p w:rsidR="00C903F8" w:rsidRPr="004A2F59" w:rsidRDefault="00C903F8" w:rsidP="00C903F8">
      <w:pPr>
        <w:spacing w:line="240" w:lineRule="atLeast"/>
        <w:ind w:left="567" w:hanging="567"/>
        <w:rPr>
          <w:color w:val="000000" w:themeColor="text1"/>
        </w:rPr>
      </w:pPr>
      <w:r>
        <w:rPr>
          <w:color w:val="000000" w:themeColor="text1"/>
        </w:rPr>
        <w:t>2.</w:t>
      </w:r>
      <w:r>
        <w:tab/>
      </w:r>
      <w:r>
        <w:rPr>
          <w:color w:val="000000" w:themeColor="text1"/>
        </w:rPr>
        <w:t xml:space="preserve">Occorre dimostrare che tali imbarcazioni sono conformi: </w:t>
      </w:r>
    </w:p>
    <w:p w:rsidR="00C903F8" w:rsidRPr="004A2F59" w:rsidRDefault="00C903F8" w:rsidP="00C903F8">
      <w:pPr>
        <w:spacing w:before="60" w:line="240" w:lineRule="atLeast"/>
        <w:ind w:left="992"/>
      </w:pPr>
      <w:r>
        <w:t>a)</w:t>
      </w:r>
      <w:r>
        <w:tab/>
        <w:t>al regolamento di ispezione delle navi sul Reno, applicabile alla data di rilascio del loro certificato di ispezione delle navi sul Reno o di una loro licenza di navigazione diversa; oppure</w:t>
      </w:r>
    </w:p>
    <w:p w:rsidR="00C903F8" w:rsidRPr="004A2F59" w:rsidRDefault="00C903F8" w:rsidP="00C903F8">
      <w:pPr>
        <w:spacing w:before="60" w:line="240" w:lineRule="atLeast"/>
        <w:ind w:left="992"/>
      </w:pPr>
      <w:r>
        <w:t>b)</w:t>
      </w:r>
      <w:r>
        <w:tab/>
        <w:t>alle disposizioni della direttiva 2006/87/CE applicabile alla zona R alla data di rilascio del loro certificato comunitario; oppure</w:t>
      </w:r>
    </w:p>
    <w:p w:rsidR="00C903F8" w:rsidRPr="001D5B87" w:rsidRDefault="00C903F8" w:rsidP="00C903F8">
      <w:pPr>
        <w:spacing w:before="60" w:line="240" w:lineRule="atLeast"/>
        <w:ind w:left="992"/>
      </w:pPr>
      <w:r>
        <w:t>c)</w:t>
      </w:r>
      <w:r>
        <w:tab/>
        <w:t>alle disposizioni della direttiva 2016/1629/UE applicabile alla zona R alla data di rilascio del loro certificato dell'Unione.</w:t>
      </w:r>
    </w:p>
    <w:p w:rsidR="00C903F8" w:rsidRPr="00C903F8" w:rsidRDefault="00C903F8" w:rsidP="00C903F8">
      <w:pPr>
        <w:spacing w:line="240" w:lineRule="atLeast"/>
        <w:ind w:left="567" w:hanging="567"/>
      </w:pPr>
    </w:p>
    <w:p w:rsidR="00C903F8" w:rsidRPr="00C903F8" w:rsidRDefault="00C903F8" w:rsidP="00C903F8">
      <w:pPr>
        <w:spacing w:line="240" w:lineRule="atLeast"/>
        <w:ind w:left="567" w:hanging="567"/>
        <w:rPr>
          <w:color w:val="000000" w:themeColor="text1"/>
        </w:rPr>
      </w:pPr>
      <w:r>
        <w:rPr>
          <w:color w:val="000000" w:themeColor="text1"/>
        </w:rPr>
        <w:t xml:space="preserve">3. </w:t>
      </w:r>
      <w:r>
        <w:tab/>
      </w:r>
      <w:r>
        <w:rPr>
          <w:color w:val="000000" w:themeColor="text1"/>
        </w:rPr>
        <w:t>Le imbarcazioni devono essere adeguate per soddisfare la presente norma in conformità alle disposizioni transitorie elencate nella tabella riportata qui di seguito.</w:t>
      </w:r>
    </w:p>
    <w:p w:rsidR="00C903F8" w:rsidRPr="00C903F8" w:rsidRDefault="00C903F8" w:rsidP="00C903F8">
      <w:pPr>
        <w:spacing w:line="240" w:lineRule="atLeast"/>
        <w:ind w:left="567" w:hanging="567"/>
        <w:rPr>
          <w:color w:val="000000" w:themeColor="text1"/>
        </w:rPr>
      </w:pPr>
    </w:p>
    <w:p w:rsidR="00C903F8" w:rsidRPr="00C903F8" w:rsidRDefault="00C903F8" w:rsidP="00C903F8">
      <w:pPr>
        <w:spacing w:line="240" w:lineRule="atLeast"/>
        <w:ind w:left="567" w:hanging="567"/>
        <w:rPr>
          <w:color w:val="000000" w:themeColor="text1"/>
          <w:szCs w:val="20"/>
        </w:rPr>
      </w:pPr>
      <w:r>
        <w:rPr>
          <w:color w:val="000000" w:themeColor="text1"/>
        </w:rPr>
        <w:t>4.</w:t>
      </w:r>
      <w:r>
        <w:tab/>
      </w:r>
      <w:r>
        <w:rPr>
          <w:color w:val="000000" w:themeColor="text1"/>
        </w:rPr>
        <w:t>L'articolo 32.04, paragrafi 4 e 5, si applica per analogia</w:t>
      </w:r>
      <w:r>
        <w:rPr>
          <w:i/>
          <w:color w:val="000000" w:themeColor="text1"/>
        </w:rPr>
        <w:t>.</w:t>
      </w:r>
    </w:p>
    <w:p w:rsidR="001E2331" w:rsidRPr="00C903F8" w:rsidRDefault="001E2331" w:rsidP="001E2331">
      <w:pPr>
        <w:spacing w:line="240" w:lineRule="atLeast"/>
        <w:ind w:left="567" w:hanging="567"/>
      </w:pPr>
    </w:p>
    <w:p w:rsidR="000E732C" w:rsidRDefault="000E732C">
      <w:pPr>
        <w:autoSpaceDE/>
        <w:autoSpaceDN/>
        <w:ind w:left="0" w:firstLine="0"/>
        <w:jc w:val="left"/>
      </w:pPr>
      <w:r>
        <w:lastRenderedPageBreak/>
        <w:br w:type="page"/>
      </w:r>
    </w:p>
    <w:p w:rsidR="000E732C" w:rsidRDefault="000E732C" w:rsidP="00C903F8">
      <w:pPr>
        <w:spacing w:line="240" w:lineRule="atLeast"/>
        <w:ind w:left="567" w:hanging="567"/>
      </w:pPr>
    </w:p>
    <w:p w:rsidR="00C903F8" w:rsidRPr="00C903F8" w:rsidRDefault="00C903F8" w:rsidP="00C903F8">
      <w:pPr>
        <w:spacing w:line="240" w:lineRule="atLeast"/>
        <w:ind w:left="567" w:hanging="567"/>
      </w:pPr>
      <w:r>
        <w:t>5.</w:t>
      </w:r>
      <w:r>
        <w:tab/>
        <w:t>Nella tabella riportata qui di seguito valgono le seguenti definizioni:</w:t>
      </w:r>
    </w:p>
    <w:p w:rsidR="00C903F8" w:rsidRPr="00C903F8" w:rsidRDefault="00C903F8" w:rsidP="00C903F8">
      <w:pPr>
        <w:spacing w:line="240" w:lineRule="atLeast"/>
        <w:ind w:left="567" w:hanging="567"/>
      </w:pPr>
    </w:p>
    <w:p w:rsidR="00C903F8" w:rsidRPr="00C903F8" w:rsidRDefault="00C903F8" w:rsidP="00C903F8">
      <w:pPr>
        <w:spacing w:line="240" w:lineRule="atLeast"/>
        <w:ind w:left="567" w:firstLine="0"/>
      </w:pPr>
      <w:r>
        <w:t xml:space="preserve">"N.S.T.": la disposizione non si applica alle imbarcazioni già in servizio soltanto se le parti in questione sono sostituite o trasformate, la disposizione si applica cioè soltanto alle unità di </w:t>
      </w:r>
      <w:r>
        <w:rPr>
          <w:u w:val="single"/>
        </w:rPr>
        <w:t>N</w:t>
      </w:r>
      <w:r>
        <w:t xml:space="preserve">uova costruzione e alle parti o zone </w:t>
      </w:r>
      <w:r>
        <w:rPr>
          <w:u w:val="single"/>
        </w:rPr>
        <w:t>S</w:t>
      </w:r>
      <w:r>
        <w:t xml:space="preserve">ostituite o </w:t>
      </w:r>
      <w:r>
        <w:rPr>
          <w:u w:val="single"/>
        </w:rPr>
        <w:t>T</w:t>
      </w:r>
      <w:r>
        <w:t xml:space="preserve">rasformate. Se alcune parti esistenti sono sostituite con pezzi di ricambio uguali quanto a tecnologia e tipo, non si tratta di sostituzione "S" ai sensi delle disposizioni transitorie; </w:t>
      </w:r>
    </w:p>
    <w:p w:rsidR="00C903F8" w:rsidRPr="00C903F8" w:rsidRDefault="00C903F8" w:rsidP="00C903F8">
      <w:pPr>
        <w:spacing w:line="240" w:lineRule="atLeast"/>
        <w:ind w:left="567" w:firstLine="0"/>
      </w:pPr>
    </w:p>
    <w:p w:rsidR="00C903F8" w:rsidRDefault="00C903F8" w:rsidP="00C903F8">
      <w:pPr>
        <w:tabs>
          <w:tab w:val="left" w:pos="4678"/>
        </w:tabs>
        <w:spacing w:line="240" w:lineRule="atLeast"/>
        <w:ind w:left="567" w:firstLine="0"/>
      </w:pPr>
      <w:r>
        <w:t>"rilascio o rinnovo del certificato per la navigazione interna": la disposizione deve essere soddisfatta entro la data di rilascio o di rinnovo del certificato per la navigazione interna successivamente all'entrata in vigore della disposizione.</w:t>
      </w:r>
    </w:p>
    <w:p w:rsidR="00E67DA4" w:rsidRPr="00C903F8" w:rsidRDefault="00E67DA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5387"/>
        <w:gridCol w:w="1276"/>
        <w:gridCol w:w="1276"/>
      </w:tblGrid>
      <w:tr w:rsidR="00E67DA4" w:rsidRPr="00A0619C" w:rsidTr="00E67DA4">
        <w:trPr>
          <w:cantSplit/>
          <w:tblHeader/>
          <w:jc w:val="center"/>
        </w:trPr>
        <w:tc>
          <w:tcPr>
            <w:tcW w:w="2800" w:type="dxa"/>
            <w:gridSpan w:val="2"/>
            <w:shd w:val="clear" w:color="auto" w:fill="auto"/>
          </w:tcPr>
          <w:p w:rsidR="00E67DA4" w:rsidRPr="00C903F8" w:rsidRDefault="00E67DA4" w:rsidP="00C01A94">
            <w:pPr>
              <w:spacing w:before="60" w:after="60" w:line="240" w:lineRule="atLeast"/>
              <w:ind w:left="0" w:firstLine="0"/>
              <w:jc w:val="center"/>
              <w:rPr>
                <w:rFonts w:cs="Arial"/>
                <w:sz w:val="18"/>
                <w:szCs w:val="18"/>
              </w:rPr>
            </w:pPr>
            <w:r>
              <w:rPr>
                <w:i/>
                <w:sz w:val="18"/>
              </w:rPr>
              <w:t>Articolo e paragrafo</w:t>
            </w:r>
          </w:p>
        </w:tc>
        <w:tc>
          <w:tcPr>
            <w:tcW w:w="3296" w:type="dxa"/>
            <w:shd w:val="clear" w:color="auto" w:fill="auto"/>
          </w:tcPr>
          <w:p w:rsidR="00E67DA4" w:rsidRPr="00C903F8" w:rsidRDefault="00E67DA4" w:rsidP="00C01A94">
            <w:pPr>
              <w:spacing w:before="60" w:after="60" w:line="240" w:lineRule="atLeast"/>
              <w:ind w:left="0" w:firstLine="0"/>
              <w:jc w:val="center"/>
              <w:rPr>
                <w:rFonts w:cs="Arial"/>
                <w:sz w:val="18"/>
                <w:szCs w:val="18"/>
              </w:rPr>
            </w:pPr>
            <w:r>
              <w:rPr>
                <w:i/>
                <w:sz w:val="18"/>
              </w:rPr>
              <w:t>Contenuto</w:t>
            </w:r>
          </w:p>
        </w:tc>
        <w:tc>
          <w:tcPr>
            <w:tcW w:w="6663" w:type="dxa"/>
            <w:gridSpan w:val="2"/>
            <w:shd w:val="clear" w:color="auto" w:fill="auto"/>
          </w:tcPr>
          <w:p w:rsidR="00E67DA4" w:rsidRPr="00C903F8" w:rsidRDefault="00E67DA4" w:rsidP="00C01A94">
            <w:pPr>
              <w:spacing w:before="60" w:after="60" w:line="240" w:lineRule="atLeast"/>
              <w:ind w:left="0" w:firstLine="0"/>
              <w:jc w:val="center"/>
              <w:rPr>
                <w:rFonts w:cs="Arial"/>
                <w:sz w:val="18"/>
                <w:szCs w:val="18"/>
              </w:rPr>
            </w:pPr>
            <w:r>
              <w:rPr>
                <w:i/>
                <w:sz w:val="18"/>
              </w:rPr>
              <w:t>Scadenze e osservazioni</w:t>
            </w:r>
          </w:p>
        </w:tc>
        <w:tc>
          <w:tcPr>
            <w:tcW w:w="1276" w:type="dxa"/>
          </w:tcPr>
          <w:p w:rsidR="00E67DA4" w:rsidRPr="00C903F8" w:rsidRDefault="00E67DA4" w:rsidP="00C01A94">
            <w:pPr>
              <w:spacing w:before="60" w:after="60" w:line="240" w:lineRule="atLeast"/>
              <w:ind w:left="0" w:firstLine="0"/>
              <w:jc w:val="center"/>
              <w:rPr>
                <w:rFonts w:cs="Arial"/>
                <w:sz w:val="18"/>
                <w:szCs w:val="18"/>
              </w:rPr>
            </w:pPr>
            <w:r>
              <w:rPr>
                <w:i/>
                <w:sz w:val="18"/>
              </w:rPr>
              <w:t>Data di entrata in vigore</w:t>
            </w:r>
          </w:p>
        </w:tc>
      </w:tr>
      <w:tr w:rsidR="00E67DA4" w:rsidRPr="00C903F8" w:rsidTr="00E67DA4">
        <w:trPr>
          <w:cantSplit/>
          <w:jc w:val="center"/>
        </w:trPr>
        <w:tc>
          <w:tcPr>
            <w:tcW w:w="6096" w:type="dxa"/>
            <w:gridSpan w:val="3"/>
            <w:shd w:val="clear" w:color="auto" w:fill="auto"/>
          </w:tcPr>
          <w:p w:rsidR="00E67DA4" w:rsidRPr="00C903F8" w:rsidRDefault="00E67DA4" w:rsidP="00C01A94">
            <w:pPr>
              <w:spacing w:before="120" w:after="100" w:line="240" w:lineRule="atLeast"/>
              <w:ind w:left="0" w:firstLine="0"/>
              <w:jc w:val="center"/>
              <w:rPr>
                <w:rFonts w:cs="Arial"/>
                <w:b/>
                <w:sz w:val="18"/>
                <w:szCs w:val="18"/>
              </w:rPr>
            </w:pPr>
            <w:r>
              <w:rPr>
                <w:b/>
                <w:sz w:val="18"/>
              </w:rPr>
              <w:t>CAPO 3</w:t>
            </w:r>
          </w:p>
        </w:tc>
        <w:tc>
          <w:tcPr>
            <w:tcW w:w="5387" w:type="dxa"/>
            <w:shd w:val="clear" w:color="auto" w:fill="auto"/>
          </w:tcPr>
          <w:p w:rsidR="00E67DA4" w:rsidRPr="00C903F8" w:rsidRDefault="00E67DA4" w:rsidP="00C01A94">
            <w:pPr>
              <w:spacing w:before="120" w:after="100" w:line="240" w:lineRule="atLeast"/>
              <w:ind w:left="0" w:firstLine="0"/>
              <w:rPr>
                <w:rFonts w:cs="Arial"/>
                <w:sz w:val="18"/>
                <w:szCs w:val="18"/>
              </w:rPr>
            </w:pPr>
          </w:p>
        </w:tc>
        <w:tc>
          <w:tcPr>
            <w:tcW w:w="1276" w:type="dxa"/>
            <w:shd w:val="clear" w:color="auto" w:fill="auto"/>
          </w:tcPr>
          <w:p w:rsidR="00E67DA4" w:rsidRPr="00C903F8" w:rsidRDefault="00E67DA4" w:rsidP="00C01A94">
            <w:pPr>
              <w:spacing w:before="120" w:after="100" w:line="240" w:lineRule="atLeast"/>
              <w:ind w:left="0" w:firstLine="0"/>
              <w:rPr>
                <w:rFonts w:cs="Arial"/>
                <w:sz w:val="18"/>
                <w:szCs w:val="18"/>
              </w:rPr>
            </w:pPr>
          </w:p>
        </w:tc>
        <w:tc>
          <w:tcPr>
            <w:tcW w:w="1276" w:type="dxa"/>
          </w:tcPr>
          <w:p w:rsidR="00E67DA4" w:rsidRPr="00C903F8" w:rsidRDefault="00E67DA4" w:rsidP="00C01A94">
            <w:pPr>
              <w:spacing w:before="120" w:after="100" w:line="240" w:lineRule="atLeast"/>
              <w:ind w:left="0" w:firstLine="0"/>
              <w:rPr>
                <w:rFonts w:cs="Arial"/>
                <w:sz w:val="18"/>
                <w:szCs w:val="18"/>
              </w:rPr>
            </w:pPr>
          </w:p>
        </w:tc>
      </w:tr>
      <w:tr w:rsidR="00E67DA4" w:rsidRPr="00C903F8" w:rsidTr="00E67DA4">
        <w:trPr>
          <w:cantSplit/>
          <w:jc w:val="center"/>
        </w:trPr>
        <w:tc>
          <w:tcPr>
            <w:tcW w:w="1342" w:type="dxa"/>
            <w:vMerge w:val="restart"/>
            <w:shd w:val="clear" w:color="auto" w:fill="auto"/>
          </w:tcPr>
          <w:p w:rsidR="00E67DA4" w:rsidRPr="00C903F8" w:rsidRDefault="00E67DA4" w:rsidP="00C01A94">
            <w:pPr>
              <w:spacing w:before="120" w:after="100" w:line="240" w:lineRule="atLeast"/>
              <w:ind w:left="0" w:firstLine="0"/>
              <w:rPr>
                <w:rFonts w:cs="Arial"/>
                <w:sz w:val="18"/>
                <w:szCs w:val="18"/>
              </w:rPr>
            </w:pPr>
            <w:r>
              <w:rPr>
                <w:sz w:val="18"/>
              </w:rPr>
              <w:t>3.03</w:t>
            </w:r>
          </w:p>
        </w:tc>
        <w:tc>
          <w:tcPr>
            <w:tcW w:w="1458" w:type="dxa"/>
            <w:shd w:val="clear" w:color="auto" w:fill="auto"/>
          </w:tcPr>
          <w:p w:rsidR="00E67DA4" w:rsidRPr="00C903F8" w:rsidRDefault="00E67DA4" w:rsidP="00C01A94">
            <w:pPr>
              <w:spacing w:before="120" w:after="100" w:line="240" w:lineRule="atLeast"/>
              <w:ind w:left="0" w:firstLine="0"/>
              <w:rPr>
                <w:rFonts w:cs="Arial"/>
                <w:sz w:val="18"/>
                <w:szCs w:val="18"/>
              </w:rPr>
            </w:pPr>
            <w:r>
              <w:rPr>
                <w:sz w:val="18"/>
              </w:rPr>
              <w:t>paragrafo 1, lettera b)</w:t>
            </w:r>
          </w:p>
        </w:tc>
        <w:tc>
          <w:tcPr>
            <w:tcW w:w="3296" w:type="dxa"/>
            <w:shd w:val="clear" w:color="auto" w:fill="auto"/>
          </w:tcPr>
          <w:p w:rsidR="00E67DA4" w:rsidRPr="00C903F8" w:rsidRDefault="00E67DA4" w:rsidP="00C01A94">
            <w:pPr>
              <w:spacing w:before="120" w:after="100" w:line="240" w:lineRule="atLeast"/>
              <w:ind w:left="0" w:firstLine="0"/>
              <w:rPr>
                <w:rFonts w:cs="Arial"/>
                <w:sz w:val="18"/>
                <w:szCs w:val="18"/>
              </w:rPr>
            </w:pPr>
            <w:r>
              <w:rPr>
                <w:sz w:val="18"/>
              </w:rPr>
              <w:t>Posizione della paratia del gavone di poppa</w:t>
            </w:r>
          </w:p>
        </w:tc>
        <w:tc>
          <w:tcPr>
            <w:tcW w:w="5387" w:type="dxa"/>
            <w:shd w:val="clear" w:color="auto" w:fill="auto"/>
          </w:tcPr>
          <w:p w:rsidR="00E67DA4" w:rsidRPr="00C903F8" w:rsidRDefault="008761D9" w:rsidP="00C01A94">
            <w:pPr>
              <w:spacing w:before="120" w:after="10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E67DA4" w:rsidRPr="00C903F8" w:rsidRDefault="00E67DA4" w:rsidP="00C01A94">
            <w:pPr>
              <w:spacing w:before="120" w:after="100" w:line="240" w:lineRule="atLeast"/>
              <w:ind w:left="0" w:firstLine="0"/>
              <w:rPr>
                <w:rFonts w:cs="Arial"/>
                <w:sz w:val="18"/>
                <w:szCs w:val="18"/>
              </w:rPr>
            </w:pPr>
            <w:r>
              <w:rPr>
                <w:sz w:val="18"/>
              </w:rPr>
              <w:t>1.1.2035</w:t>
            </w:r>
          </w:p>
        </w:tc>
        <w:tc>
          <w:tcPr>
            <w:tcW w:w="1276" w:type="dxa"/>
          </w:tcPr>
          <w:p w:rsidR="00E67DA4" w:rsidRPr="004A2F59" w:rsidRDefault="004A2F59" w:rsidP="00C01A94">
            <w:pPr>
              <w:spacing w:before="120" w:after="100" w:line="240" w:lineRule="atLeast"/>
              <w:ind w:left="0" w:firstLine="0"/>
              <w:rPr>
                <w:rFonts w:cs="Arial"/>
                <w:sz w:val="18"/>
                <w:szCs w:val="18"/>
              </w:rPr>
            </w:pPr>
            <w:r>
              <w:rPr>
                <w:sz w:val="18"/>
              </w:rPr>
              <w:t>7.10.2018</w:t>
            </w:r>
          </w:p>
        </w:tc>
      </w:tr>
      <w:tr w:rsidR="00E67DA4" w:rsidRPr="00C903F8" w:rsidTr="000E732C">
        <w:trPr>
          <w:cantSplit/>
          <w:trHeight w:val="788"/>
          <w:jc w:val="center"/>
        </w:trPr>
        <w:tc>
          <w:tcPr>
            <w:tcW w:w="1342" w:type="dxa"/>
            <w:vMerge/>
            <w:shd w:val="clear" w:color="auto" w:fill="auto"/>
          </w:tcPr>
          <w:p w:rsidR="00E67DA4" w:rsidRPr="00C903F8" w:rsidRDefault="00E67DA4" w:rsidP="00C01A94">
            <w:pPr>
              <w:spacing w:before="120" w:after="100" w:line="240" w:lineRule="atLeast"/>
              <w:ind w:left="0" w:firstLine="0"/>
              <w:jc w:val="center"/>
              <w:rPr>
                <w:rFonts w:cs="Arial"/>
                <w:b/>
                <w:sz w:val="18"/>
                <w:szCs w:val="18"/>
              </w:rPr>
            </w:pPr>
          </w:p>
        </w:tc>
        <w:tc>
          <w:tcPr>
            <w:tcW w:w="1458" w:type="dxa"/>
            <w:shd w:val="clear" w:color="auto" w:fill="auto"/>
          </w:tcPr>
          <w:p w:rsidR="00E67DA4" w:rsidRPr="00C903F8" w:rsidRDefault="00E67DA4" w:rsidP="00C01A94">
            <w:pPr>
              <w:spacing w:before="120" w:after="100" w:line="240" w:lineRule="atLeast"/>
              <w:ind w:left="0" w:firstLine="0"/>
              <w:rPr>
                <w:rFonts w:cs="Arial"/>
                <w:sz w:val="18"/>
                <w:szCs w:val="18"/>
              </w:rPr>
            </w:pPr>
            <w:r>
              <w:rPr>
                <w:sz w:val="18"/>
              </w:rPr>
              <w:t>paragrafo 2</w:t>
            </w:r>
          </w:p>
        </w:tc>
        <w:tc>
          <w:tcPr>
            <w:tcW w:w="3296" w:type="dxa"/>
            <w:shd w:val="clear" w:color="auto" w:fill="auto"/>
          </w:tcPr>
          <w:p w:rsidR="00E67DA4" w:rsidRPr="00C903F8" w:rsidRDefault="00E67DA4" w:rsidP="00C01A94">
            <w:pPr>
              <w:tabs>
                <w:tab w:val="left" w:pos="2790"/>
              </w:tabs>
              <w:spacing w:before="120" w:after="100" w:line="240" w:lineRule="atLeast"/>
              <w:ind w:left="0" w:firstLine="0"/>
              <w:jc w:val="left"/>
              <w:rPr>
                <w:rFonts w:cs="Arial"/>
                <w:sz w:val="18"/>
                <w:szCs w:val="18"/>
              </w:rPr>
            </w:pPr>
            <w:r>
              <w:rPr>
                <w:sz w:val="18"/>
              </w:rPr>
              <w:t>Alloggio a poppa della paratia del gavone di poppa</w:t>
            </w:r>
          </w:p>
        </w:tc>
        <w:tc>
          <w:tcPr>
            <w:tcW w:w="5387" w:type="dxa"/>
            <w:shd w:val="clear" w:color="auto" w:fill="auto"/>
          </w:tcPr>
          <w:p w:rsidR="00E67DA4" w:rsidRPr="00C903F8" w:rsidRDefault="008761D9" w:rsidP="00C01A94">
            <w:pPr>
              <w:spacing w:before="120" w:after="10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E67DA4" w:rsidRPr="00C903F8" w:rsidRDefault="00E67DA4" w:rsidP="00C01A94">
            <w:pPr>
              <w:spacing w:before="120" w:after="100" w:line="240" w:lineRule="atLeast"/>
              <w:ind w:left="0" w:firstLine="0"/>
              <w:rPr>
                <w:rFonts w:cs="Arial"/>
                <w:sz w:val="18"/>
                <w:szCs w:val="18"/>
              </w:rPr>
            </w:pPr>
            <w:r>
              <w:rPr>
                <w:sz w:val="18"/>
              </w:rPr>
              <w:t>1.1.2045</w:t>
            </w:r>
          </w:p>
        </w:tc>
        <w:tc>
          <w:tcPr>
            <w:tcW w:w="1276" w:type="dxa"/>
          </w:tcPr>
          <w:p w:rsidR="00E67DA4" w:rsidRPr="004A2F59" w:rsidRDefault="004A2F59" w:rsidP="00C01A94">
            <w:pPr>
              <w:spacing w:before="120" w:after="100" w:line="240" w:lineRule="atLeast"/>
              <w:ind w:left="0" w:firstLine="0"/>
              <w:rPr>
                <w:rFonts w:cs="Arial"/>
                <w:sz w:val="18"/>
                <w:szCs w:val="18"/>
              </w:rPr>
            </w:pPr>
            <w:r>
              <w:rPr>
                <w:sz w:val="18"/>
              </w:rPr>
              <w:t>7.10.2018</w:t>
            </w:r>
          </w:p>
        </w:tc>
      </w:tr>
      <w:tr w:rsidR="00E67DA4" w:rsidRPr="00C903F8" w:rsidTr="00E67DA4">
        <w:trPr>
          <w:cantSplit/>
          <w:jc w:val="center"/>
        </w:trPr>
        <w:tc>
          <w:tcPr>
            <w:tcW w:w="1342" w:type="dxa"/>
            <w:vMerge/>
            <w:shd w:val="clear" w:color="auto" w:fill="auto"/>
          </w:tcPr>
          <w:p w:rsidR="00E67DA4" w:rsidRPr="00C903F8" w:rsidRDefault="00E67DA4" w:rsidP="00C01A94">
            <w:pPr>
              <w:spacing w:before="120" w:after="100" w:line="240" w:lineRule="atLeast"/>
              <w:ind w:left="0" w:firstLine="0"/>
              <w:jc w:val="center"/>
              <w:rPr>
                <w:rFonts w:cs="Arial"/>
                <w:b/>
                <w:sz w:val="18"/>
                <w:szCs w:val="18"/>
              </w:rPr>
            </w:pPr>
          </w:p>
        </w:tc>
        <w:tc>
          <w:tcPr>
            <w:tcW w:w="1458" w:type="dxa"/>
            <w:shd w:val="clear" w:color="auto" w:fill="auto"/>
          </w:tcPr>
          <w:p w:rsidR="00E67DA4" w:rsidRPr="00C903F8" w:rsidRDefault="00E67DA4" w:rsidP="00C01A94">
            <w:pPr>
              <w:spacing w:before="120" w:after="100" w:line="240" w:lineRule="atLeast"/>
              <w:ind w:left="0" w:firstLine="0"/>
              <w:rPr>
                <w:rFonts w:cs="Arial"/>
                <w:sz w:val="18"/>
                <w:szCs w:val="18"/>
              </w:rPr>
            </w:pPr>
            <w:r>
              <w:rPr>
                <w:sz w:val="18"/>
              </w:rPr>
              <w:t>paragrafo 7</w:t>
            </w:r>
          </w:p>
        </w:tc>
        <w:tc>
          <w:tcPr>
            <w:tcW w:w="3296" w:type="dxa"/>
            <w:shd w:val="clear" w:color="auto" w:fill="auto"/>
          </w:tcPr>
          <w:p w:rsidR="00E67DA4" w:rsidRPr="00C903F8" w:rsidRDefault="00E67DA4" w:rsidP="00C01A94">
            <w:pPr>
              <w:spacing w:before="120" w:after="100" w:line="240" w:lineRule="atLeast"/>
              <w:ind w:left="0" w:firstLine="0"/>
              <w:rPr>
                <w:rFonts w:cs="Arial"/>
                <w:sz w:val="18"/>
                <w:szCs w:val="18"/>
              </w:rPr>
            </w:pPr>
            <w:r>
              <w:rPr>
                <w:sz w:val="18"/>
              </w:rPr>
              <w:t>Prue con nicchie per ancore</w:t>
            </w:r>
          </w:p>
        </w:tc>
        <w:tc>
          <w:tcPr>
            <w:tcW w:w="5387" w:type="dxa"/>
            <w:shd w:val="clear" w:color="auto" w:fill="auto"/>
          </w:tcPr>
          <w:p w:rsidR="00E67DA4" w:rsidRPr="00C903F8" w:rsidRDefault="00E67DA4" w:rsidP="00C01A94">
            <w:pPr>
              <w:spacing w:before="120" w:after="100" w:line="240" w:lineRule="atLeast"/>
              <w:ind w:left="0" w:firstLine="0"/>
              <w:rPr>
                <w:rFonts w:cs="Arial"/>
                <w:sz w:val="18"/>
                <w:szCs w:val="18"/>
              </w:rPr>
            </w:pPr>
            <w:r>
              <w:rPr>
                <w:sz w:val="18"/>
              </w:rPr>
              <w:t xml:space="preserve">La disposizione entra in vigore a decorrere dall'1.1.2001: N.S.T., al più tardi alla data del rinnovo del certificato per la navigazione interna posteriormente al </w:t>
            </w:r>
          </w:p>
        </w:tc>
        <w:tc>
          <w:tcPr>
            <w:tcW w:w="1276" w:type="dxa"/>
            <w:shd w:val="clear" w:color="auto" w:fill="auto"/>
          </w:tcPr>
          <w:p w:rsidR="00E67DA4" w:rsidRPr="00C903F8" w:rsidRDefault="00E67DA4" w:rsidP="00C01A94">
            <w:pPr>
              <w:spacing w:before="120" w:after="100" w:line="240" w:lineRule="atLeast"/>
              <w:ind w:left="0" w:firstLine="0"/>
              <w:rPr>
                <w:rFonts w:cs="Arial"/>
                <w:sz w:val="18"/>
                <w:szCs w:val="18"/>
              </w:rPr>
            </w:pPr>
            <w:r>
              <w:rPr>
                <w:sz w:val="18"/>
              </w:rPr>
              <w:t>1.1.2041</w:t>
            </w:r>
          </w:p>
        </w:tc>
        <w:tc>
          <w:tcPr>
            <w:tcW w:w="1276" w:type="dxa"/>
          </w:tcPr>
          <w:p w:rsidR="00E67DA4" w:rsidRPr="004A2F59" w:rsidRDefault="004A2F59" w:rsidP="00C01A94">
            <w:pPr>
              <w:spacing w:before="120" w:after="100" w:line="240" w:lineRule="atLeast"/>
              <w:ind w:left="0" w:firstLine="0"/>
              <w:rPr>
                <w:rFonts w:cs="Arial"/>
                <w:sz w:val="18"/>
                <w:szCs w:val="18"/>
              </w:rPr>
            </w:pPr>
            <w:r>
              <w:rPr>
                <w:sz w:val="18"/>
              </w:rPr>
              <w:t>7.10.2018</w:t>
            </w:r>
          </w:p>
        </w:tc>
      </w:tr>
      <w:tr w:rsidR="00E67DA4" w:rsidRPr="00C903F8" w:rsidTr="00E67DA4">
        <w:trPr>
          <w:cantSplit/>
          <w:jc w:val="center"/>
        </w:trPr>
        <w:tc>
          <w:tcPr>
            <w:tcW w:w="6096" w:type="dxa"/>
            <w:gridSpan w:val="3"/>
            <w:shd w:val="clear" w:color="auto" w:fill="auto"/>
          </w:tcPr>
          <w:p w:rsidR="00E67DA4" w:rsidRPr="00C903F8" w:rsidRDefault="00E67DA4" w:rsidP="00C01A94">
            <w:pPr>
              <w:spacing w:before="120" w:after="100" w:line="240" w:lineRule="atLeast"/>
              <w:ind w:left="0" w:firstLine="0"/>
              <w:jc w:val="center"/>
              <w:rPr>
                <w:rFonts w:cs="Arial"/>
                <w:sz w:val="18"/>
                <w:szCs w:val="18"/>
              </w:rPr>
            </w:pPr>
            <w:r>
              <w:rPr>
                <w:b/>
                <w:sz w:val="18"/>
              </w:rPr>
              <w:t>CAPO 6</w:t>
            </w:r>
          </w:p>
        </w:tc>
        <w:tc>
          <w:tcPr>
            <w:tcW w:w="5387" w:type="dxa"/>
            <w:shd w:val="clear" w:color="auto" w:fill="auto"/>
          </w:tcPr>
          <w:p w:rsidR="00E67DA4" w:rsidRPr="00C903F8" w:rsidRDefault="00E67DA4" w:rsidP="00C01A94">
            <w:pPr>
              <w:spacing w:before="120" w:after="100" w:line="240" w:lineRule="atLeast"/>
              <w:ind w:left="0" w:firstLine="0"/>
              <w:rPr>
                <w:rFonts w:cs="Arial"/>
                <w:sz w:val="18"/>
                <w:szCs w:val="18"/>
              </w:rPr>
            </w:pPr>
          </w:p>
        </w:tc>
        <w:tc>
          <w:tcPr>
            <w:tcW w:w="1276" w:type="dxa"/>
            <w:shd w:val="clear" w:color="auto" w:fill="auto"/>
          </w:tcPr>
          <w:p w:rsidR="00E67DA4" w:rsidRPr="00C903F8" w:rsidRDefault="00E67DA4" w:rsidP="00C01A94">
            <w:pPr>
              <w:spacing w:before="120" w:after="100" w:line="240" w:lineRule="atLeast"/>
              <w:ind w:left="0" w:firstLine="0"/>
              <w:rPr>
                <w:rFonts w:cs="Arial"/>
                <w:sz w:val="18"/>
                <w:szCs w:val="18"/>
              </w:rPr>
            </w:pPr>
          </w:p>
        </w:tc>
        <w:tc>
          <w:tcPr>
            <w:tcW w:w="1276" w:type="dxa"/>
          </w:tcPr>
          <w:p w:rsidR="00E67DA4" w:rsidRPr="00C903F8" w:rsidRDefault="00E67DA4" w:rsidP="00C01A94">
            <w:pPr>
              <w:spacing w:before="120" w:after="100" w:line="240" w:lineRule="atLeast"/>
              <w:ind w:left="0" w:firstLine="0"/>
              <w:rPr>
                <w:rFonts w:cs="Arial"/>
                <w:sz w:val="18"/>
                <w:szCs w:val="18"/>
              </w:rPr>
            </w:pPr>
          </w:p>
        </w:tc>
      </w:tr>
      <w:tr w:rsidR="00E67DA4" w:rsidRPr="00C903F8" w:rsidTr="000E732C">
        <w:trPr>
          <w:cantSplit/>
          <w:trHeight w:val="800"/>
          <w:jc w:val="center"/>
        </w:trPr>
        <w:tc>
          <w:tcPr>
            <w:tcW w:w="1342" w:type="dxa"/>
            <w:vMerge w:val="restart"/>
            <w:shd w:val="clear" w:color="auto" w:fill="auto"/>
          </w:tcPr>
          <w:p w:rsidR="00E67DA4" w:rsidRPr="00C903F8" w:rsidRDefault="00E67DA4" w:rsidP="00C01A94">
            <w:pPr>
              <w:spacing w:before="120" w:after="100" w:line="240" w:lineRule="atLeast"/>
              <w:ind w:left="0" w:firstLine="0"/>
              <w:rPr>
                <w:rFonts w:cs="Arial"/>
                <w:sz w:val="18"/>
                <w:szCs w:val="18"/>
              </w:rPr>
            </w:pPr>
            <w:r>
              <w:rPr>
                <w:sz w:val="18"/>
              </w:rPr>
              <w:t>6.02</w:t>
            </w:r>
          </w:p>
        </w:tc>
        <w:tc>
          <w:tcPr>
            <w:tcW w:w="1458" w:type="dxa"/>
            <w:vMerge w:val="restart"/>
            <w:shd w:val="clear" w:color="auto" w:fill="auto"/>
          </w:tcPr>
          <w:p w:rsidR="00E67DA4" w:rsidRPr="00C903F8" w:rsidRDefault="00E67DA4" w:rsidP="00C01A94">
            <w:pPr>
              <w:spacing w:before="120" w:after="100" w:line="240" w:lineRule="atLeast"/>
              <w:ind w:left="0" w:firstLine="0"/>
              <w:rPr>
                <w:rFonts w:cs="Arial"/>
                <w:sz w:val="18"/>
                <w:szCs w:val="18"/>
              </w:rPr>
            </w:pPr>
            <w:r>
              <w:rPr>
                <w:sz w:val="18"/>
              </w:rPr>
              <w:t>paragrafo 1</w:t>
            </w:r>
          </w:p>
        </w:tc>
        <w:tc>
          <w:tcPr>
            <w:tcW w:w="3296" w:type="dxa"/>
            <w:shd w:val="clear" w:color="auto" w:fill="auto"/>
          </w:tcPr>
          <w:p w:rsidR="00E67DA4" w:rsidRPr="00C903F8" w:rsidRDefault="00E67DA4" w:rsidP="00C01A94">
            <w:pPr>
              <w:spacing w:before="120" w:after="100" w:line="240" w:lineRule="atLeast"/>
              <w:ind w:left="0" w:firstLine="0"/>
              <w:rPr>
                <w:rFonts w:cs="Arial"/>
                <w:sz w:val="18"/>
                <w:szCs w:val="18"/>
              </w:rPr>
            </w:pPr>
            <w:r>
              <w:rPr>
                <w:sz w:val="18"/>
              </w:rPr>
              <w:t>Raddoppio della valvole di manovra in caso di dispositivo di azionamento idraulico</w:t>
            </w:r>
          </w:p>
        </w:tc>
        <w:tc>
          <w:tcPr>
            <w:tcW w:w="5387" w:type="dxa"/>
            <w:shd w:val="clear" w:color="auto" w:fill="auto"/>
          </w:tcPr>
          <w:p w:rsidR="00E67DA4" w:rsidRPr="00C903F8" w:rsidRDefault="008761D9" w:rsidP="00C01A94">
            <w:pPr>
              <w:spacing w:before="120" w:after="10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E67DA4" w:rsidRPr="00C903F8" w:rsidRDefault="00E67DA4" w:rsidP="00C01A94">
            <w:pPr>
              <w:spacing w:before="120" w:after="100" w:line="240" w:lineRule="atLeast"/>
              <w:ind w:left="0" w:firstLine="0"/>
              <w:rPr>
                <w:rFonts w:cs="Arial"/>
                <w:sz w:val="18"/>
                <w:szCs w:val="18"/>
              </w:rPr>
            </w:pPr>
            <w:r>
              <w:rPr>
                <w:sz w:val="18"/>
              </w:rPr>
              <w:t>1.1.2020</w:t>
            </w:r>
          </w:p>
        </w:tc>
        <w:tc>
          <w:tcPr>
            <w:tcW w:w="1276" w:type="dxa"/>
          </w:tcPr>
          <w:p w:rsidR="00E67DA4" w:rsidRPr="00C903F8" w:rsidRDefault="00E67DA4" w:rsidP="00C01A94">
            <w:pPr>
              <w:spacing w:before="120" w:after="100" w:line="240" w:lineRule="atLeast"/>
              <w:ind w:left="0" w:firstLine="0"/>
              <w:rPr>
                <w:rFonts w:cs="Arial"/>
                <w:sz w:val="18"/>
                <w:szCs w:val="18"/>
              </w:rPr>
            </w:pPr>
            <w:r>
              <w:rPr>
                <w:sz w:val="18"/>
              </w:rPr>
              <w:t>1.4.2007</w:t>
            </w:r>
          </w:p>
        </w:tc>
      </w:tr>
      <w:tr w:rsidR="00E67DA4" w:rsidRPr="00C903F8" w:rsidTr="000E732C">
        <w:trPr>
          <w:cantSplit/>
          <w:trHeight w:val="1208"/>
          <w:jc w:val="center"/>
        </w:trPr>
        <w:tc>
          <w:tcPr>
            <w:tcW w:w="1342" w:type="dxa"/>
            <w:vMerge/>
            <w:shd w:val="clear" w:color="auto" w:fill="auto"/>
          </w:tcPr>
          <w:p w:rsidR="00E67DA4" w:rsidRPr="00C903F8" w:rsidRDefault="00E67DA4" w:rsidP="00C01A94">
            <w:pPr>
              <w:spacing w:before="120" w:after="100" w:line="240" w:lineRule="atLeast"/>
              <w:ind w:left="0" w:firstLine="0"/>
              <w:rPr>
                <w:rFonts w:cs="Arial"/>
                <w:sz w:val="18"/>
                <w:szCs w:val="18"/>
              </w:rPr>
            </w:pPr>
          </w:p>
        </w:tc>
        <w:tc>
          <w:tcPr>
            <w:tcW w:w="1458" w:type="dxa"/>
            <w:vMerge/>
            <w:shd w:val="clear" w:color="auto" w:fill="auto"/>
          </w:tcPr>
          <w:p w:rsidR="00E67DA4" w:rsidRPr="00C903F8" w:rsidRDefault="00E67DA4" w:rsidP="00C01A94">
            <w:pPr>
              <w:spacing w:before="120" w:after="100" w:line="240" w:lineRule="atLeast"/>
              <w:ind w:left="0" w:firstLine="0"/>
              <w:rPr>
                <w:rFonts w:cs="Arial"/>
                <w:sz w:val="18"/>
                <w:szCs w:val="18"/>
              </w:rPr>
            </w:pPr>
          </w:p>
        </w:tc>
        <w:tc>
          <w:tcPr>
            <w:tcW w:w="3296" w:type="dxa"/>
            <w:shd w:val="clear" w:color="auto" w:fill="auto"/>
          </w:tcPr>
          <w:p w:rsidR="00E67DA4" w:rsidRPr="00C903F8" w:rsidRDefault="00E67DA4" w:rsidP="00C01A94">
            <w:pPr>
              <w:tabs>
                <w:tab w:val="left" w:pos="1125"/>
              </w:tabs>
              <w:spacing w:before="120" w:after="100" w:line="240" w:lineRule="atLeast"/>
              <w:ind w:left="0" w:firstLine="0"/>
              <w:rPr>
                <w:rFonts w:cs="Arial"/>
                <w:sz w:val="18"/>
                <w:szCs w:val="18"/>
              </w:rPr>
            </w:pPr>
            <w:r>
              <w:rPr>
                <w:sz w:val="18"/>
              </w:rPr>
              <w:t>Condutture separate per il secondo dispositivo di azionamento in caso di dispositivi di azionamento idraulici</w:t>
            </w:r>
          </w:p>
        </w:tc>
        <w:tc>
          <w:tcPr>
            <w:tcW w:w="5387" w:type="dxa"/>
            <w:shd w:val="clear" w:color="auto" w:fill="auto"/>
          </w:tcPr>
          <w:p w:rsidR="00E67DA4" w:rsidRPr="00C903F8" w:rsidRDefault="008761D9" w:rsidP="00C01A94">
            <w:pPr>
              <w:spacing w:before="120" w:after="10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E67DA4" w:rsidRPr="00C903F8" w:rsidRDefault="00E67DA4" w:rsidP="00C01A94">
            <w:pPr>
              <w:spacing w:before="120" w:after="100" w:line="240" w:lineRule="atLeast"/>
              <w:ind w:left="0" w:firstLine="0"/>
              <w:rPr>
                <w:rFonts w:cs="Arial"/>
                <w:sz w:val="18"/>
                <w:szCs w:val="18"/>
              </w:rPr>
            </w:pPr>
            <w:r>
              <w:rPr>
                <w:sz w:val="18"/>
              </w:rPr>
              <w:t>1.1.2020</w:t>
            </w:r>
          </w:p>
        </w:tc>
        <w:tc>
          <w:tcPr>
            <w:tcW w:w="1276" w:type="dxa"/>
          </w:tcPr>
          <w:p w:rsidR="00E67DA4" w:rsidRPr="00C903F8" w:rsidRDefault="00E67DA4" w:rsidP="00C01A94">
            <w:pPr>
              <w:spacing w:before="120" w:after="100" w:line="240" w:lineRule="atLeast"/>
              <w:ind w:left="0" w:firstLine="0"/>
              <w:rPr>
                <w:rFonts w:cs="Arial"/>
                <w:sz w:val="18"/>
                <w:szCs w:val="18"/>
              </w:rPr>
            </w:pPr>
            <w:r>
              <w:rPr>
                <w:sz w:val="18"/>
              </w:rPr>
              <w:t>1.4.2007</w:t>
            </w:r>
          </w:p>
        </w:tc>
      </w:tr>
      <w:tr w:rsidR="00E67DA4" w:rsidRPr="00C903F8" w:rsidTr="00E67DA4">
        <w:trPr>
          <w:cantSplit/>
          <w:jc w:val="center"/>
        </w:trPr>
        <w:tc>
          <w:tcPr>
            <w:tcW w:w="1342" w:type="dxa"/>
            <w:shd w:val="clear" w:color="auto" w:fill="auto"/>
          </w:tcPr>
          <w:p w:rsidR="00E67DA4" w:rsidRPr="00C903F8" w:rsidRDefault="00E67DA4" w:rsidP="00C01A94">
            <w:pPr>
              <w:spacing w:before="120" w:after="100" w:line="240" w:lineRule="atLeast"/>
              <w:ind w:left="0" w:firstLine="0"/>
              <w:rPr>
                <w:rFonts w:cs="Arial"/>
                <w:sz w:val="18"/>
                <w:szCs w:val="18"/>
              </w:rPr>
            </w:pPr>
            <w:r>
              <w:rPr>
                <w:sz w:val="18"/>
              </w:rPr>
              <w:lastRenderedPageBreak/>
              <w:t>6.07</w:t>
            </w:r>
          </w:p>
        </w:tc>
        <w:tc>
          <w:tcPr>
            <w:tcW w:w="1458" w:type="dxa"/>
            <w:shd w:val="clear" w:color="auto" w:fill="auto"/>
          </w:tcPr>
          <w:p w:rsidR="00E67DA4" w:rsidRPr="00C903F8" w:rsidRDefault="002B3AE0" w:rsidP="00C01A94">
            <w:pPr>
              <w:spacing w:before="120" w:after="100" w:line="240" w:lineRule="atLeast"/>
              <w:ind w:left="0" w:firstLine="0"/>
              <w:rPr>
                <w:rFonts w:cs="Arial"/>
                <w:sz w:val="18"/>
                <w:szCs w:val="18"/>
              </w:rPr>
            </w:pPr>
            <w:r>
              <w:rPr>
                <w:sz w:val="18"/>
              </w:rPr>
              <w:t>paragrafo 2, lettera a)</w:t>
            </w:r>
          </w:p>
        </w:tc>
        <w:tc>
          <w:tcPr>
            <w:tcW w:w="3296" w:type="dxa"/>
            <w:shd w:val="clear" w:color="auto" w:fill="auto"/>
          </w:tcPr>
          <w:p w:rsidR="00E67DA4" w:rsidRPr="00C903F8" w:rsidRDefault="00E67DA4" w:rsidP="00C01A94">
            <w:pPr>
              <w:tabs>
                <w:tab w:val="left" w:pos="1080"/>
              </w:tabs>
              <w:spacing w:before="120" w:after="100" w:line="240" w:lineRule="atLeast"/>
              <w:ind w:left="0" w:firstLine="0"/>
              <w:rPr>
                <w:rFonts w:cs="Arial"/>
                <w:sz w:val="18"/>
                <w:szCs w:val="18"/>
              </w:rPr>
            </w:pPr>
            <w:r>
              <w:rPr>
                <w:noProof/>
                <w:sz w:val="18"/>
              </w:rPr>
              <w:t>Allarme di livello dei serbatoi idraulici e allarme di pressione di servizio</w:t>
            </w:r>
          </w:p>
        </w:tc>
        <w:tc>
          <w:tcPr>
            <w:tcW w:w="5387" w:type="dxa"/>
            <w:shd w:val="clear" w:color="auto" w:fill="auto"/>
          </w:tcPr>
          <w:p w:rsidR="00E67DA4" w:rsidRPr="00C903F8" w:rsidRDefault="008761D9" w:rsidP="00C01A94">
            <w:pPr>
              <w:spacing w:before="120" w:after="10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E67DA4" w:rsidRPr="00C903F8" w:rsidRDefault="00E67DA4" w:rsidP="00C01A94">
            <w:pPr>
              <w:spacing w:before="120" w:after="100" w:line="240" w:lineRule="atLeast"/>
              <w:ind w:left="0" w:firstLine="0"/>
              <w:rPr>
                <w:rFonts w:cs="Arial"/>
                <w:sz w:val="18"/>
                <w:szCs w:val="18"/>
              </w:rPr>
            </w:pPr>
            <w:r>
              <w:rPr>
                <w:sz w:val="18"/>
              </w:rPr>
              <w:t>1.1.2010</w:t>
            </w:r>
          </w:p>
        </w:tc>
        <w:tc>
          <w:tcPr>
            <w:tcW w:w="1276" w:type="dxa"/>
          </w:tcPr>
          <w:p w:rsidR="00E67DA4" w:rsidRPr="00C903F8" w:rsidRDefault="00E67DA4" w:rsidP="00C01A94">
            <w:pPr>
              <w:spacing w:before="120" w:after="100" w:line="240" w:lineRule="atLeast"/>
              <w:ind w:left="0" w:firstLine="0"/>
              <w:rPr>
                <w:rFonts w:cs="Arial"/>
                <w:sz w:val="18"/>
                <w:szCs w:val="18"/>
              </w:rPr>
            </w:pPr>
            <w:r>
              <w:rPr>
                <w:sz w:val="18"/>
              </w:rPr>
              <w:t>1.4.2007</w:t>
            </w:r>
          </w:p>
        </w:tc>
      </w:tr>
      <w:tr w:rsidR="00E67DA4" w:rsidRPr="00C903F8" w:rsidTr="007E2EA9">
        <w:trPr>
          <w:cantSplit/>
          <w:trHeight w:val="499"/>
          <w:jc w:val="center"/>
        </w:trPr>
        <w:tc>
          <w:tcPr>
            <w:tcW w:w="6096" w:type="dxa"/>
            <w:gridSpan w:val="3"/>
            <w:shd w:val="clear" w:color="auto" w:fill="auto"/>
          </w:tcPr>
          <w:p w:rsidR="00E67DA4" w:rsidRPr="00C903F8" w:rsidRDefault="00E67DA4" w:rsidP="00C01A94">
            <w:pPr>
              <w:spacing w:before="60" w:after="60" w:line="240" w:lineRule="atLeast"/>
              <w:ind w:left="0" w:firstLine="0"/>
              <w:jc w:val="center"/>
              <w:rPr>
                <w:rFonts w:cs="Arial"/>
                <w:sz w:val="18"/>
                <w:szCs w:val="18"/>
              </w:rPr>
            </w:pPr>
            <w:r>
              <w:rPr>
                <w:b/>
                <w:sz w:val="18"/>
              </w:rPr>
              <w:t>CAPO 7</w:t>
            </w:r>
          </w:p>
        </w:tc>
        <w:tc>
          <w:tcPr>
            <w:tcW w:w="5387" w:type="dxa"/>
            <w:shd w:val="clear" w:color="auto" w:fill="auto"/>
          </w:tcPr>
          <w:p w:rsidR="00E67DA4" w:rsidRPr="00C903F8" w:rsidRDefault="00E67DA4" w:rsidP="00C01A94">
            <w:pPr>
              <w:spacing w:before="60" w:after="60" w:line="240" w:lineRule="atLeast"/>
              <w:ind w:left="0" w:firstLine="0"/>
              <w:rPr>
                <w:rFonts w:cs="Arial"/>
                <w:sz w:val="18"/>
                <w:szCs w:val="18"/>
              </w:rPr>
            </w:pPr>
          </w:p>
        </w:tc>
        <w:tc>
          <w:tcPr>
            <w:tcW w:w="1276" w:type="dxa"/>
            <w:shd w:val="clear" w:color="auto" w:fill="auto"/>
          </w:tcPr>
          <w:p w:rsidR="00E67DA4" w:rsidRPr="00C903F8" w:rsidRDefault="00E67DA4" w:rsidP="00C01A94">
            <w:pPr>
              <w:spacing w:before="60" w:after="60" w:line="240" w:lineRule="atLeast"/>
              <w:ind w:left="0" w:firstLine="0"/>
              <w:rPr>
                <w:rFonts w:cs="Arial"/>
                <w:sz w:val="18"/>
                <w:szCs w:val="18"/>
              </w:rPr>
            </w:pPr>
          </w:p>
        </w:tc>
        <w:tc>
          <w:tcPr>
            <w:tcW w:w="1276" w:type="dxa"/>
          </w:tcPr>
          <w:p w:rsidR="00E67DA4" w:rsidRPr="00C903F8" w:rsidRDefault="00E67DA4" w:rsidP="00C01A94">
            <w:pPr>
              <w:spacing w:before="60" w:after="60" w:line="240" w:lineRule="atLeast"/>
              <w:ind w:left="0" w:firstLine="0"/>
              <w:rPr>
                <w:rFonts w:cs="Arial"/>
                <w:sz w:val="18"/>
                <w:szCs w:val="18"/>
              </w:rPr>
            </w:pPr>
          </w:p>
        </w:tc>
      </w:tr>
      <w:tr w:rsidR="00E67DA4" w:rsidRPr="00C903F8" w:rsidTr="005034E6">
        <w:trPr>
          <w:cantSplit/>
          <w:jc w:val="center"/>
        </w:trPr>
        <w:tc>
          <w:tcPr>
            <w:tcW w:w="1342" w:type="dxa"/>
            <w:tcBorders>
              <w:bottom w:val="single" w:sz="4" w:space="0" w:color="auto"/>
            </w:tcBorders>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7.02</w:t>
            </w:r>
          </w:p>
        </w:tc>
        <w:tc>
          <w:tcPr>
            <w:tcW w:w="1458" w:type="dxa"/>
            <w:shd w:val="clear" w:color="auto" w:fill="auto"/>
          </w:tcPr>
          <w:p w:rsidR="00E67DA4" w:rsidRPr="00C903F8" w:rsidRDefault="00E67DA4" w:rsidP="00C01A94">
            <w:pPr>
              <w:spacing w:before="60" w:after="60" w:line="240" w:lineRule="atLeast"/>
              <w:rPr>
                <w:rFonts w:cs="Arial"/>
                <w:sz w:val="18"/>
                <w:szCs w:val="18"/>
              </w:rPr>
            </w:pPr>
            <w:r>
              <w:rPr>
                <w:sz w:val="18"/>
              </w:rPr>
              <w:t>paragrafo 6</w:t>
            </w:r>
          </w:p>
        </w:tc>
        <w:tc>
          <w:tcPr>
            <w:tcW w:w="3296" w:type="dxa"/>
            <w:shd w:val="clear" w:color="auto" w:fill="auto"/>
          </w:tcPr>
          <w:p w:rsidR="00E67DA4" w:rsidRPr="00C903F8" w:rsidRDefault="00E67DA4" w:rsidP="00C01A94">
            <w:pPr>
              <w:spacing w:before="60" w:after="60" w:line="240" w:lineRule="atLeast"/>
              <w:rPr>
                <w:rFonts w:cs="Arial"/>
                <w:sz w:val="18"/>
                <w:szCs w:val="18"/>
              </w:rPr>
            </w:pPr>
            <w:r>
              <w:rPr>
                <w:sz w:val="18"/>
              </w:rPr>
              <w:t>Progettazione del vetro di sicurezza</w:t>
            </w:r>
          </w:p>
        </w:tc>
        <w:tc>
          <w:tcPr>
            <w:tcW w:w="5387" w:type="dxa"/>
            <w:shd w:val="clear" w:color="auto" w:fill="auto"/>
          </w:tcPr>
          <w:p w:rsidR="00E67DA4" w:rsidRPr="00C903F8" w:rsidRDefault="008761D9" w:rsidP="00C01A94">
            <w:pPr>
              <w:spacing w:before="60" w:after="60" w:line="240" w:lineRule="atLeast"/>
              <w:rPr>
                <w:rFonts w:cs="Arial"/>
                <w:sz w:val="18"/>
                <w:szCs w:val="18"/>
              </w:rPr>
            </w:pPr>
            <w:r>
              <w:rPr>
                <w:sz w:val="18"/>
              </w:rPr>
              <w:t>N.S.T</w:t>
            </w:r>
          </w:p>
        </w:tc>
        <w:tc>
          <w:tcPr>
            <w:tcW w:w="1276" w:type="dxa"/>
            <w:shd w:val="clear" w:color="auto" w:fill="auto"/>
          </w:tcPr>
          <w:p w:rsidR="00E67DA4" w:rsidRPr="00C903F8" w:rsidRDefault="00E67DA4" w:rsidP="00C01A94">
            <w:pPr>
              <w:spacing w:before="60" w:after="60" w:line="240" w:lineRule="atLeast"/>
              <w:ind w:left="0" w:firstLine="0"/>
              <w:rPr>
                <w:rFonts w:cs="Arial"/>
                <w:sz w:val="18"/>
                <w:szCs w:val="18"/>
              </w:rPr>
            </w:pPr>
          </w:p>
        </w:tc>
        <w:tc>
          <w:tcPr>
            <w:tcW w:w="1276" w:type="dxa"/>
          </w:tcPr>
          <w:p w:rsidR="00E67DA4" w:rsidRPr="00C903F8" w:rsidRDefault="00401300" w:rsidP="00C01A94">
            <w:pPr>
              <w:spacing w:before="60" w:after="60" w:line="240" w:lineRule="atLeast"/>
              <w:ind w:left="0" w:firstLine="0"/>
              <w:rPr>
                <w:rFonts w:cs="Arial"/>
                <w:sz w:val="18"/>
                <w:szCs w:val="18"/>
              </w:rPr>
            </w:pPr>
            <w:r>
              <w:rPr>
                <w:sz w:val="18"/>
              </w:rPr>
              <w:t>7.10.2018</w:t>
            </w:r>
          </w:p>
        </w:tc>
      </w:tr>
      <w:tr w:rsidR="00E67DA4" w:rsidRPr="00C903F8" w:rsidTr="005034E6">
        <w:trPr>
          <w:cantSplit/>
          <w:jc w:val="center"/>
        </w:trPr>
        <w:tc>
          <w:tcPr>
            <w:tcW w:w="1342" w:type="dxa"/>
            <w:vMerge w:val="restart"/>
            <w:tcBorders>
              <w:bottom w:val="nil"/>
            </w:tcBorders>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7.04</w:t>
            </w:r>
          </w:p>
        </w:tc>
        <w:tc>
          <w:tcPr>
            <w:tcW w:w="1458"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paragrafo 3</w:t>
            </w:r>
          </w:p>
        </w:tc>
        <w:tc>
          <w:tcPr>
            <w:tcW w:w="3296" w:type="dxa"/>
            <w:shd w:val="clear" w:color="auto" w:fill="auto"/>
          </w:tcPr>
          <w:p w:rsidR="00E67DA4" w:rsidRPr="00C903F8" w:rsidRDefault="00E67DA4" w:rsidP="00C01A94">
            <w:pPr>
              <w:spacing w:before="60" w:after="60" w:line="240" w:lineRule="atLeast"/>
              <w:ind w:left="0" w:firstLine="0"/>
              <w:rPr>
                <w:rFonts w:cs="Arial"/>
                <w:sz w:val="18"/>
                <w:szCs w:val="18"/>
              </w:rPr>
            </w:pPr>
            <w:r>
              <w:rPr>
                <w:noProof/>
                <w:sz w:val="18"/>
              </w:rPr>
              <w:t>Schermo</w:t>
            </w:r>
          </w:p>
        </w:tc>
        <w:tc>
          <w:tcPr>
            <w:tcW w:w="5387" w:type="dxa"/>
            <w:shd w:val="clear" w:color="auto" w:fill="auto"/>
          </w:tcPr>
          <w:p w:rsidR="00E67DA4" w:rsidRPr="00C903F8" w:rsidRDefault="00E67DA4" w:rsidP="00C01A94">
            <w:pPr>
              <w:spacing w:before="60" w:after="60" w:line="240" w:lineRule="atLeast"/>
              <w:ind w:left="0" w:firstLine="0"/>
              <w:rPr>
                <w:rFonts w:cs="Arial"/>
                <w:sz w:val="18"/>
                <w:szCs w:val="18"/>
              </w:rPr>
            </w:pPr>
            <w:r>
              <w:rPr>
                <w:noProof/>
                <w:sz w:val="18"/>
              </w:rPr>
              <w:t>Salvo nelle timonerie attrezzate per la navigazione con radar da parte di una sola persona: N.S.T., al più tardi alla data del rinnovo del certificato per la navigazione interna posteriormente al</w:t>
            </w:r>
          </w:p>
        </w:tc>
        <w:tc>
          <w:tcPr>
            <w:tcW w:w="1276"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1.1.2010</w:t>
            </w:r>
          </w:p>
        </w:tc>
        <w:tc>
          <w:tcPr>
            <w:tcW w:w="1276" w:type="dxa"/>
          </w:tcPr>
          <w:p w:rsidR="00E67DA4" w:rsidRPr="00C903F8" w:rsidRDefault="00E67DA4" w:rsidP="00C01A94">
            <w:pPr>
              <w:spacing w:before="60" w:after="60" w:line="240" w:lineRule="atLeast"/>
              <w:ind w:left="0" w:firstLine="0"/>
              <w:rPr>
                <w:rFonts w:cs="Arial"/>
                <w:sz w:val="18"/>
                <w:szCs w:val="18"/>
              </w:rPr>
            </w:pPr>
            <w:r>
              <w:rPr>
                <w:sz w:val="18"/>
              </w:rPr>
              <w:t>1.4.2007</w:t>
            </w:r>
          </w:p>
        </w:tc>
      </w:tr>
      <w:tr w:rsidR="00E67DA4" w:rsidRPr="00C903F8" w:rsidTr="005034E6">
        <w:trPr>
          <w:cantSplit/>
          <w:jc w:val="center"/>
        </w:trPr>
        <w:tc>
          <w:tcPr>
            <w:tcW w:w="1342" w:type="dxa"/>
            <w:vMerge/>
            <w:tcBorders>
              <w:bottom w:val="nil"/>
            </w:tcBorders>
            <w:shd w:val="clear" w:color="auto" w:fill="auto"/>
          </w:tcPr>
          <w:p w:rsidR="00E67DA4" w:rsidRPr="00C903F8" w:rsidRDefault="00E67DA4" w:rsidP="00C01A94">
            <w:pPr>
              <w:spacing w:before="60" w:after="60" w:line="240" w:lineRule="atLeast"/>
              <w:ind w:left="0" w:firstLine="0"/>
              <w:rPr>
                <w:rFonts w:cs="Arial"/>
                <w:sz w:val="18"/>
                <w:szCs w:val="18"/>
              </w:rPr>
            </w:pPr>
          </w:p>
        </w:tc>
        <w:tc>
          <w:tcPr>
            <w:tcW w:w="1458" w:type="dxa"/>
            <w:shd w:val="clear" w:color="auto" w:fill="auto"/>
          </w:tcPr>
          <w:p w:rsidR="00E67DA4" w:rsidRPr="00C903F8" w:rsidRDefault="00E67DA4" w:rsidP="00C01A94">
            <w:pPr>
              <w:spacing w:before="60" w:after="60" w:line="240" w:lineRule="atLeast"/>
              <w:ind w:left="0" w:firstLine="0"/>
              <w:jc w:val="left"/>
              <w:rPr>
                <w:rFonts w:cs="Arial"/>
                <w:sz w:val="18"/>
                <w:szCs w:val="18"/>
              </w:rPr>
            </w:pPr>
            <w:r>
              <w:rPr>
                <w:sz w:val="18"/>
              </w:rPr>
              <w:t>paragrafo 9, terza frase</w:t>
            </w:r>
          </w:p>
        </w:tc>
        <w:tc>
          <w:tcPr>
            <w:tcW w:w="3296" w:type="dxa"/>
            <w:shd w:val="clear" w:color="auto" w:fill="auto"/>
          </w:tcPr>
          <w:p w:rsidR="00E67DA4" w:rsidRPr="00C903F8" w:rsidRDefault="00E67DA4" w:rsidP="00C01A94">
            <w:pPr>
              <w:spacing w:before="60" w:after="60" w:line="240" w:lineRule="atLeast"/>
              <w:ind w:left="0" w:firstLine="0"/>
              <w:rPr>
                <w:rFonts w:cs="Arial"/>
                <w:sz w:val="18"/>
                <w:szCs w:val="18"/>
              </w:rPr>
            </w:pPr>
            <w:r>
              <w:rPr>
                <w:noProof/>
                <w:sz w:val="18"/>
              </w:rPr>
              <w:t>Controllo tramite leva</w:t>
            </w:r>
          </w:p>
        </w:tc>
        <w:tc>
          <w:tcPr>
            <w:tcW w:w="5387" w:type="dxa"/>
            <w:shd w:val="clear" w:color="auto" w:fill="auto"/>
          </w:tcPr>
          <w:p w:rsidR="00E67DA4" w:rsidRPr="00C903F8" w:rsidRDefault="008761D9" w:rsidP="00C01A94">
            <w:pPr>
              <w:spacing w:before="60" w:after="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E67DA4" w:rsidRPr="00C903F8" w:rsidRDefault="00E67DA4" w:rsidP="00C01A94">
            <w:pPr>
              <w:spacing w:before="60" w:after="60" w:line="240" w:lineRule="atLeast"/>
              <w:ind w:left="0" w:firstLine="0"/>
              <w:rPr>
                <w:rFonts w:cs="Arial"/>
                <w:sz w:val="18"/>
                <w:szCs w:val="18"/>
              </w:rPr>
            </w:pPr>
            <w:r>
              <w:rPr>
                <w:sz w:val="18"/>
              </w:rPr>
              <w:t>1.1.2010</w:t>
            </w:r>
          </w:p>
        </w:tc>
        <w:tc>
          <w:tcPr>
            <w:tcW w:w="1276" w:type="dxa"/>
          </w:tcPr>
          <w:p w:rsidR="00E67DA4" w:rsidRPr="00C903F8" w:rsidRDefault="00E67DA4" w:rsidP="00C01A94">
            <w:pPr>
              <w:spacing w:before="60" w:after="60" w:line="240" w:lineRule="atLeast"/>
              <w:ind w:left="0" w:firstLine="0"/>
              <w:rPr>
                <w:rFonts w:cs="Arial"/>
                <w:sz w:val="18"/>
                <w:szCs w:val="18"/>
              </w:rPr>
            </w:pPr>
            <w:r>
              <w:rPr>
                <w:sz w:val="18"/>
              </w:rPr>
              <w:t>1.4.2007</w:t>
            </w:r>
          </w:p>
        </w:tc>
      </w:tr>
      <w:tr w:rsidR="00E67DA4" w:rsidRPr="00C903F8" w:rsidTr="00605BA5">
        <w:trPr>
          <w:cantSplit/>
          <w:jc w:val="center"/>
        </w:trPr>
        <w:tc>
          <w:tcPr>
            <w:tcW w:w="1342" w:type="dxa"/>
            <w:vMerge/>
            <w:tcBorders>
              <w:bottom w:val="single" w:sz="4" w:space="0" w:color="auto"/>
            </w:tcBorders>
            <w:shd w:val="clear" w:color="auto" w:fill="auto"/>
          </w:tcPr>
          <w:p w:rsidR="00E67DA4" w:rsidRPr="00C903F8" w:rsidRDefault="00E67DA4" w:rsidP="00C01A94">
            <w:pPr>
              <w:spacing w:before="60" w:after="60" w:line="240" w:lineRule="atLeast"/>
              <w:ind w:left="0" w:firstLine="0"/>
              <w:rPr>
                <w:rFonts w:cs="Arial"/>
                <w:sz w:val="18"/>
                <w:szCs w:val="18"/>
              </w:rPr>
            </w:pPr>
          </w:p>
        </w:tc>
        <w:tc>
          <w:tcPr>
            <w:tcW w:w="1458" w:type="dxa"/>
            <w:shd w:val="clear" w:color="auto" w:fill="auto"/>
          </w:tcPr>
          <w:p w:rsidR="00E67DA4" w:rsidRPr="00C903F8" w:rsidRDefault="00E67DA4" w:rsidP="00C01A94">
            <w:pPr>
              <w:spacing w:before="60" w:after="60" w:line="240" w:lineRule="atLeast"/>
              <w:ind w:left="0" w:firstLine="0"/>
              <w:jc w:val="left"/>
              <w:rPr>
                <w:rFonts w:cs="Arial"/>
                <w:sz w:val="18"/>
                <w:szCs w:val="18"/>
              </w:rPr>
            </w:pPr>
            <w:r>
              <w:rPr>
                <w:sz w:val="18"/>
              </w:rPr>
              <w:t>paragrafo 9, quarta frase</w:t>
            </w:r>
          </w:p>
        </w:tc>
        <w:tc>
          <w:tcPr>
            <w:tcW w:w="3296" w:type="dxa"/>
            <w:shd w:val="clear" w:color="auto" w:fill="auto"/>
          </w:tcPr>
          <w:p w:rsidR="00E67DA4" w:rsidRPr="00C903F8" w:rsidRDefault="00E67DA4" w:rsidP="00C01A94">
            <w:pPr>
              <w:spacing w:before="60" w:after="60" w:line="240" w:lineRule="atLeast"/>
              <w:ind w:left="0" w:firstLine="0"/>
              <w:rPr>
                <w:rFonts w:cs="Arial"/>
                <w:sz w:val="18"/>
                <w:szCs w:val="18"/>
              </w:rPr>
            </w:pPr>
            <w:r>
              <w:rPr>
                <w:noProof/>
                <w:sz w:val="18"/>
              </w:rPr>
              <w:t>Chiara indicazione della direzione della spinta</w:t>
            </w:r>
          </w:p>
        </w:tc>
        <w:tc>
          <w:tcPr>
            <w:tcW w:w="5387" w:type="dxa"/>
            <w:shd w:val="clear" w:color="auto" w:fill="auto"/>
          </w:tcPr>
          <w:p w:rsidR="00E67DA4" w:rsidRPr="00C903F8" w:rsidRDefault="008761D9" w:rsidP="00C01A94">
            <w:pPr>
              <w:spacing w:before="60" w:after="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E67DA4" w:rsidRPr="00940616" w:rsidRDefault="00E67DA4" w:rsidP="00C01A94">
            <w:pPr>
              <w:spacing w:before="60" w:after="60" w:line="240" w:lineRule="atLeast"/>
              <w:ind w:left="0" w:firstLine="0"/>
              <w:rPr>
                <w:rFonts w:cs="Arial"/>
                <w:sz w:val="18"/>
                <w:szCs w:val="18"/>
              </w:rPr>
            </w:pPr>
            <w:r>
              <w:rPr>
                <w:sz w:val="18"/>
              </w:rPr>
              <w:t>1.1.2010</w:t>
            </w:r>
          </w:p>
        </w:tc>
        <w:tc>
          <w:tcPr>
            <w:tcW w:w="1276" w:type="dxa"/>
          </w:tcPr>
          <w:p w:rsidR="00E67DA4" w:rsidRPr="00C903F8" w:rsidRDefault="00E67DA4" w:rsidP="00C01A94">
            <w:pPr>
              <w:spacing w:before="60" w:after="60" w:line="240" w:lineRule="atLeast"/>
              <w:ind w:left="0" w:firstLine="0"/>
              <w:rPr>
                <w:rFonts w:cs="Arial"/>
                <w:sz w:val="18"/>
                <w:szCs w:val="18"/>
              </w:rPr>
            </w:pPr>
            <w:r>
              <w:rPr>
                <w:sz w:val="18"/>
              </w:rPr>
              <w:t>1.4.2007</w:t>
            </w:r>
          </w:p>
        </w:tc>
      </w:tr>
      <w:tr w:rsidR="00605BA5" w:rsidRPr="009B46F3" w:rsidTr="00605BA5">
        <w:trPr>
          <w:cantSplit/>
          <w:jc w:val="center"/>
        </w:trPr>
        <w:tc>
          <w:tcPr>
            <w:tcW w:w="1342" w:type="dxa"/>
            <w:tcBorders>
              <w:top w:val="single" w:sz="4" w:space="0" w:color="auto"/>
              <w:bottom w:val="single" w:sz="4" w:space="0" w:color="auto"/>
            </w:tcBorders>
            <w:shd w:val="clear" w:color="auto" w:fill="auto"/>
          </w:tcPr>
          <w:p w:rsidR="00605BA5" w:rsidRPr="00DE735E" w:rsidRDefault="00605BA5" w:rsidP="00C01A94">
            <w:pPr>
              <w:spacing w:before="60" w:after="60" w:line="240" w:lineRule="atLeast"/>
              <w:rPr>
                <w:rFonts w:cs="Arial"/>
                <w:sz w:val="18"/>
                <w:szCs w:val="18"/>
              </w:rPr>
            </w:pPr>
            <w:r>
              <w:rPr>
                <w:sz w:val="18"/>
              </w:rPr>
              <w:t>7.05</w:t>
            </w:r>
          </w:p>
        </w:tc>
        <w:tc>
          <w:tcPr>
            <w:tcW w:w="1458" w:type="dxa"/>
            <w:shd w:val="clear" w:color="auto" w:fill="auto"/>
          </w:tcPr>
          <w:p w:rsidR="00605BA5" w:rsidRPr="00DE735E" w:rsidRDefault="00605BA5" w:rsidP="00C01A94">
            <w:pPr>
              <w:spacing w:before="60" w:after="60" w:line="240" w:lineRule="atLeast"/>
              <w:rPr>
                <w:rFonts w:cs="Arial"/>
                <w:sz w:val="18"/>
                <w:szCs w:val="18"/>
              </w:rPr>
            </w:pPr>
            <w:r>
              <w:rPr>
                <w:sz w:val="18"/>
              </w:rPr>
              <w:t>paragrafo 1</w:t>
            </w:r>
          </w:p>
        </w:tc>
        <w:tc>
          <w:tcPr>
            <w:tcW w:w="3296" w:type="dxa"/>
            <w:shd w:val="clear" w:color="auto" w:fill="auto"/>
          </w:tcPr>
          <w:p w:rsidR="00605BA5" w:rsidRPr="00605BA5" w:rsidRDefault="00605BA5" w:rsidP="00C01A94">
            <w:pPr>
              <w:spacing w:before="60" w:after="60" w:line="240" w:lineRule="atLeast"/>
              <w:ind w:left="0" w:firstLine="0"/>
              <w:rPr>
                <w:rFonts w:cs="Arial"/>
                <w:sz w:val="18"/>
                <w:szCs w:val="18"/>
              </w:rPr>
            </w:pPr>
            <w:r>
              <w:rPr>
                <w:sz w:val="18"/>
              </w:rPr>
              <w:t>Luci di navigazione, loro alloggiamenti, accessori e sorgenti luminose</w:t>
            </w:r>
          </w:p>
        </w:tc>
        <w:tc>
          <w:tcPr>
            <w:tcW w:w="5387" w:type="dxa"/>
            <w:shd w:val="clear" w:color="auto" w:fill="auto"/>
          </w:tcPr>
          <w:p w:rsidR="00605BA5" w:rsidRPr="00605BA5" w:rsidRDefault="00605BA5" w:rsidP="00C01A94">
            <w:pPr>
              <w:spacing w:before="60" w:after="60" w:line="240" w:lineRule="atLeast"/>
              <w:ind w:left="0" w:firstLine="0"/>
              <w:rPr>
                <w:rFonts w:cs="Arial"/>
                <w:sz w:val="18"/>
                <w:szCs w:val="18"/>
              </w:rPr>
            </w:pPr>
            <w:r>
              <w:rPr>
                <w:sz w:val="18"/>
              </w:rPr>
              <w:t>Possono sempre essere usate luci di navigazione, loro alloggiamenti, accessori e sorgenti luminose che soddisfano i requisiti relativi al colore e all'intensità luminosa delle luci a bordo e relativi all'ammissione di luci di navigazione per la navigazione sul Reno, a partire dal 30 novembre 2009.</w:t>
            </w:r>
          </w:p>
        </w:tc>
        <w:tc>
          <w:tcPr>
            <w:tcW w:w="1276" w:type="dxa"/>
            <w:shd w:val="clear" w:color="auto" w:fill="auto"/>
          </w:tcPr>
          <w:p w:rsidR="00605BA5" w:rsidRPr="00940616" w:rsidRDefault="00605BA5" w:rsidP="00C01A94">
            <w:pPr>
              <w:spacing w:before="60" w:after="60" w:line="240" w:lineRule="atLeast"/>
              <w:rPr>
                <w:rFonts w:cs="Arial"/>
                <w:sz w:val="18"/>
                <w:szCs w:val="18"/>
              </w:rPr>
            </w:pPr>
          </w:p>
        </w:tc>
        <w:tc>
          <w:tcPr>
            <w:tcW w:w="1276" w:type="dxa"/>
          </w:tcPr>
          <w:p w:rsidR="00605BA5" w:rsidRPr="00DE735E" w:rsidRDefault="00605BA5" w:rsidP="00C01A94">
            <w:pPr>
              <w:spacing w:before="60" w:after="60" w:line="240" w:lineRule="atLeast"/>
              <w:rPr>
                <w:rFonts w:cs="Arial"/>
                <w:color w:val="FF0000"/>
                <w:sz w:val="18"/>
                <w:szCs w:val="18"/>
              </w:rPr>
            </w:pPr>
            <w:r>
              <w:rPr>
                <w:sz w:val="18"/>
              </w:rPr>
              <w:t>1.12.2009</w:t>
            </w:r>
          </w:p>
        </w:tc>
      </w:tr>
      <w:tr w:rsidR="00605BA5" w:rsidRPr="00C903F8" w:rsidTr="00605BA5">
        <w:trPr>
          <w:cantSplit/>
          <w:jc w:val="center"/>
        </w:trPr>
        <w:tc>
          <w:tcPr>
            <w:tcW w:w="1342" w:type="dxa"/>
            <w:tcBorders>
              <w:top w:val="single" w:sz="4" w:space="0" w:color="auto"/>
              <w:bottom w:val="nil"/>
            </w:tcBorders>
            <w:shd w:val="clear" w:color="auto" w:fill="auto"/>
          </w:tcPr>
          <w:p w:rsidR="00605BA5" w:rsidRPr="00C903F8" w:rsidRDefault="00605BA5" w:rsidP="00C01A94">
            <w:pPr>
              <w:spacing w:before="60" w:after="60" w:line="240" w:lineRule="atLeast"/>
              <w:ind w:left="0" w:firstLine="0"/>
              <w:rPr>
                <w:rFonts w:cs="Arial"/>
                <w:sz w:val="18"/>
                <w:szCs w:val="18"/>
              </w:rPr>
            </w:pPr>
            <w:r>
              <w:rPr>
                <w:sz w:val="18"/>
              </w:rPr>
              <w:t>7.06</w:t>
            </w:r>
          </w:p>
        </w:tc>
        <w:tc>
          <w:tcPr>
            <w:tcW w:w="1458" w:type="dxa"/>
            <w:shd w:val="clear" w:color="auto" w:fill="auto"/>
          </w:tcPr>
          <w:p w:rsidR="00605BA5" w:rsidRPr="00605BA5" w:rsidRDefault="00605BA5" w:rsidP="00C01A94">
            <w:pPr>
              <w:spacing w:before="60" w:after="60" w:line="240" w:lineRule="atLeast"/>
              <w:rPr>
                <w:rFonts w:cs="Arial"/>
                <w:sz w:val="18"/>
                <w:szCs w:val="18"/>
              </w:rPr>
            </w:pPr>
            <w:r>
              <w:rPr>
                <w:sz w:val="18"/>
              </w:rPr>
              <w:t>paragrafo 1</w:t>
            </w:r>
          </w:p>
        </w:tc>
        <w:tc>
          <w:tcPr>
            <w:tcW w:w="3296" w:type="dxa"/>
            <w:shd w:val="clear" w:color="auto" w:fill="auto"/>
          </w:tcPr>
          <w:p w:rsidR="00605BA5" w:rsidRPr="00605BA5" w:rsidRDefault="00605BA5" w:rsidP="00C01A94">
            <w:pPr>
              <w:spacing w:before="60" w:after="60" w:line="240" w:lineRule="atLeast"/>
              <w:ind w:left="0" w:firstLine="0"/>
              <w:rPr>
                <w:rFonts w:cs="Arial"/>
                <w:sz w:val="18"/>
                <w:szCs w:val="18"/>
              </w:rPr>
            </w:pPr>
            <w:r>
              <w:rPr>
                <w:sz w:val="18"/>
              </w:rPr>
              <w:t>Indicatori della velocità di accostata autorizzati prima del 1° gennaio 1990</w:t>
            </w:r>
          </w:p>
        </w:tc>
        <w:tc>
          <w:tcPr>
            <w:tcW w:w="5387" w:type="dxa"/>
            <w:shd w:val="clear" w:color="auto" w:fill="auto"/>
          </w:tcPr>
          <w:p w:rsidR="00605BA5" w:rsidRPr="00605BA5" w:rsidRDefault="00605BA5" w:rsidP="00C01A94">
            <w:pPr>
              <w:spacing w:before="60" w:after="60" w:line="240" w:lineRule="atLeast"/>
              <w:ind w:left="0" w:firstLine="0"/>
              <w:rPr>
                <w:rFonts w:cs="Arial"/>
                <w:sz w:val="18"/>
                <w:szCs w:val="18"/>
              </w:rPr>
            </w:pPr>
            <w:r>
              <w:rPr>
                <w:sz w:val="18"/>
              </w:rPr>
              <w:t>Gli indicatori della velocità di accostata autorizzati prima del 1° gennaio 1990 e che sono stati installati prima del 1° gennaio 2000, possono essere mantenuti e utilizzati fino al rinnovo del certificato per la navigazione interna dopo il 1° gennaio 2015, in presenza di un certificato di installazione valido ai sensi della direttiva 2006/87/CE</w:t>
            </w:r>
            <w:r>
              <w:rPr>
                <w:sz w:val="18"/>
              </w:rPr>
              <w:footnoteReference w:id="39"/>
            </w:r>
            <w:r>
              <w:rPr>
                <w:sz w:val="18"/>
              </w:rPr>
              <w:t xml:space="preserve"> o della risoluzione CCNR 1989-II-35.</w:t>
            </w:r>
          </w:p>
        </w:tc>
        <w:tc>
          <w:tcPr>
            <w:tcW w:w="1276" w:type="dxa"/>
            <w:shd w:val="clear" w:color="auto" w:fill="auto"/>
          </w:tcPr>
          <w:p w:rsidR="00605BA5" w:rsidRPr="00605BA5" w:rsidRDefault="00605BA5" w:rsidP="00C01A94">
            <w:pPr>
              <w:spacing w:before="60" w:after="60" w:line="240" w:lineRule="atLeast"/>
              <w:rPr>
                <w:rFonts w:cs="Arial"/>
                <w:sz w:val="18"/>
                <w:szCs w:val="18"/>
              </w:rPr>
            </w:pPr>
          </w:p>
        </w:tc>
        <w:tc>
          <w:tcPr>
            <w:tcW w:w="1276" w:type="dxa"/>
          </w:tcPr>
          <w:p w:rsidR="00605BA5" w:rsidRPr="00605BA5" w:rsidRDefault="00605BA5" w:rsidP="00C01A94">
            <w:pPr>
              <w:spacing w:before="60" w:after="60" w:line="240" w:lineRule="atLeast"/>
              <w:rPr>
                <w:rFonts w:cs="Arial"/>
                <w:sz w:val="18"/>
                <w:szCs w:val="18"/>
              </w:rPr>
            </w:pPr>
            <w:r>
              <w:rPr>
                <w:sz w:val="18"/>
              </w:rPr>
              <w:t>1.12.2009</w:t>
            </w:r>
          </w:p>
        </w:tc>
      </w:tr>
      <w:tr w:rsidR="00605BA5" w:rsidRPr="00C903F8" w:rsidTr="00E67DA4">
        <w:trPr>
          <w:cantSplit/>
          <w:jc w:val="center"/>
        </w:trPr>
        <w:tc>
          <w:tcPr>
            <w:tcW w:w="1342" w:type="dxa"/>
            <w:tcBorders>
              <w:top w:val="nil"/>
              <w:bottom w:val="nil"/>
            </w:tcBorders>
            <w:shd w:val="clear" w:color="auto" w:fill="auto"/>
          </w:tcPr>
          <w:p w:rsidR="00605BA5" w:rsidRPr="00C903F8" w:rsidRDefault="00605BA5" w:rsidP="00C01A94">
            <w:pPr>
              <w:spacing w:before="120" w:after="120" w:line="240" w:lineRule="atLeast"/>
              <w:ind w:left="0" w:firstLine="0"/>
              <w:rPr>
                <w:rFonts w:cs="Arial"/>
                <w:sz w:val="18"/>
                <w:szCs w:val="18"/>
              </w:rPr>
            </w:pPr>
          </w:p>
        </w:tc>
        <w:tc>
          <w:tcPr>
            <w:tcW w:w="1458" w:type="dxa"/>
            <w:vMerge w:val="restart"/>
            <w:shd w:val="clear" w:color="auto" w:fill="auto"/>
          </w:tcPr>
          <w:p w:rsidR="00605BA5" w:rsidRPr="00605BA5" w:rsidRDefault="00605BA5" w:rsidP="00C01A94">
            <w:pPr>
              <w:spacing w:before="120" w:after="120" w:line="240" w:lineRule="atLeast"/>
              <w:rPr>
                <w:rFonts w:cs="Arial"/>
                <w:sz w:val="18"/>
                <w:szCs w:val="18"/>
              </w:rPr>
            </w:pPr>
          </w:p>
        </w:tc>
        <w:tc>
          <w:tcPr>
            <w:tcW w:w="3296" w:type="dxa"/>
            <w:shd w:val="clear" w:color="auto" w:fill="auto"/>
          </w:tcPr>
          <w:p w:rsidR="00605BA5" w:rsidRPr="00605BA5" w:rsidRDefault="00605BA5" w:rsidP="00C01A94">
            <w:pPr>
              <w:spacing w:before="120" w:after="120" w:line="240" w:lineRule="atLeast"/>
              <w:ind w:left="0" w:firstLine="0"/>
              <w:rPr>
                <w:rFonts w:cs="Arial"/>
                <w:sz w:val="18"/>
                <w:szCs w:val="18"/>
              </w:rPr>
            </w:pPr>
            <w:r>
              <w:rPr>
                <w:noProof/>
                <w:sz w:val="18"/>
              </w:rPr>
              <w:t>Impianti di navigazione radar e indicatori della velocità di accostata autorizzati dopo il 1° gennaio 1990</w:t>
            </w:r>
          </w:p>
        </w:tc>
        <w:tc>
          <w:tcPr>
            <w:tcW w:w="5387" w:type="dxa"/>
            <w:shd w:val="clear" w:color="auto" w:fill="auto"/>
          </w:tcPr>
          <w:p w:rsidR="00605BA5" w:rsidRPr="00605BA5" w:rsidRDefault="00605BA5" w:rsidP="00C01A94">
            <w:pPr>
              <w:spacing w:before="120" w:after="120" w:line="240" w:lineRule="atLeast"/>
              <w:ind w:left="0" w:firstLine="0"/>
              <w:rPr>
                <w:rFonts w:cs="Arial"/>
                <w:sz w:val="18"/>
                <w:szCs w:val="18"/>
              </w:rPr>
            </w:pPr>
            <w:r>
              <w:rPr>
                <w:sz w:val="18"/>
              </w:rPr>
              <w:t>Gli impianti di navigazione radar e gli indicatori della velocità di accostata che sono stati autorizzati il 1° gennaio 1990 o successivamente a tale data, a norma dei requisiti minimi e delle condizioni di prova previsti per gli impianti radar utilizzati per la navigazione sul Reno e dei requisiti minimi e delle condizioni di prova previsti per gli indicatori della velocità di accostata utilizzati nella navigazione sul Reno possono continuare ad essere installati e utilizzati in presenza di un certificato di installazione valido ai sensi della presente norma, della direttiva 2006/87/CE o della risoluzione CCNR 1989-II-35</w:t>
            </w:r>
            <w:r>
              <w:rPr>
                <w:sz w:val="18"/>
                <w:vertAlign w:val="superscript"/>
              </w:rPr>
              <w:t>.</w:t>
            </w:r>
          </w:p>
        </w:tc>
        <w:tc>
          <w:tcPr>
            <w:tcW w:w="1276" w:type="dxa"/>
            <w:shd w:val="clear" w:color="auto" w:fill="auto"/>
          </w:tcPr>
          <w:p w:rsidR="00605BA5" w:rsidRPr="00605BA5" w:rsidRDefault="00605BA5" w:rsidP="00C01A94">
            <w:pPr>
              <w:spacing w:before="120" w:after="120" w:line="240" w:lineRule="atLeast"/>
              <w:rPr>
                <w:rFonts w:cs="Arial"/>
                <w:sz w:val="18"/>
                <w:szCs w:val="18"/>
              </w:rPr>
            </w:pPr>
          </w:p>
        </w:tc>
        <w:tc>
          <w:tcPr>
            <w:tcW w:w="1276" w:type="dxa"/>
          </w:tcPr>
          <w:p w:rsidR="00605BA5" w:rsidRPr="00605BA5" w:rsidRDefault="00605BA5" w:rsidP="00C01A94">
            <w:pPr>
              <w:spacing w:before="120" w:after="120" w:line="240" w:lineRule="atLeast"/>
              <w:rPr>
                <w:rFonts w:cs="Arial"/>
                <w:sz w:val="18"/>
                <w:szCs w:val="18"/>
              </w:rPr>
            </w:pPr>
            <w:r>
              <w:rPr>
                <w:sz w:val="18"/>
              </w:rPr>
              <w:t>1.12.2009</w:t>
            </w:r>
          </w:p>
        </w:tc>
      </w:tr>
      <w:tr w:rsidR="00605BA5" w:rsidRPr="00C903F8" w:rsidTr="00E67DA4">
        <w:trPr>
          <w:cantSplit/>
          <w:jc w:val="center"/>
        </w:trPr>
        <w:tc>
          <w:tcPr>
            <w:tcW w:w="1342" w:type="dxa"/>
            <w:tcBorders>
              <w:top w:val="nil"/>
              <w:bottom w:val="nil"/>
            </w:tcBorders>
            <w:shd w:val="clear" w:color="auto" w:fill="auto"/>
          </w:tcPr>
          <w:p w:rsidR="00605BA5" w:rsidRPr="00C903F8" w:rsidRDefault="00605BA5" w:rsidP="00C01A94">
            <w:pPr>
              <w:spacing w:before="120" w:after="120" w:line="240" w:lineRule="atLeast"/>
              <w:ind w:left="0" w:firstLine="0"/>
              <w:rPr>
                <w:rFonts w:cs="Arial"/>
                <w:sz w:val="18"/>
                <w:szCs w:val="18"/>
              </w:rPr>
            </w:pPr>
          </w:p>
        </w:tc>
        <w:tc>
          <w:tcPr>
            <w:tcW w:w="1458" w:type="dxa"/>
            <w:vMerge/>
            <w:shd w:val="clear" w:color="auto" w:fill="auto"/>
          </w:tcPr>
          <w:p w:rsidR="00605BA5" w:rsidRPr="00605BA5" w:rsidRDefault="00605BA5" w:rsidP="00C01A94">
            <w:pPr>
              <w:spacing w:before="120" w:after="120" w:line="240" w:lineRule="atLeast"/>
              <w:ind w:left="0" w:firstLine="0"/>
              <w:rPr>
                <w:rFonts w:cs="Arial"/>
                <w:sz w:val="18"/>
                <w:szCs w:val="18"/>
              </w:rPr>
            </w:pPr>
          </w:p>
        </w:tc>
        <w:tc>
          <w:tcPr>
            <w:tcW w:w="3296" w:type="dxa"/>
            <w:shd w:val="clear" w:color="auto" w:fill="auto"/>
          </w:tcPr>
          <w:p w:rsidR="00605BA5" w:rsidRPr="00605BA5" w:rsidRDefault="00605BA5" w:rsidP="00C01A94">
            <w:pPr>
              <w:spacing w:before="120" w:after="120" w:line="240" w:lineRule="atLeast"/>
              <w:ind w:left="0" w:firstLine="0"/>
              <w:rPr>
                <w:rFonts w:cs="Arial"/>
                <w:sz w:val="18"/>
                <w:szCs w:val="18"/>
              </w:rPr>
            </w:pPr>
            <w:r>
              <w:rPr>
                <w:noProof/>
                <w:sz w:val="18"/>
              </w:rPr>
              <w:t>Impianti di navigazione radar e indicatori della velocità di accostata autorizzati dopo il 31 dicembre 2006</w:t>
            </w:r>
          </w:p>
        </w:tc>
        <w:tc>
          <w:tcPr>
            <w:tcW w:w="5387" w:type="dxa"/>
            <w:shd w:val="clear" w:color="auto" w:fill="auto"/>
          </w:tcPr>
          <w:p w:rsidR="00605BA5" w:rsidRPr="00605BA5" w:rsidRDefault="00605BA5" w:rsidP="00C01A94">
            <w:pPr>
              <w:spacing w:before="120" w:after="120" w:line="240" w:lineRule="atLeast"/>
              <w:ind w:left="0" w:firstLine="0"/>
              <w:rPr>
                <w:rFonts w:cs="Arial"/>
                <w:sz w:val="18"/>
                <w:szCs w:val="18"/>
              </w:rPr>
            </w:pPr>
            <w:r>
              <w:rPr>
                <w:sz w:val="18"/>
              </w:rPr>
              <w:t>Gli impianti di navigazione radar e gli indicatori della velocità di accostata autorizzati il 31 dicembre 2006 o successivamente a tale data, a norma dei requisiti minimi e delle condizioni di prova previsti dalla direttiva 2006/87/CE, possono continuare ad essere installati e utilizzati in presenza di un certificato di installazione valido ai sensi della presente norma o della direttiva 2006/87/CE.</w:t>
            </w:r>
          </w:p>
        </w:tc>
        <w:tc>
          <w:tcPr>
            <w:tcW w:w="1276" w:type="dxa"/>
            <w:shd w:val="clear" w:color="auto" w:fill="auto"/>
          </w:tcPr>
          <w:p w:rsidR="00605BA5" w:rsidRPr="00605BA5" w:rsidRDefault="00605BA5" w:rsidP="00C01A94">
            <w:pPr>
              <w:spacing w:before="120" w:after="120" w:line="240" w:lineRule="atLeast"/>
              <w:ind w:left="0" w:firstLine="0"/>
              <w:rPr>
                <w:rFonts w:cs="Arial"/>
                <w:sz w:val="18"/>
                <w:szCs w:val="18"/>
              </w:rPr>
            </w:pPr>
          </w:p>
        </w:tc>
        <w:tc>
          <w:tcPr>
            <w:tcW w:w="1276" w:type="dxa"/>
          </w:tcPr>
          <w:p w:rsidR="00605BA5" w:rsidRPr="00605BA5" w:rsidRDefault="00605BA5" w:rsidP="00C01A94">
            <w:pPr>
              <w:spacing w:before="120" w:after="120" w:line="240" w:lineRule="atLeast"/>
              <w:ind w:left="0" w:firstLine="0"/>
              <w:rPr>
                <w:rFonts w:cs="Arial"/>
                <w:sz w:val="18"/>
                <w:szCs w:val="18"/>
              </w:rPr>
            </w:pPr>
            <w:r>
              <w:rPr>
                <w:sz w:val="18"/>
              </w:rPr>
              <w:t>7.10.2018</w:t>
            </w:r>
          </w:p>
        </w:tc>
      </w:tr>
      <w:tr w:rsidR="00605BA5" w:rsidRPr="00C903F8" w:rsidTr="00DF5C3B">
        <w:trPr>
          <w:cantSplit/>
          <w:jc w:val="center"/>
        </w:trPr>
        <w:tc>
          <w:tcPr>
            <w:tcW w:w="1342" w:type="dxa"/>
            <w:tcBorders>
              <w:top w:val="nil"/>
              <w:bottom w:val="nil"/>
            </w:tcBorders>
            <w:shd w:val="clear" w:color="auto" w:fill="auto"/>
          </w:tcPr>
          <w:p w:rsidR="00605BA5" w:rsidRPr="00C903F8" w:rsidRDefault="00605BA5" w:rsidP="00C01A94">
            <w:pPr>
              <w:spacing w:before="120" w:after="120" w:line="240" w:lineRule="atLeast"/>
              <w:ind w:left="0" w:firstLine="0"/>
              <w:rPr>
                <w:rFonts w:cs="Arial"/>
                <w:sz w:val="18"/>
                <w:szCs w:val="18"/>
              </w:rPr>
            </w:pPr>
          </w:p>
        </w:tc>
        <w:tc>
          <w:tcPr>
            <w:tcW w:w="1458" w:type="dxa"/>
            <w:vMerge/>
            <w:tcBorders>
              <w:bottom w:val="single" w:sz="4" w:space="0" w:color="auto"/>
            </w:tcBorders>
            <w:shd w:val="clear" w:color="auto" w:fill="auto"/>
          </w:tcPr>
          <w:p w:rsidR="00605BA5" w:rsidRPr="00605BA5" w:rsidRDefault="00605BA5" w:rsidP="00C01A94">
            <w:pPr>
              <w:spacing w:before="120" w:after="120" w:line="240" w:lineRule="atLeast"/>
              <w:ind w:left="0" w:firstLine="0"/>
              <w:rPr>
                <w:rFonts w:cs="Arial"/>
                <w:sz w:val="18"/>
                <w:szCs w:val="18"/>
              </w:rPr>
            </w:pPr>
          </w:p>
        </w:tc>
        <w:tc>
          <w:tcPr>
            <w:tcW w:w="3296" w:type="dxa"/>
            <w:tcBorders>
              <w:bottom w:val="single" w:sz="4" w:space="0" w:color="auto"/>
            </w:tcBorders>
            <w:shd w:val="clear" w:color="auto" w:fill="auto"/>
          </w:tcPr>
          <w:p w:rsidR="00605BA5" w:rsidRPr="00605BA5" w:rsidRDefault="00605BA5" w:rsidP="00C01A94">
            <w:pPr>
              <w:spacing w:before="120" w:after="120" w:line="240" w:lineRule="atLeast"/>
              <w:ind w:left="0" w:firstLine="0"/>
              <w:rPr>
                <w:rFonts w:cs="Arial"/>
                <w:sz w:val="18"/>
                <w:szCs w:val="18"/>
              </w:rPr>
            </w:pPr>
            <w:r>
              <w:rPr>
                <w:noProof/>
                <w:sz w:val="18"/>
              </w:rPr>
              <w:t>Impianti di navigazione radar e indicatori della velocità di accostata autorizzati dopo il 1° dicembre 2009</w:t>
            </w:r>
          </w:p>
        </w:tc>
        <w:tc>
          <w:tcPr>
            <w:tcW w:w="5387" w:type="dxa"/>
            <w:shd w:val="clear" w:color="auto" w:fill="auto"/>
          </w:tcPr>
          <w:p w:rsidR="00605BA5" w:rsidRPr="00605BA5" w:rsidRDefault="00605BA5" w:rsidP="00C01A94">
            <w:pPr>
              <w:spacing w:before="120" w:after="120" w:line="240" w:lineRule="atLeast"/>
              <w:ind w:left="0" w:firstLine="0"/>
              <w:rPr>
                <w:rFonts w:cs="Arial"/>
                <w:sz w:val="18"/>
                <w:szCs w:val="18"/>
              </w:rPr>
            </w:pPr>
            <w:r>
              <w:rPr>
                <w:sz w:val="18"/>
              </w:rPr>
              <w:t>Gli impianti di navigazione radar e gli indicatori della velocità di accostata autorizzati il 1° dicembre 2009 o successivamente a tale data, a norma dei requisiti minimi e delle condizioni di prova previsti dalla risoluzione CCNR 2008-II-11, possono continuare ad essere installati e utilizzati in presenza di un certificato di installazione valido ai sensi della presente norma o della risoluzione CCNR 2008-II-11.</w:t>
            </w:r>
          </w:p>
        </w:tc>
        <w:tc>
          <w:tcPr>
            <w:tcW w:w="1276" w:type="dxa"/>
            <w:shd w:val="clear" w:color="auto" w:fill="auto"/>
          </w:tcPr>
          <w:p w:rsidR="00605BA5" w:rsidRPr="00605BA5" w:rsidRDefault="00605BA5" w:rsidP="00C01A94">
            <w:pPr>
              <w:spacing w:before="120" w:after="120" w:line="240" w:lineRule="atLeast"/>
              <w:ind w:left="0" w:firstLine="0"/>
              <w:rPr>
                <w:rFonts w:cs="Arial"/>
                <w:sz w:val="18"/>
                <w:szCs w:val="18"/>
              </w:rPr>
            </w:pPr>
          </w:p>
        </w:tc>
        <w:tc>
          <w:tcPr>
            <w:tcW w:w="1276" w:type="dxa"/>
          </w:tcPr>
          <w:p w:rsidR="00605BA5" w:rsidRPr="00605BA5" w:rsidRDefault="00605BA5" w:rsidP="00C01A94">
            <w:pPr>
              <w:spacing w:before="120" w:after="120" w:line="240" w:lineRule="atLeast"/>
              <w:ind w:left="0" w:firstLine="0"/>
              <w:rPr>
                <w:rFonts w:cs="Arial"/>
                <w:sz w:val="18"/>
                <w:szCs w:val="18"/>
              </w:rPr>
            </w:pPr>
            <w:r>
              <w:rPr>
                <w:sz w:val="18"/>
              </w:rPr>
              <w:t>7.10.2018</w:t>
            </w:r>
          </w:p>
        </w:tc>
      </w:tr>
      <w:tr w:rsidR="00605BA5" w:rsidRPr="003F5E4D" w:rsidTr="00DF5C3B">
        <w:trPr>
          <w:cantSplit/>
          <w:jc w:val="center"/>
        </w:trPr>
        <w:tc>
          <w:tcPr>
            <w:tcW w:w="1342" w:type="dxa"/>
            <w:tcBorders>
              <w:top w:val="nil"/>
              <w:bottom w:val="nil"/>
            </w:tcBorders>
            <w:shd w:val="clear" w:color="auto" w:fill="auto"/>
          </w:tcPr>
          <w:p w:rsidR="00605BA5" w:rsidRPr="00C903F8" w:rsidRDefault="00605BA5" w:rsidP="00C01A94">
            <w:pPr>
              <w:spacing w:before="120" w:after="120" w:line="240" w:lineRule="atLeast"/>
              <w:ind w:left="0" w:firstLine="0"/>
              <w:rPr>
                <w:rFonts w:cs="Arial"/>
                <w:sz w:val="18"/>
                <w:szCs w:val="18"/>
              </w:rPr>
            </w:pPr>
          </w:p>
        </w:tc>
        <w:tc>
          <w:tcPr>
            <w:tcW w:w="1458" w:type="dxa"/>
            <w:tcBorders>
              <w:bottom w:val="nil"/>
            </w:tcBorders>
            <w:shd w:val="clear" w:color="auto" w:fill="auto"/>
          </w:tcPr>
          <w:p w:rsidR="00605BA5" w:rsidRPr="00DE735E" w:rsidRDefault="00605BA5" w:rsidP="00C01A94">
            <w:pPr>
              <w:spacing w:before="120" w:after="120" w:line="240" w:lineRule="atLeast"/>
              <w:rPr>
                <w:rFonts w:cs="Arial"/>
                <w:sz w:val="18"/>
                <w:szCs w:val="18"/>
              </w:rPr>
            </w:pPr>
            <w:r>
              <w:rPr>
                <w:sz w:val="18"/>
              </w:rPr>
              <w:t>paragrafo 3</w:t>
            </w:r>
          </w:p>
        </w:tc>
        <w:tc>
          <w:tcPr>
            <w:tcW w:w="3296" w:type="dxa"/>
            <w:tcBorders>
              <w:bottom w:val="nil"/>
            </w:tcBorders>
            <w:shd w:val="clear" w:color="auto" w:fill="auto"/>
          </w:tcPr>
          <w:p w:rsidR="00605BA5" w:rsidRPr="00DE735E" w:rsidRDefault="00605BA5" w:rsidP="00C01A94">
            <w:pPr>
              <w:spacing w:before="120" w:after="120" w:line="240" w:lineRule="atLeast"/>
              <w:rPr>
                <w:rFonts w:cs="Arial"/>
                <w:sz w:val="18"/>
                <w:szCs w:val="18"/>
              </w:rPr>
            </w:pPr>
            <w:r>
              <w:rPr>
                <w:sz w:val="18"/>
              </w:rPr>
              <w:t>Dispositivo AIS interno</w:t>
            </w:r>
          </w:p>
        </w:tc>
        <w:tc>
          <w:tcPr>
            <w:tcW w:w="5387" w:type="dxa"/>
            <w:shd w:val="clear" w:color="auto" w:fill="auto"/>
          </w:tcPr>
          <w:p w:rsidR="00605BA5" w:rsidRPr="00605BA5" w:rsidRDefault="00605BA5" w:rsidP="00C01A94">
            <w:pPr>
              <w:spacing w:before="120" w:after="120" w:line="240" w:lineRule="atLeast"/>
              <w:ind w:left="0" w:firstLine="0"/>
              <w:rPr>
                <w:rFonts w:cs="Arial"/>
                <w:sz w:val="18"/>
                <w:szCs w:val="18"/>
              </w:rPr>
            </w:pPr>
            <w:r>
              <w:rPr>
                <w:sz w:val="18"/>
              </w:rPr>
              <w:t>Un dispositivo AIS interno con omologazione conforme alle edizioni 1.0 e 1.01 della norma sulle prove per AIS interno e installate prima del 1° dicembre 2015 può continuare ad essere utilizzato.</w:t>
            </w:r>
          </w:p>
        </w:tc>
        <w:tc>
          <w:tcPr>
            <w:tcW w:w="1276" w:type="dxa"/>
            <w:shd w:val="clear" w:color="auto" w:fill="auto"/>
          </w:tcPr>
          <w:p w:rsidR="00605BA5" w:rsidRPr="00605BA5" w:rsidRDefault="00605BA5" w:rsidP="00C01A94">
            <w:pPr>
              <w:spacing w:before="120" w:after="120" w:line="240" w:lineRule="atLeast"/>
              <w:rPr>
                <w:rFonts w:cs="Arial"/>
                <w:sz w:val="18"/>
                <w:szCs w:val="18"/>
              </w:rPr>
            </w:pPr>
          </w:p>
        </w:tc>
        <w:tc>
          <w:tcPr>
            <w:tcW w:w="1276" w:type="dxa"/>
          </w:tcPr>
          <w:p w:rsidR="00605BA5" w:rsidRPr="00DE735E" w:rsidRDefault="00605BA5" w:rsidP="00C01A94">
            <w:pPr>
              <w:spacing w:before="120" w:after="120" w:line="240" w:lineRule="atLeast"/>
              <w:rPr>
                <w:rFonts w:cs="Arial"/>
                <w:sz w:val="18"/>
                <w:szCs w:val="18"/>
              </w:rPr>
            </w:pPr>
            <w:r>
              <w:rPr>
                <w:sz w:val="18"/>
              </w:rPr>
              <w:t>1.12.2013</w:t>
            </w:r>
          </w:p>
        </w:tc>
      </w:tr>
      <w:tr w:rsidR="00DF5C3B" w:rsidRPr="00DF5C3B" w:rsidTr="00DF5C3B">
        <w:trPr>
          <w:cantSplit/>
          <w:jc w:val="center"/>
        </w:trPr>
        <w:tc>
          <w:tcPr>
            <w:tcW w:w="1342" w:type="dxa"/>
            <w:tcBorders>
              <w:top w:val="nil"/>
            </w:tcBorders>
            <w:shd w:val="clear" w:color="auto" w:fill="auto"/>
          </w:tcPr>
          <w:p w:rsidR="00DF5C3B" w:rsidRPr="00C903F8" w:rsidRDefault="00DF5C3B" w:rsidP="00C01A94">
            <w:pPr>
              <w:spacing w:before="120" w:after="120" w:line="240" w:lineRule="atLeast"/>
              <w:ind w:left="0" w:firstLine="0"/>
              <w:rPr>
                <w:rFonts w:cs="Arial"/>
                <w:sz w:val="18"/>
                <w:szCs w:val="18"/>
              </w:rPr>
            </w:pPr>
          </w:p>
        </w:tc>
        <w:tc>
          <w:tcPr>
            <w:tcW w:w="1458" w:type="dxa"/>
            <w:tcBorders>
              <w:top w:val="nil"/>
            </w:tcBorders>
            <w:shd w:val="clear" w:color="auto" w:fill="auto"/>
          </w:tcPr>
          <w:p w:rsidR="00DF5C3B" w:rsidRPr="00DE735E" w:rsidRDefault="00DF5C3B" w:rsidP="00C01A94">
            <w:pPr>
              <w:spacing w:before="120" w:after="120" w:line="240" w:lineRule="atLeast"/>
              <w:rPr>
                <w:rFonts w:cs="Arial"/>
                <w:sz w:val="18"/>
                <w:szCs w:val="18"/>
              </w:rPr>
            </w:pPr>
          </w:p>
        </w:tc>
        <w:tc>
          <w:tcPr>
            <w:tcW w:w="3296" w:type="dxa"/>
            <w:tcBorders>
              <w:top w:val="nil"/>
            </w:tcBorders>
            <w:shd w:val="clear" w:color="auto" w:fill="auto"/>
          </w:tcPr>
          <w:p w:rsidR="00DF5C3B" w:rsidRPr="00DE735E" w:rsidRDefault="00DF5C3B" w:rsidP="00C01A94">
            <w:pPr>
              <w:spacing w:before="120" w:after="120" w:line="240" w:lineRule="atLeast"/>
              <w:rPr>
                <w:rFonts w:cs="Arial"/>
                <w:sz w:val="18"/>
                <w:szCs w:val="18"/>
              </w:rPr>
            </w:pPr>
          </w:p>
        </w:tc>
        <w:tc>
          <w:tcPr>
            <w:tcW w:w="5387" w:type="dxa"/>
            <w:shd w:val="clear" w:color="auto" w:fill="auto"/>
          </w:tcPr>
          <w:p w:rsidR="00DF5C3B" w:rsidRPr="00020C43" w:rsidRDefault="00DF5C3B" w:rsidP="00C01A94">
            <w:pPr>
              <w:spacing w:before="120" w:after="120" w:line="240" w:lineRule="atLeast"/>
              <w:ind w:left="0" w:firstLine="0"/>
              <w:rPr>
                <w:rFonts w:cs="Arial"/>
                <w:sz w:val="18"/>
                <w:szCs w:val="18"/>
              </w:rPr>
            </w:pPr>
            <w:r>
              <w:rPr>
                <w:sz w:val="18"/>
              </w:rPr>
              <w:t>Un dispositivo AIS interno autorizzato il 19 ottobre 2012 o successivamente a tale data, conformemente ai requisiti della norma sulle prove per AIS interno, edizione 2.0, adottata tramite la risoluzione CCNR 2012-II-20, può continuare ad essere installato e utilizzato.</w:t>
            </w:r>
          </w:p>
        </w:tc>
        <w:tc>
          <w:tcPr>
            <w:tcW w:w="1276" w:type="dxa"/>
            <w:shd w:val="clear" w:color="auto" w:fill="auto"/>
          </w:tcPr>
          <w:p w:rsidR="00DF5C3B" w:rsidRPr="00605BA5" w:rsidRDefault="00DF5C3B" w:rsidP="00C01A94">
            <w:pPr>
              <w:spacing w:before="120" w:after="120" w:line="240" w:lineRule="atLeast"/>
              <w:rPr>
                <w:rFonts w:cs="Arial"/>
                <w:sz w:val="18"/>
                <w:szCs w:val="18"/>
              </w:rPr>
            </w:pPr>
          </w:p>
        </w:tc>
        <w:tc>
          <w:tcPr>
            <w:tcW w:w="1276" w:type="dxa"/>
          </w:tcPr>
          <w:p w:rsidR="00DF5C3B" w:rsidRPr="00DF5C3B" w:rsidRDefault="00D376CF" w:rsidP="00C01A94">
            <w:pPr>
              <w:spacing w:before="120" w:after="120" w:line="240" w:lineRule="atLeast"/>
              <w:rPr>
                <w:rFonts w:cs="Arial"/>
                <w:sz w:val="18"/>
                <w:szCs w:val="18"/>
              </w:rPr>
            </w:pPr>
            <w:r>
              <w:rPr>
                <w:sz w:val="18"/>
              </w:rPr>
              <w:t>7.10.2018</w:t>
            </w:r>
          </w:p>
        </w:tc>
      </w:tr>
      <w:tr w:rsidR="000E732C" w:rsidRPr="003F30FB" w:rsidTr="00E67DA4">
        <w:trPr>
          <w:cantSplit/>
          <w:jc w:val="center"/>
        </w:trPr>
        <w:tc>
          <w:tcPr>
            <w:tcW w:w="1342" w:type="dxa"/>
            <w:vMerge w:val="restart"/>
            <w:tcBorders>
              <w:top w:val="nil"/>
            </w:tcBorders>
            <w:shd w:val="clear" w:color="auto" w:fill="auto"/>
          </w:tcPr>
          <w:p w:rsidR="000E732C" w:rsidRPr="003F30FB" w:rsidRDefault="000E732C" w:rsidP="00C01A94">
            <w:pPr>
              <w:spacing w:before="120" w:after="120" w:line="240" w:lineRule="atLeast"/>
              <w:ind w:left="0" w:firstLine="0"/>
              <w:rPr>
                <w:rFonts w:cs="Arial"/>
                <w:sz w:val="18"/>
                <w:szCs w:val="18"/>
              </w:rPr>
            </w:pPr>
            <w:r>
              <w:rPr>
                <w:sz w:val="18"/>
              </w:rPr>
              <w:t>7.12</w:t>
            </w:r>
          </w:p>
        </w:tc>
        <w:tc>
          <w:tcPr>
            <w:tcW w:w="1458" w:type="dxa"/>
            <w:shd w:val="clear" w:color="auto" w:fill="auto"/>
          </w:tcPr>
          <w:p w:rsidR="000E732C" w:rsidRPr="003F30FB" w:rsidRDefault="000E732C" w:rsidP="00C01A94">
            <w:pPr>
              <w:widowControl w:val="0"/>
              <w:spacing w:before="120" w:after="120" w:line="240" w:lineRule="atLeast"/>
              <w:ind w:left="0" w:firstLine="0"/>
              <w:jc w:val="left"/>
              <w:rPr>
                <w:rFonts w:cs="Arial"/>
                <w:sz w:val="18"/>
                <w:szCs w:val="18"/>
              </w:rPr>
            </w:pPr>
            <w:r>
              <w:rPr>
                <w:sz w:val="18"/>
              </w:rPr>
              <w:t xml:space="preserve">paragrafo 4 </w:t>
            </w:r>
            <w:r>
              <w:rPr>
                <w:rFonts w:cs="Arial"/>
                <w:sz w:val="18"/>
                <w:szCs w:val="18"/>
              </w:rPr>
              <w:br/>
            </w:r>
            <w:r>
              <w:rPr>
                <w:sz w:val="18"/>
              </w:rPr>
              <w:t>seconda frase</w:t>
            </w:r>
          </w:p>
        </w:tc>
        <w:tc>
          <w:tcPr>
            <w:tcW w:w="3296" w:type="dxa"/>
            <w:shd w:val="clear" w:color="auto" w:fill="auto"/>
          </w:tcPr>
          <w:p w:rsidR="000E732C" w:rsidRPr="003F30FB" w:rsidRDefault="000E732C" w:rsidP="00C01A94">
            <w:pPr>
              <w:widowControl w:val="0"/>
              <w:spacing w:before="120" w:after="120" w:line="240" w:lineRule="atLeast"/>
              <w:rPr>
                <w:rFonts w:cs="Arial"/>
                <w:sz w:val="18"/>
                <w:szCs w:val="18"/>
              </w:rPr>
            </w:pPr>
            <w:r>
              <w:rPr>
                <w:sz w:val="18"/>
              </w:rPr>
              <w:t>Segni</w:t>
            </w:r>
          </w:p>
        </w:tc>
        <w:tc>
          <w:tcPr>
            <w:tcW w:w="5387" w:type="dxa"/>
            <w:shd w:val="clear" w:color="auto" w:fill="auto"/>
          </w:tcPr>
          <w:p w:rsidR="000E732C" w:rsidRPr="003F30FB" w:rsidRDefault="008761D9" w:rsidP="00C01A94">
            <w:pPr>
              <w:widowControl w:val="0"/>
              <w:spacing w:before="120" w:after="12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0E732C" w:rsidRPr="003F30FB" w:rsidRDefault="000E732C" w:rsidP="00C01A94">
            <w:pPr>
              <w:widowControl w:val="0"/>
              <w:spacing w:before="120" w:after="120" w:line="240" w:lineRule="atLeast"/>
              <w:rPr>
                <w:rFonts w:cs="Arial"/>
                <w:sz w:val="18"/>
                <w:szCs w:val="18"/>
              </w:rPr>
            </w:pPr>
          </w:p>
        </w:tc>
        <w:tc>
          <w:tcPr>
            <w:tcW w:w="1276" w:type="dxa"/>
          </w:tcPr>
          <w:p w:rsidR="000E732C" w:rsidRPr="003F30FB" w:rsidRDefault="000E732C" w:rsidP="00C01A94">
            <w:pPr>
              <w:widowControl w:val="0"/>
              <w:spacing w:before="120" w:after="120" w:line="240" w:lineRule="atLeast"/>
              <w:rPr>
                <w:rFonts w:cs="Arial"/>
                <w:sz w:val="18"/>
                <w:szCs w:val="18"/>
              </w:rPr>
            </w:pPr>
            <w:r>
              <w:rPr>
                <w:sz w:val="18"/>
              </w:rPr>
              <w:t>1.1.2018</w:t>
            </w:r>
          </w:p>
        </w:tc>
      </w:tr>
      <w:tr w:rsidR="000E732C" w:rsidRPr="003F30FB" w:rsidTr="000E732C">
        <w:trPr>
          <w:cantSplit/>
          <w:jc w:val="center"/>
        </w:trPr>
        <w:tc>
          <w:tcPr>
            <w:tcW w:w="1342" w:type="dxa"/>
            <w:vMerge/>
            <w:shd w:val="clear" w:color="auto" w:fill="auto"/>
          </w:tcPr>
          <w:p w:rsidR="000E732C" w:rsidRPr="003F30FB" w:rsidRDefault="000E732C" w:rsidP="00C01A94">
            <w:pPr>
              <w:spacing w:before="120" w:after="120" w:line="240" w:lineRule="atLeast"/>
              <w:ind w:left="0" w:firstLine="0"/>
              <w:rPr>
                <w:rFonts w:cs="Arial"/>
                <w:sz w:val="18"/>
                <w:szCs w:val="18"/>
              </w:rPr>
            </w:pPr>
          </w:p>
        </w:tc>
        <w:tc>
          <w:tcPr>
            <w:tcW w:w="1458" w:type="dxa"/>
            <w:shd w:val="clear" w:color="auto" w:fill="auto"/>
          </w:tcPr>
          <w:p w:rsidR="000E732C" w:rsidRPr="003F30FB" w:rsidRDefault="000E732C" w:rsidP="00C01A94">
            <w:pPr>
              <w:widowControl w:val="0"/>
              <w:spacing w:before="120" w:after="120" w:line="240" w:lineRule="atLeast"/>
              <w:jc w:val="left"/>
              <w:rPr>
                <w:rFonts w:cs="Arial"/>
                <w:sz w:val="18"/>
                <w:szCs w:val="18"/>
              </w:rPr>
            </w:pPr>
            <w:r>
              <w:rPr>
                <w:sz w:val="18"/>
              </w:rPr>
              <w:t>paragrafo 5</w:t>
            </w:r>
          </w:p>
        </w:tc>
        <w:tc>
          <w:tcPr>
            <w:tcW w:w="3296" w:type="dxa"/>
            <w:shd w:val="clear" w:color="auto" w:fill="auto"/>
          </w:tcPr>
          <w:p w:rsidR="000E732C" w:rsidRPr="003F30FB" w:rsidRDefault="000E732C" w:rsidP="00C01A94">
            <w:pPr>
              <w:widowControl w:val="0"/>
              <w:spacing w:before="120" w:after="120" w:line="240" w:lineRule="atLeast"/>
              <w:rPr>
                <w:rFonts w:cs="Arial"/>
                <w:sz w:val="18"/>
                <w:szCs w:val="18"/>
              </w:rPr>
            </w:pPr>
            <w:r>
              <w:rPr>
                <w:sz w:val="18"/>
              </w:rPr>
              <w:t>Arresto e blocco</w:t>
            </w:r>
          </w:p>
        </w:tc>
        <w:tc>
          <w:tcPr>
            <w:tcW w:w="5387" w:type="dxa"/>
            <w:shd w:val="clear" w:color="auto" w:fill="auto"/>
          </w:tcPr>
          <w:p w:rsidR="000E732C" w:rsidRPr="003F30FB" w:rsidRDefault="008761D9" w:rsidP="00C01A94">
            <w:pPr>
              <w:widowControl w:val="0"/>
              <w:spacing w:before="120" w:after="12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0E732C" w:rsidRPr="003F30FB" w:rsidRDefault="000E732C" w:rsidP="00C01A94">
            <w:pPr>
              <w:widowControl w:val="0"/>
              <w:spacing w:before="120" w:after="120" w:line="240" w:lineRule="atLeast"/>
              <w:rPr>
                <w:rFonts w:cs="Arial"/>
                <w:sz w:val="18"/>
                <w:szCs w:val="18"/>
              </w:rPr>
            </w:pPr>
            <w:r>
              <w:rPr>
                <w:sz w:val="18"/>
              </w:rPr>
              <w:t>1.1.2025</w:t>
            </w:r>
          </w:p>
        </w:tc>
        <w:tc>
          <w:tcPr>
            <w:tcW w:w="1276" w:type="dxa"/>
          </w:tcPr>
          <w:p w:rsidR="000E732C" w:rsidRPr="003F30FB" w:rsidRDefault="000E732C" w:rsidP="00C01A94">
            <w:pPr>
              <w:widowControl w:val="0"/>
              <w:spacing w:before="120" w:after="120" w:line="240" w:lineRule="atLeast"/>
              <w:rPr>
                <w:rFonts w:cs="Arial"/>
                <w:sz w:val="18"/>
                <w:szCs w:val="18"/>
              </w:rPr>
            </w:pPr>
            <w:r>
              <w:rPr>
                <w:sz w:val="18"/>
              </w:rPr>
              <w:t>1.1.2018</w:t>
            </w:r>
          </w:p>
        </w:tc>
      </w:tr>
      <w:tr w:rsidR="000E732C" w:rsidRPr="003F30FB" w:rsidTr="000E732C">
        <w:trPr>
          <w:cantSplit/>
          <w:jc w:val="center"/>
        </w:trPr>
        <w:tc>
          <w:tcPr>
            <w:tcW w:w="1342" w:type="dxa"/>
            <w:vMerge/>
            <w:shd w:val="clear" w:color="auto" w:fill="auto"/>
          </w:tcPr>
          <w:p w:rsidR="000E732C" w:rsidRPr="003F30FB" w:rsidRDefault="000E732C" w:rsidP="00C01A94">
            <w:pPr>
              <w:spacing w:before="120" w:after="120" w:line="240" w:lineRule="atLeast"/>
              <w:ind w:left="0" w:firstLine="0"/>
              <w:rPr>
                <w:rFonts w:cs="Arial"/>
                <w:sz w:val="18"/>
                <w:szCs w:val="18"/>
              </w:rPr>
            </w:pPr>
          </w:p>
        </w:tc>
        <w:tc>
          <w:tcPr>
            <w:tcW w:w="1458" w:type="dxa"/>
            <w:shd w:val="clear" w:color="auto" w:fill="auto"/>
          </w:tcPr>
          <w:p w:rsidR="000E732C" w:rsidRPr="003F30FB" w:rsidRDefault="000E732C" w:rsidP="00C01A94">
            <w:pPr>
              <w:widowControl w:val="0"/>
              <w:spacing w:before="120" w:after="120" w:line="240" w:lineRule="atLeast"/>
              <w:jc w:val="left"/>
              <w:rPr>
                <w:rFonts w:cs="Arial"/>
                <w:sz w:val="18"/>
                <w:szCs w:val="18"/>
              </w:rPr>
            </w:pPr>
            <w:r>
              <w:rPr>
                <w:sz w:val="18"/>
              </w:rPr>
              <w:t>paragrafo 6</w:t>
            </w:r>
          </w:p>
        </w:tc>
        <w:tc>
          <w:tcPr>
            <w:tcW w:w="3296" w:type="dxa"/>
            <w:shd w:val="clear" w:color="auto" w:fill="auto"/>
          </w:tcPr>
          <w:p w:rsidR="000E732C" w:rsidRPr="003F30FB" w:rsidRDefault="000E732C" w:rsidP="00C01A94">
            <w:pPr>
              <w:widowControl w:val="0"/>
              <w:spacing w:before="120" w:after="120" w:line="240" w:lineRule="atLeast"/>
              <w:rPr>
                <w:rFonts w:cs="Arial"/>
                <w:sz w:val="18"/>
                <w:szCs w:val="18"/>
              </w:rPr>
            </w:pPr>
            <w:r>
              <w:rPr>
                <w:sz w:val="18"/>
              </w:rPr>
              <w:t>Disattivazione automatica</w:t>
            </w:r>
          </w:p>
        </w:tc>
        <w:tc>
          <w:tcPr>
            <w:tcW w:w="5387" w:type="dxa"/>
            <w:shd w:val="clear" w:color="auto" w:fill="auto"/>
          </w:tcPr>
          <w:p w:rsidR="000E732C" w:rsidRPr="003F30FB" w:rsidRDefault="008761D9" w:rsidP="00C01A94">
            <w:pPr>
              <w:widowControl w:val="0"/>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0E732C" w:rsidRPr="003F30FB" w:rsidRDefault="000E732C" w:rsidP="00C01A94">
            <w:pPr>
              <w:widowControl w:val="0"/>
              <w:spacing w:before="120" w:after="120" w:line="240" w:lineRule="atLeast"/>
              <w:rPr>
                <w:rFonts w:cs="Arial"/>
                <w:sz w:val="18"/>
                <w:szCs w:val="18"/>
              </w:rPr>
            </w:pPr>
            <w:r>
              <w:rPr>
                <w:sz w:val="18"/>
              </w:rPr>
              <w:t>1.1.2025</w:t>
            </w:r>
          </w:p>
        </w:tc>
        <w:tc>
          <w:tcPr>
            <w:tcW w:w="1276" w:type="dxa"/>
          </w:tcPr>
          <w:p w:rsidR="000E732C" w:rsidRPr="003F30FB" w:rsidRDefault="000E732C" w:rsidP="00C01A94">
            <w:pPr>
              <w:widowControl w:val="0"/>
              <w:spacing w:before="120" w:after="120" w:line="240" w:lineRule="atLeast"/>
              <w:rPr>
                <w:rFonts w:cs="Arial"/>
                <w:sz w:val="18"/>
                <w:szCs w:val="18"/>
              </w:rPr>
            </w:pPr>
            <w:r>
              <w:rPr>
                <w:sz w:val="18"/>
              </w:rPr>
              <w:t>1.1.2018</w:t>
            </w:r>
          </w:p>
        </w:tc>
      </w:tr>
      <w:tr w:rsidR="000E732C" w:rsidRPr="003F30FB" w:rsidTr="000E732C">
        <w:trPr>
          <w:cantSplit/>
          <w:jc w:val="center"/>
        </w:trPr>
        <w:tc>
          <w:tcPr>
            <w:tcW w:w="1342" w:type="dxa"/>
            <w:vMerge/>
            <w:shd w:val="clear" w:color="auto" w:fill="auto"/>
          </w:tcPr>
          <w:p w:rsidR="000E732C" w:rsidRPr="003F30FB" w:rsidRDefault="000E732C" w:rsidP="00C01A94">
            <w:pPr>
              <w:spacing w:before="120" w:after="120" w:line="240" w:lineRule="atLeast"/>
              <w:ind w:left="0" w:firstLine="0"/>
              <w:rPr>
                <w:rFonts w:cs="Arial"/>
                <w:sz w:val="18"/>
                <w:szCs w:val="18"/>
              </w:rPr>
            </w:pPr>
          </w:p>
        </w:tc>
        <w:tc>
          <w:tcPr>
            <w:tcW w:w="1458" w:type="dxa"/>
            <w:shd w:val="clear" w:color="auto" w:fill="auto"/>
          </w:tcPr>
          <w:p w:rsidR="000E732C" w:rsidRPr="003F30FB" w:rsidRDefault="000E732C" w:rsidP="00C01A94">
            <w:pPr>
              <w:widowControl w:val="0"/>
              <w:spacing w:before="120" w:after="120" w:line="240" w:lineRule="atLeast"/>
              <w:ind w:left="-15" w:firstLine="15"/>
              <w:jc w:val="left"/>
              <w:rPr>
                <w:rFonts w:cs="Arial"/>
                <w:sz w:val="18"/>
                <w:szCs w:val="18"/>
              </w:rPr>
            </w:pPr>
            <w:r>
              <w:rPr>
                <w:sz w:val="18"/>
              </w:rPr>
              <w:t xml:space="preserve">paragrafo 7 </w:t>
            </w:r>
            <w:r>
              <w:rPr>
                <w:rFonts w:cs="Arial"/>
                <w:sz w:val="18"/>
                <w:szCs w:val="18"/>
              </w:rPr>
              <w:br/>
            </w:r>
            <w:r>
              <w:rPr>
                <w:sz w:val="18"/>
              </w:rPr>
              <w:t>prima e seconda frase</w:t>
            </w:r>
          </w:p>
        </w:tc>
        <w:tc>
          <w:tcPr>
            <w:tcW w:w="3296" w:type="dxa"/>
            <w:shd w:val="clear" w:color="auto" w:fill="auto"/>
          </w:tcPr>
          <w:p w:rsidR="000E732C" w:rsidRPr="003F30FB" w:rsidRDefault="000E732C" w:rsidP="00C01A94">
            <w:pPr>
              <w:widowControl w:val="0"/>
              <w:spacing w:before="120" w:after="120" w:line="240" w:lineRule="atLeast"/>
              <w:rPr>
                <w:rFonts w:cs="Arial"/>
                <w:sz w:val="18"/>
                <w:szCs w:val="18"/>
              </w:rPr>
            </w:pPr>
            <w:r>
              <w:rPr>
                <w:sz w:val="18"/>
              </w:rPr>
              <w:t>Sistemazioni e caratteristiche di protezione</w:t>
            </w:r>
          </w:p>
        </w:tc>
        <w:tc>
          <w:tcPr>
            <w:tcW w:w="5387" w:type="dxa"/>
            <w:shd w:val="clear" w:color="auto" w:fill="auto"/>
          </w:tcPr>
          <w:p w:rsidR="000E732C" w:rsidRPr="003F30FB" w:rsidRDefault="008761D9" w:rsidP="00C01A94">
            <w:pPr>
              <w:widowControl w:val="0"/>
              <w:spacing w:before="120" w:after="12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0E732C" w:rsidRPr="003F30FB" w:rsidRDefault="000E732C" w:rsidP="00C01A94">
            <w:pPr>
              <w:widowControl w:val="0"/>
              <w:spacing w:before="120" w:after="120" w:line="240" w:lineRule="atLeast"/>
              <w:rPr>
                <w:rFonts w:cs="Arial"/>
                <w:sz w:val="18"/>
                <w:szCs w:val="18"/>
              </w:rPr>
            </w:pPr>
            <w:r>
              <w:rPr>
                <w:sz w:val="18"/>
              </w:rPr>
              <w:t>1.1.2025</w:t>
            </w:r>
          </w:p>
        </w:tc>
        <w:tc>
          <w:tcPr>
            <w:tcW w:w="1276" w:type="dxa"/>
          </w:tcPr>
          <w:p w:rsidR="000E732C" w:rsidRPr="003F30FB" w:rsidRDefault="000E732C" w:rsidP="00C01A94">
            <w:pPr>
              <w:widowControl w:val="0"/>
              <w:spacing w:before="120" w:after="120" w:line="240" w:lineRule="atLeast"/>
              <w:rPr>
                <w:rFonts w:cs="Arial"/>
                <w:sz w:val="18"/>
                <w:szCs w:val="18"/>
              </w:rPr>
            </w:pPr>
            <w:r>
              <w:rPr>
                <w:sz w:val="18"/>
              </w:rPr>
              <w:t>1.1.2018</w:t>
            </w:r>
          </w:p>
        </w:tc>
      </w:tr>
      <w:tr w:rsidR="000E732C" w:rsidRPr="003F30FB" w:rsidTr="000E732C">
        <w:trPr>
          <w:cantSplit/>
          <w:jc w:val="center"/>
        </w:trPr>
        <w:tc>
          <w:tcPr>
            <w:tcW w:w="1342" w:type="dxa"/>
            <w:vMerge/>
            <w:shd w:val="clear" w:color="auto" w:fill="auto"/>
          </w:tcPr>
          <w:p w:rsidR="000E732C" w:rsidRPr="003F30FB" w:rsidRDefault="000E732C" w:rsidP="00C01A94">
            <w:pPr>
              <w:spacing w:before="120" w:after="120" w:line="240" w:lineRule="atLeast"/>
              <w:ind w:left="0" w:firstLine="0"/>
              <w:rPr>
                <w:rFonts w:cs="Arial"/>
                <w:sz w:val="18"/>
                <w:szCs w:val="18"/>
              </w:rPr>
            </w:pPr>
          </w:p>
        </w:tc>
        <w:tc>
          <w:tcPr>
            <w:tcW w:w="1458" w:type="dxa"/>
            <w:shd w:val="clear" w:color="auto" w:fill="auto"/>
          </w:tcPr>
          <w:p w:rsidR="000E732C" w:rsidRPr="003F30FB" w:rsidRDefault="000E732C" w:rsidP="00C01A94">
            <w:pPr>
              <w:widowControl w:val="0"/>
              <w:spacing w:before="120" w:after="120" w:line="240" w:lineRule="atLeast"/>
              <w:ind w:left="-15" w:firstLine="15"/>
              <w:jc w:val="left"/>
              <w:rPr>
                <w:rFonts w:cs="Arial"/>
                <w:sz w:val="18"/>
                <w:szCs w:val="18"/>
              </w:rPr>
            </w:pPr>
            <w:r>
              <w:rPr>
                <w:sz w:val="18"/>
              </w:rPr>
              <w:t xml:space="preserve">paragrafo 7 </w:t>
            </w:r>
            <w:r>
              <w:rPr>
                <w:rFonts w:cs="Arial"/>
                <w:sz w:val="18"/>
                <w:szCs w:val="18"/>
              </w:rPr>
              <w:br/>
            </w:r>
            <w:r>
              <w:rPr>
                <w:sz w:val="18"/>
              </w:rPr>
              <w:t>terza frase</w:t>
            </w:r>
          </w:p>
        </w:tc>
        <w:tc>
          <w:tcPr>
            <w:tcW w:w="3296" w:type="dxa"/>
            <w:shd w:val="clear" w:color="auto" w:fill="auto"/>
          </w:tcPr>
          <w:p w:rsidR="000E732C" w:rsidRPr="003F30FB" w:rsidRDefault="000E732C" w:rsidP="00C01A94">
            <w:pPr>
              <w:widowControl w:val="0"/>
              <w:spacing w:before="120" w:after="120" w:line="240" w:lineRule="atLeast"/>
              <w:rPr>
                <w:rFonts w:cs="Arial"/>
                <w:sz w:val="18"/>
                <w:szCs w:val="18"/>
              </w:rPr>
            </w:pPr>
            <w:r>
              <w:rPr>
                <w:sz w:val="18"/>
              </w:rPr>
              <w:t>Segnale visivo</w:t>
            </w:r>
          </w:p>
        </w:tc>
        <w:tc>
          <w:tcPr>
            <w:tcW w:w="5387" w:type="dxa"/>
            <w:shd w:val="clear" w:color="auto" w:fill="auto"/>
          </w:tcPr>
          <w:p w:rsidR="000E732C" w:rsidRPr="003F30FB" w:rsidRDefault="008761D9" w:rsidP="00C01A94">
            <w:pPr>
              <w:widowControl w:val="0"/>
              <w:spacing w:before="120" w:after="12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0E732C" w:rsidRPr="003F30FB" w:rsidRDefault="000E732C" w:rsidP="00C01A94">
            <w:pPr>
              <w:widowControl w:val="0"/>
              <w:spacing w:before="120" w:after="120" w:line="240" w:lineRule="atLeast"/>
              <w:rPr>
                <w:rFonts w:cs="Arial"/>
                <w:sz w:val="18"/>
                <w:szCs w:val="18"/>
              </w:rPr>
            </w:pPr>
          </w:p>
        </w:tc>
        <w:tc>
          <w:tcPr>
            <w:tcW w:w="1276" w:type="dxa"/>
          </w:tcPr>
          <w:p w:rsidR="000E732C" w:rsidRPr="003F30FB" w:rsidRDefault="000E732C" w:rsidP="00C01A94">
            <w:pPr>
              <w:widowControl w:val="0"/>
              <w:spacing w:before="120" w:after="120" w:line="240" w:lineRule="atLeast"/>
              <w:rPr>
                <w:rFonts w:cs="Arial"/>
                <w:sz w:val="18"/>
                <w:szCs w:val="18"/>
              </w:rPr>
            </w:pPr>
            <w:r>
              <w:rPr>
                <w:sz w:val="18"/>
              </w:rPr>
              <w:t>1.1.2018</w:t>
            </w:r>
          </w:p>
        </w:tc>
      </w:tr>
      <w:tr w:rsidR="000E732C" w:rsidRPr="003F30FB" w:rsidTr="000E732C">
        <w:trPr>
          <w:cantSplit/>
          <w:jc w:val="center"/>
        </w:trPr>
        <w:tc>
          <w:tcPr>
            <w:tcW w:w="1342" w:type="dxa"/>
            <w:vMerge/>
            <w:shd w:val="clear" w:color="auto" w:fill="auto"/>
          </w:tcPr>
          <w:p w:rsidR="000E732C" w:rsidRPr="003F30FB" w:rsidRDefault="000E732C" w:rsidP="00C01A94">
            <w:pPr>
              <w:spacing w:before="120" w:after="120" w:line="240" w:lineRule="atLeast"/>
              <w:ind w:left="0" w:firstLine="0"/>
              <w:rPr>
                <w:rFonts w:cs="Arial"/>
                <w:sz w:val="18"/>
                <w:szCs w:val="18"/>
              </w:rPr>
            </w:pPr>
          </w:p>
        </w:tc>
        <w:tc>
          <w:tcPr>
            <w:tcW w:w="1458" w:type="dxa"/>
            <w:shd w:val="clear" w:color="auto" w:fill="auto"/>
          </w:tcPr>
          <w:p w:rsidR="000E732C" w:rsidRPr="003F30FB" w:rsidRDefault="000E732C" w:rsidP="00C01A94">
            <w:pPr>
              <w:widowControl w:val="0"/>
              <w:spacing w:before="120" w:after="120" w:line="240" w:lineRule="atLeast"/>
              <w:jc w:val="left"/>
              <w:rPr>
                <w:rFonts w:cs="Arial"/>
                <w:sz w:val="18"/>
                <w:szCs w:val="18"/>
              </w:rPr>
            </w:pPr>
            <w:r>
              <w:rPr>
                <w:sz w:val="18"/>
              </w:rPr>
              <w:t>paragrafo 8</w:t>
            </w:r>
          </w:p>
        </w:tc>
        <w:tc>
          <w:tcPr>
            <w:tcW w:w="3296" w:type="dxa"/>
            <w:shd w:val="clear" w:color="auto" w:fill="auto"/>
          </w:tcPr>
          <w:p w:rsidR="000E732C" w:rsidRPr="003F30FB" w:rsidRDefault="000E732C" w:rsidP="00C01A94">
            <w:pPr>
              <w:widowControl w:val="0"/>
              <w:tabs>
                <w:tab w:val="left" w:pos="1260"/>
              </w:tabs>
              <w:adjustRightInd w:val="0"/>
              <w:spacing w:before="120" w:after="120" w:line="240" w:lineRule="atLeast"/>
              <w:rPr>
                <w:rFonts w:cs="Arial"/>
                <w:sz w:val="18"/>
                <w:szCs w:val="18"/>
              </w:rPr>
            </w:pPr>
            <w:r>
              <w:rPr>
                <w:sz w:val="18"/>
              </w:rPr>
              <w:t>Sistema di abbassamento di emergenza</w:t>
            </w:r>
          </w:p>
        </w:tc>
        <w:tc>
          <w:tcPr>
            <w:tcW w:w="5387" w:type="dxa"/>
            <w:shd w:val="clear" w:color="auto" w:fill="auto"/>
          </w:tcPr>
          <w:p w:rsidR="000E732C" w:rsidRPr="003F30FB" w:rsidRDefault="000E732C" w:rsidP="00C01A94">
            <w:pPr>
              <w:widowControl w:val="0"/>
              <w:spacing w:before="120" w:after="120" w:line="240" w:lineRule="atLeast"/>
              <w:ind w:left="0" w:firstLine="0"/>
              <w:rPr>
                <w:rFonts w:cs="Arial"/>
                <w:sz w:val="18"/>
                <w:szCs w:val="18"/>
              </w:rPr>
            </w:pPr>
            <w:r>
              <w:rPr>
                <w:sz w:val="18"/>
              </w:rPr>
              <w:t>Se l'abbassamento idraulico non è possibile: N.S.T., al più tardi alla data del rinnovo del certificato per la navigazione interna posteriormente al</w:t>
            </w:r>
          </w:p>
        </w:tc>
        <w:tc>
          <w:tcPr>
            <w:tcW w:w="1276" w:type="dxa"/>
            <w:shd w:val="clear" w:color="auto" w:fill="auto"/>
          </w:tcPr>
          <w:p w:rsidR="000E732C" w:rsidRPr="003F30FB" w:rsidRDefault="000E732C" w:rsidP="00C01A94">
            <w:pPr>
              <w:widowControl w:val="0"/>
              <w:spacing w:before="120" w:after="120" w:line="240" w:lineRule="atLeast"/>
              <w:rPr>
                <w:rFonts w:cs="Arial"/>
                <w:sz w:val="18"/>
                <w:szCs w:val="18"/>
              </w:rPr>
            </w:pPr>
            <w:r>
              <w:rPr>
                <w:sz w:val="18"/>
              </w:rPr>
              <w:t>1.1.2040</w:t>
            </w:r>
          </w:p>
        </w:tc>
        <w:tc>
          <w:tcPr>
            <w:tcW w:w="1276" w:type="dxa"/>
          </w:tcPr>
          <w:p w:rsidR="000E732C" w:rsidRPr="003F30FB" w:rsidRDefault="000E732C" w:rsidP="00C01A94">
            <w:pPr>
              <w:widowControl w:val="0"/>
              <w:spacing w:before="120" w:after="120" w:line="240" w:lineRule="atLeast"/>
              <w:rPr>
                <w:rFonts w:cs="Arial"/>
                <w:sz w:val="18"/>
                <w:szCs w:val="18"/>
              </w:rPr>
            </w:pPr>
            <w:r>
              <w:rPr>
                <w:sz w:val="18"/>
              </w:rPr>
              <w:t>1.1.2018</w:t>
            </w:r>
          </w:p>
        </w:tc>
      </w:tr>
      <w:tr w:rsidR="000E732C" w:rsidRPr="000E732C" w:rsidTr="000E732C">
        <w:trPr>
          <w:cantSplit/>
          <w:trHeight w:val="163"/>
          <w:jc w:val="center"/>
        </w:trPr>
        <w:tc>
          <w:tcPr>
            <w:tcW w:w="1342" w:type="dxa"/>
            <w:vMerge/>
            <w:shd w:val="clear" w:color="auto" w:fill="auto"/>
          </w:tcPr>
          <w:p w:rsidR="000E732C" w:rsidRPr="003F30FB" w:rsidRDefault="000E732C" w:rsidP="00C01A94">
            <w:pPr>
              <w:spacing w:before="120" w:after="120" w:line="240" w:lineRule="atLeast"/>
              <w:ind w:left="0" w:firstLine="0"/>
              <w:rPr>
                <w:rFonts w:cs="Arial"/>
                <w:sz w:val="18"/>
                <w:szCs w:val="18"/>
              </w:rPr>
            </w:pPr>
          </w:p>
        </w:tc>
        <w:tc>
          <w:tcPr>
            <w:tcW w:w="1458" w:type="dxa"/>
            <w:vMerge w:val="restart"/>
            <w:shd w:val="clear" w:color="auto" w:fill="auto"/>
          </w:tcPr>
          <w:p w:rsidR="000E732C" w:rsidRPr="003F30FB" w:rsidDel="00F12D85" w:rsidRDefault="000E732C" w:rsidP="00C01A94">
            <w:pPr>
              <w:widowControl w:val="0"/>
              <w:spacing w:before="120" w:after="120" w:line="240" w:lineRule="atLeast"/>
              <w:jc w:val="left"/>
              <w:rPr>
                <w:rFonts w:cs="Arial"/>
                <w:sz w:val="18"/>
                <w:szCs w:val="18"/>
              </w:rPr>
            </w:pPr>
            <w:r>
              <w:rPr>
                <w:sz w:val="18"/>
              </w:rPr>
              <w:t>paragrafo 12, lettera c)</w:t>
            </w:r>
          </w:p>
        </w:tc>
        <w:tc>
          <w:tcPr>
            <w:tcW w:w="3296" w:type="dxa"/>
            <w:vMerge w:val="restart"/>
            <w:shd w:val="clear" w:color="auto" w:fill="auto"/>
          </w:tcPr>
          <w:p w:rsidR="000E732C" w:rsidRPr="003F30FB" w:rsidRDefault="000E732C" w:rsidP="00C01A94">
            <w:pPr>
              <w:widowControl w:val="0"/>
              <w:tabs>
                <w:tab w:val="left" w:pos="1260"/>
              </w:tabs>
              <w:adjustRightInd w:val="0"/>
              <w:spacing w:before="120" w:after="120" w:line="240" w:lineRule="atLeast"/>
              <w:rPr>
                <w:rFonts w:cs="Arial"/>
                <w:sz w:val="18"/>
                <w:szCs w:val="18"/>
              </w:rPr>
            </w:pPr>
            <w:r>
              <w:rPr>
                <w:sz w:val="18"/>
              </w:rPr>
              <w:t>Prove</w:t>
            </w:r>
          </w:p>
        </w:tc>
        <w:tc>
          <w:tcPr>
            <w:tcW w:w="5387" w:type="dxa"/>
            <w:shd w:val="clear" w:color="auto" w:fill="auto"/>
          </w:tcPr>
          <w:p w:rsidR="000E732C" w:rsidRPr="003F30FB" w:rsidRDefault="008761D9" w:rsidP="00C01A94">
            <w:pPr>
              <w:widowControl w:val="0"/>
              <w:spacing w:before="120" w:after="120" w:line="240" w:lineRule="atLeast"/>
              <w:ind w:left="0" w:firstLine="0"/>
              <w:rPr>
                <w:rFonts w:cs="Arial"/>
                <w:sz w:val="18"/>
                <w:szCs w:val="18"/>
              </w:rPr>
            </w:pPr>
            <w:r>
              <w:rPr>
                <w:sz w:val="18"/>
              </w:rPr>
              <w:t>N.S.T., al più tardi alla data del rinnovo del certificato per la navigazione interna.</w:t>
            </w:r>
          </w:p>
        </w:tc>
        <w:tc>
          <w:tcPr>
            <w:tcW w:w="1276" w:type="dxa"/>
            <w:vMerge w:val="restart"/>
            <w:shd w:val="clear" w:color="auto" w:fill="auto"/>
          </w:tcPr>
          <w:p w:rsidR="000E732C" w:rsidRPr="003F30FB" w:rsidRDefault="000E732C" w:rsidP="00C01A94">
            <w:pPr>
              <w:widowControl w:val="0"/>
              <w:spacing w:before="120" w:after="120" w:line="240" w:lineRule="atLeast"/>
              <w:rPr>
                <w:rFonts w:cs="Arial"/>
                <w:sz w:val="18"/>
                <w:szCs w:val="18"/>
              </w:rPr>
            </w:pPr>
          </w:p>
        </w:tc>
        <w:tc>
          <w:tcPr>
            <w:tcW w:w="1276" w:type="dxa"/>
            <w:vMerge w:val="restart"/>
          </w:tcPr>
          <w:p w:rsidR="000E732C" w:rsidRPr="003F30FB" w:rsidRDefault="000E732C" w:rsidP="00C01A94">
            <w:pPr>
              <w:widowControl w:val="0"/>
              <w:spacing w:before="120" w:after="120" w:line="240" w:lineRule="atLeast"/>
              <w:rPr>
                <w:rFonts w:cs="Arial"/>
                <w:sz w:val="18"/>
                <w:szCs w:val="18"/>
              </w:rPr>
            </w:pPr>
            <w:r>
              <w:rPr>
                <w:sz w:val="18"/>
              </w:rPr>
              <w:t>1.1.2018</w:t>
            </w:r>
          </w:p>
        </w:tc>
      </w:tr>
      <w:tr w:rsidR="000E732C" w:rsidRPr="00A0619C" w:rsidTr="000E732C">
        <w:trPr>
          <w:cantSplit/>
          <w:trHeight w:val="163"/>
          <w:jc w:val="center"/>
        </w:trPr>
        <w:tc>
          <w:tcPr>
            <w:tcW w:w="1342" w:type="dxa"/>
            <w:vMerge/>
            <w:shd w:val="clear" w:color="auto" w:fill="auto"/>
          </w:tcPr>
          <w:p w:rsidR="000E732C" w:rsidRPr="000E732C" w:rsidRDefault="000E732C" w:rsidP="00C01A94">
            <w:pPr>
              <w:spacing w:before="120" w:after="120" w:line="240" w:lineRule="atLeast"/>
              <w:ind w:left="0" w:firstLine="0"/>
              <w:rPr>
                <w:rFonts w:cs="Arial"/>
                <w:sz w:val="18"/>
                <w:szCs w:val="18"/>
              </w:rPr>
            </w:pPr>
          </w:p>
        </w:tc>
        <w:tc>
          <w:tcPr>
            <w:tcW w:w="1458" w:type="dxa"/>
            <w:vMerge/>
            <w:shd w:val="clear" w:color="auto" w:fill="auto"/>
          </w:tcPr>
          <w:p w:rsidR="000E732C" w:rsidRPr="008921FB" w:rsidRDefault="000E732C" w:rsidP="00C01A94">
            <w:pPr>
              <w:widowControl w:val="0"/>
              <w:spacing w:before="120" w:after="120" w:line="240" w:lineRule="atLeast"/>
              <w:jc w:val="left"/>
              <w:rPr>
                <w:rFonts w:cs="Arial"/>
                <w:sz w:val="18"/>
                <w:szCs w:val="18"/>
                <w:highlight w:val="lightGray"/>
              </w:rPr>
            </w:pPr>
          </w:p>
        </w:tc>
        <w:tc>
          <w:tcPr>
            <w:tcW w:w="3296" w:type="dxa"/>
            <w:vMerge/>
            <w:shd w:val="clear" w:color="auto" w:fill="auto"/>
          </w:tcPr>
          <w:p w:rsidR="000E732C" w:rsidRPr="008921FB" w:rsidRDefault="000E732C" w:rsidP="00C01A94">
            <w:pPr>
              <w:widowControl w:val="0"/>
              <w:tabs>
                <w:tab w:val="left" w:pos="1260"/>
              </w:tabs>
              <w:adjustRightInd w:val="0"/>
              <w:spacing w:before="120" w:after="120" w:line="240" w:lineRule="atLeast"/>
              <w:rPr>
                <w:rFonts w:cs="Arial"/>
                <w:sz w:val="18"/>
                <w:szCs w:val="18"/>
                <w:highlight w:val="lightGray"/>
              </w:rPr>
            </w:pPr>
          </w:p>
        </w:tc>
        <w:tc>
          <w:tcPr>
            <w:tcW w:w="5387" w:type="dxa"/>
            <w:shd w:val="clear" w:color="auto" w:fill="auto"/>
          </w:tcPr>
          <w:p w:rsidR="000E732C" w:rsidRPr="003F30FB" w:rsidRDefault="000E732C" w:rsidP="00C01A94">
            <w:pPr>
              <w:widowControl w:val="0"/>
              <w:spacing w:before="120" w:after="120" w:line="240" w:lineRule="atLeast"/>
              <w:ind w:left="0" w:firstLine="0"/>
              <w:rPr>
                <w:rFonts w:cs="Arial"/>
                <w:sz w:val="18"/>
                <w:szCs w:val="18"/>
              </w:rPr>
            </w:pPr>
            <w:r>
              <w:rPr>
                <w:sz w:val="18"/>
              </w:rPr>
              <w:t>Qualora non possa essere fornita la prova matematica, la commissione di ispezione può riconoscere altre prove idonee come equivalenti.</w:t>
            </w:r>
          </w:p>
        </w:tc>
        <w:tc>
          <w:tcPr>
            <w:tcW w:w="1276" w:type="dxa"/>
            <w:vMerge/>
            <w:shd w:val="clear" w:color="auto" w:fill="auto"/>
          </w:tcPr>
          <w:p w:rsidR="000E732C" w:rsidRPr="008921FB" w:rsidRDefault="000E732C" w:rsidP="00C01A94">
            <w:pPr>
              <w:widowControl w:val="0"/>
              <w:spacing w:before="120" w:after="120" w:line="240" w:lineRule="atLeast"/>
              <w:rPr>
                <w:rFonts w:cs="Arial"/>
                <w:sz w:val="18"/>
                <w:szCs w:val="18"/>
                <w:highlight w:val="lightGray"/>
              </w:rPr>
            </w:pPr>
          </w:p>
        </w:tc>
        <w:tc>
          <w:tcPr>
            <w:tcW w:w="1276" w:type="dxa"/>
            <w:vMerge/>
          </w:tcPr>
          <w:p w:rsidR="000E732C" w:rsidRPr="008921FB" w:rsidRDefault="000E732C" w:rsidP="00C01A94">
            <w:pPr>
              <w:widowControl w:val="0"/>
              <w:spacing w:before="120" w:after="120" w:line="240" w:lineRule="atLeast"/>
              <w:rPr>
                <w:rFonts w:cs="Arial"/>
                <w:sz w:val="18"/>
                <w:szCs w:val="18"/>
                <w:highlight w:val="lightGray"/>
              </w:rPr>
            </w:pPr>
          </w:p>
        </w:tc>
      </w:tr>
      <w:tr w:rsidR="00E67DA4" w:rsidRPr="00C903F8" w:rsidTr="00E67DA4">
        <w:trPr>
          <w:cantSplit/>
          <w:jc w:val="center"/>
        </w:trPr>
        <w:tc>
          <w:tcPr>
            <w:tcW w:w="6096" w:type="dxa"/>
            <w:gridSpan w:val="3"/>
            <w:shd w:val="clear" w:color="auto" w:fill="auto"/>
          </w:tcPr>
          <w:p w:rsidR="00E67DA4" w:rsidRPr="00C903F8" w:rsidRDefault="00E67DA4" w:rsidP="00C01A94">
            <w:pPr>
              <w:spacing w:before="120" w:after="120" w:line="240" w:lineRule="atLeast"/>
              <w:ind w:left="0" w:firstLine="0"/>
              <w:jc w:val="center"/>
              <w:rPr>
                <w:rFonts w:cs="Arial"/>
                <w:sz w:val="18"/>
                <w:szCs w:val="18"/>
              </w:rPr>
            </w:pPr>
            <w:r>
              <w:rPr>
                <w:b/>
                <w:sz w:val="18"/>
              </w:rPr>
              <w:lastRenderedPageBreak/>
              <w:t>CAPO 8</w:t>
            </w:r>
          </w:p>
        </w:tc>
        <w:tc>
          <w:tcPr>
            <w:tcW w:w="5387" w:type="dxa"/>
            <w:shd w:val="clear" w:color="auto" w:fill="auto"/>
          </w:tcPr>
          <w:p w:rsidR="00E67DA4" w:rsidRPr="00C903F8" w:rsidRDefault="00E67DA4" w:rsidP="00C01A94">
            <w:pPr>
              <w:spacing w:before="120" w:after="120" w:line="240" w:lineRule="atLeast"/>
              <w:ind w:left="0" w:firstLine="0"/>
              <w:rPr>
                <w:rFonts w:cs="Arial"/>
                <w:sz w:val="18"/>
                <w:szCs w:val="18"/>
              </w:rPr>
            </w:pPr>
          </w:p>
        </w:tc>
        <w:tc>
          <w:tcPr>
            <w:tcW w:w="1276" w:type="dxa"/>
            <w:shd w:val="clear" w:color="auto" w:fill="auto"/>
          </w:tcPr>
          <w:p w:rsidR="00E67DA4" w:rsidRPr="00C903F8" w:rsidRDefault="00E67DA4" w:rsidP="00C01A94">
            <w:pPr>
              <w:spacing w:before="120" w:after="120" w:line="240" w:lineRule="atLeast"/>
              <w:ind w:left="0" w:firstLine="0"/>
              <w:rPr>
                <w:rFonts w:cs="Arial"/>
                <w:sz w:val="18"/>
                <w:szCs w:val="18"/>
              </w:rPr>
            </w:pPr>
          </w:p>
        </w:tc>
        <w:tc>
          <w:tcPr>
            <w:tcW w:w="1276" w:type="dxa"/>
          </w:tcPr>
          <w:p w:rsidR="00E67DA4" w:rsidRPr="00C903F8" w:rsidRDefault="00E67DA4" w:rsidP="00C01A94">
            <w:pPr>
              <w:spacing w:before="120" w:after="120" w:line="240" w:lineRule="atLeast"/>
              <w:ind w:left="0" w:firstLine="0"/>
              <w:rPr>
                <w:rFonts w:cs="Arial"/>
                <w:sz w:val="18"/>
                <w:szCs w:val="18"/>
              </w:rPr>
            </w:pPr>
          </w:p>
        </w:tc>
      </w:tr>
      <w:tr w:rsidR="00E67DA4" w:rsidRPr="00C903F8" w:rsidTr="00E67DA4">
        <w:trPr>
          <w:cantSplit/>
          <w:jc w:val="center"/>
        </w:trPr>
        <w:tc>
          <w:tcPr>
            <w:tcW w:w="1342" w:type="dxa"/>
            <w:tcBorders>
              <w:bottom w:val="nil"/>
            </w:tcBorders>
            <w:shd w:val="clear" w:color="auto" w:fill="auto"/>
          </w:tcPr>
          <w:p w:rsidR="00E67DA4" w:rsidRPr="00C903F8" w:rsidRDefault="00E67DA4" w:rsidP="00C01A94">
            <w:pPr>
              <w:spacing w:before="120" w:after="120" w:line="240" w:lineRule="atLeast"/>
              <w:ind w:left="0" w:firstLine="0"/>
              <w:rPr>
                <w:rFonts w:cs="Arial"/>
                <w:sz w:val="18"/>
                <w:szCs w:val="18"/>
              </w:rPr>
            </w:pPr>
            <w:r>
              <w:rPr>
                <w:sz w:val="18"/>
              </w:rPr>
              <w:t>8.02</w:t>
            </w:r>
          </w:p>
        </w:tc>
        <w:tc>
          <w:tcPr>
            <w:tcW w:w="1458" w:type="dxa"/>
            <w:shd w:val="clear" w:color="auto" w:fill="auto"/>
          </w:tcPr>
          <w:p w:rsidR="00E67DA4" w:rsidRPr="00C903F8" w:rsidRDefault="00E67DA4" w:rsidP="00C01A94">
            <w:pPr>
              <w:spacing w:before="120" w:after="120" w:line="240" w:lineRule="atLeast"/>
              <w:ind w:left="0" w:firstLine="0"/>
              <w:rPr>
                <w:rFonts w:cs="Arial"/>
                <w:sz w:val="18"/>
                <w:szCs w:val="18"/>
              </w:rPr>
            </w:pPr>
            <w:r>
              <w:rPr>
                <w:sz w:val="18"/>
              </w:rPr>
              <w:t>paragrafo 4</w:t>
            </w:r>
          </w:p>
        </w:tc>
        <w:tc>
          <w:tcPr>
            <w:tcW w:w="3296" w:type="dxa"/>
            <w:shd w:val="clear" w:color="auto" w:fill="auto"/>
          </w:tcPr>
          <w:p w:rsidR="00E67DA4" w:rsidRPr="00C903F8" w:rsidRDefault="00E67DA4" w:rsidP="00C01A94">
            <w:pPr>
              <w:spacing w:before="120" w:after="120" w:line="240" w:lineRule="atLeast"/>
              <w:ind w:left="0" w:firstLine="0"/>
              <w:rPr>
                <w:rFonts w:cs="Arial"/>
                <w:sz w:val="18"/>
                <w:szCs w:val="18"/>
              </w:rPr>
            </w:pPr>
            <w:r>
              <w:rPr>
                <w:noProof/>
                <w:sz w:val="18"/>
              </w:rPr>
              <w:t>Schermatura delle tubature</w:t>
            </w:r>
          </w:p>
        </w:tc>
        <w:tc>
          <w:tcPr>
            <w:tcW w:w="5387" w:type="dxa"/>
            <w:shd w:val="clear" w:color="auto" w:fill="auto"/>
          </w:tcPr>
          <w:p w:rsidR="00E67DA4" w:rsidRPr="00C903F8" w:rsidRDefault="008761D9"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E67DA4" w:rsidRPr="00C903F8" w:rsidRDefault="00E67DA4" w:rsidP="00C01A94">
            <w:pPr>
              <w:spacing w:before="120" w:after="120" w:line="240" w:lineRule="atLeast"/>
              <w:ind w:left="0" w:firstLine="0"/>
              <w:rPr>
                <w:rFonts w:cs="Arial"/>
                <w:sz w:val="18"/>
                <w:szCs w:val="18"/>
              </w:rPr>
            </w:pPr>
            <w:r>
              <w:rPr>
                <w:sz w:val="18"/>
              </w:rPr>
              <w:t>1.1.2025</w:t>
            </w:r>
          </w:p>
        </w:tc>
        <w:tc>
          <w:tcPr>
            <w:tcW w:w="1276" w:type="dxa"/>
          </w:tcPr>
          <w:p w:rsidR="00E67DA4" w:rsidRPr="00C903F8" w:rsidRDefault="00E67DA4" w:rsidP="00C01A94">
            <w:pPr>
              <w:spacing w:before="120" w:after="120" w:line="240" w:lineRule="atLeast"/>
              <w:ind w:left="0" w:firstLine="0"/>
              <w:rPr>
                <w:rFonts w:cs="Arial"/>
                <w:sz w:val="18"/>
                <w:szCs w:val="18"/>
              </w:rPr>
            </w:pPr>
            <w:r>
              <w:rPr>
                <w:sz w:val="18"/>
              </w:rPr>
              <w:t>1.4.2007</w:t>
            </w:r>
          </w:p>
        </w:tc>
      </w:tr>
      <w:tr w:rsidR="00E67DA4" w:rsidRPr="00C903F8" w:rsidTr="00E67DA4">
        <w:trPr>
          <w:cantSplit/>
          <w:jc w:val="center"/>
        </w:trPr>
        <w:tc>
          <w:tcPr>
            <w:tcW w:w="1342" w:type="dxa"/>
            <w:tcBorders>
              <w:top w:val="nil"/>
              <w:bottom w:val="nil"/>
            </w:tcBorders>
            <w:shd w:val="clear" w:color="auto" w:fill="auto"/>
          </w:tcPr>
          <w:p w:rsidR="00E67DA4" w:rsidRPr="00C903F8" w:rsidRDefault="00E67DA4" w:rsidP="00C01A94">
            <w:pPr>
              <w:spacing w:before="120" w:after="120" w:line="240" w:lineRule="atLeast"/>
              <w:ind w:left="0" w:firstLine="0"/>
              <w:rPr>
                <w:rFonts w:cs="Arial"/>
                <w:sz w:val="18"/>
                <w:szCs w:val="18"/>
              </w:rPr>
            </w:pPr>
          </w:p>
        </w:tc>
        <w:tc>
          <w:tcPr>
            <w:tcW w:w="1458" w:type="dxa"/>
            <w:shd w:val="clear" w:color="auto" w:fill="auto"/>
          </w:tcPr>
          <w:p w:rsidR="00E67DA4" w:rsidRPr="00C903F8" w:rsidRDefault="00E67DA4" w:rsidP="00C01A94">
            <w:pPr>
              <w:spacing w:before="120" w:after="120" w:line="240" w:lineRule="atLeast"/>
              <w:ind w:left="0" w:firstLine="0"/>
              <w:rPr>
                <w:rFonts w:cs="Arial"/>
                <w:sz w:val="18"/>
                <w:szCs w:val="18"/>
              </w:rPr>
            </w:pPr>
            <w:r>
              <w:rPr>
                <w:sz w:val="18"/>
              </w:rPr>
              <w:t>paragrafo 5</w:t>
            </w:r>
          </w:p>
        </w:tc>
        <w:tc>
          <w:tcPr>
            <w:tcW w:w="3296" w:type="dxa"/>
            <w:shd w:val="clear" w:color="auto" w:fill="auto"/>
          </w:tcPr>
          <w:p w:rsidR="00E67DA4" w:rsidRPr="00C903F8" w:rsidRDefault="00E67DA4" w:rsidP="00C01A94">
            <w:pPr>
              <w:spacing w:before="120" w:after="120" w:line="240" w:lineRule="atLeast"/>
              <w:ind w:left="0" w:firstLine="0"/>
              <w:rPr>
                <w:rFonts w:cs="Arial"/>
                <w:noProof/>
                <w:sz w:val="18"/>
                <w:szCs w:val="18"/>
              </w:rPr>
            </w:pPr>
            <w:r>
              <w:rPr>
                <w:noProof/>
                <w:sz w:val="18"/>
              </w:rPr>
              <w:t>Sistema di tubature a doppia parete</w:t>
            </w:r>
          </w:p>
        </w:tc>
        <w:tc>
          <w:tcPr>
            <w:tcW w:w="5387" w:type="dxa"/>
            <w:shd w:val="clear" w:color="auto" w:fill="auto"/>
          </w:tcPr>
          <w:p w:rsidR="00E67DA4" w:rsidRPr="00C903F8" w:rsidRDefault="008761D9"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E67DA4" w:rsidRPr="00C903F8" w:rsidRDefault="00E67DA4" w:rsidP="00C01A94">
            <w:pPr>
              <w:spacing w:before="120" w:after="120" w:line="240" w:lineRule="atLeast"/>
              <w:ind w:left="0" w:firstLine="0"/>
              <w:rPr>
                <w:rFonts w:cs="Arial"/>
                <w:sz w:val="18"/>
                <w:szCs w:val="18"/>
              </w:rPr>
            </w:pPr>
            <w:r>
              <w:rPr>
                <w:sz w:val="18"/>
              </w:rPr>
              <w:t>1.1.2025</w:t>
            </w:r>
          </w:p>
        </w:tc>
        <w:tc>
          <w:tcPr>
            <w:tcW w:w="1276" w:type="dxa"/>
          </w:tcPr>
          <w:p w:rsidR="00E67DA4" w:rsidRPr="00C903F8" w:rsidRDefault="00E67DA4" w:rsidP="00C01A94">
            <w:pPr>
              <w:spacing w:before="120" w:after="120" w:line="240" w:lineRule="atLeast"/>
              <w:ind w:left="0" w:firstLine="0"/>
              <w:rPr>
                <w:rFonts w:cs="Arial"/>
                <w:sz w:val="18"/>
                <w:szCs w:val="18"/>
              </w:rPr>
            </w:pPr>
            <w:r>
              <w:rPr>
                <w:sz w:val="18"/>
              </w:rPr>
              <w:t>1.4.2007</w:t>
            </w:r>
          </w:p>
        </w:tc>
      </w:tr>
      <w:tr w:rsidR="00E67DA4" w:rsidRPr="00C903F8" w:rsidTr="00E67DA4">
        <w:trPr>
          <w:cantSplit/>
          <w:jc w:val="center"/>
        </w:trPr>
        <w:tc>
          <w:tcPr>
            <w:tcW w:w="1342" w:type="dxa"/>
            <w:tcBorders>
              <w:bottom w:val="single" w:sz="4" w:space="0" w:color="auto"/>
            </w:tcBorders>
            <w:shd w:val="clear" w:color="auto" w:fill="auto"/>
          </w:tcPr>
          <w:p w:rsidR="00E67DA4" w:rsidRPr="00C903F8" w:rsidRDefault="00E67DA4" w:rsidP="00C01A94">
            <w:pPr>
              <w:spacing w:before="240" w:after="240" w:line="240" w:lineRule="atLeast"/>
              <w:ind w:left="0" w:firstLine="0"/>
              <w:rPr>
                <w:rFonts w:cs="Arial"/>
                <w:sz w:val="18"/>
                <w:szCs w:val="18"/>
              </w:rPr>
            </w:pPr>
            <w:r>
              <w:rPr>
                <w:sz w:val="18"/>
              </w:rPr>
              <w:t>8.03</w:t>
            </w:r>
          </w:p>
        </w:tc>
        <w:tc>
          <w:tcPr>
            <w:tcW w:w="1458" w:type="dxa"/>
            <w:shd w:val="clear" w:color="auto" w:fill="auto"/>
          </w:tcPr>
          <w:p w:rsidR="00E67DA4" w:rsidRPr="00C903F8" w:rsidRDefault="00E67DA4" w:rsidP="00C01A94">
            <w:pPr>
              <w:spacing w:before="240" w:after="240" w:line="240" w:lineRule="atLeast"/>
              <w:ind w:left="0" w:firstLine="0"/>
              <w:rPr>
                <w:rFonts w:cs="Arial"/>
                <w:sz w:val="18"/>
                <w:szCs w:val="18"/>
              </w:rPr>
            </w:pPr>
            <w:r>
              <w:rPr>
                <w:sz w:val="18"/>
              </w:rPr>
              <w:t>paragrafo 4</w:t>
            </w:r>
          </w:p>
        </w:tc>
        <w:tc>
          <w:tcPr>
            <w:tcW w:w="3296" w:type="dxa"/>
            <w:shd w:val="clear" w:color="auto" w:fill="auto"/>
          </w:tcPr>
          <w:p w:rsidR="00E67DA4" w:rsidRPr="00C903F8" w:rsidRDefault="00E67DA4" w:rsidP="00C01A94">
            <w:pPr>
              <w:spacing w:before="240" w:after="240" w:line="240" w:lineRule="atLeast"/>
              <w:ind w:left="0" w:firstLine="0"/>
              <w:rPr>
                <w:rFonts w:cs="Arial"/>
                <w:sz w:val="18"/>
                <w:szCs w:val="18"/>
              </w:rPr>
            </w:pPr>
            <w:r>
              <w:rPr>
                <w:noProof/>
                <w:sz w:val="18"/>
              </w:rPr>
              <w:t>Dispositivi di controllo</w:t>
            </w:r>
          </w:p>
        </w:tc>
        <w:tc>
          <w:tcPr>
            <w:tcW w:w="5387" w:type="dxa"/>
            <w:shd w:val="clear" w:color="auto" w:fill="auto"/>
          </w:tcPr>
          <w:p w:rsidR="00E67DA4" w:rsidRPr="00C903F8" w:rsidRDefault="008761D9" w:rsidP="00C01A94">
            <w:pPr>
              <w:spacing w:before="240" w:after="2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E67DA4" w:rsidRPr="00C903F8" w:rsidRDefault="00E67DA4" w:rsidP="00C01A94">
            <w:pPr>
              <w:spacing w:before="240" w:after="240" w:line="240" w:lineRule="atLeast"/>
              <w:ind w:left="0" w:firstLine="0"/>
              <w:rPr>
                <w:rFonts w:cs="Arial"/>
                <w:sz w:val="18"/>
                <w:szCs w:val="18"/>
              </w:rPr>
            </w:pPr>
            <w:r>
              <w:rPr>
                <w:sz w:val="18"/>
              </w:rPr>
              <w:t>1.1.2010</w:t>
            </w:r>
          </w:p>
        </w:tc>
        <w:tc>
          <w:tcPr>
            <w:tcW w:w="1276" w:type="dxa"/>
          </w:tcPr>
          <w:p w:rsidR="00E67DA4" w:rsidRPr="00C903F8" w:rsidRDefault="00E67DA4" w:rsidP="00C01A94">
            <w:pPr>
              <w:spacing w:before="240" w:after="240" w:line="240" w:lineRule="atLeast"/>
              <w:ind w:left="0" w:firstLine="0"/>
              <w:rPr>
                <w:rFonts w:cs="Arial"/>
                <w:sz w:val="18"/>
                <w:szCs w:val="18"/>
              </w:rPr>
            </w:pPr>
            <w:r>
              <w:rPr>
                <w:sz w:val="18"/>
              </w:rPr>
              <w:t>1.4.2004</w:t>
            </w:r>
          </w:p>
        </w:tc>
      </w:tr>
      <w:tr w:rsidR="00E67DA4" w:rsidRPr="00C903F8" w:rsidTr="00E67DA4">
        <w:trPr>
          <w:cantSplit/>
          <w:jc w:val="center"/>
        </w:trPr>
        <w:tc>
          <w:tcPr>
            <w:tcW w:w="1342" w:type="dxa"/>
            <w:tcBorders>
              <w:bottom w:val="nil"/>
            </w:tcBorders>
            <w:shd w:val="clear" w:color="auto" w:fill="auto"/>
          </w:tcPr>
          <w:p w:rsidR="00E67DA4" w:rsidRPr="00C903F8" w:rsidRDefault="00E67DA4" w:rsidP="00C01A94">
            <w:pPr>
              <w:spacing w:before="240" w:after="240" w:line="240" w:lineRule="atLeast"/>
              <w:ind w:left="0" w:firstLine="0"/>
              <w:rPr>
                <w:rFonts w:cs="Arial"/>
                <w:sz w:val="18"/>
                <w:szCs w:val="18"/>
              </w:rPr>
            </w:pPr>
            <w:r>
              <w:rPr>
                <w:sz w:val="18"/>
              </w:rPr>
              <w:t>8.05</w:t>
            </w:r>
          </w:p>
        </w:tc>
        <w:tc>
          <w:tcPr>
            <w:tcW w:w="1458" w:type="dxa"/>
            <w:shd w:val="clear" w:color="auto" w:fill="auto"/>
          </w:tcPr>
          <w:p w:rsidR="00E67DA4" w:rsidRPr="00C903F8" w:rsidRDefault="00E67DA4" w:rsidP="00C01A94">
            <w:pPr>
              <w:spacing w:before="240" w:after="240" w:line="240" w:lineRule="atLeast"/>
              <w:ind w:left="0" w:firstLine="0"/>
              <w:rPr>
                <w:rFonts w:cs="Arial"/>
                <w:sz w:val="18"/>
                <w:szCs w:val="18"/>
              </w:rPr>
            </w:pPr>
            <w:r>
              <w:rPr>
                <w:sz w:val="18"/>
              </w:rPr>
              <w:t>paragrafo 3</w:t>
            </w:r>
          </w:p>
        </w:tc>
        <w:tc>
          <w:tcPr>
            <w:tcW w:w="3296" w:type="dxa"/>
            <w:shd w:val="clear" w:color="auto" w:fill="auto"/>
          </w:tcPr>
          <w:p w:rsidR="00E67DA4" w:rsidRPr="00C903F8" w:rsidRDefault="00E67DA4" w:rsidP="00C01A94">
            <w:pPr>
              <w:spacing w:before="240" w:after="240" w:line="240" w:lineRule="atLeast"/>
              <w:ind w:left="0" w:firstLine="0"/>
              <w:rPr>
                <w:rFonts w:cs="Arial"/>
                <w:sz w:val="18"/>
                <w:szCs w:val="18"/>
              </w:rPr>
            </w:pPr>
            <w:r>
              <w:rPr>
                <w:sz w:val="18"/>
              </w:rPr>
              <w:t>Nessun serbatoio per combustibili a poppa della paratia del gavone di poppa</w:t>
            </w:r>
          </w:p>
        </w:tc>
        <w:tc>
          <w:tcPr>
            <w:tcW w:w="5387" w:type="dxa"/>
            <w:shd w:val="clear" w:color="auto" w:fill="auto"/>
          </w:tcPr>
          <w:p w:rsidR="00E67DA4" w:rsidRPr="00C903F8" w:rsidRDefault="008761D9" w:rsidP="00C01A94">
            <w:pPr>
              <w:spacing w:before="240" w:after="2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E67DA4" w:rsidRPr="00C903F8" w:rsidRDefault="00E67DA4" w:rsidP="00C01A94">
            <w:pPr>
              <w:spacing w:before="240" w:after="240" w:line="240" w:lineRule="atLeast"/>
              <w:ind w:left="0" w:firstLine="0"/>
              <w:rPr>
                <w:rFonts w:cs="Arial"/>
                <w:sz w:val="18"/>
                <w:szCs w:val="18"/>
              </w:rPr>
            </w:pPr>
            <w:r>
              <w:rPr>
                <w:sz w:val="18"/>
              </w:rPr>
              <w:t>1.1.2035</w:t>
            </w:r>
          </w:p>
        </w:tc>
        <w:tc>
          <w:tcPr>
            <w:tcW w:w="1276" w:type="dxa"/>
          </w:tcPr>
          <w:p w:rsidR="00E67DA4" w:rsidRPr="00C903F8" w:rsidRDefault="00401300" w:rsidP="00C01A94">
            <w:pPr>
              <w:spacing w:before="240" w:after="240" w:line="240" w:lineRule="atLeast"/>
              <w:ind w:left="0" w:firstLine="0"/>
              <w:rPr>
                <w:rFonts w:cs="Arial"/>
                <w:sz w:val="18"/>
                <w:szCs w:val="18"/>
              </w:rPr>
            </w:pPr>
            <w:r>
              <w:rPr>
                <w:sz w:val="18"/>
              </w:rPr>
              <w:t>7.10.2018</w:t>
            </w:r>
          </w:p>
        </w:tc>
      </w:tr>
      <w:tr w:rsidR="00E67DA4" w:rsidRPr="00C903F8" w:rsidTr="00E67DA4">
        <w:trPr>
          <w:cantSplit/>
          <w:jc w:val="center"/>
        </w:trPr>
        <w:tc>
          <w:tcPr>
            <w:tcW w:w="1342" w:type="dxa"/>
            <w:tcBorders>
              <w:top w:val="nil"/>
              <w:bottom w:val="nil"/>
            </w:tcBorders>
            <w:shd w:val="clear" w:color="auto" w:fill="auto"/>
          </w:tcPr>
          <w:p w:rsidR="00E67DA4" w:rsidRPr="00C903F8" w:rsidRDefault="00E67DA4" w:rsidP="00C01A94">
            <w:pPr>
              <w:spacing w:before="240" w:after="240" w:line="240" w:lineRule="atLeast"/>
              <w:ind w:left="0" w:firstLine="0"/>
              <w:rPr>
                <w:rFonts w:cs="Arial"/>
                <w:sz w:val="18"/>
                <w:szCs w:val="18"/>
              </w:rPr>
            </w:pPr>
          </w:p>
        </w:tc>
        <w:tc>
          <w:tcPr>
            <w:tcW w:w="1458" w:type="dxa"/>
            <w:shd w:val="clear" w:color="auto" w:fill="auto"/>
          </w:tcPr>
          <w:p w:rsidR="00E67DA4" w:rsidRPr="00C903F8" w:rsidRDefault="00E67DA4" w:rsidP="00C01A94">
            <w:pPr>
              <w:spacing w:before="240" w:after="240" w:line="240" w:lineRule="atLeast"/>
              <w:ind w:left="0" w:firstLine="0"/>
              <w:jc w:val="left"/>
              <w:rPr>
                <w:rFonts w:cs="Arial"/>
                <w:sz w:val="18"/>
                <w:szCs w:val="18"/>
              </w:rPr>
            </w:pPr>
            <w:r>
              <w:rPr>
                <w:sz w:val="18"/>
              </w:rPr>
              <w:t>paragrafo 7, prima frase</w:t>
            </w:r>
          </w:p>
        </w:tc>
        <w:tc>
          <w:tcPr>
            <w:tcW w:w="3296" w:type="dxa"/>
            <w:shd w:val="clear" w:color="auto" w:fill="auto"/>
          </w:tcPr>
          <w:p w:rsidR="00E67DA4" w:rsidRPr="00C903F8" w:rsidRDefault="00E67DA4" w:rsidP="00C01A94">
            <w:pPr>
              <w:spacing w:before="240" w:after="240" w:line="240" w:lineRule="atLeast"/>
              <w:ind w:left="0" w:firstLine="0"/>
              <w:rPr>
                <w:rFonts w:cs="Arial"/>
                <w:sz w:val="18"/>
                <w:szCs w:val="18"/>
              </w:rPr>
            </w:pPr>
            <w:r>
              <w:rPr>
                <w:sz w:val="18"/>
              </w:rPr>
              <w:t>Valvola a chiusura rapida sul serbatoio azionata dal ponte, anche quando i locali in questione sono chiusi</w:t>
            </w:r>
          </w:p>
        </w:tc>
        <w:tc>
          <w:tcPr>
            <w:tcW w:w="5387" w:type="dxa"/>
            <w:shd w:val="clear" w:color="auto" w:fill="auto"/>
          </w:tcPr>
          <w:p w:rsidR="00E67DA4" w:rsidRPr="00C903F8" w:rsidRDefault="008761D9" w:rsidP="00C01A94">
            <w:pPr>
              <w:spacing w:before="240" w:after="2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E67DA4" w:rsidRPr="00C903F8" w:rsidRDefault="00E67DA4" w:rsidP="00C01A94">
            <w:pPr>
              <w:spacing w:before="240" w:after="240" w:line="240" w:lineRule="atLeast"/>
              <w:ind w:left="0" w:firstLine="0"/>
              <w:rPr>
                <w:rFonts w:cs="Arial"/>
                <w:sz w:val="18"/>
                <w:szCs w:val="18"/>
              </w:rPr>
            </w:pPr>
            <w:r>
              <w:rPr>
                <w:sz w:val="18"/>
              </w:rPr>
              <w:t>1.1.2015</w:t>
            </w:r>
          </w:p>
        </w:tc>
        <w:tc>
          <w:tcPr>
            <w:tcW w:w="1276" w:type="dxa"/>
          </w:tcPr>
          <w:p w:rsidR="00E67DA4" w:rsidRPr="00C903F8" w:rsidRDefault="00E67DA4" w:rsidP="00C01A94">
            <w:pPr>
              <w:spacing w:before="240" w:after="240" w:line="240" w:lineRule="atLeast"/>
              <w:ind w:left="0" w:firstLine="0"/>
              <w:rPr>
                <w:rFonts w:cs="Arial"/>
                <w:sz w:val="18"/>
                <w:szCs w:val="18"/>
              </w:rPr>
            </w:pPr>
            <w:r>
              <w:rPr>
                <w:sz w:val="18"/>
              </w:rPr>
              <w:t>1.4.2008</w:t>
            </w:r>
          </w:p>
        </w:tc>
      </w:tr>
      <w:tr w:rsidR="00E67DA4" w:rsidRPr="00C903F8" w:rsidTr="00E67DA4">
        <w:trPr>
          <w:cantSplit/>
          <w:jc w:val="center"/>
        </w:trPr>
        <w:tc>
          <w:tcPr>
            <w:tcW w:w="1342" w:type="dxa"/>
            <w:tcBorders>
              <w:top w:val="nil"/>
              <w:bottom w:val="nil"/>
            </w:tcBorders>
            <w:shd w:val="clear" w:color="auto" w:fill="auto"/>
          </w:tcPr>
          <w:p w:rsidR="00E67DA4" w:rsidRPr="00C903F8" w:rsidRDefault="00E67DA4" w:rsidP="00C01A94">
            <w:pPr>
              <w:spacing w:before="240" w:after="240" w:line="240" w:lineRule="atLeast"/>
              <w:ind w:left="0" w:firstLine="0"/>
              <w:rPr>
                <w:rFonts w:cs="Arial"/>
                <w:sz w:val="18"/>
                <w:szCs w:val="18"/>
              </w:rPr>
            </w:pPr>
          </w:p>
        </w:tc>
        <w:tc>
          <w:tcPr>
            <w:tcW w:w="1458" w:type="dxa"/>
            <w:shd w:val="clear" w:color="auto" w:fill="auto"/>
          </w:tcPr>
          <w:p w:rsidR="00E67DA4" w:rsidRPr="00C903F8" w:rsidRDefault="00E67DA4" w:rsidP="00C01A94">
            <w:pPr>
              <w:spacing w:before="240" w:after="240" w:line="240" w:lineRule="atLeast"/>
              <w:ind w:left="0" w:firstLine="0"/>
              <w:jc w:val="left"/>
              <w:rPr>
                <w:rFonts w:cs="Arial"/>
                <w:sz w:val="18"/>
                <w:szCs w:val="18"/>
              </w:rPr>
            </w:pPr>
            <w:r>
              <w:rPr>
                <w:sz w:val="18"/>
              </w:rPr>
              <w:t>paragrafo 9, seconda frase</w:t>
            </w:r>
          </w:p>
        </w:tc>
        <w:tc>
          <w:tcPr>
            <w:tcW w:w="3296" w:type="dxa"/>
            <w:shd w:val="clear" w:color="auto" w:fill="auto"/>
          </w:tcPr>
          <w:p w:rsidR="00E67DA4" w:rsidRPr="00C903F8" w:rsidRDefault="00E67DA4" w:rsidP="00C01A94">
            <w:pPr>
              <w:spacing w:before="240" w:after="240" w:line="240" w:lineRule="atLeast"/>
              <w:ind w:left="0" w:firstLine="0"/>
              <w:rPr>
                <w:rFonts w:cs="Arial"/>
                <w:sz w:val="18"/>
                <w:szCs w:val="18"/>
              </w:rPr>
            </w:pPr>
            <w:r>
              <w:rPr>
                <w:noProof/>
                <w:sz w:val="18"/>
              </w:rPr>
              <w:t>Dispositivi di misurazione leggibili fino al livello di massimo riempimento</w:t>
            </w:r>
          </w:p>
        </w:tc>
        <w:tc>
          <w:tcPr>
            <w:tcW w:w="5387" w:type="dxa"/>
            <w:shd w:val="clear" w:color="auto" w:fill="auto"/>
          </w:tcPr>
          <w:p w:rsidR="00E67DA4" w:rsidRPr="00C903F8" w:rsidRDefault="008761D9" w:rsidP="00C01A94">
            <w:pPr>
              <w:spacing w:before="240" w:after="2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E67DA4" w:rsidRPr="00C903F8" w:rsidRDefault="00E67DA4" w:rsidP="00C01A94">
            <w:pPr>
              <w:spacing w:before="240" w:after="240" w:line="240" w:lineRule="atLeast"/>
              <w:ind w:left="0" w:firstLine="0"/>
              <w:rPr>
                <w:rFonts w:cs="Arial"/>
                <w:sz w:val="18"/>
                <w:szCs w:val="18"/>
              </w:rPr>
            </w:pPr>
            <w:r>
              <w:rPr>
                <w:sz w:val="18"/>
              </w:rPr>
              <w:t>1.1.2010</w:t>
            </w:r>
          </w:p>
        </w:tc>
        <w:tc>
          <w:tcPr>
            <w:tcW w:w="1276" w:type="dxa"/>
          </w:tcPr>
          <w:p w:rsidR="00E67DA4" w:rsidRPr="00C903F8" w:rsidRDefault="00E67DA4" w:rsidP="00C01A94">
            <w:pPr>
              <w:spacing w:before="240" w:after="240" w:line="240" w:lineRule="atLeast"/>
              <w:ind w:left="0" w:firstLine="0"/>
              <w:rPr>
                <w:rFonts w:cs="Arial"/>
                <w:sz w:val="18"/>
                <w:szCs w:val="18"/>
              </w:rPr>
            </w:pPr>
            <w:r>
              <w:rPr>
                <w:sz w:val="18"/>
              </w:rPr>
              <w:t>1.4.1999</w:t>
            </w:r>
          </w:p>
        </w:tc>
      </w:tr>
      <w:tr w:rsidR="00E67DA4" w:rsidRPr="00C903F8" w:rsidTr="00E67DA4">
        <w:trPr>
          <w:cantSplit/>
          <w:jc w:val="center"/>
        </w:trPr>
        <w:tc>
          <w:tcPr>
            <w:tcW w:w="1342" w:type="dxa"/>
            <w:tcBorders>
              <w:top w:val="nil"/>
            </w:tcBorders>
            <w:shd w:val="clear" w:color="auto" w:fill="auto"/>
          </w:tcPr>
          <w:p w:rsidR="00E67DA4" w:rsidRPr="00C903F8" w:rsidRDefault="00E67DA4" w:rsidP="00C01A94">
            <w:pPr>
              <w:spacing w:before="240" w:after="240" w:line="240" w:lineRule="atLeast"/>
              <w:ind w:left="0" w:firstLine="0"/>
              <w:rPr>
                <w:rFonts w:cs="Arial"/>
                <w:sz w:val="18"/>
                <w:szCs w:val="18"/>
              </w:rPr>
            </w:pPr>
          </w:p>
        </w:tc>
        <w:tc>
          <w:tcPr>
            <w:tcW w:w="1458" w:type="dxa"/>
            <w:shd w:val="clear" w:color="auto" w:fill="auto"/>
          </w:tcPr>
          <w:p w:rsidR="00E67DA4" w:rsidRPr="00C903F8" w:rsidRDefault="00E67DA4" w:rsidP="00C01A94">
            <w:pPr>
              <w:spacing w:before="240" w:after="240" w:line="240" w:lineRule="atLeast"/>
              <w:ind w:left="0" w:firstLine="0"/>
              <w:rPr>
                <w:rFonts w:cs="Arial"/>
                <w:sz w:val="18"/>
                <w:szCs w:val="18"/>
              </w:rPr>
            </w:pPr>
            <w:r>
              <w:rPr>
                <w:sz w:val="18"/>
              </w:rPr>
              <w:t>paragrafo 13</w:t>
            </w:r>
          </w:p>
        </w:tc>
        <w:tc>
          <w:tcPr>
            <w:tcW w:w="3296" w:type="dxa"/>
            <w:shd w:val="clear" w:color="auto" w:fill="auto"/>
          </w:tcPr>
          <w:p w:rsidR="00E67DA4" w:rsidRPr="00C903F8" w:rsidRDefault="00E67DA4" w:rsidP="00C01A94">
            <w:pPr>
              <w:spacing w:before="240" w:after="240" w:line="240" w:lineRule="atLeast"/>
              <w:ind w:left="0" w:firstLine="0"/>
              <w:rPr>
                <w:rFonts w:cs="Arial"/>
                <w:sz w:val="18"/>
                <w:szCs w:val="18"/>
              </w:rPr>
            </w:pPr>
            <w:r>
              <w:rPr>
                <w:noProof/>
                <w:sz w:val="18"/>
              </w:rPr>
              <w:t>Controllo del livello del combustibile non soltanto per i motori principali ma anche per gli altri motori necessari per il funzionamento sicuro della nave</w:t>
            </w:r>
          </w:p>
        </w:tc>
        <w:tc>
          <w:tcPr>
            <w:tcW w:w="5387" w:type="dxa"/>
            <w:shd w:val="clear" w:color="auto" w:fill="auto"/>
          </w:tcPr>
          <w:p w:rsidR="00E67DA4" w:rsidRPr="00C903F8" w:rsidRDefault="008761D9" w:rsidP="00C01A94">
            <w:pPr>
              <w:spacing w:before="240" w:after="2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E67DA4" w:rsidRPr="00C903F8" w:rsidRDefault="00E67DA4" w:rsidP="00C01A94">
            <w:pPr>
              <w:spacing w:before="240" w:after="240" w:line="240" w:lineRule="atLeast"/>
              <w:ind w:left="0" w:firstLine="0"/>
              <w:rPr>
                <w:rFonts w:cs="Arial"/>
                <w:sz w:val="18"/>
                <w:szCs w:val="18"/>
              </w:rPr>
            </w:pPr>
            <w:r>
              <w:rPr>
                <w:sz w:val="18"/>
              </w:rPr>
              <w:t>1.1.2015</w:t>
            </w:r>
          </w:p>
        </w:tc>
        <w:tc>
          <w:tcPr>
            <w:tcW w:w="1276" w:type="dxa"/>
          </w:tcPr>
          <w:p w:rsidR="00E67DA4" w:rsidRPr="00C903F8" w:rsidRDefault="00E67DA4" w:rsidP="00C01A94">
            <w:pPr>
              <w:spacing w:before="240" w:after="240" w:line="240" w:lineRule="atLeast"/>
              <w:ind w:left="0" w:firstLine="0"/>
              <w:rPr>
                <w:rFonts w:cs="Arial"/>
                <w:sz w:val="18"/>
                <w:szCs w:val="18"/>
              </w:rPr>
            </w:pPr>
            <w:r>
              <w:rPr>
                <w:sz w:val="18"/>
              </w:rPr>
              <w:t>1.4.1999</w:t>
            </w:r>
          </w:p>
        </w:tc>
      </w:tr>
      <w:tr w:rsidR="00E67DA4" w:rsidRPr="00C903F8" w:rsidTr="00E67DA4">
        <w:trPr>
          <w:cantSplit/>
          <w:jc w:val="center"/>
        </w:trPr>
        <w:tc>
          <w:tcPr>
            <w:tcW w:w="1342" w:type="dxa"/>
            <w:shd w:val="clear" w:color="auto" w:fill="auto"/>
          </w:tcPr>
          <w:p w:rsidR="00E67DA4" w:rsidRPr="00C903F8" w:rsidRDefault="00E67DA4" w:rsidP="00C01A94">
            <w:pPr>
              <w:spacing w:before="240" w:after="240" w:line="240" w:lineRule="atLeast"/>
              <w:ind w:left="0" w:firstLine="0"/>
              <w:rPr>
                <w:rFonts w:cs="Arial"/>
                <w:sz w:val="18"/>
                <w:szCs w:val="18"/>
              </w:rPr>
            </w:pPr>
            <w:r>
              <w:rPr>
                <w:sz w:val="18"/>
              </w:rPr>
              <w:lastRenderedPageBreak/>
              <w:t>8.06</w:t>
            </w:r>
          </w:p>
        </w:tc>
        <w:tc>
          <w:tcPr>
            <w:tcW w:w="1458" w:type="dxa"/>
            <w:shd w:val="clear" w:color="auto" w:fill="auto"/>
          </w:tcPr>
          <w:p w:rsidR="00E67DA4" w:rsidRPr="00C903F8" w:rsidRDefault="00E67DA4" w:rsidP="00C01A94">
            <w:pPr>
              <w:spacing w:before="240" w:after="240" w:line="240" w:lineRule="atLeast"/>
              <w:ind w:left="0" w:firstLine="0"/>
              <w:rPr>
                <w:rFonts w:cs="Arial"/>
                <w:sz w:val="18"/>
                <w:szCs w:val="18"/>
              </w:rPr>
            </w:pPr>
          </w:p>
        </w:tc>
        <w:tc>
          <w:tcPr>
            <w:tcW w:w="3296" w:type="dxa"/>
            <w:shd w:val="clear" w:color="auto" w:fill="auto"/>
          </w:tcPr>
          <w:p w:rsidR="00E67DA4" w:rsidRPr="00C903F8" w:rsidRDefault="00E67DA4" w:rsidP="00C01A94">
            <w:pPr>
              <w:spacing w:before="240" w:after="240" w:line="240" w:lineRule="atLeast"/>
              <w:ind w:left="0" w:firstLine="0"/>
              <w:rPr>
                <w:rFonts w:cs="Arial"/>
                <w:sz w:val="18"/>
                <w:szCs w:val="18"/>
              </w:rPr>
            </w:pPr>
            <w:r>
              <w:rPr>
                <w:noProof/>
                <w:sz w:val="18"/>
              </w:rPr>
              <w:t>Serbatoi di olio lubrificante, tubature e accessori</w:t>
            </w:r>
          </w:p>
        </w:tc>
        <w:tc>
          <w:tcPr>
            <w:tcW w:w="5387" w:type="dxa"/>
            <w:shd w:val="clear" w:color="auto" w:fill="auto"/>
          </w:tcPr>
          <w:p w:rsidR="00E67DA4" w:rsidRPr="00C903F8" w:rsidRDefault="008761D9" w:rsidP="00C01A94">
            <w:pPr>
              <w:spacing w:before="240" w:after="2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E67DA4" w:rsidRPr="00C903F8" w:rsidRDefault="00E67DA4" w:rsidP="00C01A94">
            <w:pPr>
              <w:spacing w:before="240" w:after="240" w:line="240" w:lineRule="atLeast"/>
              <w:ind w:left="0" w:firstLine="0"/>
              <w:rPr>
                <w:rFonts w:cs="Arial"/>
                <w:sz w:val="18"/>
                <w:szCs w:val="18"/>
              </w:rPr>
            </w:pPr>
            <w:r>
              <w:rPr>
                <w:sz w:val="18"/>
              </w:rPr>
              <w:t>1.1.2045</w:t>
            </w:r>
          </w:p>
        </w:tc>
        <w:tc>
          <w:tcPr>
            <w:tcW w:w="1276" w:type="dxa"/>
          </w:tcPr>
          <w:p w:rsidR="00E67DA4" w:rsidRPr="00C903F8" w:rsidRDefault="00E67DA4" w:rsidP="00C01A94">
            <w:pPr>
              <w:spacing w:before="240" w:after="240" w:line="240" w:lineRule="atLeast"/>
              <w:ind w:left="0" w:firstLine="0"/>
              <w:rPr>
                <w:rFonts w:cs="Arial"/>
                <w:sz w:val="18"/>
                <w:szCs w:val="18"/>
              </w:rPr>
            </w:pPr>
            <w:r>
              <w:rPr>
                <w:sz w:val="18"/>
              </w:rPr>
              <w:t>1.4.2007</w:t>
            </w:r>
          </w:p>
        </w:tc>
      </w:tr>
      <w:tr w:rsidR="00E67DA4" w:rsidRPr="00C903F8" w:rsidTr="00C01A94">
        <w:trPr>
          <w:cantSplit/>
          <w:jc w:val="center"/>
        </w:trPr>
        <w:tc>
          <w:tcPr>
            <w:tcW w:w="1342" w:type="dxa"/>
            <w:shd w:val="clear" w:color="auto" w:fill="auto"/>
          </w:tcPr>
          <w:p w:rsidR="00E67DA4" w:rsidRPr="00C903F8" w:rsidRDefault="00E67DA4" w:rsidP="00C01A94">
            <w:pPr>
              <w:spacing w:before="240" w:after="240" w:line="240" w:lineRule="atLeast"/>
              <w:ind w:left="0" w:firstLine="0"/>
              <w:rPr>
                <w:rFonts w:cs="Arial"/>
                <w:sz w:val="18"/>
                <w:szCs w:val="18"/>
              </w:rPr>
            </w:pPr>
            <w:r>
              <w:rPr>
                <w:sz w:val="18"/>
              </w:rPr>
              <w:t>8.07</w:t>
            </w:r>
          </w:p>
        </w:tc>
        <w:tc>
          <w:tcPr>
            <w:tcW w:w="1458" w:type="dxa"/>
            <w:shd w:val="clear" w:color="auto" w:fill="auto"/>
          </w:tcPr>
          <w:p w:rsidR="00E67DA4" w:rsidRPr="00C903F8" w:rsidRDefault="00E67DA4" w:rsidP="00C01A94">
            <w:pPr>
              <w:spacing w:before="240" w:after="240" w:line="240" w:lineRule="atLeast"/>
              <w:ind w:left="0" w:firstLine="0"/>
              <w:rPr>
                <w:rFonts w:cs="Arial"/>
                <w:sz w:val="18"/>
                <w:szCs w:val="18"/>
              </w:rPr>
            </w:pPr>
          </w:p>
        </w:tc>
        <w:tc>
          <w:tcPr>
            <w:tcW w:w="3296" w:type="dxa"/>
            <w:shd w:val="clear" w:color="auto" w:fill="auto"/>
          </w:tcPr>
          <w:p w:rsidR="00E67DA4" w:rsidRPr="00C903F8" w:rsidRDefault="00E67DA4" w:rsidP="00C01A94">
            <w:pPr>
              <w:spacing w:before="240" w:after="240" w:line="240" w:lineRule="atLeast"/>
              <w:ind w:left="0" w:firstLine="0"/>
              <w:rPr>
                <w:rFonts w:cs="Arial"/>
                <w:sz w:val="18"/>
                <w:szCs w:val="18"/>
              </w:rPr>
            </w:pPr>
            <w:r>
              <w:rPr>
                <w:noProof/>
                <w:sz w:val="18"/>
              </w:rPr>
              <w:t>Serbatoi di oli negli impianti di trasmissione di energia, negli impianti di comando e attivazione e negli impianti di riscaldamento, tubature e accessori</w:t>
            </w:r>
          </w:p>
        </w:tc>
        <w:tc>
          <w:tcPr>
            <w:tcW w:w="5387" w:type="dxa"/>
            <w:shd w:val="clear" w:color="auto" w:fill="auto"/>
          </w:tcPr>
          <w:p w:rsidR="00E67DA4" w:rsidRPr="00C903F8" w:rsidRDefault="008761D9" w:rsidP="00C01A94">
            <w:pPr>
              <w:spacing w:before="240" w:after="2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E67DA4" w:rsidRPr="00C903F8" w:rsidRDefault="00E67DA4" w:rsidP="00C01A94">
            <w:pPr>
              <w:spacing w:before="240" w:after="240" w:line="240" w:lineRule="atLeast"/>
              <w:ind w:left="0" w:firstLine="0"/>
              <w:rPr>
                <w:rFonts w:cs="Arial"/>
                <w:sz w:val="18"/>
                <w:szCs w:val="18"/>
              </w:rPr>
            </w:pPr>
            <w:r>
              <w:rPr>
                <w:sz w:val="18"/>
              </w:rPr>
              <w:t>1.1.2045</w:t>
            </w:r>
          </w:p>
        </w:tc>
        <w:tc>
          <w:tcPr>
            <w:tcW w:w="1276" w:type="dxa"/>
            <w:tcBorders>
              <w:bottom w:val="single" w:sz="4" w:space="0" w:color="auto"/>
            </w:tcBorders>
          </w:tcPr>
          <w:p w:rsidR="00E67DA4" w:rsidRPr="00C903F8" w:rsidRDefault="00E67DA4" w:rsidP="00C01A94">
            <w:pPr>
              <w:spacing w:before="240" w:after="240" w:line="240" w:lineRule="atLeast"/>
              <w:ind w:left="0" w:firstLine="0"/>
              <w:rPr>
                <w:rFonts w:cs="Arial"/>
                <w:sz w:val="18"/>
                <w:szCs w:val="18"/>
              </w:rPr>
            </w:pPr>
            <w:r>
              <w:rPr>
                <w:sz w:val="18"/>
              </w:rPr>
              <w:t>1.4.2007</w:t>
            </w:r>
          </w:p>
        </w:tc>
      </w:tr>
      <w:tr w:rsidR="00E67DA4" w:rsidRPr="00C01A94" w:rsidTr="00C01A94">
        <w:trPr>
          <w:cantSplit/>
          <w:jc w:val="center"/>
        </w:trPr>
        <w:tc>
          <w:tcPr>
            <w:tcW w:w="6096" w:type="dxa"/>
            <w:gridSpan w:val="3"/>
            <w:tcBorders>
              <w:bottom w:val="single" w:sz="4" w:space="0" w:color="auto"/>
            </w:tcBorders>
            <w:shd w:val="clear" w:color="auto" w:fill="auto"/>
          </w:tcPr>
          <w:p w:rsidR="00E67DA4" w:rsidRPr="00C903F8" w:rsidRDefault="00E67DA4" w:rsidP="00C01A94">
            <w:pPr>
              <w:spacing w:before="80" w:after="80" w:line="240" w:lineRule="atLeast"/>
              <w:ind w:left="0" w:firstLine="0"/>
              <w:jc w:val="center"/>
              <w:rPr>
                <w:rFonts w:cs="Arial"/>
                <w:sz w:val="18"/>
                <w:szCs w:val="18"/>
              </w:rPr>
            </w:pPr>
            <w:r>
              <w:rPr>
                <w:b/>
                <w:sz w:val="18"/>
              </w:rPr>
              <w:t>CAPO 9</w:t>
            </w:r>
          </w:p>
        </w:tc>
        <w:tc>
          <w:tcPr>
            <w:tcW w:w="5387" w:type="dxa"/>
            <w:tcBorders>
              <w:bottom w:val="single" w:sz="4" w:space="0" w:color="auto"/>
            </w:tcBorders>
            <w:shd w:val="clear" w:color="auto" w:fill="auto"/>
          </w:tcPr>
          <w:p w:rsidR="00E67DA4" w:rsidRPr="00C01A94" w:rsidRDefault="00C01A94" w:rsidP="00C01A94">
            <w:pPr>
              <w:spacing w:before="80" w:after="80" w:line="240" w:lineRule="atLeast"/>
              <w:ind w:left="0" w:firstLine="0"/>
              <w:rPr>
                <w:rFonts w:cs="Arial"/>
                <w:sz w:val="18"/>
                <w:szCs w:val="18"/>
              </w:rPr>
            </w:pPr>
            <w:r>
              <w:rPr>
                <w:sz w:val="18"/>
              </w:rPr>
              <w:t>Per i motori già installati a bordo e non omologati, si applica solo l'articolo 9.02.</w:t>
            </w:r>
          </w:p>
        </w:tc>
        <w:tc>
          <w:tcPr>
            <w:tcW w:w="1276" w:type="dxa"/>
            <w:tcBorders>
              <w:bottom w:val="single" w:sz="4" w:space="0" w:color="auto"/>
            </w:tcBorders>
            <w:shd w:val="clear" w:color="auto" w:fill="auto"/>
          </w:tcPr>
          <w:p w:rsidR="00E67DA4" w:rsidRPr="00C01A94" w:rsidRDefault="00E67DA4" w:rsidP="00C01A94">
            <w:pPr>
              <w:spacing w:before="80" w:after="80" w:line="240" w:lineRule="atLeast"/>
              <w:ind w:left="0" w:firstLine="0"/>
              <w:rPr>
                <w:rFonts w:cs="Arial"/>
                <w:sz w:val="18"/>
                <w:szCs w:val="18"/>
              </w:rPr>
            </w:pPr>
          </w:p>
        </w:tc>
        <w:tc>
          <w:tcPr>
            <w:tcW w:w="1276" w:type="dxa"/>
            <w:tcBorders>
              <w:bottom w:val="nil"/>
            </w:tcBorders>
          </w:tcPr>
          <w:p w:rsidR="00E67DA4" w:rsidRPr="00C01A94" w:rsidRDefault="00C01A94" w:rsidP="00C01A94">
            <w:pPr>
              <w:spacing w:before="80" w:after="80" w:line="240" w:lineRule="atLeast"/>
              <w:ind w:left="0" w:firstLine="0"/>
              <w:rPr>
                <w:rFonts w:cs="Arial"/>
                <w:sz w:val="18"/>
                <w:szCs w:val="18"/>
              </w:rPr>
            </w:pPr>
            <w:r>
              <w:rPr>
                <w:sz w:val="18"/>
              </w:rPr>
              <w:t>7.10.2018</w:t>
            </w:r>
          </w:p>
        </w:tc>
      </w:tr>
      <w:tr w:rsidR="00C01A94" w:rsidRPr="00A0619C" w:rsidTr="00C01A94">
        <w:trPr>
          <w:cantSplit/>
          <w:jc w:val="center"/>
        </w:trPr>
        <w:tc>
          <w:tcPr>
            <w:tcW w:w="1342" w:type="dxa"/>
            <w:tcBorders>
              <w:bottom w:val="single" w:sz="4" w:space="0" w:color="auto"/>
            </w:tcBorders>
            <w:shd w:val="clear" w:color="auto" w:fill="auto"/>
          </w:tcPr>
          <w:p w:rsidR="00C01A94" w:rsidRPr="004B606C" w:rsidRDefault="00C01A94" w:rsidP="00C01A94">
            <w:pPr>
              <w:spacing w:before="80" w:after="80" w:line="240" w:lineRule="atLeast"/>
              <w:rPr>
                <w:rFonts w:eastAsia="Calibri" w:cs="Arial"/>
                <w:sz w:val="18"/>
                <w:szCs w:val="18"/>
              </w:rPr>
            </w:pPr>
            <w:r>
              <w:rPr>
                <w:sz w:val="18"/>
              </w:rPr>
              <w:t>9.01</w:t>
            </w:r>
          </w:p>
        </w:tc>
        <w:tc>
          <w:tcPr>
            <w:tcW w:w="1458" w:type="dxa"/>
            <w:tcBorders>
              <w:bottom w:val="single" w:sz="4" w:space="0" w:color="auto"/>
            </w:tcBorders>
            <w:shd w:val="clear" w:color="auto" w:fill="auto"/>
          </w:tcPr>
          <w:p w:rsidR="00C01A94" w:rsidRPr="004B606C" w:rsidRDefault="00C01A94" w:rsidP="00C01A94">
            <w:pPr>
              <w:spacing w:before="80" w:after="80" w:line="240" w:lineRule="atLeast"/>
              <w:rPr>
                <w:rFonts w:eastAsia="Calibri" w:cs="Arial"/>
                <w:sz w:val="18"/>
                <w:szCs w:val="18"/>
              </w:rPr>
            </w:pPr>
            <w:r>
              <w:rPr>
                <w:sz w:val="18"/>
              </w:rPr>
              <w:t>paragrafi da 1 a 4</w:t>
            </w:r>
          </w:p>
        </w:tc>
        <w:tc>
          <w:tcPr>
            <w:tcW w:w="3296" w:type="dxa"/>
            <w:tcBorders>
              <w:bottom w:val="single" w:sz="4" w:space="0" w:color="auto"/>
            </w:tcBorders>
            <w:shd w:val="clear" w:color="auto" w:fill="auto"/>
          </w:tcPr>
          <w:p w:rsidR="00C01A94" w:rsidRPr="004B606C" w:rsidRDefault="00C01A94" w:rsidP="00C01A94">
            <w:pPr>
              <w:spacing w:before="80" w:after="80" w:line="240" w:lineRule="atLeast"/>
              <w:rPr>
                <w:rFonts w:eastAsia="Calibri" w:cs="Arial"/>
                <w:sz w:val="18"/>
                <w:szCs w:val="18"/>
              </w:rPr>
            </w:pPr>
            <w:r>
              <w:rPr>
                <w:sz w:val="18"/>
              </w:rPr>
              <w:t>Disposizioni generali</w:t>
            </w:r>
          </w:p>
        </w:tc>
        <w:tc>
          <w:tcPr>
            <w:tcW w:w="5387" w:type="dxa"/>
            <w:vMerge w:val="restart"/>
            <w:tcBorders>
              <w:right w:val="single" w:sz="4" w:space="0" w:color="auto"/>
            </w:tcBorders>
            <w:shd w:val="clear" w:color="auto" w:fill="auto"/>
            <w:vAlign w:val="center"/>
          </w:tcPr>
          <w:p w:rsidR="00C01A94" w:rsidRPr="00C903F8" w:rsidRDefault="00C01A94" w:rsidP="00877ACC">
            <w:pPr>
              <w:spacing w:before="80" w:after="80" w:line="240" w:lineRule="atLeast"/>
              <w:ind w:left="0" w:firstLine="0"/>
              <w:rPr>
                <w:rFonts w:cs="Arial"/>
                <w:sz w:val="18"/>
                <w:szCs w:val="18"/>
              </w:rPr>
            </w:pPr>
            <w:r>
              <w:rPr>
                <w:sz w:val="18"/>
              </w:rPr>
              <w:t>Per motori conformi alle disposizioni di tipo e installazione in vigore alla data di installazione: S.T.</w:t>
            </w:r>
          </w:p>
        </w:tc>
        <w:tc>
          <w:tcPr>
            <w:tcW w:w="1276" w:type="dxa"/>
            <w:tcBorders>
              <w:left w:val="single" w:sz="4" w:space="0" w:color="auto"/>
              <w:bottom w:val="nil"/>
            </w:tcBorders>
            <w:shd w:val="clear" w:color="auto" w:fill="auto"/>
          </w:tcPr>
          <w:p w:rsidR="00C01A94" w:rsidRPr="00C903F8" w:rsidRDefault="00C01A94" w:rsidP="00C01A94">
            <w:pPr>
              <w:spacing w:before="80" w:after="80" w:line="240" w:lineRule="atLeast"/>
              <w:ind w:left="0" w:firstLine="0"/>
              <w:rPr>
                <w:rFonts w:cs="Arial"/>
                <w:sz w:val="18"/>
                <w:szCs w:val="18"/>
              </w:rPr>
            </w:pPr>
          </w:p>
        </w:tc>
        <w:tc>
          <w:tcPr>
            <w:tcW w:w="1276" w:type="dxa"/>
            <w:tcBorders>
              <w:top w:val="nil"/>
              <w:bottom w:val="nil"/>
            </w:tcBorders>
          </w:tcPr>
          <w:p w:rsidR="00C01A94" w:rsidRPr="00C903F8" w:rsidRDefault="00C01A94" w:rsidP="00C01A94">
            <w:pPr>
              <w:spacing w:before="80" w:after="80" w:line="240" w:lineRule="atLeast"/>
              <w:ind w:left="0" w:firstLine="0"/>
              <w:rPr>
                <w:rFonts w:cs="Arial"/>
                <w:sz w:val="18"/>
                <w:szCs w:val="18"/>
              </w:rPr>
            </w:pPr>
          </w:p>
        </w:tc>
      </w:tr>
      <w:tr w:rsidR="00C01A94" w:rsidRPr="00C01A94" w:rsidTr="00C01A94">
        <w:trPr>
          <w:cantSplit/>
          <w:jc w:val="center"/>
        </w:trPr>
        <w:tc>
          <w:tcPr>
            <w:tcW w:w="1342" w:type="dxa"/>
            <w:tcBorders>
              <w:top w:val="single" w:sz="4" w:space="0" w:color="auto"/>
              <w:bottom w:val="single" w:sz="4" w:space="0" w:color="auto"/>
              <w:right w:val="single" w:sz="4" w:space="0" w:color="auto"/>
            </w:tcBorders>
            <w:shd w:val="clear" w:color="auto" w:fill="auto"/>
          </w:tcPr>
          <w:p w:rsidR="00C01A94" w:rsidRPr="004B606C" w:rsidRDefault="00C01A94" w:rsidP="00C01A94">
            <w:pPr>
              <w:spacing w:before="80" w:after="80" w:line="240" w:lineRule="atLeast"/>
              <w:rPr>
                <w:sz w:val="18"/>
                <w:szCs w:val="18"/>
              </w:rPr>
            </w:pPr>
            <w:r>
              <w:rPr>
                <w:sz w:val="18"/>
              </w:rPr>
              <w:t>9.06</w:t>
            </w:r>
          </w:p>
        </w:tc>
        <w:tc>
          <w:tcPr>
            <w:tcW w:w="1458" w:type="dxa"/>
            <w:tcBorders>
              <w:top w:val="single" w:sz="4" w:space="0" w:color="auto"/>
              <w:left w:val="single" w:sz="4" w:space="0" w:color="auto"/>
              <w:bottom w:val="single" w:sz="4" w:space="0" w:color="auto"/>
              <w:right w:val="single" w:sz="4" w:space="0" w:color="auto"/>
            </w:tcBorders>
            <w:shd w:val="clear" w:color="auto" w:fill="auto"/>
          </w:tcPr>
          <w:p w:rsidR="00C01A94" w:rsidRPr="004B606C" w:rsidRDefault="00C01A94" w:rsidP="00C01A94">
            <w:pPr>
              <w:spacing w:before="80" w:after="80" w:line="240" w:lineRule="atLeast"/>
              <w:rPr>
                <w:sz w:val="18"/>
                <w:szCs w:val="18"/>
              </w:rPr>
            </w:pPr>
          </w:p>
        </w:tc>
        <w:tc>
          <w:tcPr>
            <w:tcW w:w="3296" w:type="dxa"/>
            <w:tcBorders>
              <w:top w:val="single" w:sz="4" w:space="0" w:color="auto"/>
              <w:left w:val="single" w:sz="4" w:space="0" w:color="auto"/>
              <w:bottom w:val="single" w:sz="4" w:space="0" w:color="auto"/>
            </w:tcBorders>
            <w:shd w:val="clear" w:color="auto" w:fill="auto"/>
          </w:tcPr>
          <w:p w:rsidR="00C01A94" w:rsidRPr="004B606C" w:rsidRDefault="00C01A94" w:rsidP="00C01A94">
            <w:pPr>
              <w:spacing w:before="80" w:after="80" w:line="240" w:lineRule="atLeast"/>
              <w:rPr>
                <w:sz w:val="18"/>
                <w:szCs w:val="18"/>
              </w:rPr>
            </w:pPr>
            <w:r>
              <w:rPr>
                <w:sz w:val="18"/>
              </w:rPr>
              <w:t>Controllo di montaggio</w:t>
            </w:r>
          </w:p>
        </w:tc>
        <w:tc>
          <w:tcPr>
            <w:tcW w:w="5387" w:type="dxa"/>
            <w:vMerge/>
            <w:tcBorders>
              <w:right w:val="single" w:sz="4" w:space="0" w:color="auto"/>
            </w:tcBorders>
            <w:shd w:val="clear" w:color="auto" w:fill="auto"/>
          </w:tcPr>
          <w:p w:rsidR="00C01A94" w:rsidRPr="00C903F8" w:rsidRDefault="00C01A94" w:rsidP="00C01A94">
            <w:pPr>
              <w:pStyle w:val="tbl-norm"/>
              <w:spacing w:before="80" w:beforeAutospacing="0" w:after="80" w:afterAutospacing="0" w:line="240" w:lineRule="atLeast"/>
              <w:jc w:val="both"/>
              <w:rPr>
                <w:rFonts w:cs="Arial"/>
                <w:sz w:val="18"/>
                <w:szCs w:val="18"/>
              </w:rPr>
            </w:pPr>
          </w:p>
        </w:tc>
        <w:tc>
          <w:tcPr>
            <w:tcW w:w="1276" w:type="dxa"/>
            <w:tcBorders>
              <w:top w:val="nil"/>
              <w:left w:val="single" w:sz="4" w:space="0" w:color="auto"/>
              <w:right w:val="single" w:sz="4" w:space="0" w:color="auto"/>
            </w:tcBorders>
            <w:shd w:val="clear" w:color="auto" w:fill="auto"/>
          </w:tcPr>
          <w:p w:rsidR="00C01A94" w:rsidRPr="00C903F8" w:rsidRDefault="00C01A94" w:rsidP="00C01A94">
            <w:pPr>
              <w:spacing w:before="80" w:after="80" w:line="240" w:lineRule="atLeast"/>
              <w:ind w:left="0" w:firstLine="0"/>
              <w:rPr>
                <w:rFonts w:cs="Arial"/>
                <w:sz w:val="18"/>
                <w:szCs w:val="18"/>
              </w:rPr>
            </w:pPr>
          </w:p>
        </w:tc>
        <w:tc>
          <w:tcPr>
            <w:tcW w:w="1276" w:type="dxa"/>
            <w:tcBorders>
              <w:top w:val="nil"/>
              <w:left w:val="single" w:sz="4" w:space="0" w:color="auto"/>
            </w:tcBorders>
          </w:tcPr>
          <w:p w:rsidR="00C01A94" w:rsidRPr="00C903F8" w:rsidRDefault="00C01A94" w:rsidP="00C01A94">
            <w:pPr>
              <w:spacing w:before="80" w:after="80" w:line="240" w:lineRule="atLeast"/>
              <w:ind w:left="0" w:firstLine="0"/>
              <w:rPr>
                <w:rFonts w:cs="Arial"/>
                <w:sz w:val="18"/>
                <w:szCs w:val="18"/>
              </w:rPr>
            </w:pPr>
          </w:p>
        </w:tc>
      </w:tr>
      <w:tr w:rsidR="00C01A94" w:rsidRPr="00C903F8" w:rsidTr="005034E6">
        <w:trPr>
          <w:cantSplit/>
          <w:jc w:val="center"/>
        </w:trPr>
        <w:tc>
          <w:tcPr>
            <w:tcW w:w="6096" w:type="dxa"/>
            <w:gridSpan w:val="3"/>
            <w:tcBorders>
              <w:top w:val="single" w:sz="4" w:space="0" w:color="auto"/>
            </w:tcBorders>
            <w:shd w:val="clear" w:color="auto" w:fill="auto"/>
          </w:tcPr>
          <w:p w:rsidR="00C01A94" w:rsidRPr="00852DB3" w:rsidRDefault="00C01A94" w:rsidP="00C01A94">
            <w:pPr>
              <w:spacing w:before="80" w:after="80" w:line="240" w:lineRule="atLeast"/>
              <w:jc w:val="center"/>
              <w:rPr>
                <w:rFonts w:cs="Arial"/>
                <w:b/>
                <w:sz w:val="18"/>
                <w:szCs w:val="18"/>
              </w:rPr>
            </w:pPr>
            <w:r>
              <w:rPr>
                <w:b/>
                <w:sz w:val="18"/>
              </w:rPr>
              <w:t>CAPO 10</w:t>
            </w:r>
          </w:p>
        </w:tc>
        <w:tc>
          <w:tcPr>
            <w:tcW w:w="5387" w:type="dxa"/>
            <w:shd w:val="clear" w:color="auto" w:fill="auto"/>
          </w:tcPr>
          <w:p w:rsidR="00C01A94" w:rsidRPr="00852DB3" w:rsidRDefault="00C01A94" w:rsidP="00C01A94">
            <w:pPr>
              <w:spacing w:before="80" w:after="80" w:line="240" w:lineRule="atLeast"/>
              <w:jc w:val="center"/>
              <w:rPr>
                <w:rFonts w:cs="Arial"/>
                <w:sz w:val="18"/>
                <w:szCs w:val="18"/>
              </w:rPr>
            </w:pPr>
          </w:p>
        </w:tc>
        <w:tc>
          <w:tcPr>
            <w:tcW w:w="1276" w:type="dxa"/>
            <w:shd w:val="clear" w:color="auto" w:fill="auto"/>
          </w:tcPr>
          <w:p w:rsidR="00C01A94" w:rsidRPr="00852DB3" w:rsidRDefault="00C01A94" w:rsidP="00C01A94">
            <w:pPr>
              <w:spacing w:before="80" w:after="80" w:line="240" w:lineRule="atLeast"/>
              <w:jc w:val="center"/>
              <w:rPr>
                <w:rFonts w:cs="Arial"/>
                <w:sz w:val="18"/>
                <w:szCs w:val="18"/>
              </w:rPr>
            </w:pPr>
          </w:p>
        </w:tc>
        <w:tc>
          <w:tcPr>
            <w:tcW w:w="1276" w:type="dxa"/>
          </w:tcPr>
          <w:p w:rsidR="00C01A94" w:rsidRPr="00852DB3" w:rsidRDefault="00C01A94" w:rsidP="00C01A94">
            <w:pPr>
              <w:spacing w:before="80" w:after="80" w:line="240" w:lineRule="atLeast"/>
              <w:jc w:val="center"/>
              <w:rPr>
                <w:rFonts w:cs="Arial"/>
                <w:sz w:val="18"/>
                <w:szCs w:val="18"/>
              </w:rPr>
            </w:pPr>
          </w:p>
        </w:tc>
      </w:tr>
      <w:tr w:rsidR="00C01A94" w:rsidRPr="00C903F8" w:rsidTr="00A5358D">
        <w:trPr>
          <w:cantSplit/>
          <w:jc w:val="center"/>
        </w:trPr>
        <w:tc>
          <w:tcPr>
            <w:tcW w:w="1342" w:type="dxa"/>
            <w:vMerge w:val="restart"/>
            <w:shd w:val="clear" w:color="auto" w:fill="auto"/>
          </w:tcPr>
          <w:p w:rsidR="00C01A94" w:rsidRPr="004B4203" w:rsidRDefault="00C52DCC" w:rsidP="00C01A94">
            <w:pPr>
              <w:spacing w:before="80" w:after="80" w:line="240" w:lineRule="atLeast"/>
              <w:rPr>
                <w:rFonts w:cs="Arial"/>
                <w:sz w:val="18"/>
                <w:szCs w:val="18"/>
              </w:rPr>
            </w:pPr>
            <w:r>
              <w:rPr>
                <w:sz w:val="18"/>
              </w:rPr>
              <w:t>10.01</w:t>
            </w:r>
          </w:p>
        </w:tc>
        <w:tc>
          <w:tcPr>
            <w:tcW w:w="1458" w:type="dxa"/>
            <w:shd w:val="clear" w:color="auto" w:fill="auto"/>
          </w:tcPr>
          <w:p w:rsidR="00C01A94" w:rsidRPr="00852DB3" w:rsidRDefault="00AA3519" w:rsidP="00AA3519">
            <w:pPr>
              <w:spacing w:before="80" w:after="80" w:line="240" w:lineRule="atLeast"/>
              <w:rPr>
                <w:rFonts w:cs="Arial"/>
                <w:sz w:val="18"/>
                <w:szCs w:val="18"/>
              </w:rPr>
            </w:pPr>
            <w:r>
              <w:rPr>
                <w:sz w:val="18"/>
              </w:rPr>
              <w:t>paragrafo 2, lettera e)</w:t>
            </w:r>
          </w:p>
        </w:tc>
        <w:tc>
          <w:tcPr>
            <w:tcW w:w="3296" w:type="dxa"/>
            <w:shd w:val="clear" w:color="auto" w:fill="auto"/>
          </w:tcPr>
          <w:p w:rsidR="00C01A94" w:rsidRPr="00F9107C" w:rsidRDefault="00C01A94" w:rsidP="00C01A94">
            <w:pPr>
              <w:spacing w:before="80" w:after="80" w:line="240" w:lineRule="atLeast"/>
              <w:ind w:left="0" w:firstLine="0"/>
              <w:rPr>
                <w:rFonts w:cs="Arial"/>
                <w:noProof/>
                <w:sz w:val="18"/>
                <w:szCs w:val="18"/>
              </w:rPr>
            </w:pPr>
            <w:r>
              <w:rPr>
                <w:noProof/>
                <w:sz w:val="18"/>
              </w:rPr>
              <w:t>Piani dei quadri elettrici e documentazione del motore elettrico di propulsore</w:t>
            </w:r>
          </w:p>
        </w:tc>
        <w:tc>
          <w:tcPr>
            <w:tcW w:w="5387" w:type="dxa"/>
            <w:shd w:val="clear" w:color="auto" w:fill="auto"/>
          </w:tcPr>
          <w:p w:rsidR="00C01A94" w:rsidRPr="00852DB3" w:rsidRDefault="00C52DCC" w:rsidP="00C01A94">
            <w:pPr>
              <w:spacing w:before="80" w:after="80" w:line="240" w:lineRule="atLeast"/>
              <w:ind w:left="0" w:firstLine="0"/>
              <w:rPr>
                <w:rFonts w:cs="Arial"/>
                <w:sz w:val="18"/>
                <w:szCs w:val="18"/>
              </w:rPr>
            </w:pPr>
            <w:r>
              <w:rPr>
                <w:sz w:val="18"/>
              </w:rPr>
              <w:t>N.S.T</w:t>
            </w:r>
          </w:p>
        </w:tc>
        <w:tc>
          <w:tcPr>
            <w:tcW w:w="1276" w:type="dxa"/>
            <w:shd w:val="clear" w:color="auto" w:fill="auto"/>
          </w:tcPr>
          <w:p w:rsidR="00C01A94" w:rsidRPr="00852DB3" w:rsidRDefault="00C01A94" w:rsidP="00C01A94">
            <w:pPr>
              <w:spacing w:before="80" w:after="80" w:line="240" w:lineRule="atLeast"/>
              <w:jc w:val="center"/>
              <w:rPr>
                <w:rFonts w:cs="Arial"/>
                <w:sz w:val="18"/>
                <w:szCs w:val="18"/>
              </w:rPr>
            </w:pPr>
          </w:p>
        </w:tc>
        <w:tc>
          <w:tcPr>
            <w:tcW w:w="1276" w:type="dxa"/>
          </w:tcPr>
          <w:p w:rsidR="00C01A94" w:rsidRPr="004B4203" w:rsidRDefault="00C01A94" w:rsidP="00C01A94">
            <w:pPr>
              <w:spacing w:before="80" w:after="80" w:line="240" w:lineRule="atLeast"/>
              <w:jc w:val="center"/>
              <w:rPr>
                <w:rFonts w:cs="Arial"/>
                <w:sz w:val="18"/>
                <w:szCs w:val="18"/>
              </w:rPr>
            </w:pPr>
            <w:r>
              <w:rPr>
                <w:sz w:val="18"/>
              </w:rPr>
              <w:t>7.10.2018</w:t>
            </w:r>
          </w:p>
        </w:tc>
      </w:tr>
      <w:tr w:rsidR="00C01A94" w:rsidRPr="00C903F8" w:rsidTr="00A5358D">
        <w:trPr>
          <w:cantSplit/>
          <w:jc w:val="center"/>
        </w:trPr>
        <w:tc>
          <w:tcPr>
            <w:tcW w:w="1342" w:type="dxa"/>
            <w:vMerge/>
            <w:shd w:val="clear" w:color="auto" w:fill="auto"/>
          </w:tcPr>
          <w:p w:rsidR="00C01A94" w:rsidRPr="004B4203" w:rsidRDefault="00C01A94" w:rsidP="00C01A94">
            <w:pPr>
              <w:spacing w:before="80" w:after="80" w:line="240" w:lineRule="atLeast"/>
              <w:rPr>
                <w:rFonts w:cs="Arial"/>
                <w:sz w:val="18"/>
                <w:szCs w:val="18"/>
              </w:rPr>
            </w:pPr>
          </w:p>
        </w:tc>
        <w:tc>
          <w:tcPr>
            <w:tcW w:w="1458" w:type="dxa"/>
            <w:shd w:val="clear" w:color="auto" w:fill="auto"/>
          </w:tcPr>
          <w:p w:rsidR="00C01A94" w:rsidRPr="00852DB3" w:rsidRDefault="00AA3519" w:rsidP="00AA3519">
            <w:pPr>
              <w:spacing w:before="80" w:after="80" w:line="240" w:lineRule="atLeast"/>
              <w:rPr>
                <w:rFonts w:cs="Arial"/>
                <w:sz w:val="18"/>
                <w:szCs w:val="18"/>
              </w:rPr>
            </w:pPr>
            <w:r>
              <w:rPr>
                <w:sz w:val="18"/>
              </w:rPr>
              <w:t>paragrafo 2, lettera f)</w:t>
            </w:r>
          </w:p>
        </w:tc>
        <w:tc>
          <w:tcPr>
            <w:tcW w:w="3296" w:type="dxa"/>
            <w:shd w:val="clear" w:color="auto" w:fill="auto"/>
          </w:tcPr>
          <w:p w:rsidR="00C01A94" w:rsidRPr="00F9107C" w:rsidRDefault="00C01A94" w:rsidP="00C01A94">
            <w:pPr>
              <w:spacing w:before="80" w:after="80" w:line="240" w:lineRule="atLeast"/>
              <w:ind w:left="0" w:firstLine="0"/>
              <w:rPr>
                <w:rFonts w:cs="Arial"/>
                <w:noProof/>
                <w:sz w:val="18"/>
                <w:szCs w:val="18"/>
              </w:rPr>
            </w:pPr>
            <w:r>
              <w:rPr>
                <w:noProof/>
                <w:sz w:val="18"/>
              </w:rPr>
              <w:t>Piani dei sistemi elettronici</w:t>
            </w:r>
          </w:p>
        </w:tc>
        <w:tc>
          <w:tcPr>
            <w:tcW w:w="5387" w:type="dxa"/>
            <w:shd w:val="clear" w:color="auto" w:fill="auto"/>
          </w:tcPr>
          <w:p w:rsidR="00C01A94" w:rsidRPr="00852DB3" w:rsidRDefault="00C52DCC" w:rsidP="00C01A94">
            <w:pPr>
              <w:spacing w:before="80" w:after="80" w:line="240" w:lineRule="atLeast"/>
              <w:ind w:left="0" w:firstLine="0"/>
              <w:rPr>
                <w:rFonts w:cs="Arial"/>
                <w:sz w:val="18"/>
                <w:szCs w:val="18"/>
              </w:rPr>
            </w:pPr>
            <w:r>
              <w:rPr>
                <w:sz w:val="18"/>
              </w:rPr>
              <w:t>N.S.T</w:t>
            </w:r>
          </w:p>
        </w:tc>
        <w:tc>
          <w:tcPr>
            <w:tcW w:w="1276" w:type="dxa"/>
            <w:shd w:val="clear" w:color="auto" w:fill="auto"/>
          </w:tcPr>
          <w:p w:rsidR="00C01A94" w:rsidRPr="00852DB3" w:rsidRDefault="00C01A94" w:rsidP="00C01A94">
            <w:pPr>
              <w:spacing w:before="80" w:after="80" w:line="240" w:lineRule="atLeast"/>
              <w:jc w:val="center"/>
              <w:rPr>
                <w:rFonts w:cs="Arial"/>
                <w:sz w:val="18"/>
                <w:szCs w:val="18"/>
              </w:rPr>
            </w:pPr>
          </w:p>
        </w:tc>
        <w:tc>
          <w:tcPr>
            <w:tcW w:w="1276" w:type="dxa"/>
          </w:tcPr>
          <w:p w:rsidR="00C01A94" w:rsidRPr="004B4203" w:rsidRDefault="00C01A94" w:rsidP="00C01A94">
            <w:pPr>
              <w:spacing w:before="80" w:after="80" w:line="240" w:lineRule="atLeast"/>
              <w:jc w:val="center"/>
              <w:rPr>
                <w:rFonts w:cs="Arial"/>
                <w:sz w:val="18"/>
                <w:szCs w:val="18"/>
              </w:rPr>
            </w:pPr>
            <w:r>
              <w:rPr>
                <w:sz w:val="18"/>
              </w:rPr>
              <w:t>7.10.2018</w:t>
            </w:r>
          </w:p>
        </w:tc>
      </w:tr>
      <w:tr w:rsidR="00C01A94" w:rsidRPr="00C903F8" w:rsidTr="00A5358D">
        <w:trPr>
          <w:cantSplit/>
          <w:jc w:val="center"/>
        </w:trPr>
        <w:tc>
          <w:tcPr>
            <w:tcW w:w="1342" w:type="dxa"/>
            <w:vMerge/>
            <w:shd w:val="clear" w:color="auto" w:fill="auto"/>
          </w:tcPr>
          <w:p w:rsidR="00C01A94" w:rsidRPr="004B4203" w:rsidRDefault="00C01A94" w:rsidP="00C01A94">
            <w:pPr>
              <w:spacing w:before="80" w:after="80" w:line="240" w:lineRule="atLeast"/>
              <w:rPr>
                <w:rFonts w:cs="Arial"/>
                <w:sz w:val="18"/>
                <w:szCs w:val="18"/>
              </w:rPr>
            </w:pPr>
          </w:p>
        </w:tc>
        <w:tc>
          <w:tcPr>
            <w:tcW w:w="1458" w:type="dxa"/>
            <w:shd w:val="clear" w:color="auto" w:fill="auto"/>
          </w:tcPr>
          <w:p w:rsidR="00C01A94" w:rsidRPr="00852DB3" w:rsidRDefault="00AA3519" w:rsidP="00AA3519">
            <w:pPr>
              <w:spacing w:before="80" w:after="80" w:line="240" w:lineRule="atLeast"/>
              <w:rPr>
                <w:rFonts w:cs="Arial"/>
                <w:sz w:val="18"/>
                <w:szCs w:val="18"/>
              </w:rPr>
            </w:pPr>
            <w:r>
              <w:rPr>
                <w:sz w:val="18"/>
              </w:rPr>
              <w:t>paragrafo 2, lettera g)</w:t>
            </w:r>
          </w:p>
        </w:tc>
        <w:tc>
          <w:tcPr>
            <w:tcW w:w="3296" w:type="dxa"/>
            <w:shd w:val="clear" w:color="auto" w:fill="auto"/>
          </w:tcPr>
          <w:p w:rsidR="00C01A94" w:rsidRPr="00F9107C" w:rsidRDefault="00A77DA6" w:rsidP="00C01A94">
            <w:pPr>
              <w:spacing w:before="80" w:after="80" w:line="240" w:lineRule="atLeast"/>
              <w:ind w:left="0" w:firstLine="0"/>
              <w:rPr>
                <w:rFonts w:cs="Arial"/>
                <w:noProof/>
                <w:sz w:val="18"/>
                <w:szCs w:val="18"/>
              </w:rPr>
            </w:pPr>
            <w:r>
              <w:rPr>
                <w:noProof/>
                <w:sz w:val="18"/>
              </w:rPr>
              <w:t>Piani dei circuiti di comando</w:t>
            </w:r>
          </w:p>
        </w:tc>
        <w:tc>
          <w:tcPr>
            <w:tcW w:w="5387" w:type="dxa"/>
            <w:shd w:val="clear" w:color="auto" w:fill="auto"/>
          </w:tcPr>
          <w:p w:rsidR="00C01A94" w:rsidRPr="00852DB3" w:rsidRDefault="00C52DCC" w:rsidP="00C01A94">
            <w:pPr>
              <w:spacing w:before="80" w:after="80" w:line="240" w:lineRule="atLeast"/>
              <w:ind w:left="0" w:firstLine="0"/>
              <w:rPr>
                <w:rFonts w:cs="Arial"/>
                <w:sz w:val="18"/>
                <w:szCs w:val="18"/>
              </w:rPr>
            </w:pPr>
            <w:r>
              <w:rPr>
                <w:sz w:val="18"/>
              </w:rPr>
              <w:t>N.S.T</w:t>
            </w:r>
          </w:p>
        </w:tc>
        <w:tc>
          <w:tcPr>
            <w:tcW w:w="1276" w:type="dxa"/>
            <w:shd w:val="clear" w:color="auto" w:fill="auto"/>
          </w:tcPr>
          <w:p w:rsidR="00C01A94" w:rsidRPr="00852DB3" w:rsidRDefault="00C01A94" w:rsidP="00C01A94">
            <w:pPr>
              <w:spacing w:before="80" w:after="80" w:line="240" w:lineRule="atLeast"/>
              <w:jc w:val="center"/>
              <w:rPr>
                <w:rFonts w:cs="Arial"/>
                <w:sz w:val="18"/>
                <w:szCs w:val="18"/>
              </w:rPr>
            </w:pPr>
          </w:p>
        </w:tc>
        <w:tc>
          <w:tcPr>
            <w:tcW w:w="1276" w:type="dxa"/>
          </w:tcPr>
          <w:p w:rsidR="00C01A94" w:rsidRPr="004B4203" w:rsidRDefault="00C01A94" w:rsidP="00C01A94">
            <w:pPr>
              <w:spacing w:before="80" w:after="80" w:line="240" w:lineRule="atLeast"/>
              <w:jc w:val="center"/>
              <w:rPr>
                <w:rFonts w:cs="Arial"/>
                <w:sz w:val="18"/>
                <w:szCs w:val="18"/>
              </w:rPr>
            </w:pPr>
            <w:r>
              <w:rPr>
                <w:sz w:val="18"/>
              </w:rPr>
              <w:t>7.10.2018</w:t>
            </w:r>
          </w:p>
        </w:tc>
      </w:tr>
      <w:tr w:rsidR="00C01A94" w:rsidRPr="00C903F8" w:rsidTr="00E67DA4">
        <w:trPr>
          <w:cantSplit/>
          <w:jc w:val="center"/>
        </w:trPr>
        <w:tc>
          <w:tcPr>
            <w:tcW w:w="1342" w:type="dxa"/>
            <w:tcBorders>
              <w:bottom w:val="nil"/>
            </w:tcBorders>
            <w:shd w:val="clear" w:color="auto" w:fill="auto"/>
          </w:tcPr>
          <w:p w:rsidR="00C01A94" w:rsidRPr="004B4203" w:rsidRDefault="00C01A94" w:rsidP="00C01A94">
            <w:pPr>
              <w:spacing w:before="80" w:after="80" w:line="240" w:lineRule="atLeast"/>
              <w:rPr>
                <w:rFonts w:cs="Arial"/>
                <w:sz w:val="18"/>
                <w:szCs w:val="18"/>
              </w:rPr>
            </w:pPr>
            <w:r>
              <w:rPr>
                <w:sz w:val="18"/>
              </w:rPr>
              <w:t>10.03</w:t>
            </w:r>
          </w:p>
        </w:tc>
        <w:tc>
          <w:tcPr>
            <w:tcW w:w="1458" w:type="dxa"/>
            <w:shd w:val="clear" w:color="auto" w:fill="auto"/>
          </w:tcPr>
          <w:p w:rsidR="00C01A94" w:rsidRPr="00852DB3" w:rsidRDefault="00C01A94" w:rsidP="00C01A94">
            <w:pPr>
              <w:spacing w:before="80" w:after="80" w:line="240" w:lineRule="atLeast"/>
              <w:rPr>
                <w:rFonts w:cs="Arial"/>
                <w:sz w:val="18"/>
                <w:szCs w:val="18"/>
              </w:rPr>
            </w:pPr>
          </w:p>
        </w:tc>
        <w:tc>
          <w:tcPr>
            <w:tcW w:w="3296" w:type="dxa"/>
            <w:shd w:val="clear" w:color="auto" w:fill="auto"/>
          </w:tcPr>
          <w:p w:rsidR="00C01A94" w:rsidRPr="00F9107C" w:rsidRDefault="00C01A94" w:rsidP="00C01A94">
            <w:pPr>
              <w:spacing w:before="80" w:after="80" w:line="240" w:lineRule="atLeast"/>
              <w:ind w:left="0" w:firstLine="0"/>
              <w:rPr>
                <w:rFonts w:cs="Arial"/>
                <w:noProof/>
                <w:sz w:val="18"/>
                <w:szCs w:val="18"/>
              </w:rPr>
            </w:pPr>
            <w:r>
              <w:rPr>
                <w:noProof/>
                <w:sz w:val="18"/>
              </w:rPr>
              <w:t>Tipo di protezione in base alla posizione di installazione</w:t>
            </w:r>
          </w:p>
        </w:tc>
        <w:tc>
          <w:tcPr>
            <w:tcW w:w="5387" w:type="dxa"/>
            <w:shd w:val="clear" w:color="auto" w:fill="auto"/>
          </w:tcPr>
          <w:p w:rsidR="00C01A94" w:rsidRPr="00852DB3" w:rsidRDefault="00C52DCC" w:rsidP="00C01A94">
            <w:pPr>
              <w:spacing w:before="80" w:after="80" w:line="240" w:lineRule="atLeast"/>
              <w:ind w:left="0" w:firstLine="0"/>
              <w:rPr>
                <w:rFonts w:cs="Arial"/>
                <w:sz w:val="18"/>
                <w:szCs w:val="18"/>
              </w:rPr>
            </w:pPr>
            <w:r>
              <w:rPr>
                <w:sz w:val="18"/>
              </w:rPr>
              <w:t>N.S.T</w:t>
            </w:r>
          </w:p>
        </w:tc>
        <w:tc>
          <w:tcPr>
            <w:tcW w:w="1276" w:type="dxa"/>
            <w:shd w:val="clear" w:color="auto" w:fill="auto"/>
          </w:tcPr>
          <w:p w:rsidR="00C01A94" w:rsidRPr="00852DB3" w:rsidRDefault="00C01A94" w:rsidP="00C01A94">
            <w:pPr>
              <w:spacing w:before="80" w:after="80" w:line="240" w:lineRule="atLeast"/>
              <w:jc w:val="center"/>
              <w:rPr>
                <w:rFonts w:cs="Arial"/>
                <w:sz w:val="18"/>
                <w:szCs w:val="18"/>
              </w:rPr>
            </w:pPr>
          </w:p>
        </w:tc>
        <w:tc>
          <w:tcPr>
            <w:tcW w:w="1276" w:type="dxa"/>
          </w:tcPr>
          <w:p w:rsidR="00C01A94" w:rsidRPr="004B4203" w:rsidRDefault="00C01A94" w:rsidP="00C01A94">
            <w:pPr>
              <w:spacing w:before="80" w:after="80" w:line="240" w:lineRule="atLeast"/>
              <w:jc w:val="center"/>
              <w:rPr>
                <w:rFonts w:cs="Arial"/>
                <w:sz w:val="18"/>
                <w:szCs w:val="18"/>
              </w:rPr>
            </w:pPr>
            <w:r>
              <w:rPr>
                <w:sz w:val="18"/>
              </w:rPr>
              <w:t>7.10.2018</w:t>
            </w:r>
          </w:p>
        </w:tc>
      </w:tr>
      <w:tr w:rsidR="00C01A94" w:rsidRPr="00C903F8" w:rsidTr="00E67DA4">
        <w:trPr>
          <w:cantSplit/>
          <w:jc w:val="center"/>
        </w:trPr>
        <w:tc>
          <w:tcPr>
            <w:tcW w:w="1342" w:type="dxa"/>
            <w:tcBorders>
              <w:bottom w:val="nil"/>
            </w:tcBorders>
            <w:shd w:val="clear" w:color="auto" w:fill="auto"/>
          </w:tcPr>
          <w:p w:rsidR="00C01A94" w:rsidRPr="004B4203" w:rsidRDefault="00C01A94" w:rsidP="00C01A94">
            <w:pPr>
              <w:spacing w:before="80" w:after="80" w:line="240" w:lineRule="atLeast"/>
              <w:rPr>
                <w:rFonts w:cs="Arial"/>
                <w:sz w:val="18"/>
                <w:szCs w:val="18"/>
              </w:rPr>
            </w:pPr>
            <w:r>
              <w:rPr>
                <w:sz w:val="18"/>
              </w:rPr>
              <w:t>10.04</w:t>
            </w:r>
          </w:p>
        </w:tc>
        <w:tc>
          <w:tcPr>
            <w:tcW w:w="1458" w:type="dxa"/>
            <w:shd w:val="clear" w:color="auto" w:fill="auto"/>
          </w:tcPr>
          <w:p w:rsidR="00C01A94" w:rsidRPr="00852DB3" w:rsidRDefault="00C01A94" w:rsidP="00C01A94">
            <w:pPr>
              <w:spacing w:before="80" w:after="80" w:line="240" w:lineRule="atLeast"/>
              <w:rPr>
                <w:rFonts w:cs="Arial"/>
                <w:sz w:val="18"/>
                <w:szCs w:val="18"/>
              </w:rPr>
            </w:pPr>
          </w:p>
        </w:tc>
        <w:tc>
          <w:tcPr>
            <w:tcW w:w="3296" w:type="dxa"/>
            <w:shd w:val="clear" w:color="auto" w:fill="auto"/>
          </w:tcPr>
          <w:p w:rsidR="00C01A94" w:rsidRPr="00F9107C" w:rsidRDefault="00C01A94" w:rsidP="00C01A94">
            <w:pPr>
              <w:spacing w:before="80" w:after="80" w:line="240" w:lineRule="atLeast"/>
              <w:ind w:left="0" w:firstLine="0"/>
              <w:rPr>
                <w:rFonts w:cs="Arial"/>
                <w:noProof/>
                <w:sz w:val="18"/>
                <w:szCs w:val="18"/>
              </w:rPr>
            </w:pPr>
            <w:r>
              <w:rPr>
                <w:noProof/>
                <w:sz w:val="18"/>
              </w:rPr>
              <w:t>Protezione contro le esplosioni</w:t>
            </w:r>
          </w:p>
        </w:tc>
        <w:tc>
          <w:tcPr>
            <w:tcW w:w="5387" w:type="dxa"/>
            <w:shd w:val="clear" w:color="auto" w:fill="auto"/>
          </w:tcPr>
          <w:p w:rsidR="00C01A94" w:rsidRPr="00852DB3" w:rsidRDefault="00C52DCC" w:rsidP="00C01A94">
            <w:pPr>
              <w:spacing w:before="80" w:after="80" w:line="240" w:lineRule="atLeast"/>
              <w:ind w:left="0" w:firstLine="0"/>
              <w:rPr>
                <w:rFonts w:cs="Arial"/>
                <w:sz w:val="18"/>
                <w:szCs w:val="18"/>
              </w:rPr>
            </w:pPr>
            <w:r>
              <w:rPr>
                <w:sz w:val="18"/>
              </w:rPr>
              <w:t>N.S.T</w:t>
            </w:r>
          </w:p>
        </w:tc>
        <w:tc>
          <w:tcPr>
            <w:tcW w:w="1276" w:type="dxa"/>
            <w:shd w:val="clear" w:color="auto" w:fill="auto"/>
          </w:tcPr>
          <w:p w:rsidR="00C01A94" w:rsidRPr="00852DB3" w:rsidRDefault="00C01A94" w:rsidP="00C01A94">
            <w:pPr>
              <w:spacing w:before="80" w:after="80" w:line="240" w:lineRule="atLeast"/>
              <w:jc w:val="center"/>
              <w:rPr>
                <w:rFonts w:cs="Arial"/>
                <w:sz w:val="18"/>
                <w:szCs w:val="18"/>
              </w:rPr>
            </w:pPr>
          </w:p>
        </w:tc>
        <w:tc>
          <w:tcPr>
            <w:tcW w:w="1276" w:type="dxa"/>
          </w:tcPr>
          <w:p w:rsidR="00C01A94" w:rsidRPr="004B4203" w:rsidRDefault="00C01A94" w:rsidP="00C01A94">
            <w:pPr>
              <w:spacing w:before="80" w:after="80" w:line="240" w:lineRule="atLeast"/>
              <w:jc w:val="center"/>
              <w:rPr>
                <w:rFonts w:cs="Arial"/>
                <w:sz w:val="18"/>
                <w:szCs w:val="18"/>
              </w:rPr>
            </w:pPr>
            <w:r>
              <w:rPr>
                <w:sz w:val="18"/>
              </w:rPr>
              <w:t>7.10.2018</w:t>
            </w:r>
          </w:p>
        </w:tc>
      </w:tr>
      <w:tr w:rsidR="00C01A94" w:rsidRPr="00C903F8" w:rsidTr="00E67DA4">
        <w:trPr>
          <w:cantSplit/>
          <w:jc w:val="center"/>
        </w:trPr>
        <w:tc>
          <w:tcPr>
            <w:tcW w:w="1342" w:type="dxa"/>
            <w:tcBorders>
              <w:bottom w:val="nil"/>
            </w:tcBorders>
            <w:shd w:val="clear" w:color="auto" w:fill="auto"/>
          </w:tcPr>
          <w:p w:rsidR="00C01A94" w:rsidRPr="004B4203" w:rsidRDefault="00C01A94" w:rsidP="00C01A94">
            <w:pPr>
              <w:spacing w:before="100" w:after="100" w:line="240" w:lineRule="atLeast"/>
              <w:rPr>
                <w:rFonts w:cs="Arial"/>
                <w:sz w:val="18"/>
                <w:szCs w:val="18"/>
              </w:rPr>
            </w:pPr>
            <w:r>
              <w:rPr>
                <w:sz w:val="18"/>
              </w:rPr>
              <w:lastRenderedPageBreak/>
              <w:t>10.05</w:t>
            </w:r>
          </w:p>
        </w:tc>
        <w:tc>
          <w:tcPr>
            <w:tcW w:w="1458" w:type="dxa"/>
            <w:shd w:val="clear" w:color="auto" w:fill="auto"/>
          </w:tcPr>
          <w:p w:rsidR="00C01A94" w:rsidRPr="00852DB3" w:rsidRDefault="00C01A94" w:rsidP="00C01A94">
            <w:pPr>
              <w:spacing w:before="100" w:after="100" w:line="240" w:lineRule="atLeast"/>
              <w:rPr>
                <w:rFonts w:cs="Arial"/>
                <w:sz w:val="18"/>
                <w:szCs w:val="18"/>
              </w:rPr>
            </w:pPr>
            <w:r>
              <w:rPr>
                <w:sz w:val="18"/>
              </w:rPr>
              <w:t>paragrafo 4</w:t>
            </w:r>
          </w:p>
        </w:tc>
        <w:tc>
          <w:tcPr>
            <w:tcW w:w="3296" w:type="dxa"/>
            <w:shd w:val="clear" w:color="auto" w:fill="auto"/>
          </w:tcPr>
          <w:p w:rsidR="00C01A94" w:rsidRPr="00F9107C" w:rsidRDefault="00C01A94" w:rsidP="00C01A94">
            <w:pPr>
              <w:spacing w:before="100" w:after="100" w:line="240" w:lineRule="atLeast"/>
              <w:ind w:left="0" w:firstLine="0"/>
              <w:rPr>
                <w:rFonts w:cs="Arial"/>
                <w:noProof/>
                <w:sz w:val="18"/>
                <w:szCs w:val="18"/>
              </w:rPr>
            </w:pPr>
            <w:r>
              <w:rPr>
                <w:noProof/>
                <w:sz w:val="18"/>
              </w:rPr>
              <w:t>Sezione dei conduttori di messa a terra</w:t>
            </w:r>
          </w:p>
        </w:tc>
        <w:tc>
          <w:tcPr>
            <w:tcW w:w="5387" w:type="dxa"/>
            <w:shd w:val="clear" w:color="auto" w:fill="auto"/>
          </w:tcPr>
          <w:p w:rsidR="00C01A94" w:rsidRPr="00852DB3" w:rsidRDefault="00C52DCC" w:rsidP="00C01A94">
            <w:pPr>
              <w:spacing w:before="100" w:after="100" w:line="240" w:lineRule="atLeast"/>
              <w:ind w:left="0" w:firstLine="0"/>
              <w:rPr>
                <w:rFonts w:cs="Arial"/>
                <w:sz w:val="18"/>
                <w:szCs w:val="18"/>
              </w:rPr>
            </w:pPr>
            <w:r>
              <w:rPr>
                <w:sz w:val="18"/>
              </w:rPr>
              <w:t>N.S.T</w:t>
            </w:r>
          </w:p>
        </w:tc>
        <w:tc>
          <w:tcPr>
            <w:tcW w:w="1276" w:type="dxa"/>
            <w:shd w:val="clear" w:color="auto" w:fill="auto"/>
          </w:tcPr>
          <w:p w:rsidR="00C01A94" w:rsidRPr="00852DB3" w:rsidRDefault="00C01A94" w:rsidP="00C01A94">
            <w:pPr>
              <w:spacing w:before="100" w:after="100" w:line="240" w:lineRule="atLeast"/>
              <w:jc w:val="center"/>
              <w:rPr>
                <w:rFonts w:cs="Arial"/>
                <w:sz w:val="18"/>
                <w:szCs w:val="18"/>
              </w:rPr>
            </w:pPr>
          </w:p>
        </w:tc>
        <w:tc>
          <w:tcPr>
            <w:tcW w:w="1276" w:type="dxa"/>
          </w:tcPr>
          <w:p w:rsidR="00C01A94" w:rsidRPr="004B4203" w:rsidRDefault="00C01A94" w:rsidP="00C01A94">
            <w:pPr>
              <w:spacing w:before="100" w:after="100" w:line="240" w:lineRule="atLeast"/>
              <w:jc w:val="center"/>
              <w:rPr>
                <w:rFonts w:cs="Arial"/>
                <w:sz w:val="18"/>
                <w:szCs w:val="18"/>
              </w:rPr>
            </w:pPr>
            <w:r>
              <w:rPr>
                <w:sz w:val="18"/>
              </w:rPr>
              <w:t>7.10.2018</w:t>
            </w:r>
          </w:p>
        </w:tc>
      </w:tr>
      <w:tr w:rsidR="00C01A94" w:rsidRPr="00C903F8" w:rsidTr="00E67DA4">
        <w:trPr>
          <w:cantSplit/>
          <w:jc w:val="center"/>
        </w:trPr>
        <w:tc>
          <w:tcPr>
            <w:tcW w:w="1342" w:type="dxa"/>
            <w:tcBorders>
              <w:bottom w:val="nil"/>
            </w:tcBorders>
            <w:shd w:val="clear" w:color="auto" w:fill="auto"/>
          </w:tcPr>
          <w:p w:rsidR="00C01A94" w:rsidRPr="004B4203" w:rsidRDefault="00C01A94" w:rsidP="00C01A94">
            <w:pPr>
              <w:spacing w:before="100" w:after="100" w:line="240" w:lineRule="atLeast"/>
              <w:rPr>
                <w:rFonts w:cs="Arial"/>
                <w:sz w:val="18"/>
                <w:szCs w:val="18"/>
              </w:rPr>
            </w:pPr>
            <w:r>
              <w:rPr>
                <w:sz w:val="18"/>
              </w:rPr>
              <w:t xml:space="preserve">10.06 </w:t>
            </w:r>
          </w:p>
        </w:tc>
        <w:tc>
          <w:tcPr>
            <w:tcW w:w="1458" w:type="dxa"/>
            <w:shd w:val="clear" w:color="auto" w:fill="auto"/>
          </w:tcPr>
          <w:p w:rsidR="00C01A94" w:rsidRPr="00852DB3" w:rsidRDefault="00C01A94" w:rsidP="00C01A94">
            <w:pPr>
              <w:spacing w:before="100" w:after="100" w:line="240" w:lineRule="atLeast"/>
              <w:rPr>
                <w:rFonts w:cs="Arial"/>
                <w:sz w:val="18"/>
                <w:szCs w:val="18"/>
              </w:rPr>
            </w:pPr>
            <w:r>
              <w:rPr>
                <w:sz w:val="18"/>
              </w:rPr>
              <w:t>paragrafo 1, tabella</w:t>
            </w:r>
          </w:p>
        </w:tc>
        <w:tc>
          <w:tcPr>
            <w:tcW w:w="3296" w:type="dxa"/>
            <w:shd w:val="clear" w:color="auto" w:fill="auto"/>
          </w:tcPr>
          <w:p w:rsidR="00C01A94" w:rsidRPr="00F9107C" w:rsidRDefault="00C01A94" w:rsidP="00C01A94">
            <w:pPr>
              <w:spacing w:before="100" w:after="100" w:line="240" w:lineRule="atLeast"/>
              <w:ind w:left="0" w:firstLine="0"/>
              <w:rPr>
                <w:rFonts w:cs="Arial"/>
                <w:noProof/>
                <w:sz w:val="18"/>
                <w:szCs w:val="18"/>
              </w:rPr>
            </w:pPr>
            <w:r>
              <w:rPr>
                <w:noProof/>
                <w:sz w:val="18"/>
              </w:rPr>
              <w:t>Corrente alternata trifase</w:t>
            </w:r>
          </w:p>
        </w:tc>
        <w:tc>
          <w:tcPr>
            <w:tcW w:w="5387" w:type="dxa"/>
            <w:shd w:val="clear" w:color="auto" w:fill="auto"/>
          </w:tcPr>
          <w:p w:rsidR="00C01A94" w:rsidRPr="00852DB3" w:rsidRDefault="00C52DCC" w:rsidP="00C01A94">
            <w:pPr>
              <w:spacing w:before="100" w:after="100" w:line="240" w:lineRule="atLeast"/>
              <w:ind w:left="0" w:firstLine="0"/>
              <w:rPr>
                <w:rFonts w:cs="Arial"/>
                <w:sz w:val="18"/>
                <w:szCs w:val="18"/>
              </w:rPr>
            </w:pPr>
            <w:r>
              <w:rPr>
                <w:sz w:val="18"/>
              </w:rPr>
              <w:t>N.S.T</w:t>
            </w:r>
          </w:p>
        </w:tc>
        <w:tc>
          <w:tcPr>
            <w:tcW w:w="1276" w:type="dxa"/>
            <w:shd w:val="clear" w:color="auto" w:fill="auto"/>
          </w:tcPr>
          <w:p w:rsidR="00C01A94" w:rsidRPr="00852DB3" w:rsidRDefault="00C01A94" w:rsidP="00C01A94">
            <w:pPr>
              <w:spacing w:before="100" w:after="100" w:line="240" w:lineRule="atLeast"/>
              <w:jc w:val="center"/>
              <w:rPr>
                <w:rFonts w:cs="Arial"/>
                <w:sz w:val="18"/>
                <w:szCs w:val="18"/>
              </w:rPr>
            </w:pPr>
          </w:p>
        </w:tc>
        <w:tc>
          <w:tcPr>
            <w:tcW w:w="1276" w:type="dxa"/>
          </w:tcPr>
          <w:p w:rsidR="00C01A94" w:rsidRPr="004B4203" w:rsidRDefault="00C01A94" w:rsidP="00C01A94">
            <w:pPr>
              <w:spacing w:before="100" w:after="100" w:line="240" w:lineRule="atLeast"/>
              <w:jc w:val="center"/>
              <w:rPr>
                <w:rFonts w:cs="Arial"/>
                <w:sz w:val="18"/>
                <w:szCs w:val="18"/>
              </w:rPr>
            </w:pPr>
            <w:r>
              <w:rPr>
                <w:sz w:val="18"/>
              </w:rPr>
              <w:t>7.10.2018</w:t>
            </w:r>
          </w:p>
        </w:tc>
      </w:tr>
      <w:tr w:rsidR="00C01A94" w:rsidRPr="00C903F8" w:rsidTr="00E67DA4">
        <w:trPr>
          <w:cantSplit/>
          <w:jc w:val="center"/>
        </w:trPr>
        <w:tc>
          <w:tcPr>
            <w:tcW w:w="1342" w:type="dxa"/>
            <w:tcBorders>
              <w:bottom w:val="nil"/>
            </w:tcBorders>
            <w:shd w:val="clear" w:color="auto" w:fill="auto"/>
          </w:tcPr>
          <w:p w:rsidR="00C01A94" w:rsidRPr="004B4203" w:rsidRDefault="00C01A94" w:rsidP="00C01A94">
            <w:pPr>
              <w:spacing w:before="100" w:after="100" w:line="240" w:lineRule="atLeast"/>
              <w:rPr>
                <w:rFonts w:cs="Arial"/>
                <w:sz w:val="18"/>
                <w:szCs w:val="18"/>
              </w:rPr>
            </w:pPr>
            <w:r>
              <w:rPr>
                <w:sz w:val="18"/>
              </w:rPr>
              <w:t>10.08</w:t>
            </w:r>
          </w:p>
        </w:tc>
        <w:tc>
          <w:tcPr>
            <w:tcW w:w="1458" w:type="dxa"/>
            <w:shd w:val="clear" w:color="auto" w:fill="auto"/>
          </w:tcPr>
          <w:p w:rsidR="00C01A94" w:rsidRPr="00852DB3" w:rsidRDefault="00C01A94" w:rsidP="00C01A94">
            <w:pPr>
              <w:spacing w:before="100" w:after="100" w:line="240" w:lineRule="atLeast"/>
              <w:rPr>
                <w:rFonts w:cs="Arial"/>
                <w:sz w:val="18"/>
                <w:szCs w:val="18"/>
              </w:rPr>
            </w:pPr>
            <w:r>
              <w:rPr>
                <w:sz w:val="18"/>
              </w:rPr>
              <w:t>paragrafo 1</w:t>
            </w:r>
          </w:p>
        </w:tc>
        <w:tc>
          <w:tcPr>
            <w:tcW w:w="3296" w:type="dxa"/>
            <w:shd w:val="clear" w:color="auto" w:fill="auto"/>
          </w:tcPr>
          <w:p w:rsidR="00C01A94" w:rsidRPr="00F9107C" w:rsidRDefault="00C01A94" w:rsidP="00C01A94">
            <w:pPr>
              <w:spacing w:before="100" w:after="100" w:line="240" w:lineRule="atLeast"/>
              <w:ind w:left="0" w:firstLine="0"/>
              <w:rPr>
                <w:rFonts w:cs="Arial"/>
                <w:noProof/>
                <w:sz w:val="18"/>
                <w:szCs w:val="18"/>
              </w:rPr>
            </w:pPr>
            <w:r>
              <w:rPr>
                <w:noProof/>
                <w:sz w:val="18"/>
              </w:rPr>
              <w:t>Conformità rispetto alle norme europee EN 15869-1, EN 15869-3 ed EN 16840</w:t>
            </w:r>
          </w:p>
        </w:tc>
        <w:tc>
          <w:tcPr>
            <w:tcW w:w="5387" w:type="dxa"/>
            <w:shd w:val="clear" w:color="auto" w:fill="auto"/>
          </w:tcPr>
          <w:p w:rsidR="00C01A94" w:rsidRPr="00852DB3" w:rsidRDefault="00C52DCC" w:rsidP="00C01A94">
            <w:pPr>
              <w:spacing w:before="100" w:after="100" w:line="240" w:lineRule="atLeast"/>
              <w:ind w:left="0" w:firstLine="0"/>
              <w:rPr>
                <w:rFonts w:cs="Arial"/>
                <w:sz w:val="18"/>
                <w:szCs w:val="18"/>
              </w:rPr>
            </w:pPr>
            <w:r>
              <w:rPr>
                <w:sz w:val="18"/>
              </w:rPr>
              <w:t>N.S.T</w:t>
            </w:r>
          </w:p>
        </w:tc>
        <w:tc>
          <w:tcPr>
            <w:tcW w:w="1276" w:type="dxa"/>
            <w:shd w:val="clear" w:color="auto" w:fill="auto"/>
          </w:tcPr>
          <w:p w:rsidR="00C01A94" w:rsidRPr="00852DB3" w:rsidRDefault="00C01A94" w:rsidP="00C01A94">
            <w:pPr>
              <w:spacing w:before="100" w:after="100" w:line="240" w:lineRule="atLeast"/>
              <w:jc w:val="center"/>
              <w:rPr>
                <w:rFonts w:cs="Arial"/>
                <w:sz w:val="18"/>
                <w:szCs w:val="18"/>
              </w:rPr>
            </w:pPr>
          </w:p>
        </w:tc>
        <w:tc>
          <w:tcPr>
            <w:tcW w:w="1276" w:type="dxa"/>
          </w:tcPr>
          <w:p w:rsidR="00C01A94" w:rsidRPr="004B4203" w:rsidRDefault="00C01A94" w:rsidP="00C01A94">
            <w:pPr>
              <w:spacing w:before="100" w:after="100" w:line="240" w:lineRule="atLeast"/>
              <w:jc w:val="center"/>
              <w:rPr>
                <w:rFonts w:cs="Arial"/>
                <w:sz w:val="18"/>
                <w:szCs w:val="18"/>
              </w:rPr>
            </w:pPr>
            <w:r>
              <w:rPr>
                <w:sz w:val="18"/>
              </w:rPr>
              <w:t>7.10.2018</w:t>
            </w:r>
          </w:p>
        </w:tc>
      </w:tr>
      <w:tr w:rsidR="00C01A94" w:rsidRPr="00C903F8" w:rsidTr="00A5358D">
        <w:trPr>
          <w:cantSplit/>
          <w:jc w:val="center"/>
        </w:trPr>
        <w:tc>
          <w:tcPr>
            <w:tcW w:w="1342" w:type="dxa"/>
            <w:vMerge w:val="restart"/>
            <w:shd w:val="clear" w:color="auto" w:fill="auto"/>
          </w:tcPr>
          <w:p w:rsidR="00C01A94" w:rsidRPr="004B4203" w:rsidRDefault="00C01A94" w:rsidP="00C01A94">
            <w:pPr>
              <w:spacing w:before="100" w:after="100" w:line="240" w:lineRule="atLeast"/>
              <w:rPr>
                <w:rFonts w:cs="Arial"/>
                <w:sz w:val="18"/>
                <w:szCs w:val="18"/>
              </w:rPr>
            </w:pPr>
            <w:r>
              <w:rPr>
                <w:sz w:val="18"/>
              </w:rPr>
              <w:t xml:space="preserve">10.10 </w:t>
            </w:r>
          </w:p>
        </w:tc>
        <w:tc>
          <w:tcPr>
            <w:tcW w:w="1458" w:type="dxa"/>
            <w:shd w:val="clear" w:color="auto" w:fill="auto"/>
          </w:tcPr>
          <w:p w:rsidR="00C01A94" w:rsidRPr="00852DB3" w:rsidRDefault="00C01A94" w:rsidP="00C01A94">
            <w:pPr>
              <w:spacing w:before="100" w:after="100" w:line="240" w:lineRule="atLeast"/>
              <w:rPr>
                <w:rFonts w:cs="Arial"/>
                <w:sz w:val="18"/>
                <w:szCs w:val="18"/>
              </w:rPr>
            </w:pPr>
            <w:r>
              <w:rPr>
                <w:sz w:val="18"/>
              </w:rPr>
              <w:t>paragrafo 2</w:t>
            </w:r>
          </w:p>
        </w:tc>
        <w:tc>
          <w:tcPr>
            <w:tcW w:w="3296" w:type="dxa"/>
            <w:shd w:val="clear" w:color="auto" w:fill="auto"/>
          </w:tcPr>
          <w:p w:rsidR="00C01A94" w:rsidRPr="00852DB3" w:rsidRDefault="00C01A94" w:rsidP="00C01A94">
            <w:pPr>
              <w:spacing w:before="100" w:after="100" w:line="240" w:lineRule="atLeast"/>
              <w:rPr>
                <w:rFonts w:cs="Arial"/>
                <w:sz w:val="18"/>
                <w:szCs w:val="18"/>
              </w:rPr>
            </w:pPr>
            <w:r>
              <w:rPr>
                <w:sz w:val="18"/>
              </w:rPr>
              <w:t>Installazione di trasformatori</w:t>
            </w:r>
          </w:p>
        </w:tc>
        <w:tc>
          <w:tcPr>
            <w:tcW w:w="5387" w:type="dxa"/>
            <w:shd w:val="clear" w:color="auto" w:fill="auto"/>
          </w:tcPr>
          <w:p w:rsidR="00C01A94" w:rsidRPr="00852DB3" w:rsidRDefault="00C52DCC" w:rsidP="00C01A94">
            <w:pPr>
              <w:spacing w:before="100" w:after="100" w:line="240" w:lineRule="atLeast"/>
              <w:ind w:left="0" w:firstLine="0"/>
              <w:rPr>
                <w:rFonts w:cs="Arial"/>
                <w:sz w:val="18"/>
                <w:szCs w:val="18"/>
              </w:rPr>
            </w:pPr>
            <w:r>
              <w:rPr>
                <w:sz w:val="18"/>
              </w:rPr>
              <w:t>N.S.T</w:t>
            </w:r>
          </w:p>
        </w:tc>
        <w:tc>
          <w:tcPr>
            <w:tcW w:w="1276" w:type="dxa"/>
            <w:shd w:val="clear" w:color="auto" w:fill="auto"/>
          </w:tcPr>
          <w:p w:rsidR="00C01A94" w:rsidRPr="00852DB3" w:rsidRDefault="00C01A94" w:rsidP="00C01A94">
            <w:pPr>
              <w:spacing w:before="100" w:after="100" w:line="240" w:lineRule="atLeast"/>
              <w:jc w:val="center"/>
              <w:rPr>
                <w:rFonts w:cs="Arial"/>
                <w:sz w:val="18"/>
                <w:szCs w:val="18"/>
              </w:rPr>
            </w:pPr>
          </w:p>
        </w:tc>
        <w:tc>
          <w:tcPr>
            <w:tcW w:w="1276" w:type="dxa"/>
          </w:tcPr>
          <w:p w:rsidR="00C01A94" w:rsidRPr="004B4203" w:rsidRDefault="00C01A94" w:rsidP="00C01A94">
            <w:pPr>
              <w:spacing w:before="100" w:after="100" w:line="240" w:lineRule="atLeast"/>
              <w:jc w:val="center"/>
              <w:rPr>
                <w:rFonts w:cs="Arial"/>
                <w:sz w:val="18"/>
                <w:szCs w:val="18"/>
              </w:rPr>
            </w:pPr>
            <w:r>
              <w:rPr>
                <w:sz w:val="18"/>
              </w:rPr>
              <w:t>7.10.2018</w:t>
            </w:r>
          </w:p>
        </w:tc>
      </w:tr>
      <w:tr w:rsidR="00C01A94" w:rsidRPr="00C903F8" w:rsidTr="00A5358D">
        <w:trPr>
          <w:cantSplit/>
          <w:jc w:val="center"/>
        </w:trPr>
        <w:tc>
          <w:tcPr>
            <w:tcW w:w="1342" w:type="dxa"/>
            <w:vMerge/>
            <w:shd w:val="clear" w:color="auto" w:fill="auto"/>
          </w:tcPr>
          <w:p w:rsidR="00C01A94" w:rsidRPr="008F6ABB" w:rsidRDefault="00C01A94" w:rsidP="00C01A94">
            <w:pPr>
              <w:spacing w:before="100" w:after="100" w:line="240" w:lineRule="atLeast"/>
              <w:rPr>
                <w:rFonts w:cs="Arial"/>
                <w:sz w:val="18"/>
                <w:szCs w:val="18"/>
              </w:rPr>
            </w:pPr>
          </w:p>
        </w:tc>
        <w:tc>
          <w:tcPr>
            <w:tcW w:w="1458" w:type="dxa"/>
            <w:shd w:val="clear" w:color="auto" w:fill="auto"/>
          </w:tcPr>
          <w:p w:rsidR="00C01A94" w:rsidRPr="004B4203" w:rsidRDefault="00C01A94" w:rsidP="00C01A94">
            <w:pPr>
              <w:spacing w:before="100" w:after="100" w:line="240" w:lineRule="atLeast"/>
              <w:rPr>
                <w:rFonts w:cs="Arial"/>
                <w:sz w:val="18"/>
                <w:szCs w:val="18"/>
              </w:rPr>
            </w:pPr>
            <w:r>
              <w:rPr>
                <w:sz w:val="18"/>
              </w:rPr>
              <w:t>paragrafo 3</w:t>
            </w:r>
          </w:p>
        </w:tc>
        <w:tc>
          <w:tcPr>
            <w:tcW w:w="3296" w:type="dxa"/>
            <w:shd w:val="clear" w:color="auto" w:fill="auto"/>
          </w:tcPr>
          <w:p w:rsidR="00C01A94" w:rsidRPr="00F9107C" w:rsidRDefault="00C01A94" w:rsidP="00C01A94">
            <w:pPr>
              <w:spacing w:before="100" w:after="100" w:line="240" w:lineRule="atLeast"/>
              <w:ind w:left="0" w:firstLine="0"/>
              <w:rPr>
                <w:rFonts w:cs="Arial"/>
                <w:noProof/>
                <w:sz w:val="18"/>
                <w:szCs w:val="18"/>
              </w:rPr>
            </w:pPr>
            <w:r>
              <w:rPr>
                <w:sz w:val="18"/>
              </w:rPr>
              <w:t>Avvolgimenti primari e secondari separati dei trasformatori</w:t>
            </w:r>
          </w:p>
        </w:tc>
        <w:tc>
          <w:tcPr>
            <w:tcW w:w="5387" w:type="dxa"/>
            <w:shd w:val="clear" w:color="auto" w:fill="auto"/>
          </w:tcPr>
          <w:p w:rsidR="00C01A94" w:rsidRPr="004B4203" w:rsidRDefault="00C52DCC" w:rsidP="00C01A94">
            <w:pPr>
              <w:spacing w:before="100" w:after="10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C01A94">
            <w:pPr>
              <w:spacing w:before="100" w:after="100" w:line="240" w:lineRule="atLeast"/>
              <w:jc w:val="center"/>
              <w:rPr>
                <w:rFonts w:cs="Arial"/>
                <w:sz w:val="18"/>
                <w:szCs w:val="18"/>
              </w:rPr>
            </w:pPr>
          </w:p>
        </w:tc>
        <w:tc>
          <w:tcPr>
            <w:tcW w:w="1276" w:type="dxa"/>
          </w:tcPr>
          <w:p w:rsidR="00C01A94" w:rsidRPr="00304E7F" w:rsidRDefault="00C01A94" w:rsidP="00C01A94">
            <w:pPr>
              <w:spacing w:before="100" w:after="100" w:line="240" w:lineRule="atLeast"/>
              <w:jc w:val="center"/>
              <w:rPr>
                <w:rFonts w:cs="Arial"/>
                <w:sz w:val="18"/>
                <w:szCs w:val="18"/>
              </w:rPr>
            </w:pPr>
            <w:r>
              <w:rPr>
                <w:sz w:val="18"/>
              </w:rPr>
              <w:t>7.10.2018</w:t>
            </w:r>
          </w:p>
        </w:tc>
      </w:tr>
      <w:tr w:rsidR="00C01A94" w:rsidRPr="00C903F8" w:rsidTr="00A5358D">
        <w:trPr>
          <w:cantSplit/>
          <w:jc w:val="center"/>
        </w:trPr>
        <w:tc>
          <w:tcPr>
            <w:tcW w:w="1342" w:type="dxa"/>
            <w:vMerge/>
            <w:shd w:val="clear" w:color="auto" w:fill="auto"/>
          </w:tcPr>
          <w:p w:rsidR="00C01A94" w:rsidRPr="008F6ABB" w:rsidRDefault="00C01A94" w:rsidP="00C01A94">
            <w:pPr>
              <w:spacing w:before="100" w:after="100" w:line="240" w:lineRule="atLeast"/>
              <w:rPr>
                <w:rFonts w:cs="Arial"/>
                <w:sz w:val="18"/>
                <w:szCs w:val="18"/>
              </w:rPr>
            </w:pPr>
          </w:p>
        </w:tc>
        <w:tc>
          <w:tcPr>
            <w:tcW w:w="1458" w:type="dxa"/>
            <w:shd w:val="clear" w:color="auto" w:fill="auto"/>
          </w:tcPr>
          <w:p w:rsidR="00C01A94" w:rsidRPr="004B4203" w:rsidRDefault="00C01A94" w:rsidP="00C01A94">
            <w:pPr>
              <w:spacing w:before="100" w:after="100" w:line="240" w:lineRule="atLeast"/>
              <w:rPr>
                <w:rFonts w:cs="Arial"/>
                <w:sz w:val="18"/>
                <w:szCs w:val="18"/>
              </w:rPr>
            </w:pPr>
            <w:r>
              <w:rPr>
                <w:sz w:val="18"/>
              </w:rPr>
              <w:t>paragrafo 4</w:t>
            </w:r>
          </w:p>
        </w:tc>
        <w:tc>
          <w:tcPr>
            <w:tcW w:w="3296" w:type="dxa"/>
            <w:shd w:val="clear" w:color="auto" w:fill="auto"/>
          </w:tcPr>
          <w:p w:rsidR="00C01A94" w:rsidRPr="00F9107C" w:rsidRDefault="00C01A94" w:rsidP="00C01A94">
            <w:pPr>
              <w:spacing w:before="100" w:after="100" w:line="240" w:lineRule="atLeast"/>
              <w:ind w:left="0" w:firstLine="0"/>
              <w:rPr>
                <w:rFonts w:cs="Arial"/>
                <w:noProof/>
                <w:sz w:val="18"/>
                <w:szCs w:val="18"/>
              </w:rPr>
            </w:pPr>
            <w:r>
              <w:rPr>
                <w:sz w:val="18"/>
              </w:rPr>
              <w:t>Dispositivi di cambio prese sugli avvolgimenti secondari dei trasformatori</w:t>
            </w:r>
          </w:p>
        </w:tc>
        <w:tc>
          <w:tcPr>
            <w:tcW w:w="5387" w:type="dxa"/>
            <w:shd w:val="clear" w:color="auto" w:fill="auto"/>
          </w:tcPr>
          <w:p w:rsidR="00C01A94" w:rsidRPr="004B4203" w:rsidRDefault="00C52DCC" w:rsidP="00C01A94">
            <w:pPr>
              <w:spacing w:before="100" w:after="10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C01A94">
            <w:pPr>
              <w:spacing w:before="100" w:after="100" w:line="240" w:lineRule="atLeast"/>
              <w:jc w:val="center"/>
              <w:rPr>
                <w:rFonts w:cs="Arial"/>
                <w:sz w:val="18"/>
                <w:szCs w:val="18"/>
              </w:rPr>
            </w:pPr>
          </w:p>
        </w:tc>
        <w:tc>
          <w:tcPr>
            <w:tcW w:w="1276" w:type="dxa"/>
          </w:tcPr>
          <w:p w:rsidR="00C01A94" w:rsidRPr="00304E7F" w:rsidRDefault="00C01A94" w:rsidP="00C01A94">
            <w:pPr>
              <w:spacing w:before="100" w:after="100" w:line="240" w:lineRule="atLeast"/>
              <w:jc w:val="center"/>
              <w:rPr>
                <w:rFonts w:cs="Arial"/>
                <w:sz w:val="18"/>
                <w:szCs w:val="18"/>
              </w:rPr>
            </w:pPr>
            <w:r>
              <w:rPr>
                <w:sz w:val="18"/>
              </w:rPr>
              <w:t>7.10.2018</w:t>
            </w:r>
          </w:p>
        </w:tc>
      </w:tr>
      <w:tr w:rsidR="00C01A94" w:rsidRPr="00C903F8" w:rsidTr="00E67DA4">
        <w:trPr>
          <w:cantSplit/>
          <w:jc w:val="center"/>
        </w:trPr>
        <w:tc>
          <w:tcPr>
            <w:tcW w:w="1342" w:type="dxa"/>
            <w:vMerge/>
            <w:tcBorders>
              <w:bottom w:val="nil"/>
            </w:tcBorders>
            <w:shd w:val="clear" w:color="auto" w:fill="auto"/>
          </w:tcPr>
          <w:p w:rsidR="00C01A94" w:rsidRPr="008F6ABB" w:rsidRDefault="00C01A94" w:rsidP="00C01A94">
            <w:pPr>
              <w:spacing w:before="100" w:after="100" w:line="240" w:lineRule="atLeast"/>
              <w:rPr>
                <w:rFonts w:cs="Arial"/>
                <w:sz w:val="18"/>
                <w:szCs w:val="18"/>
              </w:rPr>
            </w:pPr>
          </w:p>
        </w:tc>
        <w:tc>
          <w:tcPr>
            <w:tcW w:w="1458" w:type="dxa"/>
            <w:shd w:val="clear" w:color="auto" w:fill="auto"/>
          </w:tcPr>
          <w:p w:rsidR="00C01A94" w:rsidRPr="004B4203" w:rsidRDefault="00C01A94" w:rsidP="00C01A94">
            <w:pPr>
              <w:spacing w:before="100" w:after="100" w:line="240" w:lineRule="atLeast"/>
              <w:rPr>
                <w:rFonts w:cs="Arial"/>
                <w:sz w:val="18"/>
                <w:szCs w:val="18"/>
              </w:rPr>
            </w:pPr>
            <w:r>
              <w:rPr>
                <w:sz w:val="18"/>
              </w:rPr>
              <w:t>paragrafo 5</w:t>
            </w:r>
          </w:p>
        </w:tc>
        <w:tc>
          <w:tcPr>
            <w:tcW w:w="3296" w:type="dxa"/>
            <w:shd w:val="clear" w:color="auto" w:fill="auto"/>
          </w:tcPr>
          <w:p w:rsidR="00C01A94" w:rsidRPr="00F9107C" w:rsidRDefault="00C01A94" w:rsidP="00C01A94">
            <w:pPr>
              <w:spacing w:before="100" w:after="100" w:line="240" w:lineRule="atLeast"/>
              <w:ind w:left="0" w:firstLine="0"/>
              <w:rPr>
                <w:rFonts w:cs="Arial"/>
                <w:noProof/>
                <w:sz w:val="18"/>
                <w:szCs w:val="18"/>
              </w:rPr>
            </w:pPr>
            <w:r>
              <w:rPr>
                <w:sz w:val="18"/>
              </w:rPr>
              <w:t xml:space="preserve"> Targhetta con costruttore e potenza di motori, generatori e trasformatori</w:t>
            </w:r>
          </w:p>
        </w:tc>
        <w:tc>
          <w:tcPr>
            <w:tcW w:w="5387" w:type="dxa"/>
            <w:shd w:val="clear" w:color="auto" w:fill="auto"/>
          </w:tcPr>
          <w:p w:rsidR="00C01A94" w:rsidRPr="004B4203" w:rsidRDefault="00C52DCC" w:rsidP="00C01A94">
            <w:pPr>
              <w:spacing w:before="100" w:after="10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C01A94">
            <w:pPr>
              <w:spacing w:before="100" w:after="100" w:line="240" w:lineRule="atLeast"/>
              <w:jc w:val="center"/>
              <w:rPr>
                <w:rFonts w:cs="Arial"/>
                <w:sz w:val="18"/>
                <w:szCs w:val="18"/>
              </w:rPr>
            </w:pPr>
          </w:p>
        </w:tc>
        <w:tc>
          <w:tcPr>
            <w:tcW w:w="1276" w:type="dxa"/>
          </w:tcPr>
          <w:p w:rsidR="00C01A94" w:rsidRPr="00304E7F" w:rsidRDefault="00C01A94" w:rsidP="00C01A94">
            <w:pPr>
              <w:spacing w:before="100" w:after="100" w:line="240" w:lineRule="atLeast"/>
              <w:jc w:val="center"/>
              <w:rPr>
                <w:rFonts w:cs="Arial"/>
                <w:sz w:val="18"/>
                <w:szCs w:val="18"/>
              </w:rPr>
            </w:pPr>
            <w:r>
              <w:rPr>
                <w:sz w:val="18"/>
              </w:rPr>
              <w:t>7.10.2018</w:t>
            </w:r>
          </w:p>
        </w:tc>
      </w:tr>
      <w:tr w:rsidR="00C01A94" w:rsidRPr="00C903F8" w:rsidTr="00A5358D">
        <w:trPr>
          <w:cantSplit/>
          <w:jc w:val="center"/>
        </w:trPr>
        <w:tc>
          <w:tcPr>
            <w:tcW w:w="1342" w:type="dxa"/>
            <w:vMerge w:val="restart"/>
            <w:shd w:val="clear" w:color="auto" w:fill="auto"/>
          </w:tcPr>
          <w:p w:rsidR="00C01A94" w:rsidRPr="004B4203" w:rsidRDefault="00C01A94" w:rsidP="00D321F1">
            <w:pPr>
              <w:spacing w:before="120" w:after="120" w:line="240" w:lineRule="atLeast"/>
              <w:rPr>
                <w:rFonts w:cs="Arial"/>
                <w:sz w:val="18"/>
                <w:szCs w:val="18"/>
              </w:rPr>
            </w:pPr>
            <w:r>
              <w:rPr>
                <w:sz w:val="18"/>
              </w:rPr>
              <w:t xml:space="preserve">10.11 </w:t>
            </w:r>
          </w:p>
        </w:tc>
        <w:tc>
          <w:tcPr>
            <w:tcW w:w="1458" w:type="dxa"/>
            <w:shd w:val="clear" w:color="auto" w:fill="auto"/>
          </w:tcPr>
          <w:p w:rsidR="00C01A94" w:rsidRPr="00F9107C" w:rsidRDefault="00C01A94" w:rsidP="00D321F1">
            <w:pPr>
              <w:spacing w:before="120" w:after="120" w:line="240" w:lineRule="atLeast"/>
              <w:ind w:left="0" w:firstLine="0"/>
              <w:rPr>
                <w:rFonts w:cs="Arial"/>
                <w:sz w:val="18"/>
                <w:szCs w:val="18"/>
              </w:rPr>
            </w:pPr>
            <w:r>
              <w:rPr>
                <w:sz w:val="18"/>
              </w:rPr>
              <w:t>paragrafo 3</w:t>
            </w:r>
          </w:p>
        </w:tc>
        <w:tc>
          <w:tcPr>
            <w:tcW w:w="3296" w:type="dxa"/>
            <w:shd w:val="clear" w:color="auto" w:fill="auto"/>
          </w:tcPr>
          <w:p w:rsidR="00C01A94" w:rsidRPr="001717EA" w:rsidRDefault="00C01A94" w:rsidP="00D321F1">
            <w:pPr>
              <w:spacing w:before="120" w:after="120" w:line="240" w:lineRule="atLeast"/>
              <w:ind w:left="0" w:firstLine="0"/>
              <w:rPr>
                <w:rFonts w:cs="Arial"/>
                <w:sz w:val="18"/>
                <w:szCs w:val="18"/>
              </w:rPr>
            </w:pPr>
            <w:r>
              <w:rPr>
                <w:sz w:val="18"/>
              </w:rPr>
              <w:t>Ventilazione di locali servizi e dell'armadio con sbocco sul ponte scoperto</w:t>
            </w:r>
          </w:p>
        </w:tc>
        <w:tc>
          <w:tcPr>
            <w:tcW w:w="5387" w:type="dxa"/>
            <w:shd w:val="clear" w:color="auto" w:fill="auto"/>
          </w:tcPr>
          <w:p w:rsidR="00C01A94" w:rsidRPr="00852DB3" w:rsidRDefault="00C52DCC" w:rsidP="00D321F1">
            <w:pPr>
              <w:spacing w:before="120" w:after="120" w:line="240" w:lineRule="atLeast"/>
              <w:ind w:left="0" w:firstLine="0"/>
              <w:rPr>
                <w:rFonts w:cs="Arial"/>
                <w:sz w:val="18"/>
                <w:szCs w:val="18"/>
              </w:rPr>
            </w:pPr>
            <w:r>
              <w:rPr>
                <w:sz w:val="18"/>
              </w:rPr>
              <w:t>N.S.T</w:t>
            </w:r>
          </w:p>
        </w:tc>
        <w:tc>
          <w:tcPr>
            <w:tcW w:w="1276" w:type="dxa"/>
            <w:shd w:val="clear" w:color="auto" w:fill="auto"/>
          </w:tcPr>
          <w:p w:rsidR="00C01A94" w:rsidRPr="00852DB3" w:rsidRDefault="00C01A94" w:rsidP="00D321F1">
            <w:pPr>
              <w:spacing w:before="120" w:after="120" w:line="240" w:lineRule="atLeast"/>
              <w:jc w:val="center"/>
              <w:rPr>
                <w:rFonts w:cs="Arial"/>
                <w:sz w:val="18"/>
                <w:szCs w:val="18"/>
              </w:rPr>
            </w:pPr>
          </w:p>
        </w:tc>
        <w:tc>
          <w:tcPr>
            <w:tcW w:w="1276" w:type="dxa"/>
          </w:tcPr>
          <w:p w:rsidR="00C01A94" w:rsidRPr="004B4203" w:rsidRDefault="00C01A94" w:rsidP="00D321F1">
            <w:pPr>
              <w:spacing w:before="120" w:after="120" w:line="240" w:lineRule="atLeast"/>
              <w:jc w:val="center"/>
              <w:rPr>
                <w:rFonts w:cs="Arial"/>
                <w:sz w:val="18"/>
                <w:szCs w:val="18"/>
              </w:rPr>
            </w:pPr>
            <w:r>
              <w:rPr>
                <w:sz w:val="18"/>
              </w:rPr>
              <w:t>7.10.2018</w:t>
            </w:r>
          </w:p>
        </w:tc>
      </w:tr>
      <w:tr w:rsidR="00C01A94" w:rsidRPr="00C903F8" w:rsidTr="00A5358D">
        <w:trPr>
          <w:cantSplit/>
          <w:jc w:val="center"/>
        </w:trPr>
        <w:tc>
          <w:tcPr>
            <w:tcW w:w="1342" w:type="dxa"/>
            <w:vMerge/>
            <w:shd w:val="clear" w:color="auto" w:fill="auto"/>
          </w:tcPr>
          <w:p w:rsidR="00C01A94" w:rsidRPr="008F6ABB" w:rsidRDefault="00C01A94" w:rsidP="00D321F1">
            <w:pPr>
              <w:spacing w:before="120" w:after="120" w:line="240" w:lineRule="atLeast"/>
              <w:rPr>
                <w:rFonts w:cs="Arial"/>
                <w:sz w:val="18"/>
                <w:szCs w:val="18"/>
              </w:rPr>
            </w:pPr>
          </w:p>
        </w:tc>
        <w:tc>
          <w:tcPr>
            <w:tcW w:w="1458" w:type="dxa"/>
            <w:shd w:val="clear" w:color="auto" w:fill="auto"/>
          </w:tcPr>
          <w:p w:rsidR="00C01A94" w:rsidRPr="004B4203" w:rsidRDefault="00C01A94" w:rsidP="00D321F1">
            <w:pPr>
              <w:spacing w:before="120" w:after="120" w:line="240" w:lineRule="atLeast"/>
              <w:rPr>
                <w:rFonts w:cs="Arial"/>
                <w:sz w:val="18"/>
                <w:szCs w:val="18"/>
              </w:rPr>
            </w:pPr>
            <w:r>
              <w:rPr>
                <w:sz w:val="18"/>
              </w:rPr>
              <w:t>paragrafo 12</w:t>
            </w:r>
          </w:p>
        </w:tc>
        <w:tc>
          <w:tcPr>
            <w:tcW w:w="3296" w:type="dxa"/>
            <w:shd w:val="clear" w:color="auto" w:fill="auto"/>
          </w:tcPr>
          <w:p w:rsidR="00C01A94" w:rsidRPr="001717EA" w:rsidRDefault="00C01A94" w:rsidP="00D321F1">
            <w:pPr>
              <w:spacing w:before="120" w:after="120" w:line="240" w:lineRule="atLeast"/>
              <w:ind w:left="0" w:firstLine="0"/>
              <w:rPr>
                <w:rFonts w:cs="Arial"/>
                <w:sz w:val="18"/>
                <w:szCs w:val="18"/>
              </w:rPr>
            </w:pPr>
            <w:r>
              <w:rPr>
                <w:sz w:val="18"/>
              </w:rPr>
              <w:t>Misurazione dei dispositivi di carica</w:t>
            </w:r>
          </w:p>
        </w:tc>
        <w:tc>
          <w:tcPr>
            <w:tcW w:w="5387" w:type="dxa"/>
            <w:shd w:val="clear" w:color="auto" w:fill="auto"/>
          </w:tcPr>
          <w:p w:rsidR="00C01A94" w:rsidRPr="004B4203" w:rsidRDefault="00C52DCC" w:rsidP="00D321F1">
            <w:pPr>
              <w:spacing w:before="120" w:after="12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D321F1">
            <w:pPr>
              <w:spacing w:before="120" w:after="120" w:line="240" w:lineRule="atLeast"/>
              <w:jc w:val="center"/>
              <w:rPr>
                <w:rFonts w:cs="Arial"/>
                <w:sz w:val="18"/>
                <w:szCs w:val="18"/>
              </w:rPr>
            </w:pPr>
          </w:p>
        </w:tc>
        <w:tc>
          <w:tcPr>
            <w:tcW w:w="1276" w:type="dxa"/>
          </w:tcPr>
          <w:p w:rsidR="00C01A94" w:rsidRPr="00304E7F" w:rsidRDefault="00C01A94" w:rsidP="00D321F1">
            <w:pPr>
              <w:spacing w:before="120" w:after="120" w:line="240" w:lineRule="atLeast"/>
              <w:jc w:val="center"/>
              <w:rPr>
                <w:rFonts w:cs="Arial"/>
                <w:sz w:val="18"/>
                <w:szCs w:val="18"/>
              </w:rPr>
            </w:pPr>
            <w:r>
              <w:rPr>
                <w:sz w:val="18"/>
              </w:rPr>
              <w:t>7.10.2018</w:t>
            </w:r>
          </w:p>
        </w:tc>
      </w:tr>
      <w:tr w:rsidR="00C01A94" w:rsidRPr="00C903F8" w:rsidTr="00A5358D">
        <w:trPr>
          <w:cantSplit/>
          <w:jc w:val="center"/>
        </w:trPr>
        <w:tc>
          <w:tcPr>
            <w:tcW w:w="1342" w:type="dxa"/>
            <w:vMerge/>
            <w:shd w:val="clear" w:color="auto" w:fill="auto"/>
          </w:tcPr>
          <w:p w:rsidR="00C01A94" w:rsidRPr="008F6ABB" w:rsidRDefault="00C01A94" w:rsidP="00D321F1">
            <w:pPr>
              <w:spacing w:before="120" w:after="120" w:line="240" w:lineRule="atLeast"/>
              <w:rPr>
                <w:rFonts w:cs="Arial"/>
                <w:sz w:val="18"/>
                <w:szCs w:val="18"/>
              </w:rPr>
            </w:pPr>
          </w:p>
        </w:tc>
        <w:tc>
          <w:tcPr>
            <w:tcW w:w="1458" w:type="dxa"/>
            <w:shd w:val="clear" w:color="auto" w:fill="auto"/>
          </w:tcPr>
          <w:p w:rsidR="00C01A94" w:rsidRPr="004B4203" w:rsidRDefault="00C01A94" w:rsidP="00D321F1">
            <w:pPr>
              <w:spacing w:before="120" w:after="120" w:line="240" w:lineRule="atLeast"/>
              <w:rPr>
                <w:rFonts w:cs="Arial"/>
                <w:sz w:val="18"/>
                <w:szCs w:val="18"/>
              </w:rPr>
            </w:pPr>
            <w:r>
              <w:rPr>
                <w:sz w:val="18"/>
              </w:rPr>
              <w:t>paragrafo 13</w:t>
            </w:r>
          </w:p>
        </w:tc>
        <w:tc>
          <w:tcPr>
            <w:tcW w:w="3296" w:type="dxa"/>
            <w:shd w:val="clear" w:color="auto" w:fill="auto"/>
          </w:tcPr>
          <w:p w:rsidR="00C01A94" w:rsidRPr="001717EA" w:rsidRDefault="00C01A94" w:rsidP="00D321F1">
            <w:pPr>
              <w:spacing w:before="120" w:after="120" w:line="240" w:lineRule="atLeast"/>
              <w:ind w:left="0" w:firstLine="0"/>
              <w:rPr>
                <w:rFonts w:cs="Arial"/>
                <w:sz w:val="18"/>
                <w:szCs w:val="18"/>
              </w:rPr>
            </w:pPr>
            <w:r>
              <w:rPr>
                <w:sz w:val="18"/>
              </w:rPr>
              <w:t>Dispositivi di carica automatici</w:t>
            </w:r>
          </w:p>
        </w:tc>
        <w:tc>
          <w:tcPr>
            <w:tcW w:w="5387" w:type="dxa"/>
            <w:shd w:val="clear" w:color="auto" w:fill="auto"/>
          </w:tcPr>
          <w:p w:rsidR="00C01A94" w:rsidRPr="004B4203" w:rsidRDefault="00C52DCC" w:rsidP="00D321F1">
            <w:pPr>
              <w:spacing w:before="120" w:after="12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D321F1">
            <w:pPr>
              <w:spacing w:before="120" w:after="120" w:line="240" w:lineRule="atLeast"/>
              <w:jc w:val="center"/>
              <w:rPr>
                <w:rFonts w:cs="Arial"/>
                <w:sz w:val="18"/>
                <w:szCs w:val="18"/>
              </w:rPr>
            </w:pPr>
          </w:p>
        </w:tc>
        <w:tc>
          <w:tcPr>
            <w:tcW w:w="1276" w:type="dxa"/>
          </w:tcPr>
          <w:p w:rsidR="00C01A94" w:rsidRPr="00304E7F" w:rsidRDefault="00C01A94" w:rsidP="00D321F1">
            <w:pPr>
              <w:spacing w:before="120" w:after="120" w:line="240" w:lineRule="atLeast"/>
              <w:jc w:val="center"/>
              <w:rPr>
                <w:rFonts w:cs="Arial"/>
                <w:sz w:val="18"/>
                <w:szCs w:val="18"/>
              </w:rPr>
            </w:pPr>
            <w:r>
              <w:rPr>
                <w:sz w:val="18"/>
              </w:rPr>
              <w:t>7.10.2018</w:t>
            </w:r>
          </w:p>
        </w:tc>
      </w:tr>
      <w:tr w:rsidR="00C01A94" w:rsidRPr="00C903F8" w:rsidTr="00A5358D">
        <w:trPr>
          <w:cantSplit/>
          <w:jc w:val="center"/>
        </w:trPr>
        <w:tc>
          <w:tcPr>
            <w:tcW w:w="1342" w:type="dxa"/>
            <w:vMerge/>
            <w:shd w:val="clear" w:color="auto" w:fill="auto"/>
          </w:tcPr>
          <w:p w:rsidR="00C01A94" w:rsidRPr="008F6ABB" w:rsidRDefault="00C01A94" w:rsidP="00D321F1">
            <w:pPr>
              <w:spacing w:before="120" w:after="120" w:line="240" w:lineRule="atLeast"/>
              <w:rPr>
                <w:rFonts w:cs="Arial"/>
                <w:sz w:val="18"/>
                <w:szCs w:val="18"/>
              </w:rPr>
            </w:pPr>
          </w:p>
        </w:tc>
        <w:tc>
          <w:tcPr>
            <w:tcW w:w="1458" w:type="dxa"/>
            <w:shd w:val="clear" w:color="auto" w:fill="auto"/>
          </w:tcPr>
          <w:p w:rsidR="00C01A94" w:rsidRPr="004B4203" w:rsidRDefault="00C01A94" w:rsidP="00D321F1">
            <w:pPr>
              <w:spacing w:before="120" w:after="120" w:line="240" w:lineRule="atLeast"/>
              <w:rPr>
                <w:rFonts w:cs="Arial"/>
                <w:sz w:val="18"/>
                <w:szCs w:val="18"/>
              </w:rPr>
            </w:pPr>
            <w:r>
              <w:rPr>
                <w:sz w:val="18"/>
              </w:rPr>
              <w:t>paragrafo 14</w:t>
            </w:r>
          </w:p>
        </w:tc>
        <w:tc>
          <w:tcPr>
            <w:tcW w:w="3296" w:type="dxa"/>
            <w:shd w:val="clear" w:color="auto" w:fill="auto"/>
          </w:tcPr>
          <w:p w:rsidR="00C01A94" w:rsidRPr="001717EA" w:rsidRDefault="00C01A94" w:rsidP="00D321F1">
            <w:pPr>
              <w:spacing w:before="120" w:after="120" w:line="240" w:lineRule="atLeast"/>
              <w:ind w:left="0" w:firstLine="0"/>
              <w:rPr>
                <w:rFonts w:cs="Arial"/>
                <w:sz w:val="18"/>
                <w:szCs w:val="18"/>
              </w:rPr>
            </w:pPr>
            <w:r>
              <w:rPr>
                <w:sz w:val="18"/>
              </w:rPr>
              <w:t>Tensione massima di carica</w:t>
            </w:r>
          </w:p>
        </w:tc>
        <w:tc>
          <w:tcPr>
            <w:tcW w:w="5387" w:type="dxa"/>
            <w:shd w:val="clear" w:color="auto" w:fill="auto"/>
          </w:tcPr>
          <w:p w:rsidR="00C01A94" w:rsidRPr="004B4203" w:rsidRDefault="00C52DCC" w:rsidP="00D321F1">
            <w:pPr>
              <w:spacing w:before="120" w:after="12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D321F1">
            <w:pPr>
              <w:spacing w:before="120" w:after="120" w:line="240" w:lineRule="atLeast"/>
              <w:jc w:val="center"/>
              <w:rPr>
                <w:rFonts w:cs="Arial"/>
                <w:sz w:val="18"/>
                <w:szCs w:val="18"/>
              </w:rPr>
            </w:pPr>
          </w:p>
        </w:tc>
        <w:tc>
          <w:tcPr>
            <w:tcW w:w="1276" w:type="dxa"/>
          </w:tcPr>
          <w:p w:rsidR="00C01A94" w:rsidRPr="00304E7F" w:rsidRDefault="00C01A94" w:rsidP="00D321F1">
            <w:pPr>
              <w:spacing w:before="120" w:after="120" w:line="240" w:lineRule="atLeast"/>
              <w:jc w:val="center"/>
              <w:rPr>
                <w:rFonts w:cs="Arial"/>
                <w:sz w:val="18"/>
                <w:szCs w:val="18"/>
              </w:rPr>
            </w:pPr>
            <w:r>
              <w:rPr>
                <w:sz w:val="18"/>
              </w:rPr>
              <w:t>7.10.2018</w:t>
            </w:r>
          </w:p>
        </w:tc>
      </w:tr>
      <w:tr w:rsidR="00C01A94" w:rsidRPr="00C903F8" w:rsidTr="00A5358D">
        <w:trPr>
          <w:cantSplit/>
          <w:jc w:val="center"/>
        </w:trPr>
        <w:tc>
          <w:tcPr>
            <w:tcW w:w="1342" w:type="dxa"/>
            <w:vMerge/>
            <w:shd w:val="clear" w:color="auto" w:fill="auto"/>
          </w:tcPr>
          <w:p w:rsidR="00C01A94" w:rsidRPr="008F6ABB" w:rsidRDefault="00C01A94" w:rsidP="00D321F1">
            <w:pPr>
              <w:spacing w:before="120" w:after="120" w:line="240" w:lineRule="atLeast"/>
              <w:rPr>
                <w:rFonts w:cs="Arial"/>
                <w:sz w:val="18"/>
                <w:szCs w:val="18"/>
              </w:rPr>
            </w:pPr>
          </w:p>
        </w:tc>
        <w:tc>
          <w:tcPr>
            <w:tcW w:w="1458" w:type="dxa"/>
            <w:shd w:val="clear" w:color="auto" w:fill="auto"/>
          </w:tcPr>
          <w:p w:rsidR="00C01A94" w:rsidRPr="004B4203" w:rsidRDefault="00C01A94" w:rsidP="00D321F1">
            <w:pPr>
              <w:spacing w:before="120" w:after="120" w:line="240" w:lineRule="atLeast"/>
              <w:rPr>
                <w:rFonts w:cs="Arial"/>
                <w:sz w:val="18"/>
                <w:szCs w:val="18"/>
              </w:rPr>
            </w:pPr>
            <w:r>
              <w:rPr>
                <w:sz w:val="18"/>
              </w:rPr>
              <w:t>paragrafo 15</w:t>
            </w:r>
          </w:p>
        </w:tc>
        <w:tc>
          <w:tcPr>
            <w:tcW w:w="3296" w:type="dxa"/>
            <w:shd w:val="clear" w:color="auto" w:fill="auto"/>
          </w:tcPr>
          <w:p w:rsidR="00C01A94" w:rsidRPr="001717EA" w:rsidRDefault="00C01A94" w:rsidP="00D321F1">
            <w:pPr>
              <w:spacing w:before="120" w:after="120" w:line="240" w:lineRule="atLeast"/>
              <w:ind w:left="0" w:firstLine="0"/>
              <w:rPr>
                <w:rFonts w:cs="Arial"/>
                <w:sz w:val="18"/>
                <w:szCs w:val="18"/>
              </w:rPr>
            </w:pPr>
            <w:r>
              <w:rPr>
                <w:sz w:val="18"/>
              </w:rPr>
              <w:t>Norme EN 62619 e EN 62620 per accumulatori agli ioni di litio</w:t>
            </w:r>
          </w:p>
        </w:tc>
        <w:tc>
          <w:tcPr>
            <w:tcW w:w="5387" w:type="dxa"/>
            <w:shd w:val="clear" w:color="auto" w:fill="auto"/>
          </w:tcPr>
          <w:p w:rsidR="00C01A94" w:rsidRPr="004B4203" w:rsidRDefault="00C01A94" w:rsidP="00D321F1">
            <w:pPr>
              <w:spacing w:before="120" w:after="12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D321F1">
            <w:pPr>
              <w:spacing w:before="120" w:after="120" w:line="240" w:lineRule="atLeast"/>
              <w:jc w:val="center"/>
              <w:rPr>
                <w:rFonts w:cs="Arial"/>
                <w:sz w:val="18"/>
                <w:szCs w:val="18"/>
              </w:rPr>
            </w:pPr>
          </w:p>
        </w:tc>
        <w:tc>
          <w:tcPr>
            <w:tcW w:w="1276" w:type="dxa"/>
          </w:tcPr>
          <w:p w:rsidR="00C01A94" w:rsidRPr="00304E7F" w:rsidRDefault="00C01A94" w:rsidP="00D321F1">
            <w:pPr>
              <w:spacing w:before="120" w:after="120" w:line="240" w:lineRule="atLeast"/>
              <w:jc w:val="center"/>
              <w:rPr>
                <w:rFonts w:cs="Arial"/>
                <w:sz w:val="18"/>
                <w:szCs w:val="18"/>
              </w:rPr>
            </w:pPr>
            <w:r>
              <w:rPr>
                <w:sz w:val="18"/>
              </w:rPr>
              <w:t>7.10.2018</w:t>
            </w:r>
          </w:p>
        </w:tc>
      </w:tr>
      <w:tr w:rsidR="00C01A94" w:rsidRPr="00C903F8" w:rsidTr="00C52DCC">
        <w:trPr>
          <w:cantSplit/>
          <w:jc w:val="center"/>
        </w:trPr>
        <w:tc>
          <w:tcPr>
            <w:tcW w:w="1342" w:type="dxa"/>
            <w:vMerge/>
            <w:tcBorders>
              <w:bottom w:val="single" w:sz="4" w:space="0" w:color="auto"/>
            </w:tcBorders>
            <w:shd w:val="clear" w:color="auto" w:fill="auto"/>
            <w:vAlign w:val="center"/>
          </w:tcPr>
          <w:p w:rsidR="00C01A94" w:rsidRPr="008F6ABB" w:rsidRDefault="00C01A94" w:rsidP="00D321F1">
            <w:pPr>
              <w:spacing w:before="120" w:after="120" w:line="240" w:lineRule="atLeast"/>
              <w:rPr>
                <w:rFonts w:cs="Arial"/>
                <w:sz w:val="18"/>
                <w:szCs w:val="18"/>
              </w:rPr>
            </w:pPr>
          </w:p>
        </w:tc>
        <w:tc>
          <w:tcPr>
            <w:tcW w:w="1458" w:type="dxa"/>
            <w:tcBorders>
              <w:bottom w:val="single" w:sz="4" w:space="0" w:color="auto"/>
            </w:tcBorders>
            <w:shd w:val="clear" w:color="auto" w:fill="auto"/>
            <w:vAlign w:val="center"/>
          </w:tcPr>
          <w:p w:rsidR="00C01A94" w:rsidRPr="004B4203" w:rsidRDefault="00C01A94" w:rsidP="00D321F1">
            <w:pPr>
              <w:spacing w:before="120" w:after="120" w:line="240" w:lineRule="atLeast"/>
              <w:rPr>
                <w:rFonts w:cs="Arial"/>
                <w:sz w:val="18"/>
                <w:szCs w:val="18"/>
              </w:rPr>
            </w:pPr>
            <w:r>
              <w:rPr>
                <w:sz w:val="18"/>
              </w:rPr>
              <w:t>paragrafo 16</w:t>
            </w:r>
          </w:p>
        </w:tc>
        <w:tc>
          <w:tcPr>
            <w:tcW w:w="3296" w:type="dxa"/>
            <w:tcBorders>
              <w:bottom w:val="single" w:sz="4" w:space="0" w:color="auto"/>
            </w:tcBorders>
            <w:shd w:val="clear" w:color="auto" w:fill="auto"/>
          </w:tcPr>
          <w:p w:rsidR="00C01A94" w:rsidRPr="001717EA" w:rsidRDefault="00C01A94" w:rsidP="00D321F1">
            <w:pPr>
              <w:spacing w:before="120" w:after="120" w:line="240" w:lineRule="atLeast"/>
              <w:ind w:left="0" w:firstLine="0"/>
              <w:rPr>
                <w:rFonts w:cs="Arial"/>
                <w:sz w:val="18"/>
                <w:szCs w:val="18"/>
              </w:rPr>
            </w:pPr>
            <w:r>
              <w:rPr>
                <w:sz w:val="18"/>
              </w:rPr>
              <w:t>Sistema di gestione degli accumulatori</w:t>
            </w:r>
          </w:p>
        </w:tc>
        <w:tc>
          <w:tcPr>
            <w:tcW w:w="5387" w:type="dxa"/>
            <w:tcBorders>
              <w:bottom w:val="single" w:sz="4" w:space="0" w:color="auto"/>
            </w:tcBorders>
            <w:shd w:val="clear" w:color="auto" w:fill="auto"/>
          </w:tcPr>
          <w:p w:rsidR="00C01A94" w:rsidRPr="004B4203" w:rsidRDefault="00C52DCC" w:rsidP="00D321F1">
            <w:pPr>
              <w:spacing w:before="120" w:after="120" w:line="240" w:lineRule="atLeast"/>
              <w:ind w:left="0" w:firstLine="0"/>
              <w:rPr>
                <w:rFonts w:cs="Arial"/>
                <w:sz w:val="18"/>
                <w:szCs w:val="18"/>
              </w:rPr>
            </w:pPr>
            <w:r>
              <w:rPr>
                <w:sz w:val="18"/>
              </w:rPr>
              <w:t>N.S.T</w:t>
            </w:r>
          </w:p>
        </w:tc>
        <w:tc>
          <w:tcPr>
            <w:tcW w:w="1276" w:type="dxa"/>
            <w:tcBorders>
              <w:bottom w:val="single" w:sz="4" w:space="0" w:color="auto"/>
            </w:tcBorders>
            <w:shd w:val="clear" w:color="auto" w:fill="auto"/>
          </w:tcPr>
          <w:p w:rsidR="00C01A94" w:rsidRPr="004B4203" w:rsidRDefault="00C01A94" w:rsidP="00D321F1">
            <w:pPr>
              <w:spacing w:before="120" w:after="120" w:line="240" w:lineRule="atLeast"/>
              <w:jc w:val="center"/>
              <w:rPr>
                <w:rFonts w:cs="Arial"/>
                <w:sz w:val="18"/>
                <w:szCs w:val="18"/>
              </w:rPr>
            </w:pPr>
          </w:p>
        </w:tc>
        <w:tc>
          <w:tcPr>
            <w:tcW w:w="1276" w:type="dxa"/>
            <w:tcBorders>
              <w:bottom w:val="single" w:sz="4" w:space="0" w:color="auto"/>
            </w:tcBorders>
          </w:tcPr>
          <w:p w:rsidR="00C01A94" w:rsidRPr="00304E7F" w:rsidRDefault="00C01A94" w:rsidP="00D321F1">
            <w:pPr>
              <w:spacing w:before="120" w:after="120" w:line="240" w:lineRule="atLeast"/>
              <w:jc w:val="center"/>
              <w:rPr>
                <w:rFonts w:cs="Arial"/>
                <w:sz w:val="18"/>
                <w:szCs w:val="18"/>
              </w:rPr>
            </w:pPr>
            <w:r>
              <w:rPr>
                <w:sz w:val="18"/>
              </w:rPr>
              <w:t>7.10.2018</w:t>
            </w:r>
          </w:p>
        </w:tc>
      </w:tr>
      <w:tr w:rsidR="00C01A94" w:rsidRPr="00C903F8" w:rsidTr="00A5358D">
        <w:trPr>
          <w:cantSplit/>
          <w:jc w:val="center"/>
        </w:trPr>
        <w:tc>
          <w:tcPr>
            <w:tcW w:w="1342" w:type="dxa"/>
            <w:vMerge w:val="restart"/>
            <w:shd w:val="clear" w:color="auto" w:fill="auto"/>
          </w:tcPr>
          <w:p w:rsidR="00C01A94" w:rsidRPr="008F6ABB" w:rsidRDefault="00C52DCC" w:rsidP="00A5038C">
            <w:pPr>
              <w:spacing w:before="80" w:after="80" w:line="240" w:lineRule="atLeast"/>
              <w:rPr>
                <w:rFonts w:cs="Arial"/>
                <w:sz w:val="18"/>
                <w:szCs w:val="18"/>
              </w:rPr>
            </w:pPr>
            <w:r>
              <w:rPr>
                <w:sz w:val="18"/>
              </w:rPr>
              <w:t>10.15</w:t>
            </w:r>
          </w:p>
        </w:tc>
        <w:tc>
          <w:tcPr>
            <w:tcW w:w="1458" w:type="dxa"/>
            <w:shd w:val="clear" w:color="auto" w:fill="auto"/>
          </w:tcPr>
          <w:p w:rsidR="00C01A94" w:rsidRPr="004B4203" w:rsidRDefault="00C01A94" w:rsidP="00A5038C">
            <w:pPr>
              <w:spacing w:before="80" w:after="80" w:line="240" w:lineRule="atLeast"/>
              <w:ind w:left="0" w:firstLine="0"/>
              <w:jc w:val="left"/>
              <w:rPr>
                <w:rFonts w:cs="Arial"/>
                <w:sz w:val="18"/>
                <w:szCs w:val="18"/>
              </w:rPr>
            </w:pPr>
            <w:r>
              <w:rPr>
                <w:sz w:val="18"/>
              </w:rPr>
              <w:t>paragrafo 11</w:t>
            </w:r>
          </w:p>
        </w:tc>
        <w:tc>
          <w:tcPr>
            <w:tcW w:w="3296" w:type="dxa"/>
            <w:shd w:val="clear" w:color="auto" w:fill="auto"/>
          </w:tcPr>
          <w:p w:rsidR="00C01A94" w:rsidRPr="00F9107C" w:rsidRDefault="00C01A94" w:rsidP="00A5038C">
            <w:pPr>
              <w:spacing w:before="80" w:after="80" w:line="240" w:lineRule="atLeast"/>
              <w:ind w:left="0" w:firstLine="0"/>
              <w:rPr>
                <w:rFonts w:cs="Arial"/>
                <w:sz w:val="18"/>
                <w:szCs w:val="18"/>
              </w:rPr>
            </w:pPr>
            <w:r>
              <w:rPr>
                <w:sz w:val="18"/>
              </w:rPr>
              <w:t>Passaggi di gruppi di cavi</w:t>
            </w:r>
          </w:p>
        </w:tc>
        <w:tc>
          <w:tcPr>
            <w:tcW w:w="5387" w:type="dxa"/>
            <w:shd w:val="clear" w:color="auto" w:fill="auto"/>
          </w:tcPr>
          <w:p w:rsidR="00C01A94" w:rsidRPr="004B4203" w:rsidRDefault="00EC1301" w:rsidP="00A5038C">
            <w:pPr>
              <w:spacing w:before="80" w:after="8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A5038C">
            <w:pPr>
              <w:spacing w:before="80" w:after="80" w:line="240" w:lineRule="atLeast"/>
              <w:jc w:val="center"/>
              <w:rPr>
                <w:rFonts w:cs="Arial"/>
                <w:sz w:val="18"/>
                <w:szCs w:val="18"/>
              </w:rPr>
            </w:pPr>
          </w:p>
        </w:tc>
        <w:tc>
          <w:tcPr>
            <w:tcW w:w="1276" w:type="dxa"/>
          </w:tcPr>
          <w:p w:rsidR="00C01A94" w:rsidRPr="00304E7F" w:rsidRDefault="00C01A94" w:rsidP="00A5038C">
            <w:pPr>
              <w:spacing w:before="80" w:after="80" w:line="240" w:lineRule="atLeast"/>
              <w:jc w:val="center"/>
              <w:rPr>
                <w:rFonts w:cs="Arial"/>
                <w:sz w:val="18"/>
                <w:szCs w:val="18"/>
              </w:rPr>
            </w:pPr>
            <w:r>
              <w:rPr>
                <w:sz w:val="18"/>
              </w:rPr>
              <w:t>7.10.2018</w:t>
            </w:r>
          </w:p>
        </w:tc>
      </w:tr>
      <w:tr w:rsidR="00C01A94" w:rsidRPr="00C903F8" w:rsidTr="00A5358D">
        <w:trPr>
          <w:cantSplit/>
          <w:jc w:val="center"/>
        </w:trPr>
        <w:tc>
          <w:tcPr>
            <w:tcW w:w="1342" w:type="dxa"/>
            <w:vMerge/>
            <w:shd w:val="clear" w:color="auto" w:fill="auto"/>
          </w:tcPr>
          <w:p w:rsidR="00C01A94" w:rsidRPr="008F6ABB" w:rsidRDefault="00C01A94" w:rsidP="00A5038C">
            <w:pPr>
              <w:spacing w:before="80" w:after="80" w:line="240" w:lineRule="atLeast"/>
              <w:rPr>
                <w:rFonts w:cs="Arial"/>
                <w:sz w:val="18"/>
                <w:szCs w:val="18"/>
              </w:rPr>
            </w:pPr>
          </w:p>
        </w:tc>
        <w:tc>
          <w:tcPr>
            <w:tcW w:w="1458" w:type="dxa"/>
            <w:shd w:val="clear" w:color="auto" w:fill="auto"/>
          </w:tcPr>
          <w:p w:rsidR="00C01A94" w:rsidRPr="004B4203" w:rsidRDefault="00C01A94" w:rsidP="00A5038C">
            <w:pPr>
              <w:spacing w:before="80" w:after="80" w:line="240" w:lineRule="atLeast"/>
              <w:ind w:left="0" w:firstLine="0"/>
              <w:jc w:val="left"/>
              <w:rPr>
                <w:rFonts w:cs="Arial"/>
                <w:sz w:val="18"/>
                <w:szCs w:val="18"/>
              </w:rPr>
            </w:pPr>
            <w:r>
              <w:rPr>
                <w:sz w:val="18"/>
              </w:rPr>
              <w:t>paragrafo 12</w:t>
            </w:r>
          </w:p>
        </w:tc>
        <w:tc>
          <w:tcPr>
            <w:tcW w:w="3296" w:type="dxa"/>
            <w:shd w:val="clear" w:color="auto" w:fill="auto"/>
          </w:tcPr>
          <w:p w:rsidR="00C01A94" w:rsidRPr="00F9107C" w:rsidRDefault="00C01A94" w:rsidP="00A5038C">
            <w:pPr>
              <w:spacing w:before="80" w:after="80" w:line="240" w:lineRule="atLeast"/>
              <w:ind w:left="0" w:firstLine="0"/>
              <w:rPr>
                <w:rFonts w:cs="Arial"/>
                <w:sz w:val="18"/>
                <w:szCs w:val="18"/>
              </w:rPr>
            </w:pPr>
            <w:r>
              <w:rPr>
                <w:sz w:val="18"/>
              </w:rPr>
              <w:t>Cavi da una fonte di alimentazione elettrica di emergenza alle utenze</w:t>
            </w:r>
          </w:p>
        </w:tc>
        <w:tc>
          <w:tcPr>
            <w:tcW w:w="5387" w:type="dxa"/>
            <w:shd w:val="clear" w:color="auto" w:fill="auto"/>
          </w:tcPr>
          <w:p w:rsidR="00C01A94" w:rsidRPr="004B4203" w:rsidRDefault="00EC1301" w:rsidP="00A5038C">
            <w:pPr>
              <w:spacing w:before="80" w:after="8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A5038C">
            <w:pPr>
              <w:spacing w:before="80" w:after="80" w:line="240" w:lineRule="atLeast"/>
              <w:jc w:val="center"/>
              <w:rPr>
                <w:rFonts w:cs="Arial"/>
                <w:sz w:val="18"/>
                <w:szCs w:val="18"/>
              </w:rPr>
            </w:pPr>
          </w:p>
        </w:tc>
        <w:tc>
          <w:tcPr>
            <w:tcW w:w="1276" w:type="dxa"/>
          </w:tcPr>
          <w:p w:rsidR="00C01A94" w:rsidRPr="00304E7F" w:rsidRDefault="00C01A94" w:rsidP="00A5038C">
            <w:pPr>
              <w:spacing w:before="80" w:after="80" w:line="240" w:lineRule="atLeast"/>
              <w:jc w:val="center"/>
              <w:rPr>
                <w:rFonts w:cs="Arial"/>
                <w:sz w:val="18"/>
                <w:szCs w:val="18"/>
              </w:rPr>
            </w:pPr>
            <w:r>
              <w:rPr>
                <w:sz w:val="18"/>
              </w:rPr>
              <w:t>7.10.2018</w:t>
            </w:r>
          </w:p>
        </w:tc>
      </w:tr>
      <w:tr w:rsidR="00C01A94" w:rsidRPr="00C903F8" w:rsidTr="00A5358D">
        <w:trPr>
          <w:cantSplit/>
          <w:jc w:val="center"/>
        </w:trPr>
        <w:tc>
          <w:tcPr>
            <w:tcW w:w="1342" w:type="dxa"/>
            <w:vMerge/>
            <w:shd w:val="clear" w:color="auto" w:fill="auto"/>
          </w:tcPr>
          <w:p w:rsidR="00C01A94" w:rsidRPr="008F6ABB" w:rsidRDefault="00C01A94" w:rsidP="00A5038C">
            <w:pPr>
              <w:spacing w:before="80" w:after="80" w:line="240" w:lineRule="atLeast"/>
              <w:rPr>
                <w:rFonts w:cs="Arial"/>
                <w:sz w:val="18"/>
                <w:szCs w:val="18"/>
              </w:rPr>
            </w:pPr>
          </w:p>
        </w:tc>
        <w:tc>
          <w:tcPr>
            <w:tcW w:w="1458" w:type="dxa"/>
            <w:shd w:val="clear" w:color="auto" w:fill="auto"/>
          </w:tcPr>
          <w:p w:rsidR="00C01A94" w:rsidRPr="004B4203" w:rsidRDefault="00C01A94" w:rsidP="00A5038C">
            <w:pPr>
              <w:spacing w:before="80" w:after="80" w:line="240" w:lineRule="atLeast"/>
              <w:ind w:left="0" w:firstLine="0"/>
              <w:jc w:val="left"/>
              <w:rPr>
                <w:rFonts w:cs="Arial"/>
                <w:sz w:val="18"/>
                <w:szCs w:val="18"/>
              </w:rPr>
            </w:pPr>
            <w:r>
              <w:rPr>
                <w:sz w:val="18"/>
              </w:rPr>
              <w:t>paragrafo 13</w:t>
            </w:r>
          </w:p>
        </w:tc>
        <w:tc>
          <w:tcPr>
            <w:tcW w:w="3296" w:type="dxa"/>
            <w:shd w:val="clear" w:color="auto" w:fill="auto"/>
          </w:tcPr>
          <w:p w:rsidR="00C01A94" w:rsidRPr="00F9107C" w:rsidRDefault="00C01A94" w:rsidP="00A5038C">
            <w:pPr>
              <w:spacing w:before="80" w:after="80" w:line="240" w:lineRule="atLeast"/>
              <w:ind w:left="0" w:firstLine="0"/>
              <w:rPr>
                <w:rFonts w:cs="Arial"/>
                <w:sz w:val="18"/>
                <w:szCs w:val="18"/>
              </w:rPr>
            </w:pPr>
            <w:r>
              <w:rPr>
                <w:sz w:val="18"/>
              </w:rPr>
              <w:t>Cavo in zone con temperature ambiente elevate</w:t>
            </w:r>
          </w:p>
        </w:tc>
        <w:tc>
          <w:tcPr>
            <w:tcW w:w="5387" w:type="dxa"/>
            <w:shd w:val="clear" w:color="auto" w:fill="auto"/>
          </w:tcPr>
          <w:p w:rsidR="00C01A94" w:rsidRPr="004B4203" w:rsidRDefault="00EC1301" w:rsidP="00A5038C">
            <w:pPr>
              <w:spacing w:before="80" w:after="8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A5038C">
            <w:pPr>
              <w:spacing w:before="80" w:after="80" w:line="240" w:lineRule="atLeast"/>
              <w:jc w:val="center"/>
              <w:rPr>
                <w:rFonts w:cs="Arial"/>
                <w:sz w:val="18"/>
                <w:szCs w:val="18"/>
              </w:rPr>
            </w:pPr>
          </w:p>
        </w:tc>
        <w:tc>
          <w:tcPr>
            <w:tcW w:w="1276" w:type="dxa"/>
          </w:tcPr>
          <w:p w:rsidR="00C01A94" w:rsidRPr="00304E7F" w:rsidRDefault="00C01A94" w:rsidP="00A5038C">
            <w:pPr>
              <w:spacing w:before="80" w:after="80" w:line="240" w:lineRule="atLeast"/>
              <w:jc w:val="center"/>
              <w:rPr>
                <w:rFonts w:cs="Arial"/>
                <w:sz w:val="18"/>
                <w:szCs w:val="18"/>
              </w:rPr>
            </w:pPr>
            <w:r>
              <w:rPr>
                <w:sz w:val="18"/>
              </w:rPr>
              <w:t>7.10.2018</w:t>
            </w:r>
          </w:p>
        </w:tc>
      </w:tr>
      <w:tr w:rsidR="00C01A94" w:rsidRPr="00C903F8" w:rsidTr="00A5358D">
        <w:trPr>
          <w:cantSplit/>
          <w:jc w:val="center"/>
        </w:trPr>
        <w:tc>
          <w:tcPr>
            <w:tcW w:w="1342" w:type="dxa"/>
            <w:vMerge/>
            <w:tcBorders>
              <w:bottom w:val="nil"/>
            </w:tcBorders>
            <w:shd w:val="clear" w:color="auto" w:fill="auto"/>
          </w:tcPr>
          <w:p w:rsidR="00C01A94" w:rsidRPr="008F6ABB" w:rsidRDefault="00C01A94" w:rsidP="00A5038C">
            <w:pPr>
              <w:spacing w:before="80" w:after="80" w:line="240" w:lineRule="atLeast"/>
              <w:rPr>
                <w:rFonts w:cs="Arial"/>
                <w:sz w:val="18"/>
                <w:szCs w:val="18"/>
              </w:rPr>
            </w:pPr>
          </w:p>
        </w:tc>
        <w:tc>
          <w:tcPr>
            <w:tcW w:w="1458" w:type="dxa"/>
            <w:shd w:val="clear" w:color="auto" w:fill="auto"/>
          </w:tcPr>
          <w:p w:rsidR="00C01A94" w:rsidRPr="004B4203" w:rsidRDefault="00C01A94" w:rsidP="00A5038C">
            <w:pPr>
              <w:spacing w:before="80" w:after="80" w:line="240" w:lineRule="atLeast"/>
              <w:ind w:left="0" w:firstLine="0"/>
              <w:jc w:val="left"/>
              <w:rPr>
                <w:rFonts w:cs="Arial"/>
                <w:sz w:val="18"/>
                <w:szCs w:val="18"/>
              </w:rPr>
            </w:pPr>
            <w:r>
              <w:rPr>
                <w:sz w:val="18"/>
              </w:rPr>
              <w:t>paragrafo 14</w:t>
            </w:r>
          </w:p>
        </w:tc>
        <w:tc>
          <w:tcPr>
            <w:tcW w:w="3296" w:type="dxa"/>
            <w:shd w:val="clear" w:color="auto" w:fill="auto"/>
          </w:tcPr>
          <w:p w:rsidR="00C01A94" w:rsidRPr="00F9107C" w:rsidRDefault="00C01A94" w:rsidP="00A5038C">
            <w:pPr>
              <w:spacing w:before="80" w:after="80" w:line="240" w:lineRule="atLeast"/>
              <w:ind w:left="0" w:firstLine="0"/>
              <w:rPr>
                <w:rFonts w:cs="Arial"/>
                <w:sz w:val="18"/>
                <w:szCs w:val="18"/>
              </w:rPr>
            </w:pPr>
            <w:r>
              <w:rPr>
                <w:sz w:val="18"/>
              </w:rPr>
              <w:t>Installazione dei cavi di alimentazione elettrica principale e di emergenza</w:t>
            </w:r>
          </w:p>
        </w:tc>
        <w:tc>
          <w:tcPr>
            <w:tcW w:w="5387" w:type="dxa"/>
            <w:shd w:val="clear" w:color="auto" w:fill="auto"/>
          </w:tcPr>
          <w:p w:rsidR="00C01A94" w:rsidRPr="004B4203" w:rsidRDefault="00EC1301" w:rsidP="00A5038C">
            <w:pPr>
              <w:spacing w:before="80" w:after="8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A5038C">
            <w:pPr>
              <w:spacing w:before="80" w:after="80" w:line="240" w:lineRule="atLeast"/>
              <w:jc w:val="center"/>
              <w:rPr>
                <w:rFonts w:cs="Arial"/>
                <w:sz w:val="18"/>
                <w:szCs w:val="18"/>
              </w:rPr>
            </w:pPr>
          </w:p>
        </w:tc>
        <w:tc>
          <w:tcPr>
            <w:tcW w:w="1276" w:type="dxa"/>
          </w:tcPr>
          <w:p w:rsidR="00C01A94" w:rsidRPr="00304E7F" w:rsidRDefault="00C01A94" w:rsidP="00A5038C">
            <w:pPr>
              <w:spacing w:before="80" w:after="80" w:line="240" w:lineRule="atLeast"/>
              <w:jc w:val="center"/>
              <w:rPr>
                <w:rFonts w:cs="Arial"/>
                <w:sz w:val="18"/>
                <w:szCs w:val="18"/>
              </w:rPr>
            </w:pPr>
            <w:r>
              <w:rPr>
                <w:sz w:val="18"/>
              </w:rPr>
              <w:t>7.10.2018</w:t>
            </w:r>
          </w:p>
        </w:tc>
      </w:tr>
      <w:tr w:rsidR="00C01A94" w:rsidRPr="00C903F8" w:rsidTr="00A5358D">
        <w:trPr>
          <w:cantSplit/>
          <w:jc w:val="center"/>
        </w:trPr>
        <w:tc>
          <w:tcPr>
            <w:tcW w:w="1342" w:type="dxa"/>
            <w:vMerge w:val="restart"/>
            <w:shd w:val="clear" w:color="auto" w:fill="auto"/>
          </w:tcPr>
          <w:p w:rsidR="00C01A94" w:rsidRPr="004B4203" w:rsidRDefault="00C01A94" w:rsidP="00D321F1">
            <w:pPr>
              <w:spacing w:before="120" w:after="120" w:line="240" w:lineRule="atLeast"/>
              <w:rPr>
                <w:rFonts w:cs="Arial"/>
                <w:sz w:val="18"/>
                <w:szCs w:val="18"/>
              </w:rPr>
            </w:pPr>
            <w:r>
              <w:rPr>
                <w:sz w:val="18"/>
              </w:rPr>
              <w:t xml:space="preserve">10.18 </w:t>
            </w:r>
          </w:p>
        </w:tc>
        <w:tc>
          <w:tcPr>
            <w:tcW w:w="1458" w:type="dxa"/>
            <w:shd w:val="clear" w:color="auto" w:fill="auto"/>
          </w:tcPr>
          <w:p w:rsidR="00C01A94" w:rsidRPr="00852DB3" w:rsidRDefault="00C01A94" w:rsidP="00D321F1">
            <w:pPr>
              <w:spacing w:before="120" w:after="120" w:line="240" w:lineRule="atLeast"/>
              <w:rPr>
                <w:rFonts w:cs="Arial"/>
                <w:sz w:val="18"/>
                <w:szCs w:val="18"/>
              </w:rPr>
            </w:pPr>
            <w:r>
              <w:rPr>
                <w:sz w:val="18"/>
              </w:rPr>
              <w:t>paragrafo 1</w:t>
            </w:r>
          </w:p>
        </w:tc>
        <w:tc>
          <w:tcPr>
            <w:tcW w:w="3296" w:type="dxa"/>
            <w:shd w:val="clear" w:color="auto" w:fill="auto"/>
          </w:tcPr>
          <w:p w:rsidR="00C01A94" w:rsidRPr="001717EA" w:rsidRDefault="00C01A94" w:rsidP="00D321F1">
            <w:pPr>
              <w:spacing w:before="120" w:after="120" w:line="240" w:lineRule="atLeast"/>
              <w:ind w:left="0" w:firstLine="0"/>
              <w:rPr>
                <w:rFonts w:cs="Arial"/>
                <w:sz w:val="18"/>
                <w:szCs w:val="18"/>
              </w:rPr>
            </w:pPr>
            <w:r>
              <w:rPr>
                <w:sz w:val="18"/>
              </w:rPr>
              <w:t>Dispositivo per la disconnessione dalla rete</w:t>
            </w:r>
          </w:p>
        </w:tc>
        <w:tc>
          <w:tcPr>
            <w:tcW w:w="5387" w:type="dxa"/>
            <w:shd w:val="clear" w:color="auto" w:fill="auto"/>
          </w:tcPr>
          <w:p w:rsidR="00C01A94" w:rsidRPr="00C408A4" w:rsidRDefault="00EC1301" w:rsidP="00D321F1">
            <w:pPr>
              <w:spacing w:before="120" w:after="120" w:line="240" w:lineRule="atLeast"/>
              <w:ind w:left="0" w:firstLine="0"/>
              <w:rPr>
                <w:rFonts w:cs="Arial"/>
                <w:sz w:val="18"/>
                <w:szCs w:val="18"/>
              </w:rPr>
            </w:pPr>
            <w:r>
              <w:rPr>
                <w:sz w:val="18"/>
              </w:rPr>
              <w:t>N.S.T</w:t>
            </w:r>
          </w:p>
        </w:tc>
        <w:tc>
          <w:tcPr>
            <w:tcW w:w="1276" w:type="dxa"/>
            <w:shd w:val="clear" w:color="auto" w:fill="auto"/>
          </w:tcPr>
          <w:p w:rsidR="00C01A94" w:rsidRPr="00852DB3" w:rsidRDefault="00C01A94" w:rsidP="00D321F1">
            <w:pPr>
              <w:spacing w:before="120" w:after="120" w:line="240" w:lineRule="atLeast"/>
              <w:jc w:val="center"/>
              <w:rPr>
                <w:rFonts w:cs="Arial"/>
                <w:sz w:val="18"/>
                <w:szCs w:val="18"/>
              </w:rPr>
            </w:pPr>
          </w:p>
        </w:tc>
        <w:tc>
          <w:tcPr>
            <w:tcW w:w="1276" w:type="dxa"/>
          </w:tcPr>
          <w:p w:rsidR="00C01A94" w:rsidRPr="004B4203" w:rsidRDefault="00C01A94" w:rsidP="00D321F1">
            <w:pPr>
              <w:spacing w:before="120" w:after="120" w:line="240" w:lineRule="atLeast"/>
              <w:jc w:val="center"/>
              <w:rPr>
                <w:rFonts w:cs="Arial"/>
                <w:sz w:val="18"/>
                <w:szCs w:val="18"/>
              </w:rPr>
            </w:pPr>
            <w:r>
              <w:rPr>
                <w:sz w:val="18"/>
              </w:rPr>
              <w:t>7.10.2018</w:t>
            </w:r>
          </w:p>
        </w:tc>
      </w:tr>
      <w:tr w:rsidR="00C01A94" w:rsidRPr="00C903F8" w:rsidTr="00A5358D">
        <w:trPr>
          <w:cantSplit/>
          <w:jc w:val="center"/>
        </w:trPr>
        <w:tc>
          <w:tcPr>
            <w:tcW w:w="1342" w:type="dxa"/>
            <w:vMerge/>
            <w:shd w:val="clear" w:color="auto" w:fill="auto"/>
          </w:tcPr>
          <w:p w:rsidR="00C01A94" w:rsidRPr="008F6ABB" w:rsidRDefault="00C01A94" w:rsidP="00C01A94">
            <w:pPr>
              <w:spacing w:before="60" w:after="60" w:line="240" w:lineRule="atLeast"/>
              <w:rPr>
                <w:rFonts w:cs="Arial"/>
                <w:sz w:val="18"/>
                <w:szCs w:val="18"/>
              </w:rPr>
            </w:pPr>
          </w:p>
        </w:tc>
        <w:tc>
          <w:tcPr>
            <w:tcW w:w="1458" w:type="dxa"/>
            <w:shd w:val="clear" w:color="auto" w:fill="auto"/>
          </w:tcPr>
          <w:p w:rsidR="00C01A94" w:rsidRPr="004B4203" w:rsidRDefault="00C01A94" w:rsidP="00C01A94">
            <w:pPr>
              <w:spacing w:before="60" w:after="60" w:line="240" w:lineRule="atLeast"/>
              <w:ind w:left="0" w:firstLine="0"/>
              <w:jc w:val="left"/>
              <w:rPr>
                <w:rFonts w:cs="Arial"/>
                <w:sz w:val="18"/>
                <w:szCs w:val="18"/>
              </w:rPr>
            </w:pPr>
            <w:r>
              <w:rPr>
                <w:sz w:val="18"/>
              </w:rPr>
              <w:t>paragrafo 2</w:t>
            </w:r>
          </w:p>
        </w:tc>
        <w:tc>
          <w:tcPr>
            <w:tcW w:w="3296" w:type="dxa"/>
            <w:shd w:val="clear" w:color="auto" w:fill="auto"/>
          </w:tcPr>
          <w:p w:rsidR="00C01A94" w:rsidRPr="00C408A4" w:rsidRDefault="00C01A94" w:rsidP="00C01A94">
            <w:pPr>
              <w:spacing w:before="60" w:after="60" w:line="240" w:lineRule="atLeast"/>
              <w:ind w:left="0" w:firstLine="0"/>
              <w:rPr>
                <w:rFonts w:cs="Arial"/>
                <w:sz w:val="18"/>
                <w:szCs w:val="18"/>
              </w:rPr>
            </w:pPr>
            <w:r>
              <w:rPr>
                <w:sz w:val="18"/>
              </w:rPr>
              <w:t>Accessibilità</w:t>
            </w:r>
          </w:p>
        </w:tc>
        <w:tc>
          <w:tcPr>
            <w:tcW w:w="5387" w:type="dxa"/>
            <w:shd w:val="clear" w:color="auto" w:fill="auto"/>
          </w:tcPr>
          <w:p w:rsidR="00C01A94" w:rsidRPr="00C408A4" w:rsidRDefault="00EC1301" w:rsidP="00C01A94">
            <w:pPr>
              <w:spacing w:before="60" w:after="6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C01A94">
            <w:pPr>
              <w:spacing w:before="60" w:after="60" w:line="240" w:lineRule="atLeast"/>
              <w:jc w:val="center"/>
              <w:rPr>
                <w:rFonts w:cs="Arial"/>
                <w:sz w:val="18"/>
                <w:szCs w:val="18"/>
              </w:rPr>
            </w:pPr>
          </w:p>
        </w:tc>
        <w:tc>
          <w:tcPr>
            <w:tcW w:w="1276" w:type="dxa"/>
          </w:tcPr>
          <w:p w:rsidR="00C01A94" w:rsidRPr="00304E7F" w:rsidRDefault="00C01A94" w:rsidP="00C01A94">
            <w:pPr>
              <w:spacing w:before="60" w:after="60" w:line="240" w:lineRule="atLeast"/>
              <w:jc w:val="center"/>
              <w:rPr>
                <w:rFonts w:cs="Arial"/>
                <w:sz w:val="18"/>
                <w:szCs w:val="18"/>
              </w:rPr>
            </w:pPr>
            <w:r>
              <w:rPr>
                <w:sz w:val="18"/>
              </w:rPr>
              <w:t>7.10.2018</w:t>
            </w:r>
          </w:p>
        </w:tc>
      </w:tr>
      <w:tr w:rsidR="00C01A94" w:rsidRPr="00C903F8" w:rsidTr="00A5358D">
        <w:trPr>
          <w:cantSplit/>
          <w:jc w:val="center"/>
        </w:trPr>
        <w:tc>
          <w:tcPr>
            <w:tcW w:w="1342" w:type="dxa"/>
            <w:vMerge/>
            <w:shd w:val="clear" w:color="auto" w:fill="auto"/>
          </w:tcPr>
          <w:p w:rsidR="00C01A94" w:rsidRPr="008F6ABB" w:rsidRDefault="00C01A94" w:rsidP="00C01A94">
            <w:pPr>
              <w:spacing w:before="60" w:after="60" w:line="240" w:lineRule="atLeast"/>
              <w:rPr>
                <w:rFonts w:cs="Arial"/>
                <w:sz w:val="18"/>
                <w:szCs w:val="18"/>
              </w:rPr>
            </w:pPr>
          </w:p>
        </w:tc>
        <w:tc>
          <w:tcPr>
            <w:tcW w:w="1458" w:type="dxa"/>
            <w:shd w:val="clear" w:color="auto" w:fill="auto"/>
          </w:tcPr>
          <w:p w:rsidR="00C01A94" w:rsidRPr="004B4203" w:rsidRDefault="00C01A94" w:rsidP="00C01A94">
            <w:pPr>
              <w:spacing w:before="60" w:after="60" w:line="240" w:lineRule="atLeast"/>
              <w:ind w:left="0" w:firstLine="0"/>
              <w:jc w:val="left"/>
              <w:rPr>
                <w:rFonts w:cs="Arial"/>
                <w:sz w:val="18"/>
                <w:szCs w:val="18"/>
              </w:rPr>
            </w:pPr>
            <w:r>
              <w:rPr>
                <w:sz w:val="18"/>
              </w:rPr>
              <w:t>paragrafo 3</w:t>
            </w:r>
          </w:p>
        </w:tc>
        <w:tc>
          <w:tcPr>
            <w:tcW w:w="3296" w:type="dxa"/>
            <w:shd w:val="clear" w:color="auto" w:fill="auto"/>
          </w:tcPr>
          <w:p w:rsidR="00C01A94" w:rsidRPr="00C408A4" w:rsidRDefault="00C01A94" w:rsidP="00C01A94">
            <w:pPr>
              <w:spacing w:before="60" w:after="60" w:line="240" w:lineRule="atLeast"/>
              <w:ind w:left="0" w:firstLine="0"/>
              <w:rPr>
                <w:rFonts w:cs="Arial"/>
                <w:sz w:val="18"/>
                <w:szCs w:val="18"/>
              </w:rPr>
            </w:pPr>
            <w:r>
              <w:rPr>
                <w:sz w:val="18"/>
              </w:rPr>
              <w:t>Separazione galvanica dei circuiti di comando e di potenza</w:t>
            </w:r>
          </w:p>
        </w:tc>
        <w:tc>
          <w:tcPr>
            <w:tcW w:w="5387" w:type="dxa"/>
            <w:shd w:val="clear" w:color="auto" w:fill="auto"/>
          </w:tcPr>
          <w:p w:rsidR="00C01A94" w:rsidRPr="00C408A4" w:rsidRDefault="00EC1301" w:rsidP="00C01A94">
            <w:pPr>
              <w:spacing w:before="60" w:after="6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C01A94">
            <w:pPr>
              <w:spacing w:before="60" w:after="60" w:line="240" w:lineRule="atLeast"/>
              <w:jc w:val="center"/>
              <w:rPr>
                <w:rFonts w:cs="Arial"/>
                <w:sz w:val="18"/>
                <w:szCs w:val="18"/>
              </w:rPr>
            </w:pPr>
          </w:p>
        </w:tc>
        <w:tc>
          <w:tcPr>
            <w:tcW w:w="1276" w:type="dxa"/>
          </w:tcPr>
          <w:p w:rsidR="00C01A94" w:rsidRPr="00304E7F" w:rsidRDefault="00C01A94" w:rsidP="00C01A94">
            <w:pPr>
              <w:spacing w:before="60" w:after="60" w:line="240" w:lineRule="atLeast"/>
              <w:jc w:val="center"/>
              <w:rPr>
                <w:rFonts w:cs="Arial"/>
                <w:sz w:val="18"/>
                <w:szCs w:val="18"/>
              </w:rPr>
            </w:pPr>
            <w:r>
              <w:rPr>
                <w:sz w:val="18"/>
              </w:rPr>
              <w:t>7.10.2018</w:t>
            </w:r>
          </w:p>
        </w:tc>
      </w:tr>
      <w:tr w:rsidR="00C01A94" w:rsidRPr="00C903F8" w:rsidTr="00A5358D">
        <w:trPr>
          <w:cantSplit/>
          <w:jc w:val="center"/>
        </w:trPr>
        <w:tc>
          <w:tcPr>
            <w:tcW w:w="1342" w:type="dxa"/>
            <w:vMerge/>
            <w:shd w:val="clear" w:color="auto" w:fill="auto"/>
          </w:tcPr>
          <w:p w:rsidR="00C01A94" w:rsidRPr="008F6ABB" w:rsidRDefault="00C01A94" w:rsidP="00C01A94">
            <w:pPr>
              <w:spacing w:before="60" w:after="60" w:line="240" w:lineRule="atLeast"/>
              <w:rPr>
                <w:rFonts w:cs="Arial"/>
                <w:sz w:val="18"/>
                <w:szCs w:val="18"/>
              </w:rPr>
            </w:pPr>
          </w:p>
        </w:tc>
        <w:tc>
          <w:tcPr>
            <w:tcW w:w="1458" w:type="dxa"/>
            <w:shd w:val="clear" w:color="auto" w:fill="auto"/>
          </w:tcPr>
          <w:p w:rsidR="00C01A94" w:rsidRPr="004B4203" w:rsidRDefault="00C01A94" w:rsidP="00C01A94">
            <w:pPr>
              <w:spacing w:before="60" w:after="60" w:line="240" w:lineRule="atLeast"/>
              <w:ind w:left="0" w:firstLine="0"/>
              <w:jc w:val="left"/>
              <w:rPr>
                <w:rFonts w:cs="Arial"/>
                <w:sz w:val="18"/>
                <w:szCs w:val="18"/>
              </w:rPr>
            </w:pPr>
            <w:r>
              <w:rPr>
                <w:sz w:val="18"/>
              </w:rPr>
              <w:t>paragrafo 4</w:t>
            </w:r>
          </w:p>
        </w:tc>
        <w:tc>
          <w:tcPr>
            <w:tcW w:w="3296" w:type="dxa"/>
            <w:shd w:val="clear" w:color="auto" w:fill="auto"/>
          </w:tcPr>
          <w:p w:rsidR="00C01A94" w:rsidRPr="00C408A4" w:rsidRDefault="00C01A94" w:rsidP="00C01A94">
            <w:pPr>
              <w:spacing w:before="60" w:after="60" w:line="240" w:lineRule="atLeast"/>
              <w:ind w:left="0" w:firstLine="0"/>
              <w:rPr>
                <w:rFonts w:cs="Arial"/>
                <w:sz w:val="18"/>
                <w:szCs w:val="18"/>
              </w:rPr>
            </w:pPr>
            <w:r>
              <w:rPr>
                <w:sz w:val="18"/>
              </w:rPr>
              <w:t>Funzionamento con variazioni di tensione e di frequenza</w:t>
            </w:r>
          </w:p>
        </w:tc>
        <w:tc>
          <w:tcPr>
            <w:tcW w:w="5387" w:type="dxa"/>
            <w:shd w:val="clear" w:color="auto" w:fill="auto"/>
          </w:tcPr>
          <w:p w:rsidR="00C01A94" w:rsidRPr="00C408A4" w:rsidRDefault="00EC1301" w:rsidP="00C01A94">
            <w:pPr>
              <w:spacing w:before="60" w:after="6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C01A94">
            <w:pPr>
              <w:spacing w:before="60" w:after="60" w:line="240" w:lineRule="atLeast"/>
              <w:jc w:val="center"/>
              <w:rPr>
                <w:rFonts w:cs="Arial"/>
                <w:sz w:val="18"/>
                <w:szCs w:val="18"/>
              </w:rPr>
            </w:pPr>
          </w:p>
        </w:tc>
        <w:tc>
          <w:tcPr>
            <w:tcW w:w="1276" w:type="dxa"/>
          </w:tcPr>
          <w:p w:rsidR="00C01A94" w:rsidRPr="00304E7F" w:rsidRDefault="00C01A94" w:rsidP="00C01A94">
            <w:pPr>
              <w:spacing w:before="60" w:after="60" w:line="240" w:lineRule="atLeast"/>
              <w:jc w:val="center"/>
              <w:rPr>
                <w:rFonts w:cs="Arial"/>
                <w:sz w:val="18"/>
                <w:szCs w:val="18"/>
              </w:rPr>
            </w:pPr>
            <w:r>
              <w:rPr>
                <w:sz w:val="18"/>
              </w:rPr>
              <w:t>7.10.2018</w:t>
            </w:r>
          </w:p>
        </w:tc>
      </w:tr>
      <w:tr w:rsidR="00C01A94" w:rsidRPr="00C903F8" w:rsidTr="00A5358D">
        <w:trPr>
          <w:cantSplit/>
          <w:jc w:val="center"/>
        </w:trPr>
        <w:tc>
          <w:tcPr>
            <w:tcW w:w="1342" w:type="dxa"/>
            <w:vMerge/>
            <w:shd w:val="clear" w:color="auto" w:fill="auto"/>
          </w:tcPr>
          <w:p w:rsidR="00C01A94" w:rsidRPr="008F6ABB" w:rsidRDefault="00C01A94" w:rsidP="00C01A94">
            <w:pPr>
              <w:spacing w:before="60" w:after="60" w:line="240" w:lineRule="atLeast"/>
              <w:rPr>
                <w:rFonts w:cs="Arial"/>
                <w:sz w:val="18"/>
                <w:szCs w:val="18"/>
              </w:rPr>
            </w:pPr>
          </w:p>
        </w:tc>
        <w:tc>
          <w:tcPr>
            <w:tcW w:w="1458" w:type="dxa"/>
            <w:shd w:val="clear" w:color="auto" w:fill="auto"/>
          </w:tcPr>
          <w:p w:rsidR="00C01A94" w:rsidRPr="004B4203" w:rsidRDefault="00C01A94" w:rsidP="00C01A94">
            <w:pPr>
              <w:spacing w:before="60" w:after="60" w:line="240" w:lineRule="atLeast"/>
              <w:ind w:left="0" w:firstLine="0"/>
              <w:jc w:val="left"/>
              <w:rPr>
                <w:rFonts w:cs="Arial"/>
                <w:sz w:val="18"/>
                <w:szCs w:val="18"/>
              </w:rPr>
            </w:pPr>
            <w:r>
              <w:rPr>
                <w:sz w:val="18"/>
              </w:rPr>
              <w:t>paragrafo 5</w:t>
            </w:r>
          </w:p>
        </w:tc>
        <w:tc>
          <w:tcPr>
            <w:tcW w:w="3296" w:type="dxa"/>
            <w:shd w:val="clear" w:color="auto" w:fill="auto"/>
          </w:tcPr>
          <w:p w:rsidR="00C01A94" w:rsidRPr="00C408A4" w:rsidRDefault="00C01A94" w:rsidP="00C01A94">
            <w:pPr>
              <w:spacing w:before="60" w:after="60" w:line="240" w:lineRule="atLeast"/>
              <w:ind w:left="0" w:firstLine="0"/>
              <w:rPr>
                <w:rFonts w:cs="Arial"/>
                <w:sz w:val="18"/>
                <w:szCs w:val="18"/>
              </w:rPr>
            </w:pPr>
            <w:r>
              <w:rPr>
                <w:sz w:val="18"/>
              </w:rPr>
              <w:t>Tempo di scarica in caso di disconnessione dalla rete</w:t>
            </w:r>
          </w:p>
        </w:tc>
        <w:tc>
          <w:tcPr>
            <w:tcW w:w="5387" w:type="dxa"/>
            <w:shd w:val="clear" w:color="auto" w:fill="auto"/>
          </w:tcPr>
          <w:p w:rsidR="00C01A94" w:rsidRPr="00C408A4" w:rsidRDefault="00EC1301" w:rsidP="00C01A94">
            <w:pPr>
              <w:spacing w:before="60" w:after="60" w:line="240" w:lineRule="atLeast"/>
              <w:ind w:left="0" w:firstLine="0"/>
              <w:rPr>
                <w:rFonts w:cs="Arial"/>
                <w:sz w:val="18"/>
                <w:szCs w:val="18"/>
              </w:rPr>
            </w:pPr>
            <w:r>
              <w:rPr>
                <w:sz w:val="18"/>
              </w:rPr>
              <w:t>N.S.T</w:t>
            </w:r>
          </w:p>
        </w:tc>
        <w:tc>
          <w:tcPr>
            <w:tcW w:w="1276" w:type="dxa"/>
            <w:shd w:val="clear" w:color="auto" w:fill="auto"/>
          </w:tcPr>
          <w:p w:rsidR="00C01A94" w:rsidRPr="00C408A4" w:rsidRDefault="00C01A94" w:rsidP="00C01A94">
            <w:pPr>
              <w:spacing w:before="60" w:after="60" w:line="240" w:lineRule="atLeast"/>
              <w:jc w:val="center"/>
              <w:rPr>
                <w:rFonts w:cs="Arial"/>
                <w:sz w:val="18"/>
                <w:szCs w:val="18"/>
              </w:rPr>
            </w:pPr>
          </w:p>
        </w:tc>
        <w:tc>
          <w:tcPr>
            <w:tcW w:w="1276" w:type="dxa"/>
          </w:tcPr>
          <w:p w:rsidR="00C01A94" w:rsidRPr="00304E7F" w:rsidRDefault="00C01A94" w:rsidP="00C01A94">
            <w:pPr>
              <w:spacing w:before="60" w:after="60" w:line="240" w:lineRule="atLeast"/>
              <w:jc w:val="center"/>
              <w:rPr>
                <w:rFonts w:cs="Arial"/>
                <w:sz w:val="18"/>
                <w:szCs w:val="18"/>
              </w:rPr>
            </w:pPr>
            <w:r>
              <w:rPr>
                <w:sz w:val="18"/>
              </w:rPr>
              <w:t>7.10.2018</w:t>
            </w:r>
          </w:p>
        </w:tc>
      </w:tr>
      <w:tr w:rsidR="00C01A94" w:rsidRPr="00C903F8" w:rsidTr="00A5358D">
        <w:trPr>
          <w:cantSplit/>
          <w:jc w:val="center"/>
        </w:trPr>
        <w:tc>
          <w:tcPr>
            <w:tcW w:w="1342" w:type="dxa"/>
            <w:vMerge/>
            <w:shd w:val="clear" w:color="auto" w:fill="auto"/>
          </w:tcPr>
          <w:p w:rsidR="00C01A94" w:rsidRPr="008F6ABB" w:rsidRDefault="00C01A94" w:rsidP="00C01A94">
            <w:pPr>
              <w:spacing w:before="60" w:after="60" w:line="240" w:lineRule="atLeast"/>
              <w:rPr>
                <w:rFonts w:cs="Arial"/>
                <w:sz w:val="18"/>
                <w:szCs w:val="18"/>
              </w:rPr>
            </w:pPr>
          </w:p>
        </w:tc>
        <w:tc>
          <w:tcPr>
            <w:tcW w:w="1458" w:type="dxa"/>
            <w:shd w:val="clear" w:color="auto" w:fill="auto"/>
          </w:tcPr>
          <w:p w:rsidR="00C01A94" w:rsidRPr="004B4203" w:rsidRDefault="00C01A94" w:rsidP="00C01A94">
            <w:pPr>
              <w:spacing w:before="60" w:after="60" w:line="240" w:lineRule="atLeast"/>
              <w:ind w:left="0" w:firstLine="0"/>
              <w:jc w:val="left"/>
              <w:rPr>
                <w:rFonts w:cs="Arial"/>
                <w:sz w:val="18"/>
                <w:szCs w:val="18"/>
              </w:rPr>
            </w:pPr>
            <w:r>
              <w:rPr>
                <w:sz w:val="18"/>
              </w:rPr>
              <w:t>paragrafo 6</w:t>
            </w:r>
          </w:p>
        </w:tc>
        <w:tc>
          <w:tcPr>
            <w:tcW w:w="3296" w:type="dxa"/>
            <w:shd w:val="clear" w:color="auto" w:fill="auto"/>
          </w:tcPr>
          <w:p w:rsidR="00C01A94" w:rsidRPr="00C408A4" w:rsidRDefault="00C01A94" w:rsidP="00C01A94">
            <w:pPr>
              <w:spacing w:before="60" w:after="60" w:line="240" w:lineRule="atLeast"/>
              <w:ind w:left="0" w:firstLine="0"/>
              <w:rPr>
                <w:rFonts w:cs="Arial"/>
                <w:sz w:val="18"/>
                <w:szCs w:val="18"/>
              </w:rPr>
            </w:pPr>
            <w:r>
              <w:rPr>
                <w:sz w:val="18"/>
              </w:rPr>
              <w:t>Risposta in caso di guasto di segnali di comando esterni</w:t>
            </w:r>
          </w:p>
        </w:tc>
        <w:tc>
          <w:tcPr>
            <w:tcW w:w="5387" w:type="dxa"/>
            <w:shd w:val="clear" w:color="auto" w:fill="auto"/>
          </w:tcPr>
          <w:p w:rsidR="00C01A94" w:rsidRPr="00C408A4" w:rsidRDefault="00EC1301" w:rsidP="00C01A94">
            <w:pPr>
              <w:spacing w:before="60" w:after="6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C01A94">
            <w:pPr>
              <w:spacing w:before="60" w:after="60" w:line="240" w:lineRule="atLeast"/>
              <w:jc w:val="center"/>
              <w:rPr>
                <w:rFonts w:cs="Arial"/>
                <w:sz w:val="18"/>
                <w:szCs w:val="18"/>
              </w:rPr>
            </w:pPr>
          </w:p>
        </w:tc>
        <w:tc>
          <w:tcPr>
            <w:tcW w:w="1276" w:type="dxa"/>
          </w:tcPr>
          <w:p w:rsidR="00C01A94" w:rsidRPr="00304E7F" w:rsidRDefault="00C01A94" w:rsidP="00C01A94">
            <w:pPr>
              <w:spacing w:before="60" w:after="60" w:line="240" w:lineRule="atLeast"/>
              <w:jc w:val="center"/>
              <w:rPr>
                <w:rFonts w:cs="Arial"/>
                <w:sz w:val="18"/>
                <w:szCs w:val="18"/>
              </w:rPr>
            </w:pPr>
            <w:r>
              <w:rPr>
                <w:sz w:val="18"/>
              </w:rPr>
              <w:t>7.10.2018</w:t>
            </w:r>
          </w:p>
        </w:tc>
      </w:tr>
      <w:tr w:rsidR="00C01A94" w:rsidRPr="00C903F8" w:rsidTr="00A5358D">
        <w:trPr>
          <w:cantSplit/>
          <w:jc w:val="center"/>
        </w:trPr>
        <w:tc>
          <w:tcPr>
            <w:tcW w:w="1342" w:type="dxa"/>
            <w:vMerge/>
            <w:shd w:val="clear" w:color="auto" w:fill="auto"/>
          </w:tcPr>
          <w:p w:rsidR="00C01A94" w:rsidRPr="008F6ABB" w:rsidRDefault="00C01A94" w:rsidP="00C01A94">
            <w:pPr>
              <w:spacing w:before="60" w:after="60" w:line="240" w:lineRule="atLeast"/>
              <w:rPr>
                <w:rFonts w:cs="Arial"/>
                <w:sz w:val="18"/>
                <w:szCs w:val="18"/>
              </w:rPr>
            </w:pPr>
          </w:p>
        </w:tc>
        <w:tc>
          <w:tcPr>
            <w:tcW w:w="1458" w:type="dxa"/>
            <w:shd w:val="clear" w:color="auto" w:fill="auto"/>
          </w:tcPr>
          <w:p w:rsidR="00C01A94" w:rsidRPr="004B4203" w:rsidRDefault="00C01A94" w:rsidP="00C01A94">
            <w:pPr>
              <w:spacing w:before="60" w:after="60" w:line="240" w:lineRule="atLeast"/>
              <w:ind w:left="0" w:firstLine="0"/>
              <w:jc w:val="left"/>
              <w:rPr>
                <w:rFonts w:cs="Arial"/>
                <w:sz w:val="18"/>
                <w:szCs w:val="18"/>
              </w:rPr>
            </w:pPr>
            <w:r>
              <w:rPr>
                <w:sz w:val="18"/>
              </w:rPr>
              <w:t>paragrafo 7</w:t>
            </w:r>
          </w:p>
        </w:tc>
        <w:tc>
          <w:tcPr>
            <w:tcW w:w="3296" w:type="dxa"/>
            <w:shd w:val="clear" w:color="auto" w:fill="auto"/>
          </w:tcPr>
          <w:p w:rsidR="00C01A94" w:rsidRPr="00C408A4" w:rsidRDefault="00C01A94" w:rsidP="00C01A94">
            <w:pPr>
              <w:spacing w:before="60" w:after="60" w:line="240" w:lineRule="atLeast"/>
              <w:ind w:left="0" w:firstLine="0"/>
              <w:rPr>
                <w:rFonts w:cs="Arial"/>
                <w:sz w:val="18"/>
                <w:szCs w:val="18"/>
              </w:rPr>
            </w:pPr>
            <w:r>
              <w:rPr>
                <w:sz w:val="18"/>
              </w:rPr>
              <w:t>Risposta in caso di guasto delle tensioni di comando</w:t>
            </w:r>
          </w:p>
        </w:tc>
        <w:tc>
          <w:tcPr>
            <w:tcW w:w="5387" w:type="dxa"/>
            <w:shd w:val="clear" w:color="auto" w:fill="auto"/>
          </w:tcPr>
          <w:p w:rsidR="00C01A94" w:rsidRPr="00C408A4" w:rsidRDefault="00EC1301" w:rsidP="00C01A94">
            <w:pPr>
              <w:spacing w:before="60" w:after="6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C01A94">
            <w:pPr>
              <w:spacing w:before="60" w:after="60" w:line="240" w:lineRule="atLeast"/>
              <w:jc w:val="center"/>
              <w:rPr>
                <w:rFonts w:cs="Arial"/>
                <w:sz w:val="18"/>
                <w:szCs w:val="18"/>
              </w:rPr>
            </w:pPr>
          </w:p>
        </w:tc>
        <w:tc>
          <w:tcPr>
            <w:tcW w:w="1276" w:type="dxa"/>
          </w:tcPr>
          <w:p w:rsidR="00C01A94" w:rsidRPr="00304E7F" w:rsidRDefault="00C01A94" w:rsidP="00C01A94">
            <w:pPr>
              <w:spacing w:before="60" w:after="60" w:line="240" w:lineRule="atLeast"/>
              <w:jc w:val="center"/>
              <w:rPr>
                <w:rFonts w:cs="Arial"/>
                <w:sz w:val="18"/>
                <w:szCs w:val="18"/>
              </w:rPr>
            </w:pPr>
            <w:r>
              <w:rPr>
                <w:sz w:val="18"/>
              </w:rPr>
              <w:t>7.10.2018</w:t>
            </w:r>
          </w:p>
        </w:tc>
      </w:tr>
      <w:tr w:rsidR="00C01A94" w:rsidRPr="00C903F8" w:rsidTr="00A5358D">
        <w:trPr>
          <w:cantSplit/>
          <w:jc w:val="center"/>
        </w:trPr>
        <w:tc>
          <w:tcPr>
            <w:tcW w:w="1342" w:type="dxa"/>
            <w:vMerge/>
            <w:shd w:val="clear" w:color="auto" w:fill="auto"/>
          </w:tcPr>
          <w:p w:rsidR="00C01A94" w:rsidRPr="008F6ABB" w:rsidRDefault="00C01A94" w:rsidP="00C01A94">
            <w:pPr>
              <w:spacing w:before="60" w:after="60" w:line="240" w:lineRule="atLeast"/>
              <w:rPr>
                <w:rFonts w:cs="Arial"/>
                <w:sz w:val="18"/>
                <w:szCs w:val="18"/>
              </w:rPr>
            </w:pPr>
          </w:p>
        </w:tc>
        <w:tc>
          <w:tcPr>
            <w:tcW w:w="1458" w:type="dxa"/>
            <w:shd w:val="clear" w:color="auto" w:fill="auto"/>
          </w:tcPr>
          <w:p w:rsidR="00C01A94" w:rsidRPr="004B4203" w:rsidRDefault="00C01A94" w:rsidP="00C01A94">
            <w:pPr>
              <w:spacing w:before="60" w:after="60" w:line="240" w:lineRule="atLeast"/>
              <w:ind w:left="0" w:firstLine="0"/>
              <w:jc w:val="left"/>
              <w:rPr>
                <w:rFonts w:cs="Arial"/>
                <w:sz w:val="18"/>
                <w:szCs w:val="18"/>
              </w:rPr>
            </w:pPr>
            <w:r>
              <w:rPr>
                <w:sz w:val="18"/>
              </w:rPr>
              <w:t>paragrafo 8</w:t>
            </w:r>
          </w:p>
        </w:tc>
        <w:tc>
          <w:tcPr>
            <w:tcW w:w="3296" w:type="dxa"/>
            <w:shd w:val="clear" w:color="auto" w:fill="auto"/>
          </w:tcPr>
          <w:p w:rsidR="00C01A94" w:rsidRPr="00C408A4" w:rsidRDefault="00C01A94" w:rsidP="00C01A94">
            <w:pPr>
              <w:spacing w:before="60" w:after="60" w:line="240" w:lineRule="atLeast"/>
              <w:ind w:left="0" w:firstLine="0"/>
              <w:rPr>
                <w:rFonts w:cs="Arial"/>
                <w:sz w:val="18"/>
                <w:szCs w:val="18"/>
              </w:rPr>
            </w:pPr>
            <w:r>
              <w:rPr>
                <w:sz w:val="18"/>
              </w:rPr>
              <w:t>Rilevamento di errori e prevenzione di errori non rilevati</w:t>
            </w:r>
          </w:p>
        </w:tc>
        <w:tc>
          <w:tcPr>
            <w:tcW w:w="5387" w:type="dxa"/>
            <w:shd w:val="clear" w:color="auto" w:fill="auto"/>
          </w:tcPr>
          <w:p w:rsidR="00C01A94" w:rsidRPr="00C408A4" w:rsidRDefault="00EC1301" w:rsidP="00C01A94">
            <w:pPr>
              <w:spacing w:before="60" w:after="6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C01A94">
            <w:pPr>
              <w:spacing w:before="60" w:after="60" w:line="240" w:lineRule="atLeast"/>
              <w:jc w:val="center"/>
              <w:rPr>
                <w:rFonts w:cs="Arial"/>
                <w:sz w:val="18"/>
                <w:szCs w:val="18"/>
              </w:rPr>
            </w:pPr>
          </w:p>
        </w:tc>
        <w:tc>
          <w:tcPr>
            <w:tcW w:w="1276" w:type="dxa"/>
          </w:tcPr>
          <w:p w:rsidR="00C01A94" w:rsidRPr="00304E7F" w:rsidRDefault="00C01A94" w:rsidP="00C01A94">
            <w:pPr>
              <w:spacing w:before="60" w:after="60" w:line="240" w:lineRule="atLeast"/>
              <w:jc w:val="center"/>
              <w:rPr>
                <w:rFonts w:cs="Arial"/>
                <w:sz w:val="18"/>
                <w:szCs w:val="18"/>
              </w:rPr>
            </w:pPr>
            <w:r>
              <w:rPr>
                <w:sz w:val="18"/>
              </w:rPr>
              <w:t>7.10.2018</w:t>
            </w:r>
          </w:p>
        </w:tc>
      </w:tr>
      <w:tr w:rsidR="00C01A94" w:rsidRPr="00C903F8" w:rsidTr="00A5358D">
        <w:trPr>
          <w:cantSplit/>
          <w:jc w:val="center"/>
        </w:trPr>
        <w:tc>
          <w:tcPr>
            <w:tcW w:w="1342" w:type="dxa"/>
            <w:vMerge/>
            <w:shd w:val="clear" w:color="auto" w:fill="auto"/>
          </w:tcPr>
          <w:p w:rsidR="00C01A94" w:rsidRPr="008F6ABB" w:rsidRDefault="00C01A94" w:rsidP="00C01A94">
            <w:pPr>
              <w:spacing w:before="60" w:after="60" w:line="240" w:lineRule="atLeast"/>
              <w:rPr>
                <w:rFonts w:cs="Arial"/>
                <w:sz w:val="18"/>
                <w:szCs w:val="18"/>
              </w:rPr>
            </w:pPr>
          </w:p>
        </w:tc>
        <w:tc>
          <w:tcPr>
            <w:tcW w:w="1458" w:type="dxa"/>
            <w:shd w:val="clear" w:color="auto" w:fill="auto"/>
          </w:tcPr>
          <w:p w:rsidR="00C01A94" w:rsidRPr="004B4203" w:rsidRDefault="00C01A94" w:rsidP="00C01A94">
            <w:pPr>
              <w:spacing w:before="60" w:after="60" w:line="240" w:lineRule="atLeast"/>
              <w:ind w:left="0" w:firstLine="0"/>
              <w:jc w:val="left"/>
              <w:rPr>
                <w:rFonts w:cs="Arial"/>
                <w:sz w:val="18"/>
                <w:szCs w:val="18"/>
              </w:rPr>
            </w:pPr>
            <w:r>
              <w:rPr>
                <w:sz w:val="18"/>
              </w:rPr>
              <w:t>paragrafo 9</w:t>
            </w:r>
          </w:p>
        </w:tc>
        <w:tc>
          <w:tcPr>
            <w:tcW w:w="3296" w:type="dxa"/>
            <w:shd w:val="clear" w:color="auto" w:fill="auto"/>
          </w:tcPr>
          <w:p w:rsidR="00C01A94" w:rsidRPr="00C408A4" w:rsidRDefault="00C01A94" w:rsidP="00C01A94">
            <w:pPr>
              <w:spacing w:before="60" w:after="60" w:line="240" w:lineRule="atLeast"/>
              <w:ind w:left="0" w:firstLine="0"/>
              <w:rPr>
                <w:rFonts w:cs="Arial"/>
                <w:sz w:val="18"/>
                <w:szCs w:val="18"/>
              </w:rPr>
            </w:pPr>
            <w:r>
              <w:rPr>
                <w:sz w:val="18"/>
              </w:rPr>
              <w:t>Controllo</w:t>
            </w:r>
          </w:p>
        </w:tc>
        <w:tc>
          <w:tcPr>
            <w:tcW w:w="5387" w:type="dxa"/>
            <w:shd w:val="clear" w:color="auto" w:fill="auto"/>
          </w:tcPr>
          <w:p w:rsidR="00C01A94" w:rsidRPr="00C408A4" w:rsidRDefault="00EC1301" w:rsidP="00C01A94">
            <w:pPr>
              <w:spacing w:before="60" w:after="6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C01A94">
            <w:pPr>
              <w:spacing w:before="60" w:after="60" w:line="240" w:lineRule="atLeast"/>
              <w:jc w:val="center"/>
              <w:rPr>
                <w:rFonts w:cs="Arial"/>
                <w:sz w:val="18"/>
                <w:szCs w:val="18"/>
              </w:rPr>
            </w:pPr>
          </w:p>
        </w:tc>
        <w:tc>
          <w:tcPr>
            <w:tcW w:w="1276" w:type="dxa"/>
          </w:tcPr>
          <w:p w:rsidR="00C01A94" w:rsidRPr="00304E7F" w:rsidRDefault="00C01A94" w:rsidP="00C01A94">
            <w:pPr>
              <w:spacing w:before="60" w:after="60" w:line="240" w:lineRule="atLeast"/>
              <w:jc w:val="center"/>
              <w:rPr>
                <w:rFonts w:cs="Arial"/>
                <w:sz w:val="18"/>
                <w:szCs w:val="18"/>
              </w:rPr>
            </w:pPr>
            <w:r>
              <w:rPr>
                <w:sz w:val="18"/>
              </w:rPr>
              <w:t>7.10.2018</w:t>
            </w:r>
          </w:p>
        </w:tc>
      </w:tr>
      <w:tr w:rsidR="00C01A94" w:rsidRPr="00C903F8" w:rsidTr="00A5358D">
        <w:trPr>
          <w:cantSplit/>
          <w:jc w:val="center"/>
        </w:trPr>
        <w:tc>
          <w:tcPr>
            <w:tcW w:w="1342" w:type="dxa"/>
            <w:vMerge/>
            <w:tcBorders>
              <w:bottom w:val="nil"/>
            </w:tcBorders>
            <w:shd w:val="clear" w:color="auto" w:fill="auto"/>
          </w:tcPr>
          <w:p w:rsidR="00C01A94" w:rsidRPr="008F6ABB" w:rsidRDefault="00C01A94" w:rsidP="00C01A94">
            <w:pPr>
              <w:spacing w:before="60" w:after="60" w:line="240" w:lineRule="atLeast"/>
              <w:rPr>
                <w:rFonts w:cs="Arial"/>
                <w:sz w:val="18"/>
                <w:szCs w:val="18"/>
              </w:rPr>
            </w:pPr>
          </w:p>
        </w:tc>
        <w:tc>
          <w:tcPr>
            <w:tcW w:w="1458" w:type="dxa"/>
            <w:shd w:val="clear" w:color="auto" w:fill="auto"/>
          </w:tcPr>
          <w:p w:rsidR="00C01A94" w:rsidRPr="004B4203" w:rsidRDefault="00C01A94" w:rsidP="00C01A94">
            <w:pPr>
              <w:spacing w:before="60" w:after="60" w:line="240" w:lineRule="atLeast"/>
              <w:ind w:left="0" w:firstLine="0"/>
              <w:jc w:val="left"/>
              <w:rPr>
                <w:rFonts w:cs="Arial"/>
                <w:sz w:val="18"/>
                <w:szCs w:val="18"/>
              </w:rPr>
            </w:pPr>
            <w:r>
              <w:rPr>
                <w:sz w:val="18"/>
              </w:rPr>
              <w:t>paragrafo 10</w:t>
            </w:r>
          </w:p>
        </w:tc>
        <w:tc>
          <w:tcPr>
            <w:tcW w:w="3296" w:type="dxa"/>
            <w:shd w:val="clear" w:color="auto" w:fill="auto"/>
          </w:tcPr>
          <w:p w:rsidR="00C01A94" w:rsidRPr="00C408A4" w:rsidRDefault="00C01A94" w:rsidP="00C01A94">
            <w:pPr>
              <w:spacing w:before="60" w:after="60" w:line="240" w:lineRule="atLeast"/>
              <w:ind w:left="0" w:firstLine="0"/>
              <w:rPr>
                <w:rFonts w:cs="Arial"/>
                <w:sz w:val="18"/>
                <w:szCs w:val="18"/>
              </w:rPr>
            </w:pPr>
            <w:r>
              <w:rPr>
                <w:sz w:val="18"/>
              </w:rPr>
              <w:t>Esame del tipo</w:t>
            </w:r>
          </w:p>
        </w:tc>
        <w:tc>
          <w:tcPr>
            <w:tcW w:w="5387" w:type="dxa"/>
            <w:shd w:val="clear" w:color="auto" w:fill="auto"/>
          </w:tcPr>
          <w:p w:rsidR="00C01A94" w:rsidRPr="00C408A4" w:rsidRDefault="00EC1301" w:rsidP="00C01A94">
            <w:pPr>
              <w:spacing w:before="60" w:after="60" w:line="240" w:lineRule="atLeast"/>
              <w:ind w:left="0" w:firstLine="0"/>
              <w:rPr>
                <w:rFonts w:cs="Arial"/>
                <w:sz w:val="18"/>
                <w:szCs w:val="18"/>
              </w:rPr>
            </w:pPr>
            <w:r>
              <w:rPr>
                <w:sz w:val="18"/>
              </w:rPr>
              <w:t>N.S.T</w:t>
            </w:r>
          </w:p>
        </w:tc>
        <w:tc>
          <w:tcPr>
            <w:tcW w:w="1276" w:type="dxa"/>
            <w:shd w:val="clear" w:color="auto" w:fill="auto"/>
          </w:tcPr>
          <w:p w:rsidR="00C01A94" w:rsidRPr="004B4203" w:rsidRDefault="00C01A94" w:rsidP="00C01A94">
            <w:pPr>
              <w:spacing w:before="60" w:after="60" w:line="240" w:lineRule="atLeast"/>
              <w:jc w:val="center"/>
              <w:rPr>
                <w:rFonts w:cs="Arial"/>
                <w:sz w:val="18"/>
                <w:szCs w:val="18"/>
              </w:rPr>
            </w:pPr>
          </w:p>
        </w:tc>
        <w:tc>
          <w:tcPr>
            <w:tcW w:w="1276" w:type="dxa"/>
          </w:tcPr>
          <w:p w:rsidR="00C01A94" w:rsidRPr="00304E7F" w:rsidRDefault="00C01A94" w:rsidP="00C01A94">
            <w:pPr>
              <w:spacing w:before="60" w:after="60" w:line="240" w:lineRule="atLeast"/>
              <w:jc w:val="center"/>
              <w:rPr>
                <w:rFonts w:cs="Arial"/>
                <w:sz w:val="18"/>
                <w:szCs w:val="18"/>
              </w:rPr>
            </w:pPr>
            <w:r>
              <w:rPr>
                <w:sz w:val="18"/>
              </w:rPr>
              <w:t>7.10.2018</w:t>
            </w:r>
          </w:p>
        </w:tc>
      </w:tr>
      <w:tr w:rsidR="00C01A94" w:rsidRPr="00C903F8" w:rsidTr="00E04086">
        <w:trPr>
          <w:cantSplit/>
          <w:jc w:val="center"/>
        </w:trPr>
        <w:tc>
          <w:tcPr>
            <w:tcW w:w="6096" w:type="dxa"/>
            <w:gridSpan w:val="3"/>
            <w:tcBorders>
              <w:bottom w:val="nil"/>
            </w:tcBorders>
            <w:shd w:val="clear" w:color="auto" w:fill="auto"/>
          </w:tcPr>
          <w:p w:rsidR="00C01A94" w:rsidRPr="00C903F8" w:rsidRDefault="00C01A94" w:rsidP="00C01A94">
            <w:pPr>
              <w:spacing w:before="120" w:after="120" w:line="240" w:lineRule="atLeast"/>
              <w:ind w:left="0" w:firstLine="0"/>
              <w:jc w:val="center"/>
              <w:rPr>
                <w:rFonts w:cs="Arial"/>
                <w:noProof/>
                <w:sz w:val="18"/>
                <w:szCs w:val="18"/>
              </w:rPr>
            </w:pPr>
            <w:r>
              <w:rPr>
                <w:b/>
                <w:sz w:val="18"/>
              </w:rPr>
              <w:t>CAPO 13</w:t>
            </w:r>
          </w:p>
        </w:tc>
        <w:tc>
          <w:tcPr>
            <w:tcW w:w="5387" w:type="dxa"/>
            <w:shd w:val="clear" w:color="auto" w:fill="auto"/>
          </w:tcPr>
          <w:p w:rsidR="00C01A94" w:rsidRDefault="00C01A94" w:rsidP="00C01A94">
            <w:pPr>
              <w:spacing w:before="120" w:after="120" w:line="240" w:lineRule="atLeast"/>
              <w:ind w:left="0" w:firstLine="0"/>
              <w:rPr>
                <w:rFonts w:cs="Arial"/>
                <w:sz w:val="18"/>
                <w:szCs w:val="18"/>
              </w:rPr>
            </w:pP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276" w:type="dxa"/>
          </w:tcPr>
          <w:p w:rsidR="00C01A94" w:rsidRPr="00C903F8" w:rsidRDefault="00C01A94" w:rsidP="00C01A94">
            <w:pPr>
              <w:spacing w:before="120" w:after="120" w:line="240" w:lineRule="atLeast"/>
              <w:ind w:left="0" w:firstLine="0"/>
              <w:rPr>
                <w:rFonts w:cs="Arial"/>
                <w:sz w:val="18"/>
                <w:szCs w:val="18"/>
              </w:rPr>
            </w:pPr>
          </w:p>
        </w:tc>
      </w:tr>
      <w:tr w:rsidR="00C01A94" w:rsidRPr="00C903F8" w:rsidTr="008D5C65">
        <w:trPr>
          <w:cantSplit/>
          <w:jc w:val="center"/>
        </w:trPr>
        <w:tc>
          <w:tcPr>
            <w:tcW w:w="1342" w:type="dxa"/>
            <w:tcBorders>
              <w:bottom w:val="nil"/>
            </w:tcBorders>
            <w:shd w:val="clear" w:color="auto" w:fill="auto"/>
          </w:tcPr>
          <w:p w:rsidR="00C01A94" w:rsidRPr="00C903F8" w:rsidRDefault="00C01A94" w:rsidP="00D321F1">
            <w:pPr>
              <w:spacing w:before="60" w:after="60" w:line="240" w:lineRule="atLeast"/>
              <w:ind w:left="0" w:firstLine="0"/>
              <w:rPr>
                <w:rFonts w:cs="Arial"/>
                <w:sz w:val="18"/>
                <w:szCs w:val="18"/>
              </w:rPr>
            </w:pPr>
            <w:r>
              <w:rPr>
                <w:sz w:val="18"/>
              </w:rPr>
              <w:t>13.02</w:t>
            </w:r>
          </w:p>
        </w:tc>
        <w:tc>
          <w:tcPr>
            <w:tcW w:w="1458" w:type="dxa"/>
            <w:shd w:val="clear" w:color="auto" w:fill="auto"/>
          </w:tcPr>
          <w:p w:rsidR="00C01A94" w:rsidRPr="00C903F8" w:rsidRDefault="00C01A94" w:rsidP="00D321F1">
            <w:pPr>
              <w:spacing w:before="60" w:after="60" w:line="240" w:lineRule="atLeast"/>
              <w:ind w:left="0" w:firstLine="0"/>
              <w:rPr>
                <w:rFonts w:cs="Arial"/>
                <w:sz w:val="18"/>
                <w:szCs w:val="18"/>
              </w:rPr>
            </w:pPr>
            <w:r>
              <w:rPr>
                <w:sz w:val="18"/>
              </w:rPr>
              <w:t>paragrafo 2, lettera b)</w:t>
            </w:r>
          </w:p>
        </w:tc>
        <w:tc>
          <w:tcPr>
            <w:tcW w:w="3296" w:type="dxa"/>
            <w:shd w:val="clear" w:color="auto" w:fill="auto"/>
          </w:tcPr>
          <w:p w:rsidR="00C01A94" w:rsidRPr="00C903F8" w:rsidRDefault="00C01A94" w:rsidP="00D321F1">
            <w:pPr>
              <w:spacing w:before="60" w:after="60" w:line="240" w:lineRule="atLeast"/>
              <w:ind w:left="0" w:firstLine="0"/>
              <w:rPr>
                <w:rFonts w:cs="Arial"/>
                <w:sz w:val="18"/>
                <w:szCs w:val="18"/>
              </w:rPr>
            </w:pPr>
            <w:r>
              <w:rPr>
                <w:noProof/>
                <w:sz w:val="18"/>
              </w:rPr>
              <w:t>Recipienti in acciaio o in altro materiale solido e non infiammabile, in grado di contenere almeno 10 litri</w:t>
            </w:r>
          </w:p>
        </w:tc>
        <w:tc>
          <w:tcPr>
            <w:tcW w:w="5387" w:type="dxa"/>
            <w:shd w:val="clear" w:color="auto" w:fill="auto"/>
          </w:tcPr>
          <w:p w:rsidR="00C01A94" w:rsidRPr="00C903F8" w:rsidRDefault="00C01A94" w:rsidP="00D321F1">
            <w:pPr>
              <w:spacing w:before="60" w:after="6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C01A94" w:rsidRPr="00C903F8" w:rsidRDefault="00C01A94" w:rsidP="00D321F1">
            <w:pPr>
              <w:spacing w:before="60" w:after="60" w:line="240" w:lineRule="atLeast"/>
              <w:ind w:left="0" w:firstLine="0"/>
              <w:rPr>
                <w:rFonts w:cs="Arial"/>
                <w:sz w:val="18"/>
                <w:szCs w:val="18"/>
              </w:rPr>
            </w:pPr>
          </w:p>
        </w:tc>
        <w:tc>
          <w:tcPr>
            <w:tcW w:w="1276" w:type="dxa"/>
          </w:tcPr>
          <w:p w:rsidR="00C01A94" w:rsidRPr="00C903F8" w:rsidRDefault="00C01A94" w:rsidP="00D321F1">
            <w:pPr>
              <w:spacing w:before="60" w:after="60" w:line="240" w:lineRule="atLeast"/>
              <w:ind w:left="0" w:firstLine="0"/>
              <w:rPr>
                <w:rFonts w:cs="Arial"/>
                <w:sz w:val="18"/>
                <w:szCs w:val="18"/>
              </w:rPr>
            </w:pPr>
            <w:r>
              <w:rPr>
                <w:sz w:val="18"/>
              </w:rPr>
              <w:t>1.12.2011</w:t>
            </w:r>
          </w:p>
        </w:tc>
      </w:tr>
      <w:tr w:rsidR="00C01A94" w:rsidRPr="00C903F8" w:rsidTr="008D5C65">
        <w:trPr>
          <w:cantSplit/>
          <w:jc w:val="center"/>
        </w:trPr>
        <w:tc>
          <w:tcPr>
            <w:tcW w:w="1342" w:type="dxa"/>
            <w:tcBorders>
              <w:bottom w:val="nil"/>
            </w:tcBorders>
            <w:shd w:val="clear" w:color="auto" w:fill="auto"/>
          </w:tcPr>
          <w:p w:rsidR="00C01A94" w:rsidRPr="00C903F8" w:rsidRDefault="00C01A94" w:rsidP="00D321F1">
            <w:pPr>
              <w:spacing w:before="60" w:after="60" w:line="240" w:lineRule="atLeast"/>
              <w:ind w:left="0" w:firstLine="0"/>
              <w:rPr>
                <w:rFonts w:cs="Arial"/>
                <w:sz w:val="18"/>
                <w:szCs w:val="18"/>
              </w:rPr>
            </w:pPr>
            <w:r>
              <w:rPr>
                <w:sz w:val="18"/>
              </w:rPr>
              <w:t>13.03</w:t>
            </w:r>
          </w:p>
        </w:tc>
        <w:tc>
          <w:tcPr>
            <w:tcW w:w="1458" w:type="dxa"/>
            <w:shd w:val="clear" w:color="auto" w:fill="auto"/>
          </w:tcPr>
          <w:p w:rsidR="00C01A94" w:rsidRPr="00C903F8" w:rsidRDefault="00C01A94" w:rsidP="00D321F1">
            <w:pPr>
              <w:spacing w:before="60" w:after="60" w:line="240" w:lineRule="atLeast"/>
              <w:ind w:left="0" w:firstLine="0"/>
              <w:rPr>
                <w:rFonts w:cs="Arial"/>
                <w:sz w:val="18"/>
                <w:szCs w:val="18"/>
              </w:rPr>
            </w:pPr>
            <w:r>
              <w:rPr>
                <w:sz w:val="18"/>
              </w:rPr>
              <w:t>paragrafo 1</w:t>
            </w:r>
          </w:p>
        </w:tc>
        <w:tc>
          <w:tcPr>
            <w:tcW w:w="3296" w:type="dxa"/>
            <w:shd w:val="clear" w:color="auto" w:fill="auto"/>
          </w:tcPr>
          <w:p w:rsidR="00C01A94" w:rsidRPr="00C903F8" w:rsidRDefault="00C01A94" w:rsidP="00D321F1">
            <w:pPr>
              <w:spacing w:before="60" w:after="60" w:line="240" w:lineRule="atLeast"/>
              <w:ind w:left="0" w:firstLine="0"/>
              <w:rPr>
                <w:rFonts w:cs="Arial"/>
                <w:sz w:val="18"/>
                <w:szCs w:val="18"/>
              </w:rPr>
            </w:pPr>
            <w:r>
              <w:rPr>
                <w:noProof/>
                <w:sz w:val="18"/>
              </w:rPr>
              <w:t>Norma europea</w:t>
            </w:r>
          </w:p>
        </w:tc>
        <w:tc>
          <w:tcPr>
            <w:tcW w:w="5387" w:type="dxa"/>
            <w:shd w:val="clear" w:color="auto" w:fill="auto"/>
          </w:tcPr>
          <w:p w:rsidR="00C01A94" w:rsidRPr="00C903F8" w:rsidRDefault="00C01A94" w:rsidP="00D321F1">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60" w:after="60" w:line="240" w:lineRule="atLeast"/>
              <w:ind w:left="0" w:firstLine="0"/>
              <w:rPr>
                <w:rFonts w:cs="Arial"/>
                <w:sz w:val="18"/>
                <w:szCs w:val="18"/>
              </w:rPr>
            </w:pPr>
            <w:r>
              <w:rPr>
                <w:sz w:val="18"/>
              </w:rPr>
              <w:t>1.1.2010</w:t>
            </w:r>
          </w:p>
        </w:tc>
        <w:tc>
          <w:tcPr>
            <w:tcW w:w="1276" w:type="dxa"/>
          </w:tcPr>
          <w:p w:rsidR="00C01A94" w:rsidRPr="00C903F8" w:rsidRDefault="00C01A94" w:rsidP="00D321F1">
            <w:pPr>
              <w:spacing w:before="60" w:after="60" w:line="240" w:lineRule="atLeast"/>
              <w:ind w:left="0" w:firstLine="0"/>
              <w:rPr>
                <w:rFonts w:cs="Arial"/>
                <w:sz w:val="18"/>
                <w:szCs w:val="18"/>
              </w:rPr>
            </w:pPr>
            <w:r>
              <w:rPr>
                <w:sz w:val="18"/>
              </w:rPr>
              <w:t>1.4.2002</w:t>
            </w:r>
          </w:p>
        </w:tc>
      </w:tr>
      <w:tr w:rsidR="00C01A94" w:rsidRPr="00C903F8" w:rsidTr="008D5C65">
        <w:trPr>
          <w:cantSplit/>
          <w:jc w:val="center"/>
        </w:trPr>
        <w:tc>
          <w:tcPr>
            <w:tcW w:w="1342" w:type="dxa"/>
            <w:tcBorders>
              <w:top w:val="nil"/>
              <w:bottom w:val="single" w:sz="4" w:space="0" w:color="auto"/>
            </w:tcBorders>
            <w:shd w:val="clear" w:color="auto" w:fill="auto"/>
          </w:tcPr>
          <w:p w:rsidR="00C01A94" w:rsidRPr="00C903F8" w:rsidRDefault="00C01A94" w:rsidP="00D321F1">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D321F1">
            <w:pPr>
              <w:spacing w:before="60" w:after="60" w:line="240" w:lineRule="atLeast"/>
              <w:ind w:left="0" w:firstLine="0"/>
              <w:rPr>
                <w:rFonts w:cs="Arial"/>
                <w:sz w:val="18"/>
                <w:szCs w:val="18"/>
              </w:rPr>
            </w:pPr>
            <w:r>
              <w:rPr>
                <w:sz w:val="18"/>
              </w:rPr>
              <w:t>paragrafo 2</w:t>
            </w:r>
          </w:p>
        </w:tc>
        <w:tc>
          <w:tcPr>
            <w:tcW w:w="3296" w:type="dxa"/>
            <w:shd w:val="clear" w:color="auto" w:fill="auto"/>
          </w:tcPr>
          <w:p w:rsidR="00C01A94" w:rsidRPr="00C903F8" w:rsidRDefault="00C01A94" w:rsidP="00D321F1">
            <w:pPr>
              <w:spacing w:before="60" w:after="60" w:line="240" w:lineRule="atLeast"/>
              <w:ind w:left="0" w:firstLine="0"/>
              <w:rPr>
                <w:rFonts w:cs="Arial"/>
                <w:sz w:val="18"/>
                <w:szCs w:val="18"/>
              </w:rPr>
            </w:pPr>
            <w:r>
              <w:rPr>
                <w:noProof/>
                <w:sz w:val="18"/>
              </w:rPr>
              <w:t>Idoneità contro i fuochi delle classi A, B e C</w:t>
            </w:r>
          </w:p>
        </w:tc>
        <w:tc>
          <w:tcPr>
            <w:tcW w:w="5387" w:type="dxa"/>
            <w:shd w:val="clear" w:color="auto" w:fill="auto"/>
          </w:tcPr>
          <w:p w:rsidR="00C01A94" w:rsidRPr="00C903F8" w:rsidRDefault="00C01A94" w:rsidP="00D321F1">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60" w:after="60" w:line="240" w:lineRule="atLeast"/>
              <w:ind w:left="0" w:firstLine="0"/>
              <w:rPr>
                <w:rFonts w:cs="Arial"/>
                <w:sz w:val="18"/>
                <w:szCs w:val="18"/>
              </w:rPr>
            </w:pPr>
            <w:r>
              <w:rPr>
                <w:sz w:val="18"/>
              </w:rPr>
              <w:t>1.1.2007</w:t>
            </w:r>
          </w:p>
        </w:tc>
        <w:tc>
          <w:tcPr>
            <w:tcW w:w="1276" w:type="dxa"/>
          </w:tcPr>
          <w:p w:rsidR="00C01A94" w:rsidRPr="00C903F8" w:rsidRDefault="00C01A94" w:rsidP="00D321F1">
            <w:pPr>
              <w:spacing w:before="60" w:after="60" w:line="240" w:lineRule="atLeast"/>
              <w:ind w:left="0" w:firstLine="0"/>
              <w:rPr>
                <w:rFonts w:cs="Arial"/>
                <w:sz w:val="18"/>
                <w:szCs w:val="18"/>
              </w:rPr>
            </w:pPr>
            <w:r>
              <w:rPr>
                <w:sz w:val="18"/>
              </w:rPr>
              <w:t>1.4.2002</w:t>
            </w:r>
          </w:p>
        </w:tc>
      </w:tr>
      <w:tr w:rsidR="00C01A94" w:rsidRPr="00C903F8" w:rsidTr="008D5C65">
        <w:trPr>
          <w:cantSplit/>
          <w:jc w:val="center"/>
        </w:trPr>
        <w:tc>
          <w:tcPr>
            <w:tcW w:w="1342" w:type="dxa"/>
            <w:tcBorders>
              <w:top w:val="single" w:sz="4" w:space="0" w:color="auto"/>
            </w:tcBorders>
            <w:shd w:val="clear" w:color="auto" w:fill="auto"/>
          </w:tcPr>
          <w:p w:rsidR="00C01A94" w:rsidRPr="00C903F8" w:rsidRDefault="00C01A94" w:rsidP="00D321F1">
            <w:pPr>
              <w:spacing w:before="60" w:after="60" w:line="240" w:lineRule="atLeast"/>
              <w:ind w:left="0" w:firstLine="0"/>
              <w:rPr>
                <w:rFonts w:cs="Arial"/>
                <w:sz w:val="18"/>
                <w:szCs w:val="18"/>
              </w:rPr>
            </w:pPr>
            <w:r>
              <w:rPr>
                <w:sz w:val="18"/>
              </w:rPr>
              <w:t>13.04</w:t>
            </w:r>
          </w:p>
        </w:tc>
        <w:tc>
          <w:tcPr>
            <w:tcW w:w="1458" w:type="dxa"/>
            <w:shd w:val="clear" w:color="auto" w:fill="auto"/>
          </w:tcPr>
          <w:p w:rsidR="00C01A94" w:rsidRPr="00C903F8" w:rsidRDefault="00C01A94" w:rsidP="00D321F1">
            <w:pPr>
              <w:spacing w:before="60" w:after="60" w:line="240" w:lineRule="atLeast"/>
              <w:ind w:left="0" w:firstLine="0"/>
              <w:rPr>
                <w:rFonts w:cs="Arial"/>
                <w:sz w:val="18"/>
                <w:szCs w:val="18"/>
              </w:rPr>
            </w:pPr>
          </w:p>
        </w:tc>
        <w:tc>
          <w:tcPr>
            <w:tcW w:w="3296" w:type="dxa"/>
            <w:shd w:val="clear" w:color="auto" w:fill="auto"/>
          </w:tcPr>
          <w:p w:rsidR="00C01A94" w:rsidRPr="00C903F8" w:rsidRDefault="00C01A94" w:rsidP="00D321F1">
            <w:pPr>
              <w:spacing w:before="60" w:after="60" w:line="240" w:lineRule="atLeast"/>
              <w:ind w:left="0" w:firstLine="0"/>
              <w:rPr>
                <w:rFonts w:cs="Arial"/>
                <w:sz w:val="18"/>
                <w:szCs w:val="18"/>
              </w:rPr>
            </w:pPr>
            <w:r>
              <w:rPr>
                <w:noProof/>
                <w:sz w:val="18"/>
              </w:rPr>
              <w:t>Sistemi antincendio fissi negli alloggi, nelle timonerie e nei locali per i passeggeri</w:t>
            </w:r>
          </w:p>
        </w:tc>
        <w:tc>
          <w:tcPr>
            <w:tcW w:w="5387" w:type="dxa"/>
            <w:shd w:val="clear" w:color="auto" w:fill="auto"/>
          </w:tcPr>
          <w:p w:rsidR="00C01A94" w:rsidRPr="00C903F8" w:rsidRDefault="00C01A94" w:rsidP="00D321F1">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60" w:after="60" w:line="240" w:lineRule="atLeast"/>
              <w:ind w:left="0" w:firstLine="0"/>
              <w:rPr>
                <w:rFonts w:cs="Arial"/>
                <w:sz w:val="18"/>
                <w:szCs w:val="18"/>
              </w:rPr>
            </w:pPr>
            <w:r>
              <w:rPr>
                <w:sz w:val="18"/>
              </w:rPr>
              <w:t>1.1.2035</w:t>
            </w:r>
          </w:p>
        </w:tc>
        <w:tc>
          <w:tcPr>
            <w:tcW w:w="1276" w:type="dxa"/>
          </w:tcPr>
          <w:p w:rsidR="00C01A94" w:rsidRPr="00C903F8" w:rsidRDefault="00C01A94" w:rsidP="00D321F1">
            <w:pPr>
              <w:spacing w:before="60" w:after="60" w:line="240" w:lineRule="atLeast"/>
              <w:ind w:left="0" w:firstLine="0"/>
              <w:rPr>
                <w:rFonts w:cs="Arial"/>
                <w:sz w:val="18"/>
                <w:szCs w:val="18"/>
              </w:rPr>
            </w:pPr>
            <w:r>
              <w:rPr>
                <w:sz w:val="18"/>
              </w:rPr>
              <w:t>1.4.2002</w:t>
            </w:r>
          </w:p>
        </w:tc>
      </w:tr>
      <w:tr w:rsidR="00C01A94" w:rsidRPr="00C903F8" w:rsidTr="00E67DA4">
        <w:trPr>
          <w:cantSplit/>
          <w:jc w:val="center"/>
        </w:trPr>
        <w:tc>
          <w:tcPr>
            <w:tcW w:w="1342"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13.05</w:t>
            </w: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3296" w:type="dxa"/>
            <w:shd w:val="clear" w:color="auto" w:fill="auto"/>
          </w:tcPr>
          <w:p w:rsidR="00C01A94" w:rsidRPr="00C903F8" w:rsidRDefault="00C01A94" w:rsidP="00C01A94">
            <w:pPr>
              <w:spacing w:before="120" w:after="120" w:line="240" w:lineRule="atLeast"/>
              <w:ind w:left="0" w:firstLine="0"/>
              <w:rPr>
                <w:rFonts w:cs="Arial"/>
                <w:sz w:val="18"/>
                <w:szCs w:val="18"/>
              </w:rPr>
            </w:pPr>
            <w:r>
              <w:rPr>
                <w:noProof/>
                <w:sz w:val="18"/>
              </w:rPr>
              <w:t>Sistemi antincendio fissi nelle sale macchine, nei locali caldaie e nei locali pompe</w:t>
            </w:r>
          </w:p>
        </w:tc>
        <w:tc>
          <w:tcPr>
            <w:tcW w:w="5387" w:type="dxa"/>
            <w:shd w:val="clear" w:color="auto" w:fill="auto"/>
          </w:tcPr>
          <w:p w:rsidR="00C01A94" w:rsidRPr="00C903F8" w:rsidRDefault="0059704F" w:rsidP="0059704F">
            <w:pPr>
              <w:spacing w:before="120" w:after="120" w:line="240" w:lineRule="atLeast"/>
              <w:ind w:left="0" w:firstLine="0"/>
              <w:rPr>
                <w:rFonts w:cs="Arial"/>
                <w:sz w:val="18"/>
                <w:szCs w:val="18"/>
              </w:rPr>
            </w:pPr>
            <w:r>
              <w:rPr>
                <w:sz w:val="18"/>
                <w:vertAlign w:val="superscript"/>
              </w:rPr>
              <w:footnoteReference w:id="40"/>
            </w:r>
            <w:r>
              <w:t>N.S.T., al più tardi alla data del rinnovo del certificato per la navigazione interna posteriormente al</w:t>
            </w:r>
          </w:p>
        </w:tc>
        <w:tc>
          <w:tcPr>
            <w:tcW w:w="1276" w:type="dxa"/>
            <w:shd w:val="clear" w:color="auto" w:fill="auto"/>
          </w:tcPr>
          <w:p w:rsidR="00C01A94" w:rsidRPr="00AD76BF" w:rsidRDefault="00C01A94" w:rsidP="0059704F">
            <w:pPr>
              <w:spacing w:before="120" w:after="120" w:line="240" w:lineRule="atLeast"/>
              <w:ind w:left="0" w:firstLine="0"/>
              <w:rPr>
                <w:rFonts w:cs="Arial"/>
                <w:sz w:val="18"/>
                <w:szCs w:val="18"/>
              </w:rPr>
            </w:pPr>
          </w:p>
        </w:tc>
        <w:tc>
          <w:tcPr>
            <w:tcW w:w="1276" w:type="dxa"/>
          </w:tcPr>
          <w:p w:rsidR="00C01A94" w:rsidRPr="00C903F8" w:rsidRDefault="00C01A94" w:rsidP="00C01A94">
            <w:pPr>
              <w:spacing w:before="120" w:after="120" w:line="240" w:lineRule="atLeast"/>
              <w:ind w:left="0" w:firstLine="0"/>
              <w:rPr>
                <w:rFonts w:cs="Arial"/>
                <w:sz w:val="18"/>
                <w:szCs w:val="18"/>
                <w:vertAlign w:val="superscript"/>
              </w:rPr>
            </w:pPr>
            <w:r>
              <w:rPr>
                <w:sz w:val="18"/>
              </w:rPr>
              <w:t>1.4.2002</w:t>
            </w:r>
          </w:p>
        </w:tc>
      </w:tr>
      <w:tr w:rsidR="00C01A94" w:rsidRPr="00C903F8" w:rsidTr="0060199F">
        <w:trPr>
          <w:cantSplit/>
          <w:jc w:val="center"/>
        </w:trPr>
        <w:tc>
          <w:tcPr>
            <w:tcW w:w="1342" w:type="dxa"/>
            <w:tcBorders>
              <w:bottom w:val="single" w:sz="4" w:space="0" w:color="auto"/>
            </w:tcBorders>
            <w:shd w:val="clear" w:color="auto" w:fill="auto"/>
          </w:tcPr>
          <w:p w:rsidR="00C01A94" w:rsidRPr="00C903F8" w:rsidRDefault="00C01A94" w:rsidP="00C01A94">
            <w:pPr>
              <w:spacing w:before="200" w:after="200" w:line="240" w:lineRule="atLeast"/>
              <w:ind w:left="0" w:firstLine="0"/>
              <w:rPr>
                <w:rFonts w:cs="Arial"/>
                <w:sz w:val="18"/>
                <w:szCs w:val="18"/>
              </w:rPr>
            </w:pPr>
            <w:r>
              <w:rPr>
                <w:sz w:val="18"/>
              </w:rPr>
              <w:t>13.07</w:t>
            </w:r>
            <w:r>
              <w:rPr>
                <w:color w:val="000000"/>
                <w:sz w:val="18"/>
                <w:vertAlign w:val="superscript"/>
              </w:rPr>
              <w:footnoteReference w:id="41"/>
            </w:r>
          </w:p>
        </w:tc>
        <w:tc>
          <w:tcPr>
            <w:tcW w:w="1458" w:type="dxa"/>
            <w:tcBorders>
              <w:bottom w:val="single" w:sz="4" w:space="0" w:color="auto"/>
            </w:tcBorders>
            <w:shd w:val="clear" w:color="auto" w:fill="auto"/>
          </w:tcPr>
          <w:p w:rsidR="00C01A94" w:rsidRPr="00C903F8" w:rsidRDefault="00C01A94" w:rsidP="00C01A94">
            <w:pPr>
              <w:spacing w:before="200" w:after="200" w:line="240" w:lineRule="atLeast"/>
              <w:ind w:left="0" w:firstLine="0"/>
              <w:rPr>
                <w:rFonts w:cs="Arial"/>
                <w:sz w:val="18"/>
                <w:szCs w:val="18"/>
              </w:rPr>
            </w:pPr>
          </w:p>
        </w:tc>
        <w:tc>
          <w:tcPr>
            <w:tcW w:w="3296" w:type="dxa"/>
            <w:tcBorders>
              <w:bottom w:val="single" w:sz="4" w:space="0" w:color="auto"/>
            </w:tcBorders>
            <w:shd w:val="clear" w:color="auto" w:fill="auto"/>
          </w:tcPr>
          <w:p w:rsidR="00C01A94" w:rsidRPr="00C903F8" w:rsidRDefault="00C01A94" w:rsidP="00C01A94">
            <w:pPr>
              <w:spacing w:before="200" w:after="200" w:line="240" w:lineRule="atLeast"/>
              <w:ind w:left="0" w:firstLine="0"/>
              <w:rPr>
                <w:rFonts w:cs="Arial"/>
                <w:sz w:val="18"/>
                <w:szCs w:val="18"/>
              </w:rPr>
            </w:pPr>
            <w:r>
              <w:rPr>
                <w:noProof/>
                <w:sz w:val="18"/>
              </w:rPr>
              <w:t>Applicazione della norma europea alle lance</w:t>
            </w:r>
          </w:p>
        </w:tc>
        <w:tc>
          <w:tcPr>
            <w:tcW w:w="5387" w:type="dxa"/>
            <w:shd w:val="clear" w:color="auto" w:fill="auto"/>
          </w:tcPr>
          <w:p w:rsidR="00C01A94" w:rsidRPr="00C903F8" w:rsidRDefault="00C01A94" w:rsidP="00C01A94">
            <w:pPr>
              <w:spacing w:before="200" w:after="2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200" w:after="200" w:line="240" w:lineRule="atLeast"/>
              <w:ind w:left="0" w:firstLine="0"/>
              <w:rPr>
                <w:rFonts w:cs="Arial"/>
                <w:sz w:val="18"/>
                <w:szCs w:val="18"/>
              </w:rPr>
            </w:pPr>
            <w:r>
              <w:rPr>
                <w:sz w:val="18"/>
              </w:rPr>
              <w:t>1.1.2020</w:t>
            </w:r>
          </w:p>
        </w:tc>
        <w:tc>
          <w:tcPr>
            <w:tcW w:w="1276" w:type="dxa"/>
          </w:tcPr>
          <w:p w:rsidR="00C01A94" w:rsidRPr="00C903F8" w:rsidRDefault="00C01A94" w:rsidP="00C01A94">
            <w:pPr>
              <w:spacing w:before="200" w:after="200" w:line="240" w:lineRule="atLeast"/>
              <w:ind w:left="0" w:firstLine="0"/>
              <w:rPr>
                <w:rFonts w:cs="Arial"/>
                <w:sz w:val="18"/>
                <w:szCs w:val="18"/>
              </w:rPr>
            </w:pPr>
            <w:r>
              <w:rPr>
                <w:sz w:val="18"/>
              </w:rPr>
              <w:t>1.10.2003</w:t>
            </w:r>
          </w:p>
        </w:tc>
      </w:tr>
      <w:tr w:rsidR="00C01A94" w:rsidRPr="00C903F8" w:rsidTr="0060199F">
        <w:trPr>
          <w:cantSplit/>
          <w:jc w:val="center"/>
        </w:trPr>
        <w:tc>
          <w:tcPr>
            <w:tcW w:w="1342" w:type="dxa"/>
            <w:tcBorders>
              <w:bottom w:val="nil"/>
            </w:tcBorders>
            <w:shd w:val="clear" w:color="auto" w:fill="auto"/>
          </w:tcPr>
          <w:p w:rsidR="00C01A94" w:rsidRPr="00C903F8" w:rsidRDefault="00C01A94" w:rsidP="00C01A94">
            <w:pPr>
              <w:spacing w:before="200" w:after="200" w:line="240" w:lineRule="atLeast"/>
              <w:ind w:left="0" w:firstLine="0"/>
              <w:rPr>
                <w:rFonts w:cs="Arial"/>
                <w:sz w:val="18"/>
                <w:szCs w:val="18"/>
              </w:rPr>
            </w:pPr>
            <w:r>
              <w:rPr>
                <w:sz w:val="18"/>
              </w:rPr>
              <w:lastRenderedPageBreak/>
              <w:t>13.08</w:t>
            </w:r>
          </w:p>
        </w:tc>
        <w:tc>
          <w:tcPr>
            <w:tcW w:w="1458" w:type="dxa"/>
            <w:tcBorders>
              <w:bottom w:val="nil"/>
            </w:tcBorders>
            <w:shd w:val="clear" w:color="auto" w:fill="auto"/>
          </w:tcPr>
          <w:p w:rsidR="00C01A94" w:rsidRPr="00C903F8" w:rsidRDefault="00C01A94" w:rsidP="00C01A94">
            <w:pPr>
              <w:spacing w:before="200" w:after="200" w:line="240" w:lineRule="atLeast"/>
              <w:ind w:left="0" w:firstLine="0"/>
              <w:rPr>
                <w:rFonts w:cs="Arial"/>
                <w:sz w:val="18"/>
                <w:szCs w:val="18"/>
              </w:rPr>
            </w:pPr>
            <w:r>
              <w:rPr>
                <w:sz w:val="18"/>
              </w:rPr>
              <w:t>paragrafo 2</w:t>
            </w:r>
          </w:p>
        </w:tc>
        <w:tc>
          <w:tcPr>
            <w:tcW w:w="3296" w:type="dxa"/>
            <w:tcBorders>
              <w:bottom w:val="nil"/>
            </w:tcBorders>
            <w:shd w:val="clear" w:color="auto" w:fill="auto"/>
          </w:tcPr>
          <w:p w:rsidR="00C01A94" w:rsidRPr="00C903F8" w:rsidRDefault="00C01A94" w:rsidP="00C01A94">
            <w:pPr>
              <w:spacing w:before="200" w:after="200" w:line="240" w:lineRule="atLeast"/>
              <w:ind w:left="0" w:firstLine="0"/>
              <w:rPr>
                <w:rFonts w:cs="Arial"/>
                <w:sz w:val="18"/>
                <w:szCs w:val="18"/>
              </w:rPr>
            </w:pPr>
            <w:r>
              <w:rPr>
                <w:noProof/>
                <w:sz w:val="18"/>
              </w:rPr>
              <w:t>Giubbotti di salvataggio gonfiabili</w:t>
            </w:r>
          </w:p>
        </w:tc>
        <w:tc>
          <w:tcPr>
            <w:tcW w:w="5387" w:type="dxa"/>
            <w:shd w:val="clear" w:color="auto" w:fill="auto"/>
          </w:tcPr>
          <w:p w:rsidR="00C01A94" w:rsidRPr="00C903F8" w:rsidRDefault="00C01A94" w:rsidP="00C01A94">
            <w:pPr>
              <w:spacing w:before="200" w:after="2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200" w:after="200" w:line="240" w:lineRule="atLeast"/>
              <w:ind w:left="0" w:firstLine="0"/>
              <w:rPr>
                <w:rFonts w:cs="Arial"/>
                <w:sz w:val="18"/>
                <w:szCs w:val="18"/>
              </w:rPr>
            </w:pPr>
            <w:r>
              <w:rPr>
                <w:sz w:val="18"/>
              </w:rPr>
              <w:t>1.1.2010</w:t>
            </w:r>
          </w:p>
        </w:tc>
        <w:tc>
          <w:tcPr>
            <w:tcW w:w="1276" w:type="dxa"/>
          </w:tcPr>
          <w:p w:rsidR="00C01A94" w:rsidRPr="00C903F8" w:rsidRDefault="00C01A94" w:rsidP="00C01A94">
            <w:pPr>
              <w:spacing w:before="200" w:after="200" w:line="240" w:lineRule="atLeast"/>
              <w:ind w:left="0" w:firstLine="0"/>
              <w:rPr>
                <w:rFonts w:cs="Arial"/>
                <w:sz w:val="18"/>
                <w:szCs w:val="18"/>
              </w:rPr>
            </w:pPr>
            <w:r>
              <w:rPr>
                <w:sz w:val="18"/>
              </w:rPr>
              <w:t>1.10.2003</w:t>
            </w:r>
          </w:p>
        </w:tc>
      </w:tr>
      <w:tr w:rsidR="00C01A94" w:rsidRPr="00C903F8" w:rsidTr="0060199F">
        <w:trPr>
          <w:cantSplit/>
          <w:jc w:val="center"/>
        </w:trPr>
        <w:tc>
          <w:tcPr>
            <w:tcW w:w="1342" w:type="dxa"/>
            <w:tcBorders>
              <w:top w:val="nil"/>
            </w:tcBorders>
            <w:shd w:val="clear" w:color="auto" w:fill="auto"/>
          </w:tcPr>
          <w:p w:rsidR="00C01A94" w:rsidRPr="00C903F8" w:rsidRDefault="00C01A94" w:rsidP="00C01A94">
            <w:pPr>
              <w:spacing w:before="200" w:after="200" w:line="240" w:lineRule="atLeast"/>
              <w:ind w:left="0" w:firstLine="0"/>
              <w:rPr>
                <w:rFonts w:cs="Arial"/>
                <w:sz w:val="18"/>
                <w:szCs w:val="18"/>
              </w:rPr>
            </w:pPr>
          </w:p>
        </w:tc>
        <w:tc>
          <w:tcPr>
            <w:tcW w:w="1458" w:type="dxa"/>
            <w:tcBorders>
              <w:top w:val="nil"/>
            </w:tcBorders>
            <w:shd w:val="clear" w:color="auto" w:fill="auto"/>
          </w:tcPr>
          <w:p w:rsidR="00C01A94" w:rsidRPr="00C903F8" w:rsidRDefault="00C01A94" w:rsidP="00C01A94">
            <w:pPr>
              <w:spacing w:before="200" w:after="200" w:line="240" w:lineRule="atLeast"/>
              <w:ind w:left="0" w:firstLine="0"/>
              <w:rPr>
                <w:rFonts w:cs="Arial"/>
                <w:sz w:val="18"/>
                <w:szCs w:val="18"/>
              </w:rPr>
            </w:pPr>
          </w:p>
        </w:tc>
        <w:tc>
          <w:tcPr>
            <w:tcW w:w="3296" w:type="dxa"/>
            <w:tcBorders>
              <w:top w:val="nil"/>
            </w:tcBorders>
            <w:shd w:val="clear" w:color="auto" w:fill="auto"/>
          </w:tcPr>
          <w:p w:rsidR="00C01A94" w:rsidRPr="00C903F8" w:rsidRDefault="00C01A94" w:rsidP="00C01A94">
            <w:pPr>
              <w:spacing w:before="200" w:after="200" w:line="240" w:lineRule="atLeast"/>
              <w:ind w:left="0" w:firstLine="0"/>
              <w:rPr>
                <w:rFonts w:cs="Arial"/>
                <w:sz w:val="18"/>
                <w:szCs w:val="18"/>
              </w:rPr>
            </w:pPr>
          </w:p>
        </w:tc>
        <w:tc>
          <w:tcPr>
            <w:tcW w:w="5387" w:type="dxa"/>
            <w:shd w:val="clear" w:color="auto" w:fill="auto"/>
          </w:tcPr>
          <w:p w:rsidR="00C01A94" w:rsidRPr="00C903F8" w:rsidRDefault="00C01A94" w:rsidP="00C01A94">
            <w:pPr>
              <w:spacing w:before="200" w:after="200" w:line="240" w:lineRule="atLeast"/>
              <w:ind w:left="0" w:firstLine="0"/>
              <w:rPr>
                <w:rFonts w:cs="Arial"/>
                <w:sz w:val="18"/>
                <w:szCs w:val="18"/>
              </w:rPr>
            </w:pPr>
            <w:r>
              <w:rPr>
                <w:sz w:val="18"/>
              </w:rPr>
              <w:t>I giubbotti di salvataggio a bordo al 30.9.2003 possono essere usati fino al rinnovo del certificato per la navigazione interna posteriormente al</w:t>
            </w:r>
          </w:p>
        </w:tc>
        <w:tc>
          <w:tcPr>
            <w:tcW w:w="1276" w:type="dxa"/>
            <w:shd w:val="clear" w:color="auto" w:fill="auto"/>
          </w:tcPr>
          <w:p w:rsidR="00C01A94" w:rsidRPr="00C903F8" w:rsidRDefault="00C01A94" w:rsidP="00C01A94">
            <w:pPr>
              <w:spacing w:before="200" w:after="200" w:line="240" w:lineRule="atLeast"/>
              <w:ind w:left="0" w:firstLine="0"/>
              <w:rPr>
                <w:rFonts w:cs="Arial"/>
                <w:sz w:val="18"/>
                <w:szCs w:val="18"/>
              </w:rPr>
            </w:pPr>
            <w:r>
              <w:rPr>
                <w:sz w:val="18"/>
              </w:rPr>
              <w:t>1.1.2010</w:t>
            </w:r>
          </w:p>
        </w:tc>
        <w:tc>
          <w:tcPr>
            <w:tcW w:w="1276" w:type="dxa"/>
          </w:tcPr>
          <w:p w:rsidR="00C01A94" w:rsidRPr="00C903F8" w:rsidRDefault="00C01A94" w:rsidP="00C01A94">
            <w:pPr>
              <w:spacing w:before="200" w:after="200" w:line="240" w:lineRule="atLeast"/>
              <w:ind w:left="0" w:firstLine="0"/>
              <w:rPr>
                <w:rFonts w:cs="Arial"/>
                <w:sz w:val="18"/>
                <w:szCs w:val="18"/>
              </w:rPr>
            </w:pPr>
            <w:r>
              <w:rPr>
                <w:sz w:val="18"/>
              </w:rPr>
              <w:t>1.10.2003</w:t>
            </w:r>
          </w:p>
        </w:tc>
      </w:tr>
      <w:tr w:rsidR="00C01A94" w:rsidRPr="00C903F8" w:rsidTr="00E67DA4">
        <w:trPr>
          <w:cantSplit/>
          <w:jc w:val="center"/>
        </w:trPr>
        <w:tc>
          <w:tcPr>
            <w:tcW w:w="6096" w:type="dxa"/>
            <w:gridSpan w:val="3"/>
            <w:shd w:val="clear" w:color="auto" w:fill="auto"/>
          </w:tcPr>
          <w:p w:rsidR="00C01A94" w:rsidRPr="00C903F8" w:rsidRDefault="00C01A94" w:rsidP="00C01A94">
            <w:pPr>
              <w:spacing w:before="200" w:after="200" w:line="240" w:lineRule="atLeast"/>
              <w:ind w:left="0" w:firstLine="0"/>
              <w:jc w:val="center"/>
              <w:rPr>
                <w:rFonts w:cs="Arial"/>
                <w:sz w:val="18"/>
                <w:szCs w:val="18"/>
              </w:rPr>
            </w:pPr>
            <w:r>
              <w:rPr>
                <w:b/>
                <w:sz w:val="18"/>
              </w:rPr>
              <w:t>CAPO 14</w:t>
            </w:r>
          </w:p>
        </w:tc>
        <w:tc>
          <w:tcPr>
            <w:tcW w:w="5387" w:type="dxa"/>
            <w:shd w:val="clear" w:color="auto" w:fill="auto"/>
          </w:tcPr>
          <w:p w:rsidR="00C01A94" w:rsidRPr="00C903F8" w:rsidRDefault="00C01A94" w:rsidP="00C01A94">
            <w:pPr>
              <w:spacing w:before="200" w:after="200" w:line="240" w:lineRule="atLeast"/>
              <w:ind w:left="0" w:firstLine="0"/>
              <w:rPr>
                <w:rFonts w:cs="Arial"/>
                <w:sz w:val="18"/>
                <w:szCs w:val="18"/>
              </w:rPr>
            </w:pPr>
          </w:p>
        </w:tc>
        <w:tc>
          <w:tcPr>
            <w:tcW w:w="1276" w:type="dxa"/>
            <w:shd w:val="clear" w:color="auto" w:fill="auto"/>
          </w:tcPr>
          <w:p w:rsidR="00C01A94" w:rsidRPr="00C903F8" w:rsidRDefault="00C01A94" w:rsidP="00C01A94">
            <w:pPr>
              <w:spacing w:before="200" w:after="200" w:line="240" w:lineRule="atLeast"/>
              <w:ind w:left="0" w:firstLine="0"/>
              <w:rPr>
                <w:rFonts w:cs="Arial"/>
                <w:sz w:val="18"/>
                <w:szCs w:val="18"/>
              </w:rPr>
            </w:pPr>
          </w:p>
        </w:tc>
        <w:tc>
          <w:tcPr>
            <w:tcW w:w="1276" w:type="dxa"/>
          </w:tcPr>
          <w:p w:rsidR="00C01A94" w:rsidRPr="00C903F8" w:rsidRDefault="00C01A94" w:rsidP="00C01A94">
            <w:pPr>
              <w:spacing w:before="200" w:after="200" w:line="240" w:lineRule="atLeast"/>
              <w:ind w:left="0" w:firstLine="0"/>
              <w:rPr>
                <w:rFonts w:cs="Arial"/>
                <w:sz w:val="18"/>
                <w:szCs w:val="18"/>
              </w:rPr>
            </w:pPr>
          </w:p>
        </w:tc>
      </w:tr>
      <w:tr w:rsidR="00C01A94" w:rsidRPr="00C903F8" w:rsidTr="00E67DA4">
        <w:trPr>
          <w:cantSplit/>
          <w:jc w:val="center"/>
        </w:trPr>
        <w:tc>
          <w:tcPr>
            <w:tcW w:w="1342" w:type="dxa"/>
            <w:tcBorders>
              <w:bottom w:val="nil"/>
            </w:tcBorders>
            <w:shd w:val="clear" w:color="auto" w:fill="auto"/>
          </w:tcPr>
          <w:p w:rsidR="00C01A94" w:rsidRPr="00C903F8" w:rsidRDefault="00C01A94" w:rsidP="00A5038C">
            <w:pPr>
              <w:spacing w:before="240" w:after="240" w:line="240" w:lineRule="atLeast"/>
              <w:ind w:left="0" w:firstLine="0"/>
              <w:rPr>
                <w:rFonts w:cs="Arial"/>
                <w:sz w:val="18"/>
                <w:szCs w:val="18"/>
              </w:rPr>
            </w:pPr>
            <w:r>
              <w:rPr>
                <w:sz w:val="18"/>
              </w:rPr>
              <w:t>14.02</w:t>
            </w:r>
          </w:p>
        </w:tc>
        <w:tc>
          <w:tcPr>
            <w:tcW w:w="1458" w:type="dxa"/>
            <w:tcBorders>
              <w:bottom w:val="nil"/>
            </w:tcBorders>
            <w:shd w:val="clear" w:color="auto" w:fill="auto"/>
          </w:tcPr>
          <w:p w:rsidR="00C01A94" w:rsidRPr="00C903F8" w:rsidRDefault="00C01A94" w:rsidP="00A5038C">
            <w:pPr>
              <w:spacing w:before="240" w:after="240" w:line="240" w:lineRule="atLeast"/>
              <w:ind w:left="0" w:firstLine="0"/>
              <w:rPr>
                <w:rFonts w:cs="Arial"/>
                <w:sz w:val="18"/>
                <w:szCs w:val="18"/>
              </w:rPr>
            </w:pPr>
            <w:r>
              <w:rPr>
                <w:sz w:val="18"/>
              </w:rPr>
              <w:t>paragrafo 4</w:t>
            </w:r>
          </w:p>
        </w:tc>
        <w:tc>
          <w:tcPr>
            <w:tcW w:w="3296" w:type="dxa"/>
            <w:shd w:val="clear" w:color="auto" w:fill="auto"/>
          </w:tcPr>
          <w:p w:rsidR="00C01A94" w:rsidRPr="00C903F8" w:rsidRDefault="00D429D9" w:rsidP="00A5038C">
            <w:pPr>
              <w:spacing w:before="240" w:after="240" w:line="240" w:lineRule="atLeast"/>
              <w:ind w:left="0" w:firstLine="0"/>
              <w:rPr>
                <w:rFonts w:cs="Arial"/>
                <w:sz w:val="18"/>
                <w:szCs w:val="18"/>
              </w:rPr>
            </w:pPr>
            <w:r>
              <w:rPr>
                <w:noProof/>
                <w:sz w:val="18"/>
              </w:rPr>
              <w:t>Attrezzatura del bordo esterno dei ponti, dei ponti laterali e di altri posti di lavoro</w:t>
            </w:r>
          </w:p>
        </w:tc>
        <w:tc>
          <w:tcPr>
            <w:tcW w:w="5387" w:type="dxa"/>
            <w:shd w:val="clear" w:color="auto" w:fill="auto"/>
          </w:tcPr>
          <w:p w:rsidR="00C01A94" w:rsidRPr="00C903F8" w:rsidRDefault="00C01A94" w:rsidP="00A5038C">
            <w:pPr>
              <w:spacing w:before="240" w:after="24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A5038C">
            <w:pPr>
              <w:spacing w:before="240" w:after="240" w:line="240" w:lineRule="atLeast"/>
              <w:ind w:left="0" w:firstLine="0"/>
              <w:rPr>
                <w:rFonts w:cs="Arial"/>
                <w:sz w:val="18"/>
                <w:szCs w:val="18"/>
              </w:rPr>
            </w:pPr>
          </w:p>
        </w:tc>
        <w:tc>
          <w:tcPr>
            <w:tcW w:w="1276" w:type="dxa"/>
          </w:tcPr>
          <w:p w:rsidR="00C01A94" w:rsidRPr="00C903F8" w:rsidRDefault="00D429D9" w:rsidP="00A5038C">
            <w:pPr>
              <w:spacing w:before="240" w:after="240" w:line="240" w:lineRule="atLeast"/>
              <w:ind w:left="0" w:firstLine="0"/>
              <w:rPr>
                <w:rFonts w:cs="Arial"/>
                <w:sz w:val="18"/>
                <w:szCs w:val="18"/>
              </w:rPr>
            </w:pPr>
            <w:r>
              <w:rPr>
                <w:sz w:val="18"/>
              </w:rPr>
              <w:t>7.10.2018</w:t>
            </w:r>
          </w:p>
        </w:tc>
      </w:tr>
      <w:tr w:rsidR="00C01A94" w:rsidRPr="00C903F8" w:rsidTr="00E67DA4">
        <w:trPr>
          <w:cantSplit/>
          <w:jc w:val="center"/>
        </w:trPr>
        <w:tc>
          <w:tcPr>
            <w:tcW w:w="1342" w:type="dxa"/>
            <w:shd w:val="clear" w:color="auto" w:fill="auto"/>
          </w:tcPr>
          <w:p w:rsidR="00C01A94" w:rsidRPr="00C903F8" w:rsidRDefault="00C01A94" w:rsidP="00C01A94">
            <w:pPr>
              <w:spacing w:before="200" w:after="200" w:line="240" w:lineRule="atLeast"/>
              <w:ind w:left="0" w:firstLine="0"/>
              <w:rPr>
                <w:rFonts w:cs="Arial"/>
                <w:sz w:val="18"/>
                <w:szCs w:val="18"/>
              </w:rPr>
            </w:pPr>
            <w:r>
              <w:rPr>
                <w:sz w:val="18"/>
              </w:rPr>
              <w:t>14.04</w:t>
            </w:r>
          </w:p>
        </w:tc>
        <w:tc>
          <w:tcPr>
            <w:tcW w:w="1458" w:type="dxa"/>
            <w:shd w:val="clear" w:color="auto" w:fill="auto"/>
          </w:tcPr>
          <w:p w:rsidR="00C01A94" w:rsidRPr="00C903F8" w:rsidRDefault="00C01A94" w:rsidP="00D429D9">
            <w:pPr>
              <w:spacing w:before="200" w:after="200" w:line="240" w:lineRule="atLeast"/>
              <w:ind w:left="0" w:firstLine="0"/>
              <w:rPr>
                <w:rFonts w:cs="Arial"/>
                <w:sz w:val="18"/>
                <w:szCs w:val="18"/>
              </w:rPr>
            </w:pPr>
            <w:r>
              <w:rPr>
                <w:sz w:val="18"/>
              </w:rPr>
              <w:t>paragrafo 2</w:t>
            </w:r>
          </w:p>
        </w:tc>
        <w:tc>
          <w:tcPr>
            <w:tcW w:w="3296" w:type="dxa"/>
            <w:shd w:val="clear" w:color="auto" w:fill="auto"/>
          </w:tcPr>
          <w:p w:rsidR="00C01A94" w:rsidRPr="00C903F8" w:rsidRDefault="00C01A94" w:rsidP="00C01A94">
            <w:pPr>
              <w:spacing w:before="200" w:after="200" w:line="240" w:lineRule="atLeast"/>
              <w:ind w:left="0" w:firstLine="0"/>
              <w:rPr>
                <w:rFonts w:cs="Arial"/>
                <w:sz w:val="18"/>
                <w:szCs w:val="18"/>
              </w:rPr>
            </w:pPr>
            <w:r>
              <w:rPr>
                <w:noProof/>
                <w:sz w:val="18"/>
              </w:rPr>
              <w:t>Parapetti dei ponti laterali</w:t>
            </w:r>
          </w:p>
        </w:tc>
        <w:tc>
          <w:tcPr>
            <w:tcW w:w="5387" w:type="dxa"/>
            <w:shd w:val="clear" w:color="auto" w:fill="auto"/>
          </w:tcPr>
          <w:p w:rsidR="00C01A94" w:rsidRPr="00C903F8" w:rsidRDefault="00D429D9" w:rsidP="00C01A94">
            <w:pPr>
              <w:spacing w:before="200" w:after="20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C01A94">
            <w:pPr>
              <w:spacing w:before="200" w:after="200" w:line="240" w:lineRule="atLeast"/>
              <w:ind w:left="0" w:firstLine="0"/>
              <w:rPr>
                <w:rFonts w:cs="Arial"/>
                <w:sz w:val="18"/>
                <w:szCs w:val="18"/>
              </w:rPr>
            </w:pPr>
          </w:p>
        </w:tc>
        <w:tc>
          <w:tcPr>
            <w:tcW w:w="1276" w:type="dxa"/>
          </w:tcPr>
          <w:p w:rsidR="00C01A94" w:rsidRPr="00C903F8" w:rsidRDefault="00D429D9" w:rsidP="00C01A94">
            <w:pPr>
              <w:spacing w:before="200" w:after="200" w:line="240" w:lineRule="atLeast"/>
              <w:ind w:left="0" w:firstLine="0"/>
              <w:rPr>
                <w:rFonts w:cs="Arial"/>
                <w:sz w:val="18"/>
                <w:szCs w:val="18"/>
              </w:rPr>
            </w:pPr>
            <w:r>
              <w:rPr>
                <w:sz w:val="18"/>
              </w:rPr>
              <w:t>7.10.2018</w:t>
            </w:r>
          </w:p>
        </w:tc>
      </w:tr>
      <w:tr w:rsidR="00C01A94" w:rsidRPr="00C903F8" w:rsidTr="00E67DA4">
        <w:trPr>
          <w:cantSplit/>
          <w:jc w:val="center"/>
        </w:trPr>
        <w:tc>
          <w:tcPr>
            <w:tcW w:w="1342" w:type="dxa"/>
            <w:shd w:val="clear" w:color="auto" w:fill="auto"/>
          </w:tcPr>
          <w:p w:rsidR="00C01A94" w:rsidRPr="00C903F8" w:rsidRDefault="00C01A94" w:rsidP="00C01A94">
            <w:pPr>
              <w:spacing w:before="200" w:after="200" w:line="240" w:lineRule="atLeast"/>
              <w:ind w:left="0" w:firstLine="0"/>
              <w:rPr>
                <w:rFonts w:cs="Arial"/>
                <w:sz w:val="18"/>
                <w:szCs w:val="18"/>
              </w:rPr>
            </w:pPr>
            <w:r>
              <w:rPr>
                <w:sz w:val="18"/>
              </w:rPr>
              <w:t>14.12</w:t>
            </w:r>
          </w:p>
        </w:tc>
        <w:tc>
          <w:tcPr>
            <w:tcW w:w="1458" w:type="dxa"/>
            <w:shd w:val="clear" w:color="auto" w:fill="auto"/>
          </w:tcPr>
          <w:p w:rsidR="00C01A94" w:rsidRPr="00C903F8" w:rsidRDefault="00C01A94" w:rsidP="00C01A94">
            <w:pPr>
              <w:spacing w:before="200" w:after="200" w:line="240" w:lineRule="atLeast"/>
              <w:ind w:left="0" w:firstLine="0"/>
              <w:rPr>
                <w:rFonts w:cs="Arial"/>
                <w:sz w:val="18"/>
                <w:szCs w:val="18"/>
              </w:rPr>
            </w:pPr>
            <w:r>
              <w:rPr>
                <w:sz w:val="18"/>
              </w:rPr>
              <w:t>paragrafi 2, 4, 5 e 9</w:t>
            </w:r>
            <w:r>
              <w:rPr>
                <w:snapToGrid w:val="0"/>
                <w:color w:val="000000"/>
                <w:sz w:val="18"/>
                <w:vertAlign w:val="superscript"/>
              </w:rPr>
              <w:t xml:space="preserve"> </w:t>
            </w:r>
          </w:p>
        </w:tc>
        <w:tc>
          <w:tcPr>
            <w:tcW w:w="3296" w:type="dxa"/>
            <w:shd w:val="clear" w:color="auto" w:fill="auto"/>
          </w:tcPr>
          <w:p w:rsidR="00C01A94" w:rsidRPr="00C903F8" w:rsidRDefault="00C01A94" w:rsidP="00C01A94">
            <w:pPr>
              <w:spacing w:before="200" w:after="200" w:line="240" w:lineRule="atLeast"/>
              <w:ind w:left="0" w:firstLine="0"/>
              <w:rPr>
                <w:rFonts w:cs="Arial"/>
                <w:sz w:val="18"/>
                <w:szCs w:val="18"/>
              </w:rPr>
            </w:pPr>
            <w:r>
              <w:rPr>
                <w:noProof/>
                <w:sz w:val="18"/>
              </w:rPr>
              <w:t>Targhetta del costruttore, dispositivi di protezione, documenti a bordo</w:t>
            </w:r>
          </w:p>
        </w:tc>
        <w:tc>
          <w:tcPr>
            <w:tcW w:w="5387" w:type="dxa"/>
            <w:shd w:val="clear" w:color="auto" w:fill="auto"/>
          </w:tcPr>
          <w:p w:rsidR="00C01A94" w:rsidRPr="00C903F8" w:rsidRDefault="00C01A94" w:rsidP="00C01A94">
            <w:pPr>
              <w:spacing w:before="200" w:after="2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200" w:after="200" w:line="240" w:lineRule="atLeast"/>
              <w:ind w:left="0" w:firstLine="0"/>
              <w:rPr>
                <w:rFonts w:cs="Arial"/>
                <w:sz w:val="18"/>
                <w:szCs w:val="18"/>
              </w:rPr>
            </w:pPr>
            <w:r>
              <w:rPr>
                <w:sz w:val="18"/>
              </w:rPr>
              <w:t>1.1.2020</w:t>
            </w:r>
          </w:p>
        </w:tc>
        <w:tc>
          <w:tcPr>
            <w:tcW w:w="1276" w:type="dxa"/>
          </w:tcPr>
          <w:p w:rsidR="00C01A94" w:rsidRPr="00C903F8" w:rsidRDefault="00C01A94" w:rsidP="00C01A94">
            <w:pPr>
              <w:spacing w:before="200" w:after="200" w:line="240" w:lineRule="atLeast"/>
              <w:ind w:left="0" w:firstLine="0"/>
              <w:rPr>
                <w:rFonts w:cs="Arial"/>
                <w:sz w:val="18"/>
                <w:szCs w:val="18"/>
              </w:rPr>
            </w:pPr>
            <w:r>
              <w:rPr>
                <w:sz w:val="18"/>
              </w:rPr>
              <w:t>1.12.2011</w:t>
            </w:r>
          </w:p>
        </w:tc>
      </w:tr>
      <w:tr w:rsidR="00C01A94" w:rsidRPr="00C903F8" w:rsidTr="00E67DA4">
        <w:trPr>
          <w:cantSplit/>
          <w:trHeight w:val="70"/>
          <w:jc w:val="center"/>
        </w:trPr>
        <w:tc>
          <w:tcPr>
            <w:tcW w:w="6096" w:type="dxa"/>
            <w:gridSpan w:val="3"/>
            <w:shd w:val="clear" w:color="auto" w:fill="auto"/>
          </w:tcPr>
          <w:p w:rsidR="00C01A94" w:rsidRPr="00C903F8" w:rsidRDefault="00C01A94" w:rsidP="00C01A94">
            <w:pPr>
              <w:spacing w:before="60" w:after="60" w:line="240" w:lineRule="atLeast"/>
              <w:ind w:left="0" w:firstLine="0"/>
              <w:jc w:val="center"/>
              <w:rPr>
                <w:rFonts w:cs="Arial"/>
                <w:b/>
                <w:sz w:val="18"/>
                <w:szCs w:val="18"/>
              </w:rPr>
            </w:pPr>
            <w:r>
              <w:rPr>
                <w:b/>
                <w:sz w:val="18"/>
              </w:rPr>
              <w:t>CAPO 18</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p>
        </w:tc>
        <w:tc>
          <w:tcPr>
            <w:tcW w:w="1276" w:type="dxa"/>
          </w:tcPr>
          <w:p w:rsidR="00C01A94" w:rsidRPr="00C903F8" w:rsidRDefault="00C01A94" w:rsidP="00C01A94">
            <w:pPr>
              <w:spacing w:before="60" w:after="60" w:line="240" w:lineRule="atLeast"/>
              <w:ind w:left="0" w:firstLine="0"/>
              <w:rPr>
                <w:rFonts w:cs="Arial"/>
                <w:sz w:val="18"/>
                <w:szCs w:val="18"/>
              </w:rPr>
            </w:pPr>
          </w:p>
        </w:tc>
      </w:tr>
      <w:tr w:rsidR="00C01A94" w:rsidRPr="00C903F8" w:rsidTr="00E67DA4">
        <w:trPr>
          <w:cantSplit/>
          <w:jc w:val="center"/>
        </w:trPr>
        <w:tc>
          <w:tcPr>
            <w:tcW w:w="1342" w:type="dxa"/>
            <w:vMerge w:val="restart"/>
            <w:shd w:val="clear" w:color="auto" w:fill="auto"/>
          </w:tcPr>
          <w:p w:rsidR="00C01A94" w:rsidRPr="00605BA5" w:rsidRDefault="00C01A94" w:rsidP="00C01A94">
            <w:pPr>
              <w:spacing w:before="60" w:after="60" w:line="240" w:lineRule="atLeast"/>
              <w:rPr>
                <w:rFonts w:cs="Arial"/>
                <w:sz w:val="18"/>
                <w:szCs w:val="18"/>
              </w:rPr>
            </w:pPr>
            <w:r>
              <w:rPr>
                <w:sz w:val="18"/>
              </w:rPr>
              <w:lastRenderedPageBreak/>
              <w:t>18.01</w:t>
            </w:r>
          </w:p>
        </w:tc>
        <w:tc>
          <w:tcPr>
            <w:tcW w:w="1458" w:type="dxa"/>
            <w:vMerge w:val="restart"/>
            <w:shd w:val="clear" w:color="auto" w:fill="auto"/>
          </w:tcPr>
          <w:p w:rsidR="00C01A94" w:rsidRPr="00605BA5" w:rsidRDefault="00C01A94" w:rsidP="00C01A94">
            <w:pPr>
              <w:adjustRightInd w:val="0"/>
              <w:spacing w:before="60" w:after="60" w:line="240" w:lineRule="atLeast"/>
              <w:ind w:left="0" w:right="-108" w:firstLine="0"/>
              <w:jc w:val="left"/>
              <w:rPr>
                <w:rFonts w:cs="Arial"/>
                <w:sz w:val="18"/>
                <w:szCs w:val="18"/>
              </w:rPr>
            </w:pPr>
            <w:r>
              <w:rPr>
                <w:sz w:val="18"/>
              </w:rPr>
              <w:t>paragrafo 2, tabelle 1 e 2 e paragrafo 5</w:t>
            </w:r>
          </w:p>
        </w:tc>
        <w:tc>
          <w:tcPr>
            <w:tcW w:w="3296" w:type="dxa"/>
            <w:vMerge w:val="restart"/>
            <w:shd w:val="clear" w:color="auto" w:fill="auto"/>
          </w:tcPr>
          <w:p w:rsidR="00C01A94" w:rsidRPr="00605BA5" w:rsidRDefault="00C01A94" w:rsidP="00C01A94">
            <w:pPr>
              <w:adjustRightInd w:val="0"/>
              <w:spacing w:before="60" w:after="60" w:line="240" w:lineRule="atLeast"/>
              <w:ind w:left="0" w:firstLine="0"/>
              <w:rPr>
                <w:rFonts w:cs="Arial"/>
                <w:sz w:val="18"/>
                <w:szCs w:val="18"/>
              </w:rPr>
            </w:pPr>
            <w:r>
              <w:rPr>
                <w:noProof/>
                <w:sz w:val="18"/>
              </w:rPr>
              <w:t>Valori limite/controllo e omologazioni</w:t>
            </w:r>
          </w:p>
        </w:tc>
        <w:tc>
          <w:tcPr>
            <w:tcW w:w="5387" w:type="dxa"/>
            <w:shd w:val="clear" w:color="auto" w:fill="auto"/>
          </w:tcPr>
          <w:p w:rsidR="00C01A94" w:rsidRPr="00605BA5" w:rsidRDefault="00C01A94" w:rsidP="00C01A94">
            <w:pPr>
              <w:spacing w:before="60" w:after="60" w:line="240" w:lineRule="atLeast"/>
              <w:rPr>
                <w:rFonts w:cs="Arial"/>
                <w:sz w:val="18"/>
                <w:szCs w:val="18"/>
              </w:rPr>
            </w:pPr>
            <w:r>
              <w:rPr>
                <w:sz w:val="18"/>
              </w:rPr>
              <w:t>N.S.T. nella misura in cui</w:t>
            </w:r>
          </w:p>
          <w:p w:rsidR="00C01A94" w:rsidRPr="00605BA5" w:rsidRDefault="00C01A94" w:rsidP="00C01A94">
            <w:pPr>
              <w:spacing w:before="60" w:after="60" w:line="240" w:lineRule="atLeast"/>
              <w:ind w:left="317" w:hanging="317"/>
              <w:rPr>
                <w:rFonts w:cs="Arial"/>
                <w:sz w:val="18"/>
                <w:szCs w:val="18"/>
              </w:rPr>
            </w:pPr>
            <w:r>
              <w:rPr>
                <w:sz w:val="18"/>
              </w:rPr>
              <w:t>a)</w:t>
            </w:r>
            <w:r>
              <w:tab/>
            </w:r>
            <w:r>
              <w:rPr>
                <w:sz w:val="18"/>
              </w:rPr>
              <w:t>i valori limite e di controllo non superano i valori di cui alla fase II di più del fattore 2;</w:t>
            </w:r>
          </w:p>
          <w:p w:rsidR="00C01A94" w:rsidRPr="00605BA5" w:rsidRDefault="00C01A94" w:rsidP="00C01A94">
            <w:pPr>
              <w:spacing w:before="60" w:after="60" w:line="240" w:lineRule="atLeast"/>
              <w:ind w:left="317" w:hanging="317"/>
              <w:rPr>
                <w:rFonts w:cs="Arial"/>
                <w:sz w:val="18"/>
                <w:szCs w:val="18"/>
              </w:rPr>
            </w:pPr>
            <w:r>
              <w:rPr>
                <w:sz w:val="18"/>
              </w:rPr>
              <w:t>b)</w:t>
            </w:r>
            <w:r>
              <w:tab/>
            </w:r>
            <w:r>
              <w:rPr>
                <w:sz w:val="18"/>
              </w:rPr>
              <w:t>l'impianto di depurazione di bordo è provvisto di un certificato del costruttore o di un esperto attestante che esso è in grado di gestire le situazioni di carico tipiche a bordo della nave;</w:t>
            </w:r>
          </w:p>
          <w:p w:rsidR="00C01A94" w:rsidRPr="00605BA5" w:rsidRDefault="00C01A94" w:rsidP="00C01A94">
            <w:pPr>
              <w:adjustRightInd w:val="0"/>
              <w:spacing w:before="60" w:after="60" w:line="240" w:lineRule="atLeast"/>
              <w:ind w:left="318" w:hanging="318"/>
              <w:rPr>
                <w:rFonts w:cs="Arial"/>
                <w:sz w:val="18"/>
                <w:szCs w:val="18"/>
              </w:rPr>
            </w:pPr>
            <w:r>
              <w:rPr>
                <w:sz w:val="18"/>
              </w:rPr>
              <w:t>c)</w:t>
            </w:r>
            <w:r>
              <w:tab/>
            </w:r>
            <w:r>
              <w:rPr>
                <w:noProof/>
                <w:sz w:val="18"/>
              </w:rPr>
              <w:t>è in funzione un sistema di gestione dei fanghi di depurazione adeguato alle condizioni operative dell'impianto di depurazione presente sulla nave passeggeri.</w:t>
            </w:r>
          </w:p>
        </w:tc>
        <w:tc>
          <w:tcPr>
            <w:tcW w:w="1276" w:type="dxa"/>
            <w:shd w:val="clear" w:color="auto" w:fill="auto"/>
          </w:tcPr>
          <w:p w:rsidR="00C01A94" w:rsidRPr="00605BA5" w:rsidRDefault="00C01A94" w:rsidP="00C01A94">
            <w:pPr>
              <w:spacing w:before="60" w:after="60" w:line="240" w:lineRule="atLeast"/>
              <w:rPr>
                <w:rFonts w:cs="Arial"/>
                <w:sz w:val="18"/>
                <w:szCs w:val="18"/>
              </w:rPr>
            </w:pPr>
          </w:p>
        </w:tc>
        <w:tc>
          <w:tcPr>
            <w:tcW w:w="1276" w:type="dxa"/>
          </w:tcPr>
          <w:p w:rsidR="00C01A94" w:rsidRPr="00605BA5" w:rsidRDefault="00C01A94" w:rsidP="00C01A94">
            <w:pPr>
              <w:spacing w:before="60" w:after="60" w:line="240" w:lineRule="atLeast"/>
              <w:rPr>
                <w:rFonts w:cs="Arial"/>
                <w:sz w:val="18"/>
                <w:szCs w:val="18"/>
              </w:rPr>
            </w:pPr>
            <w:r>
              <w:rPr>
                <w:sz w:val="18"/>
              </w:rPr>
              <w:t>1.12.2011</w:t>
            </w:r>
          </w:p>
        </w:tc>
      </w:tr>
      <w:tr w:rsidR="00C01A94" w:rsidRPr="00C903F8" w:rsidTr="00E67DA4">
        <w:trPr>
          <w:cantSplit/>
          <w:jc w:val="center"/>
        </w:trPr>
        <w:tc>
          <w:tcPr>
            <w:tcW w:w="1342" w:type="dxa"/>
            <w:vMerge/>
            <w:shd w:val="clear" w:color="auto" w:fill="auto"/>
          </w:tcPr>
          <w:p w:rsidR="00C01A94" w:rsidRPr="00605BA5" w:rsidRDefault="00C01A94" w:rsidP="00C01A94">
            <w:pPr>
              <w:spacing w:before="60" w:after="60" w:line="240" w:lineRule="atLeast"/>
              <w:ind w:left="0" w:firstLine="0"/>
              <w:rPr>
                <w:rFonts w:cs="Arial"/>
                <w:sz w:val="18"/>
                <w:szCs w:val="18"/>
              </w:rPr>
            </w:pPr>
          </w:p>
        </w:tc>
        <w:tc>
          <w:tcPr>
            <w:tcW w:w="1458" w:type="dxa"/>
            <w:vMerge/>
            <w:shd w:val="clear" w:color="auto" w:fill="auto"/>
          </w:tcPr>
          <w:p w:rsidR="00C01A94" w:rsidRPr="00605BA5" w:rsidRDefault="00C01A94" w:rsidP="00C01A94">
            <w:pPr>
              <w:spacing w:before="60" w:after="60" w:line="240" w:lineRule="atLeast"/>
              <w:ind w:left="0" w:firstLine="0"/>
              <w:rPr>
                <w:rFonts w:cs="Arial"/>
                <w:sz w:val="18"/>
                <w:szCs w:val="18"/>
              </w:rPr>
            </w:pPr>
          </w:p>
        </w:tc>
        <w:tc>
          <w:tcPr>
            <w:tcW w:w="3296" w:type="dxa"/>
            <w:vMerge/>
            <w:shd w:val="clear" w:color="auto" w:fill="auto"/>
          </w:tcPr>
          <w:p w:rsidR="00C01A94" w:rsidRPr="00605BA5" w:rsidRDefault="00C01A94" w:rsidP="00C01A94">
            <w:pPr>
              <w:tabs>
                <w:tab w:val="left" w:pos="1080"/>
              </w:tabs>
              <w:spacing w:before="60" w:after="60" w:line="240" w:lineRule="atLeast"/>
              <w:ind w:left="0" w:firstLine="0"/>
              <w:rPr>
                <w:rFonts w:cs="Arial"/>
                <w:noProof/>
                <w:sz w:val="18"/>
                <w:szCs w:val="18"/>
              </w:rPr>
            </w:pPr>
          </w:p>
        </w:tc>
        <w:tc>
          <w:tcPr>
            <w:tcW w:w="5387" w:type="dxa"/>
            <w:shd w:val="clear" w:color="auto" w:fill="auto"/>
          </w:tcPr>
          <w:p w:rsidR="00C01A94" w:rsidRPr="00605BA5" w:rsidRDefault="00C01A94" w:rsidP="00C01A94">
            <w:pPr>
              <w:spacing w:before="60" w:after="60" w:line="240" w:lineRule="atLeast"/>
              <w:ind w:left="0" w:firstLine="0"/>
              <w:rPr>
                <w:rFonts w:cs="Arial"/>
                <w:sz w:val="18"/>
                <w:szCs w:val="18"/>
              </w:rPr>
            </w:pPr>
            <w:r>
              <w:rPr>
                <w:sz w:val="18"/>
              </w:rPr>
              <w:t>Gli impianti di depurazione di bordo autorizzati il 1° dicembre 2011 o successivamente a tale data, in conformità dei requisiti della risoluzione CCNR 2010-II-27 (fase II), possono continuare ad essere installati e utilizzati.</w:t>
            </w:r>
          </w:p>
        </w:tc>
        <w:tc>
          <w:tcPr>
            <w:tcW w:w="1276" w:type="dxa"/>
            <w:shd w:val="clear" w:color="auto" w:fill="auto"/>
          </w:tcPr>
          <w:p w:rsidR="00C01A94" w:rsidRPr="00605BA5" w:rsidRDefault="00C01A94" w:rsidP="00C01A94">
            <w:pPr>
              <w:spacing w:before="60" w:after="60" w:line="240" w:lineRule="atLeast"/>
              <w:ind w:left="0" w:firstLine="0"/>
              <w:rPr>
                <w:rFonts w:cs="Arial"/>
                <w:sz w:val="18"/>
                <w:szCs w:val="18"/>
              </w:rPr>
            </w:pPr>
          </w:p>
        </w:tc>
        <w:tc>
          <w:tcPr>
            <w:tcW w:w="1276" w:type="dxa"/>
          </w:tcPr>
          <w:p w:rsidR="00C01A94" w:rsidRPr="00605BA5" w:rsidRDefault="00C01A94" w:rsidP="00C01A94">
            <w:pPr>
              <w:spacing w:before="60" w:after="60" w:line="240" w:lineRule="atLeast"/>
              <w:ind w:left="0" w:firstLine="0"/>
              <w:rPr>
                <w:rFonts w:cs="Arial"/>
                <w:sz w:val="18"/>
                <w:szCs w:val="18"/>
              </w:rPr>
            </w:pPr>
            <w:r>
              <w:rPr>
                <w:sz w:val="18"/>
              </w:rPr>
              <w:t>7.10.2018</w:t>
            </w:r>
          </w:p>
        </w:tc>
      </w:tr>
      <w:tr w:rsidR="00C01A94" w:rsidRPr="00C903F8" w:rsidTr="00E67DA4">
        <w:trPr>
          <w:cantSplit/>
          <w:jc w:val="center"/>
        </w:trPr>
        <w:tc>
          <w:tcPr>
            <w:tcW w:w="1342" w:type="dxa"/>
            <w:vMerge/>
            <w:shd w:val="clear" w:color="auto" w:fill="auto"/>
          </w:tcPr>
          <w:p w:rsidR="00C01A94" w:rsidRPr="00605BA5" w:rsidRDefault="00C01A94" w:rsidP="00C01A94">
            <w:pPr>
              <w:spacing w:before="60" w:after="60" w:line="240" w:lineRule="atLeast"/>
              <w:ind w:left="0" w:firstLine="0"/>
              <w:rPr>
                <w:rFonts w:cs="Arial"/>
                <w:sz w:val="18"/>
                <w:szCs w:val="18"/>
              </w:rPr>
            </w:pPr>
          </w:p>
        </w:tc>
        <w:tc>
          <w:tcPr>
            <w:tcW w:w="1458" w:type="dxa"/>
            <w:vMerge/>
            <w:shd w:val="clear" w:color="auto" w:fill="auto"/>
          </w:tcPr>
          <w:p w:rsidR="00C01A94" w:rsidRPr="00605BA5" w:rsidRDefault="00C01A94" w:rsidP="00C01A94">
            <w:pPr>
              <w:spacing w:before="60" w:after="60" w:line="240" w:lineRule="atLeast"/>
              <w:ind w:left="0" w:firstLine="0"/>
              <w:rPr>
                <w:rFonts w:cs="Arial"/>
                <w:sz w:val="18"/>
                <w:szCs w:val="18"/>
              </w:rPr>
            </w:pPr>
          </w:p>
        </w:tc>
        <w:tc>
          <w:tcPr>
            <w:tcW w:w="3296" w:type="dxa"/>
            <w:vMerge/>
            <w:shd w:val="clear" w:color="auto" w:fill="auto"/>
          </w:tcPr>
          <w:p w:rsidR="00C01A94" w:rsidRPr="00605BA5" w:rsidRDefault="00C01A94" w:rsidP="00C01A94">
            <w:pPr>
              <w:tabs>
                <w:tab w:val="left" w:pos="1080"/>
              </w:tabs>
              <w:spacing w:before="60" w:after="60" w:line="240" w:lineRule="atLeast"/>
              <w:ind w:left="0" w:firstLine="0"/>
              <w:rPr>
                <w:rFonts w:cs="Arial"/>
                <w:noProof/>
                <w:sz w:val="18"/>
                <w:szCs w:val="18"/>
              </w:rPr>
            </w:pPr>
          </w:p>
        </w:tc>
        <w:tc>
          <w:tcPr>
            <w:tcW w:w="5387" w:type="dxa"/>
            <w:shd w:val="clear" w:color="auto" w:fill="auto"/>
          </w:tcPr>
          <w:p w:rsidR="00C01A94" w:rsidRPr="00605BA5" w:rsidRDefault="00C01A94" w:rsidP="00C01A94">
            <w:pPr>
              <w:spacing w:before="60" w:after="60" w:line="240" w:lineRule="atLeast"/>
              <w:ind w:left="0" w:firstLine="0"/>
              <w:rPr>
                <w:rFonts w:cs="Arial"/>
                <w:sz w:val="18"/>
                <w:szCs w:val="18"/>
              </w:rPr>
            </w:pPr>
            <w:r>
              <w:rPr>
                <w:sz w:val="18"/>
              </w:rPr>
              <w:t>Gli impianti di depurazione di bordo autorizzati il 10 gennaio 2013 o successivamente a tale data, in conformità dei requisiti della direttiva 2012/49/UE (fase II), possono continuare ad essere installati e utilizzati.</w:t>
            </w:r>
          </w:p>
        </w:tc>
        <w:tc>
          <w:tcPr>
            <w:tcW w:w="1276" w:type="dxa"/>
            <w:shd w:val="clear" w:color="auto" w:fill="auto"/>
          </w:tcPr>
          <w:p w:rsidR="00C01A94" w:rsidRPr="00605BA5" w:rsidRDefault="00C01A94" w:rsidP="00C01A94">
            <w:pPr>
              <w:spacing w:before="60" w:after="60" w:line="240" w:lineRule="atLeast"/>
              <w:ind w:left="0" w:firstLine="0"/>
              <w:rPr>
                <w:rFonts w:cs="Arial"/>
                <w:sz w:val="18"/>
                <w:szCs w:val="18"/>
              </w:rPr>
            </w:pPr>
          </w:p>
        </w:tc>
        <w:tc>
          <w:tcPr>
            <w:tcW w:w="1276" w:type="dxa"/>
          </w:tcPr>
          <w:p w:rsidR="00C01A94" w:rsidRPr="00605BA5" w:rsidRDefault="00C01A94" w:rsidP="00C01A94">
            <w:pPr>
              <w:spacing w:before="60" w:after="60" w:line="240" w:lineRule="atLeast"/>
              <w:ind w:left="0" w:firstLine="0"/>
              <w:rPr>
                <w:rFonts w:cs="Arial"/>
                <w:sz w:val="18"/>
                <w:szCs w:val="18"/>
              </w:rPr>
            </w:pPr>
            <w:r>
              <w:rPr>
                <w:sz w:val="18"/>
              </w:rPr>
              <w:t>7.10.2018</w:t>
            </w:r>
          </w:p>
        </w:tc>
      </w:tr>
      <w:tr w:rsidR="00C01A94" w:rsidRPr="00C903F8" w:rsidTr="00E67DA4">
        <w:trPr>
          <w:cantSplit/>
          <w:jc w:val="center"/>
        </w:trPr>
        <w:tc>
          <w:tcPr>
            <w:tcW w:w="6096" w:type="dxa"/>
            <w:gridSpan w:val="3"/>
            <w:shd w:val="clear" w:color="auto" w:fill="auto"/>
          </w:tcPr>
          <w:p w:rsidR="00C01A94" w:rsidRPr="00C903F8" w:rsidRDefault="00C01A94" w:rsidP="00C01A94">
            <w:pPr>
              <w:tabs>
                <w:tab w:val="left" w:pos="1080"/>
              </w:tabs>
              <w:spacing w:before="60" w:after="60" w:line="240" w:lineRule="atLeast"/>
              <w:ind w:left="0" w:firstLine="0"/>
              <w:jc w:val="center"/>
              <w:rPr>
                <w:rFonts w:cs="Arial"/>
                <w:sz w:val="18"/>
                <w:szCs w:val="18"/>
              </w:rPr>
            </w:pPr>
            <w:r>
              <w:rPr>
                <w:b/>
                <w:sz w:val="18"/>
              </w:rPr>
              <w:t>CAPO 19</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p>
        </w:tc>
        <w:tc>
          <w:tcPr>
            <w:tcW w:w="1276" w:type="dxa"/>
          </w:tcPr>
          <w:p w:rsidR="00C01A94" w:rsidRPr="00C903F8" w:rsidRDefault="00C01A94" w:rsidP="00C01A94">
            <w:pPr>
              <w:spacing w:before="60" w:after="60" w:line="240" w:lineRule="atLeast"/>
              <w:ind w:left="0" w:firstLine="0"/>
              <w:rPr>
                <w:rFonts w:cs="Arial"/>
                <w:sz w:val="18"/>
                <w:szCs w:val="18"/>
              </w:rPr>
            </w:pPr>
          </w:p>
        </w:tc>
      </w:tr>
      <w:tr w:rsidR="00C01A94" w:rsidRPr="00C903F8" w:rsidTr="00F14E8B">
        <w:trPr>
          <w:cantSplit/>
          <w:jc w:val="center"/>
        </w:trPr>
        <w:tc>
          <w:tcPr>
            <w:tcW w:w="1342" w:type="dxa"/>
            <w:tcBorders>
              <w:top w:val="nil"/>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19.01</w:t>
            </w:r>
          </w:p>
        </w:tc>
        <w:tc>
          <w:tcPr>
            <w:tcW w:w="1458" w:type="dxa"/>
            <w:vMerge w:val="restart"/>
            <w:shd w:val="clear" w:color="auto" w:fill="auto"/>
          </w:tcPr>
          <w:p w:rsidR="00C01A94" w:rsidRPr="00C903F8" w:rsidRDefault="00C01A94" w:rsidP="0077255B">
            <w:pPr>
              <w:spacing w:before="60" w:after="60" w:line="240" w:lineRule="atLeast"/>
              <w:ind w:left="0" w:firstLine="0"/>
              <w:rPr>
                <w:rFonts w:cs="Arial"/>
                <w:sz w:val="18"/>
                <w:szCs w:val="18"/>
              </w:rPr>
            </w:pPr>
            <w:r>
              <w:rPr>
                <w:sz w:val="18"/>
              </w:rPr>
              <w:t>paragrafo 2, lettera e)</w:t>
            </w:r>
          </w:p>
        </w:tc>
        <w:tc>
          <w:tcPr>
            <w:tcW w:w="3296" w:type="dxa"/>
            <w:vMerge w:val="restart"/>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r>
              <w:rPr>
                <w:noProof/>
                <w:sz w:val="18"/>
              </w:rPr>
              <w:t>Divieto di impianti a gas liquefatto ai sensi del capitolo 17</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1.1.2006</w:t>
            </w:r>
          </w:p>
        </w:tc>
      </w:tr>
      <w:tr w:rsidR="00C01A94" w:rsidRPr="00C903F8" w:rsidTr="00F14E8B">
        <w:trPr>
          <w:cantSplit/>
          <w:jc w:val="center"/>
        </w:trPr>
        <w:tc>
          <w:tcPr>
            <w:tcW w:w="1342" w:type="dxa"/>
            <w:tcBorders>
              <w:top w:val="nil"/>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1458" w:type="dxa"/>
            <w:vMerge/>
            <w:shd w:val="clear" w:color="auto" w:fill="auto"/>
          </w:tcPr>
          <w:p w:rsidR="00C01A94" w:rsidRPr="00C903F8" w:rsidRDefault="00C01A94" w:rsidP="00C01A94">
            <w:pPr>
              <w:spacing w:before="60" w:after="60" w:line="240" w:lineRule="atLeast"/>
              <w:ind w:left="0" w:firstLine="0"/>
              <w:rPr>
                <w:rFonts w:cs="Arial"/>
                <w:sz w:val="18"/>
                <w:szCs w:val="18"/>
              </w:rPr>
            </w:pPr>
          </w:p>
        </w:tc>
        <w:tc>
          <w:tcPr>
            <w:tcW w:w="3296" w:type="dxa"/>
            <w:vMerge/>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La disposizione transitoria si applica solo se i sistemi di allarme sono installati conformemente all'articolo 19.15, paragrafo 8.</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single" w:sz="4" w:space="0" w:color="auto"/>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paragrafi 5 e 6</w:t>
            </w:r>
          </w:p>
        </w:tc>
        <w:tc>
          <w:tcPr>
            <w:tcW w:w="3296" w:type="dxa"/>
            <w:shd w:val="clear" w:color="auto" w:fill="auto"/>
          </w:tcPr>
          <w:p w:rsidR="00C01A94" w:rsidRPr="00C903F8" w:rsidRDefault="00C01A94" w:rsidP="00C01A94">
            <w:pPr>
              <w:tabs>
                <w:tab w:val="right" w:pos="3856"/>
                <w:tab w:val="center" w:pos="4536"/>
                <w:tab w:val="left" w:pos="6521"/>
                <w:tab w:val="right" w:pos="9072"/>
              </w:tabs>
              <w:spacing w:before="60" w:after="60" w:line="240" w:lineRule="atLeast"/>
              <w:ind w:left="0" w:firstLine="0"/>
              <w:rPr>
                <w:rFonts w:cs="Arial"/>
                <w:sz w:val="18"/>
                <w:szCs w:val="18"/>
              </w:rPr>
            </w:pPr>
            <w:r>
              <w:rPr>
                <w:color w:val="000000"/>
                <w:sz w:val="18"/>
              </w:rPr>
              <w:t xml:space="preserve">Visuale ostruita davanti alla nave per due lunghezze di nave se inferiore a 250 m </w:t>
            </w:r>
            <w:r>
              <w:rPr>
                <w:rFonts w:cs="Arial"/>
                <w:color w:val="000000"/>
                <w:sz w:val="18"/>
                <w:szCs w:val="18"/>
              </w:rPr>
              <w:br/>
            </w:r>
            <w:r>
              <w:rPr>
                <w:sz w:val="18"/>
              </w:rPr>
              <w:t>Visuale sufficiente a marcia indietro</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7.10.2018</w:t>
            </w:r>
          </w:p>
        </w:tc>
      </w:tr>
      <w:tr w:rsidR="00C01A94" w:rsidRPr="00C903F8" w:rsidTr="0060199F">
        <w:trPr>
          <w:cantSplit/>
          <w:jc w:val="center"/>
        </w:trPr>
        <w:tc>
          <w:tcPr>
            <w:tcW w:w="1342" w:type="dxa"/>
            <w:tcBorders>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19.02</w:t>
            </w:r>
          </w:p>
        </w:tc>
        <w:tc>
          <w:tcPr>
            <w:tcW w:w="1458" w:type="dxa"/>
            <w:tcBorders>
              <w:bottom w:val="single" w:sz="4" w:space="0" w:color="auto"/>
            </w:tcBorders>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paragrafo 2</w:t>
            </w:r>
          </w:p>
        </w:tc>
        <w:tc>
          <w:tcPr>
            <w:tcW w:w="3296" w:type="dxa"/>
            <w:tcBorders>
              <w:bottom w:val="single" w:sz="4" w:space="0" w:color="auto"/>
            </w:tcBorders>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r>
              <w:rPr>
                <w:noProof/>
                <w:sz w:val="18"/>
              </w:rPr>
              <w:t>Numero e posizione delle paratie</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1.1.2006</w:t>
            </w:r>
          </w:p>
        </w:tc>
      </w:tr>
      <w:tr w:rsidR="00C01A94" w:rsidRPr="00C903F8" w:rsidTr="0060199F">
        <w:trPr>
          <w:cantSplit/>
          <w:jc w:val="center"/>
        </w:trPr>
        <w:tc>
          <w:tcPr>
            <w:tcW w:w="1342" w:type="dxa"/>
            <w:tcBorders>
              <w:top w:val="nil"/>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1458" w:type="dxa"/>
            <w:tcBorders>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paragrafo 3</w:t>
            </w:r>
          </w:p>
        </w:tc>
        <w:tc>
          <w:tcPr>
            <w:tcW w:w="3296" w:type="dxa"/>
            <w:tcBorders>
              <w:bottom w:val="nil"/>
            </w:tcBorders>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r>
              <w:rPr>
                <w:sz w:val="18"/>
              </w:rPr>
              <w:t>Posizione della paratia del gavone di poppa</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1.1.2035</w:t>
            </w:r>
          </w:p>
        </w:tc>
        <w:tc>
          <w:tcPr>
            <w:tcW w:w="1276" w:type="dxa"/>
          </w:tcPr>
          <w:p w:rsidR="00C01A94" w:rsidRPr="009B46F3" w:rsidRDefault="00C01A94" w:rsidP="00C01A94">
            <w:pPr>
              <w:spacing w:before="60" w:after="60" w:line="240" w:lineRule="atLeast"/>
              <w:ind w:left="0" w:firstLine="0"/>
              <w:rPr>
                <w:rFonts w:cs="Arial"/>
                <w:sz w:val="18"/>
                <w:szCs w:val="18"/>
                <w:highlight w:val="green"/>
              </w:rPr>
            </w:pPr>
            <w:r>
              <w:rPr>
                <w:sz w:val="18"/>
              </w:rPr>
              <w:t>7.10.2018</w:t>
            </w:r>
          </w:p>
        </w:tc>
      </w:tr>
      <w:tr w:rsidR="00C01A94" w:rsidRPr="00C903F8" w:rsidTr="0060199F">
        <w:trPr>
          <w:cantSplit/>
          <w:jc w:val="center"/>
        </w:trPr>
        <w:tc>
          <w:tcPr>
            <w:tcW w:w="1342" w:type="dxa"/>
            <w:tcBorders>
              <w:top w:val="nil"/>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1458" w:type="dxa"/>
            <w:tcBorders>
              <w:top w:val="nil"/>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3296" w:type="dxa"/>
            <w:tcBorders>
              <w:top w:val="nil"/>
            </w:tcBorders>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Questa prescrizione non si applica alle navi da passeggeri che, a causa della conformità alle prescrizioni di base per la compartimentazione 2 di cui all'articolo 19.03, paragrafo 9 o della conformità alle prescrizioni di cui all'articolo 19.07, raggiungono un livello equivalente di sicurezza e manovrabilità.</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p>
        </w:tc>
        <w:tc>
          <w:tcPr>
            <w:tcW w:w="1276" w:type="dxa"/>
          </w:tcPr>
          <w:p w:rsidR="00C01A94" w:rsidRPr="009B46F3" w:rsidRDefault="00C01A94" w:rsidP="00C01A94">
            <w:pPr>
              <w:spacing w:before="60" w:after="60" w:line="240" w:lineRule="atLeast"/>
              <w:ind w:left="0" w:firstLine="0"/>
              <w:rPr>
                <w:rFonts w:cs="Arial"/>
                <w:sz w:val="18"/>
                <w:szCs w:val="18"/>
                <w:highlight w:val="green"/>
              </w:rPr>
            </w:pPr>
            <w:r>
              <w:rPr>
                <w:sz w:val="18"/>
              </w:rPr>
              <w:t>7.10.2018</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60" w:after="60" w:line="240" w:lineRule="atLeast"/>
              <w:ind w:left="0" w:firstLine="0"/>
              <w:jc w:val="left"/>
              <w:rPr>
                <w:rFonts w:cs="Arial"/>
                <w:sz w:val="18"/>
                <w:szCs w:val="18"/>
              </w:rPr>
            </w:pPr>
            <w:r>
              <w:rPr>
                <w:sz w:val="18"/>
              </w:rPr>
              <w:t>paragrafo 5, seconda frase</w:t>
            </w:r>
          </w:p>
        </w:tc>
        <w:tc>
          <w:tcPr>
            <w:tcW w:w="3296" w:type="dxa"/>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r>
              <w:rPr>
                <w:noProof/>
                <w:sz w:val="18"/>
              </w:rPr>
              <w:t>Linea limite in mancanza di un ponte di compartimentazione</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noProof/>
                <w:sz w:val="18"/>
              </w:rPr>
              <w:t>Per le navi da passeggeri la cui chiglia è stata impostata prima dell'1.1.1996, N.S.T., al più tardi alla data del rinnovo del certificato per la navigazione interna posteriormente al</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single" w:sz="4" w:space="0" w:color="auto"/>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paragrafo 15</w:t>
            </w:r>
          </w:p>
        </w:tc>
        <w:tc>
          <w:tcPr>
            <w:tcW w:w="3296" w:type="dxa"/>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r>
              <w:rPr>
                <w:noProof/>
                <w:sz w:val="18"/>
              </w:rPr>
              <w:t>Altezza minima dei doppi fondi o degli spazi laterali</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19.03</w:t>
            </w:r>
          </w:p>
        </w:tc>
        <w:tc>
          <w:tcPr>
            <w:tcW w:w="1458"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paragrafi da 1 a 6</w:t>
            </w:r>
          </w:p>
        </w:tc>
        <w:tc>
          <w:tcPr>
            <w:tcW w:w="3296" w:type="dxa"/>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r>
              <w:rPr>
                <w:noProof/>
                <w:sz w:val="18"/>
              </w:rPr>
              <w:t>Stabilità a nave integra</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noProof/>
                <w:sz w:val="18"/>
              </w:rPr>
              <w:t>N.S.T., e in caso di aumento del numero massimo di passeggeri, al più tardi alla data di rinnovo del certificato per la navigazione interna posteriormente al</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1458" w:type="dxa"/>
            <w:tcBorders>
              <w:bottom w:val="single" w:sz="4" w:space="0" w:color="auto"/>
            </w:tcBorders>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paragrafi 7 e 8</w:t>
            </w:r>
          </w:p>
        </w:tc>
        <w:tc>
          <w:tcPr>
            <w:tcW w:w="3296" w:type="dxa"/>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r>
              <w:rPr>
                <w:noProof/>
                <w:sz w:val="18"/>
              </w:rPr>
              <w:t>Stabilità in condizioni di avaria</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1.1.2006</w:t>
            </w:r>
          </w:p>
        </w:tc>
      </w:tr>
      <w:tr w:rsidR="00C01A94" w:rsidRPr="00C903F8" w:rsidTr="0060199F">
        <w:trPr>
          <w:cantSplit/>
          <w:jc w:val="center"/>
        </w:trPr>
        <w:tc>
          <w:tcPr>
            <w:tcW w:w="1342" w:type="dxa"/>
            <w:tcBorders>
              <w:top w:val="nil"/>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1458" w:type="dxa"/>
            <w:tcBorders>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paragrafo 9</w:t>
            </w:r>
          </w:p>
        </w:tc>
        <w:tc>
          <w:tcPr>
            <w:tcW w:w="3296" w:type="dxa"/>
            <w:tcBorders>
              <w:bottom w:val="single" w:sz="4" w:space="0" w:color="auto"/>
            </w:tcBorders>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r>
              <w:rPr>
                <w:sz w:val="18"/>
              </w:rPr>
              <w:t>Stabilità in condizioni di avaria</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1.1.2006</w:t>
            </w:r>
          </w:p>
        </w:tc>
      </w:tr>
      <w:tr w:rsidR="00C01A94" w:rsidRPr="00C903F8" w:rsidTr="00F14E8B">
        <w:trPr>
          <w:cantSplit/>
          <w:jc w:val="center"/>
        </w:trPr>
        <w:tc>
          <w:tcPr>
            <w:tcW w:w="1342" w:type="dxa"/>
            <w:tcBorders>
              <w:top w:val="nil"/>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1458" w:type="dxa"/>
            <w:vMerge w:val="restart"/>
            <w:tcBorders>
              <w:top w:val="nil"/>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3296" w:type="dxa"/>
            <w:vMerge w:val="restart"/>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r>
              <w:rPr>
                <w:sz w:val="18"/>
              </w:rPr>
              <w:t>Dimensioni verticali della falla sul fondo dell’imbarcazione</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1.1.2006</w:t>
            </w:r>
          </w:p>
        </w:tc>
      </w:tr>
      <w:tr w:rsidR="00C01A94" w:rsidRPr="00C903F8" w:rsidTr="00F14E8B">
        <w:trPr>
          <w:cantSplit/>
          <w:jc w:val="center"/>
        </w:trPr>
        <w:tc>
          <w:tcPr>
            <w:tcW w:w="1342" w:type="dxa"/>
            <w:tcBorders>
              <w:top w:val="nil"/>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1458" w:type="dxa"/>
            <w:vMerge/>
            <w:tcBorders>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3296" w:type="dxa"/>
            <w:vMerge/>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noProof/>
                <w:sz w:val="18"/>
              </w:rPr>
              <w:t>N.S.T. applicabile alle navi con ponti a tenuta stagna all'acqua su una distanza minima di 0,50 m e meno di 0,60 m dal fondo di navi che hanno ottenuto un primo certificato per la navigazione interna anteriormente al 31.12.2005</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1.12.2011</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1458" w:type="dxa"/>
            <w:tcBorders>
              <w:top w:val="nil"/>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3296" w:type="dxa"/>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r>
              <w:rPr>
                <w:sz w:val="18"/>
              </w:rPr>
              <w:t>Compartimentazione 2</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single" w:sz="4" w:space="0" w:color="auto"/>
            </w:tcBorders>
            <w:shd w:val="clear" w:color="auto" w:fill="auto"/>
          </w:tcPr>
          <w:p w:rsidR="00C01A94" w:rsidRPr="00C903F8" w:rsidRDefault="00C01A94" w:rsidP="00D321F1">
            <w:pPr>
              <w:spacing w:before="100" w:after="100" w:line="240" w:lineRule="atLeast"/>
              <w:ind w:left="0" w:firstLine="0"/>
              <w:rPr>
                <w:rFonts w:cs="Arial"/>
                <w:sz w:val="18"/>
                <w:szCs w:val="18"/>
              </w:rPr>
            </w:pPr>
          </w:p>
        </w:tc>
        <w:tc>
          <w:tcPr>
            <w:tcW w:w="1458"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paragrafi da 10 a 13</w:t>
            </w:r>
          </w:p>
        </w:tc>
        <w:tc>
          <w:tcPr>
            <w:tcW w:w="3296" w:type="dxa"/>
            <w:shd w:val="clear" w:color="auto" w:fill="auto"/>
          </w:tcPr>
          <w:p w:rsidR="00C01A94" w:rsidRPr="00C903F8" w:rsidRDefault="00C01A94" w:rsidP="00D321F1">
            <w:pPr>
              <w:tabs>
                <w:tab w:val="left" w:pos="1080"/>
              </w:tabs>
              <w:spacing w:before="100" w:after="100" w:line="240" w:lineRule="atLeast"/>
              <w:ind w:left="0" w:firstLine="0"/>
              <w:rPr>
                <w:rFonts w:cs="Arial"/>
                <w:sz w:val="18"/>
                <w:szCs w:val="18"/>
              </w:rPr>
            </w:pPr>
            <w:r>
              <w:rPr>
                <w:sz w:val="18"/>
              </w:rPr>
              <w:t>Stabilità in condizioni di avaria</w:t>
            </w:r>
          </w:p>
        </w:tc>
        <w:tc>
          <w:tcPr>
            <w:tcW w:w="5387"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1.1.2045</w:t>
            </w:r>
          </w:p>
        </w:tc>
        <w:tc>
          <w:tcPr>
            <w:tcW w:w="1276" w:type="dxa"/>
          </w:tcPr>
          <w:p w:rsidR="00C01A94" w:rsidRPr="00C903F8" w:rsidRDefault="00C01A94" w:rsidP="00D321F1">
            <w:pPr>
              <w:spacing w:before="100" w:after="10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bottom w:val="nil"/>
            </w:tcBorders>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19.05</w:t>
            </w:r>
          </w:p>
        </w:tc>
        <w:tc>
          <w:tcPr>
            <w:tcW w:w="1458"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paragrafo 2, lettera a)</w:t>
            </w:r>
          </w:p>
        </w:tc>
        <w:tc>
          <w:tcPr>
            <w:tcW w:w="3296" w:type="dxa"/>
            <w:shd w:val="clear" w:color="auto" w:fill="auto"/>
          </w:tcPr>
          <w:p w:rsidR="00C01A94" w:rsidRPr="00C903F8" w:rsidRDefault="00C01A94" w:rsidP="00D321F1">
            <w:pPr>
              <w:tabs>
                <w:tab w:val="left" w:pos="1080"/>
              </w:tabs>
              <w:spacing w:before="100" w:after="100" w:line="240" w:lineRule="atLeast"/>
              <w:ind w:left="0" w:firstLine="0"/>
              <w:rPr>
                <w:rFonts w:cs="Arial"/>
                <w:sz w:val="18"/>
                <w:szCs w:val="18"/>
              </w:rPr>
            </w:pPr>
            <w:r>
              <w:rPr>
                <w:noProof/>
                <w:sz w:val="18"/>
              </w:rPr>
              <w:t>Numero di passeggeri per i quali è stata dimostrata l'esistenza di una zona di evacuazione in conformità dell'articolo 19.06, paragrafo 8</w:t>
            </w:r>
          </w:p>
        </w:tc>
        <w:tc>
          <w:tcPr>
            <w:tcW w:w="5387"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1.1.2045</w:t>
            </w:r>
          </w:p>
        </w:tc>
        <w:tc>
          <w:tcPr>
            <w:tcW w:w="1276" w:type="dxa"/>
          </w:tcPr>
          <w:p w:rsidR="00C01A94" w:rsidRPr="00C903F8" w:rsidRDefault="00C01A94" w:rsidP="00D321F1">
            <w:pPr>
              <w:spacing w:before="100" w:after="10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single" w:sz="4" w:space="0" w:color="auto"/>
            </w:tcBorders>
            <w:shd w:val="clear" w:color="auto" w:fill="auto"/>
          </w:tcPr>
          <w:p w:rsidR="00C01A94" w:rsidRPr="00C903F8" w:rsidRDefault="00C01A94" w:rsidP="00D321F1">
            <w:pPr>
              <w:spacing w:before="100" w:after="100" w:line="240" w:lineRule="atLeast"/>
              <w:ind w:left="0" w:firstLine="0"/>
              <w:rPr>
                <w:rFonts w:cs="Arial"/>
                <w:sz w:val="18"/>
                <w:szCs w:val="18"/>
              </w:rPr>
            </w:pPr>
          </w:p>
        </w:tc>
        <w:tc>
          <w:tcPr>
            <w:tcW w:w="1458"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paragrafo 2, lettera b)</w:t>
            </w:r>
          </w:p>
        </w:tc>
        <w:tc>
          <w:tcPr>
            <w:tcW w:w="3296" w:type="dxa"/>
            <w:shd w:val="clear" w:color="auto" w:fill="auto"/>
          </w:tcPr>
          <w:p w:rsidR="00C01A94" w:rsidRPr="00C903F8" w:rsidRDefault="00C01A94" w:rsidP="00D321F1">
            <w:pPr>
              <w:tabs>
                <w:tab w:val="left" w:pos="1080"/>
              </w:tabs>
              <w:spacing w:before="100" w:after="100" w:line="240" w:lineRule="atLeast"/>
              <w:ind w:left="0" w:firstLine="0"/>
              <w:rPr>
                <w:rFonts w:cs="Arial"/>
                <w:sz w:val="18"/>
                <w:szCs w:val="18"/>
              </w:rPr>
            </w:pPr>
            <w:r>
              <w:rPr>
                <w:noProof/>
                <w:sz w:val="18"/>
              </w:rPr>
              <w:t>Numero di passeggeri che è stato considerato per il calcolo di stabilità in conformità dell'articolo 19.03</w:t>
            </w:r>
          </w:p>
        </w:tc>
        <w:tc>
          <w:tcPr>
            <w:tcW w:w="5387"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1.1.2045</w:t>
            </w:r>
          </w:p>
        </w:tc>
        <w:tc>
          <w:tcPr>
            <w:tcW w:w="1276" w:type="dxa"/>
          </w:tcPr>
          <w:p w:rsidR="00C01A94" w:rsidRPr="00C903F8" w:rsidRDefault="00C01A94" w:rsidP="00D321F1">
            <w:pPr>
              <w:spacing w:before="100" w:after="10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bottom w:val="nil"/>
            </w:tcBorders>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19.06</w:t>
            </w:r>
          </w:p>
        </w:tc>
        <w:tc>
          <w:tcPr>
            <w:tcW w:w="1458" w:type="dxa"/>
            <w:shd w:val="clear" w:color="auto" w:fill="auto"/>
          </w:tcPr>
          <w:p w:rsidR="00C01A94" w:rsidRPr="00C903F8" w:rsidRDefault="00C01A94" w:rsidP="00D321F1">
            <w:pPr>
              <w:spacing w:before="100" w:after="100" w:line="240" w:lineRule="atLeast"/>
              <w:ind w:left="0" w:firstLine="0"/>
              <w:jc w:val="left"/>
              <w:rPr>
                <w:rFonts w:cs="Arial"/>
                <w:sz w:val="18"/>
                <w:szCs w:val="18"/>
              </w:rPr>
            </w:pPr>
            <w:r>
              <w:rPr>
                <w:sz w:val="18"/>
              </w:rPr>
              <w:t>paragrafo 1, prima frase</w:t>
            </w:r>
          </w:p>
        </w:tc>
        <w:tc>
          <w:tcPr>
            <w:tcW w:w="3296" w:type="dxa"/>
            <w:shd w:val="clear" w:color="auto" w:fill="auto"/>
          </w:tcPr>
          <w:p w:rsidR="00C01A94" w:rsidRPr="00C903F8" w:rsidRDefault="00C01A94" w:rsidP="00D321F1">
            <w:pPr>
              <w:tabs>
                <w:tab w:val="left" w:pos="1080"/>
              </w:tabs>
              <w:spacing w:before="100" w:after="100" w:line="240" w:lineRule="atLeast"/>
              <w:ind w:left="0" w:firstLine="0"/>
              <w:rPr>
                <w:rFonts w:cs="Arial"/>
                <w:sz w:val="18"/>
                <w:szCs w:val="18"/>
              </w:rPr>
            </w:pPr>
            <w:r>
              <w:rPr>
                <w:sz w:val="18"/>
              </w:rPr>
              <w:t>Locali per i passeggeri, a patto che si trovino sotto il ponte di compartimentazione, a prua della paratia del gavone di poppa</w:t>
            </w:r>
          </w:p>
        </w:tc>
        <w:tc>
          <w:tcPr>
            <w:tcW w:w="5387"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1.1.2045</w:t>
            </w:r>
          </w:p>
        </w:tc>
        <w:tc>
          <w:tcPr>
            <w:tcW w:w="1276" w:type="dxa"/>
          </w:tcPr>
          <w:p w:rsidR="00C01A94" w:rsidRPr="00034331" w:rsidRDefault="00C01A94" w:rsidP="00D321F1">
            <w:pPr>
              <w:spacing w:before="100" w:after="100" w:line="240" w:lineRule="atLeast"/>
              <w:ind w:left="0" w:firstLine="0"/>
              <w:rPr>
                <w:rFonts w:cs="Arial"/>
                <w:sz w:val="18"/>
                <w:szCs w:val="18"/>
                <w:highlight w:val="green"/>
              </w:rPr>
            </w:pPr>
            <w:r>
              <w:rPr>
                <w:sz w:val="18"/>
              </w:rPr>
              <w:t>7.10.2018</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D321F1">
            <w:pPr>
              <w:spacing w:before="100" w:after="100" w:line="240" w:lineRule="atLeast"/>
              <w:ind w:left="0" w:firstLine="0"/>
              <w:rPr>
                <w:rFonts w:cs="Arial"/>
                <w:sz w:val="18"/>
                <w:szCs w:val="18"/>
              </w:rPr>
            </w:pPr>
          </w:p>
        </w:tc>
        <w:tc>
          <w:tcPr>
            <w:tcW w:w="1458" w:type="dxa"/>
            <w:shd w:val="clear" w:color="auto" w:fill="auto"/>
          </w:tcPr>
          <w:p w:rsidR="00C01A94" w:rsidRPr="00C903F8" w:rsidRDefault="00C01A94" w:rsidP="00D321F1">
            <w:pPr>
              <w:spacing w:before="100" w:after="100" w:line="240" w:lineRule="atLeast"/>
              <w:ind w:left="0" w:firstLine="0"/>
              <w:jc w:val="left"/>
              <w:rPr>
                <w:rFonts w:cs="Arial"/>
                <w:sz w:val="18"/>
                <w:szCs w:val="18"/>
              </w:rPr>
            </w:pPr>
            <w:r>
              <w:rPr>
                <w:sz w:val="18"/>
              </w:rPr>
              <w:t>paragrafo 1, seconda frase</w:t>
            </w:r>
          </w:p>
        </w:tc>
        <w:tc>
          <w:tcPr>
            <w:tcW w:w="3296" w:type="dxa"/>
            <w:shd w:val="clear" w:color="auto" w:fill="auto"/>
          </w:tcPr>
          <w:p w:rsidR="00C01A94" w:rsidRPr="00C903F8" w:rsidRDefault="00C01A94" w:rsidP="00D321F1">
            <w:pPr>
              <w:tabs>
                <w:tab w:val="left" w:pos="1080"/>
              </w:tabs>
              <w:spacing w:before="100" w:after="100" w:line="240" w:lineRule="atLeast"/>
              <w:ind w:left="0" w:firstLine="0"/>
              <w:rPr>
                <w:rFonts w:cs="Arial"/>
                <w:sz w:val="18"/>
                <w:szCs w:val="18"/>
              </w:rPr>
            </w:pPr>
            <w:r>
              <w:rPr>
                <w:noProof/>
                <w:sz w:val="18"/>
              </w:rPr>
              <w:t>Spazi chiusi</w:t>
            </w:r>
          </w:p>
        </w:tc>
        <w:tc>
          <w:tcPr>
            <w:tcW w:w="5387"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C01A94" w:rsidRPr="00C903F8" w:rsidRDefault="00C01A94" w:rsidP="00D321F1">
            <w:pPr>
              <w:spacing w:before="100" w:after="100" w:line="240" w:lineRule="atLeast"/>
              <w:ind w:left="0" w:firstLine="0"/>
              <w:rPr>
                <w:rFonts w:cs="Arial"/>
                <w:sz w:val="18"/>
                <w:szCs w:val="18"/>
              </w:rPr>
            </w:pPr>
          </w:p>
        </w:tc>
        <w:tc>
          <w:tcPr>
            <w:tcW w:w="1276" w:type="dxa"/>
          </w:tcPr>
          <w:p w:rsidR="00C01A94" w:rsidRPr="00C903F8" w:rsidRDefault="00C01A94" w:rsidP="00D321F1">
            <w:pPr>
              <w:spacing w:before="100" w:after="100" w:line="240" w:lineRule="atLeast"/>
              <w:ind w:left="0" w:firstLine="0"/>
              <w:rPr>
                <w:rFonts w:cs="Arial"/>
                <w:sz w:val="18"/>
                <w:szCs w:val="18"/>
              </w:rPr>
            </w:pPr>
            <w:r>
              <w:rPr>
                <w:sz w:val="18"/>
              </w:rPr>
              <w:t>1.12.2011</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D321F1">
            <w:pPr>
              <w:spacing w:before="100" w:after="100" w:line="240" w:lineRule="atLeast"/>
              <w:ind w:left="0" w:firstLine="0"/>
              <w:rPr>
                <w:rFonts w:cs="Arial"/>
                <w:sz w:val="18"/>
                <w:szCs w:val="18"/>
              </w:rPr>
            </w:pPr>
          </w:p>
        </w:tc>
        <w:tc>
          <w:tcPr>
            <w:tcW w:w="1458" w:type="dxa"/>
            <w:shd w:val="clear" w:color="auto" w:fill="auto"/>
          </w:tcPr>
          <w:p w:rsidR="00C01A94" w:rsidRPr="00C903F8" w:rsidRDefault="00C01A94" w:rsidP="00D321F1">
            <w:pPr>
              <w:spacing w:before="100" w:after="100" w:line="240" w:lineRule="atLeast"/>
              <w:ind w:left="0" w:firstLine="0"/>
              <w:jc w:val="left"/>
              <w:rPr>
                <w:rFonts w:cs="Arial"/>
                <w:sz w:val="18"/>
                <w:szCs w:val="18"/>
              </w:rPr>
            </w:pPr>
            <w:r>
              <w:rPr>
                <w:sz w:val="18"/>
              </w:rPr>
              <w:t>paragrafo 3, lettera c), prima frase</w:t>
            </w:r>
          </w:p>
        </w:tc>
        <w:tc>
          <w:tcPr>
            <w:tcW w:w="3296" w:type="dxa"/>
            <w:shd w:val="clear" w:color="auto" w:fill="auto"/>
          </w:tcPr>
          <w:p w:rsidR="00C01A94" w:rsidRPr="00C903F8" w:rsidRDefault="00C01A94" w:rsidP="00D321F1">
            <w:pPr>
              <w:tabs>
                <w:tab w:val="left" w:pos="1080"/>
              </w:tabs>
              <w:spacing w:before="100" w:after="100" w:line="240" w:lineRule="atLeast"/>
              <w:ind w:left="0" w:firstLine="0"/>
              <w:rPr>
                <w:rFonts w:cs="Arial"/>
                <w:sz w:val="18"/>
                <w:szCs w:val="18"/>
              </w:rPr>
            </w:pPr>
            <w:r>
              <w:rPr>
                <w:noProof/>
                <w:sz w:val="18"/>
              </w:rPr>
              <w:t>Altezza libera delle uscite</w:t>
            </w:r>
          </w:p>
        </w:tc>
        <w:tc>
          <w:tcPr>
            <w:tcW w:w="5387"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1.1.2045</w:t>
            </w:r>
          </w:p>
        </w:tc>
        <w:tc>
          <w:tcPr>
            <w:tcW w:w="1276" w:type="dxa"/>
          </w:tcPr>
          <w:p w:rsidR="00C01A94" w:rsidRPr="00C903F8" w:rsidRDefault="00C01A94" w:rsidP="00D321F1">
            <w:pPr>
              <w:spacing w:before="100" w:after="10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D321F1">
            <w:pPr>
              <w:spacing w:before="100" w:after="100" w:line="240" w:lineRule="atLeast"/>
              <w:ind w:left="0" w:firstLine="0"/>
              <w:rPr>
                <w:rFonts w:cs="Arial"/>
                <w:sz w:val="18"/>
                <w:szCs w:val="18"/>
              </w:rPr>
            </w:pPr>
          </w:p>
        </w:tc>
        <w:tc>
          <w:tcPr>
            <w:tcW w:w="1458" w:type="dxa"/>
            <w:shd w:val="clear" w:color="auto" w:fill="auto"/>
          </w:tcPr>
          <w:p w:rsidR="00C01A94" w:rsidRPr="00C903F8" w:rsidRDefault="00C01A94" w:rsidP="00D321F1">
            <w:pPr>
              <w:spacing w:before="100" w:after="100" w:line="240" w:lineRule="atLeast"/>
              <w:ind w:left="0" w:firstLine="0"/>
              <w:jc w:val="left"/>
              <w:rPr>
                <w:rFonts w:cs="Arial"/>
                <w:sz w:val="18"/>
                <w:szCs w:val="18"/>
              </w:rPr>
            </w:pPr>
            <w:r>
              <w:rPr>
                <w:sz w:val="18"/>
              </w:rPr>
              <w:t>paragrafo 3, lettera c), seconda frase</w:t>
            </w:r>
          </w:p>
        </w:tc>
        <w:tc>
          <w:tcPr>
            <w:tcW w:w="3296" w:type="dxa"/>
            <w:shd w:val="clear" w:color="auto" w:fill="auto"/>
          </w:tcPr>
          <w:p w:rsidR="00C01A94" w:rsidRPr="00C903F8" w:rsidRDefault="00C01A94" w:rsidP="00D321F1">
            <w:pPr>
              <w:tabs>
                <w:tab w:val="left" w:pos="1080"/>
              </w:tabs>
              <w:spacing w:before="100" w:after="100" w:line="240" w:lineRule="atLeast"/>
              <w:ind w:left="0" w:firstLine="0"/>
              <w:rPr>
                <w:rFonts w:cs="Arial"/>
                <w:sz w:val="18"/>
                <w:szCs w:val="18"/>
              </w:rPr>
            </w:pPr>
            <w:r>
              <w:rPr>
                <w:noProof/>
                <w:sz w:val="18"/>
              </w:rPr>
              <w:t>Ampiezza libera delle porte delle cabine passeggeri e di altri locali di piccole dimensioni</w:t>
            </w:r>
          </w:p>
        </w:tc>
        <w:tc>
          <w:tcPr>
            <w:tcW w:w="5387"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1.1.2045</w:t>
            </w:r>
          </w:p>
        </w:tc>
        <w:tc>
          <w:tcPr>
            <w:tcW w:w="1276" w:type="dxa"/>
          </w:tcPr>
          <w:p w:rsidR="00C01A94" w:rsidRPr="00C903F8" w:rsidRDefault="00C01A94" w:rsidP="00D321F1">
            <w:pPr>
              <w:spacing w:before="100" w:after="10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D321F1">
            <w:pPr>
              <w:spacing w:before="100" w:after="100" w:line="240" w:lineRule="atLeast"/>
              <w:ind w:left="0" w:firstLine="0"/>
              <w:rPr>
                <w:rFonts w:cs="Arial"/>
                <w:sz w:val="18"/>
                <w:szCs w:val="18"/>
              </w:rPr>
            </w:pPr>
          </w:p>
        </w:tc>
        <w:tc>
          <w:tcPr>
            <w:tcW w:w="1458" w:type="dxa"/>
            <w:shd w:val="clear" w:color="auto" w:fill="auto"/>
          </w:tcPr>
          <w:p w:rsidR="00C01A94" w:rsidRPr="00C903F8" w:rsidRDefault="00C01A94" w:rsidP="00D321F1">
            <w:pPr>
              <w:spacing w:before="100" w:after="100" w:line="240" w:lineRule="atLeast"/>
              <w:ind w:left="0" w:firstLine="0"/>
              <w:jc w:val="left"/>
              <w:rPr>
                <w:rFonts w:cs="Arial"/>
                <w:sz w:val="18"/>
                <w:szCs w:val="18"/>
              </w:rPr>
            </w:pPr>
            <w:r>
              <w:rPr>
                <w:sz w:val="18"/>
              </w:rPr>
              <w:t>paragrafo 3, lettera f), prima frase</w:t>
            </w:r>
          </w:p>
        </w:tc>
        <w:tc>
          <w:tcPr>
            <w:tcW w:w="3296" w:type="dxa"/>
            <w:shd w:val="clear" w:color="auto" w:fill="auto"/>
          </w:tcPr>
          <w:p w:rsidR="00C01A94" w:rsidRPr="00C903F8" w:rsidRDefault="00C01A94" w:rsidP="00D321F1">
            <w:pPr>
              <w:tabs>
                <w:tab w:val="left" w:pos="1080"/>
              </w:tabs>
              <w:spacing w:before="100" w:after="100" w:line="240" w:lineRule="atLeast"/>
              <w:ind w:left="0" w:firstLine="0"/>
              <w:rPr>
                <w:rFonts w:cs="Arial"/>
                <w:sz w:val="18"/>
                <w:szCs w:val="18"/>
              </w:rPr>
            </w:pPr>
            <w:r>
              <w:rPr>
                <w:noProof/>
                <w:sz w:val="18"/>
              </w:rPr>
              <w:t>Dimensioni delle uscite di sicurezza</w:t>
            </w:r>
          </w:p>
        </w:tc>
        <w:tc>
          <w:tcPr>
            <w:tcW w:w="5387"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1.1.2045</w:t>
            </w:r>
          </w:p>
        </w:tc>
        <w:tc>
          <w:tcPr>
            <w:tcW w:w="1276" w:type="dxa"/>
          </w:tcPr>
          <w:p w:rsidR="00C01A94" w:rsidRPr="00C903F8" w:rsidRDefault="00C01A94" w:rsidP="00D321F1">
            <w:pPr>
              <w:spacing w:before="100" w:after="10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D321F1">
            <w:pPr>
              <w:spacing w:before="100" w:after="100" w:line="240" w:lineRule="atLeast"/>
              <w:ind w:left="0" w:firstLine="0"/>
              <w:rPr>
                <w:rFonts w:cs="Arial"/>
                <w:sz w:val="18"/>
                <w:szCs w:val="18"/>
              </w:rPr>
            </w:pPr>
          </w:p>
        </w:tc>
        <w:tc>
          <w:tcPr>
            <w:tcW w:w="1458"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paragrafo 3, lettera g)</w:t>
            </w:r>
          </w:p>
        </w:tc>
        <w:tc>
          <w:tcPr>
            <w:tcW w:w="3296" w:type="dxa"/>
            <w:shd w:val="clear" w:color="auto" w:fill="auto"/>
          </w:tcPr>
          <w:p w:rsidR="00C01A94" w:rsidRPr="00C903F8" w:rsidRDefault="00C01A94" w:rsidP="00D321F1">
            <w:pPr>
              <w:tabs>
                <w:tab w:val="left" w:pos="1080"/>
              </w:tabs>
              <w:spacing w:before="100" w:after="100" w:line="240" w:lineRule="atLeast"/>
              <w:ind w:left="0" w:firstLine="0"/>
              <w:rPr>
                <w:rFonts w:cs="Arial"/>
                <w:sz w:val="18"/>
                <w:szCs w:val="18"/>
              </w:rPr>
            </w:pPr>
            <w:r>
              <w:rPr>
                <w:noProof/>
                <w:sz w:val="18"/>
              </w:rPr>
              <w:t>Uscite dei locali destinati all'uso delle persone a mobilità ridotta</w:t>
            </w:r>
          </w:p>
        </w:tc>
        <w:tc>
          <w:tcPr>
            <w:tcW w:w="5387"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1.1.2045</w:t>
            </w:r>
          </w:p>
        </w:tc>
        <w:tc>
          <w:tcPr>
            <w:tcW w:w="1276" w:type="dxa"/>
          </w:tcPr>
          <w:p w:rsidR="00C01A94" w:rsidRPr="00C903F8" w:rsidRDefault="00C01A94" w:rsidP="00D321F1">
            <w:pPr>
              <w:spacing w:before="100" w:after="10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D321F1">
            <w:pPr>
              <w:spacing w:before="100" w:after="100" w:line="240" w:lineRule="atLeast"/>
              <w:ind w:left="0" w:firstLine="0"/>
              <w:rPr>
                <w:rFonts w:cs="Arial"/>
                <w:sz w:val="18"/>
                <w:szCs w:val="18"/>
              </w:rPr>
            </w:pPr>
          </w:p>
        </w:tc>
        <w:tc>
          <w:tcPr>
            <w:tcW w:w="1458"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paragrafo 4, lettera d)</w:t>
            </w:r>
          </w:p>
        </w:tc>
        <w:tc>
          <w:tcPr>
            <w:tcW w:w="3296" w:type="dxa"/>
            <w:shd w:val="clear" w:color="auto" w:fill="auto"/>
          </w:tcPr>
          <w:p w:rsidR="00C01A94" w:rsidRPr="00C903F8" w:rsidRDefault="00C01A94" w:rsidP="00D321F1">
            <w:pPr>
              <w:tabs>
                <w:tab w:val="left" w:pos="930"/>
              </w:tabs>
              <w:spacing w:before="100" w:after="100" w:line="240" w:lineRule="atLeast"/>
              <w:ind w:left="0" w:firstLine="0"/>
              <w:rPr>
                <w:rFonts w:cs="Arial"/>
                <w:sz w:val="18"/>
                <w:szCs w:val="18"/>
              </w:rPr>
            </w:pPr>
            <w:r>
              <w:rPr>
                <w:noProof/>
                <w:sz w:val="18"/>
              </w:rPr>
              <w:t>Porte destinate all'uso da parte delle persone a mobilità ridotta</w:t>
            </w:r>
          </w:p>
        </w:tc>
        <w:tc>
          <w:tcPr>
            <w:tcW w:w="5387"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1.1.2045</w:t>
            </w:r>
          </w:p>
        </w:tc>
        <w:tc>
          <w:tcPr>
            <w:tcW w:w="1276" w:type="dxa"/>
          </w:tcPr>
          <w:p w:rsidR="00C01A94" w:rsidRPr="00C903F8" w:rsidRDefault="00C01A94" w:rsidP="00D321F1">
            <w:pPr>
              <w:spacing w:before="100" w:after="10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paragrafo 5</w:t>
            </w:r>
          </w:p>
        </w:tc>
        <w:tc>
          <w:tcPr>
            <w:tcW w:w="3296" w:type="dxa"/>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r>
              <w:rPr>
                <w:noProof/>
                <w:sz w:val="18"/>
              </w:rPr>
              <w:t>Requisiti dei corridoi di comunicazione</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D321F1">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D321F1">
            <w:pPr>
              <w:spacing w:before="120" w:after="120" w:line="240" w:lineRule="atLeast"/>
              <w:ind w:left="0" w:firstLine="0"/>
              <w:rPr>
                <w:rFonts w:cs="Arial"/>
                <w:sz w:val="18"/>
                <w:szCs w:val="18"/>
              </w:rPr>
            </w:pPr>
            <w:r>
              <w:rPr>
                <w:sz w:val="18"/>
              </w:rPr>
              <w:t>paragrafo 6, lettera b)</w:t>
            </w:r>
          </w:p>
        </w:tc>
        <w:tc>
          <w:tcPr>
            <w:tcW w:w="3296" w:type="dxa"/>
            <w:shd w:val="clear" w:color="auto" w:fill="auto"/>
          </w:tcPr>
          <w:p w:rsidR="00C01A94" w:rsidRPr="00C903F8" w:rsidRDefault="00C01A94" w:rsidP="00D321F1">
            <w:pPr>
              <w:tabs>
                <w:tab w:val="left" w:pos="1080"/>
              </w:tabs>
              <w:spacing w:before="120" w:after="120" w:line="240" w:lineRule="atLeast"/>
              <w:ind w:left="0" w:firstLine="0"/>
              <w:rPr>
                <w:rFonts w:cs="Arial"/>
                <w:sz w:val="18"/>
                <w:szCs w:val="18"/>
              </w:rPr>
            </w:pPr>
            <w:r>
              <w:rPr>
                <w:noProof/>
                <w:sz w:val="18"/>
              </w:rPr>
              <w:t>Vie di evacuazione verso le zone di evacuazione</w:t>
            </w:r>
          </w:p>
        </w:tc>
        <w:tc>
          <w:tcPr>
            <w:tcW w:w="5387" w:type="dxa"/>
            <w:shd w:val="clear" w:color="auto" w:fill="auto"/>
          </w:tcPr>
          <w:p w:rsidR="00C01A94" w:rsidRPr="00C903F8" w:rsidRDefault="00C01A94" w:rsidP="00D321F1">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120" w:after="120" w:line="240" w:lineRule="atLeast"/>
              <w:ind w:left="0" w:firstLine="0"/>
              <w:rPr>
                <w:rFonts w:cs="Arial"/>
                <w:sz w:val="18"/>
                <w:szCs w:val="18"/>
              </w:rPr>
            </w:pPr>
            <w:r>
              <w:rPr>
                <w:sz w:val="18"/>
              </w:rPr>
              <w:t>1.1.2045</w:t>
            </w:r>
          </w:p>
        </w:tc>
        <w:tc>
          <w:tcPr>
            <w:tcW w:w="1276" w:type="dxa"/>
          </w:tcPr>
          <w:p w:rsidR="00C01A94" w:rsidRPr="00C903F8" w:rsidRDefault="00C01A94" w:rsidP="00D321F1">
            <w:pPr>
              <w:spacing w:before="120" w:after="12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D321F1">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D321F1">
            <w:pPr>
              <w:spacing w:before="120" w:after="120" w:line="240" w:lineRule="atLeast"/>
              <w:ind w:left="0" w:firstLine="0"/>
              <w:rPr>
                <w:rFonts w:cs="Arial"/>
                <w:sz w:val="18"/>
                <w:szCs w:val="18"/>
              </w:rPr>
            </w:pPr>
            <w:r>
              <w:rPr>
                <w:sz w:val="18"/>
              </w:rPr>
              <w:t>paragrafo 6, lettera c)</w:t>
            </w:r>
            <w:r>
              <w:rPr>
                <w:color w:val="000000"/>
                <w:sz w:val="18"/>
                <w:vertAlign w:val="superscript"/>
              </w:rPr>
              <w:footnoteReference w:id="42"/>
            </w:r>
          </w:p>
        </w:tc>
        <w:tc>
          <w:tcPr>
            <w:tcW w:w="3296" w:type="dxa"/>
            <w:shd w:val="clear" w:color="auto" w:fill="auto"/>
          </w:tcPr>
          <w:p w:rsidR="00C01A94" w:rsidRPr="00C903F8" w:rsidRDefault="00C01A94" w:rsidP="00D321F1">
            <w:pPr>
              <w:tabs>
                <w:tab w:val="left" w:pos="1080"/>
              </w:tabs>
              <w:spacing w:before="120" w:after="120" w:line="240" w:lineRule="atLeast"/>
              <w:ind w:left="0" w:firstLine="0"/>
              <w:rPr>
                <w:rFonts w:cs="Arial"/>
                <w:sz w:val="18"/>
                <w:szCs w:val="18"/>
              </w:rPr>
            </w:pPr>
            <w:r>
              <w:rPr>
                <w:sz w:val="18"/>
              </w:rPr>
              <w:t>Divieto di vie di sfuggita attraverso le cucine</w:t>
            </w:r>
          </w:p>
        </w:tc>
        <w:tc>
          <w:tcPr>
            <w:tcW w:w="5387" w:type="dxa"/>
            <w:shd w:val="clear" w:color="auto" w:fill="auto"/>
          </w:tcPr>
          <w:p w:rsidR="00C01A94" w:rsidRPr="00C903F8" w:rsidRDefault="00C01A94" w:rsidP="00D321F1">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120" w:after="120" w:line="240" w:lineRule="atLeast"/>
              <w:ind w:left="0" w:firstLine="0"/>
              <w:rPr>
                <w:rFonts w:cs="Arial"/>
                <w:sz w:val="18"/>
                <w:szCs w:val="18"/>
              </w:rPr>
            </w:pPr>
            <w:r>
              <w:rPr>
                <w:sz w:val="18"/>
              </w:rPr>
              <w:t>1.1.2020</w:t>
            </w:r>
          </w:p>
        </w:tc>
        <w:tc>
          <w:tcPr>
            <w:tcW w:w="1276" w:type="dxa"/>
          </w:tcPr>
          <w:p w:rsidR="00C01A94" w:rsidRPr="00C903F8" w:rsidRDefault="00C01A94" w:rsidP="00D321F1">
            <w:pPr>
              <w:spacing w:before="120" w:after="12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D321F1">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D321F1">
            <w:pPr>
              <w:spacing w:before="120" w:after="120" w:line="240" w:lineRule="atLeast"/>
              <w:ind w:left="0" w:firstLine="0"/>
              <w:rPr>
                <w:rFonts w:cs="Arial"/>
                <w:sz w:val="18"/>
                <w:szCs w:val="18"/>
              </w:rPr>
            </w:pPr>
            <w:r>
              <w:rPr>
                <w:sz w:val="18"/>
              </w:rPr>
              <w:t>paragrafo 6, lettera d)</w:t>
            </w:r>
          </w:p>
        </w:tc>
        <w:tc>
          <w:tcPr>
            <w:tcW w:w="3296" w:type="dxa"/>
            <w:shd w:val="clear" w:color="auto" w:fill="auto"/>
          </w:tcPr>
          <w:p w:rsidR="00C01A94" w:rsidRPr="00C903F8" w:rsidRDefault="00C01A94" w:rsidP="00D321F1">
            <w:pPr>
              <w:tabs>
                <w:tab w:val="left" w:pos="1080"/>
              </w:tabs>
              <w:spacing w:before="120" w:after="120" w:line="240" w:lineRule="atLeast"/>
              <w:ind w:left="0" w:firstLine="0"/>
              <w:rPr>
                <w:rFonts w:cs="Arial"/>
                <w:sz w:val="18"/>
                <w:szCs w:val="18"/>
              </w:rPr>
            </w:pPr>
            <w:r>
              <w:rPr>
                <w:noProof/>
                <w:sz w:val="18"/>
              </w:rPr>
              <w:t>Divieto di installare pioli, scale a pioli o similari lungo le vie di evacuazione</w:t>
            </w:r>
          </w:p>
        </w:tc>
        <w:tc>
          <w:tcPr>
            <w:tcW w:w="5387" w:type="dxa"/>
            <w:shd w:val="clear" w:color="auto" w:fill="auto"/>
          </w:tcPr>
          <w:p w:rsidR="00C01A94" w:rsidRPr="00C903F8" w:rsidRDefault="00C01A94" w:rsidP="00D321F1">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120" w:after="120" w:line="240" w:lineRule="atLeast"/>
              <w:ind w:left="0" w:firstLine="0"/>
              <w:rPr>
                <w:rFonts w:cs="Arial"/>
                <w:sz w:val="18"/>
                <w:szCs w:val="18"/>
              </w:rPr>
            </w:pPr>
            <w:r>
              <w:rPr>
                <w:sz w:val="18"/>
              </w:rPr>
              <w:t>1.1.2045</w:t>
            </w:r>
          </w:p>
        </w:tc>
        <w:tc>
          <w:tcPr>
            <w:tcW w:w="1276" w:type="dxa"/>
          </w:tcPr>
          <w:p w:rsidR="00C01A94" w:rsidRPr="00C903F8" w:rsidRDefault="00C01A94" w:rsidP="00D321F1">
            <w:pPr>
              <w:spacing w:before="120" w:after="12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D321F1">
            <w:pPr>
              <w:spacing w:before="100" w:after="100" w:line="240" w:lineRule="atLeast"/>
              <w:ind w:left="0" w:firstLine="0"/>
              <w:rPr>
                <w:rFonts w:cs="Arial"/>
                <w:sz w:val="18"/>
                <w:szCs w:val="18"/>
              </w:rPr>
            </w:pPr>
          </w:p>
        </w:tc>
        <w:tc>
          <w:tcPr>
            <w:tcW w:w="1458"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paragrafo 7</w:t>
            </w:r>
          </w:p>
        </w:tc>
        <w:tc>
          <w:tcPr>
            <w:tcW w:w="3296" w:type="dxa"/>
            <w:shd w:val="clear" w:color="auto" w:fill="auto"/>
          </w:tcPr>
          <w:p w:rsidR="00C01A94" w:rsidRPr="00C903F8" w:rsidRDefault="00C01A94" w:rsidP="00D321F1">
            <w:pPr>
              <w:tabs>
                <w:tab w:val="left" w:pos="1080"/>
              </w:tabs>
              <w:spacing w:before="100" w:after="100" w:line="240" w:lineRule="atLeast"/>
              <w:ind w:left="0" w:firstLine="0"/>
              <w:rPr>
                <w:rFonts w:cs="Arial"/>
                <w:sz w:val="18"/>
                <w:szCs w:val="18"/>
              </w:rPr>
            </w:pPr>
            <w:r>
              <w:rPr>
                <w:noProof/>
                <w:sz w:val="18"/>
              </w:rPr>
              <w:t>Adeguato sistema di guida di sicurezza</w:t>
            </w:r>
          </w:p>
        </w:tc>
        <w:tc>
          <w:tcPr>
            <w:tcW w:w="5387"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1.1.2015</w:t>
            </w:r>
          </w:p>
        </w:tc>
        <w:tc>
          <w:tcPr>
            <w:tcW w:w="1276" w:type="dxa"/>
          </w:tcPr>
          <w:p w:rsidR="00C01A94" w:rsidRPr="00C903F8" w:rsidRDefault="00C01A94" w:rsidP="00D321F1">
            <w:pPr>
              <w:spacing w:before="100" w:after="10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D321F1">
            <w:pPr>
              <w:spacing w:before="100" w:after="100" w:line="240" w:lineRule="atLeast"/>
              <w:ind w:left="0" w:firstLine="0"/>
              <w:rPr>
                <w:rFonts w:cs="Arial"/>
                <w:sz w:val="18"/>
                <w:szCs w:val="18"/>
              </w:rPr>
            </w:pPr>
          </w:p>
        </w:tc>
        <w:tc>
          <w:tcPr>
            <w:tcW w:w="1458"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paragrafo 8</w:t>
            </w:r>
          </w:p>
        </w:tc>
        <w:tc>
          <w:tcPr>
            <w:tcW w:w="3296" w:type="dxa"/>
            <w:shd w:val="clear" w:color="auto" w:fill="auto"/>
          </w:tcPr>
          <w:p w:rsidR="00C01A94" w:rsidRPr="00C903F8" w:rsidRDefault="00C01A94" w:rsidP="00D321F1">
            <w:pPr>
              <w:tabs>
                <w:tab w:val="left" w:pos="1080"/>
              </w:tabs>
              <w:spacing w:before="100" w:after="100" w:line="240" w:lineRule="atLeast"/>
              <w:ind w:left="0" w:firstLine="0"/>
              <w:rPr>
                <w:rFonts w:cs="Arial"/>
                <w:sz w:val="18"/>
                <w:szCs w:val="18"/>
              </w:rPr>
            </w:pPr>
            <w:r>
              <w:rPr>
                <w:noProof/>
                <w:sz w:val="18"/>
              </w:rPr>
              <w:t>Requisiti delle zone di raccolta</w:t>
            </w:r>
          </w:p>
        </w:tc>
        <w:tc>
          <w:tcPr>
            <w:tcW w:w="5387"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1.1.2045</w:t>
            </w:r>
          </w:p>
        </w:tc>
        <w:tc>
          <w:tcPr>
            <w:tcW w:w="1276" w:type="dxa"/>
          </w:tcPr>
          <w:p w:rsidR="00C01A94" w:rsidRPr="00C903F8" w:rsidRDefault="00C01A94" w:rsidP="00D321F1">
            <w:pPr>
              <w:spacing w:before="100" w:after="10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D321F1">
            <w:pPr>
              <w:spacing w:before="100" w:after="100" w:line="240" w:lineRule="atLeast"/>
              <w:ind w:left="0" w:firstLine="0"/>
              <w:rPr>
                <w:rFonts w:cs="Arial"/>
                <w:sz w:val="18"/>
                <w:szCs w:val="18"/>
              </w:rPr>
            </w:pPr>
          </w:p>
        </w:tc>
        <w:tc>
          <w:tcPr>
            <w:tcW w:w="1458"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paragrafo 9, lettere da a) a c), lettera e), e ultima frase</w:t>
            </w:r>
          </w:p>
        </w:tc>
        <w:tc>
          <w:tcPr>
            <w:tcW w:w="3296" w:type="dxa"/>
            <w:shd w:val="clear" w:color="auto" w:fill="auto"/>
          </w:tcPr>
          <w:p w:rsidR="00C01A94" w:rsidRPr="00C903F8" w:rsidRDefault="00C01A94" w:rsidP="00D321F1">
            <w:pPr>
              <w:tabs>
                <w:tab w:val="left" w:pos="1080"/>
              </w:tabs>
              <w:spacing w:before="100" w:after="100" w:line="240" w:lineRule="atLeast"/>
              <w:ind w:left="0" w:firstLine="0"/>
              <w:rPr>
                <w:rFonts w:cs="Arial"/>
                <w:sz w:val="18"/>
                <w:szCs w:val="18"/>
              </w:rPr>
            </w:pPr>
            <w:r>
              <w:rPr>
                <w:noProof/>
                <w:sz w:val="18"/>
              </w:rPr>
              <w:t>Requisiti delle scale e dei relativi pianerottoli nelle zone passeggeri</w:t>
            </w:r>
          </w:p>
        </w:tc>
        <w:tc>
          <w:tcPr>
            <w:tcW w:w="5387"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1.1.2045</w:t>
            </w:r>
          </w:p>
        </w:tc>
        <w:tc>
          <w:tcPr>
            <w:tcW w:w="1276" w:type="dxa"/>
          </w:tcPr>
          <w:p w:rsidR="00C01A94" w:rsidRPr="00C903F8" w:rsidRDefault="00C01A94" w:rsidP="00D321F1">
            <w:pPr>
              <w:spacing w:before="100" w:after="10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D321F1">
            <w:pPr>
              <w:spacing w:before="100" w:after="100" w:line="240" w:lineRule="atLeast"/>
              <w:ind w:left="0" w:firstLine="0"/>
              <w:rPr>
                <w:rFonts w:cs="Arial"/>
                <w:sz w:val="18"/>
                <w:szCs w:val="18"/>
              </w:rPr>
            </w:pPr>
          </w:p>
        </w:tc>
        <w:tc>
          <w:tcPr>
            <w:tcW w:w="1458" w:type="dxa"/>
            <w:shd w:val="clear" w:color="auto" w:fill="auto"/>
          </w:tcPr>
          <w:p w:rsidR="00C01A94" w:rsidRPr="006F55F5" w:rsidRDefault="00C01A94" w:rsidP="00D321F1">
            <w:pPr>
              <w:spacing w:before="100" w:after="100" w:line="240" w:lineRule="atLeast"/>
              <w:ind w:left="0" w:firstLine="0"/>
              <w:jc w:val="left"/>
              <w:rPr>
                <w:rFonts w:cs="Arial"/>
                <w:sz w:val="18"/>
                <w:szCs w:val="18"/>
              </w:rPr>
            </w:pPr>
            <w:r>
              <w:rPr>
                <w:sz w:val="18"/>
              </w:rPr>
              <w:t xml:space="preserve">paragrafo 10, lettera a) </w:t>
            </w:r>
            <w:r>
              <w:rPr>
                <w:rFonts w:cs="Arial"/>
                <w:sz w:val="18"/>
                <w:szCs w:val="18"/>
              </w:rPr>
              <w:br/>
            </w:r>
            <w:r>
              <w:rPr>
                <w:sz w:val="18"/>
              </w:rPr>
              <w:t>prima frase</w:t>
            </w:r>
          </w:p>
        </w:tc>
        <w:tc>
          <w:tcPr>
            <w:tcW w:w="3296" w:type="dxa"/>
            <w:shd w:val="clear" w:color="auto" w:fill="auto"/>
          </w:tcPr>
          <w:p w:rsidR="00C01A94" w:rsidRPr="00C903F8" w:rsidRDefault="00C01A94" w:rsidP="00D321F1">
            <w:pPr>
              <w:tabs>
                <w:tab w:val="left" w:pos="1080"/>
              </w:tabs>
              <w:spacing w:before="100" w:after="100" w:line="240" w:lineRule="atLeast"/>
              <w:ind w:left="0" w:firstLine="0"/>
              <w:rPr>
                <w:rFonts w:cs="Arial"/>
                <w:sz w:val="18"/>
                <w:szCs w:val="18"/>
              </w:rPr>
            </w:pPr>
            <w:r>
              <w:rPr>
                <w:noProof/>
                <w:sz w:val="18"/>
              </w:rPr>
              <w:t>Ringhiere conformi alla norma europea EN 711:1995</w:t>
            </w:r>
          </w:p>
        </w:tc>
        <w:tc>
          <w:tcPr>
            <w:tcW w:w="5387"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1.1.2045</w:t>
            </w:r>
          </w:p>
        </w:tc>
        <w:tc>
          <w:tcPr>
            <w:tcW w:w="1276" w:type="dxa"/>
          </w:tcPr>
          <w:p w:rsidR="00C01A94" w:rsidRPr="00C903F8" w:rsidRDefault="00C01A94" w:rsidP="00D321F1">
            <w:pPr>
              <w:spacing w:before="100" w:after="10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D321F1">
            <w:pPr>
              <w:spacing w:before="100" w:after="100" w:line="240" w:lineRule="atLeast"/>
              <w:ind w:left="0" w:firstLine="0"/>
              <w:rPr>
                <w:rFonts w:cs="Arial"/>
                <w:sz w:val="18"/>
                <w:szCs w:val="18"/>
              </w:rPr>
            </w:pPr>
          </w:p>
        </w:tc>
        <w:tc>
          <w:tcPr>
            <w:tcW w:w="1458" w:type="dxa"/>
            <w:shd w:val="clear" w:color="auto" w:fill="auto"/>
          </w:tcPr>
          <w:p w:rsidR="00C01A94" w:rsidRPr="00C903F8" w:rsidRDefault="00C01A94" w:rsidP="00D321F1">
            <w:pPr>
              <w:spacing w:before="100" w:after="100" w:line="240" w:lineRule="atLeast"/>
              <w:ind w:left="0" w:firstLine="0"/>
              <w:jc w:val="left"/>
              <w:rPr>
                <w:rFonts w:cs="Arial"/>
                <w:sz w:val="18"/>
                <w:szCs w:val="18"/>
              </w:rPr>
            </w:pPr>
            <w:r>
              <w:rPr>
                <w:sz w:val="18"/>
              </w:rPr>
              <w:t>paragrafo 10, lettera a), seconda frase</w:t>
            </w:r>
          </w:p>
        </w:tc>
        <w:tc>
          <w:tcPr>
            <w:tcW w:w="3296" w:type="dxa"/>
            <w:shd w:val="clear" w:color="auto" w:fill="auto"/>
          </w:tcPr>
          <w:p w:rsidR="00C01A94" w:rsidRPr="00C903F8" w:rsidRDefault="00C01A94" w:rsidP="00D321F1">
            <w:pPr>
              <w:tabs>
                <w:tab w:val="left" w:pos="1080"/>
              </w:tabs>
              <w:spacing w:before="100" w:after="100" w:line="240" w:lineRule="atLeast"/>
              <w:ind w:left="0" w:firstLine="0"/>
              <w:rPr>
                <w:rFonts w:cs="Arial"/>
                <w:sz w:val="18"/>
                <w:szCs w:val="18"/>
              </w:rPr>
            </w:pPr>
            <w:r>
              <w:rPr>
                <w:sz w:val="18"/>
              </w:rPr>
              <w:t>Altezza delle impavesate e delle ringhiere dei ponti destinati all'uso delle persone a mobilità ridotta</w:t>
            </w:r>
          </w:p>
        </w:tc>
        <w:tc>
          <w:tcPr>
            <w:tcW w:w="5387"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100" w:after="100" w:line="240" w:lineRule="atLeast"/>
              <w:ind w:left="0" w:firstLine="0"/>
              <w:rPr>
                <w:rFonts w:cs="Arial"/>
                <w:sz w:val="18"/>
                <w:szCs w:val="18"/>
              </w:rPr>
            </w:pPr>
            <w:r>
              <w:rPr>
                <w:sz w:val="18"/>
              </w:rPr>
              <w:t>1.1.2045</w:t>
            </w:r>
          </w:p>
        </w:tc>
        <w:tc>
          <w:tcPr>
            <w:tcW w:w="1276" w:type="dxa"/>
          </w:tcPr>
          <w:p w:rsidR="00C01A94" w:rsidRPr="00C903F8" w:rsidRDefault="00C01A94" w:rsidP="00D321F1">
            <w:pPr>
              <w:spacing w:before="100" w:after="10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D321F1">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D321F1">
            <w:pPr>
              <w:spacing w:before="120" w:after="120" w:line="240" w:lineRule="atLeast"/>
              <w:ind w:left="0" w:firstLine="0"/>
              <w:jc w:val="left"/>
              <w:rPr>
                <w:rFonts w:cs="Arial"/>
                <w:sz w:val="18"/>
                <w:szCs w:val="18"/>
              </w:rPr>
            </w:pPr>
            <w:r>
              <w:rPr>
                <w:sz w:val="18"/>
              </w:rPr>
              <w:t>paragrafo 10, lettera b), seconda frase</w:t>
            </w:r>
          </w:p>
        </w:tc>
        <w:tc>
          <w:tcPr>
            <w:tcW w:w="3296" w:type="dxa"/>
            <w:shd w:val="clear" w:color="auto" w:fill="auto"/>
          </w:tcPr>
          <w:p w:rsidR="00C01A94" w:rsidRPr="00C903F8" w:rsidRDefault="00C01A94" w:rsidP="00D321F1">
            <w:pPr>
              <w:tabs>
                <w:tab w:val="left" w:pos="1080"/>
              </w:tabs>
              <w:spacing w:before="120" w:after="120" w:line="240" w:lineRule="atLeast"/>
              <w:ind w:left="0" w:firstLine="0"/>
              <w:rPr>
                <w:rFonts w:cs="Arial"/>
                <w:sz w:val="18"/>
                <w:szCs w:val="18"/>
              </w:rPr>
            </w:pPr>
            <w:r>
              <w:rPr>
                <w:noProof/>
                <w:sz w:val="18"/>
              </w:rPr>
              <w:t>Ringhiere conformi alla norma europea EN 711:1995 N.S.T., al più tardi alla data di rilascio o di rinnovo del certificato comunitario posteriormente all'1.1.2045 seconda frase</w:t>
            </w:r>
          </w:p>
        </w:tc>
        <w:tc>
          <w:tcPr>
            <w:tcW w:w="5387" w:type="dxa"/>
            <w:shd w:val="clear" w:color="auto" w:fill="auto"/>
          </w:tcPr>
          <w:p w:rsidR="00C01A94" w:rsidRPr="00C903F8" w:rsidRDefault="00C01A94" w:rsidP="00D321F1">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D321F1">
            <w:pPr>
              <w:spacing w:before="120" w:after="120" w:line="240" w:lineRule="atLeast"/>
              <w:ind w:left="0" w:firstLine="0"/>
              <w:rPr>
                <w:rFonts w:cs="Arial"/>
                <w:sz w:val="18"/>
                <w:szCs w:val="18"/>
              </w:rPr>
            </w:pPr>
            <w:r>
              <w:rPr>
                <w:sz w:val="18"/>
              </w:rPr>
              <w:t>1.1.2045</w:t>
            </w:r>
          </w:p>
        </w:tc>
        <w:tc>
          <w:tcPr>
            <w:tcW w:w="1276" w:type="dxa"/>
          </w:tcPr>
          <w:p w:rsidR="00C01A94" w:rsidRPr="00C903F8" w:rsidRDefault="00C01A94" w:rsidP="00D321F1">
            <w:pPr>
              <w:spacing w:before="120" w:after="12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paragrafo 13</w:t>
            </w:r>
          </w:p>
        </w:tc>
        <w:tc>
          <w:tcPr>
            <w:tcW w:w="3296" w:type="dxa"/>
            <w:shd w:val="clear" w:color="auto" w:fill="auto"/>
          </w:tcPr>
          <w:p w:rsidR="00C01A94" w:rsidRPr="00C903F8" w:rsidRDefault="00C01A94" w:rsidP="00C01A94">
            <w:pPr>
              <w:tabs>
                <w:tab w:val="left" w:pos="1080"/>
              </w:tabs>
              <w:spacing w:before="160" w:after="160" w:line="240" w:lineRule="atLeast"/>
              <w:ind w:left="0" w:firstLine="0"/>
              <w:rPr>
                <w:rFonts w:cs="Arial"/>
                <w:sz w:val="18"/>
                <w:szCs w:val="18"/>
              </w:rPr>
            </w:pPr>
            <w:r>
              <w:rPr>
                <w:noProof/>
                <w:sz w:val="18"/>
              </w:rPr>
              <w:t>Zone di passaggio e pareti di tali zone destinate all'uso da parte di persone a mobilità ridotta</w:t>
            </w:r>
          </w:p>
        </w:tc>
        <w:tc>
          <w:tcPr>
            <w:tcW w:w="5387"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160" w:after="1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paragrafo 14, prima frase</w:t>
            </w:r>
          </w:p>
        </w:tc>
        <w:tc>
          <w:tcPr>
            <w:tcW w:w="3296" w:type="dxa"/>
            <w:shd w:val="clear" w:color="auto" w:fill="auto"/>
          </w:tcPr>
          <w:p w:rsidR="00C01A94" w:rsidRPr="00C903F8" w:rsidRDefault="00C01A94" w:rsidP="00C01A94">
            <w:pPr>
              <w:tabs>
                <w:tab w:val="left" w:pos="1080"/>
              </w:tabs>
              <w:spacing w:before="160" w:after="160" w:line="240" w:lineRule="atLeast"/>
              <w:ind w:left="0" w:firstLine="0"/>
              <w:rPr>
                <w:rFonts w:cs="Arial"/>
                <w:sz w:val="18"/>
                <w:szCs w:val="18"/>
              </w:rPr>
            </w:pPr>
            <w:r>
              <w:rPr>
                <w:noProof/>
                <w:sz w:val="18"/>
              </w:rPr>
              <w:t>Progettazione delle porte e delle pareti di vetro nelle zone di passaggio e dei vetri delle finestre</w:t>
            </w:r>
          </w:p>
        </w:tc>
        <w:tc>
          <w:tcPr>
            <w:tcW w:w="5387"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160" w:after="1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paragrafo 15</w:t>
            </w:r>
          </w:p>
        </w:tc>
        <w:tc>
          <w:tcPr>
            <w:tcW w:w="3296" w:type="dxa"/>
            <w:shd w:val="clear" w:color="auto" w:fill="auto"/>
          </w:tcPr>
          <w:p w:rsidR="00C01A94" w:rsidRPr="00C903F8" w:rsidRDefault="00C01A94" w:rsidP="00C01A94">
            <w:pPr>
              <w:tabs>
                <w:tab w:val="left" w:pos="1080"/>
              </w:tabs>
              <w:spacing w:before="160" w:after="160" w:line="240" w:lineRule="atLeast"/>
              <w:ind w:left="0" w:firstLine="0"/>
              <w:rPr>
                <w:rFonts w:cs="Arial"/>
                <w:sz w:val="18"/>
                <w:szCs w:val="18"/>
              </w:rPr>
            </w:pPr>
            <w:r>
              <w:rPr>
                <w:sz w:val="18"/>
              </w:rPr>
              <w:t>Requisiti per sovrastrutture che consistono totalmente o in parte di finestre panoramiche.</w:t>
            </w:r>
          </w:p>
        </w:tc>
        <w:tc>
          <w:tcPr>
            <w:tcW w:w="5387"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160" w:after="1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60" w:after="160" w:line="240" w:lineRule="atLeast"/>
              <w:ind w:left="0" w:firstLine="0"/>
              <w:jc w:val="left"/>
              <w:rPr>
                <w:rFonts w:cs="Arial"/>
                <w:sz w:val="18"/>
                <w:szCs w:val="18"/>
              </w:rPr>
            </w:pPr>
            <w:r>
              <w:rPr>
                <w:sz w:val="18"/>
              </w:rPr>
              <w:t>paragrafo 17, seconda frase</w:t>
            </w:r>
          </w:p>
        </w:tc>
        <w:tc>
          <w:tcPr>
            <w:tcW w:w="3296" w:type="dxa"/>
            <w:shd w:val="clear" w:color="auto" w:fill="auto"/>
          </w:tcPr>
          <w:p w:rsidR="00C01A94" w:rsidRPr="00C903F8" w:rsidRDefault="00C01A94" w:rsidP="00C01A94">
            <w:pPr>
              <w:tabs>
                <w:tab w:val="left" w:pos="1080"/>
              </w:tabs>
              <w:spacing w:before="160" w:after="160" w:line="240" w:lineRule="atLeast"/>
              <w:ind w:left="0" w:firstLine="0"/>
              <w:rPr>
                <w:rFonts w:cs="Arial"/>
                <w:sz w:val="18"/>
                <w:szCs w:val="18"/>
              </w:rPr>
            </w:pPr>
            <w:r>
              <w:rPr>
                <w:noProof/>
                <w:sz w:val="18"/>
              </w:rPr>
              <w:t>Requisiti dei gabinetti progettati per l'uso da parte delle persone a mobilità ridotta</w:t>
            </w:r>
          </w:p>
        </w:tc>
        <w:tc>
          <w:tcPr>
            <w:tcW w:w="5387"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160" w:after="1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tcBorders>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paragrafo 18</w:t>
            </w:r>
          </w:p>
        </w:tc>
        <w:tc>
          <w:tcPr>
            <w:tcW w:w="3296" w:type="dxa"/>
            <w:shd w:val="clear" w:color="auto" w:fill="auto"/>
          </w:tcPr>
          <w:p w:rsidR="00C01A94" w:rsidRPr="00C903F8" w:rsidRDefault="00C01A94" w:rsidP="00C01A94">
            <w:pPr>
              <w:tabs>
                <w:tab w:val="left" w:pos="1080"/>
              </w:tabs>
              <w:spacing w:before="160" w:after="160" w:line="240" w:lineRule="atLeast"/>
              <w:ind w:left="0" w:firstLine="0"/>
              <w:rPr>
                <w:rFonts w:cs="Arial"/>
                <w:sz w:val="18"/>
                <w:szCs w:val="18"/>
              </w:rPr>
            </w:pPr>
            <w:r>
              <w:rPr>
                <w:noProof/>
                <w:sz w:val="18"/>
              </w:rPr>
              <w:t>Sistema di ventilazione per le cabine sprovviste di finestre apribili</w:t>
            </w:r>
          </w:p>
        </w:tc>
        <w:tc>
          <w:tcPr>
            <w:tcW w:w="5387"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160" w:after="1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bottom w:val="single" w:sz="4" w:space="0" w:color="auto"/>
            </w:tcBorders>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lastRenderedPageBreak/>
              <w:t>19.07</w:t>
            </w:r>
            <w:r>
              <w:rPr>
                <w:color w:val="000000"/>
                <w:sz w:val="18"/>
                <w:vertAlign w:val="superscript"/>
              </w:rPr>
              <w:footnoteReference w:id="43"/>
            </w:r>
          </w:p>
        </w:tc>
        <w:tc>
          <w:tcPr>
            <w:tcW w:w="1458" w:type="dxa"/>
            <w:shd w:val="clear" w:color="auto" w:fill="auto"/>
          </w:tcPr>
          <w:p w:rsidR="00C01A94" w:rsidRPr="00C903F8" w:rsidRDefault="00C01A94" w:rsidP="00C01A94">
            <w:pPr>
              <w:spacing w:before="160" w:after="160" w:line="240" w:lineRule="atLeast"/>
              <w:ind w:left="0" w:firstLine="0"/>
              <w:rPr>
                <w:rFonts w:cs="Arial"/>
                <w:sz w:val="18"/>
                <w:szCs w:val="18"/>
              </w:rPr>
            </w:pPr>
          </w:p>
        </w:tc>
        <w:tc>
          <w:tcPr>
            <w:tcW w:w="3296" w:type="dxa"/>
            <w:shd w:val="clear" w:color="auto" w:fill="auto"/>
          </w:tcPr>
          <w:p w:rsidR="00C01A94" w:rsidRPr="00C903F8" w:rsidRDefault="001C15FF" w:rsidP="00C01A94">
            <w:pPr>
              <w:tabs>
                <w:tab w:val="left" w:pos="1080"/>
              </w:tabs>
              <w:spacing w:before="160" w:after="160" w:line="240" w:lineRule="atLeast"/>
              <w:ind w:left="0" w:firstLine="0"/>
              <w:rPr>
                <w:rFonts w:cs="Arial"/>
                <w:sz w:val="18"/>
                <w:szCs w:val="18"/>
              </w:rPr>
            </w:pPr>
            <w:r>
              <w:rPr>
                <w:sz w:val="18"/>
              </w:rPr>
              <w:t>Sala macchine separata</w:t>
            </w:r>
          </w:p>
        </w:tc>
        <w:tc>
          <w:tcPr>
            <w:tcW w:w="5387"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1.1.2020</w:t>
            </w:r>
          </w:p>
        </w:tc>
        <w:tc>
          <w:tcPr>
            <w:tcW w:w="1276" w:type="dxa"/>
          </w:tcPr>
          <w:p w:rsidR="00C01A94" w:rsidRPr="00C903F8" w:rsidRDefault="00C01A94" w:rsidP="00C01A94">
            <w:pPr>
              <w:spacing w:before="160" w:after="1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19.08</w:t>
            </w:r>
          </w:p>
        </w:tc>
        <w:tc>
          <w:tcPr>
            <w:tcW w:w="1458"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paragrafo 3, lettera a)</w:t>
            </w:r>
            <w:r>
              <w:rPr>
                <w:color w:val="000000"/>
                <w:sz w:val="18"/>
                <w:vertAlign w:val="superscript"/>
              </w:rPr>
              <w:footnoteReference w:id="44"/>
            </w:r>
          </w:p>
        </w:tc>
        <w:tc>
          <w:tcPr>
            <w:tcW w:w="3296" w:type="dxa"/>
            <w:shd w:val="clear" w:color="auto" w:fill="auto"/>
          </w:tcPr>
          <w:p w:rsidR="00C01A94" w:rsidRPr="00C903F8" w:rsidRDefault="00C01A94" w:rsidP="00C42516">
            <w:pPr>
              <w:spacing w:before="160" w:after="160" w:line="240" w:lineRule="atLeast"/>
              <w:ind w:left="0" w:firstLine="0"/>
              <w:rPr>
                <w:rFonts w:cs="Arial"/>
                <w:sz w:val="18"/>
                <w:szCs w:val="18"/>
              </w:rPr>
            </w:pPr>
            <w:r>
              <w:rPr>
                <w:sz w:val="18"/>
              </w:rPr>
              <w:t>Requisiti per l'impianto di allarme che permetta ai passeggeri, ai membri dell'equipaggio e al personale di bordo di dare l'allarme al personale di comando e all'equipaggio della nave.</w:t>
            </w:r>
          </w:p>
        </w:tc>
        <w:tc>
          <w:tcPr>
            <w:tcW w:w="5387"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Per i battelli per escursioni giornaliere, il requisito si applica per N.S.T., al più tardi dopo la data di rinnovo del certificato per la navigazione interna posteriormente al</w:t>
            </w:r>
          </w:p>
        </w:tc>
        <w:tc>
          <w:tcPr>
            <w:tcW w:w="1276" w:type="dxa"/>
            <w:shd w:val="clear" w:color="auto" w:fill="auto"/>
          </w:tcPr>
          <w:p w:rsidR="00C01A94" w:rsidRPr="00C903F8" w:rsidRDefault="00C01A94" w:rsidP="00C01A94">
            <w:pPr>
              <w:spacing w:before="160" w:after="160" w:line="240" w:lineRule="atLeast"/>
              <w:ind w:left="0" w:firstLine="0"/>
              <w:rPr>
                <w:rFonts w:cs="Arial"/>
                <w:sz w:val="18"/>
                <w:szCs w:val="18"/>
              </w:rPr>
            </w:pPr>
            <w:r>
              <w:rPr>
                <w:sz w:val="18"/>
              </w:rPr>
              <w:t>1.1.2020</w:t>
            </w:r>
          </w:p>
        </w:tc>
        <w:tc>
          <w:tcPr>
            <w:tcW w:w="1276" w:type="dxa"/>
          </w:tcPr>
          <w:p w:rsidR="00C01A94" w:rsidRPr="00C903F8" w:rsidRDefault="00C01A94" w:rsidP="00C01A94">
            <w:pPr>
              <w:spacing w:before="160" w:after="1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paragrafo 6</w:t>
            </w:r>
          </w:p>
        </w:tc>
        <w:tc>
          <w:tcPr>
            <w:tcW w:w="3296" w:type="dxa"/>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r>
              <w:rPr>
                <w:noProof/>
                <w:sz w:val="18"/>
              </w:rPr>
              <w:t>Sistema di sentina fisso</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1.1.2015</w:t>
            </w: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19.10</w:t>
            </w:r>
          </w:p>
        </w:tc>
        <w:tc>
          <w:tcPr>
            <w:tcW w:w="1458"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paragrafo 2</w:t>
            </w:r>
          </w:p>
        </w:tc>
        <w:tc>
          <w:tcPr>
            <w:tcW w:w="3296" w:type="dxa"/>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r>
              <w:rPr>
                <w:noProof/>
                <w:sz w:val="18"/>
              </w:rPr>
              <w:t>L'articolo 10.16, paragrafo 3, si applica inoltre alle zone di passaggio e ai locali di soggiorno destinati ai passeggeri</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1.1.2015</w:t>
            </w: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paragrafo 3</w:t>
            </w:r>
          </w:p>
        </w:tc>
        <w:tc>
          <w:tcPr>
            <w:tcW w:w="3296" w:type="dxa"/>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r>
              <w:rPr>
                <w:noProof/>
                <w:sz w:val="18"/>
              </w:rPr>
              <w:t>Idonea illuminazione di sicurezza</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1.1.2015</w:t>
            </w: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paragrafo 4</w:t>
            </w:r>
          </w:p>
        </w:tc>
        <w:tc>
          <w:tcPr>
            <w:tcW w:w="3296" w:type="dxa"/>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r>
              <w:rPr>
                <w:noProof/>
                <w:sz w:val="18"/>
              </w:rPr>
              <w:t>Impianto elettrico di emergenza</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noProof/>
                <w:sz w:val="18"/>
              </w:rPr>
              <w:t xml:space="preserve">Alle navi per escursioni giornaliere di lunghezza al galleggiamento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Pr>
                <w:noProof/>
                <w:sz w:val="18"/>
              </w:rPr>
              <w:t xml:space="preserve"> pari o inferiore a 25 m, la disposizione si applica per N.S.T., al più tardi alla data di rinnovo del certificato per la navigazione interna posteriormente al</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1.1.2015</w:t>
            </w: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A5038C">
            <w:pPr>
              <w:spacing w:before="80" w:after="80" w:line="240" w:lineRule="atLeast"/>
              <w:ind w:left="0" w:firstLine="0"/>
              <w:rPr>
                <w:rFonts w:cs="Arial"/>
                <w:sz w:val="18"/>
                <w:szCs w:val="18"/>
              </w:rPr>
            </w:pPr>
          </w:p>
        </w:tc>
        <w:tc>
          <w:tcPr>
            <w:tcW w:w="1458" w:type="dxa"/>
            <w:shd w:val="clear" w:color="auto" w:fill="auto"/>
          </w:tcPr>
          <w:p w:rsidR="00C01A94" w:rsidRPr="00C903F8" w:rsidRDefault="00C01A94" w:rsidP="00A5038C">
            <w:pPr>
              <w:spacing w:before="80" w:after="80" w:line="240" w:lineRule="atLeast"/>
              <w:ind w:left="0" w:firstLine="0"/>
              <w:rPr>
                <w:rFonts w:cs="Arial"/>
                <w:sz w:val="18"/>
                <w:szCs w:val="18"/>
              </w:rPr>
            </w:pPr>
            <w:r>
              <w:rPr>
                <w:sz w:val="18"/>
              </w:rPr>
              <w:t>paragrafo 4, lettera f)</w:t>
            </w:r>
          </w:p>
        </w:tc>
        <w:tc>
          <w:tcPr>
            <w:tcW w:w="3296" w:type="dxa"/>
            <w:shd w:val="clear" w:color="auto" w:fill="auto"/>
          </w:tcPr>
          <w:p w:rsidR="00C01A94" w:rsidRPr="00C903F8" w:rsidRDefault="00C01A94" w:rsidP="00A5038C">
            <w:pPr>
              <w:tabs>
                <w:tab w:val="left" w:pos="1080"/>
              </w:tabs>
              <w:spacing w:before="80" w:after="80" w:line="240" w:lineRule="atLeast"/>
              <w:ind w:left="0" w:firstLine="0"/>
              <w:rPr>
                <w:rFonts w:cs="Arial"/>
                <w:sz w:val="18"/>
                <w:szCs w:val="18"/>
              </w:rPr>
            </w:pPr>
            <w:r>
              <w:rPr>
                <w:noProof/>
                <w:sz w:val="18"/>
              </w:rPr>
              <w:t>Alimentazione di emergenza per proiettori a norma dell'articolo 13.02, paragrafo 2, lettera i)</w:t>
            </w:r>
          </w:p>
        </w:tc>
        <w:tc>
          <w:tcPr>
            <w:tcW w:w="5387" w:type="dxa"/>
            <w:shd w:val="clear" w:color="auto" w:fill="auto"/>
          </w:tcPr>
          <w:p w:rsidR="00C01A94" w:rsidRPr="00C903F8" w:rsidRDefault="00C01A94" w:rsidP="00A5038C">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A5038C">
            <w:pPr>
              <w:spacing w:before="80" w:after="80" w:line="240" w:lineRule="atLeast"/>
              <w:ind w:left="0" w:firstLine="0"/>
              <w:rPr>
                <w:rFonts w:cs="Arial"/>
                <w:sz w:val="18"/>
                <w:szCs w:val="18"/>
              </w:rPr>
            </w:pPr>
            <w:r>
              <w:rPr>
                <w:sz w:val="18"/>
              </w:rPr>
              <w:t>1.1.2015</w:t>
            </w:r>
          </w:p>
        </w:tc>
        <w:tc>
          <w:tcPr>
            <w:tcW w:w="1276" w:type="dxa"/>
          </w:tcPr>
          <w:p w:rsidR="00C01A94" w:rsidRPr="00C903F8" w:rsidRDefault="00C01A94" w:rsidP="00A5038C">
            <w:pPr>
              <w:spacing w:before="80" w:after="8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A5038C">
            <w:pPr>
              <w:spacing w:before="80" w:after="80" w:line="240" w:lineRule="atLeast"/>
              <w:ind w:left="0" w:firstLine="0"/>
              <w:rPr>
                <w:rFonts w:cs="Arial"/>
                <w:sz w:val="18"/>
                <w:szCs w:val="18"/>
              </w:rPr>
            </w:pPr>
          </w:p>
        </w:tc>
        <w:tc>
          <w:tcPr>
            <w:tcW w:w="1458" w:type="dxa"/>
            <w:shd w:val="clear" w:color="auto" w:fill="auto"/>
          </w:tcPr>
          <w:p w:rsidR="00C01A94" w:rsidRPr="00C903F8" w:rsidRDefault="00C01A94" w:rsidP="00A5038C">
            <w:pPr>
              <w:spacing w:before="80" w:after="80" w:line="240" w:lineRule="atLeast"/>
              <w:ind w:left="0" w:firstLine="0"/>
              <w:rPr>
                <w:rFonts w:cs="Arial"/>
                <w:sz w:val="18"/>
                <w:szCs w:val="18"/>
              </w:rPr>
            </w:pPr>
            <w:r>
              <w:rPr>
                <w:sz w:val="18"/>
              </w:rPr>
              <w:t>paragrafo 4, lettera i)</w:t>
            </w:r>
          </w:p>
        </w:tc>
        <w:tc>
          <w:tcPr>
            <w:tcW w:w="3296" w:type="dxa"/>
            <w:shd w:val="clear" w:color="auto" w:fill="auto"/>
          </w:tcPr>
          <w:p w:rsidR="00C01A94" w:rsidRPr="00C903F8" w:rsidRDefault="00C01A94" w:rsidP="00A5038C">
            <w:pPr>
              <w:tabs>
                <w:tab w:val="left" w:pos="1080"/>
              </w:tabs>
              <w:spacing w:before="80" w:after="80" w:line="240" w:lineRule="atLeast"/>
              <w:ind w:left="0" w:firstLine="0"/>
              <w:rPr>
                <w:rFonts w:cs="Arial"/>
                <w:sz w:val="18"/>
                <w:szCs w:val="18"/>
              </w:rPr>
            </w:pPr>
            <w:r>
              <w:rPr>
                <w:noProof/>
                <w:sz w:val="18"/>
              </w:rPr>
              <w:t>Alimentazione di emergenza per ascensori e impianti di sollevamento a norma dell'articolo 19.06, paragrafo 9, seconda frase</w:t>
            </w:r>
          </w:p>
        </w:tc>
        <w:tc>
          <w:tcPr>
            <w:tcW w:w="5387" w:type="dxa"/>
            <w:shd w:val="clear" w:color="auto" w:fill="auto"/>
          </w:tcPr>
          <w:p w:rsidR="00C01A94" w:rsidRPr="00C903F8" w:rsidRDefault="00C01A94" w:rsidP="00A5038C">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A5038C">
            <w:pPr>
              <w:spacing w:before="80" w:after="80" w:line="240" w:lineRule="atLeast"/>
              <w:ind w:left="0" w:firstLine="0"/>
              <w:rPr>
                <w:rFonts w:cs="Arial"/>
                <w:sz w:val="18"/>
                <w:szCs w:val="18"/>
              </w:rPr>
            </w:pPr>
            <w:r>
              <w:rPr>
                <w:sz w:val="18"/>
              </w:rPr>
              <w:t>1.1.2015</w:t>
            </w:r>
          </w:p>
        </w:tc>
        <w:tc>
          <w:tcPr>
            <w:tcW w:w="1276" w:type="dxa"/>
          </w:tcPr>
          <w:p w:rsidR="00C01A94" w:rsidRPr="00C903F8" w:rsidRDefault="00C01A94" w:rsidP="00A5038C">
            <w:pPr>
              <w:spacing w:before="80" w:after="8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A5038C">
            <w:pPr>
              <w:spacing w:before="80" w:after="80" w:line="240" w:lineRule="atLeast"/>
              <w:ind w:left="0" w:firstLine="0"/>
              <w:rPr>
                <w:rFonts w:cs="Arial"/>
                <w:sz w:val="18"/>
                <w:szCs w:val="18"/>
              </w:rPr>
            </w:pPr>
          </w:p>
        </w:tc>
        <w:tc>
          <w:tcPr>
            <w:tcW w:w="1458" w:type="dxa"/>
            <w:shd w:val="clear" w:color="auto" w:fill="auto"/>
          </w:tcPr>
          <w:p w:rsidR="00C01A94" w:rsidRPr="00C903F8" w:rsidRDefault="00C01A94" w:rsidP="00A5038C">
            <w:pPr>
              <w:spacing w:before="80" w:after="80" w:line="240" w:lineRule="atLeast"/>
              <w:ind w:left="0" w:firstLine="0"/>
              <w:jc w:val="left"/>
              <w:rPr>
                <w:rFonts w:cs="Arial"/>
                <w:sz w:val="18"/>
                <w:szCs w:val="18"/>
              </w:rPr>
            </w:pPr>
            <w:r>
              <w:rPr>
                <w:sz w:val="18"/>
              </w:rPr>
              <w:t>paragrafo 6, prima frase</w:t>
            </w:r>
          </w:p>
        </w:tc>
        <w:tc>
          <w:tcPr>
            <w:tcW w:w="3296" w:type="dxa"/>
            <w:shd w:val="clear" w:color="auto" w:fill="auto"/>
          </w:tcPr>
          <w:p w:rsidR="00C01A94" w:rsidRPr="00C903F8" w:rsidRDefault="00C01A94" w:rsidP="00A5038C">
            <w:pPr>
              <w:tabs>
                <w:tab w:val="left" w:pos="1080"/>
              </w:tabs>
              <w:spacing w:before="80" w:after="80" w:line="240" w:lineRule="atLeast"/>
              <w:ind w:left="0" w:firstLine="0"/>
              <w:rPr>
                <w:rFonts w:cs="Arial"/>
                <w:sz w:val="18"/>
                <w:szCs w:val="18"/>
              </w:rPr>
            </w:pPr>
            <w:r>
              <w:rPr>
                <w:noProof/>
                <w:sz w:val="18"/>
              </w:rPr>
              <w:t>Paratie a norma dell'articolo 19.11, paragrafo 2</w:t>
            </w:r>
          </w:p>
        </w:tc>
        <w:tc>
          <w:tcPr>
            <w:tcW w:w="5387" w:type="dxa"/>
            <w:shd w:val="clear" w:color="auto" w:fill="auto"/>
          </w:tcPr>
          <w:p w:rsidR="00C01A94" w:rsidRPr="00C903F8" w:rsidRDefault="00C01A94" w:rsidP="00A5038C">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A5038C">
            <w:pPr>
              <w:spacing w:before="80" w:after="80" w:line="240" w:lineRule="atLeast"/>
              <w:ind w:left="0" w:firstLine="0"/>
              <w:rPr>
                <w:rFonts w:cs="Arial"/>
                <w:sz w:val="18"/>
                <w:szCs w:val="18"/>
              </w:rPr>
            </w:pPr>
            <w:r>
              <w:rPr>
                <w:sz w:val="18"/>
              </w:rPr>
              <w:t>1.1.2015</w:t>
            </w:r>
          </w:p>
        </w:tc>
        <w:tc>
          <w:tcPr>
            <w:tcW w:w="1276" w:type="dxa"/>
          </w:tcPr>
          <w:p w:rsidR="00C01A94" w:rsidRPr="00C903F8" w:rsidRDefault="00C01A94" w:rsidP="00A5038C">
            <w:pPr>
              <w:spacing w:before="80" w:after="8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A5038C">
            <w:pPr>
              <w:spacing w:before="80" w:after="80" w:line="240" w:lineRule="atLeast"/>
              <w:ind w:left="0" w:firstLine="0"/>
              <w:rPr>
                <w:rFonts w:cs="Arial"/>
                <w:sz w:val="18"/>
                <w:szCs w:val="18"/>
              </w:rPr>
            </w:pPr>
          </w:p>
        </w:tc>
        <w:tc>
          <w:tcPr>
            <w:tcW w:w="1458" w:type="dxa"/>
            <w:shd w:val="clear" w:color="auto" w:fill="auto"/>
          </w:tcPr>
          <w:p w:rsidR="00C01A94" w:rsidRPr="00C903F8" w:rsidRDefault="00C01A94" w:rsidP="00A5038C">
            <w:pPr>
              <w:spacing w:before="80" w:after="80" w:line="240" w:lineRule="atLeast"/>
              <w:ind w:left="0" w:firstLine="0"/>
              <w:rPr>
                <w:rFonts w:cs="Arial"/>
                <w:sz w:val="18"/>
                <w:szCs w:val="18"/>
              </w:rPr>
            </w:pPr>
            <w:r>
              <w:rPr>
                <w:sz w:val="18"/>
              </w:rPr>
              <w:t>paragrafo 6, seconda e terza frase</w:t>
            </w:r>
          </w:p>
        </w:tc>
        <w:tc>
          <w:tcPr>
            <w:tcW w:w="3296" w:type="dxa"/>
            <w:shd w:val="clear" w:color="auto" w:fill="auto"/>
          </w:tcPr>
          <w:p w:rsidR="00C01A94" w:rsidRPr="00C903F8" w:rsidRDefault="00C01A94" w:rsidP="00A5038C">
            <w:pPr>
              <w:tabs>
                <w:tab w:val="left" w:pos="1080"/>
              </w:tabs>
              <w:spacing w:before="80" w:after="80" w:line="240" w:lineRule="atLeast"/>
              <w:ind w:left="0" w:firstLine="0"/>
              <w:rPr>
                <w:rFonts w:cs="Arial"/>
                <w:sz w:val="18"/>
                <w:szCs w:val="18"/>
              </w:rPr>
            </w:pPr>
            <w:r>
              <w:rPr>
                <w:noProof/>
                <w:sz w:val="18"/>
              </w:rPr>
              <w:t>Installazione di cavi</w:t>
            </w:r>
          </w:p>
        </w:tc>
        <w:tc>
          <w:tcPr>
            <w:tcW w:w="5387" w:type="dxa"/>
            <w:shd w:val="clear" w:color="auto" w:fill="auto"/>
          </w:tcPr>
          <w:p w:rsidR="00C01A94" w:rsidRPr="00C903F8" w:rsidRDefault="00C01A94" w:rsidP="00A5038C">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A5038C">
            <w:pPr>
              <w:spacing w:before="80" w:after="80" w:line="240" w:lineRule="atLeast"/>
              <w:ind w:left="0" w:firstLine="0"/>
              <w:rPr>
                <w:rFonts w:cs="Arial"/>
                <w:sz w:val="18"/>
                <w:szCs w:val="18"/>
              </w:rPr>
            </w:pPr>
            <w:r>
              <w:rPr>
                <w:sz w:val="18"/>
              </w:rPr>
              <w:t>1.1.2015</w:t>
            </w:r>
          </w:p>
        </w:tc>
        <w:tc>
          <w:tcPr>
            <w:tcW w:w="1276" w:type="dxa"/>
          </w:tcPr>
          <w:p w:rsidR="00C01A94" w:rsidRPr="00C903F8" w:rsidRDefault="00C01A94" w:rsidP="00A5038C">
            <w:pPr>
              <w:spacing w:before="80" w:after="8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single" w:sz="4" w:space="0" w:color="auto"/>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60" w:after="60" w:line="240" w:lineRule="atLeast"/>
              <w:ind w:left="0" w:firstLine="0"/>
              <w:jc w:val="left"/>
              <w:rPr>
                <w:rFonts w:cs="Arial"/>
                <w:sz w:val="18"/>
                <w:szCs w:val="18"/>
              </w:rPr>
            </w:pPr>
            <w:r>
              <w:rPr>
                <w:sz w:val="18"/>
              </w:rPr>
              <w:t>paragrafo 6, quarta frase</w:t>
            </w:r>
          </w:p>
        </w:tc>
        <w:tc>
          <w:tcPr>
            <w:tcW w:w="3296" w:type="dxa"/>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r>
              <w:rPr>
                <w:noProof/>
                <w:sz w:val="18"/>
              </w:rPr>
              <w:t>Impianto elettrico di emergenza al di sopra della linea limite</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1.1.2015</w:t>
            </w: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1.1.2006</w:t>
            </w:r>
          </w:p>
        </w:tc>
      </w:tr>
      <w:tr w:rsidR="00C01A94" w:rsidRPr="00C903F8" w:rsidTr="00AA5614">
        <w:trPr>
          <w:cantSplit/>
          <w:trHeight w:val="347"/>
          <w:jc w:val="center"/>
        </w:trPr>
        <w:tc>
          <w:tcPr>
            <w:tcW w:w="1342" w:type="dxa"/>
            <w:vMerge w:val="restart"/>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19.11</w:t>
            </w:r>
          </w:p>
        </w:tc>
        <w:tc>
          <w:tcPr>
            <w:tcW w:w="1458" w:type="dxa"/>
            <w:vMerge w:val="restart"/>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paragrafo 1</w:t>
            </w:r>
          </w:p>
        </w:tc>
        <w:tc>
          <w:tcPr>
            <w:tcW w:w="3296" w:type="dxa"/>
            <w:vMerge w:val="restart"/>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r>
              <w:rPr>
                <w:noProof/>
                <w:sz w:val="18"/>
              </w:rPr>
              <w:t>Idoneità alla protezione antincendio dei materiali e delle componenti</w:t>
            </w:r>
          </w:p>
        </w:tc>
        <w:tc>
          <w:tcPr>
            <w:tcW w:w="5387" w:type="dxa"/>
            <w:shd w:val="clear" w:color="auto" w:fill="auto"/>
          </w:tcPr>
          <w:p w:rsidR="00C01A94" w:rsidRPr="001E07EB" w:rsidRDefault="00C01A94" w:rsidP="00C01A94">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1.1.2006</w:t>
            </w:r>
          </w:p>
        </w:tc>
      </w:tr>
      <w:tr w:rsidR="00C01A94" w:rsidRPr="006F55F5" w:rsidTr="00E67DA4">
        <w:trPr>
          <w:cantSplit/>
          <w:trHeight w:val="346"/>
          <w:jc w:val="center"/>
        </w:trPr>
        <w:tc>
          <w:tcPr>
            <w:tcW w:w="1342" w:type="dxa"/>
            <w:vMerge/>
            <w:tcBorders>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p>
        </w:tc>
        <w:tc>
          <w:tcPr>
            <w:tcW w:w="1458" w:type="dxa"/>
            <w:vMerge/>
            <w:shd w:val="clear" w:color="auto" w:fill="auto"/>
          </w:tcPr>
          <w:p w:rsidR="00C01A94" w:rsidRPr="00C903F8" w:rsidRDefault="00C01A94" w:rsidP="00C01A94">
            <w:pPr>
              <w:spacing w:before="60" w:after="60" w:line="240" w:lineRule="atLeast"/>
              <w:ind w:left="0" w:firstLine="0"/>
              <w:rPr>
                <w:rFonts w:cs="Arial"/>
                <w:sz w:val="18"/>
                <w:szCs w:val="18"/>
              </w:rPr>
            </w:pPr>
          </w:p>
        </w:tc>
        <w:tc>
          <w:tcPr>
            <w:tcW w:w="3296" w:type="dxa"/>
            <w:vMerge/>
            <w:shd w:val="clear" w:color="auto" w:fill="auto"/>
          </w:tcPr>
          <w:p w:rsidR="00C01A94" w:rsidRPr="00C903F8" w:rsidRDefault="00C01A94" w:rsidP="00C01A94">
            <w:pPr>
              <w:tabs>
                <w:tab w:val="left" w:pos="1080"/>
              </w:tabs>
              <w:spacing w:before="60" w:after="60" w:line="240" w:lineRule="atLeast"/>
              <w:ind w:left="0" w:firstLine="0"/>
              <w:rPr>
                <w:rFonts w:cs="Arial"/>
                <w:noProof/>
                <w:sz w:val="18"/>
                <w:szCs w:val="18"/>
              </w:rPr>
            </w:pPr>
          </w:p>
        </w:tc>
        <w:tc>
          <w:tcPr>
            <w:tcW w:w="5387" w:type="dxa"/>
            <w:shd w:val="clear" w:color="auto" w:fill="auto"/>
          </w:tcPr>
          <w:p w:rsidR="00C01A94" w:rsidRPr="00600BEE" w:rsidRDefault="00C01A94" w:rsidP="00C01A94">
            <w:pPr>
              <w:spacing w:before="60" w:after="60" w:line="240" w:lineRule="atLeast"/>
              <w:ind w:left="0" w:firstLine="0"/>
              <w:rPr>
                <w:rFonts w:cs="Arial"/>
                <w:sz w:val="18"/>
                <w:szCs w:val="18"/>
              </w:rPr>
            </w:pPr>
            <w:r>
              <w:rPr>
                <w:sz w:val="18"/>
              </w:rPr>
              <w:t>Per materiali e componenti autorizzati in conformità</w:t>
            </w:r>
            <w:r w:rsidR="00A16690">
              <w:rPr>
                <w:sz w:val="18"/>
              </w:rPr>
              <w:t xml:space="preserve"> </w:t>
            </w:r>
            <w:r>
              <w:rPr>
                <w:sz w:val="18"/>
              </w:rPr>
              <w:t>al codice internazionale per l'applicazione delle procedure di prova del fuoco adottato tramite la risoluzione MSC.61(67)</w:t>
            </w:r>
            <w:r>
              <w:rPr>
                <w:rStyle w:val="FootnoteReference"/>
                <w:sz w:val="18"/>
              </w:rPr>
              <w:footnoteReference w:id="45"/>
            </w:r>
            <w:r>
              <w:rPr>
                <w:sz w:val="18"/>
              </w:rPr>
              <w:t>: N.S.T</w:t>
            </w:r>
          </w:p>
        </w:tc>
        <w:tc>
          <w:tcPr>
            <w:tcW w:w="1276" w:type="dxa"/>
            <w:shd w:val="clear" w:color="auto" w:fill="auto"/>
          </w:tcPr>
          <w:p w:rsidR="00C01A94" w:rsidRPr="00600BEE" w:rsidRDefault="00C01A94" w:rsidP="00C01A94">
            <w:pPr>
              <w:spacing w:before="60" w:after="60" w:line="240" w:lineRule="atLeast"/>
              <w:ind w:left="0" w:firstLine="0"/>
              <w:rPr>
                <w:rFonts w:cs="Arial"/>
                <w:sz w:val="18"/>
                <w:szCs w:val="18"/>
              </w:rPr>
            </w:pPr>
          </w:p>
        </w:tc>
        <w:tc>
          <w:tcPr>
            <w:tcW w:w="1276" w:type="dxa"/>
          </w:tcPr>
          <w:p w:rsidR="00C01A94" w:rsidRPr="00600BEE" w:rsidRDefault="00C01A94" w:rsidP="00C01A94">
            <w:pPr>
              <w:spacing w:before="60" w:after="60" w:line="240" w:lineRule="atLeast"/>
              <w:ind w:left="0" w:firstLine="0"/>
              <w:rPr>
                <w:rFonts w:cs="Arial"/>
                <w:sz w:val="18"/>
                <w:szCs w:val="18"/>
              </w:rPr>
            </w:pPr>
            <w:r>
              <w:rPr>
                <w:sz w:val="18"/>
              </w:rPr>
              <w:t>7.10.2018</w:t>
            </w:r>
          </w:p>
        </w:tc>
      </w:tr>
      <w:tr w:rsidR="00C01A94" w:rsidRPr="00C903F8" w:rsidTr="00E67DA4">
        <w:trPr>
          <w:cantSplit/>
          <w:jc w:val="center"/>
        </w:trPr>
        <w:tc>
          <w:tcPr>
            <w:tcW w:w="1342" w:type="dxa"/>
            <w:tcBorders>
              <w:top w:val="nil"/>
              <w:bottom w:val="nil"/>
            </w:tcBorders>
            <w:shd w:val="clear" w:color="auto" w:fill="auto"/>
          </w:tcPr>
          <w:p w:rsidR="00C01A94" w:rsidRPr="006F55F5"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2</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Progettazione delle paratie</w:t>
            </w:r>
          </w:p>
        </w:tc>
        <w:tc>
          <w:tcPr>
            <w:tcW w:w="5387"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120" w:after="12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3</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Le pitture, le lacche e altri prodotti per il trattamento delle superfici nonché i rivestimenti dei ponti utilizzati nei locali a eccezione della sala macchine e dei magazzini sono a infiammabilità ritardata</w:t>
            </w:r>
          </w:p>
        </w:tc>
        <w:tc>
          <w:tcPr>
            <w:tcW w:w="5387"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1.1.2015</w:t>
            </w:r>
          </w:p>
        </w:tc>
        <w:tc>
          <w:tcPr>
            <w:tcW w:w="1276" w:type="dxa"/>
          </w:tcPr>
          <w:p w:rsidR="00C01A94" w:rsidRPr="00C903F8" w:rsidRDefault="00C01A94" w:rsidP="00C01A94">
            <w:pPr>
              <w:spacing w:before="120" w:after="12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4</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Soffittature e rivestimenti delle pareti realizzati in materiale non combustibile</w:t>
            </w:r>
          </w:p>
        </w:tc>
        <w:tc>
          <w:tcPr>
            <w:tcW w:w="5387"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120" w:after="12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5</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Mobilio e arredo nei punti di riunione realizzati in materiale non combustibile</w:t>
            </w:r>
          </w:p>
        </w:tc>
        <w:tc>
          <w:tcPr>
            <w:tcW w:w="5387"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120" w:after="12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6</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Prova del fuoco conforme al codice</w:t>
            </w:r>
          </w:p>
        </w:tc>
        <w:tc>
          <w:tcPr>
            <w:tcW w:w="5387"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120" w:after="12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7</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Materiali coibentanti nelle sale di ritrovo nei saloni</w:t>
            </w:r>
          </w:p>
        </w:tc>
        <w:tc>
          <w:tcPr>
            <w:tcW w:w="5387"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120" w:after="12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jc w:val="left"/>
              <w:rPr>
                <w:rFonts w:cs="Arial"/>
                <w:sz w:val="18"/>
                <w:szCs w:val="18"/>
              </w:rPr>
            </w:pPr>
            <w:r>
              <w:rPr>
                <w:sz w:val="18"/>
              </w:rPr>
              <w:t>paragrafo 9, lettere a), b, c), seconda frase, e d)</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Requisiti delle porte delle paratie</w:t>
            </w:r>
          </w:p>
        </w:tc>
        <w:tc>
          <w:tcPr>
            <w:tcW w:w="5387"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120" w:after="12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11</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sz w:val="18"/>
              </w:rPr>
              <w:t>Paratie</w:t>
            </w:r>
          </w:p>
        </w:tc>
        <w:tc>
          <w:tcPr>
            <w:tcW w:w="5387"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120" w:after="12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120" w:after="12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paragrafo 13</w:t>
            </w:r>
          </w:p>
        </w:tc>
        <w:tc>
          <w:tcPr>
            <w:tcW w:w="3296" w:type="dxa"/>
            <w:shd w:val="clear" w:color="auto" w:fill="auto"/>
          </w:tcPr>
          <w:p w:rsidR="00C01A94" w:rsidRPr="00C903F8" w:rsidRDefault="00C01A94" w:rsidP="00C01A94">
            <w:pPr>
              <w:tabs>
                <w:tab w:val="left" w:pos="1080"/>
              </w:tabs>
              <w:spacing w:before="120" w:after="120" w:line="240" w:lineRule="atLeast"/>
              <w:ind w:left="0" w:firstLine="0"/>
              <w:rPr>
                <w:rFonts w:cs="Arial"/>
                <w:sz w:val="18"/>
                <w:szCs w:val="18"/>
              </w:rPr>
            </w:pPr>
            <w:r>
              <w:rPr>
                <w:noProof/>
                <w:sz w:val="18"/>
              </w:rPr>
              <w:t>Scale di acciaio o altro materiale non combustibile equivalente</w:t>
            </w:r>
          </w:p>
        </w:tc>
        <w:tc>
          <w:tcPr>
            <w:tcW w:w="5387"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20" w:after="12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120" w:after="12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14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paragrafo 14</w:t>
            </w:r>
          </w:p>
        </w:tc>
        <w:tc>
          <w:tcPr>
            <w:tcW w:w="3296" w:type="dxa"/>
            <w:shd w:val="clear" w:color="auto" w:fill="auto"/>
          </w:tcPr>
          <w:p w:rsidR="00C01A94" w:rsidRPr="00C903F8" w:rsidRDefault="00C01A94" w:rsidP="00C01A94">
            <w:pPr>
              <w:tabs>
                <w:tab w:val="left" w:pos="1080"/>
              </w:tabs>
              <w:spacing w:before="140" w:after="160" w:line="240" w:lineRule="atLeast"/>
              <w:ind w:left="0" w:firstLine="0"/>
              <w:rPr>
                <w:rFonts w:cs="Arial"/>
                <w:sz w:val="18"/>
                <w:szCs w:val="18"/>
              </w:rPr>
            </w:pPr>
            <w:r>
              <w:rPr>
                <w:sz w:val="18"/>
              </w:rPr>
              <w:t>Le scale interne circondate a tutti i livelli da pareti a norma del paragrafo 2.</w:t>
            </w:r>
          </w:p>
        </w:tc>
        <w:tc>
          <w:tcPr>
            <w:tcW w:w="5387" w:type="dxa"/>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140" w:after="1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14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paragrafo 15</w:t>
            </w:r>
          </w:p>
        </w:tc>
        <w:tc>
          <w:tcPr>
            <w:tcW w:w="3296" w:type="dxa"/>
            <w:shd w:val="clear" w:color="auto" w:fill="auto"/>
          </w:tcPr>
          <w:p w:rsidR="00C01A94" w:rsidRPr="00C903F8" w:rsidRDefault="00C01A94" w:rsidP="00C01A94">
            <w:pPr>
              <w:tabs>
                <w:tab w:val="left" w:pos="1080"/>
              </w:tabs>
              <w:spacing w:before="140" w:after="160" w:line="240" w:lineRule="atLeast"/>
              <w:ind w:left="0" w:firstLine="0"/>
              <w:rPr>
                <w:rFonts w:cs="Arial"/>
                <w:sz w:val="18"/>
                <w:szCs w:val="18"/>
              </w:rPr>
            </w:pPr>
            <w:r>
              <w:rPr>
                <w:noProof/>
                <w:sz w:val="18"/>
              </w:rPr>
              <w:t>Sistemi di ventilazione e sistemi di alimentazione d'aria</w:t>
            </w:r>
          </w:p>
        </w:tc>
        <w:tc>
          <w:tcPr>
            <w:tcW w:w="5387" w:type="dxa"/>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140" w:after="1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nil"/>
            </w:tcBorders>
            <w:shd w:val="clear" w:color="auto" w:fill="auto"/>
          </w:tcPr>
          <w:p w:rsidR="00C01A94" w:rsidRPr="00C903F8" w:rsidRDefault="00C01A94" w:rsidP="00C01A94">
            <w:pPr>
              <w:spacing w:before="14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paragrafo 16</w:t>
            </w:r>
          </w:p>
        </w:tc>
        <w:tc>
          <w:tcPr>
            <w:tcW w:w="3296" w:type="dxa"/>
            <w:shd w:val="clear" w:color="auto" w:fill="auto"/>
          </w:tcPr>
          <w:p w:rsidR="00C01A94" w:rsidRPr="00C903F8" w:rsidRDefault="00C01A94" w:rsidP="00C01A94">
            <w:pPr>
              <w:tabs>
                <w:tab w:val="left" w:pos="1080"/>
              </w:tabs>
              <w:spacing w:before="140" w:after="160" w:line="240" w:lineRule="atLeast"/>
              <w:ind w:left="0" w:firstLine="0"/>
              <w:rPr>
                <w:rFonts w:cs="Arial"/>
                <w:sz w:val="18"/>
                <w:szCs w:val="18"/>
              </w:rPr>
            </w:pPr>
            <w:r>
              <w:rPr>
                <w:noProof/>
                <w:sz w:val="18"/>
              </w:rPr>
              <w:t>Sistemi di ventilazione nelle cucine e stufe con estrattori</w:t>
            </w:r>
          </w:p>
        </w:tc>
        <w:tc>
          <w:tcPr>
            <w:tcW w:w="5387" w:type="dxa"/>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140" w:after="160" w:line="240" w:lineRule="atLeast"/>
              <w:ind w:left="0" w:firstLine="0"/>
              <w:rPr>
                <w:rFonts w:cs="Arial"/>
                <w:sz w:val="18"/>
                <w:szCs w:val="18"/>
              </w:rPr>
            </w:pPr>
            <w:r>
              <w:rPr>
                <w:sz w:val="18"/>
              </w:rPr>
              <w:t>1.1.2006</w:t>
            </w:r>
          </w:p>
        </w:tc>
      </w:tr>
      <w:tr w:rsidR="00C01A94" w:rsidRPr="00C903F8" w:rsidTr="001640EF">
        <w:trPr>
          <w:cantSplit/>
          <w:jc w:val="center"/>
        </w:trPr>
        <w:tc>
          <w:tcPr>
            <w:tcW w:w="1342" w:type="dxa"/>
            <w:tcBorders>
              <w:top w:val="nil"/>
              <w:bottom w:val="single" w:sz="4" w:space="0" w:color="auto"/>
            </w:tcBorders>
            <w:shd w:val="clear" w:color="auto" w:fill="auto"/>
          </w:tcPr>
          <w:p w:rsidR="00C01A94" w:rsidRPr="00C903F8" w:rsidRDefault="00C01A94" w:rsidP="00C01A94">
            <w:pPr>
              <w:spacing w:before="14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paragrafo 17</w:t>
            </w:r>
          </w:p>
        </w:tc>
        <w:tc>
          <w:tcPr>
            <w:tcW w:w="3296" w:type="dxa"/>
            <w:shd w:val="clear" w:color="auto" w:fill="auto"/>
          </w:tcPr>
          <w:p w:rsidR="00C01A94" w:rsidRPr="00C903F8" w:rsidRDefault="00C01A94" w:rsidP="00C01A94">
            <w:pPr>
              <w:tabs>
                <w:tab w:val="left" w:pos="1080"/>
              </w:tabs>
              <w:spacing w:before="140" w:after="160" w:line="240" w:lineRule="atLeast"/>
              <w:ind w:left="0" w:firstLine="0"/>
              <w:rPr>
                <w:rFonts w:cs="Arial"/>
                <w:sz w:val="18"/>
                <w:szCs w:val="18"/>
              </w:rPr>
            </w:pPr>
            <w:r>
              <w:rPr>
                <w:noProof/>
                <w:sz w:val="18"/>
              </w:rPr>
              <w:t>Centri di comando, vani scale, punti di riunione e sistemi di estrazione del fumo</w:t>
            </w:r>
          </w:p>
        </w:tc>
        <w:tc>
          <w:tcPr>
            <w:tcW w:w="5387" w:type="dxa"/>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140" w:after="160" w:line="240" w:lineRule="atLeast"/>
              <w:ind w:left="0" w:firstLine="0"/>
              <w:rPr>
                <w:rFonts w:cs="Arial"/>
                <w:sz w:val="18"/>
                <w:szCs w:val="18"/>
              </w:rPr>
            </w:pPr>
            <w:r>
              <w:rPr>
                <w:sz w:val="18"/>
              </w:rPr>
              <w:t>1.1.2006</w:t>
            </w:r>
          </w:p>
        </w:tc>
      </w:tr>
      <w:tr w:rsidR="00C01A94" w:rsidRPr="00C903F8" w:rsidTr="001640EF">
        <w:trPr>
          <w:cantSplit/>
          <w:jc w:val="center"/>
        </w:trPr>
        <w:tc>
          <w:tcPr>
            <w:tcW w:w="1342" w:type="dxa"/>
            <w:tcBorders>
              <w:top w:val="single" w:sz="4" w:space="0" w:color="auto"/>
              <w:bottom w:val="nil"/>
            </w:tcBorders>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19.12</w:t>
            </w:r>
          </w:p>
        </w:tc>
        <w:tc>
          <w:tcPr>
            <w:tcW w:w="1458" w:type="dxa"/>
            <w:tcBorders>
              <w:bottom w:val="single" w:sz="4" w:space="0" w:color="auto"/>
            </w:tcBorders>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paragrafo 8, lettera d)</w:t>
            </w:r>
          </w:p>
        </w:tc>
        <w:tc>
          <w:tcPr>
            <w:tcW w:w="3296" w:type="dxa"/>
            <w:tcBorders>
              <w:bottom w:val="single" w:sz="4" w:space="0" w:color="auto"/>
            </w:tcBorders>
            <w:shd w:val="clear" w:color="auto" w:fill="auto"/>
          </w:tcPr>
          <w:p w:rsidR="00C01A94" w:rsidRPr="00C903F8" w:rsidRDefault="00C01A94" w:rsidP="00C01A94">
            <w:pPr>
              <w:tabs>
                <w:tab w:val="left" w:pos="1080"/>
              </w:tabs>
              <w:spacing w:before="140" w:after="160" w:line="240" w:lineRule="atLeast"/>
              <w:ind w:left="0" w:firstLine="0"/>
              <w:rPr>
                <w:rFonts w:cs="Arial"/>
                <w:sz w:val="18"/>
                <w:szCs w:val="18"/>
              </w:rPr>
            </w:pPr>
            <w:r>
              <w:rPr>
                <w:sz w:val="18"/>
              </w:rPr>
              <w:t>Installazione delle pompe antincendio</w:t>
            </w:r>
          </w:p>
        </w:tc>
        <w:tc>
          <w:tcPr>
            <w:tcW w:w="5387" w:type="dxa"/>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1.1.2020</w:t>
            </w:r>
          </w:p>
        </w:tc>
        <w:tc>
          <w:tcPr>
            <w:tcW w:w="1276" w:type="dxa"/>
          </w:tcPr>
          <w:p w:rsidR="00C01A94" w:rsidRPr="00C903F8" w:rsidRDefault="00C01A94" w:rsidP="00C01A94">
            <w:pPr>
              <w:spacing w:before="140" w:after="160" w:line="240" w:lineRule="atLeast"/>
              <w:ind w:left="0" w:firstLine="0"/>
              <w:rPr>
                <w:rFonts w:cs="Arial"/>
                <w:sz w:val="18"/>
                <w:szCs w:val="18"/>
              </w:rPr>
            </w:pPr>
            <w:r>
              <w:rPr>
                <w:sz w:val="18"/>
              </w:rPr>
              <w:t>7.10.2018</w:t>
            </w:r>
          </w:p>
        </w:tc>
      </w:tr>
      <w:tr w:rsidR="00C01A94" w:rsidRPr="00C903F8" w:rsidTr="00F14E8B">
        <w:trPr>
          <w:cantSplit/>
          <w:jc w:val="center"/>
        </w:trPr>
        <w:tc>
          <w:tcPr>
            <w:tcW w:w="1342" w:type="dxa"/>
            <w:tcBorders>
              <w:top w:val="nil"/>
              <w:bottom w:val="nil"/>
            </w:tcBorders>
            <w:shd w:val="clear" w:color="auto" w:fill="auto"/>
          </w:tcPr>
          <w:p w:rsidR="00C01A94" w:rsidRPr="00C903F8" w:rsidRDefault="00C01A94" w:rsidP="00C01A94">
            <w:pPr>
              <w:spacing w:before="140" w:after="160" w:line="240" w:lineRule="atLeast"/>
              <w:ind w:left="0" w:firstLine="0"/>
              <w:rPr>
                <w:rFonts w:cs="Arial"/>
                <w:sz w:val="18"/>
                <w:szCs w:val="18"/>
              </w:rPr>
            </w:pPr>
          </w:p>
        </w:tc>
        <w:tc>
          <w:tcPr>
            <w:tcW w:w="1458" w:type="dxa"/>
            <w:vMerge w:val="restart"/>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paragrafo 9</w:t>
            </w:r>
          </w:p>
        </w:tc>
        <w:tc>
          <w:tcPr>
            <w:tcW w:w="3296" w:type="dxa"/>
            <w:vMerge w:val="restart"/>
            <w:shd w:val="clear" w:color="auto" w:fill="auto"/>
          </w:tcPr>
          <w:p w:rsidR="00C01A94" w:rsidRPr="00C903F8" w:rsidRDefault="00C01A94" w:rsidP="00C01A94">
            <w:pPr>
              <w:tabs>
                <w:tab w:val="left" w:pos="1080"/>
              </w:tabs>
              <w:spacing w:before="140" w:after="160" w:line="240" w:lineRule="atLeast"/>
              <w:ind w:left="0" w:firstLine="0"/>
              <w:rPr>
                <w:rFonts w:cs="Arial"/>
                <w:sz w:val="18"/>
                <w:szCs w:val="18"/>
              </w:rPr>
            </w:pPr>
            <w:r>
              <w:rPr>
                <w:noProof/>
                <w:sz w:val="18"/>
              </w:rPr>
              <w:t>Sistema antincendio nelle sale macchine</w:t>
            </w:r>
          </w:p>
        </w:tc>
        <w:tc>
          <w:tcPr>
            <w:tcW w:w="5387" w:type="dxa"/>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vMerge w:val="restart"/>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1.1.2015</w:t>
            </w:r>
          </w:p>
        </w:tc>
        <w:tc>
          <w:tcPr>
            <w:tcW w:w="1276" w:type="dxa"/>
            <w:vMerge w:val="restart"/>
          </w:tcPr>
          <w:p w:rsidR="00C01A94" w:rsidRPr="00C903F8" w:rsidRDefault="00C01A94" w:rsidP="00C01A94">
            <w:pPr>
              <w:spacing w:before="140" w:after="160" w:line="240" w:lineRule="atLeast"/>
              <w:ind w:left="0" w:firstLine="0"/>
              <w:rPr>
                <w:rFonts w:cs="Arial"/>
                <w:sz w:val="18"/>
                <w:szCs w:val="18"/>
              </w:rPr>
            </w:pPr>
            <w:r>
              <w:rPr>
                <w:sz w:val="18"/>
              </w:rPr>
              <w:t>1.1.2006</w:t>
            </w:r>
          </w:p>
        </w:tc>
      </w:tr>
      <w:tr w:rsidR="00C01A94" w:rsidRPr="00A0619C" w:rsidTr="00F14E8B">
        <w:trPr>
          <w:cantSplit/>
          <w:jc w:val="center"/>
        </w:trPr>
        <w:tc>
          <w:tcPr>
            <w:tcW w:w="1342" w:type="dxa"/>
            <w:tcBorders>
              <w:top w:val="nil"/>
            </w:tcBorders>
            <w:shd w:val="clear" w:color="auto" w:fill="auto"/>
          </w:tcPr>
          <w:p w:rsidR="00C01A94" w:rsidRPr="00C903F8" w:rsidRDefault="00C01A94" w:rsidP="00C01A94">
            <w:pPr>
              <w:spacing w:before="140" w:after="160" w:line="240" w:lineRule="atLeast"/>
              <w:ind w:left="0" w:firstLine="0"/>
              <w:rPr>
                <w:rFonts w:cs="Arial"/>
                <w:sz w:val="18"/>
                <w:szCs w:val="18"/>
              </w:rPr>
            </w:pPr>
          </w:p>
        </w:tc>
        <w:tc>
          <w:tcPr>
            <w:tcW w:w="1458" w:type="dxa"/>
            <w:vMerge/>
            <w:shd w:val="clear" w:color="auto" w:fill="auto"/>
          </w:tcPr>
          <w:p w:rsidR="00C01A94" w:rsidRPr="00C903F8" w:rsidRDefault="00C01A94" w:rsidP="00C01A94">
            <w:pPr>
              <w:spacing w:before="140" w:after="160" w:line="240" w:lineRule="atLeast"/>
              <w:ind w:left="0" w:firstLine="0"/>
              <w:rPr>
                <w:rFonts w:cs="Arial"/>
                <w:sz w:val="18"/>
                <w:szCs w:val="18"/>
              </w:rPr>
            </w:pPr>
          </w:p>
        </w:tc>
        <w:tc>
          <w:tcPr>
            <w:tcW w:w="3296" w:type="dxa"/>
            <w:vMerge/>
            <w:shd w:val="clear" w:color="auto" w:fill="auto"/>
          </w:tcPr>
          <w:p w:rsidR="00C01A94" w:rsidRPr="00C903F8" w:rsidRDefault="00C01A94" w:rsidP="00C01A94">
            <w:pPr>
              <w:tabs>
                <w:tab w:val="left" w:pos="1080"/>
              </w:tabs>
              <w:spacing w:before="140" w:after="160" w:line="240" w:lineRule="atLeast"/>
              <w:ind w:left="0" w:firstLine="0"/>
              <w:rPr>
                <w:rFonts w:cs="Arial"/>
                <w:sz w:val="18"/>
                <w:szCs w:val="18"/>
              </w:rPr>
            </w:pPr>
          </w:p>
        </w:tc>
        <w:tc>
          <w:tcPr>
            <w:tcW w:w="5387" w:type="dxa"/>
            <w:shd w:val="clear" w:color="auto" w:fill="auto"/>
          </w:tcPr>
          <w:p w:rsidR="00C01A94" w:rsidRPr="00C903F8" w:rsidRDefault="00C01A94" w:rsidP="00C01A94">
            <w:pPr>
              <w:spacing w:before="140" w:after="160" w:line="240" w:lineRule="atLeast"/>
              <w:ind w:left="0" w:firstLine="0"/>
              <w:rPr>
                <w:rFonts w:cs="Arial"/>
                <w:sz w:val="18"/>
                <w:szCs w:val="18"/>
              </w:rPr>
            </w:pPr>
            <w:r>
              <w:rPr>
                <w:noProof/>
                <w:sz w:val="18"/>
              </w:rPr>
              <w:t>La disposizione transitoria non si applica alle navi da passeggeri la cui chiglia è stata impostata dopo il 31.12.1995, il cui scafo è costruito in legno, alluminio o plastica e la cui sala macchine non è costruita con materiali conformi all’articolo 3.04, paragrafi 3 e 4</w:t>
            </w:r>
          </w:p>
        </w:tc>
        <w:tc>
          <w:tcPr>
            <w:tcW w:w="1276" w:type="dxa"/>
            <w:vMerge/>
            <w:shd w:val="clear" w:color="auto" w:fill="auto"/>
          </w:tcPr>
          <w:p w:rsidR="00C01A94" w:rsidRPr="00C903F8" w:rsidRDefault="00C01A94" w:rsidP="00C01A94">
            <w:pPr>
              <w:spacing w:before="140" w:after="160" w:line="240" w:lineRule="atLeast"/>
              <w:ind w:left="0" w:firstLine="0"/>
              <w:rPr>
                <w:rFonts w:cs="Arial"/>
                <w:sz w:val="18"/>
                <w:szCs w:val="18"/>
              </w:rPr>
            </w:pPr>
          </w:p>
        </w:tc>
        <w:tc>
          <w:tcPr>
            <w:tcW w:w="1276" w:type="dxa"/>
            <w:vMerge/>
          </w:tcPr>
          <w:p w:rsidR="00C01A94" w:rsidRPr="00C903F8" w:rsidRDefault="00C01A94" w:rsidP="00C01A94">
            <w:pPr>
              <w:spacing w:before="140" w:after="160" w:line="240" w:lineRule="atLeast"/>
              <w:ind w:left="0" w:firstLine="0"/>
              <w:rPr>
                <w:rFonts w:cs="Arial"/>
                <w:sz w:val="18"/>
                <w:szCs w:val="18"/>
              </w:rPr>
            </w:pPr>
          </w:p>
        </w:tc>
      </w:tr>
      <w:tr w:rsidR="00C01A94" w:rsidRPr="00C903F8" w:rsidTr="00E67DA4">
        <w:trPr>
          <w:cantSplit/>
          <w:jc w:val="center"/>
        </w:trPr>
        <w:tc>
          <w:tcPr>
            <w:tcW w:w="1342" w:type="dxa"/>
            <w:tcBorders>
              <w:bottom w:val="nil"/>
            </w:tcBorders>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19.14</w:t>
            </w:r>
          </w:p>
        </w:tc>
        <w:tc>
          <w:tcPr>
            <w:tcW w:w="1458" w:type="dxa"/>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paragrafo 1</w:t>
            </w:r>
          </w:p>
        </w:tc>
        <w:tc>
          <w:tcPr>
            <w:tcW w:w="3296" w:type="dxa"/>
            <w:shd w:val="clear" w:color="auto" w:fill="auto"/>
          </w:tcPr>
          <w:p w:rsidR="00C01A94" w:rsidRPr="00C903F8" w:rsidRDefault="00C01A94" w:rsidP="00C01A94">
            <w:pPr>
              <w:tabs>
                <w:tab w:val="left" w:pos="1080"/>
              </w:tabs>
              <w:spacing w:before="140" w:after="160" w:line="240" w:lineRule="atLeast"/>
              <w:ind w:left="0" w:firstLine="0"/>
              <w:rPr>
                <w:rFonts w:cs="Arial"/>
                <w:sz w:val="18"/>
                <w:szCs w:val="18"/>
              </w:rPr>
            </w:pPr>
            <w:r>
              <w:rPr>
                <w:noProof/>
                <w:sz w:val="18"/>
              </w:rPr>
              <w:t>Impianti di eliminazione e serbatoi di raccolta delle acque reflue</w:t>
            </w:r>
          </w:p>
        </w:tc>
        <w:tc>
          <w:tcPr>
            <w:tcW w:w="5387" w:type="dxa"/>
            <w:shd w:val="clear" w:color="auto" w:fill="auto"/>
          </w:tcPr>
          <w:p w:rsidR="00C01A94" w:rsidRPr="00C903F8" w:rsidRDefault="00C01A94" w:rsidP="00C01A94">
            <w:pPr>
              <w:spacing w:before="140" w:after="160" w:line="240" w:lineRule="atLeast"/>
              <w:ind w:left="0" w:firstLine="0"/>
              <w:rPr>
                <w:rFonts w:cs="Arial"/>
                <w:sz w:val="18"/>
                <w:szCs w:val="18"/>
              </w:rPr>
            </w:pPr>
            <w:r>
              <w:rPr>
                <w:noProof/>
                <w:sz w:val="18"/>
              </w:rPr>
              <w:t>Per le navi cabinate con non più di 50 letti (cuccette) e per i battelli per escursioni giornaliere: 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140" w:after="1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top w:val="nil"/>
              <w:bottom w:val="single" w:sz="4" w:space="0" w:color="auto"/>
            </w:tcBorders>
            <w:shd w:val="clear" w:color="auto" w:fill="auto"/>
          </w:tcPr>
          <w:p w:rsidR="00C01A94" w:rsidRPr="00C903F8" w:rsidRDefault="00C01A94" w:rsidP="00C01A94">
            <w:pPr>
              <w:spacing w:before="140" w:after="160" w:line="240" w:lineRule="atLeast"/>
              <w:ind w:left="0" w:firstLine="0"/>
              <w:rPr>
                <w:rFonts w:cs="Arial"/>
                <w:sz w:val="18"/>
                <w:szCs w:val="18"/>
              </w:rPr>
            </w:pPr>
          </w:p>
        </w:tc>
        <w:tc>
          <w:tcPr>
            <w:tcW w:w="1458" w:type="dxa"/>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paragrafo 2</w:t>
            </w:r>
          </w:p>
        </w:tc>
        <w:tc>
          <w:tcPr>
            <w:tcW w:w="3296" w:type="dxa"/>
            <w:shd w:val="clear" w:color="auto" w:fill="auto"/>
          </w:tcPr>
          <w:p w:rsidR="00C01A94" w:rsidRPr="00C903F8" w:rsidRDefault="00C01A94" w:rsidP="00C01A94">
            <w:pPr>
              <w:tabs>
                <w:tab w:val="left" w:pos="1080"/>
              </w:tabs>
              <w:spacing w:before="140" w:after="160" w:line="240" w:lineRule="atLeast"/>
              <w:ind w:left="0" w:firstLine="0"/>
              <w:rPr>
                <w:rFonts w:cs="Arial"/>
                <w:sz w:val="18"/>
                <w:szCs w:val="18"/>
              </w:rPr>
            </w:pPr>
            <w:r>
              <w:rPr>
                <w:noProof/>
                <w:sz w:val="18"/>
              </w:rPr>
              <w:t>Requisiti dei serbatoi di raccolta delle acque reflue</w:t>
            </w:r>
          </w:p>
        </w:tc>
        <w:tc>
          <w:tcPr>
            <w:tcW w:w="5387" w:type="dxa"/>
            <w:shd w:val="clear" w:color="auto" w:fill="auto"/>
          </w:tcPr>
          <w:p w:rsidR="00C01A94" w:rsidRPr="00C903F8" w:rsidRDefault="00C01A94" w:rsidP="00C01A94">
            <w:pPr>
              <w:spacing w:before="140" w:after="160" w:line="240" w:lineRule="atLeast"/>
              <w:ind w:left="0" w:firstLine="0"/>
              <w:rPr>
                <w:rFonts w:cs="Arial"/>
                <w:sz w:val="18"/>
                <w:szCs w:val="18"/>
              </w:rPr>
            </w:pPr>
            <w:r>
              <w:rPr>
                <w:noProof/>
                <w:sz w:val="18"/>
              </w:rPr>
              <w:t>Per le navi cabinate che dispongono di non più di 50 letti (cuccette) e per le navi per escursioni giornaliere che trasportano non più di 50 passeggeri: N.S.T., al più tardi alla data del rinnovo del certificato per la navigazione interna posteriormente al</w:t>
            </w:r>
          </w:p>
        </w:tc>
        <w:tc>
          <w:tcPr>
            <w:tcW w:w="1276" w:type="dxa"/>
            <w:shd w:val="clear" w:color="auto" w:fill="auto"/>
          </w:tcPr>
          <w:p w:rsidR="00C01A94" w:rsidRPr="00C903F8" w:rsidRDefault="00C01A94" w:rsidP="00C01A94">
            <w:pPr>
              <w:spacing w:before="140" w:after="1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140" w:after="160" w:line="240" w:lineRule="atLeast"/>
              <w:ind w:left="0" w:firstLine="0"/>
              <w:rPr>
                <w:rFonts w:cs="Arial"/>
                <w:sz w:val="18"/>
                <w:szCs w:val="18"/>
              </w:rPr>
            </w:pPr>
            <w:r>
              <w:rPr>
                <w:sz w:val="18"/>
              </w:rPr>
              <w:t>1.1.2006</w:t>
            </w:r>
          </w:p>
        </w:tc>
      </w:tr>
      <w:tr w:rsidR="00C01A94" w:rsidRPr="00C903F8" w:rsidTr="00E67DA4">
        <w:trPr>
          <w:cantSplit/>
          <w:jc w:val="center"/>
        </w:trPr>
        <w:tc>
          <w:tcPr>
            <w:tcW w:w="1342" w:type="dxa"/>
            <w:tcBorders>
              <w:bottom w:val="nil"/>
            </w:tcBorders>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19.15</w:t>
            </w:r>
          </w:p>
        </w:tc>
        <w:tc>
          <w:tcPr>
            <w:tcW w:w="1458"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paragrafo 1</w:t>
            </w:r>
          </w:p>
        </w:tc>
        <w:tc>
          <w:tcPr>
            <w:tcW w:w="3296" w:type="dxa"/>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r>
              <w:rPr>
                <w:noProof/>
                <w:sz w:val="18"/>
              </w:rPr>
              <w:t>Stabilità in condizioni di avaria</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1.1.2045</w:t>
            </w: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1.1.2006</w:t>
            </w:r>
          </w:p>
        </w:tc>
      </w:tr>
      <w:tr w:rsidR="00C01A94" w:rsidRPr="00C903F8" w:rsidTr="00E67DA4">
        <w:trPr>
          <w:cantSplit/>
          <w:jc w:val="center"/>
        </w:trPr>
        <w:tc>
          <w:tcPr>
            <w:tcW w:w="6096" w:type="dxa"/>
            <w:gridSpan w:val="3"/>
            <w:shd w:val="clear" w:color="auto" w:fill="auto"/>
          </w:tcPr>
          <w:p w:rsidR="00C01A94" w:rsidRPr="00C903F8" w:rsidRDefault="00C01A94" w:rsidP="00C01A94">
            <w:pPr>
              <w:tabs>
                <w:tab w:val="left" w:pos="1080"/>
              </w:tabs>
              <w:spacing w:before="60" w:after="60" w:line="240" w:lineRule="atLeast"/>
              <w:ind w:left="0" w:firstLine="0"/>
              <w:jc w:val="center"/>
              <w:rPr>
                <w:rFonts w:cs="Arial"/>
                <w:sz w:val="18"/>
                <w:szCs w:val="18"/>
              </w:rPr>
            </w:pPr>
            <w:r>
              <w:rPr>
                <w:b/>
                <w:sz w:val="18"/>
              </w:rPr>
              <w:lastRenderedPageBreak/>
              <w:t>CAPO 29</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p>
        </w:tc>
        <w:tc>
          <w:tcPr>
            <w:tcW w:w="1276" w:type="dxa"/>
          </w:tcPr>
          <w:p w:rsidR="00C01A94" w:rsidRPr="00C903F8" w:rsidRDefault="00C01A94" w:rsidP="00C01A94">
            <w:pPr>
              <w:spacing w:before="60" w:after="60" w:line="240" w:lineRule="atLeast"/>
              <w:ind w:left="0" w:firstLine="0"/>
              <w:rPr>
                <w:rFonts w:cs="Arial"/>
                <w:sz w:val="18"/>
                <w:szCs w:val="18"/>
              </w:rPr>
            </w:pPr>
          </w:p>
        </w:tc>
      </w:tr>
      <w:tr w:rsidR="00C01A94" w:rsidRPr="00C903F8" w:rsidTr="00E67DA4">
        <w:trPr>
          <w:cantSplit/>
          <w:jc w:val="center"/>
        </w:trPr>
        <w:tc>
          <w:tcPr>
            <w:tcW w:w="1342"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29.02</w:t>
            </w:r>
          </w:p>
        </w:tc>
        <w:tc>
          <w:tcPr>
            <w:tcW w:w="1458"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paragrafo 3</w:t>
            </w:r>
          </w:p>
        </w:tc>
        <w:tc>
          <w:tcPr>
            <w:tcW w:w="3296" w:type="dxa"/>
            <w:shd w:val="clear" w:color="auto" w:fill="auto"/>
          </w:tcPr>
          <w:p w:rsidR="00C01A94" w:rsidRPr="00C903F8" w:rsidRDefault="00C01A94" w:rsidP="00C01A94">
            <w:pPr>
              <w:tabs>
                <w:tab w:val="left" w:pos="1080"/>
              </w:tabs>
              <w:spacing w:before="60" w:after="60" w:line="240" w:lineRule="atLeast"/>
              <w:ind w:left="0" w:firstLine="0"/>
              <w:rPr>
                <w:rFonts w:cs="Arial"/>
                <w:sz w:val="18"/>
                <w:szCs w:val="18"/>
              </w:rPr>
            </w:pPr>
            <w:r>
              <w:rPr>
                <w:noProof/>
                <w:sz w:val="18"/>
              </w:rPr>
              <w:t>Il secondo dispositivo di azionamento del mezzo di governo indipendente o un dispositivo di azionamento manuale entrano in funzione</w:t>
            </w:r>
          </w:p>
        </w:tc>
        <w:tc>
          <w:tcPr>
            <w:tcW w:w="5387"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C01A94">
            <w:pPr>
              <w:spacing w:before="60" w:after="60" w:line="240" w:lineRule="atLeast"/>
              <w:ind w:left="0" w:firstLine="0"/>
              <w:rPr>
                <w:rFonts w:cs="Arial"/>
                <w:sz w:val="18"/>
                <w:szCs w:val="18"/>
              </w:rPr>
            </w:pPr>
            <w:r>
              <w:rPr>
                <w:sz w:val="18"/>
              </w:rPr>
              <w:t>1.1.2025</w:t>
            </w:r>
          </w:p>
        </w:tc>
        <w:tc>
          <w:tcPr>
            <w:tcW w:w="1276" w:type="dxa"/>
          </w:tcPr>
          <w:p w:rsidR="00C01A94" w:rsidRPr="00C903F8" w:rsidRDefault="00C01A94" w:rsidP="00C01A94">
            <w:pPr>
              <w:spacing w:before="60" w:after="60" w:line="240" w:lineRule="atLeast"/>
              <w:ind w:left="0" w:firstLine="0"/>
              <w:rPr>
                <w:rFonts w:cs="Arial"/>
                <w:sz w:val="18"/>
                <w:szCs w:val="18"/>
              </w:rPr>
            </w:pPr>
            <w:r>
              <w:rPr>
                <w:sz w:val="18"/>
              </w:rPr>
              <w:t>1.4.2005</w:t>
            </w:r>
          </w:p>
        </w:tc>
      </w:tr>
    </w:tbl>
    <w:p w:rsidR="001E2331" w:rsidRPr="00C903F8" w:rsidRDefault="001E2331" w:rsidP="001E2331">
      <w:pPr>
        <w:spacing w:line="240" w:lineRule="atLeast"/>
        <w:ind w:left="567" w:hanging="567"/>
        <w:rPr>
          <w:rFonts w:cs="Arial"/>
          <w:sz w:val="18"/>
          <w:szCs w:val="18"/>
        </w:rPr>
      </w:pPr>
    </w:p>
    <w:p w:rsidR="00600BEE" w:rsidRDefault="00600BEE">
      <w:pPr>
        <w:autoSpaceDE/>
        <w:autoSpaceDN/>
        <w:ind w:left="0" w:firstLine="0"/>
        <w:jc w:val="left"/>
      </w:pPr>
    </w:p>
    <w:p w:rsidR="00234B95" w:rsidRDefault="00234B95">
      <w:pPr>
        <w:autoSpaceDE/>
        <w:autoSpaceDN/>
        <w:ind w:left="0" w:firstLine="0"/>
        <w:jc w:val="left"/>
      </w:pPr>
      <w:r>
        <w:br w:type="page"/>
      </w:r>
    </w:p>
    <w:p w:rsidR="00234B95" w:rsidRDefault="00234B95">
      <w:pPr>
        <w:autoSpaceDE/>
        <w:autoSpaceDN/>
        <w:ind w:left="0" w:firstLine="0"/>
        <w:jc w:val="left"/>
      </w:pPr>
    </w:p>
    <w:p w:rsidR="002B4577" w:rsidRPr="00C903F8" w:rsidRDefault="002B4577" w:rsidP="001E2331">
      <w:pPr>
        <w:spacing w:line="240" w:lineRule="atLeast"/>
        <w:ind w:left="567" w:hanging="567"/>
      </w:pPr>
    </w:p>
    <w:p w:rsidR="002B4577" w:rsidRPr="00C903F8" w:rsidRDefault="002B4577" w:rsidP="001E2331">
      <w:pPr>
        <w:spacing w:line="240" w:lineRule="atLeast"/>
        <w:ind w:left="567" w:hanging="567"/>
      </w:pPr>
    </w:p>
    <w:p w:rsidR="001E2331" w:rsidRPr="00C903F8" w:rsidRDefault="001E2331" w:rsidP="001E2331">
      <w:pPr>
        <w:spacing w:line="240" w:lineRule="atLeast"/>
        <w:ind w:left="567" w:hanging="567"/>
      </w:pPr>
    </w:p>
    <w:p w:rsidR="00C05CA2" w:rsidRPr="00C903F8" w:rsidRDefault="00C05CA2" w:rsidP="001E2331">
      <w:pPr>
        <w:spacing w:line="240" w:lineRule="atLeast"/>
        <w:ind w:left="567" w:hanging="567"/>
        <w:sectPr w:rsidR="00C05CA2" w:rsidRPr="00C903F8" w:rsidSect="001E2331">
          <w:footnotePr>
            <w:numRestart w:val="eachPage"/>
          </w:footnotePr>
          <w:pgSz w:w="16838" w:h="11906" w:orient="landscape" w:code="9"/>
          <w:pgMar w:top="1418" w:right="1418" w:bottom="1418" w:left="1418" w:header="709" w:footer="709" w:gutter="0"/>
          <w:cols w:space="709"/>
          <w:titlePg/>
          <w:docGrid w:linePitch="272"/>
        </w:sectPr>
      </w:pPr>
    </w:p>
    <w:p w:rsidR="00C05CA2" w:rsidRPr="00C903F8" w:rsidRDefault="00C05CA2" w:rsidP="00254134">
      <w:pPr>
        <w:ind w:left="567" w:hanging="567"/>
        <w:rPr>
          <w:sz w:val="12"/>
        </w:rPr>
      </w:pPr>
    </w:p>
    <w:p w:rsidR="001E2331" w:rsidRPr="00C903F8" w:rsidRDefault="001E2331" w:rsidP="00C05CA2">
      <w:pPr>
        <w:pStyle w:val="ES-Titre2"/>
        <w:pageBreakBefore w:val="0"/>
      </w:pPr>
      <w:bookmarkStart w:id="577" w:name="_Toc491854283"/>
      <w:bookmarkStart w:id="578" w:name="_Toc535500232"/>
      <w:r>
        <w:t>Capo 33</w:t>
      </w:r>
      <w:r>
        <w:br/>
        <w:t>Disposizioni transitorie per le imbarcazioni che navigano esclusivamente su vie navigabili al di fuori del Reno (zona R)</w:t>
      </w:r>
      <w:bookmarkEnd w:id="577"/>
      <w:bookmarkEnd w:id="578"/>
    </w:p>
    <w:p w:rsidR="001E2331" w:rsidRPr="00C903F8" w:rsidRDefault="001E2331" w:rsidP="001E2331">
      <w:pPr>
        <w:overflowPunct w:val="0"/>
        <w:adjustRightInd w:val="0"/>
        <w:spacing w:line="240" w:lineRule="exact"/>
        <w:ind w:left="0" w:firstLine="0"/>
        <w:jc w:val="center"/>
        <w:textAlignment w:val="baseline"/>
        <w:rPr>
          <w:rFonts w:eastAsia="Calibri"/>
          <w:b/>
          <w:sz w:val="22"/>
          <w:szCs w:val="22"/>
        </w:rPr>
      </w:pPr>
    </w:p>
    <w:p w:rsidR="001E2331" w:rsidRPr="00C903F8" w:rsidRDefault="001E2331" w:rsidP="00C05CA2">
      <w:pPr>
        <w:pStyle w:val="ES-Titre3prchap32"/>
      </w:pPr>
      <w:bookmarkStart w:id="579" w:name="_Toc491854284"/>
      <w:bookmarkStart w:id="580" w:name="_Toc535500233"/>
      <w:r>
        <w:t>Articolo 33.01</w:t>
      </w:r>
      <w:bookmarkEnd w:id="579"/>
      <w:bookmarkEnd w:id="580"/>
    </w:p>
    <w:p w:rsidR="001E2331" w:rsidRPr="00934A8A" w:rsidRDefault="00934A8A" w:rsidP="00A455C7">
      <w:pPr>
        <w:pStyle w:val="ES-Titre3a"/>
        <w:rPr>
          <w:noProof/>
        </w:rPr>
      </w:pPr>
      <w:bookmarkStart w:id="581" w:name="_Toc421775895"/>
      <w:bookmarkStart w:id="582" w:name="_Toc491854285"/>
      <w:bookmarkStart w:id="583" w:name="_Toc535500234"/>
      <w:r>
        <w:t>Applicabilità delle disposizioni transitorie per le imbarcazioni già in servizio</w:t>
      </w:r>
      <w:bookmarkEnd w:id="581"/>
      <w:bookmarkEnd w:id="582"/>
      <w:bookmarkEnd w:id="583"/>
    </w:p>
    <w:p w:rsidR="001E2331" w:rsidRPr="00C903F8" w:rsidRDefault="001E2331" w:rsidP="001E2331">
      <w:pPr>
        <w:spacing w:line="240" w:lineRule="atLeast"/>
        <w:ind w:left="567" w:hanging="567"/>
        <w:rPr>
          <w:noProof/>
        </w:rPr>
      </w:pPr>
    </w:p>
    <w:p w:rsidR="00934A8A" w:rsidRPr="00274C66" w:rsidRDefault="00934A8A" w:rsidP="00934A8A">
      <w:pPr>
        <w:spacing w:line="240" w:lineRule="atLeast"/>
        <w:ind w:left="567" w:hanging="567"/>
        <w:rPr>
          <w:noProof/>
        </w:rPr>
      </w:pPr>
      <w:r>
        <w:t>1.</w:t>
      </w:r>
      <w:r>
        <w:tab/>
        <w:t>Le disposizioni di cui agli articoli da 33.02 a 33.03 si applicano alle imbarcazioni che navigano esclusivamente su vie navigabili al di fuori del Reno (zona R):</w:t>
      </w:r>
    </w:p>
    <w:p w:rsidR="00934A8A" w:rsidRPr="00274C66" w:rsidRDefault="00934A8A" w:rsidP="00934A8A">
      <w:pPr>
        <w:autoSpaceDE/>
        <w:autoSpaceDN/>
        <w:spacing w:before="60" w:line="240" w:lineRule="atLeast"/>
        <w:ind w:left="992"/>
        <w:rPr>
          <w:noProof/>
        </w:rPr>
      </w:pPr>
      <w:r>
        <w:t>a)</w:t>
      </w:r>
      <w:r>
        <w:tab/>
        <w:t>per le quali è stato rilasciato un certificato comunitario per la prima volta anteriormente al 30 dicembre 2008; e</w:t>
      </w:r>
    </w:p>
    <w:p w:rsidR="00934A8A" w:rsidRPr="00274C66" w:rsidRDefault="00934A8A" w:rsidP="00934A8A">
      <w:pPr>
        <w:autoSpaceDE/>
        <w:autoSpaceDN/>
        <w:spacing w:before="60" w:line="240" w:lineRule="atLeast"/>
        <w:ind w:left="992"/>
        <w:rPr>
          <w:noProof/>
        </w:rPr>
      </w:pPr>
      <w:r>
        <w:t>b)</w:t>
      </w:r>
      <w:r>
        <w:tab/>
        <w:t>per le quali è stata rilasciata un'altra licenza di navigazione anteriormente al 30 dicembre 2008.</w:t>
      </w:r>
    </w:p>
    <w:p w:rsidR="00934A8A" w:rsidRPr="00274C66" w:rsidRDefault="00934A8A" w:rsidP="00934A8A">
      <w:pPr>
        <w:spacing w:line="240" w:lineRule="atLeast"/>
        <w:ind w:left="567" w:hanging="567"/>
        <w:rPr>
          <w:noProof/>
        </w:rPr>
      </w:pPr>
    </w:p>
    <w:p w:rsidR="00934A8A" w:rsidRPr="00274C66" w:rsidRDefault="00934A8A" w:rsidP="00934A8A">
      <w:pPr>
        <w:spacing w:line="240" w:lineRule="atLeast"/>
        <w:ind w:left="567" w:hanging="567"/>
        <w:rPr>
          <w:noProof/>
        </w:rPr>
      </w:pPr>
      <w:r>
        <w:t>2.</w:t>
      </w:r>
      <w:r>
        <w:tab/>
        <w:t>Deve essere dimostrato che tali imbarcazioni soddisfano i requisiti tecnici della direttiva 82/714/CEE, allegato II, capi da 1 a 12, alla data in cui è rilasciato il certificato comunitario o l'altra licenza di navigazione.</w:t>
      </w:r>
    </w:p>
    <w:p w:rsidR="00934A8A" w:rsidRPr="00274C66" w:rsidRDefault="00934A8A" w:rsidP="00934A8A">
      <w:pPr>
        <w:spacing w:line="240" w:lineRule="atLeast"/>
        <w:ind w:left="567" w:hanging="567"/>
        <w:rPr>
          <w:noProof/>
        </w:rPr>
      </w:pPr>
    </w:p>
    <w:p w:rsidR="00934A8A" w:rsidRPr="00274C66" w:rsidRDefault="00934A8A" w:rsidP="00934A8A">
      <w:pPr>
        <w:spacing w:line="240" w:lineRule="atLeast"/>
        <w:ind w:left="567" w:hanging="567"/>
        <w:rPr>
          <w:noProof/>
        </w:rPr>
      </w:pPr>
      <w:r>
        <w:t>3.</w:t>
      </w:r>
      <w:r>
        <w:tab/>
        <w:t>I certificati comunitari rilasciati anteriormente al 30 dicembre 2008 restano validi fino alla data di scadenza indicata nel certificato.</w:t>
      </w:r>
    </w:p>
    <w:p w:rsidR="001E2331" w:rsidRPr="00C903F8" w:rsidRDefault="001E2331" w:rsidP="00254134">
      <w:pPr>
        <w:ind w:left="0" w:firstLine="0"/>
      </w:pPr>
    </w:p>
    <w:p w:rsidR="002B4577" w:rsidRPr="00C903F8" w:rsidRDefault="002B4577" w:rsidP="00254134">
      <w:pPr>
        <w:ind w:left="0" w:firstLine="0"/>
      </w:pPr>
    </w:p>
    <w:p w:rsidR="001E2331" w:rsidRPr="00C903F8" w:rsidRDefault="001E2331" w:rsidP="00A455C7">
      <w:pPr>
        <w:pStyle w:val="ES-Titre3"/>
        <w:rPr>
          <w:noProof/>
        </w:rPr>
      </w:pPr>
      <w:bookmarkStart w:id="584" w:name="_Toc491854286"/>
      <w:bookmarkStart w:id="585" w:name="_Toc535500235"/>
      <w:r>
        <w:t>Articolo 33.02</w:t>
      </w:r>
      <w:bookmarkEnd w:id="584"/>
      <w:bookmarkEnd w:id="585"/>
    </w:p>
    <w:p w:rsidR="001E2331" w:rsidRPr="00934A8A" w:rsidRDefault="00934A8A" w:rsidP="00A455C7">
      <w:pPr>
        <w:pStyle w:val="ES-Titre3a"/>
        <w:rPr>
          <w:noProof/>
        </w:rPr>
      </w:pPr>
      <w:bookmarkStart w:id="586" w:name="_Toc421775897"/>
      <w:bookmarkStart w:id="587" w:name="_Toc491854287"/>
      <w:bookmarkStart w:id="588" w:name="_Toc535500236"/>
      <w:r>
        <w:t>Disposizioni transitorie per le imbarcazioni già in servizio</w:t>
      </w:r>
      <w:bookmarkEnd w:id="586"/>
      <w:bookmarkEnd w:id="587"/>
      <w:bookmarkEnd w:id="588"/>
    </w:p>
    <w:p w:rsidR="001E2331" w:rsidRPr="00C903F8" w:rsidRDefault="001E2331" w:rsidP="001E2331"/>
    <w:p w:rsidR="00934A8A" w:rsidRPr="00934A8A" w:rsidRDefault="00934A8A" w:rsidP="00934A8A">
      <w:pPr>
        <w:spacing w:line="240" w:lineRule="atLeast"/>
        <w:ind w:left="567" w:hanging="567"/>
        <w:rPr>
          <w:b/>
        </w:rPr>
      </w:pPr>
      <w:r>
        <w:t>1.</w:t>
      </w:r>
      <w:r>
        <w:tab/>
        <w:t>Le imbarcazioni che non soddisfano pienamente le prescrizioni della presente norma:</w:t>
      </w:r>
    </w:p>
    <w:p w:rsidR="00934A8A" w:rsidRPr="00934A8A" w:rsidRDefault="00934A8A" w:rsidP="00934A8A">
      <w:pPr>
        <w:spacing w:before="60" w:line="240" w:lineRule="atLeast"/>
        <w:ind w:left="992"/>
      </w:pPr>
      <w:r>
        <w:t>a)</w:t>
      </w:r>
      <w:r>
        <w:tab/>
        <w:t>devono essere adeguate per soddisfare dette disposizioni in conformità delle disposizioni transitorie elencate nella tabella riportata qui di seguito; e</w:t>
      </w:r>
    </w:p>
    <w:p w:rsidR="00934A8A" w:rsidRPr="00934A8A" w:rsidRDefault="00934A8A" w:rsidP="00934A8A">
      <w:pPr>
        <w:spacing w:before="60" w:line="240" w:lineRule="atLeast"/>
        <w:ind w:left="992"/>
      </w:pPr>
      <w:r>
        <w:t>b)</w:t>
      </w:r>
      <w:r>
        <w:tab/>
        <w:t>fino al loro adeguamento, sono conformi ai requisiti dei capi da 1 a 12 dell'allegato II della direttiva 82/714/CEE.</w:t>
      </w:r>
    </w:p>
    <w:p w:rsidR="001E2331" w:rsidRDefault="001E2331" w:rsidP="001E2331">
      <w:pPr>
        <w:spacing w:line="240" w:lineRule="atLeast"/>
        <w:ind w:left="567" w:hanging="567"/>
        <w:rPr>
          <w:rFonts w:cs="Arial"/>
          <w:sz w:val="18"/>
          <w:szCs w:val="18"/>
        </w:rPr>
      </w:pPr>
    </w:p>
    <w:p w:rsidR="00934A8A" w:rsidRPr="00274C66" w:rsidRDefault="00934A8A" w:rsidP="00934A8A">
      <w:pPr>
        <w:spacing w:line="240" w:lineRule="atLeast"/>
        <w:ind w:left="567" w:firstLine="0"/>
        <w:rPr>
          <w:noProof/>
        </w:rPr>
      </w:pPr>
      <w:r>
        <w:t>In caso di rilascio di un nuovo certificato di navigazione per la navigazione interna a norma dell'articolo 33.01, paragrafo 1, il certificato comunitario o l'altra licenza di navigazione vengono presentati come elementi a sostegno, vengono ritirati e la data di rilascio del certificato comunitario o dell'altra licenza di navigazione viene annotata nella rubrica 52 del nuovo certificato per la navigazione interna come segue:</w:t>
      </w:r>
    </w:p>
    <w:p w:rsidR="00934A8A" w:rsidRPr="00274C66" w:rsidRDefault="00934A8A" w:rsidP="00934A8A">
      <w:pPr>
        <w:spacing w:before="60" w:line="240" w:lineRule="atLeast"/>
        <w:ind w:left="567" w:firstLine="0"/>
        <w:jc w:val="center"/>
        <w:rPr>
          <w:noProof/>
        </w:rPr>
      </w:pPr>
      <w:r>
        <w:t>"Un certificato comunitario conformemente alla direttiva 82/714/CEE è stato rilasciato il..."</w:t>
      </w:r>
    </w:p>
    <w:p w:rsidR="00934A8A" w:rsidRPr="00274C66" w:rsidRDefault="00934A8A" w:rsidP="00934A8A">
      <w:pPr>
        <w:spacing w:line="240" w:lineRule="atLeast"/>
        <w:ind w:left="567" w:firstLine="0"/>
        <w:jc w:val="center"/>
        <w:rPr>
          <w:noProof/>
        </w:rPr>
      </w:pPr>
      <w:r>
        <w:t>/</w:t>
      </w:r>
    </w:p>
    <w:p w:rsidR="00934A8A" w:rsidRPr="00274C66" w:rsidRDefault="00934A8A" w:rsidP="00934A8A">
      <w:pPr>
        <w:spacing w:line="240" w:lineRule="atLeast"/>
        <w:ind w:left="567" w:firstLine="0"/>
        <w:jc w:val="center"/>
        <w:rPr>
          <w:noProof/>
        </w:rPr>
      </w:pPr>
      <w:r>
        <w:t>"Una licenza di navigazione conformemente a... è stata rilasciata il: ..."</w:t>
      </w:r>
    </w:p>
    <w:p w:rsidR="00934A8A" w:rsidRDefault="00934A8A" w:rsidP="001E2331">
      <w:pPr>
        <w:spacing w:line="240" w:lineRule="atLeast"/>
        <w:ind w:left="567" w:hanging="567"/>
        <w:rPr>
          <w:rFonts w:cs="Arial"/>
          <w:sz w:val="18"/>
          <w:szCs w:val="18"/>
        </w:rPr>
      </w:pPr>
    </w:p>
    <w:p w:rsidR="00934A8A" w:rsidRDefault="00934A8A">
      <w:pPr>
        <w:autoSpaceDE/>
        <w:autoSpaceDN/>
        <w:ind w:left="0" w:firstLine="0"/>
        <w:jc w:val="left"/>
        <w:rPr>
          <w:rFonts w:cs="Arial"/>
          <w:sz w:val="18"/>
          <w:szCs w:val="18"/>
        </w:rPr>
      </w:pPr>
      <w:r>
        <w:br w:type="page"/>
      </w:r>
    </w:p>
    <w:p w:rsidR="00934A8A" w:rsidRDefault="00934A8A" w:rsidP="001E2331">
      <w:pPr>
        <w:spacing w:line="240" w:lineRule="atLeast"/>
        <w:ind w:left="567" w:hanging="567"/>
        <w:rPr>
          <w:rFonts w:cs="Arial"/>
          <w:sz w:val="18"/>
          <w:szCs w:val="18"/>
        </w:rPr>
      </w:pPr>
    </w:p>
    <w:p w:rsidR="00934A8A" w:rsidRPr="00934A8A" w:rsidRDefault="00934A8A" w:rsidP="00934A8A">
      <w:pPr>
        <w:spacing w:line="240" w:lineRule="atLeast"/>
        <w:ind w:left="567" w:hanging="567"/>
      </w:pPr>
      <w:r>
        <w:t>2.</w:t>
      </w:r>
      <w:r>
        <w:tab/>
        <w:t>Nella tabella riportata qui di seguito valgono le seguenti definizioni:</w:t>
      </w:r>
    </w:p>
    <w:p w:rsidR="00934A8A" w:rsidRPr="00934A8A" w:rsidRDefault="00934A8A" w:rsidP="00934A8A">
      <w:pPr>
        <w:spacing w:line="240" w:lineRule="atLeast"/>
        <w:ind w:left="567" w:hanging="567"/>
      </w:pPr>
    </w:p>
    <w:p w:rsidR="00934A8A" w:rsidRPr="00934A8A" w:rsidRDefault="00934A8A" w:rsidP="00934A8A">
      <w:pPr>
        <w:spacing w:line="240" w:lineRule="atLeast"/>
        <w:ind w:left="567" w:firstLine="0"/>
      </w:pPr>
      <w:r>
        <w:t xml:space="preserve">"N.S.T.": la disposizione non si applica alle imbarcazioni già in servizio soltanto se le parti in questione sono sostituite o trasformate, la disposizione si applica cioè soltanto alle unità di </w:t>
      </w:r>
      <w:r>
        <w:rPr>
          <w:u w:val="single"/>
        </w:rPr>
        <w:t>N</w:t>
      </w:r>
      <w:r>
        <w:t xml:space="preserve">uova costruzione e alle parti o zone </w:t>
      </w:r>
      <w:r>
        <w:rPr>
          <w:u w:val="single"/>
        </w:rPr>
        <w:t>S</w:t>
      </w:r>
      <w:r>
        <w:t xml:space="preserve">ostituite o </w:t>
      </w:r>
      <w:r>
        <w:rPr>
          <w:u w:val="single"/>
        </w:rPr>
        <w:t>T</w:t>
      </w:r>
      <w:r>
        <w:t xml:space="preserve">rasformate. Se alcune parti esistenti sono sostituite con pezzi di ricambio uguali quanto a tecnologia e tipo, non si tratta di sostituzione "S" ai sensi delle disposizioni transitorie; </w:t>
      </w:r>
    </w:p>
    <w:p w:rsidR="00934A8A" w:rsidRPr="00934A8A" w:rsidRDefault="00934A8A" w:rsidP="00934A8A">
      <w:pPr>
        <w:spacing w:line="240" w:lineRule="atLeast"/>
        <w:ind w:left="567" w:firstLine="0"/>
      </w:pPr>
    </w:p>
    <w:p w:rsidR="00934A8A" w:rsidRPr="00934A8A" w:rsidRDefault="00934A8A" w:rsidP="00934A8A">
      <w:pPr>
        <w:tabs>
          <w:tab w:val="left" w:pos="4678"/>
        </w:tabs>
        <w:spacing w:line="240" w:lineRule="atLeast"/>
        <w:ind w:left="567" w:firstLine="0"/>
      </w:pPr>
      <w:r>
        <w:t>"rilascio o rinnovo del certificato per la navigazione interna": la disposizione deve essere soddisfatta entro la data di rilascio o di rinnovo del certificato per la navigazione interna successivamente all'entrata in vigore della disposizione.</w:t>
      </w:r>
    </w:p>
    <w:p w:rsidR="00934A8A" w:rsidRDefault="00934A8A" w:rsidP="001E2331">
      <w:pPr>
        <w:spacing w:line="240" w:lineRule="atLeast"/>
        <w:ind w:left="567" w:hanging="567"/>
        <w:rPr>
          <w:rFonts w:cs="Arial"/>
          <w:sz w:val="18"/>
          <w:szCs w:val="18"/>
        </w:rPr>
      </w:pPr>
    </w:p>
    <w:p w:rsidR="00934A8A" w:rsidRPr="00C903F8" w:rsidRDefault="00934A8A" w:rsidP="001E2331">
      <w:pPr>
        <w:spacing w:line="240" w:lineRule="atLeast"/>
        <w:ind w:left="567" w:hanging="567"/>
        <w:rPr>
          <w:rFonts w:cs="Arial"/>
          <w:sz w:val="18"/>
          <w:szCs w:val="18"/>
        </w:rPr>
      </w:pPr>
    </w:p>
    <w:p w:rsidR="001E2331" w:rsidRPr="00C903F8" w:rsidRDefault="001E2331" w:rsidP="001E2331">
      <w:pPr>
        <w:spacing w:line="240" w:lineRule="atLeast"/>
        <w:ind w:left="567" w:firstLine="0"/>
        <w:rPr>
          <w:b/>
        </w:rPr>
      </w:pPr>
    </w:p>
    <w:p w:rsidR="001E2331" w:rsidRPr="00C903F8" w:rsidRDefault="001E2331" w:rsidP="001E2331">
      <w:pPr>
        <w:spacing w:line="240" w:lineRule="atLeast"/>
        <w:ind w:left="567" w:firstLine="0"/>
        <w:sectPr w:rsidR="001E2331" w:rsidRPr="00C903F8" w:rsidSect="001E2331">
          <w:headerReference w:type="default" r:id="rId33"/>
          <w:headerReference w:type="first" r:id="rId34"/>
          <w:footnotePr>
            <w:numRestart w:val="eachPage"/>
          </w:footnotePr>
          <w:pgSz w:w="16838" w:h="11906" w:orient="landscape" w:code="9"/>
          <w:pgMar w:top="1418" w:right="1418" w:bottom="1418" w:left="1418" w:header="709" w:footer="709" w:gutter="0"/>
          <w:cols w:space="709"/>
          <w:titlePg/>
          <w:docGrid w:linePitch="272"/>
        </w:sectPr>
      </w:pPr>
    </w:p>
    <w:p w:rsidR="002B4577" w:rsidRPr="00C903F8" w:rsidRDefault="002B457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1964F8" w:rsidRPr="00C903F8" w:rsidTr="001964F8">
        <w:trPr>
          <w:cantSplit/>
          <w:tblHeader/>
          <w:jc w:val="center"/>
        </w:trPr>
        <w:tc>
          <w:tcPr>
            <w:tcW w:w="2800" w:type="dxa"/>
            <w:gridSpan w:val="2"/>
            <w:shd w:val="clear" w:color="auto" w:fill="auto"/>
          </w:tcPr>
          <w:p w:rsidR="001964F8" w:rsidRPr="00C903F8" w:rsidRDefault="001964F8" w:rsidP="00A8005B">
            <w:pPr>
              <w:spacing w:before="60" w:after="60" w:line="240" w:lineRule="atLeast"/>
              <w:ind w:left="0" w:firstLine="0"/>
              <w:jc w:val="center"/>
              <w:rPr>
                <w:rFonts w:cs="Arial"/>
                <w:sz w:val="18"/>
                <w:szCs w:val="18"/>
              </w:rPr>
            </w:pPr>
            <w:r>
              <w:rPr>
                <w:i/>
                <w:sz w:val="18"/>
              </w:rPr>
              <w:t>Articolo e paragrafo</w:t>
            </w:r>
          </w:p>
        </w:tc>
        <w:tc>
          <w:tcPr>
            <w:tcW w:w="3296" w:type="dxa"/>
            <w:shd w:val="clear" w:color="auto" w:fill="auto"/>
          </w:tcPr>
          <w:p w:rsidR="001964F8" w:rsidRPr="00C903F8" w:rsidRDefault="001964F8" w:rsidP="00A8005B">
            <w:pPr>
              <w:spacing w:before="60" w:after="60" w:line="240" w:lineRule="atLeast"/>
              <w:ind w:left="0" w:firstLine="0"/>
              <w:jc w:val="center"/>
              <w:rPr>
                <w:rFonts w:cs="Arial"/>
                <w:sz w:val="18"/>
                <w:szCs w:val="18"/>
              </w:rPr>
            </w:pPr>
            <w:r>
              <w:rPr>
                <w:i/>
                <w:sz w:val="18"/>
              </w:rPr>
              <w:t>Contenuto</w:t>
            </w:r>
          </w:p>
        </w:tc>
        <w:tc>
          <w:tcPr>
            <w:tcW w:w="7797" w:type="dxa"/>
            <w:gridSpan w:val="2"/>
            <w:shd w:val="clear" w:color="auto" w:fill="auto"/>
          </w:tcPr>
          <w:p w:rsidR="001964F8" w:rsidRPr="00C903F8" w:rsidRDefault="001964F8" w:rsidP="00A8005B">
            <w:pPr>
              <w:spacing w:before="60" w:after="60" w:line="240" w:lineRule="atLeast"/>
              <w:ind w:left="0" w:firstLine="0"/>
              <w:jc w:val="center"/>
              <w:rPr>
                <w:rFonts w:cs="Arial"/>
                <w:sz w:val="18"/>
                <w:szCs w:val="18"/>
              </w:rPr>
            </w:pPr>
            <w:r>
              <w:rPr>
                <w:i/>
                <w:sz w:val="18"/>
              </w:rPr>
              <w:t>Scadenze e osservazioni</w:t>
            </w:r>
          </w:p>
        </w:tc>
      </w:tr>
      <w:tr w:rsidR="001964F8" w:rsidRPr="00C903F8" w:rsidTr="001964F8">
        <w:trPr>
          <w:cantSplit/>
          <w:jc w:val="center"/>
        </w:trPr>
        <w:tc>
          <w:tcPr>
            <w:tcW w:w="6096" w:type="dxa"/>
            <w:gridSpan w:val="3"/>
            <w:shd w:val="clear" w:color="auto" w:fill="auto"/>
          </w:tcPr>
          <w:p w:rsidR="001964F8" w:rsidRPr="00C903F8" w:rsidRDefault="001964F8" w:rsidP="00A8005B">
            <w:pPr>
              <w:spacing w:before="160" w:after="160" w:line="240" w:lineRule="atLeast"/>
              <w:ind w:left="0" w:firstLine="0"/>
              <w:jc w:val="center"/>
              <w:rPr>
                <w:rFonts w:cs="Arial"/>
                <w:b/>
                <w:sz w:val="18"/>
                <w:szCs w:val="18"/>
              </w:rPr>
            </w:pPr>
            <w:r>
              <w:rPr>
                <w:b/>
                <w:sz w:val="18"/>
              </w:rPr>
              <w:t>CAPO 3</w:t>
            </w:r>
          </w:p>
        </w:tc>
        <w:tc>
          <w:tcPr>
            <w:tcW w:w="6521" w:type="dxa"/>
            <w:shd w:val="clear" w:color="auto" w:fill="auto"/>
          </w:tcPr>
          <w:p w:rsidR="001964F8" w:rsidRPr="00C903F8" w:rsidRDefault="001964F8" w:rsidP="00A8005B">
            <w:pPr>
              <w:spacing w:before="160" w:after="160" w:line="240" w:lineRule="atLeast"/>
              <w:ind w:left="0" w:firstLine="0"/>
              <w:rPr>
                <w:rFonts w:cs="Arial"/>
                <w:sz w:val="18"/>
                <w:szCs w:val="18"/>
              </w:rPr>
            </w:pP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p>
        </w:tc>
      </w:tr>
      <w:tr w:rsidR="001964F8" w:rsidRPr="00C903F8" w:rsidTr="001964F8">
        <w:trPr>
          <w:cantSplit/>
          <w:jc w:val="center"/>
        </w:trPr>
        <w:tc>
          <w:tcPr>
            <w:tcW w:w="1342" w:type="dxa"/>
            <w:vMerge w:val="restart"/>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3.03</w:t>
            </w:r>
          </w:p>
        </w:tc>
        <w:tc>
          <w:tcPr>
            <w:tcW w:w="1458"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paragrafo 1, lettera a)</w:t>
            </w:r>
          </w:p>
        </w:tc>
        <w:tc>
          <w:tcPr>
            <w:tcW w:w="329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Posizione della paratia di collisione</w:t>
            </w:r>
          </w:p>
        </w:tc>
        <w:tc>
          <w:tcPr>
            <w:tcW w:w="6521" w:type="dxa"/>
            <w:shd w:val="clear" w:color="auto" w:fill="auto"/>
          </w:tcPr>
          <w:p w:rsidR="001964F8" w:rsidRPr="00C903F8" w:rsidRDefault="008761D9" w:rsidP="00A8005B">
            <w:pPr>
              <w:spacing w:before="160" w:after="1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30.12.2049</w:t>
            </w:r>
          </w:p>
        </w:tc>
      </w:tr>
      <w:tr w:rsidR="001964F8" w:rsidRPr="00C903F8" w:rsidTr="001964F8">
        <w:trPr>
          <w:cantSplit/>
          <w:jc w:val="center"/>
        </w:trPr>
        <w:tc>
          <w:tcPr>
            <w:tcW w:w="1342" w:type="dxa"/>
            <w:vMerge/>
            <w:shd w:val="clear" w:color="auto" w:fill="auto"/>
          </w:tcPr>
          <w:p w:rsidR="001964F8" w:rsidRPr="00C903F8" w:rsidRDefault="001964F8" w:rsidP="00A8005B">
            <w:pPr>
              <w:spacing w:before="160" w:after="16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paragrafo 1, lettera b)</w:t>
            </w:r>
          </w:p>
        </w:tc>
        <w:tc>
          <w:tcPr>
            <w:tcW w:w="329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Posizione della paratia del gavone di poppa</w:t>
            </w:r>
          </w:p>
        </w:tc>
        <w:tc>
          <w:tcPr>
            <w:tcW w:w="6521" w:type="dxa"/>
            <w:shd w:val="clear" w:color="auto" w:fill="auto"/>
          </w:tcPr>
          <w:p w:rsidR="001964F8" w:rsidRPr="00C903F8" w:rsidRDefault="008761D9" w:rsidP="00A8005B">
            <w:pPr>
              <w:spacing w:before="160" w:after="1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30.12.2049</w:t>
            </w:r>
          </w:p>
        </w:tc>
      </w:tr>
      <w:tr w:rsidR="001964F8" w:rsidRPr="00C903F8" w:rsidTr="001964F8">
        <w:trPr>
          <w:cantSplit/>
          <w:jc w:val="center"/>
        </w:trPr>
        <w:tc>
          <w:tcPr>
            <w:tcW w:w="1342" w:type="dxa"/>
            <w:vMerge/>
            <w:shd w:val="clear" w:color="auto" w:fill="auto"/>
          </w:tcPr>
          <w:p w:rsidR="001964F8" w:rsidRPr="00C903F8" w:rsidRDefault="001964F8" w:rsidP="00A8005B">
            <w:pPr>
              <w:spacing w:before="160" w:after="160" w:line="240" w:lineRule="atLeast"/>
              <w:ind w:left="0" w:firstLine="0"/>
              <w:rPr>
                <w:rFonts w:cs="Arial"/>
                <w:sz w:val="18"/>
                <w:szCs w:val="18"/>
              </w:rPr>
            </w:pPr>
          </w:p>
        </w:tc>
        <w:tc>
          <w:tcPr>
            <w:tcW w:w="1458" w:type="dxa"/>
            <w:vMerge w:val="restart"/>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paragrafo 2</w:t>
            </w:r>
          </w:p>
        </w:tc>
        <w:tc>
          <w:tcPr>
            <w:tcW w:w="329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Alloggio equipaggio a prua rispetto alla paratia di collisione</w:t>
            </w:r>
          </w:p>
        </w:tc>
        <w:tc>
          <w:tcPr>
            <w:tcW w:w="6521" w:type="dxa"/>
            <w:shd w:val="clear" w:color="auto" w:fill="auto"/>
          </w:tcPr>
          <w:p w:rsidR="001964F8" w:rsidRPr="00C903F8" w:rsidRDefault="008761D9" w:rsidP="00A8005B">
            <w:pPr>
              <w:spacing w:before="160" w:after="1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30.12.2024</w:t>
            </w:r>
          </w:p>
        </w:tc>
      </w:tr>
      <w:tr w:rsidR="001964F8" w:rsidRPr="00C903F8" w:rsidTr="001964F8">
        <w:trPr>
          <w:cantSplit/>
          <w:jc w:val="center"/>
        </w:trPr>
        <w:tc>
          <w:tcPr>
            <w:tcW w:w="1342" w:type="dxa"/>
            <w:vMerge/>
            <w:shd w:val="clear" w:color="auto" w:fill="auto"/>
          </w:tcPr>
          <w:p w:rsidR="001964F8" w:rsidRPr="00C903F8" w:rsidRDefault="001964F8" w:rsidP="00A8005B">
            <w:pPr>
              <w:spacing w:before="160" w:after="160" w:line="240" w:lineRule="atLeast"/>
              <w:ind w:left="0" w:firstLine="0"/>
              <w:rPr>
                <w:rFonts w:cs="Arial"/>
                <w:sz w:val="18"/>
                <w:szCs w:val="18"/>
              </w:rPr>
            </w:pPr>
          </w:p>
        </w:tc>
        <w:tc>
          <w:tcPr>
            <w:tcW w:w="1458" w:type="dxa"/>
            <w:vMerge/>
            <w:shd w:val="clear" w:color="auto" w:fill="auto"/>
          </w:tcPr>
          <w:p w:rsidR="001964F8" w:rsidRPr="00C903F8" w:rsidRDefault="001964F8" w:rsidP="00A8005B">
            <w:pPr>
              <w:spacing w:before="160" w:after="160" w:line="240" w:lineRule="atLeast"/>
              <w:ind w:left="0" w:firstLine="0"/>
              <w:rPr>
                <w:rFonts w:cs="Arial"/>
                <w:sz w:val="18"/>
                <w:szCs w:val="18"/>
              </w:rPr>
            </w:pPr>
          </w:p>
        </w:tc>
        <w:tc>
          <w:tcPr>
            <w:tcW w:w="3296" w:type="dxa"/>
            <w:shd w:val="clear" w:color="auto" w:fill="auto"/>
          </w:tcPr>
          <w:p w:rsidR="001964F8" w:rsidRPr="00C903F8" w:rsidRDefault="001964F8" w:rsidP="00A8005B">
            <w:pPr>
              <w:tabs>
                <w:tab w:val="left" w:pos="2790"/>
              </w:tabs>
              <w:spacing w:before="160" w:after="160" w:line="240" w:lineRule="atLeast"/>
              <w:ind w:left="0" w:firstLine="0"/>
              <w:jc w:val="left"/>
              <w:rPr>
                <w:rFonts w:cs="Arial"/>
                <w:sz w:val="18"/>
                <w:szCs w:val="18"/>
              </w:rPr>
            </w:pPr>
            <w:r>
              <w:rPr>
                <w:sz w:val="18"/>
              </w:rPr>
              <w:t>Alloggio a poppa della paratia del gavone di poppa</w:t>
            </w:r>
          </w:p>
        </w:tc>
        <w:tc>
          <w:tcPr>
            <w:tcW w:w="6521" w:type="dxa"/>
            <w:shd w:val="clear" w:color="auto" w:fill="auto"/>
          </w:tcPr>
          <w:p w:rsidR="001964F8" w:rsidRPr="00C903F8" w:rsidRDefault="008761D9" w:rsidP="00A8005B">
            <w:pPr>
              <w:spacing w:before="160" w:after="1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30.12.2059</w:t>
            </w:r>
          </w:p>
        </w:tc>
      </w:tr>
      <w:tr w:rsidR="001964F8" w:rsidRPr="00C903F8" w:rsidTr="001964F8">
        <w:trPr>
          <w:cantSplit/>
          <w:jc w:val="center"/>
        </w:trPr>
        <w:tc>
          <w:tcPr>
            <w:tcW w:w="1342" w:type="dxa"/>
            <w:vMerge/>
            <w:shd w:val="clear" w:color="auto" w:fill="auto"/>
          </w:tcPr>
          <w:p w:rsidR="001964F8" w:rsidRPr="00C903F8" w:rsidRDefault="001964F8" w:rsidP="00A8005B">
            <w:pPr>
              <w:spacing w:before="160" w:after="160" w:line="240" w:lineRule="atLeast"/>
              <w:ind w:left="0" w:firstLine="0"/>
              <w:rPr>
                <w:rFonts w:cs="Arial"/>
                <w:sz w:val="18"/>
                <w:szCs w:val="18"/>
              </w:rPr>
            </w:pPr>
          </w:p>
        </w:tc>
        <w:tc>
          <w:tcPr>
            <w:tcW w:w="1458" w:type="dxa"/>
            <w:vMerge/>
            <w:shd w:val="clear" w:color="auto" w:fill="auto"/>
          </w:tcPr>
          <w:p w:rsidR="001964F8" w:rsidRPr="00C903F8" w:rsidRDefault="001964F8" w:rsidP="00A8005B">
            <w:pPr>
              <w:spacing w:before="160" w:after="160" w:line="240" w:lineRule="atLeast"/>
              <w:ind w:left="0" w:firstLine="0"/>
              <w:rPr>
                <w:rFonts w:cs="Arial"/>
                <w:sz w:val="18"/>
                <w:szCs w:val="18"/>
              </w:rPr>
            </w:pPr>
          </w:p>
        </w:tc>
        <w:tc>
          <w:tcPr>
            <w:tcW w:w="3296" w:type="dxa"/>
            <w:shd w:val="clear" w:color="auto" w:fill="auto"/>
          </w:tcPr>
          <w:p w:rsidR="001964F8" w:rsidRPr="00C903F8" w:rsidRDefault="001964F8" w:rsidP="00A8005B">
            <w:pPr>
              <w:spacing w:before="160" w:after="160" w:line="240" w:lineRule="atLeast"/>
              <w:rPr>
                <w:rFonts w:cs="Arial"/>
                <w:sz w:val="18"/>
                <w:szCs w:val="18"/>
              </w:rPr>
            </w:pPr>
            <w:r>
              <w:rPr>
                <w:sz w:val="18"/>
              </w:rPr>
              <w:t>Dispositivi di sicurezza</w:t>
            </w:r>
          </w:p>
        </w:tc>
        <w:tc>
          <w:tcPr>
            <w:tcW w:w="6521" w:type="dxa"/>
            <w:shd w:val="clear" w:color="auto" w:fill="auto"/>
          </w:tcPr>
          <w:p w:rsidR="001964F8" w:rsidRPr="00C903F8" w:rsidRDefault="008761D9" w:rsidP="00A8005B">
            <w:pPr>
              <w:spacing w:before="160" w:after="1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30.12.2029</w:t>
            </w:r>
          </w:p>
        </w:tc>
      </w:tr>
      <w:tr w:rsidR="001964F8" w:rsidRPr="00C903F8" w:rsidTr="001964F8">
        <w:trPr>
          <w:cantSplit/>
          <w:jc w:val="center"/>
        </w:trPr>
        <w:tc>
          <w:tcPr>
            <w:tcW w:w="1342" w:type="dxa"/>
            <w:vMerge/>
            <w:shd w:val="clear" w:color="auto" w:fill="auto"/>
          </w:tcPr>
          <w:p w:rsidR="001964F8" w:rsidRPr="00C903F8" w:rsidRDefault="001964F8" w:rsidP="00A8005B">
            <w:pPr>
              <w:spacing w:before="160" w:after="16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paragrafo 4</w:t>
            </w:r>
          </w:p>
        </w:tc>
        <w:tc>
          <w:tcPr>
            <w:tcW w:w="329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Separazione stagna al gas degli alloggi dalle sale macchine, dai locali caldaie e dalle stive</w:t>
            </w:r>
          </w:p>
        </w:tc>
        <w:tc>
          <w:tcPr>
            <w:tcW w:w="6521" w:type="dxa"/>
            <w:shd w:val="clear" w:color="auto" w:fill="auto"/>
          </w:tcPr>
          <w:p w:rsidR="001964F8" w:rsidRPr="00C903F8" w:rsidRDefault="008761D9" w:rsidP="00A8005B">
            <w:pPr>
              <w:spacing w:before="160" w:after="1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30.12.2024</w:t>
            </w:r>
          </w:p>
        </w:tc>
      </w:tr>
      <w:tr w:rsidR="001964F8" w:rsidRPr="00C903F8" w:rsidTr="001964F8">
        <w:trPr>
          <w:cantSplit/>
          <w:jc w:val="center"/>
        </w:trPr>
        <w:tc>
          <w:tcPr>
            <w:tcW w:w="1342" w:type="dxa"/>
            <w:vMerge/>
            <w:shd w:val="clear" w:color="auto" w:fill="auto"/>
          </w:tcPr>
          <w:p w:rsidR="001964F8" w:rsidRPr="00C903F8" w:rsidRDefault="001964F8" w:rsidP="00A8005B">
            <w:pPr>
              <w:spacing w:before="160" w:after="16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160" w:after="160" w:line="240" w:lineRule="atLeast"/>
              <w:ind w:left="0" w:firstLine="0"/>
              <w:jc w:val="left"/>
              <w:rPr>
                <w:rFonts w:cs="Arial"/>
                <w:sz w:val="18"/>
                <w:szCs w:val="18"/>
              </w:rPr>
            </w:pPr>
            <w:r>
              <w:rPr>
                <w:sz w:val="18"/>
              </w:rPr>
              <w:t>paragrafo 5, secondo comma</w:t>
            </w:r>
          </w:p>
        </w:tc>
        <w:tc>
          <w:tcPr>
            <w:tcW w:w="3296" w:type="dxa"/>
            <w:shd w:val="clear" w:color="auto" w:fill="auto"/>
          </w:tcPr>
          <w:p w:rsidR="001964F8" w:rsidRPr="00C903F8" w:rsidRDefault="001964F8" w:rsidP="00A8005B">
            <w:pPr>
              <w:tabs>
                <w:tab w:val="left" w:pos="1260"/>
              </w:tabs>
              <w:spacing w:before="160" w:after="160" w:line="240" w:lineRule="atLeast"/>
              <w:ind w:left="0" w:firstLine="0"/>
              <w:rPr>
                <w:rFonts w:cs="Arial"/>
                <w:sz w:val="18"/>
                <w:szCs w:val="18"/>
              </w:rPr>
            </w:pPr>
            <w:r>
              <w:rPr>
                <w:sz w:val="18"/>
              </w:rPr>
              <w:t>Controllo delle porte nella paratia del gavone di poppa</w:t>
            </w:r>
          </w:p>
        </w:tc>
        <w:tc>
          <w:tcPr>
            <w:tcW w:w="6521" w:type="dxa"/>
            <w:shd w:val="clear" w:color="auto" w:fill="auto"/>
          </w:tcPr>
          <w:p w:rsidR="001964F8" w:rsidRPr="00C903F8" w:rsidRDefault="008761D9" w:rsidP="00A8005B">
            <w:pPr>
              <w:spacing w:before="160" w:after="1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30.12.2024</w:t>
            </w:r>
          </w:p>
        </w:tc>
      </w:tr>
      <w:tr w:rsidR="001964F8" w:rsidRPr="00C903F8" w:rsidTr="001964F8">
        <w:trPr>
          <w:cantSplit/>
          <w:jc w:val="center"/>
        </w:trPr>
        <w:tc>
          <w:tcPr>
            <w:tcW w:w="1342" w:type="dxa"/>
            <w:vMerge/>
            <w:shd w:val="clear" w:color="auto" w:fill="auto"/>
          </w:tcPr>
          <w:p w:rsidR="001964F8" w:rsidRPr="00C903F8" w:rsidRDefault="001964F8" w:rsidP="00A8005B">
            <w:pPr>
              <w:spacing w:before="160" w:after="16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paragrafo 7</w:t>
            </w:r>
          </w:p>
        </w:tc>
        <w:tc>
          <w:tcPr>
            <w:tcW w:w="329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Prue con nicchie per ancore</w:t>
            </w:r>
          </w:p>
        </w:tc>
        <w:tc>
          <w:tcPr>
            <w:tcW w:w="6521" w:type="dxa"/>
            <w:shd w:val="clear" w:color="auto" w:fill="auto"/>
          </w:tcPr>
          <w:p w:rsidR="001964F8" w:rsidRPr="00C903F8" w:rsidRDefault="008761D9" w:rsidP="00A8005B">
            <w:pPr>
              <w:spacing w:before="160" w:after="1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30.12.2049</w:t>
            </w:r>
          </w:p>
        </w:tc>
      </w:tr>
      <w:tr w:rsidR="001964F8" w:rsidRPr="00A0619C" w:rsidTr="001964F8">
        <w:trPr>
          <w:cantSplit/>
          <w:jc w:val="center"/>
        </w:trPr>
        <w:tc>
          <w:tcPr>
            <w:tcW w:w="1342" w:type="dxa"/>
            <w:vMerge w:val="restart"/>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3.04</w:t>
            </w:r>
          </w:p>
        </w:tc>
        <w:tc>
          <w:tcPr>
            <w:tcW w:w="1458" w:type="dxa"/>
            <w:shd w:val="clear" w:color="auto" w:fill="auto"/>
          </w:tcPr>
          <w:p w:rsidR="001964F8" w:rsidRPr="00C903F8" w:rsidRDefault="001964F8" w:rsidP="00A8005B">
            <w:pPr>
              <w:spacing w:before="160" w:after="160" w:line="240" w:lineRule="atLeast"/>
              <w:ind w:left="0" w:firstLine="0"/>
              <w:jc w:val="left"/>
              <w:rPr>
                <w:rFonts w:cs="Arial"/>
                <w:sz w:val="18"/>
                <w:szCs w:val="18"/>
              </w:rPr>
            </w:pPr>
            <w:r>
              <w:rPr>
                <w:sz w:val="18"/>
              </w:rPr>
              <w:t>paragrafo 3, seconda frase</w:t>
            </w:r>
          </w:p>
        </w:tc>
        <w:tc>
          <w:tcPr>
            <w:tcW w:w="3296" w:type="dxa"/>
            <w:shd w:val="clear" w:color="auto" w:fill="auto"/>
          </w:tcPr>
          <w:p w:rsidR="001964F8" w:rsidRPr="00C903F8" w:rsidRDefault="001964F8" w:rsidP="00A8005B">
            <w:pPr>
              <w:spacing w:before="160" w:after="160" w:line="240" w:lineRule="atLeast"/>
              <w:ind w:left="0" w:firstLine="0"/>
              <w:rPr>
                <w:rFonts w:cs="Arial"/>
                <w:sz w:val="18"/>
                <w:szCs w:val="18"/>
              </w:rPr>
            </w:pPr>
            <w:r>
              <w:rPr>
                <w:noProof/>
                <w:sz w:val="18"/>
              </w:rPr>
              <w:t>Isolante nelle sale macchine</w:t>
            </w:r>
          </w:p>
        </w:tc>
        <w:tc>
          <w:tcPr>
            <w:tcW w:w="6521" w:type="dxa"/>
            <w:shd w:val="clear" w:color="auto" w:fill="auto"/>
          </w:tcPr>
          <w:p w:rsidR="001964F8" w:rsidRPr="00C903F8" w:rsidRDefault="008761D9" w:rsidP="00A8005B">
            <w:pPr>
              <w:spacing w:before="160" w:after="16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p>
        </w:tc>
      </w:tr>
      <w:tr w:rsidR="001964F8" w:rsidRPr="00A0619C" w:rsidTr="001964F8">
        <w:trPr>
          <w:cantSplit/>
          <w:jc w:val="center"/>
        </w:trPr>
        <w:tc>
          <w:tcPr>
            <w:tcW w:w="1342" w:type="dxa"/>
            <w:vMerge/>
            <w:shd w:val="clear" w:color="auto" w:fill="auto"/>
          </w:tcPr>
          <w:p w:rsidR="001964F8" w:rsidRPr="00C903F8" w:rsidRDefault="001964F8" w:rsidP="00A8005B">
            <w:pPr>
              <w:spacing w:before="160" w:after="160" w:line="240" w:lineRule="atLeast"/>
              <w:ind w:left="0" w:firstLine="0"/>
              <w:jc w:val="center"/>
              <w:rPr>
                <w:rFonts w:cs="Arial"/>
                <w:b/>
                <w:sz w:val="18"/>
                <w:szCs w:val="18"/>
              </w:rPr>
            </w:pPr>
          </w:p>
        </w:tc>
        <w:tc>
          <w:tcPr>
            <w:tcW w:w="1458" w:type="dxa"/>
            <w:shd w:val="clear" w:color="auto" w:fill="auto"/>
          </w:tcPr>
          <w:p w:rsidR="001964F8" w:rsidRPr="00C903F8" w:rsidRDefault="001964F8" w:rsidP="00A8005B">
            <w:pPr>
              <w:spacing w:before="160" w:after="160" w:line="240" w:lineRule="atLeast"/>
              <w:ind w:left="0" w:firstLine="0"/>
              <w:jc w:val="left"/>
              <w:rPr>
                <w:rFonts w:cs="Arial"/>
                <w:sz w:val="18"/>
                <w:szCs w:val="18"/>
              </w:rPr>
            </w:pPr>
            <w:r>
              <w:rPr>
                <w:sz w:val="18"/>
              </w:rPr>
              <w:t>paragrafo 3, terza e quarta frase</w:t>
            </w:r>
          </w:p>
        </w:tc>
        <w:tc>
          <w:tcPr>
            <w:tcW w:w="3296" w:type="dxa"/>
            <w:shd w:val="clear" w:color="auto" w:fill="auto"/>
          </w:tcPr>
          <w:p w:rsidR="001964F8" w:rsidRPr="00C903F8" w:rsidRDefault="001964F8" w:rsidP="00A8005B">
            <w:pPr>
              <w:spacing w:before="160" w:after="160" w:line="240" w:lineRule="atLeast"/>
              <w:ind w:left="0" w:firstLine="0"/>
              <w:rPr>
                <w:rFonts w:cs="Arial"/>
                <w:sz w:val="18"/>
                <w:szCs w:val="18"/>
              </w:rPr>
            </w:pPr>
            <w:r>
              <w:rPr>
                <w:noProof/>
                <w:sz w:val="18"/>
              </w:rPr>
              <w:t>Aperture e dispositivi di blocco</w:t>
            </w:r>
          </w:p>
        </w:tc>
        <w:tc>
          <w:tcPr>
            <w:tcW w:w="6521" w:type="dxa"/>
            <w:shd w:val="clear" w:color="auto" w:fill="auto"/>
          </w:tcPr>
          <w:p w:rsidR="001964F8" w:rsidRPr="00C903F8" w:rsidRDefault="008761D9" w:rsidP="00A8005B">
            <w:pPr>
              <w:spacing w:before="160" w:after="16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p>
        </w:tc>
      </w:tr>
      <w:tr w:rsidR="001964F8" w:rsidRPr="00C903F8" w:rsidTr="001964F8">
        <w:trPr>
          <w:cantSplit/>
          <w:jc w:val="center"/>
        </w:trPr>
        <w:tc>
          <w:tcPr>
            <w:tcW w:w="1342" w:type="dxa"/>
            <w:vMerge/>
            <w:shd w:val="clear" w:color="auto" w:fill="auto"/>
          </w:tcPr>
          <w:p w:rsidR="001964F8" w:rsidRPr="00C903F8" w:rsidRDefault="001964F8" w:rsidP="00A8005B">
            <w:pPr>
              <w:spacing w:before="140" w:after="140" w:line="240" w:lineRule="atLeast"/>
              <w:ind w:left="0" w:firstLine="0"/>
              <w:jc w:val="center"/>
              <w:rPr>
                <w:rFonts w:cs="Arial"/>
                <w:b/>
                <w:sz w:val="18"/>
                <w:szCs w:val="18"/>
              </w:rPr>
            </w:pPr>
          </w:p>
        </w:tc>
        <w:tc>
          <w:tcPr>
            <w:tcW w:w="1458"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paragrafo 6</w:t>
            </w:r>
          </w:p>
        </w:tc>
        <w:tc>
          <w:tcPr>
            <w:tcW w:w="329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Uscite delle sale macchine</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30.12.2049</w:t>
            </w:r>
          </w:p>
        </w:tc>
      </w:tr>
      <w:tr w:rsidR="001964F8" w:rsidRPr="00C903F8" w:rsidTr="001964F8">
        <w:trPr>
          <w:cantSplit/>
          <w:jc w:val="center"/>
        </w:trPr>
        <w:tc>
          <w:tcPr>
            <w:tcW w:w="6096" w:type="dxa"/>
            <w:gridSpan w:val="3"/>
            <w:shd w:val="clear" w:color="auto" w:fill="auto"/>
          </w:tcPr>
          <w:p w:rsidR="001964F8" w:rsidRPr="00C903F8" w:rsidRDefault="001964F8" w:rsidP="00A8005B">
            <w:pPr>
              <w:spacing w:before="140" w:after="140" w:line="240" w:lineRule="atLeast"/>
              <w:ind w:left="0" w:firstLine="0"/>
              <w:jc w:val="center"/>
              <w:rPr>
                <w:rFonts w:cs="Arial"/>
                <w:sz w:val="18"/>
                <w:szCs w:val="18"/>
              </w:rPr>
            </w:pPr>
            <w:r>
              <w:rPr>
                <w:b/>
                <w:sz w:val="18"/>
              </w:rPr>
              <w:t>CAPO 4</w:t>
            </w:r>
          </w:p>
        </w:tc>
        <w:tc>
          <w:tcPr>
            <w:tcW w:w="6521" w:type="dxa"/>
            <w:shd w:val="clear" w:color="auto" w:fill="auto"/>
          </w:tcPr>
          <w:p w:rsidR="001964F8" w:rsidRPr="00C903F8" w:rsidRDefault="001964F8" w:rsidP="00A8005B">
            <w:pPr>
              <w:spacing w:before="140" w:after="140" w:line="240" w:lineRule="atLeast"/>
              <w:ind w:left="0" w:firstLine="0"/>
              <w:rPr>
                <w:rFonts w:cs="Arial"/>
                <w:sz w:val="18"/>
                <w:szCs w:val="18"/>
              </w:rPr>
            </w:pP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p>
        </w:tc>
      </w:tr>
      <w:tr w:rsidR="001964F8" w:rsidRPr="00C903F8" w:rsidTr="001964F8">
        <w:trPr>
          <w:cantSplit/>
          <w:jc w:val="center"/>
        </w:trPr>
        <w:tc>
          <w:tcPr>
            <w:tcW w:w="1342"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4.04</w:t>
            </w:r>
          </w:p>
        </w:tc>
        <w:tc>
          <w:tcPr>
            <w:tcW w:w="1458" w:type="dxa"/>
            <w:shd w:val="clear" w:color="auto" w:fill="auto"/>
          </w:tcPr>
          <w:p w:rsidR="001964F8" w:rsidRPr="00C903F8" w:rsidRDefault="001964F8" w:rsidP="00A8005B">
            <w:pPr>
              <w:spacing w:before="140" w:after="140" w:line="240" w:lineRule="atLeast"/>
              <w:ind w:left="0" w:firstLine="0"/>
              <w:rPr>
                <w:rFonts w:cs="Arial"/>
                <w:sz w:val="18"/>
                <w:szCs w:val="18"/>
              </w:rPr>
            </w:pPr>
          </w:p>
        </w:tc>
        <w:tc>
          <w:tcPr>
            <w:tcW w:w="3296" w:type="dxa"/>
            <w:shd w:val="clear" w:color="auto" w:fill="auto"/>
          </w:tcPr>
          <w:p w:rsidR="001964F8" w:rsidRPr="00C903F8" w:rsidRDefault="001964F8" w:rsidP="00A8005B">
            <w:pPr>
              <w:spacing w:before="140" w:after="140" w:line="240" w:lineRule="atLeast"/>
              <w:ind w:left="0" w:firstLine="0"/>
              <w:rPr>
                <w:rFonts w:cs="Arial"/>
                <w:sz w:val="18"/>
                <w:szCs w:val="18"/>
              </w:rPr>
            </w:pPr>
            <w:r>
              <w:rPr>
                <w:noProof/>
                <w:sz w:val="18"/>
              </w:rPr>
              <w:t>Marche di bordo libero</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30.12.2024</w:t>
            </w:r>
          </w:p>
        </w:tc>
      </w:tr>
      <w:tr w:rsidR="001964F8" w:rsidRPr="00C903F8" w:rsidTr="001964F8">
        <w:trPr>
          <w:cantSplit/>
          <w:jc w:val="center"/>
        </w:trPr>
        <w:tc>
          <w:tcPr>
            <w:tcW w:w="6096" w:type="dxa"/>
            <w:gridSpan w:val="3"/>
            <w:shd w:val="clear" w:color="auto" w:fill="auto"/>
          </w:tcPr>
          <w:p w:rsidR="001964F8" w:rsidRPr="00C903F8" w:rsidRDefault="001964F8" w:rsidP="00A8005B">
            <w:pPr>
              <w:spacing w:before="140" w:after="140" w:line="240" w:lineRule="atLeast"/>
              <w:ind w:left="0" w:firstLine="0"/>
              <w:jc w:val="center"/>
              <w:rPr>
                <w:rFonts w:cs="Arial"/>
                <w:sz w:val="18"/>
                <w:szCs w:val="18"/>
              </w:rPr>
            </w:pPr>
            <w:r>
              <w:rPr>
                <w:b/>
                <w:sz w:val="18"/>
              </w:rPr>
              <w:t>CAPO 5</w:t>
            </w:r>
          </w:p>
        </w:tc>
        <w:tc>
          <w:tcPr>
            <w:tcW w:w="6521" w:type="dxa"/>
            <w:shd w:val="clear" w:color="auto" w:fill="auto"/>
          </w:tcPr>
          <w:p w:rsidR="001964F8" w:rsidRPr="00C903F8" w:rsidRDefault="001964F8" w:rsidP="00A8005B">
            <w:pPr>
              <w:spacing w:before="140" w:after="140" w:line="240" w:lineRule="atLeast"/>
              <w:ind w:left="0" w:firstLine="0"/>
              <w:rPr>
                <w:rFonts w:cs="Arial"/>
                <w:b/>
                <w:sz w:val="18"/>
                <w:szCs w:val="18"/>
              </w:rPr>
            </w:pP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p>
        </w:tc>
      </w:tr>
      <w:tr w:rsidR="001964F8" w:rsidRPr="00C903F8" w:rsidTr="001964F8">
        <w:trPr>
          <w:cantSplit/>
          <w:jc w:val="center"/>
        </w:trPr>
        <w:tc>
          <w:tcPr>
            <w:tcW w:w="1342"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5.06</w:t>
            </w:r>
          </w:p>
        </w:tc>
        <w:tc>
          <w:tcPr>
            <w:tcW w:w="1458" w:type="dxa"/>
            <w:shd w:val="clear" w:color="auto" w:fill="auto"/>
          </w:tcPr>
          <w:p w:rsidR="001964F8" w:rsidRPr="00C903F8" w:rsidRDefault="001964F8" w:rsidP="00A8005B">
            <w:pPr>
              <w:spacing w:before="140" w:after="140" w:line="240" w:lineRule="atLeast"/>
              <w:ind w:left="0" w:firstLine="0"/>
              <w:jc w:val="left"/>
              <w:rPr>
                <w:rFonts w:cs="Arial"/>
                <w:sz w:val="18"/>
                <w:szCs w:val="18"/>
              </w:rPr>
            </w:pPr>
            <w:r>
              <w:rPr>
                <w:sz w:val="18"/>
              </w:rPr>
              <w:t>paragrafo 1, prima frase</w:t>
            </w:r>
          </w:p>
        </w:tc>
        <w:tc>
          <w:tcPr>
            <w:tcW w:w="3296" w:type="dxa"/>
            <w:shd w:val="clear" w:color="auto" w:fill="auto"/>
          </w:tcPr>
          <w:p w:rsidR="001964F8" w:rsidRPr="00C903F8" w:rsidRDefault="001964F8" w:rsidP="00A8005B">
            <w:pPr>
              <w:spacing w:before="140" w:after="140" w:line="240" w:lineRule="atLeast"/>
              <w:ind w:left="0" w:firstLine="0"/>
              <w:rPr>
                <w:rFonts w:cs="Arial"/>
                <w:sz w:val="18"/>
                <w:szCs w:val="18"/>
              </w:rPr>
            </w:pPr>
            <w:r>
              <w:rPr>
                <w:noProof/>
                <w:sz w:val="18"/>
              </w:rPr>
              <w:t>Velocità prescritta (in marcia avanti)</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30.12.2049</w:t>
            </w:r>
          </w:p>
        </w:tc>
      </w:tr>
      <w:tr w:rsidR="001964F8" w:rsidRPr="00C903F8" w:rsidTr="001964F8">
        <w:trPr>
          <w:cantSplit/>
          <w:jc w:val="center"/>
        </w:trPr>
        <w:tc>
          <w:tcPr>
            <w:tcW w:w="6096" w:type="dxa"/>
            <w:gridSpan w:val="3"/>
            <w:shd w:val="clear" w:color="auto" w:fill="auto"/>
          </w:tcPr>
          <w:p w:rsidR="001964F8" w:rsidRPr="00C903F8" w:rsidRDefault="001964F8" w:rsidP="00A8005B">
            <w:pPr>
              <w:spacing w:before="140" w:after="140" w:line="240" w:lineRule="atLeast"/>
              <w:ind w:left="0" w:firstLine="0"/>
              <w:jc w:val="center"/>
              <w:rPr>
                <w:rFonts w:cs="Arial"/>
                <w:sz w:val="18"/>
                <w:szCs w:val="18"/>
              </w:rPr>
            </w:pPr>
            <w:r>
              <w:rPr>
                <w:b/>
                <w:sz w:val="18"/>
              </w:rPr>
              <w:t>CAPO 6</w:t>
            </w:r>
          </w:p>
        </w:tc>
        <w:tc>
          <w:tcPr>
            <w:tcW w:w="6521" w:type="dxa"/>
            <w:shd w:val="clear" w:color="auto" w:fill="auto"/>
          </w:tcPr>
          <w:p w:rsidR="001964F8" w:rsidRPr="00C903F8" w:rsidRDefault="001964F8" w:rsidP="00A8005B">
            <w:pPr>
              <w:spacing w:before="140" w:after="140" w:line="240" w:lineRule="atLeast"/>
              <w:ind w:left="0" w:firstLine="0"/>
              <w:rPr>
                <w:rFonts w:cs="Arial"/>
                <w:sz w:val="18"/>
                <w:szCs w:val="18"/>
              </w:rPr>
            </w:pP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p>
        </w:tc>
      </w:tr>
      <w:tr w:rsidR="001964F8" w:rsidRPr="00C903F8" w:rsidTr="001964F8">
        <w:trPr>
          <w:cantSplit/>
          <w:jc w:val="center"/>
        </w:trPr>
        <w:tc>
          <w:tcPr>
            <w:tcW w:w="1342" w:type="dxa"/>
            <w:vMerge w:val="restart"/>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6.01</w:t>
            </w:r>
          </w:p>
        </w:tc>
        <w:tc>
          <w:tcPr>
            <w:tcW w:w="1458"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paragrafo 1</w:t>
            </w:r>
          </w:p>
        </w:tc>
        <w:tc>
          <w:tcPr>
            <w:tcW w:w="3296" w:type="dxa"/>
            <w:shd w:val="clear" w:color="auto" w:fill="auto"/>
          </w:tcPr>
          <w:p w:rsidR="001964F8" w:rsidRPr="00C903F8" w:rsidRDefault="001964F8" w:rsidP="00A8005B">
            <w:pPr>
              <w:spacing w:before="140" w:after="140" w:line="240" w:lineRule="atLeast"/>
              <w:rPr>
                <w:rFonts w:cs="Arial"/>
                <w:sz w:val="18"/>
                <w:szCs w:val="18"/>
              </w:rPr>
            </w:pPr>
            <w:r>
              <w:rPr>
                <w:sz w:val="18"/>
              </w:rPr>
              <w:t>Manovrabilità prescritta dal capo 5</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30.12.2049</w:t>
            </w:r>
          </w:p>
        </w:tc>
      </w:tr>
      <w:tr w:rsidR="001964F8" w:rsidRPr="00C903F8" w:rsidTr="001964F8">
        <w:trPr>
          <w:cantSplit/>
          <w:jc w:val="center"/>
        </w:trPr>
        <w:tc>
          <w:tcPr>
            <w:tcW w:w="1342" w:type="dxa"/>
            <w:vMerge/>
            <w:shd w:val="clear" w:color="auto" w:fill="auto"/>
          </w:tcPr>
          <w:p w:rsidR="001964F8" w:rsidRPr="00C903F8" w:rsidRDefault="001964F8" w:rsidP="00A8005B">
            <w:pPr>
              <w:spacing w:before="140" w:after="14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paragrafo 3</w:t>
            </w:r>
          </w:p>
        </w:tc>
        <w:tc>
          <w:tcPr>
            <w:tcW w:w="329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Sbandamenti permanenti e temperature ambiente</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30.12.2024</w:t>
            </w:r>
          </w:p>
        </w:tc>
      </w:tr>
      <w:tr w:rsidR="001964F8" w:rsidRPr="00C903F8" w:rsidTr="001964F8">
        <w:trPr>
          <w:cantSplit/>
          <w:jc w:val="center"/>
        </w:trPr>
        <w:tc>
          <w:tcPr>
            <w:tcW w:w="1342" w:type="dxa"/>
            <w:vMerge/>
            <w:shd w:val="clear" w:color="auto" w:fill="auto"/>
          </w:tcPr>
          <w:p w:rsidR="001964F8" w:rsidRPr="00C903F8" w:rsidRDefault="001964F8" w:rsidP="00A8005B">
            <w:pPr>
              <w:spacing w:before="140" w:after="14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paragrafo 7</w:t>
            </w:r>
          </w:p>
        </w:tc>
        <w:tc>
          <w:tcPr>
            <w:tcW w:w="3296" w:type="dxa"/>
            <w:shd w:val="clear" w:color="auto" w:fill="auto"/>
          </w:tcPr>
          <w:p w:rsidR="001964F8" w:rsidRPr="00C903F8" w:rsidRDefault="001964F8" w:rsidP="00A8005B">
            <w:pPr>
              <w:spacing w:before="140" w:after="140" w:line="240" w:lineRule="atLeast"/>
              <w:rPr>
                <w:rFonts w:cs="Arial"/>
                <w:sz w:val="18"/>
                <w:szCs w:val="18"/>
              </w:rPr>
            </w:pPr>
            <w:r>
              <w:rPr>
                <w:sz w:val="18"/>
              </w:rPr>
              <w:t>Progettazione degli assi del timone</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30.12.2029</w:t>
            </w:r>
          </w:p>
        </w:tc>
      </w:tr>
      <w:tr w:rsidR="001964F8" w:rsidRPr="00C903F8" w:rsidTr="001964F8">
        <w:trPr>
          <w:cantSplit/>
          <w:jc w:val="center"/>
        </w:trPr>
        <w:tc>
          <w:tcPr>
            <w:tcW w:w="1342" w:type="dxa"/>
            <w:vMerge w:val="restart"/>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6.02</w:t>
            </w:r>
          </w:p>
        </w:tc>
        <w:tc>
          <w:tcPr>
            <w:tcW w:w="1458" w:type="dxa"/>
            <w:vMerge w:val="restart"/>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paragrafo 1</w:t>
            </w:r>
          </w:p>
        </w:tc>
        <w:tc>
          <w:tcPr>
            <w:tcW w:w="3296" w:type="dxa"/>
            <w:shd w:val="clear" w:color="auto" w:fill="auto"/>
          </w:tcPr>
          <w:p w:rsidR="001964F8" w:rsidRPr="00C903F8" w:rsidRDefault="001964F8" w:rsidP="00A8005B">
            <w:pPr>
              <w:spacing w:before="140" w:after="140" w:line="240" w:lineRule="atLeast"/>
              <w:rPr>
                <w:rFonts w:cs="Arial"/>
                <w:sz w:val="18"/>
                <w:szCs w:val="18"/>
              </w:rPr>
            </w:pPr>
            <w:r>
              <w:rPr>
                <w:sz w:val="18"/>
              </w:rPr>
              <w:t xml:space="preserve">Presenza di serbatoi idraulici separati </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1.1.2026</w:t>
            </w:r>
          </w:p>
        </w:tc>
      </w:tr>
      <w:tr w:rsidR="001964F8" w:rsidRPr="00C903F8" w:rsidTr="001964F8">
        <w:trPr>
          <w:cantSplit/>
          <w:jc w:val="center"/>
        </w:trPr>
        <w:tc>
          <w:tcPr>
            <w:tcW w:w="1342" w:type="dxa"/>
            <w:vMerge/>
            <w:shd w:val="clear" w:color="auto" w:fill="auto"/>
          </w:tcPr>
          <w:p w:rsidR="001964F8" w:rsidRPr="00C903F8" w:rsidRDefault="001964F8" w:rsidP="00A8005B">
            <w:pPr>
              <w:spacing w:before="140" w:after="140" w:line="240" w:lineRule="atLeast"/>
              <w:ind w:left="0" w:firstLine="0"/>
              <w:rPr>
                <w:rFonts w:cs="Arial"/>
                <w:sz w:val="18"/>
                <w:szCs w:val="18"/>
              </w:rPr>
            </w:pPr>
          </w:p>
        </w:tc>
        <w:tc>
          <w:tcPr>
            <w:tcW w:w="1458" w:type="dxa"/>
            <w:vMerge/>
            <w:shd w:val="clear" w:color="auto" w:fill="auto"/>
          </w:tcPr>
          <w:p w:rsidR="001964F8" w:rsidRPr="00C903F8" w:rsidRDefault="001964F8" w:rsidP="00A8005B">
            <w:pPr>
              <w:spacing w:before="140" w:after="140" w:line="240" w:lineRule="atLeast"/>
              <w:ind w:left="0" w:firstLine="0"/>
              <w:rPr>
                <w:rFonts w:cs="Arial"/>
                <w:sz w:val="18"/>
                <w:szCs w:val="18"/>
              </w:rPr>
            </w:pPr>
          </w:p>
        </w:tc>
        <w:tc>
          <w:tcPr>
            <w:tcW w:w="329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Raddoppio della valvole di manovra in caso di dispositivo di azionamento idraulico</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1.1.2026</w:t>
            </w:r>
          </w:p>
        </w:tc>
      </w:tr>
      <w:tr w:rsidR="001964F8" w:rsidRPr="00C903F8" w:rsidTr="001964F8">
        <w:trPr>
          <w:cantSplit/>
          <w:jc w:val="center"/>
        </w:trPr>
        <w:tc>
          <w:tcPr>
            <w:tcW w:w="1342" w:type="dxa"/>
            <w:vMerge/>
            <w:shd w:val="clear" w:color="auto" w:fill="auto"/>
          </w:tcPr>
          <w:p w:rsidR="001964F8" w:rsidRPr="00C903F8" w:rsidRDefault="001964F8" w:rsidP="00A8005B">
            <w:pPr>
              <w:spacing w:before="140" w:after="140" w:line="240" w:lineRule="atLeast"/>
              <w:ind w:left="0" w:firstLine="0"/>
              <w:rPr>
                <w:rFonts w:cs="Arial"/>
                <w:sz w:val="18"/>
                <w:szCs w:val="18"/>
              </w:rPr>
            </w:pPr>
          </w:p>
        </w:tc>
        <w:tc>
          <w:tcPr>
            <w:tcW w:w="1458" w:type="dxa"/>
            <w:vMerge/>
            <w:shd w:val="clear" w:color="auto" w:fill="auto"/>
          </w:tcPr>
          <w:p w:rsidR="001964F8" w:rsidRPr="00C903F8" w:rsidRDefault="001964F8" w:rsidP="00A8005B">
            <w:pPr>
              <w:spacing w:before="140" w:after="140" w:line="240" w:lineRule="atLeast"/>
              <w:ind w:left="0" w:firstLine="0"/>
              <w:rPr>
                <w:rFonts w:cs="Arial"/>
                <w:sz w:val="18"/>
                <w:szCs w:val="18"/>
              </w:rPr>
            </w:pPr>
          </w:p>
        </w:tc>
        <w:tc>
          <w:tcPr>
            <w:tcW w:w="3296" w:type="dxa"/>
            <w:shd w:val="clear" w:color="auto" w:fill="auto"/>
          </w:tcPr>
          <w:p w:rsidR="001964F8" w:rsidRPr="00C903F8" w:rsidRDefault="001964F8" w:rsidP="00A8005B">
            <w:pPr>
              <w:tabs>
                <w:tab w:val="left" w:pos="1125"/>
              </w:tabs>
              <w:spacing w:before="140" w:after="140" w:line="240" w:lineRule="atLeast"/>
              <w:ind w:left="0" w:firstLine="0"/>
              <w:rPr>
                <w:rFonts w:cs="Arial"/>
                <w:sz w:val="18"/>
                <w:szCs w:val="18"/>
              </w:rPr>
            </w:pPr>
            <w:r>
              <w:rPr>
                <w:sz w:val="18"/>
              </w:rPr>
              <w:t>Condutture separate per il secondo dispositivo di azionamento in caso di dispositivi di azionamento idraulici</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1.1.2026</w:t>
            </w:r>
          </w:p>
        </w:tc>
      </w:tr>
      <w:tr w:rsidR="001964F8" w:rsidRPr="00C903F8" w:rsidTr="001964F8">
        <w:trPr>
          <w:cantSplit/>
          <w:jc w:val="center"/>
        </w:trPr>
        <w:tc>
          <w:tcPr>
            <w:tcW w:w="1342" w:type="dxa"/>
            <w:vMerge/>
            <w:shd w:val="clear" w:color="auto" w:fill="auto"/>
          </w:tcPr>
          <w:p w:rsidR="001964F8" w:rsidRPr="00C903F8" w:rsidRDefault="001964F8" w:rsidP="00A8005B">
            <w:pPr>
              <w:spacing w:before="140" w:after="14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paragrafo 2</w:t>
            </w:r>
          </w:p>
        </w:tc>
        <w:tc>
          <w:tcPr>
            <w:tcW w:w="329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Condutture separate per il secondo dispositivo di azionamento in caso di dispositivi di azionamento idraulici</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1.1.2026</w:t>
            </w:r>
          </w:p>
        </w:tc>
      </w:tr>
      <w:tr w:rsidR="001964F8" w:rsidRPr="00C903F8" w:rsidTr="001964F8">
        <w:trPr>
          <w:cantSplit/>
          <w:jc w:val="center"/>
        </w:trPr>
        <w:tc>
          <w:tcPr>
            <w:tcW w:w="1342" w:type="dxa"/>
            <w:vMerge/>
            <w:shd w:val="clear" w:color="auto" w:fill="auto"/>
          </w:tcPr>
          <w:p w:rsidR="001964F8" w:rsidRPr="00C903F8" w:rsidRDefault="001964F8" w:rsidP="00A8005B">
            <w:pPr>
              <w:spacing w:before="60" w:after="6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paragrafo 3</w:t>
            </w:r>
          </w:p>
        </w:tc>
        <w:tc>
          <w:tcPr>
            <w:tcW w:w="3296"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Manovrabilità prescritta dal capo 5 garantita dal dispositivo di azionamento ausiliario o dall'azionamento manuale</w:t>
            </w:r>
          </w:p>
        </w:tc>
        <w:tc>
          <w:tcPr>
            <w:tcW w:w="6521" w:type="dxa"/>
            <w:shd w:val="clear" w:color="auto" w:fill="auto"/>
          </w:tcPr>
          <w:p w:rsidR="001964F8" w:rsidRPr="00C903F8" w:rsidRDefault="008761D9" w:rsidP="00A8005B">
            <w:pPr>
              <w:spacing w:before="60" w:after="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30.12.2049</w:t>
            </w:r>
          </w:p>
        </w:tc>
      </w:tr>
      <w:tr w:rsidR="001964F8" w:rsidRPr="00C903F8" w:rsidTr="001964F8">
        <w:trPr>
          <w:cantSplit/>
          <w:jc w:val="center"/>
        </w:trPr>
        <w:tc>
          <w:tcPr>
            <w:tcW w:w="1342"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6.03</w:t>
            </w:r>
          </w:p>
        </w:tc>
        <w:tc>
          <w:tcPr>
            <w:tcW w:w="1458"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paragrafo 1</w:t>
            </w:r>
          </w:p>
        </w:tc>
        <w:tc>
          <w:tcPr>
            <w:tcW w:w="3296" w:type="dxa"/>
            <w:shd w:val="clear" w:color="auto" w:fill="auto"/>
          </w:tcPr>
          <w:p w:rsidR="001964F8" w:rsidRPr="00C903F8" w:rsidRDefault="001964F8" w:rsidP="005B1BE0">
            <w:pPr>
              <w:spacing w:before="60" w:after="60" w:line="240" w:lineRule="atLeast"/>
              <w:ind w:left="0" w:firstLine="0"/>
              <w:rPr>
                <w:rFonts w:cs="Arial"/>
                <w:sz w:val="18"/>
                <w:szCs w:val="18"/>
              </w:rPr>
            </w:pPr>
            <w:r>
              <w:rPr>
                <w:sz w:val="18"/>
              </w:rPr>
              <w:t>Collegamento del dispositivo di azionamento del mezzo di governo ad altre utenze</w:t>
            </w:r>
          </w:p>
        </w:tc>
        <w:tc>
          <w:tcPr>
            <w:tcW w:w="6521" w:type="dxa"/>
            <w:shd w:val="clear" w:color="auto" w:fill="auto"/>
          </w:tcPr>
          <w:p w:rsidR="001964F8" w:rsidRPr="00C903F8" w:rsidRDefault="008761D9" w:rsidP="00A8005B">
            <w:pPr>
              <w:spacing w:before="60" w:after="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1.1.2026</w:t>
            </w:r>
          </w:p>
        </w:tc>
      </w:tr>
      <w:tr w:rsidR="001964F8" w:rsidRPr="00C903F8" w:rsidTr="001964F8">
        <w:trPr>
          <w:cantSplit/>
          <w:jc w:val="center"/>
        </w:trPr>
        <w:tc>
          <w:tcPr>
            <w:tcW w:w="1342"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6.05</w:t>
            </w:r>
          </w:p>
        </w:tc>
        <w:tc>
          <w:tcPr>
            <w:tcW w:w="1458"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paragrafo 1</w:t>
            </w:r>
          </w:p>
        </w:tc>
        <w:tc>
          <w:tcPr>
            <w:tcW w:w="3296"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Disattivazione automatica del dispositivo di azionamento manuale</w:t>
            </w:r>
          </w:p>
        </w:tc>
        <w:tc>
          <w:tcPr>
            <w:tcW w:w="6521" w:type="dxa"/>
            <w:shd w:val="clear" w:color="auto" w:fill="auto"/>
          </w:tcPr>
          <w:p w:rsidR="001964F8" w:rsidRPr="00C903F8" w:rsidRDefault="008761D9" w:rsidP="00A8005B">
            <w:pPr>
              <w:spacing w:before="60" w:after="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30.12.2024</w:t>
            </w:r>
          </w:p>
        </w:tc>
      </w:tr>
      <w:tr w:rsidR="001964F8" w:rsidRPr="00C903F8" w:rsidTr="001964F8">
        <w:trPr>
          <w:cantSplit/>
          <w:jc w:val="center"/>
        </w:trPr>
        <w:tc>
          <w:tcPr>
            <w:tcW w:w="1342" w:type="dxa"/>
            <w:tcBorders>
              <w:bottom w:val="single" w:sz="4" w:space="0" w:color="auto"/>
            </w:tcBorders>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6.06</w:t>
            </w:r>
          </w:p>
        </w:tc>
        <w:tc>
          <w:tcPr>
            <w:tcW w:w="1458"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paragrafo 1</w:t>
            </w:r>
          </w:p>
        </w:tc>
        <w:tc>
          <w:tcPr>
            <w:tcW w:w="3296" w:type="dxa"/>
            <w:shd w:val="clear" w:color="auto" w:fill="auto"/>
          </w:tcPr>
          <w:p w:rsidR="001964F8" w:rsidRPr="00C903F8" w:rsidRDefault="001964F8" w:rsidP="00A8005B">
            <w:pPr>
              <w:spacing w:before="60" w:after="60" w:line="240" w:lineRule="atLeast"/>
              <w:ind w:left="0" w:firstLine="0"/>
              <w:rPr>
                <w:rFonts w:cs="Arial"/>
                <w:sz w:val="18"/>
                <w:szCs w:val="18"/>
              </w:rPr>
            </w:pPr>
            <w:r>
              <w:rPr>
                <w:noProof/>
                <w:sz w:val="18"/>
              </w:rPr>
              <w:t>Due comandi di governo indipendenti</w:t>
            </w:r>
          </w:p>
        </w:tc>
        <w:tc>
          <w:tcPr>
            <w:tcW w:w="6521" w:type="dxa"/>
            <w:shd w:val="clear" w:color="auto" w:fill="auto"/>
          </w:tcPr>
          <w:p w:rsidR="001964F8" w:rsidRPr="00C903F8" w:rsidRDefault="008761D9" w:rsidP="00A8005B">
            <w:pPr>
              <w:spacing w:before="60" w:after="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30.12.2029</w:t>
            </w:r>
          </w:p>
        </w:tc>
      </w:tr>
      <w:tr w:rsidR="001964F8" w:rsidRPr="00C903F8" w:rsidTr="001964F8">
        <w:trPr>
          <w:cantSplit/>
          <w:jc w:val="center"/>
        </w:trPr>
        <w:tc>
          <w:tcPr>
            <w:tcW w:w="1342" w:type="dxa"/>
            <w:tcBorders>
              <w:bottom w:val="nil"/>
            </w:tcBorders>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6.07</w:t>
            </w:r>
          </w:p>
        </w:tc>
        <w:tc>
          <w:tcPr>
            <w:tcW w:w="1458"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paragrafo 2, lettera a)</w:t>
            </w:r>
          </w:p>
        </w:tc>
        <w:tc>
          <w:tcPr>
            <w:tcW w:w="3296" w:type="dxa"/>
            <w:shd w:val="clear" w:color="auto" w:fill="auto"/>
          </w:tcPr>
          <w:p w:rsidR="001964F8" w:rsidRPr="00C903F8" w:rsidRDefault="001964F8" w:rsidP="00A8005B">
            <w:pPr>
              <w:tabs>
                <w:tab w:val="left" w:pos="1080"/>
              </w:tabs>
              <w:spacing w:before="60" w:after="60" w:line="240" w:lineRule="atLeast"/>
              <w:ind w:left="0" w:firstLine="0"/>
              <w:rPr>
                <w:rFonts w:cs="Arial"/>
                <w:sz w:val="18"/>
                <w:szCs w:val="18"/>
              </w:rPr>
            </w:pPr>
            <w:r>
              <w:rPr>
                <w:sz w:val="18"/>
              </w:rPr>
              <w:t>Allarme di livello dei serbatoi idraulici e allarme di pressione di servizio</w:t>
            </w:r>
          </w:p>
        </w:tc>
        <w:tc>
          <w:tcPr>
            <w:tcW w:w="6521" w:type="dxa"/>
            <w:shd w:val="clear" w:color="auto" w:fill="auto"/>
          </w:tcPr>
          <w:p w:rsidR="001964F8" w:rsidRPr="00C903F8" w:rsidRDefault="008761D9" w:rsidP="00A8005B">
            <w:pPr>
              <w:spacing w:before="60" w:after="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1.1.2026</w:t>
            </w:r>
          </w:p>
        </w:tc>
      </w:tr>
      <w:tr w:rsidR="001964F8" w:rsidRPr="00A0619C" w:rsidTr="001964F8">
        <w:trPr>
          <w:cantSplit/>
          <w:jc w:val="center"/>
        </w:trPr>
        <w:tc>
          <w:tcPr>
            <w:tcW w:w="1342" w:type="dxa"/>
            <w:tcBorders>
              <w:top w:val="nil"/>
            </w:tcBorders>
            <w:shd w:val="clear" w:color="auto" w:fill="auto"/>
          </w:tcPr>
          <w:p w:rsidR="001964F8" w:rsidRPr="00C903F8" w:rsidRDefault="001964F8" w:rsidP="00A8005B">
            <w:pPr>
              <w:spacing w:before="60" w:after="6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paragrafo 2, lettera e)</w:t>
            </w:r>
          </w:p>
        </w:tc>
        <w:tc>
          <w:tcPr>
            <w:tcW w:w="3296"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Controllo dei dispositivi tampone</w:t>
            </w:r>
          </w:p>
        </w:tc>
        <w:tc>
          <w:tcPr>
            <w:tcW w:w="6521" w:type="dxa"/>
            <w:shd w:val="clear" w:color="auto" w:fill="auto"/>
          </w:tcPr>
          <w:p w:rsidR="001964F8" w:rsidRPr="00C903F8" w:rsidRDefault="008761D9" w:rsidP="00A8005B">
            <w:pPr>
              <w:spacing w:before="60" w:after="6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1964F8" w:rsidRPr="00C903F8" w:rsidRDefault="001964F8" w:rsidP="00A8005B">
            <w:pPr>
              <w:spacing w:before="60" w:after="60" w:line="240" w:lineRule="atLeast"/>
              <w:ind w:left="0" w:firstLine="0"/>
              <w:rPr>
                <w:rFonts w:cs="Arial"/>
                <w:sz w:val="18"/>
                <w:szCs w:val="18"/>
              </w:rPr>
            </w:pPr>
          </w:p>
        </w:tc>
      </w:tr>
      <w:tr w:rsidR="001964F8" w:rsidRPr="00C903F8" w:rsidTr="001964F8">
        <w:trPr>
          <w:cantSplit/>
          <w:jc w:val="center"/>
        </w:trPr>
        <w:tc>
          <w:tcPr>
            <w:tcW w:w="1342"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6.08</w:t>
            </w:r>
          </w:p>
        </w:tc>
        <w:tc>
          <w:tcPr>
            <w:tcW w:w="1458"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paragrafo 1</w:t>
            </w:r>
          </w:p>
        </w:tc>
        <w:tc>
          <w:tcPr>
            <w:tcW w:w="3296"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Requisiti per impianti elettrici di cui all'articolo 10.20</w:t>
            </w:r>
          </w:p>
        </w:tc>
        <w:tc>
          <w:tcPr>
            <w:tcW w:w="6521" w:type="dxa"/>
            <w:shd w:val="clear" w:color="auto" w:fill="auto"/>
          </w:tcPr>
          <w:p w:rsidR="001964F8" w:rsidRPr="00C903F8" w:rsidRDefault="008761D9" w:rsidP="00A8005B">
            <w:pPr>
              <w:spacing w:before="60" w:after="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30.12.2029</w:t>
            </w:r>
          </w:p>
        </w:tc>
      </w:tr>
      <w:tr w:rsidR="001964F8" w:rsidRPr="00C903F8" w:rsidTr="001964F8">
        <w:trPr>
          <w:cantSplit/>
          <w:jc w:val="center"/>
        </w:trPr>
        <w:tc>
          <w:tcPr>
            <w:tcW w:w="6096" w:type="dxa"/>
            <w:gridSpan w:val="3"/>
            <w:shd w:val="clear" w:color="auto" w:fill="auto"/>
          </w:tcPr>
          <w:p w:rsidR="001964F8" w:rsidRPr="00C903F8" w:rsidRDefault="001964F8" w:rsidP="005B1BE0">
            <w:pPr>
              <w:spacing w:before="100" w:after="100" w:line="240" w:lineRule="atLeast"/>
              <w:ind w:left="0" w:firstLine="0"/>
              <w:jc w:val="center"/>
              <w:rPr>
                <w:rFonts w:cs="Arial"/>
                <w:sz w:val="18"/>
                <w:szCs w:val="18"/>
              </w:rPr>
            </w:pPr>
            <w:r>
              <w:rPr>
                <w:b/>
                <w:sz w:val="18"/>
              </w:rPr>
              <w:t>CAPO 7</w:t>
            </w:r>
          </w:p>
        </w:tc>
        <w:tc>
          <w:tcPr>
            <w:tcW w:w="6521" w:type="dxa"/>
            <w:shd w:val="clear" w:color="auto" w:fill="auto"/>
          </w:tcPr>
          <w:p w:rsidR="001964F8" w:rsidRPr="00C903F8" w:rsidRDefault="001964F8" w:rsidP="005B1BE0">
            <w:pPr>
              <w:spacing w:before="100" w:after="100" w:line="240" w:lineRule="atLeast"/>
              <w:ind w:left="0" w:firstLine="0"/>
              <w:rPr>
                <w:rFonts w:cs="Arial"/>
                <w:sz w:val="18"/>
                <w:szCs w:val="18"/>
              </w:rPr>
            </w:pPr>
          </w:p>
        </w:tc>
        <w:tc>
          <w:tcPr>
            <w:tcW w:w="1276" w:type="dxa"/>
            <w:shd w:val="clear" w:color="auto" w:fill="auto"/>
          </w:tcPr>
          <w:p w:rsidR="001964F8" w:rsidRPr="00C903F8" w:rsidRDefault="001964F8" w:rsidP="005B1BE0">
            <w:pPr>
              <w:spacing w:before="100" w:after="100" w:line="240" w:lineRule="atLeast"/>
              <w:ind w:left="0" w:firstLine="0"/>
              <w:rPr>
                <w:rFonts w:cs="Arial"/>
                <w:sz w:val="18"/>
                <w:szCs w:val="18"/>
              </w:rPr>
            </w:pPr>
          </w:p>
        </w:tc>
      </w:tr>
      <w:tr w:rsidR="001964F8" w:rsidRPr="00C903F8" w:rsidTr="001964F8">
        <w:trPr>
          <w:cantSplit/>
          <w:jc w:val="center"/>
        </w:trPr>
        <w:tc>
          <w:tcPr>
            <w:tcW w:w="1342" w:type="dxa"/>
            <w:tcBorders>
              <w:bottom w:val="nil"/>
            </w:tcBorders>
            <w:shd w:val="clear" w:color="auto" w:fill="auto"/>
          </w:tcPr>
          <w:p w:rsidR="001964F8" w:rsidRPr="00C903F8" w:rsidRDefault="001964F8" w:rsidP="00A8005B">
            <w:pPr>
              <w:spacing w:before="60" w:after="60" w:line="240" w:lineRule="atLeast"/>
              <w:ind w:left="0" w:firstLine="0"/>
              <w:rPr>
                <w:rFonts w:cs="Arial"/>
                <w:sz w:val="18"/>
                <w:szCs w:val="18"/>
              </w:rPr>
            </w:pPr>
            <w:r>
              <w:rPr>
                <w:sz w:val="18"/>
              </w:rPr>
              <w:lastRenderedPageBreak/>
              <w:t>7.02</w:t>
            </w:r>
          </w:p>
        </w:tc>
        <w:tc>
          <w:tcPr>
            <w:tcW w:w="1458"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paragrafi da 2 a 6</w:t>
            </w:r>
          </w:p>
        </w:tc>
        <w:tc>
          <w:tcPr>
            <w:tcW w:w="3296" w:type="dxa"/>
            <w:shd w:val="clear" w:color="auto" w:fill="auto"/>
          </w:tcPr>
          <w:p w:rsidR="001964F8" w:rsidRPr="00C903F8" w:rsidRDefault="001964F8" w:rsidP="00A8005B">
            <w:pPr>
              <w:tabs>
                <w:tab w:val="right" w:pos="3856"/>
                <w:tab w:val="center" w:pos="4536"/>
                <w:tab w:val="left" w:pos="6521"/>
                <w:tab w:val="right" w:pos="9072"/>
              </w:tabs>
              <w:spacing w:before="60" w:after="60" w:line="240" w:lineRule="atLeast"/>
              <w:ind w:left="0" w:firstLine="0"/>
              <w:rPr>
                <w:rFonts w:cs="Arial"/>
                <w:sz w:val="18"/>
                <w:szCs w:val="18"/>
              </w:rPr>
            </w:pPr>
            <w:r>
              <w:rPr>
                <w:color w:val="000000"/>
                <w:sz w:val="18"/>
              </w:rPr>
              <w:t>Visuale libera dalla timoneria fatta eccezione per i seguenti paragrafi</w:t>
            </w:r>
          </w:p>
        </w:tc>
        <w:tc>
          <w:tcPr>
            <w:tcW w:w="6521" w:type="dxa"/>
            <w:shd w:val="clear" w:color="auto" w:fill="auto"/>
          </w:tcPr>
          <w:p w:rsidR="001964F8" w:rsidRPr="00C903F8" w:rsidRDefault="008761D9" w:rsidP="00A8005B">
            <w:pPr>
              <w:spacing w:before="60" w:after="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1.1.2049</w:t>
            </w:r>
          </w:p>
        </w:tc>
      </w:tr>
      <w:tr w:rsidR="001964F8" w:rsidRPr="00C903F8" w:rsidTr="001964F8">
        <w:trPr>
          <w:cantSplit/>
          <w:jc w:val="center"/>
        </w:trPr>
        <w:tc>
          <w:tcPr>
            <w:tcW w:w="1342" w:type="dxa"/>
            <w:tcBorders>
              <w:top w:val="nil"/>
              <w:bottom w:val="nil"/>
            </w:tcBorders>
            <w:shd w:val="clear" w:color="auto" w:fill="auto"/>
          </w:tcPr>
          <w:p w:rsidR="001964F8" w:rsidRPr="00C903F8" w:rsidRDefault="001964F8" w:rsidP="005B1BE0">
            <w:pPr>
              <w:spacing w:before="100" w:after="100" w:line="240" w:lineRule="atLeast"/>
              <w:ind w:left="0" w:firstLine="0"/>
              <w:jc w:val="center"/>
              <w:rPr>
                <w:rFonts w:cs="Arial"/>
                <w:b/>
                <w:sz w:val="18"/>
                <w:szCs w:val="18"/>
              </w:rPr>
            </w:pPr>
          </w:p>
        </w:tc>
        <w:tc>
          <w:tcPr>
            <w:tcW w:w="1458" w:type="dxa"/>
            <w:shd w:val="clear" w:color="auto" w:fill="auto"/>
          </w:tcPr>
          <w:p w:rsidR="001964F8" w:rsidRPr="00C903F8" w:rsidRDefault="001964F8" w:rsidP="005B1BE0">
            <w:pPr>
              <w:spacing w:before="100" w:after="100" w:line="240" w:lineRule="atLeast"/>
              <w:ind w:left="0" w:firstLine="0"/>
              <w:jc w:val="left"/>
              <w:rPr>
                <w:rFonts w:cs="Arial"/>
                <w:sz w:val="18"/>
                <w:szCs w:val="18"/>
              </w:rPr>
            </w:pPr>
            <w:r>
              <w:rPr>
                <w:sz w:val="18"/>
              </w:rPr>
              <w:t>paragrafo 3, secondo comma</w:t>
            </w:r>
          </w:p>
        </w:tc>
        <w:tc>
          <w:tcPr>
            <w:tcW w:w="3296" w:type="dxa"/>
            <w:shd w:val="clear" w:color="auto" w:fill="auto"/>
          </w:tcPr>
          <w:p w:rsidR="001964F8" w:rsidRPr="00C903F8" w:rsidRDefault="001964F8" w:rsidP="005B1BE0">
            <w:pPr>
              <w:tabs>
                <w:tab w:val="right" w:pos="3856"/>
                <w:tab w:val="center" w:pos="4536"/>
                <w:tab w:val="left" w:pos="6521"/>
                <w:tab w:val="right" w:pos="9072"/>
              </w:tabs>
              <w:spacing w:before="100" w:after="100" w:line="240" w:lineRule="atLeast"/>
              <w:ind w:left="0" w:firstLine="0"/>
              <w:rPr>
                <w:rFonts w:cs="Arial"/>
                <w:sz w:val="18"/>
                <w:szCs w:val="18"/>
              </w:rPr>
            </w:pPr>
            <w:r>
              <w:rPr>
                <w:color w:val="000000"/>
                <w:sz w:val="18"/>
              </w:rPr>
              <w:t>Visuale libera nell'asse di visione del timoniere</w:t>
            </w:r>
          </w:p>
        </w:tc>
        <w:tc>
          <w:tcPr>
            <w:tcW w:w="6521" w:type="dxa"/>
            <w:shd w:val="clear" w:color="auto" w:fill="auto"/>
          </w:tcPr>
          <w:p w:rsidR="001964F8" w:rsidRPr="00C903F8" w:rsidRDefault="008761D9" w:rsidP="005B1BE0">
            <w:pPr>
              <w:spacing w:before="100" w:after="10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5B1BE0">
            <w:pPr>
              <w:spacing w:before="100" w:after="100" w:line="240" w:lineRule="atLeast"/>
              <w:ind w:left="0" w:firstLine="0"/>
              <w:rPr>
                <w:rFonts w:cs="Arial"/>
                <w:sz w:val="18"/>
                <w:szCs w:val="18"/>
              </w:rPr>
            </w:pPr>
            <w:r>
              <w:rPr>
                <w:sz w:val="18"/>
              </w:rPr>
              <w:t>30.12.2029</w:t>
            </w:r>
          </w:p>
        </w:tc>
      </w:tr>
      <w:tr w:rsidR="001964F8" w:rsidRPr="00C903F8" w:rsidTr="001964F8">
        <w:trPr>
          <w:cantSplit/>
          <w:jc w:val="center"/>
        </w:trPr>
        <w:tc>
          <w:tcPr>
            <w:tcW w:w="1342" w:type="dxa"/>
            <w:tcBorders>
              <w:top w:val="nil"/>
              <w:bottom w:val="nil"/>
            </w:tcBorders>
            <w:shd w:val="clear" w:color="auto" w:fill="auto"/>
          </w:tcPr>
          <w:p w:rsidR="001964F8" w:rsidRPr="00C903F8" w:rsidRDefault="001964F8" w:rsidP="005B1BE0">
            <w:pPr>
              <w:spacing w:before="100" w:after="100" w:line="240" w:lineRule="atLeast"/>
              <w:ind w:left="0" w:firstLine="0"/>
              <w:rPr>
                <w:rFonts w:cs="Arial"/>
                <w:sz w:val="18"/>
                <w:szCs w:val="18"/>
              </w:rPr>
            </w:pPr>
          </w:p>
        </w:tc>
        <w:tc>
          <w:tcPr>
            <w:tcW w:w="1458" w:type="dxa"/>
            <w:vMerge w:val="restart"/>
            <w:shd w:val="clear" w:color="auto" w:fill="auto"/>
          </w:tcPr>
          <w:p w:rsidR="001964F8" w:rsidRPr="00C903F8" w:rsidRDefault="001964F8" w:rsidP="005B1BE0">
            <w:pPr>
              <w:spacing w:before="100" w:after="100" w:line="240" w:lineRule="atLeast"/>
              <w:ind w:left="0" w:firstLine="0"/>
              <w:rPr>
                <w:rFonts w:cs="Arial"/>
                <w:sz w:val="18"/>
                <w:szCs w:val="18"/>
              </w:rPr>
            </w:pPr>
            <w:r>
              <w:rPr>
                <w:sz w:val="18"/>
              </w:rPr>
              <w:t>paragrafo 6</w:t>
            </w:r>
          </w:p>
        </w:tc>
        <w:tc>
          <w:tcPr>
            <w:tcW w:w="3296" w:type="dxa"/>
            <w:vMerge w:val="restart"/>
            <w:shd w:val="clear" w:color="auto" w:fill="auto"/>
          </w:tcPr>
          <w:p w:rsidR="001964F8" w:rsidRPr="00C903F8" w:rsidRDefault="001964F8" w:rsidP="005B1BE0">
            <w:pPr>
              <w:tabs>
                <w:tab w:val="right" w:pos="3856"/>
                <w:tab w:val="center" w:pos="4536"/>
                <w:tab w:val="left" w:pos="6521"/>
                <w:tab w:val="right" w:pos="9072"/>
              </w:tabs>
              <w:spacing w:before="100" w:after="100" w:line="240" w:lineRule="atLeast"/>
              <w:ind w:left="0" w:firstLine="0"/>
              <w:rPr>
                <w:rFonts w:cs="Arial"/>
                <w:color w:val="000000"/>
                <w:sz w:val="18"/>
                <w:szCs w:val="18"/>
              </w:rPr>
            </w:pPr>
            <w:r>
              <w:rPr>
                <w:color w:val="000000"/>
                <w:sz w:val="18"/>
              </w:rPr>
              <w:t>Livello minimo di trasparenza dei vetri</w:t>
            </w:r>
          </w:p>
        </w:tc>
        <w:tc>
          <w:tcPr>
            <w:tcW w:w="6521" w:type="dxa"/>
            <w:shd w:val="clear" w:color="auto" w:fill="auto"/>
          </w:tcPr>
          <w:p w:rsidR="001964F8" w:rsidRPr="00C903F8" w:rsidRDefault="008761D9" w:rsidP="005B1BE0">
            <w:pPr>
              <w:spacing w:before="100" w:after="10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5B1BE0">
            <w:pPr>
              <w:spacing w:before="100" w:after="100" w:line="240" w:lineRule="atLeast"/>
              <w:ind w:left="0" w:firstLine="0"/>
              <w:rPr>
                <w:rFonts w:cs="Arial"/>
                <w:sz w:val="18"/>
                <w:szCs w:val="18"/>
              </w:rPr>
            </w:pPr>
            <w:r>
              <w:rPr>
                <w:sz w:val="18"/>
              </w:rPr>
              <w:t>1.1.2024</w:t>
            </w:r>
          </w:p>
        </w:tc>
      </w:tr>
      <w:tr w:rsidR="001964F8" w:rsidRPr="00A0619C" w:rsidTr="001964F8">
        <w:trPr>
          <w:cantSplit/>
          <w:jc w:val="center"/>
        </w:trPr>
        <w:tc>
          <w:tcPr>
            <w:tcW w:w="1342" w:type="dxa"/>
            <w:tcBorders>
              <w:top w:val="nil"/>
              <w:bottom w:val="nil"/>
            </w:tcBorders>
            <w:shd w:val="clear" w:color="auto" w:fill="auto"/>
          </w:tcPr>
          <w:p w:rsidR="001964F8" w:rsidRPr="00C903F8" w:rsidRDefault="001964F8" w:rsidP="00A8005B">
            <w:pPr>
              <w:spacing w:before="120" w:after="120" w:line="240" w:lineRule="atLeast"/>
              <w:ind w:left="0" w:firstLine="0"/>
              <w:rPr>
                <w:rFonts w:cs="Arial"/>
                <w:sz w:val="18"/>
                <w:szCs w:val="18"/>
              </w:rPr>
            </w:pPr>
          </w:p>
        </w:tc>
        <w:tc>
          <w:tcPr>
            <w:tcW w:w="1458" w:type="dxa"/>
            <w:vMerge/>
            <w:shd w:val="clear" w:color="auto" w:fill="auto"/>
          </w:tcPr>
          <w:p w:rsidR="001964F8" w:rsidRPr="00C903F8" w:rsidRDefault="001964F8" w:rsidP="00A8005B">
            <w:pPr>
              <w:spacing w:before="120" w:after="120" w:line="240" w:lineRule="atLeast"/>
              <w:ind w:left="0" w:firstLine="0"/>
              <w:rPr>
                <w:rFonts w:cs="Arial"/>
                <w:sz w:val="18"/>
                <w:szCs w:val="18"/>
              </w:rPr>
            </w:pPr>
          </w:p>
        </w:tc>
        <w:tc>
          <w:tcPr>
            <w:tcW w:w="3296" w:type="dxa"/>
            <w:vMerge/>
            <w:shd w:val="clear" w:color="auto" w:fill="auto"/>
          </w:tcPr>
          <w:p w:rsidR="001964F8" w:rsidRPr="00C903F8" w:rsidRDefault="001964F8" w:rsidP="00A8005B">
            <w:pPr>
              <w:spacing w:before="120" w:after="120" w:line="240" w:lineRule="atLeast"/>
              <w:ind w:left="0" w:firstLine="0"/>
              <w:rPr>
                <w:rFonts w:cs="Arial"/>
                <w:sz w:val="18"/>
                <w:szCs w:val="18"/>
              </w:rPr>
            </w:pPr>
          </w:p>
        </w:tc>
        <w:tc>
          <w:tcPr>
            <w:tcW w:w="6521" w:type="dxa"/>
            <w:shd w:val="clear" w:color="auto" w:fill="auto"/>
          </w:tcPr>
          <w:p w:rsidR="001964F8" w:rsidRPr="00C903F8" w:rsidRDefault="008761D9" w:rsidP="00A8005B">
            <w:pPr>
              <w:tabs>
                <w:tab w:val="left" w:pos="57"/>
                <w:tab w:val="left" w:pos="907"/>
              </w:tabs>
              <w:overflowPunct w:val="0"/>
              <w:adjustRightInd w:val="0"/>
              <w:spacing w:before="120" w:after="120" w:line="240" w:lineRule="atLeast"/>
              <w:ind w:left="0" w:right="57" w:firstLine="0"/>
              <w:textAlignment w:val="baseline"/>
              <w:rPr>
                <w:rFonts w:cs="Arial"/>
                <w:sz w:val="18"/>
                <w:szCs w:val="18"/>
              </w:rPr>
            </w:pPr>
            <w:r>
              <w:rPr>
                <w:sz w:val="18"/>
              </w:rPr>
              <w:t>N.S.T. per le navi con finestre colorate che soddisfano le seguenti condizioni:</w:t>
            </w:r>
          </w:p>
          <w:p w:rsidR="001964F8" w:rsidRPr="00C903F8" w:rsidRDefault="001964F8" w:rsidP="00A8005B">
            <w:pPr>
              <w:spacing w:before="120" w:after="120" w:line="240" w:lineRule="atLeast"/>
              <w:ind w:left="317" w:hanging="317"/>
              <w:rPr>
                <w:rFonts w:cs="Arial"/>
                <w:sz w:val="18"/>
                <w:szCs w:val="18"/>
              </w:rPr>
            </w:pPr>
            <w:r>
              <w:rPr>
                <w:sz w:val="18"/>
              </w:rPr>
              <w:t>-</w:t>
            </w:r>
            <w:r>
              <w:tab/>
            </w:r>
            <w:r>
              <w:rPr>
                <w:sz w:val="18"/>
              </w:rPr>
              <w:t>le finestre sono colorate di verde e presentano una trasmissione della luce minima del 60 %;</w:t>
            </w:r>
          </w:p>
          <w:p w:rsidR="001964F8" w:rsidRPr="00C903F8" w:rsidRDefault="001964F8" w:rsidP="00A8005B">
            <w:pPr>
              <w:spacing w:before="120" w:after="120" w:line="240" w:lineRule="atLeast"/>
              <w:ind w:left="317" w:hanging="317"/>
              <w:rPr>
                <w:rFonts w:cs="Arial"/>
                <w:sz w:val="18"/>
                <w:szCs w:val="18"/>
              </w:rPr>
            </w:pPr>
            <w:r>
              <w:rPr>
                <w:sz w:val="18"/>
              </w:rPr>
              <w:t>-</w:t>
            </w:r>
            <w:r>
              <w:tab/>
            </w:r>
            <w:r>
              <w:rPr>
                <w:sz w:val="18"/>
              </w:rPr>
              <w:t>il soffitto della timoneria è progettato in maniera tale da evitare riflessi sulle finestre;</w:t>
            </w:r>
          </w:p>
          <w:p w:rsidR="001964F8" w:rsidRPr="00C903F8" w:rsidRDefault="00903243" w:rsidP="00A8005B">
            <w:pPr>
              <w:spacing w:before="120" w:after="120" w:line="240" w:lineRule="atLeast"/>
              <w:ind w:left="317" w:hanging="317"/>
              <w:rPr>
                <w:rFonts w:cs="Arial"/>
                <w:sz w:val="18"/>
                <w:szCs w:val="18"/>
              </w:rPr>
            </w:pPr>
            <w:r>
              <w:rPr>
                <w:sz w:val="18"/>
              </w:rPr>
              <w:t>-</w:t>
            </w:r>
            <w:r>
              <w:tab/>
            </w:r>
            <w:r>
              <w:rPr>
                <w:sz w:val="18"/>
              </w:rPr>
              <w:t>le sorgenti di luce nella timoneria devono avere una luminosità regolabile in modo continuo o devono poter essere spente;</w:t>
            </w:r>
          </w:p>
          <w:p w:rsidR="001964F8" w:rsidRPr="00C903F8" w:rsidRDefault="001964F8" w:rsidP="00A8005B">
            <w:pPr>
              <w:spacing w:before="120" w:after="120" w:line="240" w:lineRule="atLeast"/>
              <w:ind w:left="317" w:hanging="317"/>
              <w:rPr>
                <w:rFonts w:cs="Arial"/>
                <w:sz w:val="18"/>
                <w:szCs w:val="18"/>
              </w:rPr>
            </w:pPr>
            <w:r>
              <w:rPr>
                <w:sz w:val="18"/>
              </w:rPr>
              <w:t>-</w:t>
            </w:r>
            <w:r>
              <w:tab/>
            </w:r>
            <w:r>
              <w:rPr>
                <w:sz w:val="18"/>
              </w:rPr>
              <w:t>sono state adottate tutte le misure ragionevoli per evitare altre riflessi.</w:t>
            </w:r>
          </w:p>
        </w:tc>
        <w:tc>
          <w:tcPr>
            <w:tcW w:w="1276" w:type="dxa"/>
            <w:shd w:val="clear" w:color="auto" w:fill="auto"/>
          </w:tcPr>
          <w:p w:rsidR="001964F8" w:rsidRPr="00C903F8" w:rsidRDefault="001964F8" w:rsidP="00A8005B">
            <w:pPr>
              <w:spacing w:before="120" w:after="120" w:line="240" w:lineRule="atLeast"/>
              <w:ind w:left="0" w:firstLine="0"/>
              <w:rPr>
                <w:rFonts w:cs="Arial"/>
                <w:sz w:val="18"/>
                <w:szCs w:val="18"/>
              </w:rPr>
            </w:pPr>
          </w:p>
        </w:tc>
      </w:tr>
      <w:tr w:rsidR="001964F8" w:rsidRPr="00C903F8" w:rsidTr="001964F8">
        <w:trPr>
          <w:cantSplit/>
          <w:jc w:val="center"/>
        </w:trPr>
        <w:tc>
          <w:tcPr>
            <w:tcW w:w="1342" w:type="dxa"/>
            <w:tcBorders>
              <w:top w:val="nil"/>
            </w:tcBorders>
            <w:shd w:val="clear" w:color="auto" w:fill="auto"/>
          </w:tcPr>
          <w:p w:rsidR="001964F8" w:rsidRPr="00C903F8" w:rsidRDefault="001964F8" w:rsidP="00A8005B">
            <w:pPr>
              <w:spacing w:before="160" w:after="16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paragrafo 6</w:t>
            </w:r>
          </w:p>
        </w:tc>
        <w:tc>
          <w:tcPr>
            <w:tcW w:w="329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Progettazione del vetro di sicurezza</w:t>
            </w:r>
          </w:p>
        </w:tc>
        <w:tc>
          <w:tcPr>
            <w:tcW w:w="6521" w:type="dxa"/>
            <w:shd w:val="clear" w:color="auto" w:fill="auto"/>
          </w:tcPr>
          <w:p w:rsidR="001964F8" w:rsidRPr="00C903F8" w:rsidRDefault="008761D9" w:rsidP="00A8005B">
            <w:pPr>
              <w:spacing w:before="160" w:after="160" w:line="240" w:lineRule="atLeast"/>
              <w:ind w:left="0" w:firstLine="0"/>
              <w:rPr>
                <w:rFonts w:cs="Arial"/>
                <w:sz w:val="18"/>
                <w:szCs w:val="18"/>
              </w:rPr>
            </w:pPr>
            <w:r>
              <w:rPr>
                <w:sz w:val="18"/>
              </w:rPr>
              <w:t>N.S.T</w:t>
            </w: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p>
        </w:tc>
      </w:tr>
      <w:tr w:rsidR="001964F8" w:rsidRPr="00A0619C" w:rsidTr="001964F8">
        <w:trPr>
          <w:cantSplit/>
          <w:jc w:val="center"/>
        </w:trPr>
        <w:tc>
          <w:tcPr>
            <w:tcW w:w="1342" w:type="dxa"/>
            <w:vMerge w:val="restart"/>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7.03</w:t>
            </w:r>
          </w:p>
        </w:tc>
        <w:tc>
          <w:tcPr>
            <w:tcW w:w="1458"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paragrafo 7</w:t>
            </w:r>
          </w:p>
        </w:tc>
        <w:tc>
          <w:tcPr>
            <w:tcW w:w="329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Disinserimento degli allarmi</w:t>
            </w:r>
          </w:p>
        </w:tc>
        <w:tc>
          <w:tcPr>
            <w:tcW w:w="6521" w:type="dxa"/>
            <w:shd w:val="clear" w:color="auto" w:fill="auto"/>
          </w:tcPr>
          <w:p w:rsidR="001964F8" w:rsidRPr="00C903F8" w:rsidRDefault="008761D9" w:rsidP="00A8005B">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p>
        </w:tc>
      </w:tr>
      <w:tr w:rsidR="001964F8" w:rsidRPr="00C903F8" w:rsidTr="001964F8">
        <w:trPr>
          <w:cantSplit/>
          <w:jc w:val="center"/>
        </w:trPr>
        <w:tc>
          <w:tcPr>
            <w:tcW w:w="1342" w:type="dxa"/>
            <w:vMerge/>
            <w:shd w:val="clear" w:color="auto" w:fill="auto"/>
          </w:tcPr>
          <w:p w:rsidR="001964F8" w:rsidRPr="00C903F8" w:rsidRDefault="001964F8" w:rsidP="00A8005B">
            <w:pPr>
              <w:spacing w:before="160" w:after="16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paragrafo 8</w:t>
            </w:r>
          </w:p>
        </w:tc>
        <w:tc>
          <w:tcPr>
            <w:tcW w:w="3296" w:type="dxa"/>
            <w:shd w:val="clear" w:color="auto" w:fill="auto"/>
          </w:tcPr>
          <w:p w:rsidR="001964F8" w:rsidRPr="00C903F8" w:rsidRDefault="006F55F5" w:rsidP="00A8005B">
            <w:pPr>
              <w:spacing w:before="160" w:after="160" w:line="240" w:lineRule="atLeast"/>
              <w:ind w:left="0" w:firstLine="0"/>
              <w:rPr>
                <w:rFonts w:cs="Arial"/>
                <w:sz w:val="18"/>
                <w:szCs w:val="18"/>
              </w:rPr>
            </w:pPr>
            <w:r>
              <w:rPr>
                <w:sz w:val="18"/>
              </w:rPr>
              <w:t>Collegamento automatico a un'altra fonte d'energia</w:t>
            </w:r>
          </w:p>
        </w:tc>
        <w:tc>
          <w:tcPr>
            <w:tcW w:w="6521" w:type="dxa"/>
            <w:shd w:val="clear" w:color="auto" w:fill="auto"/>
          </w:tcPr>
          <w:p w:rsidR="001964F8" w:rsidRPr="00C903F8" w:rsidRDefault="008761D9" w:rsidP="00A8005B">
            <w:pPr>
              <w:spacing w:before="160" w:after="1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30.12.2024</w:t>
            </w:r>
          </w:p>
        </w:tc>
      </w:tr>
      <w:tr w:rsidR="001964F8" w:rsidRPr="00A0619C" w:rsidTr="001964F8">
        <w:trPr>
          <w:cantSplit/>
          <w:jc w:val="center"/>
        </w:trPr>
        <w:tc>
          <w:tcPr>
            <w:tcW w:w="1342" w:type="dxa"/>
            <w:vMerge w:val="restart"/>
            <w:shd w:val="clear" w:color="auto" w:fill="auto"/>
          </w:tcPr>
          <w:p w:rsidR="001964F8" w:rsidRPr="00C903F8" w:rsidRDefault="001964F8" w:rsidP="00A8005B">
            <w:pPr>
              <w:spacing w:before="80" w:after="80" w:line="240" w:lineRule="atLeast"/>
              <w:ind w:left="0" w:firstLine="0"/>
              <w:rPr>
                <w:rFonts w:cs="Arial"/>
                <w:sz w:val="18"/>
                <w:szCs w:val="18"/>
              </w:rPr>
            </w:pPr>
            <w:r>
              <w:rPr>
                <w:sz w:val="18"/>
              </w:rPr>
              <w:t>7.04</w:t>
            </w:r>
          </w:p>
        </w:tc>
        <w:tc>
          <w:tcPr>
            <w:tcW w:w="1458" w:type="dxa"/>
            <w:shd w:val="clear" w:color="auto" w:fill="auto"/>
          </w:tcPr>
          <w:p w:rsidR="001964F8" w:rsidRPr="00C903F8" w:rsidRDefault="001964F8" w:rsidP="00A8005B">
            <w:pPr>
              <w:spacing w:before="80" w:after="80" w:line="240" w:lineRule="atLeast"/>
              <w:ind w:left="0" w:firstLine="0"/>
              <w:rPr>
                <w:rFonts w:cs="Arial"/>
                <w:sz w:val="18"/>
                <w:szCs w:val="18"/>
              </w:rPr>
            </w:pPr>
            <w:r>
              <w:rPr>
                <w:sz w:val="18"/>
              </w:rPr>
              <w:t>paragrafo 1</w:t>
            </w:r>
          </w:p>
        </w:tc>
        <w:tc>
          <w:tcPr>
            <w:tcW w:w="3296" w:type="dxa"/>
            <w:shd w:val="clear" w:color="auto" w:fill="auto"/>
          </w:tcPr>
          <w:p w:rsidR="001964F8" w:rsidRPr="00C903F8" w:rsidRDefault="001964F8" w:rsidP="00A8005B">
            <w:pPr>
              <w:spacing w:before="80" w:after="80" w:line="240" w:lineRule="atLeast"/>
              <w:ind w:left="0" w:firstLine="0"/>
              <w:rPr>
                <w:rFonts w:cs="Arial"/>
                <w:sz w:val="18"/>
                <w:szCs w:val="18"/>
              </w:rPr>
            </w:pPr>
            <w:r>
              <w:rPr>
                <w:sz w:val="18"/>
              </w:rPr>
              <w:t>Comando dei motori principali e degli apparati di governo</w:t>
            </w:r>
          </w:p>
        </w:tc>
        <w:tc>
          <w:tcPr>
            <w:tcW w:w="6521" w:type="dxa"/>
            <w:shd w:val="clear" w:color="auto" w:fill="auto"/>
          </w:tcPr>
          <w:p w:rsidR="001964F8" w:rsidRPr="00C903F8" w:rsidRDefault="008761D9" w:rsidP="00A8005B">
            <w:pPr>
              <w:spacing w:before="80" w:after="8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1964F8" w:rsidRPr="00C903F8" w:rsidRDefault="001964F8" w:rsidP="00A8005B">
            <w:pPr>
              <w:spacing w:before="80" w:after="80" w:line="240" w:lineRule="atLeast"/>
              <w:ind w:left="0" w:firstLine="0"/>
              <w:rPr>
                <w:rFonts w:cs="Arial"/>
                <w:sz w:val="18"/>
                <w:szCs w:val="18"/>
              </w:rPr>
            </w:pPr>
          </w:p>
        </w:tc>
      </w:tr>
      <w:tr w:rsidR="001964F8" w:rsidRPr="00034331" w:rsidTr="001964F8">
        <w:trPr>
          <w:cantSplit/>
          <w:jc w:val="center"/>
        </w:trPr>
        <w:tc>
          <w:tcPr>
            <w:tcW w:w="1342" w:type="dxa"/>
            <w:vMerge/>
            <w:shd w:val="clear" w:color="auto" w:fill="auto"/>
          </w:tcPr>
          <w:p w:rsidR="001964F8" w:rsidRPr="00C903F8" w:rsidRDefault="001964F8" w:rsidP="00A8005B">
            <w:pPr>
              <w:spacing w:before="80" w:after="8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80" w:after="80" w:line="240" w:lineRule="atLeast"/>
              <w:ind w:left="0" w:firstLine="0"/>
              <w:rPr>
                <w:rFonts w:cs="Arial"/>
                <w:sz w:val="18"/>
                <w:szCs w:val="18"/>
              </w:rPr>
            </w:pPr>
            <w:r>
              <w:rPr>
                <w:sz w:val="18"/>
              </w:rPr>
              <w:t>paragrafo 2</w:t>
            </w:r>
          </w:p>
        </w:tc>
        <w:tc>
          <w:tcPr>
            <w:tcW w:w="3296" w:type="dxa"/>
            <w:shd w:val="clear" w:color="auto" w:fill="auto"/>
          </w:tcPr>
          <w:p w:rsidR="001964F8" w:rsidRPr="00C903F8" w:rsidRDefault="001964F8" w:rsidP="00A8005B">
            <w:pPr>
              <w:spacing w:before="80" w:after="80" w:line="240" w:lineRule="atLeast"/>
              <w:ind w:left="0" w:firstLine="0"/>
              <w:rPr>
                <w:rFonts w:cs="Arial"/>
                <w:sz w:val="18"/>
                <w:szCs w:val="18"/>
              </w:rPr>
            </w:pPr>
            <w:r>
              <w:rPr>
                <w:noProof/>
                <w:sz w:val="18"/>
              </w:rPr>
              <w:t>Comando di ciascun motore principale</w:t>
            </w:r>
          </w:p>
        </w:tc>
        <w:tc>
          <w:tcPr>
            <w:tcW w:w="6521" w:type="dxa"/>
            <w:shd w:val="clear" w:color="auto" w:fill="auto"/>
          </w:tcPr>
          <w:p w:rsidR="001964F8" w:rsidRPr="00C903F8" w:rsidRDefault="001964F8" w:rsidP="00A8005B">
            <w:pPr>
              <w:spacing w:before="80" w:after="80" w:line="240" w:lineRule="atLeast"/>
              <w:ind w:left="0" w:firstLine="0"/>
              <w:rPr>
                <w:rFonts w:cs="Arial"/>
                <w:sz w:val="18"/>
                <w:szCs w:val="18"/>
              </w:rPr>
            </w:pPr>
            <w:r>
              <w:rPr>
                <w:noProof/>
                <w:sz w:val="18"/>
              </w:rPr>
              <w:t>Salvo nelle timonerie attrezzate per la navigazione con radar da parte di una sola persona: N.S.T., al più tardi alla data del rinnovo del certificato per la navigazione interna posteriormente al</w:t>
            </w:r>
          </w:p>
        </w:tc>
        <w:tc>
          <w:tcPr>
            <w:tcW w:w="1276" w:type="dxa"/>
            <w:shd w:val="clear" w:color="auto" w:fill="auto"/>
          </w:tcPr>
          <w:p w:rsidR="00034331" w:rsidRPr="00034331" w:rsidRDefault="00034331" w:rsidP="00A8005B">
            <w:pPr>
              <w:spacing w:before="80" w:after="80" w:line="240" w:lineRule="atLeast"/>
              <w:ind w:left="0" w:firstLine="0"/>
              <w:jc w:val="left"/>
              <w:rPr>
                <w:rFonts w:cs="Arial"/>
                <w:sz w:val="18"/>
                <w:szCs w:val="18"/>
              </w:rPr>
            </w:pPr>
            <w:r>
              <w:rPr>
                <w:sz w:val="18"/>
              </w:rPr>
              <w:t>30.12.2049</w:t>
            </w:r>
          </w:p>
          <w:p w:rsidR="00034331" w:rsidRPr="00034331" w:rsidRDefault="00034331" w:rsidP="00A8005B">
            <w:pPr>
              <w:spacing w:before="80" w:after="80" w:line="240" w:lineRule="atLeast"/>
              <w:ind w:left="0" w:firstLine="0"/>
              <w:jc w:val="left"/>
              <w:rPr>
                <w:rFonts w:cs="Arial"/>
                <w:sz w:val="18"/>
                <w:szCs w:val="18"/>
              </w:rPr>
            </w:pPr>
            <w:r>
              <w:rPr>
                <w:sz w:val="18"/>
              </w:rPr>
              <w:t>se il senso di marcia può essere ottenuto direttamente</w:t>
            </w:r>
          </w:p>
          <w:p w:rsidR="00034331" w:rsidRPr="00034331" w:rsidRDefault="00034331" w:rsidP="00A8005B">
            <w:pPr>
              <w:spacing w:before="80" w:after="80" w:line="240" w:lineRule="atLeast"/>
              <w:ind w:left="0" w:firstLine="0"/>
              <w:jc w:val="left"/>
              <w:rPr>
                <w:rFonts w:cs="Arial"/>
                <w:sz w:val="18"/>
                <w:szCs w:val="18"/>
              </w:rPr>
            </w:pPr>
            <w:r>
              <w:rPr>
                <w:sz w:val="18"/>
              </w:rPr>
              <w:t xml:space="preserve">30.12.2024 </w:t>
            </w:r>
          </w:p>
          <w:p w:rsidR="001964F8" w:rsidRPr="00034331" w:rsidRDefault="00034331" w:rsidP="00A8005B">
            <w:pPr>
              <w:spacing w:before="80" w:after="80" w:line="240" w:lineRule="atLeast"/>
              <w:ind w:left="0" w:firstLine="0"/>
              <w:jc w:val="left"/>
              <w:rPr>
                <w:rFonts w:cs="Arial"/>
                <w:sz w:val="18"/>
                <w:szCs w:val="18"/>
              </w:rPr>
            </w:pPr>
            <w:r>
              <w:rPr>
                <w:sz w:val="18"/>
              </w:rPr>
              <w:t>per altri motori.</w:t>
            </w:r>
          </w:p>
        </w:tc>
      </w:tr>
      <w:tr w:rsidR="001964F8" w:rsidRPr="00C903F8" w:rsidTr="001964F8">
        <w:trPr>
          <w:cantSplit/>
          <w:jc w:val="center"/>
        </w:trPr>
        <w:tc>
          <w:tcPr>
            <w:tcW w:w="1342" w:type="dxa"/>
            <w:vMerge/>
            <w:shd w:val="clear" w:color="auto" w:fill="auto"/>
          </w:tcPr>
          <w:p w:rsidR="001964F8" w:rsidRPr="00034331" w:rsidRDefault="001964F8" w:rsidP="00A8005B">
            <w:pPr>
              <w:spacing w:before="120" w:after="120" w:line="240" w:lineRule="atLeast"/>
              <w:ind w:left="0" w:firstLine="0"/>
              <w:rPr>
                <w:rFonts w:cs="Arial"/>
                <w:sz w:val="18"/>
                <w:szCs w:val="18"/>
              </w:rPr>
            </w:pPr>
          </w:p>
        </w:tc>
        <w:tc>
          <w:tcPr>
            <w:tcW w:w="1458" w:type="dxa"/>
            <w:shd w:val="clear" w:color="auto" w:fill="auto"/>
          </w:tcPr>
          <w:p w:rsidR="001964F8" w:rsidRPr="00034331" w:rsidRDefault="001964F8" w:rsidP="00A8005B">
            <w:pPr>
              <w:spacing w:before="120" w:after="120" w:line="240" w:lineRule="atLeast"/>
              <w:ind w:left="0" w:firstLine="0"/>
              <w:rPr>
                <w:rFonts w:cs="Arial"/>
                <w:sz w:val="18"/>
                <w:szCs w:val="18"/>
              </w:rPr>
            </w:pPr>
            <w:r>
              <w:rPr>
                <w:sz w:val="18"/>
              </w:rPr>
              <w:t>paragrafo 3</w:t>
            </w:r>
          </w:p>
        </w:tc>
        <w:tc>
          <w:tcPr>
            <w:tcW w:w="3296" w:type="dxa"/>
            <w:shd w:val="clear" w:color="auto" w:fill="auto"/>
          </w:tcPr>
          <w:p w:rsidR="001964F8" w:rsidRPr="00034331" w:rsidRDefault="001964F8" w:rsidP="00A8005B">
            <w:pPr>
              <w:spacing w:before="120" w:after="120" w:line="240" w:lineRule="atLeast"/>
              <w:ind w:left="0" w:firstLine="0"/>
              <w:rPr>
                <w:rFonts w:cs="Arial"/>
                <w:sz w:val="18"/>
                <w:szCs w:val="18"/>
              </w:rPr>
            </w:pPr>
            <w:r>
              <w:rPr>
                <w:noProof/>
                <w:sz w:val="18"/>
              </w:rPr>
              <w:t>Schermo</w:t>
            </w:r>
          </w:p>
        </w:tc>
        <w:tc>
          <w:tcPr>
            <w:tcW w:w="6521" w:type="dxa"/>
            <w:shd w:val="clear" w:color="auto" w:fill="auto"/>
          </w:tcPr>
          <w:p w:rsidR="001964F8" w:rsidRPr="00C903F8" w:rsidRDefault="001964F8" w:rsidP="00A8005B">
            <w:pPr>
              <w:spacing w:before="120" w:after="120" w:line="240" w:lineRule="atLeast"/>
              <w:ind w:left="0" w:firstLine="0"/>
              <w:rPr>
                <w:rFonts w:cs="Arial"/>
                <w:noProof/>
                <w:sz w:val="18"/>
                <w:szCs w:val="18"/>
              </w:rPr>
            </w:pPr>
            <w:r>
              <w:rPr>
                <w:noProof/>
                <w:sz w:val="18"/>
              </w:rPr>
              <w:t>Salvo nelle timonerie attrezzate per la navigazione con radar da parte di una sola persona: N.S.T., al più tardi alla data del rinnovo del certificato per la navigazione interna posteriormente al</w:t>
            </w:r>
          </w:p>
        </w:tc>
        <w:tc>
          <w:tcPr>
            <w:tcW w:w="1276" w:type="dxa"/>
            <w:shd w:val="clear" w:color="auto" w:fill="auto"/>
          </w:tcPr>
          <w:p w:rsidR="001964F8" w:rsidRPr="00C903F8" w:rsidRDefault="001964F8" w:rsidP="00A8005B">
            <w:pPr>
              <w:spacing w:before="120" w:after="120" w:line="240" w:lineRule="atLeast"/>
              <w:ind w:left="0" w:firstLine="0"/>
              <w:rPr>
                <w:rFonts w:cs="Arial"/>
                <w:sz w:val="18"/>
                <w:szCs w:val="18"/>
              </w:rPr>
            </w:pPr>
            <w:r>
              <w:rPr>
                <w:sz w:val="18"/>
              </w:rPr>
              <w:t>30.12.2024</w:t>
            </w:r>
          </w:p>
        </w:tc>
      </w:tr>
      <w:tr w:rsidR="001964F8" w:rsidRPr="00C903F8" w:rsidTr="001964F8">
        <w:trPr>
          <w:cantSplit/>
          <w:jc w:val="center"/>
        </w:trPr>
        <w:tc>
          <w:tcPr>
            <w:tcW w:w="1342" w:type="dxa"/>
            <w:vMerge/>
            <w:shd w:val="clear" w:color="auto" w:fill="auto"/>
          </w:tcPr>
          <w:p w:rsidR="001964F8" w:rsidRPr="00C903F8" w:rsidRDefault="001964F8" w:rsidP="00A8005B">
            <w:pPr>
              <w:spacing w:before="60" w:after="6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60" w:after="60" w:line="240" w:lineRule="atLeast"/>
              <w:ind w:left="0" w:firstLine="0"/>
              <w:jc w:val="left"/>
              <w:rPr>
                <w:rFonts w:cs="Arial"/>
                <w:sz w:val="18"/>
                <w:szCs w:val="18"/>
              </w:rPr>
            </w:pPr>
            <w:r>
              <w:rPr>
                <w:sz w:val="18"/>
              </w:rPr>
              <w:t>paragrafo 9, terza frase</w:t>
            </w:r>
          </w:p>
        </w:tc>
        <w:tc>
          <w:tcPr>
            <w:tcW w:w="3296" w:type="dxa"/>
            <w:shd w:val="clear" w:color="auto" w:fill="auto"/>
          </w:tcPr>
          <w:p w:rsidR="001964F8" w:rsidRPr="00C903F8" w:rsidRDefault="001964F8" w:rsidP="00A8005B">
            <w:pPr>
              <w:spacing w:before="60" w:after="60" w:line="240" w:lineRule="atLeast"/>
              <w:ind w:left="0" w:firstLine="0"/>
              <w:rPr>
                <w:rFonts w:cs="Arial"/>
                <w:sz w:val="18"/>
                <w:szCs w:val="18"/>
              </w:rPr>
            </w:pPr>
            <w:r>
              <w:rPr>
                <w:noProof/>
                <w:sz w:val="18"/>
              </w:rPr>
              <w:t>Controllo tramite leva</w:t>
            </w:r>
          </w:p>
        </w:tc>
        <w:tc>
          <w:tcPr>
            <w:tcW w:w="6521" w:type="dxa"/>
            <w:shd w:val="clear" w:color="auto" w:fill="auto"/>
          </w:tcPr>
          <w:p w:rsidR="001964F8" w:rsidRPr="00C903F8" w:rsidRDefault="008761D9" w:rsidP="00A8005B">
            <w:pPr>
              <w:spacing w:before="60" w:after="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30.12.2024</w:t>
            </w:r>
          </w:p>
        </w:tc>
      </w:tr>
      <w:tr w:rsidR="001964F8" w:rsidRPr="00C903F8" w:rsidTr="001964F8">
        <w:trPr>
          <w:cantSplit/>
          <w:jc w:val="center"/>
        </w:trPr>
        <w:tc>
          <w:tcPr>
            <w:tcW w:w="1342" w:type="dxa"/>
            <w:vMerge/>
            <w:shd w:val="clear" w:color="auto" w:fill="auto"/>
          </w:tcPr>
          <w:p w:rsidR="001964F8" w:rsidRPr="00C903F8" w:rsidRDefault="001964F8" w:rsidP="00A8005B">
            <w:pPr>
              <w:spacing w:before="60" w:after="6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60" w:after="60" w:line="240" w:lineRule="atLeast"/>
              <w:ind w:left="0" w:firstLine="0"/>
              <w:jc w:val="left"/>
              <w:rPr>
                <w:rFonts w:cs="Arial"/>
                <w:sz w:val="18"/>
                <w:szCs w:val="18"/>
              </w:rPr>
            </w:pPr>
            <w:r>
              <w:rPr>
                <w:sz w:val="18"/>
              </w:rPr>
              <w:t>paragrafo 9, quarta frase</w:t>
            </w:r>
          </w:p>
        </w:tc>
        <w:tc>
          <w:tcPr>
            <w:tcW w:w="3296" w:type="dxa"/>
            <w:shd w:val="clear" w:color="auto" w:fill="auto"/>
          </w:tcPr>
          <w:p w:rsidR="001964F8" w:rsidRPr="00C903F8" w:rsidRDefault="001964F8" w:rsidP="00A8005B">
            <w:pPr>
              <w:spacing w:before="60" w:after="60" w:line="240" w:lineRule="atLeast"/>
              <w:ind w:left="0" w:firstLine="0"/>
              <w:rPr>
                <w:rFonts w:cs="Arial"/>
                <w:sz w:val="18"/>
                <w:szCs w:val="18"/>
              </w:rPr>
            </w:pPr>
            <w:r>
              <w:rPr>
                <w:noProof/>
                <w:sz w:val="18"/>
              </w:rPr>
              <w:t>Chiara indicazione della direzione della spinta</w:t>
            </w:r>
          </w:p>
        </w:tc>
        <w:tc>
          <w:tcPr>
            <w:tcW w:w="6521" w:type="dxa"/>
            <w:shd w:val="clear" w:color="auto" w:fill="auto"/>
          </w:tcPr>
          <w:p w:rsidR="001964F8" w:rsidRPr="00C903F8" w:rsidRDefault="008761D9" w:rsidP="00A8005B">
            <w:pPr>
              <w:spacing w:before="60" w:after="6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60" w:after="60" w:line="240" w:lineRule="atLeast"/>
              <w:ind w:left="0" w:firstLine="0"/>
              <w:rPr>
                <w:rFonts w:cs="Arial"/>
                <w:sz w:val="18"/>
                <w:szCs w:val="18"/>
              </w:rPr>
            </w:pPr>
            <w:r>
              <w:rPr>
                <w:sz w:val="18"/>
              </w:rPr>
              <w:t>30.12.2024</w:t>
            </w:r>
          </w:p>
        </w:tc>
      </w:tr>
      <w:tr w:rsidR="00B90A00" w:rsidRPr="00A0619C" w:rsidTr="001964F8">
        <w:trPr>
          <w:cantSplit/>
          <w:jc w:val="center"/>
        </w:trPr>
        <w:tc>
          <w:tcPr>
            <w:tcW w:w="1342" w:type="dxa"/>
            <w:tcBorders>
              <w:bottom w:val="single" w:sz="4" w:space="0" w:color="auto"/>
            </w:tcBorders>
            <w:shd w:val="clear" w:color="auto" w:fill="auto"/>
          </w:tcPr>
          <w:p w:rsidR="00B90A00" w:rsidRPr="00DE735E" w:rsidRDefault="00B90A00" w:rsidP="00A8005B">
            <w:pPr>
              <w:spacing w:before="60" w:after="60" w:line="240" w:lineRule="atLeast"/>
              <w:rPr>
                <w:rFonts w:cs="Arial"/>
                <w:sz w:val="18"/>
                <w:szCs w:val="18"/>
              </w:rPr>
            </w:pPr>
            <w:r>
              <w:rPr>
                <w:sz w:val="18"/>
              </w:rPr>
              <w:t>7.05</w:t>
            </w:r>
          </w:p>
        </w:tc>
        <w:tc>
          <w:tcPr>
            <w:tcW w:w="1458" w:type="dxa"/>
            <w:tcBorders>
              <w:bottom w:val="single" w:sz="4" w:space="0" w:color="auto"/>
            </w:tcBorders>
            <w:shd w:val="clear" w:color="auto" w:fill="auto"/>
          </w:tcPr>
          <w:p w:rsidR="00B90A00" w:rsidRPr="00DE735E" w:rsidRDefault="00B90A00" w:rsidP="00A8005B">
            <w:pPr>
              <w:spacing w:before="60" w:after="60" w:line="240" w:lineRule="atLeast"/>
              <w:rPr>
                <w:rFonts w:cs="Arial"/>
                <w:sz w:val="18"/>
                <w:szCs w:val="18"/>
              </w:rPr>
            </w:pPr>
            <w:r>
              <w:rPr>
                <w:sz w:val="18"/>
              </w:rPr>
              <w:t>paragrafo 1</w:t>
            </w:r>
          </w:p>
        </w:tc>
        <w:tc>
          <w:tcPr>
            <w:tcW w:w="3296" w:type="dxa"/>
            <w:tcBorders>
              <w:bottom w:val="single" w:sz="4" w:space="0" w:color="auto"/>
            </w:tcBorders>
            <w:shd w:val="clear" w:color="auto" w:fill="auto"/>
          </w:tcPr>
          <w:p w:rsidR="00B90A00" w:rsidRPr="00B90A00" w:rsidRDefault="00B90A00" w:rsidP="00A8005B">
            <w:pPr>
              <w:spacing w:before="60" w:after="60" w:line="240" w:lineRule="atLeast"/>
              <w:ind w:left="0" w:firstLine="0"/>
              <w:rPr>
                <w:rFonts w:cs="Arial"/>
                <w:sz w:val="18"/>
                <w:szCs w:val="18"/>
              </w:rPr>
            </w:pPr>
            <w:r>
              <w:rPr>
                <w:noProof/>
                <w:sz w:val="18"/>
              </w:rPr>
              <w:t>Luci di navigazione, loro alloggiamenti, accessori e sorgenti luminose</w:t>
            </w:r>
          </w:p>
        </w:tc>
        <w:tc>
          <w:tcPr>
            <w:tcW w:w="6521" w:type="dxa"/>
            <w:shd w:val="clear" w:color="auto" w:fill="auto"/>
          </w:tcPr>
          <w:p w:rsidR="00B90A00" w:rsidRPr="00DE735E" w:rsidRDefault="00B90A00" w:rsidP="00A8005B">
            <w:pPr>
              <w:spacing w:before="60" w:after="60" w:line="240" w:lineRule="atLeast"/>
              <w:rPr>
                <w:rFonts w:cs="Arial"/>
                <w:sz w:val="18"/>
                <w:szCs w:val="18"/>
              </w:rPr>
            </w:pPr>
            <w:r>
              <w:rPr>
                <w:sz w:val="18"/>
              </w:rPr>
              <w:t xml:space="preserve">Luci di navigazione, loro alloggiamenti, accessori e sorgenti luminose che soddisfano </w:t>
            </w:r>
          </w:p>
          <w:p w:rsidR="00B90A00" w:rsidRPr="00DE735E" w:rsidRDefault="00B90A00" w:rsidP="00A8005B">
            <w:pPr>
              <w:spacing w:before="60" w:after="60" w:line="240" w:lineRule="atLeast"/>
              <w:ind w:left="317" w:hanging="317"/>
              <w:rPr>
                <w:rFonts w:cs="Arial"/>
                <w:sz w:val="18"/>
                <w:szCs w:val="18"/>
              </w:rPr>
            </w:pPr>
            <w:r>
              <w:rPr>
                <w:sz w:val="18"/>
              </w:rPr>
              <w:t>-</w:t>
            </w:r>
            <w:r>
              <w:tab/>
            </w:r>
            <w:r>
              <w:rPr>
                <w:sz w:val="18"/>
              </w:rPr>
              <w:t>possono comunque essere usati i requisiti relativi al colore e all'intensità luminosa delle luci di bordo e relativi all'ammissione di luci di navigazione per la navigazione sul Reno, a partire dal 30 novembre 2009;</w:t>
            </w:r>
          </w:p>
          <w:p w:rsidR="00B90A00" w:rsidRPr="000A7F57" w:rsidRDefault="00B90A00" w:rsidP="00A8005B">
            <w:pPr>
              <w:spacing w:before="60" w:after="60" w:line="240" w:lineRule="atLeast"/>
              <w:ind w:left="317" w:hanging="317"/>
              <w:rPr>
                <w:rFonts w:cs="Arial"/>
                <w:sz w:val="18"/>
                <w:szCs w:val="18"/>
              </w:rPr>
            </w:pPr>
            <w:r>
              <w:rPr>
                <w:sz w:val="18"/>
              </w:rPr>
              <w:t>-</w:t>
            </w:r>
            <w:r>
              <w:tab/>
            </w:r>
            <w:r>
              <w:rPr>
                <w:sz w:val="18"/>
              </w:rPr>
              <w:t>i corrispondenti requisiti di uno Stato membro a partire dal 30 novembre 2009 possono comunque essere usati;</w:t>
            </w:r>
          </w:p>
        </w:tc>
        <w:tc>
          <w:tcPr>
            <w:tcW w:w="1276" w:type="dxa"/>
            <w:shd w:val="clear" w:color="auto" w:fill="auto"/>
          </w:tcPr>
          <w:p w:rsidR="00B90A00" w:rsidRPr="00B90A00" w:rsidRDefault="00B90A00" w:rsidP="00A8005B">
            <w:pPr>
              <w:spacing w:before="60" w:after="60" w:line="240" w:lineRule="atLeast"/>
              <w:rPr>
                <w:rFonts w:cs="Arial"/>
                <w:sz w:val="18"/>
                <w:szCs w:val="18"/>
              </w:rPr>
            </w:pPr>
          </w:p>
        </w:tc>
      </w:tr>
      <w:tr w:rsidR="00B90A00" w:rsidRPr="00C903F8" w:rsidTr="00AB6D23">
        <w:trPr>
          <w:cantSplit/>
          <w:jc w:val="center"/>
        </w:trPr>
        <w:tc>
          <w:tcPr>
            <w:tcW w:w="1342" w:type="dxa"/>
            <w:tcBorders>
              <w:bottom w:val="nil"/>
            </w:tcBorders>
            <w:shd w:val="clear" w:color="auto" w:fill="auto"/>
          </w:tcPr>
          <w:p w:rsidR="00B90A00" w:rsidRPr="00C903F8" w:rsidRDefault="00B90A00" w:rsidP="00A8005B">
            <w:pPr>
              <w:spacing w:before="60" w:after="60" w:line="240" w:lineRule="atLeast"/>
              <w:ind w:left="0" w:firstLine="0"/>
              <w:rPr>
                <w:rFonts w:cs="Arial"/>
                <w:sz w:val="18"/>
                <w:szCs w:val="18"/>
              </w:rPr>
            </w:pPr>
            <w:r>
              <w:rPr>
                <w:sz w:val="18"/>
              </w:rPr>
              <w:t>7.06</w:t>
            </w:r>
          </w:p>
        </w:tc>
        <w:tc>
          <w:tcPr>
            <w:tcW w:w="1458" w:type="dxa"/>
            <w:vMerge w:val="restart"/>
            <w:shd w:val="clear" w:color="auto" w:fill="auto"/>
          </w:tcPr>
          <w:p w:rsidR="00B90A00" w:rsidRPr="00DE735E" w:rsidRDefault="00B90A00" w:rsidP="00A8005B">
            <w:pPr>
              <w:spacing w:before="60" w:after="60" w:line="240" w:lineRule="atLeast"/>
              <w:rPr>
                <w:rFonts w:cs="Arial"/>
                <w:sz w:val="18"/>
                <w:szCs w:val="18"/>
              </w:rPr>
            </w:pPr>
            <w:r>
              <w:rPr>
                <w:sz w:val="18"/>
              </w:rPr>
              <w:t>paragrafo 1</w:t>
            </w:r>
          </w:p>
        </w:tc>
        <w:tc>
          <w:tcPr>
            <w:tcW w:w="3296" w:type="dxa"/>
            <w:vMerge w:val="restart"/>
            <w:shd w:val="clear" w:color="auto" w:fill="auto"/>
          </w:tcPr>
          <w:p w:rsidR="00B90A00" w:rsidRPr="00B90A00" w:rsidRDefault="00B90A00" w:rsidP="00A8005B">
            <w:pPr>
              <w:adjustRightInd w:val="0"/>
              <w:spacing w:before="60" w:after="60" w:line="240" w:lineRule="atLeast"/>
              <w:ind w:left="0" w:firstLine="0"/>
              <w:rPr>
                <w:rFonts w:cs="Arial"/>
                <w:sz w:val="18"/>
                <w:szCs w:val="18"/>
              </w:rPr>
            </w:pPr>
            <w:r>
              <w:rPr>
                <w:noProof/>
                <w:sz w:val="18"/>
              </w:rPr>
              <w:t>Impianti di navigazione radar e indicatori della velocità di accostata autorizzati prima del 31 dicembre 2012</w:t>
            </w:r>
          </w:p>
        </w:tc>
        <w:tc>
          <w:tcPr>
            <w:tcW w:w="6521" w:type="dxa"/>
            <w:shd w:val="clear" w:color="auto" w:fill="auto"/>
          </w:tcPr>
          <w:p w:rsidR="00B90A00" w:rsidRPr="00B90A00" w:rsidRDefault="00B90A00" w:rsidP="00A8005B">
            <w:pPr>
              <w:adjustRightInd w:val="0"/>
              <w:spacing w:before="60" w:after="60" w:line="240" w:lineRule="atLeast"/>
              <w:ind w:left="0" w:firstLine="0"/>
              <w:rPr>
                <w:rFonts w:cs="Arial"/>
                <w:sz w:val="18"/>
                <w:szCs w:val="18"/>
              </w:rPr>
            </w:pPr>
            <w:r>
              <w:rPr>
                <w:noProof/>
                <w:sz w:val="18"/>
              </w:rPr>
              <w:t>Gli impianti di navigazione radar e gli indicatori della velocità di accostata che sono stati autorizzati e installati ai sensi delle norme di uno Stato membro anteriormente al 31 dicembre 2012 possono continuare ad essere mantenuti e utilizzati fino al rinnovo del certificato per la navigazione interna successivamente al</w:t>
            </w:r>
          </w:p>
        </w:tc>
        <w:tc>
          <w:tcPr>
            <w:tcW w:w="1276" w:type="dxa"/>
            <w:shd w:val="clear" w:color="auto" w:fill="auto"/>
          </w:tcPr>
          <w:p w:rsidR="00B90A00" w:rsidRPr="00C903F8" w:rsidRDefault="00B90A00" w:rsidP="00A8005B">
            <w:pPr>
              <w:spacing w:before="60" w:after="60" w:line="240" w:lineRule="atLeast"/>
              <w:ind w:left="0" w:firstLine="0"/>
              <w:rPr>
                <w:rFonts w:cs="Arial"/>
                <w:sz w:val="18"/>
                <w:szCs w:val="18"/>
              </w:rPr>
            </w:pPr>
            <w:r>
              <w:rPr>
                <w:sz w:val="18"/>
              </w:rPr>
              <w:t>31.12.2018</w:t>
            </w:r>
          </w:p>
        </w:tc>
      </w:tr>
      <w:tr w:rsidR="00B90A00" w:rsidRPr="00A0619C" w:rsidTr="00AB6D23">
        <w:trPr>
          <w:cantSplit/>
          <w:jc w:val="center"/>
        </w:trPr>
        <w:tc>
          <w:tcPr>
            <w:tcW w:w="1342" w:type="dxa"/>
            <w:tcBorders>
              <w:top w:val="nil"/>
              <w:bottom w:val="nil"/>
            </w:tcBorders>
            <w:shd w:val="clear" w:color="auto" w:fill="auto"/>
          </w:tcPr>
          <w:p w:rsidR="00B90A00" w:rsidRPr="00C903F8" w:rsidRDefault="00B90A00" w:rsidP="00A8005B">
            <w:pPr>
              <w:spacing w:before="60" w:after="60" w:line="240" w:lineRule="atLeast"/>
              <w:ind w:left="0" w:firstLine="0"/>
              <w:rPr>
                <w:rFonts w:cs="Arial"/>
                <w:sz w:val="18"/>
                <w:szCs w:val="18"/>
              </w:rPr>
            </w:pPr>
          </w:p>
        </w:tc>
        <w:tc>
          <w:tcPr>
            <w:tcW w:w="1458" w:type="dxa"/>
            <w:vMerge/>
            <w:shd w:val="clear" w:color="auto" w:fill="auto"/>
          </w:tcPr>
          <w:p w:rsidR="00B90A00" w:rsidRPr="00C903F8" w:rsidRDefault="00B90A00" w:rsidP="00A8005B">
            <w:pPr>
              <w:spacing w:before="60" w:after="60" w:line="240" w:lineRule="atLeast"/>
              <w:ind w:left="0" w:firstLine="0"/>
              <w:rPr>
                <w:rFonts w:cs="Arial"/>
                <w:sz w:val="18"/>
                <w:szCs w:val="18"/>
              </w:rPr>
            </w:pPr>
          </w:p>
        </w:tc>
        <w:tc>
          <w:tcPr>
            <w:tcW w:w="3296" w:type="dxa"/>
            <w:vMerge/>
            <w:shd w:val="clear" w:color="auto" w:fill="auto"/>
          </w:tcPr>
          <w:p w:rsidR="00B90A00" w:rsidRPr="00C903F8" w:rsidRDefault="00B90A00" w:rsidP="00A8005B">
            <w:pPr>
              <w:spacing w:before="60" w:after="60" w:line="240" w:lineRule="atLeast"/>
              <w:ind w:left="0" w:firstLine="0"/>
              <w:rPr>
                <w:rFonts w:cs="Arial"/>
                <w:sz w:val="18"/>
                <w:szCs w:val="18"/>
              </w:rPr>
            </w:pPr>
          </w:p>
        </w:tc>
        <w:tc>
          <w:tcPr>
            <w:tcW w:w="6521" w:type="dxa"/>
            <w:shd w:val="clear" w:color="auto" w:fill="auto"/>
          </w:tcPr>
          <w:p w:rsidR="00B90A00" w:rsidRPr="00C903F8" w:rsidRDefault="00B90A00" w:rsidP="00A8005B">
            <w:pPr>
              <w:spacing w:before="60" w:after="60" w:line="240" w:lineRule="atLeast"/>
              <w:ind w:left="0" w:firstLine="0"/>
              <w:rPr>
                <w:rFonts w:cs="Arial"/>
                <w:sz w:val="18"/>
                <w:szCs w:val="18"/>
              </w:rPr>
            </w:pPr>
            <w:r>
              <w:rPr>
                <w:noProof/>
                <w:sz w:val="18"/>
              </w:rPr>
              <w:t>Questi sistemi devono essere annotati nella rubrica 52 del certificato per la navigazione interna.</w:t>
            </w:r>
          </w:p>
        </w:tc>
        <w:tc>
          <w:tcPr>
            <w:tcW w:w="1276" w:type="dxa"/>
            <w:shd w:val="clear" w:color="auto" w:fill="auto"/>
          </w:tcPr>
          <w:p w:rsidR="00B90A00" w:rsidRPr="00C903F8" w:rsidRDefault="00B90A00" w:rsidP="00A8005B">
            <w:pPr>
              <w:spacing w:before="60" w:after="60" w:line="240" w:lineRule="atLeast"/>
              <w:ind w:left="0" w:firstLine="0"/>
              <w:rPr>
                <w:rFonts w:cs="Arial"/>
                <w:sz w:val="18"/>
                <w:szCs w:val="18"/>
              </w:rPr>
            </w:pPr>
          </w:p>
        </w:tc>
      </w:tr>
      <w:tr w:rsidR="00B90A00" w:rsidRPr="00A0619C" w:rsidTr="00AB6D23">
        <w:trPr>
          <w:cantSplit/>
          <w:jc w:val="center"/>
        </w:trPr>
        <w:tc>
          <w:tcPr>
            <w:tcW w:w="1342" w:type="dxa"/>
            <w:tcBorders>
              <w:top w:val="nil"/>
              <w:bottom w:val="nil"/>
            </w:tcBorders>
            <w:shd w:val="clear" w:color="auto" w:fill="auto"/>
          </w:tcPr>
          <w:p w:rsidR="00B90A00" w:rsidRPr="00C903F8" w:rsidRDefault="00B90A00" w:rsidP="00A8005B">
            <w:pPr>
              <w:spacing w:before="60" w:after="60" w:line="240" w:lineRule="atLeast"/>
              <w:ind w:left="0" w:firstLine="0"/>
              <w:rPr>
                <w:rFonts w:cs="Arial"/>
                <w:sz w:val="18"/>
                <w:szCs w:val="18"/>
              </w:rPr>
            </w:pPr>
          </w:p>
        </w:tc>
        <w:tc>
          <w:tcPr>
            <w:tcW w:w="1458" w:type="dxa"/>
            <w:vMerge/>
            <w:shd w:val="clear" w:color="auto" w:fill="auto"/>
          </w:tcPr>
          <w:p w:rsidR="00B90A00" w:rsidRPr="00C903F8" w:rsidRDefault="00B90A00" w:rsidP="00A8005B">
            <w:pPr>
              <w:spacing w:before="60" w:after="60" w:line="240" w:lineRule="atLeast"/>
              <w:ind w:left="0" w:firstLine="0"/>
              <w:rPr>
                <w:rFonts w:cs="Arial"/>
                <w:sz w:val="18"/>
                <w:szCs w:val="18"/>
              </w:rPr>
            </w:pPr>
          </w:p>
        </w:tc>
        <w:tc>
          <w:tcPr>
            <w:tcW w:w="3296" w:type="dxa"/>
            <w:shd w:val="clear" w:color="auto" w:fill="auto"/>
          </w:tcPr>
          <w:p w:rsidR="00B90A00" w:rsidRPr="00C903F8" w:rsidRDefault="00B90A00" w:rsidP="00A8005B">
            <w:pPr>
              <w:spacing w:before="60" w:after="60" w:line="240" w:lineRule="atLeast"/>
              <w:ind w:left="0" w:firstLine="0"/>
              <w:rPr>
                <w:rFonts w:cs="Arial"/>
                <w:sz w:val="18"/>
                <w:szCs w:val="18"/>
              </w:rPr>
            </w:pPr>
            <w:r>
              <w:rPr>
                <w:noProof/>
                <w:sz w:val="18"/>
              </w:rPr>
              <w:t>Impianti di navigazione radar e indicatori della velocità di accostata autorizzati dopo il 1° gennaio 1990</w:t>
            </w:r>
          </w:p>
        </w:tc>
        <w:tc>
          <w:tcPr>
            <w:tcW w:w="6521" w:type="dxa"/>
            <w:shd w:val="clear" w:color="auto" w:fill="auto"/>
          </w:tcPr>
          <w:p w:rsidR="00B90A00" w:rsidRPr="00C903F8" w:rsidRDefault="00B90A00" w:rsidP="00A8005B">
            <w:pPr>
              <w:spacing w:before="60" w:after="60" w:line="240" w:lineRule="atLeast"/>
              <w:ind w:left="0" w:firstLine="0"/>
              <w:rPr>
                <w:rFonts w:cs="Arial"/>
                <w:sz w:val="18"/>
                <w:szCs w:val="18"/>
              </w:rPr>
            </w:pPr>
            <w:r>
              <w:t>Gli impianti di navigazione radar e gli indicatori della velocità di accostata che sono stati autorizzati il 1° gennaio 1990 o successivamente a tale data, a norma dei requisiti minimi e delle condizioni di prova previsti per gli impianti radar utilizzati per la navigazione sul Reno e dei requisiti minimi e delle condizioni di prova previsti per gli indicatori della velocità di accostata utilizzati nella navigazione sul Reno possono continuare ad essere installati e utilizzati in presenza di un certificato di installazione valido ai sensi della presente norma, della direttiva 2006/87/CE o della risoluzione CCNR 1989-II-35</w:t>
            </w:r>
            <w:r>
              <w:rPr>
                <w:sz w:val="18"/>
                <w:vertAlign w:val="superscript"/>
              </w:rPr>
              <w:t>.</w:t>
            </w:r>
          </w:p>
        </w:tc>
        <w:tc>
          <w:tcPr>
            <w:tcW w:w="1276" w:type="dxa"/>
            <w:shd w:val="clear" w:color="auto" w:fill="auto"/>
          </w:tcPr>
          <w:p w:rsidR="00B90A00" w:rsidRPr="00C903F8" w:rsidRDefault="00B90A00" w:rsidP="00A8005B">
            <w:pPr>
              <w:spacing w:before="60" w:after="60" w:line="240" w:lineRule="atLeast"/>
              <w:ind w:left="0" w:firstLine="0"/>
              <w:rPr>
                <w:rFonts w:cs="Arial"/>
                <w:sz w:val="18"/>
                <w:szCs w:val="18"/>
              </w:rPr>
            </w:pPr>
          </w:p>
        </w:tc>
      </w:tr>
      <w:tr w:rsidR="00B90A00" w:rsidRPr="00A0619C" w:rsidTr="00AB6D23">
        <w:trPr>
          <w:cantSplit/>
          <w:jc w:val="center"/>
        </w:trPr>
        <w:tc>
          <w:tcPr>
            <w:tcW w:w="1342" w:type="dxa"/>
            <w:tcBorders>
              <w:top w:val="nil"/>
              <w:bottom w:val="nil"/>
            </w:tcBorders>
            <w:shd w:val="clear" w:color="auto" w:fill="auto"/>
          </w:tcPr>
          <w:p w:rsidR="00B90A00" w:rsidRPr="00C903F8" w:rsidRDefault="00B90A00" w:rsidP="00A8005B">
            <w:pPr>
              <w:spacing w:before="60" w:after="60" w:line="240" w:lineRule="atLeast"/>
              <w:ind w:left="0" w:firstLine="0"/>
              <w:rPr>
                <w:rFonts w:cs="Arial"/>
                <w:sz w:val="18"/>
                <w:szCs w:val="18"/>
              </w:rPr>
            </w:pPr>
          </w:p>
        </w:tc>
        <w:tc>
          <w:tcPr>
            <w:tcW w:w="1458" w:type="dxa"/>
            <w:vMerge/>
            <w:shd w:val="clear" w:color="auto" w:fill="auto"/>
          </w:tcPr>
          <w:p w:rsidR="00B90A00" w:rsidRPr="00C903F8" w:rsidRDefault="00B90A00" w:rsidP="00A8005B">
            <w:pPr>
              <w:spacing w:before="60" w:after="60" w:line="240" w:lineRule="atLeast"/>
              <w:ind w:left="0" w:firstLine="0"/>
              <w:rPr>
                <w:rFonts w:cs="Arial"/>
                <w:sz w:val="18"/>
                <w:szCs w:val="18"/>
              </w:rPr>
            </w:pPr>
          </w:p>
        </w:tc>
        <w:tc>
          <w:tcPr>
            <w:tcW w:w="3296" w:type="dxa"/>
            <w:shd w:val="clear" w:color="auto" w:fill="auto"/>
          </w:tcPr>
          <w:p w:rsidR="00B90A00" w:rsidRPr="00C903F8" w:rsidRDefault="00B90A00" w:rsidP="00A8005B">
            <w:pPr>
              <w:spacing w:before="60" w:after="60" w:line="240" w:lineRule="atLeast"/>
              <w:ind w:left="0" w:firstLine="0"/>
              <w:rPr>
                <w:rFonts w:cs="Arial"/>
                <w:noProof/>
                <w:sz w:val="18"/>
                <w:szCs w:val="18"/>
              </w:rPr>
            </w:pPr>
            <w:r>
              <w:rPr>
                <w:noProof/>
                <w:sz w:val="18"/>
              </w:rPr>
              <w:t>Impianti di navigazione radar e indicatori della velocità di accostata autorizzati dopo il 31 dicembre 2006</w:t>
            </w:r>
          </w:p>
        </w:tc>
        <w:tc>
          <w:tcPr>
            <w:tcW w:w="6521" w:type="dxa"/>
            <w:shd w:val="clear" w:color="auto" w:fill="auto"/>
          </w:tcPr>
          <w:p w:rsidR="00B90A00" w:rsidRPr="00C903F8" w:rsidRDefault="00B90A00" w:rsidP="00A8005B">
            <w:pPr>
              <w:spacing w:before="60" w:after="60" w:line="240" w:lineRule="atLeast"/>
              <w:ind w:left="0" w:firstLine="0"/>
              <w:rPr>
                <w:rFonts w:cs="Arial"/>
                <w:sz w:val="18"/>
                <w:szCs w:val="18"/>
              </w:rPr>
            </w:pPr>
            <w:r>
              <w:rPr>
                <w:sz w:val="18"/>
              </w:rPr>
              <w:t>Gli impianti di navigazione radar e gli indicatori della velocità di accostata autorizzati il 31 dicembre 2006 o successivamente a tale data, a norma dei requisiti minimi e delle condizioni di prova previsti dalla direttiva 2006/87/CE, possono continuare ad essere installati e utilizzati in presenza di un certificato di installazione valido ai sensi della presente norma o della direttiva 2006/87/CE.</w:t>
            </w:r>
          </w:p>
        </w:tc>
        <w:tc>
          <w:tcPr>
            <w:tcW w:w="1276" w:type="dxa"/>
            <w:shd w:val="clear" w:color="auto" w:fill="auto"/>
          </w:tcPr>
          <w:p w:rsidR="00B90A00" w:rsidRPr="00C903F8" w:rsidRDefault="00B90A00" w:rsidP="00A8005B">
            <w:pPr>
              <w:spacing w:before="60" w:after="60" w:line="240" w:lineRule="atLeast"/>
              <w:ind w:left="0" w:firstLine="0"/>
              <w:rPr>
                <w:rFonts w:cs="Arial"/>
                <w:sz w:val="18"/>
                <w:szCs w:val="18"/>
              </w:rPr>
            </w:pPr>
          </w:p>
        </w:tc>
      </w:tr>
      <w:tr w:rsidR="00B90A00" w:rsidRPr="00A0619C" w:rsidTr="00DF5C3B">
        <w:trPr>
          <w:cantSplit/>
          <w:jc w:val="center"/>
        </w:trPr>
        <w:tc>
          <w:tcPr>
            <w:tcW w:w="1342" w:type="dxa"/>
            <w:tcBorders>
              <w:top w:val="nil"/>
              <w:bottom w:val="nil"/>
            </w:tcBorders>
            <w:shd w:val="clear" w:color="auto" w:fill="auto"/>
          </w:tcPr>
          <w:p w:rsidR="00B90A00" w:rsidRPr="00C903F8" w:rsidRDefault="00B90A00" w:rsidP="00A8005B">
            <w:pPr>
              <w:spacing w:before="80" w:after="80" w:line="240" w:lineRule="atLeast"/>
              <w:ind w:left="0" w:firstLine="0"/>
              <w:rPr>
                <w:rFonts w:cs="Arial"/>
                <w:sz w:val="18"/>
                <w:szCs w:val="18"/>
              </w:rPr>
            </w:pPr>
          </w:p>
        </w:tc>
        <w:tc>
          <w:tcPr>
            <w:tcW w:w="1458" w:type="dxa"/>
            <w:vMerge/>
            <w:tcBorders>
              <w:bottom w:val="single" w:sz="4" w:space="0" w:color="auto"/>
            </w:tcBorders>
            <w:shd w:val="clear" w:color="auto" w:fill="auto"/>
          </w:tcPr>
          <w:p w:rsidR="00B90A00" w:rsidRPr="00C903F8" w:rsidRDefault="00B90A00" w:rsidP="00A8005B">
            <w:pPr>
              <w:spacing w:before="80" w:after="80" w:line="240" w:lineRule="atLeast"/>
              <w:ind w:left="0" w:firstLine="0"/>
              <w:rPr>
                <w:rFonts w:cs="Arial"/>
                <w:sz w:val="18"/>
                <w:szCs w:val="18"/>
              </w:rPr>
            </w:pPr>
          </w:p>
        </w:tc>
        <w:tc>
          <w:tcPr>
            <w:tcW w:w="3296" w:type="dxa"/>
            <w:tcBorders>
              <w:bottom w:val="single" w:sz="4" w:space="0" w:color="auto"/>
            </w:tcBorders>
            <w:shd w:val="clear" w:color="auto" w:fill="auto"/>
          </w:tcPr>
          <w:p w:rsidR="00B90A00" w:rsidRPr="00C903F8" w:rsidRDefault="00B90A00" w:rsidP="00A8005B">
            <w:pPr>
              <w:spacing w:before="80" w:after="80" w:line="240" w:lineRule="atLeast"/>
              <w:ind w:left="0" w:firstLine="0"/>
              <w:rPr>
                <w:rFonts w:cs="Arial"/>
                <w:noProof/>
                <w:sz w:val="18"/>
                <w:szCs w:val="18"/>
              </w:rPr>
            </w:pPr>
            <w:r>
              <w:rPr>
                <w:noProof/>
                <w:sz w:val="18"/>
              </w:rPr>
              <w:t>Impianti di navigazione radar e indicatori della velocità di accostata autorizzati dopo il 1° dicembre 2009</w:t>
            </w:r>
          </w:p>
        </w:tc>
        <w:tc>
          <w:tcPr>
            <w:tcW w:w="6521" w:type="dxa"/>
            <w:shd w:val="clear" w:color="auto" w:fill="auto"/>
          </w:tcPr>
          <w:p w:rsidR="00B90A00" w:rsidRPr="00C903F8" w:rsidRDefault="00B90A00" w:rsidP="00A8005B">
            <w:pPr>
              <w:spacing w:before="80" w:after="80" w:line="240" w:lineRule="atLeast"/>
              <w:ind w:left="0" w:firstLine="0"/>
              <w:rPr>
                <w:rFonts w:cs="Arial"/>
                <w:sz w:val="18"/>
                <w:szCs w:val="18"/>
              </w:rPr>
            </w:pPr>
            <w:r>
              <w:rPr>
                <w:sz w:val="18"/>
              </w:rPr>
              <w:t>Gli impianti di navigazione radar e gli indicatori della velocità di accostata autorizzati il 1° dicembre 2009 o successivamente a tale data, a norma dei requisiti minimi e delle condizioni di prova previsti dalla risoluzione CCNR 2008-II-11, possono continuare ad essere installati e utilizzati in presenza di un certificato di installazione valido ai sensi della presente norma o della risoluzione CCNR 2008-II-11.</w:t>
            </w:r>
          </w:p>
        </w:tc>
        <w:tc>
          <w:tcPr>
            <w:tcW w:w="1276" w:type="dxa"/>
            <w:shd w:val="clear" w:color="auto" w:fill="auto"/>
          </w:tcPr>
          <w:p w:rsidR="00B90A00" w:rsidRPr="00C903F8" w:rsidRDefault="00B90A00" w:rsidP="00A8005B">
            <w:pPr>
              <w:spacing w:before="80" w:after="80" w:line="240" w:lineRule="atLeast"/>
              <w:ind w:left="0" w:firstLine="0"/>
              <w:rPr>
                <w:rFonts w:cs="Arial"/>
                <w:sz w:val="18"/>
                <w:szCs w:val="18"/>
              </w:rPr>
            </w:pPr>
          </w:p>
        </w:tc>
      </w:tr>
      <w:tr w:rsidR="001964F8" w:rsidRPr="00C903F8" w:rsidTr="00DF5C3B">
        <w:trPr>
          <w:cantSplit/>
          <w:jc w:val="center"/>
        </w:trPr>
        <w:tc>
          <w:tcPr>
            <w:tcW w:w="1342" w:type="dxa"/>
            <w:tcBorders>
              <w:top w:val="nil"/>
              <w:bottom w:val="nil"/>
            </w:tcBorders>
            <w:shd w:val="clear" w:color="auto" w:fill="auto"/>
          </w:tcPr>
          <w:p w:rsidR="001964F8" w:rsidRPr="00C903F8" w:rsidRDefault="001964F8" w:rsidP="00A8005B">
            <w:pPr>
              <w:spacing w:before="80" w:after="80" w:line="240" w:lineRule="atLeast"/>
              <w:ind w:left="0" w:firstLine="0"/>
              <w:rPr>
                <w:rFonts w:cs="Arial"/>
                <w:sz w:val="18"/>
                <w:szCs w:val="18"/>
              </w:rPr>
            </w:pPr>
          </w:p>
        </w:tc>
        <w:tc>
          <w:tcPr>
            <w:tcW w:w="1458" w:type="dxa"/>
            <w:tcBorders>
              <w:bottom w:val="nil"/>
            </w:tcBorders>
            <w:shd w:val="clear" w:color="auto" w:fill="auto"/>
          </w:tcPr>
          <w:p w:rsidR="001964F8" w:rsidRPr="00C903F8" w:rsidRDefault="001964F8" w:rsidP="00A8005B">
            <w:pPr>
              <w:spacing w:before="80" w:after="80" w:line="240" w:lineRule="atLeast"/>
              <w:ind w:left="0" w:firstLine="0"/>
              <w:rPr>
                <w:rFonts w:cs="Arial"/>
                <w:sz w:val="18"/>
                <w:szCs w:val="18"/>
              </w:rPr>
            </w:pPr>
            <w:r>
              <w:rPr>
                <w:sz w:val="18"/>
              </w:rPr>
              <w:t>paragrafo 3</w:t>
            </w:r>
          </w:p>
        </w:tc>
        <w:tc>
          <w:tcPr>
            <w:tcW w:w="3296" w:type="dxa"/>
            <w:tcBorders>
              <w:bottom w:val="nil"/>
            </w:tcBorders>
            <w:shd w:val="clear" w:color="auto" w:fill="auto"/>
          </w:tcPr>
          <w:p w:rsidR="001964F8" w:rsidRPr="00C903F8" w:rsidRDefault="001964F8" w:rsidP="00A8005B">
            <w:pPr>
              <w:spacing w:before="80" w:after="80" w:line="240" w:lineRule="atLeast"/>
              <w:ind w:left="0" w:firstLine="0"/>
              <w:rPr>
                <w:rFonts w:cs="Arial"/>
                <w:sz w:val="18"/>
                <w:szCs w:val="18"/>
              </w:rPr>
            </w:pPr>
            <w:r>
              <w:rPr>
                <w:sz w:val="18"/>
              </w:rPr>
              <w:t>Dispositivo AIS interno</w:t>
            </w:r>
          </w:p>
        </w:tc>
        <w:tc>
          <w:tcPr>
            <w:tcW w:w="6521" w:type="dxa"/>
            <w:shd w:val="clear" w:color="auto" w:fill="auto"/>
          </w:tcPr>
          <w:p w:rsidR="001964F8" w:rsidRPr="00C903F8" w:rsidRDefault="008761D9" w:rsidP="00A8005B">
            <w:pPr>
              <w:spacing w:before="80" w:after="80" w:line="240" w:lineRule="atLeast"/>
              <w:ind w:left="0" w:firstLine="0"/>
              <w:rPr>
                <w:rFonts w:cs="Arial"/>
                <w:sz w:val="18"/>
                <w:szCs w:val="18"/>
              </w:rPr>
            </w:pPr>
            <w:r>
              <w:rPr>
                <w:sz w:val="18"/>
              </w:rPr>
              <w:t>N.S.T</w:t>
            </w:r>
          </w:p>
        </w:tc>
        <w:tc>
          <w:tcPr>
            <w:tcW w:w="1276" w:type="dxa"/>
            <w:shd w:val="clear" w:color="auto" w:fill="auto"/>
          </w:tcPr>
          <w:p w:rsidR="001964F8" w:rsidRPr="00C903F8" w:rsidRDefault="001964F8" w:rsidP="00A8005B">
            <w:pPr>
              <w:spacing w:before="80" w:after="80" w:line="240" w:lineRule="atLeast"/>
              <w:ind w:left="0" w:firstLine="0"/>
              <w:rPr>
                <w:rFonts w:cs="Arial"/>
                <w:sz w:val="18"/>
                <w:szCs w:val="18"/>
              </w:rPr>
            </w:pPr>
          </w:p>
        </w:tc>
      </w:tr>
      <w:tr w:rsidR="00DF5C3B" w:rsidRPr="003971A3" w:rsidTr="00DF5C3B">
        <w:trPr>
          <w:cantSplit/>
          <w:jc w:val="center"/>
        </w:trPr>
        <w:tc>
          <w:tcPr>
            <w:tcW w:w="1342" w:type="dxa"/>
            <w:tcBorders>
              <w:top w:val="nil"/>
            </w:tcBorders>
            <w:shd w:val="clear" w:color="auto" w:fill="auto"/>
          </w:tcPr>
          <w:p w:rsidR="00DF5C3B" w:rsidRPr="00C903F8" w:rsidRDefault="00DF5C3B" w:rsidP="00A8005B">
            <w:pPr>
              <w:spacing w:before="80" w:after="80" w:line="240" w:lineRule="atLeast"/>
              <w:ind w:left="0" w:firstLine="0"/>
              <w:rPr>
                <w:rFonts w:cs="Arial"/>
                <w:sz w:val="18"/>
                <w:szCs w:val="18"/>
              </w:rPr>
            </w:pPr>
          </w:p>
        </w:tc>
        <w:tc>
          <w:tcPr>
            <w:tcW w:w="1458" w:type="dxa"/>
            <w:tcBorders>
              <w:top w:val="nil"/>
            </w:tcBorders>
            <w:shd w:val="clear" w:color="auto" w:fill="auto"/>
          </w:tcPr>
          <w:p w:rsidR="00DF5C3B" w:rsidRPr="00C903F8" w:rsidRDefault="00DF5C3B" w:rsidP="00A8005B">
            <w:pPr>
              <w:spacing w:before="80" w:after="80" w:line="240" w:lineRule="atLeast"/>
              <w:ind w:left="0" w:firstLine="0"/>
              <w:rPr>
                <w:rFonts w:cs="Arial"/>
                <w:sz w:val="18"/>
                <w:szCs w:val="18"/>
              </w:rPr>
            </w:pPr>
          </w:p>
        </w:tc>
        <w:tc>
          <w:tcPr>
            <w:tcW w:w="3296" w:type="dxa"/>
            <w:tcBorders>
              <w:top w:val="nil"/>
            </w:tcBorders>
            <w:shd w:val="clear" w:color="auto" w:fill="auto"/>
          </w:tcPr>
          <w:p w:rsidR="00DF5C3B" w:rsidRPr="00C903F8" w:rsidRDefault="00DF5C3B" w:rsidP="00A8005B">
            <w:pPr>
              <w:spacing w:before="80" w:after="80" w:line="240" w:lineRule="atLeast"/>
              <w:ind w:left="0" w:firstLine="0"/>
              <w:rPr>
                <w:rFonts w:cs="Arial"/>
                <w:sz w:val="18"/>
                <w:szCs w:val="18"/>
              </w:rPr>
            </w:pPr>
          </w:p>
        </w:tc>
        <w:tc>
          <w:tcPr>
            <w:tcW w:w="6521" w:type="dxa"/>
            <w:shd w:val="clear" w:color="auto" w:fill="auto"/>
          </w:tcPr>
          <w:p w:rsidR="00DF5C3B" w:rsidRPr="00DF5C3B" w:rsidRDefault="00DF5C3B" w:rsidP="007A3786">
            <w:pPr>
              <w:spacing w:before="80" w:after="80" w:line="240" w:lineRule="atLeast"/>
              <w:ind w:left="0" w:firstLine="0"/>
              <w:rPr>
                <w:rFonts w:cs="Arial"/>
                <w:sz w:val="18"/>
                <w:szCs w:val="18"/>
              </w:rPr>
            </w:pPr>
            <w:r>
              <w:rPr>
                <w:sz w:val="18"/>
              </w:rPr>
              <w:t>Un dispositivo AIS interno autorizzato il 19 ottobre 2012 o successivamente a tale data, conformemente ai requisiti della norma sulle prove per AIS interno, edizione 2.0, adottata tramite la risoluzione CCNR 2012-II-20, può continuare ad essere installato e utilizzato.</w:t>
            </w:r>
          </w:p>
        </w:tc>
        <w:tc>
          <w:tcPr>
            <w:tcW w:w="1276" w:type="dxa"/>
            <w:shd w:val="clear" w:color="auto" w:fill="auto"/>
          </w:tcPr>
          <w:p w:rsidR="00DF5C3B" w:rsidRPr="00DF5C3B" w:rsidRDefault="0012395A" w:rsidP="00A8005B">
            <w:pPr>
              <w:spacing w:before="80" w:after="80" w:line="240" w:lineRule="atLeast"/>
              <w:ind w:left="0" w:firstLine="0"/>
              <w:rPr>
                <w:rFonts w:cs="Arial"/>
                <w:sz w:val="18"/>
                <w:szCs w:val="18"/>
              </w:rPr>
            </w:pPr>
            <w:r>
              <w:rPr>
                <w:sz w:val="18"/>
              </w:rPr>
              <w:t>7.10.2018</w:t>
            </w:r>
          </w:p>
        </w:tc>
      </w:tr>
      <w:tr w:rsidR="001964F8" w:rsidRPr="00C903F8" w:rsidTr="00E1635F">
        <w:trPr>
          <w:cantSplit/>
          <w:trHeight w:val="884"/>
          <w:jc w:val="center"/>
        </w:trPr>
        <w:tc>
          <w:tcPr>
            <w:tcW w:w="1342" w:type="dxa"/>
            <w:tcBorders>
              <w:bottom w:val="single" w:sz="4" w:space="0" w:color="auto"/>
            </w:tcBorders>
            <w:shd w:val="clear" w:color="auto" w:fill="auto"/>
          </w:tcPr>
          <w:p w:rsidR="001964F8" w:rsidRPr="00C903F8" w:rsidRDefault="001964F8" w:rsidP="00A8005B">
            <w:pPr>
              <w:spacing w:before="80" w:after="80" w:line="240" w:lineRule="atLeast"/>
              <w:ind w:left="0" w:firstLine="0"/>
              <w:rPr>
                <w:rFonts w:cs="Arial"/>
                <w:sz w:val="18"/>
                <w:szCs w:val="18"/>
              </w:rPr>
            </w:pPr>
            <w:r>
              <w:rPr>
                <w:sz w:val="18"/>
              </w:rPr>
              <w:t>7.09</w:t>
            </w:r>
          </w:p>
        </w:tc>
        <w:tc>
          <w:tcPr>
            <w:tcW w:w="1458" w:type="dxa"/>
            <w:tcBorders>
              <w:bottom w:val="single" w:sz="4" w:space="0" w:color="auto"/>
            </w:tcBorders>
            <w:shd w:val="clear" w:color="auto" w:fill="auto"/>
          </w:tcPr>
          <w:p w:rsidR="001964F8" w:rsidRPr="00C903F8" w:rsidRDefault="001964F8" w:rsidP="00A8005B">
            <w:pPr>
              <w:spacing w:before="80" w:after="80" w:line="240" w:lineRule="atLeast"/>
              <w:ind w:left="0" w:firstLine="0"/>
              <w:rPr>
                <w:rFonts w:cs="Arial"/>
                <w:sz w:val="18"/>
                <w:szCs w:val="18"/>
              </w:rPr>
            </w:pPr>
          </w:p>
        </w:tc>
        <w:tc>
          <w:tcPr>
            <w:tcW w:w="3296" w:type="dxa"/>
            <w:tcBorders>
              <w:bottom w:val="single" w:sz="4" w:space="0" w:color="auto"/>
            </w:tcBorders>
            <w:shd w:val="clear" w:color="auto" w:fill="auto"/>
          </w:tcPr>
          <w:p w:rsidR="001964F8" w:rsidRPr="00C903F8" w:rsidRDefault="001964F8" w:rsidP="00A8005B">
            <w:pPr>
              <w:spacing w:before="80" w:after="80" w:line="240" w:lineRule="atLeast"/>
              <w:ind w:left="0" w:firstLine="0"/>
              <w:rPr>
                <w:rFonts w:cs="Arial"/>
                <w:sz w:val="18"/>
                <w:szCs w:val="18"/>
              </w:rPr>
            </w:pPr>
            <w:r>
              <w:rPr>
                <w:noProof/>
                <w:sz w:val="18"/>
              </w:rPr>
              <w:t>Sistemi d'allarme</w:t>
            </w:r>
          </w:p>
        </w:tc>
        <w:tc>
          <w:tcPr>
            <w:tcW w:w="6521" w:type="dxa"/>
            <w:shd w:val="clear" w:color="auto" w:fill="auto"/>
          </w:tcPr>
          <w:p w:rsidR="001964F8" w:rsidRPr="00C903F8" w:rsidRDefault="008761D9" w:rsidP="00A8005B">
            <w:pPr>
              <w:spacing w:before="80" w:after="8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1964F8" w:rsidRPr="00C903F8" w:rsidRDefault="001964F8" w:rsidP="00A8005B">
            <w:pPr>
              <w:spacing w:before="80" w:after="80" w:line="240" w:lineRule="atLeast"/>
              <w:ind w:left="0" w:firstLine="0"/>
              <w:rPr>
                <w:rFonts w:cs="Arial"/>
                <w:sz w:val="18"/>
                <w:szCs w:val="18"/>
              </w:rPr>
            </w:pPr>
            <w:r>
              <w:rPr>
                <w:sz w:val="18"/>
              </w:rPr>
              <w:t>30.12.2024</w:t>
            </w:r>
          </w:p>
        </w:tc>
      </w:tr>
      <w:tr w:rsidR="00E1635F" w:rsidRPr="00A0619C" w:rsidTr="00136542">
        <w:trPr>
          <w:cantSplit/>
          <w:jc w:val="center"/>
        </w:trPr>
        <w:tc>
          <w:tcPr>
            <w:tcW w:w="1342" w:type="dxa"/>
            <w:vMerge w:val="restart"/>
            <w:shd w:val="clear" w:color="auto" w:fill="auto"/>
          </w:tcPr>
          <w:p w:rsidR="00E1635F" w:rsidRPr="00600BEE" w:rsidRDefault="00E1635F" w:rsidP="00A8005B">
            <w:pPr>
              <w:spacing w:before="80" w:after="80" w:line="240" w:lineRule="atLeast"/>
              <w:ind w:left="0" w:firstLine="0"/>
              <w:rPr>
                <w:rFonts w:cs="Arial"/>
                <w:sz w:val="18"/>
                <w:szCs w:val="18"/>
              </w:rPr>
            </w:pPr>
            <w:r>
              <w:rPr>
                <w:sz w:val="18"/>
              </w:rPr>
              <w:lastRenderedPageBreak/>
              <w:t>7.12</w:t>
            </w:r>
          </w:p>
        </w:tc>
        <w:tc>
          <w:tcPr>
            <w:tcW w:w="1458" w:type="dxa"/>
            <w:shd w:val="clear" w:color="auto" w:fill="auto"/>
          </w:tcPr>
          <w:p w:rsidR="00E1635F" w:rsidRPr="00600BEE" w:rsidRDefault="00E1635F" w:rsidP="00A8005B">
            <w:pPr>
              <w:widowControl w:val="0"/>
              <w:spacing w:before="80" w:after="80" w:line="240" w:lineRule="atLeast"/>
              <w:ind w:left="0" w:firstLine="0"/>
              <w:rPr>
                <w:rFonts w:cs="Arial"/>
                <w:sz w:val="18"/>
                <w:szCs w:val="18"/>
              </w:rPr>
            </w:pPr>
            <w:r>
              <w:rPr>
                <w:sz w:val="18"/>
              </w:rPr>
              <w:t xml:space="preserve">paragrafo 4 </w:t>
            </w:r>
            <w:r>
              <w:rPr>
                <w:rFonts w:cs="Arial"/>
                <w:sz w:val="18"/>
                <w:szCs w:val="18"/>
              </w:rPr>
              <w:br/>
            </w:r>
            <w:r>
              <w:rPr>
                <w:sz w:val="18"/>
              </w:rPr>
              <w:t>seconda frase</w:t>
            </w:r>
          </w:p>
        </w:tc>
        <w:tc>
          <w:tcPr>
            <w:tcW w:w="3296" w:type="dxa"/>
            <w:shd w:val="clear" w:color="auto" w:fill="auto"/>
          </w:tcPr>
          <w:p w:rsidR="00E1635F" w:rsidRPr="00600BEE" w:rsidRDefault="00E1635F" w:rsidP="00A8005B">
            <w:pPr>
              <w:widowControl w:val="0"/>
              <w:spacing w:before="80" w:after="80" w:line="240" w:lineRule="atLeast"/>
              <w:rPr>
                <w:rFonts w:cs="Arial"/>
                <w:sz w:val="18"/>
                <w:szCs w:val="18"/>
              </w:rPr>
            </w:pPr>
            <w:r>
              <w:rPr>
                <w:sz w:val="18"/>
              </w:rPr>
              <w:t>Segni</w:t>
            </w:r>
          </w:p>
        </w:tc>
        <w:tc>
          <w:tcPr>
            <w:tcW w:w="6521" w:type="dxa"/>
            <w:shd w:val="clear" w:color="auto" w:fill="auto"/>
          </w:tcPr>
          <w:p w:rsidR="00E1635F" w:rsidRPr="00600BEE" w:rsidRDefault="00E1635F" w:rsidP="00A8005B">
            <w:pPr>
              <w:widowControl w:val="0"/>
              <w:spacing w:before="80" w:after="8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E1635F" w:rsidRPr="00600BEE" w:rsidRDefault="00E1635F" w:rsidP="00A8005B">
            <w:pPr>
              <w:widowControl w:val="0"/>
              <w:spacing w:before="80" w:after="80" w:line="240" w:lineRule="atLeast"/>
              <w:rPr>
                <w:rFonts w:cs="Arial"/>
                <w:sz w:val="18"/>
                <w:szCs w:val="18"/>
              </w:rPr>
            </w:pPr>
          </w:p>
        </w:tc>
      </w:tr>
      <w:tr w:rsidR="00E1635F" w:rsidRPr="000E732C" w:rsidTr="00136542">
        <w:trPr>
          <w:cantSplit/>
          <w:jc w:val="center"/>
        </w:trPr>
        <w:tc>
          <w:tcPr>
            <w:tcW w:w="1342" w:type="dxa"/>
            <w:vMerge/>
            <w:shd w:val="clear" w:color="auto" w:fill="auto"/>
          </w:tcPr>
          <w:p w:rsidR="00E1635F" w:rsidRPr="00600BEE" w:rsidRDefault="00E1635F" w:rsidP="00A8005B">
            <w:pPr>
              <w:spacing w:before="80" w:after="80" w:line="240" w:lineRule="atLeast"/>
              <w:ind w:left="0" w:firstLine="0"/>
              <w:rPr>
                <w:rFonts w:cs="Arial"/>
                <w:sz w:val="18"/>
                <w:szCs w:val="18"/>
              </w:rPr>
            </w:pPr>
          </w:p>
        </w:tc>
        <w:tc>
          <w:tcPr>
            <w:tcW w:w="1458" w:type="dxa"/>
            <w:shd w:val="clear" w:color="auto" w:fill="auto"/>
          </w:tcPr>
          <w:p w:rsidR="00E1635F" w:rsidRPr="00600BEE" w:rsidRDefault="00E1635F" w:rsidP="00A8005B">
            <w:pPr>
              <w:widowControl w:val="0"/>
              <w:spacing w:before="80" w:after="80" w:line="240" w:lineRule="atLeast"/>
              <w:ind w:left="0" w:firstLine="0"/>
              <w:rPr>
                <w:rFonts w:cs="Arial"/>
                <w:sz w:val="18"/>
                <w:szCs w:val="18"/>
              </w:rPr>
            </w:pPr>
            <w:r>
              <w:rPr>
                <w:sz w:val="18"/>
              </w:rPr>
              <w:t>paragrafo 5</w:t>
            </w:r>
          </w:p>
        </w:tc>
        <w:tc>
          <w:tcPr>
            <w:tcW w:w="3296" w:type="dxa"/>
            <w:shd w:val="clear" w:color="auto" w:fill="auto"/>
          </w:tcPr>
          <w:p w:rsidR="00E1635F" w:rsidRPr="00600BEE" w:rsidRDefault="00E1635F" w:rsidP="00A8005B">
            <w:pPr>
              <w:widowControl w:val="0"/>
              <w:spacing w:before="80" w:after="80" w:line="240" w:lineRule="atLeast"/>
              <w:rPr>
                <w:rFonts w:cs="Arial"/>
                <w:sz w:val="18"/>
                <w:szCs w:val="18"/>
              </w:rPr>
            </w:pPr>
            <w:r>
              <w:rPr>
                <w:sz w:val="18"/>
              </w:rPr>
              <w:t>Arresto e blocco</w:t>
            </w:r>
          </w:p>
        </w:tc>
        <w:tc>
          <w:tcPr>
            <w:tcW w:w="6521" w:type="dxa"/>
            <w:shd w:val="clear" w:color="auto" w:fill="auto"/>
          </w:tcPr>
          <w:p w:rsidR="00E1635F" w:rsidRPr="00600BEE" w:rsidRDefault="00E1635F" w:rsidP="00A8005B">
            <w:pPr>
              <w:widowControl w:val="0"/>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E1635F" w:rsidRPr="00600BEE" w:rsidRDefault="00E1635F" w:rsidP="00A8005B">
            <w:pPr>
              <w:widowControl w:val="0"/>
              <w:spacing w:before="80" w:after="80" w:line="240" w:lineRule="atLeast"/>
              <w:rPr>
                <w:rFonts w:cs="Arial"/>
                <w:sz w:val="18"/>
                <w:szCs w:val="18"/>
              </w:rPr>
            </w:pPr>
            <w:r>
              <w:rPr>
                <w:sz w:val="18"/>
              </w:rPr>
              <w:t>1.1.2025</w:t>
            </w:r>
          </w:p>
        </w:tc>
      </w:tr>
      <w:tr w:rsidR="00E1635F" w:rsidRPr="000E732C" w:rsidTr="00136542">
        <w:trPr>
          <w:cantSplit/>
          <w:jc w:val="center"/>
        </w:trPr>
        <w:tc>
          <w:tcPr>
            <w:tcW w:w="1342" w:type="dxa"/>
            <w:vMerge/>
            <w:shd w:val="clear" w:color="auto" w:fill="auto"/>
          </w:tcPr>
          <w:p w:rsidR="00E1635F" w:rsidRPr="00600BEE" w:rsidRDefault="00E1635F" w:rsidP="00A8005B">
            <w:pPr>
              <w:spacing w:before="80" w:after="80" w:line="240" w:lineRule="atLeast"/>
              <w:ind w:left="0" w:firstLine="0"/>
              <w:rPr>
                <w:rFonts w:cs="Arial"/>
                <w:sz w:val="18"/>
                <w:szCs w:val="18"/>
              </w:rPr>
            </w:pPr>
          </w:p>
        </w:tc>
        <w:tc>
          <w:tcPr>
            <w:tcW w:w="1458" w:type="dxa"/>
            <w:shd w:val="clear" w:color="auto" w:fill="auto"/>
          </w:tcPr>
          <w:p w:rsidR="00E1635F" w:rsidRPr="00600BEE" w:rsidRDefault="00E1635F" w:rsidP="00A8005B">
            <w:pPr>
              <w:widowControl w:val="0"/>
              <w:spacing w:before="80" w:after="80" w:line="240" w:lineRule="atLeast"/>
              <w:ind w:left="0" w:firstLine="0"/>
              <w:rPr>
                <w:rFonts w:cs="Arial"/>
                <w:sz w:val="18"/>
                <w:szCs w:val="18"/>
              </w:rPr>
            </w:pPr>
            <w:r>
              <w:rPr>
                <w:sz w:val="18"/>
              </w:rPr>
              <w:t>paragrafo 6</w:t>
            </w:r>
          </w:p>
        </w:tc>
        <w:tc>
          <w:tcPr>
            <w:tcW w:w="3296" w:type="dxa"/>
            <w:shd w:val="clear" w:color="auto" w:fill="auto"/>
          </w:tcPr>
          <w:p w:rsidR="00E1635F" w:rsidRPr="00600BEE" w:rsidRDefault="00E1635F" w:rsidP="00A8005B">
            <w:pPr>
              <w:widowControl w:val="0"/>
              <w:spacing w:before="80" w:after="80" w:line="240" w:lineRule="atLeast"/>
              <w:rPr>
                <w:rFonts w:cs="Arial"/>
                <w:sz w:val="18"/>
                <w:szCs w:val="18"/>
              </w:rPr>
            </w:pPr>
            <w:r>
              <w:rPr>
                <w:sz w:val="18"/>
              </w:rPr>
              <w:t>Disattivazione automatica</w:t>
            </w:r>
          </w:p>
        </w:tc>
        <w:tc>
          <w:tcPr>
            <w:tcW w:w="6521" w:type="dxa"/>
            <w:shd w:val="clear" w:color="auto" w:fill="auto"/>
          </w:tcPr>
          <w:p w:rsidR="00E1635F" w:rsidRPr="00600BEE" w:rsidRDefault="00E1635F" w:rsidP="00A8005B">
            <w:pPr>
              <w:widowControl w:val="0"/>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E1635F" w:rsidRPr="00600BEE" w:rsidRDefault="00E1635F" w:rsidP="00A8005B">
            <w:pPr>
              <w:widowControl w:val="0"/>
              <w:spacing w:before="80" w:after="80" w:line="240" w:lineRule="atLeast"/>
              <w:rPr>
                <w:rFonts w:cs="Arial"/>
                <w:sz w:val="18"/>
                <w:szCs w:val="18"/>
              </w:rPr>
            </w:pPr>
            <w:r>
              <w:rPr>
                <w:sz w:val="18"/>
              </w:rPr>
              <w:t>1.1.2025</w:t>
            </w:r>
          </w:p>
        </w:tc>
      </w:tr>
      <w:tr w:rsidR="00E1635F" w:rsidRPr="000E732C" w:rsidTr="00136542">
        <w:trPr>
          <w:cantSplit/>
          <w:jc w:val="center"/>
        </w:trPr>
        <w:tc>
          <w:tcPr>
            <w:tcW w:w="1342" w:type="dxa"/>
            <w:vMerge/>
            <w:shd w:val="clear" w:color="auto" w:fill="auto"/>
          </w:tcPr>
          <w:p w:rsidR="00E1635F" w:rsidRPr="00600BEE" w:rsidRDefault="00E1635F" w:rsidP="00A8005B">
            <w:pPr>
              <w:spacing w:before="80" w:after="80" w:line="240" w:lineRule="atLeast"/>
              <w:ind w:left="0" w:firstLine="0"/>
              <w:rPr>
                <w:rFonts w:cs="Arial"/>
                <w:sz w:val="18"/>
                <w:szCs w:val="18"/>
              </w:rPr>
            </w:pPr>
          </w:p>
        </w:tc>
        <w:tc>
          <w:tcPr>
            <w:tcW w:w="1458" w:type="dxa"/>
            <w:shd w:val="clear" w:color="auto" w:fill="auto"/>
          </w:tcPr>
          <w:p w:rsidR="00E1635F" w:rsidRPr="00600BEE" w:rsidRDefault="00E1635F" w:rsidP="00A8005B">
            <w:pPr>
              <w:widowControl w:val="0"/>
              <w:spacing w:before="80" w:after="80" w:line="240" w:lineRule="atLeast"/>
              <w:ind w:left="0" w:firstLine="0"/>
              <w:rPr>
                <w:rFonts w:cs="Arial"/>
                <w:sz w:val="18"/>
                <w:szCs w:val="18"/>
              </w:rPr>
            </w:pPr>
            <w:r>
              <w:rPr>
                <w:sz w:val="18"/>
              </w:rPr>
              <w:t xml:space="preserve">paragrafo 7 </w:t>
            </w:r>
            <w:r>
              <w:rPr>
                <w:rFonts w:cs="Arial"/>
                <w:sz w:val="18"/>
                <w:szCs w:val="18"/>
              </w:rPr>
              <w:br/>
            </w:r>
            <w:r>
              <w:rPr>
                <w:sz w:val="18"/>
              </w:rPr>
              <w:t>prima e seconda frase</w:t>
            </w:r>
          </w:p>
        </w:tc>
        <w:tc>
          <w:tcPr>
            <w:tcW w:w="3296" w:type="dxa"/>
            <w:shd w:val="clear" w:color="auto" w:fill="auto"/>
          </w:tcPr>
          <w:p w:rsidR="00E1635F" w:rsidRPr="00600BEE" w:rsidRDefault="00E1635F" w:rsidP="00A8005B">
            <w:pPr>
              <w:widowControl w:val="0"/>
              <w:spacing w:before="80" w:after="80" w:line="240" w:lineRule="atLeast"/>
              <w:rPr>
                <w:rFonts w:cs="Arial"/>
                <w:sz w:val="18"/>
                <w:szCs w:val="18"/>
              </w:rPr>
            </w:pPr>
            <w:r>
              <w:rPr>
                <w:sz w:val="18"/>
              </w:rPr>
              <w:t>Sistemazioni e caratteristiche di protezione</w:t>
            </w:r>
          </w:p>
        </w:tc>
        <w:tc>
          <w:tcPr>
            <w:tcW w:w="6521" w:type="dxa"/>
            <w:shd w:val="clear" w:color="auto" w:fill="auto"/>
          </w:tcPr>
          <w:p w:rsidR="00E1635F" w:rsidRPr="00600BEE" w:rsidRDefault="00E1635F" w:rsidP="00A8005B">
            <w:pPr>
              <w:widowControl w:val="0"/>
              <w:spacing w:before="80" w:after="80" w:line="240" w:lineRule="atLeast"/>
              <w:ind w:left="0" w:firstLine="0"/>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E1635F" w:rsidRPr="00600BEE" w:rsidRDefault="00E1635F" w:rsidP="00A8005B">
            <w:pPr>
              <w:widowControl w:val="0"/>
              <w:spacing w:before="80" w:after="80" w:line="240" w:lineRule="atLeast"/>
              <w:rPr>
                <w:rFonts w:cs="Arial"/>
                <w:sz w:val="18"/>
                <w:szCs w:val="18"/>
              </w:rPr>
            </w:pPr>
            <w:r>
              <w:rPr>
                <w:sz w:val="18"/>
              </w:rPr>
              <w:t>1.1.2025</w:t>
            </w:r>
          </w:p>
        </w:tc>
      </w:tr>
      <w:tr w:rsidR="00E1635F" w:rsidRPr="00A0619C" w:rsidTr="00136542">
        <w:trPr>
          <w:cantSplit/>
          <w:jc w:val="center"/>
        </w:trPr>
        <w:tc>
          <w:tcPr>
            <w:tcW w:w="1342" w:type="dxa"/>
            <w:vMerge/>
            <w:shd w:val="clear" w:color="auto" w:fill="auto"/>
          </w:tcPr>
          <w:p w:rsidR="00E1635F" w:rsidRPr="00600BEE" w:rsidRDefault="00E1635F" w:rsidP="00A8005B">
            <w:pPr>
              <w:spacing w:before="80" w:after="80" w:line="240" w:lineRule="atLeast"/>
              <w:ind w:left="0" w:firstLine="0"/>
              <w:rPr>
                <w:rFonts w:cs="Arial"/>
                <w:sz w:val="18"/>
                <w:szCs w:val="18"/>
              </w:rPr>
            </w:pPr>
          </w:p>
        </w:tc>
        <w:tc>
          <w:tcPr>
            <w:tcW w:w="1458" w:type="dxa"/>
            <w:shd w:val="clear" w:color="auto" w:fill="auto"/>
          </w:tcPr>
          <w:p w:rsidR="00E1635F" w:rsidRPr="00600BEE" w:rsidRDefault="00E1635F" w:rsidP="00A8005B">
            <w:pPr>
              <w:widowControl w:val="0"/>
              <w:spacing w:before="80" w:after="80" w:line="240" w:lineRule="atLeast"/>
              <w:ind w:left="0" w:firstLine="0"/>
              <w:rPr>
                <w:rFonts w:cs="Arial"/>
                <w:sz w:val="18"/>
                <w:szCs w:val="18"/>
              </w:rPr>
            </w:pPr>
            <w:r>
              <w:rPr>
                <w:sz w:val="18"/>
              </w:rPr>
              <w:t xml:space="preserve">paragrafo 7 </w:t>
            </w:r>
            <w:r>
              <w:rPr>
                <w:rFonts w:cs="Arial"/>
                <w:sz w:val="18"/>
                <w:szCs w:val="18"/>
              </w:rPr>
              <w:br/>
            </w:r>
            <w:r>
              <w:rPr>
                <w:sz w:val="18"/>
              </w:rPr>
              <w:t>terza frase</w:t>
            </w:r>
          </w:p>
        </w:tc>
        <w:tc>
          <w:tcPr>
            <w:tcW w:w="3296" w:type="dxa"/>
            <w:shd w:val="clear" w:color="auto" w:fill="auto"/>
          </w:tcPr>
          <w:p w:rsidR="00E1635F" w:rsidRPr="00600BEE" w:rsidRDefault="00E1635F" w:rsidP="00A8005B">
            <w:pPr>
              <w:widowControl w:val="0"/>
              <w:spacing w:before="80" w:after="80" w:line="240" w:lineRule="atLeast"/>
              <w:rPr>
                <w:rFonts w:cs="Arial"/>
                <w:sz w:val="18"/>
                <w:szCs w:val="18"/>
              </w:rPr>
            </w:pPr>
            <w:r>
              <w:rPr>
                <w:sz w:val="18"/>
              </w:rPr>
              <w:t>Segnale visivo</w:t>
            </w:r>
          </w:p>
        </w:tc>
        <w:tc>
          <w:tcPr>
            <w:tcW w:w="6521" w:type="dxa"/>
            <w:shd w:val="clear" w:color="auto" w:fill="auto"/>
          </w:tcPr>
          <w:p w:rsidR="00E1635F" w:rsidRPr="00600BEE" w:rsidRDefault="00E1635F" w:rsidP="00A8005B">
            <w:pPr>
              <w:widowControl w:val="0"/>
              <w:spacing w:before="80" w:after="8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E1635F" w:rsidRPr="00600BEE" w:rsidRDefault="00E1635F" w:rsidP="00A8005B">
            <w:pPr>
              <w:widowControl w:val="0"/>
              <w:spacing w:before="80" w:after="80" w:line="240" w:lineRule="atLeast"/>
              <w:rPr>
                <w:rFonts w:cs="Arial"/>
                <w:sz w:val="18"/>
                <w:szCs w:val="18"/>
              </w:rPr>
            </w:pPr>
          </w:p>
        </w:tc>
      </w:tr>
      <w:tr w:rsidR="00E1635F" w:rsidRPr="000E732C" w:rsidTr="00136542">
        <w:trPr>
          <w:cantSplit/>
          <w:jc w:val="center"/>
        </w:trPr>
        <w:tc>
          <w:tcPr>
            <w:tcW w:w="1342" w:type="dxa"/>
            <w:vMerge/>
            <w:shd w:val="clear" w:color="auto" w:fill="auto"/>
          </w:tcPr>
          <w:p w:rsidR="00E1635F" w:rsidRPr="00600BEE" w:rsidRDefault="00E1635F" w:rsidP="00A8005B">
            <w:pPr>
              <w:spacing w:before="80" w:after="80" w:line="240" w:lineRule="atLeast"/>
              <w:ind w:left="0" w:firstLine="0"/>
              <w:rPr>
                <w:rFonts w:cs="Arial"/>
                <w:sz w:val="18"/>
                <w:szCs w:val="18"/>
              </w:rPr>
            </w:pPr>
          </w:p>
        </w:tc>
        <w:tc>
          <w:tcPr>
            <w:tcW w:w="1458" w:type="dxa"/>
            <w:shd w:val="clear" w:color="auto" w:fill="auto"/>
          </w:tcPr>
          <w:p w:rsidR="00E1635F" w:rsidRPr="00600BEE" w:rsidRDefault="00E1635F" w:rsidP="00A8005B">
            <w:pPr>
              <w:widowControl w:val="0"/>
              <w:spacing w:before="80" w:after="80" w:line="240" w:lineRule="atLeast"/>
              <w:ind w:left="0" w:firstLine="0"/>
              <w:rPr>
                <w:rFonts w:cs="Arial"/>
                <w:sz w:val="18"/>
                <w:szCs w:val="18"/>
              </w:rPr>
            </w:pPr>
            <w:r>
              <w:rPr>
                <w:sz w:val="18"/>
              </w:rPr>
              <w:t>paragrafo 8</w:t>
            </w:r>
          </w:p>
        </w:tc>
        <w:tc>
          <w:tcPr>
            <w:tcW w:w="3296" w:type="dxa"/>
            <w:shd w:val="clear" w:color="auto" w:fill="auto"/>
          </w:tcPr>
          <w:p w:rsidR="00E1635F" w:rsidRPr="00600BEE" w:rsidRDefault="00E1635F" w:rsidP="00A8005B">
            <w:pPr>
              <w:widowControl w:val="0"/>
              <w:tabs>
                <w:tab w:val="left" w:pos="1260"/>
              </w:tabs>
              <w:adjustRightInd w:val="0"/>
              <w:spacing w:before="80" w:after="80" w:line="240" w:lineRule="atLeast"/>
              <w:rPr>
                <w:rFonts w:cs="Arial"/>
                <w:sz w:val="18"/>
                <w:szCs w:val="18"/>
              </w:rPr>
            </w:pPr>
            <w:r>
              <w:rPr>
                <w:sz w:val="18"/>
              </w:rPr>
              <w:t>Sistema di abbassamento di emergenza</w:t>
            </w:r>
          </w:p>
        </w:tc>
        <w:tc>
          <w:tcPr>
            <w:tcW w:w="6521" w:type="dxa"/>
            <w:shd w:val="clear" w:color="auto" w:fill="auto"/>
          </w:tcPr>
          <w:p w:rsidR="00E1635F" w:rsidRPr="00600BEE" w:rsidRDefault="00E1635F" w:rsidP="00A8005B">
            <w:pPr>
              <w:widowControl w:val="0"/>
              <w:spacing w:before="80" w:after="80" w:line="240" w:lineRule="atLeast"/>
              <w:ind w:left="0" w:firstLine="0"/>
              <w:rPr>
                <w:rFonts w:cs="Arial"/>
                <w:sz w:val="18"/>
                <w:szCs w:val="18"/>
              </w:rPr>
            </w:pPr>
            <w:r>
              <w:rPr>
                <w:sz w:val="18"/>
              </w:rPr>
              <w:t xml:space="preserve">Se l'abbassamento idraulico non è possibile: N.S.T., al più tardi alla data del rinnovo del certificato per la navigazione interna posteriormente al </w:t>
            </w:r>
          </w:p>
        </w:tc>
        <w:tc>
          <w:tcPr>
            <w:tcW w:w="1276" w:type="dxa"/>
            <w:shd w:val="clear" w:color="auto" w:fill="auto"/>
          </w:tcPr>
          <w:p w:rsidR="00E1635F" w:rsidRPr="00600BEE" w:rsidRDefault="00E1635F" w:rsidP="00A8005B">
            <w:pPr>
              <w:widowControl w:val="0"/>
              <w:spacing w:before="80" w:after="80" w:line="240" w:lineRule="atLeast"/>
              <w:rPr>
                <w:rFonts w:cs="Arial"/>
                <w:sz w:val="18"/>
                <w:szCs w:val="18"/>
              </w:rPr>
            </w:pPr>
            <w:r>
              <w:rPr>
                <w:sz w:val="18"/>
              </w:rPr>
              <w:t>1.1.2040</w:t>
            </w:r>
          </w:p>
        </w:tc>
      </w:tr>
      <w:tr w:rsidR="00E1635F" w:rsidRPr="00A0619C" w:rsidTr="00136542">
        <w:trPr>
          <w:cantSplit/>
          <w:trHeight w:val="184"/>
          <w:jc w:val="center"/>
        </w:trPr>
        <w:tc>
          <w:tcPr>
            <w:tcW w:w="1342" w:type="dxa"/>
            <w:vMerge/>
            <w:shd w:val="clear" w:color="auto" w:fill="auto"/>
          </w:tcPr>
          <w:p w:rsidR="00E1635F" w:rsidRPr="00600BEE" w:rsidRDefault="00E1635F" w:rsidP="00A8005B">
            <w:pPr>
              <w:spacing w:before="80" w:after="80" w:line="240" w:lineRule="atLeast"/>
              <w:ind w:left="0" w:firstLine="0"/>
              <w:rPr>
                <w:rFonts w:cs="Arial"/>
                <w:sz w:val="18"/>
                <w:szCs w:val="18"/>
              </w:rPr>
            </w:pPr>
          </w:p>
        </w:tc>
        <w:tc>
          <w:tcPr>
            <w:tcW w:w="1458" w:type="dxa"/>
            <w:vMerge w:val="restart"/>
            <w:shd w:val="clear" w:color="auto" w:fill="auto"/>
          </w:tcPr>
          <w:p w:rsidR="00E1635F" w:rsidRPr="00600BEE" w:rsidDel="00F12D85" w:rsidRDefault="00E1635F" w:rsidP="00A8005B">
            <w:pPr>
              <w:widowControl w:val="0"/>
              <w:spacing w:before="80" w:after="80" w:line="240" w:lineRule="atLeast"/>
              <w:rPr>
                <w:rFonts w:cs="Arial"/>
                <w:sz w:val="18"/>
                <w:szCs w:val="18"/>
              </w:rPr>
            </w:pPr>
            <w:r>
              <w:rPr>
                <w:sz w:val="18"/>
              </w:rPr>
              <w:t>paragrafo 12, lettera c)</w:t>
            </w:r>
          </w:p>
        </w:tc>
        <w:tc>
          <w:tcPr>
            <w:tcW w:w="3296" w:type="dxa"/>
            <w:vMerge w:val="restart"/>
            <w:shd w:val="clear" w:color="auto" w:fill="auto"/>
          </w:tcPr>
          <w:p w:rsidR="00E1635F" w:rsidRPr="00600BEE" w:rsidRDefault="00E1635F" w:rsidP="00A8005B">
            <w:pPr>
              <w:widowControl w:val="0"/>
              <w:tabs>
                <w:tab w:val="left" w:pos="1260"/>
              </w:tabs>
              <w:adjustRightInd w:val="0"/>
              <w:spacing w:before="80" w:after="80" w:line="240" w:lineRule="atLeast"/>
              <w:rPr>
                <w:rFonts w:cs="Arial"/>
                <w:sz w:val="18"/>
                <w:szCs w:val="18"/>
              </w:rPr>
            </w:pPr>
            <w:r>
              <w:rPr>
                <w:sz w:val="18"/>
              </w:rPr>
              <w:t>Prove</w:t>
            </w:r>
          </w:p>
        </w:tc>
        <w:tc>
          <w:tcPr>
            <w:tcW w:w="6521" w:type="dxa"/>
            <w:shd w:val="clear" w:color="auto" w:fill="auto"/>
          </w:tcPr>
          <w:p w:rsidR="00E1635F" w:rsidRPr="00600BEE" w:rsidRDefault="00E1635F" w:rsidP="00A8005B">
            <w:pPr>
              <w:widowControl w:val="0"/>
              <w:spacing w:before="80" w:after="80" w:line="240" w:lineRule="atLeast"/>
              <w:ind w:left="0" w:firstLine="0"/>
              <w:rPr>
                <w:rFonts w:cs="Arial"/>
                <w:sz w:val="18"/>
                <w:szCs w:val="18"/>
              </w:rPr>
            </w:pPr>
            <w:r>
              <w:rPr>
                <w:sz w:val="18"/>
              </w:rPr>
              <w:t>N.S.T., al più tardi alla data del rinnovo del certificato per la navigazione interna.</w:t>
            </w:r>
          </w:p>
        </w:tc>
        <w:tc>
          <w:tcPr>
            <w:tcW w:w="1276" w:type="dxa"/>
            <w:vMerge w:val="restart"/>
            <w:shd w:val="clear" w:color="auto" w:fill="auto"/>
          </w:tcPr>
          <w:p w:rsidR="00E1635F" w:rsidRPr="006125DB" w:rsidRDefault="00E1635F" w:rsidP="00A8005B">
            <w:pPr>
              <w:widowControl w:val="0"/>
              <w:spacing w:before="80" w:after="80" w:line="240" w:lineRule="atLeast"/>
              <w:rPr>
                <w:rFonts w:cs="Arial"/>
                <w:sz w:val="18"/>
                <w:szCs w:val="18"/>
                <w:highlight w:val="lightGray"/>
              </w:rPr>
            </w:pPr>
          </w:p>
        </w:tc>
      </w:tr>
      <w:tr w:rsidR="00E1635F" w:rsidRPr="00A0619C" w:rsidTr="00136542">
        <w:trPr>
          <w:cantSplit/>
          <w:trHeight w:val="183"/>
          <w:jc w:val="center"/>
        </w:trPr>
        <w:tc>
          <w:tcPr>
            <w:tcW w:w="1342" w:type="dxa"/>
            <w:vMerge/>
            <w:shd w:val="clear" w:color="auto" w:fill="auto"/>
          </w:tcPr>
          <w:p w:rsidR="00E1635F" w:rsidRPr="00600BEE" w:rsidRDefault="00E1635F" w:rsidP="00A8005B">
            <w:pPr>
              <w:spacing w:before="80" w:after="80" w:line="240" w:lineRule="atLeast"/>
              <w:ind w:left="0" w:firstLine="0"/>
              <w:rPr>
                <w:rFonts w:cs="Arial"/>
                <w:sz w:val="18"/>
                <w:szCs w:val="18"/>
              </w:rPr>
            </w:pPr>
          </w:p>
        </w:tc>
        <w:tc>
          <w:tcPr>
            <w:tcW w:w="1458" w:type="dxa"/>
            <w:vMerge/>
            <w:shd w:val="clear" w:color="auto" w:fill="auto"/>
          </w:tcPr>
          <w:p w:rsidR="00E1635F" w:rsidRPr="00600BEE" w:rsidRDefault="00E1635F" w:rsidP="00A8005B">
            <w:pPr>
              <w:widowControl w:val="0"/>
              <w:spacing w:before="80" w:after="80" w:line="240" w:lineRule="atLeast"/>
              <w:rPr>
                <w:rFonts w:cs="Arial"/>
                <w:sz w:val="18"/>
                <w:szCs w:val="18"/>
              </w:rPr>
            </w:pPr>
          </w:p>
        </w:tc>
        <w:tc>
          <w:tcPr>
            <w:tcW w:w="3296" w:type="dxa"/>
            <w:vMerge/>
            <w:shd w:val="clear" w:color="auto" w:fill="auto"/>
          </w:tcPr>
          <w:p w:rsidR="00E1635F" w:rsidRPr="00600BEE" w:rsidRDefault="00E1635F" w:rsidP="00A8005B">
            <w:pPr>
              <w:widowControl w:val="0"/>
              <w:tabs>
                <w:tab w:val="left" w:pos="1260"/>
              </w:tabs>
              <w:adjustRightInd w:val="0"/>
              <w:spacing w:before="80" w:after="80" w:line="240" w:lineRule="atLeast"/>
              <w:rPr>
                <w:rFonts w:cs="Arial"/>
                <w:sz w:val="18"/>
                <w:szCs w:val="18"/>
              </w:rPr>
            </w:pPr>
          </w:p>
        </w:tc>
        <w:tc>
          <w:tcPr>
            <w:tcW w:w="6521" w:type="dxa"/>
            <w:shd w:val="clear" w:color="auto" w:fill="auto"/>
          </w:tcPr>
          <w:p w:rsidR="00E1635F" w:rsidRPr="00600BEE" w:rsidRDefault="00E1635F" w:rsidP="00A8005B">
            <w:pPr>
              <w:widowControl w:val="0"/>
              <w:spacing w:before="80" w:after="80" w:line="240" w:lineRule="atLeast"/>
              <w:ind w:left="0" w:firstLine="0"/>
              <w:rPr>
                <w:rFonts w:cs="Arial"/>
                <w:sz w:val="18"/>
                <w:szCs w:val="18"/>
              </w:rPr>
            </w:pPr>
            <w:r>
              <w:rPr>
                <w:sz w:val="18"/>
              </w:rPr>
              <w:t>Qualora non possa essere fornita la prova matematica, la commissione di ispezione può riconoscere altre prove idonee come equivalenti.</w:t>
            </w:r>
          </w:p>
        </w:tc>
        <w:tc>
          <w:tcPr>
            <w:tcW w:w="1276" w:type="dxa"/>
            <w:vMerge/>
            <w:shd w:val="clear" w:color="auto" w:fill="auto"/>
          </w:tcPr>
          <w:p w:rsidR="00E1635F" w:rsidRPr="00C903F8" w:rsidRDefault="00E1635F" w:rsidP="00A8005B">
            <w:pPr>
              <w:spacing w:before="80" w:after="80" w:line="240" w:lineRule="atLeast"/>
              <w:ind w:left="0" w:firstLine="0"/>
              <w:rPr>
                <w:rFonts w:cs="Arial"/>
                <w:sz w:val="18"/>
                <w:szCs w:val="18"/>
              </w:rPr>
            </w:pPr>
          </w:p>
        </w:tc>
      </w:tr>
      <w:tr w:rsidR="001964F8" w:rsidRPr="00C903F8" w:rsidTr="001964F8">
        <w:trPr>
          <w:cantSplit/>
          <w:jc w:val="center"/>
        </w:trPr>
        <w:tc>
          <w:tcPr>
            <w:tcW w:w="6096" w:type="dxa"/>
            <w:gridSpan w:val="3"/>
            <w:shd w:val="clear" w:color="auto" w:fill="auto"/>
          </w:tcPr>
          <w:p w:rsidR="001964F8" w:rsidRPr="00C903F8" w:rsidRDefault="001964F8" w:rsidP="00A8005B">
            <w:pPr>
              <w:spacing w:before="140" w:after="140" w:line="240" w:lineRule="atLeast"/>
              <w:ind w:left="0" w:firstLine="0"/>
              <w:jc w:val="center"/>
              <w:rPr>
                <w:rFonts w:cs="Arial"/>
                <w:sz w:val="18"/>
                <w:szCs w:val="18"/>
              </w:rPr>
            </w:pPr>
            <w:r>
              <w:rPr>
                <w:b/>
                <w:sz w:val="18"/>
              </w:rPr>
              <w:t>CAPO 8</w:t>
            </w:r>
          </w:p>
        </w:tc>
        <w:tc>
          <w:tcPr>
            <w:tcW w:w="6521" w:type="dxa"/>
            <w:shd w:val="clear" w:color="auto" w:fill="auto"/>
          </w:tcPr>
          <w:p w:rsidR="001964F8" w:rsidRPr="00C903F8" w:rsidRDefault="001964F8" w:rsidP="00A8005B">
            <w:pPr>
              <w:spacing w:before="140" w:after="140" w:line="240" w:lineRule="atLeast"/>
              <w:ind w:left="0" w:firstLine="0"/>
              <w:rPr>
                <w:rFonts w:cs="Arial"/>
                <w:sz w:val="18"/>
                <w:szCs w:val="18"/>
              </w:rPr>
            </w:pP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p>
        </w:tc>
      </w:tr>
      <w:tr w:rsidR="001964F8" w:rsidRPr="00C903F8" w:rsidTr="001964F8">
        <w:trPr>
          <w:cantSplit/>
          <w:jc w:val="center"/>
        </w:trPr>
        <w:tc>
          <w:tcPr>
            <w:tcW w:w="1342" w:type="dxa"/>
            <w:tcBorders>
              <w:bottom w:val="single" w:sz="4" w:space="0" w:color="auto"/>
            </w:tcBorders>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8.01</w:t>
            </w:r>
          </w:p>
        </w:tc>
        <w:tc>
          <w:tcPr>
            <w:tcW w:w="1458"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paragrafo 3</w:t>
            </w:r>
          </w:p>
        </w:tc>
        <w:tc>
          <w:tcPr>
            <w:tcW w:w="3296" w:type="dxa"/>
            <w:shd w:val="clear" w:color="auto" w:fill="auto"/>
          </w:tcPr>
          <w:p w:rsidR="001964F8" w:rsidRPr="00C903F8" w:rsidRDefault="001964F8" w:rsidP="00A8005B">
            <w:pPr>
              <w:spacing w:before="140" w:after="140" w:line="240" w:lineRule="atLeast"/>
              <w:ind w:left="0" w:firstLine="0"/>
              <w:rPr>
                <w:rFonts w:cs="Arial"/>
                <w:sz w:val="18"/>
                <w:szCs w:val="18"/>
              </w:rPr>
            </w:pPr>
            <w:r>
              <w:rPr>
                <w:noProof/>
                <w:sz w:val="18"/>
              </w:rPr>
              <w:t>Soltanto motori a combustione interna funzionanti con combustibile avente un punto d'infiammabilità superiore a 55 °C</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30.12.2029</w:t>
            </w:r>
          </w:p>
        </w:tc>
      </w:tr>
      <w:tr w:rsidR="001964F8" w:rsidRPr="00C903F8" w:rsidTr="001964F8">
        <w:trPr>
          <w:cantSplit/>
          <w:jc w:val="center"/>
        </w:trPr>
        <w:tc>
          <w:tcPr>
            <w:tcW w:w="1342" w:type="dxa"/>
            <w:tcBorders>
              <w:bottom w:val="nil"/>
            </w:tcBorders>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8.02</w:t>
            </w:r>
          </w:p>
        </w:tc>
        <w:tc>
          <w:tcPr>
            <w:tcW w:w="1458"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paragrafo 1</w:t>
            </w:r>
          </w:p>
        </w:tc>
        <w:tc>
          <w:tcPr>
            <w:tcW w:w="3296" w:type="dxa"/>
            <w:shd w:val="clear" w:color="auto" w:fill="auto"/>
          </w:tcPr>
          <w:p w:rsidR="001964F8" w:rsidRPr="00C903F8" w:rsidRDefault="001964F8" w:rsidP="00A8005B">
            <w:pPr>
              <w:spacing w:before="140" w:after="140" w:line="240" w:lineRule="atLeast"/>
              <w:ind w:left="0" w:firstLine="0"/>
              <w:rPr>
                <w:rFonts w:cs="Arial"/>
                <w:sz w:val="18"/>
                <w:szCs w:val="18"/>
              </w:rPr>
            </w:pPr>
            <w:r>
              <w:rPr>
                <w:noProof/>
                <w:sz w:val="18"/>
              </w:rPr>
              <w:t>Macchine garantite contro un avviamento accidentale</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30.12.2024</w:t>
            </w:r>
          </w:p>
        </w:tc>
      </w:tr>
      <w:tr w:rsidR="001964F8" w:rsidRPr="00C903F8" w:rsidTr="001964F8">
        <w:trPr>
          <w:cantSplit/>
          <w:jc w:val="center"/>
        </w:trPr>
        <w:tc>
          <w:tcPr>
            <w:tcW w:w="1342" w:type="dxa"/>
            <w:tcBorders>
              <w:top w:val="nil"/>
              <w:bottom w:val="nil"/>
            </w:tcBorders>
            <w:shd w:val="clear" w:color="auto" w:fill="auto"/>
          </w:tcPr>
          <w:p w:rsidR="001964F8" w:rsidRPr="00C903F8" w:rsidRDefault="001964F8" w:rsidP="00A8005B">
            <w:pPr>
              <w:spacing w:before="140" w:after="14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paragrafo 4</w:t>
            </w:r>
          </w:p>
        </w:tc>
        <w:tc>
          <w:tcPr>
            <w:tcW w:w="3296" w:type="dxa"/>
            <w:shd w:val="clear" w:color="auto" w:fill="auto"/>
          </w:tcPr>
          <w:p w:rsidR="001964F8" w:rsidRPr="00C903F8" w:rsidRDefault="001964F8" w:rsidP="00A8005B">
            <w:pPr>
              <w:spacing w:before="140" w:after="140" w:line="240" w:lineRule="atLeast"/>
              <w:ind w:left="0" w:firstLine="0"/>
              <w:rPr>
                <w:rFonts w:cs="Arial"/>
                <w:sz w:val="18"/>
                <w:szCs w:val="18"/>
              </w:rPr>
            </w:pPr>
            <w:r>
              <w:rPr>
                <w:noProof/>
                <w:sz w:val="18"/>
              </w:rPr>
              <w:t>Schermatura delle tubature</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30.12.2024</w:t>
            </w:r>
          </w:p>
        </w:tc>
      </w:tr>
      <w:tr w:rsidR="001964F8" w:rsidRPr="00C903F8" w:rsidTr="001964F8">
        <w:trPr>
          <w:cantSplit/>
          <w:jc w:val="center"/>
        </w:trPr>
        <w:tc>
          <w:tcPr>
            <w:tcW w:w="1342" w:type="dxa"/>
            <w:tcBorders>
              <w:top w:val="nil"/>
              <w:bottom w:val="nil"/>
            </w:tcBorders>
            <w:shd w:val="clear" w:color="auto" w:fill="auto"/>
          </w:tcPr>
          <w:p w:rsidR="001964F8" w:rsidRPr="00C903F8" w:rsidRDefault="001964F8" w:rsidP="00A8005B">
            <w:pPr>
              <w:spacing w:before="140" w:after="14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paragrafo 5</w:t>
            </w:r>
          </w:p>
        </w:tc>
        <w:tc>
          <w:tcPr>
            <w:tcW w:w="3296" w:type="dxa"/>
            <w:shd w:val="clear" w:color="auto" w:fill="auto"/>
          </w:tcPr>
          <w:p w:rsidR="001964F8" w:rsidRPr="00C903F8" w:rsidRDefault="001964F8" w:rsidP="00A8005B">
            <w:pPr>
              <w:spacing w:before="140" w:after="140" w:line="240" w:lineRule="atLeast"/>
              <w:ind w:left="0" w:firstLine="0"/>
              <w:rPr>
                <w:rFonts w:cs="Arial"/>
                <w:noProof/>
                <w:sz w:val="18"/>
                <w:szCs w:val="18"/>
              </w:rPr>
            </w:pPr>
            <w:r>
              <w:rPr>
                <w:noProof/>
                <w:sz w:val="18"/>
              </w:rPr>
              <w:t>Sistema di tubature a doppia parete</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30.12.2024</w:t>
            </w:r>
          </w:p>
        </w:tc>
      </w:tr>
      <w:tr w:rsidR="001964F8" w:rsidRPr="00A0619C" w:rsidTr="001964F8">
        <w:trPr>
          <w:cantSplit/>
          <w:jc w:val="center"/>
        </w:trPr>
        <w:tc>
          <w:tcPr>
            <w:tcW w:w="1342" w:type="dxa"/>
            <w:tcBorders>
              <w:top w:val="nil"/>
              <w:bottom w:val="single" w:sz="4" w:space="0" w:color="auto"/>
            </w:tcBorders>
            <w:shd w:val="clear" w:color="auto" w:fill="auto"/>
          </w:tcPr>
          <w:p w:rsidR="001964F8" w:rsidRPr="00C903F8" w:rsidRDefault="001964F8" w:rsidP="00A8005B">
            <w:pPr>
              <w:spacing w:before="140" w:after="140" w:line="240" w:lineRule="atLeast"/>
              <w:ind w:left="0" w:firstLine="0"/>
              <w:rPr>
                <w:rFonts w:cs="Arial"/>
                <w:strike/>
                <w:sz w:val="18"/>
                <w:szCs w:val="18"/>
              </w:rPr>
            </w:pPr>
          </w:p>
        </w:tc>
        <w:tc>
          <w:tcPr>
            <w:tcW w:w="1458"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paragrafo 6</w:t>
            </w:r>
          </w:p>
        </w:tc>
        <w:tc>
          <w:tcPr>
            <w:tcW w:w="329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Isolamento di parti di macchine</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p>
        </w:tc>
      </w:tr>
      <w:tr w:rsidR="001964F8" w:rsidRPr="00C903F8" w:rsidTr="001964F8">
        <w:trPr>
          <w:cantSplit/>
          <w:jc w:val="center"/>
        </w:trPr>
        <w:tc>
          <w:tcPr>
            <w:tcW w:w="1342" w:type="dxa"/>
            <w:tcBorders>
              <w:bottom w:val="nil"/>
            </w:tcBorders>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8.03</w:t>
            </w:r>
          </w:p>
        </w:tc>
        <w:tc>
          <w:tcPr>
            <w:tcW w:w="1458"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paragrafo 2</w:t>
            </w:r>
          </w:p>
        </w:tc>
        <w:tc>
          <w:tcPr>
            <w:tcW w:w="3296" w:type="dxa"/>
            <w:shd w:val="clear" w:color="auto" w:fill="auto"/>
          </w:tcPr>
          <w:p w:rsidR="001964F8" w:rsidRPr="00C903F8" w:rsidRDefault="001964F8" w:rsidP="00A8005B">
            <w:pPr>
              <w:spacing w:before="140" w:after="140" w:line="240" w:lineRule="atLeast"/>
              <w:ind w:left="0" w:firstLine="0"/>
              <w:rPr>
                <w:rFonts w:cs="Arial"/>
                <w:sz w:val="18"/>
                <w:szCs w:val="18"/>
              </w:rPr>
            </w:pPr>
            <w:r>
              <w:rPr>
                <w:noProof/>
                <w:sz w:val="18"/>
              </w:rPr>
              <w:t>Dispositivi di controllo</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30.12.2024</w:t>
            </w:r>
          </w:p>
        </w:tc>
      </w:tr>
      <w:tr w:rsidR="001964F8" w:rsidRPr="00C903F8" w:rsidTr="001964F8">
        <w:trPr>
          <w:cantSplit/>
          <w:jc w:val="center"/>
        </w:trPr>
        <w:tc>
          <w:tcPr>
            <w:tcW w:w="1342" w:type="dxa"/>
            <w:tcBorders>
              <w:top w:val="nil"/>
              <w:bottom w:val="nil"/>
            </w:tcBorders>
            <w:shd w:val="clear" w:color="auto" w:fill="auto"/>
          </w:tcPr>
          <w:p w:rsidR="001964F8" w:rsidRPr="00C903F8" w:rsidRDefault="001964F8" w:rsidP="00A8005B">
            <w:pPr>
              <w:spacing w:before="140" w:after="14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paragrafo 4</w:t>
            </w:r>
          </w:p>
        </w:tc>
        <w:tc>
          <w:tcPr>
            <w:tcW w:w="3296" w:type="dxa"/>
            <w:shd w:val="clear" w:color="auto" w:fill="auto"/>
          </w:tcPr>
          <w:p w:rsidR="001964F8" w:rsidRPr="00C903F8" w:rsidRDefault="001964F8" w:rsidP="00A8005B">
            <w:pPr>
              <w:spacing w:before="140" w:after="140" w:line="240" w:lineRule="atLeast"/>
              <w:ind w:left="0" w:firstLine="0"/>
              <w:rPr>
                <w:rFonts w:cs="Arial"/>
                <w:sz w:val="18"/>
                <w:szCs w:val="18"/>
              </w:rPr>
            </w:pPr>
            <w:r>
              <w:rPr>
                <w:noProof/>
                <w:sz w:val="18"/>
              </w:rPr>
              <w:t>Protezione automatica contro la manifestazione di sovravelocità e lo spegnimento</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30.12.2024</w:t>
            </w:r>
          </w:p>
        </w:tc>
      </w:tr>
      <w:tr w:rsidR="001964F8" w:rsidRPr="00C903F8" w:rsidTr="001964F8">
        <w:trPr>
          <w:cantSplit/>
          <w:jc w:val="center"/>
        </w:trPr>
        <w:tc>
          <w:tcPr>
            <w:tcW w:w="1342" w:type="dxa"/>
            <w:tcBorders>
              <w:top w:val="nil"/>
              <w:bottom w:val="single" w:sz="4" w:space="0" w:color="auto"/>
            </w:tcBorders>
            <w:shd w:val="clear" w:color="auto" w:fill="auto"/>
          </w:tcPr>
          <w:p w:rsidR="001964F8" w:rsidRPr="00C903F8" w:rsidRDefault="001964F8" w:rsidP="00A8005B">
            <w:pPr>
              <w:spacing w:before="140" w:after="14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paragrafo 5</w:t>
            </w:r>
          </w:p>
        </w:tc>
        <w:tc>
          <w:tcPr>
            <w:tcW w:w="3296" w:type="dxa"/>
            <w:shd w:val="clear" w:color="auto" w:fill="auto"/>
          </w:tcPr>
          <w:p w:rsidR="001964F8" w:rsidRPr="00C903F8" w:rsidRDefault="001964F8" w:rsidP="00A8005B">
            <w:pPr>
              <w:spacing w:before="140" w:after="140" w:line="240" w:lineRule="atLeast"/>
              <w:ind w:left="0" w:firstLine="0"/>
              <w:rPr>
                <w:rFonts w:cs="Arial"/>
                <w:sz w:val="18"/>
                <w:szCs w:val="18"/>
              </w:rPr>
            </w:pPr>
            <w:r>
              <w:rPr>
                <w:noProof/>
                <w:sz w:val="18"/>
              </w:rPr>
              <w:t>Progettazione dei passaggi dell'albero</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30.12.2029</w:t>
            </w:r>
          </w:p>
        </w:tc>
      </w:tr>
      <w:tr w:rsidR="001964F8" w:rsidRPr="00C903F8" w:rsidTr="001964F8">
        <w:trPr>
          <w:cantSplit/>
          <w:jc w:val="center"/>
        </w:trPr>
        <w:tc>
          <w:tcPr>
            <w:tcW w:w="1342" w:type="dxa"/>
            <w:tcBorders>
              <w:bottom w:val="nil"/>
            </w:tcBorders>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8.05</w:t>
            </w:r>
          </w:p>
        </w:tc>
        <w:tc>
          <w:tcPr>
            <w:tcW w:w="1458"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paragrafo 1</w:t>
            </w:r>
          </w:p>
        </w:tc>
        <w:tc>
          <w:tcPr>
            <w:tcW w:w="3296" w:type="dxa"/>
            <w:shd w:val="clear" w:color="auto" w:fill="auto"/>
          </w:tcPr>
          <w:p w:rsidR="001964F8" w:rsidRPr="00C903F8" w:rsidRDefault="001964F8" w:rsidP="00A8005B">
            <w:pPr>
              <w:spacing w:before="140" w:after="140" w:line="240" w:lineRule="atLeast"/>
              <w:ind w:left="0" w:firstLine="0"/>
              <w:rPr>
                <w:rFonts w:cs="Arial"/>
                <w:sz w:val="18"/>
                <w:szCs w:val="18"/>
              </w:rPr>
            </w:pPr>
            <w:r>
              <w:rPr>
                <w:noProof/>
                <w:sz w:val="18"/>
              </w:rPr>
              <w:t>Serbatoi in acciaio per combustibili liquidi</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30.12.2029</w:t>
            </w:r>
          </w:p>
        </w:tc>
      </w:tr>
      <w:tr w:rsidR="001964F8" w:rsidRPr="00A0619C" w:rsidTr="001964F8">
        <w:trPr>
          <w:cantSplit/>
          <w:jc w:val="center"/>
        </w:trPr>
        <w:tc>
          <w:tcPr>
            <w:tcW w:w="1342" w:type="dxa"/>
            <w:tcBorders>
              <w:top w:val="nil"/>
              <w:bottom w:val="nil"/>
            </w:tcBorders>
            <w:shd w:val="clear" w:color="auto" w:fill="auto"/>
          </w:tcPr>
          <w:p w:rsidR="001964F8" w:rsidRPr="00C903F8" w:rsidRDefault="001964F8" w:rsidP="00A8005B">
            <w:pPr>
              <w:spacing w:before="140" w:after="140" w:line="240" w:lineRule="atLeast"/>
              <w:ind w:left="0" w:firstLine="0"/>
              <w:rPr>
                <w:rFonts w:cs="Arial"/>
                <w:sz w:val="18"/>
                <w:szCs w:val="18"/>
              </w:rPr>
            </w:pPr>
          </w:p>
        </w:tc>
        <w:tc>
          <w:tcPr>
            <w:tcW w:w="1458" w:type="dxa"/>
            <w:tcBorders>
              <w:bottom w:val="single" w:sz="4" w:space="0" w:color="auto"/>
            </w:tcBorders>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paragrafo 2</w:t>
            </w:r>
          </w:p>
        </w:tc>
        <w:tc>
          <w:tcPr>
            <w:tcW w:w="3296" w:type="dxa"/>
            <w:shd w:val="clear" w:color="auto" w:fill="auto"/>
          </w:tcPr>
          <w:p w:rsidR="001964F8" w:rsidRPr="00C903F8" w:rsidRDefault="001964F8" w:rsidP="00A8005B">
            <w:pPr>
              <w:spacing w:before="140" w:after="140" w:line="240" w:lineRule="atLeast"/>
              <w:ind w:left="0" w:firstLine="0"/>
              <w:rPr>
                <w:rFonts w:cs="Arial"/>
                <w:sz w:val="18"/>
                <w:szCs w:val="18"/>
              </w:rPr>
            </w:pPr>
            <w:r>
              <w:rPr>
                <w:noProof/>
                <w:sz w:val="18"/>
              </w:rPr>
              <w:t>Chiusura automatica delle valvole dei serbatoi</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p>
        </w:tc>
      </w:tr>
      <w:tr w:rsidR="001964F8" w:rsidRPr="00C903F8" w:rsidTr="001964F8">
        <w:trPr>
          <w:cantSplit/>
          <w:jc w:val="center"/>
        </w:trPr>
        <w:tc>
          <w:tcPr>
            <w:tcW w:w="1342" w:type="dxa"/>
            <w:tcBorders>
              <w:top w:val="nil"/>
              <w:bottom w:val="nil"/>
            </w:tcBorders>
            <w:shd w:val="clear" w:color="auto" w:fill="auto"/>
          </w:tcPr>
          <w:p w:rsidR="001964F8" w:rsidRPr="00C903F8" w:rsidRDefault="001964F8" w:rsidP="00A8005B">
            <w:pPr>
              <w:spacing w:before="140" w:after="140" w:line="240" w:lineRule="atLeast"/>
              <w:ind w:left="0" w:firstLine="0"/>
              <w:rPr>
                <w:rFonts w:cs="Arial"/>
                <w:sz w:val="18"/>
                <w:szCs w:val="18"/>
              </w:rPr>
            </w:pPr>
          </w:p>
        </w:tc>
        <w:tc>
          <w:tcPr>
            <w:tcW w:w="1458" w:type="dxa"/>
            <w:tcBorders>
              <w:bottom w:val="nil"/>
            </w:tcBorders>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paragrafo 3</w:t>
            </w:r>
          </w:p>
        </w:tc>
        <w:tc>
          <w:tcPr>
            <w:tcW w:w="3296" w:type="dxa"/>
            <w:shd w:val="clear" w:color="auto" w:fill="auto"/>
          </w:tcPr>
          <w:p w:rsidR="001964F8" w:rsidRPr="00C903F8" w:rsidRDefault="001964F8" w:rsidP="00A8005B">
            <w:pPr>
              <w:tabs>
                <w:tab w:val="left" w:pos="1170"/>
              </w:tabs>
              <w:spacing w:before="140" w:after="140" w:line="240" w:lineRule="atLeast"/>
              <w:ind w:left="0" w:firstLine="0"/>
              <w:rPr>
                <w:rFonts w:cs="Arial"/>
                <w:sz w:val="18"/>
                <w:szCs w:val="18"/>
              </w:rPr>
            </w:pPr>
            <w:r>
              <w:rPr>
                <w:noProof/>
                <w:sz w:val="18"/>
              </w:rPr>
              <w:t>Divieto di collocare a prua della paratia di collisione serbatoi per il combustibile</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30.12.2024</w:t>
            </w:r>
          </w:p>
        </w:tc>
      </w:tr>
      <w:tr w:rsidR="001964F8" w:rsidRPr="00C903F8" w:rsidTr="001964F8">
        <w:trPr>
          <w:cantSplit/>
          <w:jc w:val="center"/>
        </w:trPr>
        <w:tc>
          <w:tcPr>
            <w:tcW w:w="1342" w:type="dxa"/>
            <w:tcBorders>
              <w:top w:val="nil"/>
              <w:bottom w:val="nil"/>
            </w:tcBorders>
            <w:shd w:val="clear" w:color="auto" w:fill="auto"/>
          </w:tcPr>
          <w:p w:rsidR="001964F8" w:rsidRPr="00C903F8" w:rsidRDefault="001964F8" w:rsidP="00A8005B">
            <w:pPr>
              <w:spacing w:before="140" w:after="140" w:line="240" w:lineRule="atLeast"/>
              <w:ind w:left="0" w:firstLine="0"/>
              <w:rPr>
                <w:rFonts w:cs="Arial"/>
                <w:sz w:val="18"/>
                <w:szCs w:val="18"/>
              </w:rPr>
            </w:pPr>
          </w:p>
        </w:tc>
        <w:tc>
          <w:tcPr>
            <w:tcW w:w="1458" w:type="dxa"/>
            <w:tcBorders>
              <w:top w:val="nil"/>
              <w:bottom w:val="single" w:sz="4" w:space="0" w:color="auto"/>
            </w:tcBorders>
            <w:shd w:val="clear" w:color="auto" w:fill="auto"/>
          </w:tcPr>
          <w:p w:rsidR="001964F8" w:rsidRPr="00C903F8" w:rsidRDefault="001964F8" w:rsidP="00A8005B">
            <w:pPr>
              <w:spacing w:before="140" w:after="140" w:line="240" w:lineRule="atLeast"/>
              <w:ind w:left="0" w:firstLine="0"/>
              <w:rPr>
                <w:rFonts w:cs="Arial"/>
                <w:sz w:val="18"/>
                <w:szCs w:val="18"/>
              </w:rPr>
            </w:pPr>
          </w:p>
        </w:tc>
        <w:tc>
          <w:tcPr>
            <w:tcW w:w="3296" w:type="dxa"/>
            <w:shd w:val="clear" w:color="auto" w:fill="auto"/>
          </w:tcPr>
          <w:p w:rsidR="001964F8" w:rsidRPr="00C903F8" w:rsidRDefault="001964F8" w:rsidP="00A8005B">
            <w:pPr>
              <w:spacing w:before="140" w:after="140" w:line="240" w:lineRule="atLeast"/>
              <w:ind w:left="0" w:firstLine="0"/>
              <w:rPr>
                <w:rFonts w:cs="Arial"/>
                <w:sz w:val="18"/>
                <w:szCs w:val="18"/>
              </w:rPr>
            </w:pPr>
            <w:r>
              <w:rPr>
                <w:sz w:val="18"/>
              </w:rPr>
              <w:t>Nessun serbatoio per combustibili a poppa della paratia del gavone di poppa</w:t>
            </w:r>
          </w:p>
        </w:tc>
        <w:tc>
          <w:tcPr>
            <w:tcW w:w="6521" w:type="dxa"/>
            <w:shd w:val="clear" w:color="auto" w:fill="auto"/>
          </w:tcPr>
          <w:p w:rsidR="001964F8" w:rsidRPr="00C903F8" w:rsidRDefault="008761D9" w:rsidP="00A8005B">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4F8" w:rsidRPr="00C903F8" w:rsidRDefault="001A19C2" w:rsidP="00A8005B">
            <w:pPr>
              <w:spacing w:before="140" w:after="140" w:line="240" w:lineRule="atLeast"/>
              <w:ind w:left="0" w:firstLine="0"/>
              <w:rPr>
                <w:rFonts w:cs="Arial"/>
                <w:sz w:val="18"/>
                <w:szCs w:val="18"/>
              </w:rPr>
            </w:pPr>
            <w:r>
              <w:rPr>
                <w:sz w:val="18"/>
              </w:rPr>
              <w:t>30.12.2049</w:t>
            </w:r>
          </w:p>
        </w:tc>
      </w:tr>
      <w:tr w:rsidR="003A3ED2" w:rsidRPr="00C903F8" w:rsidTr="00AB6D23">
        <w:trPr>
          <w:cantSplit/>
          <w:jc w:val="center"/>
        </w:trPr>
        <w:tc>
          <w:tcPr>
            <w:tcW w:w="1342" w:type="dxa"/>
            <w:tcBorders>
              <w:top w:val="nil"/>
              <w:bottom w:val="nil"/>
            </w:tcBorders>
            <w:shd w:val="clear" w:color="auto" w:fill="auto"/>
          </w:tcPr>
          <w:p w:rsidR="003A3ED2" w:rsidRPr="00C903F8" w:rsidRDefault="003A3ED2" w:rsidP="00A8005B">
            <w:pPr>
              <w:spacing w:before="160" w:after="160" w:line="240" w:lineRule="atLeast"/>
              <w:ind w:left="0" w:firstLine="0"/>
              <w:rPr>
                <w:rFonts w:cs="Arial"/>
                <w:sz w:val="18"/>
                <w:szCs w:val="18"/>
              </w:rPr>
            </w:pPr>
          </w:p>
        </w:tc>
        <w:tc>
          <w:tcPr>
            <w:tcW w:w="1458" w:type="dxa"/>
            <w:vMerge w:val="restart"/>
            <w:shd w:val="clear" w:color="auto" w:fill="auto"/>
          </w:tcPr>
          <w:p w:rsidR="003A3ED2" w:rsidRPr="00C903F8" w:rsidRDefault="003A3ED2" w:rsidP="00A8005B">
            <w:pPr>
              <w:spacing w:before="160" w:after="160" w:line="240" w:lineRule="atLeast"/>
              <w:ind w:left="0" w:firstLine="0"/>
              <w:rPr>
                <w:rFonts w:cs="Arial"/>
                <w:sz w:val="18"/>
                <w:szCs w:val="18"/>
              </w:rPr>
            </w:pPr>
            <w:r>
              <w:rPr>
                <w:sz w:val="18"/>
              </w:rPr>
              <w:t>paragrafo 4</w:t>
            </w:r>
          </w:p>
        </w:tc>
        <w:tc>
          <w:tcPr>
            <w:tcW w:w="3296" w:type="dxa"/>
            <w:vMerge w:val="restart"/>
            <w:shd w:val="clear" w:color="auto" w:fill="auto"/>
          </w:tcPr>
          <w:p w:rsidR="003A3ED2" w:rsidRPr="00C903F8" w:rsidRDefault="003A3ED2" w:rsidP="00A8005B">
            <w:pPr>
              <w:spacing w:before="160" w:after="160" w:line="240" w:lineRule="atLeast"/>
              <w:ind w:left="0" w:firstLine="0"/>
              <w:rPr>
                <w:rFonts w:cs="Arial"/>
                <w:sz w:val="18"/>
                <w:szCs w:val="18"/>
              </w:rPr>
            </w:pPr>
            <w:r>
              <w:rPr>
                <w:noProof/>
                <w:sz w:val="18"/>
              </w:rPr>
              <w:t>Nessun serbatoio per combustibili né relativi accessori al di sopra dei motori o dei tubi di scarico</w:t>
            </w:r>
          </w:p>
        </w:tc>
        <w:tc>
          <w:tcPr>
            <w:tcW w:w="6521" w:type="dxa"/>
            <w:shd w:val="clear" w:color="auto" w:fill="auto"/>
          </w:tcPr>
          <w:p w:rsidR="003A3ED2" w:rsidRPr="00C903F8" w:rsidRDefault="008761D9" w:rsidP="00A8005B">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3A3ED2" w:rsidRPr="00C903F8" w:rsidRDefault="003A3ED2" w:rsidP="00A8005B">
            <w:pPr>
              <w:spacing w:before="160" w:after="160" w:line="240" w:lineRule="atLeast"/>
              <w:ind w:left="0" w:firstLine="0"/>
              <w:rPr>
                <w:rFonts w:cs="Arial"/>
                <w:sz w:val="18"/>
                <w:szCs w:val="18"/>
              </w:rPr>
            </w:pPr>
            <w:r>
              <w:rPr>
                <w:sz w:val="18"/>
              </w:rPr>
              <w:t>30.12.2024</w:t>
            </w:r>
          </w:p>
        </w:tc>
      </w:tr>
      <w:tr w:rsidR="003A3ED2" w:rsidRPr="00A0619C" w:rsidTr="00AB6D23">
        <w:trPr>
          <w:cantSplit/>
          <w:jc w:val="center"/>
        </w:trPr>
        <w:tc>
          <w:tcPr>
            <w:tcW w:w="1342" w:type="dxa"/>
            <w:tcBorders>
              <w:top w:val="nil"/>
              <w:bottom w:val="nil"/>
            </w:tcBorders>
            <w:shd w:val="clear" w:color="auto" w:fill="auto"/>
          </w:tcPr>
          <w:p w:rsidR="003A3ED2" w:rsidRPr="00C903F8" w:rsidRDefault="003A3ED2" w:rsidP="00A8005B">
            <w:pPr>
              <w:spacing w:before="160" w:after="160" w:line="240" w:lineRule="atLeast"/>
              <w:ind w:left="0" w:firstLine="0"/>
              <w:rPr>
                <w:rFonts w:cs="Arial"/>
                <w:sz w:val="18"/>
                <w:szCs w:val="18"/>
              </w:rPr>
            </w:pPr>
          </w:p>
        </w:tc>
        <w:tc>
          <w:tcPr>
            <w:tcW w:w="1458" w:type="dxa"/>
            <w:vMerge/>
            <w:shd w:val="clear" w:color="auto" w:fill="auto"/>
          </w:tcPr>
          <w:p w:rsidR="003A3ED2" w:rsidRPr="00C903F8" w:rsidRDefault="003A3ED2" w:rsidP="00A8005B">
            <w:pPr>
              <w:spacing w:before="160" w:after="160" w:line="240" w:lineRule="atLeast"/>
              <w:ind w:left="0" w:firstLine="0"/>
              <w:rPr>
                <w:rFonts w:cs="Arial"/>
                <w:sz w:val="18"/>
                <w:szCs w:val="18"/>
              </w:rPr>
            </w:pPr>
          </w:p>
        </w:tc>
        <w:tc>
          <w:tcPr>
            <w:tcW w:w="3296" w:type="dxa"/>
            <w:vMerge/>
            <w:shd w:val="clear" w:color="auto" w:fill="auto"/>
          </w:tcPr>
          <w:p w:rsidR="003A3ED2" w:rsidRPr="00C903F8" w:rsidRDefault="003A3ED2" w:rsidP="00A8005B">
            <w:pPr>
              <w:spacing w:before="160" w:after="160" w:line="240" w:lineRule="atLeast"/>
              <w:ind w:left="0" w:firstLine="0"/>
              <w:rPr>
                <w:rFonts w:cs="Arial"/>
                <w:sz w:val="18"/>
                <w:szCs w:val="18"/>
              </w:rPr>
            </w:pPr>
          </w:p>
        </w:tc>
        <w:tc>
          <w:tcPr>
            <w:tcW w:w="6521" w:type="dxa"/>
            <w:shd w:val="clear" w:color="auto" w:fill="auto"/>
          </w:tcPr>
          <w:p w:rsidR="003A3ED2" w:rsidRPr="00C903F8" w:rsidRDefault="003A3ED2" w:rsidP="00A8005B">
            <w:pPr>
              <w:spacing w:before="160" w:after="160" w:line="240" w:lineRule="atLeast"/>
              <w:ind w:left="0" w:firstLine="0"/>
              <w:rPr>
                <w:rFonts w:cs="Arial"/>
                <w:sz w:val="18"/>
                <w:szCs w:val="18"/>
              </w:rPr>
            </w:pPr>
            <w:r>
              <w:rPr>
                <w:noProof/>
                <w:sz w:val="18"/>
              </w:rPr>
              <w:t>Fino a tale data, opportuni dispositivi devono garantire l'evacuazione sicura dei combustibili.</w:t>
            </w:r>
          </w:p>
        </w:tc>
        <w:tc>
          <w:tcPr>
            <w:tcW w:w="1276" w:type="dxa"/>
            <w:shd w:val="clear" w:color="auto" w:fill="auto"/>
          </w:tcPr>
          <w:p w:rsidR="003A3ED2" w:rsidRPr="00C903F8" w:rsidRDefault="003A3ED2" w:rsidP="00A8005B">
            <w:pPr>
              <w:spacing w:before="160" w:after="160" w:line="240" w:lineRule="atLeast"/>
              <w:ind w:left="0" w:firstLine="0"/>
              <w:rPr>
                <w:rFonts w:cs="Arial"/>
                <w:sz w:val="18"/>
                <w:szCs w:val="18"/>
              </w:rPr>
            </w:pPr>
          </w:p>
        </w:tc>
      </w:tr>
      <w:tr w:rsidR="001964F8" w:rsidRPr="00C903F8" w:rsidTr="001964F8">
        <w:trPr>
          <w:cantSplit/>
          <w:jc w:val="center"/>
        </w:trPr>
        <w:tc>
          <w:tcPr>
            <w:tcW w:w="1342" w:type="dxa"/>
            <w:tcBorders>
              <w:top w:val="nil"/>
              <w:bottom w:val="nil"/>
            </w:tcBorders>
            <w:shd w:val="clear" w:color="auto" w:fill="auto"/>
          </w:tcPr>
          <w:p w:rsidR="001964F8" w:rsidRPr="00C903F8" w:rsidRDefault="001964F8" w:rsidP="00A8005B">
            <w:pPr>
              <w:spacing w:before="160" w:after="16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paragrafo 6, terza e quinta frase</w:t>
            </w:r>
          </w:p>
        </w:tc>
        <w:tc>
          <w:tcPr>
            <w:tcW w:w="3296" w:type="dxa"/>
            <w:shd w:val="clear" w:color="auto" w:fill="auto"/>
          </w:tcPr>
          <w:p w:rsidR="001964F8" w:rsidRPr="00C903F8" w:rsidRDefault="001964F8" w:rsidP="00A8005B">
            <w:pPr>
              <w:spacing w:before="160" w:after="160" w:line="240" w:lineRule="atLeast"/>
              <w:ind w:left="0" w:firstLine="0"/>
              <w:rPr>
                <w:rFonts w:cs="Arial"/>
                <w:sz w:val="18"/>
                <w:szCs w:val="18"/>
              </w:rPr>
            </w:pPr>
            <w:r>
              <w:rPr>
                <w:noProof/>
                <w:sz w:val="18"/>
              </w:rPr>
              <w:t>Installazione e misure dei tubi di sfogo e dei tubi di collegamento</w:t>
            </w:r>
          </w:p>
        </w:tc>
        <w:tc>
          <w:tcPr>
            <w:tcW w:w="6521" w:type="dxa"/>
            <w:shd w:val="clear" w:color="auto" w:fill="auto"/>
          </w:tcPr>
          <w:p w:rsidR="001964F8" w:rsidRPr="00C903F8" w:rsidRDefault="008761D9" w:rsidP="00A8005B">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30.12.2024</w:t>
            </w:r>
          </w:p>
        </w:tc>
      </w:tr>
      <w:tr w:rsidR="001964F8" w:rsidRPr="00C903F8" w:rsidTr="001964F8">
        <w:trPr>
          <w:cantSplit/>
          <w:jc w:val="center"/>
        </w:trPr>
        <w:tc>
          <w:tcPr>
            <w:tcW w:w="1342" w:type="dxa"/>
            <w:tcBorders>
              <w:top w:val="nil"/>
              <w:bottom w:val="nil"/>
            </w:tcBorders>
            <w:shd w:val="clear" w:color="auto" w:fill="auto"/>
          </w:tcPr>
          <w:p w:rsidR="001964F8" w:rsidRPr="00C903F8" w:rsidRDefault="001964F8" w:rsidP="00A8005B">
            <w:pPr>
              <w:spacing w:before="160" w:after="16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160" w:after="160" w:line="240" w:lineRule="atLeast"/>
              <w:ind w:left="0" w:firstLine="0"/>
              <w:jc w:val="left"/>
              <w:rPr>
                <w:rFonts w:cs="Arial"/>
                <w:sz w:val="18"/>
                <w:szCs w:val="18"/>
              </w:rPr>
            </w:pPr>
            <w:r>
              <w:rPr>
                <w:sz w:val="18"/>
              </w:rPr>
              <w:t>paragrafo 7, prima frase</w:t>
            </w:r>
          </w:p>
        </w:tc>
        <w:tc>
          <w:tcPr>
            <w:tcW w:w="329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Valvola a chiusura rapida sul serbatoio azionata dal ponte, anche quando i locali in questione sono chiusi</w:t>
            </w:r>
          </w:p>
        </w:tc>
        <w:tc>
          <w:tcPr>
            <w:tcW w:w="6521" w:type="dxa"/>
            <w:shd w:val="clear" w:color="auto" w:fill="auto"/>
          </w:tcPr>
          <w:p w:rsidR="001964F8" w:rsidRPr="00C903F8" w:rsidRDefault="008761D9" w:rsidP="00A8005B">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1.1.2029</w:t>
            </w:r>
          </w:p>
        </w:tc>
      </w:tr>
      <w:tr w:rsidR="001964F8" w:rsidRPr="00C903F8" w:rsidTr="001964F8">
        <w:trPr>
          <w:cantSplit/>
          <w:jc w:val="center"/>
        </w:trPr>
        <w:tc>
          <w:tcPr>
            <w:tcW w:w="1342" w:type="dxa"/>
            <w:tcBorders>
              <w:top w:val="nil"/>
              <w:bottom w:val="nil"/>
            </w:tcBorders>
            <w:shd w:val="clear" w:color="auto" w:fill="auto"/>
          </w:tcPr>
          <w:p w:rsidR="001964F8" w:rsidRPr="00C903F8" w:rsidRDefault="001964F8" w:rsidP="00A8005B">
            <w:pPr>
              <w:spacing w:before="160" w:after="16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160" w:after="160" w:line="240" w:lineRule="atLeast"/>
              <w:ind w:left="0" w:firstLine="0"/>
              <w:jc w:val="left"/>
              <w:rPr>
                <w:rFonts w:cs="Arial"/>
                <w:sz w:val="18"/>
                <w:szCs w:val="18"/>
              </w:rPr>
            </w:pPr>
            <w:r>
              <w:rPr>
                <w:sz w:val="18"/>
              </w:rPr>
              <w:t>paragrafo 9, seconda frase</w:t>
            </w:r>
          </w:p>
        </w:tc>
        <w:tc>
          <w:tcPr>
            <w:tcW w:w="3296" w:type="dxa"/>
            <w:shd w:val="clear" w:color="auto" w:fill="auto"/>
          </w:tcPr>
          <w:p w:rsidR="001964F8" w:rsidRPr="00C903F8" w:rsidRDefault="001964F8" w:rsidP="00A8005B">
            <w:pPr>
              <w:spacing w:before="160" w:after="160" w:line="240" w:lineRule="atLeast"/>
              <w:ind w:left="0" w:firstLine="0"/>
              <w:rPr>
                <w:rFonts w:cs="Arial"/>
                <w:sz w:val="18"/>
                <w:szCs w:val="18"/>
              </w:rPr>
            </w:pPr>
            <w:r>
              <w:rPr>
                <w:noProof/>
                <w:sz w:val="18"/>
              </w:rPr>
              <w:t>Dispositivi di misurazione leggibili fino al livello di massimo riempimento</w:t>
            </w:r>
          </w:p>
        </w:tc>
        <w:tc>
          <w:tcPr>
            <w:tcW w:w="6521" w:type="dxa"/>
            <w:shd w:val="clear" w:color="auto" w:fill="auto"/>
          </w:tcPr>
          <w:p w:rsidR="001964F8" w:rsidRPr="00C903F8" w:rsidRDefault="008761D9" w:rsidP="00A8005B">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30.12.2029</w:t>
            </w:r>
          </w:p>
        </w:tc>
      </w:tr>
      <w:tr w:rsidR="001964F8" w:rsidRPr="00C903F8" w:rsidTr="001964F8">
        <w:trPr>
          <w:cantSplit/>
          <w:jc w:val="center"/>
        </w:trPr>
        <w:tc>
          <w:tcPr>
            <w:tcW w:w="1342" w:type="dxa"/>
            <w:tcBorders>
              <w:top w:val="nil"/>
            </w:tcBorders>
            <w:shd w:val="clear" w:color="auto" w:fill="auto"/>
          </w:tcPr>
          <w:p w:rsidR="001964F8" w:rsidRPr="00C903F8" w:rsidRDefault="001964F8" w:rsidP="00A8005B">
            <w:pPr>
              <w:spacing w:before="160" w:after="16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paragrafo 13</w:t>
            </w:r>
          </w:p>
        </w:tc>
        <w:tc>
          <w:tcPr>
            <w:tcW w:w="3296" w:type="dxa"/>
            <w:shd w:val="clear" w:color="auto" w:fill="auto"/>
          </w:tcPr>
          <w:p w:rsidR="001964F8" w:rsidRPr="00C903F8" w:rsidRDefault="001964F8" w:rsidP="00A8005B">
            <w:pPr>
              <w:spacing w:before="160" w:after="160" w:line="240" w:lineRule="atLeast"/>
              <w:ind w:left="0" w:firstLine="0"/>
              <w:rPr>
                <w:rFonts w:cs="Arial"/>
                <w:sz w:val="18"/>
                <w:szCs w:val="18"/>
              </w:rPr>
            </w:pPr>
            <w:r>
              <w:rPr>
                <w:noProof/>
                <w:sz w:val="18"/>
              </w:rPr>
              <w:t>Controllo del livello del combustibile non soltanto per i motori principali ma anche per gli altri motori necessari per il funzionamento sicuro della nave</w:t>
            </w:r>
          </w:p>
        </w:tc>
        <w:tc>
          <w:tcPr>
            <w:tcW w:w="6521" w:type="dxa"/>
            <w:shd w:val="clear" w:color="auto" w:fill="auto"/>
          </w:tcPr>
          <w:p w:rsidR="001964F8" w:rsidRPr="00C903F8" w:rsidRDefault="008761D9" w:rsidP="00A8005B">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30.12.2029</w:t>
            </w:r>
          </w:p>
        </w:tc>
      </w:tr>
      <w:tr w:rsidR="001964F8" w:rsidRPr="00C903F8" w:rsidTr="001964F8">
        <w:trPr>
          <w:cantSplit/>
          <w:jc w:val="center"/>
        </w:trPr>
        <w:tc>
          <w:tcPr>
            <w:tcW w:w="1342"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8.06</w:t>
            </w:r>
          </w:p>
        </w:tc>
        <w:tc>
          <w:tcPr>
            <w:tcW w:w="1458" w:type="dxa"/>
            <w:shd w:val="clear" w:color="auto" w:fill="auto"/>
          </w:tcPr>
          <w:p w:rsidR="001964F8" w:rsidRPr="00C903F8" w:rsidRDefault="001964F8" w:rsidP="00A8005B">
            <w:pPr>
              <w:spacing w:before="160" w:after="160" w:line="240" w:lineRule="atLeast"/>
              <w:ind w:left="0" w:firstLine="0"/>
              <w:rPr>
                <w:rFonts w:cs="Arial"/>
                <w:sz w:val="18"/>
                <w:szCs w:val="18"/>
              </w:rPr>
            </w:pPr>
          </w:p>
        </w:tc>
        <w:tc>
          <w:tcPr>
            <w:tcW w:w="3296" w:type="dxa"/>
            <w:shd w:val="clear" w:color="auto" w:fill="auto"/>
          </w:tcPr>
          <w:p w:rsidR="001964F8" w:rsidRPr="00C903F8" w:rsidRDefault="001964F8" w:rsidP="00A8005B">
            <w:pPr>
              <w:spacing w:before="160" w:after="160" w:line="240" w:lineRule="atLeast"/>
              <w:ind w:left="0" w:firstLine="0"/>
              <w:rPr>
                <w:rFonts w:cs="Arial"/>
                <w:sz w:val="18"/>
                <w:szCs w:val="18"/>
              </w:rPr>
            </w:pPr>
            <w:r>
              <w:rPr>
                <w:noProof/>
                <w:sz w:val="18"/>
              </w:rPr>
              <w:t>Serbatoi di olio lubrificante, tubature e accessori</w:t>
            </w:r>
          </w:p>
        </w:tc>
        <w:tc>
          <w:tcPr>
            <w:tcW w:w="6521" w:type="dxa"/>
            <w:shd w:val="clear" w:color="auto" w:fill="auto"/>
          </w:tcPr>
          <w:p w:rsidR="001964F8" w:rsidRPr="00C903F8" w:rsidRDefault="008761D9" w:rsidP="00A8005B">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30.12.2049</w:t>
            </w:r>
          </w:p>
        </w:tc>
      </w:tr>
      <w:tr w:rsidR="001964F8" w:rsidRPr="00C903F8" w:rsidTr="001964F8">
        <w:trPr>
          <w:cantSplit/>
          <w:jc w:val="center"/>
        </w:trPr>
        <w:tc>
          <w:tcPr>
            <w:tcW w:w="1342" w:type="dxa"/>
            <w:tcBorders>
              <w:bottom w:val="single" w:sz="4" w:space="0" w:color="auto"/>
            </w:tcBorders>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8.07</w:t>
            </w:r>
          </w:p>
        </w:tc>
        <w:tc>
          <w:tcPr>
            <w:tcW w:w="1458" w:type="dxa"/>
            <w:shd w:val="clear" w:color="auto" w:fill="auto"/>
          </w:tcPr>
          <w:p w:rsidR="001964F8" w:rsidRPr="00C903F8" w:rsidRDefault="001964F8" w:rsidP="00A8005B">
            <w:pPr>
              <w:spacing w:before="160" w:after="160" w:line="240" w:lineRule="atLeast"/>
              <w:ind w:left="0" w:firstLine="0"/>
              <w:rPr>
                <w:rFonts w:cs="Arial"/>
                <w:sz w:val="18"/>
                <w:szCs w:val="18"/>
              </w:rPr>
            </w:pPr>
          </w:p>
        </w:tc>
        <w:tc>
          <w:tcPr>
            <w:tcW w:w="3296" w:type="dxa"/>
            <w:shd w:val="clear" w:color="auto" w:fill="auto"/>
          </w:tcPr>
          <w:p w:rsidR="001964F8" w:rsidRPr="00C903F8" w:rsidRDefault="001964F8" w:rsidP="00A8005B">
            <w:pPr>
              <w:spacing w:before="160" w:after="160" w:line="240" w:lineRule="atLeast"/>
              <w:ind w:left="0" w:firstLine="0"/>
              <w:rPr>
                <w:rFonts w:cs="Arial"/>
                <w:sz w:val="18"/>
                <w:szCs w:val="18"/>
              </w:rPr>
            </w:pPr>
            <w:r>
              <w:rPr>
                <w:noProof/>
                <w:sz w:val="18"/>
              </w:rPr>
              <w:t>Serbatoi di oli negli impianti di trasmissione di energia, negli impianti di comando e attivazione e negli impianti di riscaldamento, tubature e accessori</w:t>
            </w:r>
          </w:p>
        </w:tc>
        <w:tc>
          <w:tcPr>
            <w:tcW w:w="6521" w:type="dxa"/>
            <w:shd w:val="clear" w:color="auto" w:fill="auto"/>
          </w:tcPr>
          <w:p w:rsidR="001964F8" w:rsidRPr="00C903F8" w:rsidRDefault="008761D9" w:rsidP="00A8005B">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30.12.2049</w:t>
            </w:r>
          </w:p>
        </w:tc>
      </w:tr>
      <w:tr w:rsidR="001964F8" w:rsidRPr="00C903F8" w:rsidTr="001964F8">
        <w:trPr>
          <w:cantSplit/>
          <w:jc w:val="center"/>
        </w:trPr>
        <w:tc>
          <w:tcPr>
            <w:tcW w:w="1342" w:type="dxa"/>
            <w:tcBorders>
              <w:bottom w:val="nil"/>
            </w:tcBorders>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lastRenderedPageBreak/>
              <w:t>8.08</w:t>
            </w:r>
          </w:p>
        </w:tc>
        <w:tc>
          <w:tcPr>
            <w:tcW w:w="1458"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paragrafo 8</w:t>
            </w:r>
          </w:p>
        </w:tc>
        <w:tc>
          <w:tcPr>
            <w:tcW w:w="3296" w:type="dxa"/>
            <w:shd w:val="clear" w:color="auto" w:fill="auto"/>
          </w:tcPr>
          <w:p w:rsidR="001964F8" w:rsidRPr="00C903F8" w:rsidRDefault="001964F8" w:rsidP="00A8005B">
            <w:pPr>
              <w:spacing w:before="160" w:after="160" w:line="240" w:lineRule="atLeast"/>
              <w:ind w:left="0" w:firstLine="0"/>
              <w:rPr>
                <w:rFonts w:cs="Arial"/>
                <w:sz w:val="18"/>
                <w:szCs w:val="18"/>
              </w:rPr>
            </w:pPr>
            <w:r>
              <w:rPr>
                <w:noProof/>
                <w:sz w:val="18"/>
              </w:rPr>
              <w:t>Semplice dispositivo di chiusura non sufficiente per il raccordo dei locali adibiti al servizio di zavorra alle tubolature di prosciugamento per le stive attrezzate per il servizio di zavorra</w:t>
            </w:r>
          </w:p>
        </w:tc>
        <w:tc>
          <w:tcPr>
            <w:tcW w:w="6521" w:type="dxa"/>
            <w:shd w:val="clear" w:color="auto" w:fill="auto"/>
          </w:tcPr>
          <w:p w:rsidR="001964F8" w:rsidRPr="00C903F8" w:rsidRDefault="008761D9" w:rsidP="00A8005B">
            <w:pPr>
              <w:spacing w:before="160" w:after="1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4F8" w:rsidRPr="00C903F8" w:rsidRDefault="001964F8" w:rsidP="00A8005B">
            <w:pPr>
              <w:spacing w:before="160" w:after="160" w:line="240" w:lineRule="atLeast"/>
              <w:ind w:left="0" w:firstLine="0"/>
              <w:rPr>
                <w:rFonts w:cs="Arial"/>
                <w:sz w:val="18"/>
                <w:szCs w:val="18"/>
              </w:rPr>
            </w:pPr>
            <w:r>
              <w:rPr>
                <w:sz w:val="18"/>
              </w:rPr>
              <w:t>30.12.2024</w:t>
            </w:r>
          </w:p>
        </w:tc>
      </w:tr>
      <w:tr w:rsidR="001964F8" w:rsidRPr="00C903F8" w:rsidTr="001964F8">
        <w:trPr>
          <w:cantSplit/>
          <w:jc w:val="center"/>
        </w:trPr>
        <w:tc>
          <w:tcPr>
            <w:tcW w:w="1342" w:type="dxa"/>
            <w:tcBorders>
              <w:top w:val="nil"/>
            </w:tcBorders>
            <w:shd w:val="clear" w:color="auto" w:fill="auto"/>
          </w:tcPr>
          <w:p w:rsidR="001964F8" w:rsidRPr="00C903F8" w:rsidRDefault="001964F8" w:rsidP="00A8005B">
            <w:pPr>
              <w:spacing w:before="80" w:after="80" w:line="240" w:lineRule="atLeast"/>
              <w:ind w:left="0" w:firstLine="0"/>
              <w:rPr>
                <w:rFonts w:cs="Arial"/>
                <w:sz w:val="18"/>
                <w:szCs w:val="18"/>
              </w:rPr>
            </w:pPr>
          </w:p>
        </w:tc>
        <w:tc>
          <w:tcPr>
            <w:tcW w:w="1458" w:type="dxa"/>
            <w:shd w:val="clear" w:color="auto" w:fill="auto"/>
          </w:tcPr>
          <w:p w:rsidR="001964F8" w:rsidRPr="00C903F8" w:rsidRDefault="001964F8" w:rsidP="00A8005B">
            <w:pPr>
              <w:spacing w:before="80" w:after="80" w:line="240" w:lineRule="atLeast"/>
              <w:ind w:left="0" w:firstLine="0"/>
              <w:rPr>
                <w:rFonts w:cs="Arial"/>
                <w:sz w:val="18"/>
                <w:szCs w:val="18"/>
              </w:rPr>
            </w:pPr>
            <w:r>
              <w:rPr>
                <w:sz w:val="18"/>
              </w:rPr>
              <w:t>paragrafo 9</w:t>
            </w:r>
          </w:p>
        </w:tc>
        <w:tc>
          <w:tcPr>
            <w:tcW w:w="3296" w:type="dxa"/>
            <w:shd w:val="clear" w:color="auto" w:fill="auto"/>
          </w:tcPr>
          <w:p w:rsidR="001964F8" w:rsidRPr="00C903F8" w:rsidRDefault="001964F8" w:rsidP="00A8005B">
            <w:pPr>
              <w:spacing w:before="80" w:after="80" w:line="240" w:lineRule="atLeast"/>
              <w:ind w:left="0" w:firstLine="0"/>
              <w:rPr>
                <w:rFonts w:cs="Arial"/>
                <w:sz w:val="18"/>
                <w:szCs w:val="18"/>
              </w:rPr>
            </w:pPr>
            <w:r>
              <w:rPr>
                <w:noProof/>
                <w:sz w:val="18"/>
              </w:rPr>
              <w:t>Dispositivi di misurazione per il fondo delle stive</w:t>
            </w:r>
          </w:p>
        </w:tc>
        <w:tc>
          <w:tcPr>
            <w:tcW w:w="6521" w:type="dxa"/>
            <w:shd w:val="clear" w:color="auto" w:fill="auto"/>
          </w:tcPr>
          <w:p w:rsidR="001964F8" w:rsidRPr="00C903F8" w:rsidRDefault="008761D9" w:rsidP="00A8005B">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4F8" w:rsidRPr="00C903F8" w:rsidRDefault="001964F8" w:rsidP="00A8005B">
            <w:pPr>
              <w:spacing w:before="80" w:after="80" w:line="240" w:lineRule="atLeast"/>
              <w:ind w:left="0" w:firstLine="0"/>
              <w:rPr>
                <w:rFonts w:cs="Arial"/>
                <w:sz w:val="18"/>
                <w:szCs w:val="18"/>
              </w:rPr>
            </w:pPr>
            <w:r>
              <w:rPr>
                <w:sz w:val="18"/>
              </w:rPr>
              <w:t>30.12.2024</w:t>
            </w:r>
          </w:p>
        </w:tc>
      </w:tr>
      <w:tr w:rsidR="001964F8" w:rsidRPr="00C903F8" w:rsidTr="001964F8">
        <w:trPr>
          <w:cantSplit/>
          <w:jc w:val="center"/>
        </w:trPr>
        <w:tc>
          <w:tcPr>
            <w:tcW w:w="1342" w:type="dxa"/>
            <w:shd w:val="clear" w:color="auto" w:fill="auto"/>
          </w:tcPr>
          <w:p w:rsidR="001964F8" w:rsidRPr="00C903F8" w:rsidRDefault="001964F8" w:rsidP="00A8005B">
            <w:pPr>
              <w:spacing w:before="80" w:after="80" w:line="240" w:lineRule="atLeast"/>
              <w:ind w:left="0" w:firstLine="0"/>
              <w:rPr>
                <w:rFonts w:cs="Arial"/>
                <w:sz w:val="18"/>
                <w:szCs w:val="18"/>
              </w:rPr>
            </w:pPr>
            <w:r>
              <w:rPr>
                <w:sz w:val="18"/>
              </w:rPr>
              <w:t>8.09</w:t>
            </w:r>
          </w:p>
        </w:tc>
        <w:tc>
          <w:tcPr>
            <w:tcW w:w="1458" w:type="dxa"/>
            <w:shd w:val="clear" w:color="auto" w:fill="auto"/>
          </w:tcPr>
          <w:p w:rsidR="001964F8" w:rsidRPr="00C903F8" w:rsidRDefault="001964F8" w:rsidP="00A8005B">
            <w:pPr>
              <w:spacing w:before="80" w:after="80" w:line="240" w:lineRule="atLeast"/>
              <w:ind w:left="0" w:firstLine="0"/>
              <w:rPr>
                <w:rFonts w:cs="Arial"/>
                <w:sz w:val="18"/>
                <w:szCs w:val="18"/>
              </w:rPr>
            </w:pPr>
            <w:r>
              <w:rPr>
                <w:sz w:val="18"/>
              </w:rPr>
              <w:t>paragrafo 2</w:t>
            </w:r>
          </w:p>
        </w:tc>
        <w:tc>
          <w:tcPr>
            <w:tcW w:w="3296" w:type="dxa"/>
            <w:shd w:val="clear" w:color="auto" w:fill="auto"/>
          </w:tcPr>
          <w:p w:rsidR="001964F8" w:rsidRPr="00C903F8" w:rsidRDefault="001964F8" w:rsidP="00A8005B">
            <w:pPr>
              <w:spacing w:before="80" w:after="80" w:line="240" w:lineRule="atLeast"/>
              <w:ind w:left="0" w:firstLine="0"/>
              <w:rPr>
                <w:rFonts w:cs="Arial"/>
                <w:sz w:val="18"/>
                <w:szCs w:val="18"/>
              </w:rPr>
            </w:pPr>
            <w:r>
              <w:rPr>
                <w:noProof/>
                <w:sz w:val="18"/>
              </w:rPr>
              <w:t>Impianti di raccolta delle acque oleose e degli oli usati</w:t>
            </w:r>
          </w:p>
        </w:tc>
        <w:tc>
          <w:tcPr>
            <w:tcW w:w="6521" w:type="dxa"/>
            <w:shd w:val="clear" w:color="auto" w:fill="auto"/>
          </w:tcPr>
          <w:p w:rsidR="001964F8" w:rsidRPr="00C903F8" w:rsidRDefault="008761D9" w:rsidP="00A8005B">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1964F8" w:rsidRPr="00C903F8" w:rsidRDefault="001964F8" w:rsidP="00A8005B">
            <w:pPr>
              <w:spacing w:before="80" w:after="80" w:line="240" w:lineRule="atLeast"/>
              <w:ind w:left="0" w:firstLine="0"/>
              <w:rPr>
                <w:rFonts w:cs="Arial"/>
                <w:sz w:val="18"/>
                <w:szCs w:val="18"/>
              </w:rPr>
            </w:pPr>
            <w:r>
              <w:rPr>
                <w:sz w:val="18"/>
              </w:rPr>
              <w:t>30.12.2024</w:t>
            </w:r>
          </w:p>
        </w:tc>
      </w:tr>
      <w:tr w:rsidR="001964F8" w:rsidRPr="00C903F8" w:rsidTr="00A8005B">
        <w:trPr>
          <w:cantSplit/>
          <w:jc w:val="center"/>
        </w:trPr>
        <w:tc>
          <w:tcPr>
            <w:tcW w:w="1342" w:type="dxa"/>
            <w:tcBorders>
              <w:bottom w:val="single" w:sz="4" w:space="0" w:color="auto"/>
            </w:tcBorders>
            <w:shd w:val="clear" w:color="auto" w:fill="auto"/>
          </w:tcPr>
          <w:p w:rsidR="001964F8" w:rsidRPr="00C903F8" w:rsidRDefault="001964F8" w:rsidP="00A8005B">
            <w:pPr>
              <w:spacing w:before="80" w:after="80" w:line="240" w:lineRule="atLeast"/>
              <w:ind w:left="0" w:firstLine="0"/>
              <w:rPr>
                <w:rFonts w:cs="Arial"/>
                <w:sz w:val="18"/>
                <w:szCs w:val="18"/>
              </w:rPr>
            </w:pPr>
            <w:r>
              <w:rPr>
                <w:sz w:val="18"/>
              </w:rPr>
              <w:t>8.10</w:t>
            </w:r>
          </w:p>
        </w:tc>
        <w:tc>
          <w:tcPr>
            <w:tcW w:w="1458" w:type="dxa"/>
            <w:tcBorders>
              <w:bottom w:val="single" w:sz="4" w:space="0" w:color="auto"/>
            </w:tcBorders>
            <w:shd w:val="clear" w:color="auto" w:fill="auto"/>
          </w:tcPr>
          <w:p w:rsidR="001964F8" w:rsidRPr="00C903F8" w:rsidRDefault="001964F8" w:rsidP="00A8005B">
            <w:pPr>
              <w:spacing w:before="80" w:after="80" w:line="240" w:lineRule="atLeast"/>
              <w:ind w:left="0" w:firstLine="0"/>
              <w:rPr>
                <w:rFonts w:cs="Arial"/>
                <w:sz w:val="18"/>
                <w:szCs w:val="18"/>
              </w:rPr>
            </w:pPr>
            <w:r>
              <w:rPr>
                <w:sz w:val="18"/>
              </w:rPr>
              <w:t>paragrafo 3</w:t>
            </w:r>
          </w:p>
        </w:tc>
        <w:tc>
          <w:tcPr>
            <w:tcW w:w="3296" w:type="dxa"/>
            <w:tcBorders>
              <w:bottom w:val="single" w:sz="4" w:space="0" w:color="auto"/>
            </w:tcBorders>
            <w:shd w:val="clear" w:color="auto" w:fill="auto"/>
          </w:tcPr>
          <w:p w:rsidR="001964F8" w:rsidRPr="00C903F8" w:rsidRDefault="001964F8" w:rsidP="00A8005B">
            <w:pPr>
              <w:spacing w:before="80" w:after="80" w:line="240" w:lineRule="atLeast"/>
              <w:ind w:left="0" w:firstLine="0"/>
              <w:rPr>
                <w:rFonts w:cs="Arial"/>
                <w:sz w:val="18"/>
                <w:szCs w:val="18"/>
              </w:rPr>
            </w:pPr>
            <w:r>
              <w:rPr>
                <w:noProof/>
                <w:sz w:val="18"/>
              </w:rPr>
              <w:t>Limite di emissione di 65 dB(A) per le navi in stazionamento</w:t>
            </w:r>
          </w:p>
        </w:tc>
        <w:tc>
          <w:tcPr>
            <w:tcW w:w="6521" w:type="dxa"/>
            <w:tcBorders>
              <w:bottom w:val="single" w:sz="4" w:space="0" w:color="auto"/>
            </w:tcBorders>
            <w:shd w:val="clear" w:color="auto" w:fill="auto"/>
          </w:tcPr>
          <w:p w:rsidR="001964F8" w:rsidRPr="00C903F8" w:rsidRDefault="008761D9" w:rsidP="00A8005B">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tcBorders>
              <w:bottom w:val="single" w:sz="4" w:space="0" w:color="auto"/>
            </w:tcBorders>
            <w:shd w:val="clear" w:color="auto" w:fill="auto"/>
          </w:tcPr>
          <w:p w:rsidR="001964F8" w:rsidRPr="00C903F8" w:rsidRDefault="001964F8" w:rsidP="00A8005B">
            <w:pPr>
              <w:spacing w:before="80" w:after="80" w:line="240" w:lineRule="atLeast"/>
              <w:ind w:left="0" w:firstLine="0"/>
              <w:rPr>
                <w:rFonts w:cs="Arial"/>
                <w:sz w:val="18"/>
                <w:szCs w:val="18"/>
              </w:rPr>
            </w:pPr>
            <w:r>
              <w:rPr>
                <w:sz w:val="18"/>
              </w:rPr>
              <w:t>30.12.2029</w:t>
            </w:r>
          </w:p>
        </w:tc>
      </w:tr>
      <w:tr w:rsidR="00C01A94" w:rsidRPr="00A0619C" w:rsidTr="00C01A94">
        <w:trPr>
          <w:cantSplit/>
          <w:jc w:val="center"/>
        </w:trPr>
        <w:tc>
          <w:tcPr>
            <w:tcW w:w="6096" w:type="dxa"/>
            <w:gridSpan w:val="3"/>
            <w:tcBorders>
              <w:top w:val="single" w:sz="4" w:space="0" w:color="auto"/>
            </w:tcBorders>
            <w:shd w:val="clear" w:color="auto" w:fill="auto"/>
          </w:tcPr>
          <w:p w:rsidR="00C01A94" w:rsidRDefault="00C01A94" w:rsidP="00A8005B">
            <w:pPr>
              <w:spacing w:before="80" w:after="80" w:line="240" w:lineRule="atLeast"/>
              <w:jc w:val="center"/>
              <w:rPr>
                <w:rFonts w:cs="Arial"/>
                <w:b/>
                <w:sz w:val="18"/>
                <w:szCs w:val="18"/>
              </w:rPr>
            </w:pPr>
            <w:r>
              <w:rPr>
                <w:b/>
                <w:sz w:val="18"/>
              </w:rPr>
              <w:t>CAPO 9</w:t>
            </w:r>
          </w:p>
        </w:tc>
        <w:tc>
          <w:tcPr>
            <w:tcW w:w="6521" w:type="dxa"/>
            <w:tcBorders>
              <w:top w:val="single" w:sz="4" w:space="0" w:color="auto"/>
            </w:tcBorders>
            <w:shd w:val="clear" w:color="auto" w:fill="auto"/>
          </w:tcPr>
          <w:p w:rsidR="00C01A94" w:rsidRPr="00C01A94" w:rsidRDefault="00C01A94" w:rsidP="00A8005B">
            <w:pPr>
              <w:spacing w:before="80" w:after="80" w:line="240" w:lineRule="atLeast"/>
              <w:ind w:left="0" w:firstLine="0"/>
              <w:rPr>
                <w:rFonts w:cs="Arial"/>
                <w:sz w:val="18"/>
                <w:szCs w:val="18"/>
              </w:rPr>
            </w:pPr>
            <w:r>
              <w:rPr>
                <w:sz w:val="18"/>
              </w:rPr>
              <w:t>Per i motori già installati a bordo e non omologati, si applica solo l'articolo 9.02.</w:t>
            </w:r>
          </w:p>
        </w:tc>
        <w:tc>
          <w:tcPr>
            <w:tcW w:w="1276" w:type="dxa"/>
            <w:tcBorders>
              <w:top w:val="single" w:sz="4" w:space="0" w:color="auto"/>
              <w:bottom w:val="nil"/>
            </w:tcBorders>
            <w:shd w:val="clear" w:color="auto" w:fill="auto"/>
          </w:tcPr>
          <w:p w:rsidR="00C01A94" w:rsidRPr="00C01A94" w:rsidRDefault="00C01A94" w:rsidP="00A8005B">
            <w:pPr>
              <w:spacing w:before="80" w:after="80" w:line="240" w:lineRule="atLeast"/>
              <w:ind w:left="0" w:firstLine="0"/>
              <w:rPr>
                <w:rFonts w:cs="Arial"/>
                <w:sz w:val="18"/>
                <w:szCs w:val="18"/>
              </w:rPr>
            </w:pPr>
          </w:p>
        </w:tc>
      </w:tr>
      <w:tr w:rsidR="00C01A94" w:rsidRPr="00A0619C" w:rsidTr="00C01A94">
        <w:trPr>
          <w:cantSplit/>
          <w:jc w:val="center"/>
        </w:trPr>
        <w:tc>
          <w:tcPr>
            <w:tcW w:w="1342" w:type="dxa"/>
            <w:shd w:val="clear" w:color="auto" w:fill="auto"/>
          </w:tcPr>
          <w:p w:rsidR="00C01A94" w:rsidRPr="004B606C" w:rsidRDefault="00C01A94" w:rsidP="00A8005B">
            <w:pPr>
              <w:spacing w:before="80" w:after="80" w:line="240" w:lineRule="atLeast"/>
              <w:rPr>
                <w:rFonts w:eastAsia="Calibri" w:cs="Arial"/>
                <w:sz w:val="18"/>
                <w:szCs w:val="18"/>
              </w:rPr>
            </w:pPr>
            <w:r>
              <w:rPr>
                <w:sz w:val="18"/>
              </w:rPr>
              <w:t>9.01</w:t>
            </w:r>
          </w:p>
        </w:tc>
        <w:tc>
          <w:tcPr>
            <w:tcW w:w="1458" w:type="dxa"/>
            <w:shd w:val="clear" w:color="auto" w:fill="auto"/>
          </w:tcPr>
          <w:p w:rsidR="00C01A94" w:rsidRPr="004B606C" w:rsidRDefault="00C01A94" w:rsidP="00A8005B">
            <w:pPr>
              <w:spacing w:before="80" w:after="80" w:line="240" w:lineRule="atLeast"/>
              <w:rPr>
                <w:sz w:val="18"/>
                <w:szCs w:val="18"/>
              </w:rPr>
            </w:pPr>
            <w:r>
              <w:rPr>
                <w:sz w:val="18"/>
              </w:rPr>
              <w:t>paragrafi da 1 a 4</w:t>
            </w:r>
          </w:p>
        </w:tc>
        <w:tc>
          <w:tcPr>
            <w:tcW w:w="3296" w:type="dxa"/>
            <w:shd w:val="clear" w:color="auto" w:fill="auto"/>
          </w:tcPr>
          <w:p w:rsidR="00C01A94" w:rsidRPr="004B606C" w:rsidRDefault="00C01A94" w:rsidP="00A8005B">
            <w:pPr>
              <w:spacing w:before="80" w:after="80" w:line="240" w:lineRule="atLeast"/>
              <w:rPr>
                <w:rFonts w:eastAsia="Calibri" w:cs="Arial"/>
                <w:sz w:val="18"/>
                <w:szCs w:val="18"/>
              </w:rPr>
            </w:pPr>
            <w:r>
              <w:rPr>
                <w:sz w:val="18"/>
              </w:rPr>
              <w:t>Disposizioni generali</w:t>
            </w:r>
          </w:p>
        </w:tc>
        <w:tc>
          <w:tcPr>
            <w:tcW w:w="6521" w:type="dxa"/>
            <w:vMerge w:val="restart"/>
            <w:shd w:val="clear" w:color="auto" w:fill="auto"/>
            <w:vAlign w:val="center"/>
          </w:tcPr>
          <w:p w:rsidR="00C01A94" w:rsidRPr="00C903F8" w:rsidRDefault="00C01A94" w:rsidP="00A8005B">
            <w:pPr>
              <w:spacing w:before="80" w:after="80" w:line="240" w:lineRule="atLeast"/>
              <w:ind w:left="0" w:firstLine="0"/>
              <w:rPr>
                <w:rFonts w:cs="Arial"/>
                <w:sz w:val="18"/>
                <w:szCs w:val="18"/>
              </w:rPr>
            </w:pPr>
            <w:r>
              <w:rPr>
                <w:sz w:val="18"/>
              </w:rPr>
              <w:t>Per motori conformi alle disposizioni di omologazione e installazione in vigore alla data di installazione: S.T.</w:t>
            </w:r>
          </w:p>
        </w:tc>
        <w:tc>
          <w:tcPr>
            <w:tcW w:w="1276" w:type="dxa"/>
            <w:tcBorders>
              <w:top w:val="nil"/>
              <w:bottom w:val="nil"/>
            </w:tcBorders>
            <w:shd w:val="clear" w:color="auto" w:fill="auto"/>
          </w:tcPr>
          <w:p w:rsidR="00C01A94" w:rsidRPr="00C01A94" w:rsidRDefault="00C01A94" w:rsidP="00A8005B">
            <w:pPr>
              <w:spacing w:before="80" w:after="80" w:line="240" w:lineRule="atLeast"/>
              <w:ind w:left="0" w:firstLine="0"/>
              <w:rPr>
                <w:rFonts w:cs="Arial"/>
                <w:sz w:val="18"/>
                <w:szCs w:val="18"/>
              </w:rPr>
            </w:pPr>
          </w:p>
        </w:tc>
      </w:tr>
      <w:tr w:rsidR="00C01A94" w:rsidRPr="00C903F8" w:rsidTr="00C01A94">
        <w:trPr>
          <w:cantSplit/>
          <w:jc w:val="center"/>
        </w:trPr>
        <w:tc>
          <w:tcPr>
            <w:tcW w:w="1342" w:type="dxa"/>
            <w:shd w:val="clear" w:color="auto" w:fill="auto"/>
          </w:tcPr>
          <w:p w:rsidR="00C01A94" w:rsidRPr="004B606C" w:rsidRDefault="00C01A94" w:rsidP="00A8005B">
            <w:pPr>
              <w:spacing w:before="80" w:after="80" w:line="240" w:lineRule="atLeast"/>
              <w:rPr>
                <w:sz w:val="18"/>
                <w:szCs w:val="18"/>
              </w:rPr>
            </w:pPr>
            <w:r>
              <w:rPr>
                <w:sz w:val="18"/>
              </w:rPr>
              <w:t>9.06</w:t>
            </w:r>
          </w:p>
        </w:tc>
        <w:tc>
          <w:tcPr>
            <w:tcW w:w="1458" w:type="dxa"/>
            <w:shd w:val="clear" w:color="auto" w:fill="auto"/>
          </w:tcPr>
          <w:p w:rsidR="00C01A94" w:rsidRPr="004B606C" w:rsidRDefault="00C01A94" w:rsidP="00A8005B">
            <w:pPr>
              <w:spacing w:before="80" w:after="80" w:line="240" w:lineRule="atLeast"/>
              <w:rPr>
                <w:sz w:val="18"/>
                <w:szCs w:val="18"/>
              </w:rPr>
            </w:pPr>
          </w:p>
        </w:tc>
        <w:tc>
          <w:tcPr>
            <w:tcW w:w="3296" w:type="dxa"/>
            <w:shd w:val="clear" w:color="auto" w:fill="auto"/>
          </w:tcPr>
          <w:p w:rsidR="00C01A94" w:rsidRPr="004B606C" w:rsidRDefault="00C01A94" w:rsidP="00A8005B">
            <w:pPr>
              <w:spacing w:before="80" w:after="80" w:line="240" w:lineRule="atLeast"/>
              <w:rPr>
                <w:sz w:val="18"/>
                <w:szCs w:val="18"/>
              </w:rPr>
            </w:pPr>
            <w:r>
              <w:rPr>
                <w:sz w:val="18"/>
              </w:rPr>
              <w:t>Controllo di montaggio</w:t>
            </w:r>
          </w:p>
        </w:tc>
        <w:tc>
          <w:tcPr>
            <w:tcW w:w="6521" w:type="dxa"/>
            <w:vMerge/>
            <w:shd w:val="clear" w:color="auto" w:fill="auto"/>
          </w:tcPr>
          <w:p w:rsidR="00C01A94" w:rsidRPr="00C903F8" w:rsidRDefault="00C01A94" w:rsidP="00A8005B">
            <w:pPr>
              <w:spacing w:before="80" w:after="80" w:line="240" w:lineRule="atLeast"/>
              <w:ind w:left="0" w:firstLine="0"/>
              <w:rPr>
                <w:rFonts w:cs="Arial"/>
                <w:sz w:val="18"/>
                <w:szCs w:val="18"/>
              </w:rPr>
            </w:pPr>
          </w:p>
        </w:tc>
        <w:tc>
          <w:tcPr>
            <w:tcW w:w="1276" w:type="dxa"/>
            <w:tcBorders>
              <w:top w:val="nil"/>
            </w:tcBorders>
            <w:shd w:val="clear" w:color="auto" w:fill="auto"/>
          </w:tcPr>
          <w:p w:rsidR="00C01A94" w:rsidRPr="00C903F8" w:rsidRDefault="00C01A94" w:rsidP="00A8005B">
            <w:pPr>
              <w:spacing w:before="80" w:after="80" w:line="240" w:lineRule="atLeast"/>
              <w:ind w:left="0" w:firstLine="0"/>
              <w:rPr>
                <w:rFonts w:cs="Arial"/>
                <w:sz w:val="18"/>
                <w:szCs w:val="18"/>
              </w:rPr>
            </w:pPr>
          </w:p>
        </w:tc>
      </w:tr>
      <w:tr w:rsidR="00C01A94" w:rsidRPr="00C903F8" w:rsidTr="001964F8">
        <w:trPr>
          <w:cantSplit/>
          <w:jc w:val="center"/>
        </w:trPr>
        <w:tc>
          <w:tcPr>
            <w:tcW w:w="6096" w:type="dxa"/>
            <w:gridSpan w:val="3"/>
            <w:tcBorders>
              <w:top w:val="single" w:sz="4" w:space="0" w:color="auto"/>
            </w:tcBorders>
            <w:shd w:val="clear" w:color="auto" w:fill="auto"/>
          </w:tcPr>
          <w:p w:rsidR="00C01A94" w:rsidRPr="00852DB3" w:rsidRDefault="00C01A94" w:rsidP="00A8005B">
            <w:pPr>
              <w:spacing w:before="80" w:after="80" w:line="240" w:lineRule="atLeast"/>
              <w:jc w:val="center"/>
              <w:rPr>
                <w:rFonts w:cs="Arial"/>
                <w:b/>
                <w:sz w:val="18"/>
                <w:szCs w:val="18"/>
              </w:rPr>
            </w:pPr>
            <w:r>
              <w:rPr>
                <w:b/>
                <w:sz w:val="18"/>
              </w:rPr>
              <w:t>CAPO 10</w:t>
            </w:r>
          </w:p>
        </w:tc>
        <w:tc>
          <w:tcPr>
            <w:tcW w:w="6521" w:type="dxa"/>
            <w:tcBorders>
              <w:top w:val="single" w:sz="4" w:space="0" w:color="auto"/>
            </w:tcBorders>
            <w:shd w:val="clear" w:color="auto" w:fill="auto"/>
          </w:tcPr>
          <w:p w:rsidR="00C01A94" w:rsidRPr="00852DB3" w:rsidRDefault="00C01A94" w:rsidP="00A8005B">
            <w:pPr>
              <w:spacing w:before="80" w:after="80" w:line="240" w:lineRule="atLeast"/>
              <w:jc w:val="center"/>
              <w:rPr>
                <w:rFonts w:cs="Arial"/>
                <w:sz w:val="18"/>
                <w:szCs w:val="18"/>
              </w:rPr>
            </w:pPr>
          </w:p>
        </w:tc>
        <w:tc>
          <w:tcPr>
            <w:tcW w:w="1276" w:type="dxa"/>
            <w:tcBorders>
              <w:top w:val="single" w:sz="4" w:space="0" w:color="auto"/>
            </w:tcBorders>
            <w:shd w:val="clear" w:color="auto" w:fill="auto"/>
          </w:tcPr>
          <w:p w:rsidR="00C01A94" w:rsidRPr="00C903F8" w:rsidRDefault="00C01A94" w:rsidP="00A8005B">
            <w:pPr>
              <w:spacing w:before="80" w:after="80" w:line="240" w:lineRule="atLeast"/>
              <w:ind w:left="0" w:firstLine="0"/>
              <w:rPr>
                <w:rFonts w:cs="Arial"/>
                <w:sz w:val="18"/>
                <w:szCs w:val="18"/>
              </w:rPr>
            </w:pPr>
          </w:p>
        </w:tc>
      </w:tr>
      <w:tr w:rsidR="00C01A94" w:rsidRPr="00C903F8" w:rsidTr="00E04086">
        <w:trPr>
          <w:cantSplit/>
          <w:jc w:val="center"/>
        </w:trPr>
        <w:tc>
          <w:tcPr>
            <w:tcW w:w="1342" w:type="dxa"/>
            <w:vMerge w:val="restart"/>
            <w:shd w:val="clear" w:color="auto" w:fill="auto"/>
          </w:tcPr>
          <w:p w:rsidR="00C01A94" w:rsidRPr="00C903F8" w:rsidRDefault="00C01A94" w:rsidP="00A8005B">
            <w:pPr>
              <w:spacing w:before="80" w:after="80" w:line="240" w:lineRule="atLeast"/>
              <w:ind w:left="0" w:firstLine="0"/>
              <w:rPr>
                <w:rFonts w:cs="Arial"/>
                <w:sz w:val="18"/>
                <w:szCs w:val="18"/>
              </w:rPr>
            </w:pPr>
            <w:r>
              <w:rPr>
                <w:sz w:val="18"/>
              </w:rPr>
              <w:t>10.01</w:t>
            </w:r>
          </w:p>
        </w:tc>
        <w:tc>
          <w:tcPr>
            <w:tcW w:w="1458" w:type="dxa"/>
            <w:shd w:val="clear" w:color="auto" w:fill="auto"/>
          </w:tcPr>
          <w:p w:rsidR="00C01A94" w:rsidRPr="00852DB3" w:rsidRDefault="00C01A94" w:rsidP="00A8005B">
            <w:pPr>
              <w:spacing w:before="80" w:after="80" w:line="240" w:lineRule="atLeast"/>
              <w:rPr>
                <w:rFonts w:cs="Arial"/>
                <w:sz w:val="18"/>
                <w:szCs w:val="18"/>
              </w:rPr>
            </w:pPr>
            <w:r>
              <w:rPr>
                <w:sz w:val="18"/>
              </w:rPr>
              <w:t>paragrafo 1, seconda frase</w:t>
            </w:r>
          </w:p>
        </w:tc>
        <w:tc>
          <w:tcPr>
            <w:tcW w:w="3296" w:type="dxa"/>
            <w:shd w:val="clear" w:color="auto" w:fill="auto"/>
          </w:tcPr>
          <w:p w:rsidR="00C01A94" w:rsidRPr="003F5E4D" w:rsidRDefault="00C01A94" w:rsidP="00A8005B">
            <w:pPr>
              <w:spacing w:before="80" w:after="80" w:line="240" w:lineRule="atLeast"/>
              <w:ind w:left="0" w:firstLine="0"/>
              <w:rPr>
                <w:rFonts w:cs="Arial"/>
                <w:noProof/>
                <w:sz w:val="18"/>
                <w:szCs w:val="18"/>
              </w:rPr>
            </w:pPr>
            <w:r>
              <w:rPr>
                <w:noProof/>
                <w:sz w:val="18"/>
              </w:rPr>
              <w:t>Documenti richiesti da presentare alla commissione di ispezione</w:t>
            </w:r>
          </w:p>
        </w:tc>
        <w:tc>
          <w:tcPr>
            <w:tcW w:w="6521" w:type="dxa"/>
            <w:shd w:val="clear" w:color="auto" w:fill="auto"/>
          </w:tcPr>
          <w:p w:rsidR="00C01A94" w:rsidRPr="00852DB3" w:rsidRDefault="00C01A94" w:rsidP="00A8005B">
            <w:pPr>
              <w:spacing w:before="80" w:after="8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A8005B">
            <w:pPr>
              <w:spacing w:before="80" w:after="80" w:line="240" w:lineRule="atLeast"/>
              <w:jc w:val="center"/>
              <w:rPr>
                <w:rFonts w:cs="Arial"/>
                <w:sz w:val="18"/>
                <w:szCs w:val="18"/>
              </w:rPr>
            </w:pPr>
            <w:r>
              <w:rPr>
                <w:sz w:val="18"/>
              </w:rPr>
              <w:t>1.1.2035</w:t>
            </w:r>
          </w:p>
        </w:tc>
      </w:tr>
      <w:tr w:rsidR="00C01A94" w:rsidRPr="00C903F8" w:rsidTr="00E04086">
        <w:trPr>
          <w:cantSplit/>
          <w:jc w:val="center"/>
        </w:trPr>
        <w:tc>
          <w:tcPr>
            <w:tcW w:w="1342" w:type="dxa"/>
            <w:vMerge/>
            <w:shd w:val="clear" w:color="auto" w:fill="auto"/>
          </w:tcPr>
          <w:p w:rsidR="00C01A94" w:rsidRPr="00C903F8" w:rsidRDefault="00C01A94" w:rsidP="00A8005B">
            <w:pPr>
              <w:spacing w:before="80" w:after="80" w:line="240" w:lineRule="atLeast"/>
              <w:ind w:left="0"/>
              <w:rPr>
                <w:rFonts w:cs="Arial"/>
                <w:sz w:val="18"/>
                <w:szCs w:val="18"/>
              </w:rPr>
            </w:pPr>
          </w:p>
        </w:tc>
        <w:tc>
          <w:tcPr>
            <w:tcW w:w="1458" w:type="dxa"/>
            <w:shd w:val="clear" w:color="auto" w:fill="auto"/>
          </w:tcPr>
          <w:p w:rsidR="00C01A94" w:rsidRPr="00852DB3" w:rsidRDefault="00C01A94" w:rsidP="00A8005B">
            <w:pPr>
              <w:spacing w:before="80" w:after="80" w:line="240" w:lineRule="atLeast"/>
              <w:rPr>
                <w:rFonts w:cs="Arial"/>
                <w:sz w:val="18"/>
                <w:szCs w:val="18"/>
              </w:rPr>
            </w:pPr>
            <w:r>
              <w:rPr>
                <w:sz w:val="18"/>
              </w:rPr>
              <w:t>paragrafo 2, lettera b)</w:t>
            </w:r>
          </w:p>
        </w:tc>
        <w:tc>
          <w:tcPr>
            <w:tcW w:w="3296" w:type="dxa"/>
            <w:shd w:val="clear" w:color="auto" w:fill="auto"/>
          </w:tcPr>
          <w:p w:rsidR="00C01A94" w:rsidRPr="003F5E4D" w:rsidRDefault="00C01A94" w:rsidP="00A8005B">
            <w:pPr>
              <w:spacing w:before="80" w:after="80" w:line="240" w:lineRule="atLeast"/>
              <w:ind w:left="0" w:firstLine="0"/>
              <w:rPr>
                <w:rFonts w:cs="Arial"/>
                <w:noProof/>
                <w:sz w:val="18"/>
                <w:szCs w:val="18"/>
              </w:rPr>
            </w:pPr>
            <w:r>
              <w:rPr>
                <w:noProof/>
                <w:sz w:val="18"/>
              </w:rPr>
              <w:t>Piani del quadro principale, del quadro dell'impianto di emergenza e dei quadri di distribuzione che devono essere a bordo</w:t>
            </w:r>
          </w:p>
        </w:tc>
        <w:tc>
          <w:tcPr>
            <w:tcW w:w="6521" w:type="dxa"/>
            <w:shd w:val="clear" w:color="auto" w:fill="auto"/>
          </w:tcPr>
          <w:p w:rsidR="00C01A94" w:rsidRPr="00852DB3" w:rsidRDefault="00C01A94" w:rsidP="00A8005B">
            <w:pPr>
              <w:spacing w:before="80" w:after="8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A8005B">
            <w:pPr>
              <w:spacing w:before="80" w:after="80" w:line="240" w:lineRule="atLeast"/>
              <w:jc w:val="center"/>
              <w:rPr>
                <w:rFonts w:cs="Arial"/>
                <w:sz w:val="18"/>
                <w:szCs w:val="18"/>
              </w:rPr>
            </w:pPr>
            <w:r>
              <w:rPr>
                <w:sz w:val="18"/>
              </w:rPr>
              <w:t>1.1.2010</w:t>
            </w:r>
          </w:p>
        </w:tc>
      </w:tr>
      <w:tr w:rsidR="00C01A94" w:rsidRPr="00C903F8" w:rsidTr="00E04086">
        <w:trPr>
          <w:cantSplit/>
          <w:jc w:val="center"/>
        </w:trPr>
        <w:tc>
          <w:tcPr>
            <w:tcW w:w="1342" w:type="dxa"/>
            <w:vMerge/>
            <w:shd w:val="clear" w:color="auto" w:fill="auto"/>
          </w:tcPr>
          <w:p w:rsidR="00C01A94" w:rsidRPr="00C903F8" w:rsidRDefault="00C01A94" w:rsidP="00A8005B">
            <w:pPr>
              <w:spacing w:before="80" w:after="80" w:line="240" w:lineRule="atLeast"/>
              <w:ind w:left="0"/>
              <w:rPr>
                <w:rFonts w:cs="Arial"/>
                <w:sz w:val="18"/>
                <w:szCs w:val="18"/>
              </w:rPr>
            </w:pPr>
          </w:p>
        </w:tc>
        <w:tc>
          <w:tcPr>
            <w:tcW w:w="1458" w:type="dxa"/>
            <w:shd w:val="clear" w:color="auto" w:fill="auto"/>
          </w:tcPr>
          <w:p w:rsidR="00C01A94" w:rsidRPr="00852DB3" w:rsidRDefault="00AA3519" w:rsidP="00AA3519">
            <w:pPr>
              <w:spacing w:before="80" w:after="80" w:line="240" w:lineRule="atLeast"/>
              <w:rPr>
                <w:rFonts w:cs="Arial"/>
                <w:sz w:val="18"/>
                <w:szCs w:val="18"/>
              </w:rPr>
            </w:pPr>
            <w:r>
              <w:rPr>
                <w:sz w:val="18"/>
              </w:rPr>
              <w:t>paragrafo 2, lettera e)</w:t>
            </w:r>
          </w:p>
        </w:tc>
        <w:tc>
          <w:tcPr>
            <w:tcW w:w="3296" w:type="dxa"/>
            <w:shd w:val="clear" w:color="auto" w:fill="auto"/>
          </w:tcPr>
          <w:p w:rsidR="00C01A94" w:rsidRPr="003F5E4D" w:rsidRDefault="00C01A94" w:rsidP="00A8005B">
            <w:pPr>
              <w:spacing w:before="80" w:after="80" w:line="240" w:lineRule="atLeast"/>
              <w:ind w:left="0" w:firstLine="0"/>
              <w:rPr>
                <w:rFonts w:cs="Arial"/>
                <w:noProof/>
                <w:sz w:val="18"/>
                <w:szCs w:val="18"/>
              </w:rPr>
            </w:pPr>
            <w:r>
              <w:rPr>
                <w:noProof/>
                <w:sz w:val="18"/>
              </w:rPr>
              <w:t>Piani dei quadri elettrici e documentazione del motore elettrico di propulsore</w:t>
            </w:r>
          </w:p>
        </w:tc>
        <w:tc>
          <w:tcPr>
            <w:tcW w:w="6521" w:type="dxa"/>
            <w:shd w:val="clear" w:color="auto" w:fill="auto"/>
          </w:tcPr>
          <w:p w:rsidR="00C01A94" w:rsidRPr="00852DB3" w:rsidRDefault="0012395A" w:rsidP="00A8005B">
            <w:pPr>
              <w:spacing w:before="80" w:after="80" w:line="240" w:lineRule="atLeast"/>
              <w:rPr>
                <w:rFonts w:cs="Arial"/>
                <w:sz w:val="18"/>
                <w:szCs w:val="18"/>
              </w:rPr>
            </w:pPr>
            <w:r>
              <w:rPr>
                <w:sz w:val="18"/>
              </w:rPr>
              <w:t>N.S.T</w:t>
            </w:r>
          </w:p>
        </w:tc>
        <w:tc>
          <w:tcPr>
            <w:tcW w:w="1276" w:type="dxa"/>
            <w:shd w:val="clear" w:color="auto" w:fill="auto"/>
          </w:tcPr>
          <w:p w:rsidR="00C01A94" w:rsidRPr="00852DB3" w:rsidRDefault="00C01A94" w:rsidP="00A8005B">
            <w:pPr>
              <w:spacing w:before="80" w:after="80" w:line="240" w:lineRule="atLeast"/>
              <w:jc w:val="center"/>
              <w:rPr>
                <w:rFonts w:cs="Arial"/>
                <w:sz w:val="18"/>
                <w:szCs w:val="18"/>
              </w:rPr>
            </w:pPr>
          </w:p>
        </w:tc>
      </w:tr>
      <w:tr w:rsidR="00C01A94" w:rsidRPr="00C903F8" w:rsidTr="001964F8">
        <w:trPr>
          <w:cantSplit/>
          <w:jc w:val="center"/>
        </w:trPr>
        <w:tc>
          <w:tcPr>
            <w:tcW w:w="1342" w:type="dxa"/>
            <w:vMerge/>
            <w:tcBorders>
              <w:bottom w:val="nil"/>
            </w:tcBorders>
            <w:shd w:val="clear" w:color="auto" w:fill="auto"/>
          </w:tcPr>
          <w:p w:rsidR="00C01A94" w:rsidRPr="00C903F8" w:rsidRDefault="00C01A94" w:rsidP="00A8005B">
            <w:pPr>
              <w:spacing w:before="80" w:after="80" w:line="240" w:lineRule="atLeast"/>
              <w:ind w:left="0" w:firstLine="0"/>
              <w:rPr>
                <w:rFonts w:cs="Arial"/>
                <w:sz w:val="18"/>
                <w:szCs w:val="18"/>
              </w:rPr>
            </w:pPr>
          </w:p>
        </w:tc>
        <w:tc>
          <w:tcPr>
            <w:tcW w:w="1458" w:type="dxa"/>
            <w:shd w:val="clear" w:color="auto" w:fill="auto"/>
          </w:tcPr>
          <w:p w:rsidR="00C01A94" w:rsidRPr="00852DB3" w:rsidRDefault="00AA3519" w:rsidP="00AA3519">
            <w:pPr>
              <w:spacing w:before="80" w:after="80" w:line="240" w:lineRule="atLeast"/>
              <w:rPr>
                <w:rFonts w:cs="Arial"/>
                <w:sz w:val="18"/>
                <w:szCs w:val="18"/>
              </w:rPr>
            </w:pPr>
            <w:r>
              <w:rPr>
                <w:sz w:val="18"/>
              </w:rPr>
              <w:t>paragrafo 2, lettera f)</w:t>
            </w:r>
          </w:p>
        </w:tc>
        <w:tc>
          <w:tcPr>
            <w:tcW w:w="3296" w:type="dxa"/>
            <w:shd w:val="clear" w:color="auto" w:fill="auto"/>
          </w:tcPr>
          <w:p w:rsidR="00C01A94" w:rsidRPr="00852DB3" w:rsidRDefault="00C01A94" w:rsidP="00A8005B">
            <w:pPr>
              <w:spacing w:before="80" w:after="80" w:line="240" w:lineRule="atLeast"/>
              <w:ind w:left="0" w:firstLine="0"/>
              <w:rPr>
                <w:rFonts w:cs="Arial"/>
                <w:noProof/>
                <w:sz w:val="18"/>
                <w:szCs w:val="18"/>
              </w:rPr>
            </w:pPr>
            <w:r>
              <w:rPr>
                <w:noProof/>
                <w:sz w:val="18"/>
              </w:rPr>
              <w:t>Piani dei sistemi elettronici</w:t>
            </w:r>
          </w:p>
        </w:tc>
        <w:tc>
          <w:tcPr>
            <w:tcW w:w="6521" w:type="dxa"/>
            <w:shd w:val="clear" w:color="auto" w:fill="auto"/>
          </w:tcPr>
          <w:p w:rsidR="00C01A94" w:rsidRPr="00852DB3" w:rsidRDefault="0012395A" w:rsidP="00A8005B">
            <w:pPr>
              <w:spacing w:before="80" w:after="80" w:line="240" w:lineRule="atLeast"/>
              <w:rPr>
                <w:rFonts w:cs="Arial"/>
                <w:sz w:val="18"/>
                <w:szCs w:val="18"/>
              </w:rPr>
            </w:pPr>
            <w:r>
              <w:rPr>
                <w:sz w:val="18"/>
              </w:rPr>
              <w:t>N.S.T</w:t>
            </w:r>
          </w:p>
        </w:tc>
        <w:tc>
          <w:tcPr>
            <w:tcW w:w="1276" w:type="dxa"/>
            <w:shd w:val="clear" w:color="auto" w:fill="auto"/>
          </w:tcPr>
          <w:p w:rsidR="00C01A94" w:rsidRPr="00852DB3" w:rsidRDefault="00C01A94" w:rsidP="00A8005B">
            <w:pPr>
              <w:spacing w:before="80" w:after="80" w:line="240" w:lineRule="atLeast"/>
              <w:jc w:val="center"/>
              <w:rPr>
                <w:rFonts w:cs="Arial"/>
                <w:sz w:val="18"/>
                <w:szCs w:val="18"/>
              </w:rPr>
            </w:pPr>
          </w:p>
        </w:tc>
      </w:tr>
      <w:tr w:rsidR="00C01A94" w:rsidRPr="00C903F8" w:rsidTr="001964F8">
        <w:trPr>
          <w:cantSplit/>
          <w:jc w:val="center"/>
        </w:trPr>
        <w:tc>
          <w:tcPr>
            <w:tcW w:w="1342" w:type="dxa"/>
            <w:tcBorders>
              <w:top w:val="nil"/>
              <w:bottom w:val="nil"/>
            </w:tcBorders>
            <w:shd w:val="clear" w:color="auto" w:fill="auto"/>
          </w:tcPr>
          <w:p w:rsidR="00C01A94" w:rsidRPr="00C903F8" w:rsidRDefault="00C01A94" w:rsidP="00A8005B">
            <w:pPr>
              <w:spacing w:before="80" w:after="80" w:line="240" w:lineRule="atLeast"/>
              <w:ind w:left="0" w:firstLine="0"/>
              <w:rPr>
                <w:rFonts w:cs="Arial"/>
                <w:sz w:val="18"/>
                <w:szCs w:val="18"/>
              </w:rPr>
            </w:pPr>
          </w:p>
        </w:tc>
        <w:tc>
          <w:tcPr>
            <w:tcW w:w="1458" w:type="dxa"/>
            <w:shd w:val="clear" w:color="auto" w:fill="auto"/>
          </w:tcPr>
          <w:p w:rsidR="00C01A94" w:rsidRPr="00852DB3" w:rsidRDefault="00AA3519" w:rsidP="00AA3519">
            <w:pPr>
              <w:spacing w:before="80" w:after="80" w:line="240" w:lineRule="atLeast"/>
              <w:rPr>
                <w:rFonts w:cs="Arial"/>
                <w:sz w:val="18"/>
                <w:szCs w:val="18"/>
              </w:rPr>
            </w:pPr>
            <w:r>
              <w:rPr>
                <w:sz w:val="18"/>
              </w:rPr>
              <w:t>paragrafo 2, lettera g)</w:t>
            </w:r>
          </w:p>
        </w:tc>
        <w:tc>
          <w:tcPr>
            <w:tcW w:w="3296" w:type="dxa"/>
            <w:shd w:val="clear" w:color="auto" w:fill="auto"/>
          </w:tcPr>
          <w:p w:rsidR="00C01A94" w:rsidRPr="00852DB3" w:rsidRDefault="003D4DBF" w:rsidP="00A8005B">
            <w:pPr>
              <w:spacing w:before="80" w:after="80" w:line="240" w:lineRule="atLeast"/>
              <w:ind w:left="0" w:firstLine="0"/>
              <w:rPr>
                <w:rFonts w:cs="Arial"/>
                <w:noProof/>
                <w:sz w:val="18"/>
                <w:szCs w:val="18"/>
              </w:rPr>
            </w:pPr>
            <w:r>
              <w:rPr>
                <w:noProof/>
                <w:sz w:val="18"/>
              </w:rPr>
              <w:t>Piani dei circuiti di comando</w:t>
            </w:r>
          </w:p>
        </w:tc>
        <w:tc>
          <w:tcPr>
            <w:tcW w:w="6521" w:type="dxa"/>
            <w:shd w:val="clear" w:color="auto" w:fill="auto"/>
          </w:tcPr>
          <w:p w:rsidR="00C01A94" w:rsidRPr="00852DB3" w:rsidRDefault="0012395A" w:rsidP="00A8005B">
            <w:pPr>
              <w:spacing w:before="80" w:after="80" w:line="240" w:lineRule="atLeast"/>
              <w:rPr>
                <w:rFonts w:cs="Arial"/>
                <w:sz w:val="18"/>
                <w:szCs w:val="18"/>
              </w:rPr>
            </w:pPr>
            <w:r>
              <w:rPr>
                <w:sz w:val="18"/>
              </w:rPr>
              <w:t>N.S.T</w:t>
            </w:r>
          </w:p>
        </w:tc>
        <w:tc>
          <w:tcPr>
            <w:tcW w:w="1276" w:type="dxa"/>
            <w:shd w:val="clear" w:color="auto" w:fill="auto"/>
          </w:tcPr>
          <w:p w:rsidR="00C01A94" w:rsidRPr="00852DB3" w:rsidRDefault="00C01A94" w:rsidP="00A8005B">
            <w:pPr>
              <w:spacing w:before="80" w:after="80" w:line="240" w:lineRule="atLeast"/>
              <w:jc w:val="center"/>
              <w:rPr>
                <w:rFonts w:cs="Arial"/>
                <w:sz w:val="18"/>
                <w:szCs w:val="18"/>
              </w:rPr>
            </w:pPr>
          </w:p>
        </w:tc>
      </w:tr>
      <w:tr w:rsidR="00C01A94" w:rsidRPr="00C903F8" w:rsidTr="001964F8">
        <w:trPr>
          <w:cantSplit/>
          <w:jc w:val="center"/>
        </w:trPr>
        <w:tc>
          <w:tcPr>
            <w:tcW w:w="1342" w:type="dxa"/>
            <w:tcBorders>
              <w:top w:val="nil"/>
            </w:tcBorders>
            <w:shd w:val="clear" w:color="auto" w:fill="auto"/>
          </w:tcPr>
          <w:p w:rsidR="00C01A94" w:rsidRPr="00C903F8" w:rsidRDefault="00C01A94" w:rsidP="00A8005B">
            <w:pPr>
              <w:spacing w:before="80" w:after="80" w:line="240" w:lineRule="atLeast"/>
              <w:ind w:left="0" w:firstLine="0"/>
              <w:rPr>
                <w:rFonts w:cs="Arial"/>
                <w:sz w:val="18"/>
                <w:szCs w:val="18"/>
              </w:rPr>
            </w:pPr>
          </w:p>
        </w:tc>
        <w:tc>
          <w:tcPr>
            <w:tcW w:w="1458" w:type="dxa"/>
            <w:shd w:val="clear" w:color="auto" w:fill="auto"/>
          </w:tcPr>
          <w:p w:rsidR="00C01A94" w:rsidRPr="00852DB3" w:rsidRDefault="00C01A94" w:rsidP="00A8005B">
            <w:pPr>
              <w:spacing w:before="80" w:after="80" w:line="240" w:lineRule="atLeast"/>
              <w:rPr>
                <w:rFonts w:cs="Arial"/>
                <w:sz w:val="18"/>
                <w:szCs w:val="18"/>
              </w:rPr>
            </w:pPr>
            <w:r>
              <w:rPr>
                <w:sz w:val="18"/>
              </w:rPr>
              <w:t>paragrafo 3</w:t>
            </w:r>
          </w:p>
        </w:tc>
        <w:tc>
          <w:tcPr>
            <w:tcW w:w="3296" w:type="dxa"/>
            <w:shd w:val="clear" w:color="auto" w:fill="auto"/>
          </w:tcPr>
          <w:p w:rsidR="00C01A94" w:rsidRPr="00852DB3" w:rsidRDefault="00C01A94" w:rsidP="00A8005B">
            <w:pPr>
              <w:spacing w:before="80" w:after="80" w:line="240" w:lineRule="atLeast"/>
              <w:ind w:left="0" w:firstLine="0"/>
              <w:rPr>
                <w:rFonts w:cs="Arial"/>
                <w:noProof/>
                <w:sz w:val="18"/>
                <w:szCs w:val="18"/>
              </w:rPr>
            </w:pPr>
            <w:r>
              <w:rPr>
                <w:noProof/>
                <w:sz w:val="18"/>
              </w:rPr>
              <w:t>Temperature ambiente all'interno e sul ponte</w:t>
            </w:r>
          </w:p>
        </w:tc>
        <w:tc>
          <w:tcPr>
            <w:tcW w:w="6521" w:type="dxa"/>
            <w:shd w:val="clear" w:color="auto" w:fill="auto"/>
          </w:tcPr>
          <w:p w:rsidR="00C01A94" w:rsidRPr="00852DB3" w:rsidRDefault="00C01A94" w:rsidP="00A8005B">
            <w:pPr>
              <w:spacing w:before="80" w:after="8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A8005B">
            <w:pPr>
              <w:spacing w:before="80" w:after="80" w:line="240" w:lineRule="atLeast"/>
              <w:jc w:val="center"/>
              <w:rPr>
                <w:rFonts w:cs="Arial"/>
                <w:sz w:val="18"/>
                <w:szCs w:val="18"/>
              </w:rPr>
            </w:pPr>
            <w:r>
              <w:rPr>
                <w:sz w:val="18"/>
              </w:rPr>
              <w:t>1.1.2010</w:t>
            </w:r>
          </w:p>
        </w:tc>
      </w:tr>
      <w:tr w:rsidR="00C01A94" w:rsidRPr="00C903F8" w:rsidTr="001964F8">
        <w:trPr>
          <w:cantSplit/>
          <w:jc w:val="center"/>
        </w:trPr>
        <w:tc>
          <w:tcPr>
            <w:tcW w:w="1342" w:type="dxa"/>
            <w:shd w:val="clear" w:color="auto" w:fill="auto"/>
          </w:tcPr>
          <w:p w:rsidR="00C01A94" w:rsidRPr="004B4203" w:rsidRDefault="00C01A94" w:rsidP="00A8005B">
            <w:pPr>
              <w:spacing w:before="80" w:after="80" w:line="240" w:lineRule="atLeast"/>
              <w:rPr>
                <w:rFonts w:cs="Arial"/>
                <w:sz w:val="18"/>
                <w:szCs w:val="18"/>
              </w:rPr>
            </w:pPr>
            <w:r>
              <w:rPr>
                <w:sz w:val="18"/>
              </w:rPr>
              <w:t>10.02</w:t>
            </w:r>
          </w:p>
        </w:tc>
        <w:tc>
          <w:tcPr>
            <w:tcW w:w="1458" w:type="dxa"/>
            <w:shd w:val="clear" w:color="auto" w:fill="auto"/>
          </w:tcPr>
          <w:p w:rsidR="00C01A94" w:rsidRPr="00852DB3" w:rsidRDefault="00C01A94" w:rsidP="00A8005B">
            <w:pPr>
              <w:spacing w:before="80" w:after="80" w:line="240" w:lineRule="atLeast"/>
              <w:rPr>
                <w:rFonts w:cs="Arial"/>
                <w:sz w:val="18"/>
                <w:szCs w:val="18"/>
              </w:rPr>
            </w:pPr>
          </w:p>
        </w:tc>
        <w:tc>
          <w:tcPr>
            <w:tcW w:w="3296" w:type="dxa"/>
            <w:shd w:val="clear" w:color="auto" w:fill="auto"/>
          </w:tcPr>
          <w:p w:rsidR="00C01A94" w:rsidRPr="00852DB3" w:rsidRDefault="00C01A94" w:rsidP="00A8005B">
            <w:pPr>
              <w:spacing w:before="80" w:after="80" w:line="240" w:lineRule="atLeast"/>
              <w:rPr>
                <w:rFonts w:cs="Arial"/>
                <w:sz w:val="18"/>
                <w:szCs w:val="18"/>
              </w:rPr>
            </w:pPr>
            <w:r>
              <w:rPr>
                <w:sz w:val="18"/>
              </w:rPr>
              <w:t>Sistemi d'alimentazione di energia elettrica</w:t>
            </w:r>
          </w:p>
        </w:tc>
        <w:tc>
          <w:tcPr>
            <w:tcW w:w="6521" w:type="dxa"/>
            <w:shd w:val="clear" w:color="auto" w:fill="auto"/>
          </w:tcPr>
          <w:p w:rsidR="00C01A94" w:rsidRPr="00852DB3" w:rsidRDefault="00C01A94" w:rsidP="00A8005B">
            <w:pPr>
              <w:spacing w:before="80" w:after="8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A8005B">
            <w:pPr>
              <w:spacing w:before="80" w:after="80" w:line="240" w:lineRule="atLeast"/>
              <w:jc w:val="center"/>
              <w:rPr>
                <w:rFonts w:cs="Arial"/>
                <w:sz w:val="18"/>
                <w:szCs w:val="18"/>
              </w:rPr>
            </w:pPr>
            <w:r>
              <w:rPr>
                <w:sz w:val="18"/>
              </w:rPr>
              <w:t>1.1.2010</w:t>
            </w:r>
          </w:p>
        </w:tc>
      </w:tr>
      <w:tr w:rsidR="00C01A94" w:rsidRPr="00C903F8" w:rsidTr="001964F8">
        <w:trPr>
          <w:cantSplit/>
          <w:jc w:val="center"/>
        </w:trPr>
        <w:tc>
          <w:tcPr>
            <w:tcW w:w="1342" w:type="dxa"/>
            <w:shd w:val="clear" w:color="auto" w:fill="auto"/>
          </w:tcPr>
          <w:p w:rsidR="00C01A94" w:rsidRPr="004B4203" w:rsidRDefault="00C01A94" w:rsidP="005B1BE0">
            <w:pPr>
              <w:spacing w:before="140" w:after="140" w:line="240" w:lineRule="atLeast"/>
              <w:rPr>
                <w:rFonts w:cs="Arial"/>
                <w:sz w:val="18"/>
                <w:szCs w:val="18"/>
              </w:rPr>
            </w:pPr>
            <w:r>
              <w:rPr>
                <w:sz w:val="18"/>
              </w:rPr>
              <w:t>10.03</w:t>
            </w:r>
          </w:p>
        </w:tc>
        <w:tc>
          <w:tcPr>
            <w:tcW w:w="1458" w:type="dxa"/>
            <w:shd w:val="clear" w:color="auto" w:fill="auto"/>
          </w:tcPr>
          <w:p w:rsidR="00C01A94" w:rsidRPr="00852DB3" w:rsidRDefault="00C01A94" w:rsidP="005B1BE0">
            <w:pPr>
              <w:spacing w:before="140" w:after="140" w:line="240" w:lineRule="atLeast"/>
              <w:rPr>
                <w:rFonts w:cs="Arial"/>
                <w:sz w:val="18"/>
                <w:szCs w:val="18"/>
              </w:rPr>
            </w:pPr>
          </w:p>
        </w:tc>
        <w:tc>
          <w:tcPr>
            <w:tcW w:w="3296" w:type="dxa"/>
            <w:shd w:val="clear" w:color="auto" w:fill="auto"/>
          </w:tcPr>
          <w:p w:rsidR="00C01A94" w:rsidRPr="001717EA" w:rsidRDefault="00C01A94" w:rsidP="005B1BE0">
            <w:pPr>
              <w:spacing w:before="140" w:after="140" w:line="240" w:lineRule="atLeast"/>
              <w:ind w:left="0" w:firstLine="0"/>
              <w:rPr>
                <w:rFonts w:cs="Arial"/>
                <w:sz w:val="18"/>
                <w:szCs w:val="18"/>
              </w:rPr>
            </w:pPr>
            <w:r>
              <w:rPr>
                <w:sz w:val="18"/>
              </w:rPr>
              <w:t>Tipo di protezione in base alla posizione di installazione</w:t>
            </w:r>
          </w:p>
        </w:tc>
        <w:tc>
          <w:tcPr>
            <w:tcW w:w="6521" w:type="dxa"/>
            <w:shd w:val="clear" w:color="auto" w:fill="auto"/>
          </w:tcPr>
          <w:p w:rsidR="00C01A94" w:rsidRPr="00852DB3" w:rsidRDefault="0012395A" w:rsidP="005B1BE0">
            <w:pPr>
              <w:spacing w:before="140" w:after="140" w:line="240" w:lineRule="atLeast"/>
              <w:rPr>
                <w:rFonts w:cs="Arial"/>
                <w:sz w:val="18"/>
                <w:szCs w:val="18"/>
              </w:rPr>
            </w:pPr>
            <w:r>
              <w:rPr>
                <w:sz w:val="18"/>
              </w:rPr>
              <w:t>N.S.T</w:t>
            </w:r>
          </w:p>
        </w:tc>
        <w:tc>
          <w:tcPr>
            <w:tcW w:w="1276" w:type="dxa"/>
            <w:shd w:val="clear" w:color="auto" w:fill="auto"/>
          </w:tcPr>
          <w:p w:rsidR="00C01A94" w:rsidRPr="00852DB3" w:rsidRDefault="00C01A94" w:rsidP="005B1BE0">
            <w:pPr>
              <w:spacing w:before="140" w:after="140" w:line="240" w:lineRule="atLeast"/>
              <w:jc w:val="center"/>
              <w:rPr>
                <w:rFonts w:cs="Arial"/>
                <w:sz w:val="18"/>
                <w:szCs w:val="18"/>
              </w:rPr>
            </w:pPr>
          </w:p>
        </w:tc>
      </w:tr>
      <w:tr w:rsidR="00C01A94" w:rsidRPr="00C903F8" w:rsidTr="001964F8">
        <w:trPr>
          <w:cantSplit/>
          <w:jc w:val="center"/>
        </w:trPr>
        <w:tc>
          <w:tcPr>
            <w:tcW w:w="1342" w:type="dxa"/>
            <w:shd w:val="clear" w:color="auto" w:fill="auto"/>
          </w:tcPr>
          <w:p w:rsidR="00C01A94" w:rsidRPr="004B4203" w:rsidRDefault="00C01A94" w:rsidP="005B1BE0">
            <w:pPr>
              <w:spacing w:before="140" w:after="140" w:line="240" w:lineRule="atLeast"/>
              <w:rPr>
                <w:rFonts w:cs="Arial"/>
                <w:sz w:val="18"/>
                <w:szCs w:val="18"/>
              </w:rPr>
            </w:pPr>
            <w:r>
              <w:rPr>
                <w:sz w:val="18"/>
              </w:rPr>
              <w:t>10.04</w:t>
            </w:r>
          </w:p>
        </w:tc>
        <w:tc>
          <w:tcPr>
            <w:tcW w:w="1458" w:type="dxa"/>
            <w:shd w:val="clear" w:color="auto" w:fill="auto"/>
          </w:tcPr>
          <w:p w:rsidR="00C01A94" w:rsidRPr="00852DB3" w:rsidRDefault="00C01A94" w:rsidP="005B1BE0">
            <w:pPr>
              <w:spacing w:before="140" w:after="140" w:line="240" w:lineRule="atLeast"/>
              <w:rPr>
                <w:rFonts w:cs="Arial"/>
                <w:sz w:val="18"/>
                <w:szCs w:val="18"/>
              </w:rPr>
            </w:pPr>
          </w:p>
        </w:tc>
        <w:tc>
          <w:tcPr>
            <w:tcW w:w="3296" w:type="dxa"/>
            <w:shd w:val="clear" w:color="auto" w:fill="auto"/>
          </w:tcPr>
          <w:p w:rsidR="00C01A94" w:rsidRPr="00852DB3" w:rsidRDefault="00C01A94" w:rsidP="005B1BE0">
            <w:pPr>
              <w:spacing w:before="140" w:after="140" w:line="240" w:lineRule="atLeast"/>
              <w:rPr>
                <w:rFonts w:cs="Arial"/>
                <w:sz w:val="18"/>
                <w:szCs w:val="18"/>
              </w:rPr>
            </w:pPr>
            <w:r>
              <w:rPr>
                <w:sz w:val="18"/>
              </w:rPr>
              <w:t>Protezione contro le esplosioni</w:t>
            </w:r>
          </w:p>
        </w:tc>
        <w:tc>
          <w:tcPr>
            <w:tcW w:w="6521" w:type="dxa"/>
            <w:shd w:val="clear" w:color="auto" w:fill="auto"/>
          </w:tcPr>
          <w:p w:rsidR="00C01A94" w:rsidRPr="00852DB3" w:rsidRDefault="0012395A" w:rsidP="005B1BE0">
            <w:pPr>
              <w:spacing w:before="140" w:after="140" w:line="240" w:lineRule="atLeast"/>
              <w:rPr>
                <w:rFonts w:cs="Arial"/>
                <w:sz w:val="18"/>
                <w:szCs w:val="18"/>
              </w:rPr>
            </w:pPr>
            <w:r>
              <w:rPr>
                <w:sz w:val="18"/>
              </w:rPr>
              <w:t>N.S.T</w:t>
            </w:r>
          </w:p>
        </w:tc>
        <w:tc>
          <w:tcPr>
            <w:tcW w:w="1276" w:type="dxa"/>
            <w:shd w:val="clear" w:color="auto" w:fill="auto"/>
          </w:tcPr>
          <w:p w:rsidR="00C01A94" w:rsidRPr="00852DB3" w:rsidRDefault="00C01A94" w:rsidP="005B1BE0">
            <w:pPr>
              <w:spacing w:before="140" w:after="140" w:line="240" w:lineRule="atLeast"/>
              <w:jc w:val="center"/>
              <w:rPr>
                <w:rFonts w:cs="Arial"/>
                <w:sz w:val="18"/>
                <w:szCs w:val="18"/>
              </w:rPr>
            </w:pPr>
          </w:p>
        </w:tc>
      </w:tr>
      <w:tr w:rsidR="00C01A94" w:rsidRPr="00C903F8" w:rsidTr="001964F8">
        <w:trPr>
          <w:cantSplit/>
          <w:jc w:val="center"/>
        </w:trPr>
        <w:tc>
          <w:tcPr>
            <w:tcW w:w="1342" w:type="dxa"/>
            <w:shd w:val="clear" w:color="auto" w:fill="auto"/>
          </w:tcPr>
          <w:p w:rsidR="00C01A94" w:rsidRPr="004B4203" w:rsidRDefault="00C01A94" w:rsidP="005B1BE0">
            <w:pPr>
              <w:spacing w:before="140" w:after="140" w:line="240" w:lineRule="atLeast"/>
              <w:rPr>
                <w:rFonts w:cs="Arial"/>
                <w:sz w:val="18"/>
                <w:szCs w:val="18"/>
              </w:rPr>
            </w:pPr>
            <w:r>
              <w:rPr>
                <w:sz w:val="18"/>
              </w:rPr>
              <w:t>10.05</w:t>
            </w:r>
          </w:p>
        </w:tc>
        <w:tc>
          <w:tcPr>
            <w:tcW w:w="1458" w:type="dxa"/>
            <w:shd w:val="clear" w:color="auto" w:fill="auto"/>
          </w:tcPr>
          <w:p w:rsidR="00C01A94" w:rsidRPr="00852DB3" w:rsidRDefault="00C01A94" w:rsidP="005B1BE0">
            <w:pPr>
              <w:spacing w:before="140" w:after="140" w:line="240" w:lineRule="atLeast"/>
              <w:rPr>
                <w:rFonts w:cs="Arial"/>
                <w:sz w:val="18"/>
                <w:szCs w:val="18"/>
              </w:rPr>
            </w:pPr>
            <w:r>
              <w:rPr>
                <w:sz w:val="18"/>
              </w:rPr>
              <w:t>paragrafo 4</w:t>
            </w:r>
          </w:p>
        </w:tc>
        <w:tc>
          <w:tcPr>
            <w:tcW w:w="3296" w:type="dxa"/>
            <w:shd w:val="clear" w:color="auto" w:fill="auto"/>
          </w:tcPr>
          <w:p w:rsidR="00C01A94" w:rsidRPr="001717EA" w:rsidRDefault="00C01A94" w:rsidP="005B1BE0">
            <w:pPr>
              <w:spacing w:before="140" w:after="140" w:line="240" w:lineRule="atLeast"/>
              <w:rPr>
                <w:rFonts w:cs="Arial"/>
                <w:sz w:val="18"/>
                <w:szCs w:val="18"/>
              </w:rPr>
            </w:pPr>
            <w:r>
              <w:rPr>
                <w:sz w:val="18"/>
              </w:rPr>
              <w:t>Sezione dei conduttori di messa a terra</w:t>
            </w:r>
          </w:p>
        </w:tc>
        <w:tc>
          <w:tcPr>
            <w:tcW w:w="6521" w:type="dxa"/>
            <w:shd w:val="clear" w:color="auto" w:fill="auto"/>
          </w:tcPr>
          <w:p w:rsidR="00C01A94" w:rsidRPr="00852DB3" w:rsidRDefault="00C01A94" w:rsidP="005B1BE0">
            <w:pPr>
              <w:spacing w:before="140" w:after="14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5B1BE0">
            <w:pPr>
              <w:spacing w:before="140" w:after="140" w:line="240" w:lineRule="atLeast"/>
              <w:jc w:val="center"/>
              <w:rPr>
                <w:rFonts w:cs="Arial"/>
                <w:sz w:val="18"/>
                <w:szCs w:val="18"/>
              </w:rPr>
            </w:pPr>
            <w:r>
              <w:rPr>
                <w:sz w:val="18"/>
              </w:rPr>
              <w:t>1.1.2015</w:t>
            </w:r>
          </w:p>
        </w:tc>
      </w:tr>
      <w:tr w:rsidR="00C01A94" w:rsidRPr="00BF3595" w:rsidTr="001964F8">
        <w:trPr>
          <w:cantSplit/>
          <w:jc w:val="center"/>
        </w:trPr>
        <w:tc>
          <w:tcPr>
            <w:tcW w:w="1342" w:type="dxa"/>
            <w:tcBorders>
              <w:bottom w:val="single" w:sz="4" w:space="0" w:color="auto"/>
            </w:tcBorders>
            <w:shd w:val="clear" w:color="auto" w:fill="auto"/>
          </w:tcPr>
          <w:p w:rsidR="00C01A94" w:rsidRPr="004B4203" w:rsidRDefault="00C01A94" w:rsidP="005B1BE0">
            <w:pPr>
              <w:spacing w:before="140" w:after="140" w:line="240" w:lineRule="atLeast"/>
              <w:rPr>
                <w:rFonts w:cs="Arial"/>
                <w:sz w:val="18"/>
                <w:szCs w:val="18"/>
              </w:rPr>
            </w:pPr>
            <w:r>
              <w:rPr>
                <w:sz w:val="18"/>
              </w:rPr>
              <w:t xml:space="preserve">10.06 </w:t>
            </w:r>
          </w:p>
        </w:tc>
        <w:tc>
          <w:tcPr>
            <w:tcW w:w="1458" w:type="dxa"/>
            <w:shd w:val="clear" w:color="auto" w:fill="auto"/>
          </w:tcPr>
          <w:p w:rsidR="00C01A94" w:rsidRPr="00852DB3" w:rsidRDefault="00C01A94" w:rsidP="005B1BE0">
            <w:pPr>
              <w:spacing w:before="140" w:after="140" w:line="240" w:lineRule="atLeast"/>
              <w:rPr>
                <w:rFonts w:cs="Arial"/>
                <w:sz w:val="18"/>
                <w:szCs w:val="18"/>
              </w:rPr>
            </w:pPr>
            <w:r>
              <w:rPr>
                <w:sz w:val="18"/>
              </w:rPr>
              <w:t>paragrafo 1, tabella</w:t>
            </w:r>
          </w:p>
        </w:tc>
        <w:tc>
          <w:tcPr>
            <w:tcW w:w="3296" w:type="dxa"/>
            <w:shd w:val="clear" w:color="auto" w:fill="auto"/>
          </w:tcPr>
          <w:p w:rsidR="00C01A94" w:rsidRPr="00852DB3" w:rsidRDefault="00C01A94" w:rsidP="005B1BE0">
            <w:pPr>
              <w:spacing w:before="140" w:after="140" w:line="240" w:lineRule="atLeast"/>
              <w:rPr>
                <w:rFonts w:cs="Arial"/>
                <w:sz w:val="18"/>
                <w:szCs w:val="18"/>
              </w:rPr>
            </w:pPr>
            <w:r>
              <w:rPr>
                <w:sz w:val="18"/>
              </w:rPr>
              <w:t>Corrente alternata trifase</w:t>
            </w:r>
          </w:p>
        </w:tc>
        <w:tc>
          <w:tcPr>
            <w:tcW w:w="6521" w:type="dxa"/>
            <w:shd w:val="clear" w:color="auto" w:fill="auto"/>
          </w:tcPr>
          <w:p w:rsidR="00C01A94" w:rsidRPr="00852DB3" w:rsidRDefault="0012395A" w:rsidP="005B1BE0">
            <w:pPr>
              <w:spacing w:before="140" w:after="140" w:line="240" w:lineRule="atLeast"/>
              <w:rPr>
                <w:rFonts w:cs="Arial"/>
                <w:sz w:val="18"/>
                <w:szCs w:val="18"/>
              </w:rPr>
            </w:pPr>
            <w:r>
              <w:rPr>
                <w:sz w:val="18"/>
              </w:rPr>
              <w:t>N.S.T</w:t>
            </w:r>
          </w:p>
        </w:tc>
        <w:tc>
          <w:tcPr>
            <w:tcW w:w="1276" w:type="dxa"/>
            <w:shd w:val="clear" w:color="auto" w:fill="auto"/>
          </w:tcPr>
          <w:p w:rsidR="00C01A94" w:rsidRPr="00852DB3" w:rsidRDefault="00C01A94" w:rsidP="005B1BE0">
            <w:pPr>
              <w:spacing w:before="140" w:after="140" w:line="240" w:lineRule="atLeast"/>
              <w:jc w:val="center"/>
              <w:rPr>
                <w:rFonts w:cs="Arial"/>
                <w:sz w:val="18"/>
                <w:szCs w:val="18"/>
              </w:rPr>
            </w:pPr>
          </w:p>
        </w:tc>
      </w:tr>
      <w:tr w:rsidR="00C01A94" w:rsidRPr="00BF3595" w:rsidTr="001964F8">
        <w:trPr>
          <w:cantSplit/>
          <w:jc w:val="center"/>
        </w:trPr>
        <w:tc>
          <w:tcPr>
            <w:tcW w:w="1342" w:type="dxa"/>
            <w:tcBorders>
              <w:bottom w:val="single" w:sz="4" w:space="0" w:color="auto"/>
            </w:tcBorders>
            <w:shd w:val="clear" w:color="auto" w:fill="auto"/>
          </w:tcPr>
          <w:p w:rsidR="00C01A94" w:rsidRPr="004B4203" w:rsidRDefault="00C01A94" w:rsidP="005B1BE0">
            <w:pPr>
              <w:spacing w:before="140" w:after="140" w:line="240" w:lineRule="atLeast"/>
              <w:rPr>
                <w:rFonts w:cs="Arial"/>
                <w:sz w:val="18"/>
                <w:szCs w:val="18"/>
              </w:rPr>
            </w:pPr>
            <w:r>
              <w:rPr>
                <w:sz w:val="18"/>
              </w:rPr>
              <w:t>10.08</w:t>
            </w:r>
          </w:p>
        </w:tc>
        <w:tc>
          <w:tcPr>
            <w:tcW w:w="1458" w:type="dxa"/>
            <w:shd w:val="clear" w:color="auto" w:fill="auto"/>
          </w:tcPr>
          <w:p w:rsidR="00C01A94" w:rsidRPr="00852DB3" w:rsidRDefault="00C01A94" w:rsidP="005B1BE0">
            <w:pPr>
              <w:spacing w:before="140" w:after="140" w:line="240" w:lineRule="atLeast"/>
              <w:rPr>
                <w:rFonts w:cs="Arial"/>
                <w:sz w:val="18"/>
                <w:szCs w:val="18"/>
              </w:rPr>
            </w:pPr>
            <w:r>
              <w:rPr>
                <w:sz w:val="18"/>
              </w:rPr>
              <w:t>paragrafo 1</w:t>
            </w:r>
          </w:p>
        </w:tc>
        <w:tc>
          <w:tcPr>
            <w:tcW w:w="3296" w:type="dxa"/>
            <w:shd w:val="clear" w:color="auto" w:fill="auto"/>
          </w:tcPr>
          <w:p w:rsidR="00C01A94" w:rsidRPr="00A54EF9" w:rsidRDefault="00C01A94" w:rsidP="005B1BE0">
            <w:pPr>
              <w:spacing w:before="140" w:after="140" w:line="240" w:lineRule="atLeast"/>
              <w:ind w:left="0" w:firstLine="0"/>
              <w:rPr>
                <w:rFonts w:cs="Arial"/>
                <w:sz w:val="18"/>
                <w:szCs w:val="18"/>
              </w:rPr>
            </w:pPr>
            <w:r>
              <w:rPr>
                <w:sz w:val="18"/>
              </w:rPr>
              <w:t>Conformità rispetto alle norme europee EN 15869-1, EN 15869-3 ed EN 16840</w:t>
            </w:r>
          </w:p>
        </w:tc>
        <w:tc>
          <w:tcPr>
            <w:tcW w:w="6521" w:type="dxa"/>
            <w:shd w:val="clear" w:color="auto" w:fill="auto"/>
          </w:tcPr>
          <w:p w:rsidR="00C01A94" w:rsidRPr="00852DB3" w:rsidRDefault="0012395A" w:rsidP="005B1BE0">
            <w:pPr>
              <w:spacing w:before="140" w:after="140" w:line="240" w:lineRule="atLeast"/>
              <w:rPr>
                <w:rFonts w:cs="Arial"/>
                <w:sz w:val="18"/>
                <w:szCs w:val="18"/>
              </w:rPr>
            </w:pPr>
            <w:r>
              <w:rPr>
                <w:sz w:val="18"/>
              </w:rPr>
              <w:t>N.S.T</w:t>
            </w:r>
          </w:p>
        </w:tc>
        <w:tc>
          <w:tcPr>
            <w:tcW w:w="1276" w:type="dxa"/>
            <w:shd w:val="clear" w:color="auto" w:fill="auto"/>
          </w:tcPr>
          <w:p w:rsidR="00C01A94" w:rsidRPr="00852DB3" w:rsidRDefault="00C01A94" w:rsidP="005B1BE0">
            <w:pPr>
              <w:spacing w:before="140" w:after="140" w:line="240" w:lineRule="atLeast"/>
              <w:jc w:val="center"/>
              <w:rPr>
                <w:rFonts w:cs="Arial"/>
                <w:sz w:val="18"/>
                <w:szCs w:val="18"/>
              </w:rPr>
            </w:pPr>
          </w:p>
        </w:tc>
      </w:tr>
      <w:tr w:rsidR="00C01A94" w:rsidRPr="00BF3595" w:rsidTr="00E04086">
        <w:trPr>
          <w:cantSplit/>
          <w:jc w:val="center"/>
        </w:trPr>
        <w:tc>
          <w:tcPr>
            <w:tcW w:w="1342" w:type="dxa"/>
            <w:vMerge w:val="restart"/>
            <w:shd w:val="clear" w:color="auto" w:fill="auto"/>
          </w:tcPr>
          <w:p w:rsidR="00C01A94" w:rsidRPr="004B4203" w:rsidRDefault="00C01A94" w:rsidP="005B1BE0">
            <w:pPr>
              <w:spacing w:before="140" w:after="140" w:line="240" w:lineRule="atLeast"/>
              <w:rPr>
                <w:rFonts w:cs="Arial"/>
                <w:sz w:val="18"/>
                <w:szCs w:val="18"/>
              </w:rPr>
            </w:pPr>
            <w:r>
              <w:rPr>
                <w:sz w:val="18"/>
              </w:rPr>
              <w:t xml:space="preserve">10.10 </w:t>
            </w:r>
          </w:p>
        </w:tc>
        <w:tc>
          <w:tcPr>
            <w:tcW w:w="1458" w:type="dxa"/>
            <w:shd w:val="clear" w:color="auto" w:fill="auto"/>
          </w:tcPr>
          <w:p w:rsidR="00C01A94" w:rsidRPr="00852DB3" w:rsidRDefault="00C01A94" w:rsidP="005B1BE0">
            <w:pPr>
              <w:spacing w:before="140" w:after="140" w:line="240" w:lineRule="atLeast"/>
              <w:rPr>
                <w:rFonts w:cs="Arial"/>
                <w:sz w:val="18"/>
                <w:szCs w:val="18"/>
              </w:rPr>
            </w:pPr>
            <w:r>
              <w:rPr>
                <w:sz w:val="18"/>
              </w:rPr>
              <w:t>paragrafo 2</w:t>
            </w:r>
          </w:p>
        </w:tc>
        <w:tc>
          <w:tcPr>
            <w:tcW w:w="3296" w:type="dxa"/>
            <w:shd w:val="clear" w:color="auto" w:fill="auto"/>
          </w:tcPr>
          <w:p w:rsidR="00C01A94" w:rsidRPr="00A54EF9" w:rsidRDefault="00C01A94" w:rsidP="005B1BE0">
            <w:pPr>
              <w:spacing w:before="140" w:after="140" w:line="240" w:lineRule="atLeast"/>
              <w:ind w:left="0" w:firstLine="0"/>
              <w:rPr>
                <w:rFonts w:cs="Arial"/>
                <w:sz w:val="18"/>
                <w:szCs w:val="18"/>
              </w:rPr>
            </w:pPr>
            <w:r>
              <w:rPr>
                <w:sz w:val="18"/>
              </w:rPr>
              <w:t>Installazione di trasformatori</w:t>
            </w:r>
          </w:p>
        </w:tc>
        <w:tc>
          <w:tcPr>
            <w:tcW w:w="6521" w:type="dxa"/>
            <w:shd w:val="clear" w:color="auto" w:fill="auto"/>
          </w:tcPr>
          <w:p w:rsidR="00C01A94" w:rsidRPr="00852DB3" w:rsidRDefault="0012395A" w:rsidP="005B1BE0">
            <w:pPr>
              <w:spacing w:before="140" w:after="140" w:line="240" w:lineRule="atLeast"/>
              <w:rPr>
                <w:rFonts w:cs="Arial"/>
                <w:sz w:val="18"/>
                <w:szCs w:val="18"/>
              </w:rPr>
            </w:pPr>
            <w:r>
              <w:rPr>
                <w:sz w:val="18"/>
              </w:rPr>
              <w:t>N.S.T</w:t>
            </w:r>
          </w:p>
        </w:tc>
        <w:tc>
          <w:tcPr>
            <w:tcW w:w="1276" w:type="dxa"/>
            <w:shd w:val="clear" w:color="auto" w:fill="auto"/>
          </w:tcPr>
          <w:p w:rsidR="00C01A94" w:rsidRPr="00852DB3" w:rsidRDefault="00C01A94" w:rsidP="005B1BE0">
            <w:pPr>
              <w:spacing w:before="140" w:after="140" w:line="240" w:lineRule="atLeast"/>
              <w:jc w:val="center"/>
              <w:rPr>
                <w:rFonts w:cs="Arial"/>
                <w:sz w:val="18"/>
                <w:szCs w:val="18"/>
              </w:rPr>
            </w:pPr>
          </w:p>
        </w:tc>
      </w:tr>
      <w:tr w:rsidR="00C01A94" w:rsidRPr="00BF3595" w:rsidTr="00E04086">
        <w:trPr>
          <w:cantSplit/>
          <w:jc w:val="center"/>
        </w:trPr>
        <w:tc>
          <w:tcPr>
            <w:tcW w:w="1342" w:type="dxa"/>
            <w:vMerge/>
            <w:shd w:val="clear" w:color="auto" w:fill="auto"/>
          </w:tcPr>
          <w:p w:rsidR="00C01A94" w:rsidRPr="00C903F8" w:rsidRDefault="00C01A94" w:rsidP="005B1BE0">
            <w:pPr>
              <w:spacing w:before="140" w:after="140" w:line="240" w:lineRule="atLeast"/>
              <w:ind w:left="0" w:firstLine="0"/>
              <w:rPr>
                <w:rFonts w:cs="Arial"/>
                <w:sz w:val="18"/>
                <w:szCs w:val="18"/>
              </w:rPr>
            </w:pPr>
          </w:p>
        </w:tc>
        <w:tc>
          <w:tcPr>
            <w:tcW w:w="1458" w:type="dxa"/>
            <w:shd w:val="clear" w:color="auto" w:fill="auto"/>
          </w:tcPr>
          <w:p w:rsidR="00C01A94" w:rsidRPr="00C903F8" w:rsidRDefault="00C01A94" w:rsidP="005B1BE0">
            <w:pPr>
              <w:spacing w:before="140" w:after="140" w:line="240" w:lineRule="atLeast"/>
              <w:ind w:left="0" w:firstLine="0"/>
              <w:rPr>
                <w:rFonts w:cs="Arial"/>
                <w:sz w:val="18"/>
                <w:szCs w:val="18"/>
              </w:rPr>
            </w:pPr>
            <w:r>
              <w:rPr>
                <w:sz w:val="18"/>
              </w:rPr>
              <w:t>paragrafo 3</w:t>
            </w:r>
          </w:p>
        </w:tc>
        <w:tc>
          <w:tcPr>
            <w:tcW w:w="3296" w:type="dxa"/>
            <w:shd w:val="clear" w:color="auto" w:fill="auto"/>
          </w:tcPr>
          <w:p w:rsidR="00C01A94" w:rsidRPr="00A54EF9" w:rsidRDefault="00C01A94" w:rsidP="005B1BE0">
            <w:pPr>
              <w:spacing w:before="140" w:after="140" w:line="240" w:lineRule="atLeast"/>
              <w:ind w:left="0" w:firstLine="0"/>
              <w:rPr>
                <w:rFonts w:cs="Arial"/>
                <w:sz w:val="18"/>
                <w:szCs w:val="18"/>
              </w:rPr>
            </w:pPr>
            <w:r>
              <w:rPr>
                <w:sz w:val="18"/>
              </w:rPr>
              <w:t>Avvolgimenti primari e secondari separati dei trasformatori</w:t>
            </w:r>
          </w:p>
        </w:tc>
        <w:tc>
          <w:tcPr>
            <w:tcW w:w="6521" w:type="dxa"/>
            <w:shd w:val="clear" w:color="auto" w:fill="auto"/>
          </w:tcPr>
          <w:p w:rsidR="00C01A94" w:rsidRDefault="0012395A" w:rsidP="005B1BE0">
            <w:pPr>
              <w:spacing w:before="140" w:after="14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5B1BE0">
            <w:pPr>
              <w:spacing w:before="140" w:after="140" w:line="240" w:lineRule="atLeast"/>
              <w:ind w:left="0" w:firstLine="0"/>
              <w:jc w:val="center"/>
              <w:rPr>
                <w:rFonts w:cs="Arial"/>
                <w:sz w:val="18"/>
                <w:szCs w:val="18"/>
              </w:rPr>
            </w:pPr>
          </w:p>
        </w:tc>
      </w:tr>
      <w:tr w:rsidR="00C01A94" w:rsidRPr="00BF3595" w:rsidTr="00E04086">
        <w:trPr>
          <w:cantSplit/>
          <w:jc w:val="center"/>
        </w:trPr>
        <w:tc>
          <w:tcPr>
            <w:tcW w:w="1342" w:type="dxa"/>
            <w:vMerge/>
            <w:shd w:val="clear" w:color="auto" w:fill="auto"/>
          </w:tcPr>
          <w:p w:rsidR="00C01A94" w:rsidRPr="00C903F8" w:rsidRDefault="00C01A94" w:rsidP="005B1BE0">
            <w:pPr>
              <w:spacing w:before="140" w:after="140" w:line="240" w:lineRule="atLeast"/>
              <w:ind w:left="0" w:firstLine="0"/>
              <w:rPr>
                <w:rFonts w:cs="Arial"/>
                <w:sz w:val="18"/>
                <w:szCs w:val="18"/>
              </w:rPr>
            </w:pPr>
          </w:p>
        </w:tc>
        <w:tc>
          <w:tcPr>
            <w:tcW w:w="1458" w:type="dxa"/>
            <w:shd w:val="clear" w:color="auto" w:fill="auto"/>
          </w:tcPr>
          <w:p w:rsidR="00C01A94" w:rsidRPr="00C903F8" w:rsidRDefault="00C01A94" w:rsidP="005B1BE0">
            <w:pPr>
              <w:spacing w:before="140" w:after="140" w:line="240" w:lineRule="atLeast"/>
              <w:ind w:left="0" w:firstLine="0"/>
              <w:rPr>
                <w:rFonts w:cs="Arial"/>
                <w:sz w:val="18"/>
                <w:szCs w:val="18"/>
              </w:rPr>
            </w:pPr>
            <w:r>
              <w:rPr>
                <w:sz w:val="18"/>
              </w:rPr>
              <w:t>paragrafo 4</w:t>
            </w:r>
          </w:p>
        </w:tc>
        <w:tc>
          <w:tcPr>
            <w:tcW w:w="3296" w:type="dxa"/>
            <w:shd w:val="clear" w:color="auto" w:fill="auto"/>
          </w:tcPr>
          <w:p w:rsidR="00C01A94" w:rsidRPr="00A54EF9" w:rsidRDefault="00C01A94" w:rsidP="005B1BE0">
            <w:pPr>
              <w:spacing w:before="140" w:after="140" w:line="240" w:lineRule="atLeast"/>
              <w:ind w:left="0" w:firstLine="0"/>
              <w:rPr>
                <w:rFonts w:cs="Arial"/>
                <w:sz w:val="18"/>
                <w:szCs w:val="18"/>
              </w:rPr>
            </w:pPr>
            <w:r>
              <w:rPr>
                <w:sz w:val="18"/>
              </w:rPr>
              <w:t>Dispositivi di cambio prese sugli avvolgimenti secondari dei trasformatori</w:t>
            </w:r>
          </w:p>
        </w:tc>
        <w:tc>
          <w:tcPr>
            <w:tcW w:w="6521" w:type="dxa"/>
            <w:shd w:val="clear" w:color="auto" w:fill="auto"/>
          </w:tcPr>
          <w:p w:rsidR="00C01A94" w:rsidRDefault="0012395A" w:rsidP="005B1BE0">
            <w:pPr>
              <w:spacing w:before="140" w:after="14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5B1BE0">
            <w:pPr>
              <w:spacing w:before="140" w:after="140" w:line="240" w:lineRule="atLeast"/>
              <w:ind w:left="0" w:firstLine="0"/>
              <w:jc w:val="center"/>
              <w:rPr>
                <w:rFonts w:cs="Arial"/>
                <w:sz w:val="18"/>
                <w:szCs w:val="18"/>
              </w:rPr>
            </w:pPr>
          </w:p>
        </w:tc>
      </w:tr>
      <w:tr w:rsidR="00C01A94" w:rsidRPr="00BF3595" w:rsidTr="001964F8">
        <w:trPr>
          <w:cantSplit/>
          <w:jc w:val="center"/>
        </w:trPr>
        <w:tc>
          <w:tcPr>
            <w:tcW w:w="1342" w:type="dxa"/>
            <w:vMerge/>
            <w:tcBorders>
              <w:bottom w:val="single" w:sz="4" w:space="0" w:color="auto"/>
            </w:tcBorders>
            <w:shd w:val="clear" w:color="auto" w:fill="auto"/>
          </w:tcPr>
          <w:p w:rsidR="00C01A94" w:rsidRPr="00C903F8" w:rsidRDefault="00C01A94" w:rsidP="005B1BE0">
            <w:pPr>
              <w:spacing w:before="140" w:after="140" w:line="240" w:lineRule="atLeast"/>
              <w:ind w:left="0" w:firstLine="0"/>
              <w:rPr>
                <w:rFonts w:cs="Arial"/>
                <w:sz w:val="18"/>
                <w:szCs w:val="18"/>
              </w:rPr>
            </w:pPr>
          </w:p>
        </w:tc>
        <w:tc>
          <w:tcPr>
            <w:tcW w:w="1458" w:type="dxa"/>
            <w:shd w:val="clear" w:color="auto" w:fill="auto"/>
          </w:tcPr>
          <w:p w:rsidR="00C01A94" w:rsidRPr="00C903F8" w:rsidRDefault="00C01A94" w:rsidP="005B1BE0">
            <w:pPr>
              <w:spacing w:before="140" w:after="140" w:line="240" w:lineRule="atLeast"/>
              <w:ind w:left="0" w:firstLine="0"/>
              <w:rPr>
                <w:rFonts w:cs="Arial"/>
                <w:sz w:val="18"/>
                <w:szCs w:val="18"/>
              </w:rPr>
            </w:pPr>
            <w:r>
              <w:rPr>
                <w:sz w:val="18"/>
              </w:rPr>
              <w:t>paragrafo 5</w:t>
            </w:r>
          </w:p>
        </w:tc>
        <w:tc>
          <w:tcPr>
            <w:tcW w:w="3296" w:type="dxa"/>
            <w:shd w:val="clear" w:color="auto" w:fill="auto"/>
          </w:tcPr>
          <w:p w:rsidR="00C01A94" w:rsidRPr="00A54EF9" w:rsidRDefault="00C01A94" w:rsidP="005B1BE0">
            <w:pPr>
              <w:spacing w:before="140" w:after="140" w:line="240" w:lineRule="atLeast"/>
              <w:ind w:left="0" w:firstLine="0"/>
              <w:rPr>
                <w:rFonts w:cs="Arial"/>
                <w:sz w:val="18"/>
                <w:szCs w:val="18"/>
              </w:rPr>
            </w:pPr>
            <w:r>
              <w:rPr>
                <w:sz w:val="18"/>
              </w:rPr>
              <w:t xml:space="preserve"> Targhetta con costruttore e potenza di motori, generatori e trasformatori</w:t>
            </w:r>
          </w:p>
        </w:tc>
        <w:tc>
          <w:tcPr>
            <w:tcW w:w="6521" w:type="dxa"/>
            <w:shd w:val="clear" w:color="auto" w:fill="auto"/>
          </w:tcPr>
          <w:p w:rsidR="00C01A94" w:rsidRDefault="0012395A" w:rsidP="005B1BE0">
            <w:pPr>
              <w:spacing w:before="140" w:after="14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5B1BE0">
            <w:pPr>
              <w:spacing w:before="140" w:after="140" w:line="240" w:lineRule="atLeast"/>
              <w:ind w:left="0" w:firstLine="0"/>
              <w:jc w:val="center"/>
              <w:rPr>
                <w:rFonts w:cs="Arial"/>
                <w:sz w:val="18"/>
                <w:szCs w:val="18"/>
              </w:rPr>
            </w:pPr>
          </w:p>
        </w:tc>
      </w:tr>
      <w:tr w:rsidR="00C01A94" w:rsidRPr="00BF3595" w:rsidTr="00E04086">
        <w:trPr>
          <w:cantSplit/>
          <w:jc w:val="center"/>
        </w:trPr>
        <w:tc>
          <w:tcPr>
            <w:tcW w:w="1342" w:type="dxa"/>
            <w:vMerge w:val="restart"/>
            <w:shd w:val="clear" w:color="auto" w:fill="auto"/>
          </w:tcPr>
          <w:p w:rsidR="00C01A94" w:rsidRPr="004B4203" w:rsidRDefault="00C01A94" w:rsidP="0012395A">
            <w:pPr>
              <w:spacing w:before="60" w:after="60" w:line="240" w:lineRule="atLeast"/>
              <w:rPr>
                <w:rFonts w:cs="Arial"/>
                <w:sz w:val="18"/>
                <w:szCs w:val="18"/>
              </w:rPr>
            </w:pPr>
            <w:r>
              <w:rPr>
                <w:sz w:val="18"/>
              </w:rPr>
              <w:t xml:space="preserve">10.11 </w:t>
            </w:r>
          </w:p>
        </w:tc>
        <w:tc>
          <w:tcPr>
            <w:tcW w:w="1458" w:type="dxa"/>
            <w:shd w:val="clear" w:color="auto" w:fill="auto"/>
          </w:tcPr>
          <w:p w:rsidR="00C01A94" w:rsidRPr="00852DB3" w:rsidRDefault="00C01A94" w:rsidP="0012395A">
            <w:pPr>
              <w:spacing w:before="60" w:after="60" w:line="240" w:lineRule="atLeast"/>
              <w:rPr>
                <w:rFonts w:cs="Arial"/>
                <w:sz w:val="18"/>
                <w:szCs w:val="18"/>
              </w:rPr>
            </w:pPr>
            <w:r>
              <w:rPr>
                <w:sz w:val="18"/>
              </w:rPr>
              <w:t>paragrafo 3</w:t>
            </w:r>
          </w:p>
        </w:tc>
        <w:tc>
          <w:tcPr>
            <w:tcW w:w="3296" w:type="dxa"/>
            <w:shd w:val="clear" w:color="auto" w:fill="auto"/>
          </w:tcPr>
          <w:p w:rsidR="00C01A94" w:rsidRPr="001717EA" w:rsidRDefault="00C01A94" w:rsidP="0012395A">
            <w:pPr>
              <w:spacing w:before="60" w:after="60" w:line="240" w:lineRule="atLeast"/>
              <w:ind w:left="0" w:firstLine="0"/>
              <w:rPr>
                <w:rFonts w:cs="Arial"/>
                <w:sz w:val="18"/>
                <w:szCs w:val="18"/>
              </w:rPr>
            </w:pPr>
            <w:r>
              <w:rPr>
                <w:sz w:val="18"/>
              </w:rPr>
              <w:t>Ventilazione di locali servizi e dell'armadio con sbocco sul ponte scoperto</w:t>
            </w:r>
          </w:p>
        </w:tc>
        <w:tc>
          <w:tcPr>
            <w:tcW w:w="6521" w:type="dxa"/>
            <w:shd w:val="clear" w:color="auto" w:fill="auto"/>
          </w:tcPr>
          <w:p w:rsidR="00C01A94" w:rsidRPr="00852DB3" w:rsidRDefault="0012395A" w:rsidP="0012395A">
            <w:pPr>
              <w:spacing w:before="60" w:after="60" w:line="240" w:lineRule="atLeast"/>
              <w:rPr>
                <w:rFonts w:cs="Arial"/>
                <w:sz w:val="18"/>
                <w:szCs w:val="18"/>
              </w:rPr>
            </w:pPr>
            <w:r>
              <w:rPr>
                <w:sz w:val="18"/>
              </w:rPr>
              <w:t>N.S.T</w:t>
            </w:r>
          </w:p>
        </w:tc>
        <w:tc>
          <w:tcPr>
            <w:tcW w:w="1276" w:type="dxa"/>
            <w:shd w:val="clear" w:color="auto" w:fill="auto"/>
          </w:tcPr>
          <w:p w:rsidR="00C01A94" w:rsidRPr="00852DB3" w:rsidRDefault="00C01A94" w:rsidP="0012395A">
            <w:pPr>
              <w:spacing w:before="60" w:after="60" w:line="240" w:lineRule="atLeast"/>
              <w:jc w:val="center"/>
              <w:rPr>
                <w:rFonts w:cs="Arial"/>
                <w:sz w:val="18"/>
                <w:szCs w:val="18"/>
              </w:rPr>
            </w:pPr>
          </w:p>
        </w:tc>
      </w:tr>
      <w:tr w:rsidR="00C01A94" w:rsidRPr="00A0619C" w:rsidTr="00E04086">
        <w:trPr>
          <w:cantSplit/>
          <w:jc w:val="center"/>
        </w:trPr>
        <w:tc>
          <w:tcPr>
            <w:tcW w:w="1342" w:type="dxa"/>
            <w:vMerge/>
            <w:shd w:val="clear" w:color="auto" w:fill="auto"/>
          </w:tcPr>
          <w:p w:rsidR="00C01A94" w:rsidRPr="00C903F8" w:rsidRDefault="00C01A94" w:rsidP="0012395A">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1610C7">
            <w:pPr>
              <w:spacing w:before="60" w:after="60" w:line="240" w:lineRule="atLeast"/>
              <w:ind w:left="0" w:firstLine="0"/>
              <w:rPr>
                <w:rFonts w:cs="Arial"/>
                <w:sz w:val="18"/>
                <w:szCs w:val="18"/>
              </w:rPr>
            </w:pPr>
            <w:r>
              <w:rPr>
                <w:sz w:val="18"/>
              </w:rPr>
              <w:t>paragrafo 7</w:t>
            </w:r>
          </w:p>
        </w:tc>
        <w:tc>
          <w:tcPr>
            <w:tcW w:w="3296" w:type="dxa"/>
            <w:shd w:val="clear" w:color="auto" w:fill="auto"/>
          </w:tcPr>
          <w:p w:rsidR="00C01A94" w:rsidRPr="00A54EF9" w:rsidRDefault="00C01A94" w:rsidP="0012395A">
            <w:pPr>
              <w:spacing w:before="60" w:after="60" w:line="240" w:lineRule="atLeast"/>
              <w:ind w:left="0" w:firstLine="0"/>
              <w:rPr>
                <w:rFonts w:cs="Arial"/>
                <w:sz w:val="18"/>
                <w:szCs w:val="18"/>
              </w:rPr>
            </w:pPr>
            <w:r>
              <w:rPr>
                <w:sz w:val="18"/>
              </w:rPr>
              <w:t>Ventilazione di locali chiusi, armadi o cassoni, nei quali sono installati gli accumulatori</w:t>
            </w:r>
          </w:p>
        </w:tc>
        <w:tc>
          <w:tcPr>
            <w:tcW w:w="6521" w:type="dxa"/>
            <w:shd w:val="clear" w:color="auto" w:fill="auto"/>
          </w:tcPr>
          <w:p w:rsidR="00C01A94" w:rsidRDefault="00C01A94" w:rsidP="0012395A">
            <w:pPr>
              <w:spacing w:before="60" w:after="6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C01A94" w:rsidRPr="00C903F8" w:rsidRDefault="00C01A94" w:rsidP="0012395A">
            <w:pPr>
              <w:spacing w:before="60" w:after="60" w:line="240" w:lineRule="atLeast"/>
              <w:ind w:left="0" w:firstLine="0"/>
              <w:jc w:val="center"/>
              <w:rPr>
                <w:rFonts w:cs="Arial"/>
                <w:sz w:val="18"/>
                <w:szCs w:val="18"/>
              </w:rPr>
            </w:pPr>
          </w:p>
        </w:tc>
      </w:tr>
      <w:tr w:rsidR="00C01A94" w:rsidRPr="00BF3595" w:rsidTr="00E04086">
        <w:trPr>
          <w:cantSplit/>
          <w:jc w:val="center"/>
        </w:trPr>
        <w:tc>
          <w:tcPr>
            <w:tcW w:w="1342" w:type="dxa"/>
            <w:vMerge/>
            <w:shd w:val="clear" w:color="auto" w:fill="auto"/>
          </w:tcPr>
          <w:p w:rsidR="00C01A94" w:rsidRPr="00A54EF9" w:rsidRDefault="00C01A94" w:rsidP="0012395A">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12395A">
            <w:pPr>
              <w:spacing w:before="60" w:after="60" w:line="240" w:lineRule="atLeast"/>
              <w:ind w:left="0" w:firstLine="0"/>
              <w:rPr>
                <w:rFonts w:cs="Arial"/>
                <w:sz w:val="18"/>
                <w:szCs w:val="18"/>
              </w:rPr>
            </w:pPr>
            <w:r>
              <w:rPr>
                <w:sz w:val="18"/>
              </w:rPr>
              <w:t>paragrafo 12</w:t>
            </w:r>
          </w:p>
        </w:tc>
        <w:tc>
          <w:tcPr>
            <w:tcW w:w="3296" w:type="dxa"/>
            <w:shd w:val="clear" w:color="auto" w:fill="auto"/>
          </w:tcPr>
          <w:p w:rsidR="00C01A94" w:rsidRPr="00A54EF9" w:rsidRDefault="00C01A94" w:rsidP="0012395A">
            <w:pPr>
              <w:spacing w:before="60" w:after="60" w:line="240" w:lineRule="atLeast"/>
              <w:ind w:left="0" w:firstLine="0"/>
              <w:rPr>
                <w:rFonts w:cs="Arial"/>
                <w:sz w:val="18"/>
                <w:szCs w:val="18"/>
              </w:rPr>
            </w:pPr>
            <w:r>
              <w:rPr>
                <w:sz w:val="18"/>
              </w:rPr>
              <w:t>Misurazione dei dispositivi di carica</w:t>
            </w:r>
          </w:p>
        </w:tc>
        <w:tc>
          <w:tcPr>
            <w:tcW w:w="6521" w:type="dxa"/>
            <w:shd w:val="clear" w:color="auto" w:fill="auto"/>
          </w:tcPr>
          <w:p w:rsidR="00C01A94" w:rsidRDefault="0012395A" w:rsidP="0012395A">
            <w:pPr>
              <w:spacing w:before="60" w:after="6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12395A">
            <w:pPr>
              <w:spacing w:before="60" w:after="60" w:line="240" w:lineRule="atLeast"/>
              <w:ind w:left="0" w:firstLine="0"/>
              <w:jc w:val="center"/>
              <w:rPr>
                <w:rFonts w:cs="Arial"/>
                <w:sz w:val="18"/>
                <w:szCs w:val="18"/>
              </w:rPr>
            </w:pPr>
          </w:p>
        </w:tc>
      </w:tr>
      <w:tr w:rsidR="00C01A94" w:rsidRPr="00BF3595" w:rsidTr="00E04086">
        <w:trPr>
          <w:cantSplit/>
          <w:jc w:val="center"/>
        </w:trPr>
        <w:tc>
          <w:tcPr>
            <w:tcW w:w="1342" w:type="dxa"/>
            <w:vMerge/>
            <w:shd w:val="clear" w:color="auto" w:fill="auto"/>
          </w:tcPr>
          <w:p w:rsidR="00C01A94" w:rsidRPr="00C903F8" w:rsidRDefault="00C01A94" w:rsidP="0012395A">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12395A">
            <w:pPr>
              <w:spacing w:before="60" w:after="60" w:line="240" w:lineRule="atLeast"/>
              <w:ind w:left="0" w:firstLine="0"/>
              <w:rPr>
                <w:rFonts w:cs="Arial"/>
                <w:sz w:val="18"/>
                <w:szCs w:val="18"/>
              </w:rPr>
            </w:pPr>
            <w:r>
              <w:rPr>
                <w:sz w:val="18"/>
              </w:rPr>
              <w:t>paragrafo 13</w:t>
            </w:r>
          </w:p>
        </w:tc>
        <w:tc>
          <w:tcPr>
            <w:tcW w:w="3296" w:type="dxa"/>
            <w:shd w:val="clear" w:color="auto" w:fill="auto"/>
          </w:tcPr>
          <w:p w:rsidR="00C01A94" w:rsidRPr="00A54EF9" w:rsidRDefault="00C01A94" w:rsidP="0012395A">
            <w:pPr>
              <w:spacing w:before="60" w:after="60" w:line="240" w:lineRule="atLeast"/>
              <w:ind w:left="0" w:firstLine="0"/>
              <w:rPr>
                <w:rFonts w:cs="Arial"/>
                <w:sz w:val="18"/>
                <w:szCs w:val="18"/>
              </w:rPr>
            </w:pPr>
            <w:r>
              <w:rPr>
                <w:sz w:val="18"/>
              </w:rPr>
              <w:t>Dispositivi di carica automatici</w:t>
            </w:r>
          </w:p>
        </w:tc>
        <w:tc>
          <w:tcPr>
            <w:tcW w:w="6521" w:type="dxa"/>
            <w:shd w:val="clear" w:color="auto" w:fill="auto"/>
          </w:tcPr>
          <w:p w:rsidR="00C01A94" w:rsidRDefault="0012395A" w:rsidP="0012395A">
            <w:pPr>
              <w:spacing w:before="60" w:after="6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12395A">
            <w:pPr>
              <w:spacing w:before="60" w:after="60" w:line="240" w:lineRule="atLeast"/>
              <w:ind w:left="0" w:firstLine="0"/>
              <w:jc w:val="center"/>
              <w:rPr>
                <w:rFonts w:cs="Arial"/>
                <w:sz w:val="18"/>
                <w:szCs w:val="18"/>
              </w:rPr>
            </w:pPr>
          </w:p>
        </w:tc>
      </w:tr>
      <w:tr w:rsidR="00C01A94" w:rsidRPr="00BF3595" w:rsidTr="00E04086">
        <w:trPr>
          <w:cantSplit/>
          <w:jc w:val="center"/>
        </w:trPr>
        <w:tc>
          <w:tcPr>
            <w:tcW w:w="1342" w:type="dxa"/>
            <w:vMerge/>
            <w:shd w:val="clear" w:color="auto" w:fill="auto"/>
          </w:tcPr>
          <w:p w:rsidR="00C01A94" w:rsidRPr="00C903F8" w:rsidRDefault="00C01A94" w:rsidP="0012395A">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12395A">
            <w:pPr>
              <w:spacing w:before="60" w:after="60" w:line="240" w:lineRule="atLeast"/>
              <w:ind w:left="0" w:firstLine="0"/>
              <w:rPr>
                <w:rFonts w:cs="Arial"/>
                <w:sz w:val="18"/>
                <w:szCs w:val="18"/>
              </w:rPr>
            </w:pPr>
            <w:r>
              <w:rPr>
                <w:sz w:val="18"/>
              </w:rPr>
              <w:t>paragrafo 14</w:t>
            </w:r>
          </w:p>
        </w:tc>
        <w:tc>
          <w:tcPr>
            <w:tcW w:w="3296" w:type="dxa"/>
            <w:shd w:val="clear" w:color="auto" w:fill="auto"/>
          </w:tcPr>
          <w:p w:rsidR="00C01A94" w:rsidRPr="00A54EF9" w:rsidRDefault="00C01A94" w:rsidP="0012395A">
            <w:pPr>
              <w:spacing w:before="60" w:after="60" w:line="240" w:lineRule="atLeast"/>
              <w:ind w:left="0" w:firstLine="0"/>
              <w:rPr>
                <w:rFonts w:cs="Arial"/>
                <w:sz w:val="18"/>
                <w:szCs w:val="18"/>
              </w:rPr>
            </w:pPr>
            <w:r>
              <w:rPr>
                <w:sz w:val="18"/>
              </w:rPr>
              <w:t>Tensione massima di carica</w:t>
            </w:r>
          </w:p>
        </w:tc>
        <w:tc>
          <w:tcPr>
            <w:tcW w:w="6521" w:type="dxa"/>
            <w:shd w:val="clear" w:color="auto" w:fill="auto"/>
          </w:tcPr>
          <w:p w:rsidR="00C01A94" w:rsidRDefault="0012395A" w:rsidP="0012395A">
            <w:pPr>
              <w:spacing w:before="60" w:after="6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12395A">
            <w:pPr>
              <w:spacing w:before="60" w:after="60" w:line="240" w:lineRule="atLeast"/>
              <w:ind w:left="0" w:firstLine="0"/>
              <w:jc w:val="center"/>
              <w:rPr>
                <w:rFonts w:cs="Arial"/>
                <w:sz w:val="18"/>
                <w:szCs w:val="18"/>
              </w:rPr>
            </w:pPr>
          </w:p>
        </w:tc>
      </w:tr>
      <w:tr w:rsidR="00C01A94" w:rsidRPr="00BF3595" w:rsidTr="00E04086">
        <w:trPr>
          <w:cantSplit/>
          <w:jc w:val="center"/>
        </w:trPr>
        <w:tc>
          <w:tcPr>
            <w:tcW w:w="1342" w:type="dxa"/>
            <w:vMerge/>
            <w:shd w:val="clear" w:color="auto" w:fill="auto"/>
          </w:tcPr>
          <w:p w:rsidR="00C01A94" w:rsidRPr="00C903F8" w:rsidRDefault="00C01A94" w:rsidP="0012395A">
            <w:pPr>
              <w:spacing w:before="60" w:after="60" w:line="240" w:lineRule="atLeast"/>
              <w:ind w:left="0" w:firstLine="0"/>
              <w:rPr>
                <w:rFonts w:cs="Arial"/>
                <w:sz w:val="18"/>
                <w:szCs w:val="18"/>
              </w:rPr>
            </w:pPr>
          </w:p>
        </w:tc>
        <w:tc>
          <w:tcPr>
            <w:tcW w:w="1458" w:type="dxa"/>
            <w:shd w:val="clear" w:color="auto" w:fill="auto"/>
          </w:tcPr>
          <w:p w:rsidR="00C01A94" w:rsidRPr="00C903F8" w:rsidRDefault="00C01A94" w:rsidP="0012395A">
            <w:pPr>
              <w:spacing w:before="60" w:after="60" w:line="240" w:lineRule="atLeast"/>
              <w:ind w:left="0" w:firstLine="0"/>
              <w:rPr>
                <w:rFonts w:cs="Arial"/>
                <w:sz w:val="18"/>
                <w:szCs w:val="18"/>
              </w:rPr>
            </w:pPr>
            <w:r>
              <w:rPr>
                <w:sz w:val="18"/>
              </w:rPr>
              <w:t>paragrafo 15</w:t>
            </w:r>
          </w:p>
        </w:tc>
        <w:tc>
          <w:tcPr>
            <w:tcW w:w="3296" w:type="dxa"/>
            <w:shd w:val="clear" w:color="auto" w:fill="auto"/>
          </w:tcPr>
          <w:p w:rsidR="00C01A94" w:rsidRPr="00A54EF9" w:rsidRDefault="00C01A94" w:rsidP="0012395A">
            <w:pPr>
              <w:spacing w:before="60" w:after="60" w:line="240" w:lineRule="atLeast"/>
              <w:ind w:left="0" w:firstLine="0"/>
              <w:rPr>
                <w:rFonts w:cs="Arial"/>
                <w:sz w:val="18"/>
                <w:szCs w:val="18"/>
              </w:rPr>
            </w:pPr>
            <w:r>
              <w:rPr>
                <w:sz w:val="18"/>
              </w:rPr>
              <w:t>Norme EN 62619 e EN 62620 per accumulatori agli ioni di litio</w:t>
            </w:r>
          </w:p>
        </w:tc>
        <w:tc>
          <w:tcPr>
            <w:tcW w:w="6521" w:type="dxa"/>
            <w:shd w:val="clear" w:color="auto" w:fill="auto"/>
          </w:tcPr>
          <w:p w:rsidR="00C01A94" w:rsidRDefault="0012395A" w:rsidP="0012395A">
            <w:pPr>
              <w:spacing w:before="60" w:after="6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12395A">
            <w:pPr>
              <w:spacing w:before="60" w:after="60" w:line="240" w:lineRule="atLeast"/>
              <w:ind w:left="0" w:firstLine="0"/>
              <w:jc w:val="center"/>
              <w:rPr>
                <w:rFonts w:cs="Arial"/>
                <w:sz w:val="18"/>
                <w:szCs w:val="18"/>
              </w:rPr>
            </w:pPr>
          </w:p>
        </w:tc>
      </w:tr>
      <w:tr w:rsidR="00C01A94" w:rsidRPr="00BF3595" w:rsidTr="00E04086">
        <w:trPr>
          <w:cantSplit/>
          <w:jc w:val="center"/>
        </w:trPr>
        <w:tc>
          <w:tcPr>
            <w:tcW w:w="1342" w:type="dxa"/>
            <w:vMerge/>
            <w:tcBorders>
              <w:bottom w:val="single" w:sz="4" w:space="0" w:color="auto"/>
            </w:tcBorders>
            <w:shd w:val="clear" w:color="auto" w:fill="auto"/>
            <w:vAlign w:val="center"/>
          </w:tcPr>
          <w:p w:rsidR="00C01A94" w:rsidRPr="00C903F8" w:rsidRDefault="00C01A94" w:rsidP="00FD6754">
            <w:pPr>
              <w:spacing w:before="160" w:after="160" w:line="240" w:lineRule="atLeast"/>
              <w:ind w:left="0" w:firstLine="0"/>
              <w:rPr>
                <w:rFonts w:cs="Arial"/>
                <w:sz w:val="18"/>
                <w:szCs w:val="18"/>
              </w:rPr>
            </w:pPr>
          </w:p>
        </w:tc>
        <w:tc>
          <w:tcPr>
            <w:tcW w:w="1458" w:type="dxa"/>
            <w:shd w:val="clear" w:color="auto" w:fill="auto"/>
            <w:vAlign w:val="center"/>
          </w:tcPr>
          <w:p w:rsidR="00C01A94" w:rsidRPr="00C903F8" w:rsidRDefault="00C01A94" w:rsidP="00FD6754">
            <w:pPr>
              <w:spacing w:before="160" w:after="160" w:line="240" w:lineRule="atLeast"/>
              <w:ind w:left="0" w:firstLine="0"/>
              <w:rPr>
                <w:rFonts w:cs="Arial"/>
                <w:sz w:val="18"/>
                <w:szCs w:val="18"/>
              </w:rPr>
            </w:pPr>
            <w:r>
              <w:rPr>
                <w:sz w:val="18"/>
              </w:rPr>
              <w:t>paragrafo 16</w:t>
            </w:r>
          </w:p>
        </w:tc>
        <w:tc>
          <w:tcPr>
            <w:tcW w:w="3296" w:type="dxa"/>
            <w:shd w:val="clear" w:color="auto" w:fill="auto"/>
          </w:tcPr>
          <w:p w:rsidR="00C01A94" w:rsidRPr="00A54EF9" w:rsidRDefault="00C01A94" w:rsidP="00FD6754">
            <w:pPr>
              <w:spacing w:before="160" w:after="160" w:line="240" w:lineRule="atLeast"/>
              <w:ind w:left="0" w:firstLine="0"/>
              <w:rPr>
                <w:rFonts w:cs="Arial"/>
                <w:sz w:val="18"/>
                <w:szCs w:val="18"/>
              </w:rPr>
            </w:pPr>
            <w:r>
              <w:rPr>
                <w:sz w:val="18"/>
              </w:rPr>
              <w:t>Sistema di gestione degli accumulatori</w:t>
            </w:r>
          </w:p>
        </w:tc>
        <w:tc>
          <w:tcPr>
            <w:tcW w:w="6521" w:type="dxa"/>
            <w:shd w:val="clear" w:color="auto" w:fill="auto"/>
          </w:tcPr>
          <w:p w:rsidR="00C01A94" w:rsidRDefault="0012395A" w:rsidP="00FD6754">
            <w:pPr>
              <w:spacing w:before="160" w:after="16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FD6754">
            <w:pPr>
              <w:spacing w:before="160" w:after="160" w:line="240" w:lineRule="atLeast"/>
              <w:ind w:left="0" w:firstLine="0"/>
              <w:jc w:val="center"/>
              <w:rPr>
                <w:rFonts w:cs="Arial"/>
                <w:sz w:val="18"/>
                <w:szCs w:val="18"/>
              </w:rPr>
            </w:pPr>
          </w:p>
        </w:tc>
      </w:tr>
      <w:tr w:rsidR="00C01A94" w:rsidRPr="00C903F8" w:rsidTr="00E04086">
        <w:trPr>
          <w:cantSplit/>
          <w:jc w:val="center"/>
        </w:trPr>
        <w:tc>
          <w:tcPr>
            <w:tcW w:w="1342" w:type="dxa"/>
            <w:vMerge w:val="restart"/>
            <w:shd w:val="clear" w:color="auto" w:fill="auto"/>
          </w:tcPr>
          <w:p w:rsidR="00C01A94" w:rsidRPr="00C903F8" w:rsidRDefault="00C01A94" w:rsidP="00FD6754">
            <w:pPr>
              <w:spacing w:before="160" w:after="160" w:line="240" w:lineRule="atLeast"/>
              <w:ind w:left="0" w:firstLine="0"/>
              <w:rPr>
                <w:rFonts w:cs="Arial"/>
                <w:sz w:val="18"/>
                <w:szCs w:val="18"/>
              </w:rPr>
            </w:pPr>
            <w:r>
              <w:rPr>
                <w:sz w:val="18"/>
              </w:rPr>
              <w:t>10.12</w:t>
            </w:r>
          </w:p>
        </w:tc>
        <w:tc>
          <w:tcPr>
            <w:tcW w:w="1458" w:type="dxa"/>
            <w:shd w:val="clear" w:color="auto" w:fill="auto"/>
          </w:tcPr>
          <w:p w:rsidR="00C01A94" w:rsidRPr="00852DB3" w:rsidRDefault="00C01A94" w:rsidP="00FD6754">
            <w:pPr>
              <w:spacing w:before="160" w:after="160" w:line="240" w:lineRule="atLeast"/>
              <w:rPr>
                <w:rFonts w:cs="Arial"/>
                <w:sz w:val="18"/>
                <w:szCs w:val="18"/>
              </w:rPr>
            </w:pPr>
            <w:r>
              <w:rPr>
                <w:sz w:val="18"/>
              </w:rPr>
              <w:t>paragrafo 2, lettera d)</w:t>
            </w:r>
          </w:p>
        </w:tc>
        <w:tc>
          <w:tcPr>
            <w:tcW w:w="3296" w:type="dxa"/>
            <w:shd w:val="clear" w:color="auto" w:fill="auto"/>
          </w:tcPr>
          <w:p w:rsidR="00C01A94" w:rsidRPr="001717EA" w:rsidRDefault="00C01A94" w:rsidP="00FD6754">
            <w:pPr>
              <w:spacing w:before="160" w:after="160" w:line="240" w:lineRule="atLeast"/>
              <w:ind w:left="0" w:firstLine="0"/>
              <w:rPr>
                <w:rFonts w:cs="Arial"/>
                <w:sz w:val="18"/>
                <w:szCs w:val="18"/>
              </w:rPr>
            </w:pPr>
            <w:r>
              <w:rPr>
                <w:sz w:val="18"/>
              </w:rPr>
              <w:t>Alimentazione elettrica diretta per utenze per sistemi di propulsione e di manovra della nave</w:t>
            </w:r>
          </w:p>
        </w:tc>
        <w:tc>
          <w:tcPr>
            <w:tcW w:w="6521" w:type="dxa"/>
            <w:shd w:val="clear" w:color="auto" w:fill="auto"/>
          </w:tcPr>
          <w:p w:rsidR="00C01A94" w:rsidRPr="00852DB3" w:rsidRDefault="00C01A94" w:rsidP="00FD6754">
            <w:pPr>
              <w:spacing w:before="160" w:after="16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FD6754">
            <w:pPr>
              <w:spacing w:before="160" w:after="160" w:line="240" w:lineRule="atLeast"/>
              <w:jc w:val="center"/>
              <w:rPr>
                <w:rFonts w:cs="Arial"/>
                <w:sz w:val="18"/>
                <w:szCs w:val="18"/>
              </w:rPr>
            </w:pPr>
            <w:r>
              <w:rPr>
                <w:sz w:val="18"/>
              </w:rPr>
              <w:t>1.1.2015</w:t>
            </w:r>
          </w:p>
        </w:tc>
      </w:tr>
      <w:tr w:rsidR="00C01A94" w:rsidRPr="00C903F8" w:rsidTr="00E04086">
        <w:trPr>
          <w:cantSplit/>
          <w:jc w:val="center"/>
        </w:trPr>
        <w:tc>
          <w:tcPr>
            <w:tcW w:w="1342" w:type="dxa"/>
            <w:vMerge/>
            <w:shd w:val="clear" w:color="auto" w:fill="auto"/>
          </w:tcPr>
          <w:p w:rsidR="00C01A94" w:rsidRPr="00C903F8" w:rsidRDefault="00C01A94" w:rsidP="00FD6754">
            <w:pPr>
              <w:spacing w:before="160" w:after="160" w:line="240" w:lineRule="atLeast"/>
              <w:ind w:left="0" w:firstLine="0"/>
              <w:rPr>
                <w:rFonts w:cs="Arial"/>
                <w:sz w:val="18"/>
                <w:szCs w:val="18"/>
              </w:rPr>
            </w:pPr>
          </w:p>
        </w:tc>
        <w:tc>
          <w:tcPr>
            <w:tcW w:w="1458" w:type="dxa"/>
            <w:shd w:val="clear" w:color="auto" w:fill="auto"/>
          </w:tcPr>
          <w:p w:rsidR="00C01A94" w:rsidRPr="00852DB3" w:rsidRDefault="00C01A94" w:rsidP="00FD6754">
            <w:pPr>
              <w:spacing w:before="160" w:after="160" w:line="240" w:lineRule="atLeast"/>
              <w:rPr>
                <w:rFonts w:cs="Arial"/>
                <w:sz w:val="18"/>
                <w:szCs w:val="18"/>
              </w:rPr>
            </w:pPr>
            <w:r>
              <w:rPr>
                <w:sz w:val="18"/>
              </w:rPr>
              <w:t>paragrafo 3, lettera b)</w:t>
            </w:r>
          </w:p>
        </w:tc>
        <w:tc>
          <w:tcPr>
            <w:tcW w:w="3296" w:type="dxa"/>
            <w:shd w:val="clear" w:color="auto" w:fill="auto"/>
          </w:tcPr>
          <w:p w:rsidR="00C01A94" w:rsidRPr="00A54EF9" w:rsidRDefault="00C01A94" w:rsidP="00FD6754">
            <w:pPr>
              <w:spacing w:before="160" w:after="160" w:line="240" w:lineRule="atLeast"/>
              <w:ind w:left="0" w:firstLine="0"/>
              <w:rPr>
                <w:rFonts w:cs="Arial"/>
                <w:sz w:val="18"/>
                <w:szCs w:val="18"/>
              </w:rPr>
            </w:pPr>
            <w:r>
              <w:rPr>
                <w:sz w:val="18"/>
              </w:rPr>
              <w:t>Dispositivo di controllo dell'isolamento</w:t>
            </w:r>
          </w:p>
        </w:tc>
        <w:tc>
          <w:tcPr>
            <w:tcW w:w="6521" w:type="dxa"/>
            <w:shd w:val="clear" w:color="auto" w:fill="auto"/>
          </w:tcPr>
          <w:p w:rsidR="00C01A94" w:rsidRPr="00852DB3" w:rsidRDefault="00C01A94" w:rsidP="00FD6754">
            <w:pPr>
              <w:spacing w:before="160" w:after="16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FD6754">
            <w:pPr>
              <w:spacing w:before="160" w:after="160" w:line="240" w:lineRule="atLeast"/>
              <w:jc w:val="center"/>
              <w:rPr>
                <w:rFonts w:cs="Arial"/>
                <w:sz w:val="18"/>
                <w:szCs w:val="18"/>
              </w:rPr>
            </w:pPr>
            <w:r>
              <w:rPr>
                <w:sz w:val="18"/>
              </w:rPr>
              <w:t>1.1.2010</w:t>
            </w:r>
          </w:p>
        </w:tc>
      </w:tr>
      <w:tr w:rsidR="00C01A94" w:rsidRPr="00C903F8" w:rsidTr="00EB50AB">
        <w:trPr>
          <w:cantSplit/>
          <w:jc w:val="center"/>
        </w:trPr>
        <w:tc>
          <w:tcPr>
            <w:tcW w:w="1342" w:type="dxa"/>
            <w:tcBorders>
              <w:bottom w:val="single" w:sz="4" w:space="0" w:color="auto"/>
            </w:tcBorders>
            <w:shd w:val="clear" w:color="auto" w:fill="auto"/>
          </w:tcPr>
          <w:p w:rsidR="00C01A94" w:rsidRPr="004B4203" w:rsidRDefault="00C01A94" w:rsidP="00FD6754">
            <w:pPr>
              <w:spacing w:before="160" w:after="160" w:line="240" w:lineRule="atLeast"/>
              <w:rPr>
                <w:rFonts w:cs="Arial"/>
                <w:sz w:val="18"/>
                <w:szCs w:val="18"/>
              </w:rPr>
            </w:pPr>
            <w:r>
              <w:rPr>
                <w:sz w:val="18"/>
              </w:rPr>
              <w:t>10.13</w:t>
            </w:r>
          </w:p>
        </w:tc>
        <w:tc>
          <w:tcPr>
            <w:tcW w:w="1458" w:type="dxa"/>
            <w:shd w:val="clear" w:color="auto" w:fill="auto"/>
          </w:tcPr>
          <w:p w:rsidR="00C01A94" w:rsidRPr="00852DB3" w:rsidRDefault="00C01A94" w:rsidP="00FD6754">
            <w:pPr>
              <w:spacing w:before="160" w:after="160" w:line="240" w:lineRule="atLeast"/>
              <w:rPr>
                <w:rFonts w:cs="Arial"/>
                <w:sz w:val="18"/>
                <w:szCs w:val="18"/>
              </w:rPr>
            </w:pPr>
          </w:p>
        </w:tc>
        <w:tc>
          <w:tcPr>
            <w:tcW w:w="3296" w:type="dxa"/>
            <w:shd w:val="clear" w:color="auto" w:fill="auto"/>
          </w:tcPr>
          <w:p w:rsidR="00C01A94" w:rsidRPr="00852DB3" w:rsidRDefault="00F87682" w:rsidP="00FD6754">
            <w:pPr>
              <w:spacing w:before="160" w:after="160" w:line="240" w:lineRule="atLeast"/>
              <w:rPr>
                <w:rFonts w:cs="Arial"/>
                <w:sz w:val="18"/>
                <w:szCs w:val="18"/>
              </w:rPr>
            </w:pPr>
            <w:r>
              <w:rPr>
                <w:sz w:val="18"/>
              </w:rPr>
              <w:t>Interruttori di emergenza</w:t>
            </w:r>
          </w:p>
        </w:tc>
        <w:tc>
          <w:tcPr>
            <w:tcW w:w="6521" w:type="dxa"/>
            <w:shd w:val="clear" w:color="auto" w:fill="auto"/>
          </w:tcPr>
          <w:p w:rsidR="00C01A94" w:rsidRPr="00852DB3" w:rsidRDefault="00C01A94" w:rsidP="00FD6754">
            <w:pPr>
              <w:spacing w:before="160" w:after="16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FD6754">
            <w:pPr>
              <w:spacing w:before="160" w:after="160" w:line="240" w:lineRule="atLeast"/>
              <w:jc w:val="center"/>
              <w:rPr>
                <w:rFonts w:cs="Arial"/>
                <w:sz w:val="18"/>
                <w:szCs w:val="18"/>
              </w:rPr>
            </w:pPr>
            <w:r>
              <w:rPr>
                <w:sz w:val="18"/>
              </w:rPr>
              <w:t>1.1.2010</w:t>
            </w:r>
          </w:p>
        </w:tc>
      </w:tr>
      <w:tr w:rsidR="00C01A94" w:rsidRPr="00C903F8" w:rsidTr="00EB50AB">
        <w:trPr>
          <w:cantSplit/>
          <w:jc w:val="center"/>
        </w:trPr>
        <w:tc>
          <w:tcPr>
            <w:tcW w:w="1342" w:type="dxa"/>
            <w:tcBorders>
              <w:bottom w:val="nil"/>
            </w:tcBorders>
            <w:shd w:val="clear" w:color="auto" w:fill="auto"/>
          </w:tcPr>
          <w:p w:rsidR="00C01A94" w:rsidRPr="004B4203" w:rsidRDefault="00C01A94" w:rsidP="00FD6754">
            <w:pPr>
              <w:spacing w:before="160" w:after="160" w:line="240" w:lineRule="atLeast"/>
              <w:rPr>
                <w:rFonts w:cs="Arial"/>
                <w:sz w:val="18"/>
                <w:szCs w:val="18"/>
              </w:rPr>
            </w:pPr>
            <w:r>
              <w:rPr>
                <w:sz w:val="18"/>
              </w:rPr>
              <w:lastRenderedPageBreak/>
              <w:t xml:space="preserve">10.14 </w:t>
            </w:r>
          </w:p>
        </w:tc>
        <w:tc>
          <w:tcPr>
            <w:tcW w:w="1458" w:type="dxa"/>
            <w:shd w:val="clear" w:color="auto" w:fill="auto"/>
          </w:tcPr>
          <w:p w:rsidR="00C01A94" w:rsidRPr="00852DB3" w:rsidRDefault="00C01A94" w:rsidP="00FD6754">
            <w:pPr>
              <w:spacing w:before="160" w:after="160" w:line="240" w:lineRule="atLeast"/>
              <w:ind w:left="0" w:firstLine="0"/>
              <w:jc w:val="left"/>
              <w:rPr>
                <w:rFonts w:cs="Arial"/>
                <w:sz w:val="18"/>
                <w:szCs w:val="18"/>
              </w:rPr>
            </w:pPr>
            <w:r>
              <w:rPr>
                <w:sz w:val="18"/>
              </w:rPr>
              <w:t>paragrafo 3, seconda frase</w:t>
            </w:r>
          </w:p>
        </w:tc>
        <w:tc>
          <w:tcPr>
            <w:tcW w:w="3296" w:type="dxa"/>
            <w:shd w:val="clear" w:color="auto" w:fill="auto"/>
          </w:tcPr>
          <w:p w:rsidR="00C01A94" w:rsidRPr="001717EA" w:rsidRDefault="00C01A94" w:rsidP="00FD6754">
            <w:pPr>
              <w:spacing w:before="160" w:after="160" w:line="240" w:lineRule="atLeast"/>
              <w:ind w:left="0" w:firstLine="0"/>
              <w:rPr>
                <w:rFonts w:cs="Arial"/>
                <w:sz w:val="18"/>
                <w:szCs w:val="18"/>
              </w:rPr>
            </w:pPr>
            <w:r>
              <w:rPr>
                <w:sz w:val="18"/>
              </w:rPr>
              <w:t>Divieto di installare commutatori unipolari in servizi igienici, bagni e altri locali analoghi</w:t>
            </w:r>
          </w:p>
        </w:tc>
        <w:tc>
          <w:tcPr>
            <w:tcW w:w="6521" w:type="dxa"/>
            <w:shd w:val="clear" w:color="auto" w:fill="auto"/>
          </w:tcPr>
          <w:p w:rsidR="00C01A94" w:rsidRPr="00852DB3" w:rsidRDefault="00C01A94" w:rsidP="00FD6754">
            <w:pPr>
              <w:spacing w:before="160" w:after="16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FD6754">
            <w:pPr>
              <w:spacing w:before="160" w:after="160" w:line="240" w:lineRule="atLeast"/>
              <w:jc w:val="center"/>
              <w:rPr>
                <w:rFonts w:cs="Arial"/>
                <w:sz w:val="18"/>
                <w:szCs w:val="18"/>
              </w:rPr>
            </w:pPr>
            <w:r>
              <w:rPr>
                <w:sz w:val="18"/>
              </w:rPr>
              <w:t>1.1.2010</w:t>
            </w:r>
          </w:p>
        </w:tc>
      </w:tr>
      <w:tr w:rsidR="00C01A94" w:rsidRPr="00A0619C" w:rsidTr="00E04086">
        <w:trPr>
          <w:cantSplit/>
          <w:jc w:val="center"/>
        </w:trPr>
        <w:tc>
          <w:tcPr>
            <w:tcW w:w="1342" w:type="dxa"/>
            <w:vMerge w:val="restart"/>
            <w:shd w:val="clear" w:color="auto" w:fill="auto"/>
          </w:tcPr>
          <w:p w:rsidR="00C01A94" w:rsidRPr="004B4203" w:rsidRDefault="00C01A94" w:rsidP="00FD6754">
            <w:pPr>
              <w:spacing w:before="160" w:after="160" w:line="240" w:lineRule="atLeast"/>
              <w:rPr>
                <w:rFonts w:cs="Arial"/>
                <w:sz w:val="18"/>
                <w:szCs w:val="18"/>
              </w:rPr>
            </w:pPr>
            <w:r>
              <w:rPr>
                <w:sz w:val="18"/>
              </w:rPr>
              <w:t xml:space="preserve">10.15 </w:t>
            </w:r>
          </w:p>
        </w:tc>
        <w:tc>
          <w:tcPr>
            <w:tcW w:w="1458" w:type="dxa"/>
            <w:shd w:val="clear" w:color="auto" w:fill="auto"/>
          </w:tcPr>
          <w:p w:rsidR="00C01A94" w:rsidRPr="00852DB3" w:rsidRDefault="00C01A94" w:rsidP="00FD6754">
            <w:pPr>
              <w:spacing w:before="160" w:after="160" w:line="240" w:lineRule="atLeast"/>
              <w:rPr>
                <w:rFonts w:cs="Arial"/>
                <w:sz w:val="18"/>
                <w:szCs w:val="18"/>
              </w:rPr>
            </w:pPr>
            <w:r>
              <w:rPr>
                <w:sz w:val="18"/>
              </w:rPr>
              <w:t>paragrafo 2</w:t>
            </w:r>
          </w:p>
        </w:tc>
        <w:tc>
          <w:tcPr>
            <w:tcW w:w="3296" w:type="dxa"/>
            <w:shd w:val="clear" w:color="auto" w:fill="auto"/>
          </w:tcPr>
          <w:p w:rsidR="00C01A94" w:rsidRPr="001717EA" w:rsidRDefault="00C01A94" w:rsidP="00FD6754">
            <w:pPr>
              <w:spacing w:before="160" w:after="160" w:line="240" w:lineRule="atLeast"/>
              <w:ind w:left="0" w:firstLine="0"/>
              <w:rPr>
                <w:rFonts w:cs="Arial"/>
                <w:sz w:val="18"/>
                <w:szCs w:val="18"/>
              </w:rPr>
            </w:pPr>
            <w:r>
              <w:rPr>
                <w:sz w:val="18"/>
              </w:rPr>
              <w:t>Sezione minima per conduttore pari a 1,5 mm</w:t>
            </w:r>
            <w:r>
              <w:rPr>
                <w:sz w:val="18"/>
                <w:vertAlign w:val="superscript"/>
              </w:rPr>
              <w:t>2</w:t>
            </w:r>
          </w:p>
        </w:tc>
        <w:tc>
          <w:tcPr>
            <w:tcW w:w="6521" w:type="dxa"/>
            <w:shd w:val="clear" w:color="auto" w:fill="auto"/>
          </w:tcPr>
          <w:p w:rsidR="00C01A94" w:rsidRPr="00852DB3" w:rsidRDefault="00C01A94" w:rsidP="00FD6754">
            <w:pPr>
              <w:spacing w:before="160" w:after="160" w:line="240" w:lineRule="atLeast"/>
              <w:rPr>
                <w:rFonts w:cs="Arial"/>
                <w:sz w:val="18"/>
                <w:szCs w:val="18"/>
              </w:rPr>
            </w:pPr>
            <w:r>
              <w:rPr>
                <w:sz w:val="18"/>
              </w:rPr>
              <w:t>N.S.T., al più tardi alla data del rinnovo del certificato per la navigazione interna.</w:t>
            </w:r>
          </w:p>
        </w:tc>
        <w:tc>
          <w:tcPr>
            <w:tcW w:w="1276" w:type="dxa"/>
            <w:shd w:val="clear" w:color="auto" w:fill="auto"/>
          </w:tcPr>
          <w:p w:rsidR="00C01A94" w:rsidRPr="00AD76BF" w:rsidRDefault="00C01A94" w:rsidP="00FD6754">
            <w:pPr>
              <w:spacing w:before="160" w:after="160" w:line="240" w:lineRule="atLeast"/>
              <w:jc w:val="center"/>
              <w:rPr>
                <w:rFonts w:cs="Arial"/>
                <w:sz w:val="18"/>
                <w:szCs w:val="18"/>
              </w:rPr>
            </w:pPr>
          </w:p>
        </w:tc>
      </w:tr>
      <w:tr w:rsidR="00C01A94" w:rsidRPr="00A0619C" w:rsidTr="00E04086">
        <w:trPr>
          <w:cantSplit/>
          <w:jc w:val="center"/>
        </w:trPr>
        <w:tc>
          <w:tcPr>
            <w:tcW w:w="1342" w:type="dxa"/>
            <w:vMerge/>
            <w:shd w:val="clear" w:color="auto" w:fill="auto"/>
          </w:tcPr>
          <w:p w:rsidR="00C01A94" w:rsidRPr="00AD76BF" w:rsidRDefault="00C01A94" w:rsidP="00FD6754">
            <w:pPr>
              <w:spacing w:before="160" w:after="160" w:line="240" w:lineRule="atLeast"/>
              <w:ind w:left="0" w:firstLine="0"/>
              <w:rPr>
                <w:rFonts w:cs="Arial"/>
                <w:sz w:val="18"/>
                <w:szCs w:val="18"/>
              </w:rPr>
            </w:pPr>
          </w:p>
        </w:tc>
        <w:tc>
          <w:tcPr>
            <w:tcW w:w="1458" w:type="dxa"/>
            <w:shd w:val="clear" w:color="auto" w:fill="auto"/>
          </w:tcPr>
          <w:p w:rsidR="00C01A94" w:rsidRPr="00C903F8" w:rsidRDefault="00C01A94" w:rsidP="00FD6754">
            <w:pPr>
              <w:spacing w:before="160" w:after="160" w:line="240" w:lineRule="atLeast"/>
              <w:ind w:left="0" w:firstLine="0"/>
              <w:rPr>
                <w:rFonts w:cs="Arial"/>
                <w:sz w:val="18"/>
                <w:szCs w:val="18"/>
              </w:rPr>
            </w:pPr>
            <w:r>
              <w:rPr>
                <w:sz w:val="18"/>
              </w:rPr>
              <w:t>paragrafo 10</w:t>
            </w:r>
          </w:p>
        </w:tc>
        <w:tc>
          <w:tcPr>
            <w:tcW w:w="3296" w:type="dxa"/>
            <w:shd w:val="clear" w:color="auto" w:fill="auto"/>
          </w:tcPr>
          <w:p w:rsidR="00C01A94" w:rsidRPr="00A54EF9" w:rsidRDefault="00C01A94" w:rsidP="00FD6754">
            <w:pPr>
              <w:spacing w:before="160" w:after="160" w:line="240" w:lineRule="atLeast"/>
              <w:ind w:left="0" w:firstLine="0"/>
              <w:rPr>
                <w:rFonts w:cs="Arial"/>
                <w:sz w:val="18"/>
                <w:szCs w:val="18"/>
              </w:rPr>
            </w:pPr>
            <w:r>
              <w:rPr>
                <w:sz w:val="18"/>
              </w:rPr>
              <w:t>Cavi collegati alle timonerie elevabili</w:t>
            </w:r>
          </w:p>
        </w:tc>
        <w:tc>
          <w:tcPr>
            <w:tcW w:w="6521" w:type="dxa"/>
            <w:shd w:val="clear" w:color="auto" w:fill="auto"/>
          </w:tcPr>
          <w:p w:rsidR="00C01A94" w:rsidRPr="00C903F8" w:rsidRDefault="00C01A94" w:rsidP="00FD6754">
            <w:pPr>
              <w:spacing w:before="160" w:after="160" w:line="240" w:lineRule="atLeast"/>
              <w:ind w:left="0" w:firstLine="0"/>
              <w:rPr>
                <w:rFonts w:cs="Arial"/>
                <w:sz w:val="18"/>
                <w:szCs w:val="18"/>
              </w:rPr>
            </w:pPr>
            <w:r>
              <w:rPr>
                <w:sz w:val="18"/>
              </w:rPr>
              <w:t xml:space="preserve">N.S.T., al più tardi alla data del rinnovo del certificato per la navigazione interna. </w:t>
            </w:r>
          </w:p>
        </w:tc>
        <w:tc>
          <w:tcPr>
            <w:tcW w:w="1276" w:type="dxa"/>
            <w:shd w:val="clear" w:color="auto" w:fill="auto"/>
          </w:tcPr>
          <w:p w:rsidR="00C01A94" w:rsidRPr="0012395A" w:rsidRDefault="00C01A94" w:rsidP="00FD6754">
            <w:pPr>
              <w:spacing w:before="160" w:after="160" w:line="240" w:lineRule="atLeast"/>
              <w:ind w:left="0" w:firstLine="0"/>
              <w:jc w:val="center"/>
              <w:rPr>
                <w:rFonts w:cs="Arial"/>
                <w:sz w:val="18"/>
                <w:szCs w:val="18"/>
              </w:rPr>
            </w:pPr>
          </w:p>
        </w:tc>
      </w:tr>
      <w:tr w:rsidR="00C01A94" w:rsidRPr="00C903F8" w:rsidTr="00E04086">
        <w:trPr>
          <w:cantSplit/>
          <w:jc w:val="center"/>
        </w:trPr>
        <w:tc>
          <w:tcPr>
            <w:tcW w:w="1342" w:type="dxa"/>
            <w:vMerge/>
            <w:shd w:val="clear" w:color="auto" w:fill="auto"/>
          </w:tcPr>
          <w:p w:rsidR="00C01A94" w:rsidRPr="0012395A" w:rsidRDefault="00C01A94" w:rsidP="00FD6754">
            <w:pPr>
              <w:spacing w:before="160" w:after="160" w:line="240" w:lineRule="atLeast"/>
              <w:ind w:left="0" w:firstLine="0"/>
              <w:rPr>
                <w:rFonts w:cs="Arial"/>
                <w:sz w:val="18"/>
                <w:szCs w:val="18"/>
              </w:rPr>
            </w:pPr>
          </w:p>
        </w:tc>
        <w:tc>
          <w:tcPr>
            <w:tcW w:w="1458" w:type="dxa"/>
            <w:shd w:val="clear" w:color="auto" w:fill="auto"/>
          </w:tcPr>
          <w:p w:rsidR="00C01A94" w:rsidRPr="0012395A" w:rsidRDefault="00C01A94" w:rsidP="00FD6754">
            <w:pPr>
              <w:spacing w:before="160" w:after="160" w:line="240" w:lineRule="atLeast"/>
              <w:ind w:left="0" w:firstLine="0"/>
              <w:rPr>
                <w:rFonts w:cs="Arial"/>
                <w:sz w:val="18"/>
                <w:szCs w:val="18"/>
              </w:rPr>
            </w:pPr>
            <w:r>
              <w:rPr>
                <w:sz w:val="18"/>
              </w:rPr>
              <w:t>paragrafo 11</w:t>
            </w:r>
          </w:p>
        </w:tc>
        <w:tc>
          <w:tcPr>
            <w:tcW w:w="3296" w:type="dxa"/>
            <w:shd w:val="clear" w:color="auto" w:fill="auto"/>
          </w:tcPr>
          <w:p w:rsidR="00C01A94" w:rsidRPr="00A54EF9" w:rsidRDefault="00C01A94" w:rsidP="00FD6754">
            <w:pPr>
              <w:spacing w:before="160" w:after="160" w:line="240" w:lineRule="atLeast"/>
              <w:ind w:left="0" w:firstLine="0"/>
              <w:rPr>
                <w:rFonts w:cs="Arial"/>
                <w:sz w:val="18"/>
                <w:szCs w:val="18"/>
              </w:rPr>
            </w:pPr>
            <w:r>
              <w:rPr>
                <w:sz w:val="18"/>
              </w:rPr>
              <w:t>Passaggi di gruppi di cavi</w:t>
            </w:r>
          </w:p>
        </w:tc>
        <w:tc>
          <w:tcPr>
            <w:tcW w:w="6521" w:type="dxa"/>
            <w:shd w:val="clear" w:color="auto" w:fill="auto"/>
          </w:tcPr>
          <w:p w:rsidR="00C01A94" w:rsidRDefault="0012395A" w:rsidP="00FD6754">
            <w:pPr>
              <w:spacing w:before="160" w:after="16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FD6754">
            <w:pPr>
              <w:spacing w:before="160" w:after="160" w:line="240" w:lineRule="atLeast"/>
              <w:ind w:left="0" w:firstLine="0"/>
              <w:jc w:val="center"/>
              <w:rPr>
                <w:rFonts w:cs="Arial"/>
                <w:sz w:val="18"/>
                <w:szCs w:val="18"/>
              </w:rPr>
            </w:pPr>
          </w:p>
        </w:tc>
      </w:tr>
      <w:tr w:rsidR="00C01A94" w:rsidRPr="00C903F8" w:rsidTr="00E04086">
        <w:trPr>
          <w:cantSplit/>
          <w:jc w:val="center"/>
        </w:trPr>
        <w:tc>
          <w:tcPr>
            <w:tcW w:w="1342" w:type="dxa"/>
            <w:vMerge/>
            <w:shd w:val="clear" w:color="auto" w:fill="auto"/>
          </w:tcPr>
          <w:p w:rsidR="00C01A94" w:rsidRPr="00C903F8" w:rsidRDefault="00C01A94" w:rsidP="00FD6754">
            <w:pPr>
              <w:spacing w:before="160" w:after="160" w:line="240" w:lineRule="atLeast"/>
              <w:ind w:left="0" w:firstLine="0"/>
              <w:rPr>
                <w:rFonts w:cs="Arial"/>
                <w:sz w:val="18"/>
                <w:szCs w:val="18"/>
              </w:rPr>
            </w:pPr>
          </w:p>
        </w:tc>
        <w:tc>
          <w:tcPr>
            <w:tcW w:w="1458" w:type="dxa"/>
            <w:shd w:val="clear" w:color="auto" w:fill="auto"/>
          </w:tcPr>
          <w:p w:rsidR="00C01A94" w:rsidRPr="00C903F8" w:rsidRDefault="00C01A94" w:rsidP="00FD6754">
            <w:pPr>
              <w:spacing w:before="160" w:after="160" w:line="240" w:lineRule="atLeast"/>
              <w:ind w:left="0" w:firstLine="0"/>
              <w:rPr>
                <w:rFonts w:cs="Arial"/>
                <w:sz w:val="18"/>
                <w:szCs w:val="18"/>
              </w:rPr>
            </w:pPr>
            <w:r>
              <w:rPr>
                <w:sz w:val="18"/>
              </w:rPr>
              <w:t>paragrafo 12</w:t>
            </w:r>
          </w:p>
        </w:tc>
        <w:tc>
          <w:tcPr>
            <w:tcW w:w="3296" w:type="dxa"/>
            <w:shd w:val="clear" w:color="auto" w:fill="auto"/>
          </w:tcPr>
          <w:p w:rsidR="00C01A94" w:rsidRPr="00A54EF9" w:rsidRDefault="00C01A94" w:rsidP="00FD6754">
            <w:pPr>
              <w:spacing w:before="160" w:after="160" w:line="240" w:lineRule="atLeast"/>
              <w:ind w:left="0" w:firstLine="0"/>
              <w:rPr>
                <w:rFonts w:cs="Arial"/>
                <w:sz w:val="18"/>
                <w:szCs w:val="18"/>
              </w:rPr>
            </w:pPr>
            <w:r>
              <w:rPr>
                <w:sz w:val="18"/>
              </w:rPr>
              <w:t>Cavi da una fonte di alimentazione elettrica di emergenza alle utenze</w:t>
            </w:r>
          </w:p>
        </w:tc>
        <w:tc>
          <w:tcPr>
            <w:tcW w:w="6521" w:type="dxa"/>
            <w:shd w:val="clear" w:color="auto" w:fill="auto"/>
          </w:tcPr>
          <w:p w:rsidR="00C01A94" w:rsidRDefault="0012395A" w:rsidP="00FD6754">
            <w:pPr>
              <w:spacing w:before="160" w:after="16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FD6754">
            <w:pPr>
              <w:spacing w:before="160" w:after="160" w:line="240" w:lineRule="atLeast"/>
              <w:ind w:left="0" w:firstLine="0"/>
              <w:jc w:val="center"/>
              <w:rPr>
                <w:rFonts w:cs="Arial"/>
                <w:sz w:val="18"/>
                <w:szCs w:val="18"/>
              </w:rPr>
            </w:pPr>
          </w:p>
        </w:tc>
      </w:tr>
      <w:tr w:rsidR="00C01A94" w:rsidRPr="00C903F8" w:rsidTr="00E04086">
        <w:trPr>
          <w:cantSplit/>
          <w:jc w:val="center"/>
        </w:trPr>
        <w:tc>
          <w:tcPr>
            <w:tcW w:w="1342" w:type="dxa"/>
            <w:vMerge/>
            <w:shd w:val="clear" w:color="auto" w:fill="auto"/>
          </w:tcPr>
          <w:p w:rsidR="00C01A94" w:rsidRPr="00C903F8" w:rsidRDefault="00C01A94" w:rsidP="00FD6754">
            <w:pPr>
              <w:spacing w:before="160" w:after="160" w:line="240" w:lineRule="atLeast"/>
              <w:ind w:left="0" w:firstLine="0"/>
              <w:rPr>
                <w:rFonts w:cs="Arial"/>
                <w:sz w:val="18"/>
                <w:szCs w:val="18"/>
              </w:rPr>
            </w:pPr>
          </w:p>
        </w:tc>
        <w:tc>
          <w:tcPr>
            <w:tcW w:w="1458" w:type="dxa"/>
            <w:shd w:val="clear" w:color="auto" w:fill="auto"/>
          </w:tcPr>
          <w:p w:rsidR="00C01A94" w:rsidRPr="00C903F8" w:rsidRDefault="00C01A94" w:rsidP="00FD6754">
            <w:pPr>
              <w:spacing w:before="160" w:after="160" w:line="240" w:lineRule="atLeast"/>
              <w:ind w:left="0" w:firstLine="0"/>
              <w:rPr>
                <w:rFonts w:cs="Arial"/>
                <w:sz w:val="18"/>
                <w:szCs w:val="18"/>
              </w:rPr>
            </w:pPr>
            <w:r>
              <w:rPr>
                <w:sz w:val="18"/>
              </w:rPr>
              <w:t>paragrafo 13</w:t>
            </w:r>
          </w:p>
        </w:tc>
        <w:tc>
          <w:tcPr>
            <w:tcW w:w="3296" w:type="dxa"/>
            <w:shd w:val="clear" w:color="auto" w:fill="auto"/>
          </w:tcPr>
          <w:p w:rsidR="00C01A94" w:rsidRPr="00A54EF9" w:rsidRDefault="00C01A94" w:rsidP="00FD6754">
            <w:pPr>
              <w:spacing w:before="160" w:after="160" w:line="240" w:lineRule="atLeast"/>
              <w:ind w:left="0" w:firstLine="0"/>
              <w:rPr>
                <w:rFonts w:cs="Arial"/>
                <w:sz w:val="18"/>
                <w:szCs w:val="18"/>
              </w:rPr>
            </w:pPr>
            <w:r>
              <w:rPr>
                <w:sz w:val="18"/>
              </w:rPr>
              <w:t>Cavo in zone con temperature ambiente elevate</w:t>
            </w:r>
          </w:p>
        </w:tc>
        <w:tc>
          <w:tcPr>
            <w:tcW w:w="6521" w:type="dxa"/>
            <w:shd w:val="clear" w:color="auto" w:fill="auto"/>
          </w:tcPr>
          <w:p w:rsidR="00C01A94" w:rsidRDefault="0012395A" w:rsidP="00FD6754">
            <w:pPr>
              <w:spacing w:before="160" w:after="16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FD6754">
            <w:pPr>
              <w:spacing w:before="160" w:after="160" w:line="240" w:lineRule="atLeast"/>
              <w:ind w:left="0" w:firstLine="0"/>
              <w:jc w:val="center"/>
              <w:rPr>
                <w:rFonts w:cs="Arial"/>
                <w:sz w:val="18"/>
                <w:szCs w:val="18"/>
              </w:rPr>
            </w:pPr>
          </w:p>
        </w:tc>
      </w:tr>
      <w:tr w:rsidR="00C01A94" w:rsidRPr="00C903F8" w:rsidTr="00E04086">
        <w:trPr>
          <w:cantSplit/>
          <w:jc w:val="center"/>
        </w:trPr>
        <w:tc>
          <w:tcPr>
            <w:tcW w:w="1342" w:type="dxa"/>
            <w:vMerge/>
            <w:shd w:val="clear" w:color="auto" w:fill="auto"/>
          </w:tcPr>
          <w:p w:rsidR="00C01A94" w:rsidRPr="00C903F8" w:rsidRDefault="00C01A94" w:rsidP="00FD6754">
            <w:pPr>
              <w:spacing w:before="160" w:after="160" w:line="240" w:lineRule="atLeast"/>
              <w:ind w:left="0" w:firstLine="0"/>
              <w:rPr>
                <w:rFonts w:cs="Arial"/>
                <w:sz w:val="18"/>
                <w:szCs w:val="18"/>
              </w:rPr>
            </w:pPr>
          </w:p>
        </w:tc>
        <w:tc>
          <w:tcPr>
            <w:tcW w:w="1458" w:type="dxa"/>
            <w:shd w:val="clear" w:color="auto" w:fill="auto"/>
          </w:tcPr>
          <w:p w:rsidR="00C01A94" w:rsidRPr="00C903F8" w:rsidRDefault="00C01A94" w:rsidP="00FD6754">
            <w:pPr>
              <w:spacing w:before="160" w:after="160" w:line="240" w:lineRule="atLeast"/>
              <w:ind w:left="0" w:firstLine="0"/>
              <w:rPr>
                <w:rFonts w:cs="Arial"/>
                <w:sz w:val="18"/>
                <w:szCs w:val="18"/>
              </w:rPr>
            </w:pPr>
            <w:r>
              <w:rPr>
                <w:sz w:val="18"/>
              </w:rPr>
              <w:t>paragrafo 14</w:t>
            </w:r>
          </w:p>
        </w:tc>
        <w:tc>
          <w:tcPr>
            <w:tcW w:w="3296" w:type="dxa"/>
            <w:shd w:val="clear" w:color="auto" w:fill="auto"/>
          </w:tcPr>
          <w:p w:rsidR="00C01A94" w:rsidRPr="00A54EF9" w:rsidRDefault="00C01A94" w:rsidP="00FD6754">
            <w:pPr>
              <w:spacing w:before="160" w:after="160" w:line="240" w:lineRule="atLeast"/>
              <w:ind w:left="0" w:firstLine="0"/>
              <w:rPr>
                <w:rFonts w:cs="Arial"/>
                <w:sz w:val="18"/>
                <w:szCs w:val="18"/>
              </w:rPr>
            </w:pPr>
            <w:r>
              <w:rPr>
                <w:sz w:val="18"/>
              </w:rPr>
              <w:t>Installazione dei cavi di alimentazione elettrica principale e di emergenza</w:t>
            </w:r>
          </w:p>
        </w:tc>
        <w:tc>
          <w:tcPr>
            <w:tcW w:w="6521" w:type="dxa"/>
            <w:shd w:val="clear" w:color="auto" w:fill="auto"/>
          </w:tcPr>
          <w:p w:rsidR="00C01A94" w:rsidRDefault="0012395A" w:rsidP="00FD6754">
            <w:pPr>
              <w:spacing w:before="160" w:after="16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FD6754">
            <w:pPr>
              <w:spacing w:before="160" w:after="160" w:line="240" w:lineRule="atLeast"/>
              <w:ind w:left="0" w:firstLine="0"/>
              <w:jc w:val="center"/>
              <w:rPr>
                <w:rFonts w:cs="Arial"/>
                <w:sz w:val="18"/>
                <w:szCs w:val="18"/>
              </w:rPr>
            </w:pPr>
          </w:p>
        </w:tc>
      </w:tr>
      <w:tr w:rsidR="00C01A94" w:rsidRPr="00C903F8" w:rsidTr="001964F8">
        <w:trPr>
          <w:cantSplit/>
          <w:jc w:val="center"/>
        </w:trPr>
        <w:tc>
          <w:tcPr>
            <w:tcW w:w="1342" w:type="dxa"/>
            <w:shd w:val="clear" w:color="auto" w:fill="auto"/>
          </w:tcPr>
          <w:p w:rsidR="00C01A94" w:rsidRPr="004B4203" w:rsidRDefault="00C01A94" w:rsidP="00A8005B">
            <w:pPr>
              <w:spacing w:before="100" w:after="80" w:line="240" w:lineRule="atLeast"/>
              <w:rPr>
                <w:rFonts w:cs="Arial"/>
                <w:sz w:val="18"/>
                <w:szCs w:val="18"/>
              </w:rPr>
            </w:pPr>
            <w:r>
              <w:rPr>
                <w:sz w:val="18"/>
              </w:rPr>
              <w:t xml:space="preserve">10.16 </w:t>
            </w:r>
          </w:p>
        </w:tc>
        <w:tc>
          <w:tcPr>
            <w:tcW w:w="1458" w:type="dxa"/>
            <w:shd w:val="clear" w:color="auto" w:fill="auto"/>
          </w:tcPr>
          <w:p w:rsidR="00C01A94" w:rsidRPr="00852DB3" w:rsidRDefault="00C01A94" w:rsidP="00A8005B">
            <w:pPr>
              <w:spacing w:before="100" w:after="80" w:line="240" w:lineRule="atLeast"/>
              <w:ind w:left="0" w:firstLine="0"/>
              <w:jc w:val="left"/>
              <w:rPr>
                <w:rFonts w:cs="Arial"/>
                <w:sz w:val="18"/>
                <w:szCs w:val="18"/>
              </w:rPr>
            </w:pPr>
            <w:r>
              <w:rPr>
                <w:sz w:val="18"/>
              </w:rPr>
              <w:t>paragrafo 3, seconda frase</w:t>
            </w:r>
          </w:p>
        </w:tc>
        <w:tc>
          <w:tcPr>
            <w:tcW w:w="3296" w:type="dxa"/>
            <w:shd w:val="clear" w:color="auto" w:fill="auto"/>
          </w:tcPr>
          <w:p w:rsidR="00C01A94" w:rsidRPr="00852DB3" w:rsidRDefault="00C01A94" w:rsidP="00A8005B">
            <w:pPr>
              <w:spacing w:before="100" w:after="80" w:line="240" w:lineRule="atLeast"/>
              <w:rPr>
                <w:rFonts w:cs="Arial"/>
                <w:sz w:val="18"/>
                <w:szCs w:val="18"/>
              </w:rPr>
            </w:pPr>
            <w:r>
              <w:rPr>
                <w:sz w:val="18"/>
              </w:rPr>
              <w:t>Secondo circuito</w:t>
            </w:r>
          </w:p>
        </w:tc>
        <w:tc>
          <w:tcPr>
            <w:tcW w:w="6521" w:type="dxa"/>
            <w:shd w:val="clear" w:color="auto" w:fill="auto"/>
          </w:tcPr>
          <w:p w:rsidR="00C01A94" w:rsidRPr="00852DB3" w:rsidRDefault="00C01A94" w:rsidP="00A8005B">
            <w:pPr>
              <w:spacing w:before="100" w:after="8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A8005B">
            <w:pPr>
              <w:spacing w:before="100" w:after="80" w:line="240" w:lineRule="atLeast"/>
              <w:jc w:val="center"/>
              <w:rPr>
                <w:rFonts w:cs="Arial"/>
                <w:sz w:val="18"/>
                <w:szCs w:val="18"/>
              </w:rPr>
            </w:pPr>
            <w:r>
              <w:rPr>
                <w:sz w:val="18"/>
              </w:rPr>
              <w:t>1.1.2015</w:t>
            </w:r>
          </w:p>
        </w:tc>
      </w:tr>
      <w:tr w:rsidR="00C01A94" w:rsidRPr="00C903F8" w:rsidTr="001964F8">
        <w:trPr>
          <w:cantSplit/>
          <w:jc w:val="center"/>
        </w:trPr>
        <w:tc>
          <w:tcPr>
            <w:tcW w:w="1342" w:type="dxa"/>
            <w:vMerge w:val="restart"/>
            <w:shd w:val="clear" w:color="auto" w:fill="auto"/>
          </w:tcPr>
          <w:p w:rsidR="00C01A94" w:rsidRPr="004B4203" w:rsidRDefault="00C01A94" w:rsidP="00A8005B">
            <w:pPr>
              <w:spacing w:before="100" w:after="80" w:line="240" w:lineRule="atLeast"/>
              <w:rPr>
                <w:rFonts w:cs="Arial"/>
                <w:sz w:val="18"/>
                <w:szCs w:val="18"/>
              </w:rPr>
            </w:pPr>
            <w:r>
              <w:rPr>
                <w:sz w:val="18"/>
              </w:rPr>
              <w:t xml:space="preserve">10.18 </w:t>
            </w:r>
          </w:p>
        </w:tc>
        <w:tc>
          <w:tcPr>
            <w:tcW w:w="1458" w:type="dxa"/>
            <w:shd w:val="clear" w:color="auto" w:fill="auto"/>
          </w:tcPr>
          <w:p w:rsidR="00C01A94" w:rsidRPr="00852DB3" w:rsidRDefault="00C01A94" w:rsidP="00A8005B">
            <w:pPr>
              <w:spacing w:before="100" w:after="80" w:line="240" w:lineRule="atLeast"/>
              <w:rPr>
                <w:rFonts w:cs="Arial"/>
                <w:sz w:val="18"/>
                <w:szCs w:val="18"/>
              </w:rPr>
            </w:pPr>
            <w:r>
              <w:rPr>
                <w:sz w:val="18"/>
              </w:rPr>
              <w:t>paragrafo 1</w:t>
            </w:r>
          </w:p>
        </w:tc>
        <w:tc>
          <w:tcPr>
            <w:tcW w:w="3296" w:type="dxa"/>
            <w:shd w:val="clear" w:color="auto" w:fill="auto"/>
          </w:tcPr>
          <w:p w:rsidR="00C01A94" w:rsidRPr="001717EA" w:rsidRDefault="00C01A94" w:rsidP="00A8005B">
            <w:pPr>
              <w:spacing w:before="100" w:after="80" w:line="240" w:lineRule="atLeast"/>
              <w:ind w:left="0" w:firstLine="0"/>
              <w:rPr>
                <w:rFonts w:cs="Arial"/>
                <w:sz w:val="18"/>
                <w:szCs w:val="18"/>
              </w:rPr>
            </w:pPr>
            <w:r>
              <w:rPr>
                <w:sz w:val="18"/>
              </w:rPr>
              <w:t>Dispositivo per la disconnessione dalla rete</w:t>
            </w:r>
          </w:p>
        </w:tc>
        <w:tc>
          <w:tcPr>
            <w:tcW w:w="6521" w:type="dxa"/>
            <w:shd w:val="clear" w:color="auto" w:fill="auto"/>
          </w:tcPr>
          <w:p w:rsidR="00C01A94" w:rsidRPr="00852DB3" w:rsidRDefault="0012395A" w:rsidP="00A8005B">
            <w:pPr>
              <w:spacing w:before="100" w:after="80" w:line="240" w:lineRule="atLeast"/>
              <w:rPr>
                <w:rFonts w:cs="Arial"/>
                <w:sz w:val="18"/>
                <w:szCs w:val="18"/>
              </w:rPr>
            </w:pPr>
            <w:r>
              <w:rPr>
                <w:sz w:val="18"/>
              </w:rPr>
              <w:t>N.S.T</w:t>
            </w:r>
          </w:p>
        </w:tc>
        <w:tc>
          <w:tcPr>
            <w:tcW w:w="1276" w:type="dxa"/>
            <w:shd w:val="clear" w:color="auto" w:fill="auto"/>
          </w:tcPr>
          <w:p w:rsidR="00C01A94" w:rsidRPr="00852DB3" w:rsidRDefault="00C01A94" w:rsidP="005B1BE0">
            <w:pPr>
              <w:spacing w:before="100" w:after="80" w:line="240" w:lineRule="atLeast"/>
              <w:jc w:val="center"/>
              <w:rPr>
                <w:rFonts w:cs="Arial"/>
                <w:sz w:val="18"/>
                <w:szCs w:val="18"/>
              </w:rPr>
            </w:pPr>
          </w:p>
        </w:tc>
      </w:tr>
      <w:tr w:rsidR="00C01A94" w:rsidRPr="00C903F8" w:rsidTr="001964F8">
        <w:trPr>
          <w:cantSplit/>
          <w:jc w:val="center"/>
        </w:trPr>
        <w:tc>
          <w:tcPr>
            <w:tcW w:w="1342" w:type="dxa"/>
            <w:vMerge/>
            <w:shd w:val="clear" w:color="auto" w:fill="auto"/>
          </w:tcPr>
          <w:p w:rsidR="00C01A94" w:rsidRPr="00C903F8" w:rsidRDefault="00C01A94" w:rsidP="00A8005B">
            <w:pPr>
              <w:spacing w:before="100" w:after="80" w:line="240" w:lineRule="atLeast"/>
              <w:ind w:left="0" w:firstLine="0"/>
              <w:rPr>
                <w:rFonts w:cs="Arial"/>
                <w:sz w:val="18"/>
                <w:szCs w:val="18"/>
              </w:rPr>
            </w:pPr>
          </w:p>
        </w:tc>
        <w:tc>
          <w:tcPr>
            <w:tcW w:w="1458" w:type="dxa"/>
            <w:shd w:val="clear" w:color="auto" w:fill="auto"/>
          </w:tcPr>
          <w:p w:rsidR="00C01A94" w:rsidRPr="00C903F8" w:rsidRDefault="00C01A94" w:rsidP="00A8005B">
            <w:pPr>
              <w:spacing w:before="100" w:after="80" w:line="240" w:lineRule="atLeast"/>
              <w:ind w:left="0" w:firstLine="0"/>
              <w:rPr>
                <w:rFonts w:cs="Arial"/>
                <w:sz w:val="18"/>
                <w:szCs w:val="18"/>
              </w:rPr>
            </w:pPr>
            <w:r>
              <w:rPr>
                <w:sz w:val="18"/>
              </w:rPr>
              <w:t>paragrafo 2</w:t>
            </w:r>
          </w:p>
        </w:tc>
        <w:tc>
          <w:tcPr>
            <w:tcW w:w="3296" w:type="dxa"/>
            <w:shd w:val="clear" w:color="auto" w:fill="auto"/>
          </w:tcPr>
          <w:p w:rsidR="00C01A94" w:rsidRPr="00A54EF9" w:rsidRDefault="00C01A94" w:rsidP="00A8005B">
            <w:pPr>
              <w:spacing w:before="100" w:after="80" w:line="240" w:lineRule="atLeast"/>
              <w:ind w:left="0" w:firstLine="0"/>
              <w:rPr>
                <w:rFonts w:cs="Arial"/>
                <w:sz w:val="18"/>
                <w:szCs w:val="18"/>
              </w:rPr>
            </w:pPr>
            <w:r>
              <w:rPr>
                <w:sz w:val="18"/>
              </w:rPr>
              <w:t>Accessibilità</w:t>
            </w:r>
          </w:p>
        </w:tc>
        <w:tc>
          <w:tcPr>
            <w:tcW w:w="6521" w:type="dxa"/>
            <w:shd w:val="clear" w:color="auto" w:fill="auto"/>
          </w:tcPr>
          <w:p w:rsidR="00C01A94" w:rsidRDefault="0012395A" w:rsidP="00A8005B">
            <w:pPr>
              <w:spacing w:before="100" w:after="8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5B1BE0">
            <w:pPr>
              <w:spacing w:before="100" w:after="80" w:line="240" w:lineRule="atLeast"/>
              <w:ind w:left="0" w:firstLine="0"/>
              <w:jc w:val="center"/>
              <w:rPr>
                <w:rFonts w:cs="Arial"/>
                <w:sz w:val="18"/>
                <w:szCs w:val="18"/>
              </w:rPr>
            </w:pPr>
          </w:p>
        </w:tc>
      </w:tr>
      <w:tr w:rsidR="00C01A94" w:rsidRPr="00C903F8" w:rsidTr="001964F8">
        <w:trPr>
          <w:cantSplit/>
          <w:jc w:val="center"/>
        </w:trPr>
        <w:tc>
          <w:tcPr>
            <w:tcW w:w="1342" w:type="dxa"/>
            <w:vMerge/>
            <w:shd w:val="clear" w:color="auto" w:fill="auto"/>
          </w:tcPr>
          <w:p w:rsidR="00C01A94" w:rsidRPr="00C903F8" w:rsidRDefault="00C01A94" w:rsidP="00A8005B">
            <w:pPr>
              <w:spacing w:before="100" w:after="80" w:line="240" w:lineRule="atLeast"/>
              <w:ind w:left="0" w:firstLine="0"/>
              <w:rPr>
                <w:rFonts w:cs="Arial"/>
                <w:sz w:val="18"/>
                <w:szCs w:val="18"/>
              </w:rPr>
            </w:pPr>
          </w:p>
        </w:tc>
        <w:tc>
          <w:tcPr>
            <w:tcW w:w="1458" w:type="dxa"/>
            <w:shd w:val="clear" w:color="auto" w:fill="auto"/>
          </w:tcPr>
          <w:p w:rsidR="00C01A94" w:rsidRPr="00C903F8" w:rsidRDefault="00C01A94" w:rsidP="00A8005B">
            <w:pPr>
              <w:spacing w:before="100" w:after="80" w:line="240" w:lineRule="atLeast"/>
              <w:ind w:left="0" w:firstLine="0"/>
              <w:rPr>
                <w:rFonts w:cs="Arial"/>
                <w:sz w:val="18"/>
                <w:szCs w:val="18"/>
              </w:rPr>
            </w:pPr>
            <w:r>
              <w:rPr>
                <w:sz w:val="18"/>
              </w:rPr>
              <w:t>paragrafo 3</w:t>
            </w:r>
          </w:p>
        </w:tc>
        <w:tc>
          <w:tcPr>
            <w:tcW w:w="3296" w:type="dxa"/>
            <w:shd w:val="clear" w:color="auto" w:fill="auto"/>
          </w:tcPr>
          <w:p w:rsidR="00C01A94" w:rsidRPr="00A54EF9" w:rsidRDefault="00C01A94" w:rsidP="00A8005B">
            <w:pPr>
              <w:spacing w:before="100" w:after="80" w:line="240" w:lineRule="atLeast"/>
              <w:ind w:left="0" w:firstLine="0"/>
              <w:rPr>
                <w:rFonts w:cs="Arial"/>
                <w:sz w:val="18"/>
                <w:szCs w:val="18"/>
              </w:rPr>
            </w:pPr>
            <w:r>
              <w:rPr>
                <w:sz w:val="18"/>
              </w:rPr>
              <w:t>Separazione galvanica dei circuiti di comando e di potenza</w:t>
            </w:r>
          </w:p>
        </w:tc>
        <w:tc>
          <w:tcPr>
            <w:tcW w:w="6521" w:type="dxa"/>
            <w:shd w:val="clear" w:color="auto" w:fill="auto"/>
          </w:tcPr>
          <w:p w:rsidR="00C01A94" w:rsidRDefault="0012395A" w:rsidP="00A8005B">
            <w:pPr>
              <w:spacing w:before="100" w:after="8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5B1BE0">
            <w:pPr>
              <w:spacing w:before="100" w:after="80" w:line="240" w:lineRule="atLeast"/>
              <w:ind w:left="0" w:firstLine="0"/>
              <w:jc w:val="center"/>
              <w:rPr>
                <w:rFonts w:cs="Arial"/>
                <w:sz w:val="18"/>
                <w:szCs w:val="18"/>
              </w:rPr>
            </w:pPr>
          </w:p>
        </w:tc>
      </w:tr>
      <w:tr w:rsidR="00C01A94" w:rsidRPr="00C903F8" w:rsidTr="001964F8">
        <w:trPr>
          <w:cantSplit/>
          <w:jc w:val="center"/>
        </w:trPr>
        <w:tc>
          <w:tcPr>
            <w:tcW w:w="1342" w:type="dxa"/>
            <w:vMerge/>
            <w:shd w:val="clear" w:color="auto" w:fill="auto"/>
          </w:tcPr>
          <w:p w:rsidR="00C01A94" w:rsidRPr="00C903F8" w:rsidRDefault="00C01A94" w:rsidP="00A8005B">
            <w:pPr>
              <w:spacing w:before="100" w:after="80" w:line="240" w:lineRule="atLeast"/>
              <w:ind w:left="0" w:firstLine="0"/>
              <w:rPr>
                <w:rFonts w:cs="Arial"/>
                <w:sz w:val="18"/>
                <w:szCs w:val="18"/>
              </w:rPr>
            </w:pPr>
          </w:p>
        </w:tc>
        <w:tc>
          <w:tcPr>
            <w:tcW w:w="1458" w:type="dxa"/>
            <w:shd w:val="clear" w:color="auto" w:fill="auto"/>
          </w:tcPr>
          <w:p w:rsidR="00C01A94" w:rsidRPr="00C903F8" w:rsidRDefault="00C01A94" w:rsidP="00A8005B">
            <w:pPr>
              <w:spacing w:before="100" w:after="80" w:line="240" w:lineRule="atLeast"/>
              <w:ind w:left="0" w:firstLine="0"/>
              <w:rPr>
                <w:rFonts w:cs="Arial"/>
                <w:sz w:val="18"/>
                <w:szCs w:val="18"/>
              </w:rPr>
            </w:pPr>
            <w:r>
              <w:rPr>
                <w:sz w:val="18"/>
              </w:rPr>
              <w:t>paragrafo 4</w:t>
            </w:r>
          </w:p>
        </w:tc>
        <w:tc>
          <w:tcPr>
            <w:tcW w:w="3296" w:type="dxa"/>
            <w:shd w:val="clear" w:color="auto" w:fill="auto"/>
          </w:tcPr>
          <w:p w:rsidR="00C01A94" w:rsidRPr="00A54EF9" w:rsidRDefault="00C01A94" w:rsidP="00A8005B">
            <w:pPr>
              <w:spacing w:before="100" w:after="80" w:line="240" w:lineRule="atLeast"/>
              <w:ind w:left="0" w:firstLine="0"/>
              <w:rPr>
                <w:rFonts w:cs="Arial"/>
                <w:sz w:val="18"/>
                <w:szCs w:val="18"/>
              </w:rPr>
            </w:pPr>
            <w:r>
              <w:rPr>
                <w:sz w:val="18"/>
              </w:rPr>
              <w:t>Funzionamento con variazioni di tensione e di frequenza</w:t>
            </w:r>
          </w:p>
        </w:tc>
        <w:tc>
          <w:tcPr>
            <w:tcW w:w="6521" w:type="dxa"/>
            <w:shd w:val="clear" w:color="auto" w:fill="auto"/>
          </w:tcPr>
          <w:p w:rsidR="00C01A94" w:rsidRDefault="0012395A" w:rsidP="00A8005B">
            <w:pPr>
              <w:spacing w:before="100" w:after="8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5B1BE0">
            <w:pPr>
              <w:spacing w:before="100" w:after="80" w:line="240" w:lineRule="atLeast"/>
              <w:ind w:left="0" w:firstLine="0"/>
              <w:jc w:val="center"/>
              <w:rPr>
                <w:rFonts w:cs="Arial"/>
                <w:sz w:val="18"/>
                <w:szCs w:val="18"/>
              </w:rPr>
            </w:pPr>
          </w:p>
        </w:tc>
      </w:tr>
      <w:tr w:rsidR="00C01A94" w:rsidRPr="003971A3" w:rsidTr="001964F8">
        <w:trPr>
          <w:cantSplit/>
          <w:jc w:val="center"/>
        </w:trPr>
        <w:tc>
          <w:tcPr>
            <w:tcW w:w="1342" w:type="dxa"/>
            <w:vMerge/>
            <w:shd w:val="clear" w:color="auto" w:fill="auto"/>
          </w:tcPr>
          <w:p w:rsidR="00C01A94" w:rsidRPr="00C903F8" w:rsidRDefault="00C01A94" w:rsidP="00A8005B">
            <w:pPr>
              <w:spacing w:before="100" w:after="80" w:line="240" w:lineRule="atLeast"/>
              <w:ind w:left="0" w:firstLine="0"/>
              <w:rPr>
                <w:rFonts w:cs="Arial"/>
                <w:sz w:val="18"/>
                <w:szCs w:val="18"/>
              </w:rPr>
            </w:pPr>
          </w:p>
        </w:tc>
        <w:tc>
          <w:tcPr>
            <w:tcW w:w="1458" w:type="dxa"/>
            <w:shd w:val="clear" w:color="auto" w:fill="auto"/>
          </w:tcPr>
          <w:p w:rsidR="00C01A94" w:rsidRPr="00C903F8" w:rsidRDefault="00C01A94" w:rsidP="00A8005B">
            <w:pPr>
              <w:spacing w:before="100" w:after="80" w:line="240" w:lineRule="atLeast"/>
              <w:ind w:left="0" w:firstLine="0"/>
              <w:rPr>
                <w:rFonts w:cs="Arial"/>
                <w:sz w:val="18"/>
                <w:szCs w:val="18"/>
              </w:rPr>
            </w:pPr>
            <w:r>
              <w:rPr>
                <w:sz w:val="18"/>
              </w:rPr>
              <w:t>paragrafo 5</w:t>
            </w:r>
          </w:p>
        </w:tc>
        <w:tc>
          <w:tcPr>
            <w:tcW w:w="3296" w:type="dxa"/>
            <w:shd w:val="clear" w:color="auto" w:fill="auto"/>
          </w:tcPr>
          <w:p w:rsidR="00C01A94" w:rsidRPr="00A54EF9" w:rsidRDefault="00C01A94" w:rsidP="00A8005B">
            <w:pPr>
              <w:spacing w:before="100" w:after="80" w:line="240" w:lineRule="atLeast"/>
              <w:ind w:left="0" w:firstLine="0"/>
              <w:rPr>
                <w:rFonts w:cs="Arial"/>
                <w:sz w:val="18"/>
                <w:szCs w:val="18"/>
              </w:rPr>
            </w:pPr>
            <w:r>
              <w:rPr>
                <w:sz w:val="18"/>
              </w:rPr>
              <w:t>Tempo di scarica in caso di disconnessione dalla rete</w:t>
            </w:r>
          </w:p>
        </w:tc>
        <w:tc>
          <w:tcPr>
            <w:tcW w:w="6521" w:type="dxa"/>
            <w:shd w:val="clear" w:color="auto" w:fill="auto"/>
          </w:tcPr>
          <w:p w:rsidR="00C01A94" w:rsidRDefault="0012395A" w:rsidP="00A8005B">
            <w:pPr>
              <w:spacing w:before="100" w:after="80" w:line="240" w:lineRule="atLeast"/>
              <w:ind w:left="0" w:firstLine="0"/>
              <w:rPr>
                <w:rFonts w:cs="Arial"/>
                <w:sz w:val="18"/>
                <w:szCs w:val="18"/>
              </w:rPr>
            </w:pPr>
            <w:r>
              <w:rPr>
                <w:sz w:val="18"/>
              </w:rPr>
              <w:t>N.S.T</w:t>
            </w:r>
          </w:p>
        </w:tc>
        <w:tc>
          <w:tcPr>
            <w:tcW w:w="1276" w:type="dxa"/>
            <w:shd w:val="clear" w:color="auto" w:fill="auto"/>
          </w:tcPr>
          <w:p w:rsidR="00C01A94" w:rsidRPr="00A54EF9" w:rsidRDefault="00C01A94" w:rsidP="00A8005B">
            <w:pPr>
              <w:spacing w:before="100" w:after="80" w:line="240" w:lineRule="atLeast"/>
              <w:ind w:left="0" w:firstLine="0"/>
              <w:jc w:val="center"/>
              <w:rPr>
                <w:rFonts w:cs="Arial"/>
                <w:sz w:val="18"/>
                <w:szCs w:val="18"/>
              </w:rPr>
            </w:pPr>
          </w:p>
        </w:tc>
      </w:tr>
      <w:tr w:rsidR="00C01A94" w:rsidRPr="00C903F8" w:rsidTr="001964F8">
        <w:trPr>
          <w:cantSplit/>
          <w:jc w:val="center"/>
        </w:trPr>
        <w:tc>
          <w:tcPr>
            <w:tcW w:w="1342" w:type="dxa"/>
            <w:vMerge/>
            <w:shd w:val="clear" w:color="auto" w:fill="auto"/>
          </w:tcPr>
          <w:p w:rsidR="00C01A94" w:rsidRPr="00A54EF9" w:rsidRDefault="00C01A94" w:rsidP="00A8005B">
            <w:pPr>
              <w:spacing w:before="100" w:after="80" w:line="240" w:lineRule="atLeast"/>
              <w:ind w:left="0" w:firstLine="0"/>
              <w:rPr>
                <w:rFonts w:cs="Arial"/>
                <w:sz w:val="18"/>
                <w:szCs w:val="18"/>
              </w:rPr>
            </w:pPr>
          </w:p>
        </w:tc>
        <w:tc>
          <w:tcPr>
            <w:tcW w:w="1458" w:type="dxa"/>
            <w:shd w:val="clear" w:color="auto" w:fill="auto"/>
          </w:tcPr>
          <w:p w:rsidR="00C01A94" w:rsidRPr="00C903F8" w:rsidRDefault="00C01A94" w:rsidP="00A8005B">
            <w:pPr>
              <w:spacing w:before="100" w:after="80" w:line="240" w:lineRule="atLeast"/>
              <w:ind w:left="0" w:firstLine="0"/>
              <w:rPr>
                <w:rFonts w:cs="Arial"/>
                <w:sz w:val="18"/>
                <w:szCs w:val="18"/>
              </w:rPr>
            </w:pPr>
            <w:r>
              <w:rPr>
                <w:sz w:val="18"/>
              </w:rPr>
              <w:t>paragrafo 6</w:t>
            </w:r>
          </w:p>
        </w:tc>
        <w:tc>
          <w:tcPr>
            <w:tcW w:w="3296" w:type="dxa"/>
            <w:shd w:val="clear" w:color="auto" w:fill="auto"/>
          </w:tcPr>
          <w:p w:rsidR="00C01A94" w:rsidRPr="00A54EF9" w:rsidRDefault="00C01A94" w:rsidP="00A8005B">
            <w:pPr>
              <w:spacing w:before="100" w:after="80" w:line="240" w:lineRule="atLeast"/>
              <w:ind w:left="0" w:firstLine="0"/>
              <w:rPr>
                <w:rFonts w:cs="Arial"/>
                <w:sz w:val="18"/>
                <w:szCs w:val="18"/>
              </w:rPr>
            </w:pPr>
            <w:r>
              <w:rPr>
                <w:sz w:val="18"/>
              </w:rPr>
              <w:t>Risposta in caso di guasto di segnali di comando esterni</w:t>
            </w:r>
          </w:p>
        </w:tc>
        <w:tc>
          <w:tcPr>
            <w:tcW w:w="6521" w:type="dxa"/>
            <w:shd w:val="clear" w:color="auto" w:fill="auto"/>
          </w:tcPr>
          <w:p w:rsidR="00C01A94" w:rsidRDefault="0012395A" w:rsidP="00A8005B">
            <w:pPr>
              <w:spacing w:before="100" w:after="8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5B1BE0">
            <w:pPr>
              <w:spacing w:before="100" w:after="80" w:line="240" w:lineRule="atLeast"/>
              <w:ind w:left="0" w:firstLine="0"/>
              <w:jc w:val="center"/>
              <w:rPr>
                <w:rFonts w:cs="Arial"/>
                <w:sz w:val="18"/>
                <w:szCs w:val="18"/>
              </w:rPr>
            </w:pPr>
          </w:p>
        </w:tc>
      </w:tr>
      <w:tr w:rsidR="00C01A94" w:rsidRPr="00C903F8" w:rsidTr="001964F8">
        <w:trPr>
          <w:cantSplit/>
          <w:jc w:val="center"/>
        </w:trPr>
        <w:tc>
          <w:tcPr>
            <w:tcW w:w="1342" w:type="dxa"/>
            <w:vMerge/>
            <w:shd w:val="clear" w:color="auto" w:fill="auto"/>
          </w:tcPr>
          <w:p w:rsidR="00C01A94" w:rsidRPr="00C903F8" w:rsidRDefault="00C01A94" w:rsidP="00A8005B">
            <w:pPr>
              <w:spacing w:before="100" w:after="80" w:line="240" w:lineRule="atLeast"/>
              <w:ind w:left="0" w:firstLine="0"/>
              <w:rPr>
                <w:rFonts w:cs="Arial"/>
                <w:sz w:val="18"/>
                <w:szCs w:val="18"/>
              </w:rPr>
            </w:pPr>
          </w:p>
        </w:tc>
        <w:tc>
          <w:tcPr>
            <w:tcW w:w="1458" w:type="dxa"/>
            <w:shd w:val="clear" w:color="auto" w:fill="auto"/>
          </w:tcPr>
          <w:p w:rsidR="00C01A94" w:rsidRPr="00C903F8" w:rsidRDefault="00C01A94" w:rsidP="00A8005B">
            <w:pPr>
              <w:spacing w:before="100" w:after="80" w:line="240" w:lineRule="atLeast"/>
              <w:ind w:left="0" w:firstLine="0"/>
              <w:rPr>
                <w:rFonts w:cs="Arial"/>
                <w:sz w:val="18"/>
                <w:szCs w:val="18"/>
              </w:rPr>
            </w:pPr>
            <w:r>
              <w:rPr>
                <w:sz w:val="18"/>
              </w:rPr>
              <w:t>paragrafo 7</w:t>
            </w:r>
          </w:p>
        </w:tc>
        <w:tc>
          <w:tcPr>
            <w:tcW w:w="3296" w:type="dxa"/>
            <w:shd w:val="clear" w:color="auto" w:fill="auto"/>
          </w:tcPr>
          <w:p w:rsidR="00C01A94" w:rsidRPr="00A54EF9" w:rsidRDefault="00C01A94" w:rsidP="00A8005B">
            <w:pPr>
              <w:spacing w:before="100" w:after="80" w:line="240" w:lineRule="atLeast"/>
              <w:ind w:left="0" w:firstLine="0"/>
              <w:rPr>
                <w:rFonts w:cs="Arial"/>
                <w:sz w:val="18"/>
                <w:szCs w:val="18"/>
              </w:rPr>
            </w:pPr>
            <w:r>
              <w:rPr>
                <w:sz w:val="18"/>
              </w:rPr>
              <w:t>Risposta in caso di guasto delle tensioni di comando</w:t>
            </w:r>
          </w:p>
        </w:tc>
        <w:tc>
          <w:tcPr>
            <w:tcW w:w="6521" w:type="dxa"/>
            <w:shd w:val="clear" w:color="auto" w:fill="auto"/>
          </w:tcPr>
          <w:p w:rsidR="00C01A94" w:rsidRDefault="0012395A" w:rsidP="00A8005B">
            <w:pPr>
              <w:spacing w:before="100" w:after="8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5B1BE0">
            <w:pPr>
              <w:spacing w:before="100" w:after="80" w:line="240" w:lineRule="atLeast"/>
              <w:ind w:left="0" w:firstLine="0"/>
              <w:jc w:val="center"/>
              <w:rPr>
                <w:rFonts w:cs="Arial"/>
                <w:sz w:val="18"/>
                <w:szCs w:val="18"/>
              </w:rPr>
            </w:pPr>
          </w:p>
        </w:tc>
      </w:tr>
      <w:tr w:rsidR="00C01A94" w:rsidRPr="00C903F8" w:rsidTr="001964F8">
        <w:trPr>
          <w:cantSplit/>
          <w:jc w:val="center"/>
        </w:trPr>
        <w:tc>
          <w:tcPr>
            <w:tcW w:w="1342" w:type="dxa"/>
            <w:vMerge/>
            <w:shd w:val="clear" w:color="auto" w:fill="auto"/>
          </w:tcPr>
          <w:p w:rsidR="00C01A94" w:rsidRPr="00C903F8" w:rsidRDefault="00C01A94" w:rsidP="00A8005B">
            <w:pPr>
              <w:spacing w:before="100" w:after="80" w:line="240" w:lineRule="atLeast"/>
              <w:ind w:left="0" w:firstLine="0"/>
              <w:rPr>
                <w:rFonts w:cs="Arial"/>
                <w:sz w:val="18"/>
                <w:szCs w:val="18"/>
              </w:rPr>
            </w:pPr>
          </w:p>
        </w:tc>
        <w:tc>
          <w:tcPr>
            <w:tcW w:w="1458" w:type="dxa"/>
            <w:shd w:val="clear" w:color="auto" w:fill="auto"/>
          </w:tcPr>
          <w:p w:rsidR="00C01A94" w:rsidRPr="00C903F8" w:rsidRDefault="00C01A94" w:rsidP="00A8005B">
            <w:pPr>
              <w:spacing w:before="100" w:after="80" w:line="240" w:lineRule="atLeast"/>
              <w:ind w:left="0" w:firstLine="0"/>
              <w:rPr>
                <w:rFonts w:cs="Arial"/>
                <w:sz w:val="18"/>
                <w:szCs w:val="18"/>
              </w:rPr>
            </w:pPr>
            <w:r>
              <w:rPr>
                <w:sz w:val="18"/>
              </w:rPr>
              <w:t>paragrafo 8</w:t>
            </w:r>
          </w:p>
        </w:tc>
        <w:tc>
          <w:tcPr>
            <w:tcW w:w="3296" w:type="dxa"/>
            <w:shd w:val="clear" w:color="auto" w:fill="auto"/>
          </w:tcPr>
          <w:p w:rsidR="00C01A94" w:rsidRPr="00A54EF9" w:rsidRDefault="00C01A94" w:rsidP="00A8005B">
            <w:pPr>
              <w:spacing w:before="100" w:after="80" w:line="240" w:lineRule="atLeast"/>
              <w:ind w:left="0" w:firstLine="0"/>
              <w:rPr>
                <w:rFonts w:cs="Arial"/>
                <w:sz w:val="18"/>
                <w:szCs w:val="18"/>
              </w:rPr>
            </w:pPr>
            <w:r>
              <w:rPr>
                <w:sz w:val="18"/>
              </w:rPr>
              <w:t>Rilevamento di errori e prevenzione di errori non rilevati</w:t>
            </w:r>
          </w:p>
        </w:tc>
        <w:tc>
          <w:tcPr>
            <w:tcW w:w="6521" w:type="dxa"/>
            <w:shd w:val="clear" w:color="auto" w:fill="auto"/>
          </w:tcPr>
          <w:p w:rsidR="00C01A94" w:rsidRDefault="0012395A" w:rsidP="00A8005B">
            <w:pPr>
              <w:spacing w:before="100" w:after="8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5B1BE0">
            <w:pPr>
              <w:spacing w:before="100" w:after="80" w:line="240" w:lineRule="atLeast"/>
              <w:ind w:left="0" w:firstLine="0"/>
              <w:jc w:val="center"/>
              <w:rPr>
                <w:rFonts w:cs="Arial"/>
                <w:sz w:val="18"/>
                <w:szCs w:val="18"/>
              </w:rPr>
            </w:pPr>
          </w:p>
        </w:tc>
      </w:tr>
      <w:tr w:rsidR="00C01A94" w:rsidRPr="00C903F8" w:rsidTr="001964F8">
        <w:trPr>
          <w:cantSplit/>
          <w:jc w:val="center"/>
        </w:trPr>
        <w:tc>
          <w:tcPr>
            <w:tcW w:w="1342" w:type="dxa"/>
            <w:vMerge/>
            <w:shd w:val="clear" w:color="auto" w:fill="auto"/>
          </w:tcPr>
          <w:p w:rsidR="00C01A94" w:rsidRPr="00C903F8" w:rsidRDefault="00C01A94" w:rsidP="00A8005B">
            <w:pPr>
              <w:spacing w:before="100" w:after="80" w:line="240" w:lineRule="atLeast"/>
              <w:ind w:left="0" w:firstLine="0"/>
              <w:rPr>
                <w:rFonts w:cs="Arial"/>
                <w:sz w:val="18"/>
                <w:szCs w:val="18"/>
              </w:rPr>
            </w:pPr>
          </w:p>
        </w:tc>
        <w:tc>
          <w:tcPr>
            <w:tcW w:w="1458" w:type="dxa"/>
            <w:shd w:val="clear" w:color="auto" w:fill="auto"/>
          </w:tcPr>
          <w:p w:rsidR="00C01A94" w:rsidRPr="00C903F8" w:rsidRDefault="00C01A94" w:rsidP="00A8005B">
            <w:pPr>
              <w:spacing w:before="100" w:after="80" w:line="240" w:lineRule="atLeast"/>
              <w:ind w:left="0" w:firstLine="0"/>
              <w:rPr>
                <w:rFonts w:cs="Arial"/>
                <w:sz w:val="18"/>
                <w:szCs w:val="18"/>
              </w:rPr>
            </w:pPr>
            <w:r>
              <w:rPr>
                <w:sz w:val="18"/>
              </w:rPr>
              <w:t>paragrafo 9</w:t>
            </w:r>
          </w:p>
        </w:tc>
        <w:tc>
          <w:tcPr>
            <w:tcW w:w="3296" w:type="dxa"/>
            <w:shd w:val="clear" w:color="auto" w:fill="auto"/>
          </w:tcPr>
          <w:p w:rsidR="00C01A94" w:rsidRPr="00A54EF9" w:rsidRDefault="00C01A94" w:rsidP="00A8005B">
            <w:pPr>
              <w:spacing w:before="100" w:after="80" w:line="240" w:lineRule="atLeast"/>
              <w:ind w:left="0" w:firstLine="0"/>
              <w:rPr>
                <w:rFonts w:cs="Arial"/>
                <w:sz w:val="18"/>
                <w:szCs w:val="18"/>
              </w:rPr>
            </w:pPr>
            <w:r>
              <w:rPr>
                <w:sz w:val="18"/>
              </w:rPr>
              <w:t>Controllo</w:t>
            </w:r>
          </w:p>
        </w:tc>
        <w:tc>
          <w:tcPr>
            <w:tcW w:w="6521" w:type="dxa"/>
            <w:shd w:val="clear" w:color="auto" w:fill="auto"/>
          </w:tcPr>
          <w:p w:rsidR="00C01A94" w:rsidRDefault="0012395A" w:rsidP="00A8005B">
            <w:pPr>
              <w:spacing w:before="100" w:after="8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A8005B">
            <w:pPr>
              <w:spacing w:before="100" w:after="80" w:line="240" w:lineRule="atLeast"/>
              <w:ind w:left="0" w:firstLine="0"/>
              <w:jc w:val="center"/>
              <w:rPr>
                <w:rFonts w:cs="Arial"/>
                <w:sz w:val="18"/>
                <w:szCs w:val="18"/>
              </w:rPr>
            </w:pPr>
          </w:p>
        </w:tc>
      </w:tr>
      <w:tr w:rsidR="00C01A94" w:rsidRPr="00C903F8" w:rsidTr="001964F8">
        <w:trPr>
          <w:cantSplit/>
          <w:jc w:val="center"/>
        </w:trPr>
        <w:tc>
          <w:tcPr>
            <w:tcW w:w="1342" w:type="dxa"/>
            <w:vMerge/>
            <w:shd w:val="clear" w:color="auto" w:fill="auto"/>
          </w:tcPr>
          <w:p w:rsidR="00C01A94" w:rsidRPr="00C903F8" w:rsidRDefault="00C01A94" w:rsidP="005B1BE0">
            <w:pPr>
              <w:spacing w:before="140" w:after="120" w:line="240" w:lineRule="atLeast"/>
              <w:ind w:left="0" w:firstLine="0"/>
              <w:rPr>
                <w:rFonts w:cs="Arial"/>
                <w:sz w:val="18"/>
                <w:szCs w:val="18"/>
              </w:rPr>
            </w:pPr>
          </w:p>
        </w:tc>
        <w:tc>
          <w:tcPr>
            <w:tcW w:w="1458" w:type="dxa"/>
            <w:shd w:val="clear" w:color="auto" w:fill="auto"/>
          </w:tcPr>
          <w:p w:rsidR="00C01A94" w:rsidRPr="00C903F8" w:rsidRDefault="00C01A94" w:rsidP="005B1BE0">
            <w:pPr>
              <w:spacing w:before="140" w:after="120" w:line="240" w:lineRule="atLeast"/>
              <w:ind w:left="0" w:firstLine="0"/>
              <w:rPr>
                <w:rFonts w:cs="Arial"/>
                <w:sz w:val="18"/>
                <w:szCs w:val="18"/>
              </w:rPr>
            </w:pPr>
            <w:r>
              <w:rPr>
                <w:sz w:val="18"/>
              </w:rPr>
              <w:t>paragrafo 10</w:t>
            </w:r>
          </w:p>
        </w:tc>
        <w:tc>
          <w:tcPr>
            <w:tcW w:w="3296" w:type="dxa"/>
            <w:shd w:val="clear" w:color="auto" w:fill="auto"/>
          </w:tcPr>
          <w:p w:rsidR="00C01A94" w:rsidRPr="00A54EF9" w:rsidRDefault="00C01A94" w:rsidP="005B1BE0">
            <w:pPr>
              <w:spacing w:before="140" w:after="120" w:line="240" w:lineRule="atLeast"/>
              <w:ind w:left="0" w:firstLine="0"/>
              <w:rPr>
                <w:rFonts w:cs="Arial"/>
                <w:sz w:val="18"/>
                <w:szCs w:val="18"/>
              </w:rPr>
            </w:pPr>
            <w:r>
              <w:rPr>
                <w:sz w:val="18"/>
              </w:rPr>
              <w:t>Esame del tipo</w:t>
            </w:r>
          </w:p>
        </w:tc>
        <w:tc>
          <w:tcPr>
            <w:tcW w:w="6521" w:type="dxa"/>
            <w:shd w:val="clear" w:color="auto" w:fill="auto"/>
          </w:tcPr>
          <w:p w:rsidR="00C01A94" w:rsidRDefault="0012395A" w:rsidP="005B1BE0">
            <w:pPr>
              <w:spacing w:before="140" w:after="120" w:line="240" w:lineRule="atLeast"/>
              <w:ind w:left="0" w:firstLine="0"/>
              <w:rPr>
                <w:rFonts w:cs="Arial"/>
                <w:sz w:val="18"/>
                <w:szCs w:val="18"/>
              </w:rPr>
            </w:pPr>
            <w:r>
              <w:rPr>
                <w:sz w:val="18"/>
              </w:rPr>
              <w:t>N.S.T</w:t>
            </w:r>
          </w:p>
        </w:tc>
        <w:tc>
          <w:tcPr>
            <w:tcW w:w="1276" w:type="dxa"/>
            <w:shd w:val="clear" w:color="auto" w:fill="auto"/>
          </w:tcPr>
          <w:p w:rsidR="00C01A94" w:rsidRPr="00C903F8" w:rsidRDefault="00C01A94" w:rsidP="005B1BE0">
            <w:pPr>
              <w:spacing w:before="140" w:after="120" w:line="240" w:lineRule="atLeast"/>
              <w:ind w:left="0" w:firstLine="0"/>
              <w:jc w:val="center"/>
              <w:rPr>
                <w:rFonts w:cs="Arial"/>
                <w:sz w:val="18"/>
                <w:szCs w:val="18"/>
              </w:rPr>
            </w:pPr>
          </w:p>
        </w:tc>
      </w:tr>
      <w:tr w:rsidR="00C01A94" w:rsidRPr="00C903F8" w:rsidTr="001964F8">
        <w:trPr>
          <w:cantSplit/>
          <w:jc w:val="center"/>
        </w:trPr>
        <w:tc>
          <w:tcPr>
            <w:tcW w:w="1342" w:type="dxa"/>
            <w:shd w:val="clear" w:color="auto" w:fill="auto"/>
          </w:tcPr>
          <w:p w:rsidR="00C01A94" w:rsidRPr="004B4203" w:rsidRDefault="00C01A94" w:rsidP="00A8005B">
            <w:pPr>
              <w:spacing w:before="100" w:after="100" w:line="240" w:lineRule="atLeast"/>
              <w:rPr>
                <w:rFonts w:cs="Arial"/>
                <w:sz w:val="18"/>
                <w:szCs w:val="18"/>
              </w:rPr>
            </w:pPr>
            <w:r>
              <w:rPr>
                <w:sz w:val="18"/>
              </w:rPr>
              <w:t>10.19</w:t>
            </w:r>
          </w:p>
        </w:tc>
        <w:tc>
          <w:tcPr>
            <w:tcW w:w="1458" w:type="dxa"/>
            <w:shd w:val="clear" w:color="auto" w:fill="auto"/>
          </w:tcPr>
          <w:p w:rsidR="00C01A94" w:rsidRPr="00852DB3" w:rsidRDefault="00C01A94" w:rsidP="00A8005B">
            <w:pPr>
              <w:spacing w:before="100" w:after="100" w:line="240" w:lineRule="atLeast"/>
              <w:rPr>
                <w:rFonts w:cs="Arial"/>
                <w:sz w:val="18"/>
                <w:szCs w:val="18"/>
              </w:rPr>
            </w:pPr>
          </w:p>
        </w:tc>
        <w:tc>
          <w:tcPr>
            <w:tcW w:w="3296" w:type="dxa"/>
            <w:shd w:val="clear" w:color="auto" w:fill="auto"/>
          </w:tcPr>
          <w:p w:rsidR="00C01A94" w:rsidRPr="001717EA" w:rsidRDefault="00C01A94" w:rsidP="00A8005B">
            <w:pPr>
              <w:spacing w:before="100" w:after="100" w:line="240" w:lineRule="atLeast"/>
              <w:ind w:left="0" w:firstLine="0"/>
              <w:rPr>
                <w:rFonts w:cs="Arial"/>
                <w:sz w:val="18"/>
                <w:szCs w:val="18"/>
              </w:rPr>
            </w:pPr>
            <w:r>
              <w:rPr>
                <w:sz w:val="18"/>
              </w:rPr>
              <w:t xml:space="preserve">Sistemi d'allarme e di sicurezza per gli impianti meccanici </w:t>
            </w:r>
          </w:p>
        </w:tc>
        <w:tc>
          <w:tcPr>
            <w:tcW w:w="6521" w:type="dxa"/>
            <w:shd w:val="clear" w:color="auto" w:fill="auto"/>
          </w:tcPr>
          <w:p w:rsidR="00C01A94" w:rsidRPr="00852DB3" w:rsidRDefault="00C01A94" w:rsidP="00A8005B">
            <w:pPr>
              <w:spacing w:before="100" w:after="10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A8005B">
            <w:pPr>
              <w:spacing w:before="100" w:after="100" w:line="240" w:lineRule="atLeast"/>
              <w:jc w:val="center"/>
              <w:rPr>
                <w:rFonts w:cs="Arial"/>
                <w:sz w:val="18"/>
                <w:szCs w:val="18"/>
              </w:rPr>
            </w:pPr>
            <w:r>
              <w:rPr>
                <w:sz w:val="18"/>
              </w:rPr>
              <w:t>1.1.2015</w:t>
            </w:r>
          </w:p>
        </w:tc>
      </w:tr>
      <w:tr w:rsidR="00C01A94" w:rsidRPr="00C903F8" w:rsidTr="001964F8">
        <w:trPr>
          <w:cantSplit/>
          <w:jc w:val="center"/>
        </w:trPr>
        <w:tc>
          <w:tcPr>
            <w:tcW w:w="1342" w:type="dxa"/>
            <w:shd w:val="clear" w:color="auto" w:fill="auto"/>
          </w:tcPr>
          <w:p w:rsidR="00C01A94" w:rsidRPr="004B4203" w:rsidRDefault="00C01A94" w:rsidP="00A8005B">
            <w:pPr>
              <w:spacing w:before="100" w:after="100" w:line="240" w:lineRule="atLeast"/>
              <w:rPr>
                <w:rFonts w:cs="Arial"/>
                <w:sz w:val="18"/>
                <w:szCs w:val="18"/>
              </w:rPr>
            </w:pPr>
            <w:r>
              <w:rPr>
                <w:sz w:val="18"/>
              </w:rPr>
              <w:t>10.20</w:t>
            </w:r>
          </w:p>
        </w:tc>
        <w:tc>
          <w:tcPr>
            <w:tcW w:w="1458" w:type="dxa"/>
            <w:shd w:val="clear" w:color="auto" w:fill="auto"/>
          </w:tcPr>
          <w:p w:rsidR="00C01A94" w:rsidRPr="00852DB3" w:rsidRDefault="00C01A94" w:rsidP="00A8005B">
            <w:pPr>
              <w:spacing w:before="100" w:after="100" w:line="240" w:lineRule="atLeast"/>
              <w:rPr>
                <w:rFonts w:cs="Arial"/>
                <w:sz w:val="18"/>
                <w:szCs w:val="18"/>
              </w:rPr>
            </w:pPr>
          </w:p>
        </w:tc>
        <w:tc>
          <w:tcPr>
            <w:tcW w:w="3296" w:type="dxa"/>
            <w:shd w:val="clear" w:color="auto" w:fill="auto"/>
          </w:tcPr>
          <w:p w:rsidR="00C01A94" w:rsidRPr="001717EA" w:rsidRDefault="00C01A94" w:rsidP="00A8005B">
            <w:pPr>
              <w:spacing w:before="100" w:after="100" w:line="240" w:lineRule="atLeast"/>
              <w:ind w:left="0" w:firstLine="0"/>
              <w:rPr>
                <w:rFonts w:cs="Arial"/>
                <w:sz w:val="18"/>
                <w:szCs w:val="18"/>
              </w:rPr>
            </w:pPr>
            <w:r>
              <w:rPr>
                <w:sz w:val="18"/>
              </w:rPr>
              <w:t>Condizioni delle prove per gli impianti elettronici</w:t>
            </w:r>
          </w:p>
        </w:tc>
        <w:tc>
          <w:tcPr>
            <w:tcW w:w="6521" w:type="dxa"/>
            <w:shd w:val="clear" w:color="auto" w:fill="auto"/>
          </w:tcPr>
          <w:p w:rsidR="00C01A94" w:rsidRPr="00852DB3" w:rsidRDefault="00C01A94" w:rsidP="00A8005B">
            <w:pPr>
              <w:spacing w:before="100" w:after="100" w:line="240" w:lineRule="atLeast"/>
              <w:rPr>
                <w:rFonts w:cs="Arial"/>
                <w:sz w:val="18"/>
                <w:szCs w:val="18"/>
              </w:rPr>
            </w:pPr>
            <w:r>
              <w:rPr>
                <w:sz w:val="18"/>
              </w:rPr>
              <w:t xml:space="preserve">N.S.T., al più tardi alla data del rinnovo del certificato per la navigazione interna posteriormente al </w:t>
            </w:r>
          </w:p>
        </w:tc>
        <w:tc>
          <w:tcPr>
            <w:tcW w:w="1276" w:type="dxa"/>
            <w:shd w:val="clear" w:color="auto" w:fill="auto"/>
          </w:tcPr>
          <w:p w:rsidR="00C01A94" w:rsidRPr="00852DB3" w:rsidRDefault="00C01A94" w:rsidP="00A8005B">
            <w:pPr>
              <w:spacing w:before="100" w:after="100" w:line="240" w:lineRule="atLeast"/>
              <w:jc w:val="center"/>
              <w:rPr>
                <w:rFonts w:cs="Arial"/>
                <w:sz w:val="18"/>
                <w:szCs w:val="18"/>
              </w:rPr>
            </w:pPr>
            <w:r>
              <w:rPr>
                <w:sz w:val="18"/>
              </w:rPr>
              <w:t>1.1.2035</w:t>
            </w:r>
          </w:p>
        </w:tc>
      </w:tr>
      <w:tr w:rsidR="00C01A94" w:rsidRPr="00C903F8" w:rsidTr="001964F8">
        <w:trPr>
          <w:cantSplit/>
          <w:jc w:val="center"/>
        </w:trPr>
        <w:tc>
          <w:tcPr>
            <w:tcW w:w="1342" w:type="dxa"/>
            <w:shd w:val="clear" w:color="auto" w:fill="auto"/>
          </w:tcPr>
          <w:p w:rsidR="00C01A94" w:rsidRPr="004B4203" w:rsidRDefault="00C01A94" w:rsidP="00A8005B">
            <w:pPr>
              <w:spacing w:before="100" w:after="100" w:line="240" w:lineRule="atLeast"/>
              <w:rPr>
                <w:rFonts w:cs="Arial"/>
                <w:sz w:val="18"/>
                <w:szCs w:val="18"/>
              </w:rPr>
            </w:pPr>
            <w:r>
              <w:rPr>
                <w:sz w:val="18"/>
              </w:rPr>
              <w:t>10.21</w:t>
            </w:r>
          </w:p>
        </w:tc>
        <w:tc>
          <w:tcPr>
            <w:tcW w:w="1458" w:type="dxa"/>
            <w:shd w:val="clear" w:color="auto" w:fill="auto"/>
          </w:tcPr>
          <w:p w:rsidR="00C01A94" w:rsidRPr="00852DB3" w:rsidRDefault="00C01A94" w:rsidP="00A8005B">
            <w:pPr>
              <w:spacing w:before="100" w:after="100" w:line="240" w:lineRule="atLeast"/>
              <w:rPr>
                <w:rFonts w:cs="Arial"/>
                <w:sz w:val="18"/>
                <w:szCs w:val="18"/>
              </w:rPr>
            </w:pPr>
          </w:p>
        </w:tc>
        <w:tc>
          <w:tcPr>
            <w:tcW w:w="3296" w:type="dxa"/>
            <w:shd w:val="clear" w:color="auto" w:fill="auto"/>
          </w:tcPr>
          <w:p w:rsidR="00C01A94" w:rsidRPr="00A54EF9" w:rsidRDefault="00C01A94" w:rsidP="00A8005B">
            <w:pPr>
              <w:spacing w:before="100" w:after="100" w:line="240" w:lineRule="atLeast"/>
              <w:ind w:left="0" w:firstLine="0"/>
              <w:rPr>
                <w:rFonts w:cs="Arial"/>
                <w:sz w:val="18"/>
                <w:szCs w:val="18"/>
              </w:rPr>
            </w:pPr>
            <w:r>
              <w:rPr>
                <w:sz w:val="18"/>
              </w:rPr>
              <w:t>Compatibilità elettromagnetica</w:t>
            </w:r>
          </w:p>
        </w:tc>
        <w:tc>
          <w:tcPr>
            <w:tcW w:w="6521" w:type="dxa"/>
            <w:shd w:val="clear" w:color="auto" w:fill="auto"/>
          </w:tcPr>
          <w:p w:rsidR="00C01A94" w:rsidRPr="00852DB3" w:rsidRDefault="00C01A94" w:rsidP="00A8005B">
            <w:pPr>
              <w:spacing w:before="100" w:after="100" w:line="240" w:lineRule="atLeast"/>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852DB3" w:rsidRDefault="00C01A94" w:rsidP="00A8005B">
            <w:pPr>
              <w:spacing w:before="100" w:after="100" w:line="240" w:lineRule="atLeast"/>
              <w:jc w:val="center"/>
              <w:rPr>
                <w:rFonts w:cs="Arial"/>
                <w:sz w:val="18"/>
                <w:szCs w:val="18"/>
              </w:rPr>
            </w:pPr>
            <w:r>
              <w:rPr>
                <w:sz w:val="18"/>
              </w:rPr>
              <w:t>1.1.2035</w:t>
            </w:r>
          </w:p>
        </w:tc>
      </w:tr>
      <w:tr w:rsidR="00C01A94" w:rsidRPr="00C903F8" w:rsidTr="001964F8">
        <w:trPr>
          <w:cantSplit/>
          <w:jc w:val="center"/>
        </w:trPr>
        <w:tc>
          <w:tcPr>
            <w:tcW w:w="6096" w:type="dxa"/>
            <w:gridSpan w:val="3"/>
            <w:shd w:val="clear" w:color="auto" w:fill="auto"/>
          </w:tcPr>
          <w:p w:rsidR="00C01A94" w:rsidRPr="00C903F8" w:rsidRDefault="00C01A94" w:rsidP="00A8005B">
            <w:pPr>
              <w:spacing w:before="100" w:after="100" w:line="240" w:lineRule="atLeast"/>
              <w:ind w:left="0" w:firstLine="0"/>
              <w:jc w:val="center"/>
              <w:rPr>
                <w:rFonts w:cs="Arial"/>
                <w:sz w:val="18"/>
                <w:szCs w:val="18"/>
              </w:rPr>
            </w:pPr>
            <w:r>
              <w:rPr>
                <w:b/>
                <w:sz w:val="18"/>
              </w:rPr>
              <w:t>CAPO 13</w:t>
            </w:r>
          </w:p>
        </w:tc>
        <w:tc>
          <w:tcPr>
            <w:tcW w:w="6521" w:type="dxa"/>
            <w:shd w:val="clear" w:color="auto" w:fill="auto"/>
          </w:tcPr>
          <w:p w:rsidR="00C01A94" w:rsidRPr="00C903F8" w:rsidRDefault="00C01A94" w:rsidP="00A8005B">
            <w:pPr>
              <w:spacing w:before="100" w:after="100" w:line="240" w:lineRule="atLeast"/>
              <w:ind w:left="0" w:firstLine="0"/>
              <w:rPr>
                <w:rFonts w:cs="Arial"/>
                <w:sz w:val="18"/>
                <w:szCs w:val="18"/>
              </w:rPr>
            </w:pPr>
          </w:p>
        </w:tc>
        <w:tc>
          <w:tcPr>
            <w:tcW w:w="1276" w:type="dxa"/>
            <w:shd w:val="clear" w:color="auto" w:fill="auto"/>
          </w:tcPr>
          <w:p w:rsidR="00C01A94" w:rsidRPr="00C903F8" w:rsidRDefault="00C01A94" w:rsidP="00A8005B">
            <w:pPr>
              <w:spacing w:before="100" w:after="100" w:line="240" w:lineRule="atLeast"/>
              <w:ind w:left="0" w:firstLine="0"/>
              <w:rPr>
                <w:rFonts w:cs="Arial"/>
                <w:sz w:val="18"/>
                <w:szCs w:val="18"/>
              </w:rPr>
            </w:pPr>
          </w:p>
        </w:tc>
      </w:tr>
      <w:tr w:rsidR="00C01A94" w:rsidRPr="00C903F8" w:rsidTr="001964F8">
        <w:trPr>
          <w:cantSplit/>
          <w:jc w:val="center"/>
        </w:trPr>
        <w:tc>
          <w:tcPr>
            <w:tcW w:w="1342" w:type="dxa"/>
            <w:tcBorders>
              <w:bottom w:val="single" w:sz="4" w:space="0" w:color="auto"/>
            </w:tcBorders>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13.01</w:t>
            </w:r>
          </w:p>
        </w:tc>
        <w:tc>
          <w:tcPr>
            <w:tcW w:w="1458" w:type="dxa"/>
            <w:tcBorders>
              <w:bottom w:val="single" w:sz="4" w:space="0" w:color="auto"/>
            </w:tcBorders>
            <w:shd w:val="clear" w:color="auto" w:fill="auto"/>
          </w:tcPr>
          <w:p w:rsidR="00C01A94" w:rsidRPr="00C903F8" w:rsidRDefault="00C01A94" w:rsidP="00A8005B">
            <w:pPr>
              <w:spacing w:before="100" w:after="100" w:line="240" w:lineRule="atLeast"/>
              <w:ind w:left="0" w:firstLine="0"/>
              <w:rPr>
                <w:rFonts w:cs="Arial"/>
                <w:sz w:val="18"/>
                <w:szCs w:val="18"/>
              </w:rPr>
            </w:pPr>
          </w:p>
        </w:tc>
        <w:tc>
          <w:tcPr>
            <w:tcW w:w="3296" w:type="dxa"/>
            <w:tcBorders>
              <w:bottom w:val="single" w:sz="4" w:space="0" w:color="auto"/>
            </w:tcBorders>
            <w:shd w:val="clear" w:color="auto" w:fill="auto"/>
          </w:tcPr>
          <w:p w:rsidR="00C01A94" w:rsidRPr="00C903F8" w:rsidRDefault="00C01A94" w:rsidP="00A8005B">
            <w:pPr>
              <w:spacing w:before="100" w:after="100" w:line="240" w:lineRule="atLeast"/>
              <w:ind w:left="0" w:firstLine="0"/>
              <w:rPr>
                <w:rFonts w:cs="Arial"/>
                <w:sz w:val="18"/>
                <w:szCs w:val="18"/>
              </w:rPr>
            </w:pPr>
            <w:r>
              <w:rPr>
                <w:noProof/>
                <w:sz w:val="18"/>
              </w:rPr>
              <w:t>Dispositivi di ancoraggio</w:t>
            </w:r>
          </w:p>
        </w:tc>
        <w:tc>
          <w:tcPr>
            <w:tcW w:w="6521" w:type="dxa"/>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30.12.2024</w:t>
            </w:r>
          </w:p>
        </w:tc>
      </w:tr>
      <w:tr w:rsidR="00C01A94" w:rsidRPr="00C903F8" w:rsidTr="00F14E8B">
        <w:trPr>
          <w:cantSplit/>
          <w:jc w:val="center"/>
        </w:trPr>
        <w:tc>
          <w:tcPr>
            <w:tcW w:w="1342" w:type="dxa"/>
            <w:tcBorders>
              <w:bottom w:val="nil"/>
            </w:tcBorders>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13.02</w:t>
            </w:r>
          </w:p>
        </w:tc>
        <w:tc>
          <w:tcPr>
            <w:tcW w:w="1458" w:type="dxa"/>
            <w:vMerge w:val="restart"/>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paragrafo 3, lettera a)</w:t>
            </w:r>
          </w:p>
        </w:tc>
        <w:tc>
          <w:tcPr>
            <w:tcW w:w="3296" w:type="dxa"/>
            <w:vMerge w:val="restart"/>
            <w:shd w:val="clear" w:color="auto" w:fill="auto"/>
          </w:tcPr>
          <w:p w:rsidR="00C01A94" w:rsidRPr="00C903F8" w:rsidRDefault="00C01A94" w:rsidP="00A8005B">
            <w:pPr>
              <w:spacing w:before="100" w:after="100" w:line="240" w:lineRule="atLeast"/>
              <w:ind w:left="0" w:firstLine="0"/>
              <w:rPr>
                <w:rFonts w:cs="Arial"/>
                <w:sz w:val="18"/>
                <w:szCs w:val="18"/>
              </w:rPr>
            </w:pPr>
            <w:r>
              <w:rPr>
                <w:noProof/>
                <w:sz w:val="18"/>
              </w:rPr>
              <w:t>Certificato per cavi d'ormeggio e altri cavi</w:t>
            </w:r>
          </w:p>
        </w:tc>
        <w:tc>
          <w:tcPr>
            <w:tcW w:w="6521" w:type="dxa"/>
            <w:shd w:val="clear" w:color="auto" w:fill="auto"/>
          </w:tcPr>
          <w:p w:rsidR="00C01A94" w:rsidRPr="00C903F8" w:rsidRDefault="00C01A94" w:rsidP="00A8005B">
            <w:pPr>
              <w:spacing w:before="100" w:after="100" w:line="240" w:lineRule="atLeast"/>
              <w:ind w:left="0" w:firstLine="0"/>
              <w:rPr>
                <w:rFonts w:cs="Arial"/>
                <w:sz w:val="18"/>
                <w:szCs w:val="18"/>
              </w:rPr>
            </w:pPr>
            <w:r>
              <w:rPr>
                <w:noProof/>
                <w:sz w:val="18"/>
              </w:rPr>
              <w:t>Primo cavo da sostituire sulla nave: N.S.T. al più tardi posteriormente al</w:t>
            </w:r>
          </w:p>
        </w:tc>
        <w:tc>
          <w:tcPr>
            <w:tcW w:w="1276" w:type="dxa"/>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30.12.2024</w:t>
            </w:r>
          </w:p>
        </w:tc>
      </w:tr>
      <w:tr w:rsidR="00C01A94" w:rsidRPr="00C903F8" w:rsidTr="00F14E8B">
        <w:trPr>
          <w:cantSplit/>
          <w:jc w:val="center"/>
        </w:trPr>
        <w:tc>
          <w:tcPr>
            <w:tcW w:w="1342" w:type="dxa"/>
            <w:tcBorders>
              <w:top w:val="nil"/>
              <w:bottom w:val="single" w:sz="4" w:space="0" w:color="auto"/>
            </w:tcBorders>
            <w:shd w:val="clear" w:color="auto" w:fill="auto"/>
          </w:tcPr>
          <w:p w:rsidR="00C01A94" w:rsidRPr="00C903F8" w:rsidRDefault="00C01A94" w:rsidP="00A8005B">
            <w:pPr>
              <w:spacing w:before="100" w:after="100" w:line="240" w:lineRule="atLeast"/>
              <w:ind w:left="0" w:firstLine="0"/>
              <w:rPr>
                <w:rFonts w:cs="Arial"/>
                <w:sz w:val="18"/>
                <w:szCs w:val="18"/>
              </w:rPr>
            </w:pPr>
          </w:p>
        </w:tc>
        <w:tc>
          <w:tcPr>
            <w:tcW w:w="1458" w:type="dxa"/>
            <w:vMerge/>
            <w:shd w:val="clear" w:color="auto" w:fill="auto"/>
          </w:tcPr>
          <w:p w:rsidR="00C01A94" w:rsidRPr="00C903F8" w:rsidRDefault="00C01A94" w:rsidP="00A8005B">
            <w:pPr>
              <w:spacing w:before="100" w:after="100" w:line="240" w:lineRule="atLeast"/>
              <w:ind w:left="0" w:firstLine="0"/>
              <w:rPr>
                <w:rFonts w:cs="Arial"/>
                <w:sz w:val="18"/>
                <w:szCs w:val="18"/>
              </w:rPr>
            </w:pPr>
          </w:p>
        </w:tc>
        <w:tc>
          <w:tcPr>
            <w:tcW w:w="3296" w:type="dxa"/>
            <w:vMerge/>
            <w:shd w:val="clear" w:color="auto" w:fill="auto"/>
          </w:tcPr>
          <w:p w:rsidR="00C01A94" w:rsidRPr="00C903F8" w:rsidRDefault="00C01A94" w:rsidP="00A8005B">
            <w:pPr>
              <w:spacing w:before="100" w:after="100" w:line="240" w:lineRule="atLeast"/>
              <w:ind w:left="0" w:firstLine="0"/>
              <w:rPr>
                <w:rFonts w:cs="Arial"/>
                <w:sz w:val="18"/>
                <w:szCs w:val="18"/>
              </w:rPr>
            </w:pPr>
          </w:p>
        </w:tc>
        <w:tc>
          <w:tcPr>
            <w:tcW w:w="6521" w:type="dxa"/>
            <w:shd w:val="clear" w:color="auto" w:fill="auto"/>
          </w:tcPr>
          <w:p w:rsidR="00C01A94" w:rsidRPr="00C903F8" w:rsidRDefault="00C01A94" w:rsidP="00A8005B">
            <w:pPr>
              <w:spacing w:before="100" w:after="100" w:line="240" w:lineRule="atLeast"/>
              <w:ind w:left="0" w:firstLine="0"/>
              <w:rPr>
                <w:rFonts w:cs="Arial"/>
                <w:sz w:val="18"/>
                <w:szCs w:val="18"/>
              </w:rPr>
            </w:pPr>
            <w:r>
              <w:rPr>
                <w:noProof/>
                <w:sz w:val="18"/>
              </w:rPr>
              <w:t>Secondo e terzo cavo da sostituire sulla nave: N.S.T. al più tardi posteriormente al</w:t>
            </w:r>
          </w:p>
        </w:tc>
        <w:tc>
          <w:tcPr>
            <w:tcW w:w="1276" w:type="dxa"/>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30.12.2029</w:t>
            </w:r>
          </w:p>
        </w:tc>
      </w:tr>
      <w:tr w:rsidR="00C01A94" w:rsidRPr="00C903F8" w:rsidTr="001964F8">
        <w:trPr>
          <w:cantSplit/>
          <w:jc w:val="center"/>
        </w:trPr>
        <w:tc>
          <w:tcPr>
            <w:tcW w:w="1342" w:type="dxa"/>
            <w:tcBorders>
              <w:bottom w:val="nil"/>
            </w:tcBorders>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lastRenderedPageBreak/>
              <w:t>13.03</w:t>
            </w:r>
          </w:p>
        </w:tc>
        <w:tc>
          <w:tcPr>
            <w:tcW w:w="1458" w:type="dxa"/>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paragrafo 1</w:t>
            </w:r>
          </w:p>
        </w:tc>
        <w:tc>
          <w:tcPr>
            <w:tcW w:w="3296" w:type="dxa"/>
            <w:shd w:val="clear" w:color="auto" w:fill="auto"/>
          </w:tcPr>
          <w:p w:rsidR="00C01A94" w:rsidRPr="00C903F8" w:rsidRDefault="00C01A94" w:rsidP="00A8005B">
            <w:pPr>
              <w:spacing w:before="100" w:after="100" w:line="240" w:lineRule="atLeast"/>
              <w:ind w:left="0" w:firstLine="0"/>
              <w:rPr>
                <w:rFonts w:cs="Arial"/>
                <w:sz w:val="18"/>
                <w:szCs w:val="18"/>
              </w:rPr>
            </w:pPr>
            <w:r>
              <w:rPr>
                <w:noProof/>
                <w:sz w:val="18"/>
              </w:rPr>
              <w:t>Norma europea</w:t>
            </w:r>
          </w:p>
        </w:tc>
        <w:tc>
          <w:tcPr>
            <w:tcW w:w="6521" w:type="dxa"/>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30.12.2024</w:t>
            </w:r>
          </w:p>
        </w:tc>
      </w:tr>
      <w:tr w:rsidR="00C01A94" w:rsidRPr="00C903F8" w:rsidTr="001964F8">
        <w:trPr>
          <w:cantSplit/>
          <w:jc w:val="center"/>
        </w:trPr>
        <w:tc>
          <w:tcPr>
            <w:tcW w:w="1342" w:type="dxa"/>
            <w:tcBorders>
              <w:top w:val="nil"/>
              <w:bottom w:val="nil"/>
            </w:tcBorders>
            <w:shd w:val="clear" w:color="auto" w:fill="auto"/>
          </w:tcPr>
          <w:p w:rsidR="00C01A94" w:rsidRPr="00C903F8" w:rsidRDefault="00C01A94" w:rsidP="00A8005B">
            <w:pPr>
              <w:spacing w:before="100" w:after="100" w:line="240" w:lineRule="atLeast"/>
              <w:ind w:left="0" w:firstLine="0"/>
              <w:rPr>
                <w:rFonts w:cs="Arial"/>
                <w:sz w:val="18"/>
                <w:szCs w:val="18"/>
              </w:rPr>
            </w:pPr>
          </w:p>
        </w:tc>
        <w:tc>
          <w:tcPr>
            <w:tcW w:w="1458" w:type="dxa"/>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paragrafo 2</w:t>
            </w:r>
          </w:p>
        </w:tc>
        <w:tc>
          <w:tcPr>
            <w:tcW w:w="3296" w:type="dxa"/>
            <w:shd w:val="clear" w:color="auto" w:fill="auto"/>
          </w:tcPr>
          <w:p w:rsidR="00C01A94" w:rsidRPr="00C903F8" w:rsidRDefault="00C01A94" w:rsidP="00A8005B">
            <w:pPr>
              <w:spacing w:before="100" w:after="100" w:line="240" w:lineRule="atLeast"/>
              <w:ind w:left="0" w:firstLine="0"/>
              <w:rPr>
                <w:rFonts w:cs="Arial"/>
                <w:sz w:val="18"/>
                <w:szCs w:val="18"/>
              </w:rPr>
            </w:pPr>
            <w:r>
              <w:rPr>
                <w:noProof/>
                <w:sz w:val="18"/>
              </w:rPr>
              <w:t>Idoneità contro i fuochi delle classi A, B e C</w:t>
            </w:r>
          </w:p>
        </w:tc>
        <w:tc>
          <w:tcPr>
            <w:tcW w:w="6521" w:type="dxa"/>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30.12.2024</w:t>
            </w:r>
          </w:p>
        </w:tc>
      </w:tr>
      <w:tr w:rsidR="00C01A94" w:rsidRPr="00C903F8" w:rsidTr="001964F8">
        <w:trPr>
          <w:cantSplit/>
          <w:jc w:val="center"/>
        </w:trPr>
        <w:tc>
          <w:tcPr>
            <w:tcW w:w="1342" w:type="dxa"/>
            <w:tcBorders>
              <w:top w:val="nil"/>
            </w:tcBorders>
            <w:shd w:val="clear" w:color="auto" w:fill="auto"/>
          </w:tcPr>
          <w:p w:rsidR="00C01A94" w:rsidRPr="00C903F8" w:rsidRDefault="00C01A94" w:rsidP="00A8005B">
            <w:pPr>
              <w:spacing w:before="100" w:after="100" w:line="240" w:lineRule="atLeast"/>
              <w:ind w:left="0" w:firstLine="0"/>
              <w:rPr>
                <w:rFonts w:cs="Arial"/>
                <w:sz w:val="18"/>
                <w:szCs w:val="18"/>
              </w:rPr>
            </w:pPr>
          </w:p>
        </w:tc>
        <w:tc>
          <w:tcPr>
            <w:tcW w:w="1458" w:type="dxa"/>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paragrafo 4</w:t>
            </w:r>
          </w:p>
        </w:tc>
        <w:tc>
          <w:tcPr>
            <w:tcW w:w="3296" w:type="dxa"/>
            <w:shd w:val="clear" w:color="auto" w:fill="auto"/>
          </w:tcPr>
          <w:p w:rsidR="00C01A94" w:rsidRPr="00C903F8" w:rsidRDefault="00C01A94" w:rsidP="00A8005B">
            <w:pPr>
              <w:spacing w:before="100" w:after="100" w:line="240" w:lineRule="atLeast"/>
              <w:ind w:left="0" w:firstLine="0"/>
              <w:rPr>
                <w:rFonts w:cs="Arial"/>
                <w:sz w:val="18"/>
                <w:szCs w:val="18"/>
              </w:rPr>
            </w:pPr>
            <w:r>
              <w:rPr>
                <w:noProof/>
                <w:sz w:val="18"/>
              </w:rPr>
              <w:t>Rapporto fra contenuto di CO</w:t>
            </w:r>
            <w:r>
              <w:rPr>
                <w:noProof/>
                <w:sz w:val="18"/>
                <w:vertAlign w:val="subscript"/>
              </w:rPr>
              <w:t>2</w:t>
            </w:r>
            <w:r>
              <w:rPr>
                <w:noProof/>
                <w:sz w:val="18"/>
              </w:rPr>
              <w:t xml:space="preserve"> e dimensioni del locale</w:t>
            </w:r>
          </w:p>
        </w:tc>
        <w:tc>
          <w:tcPr>
            <w:tcW w:w="6521" w:type="dxa"/>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30.12.2024</w:t>
            </w:r>
          </w:p>
        </w:tc>
      </w:tr>
      <w:tr w:rsidR="00C01A94" w:rsidRPr="00C903F8" w:rsidTr="001964F8">
        <w:trPr>
          <w:cantSplit/>
          <w:jc w:val="center"/>
        </w:trPr>
        <w:tc>
          <w:tcPr>
            <w:tcW w:w="1342" w:type="dxa"/>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13.04</w:t>
            </w:r>
          </w:p>
        </w:tc>
        <w:tc>
          <w:tcPr>
            <w:tcW w:w="1458" w:type="dxa"/>
            <w:shd w:val="clear" w:color="auto" w:fill="auto"/>
          </w:tcPr>
          <w:p w:rsidR="00C01A94" w:rsidRPr="00C903F8" w:rsidRDefault="00C01A94" w:rsidP="00A8005B">
            <w:pPr>
              <w:spacing w:before="100" w:after="100" w:line="240" w:lineRule="atLeast"/>
              <w:ind w:left="0" w:firstLine="0"/>
              <w:rPr>
                <w:rFonts w:cs="Arial"/>
                <w:sz w:val="18"/>
                <w:szCs w:val="18"/>
              </w:rPr>
            </w:pPr>
          </w:p>
        </w:tc>
        <w:tc>
          <w:tcPr>
            <w:tcW w:w="3296" w:type="dxa"/>
            <w:shd w:val="clear" w:color="auto" w:fill="auto"/>
          </w:tcPr>
          <w:p w:rsidR="00C01A94" w:rsidRPr="00C903F8" w:rsidRDefault="00C01A94" w:rsidP="00A8005B">
            <w:pPr>
              <w:spacing w:before="100" w:after="100" w:line="240" w:lineRule="atLeast"/>
              <w:ind w:left="0" w:firstLine="0"/>
              <w:rPr>
                <w:rFonts w:cs="Arial"/>
                <w:sz w:val="18"/>
                <w:szCs w:val="18"/>
              </w:rPr>
            </w:pPr>
            <w:r>
              <w:rPr>
                <w:noProof/>
                <w:sz w:val="18"/>
              </w:rPr>
              <w:t>Sistemi antincendio fissi negli alloggi, nelle timonerie e nei locali per i passeggeri</w:t>
            </w:r>
          </w:p>
        </w:tc>
        <w:tc>
          <w:tcPr>
            <w:tcW w:w="6521" w:type="dxa"/>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30.12.2049</w:t>
            </w:r>
          </w:p>
        </w:tc>
      </w:tr>
      <w:tr w:rsidR="00C01A94" w:rsidRPr="00C903F8" w:rsidTr="001964F8">
        <w:trPr>
          <w:cantSplit/>
          <w:jc w:val="center"/>
        </w:trPr>
        <w:tc>
          <w:tcPr>
            <w:tcW w:w="1342" w:type="dxa"/>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13.05</w:t>
            </w:r>
          </w:p>
        </w:tc>
        <w:tc>
          <w:tcPr>
            <w:tcW w:w="1458" w:type="dxa"/>
            <w:shd w:val="clear" w:color="auto" w:fill="auto"/>
          </w:tcPr>
          <w:p w:rsidR="00C01A94" w:rsidRPr="00C903F8" w:rsidRDefault="00C01A94" w:rsidP="00A8005B">
            <w:pPr>
              <w:spacing w:before="100" w:after="100" w:line="240" w:lineRule="atLeast"/>
              <w:ind w:left="0" w:firstLine="0"/>
              <w:rPr>
                <w:rFonts w:cs="Arial"/>
                <w:sz w:val="18"/>
                <w:szCs w:val="18"/>
              </w:rPr>
            </w:pPr>
          </w:p>
        </w:tc>
        <w:tc>
          <w:tcPr>
            <w:tcW w:w="3296" w:type="dxa"/>
            <w:shd w:val="clear" w:color="auto" w:fill="auto"/>
          </w:tcPr>
          <w:p w:rsidR="00C01A94" w:rsidRPr="00C903F8" w:rsidRDefault="00C01A94" w:rsidP="00A8005B">
            <w:pPr>
              <w:spacing w:before="100" w:after="100" w:line="240" w:lineRule="atLeast"/>
              <w:ind w:left="0" w:firstLine="0"/>
              <w:rPr>
                <w:rFonts w:cs="Arial"/>
                <w:sz w:val="18"/>
                <w:szCs w:val="18"/>
              </w:rPr>
            </w:pPr>
            <w:r>
              <w:rPr>
                <w:noProof/>
                <w:sz w:val="18"/>
              </w:rPr>
              <w:t>Sistemi antincendio fissi nelle sale macchine, nei locali caldaie e nei locali pompe</w:t>
            </w:r>
          </w:p>
        </w:tc>
        <w:tc>
          <w:tcPr>
            <w:tcW w:w="6521" w:type="dxa"/>
            <w:shd w:val="clear" w:color="auto" w:fill="auto"/>
          </w:tcPr>
          <w:p w:rsidR="00C01A94" w:rsidRPr="00C903F8" w:rsidRDefault="00C01A94" w:rsidP="00A8005B">
            <w:pPr>
              <w:spacing w:before="100" w:after="100" w:line="240" w:lineRule="atLeast"/>
              <w:ind w:left="0" w:firstLine="0"/>
              <w:rPr>
                <w:rFonts w:cs="Arial"/>
                <w:sz w:val="18"/>
                <w:szCs w:val="18"/>
              </w:rPr>
            </w:pPr>
            <w:r>
              <w:rPr>
                <w:noProof/>
                <w:sz w:val="18"/>
              </w:rPr>
              <w:t>Gli impianti fissi di estinzione a CO</w:t>
            </w:r>
            <w:r>
              <w:rPr>
                <w:noProof/>
                <w:sz w:val="18"/>
                <w:vertAlign w:val="subscript"/>
              </w:rPr>
              <w:t>2</w:t>
            </w:r>
            <w:r>
              <w:rPr>
                <w:noProof/>
                <w:sz w:val="18"/>
              </w:rPr>
              <w:t xml:space="preserve"> installati prima del 1° ottobre 1985, se soddisfano i requisiti di cui all'articolo 16.03 della presente norma, possono rimanere in uso fino al rinnovo del certificato per la navigazione interna posteriormente al</w:t>
            </w:r>
          </w:p>
        </w:tc>
        <w:tc>
          <w:tcPr>
            <w:tcW w:w="1276" w:type="dxa"/>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30.12.2049</w:t>
            </w:r>
          </w:p>
        </w:tc>
      </w:tr>
      <w:tr w:rsidR="00C01A94" w:rsidRPr="00C903F8" w:rsidTr="001964F8">
        <w:trPr>
          <w:cantSplit/>
          <w:jc w:val="center"/>
        </w:trPr>
        <w:tc>
          <w:tcPr>
            <w:tcW w:w="1342" w:type="dxa"/>
            <w:tcBorders>
              <w:bottom w:val="single" w:sz="4" w:space="0" w:color="auto"/>
            </w:tcBorders>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13.07</w:t>
            </w:r>
          </w:p>
        </w:tc>
        <w:tc>
          <w:tcPr>
            <w:tcW w:w="1458" w:type="dxa"/>
            <w:tcBorders>
              <w:bottom w:val="single" w:sz="4" w:space="0" w:color="auto"/>
            </w:tcBorders>
            <w:shd w:val="clear" w:color="auto" w:fill="auto"/>
          </w:tcPr>
          <w:p w:rsidR="00C01A94" w:rsidRPr="00C903F8" w:rsidRDefault="00C01A94" w:rsidP="00A8005B">
            <w:pPr>
              <w:spacing w:before="100" w:after="100" w:line="240" w:lineRule="atLeast"/>
              <w:ind w:left="0" w:firstLine="0"/>
              <w:rPr>
                <w:rFonts w:cs="Arial"/>
                <w:sz w:val="18"/>
                <w:szCs w:val="18"/>
              </w:rPr>
            </w:pPr>
          </w:p>
        </w:tc>
        <w:tc>
          <w:tcPr>
            <w:tcW w:w="3296" w:type="dxa"/>
            <w:tcBorders>
              <w:bottom w:val="single" w:sz="4" w:space="0" w:color="auto"/>
            </w:tcBorders>
            <w:shd w:val="clear" w:color="auto" w:fill="auto"/>
          </w:tcPr>
          <w:p w:rsidR="00C01A94" w:rsidRPr="00C903F8" w:rsidRDefault="00C01A94" w:rsidP="00A8005B">
            <w:pPr>
              <w:spacing w:before="100" w:after="100" w:line="240" w:lineRule="atLeast"/>
              <w:ind w:left="0" w:firstLine="0"/>
              <w:rPr>
                <w:rFonts w:cs="Arial"/>
                <w:sz w:val="18"/>
                <w:szCs w:val="18"/>
              </w:rPr>
            </w:pPr>
            <w:r>
              <w:rPr>
                <w:noProof/>
                <w:sz w:val="18"/>
              </w:rPr>
              <w:t>Applicazione della norma europea alle lance</w:t>
            </w:r>
          </w:p>
        </w:tc>
        <w:tc>
          <w:tcPr>
            <w:tcW w:w="6521" w:type="dxa"/>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A8005B">
            <w:pPr>
              <w:spacing w:before="100" w:after="100" w:line="240" w:lineRule="atLeast"/>
              <w:ind w:left="0" w:firstLine="0"/>
              <w:rPr>
                <w:rFonts w:cs="Arial"/>
                <w:sz w:val="18"/>
                <w:szCs w:val="18"/>
              </w:rPr>
            </w:pPr>
            <w:r>
              <w:rPr>
                <w:sz w:val="18"/>
              </w:rPr>
              <w:t>30.12.2029</w:t>
            </w:r>
          </w:p>
        </w:tc>
      </w:tr>
      <w:tr w:rsidR="00C01A94" w:rsidRPr="00C903F8" w:rsidTr="00AB6D23">
        <w:trPr>
          <w:cantSplit/>
          <w:jc w:val="center"/>
        </w:trPr>
        <w:tc>
          <w:tcPr>
            <w:tcW w:w="1342" w:type="dxa"/>
            <w:tcBorders>
              <w:bottom w:val="nil"/>
            </w:tcBorders>
            <w:shd w:val="clear" w:color="auto" w:fill="auto"/>
          </w:tcPr>
          <w:p w:rsidR="00C01A94" w:rsidRPr="00C903F8" w:rsidRDefault="00C01A94" w:rsidP="00A8005B">
            <w:pPr>
              <w:spacing w:before="140" w:after="140" w:line="240" w:lineRule="atLeast"/>
              <w:ind w:left="0" w:firstLine="0"/>
              <w:rPr>
                <w:rFonts w:cs="Arial"/>
                <w:sz w:val="18"/>
                <w:szCs w:val="18"/>
              </w:rPr>
            </w:pPr>
            <w:r>
              <w:rPr>
                <w:sz w:val="18"/>
              </w:rPr>
              <w:t>13.08</w:t>
            </w:r>
          </w:p>
        </w:tc>
        <w:tc>
          <w:tcPr>
            <w:tcW w:w="1458" w:type="dxa"/>
            <w:vMerge w:val="restart"/>
            <w:shd w:val="clear" w:color="auto" w:fill="auto"/>
          </w:tcPr>
          <w:p w:rsidR="00C01A94" w:rsidRPr="00C903F8" w:rsidRDefault="00C01A94" w:rsidP="00A8005B">
            <w:pPr>
              <w:spacing w:before="140" w:after="140" w:line="240" w:lineRule="atLeast"/>
              <w:ind w:left="0" w:firstLine="0"/>
              <w:rPr>
                <w:rFonts w:cs="Arial"/>
                <w:sz w:val="18"/>
                <w:szCs w:val="18"/>
              </w:rPr>
            </w:pPr>
            <w:r>
              <w:rPr>
                <w:sz w:val="18"/>
              </w:rPr>
              <w:t>paragrafo 2</w:t>
            </w:r>
          </w:p>
        </w:tc>
        <w:tc>
          <w:tcPr>
            <w:tcW w:w="3296" w:type="dxa"/>
            <w:vMerge w:val="restart"/>
            <w:shd w:val="clear" w:color="auto" w:fill="auto"/>
          </w:tcPr>
          <w:p w:rsidR="00C01A94" w:rsidRPr="00C903F8" w:rsidRDefault="00C01A94" w:rsidP="00A8005B">
            <w:pPr>
              <w:spacing w:before="140" w:after="140" w:line="240" w:lineRule="atLeast"/>
              <w:ind w:left="0" w:firstLine="0"/>
              <w:rPr>
                <w:rFonts w:cs="Arial"/>
                <w:sz w:val="18"/>
                <w:szCs w:val="18"/>
              </w:rPr>
            </w:pPr>
            <w:r>
              <w:rPr>
                <w:noProof/>
                <w:sz w:val="18"/>
              </w:rPr>
              <w:t>Giubbotti di salvataggio gonfiabili</w:t>
            </w:r>
          </w:p>
        </w:tc>
        <w:tc>
          <w:tcPr>
            <w:tcW w:w="6521" w:type="dxa"/>
            <w:shd w:val="clear" w:color="auto" w:fill="auto"/>
          </w:tcPr>
          <w:p w:rsidR="00C01A94" w:rsidRPr="00C903F8" w:rsidRDefault="00C01A94" w:rsidP="00A8005B">
            <w:pPr>
              <w:spacing w:before="140" w:after="14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C01A94" w:rsidRPr="00C903F8" w:rsidRDefault="00C01A94" w:rsidP="00A8005B">
            <w:pPr>
              <w:spacing w:before="140" w:after="140" w:line="240" w:lineRule="atLeast"/>
              <w:ind w:left="0" w:firstLine="0"/>
              <w:rPr>
                <w:rFonts w:cs="Arial"/>
                <w:sz w:val="18"/>
                <w:szCs w:val="18"/>
              </w:rPr>
            </w:pPr>
            <w:r>
              <w:rPr>
                <w:sz w:val="18"/>
              </w:rPr>
              <w:t>30.12.2024</w:t>
            </w:r>
          </w:p>
        </w:tc>
      </w:tr>
      <w:tr w:rsidR="00C01A94" w:rsidRPr="00C903F8" w:rsidTr="00AB6D23">
        <w:trPr>
          <w:cantSplit/>
          <w:jc w:val="center"/>
        </w:trPr>
        <w:tc>
          <w:tcPr>
            <w:tcW w:w="1342" w:type="dxa"/>
            <w:tcBorders>
              <w:top w:val="nil"/>
            </w:tcBorders>
            <w:shd w:val="clear" w:color="auto" w:fill="auto"/>
          </w:tcPr>
          <w:p w:rsidR="00C01A94" w:rsidRPr="00C903F8" w:rsidRDefault="00C01A94" w:rsidP="00A8005B">
            <w:pPr>
              <w:spacing w:before="140" w:after="140" w:line="240" w:lineRule="atLeast"/>
              <w:ind w:left="0" w:firstLine="0"/>
              <w:rPr>
                <w:rFonts w:cs="Arial"/>
                <w:sz w:val="18"/>
                <w:szCs w:val="18"/>
              </w:rPr>
            </w:pPr>
          </w:p>
        </w:tc>
        <w:tc>
          <w:tcPr>
            <w:tcW w:w="1458" w:type="dxa"/>
            <w:vMerge/>
            <w:shd w:val="clear" w:color="auto" w:fill="auto"/>
          </w:tcPr>
          <w:p w:rsidR="00C01A94" w:rsidRPr="00C903F8" w:rsidRDefault="00C01A94" w:rsidP="00A8005B">
            <w:pPr>
              <w:spacing w:before="140" w:after="140" w:line="240" w:lineRule="atLeast"/>
              <w:ind w:left="0" w:firstLine="0"/>
              <w:rPr>
                <w:rFonts w:cs="Arial"/>
                <w:sz w:val="18"/>
                <w:szCs w:val="18"/>
              </w:rPr>
            </w:pPr>
          </w:p>
        </w:tc>
        <w:tc>
          <w:tcPr>
            <w:tcW w:w="3296" w:type="dxa"/>
            <w:vMerge/>
            <w:shd w:val="clear" w:color="auto" w:fill="auto"/>
          </w:tcPr>
          <w:p w:rsidR="00C01A94" w:rsidRPr="00C903F8" w:rsidRDefault="00C01A94" w:rsidP="00A8005B">
            <w:pPr>
              <w:spacing w:before="140" w:after="140" w:line="240" w:lineRule="atLeast"/>
              <w:ind w:left="0" w:firstLine="0"/>
              <w:rPr>
                <w:rFonts w:cs="Arial"/>
                <w:sz w:val="18"/>
                <w:szCs w:val="18"/>
              </w:rPr>
            </w:pPr>
          </w:p>
        </w:tc>
        <w:tc>
          <w:tcPr>
            <w:tcW w:w="6521" w:type="dxa"/>
            <w:shd w:val="clear" w:color="auto" w:fill="auto"/>
          </w:tcPr>
          <w:p w:rsidR="00C01A94" w:rsidRPr="00C903F8" w:rsidRDefault="00C01A94" w:rsidP="00A8005B">
            <w:pPr>
              <w:spacing w:before="140" w:after="140" w:line="240" w:lineRule="atLeast"/>
              <w:ind w:left="0" w:firstLine="0"/>
              <w:rPr>
                <w:rFonts w:cs="Arial"/>
                <w:sz w:val="18"/>
                <w:szCs w:val="18"/>
              </w:rPr>
            </w:pPr>
            <w:r>
              <w:rPr>
                <w:sz w:val="18"/>
              </w:rPr>
              <w:t>I giubbotti di salvataggio a bordo al 29.12.2008 possono essere usati fino al rinnovo del certificato per la navigazione interna posteriormente al</w:t>
            </w:r>
          </w:p>
        </w:tc>
        <w:tc>
          <w:tcPr>
            <w:tcW w:w="1276" w:type="dxa"/>
            <w:shd w:val="clear" w:color="auto" w:fill="auto"/>
          </w:tcPr>
          <w:p w:rsidR="00C01A94" w:rsidRPr="00C903F8" w:rsidRDefault="00C01A94" w:rsidP="00A8005B">
            <w:pPr>
              <w:spacing w:before="140" w:after="140" w:line="240" w:lineRule="atLeast"/>
              <w:ind w:left="0" w:firstLine="0"/>
              <w:rPr>
                <w:rFonts w:cs="Arial"/>
                <w:sz w:val="18"/>
                <w:szCs w:val="18"/>
              </w:rPr>
            </w:pPr>
            <w:r>
              <w:rPr>
                <w:sz w:val="18"/>
              </w:rPr>
              <w:t>30.12.2024</w:t>
            </w:r>
          </w:p>
        </w:tc>
      </w:tr>
      <w:tr w:rsidR="00C01A94" w:rsidRPr="00C903F8" w:rsidTr="001964F8">
        <w:trPr>
          <w:cantSplit/>
          <w:jc w:val="center"/>
        </w:trPr>
        <w:tc>
          <w:tcPr>
            <w:tcW w:w="6096" w:type="dxa"/>
            <w:gridSpan w:val="3"/>
            <w:shd w:val="clear" w:color="auto" w:fill="auto"/>
          </w:tcPr>
          <w:p w:rsidR="00C01A94" w:rsidRPr="00C903F8" w:rsidRDefault="00C01A94" w:rsidP="00A8005B">
            <w:pPr>
              <w:spacing w:before="140" w:after="140" w:line="240" w:lineRule="atLeast"/>
              <w:ind w:left="0" w:firstLine="0"/>
              <w:jc w:val="center"/>
              <w:rPr>
                <w:rFonts w:cs="Arial"/>
                <w:sz w:val="18"/>
                <w:szCs w:val="18"/>
              </w:rPr>
            </w:pPr>
            <w:r>
              <w:rPr>
                <w:b/>
                <w:sz w:val="18"/>
              </w:rPr>
              <w:t>CAPO 14</w:t>
            </w:r>
          </w:p>
        </w:tc>
        <w:tc>
          <w:tcPr>
            <w:tcW w:w="6521" w:type="dxa"/>
            <w:shd w:val="clear" w:color="auto" w:fill="auto"/>
          </w:tcPr>
          <w:p w:rsidR="00C01A94" w:rsidRPr="00C903F8" w:rsidRDefault="00C01A94" w:rsidP="00A8005B">
            <w:pPr>
              <w:spacing w:before="140" w:after="140" w:line="240" w:lineRule="atLeast"/>
              <w:ind w:left="0" w:firstLine="0"/>
              <w:rPr>
                <w:rFonts w:cs="Arial"/>
                <w:sz w:val="18"/>
                <w:szCs w:val="18"/>
              </w:rPr>
            </w:pPr>
          </w:p>
        </w:tc>
        <w:tc>
          <w:tcPr>
            <w:tcW w:w="1276" w:type="dxa"/>
            <w:shd w:val="clear" w:color="auto" w:fill="auto"/>
          </w:tcPr>
          <w:p w:rsidR="00C01A94" w:rsidRPr="00C903F8" w:rsidRDefault="00C01A94" w:rsidP="00A8005B">
            <w:pPr>
              <w:spacing w:before="140" w:after="140" w:line="240" w:lineRule="atLeast"/>
              <w:ind w:left="0" w:firstLine="0"/>
              <w:rPr>
                <w:rFonts w:cs="Arial"/>
                <w:sz w:val="18"/>
                <w:szCs w:val="18"/>
              </w:rPr>
            </w:pPr>
          </w:p>
        </w:tc>
      </w:tr>
      <w:tr w:rsidR="009F3675" w:rsidRPr="00C903F8" w:rsidTr="00AB6D23">
        <w:trPr>
          <w:cantSplit/>
          <w:jc w:val="center"/>
        </w:trPr>
        <w:tc>
          <w:tcPr>
            <w:tcW w:w="1342" w:type="dxa"/>
            <w:tcBorders>
              <w:bottom w:val="nil"/>
            </w:tcBorders>
            <w:shd w:val="clear" w:color="auto" w:fill="auto"/>
          </w:tcPr>
          <w:p w:rsidR="009F3675" w:rsidRPr="00C903F8" w:rsidRDefault="009F3675" w:rsidP="00D321F1">
            <w:pPr>
              <w:spacing w:before="80" w:after="80" w:line="240" w:lineRule="atLeast"/>
              <w:ind w:left="0" w:firstLine="0"/>
              <w:rPr>
                <w:rFonts w:cs="Arial"/>
                <w:sz w:val="18"/>
                <w:szCs w:val="18"/>
              </w:rPr>
            </w:pPr>
            <w:r>
              <w:rPr>
                <w:sz w:val="18"/>
              </w:rPr>
              <w:t>14.02</w:t>
            </w:r>
          </w:p>
        </w:tc>
        <w:tc>
          <w:tcPr>
            <w:tcW w:w="1458" w:type="dxa"/>
            <w:shd w:val="clear" w:color="auto" w:fill="auto"/>
          </w:tcPr>
          <w:p w:rsidR="009F3675" w:rsidRPr="00C903F8" w:rsidRDefault="009F3675" w:rsidP="00D321F1">
            <w:pPr>
              <w:spacing w:before="80" w:after="80" w:line="240" w:lineRule="atLeast"/>
              <w:ind w:left="0" w:firstLine="0"/>
              <w:rPr>
                <w:rFonts w:cs="Arial"/>
                <w:sz w:val="18"/>
                <w:szCs w:val="18"/>
              </w:rPr>
            </w:pPr>
            <w:r>
              <w:rPr>
                <w:sz w:val="18"/>
              </w:rPr>
              <w:t>paragrafo 4</w:t>
            </w:r>
          </w:p>
        </w:tc>
        <w:tc>
          <w:tcPr>
            <w:tcW w:w="3296" w:type="dxa"/>
            <w:shd w:val="clear" w:color="auto" w:fill="auto"/>
          </w:tcPr>
          <w:p w:rsidR="009F3675" w:rsidRPr="00C903F8" w:rsidRDefault="009F3675" w:rsidP="00D321F1">
            <w:pPr>
              <w:spacing w:before="80" w:after="80" w:line="240" w:lineRule="atLeast"/>
              <w:ind w:left="0" w:firstLine="0"/>
              <w:rPr>
                <w:rFonts w:cs="Arial"/>
                <w:sz w:val="18"/>
                <w:szCs w:val="18"/>
              </w:rPr>
            </w:pPr>
            <w:r>
              <w:rPr>
                <w:noProof/>
                <w:sz w:val="18"/>
              </w:rPr>
              <w:t>Attrezzatura del bordo esterno dei ponti, dei ponti laterali e di altri posti di lavoro</w:t>
            </w:r>
          </w:p>
        </w:tc>
        <w:tc>
          <w:tcPr>
            <w:tcW w:w="6521" w:type="dxa"/>
            <w:shd w:val="clear" w:color="auto" w:fill="auto"/>
          </w:tcPr>
          <w:p w:rsidR="009F3675" w:rsidRPr="00C903F8" w:rsidRDefault="009F3675" w:rsidP="00D321F1">
            <w:pPr>
              <w:spacing w:before="80" w:after="80" w:line="240" w:lineRule="atLeast"/>
              <w:ind w:left="0" w:firstLine="0"/>
              <w:rPr>
                <w:rFonts w:cs="Arial"/>
                <w:sz w:val="18"/>
                <w:szCs w:val="18"/>
              </w:rPr>
            </w:pPr>
            <w:r>
              <w:rPr>
                <w:sz w:val="18"/>
              </w:rPr>
              <w:t>N.S.T</w:t>
            </w:r>
            <w:r>
              <w:rPr>
                <w:rStyle w:val="FootnoteReference"/>
                <w:sz w:val="18"/>
              </w:rPr>
              <w:t xml:space="preserve"> </w:t>
            </w:r>
            <w:r>
              <w:rPr>
                <w:rStyle w:val="FootnoteReference"/>
                <w:sz w:val="18"/>
              </w:rPr>
              <w:footnoteReference w:id="46"/>
            </w:r>
          </w:p>
        </w:tc>
        <w:tc>
          <w:tcPr>
            <w:tcW w:w="1276" w:type="dxa"/>
            <w:shd w:val="clear" w:color="auto" w:fill="auto"/>
          </w:tcPr>
          <w:p w:rsidR="009F3675" w:rsidRPr="00C903F8" w:rsidRDefault="009F3675" w:rsidP="00D321F1">
            <w:pPr>
              <w:spacing w:before="80" w:after="80" w:line="240" w:lineRule="atLeast"/>
              <w:ind w:left="0" w:firstLine="0"/>
              <w:rPr>
                <w:rFonts w:cs="Arial"/>
                <w:sz w:val="18"/>
                <w:szCs w:val="18"/>
              </w:rPr>
            </w:pPr>
          </w:p>
        </w:tc>
      </w:tr>
      <w:tr w:rsidR="009F3675" w:rsidRPr="00C903F8" w:rsidTr="001964F8">
        <w:trPr>
          <w:cantSplit/>
          <w:jc w:val="center"/>
        </w:trPr>
        <w:tc>
          <w:tcPr>
            <w:tcW w:w="1342" w:type="dxa"/>
            <w:tcBorders>
              <w:bottom w:val="nil"/>
            </w:tcBorders>
            <w:shd w:val="clear" w:color="auto" w:fill="auto"/>
          </w:tcPr>
          <w:p w:rsidR="009F3675" w:rsidRPr="00C903F8" w:rsidRDefault="009F3675" w:rsidP="00D321F1">
            <w:pPr>
              <w:spacing w:before="80" w:after="80" w:line="240" w:lineRule="atLeast"/>
              <w:ind w:left="0" w:firstLine="0"/>
              <w:rPr>
                <w:rFonts w:cs="Arial"/>
                <w:sz w:val="18"/>
                <w:szCs w:val="18"/>
              </w:rPr>
            </w:pPr>
            <w:r>
              <w:rPr>
                <w:sz w:val="18"/>
              </w:rPr>
              <w:lastRenderedPageBreak/>
              <w:t>14.04</w:t>
            </w:r>
          </w:p>
        </w:tc>
        <w:tc>
          <w:tcPr>
            <w:tcW w:w="1458" w:type="dxa"/>
            <w:shd w:val="clear" w:color="auto" w:fill="auto"/>
          </w:tcPr>
          <w:p w:rsidR="009F3675" w:rsidRPr="00C903F8" w:rsidRDefault="009F3675" w:rsidP="00D321F1">
            <w:pPr>
              <w:spacing w:before="80" w:after="80" w:line="240" w:lineRule="atLeast"/>
              <w:ind w:left="0" w:firstLine="0"/>
              <w:rPr>
                <w:rFonts w:cs="Arial"/>
                <w:sz w:val="18"/>
                <w:szCs w:val="18"/>
              </w:rPr>
            </w:pPr>
            <w:r>
              <w:rPr>
                <w:sz w:val="18"/>
              </w:rPr>
              <w:t>paragrafo 1</w:t>
            </w:r>
          </w:p>
        </w:tc>
        <w:tc>
          <w:tcPr>
            <w:tcW w:w="3296" w:type="dxa"/>
            <w:shd w:val="clear" w:color="auto" w:fill="auto"/>
          </w:tcPr>
          <w:p w:rsidR="009F3675" w:rsidRPr="00C903F8" w:rsidRDefault="009F3675" w:rsidP="00D321F1">
            <w:pPr>
              <w:spacing w:before="80" w:after="80" w:line="240" w:lineRule="atLeast"/>
              <w:ind w:left="0" w:firstLine="0"/>
              <w:rPr>
                <w:rFonts w:cs="Arial"/>
                <w:sz w:val="18"/>
                <w:szCs w:val="18"/>
              </w:rPr>
            </w:pPr>
            <w:r>
              <w:rPr>
                <w:noProof/>
                <w:sz w:val="18"/>
              </w:rPr>
              <w:t>Ampiezza libera dei ponti laterali</w:t>
            </w:r>
          </w:p>
        </w:tc>
        <w:tc>
          <w:tcPr>
            <w:tcW w:w="6521" w:type="dxa"/>
            <w:shd w:val="clear" w:color="auto" w:fill="auto"/>
          </w:tcPr>
          <w:p w:rsidR="009F3675" w:rsidRPr="00C903F8" w:rsidRDefault="009F3675" w:rsidP="00D321F1">
            <w:pPr>
              <w:spacing w:before="80" w:after="80" w:line="240" w:lineRule="atLeast"/>
              <w:ind w:left="0" w:firstLine="0"/>
              <w:rPr>
                <w:rFonts w:cs="Arial"/>
                <w:sz w:val="18"/>
                <w:szCs w:val="18"/>
              </w:rPr>
            </w:pPr>
            <w:r>
              <w:rPr>
                <w:sz w:val="18"/>
              </w:rPr>
              <w:t xml:space="preserve">Per le navi di </w:t>
            </w:r>
            <m:oMath>
              <m:r>
                <w:rPr>
                  <w:rFonts w:ascii="Cambria Math" w:hAnsi="Cambria Math" w:cs="Arial"/>
                  <w:sz w:val="18"/>
                  <w:szCs w:val="18"/>
                </w:rPr>
                <m:t>B &gt; 7,30 m</m:t>
              </m:r>
            </m:oMath>
            <w:r>
              <w:rPr>
                <w:sz w:val="18"/>
              </w:rPr>
              <w:t>, N.S.T., al più tardi alla data del rinnovo del certificato per la navigazione interna posteriormente al</w:t>
            </w:r>
          </w:p>
        </w:tc>
        <w:tc>
          <w:tcPr>
            <w:tcW w:w="1276" w:type="dxa"/>
            <w:shd w:val="clear" w:color="auto" w:fill="auto"/>
          </w:tcPr>
          <w:p w:rsidR="009F3675" w:rsidRPr="00C903F8" w:rsidRDefault="009F3675" w:rsidP="00D321F1">
            <w:pPr>
              <w:spacing w:before="80" w:after="80" w:line="240" w:lineRule="atLeast"/>
              <w:ind w:left="0" w:firstLine="0"/>
              <w:rPr>
                <w:rFonts w:cs="Arial"/>
                <w:sz w:val="18"/>
                <w:szCs w:val="18"/>
              </w:rPr>
            </w:pPr>
            <w:r>
              <w:rPr>
                <w:sz w:val="18"/>
              </w:rPr>
              <w:t>1.1.2035</w:t>
            </w:r>
            <w:r>
              <w:rPr>
                <w:sz w:val="18"/>
                <w:vertAlign w:val="superscript"/>
              </w:rPr>
              <w:footnoteReference w:id="47"/>
            </w:r>
          </w:p>
        </w:tc>
      </w:tr>
      <w:tr w:rsidR="009F3675" w:rsidRPr="00C903F8" w:rsidTr="001964F8">
        <w:trPr>
          <w:cantSplit/>
          <w:jc w:val="center"/>
        </w:trPr>
        <w:tc>
          <w:tcPr>
            <w:tcW w:w="1342" w:type="dxa"/>
            <w:tcBorders>
              <w:top w:val="nil"/>
              <w:bottom w:val="single" w:sz="4" w:space="0" w:color="auto"/>
            </w:tcBorders>
            <w:shd w:val="clear" w:color="auto" w:fill="auto"/>
          </w:tcPr>
          <w:p w:rsidR="009F3675" w:rsidRPr="00C903F8" w:rsidRDefault="009F3675" w:rsidP="00D321F1">
            <w:pPr>
              <w:spacing w:before="80" w:after="80" w:line="240" w:lineRule="atLeast"/>
              <w:ind w:left="0" w:firstLine="0"/>
              <w:rPr>
                <w:rFonts w:cs="Arial"/>
                <w:sz w:val="18"/>
                <w:szCs w:val="18"/>
              </w:rPr>
            </w:pPr>
          </w:p>
        </w:tc>
        <w:tc>
          <w:tcPr>
            <w:tcW w:w="1458" w:type="dxa"/>
            <w:shd w:val="clear" w:color="auto" w:fill="auto"/>
          </w:tcPr>
          <w:p w:rsidR="009F3675" w:rsidRPr="00C903F8" w:rsidRDefault="009F3675" w:rsidP="00D321F1">
            <w:pPr>
              <w:spacing w:before="80" w:after="80" w:line="240" w:lineRule="atLeast"/>
              <w:ind w:left="0" w:firstLine="0"/>
              <w:rPr>
                <w:rFonts w:cs="Arial"/>
                <w:sz w:val="18"/>
                <w:szCs w:val="18"/>
              </w:rPr>
            </w:pPr>
            <w:r>
              <w:rPr>
                <w:sz w:val="18"/>
              </w:rPr>
              <w:t>paragrafo 2</w:t>
            </w:r>
          </w:p>
        </w:tc>
        <w:tc>
          <w:tcPr>
            <w:tcW w:w="3296" w:type="dxa"/>
            <w:shd w:val="clear" w:color="auto" w:fill="auto"/>
          </w:tcPr>
          <w:p w:rsidR="009F3675" w:rsidRPr="00C903F8" w:rsidRDefault="009F3675" w:rsidP="00D321F1">
            <w:pPr>
              <w:spacing w:before="80" w:after="80" w:line="240" w:lineRule="atLeast"/>
              <w:ind w:left="0" w:firstLine="0"/>
              <w:rPr>
                <w:rFonts w:cs="Arial"/>
                <w:sz w:val="18"/>
                <w:szCs w:val="18"/>
              </w:rPr>
            </w:pPr>
            <w:r>
              <w:rPr>
                <w:noProof/>
                <w:sz w:val="18"/>
              </w:rPr>
              <w:t>Parapetti dei ponti laterali</w:t>
            </w:r>
          </w:p>
        </w:tc>
        <w:tc>
          <w:tcPr>
            <w:tcW w:w="6521" w:type="dxa"/>
            <w:shd w:val="clear" w:color="auto" w:fill="auto"/>
          </w:tcPr>
          <w:p w:rsidR="009F3675" w:rsidRPr="00C903F8" w:rsidRDefault="009F3675" w:rsidP="00D321F1">
            <w:pPr>
              <w:spacing w:before="80" w:after="80" w:line="240" w:lineRule="atLeast"/>
              <w:ind w:left="0" w:firstLine="0"/>
              <w:rPr>
                <w:rFonts w:cs="Arial"/>
                <w:sz w:val="18"/>
                <w:szCs w:val="18"/>
              </w:rPr>
            </w:pPr>
            <w:r>
              <w:rPr>
                <w:sz w:val="18"/>
              </w:rPr>
              <w:t>N.S.T</w:t>
            </w:r>
          </w:p>
        </w:tc>
        <w:tc>
          <w:tcPr>
            <w:tcW w:w="1276" w:type="dxa"/>
            <w:shd w:val="clear" w:color="auto" w:fill="auto"/>
          </w:tcPr>
          <w:p w:rsidR="009F3675" w:rsidRPr="00C903F8" w:rsidRDefault="009F3675" w:rsidP="00D321F1">
            <w:pPr>
              <w:spacing w:before="80" w:after="80" w:line="240" w:lineRule="atLeast"/>
              <w:ind w:left="0" w:firstLine="0"/>
              <w:rPr>
                <w:rFonts w:cs="Arial"/>
                <w:sz w:val="18"/>
                <w:szCs w:val="18"/>
              </w:rPr>
            </w:pPr>
          </w:p>
        </w:tc>
      </w:tr>
      <w:tr w:rsidR="009F3675" w:rsidRPr="00C903F8" w:rsidTr="001964F8">
        <w:trPr>
          <w:cantSplit/>
          <w:jc w:val="center"/>
        </w:trPr>
        <w:tc>
          <w:tcPr>
            <w:tcW w:w="1342" w:type="dxa"/>
            <w:tcBorders>
              <w:bottom w:val="nil"/>
            </w:tcBorders>
            <w:shd w:val="clear" w:color="auto" w:fill="auto"/>
          </w:tcPr>
          <w:p w:rsidR="009F3675" w:rsidRPr="00C903F8" w:rsidRDefault="009F3675" w:rsidP="00D321F1">
            <w:pPr>
              <w:spacing w:before="80" w:after="80" w:line="240" w:lineRule="atLeast"/>
              <w:ind w:left="0" w:firstLine="0"/>
              <w:rPr>
                <w:rFonts w:cs="Arial"/>
                <w:sz w:val="18"/>
                <w:szCs w:val="18"/>
              </w:rPr>
            </w:pPr>
            <w:r>
              <w:rPr>
                <w:sz w:val="18"/>
              </w:rPr>
              <w:t>14.05</w:t>
            </w:r>
          </w:p>
        </w:tc>
        <w:tc>
          <w:tcPr>
            <w:tcW w:w="1458" w:type="dxa"/>
            <w:shd w:val="clear" w:color="auto" w:fill="auto"/>
          </w:tcPr>
          <w:p w:rsidR="009F3675" w:rsidRPr="00C903F8" w:rsidRDefault="009F3675" w:rsidP="00D321F1">
            <w:pPr>
              <w:spacing w:before="80" w:after="80" w:line="240" w:lineRule="atLeast"/>
              <w:ind w:left="0" w:firstLine="0"/>
              <w:rPr>
                <w:rFonts w:cs="Arial"/>
                <w:sz w:val="18"/>
                <w:szCs w:val="18"/>
              </w:rPr>
            </w:pPr>
            <w:r>
              <w:rPr>
                <w:sz w:val="18"/>
              </w:rPr>
              <w:t>paragrafo 1</w:t>
            </w:r>
          </w:p>
        </w:tc>
        <w:tc>
          <w:tcPr>
            <w:tcW w:w="3296" w:type="dxa"/>
            <w:shd w:val="clear" w:color="auto" w:fill="auto"/>
          </w:tcPr>
          <w:p w:rsidR="009F3675" w:rsidRPr="00C903F8" w:rsidRDefault="009F3675" w:rsidP="00D321F1">
            <w:pPr>
              <w:spacing w:before="80" w:after="80" w:line="240" w:lineRule="atLeast"/>
              <w:ind w:left="0" w:firstLine="0"/>
              <w:rPr>
                <w:rFonts w:cs="Arial"/>
                <w:sz w:val="18"/>
                <w:szCs w:val="18"/>
              </w:rPr>
            </w:pPr>
            <w:r>
              <w:rPr>
                <w:noProof/>
                <w:sz w:val="18"/>
              </w:rPr>
              <w:t>Accesso ai posti di lavoro</w:t>
            </w:r>
          </w:p>
        </w:tc>
        <w:tc>
          <w:tcPr>
            <w:tcW w:w="6521" w:type="dxa"/>
            <w:shd w:val="clear" w:color="auto" w:fill="auto"/>
          </w:tcPr>
          <w:p w:rsidR="009F3675" w:rsidRPr="00C903F8" w:rsidRDefault="009F3675" w:rsidP="00D321F1">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D321F1">
            <w:pPr>
              <w:spacing w:before="80" w:after="80" w:line="240" w:lineRule="atLeast"/>
              <w:ind w:left="0" w:firstLine="0"/>
              <w:rPr>
                <w:rFonts w:cs="Arial"/>
                <w:sz w:val="18"/>
                <w:szCs w:val="18"/>
              </w:rPr>
            </w:pPr>
            <w:r>
              <w:rPr>
                <w:sz w:val="18"/>
              </w:rPr>
              <w:t>30.12.2049</w:t>
            </w:r>
          </w:p>
        </w:tc>
      </w:tr>
      <w:tr w:rsidR="009F3675" w:rsidRPr="00A0619C" w:rsidTr="001964F8">
        <w:trPr>
          <w:cantSplit/>
          <w:jc w:val="center"/>
        </w:trPr>
        <w:tc>
          <w:tcPr>
            <w:tcW w:w="1342" w:type="dxa"/>
            <w:tcBorders>
              <w:top w:val="nil"/>
              <w:bottom w:val="nil"/>
            </w:tcBorders>
            <w:shd w:val="clear" w:color="auto" w:fill="auto"/>
          </w:tcPr>
          <w:p w:rsidR="009F3675" w:rsidRPr="00C903F8" w:rsidRDefault="009F3675" w:rsidP="00D321F1">
            <w:pPr>
              <w:spacing w:before="80" w:after="80" w:line="240" w:lineRule="atLeast"/>
              <w:ind w:left="0" w:firstLine="0"/>
              <w:rPr>
                <w:rFonts w:cs="Arial"/>
                <w:sz w:val="18"/>
                <w:szCs w:val="18"/>
              </w:rPr>
            </w:pPr>
          </w:p>
        </w:tc>
        <w:tc>
          <w:tcPr>
            <w:tcW w:w="1458" w:type="dxa"/>
            <w:shd w:val="clear" w:color="auto" w:fill="auto"/>
          </w:tcPr>
          <w:p w:rsidR="009F3675" w:rsidRPr="00C903F8" w:rsidRDefault="009F3675" w:rsidP="00D321F1">
            <w:pPr>
              <w:spacing w:before="80" w:after="80" w:line="240" w:lineRule="atLeast"/>
              <w:ind w:left="0" w:firstLine="0"/>
              <w:rPr>
                <w:rFonts w:cs="Arial"/>
                <w:sz w:val="18"/>
                <w:szCs w:val="18"/>
              </w:rPr>
            </w:pPr>
            <w:r>
              <w:rPr>
                <w:sz w:val="18"/>
              </w:rPr>
              <w:t>paragrafi 2 e 3</w:t>
            </w:r>
          </w:p>
        </w:tc>
        <w:tc>
          <w:tcPr>
            <w:tcW w:w="3296" w:type="dxa"/>
            <w:shd w:val="clear" w:color="auto" w:fill="auto"/>
          </w:tcPr>
          <w:p w:rsidR="009F3675" w:rsidRPr="00C903F8" w:rsidRDefault="009F3675" w:rsidP="00D321F1">
            <w:pPr>
              <w:spacing w:before="80" w:after="80" w:line="240" w:lineRule="atLeast"/>
              <w:ind w:left="0" w:firstLine="0"/>
              <w:rPr>
                <w:rFonts w:cs="Arial"/>
                <w:sz w:val="18"/>
                <w:szCs w:val="18"/>
              </w:rPr>
            </w:pPr>
            <w:r>
              <w:rPr>
                <w:noProof/>
                <w:sz w:val="18"/>
              </w:rPr>
              <w:t>Porte e accessi, uscite e zone di passaggio in caso di dislivelli superiori a 0,50 m</w:t>
            </w:r>
          </w:p>
        </w:tc>
        <w:tc>
          <w:tcPr>
            <w:tcW w:w="6521" w:type="dxa"/>
            <w:shd w:val="clear" w:color="auto" w:fill="auto"/>
          </w:tcPr>
          <w:p w:rsidR="009F3675" w:rsidRPr="00C903F8" w:rsidRDefault="009F3675" w:rsidP="00D321F1">
            <w:pPr>
              <w:spacing w:before="80" w:after="8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9F3675" w:rsidRPr="00C903F8" w:rsidRDefault="009F3675" w:rsidP="00D321F1">
            <w:pPr>
              <w:spacing w:before="80" w:after="80" w:line="240" w:lineRule="atLeast"/>
              <w:ind w:left="0" w:firstLine="0"/>
              <w:rPr>
                <w:rFonts w:cs="Arial"/>
                <w:sz w:val="18"/>
                <w:szCs w:val="18"/>
              </w:rPr>
            </w:pPr>
          </w:p>
        </w:tc>
      </w:tr>
      <w:tr w:rsidR="009F3675" w:rsidRPr="00A90F88" w:rsidTr="001964F8">
        <w:trPr>
          <w:cantSplit/>
          <w:jc w:val="center"/>
        </w:trPr>
        <w:tc>
          <w:tcPr>
            <w:tcW w:w="1342" w:type="dxa"/>
            <w:tcBorders>
              <w:top w:val="nil"/>
            </w:tcBorders>
            <w:shd w:val="clear" w:color="auto" w:fill="auto"/>
          </w:tcPr>
          <w:p w:rsidR="009F3675" w:rsidRPr="00A90F88" w:rsidRDefault="009F3675" w:rsidP="00D321F1">
            <w:pPr>
              <w:spacing w:before="80" w:after="80" w:line="240" w:lineRule="atLeast"/>
              <w:ind w:left="0" w:firstLine="0"/>
              <w:rPr>
                <w:rFonts w:cs="Arial"/>
                <w:sz w:val="18"/>
                <w:szCs w:val="18"/>
              </w:rPr>
            </w:pPr>
          </w:p>
        </w:tc>
        <w:tc>
          <w:tcPr>
            <w:tcW w:w="1458" w:type="dxa"/>
            <w:shd w:val="clear" w:color="auto" w:fill="auto"/>
          </w:tcPr>
          <w:p w:rsidR="009F3675" w:rsidRPr="00A90F88" w:rsidRDefault="009F3675" w:rsidP="00D321F1">
            <w:pPr>
              <w:spacing w:before="80" w:after="80" w:line="240" w:lineRule="atLeast"/>
              <w:ind w:left="0" w:firstLine="0"/>
              <w:rPr>
                <w:rFonts w:cs="Arial"/>
                <w:sz w:val="18"/>
                <w:szCs w:val="18"/>
              </w:rPr>
            </w:pPr>
            <w:r>
              <w:rPr>
                <w:sz w:val="18"/>
              </w:rPr>
              <w:t>paragrafo 4</w:t>
            </w:r>
          </w:p>
        </w:tc>
        <w:tc>
          <w:tcPr>
            <w:tcW w:w="3296" w:type="dxa"/>
            <w:shd w:val="clear" w:color="auto" w:fill="auto"/>
          </w:tcPr>
          <w:p w:rsidR="009F3675" w:rsidRPr="00A90F88" w:rsidRDefault="009F3675" w:rsidP="00D321F1">
            <w:pPr>
              <w:spacing w:before="80" w:after="80" w:line="240" w:lineRule="atLeast"/>
              <w:ind w:left="0" w:firstLine="0"/>
              <w:rPr>
                <w:rFonts w:cs="Arial"/>
                <w:sz w:val="18"/>
                <w:szCs w:val="18"/>
              </w:rPr>
            </w:pPr>
            <w:r>
              <w:rPr>
                <w:noProof/>
                <w:sz w:val="18"/>
              </w:rPr>
              <w:t>Scale nei posti di lavoro occupati in permanenza</w:t>
            </w:r>
          </w:p>
        </w:tc>
        <w:tc>
          <w:tcPr>
            <w:tcW w:w="6521" w:type="dxa"/>
            <w:shd w:val="clear" w:color="auto" w:fill="auto"/>
          </w:tcPr>
          <w:p w:rsidR="009F3675" w:rsidRPr="00A90F88" w:rsidRDefault="009F3675" w:rsidP="00D321F1">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A90F88" w:rsidRDefault="009F3675" w:rsidP="00D321F1">
            <w:pPr>
              <w:spacing w:before="80" w:after="80" w:line="240" w:lineRule="atLeast"/>
              <w:ind w:left="0" w:firstLine="0"/>
              <w:rPr>
                <w:rFonts w:cs="Arial"/>
                <w:sz w:val="18"/>
                <w:szCs w:val="18"/>
              </w:rPr>
            </w:pPr>
            <w:r>
              <w:rPr>
                <w:sz w:val="18"/>
              </w:rPr>
              <w:t>30.12.2049</w:t>
            </w:r>
          </w:p>
        </w:tc>
      </w:tr>
      <w:tr w:rsidR="009F3675" w:rsidRPr="00C903F8" w:rsidTr="001964F8">
        <w:trPr>
          <w:cantSplit/>
          <w:jc w:val="center"/>
        </w:trPr>
        <w:tc>
          <w:tcPr>
            <w:tcW w:w="1342" w:type="dxa"/>
            <w:tcBorders>
              <w:bottom w:val="single" w:sz="4" w:space="0" w:color="auto"/>
            </w:tcBorders>
            <w:shd w:val="clear" w:color="auto" w:fill="auto"/>
          </w:tcPr>
          <w:p w:rsidR="009F3675" w:rsidRPr="00C903F8" w:rsidRDefault="009F3675" w:rsidP="00D321F1">
            <w:pPr>
              <w:spacing w:before="80" w:after="80" w:line="240" w:lineRule="atLeast"/>
              <w:ind w:left="0" w:firstLine="0"/>
              <w:rPr>
                <w:rFonts w:cs="Arial"/>
                <w:sz w:val="18"/>
                <w:szCs w:val="18"/>
              </w:rPr>
            </w:pPr>
            <w:r>
              <w:rPr>
                <w:sz w:val="18"/>
              </w:rPr>
              <w:t>14.06</w:t>
            </w:r>
          </w:p>
        </w:tc>
        <w:tc>
          <w:tcPr>
            <w:tcW w:w="1458" w:type="dxa"/>
            <w:shd w:val="clear" w:color="auto" w:fill="auto"/>
          </w:tcPr>
          <w:p w:rsidR="009F3675" w:rsidRPr="00C903F8" w:rsidRDefault="009F3675" w:rsidP="00D321F1">
            <w:pPr>
              <w:spacing w:before="80" w:after="80" w:line="240" w:lineRule="atLeast"/>
              <w:ind w:left="0" w:firstLine="0"/>
              <w:rPr>
                <w:rFonts w:cs="Arial"/>
                <w:sz w:val="18"/>
                <w:szCs w:val="18"/>
              </w:rPr>
            </w:pPr>
            <w:r>
              <w:rPr>
                <w:sz w:val="18"/>
              </w:rPr>
              <w:t>paragrafo 2</w:t>
            </w:r>
          </w:p>
        </w:tc>
        <w:tc>
          <w:tcPr>
            <w:tcW w:w="3296" w:type="dxa"/>
            <w:shd w:val="clear" w:color="auto" w:fill="auto"/>
          </w:tcPr>
          <w:p w:rsidR="009F3675" w:rsidRPr="00C903F8" w:rsidRDefault="009F3675" w:rsidP="00D321F1">
            <w:pPr>
              <w:spacing w:before="80" w:after="80" w:line="240" w:lineRule="atLeast"/>
              <w:ind w:left="0" w:firstLine="0"/>
              <w:rPr>
                <w:rFonts w:cs="Arial"/>
                <w:sz w:val="18"/>
                <w:szCs w:val="18"/>
              </w:rPr>
            </w:pPr>
            <w:r>
              <w:rPr>
                <w:noProof/>
                <w:sz w:val="18"/>
              </w:rPr>
              <w:t>Uscite e uscite di sicurezza</w:t>
            </w:r>
          </w:p>
        </w:tc>
        <w:tc>
          <w:tcPr>
            <w:tcW w:w="6521" w:type="dxa"/>
            <w:shd w:val="clear" w:color="auto" w:fill="auto"/>
          </w:tcPr>
          <w:p w:rsidR="009F3675" w:rsidRPr="00C903F8" w:rsidRDefault="009F3675" w:rsidP="00D321F1">
            <w:pPr>
              <w:spacing w:before="80" w:after="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D321F1">
            <w:pPr>
              <w:spacing w:before="80" w:after="80" w:line="240" w:lineRule="atLeast"/>
              <w:ind w:left="0" w:firstLine="0"/>
              <w:rPr>
                <w:rFonts w:cs="Arial"/>
                <w:sz w:val="18"/>
                <w:szCs w:val="18"/>
              </w:rPr>
            </w:pPr>
            <w:r>
              <w:rPr>
                <w:sz w:val="18"/>
              </w:rPr>
              <w:t>30.12.2049</w:t>
            </w:r>
          </w:p>
        </w:tc>
      </w:tr>
      <w:tr w:rsidR="009F3675" w:rsidRPr="00C903F8" w:rsidTr="001964F8">
        <w:trPr>
          <w:cantSplit/>
          <w:jc w:val="center"/>
        </w:trPr>
        <w:tc>
          <w:tcPr>
            <w:tcW w:w="1342" w:type="dxa"/>
            <w:tcBorders>
              <w:bottom w:val="nil"/>
            </w:tcBorders>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14.07</w:t>
            </w:r>
          </w:p>
        </w:tc>
        <w:tc>
          <w:tcPr>
            <w:tcW w:w="1458" w:type="dxa"/>
            <w:shd w:val="clear" w:color="auto" w:fill="auto"/>
          </w:tcPr>
          <w:p w:rsidR="009F3675" w:rsidRPr="00C903F8" w:rsidRDefault="009F3675" w:rsidP="00A8005B">
            <w:pPr>
              <w:spacing w:before="120" w:after="120" w:line="240" w:lineRule="atLeast"/>
              <w:ind w:left="0" w:firstLine="0"/>
              <w:jc w:val="left"/>
              <w:rPr>
                <w:rFonts w:cs="Arial"/>
                <w:sz w:val="18"/>
                <w:szCs w:val="18"/>
              </w:rPr>
            </w:pPr>
            <w:r>
              <w:rPr>
                <w:sz w:val="18"/>
              </w:rPr>
              <w:t>paragrafo 1, seconda frase</w:t>
            </w:r>
          </w:p>
        </w:tc>
        <w:tc>
          <w:tcPr>
            <w:tcW w:w="3296" w:type="dxa"/>
            <w:vMerge w:val="restart"/>
            <w:shd w:val="clear" w:color="auto" w:fill="auto"/>
          </w:tcPr>
          <w:p w:rsidR="009F3675" w:rsidRPr="00C903F8" w:rsidRDefault="009F3675" w:rsidP="00A8005B">
            <w:pPr>
              <w:spacing w:before="120" w:after="120" w:line="240" w:lineRule="atLeast"/>
              <w:ind w:left="0" w:firstLine="0"/>
              <w:rPr>
                <w:rFonts w:cs="Arial"/>
                <w:sz w:val="18"/>
                <w:szCs w:val="18"/>
              </w:rPr>
            </w:pPr>
            <w:r>
              <w:rPr>
                <w:noProof/>
                <w:sz w:val="18"/>
              </w:rPr>
              <w:t>Dispositivi di salita</w:t>
            </w:r>
          </w:p>
        </w:tc>
        <w:tc>
          <w:tcPr>
            <w:tcW w:w="6521"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30.12.2049</w:t>
            </w:r>
          </w:p>
        </w:tc>
      </w:tr>
      <w:tr w:rsidR="009F3675" w:rsidRPr="00A0619C" w:rsidTr="001964F8">
        <w:trPr>
          <w:cantSplit/>
          <w:jc w:val="center"/>
        </w:trPr>
        <w:tc>
          <w:tcPr>
            <w:tcW w:w="1342" w:type="dxa"/>
            <w:tcBorders>
              <w:top w:val="nil"/>
            </w:tcBorders>
            <w:shd w:val="clear" w:color="auto" w:fill="auto"/>
          </w:tcPr>
          <w:p w:rsidR="009F3675" w:rsidRPr="00C903F8" w:rsidRDefault="009F3675" w:rsidP="00A8005B">
            <w:pPr>
              <w:spacing w:before="120" w:after="120" w:line="240" w:lineRule="atLeast"/>
              <w:ind w:left="0" w:firstLine="0"/>
              <w:rPr>
                <w:rFonts w:cs="Arial"/>
                <w:sz w:val="18"/>
                <w:szCs w:val="18"/>
              </w:rPr>
            </w:pPr>
          </w:p>
        </w:tc>
        <w:tc>
          <w:tcPr>
            <w:tcW w:w="1458"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paragrafi 2 e 3</w:t>
            </w:r>
          </w:p>
        </w:tc>
        <w:tc>
          <w:tcPr>
            <w:tcW w:w="3296" w:type="dxa"/>
            <w:vMerge/>
            <w:shd w:val="clear" w:color="auto" w:fill="auto"/>
          </w:tcPr>
          <w:p w:rsidR="009F3675" w:rsidRPr="00C903F8" w:rsidRDefault="009F3675" w:rsidP="00A8005B">
            <w:pPr>
              <w:spacing w:before="120" w:after="120" w:line="240" w:lineRule="atLeast"/>
              <w:ind w:left="0" w:firstLine="0"/>
              <w:rPr>
                <w:rFonts w:cs="Arial"/>
                <w:sz w:val="18"/>
                <w:szCs w:val="18"/>
              </w:rPr>
            </w:pPr>
          </w:p>
        </w:tc>
        <w:tc>
          <w:tcPr>
            <w:tcW w:w="6521"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9F3675" w:rsidRPr="00C903F8" w:rsidRDefault="009F3675" w:rsidP="00A8005B">
            <w:pPr>
              <w:spacing w:before="120" w:after="120" w:line="240" w:lineRule="atLeast"/>
              <w:ind w:left="0" w:firstLine="0"/>
              <w:rPr>
                <w:rFonts w:cs="Arial"/>
                <w:sz w:val="18"/>
                <w:szCs w:val="18"/>
              </w:rPr>
            </w:pPr>
          </w:p>
        </w:tc>
      </w:tr>
      <w:tr w:rsidR="009F3675" w:rsidRPr="00C903F8" w:rsidTr="001964F8">
        <w:trPr>
          <w:cantSplit/>
          <w:jc w:val="center"/>
        </w:trPr>
        <w:tc>
          <w:tcPr>
            <w:tcW w:w="1342"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14.10</w:t>
            </w:r>
          </w:p>
        </w:tc>
        <w:tc>
          <w:tcPr>
            <w:tcW w:w="1458" w:type="dxa"/>
            <w:shd w:val="clear" w:color="auto" w:fill="auto"/>
          </w:tcPr>
          <w:p w:rsidR="009F3675" w:rsidRPr="00C903F8" w:rsidRDefault="009F3675" w:rsidP="00A8005B">
            <w:pPr>
              <w:spacing w:before="120" w:after="120" w:line="240" w:lineRule="atLeast"/>
              <w:ind w:left="0" w:firstLine="0"/>
              <w:rPr>
                <w:rFonts w:cs="Arial"/>
                <w:sz w:val="18"/>
                <w:szCs w:val="18"/>
              </w:rPr>
            </w:pPr>
          </w:p>
        </w:tc>
        <w:tc>
          <w:tcPr>
            <w:tcW w:w="3296" w:type="dxa"/>
            <w:shd w:val="clear" w:color="auto" w:fill="auto"/>
          </w:tcPr>
          <w:p w:rsidR="009F3675" w:rsidRPr="00C903F8" w:rsidRDefault="009F3675" w:rsidP="00A8005B">
            <w:pPr>
              <w:spacing w:before="120" w:after="120" w:line="240" w:lineRule="atLeast"/>
              <w:ind w:left="0" w:firstLine="0"/>
              <w:rPr>
                <w:rFonts w:cs="Arial"/>
                <w:sz w:val="18"/>
                <w:szCs w:val="18"/>
              </w:rPr>
            </w:pPr>
            <w:r>
              <w:rPr>
                <w:noProof/>
                <w:sz w:val="18"/>
              </w:rPr>
              <w:t>Coperchi di boccaporto</w:t>
            </w:r>
          </w:p>
        </w:tc>
        <w:tc>
          <w:tcPr>
            <w:tcW w:w="6521"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30.12.2024</w:t>
            </w:r>
          </w:p>
        </w:tc>
      </w:tr>
      <w:tr w:rsidR="009F3675" w:rsidRPr="00C903F8" w:rsidTr="001964F8">
        <w:trPr>
          <w:cantSplit/>
          <w:jc w:val="center"/>
        </w:trPr>
        <w:tc>
          <w:tcPr>
            <w:tcW w:w="1342"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14.11</w:t>
            </w:r>
          </w:p>
        </w:tc>
        <w:tc>
          <w:tcPr>
            <w:tcW w:w="1458" w:type="dxa"/>
            <w:shd w:val="clear" w:color="auto" w:fill="auto"/>
          </w:tcPr>
          <w:p w:rsidR="009F3675" w:rsidRPr="00C903F8" w:rsidRDefault="009F3675" w:rsidP="00A8005B">
            <w:pPr>
              <w:spacing w:before="120" w:after="120" w:line="240" w:lineRule="atLeast"/>
              <w:ind w:left="0" w:firstLine="0"/>
              <w:rPr>
                <w:rFonts w:cs="Arial"/>
                <w:sz w:val="18"/>
                <w:szCs w:val="18"/>
              </w:rPr>
            </w:pPr>
          </w:p>
        </w:tc>
        <w:tc>
          <w:tcPr>
            <w:tcW w:w="3296" w:type="dxa"/>
            <w:shd w:val="clear" w:color="auto" w:fill="auto"/>
          </w:tcPr>
          <w:p w:rsidR="009F3675" w:rsidRPr="00C903F8" w:rsidRDefault="009F3675" w:rsidP="00A8005B">
            <w:pPr>
              <w:spacing w:before="120" w:after="120" w:line="240" w:lineRule="atLeast"/>
              <w:ind w:left="0" w:firstLine="0"/>
              <w:rPr>
                <w:rFonts w:cs="Arial"/>
                <w:sz w:val="18"/>
                <w:szCs w:val="18"/>
              </w:rPr>
            </w:pPr>
            <w:r>
              <w:rPr>
                <w:noProof/>
                <w:sz w:val="18"/>
              </w:rPr>
              <w:t>Verricelli</w:t>
            </w:r>
          </w:p>
        </w:tc>
        <w:tc>
          <w:tcPr>
            <w:tcW w:w="6521"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30.12.2024</w:t>
            </w:r>
          </w:p>
        </w:tc>
      </w:tr>
      <w:tr w:rsidR="009F3675" w:rsidRPr="00C903F8" w:rsidTr="001964F8">
        <w:trPr>
          <w:cantSplit/>
          <w:jc w:val="center"/>
        </w:trPr>
        <w:tc>
          <w:tcPr>
            <w:tcW w:w="1342"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lastRenderedPageBreak/>
              <w:t>14.12</w:t>
            </w:r>
          </w:p>
        </w:tc>
        <w:tc>
          <w:tcPr>
            <w:tcW w:w="1458"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paragrafi da 2 a 6 e da 8 a 10</w:t>
            </w:r>
          </w:p>
        </w:tc>
        <w:tc>
          <w:tcPr>
            <w:tcW w:w="3296"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Gru: targhetta del costruttore, carichi massimi consentiti, dispositivi di protezione, prova mediante calcolo, ispezione da parte di esperti, documenti a bordo</w:t>
            </w:r>
          </w:p>
        </w:tc>
        <w:tc>
          <w:tcPr>
            <w:tcW w:w="6521"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30.12.2029</w:t>
            </w:r>
          </w:p>
        </w:tc>
      </w:tr>
      <w:tr w:rsidR="009F3675" w:rsidRPr="00A0619C" w:rsidTr="001964F8">
        <w:trPr>
          <w:cantSplit/>
          <w:jc w:val="center"/>
        </w:trPr>
        <w:tc>
          <w:tcPr>
            <w:tcW w:w="1342"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14.13</w:t>
            </w:r>
          </w:p>
        </w:tc>
        <w:tc>
          <w:tcPr>
            <w:tcW w:w="1458" w:type="dxa"/>
            <w:shd w:val="clear" w:color="auto" w:fill="auto"/>
          </w:tcPr>
          <w:p w:rsidR="009F3675" w:rsidRPr="00C903F8" w:rsidRDefault="009F3675" w:rsidP="00A8005B">
            <w:pPr>
              <w:spacing w:before="120" w:after="120" w:line="240" w:lineRule="atLeast"/>
              <w:ind w:left="0" w:firstLine="0"/>
              <w:rPr>
                <w:rFonts w:cs="Arial"/>
                <w:sz w:val="18"/>
                <w:szCs w:val="18"/>
              </w:rPr>
            </w:pPr>
          </w:p>
        </w:tc>
        <w:tc>
          <w:tcPr>
            <w:tcW w:w="3296" w:type="dxa"/>
            <w:shd w:val="clear" w:color="auto" w:fill="auto"/>
          </w:tcPr>
          <w:p w:rsidR="009F3675" w:rsidRPr="00C903F8" w:rsidRDefault="009F3675" w:rsidP="00A8005B">
            <w:pPr>
              <w:spacing w:before="120" w:after="120" w:line="240" w:lineRule="atLeast"/>
              <w:ind w:left="0" w:firstLine="0"/>
              <w:rPr>
                <w:rFonts w:cs="Arial"/>
                <w:sz w:val="18"/>
                <w:szCs w:val="18"/>
              </w:rPr>
            </w:pPr>
            <w:r>
              <w:rPr>
                <w:noProof/>
                <w:sz w:val="18"/>
              </w:rPr>
              <w:t>Stoccaggio di liquidi infiammabili</w:t>
            </w:r>
          </w:p>
        </w:tc>
        <w:tc>
          <w:tcPr>
            <w:tcW w:w="6521"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9F3675" w:rsidRPr="00C903F8" w:rsidRDefault="009F3675" w:rsidP="00A8005B">
            <w:pPr>
              <w:spacing w:before="120" w:after="120" w:line="240" w:lineRule="atLeast"/>
              <w:ind w:left="0" w:firstLine="0"/>
              <w:rPr>
                <w:rFonts w:cs="Arial"/>
                <w:sz w:val="18"/>
                <w:szCs w:val="18"/>
              </w:rPr>
            </w:pPr>
          </w:p>
        </w:tc>
      </w:tr>
      <w:tr w:rsidR="009F3675" w:rsidRPr="00C903F8" w:rsidTr="001964F8">
        <w:trPr>
          <w:cantSplit/>
          <w:jc w:val="center"/>
        </w:trPr>
        <w:tc>
          <w:tcPr>
            <w:tcW w:w="6096" w:type="dxa"/>
            <w:gridSpan w:val="3"/>
            <w:shd w:val="clear" w:color="auto" w:fill="auto"/>
          </w:tcPr>
          <w:p w:rsidR="009F3675" w:rsidRPr="00C903F8" w:rsidRDefault="009F3675" w:rsidP="00A8005B">
            <w:pPr>
              <w:spacing w:before="120" w:after="120" w:line="240" w:lineRule="atLeast"/>
              <w:ind w:left="0" w:firstLine="0"/>
              <w:jc w:val="center"/>
              <w:rPr>
                <w:rFonts w:cs="Arial"/>
                <w:sz w:val="18"/>
                <w:szCs w:val="18"/>
              </w:rPr>
            </w:pPr>
            <w:r>
              <w:rPr>
                <w:b/>
                <w:sz w:val="18"/>
              </w:rPr>
              <w:t>CAPO 15</w:t>
            </w:r>
          </w:p>
        </w:tc>
        <w:tc>
          <w:tcPr>
            <w:tcW w:w="6521" w:type="dxa"/>
            <w:shd w:val="clear" w:color="auto" w:fill="auto"/>
          </w:tcPr>
          <w:p w:rsidR="009F3675" w:rsidRPr="00C903F8" w:rsidRDefault="009F3675" w:rsidP="00A8005B">
            <w:pPr>
              <w:spacing w:before="120" w:after="120" w:line="240" w:lineRule="atLeast"/>
              <w:ind w:left="0" w:firstLine="0"/>
              <w:rPr>
                <w:rFonts w:cs="Arial"/>
                <w:sz w:val="18"/>
                <w:szCs w:val="18"/>
              </w:rPr>
            </w:pPr>
          </w:p>
        </w:tc>
        <w:tc>
          <w:tcPr>
            <w:tcW w:w="1276" w:type="dxa"/>
            <w:shd w:val="clear" w:color="auto" w:fill="auto"/>
          </w:tcPr>
          <w:p w:rsidR="009F3675" w:rsidRPr="00C903F8" w:rsidRDefault="009F3675" w:rsidP="00A8005B">
            <w:pPr>
              <w:spacing w:before="120" w:after="120" w:line="240" w:lineRule="atLeast"/>
              <w:ind w:left="0" w:firstLine="0"/>
              <w:rPr>
                <w:rFonts w:cs="Arial"/>
                <w:sz w:val="18"/>
                <w:szCs w:val="18"/>
              </w:rPr>
            </w:pPr>
          </w:p>
        </w:tc>
      </w:tr>
      <w:tr w:rsidR="009F3675" w:rsidRPr="00C903F8" w:rsidTr="001964F8">
        <w:trPr>
          <w:cantSplit/>
          <w:jc w:val="center"/>
        </w:trPr>
        <w:tc>
          <w:tcPr>
            <w:tcW w:w="1342" w:type="dxa"/>
            <w:tcBorders>
              <w:bottom w:val="single" w:sz="4" w:space="0" w:color="auto"/>
            </w:tcBorders>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15.01</w:t>
            </w:r>
          </w:p>
        </w:tc>
        <w:tc>
          <w:tcPr>
            <w:tcW w:w="1458"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paragrafo 1</w:t>
            </w:r>
          </w:p>
        </w:tc>
        <w:tc>
          <w:tcPr>
            <w:tcW w:w="3296" w:type="dxa"/>
            <w:shd w:val="clear" w:color="auto" w:fill="auto"/>
          </w:tcPr>
          <w:p w:rsidR="009F3675" w:rsidRPr="00C903F8" w:rsidRDefault="009F3675" w:rsidP="00A8005B">
            <w:pPr>
              <w:spacing w:before="120" w:after="120" w:line="240" w:lineRule="atLeast"/>
              <w:ind w:left="0" w:firstLine="0"/>
              <w:rPr>
                <w:rFonts w:cs="Arial"/>
                <w:sz w:val="18"/>
                <w:szCs w:val="18"/>
              </w:rPr>
            </w:pPr>
            <w:r>
              <w:rPr>
                <w:noProof/>
                <w:sz w:val="18"/>
              </w:rPr>
              <w:t>Alloggi per le persone che vivono abitualmente a bordo</w:t>
            </w:r>
          </w:p>
        </w:tc>
        <w:tc>
          <w:tcPr>
            <w:tcW w:w="6521"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30.12.2049</w:t>
            </w:r>
          </w:p>
        </w:tc>
      </w:tr>
      <w:tr w:rsidR="009F3675" w:rsidRPr="00C903F8" w:rsidTr="001964F8">
        <w:trPr>
          <w:cantSplit/>
          <w:jc w:val="center"/>
        </w:trPr>
        <w:tc>
          <w:tcPr>
            <w:tcW w:w="1342" w:type="dxa"/>
            <w:tcBorders>
              <w:bottom w:val="nil"/>
            </w:tcBorders>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15.02</w:t>
            </w:r>
          </w:p>
        </w:tc>
        <w:tc>
          <w:tcPr>
            <w:tcW w:w="1458"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paragrafo 3</w:t>
            </w:r>
          </w:p>
        </w:tc>
        <w:tc>
          <w:tcPr>
            <w:tcW w:w="3296" w:type="dxa"/>
            <w:shd w:val="clear" w:color="auto" w:fill="auto"/>
          </w:tcPr>
          <w:p w:rsidR="009F3675" w:rsidRPr="00C903F8" w:rsidRDefault="009F3675" w:rsidP="00A8005B">
            <w:pPr>
              <w:spacing w:before="120" w:after="120" w:line="240" w:lineRule="atLeast"/>
              <w:ind w:left="0" w:firstLine="0"/>
              <w:rPr>
                <w:rFonts w:cs="Arial"/>
                <w:sz w:val="18"/>
                <w:szCs w:val="18"/>
              </w:rPr>
            </w:pPr>
            <w:r>
              <w:rPr>
                <w:noProof/>
                <w:sz w:val="18"/>
              </w:rPr>
              <w:t>Ubicazione dei pavimenti</w:t>
            </w:r>
          </w:p>
        </w:tc>
        <w:tc>
          <w:tcPr>
            <w:tcW w:w="6521"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30.12.2049</w:t>
            </w:r>
          </w:p>
        </w:tc>
      </w:tr>
      <w:tr w:rsidR="009F3675" w:rsidRPr="00C903F8" w:rsidTr="001964F8">
        <w:trPr>
          <w:cantSplit/>
          <w:jc w:val="center"/>
        </w:trPr>
        <w:tc>
          <w:tcPr>
            <w:tcW w:w="1342" w:type="dxa"/>
            <w:tcBorders>
              <w:top w:val="nil"/>
              <w:bottom w:val="nil"/>
            </w:tcBorders>
            <w:shd w:val="clear" w:color="auto" w:fill="auto"/>
          </w:tcPr>
          <w:p w:rsidR="009F3675" w:rsidRPr="00C903F8" w:rsidRDefault="009F3675" w:rsidP="00A8005B">
            <w:pPr>
              <w:spacing w:before="120" w:after="120" w:line="240" w:lineRule="atLeast"/>
              <w:ind w:left="0" w:firstLine="0"/>
              <w:rPr>
                <w:rFonts w:cs="Arial"/>
                <w:sz w:val="18"/>
                <w:szCs w:val="18"/>
              </w:rPr>
            </w:pPr>
          </w:p>
        </w:tc>
        <w:tc>
          <w:tcPr>
            <w:tcW w:w="1458"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paragrafo 4</w:t>
            </w:r>
          </w:p>
        </w:tc>
        <w:tc>
          <w:tcPr>
            <w:tcW w:w="3296"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Locali di soggiorno comuni e camere da letto</w:t>
            </w:r>
          </w:p>
        </w:tc>
        <w:tc>
          <w:tcPr>
            <w:tcW w:w="6521"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30.12.2049</w:t>
            </w:r>
          </w:p>
        </w:tc>
      </w:tr>
      <w:tr w:rsidR="009F3675" w:rsidRPr="00C903F8" w:rsidTr="001964F8">
        <w:trPr>
          <w:cantSplit/>
          <w:jc w:val="center"/>
        </w:trPr>
        <w:tc>
          <w:tcPr>
            <w:tcW w:w="1342" w:type="dxa"/>
            <w:tcBorders>
              <w:top w:val="nil"/>
              <w:bottom w:val="nil"/>
            </w:tcBorders>
            <w:shd w:val="clear" w:color="auto" w:fill="auto"/>
          </w:tcPr>
          <w:p w:rsidR="009F3675" w:rsidRPr="00C903F8" w:rsidRDefault="009F3675" w:rsidP="00A8005B">
            <w:pPr>
              <w:spacing w:before="120" w:after="120" w:line="240" w:lineRule="atLeast"/>
              <w:ind w:left="0" w:firstLine="0"/>
              <w:rPr>
                <w:rFonts w:cs="Arial"/>
                <w:sz w:val="18"/>
                <w:szCs w:val="18"/>
              </w:rPr>
            </w:pPr>
          </w:p>
        </w:tc>
        <w:tc>
          <w:tcPr>
            <w:tcW w:w="1458"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paragrafo 5</w:t>
            </w:r>
          </w:p>
        </w:tc>
        <w:tc>
          <w:tcPr>
            <w:tcW w:w="3296" w:type="dxa"/>
            <w:shd w:val="clear" w:color="auto" w:fill="auto"/>
          </w:tcPr>
          <w:p w:rsidR="009F3675" w:rsidRPr="00C903F8" w:rsidRDefault="009F3675" w:rsidP="00A8005B">
            <w:pPr>
              <w:spacing w:before="120" w:after="120" w:line="240" w:lineRule="atLeast"/>
              <w:ind w:left="0" w:firstLine="0"/>
              <w:rPr>
                <w:rFonts w:cs="Arial"/>
                <w:sz w:val="18"/>
                <w:szCs w:val="18"/>
              </w:rPr>
            </w:pPr>
            <w:r>
              <w:rPr>
                <w:noProof/>
                <w:sz w:val="18"/>
              </w:rPr>
              <w:t>Rumori e vibrazioni negli alloggi</w:t>
            </w:r>
          </w:p>
        </w:tc>
        <w:tc>
          <w:tcPr>
            <w:tcW w:w="6521"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A8005B">
            <w:pPr>
              <w:spacing w:before="120" w:after="120" w:line="240" w:lineRule="atLeast"/>
              <w:ind w:left="0" w:firstLine="0"/>
              <w:rPr>
                <w:rFonts w:cs="Arial"/>
                <w:sz w:val="18"/>
                <w:szCs w:val="18"/>
              </w:rPr>
            </w:pPr>
            <w:r>
              <w:rPr>
                <w:sz w:val="18"/>
              </w:rPr>
              <w:t>30.12.2029</w:t>
            </w:r>
          </w:p>
        </w:tc>
      </w:tr>
      <w:tr w:rsidR="009F3675" w:rsidRPr="00C903F8" w:rsidTr="001964F8">
        <w:trPr>
          <w:cantSplit/>
          <w:jc w:val="center"/>
        </w:trPr>
        <w:tc>
          <w:tcPr>
            <w:tcW w:w="1342" w:type="dxa"/>
            <w:tcBorders>
              <w:top w:val="nil"/>
              <w:bottom w:val="nil"/>
            </w:tcBorders>
            <w:shd w:val="clear" w:color="auto" w:fill="auto"/>
          </w:tcPr>
          <w:p w:rsidR="009F3675" w:rsidRPr="00C903F8" w:rsidRDefault="009F3675" w:rsidP="00A8005B">
            <w:pPr>
              <w:spacing w:before="200" w:after="200" w:line="240" w:lineRule="atLeast"/>
              <w:ind w:left="0" w:firstLine="0"/>
              <w:rPr>
                <w:rFonts w:cs="Arial"/>
                <w:sz w:val="18"/>
                <w:szCs w:val="18"/>
              </w:rPr>
            </w:pPr>
          </w:p>
        </w:tc>
        <w:tc>
          <w:tcPr>
            <w:tcW w:w="1458" w:type="dxa"/>
            <w:shd w:val="clear" w:color="auto" w:fill="auto"/>
          </w:tcPr>
          <w:p w:rsidR="009F3675" w:rsidRPr="00C903F8" w:rsidRDefault="009F3675" w:rsidP="00A8005B">
            <w:pPr>
              <w:spacing w:before="200" w:after="200" w:line="240" w:lineRule="atLeast"/>
              <w:ind w:left="0" w:firstLine="0"/>
              <w:rPr>
                <w:rFonts w:cs="Arial"/>
                <w:sz w:val="18"/>
                <w:szCs w:val="18"/>
              </w:rPr>
            </w:pPr>
            <w:r>
              <w:rPr>
                <w:sz w:val="18"/>
              </w:rPr>
              <w:t>paragrafo 6</w:t>
            </w:r>
          </w:p>
        </w:tc>
        <w:tc>
          <w:tcPr>
            <w:tcW w:w="3296" w:type="dxa"/>
            <w:shd w:val="clear" w:color="auto" w:fill="auto"/>
          </w:tcPr>
          <w:p w:rsidR="009F3675" w:rsidRPr="00C903F8" w:rsidRDefault="009F3675" w:rsidP="00A8005B">
            <w:pPr>
              <w:spacing w:before="200" w:after="200" w:line="240" w:lineRule="atLeast"/>
              <w:ind w:left="0" w:firstLine="0"/>
              <w:rPr>
                <w:rFonts w:cs="Arial"/>
                <w:sz w:val="18"/>
                <w:szCs w:val="18"/>
              </w:rPr>
            </w:pPr>
            <w:r>
              <w:rPr>
                <w:noProof/>
                <w:sz w:val="18"/>
              </w:rPr>
              <w:t>Altezza libera negli alloggi</w:t>
            </w:r>
          </w:p>
        </w:tc>
        <w:tc>
          <w:tcPr>
            <w:tcW w:w="6521" w:type="dxa"/>
            <w:shd w:val="clear" w:color="auto" w:fill="auto"/>
          </w:tcPr>
          <w:p w:rsidR="009F3675" w:rsidRPr="00C903F8" w:rsidRDefault="009F3675" w:rsidP="00A8005B">
            <w:pPr>
              <w:spacing w:before="200" w:after="2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A8005B">
            <w:pPr>
              <w:spacing w:before="200" w:after="200" w:line="240" w:lineRule="atLeast"/>
              <w:ind w:left="0" w:firstLine="0"/>
              <w:rPr>
                <w:rFonts w:cs="Arial"/>
                <w:sz w:val="18"/>
                <w:szCs w:val="18"/>
              </w:rPr>
            </w:pPr>
            <w:r>
              <w:rPr>
                <w:sz w:val="18"/>
              </w:rPr>
              <w:t>30.12.2049</w:t>
            </w:r>
          </w:p>
        </w:tc>
      </w:tr>
      <w:tr w:rsidR="009F3675" w:rsidRPr="00C903F8" w:rsidTr="001964F8">
        <w:trPr>
          <w:cantSplit/>
          <w:jc w:val="center"/>
        </w:trPr>
        <w:tc>
          <w:tcPr>
            <w:tcW w:w="1342" w:type="dxa"/>
            <w:tcBorders>
              <w:top w:val="nil"/>
              <w:bottom w:val="nil"/>
            </w:tcBorders>
            <w:shd w:val="clear" w:color="auto" w:fill="auto"/>
          </w:tcPr>
          <w:p w:rsidR="009F3675" w:rsidRPr="00C903F8" w:rsidRDefault="009F3675" w:rsidP="00A8005B">
            <w:pPr>
              <w:spacing w:before="200" w:after="200" w:line="240" w:lineRule="atLeast"/>
              <w:ind w:left="0" w:firstLine="0"/>
              <w:rPr>
                <w:rFonts w:cs="Arial"/>
                <w:sz w:val="18"/>
                <w:szCs w:val="18"/>
              </w:rPr>
            </w:pPr>
          </w:p>
        </w:tc>
        <w:tc>
          <w:tcPr>
            <w:tcW w:w="1458" w:type="dxa"/>
            <w:shd w:val="clear" w:color="auto" w:fill="auto"/>
          </w:tcPr>
          <w:p w:rsidR="009F3675" w:rsidRPr="00C903F8" w:rsidRDefault="009F3675" w:rsidP="00A8005B">
            <w:pPr>
              <w:spacing w:before="200" w:after="200" w:line="240" w:lineRule="atLeast"/>
              <w:ind w:left="0" w:firstLine="0"/>
              <w:rPr>
                <w:rFonts w:cs="Arial"/>
                <w:sz w:val="18"/>
                <w:szCs w:val="18"/>
              </w:rPr>
            </w:pPr>
            <w:r>
              <w:rPr>
                <w:sz w:val="18"/>
              </w:rPr>
              <w:t>paragrafo 8</w:t>
            </w:r>
          </w:p>
        </w:tc>
        <w:tc>
          <w:tcPr>
            <w:tcW w:w="3296" w:type="dxa"/>
            <w:shd w:val="clear" w:color="auto" w:fill="auto"/>
          </w:tcPr>
          <w:p w:rsidR="009F3675" w:rsidRPr="00C903F8" w:rsidRDefault="009F3675" w:rsidP="00A8005B">
            <w:pPr>
              <w:spacing w:before="200" w:after="200" w:line="240" w:lineRule="atLeast"/>
              <w:ind w:left="0" w:firstLine="0"/>
              <w:rPr>
                <w:rFonts w:cs="Arial"/>
                <w:sz w:val="18"/>
                <w:szCs w:val="18"/>
              </w:rPr>
            </w:pPr>
            <w:r>
              <w:rPr>
                <w:noProof/>
                <w:sz w:val="18"/>
              </w:rPr>
              <w:t>Superficie disponibile al suolo nei locali di soggiorno comuni</w:t>
            </w:r>
          </w:p>
        </w:tc>
        <w:tc>
          <w:tcPr>
            <w:tcW w:w="6521" w:type="dxa"/>
            <w:shd w:val="clear" w:color="auto" w:fill="auto"/>
          </w:tcPr>
          <w:p w:rsidR="009F3675" w:rsidRPr="00C903F8" w:rsidRDefault="009F3675" w:rsidP="00A8005B">
            <w:pPr>
              <w:spacing w:before="200" w:after="2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A8005B">
            <w:pPr>
              <w:spacing w:before="200" w:after="200" w:line="240" w:lineRule="atLeast"/>
              <w:ind w:left="0" w:firstLine="0"/>
              <w:rPr>
                <w:rFonts w:cs="Arial"/>
                <w:sz w:val="18"/>
                <w:szCs w:val="18"/>
              </w:rPr>
            </w:pPr>
            <w:r>
              <w:rPr>
                <w:sz w:val="18"/>
              </w:rPr>
              <w:t>30.12.2049</w:t>
            </w:r>
          </w:p>
        </w:tc>
      </w:tr>
      <w:tr w:rsidR="009F3675" w:rsidRPr="00C903F8" w:rsidTr="001964F8">
        <w:trPr>
          <w:cantSplit/>
          <w:jc w:val="center"/>
        </w:trPr>
        <w:tc>
          <w:tcPr>
            <w:tcW w:w="1342" w:type="dxa"/>
            <w:tcBorders>
              <w:top w:val="nil"/>
              <w:bottom w:val="nil"/>
            </w:tcBorders>
            <w:shd w:val="clear" w:color="auto" w:fill="auto"/>
          </w:tcPr>
          <w:p w:rsidR="009F3675" w:rsidRPr="00C903F8" w:rsidRDefault="009F3675" w:rsidP="00A8005B">
            <w:pPr>
              <w:spacing w:before="200" w:after="200" w:line="240" w:lineRule="atLeast"/>
              <w:ind w:left="0" w:firstLine="0"/>
              <w:rPr>
                <w:rFonts w:cs="Arial"/>
                <w:sz w:val="18"/>
                <w:szCs w:val="18"/>
              </w:rPr>
            </w:pPr>
          </w:p>
        </w:tc>
        <w:tc>
          <w:tcPr>
            <w:tcW w:w="1458" w:type="dxa"/>
            <w:shd w:val="clear" w:color="auto" w:fill="auto"/>
          </w:tcPr>
          <w:p w:rsidR="009F3675" w:rsidRPr="00C903F8" w:rsidRDefault="009F3675" w:rsidP="00A8005B">
            <w:pPr>
              <w:spacing w:before="200" w:after="200" w:line="240" w:lineRule="atLeast"/>
              <w:ind w:left="0" w:firstLine="0"/>
              <w:rPr>
                <w:rFonts w:cs="Arial"/>
                <w:sz w:val="18"/>
                <w:szCs w:val="18"/>
              </w:rPr>
            </w:pPr>
            <w:r>
              <w:rPr>
                <w:sz w:val="18"/>
              </w:rPr>
              <w:t>paragrafo 9</w:t>
            </w:r>
          </w:p>
        </w:tc>
        <w:tc>
          <w:tcPr>
            <w:tcW w:w="3296" w:type="dxa"/>
            <w:shd w:val="clear" w:color="auto" w:fill="auto"/>
          </w:tcPr>
          <w:p w:rsidR="009F3675" w:rsidRPr="00C903F8" w:rsidRDefault="009F3675" w:rsidP="00A8005B">
            <w:pPr>
              <w:spacing w:before="200" w:after="200" w:line="240" w:lineRule="atLeast"/>
              <w:ind w:left="0" w:firstLine="0"/>
              <w:rPr>
                <w:rFonts w:cs="Arial"/>
                <w:sz w:val="18"/>
                <w:szCs w:val="18"/>
              </w:rPr>
            </w:pPr>
            <w:r>
              <w:rPr>
                <w:noProof/>
                <w:sz w:val="18"/>
              </w:rPr>
              <w:t>Volume dei locali</w:t>
            </w:r>
          </w:p>
        </w:tc>
        <w:tc>
          <w:tcPr>
            <w:tcW w:w="6521" w:type="dxa"/>
            <w:shd w:val="clear" w:color="auto" w:fill="auto"/>
          </w:tcPr>
          <w:p w:rsidR="009F3675" w:rsidRPr="00C903F8" w:rsidRDefault="009F3675" w:rsidP="00A8005B">
            <w:pPr>
              <w:spacing w:before="200" w:after="2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A8005B">
            <w:pPr>
              <w:spacing w:before="200" w:after="200" w:line="240" w:lineRule="atLeast"/>
              <w:ind w:left="0" w:firstLine="0"/>
              <w:rPr>
                <w:rFonts w:cs="Arial"/>
                <w:sz w:val="18"/>
                <w:szCs w:val="18"/>
              </w:rPr>
            </w:pPr>
            <w:r>
              <w:rPr>
                <w:sz w:val="18"/>
              </w:rPr>
              <w:t>30.12.2049</w:t>
            </w:r>
          </w:p>
        </w:tc>
      </w:tr>
      <w:tr w:rsidR="009F3675" w:rsidRPr="00C903F8" w:rsidTr="001964F8">
        <w:trPr>
          <w:cantSplit/>
          <w:jc w:val="center"/>
        </w:trPr>
        <w:tc>
          <w:tcPr>
            <w:tcW w:w="1342" w:type="dxa"/>
            <w:tcBorders>
              <w:top w:val="nil"/>
              <w:bottom w:val="nil"/>
            </w:tcBorders>
            <w:shd w:val="clear" w:color="auto" w:fill="auto"/>
          </w:tcPr>
          <w:p w:rsidR="009F3675" w:rsidRPr="00C903F8" w:rsidRDefault="009F3675" w:rsidP="00D321F1">
            <w:pPr>
              <w:spacing w:before="280" w:after="280" w:line="240" w:lineRule="atLeast"/>
              <w:ind w:left="0" w:firstLine="0"/>
              <w:rPr>
                <w:rFonts w:cs="Arial"/>
                <w:sz w:val="18"/>
                <w:szCs w:val="18"/>
              </w:rPr>
            </w:pPr>
          </w:p>
        </w:tc>
        <w:tc>
          <w:tcPr>
            <w:tcW w:w="1458" w:type="dxa"/>
            <w:shd w:val="clear" w:color="auto" w:fill="auto"/>
          </w:tcPr>
          <w:p w:rsidR="009F3675" w:rsidRPr="00C903F8" w:rsidRDefault="009F3675" w:rsidP="00D321F1">
            <w:pPr>
              <w:spacing w:before="280" w:after="280" w:line="240" w:lineRule="atLeast"/>
              <w:ind w:left="0" w:firstLine="0"/>
              <w:rPr>
                <w:rFonts w:cs="Arial"/>
                <w:sz w:val="18"/>
                <w:szCs w:val="18"/>
              </w:rPr>
            </w:pPr>
            <w:r>
              <w:rPr>
                <w:sz w:val="18"/>
              </w:rPr>
              <w:t>paragrafo 10</w:t>
            </w:r>
          </w:p>
        </w:tc>
        <w:tc>
          <w:tcPr>
            <w:tcW w:w="3296" w:type="dxa"/>
            <w:shd w:val="clear" w:color="auto" w:fill="auto"/>
          </w:tcPr>
          <w:p w:rsidR="009F3675" w:rsidRPr="00C903F8" w:rsidRDefault="009F3675" w:rsidP="00D321F1">
            <w:pPr>
              <w:spacing w:before="280" w:after="280" w:line="240" w:lineRule="atLeast"/>
              <w:ind w:left="0" w:firstLine="0"/>
              <w:rPr>
                <w:rFonts w:cs="Arial"/>
                <w:sz w:val="18"/>
                <w:szCs w:val="18"/>
              </w:rPr>
            </w:pPr>
            <w:r>
              <w:rPr>
                <w:noProof/>
                <w:sz w:val="18"/>
              </w:rPr>
              <w:t>Volume minimo d'aria per occupante</w:t>
            </w:r>
          </w:p>
        </w:tc>
        <w:tc>
          <w:tcPr>
            <w:tcW w:w="6521" w:type="dxa"/>
            <w:shd w:val="clear" w:color="auto" w:fill="auto"/>
          </w:tcPr>
          <w:p w:rsidR="009F3675" w:rsidRPr="00C903F8" w:rsidRDefault="009F3675" w:rsidP="00D321F1">
            <w:pPr>
              <w:spacing w:before="280" w:after="28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D321F1">
            <w:pPr>
              <w:spacing w:before="280" w:after="280" w:line="240" w:lineRule="atLeast"/>
              <w:ind w:left="0" w:firstLine="0"/>
              <w:rPr>
                <w:rFonts w:cs="Arial"/>
                <w:sz w:val="18"/>
                <w:szCs w:val="18"/>
              </w:rPr>
            </w:pPr>
            <w:r>
              <w:rPr>
                <w:sz w:val="18"/>
              </w:rPr>
              <w:t>30.12.2049</w:t>
            </w:r>
          </w:p>
        </w:tc>
      </w:tr>
      <w:tr w:rsidR="009F3675" w:rsidRPr="00C903F8" w:rsidTr="001964F8">
        <w:trPr>
          <w:cantSplit/>
          <w:jc w:val="center"/>
        </w:trPr>
        <w:tc>
          <w:tcPr>
            <w:tcW w:w="1342" w:type="dxa"/>
            <w:tcBorders>
              <w:top w:val="nil"/>
              <w:bottom w:val="nil"/>
            </w:tcBorders>
            <w:shd w:val="clear" w:color="auto" w:fill="auto"/>
          </w:tcPr>
          <w:p w:rsidR="009F3675" w:rsidRPr="00C903F8" w:rsidRDefault="009F3675" w:rsidP="00D321F1">
            <w:pPr>
              <w:spacing w:before="320" w:after="320" w:line="240" w:lineRule="atLeast"/>
              <w:ind w:left="0" w:firstLine="0"/>
              <w:rPr>
                <w:rFonts w:cs="Arial"/>
                <w:sz w:val="18"/>
                <w:szCs w:val="18"/>
              </w:rPr>
            </w:pPr>
          </w:p>
        </w:tc>
        <w:tc>
          <w:tcPr>
            <w:tcW w:w="1458" w:type="dxa"/>
            <w:shd w:val="clear" w:color="auto" w:fill="auto"/>
          </w:tcPr>
          <w:p w:rsidR="009F3675" w:rsidRPr="00C903F8" w:rsidRDefault="009F3675" w:rsidP="00D321F1">
            <w:pPr>
              <w:spacing w:before="320" w:after="320" w:line="240" w:lineRule="atLeast"/>
              <w:ind w:left="0" w:firstLine="0"/>
              <w:rPr>
                <w:rFonts w:cs="Arial"/>
                <w:sz w:val="18"/>
                <w:szCs w:val="18"/>
              </w:rPr>
            </w:pPr>
            <w:r>
              <w:rPr>
                <w:sz w:val="18"/>
              </w:rPr>
              <w:t>paragrafo 11</w:t>
            </w:r>
          </w:p>
        </w:tc>
        <w:tc>
          <w:tcPr>
            <w:tcW w:w="3296" w:type="dxa"/>
            <w:shd w:val="clear" w:color="auto" w:fill="auto"/>
          </w:tcPr>
          <w:p w:rsidR="009F3675" w:rsidRPr="00C903F8" w:rsidRDefault="009F3675" w:rsidP="00D321F1">
            <w:pPr>
              <w:spacing w:before="320" w:after="320" w:line="240" w:lineRule="atLeast"/>
              <w:jc w:val="left"/>
              <w:rPr>
                <w:rFonts w:cs="Arial"/>
                <w:noProof/>
                <w:sz w:val="18"/>
                <w:szCs w:val="18"/>
              </w:rPr>
            </w:pPr>
            <w:r>
              <w:rPr>
                <w:noProof/>
                <w:sz w:val="18"/>
              </w:rPr>
              <w:t>Dimensioni delle porte</w:t>
            </w:r>
          </w:p>
        </w:tc>
        <w:tc>
          <w:tcPr>
            <w:tcW w:w="6521" w:type="dxa"/>
            <w:shd w:val="clear" w:color="auto" w:fill="auto"/>
          </w:tcPr>
          <w:p w:rsidR="009F3675" w:rsidRPr="00C903F8" w:rsidRDefault="009F3675" w:rsidP="00D321F1">
            <w:pPr>
              <w:spacing w:before="320" w:after="3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D321F1">
            <w:pPr>
              <w:spacing w:before="320" w:after="320" w:line="240" w:lineRule="atLeast"/>
              <w:ind w:left="0" w:firstLine="0"/>
              <w:rPr>
                <w:rFonts w:cs="Arial"/>
                <w:sz w:val="18"/>
                <w:szCs w:val="18"/>
              </w:rPr>
            </w:pPr>
            <w:r>
              <w:rPr>
                <w:sz w:val="18"/>
              </w:rPr>
              <w:t>30.12.2049</w:t>
            </w:r>
          </w:p>
        </w:tc>
      </w:tr>
      <w:tr w:rsidR="009F3675" w:rsidRPr="00C903F8" w:rsidTr="001964F8">
        <w:trPr>
          <w:cantSplit/>
          <w:jc w:val="center"/>
        </w:trPr>
        <w:tc>
          <w:tcPr>
            <w:tcW w:w="1342" w:type="dxa"/>
            <w:tcBorders>
              <w:top w:val="nil"/>
              <w:bottom w:val="nil"/>
            </w:tcBorders>
            <w:shd w:val="clear" w:color="auto" w:fill="auto"/>
          </w:tcPr>
          <w:p w:rsidR="009F3675" w:rsidRPr="00C903F8" w:rsidRDefault="009F3675" w:rsidP="00D321F1">
            <w:pPr>
              <w:spacing w:before="320" w:after="320" w:line="240" w:lineRule="atLeast"/>
              <w:ind w:left="0" w:firstLine="0"/>
              <w:rPr>
                <w:rFonts w:cs="Arial"/>
                <w:sz w:val="18"/>
                <w:szCs w:val="18"/>
              </w:rPr>
            </w:pPr>
          </w:p>
        </w:tc>
        <w:tc>
          <w:tcPr>
            <w:tcW w:w="1458" w:type="dxa"/>
            <w:shd w:val="clear" w:color="auto" w:fill="auto"/>
          </w:tcPr>
          <w:p w:rsidR="009F3675" w:rsidRPr="00C903F8" w:rsidRDefault="009F3675" w:rsidP="00D321F1">
            <w:pPr>
              <w:spacing w:before="320" w:after="320" w:line="240" w:lineRule="atLeast"/>
              <w:ind w:left="0" w:firstLine="0"/>
              <w:rPr>
                <w:rFonts w:cs="Arial"/>
                <w:sz w:val="18"/>
                <w:szCs w:val="18"/>
              </w:rPr>
            </w:pPr>
            <w:r>
              <w:rPr>
                <w:sz w:val="18"/>
              </w:rPr>
              <w:t>paragrafo 12, lettere a) e b)</w:t>
            </w:r>
          </w:p>
        </w:tc>
        <w:tc>
          <w:tcPr>
            <w:tcW w:w="3296" w:type="dxa"/>
            <w:shd w:val="clear" w:color="auto" w:fill="auto"/>
          </w:tcPr>
          <w:p w:rsidR="009F3675" w:rsidRPr="00C903F8" w:rsidRDefault="009F3675" w:rsidP="00D321F1">
            <w:pPr>
              <w:tabs>
                <w:tab w:val="left" w:pos="1080"/>
              </w:tabs>
              <w:spacing w:before="320" w:after="320" w:line="240" w:lineRule="atLeast"/>
              <w:ind w:left="0" w:firstLine="0"/>
              <w:rPr>
                <w:rFonts w:cs="Arial"/>
                <w:sz w:val="18"/>
                <w:szCs w:val="18"/>
              </w:rPr>
            </w:pPr>
            <w:r>
              <w:rPr>
                <w:noProof/>
                <w:sz w:val="18"/>
              </w:rPr>
              <w:t>Caratteristiche delle scale</w:t>
            </w:r>
          </w:p>
        </w:tc>
        <w:tc>
          <w:tcPr>
            <w:tcW w:w="6521" w:type="dxa"/>
            <w:shd w:val="clear" w:color="auto" w:fill="auto"/>
          </w:tcPr>
          <w:p w:rsidR="009F3675" w:rsidRPr="00C903F8" w:rsidRDefault="009F3675" w:rsidP="00D321F1">
            <w:pPr>
              <w:spacing w:before="320" w:after="3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D321F1">
            <w:pPr>
              <w:spacing w:before="320" w:after="320" w:line="240" w:lineRule="atLeast"/>
              <w:ind w:left="0" w:firstLine="0"/>
              <w:rPr>
                <w:rFonts w:cs="Arial"/>
                <w:sz w:val="18"/>
                <w:szCs w:val="18"/>
              </w:rPr>
            </w:pPr>
            <w:r>
              <w:rPr>
                <w:sz w:val="18"/>
              </w:rPr>
              <w:t>30.12.2049</w:t>
            </w:r>
          </w:p>
        </w:tc>
      </w:tr>
      <w:tr w:rsidR="009F3675" w:rsidRPr="00C903F8" w:rsidTr="001964F8">
        <w:trPr>
          <w:cantSplit/>
          <w:jc w:val="center"/>
        </w:trPr>
        <w:tc>
          <w:tcPr>
            <w:tcW w:w="1342" w:type="dxa"/>
            <w:tcBorders>
              <w:top w:val="nil"/>
            </w:tcBorders>
            <w:shd w:val="clear" w:color="auto" w:fill="auto"/>
          </w:tcPr>
          <w:p w:rsidR="009F3675" w:rsidRPr="00C903F8" w:rsidRDefault="009F3675" w:rsidP="00D321F1">
            <w:pPr>
              <w:spacing w:before="320" w:after="320" w:line="240" w:lineRule="atLeast"/>
              <w:ind w:left="0" w:firstLine="0"/>
              <w:rPr>
                <w:rFonts w:cs="Arial"/>
                <w:sz w:val="18"/>
                <w:szCs w:val="18"/>
              </w:rPr>
            </w:pPr>
          </w:p>
        </w:tc>
        <w:tc>
          <w:tcPr>
            <w:tcW w:w="1458" w:type="dxa"/>
            <w:shd w:val="clear" w:color="auto" w:fill="auto"/>
          </w:tcPr>
          <w:p w:rsidR="009F3675" w:rsidRPr="00C903F8" w:rsidRDefault="009F3675" w:rsidP="00D321F1">
            <w:pPr>
              <w:spacing w:before="320" w:after="320" w:line="240" w:lineRule="atLeast"/>
              <w:ind w:left="0" w:firstLine="0"/>
              <w:rPr>
                <w:rFonts w:cs="Arial"/>
                <w:sz w:val="18"/>
                <w:szCs w:val="18"/>
              </w:rPr>
            </w:pPr>
            <w:r>
              <w:rPr>
                <w:sz w:val="18"/>
              </w:rPr>
              <w:t>paragrafo 13</w:t>
            </w:r>
          </w:p>
        </w:tc>
        <w:tc>
          <w:tcPr>
            <w:tcW w:w="3296" w:type="dxa"/>
            <w:shd w:val="clear" w:color="auto" w:fill="auto"/>
          </w:tcPr>
          <w:p w:rsidR="009F3675" w:rsidRPr="00C903F8" w:rsidRDefault="009F3675" w:rsidP="00D321F1">
            <w:pPr>
              <w:spacing w:before="320" w:after="320" w:line="240" w:lineRule="atLeast"/>
              <w:ind w:left="0" w:firstLine="0"/>
              <w:jc w:val="left"/>
              <w:rPr>
                <w:rFonts w:cs="Arial"/>
                <w:noProof/>
                <w:sz w:val="18"/>
                <w:szCs w:val="18"/>
              </w:rPr>
            </w:pPr>
            <w:r>
              <w:rPr>
                <w:noProof/>
                <w:sz w:val="18"/>
              </w:rPr>
              <w:t>Condutture di gas e liquidi pericolosi</w:t>
            </w:r>
          </w:p>
        </w:tc>
        <w:tc>
          <w:tcPr>
            <w:tcW w:w="6521" w:type="dxa"/>
            <w:shd w:val="clear" w:color="auto" w:fill="auto"/>
          </w:tcPr>
          <w:p w:rsidR="009F3675" w:rsidRPr="00C903F8" w:rsidRDefault="009F3675" w:rsidP="00D321F1">
            <w:pPr>
              <w:spacing w:before="320" w:after="3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D321F1">
            <w:pPr>
              <w:spacing w:before="320" w:after="320" w:line="240" w:lineRule="atLeast"/>
              <w:ind w:left="0" w:firstLine="0"/>
              <w:rPr>
                <w:rFonts w:cs="Arial"/>
                <w:sz w:val="18"/>
                <w:szCs w:val="18"/>
              </w:rPr>
            </w:pPr>
            <w:r>
              <w:rPr>
                <w:sz w:val="18"/>
              </w:rPr>
              <w:t>30.12.2049</w:t>
            </w:r>
          </w:p>
        </w:tc>
      </w:tr>
      <w:tr w:rsidR="009F3675" w:rsidRPr="00C903F8" w:rsidTr="001964F8">
        <w:trPr>
          <w:cantSplit/>
          <w:jc w:val="center"/>
        </w:trPr>
        <w:tc>
          <w:tcPr>
            <w:tcW w:w="1342" w:type="dxa"/>
            <w:shd w:val="clear" w:color="auto" w:fill="auto"/>
          </w:tcPr>
          <w:p w:rsidR="009F3675" w:rsidRPr="00C903F8" w:rsidRDefault="009F3675" w:rsidP="00D321F1">
            <w:pPr>
              <w:spacing w:before="320" w:after="320" w:line="240" w:lineRule="atLeast"/>
              <w:ind w:left="0" w:firstLine="0"/>
              <w:rPr>
                <w:rFonts w:cs="Arial"/>
                <w:sz w:val="18"/>
                <w:szCs w:val="18"/>
              </w:rPr>
            </w:pPr>
            <w:r>
              <w:rPr>
                <w:sz w:val="18"/>
              </w:rPr>
              <w:t>15.03</w:t>
            </w:r>
          </w:p>
        </w:tc>
        <w:tc>
          <w:tcPr>
            <w:tcW w:w="1458" w:type="dxa"/>
            <w:shd w:val="clear" w:color="auto" w:fill="auto"/>
          </w:tcPr>
          <w:p w:rsidR="009F3675" w:rsidRPr="00C903F8" w:rsidRDefault="009F3675" w:rsidP="00D321F1">
            <w:pPr>
              <w:spacing w:before="320" w:after="320" w:line="240" w:lineRule="atLeast"/>
              <w:ind w:left="0" w:firstLine="0"/>
              <w:rPr>
                <w:rFonts w:cs="Arial"/>
                <w:sz w:val="18"/>
                <w:szCs w:val="18"/>
              </w:rPr>
            </w:pPr>
          </w:p>
        </w:tc>
        <w:tc>
          <w:tcPr>
            <w:tcW w:w="3296" w:type="dxa"/>
            <w:shd w:val="clear" w:color="auto" w:fill="auto"/>
          </w:tcPr>
          <w:p w:rsidR="009F3675" w:rsidRPr="00C903F8" w:rsidRDefault="009F3675" w:rsidP="00D321F1">
            <w:pPr>
              <w:spacing w:before="320" w:after="320" w:line="240" w:lineRule="atLeast"/>
              <w:jc w:val="left"/>
              <w:rPr>
                <w:rFonts w:cs="Arial"/>
                <w:noProof/>
                <w:sz w:val="18"/>
                <w:szCs w:val="18"/>
              </w:rPr>
            </w:pPr>
            <w:r>
              <w:rPr>
                <w:noProof/>
                <w:sz w:val="18"/>
              </w:rPr>
              <w:t>Servizi igienici</w:t>
            </w:r>
          </w:p>
        </w:tc>
        <w:tc>
          <w:tcPr>
            <w:tcW w:w="6521" w:type="dxa"/>
            <w:shd w:val="clear" w:color="auto" w:fill="auto"/>
          </w:tcPr>
          <w:p w:rsidR="009F3675" w:rsidRPr="00C903F8" w:rsidRDefault="009F3675" w:rsidP="00D321F1">
            <w:pPr>
              <w:spacing w:before="320" w:after="3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D321F1">
            <w:pPr>
              <w:spacing w:before="320" w:after="320" w:line="240" w:lineRule="atLeast"/>
              <w:ind w:left="0" w:firstLine="0"/>
              <w:rPr>
                <w:rFonts w:cs="Arial"/>
                <w:sz w:val="18"/>
                <w:szCs w:val="18"/>
              </w:rPr>
            </w:pPr>
            <w:r>
              <w:rPr>
                <w:sz w:val="18"/>
              </w:rPr>
              <w:t>30.12.2049</w:t>
            </w:r>
          </w:p>
        </w:tc>
      </w:tr>
      <w:tr w:rsidR="009F3675" w:rsidRPr="00C903F8" w:rsidTr="001964F8">
        <w:trPr>
          <w:cantSplit/>
          <w:jc w:val="center"/>
        </w:trPr>
        <w:tc>
          <w:tcPr>
            <w:tcW w:w="1342" w:type="dxa"/>
            <w:shd w:val="clear" w:color="auto" w:fill="auto"/>
          </w:tcPr>
          <w:p w:rsidR="009F3675" w:rsidRPr="00C903F8" w:rsidRDefault="009F3675" w:rsidP="00D321F1">
            <w:pPr>
              <w:spacing w:before="320" w:after="320" w:line="240" w:lineRule="atLeast"/>
              <w:ind w:left="0" w:firstLine="0"/>
              <w:rPr>
                <w:rFonts w:cs="Arial"/>
                <w:sz w:val="18"/>
                <w:szCs w:val="18"/>
              </w:rPr>
            </w:pPr>
            <w:r>
              <w:rPr>
                <w:sz w:val="18"/>
              </w:rPr>
              <w:t>15.04</w:t>
            </w:r>
          </w:p>
        </w:tc>
        <w:tc>
          <w:tcPr>
            <w:tcW w:w="1458" w:type="dxa"/>
            <w:shd w:val="clear" w:color="auto" w:fill="auto"/>
          </w:tcPr>
          <w:p w:rsidR="009F3675" w:rsidRPr="00C903F8" w:rsidRDefault="009F3675" w:rsidP="00D321F1">
            <w:pPr>
              <w:spacing w:before="320" w:after="320" w:line="240" w:lineRule="atLeast"/>
              <w:ind w:left="0" w:firstLine="0"/>
              <w:rPr>
                <w:rFonts w:cs="Arial"/>
                <w:sz w:val="18"/>
                <w:szCs w:val="18"/>
              </w:rPr>
            </w:pPr>
          </w:p>
        </w:tc>
        <w:tc>
          <w:tcPr>
            <w:tcW w:w="3296" w:type="dxa"/>
            <w:shd w:val="clear" w:color="auto" w:fill="auto"/>
          </w:tcPr>
          <w:p w:rsidR="009F3675" w:rsidRPr="00C903F8" w:rsidRDefault="009F3675" w:rsidP="00D321F1">
            <w:pPr>
              <w:spacing w:before="320" w:after="320" w:line="240" w:lineRule="atLeast"/>
              <w:jc w:val="left"/>
              <w:rPr>
                <w:rFonts w:cs="Arial"/>
                <w:noProof/>
                <w:sz w:val="18"/>
                <w:szCs w:val="18"/>
              </w:rPr>
            </w:pPr>
            <w:r>
              <w:rPr>
                <w:noProof/>
                <w:sz w:val="18"/>
              </w:rPr>
              <w:t>Cucine</w:t>
            </w:r>
          </w:p>
        </w:tc>
        <w:tc>
          <w:tcPr>
            <w:tcW w:w="6521" w:type="dxa"/>
            <w:shd w:val="clear" w:color="auto" w:fill="auto"/>
          </w:tcPr>
          <w:p w:rsidR="009F3675" w:rsidRPr="00C903F8" w:rsidRDefault="009F3675" w:rsidP="00D321F1">
            <w:pPr>
              <w:spacing w:before="320" w:after="32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D321F1">
            <w:pPr>
              <w:spacing w:before="320" w:after="320" w:line="240" w:lineRule="atLeast"/>
              <w:ind w:left="0" w:firstLine="0"/>
              <w:rPr>
                <w:rFonts w:cs="Arial"/>
                <w:sz w:val="18"/>
                <w:szCs w:val="18"/>
              </w:rPr>
            </w:pPr>
            <w:r>
              <w:rPr>
                <w:sz w:val="18"/>
              </w:rPr>
              <w:t>30.12.2049</w:t>
            </w:r>
          </w:p>
        </w:tc>
      </w:tr>
      <w:tr w:rsidR="009F3675" w:rsidRPr="00A0619C" w:rsidTr="001964F8">
        <w:trPr>
          <w:cantSplit/>
          <w:jc w:val="center"/>
        </w:trPr>
        <w:tc>
          <w:tcPr>
            <w:tcW w:w="1342" w:type="dxa"/>
            <w:shd w:val="clear" w:color="auto" w:fill="auto"/>
          </w:tcPr>
          <w:p w:rsidR="009F3675" w:rsidRPr="00C903F8" w:rsidRDefault="009F3675" w:rsidP="00D321F1">
            <w:pPr>
              <w:spacing w:before="320" w:after="320" w:line="240" w:lineRule="atLeast"/>
              <w:ind w:left="0" w:firstLine="0"/>
              <w:rPr>
                <w:rFonts w:cs="Arial"/>
                <w:sz w:val="18"/>
                <w:szCs w:val="18"/>
              </w:rPr>
            </w:pPr>
            <w:r>
              <w:rPr>
                <w:sz w:val="18"/>
              </w:rPr>
              <w:t>15.05</w:t>
            </w:r>
          </w:p>
        </w:tc>
        <w:tc>
          <w:tcPr>
            <w:tcW w:w="1458" w:type="dxa"/>
            <w:shd w:val="clear" w:color="auto" w:fill="auto"/>
          </w:tcPr>
          <w:p w:rsidR="009F3675" w:rsidRPr="00C903F8" w:rsidRDefault="009F3675" w:rsidP="00D321F1">
            <w:pPr>
              <w:spacing w:before="320" w:after="320" w:line="240" w:lineRule="atLeast"/>
              <w:ind w:left="0" w:firstLine="0"/>
              <w:rPr>
                <w:rFonts w:cs="Arial"/>
                <w:sz w:val="18"/>
                <w:szCs w:val="18"/>
              </w:rPr>
            </w:pPr>
          </w:p>
        </w:tc>
        <w:tc>
          <w:tcPr>
            <w:tcW w:w="3296" w:type="dxa"/>
            <w:shd w:val="clear" w:color="auto" w:fill="auto"/>
          </w:tcPr>
          <w:p w:rsidR="009F3675" w:rsidRPr="00C903F8" w:rsidRDefault="009F3675" w:rsidP="00D321F1">
            <w:pPr>
              <w:spacing w:before="320" w:after="320" w:line="240" w:lineRule="atLeast"/>
              <w:rPr>
                <w:rFonts w:cs="Arial"/>
                <w:color w:val="000000"/>
                <w:sz w:val="18"/>
                <w:szCs w:val="18"/>
              </w:rPr>
            </w:pPr>
            <w:r>
              <w:rPr>
                <w:color w:val="000000"/>
                <w:sz w:val="18"/>
              </w:rPr>
              <w:t>Impianti d'acqua potabile</w:t>
            </w:r>
          </w:p>
        </w:tc>
        <w:tc>
          <w:tcPr>
            <w:tcW w:w="6521" w:type="dxa"/>
            <w:shd w:val="clear" w:color="auto" w:fill="auto"/>
          </w:tcPr>
          <w:p w:rsidR="009F3675" w:rsidRPr="00C903F8" w:rsidRDefault="009F3675" w:rsidP="00D321F1">
            <w:pPr>
              <w:spacing w:before="320" w:after="32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9F3675" w:rsidRPr="00C903F8" w:rsidRDefault="009F3675" w:rsidP="00D321F1">
            <w:pPr>
              <w:spacing w:before="320" w:after="320" w:line="240" w:lineRule="atLeast"/>
              <w:ind w:left="0" w:firstLine="0"/>
              <w:rPr>
                <w:rFonts w:cs="Arial"/>
                <w:sz w:val="18"/>
                <w:szCs w:val="18"/>
              </w:rPr>
            </w:pPr>
          </w:p>
        </w:tc>
      </w:tr>
      <w:tr w:rsidR="009F3675" w:rsidRPr="00C903F8" w:rsidTr="001964F8">
        <w:trPr>
          <w:cantSplit/>
          <w:jc w:val="center"/>
        </w:trPr>
        <w:tc>
          <w:tcPr>
            <w:tcW w:w="1342" w:type="dxa"/>
            <w:shd w:val="clear" w:color="auto" w:fill="auto"/>
          </w:tcPr>
          <w:p w:rsidR="009F3675" w:rsidRPr="00C903F8" w:rsidRDefault="009F3675" w:rsidP="00D321F1">
            <w:pPr>
              <w:spacing w:before="300" w:after="300" w:line="240" w:lineRule="atLeast"/>
              <w:ind w:left="0" w:firstLine="0"/>
              <w:rPr>
                <w:rFonts w:cs="Arial"/>
                <w:sz w:val="18"/>
                <w:szCs w:val="18"/>
              </w:rPr>
            </w:pPr>
            <w:r>
              <w:rPr>
                <w:sz w:val="18"/>
              </w:rPr>
              <w:lastRenderedPageBreak/>
              <w:t>15.06</w:t>
            </w:r>
          </w:p>
        </w:tc>
        <w:tc>
          <w:tcPr>
            <w:tcW w:w="1458" w:type="dxa"/>
            <w:shd w:val="clear" w:color="auto" w:fill="auto"/>
          </w:tcPr>
          <w:p w:rsidR="009F3675" w:rsidRPr="00C903F8" w:rsidRDefault="009F3675" w:rsidP="00D321F1">
            <w:pPr>
              <w:spacing w:before="300" w:after="300" w:line="240" w:lineRule="atLeast"/>
              <w:ind w:left="0" w:firstLine="0"/>
              <w:rPr>
                <w:rFonts w:cs="Arial"/>
                <w:sz w:val="18"/>
                <w:szCs w:val="18"/>
              </w:rPr>
            </w:pPr>
          </w:p>
        </w:tc>
        <w:tc>
          <w:tcPr>
            <w:tcW w:w="3296" w:type="dxa"/>
            <w:shd w:val="clear" w:color="auto" w:fill="auto"/>
          </w:tcPr>
          <w:p w:rsidR="009F3675" w:rsidRPr="00C903F8" w:rsidRDefault="009F3675" w:rsidP="00D321F1">
            <w:pPr>
              <w:spacing w:before="300" w:after="300" w:line="240" w:lineRule="atLeast"/>
              <w:rPr>
                <w:rFonts w:cs="Arial"/>
                <w:color w:val="000000"/>
                <w:sz w:val="18"/>
                <w:szCs w:val="18"/>
              </w:rPr>
            </w:pPr>
            <w:r>
              <w:rPr>
                <w:noProof/>
                <w:sz w:val="18"/>
              </w:rPr>
              <w:t>Riscaldamento e ventilazione</w:t>
            </w:r>
          </w:p>
        </w:tc>
        <w:tc>
          <w:tcPr>
            <w:tcW w:w="6521" w:type="dxa"/>
            <w:shd w:val="clear" w:color="auto" w:fill="auto"/>
          </w:tcPr>
          <w:p w:rsidR="009F3675" w:rsidRPr="00C903F8" w:rsidRDefault="009F3675" w:rsidP="00D321F1">
            <w:pPr>
              <w:spacing w:before="300" w:after="3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D321F1">
            <w:pPr>
              <w:spacing w:before="300" w:after="300" w:line="240" w:lineRule="atLeast"/>
              <w:ind w:left="0" w:firstLine="0"/>
              <w:rPr>
                <w:rFonts w:cs="Arial"/>
                <w:sz w:val="18"/>
                <w:szCs w:val="18"/>
              </w:rPr>
            </w:pPr>
            <w:r>
              <w:rPr>
                <w:sz w:val="18"/>
              </w:rPr>
              <w:t>30.12.2049</w:t>
            </w:r>
          </w:p>
        </w:tc>
      </w:tr>
      <w:tr w:rsidR="009F3675" w:rsidRPr="00C903F8" w:rsidTr="001964F8">
        <w:trPr>
          <w:cantSplit/>
          <w:jc w:val="center"/>
        </w:trPr>
        <w:tc>
          <w:tcPr>
            <w:tcW w:w="1342" w:type="dxa"/>
            <w:shd w:val="clear" w:color="auto" w:fill="auto"/>
          </w:tcPr>
          <w:p w:rsidR="009F3675" w:rsidRPr="00C903F8" w:rsidRDefault="009F3675" w:rsidP="00D321F1">
            <w:pPr>
              <w:spacing w:before="300" w:after="300" w:line="240" w:lineRule="atLeast"/>
              <w:ind w:left="0" w:firstLine="0"/>
              <w:rPr>
                <w:rFonts w:cs="Arial"/>
                <w:sz w:val="18"/>
                <w:szCs w:val="18"/>
              </w:rPr>
            </w:pPr>
            <w:r>
              <w:rPr>
                <w:sz w:val="18"/>
              </w:rPr>
              <w:t>15.07</w:t>
            </w:r>
          </w:p>
        </w:tc>
        <w:tc>
          <w:tcPr>
            <w:tcW w:w="1458" w:type="dxa"/>
            <w:shd w:val="clear" w:color="auto" w:fill="auto"/>
          </w:tcPr>
          <w:p w:rsidR="009F3675" w:rsidRPr="00C903F8" w:rsidRDefault="009F3675" w:rsidP="00D321F1">
            <w:pPr>
              <w:spacing w:before="300" w:after="300" w:line="240" w:lineRule="atLeast"/>
              <w:ind w:left="0" w:firstLine="0"/>
              <w:jc w:val="left"/>
              <w:rPr>
                <w:rFonts w:cs="Arial"/>
                <w:sz w:val="18"/>
                <w:szCs w:val="18"/>
              </w:rPr>
            </w:pPr>
            <w:r>
              <w:rPr>
                <w:sz w:val="18"/>
              </w:rPr>
              <w:t>paragrafo 1, seconda frase</w:t>
            </w:r>
          </w:p>
        </w:tc>
        <w:tc>
          <w:tcPr>
            <w:tcW w:w="3296" w:type="dxa"/>
            <w:shd w:val="clear" w:color="auto" w:fill="auto"/>
          </w:tcPr>
          <w:p w:rsidR="009F3675" w:rsidRPr="00C903F8" w:rsidRDefault="009F3675" w:rsidP="00D321F1">
            <w:pPr>
              <w:spacing w:before="300" w:after="300" w:line="240" w:lineRule="atLeast"/>
              <w:rPr>
                <w:rFonts w:cs="Arial"/>
                <w:color w:val="000000"/>
                <w:sz w:val="18"/>
                <w:szCs w:val="18"/>
              </w:rPr>
            </w:pPr>
            <w:r>
              <w:rPr>
                <w:noProof/>
                <w:sz w:val="18"/>
              </w:rPr>
              <w:t>Altri impianti</w:t>
            </w:r>
          </w:p>
        </w:tc>
        <w:tc>
          <w:tcPr>
            <w:tcW w:w="6521" w:type="dxa"/>
            <w:shd w:val="clear" w:color="auto" w:fill="auto"/>
          </w:tcPr>
          <w:p w:rsidR="009F3675" w:rsidRPr="00C903F8" w:rsidRDefault="009F3675" w:rsidP="00D321F1">
            <w:pPr>
              <w:spacing w:before="300" w:after="3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D321F1">
            <w:pPr>
              <w:spacing w:before="300" w:after="300" w:line="240" w:lineRule="atLeast"/>
              <w:ind w:left="0" w:firstLine="0"/>
              <w:rPr>
                <w:rFonts w:cs="Arial"/>
                <w:sz w:val="18"/>
                <w:szCs w:val="18"/>
              </w:rPr>
            </w:pPr>
            <w:r>
              <w:rPr>
                <w:sz w:val="18"/>
              </w:rPr>
              <w:t>30.12.2049</w:t>
            </w:r>
          </w:p>
        </w:tc>
      </w:tr>
      <w:tr w:rsidR="009F3675" w:rsidRPr="00C903F8" w:rsidTr="001964F8">
        <w:trPr>
          <w:cantSplit/>
          <w:trHeight w:val="70"/>
          <w:jc w:val="center"/>
        </w:trPr>
        <w:tc>
          <w:tcPr>
            <w:tcW w:w="6096" w:type="dxa"/>
            <w:gridSpan w:val="3"/>
            <w:shd w:val="clear" w:color="auto" w:fill="auto"/>
          </w:tcPr>
          <w:p w:rsidR="009F3675" w:rsidRPr="00C903F8" w:rsidRDefault="009F3675" w:rsidP="00A8005B">
            <w:pPr>
              <w:spacing w:before="60" w:after="60" w:line="240" w:lineRule="atLeast"/>
              <w:ind w:left="0" w:firstLine="0"/>
              <w:jc w:val="center"/>
              <w:rPr>
                <w:rFonts w:cs="Arial"/>
                <w:b/>
                <w:sz w:val="18"/>
                <w:szCs w:val="18"/>
              </w:rPr>
            </w:pPr>
            <w:r>
              <w:rPr>
                <w:b/>
                <w:sz w:val="18"/>
              </w:rPr>
              <w:t>CAPO 18</w:t>
            </w:r>
          </w:p>
        </w:tc>
        <w:tc>
          <w:tcPr>
            <w:tcW w:w="6521" w:type="dxa"/>
            <w:shd w:val="clear" w:color="auto" w:fill="auto"/>
          </w:tcPr>
          <w:p w:rsidR="009F3675" w:rsidRPr="00C903F8" w:rsidRDefault="009F3675" w:rsidP="00A8005B">
            <w:pPr>
              <w:spacing w:before="60" w:after="60" w:line="240" w:lineRule="atLeast"/>
              <w:ind w:left="0" w:firstLine="0"/>
              <w:rPr>
                <w:rFonts w:cs="Arial"/>
                <w:sz w:val="18"/>
                <w:szCs w:val="18"/>
              </w:rPr>
            </w:pPr>
          </w:p>
        </w:tc>
        <w:tc>
          <w:tcPr>
            <w:tcW w:w="1276" w:type="dxa"/>
            <w:shd w:val="clear" w:color="auto" w:fill="auto"/>
          </w:tcPr>
          <w:p w:rsidR="009F3675" w:rsidRPr="00C903F8" w:rsidRDefault="009F3675" w:rsidP="00A8005B">
            <w:pPr>
              <w:spacing w:before="60" w:after="60" w:line="240" w:lineRule="atLeast"/>
              <w:ind w:left="0" w:firstLine="0"/>
              <w:rPr>
                <w:rFonts w:cs="Arial"/>
                <w:sz w:val="18"/>
                <w:szCs w:val="18"/>
              </w:rPr>
            </w:pPr>
          </w:p>
        </w:tc>
      </w:tr>
      <w:tr w:rsidR="009F3675" w:rsidRPr="00A0619C" w:rsidTr="007E4031">
        <w:trPr>
          <w:cantSplit/>
          <w:jc w:val="center"/>
        </w:trPr>
        <w:tc>
          <w:tcPr>
            <w:tcW w:w="1342" w:type="dxa"/>
            <w:vMerge w:val="restart"/>
            <w:shd w:val="clear" w:color="auto" w:fill="auto"/>
          </w:tcPr>
          <w:p w:rsidR="009F3675" w:rsidRPr="002E100D" w:rsidRDefault="009F3675" w:rsidP="00A8005B">
            <w:pPr>
              <w:spacing w:before="60" w:after="60" w:line="240" w:lineRule="atLeast"/>
              <w:rPr>
                <w:rFonts w:cs="Arial"/>
                <w:sz w:val="18"/>
                <w:szCs w:val="18"/>
              </w:rPr>
            </w:pPr>
            <w:r>
              <w:rPr>
                <w:sz w:val="18"/>
              </w:rPr>
              <w:t>18.01</w:t>
            </w:r>
          </w:p>
        </w:tc>
        <w:tc>
          <w:tcPr>
            <w:tcW w:w="1458" w:type="dxa"/>
            <w:vMerge w:val="restart"/>
            <w:shd w:val="clear" w:color="auto" w:fill="auto"/>
          </w:tcPr>
          <w:p w:rsidR="009F3675" w:rsidRPr="002E100D" w:rsidRDefault="009F3675" w:rsidP="00A8005B">
            <w:pPr>
              <w:adjustRightInd w:val="0"/>
              <w:spacing w:before="60" w:after="60" w:line="240" w:lineRule="atLeast"/>
              <w:ind w:left="0" w:right="-108" w:firstLine="0"/>
              <w:jc w:val="left"/>
              <w:rPr>
                <w:rFonts w:cs="Arial"/>
                <w:sz w:val="18"/>
                <w:szCs w:val="18"/>
              </w:rPr>
            </w:pPr>
            <w:r>
              <w:rPr>
                <w:sz w:val="18"/>
              </w:rPr>
              <w:t>paragrafo 2, tabelle 1 e 2 e paragrafo 5</w:t>
            </w:r>
          </w:p>
        </w:tc>
        <w:tc>
          <w:tcPr>
            <w:tcW w:w="3296" w:type="dxa"/>
            <w:tcBorders>
              <w:bottom w:val="nil"/>
            </w:tcBorders>
            <w:shd w:val="clear" w:color="auto" w:fill="auto"/>
          </w:tcPr>
          <w:p w:rsidR="009F3675" w:rsidRPr="002E100D" w:rsidRDefault="009F3675" w:rsidP="00A8005B">
            <w:pPr>
              <w:adjustRightInd w:val="0"/>
              <w:spacing w:before="60" w:after="60" w:line="240" w:lineRule="atLeast"/>
              <w:ind w:left="0" w:firstLine="0"/>
              <w:rPr>
                <w:rFonts w:cs="Arial"/>
                <w:sz w:val="18"/>
                <w:szCs w:val="18"/>
              </w:rPr>
            </w:pPr>
            <w:r>
              <w:rPr>
                <w:noProof/>
                <w:sz w:val="18"/>
              </w:rPr>
              <w:t>Valori limite/controllo e omologazioni</w:t>
            </w:r>
          </w:p>
        </w:tc>
        <w:tc>
          <w:tcPr>
            <w:tcW w:w="6521" w:type="dxa"/>
            <w:shd w:val="clear" w:color="auto" w:fill="auto"/>
          </w:tcPr>
          <w:p w:rsidR="009F3675" w:rsidRPr="002E100D" w:rsidRDefault="009F3675" w:rsidP="00A8005B">
            <w:pPr>
              <w:spacing w:before="60" w:after="60" w:line="240" w:lineRule="atLeast"/>
              <w:rPr>
                <w:rFonts w:cs="Arial"/>
                <w:sz w:val="18"/>
                <w:szCs w:val="18"/>
              </w:rPr>
            </w:pPr>
            <w:r>
              <w:rPr>
                <w:sz w:val="18"/>
              </w:rPr>
              <w:t>N.S.T. nella misura in cui</w:t>
            </w:r>
          </w:p>
          <w:p w:rsidR="009F3675" w:rsidRPr="002E100D" w:rsidRDefault="009F3675" w:rsidP="00A8005B">
            <w:pPr>
              <w:spacing w:before="60" w:after="60" w:line="240" w:lineRule="atLeast"/>
              <w:ind w:left="317" w:hanging="317"/>
              <w:rPr>
                <w:rFonts w:cs="Arial"/>
                <w:sz w:val="18"/>
                <w:szCs w:val="18"/>
              </w:rPr>
            </w:pPr>
            <w:r>
              <w:rPr>
                <w:sz w:val="18"/>
              </w:rPr>
              <w:t>a)</w:t>
            </w:r>
            <w:r>
              <w:tab/>
            </w:r>
            <w:r>
              <w:rPr>
                <w:sz w:val="18"/>
              </w:rPr>
              <w:t>i valori limite e di controllo non superano i valori di cui alla fase II di più del fattore 2;</w:t>
            </w:r>
          </w:p>
          <w:p w:rsidR="009F3675" w:rsidRPr="002E100D" w:rsidRDefault="009F3675" w:rsidP="00A8005B">
            <w:pPr>
              <w:spacing w:before="60" w:after="60" w:line="240" w:lineRule="atLeast"/>
              <w:ind w:left="317" w:hanging="317"/>
              <w:rPr>
                <w:rFonts w:cs="Arial"/>
                <w:sz w:val="18"/>
                <w:szCs w:val="18"/>
              </w:rPr>
            </w:pPr>
            <w:r>
              <w:rPr>
                <w:sz w:val="18"/>
              </w:rPr>
              <w:t>b)</w:t>
            </w:r>
            <w:r>
              <w:tab/>
            </w:r>
            <w:r>
              <w:rPr>
                <w:sz w:val="18"/>
              </w:rPr>
              <w:t>l'impianto di depurazione di bordo è provvisto di un certificato del costruttore o di un esperto attestante che esso è in grado di gestire le situazioni di carico tipiche a bordo della nave;</w:t>
            </w:r>
          </w:p>
          <w:p w:rsidR="009F3675" w:rsidRPr="002E100D" w:rsidRDefault="009F3675" w:rsidP="00A8005B">
            <w:pPr>
              <w:tabs>
                <w:tab w:val="left" w:pos="317"/>
              </w:tabs>
              <w:adjustRightInd w:val="0"/>
              <w:spacing w:before="60" w:after="60" w:line="240" w:lineRule="atLeast"/>
              <w:ind w:left="317" w:hanging="317"/>
              <w:rPr>
                <w:rFonts w:cs="Arial"/>
                <w:sz w:val="18"/>
                <w:szCs w:val="18"/>
              </w:rPr>
            </w:pPr>
            <w:r>
              <w:rPr>
                <w:sz w:val="18"/>
              </w:rPr>
              <w:t>c)</w:t>
            </w:r>
            <w:r>
              <w:tab/>
            </w:r>
            <w:r>
              <w:rPr>
                <w:noProof/>
                <w:sz w:val="18"/>
              </w:rPr>
              <w:t>è in funzione un sistema di gestione dei fanghi di depurazione adeguato alle condizioni operative dell'impianto di depurazione presente sulla nave passeggeri.</w:t>
            </w:r>
          </w:p>
        </w:tc>
        <w:tc>
          <w:tcPr>
            <w:tcW w:w="1276" w:type="dxa"/>
            <w:shd w:val="clear" w:color="auto" w:fill="auto"/>
          </w:tcPr>
          <w:p w:rsidR="009F3675" w:rsidRPr="002E100D" w:rsidRDefault="009F3675" w:rsidP="00A8005B">
            <w:pPr>
              <w:spacing w:before="60" w:after="60" w:line="240" w:lineRule="atLeast"/>
              <w:rPr>
                <w:rFonts w:cs="Arial"/>
                <w:sz w:val="18"/>
                <w:szCs w:val="18"/>
              </w:rPr>
            </w:pPr>
          </w:p>
        </w:tc>
      </w:tr>
      <w:tr w:rsidR="009F3675" w:rsidRPr="00A0619C" w:rsidTr="007E4031">
        <w:trPr>
          <w:cantSplit/>
          <w:jc w:val="center"/>
        </w:trPr>
        <w:tc>
          <w:tcPr>
            <w:tcW w:w="1342" w:type="dxa"/>
            <w:vMerge/>
            <w:shd w:val="clear" w:color="auto" w:fill="auto"/>
          </w:tcPr>
          <w:p w:rsidR="009F3675" w:rsidRPr="002E100D" w:rsidRDefault="009F3675" w:rsidP="00A8005B">
            <w:pPr>
              <w:spacing w:before="60" w:after="60" w:line="240" w:lineRule="atLeast"/>
              <w:ind w:left="0" w:firstLine="0"/>
              <w:rPr>
                <w:rFonts w:cs="Arial"/>
                <w:sz w:val="18"/>
                <w:szCs w:val="18"/>
              </w:rPr>
            </w:pPr>
          </w:p>
        </w:tc>
        <w:tc>
          <w:tcPr>
            <w:tcW w:w="1458" w:type="dxa"/>
            <w:vMerge/>
            <w:shd w:val="clear" w:color="auto" w:fill="auto"/>
          </w:tcPr>
          <w:p w:rsidR="009F3675" w:rsidRPr="002E100D" w:rsidRDefault="009F3675" w:rsidP="00A8005B">
            <w:pPr>
              <w:spacing w:before="60" w:after="60" w:line="240" w:lineRule="atLeast"/>
              <w:ind w:left="0" w:firstLine="0"/>
              <w:rPr>
                <w:rFonts w:cs="Arial"/>
                <w:sz w:val="18"/>
                <w:szCs w:val="18"/>
              </w:rPr>
            </w:pPr>
          </w:p>
        </w:tc>
        <w:tc>
          <w:tcPr>
            <w:tcW w:w="3296" w:type="dxa"/>
            <w:tcBorders>
              <w:top w:val="nil"/>
              <w:bottom w:val="nil"/>
            </w:tcBorders>
            <w:shd w:val="clear" w:color="auto" w:fill="auto"/>
          </w:tcPr>
          <w:p w:rsidR="009F3675" w:rsidRPr="002E100D" w:rsidRDefault="009F3675" w:rsidP="00A8005B">
            <w:pPr>
              <w:tabs>
                <w:tab w:val="left" w:pos="1080"/>
              </w:tabs>
              <w:spacing w:before="60" w:after="60" w:line="240" w:lineRule="atLeast"/>
              <w:ind w:left="0" w:firstLine="0"/>
              <w:rPr>
                <w:rFonts w:cs="Arial"/>
                <w:noProof/>
                <w:sz w:val="18"/>
                <w:szCs w:val="18"/>
              </w:rPr>
            </w:pPr>
          </w:p>
        </w:tc>
        <w:tc>
          <w:tcPr>
            <w:tcW w:w="6521" w:type="dxa"/>
            <w:shd w:val="clear" w:color="auto" w:fill="auto"/>
          </w:tcPr>
          <w:p w:rsidR="009F3675" w:rsidRPr="002E100D" w:rsidRDefault="009F3675" w:rsidP="00A8005B">
            <w:pPr>
              <w:spacing w:before="60" w:after="60" w:line="240" w:lineRule="atLeast"/>
              <w:ind w:left="0" w:firstLine="0"/>
              <w:rPr>
                <w:rFonts w:cs="Arial"/>
                <w:sz w:val="18"/>
                <w:szCs w:val="18"/>
              </w:rPr>
            </w:pPr>
            <w:r>
              <w:rPr>
                <w:sz w:val="18"/>
              </w:rPr>
              <w:t>Gli impianti di depurazione di bordo autorizzati il 1° dicembre 2011 o successivamente a tale data, in conformità dei requisiti della risoluzione CCNR 2010-II-27 (fase II), possono continuare ad essere installati e utilizzati.</w:t>
            </w:r>
          </w:p>
        </w:tc>
        <w:tc>
          <w:tcPr>
            <w:tcW w:w="1276" w:type="dxa"/>
            <w:shd w:val="clear" w:color="auto" w:fill="auto"/>
          </w:tcPr>
          <w:p w:rsidR="009F3675" w:rsidRPr="002E100D" w:rsidRDefault="009F3675" w:rsidP="00A8005B">
            <w:pPr>
              <w:spacing w:before="60" w:after="60" w:line="240" w:lineRule="atLeast"/>
              <w:ind w:left="0" w:firstLine="0"/>
              <w:rPr>
                <w:rFonts w:cs="Arial"/>
                <w:sz w:val="18"/>
                <w:szCs w:val="18"/>
              </w:rPr>
            </w:pPr>
          </w:p>
        </w:tc>
      </w:tr>
      <w:tr w:rsidR="009F3675" w:rsidRPr="00A0619C" w:rsidTr="007E4031">
        <w:trPr>
          <w:cantSplit/>
          <w:jc w:val="center"/>
        </w:trPr>
        <w:tc>
          <w:tcPr>
            <w:tcW w:w="1342" w:type="dxa"/>
            <w:vMerge/>
            <w:shd w:val="clear" w:color="auto" w:fill="auto"/>
          </w:tcPr>
          <w:p w:rsidR="009F3675" w:rsidRPr="002E100D" w:rsidRDefault="009F3675" w:rsidP="00A8005B">
            <w:pPr>
              <w:spacing w:before="60" w:after="60" w:line="240" w:lineRule="atLeast"/>
              <w:ind w:left="0" w:firstLine="0"/>
              <w:rPr>
                <w:rFonts w:cs="Arial"/>
                <w:sz w:val="18"/>
                <w:szCs w:val="18"/>
              </w:rPr>
            </w:pPr>
          </w:p>
        </w:tc>
        <w:tc>
          <w:tcPr>
            <w:tcW w:w="1458" w:type="dxa"/>
            <w:vMerge/>
            <w:shd w:val="clear" w:color="auto" w:fill="auto"/>
          </w:tcPr>
          <w:p w:rsidR="009F3675" w:rsidRPr="002E100D" w:rsidRDefault="009F3675" w:rsidP="00A8005B">
            <w:pPr>
              <w:spacing w:before="60" w:after="60" w:line="240" w:lineRule="atLeast"/>
              <w:ind w:left="0" w:firstLine="0"/>
              <w:rPr>
                <w:rFonts w:cs="Arial"/>
                <w:sz w:val="18"/>
                <w:szCs w:val="18"/>
              </w:rPr>
            </w:pPr>
          </w:p>
        </w:tc>
        <w:tc>
          <w:tcPr>
            <w:tcW w:w="3296" w:type="dxa"/>
            <w:tcBorders>
              <w:top w:val="nil"/>
            </w:tcBorders>
            <w:shd w:val="clear" w:color="auto" w:fill="auto"/>
          </w:tcPr>
          <w:p w:rsidR="009F3675" w:rsidRPr="002E100D" w:rsidRDefault="009F3675" w:rsidP="00A8005B">
            <w:pPr>
              <w:tabs>
                <w:tab w:val="left" w:pos="1080"/>
              </w:tabs>
              <w:spacing w:before="60" w:after="60" w:line="240" w:lineRule="atLeast"/>
              <w:ind w:left="0" w:firstLine="0"/>
              <w:rPr>
                <w:rFonts w:cs="Arial"/>
                <w:noProof/>
                <w:sz w:val="18"/>
                <w:szCs w:val="18"/>
              </w:rPr>
            </w:pPr>
          </w:p>
        </w:tc>
        <w:tc>
          <w:tcPr>
            <w:tcW w:w="6521" w:type="dxa"/>
            <w:shd w:val="clear" w:color="auto" w:fill="auto"/>
          </w:tcPr>
          <w:p w:rsidR="009F3675" w:rsidRPr="002E100D" w:rsidRDefault="009F3675" w:rsidP="00A8005B">
            <w:pPr>
              <w:spacing w:before="60" w:after="60" w:line="240" w:lineRule="atLeast"/>
              <w:ind w:left="0" w:firstLine="0"/>
              <w:rPr>
                <w:rFonts w:cs="Arial"/>
                <w:sz w:val="18"/>
                <w:szCs w:val="18"/>
              </w:rPr>
            </w:pPr>
            <w:r>
              <w:rPr>
                <w:sz w:val="18"/>
              </w:rPr>
              <w:t>Gli impianti di depurazione di bordo autorizzati il 10 gennaio 2013 o successivamente a tale data, in conformità dei requisiti della direttiva 2012/49/UE (fase II), possono continuare ad essere installati e utilizzati.</w:t>
            </w:r>
          </w:p>
        </w:tc>
        <w:tc>
          <w:tcPr>
            <w:tcW w:w="1276" w:type="dxa"/>
            <w:shd w:val="clear" w:color="auto" w:fill="auto"/>
          </w:tcPr>
          <w:p w:rsidR="009F3675" w:rsidRPr="002E100D" w:rsidRDefault="009F3675" w:rsidP="00A8005B">
            <w:pPr>
              <w:spacing w:before="60" w:after="60" w:line="240" w:lineRule="atLeast"/>
              <w:ind w:left="0" w:firstLine="0"/>
              <w:rPr>
                <w:rFonts w:cs="Arial"/>
                <w:sz w:val="18"/>
                <w:szCs w:val="18"/>
              </w:rPr>
            </w:pPr>
          </w:p>
        </w:tc>
      </w:tr>
      <w:tr w:rsidR="009F3675" w:rsidRPr="00C903F8" w:rsidTr="001964F8">
        <w:trPr>
          <w:cantSplit/>
          <w:jc w:val="center"/>
        </w:trPr>
        <w:tc>
          <w:tcPr>
            <w:tcW w:w="6096" w:type="dxa"/>
            <w:gridSpan w:val="3"/>
            <w:shd w:val="clear" w:color="auto" w:fill="auto"/>
          </w:tcPr>
          <w:p w:rsidR="009F3675" w:rsidRPr="00C903F8" w:rsidRDefault="009F3675" w:rsidP="00A8005B">
            <w:pPr>
              <w:tabs>
                <w:tab w:val="left" w:pos="1080"/>
              </w:tabs>
              <w:spacing w:before="60" w:after="60" w:line="240" w:lineRule="atLeast"/>
              <w:ind w:left="0" w:firstLine="0"/>
              <w:jc w:val="center"/>
              <w:rPr>
                <w:rFonts w:cs="Arial"/>
                <w:sz w:val="18"/>
                <w:szCs w:val="18"/>
              </w:rPr>
            </w:pPr>
            <w:r>
              <w:rPr>
                <w:b/>
                <w:sz w:val="18"/>
              </w:rPr>
              <w:t>CAPO 19</w:t>
            </w:r>
          </w:p>
        </w:tc>
        <w:tc>
          <w:tcPr>
            <w:tcW w:w="6521" w:type="dxa"/>
            <w:shd w:val="clear" w:color="auto" w:fill="auto"/>
          </w:tcPr>
          <w:p w:rsidR="009F3675" w:rsidRPr="00C903F8" w:rsidRDefault="009F3675" w:rsidP="00A8005B">
            <w:pPr>
              <w:spacing w:before="60" w:after="60" w:line="240" w:lineRule="atLeast"/>
              <w:ind w:left="0" w:firstLine="0"/>
              <w:rPr>
                <w:rFonts w:cs="Arial"/>
                <w:sz w:val="18"/>
                <w:szCs w:val="18"/>
              </w:rPr>
            </w:pPr>
          </w:p>
        </w:tc>
        <w:tc>
          <w:tcPr>
            <w:tcW w:w="1276" w:type="dxa"/>
            <w:shd w:val="clear" w:color="auto" w:fill="auto"/>
          </w:tcPr>
          <w:p w:rsidR="009F3675" w:rsidRPr="00C903F8" w:rsidRDefault="009F3675" w:rsidP="00A8005B">
            <w:pPr>
              <w:spacing w:before="60" w:after="60" w:line="240" w:lineRule="atLeast"/>
              <w:ind w:left="0" w:firstLine="0"/>
              <w:rPr>
                <w:rFonts w:cs="Arial"/>
                <w:sz w:val="18"/>
                <w:szCs w:val="18"/>
              </w:rPr>
            </w:pPr>
          </w:p>
        </w:tc>
      </w:tr>
      <w:tr w:rsidR="009F3675" w:rsidRPr="00A0619C" w:rsidTr="00AA5614">
        <w:trPr>
          <w:cantSplit/>
          <w:trHeight w:val="1133"/>
          <w:jc w:val="center"/>
        </w:trPr>
        <w:tc>
          <w:tcPr>
            <w:tcW w:w="1342" w:type="dxa"/>
            <w:shd w:val="clear" w:color="auto" w:fill="auto"/>
          </w:tcPr>
          <w:p w:rsidR="009F3675" w:rsidRPr="00C903F8" w:rsidRDefault="009F3675" w:rsidP="00A8005B">
            <w:pPr>
              <w:spacing w:before="60" w:after="60" w:line="240" w:lineRule="atLeast"/>
              <w:ind w:left="0" w:firstLine="0"/>
              <w:rPr>
                <w:rFonts w:cs="Arial"/>
                <w:sz w:val="18"/>
                <w:szCs w:val="18"/>
              </w:rPr>
            </w:pPr>
          </w:p>
        </w:tc>
        <w:tc>
          <w:tcPr>
            <w:tcW w:w="1458" w:type="dxa"/>
            <w:shd w:val="clear" w:color="auto" w:fill="auto"/>
          </w:tcPr>
          <w:p w:rsidR="009F3675" w:rsidRPr="00C903F8" w:rsidRDefault="009F3675" w:rsidP="00A8005B">
            <w:pPr>
              <w:spacing w:before="60" w:after="60" w:line="240" w:lineRule="atLeast"/>
              <w:ind w:left="0" w:firstLine="0"/>
              <w:rPr>
                <w:rFonts w:cs="Arial"/>
                <w:sz w:val="18"/>
                <w:szCs w:val="18"/>
              </w:rPr>
            </w:pPr>
          </w:p>
        </w:tc>
        <w:tc>
          <w:tcPr>
            <w:tcW w:w="3296" w:type="dxa"/>
            <w:shd w:val="clear" w:color="auto" w:fill="auto"/>
          </w:tcPr>
          <w:p w:rsidR="009F3675" w:rsidRPr="00C903F8" w:rsidRDefault="009F3675" w:rsidP="00A8005B">
            <w:pPr>
              <w:tabs>
                <w:tab w:val="left" w:pos="1080"/>
              </w:tabs>
              <w:spacing w:before="60" w:after="60" w:line="240" w:lineRule="atLeast"/>
              <w:ind w:left="0" w:firstLine="0"/>
              <w:rPr>
                <w:rFonts w:cs="Arial"/>
                <w:sz w:val="18"/>
                <w:szCs w:val="18"/>
              </w:rPr>
            </w:pPr>
            <w:r>
              <w:rPr>
                <w:sz w:val="18"/>
              </w:rPr>
              <w:t>Navi da passeggeri</w:t>
            </w:r>
          </w:p>
        </w:tc>
        <w:tc>
          <w:tcPr>
            <w:tcW w:w="6521" w:type="dxa"/>
            <w:shd w:val="clear" w:color="auto" w:fill="auto"/>
          </w:tcPr>
          <w:p w:rsidR="009F3675" w:rsidRPr="00C903F8" w:rsidRDefault="009F3675" w:rsidP="00A8005B">
            <w:pPr>
              <w:adjustRightInd w:val="0"/>
              <w:spacing w:before="60" w:after="60" w:line="240" w:lineRule="atLeast"/>
              <w:ind w:left="0" w:firstLine="0"/>
              <w:rPr>
                <w:rFonts w:cs="Arial"/>
                <w:sz w:val="18"/>
                <w:szCs w:val="18"/>
              </w:rPr>
            </w:pPr>
            <w:r>
              <w:rPr>
                <w:sz w:val="18"/>
              </w:rPr>
              <w:t>Cfr. disposizioni previste dai regolamenti per le navi escluse dal campo di applicazione della direttiva 82/714/CEE: "Assenza di pericolo palese"</w:t>
            </w:r>
            <w:r>
              <w:rPr>
                <w:color w:val="000000"/>
                <w:sz w:val="18"/>
              </w:rPr>
              <w:t xml:space="preserve"> </w:t>
            </w:r>
            <w:r>
              <w:rPr>
                <w:color w:val="000000"/>
                <w:sz w:val="18"/>
              </w:rPr>
              <w:br/>
            </w:r>
            <w:r>
              <w:rPr>
                <w:sz w:val="18"/>
              </w:rPr>
              <w:t>Si applica a tutte le disposizioni del capo 19 ad eccezione di quelle menzionate in appresso.</w:t>
            </w:r>
          </w:p>
        </w:tc>
        <w:tc>
          <w:tcPr>
            <w:tcW w:w="1276" w:type="dxa"/>
            <w:shd w:val="clear" w:color="auto" w:fill="auto"/>
          </w:tcPr>
          <w:p w:rsidR="009F3675" w:rsidRPr="00C903F8" w:rsidRDefault="009F3675" w:rsidP="00A8005B">
            <w:pPr>
              <w:spacing w:before="60" w:after="60" w:line="240" w:lineRule="atLeast"/>
              <w:ind w:left="0" w:firstLine="0"/>
              <w:rPr>
                <w:rFonts w:cs="Arial"/>
                <w:sz w:val="18"/>
                <w:szCs w:val="18"/>
              </w:rPr>
            </w:pPr>
          </w:p>
        </w:tc>
      </w:tr>
      <w:tr w:rsidR="009F3675" w:rsidRPr="00C903F8" w:rsidTr="001964F8">
        <w:trPr>
          <w:cantSplit/>
          <w:jc w:val="center"/>
        </w:trPr>
        <w:tc>
          <w:tcPr>
            <w:tcW w:w="1342" w:type="dxa"/>
            <w:shd w:val="clear" w:color="auto" w:fill="auto"/>
          </w:tcPr>
          <w:p w:rsidR="009F3675" w:rsidRPr="00C903F8" w:rsidRDefault="009F3675" w:rsidP="00A8005B">
            <w:pPr>
              <w:spacing w:before="60" w:after="60" w:line="240" w:lineRule="atLeast"/>
              <w:ind w:left="0" w:firstLine="0"/>
              <w:rPr>
                <w:rFonts w:cs="Arial"/>
                <w:sz w:val="18"/>
                <w:szCs w:val="18"/>
              </w:rPr>
            </w:pPr>
            <w:r>
              <w:rPr>
                <w:sz w:val="18"/>
              </w:rPr>
              <w:lastRenderedPageBreak/>
              <w:t>19.01</w:t>
            </w:r>
          </w:p>
        </w:tc>
        <w:tc>
          <w:tcPr>
            <w:tcW w:w="1458" w:type="dxa"/>
            <w:shd w:val="clear" w:color="auto" w:fill="auto"/>
          </w:tcPr>
          <w:p w:rsidR="009F3675" w:rsidRPr="00C903F8" w:rsidRDefault="009F3675" w:rsidP="00A8005B">
            <w:pPr>
              <w:spacing w:before="60" w:after="60" w:line="240" w:lineRule="atLeast"/>
              <w:ind w:left="0" w:firstLine="0"/>
              <w:rPr>
                <w:rFonts w:cs="Arial"/>
                <w:sz w:val="18"/>
                <w:szCs w:val="18"/>
              </w:rPr>
            </w:pPr>
            <w:r>
              <w:rPr>
                <w:sz w:val="18"/>
              </w:rPr>
              <w:t>paragrafi 5 e 6</w:t>
            </w:r>
          </w:p>
        </w:tc>
        <w:tc>
          <w:tcPr>
            <w:tcW w:w="3296" w:type="dxa"/>
            <w:shd w:val="clear" w:color="auto" w:fill="auto"/>
          </w:tcPr>
          <w:p w:rsidR="009F3675" w:rsidRPr="00C903F8" w:rsidRDefault="009F3675" w:rsidP="00A8005B">
            <w:pPr>
              <w:tabs>
                <w:tab w:val="right" w:pos="3856"/>
                <w:tab w:val="center" w:pos="4536"/>
                <w:tab w:val="left" w:pos="6521"/>
                <w:tab w:val="right" w:pos="9072"/>
              </w:tabs>
              <w:spacing w:before="60" w:after="60" w:line="240" w:lineRule="atLeast"/>
              <w:ind w:left="0" w:firstLine="0"/>
              <w:rPr>
                <w:rFonts w:cs="Arial"/>
                <w:sz w:val="18"/>
                <w:szCs w:val="18"/>
              </w:rPr>
            </w:pPr>
            <w:r>
              <w:rPr>
                <w:color w:val="000000"/>
                <w:sz w:val="18"/>
              </w:rPr>
              <w:t xml:space="preserve">Visuale ostruita davanti alla nave per due lunghezze di nave se inferiore a 250 m </w:t>
            </w:r>
            <w:r>
              <w:rPr>
                <w:rFonts w:cs="Arial"/>
                <w:color w:val="000000"/>
                <w:sz w:val="18"/>
                <w:szCs w:val="18"/>
              </w:rPr>
              <w:br/>
            </w:r>
            <w:r>
              <w:rPr>
                <w:sz w:val="18"/>
              </w:rPr>
              <w:t>Visuale sufficiente a marcia indietro</w:t>
            </w:r>
          </w:p>
        </w:tc>
        <w:tc>
          <w:tcPr>
            <w:tcW w:w="6521" w:type="dxa"/>
            <w:shd w:val="clear" w:color="auto" w:fill="auto"/>
          </w:tcPr>
          <w:p w:rsidR="009F3675" w:rsidRPr="00C903F8" w:rsidRDefault="009F3675" w:rsidP="00A8005B">
            <w:pPr>
              <w:spacing w:before="60" w:after="6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9F3675" w:rsidRPr="00C903F8" w:rsidRDefault="009F3675" w:rsidP="00A8005B">
            <w:pPr>
              <w:spacing w:before="60" w:after="60" w:line="240" w:lineRule="atLeast"/>
              <w:ind w:left="0" w:firstLine="0"/>
              <w:rPr>
                <w:rFonts w:cs="Arial"/>
                <w:sz w:val="18"/>
                <w:szCs w:val="18"/>
              </w:rPr>
            </w:pPr>
            <w:r>
              <w:rPr>
                <w:sz w:val="18"/>
              </w:rPr>
              <w:t>1.1.2049</w:t>
            </w:r>
          </w:p>
        </w:tc>
      </w:tr>
      <w:tr w:rsidR="009F3675" w:rsidRPr="00A0619C" w:rsidTr="00AA5614">
        <w:trPr>
          <w:cantSplit/>
          <w:trHeight w:val="1061"/>
          <w:jc w:val="center"/>
        </w:trPr>
        <w:tc>
          <w:tcPr>
            <w:tcW w:w="1342" w:type="dxa"/>
            <w:shd w:val="clear" w:color="auto" w:fill="auto"/>
          </w:tcPr>
          <w:p w:rsidR="009F3675" w:rsidRPr="00E56A84" w:rsidRDefault="009F3675" w:rsidP="00A8005B">
            <w:pPr>
              <w:spacing w:before="60" w:after="60" w:line="240" w:lineRule="atLeast"/>
              <w:rPr>
                <w:rFonts w:cs="Arial"/>
                <w:sz w:val="18"/>
                <w:szCs w:val="18"/>
              </w:rPr>
            </w:pPr>
            <w:r>
              <w:rPr>
                <w:sz w:val="18"/>
              </w:rPr>
              <w:t>19.11</w:t>
            </w:r>
          </w:p>
        </w:tc>
        <w:tc>
          <w:tcPr>
            <w:tcW w:w="1458" w:type="dxa"/>
            <w:shd w:val="clear" w:color="auto" w:fill="auto"/>
          </w:tcPr>
          <w:p w:rsidR="009F3675" w:rsidRPr="00E56A84" w:rsidRDefault="009F3675" w:rsidP="00A8005B">
            <w:pPr>
              <w:spacing w:before="60" w:after="60" w:line="240" w:lineRule="atLeast"/>
              <w:rPr>
                <w:rFonts w:cs="Arial"/>
                <w:sz w:val="18"/>
                <w:szCs w:val="18"/>
              </w:rPr>
            </w:pPr>
            <w:r>
              <w:rPr>
                <w:sz w:val="18"/>
              </w:rPr>
              <w:t>paragrafo 1</w:t>
            </w:r>
          </w:p>
        </w:tc>
        <w:tc>
          <w:tcPr>
            <w:tcW w:w="3296" w:type="dxa"/>
            <w:shd w:val="clear" w:color="auto" w:fill="auto"/>
          </w:tcPr>
          <w:p w:rsidR="009F3675" w:rsidRPr="00E56A84" w:rsidRDefault="009F3675" w:rsidP="00A8005B">
            <w:pPr>
              <w:tabs>
                <w:tab w:val="left" w:pos="1080"/>
              </w:tabs>
              <w:spacing w:before="60" w:after="60" w:line="240" w:lineRule="atLeast"/>
              <w:ind w:left="15" w:hanging="15"/>
              <w:rPr>
                <w:rFonts w:cs="Arial"/>
                <w:noProof/>
                <w:sz w:val="18"/>
                <w:szCs w:val="18"/>
              </w:rPr>
            </w:pPr>
            <w:r>
              <w:rPr>
                <w:noProof/>
                <w:sz w:val="18"/>
              </w:rPr>
              <w:t>Idoneità alla protezione antincendio dei materiali e delle componenti</w:t>
            </w:r>
          </w:p>
        </w:tc>
        <w:tc>
          <w:tcPr>
            <w:tcW w:w="6521" w:type="dxa"/>
            <w:shd w:val="clear" w:color="auto" w:fill="auto"/>
          </w:tcPr>
          <w:p w:rsidR="009F3675" w:rsidRPr="00E56A84" w:rsidRDefault="009F3675" w:rsidP="00A8005B">
            <w:pPr>
              <w:spacing w:before="60" w:after="60" w:line="240" w:lineRule="atLeast"/>
              <w:ind w:left="15" w:hanging="15"/>
              <w:rPr>
                <w:rFonts w:cs="Arial"/>
                <w:sz w:val="18"/>
                <w:szCs w:val="18"/>
              </w:rPr>
            </w:pPr>
            <w:r>
              <w:rPr>
                <w:sz w:val="18"/>
              </w:rPr>
              <w:t>Per materiali e componenti autorizzati in conformità</w:t>
            </w:r>
            <w:r w:rsidR="00A16690">
              <w:rPr>
                <w:sz w:val="18"/>
              </w:rPr>
              <w:t xml:space="preserve"> </w:t>
            </w:r>
            <w:r>
              <w:rPr>
                <w:sz w:val="18"/>
              </w:rPr>
              <w:t>al codice internazionale per l'applicazione delle procedure di prova del fuoco adottato tramite la risoluzione MSC.61(67)</w:t>
            </w:r>
            <w:r>
              <w:rPr>
                <w:rStyle w:val="FootnoteReference"/>
                <w:sz w:val="18"/>
              </w:rPr>
              <w:footnoteReference w:id="48"/>
            </w:r>
            <w:r>
              <w:rPr>
                <w:sz w:val="18"/>
              </w:rPr>
              <w:t>: N.S.T</w:t>
            </w:r>
          </w:p>
        </w:tc>
        <w:tc>
          <w:tcPr>
            <w:tcW w:w="1276" w:type="dxa"/>
            <w:shd w:val="clear" w:color="auto" w:fill="auto"/>
          </w:tcPr>
          <w:p w:rsidR="009F3675" w:rsidRPr="00C903F8" w:rsidRDefault="009F3675" w:rsidP="00A8005B">
            <w:pPr>
              <w:spacing w:before="60" w:after="60" w:line="240" w:lineRule="atLeast"/>
              <w:ind w:left="0" w:firstLine="0"/>
              <w:rPr>
                <w:rFonts w:cs="Arial"/>
                <w:sz w:val="18"/>
                <w:szCs w:val="18"/>
              </w:rPr>
            </w:pPr>
          </w:p>
        </w:tc>
      </w:tr>
      <w:tr w:rsidR="009F3675" w:rsidRPr="00C903F8" w:rsidTr="00995717">
        <w:trPr>
          <w:cantSplit/>
          <w:jc w:val="center"/>
        </w:trPr>
        <w:tc>
          <w:tcPr>
            <w:tcW w:w="6096" w:type="dxa"/>
            <w:gridSpan w:val="3"/>
            <w:shd w:val="clear" w:color="auto" w:fill="auto"/>
          </w:tcPr>
          <w:p w:rsidR="009F3675" w:rsidRPr="00C903F8" w:rsidRDefault="009F3675" w:rsidP="00A8005B">
            <w:pPr>
              <w:tabs>
                <w:tab w:val="left" w:pos="1080"/>
              </w:tabs>
              <w:spacing w:before="60" w:after="60" w:line="240" w:lineRule="atLeast"/>
              <w:ind w:left="0" w:firstLine="0"/>
              <w:jc w:val="center"/>
              <w:rPr>
                <w:rFonts w:cs="Arial"/>
                <w:sz w:val="18"/>
                <w:szCs w:val="18"/>
              </w:rPr>
            </w:pPr>
            <w:r>
              <w:rPr>
                <w:b/>
                <w:sz w:val="18"/>
              </w:rPr>
              <w:t>CAPO 20</w:t>
            </w:r>
          </w:p>
        </w:tc>
        <w:tc>
          <w:tcPr>
            <w:tcW w:w="6521" w:type="dxa"/>
            <w:shd w:val="clear" w:color="auto" w:fill="auto"/>
          </w:tcPr>
          <w:p w:rsidR="009F3675" w:rsidRPr="00C903F8" w:rsidRDefault="009F3675" w:rsidP="00A8005B">
            <w:pPr>
              <w:adjustRightInd w:val="0"/>
              <w:spacing w:before="60" w:after="60" w:line="240" w:lineRule="atLeast"/>
              <w:ind w:left="0" w:firstLine="0"/>
              <w:jc w:val="center"/>
              <w:rPr>
                <w:rFonts w:cs="Arial"/>
                <w:sz w:val="18"/>
                <w:szCs w:val="18"/>
              </w:rPr>
            </w:pPr>
          </w:p>
        </w:tc>
        <w:tc>
          <w:tcPr>
            <w:tcW w:w="1276" w:type="dxa"/>
            <w:shd w:val="clear" w:color="auto" w:fill="auto"/>
          </w:tcPr>
          <w:p w:rsidR="009F3675" w:rsidRPr="00C903F8" w:rsidRDefault="009F3675" w:rsidP="00A8005B">
            <w:pPr>
              <w:spacing w:before="60" w:after="60" w:line="240" w:lineRule="atLeast"/>
              <w:ind w:left="0" w:firstLine="0"/>
              <w:rPr>
                <w:rFonts w:cs="Arial"/>
                <w:sz w:val="18"/>
                <w:szCs w:val="18"/>
              </w:rPr>
            </w:pPr>
          </w:p>
        </w:tc>
      </w:tr>
      <w:tr w:rsidR="009F3675" w:rsidRPr="00A0619C" w:rsidTr="00AA5614">
        <w:trPr>
          <w:cantSplit/>
          <w:trHeight w:val="896"/>
          <w:jc w:val="center"/>
        </w:trPr>
        <w:tc>
          <w:tcPr>
            <w:tcW w:w="1342" w:type="dxa"/>
            <w:shd w:val="clear" w:color="auto" w:fill="auto"/>
          </w:tcPr>
          <w:p w:rsidR="009F3675" w:rsidRPr="00C903F8" w:rsidRDefault="009F3675" w:rsidP="00A8005B">
            <w:pPr>
              <w:spacing w:before="60" w:after="60" w:line="240" w:lineRule="atLeast"/>
              <w:ind w:left="0" w:firstLine="0"/>
              <w:rPr>
                <w:rFonts w:cs="Arial"/>
                <w:sz w:val="18"/>
                <w:szCs w:val="18"/>
              </w:rPr>
            </w:pPr>
          </w:p>
        </w:tc>
        <w:tc>
          <w:tcPr>
            <w:tcW w:w="1458" w:type="dxa"/>
            <w:shd w:val="clear" w:color="auto" w:fill="auto"/>
          </w:tcPr>
          <w:p w:rsidR="009F3675" w:rsidRPr="00C903F8" w:rsidRDefault="009F3675" w:rsidP="00A8005B">
            <w:pPr>
              <w:spacing w:before="60" w:after="60" w:line="240" w:lineRule="atLeast"/>
              <w:ind w:left="0" w:firstLine="0"/>
              <w:rPr>
                <w:rFonts w:cs="Arial"/>
                <w:sz w:val="18"/>
                <w:szCs w:val="18"/>
              </w:rPr>
            </w:pPr>
          </w:p>
        </w:tc>
        <w:tc>
          <w:tcPr>
            <w:tcW w:w="3296" w:type="dxa"/>
            <w:shd w:val="clear" w:color="auto" w:fill="auto"/>
          </w:tcPr>
          <w:p w:rsidR="009F3675" w:rsidRPr="00C903F8" w:rsidRDefault="009F3675" w:rsidP="00A8005B">
            <w:pPr>
              <w:tabs>
                <w:tab w:val="left" w:pos="1080"/>
              </w:tabs>
              <w:spacing w:before="60" w:after="60" w:line="240" w:lineRule="atLeast"/>
              <w:ind w:left="0" w:firstLine="0"/>
              <w:rPr>
                <w:rFonts w:cs="Arial"/>
                <w:sz w:val="18"/>
                <w:szCs w:val="18"/>
              </w:rPr>
            </w:pPr>
            <w:r>
              <w:rPr>
                <w:sz w:val="18"/>
              </w:rPr>
              <w:t>Navi da passeggeri a vela</w:t>
            </w:r>
          </w:p>
        </w:tc>
        <w:tc>
          <w:tcPr>
            <w:tcW w:w="6521" w:type="dxa"/>
            <w:shd w:val="clear" w:color="auto" w:fill="auto"/>
          </w:tcPr>
          <w:p w:rsidR="009F3675" w:rsidRPr="00C903F8" w:rsidRDefault="009F3675" w:rsidP="00A8005B">
            <w:pPr>
              <w:spacing w:before="60" w:after="60" w:line="240" w:lineRule="atLeast"/>
              <w:ind w:left="0" w:firstLine="0"/>
              <w:rPr>
                <w:rFonts w:cs="Arial"/>
                <w:sz w:val="18"/>
                <w:szCs w:val="18"/>
              </w:rPr>
            </w:pPr>
            <w:r>
              <w:rPr>
                <w:sz w:val="18"/>
              </w:rPr>
              <w:t>Cfr. disposizioni previste dai regolamenti per le navi escluse dal campo di applicazione della direttiva 82/714/CEE: "Assenza di pericolo palese".</w:t>
            </w:r>
          </w:p>
        </w:tc>
        <w:tc>
          <w:tcPr>
            <w:tcW w:w="1276" w:type="dxa"/>
            <w:shd w:val="clear" w:color="auto" w:fill="auto"/>
          </w:tcPr>
          <w:p w:rsidR="009F3675" w:rsidRPr="00C903F8" w:rsidRDefault="009F3675" w:rsidP="00A8005B">
            <w:pPr>
              <w:spacing w:before="60" w:after="60" w:line="240" w:lineRule="atLeast"/>
              <w:ind w:left="0" w:firstLine="0"/>
              <w:rPr>
                <w:rFonts w:cs="Arial"/>
                <w:sz w:val="18"/>
                <w:szCs w:val="18"/>
              </w:rPr>
            </w:pPr>
          </w:p>
        </w:tc>
      </w:tr>
      <w:tr w:rsidR="009F3675" w:rsidRPr="00C903F8" w:rsidTr="001964F8">
        <w:trPr>
          <w:cantSplit/>
          <w:jc w:val="center"/>
        </w:trPr>
        <w:tc>
          <w:tcPr>
            <w:tcW w:w="6096" w:type="dxa"/>
            <w:gridSpan w:val="3"/>
            <w:shd w:val="clear" w:color="auto" w:fill="auto"/>
          </w:tcPr>
          <w:p w:rsidR="009F3675" w:rsidRPr="00C903F8" w:rsidRDefault="009F3675" w:rsidP="00A8005B">
            <w:pPr>
              <w:tabs>
                <w:tab w:val="left" w:pos="1080"/>
              </w:tabs>
              <w:spacing w:before="60" w:after="60" w:line="240" w:lineRule="atLeast"/>
              <w:ind w:left="0" w:firstLine="0"/>
              <w:jc w:val="center"/>
              <w:rPr>
                <w:rFonts w:cs="Arial"/>
                <w:sz w:val="18"/>
                <w:szCs w:val="18"/>
              </w:rPr>
            </w:pPr>
            <w:r>
              <w:rPr>
                <w:b/>
                <w:sz w:val="18"/>
              </w:rPr>
              <w:t>CAPO 21</w:t>
            </w:r>
          </w:p>
        </w:tc>
        <w:tc>
          <w:tcPr>
            <w:tcW w:w="6521" w:type="dxa"/>
            <w:shd w:val="clear" w:color="auto" w:fill="auto"/>
          </w:tcPr>
          <w:p w:rsidR="009F3675" w:rsidRPr="00C903F8" w:rsidRDefault="009F3675" w:rsidP="00A8005B">
            <w:pPr>
              <w:spacing w:before="60" w:after="60" w:line="240" w:lineRule="atLeast"/>
              <w:ind w:left="0" w:firstLine="0"/>
              <w:rPr>
                <w:rFonts w:cs="Arial"/>
                <w:sz w:val="18"/>
                <w:szCs w:val="18"/>
              </w:rPr>
            </w:pPr>
          </w:p>
        </w:tc>
        <w:tc>
          <w:tcPr>
            <w:tcW w:w="1276" w:type="dxa"/>
            <w:shd w:val="clear" w:color="auto" w:fill="auto"/>
          </w:tcPr>
          <w:p w:rsidR="009F3675" w:rsidRPr="00C903F8" w:rsidRDefault="009F3675" w:rsidP="00A8005B">
            <w:pPr>
              <w:spacing w:before="60" w:after="60" w:line="240" w:lineRule="atLeast"/>
              <w:ind w:left="0" w:firstLine="0"/>
              <w:rPr>
                <w:rFonts w:cs="Arial"/>
                <w:sz w:val="18"/>
                <w:szCs w:val="18"/>
              </w:rPr>
            </w:pPr>
          </w:p>
        </w:tc>
      </w:tr>
      <w:tr w:rsidR="009F3675" w:rsidRPr="00C903F8" w:rsidTr="00AA5614">
        <w:trPr>
          <w:cantSplit/>
          <w:trHeight w:val="1262"/>
          <w:jc w:val="center"/>
        </w:trPr>
        <w:tc>
          <w:tcPr>
            <w:tcW w:w="1342" w:type="dxa"/>
            <w:tcBorders>
              <w:bottom w:val="nil"/>
            </w:tcBorders>
            <w:shd w:val="clear" w:color="auto" w:fill="auto"/>
          </w:tcPr>
          <w:p w:rsidR="009F3675" w:rsidRPr="00C903F8" w:rsidRDefault="009F3675" w:rsidP="00A8005B">
            <w:pPr>
              <w:spacing w:before="60" w:after="60" w:line="240" w:lineRule="atLeast"/>
              <w:ind w:left="0" w:firstLine="0"/>
              <w:rPr>
                <w:rFonts w:cs="Arial"/>
                <w:sz w:val="18"/>
                <w:szCs w:val="18"/>
              </w:rPr>
            </w:pPr>
            <w:r>
              <w:rPr>
                <w:sz w:val="18"/>
              </w:rPr>
              <w:t>21.01</w:t>
            </w:r>
          </w:p>
        </w:tc>
        <w:tc>
          <w:tcPr>
            <w:tcW w:w="1458" w:type="dxa"/>
            <w:shd w:val="clear" w:color="auto" w:fill="auto"/>
          </w:tcPr>
          <w:p w:rsidR="009F3675" w:rsidRPr="00C903F8" w:rsidRDefault="009F3675" w:rsidP="00A8005B">
            <w:pPr>
              <w:spacing w:before="60" w:after="60" w:line="240" w:lineRule="atLeast"/>
              <w:ind w:left="0" w:firstLine="0"/>
              <w:jc w:val="left"/>
              <w:rPr>
                <w:rFonts w:cs="Arial"/>
                <w:sz w:val="18"/>
                <w:szCs w:val="18"/>
              </w:rPr>
            </w:pPr>
            <w:r>
              <w:rPr>
                <w:sz w:val="18"/>
              </w:rPr>
              <w:t>paragrafo 2</w:t>
            </w:r>
          </w:p>
        </w:tc>
        <w:tc>
          <w:tcPr>
            <w:tcW w:w="3296" w:type="dxa"/>
            <w:shd w:val="clear" w:color="auto" w:fill="auto"/>
          </w:tcPr>
          <w:p w:rsidR="009F3675" w:rsidRPr="00C903F8" w:rsidRDefault="009F3675" w:rsidP="00A8005B">
            <w:pPr>
              <w:tabs>
                <w:tab w:val="left" w:pos="1080"/>
              </w:tabs>
              <w:spacing w:before="60" w:after="60" w:line="240" w:lineRule="atLeast"/>
              <w:ind w:left="0" w:firstLine="0"/>
              <w:rPr>
                <w:rFonts w:cs="Arial"/>
                <w:sz w:val="18"/>
                <w:szCs w:val="18"/>
              </w:rPr>
            </w:pPr>
            <w:r>
              <w:rPr>
                <w:noProof/>
                <w:sz w:val="18"/>
              </w:rPr>
              <w:t>Verricelli speciali o dispositivi d'accoppiamento equivalenti da utilizzare per spingere</w:t>
            </w:r>
          </w:p>
        </w:tc>
        <w:tc>
          <w:tcPr>
            <w:tcW w:w="6521" w:type="dxa"/>
            <w:shd w:val="clear" w:color="auto" w:fill="auto"/>
          </w:tcPr>
          <w:p w:rsidR="009F3675" w:rsidRPr="00C903F8" w:rsidRDefault="009F3675" w:rsidP="00A8005B">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A8005B">
            <w:pPr>
              <w:spacing w:before="60" w:after="60" w:line="240" w:lineRule="atLeast"/>
              <w:ind w:left="0" w:firstLine="0"/>
              <w:rPr>
                <w:rFonts w:cs="Arial"/>
                <w:sz w:val="18"/>
                <w:szCs w:val="18"/>
              </w:rPr>
            </w:pPr>
            <w:r>
              <w:rPr>
                <w:sz w:val="18"/>
              </w:rPr>
              <w:t>30.12.2049</w:t>
            </w:r>
          </w:p>
        </w:tc>
      </w:tr>
      <w:tr w:rsidR="009F3675" w:rsidRPr="00C903F8" w:rsidTr="00AA5614">
        <w:trPr>
          <w:cantSplit/>
          <w:trHeight w:val="854"/>
          <w:jc w:val="center"/>
        </w:trPr>
        <w:tc>
          <w:tcPr>
            <w:tcW w:w="1342" w:type="dxa"/>
            <w:tcBorders>
              <w:top w:val="nil"/>
            </w:tcBorders>
            <w:shd w:val="clear" w:color="auto" w:fill="auto"/>
          </w:tcPr>
          <w:p w:rsidR="009F3675" w:rsidRPr="00C903F8" w:rsidRDefault="009F3675" w:rsidP="00A8005B">
            <w:pPr>
              <w:spacing w:before="60" w:after="60" w:line="240" w:lineRule="atLeast"/>
              <w:ind w:left="0" w:firstLine="0"/>
              <w:rPr>
                <w:rFonts w:cs="Arial"/>
                <w:sz w:val="18"/>
                <w:szCs w:val="18"/>
              </w:rPr>
            </w:pPr>
          </w:p>
        </w:tc>
        <w:tc>
          <w:tcPr>
            <w:tcW w:w="1458" w:type="dxa"/>
            <w:shd w:val="clear" w:color="auto" w:fill="auto"/>
          </w:tcPr>
          <w:p w:rsidR="009F3675" w:rsidRPr="00C903F8" w:rsidRDefault="009F3675" w:rsidP="00A8005B">
            <w:pPr>
              <w:spacing w:before="60" w:after="60" w:line="240" w:lineRule="atLeast"/>
              <w:ind w:left="0" w:firstLine="0"/>
              <w:jc w:val="left"/>
              <w:rPr>
                <w:rFonts w:cs="Arial"/>
                <w:sz w:val="18"/>
                <w:szCs w:val="18"/>
              </w:rPr>
            </w:pPr>
            <w:r>
              <w:rPr>
                <w:sz w:val="18"/>
              </w:rPr>
              <w:t>paragrafo 3, ultima frase</w:t>
            </w:r>
          </w:p>
        </w:tc>
        <w:tc>
          <w:tcPr>
            <w:tcW w:w="3296" w:type="dxa"/>
            <w:shd w:val="clear" w:color="auto" w:fill="auto"/>
          </w:tcPr>
          <w:p w:rsidR="009F3675" w:rsidRPr="00C903F8" w:rsidRDefault="009F3675" w:rsidP="00A8005B">
            <w:pPr>
              <w:tabs>
                <w:tab w:val="left" w:pos="1080"/>
              </w:tabs>
              <w:spacing w:before="60" w:after="60" w:line="240" w:lineRule="atLeast"/>
              <w:ind w:left="0" w:firstLine="0"/>
              <w:rPr>
                <w:rFonts w:cs="Arial"/>
                <w:sz w:val="18"/>
                <w:szCs w:val="18"/>
              </w:rPr>
            </w:pPr>
            <w:r>
              <w:rPr>
                <w:noProof/>
                <w:sz w:val="18"/>
              </w:rPr>
              <w:t>Requisiti dei dispositivi di azionamento</w:t>
            </w:r>
          </w:p>
        </w:tc>
        <w:tc>
          <w:tcPr>
            <w:tcW w:w="6521" w:type="dxa"/>
            <w:shd w:val="clear" w:color="auto" w:fill="auto"/>
          </w:tcPr>
          <w:p w:rsidR="009F3675" w:rsidRPr="00C903F8" w:rsidRDefault="009F3675" w:rsidP="00A8005B">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A8005B">
            <w:pPr>
              <w:spacing w:before="60" w:after="60" w:line="240" w:lineRule="atLeast"/>
              <w:ind w:left="0" w:firstLine="0"/>
              <w:rPr>
                <w:rFonts w:cs="Arial"/>
                <w:sz w:val="18"/>
                <w:szCs w:val="18"/>
              </w:rPr>
            </w:pPr>
            <w:r>
              <w:rPr>
                <w:sz w:val="18"/>
              </w:rPr>
              <w:t>30.12.2049</w:t>
            </w:r>
          </w:p>
        </w:tc>
      </w:tr>
      <w:tr w:rsidR="009F3675" w:rsidRPr="00C903F8" w:rsidTr="001964F8">
        <w:trPr>
          <w:cantSplit/>
          <w:jc w:val="center"/>
        </w:trPr>
        <w:tc>
          <w:tcPr>
            <w:tcW w:w="6096" w:type="dxa"/>
            <w:gridSpan w:val="3"/>
            <w:shd w:val="clear" w:color="auto" w:fill="auto"/>
          </w:tcPr>
          <w:p w:rsidR="009F3675" w:rsidRPr="00C903F8" w:rsidRDefault="009F3675" w:rsidP="00A8005B">
            <w:pPr>
              <w:tabs>
                <w:tab w:val="left" w:pos="1080"/>
              </w:tabs>
              <w:spacing w:before="60" w:after="60" w:line="240" w:lineRule="atLeast"/>
              <w:ind w:left="0" w:firstLine="0"/>
              <w:jc w:val="center"/>
              <w:rPr>
                <w:rFonts w:cs="Arial"/>
                <w:sz w:val="18"/>
                <w:szCs w:val="18"/>
              </w:rPr>
            </w:pPr>
            <w:r>
              <w:rPr>
                <w:b/>
                <w:sz w:val="18"/>
              </w:rPr>
              <w:t>CAPO 22</w:t>
            </w:r>
          </w:p>
        </w:tc>
        <w:tc>
          <w:tcPr>
            <w:tcW w:w="6521" w:type="dxa"/>
            <w:shd w:val="clear" w:color="auto" w:fill="auto"/>
          </w:tcPr>
          <w:p w:rsidR="009F3675" w:rsidRPr="00C903F8" w:rsidRDefault="009F3675" w:rsidP="00A8005B">
            <w:pPr>
              <w:spacing w:before="60" w:after="60" w:line="240" w:lineRule="atLeast"/>
              <w:ind w:left="0" w:firstLine="0"/>
              <w:rPr>
                <w:rFonts w:cs="Arial"/>
                <w:sz w:val="18"/>
                <w:szCs w:val="18"/>
              </w:rPr>
            </w:pPr>
          </w:p>
        </w:tc>
        <w:tc>
          <w:tcPr>
            <w:tcW w:w="1276" w:type="dxa"/>
            <w:shd w:val="clear" w:color="auto" w:fill="auto"/>
          </w:tcPr>
          <w:p w:rsidR="009F3675" w:rsidRPr="00C903F8" w:rsidRDefault="009F3675" w:rsidP="00A8005B">
            <w:pPr>
              <w:spacing w:before="60" w:after="60" w:line="240" w:lineRule="atLeast"/>
              <w:ind w:left="0" w:firstLine="0"/>
              <w:rPr>
                <w:rFonts w:cs="Arial"/>
                <w:sz w:val="18"/>
                <w:szCs w:val="18"/>
              </w:rPr>
            </w:pPr>
          </w:p>
        </w:tc>
      </w:tr>
      <w:tr w:rsidR="009F3675" w:rsidRPr="00A0619C" w:rsidTr="001964F8">
        <w:trPr>
          <w:cantSplit/>
          <w:jc w:val="center"/>
        </w:trPr>
        <w:tc>
          <w:tcPr>
            <w:tcW w:w="1342" w:type="dxa"/>
            <w:shd w:val="clear" w:color="auto" w:fill="auto"/>
          </w:tcPr>
          <w:p w:rsidR="009F3675" w:rsidRPr="00C903F8" w:rsidRDefault="009F3675" w:rsidP="00A8005B">
            <w:pPr>
              <w:spacing w:before="60" w:after="60" w:line="240" w:lineRule="atLeast"/>
              <w:ind w:left="0" w:firstLine="0"/>
              <w:rPr>
                <w:rFonts w:cs="Arial"/>
                <w:sz w:val="18"/>
                <w:szCs w:val="18"/>
              </w:rPr>
            </w:pPr>
          </w:p>
        </w:tc>
        <w:tc>
          <w:tcPr>
            <w:tcW w:w="1458" w:type="dxa"/>
            <w:shd w:val="clear" w:color="auto" w:fill="auto"/>
          </w:tcPr>
          <w:p w:rsidR="009F3675" w:rsidRPr="00C903F8" w:rsidRDefault="009F3675" w:rsidP="00A8005B">
            <w:pPr>
              <w:spacing w:before="60" w:after="60" w:line="240" w:lineRule="atLeast"/>
              <w:ind w:left="0" w:firstLine="0"/>
              <w:rPr>
                <w:rFonts w:cs="Arial"/>
                <w:sz w:val="18"/>
                <w:szCs w:val="18"/>
              </w:rPr>
            </w:pPr>
          </w:p>
        </w:tc>
        <w:tc>
          <w:tcPr>
            <w:tcW w:w="3296" w:type="dxa"/>
            <w:shd w:val="clear" w:color="auto" w:fill="auto"/>
          </w:tcPr>
          <w:p w:rsidR="009F3675" w:rsidRPr="00C903F8" w:rsidRDefault="009F3675" w:rsidP="00A8005B">
            <w:pPr>
              <w:tabs>
                <w:tab w:val="left" w:pos="1080"/>
              </w:tabs>
              <w:spacing w:before="60" w:after="60" w:line="240" w:lineRule="atLeast"/>
              <w:ind w:left="0" w:firstLine="0"/>
              <w:rPr>
                <w:rFonts w:cs="Arial"/>
                <w:sz w:val="18"/>
                <w:szCs w:val="18"/>
              </w:rPr>
            </w:pPr>
            <w:r>
              <w:rPr>
                <w:sz w:val="18"/>
              </w:rPr>
              <w:t>Galleggianti ad uso speciale</w:t>
            </w:r>
          </w:p>
        </w:tc>
        <w:tc>
          <w:tcPr>
            <w:tcW w:w="6521" w:type="dxa"/>
            <w:shd w:val="clear" w:color="auto" w:fill="auto"/>
          </w:tcPr>
          <w:p w:rsidR="009F3675" w:rsidRPr="00C903F8" w:rsidRDefault="009F3675" w:rsidP="005B1BE0">
            <w:pPr>
              <w:spacing w:before="60" w:after="60" w:line="240" w:lineRule="atLeast"/>
              <w:ind w:left="0" w:firstLine="0"/>
              <w:rPr>
                <w:rFonts w:cs="Arial"/>
                <w:sz w:val="18"/>
                <w:szCs w:val="18"/>
              </w:rPr>
            </w:pPr>
            <w:r>
              <w:rPr>
                <w:sz w:val="18"/>
              </w:rPr>
              <w:t>Cfr. disposizioni previste dai regolamenti per le navi escluse dal campo di applicazione della direttiva 82/714/CEE: "Assenza di pericolo palese".</w:t>
            </w:r>
          </w:p>
        </w:tc>
        <w:tc>
          <w:tcPr>
            <w:tcW w:w="1276" w:type="dxa"/>
            <w:shd w:val="clear" w:color="auto" w:fill="auto"/>
          </w:tcPr>
          <w:p w:rsidR="009F3675" w:rsidRPr="00C903F8" w:rsidRDefault="009F3675" w:rsidP="00A8005B">
            <w:pPr>
              <w:spacing w:before="60" w:after="60" w:line="240" w:lineRule="atLeast"/>
              <w:ind w:left="0" w:firstLine="0"/>
              <w:rPr>
                <w:rFonts w:cs="Arial"/>
                <w:sz w:val="18"/>
                <w:szCs w:val="18"/>
              </w:rPr>
            </w:pPr>
          </w:p>
        </w:tc>
      </w:tr>
      <w:tr w:rsidR="009F3675" w:rsidRPr="00C903F8" w:rsidTr="001964F8">
        <w:trPr>
          <w:cantSplit/>
          <w:jc w:val="center"/>
        </w:trPr>
        <w:tc>
          <w:tcPr>
            <w:tcW w:w="6096" w:type="dxa"/>
            <w:gridSpan w:val="3"/>
            <w:shd w:val="clear" w:color="auto" w:fill="auto"/>
          </w:tcPr>
          <w:p w:rsidR="009F3675" w:rsidRPr="00C903F8" w:rsidRDefault="009F3675" w:rsidP="00A8005B">
            <w:pPr>
              <w:tabs>
                <w:tab w:val="left" w:pos="1080"/>
              </w:tabs>
              <w:spacing w:before="60" w:after="60" w:line="240" w:lineRule="atLeast"/>
              <w:ind w:left="0" w:firstLine="0"/>
              <w:jc w:val="center"/>
              <w:rPr>
                <w:rFonts w:cs="Arial"/>
                <w:sz w:val="18"/>
                <w:szCs w:val="18"/>
              </w:rPr>
            </w:pPr>
            <w:r>
              <w:rPr>
                <w:b/>
                <w:sz w:val="18"/>
              </w:rPr>
              <w:t>CAPO 26</w:t>
            </w:r>
          </w:p>
        </w:tc>
        <w:tc>
          <w:tcPr>
            <w:tcW w:w="6521" w:type="dxa"/>
            <w:shd w:val="clear" w:color="auto" w:fill="auto"/>
          </w:tcPr>
          <w:p w:rsidR="009F3675" w:rsidRPr="00C903F8" w:rsidRDefault="009F3675" w:rsidP="00A8005B">
            <w:pPr>
              <w:spacing w:before="60" w:after="60" w:line="240" w:lineRule="atLeast"/>
              <w:ind w:left="0" w:firstLine="0"/>
              <w:rPr>
                <w:rFonts w:cs="Arial"/>
                <w:sz w:val="18"/>
                <w:szCs w:val="18"/>
              </w:rPr>
            </w:pPr>
          </w:p>
        </w:tc>
        <w:tc>
          <w:tcPr>
            <w:tcW w:w="1276" w:type="dxa"/>
            <w:shd w:val="clear" w:color="auto" w:fill="auto"/>
          </w:tcPr>
          <w:p w:rsidR="009F3675" w:rsidRPr="00C903F8" w:rsidRDefault="009F3675" w:rsidP="00A8005B">
            <w:pPr>
              <w:spacing w:before="60" w:after="60" w:line="240" w:lineRule="atLeast"/>
              <w:ind w:left="0" w:firstLine="0"/>
              <w:rPr>
                <w:rFonts w:cs="Arial"/>
                <w:sz w:val="18"/>
                <w:szCs w:val="18"/>
              </w:rPr>
            </w:pPr>
          </w:p>
        </w:tc>
      </w:tr>
      <w:tr w:rsidR="009F3675" w:rsidRPr="00A0619C" w:rsidTr="001964F8">
        <w:trPr>
          <w:cantSplit/>
          <w:jc w:val="center"/>
        </w:trPr>
        <w:tc>
          <w:tcPr>
            <w:tcW w:w="1342" w:type="dxa"/>
            <w:shd w:val="clear" w:color="auto" w:fill="auto"/>
          </w:tcPr>
          <w:p w:rsidR="009F3675" w:rsidRPr="00C903F8" w:rsidRDefault="009F3675" w:rsidP="00A8005B">
            <w:pPr>
              <w:spacing w:before="60" w:after="60" w:line="240" w:lineRule="atLeast"/>
              <w:ind w:left="0" w:firstLine="0"/>
              <w:rPr>
                <w:rFonts w:cs="Arial"/>
                <w:sz w:val="18"/>
                <w:szCs w:val="18"/>
              </w:rPr>
            </w:pPr>
          </w:p>
        </w:tc>
        <w:tc>
          <w:tcPr>
            <w:tcW w:w="1458" w:type="dxa"/>
            <w:shd w:val="clear" w:color="auto" w:fill="auto"/>
          </w:tcPr>
          <w:p w:rsidR="009F3675" w:rsidRPr="00C903F8" w:rsidRDefault="009F3675" w:rsidP="00A8005B">
            <w:pPr>
              <w:spacing w:before="60" w:after="60" w:line="240" w:lineRule="atLeast"/>
              <w:ind w:left="0" w:firstLine="0"/>
              <w:rPr>
                <w:rFonts w:cs="Arial"/>
                <w:sz w:val="18"/>
                <w:szCs w:val="18"/>
              </w:rPr>
            </w:pPr>
          </w:p>
        </w:tc>
        <w:tc>
          <w:tcPr>
            <w:tcW w:w="3296" w:type="dxa"/>
            <w:shd w:val="clear" w:color="auto" w:fill="auto"/>
          </w:tcPr>
          <w:p w:rsidR="009F3675" w:rsidRPr="00C903F8" w:rsidRDefault="009F3675" w:rsidP="00A8005B">
            <w:pPr>
              <w:tabs>
                <w:tab w:val="left" w:pos="1080"/>
              </w:tabs>
              <w:spacing w:before="60" w:after="60" w:line="240" w:lineRule="atLeast"/>
              <w:ind w:left="0" w:firstLine="0"/>
              <w:rPr>
                <w:rFonts w:cs="Arial"/>
                <w:sz w:val="18"/>
                <w:szCs w:val="18"/>
              </w:rPr>
            </w:pPr>
            <w:r>
              <w:rPr>
                <w:sz w:val="18"/>
              </w:rPr>
              <w:t>Imbarcazioni da diporto</w:t>
            </w:r>
          </w:p>
        </w:tc>
        <w:tc>
          <w:tcPr>
            <w:tcW w:w="6521" w:type="dxa"/>
            <w:shd w:val="clear" w:color="auto" w:fill="auto"/>
          </w:tcPr>
          <w:p w:rsidR="009F3675" w:rsidRPr="00C903F8" w:rsidRDefault="009F3675" w:rsidP="005B1BE0">
            <w:pPr>
              <w:spacing w:before="60" w:after="60" w:line="240" w:lineRule="atLeast"/>
              <w:ind w:left="0" w:firstLine="0"/>
              <w:rPr>
                <w:rFonts w:cs="Arial"/>
                <w:sz w:val="18"/>
                <w:szCs w:val="18"/>
              </w:rPr>
            </w:pPr>
            <w:r>
              <w:rPr>
                <w:sz w:val="18"/>
              </w:rPr>
              <w:t>Cfr. disposizioni previste dai regolamenti per le navi escluse dal campo di applicazione della direttiva 82/714/CEE: "Assenza di pericolo palese".</w:t>
            </w:r>
          </w:p>
        </w:tc>
        <w:tc>
          <w:tcPr>
            <w:tcW w:w="1276" w:type="dxa"/>
            <w:shd w:val="clear" w:color="auto" w:fill="auto"/>
          </w:tcPr>
          <w:p w:rsidR="009F3675" w:rsidRPr="00C903F8" w:rsidRDefault="009F3675" w:rsidP="00A8005B">
            <w:pPr>
              <w:spacing w:before="60" w:after="60" w:line="240" w:lineRule="atLeast"/>
              <w:ind w:left="0" w:firstLine="0"/>
              <w:rPr>
                <w:rFonts w:cs="Arial"/>
                <w:sz w:val="18"/>
                <w:szCs w:val="18"/>
              </w:rPr>
            </w:pPr>
          </w:p>
        </w:tc>
      </w:tr>
      <w:tr w:rsidR="009F3675" w:rsidRPr="00C903F8" w:rsidTr="001964F8">
        <w:trPr>
          <w:cantSplit/>
          <w:jc w:val="center"/>
        </w:trPr>
        <w:tc>
          <w:tcPr>
            <w:tcW w:w="6096" w:type="dxa"/>
            <w:gridSpan w:val="3"/>
            <w:shd w:val="clear" w:color="auto" w:fill="auto"/>
          </w:tcPr>
          <w:p w:rsidR="009F3675" w:rsidRPr="00C903F8" w:rsidRDefault="009F3675" w:rsidP="00A8005B">
            <w:pPr>
              <w:tabs>
                <w:tab w:val="left" w:pos="1080"/>
              </w:tabs>
              <w:spacing w:before="60" w:after="60" w:line="240" w:lineRule="atLeast"/>
              <w:ind w:left="0" w:firstLine="0"/>
              <w:jc w:val="center"/>
              <w:rPr>
                <w:rFonts w:cs="Arial"/>
                <w:sz w:val="18"/>
                <w:szCs w:val="18"/>
              </w:rPr>
            </w:pPr>
            <w:r>
              <w:rPr>
                <w:b/>
                <w:sz w:val="18"/>
              </w:rPr>
              <w:lastRenderedPageBreak/>
              <w:t>CAPO 29</w:t>
            </w:r>
          </w:p>
        </w:tc>
        <w:tc>
          <w:tcPr>
            <w:tcW w:w="6521" w:type="dxa"/>
            <w:shd w:val="clear" w:color="auto" w:fill="auto"/>
          </w:tcPr>
          <w:p w:rsidR="009F3675" w:rsidRPr="00C903F8" w:rsidRDefault="009F3675" w:rsidP="00A8005B">
            <w:pPr>
              <w:adjustRightInd w:val="0"/>
              <w:spacing w:before="60" w:after="60" w:line="240" w:lineRule="atLeast"/>
              <w:ind w:left="0" w:firstLine="0"/>
              <w:jc w:val="center"/>
              <w:rPr>
                <w:rFonts w:cs="Arial"/>
                <w:sz w:val="18"/>
                <w:szCs w:val="18"/>
              </w:rPr>
            </w:pPr>
          </w:p>
        </w:tc>
        <w:tc>
          <w:tcPr>
            <w:tcW w:w="1276" w:type="dxa"/>
            <w:shd w:val="clear" w:color="auto" w:fill="auto"/>
          </w:tcPr>
          <w:p w:rsidR="009F3675" w:rsidRPr="00C903F8" w:rsidRDefault="009F3675" w:rsidP="00A8005B">
            <w:pPr>
              <w:spacing w:before="60" w:after="60" w:line="240" w:lineRule="atLeast"/>
              <w:ind w:left="0" w:firstLine="0"/>
              <w:rPr>
                <w:rFonts w:cs="Arial"/>
                <w:sz w:val="18"/>
                <w:szCs w:val="18"/>
              </w:rPr>
            </w:pPr>
          </w:p>
        </w:tc>
      </w:tr>
      <w:tr w:rsidR="009F3675" w:rsidRPr="00C903F8" w:rsidTr="001964F8">
        <w:trPr>
          <w:cantSplit/>
          <w:jc w:val="center"/>
        </w:trPr>
        <w:tc>
          <w:tcPr>
            <w:tcW w:w="1342" w:type="dxa"/>
            <w:shd w:val="clear" w:color="auto" w:fill="auto"/>
          </w:tcPr>
          <w:p w:rsidR="009F3675" w:rsidRPr="00C903F8" w:rsidRDefault="009F3675" w:rsidP="00A8005B">
            <w:pPr>
              <w:spacing w:before="60" w:after="60" w:line="240" w:lineRule="atLeast"/>
              <w:ind w:left="0" w:firstLine="0"/>
              <w:rPr>
                <w:rFonts w:cs="Arial"/>
                <w:sz w:val="18"/>
                <w:szCs w:val="18"/>
              </w:rPr>
            </w:pPr>
            <w:r>
              <w:rPr>
                <w:sz w:val="18"/>
              </w:rPr>
              <w:t xml:space="preserve">29.02 </w:t>
            </w:r>
          </w:p>
        </w:tc>
        <w:tc>
          <w:tcPr>
            <w:tcW w:w="1458" w:type="dxa"/>
            <w:shd w:val="clear" w:color="auto" w:fill="auto"/>
          </w:tcPr>
          <w:p w:rsidR="009F3675" w:rsidRPr="00C903F8" w:rsidRDefault="009F3675" w:rsidP="00A8005B">
            <w:pPr>
              <w:spacing w:before="60" w:after="60" w:line="240" w:lineRule="atLeast"/>
              <w:ind w:left="0" w:firstLine="0"/>
              <w:rPr>
                <w:rFonts w:cs="Arial"/>
                <w:sz w:val="18"/>
                <w:szCs w:val="18"/>
              </w:rPr>
            </w:pPr>
            <w:r>
              <w:rPr>
                <w:sz w:val="18"/>
              </w:rPr>
              <w:t>paragrafo 3</w:t>
            </w:r>
          </w:p>
        </w:tc>
        <w:tc>
          <w:tcPr>
            <w:tcW w:w="3296" w:type="dxa"/>
            <w:shd w:val="clear" w:color="auto" w:fill="auto"/>
          </w:tcPr>
          <w:p w:rsidR="009F3675" w:rsidRPr="00C903F8" w:rsidRDefault="009F3675" w:rsidP="00A8005B">
            <w:pPr>
              <w:tabs>
                <w:tab w:val="left" w:pos="1080"/>
              </w:tabs>
              <w:spacing w:before="60" w:after="60" w:line="240" w:lineRule="atLeast"/>
              <w:ind w:left="0" w:firstLine="0"/>
              <w:rPr>
                <w:rFonts w:cs="Arial"/>
                <w:sz w:val="18"/>
                <w:szCs w:val="18"/>
              </w:rPr>
            </w:pPr>
            <w:r>
              <w:rPr>
                <w:sz w:val="18"/>
              </w:rPr>
              <w:t>Il secondo dispositivo di azionamento del mezzo di governo indipendente o un dispositivo di azionamento manuale entrano in funzione</w:t>
            </w:r>
          </w:p>
        </w:tc>
        <w:tc>
          <w:tcPr>
            <w:tcW w:w="6521" w:type="dxa"/>
            <w:shd w:val="clear" w:color="auto" w:fill="auto"/>
          </w:tcPr>
          <w:p w:rsidR="009F3675" w:rsidRPr="00C903F8" w:rsidRDefault="009F3675" w:rsidP="00A8005B">
            <w:pPr>
              <w:spacing w:before="60" w:after="6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F3675" w:rsidRPr="00C903F8" w:rsidRDefault="009F3675" w:rsidP="00A8005B">
            <w:pPr>
              <w:spacing w:before="60" w:after="60" w:line="240" w:lineRule="atLeast"/>
              <w:ind w:left="0" w:firstLine="0"/>
              <w:rPr>
                <w:rFonts w:cs="Arial"/>
                <w:sz w:val="18"/>
                <w:szCs w:val="18"/>
              </w:rPr>
            </w:pPr>
            <w:r>
              <w:rPr>
                <w:sz w:val="18"/>
              </w:rPr>
              <w:t>30.12.2029</w:t>
            </w:r>
          </w:p>
        </w:tc>
      </w:tr>
    </w:tbl>
    <w:p w:rsidR="001E2331" w:rsidRPr="00C903F8" w:rsidRDefault="001E2331" w:rsidP="001E2331">
      <w:pPr>
        <w:spacing w:line="240" w:lineRule="atLeast"/>
        <w:ind w:left="567" w:hanging="567"/>
      </w:pPr>
    </w:p>
    <w:p w:rsidR="00A455C7" w:rsidRPr="00C903F8" w:rsidRDefault="00A455C7" w:rsidP="001E2331">
      <w:pPr>
        <w:spacing w:line="240" w:lineRule="atLeast"/>
        <w:ind w:left="567" w:hanging="567"/>
      </w:pPr>
    </w:p>
    <w:p w:rsidR="00AA5614" w:rsidRDefault="00AA5614">
      <w:pPr>
        <w:autoSpaceDE/>
        <w:autoSpaceDN/>
        <w:ind w:left="0" w:firstLine="0"/>
        <w:jc w:val="left"/>
        <w:rPr>
          <w:rFonts w:eastAsia="Calibri"/>
          <w:b/>
          <w:sz w:val="22"/>
          <w:szCs w:val="22"/>
        </w:rPr>
      </w:pPr>
      <w:r>
        <w:br w:type="page"/>
      </w:r>
    </w:p>
    <w:p w:rsidR="00A455C7" w:rsidRPr="00C903F8" w:rsidRDefault="001E2331" w:rsidP="00A455C7">
      <w:pPr>
        <w:pStyle w:val="ES-Titre3"/>
      </w:pPr>
      <w:bookmarkStart w:id="589" w:name="_Toc491854288"/>
      <w:bookmarkStart w:id="590" w:name="_Toc535500237"/>
      <w:r>
        <w:lastRenderedPageBreak/>
        <w:t>Articolo 33.03</w:t>
      </w:r>
      <w:bookmarkEnd w:id="589"/>
      <w:bookmarkEnd w:id="590"/>
    </w:p>
    <w:p w:rsidR="001E2331" w:rsidRPr="00934A8A" w:rsidRDefault="00934A8A" w:rsidP="00A455C7">
      <w:pPr>
        <w:pStyle w:val="ES-Titre3a"/>
      </w:pPr>
      <w:bookmarkStart w:id="591" w:name="_Toc421775899"/>
      <w:bookmarkStart w:id="592" w:name="_Toc491854289"/>
      <w:bookmarkStart w:id="593" w:name="_Toc535500238"/>
      <w:r>
        <w:t>Disposizioni transitorie aggiuntive per le imbarcazioni la cui chiglia è stata impostata prima del 1° gennaio 1985</w:t>
      </w:r>
      <w:bookmarkEnd w:id="591"/>
      <w:bookmarkEnd w:id="592"/>
      <w:bookmarkEnd w:id="593"/>
    </w:p>
    <w:p w:rsidR="001E2331" w:rsidRPr="00C903F8" w:rsidRDefault="001E2331" w:rsidP="001E2331">
      <w:pPr>
        <w:spacing w:line="240" w:lineRule="atLeast"/>
        <w:ind w:left="567" w:hanging="567"/>
      </w:pPr>
    </w:p>
    <w:p w:rsidR="00934A8A" w:rsidRPr="008F2BC7" w:rsidRDefault="00934A8A" w:rsidP="00934A8A">
      <w:pPr>
        <w:spacing w:line="240" w:lineRule="atLeast"/>
        <w:ind w:left="567" w:hanging="567"/>
      </w:pPr>
      <w:r>
        <w:t xml:space="preserve">1. </w:t>
      </w:r>
      <w:r>
        <w:tab/>
        <w:t>Oltre alle disposizioni transitorie di cui all'articolo 33.02, le seguenti disposizioni possono essere applicate alle imbarcazioni la cui chiglia è stata impostata anteriormente al 1° gennaio 1985, a condizione che esistano garanzie adeguate per la sicurezza della nave e dell'equipaggio.</w:t>
      </w:r>
    </w:p>
    <w:p w:rsidR="00934A8A" w:rsidRPr="00934A8A" w:rsidRDefault="00934A8A" w:rsidP="00934A8A">
      <w:pPr>
        <w:spacing w:line="240" w:lineRule="atLeast"/>
        <w:ind w:left="567" w:hanging="567"/>
        <w:rPr>
          <w:highlight w:val="yellow"/>
        </w:rPr>
      </w:pPr>
    </w:p>
    <w:p w:rsidR="00934A8A" w:rsidRPr="00934A8A" w:rsidRDefault="00934A8A" w:rsidP="00934A8A">
      <w:pPr>
        <w:spacing w:line="240" w:lineRule="atLeast"/>
        <w:ind w:left="567" w:hanging="567"/>
      </w:pPr>
      <w:r>
        <w:t>2.</w:t>
      </w:r>
      <w:r>
        <w:tab/>
        <w:t>Nella tabella riportata qui di seguito valgono le seguenti definizioni:</w:t>
      </w:r>
    </w:p>
    <w:p w:rsidR="00934A8A" w:rsidRPr="00934A8A" w:rsidRDefault="00934A8A" w:rsidP="00934A8A">
      <w:pPr>
        <w:spacing w:line="240" w:lineRule="atLeast"/>
        <w:ind w:left="567" w:hanging="567"/>
      </w:pPr>
    </w:p>
    <w:p w:rsidR="00934A8A" w:rsidRDefault="00934A8A" w:rsidP="00934A8A">
      <w:pPr>
        <w:spacing w:line="240" w:lineRule="atLeast"/>
        <w:ind w:left="567" w:firstLine="0"/>
      </w:pPr>
      <w:r>
        <w:t xml:space="preserve">"N.S.T.": la disposizione non si applica alle imbarcazioni già in servizio soltanto se le parti in questione sono sostituite o trasformate, la disposizione si applica cioè soltanto alle unità di </w:t>
      </w:r>
      <w:r>
        <w:rPr>
          <w:u w:val="single"/>
        </w:rPr>
        <w:t>N</w:t>
      </w:r>
      <w:r>
        <w:t xml:space="preserve">uova costruzione e alle parti o zone </w:t>
      </w:r>
      <w:r>
        <w:rPr>
          <w:u w:val="single"/>
        </w:rPr>
        <w:t>S</w:t>
      </w:r>
      <w:r>
        <w:t xml:space="preserve">ostituite o </w:t>
      </w:r>
      <w:r>
        <w:rPr>
          <w:u w:val="single"/>
        </w:rPr>
        <w:t>T</w:t>
      </w:r>
      <w:r>
        <w:t xml:space="preserve">rasformate. Se alcune parti esistenti sono sostituite con pezzi di ricambio uguali quanto a tecnologia e tipo, non si tratta di sostituzione "S" ai sensi delle disposizioni transitorie; </w:t>
      </w:r>
    </w:p>
    <w:p w:rsidR="00E959CB" w:rsidRDefault="00E959CB" w:rsidP="00934A8A">
      <w:pPr>
        <w:spacing w:line="240" w:lineRule="atLeast"/>
        <w:ind w:left="567" w:firstLine="0"/>
      </w:pPr>
    </w:p>
    <w:p w:rsidR="00E959CB" w:rsidRDefault="00E959CB" w:rsidP="00E959CB">
      <w:pPr>
        <w:tabs>
          <w:tab w:val="left" w:pos="4678"/>
        </w:tabs>
        <w:spacing w:line="240" w:lineRule="atLeast"/>
        <w:ind w:left="567" w:firstLine="0"/>
      </w:pPr>
      <w:r>
        <w:t>"rilascio o rinnovo del certificato per la navigazione interna": la disposizione deve essere soddisfatta entro la data di rilascio o di rinnovo del certificato per la navigazione interna successivamente all'entrata in vigore della disposizione.</w:t>
      </w:r>
    </w:p>
    <w:p w:rsidR="00E959CB" w:rsidRPr="00934A8A" w:rsidRDefault="00E959CB" w:rsidP="00934A8A">
      <w:pPr>
        <w:spacing w:line="240" w:lineRule="atLeast"/>
        <w:ind w:left="567" w:firstLine="0"/>
      </w:pPr>
    </w:p>
    <w:p w:rsidR="00930A86" w:rsidRPr="00C903F8" w:rsidRDefault="00930A86"/>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930A86" w:rsidRPr="00C903F8" w:rsidTr="00930A86">
        <w:trPr>
          <w:cantSplit/>
          <w:tblHeader/>
          <w:jc w:val="center"/>
        </w:trPr>
        <w:tc>
          <w:tcPr>
            <w:tcW w:w="2800" w:type="dxa"/>
            <w:gridSpan w:val="2"/>
            <w:tcBorders>
              <w:bottom w:val="nil"/>
            </w:tcBorders>
            <w:shd w:val="clear" w:color="auto" w:fill="auto"/>
          </w:tcPr>
          <w:p w:rsidR="00930A86" w:rsidRPr="00C903F8" w:rsidRDefault="00930A86" w:rsidP="008525B2">
            <w:pPr>
              <w:spacing w:before="60" w:after="60" w:line="240" w:lineRule="atLeast"/>
              <w:ind w:left="0" w:firstLine="0"/>
              <w:jc w:val="center"/>
              <w:rPr>
                <w:rFonts w:cs="Arial"/>
                <w:sz w:val="18"/>
                <w:szCs w:val="18"/>
              </w:rPr>
            </w:pPr>
            <w:r>
              <w:rPr>
                <w:i/>
                <w:sz w:val="18"/>
              </w:rPr>
              <w:t>Articolo e paragrafo</w:t>
            </w:r>
          </w:p>
        </w:tc>
        <w:tc>
          <w:tcPr>
            <w:tcW w:w="3296" w:type="dxa"/>
            <w:shd w:val="clear" w:color="auto" w:fill="auto"/>
          </w:tcPr>
          <w:p w:rsidR="00930A86" w:rsidRPr="00C903F8" w:rsidRDefault="00930A86" w:rsidP="008525B2">
            <w:pPr>
              <w:spacing w:before="60" w:after="60" w:line="240" w:lineRule="atLeast"/>
              <w:ind w:left="0" w:firstLine="0"/>
              <w:jc w:val="center"/>
              <w:rPr>
                <w:rFonts w:cs="Arial"/>
                <w:noProof/>
                <w:sz w:val="18"/>
                <w:szCs w:val="18"/>
              </w:rPr>
            </w:pPr>
            <w:r>
              <w:rPr>
                <w:i/>
                <w:sz w:val="18"/>
              </w:rPr>
              <w:t>Contenuto</w:t>
            </w:r>
          </w:p>
        </w:tc>
        <w:tc>
          <w:tcPr>
            <w:tcW w:w="7797" w:type="dxa"/>
            <w:gridSpan w:val="2"/>
            <w:shd w:val="clear" w:color="auto" w:fill="auto"/>
          </w:tcPr>
          <w:p w:rsidR="00930A86" w:rsidRPr="00C903F8" w:rsidRDefault="00930A86" w:rsidP="008525B2">
            <w:pPr>
              <w:spacing w:before="60" w:after="60" w:line="240" w:lineRule="atLeast"/>
              <w:jc w:val="center"/>
              <w:rPr>
                <w:rFonts w:cs="Arial"/>
                <w:sz w:val="18"/>
                <w:szCs w:val="18"/>
              </w:rPr>
            </w:pPr>
            <w:r>
              <w:rPr>
                <w:i/>
                <w:sz w:val="18"/>
              </w:rPr>
              <w:t>Scadenze e osservazioni</w:t>
            </w:r>
          </w:p>
        </w:tc>
      </w:tr>
      <w:tr w:rsidR="00930A86" w:rsidRPr="00C903F8" w:rsidTr="00930A86">
        <w:trPr>
          <w:cantSplit/>
          <w:jc w:val="center"/>
        </w:trPr>
        <w:tc>
          <w:tcPr>
            <w:tcW w:w="6096" w:type="dxa"/>
            <w:gridSpan w:val="3"/>
            <w:shd w:val="clear" w:color="auto" w:fill="auto"/>
          </w:tcPr>
          <w:p w:rsidR="00930A86" w:rsidRPr="00C903F8" w:rsidRDefault="00930A86" w:rsidP="008525B2">
            <w:pPr>
              <w:spacing w:before="100" w:after="100" w:line="240" w:lineRule="atLeast"/>
              <w:ind w:left="0" w:firstLine="0"/>
              <w:jc w:val="center"/>
              <w:rPr>
                <w:rFonts w:cs="Arial"/>
                <w:b/>
                <w:sz w:val="18"/>
                <w:szCs w:val="18"/>
              </w:rPr>
            </w:pPr>
            <w:r>
              <w:rPr>
                <w:b/>
                <w:sz w:val="18"/>
              </w:rPr>
              <w:t>CAPO 3</w:t>
            </w:r>
          </w:p>
        </w:tc>
        <w:tc>
          <w:tcPr>
            <w:tcW w:w="6521" w:type="dxa"/>
            <w:shd w:val="clear" w:color="auto" w:fill="auto"/>
          </w:tcPr>
          <w:p w:rsidR="00930A86" w:rsidRPr="00C903F8" w:rsidRDefault="00930A86" w:rsidP="008525B2">
            <w:pPr>
              <w:spacing w:before="100" w:after="100" w:line="240" w:lineRule="atLeast"/>
              <w:ind w:left="0" w:firstLine="0"/>
              <w:rPr>
                <w:rFonts w:cs="Arial"/>
                <w:sz w:val="18"/>
                <w:szCs w:val="18"/>
              </w:rPr>
            </w:pP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tcBorders>
              <w:bottom w:val="nil"/>
            </w:tcBorders>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3.03</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 xml:space="preserve">paragrafo 1 </w:t>
            </w:r>
          </w:p>
        </w:tc>
        <w:tc>
          <w:tcPr>
            <w:tcW w:w="3296" w:type="dxa"/>
            <w:shd w:val="clear" w:color="auto" w:fill="auto"/>
          </w:tcPr>
          <w:p w:rsidR="00930A86" w:rsidRPr="00C903F8" w:rsidRDefault="00930A86" w:rsidP="008525B2">
            <w:pPr>
              <w:spacing w:before="100" w:after="100" w:line="240" w:lineRule="atLeast"/>
              <w:ind w:left="0" w:firstLine="0"/>
              <w:rPr>
                <w:rFonts w:cs="Arial"/>
                <w:noProof/>
                <w:sz w:val="18"/>
                <w:szCs w:val="18"/>
              </w:rPr>
            </w:pPr>
            <w:r>
              <w:rPr>
                <w:noProof/>
                <w:sz w:val="18"/>
              </w:rPr>
              <w:t>Paratie di collisione stagne</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rPr>
                <w:rFonts w:cs="Arial"/>
                <w:sz w:val="18"/>
                <w:szCs w:val="18"/>
              </w:rPr>
            </w:pPr>
          </w:p>
        </w:tc>
      </w:tr>
      <w:tr w:rsidR="00930A86" w:rsidRPr="00C903F8" w:rsidTr="00930A86">
        <w:trPr>
          <w:cantSplit/>
          <w:jc w:val="center"/>
        </w:trPr>
        <w:tc>
          <w:tcPr>
            <w:tcW w:w="1342" w:type="dxa"/>
            <w:tcBorders>
              <w:top w:val="nil"/>
              <w:bottom w:val="nil"/>
            </w:tcBorders>
            <w:shd w:val="clear" w:color="auto" w:fill="auto"/>
          </w:tcPr>
          <w:p w:rsidR="00930A86" w:rsidRPr="00C903F8" w:rsidRDefault="00930A86" w:rsidP="008525B2">
            <w:pPr>
              <w:spacing w:before="100" w:after="100" w:line="240" w:lineRule="atLeast"/>
              <w:ind w:left="0" w:firstLine="0"/>
              <w:rPr>
                <w:rFonts w:cs="Arial"/>
                <w:sz w:val="18"/>
                <w:szCs w:val="18"/>
              </w:rPr>
            </w:pP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2</w:t>
            </w:r>
          </w:p>
        </w:tc>
        <w:tc>
          <w:tcPr>
            <w:tcW w:w="3296" w:type="dxa"/>
            <w:shd w:val="clear" w:color="auto" w:fill="auto"/>
          </w:tcPr>
          <w:p w:rsidR="00930A86" w:rsidRPr="00C903F8" w:rsidRDefault="00930A86" w:rsidP="008525B2">
            <w:pPr>
              <w:spacing w:before="100" w:after="100" w:line="240" w:lineRule="atLeast"/>
              <w:ind w:left="0" w:firstLine="0"/>
              <w:rPr>
                <w:rFonts w:cs="Arial"/>
                <w:noProof/>
                <w:sz w:val="18"/>
                <w:szCs w:val="18"/>
              </w:rPr>
            </w:pPr>
            <w:r>
              <w:rPr>
                <w:noProof/>
                <w:sz w:val="18"/>
              </w:rPr>
              <w:t>Alloggi, impianti necessari alla sicurezza</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rPr>
                <w:rFonts w:cs="Arial"/>
                <w:sz w:val="18"/>
                <w:szCs w:val="18"/>
              </w:rPr>
            </w:pPr>
          </w:p>
        </w:tc>
      </w:tr>
      <w:tr w:rsidR="00930A86" w:rsidRPr="00C903F8" w:rsidTr="00930A86">
        <w:trPr>
          <w:cantSplit/>
          <w:jc w:val="center"/>
        </w:trPr>
        <w:tc>
          <w:tcPr>
            <w:tcW w:w="1342" w:type="dxa"/>
            <w:tcBorders>
              <w:top w:val="nil"/>
              <w:bottom w:val="single" w:sz="4" w:space="0" w:color="auto"/>
            </w:tcBorders>
            <w:shd w:val="clear" w:color="auto" w:fill="auto"/>
          </w:tcPr>
          <w:p w:rsidR="00930A86" w:rsidRPr="00C903F8" w:rsidRDefault="00930A86" w:rsidP="008525B2">
            <w:pPr>
              <w:spacing w:before="100" w:after="100" w:line="240" w:lineRule="atLeast"/>
              <w:ind w:left="0" w:firstLine="0"/>
              <w:rPr>
                <w:rFonts w:cs="Arial"/>
                <w:sz w:val="18"/>
                <w:szCs w:val="18"/>
              </w:rPr>
            </w:pP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5</w:t>
            </w:r>
          </w:p>
        </w:tc>
        <w:tc>
          <w:tcPr>
            <w:tcW w:w="3296" w:type="dxa"/>
            <w:shd w:val="clear" w:color="auto" w:fill="auto"/>
          </w:tcPr>
          <w:p w:rsidR="00930A86" w:rsidRPr="00C903F8" w:rsidRDefault="00930A86" w:rsidP="008525B2">
            <w:pPr>
              <w:spacing w:before="100" w:after="100" w:line="240" w:lineRule="atLeast"/>
              <w:ind w:left="0" w:firstLine="0"/>
              <w:rPr>
                <w:rFonts w:cs="Arial"/>
                <w:noProof/>
                <w:sz w:val="18"/>
                <w:szCs w:val="18"/>
              </w:rPr>
            </w:pPr>
            <w:r>
              <w:rPr>
                <w:noProof/>
                <w:sz w:val="18"/>
              </w:rPr>
              <w:t>Aperture nelle paratie stagne</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rPr>
                <w:rFonts w:cs="Arial"/>
                <w:sz w:val="18"/>
                <w:szCs w:val="18"/>
              </w:rPr>
            </w:pPr>
          </w:p>
        </w:tc>
      </w:tr>
      <w:tr w:rsidR="00930A86" w:rsidRPr="00C903F8" w:rsidTr="00930A86">
        <w:trPr>
          <w:cantSplit/>
          <w:jc w:val="center"/>
        </w:trPr>
        <w:tc>
          <w:tcPr>
            <w:tcW w:w="1342" w:type="dxa"/>
            <w:tcBorders>
              <w:bottom w:val="nil"/>
            </w:tcBorders>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3.04</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2</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Superfici in comune tra i serbatoi e spazi riservati agli alloggi e ai locali per i passeggeri</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tcBorders>
              <w:top w:val="nil"/>
            </w:tcBorders>
            <w:shd w:val="clear" w:color="auto" w:fill="auto"/>
          </w:tcPr>
          <w:p w:rsidR="00930A86" w:rsidRPr="00C903F8" w:rsidRDefault="00930A86" w:rsidP="008525B2">
            <w:pPr>
              <w:spacing w:before="100" w:after="100" w:line="240" w:lineRule="atLeast"/>
              <w:ind w:left="0" w:firstLine="0"/>
              <w:rPr>
                <w:rFonts w:cs="Arial"/>
                <w:sz w:val="18"/>
                <w:szCs w:val="18"/>
              </w:rPr>
            </w:pP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7</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Massimo livello di pressione acustica ammissibile nella sala macchine</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6096" w:type="dxa"/>
            <w:gridSpan w:val="3"/>
            <w:shd w:val="clear" w:color="auto" w:fill="auto"/>
          </w:tcPr>
          <w:p w:rsidR="00930A86" w:rsidRPr="00C903F8" w:rsidRDefault="00930A86" w:rsidP="008525B2">
            <w:pPr>
              <w:spacing w:before="100" w:after="100" w:line="240" w:lineRule="atLeast"/>
              <w:ind w:left="0" w:firstLine="0"/>
              <w:jc w:val="center"/>
              <w:rPr>
                <w:rFonts w:cs="Arial"/>
                <w:sz w:val="18"/>
                <w:szCs w:val="18"/>
              </w:rPr>
            </w:pPr>
            <w:r>
              <w:rPr>
                <w:b/>
                <w:sz w:val="18"/>
              </w:rPr>
              <w:t>CAPO 4</w:t>
            </w:r>
          </w:p>
        </w:tc>
        <w:tc>
          <w:tcPr>
            <w:tcW w:w="6521" w:type="dxa"/>
            <w:shd w:val="clear" w:color="auto" w:fill="auto"/>
          </w:tcPr>
          <w:p w:rsidR="00930A86" w:rsidRPr="00C903F8" w:rsidRDefault="00930A86" w:rsidP="008525B2">
            <w:pPr>
              <w:spacing w:before="100" w:after="100" w:line="240" w:lineRule="atLeast"/>
              <w:ind w:left="0" w:firstLine="0"/>
              <w:rPr>
                <w:rFonts w:cs="Arial"/>
                <w:b/>
                <w:sz w:val="18"/>
                <w:szCs w:val="18"/>
              </w:rPr>
            </w:pP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4.01</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1</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Distanza di sicurezza</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 al più tardi alla data del rinnovo del certificato per la navigazione interna posteriormente al</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30.12.2019</w:t>
            </w: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lastRenderedPageBreak/>
              <w:t>4.02</w:t>
            </w:r>
          </w:p>
        </w:tc>
        <w:tc>
          <w:tcPr>
            <w:tcW w:w="1458" w:type="dxa"/>
            <w:shd w:val="clear" w:color="auto" w:fill="auto"/>
          </w:tcPr>
          <w:p w:rsidR="00930A86" w:rsidRPr="00C903F8" w:rsidRDefault="00930A86" w:rsidP="008525B2">
            <w:pPr>
              <w:spacing w:before="100" w:after="100" w:line="240" w:lineRule="atLeast"/>
              <w:ind w:left="0" w:firstLine="0"/>
              <w:jc w:val="center"/>
              <w:rPr>
                <w:rFonts w:cs="Arial"/>
                <w:sz w:val="18"/>
                <w:szCs w:val="18"/>
              </w:rPr>
            </w:pP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Bordo libero</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6096" w:type="dxa"/>
            <w:gridSpan w:val="3"/>
            <w:shd w:val="clear" w:color="auto" w:fill="auto"/>
          </w:tcPr>
          <w:p w:rsidR="00930A86" w:rsidRPr="00C903F8" w:rsidRDefault="00930A86" w:rsidP="008525B2">
            <w:pPr>
              <w:spacing w:before="100" w:after="100" w:line="240" w:lineRule="atLeast"/>
              <w:ind w:left="0" w:firstLine="0"/>
              <w:jc w:val="center"/>
              <w:rPr>
                <w:rFonts w:cs="Arial"/>
                <w:sz w:val="18"/>
                <w:szCs w:val="18"/>
              </w:rPr>
            </w:pPr>
            <w:r>
              <w:rPr>
                <w:b/>
                <w:sz w:val="18"/>
              </w:rPr>
              <w:t>CAPO 6</w:t>
            </w:r>
          </w:p>
        </w:tc>
        <w:tc>
          <w:tcPr>
            <w:tcW w:w="6521" w:type="dxa"/>
            <w:shd w:val="clear" w:color="auto" w:fill="auto"/>
          </w:tcPr>
          <w:p w:rsidR="00930A86" w:rsidRPr="00C903F8" w:rsidRDefault="00930A86" w:rsidP="008525B2">
            <w:pPr>
              <w:spacing w:before="100" w:after="100" w:line="240" w:lineRule="atLeast"/>
              <w:ind w:left="0" w:firstLine="0"/>
              <w:rPr>
                <w:rFonts w:cs="Arial"/>
                <w:sz w:val="18"/>
                <w:szCs w:val="18"/>
              </w:rPr>
            </w:pP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6.01</w:t>
            </w:r>
          </w:p>
        </w:tc>
        <w:tc>
          <w:tcPr>
            <w:tcW w:w="1458" w:type="dxa"/>
            <w:shd w:val="clear" w:color="auto" w:fill="auto"/>
          </w:tcPr>
          <w:p w:rsidR="00930A86" w:rsidRPr="00C903F8" w:rsidRDefault="00930A86" w:rsidP="008525B2">
            <w:pPr>
              <w:spacing w:before="100" w:after="100" w:line="240" w:lineRule="atLeast"/>
              <w:ind w:left="0" w:firstLine="0"/>
              <w:jc w:val="left"/>
              <w:rPr>
                <w:rFonts w:cs="Arial"/>
                <w:sz w:val="18"/>
                <w:szCs w:val="18"/>
              </w:rPr>
            </w:pPr>
            <w:r>
              <w:rPr>
                <w:sz w:val="18"/>
              </w:rPr>
              <w:t>paragrafo 3</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Requisiti dell'apparato di governo</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6096" w:type="dxa"/>
            <w:gridSpan w:val="3"/>
            <w:shd w:val="clear" w:color="auto" w:fill="auto"/>
          </w:tcPr>
          <w:p w:rsidR="00930A86" w:rsidRPr="00C903F8" w:rsidRDefault="00930A86" w:rsidP="008525B2">
            <w:pPr>
              <w:spacing w:before="100" w:after="100" w:line="240" w:lineRule="atLeast"/>
              <w:ind w:left="0" w:firstLine="0"/>
              <w:jc w:val="center"/>
              <w:rPr>
                <w:rFonts w:cs="Arial"/>
                <w:sz w:val="18"/>
                <w:szCs w:val="18"/>
              </w:rPr>
            </w:pPr>
            <w:r>
              <w:rPr>
                <w:b/>
                <w:sz w:val="18"/>
              </w:rPr>
              <w:t>CAPO 7</w:t>
            </w:r>
          </w:p>
        </w:tc>
        <w:tc>
          <w:tcPr>
            <w:tcW w:w="6521" w:type="dxa"/>
            <w:shd w:val="clear" w:color="auto" w:fill="auto"/>
          </w:tcPr>
          <w:p w:rsidR="00930A86" w:rsidRPr="00C903F8" w:rsidRDefault="00930A86" w:rsidP="008525B2">
            <w:pPr>
              <w:spacing w:before="100" w:after="100" w:line="240" w:lineRule="atLeast"/>
              <w:ind w:left="0" w:firstLine="0"/>
              <w:rPr>
                <w:rFonts w:cs="Arial"/>
                <w:sz w:val="18"/>
                <w:szCs w:val="18"/>
              </w:rPr>
            </w:pP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7.01</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2</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Livello della pressione acustica del rumore prodotto dalla nave</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A0619C"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7.05</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2</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Controllo delle luci di navigazione</w:t>
            </w:r>
          </w:p>
        </w:tc>
        <w:tc>
          <w:tcPr>
            <w:tcW w:w="6521" w:type="dxa"/>
            <w:shd w:val="clear" w:color="auto" w:fill="auto"/>
          </w:tcPr>
          <w:p w:rsidR="00930A86" w:rsidRPr="00C903F8" w:rsidRDefault="00930A86" w:rsidP="005B1BE0">
            <w:pPr>
              <w:spacing w:before="100" w:after="100" w:line="240" w:lineRule="atLeast"/>
              <w:ind w:left="0" w:firstLine="0"/>
              <w:rPr>
                <w:rFonts w:cs="Arial"/>
                <w:sz w:val="18"/>
                <w:szCs w:val="18"/>
              </w:rPr>
            </w:pPr>
            <w:r>
              <w:rPr>
                <w:sz w:val="18"/>
              </w:rPr>
              <w:t>Rinnovo del certificato per la navigazione interna.</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7.12</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Timonerie abbattibili</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6096" w:type="dxa"/>
            <w:gridSpan w:val="3"/>
            <w:shd w:val="clear" w:color="auto" w:fill="auto"/>
          </w:tcPr>
          <w:p w:rsidR="00930A86" w:rsidRPr="00C903F8" w:rsidRDefault="00930A86" w:rsidP="008525B2">
            <w:pPr>
              <w:spacing w:before="100" w:after="100" w:line="240" w:lineRule="atLeast"/>
              <w:ind w:left="0" w:firstLine="0"/>
              <w:jc w:val="center"/>
              <w:rPr>
                <w:rFonts w:cs="Arial"/>
                <w:sz w:val="18"/>
                <w:szCs w:val="18"/>
              </w:rPr>
            </w:pPr>
            <w:r>
              <w:rPr>
                <w:b/>
                <w:sz w:val="18"/>
              </w:rPr>
              <w:t>CAPO 8</w:t>
            </w:r>
          </w:p>
        </w:tc>
        <w:tc>
          <w:tcPr>
            <w:tcW w:w="6521" w:type="dxa"/>
            <w:shd w:val="clear" w:color="auto" w:fill="auto"/>
          </w:tcPr>
          <w:p w:rsidR="00930A86" w:rsidRPr="00C903F8" w:rsidRDefault="00930A86" w:rsidP="008525B2">
            <w:pPr>
              <w:spacing w:before="100" w:after="100" w:line="240" w:lineRule="atLeast"/>
              <w:ind w:left="0" w:firstLine="0"/>
              <w:rPr>
                <w:rFonts w:cs="Arial"/>
                <w:sz w:val="18"/>
                <w:szCs w:val="18"/>
              </w:rPr>
            </w:pP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8.01</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3</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Divieto di taluni combustibili liquidi</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A0619C"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8.04</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Sistema di scarico del motore</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 al più tardi alla data del rinnovo del certificato per la navigazione interna.</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AA5614" w:rsidRPr="00C903F8" w:rsidTr="00930A86">
        <w:trPr>
          <w:cantSplit/>
          <w:jc w:val="center"/>
        </w:trPr>
        <w:tc>
          <w:tcPr>
            <w:tcW w:w="1342" w:type="dxa"/>
            <w:shd w:val="clear" w:color="auto" w:fill="auto"/>
          </w:tcPr>
          <w:p w:rsidR="00AA5614" w:rsidRPr="00E56A84" w:rsidRDefault="00AA5614" w:rsidP="008525B2">
            <w:pPr>
              <w:spacing w:before="100" w:after="100" w:line="240" w:lineRule="atLeast"/>
              <w:ind w:left="0" w:firstLine="0"/>
              <w:rPr>
                <w:rFonts w:cs="Arial"/>
                <w:sz w:val="18"/>
                <w:szCs w:val="18"/>
              </w:rPr>
            </w:pPr>
            <w:r>
              <w:rPr>
                <w:sz w:val="18"/>
              </w:rPr>
              <w:t>8.05</w:t>
            </w:r>
          </w:p>
        </w:tc>
        <w:tc>
          <w:tcPr>
            <w:tcW w:w="1458" w:type="dxa"/>
            <w:shd w:val="clear" w:color="auto" w:fill="auto"/>
          </w:tcPr>
          <w:p w:rsidR="00AA5614" w:rsidRPr="00E56A84" w:rsidRDefault="00AA5614" w:rsidP="008525B2">
            <w:pPr>
              <w:spacing w:before="100" w:after="100" w:line="240" w:lineRule="atLeast"/>
              <w:rPr>
                <w:rFonts w:cs="Arial"/>
                <w:sz w:val="18"/>
                <w:szCs w:val="18"/>
              </w:rPr>
            </w:pPr>
            <w:r>
              <w:rPr>
                <w:sz w:val="18"/>
              </w:rPr>
              <w:t>paragrafo 13</w:t>
            </w:r>
          </w:p>
        </w:tc>
        <w:tc>
          <w:tcPr>
            <w:tcW w:w="3296" w:type="dxa"/>
            <w:shd w:val="clear" w:color="auto" w:fill="auto"/>
          </w:tcPr>
          <w:p w:rsidR="00AA5614" w:rsidRPr="00E56A84" w:rsidRDefault="00AA5614" w:rsidP="008525B2">
            <w:pPr>
              <w:spacing w:before="100" w:after="100" w:line="240" w:lineRule="atLeast"/>
              <w:ind w:left="15" w:hanging="15"/>
              <w:rPr>
                <w:rFonts w:cs="Arial"/>
                <w:sz w:val="18"/>
                <w:szCs w:val="18"/>
              </w:rPr>
            </w:pPr>
            <w:r>
              <w:rPr>
                <w:noProof/>
                <w:sz w:val="18"/>
              </w:rPr>
              <w:t>Controllo del livello del combustibile non soltanto per i motori principali ma anche per gli altri motori necessari per il funzionamento sicuro della nave</w:t>
            </w:r>
          </w:p>
        </w:tc>
        <w:tc>
          <w:tcPr>
            <w:tcW w:w="6521" w:type="dxa"/>
            <w:shd w:val="clear" w:color="auto" w:fill="auto"/>
          </w:tcPr>
          <w:p w:rsidR="00AA5614"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AA5614" w:rsidRPr="00C903F8" w:rsidRDefault="00AA5614"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8.08</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2</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Pompe di sentina N.S.T.</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8.08</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paragrafi 3 e 4</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Diametro e portata minima delle pompe di sentina</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8.08</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5</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Pompe di sentina autoadescanti</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8.08</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6</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Pigne d'aspirazione</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8.08</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7</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Tubolature a chiusura automatica</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lastRenderedPageBreak/>
              <w:t>8.10</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2</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Rumore prodotto dalla nave in navigazione</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6096" w:type="dxa"/>
            <w:gridSpan w:val="3"/>
            <w:shd w:val="clear" w:color="auto" w:fill="auto"/>
          </w:tcPr>
          <w:p w:rsidR="00930A86" w:rsidRPr="00C903F8" w:rsidRDefault="00930A86" w:rsidP="008525B2">
            <w:pPr>
              <w:spacing w:before="100" w:after="100" w:line="240" w:lineRule="atLeast"/>
              <w:ind w:left="0" w:firstLine="0"/>
              <w:jc w:val="center"/>
              <w:rPr>
                <w:rFonts w:cs="Arial"/>
                <w:sz w:val="18"/>
                <w:szCs w:val="18"/>
              </w:rPr>
            </w:pPr>
            <w:r>
              <w:rPr>
                <w:b/>
                <w:sz w:val="18"/>
              </w:rPr>
              <w:t>CAPO 10</w:t>
            </w:r>
          </w:p>
        </w:tc>
        <w:tc>
          <w:tcPr>
            <w:tcW w:w="6521" w:type="dxa"/>
            <w:shd w:val="clear" w:color="auto" w:fill="auto"/>
          </w:tcPr>
          <w:p w:rsidR="00930A86" w:rsidRPr="00C903F8" w:rsidRDefault="00930A86" w:rsidP="008525B2">
            <w:pPr>
              <w:spacing w:before="100" w:after="100" w:line="240" w:lineRule="atLeast"/>
              <w:ind w:left="0" w:firstLine="0"/>
              <w:rPr>
                <w:rFonts w:cs="Arial"/>
                <w:sz w:val="18"/>
                <w:szCs w:val="18"/>
              </w:rPr>
            </w:pP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10.01</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2</w:t>
            </w:r>
          </w:p>
        </w:tc>
        <w:tc>
          <w:tcPr>
            <w:tcW w:w="3296" w:type="dxa"/>
            <w:shd w:val="clear" w:color="auto" w:fill="auto"/>
          </w:tcPr>
          <w:p w:rsidR="00930A86" w:rsidRPr="00C903F8" w:rsidRDefault="00E1635F" w:rsidP="00E1635F">
            <w:pPr>
              <w:spacing w:before="100" w:after="100" w:line="240" w:lineRule="atLeast"/>
              <w:ind w:left="0" w:firstLine="0"/>
              <w:rPr>
                <w:rFonts w:cs="Arial"/>
                <w:sz w:val="18"/>
                <w:szCs w:val="18"/>
              </w:rPr>
            </w:pPr>
            <w:r>
              <w:rPr>
                <w:noProof/>
                <w:sz w:val="18"/>
              </w:rPr>
              <w:t>Documenti per gli impianti elettrici</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10.01</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3</w:t>
            </w:r>
          </w:p>
        </w:tc>
        <w:tc>
          <w:tcPr>
            <w:tcW w:w="3296" w:type="dxa"/>
            <w:shd w:val="clear" w:color="auto" w:fill="auto"/>
          </w:tcPr>
          <w:p w:rsidR="00930A86" w:rsidRPr="00C903F8" w:rsidRDefault="00930A86" w:rsidP="00116526">
            <w:pPr>
              <w:spacing w:before="100" w:after="100" w:line="240" w:lineRule="atLeast"/>
              <w:ind w:left="0" w:firstLine="0"/>
              <w:rPr>
                <w:rFonts w:cs="Arial"/>
                <w:sz w:val="18"/>
                <w:szCs w:val="18"/>
              </w:rPr>
            </w:pPr>
            <w:r>
              <w:rPr>
                <w:noProof/>
                <w:sz w:val="18"/>
              </w:rPr>
              <w:t>Progettazione di impianti elettrici</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10.06</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Tensioni massime ammissibili</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10.10</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p>
        </w:tc>
        <w:tc>
          <w:tcPr>
            <w:tcW w:w="3296" w:type="dxa"/>
            <w:shd w:val="clear" w:color="auto" w:fill="auto"/>
          </w:tcPr>
          <w:p w:rsidR="00930A86" w:rsidRPr="00C903F8" w:rsidRDefault="00694E6B" w:rsidP="008525B2">
            <w:pPr>
              <w:spacing w:before="100" w:after="100" w:line="240" w:lineRule="atLeast"/>
              <w:ind w:left="0" w:firstLine="0"/>
              <w:rPr>
                <w:rFonts w:cs="Arial"/>
                <w:sz w:val="18"/>
                <w:szCs w:val="18"/>
              </w:rPr>
            </w:pPr>
            <w:r>
              <w:rPr>
                <w:sz w:val="18"/>
              </w:rPr>
              <w:t>Generatori, motori e trasformatori</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10.11</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2</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Installazione degli accumulatori</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 xml:space="preserve">10.12 </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2</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Commutatori, dispositivi di protezione</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 xml:space="preserve">10.14 </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3</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Commutazione simultanea</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10.15</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Cavi</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 xml:space="preserve">10.16 </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3</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Illuminazione nella sala macchine</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10.17</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1</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Quadri di comando delle luci di navigazione</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10.17</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2</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Alimentazione delle luci di navigazione</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6096" w:type="dxa"/>
            <w:gridSpan w:val="3"/>
            <w:shd w:val="clear" w:color="auto" w:fill="auto"/>
          </w:tcPr>
          <w:p w:rsidR="00930A86" w:rsidRPr="00C903F8" w:rsidRDefault="00930A86" w:rsidP="008525B2">
            <w:pPr>
              <w:spacing w:before="100" w:after="100" w:line="240" w:lineRule="atLeast"/>
              <w:ind w:left="0" w:firstLine="0"/>
              <w:jc w:val="center"/>
              <w:rPr>
                <w:rFonts w:cs="Arial"/>
                <w:sz w:val="18"/>
                <w:szCs w:val="18"/>
              </w:rPr>
            </w:pPr>
            <w:r>
              <w:rPr>
                <w:b/>
                <w:sz w:val="18"/>
              </w:rPr>
              <w:t>CAPO 13</w:t>
            </w:r>
          </w:p>
        </w:tc>
        <w:tc>
          <w:tcPr>
            <w:tcW w:w="6521" w:type="dxa"/>
            <w:shd w:val="clear" w:color="auto" w:fill="auto"/>
          </w:tcPr>
          <w:p w:rsidR="00930A86" w:rsidRPr="00C903F8" w:rsidRDefault="00930A86" w:rsidP="008525B2">
            <w:pPr>
              <w:spacing w:before="100" w:after="100" w:line="240" w:lineRule="atLeast"/>
              <w:ind w:left="0" w:firstLine="0"/>
              <w:rPr>
                <w:rFonts w:cs="Arial"/>
                <w:sz w:val="18"/>
                <w:szCs w:val="18"/>
              </w:rPr>
            </w:pP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13.01</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9</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Salpa-ancore per ancore di massa superiore a 50 kg</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E56A84" w:rsidRDefault="00930A86" w:rsidP="008525B2">
            <w:pPr>
              <w:spacing w:before="100" w:after="100" w:line="240" w:lineRule="atLeast"/>
              <w:ind w:left="0" w:firstLine="0"/>
              <w:rPr>
                <w:rFonts w:cs="Arial"/>
                <w:sz w:val="18"/>
                <w:szCs w:val="18"/>
              </w:rPr>
            </w:pPr>
            <w:r>
              <w:rPr>
                <w:sz w:val="18"/>
              </w:rPr>
              <w:t>13.07</w:t>
            </w:r>
          </w:p>
        </w:tc>
        <w:tc>
          <w:tcPr>
            <w:tcW w:w="1458" w:type="dxa"/>
            <w:shd w:val="clear" w:color="auto" w:fill="auto"/>
          </w:tcPr>
          <w:p w:rsidR="00930A86" w:rsidRPr="00E56A84" w:rsidRDefault="00930A86" w:rsidP="008525B2">
            <w:pPr>
              <w:spacing w:before="100" w:after="100" w:line="240" w:lineRule="atLeast"/>
              <w:ind w:left="0" w:firstLine="0"/>
              <w:rPr>
                <w:rFonts w:cs="Arial"/>
                <w:sz w:val="18"/>
                <w:szCs w:val="18"/>
              </w:rPr>
            </w:pPr>
            <w:r>
              <w:rPr>
                <w:sz w:val="18"/>
              </w:rPr>
              <w:t>paragrafo 1</w:t>
            </w:r>
          </w:p>
        </w:tc>
        <w:tc>
          <w:tcPr>
            <w:tcW w:w="3296" w:type="dxa"/>
            <w:shd w:val="clear" w:color="auto" w:fill="auto"/>
          </w:tcPr>
          <w:p w:rsidR="00930A86" w:rsidRPr="00E56A84" w:rsidRDefault="00AA5614" w:rsidP="008525B2">
            <w:pPr>
              <w:spacing w:before="100" w:after="100" w:line="240" w:lineRule="atLeast"/>
              <w:ind w:left="0" w:firstLine="0"/>
              <w:rPr>
                <w:rFonts w:cs="Arial"/>
                <w:sz w:val="18"/>
                <w:szCs w:val="18"/>
              </w:rPr>
            </w:pPr>
            <w:r>
              <w:rPr>
                <w:noProof/>
                <w:sz w:val="18"/>
              </w:rPr>
              <w:t>Applicazione della norma europea alle lance</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lastRenderedPageBreak/>
              <w:t>13.08</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1</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Applicazione della norma europea ai salvagenti galleggianti</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13.08</w:t>
            </w:r>
          </w:p>
        </w:tc>
        <w:tc>
          <w:tcPr>
            <w:tcW w:w="1458" w:type="dxa"/>
            <w:shd w:val="clear" w:color="auto" w:fill="auto"/>
          </w:tcPr>
          <w:p w:rsidR="00930A86" w:rsidRPr="00C903F8" w:rsidRDefault="00930A86" w:rsidP="008525B2">
            <w:pPr>
              <w:spacing w:before="100" w:after="100" w:line="240" w:lineRule="atLeast"/>
              <w:ind w:left="0" w:firstLine="0"/>
              <w:rPr>
                <w:rFonts w:cs="Arial"/>
                <w:sz w:val="18"/>
                <w:szCs w:val="18"/>
              </w:rPr>
            </w:pPr>
            <w:r>
              <w:rPr>
                <w:sz w:val="18"/>
              </w:rPr>
              <w:t>paragrafo 2</w:t>
            </w:r>
          </w:p>
        </w:tc>
        <w:tc>
          <w:tcPr>
            <w:tcW w:w="3296" w:type="dxa"/>
            <w:shd w:val="clear" w:color="auto" w:fill="auto"/>
          </w:tcPr>
          <w:p w:rsidR="00930A86" w:rsidRPr="00C903F8" w:rsidRDefault="00930A86" w:rsidP="008525B2">
            <w:pPr>
              <w:spacing w:before="100" w:after="100" w:line="240" w:lineRule="atLeast"/>
              <w:ind w:left="0" w:firstLine="0"/>
              <w:rPr>
                <w:rFonts w:cs="Arial"/>
                <w:sz w:val="18"/>
                <w:szCs w:val="18"/>
              </w:rPr>
            </w:pPr>
            <w:r>
              <w:rPr>
                <w:noProof/>
                <w:sz w:val="18"/>
              </w:rPr>
              <w:t>Applicazione della norma europea ai giubbotti di salvataggio</w:t>
            </w:r>
          </w:p>
        </w:tc>
        <w:tc>
          <w:tcPr>
            <w:tcW w:w="6521" w:type="dxa"/>
            <w:shd w:val="clear" w:color="auto" w:fill="auto"/>
          </w:tcPr>
          <w:p w:rsidR="00930A86" w:rsidRPr="00C903F8" w:rsidRDefault="008761D9" w:rsidP="008525B2">
            <w:pPr>
              <w:spacing w:before="100" w:after="10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100" w:after="100" w:line="240" w:lineRule="atLeast"/>
              <w:ind w:left="0" w:firstLine="0"/>
              <w:rPr>
                <w:rFonts w:cs="Arial"/>
                <w:sz w:val="18"/>
                <w:szCs w:val="18"/>
              </w:rPr>
            </w:pPr>
          </w:p>
        </w:tc>
      </w:tr>
      <w:tr w:rsidR="00930A86" w:rsidRPr="00C903F8" w:rsidTr="00930A86">
        <w:trPr>
          <w:cantSplit/>
          <w:jc w:val="center"/>
        </w:trPr>
        <w:tc>
          <w:tcPr>
            <w:tcW w:w="6096" w:type="dxa"/>
            <w:gridSpan w:val="3"/>
            <w:shd w:val="clear" w:color="auto" w:fill="auto"/>
          </w:tcPr>
          <w:p w:rsidR="00930A86" w:rsidRPr="00C903F8" w:rsidRDefault="00930A86" w:rsidP="008525B2">
            <w:pPr>
              <w:spacing w:before="60" w:after="60" w:line="240" w:lineRule="atLeast"/>
              <w:ind w:left="0" w:firstLine="0"/>
              <w:jc w:val="center"/>
              <w:rPr>
                <w:rFonts w:cs="Arial"/>
                <w:sz w:val="18"/>
                <w:szCs w:val="18"/>
              </w:rPr>
            </w:pPr>
            <w:r>
              <w:rPr>
                <w:b/>
                <w:sz w:val="18"/>
              </w:rPr>
              <w:t>CAPO 14</w:t>
            </w:r>
          </w:p>
        </w:tc>
        <w:tc>
          <w:tcPr>
            <w:tcW w:w="6521" w:type="dxa"/>
            <w:shd w:val="clear" w:color="auto" w:fill="auto"/>
          </w:tcPr>
          <w:p w:rsidR="00930A86" w:rsidRPr="00C903F8" w:rsidRDefault="00930A86" w:rsidP="008525B2">
            <w:pPr>
              <w:spacing w:before="60" w:after="60" w:line="240" w:lineRule="atLeast"/>
              <w:ind w:left="0" w:firstLine="0"/>
              <w:rPr>
                <w:rFonts w:cs="Arial"/>
                <w:sz w:val="18"/>
                <w:szCs w:val="18"/>
              </w:rPr>
            </w:pPr>
          </w:p>
        </w:tc>
        <w:tc>
          <w:tcPr>
            <w:tcW w:w="1276" w:type="dxa"/>
            <w:shd w:val="clear" w:color="auto" w:fill="auto"/>
          </w:tcPr>
          <w:p w:rsidR="00930A86" w:rsidRPr="00C903F8" w:rsidRDefault="00930A86" w:rsidP="008525B2">
            <w:pPr>
              <w:spacing w:before="60" w:after="6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60" w:after="60" w:line="240" w:lineRule="atLeast"/>
              <w:ind w:left="0" w:firstLine="0"/>
              <w:rPr>
                <w:rFonts w:cs="Arial"/>
                <w:sz w:val="18"/>
                <w:szCs w:val="18"/>
              </w:rPr>
            </w:pPr>
            <w:r>
              <w:rPr>
                <w:sz w:val="18"/>
              </w:rPr>
              <w:t>14.11</w:t>
            </w:r>
          </w:p>
        </w:tc>
        <w:tc>
          <w:tcPr>
            <w:tcW w:w="1458" w:type="dxa"/>
            <w:shd w:val="clear" w:color="auto" w:fill="auto"/>
          </w:tcPr>
          <w:p w:rsidR="00930A86" w:rsidRPr="00C903F8" w:rsidRDefault="00930A86" w:rsidP="008525B2">
            <w:pPr>
              <w:spacing w:before="60" w:after="60" w:line="240" w:lineRule="atLeast"/>
              <w:ind w:left="0" w:firstLine="0"/>
              <w:rPr>
                <w:rFonts w:cs="Arial"/>
                <w:sz w:val="18"/>
                <w:szCs w:val="18"/>
              </w:rPr>
            </w:pPr>
            <w:r>
              <w:rPr>
                <w:sz w:val="18"/>
              </w:rPr>
              <w:t>paragrafo 2</w:t>
            </w:r>
          </w:p>
        </w:tc>
        <w:tc>
          <w:tcPr>
            <w:tcW w:w="3296" w:type="dxa"/>
            <w:shd w:val="clear" w:color="auto" w:fill="auto"/>
          </w:tcPr>
          <w:p w:rsidR="00930A86" w:rsidRPr="00C903F8" w:rsidRDefault="00930A86" w:rsidP="008525B2">
            <w:pPr>
              <w:spacing w:before="60" w:after="60" w:line="240" w:lineRule="atLeast"/>
              <w:ind w:left="0" w:firstLine="0"/>
              <w:rPr>
                <w:rFonts w:cs="Arial"/>
                <w:sz w:val="18"/>
                <w:szCs w:val="18"/>
              </w:rPr>
            </w:pPr>
            <w:r>
              <w:rPr>
                <w:noProof/>
                <w:sz w:val="18"/>
              </w:rPr>
              <w:t>Sicurezza dei verricelli</w:t>
            </w:r>
          </w:p>
        </w:tc>
        <w:tc>
          <w:tcPr>
            <w:tcW w:w="6521" w:type="dxa"/>
            <w:shd w:val="clear" w:color="auto" w:fill="auto"/>
          </w:tcPr>
          <w:p w:rsidR="00930A86" w:rsidRPr="00C903F8" w:rsidRDefault="008761D9" w:rsidP="008525B2">
            <w:pPr>
              <w:spacing w:before="60" w:after="6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60" w:after="60" w:line="240" w:lineRule="atLeast"/>
              <w:ind w:left="0" w:firstLine="0"/>
              <w:rPr>
                <w:rFonts w:cs="Arial"/>
                <w:sz w:val="18"/>
                <w:szCs w:val="18"/>
              </w:rPr>
            </w:pPr>
          </w:p>
        </w:tc>
      </w:tr>
      <w:tr w:rsidR="00930A86" w:rsidRPr="00C903F8" w:rsidTr="00930A86">
        <w:trPr>
          <w:cantSplit/>
          <w:jc w:val="center"/>
        </w:trPr>
        <w:tc>
          <w:tcPr>
            <w:tcW w:w="6096" w:type="dxa"/>
            <w:gridSpan w:val="3"/>
            <w:shd w:val="clear" w:color="auto" w:fill="auto"/>
          </w:tcPr>
          <w:p w:rsidR="00930A86" w:rsidRPr="00C903F8" w:rsidRDefault="00930A86" w:rsidP="008525B2">
            <w:pPr>
              <w:spacing w:before="60" w:after="60" w:line="240" w:lineRule="atLeast"/>
              <w:ind w:left="0" w:firstLine="0"/>
              <w:jc w:val="center"/>
              <w:rPr>
                <w:rFonts w:cs="Arial"/>
                <w:sz w:val="18"/>
                <w:szCs w:val="18"/>
              </w:rPr>
            </w:pPr>
            <w:r>
              <w:rPr>
                <w:b/>
                <w:sz w:val="18"/>
              </w:rPr>
              <w:t>CAPO 15</w:t>
            </w:r>
          </w:p>
        </w:tc>
        <w:tc>
          <w:tcPr>
            <w:tcW w:w="6521" w:type="dxa"/>
            <w:shd w:val="clear" w:color="auto" w:fill="auto"/>
          </w:tcPr>
          <w:p w:rsidR="00930A86" w:rsidRPr="00C903F8" w:rsidRDefault="00930A86" w:rsidP="008525B2">
            <w:pPr>
              <w:spacing w:before="60" w:after="60" w:line="240" w:lineRule="atLeast"/>
              <w:ind w:left="0" w:firstLine="0"/>
              <w:rPr>
                <w:rFonts w:cs="Arial"/>
                <w:sz w:val="18"/>
                <w:szCs w:val="18"/>
              </w:rPr>
            </w:pPr>
          </w:p>
        </w:tc>
        <w:tc>
          <w:tcPr>
            <w:tcW w:w="1276" w:type="dxa"/>
            <w:shd w:val="clear" w:color="auto" w:fill="auto"/>
          </w:tcPr>
          <w:p w:rsidR="00930A86" w:rsidRPr="00C903F8" w:rsidRDefault="00930A86" w:rsidP="008525B2">
            <w:pPr>
              <w:spacing w:before="60" w:after="60" w:line="240" w:lineRule="atLeast"/>
              <w:ind w:left="0" w:firstLine="0"/>
              <w:rPr>
                <w:rFonts w:cs="Arial"/>
                <w:sz w:val="18"/>
                <w:szCs w:val="18"/>
              </w:rPr>
            </w:pPr>
          </w:p>
        </w:tc>
      </w:tr>
      <w:tr w:rsidR="00930A86" w:rsidRPr="00C903F8" w:rsidTr="00930A86">
        <w:trPr>
          <w:cantSplit/>
          <w:jc w:val="center"/>
        </w:trPr>
        <w:tc>
          <w:tcPr>
            <w:tcW w:w="1342" w:type="dxa"/>
            <w:shd w:val="clear" w:color="auto" w:fill="auto"/>
          </w:tcPr>
          <w:p w:rsidR="00930A86" w:rsidRPr="00C903F8" w:rsidRDefault="00930A86" w:rsidP="008525B2">
            <w:pPr>
              <w:spacing w:before="60" w:after="60" w:line="240" w:lineRule="atLeast"/>
              <w:ind w:left="0" w:firstLine="0"/>
              <w:rPr>
                <w:rFonts w:cs="Arial"/>
                <w:sz w:val="18"/>
                <w:szCs w:val="18"/>
              </w:rPr>
            </w:pPr>
            <w:r>
              <w:rPr>
                <w:sz w:val="18"/>
              </w:rPr>
              <w:t>15.02</w:t>
            </w:r>
          </w:p>
        </w:tc>
        <w:tc>
          <w:tcPr>
            <w:tcW w:w="1458" w:type="dxa"/>
            <w:shd w:val="clear" w:color="auto" w:fill="auto"/>
          </w:tcPr>
          <w:p w:rsidR="00930A86" w:rsidRPr="00C903F8" w:rsidRDefault="00930A86" w:rsidP="008525B2">
            <w:pPr>
              <w:spacing w:before="60" w:after="60" w:line="240" w:lineRule="atLeast"/>
              <w:ind w:left="0" w:firstLine="0"/>
              <w:rPr>
                <w:rFonts w:cs="Arial"/>
                <w:sz w:val="18"/>
                <w:szCs w:val="18"/>
              </w:rPr>
            </w:pPr>
            <w:r>
              <w:rPr>
                <w:sz w:val="18"/>
              </w:rPr>
              <w:t>paragrafo 3</w:t>
            </w:r>
          </w:p>
        </w:tc>
        <w:tc>
          <w:tcPr>
            <w:tcW w:w="3296" w:type="dxa"/>
            <w:shd w:val="clear" w:color="auto" w:fill="auto"/>
          </w:tcPr>
          <w:p w:rsidR="00930A86" w:rsidRPr="00C903F8" w:rsidRDefault="00930A86" w:rsidP="008525B2">
            <w:pPr>
              <w:spacing w:before="60" w:after="60" w:line="240" w:lineRule="atLeast"/>
              <w:ind w:left="0" w:firstLine="0"/>
              <w:rPr>
                <w:rFonts w:cs="Arial"/>
                <w:sz w:val="18"/>
                <w:szCs w:val="18"/>
              </w:rPr>
            </w:pPr>
            <w:r>
              <w:rPr>
                <w:noProof/>
                <w:sz w:val="18"/>
              </w:rPr>
              <w:t>Condutture di gas e liquidi pericolosi</w:t>
            </w:r>
          </w:p>
        </w:tc>
        <w:tc>
          <w:tcPr>
            <w:tcW w:w="6521" w:type="dxa"/>
            <w:shd w:val="clear" w:color="auto" w:fill="auto"/>
          </w:tcPr>
          <w:p w:rsidR="00930A86" w:rsidRPr="00C903F8" w:rsidRDefault="008761D9" w:rsidP="008525B2">
            <w:pPr>
              <w:spacing w:before="60" w:after="60" w:line="240" w:lineRule="atLeast"/>
              <w:ind w:left="0" w:firstLine="0"/>
              <w:rPr>
                <w:rFonts w:cs="Arial"/>
                <w:sz w:val="18"/>
                <w:szCs w:val="18"/>
              </w:rPr>
            </w:pPr>
            <w:r>
              <w:rPr>
                <w:sz w:val="18"/>
              </w:rPr>
              <w:t>N.S.T</w:t>
            </w:r>
          </w:p>
        </w:tc>
        <w:tc>
          <w:tcPr>
            <w:tcW w:w="1276" w:type="dxa"/>
            <w:shd w:val="clear" w:color="auto" w:fill="auto"/>
          </w:tcPr>
          <w:p w:rsidR="00930A86" w:rsidRPr="00C903F8" w:rsidRDefault="00930A86" w:rsidP="008525B2">
            <w:pPr>
              <w:spacing w:before="60" w:after="60" w:line="240" w:lineRule="atLeast"/>
              <w:ind w:left="0" w:firstLine="0"/>
              <w:rPr>
                <w:rFonts w:cs="Arial"/>
                <w:sz w:val="18"/>
                <w:szCs w:val="18"/>
              </w:rPr>
            </w:pPr>
          </w:p>
        </w:tc>
      </w:tr>
    </w:tbl>
    <w:p w:rsidR="001E2331" w:rsidRPr="00C903F8" w:rsidRDefault="001E2331" w:rsidP="001E2331">
      <w:pPr>
        <w:spacing w:line="240" w:lineRule="atLeast"/>
        <w:ind w:left="0" w:firstLine="0"/>
        <w:rPr>
          <w:noProof/>
        </w:rPr>
      </w:pPr>
    </w:p>
    <w:p w:rsidR="001E2331" w:rsidRPr="00C903F8" w:rsidRDefault="001E2331" w:rsidP="001E2331">
      <w:pPr>
        <w:spacing w:line="240" w:lineRule="atLeast"/>
        <w:ind w:left="567" w:hanging="567"/>
      </w:pPr>
    </w:p>
    <w:p w:rsidR="001E2331" w:rsidRPr="00C903F8" w:rsidRDefault="001E2331" w:rsidP="001E2331">
      <w:pPr>
        <w:ind w:left="0" w:firstLine="0"/>
        <w:rPr>
          <w:noProof/>
        </w:rPr>
      </w:pPr>
    </w:p>
    <w:p w:rsidR="001E2331" w:rsidRPr="00C903F8" w:rsidRDefault="001E2331" w:rsidP="001E2331">
      <w:pPr>
        <w:ind w:left="0" w:firstLine="0"/>
        <w:rPr>
          <w:noProof/>
        </w:rPr>
      </w:pPr>
    </w:p>
    <w:p w:rsidR="001E2331" w:rsidRPr="00C903F8" w:rsidRDefault="001E2331" w:rsidP="001E2331">
      <w:pPr>
        <w:ind w:left="0" w:firstLine="0"/>
        <w:rPr>
          <w:noProof/>
        </w:rPr>
      </w:pPr>
    </w:p>
    <w:p w:rsidR="000526B5" w:rsidRPr="00C903F8" w:rsidRDefault="000526B5" w:rsidP="00125490">
      <w:pPr>
        <w:pStyle w:val="ESch"/>
      </w:pPr>
    </w:p>
    <w:p w:rsidR="00AB18EA" w:rsidRPr="00C903F8" w:rsidRDefault="00AB18EA" w:rsidP="00125490">
      <w:pPr>
        <w:pStyle w:val="ESch"/>
      </w:pPr>
    </w:p>
    <w:p w:rsidR="00AB18EA" w:rsidRPr="00C903F8" w:rsidRDefault="00AB18EA" w:rsidP="00125490">
      <w:pPr>
        <w:pStyle w:val="ESch"/>
      </w:pPr>
    </w:p>
    <w:p w:rsidR="00AB18EA" w:rsidRPr="00C903F8" w:rsidRDefault="00AB18EA" w:rsidP="00125490">
      <w:pPr>
        <w:pStyle w:val="ESch"/>
        <w:sectPr w:rsidR="00AB18EA" w:rsidRPr="00C903F8" w:rsidSect="001E2331">
          <w:headerReference w:type="first" r:id="rId35"/>
          <w:footerReference w:type="first" r:id="rId36"/>
          <w:footnotePr>
            <w:numRestart w:val="eachPage"/>
          </w:footnotePr>
          <w:pgSz w:w="16838" w:h="11906" w:orient="landscape" w:code="9"/>
          <w:pgMar w:top="1418" w:right="1418" w:bottom="1418" w:left="1418" w:header="709" w:footer="709" w:gutter="0"/>
          <w:cols w:space="709"/>
          <w:titlePg/>
          <w:docGrid w:linePitch="272"/>
        </w:sectPr>
      </w:pPr>
    </w:p>
    <w:p w:rsidR="001E2331" w:rsidRPr="00C903F8" w:rsidRDefault="001E2331" w:rsidP="001E2331">
      <w:pPr>
        <w:pStyle w:val="ES-Titre3a"/>
      </w:pPr>
    </w:p>
    <w:p w:rsidR="001E2331" w:rsidRPr="00C903F8" w:rsidRDefault="001E2331" w:rsidP="001E2331">
      <w:pPr>
        <w:pStyle w:val="ES-Titre3a"/>
      </w:pPr>
    </w:p>
    <w:p w:rsidR="001E2331" w:rsidRPr="00C903F8" w:rsidRDefault="001E2331" w:rsidP="001E2331">
      <w:pPr>
        <w:pStyle w:val="ES-Titre3a"/>
      </w:pPr>
    </w:p>
    <w:p w:rsidR="001E2331" w:rsidRPr="00C903F8" w:rsidRDefault="001E2331" w:rsidP="001E2331">
      <w:pPr>
        <w:pStyle w:val="ES-Titre3a"/>
      </w:pPr>
    </w:p>
    <w:p w:rsidR="001E2331" w:rsidRPr="00C903F8" w:rsidRDefault="001E2331" w:rsidP="001E2331">
      <w:pPr>
        <w:pStyle w:val="ES-Titre3a"/>
      </w:pPr>
    </w:p>
    <w:p w:rsidR="001E2331" w:rsidRPr="00C903F8" w:rsidRDefault="001E2331" w:rsidP="001E2331">
      <w:pPr>
        <w:pStyle w:val="ES-Titre3a"/>
      </w:pPr>
    </w:p>
    <w:p w:rsidR="001E2331" w:rsidRPr="00C903F8" w:rsidRDefault="001E2331" w:rsidP="001E2331">
      <w:pPr>
        <w:pStyle w:val="ES-Titre3a"/>
      </w:pPr>
    </w:p>
    <w:p w:rsidR="001E2331" w:rsidRPr="00C903F8" w:rsidRDefault="001E2331" w:rsidP="001E2331">
      <w:pPr>
        <w:pStyle w:val="ES-Titre3a"/>
      </w:pPr>
    </w:p>
    <w:p w:rsidR="001E2331" w:rsidRPr="00C903F8" w:rsidRDefault="001E2331" w:rsidP="001E2331">
      <w:pPr>
        <w:pStyle w:val="ES-Titre3a"/>
      </w:pPr>
    </w:p>
    <w:p w:rsidR="001E2331" w:rsidRPr="00C903F8" w:rsidRDefault="001E2331" w:rsidP="001E2331">
      <w:pPr>
        <w:pStyle w:val="ES-Titre3a"/>
      </w:pPr>
    </w:p>
    <w:p w:rsidR="001E2331" w:rsidRPr="00C903F8" w:rsidRDefault="001E2331" w:rsidP="001E2331">
      <w:pPr>
        <w:pStyle w:val="ES-Titre3a"/>
      </w:pPr>
    </w:p>
    <w:p w:rsidR="001E2331" w:rsidRPr="00C903F8" w:rsidRDefault="001E2331" w:rsidP="001E2331">
      <w:pPr>
        <w:pStyle w:val="ES-Titre3a"/>
      </w:pPr>
    </w:p>
    <w:p w:rsidR="001E2331" w:rsidRPr="00C903F8" w:rsidRDefault="001E2331" w:rsidP="001E2331">
      <w:pPr>
        <w:pStyle w:val="ES-Titre3a"/>
      </w:pPr>
    </w:p>
    <w:p w:rsidR="001E2331" w:rsidRPr="00C903F8" w:rsidRDefault="001E2331" w:rsidP="001E2331">
      <w:pPr>
        <w:pStyle w:val="ES-Titre3a"/>
      </w:pPr>
    </w:p>
    <w:p w:rsidR="001E2331" w:rsidRPr="00C903F8" w:rsidRDefault="001E2331" w:rsidP="001E2331">
      <w:pPr>
        <w:pStyle w:val="ES-Titre3a"/>
      </w:pPr>
    </w:p>
    <w:p w:rsidR="001E2331" w:rsidRPr="00C903F8" w:rsidRDefault="001E2331" w:rsidP="001E2331">
      <w:pPr>
        <w:pStyle w:val="ES-Titre3a"/>
      </w:pPr>
    </w:p>
    <w:p w:rsidR="001E2331" w:rsidRPr="00C903F8" w:rsidRDefault="001E2331" w:rsidP="001E2331">
      <w:pPr>
        <w:pStyle w:val="ES-Titre3a"/>
      </w:pPr>
    </w:p>
    <w:p w:rsidR="001E2331" w:rsidRPr="00C903F8" w:rsidRDefault="001E2331" w:rsidP="001E2331">
      <w:pPr>
        <w:pStyle w:val="ES-Titre3a"/>
      </w:pPr>
    </w:p>
    <w:p w:rsidR="001E2331" w:rsidRPr="00C903F8" w:rsidRDefault="001E2331" w:rsidP="001E2331">
      <w:pPr>
        <w:pStyle w:val="ES-Titre3a"/>
      </w:pPr>
    </w:p>
    <w:p w:rsidR="001E2331" w:rsidRPr="00C903F8" w:rsidRDefault="001E2331" w:rsidP="001E2331">
      <w:pPr>
        <w:pStyle w:val="ES-Titre3a"/>
      </w:pPr>
    </w:p>
    <w:p w:rsidR="001E2331" w:rsidRPr="00C903F8" w:rsidRDefault="001E2331" w:rsidP="001E2331">
      <w:pPr>
        <w:pStyle w:val="ES-Titre3a"/>
      </w:pPr>
    </w:p>
    <w:p w:rsidR="001E2331" w:rsidRPr="00C903F8" w:rsidRDefault="001E2331" w:rsidP="001E2331">
      <w:pPr>
        <w:pStyle w:val="ES-Titre3a"/>
      </w:pPr>
    </w:p>
    <w:p w:rsidR="001E2331" w:rsidRPr="0063454C" w:rsidRDefault="001E2331" w:rsidP="001E2331">
      <w:pPr>
        <w:pStyle w:val="Es-Titreannexes"/>
      </w:pPr>
      <w:bookmarkStart w:id="594" w:name="_Toc491854290"/>
      <w:bookmarkStart w:id="595" w:name="_Toc535500239"/>
      <w:r>
        <w:t>Allegati alla norma europea</w:t>
      </w:r>
      <w:bookmarkEnd w:id="594"/>
      <w:bookmarkEnd w:id="595"/>
    </w:p>
    <w:p w:rsidR="001E2331" w:rsidRPr="0063454C" w:rsidRDefault="001E2331" w:rsidP="001E2331">
      <w:pPr>
        <w:pStyle w:val="ES-Titre3a"/>
      </w:pPr>
    </w:p>
    <w:p w:rsidR="00AB18EA" w:rsidRPr="00C903F8" w:rsidRDefault="00AB18EA" w:rsidP="00125490">
      <w:pPr>
        <w:pStyle w:val="ESch"/>
      </w:pPr>
    </w:p>
    <w:p w:rsidR="001E2331" w:rsidRPr="00C903F8" w:rsidRDefault="001E2331" w:rsidP="00125490">
      <w:pPr>
        <w:pStyle w:val="ESch"/>
      </w:pPr>
    </w:p>
    <w:p w:rsidR="001E2331" w:rsidRPr="00C903F8" w:rsidRDefault="001E2331" w:rsidP="00125490">
      <w:pPr>
        <w:pStyle w:val="ESch"/>
      </w:pPr>
    </w:p>
    <w:p w:rsidR="001E2331" w:rsidRPr="00C903F8" w:rsidRDefault="001E2331" w:rsidP="00125490">
      <w:pPr>
        <w:pStyle w:val="ESch"/>
      </w:pPr>
      <w:r>
        <w:br w:type="page"/>
      </w:r>
    </w:p>
    <w:p w:rsidR="00AB18EA" w:rsidRPr="00C903F8" w:rsidRDefault="00AB18EA" w:rsidP="00125490">
      <w:pPr>
        <w:pStyle w:val="ESch"/>
      </w:pPr>
    </w:p>
    <w:p w:rsidR="00AB18EA" w:rsidRPr="00C903F8" w:rsidRDefault="00AB18EA" w:rsidP="00125490">
      <w:pPr>
        <w:pStyle w:val="ESch"/>
      </w:pPr>
    </w:p>
    <w:p w:rsidR="001E2331" w:rsidRPr="00C903F8" w:rsidRDefault="001E2331" w:rsidP="00125490">
      <w:pPr>
        <w:pStyle w:val="ESch"/>
      </w:pPr>
    </w:p>
    <w:p w:rsidR="001E2331" w:rsidRPr="00C903F8" w:rsidRDefault="001E2331" w:rsidP="00125490">
      <w:pPr>
        <w:pStyle w:val="ESch"/>
        <w:sectPr w:rsidR="001E2331" w:rsidRPr="00C903F8" w:rsidSect="00AC5CC1">
          <w:headerReference w:type="default" r:id="rId37"/>
          <w:footerReference w:type="default" r:id="rId38"/>
          <w:headerReference w:type="first" r:id="rId39"/>
          <w:footerReference w:type="first" r:id="rId40"/>
          <w:footnotePr>
            <w:numRestart w:val="eachPage"/>
          </w:footnotePr>
          <w:pgSz w:w="11906" w:h="16838" w:code="9"/>
          <w:pgMar w:top="1418" w:right="1418" w:bottom="1418" w:left="1418" w:header="709" w:footer="709" w:gutter="0"/>
          <w:cols w:space="709"/>
          <w:titlePg/>
          <w:docGrid w:linePitch="272"/>
        </w:sectPr>
      </w:pPr>
    </w:p>
    <w:p w:rsidR="009C13A9" w:rsidRPr="00C903F8" w:rsidRDefault="009C13A9" w:rsidP="009C13A9">
      <w:pPr>
        <w:pStyle w:val="ES-Titre1"/>
      </w:pPr>
      <w:bookmarkStart w:id="596" w:name="_Toc395775413"/>
      <w:bookmarkStart w:id="597" w:name="_Toc491854291"/>
      <w:bookmarkStart w:id="598" w:name="_Toc535500240"/>
      <w:r>
        <w:lastRenderedPageBreak/>
        <w:t>PARTE I</w:t>
      </w:r>
      <w:r>
        <w:br/>
      </w:r>
      <w:bookmarkEnd w:id="596"/>
      <w:r>
        <w:t>IDENTIFICAZIONE E REGISTRO DELLE NAVI</w:t>
      </w:r>
      <w:bookmarkEnd w:id="597"/>
      <w:bookmarkEnd w:id="598"/>
    </w:p>
    <w:p w:rsidR="009C13A9" w:rsidRPr="00C903F8" w:rsidRDefault="009C13A9" w:rsidP="009C13A9">
      <w:pPr>
        <w:overflowPunct w:val="0"/>
        <w:adjustRightInd w:val="0"/>
        <w:spacing w:line="240" w:lineRule="atLeast"/>
        <w:ind w:left="0" w:firstLine="0"/>
        <w:jc w:val="center"/>
        <w:textAlignment w:val="baseline"/>
        <w:rPr>
          <w:rFonts w:eastAsia="Calibri"/>
          <w:b/>
          <w:i/>
          <w:caps/>
          <w:sz w:val="24"/>
          <w:szCs w:val="28"/>
        </w:rPr>
      </w:pPr>
    </w:p>
    <w:p w:rsidR="009C13A9" w:rsidRPr="00C903F8" w:rsidRDefault="009C13A9" w:rsidP="009C13A9">
      <w:pPr>
        <w:pStyle w:val="ES-Titre2"/>
        <w:pageBreakBefore w:val="0"/>
      </w:pPr>
      <w:bookmarkStart w:id="599" w:name="_Toc395775414"/>
      <w:bookmarkStart w:id="600" w:name="_Toc491854292"/>
      <w:bookmarkStart w:id="601" w:name="_Toc535500241"/>
      <w:r>
        <w:t>Allegato 1</w:t>
      </w:r>
      <w:r>
        <w:br/>
      </w:r>
      <w:bookmarkEnd w:id="599"/>
      <w:r>
        <w:t>Modello del numero unico europeo di identificazione delle navi (ENI)</w:t>
      </w:r>
      <w:bookmarkEnd w:id="600"/>
      <w:bookmarkEnd w:id="601"/>
    </w:p>
    <w:p w:rsidR="009C13A9" w:rsidRPr="00C903F8" w:rsidRDefault="009C13A9" w:rsidP="009C13A9">
      <w:pPr>
        <w:overflowPunct w:val="0"/>
        <w:adjustRightInd w:val="0"/>
        <w:spacing w:line="240" w:lineRule="atLeast"/>
        <w:ind w:left="0" w:firstLine="0"/>
        <w:jc w:val="center"/>
        <w:textAlignment w:val="baseline"/>
        <w:rPr>
          <w:rFonts w:eastAsia="Calibri"/>
          <w:sz w:val="22"/>
          <w:szCs w:val="22"/>
        </w:rPr>
      </w:pPr>
    </w:p>
    <w:p w:rsidR="009C13A9" w:rsidRPr="00C903F8" w:rsidRDefault="009C13A9" w:rsidP="009C13A9">
      <w:pPr>
        <w:overflowPunct w:val="0"/>
        <w:adjustRightInd w:val="0"/>
        <w:spacing w:line="240" w:lineRule="atLeast"/>
        <w:ind w:left="0" w:firstLine="0"/>
        <w:jc w:val="center"/>
        <w:textAlignment w:val="baseline"/>
        <w:rPr>
          <w:rFonts w:eastAsia="Calibri"/>
          <w:sz w:val="22"/>
          <w:szCs w:val="22"/>
        </w:rPr>
      </w:pPr>
    </w:p>
    <w:p w:rsidR="009C13A9" w:rsidRPr="00C903F8" w:rsidRDefault="009C13A9" w:rsidP="009C13A9">
      <w:pPr>
        <w:overflowPunct w:val="0"/>
        <w:adjustRightInd w:val="0"/>
        <w:ind w:left="0" w:firstLine="0"/>
        <w:jc w:val="left"/>
        <w:textAlignment w:val="baseline"/>
        <w:rPr>
          <w:rFonts w:cs="Arial"/>
          <w:szCs w:val="20"/>
        </w:rPr>
      </w:pPr>
    </w:p>
    <w:tbl>
      <w:tblPr>
        <w:tblW w:w="0" w:type="auto"/>
        <w:tblInd w:w="19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90"/>
        <w:gridCol w:w="789"/>
        <w:gridCol w:w="789"/>
        <w:gridCol w:w="564"/>
        <w:gridCol w:w="564"/>
        <w:gridCol w:w="564"/>
        <w:gridCol w:w="564"/>
        <w:gridCol w:w="564"/>
      </w:tblGrid>
      <w:tr w:rsidR="009C13A9" w:rsidRPr="00C903F8" w:rsidTr="009C13A9">
        <w:trPr>
          <w:cantSplit/>
        </w:trPr>
        <w:tc>
          <w:tcPr>
            <w:tcW w:w="790" w:type="dxa"/>
            <w:tcBorders>
              <w:top w:val="single" w:sz="4" w:space="0" w:color="auto"/>
              <w:left w:val="single" w:sz="4" w:space="0" w:color="auto"/>
              <w:bottom w:val="single" w:sz="4" w:space="0" w:color="auto"/>
              <w:right w:val="single" w:sz="4" w:space="0" w:color="auto"/>
            </w:tcBorders>
          </w:tcPr>
          <w:p w:rsidR="009C13A9" w:rsidRPr="00C903F8" w:rsidRDefault="009C13A9" w:rsidP="009C13A9">
            <w:pPr>
              <w:adjustRightInd w:val="0"/>
              <w:spacing w:before="40" w:after="40"/>
              <w:ind w:left="0" w:firstLine="0"/>
              <w:jc w:val="center"/>
              <w:rPr>
                <w:rFonts w:cs="Arial"/>
                <w:snapToGrid w:val="0"/>
                <w:sz w:val="18"/>
                <w:szCs w:val="20"/>
              </w:rPr>
            </w:pPr>
            <w:r>
              <w:rPr>
                <w:noProof/>
                <w:snapToGrid w:val="0"/>
                <w:sz w:val="18"/>
              </w:rPr>
              <w:t>A</w:t>
            </w:r>
          </w:p>
        </w:tc>
        <w:tc>
          <w:tcPr>
            <w:tcW w:w="789" w:type="dxa"/>
            <w:tcBorders>
              <w:top w:val="single" w:sz="4" w:space="0" w:color="auto"/>
              <w:left w:val="single" w:sz="4" w:space="0" w:color="auto"/>
              <w:bottom w:val="single" w:sz="4" w:space="0" w:color="auto"/>
              <w:right w:val="single" w:sz="4" w:space="0" w:color="auto"/>
            </w:tcBorders>
          </w:tcPr>
          <w:p w:rsidR="009C13A9" w:rsidRPr="00C903F8" w:rsidRDefault="009C13A9" w:rsidP="009C13A9">
            <w:pPr>
              <w:overflowPunct w:val="0"/>
              <w:adjustRightInd w:val="0"/>
              <w:spacing w:before="40" w:after="40"/>
              <w:ind w:left="0" w:firstLine="0"/>
              <w:jc w:val="center"/>
              <w:textAlignment w:val="baseline"/>
              <w:rPr>
                <w:rFonts w:cs="Arial"/>
                <w:sz w:val="18"/>
                <w:szCs w:val="20"/>
              </w:rPr>
            </w:pPr>
            <w:r>
              <w:rPr>
                <w:noProof/>
                <w:sz w:val="18"/>
              </w:rPr>
              <w:t>A</w:t>
            </w:r>
          </w:p>
        </w:tc>
        <w:tc>
          <w:tcPr>
            <w:tcW w:w="789" w:type="dxa"/>
            <w:tcBorders>
              <w:top w:val="single" w:sz="4" w:space="0" w:color="auto"/>
              <w:left w:val="single" w:sz="4" w:space="0" w:color="auto"/>
              <w:bottom w:val="single" w:sz="4" w:space="0" w:color="auto"/>
              <w:right w:val="single" w:sz="4" w:space="0" w:color="auto"/>
            </w:tcBorders>
          </w:tcPr>
          <w:p w:rsidR="009C13A9" w:rsidRPr="00C903F8" w:rsidRDefault="009C13A9" w:rsidP="009C13A9">
            <w:pPr>
              <w:overflowPunct w:val="0"/>
              <w:adjustRightInd w:val="0"/>
              <w:spacing w:before="40" w:after="40"/>
              <w:ind w:left="0" w:firstLine="0"/>
              <w:jc w:val="center"/>
              <w:textAlignment w:val="baseline"/>
              <w:rPr>
                <w:rFonts w:cs="Arial"/>
                <w:sz w:val="18"/>
                <w:szCs w:val="20"/>
              </w:rPr>
            </w:pPr>
            <w:r>
              <w:rPr>
                <w:noProof/>
                <w:sz w:val="18"/>
              </w:rPr>
              <w:t>A</w:t>
            </w:r>
          </w:p>
        </w:tc>
        <w:tc>
          <w:tcPr>
            <w:tcW w:w="564" w:type="dxa"/>
            <w:tcBorders>
              <w:top w:val="single" w:sz="4" w:space="0" w:color="auto"/>
              <w:left w:val="single" w:sz="4" w:space="0" w:color="auto"/>
              <w:bottom w:val="single" w:sz="4" w:space="0" w:color="auto"/>
              <w:right w:val="single" w:sz="4" w:space="0" w:color="auto"/>
            </w:tcBorders>
          </w:tcPr>
          <w:p w:rsidR="009C13A9" w:rsidRPr="00C903F8" w:rsidRDefault="009C13A9" w:rsidP="009C13A9">
            <w:pPr>
              <w:overflowPunct w:val="0"/>
              <w:adjustRightInd w:val="0"/>
              <w:spacing w:before="40" w:after="40"/>
              <w:ind w:left="0" w:firstLine="0"/>
              <w:jc w:val="center"/>
              <w:textAlignment w:val="baseline"/>
              <w:rPr>
                <w:rFonts w:cs="Arial"/>
                <w:sz w:val="18"/>
                <w:szCs w:val="20"/>
              </w:rPr>
            </w:pPr>
            <w:r>
              <w:rPr>
                <w:noProof/>
                <w:sz w:val="18"/>
              </w:rPr>
              <w:t>x</w:t>
            </w:r>
          </w:p>
        </w:tc>
        <w:tc>
          <w:tcPr>
            <w:tcW w:w="564" w:type="dxa"/>
            <w:tcBorders>
              <w:top w:val="single" w:sz="4" w:space="0" w:color="auto"/>
              <w:left w:val="single" w:sz="4" w:space="0" w:color="auto"/>
              <w:bottom w:val="single" w:sz="4" w:space="0" w:color="auto"/>
              <w:right w:val="single" w:sz="4" w:space="0" w:color="auto"/>
            </w:tcBorders>
          </w:tcPr>
          <w:p w:rsidR="009C13A9" w:rsidRPr="00C903F8" w:rsidRDefault="009C13A9" w:rsidP="009C13A9">
            <w:pPr>
              <w:overflowPunct w:val="0"/>
              <w:adjustRightInd w:val="0"/>
              <w:spacing w:before="40" w:after="40"/>
              <w:ind w:left="0" w:firstLine="0"/>
              <w:jc w:val="center"/>
              <w:textAlignment w:val="baseline"/>
              <w:rPr>
                <w:rFonts w:cs="Arial"/>
                <w:sz w:val="18"/>
                <w:szCs w:val="20"/>
              </w:rPr>
            </w:pPr>
            <w:r>
              <w:rPr>
                <w:noProof/>
                <w:sz w:val="18"/>
              </w:rPr>
              <w:t>x</w:t>
            </w:r>
          </w:p>
        </w:tc>
        <w:tc>
          <w:tcPr>
            <w:tcW w:w="564" w:type="dxa"/>
            <w:tcBorders>
              <w:top w:val="single" w:sz="4" w:space="0" w:color="auto"/>
              <w:left w:val="single" w:sz="4" w:space="0" w:color="auto"/>
              <w:bottom w:val="single" w:sz="4" w:space="0" w:color="auto"/>
              <w:right w:val="single" w:sz="4" w:space="0" w:color="auto"/>
            </w:tcBorders>
          </w:tcPr>
          <w:p w:rsidR="009C13A9" w:rsidRPr="00C903F8" w:rsidRDefault="009C13A9" w:rsidP="009C13A9">
            <w:pPr>
              <w:overflowPunct w:val="0"/>
              <w:adjustRightInd w:val="0"/>
              <w:spacing w:before="40" w:after="40"/>
              <w:ind w:left="0" w:firstLine="0"/>
              <w:jc w:val="center"/>
              <w:textAlignment w:val="baseline"/>
              <w:rPr>
                <w:rFonts w:cs="Arial"/>
                <w:sz w:val="18"/>
                <w:szCs w:val="20"/>
              </w:rPr>
            </w:pPr>
            <w:r>
              <w:rPr>
                <w:noProof/>
                <w:sz w:val="18"/>
              </w:rPr>
              <w:t>x</w:t>
            </w:r>
          </w:p>
        </w:tc>
        <w:tc>
          <w:tcPr>
            <w:tcW w:w="564" w:type="dxa"/>
            <w:tcBorders>
              <w:top w:val="single" w:sz="4" w:space="0" w:color="auto"/>
              <w:left w:val="single" w:sz="4" w:space="0" w:color="auto"/>
              <w:bottom w:val="single" w:sz="4" w:space="0" w:color="auto"/>
              <w:right w:val="single" w:sz="4" w:space="0" w:color="auto"/>
            </w:tcBorders>
          </w:tcPr>
          <w:p w:rsidR="009C13A9" w:rsidRPr="00C903F8" w:rsidRDefault="009C13A9" w:rsidP="009C13A9">
            <w:pPr>
              <w:overflowPunct w:val="0"/>
              <w:adjustRightInd w:val="0"/>
              <w:spacing w:before="40" w:after="40"/>
              <w:ind w:left="0" w:firstLine="0"/>
              <w:jc w:val="center"/>
              <w:textAlignment w:val="baseline"/>
              <w:rPr>
                <w:rFonts w:cs="Arial"/>
                <w:sz w:val="18"/>
                <w:szCs w:val="20"/>
              </w:rPr>
            </w:pPr>
            <w:r>
              <w:rPr>
                <w:noProof/>
                <w:sz w:val="18"/>
              </w:rPr>
              <w:t>x</w:t>
            </w:r>
          </w:p>
        </w:tc>
        <w:tc>
          <w:tcPr>
            <w:tcW w:w="564" w:type="dxa"/>
            <w:tcBorders>
              <w:top w:val="single" w:sz="4" w:space="0" w:color="auto"/>
              <w:left w:val="single" w:sz="4" w:space="0" w:color="auto"/>
              <w:bottom w:val="single" w:sz="4" w:space="0" w:color="auto"/>
              <w:right w:val="single" w:sz="4" w:space="0" w:color="auto"/>
            </w:tcBorders>
          </w:tcPr>
          <w:p w:rsidR="009C13A9" w:rsidRPr="00C903F8" w:rsidRDefault="009C13A9" w:rsidP="009C13A9">
            <w:pPr>
              <w:overflowPunct w:val="0"/>
              <w:adjustRightInd w:val="0"/>
              <w:spacing w:before="40" w:after="40"/>
              <w:ind w:left="0" w:firstLine="0"/>
              <w:jc w:val="center"/>
              <w:textAlignment w:val="baseline"/>
              <w:rPr>
                <w:rFonts w:cs="Arial"/>
                <w:sz w:val="18"/>
                <w:szCs w:val="20"/>
              </w:rPr>
            </w:pPr>
            <w:r>
              <w:rPr>
                <w:noProof/>
                <w:sz w:val="18"/>
              </w:rPr>
              <w:t>x</w:t>
            </w:r>
          </w:p>
        </w:tc>
      </w:tr>
      <w:tr w:rsidR="009C13A9" w:rsidRPr="00C903F8" w:rsidTr="009C13A9">
        <w:trPr>
          <w:cantSplit/>
        </w:trPr>
        <w:tc>
          <w:tcPr>
            <w:tcW w:w="2368" w:type="dxa"/>
            <w:gridSpan w:val="3"/>
            <w:tcBorders>
              <w:top w:val="single" w:sz="4" w:space="0" w:color="auto"/>
              <w:left w:val="single" w:sz="4" w:space="0" w:color="auto"/>
              <w:bottom w:val="single" w:sz="4" w:space="0" w:color="auto"/>
              <w:right w:val="single" w:sz="4" w:space="0" w:color="auto"/>
            </w:tcBorders>
          </w:tcPr>
          <w:p w:rsidR="009C13A9" w:rsidRPr="00C903F8" w:rsidRDefault="009C13A9" w:rsidP="009C13A9">
            <w:pPr>
              <w:overflowPunct w:val="0"/>
              <w:adjustRightInd w:val="0"/>
              <w:spacing w:before="40" w:after="40"/>
              <w:ind w:left="0" w:firstLine="0"/>
              <w:jc w:val="left"/>
              <w:textAlignment w:val="baseline"/>
              <w:rPr>
                <w:rFonts w:cs="Arial"/>
                <w:sz w:val="18"/>
                <w:szCs w:val="20"/>
              </w:rPr>
            </w:pPr>
            <w:r>
              <w:rPr>
                <w:noProof/>
                <w:sz w:val="18"/>
              </w:rPr>
              <w:t>Codice dell'autorità competente che attribuisce il numero unico europeo di identificazione delle navi</w:t>
            </w:r>
          </w:p>
        </w:tc>
        <w:tc>
          <w:tcPr>
            <w:tcW w:w="2820" w:type="dxa"/>
            <w:gridSpan w:val="5"/>
            <w:tcBorders>
              <w:top w:val="single" w:sz="4" w:space="0" w:color="auto"/>
              <w:left w:val="single" w:sz="4" w:space="0" w:color="auto"/>
              <w:bottom w:val="single" w:sz="4" w:space="0" w:color="auto"/>
              <w:right w:val="single" w:sz="4" w:space="0" w:color="auto"/>
            </w:tcBorders>
            <w:vAlign w:val="center"/>
          </w:tcPr>
          <w:p w:rsidR="009C13A9" w:rsidRPr="00C903F8" w:rsidRDefault="009C13A9" w:rsidP="009C13A9">
            <w:pPr>
              <w:overflowPunct w:val="0"/>
              <w:adjustRightInd w:val="0"/>
              <w:spacing w:before="40" w:after="40"/>
              <w:ind w:left="0" w:firstLine="0"/>
              <w:jc w:val="center"/>
              <w:textAlignment w:val="baseline"/>
              <w:rPr>
                <w:rFonts w:cs="Arial"/>
                <w:sz w:val="18"/>
                <w:szCs w:val="20"/>
              </w:rPr>
            </w:pPr>
            <w:r>
              <w:rPr>
                <w:noProof/>
                <w:sz w:val="18"/>
              </w:rPr>
              <w:t xml:space="preserve">Numero di serie </w:t>
            </w:r>
          </w:p>
        </w:tc>
      </w:tr>
    </w:tbl>
    <w:p w:rsidR="009C13A9" w:rsidRPr="00C903F8" w:rsidRDefault="009C13A9" w:rsidP="009C13A9">
      <w:pPr>
        <w:overflowPunct w:val="0"/>
        <w:adjustRightInd w:val="0"/>
        <w:spacing w:before="40" w:after="40"/>
        <w:ind w:left="0" w:firstLine="0"/>
        <w:jc w:val="left"/>
        <w:textAlignment w:val="baseline"/>
        <w:rPr>
          <w:rFonts w:cs="Arial"/>
          <w:sz w:val="18"/>
          <w:szCs w:val="20"/>
        </w:rPr>
      </w:pPr>
    </w:p>
    <w:p w:rsidR="009C13A9" w:rsidRPr="00C903F8" w:rsidRDefault="009C13A9" w:rsidP="009C13A9">
      <w:pPr>
        <w:overflowPunct w:val="0"/>
        <w:adjustRightInd w:val="0"/>
        <w:ind w:left="0" w:firstLine="0"/>
        <w:jc w:val="left"/>
        <w:textAlignment w:val="baseline"/>
        <w:rPr>
          <w:rFonts w:cs="Arial"/>
          <w:szCs w:val="20"/>
        </w:rPr>
      </w:pPr>
    </w:p>
    <w:p w:rsidR="009C13A9" w:rsidRPr="00C903F8" w:rsidRDefault="009C13A9" w:rsidP="009C13A9">
      <w:pPr>
        <w:overflowPunct w:val="0"/>
        <w:adjustRightInd w:val="0"/>
        <w:ind w:left="0" w:firstLine="0"/>
        <w:jc w:val="left"/>
        <w:textAlignment w:val="baseline"/>
        <w:rPr>
          <w:rFonts w:cs="Arial"/>
          <w:szCs w:val="20"/>
        </w:rPr>
      </w:pPr>
      <w:r>
        <w:t>Nel modello, "AAA" rappresenta il codice a tre cifre dell'autorità competente che attribuisce il numero unico europeo di identificazione delle navi, conformemente ai codici riportati di seguito:</w:t>
      </w:r>
    </w:p>
    <w:p w:rsidR="009C13A9" w:rsidRPr="00C903F8" w:rsidRDefault="009C13A9" w:rsidP="009C13A9">
      <w:pPr>
        <w:overflowPunct w:val="0"/>
        <w:adjustRightInd w:val="0"/>
        <w:ind w:left="0" w:firstLine="0"/>
        <w:jc w:val="left"/>
        <w:textAlignment w:val="baseline"/>
        <w:rPr>
          <w:rFonts w:cs="Arial"/>
          <w:szCs w:val="20"/>
        </w:rPr>
      </w:pP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001 – 019</w:t>
      </w:r>
      <w:r>
        <w:tab/>
        <w:t>Francia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020 – 039</w:t>
      </w:r>
      <w:r>
        <w:tab/>
        <w:t>Paesi Bassi</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040 – 059</w:t>
      </w:r>
      <w:r>
        <w:tab/>
        <w:t>Germania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060 – 069</w:t>
      </w:r>
      <w:r>
        <w:tab/>
        <w:t>Belgio</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070 – 079</w:t>
      </w:r>
      <w:r>
        <w:tab/>
        <w:t>Svizzera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080 – 099</w:t>
      </w:r>
      <w:r>
        <w:tab/>
        <w:t xml:space="preserve">riservato per navi di paesi che non sono parti firmatarie della Convenzione di Mannheim e per le quali è stato rilasciato un certificato di conformità con il regolamento di ispezione delle navi del Reno anteriormente all'1.4.2007. </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100 – 119</w:t>
      </w:r>
      <w:r>
        <w:tab/>
        <w:t>Norvegia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120 – 139</w:t>
      </w:r>
      <w:r>
        <w:tab/>
        <w:t>Danimarca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140 – 159</w:t>
      </w:r>
      <w:r>
        <w:tab/>
        <w:t>Regno Unito</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160 – 169</w:t>
      </w:r>
      <w:r>
        <w:tab/>
        <w:t>Islanda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170 – 179</w:t>
      </w:r>
      <w:r>
        <w:tab/>
        <w:t>Irlanda</w:t>
      </w:r>
    </w:p>
    <w:p w:rsidR="009C13A9" w:rsidRPr="009879C7"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180 – 189</w:t>
      </w:r>
      <w:r>
        <w:tab/>
        <w:t>Portogallo</w:t>
      </w:r>
    </w:p>
    <w:p w:rsidR="009C13A9" w:rsidRPr="009879C7"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190 – 199</w:t>
      </w:r>
      <w:r>
        <w:tab/>
        <w:t>(riservato)</w:t>
      </w:r>
    </w:p>
    <w:p w:rsidR="009C13A9" w:rsidRPr="009879C7"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200 – 219</w:t>
      </w:r>
      <w:r>
        <w:tab/>
        <w:t>Lussemburgo</w:t>
      </w:r>
    </w:p>
    <w:p w:rsidR="009C13A9" w:rsidRPr="009879C7"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220 – 239</w:t>
      </w:r>
      <w:r>
        <w:tab/>
        <w:t>Finlandia</w:t>
      </w:r>
    </w:p>
    <w:p w:rsidR="009C13A9" w:rsidRPr="009879C7"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240 – 259</w:t>
      </w:r>
      <w:r>
        <w:tab/>
        <w:t>Polonia</w:t>
      </w:r>
    </w:p>
    <w:p w:rsidR="009C13A9" w:rsidRPr="009879C7"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260 – 269</w:t>
      </w:r>
      <w:r>
        <w:tab/>
        <w:t>Estonia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270 – 279</w:t>
      </w:r>
      <w:r>
        <w:tab/>
        <w:t>Lituania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280 – 289</w:t>
      </w:r>
      <w:r>
        <w:tab/>
        <w:t>Lettonia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290 – 299</w:t>
      </w:r>
      <w:r>
        <w:tab/>
        <w:t>(riservato)</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300 – 309</w:t>
      </w:r>
      <w:r>
        <w:tab/>
        <w:t>Austria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310 – 319</w:t>
      </w:r>
      <w:r>
        <w:tab/>
        <w:t>Liechtenstein</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320 – 329</w:t>
      </w:r>
      <w:r>
        <w:tab/>
        <w:t>Repubblica ceca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330 – 339</w:t>
      </w:r>
      <w:r>
        <w:tab/>
        <w:t>Slovacchia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340 – 349</w:t>
      </w:r>
      <w:r>
        <w:tab/>
        <w:t>(riservato)</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350 – 359</w:t>
      </w:r>
      <w:r>
        <w:tab/>
        <w:t>Croazia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360 – 369</w:t>
      </w:r>
      <w:r>
        <w:tab/>
        <w:t>Serbia</w:t>
      </w:r>
    </w:p>
    <w:p w:rsidR="009C13A9" w:rsidRPr="00C903F8" w:rsidRDefault="009C13A9" w:rsidP="009C13A9">
      <w:pPr>
        <w:tabs>
          <w:tab w:val="left" w:pos="1418"/>
        </w:tabs>
        <w:overflowPunct w:val="0"/>
        <w:adjustRightInd w:val="0"/>
        <w:spacing w:line="240" w:lineRule="atLeast"/>
        <w:ind w:left="1418" w:hanging="1418"/>
        <w:textAlignment w:val="baseline"/>
        <w:rPr>
          <w:rFonts w:cs="Arial"/>
          <w:noProof/>
          <w:snapToGrid w:val="0"/>
          <w:szCs w:val="20"/>
        </w:rPr>
      </w:pPr>
      <w:r>
        <w:t>370 – 379</w:t>
      </w:r>
      <w:r>
        <w:tab/>
        <w:t>Bosnia-Erzegovina</w:t>
      </w:r>
    </w:p>
    <w:p w:rsidR="009C13A9" w:rsidRPr="00C903F8" w:rsidRDefault="009C13A9" w:rsidP="009C13A9">
      <w:pPr>
        <w:tabs>
          <w:tab w:val="left" w:pos="1134"/>
        </w:tabs>
        <w:overflowPunct w:val="0"/>
        <w:adjustRightInd w:val="0"/>
        <w:ind w:left="1134" w:hanging="1134"/>
        <w:textAlignment w:val="baseline"/>
        <w:rPr>
          <w:rFonts w:cs="Arial"/>
          <w:snapToGrid w:val="0"/>
          <w:szCs w:val="20"/>
        </w:rPr>
      </w:pPr>
    </w:p>
    <w:p w:rsidR="009C13A9" w:rsidRPr="00C903F8" w:rsidRDefault="009C13A9" w:rsidP="009C13A9">
      <w:pPr>
        <w:tabs>
          <w:tab w:val="left" w:pos="1134"/>
        </w:tabs>
        <w:overflowPunct w:val="0"/>
        <w:adjustRightInd w:val="0"/>
        <w:ind w:left="1134" w:hanging="1134"/>
        <w:textAlignment w:val="baseline"/>
        <w:rPr>
          <w:rFonts w:cs="Arial"/>
          <w:snapToGrid w:val="0"/>
          <w:szCs w:val="20"/>
        </w:rPr>
      </w:pPr>
      <w:r>
        <w:br w:type="page"/>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lastRenderedPageBreak/>
        <w:t>380 – 399</w:t>
      </w:r>
      <w:r>
        <w:tab/>
        <w:t>Ungheria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400 – 419</w:t>
      </w:r>
      <w:r>
        <w:tab/>
        <w:t>Federazione russa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420 – 439</w:t>
      </w:r>
      <w:r>
        <w:tab/>
        <w:t>Ucraina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440 – 449</w:t>
      </w:r>
      <w:r>
        <w:tab/>
        <w:t>Bielorussia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450 – 459</w:t>
      </w:r>
      <w:r>
        <w:tab/>
        <w:t>Repubblica moldova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460 – 469</w:t>
      </w:r>
      <w:r>
        <w:tab/>
        <w:t>Romania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470 – 479</w:t>
      </w:r>
      <w:r>
        <w:tab/>
        <w:t>Bulgaria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480 – 489</w:t>
      </w:r>
      <w:r>
        <w:tab/>
        <w:t>Georgia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490 – 499</w:t>
      </w:r>
      <w:r>
        <w:tab/>
        <w:t>(riservato)</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500 – 519</w:t>
      </w:r>
      <w:r>
        <w:tab/>
        <w:t>Turchia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520 – 539</w:t>
      </w:r>
      <w:r>
        <w:tab/>
        <w:t xml:space="preserve">Grecia </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540 – 549</w:t>
      </w:r>
      <w:r>
        <w:tab/>
        <w:t>Cipro</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550 – 559</w:t>
      </w:r>
      <w:r>
        <w:tab/>
        <w:t xml:space="preserve">Albania </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560 – 569</w:t>
      </w:r>
      <w:r>
        <w:tab/>
        <w:t xml:space="preserve">ex Repubblica jugoslava di Macedonia </w:t>
      </w:r>
    </w:p>
    <w:p w:rsidR="009C13A9" w:rsidRPr="009879C7"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570 – 579</w:t>
      </w:r>
      <w:r>
        <w:tab/>
        <w:t>Slovenia</w:t>
      </w:r>
    </w:p>
    <w:p w:rsidR="009C13A9" w:rsidRPr="009879C7"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580 – 589</w:t>
      </w:r>
      <w:r>
        <w:tab/>
        <w:t>Montenegro</w:t>
      </w:r>
    </w:p>
    <w:p w:rsidR="009C13A9" w:rsidRPr="009879C7"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590 – 599</w:t>
      </w:r>
      <w:r>
        <w:tab/>
        <w:t>(riservato)</w:t>
      </w:r>
    </w:p>
    <w:p w:rsidR="009C13A9" w:rsidRPr="009879C7"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600 – 619</w:t>
      </w:r>
      <w:r>
        <w:tab/>
        <w:t>Italia</w:t>
      </w:r>
    </w:p>
    <w:p w:rsidR="009C13A9" w:rsidRPr="009879C7"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620 – 639</w:t>
      </w:r>
      <w:r>
        <w:tab/>
        <w:t>Spagna</w:t>
      </w:r>
    </w:p>
    <w:p w:rsidR="009C13A9" w:rsidRPr="009879C7"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640 – 649</w:t>
      </w:r>
      <w:r>
        <w:tab/>
        <w:t>Andorra</w:t>
      </w:r>
    </w:p>
    <w:p w:rsidR="009C13A9" w:rsidRPr="009879C7"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650 – 659</w:t>
      </w:r>
      <w:r>
        <w:tab/>
        <w:t>Malta</w:t>
      </w:r>
    </w:p>
    <w:p w:rsidR="009C13A9" w:rsidRPr="009879C7"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660 – 669</w:t>
      </w:r>
      <w:r>
        <w:tab/>
        <w:t>Monaco</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670 – 679</w:t>
      </w:r>
      <w:r>
        <w:tab/>
        <w:t>San Marino</w:t>
      </w:r>
    </w:p>
    <w:p w:rsidR="009C13A9" w:rsidRPr="00C903F8" w:rsidRDefault="009C13A9" w:rsidP="009C13A9">
      <w:pPr>
        <w:tabs>
          <w:tab w:val="left" w:pos="1418"/>
        </w:tabs>
        <w:overflowPunct w:val="0"/>
        <w:adjustRightInd w:val="0"/>
        <w:spacing w:line="240" w:lineRule="atLeast"/>
        <w:ind w:left="1418" w:hanging="1418"/>
        <w:textAlignment w:val="baseline"/>
        <w:rPr>
          <w:rFonts w:cs="Arial"/>
          <w:noProof/>
          <w:snapToGrid w:val="0"/>
          <w:szCs w:val="20"/>
        </w:rPr>
      </w:pPr>
      <w:r>
        <w:t>680 – 699</w:t>
      </w:r>
      <w:r>
        <w:tab/>
        <w:t>(riservato)</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700 – 719</w:t>
      </w:r>
      <w:r>
        <w:tab/>
        <w:t>Svezia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720 – 739</w:t>
      </w:r>
      <w:r>
        <w:tab/>
        <w:t>Canada</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740 – 759</w:t>
      </w:r>
      <w:r>
        <w:tab/>
        <w:t>Stati Uniti d'America</w:t>
      </w:r>
    </w:p>
    <w:p w:rsidR="009C13A9" w:rsidRPr="009879C7"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760 – 769</w:t>
      </w:r>
      <w:r>
        <w:tab/>
        <w:t>Israele</w:t>
      </w:r>
    </w:p>
    <w:p w:rsidR="009C13A9" w:rsidRPr="009879C7"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770 – 799</w:t>
      </w:r>
      <w:r>
        <w:tab/>
        <w:t>(riservato)</w:t>
      </w:r>
    </w:p>
    <w:p w:rsidR="009C13A9" w:rsidRPr="009879C7"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800 – 809</w:t>
      </w:r>
      <w:r>
        <w:tab/>
        <w:t>Azerbaigian</w:t>
      </w:r>
    </w:p>
    <w:p w:rsidR="009C13A9" w:rsidRPr="009879C7"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810 – 819</w:t>
      </w:r>
      <w:r>
        <w:tab/>
        <w:t>Kazakhstan</w:t>
      </w:r>
    </w:p>
    <w:p w:rsidR="009C13A9" w:rsidRPr="009879C7"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820 – 829</w:t>
      </w:r>
      <w:r>
        <w:tab/>
        <w:t>Kirghizistan</w:t>
      </w:r>
    </w:p>
    <w:p w:rsidR="009C13A9" w:rsidRPr="009879C7"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830 – 839</w:t>
      </w:r>
      <w:r>
        <w:tab/>
        <w:t>Tagikistan</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840 – 849</w:t>
      </w:r>
      <w:r>
        <w:tab/>
        <w:t>Turkmenistan</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850 – 859</w:t>
      </w:r>
      <w:r>
        <w:tab/>
        <w:t>Uzbekistan</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860 – 869</w:t>
      </w:r>
      <w:r>
        <w:tab/>
        <w:t>Iran</w:t>
      </w:r>
    </w:p>
    <w:p w:rsidR="009C13A9" w:rsidRPr="00C903F8" w:rsidRDefault="009C13A9" w:rsidP="009C13A9">
      <w:pPr>
        <w:tabs>
          <w:tab w:val="left" w:pos="1418"/>
        </w:tabs>
        <w:overflowPunct w:val="0"/>
        <w:adjustRightInd w:val="0"/>
        <w:spacing w:line="240" w:lineRule="atLeast"/>
        <w:ind w:left="1418" w:hanging="1418"/>
        <w:textAlignment w:val="baseline"/>
        <w:rPr>
          <w:rFonts w:cs="Arial"/>
          <w:snapToGrid w:val="0"/>
          <w:szCs w:val="20"/>
        </w:rPr>
      </w:pPr>
      <w:r>
        <w:t>870 – 999</w:t>
      </w:r>
      <w:r>
        <w:tab/>
        <w:t>(riservato)</w:t>
      </w:r>
    </w:p>
    <w:p w:rsidR="009C13A9" w:rsidRPr="00C903F8" w:rsidRDefault="009C13A9" w:rsidP="009C13A9">
      <w:pPr>
        <w:overflowPunct w:val="0"/>
        <w:adjustRightInd w:val="0"/>
        <w:ind w:left="0" w:firstLine="0"/>
        <w:jc w:val="left"/>
        <w:textAlignment w:val="baseline"/>
        <w:rPr>
          <w:rFonts w:cs="Arial"/>
          <w:szCs w:val="20"/>
        </w:rPr>
      </w:pPr>
    </w:p>
    <w:p w:rsidR="009C13A9" w:rsidRPr="00C903F8" w:rsidRDefault="009C13A9" w:rsidP="009C13A9">
      <w:pPr>
        <w:overflowPunct w:val="0"/>
        <w:adjustRightInd w:val="0"/>
        <w:ind w:left="0" w:firstLine="0"/>
        <w:jc w:val="left"/>
        <w:textAlignment w:val="baseline"/>
        <w:rPr>
          <w:rFonts w:cs="Arial"/>
          <w:szCs w:val="20"/>
        </w:rPr>
      </w:pPr>
    </w:p>
    <w:p w:rsidR="009C13A9" w:rsidRPr="00C903F8" w:rsidRDefault="00BF7908" w:rsidP="009C13A9">
      <w:pPr>
        <w:rPr>
          <w:noProof/>
        </w:rPr>
      </w:pPr>
      <w:r>
        <w:t>"</w:t>
      </w:r>
      <w:r w:rsidR="009C13A9">
        <w:t>xxxxx</w:t>
      </w:r>
      <w:r>
        <w:t>"</w:t>
      </w:r>
      <w:r w:rsidR="009C13A9">
        <w:t xml:space="preserve"> rappresenta il numero seriale a cinque cifre attribuito dall’autorità competente.</w:t>
      </w:r>
    </w:p>
    <w:p w:rsidR="009C13A9" w:rsidRPr="00C903F8" w:rsidRDefault="009C13A9" w:rsidP="009C13A9">
      <w:pPr>
        <w:overflowPunct w:val="0"/>
        <w:adjustRightInd w:val="0"/>
        <w:ind w:left="0" w:firstLine="0"/>
        <w:textAlignment w:val="baseline"/>
        <w:rPr>
          <w:rFonts w:cs="Arial"/>
          <w:szCs w:val="20"/>
        </w:rPr>
      </w:pPr>
    </w:p>
    <w:p w:rsidR="009C13A9" w:rsidRPr="00C903F8" w:rsidRDefault="009C13A9" w:rsidP="009C13A9">
      <w:pPr>
        <w:overflowPunct w:val="0"/>
        <w:adjustRightInd w:val="0"/>
        <w:ind w:left="0" w:firstLine="0"/>
        <w:jc w:val="left"/>
        <w:textAlignment w:val="baseline"/>
        <w:rPr>
          <w:rFonts w:cs="Arial"/>
          <w:szCs w:val="20"/>
        </w:rPr>
      </w:pPr>
    </w:p>
    <w:p w:rsidR="009C13A9" w:rsidRPr="00C903F8" w:rsidRDefault="009C13A9" w:rsidP="009C13A9">
      <w:pPr>
        <w:spacing w:line="240" w:lineRule="atLeast"/>
        <w:ind w:left="567" w:hanging="567"/>
        <w:rPr>
          <w:rFonts w:cs="Arial"/>
          <w:szCs w:val="20"/>
        </w:rPr>
      </w:pPr>
    </w:p>
    <w:p w:rsidR="009C13A9" w:rsidRPr="00C903F8" w:rsidRDefault="009C13A9" w:rsidP="009C13A9">
      <w:pPr>
        <w:spacing w:line="240" w:lineRule="atLeast"/>
        <w:ind w:left="567" w:hanging="567"/>
        <w:rPr>
          <w:rFonts w:cs="Arial"/>
          <w:szCs w:val="20"/>
        </w:rPr>
      </w:pPr>
    </w:p>
    <w:p w:rsidR="009C13A9" w:rsidRPr="00C903F8" w:rsidRDefault="009C13A9" w:rsidP="009C13A9">
      <w:pPr>
        <w:spacing w:line="240" w:lineRule="atLeast"/>
        <w:ind w:left="567" w:hanging="567"/>
        <w:rPr>
          <w:rFonts w:cs="Arial"/>
          <w:szCs w:val="20"/>
        </w:rPr>
      </w:pPr>
    </w:p>
    <w:p w:rsidR="009C13A9" w:rsidRPr="00C903F8" w:rsidRDefault="009C13A9" w:rsidP="009C13A9">
      <w:pPr>
        <w:spacing w:line="240" w:lineRule="atLeast"/>
        <w:rPr>
          <w:rFonts w:cs="Arial"/>
          <w:szCs w:val="20"/>
        </w:rPr>
      </w:pPr>
    </w:p>
    <w:p w:rsidR="009C13A9" w:rsidRPr="00C903F8" w:rsidRDefault="009C13A9" w:rsidP="009C13A9">
      <w:pPr>
        <w:spacing w:line="240" w:lineRule="atLeast"/>
      </w:pPr>
      <w:r>
        <w:br w:type="page"/>
      </w:r>
    </w:p>
    <w:p w:rsidR="009C13A9" w:rsidRPr="00C903F8" w:rsidRDefault="009C13A9" w:rsidP="009C13A9">
      <w:pPr>
        <w:pStyle w:val="ES-Titre2"/>
        <w:pageBreakBefore w:val="0"/>
      </w:pPr>
      <w:bookmarkStart w:id="602" w:name="_Toc491854293"/>
      <w:bookmarkStart w:id="603" w:name="_Toc535500242"/>
      <w:r>
        <w:lastRenderedPageBreak/>
        <w:t>Allegato 2</w:t>
      </w:r>
      <w:r>
        <w:br/>
        <w:t>Dati per l'identificazione di una nave</w:t>
      </w:r>
      <w:bookmarkEnd w:id="602"/>
      <w:bookmarkEnd w:id="603"/>
    </w:p>
    <w:p w:rsidR="009C13A9" w:rsidRPr="00C903F8" w:rsidRDefault="009C13A9" w:rsidP="009C13A9">
      <w:pPr>
        <w:overflowPunct w:val="0"/>
        <w:adjustRightInd w:val="0"/>
        <w:ind w:left="0" w:firstLine="0"/>
        <w:jc w:val="left"/>
        <w:textAlignment w:val="baseline"/>
        <w:rPr>
          <w:rFonts w:cs="Arial"/>
          <w:szCs w:val="20"/>
        </w:rPr>
      </w:pPr>
    </w:p>
    <w:p w:rsidR="009C13A9" w:rsidRPr="00C903F8" w:rsidRDefault="009C13A9" w:rsidP="009C13A9">
      <w:pPr>
        <w:spacing w:line="240" w:lineRule="atLeast"/>
        <w:ind w:left="0" w:firstLine="0"/>
        <w:rPr>
          <w:rFonts w:cs="Arial"/>
          <w:noProof/>
          <w:szCs w:val="20"/>
        </w:rPr>
      </w:pPr>
    </w:p>
    <w:p w:rsidR="009C13A9" w:rsidRPr="00C903F8" w:rsidRDefault="009C13A9" w:rsidP="009C13A9">
      <w:pPr>
        <w:spacing w:line="240" w:lineRule="atLeast"/>
        <w:rPr>
          <w:rFonts w:cs="Arial"/>
          <w:color w:val="000000"/>
        </w:rPr>
      </w:pPr>
      <w:r>
        <w:rPr>
          <w:color w:val="000000"/>
        </w:rPr>
        <w:t>A.</w:t>
      </w:r>
      <w:r>
        <w:tab/>
      </w:r>
      <w:r>
        <w:rPr>
          <w:color w:val="000000"/>
        </w:rPr>
        <w:t>Tutte le navi</w:t>
      </w:r>
    </w:p>
    <w:p w:rsidR="009C13A9" w:rsidRPr="00C903F8" w:rsidRDefault="009C13A9" w:rsidP="009C13A9">
      <w:pPr>
        <w:spacing w:before="60" w:line="240" w:lineRule="atLeast"/>
        <w:ind w:left="992" w:hanging="567"/>
        <w:rPr>
          <w:rFonts w:cs="Arial"/>
          <w:noProof/>
          <w:szCs w:val="20"/>
        </w:rPr>
      </w:pPr>
      <w:r>
        <w:t>1.</w:t>
      </w:r>
      <w:r>
        <w:tab/>
        <w:t>Numero unico europeo di identificazione della nave (allegato 3, sezione I, punto 3 del modello e sezione VI, quinta colonna)</w:t>
      </w:r>
    </w:p>
    <w:p w:rsidR="009C13A9" w:rsidRPr="00C903F8" w:rsidRDefault="009C13A9" w:rsidP="009C13A9">
      <w:pPr>
        <w:spacing w:before="60" w:line="240" w:lineRule="atLeast"/>
        <w:ind w:left="992" w:hanging="567"/>
        <w:rPr>
          <w:rFonts w:cs="Arial"/>
          <w:noProof/>
          <w:szCs w:val="20"/>
        </w:rPr>
      </w:pPr>
      <w:r>
        <w:t>2.</w:t>
      </w:r>
      <w:r>
        <w:tab/>
        <w:t>Nome dell'imbarcazione/della nave (allegato 3, sezione I, punto 1 del modello, e sezione VI, quarta colonna)</w:t>
      </w:r>
    </w:p>
    <w:p w:rsidR="009C13A9" w:rsidRPr="00C903F8" w:rsidRDefault="009C13A9" w:rsidP="009C13A9">
      <w:pPr>
        <w:spacing w:before="60" w:line="240" w:lineRule="atLeast"/>
        <w:ind w:left="992" w:hanging="567"/>
        <w:rPr>
          <w:rFonts w:cs="Arial"/>
          <w:noProof/>
          <w:szCs w:val="20"/>
        </w:rPr>
      </w:pPr>
      <w:r>
        <w:t>3.</w:t>
      </w:r>
      <w:r>
        <w:tab/>
        <w:t>Tipo di imbarcazione come da definizione di cui all'articolo 1.01, punti da 1 a 28 (allegato 3, sezione I, punto 2 del modello)</w:t>
      </w:r>
    </w:p>
    <w:p w:rsidR="009C13A9" w:rsidRPr="00C903F8" w:rsidRDefault="009C13A9" w:rsidP="009C13A9">
      <w:pPr>
        <w:spacing w:before="60" w:line="240" w:lineRule="atLeast"/>
        <w:ind w:left="992" w:hanging="567"/>
        <w:rPr>
          <w:rFonts w:cs="Arial"/>
          <w:noProof/>
          <w:szCs w:val="20"/>
        </w:rPr>
      </w:pPr>
      <w:r>
        <w:t>4.</w:t>
      </w:r>
      <w:r>
        <w:tab/>
        <w:t>Lunghezza fuori tutto come da definizione di cui all'articolo 1.01, paragrafo 4, punto 17 (allegato 3, sezione I, punto 17a)</w:t>
      </w:r>
    </w:p>
    <w:p w:rsidR="009C13A9" w:rsidRPr="00C903F8" w:rsidRDefault="009C13A9" w:rsidP="009C13A9">
      <w:pPr>
        <w:spacing w:before="60" w:line="240" w:lineRule="atLeast"/>
        <w:ind w:left="992" w:hanging="567"/>
        <w:rPr>
          <w:rFonts w:cs="Arial"/>
          <w:noProof/>
          <w:szCs w:val="20"/>
        </w:rPr>
      </w:pPr>
      <w:r>
        <w:t>5.</w:t>
      </w:r>
      <w:r>
        <w:tab/>
        <w:t>Larghezza fuori tutto come da definizione di cui all'articolo 1.01, paragrafo 4, punto 20 (allegato 3, sezione I, punto 18a)</w:t>
      </w:r>
    </w:p>
    <w:p w:rsidR="009C13A9" w:rsidRPr="00C903F8" w:rsidRDefault="009C13A9" w:rsidP="009C13A9">
      <w:pPr>
        <w:spacing w:before="60" w:line="240" w:lineRule="atLeast"/>
        <w:ind w:left="992" w:hanging="567"/>
        <w:rPr>
          <w:rFonts w:cs="Arial"/>
          <w:noProof/>
          <w:szCs w:val="20"/>
        </w:rPr>
      </w:pPr>
      <w:r>
        <w:t>6.</w:t>
      </w:r>
      <w:r>
        <w:tab/>
        <w:t>Immersione come da definizione di cui all'articolo 1.01, paragrafo 4, punto 23 (allegato 3, sezione I, punto 19a)</w:t>
      </w:r>
    </w:p>
    <w:p w:rsidR="009C13A9" w:rsidRPr="00C903F8" w:rsidRDefault="009C13A9" w:rsidP="009C13A9">
      <w:pPr>
        <w:spacing w:before="60" w:line="240" w:lineRule="atLeast"/>
        <w:ind w:left="992" w:hanging="567"/>
        <w:rPr>
          <w:rFonts w:cs="Arial"/>
          <w:noProof/>
          <w:szCs w:val="20"/>
        </w:rPr>
      </w:pPr>
      <w:r>
        <w:t>7.</w:t>
      </w:r>
      <w:r>
        <w:tab/>
        <w:t>Fonte dei dati (= certificato per la navigazione interna)</w:t>
      </w:r>
    </w:p>
    <w:p w:rsidR="009C13A9" w:rsidRPr="00C903F8" w:rsidRDefault="009C13A9" w:rsidP="009C13A9">
      <w:pPr>
        <w:spacing w:before="60" w:line="240" w:lineRule="atLeast"/>
        <w:ind w:left="992" w:hanging="567"/>
        <w:rPr>
          <w:rFonts w:cs="Arial"/>
          <w:noProof/>
          <w:szCs w:val="20"/>
        </w:rPr>
      </w:pPr>
      <w:r>
        <w:t>8.</w:t>
      </w:r>
      <w:r>
        <w:tab/>
        <w:t>Portata lorda (allegato 3, sezione I, punto 21, e sezione VI, tredicesima colonna) per le navi per trasporto merci</w:t>
      </w:r>
    </w:p>
    <w:p w:rsidR="009C13A9" w:rsidRPr="00C903F8" w:rsidRDefault="009C13A9" w:rsidP="009C13A9">
      <w:pPr>
        <w:spacing w:before="60" w:line="240" w:lineRule="atLeast"/>
        <w:ind w:left="992" w:hanging="567"/>
        <w:rPr>
          <w:rFonts w:cs="Arial"/>
          <w:noProof/>
          <w:szCs w:val="20"/>
        </w:rPr>
      </w:pPr>
      <w:r>
        <w:t>9.</w:t>
      </w:r>
      <w:r>
        <w:tab/>
        <w:t>Volume di immersione come da definizione di cui all'articolo 1.01, paragrafo 4, punto 7 (allegato 3, sezione I, punto 21, e sezione VI, tredicesima colonna) per navi diverse da quelle adibite a trasporto merci</w:t>
      </w:r>
    </w:p>
    <w:p w:rsidR="009C13A9" w:rsidRPr="00C903F8" w:rsidRDefault="009C13A9" w:rsidP="009C13A9">
      <w:pPr>
        <w:spacing w:before="60" w:line="240" w:lineRule="atLeast"/>
        <w:ind w:left="992" w:hanging="567"/>
        <w:rPr>
          <w:rFonts w:cs="Arial"/>
          <w:noProof/>
          <w:szCs w:val="20"/>
        </w:rPr>
      </w:pPr>
      <w:r>
        <w:t>10.</w:t>
      </w:r>
      <w:r>
        <w:tab/>
        <w:t>Operatore (proprietario o suo rappresentante)</w:t>
      </w:r>
    </w:p>
    <w:p w:rsidR="009C13A9" w:rsidRPr="00C903F8" w:rsidRDefault="009C13A9" w:rsidP="009C13A9">
      <w:pPr>
        <w:spacing w:before="60" w:line="240" w:lineRule="atLeast"/>
        <w:ind w:left="992" w:hanging="567"/>
        <w:rPr>
          <w:rFonts w:cs="Arial"/>
          <w:noProof/>
          <w:szCs w:val="20"/>
        </w:rPr>
      </w:pPr>
      <w:r>
        <w:t>11.</w:t>
      </w:r>
      <w:r>
        <w:tab/>
        <w:t>Commissione di ispezione / autorità che rilascia il certificato (allegato 3, sezioni I e VI)</w:t>
      </w:r>
    </w:p>
    <w:p w:rsidR="009C13A9" w:rsidRPr="00C903F8" w:rsidRDefault="009C13A9" w:rsidP="009C13A9">
      <w:pPr>
        <w:spacing w:before="60" w:line="240" w:lineRule="atLeast"/>
        <w:ind w:left="992" w:hanging="567"/>
        <w:rPr>
          <w:rFonts w:cs="Arial"/>
          <w:noProof/>
          <w:szCs w:val="20"/>
        </w:rPr>
      </w:pPr>
      <w:r>
        <w:t>12.</w:t>
      </w:r>
      <w:r>
        <w:tab/>
        <w:t>Numero del certificato per la navigazione interna (allegato 3, sezione I e sezione VI, prima colonna)</w:t>
      </w:r>
    </w:p>
    <w:p w:rsidR="009C13A9" w:rsidRPr="00C903F8" w:rsidRDefault="009C13A9" w:rsidP="009C13A9">
      <w:pPr>
        <w:spacing w:before="60" w:line="240" w:lineRule="atLeast"/>
        <w:ind w:left="992" w:hanging="567"/>
        <w:rPr>
          <w:rFonts w:cs="Arial"/>
          <w:noProof/>
          <w:szCs w:val="20"/>
        </w:rPr>
      </w:pPr>
      <w:r>
        <w:t>13.</w:t>
      </w:r>
      <w:r>
        <w:tab/>
        <w:t>Data di scadenza (allegato 3, sezione 1, punto 11 del modello, e sezione VI, diciassettesima colonna)</w:t>
      </w:r>
    </w:p>
    <w:p w:rsidR="009C13A9" w:rsidRPr="00C903F8" w:rsidRDefault="009C13A9" w:rsidP="009C13A9">
      <w:pPr>
        <w:spacing w:before="60" w:line="240" w:lineRule="atLeast"/>
        <w:ind w:left="992" w:hanging="567"/>
        <w:rPr>
          <w:rFonts w:cs="Arial"/>
          <w:noProof/>
          <w:szCs w:val="20"/>
        </w:rPr>
      </w:pPr>
      <w:r>
        <w:t>14.</w:t>
      </w:r>
      <w:r>
        <w:tab/>
        <w:t>Creatore della raccolta di dati</w:t>
      </w:r>
    </w:p>
    <w:p w:rsidR="009C13A9" w:rsidRPr="00C903F8" w:rsidRDefault="009C13A9" w:rsidP="009C13A9">
      <w:pPr>
        <w:spacing w:line="240" w:lineRule="atLeast"/>
        <w:ind w:left="0" w:firstLine="0"/>
        <w:rPr>
          <w:rFonts w:cs="Arial"/>
          <w:noProof/>
          <w:szCs w:val="20"/>
        </w:rPr>
      </w:pPr>
    </w:p>
    <w:p w:rsidR="009C13A9" w:rsidRPr="00C903F8" w:rsidRDefault="009C13A9" w:rsidP="009C13A9">
      <w:pPr>
        <w:spacing w:line="240" w:lineRule="atLeast"/>
        <w:rPr>
          <w:rFonts w:cs="Arial"/>
          <w:color w:val="000000"/>
        </w:rPr>
      </w:pPr>
      <w:r>
        <w:rPr>
          <w:color w:val="000000"/>
        </w:rPr>
        <w:t>B.</w:t>
      </w:r>
      <w:r>
        <w:tab/>
      </w:r>
      <w:r>
        <w:rPr>
          <w:color w:val="000000"/>
        </w:rPr>
        <w:t>Se disponibile</w:t>
      </w:r>
    </w:p>
    <w:p w:rsidR="009C13A9" w:rsidRPr="00C903F8" w:rsidRDefault="009C13A9" w:rsidP="009C13A9">
      <w:pPr>
        <w:spacing w:before="60" w:line="240" w:lineRule="atLeast"/>
        <w:ind w:left="992" w:hanging="567"/>
        <w:rPr>
          <w:rFonts w:cs="Arial"/>
          <w:noProof/>
          <w:szCs w:val="20"/>
        </w:rPr>
      </w:pPr>
      <w:r>
        <w:t>1.</w:t>
      </w:r>
      <w:r>
        <w:tab/>
        <w:t>Numero nazionale</w:t>
      </w:r>
    </w:p>
    <w:p w:rsidR="009C13A9" w:rsidRPr="00C903F8" w:rsidRDefault="009C13A9" w:rsidP="009C13A9">
      <w:pPr>
        <w:spacing w:before="60" w:line="240" w:lineRule="atLeast"/>
        <w:ind w:left="992" w:hanging="567"/>
        <w:rPr>
          <w:rFonts w:cs="Arial"/>
          <w:noProof/>
          <w:szCs w:val="20"/>
        </w:rPr>
      </w:pPr>
      <w:r>
        <w:t>2.</w:t>
      </w:r>
      <w:r>
        <w:tab/>
        <w:t>Tipo di imbarcazione in conformità della specifica tecnica per l’identificazione elettronica delle navi nella navigazione interna</w:t>
      </w:r>
    </w:p>
    <w:p w:rsidR="009C13A9" w:rsidRPr="00C903F8" w:rsidRDefault="009C13A9" w:rsidP="009C13A9">
      <w:pPr>
        <w:spacing w:before="60" w:line="240" w:lineRule="atLeast"/>
        <w:ind w:left="992" w:hanging="567"/>
        <w:rPr>
          <w:rFonts w:cs="Arial"/>
          <w:noProof/>
          <w:szCs w:val="20"/>
        </w:rPr>
      </w:pPr>
      <w:r>
        <w:t>3.</w:t>
      </w:r>
      <w:r>
        <w:tab/>
        <w:t>Scafo singolo o doppio in conformità dell’ADN/ADNR</w:t>
      </w:r>
    </w:p>
    <w:p w:rsidR="009C13A9" w:rsidRPr="00C903F8" w:rsidRDefault="009C13A9" w:rsidP="009C13A9">
      <w:pPr>
        <w:spacing w:before="60" w:line="240" w:lineRule="atLeast"/>
        <w:ind w:left="992" w:hanging="567"/>
        <w:rPr>
          <w:rFonts w:cs="Arial"/>
          <w:noProof/>
          <w:szCs w:val="20"/>
        </w:rPr>
      </w:pPr>
      <w:r>
        <w:t>4.</w:t>
      </w:r>
      <w:r>
        <w:tab/>
        <w:t>Altezza come da definizione di cui all'articolo 1.01, paragrafo 4, punto 22</w:t>
      </w:r>
    </w:p>
    <w:p w:rsidR="009C13A9" w:rsidRPr="00C903F8" w:rsidRDefault="009C13A9" w:rsidP="009C13A9">
      <w:pPr>
        <w:spacing w:before="60" w:line="240" w:lineRule="atLeast"/>
        <w:ind w:left="992" w:hanging="567"/>
        <w:rPr>
          <w:rFonts w:cs="Arial"/>
          <w:noProof/>
          <w:szCs w:val="20"/>
        </w:rPr>
      </w:pPr>
      <w:r>
        <w:t>5.</w:t>
      </w:r>
      <w:r>
        <w:tab/>
        <w:t>Stazza lorda (per navi marittime)</w:t>
      </w:r>
    </w:p>
    <w:p w:rsidR="009C13A9" w:rsidRPr="00C903F8" w:rsidRDefault="009C13A9" w:rsidP="009C13A9">
      <w:pPr>
        <w:spacing w:before="60" w:line="240" w:lineRule="atLeast"/>
        <w:ind w:left="992" w:hanging="567"/>
        <w:rPr>
          <w:rFonts w:cs="Arial"/>
          <w:noProof/>
          <w:szCs w:val="20"/>
        </w:rPr>
      </w:pPr>
      <w:r>
        <w:t>6.</w:t>
      </w:r>
      <w:r>
        <w:tab/>
        <w:t>Numero IMO (per navi marittime)</w:t>
      </w:r>
    </w:p>
    <w:p w:rsidR="009C13A9" w:rsidRPr="00C903F8" w:rsidRDefault="009C13A9" w:rsidP="009C13A9">
      <w:pPr>
        <w:spacing w:before="60" w:line="240" w:lineRule="atLeast"/>
        <w:ind w:left="992" w:hanging="567"/>
        <w:rPr>
          <w:rFonts w:cs="Arial"/>
          <w:noProof/>
          <w:szCs w:val="20"/>
        </w:rPr>
      </w:pPr>
      <w:r>
        <w:t>7.</w:t>
      </w:r>
      <w:r>
        <w:tab/>
        <w:t>Segnale di chiamata (per navi marittime)</w:t>
      </w:r>
    </w:p>
    <w:p w:rsidR="009C13A9" w:rsidRPr="00C903F8" w:rsidRDefault="009C13A9" w:rsidP="009C13A9">
      <w:pPr>
        <w:spacing w:before="60" w:line="240" w:lineRule="atLeast"/>
        <w:ind w:left="992" w:hanging="567"/>
        <w:rPr>
          <w:rFonts w:cs="Arial"/>
          <w:noProof/>
          <w:szCs w:val="20"/>
        </w:rPr>
      </w:pPr>
      <w:r>
        <w:t>8.</w:t>
      </w:r>
      <w:r>
        <w:tab/>
        <w:t>Numero MMSI</w:t>
      </w:r>
    </w:p>
    <w:p w:rsidR="009C13A9" w:rsidRPr="00C903F8" w:rsidRDefault="009C13A9" w:rsidP="009C13A9">
      <w:pPr>
        <w:spacing w:before="60" w:line="240" w:lineRule="atLeast"/>
        <w:ind w:left="992" w:hanging="567"/>
        <w:rPr>
          <w:rFonts w:cs="Arial"/>
          <w:noProof/>
          <w:szCs w:val="20"/>
        </w:rPr>
      </w:pPr>
      <w:r>
        <w:t>9.</w:t>
      </w:r>
      <w:r>
        <w:tab/>
        <w:t>Codice ATIS</w:t>
      </w:r>
    </w:p>
    <w:p w:rsidR="009C13A9" w:rsidRPr="00C903F8" w:rsidRDefault="009C13A9" w:rsidP="009C13A9">
      <w:pPr>
        <w:spacing w:before="60" w:line="240" w:lineRule="atLeast"/>
        <w:ind w:left="992" w:hanging="567"/>
        <w:rPr>
          <w:rFonts w:cs="Arial"/>
          <w:noProof/>
          <w:szCs w:val="20"/>
        </w:rPr>
      </w:pPr>
      <w:r>
        <w:t>10.</w:t>
      </w:r>
      <w:r>
        <w:tab/>
        <w:t>Tipo, numero, autorità responsabile del rilascio e data di scadenza di altri certificati</w:t>
      </w:r>
    </w:p>
    <w:p w:rsidR="009C13A9" w:rsidRPr="00C903F8" w:rsidRDefault="009C13A9" w:rsidP="009C13A9">
      <w:pPr>
        <w:spacing w:before="60" w:line="240" w:lineRule="atLeast"/>
        <w:ind w:left="992" w:hanging="567"/>
        <w:rPr>
          <w:rFonts w:cs="Arial"/>
          <w:noProof/>
          <w:szCs w:val="20"/>
        </w:rPr>
      </w:pPr>
    </w:p>
    <w:p w:rsidR="009C13A9" w:rsidRPr="00C903F8" w:rsidRDefault="009C13A9" w:rsidP="009C13A9">
      <w:pPr>
        <w:spacing w:before="60" w:line="240" w:lineRule="atLeast"/>
        <w:ind w:left="992" w:hanging="567"/>
        <w:rPr>
          <w:rFonts w:cs="Arial"/>
          <w:noProof/>
          <w:szCs w:val="20"/>
        </w:rPr>
      </w:pPr>
    </w:p>
    <w:p w:rsidR="009C13A9" w:rsidRPr="00C903F8" w:rsidRDefault="009C13A9" w:rsidP="009C13A9">
      <w:pPr>
        <w:spacing w:line="240" w:lineRule="atLeast"/>
        <w:ind w:left="0" w:firstLine="0"/>
        <w:rPr>
          <w:rFonts w:cs="Arial"/>
          <w:noProof/>
          <w:szCs w:val="20"/>
        </w:rPr>
      </w:pPr>
      <w:r>
        <w:br w:type="page"/>
      </w:r>
    </w:p>
    <w:p w:rsidR="009C13A9" w:rsidRPr="00C903F8" w:rsidRDefault="009C13A9" w:rsidP="009C13A9">
      <w:pPr>
        <w:spacing w:line="240" w:lineRule="atLeast"/>
        <w:ind w:left="0" w:firstLine="0"/>
        <w:rPr>
          <w:rFonts w:cs="Arial"/>
          <w:noProof/>
          <w:szCs w:val="20"/>
        </w:rPr>
      </w:pPr>
    </w:p>
    <w:p w:rsidR="009C13A9" w:rsidRPr="00C903F8" w:rsidRDefault="009C13A9" w:rsidP="009C13A9">
      <w:pPr>
        <w:spacing w:line="240" w:lineRule="atLeast"/>
        <w:ind w:left="0" w:firstLine="0"/>
        <w:rPr>
          <w:rFonts w:cs="Arial"/>
          <w:noProof/>
          <w:szCs w:val="20"/>
        </w:rPr>
      </w:pPr>
    </w:p>
    <w:p w:rsidR="009C13A9" w:rsidRPr="00C903F8" w:rsidRDefault="009C13A9" w:rsidP="009C13A9">
      <w:pPr>
        <w:spacing w:line="240" w:lineRule="atLeast"/>
        <w:ind w:left="0" w:firstLine="0"/>
        <w:rPr>
          <w:rFonts w:cs="Arial"/>
          <w:noProof/>
          <w:szCs w:val="20"/>
        </w:rPr>
      </w:pPr>
    </w:p>
    <w:p w:rsidR="009C13A9" w:rsidRPr="00C903F8" w:rsidRDefault="009C13A9" w:rsidP="009C13A9">
      <w:pPr>
        <w:tabs>
          <w:tab w:val="center" w:pos="8647"/>
        </w:tabs>
        <w:rPr>
          <w:rFonts w:cs="Arial"/>
          <w:szCs w:val="20"/>
        </w:rPr>
        <w:sectPr w:rsidR="009C13A9" w:rsidRPr="00C903F8" w:rsidSect="0042206B">
          <w:headerReference w:type="default" r:id="rId41"/>
          <w:footerReference w:type="default" r:id="rId42"/>
          <w:headerReference w:type="first" r:id="rId43"/>
          <w:footnotePr>
            <w:numRestart w:val="eachPage"/>
          </w:footnotePr>
          <w:pgSz w:w="11907" w:h="16840"/>
          <w:pgMar w:top="1418" w:right="1418" w:bottom="1418" w:left="1418" w:header="720" w:footer="720" w:gutter="0"/>
          <w:cols w:space="720"/>
          <w:docGrid w:linePitch="272"/>
        </w:sectPr>
      </w:pPr>
    </w:p>
    <w:p w:rsidR="009C13A9" w:rsidRPr="00C903F8" w:rsidRDefault="009C13A9" w:rsidP="009C13A9">
      <w:pPr>
        <w:tabs>
          <w:tab w:val="center" w:pos="8647"/>
        </w:tabs>
        <w:rPr>
          <w:rFonts w:cs="Arial"/>
          <w:szCs w:val="20"/>
        </w:rPr>
      </w:pPr>
    </w:p>
    <w:p w:rsidR="009C13A9" w:rsidRPr="00C903F8" w:rsidRDefault="009C13A9" w:rsidP="009C13A9">
      <w:pPr>
        <w:pStyle w:val="ES-Titre2"/>
        <w:pageBreakBefore w:val="0"/>
      </w:pPr>
      <w:bookmarkStart w:id="604" w:name="_Toc491854294"/>
      <w:bookmarkStart w:id="605" w:name="_Toc535500243"/>
      <w:r>
        <w:t>Allegato 3</w:t>
      </w:r>
      <w:r>
        <w:br/>
        <w:t>Modelli di certificati di nave di navigazione interna e modello di registro di tali certificati</w:t>
      </w:r>
      <w:bookmarkEnd w:id="604"/>
      <w:bookmarkEnd w:id="605"/>
    </w:p>
    <w:p w:rsidR="0006083D" w:rsidRPr="00C903F8" w:rsidRDefault="0006083D" w:rsidP="00394AE4">
      <w:pPr>
        <w:pStyle w:val="ESgauche"/>
      </w:pPr>
    </w:p>
    <w:p w:rsidR="009C13A9" w:rsidRPr="00C903F8" w:rsidRDefault="00925755" w:rsidP="00857FC2">
      <w:pPr>
        <w:pStyle w:val="ES-Titre3"/>
        <w:rPr>
          <w:noProof/>
        </w:rPr>
      </w:pPr>
      <w:bookmarkStart w:id="606" w:name="_Toc491854295"/>
      <w:bookmarkStart w:id="607" w:name="_Toc535500244"/>
      <w:r>
        <w:t>Sezione I</w:t>
      </w:r>
      <w:bookmarkEnd w:id="606"/>
      <w:bookmarkEnd w:id="607"/>
    </w:p>
    <w:p w:rsidR="009C13A9" w:rsidRPr="00C903F8" w:rsidRDefault="009C13A9" w:rsidP="00857FC2">
      <w:pPr>
        <w:pStyle w:val="ES-Titre3a"/>
      </w:pPr>
      <w:bookmarkStart w:id="608" w:name="_Toc491854296"/>
      <w:bookmarkStart w:id="609" w:name="_Toc535500245"/>
      <w:r>
        <w:t>Modello di certificato per la navigazione interna</w:t>
      </w:r>
      <w:bookmarkEnd w:id="608"/>
      <w:bookmarkEnd w:id="609"/>
    </w:p>
    <w:p w:rsidR="009C13A9" w:rsidRPr="00C903F8" w:rsidRDefault="009C13A9" w:rsidP="009C13A9">
      <w:pPr>
        <w:tabs>
          <w:tab w:val="left" w:pos="284"/>
          <w:tab w:val="left" w:leader="dot" w:pos="9356"/>
        </w:tabs>
        <w:overflowPunct w:val="0"/>
        <w:adjustRightInd w:val="0"/>
        <w:ind w:left="0" w:firstLine="0"/>
        <w:textAlignment w:val="baseline"/>
        <w:rPr>
          <w:rFonts w:cs="Arial"/>
          <w:szCs w:val="20"/>
        </w:rPr>
      </w:pPr>
    </w:p>
    <w:p w:rsidR="009C13A9" w:rsidRPr="00C903F8" w:rsidRDefault="009C13A9" w:rsidP="009C13A9">
      <w:pPr>
        <w:tabs>
          <w:tab w:val="left" w:pos="284"/>
          <w:tab w:val="left" w:leader="dot" w:pos="9356"/>
        </w:tabs>
        <w:overflowPunct w:val="0"/>
        <w:adjustRightInd w:val="0"/>
        <w:ind w:left="0" w:firstLine="0"/>
        <w:textAlignment w:val="baseline"/>
        <w:rPr>
          <w:rFonts w:cs="Arial"/>
          <w:szCs w:val="20"/>
        </w:rPr>
      </w:pPr>
    </w:p>
    <w:p w:rsidR="009C13A9" w:rsidRPr="00C903F8" w:rsidRDefault="009C13A9" w:rsidP="009C13A9">
      <w:pPr>
        <w:tabs>
          <w:tab w:val="left" w:pos="284"/>
          <w:tab w:val="left" w:leader="dot" w:pos="9356"/>
        </w:tabs>
        <w:overflowPunct w:val="0"/>
        <w:adjustRightInd w:val="0"/>
        <w:ind w:left="0" w:firstLine="0"/>
        <w:jc w:val="center"/>
        <w:textAlignment w:val="baseline"/>
        <w:rPr>
          <w:rFonts w:cs="Arial"/>
          <w:b/>
          <w:sz w:val="22"/>
          <w:szCs w:val="22"/>
        </w:rPr>
      </w:pPr>
      <w:r>
        <w:rPr>
          <w:b/>
          <w:sz w:val="22"/>
        </w:rPr>
        <w:t>Nome dello Stato / Sigillo</w:t>
      </w:r>
    </w:p>
    <w:p w:rsidR="009C13A9" w:rsidRPr="00C903F8" w:rsidRDefault="009C13A9" w:rsidP="009C13A9">
      <w:pPr>
        <w:tabs>
          <w:tab w:val="left" w:pos="284"/>
          <w:tab w:val="left" w:leader="dot" w:pos="9356"/>
        </w:tabs>
        <w:overflowPunct w:val="0"/>
        <w:adjustRightInd w:val="0"/>
        <w:ind w:left="0" w:firstLine="0"/>
        <w:jc w:val="center"/>
        <w:textAlignment w:val="baseline"/>
        <w:rPr>
          <w:rFonts w:cs="Arial"/>
          <w:b/>
          <w:sz w:val="22"/>
          <w:szCs w:val="22"/>
        </w:rPr>
      </w:pPr>
    </w:p>
    <w:p w:rsidR="009C13A9" w:rsidRPr="00C903F8" w:rsidRDefault="009C13A9" w:rsidP="009C13A9">
      <w:pPr>
        <w:tabs>
          <w:tab w:val="left" w:pos="284"/>
          <w:tab w:val="left" w:leader="dot" w:pos="9356"/>
        </w:tabs>
        <w:overflowPunct w:val="0"/>
        <w:adjustRightInd w:val="0"/>
        <w:ind w:left="0" w:firstLine="0"/>
        <w:jc w:val="center"/>
        <w:textAlignment w:val="baseline"/>
        <w:rPr>
          <w:rFonts w:cs="Arial"/>
          <w:b/>
          <w:sz w:val="22"/>
          <w:szCs w:val="22"/>
        </w:rPr>
      </w:pPr>
    </w:p>
    <w:p w:rsidR="00AA5614" w:rsidRPr="000C5B42" w:rsidRDefault="00AA5614" w:rsidP="00AA5614">
      <w:pPr>
        <w:tabs>
          <w:tab w:val="left" w:pos="284"/>
          <w:tab w:val="left" w:leader="dot" w:pos="9356"/>
        </w:tabs>
        <w:overflowPunct w:val="0"/>
        <w:adjustRightInd w:val="0"/>
        <w:jc w:val="center"/>
        <w:textAlignment w:val="baseline"/>
        <w:rPr>
          <w:rFonts w:cs="Arial"/>
          <w:b/>
          <w:sz w:val="22"/>
          <w:szCs w:val="22"/>
        </w:rPr>
      </w:pPr>
      <w:r>
        <w:rPr>
          <w:b/>
          <w:sz w:val="22"/>
        </w:rPr>
        <w:t>certificato per la navigazione interna</w:t>
      </w:r>
    </w:p>
    <w:p w:rsidR="009C13A9" w:rsidRPr="00C903F8" w:rsidRDefault="009C13A9" w:rsidP="009C13A9">
      <w:pPr>
        <w:tabs>
          <w:tab w:val="left" w:pos="284"/>
          <w:tab w:val="left" w:leader="dot" w:pos="9356"/>
        </w:tabs>
        <w:overflowPunct w:val="0"/>
        <w:adjustRightInd w:val="0"/>
        <w:ind w:left="0" w:firstLine="0"/>
        <w:jc w:val="center"/>
        <w:textAlignment w:val="baseline"/>
        <w:rPr>
          <w:rFonts w:cs="Arial"/>
          <w:b/>
          <w:sz w:val="22"/>
          <w:szCs w:val="22"/>
        </w:rPr>
      </w:pPr>
    </w:p>
    <w:p w:rsidR="009C13A9" w:rsidRPr="00C903F8" w:rsidRDefault="009C13A9" w:rsidP="009C13A9">
      <w:pPr>
        <w:tabs>
          <w:tab w:val="left" w:pos="284"/>
          <w:tab w:val="left" w:leader="dot" w:pos="9356"/>
        </w:tabs>
        <w:overflowPunct w:val="0"/>
        <w:adjustRightInd w:val="0"/>
        <w:ind w:left="0" w:firstLine="0"/>
        <w:jc w:val="center"/>
        <w:textAlignment w:val="baseline"/>
        <w:rPr>
          <w:rFonts w:cs="Arial"/>
          <w:b/>
          <w:sz w:val="22"/>
          <w:szCs w:val="22"/>
        </w:rPr>
      </w:pPr>
    </w:p>
    <w:p w:rsidR="009C13A9" w:rsidRPr="00C903F8" w:rsidRDefault="009C13A9" w:rsidP="009C13A9">
      <w:pPr>
        <w:tabs>
          <w:tab w:val="left" w:pos="284"/>
          <w:tab w:val="left" w:leader="dot" w:pos="1701"/>
          <w:tab w:val="left" w:leader="dot" w:pos="9356"/>
        </w:tabs>
        <w:overflowPunct w:val="0"/>
        <w:adjustRightInd w:val="0"/>
        <w:ind w:left="0" w:firstLine="0"/>
        <w:jc w:val="center"/>
        <w:textAlignment w:val="baseline"/>
        <w:rPr>
          <w:rFonts w:cs="Arial"/>
          <w:b/>
          <w:sz w:val="22"/>
          <w:szCs w:val="22"/>
        </w:rPr>
      </w:pPr>
      <w:r>
        <w:rPr>
          <w:b/>
          <w:sz w:val="22"/>
        </w:rPr>
        <w:t xml:space="preserve">N. </w:t>
      </w:r>
      <w:r>
        <w:tab/>
      </w:r>
    </w:p>
    <w:p w:rsidR="009C13A9" w:rsidRPr="00C903F8" w:rsidRDefault="009C13A9" w:rsidP="009C13A9">
      <w:pPr>
        <w:tabs>
          <w:tab w:val="left" w:pos="284"/>
          <w:tab w:val="left" w:leader="dot" w:pos="2268"/>
          <w:tab w:val="left" w:leader="dot" w:pos="9356"/>
        </w:tabs>
        <w:overflowPunct w:val="0"/>
        <w:adjustRightInd w:val="0"/>
        <w:ind w:left="0" w:firstLine="0"/>
        <w:textAlignment w:val="baseline"/>
        <w:rPr>
          <w:rFonts w:cs="Arial"/>
          <w:szCs w:val="20"/>
        </w:rPr>
      </w:pPr>
    </w:p>
    <w:p w:rsidR="009C13A9" w:rsidRPr="00C903F8" w:rsidRDefault="009C13A9" w:rsidP="009C13A9">
      <w:pPr>
        <w:tabs>
          <w:tab w:val="left" w:pos="284"/>
          <w:tab w:val="left" w:leader="dot" w:pos="2268"/>
          <w:tab w:val="left" w:leader="dot" w:pos="9356"/>
        </w:tabs>
        <w:overflowPunct w:val="0"/>
        <w:adjustRightInd w:val="0"/>
        <w:ind w:left="0" w:firstLine="0"/>
        <w:textAlignment w:val="baseline"/>
        <w:rPr>
          <w:rFonts w:cs="Arial"/>
          <w:szCs w:val="20"/>
        </w:rPr>
      </w:pPr>
    </w:p>
    <w:p w:rsidR="009C13A9" w:rsidRPr="00C903F8" w:rsidRDefault="009C13A9" w:rsidP="009C13A9">
      <w:pPr>
        <w:tabs>
          <w:tab w:val="left" w:pos="284"/>
          <w:tab w:val="left" w:leader="dot" w:pos="2268"/>
          <w:tab w:val="left" w:leader="dot" w:pos="9356"/>
        </w:tabs>
        <w:overflowPunct w:val="0"/>
        <w:adjustRightInd w:val="0"/>
        <w:ind w:left="0" w:firstLine="0"/>
        <w:textAlignment w:val="baseline"/>
        <w:rPr>
          <w:rFonts w:cs="Arial"/>
          <w:szCs w:val="20"/>
        </w:rPr>
      </w:pPr>
    </w:p>
    <w:p w:rsidR="009C13A9" w:rsidRPr="00C903F8" w:rsidRDefault="009C13A9" w:rsidP="009C13A9">
      <w:pPr>
        <w:tabs>
          <w:tab w:val="left" w:pos="397"/>
          <w:tab w:val="left" w:leader="dot" w:pos="9356"/>
        </w:tabs>
        <w:overflowPunct w:val="0"/>
        <w:adjustRightInd w:val="0"/>
        <w:ind w:left="0" w:firstLine="0"/>
        <w:textAlignment w:val="baseline"/>
        <w:rPr>
          <w:rFonts w:cs="Arial"/>
          <w:szCs w:val="20"/>
        </w:rPr>
      </w:pPr>
      <w:r>
        <w:tab/>
        <w:t>Luogo, data</w:t>
      </w:r>
    </w:p>
    <w:p w:rsidR="009C13A9" w:rsidRPr="00C903F8" w:rsidRDefault="009C13A9" w:rsidP="009C13A9">
      <w:pPr>
        <w:tabs>
          <w:tab w:val="left" w:pos="113"/>
          <w:tab w:val="left" w:pos="397"/>
          <w:tab w:val="left" w:leader="dot" w:pos="9356"/>
        </w:tabs>
        <w:overflowPunct w:val="0"/>
        <w:adjustRightInd w:val="0"/>
        <w:ind w:left="0" w:firstLine="0"/>
        <w:textAlignment w:val="baseline"/>
        <w:rPr>
          <w:rFonts w:cs="Arial"/>
          <w:szCs w:val="20"/>
        </w:rPr>
      </w:pPr>
    </w:p>
    <w:p w:rsidR="009C13A9" w:rsidRPr="00C903F8" w:rsidRDefault="009C13A9" w:rsidP="009C13A9">
      <w:pPr>
        <w:tabs>
          <w:tab w:val="left" w:pos="397"/>
          <w:tab w:val="left" w:leader="dot" w:pos="4536"/>
          <w:tab w:val="left" w:leader="dot" w:pos="9356"/>
        </w:tabs>
        <w:overflowPunct w:val="0"/>
        <w:adjustRightInd w:val="0"/>
        <w:ind w:left="0" w:firstLine="0"/>
        <w:textAlignment w:val="baseline"/>
        <w:rPr>
          <w:rFonts w:cs="Arial"/>
          <w:szCs w:val="20"/>
        </w:rPr>
      </w:pPr>
      <w:r>
        <w:tab/>
      </w:r>
      <w:r>
        <w:tab/>
      </w:r>
    </w:p>
    <w:p w:rsidR="009C13A9" w:rsidRPr="00C903F8" w:rsidRDefault="009C13A9" w:rsidP="009C13A9">
      <w:pPr>
        <w:tabs>
          <w:tab w:val="left" w:pos="113"/>
          <w:tab w:val="left" w:pos="397"/>
          <w:tab w:val="left" w:leader="dot" w:pos="3969"/>
          <w:tab w:val="left" w:leader="dot" w:pos="9356"/>
        </w:tabs>
        <w:overflowPunct w:val="0"/>
        <w:adjustRightInd w:val="0"/>
        <w:ind w:left="0" w:firstLine="0"/>
        <w:textAlignment w:val="baseline"/>
        <w:rPr>
          <w:rFonts w:cs="Arial"/>
          <w:szCs w:val="20"/>
        </w:rPr>
      </w:pPr>
    </w:p>
    <w:p w:rsidR="009C13A9" w:rsidRPr="00C903F8" w:rsidRDefault="009C13A9" w:rsidP="009C13A9">
      <w:pPr>
        <w:tabs>
          <w:tab w:val="center" w:pos="7088"/>
          <w:tab w:val="left" w:leader="dot" w:pos="9356"/>
        </w:tabs>
        <w:overflowPunct w:val="0"/>
        <w:adjustRightInd w:val="0"/>
        <w:ind w:left="0" w:firstLine="0"/>
        <w:textAlignment w:val="baseline"/>
        <w:rPr>
          <w:rFonts w:cs="Arial"/>
          <w:szCs w:val="20"/>
        </w:rPr>
      </w:pPr>
      <w:r>
        <w:tab/>
        <w:t>Commissione di ispezione</w:t>
      </w:r>
    </w:p>
    <w:p w:rsidR="009C13A9" w:rsidRPr="00C903F8" w:rsidRDefault="009C13A9" w:rsidP="009C13A9">
      <w:pPr>
        <w:tabs>
          <w:tab w:val="left" w:pos="113"/>
          <w:tab w:val="left" w:pos="397"/>
          <w:tab w:val="left" w:pos="5103"/>
          <w:tab w:val="left" w:leader="dot" w:pos="9356"/>
        </w:tabs>
        <w:overflowPunct w:val="0"/>
        <w:adjustRightInd w:val="0"/>
        <w:ind w:left="0" w:firstLine="0"/>
        <w:textAlignment w:val="baseline"/>
        <w:rPr>
          <w:rFonts w:cs="Arial"/>
          <w:szCs w:val="20"/>
        </w:rPr>
      </w:pPr>
    </w:p>
    <w:p w:rsidR="009C13A9" w:rsidRPr="00C903F8" w:rsidRDefault="009C13A9" w:rsidP="009C13A9">
      <w:pPr>
        <w:tabs>
          <w:tab w:val="left" w:pos="5103"/>
          <w:tab w:val="left" w:leader="dot" w:pos="9072"/>
        </w:tabs>
        <w:overflowPunct w:val="0"/>
        <w:adjustRightInd w:val="0"/>
        <w:ind w:left="0" w:firstLine="0"/>
        <w:textAlignment w:val="baseline"/>
        <w:rPr>
          <w:rFonts w:cs="Arial"/>
          <w:szCs w:val="20"/>
        </w:rPr>
      </w:pPr>
      <w:r>
        <w:tab/>
      </w:r>
      <w:r>
        <w:tab/>
      </w:r>
    </w:p>
    <w:p w:rsidR="009C13A9" w:rsidRPr="00C903F8" w:rsidRDefault="009C13A9" w:rsidP="009C13A9">
      <w:pPr>
        <w:tabs>
          <w:tab w:val="center" w:pos="1985"/>
          <w:tab w:val="left" w:pos="5103"/>
          <w:tab w:val="left" w:leader="dot" w:pos="9356"/>
        </w:tabs>
        <w:overflowPunct w:val="0"/>
        <w:adjustRightInd w:val="0"/>
        <w:ind w:left="0" w:firstLine="0"/>
        <w:textAlignment w:val="baseline"/>
        <w:rPr>
          <w:rFonts w:cs="Arial"/>
          <w:szCs w:val="20"/>
        </w:rPr>
      </w:pPr>
      <w:r>
        <w:tab/>
        <w:t>Timbro</w:t>
      </w:r>
    </w:p>
    <w:p w:rsidR="009C13A9" w:rsidRPr="00C903F8" w:rsidRDefault="009C13A9" w:rsidP="009C13A9">
      <w:pPr>
        <w:tabs>
          <w:tab w:val="left" w:pos="113"/>
          <w:tab w:val="left" w:pos="397"/>
          <w:tab w:val="left" w:pos="5103"/>
          <w:tab w:val="left" w:leader="dot" w:pos="9356"/>
        </w:tabs>
        <w:overflowPunct w:val="0"/>
        <w:adjustRightInd w:val="0"/>
        <w:ind w:left="0" w:firstLine="0"/>
        <w:textAlignment w:val="baseline"/>
        <w:rPr>
          <w:rFonts w:cs="Arial"/>
          <w:szCs w:val="20"/>
        </w:rPr>
      </w:pPr>
    </w:p>
    <w:p w:rsidR="009C13A9" w:rsidRPr="00C903F8" w:rsidRDefault="009C13A9" w:rsidP="009C13A9">
      <w:pPr>
        <w:tabs>
          <w:tab w:val="left" w:pos="113"/>
          <w:tab w:val="left" w:pos="397"/>
          <w:tab w:val="left" w:pos="5103"/>
          <w:tab w:val="left" w:leader="dot" w:pos="9356"/>
        </w:tabs>
        <w:overflowPunct w:val="0"/>
        <w:adjustRightInd w:val="0"/>
        <w:ind w:left="0" w:firstLine="0"/>
        <w:textAlignment w:val="baseline"/>
        <w:rPr>
          <w:rFonts w:cs="Arial"/>
          <w:szCs w:val="20"/>
        </w:rPr>
      </w:pPr>
    </w:p>
    <w:p w:rsidR="009C13A9" w:rsidRPr="00C903F8" w:rsidRDefault="009C13A9" w:rsidP="009C13A9">
      <w:pPr>
        <w:tabs>
          <w:tab w:val="left" w:pos="113"/>
          <w:tab w:val="left" w:pos="397"/>
          <w:tab w:val="left" w:pos="5103"/>
          <w:tab w:val="left" w:leader="dot" w:pos="9356"/>
        </w:tabs>
        <w:overflowPunct w:val="0"/>
        <w:adjustRightInd w:val="0"/>
        <w:ind w:left="0" w:firstLine="0"/>
        <w:textAlignment w:val="baseline"/>
        <w:rPr>
          <w:rFonts w:cs="Arial"/>
          <w:szCs w:val="20"/>
        </w:rPr>
      </w:pPr>
    </w:p>
    <w:p w:rsidR="009C13A9" w:rsidRPr="00C903F8" w:rsidRDefault="009C13A9" w:rsidP="009C13A9">
      <w:pPr>
        <w:tabs>
          <w:tab w:val="left" w:pos="113"/>
          <w:tab w:val="left" w:pos="397"/>
          <w:tab w:val="left" w:pos="5103"/>
          <w:tab w:val="left" w:leader="dot" w:pos="9356"/>
        </w:tabs>
        <w:overflowPunct w:val="0"/>
        <w:adjustRightInd w:val="0"/>
        <w:ind w:left="0" w:firstLine="0"/>
        <w:textAlignment w:val="baseline"/>
        <w:rPr>
          <w:rFonts w:cs="Arial"/>
          <w:szCs w:val="20"/>
        </w:rPr>
      </w:pPr>
    </w:p>
    <w:p w:rsidR="009C13A9" w:rsidRPr="00C903F8" w:rsidRDefault="009C13A9" w:rsidP="009C13A9">
      <w:pPr>
        <w:tabs>
          <w:tab w:val="left" w:pos="5103"/>
          <w:tab w:val="left" w:leader="dot" w:pos="9072"/>
        </w:tabs>
        <w:overflowPunct w:val="0"/>
        <w:adjustRightInd w:val="0"/>
        <w:ind w:left="0" w:firstLine="0"/>
        <w:textAlignment w:val="baseline"/>
        <w:rPr>
          <w:rFonts w:cs="Arial"/>
          <w:szCs w:val="20"/>
        </w:rPr>
      </w:pPr>
      <w:r>
        <w:tab/>
      </w:r>
      <w:r>
        <w:tab/>
      </w:r>
    </w:p>
    <w:p w:rsidR="009C13A9" w:rsidRPr="00C903F8" w:rsidRDefault="009C13A9" w:rsidP="009C13A9">
      <w:pPr>
        <w:tabs>
          <w:tab w:val="center" w:pos="7088"/>
          <w:tab w:val="left" w:leader="dot" w:pos="9356"/>
        </w:tabs>
        <w:overflowPunct w:val="0"/>
        <w:adjustRightInd w:val="0"/>
        <w:ind w:left="0" w:firstLine="0"/>
        <w:textAlignment w:val="baseline"/>
        <w:rPr>
          <w:rFonts w:cs="Arial"/>
          <w:szCs w:val="20"/>
        </w:rPr>
      </w:pPr>
      <w:r>
        <w:tab/>
      </w:r>
      <w:r>
        <w:rPr>
          <w:sz w:val="16"/>
        </w:rPr>
        <w:t>(firma)</w:t>
      </w:r>
    </w:p>
    <w:p w:rsidR="009C13A9" w:rsidRPr="00C903F8" w:rsidRDefault="009C13A9" w:rsidP="009C13A9">
      <w:pPr>
        <w:tabs>
          <w:tab w:val="left" w:pos="284"/>
          <w:tab w:val="left" w:leader="dot" w:pos="2268"/>
          <w:tab w:val="left" w:leader="dot" w:pos="9356"/>
        </w:tabs>
        <w:overflowPunct w:val="0"/>
        <w:adjustRightInd w:val="0"/>
        <w:ind w:left="0" w:firstLine="0"/>
        <w:textAlignment w:val="baseline"/>
        <w:rPr>
          <w:rFonts w:cs="Arial"/>
          <w:b/>
          <w:szCs w:val="20"/>
        </w:rPr>
      </w:pPr>
    </w:p>
    <w:p w:rsidR="009C13A9" w:rsidRPr="00C903F8" w:rsidRDefault="009C13A9" w:rsidP="009C13A9">
      <w:pPr>
        <w:tabs>
          <w:tab w:val="left" w:pos="284"/>
          <w:tab w:val="left" w:leader="dot" w:pos="2268"/>
          <w:tab w:val="left" w:leader="dot" w:pos="9356"/>
        </w:tabs>
        <w:overflowPunct w:val="0"/>
        <w:adjustRightInd w:val="0"/>
        <w:ind w:left="0" w:firstLine="0"/>
        <w:textAlignment w:val="baseline"/>
        <w:rPr>
          <w:rFonts w:cs="Arial"/>
          <w:b/>
          <w:szCs w:val="20"/>
        </w:rPr>
      </w:pPr>
    </w:p>
    <w:p w:rsidR="009C13A9" w:rsidRPr="00C903F8" w:rsidRDefault="009C13A9" w:rsidP="009C13A9">
      <w:pPr>
        <w:tabs>
          <w:tab w:val="left" w:pos="284"/>
          <w:tab w:val="left" w:leader="dot" w:pos="2268"/>
          <w:tab w:val="left" w:leader="dot" w:pos="9356"/>
        </w:tabs>
        <w:overflowPunct w:val="0"/>
        <w:adjustRightInd w:val="0"/>
        <w:ind w:left="0" w:firstLine="0"/>
        <w:textAlignment w:val="baseline"/>
        <w:rPr>
          <w:rFonts w:cs="Arial"/>
          <w:b/>
          <w:szCs w:val="20"/>
        </w:rPr>
      </w:pPr>
    </w:p>
    <w:p w:rsidR="009C13A9" w:rsidRPr="00C903F8" w:rsidRDefault="009C13A9" w:rsidP="009C13A9">
      <w:pPr>
        <w:tabs>
          <w:tab w:val="left" w:pos="284"/>
          <w:tab w:val="left" w:leader="dot" w:pos="2268"/>
          <w:tab w:val="left" w:leader="dot" w:pos="9356"/>
        </w:tabs>
        <w:overflowPunct w:val="0"/>
        <w:adjustRightInd w:val="0"/>
        <w:ind w:left="0" w:firstLine="0"/>
        <w:textAlignment w:val="baseline"/>
        <w:rPr>
          <w:rFonts w:cs="Arial"/>
          <w:b/>
          <w:szCs w:val="20"/>
        </w:rPr>
      </w:pPr>
    </w:p>
    <w:p w:rsidR="009C13A9" w:rsidRPr="00C903F8" w:rsidRDefault="009C13A9" w:rsidP="009C13A9">
      <w:pPr>
        <w:tabs>
          <w:tab w:val="left" w:pos="284"/>
          <w:tab w:val="left" w:leader="dot" w:pos="2268"/>
          <w:tab w:val="left" w:leader="dot" w:pos="9356"/>
        </w:tabs>
        <w:overflowPunct w:val="0"/>
        <w:adjustRightInd w:val="0"/>
        <w:ind w:left="0" w:firstLine="0"/>
        <w:textAlignment w:val="baseline"/>
        <w:rPr>
          <w:rFonts w:cs="Arial"/>
          <w:b/>
          <w:szCs w:val="20"/>
        </w:rPr>
      </w:pPr>
    </w:p>
    <w:p w:rsidR="009C13A9" w:rsidRPr="00C903F8" w:rsidRDefault="009C13A9" w:rsidP="009C13A9">
      <w:pPr>
        <w:tabs>
          <w:tab w:val="left" w:pos="284"/>
          <w:tab w:val="left" w:leader="dot" w:pos="2268"/>
          <w:tab w:val="left" w:leader="dot" w:pos="9356"/>
        </w:tabs>
        <w:overflowPunct w:val="0"/>
        <w:adjustRightInd w:val="0"/>
        <w:ind w:left="0" w:firstLine="0"/>
        <w:textAlignment w:val="baseline"/>
        <w:rPr>
          <w:rFonts w:cs="Arial"/>
          <w:szCs w:val="20"/>
        </w:rPr>
      </w:pPr>
      <w:r>
        <w:t>Annotazioni</w:t>
      </w:r>
    </w:p>
    <w:p w:rsidR="009C13A9" w:rsidRPr="00C903F8" w:rsidRDefault="009C13A9" w:rsidP="009C13A9">
      <w:pPr>
        <w:tabs>
          <w:tab w:val="left" w:pos="284"/>
          <w:tab w:val="left" w:leader="dot" w:pos="2268"/>
          <w:tab w:val="left" w:leader="dot" w:pos="9356"/>
        </w:tabs>
        <w:overflowPunct w:val="0"/>
        <w:adjustRightInd w:val="0"/>
        <w:ind w:left="0" w:firstLine="0"/>
        <w:textAlignment w:val="baseline"/>
        <w:rPr>
          <w:rFonts w:cs="Arial"/>
          <w:szCs w:val="20"/>
        </w:rPr>
      </w:pPr>
    </w:p>
    <w:p w:rsidR="00AA5614" w:rsidRPr="00B9093D" w:rsidRDefault="00AA5614" w:rsidP="00AA5614">
      <w:pPr>
        <w:tabs>
          <w:tab w:val="left" w:leader="dot" w:pos="2268"/>
          <w:tab w:val="left" w:leader="dot" w:pos="9356"/>
        </w:tabs>
        <w:overflowPunct w:val="0"/>
        <w:adjustRightInd w:val="0"/>
        <w:ind w:left="0" w:firstLine="0"/>
        <w:textAlignment w:val="baseline"/>
        <w:rPr>
          <w:rFonts w:cs="Arial"/>
          <w:szCs w:val="20"/>
        </w:rPr>
      </w:pPr>
      <w:r>
        <w:t>L'imbarcazione può essere utilizzata per la navigazione ai sensi del presente certificato per la navigazione interna solo nello stato ivi specificato.</w:t>
      </w:r>
    </w:p>
    <w:p w:rsidR="00AA5614" w:rsidRPr="00B9093D" w:rsidRDefault="00AA5614" w:rsidP="00AA5614">
      <w:pPr>
        <w:tabs>
          <w:tab w:val="left" w:leader="dot" w:pos="2268"/>
          <w:tab w:val="left" w:leader="dot" w:pos="9356"/>
        </w:tabs>
        <w:overflowPunct w:val="0"/>
        <w:adjustRightInd w:val="0"/>
        <w:ind w:left="0" w:firstLine="0"/>
        <w:textAlignment w:val="baseline"/>
        <w:rPr>
          <w:rFonts w:cs="Arial"/>
          <w:szCs w:val="20"/>
        </w:rPr>
      </w:pPr>
    </w:p>
    <w:p w:rsidR="00AA5614" w:rsidRPr="00B9093D" w:rsidRDefault="00AA5614" w:rsidP="00AA5614">
      <w:pPr>
        <w:tabs>
          <w:tab w:val="left" w:leader="dot" w:pos="2268"/>
          <w:tab w:val="left" w:leader="dot" w:pos="9356"/>
        </w:tabs>
        <w:overflowPunct w:val="0"/>
        <w:adjustRightInd w:val="0"/>
        <w:ind w:left="0" w:firstLine="0"/>
        <w:textAlignment w:val="baseline"/>
        <w:rPr>
          <w:rFonts w:cs="Arial"/>
          <w:szCs w:val="20"/>
        </w:rPr>
      </w:pPr>
      <w:r>
        <w:t>Qualora subisca modifiche o riparazioni importanti, l'imbarcazione deve essere sottoposta a un'ispezione speciale prima di poter intraprendere un nuovo viaggio.</w:t>
      </w:r>
    </w:p>
    <w:p w:rsidR="00AA5614" w:rsidRPr="00B9093D" w:rsidRDefault="00AA5614" w:rsidP="00AA5614">
      <w:pPr>
        <w:tabs>
          <w:tab w:val="left" w:leader="dot" w:pos="2268"/>
          <w:tab w:val="left" w:leader="dot" w:pos="9356"/>
        </w:tabs>
        <w:overflowPunct w:val="0"/>
        <w:adjustRightInd w:val="0"/>
        <w:ind w:left="0" w:firstLine="0"/>
        <w:textAlignment w:val="baseline"/>
        <w:rPr>
          <w:rFonts w:cs="Arial"/>
          <w:szCs w:val="20"/>
        </w:rPr>
      </w:pPr>
    </w:p>
    <w:p w:rsidR="009C13A9" w:rsidRPr="00C903F8" w:rsidRDefault="00AA5614" w:rsidP="00AA5614">
      <w:pPr>
        <w:tabs>
          <w:tab w:val="left" w:leader="dot" w:pos="2268"/>
          <w:tab w:val="left" w:leader="dot" w:pos="9356"/>
        </w:tabs>
        <w:overflowPunct w:val="0"/>
        <w:adjustRightInd w:val="0"/>
        <w:ind w:left="0" w:firstLine="0"/>
        <w:textAlignment w:val="baseline"/>
        <w:rPr>
          <w:rFonts w:cs="Arial"/>
          <w:b/>
          <w:szCs w:val="20"/>
        </w:rPr>
      </w:pPr>
      <w:r>
        <w:t>Il proprietario di un'imbarcazione, o il suo rappresentante, comunica alla commissione di ispezione qualsiasi cambiamento di nome o di proprietà, di stazzatura, nonché di immatricolazione o di porto di armamento dell'imbarcazione e fa pervenire a detta commissione il certificato per la navigazione interna per consentirne la modifica.</w:t>
      </w:r>
    </w:p>
    <w:p w:rsidR="009C13A9" w:rsidRPr="00AA5614" w:rsidRDefault="009C13A9" w:rsidP="00AA5614">
      <w:pPr>
        <w:tabs>
          <w:tab w:val="left" w:leader="dot" w:pos="2835"/>
          <w:tab w:val="left" w:leader="dot" w:pos="5103"/>
        </w:tabs>
        <w:overflowPunct w:val="0"/>
        <w:adjustRightInd w:val="0"/>
        <w:ind w:left="0" w:firstLine="0"/>
        <w:textAlignment w:val="baseline"/>
        <w:rPr>
          <w:rFonts w:cs="Arial"/>
          <w:szCs w:val="20"/>
        </w:rPr>
      </w:pPr>
      <w:r>
        <w:br w:type="page"/>
      </w:r>
      <w:r>
        <w:lastRenderedPageBreak/>
        <w:t xml:space="preserve">certificato per la navigazione interna n. </w:t>
      </w:r>
      <w:r>
        <w:tab/>
        <w:t xml:space="preserve"> della commissione di ispezione </w:t>
      </w:r>
      <w:r>
        <w:tab/>
      </w:r>
      <w:r>
        <w:tab/>
      </w:r>
    </w:p>
    <w:tbl>
      <w:tblPr>
        <w:tblW w:w="0" w:type="auto"/>
        <w:jc w:val="center"/>
        <w:tblLayout w:type="fixed"/>
        <w:tblCellMar>
          <w:left w:w="0" w:type="dxa"/>
          <w:right w:w="0" w:type="dxa"/>
        </w:tblCellMar>
        <w:tblLook w:val="0000" w:firstRow="0" w:lastRow="0" w:firstColumn="0" w:lastColumn="0" w:noHBand="0" w:noVBand="0"/>
      </w:tblPr>
      <w:tblGrid>
        <w:gridCol w:w="284"/>
        <w:gridCol w:w="2665"/>
        <w:gridCol w:w="113"/>
        <w:gridCol w:w="1531"/>
        <w:gridCol w:w="1531"/>
        <w:gridCol w:w="3062"/>
      </w:tblGrid>
      <w:tr w:rsidR="009C13A9" w:rsidRPr="00C903F8" w:rsidTr="009C13A9">
        <w:trPr>
          <w:cantSplit/>
          <w:jc w:val="center"/>
        </w:trPr>
        <w:tc>
          <w:tcPr>
            <w:tcW w:w="284" w:type="dxa"/>
            <w:tcBorders>
              <w:top w:val="single" w:sz="6" w:space="0" w:color="auto"/>
              <w:left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tab/>
            </w:r>
            <w:r>
              <w:rPr>
                <w:sz w:val="18"/>
              </w:rPr>
              <w:t>1.</w:t>
            </w:r>
          </w:p>
        </w:tc>
        <w:tc>
          <w:tcPr>
            <w:tcW w:w="2778" w:type="dxa"/>
            <w:gridSpan w:val="2"/>
            <w:tcBorders>
              <w:top w:val="single" w:sz="6" w:space="0" w:color="auto"/>
              <w:bottom w:val="single" w:sz="6" w:space="0" w:color="auto"/>
              <w:right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rPr>
                <w:sz w:val="18"/>
              </w:rPr>
              <w:t>Nome dell’imbarcazione</w:t>
            </w:r>
            <w:r>
              <w:rPr>
                <w:rFonts w:cs="Arial"/>
                <w:sz w:val="18"/>
                <w:szCs w:val="20"/>
              </w:rPr>
              <w:br/>
            </w:r>
            <w:r>
              <w:rPr>
                <w:rFonts w:cs="Arial"/>
                <w:sz w:val="18"/>
                <w:szCs w:val="20"/>
              </w:rPr>
              <w:br/>
            </w:r>
            <w:r>
              <w:rPr>
                <w:rFonts w:cs="Arial"/>
                <w:sz w:val="18"/>
                <w:szCs w:val="20"/>
              </w:rPr>
              <w:br/>
            </w:r>
          </w:p>
        </w:tc>
        <w:tc>
          <w:tcPr>
            <w:tcW w:w="3062" w:type="dxa"/>
            <w:gridSpan w:val="2"/>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pos="227"/>
              </w:tabs>
              <w:overflowPunct w:val="0"/>
              <w:adjustRightInd w:val="0"/>
              <w:ind w:left="0" w:firstLine="0"/>
              <w:jc w:val="left"/>
              <w:textAlignment w:val="baseline"/>
              <w:rPr>
                <w:rFonts w:cs="Arial"/>
                <w:sz w:val="18"/>
                <w:szCs w:val="20"/>
              </w:rPr>
            </w:pPr>
            <w:r>
              <w:tab/>
            </w:r>
            <w:r>
              <w:rPr>
                <w:sz w:val="18"/>
              </w:rPr>
              <w:t>2.</w:t>
            </w:r>
            <w:r>
              <w:tab/>
            </w:r>
            <w:r>
              <w:rPr>
                <w:sz w:val="18"/>
              </w:rPr>
              <w:t>Tipo di imbarcazione</w:t>
            </w:r>
          </w:p>
        </w:tc>
        <w:tc>
          <w:tcPr>
            <w:tcW w:w="3062" w:type="dxa"/>
            <w:tcBorders>
              <w:top w:val="single" w:sz="6" w:space="0" w:color="auto"/>
              <w:bottom w:val="single" w:sz="6" w:space="0" w:color="auto"/>
              <w:right w:val="single" w:sz="6" w:space="0" w:color="auto"/>
            </w:tcBorders>
          </w:tcPr>
          <w:p w:rsidR="009C13A9" w:rsidRPr="00C903F8" w:rsidRDefault="009C13A9" w:rsidP="009C13A9">
            <w:pPr>
              <w:tabs>
                <w:tab w:val="left" w:pos="57"/>
                <w:tab w:val="left" w:pos="284"/>
              </w:tabs>
              <w:overflowPunct w:val="0"/>
              <w:adjustRightInd w:val="0"/>
              <w:ind w:left="284" w:hanging="284"/>
              <w:jc w:val="left"/>
              <w:textAlignment w:val="baseline"/>
              <w:rPr>
                <w:rFonts w:cs="Arial"/>
                <w:sz w:val="18"/>
                <w:szCs w:val="20"/>
              </w:rPr>
            </w:pPr>
            <w:r>
              <w:tab/>
            </w:r>
            <w:r>
              <w:rPr>
                <w:sz w:val="18"/>
              </w:rPr>
              <w:t>3.</w:t>
            </w:r>
            <w:r>
              <w:tab/>
            </w:r>
            <w:r>
              <w:rPr>
                <w:noProof/>
                <w:sz w:val="18"/>
              </w:rPr>
              <w:t>Numero unico europeo di identificazione delle navi</w:t>
            </w:r>
          </w:p>
        </w:tc>
      </w:tr>
      <w:tr w:rsidR="009C13A9" w:rsidRPr="00A0619C"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ind w:left="0" w:firstLine="0"/>
              <w:jc w:val="left"/>
              <w:textAlignment w:val="baseline"/>
              <w:rPr>
                <w:rFonts w:cs="Arial"/>
                <w:sz w:val="18"/>
                <w:szCs w:val="20"/>
              </w:rPr>
            </w:pPr>
            <w:r>
              <w:tab/>
            </w:r>
            <w:r>
              <w:rPr>
                <w:sz w:val="18"/>
              </w:rPr>
              <w:t>4.</w:t>
            </w:r>
          </w:p>
        </w:tc>
        <w:tc>
          <w:tcPr>
            <w:tcW w:w="8902" w:type="dxa"/>
            <w:gridSpan w:val="5"/>
            <w:tcBorders>
              <w:top w:val="single" w:sz="6" w:space="0" w:color="auto"/>
              <w:bottom w:val="single" w:sz="6" w:space="0" w:color="auto"/>
              <w:right w:val="single" w:sz="6" w:space="0" w:color="auto"/>
            </w:tcBorders>
          </w:tcPr>
          <w:p w:rsidR="009C13A9" w:rsidRPr="00C903F8" w:rsidRDefault="009C13A9" w:rsidP="009C13A9">
            <w:pPr>
              <w:tabs>
                <w:tab w:val="left" w:pos="57"/>
                <w:tab w:val="left" w:pos="227"/>
              </w:tabs>
              <w:overflowPunct w:val="0"/>
              <w:adjustRightInd w:val="0"/>
              <w:ind w:left="0" w:firstLine="0"/>
              <w:jc w:val="left"/>
              <w:textAlignment w:val="baseline"/>
              <w:rPr>
                <w:rFonts w:cs="Arial"/>
                <w:sz w:val="18"/>
                <w:szCs w:val="20"/>
              </w:rPr>
            </w:pPr>
            <w:r>
              <w:rPr>
                <w:sz w:val="18"/>
              </w:rPr>
              <w:t>Nome e indirizzo del proprietario</w:t>
            </w:r>
            <w:r>
              <w:rPr>
                <w:rFonts w:cs="Arial"/>
                <w:sz w:val="18"/>
                <w:szCs w:val="20"/>
              </w:rPr>
              <w:br/>
            </w:r>
            <w:r>
              <w:rPr>
                <w:rFonts w:cs="Arial"/>
                <w:sz w:val="18"/>
                <w:szCs w:val="20"/>
              </w:rPr>
              <w:br/>
            </w:r>
            <w:r>
              <w:rPr>
                <w:rFonts w:cs="Arial"/>
                <w:sz w:val="18"/>
                <w:szCs w:val="20"/>
              </w:rPr>
              <w:br/>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tab/>
            </w:r>
            <w:r>
              <w:rPr>
                <w:sz w:val="18"/>
              </w:rPr>
              <w:t>5.</w:t>
            </w:r>
          </w:p>
        </w:tc>
        <w:tc>
          <w:tcPr>
            <w:tcW w:w="4309" w:type="dxa"/>
            <w:gridSpan w:val="3"/>
            <w:tcBorders>
              <w:right w:val="single" w:sz="6" w:space="0" w:color="auto"/>
            </w:tcBorders>
          </w:tcPr>
          <w:p w:rsidR="009C13A9" w:rsidRPr="00C903F8" w:rsidRDefault="009C13A9" w:rsidP="009C13A9">
            <w:pPr>
              <w:tabs>
                <w:tab w:val="left" w:pos="57"/>
                <w:tab w:val="left" w:pos="227"/>
              </w:tabs>
              <w:overflowPunct w:val="0"/>
              <w:adjustRightInd w:val="0"/>
              <w:ind w:left="0" w:firstLine="0"/>
              <w:jc w:val="left"/>
              <w:textAlignment w:val="baseline"/>
              <w:rPr>
                <w:rFonts w:cs="Arial"/>
                <w:sz w:val="18"/>
                <w:szCs w:val="20"/>
              </w:rPr>
            </w:pPr>
            <w:r>
              <w:rPr>
                <w:sz w:val="18"/>
              </w:rPr>
              <w:t>Luogo e numero di registrazione</w:t>
            </w:r>
            <w:r>
              <w:rPr>
                <w:rFonts w:cs="Arial"/>
                <w:sz w:val="18"/>
                <w:szCs w:val="20"/>
              </w:rPr>
              <w:br/>
            </w:r>
            <w:r>
              <w:rPr>
                <w:rFonts w:cs="Arial"/>
                <w:sz w:val="18"/>
                <w:szCs w:val="20"/>
              </w:rPr>
              <w:br/>
            </w:r>
          </w:p>
        </w:tc>
        <w:tc>
          <w:tcPr>
            <w:tcW w:w="4593" w:type="dxa"/>
            <w:gridSpan w:val="2"/>
            <w:tcBorders>
              <w:top w:val="single" w:sz="6" w:space="0" w:color="auto"/>
              <w:bottom w:val="single" w:sz="6" w:space="0" w:color="auto"/>
              <w:right w:val="single" w:sz="6" w:space="0" w:color="auto"/>
            </w:tcBorders>
          </w:tcPr>
          <w:p w:rsidR="009C13A9" w:rsidRPr="00C903F8" w:rsidRDefault="009C13A9" w:rsidP="009C13A9">
            <w:pPr>
              <w:tabs>
                <w:tab w:val="left" w:pos="57"/>
                <w:tab w:val="left" w:pos="227"/>
              </w:tabs>
              <w:overflowPunct w:val="0"/>
              <w:adjustRightInd w:val="0"/>
              <w:ind w:left="0" w:firstLine="0"/>
              <w:jc w:val="left"/>
              <w:textAlignment w:val="baseline"/>
              <w:rPr>
                <w:rFonts w:cs="Arial"/>
                <w:sz w:val="18"/>
                <w:szCs w:val="20"/>
              </w:rPr>
            </w:pPr>
            <w:r>
              <w:tab/>
            </w:r>
            <w:r>
              <w:rPr>
                <w:sz w:val="18"/>
              </w:rPr>
              <w:t>6.</w:t>
            </w:r>
            <w:r>
              <w:tab/>
            </w:r>
            <w:r>
              <w:rPr>
                <w:sz w:val="18"/>
              </w:rPr>
              <w:t>Porto di armamento</w:t>
            </w:r>
          </w:p>
        </w:tc>
      </w:tr>
      <w:tr w:rsidR="009C13A9" w:rsidRPr="00A0619C"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tab/>
            </w:r>
            <w:r>
              <w:rPr>
                <w:sz w:val="18"/>
              </w:rPr>
              <w:t>7.</w:t>
            </w:r>
          </w:p>
        </w:tc>
        <w:tc>
          <w:tcPr>
            <w:tcW w:w="2665" w:type="dxa"/>
            <w:tcBorders>
              <w:top w:val="single" w:sz="6" w:space="0" w:color="auto"/>
              <w:bottom w:val="single" w:sz="6" w:space="0" w:color="auto"/>
              <w:right w:val="single" w:sz="6" w:space="0" w:color="auto"/>
            </w:tcBorders>
          </w:tcPr>
          <w:p w:rsidR="009C13A9" w:rsidRPr="00C903F8" w:rsidRDefault="009C13A9" w:rsidP="009C13A9">
            <w:pPr>
              <w:tabs>
                <w:tab w:val="left" w:pos="57"/>
                <w:tab w:val="left" w:pos="227"/>
              </w:tabs>
              <w:overflowPunct w:val="0"/>
              <w:adjustRightInd w:val="0"/>
              <w:ind w:left="0" w:firstLine="0"/>
              <w:jc w:val="left"/>
              <w:textAlignment w:val="baseline"/>
              <w:rPr>
                <w:rFonts w:cs="Arial"/>
                <w:sz w:val="18"/>
                <w:szCs w:val="20"/>
              </w:rPr>
            </w:pPr>
            <w:r>
              <w:rPr>
                <w:sz w:val="18"/>
              </w:rPr>
              <w:t>Anno di costruzione</w:t>
            </w:r>
            <w:r>
              <w:rPr>
                <w:rFonts w:cs="Arial"/>
                <w:sz w:val="18"/>
                <w:szCs w:val="20"/>
              </w:rPr>
              <w:br/>
            </w:r>
            <w:r>
              <w:rPr>
                <w:rFonts w:cs="Arial"/>
                <w:sz w:val="18"/>
                <w:szCs w:val="20"/>
              </w:rPr>
              <w:br/>
            </w:r>
          </w:p>
        </w:tc>
        <w:tc>
          <w:tcPr>
            <w:tcW w:w="6237" w:type="dxa"/>
            <w:gridSpan w:val="4"/>
            <w:tcBorders>
              <w:top w:val="single" w:sz="6" w:space="0" w:color="auto"/>
              <w:bottom w:val="single" w:sz="6" w:space="0" w:color="auto"/>
              <w:right w:val="single" w:sz="6" w:space="0" w:color="auto"/>
            </w:tcBorders>
          </w:tcPr>
          <w:p w:rsidR="009C13A9" w:rsidRPr="00C903F8" w:rsidRDefault="009C13A9" w:rsidP="009C13A9">
            <w:pPr>
              <w:tabs>
                <w:tab w:val="left" w:pos="57"/>
                <w:tab w:val="left" w:pos="227"/>
              </w:tabs>
              <w:overflowPunct w:val="0"/>
              <w:adjustRightInd w:val="0"/>
              <w:ind w:left="0" w:firstLine="0"/>
              <w:jc w:val="left"/>
              <w:textAlignment w:val="baseline"/>
              <w:rPr>
                <w:rFonts w:cs="Arial"/>
                <w:sz w:val="18"/>
                <w:szCs w:val="20"/>
              </w:rPr>
            </w:pPr>
            <w:r>
              <w:tab/>
            </w:r>
            <w:r>
              <w:rPr>
                <w:sz w:val="18"/>
              </w:rPr>
              <w:t>8.</w:t>
            </w:r>
            <w:r>
              <w:tab/>
            </w:r>
            <w:r>
              <w:rPr>
                <w:sz w:val="18"/>
              </w:rPr>
              <w:t>Nome e sede del cantiere</w:t>
            </w:r>
          </w:p>
        </w:tc>
      </w:tr>
      <w:tr w:rsidR="009C13A9" w:rsidRPr="00A0619C"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spacing w:before="160"/>
              <w:ind w:left="0" w:firstLine="0"/>
              <w:jc w:val="left"/>
              <w:textAlignment w:val="baseline"/>
              <w:rPr>
                <w:rFonts w:cs="Arial"/>
                <w:sz w:val="18"/>
                <w:szCs w:val="20"/>
              </w:rPr>
            </w:pPr>
            <w:r>
              <w:tab/>
            </w:r>
            <w:r>
              <w:rPr>
                <w:sz w:val="18"/>
              </w:rPr>
              <w:t>9.</w:t>
            </w:r>
          </w:p>
        </w:tc>
        <w:tc>
          <w:tcPr>
            <w:tcW w:w="8902" w:type="dxa"/>
            <w:gridSpan w:val="5"/>
            <w:tcBorders>
              <w:bottom w:val="single" w:sz="6" w:space="0" w:color="auto"/>
              <w:right w:val="single" w:sz="6" w:space="0" w:color="auto"/>
            </w:tcBorders>
          </w:tcPr>
          <w:p w:rsidR="009C13A9" w:rsidRPr="00C903F8" w:rsidRDefault="009C13A9" w:rsidP="00B9093D">
            <w:pPr>
              <w:tabs>
                <w:tab w:val="left" w:pos="57"/>
                <w:tab w:val="left" w:leader="dot" w:pos="2835"/>
                <w:tab w:val="left" w:leader="dot" w:pos="6295"/>
                <w:tab w:val="left" w:leader="dot" w:pos="8138"/>
                <w:tab w:val="left" w:leader="dot" w:pos="8705"/>
              </w:tabs>
              <w:overflowPunct w:val="0"/>
              <w:adjustRightInd w:val="0"/>
              <w:spacing w:before="160"/>
              <w:ind w:left="0" w:firstLine="0"/>
              <w:jc w:val="left"/>
              <w:textAlignment w:val="baseline"/>
              <w:rPr>
                <w:rFonts w:cs="Arial"/>
                <w:sz w:val="18"/>
                <w:szCs w:val="20"/>
              </w:rPr>
            </w:pPr>
            <w:r>
              <w:rPr>
                <w:sz w:val="18"/>
              </w:rPr>
              <w:t>Il presente certificato sostituisce il certificato per la navigazione interna</w:t>
            </w:r>
            <w:r>
              <w:t xml:space="preserve"> n.</w:t>
            </w:r>
            <w:r>
              <w:tab/>
            </w:r>
            <w:r>
              <w:rPr>
                <w:sz w:val="18"/>
              </w:rPr>
              <w:t xml:space="preserve"> rilasciato il </w:t>
            </w:r>
            <w:r>
              <w:tab/>
            </w:r>
            <w:r>
              <w:rPr>
                <w:sz w:val="18"/>
              </w:rPr>
              <w:t xml:space="preserve"> da parte della commissione di ispezione .....................</w:t>
            </w:r>
          </w:p>
        </w:tc>
      </w:tr>
      <w:tr w:rsidR="009C13A9" w:rsidRPr="00A0619C" w:rsidTr="009C13A9">
        <w:trPr>
          <w:cantSplit/>
          <w:jc w:val="center"/>
        </w:trPr>
        <w:tc>
          <w:tcPr>
            <w:tcW w:w="284" w:type="dxa"/>
            <w:tcBorders>
              <w:top w:val="single" w:sz="6" w:space="0" w:color="auto"/>
              <w:left w:val="single" w:sz="6" w:space="0" w:color="auto"/>
            </w:tcBorders>
          </w:tcPr>
          <w:p w:rsidR="009C13A9" w:rsidRPr="00B9093D"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r>
              <w:rPr>
                <w:sz w:val="18"/>
              </w:rPr>
              <w:t>10.</w:t>
            </w:r>
          </w:p>
        </w:tc>
        <w:tc>
          <w:tcPr>
            <w:tcW w:w="8902" w:type="dxa"/>
            <w:gridSpan w:val="5"/>
            <w:tcBorders>
              <w:right w:val="single" w:sz="6" w:space="0" w:color="auto"/>
            </w:tcBorders>
          </w:tcPr>
          <w:p w:rsidR="009C13A9" w:rsidRPr="00C903F8" w:rsidRDefault="009C13A9" w:rsidP="009C13A9">
            <w:pPr>
              <w:tabs>
                <w:tab w:val="left" w:pos="57"/>
                <w:tab w:val="left" w:leader="dot" w:pos="3402"/>
                <w:tab w:val="left" w:leader="dot" w:pos="8505"/>
              </w:tabs>
              <w:overflowPunct w:val="0"/>
              <w:adjustRightInd w:val="0"/>
              <w:spacing w:before="120"/>
              <w:ind w:left="0" w:firstLine="0"/>
              <w:jc w:val="left"/>
              <w:textAlignment w:val="baseline"/>
              <w:rPr>
                <w:rFonts w:cs="Arial"/>
                <w:sz w:val="18"/>
                <w:szCs w:val="20"/>
              </w:rPr>
            </w:pPr>
            <w:r>
              <w:rPr>
                <w:sz w:val="18"/>
              </w:rPr>
              <w:t>L’imbarcazione di cui sopra</w:t>
            </w:r>
            <w:r>
              <w:rPr>
                <w:rFonts w:cs="Arial"/>
                <w:sz w:val="18"/>
                <w:szCs w:val="20"/>
              </w:rPr>
              <w:br/>
            </w:r>
            <w:r>
              <w:rPr>
                <w:rFonts w:cs="Arial"/>
                <w:sz w:val="18"/>
                <w:szCs w:val="20"/>
              </w:rPr>
              <w:br/>
            </w:r>
            <w:r>
              <w:rPr>
                <w:sz w:val="18"/>
              </w:rPr>
              <w:t xml:space="preserve">previa ispezione effettuata il </w:t>
            </w:r>
            <w:r>
              <w:rPr>
                <w:position w:val="6"/>
                <w:sz w:val="16"/>
              </w:rPr>
              <w:t>*)</w:t>
            </w:r>
            <w:r>
              <w:rPr>
                <w:sz w:val="18"/>
              </w:rPr>
              <w:t xml:space="preserve"> </w:t>
            </w:r>
            <w:r>
              <w:tab/>
            </w:r>
          </w:p>
          <w:p w:rsidR="009C13A9" w:rsidRPr="00C903F8" w:rsidRDefault="009C13A9" w:rsidP="009C13A9">
            <w:pPr>
              <w:tabs>
                <w:tab w:val="left" w:pos="57"/>
                <w:tab w:val="left" w:leader="dot" w:pos="4536"/>
                <w:tab w:val="left" w:leader="dot" w:pos="8505"/>
              </w:tabs>
              <w:overflowPunct w:val="0"/>
              <w:adjustRightInd w:val="0"/>
              <w:ind w:left="0" w:firstLine="0"/>
              <w:jc w:val="left"/>
              <w:textAlignment w:val="baseline"/>
              <w:rPr>
                <w:rFonts w:cs="Arial"/>
                <w:sz w:val="18"/>
                <w:szCs w:val="20"/>
              </w:rPr>
            </w:pPr>
            <w:r>
              <w:rPr>
                <w:rFonts w:cs="Arial"/>
                <w:sz w:val="18"/>
                <w:szCs w:val="20"/>
              </w:rPr>
              <w:br/>
            </w:r>
            <w:r>
              <w:rPr>
                <w:sz w:val="18"/>
              </w:rPr>
              <w:t xml:space="preserve">visto l'attestato rilasciato il </w:t>
            </w:r>
            <w:r>
              <w:rPr>
                <w:position w:val="6"/>
                <w:sz w:val="16"/>
              </w:rPr>
              <w:t>*)</w:t>
            </w:r>
            <w:r>
              <w:rPr>
                <w:sz w:val="18"/>
              </w:rPr>
              <w:t xml:space="preserve"> </w:t>
            </w:r>
            <w:r>
              <w:tab/>
            </w:r>
          </w:p>
          <w:p w:rsidR="009C13A9" w:rsidRPr="00C903F8" w:rsidRDefault="009C13A9" w:rsidP="00B82F01">
            <w:pPr>
              <w:tabs>
                <w:tab w:val="left" w:pos="57"/>
                <w:tab w:val="left" w:leader="dot" w:pos="6237"/>
                <w:tab w:val="left" w:leader="dot" w:pos="8505"/>
              </w:tabs>
              <w:overflowPunct w:val="0"/>
              <w:adjustRightInd w:val="0"/>
              <w:ind w:left="0" w:firstLine="0"/>
              <w:jc w:val="left"/>
              <w:textAlignment w:val="baseline"/>
              <w:rPr>
                <w:rFonts w:cs="Arial"/>
                <w:sz w:val="18"/>
                <w:szCs w:val="20"/>
              </w:rPr>
            </w:pPr>
            <w:r>
              <w:rPr>
                <w:rFonts w:cs="Arial"/>
                <w:sz w:val="18"/>
                <w:szCs w:val="20"/>
              </w:rPr>
              <w:br/>
            </w:r>
            <w:r>
              <w:rPr>
                <w:sz w:val="18"/>
              </w:rPr>
              <w:t>dall'organismo di classificazione autorizzato</w:t>
            </w:r>
            <w:r>
              <w:tab/>
            </w:r>
          </w:p>
        </w:tc>
      </w:tr>
      <w:tr w:rsidR="009C13A9" w:rsidRPr="00A0619C"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8902" w:type="dxa"/>
            <w:gridSpan w:val="5"/>
            <w:tcBorders>
              <w:right w:val="single" w:sz="6" w:space="0" w:color="auto"/>
            </w:tcBorders>
          </w:tcPr>
          <w:p w:rsidR="009C13A9" w:rsidRPr="00C903F8" w:rsidRDefault="009C13A9" w:rsidP="009C13A9">
            <w:pPr>
              <w:tabs>
                <w:tab w:val="left" w:pos="57"/>
                <w:tab w:val="left" w:leader="dot" w:pos="3969"/>
                <w:tab w:val="left" w:pos="4253"/>
                <w:tab w:val="left" w:leader="dot" w:pos="8505"/>
              </w:tabs>
              <w:overflowPunct w:val="0"/>
              <w:adjustRightInd w:val="0"/>
              <w:spacing w:before="120" w:after="120"/>
              <w:ind w:left="0" w:firstLine="0"/>
              <w:jc w:val="left"/>
              <w:textAlignment w:val="baseline"/>
              <w:rPr>
                <w:rFonts w:cs="Arial"/>
                <w:sz w:val="18"/>
                <w:szCs w:val="20"/>
              </w:rPr>
            </w:pPr>
            <w:r>
              <w:rPr>
                <w:sz w:val="18"/>
              </w:rPr>
              <w:t>è riconosciuta idonea alla navigazione:</w:t>
            </w:r>
          </w:p>
          <w:p w:rsidR="009C13A9" w:rsidRPr="00C903F8" w:rsidRDefault="009C13A9" w:rsidP="009C13A9">
            <w:pPr>
              <w:tabs>
                <w:tab w:val="left" w:pos="340"/>
                <w:tab w:val="left" w:leader="dot" w:pos="3969"/>
                <w:tab w:val="left" w:pos="4253"/>
                <w:tab w:val="left" w:leader="dot" w:pos="8505"/>
              </w:tabs>
              <w:overflowPunct w:val="0"/>
              <w:adjustRightInd w:val="0"/>
              <w:ind w:left="0" w:firstLine="0"/>
              <w:jc w:val="left"/>
              <w:textAlignment w:val="baseline"/>
              <w:rPr>
                <w:noProof/>
                <w:position w:val="6"/>
                <w:sz w:val="16"/>
              </w:rPr>
            </w:pPr>
            <w:r>
              <w:rPr>
                <w:noProof/>
                <w:sz w:val="18"/>
              </w:rPr>
              <w:t>-</w:t>
            </w:r>
            <w:r>
              <w:tab/>
            </w:r>
            <w:r>
              <w:rPr>
                <w:noProof/>
                <w:sz w:val="18"/>
              </w:rPr>
              <w:t>sul Reno </w:t>
            </w:r>
            <w:r>
              <w:rPr>
                <w:noProof/>
                <w:position w:val="6"/>
                <w:sz w:val="16"/>
              </w:rPr>
              <w:t>(*)</w:t>
            </w:r>
          </w:p>
          <w:p w:rsidR="009C13A9" w:rsidRPr="00C903F8" w:rsidRDefault="009C13A9" w:rsidP="009C13A9">
            <w:pPr>
              <w:tabs>
                <w:tab w:val="left" w:pos="57"/>
                <w:tab w:val="left" w:leader="dot" w:pos="3969"/>
                <w:tab w:val="left" w:pos="4253"/>
                <w:tab w:val="left" w:leader="dot" w:pos="8505"/>
              </w:tabs>
              <w:overflowPunct w:val="0"/>
              <w:adjustRightInd w:val="0"/>
              <w:ind w:left="0" w:firstLine="0"/>
              <w:jc w:val="left"/>
              <w:textAlignment w:val="baseline"/>
              <w:rPr>
                <w:rFonts w:cs="Arial"/>
                <w:position w:val="6"/>
                <w:sz w:val="16"/>
                <w:szCs w:val="20"/>
              </w:rPr>
            </w:pPr>
            <w:r>
              <w:rPr>
                <w:sz w:val="18"/>
              </w:rPr>
              <w:t xml:space="preserve">tra </w:t>
            </w:r>
            <w:r>
              <w:tab/>
            </w:r>
            <w:r>
              <w:rPr>
                <w:sz w:val="18"/>
              </w:rPr>
              <w:t xml:space="preserve"> e</w:t>
            </w:r>
            <w:r>
              <w:tab/>
            </w:r>
            <w:r>
              <w:tab/>
            </w:r>
            <w:r>
              <w:rPr>
                <w:position w:val="6"/>
                <w:sz w:val="16"/>
              </w:rPr>
              <w:t>*)</w:t>
            </w:r>
          </w:p>
          <w:p w:rsidR="009C13A9" w:rsidRPr="00C903F8" w:rsidRDefault="009C13A9" w:rsidP="009C13A9">
            <w:pPr>
              <w:tabs>
                <w:tab w:val="left" w:pos="57"/>
                <w:tab w:val="left" w:leader="dot" w:pos="3969"/>
                <w:tab w:val="left" w:pos="4253"/>
                <w:tab w:val="left" w:leader="dot" w:pos="8505"/>
              </w:tabs>
              <w:overflowPunct w:val="0"/>
              <w:adjustRightInd w:val="0"/>
              <w:ind w:left="0" w:firstLine="0"/>
              <w:jc w:val="left"/>
              <w:textAlignment w:val="baseline"/>
              <w:rPr>
                <w:rFonts w:cs="Arial"/>
                <w:sz w:val="18"/>
                <w:szCs w:val="20"/>
              </w:rPr>
            </w:pPr>
          </w:p>
          <w:p w:rsidR="009C13A9" w:rsidRPr="00C903F8" w:rsidRDefault="009C13A9" w:rsidP="009C13A9">
            <w:pPr>
              <w:tabs>
                <w:tab w:val="left" w:pos="340"/>
                <w:tab w:val="left" w:leader="dot" w:pos="8703"/>
              </w:tabs>
              <w:overflowPunct w:val="0"/>
              <w:adjustRightInd w:val="0"/>
              <w:ind w:left="0" w:firstLine="0"/>
              <w:jc w:val="left"/>
              <w:textAlignment w:val="baseline"/>
              <w:rPr>
                <w:noProof/>
                <w:position w:val="6"/>
                <w:sz w:val="16"/>
              </w:rPr>
            </w:pPr>
            <w:r>
              <w:rPr>
                <w:noProof/>
                <w:sz w:val="18"/>
              </w:rPr>
              <w:t>-</w:t>
            </w:r>
            <w:r>
              <w:tab/>
            </w:r>
            <w:r>
              <w:rPr>
                <w:noProof/>
                <w:sz w:val="18"/>
              </w:rPr>
              <w:t xml:space="preserve">sulle vie navigabili dell'Unione della zona/delle zone </w:t>
            </w:r>
            <w:r>
              <w:rPr>
                <w:noProof/>
                <w:position w:val="6"/>
                <w:sz w:val="16"/>
              </w:rPr>
              <w:t xml:space="preserve">(*) </w:t>
            </w:r>
            <w:r>
              <w:tab/>
            </w:r>
          </w:p>
          <w:p w:rsidR="009C13A9" w:rsidRPr="00C903F8" w:rsidRDefault="009C13A9" w:rsidP="009C13A9">
            <w:pPr>
              <w:tabs>
                <w:tab w:val="left" w:leader="dot" w:pos="8703"/>
              </w:tabs>
              <w:overflowPunct w:val="0"/>
              <w:adjustRightInd w:val="0"/>
              <w:ind w:left="0" w:firstLine="0"/>
              <w:jc w:val="left"/>
              <w:textAlignment w:val="baseline"/>
              <w:rPr>
                <w:noProof/>
                <w:sz w:val="18"/>
                <w:szCs w:val="20"/>
              </w:rPr>
            </w:pPr>
            <w:r>
              <w:tab/>
            </w:r>
          </w:p>
          <w:p w:rsidR="009C13A9" w:rsidRPr="00C903F8" w:rsidRDefault="009C13A9" w:rsidP="009C13A9">
            <w:pPr>
              <w:tabs>
                <w:tab w:val="left" w:leader="dot" w:pos="8703"/>
              </w:tabs>
              <w:overflowPunct w:val="0"/>
              <w:adjustRightInd w:val="0"/>
              <w:ind w:left="341" w:hanging="341"/>
              <w:jc w:val="left"/>
              <w:textAlignment w:val="baseline"/>
              <w:rPr>
                <w:noProof/>
                <w:sz w:val="18"/>
              </w:rPr>
            </w:pPr>
          </w:p>
          <w:p w:rsidR="009C13A9" w:rsidRPr="00C903F8" w:rsidRDefault="009C13A9" w:rsidP="009C13A9">
            <w:pPr>
              <w:tabs>
                <w:tab w:val="left" w:leader="dot" w:pos="8703"/>
              </w:tabs>
              <w:overflowPunct w:val="0"/>
              <w:adjustRightInd w:val="0"/>
              <w:ind w:left="341" w:hanging="341"/>
              <w:jc w:val="left"/>
              <w:textAlignment w:val="baseline"/>
              <w:rPr>
                <w:noProof/>
                <w:sz w:val="18"/>
              </w:rPr>
            </w:pPr>
            <w:r>
              <w:rPr>
                <w:noProof/>
                <w:sz w:val="18"/>
              </w:rPr>
              <w:t>-</w:t>
            </w:r>
            <w:r>
              <w:tab/>
            </w:r>
            <w:r>
              <w:rPr>
                <w:noProof/>
                <w:sz w:val="18"/>
              </w:rPr>
              <w:t xml:space="preserve">sulle vie navigabili della zona/delle zone </w:t>
            </w:r>
            <w:r>
              <w:rPr>
                <w:noProof/>
                <w:position w:val="6"/>
                <w:sz w:val="16"/>
              </w:rPr>
              <w:t xml:space="preserve">(*) </w:t>
            </w:r>
            <w:r>
              <w:tab/>
            </w:r>
          </w:p>
          <w:p w:rsidR="009C13A9" w:rsidRPr="00C903F8" w:rsidRDefault="009C13A9" w:rsidP="009C13A9">
            <w:pPr>
              <w:tabs>
                <w:tab w:val="left" w:leader="dot" w:pos="8703"/>
              </w:tabs>
              <w:overflowPunct w:val="0"/>
              <w:adjustRightInd w:val="0"/>
              <w:ind w:left="0" w:firstLine="0"/>
              <w:jc w:val="left"/>
              <w:textAlignment w:val="baseline"/>
              <w:rPr>
                <w:noProof/>
                <w:sz w:val="18"/>
              </w:rPr>
            </w:pPr>
            <w:r>
              <w:rPr>
                <w:noProof/>
                <w:sz w:val="18"/>
              </w:rPr>
              <w:t>.................................................................................................................................................................................</w:t>
            </w:r>
            <w:r>
              <w:rPr>
                <w:noProof/>
                <w:sz w:val="18"/>
              </w:rPr>
              <w:br/>
              <w:t>in .... [Nome degli Stati </w:t>
            </w:r>
            <w:r>
              <w:rPr>
                <w:noProof/>
                <w:position w:val="6"/>
                <w:sz w:val="16"/>
              </w:rPr>
              <w:t>(*)</w:t>
            </w:r>
            <w:r>
              <w:rPr>
                <w:noProof/>
                <w:sz w:val="18"/>
              </w:rPr>
              <w:t>]</w:t>
            </w:r>
            <w:r>
              <w:tab/>
            </w:r>
            <w:r>
              <w:rPr>
                <w:noProof/>
                <w:sz w:val="18"/>
              </w:rPr>
              <w:br/>
            </w:r>
            <w:r>
              <w:tab/>
            </w:r>
            <w:r>
              <w:rPr>
                <w:noProof/>
                <w:sz w:val="18"/>
                <w:szCs w:val="20"/>
              </w:rPr>
              <w:br/>
            </w:r>
            <w:r>
              <w:rPr>
                <w:noProof/>
                <w:sz w:val="18"/>
              </w:rPr>
              <w:t xml:space="preserve">ad eccezione di: </w:t>
            </w:r>
            <w:r>
              <w:tab/>
            </w:r>
            <w:r>
              <w:rPr>
                <w:noProof/>
                <w:sz w:val="18"/>
                <w:szCs w:val="20"/>
              </w:rPr>
              <w:br/>
            </w:r>
            <w:r>
              <w:tab/>
            </w:r>
            <w:r>
              <w:rPr>
                <w:noProof/>
                <w:sz w:val="18"/>
                <w:szCs w:val="20"/>
              </w:rPr>
              <w:br/>
            </w:r>
            <w:r>
              <w:tab/>
            </w:r>
          </w:p>
          <w:p w:rsidR="009C13A9" w:rsidRPr="00C903F8" w:rsidRDefault="009C13A9" w:rsidP="009C13A9">
            <w:pPr>
              <w:tabs>
                <w:tab w:val="left" w:pos="340"/>
                <w:tab w:val="left" w:leader="dot" w:pos="8703"/>
              </w:tabs>
              <w:overflowPunct w:val="0"/>
              <w:adjustRightInd w:val="0"/>
              <w:ind w:left="0" w:firstLine="0"/>
              <w:jc w:val="left"/>
              <w:textAlignment w:val="baseline"/>
              <w:rPr>
                <w:noProof/>
                <w:sz w:val="18"/>
              </w:rPr>
            </w:pPr>
            <w:r>
              <w:rPr>
                <w:noProof/>
                <w:sz w:val="18"/>
              </w:rPr>
              <w:t>-</w:t>
            </w:r>
            <w:r>
              <w:tab/>
            </w:r>
            <w:r>
              <w:rPr>
                <w:noProof/>
                <w:sz w:val="18"/>
              </w:rPr>
              <w:t>sulle vie navigabili seguenti in.[(nome dello Stato </w:t>
            </w:r>
            <w:r>
              <w:rPr>
                <w:noProof/>
                <w:position w:val="6"/>
                <w:sz w:val="16"/>
              </w:rPr>
              <w:t>(*)</w:t>
            </w:r>
            <w:r>
              <w:rPr>
                <w:noProof/>
                <w:sz w:val="18"/>
              </w:rPr>
              <w:t xml:space="preserve">] </w:t>
            </w:r>
            <w:r>
              <w:tab/>
            </w:r>
          </w:p>
          <w:p w:rsidR="009C13A9" w:rsidRPr="00C903F8" w:rsidRDefault="009C13A9" w:rsidP="009C13A9">
            <w:pPr>
              <w:tabs>
                <w:tab w:val="left" w:leader="dot" w:pos="8703"/>
              </w:tabs>
              <w:overflowPunct w:val="0"/>
              <w:adjustRightInd w:val="0"/>
              <w:ind w:left="0" w:firstLine="0"/>
              <w:jc w:val="left"/>
              <w:textAlignment w:val="baseline"/>
              <w:rPr>
                <w:rFonts w:cs="Arial"/>
                <w:sz w:val="18"/>
                <w:szCs w:val="20"/>
              </w:rPr>
            </w:pPr>
            <w:r>
              <w:tab/>
            </w:r>
            <w:r>
              <w:rPr>
                <w:noProof/>
                <w:sz w:val="18"/>
                <w:szCs w:val="20"/>
              </w:rPr>
              <w:br/>
            </w:r>
            <w:r>
              <w:tab/>
            </w:r>
            <w:r>
              <w:rPr>
                <w:rFonts w:cs="Arial"/>
                <w:sz w:val="18"/>
                <w:szCs w:val="20"/>
              </w:rPr>
              <w:br/>
            </w:r>
            <w:r>
              <w:tab/>
            </w:r>
          </w:p>
        </w:tc>
      </w:tr>
      <w:tr w:rsidR="009C13A9" w:rsidRPr="00A0619C" w:rsidTr="009C13A9">
        <w:trPr>
          <w:cantSplit/>
          <w:jc w:val="center"/>
        </w:trPr>
        <w:tc>
          <w:tcPr>
            <w:tcW w:w="284" w:type="dxa"/>
            <w:tcBorders>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8902" w:type="dxa"/>
            <w:gridSpan w:val="5"/>
            <w:tcBorders>
              <w:bottom w:val="single" w:sz="6" w:space="0" w:color="auto"/>
              <w:right w:val="single" w:sz="6" w:space="0" w:color="auto"/>
            </w:tcBorders>
          </w:tcPr>
          <w:p w:rsidR="009C13A9" w:rsidRPr="00C903F8" w:rsidRDefault="009C13A9" w:rsidP="009C13A9">
            <w:pPr>
              <w:tabs>
                <w:tab w:val="left" w:pos="57"/>
                <w:tab w:val="left" w:pos="340"/>
                <w:tab w:val="left" w:leader="dot" w:pos="8505"/>
              </w:tabs>
              <w:overflowPunct w:val="0"/>
              <w:adjustRightInd w:val="0"/>
              <w:spacing w:before="120"/>
              <w:ind w:left="0" w:firstLine="0"/>
              <w:jc w:val="left"/>
              <w:textAlignment w:val="baseline"/>
              <w:rPr>
                <w:rFonts w:cs="Arial"/>
                <w:sz w:val="18"/>
                <w:szCs w:val="20"/>
              </w:rPr>
            </w:pPr>
            <w:r>
              <w:rPr>
                <w:sz w:val="18"/>
              </w:rPr>
              <w:t>alla massima immersione autorizzata e con la dotazione e l’equipaggio definiti qui di seguito.</w:t>
            </w:r>
          </w:p>
        </w:tc>
      </w:tr>
      <w:tr w:rsidR="009C13A9" w:rsidRPr="00A0619C"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s>
              <w:overflowPunct w:val="0"/>
              <w:adjustRightInd w:val="0"/>
              <w:spacing w:before="160"/>
              <w:ind w:left="0" w:firstLine="0"/>
              <w:jc w:val="left"/>
              <w:textAlignment w:val="baseline"/>
              <w:rPr>
                <w:rFonts w:cs="Arial"/>
                <w:sz w:val="18"/>
                <w:szCs w:val="20"/>
              </w:rPr>
            </w:pPr>
            <w:r>
              <w:rPr>
                <w:sz w:val="18"/>
              </w:rPr>
              <w:t>11.</w:t>
            </w:r>
          </w:p>
        </w:tc>
        <w:tc>
          <w:tcPr>
            <w:tcW w:w="8902" w:type="dxa"/>
            <w:gridSpan w:val="5"/>
            <w:tcBorders>
              <w:top w:val="single" w:sz="6" w:space="0" w:color="auto"/>
              <w:bottom w:val="single" w:sz="6" w:space="0" w:color="auto"/>
              <w:right w:val="single" w:sz="6" w:space="0" w:color="auto"/>
            </w:tcBorders>
          </w:tcPr>
          <w:p w:rsidR="009C13A9" w:rsidRPr="00C903F8" w:rsidRDefault="009C13A9" w:rsidP="003D7271">
            <w:pPr>
              <w:tabs>
                <w:tab w:val="left" w:pos="57"/>
                <w:tab w:val="left" w:leader="dot" w:pos="4536"/>
                <w:tab w:val="left" w:leader="dot" w:pos="6437"/>
              </w:tabs>
              <w:overflowPunct w:val="0"/>
              <w:adjustRightInd w:val="0"/>
              <w:spacing w:before="160"/>
              <w:ind w:left="0" w:firstLine="0"/>
              <w:jc w:val="left"/>
              <w:textAlignment w:val="baseline"/>
              <w:rPr>
                <w:rFonts w:cs="Arial"/>
                <w:sz w:val="18"/>
                <w:szCs w:val="20"/>
              </w:rPr>
            </w:pPr>
            <w:r>
              <w:rPr>
                <w:sz w:val="18"/>
              </w:rPr>
              <w:t>Il presente certificato per la navigazione interna</w:t>
            </w:r>
            <w:r>
              <w:t xml:space="preserve"> </w:t>
            </w:r>
            <w:r>
              <w:rPr>
                <w:sz w:val="18"/>
              </w:rPr>
              <w:t xml:space="preserve">è valido fino al </w:t>
            </w:r>
            <w:r>
              <w:tab/>
            </w:r>
            <w:r>
              <w:rPr>
                <w:rFonts w:cs="Arial"/>
                <w:sz w:val="18"/>
                <w:szCs w:val="20"/>
              </w:rPr>
              <w:br/>
            </w:r>
          </w:p>
        </w:tc>
      </w:tr>
      <w:tr w:rsidR="009C13A9" w:rsidRPr="00C903F8" w:rsidTr="009C13A9">
        <w:trPr>
          <w:cantSplit/>
          <w:jc w:val="center"/>
        </w:trPr>
        <w:tc>
          <w:tcPr>
            <w:tcW w:w="284" w:type="dxa"/>
            <w:tcBorders>
              <w:left w:val="single" w:sz="6" w:space="0" w:color="auto"/>
              <w:bottom w:val="single" w:sz="6" w:space="0" w:color="auto"/>
            </w:tcBorders>
          </w:tcPr>
          <w:p w:rsidR="009C13A9" w:rsidRPr="00C903F8" w:rsidRDefault="009C13A9" w:rsidP="009C13A9">
            <w:pPr>
              <w:tabs>
                <w:tab w:val="left" w:pos="57"/>
              </w:tabs>
              <w:overflowPunct w:val="0"/>
              <w:adjustRightInd w:val="0"/>
              <w:spacing w:before="80"/>
              <w:ind w:left="0" w:firstLine="0"/>
              <w:jc w:val="left"/>
              <w:textAlignment w:val="baseline"/>
              <w:rPr>
                <w:rFonts w:cs="Arial"/>
                <w:sz w:val="18"/>
                <w:szCs w:val="20"/>
              </w:rPr>
            </w:pPr>
            <w:r>
              <w:tab/>
            </w:r>
            <w:r>
              <w:rPr>
                <w:sz w:val="18"/>
              </w:rPr>
              <w:t>*)</w:t>
            </w:r>
            <w:r>
              <w:rPr>
                <w:rFonts w:cs="Arial"/>
                <w:sz w:val="18"/>
                <w:szCs w:val="20"/>
              </w:rPr>
              <w:br/>
            </w:r>
            <w:r>
              <w:rPr>
                <w:rFonts w:cs="Arial"/>
                <w:sz w:val="18"/>
                <w:szCs w:val="20"/>
              </w:rPr>
              <w:br/>
            </w:r>
          </w:p>
          <w:p w:rsidR="009C13A9" w:rsidRPr="00C903F8" w:rsidRDefault="009C13A9" w:rsidP="009C13A9">
            <w:pPr>
              <w:tabs>
                <w:tab w:val="left" w:pos="57"/>
              </w:tabs>
              <w:overflowPunct w:val="0"/>
              <w:adjustRightInd w:val="0"/>
              <w:spacing w:before="80"/>
              <w:ind w:left="0" w:firstLine="0"/>
              <w:jc w:val="left"/>
              <w:textAlignment w:val="baseline"/>
              <w:rPr>
                <w:rFonts w:cs="Arial"/>
                <w:sz w:val="18"/>
                <w:szCs w:val="20"/>
              </w:rPr>
            </w:pPr>
          </w:p>
          <w:p w:rsidR="009C13A9" w:rsidRPr="00C903F8" w:rsidRDefault="009C13A9" w:rsidP="009C13A9">
            <w:pPr>
              <w:tabs>
                <w:tab w:val="left" w:pos="57"/>
              </w:tabs>
              <w:overflowPunct w:val="0"/>
              <w:adjustRightInd w:val="0"/>
              <w:spacing w:before="160"/>
              <w:ind w:left="0" w:firstLine="0"/>
              <w:jc w:val="left"/>
              <w:textAlignment w:val="baseline"/>
              <w:rPr>
                <w:rFonts w:cs="Arial"/>
                <w:sz w:val="18"/>
                <w:szCs w:val="20"/>
              </w:rPr>
            </w:pPr>
            <w:r>
              <w:tab/>
            </w:r>
            <w:r>
              <w:rPr>
                <w:sz w:val="18"/>
              </w:rPr>
              <w:t>*)</w:t>
            </w:r>
          </w:p>
        </w:tc>
        <w:tc>
          <w:tcPr>
            <w:tcW w:w="8902" w:type="dxa"/>
            <w:gridSpan w:val="5"/>
            <w:tcBorders>
              <w:bottom w:val="single" w:sz="6" w:space="0" w:color="auto"/>
              <w:right w:val="single" w:sz="6" w:space="0" w:color="auto"/>
            </w:tcBorders>
          </w:tcPr>
          <w:p w:rsidR="009C13A9" w:rsidRPr="00C903F8" w:rsidRDefault="009C13A9" w:rsidP="009C13A9">
            <w:pPr>
              <w:tabs>
                <w:tab w:val="left" w:pos="57"/>
                <w:tab w:val="left" w:leader="dot" w:pos="3686"/>
              </w:tabs>
              <w:overflowPunct w:val="0"/>
              <w:adjustRightInd w:val="0"/>
              <w:spacing w:before="80" w:after="80"/>
              <w:ind w:left="57" w:right="57" w:firstLine="0"/>
              <w:jc w:val="left"/>
              <w:textAlignment w:val="baseline"/>
              <w:rPr>
                <w:rFonts w:cs="Arial"/>
                <w:sz w:val="18"/>
                <w:szCs w:val="20"/>
              </w:rPr>
            </w:pPr>
            <w:r>
              <w:rPr>
                <w:noProof/>
                <w:sz w:val="18"/>
              </w:rPr>
              <w:t>La presente pagina è stata sostituita.: ....................</w:t>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rPr>
                <w:noProof/>
                <w:sz w:val="18"/>
              </w:rPr>
              <w:t>Nuova formulazione:</w:t>
            </w:r>
            <w:r>
              <w:tab/>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tab/>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tab/>
            </w:r>
          </w:p>
          <w:p w:rsidR="009C13A9" w:rsidRPr="00C903F8" w:rsidRDefault="009C13A9" w:rsidP="009C13A9">
            <w:pPr>
              <w:tabs>
                <w:tab w:val="left" w:leader="dot" w:pos="4536"/>
                <w:tab w:val="center" w:pos="6862"/>
              </w:tabs>
              <w:overflowPunct w:val="0"/>
              <w:adjustRightInd w:val="0"/>
              <w:spacing w:after="80"/>
              <w:ind w:left="57" w:right="57" w:firstLine="0"/>
              <w:textAlignment w:val="baseline"/>
              <w:rPr>
                <w:rFonts w:cs="Arial"/>
                <w:sz w:val="18"/>
                <w:szCs w:val="20"/>
              </w:rPr>
            </w:pPr>
            <w:r>
              <w:rPr>
                <w:sz w:val="18"/>
              </w:rPr>
              <w:t>La presente pagina è stata sostituita.</w:t>
            </w:r>
          </w:p>
          <w:p w:rsidR="009C13A9" w:rsidRPr="00C903F8" w:rsidRDefault="009C13A9" w:rsidP="009C13A9">
            <w:pPr>
              <w:tabs>
                <w:tab w:val="left" w:leader="dot" w:pos="4536"/>
                <w:tab w:val="center" w:pos="6862"/>
              </w:tabs>
              <w:overflowPunct w:val="0"/>
              <w:adjustRightInd w:val="0"/>
              <w:spacing w:after="80"/>
              <w:ind w:left="57" w:right="57" w:firstLine="0"/>
              <w:textAlignment w:val="baseline"/>
              <w:rPr>
                <w:rFonts w:cs="Arial"/>
                <w:sz w:val="18"/>
                <w:szCs w:val="20"/>
              </w:rPr>
            </w:pPr>
            <w:r>
              <w:rPr>
                <w:sz w:val="18"/>
              </w:rPr>
              <w:t xml:space="preserve">Luogo, data </w:t>
            </w:r>
            <w:r>
              <w:tab/>
            </w:r>
            <w:r>
              <w:tab/>
            </w:r>
            <w:r>
              <w:rPr>
                <w:sz w:val="18"/>
              </w:rPr>
              <w:t>Commissione di ispezione</w:t>
            </w:r>
          </w:p>
          <w:p w:rsidR="009C13A9" w:rsidRPr="00C903F8" w:rsidRDefault="009C13A9" w:rsidP="009C13A9">
            <w:pPr>
              <w:tabs>
                <w:tab w:val="left" w:pos="5103"/>
                <w:tab w:val="left" w:leader="dot" w:pos="8505"/>
              </w:tabs>
              <w:overflowPunct w:val="0"/>
              <w:adjustRightInd w:val="0"/>
              <w:ind w:left="0" w:firstLine="0"/>
              <w:textAlignment w:val="baseline"/>
              <w:rPr>
                <w:rFonts w:cs="Arial"/>
                <w:sz w:val="18"/>
                <w:szCs w:val="20"/>
              </w:rPr>
            </w:pPr>
            <w:r>
              <w:tab/>
            </w:r>
            <w:r>
              <w:tab/>
            </w:r>
          </w:p>
          <w:p w:rsidR="009C13A9" w:rsidRPr="00C903F8" w:rsidRDefault="009C13A9" w:rsidP="009C13A9">
            <w:pPr>
              <w:tabs>
                <w:tab w:val="center" w:pos="1701"/>
              </w:tabs>
              <w:overflowPunct w:val="0"/>
              <w:adjustRightInd w:val="0"/>
              <w:spacing w:after="80"/>
              <w:ind w:left="0" w:firstLine="0"/>
              <w:textAlignment w:val="baseline"/>
              <w:rPr>
                <w:rFonts w:cs="Arial"/>
                <w:sz w:val="18"/>
                <w:szCs w:val="20"/>
              </w:rPr>
            </w:pPr>
            <w:r>
              <w:tab/>
            </w:r>
            <w:r>
              <w:rPr>
                <w:sz w:val="18"/>
              </w:rPr>
              <w:t>Timbro</w:t>
            </w:r>
          </w:p>
          <w:p w:rsidR="009C13A9" w:rsidRPr="00C903F8" w:rsidRDefault="009C13A9" w:rsidP="009C13A9">
            <w:pPr>
              <w:tabs>
                <w:tab w:val="left" w:pos="5103"/>
                <w:tab w:val="left" w:leader="dot" w:pos="8505"/>
              </w:tabs>
              <w:overflowPunct w:val="0"/>
              <w:adjustRightInd w:val="0"/>
              <w:ind w:left="0" w:firstLine="0"/>
              <w:textAlignment w:val="baseline"/>
              <w:rPr>
                <w:rFonts w:cs="Arial"/>
                <w:szCs w:val="20"/>
              </w:rPr>
            </w:pPr>
            <w:r>
              <w:tab/>
            </w:r>
            <w:r>
              <w:tab/>
            </w:r>
          </w:p>
          <w:p w:rsidR="009C13A9" w:rsidRPr="00C903F8" w:rsidRDefault="009C13A9" w:rsidP="009C13A9">
            <w:pPr>
              <w:tabs>
                <w:tab w:val="center" w:pos="6862"/>
              </w:tabs>
              <w:overflowPunct w:val="0"/>
              <w:adjustRightInd w:val="0"/>
              <w:ind w:left="0" w:firstLine="0"/>
              <w:textAlignment w:val="baseline"/>
              <w:rPr>
                <w:rFonts w:cs="Arial"/>
                <w:sz w:val="16"/>
                <w:szCs w:val="20"/>
              </w:rPr>
            </w:pPr>
            <w:r>
              <w:tab/>
            </w:r>
            <w:r>
              <w:rPr>
                <w:sz w:val="16"/>
              </w:rPr>
              <w:t>(firma)</w:t>
            </w:r>
          </w:p>
          <w:p w:rsidR="009C13A9" w:rsidRPr="00C903F8" w:rsidRDefault="009C13A9" w:rsidP="009C13A9">
            <w:pPr>
              <w:tabs>
                <w:tab w:val="left" w:pos="113"/>
                <w:tab w:val="left" w:pos="397"/>
                <w:tab w:val="left" w:pos="6237"/>
                <w:tab w:val="left" w:leader="dot" w:pos="9356"/>
              </w:tabs>
              <w:overflowPunct w:val="0"/>
              <w:adjustRightInd w:val="0"/>
              <w:ind w:left="0" w:firstLine="0"/>
              <w:textAlignment w:val="baseline"/>
              <w:rPr>
                <w:rFonts w:cs="Arial"/>
                <w:sz w:val="16"/>
                <w:szCs w:val="20"/>
              </w:rPr>
            </w:pPr>
            <w:r>
              <w:rPr>
                <w:sz w:val="18"/>
              </w:rPr>
              <w:t>_______________________</w:t>
            </w:r>
          </w:p>
          <w:p w:rsidR="009C13A9" w:rsidRPr="00C903F8" w:rsidRDefault="009C13A9" w:rsidP="009C13A9">
            <w:pPr>
              <w:tabs>
                <w:tab w:val="left" w:pos="284"/>
              </w:tabs>
              <w:overflowPunct w:val="0"/>
              <w:adjustRightInd w:val="0"/>
              <w:spacing w:after="40"/>
              <w:ind w:left="57" w:firstLine="0"/>
              <w:jc w:val="left"/>
              <w:textAlignment w:val="baseline"/>
              <w:rPr>
                <w:rFonts w:cs="Arial"/>
                <w:sz w:val="18"/>
                <w:szCs w:val="20"/>
              </w:rPr>
            </w:pPr>
            <w:r>
              <w:rPr>
                <w:position w:val="4"/>
                <w:sz w:val="16"/>
              </w:rPr>
              <w:t>*)</w:t>
            </w:r>
            <w:r>
              <w:tab/>
            </w:r>
            <w:r>
              <w:rPr>
                <w:sz w:val="16"/>
              </w:rPr>
              <w:t>Cancellare le voci non pertinenti.</w:t>
            </w:r>
          </w:p>
        </w:tc>
      </w:tr>
    </w:tbl>
    <w:p w:rsidR="009C13A9" w:rsidRPr="00C903F8" w:rsidRDefault="009C13A9" w:rsidP="00AA5614">
      <w:pPr>
        <w:tabs>
          <w:tab w:val="left" w:leader="dot" w:pos="2835"/>
          <w:tab w:val="left" w:leader="dot" w:pos="5103"/>
        </w:tabs>
        <w:overflowPunct w:val="0"/>
        <w:adjustRightInd w:val="0"/>
        <w:ind w:left="0" w:firstLine="0"/>
        <w:textAlignment w:val="baseline"/>
        <w:rPr>
          <w:rFonts w:cs="Arial"/>
          <w:szCs w:val="20"/>
        </w:rPr>
      </w:pPr>
      <w:r>
        <w:br w:type="page"/>
      </w:r>
      <w:r>
        <w:lastRenderedPageBreak/>
        <w:t xml:space="preserve">certificato per la navigazione interna n. </w:t>
      </w:r>
      <w:r>
        <w:tab/>
        <w:t xml:space="preserve"> della commissione di ispezione </w:t>
      </w:r>
      <w: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9C13A9" w:rsidRPr="00A0619C"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r>
              <w:rPr>
                <w:sz w:val="18"/>
              </w:rPr>
              <w:t>12.</w:t>
            </w:r>
          </w:p>
        </w:tc>
        <w:tc>
          <w:tcPr>
            <w:tcW w:w="8902" w:type="dxa"/>
            <w:tcBorders>
              <w:top w:val="single" w:sz="6" w:space="0" w:color="auto"/>
              <w:bottom w:val="single" w:sz="6" w:space="0" w:color="auto"/>
              <w:right w:val="single" w:sz="6" w:space="0" w:color="auto"/>
            </w:tcBorders>
          </w:tcPr>
          <w:p w:rsidR="009C13A9" w:rsidRPr="00C903F8" w:rsidRDefault="009C13A9" w:rsidP="009C13A9">
            <w:pPr>
              <w:tabs>
                <w:tab w:val="left" w:pos="57"/>
                <w:tab w:val="left" w:pos="340"/>
                <w:tab w:val="left" w:leader="dot" w:pos="8505"/>
              </w:tabs>
              <w:overflowPunct w:val="0"/>
              <w:adjustRightInd w:val="0"/>
              <w:spacing w:before="120"/>
              <w:ind w:left="57" w:hanging="57"/>
              <w:jc w:val="left"/>
              <w:textAlignment w:val="baseline"/>
              <w:rPr>
                <w:rFonts w:cs="Arial"/>
                <w:sz w:val="18"/>
                <w:szCs w:val="20"/>
              </w:rPr>
            </w:pPr>
            <w:r>
              <w:tab/>
            </w:r>
            <w:r>
              <w:rPr>
                <w:noProof/>
                <w:sz w:val="18"/>
              </w:rPr>
              <w:t>Il numero di certificato per la navigazione interna</w:t>
            </w:r>
            <w:r>
              <w:t xml:space="preserve"> </w:t>
            </w:r>
            <w:r>
              <w:rPr>
                <w:noProof/>
                <w:sz w:val="18"/>
              </w:rPr>
              <w:t>(1), il numero unico europeo di identificazione delle navi (2), il numero di registrazione (3) e il numero di stazzatura (4) sono affissi con i segni corrispondenti nei seguenti punti dell'imbarcazione</w:t>
            </w:r>
            <w:r>
              <w:rPr>
                <w:rFonts w:cs="Arial"/>
                <w:noProof/>
                <w:sz w:val="18"/>
                <w:szCs w:val="18"/>
              </w:rPr>
              <w:br/>
            </w:r>
            <w:r>
              <w:rPr>
                <w:rFonts w:cs="Arial"/>
                <w:noProof/>
                <w:sz w:val="18"/>
                <w:szCs w:val="18"/>
              </w:rPr>
              <w:br/>
            </w:r>
            <w:r>
              <w:rPr>
                <w:noProof/>
                <w:sz w:val="18"/>
              </w:rPr>
              <w:t>1</w:t>
            </w:r>
            <w:r>
              <w:tab/>
            </w:r>
            <w:r>
              <w:tab/>
            </w:r>
            <w:r>
              <w:rPr>
                <w:rFonts w:cs="Arial"/>
                <w:sz w:val="18"/>
                <w:szCs w:val="20"/>
              </w:rPr>
              <w:br/>
            </w:r>
            <w:r>
              <w:rPr>
                <w:rFonts w:cs="Arial"/>
                <w:sz w:val="18"/>
                <w:szCs w:val="20"/>
              </w:rPr>
              <w:br/>
            </w:r>
            <w:r>
              <w:rPr>
                <w:sz w:val="18"/>
              </w:rPr>
              <w:t>2</w:t>
            </w:r>
            <w:r>
              <w:tab/>
            </w:r>
            <w:r>
              <w:tab/>
            </w:r>
            <w:r>
              <w:rPr>
                <w:rFonts w:cs="Arial"/>
                <w:sz w:val="18"/>
                <w:szCs w:val="20"/>
              </w:rPr>
              <w:br/>
            </w:r>
            <w:r>
              <w:rPr>
                <w:rFonts w:cs="Arial"/>
                <w:sz w:val="18"/>
                <w:szCs w:val="20"/>
              </w:rPr>
              <w:br/>
            </w:r>
            <w:r>
              <w:rPr>
                <w:sz w:val="18"/>
              </w:rPr>
              <w:t>3</w:t>
            </w:r>
            <w:r>
              <w:tab/>
            </w:r>
            <w:r>
              <w:tab/>
            </w:r>
            <w:r>
              <w:rPr>
                <w:rFonts w:cs="Arial"/>
                <w:sz w:val="18"/>
                <w:szCs w:val="20"/>
              </w:rPr>
              <w:br/>
            </w:r>
            <w:r>
              <w:rPr>
                <w:rFonts w:cs="Arial"/>
                <w:sz w:val="18"/>
                <w:szCs w:val="20"/>
              </w:rPr>
              <w:br/>
            </w:r>
            <w:r>
              <w:rPr>
                <w:sz w:val="18"/>
              </w:rPr>
              <w:t>4</w:t>
            </w:r>
            <w:r>
              <w:tab/>
            </w:r>
            <w:r>
              <w:tab/>
            </w:r>
            <w:r>
              <w:rPr>
                <w:rFonts w:cs="Arial"/>
                <w:sz w:val="18"/>
                <w:szCs w:val="20"/>
              </w:rPr>
              <w:br/>
            </w:r>
          </w:p>
        </w:tc>
      </w:tr>
      <w:tr w:rsidR="009C13A9" w:rsidRPr="00A0619C"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r>
              <w:rPr>
                <w:sz w:val="18"/>
              </w:rPr>
              <w:t>13.</w:t>
            </w:r>
          </w:p>
        </w:tc>
        <w:tc>
          <w:tcPr>
            <w:tcW w:w="8902" w:type="dxa"/>
            <w:tcBorders>
              <w:top w:val="single" w:sz="6" w:space="0" w:color="auto"/>
              <w:bottom w:val="single" w:sz="6" w:space="0" w:color="auto"/>
              <w:right w:val="single" w:sz="6" w:space="0" w:color="auto"/>
            </w:tcBorders>
          </w:tcPr>
          <w:p w:rsidR="009C13A9" w:rsidRPr="00C903F8" w:rsidRDefault="009C13A9" w:rsidP="009C13A9">
            <w:pPr>
              <w:tabs>
                <w:tab w:val="left" w:pos="57"/>
                <w:tab w:val="left" w:pos="340"/>
                <w:tab w:val="left" w:pos="567"/>
                <w:tab w:val="left" w:pos="4536"/>
                <w:tab w:val="left" w:pos="4820"/>
              </w:tabs>
              <w:overflowPunct w:val="0"/>
              <w:adjustRightInd w:val="0"/>
              <w:spacing w:before="120" w:after="120"/>
              <w:ind w:left="0" w:firstLine="0"/>
              <w:jc w:val="left"/>
              <w:textAlignment w:val="baseline"/>
              <w:rPr>
                <w:rFonts w:cs="Arial"/>
                <w:sz w:val="18"/>
                <w:szCs w:val="20"/>
              </w:rPr>
            </w:pPr>
            <w:r>
              <w:tab/>
            </w:r>
            <w:r>
              <w:rPr>
                <w:sz w:val="18"/>
              </w:rPr>
              <w:t>La massima immersione autorizzata è indicata su ciascun lato dell’imbarcazione</w:t>
            </w:r>
          </w:p>
          <w:p w:rsidR="009C13A9" w:rsidRPr="00C903F8" w:rsidRDefault="009C13A9" w:rsidP="009C13A9">
            <w:pPr>
              <w:tabs>
                <w:tab w:val="left" w:pos="57"/>
                <w:tab w:val="left" w:pos="340"/>
                <w:tab w:val="left" w:pos="567"/>
                <w:tab w:val="left" w:pos="4536"/>
                <w:tab w:val="left" w:pos="4820"/>
              </w:tabs>
              <w:overflowPunct w:val="0"/>
              <w:adjustRightInd w:val="0"/>
              <w:spacing w:after="120"/>
              <w:ind w:left="0" w:firstLine="0"/>
              <w:jc w:val="left"/>
              <w:textAlignment w:val="baseline"/>
              <w:rPr>
                <w:rFonts w:cs="Arial"/>
                <w:sz w:val="18"/>
                <w:szCs w:val="20"/>
              </w:rPr>
            </w:pPr>
            <w:r>
              <w:rPr>
                <w:sz w:val="18"/>
              </w:rPr>
              <w:t>-</w:t>
            </w:r>
            <w:r>
              <w:tab/>
              <w:t>da due - ......................................... - marche di bordo libero *).</w:t>
            </w:r>
          </w:p>
          <w:p w:rsidR="009C13A9" w:rsidRPr="00C903F8" w:rsidRDefault="009C13A9" w:rsidP="009C13A9">
            <w:pPr>
              <w:tabs>
                <w:tab w:val="left" w:pos="57"/>
                <w:tab w:val="left" w:pos="340"/>
                <w:tab w:val="left" w:pos="567"/>
                <w:tab w:val="left" w:pos="4536"/>
                <w:tab w:val="left" w:pos="4820"/>
              </w:tabs>
              <w:overflowPunct w:val="0"/>
              <w:adjustRightInd w:val="0"/>
              <w:ind w:left="0" w:firstLine="0"/>
              <w:jc w:val="left"/>
              <w:textAlignment w:val="baseline"/>
              <w:rPr>
                <w:rFonts w:cs="Arial"/>
                <w:sz w:val="18"/>
                <w:szCs w:val="20"/>
              </w:rPr>
            </w:pPr>
            <w:r>
              <w:rPr>
                <w:sz w:val="18"/>
              </w:rPr>
              <w:t>-</w:t>
            </w:r>
            <w:r>
              <w:tab/>
            </w:r>
            <w:r>
              <w:rPr>
                <w:sz w:val="18"/>
              </w:rPr>
              <w:t xml:space="preserve">dalle marche superiori di stazza </w:t>
            </w:r>
            <w:r>
              <w:rPr>
                <w:position w:val="6"/>
                <w:sz w:val="16"/>
              </w:rPr>
              <w:t>*)</w:t>
            </w:r>
            <w:r>
              <w:rPr>
                <w:sz w:val="18"/>
              </w:rPr>
              <w:t>.</w:t>
            </w:r>
          </w:p>
          <w:p w:rsidR="009C13A9" w:rsidRPr="00C903F8" w:rsidRDefault="009C13A9" w:rsidP="009C13A9">
            <w:pPr>
              <w:tabs>
                <w:tab w:val="left" w:pos="57"/>
                <w:tab w:val="left" w:pos="340"/>
                <w:tab w:val="left" w:pos="567"/>
                <w:tab w:val="left" w:pos="4536"/>
                <w:tab w:val="left" w:pos="4820"/>
              </w:tabs>
              <w:overflowPunct w:val="0"/>
              <w:adjustRightInd w:val="0"/>
              <w:ind w:left="0" w:firstLine="0"/>
              <w:jc w:val="left"/>
              <w:textAlignment w:val="baseline"/>
              <w:rPr>
                <w:rFonts w:cs="Arial"/>
                <w:sz w:val="18"/>
                <w:szCs w:val="20"/>
              </w:rPr>
            </w:pPr>
          </w:p>
          <w:p w:rsidR="009C13A9" w:rsidRPr="00C903F8" w:rsidRDefault="009C13A9" w:rsidP="009C13A9">
            <w:pPr>
              <w:tabs>
                <w:tab w:val="left" w:pos="57"/>
                <w:tab w:val="left" w:pos="340"/>
                <w:tab w:val="left" w:pos="567"/>
                <w:tab w:val="left" w:pos="4536"/>
                <w:tab w:val="left" w:pos="4820"/>
              </w:tabs>
              <w:overflowPunct w:val="0"/>
              <w:adjustRightInd w:val="0"/>
              <w:ind w:left="0" w:firstLine="0"/>
              <w:jc w:val="left"/>
              <w:textAlignment w:val="baseline"/>
              <w:rPr>
                <w:rFonts w:cs="Arial"/>
                <w:sz w:val="18"/>
                <w:szCs w:val="20"/>
              </w:rPr>
            </w:pPr>
            <w:r>
              <w:t>Sono presenti due scale d'immersione *).</w:t>
            </w:r>
            <w:r>
              <w:rPr>
                <w:rFonts w:cs="Arial"/>
                <w:sz w:val="18"/>
                <w:szCs w:val="20"/>
              </w:rPr>
              <w:br/>
            </w:r>
            <w:r>
              <w:rPr>
                <w:sz w:val="18"/>
              </w:rPr>
              <w:t xml:space="preserve">Le scale di stazza a poppa fungono da scale d'immersione: </w:t>
            </w:r>
            <w:r>
              <w:t>a tal fine sono state completate da numeri indicanti le immersioni *).</w:t>
            </w:r>
            <w:r>
              <w:rPr>
                <w:rFonts w:cs="Arial"/>
                <w:sz w:val="18"/>
                <w:szCs w:val="20"/>
              </w:rPr>
              <w:br/>
            </w:r>
          </w:p>
        </w:tc>
      </w:tr>
      <w:tr w:rsidR="009C13A9" w:rsidRPr="00A0619C"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r>
              <w:rPr>
                <w:sz w:val="18"/>
              </w:rPr>
              <w:t>14.</w:t>
            </w:r>
          </w:p>
        </w:tc>
        <w:tc>
          <w:tcPr>
            <w:tcW w:w="8902" w:type="dxa"/>
            <w:tcBorders>
              <w:top w:val="single" w:sz="6" w:space="0" w:color="auto"/>
              <w:bottom w:val="single" w:sz="6" w:space="0" w:color="auto"/>
              <w:right w:val="single" w:sz="6" w:space="0" w:color="auto"/>
            </w:tcBorders>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 xml:space="preserve">Fatte salve le restrizioni </w:t>
            </w:r>
            <w:r>
              <w:rPr>
                <w:position w:val="6"/>
                <w:sz w:val="14"/>
              </w:rPr>
              <w:t>*)</w:t>
            </w:r>
            <w:r>
              <w:rPr>
                <w:sz w:val="18"/>
              </w:rPr>
              <w:t xml:space="preserve"> di cui ai punti 15 e 52 l'imbarcazione è idonea</w:t>
            </w:r>
          </w:p>
          <w:p w:rsidR="009C13A9" w:rsidRPr="00C903F8" w:rsidRDefault="009C13A9" w:rsidP="009C13A9">
            <w:pPr>
              <w:tabs>
                <w:tab w:val="left" w:pos="57"/>
                <w:tab w:val="left" w:pos="340"/>
                <w:tab w:val="left" w:pos="567"/>
                <w:tab w:val="left" w:pos="4536"/>
                <w:tab w:val="left" w:pos="4820"/>
              </w:tabs>
              <w:overflowPunct w:val="0"/>
              <w:adjustRightInd w:val="0"/>
              <w:ind w:left="0" w:firstLine="0"/>
              <w:jc w:val="left"/>
              <w:textAlignment w:val="baseline"/>
              <w:rPr>
                <w:rFonts w:cs="Arial"/>
                <w:sz w:val="18"/>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4"/>
              <w:gridCol w:w="3232"/>
              <w:gridCol w:w="284"/>
              <w:gridCol w:w="624"/>
              <w:gridCol w:w="3515"/>
            </w:tblGrid>
            <w:tr w:rsidR="009C13A9" w:rsidRPr="00A0619C" w:rsidTr="009C13A9">
              <w:trPr>
                <w:jc w:val="center"/>
              </w:trPr>
              <w:tc>
                <w:tcPr>
                  <w:tcW w:w="624"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1.</w:t>
                  </w:r>
                </w:p>
              </w:tc>
              <w:tc>
                <w:tcPr>
                  <w:tcW w:w="3232" w:type="dxa"/>
                  <w:tcBorders>
                    <w:right w:val="nil"/>
                  </w:tcBorders>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alla spinta</w:t>
                  </w:r>
                  <w:r>
                    <w:rPr>
                      <w:position w:val="6"/>
                      <w:sz w:val="16"/>
                    </w:rPr>
                    <w:t xml:space="preserve"> *)</w:t>
                  </w:r>
                </w:p>
              </w:tc>
              <w:tc>
                <w:tcPr>
                  <w:tcW w:w="284" w:type="dxa"/>
                  <w:tcBorders>
                    <w:left w:val="nil"/>
                  </w:tcBorders>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p>
              </w:tc>
              <w:tc>
                <w:tcPr>
                  <w:tcW w:w="624"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4.</w:t>
                  </w:r>
                </w:p>
              </w:tc>
              <w:tc>
                <w:tcPr>
                  <w:tcW w:w="3515"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a essere condotta in coppia</w:t>
                  </w:r>
                  <w:r>
                    <w:rPr>
                      <w:position w:val="6"/>
                      <w:sz w:val="16"/>
                    </w:rPr>
                    <w:t>*)</w:t>
                  </w:r>
                </w:p>
              </w:tc>
            </w:tr>
            <w:tr w:rsidR="009C13A9" w:rsidRPr="00C903F8" w:rsidTr="009C13A9">
              <w:trPr>
                <w:jc w:val="center"/>
              </w:trPr>
              <w:tc>
                <w:tcPr>
                  <w:tcW w:w="624"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1.1</w:t>
                  </w:r>
                </w:p>
              </w:tc>
              <w:tc>
                <w:tcPr>
                  <w:tcW w:w="3232" w:type="dxa"/>
                  <w:tcBorders>
                    <w:right w:val="nil"/>
                  </w:tcBorders>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in formazione rigida</w:t>
                  </w:r>
                  <w:r>
                    <w:rPr>
                      <w:position w:val="6"/>
                      <w:sz w:val="16"/>
                    </w:rPr>
                    <w:t xml:space="preserve"> *)</w:t>
                  </w:r>
                </w:p>
              </w:tc>
              <w:tc>
                <w:tcPr>
                  <w:tcW w:w="284" w:type="dxa"/>
                  <w:tcBorders>
                    <w:left w:val="nil"/>
                  </w:tcBorders>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p>
              </w:tc>
              <w:tc>
                <w:tcPr>
                  <w:tcW w:w="624"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5.</w:t>
                  </w:r>
                </w:p>
              </w:tc>
              <w:tc>
                <w:tcPr>
                  <w:tcW w:w="3515"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al rimorchio</w:t>
                  </w:r>
                  <w:r>
                    <w:rPr>
                      <w:position w:val="6"/>
                      <w:sz w:val="16"/>
                    </w:rPr>
                    <w:t xml:space="preserve"> *)</w:t>
                  </w:r>
                </w:p>
              </w:tc>
            </w:tr>
            <w:tr w:rsidR="009C13A9" w:rsidRPr="00A0619C" w:rsidTr="009C13A9">
              <w:trPr>
                <w:jc w:val="center"/>
              </w:trPr>
              <w:tc>
                <w:tcPr>
                  <w:tcW w:w="624"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1.2</w:t>
                  </w:r>
                </w:p>
              </w:tc>
              <w:tc>
                <w:tcPr>
                  <w:tcW w:w="3232" w:type="dxa"/>
                  <w:tcBorders>
                    <w:right w:val="nil"/>
                  </w:tcBorders>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con articolazione guidata</w:t>
                  </w:r>
                  <w:r>
                    <w:rPr>
                      <w:position w:val="6"/>
                      <w:sz w:val="16"/>
                    </w:rPr>
                    <w:t xml:space="preserve"> *)</w:t>
                  </w:r>
                </w:p>
              </w:tc>
              <w:tc>
                <w:tcPr>
                  <w:tcW w:w="284" w:type="dxa"/>
                  <w:tcBorders>
                    <w:left w:val="nil"/>
                  </w:tcBorders>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p>
              </w:tc>
              <w:tc>
                <w:tcPr>
                  <w:tcW w:w="624"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5.1</w:t>
                  </w:r>
                </w:p>
              </w:tc>
              <w:tc>
                <w:tcPr>
                  <w:tcW w:w="3515"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t>in quanto imbarcazione non dotata di mezzi di propulsione *)</w:t>
                  </w:r>
                </w:p>
              </w:tc>
            </w:tr>
            <w:tr w:rsidR="009C13A9" w:rsidRPr="00C903F8" w:rsidTr="009C13A9">
              <w:trPr>
                <w:jc w:val="center"/>
              </w:trPr>
              <w:tc>
                <w:tcPr>
                  <w:tcW w:w="624"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2.</w:t>
                  </w:r>
                </w:p>
              </w:tc>
              <w:tc>
                <w:tcPr>
                  <w:tcW w:w="3232" w:type="dxa"/>
                  <w:tcBorders>
                    <w:right w:val="nil"/>
                  </w:tcBorders>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a essere spinta</w:t>
                  </w:r>
                  <w:r>
                    <w:rPr>
                      <w:position w:val="6"/>
                      <w:sz w:val="16"/>
                    </w:rPr>
                    <w:t xml:space="preserve"> *)</w:t>
                  </w:r>
                </w:p>
              </w:tc>
              <w:tc>
                <w:tcPr>
                  <w:tcW w:w="284" w:type="dxa"/>
                  <w:tcBorders>
                    <w:left w:val="nil"/>
                  </w:tcBorders>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p>
              </w:tc>
              <w:tc>
                <w:tcPr>
                  <w:tcW w:w="624"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5.2</w:t>
                  </w:r>
                </w:p>
              </w:tc>
              <w:tc>
                <w:tcPr>
                  <w:tcW w:w="3515"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t>in quanto imbarcazione a motore *)</w:t>
                  </w:r>
                </w:p>
              </w:tc>
            </w:tr>
            <w:tr w:rsidR="009C13A9" w:rsidRPr="00C903F8" w:rsidTr="009C13A9">
              <w:trPr>
                <w:jc w:val="center"/>
              </w:trPr>
              <w:tc>
                <w:tcPr>
                  <w:tcW w:w="624"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2.1</w:t>
                  </w:r>
                </w:p>
              </w:tc>
              <w:tc>
                <w:tcPr>
                  <w:tcW w:w="3232" w:type="dxa"/>
                  <w:tcBorders>
                    <w:right w:val="nil"/>
                  </w:tcBorders>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in formazione rigida</w:t>
                  </w:r>
                  <w:r>
                    <w:rPr>
                      <w:position w:val="6"/>
                      <w:sz w:val="16"/>
                    </w:rPr>
                    <w:t xml:space="preserve"> *)</w:t>
                  </w:r>
                </w:p>
              </w:tc>
              <w:tc>
                <w:tcPr>
                  <w:tcW w:w="284" w:type="dxa"/>
                  <w:tcBorders>
                    <w:left w:val="nil"/>
                  </w:tcBorders>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p>
              </w:tc>
              <w:tc>
                <w:tcPr>
                  <w:tcW w:w="624"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5.3</w:t>
                  </w:r>
                </w:p>
              </w:tc>
              <w:tc>
                <w:tcPr>
                  <w:tcW w:w="3515"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solo a monte</w:t>
                  </w:r>
                  <w:r>
                    <w:rPr>
                      <w:position w:val="6"/>
                      <w:sz w:val="16"/>
                    </w:rPr>
                    <w:t xml:space="preserve"> *)</w:t>
                  </w:r>
                </w:p>
              </w:tc>
            </w:tr>
            <w:tr w:rsidR="009C13A9" w:rsidRPr="00C903F8" w:rsidTr="009C13A9">
              <w:trPr>
                <w:jc w:val="center"/>
              </w:trPr>
              <w:tc>
                <w:tcPr>
                  <w:tcW w:w="624"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2.2</w:t>
                  </w:r>
                </w:p>
              </w:tc>
              <w:tc>
                <w:tcPr>
                  <w:tcW w:w="3232" w:type="dxa"/>
                  <w:tcBorders>
                    <w:right w:val="nil"/>
                  </w:tcBorders>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alla testa di una formazione rigida</w:t>
                  </w:r>
                  <w:r>
                    <w:rPr>
                      <w:position w:val="6"/>
                      <w:sz w:val="16"/>
                    </w:rPr>
                    <w:t xml:space="preserve"> *)</w:t>
                  </w:r>
                </w:p>
              </w:tc>
              <w:tc>
                <w:tcPr>
                  <w:tcW w:w="284" w:type="dxa"/>
                  <w:tcBorders>
                    <w:left w:val="nil"/>
                  </w:tcBorders>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p>
              </w:tc>
              <w:tc>
                <w:tcPr>
                  <w:tcW w:w="624"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6.</w:t>
                  </w:r>
                </w:p>
              </w:tc>
              <w:tc>
                <w:tcPr>
                  <w:tcW w:w="3515"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a essere rimorchiata</w:t>
                  </w:r>
                  <w:r>
                    <w:rPr>
                      <w:position w:val="6"/>
                      <w:sz w:val="16"/>
                    </w:rPr>
                    <w:t xml:space="preserve"> *)</w:t>
                  </w:r>
                </w:p>
              </w:tc>
            </w:tr>
            <w:tr w:rsidR="009C13A9" w:rsidRPr="00C903F8" w:rsidTr="009C13A9">
              <w:trPr>
                <w:jc w:val="center"/>
              </w:trPr>
              <w:tc>
                <w:tcPr>
                  <w:tcW w:w="624"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2.3</w:t>
                  </w:r>
                </w:p>
              </w:tc>
              <w:tc>
                <w:tcPr>
                  <w:tcW w:w="3232" w:type="dxa"/>
                  <w:tcBorders>
                    <w:right w:val="nil"/>
                  </w:tcBorders>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con articolazione guidata</w:t>
                  </w:r>
                  <w:r>
                    <w:rPr>
                      <w:position w:val="6"/>
                      <w:sz w:val="16"/>
                    </w:rPr>
                    <w:t xml:space="preserve"> *)</w:t>
                  </w:r>
                </w:p>
              </w:tc>
              <w:tc>
                <w:tcPr>
                  <w:tcW w:w="284" w:type="dxa"/>
                  <w:tcBorders>
                    <w:left w:val="nil"/>
                  </w:tcBorders>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p>
              </w:tc>
              <w:tc>
                <w:tcPr>
                  <w:tcW w:w="624"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6.1</w:t>
                  </w:r>
                </w:p>
              </w:tc>
              <w:tc>
                <w:tcPr>
                  <w:tcW w:w="3515"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 xml:space="preserve">in quanto imbarcazione a motore </w:t>
                  </w:r>
                  <w:r>
                    <w:rPr>
                      <w:position w:val="6"/>
                      <w:sz w:val="16"/>
                    </w:rPr>
                    <w:t>*)</w:t>
                  </w:r>
                </w:p>
              </w:tc>
            </w:tr>
            <w:tr w:rsidR="009C13A9" w:rsidRPr="00A0619C" w:rsidTr="009C13A9">
              <w:trPr>
                <w:jc w:val="center"/>
              </w:trPr>
              <w:tc>
                <w:tcPr>
                  <w:tcW w:w="624"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3.</w:t>
                  </w:r>
                </w:p>
              </w:tc>
              <w:tc>
                <w:tcPr>
                  <w:tcW w:w="3232" w:type="dxa"/>
                  <w:tcBorders>
                    <w:right w:val="nil"/>
                  </w:tcBorders>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a condurre in coppia</w:t>
                  </w:r>
                  <w:r>
                    <w:rPr>
                      <w:position w:val="6"/>
                      <w:sz w:val="16"/>
                    </w:rPr>
                    <w:t xml:space="preserve"> *)</w:t>
                  </w:r>
                </w:p>
              </w:tc>
              <w:tc>
                <w:tcPr>
                  <w:tcW w:w="284" w:type="dxa"/>
                  <w:tcBorders>
                    <w:left w:val="nil"/>
                  </w:tcBorders>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p>
              </w:tc>
              <w:tc>
                <w:tcPr>
                  <w:tcW w:w="624"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6.2</w:t>
                  </w:r>
                </w:p>
              </w:tc>
              <w:tc>
                <w:tcPr>
                  <w:tcW w:w="3515" w:type="dxa"/>
                  <w:shd w:val="clear" w:color="auto" w:fill="auto"/>
                </w:tcPr>
                <w:p w:rsidR="009C13A9" w:rsidRPr="00C903F8" w:rsidRDefault="009C13A9" w:rsidP="009C13A9">
                  <w:pPr>
                    <w:tabs>
                      <w:tab w:val="left" w:pos="57"/>
                      <w:tab w:val="left" w:pos="340"/>
                      <w:tab w:val="left" w:pos="567"/>
                      <w:tab w:val="left" w:pos="4536"/>
                      <w:tab w:val="left" w:pos="4820"/>
                    </w:tabs>
                    <w:overflowPunct w:val="0"/>
                    <w:adjustRightInd w:val="0"/>
                    <w:spacing w:before="120"/>
                    <w:ind w:left="0" w:firstLine="0"/>
                    <w:jc w:val="left"/>
                    <w:textAlignment w:val="baseline"/>
                    <w:rPr>
                      <w:rFonts w:cs="Arial"/>
                      <w:sz w:val="18"/>
                      <w:szCs w:val="20"/>
                    </w:rPr>
                  </w:pPr>
                  <w:r>
                    <w:rPr>
                      <w:sz w:val="18"/>
                    </w:rPr>
                    <w:t>in quanto imbarcazione non dotata di mezzi di propulsione</w:t>
                  </w:r>
                  <w:r>
                    <w:rPr>
                      <w:position w:val="6"/>
                      <w:sz w:val="16"/>
                    </w:rPr>
                    <w:t>*)</w:t>
                  </w:r>
                </w:p>
              </w:tc>
            </w:tr>
          </w:tbl>
          <w:p w:rsidR="009C13A9" w:rsidRPr="00C903F8" w:rsidRDefault="009C13A9" w:rsidP="009C13A9">
            <w:pPr>
              <w:tabs>
                <w:tab w:val="left" w:pos="57"/>
                <w:tab w:val="left" w:pos="340"/>
                <w:tab w:val="left" w:pos="567"/>
                <w:tab w:val="left" w:pos="4536"/>
                <w:tab w:val="left" w:pos="4820"/>
              </w:tabs>
              <w:overflowPunct w:val="0"/>
              <w:adjustRightInd w:val="0"/>
              <w:ind w:left="0" w:firstLine="0"/>
              <w:jc w:val="left"/>
              <w:textAlignment w:val="baseline"/>
              <w:rPr>
                <w:rFonts w:cs="Arial"/>
                <w:sz w:val="18"/>
                <w:szCs w:val="20"/>
              </w:rPr>
            </w:pPr>
          </w:p>
          <w:p w:rsidR="009C13A9" w:rsidRPr="00C903F8" w:rsidRDefault="009C13A9" w:rsidP="009C13A9">
            <w:pPr>
              <w:tabs>
                <w:tab w:val="left" w:pos="57"/>
                <w:tab w:val="left" w:pos="340"/>
                <w:tab w:val="left" w:pos="567"/>
                <w:tab w:val="left" w:pos="4536"/>
                <w:tab w:val="left" w:pos="4820"/>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bottom w:val="single" w:sz="6" w:space="0" w:color="auto"/>
            </w:tcBorders>
          </w:tcPr>
          <w:p w:rsidR="009C13A9" w:rsidRPr="00C903F8" w:rsidRDefault="009C13A9" w:rsidP="009C13A9">
            <w:pPr>
              <w:tabs>
                <w:tab w:val="left" w:pos="57"/>
              </w:tabs>
              <w:overflowPunct w:val="0"/>
              <w:adjustRightInd w:val="0"/>
              <w:spacing w:before="80"/>
              <w:ind w:left="0" w:firstLine="0"/>
              <w:jc w:val="left"/>
              <w:textAlignment w:val="baseline"/>
              <w:rPr>
                <w:rFonts w:cs="Arial"/>
                <w:sz w:val="18"/>
                <w:szCs w:val="20"/>
              </w:rPr>
            </w:pPr>
            <w:r>
              <w:tab/>
            </w:r>
            <w:r>
              <w:rPr>
                <w:sz w:val="18"/>
              </w:rPr>
              <w:t>*)</w:t>
            </w:r>
            <w:r>
              <w:rPr>
                <w:rFonts w:cs="Arial"/>
                <w:sz w:val="18"/>
                <w:szCs w:val="20"/>
              </w:rPr>
              <w:br/>
            </w:r>
            <w:r>
              <w:rPr>
                <w:rFonts w:cs="Arial"/>
                <w:sz w:val="18"/>
                <w:szCs w:val="20"/>
              </w:rPr>
              <w:br/>
            </w:r>
          </w:p>
          <w:p w:rsidR="009C13A9" w:rsidRPr="00C903F8" w:rsidRDefault="009C13A9" w:rsidP="009C13A9">
            <w:pPr>
              <w:tabs>
                <w:tab w:val="left" w:pos="57"/>
              </w:tabs>
              <w:overflowPunct w:val="0"/>
              <w:adjustRightInd w:val="0"/>
              <w:spacing w:before="80"/>
              <w:ind w:left="0" w:firstLine="0"/>
              <w:jc w:val="left"/>
              <w:textAlignment w:val="baseline"/>
              <w:rPr>
                <w:rFonts w:cs="Arial"/>
                <w:sz w:val="18"/>
                <w:szCs w:val="20"/>
              </w:rPr>
            </w:pPr>
          </w:p>
          <w:p w:rsidR="009C13A9" w:rsidRPr="00C903F8" w:rsidRDefault="009C13A9" w:rsidP="009C13A9">
            <w:pPr>
              <w:tabs>
                <w:tab w:val="left" w:pos="57"/>
              </w:tabs>
              <w:overflowPunct w:val="0"/>
              <w:adjustRightInd w:val="0"/>
              <w:spacing w:before="160"/>
              <w:ind w:left="0" w:firstLine="0"/>
              <w:jc w:val="left"/>
              <w:textAlignment w:val="baseline"/>
              <w:rPr>
                <w:rFonts w:cs="Arial"/>
                <w:sz w:val="18"/>
                <w:szCs w:val="20"/>
              </w:rPr>
            </w:pPr>
            <w:r>
              <w:tab/>
            </w:r>
            <w:r>
              <w:rPr>
                <w:sz w:val="18"/>
              </w:rPr>
              <w:t>*)</w:t>
            </w:r>
          </w:p>
        </w:tc>
        <w:tc>
          <w:tcPr>
            <w:tcW w:w="8902" w:type="dxa"/>
            <w:tcBorders>
              <w:bottom w:val="single" w:sz="6" w:space="0" w:color="auto"/>
              <w:right w:val="single" w:sz="6" w:space="0" w:color="auto"/>
            </w:tcBorders>
          </w:tcPr>
          <w:p w:rsidR="009C13A9" w:rsidRPr="00C903F8" w:rsidRDefault="009C13A9" w:rsidP="009C13A9">
            <w:pPr>
              <w:tabs>
                <w:tab w:val="left" w:pos="57"/>
                <w:tab w:val="left" w:leader="dot" w:pos="3686"/>
              </w:tabs>
              <w:overflowPunct w:val="0"/>
              <w:adjustRightInd w:val="0"/>
              <w:spacing w:before="80" w:after="80"/>
              <w:ind w:left="57" w:right="57" w:firstLine="0"/>
              <w:jc w:val="left"/>
              <w:textAlignment w:val="baseline"/>
              <w:rPr>
                <w:rFonts w:cs="Arial"/>
                <w:sz w:val="18"/>
                <w:szCs w:val="20"/>
              </w:rPr>
            </w:pPr>
            <w:r>
              <w:rPr>
                <w:noProof/>
                <w:sz w:val="18"/>
              </w:rPr>
              <w:t>La presente pagina è stata sostituita.: ....................</w:t>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rPr>
                <w:noProof/>
                <w:sz w:val="18"/>
              </w:rPr>
              <w:t>Nuova formulazione:</w:t>
            </w:r>
            <w:r>
              <w:tab/>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tab/>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tab/>
            </w:r>
          </w:p>
          <w:p w:rsidR="009C13A9" w:rsidRPr="00C903F8" w:rsidRDefault="009C13A9" w:rsidP="009C13A9">
            <w:pPr>
              <w:tabs>
                <w:tab w:val="left" w:leader="dot" w:pos="4536"/>
                <w:tab w:val="center" w:pos="6862"/>
              </w:tabs>
              <w:overflowPunct w:val="0"/>
              <w:adjustRightInd w:val="0"/>
              <w:spacing w:after="80"/>
              <w:ind w:left="57" w:right="57" w:firstLine="0"/>
              <w:textAlignment w:val="baseline"/>
              <w:rPr>
                <w:rFonts w:cs="Arial"/>
                <w:sz w:val="18"/>
                <w:szCs w:val="20"/>
              </w:rPr>
            </w:pPr>
            <w:r>
              <w:rPr>
                <w:sz w:val="18"/>
              </w:rPr>
              <w:t>La presente pagina è stata sostituita.</w:t>
            </w:r>
          </w:p>
          <w:p w:rsidR="009C13A9" w:rsidRPr="00C903F8" w:rsidRDefault="009C13A9" w:rsidP="009C13A9">
            <w:pPr>
              <w:tabs>
                <w:tab w:val="left" w:leader="dot" w:pos="4536"/>
                <w:tab w:val="center" w:pos="6862"/>
              </w:tabs>
              <w:overflowPunct w:val="0"/>
              <w:adjustRightInd w:val="0"/>
              <w:spacing w:after="80"/>
              <w:ind w:left="57" w:right="57" w:firstLine="0"/>
              <w:textAlignment w:val="baseline"/>
              <w:rPr>
                <w:rFonts w:cs="Arial"/>
                <w:sz w:val="18"/>
                <w:szCs w:val="20"/>
              </w:rPr>
            </w:pPr>
            <w:r>
              <w:rPr>
                <w:sz w:val="18"/>
              </w:rPr>
              <w:t xml:space="preserve">Luogo, data </w:t>
            </w:r>
            <w:r>
              <w:tab/>
            </w:r>
            <w:r>
              <w:tab/>
            </w:r>
            <w:r>
              <w:rPr>
                <w:sz w:val="18"/>
              </w:rPr>
              <w:t>Commissione di ispezione</w:t>
            </w:r>
          </w:p>
          <w:p w:rsidR="009C13A9" w:rsidRPr="00C903F8" w:rsidRDefault="009C13A9" w:rsidP="009C13A9">
            <w:pPr>
              <w:tabs>
                <w:tab w:val="left" w:pos="5103"/>
                <w:tab w:val="left" w:leader="dot" w:pos="8505"/>
              </w:tabs>
              <w:overflowPunct w:val="0"/>
              <w:adjustRightInd w:val="0"/>
              <w:ind w:left="0" w:firstLine="0"/>
              <w:textAlignment w:val="baseline"/>
              <w:rPr>
                <w:rFonts w:cs="Arial"/>
                <w:sz w:val="18"/>
                <w:szCs w:val="20"/>
              </w:rPr>
            </w:pPr>
            <w:r>
              <w:tab/>
            </w:r>
            <w:r>
              <w:tab/>
            </w:r>
          </w:p>
          <w:p w:rsidR="009C13A9" w:rsidRPr="00C903F8" w:rsidRDefault="009C13A9" w:rsidP="009C13A9">
            <w:pPr>
              <w:tabs>
                <w:tab w:val="center" w:pos="1701"/>
              </w:tabs>
              <w:overflowPunct w:val="0"/>
              <w:adjustRightInd w:val="0"/>
              <w:spacing w:after="80"/>
              <w:ind w:left="0" w:firstLine="0"/>
              <w:textAlignment w:val="baseline"/>
              <w:rPr>
                <w:rFonts w:cs="Arial"/>
                <w:sz w:val="18"/>
                <w:szCs w:val="20"/>
              </w:rPr>
            </w:pPr>
            <w:r>
              <w:tab/>
            </w:r>
            <w:r>
              <w:rPr>
                <w:sz w:val="18"/>
              </w:rPr>
              <w:t>Timbro</w:t>
            </w:r>
          </w:p>
          <w:p w:rsidR="009C13A9" w:rsidRPr="00C903F8" w:rsidRDefault="009C13A9" w:rsidP="009C13A9">
            <w:pPr>
              <w:tabs>
                <w:tab w:val="left" w:pos="5103"/>
                <w:tab w:val="left" w:leader="dot" w:pos="8505"/>
              </w:tabs>
              <w:overflowPunct w:val="0"/>
              <w:adjustRightInd w:val="0"/>
              <w:ind w:left="0" w:firstLine="0"/>
              <w:textAlignment w:val="baseline"/>
              <w:rPr>
                <w:rFonts w:cs="Arial"/>
                <w:szCs w:val="20"/>
              </w:rPr>
            </w:pPr>
            <w:r>
              <w:tab/>
            </w:r>
            <w:r>
              <w:tab/>
            </w:r>
          </w:p>
          <w:p w:rsidR="009C13A9" w:rsidRPr="00C903F8" w:rsidRDefault="009C13A9" w:rsidP="009C13A9">
            <w:pPr>
              <w:tabs>
                <w:tab w:val="center" w:pos="6862"/>
              </w:tabs>
              <w:overflowPunct w:val="0"/>
              <w:adjustRightInd w:val="0"/>
              <w:ind w:left="0" w:firstLine="0"/>
              <w:textAlignment w:val="baseline"/>
              <w:rPr>
                <w:rFonts w:cs="Arial"/>
                <w:sz w:val="16"/>
                <w:szCs w:val="20"/>
              </w:rPr>
            </w:pPr>
            <w:r>
              <w:tab/>
            </w:r>
            <w:r>
              <w:rPr>
                <w:sz w:val="16"/>
              </w:rPr>
              <w:t>(firma)</w:t>
            </w:r>
          </w:p>
          <w:p w:rsidR="009C13A9" w:rsidRPr="00C903F8" w:rsidRDefault="009C13A9" w:rsidP="009C13A9">
            <w:pPr>
              <w:tabs>
                <w:tab w:val="left" w:pos="113"/>
                <w:tab w:val="left" w:pos="397"/>
                <w:tab w:val="left" w:pos="6237"/>
                <w:tab w:val="left" w:leader="dot" w:pos="9356"/>
              </w:tabs>
              <w:overflowPunct w:val="0"/>
              <w:adjustRightInd w:val="0"/>
              <w:ind w:left="0" w:firstLine="0"/>
              <w:textAlignment w:val="baseline"/>
              <w:rPr>
                <w:rFonts w:cs="Arial"/>
                <w:sz w:val="16"/>
                <w:szCs w:val="20"/>
              </w:rPr>
            </w:pPr>
            <w:r>
              <w:rPr>
                <w:sz w:val="18"/>
              </w:rPr>
              <w:t>_______________________</w:t>
            </w:r>
          </w:p>
          <w:p w:rsidR="009C13A9" w:rsidRPr="00C903F8" w:rsidRDefault="009C13A9" w:rsidP="009C13A9">
            <w:pPr>
              <w:tabs>
                <w:tab w:val="left" w:pos="284"/>
              </w:tabs>
              <w:overflowPunct w:val="0"/>
              <w:adjustRightInd w:val="0"/>
              <w:spacing w:after="40"/>
              <w:ind w:left="57" w:firstLine="0"/>
              <w:jc w:val="left"/>
              <w:textAlignment w:val="baseline"/>
              <w:rPr>
                <w:rFonts w:cs="Arial"/>
                <w:sz w:val="18"/>
                <w:szCs w:val="20"/>
              </w:rPr>
            </w:pPr>
            <w:r>
              <w:rPr>
                <w:position w:val="4"/>
                <w:sz w:val="16"/>
              </w:rPr>
              <w:t>*)</w:t>
            </w:r>
            <w:r>
              <w:tab/>
            </w:r>
            <w:r>
              <w:rPr>
                <w:sz w:val="16"/>
              </w:rPr>
              <w:t>Cancellare le voci non pertinenti.</w:t>
            </w:r>
          </w:p>
        </w:tc>
      </w:tr>
    </w:tbl>
    <w:p w:rsidR="009C13A9" w:rsidRPr="00C903F8" w:rsidRDefault="009C13A9" w:rsidP="009C13A9">
      <w:pPr>
        <w:overflowPunct w:val="0"/>
        <w:adjustRightInd w:val="0"/>
        <w:ind w:left="0" w:firstLine="0"/>
        <w:jc w:val="left"/>
        <w:textAlignment w:val="baseline"/>
        <w:rPr>
          <w:rFonts w:cs="Arial"/>
          <w:szCs w:val="20"/>
        </w:rPr>
      </w:pPr>
    </w:p>
    <w:p w:rsidR="009C13A9" w:rsidRPr="00C903F8" w:rsidRDefault="009C13A9" w:rsidP="00AA5614">
      <w:pPr>
        <w:tabs>
          <w:tab w:val="left" w:leader="dot" w:pos="2835"/>
          <w:tab w:val="left" w:leader="dot" w:pos="5103"/>
        </w:tabs>
        <w:overflowPunct w:val="0"/>
        <w:adjustRightInd w:val="0"/>
        <w:ind w:left="0" w:firstLine="0"/>
        <w:textAlignment w:val="baseline"/>
        <w:rPr>
          <w:rFonts w:cs="Arial"/>
          <w:szCs w:val="20"/>
        </w:rPr>
      </w:pPr>
      <w:r>
        <w:br w:type="page"/>
      </w:r>
      <w:r>
        <w:lastRenderedPageBreak/>
        <w:t xml:space="preserve">certificato per la navigazione interna n. </w:t>
      </w:r>
      <w:r>
        <w:tab/>
        <w:t xml:space="preserve"> della commissione di ispezione </w:t>
      </w:r>
      <w:r>
        <w:tab/>
      </w:r>
    </w:p>
    <w:tbl>
      <w:tblPr>
        <w:tblW w:w="9188" w:type="dxa"/>
        <w:jc w:val="center"/>
        <w:tblLayout w:type="fixed"/>
        <w:tblCellMar>
          <w:left w:w="0" w:type="dxa"/>
          <w:right w:w="0" w:type="dxa"/>
        </w:tblCellMar>
        <w:tblLook w:val="0000" w:firstRow="0" w:lastRow="0" w:firstColumn="0" w:lastColumn="0" w:noHBand="0" w:noVBand="0"/>
      </w:tblPr>
      <w:tblGrid>
        <w:gridCol w:w="284"/>
        <w:gridCol w:w="567"/>
        <w:gridCol w:w="794"/>
        <w:gridCol w:w="794"/>
        <w:gridCol w:w="794"/>
        <w:gridCol w:w="794"/>
        <w:gridCol w:w="794"/>
        <w:gridCol w:w="794"/>
        <w:gridCol w:w="851"/>
        <w:gridCol w:w="851"/>
        <w:gridCol w:w="1701"/>
        <w:gridCol w:w="170"/>
      </w:tblGrid>
      <w:tr w:rsidR="009C13A9" w:rsidRPr="00A0619C" w:rsidTr="009C13A9">
        <w:trPr>
          <w:cantSplit/>
          <w:jc w:val="center"/>
        </w:trPr>
        <w:tc>
          <w:tcPr>
            <w:tcW w:w="284" w:type="dxa"/>
            <w:tcBorders>
              <w:top w:val="single" w:sz="6" w:space="0" w:color="auto"/>
              <w:left w:val="single" w:sz="6" w:space="0" w:color="auto"/>
            </w:tcBorders>
          </w:tcPr>
          <w:p w:rsidR="009C13A9" w:rsidRPr="00C903F8" w:rsidRDefault="009C13A9" w:rsidP="009C13A9">
            <w:pPr>
              <w:tabs>
                <w:tab w:val="left" w:pos="57"/>
                <w:tab w:val="left" w:pos="227"/>
              </w:tabs>
              <w:overflowPunct w:val="0"/>
              <w:adjustRightInd w:val="0"/>
              <w:spacing w:before="80"/>
              <w:ind w:left="0" w:firstLine="0"/>
              <w:jc w:val="left"/>
              <w:textAlignment w:val="baseline"/>
              <w:rPr>
                <w:rFonts w:cs="Arial"/>
                <w:sz w:val="18"/>
                <w:szCs w:val="20"/>
              </w:rPr>
            </w:pPr>
            <w:r>
              <w:rPr>
                <w:sz w:val="18"/>
              </w:rPr>
              <w:t>15.</w:t>
            </w:r>
          </w:p>
        </w:tc>
        <w:tc>
          <w:tcPr>
            <w:tcW w:w="8904" w:type="dxa"/>
            <w:gridSpan w:val="11"/>
            <w:tcBorders>
              <w:top w:val="single" w:sz="6" w:space="0" w:color="auto"/>
              <w:right w:val="single" w:sz="6" w:space="0" w:color="auto"/>
            </w:tcBorders>
          </w:tcPr>
          <w:p w:rsidR="009C13A9" w:rsidRPr="00C903F8" w:rsidRDefault="009C13A9" w:rsidP="009C13A9">
            <w:pPr>
              <w:tabs>
                <w:tab w:val="left" w:pos="57"/>
                <w:tab w:val="left" w:pos="340"/>
                <w:tab w:val="left" w:leader="dot" w:pos="8505"/>
              </w:tabs>
              <w:overflowPunct w:val="0"/>
              <w:adjustRightInd w:val="0"/>
              <w:spacing w:before="80"/>
              <w:ind w:left="57" w:right="113" w:hanging="57"/>
              <w:jc w:val="left"/>
              <w:textAlignment w:val="baseline"/>
              <w:rPr>
                <w:rFonts w:cs="Arial"/>
                <w:sz w:val="18"/>
                <w:szCs w:val="20"/>
              </w:rPr>
            </w:pPr>
            <w:r>
              <w:tab/>
              <w:t>Formazioni ammesse</w:t>
            </w:r>
            <w:r>
              <w:br/>
              <w:t>1.</w:t>
            </w:r>
            <w:r>
              <w:tab/>
              <w:t>L’imbarcazione è ammessa alla propulsione delle seguenti formazioni::</w:t>
            </w:r>
          </w:p>
        </w:tc>
      </w:tr>
      <w:tr w:rsidR="009C13A9" w:rsidRPr="00A0619C" w:rsidTr="009C13A9">
        <w:trPr>
          <w:cantSplit/>
          <w:jc w:val="center"/>
        </w:trPr>
        <w:tc>
          <w:tcPr>
            <w:tcW w:w="284" w:type="dxa"/>
            <w:tcBorders>
              <w:left w:val="single" w:sz="6"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jc w:val="left"/>
              <w:textAlignment w:val="baseline"/>
              <w:rPr>
                <w:rFonts w:cs="Arial"/>
                <w:sz w:val="18"/>
                <w:szCs w:val="20"/>
              </w:rPr>
            </w:pPr>
          </w:p>
        </w:tc>
        <w:tc>
          <w:tcPr>
            <w:tcW w:w="567" w:type="dxa"/>
            <w:tcBorders>
              <w:top w:val="single" w:sz="6" w:space="0" w:color="auto"/>
              <w:left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jc w:val="center"/>
              <w:textAlignment w:val="baseline"/>
              <w:rPr>
                <w:rFonts w:cs="Arial"/>
                <w:sz w:val="18"/>
                <w:szCs w:val="20"/>
              </w:rPr>
            </w:pPr>
            <w:r>
              <w:rPr>
                <w:sz w:val="16"/>
              </w:rPr>
              <w:t>Schizzo di formazione</w:t>
            </w:r>
          </w:p>
        </w:tc>
        <w:tc>
          <w:tcPr>
            <w:tcW w:w="8167" w:type="dxa"/>
            <w:gridSpan w:val="9"/>
            <w:tcBorders>
              <w:top w:val="single" w:sz="6" w:space="0" w:color="auto"/>
              <w:left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jc w:val="center"/>
              <w:textAlignment w:val="baseline"/>
              <w:rPr>
                <w:rFonts w:cs="Arial"/>
                <w:sz w:val="18"/>
                <w:szCs w:val="20"/>
              </w:rPr>
            </w:pPr>
            <w:r>
              <w:rPr>
                <w:sz w:val="18"/>
              </w:rPr>
              <w:t>Restrizioni di cui ai capi 5 e 21</w:t>
            </w:r>
          </w:p>
        </w:tc>
        <w:tc>
          <w:tcPr>
            <w:tcW w:w="170" w:type="dxa"/>
            <w:tcBorders>
              <w:left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jc w:val="left"/>
              <w:textAlignment w:val="baseline"/>
              <w:rPr>
                <w:rFonts w:cs="Arial"/>
                <w:sz w:val="18"/>
                <w:szCs w:val="20"/>
              </w:rPr>
            </w:pPr>
          </w:p>
        </w:tc>
        <w:tc>
          <w:tcPr>
            <w:tcW w:w="567" w:type="dxa"/>
            <w:tcBorders>
              <w:left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textAlignment w:val="baseline"/>
              <w:rPr>
                <w:rFonts w:cs="Arial"/>
                <w:sz w:val="18"/>
                <w:szCs w:val="20"/>
              </w:rPr>
            </w:pPr>
          </w:p>
        </w:tc>
        <w:tc>
          <w:tcPr>
            <w:tcW w:w="1588" w:type="dxa"/>
            <w:gridSpan w:val="2"/>
            <w:tcBorders>
              <w:top w:val="single" w:sz="6" w:space="0" w:color="auto"/>
              <w:left w:val="single" w:sz="6"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jc w:val="center"/>
              <w:textAlignment w:val="baseline"/>
              <w:rPr>
                <w:rFonts w:cs="Arial"/>
                <w:sz w:val="18"/>
                <w:szCs w:val="20"/>
              </w:rPr>
            </w:pPr>
            <w:r>
              <w:rPr>
                <w:sz w:val="18"/>
              </w:rPr>
              <w:t>Dimensioni massime</w:t>
            </w:r>
          </w:p>
        </w:tc>
        <w:tc>
          <w:tcPr>
            <w:tcW w:w="3176" w:type="dxa"/>
            <w:gridSpan w:val="4"/>
            <w:tcBorders>
              <w:top w:val="single" w:sz="6" w:space="0" w:color="auto"/>
              <w:left w:val="single" w:sz="12"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jc w:val="center"/>
              <w:textAlignment w:val="baseline"/>
              <w:rPr>
                <w:rFonts w:cs="Arial"/>
                <w:sz w:val="18"/>
                <w:szCs w:val="20"/>
              </w:rPr>
            </w:pPr>
            <w:r>
              <w:rPr>
                <w:sz w:val="18"/>
              </w:rPr>
              <w:t>Senso della navigazione e stato di carico</w:t>
            </w:r>
          </w:p>
        </w:tc>
        <w:tc>
          <w:tcPr>
            <w:tcW w:w="1702" w:type="dxa"/>
            <w:gridSpan w:val="2"/>
            <w:tcBorders>
              <w:top w:val="single" w:sz="6" w:space="0" w:color="auto"/>
              <w:left w:val="single" w:sz="12" w:space="0" w:color="auto"/>
              <w:right w:val="single" w:sz="12" w:space="0" w:color="auto"/>
            </w:tcBorders>
          </w:tcPr>
          <w:p w:rsidR="009C13A9" w:rsidRPr="00C903F8" w:rsidRDefault="009C13A9" w:rsidP="009C13A9">
            <w:r>
              <w:t>Sezione immersa</w:t>
            </w:r>
          </w:p>
        </w:tc>
        <w:tc>
          <w:tcPr>
            <w:tcW w:w="1701" w:type="dxa"/>
            <w:tcBorders>
              <w:top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jc w:val="center"/>
              <w:textAlignment w:val="baseline"/>
              <w:rPr>
                <w:rFonts w:cs="Arial"/>
                <w:sz w:val="18"/>
                <w:szCs w:val="20"/>
              </w:rPr>
            </w:pPr>
          </w:p>
        </w:tc>
        <w:tc>
          <w:tcPr>
            <w:tcW w:w="170" w:type="dxa"/>
            <w:tcBorders>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jc w:val="center"/>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jc w:val="left"/>
              <w:textAlignment w:val="baseline"/>
              <w:rPr>
                <w:rFonts w:cs="Arial"/>
                <w:sz w:val="18"/>
                <w:szCs w:val="20"/>
              </w:rPr>
            </w:pPr>
          </w:p>
        </w:tc>
        <w:tc>
          <w:tcPr>
            <w:tcW w:w="567" w:type="dxa"/>
            <w:tcBorders>
              <w:left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jc w:val="center"/>
              <w:textAlignment w:val="baseline"/>
              <w:rPr>
                <w:rFonts w:cs="Arial"/>
                <w:sz w:val="16"/>
                <w:szCs w:val="20"/>
              </w:rPr>
            </w:pPr>
          </w:p>
        </w:tc>
        <w:tc>
          <w:tcPr>
            <w:tcW w:w="1588" w:type="dxa"/>
            <w:gridSpan w:val="2"/>
            <w:tcBorders>
              <w:left w:val="single" w:sz="6"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jc w:val="center"/>
              <w:textAlignment w:val="baseline"/>
              <w:rPr>
                <w:rFonts w:cs="Arial"/>
                <w:sz w:val="18"/>
                <w:szCs w:val="20"/>
              </w:rPr>
            </w:pPr>
            <w:r>
              <w:rPr>
                <w:sz w:val="18"/>
              </w:rPr>
              <w:t>m</w:t>
            </w:r>
          </w:p>
        </w:tc>
        <w:tc>
          <w:tcPr>
            <w:tcW w:w="1588" w:type="dxa"/>
            <w:gridSpan w:val="2"/>
            <w:tcBorders>
              <w:left w:val="single" w:sz="12"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jc w:val="center"/>
              <w:textAlignment w:val="baseline"/>
              <w:rPr>
                <w:rFonts w:cs="Arial"/>
                <w:sz w:val="18"/>
                <w:szCs w:val="20"/>
              </w:rPr>
            </w:pPr>
            <w:r>
              <w:rPr>
                <w:sz w:val="18"/>
              </w:rPr>
              <w:t>A MONTE</w:t>
            </w:r>
          </w:p>
        </w:tc>
        <w:tc>
          <w:tcPr>
            <w:tcW w:w="1588" w:type="dxa"/>
            <w:gridSpan w:val="2"/>
            <w:tcBorders>
              <w:left w:val="single" w:sz="12" w:space="0" w:color="auto"/>
              <w:right w:val="single" w:sz="12" w:space="0" w:color="auto"/>
            </w:tcBorders>
          </w:tcPr>
          <w:p w:rsidR="009C13A9" w:rsidRPr="00C903F8" w:rsidRDefault="009C13A9" w:rsidP="009C13A9">
            <w:r>
              <w:t>sezione in m</w:t>
            </w:r>
            <w:r>
              <w:rPr>
                <w:vertAlign w:val="superscript"/>
              </w:rPr>
              <w:t>2</w:t>
            </w:r>
          </w:p>
        </w:tc>
        <w:tc>
          <w:tcPr>
            <w:tcW w:w="1702" w:type="dxa"/>
            <w:gridSpan w:val="2"/>
            <w:tcBorders>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jc w:val="center"/>
              <w:textAlignment w:val="baseline"/>
              <w:rPr>
                <w:rFonts w:cs="Arial"/>
                <w:sz w:val="18"/>
                <w:szCs w:val="20"/>
              </w:rPr>
            </w:pPr>
            <w:r>
              <w:rPr>
                <w:sz w:val="18"/>
              </w:rPr>
              <w:t>massima in m</w:t>
            </w:r>
            <w:r>
              <w:rPr>
                <w:position w:val="6"/>
                <w:sz w:val="12"/>
                <w:vertAlign w:val="superscript"/>
              </w:rPr>
              <w:t>2</w:t>
            </w:r>
          </w:p>
        </w:tc>
        <w:tc>
          <w:tcPr>
            <w:tcW w:w="1701" w:type="dxa"/>
            <w:tcBorders>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jc w:val="center"/>
              <w:textAlignment w:val="baseline"/>
              <w:rPr>
                <w:rFonts w:cs="Arial"/>
                <w:sz w:val="18"/>
                <w:szCs w:val="20"/>
              </w:rPr>
            </w:pPr>
            <w:r>
              <w:rPr>
                <w:sz w:val="18"/>
              </w:rPr>
              <w:t>Avvertenze:</w:t>
            </w:r>
          </w:p>
        </w:tc>
        <w:tc>
          <w:tcPr>
            <w:tcW w:w="170" w:type="dxa"/>
            <w:tcBorders>
              <w:left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jc w:val="left"/>
              <w:textAlignment w:val="baseline"/>
              <w:rPr>
                <w:rFonts w:cs="Arial"/>
                <w:sz w:val="18"/>
                <w:szCs w:val="20"/>
              </w:rPr>
            </w:pPr>
          </w:p>
        </w:tc>
        <w:tc>
          <w:tcPr>
            <w:tcW w:w="567" w:type="dxa"/>
            <w:tcBorders>
              <w:left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jc w:val="center"/>
              <w:textAlignment w:val="baseline"/>
              <w:rPr>
                <w:rFonts w:cs="Arial"/>
                <w:sz w:val="16"/>
                <w:szCs w:val="20"/>
              </w:rPr>
            </w:pPr>
            <w:r>
              <w:rPr>
                <w:sz w:val="16"/>
              </w:rPr>
              <w:t>N.</w:t>
            </w:r>
          </w:p>
        </w:tc>
        <w:tc>
          <w:tcPr>
            <w:tcW w:w="794" w:type="dxa"/>
            <w:tcBorders>
              <w:left w:val="single" w:sz="6" w:space="0" w:color="auto"/>
              <w:bottom w:val="single" w:sz="6" w:space="0" w:color="auto"/>
              <w:right w:val="single" w:sz="6" w:space="0" w:color="auto"/>
            </w:tcBorders>
          </w:tcPr>
          <w:p w:rsidR="009C13A9" w:rsidRPr="00C903F8" w:rsidRDefault="009C13A9" w:rsidP="009C13A9">
            <w:r>
              <w:t>lunghezza</w:t>
            </w:r>
          </w:p>
        </w:tc>
        <w:tc>
          <w:tcPr>
            <w:tcW w:w="794" w:type="dxa"/>
            <w:tcBorders>
              <w:left w:val="single" w:sz="6" w:space="0" w:color="auto"/>
              <w:bottom w:val="single" w:sz="6" w:space="0" w:color="auto"/>
            </w:tcBorders>
          </w:tcPr>
          <w:p w:rsidR="009C13A9" w:rsidRPr="00C903F8" w:rsidRDefault="009C13A9" w:rsidP="009C13A9">
            <w:r>
              <w:t>larghezza</w:t>
            </w:r>
          </w:p>
        </w:tc>
        <w:tc>
          <w:tcPr>
            <w:tcW w:w="794" w:type="dxa"/>
            <w:tcBorders>
              <w:left w:val="single" w:sz="12" w:space="0" w:color="auto"/>
              <w:bottom w:val="single" w:sz="6" w:space="0" w:color="auto"/>
              <w:right w:val="single" w:sz="6" w:space="0" w:color="auto"/>
            </w:tcBorders>
          </w:tcPr>
          <w:p w:rsidR="009C13A9" w:rsidRPr="00C903F8" w:rsidRDefault="009C13A9" w:rsidP="009C13A9">
            <w:r>
              <w:t>carica t</w:t>
            </w:r>
          </w:p>
        </w:tc>
        <w:tc>
          <w:tcPr>
            <w:tcW w:w="794" w:type="dxa"/>
            <w:tcBorders>
              <w:left w:val="single" w:sz="6" w:space="0" w:color="auto"/>
              <w:bottom w:val="single" w:sz="6" w:space="0" w:color="auto"/>
              <w:right w:val="single" w:sz="12" w:space="0" w:color="auto"/>
            </w:tcBorders>
          </w:tcPr>
          <w:p w:rsidR="009C13A9" w:rsidRPr="00C903F8" w:rsidRDefault="009C13A9" w:rsidP="009C13A9">
            <w:r>
              <w:t>vuota</w:t>
            </w:r>
          </w:p>
        </w:tc>
        <w:tc>
          <w:tcPr>
            <w:tcW w:w="794" w:type="dxa"/>
            <w:tcBorders>
              <w:bottom w:val="single" w:sz="6" w:space="0" w:color="auto"/>
              <w:right w:val="single" w:sz="6" w:space="0" w:color="auto"/>
            </w:tcBorders>
          </w:tcPr>
          <w:p w:rsidR="009C13A9" w:rsidRPr="00C903F8" w:rsidRDefault="009C13A9" w:rsidP="009C13A9">
            <w:r>
              <w:t>Carica t</w:t>
            </w:r>
          </w:p>
        </w:tc>
        <w:tc>
          <w:tcPr>
            <w:tcW w:w="794" w:type="dxa"/>
            <w:tcBorders>
              <w:left w:val="single" w:sz="6" w:space="0" w:color="auto"/>
              <w:bottom w:val="single" w:sz="6" w:space="0" w:color="auto"/>
            </w:tcBorders>
          </w:tcPr>
          <w:p w:rsidR="009C13A9" w:rsidRPr="00C903F8" w:rsidRDefault="009C13A9" w:rsidP="009C13A9">
            <w:r>
              <w:t>vuota</w:t>
            </w:r>
          </w:p>
        </w:tc>
        <w:tc>
          <w:tcPr>
            <w:tcW w:w="851" w:type="dxa"/>
            <w:tcBorders>
              <w:left w:val="single" w:sz="12" w:space="0" w:color="auto"/>
              <w:bottom w:val="single" w:sz="6" w:space="0" w:color="auto"/>
              <w:right w:val="single" w:sz="6" w:space="0" w:color="auto"/>
            </w:tcBorders>
          </w:tcPr>
          <w:p w:rsidR="009C13A9" w:rsidRPr="00C903F8" w:rsidRDefault="009C13A9" w:rsidP="009C13A9">
            <w:r>
              <w:t>a monte</w:t>
            </w:r>
          </w:p>
        </w:tc>
        <w:tc>
          <w:tcPr>
            <w:tcW w:w="851" w:type="dxa"/>
            <w:tcBorders>
              <w:left w:val="single" w:sz="6" w:space="0" w:color="auto"/>
              <w:bottom w:val="single" w:sz="6" w:space="0" w:color="auto"/>
              <w:right w:val="single" w:sz="12" w:space="0" w:color="auto"/>
            </w:tcBorders>
          </w:tcPr>
          <w:p w:rsidR="009C13A9" w:rsidRPr="00C903F8" w:rsidRDefault="009C13A9" w:rsidP="009C13A9">
            <w:r>
              <w:t>a valle</w:t>
            </w:r>
          </w:p>
        </w:tc>
        <w:tc>
          <w:tcPr>
            <w:tcW w:w="1701" w:type="dxa"/>
            <w:tcBorders>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jc w:val="center"/>
              <w:textAlignment w:val="baseline"/>
              <w:rPr>
                <w:rFonts w:cs="Arial"/>
                <w:sz w:val="18"/>
                <w:szCs w:val="20"/>
              </w:rPr>
            </w:pPr>
          </w:p>
        </w:tc>
        <w:tc>
          <w:tcPr>
            <w:tcW w:w="170" w:type="dxa"/>
            <w:tcBorders>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spacing w:line="180" w:lineRule="exact"/>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170" w:type="dxa"/>
            <w:tcBorders>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170" w:type="dxa"/>
            <w:tcBorders>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170" w:type="dxa"/>
            <w:tcBorders>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170" w:type="dxa"/>
            <w:tcBorders>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170" w:type="dxa"/>
            <w:tcBorders>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170" w:type="dxa"/>
            <w:tcBorders>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170" w:type="dxa"/>
            <w:tcBorders>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170" w:type="dxa"/>
            <w:tcBorders>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8"/>
                <w:szCs w:val="20"/>
              </w:rPr>
            </w:pPr>
          </w:p>
        </w:tc>
        <w:tc>
          <w:tcPr>
            <w:tcW w:w="567" w:type="dxa"/>
            <w:tcBorders>
              <w:top w:val="single" w:sz="6" w:space="0" w:color="auto"/>
              <w:left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6"/>
                <w:szCs w:val="20"/>
              </w:rPr>
            </w:pPr>
          </w:p>
        </w:tc>
        <w:tc>
          <w:tcPr>
            <w:tcW w:w="794" w:type="dxa"/>
            <w:tcBorders>
              <w:top w:val="single" w:sz="6" w:space="0" w:color="auto"/>
              <w:left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12"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851" w:type="dxa"/>
            <w:tcBorders>
              <w:top w:val="single" w:sz="6" w:space="0" w:color="auto"/>
              <w:left w:val="single" w:sz="12"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851" w:type="dxa"/>
            <w:tcBorders>
              <w:top w:val="single" w:sz="6" w:space="0" w:color="auto"/>
              <w:left w:val="single" w:sz="6"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1701" w:type="dxa"/>
            <w:tcBorders>
              <w:top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170" w:type="dxa"/>
            <w:tcBorders>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center"/>
              <w:textAlignment w:val="baseline"/>
              <w:rPr>
                <w:rFonts w:cs="Arial"/>
                <w:sz w:val="18"/>
                <w:szCs w:val="20"/>
              </w:rPr>
            </w:pPr>
          </w:p>
        </w:tc>
        <w:tc>
          <w:tcPr>
            <w:tcW w:w="170" w:type="dxa"/>
            <w:tcBorders>
              <w:right w:val="single" w:sz="6" w:space="0" w:color="auto"/>
            </w:tcBorders>
          </w:tcPr>
          <w:p w:rsidR="009C13A9" w:rsidRPr="00C903F8" w:rsidRDefault="009C13A9" w:rsidP="009C13A9">
            <w:pPr>
              <w:tabs>
                <w:tab w:val="left" w:pos="113"/>
                <w:tab w:val="left" w:pos="567"/>
                <w:tab w:val="left" w:pos="851"/>
                <w:tab w:val="left" w:pos="1247"/>
              </w:tabs>
              <w:overflowPunct w:val="0"/>
              <w:adjustRightInd w:val="0"/>
              <w:ind w:left="0" w:firstLine="0"/>
              <w:jc w:val="left"/>
              <w:textAlignment w:val="baseline"/>
              <w:rPr>
                <w:rFonts w:cs="Arial"/>
                <w:sz w:val="18"/>
                <w:szCs w:val="20"/>
              </w:rPr>
            </w:pPr>
          </w:p>
        </w:tc>
      </w:tr>
      <w:tr w:rsidR="009C13A9" w:rsidRPr="00A0619C"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8904" w:type="dxa"/>
            <w:gridSpan w:val="11"/>
            <w:tcBorders>
              <w:right w:val="single" w:sz="6" w:space="0" w:color="auto"/>
            </w:tcBorders>
          </w:tcPr>
          <w:p w:rsidR="009C13A9" w:rsidRPr="00C903F8" w:rsidRDefault="009C13A9" w:rsidP="009C13A9">
            <w:pPr>
              <w:tabs>
                <w:tab w:val="left" w:pos="57"/>
                <w:tab w:val="left" w:pos="340"/>
                <w:tab w:val="left" w:leader="dot" w:pos="8505"/>
              </w:tabs>
              <w:overflowPunct w:val="0"/>
              <w:adjustRightInd w:val="0"/>
              <w:ind w:left="57" w:right="113" w:hanging="57"/>
              <w:jc w:val="left"/>
              <w:textAlignment w:val="baseline"/>
              <w:rPr>
                <w:rFonts w:cs="Arial"/>
                <w:sz w:val="8"/>
                <w:szCs w:val="20"/>
              </w:rPr>
            </w:pPr>
          </w:p>
          <w:p w:rsidR="009C13A9" w:rsidRPr="00C903F8" w:rsidRDefault="009C13A9" w:rsidP="009C13A9">
            <w:pPr>
              <w:tabs>
                <w:tab w:val="left" w:pos="57"/>
                <w:tab w:val="left" w:pos="340"/>
                <w:tab w:val="left" w:leader="dot" w:pos="8505"/>
              </w:tabs>
              <w:overflowPunct w:val="0"/>
              <w:adjustRightInd w:val="0"/>
              <w:spacing w:before="120"/>
              <w:ind w:left="57" w:right="113" w:hanging="57"/>
              <w:jc w:val="left"/>
              <w:textAlignment w:val="baseline"/>
              <w:rPr>
                <w:rFonts w:cs="Arial"/>
                <w:sz w:val="18"/>
                <w:szCs w:val="20"/>
              </w:rPr>
            </w:pPr>
            <w:r>
              <w:tab/>
            </w:r>
            <w:r>
              <w:rPr>
                <w:noProof/>
                <w:szCs w:val="20"/>
                <w:lang w:val="en-GB" w:eastAsia="en-GB" w:bidi="ar-SA"/>
              </w:rPr>
              <w:drawing>
                <wp:inline distT="0" distB="0" distL="0" distR="0" wp14:anchorId="0FACC747" wp14:editId="7265B107">
                  <wp:extent cx="5133975" cy="3162300"/>
                  <wp:effectExtent l="0" t="0" r="9525"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133975" cy="3162300"/>
                          </a:xfrm>
                          <a:prstGeom prst="rect">
                            <a:avLst/>
                          </a:prstGeom>
                          <a:noFill/>
                          <a:ln>
                            <a:noFill/>
                          </a:ln>
                        </pic:spPr>
                      </pic:pic>
                    </a:graphicData>
                  </a:graphic>
                </wp:inline>
              </w:drawing>
            </w:r>
          </w:p>
          <w:p w:rsidR="009C13A9" w:rsidRPr="00C903F8" w:rsidRDefault="009C13A9" w:rsidP="009C13A9">
            <w:pPr>
              <w:tabs>
                <w:tab w:val="left" w:pos="57"/>
                <w:tab w:val="left" w:pos="340"/>
                <w:tab w:val="left" w:leader="dot" w:pos="8505"/>
              </w:tabs>
              <w:overflowPunct w:val="0"/>
              <w:adjustRightInd w:val="0"/>
              <w:ind w:left="57" w:right="113" w:hanging="57"/>
              <w:jc w:val="left"/>
              <w:textAlignment w:val="baseline"/>
              <w:rPr>
                <w:rFonts w:cs="Arial"/>
                <w:sz w:val="6"/>
                <w:szCs w:val="20"/>
              </w:rPr>
            </w:pPr>
          </w:p>
          <w:p w:rsidR="009C13A9" w:rsidRPr="00C903F8" w:rsidRDefault="009C13A9" w:rsidP="009C13A9">
            <w:pPr>
              <w:pBdr>
                <w:left w:val="single" w:sz="6" w:space="1" w:color="auto"/>
                <w:right w:val="single" w:sz="6" w:space="1" w:color="auto"/>
              </w:pBdr>
              <w:tabs>
                <w:tab w:val="left" w:pos="341"/>
              </w:tabs>
              <w:overflowPunct w:val="0"/>
              <w:adjustRightInd w:val="0"/>
              <w:ind w:left="0" w:firstLine="0"/>
              <w:jc w:val="left"/>
              <w:textAlignment w:val="baseline"/>
              <w:rPr>
                <w:rFonts w:cs="Arial"/>
                <w:szCs w:val="20"/>
              </w:rPr>
            </w:pPr>
            <w:r>
              <w:t>2.</w:t>
            </w:r>
            <w:r>
              <w:tab/>
              <w:t xml:space="preserve">Accoppiamenti </w:t>
            </w:r>
          </w:p>
          <w:p w:rsidR="009C13A9" w:rsidRPr="00C903F8" w:rsidRDefault="009C13A9" w:rsidP="009C13A9">
            <w:pPr>
              <w:pBdr>
                <w:right w:val="single" w:sz="6" w:space="1" w:color="auto"/>
              </w:pBdr>
              <w:tabs>
                <w:tab w:val="left" w:pos="341"/>
                <w:tab w:val="left" w:leader="dot" w:pos="3969"/>
                <w:tab w:val="left" w:pos="4168"/>
                <w:tab w:val="left" w:leader="dot" w:pos="8505"/>
              </w:tabs>
              <w:overflowPunct w:val="0"/>
              <w:adjustRightInd w:val="0"/>
              <w:ind w:left="341" w:firstLine="0"/>
              <w:jc w:val="left"/>
              <w:textAlignment w:val="baseline"/>
              <w:rPr>
                <w:rFonts w:cs="Arial"/>
                <w:szCs w:val="20"/>
              </w:rPr>
            </w:pPr>
            <w:r>
              <w:t xml:space="preserve">Tipo di accoppiamenti: </w:t>
            </w:r>
            <w:r>
              <w:tab/>
            </w:r>
            <w:r>
              <w:tab/>
              <w:t xml:space="preserve">Numero di accoppiamenti per lato: </w:t>
            </w:r>
            <w:r>
              <w:tab/>
            </w:r>
          </w:p>
          <w:p w:rsidR="009C13A9" w:rsidRPr="00C903F8" w:rsidRDefault="009C13A9" w:rsidP="009C13A9">
            <w:pPr>
              <w:pBdr>
                <w:right w:val="single" w:sz="6" w:space="1" w:color="auto"/>
              </w:pBdr>
              <w:tabs>
                <w:tab w:val="left" w:pos="397"/>
                <w:tab w:val="left" w:leader="dot" w:pos="3969"/>
                <w:tab w:val="left" w:pos="4168"/>
                <w:tab w:val="left" w:leader="dot" w:pos="8505"/>
              </w:tabs>
              <w:overflowPunct w:val="0"/>
              <w:adjustRightInd w:val="0"/>
              <w:ind w:left="341" w:firstLine="0"/>
              <w:jc w:val="left"/>
              <w:textAlignment w:val="baseline"/>
              <w:rPr>
                <w:rFonts w:cs="Arial"/>
                <w:szCs w:val="20"/>
              </w:rPr>
            </w:pPr>
            <w:r>
              <w:t xml:space="preserve">Numero di cavi d’accoppiamento: </w:t>
            </w:r>
            <w:r>
              <w:tab/>
            </w:r>
            <w:r>
              <w:tab/>
              <w:t>Lunghezza di ciascun cavo:</w:t>
            </w:r>
            <w:r>
              <w:tab/>
            </w:r>
          </w:p>
          <w:p w:rsidR="009C13A9" w:rsidRPr="00C903F8" w:rsidRDefault="009C13A9" w:rsidP="009C13A9">
            <w:pPr>
              <w:pBdr>
                <w:right w:val="single" w:sz="6" w:space="1" w:color="auto"/>
              </w:pBdr>
              <w:tabs>
                <w:tab w:val="left" w:pos="397"/>
                <w:tab w:val="left" w:leader="dot" w:pos="3969"/>
                <w:tab w:val="left" w:leader="dot" w:pos="5670"/>
                <w:tab w:val="left" w:leader="dot" w:pos="8505"/>
              </w:tabs>
              <w:overflowPunct w:val="0"/>
              <w:adjustRightInd w:val="0"/>
              <w:ind w:left="341" w:firstLine="0"/>
              <w:jc w:val="left"/>
              <w:textAlignment w:val="baseline"/>
              <w:rPr>
                <w:rFonts w:cs="Arial"/>
                <w:szCs w:val="20"/>
              </w:rPr>
            </w:pPr>
            <w:r>
              <w:t xml:space="preserve">Resistenza alla trazione per l'accoppiamento longitudinale: </w:t>
            </w:r>
            <w:r>
              <w:tab/>
              <w:t xml:space="preserve"> kN</w:t>
            </w:r>
          </w:p>
          <w:p w:rsidR="009C13A9" w:rsidRPr="00C903F8" w:rsidRDefault="009C13A9" w:rsidP="009C13A9">
            <w:pPr>
              <w:pBdr>
                <w:right w:val="single" w:sz="6" w:space="1" w:color="auto"/>
              </w:pBdr>
              <w:tabs>
                <w:tab w:val="left" w:pos="397"/>
                <w:tab w:val="left" w:leader="dot" w:pos="5670"/>
                <w:tab w:val="left" w:leader="dot" w:pos="8789"/>
              </w:tabs>
              <w:overflowPunct w:val="0"/>
              <w:adjustRightInd w:val="0"/>
              <w:ind w:left="341" w:firstLine="0"/>
              <w:jc w:val="left"/>
              <w:textAlignment w:val="baseline"/>
              <w:rPr>
                <w:rFonts w:cs="Arial"/>
                <w:szCs w:val="20"/>
              </w:rPr>
            </w:pPr>
            <w:r>
              <w:t>Resistenza alla trazione per cavo:</w:t>
            </w:r>
            <w:r>
              <w:tab/>
              <w:t xml:space="preserve"> kN</w:t>
            </w:r>
          </w:p>
          <w:p w:rsidR="009C13A9" w:rsidRPr="00C903F8" w:rsidRDefault="009C13A9" w:rsidP="009C13A9">
            <w:pPr>
              <w:pBdr>
                <w:right w:val="single" w:sz="6" w:space="1" w:color="auto"/>
              </w:pBdr>
              <w:tabs>
                <w:tab w:val="left" w:pos="397"/>
                <w:tab w:val="left" w:leader="dot" w:pos="5670"/>
                <w:tab w:val="left" w:leader="dot" w:pos="8789"/>
              </w:tabs>
              <w:overflowPunct w:val="0"/>
              <w:adjustRightInd w:val="0"/>
              <w:ind w:left="341" w:firstLine="0"/>
              <w:jc w:val="left"/>
              <w:textAlignment w:val="baseline"/>
              <w:rPr>
                <w:rFonts w:cs="Arial"/>
                <w:sz w:val="18"/>
                <w:szCs w:val="20"/>
              </w:rPr>
            </w:pPr>
            <w:r>
              <w:t xml:space="preserve">Numero di giri di cavo </w:t>
            </w:r>
            <w:r>
              <w:tab/>
              <w:t xml:space="preserve"> </w:t>
            </w:r>
          </w:p>
        </w:tc>
      </w:tr>
      <w:tr w:rsidR="009C13A9" w:rsidRPr="00C903F8"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s>
              <w:overflowPunct w:val="0"/>
              <w:adjustRightInd w:val="0"/>
              <w:spacing w:before="80"/>
              <w:ind w:left="0" w:firstLine="0"/>
              <w:jc w:val="left"/>
              <w:textAlignment w:val="baseline"/>
              <w:rPr>
                <w:rFonts w:cs="Arial"/>
                <w:sz w:val="18"/>
                <w:szCs w:val="20"/>
              </w:rPr>
            </w:pPr>
            <w:r>
              <w:lastRenderedPageBreak/>
              <w:tab/>
            </w:r>
            <w:r>
              <w:rPr>
                <w:sz w:val="18"/>
              </w:rPr>
              <w:t>*)</w:t>
            </w:r>
            <w:r>
              <w:rPr>
                <w:rFonts w:cs="Arial"/>
                <w:sz w:val="18"/>
                <w:szCs w:val="20"/>
              </w:rPr>
              <w:br/>
            </w:r>
            <w:r>
              <w:rPr>
                <w:rFonts w:cs="Arial"/>
                <w:sz w:val="18"/>
                <w:szCs w:val="20"/>
              </w:rPr>
              <w:br/>
            </w:r>
          </w:p>
          <w:p w:rsidR="009C13A9" w:rsidRPr="00C903F8" w:rsidRDefault="009C13A9" w:rsidP="009C13A9">
            <w:pPr>
              <w:tabs>
                <w:tab w:val="left" w:pos="57"/>
              </w:tabs>
              <w:overflowPunct w:val="0"/>
              <w:adjustRightInd w:val="0"/>
              <w:spacing w:before="80"/>
              <w:ind w:left="0" w:firstLine="0"/>
              <w:jc w:val="left"/>
              <w:textAlignment w:val="baseline"/>
              <w:rPr>
                <w:rFonts w:cs="Arial"/>
                <w:sz w:val="18"/>
                <w:szCs w:val="20"/>
              </w:rPr>
            </w:pPr>
          </w:p>
          <w:p w:rsidR="009C13A9" w:rsidRPr="00C903F8" w:rsidRDefault="009C13A9" w:rsidP="009C13A9">
            <w:pPr>
              <w:tabs>
                <w:tab w:val="left" w:pos="57"/>
              </w:tabs>
              <w:overflowPunct w:val="0"/>
              <w:adjustRightInd w:val="0"/>
              <w:spacing w:before="160"/>
              <w:ind w:left="0" w:firstLine="0"/>
              <w:jc w:val="left"/>
              <w:textAlignment w:val="baseline"/>
              <w:rPr>
                <w:rFonts w:cs="Arial"/>
                <w:sz w:val="18"/>
                <w:szCs w:val="20"/>
              </w:rPr>
            </w:pPr>
            <w:r>
              <w:tab/>
            </w:r>
            <w:r>
              <w:rPr>
                <w:sz w:val="18"/>
              </w:rPr>
              <w:t>*)</w:t>
            </w:r>
          </w:p>
        </w:tc>
        <w:tc>
          <w:tcPr>
            <w:tcW w:w="8904" w:type="dxa"/>
            <w:gridSpan w:val="11"/>
            <w:tcBorders>
              <w:top w:val="single" w:sz="6" w:space="0" w:color="auto"/>
              <w:bottom w:val="single" w:sz="6" w:space="0" w:color="auto"/>
              <w:right w:val="single" w:sz="6" w:space="0" w:color="auto"/>
            </w:tcBorders>
          </w:tcPr>
          <w:p w:rsidR="009C13A9" w:rsidRPr="00C903F8" w:rsidRDefault="009C13A9" w:rsidP="009C13A9">
            <w:pPr>
              <w:tabs>
                <w:tab w:val="left" w:pos="57"/>
                <w:tab w:val="left" w:leader="dot" w:pos="3686"/>
              </w:tabs>
              <w:overflowPunct w:val="0"/>
              <w:adjustRightInd w:val="0"/>
              <w:spacing w:before="80" w:after="80"/>
              <w:ind w:left="57" w:right="57" w:firstLine="0"/>
              <w:jc w:val="left"/>
              <w:textAlignment w:val="baseline"/>
              <w:rPr>
                <w:rFonts w:cs="Arial"/>
                <w:sz w:val="18"/>
                <w:szCs w:val="20"/>
              </w:rPr>
            </w:pPr>
            <w:r>
              <w:rPr>
                <w:noProof/>
                <w:sz w:val="18"/>
              </w:rPr>
              <w:t>La presente pagina è stata sostituita.: ....................</w:t>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rPr>
                <w:noProof/>
                <w:sz w:val="18"/>
              </w:rPr>
              <w:t>Nuova formulazione:</w:t>
            </w:r>
            <w:r>
              <w:tab/>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tab/>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tab/>
            </w:r>
          </w:p>
          <w:p w:rsidR="009C13A9" w:rsidRPr="00C903F8" w:rsidRDefault="009C13A9" w:rsidP="009C13A9">
            <w:pPr>
              <w:tabs>
                <w:tab w:val="left" w:leader="dot" w:pos="4536"/>
                <w:tab w:val="center" w:pos="6862"/>
              </w:tabs>
              <w:overflowPunct w:val="0"/>
              <w:adjustRightInd w:val="0"/>
              <w:spacing w:after="80"/>
              <w:ind w:left="57" w:right="57" w:firstLine="0"/>
              <w:textAlignment w:val="baseline"/>
              <w:rPr>
                <w:rFonts w:cs="Arial"/>
                <w:sz w:val="18"/>
                <w:szCs w:val="20"/>
              </w:rPr>
            </w:pPr>
            <w:r>
              <w:rPr>
                <w:sz w:val="18"/>
              </w:rPr>
              <w:t>La presente pagina è stata sostituita.</w:t>
            </w:r>
          </w:p>
          <w:p w:rsidR="009C13A9" w:rsidRPr="00C903F8" w:rsidRDefault="009C13A9" w:rsidP="009C13A9">
            <w:pPr>
              <w:tabs>
                <w:tab w:val="left" w:leader="dot" w:pos="4536"/>
                <w:tab w:val="center" w:pos="6862"/>
              </w:tabs>
              <w:overflowPunct w:val="0"/>
              <w:adjustRightInd w:val="0"/>
              <w:spacing w:after="80"/>
              <w:ind w:left="57" w:right="57" w:firstLine="0"/>
              <w:textAlignment w:val="baseline"/>
              <w:rPr>
                <w:rFonts w:cs="Arial"/>
                <w:sz w:val="18"/>
                <w:szCs w:val="20"/>
              </w:rPr>
            </w:pPr>
            <w:r>
              <w:rPr>
                <w:sz w:val="18"/>
              </w:rPr>
              <w:t xml:space="preserve">Luogo, data </w:t>
            </w:r>
            <w:r>
              <w:tab/>
            </w:r>
            <w:r>
              <w:tab/>
            </w:r>
            <w:r>
              <w:rPr>
                <w:sz w:val="18"/>
              </w:rPr>
              <w:t>Commissione di ispezione</w:t>
            </w:r>
          </w:p>
          <w:p w:rsidR="009C13A9" w:rsidRPr="00C903F8" w:rsidRDefault="009C13A9" w:rsidP="009C13A9">
            <w:pPr>
              <w:tabs>
                <w:tab w:val="left" w:pos="5103"/>
                <w:tab w:val="left" w:leader="dot" w:pos="8505"/>
              </w:tabs>
              <w:overflowPunct w:val="0"/>
              <w:adjustRightInd w:val="0"/>
              <w:ind w:left="0" w:firstLine="0"/>
              <w:textAlignment w:val="baseline"/>
              <w:rPr>
                <w:rFonts w:cs="Arial"/>
                <w:sz w:val="18"/>
                <w:szCs w:val="20"/>
              </w:rPr>
            </w:pPr>
            <w:r>
              <w:tab/>
            </w:r>
            <w:r>
              <w:tab/>
            </w:r>
          </w:p>
          <w:p w:rsidR="009C13A9" w:rsidRPr="00C903F8" w:rsidRDefault="009C13A9" w:rsidP="009C13A9">
            <w:pPr>
              <w:tabs>
                <w:tab w:val="center" w:pos="1701"/>
              </w:tabs>
              <w:overflowPunct w:val="0"/>
              <w:adjustRightInd w:val="0"/>
              <w:spacing w:after="80"/>
              <w:ind w:left="0" w:firstLine="0"/>
              <w:textAlignment w:val="baseline"/>
              <w:rPr>
                <w:rFonts w:cs="Arial"/>
                <w:sz w:val="18"/>
                <w:szCs w:val="20"/>
              </w:rPr>
            </w:pPr>
            <w:r>
              <w:tab/>
            </w:r>
            <w:r>
              <w:rPr>
                <w:sz w:val="18"/>
              </w:rPr>
              <w:t>Timbro</w:t>
            </w:r>
          </w:p>
          <w:p w:rsidR="009C13A9" w:rsidRPr="00C903F8" w:rsidRDefault="009C13A9" w:rsidP="009C13A9">
            <w:pPr>
              <w:tabs>
                <w:tab w:val="left" w:pos="5103"/>
                <w:tab w:val="left" w:leader="dot" w:pos="8505"/>
              </w:tabs>
              <w:overflowPunct w:val="0"/>
              <w:adjustRightInd w:val="0"/>
              <w:ind w:left="0" w:firstLine="0"/>
              <w:textAlignment w:val="baseline"/>
              <w:rPr>
                <w:rFonts w:cs="Arial"/>
                <w:szCs w:val="20"/>
              </w:rPr>
            </w:pPr>
            <w:r>
              <w:tab/>
            </w:r>
            <w:r>
              <w:tab/>
            </w:r>
          </w:p>
          <w:p w:rsidR="009C13A9" w:rsidRPr="00C903F8" w:rsidRDefault="009C13A9" w:rsidP="009C13A9">
            <w:pPr>
              <w:tabs>
                <w:tab w:val="center" w:pos="6862"/>
              </w:tabs>
              <w:overflowPunct w:val="0"/>
              <w:adjustRightInd w:val="0"/>
              <w:ind w:left="0" w:firstLine="0"/>
              <w:textAlignment w:val="baseline"/>
              <w:rPr>
                <w:rFonts w:cs="Arial"/>
                <w:sz w:val="16"/>
                <w:szCs w:val="20"/>
              </w:rPr>
            </w:pPr>
            <w:r>
              <w:tab/>
            </w:r>
            <w:r>
              <w:rPr>
                <w:sz w:val="16"/>
              </w:rPr>
              <w:t>(firma)</w:t>
            </w:r>
          </w:p>
          <w:p w:rsidR="009C13A9" w:rsidRPr="00C903F8" w:rsidRDefault="009C13A9" w:rsidP="009C13A9">
            <w:pPr>
              <w:tabs>
                <w:tab w:val="left" w:pos="113"/>
                <w:tab w:val="left" w:pos="397"/>
                <w:tab w:val="left" w:pos="6237"/>
                <w:tab w:val="left" w:leader="dot" w:pos="9356"/>
              </w:tabs>
              <w:overflowPunct w:val="0"/>
              <w:adjustRightInd w:val="0"/>
              <w:ind w:left="0" w:firstLine="0"/>
              <w:textAlignment w:val="baseline"/>
              <w:rPr>
                <w:rFonts w:cs="Arial"/>
                <w:sz w:val="16"/>
                <w:szCs w:val="20"/>
              </w:rPr>
            </w:pPr>
            <w:r>
              <w:rPr>
                <w:sz w:val="18"/>
              </w:rPr>
              <w:t>_______________________</w:t>
            </w:r>
          </w:p>
          <w:p w:rsidR="009C13A9" w:rsidRPr="00C903F8" w:rsidRDefault="009C13A9" w:rsidP="009C13A9">
            <w:pPr>
              <w:tabs>
                <w:tab w:val="left" w:pos="284"/>
              </w:tabs>
              <w:overflowPunct w:val="0"/>
              <w:adjustRightInd w:val="0"/>
              <w:spacing w:after="40"/>
              <w:ind w:left="57" w:firstLine="0"/>
              <w:jc w:val="left"/>
              <w:textAlignment w:val="baseline"/>
              <w:rPr>
                <w:rFonts w:cs="Arial"/>
                <w:sz w:val="18"/>
                <w:szCs w:val="20"/>
              </w:rPr>
            </w:pPr>
            <w:r>
              <w:rPr>
                <w:position w:val="4"/>
                <w:sz w:val="16"/>
              </w:rPr>
              <w:t>*)</w:t>
            </w:r>
            <w:r>
              <w:tab/>
            </w:r>
            <w:r>
              <w:rPr>
                <w:sz w:val="16"/>
              </w:rPr>
              <w:t>Cancellare le voci non pertinenti.</w:t>
            </w:r>
          </w:p>
        </w:tc>
      </w:tr>
    </w:tbl>
    <w:p w:rsidR="009C13A9" w:rsidRPr="00C903F8" w:rsidRDefault="009C13A9" w:rsidP="00AA5614">
      <w:pPr>
        <w:tabs>
          <w:tab w:val="left" w:leader="dot" w:pos="2835"/>
          <w:tab w:val="left" w:leader="dot" w:pos="5103"/>
        </w:tabs>
        <w:overflowPunct w:val="0"/>
        <w:adjustRightInd w:val="0"/>
        <w:ind w:left="0" w:firstLine="0"/>
        <w:textAlignment w:val="baseline"/>
        <w:rPr>
          <w:rFonts w:cs="Arial"/>
          <w:szCs w:val="20"/>
        </w:rPr>
      </w:pPr>
      <w:r>
        <w:br w:type="page"/>
      </w:r>
      <w:r>
        <w:lastRenderedPageBreak/>
        <w:t xml:space="preserve">certificato per la navigazione interna n. </w:t>
      </w:r>
      <w:r>
        <w:tab/>
        <w:t xml:space="preserve"> della commissione di ispezione </w:t>
      </w:r>
      <w:r>
        <w:tab/>
      </w:r>
    </w:p>
    <w:tbl>
      <w:tblPr>
        <w:tblW w:w="9189" w:type="dxa"/>
        <w:jc w:val="center"/>
        <w:tblLayout w:type="fixed"/>
        <w:tblCellMar>
          <w:left w:w="0" w:type="dxa"/>
          <w:right w:w="0" w:type="dxa"/>
        </w:tblCellMar>
        <w:tblLook w:val="0000" w:firstRow="0" w:lastRow="0" w:firstColumn="0" w:lastColumn="0" w:noHBand="0" w:noVBand="0"/>
      </w:tblPr>
      <w:tblGrid>
        <w:gridCol w:w="284"/>
        <w:gridCol w:w="2014"/>
        <w:gridCol w:w="764"/>
        <w:gridCol w:w="1533"/>
        <w:gridCol w:w="1529"/>
        <w:gridCol w:w="768"/>
        <w:gridCol w:w="2297"/>
      </w:tblGrid>
      <w:tr w:rsidR="009C13A9" w:rsidRPr="00A0619C" w:rsidTr="009C13A9">
        <w:trPr>
          <w:cantSplit/>
          <w:jc w:val="center"/>
        </w:trPr>
        <w:tc>
          <w:tcPr>
            <w:tcW w:w="284" w:type="dxa"/>
            <w:tcBorders>
              <w:top w:val="single" w:sz="6" w:space="0" w:color="auto"/>
              <w:left w:val="single" w:sz="6" w:space="0" w:color="auto"/>
            </w:tcBorders>
          </w:tcPr>
          <w:p w:rsidR="009C13A9" w:rsidRPr="00C903F8" w:rsidRDefault="009C13A9" w:rsidP="009C13A9">
            <w:pPr>
              <w:tabs>
                <w:tab w:val="left" w:pos="57"/>
                <w:tab w:val="left" w:pos="227"/>
              </w:tabs>
              <w:overflowPunct w:val="0"/>
              <w:adjustRightInd w:val="0"/>
              <w:spacing w:before="80"/>
              <w:ind w:left="0" w:firstLine="0"/>
              <w:jc w:val="left"/>
              <w:textAlignment w:val="baseline"/>
              <w:rPr>
                <w:rFonts w:cs="Arial"/>
                <w:sz w:val="18"/>
                <w:szCs w:val="20"/>
              </w:rPr>
            </w:pPr>
            <w:r>
              <w:rPr>
                <w:sz w:val="18"/>
              </w:rPr>
              <w:t>16.</w:t>
            </w:r>
          </w:p>
        </w:tc>
        <w:tc>
          <w:tcPr>
            <w:tcW w:w="8905" w:type="dxa"/>
            <w:gridSpan w:val="6"/>
            <w:tcBorders>
              <w:top w:val="single" w:sz="6" w:space="0" w:color="auto"/>
              <w:right w:val="single" w:sz="6" w:space="0" w:color="auto"/>
            </w:tcBorders>
          </w:tcPr>
          <w:p w:rsidR="009C13A9" w:rsidRPr="00C903F8" w:rsidRDefault="009C13A9" w:rsidP="009C13A9">
            <w:pPr>
              <w:tabs>
                <w:tab w:val="left" w:pos="57"/>
                <w:tab w:val="left" w:pos="340"/>
                <w:tab w:val="left" w:leader="dot" w:pos="2835"/>
                <w:tab w:val="left" w:leader="dot" w:pos="6804"/>
                <w:tab w:val="left" w:leader="dot" w:pos="8505"/>
              </w:tabs>
              <w:overflowPunct w:val="0"/>
              <w:adjustRightInd w:val="0"/>
              <w:spacing w:before="80"/>
              <w:ind w:left="0" w:firstLine="0"/>
              <w:jc w:val="left"/>
              <w:textAlignment w:val="baseline"/>
              <w:rPr>
                <w:rFonts w:cs="Arial"/>
                <w:sz w:val="18"/>
                <w:szCs w:val="20"/>
              </w:rPr>
            </w:pPr>
            <w:r>
              <w:tab/>
            </w:r>
            <w:r>
              <w:rPr>
                <w:sz w:val="18"/>
              </w:rPr>
              <w:t>Certificato di stazza n. ...........</w:t>
            </w:r>
            <w:r>
              <w:t xml:space="preserve"> </w:t>
            </w:r>
            <w:r>
              <w:tab/>
              <w:t xml:space="preserve"> dell'ufficio di stazzatura .......... del </w:t>
            </w:r>
            <w:r>
              <w:tab/>
            </w:r>
            <w:r>
              <w:rPr>
                <w:rFonts w:cs="Arial"/>
                <w:sz w:val="18"/>
                <w:szCs w:val="20"/>
              </w:rPr>
              <w:br/>
            </w:r>
            <w:r>
              <w:tab/>
            </w:r>
          </w:p>
        </w:tc>
      </w:tr>
      <w:tr w:rsidR="009C13A9" w:rsidRPr="00C903F8"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s>
              <w:overflowPunct w:val="0"/>
              <w:adjustRightInd w:val="0"/>
              <w:spacing w:before="40"/>
              <w:ind w:left="0" w:firstLine="0"/>
              <w:jc w:val="left"/>
              <w:textAlignment w:val="baseline"/>
              <w:rPr>
                <w:rFonts w:cs="Arial"/>
                <w:sz w:val="14"/>
                <w:szCs w:val="20"/>
              </w:rPr>
            </w:pPr>
            <w:r>
              <w:rPr>
                <w:sz w:val="14"/>
              </w:rPr>
              <w:t>17a.</w:t>
            </w:r>
          </w:p>
          <w:p w:rsidR="009C13A9" w:rsidRPr="00C903F8" w:rsidRDefault="009C13A9" w:rsidP="009C13A9">
            <w:pPr>
              <w:tabs>
                <w:tab w:val="left" w:pos="57"/>
              </w:tabs>
              <w:overflowPunct w:val="0"/>
              <w:adjustRightInd w:val="0"/>
              <w:spacing w:before="40"/>
              <w:ind w:left="0" w:firstLine="0"/>
              <w:jc w:val="left"/>
              <w:textAlignment w:val="baseline"/>
              <w:rPr>
                <w:rFonts w:cs="Arial"/>
                <w:sz w:val="18"/>
                <w:szCs w:val="20"/>
              </w:rPr>
            </w:pPr>
            <w:r>
              <w:rPr>
                <w:sz w:val="14"/>
              </w:rPr>
              <w:t>17</w:t>
            </w:r>
            <w:r>
              <w:rPr>
                <w:sz w:val="12"/>
              </w:rPr>
              <w:t>b.</w:t>
            </w:r>
          </w:p>
        </w:tc>
        <w:tc>
          <w:tcPr>
            <w:tcW w:w="2014" w:type="dxa"/>
            <w:tcBorders>
              <w:top w:val="single" w:sz="6" w:space="0" w:color="auto"/>
              <w:bottom w:val="single" w:sz="6" w:space="0" w:color="auto"/>
            </w:tcBorders>
          </w:tcPr>
          <w:p w:rsidR="009C13A9" w:rsidRPr="00C903F8" w:rsidRDefault="009C13A9" w:rsidP="009C13A9">
            <w:pPr>
              <w:tabs>
                <w:tab w:val="left" w:pos="57"/>
                <w:tab w:val="left" w:pos="1758"/>
              </w:tabs>
              <w:overflowPunct w:val="0"/>
              <w:adjustRightInd w:val="0"/>
              <w:ind w:left="0" w:firstLine="0"/>
              <w:jc w:val="left"/>
              <w:textAlignment w:val="baseline"/>
              <w:rPr>
                <w:rFonts w:cs="Arial"/>
                <w:sz w:val="18"/>
                <w:szCs w:val="20"/>
              </w:rPr>
            </w:pPr>
            <w:r>
              <w:tab/>
            </w:r>
            <w:r>
              <w:rPr>
                <w:sz w:val="18"/>
              </w:rPr>
              <w:t>Lunghezza fuori tutto</w:t>
            </w:r>
            <w:r>
              <w:tab/>
            </w:r>
            <w:r>
              <w:rPr>
                <w:sz w:val="18"/>
              </w:rPr>
              <w:t>m</w:t>
            </w:r>
            <w:r>
              <w:rPr>
                <w:rFonts w:cs="Arial"/>
                <w:sz w:val="18"/>
                <w:szCs w:val="20"/>
              </w:rPr>
              <w:br/>
            </w:r>
            <w:r>
              <w:tab/>
            </w:r>
            <w:r>
              <w:rPr>
                <w:sz w:val="18"/>
              </w:rPr>
              <w:t>Lunghezza L</w:t>
            </w:r>
            <w:r>
              <w:tab/>
            </w:r>
            <w:r>
              <w:rPr>
                <w:sz w:val="18"/>
              </w:rPr>
              <w:t>m</w:t>
            </w:r>
            <w:r>
              <w:rPr>
                <w:rFonts w:cs="Arial"/>
                <w:sz w:val="18"/>
                <w:szCs w:val="20"/>
              </w:rPr>
              <w:br/>
            </w:r>
          </w:p>
        </w:tc>
        <w:tc>
          <w:tcPr>
            <w:tcW w:w="2297" w:type="dxa"/>
            <w:gridSpan w:val="2"/>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pos="454"/>
                <w:tab w:val="left" w:pos="1758"/>
              </w:tabs>
              <w:overflowPunct w:val="0"/>
              <w:adjustRightInd w:val="0"/>
              <w:ind w:left="0" w:firstLine="0"/>
              <w:jc w:val="left"/>
              <w:textAlignment w:val="baseline"/>
              <w:rPr>
                <w:rFonts w:cs="Arial"/>
                <w:sz w:val="18"/>
                <w:szCs w:val="20"/>
              </w:rPr>
            </w:pPr>
            <w:r>
              <w:tab/>
            </w:r>
            <w:r>
              <w:rPr>
                <w:sz w:val="16"/>
              </w:rPr>
              <w:t>18a.</w:t>
            </w:r>
            <w:r>
              <w:tab/>
            </w:r>
            <w:r>
              <w:rPr>
                <w:sz w:val="18"/>
              </w:rPr>
              <w:t>Larghezza fuori tutto</w:t>
            </w:r>
            <w:r>
              <w:tab/>
            </w:r>
            <w:r>
              <w:rPr>
                <w:sz w:val="18"/>
              </w:rPr>
              <w:t>m</w:t>
            </w:r>
            <w:r>
              <w:rPr>
                <w:rFonts w:cs="Arial"/>
                <w:position w:val="6"/>
                <w:sz w:val="16"/>
                <w:szCs w:val="20"/>
              </w:rPr>
              <w:br/>
            </w:r>
            <w:r>
              <w:tab/>
            </w:r>
            <w:r>
              <w:rPr>
                <w:sz w:val="16"/>
              </w:rPr>
              <w:t>18b.</w:t>
            </w:r>
            <w:r>
              <w:tab/>
            </w:r>
            <w:r>
              <w:rPr>
                <w:noProof/>
                <w:sz w:val="18"/>
              </w:rPr>
              <w:t>Larghezza B</w:t>
            </w:r>
            <w:r>
              <w:tab/>
            </w:r>
            <w:r>
              <w:rPr>
                <w:sz w:val="18"/>
              </w:rPr>
              <w:t>m</w:t>
            </w:r>
            <w:r>
              <w:rPr>
                <w:rFonts w:cs="Arial"/>
                <w:sz w:val="16"/>
                <w:szCs w:val="20"/>
              </w:rPr>
              <w:br/>
            </w:r>
          </w:p>
        </w:tc>
        <w:tc>
          <w:tcPr>
            <w:tcW w:w="2297" w:type="dxa"/>
            <w:gridSpan w:val="2"/>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pos="340"/>
                <w:tab w:val="left" w:pos="1985"/>
              </w:tabs>
              <w:overflowPunct w:val="0"/>
              <w:adjustRightInd w:val="0"/>
              <w:ind w:left="0" w:firstLine="0"/>
              <w:jc w:val="left"/>
              <w:textAlignment w:val="baseline"/>
              <w:rPr>
                <w:rFonts w:cs="Arial"/>
                <w:sz w:val="18"/>
                <w:szCs w:val="20"/>
              </w:rPr>
            </w:pPr>
            <w:r>
              <w:tab/>
            </w:r>
            <w:r>
              <w:rPr>
                <w:sz w:val="16"/>
              </w:rPr>
              <w:t>19a.</w:t>
            </w:r>
            <w:r>
              <w:t xml:space="preserve"> </w:t>
            </w:r>
            <w:r>
              <w:rPr>
                <w:sz w:val="18"/>
              </w:rPr>
              <w:t>Immersione fuori tutto</w:t>
            </w:r>
            <w:r>
              <w:tab/>
            </w:r>
            <w:r>
              <w:rPr>
                <w:sz w:val="18"/>
              </w:rPr>
              <w:t>m</w:t>
            </w:r>
          </w:p>
          <w:p w:rsidR="009C13A9" w:rsidRPr="00C903F8" w:rsidRDefault="009C13A9" w:rsidP="009C13A9">
            <w:pPr>
              <w:tabs>
                <w:tab w:val="left" w:pos="57"/>
                <w:tab w:val="left" w:pos="340"/>
                <w:tab w:val="left" w:pos="1985"/>
              </w:tabs>
              <w:overflowPunct w:val="0"/>
              <w:adjustRightInd w:val="0"/>
              <w:ind w:left="0" w:firstLine="0"/>
              <w:jc w:val="left"/>
              <w:textAlignment w:val="baseline"/>
              <w:rPr>
                <w:rFonts w:cs="Arial"/>
                <w:sz w:val="18"/>
                <w:szCs w:val="20"/>
              </w:rPr>
            </w:pPr>
            <w:r>
              <w:rPr>
                <w:sz w:val="16"/>
              </w:rPr>
              <w:t>19b.</w:t>
            </w:r>
            <w:r>
              <w:tab/>
            </w:r>
            <w:r>
              <w:rPr>
                <w:sz w:val="18"/>
              </w:rPr>
              <w:t>Immersione T</w:t>
            </w:r>
            <w:r>
              <w:tab/>
            </w:r>
            <w:r>
              <w:rPr>
                <w:sz w:val="18"/>
              </w:rPr>
              <w:t>m</w:t>
            </w:r>
          </w:p>
        </w:tc>
        <w:tc>
          <w:tcPr>
            <w:tcW w:w="2297" w:type="dxa"/>
            <w:tcBorders>
              <w:top w:val="single" w:sz="6" w:space="0" w:color="auto"/>
              <w:bottom w:val="single" w:sz="6" w:space="0" w:color="auto"/>
              <w:right w:val="single" w:sz="6" w:space="0" w:color="auto"/>
            </w:tcBorders>
          </w:tcPr>
          <w:p w:rsidR="009C13A9" w:rsidRPr="00C903F8" w:rsidRDefault="009C13A9" w:rsidP="009C13A9">
            <w:pPr>
              <w:tabs>
                <w:tab w:val="left" w:pos="57"/>
                <w:tab w:val="left" w:pos="340"/>
                <w:tab w:val="left" w:pos="1758"/>
              </w:tabs>
              <w:overflowPunct w:val="0"/>
              <w:adjustRightInd w:val="0"/>
              <w:ind w:left="0" w:firstLine="0"/>
              <w:jc w:val="left"/>
              <w:textAlignment w:val="baseline"/>
              <w:rPr>
                <w:rFonts w:cs="Arial"/>
                <w:sz w:val="18"/>
                <w:szCs w:val="20"/>
              </w:rPr>
            </w:pPr>
            <w:r>
              <w:tab/>
            </w:r>
            <w:r>
              <w:rPr>
                <w:sz w:val="18"/>
              </w:rPr>
              <w:t>20.</w:t>
            </w:r>
            <w:r>
              <w:tab/>
            </w:r>
            <w:r>
              <w:rPr>
                <w:sz w:val="18"/>
              </w:rPr>
              <w:t>Bordo libero</w:t>
            </w:r>
            <w:r>
              <w:tab/>
            </w:r>
            <w:r>
              <w:rPr>
                <w:sz w:val="18"/>
              </w:rPr>
              <w:t>cm</w:t>
            </w:r>
            <w:r>
              <w:rPr>
                <w:rFonts w:cs="Arial"/>
                <w:sz w:val="18"/>
                <w:szCs w:val="20"/>
              </w:rPr>
              <w:br/>
            </w:r>
            <w:r>
              <w:rPr>
                <w:rFonts w:cs="Arial"/>
                <w:sz w:val="18"/>
                <w:szCs w:val="20"/>
              </w:rPr>
              <w:br/>
            </w:r>
            <w:r>
              <w:tab/>
            </w:r>
          </w:p>
        </w:tc>
      </w:tr>
      <w:tr w:rsidR="009C13A9" w:rsidRPr="00C903F8" w:rsidTr="009C13A9">
        <w:trPr>
          <w:cantSplit/>
          <w:jc w:val="center"/>
        </w:trPr>
        <w:tc>
          <w:tcPr>
            <w:tcW w:w="284" w:type="dxa"/>
            <w:tcBorders>
              <w:left w:val="single" w:sz="6" w:space="0" w:color="auto"/>
              <w:bottom w:val="single" w:sz="6" w:space="0" w:color="auto"/>
            </w:tcBorders>
          </w:tcPr>
          <w:p w:rsidR="009C13A9" w:rsidRPr="00C903F8" w:rsidRDefault="009C13A9" w:rsidP="009C13A9">
            <w:pPr>
              <w:tabs>
                <w:tab w:val="left" w:pos="57"/>
                <w:tab w:val="left" w:pos="227"/>
              </w:tabs>
              <w:overflowPunct w:val="0"/>
              <w:adjustRightInd w:val="0"/>
              <w:ind w:left="0" w:firstLine="0"/>
              <w:jc w:val="left"/>
              <w:textAlignment w:val="baseline"/>
              <w:rPr>
                <w:rFonts w:cs="Arial"/>
                <w:sz w:val="18"/>
                <w:szCs w:val="20"/>
              </w:rPr>
            </w:pPr>
            <w:r>
              <w:rPr>
                <w:sz w:val="18"/>
              </w:rPr>
              <w:t>21.</w:t>
            </w:r>
          </w:p>
        </w:tc>
        <w:tc>
          <w:tcPr>
            <w:tcW w:w="2778" w:type="dxa"/>
            <w:gridSpan w:val="2"/>
            <w:tcBorders>
              <w:bottom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 xml:space="preserve">Portata lorda/Dislocamento </w:t>
            </w:r>
            <w:r>
              <w:rPr>
                <w:position w:val="6"/>
                <w:sz w:val="16"/>
              </w:rPr>
              <w:t>*)</w:t>
            </w:r>
            <w:r>
              <w:rPr>
                <w:sz w:val="18"/>
              </w:rPr>
              <w:t xml:space="preserve"> </w:t>
            </w:r>
            <w:r>
              <w:rPr>
                <w:rFonts w:cs="Arial"/>
                <w:sz w:val="18"/>
                <w:szCs w:val="20"/>
              </w:rPr>
              <w:br/>
            </w:r>
            <w:r>
              <w:rPr>
                <w:rFonts w:cs="Arial"/>
                <w:sz w:val="18"/>
                <w:szCs w:val="20"/>
              </w:rPr>
              <w:br/>
            </w:r>
            <w:r>
              <w:tab/>
            </w:r>
            <w:r>
              <w:tab/>
            </w:r>
            <w:r>
              <w:tab/>
            </w:r>
            <w:r>
              <w:tab/>
            </w:r>
            <w:r>
              <w:tab/>
            </w:r>
            <w:r>
              <w:rPr>
                <w:sz w:val="18"/>
              </w:rPr>
              <w:t>t/m</w:t>
            </w:r>
            <w:r>
              <w:rPr>
                <w:position w:val="6"/>
                <w:sz w:val="14"/>
              </w:rPr>
              <w:t>3*)</w:t>
            </w:r>
          </w:p>
        </w:tc>
        <w:tc>
          <w:tcPr>
            <w:tcW w:w="3062" w:type="dxa"/>
            <w:gridSpan w:val="2"/>
            <w:tcBorders>
              <w:left w:val="single" w:sz="6" w:space="0" w:color="auto"/>
              <w:bottom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22.</w:t>
            </w:r>
            <w:r>
              <w:tab/>
            </w:r>
            <w:r>
              <w:rPr>
                <w:sz w:val="18"/>
              </w:rPr>
              <w:t>Numero di passeggeri:</w:t>
            </w:r>
          </w:p>
        </w:tc>
        <w:tc>
          <w:tcPr>
            <w:tcW w:w="3065" w:type="dxa"/>
            <w:gridSpan w:val="2"/>
            <w:tcBorders>
              <w:left w:val="single" w:sz="6" w:space="0" w:color="auto"/>
              <w:bottom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23.</w:t>
            </w:r>
            <w:r>
              <w:tab/>
            </w:r>
            <w:r>
              <w:rPr>
                <w:sz w:val="18"/>
              </w:rPr>
              <w:t>Numero di letti passeggeri:</w:t>
            </w:r>
            <w:r>
              <w:rPr>
                <w:rFonts w:cs="Arial"/>
                <w:sz w:val="18"/>
                <w:szCs w:val="20"/>
              </w:rPr>
              <w:br/>
            </w:r>
          </w:p>
        </w:tc>
      </w:tr>
      <w:tr w:rsidR="009C13A9" w:rsidRPr="00C903F8" w:rsidTr="009C13A9">
        <w:trPr>
          <w:cantSplit/>
          <w:jc w:val="center"/>
        </w:trPr>
        <w:tc>
          <w:tcPr>
            <w:tcW w:w="284" w:type="dxa"/>
            <w:tcBorders>
              <w:left w:val="single" w:sz="6" w:space="0" w:color="auto"/>
              <w:bottom w:val="single" w:sz="6" w:space="0" w:color="auto"/>
            </w:tcBorders>
          </w:tcPr>
          <w:p w:rsidR="009C13A9" w:rsidRPr="00C903F8" w:rsidRDefault="009C13A9" w:rsidP="009C13A9">
            <w:pPr>
              <w:tabs>
                <w:tab w:val="left" w:pos="57"/>
                <w:tab w:val="left" w:pos="227"/>
              </w:tabs>
              <w:overflowPunct w:val="0"/>
              <w:adjustRightInd w:val="0"/>
              <w:ind w:left="0" w:firstLine="0"/>
              <w:jc w:val="left"/>
              <w:textAlignment w:val="baseline"/>
              <w:rPr>
                <w:rFonts w:cs="Arial"/>
                <w:sz w:val="18"/>
                <w:szCs w:val="20"/>
              </w:rPr>
            </w:pPr>
            <w:r>
              <w:rPr>
                <w:sz w:val="18"/>
              </w:rPr>
              <w:t>24.</w:t>
            </w:r>
          </w:p>
        </w:tc>
        <w:tc>
          <w:tcPr>
            <w:tcW w:w="2778" w:type="dxa"/>
            <w:gridSpan w:val="2"/>
            <w:tcBorders>
              <w:bottom w:val="single" w:sz="6" w:space="0" w:color="auto"/>
              <w:right w:val="single" w:sz="6" w:space="0" w:color="auto"/>
            </w:tcBorders>
          </w:tcPr>
          <w:p w:rsidR="009C13A9" w:rsidRPr="00E3172D" w:rsidRDefault="00E3172D" w:rsidP="009C13A9">
            <w:pPr>
              <w:tabs>
                <w:tab w:val="left" w:pos="57"/>
                <w:tab w:val="left" w:pos="340"/>
              </w:tabs>
              <w:overflowPunct w:val="0"/>
              <w:adjustRightInd w:val="0"/>
              <w:ind w:left="0" w:firstLine="0"/>
              <w:jc w:val="left"/>
              <w:textAlignment w:val="baseline"/>
              <w:rPr>
                <w:rFonts w:cs="Arial"/>
                <w:sz w:val="18"/>
                <w:szCs w:val="20"/>
              </w:rPr>
            </w:pPr>
            <w:r>
              <w:rPr>
                <w:sz w:val="18"/>
              </w:rPr>
              <w:t>Numero di paratie trasversali stagne all'acqua</w:t>
            </w:r>
            <w:r>
              <w:rPr>
                <w:rFonts w:cs="Arial"/>
                <w:sz w:val="18"/>
                <w:szCs w:val="20"/>
              </w:rPr>
              <w:br/>
            </w:r>
            <w:r>
              <w:rPr>
                <w:rFonts w:cs="Arial"/>
                <w:sz w:val="18"/>
                <w:szCs w:val="20"/>
              </w:rPr>
              <w:br/>
            </w:r>
            <w:r>
              <w:tab/>
            </w:r>
          </w:p>
        </w:tc>
        <w:tc>
          <w:tcPr>
            <w:tcW w:w="3062" w:type="dxa"/>
            <w:gridSpan w:val="2"/>
            <w:tcBorders>
              <w:left w:val="single" w:sz="6" w:space="0" w:color="auto"/>
              <w:bottom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25.</w:t>
            </w:r>
            <w:r>
              <w:tab/>
            </w:r>
            <w:r>
              <w:rPr>
                <w:sz w:val="18"/>
              </w:rPr>
              <w:t>Numero di stive</w:t>
            </w:r>
          </w:p>
        </w:tc>
        <w:tc>
          <w:tcPr>
            <w:tcW w:w="3065" w:type="dxa"/>
            <w:gridSpan w:val="2"/>
            <w:tcBorders>
              <w:left w:val="single" w:sz="6" w:space="0" w:color="auto"/>
              <w:bottom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26.</w:t>
            </w:r>
            <w:r>
              <w:tab/>
            </w:r>
            <w:r>
              <w:rPr>
                <w:sz w:val="18"/>
              </w:rPr>
              <w:t>Tipo di copertura dei boccaporti</w:t>
            </w:r>
            <w:r>
              <w:rPr>
                <w:rFonts w:cs="Arial"/>
                <w:sz w:val="18"/>
                <w:szCs w:val="20"/>
              </w:rPr>
              <w:br/>
            </w:r>
          </w:p>
        </w:tc>
      </w:tr>
      <w:tr w:rsidR="009C13A9" w:rsidRPr="00C903F8" w:rsidTr="009C13A9">
        <w:trPr>
          <w:cantSplit/>
          <w:jc w:val="center"/>
        </w:trPr>
        <w:tc>
          <w:tcPr>
            <w:tcW w:w="284" w:type="dxa"/>
            <w:tcBorders>
              <w:left w:val="single" w:sz="6" w:space="0" w:color="auto"/>
              <w:bottom w:val="single" w:sz="6" w:space="0" w:color="auto"/>
            </w:tcBorders>
          </w:tcPr>
          <w:p w:rsidR="009C13A9" w:rsidRPr="00C903F8" w:rsidRDefault="009C13A9" w:rsidP="009C13A9">
            <w:pPr>
              <w:tabs>
                <w:tab w:val="left" w:pos="57"/>
                <w:tab w:val="left" w:pos="227"/>
              </w:tabs>
              <w:overflowPunct w:val="0"/>
              <w:adjustRightInd w:val="0"/>
              <w:ind w:left="0" w:firstLine="0"/>
              <w:jc w:val="left"/>
              <w:textAlignment w:val="baseline"/>
              <w:rPr>
                <w:rFonts w:cs="Arial"/>
                <w:sz w:val="18"/>
                <w:szCs w:val="20"/>
              </w:rPr>
            </w:pPr>
            <w:r>
              <w:rPr>
                <w:sz w:val="18"/>
              </w:rPr>
              <w:t>27.</w:t>
            </w:r>
          </w:p>
        </w:tc>
        <w:tc>
          <w:tcPr>
            <w:tcW w:w="2778" w:type="dxa"/>
            <w:gridSpan w:val="2"/>
            <w:tcBorders>
              <w:bottom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Numero di motori principali</w:t>
            </w:r>
            <w:r>
              <w:rPr>
                <w:rFonts w:cs="Arial"/>
                <w:sz w:val="18"/>
                <w:szCs w:val="20"/>
              </w:rPr>
              <w:br/>
            </w:r>
          </w:p>
        </w:tc>
        <w:tc>
          <w:tcPr>
            <w:tcW w:w="3062" w:type="dxa"/>
            <w:gridSpan w:val="2"/>
            <w:tcBorders>
              <w:left w:val="single" w:sz="6" w:space="0" w:color="auto"/>
              <w:bottom w:val="single" w:sz="6" w:space="0" w:color="auto"/>
              <w:right w:val="single" w:sz="6" w:space="0" w:color="auto"/>
            </w:tcBorders>
          </w:tcPr>
          <w:p w:rsidR="009C13A9" w:rsidRPr="00C903F8" w:rsidRDefault="009C13A9" w:rsidP="009C13A9">
            <w:pPr>
              <w:tabs>
                <w:tab w:val="left" w:pos="57"/>
                <w:tab w:val="left" w:pos="340"/>
                <w:tab w:val="left" w:pos="2242"/>
              </w:tabs>
              <w:overflowPunct w:val="0"/>
              <w:adjustRightInd w:val="0"/>
              <w:ind w:left="0" w:firstLine="0"/>
              <w:jc w:val="left"/>
              <w:textAlignment w:val="baseline"/>
              <w:rPr>
                <w:rFonts w:cs="Arial"/>
                <w:sz w:val="18"/>
                <w:szCs w:val="20"/>
              </w:rPr>
            </w:pPr>
            <w:r>
              <w:tab/>
            </w:r>
            <w:r>
              <w:rPr>
                <w:sz w:val="18"/>
              </w:rPr>
              <w:t>28.</w:t>
            </w:r>
            <w:r>
              <w:t xml:space="preserve"> </w:t>
            </w:r>
            <w:r>
              <w:rPr>
                <w:sz w:val="18"/>
              </w:rPr>
              <w:t>Potenza complessiva dei motori principali</w:t>
            </w:r>
            <w:r>
              <w:rPr>
                <w:rFonts w:cs="Arial"/>
                <w:sz w:val="18"/>
                <w:szCs w:val="20"/>
              </w:rPr>
              <w:br/>
            </w:r>
            <w:r>
              <w:rPr>
                <w:rFonts w:cs="Arial"/>
                <w:sz w:val="18"/>
                <w:szCs w:val="20"/>
              </w:rPr>
              <w:br/>
            </w:r>
            <w:r>
              <w:tab/>
            </w:r>
            <w:r>
              <w:tab/>
            </w:r>
            <w:r>
              <w:tab/>
            </w:r>
            <w:r>
              <w:rPr>
                <w:sz w:val="18"/>
              </w:rPr>
              <w:t xml:space="preserve">kW </w:t>
            </w:r>
          </w:p>
        </w:tc>
        <w:tc>
          <w:tcPr>
            <w:tcW w:w="3065" w:type="dxa"/>
            <w:gridSpan w:val="2"/>
            <w:tcBorders>
              <w:bottom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29.</w:t>
            </w:r>
            <w:r>
              <w:tab/>
            </w:r>
            <w:r>
              <w:rPr>
                <w:sz w:val="18"/>
              </w:rPr>
              <w:t>Numero di eliche principali</w:t>
            </w:r>
            <w:r>
              <w:rPr>
                <w:rFonts w:cs="Arial"/>
                <w:sz w:val="18"/>
                <w:szCs w:val="20"/>
              </w:rPr>
              <w:br/>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rPr>
                <w:sz w:val="18"/>
              </w:rPr>
              <w:t>30.</w:t>
            </w:r>
          </w:p>
        </w:tc>
        <w:tc>
          <w:tcPr>
            <w:tcW w:w="2014" w:type="dxa"/>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tab/>
            </w:r>
            <w:r>
              <w:rPr>
                <w:sz w:val="18"/>
              </w:rPr>
              <w:t>Numero di verricelli salpancore a prua, di cui</w:t>
            </w:r>
            <w:r>
              <w:rPr>
                <w:rFonts w:cs="Arial"/>
                <w:sz w:val="18"/>
                <w:szCs w:val="20"/>
              </w:rPr>
              <w:br/>
            </w:r>
            <w:r>
              <w:tab/>
            </w:r>
          </w:p>
        </w:tc>
        <w:tc>
          <w:tcPr>
            <w:tcW w:w="2297" w:type="dxa"/>
            <w:gridSpan w:val="2"/>
            <w:tcBorders>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 a motore</w:t>
            </w:r>
          </w:p>
        </w:tc>
        <w:tc>
          <w:tcPr>
            <w:tcW w:w="2297" w:type="dxa"/>
            <w:gridSpan w:val="2"/>
          </w:tcPr>
          <w:p w:rsidR="009C13A9" w:rsidRPr="00C903F8" w:rsidRDefault="009C13A9" w:rsidP="009C13A9">
            <w:pPr>
              <w:tabs>
                <w:tab w:val="left" w:pos="340"/>
              </w:tabs>
              <w:overflowPunct w:val="0"/>
              <w:adjustRightInd w:val="0"/>
              <w:ind w:left="284" w:hanging="284"/>
              <w:jc w:val="left"/>
              <w:textAlignment w:val="baseline"/>
              <w:rPr>
                <w:rFonts w:cs="Arial"/>
                <w:sz w:val="18"/>
                <w:szCs w:val="20"/>
              </w:rPr>
            </w:pPr>
            <w:r>
              <w:rPr>
                <w:sz w:val="18"/>
              </w:rPr>
              <w:t>31.</w:t>
            </w:r>
            <w:r>
              <w:tab/>
            </w:r>
            <w:r>
              <w:rPr>
                <w:sz w:val="18"/>
              </w:rPr>
              <w:t>Numero di verricelli salpancore a poppa, di cui</w:t>
            </w:r>
          </w:p>
        </w:tc>
        <w:tc>
          <w:tcPr>
            <w:tcW w:w="2297" w:type="dxa"/>
            <w:tcBorders>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sidR="00A16690">
              <w:rPr>
                <w:sz w:val="18"/>
              </w:rPr>
              <w:t xml:space="preserve">        </w:t>
            </w:r>
            <w:r>
              <w:rPr>
                <w:sz w:val="18"/>
              </w:rPr>
              <w:t>a motore</w:t>
            </w:r>
          </w:p>
        </w:tc>
      </w:tr>
      <w:tr w:rsidR="009C13A9" w:rsidRPr="00C903F8" w:rsidTr="009C13A9">
        <w:trPr>
          <w:cantSplit/>
          <w:jc w:val="center"/>
        </w:trPr>
        <w:tc>
          <w:tcPr>
            <w:tcW w:w="284" w:type="dxa"/>
            <w:tcBorders>
              <w:left w:val="single" w:sz="6" w:space="0" w:color="auto"/>
              <w:bottom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p>
        </w:tc>
        <w:tc>
          <w:tcPr>
            <w:tcW w:w="2014" w:type="dxa"/>
            <w:tcBorders>
              <w:bottom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rPr>
                <w:rFonts w:cs="Arial"/>
                <w:sz w:val="18"/>
                <w:szCs w:val="20"/>
              </w:rPr>
              <w:br/>
            </w:r>
          </w:p>
        </w:tc>
        <w:tc>
          <w:tcPr>
            <w:tcW w:w="2297" w:type="dxa"/>
            <w:gridSpan w:val="2"/>
            <w:tcBorders>
              <w:left w:val="single" w:sz="6" w:space="0" w:color="auto"/>
              <w:bottom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rFonts w:cs="Arial"/>
                <w:sz w:val="18"/>
                <w:szCs w:val="20"/>
              </w:rPr>
              <w:br/>
            </w:r>
          </w:p>
        </w:tc>
        <w:tc>
          <w:tcPr>
            <w:tcW w:w="2297" w:type="dxa"/>
            <w:gridSpan w:val="2"/>
            <w:tcBorders>
              <w:bottom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p>
        </w:tc>
        <w:tc>
          <w:tcPr>
            <w:tcW w:w="2297" w:type="dxa"/>
            <w:tcBorders>
              <w:bottom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ind w:left="0" w:firstLine="0"/>
              <w:jc w:val="left"/>
              <w:textAlignment w:val="baseline"/>
              <w:rPr>
                <w:rFonts w:cs="Arial"/>
                <w:sz w:val="18"/>
                <w:szCs w:val="20"/>
              </w:rPr>
            </w:pPr>
            <w:r>
              <w:rPr>
                <w:sz w:val="18"/>
              </w:rPr>
              <w:t>32.</w:t>
            </w:r>
          </w:p>
        </w:tc>
        <w:tc>
          <w:tcPr>
            <w:tcW w:w="2778" w:type="dxa"/>
            <w:gridSpan w:val="2"/>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Numero di ganci di traino</w:t>
            </w:r>
            <w:r>
              <w:rPr>
                <w:rFonts w:cs="Arial"/>
                <w:sz w:val="18"/>
                <w:szCs w:val="20"/>
              </w:rPr>
              <w:br/>
            </w:r>
          </w:p>
        </w:tc>
        <w:tc>
          <w:tcPr>
            <w:tcW w:w="3062" w:type="dxa"/>
            <w:gridSpan w:val="2"/>
            <w:tcBorders>
              <w:lef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33.</w:t>
            </w:r>
            <w:r>
              <w:tab/>
            </w:r>
            <w:r>
              <w:rPr>
                <w:sz w:val="18"/>
              </w:rPr>
              <w:t>Numero di verricelli per il rimorchio, di cui</w:t>
            </w:r>
          </w:p>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rPr>
                <w:sz w:val="18"/>
              </w:rPr>
              <w:t>.</w:t>
            </w:r>
          </w:p>
        </w:tc>
        <w:tc>
          <w:tcPr>
            <w:tcW w:w="3065" w:type="dxa"/>
            <w:gridSpan w:val="2"/>
            <w:tcBorders>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rPr>
                <w:sz w:val="18"/>
              </w:rPr>
              <w:t xml:space="preserve"> di cui ...................................... </w:t>
            </w:r>
          </w:p>
        </w:tc>
      </w:tr>
      <w:tr w:rsidR="009C13A9" w:rsidRPr="00C903F8" w:rsidTr="009C13A9">
        <w:trPr>
          <w:cantSplit/>
          <w:jc w:val="center"/>
        </w:trPr>
        <w:tc>
          <w:tcPr>
            <w:tcW w:w="284" w:type="dxa"/>
            <w:tcBorders>
              <w:left w:val="single" w:sz="6" w:space="0" w:color="auto"/>
              <w:bottom w:val="single" w:sz="6" w:space="0" w:color="auto"/>
            </w:tcBorders>
          </w:tcPr>
          <w:p w:rsidR="009C13A9" w:rsidRPr="00C903F8" w:rsidRDefault="009C13A9" w:rsidP="009C13A9">
            <w:pPr>
              <w:tabs>
                <w:tab w:val="left" w:pos="57"/>
                <w:tab w:val="left" w:pos="227"/>
              </w:tabs>
              <w:overflowPunct w:val="0"/>
              <w:adjustRightInd w:val="0"/>
              <w:ind w:left="0" w:firstLine="0"/>
              <w:jc w:val="left"/>
              <w:textAlignment w:val="baseline"/>
              <w:rPr>
                <w:rFonts w:cs="Arial"/>
                <w:sz w:val="18"/>
                <w:szCs w:val="20"/>
              </w:rPr>
            </w:pPr>
          </w:p>
        </w:tc>
        <w:tc>
          <w:tcPr>
            <w:tcW w:w="2778" w:type="dxa"/>
            <w:gridSpan w:val="2"/>
            <w:tcBorders>
              <w:bottom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rPr>
                <w:rFonts w:cs="Arial"/>
                <w:sz w:val="18"/>
                <w:szCs w:val="20"/>
              </w:rPr>
              <w:br/>
            </w:r>
          </w:p>
        </w:tc>
        <w:tc>
          <w:tcPr>
            <w:tcW w:w="3062" w:type="dxa"/>
            <w:gridSpan w:val="2"/>
            <w:tcBorders>
              <w:left w:val="single" w:sz="6" w:space="0" w:color="auto"/>
              <w:bottom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rPr>
                <w:rFonts w:cs="Arial"/>
                <w:sz w:val="18"/>
                <w:szCs w:val="20"/>
              </w:rPr>
              <w:br/>
            </w:r>
          </w:p>
        </w:tc>
        <w:tc>
          <w:tcPr>
            <w:tcW w:w="3065" w:type="dxa"/>
            <w:gridSpan w:val="2"/>
            <w:tcBorders>
              <w:bottom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rPr>
                <w:sz w:val="18"/>
              </w:rPr>
              <w:t>34.</w:t>
            </w:r>
          </w:p>
        </w:tc>
        <w:tc>
          <w:tcPr>
            <w:tcW w:w="2014" w:type="dxa"/>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tab/>
            </w:r>
            <w:r>
              <w:rPr>
                <w:sz w:val="18"/>
              </w:rPr>
              <w:t>Apparati di governo</w:t>
            </w:r>
          </w:p>
        </w:tc>
        <w:tc>
          <w:tcPr>
            <w:tcW w:w="2297" w:type="dxa"/>
            <w:gridSpan w:val="2"/>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p>
        </w:tc>
        <w:tc>
          <w:tcPr>
            <w:tcW w:w="2297" w:type="dxa"/>
            <w:gridSpan w:val="2"/>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p>
        </w:tc>
        <w:tc>
          <w:tcPr>
            <w:tcW w:w="2297" w:type="dxa"/>
            <w:tcBorders>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p>
        </w:tc>
        <w:tc>
          <w:tcPr>
            <w:tcW w:w="2014" w:type="dxa"/>
            <w:tcBorders>
              <w:bottom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tab/>
            </w:r>
            <w:r>
              <w:rPr>
                <w:sz w:val="18"/>
              </w:rPr>
              <w:t>Numero di pale del timone principale</w:t>
            </w:r>
            <w:r>
              <w:rPr>
                <w:rFonts w:cs="Arial"/>
                <w:sz w:val="18"/>
                <w:szCs w:val="20"/>
              </w:rPr>
              <w:br/>
            </w:r>
            <w:r>
              <w:rPr>
                <w:rFonts w:cs="Arial"/>
                <w:sz w:val="18"/>
                <w:szCs w:val="20"/>
              </w:rPr>
              <w:br/>
            </w:r>
          </w:p>
        </w:tc>
        <w:tc>
          <w:tcPr>
            <w:tcW w:w="2297" w:type="dxa"/>
            <w:gridSpan w:val="2"/>
            <w:tcBorders>
              <w:left w:val="single" w:sz="6" w:space="0" w:color="auto"/>
              <w:bottom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Comando del timone principale</w:t>
            </w:r>
            <w:r>
              <w:rPr>
                <w:rFonts w:cs="Arial"/>
                <w:sz w:val="18"/>
                <w:szCs w:val="20"/>
              </w:rPr>
              <w:br/>
            </w:r>
            <w:r>
              <w:rPr>
                <w:rFonts w:cs="Arial"/>
                <w:sz w:val="18"/>
                <w:szCs w:val="20"/>
              </w:rPr>
              <w:br/>
            </w:r>
          </w:p>
        </w:tc>
        <w:tc>
          <w:tcPr>
            <w:tcW w:w="2297" w:type="dxa"/>
            <w:gridSpan w:val="2"/>
            <w:tcBorders>
              <w:left w:val="single" w:sz="6" w:space="0" w:color="auto"/>
              <w:bottom w:val="single" w:sz="6" w:space="0" w:color="auto"/>
              <w:right w:val="single" w:sz="6" w:space="0" w:color="auto"/>
            </w:tcBorders>
          </w:tcPr>
          <w:p w:rsidR="009C13A9" w:rsidRPr="00C903F8" w:rsidRDefault="009C13A9" w:rsidP="00E61D20">
            <w:pPr>
              <w:tabs>
                <w:tab w:val="left" w:pos="57"/>
                <w:tab w:val="left" w:pos="340"/>
              </w:tabs>
              <w:overflowPunct w:val="0"/>
              <w:adjustRightInd w:val="0"/>
              <w:ind w:left="0" w:firstLine="0"/>
              <w:jc w:val="left"/>
              <w:textAlignment w:val="baseline"/>
              <w:rPr>
                <w:rFonts w:cs="Arial"/>
                <w:sz w:val="18"/>
                <w:szCs w:val="20"/>
              </w:rPr>
            </w:pPr>
            <w:r>
              <w:tab/>
            </w:r>
            <w:r>
              <w:rPr>
                <w:sz w:val="18"/>
              </w:rPr>
              <w:t>-</w:t>
            </w:r>
            <w:r>
              <w:tab/>
            </w:r>
            <w:r>
              <w:rPr>
                <w:sz w:val="18"/>
              </w:rPr>
              <w:t xml:space="preserve">manuale </w:t>
            </w:r>
            <w:r>
              <w:rPr>
                <w:position w:val="6"/>
                <w:sz w:val="16"/>
              </w:rPr>
              <w:t xml:space="preserve">*) </w:t>
            </w:r>
            <w:r>
              <w:rPr>
                <w:rFonts w:cs="Arial"/>
                <w:sz w:val="18"/>
                <w:szCs w:val="20"/>
              </w:rPr>
              <w:br/>
            </w:r>
            <w:r>
              <w:tab/>
            </w:r>
            <w:r>
              <w:rPr>
                <w:sz w:val="18"/>
              </w:rPr>
              <w:t>-</w:t>
            </w:r>
            <w:r>
              <w:tab/>
            </w:r>
            <w:r>
              <w:rPr>
                <w:sz w:val="18"/>
              </w:rPr>
              <w:t>elettrico</w:t>
            </w:r>
            <w:r>
              <w:rPr>
                <w:position w:val="6"/>
                <w:sz w:val="16"/>
              </w:rPr>
              <w:t xml:space="preserve">*) </w:t>
            </w:r>
            <w:r>
              <w:rPr>
                <w:rFonts w:cs="Arial"/>
                <w:sz w:val="18"/>
                <w:szCs w:val="20"/>
              </w:rPr>
              <w:br/>
            </w:r>
          </w:p>
        </w:tc>
        <w:tc>
          <w:tcPr>
            <w:tcW w:w="2297" w:type="dxa"/>
            <w:tcBorders>
              <w:left w:val="single" w:sz="6" w:space="0" w:color="auto"/>
              <w:bottom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w:t>
            </w:r>
            <w:r>
              <w:tab/>
            </w:r>
            <w:r>
              <w:rPr>
                <w:sz w:val="18"/>
              </w:rPr>
              <w:t>elettrico/idraulico</w:t>
            </w:r>
            <w:r>
              <w:rPr>
                <w:position w:val="6"/>
                <w:sz w:val="16"/>
              </w:rPr>
              <w:t>*)</w:t>
            </w:r>
            <w:r>
              <w:rPr>
                <w:rFonts w:cs="Arial"/>
                <w:sz w:val="18"/>
                <w:szCs w:val="20"/>
              </w:rPr>
              <w:br/>
            </w:r>
            <w:r>
              <w:tab/>
            </w:r>
            <w:r>
              <w:rPr>
                <w:sz w:val="18"/>
              </w:rPr>
              <w:t>-</w:t>
            </w:r>
            <w:r>
              <w:tab/>
            </w:r>
            <w:r>
              <w:rPr>
                <w:sz w:val="18"/>
              </w:rPr>
              <w:t>idraulico</w:t>
            </w:r>
            <w:r>
              <w:rPr>
                <w:position w:val="6"/>
                <w:sz w:val="16"/>
              </w:rPr>
              <w:t>*)</w:t>
            </w:r>
          </w:p>
        </w:tc>
      </w:tr>
      <w:tr w:rsidR="009C13A9" w:rsidRPr="00A0619C"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ind w:left="0" w:firstLine="0"/>
              <w:jc w:val="left"/>
              <w:textAlignment w:val="baseline"/>
              <w:rPr>
                <w:rFonts w:cs="Arial"/>
                <w:sz w:val="18"/>
                <w:szCs w:val="20"/>
              </w:rPr>
            </w:pPr>
          </w:p>
        </w:tc>
        <w:tc>
          <w:tcPr>
            <w:tcW w:w="8905" w:type="dxa"/>
            <w:gridSpan w:val="6"/>
            <w:tcBorders>
              <w:top w:val="single" w:sz="6" w:space="0" w:color="auto"/>
              <w:bottom w:val="single" w:sz="6" w:space="0" w:color="auto"/>
              <w:right w:val="single" w:sz="6" w:space="0" w:color="auto"/>
            </w:tcBorders>
          </w:tcPr>
          <w:p w:rsidR="009C13A9" w:rsidRPr="00C903F8" w:rsidRDefault="009C13A9" w:rsidP="002D7949">
            <w:pPr>
              <w:tabs>
                <w:tab w:val="left" w:pos="57"/>
                <w:tab w:val="left" w:pos="340"/>
              </w:tabs>
              <w:overflowPunct w:val="0"/>
              <w:adjustRightInd w:val="0"/>
              <w:ind w:left="0" w:firstLine="0"/>
              <w:jc w:val="left"/>
              <w:textAlignment w:val="baseline"/>
              <w:rPr>
                <w:rFonts w:cs="Arial"/>
                <w:sz w:val="18"/>
                <w:szCs w:val="20"/>
              </w:rPr>
            </w:pPr>
            <w:r>
              <w:tab/>
            </w:r>
            <w:r>
              <w:rPr>
                <w:sz w:val="18"/>
              </w:rPr>
              <w:t>Altro apparati: sì/no</w:t>
            </w:r>
            <w:r>
              <w:rPr>
                <w:position w:val="6"/>
                <w:sz w:val="16"/>
              </w:rPr>
              <w:t>*)</w:t>
            </w:r>
            <w:r>
              <w:rPr>
                <w:sz w:val="18"/>
              </w:rPr>
              <w:t xml:space="preserve"> Tipo:</w:t>
            </w:r>
            <w:r>
              <w:rPr>
                <w:rFonts w:cs="Arial"/>
                <w:sz w:val="18"/>
                <w:szCs w:val="20"/>
              </w:rPr>
              <w:br/>
            </w:r>
            <w:r>
              <w:rPr>
                <w:rFonts w:cs="Arial"/>
                <w:sz w:val="18"/>
                <w:szCs w:val="20"/>
              </w:rPr>
              <w:br/>
            </w:r>
            <w:r>
              <w:rPr>
                <w:sz w:val="18"/>
              </w:rPr>
              <w:t xml:space="preserve"> </w:t>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p>
        </w:tc>
        <w:tc>
          <w:tcPr>
            <w:tcW w:w="2014" w:type="dxa"/>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tab/>
            </w:r>
            <w:r>
              <w:rPr>
                <w:sz w:val="18"/>
              </w:rPr>
              <w:t>Timone di rispetto:</w:t>
            </w:r>
          </w:p>
          <w:p w:rsidR="009C13A9" w:rsidRPr="00C903F8" w:rsidRDefault="009C13A9" w:rsidP="009C13A9">
            <w:pPr>
              <w:tabs>
                <w:tab w:val="left" w:pos="57"/>
              </w:tabs>
              <w:overflowPunct w:val="0"/>
              <w:adjustRightInd w:val="0"/>
              <w:ind w:left="0" w:firstLine="0"/>
              <w:jc w:val="left"/>
              <w:textAlignment w:val="baseline"/>
              <w:rPr>
                <w:rFonts w:cs="Arial"/>
                <w:sz w:val="18"/>
                <w:szCs w:val="20"/>
              </w:rPr>
            </w:pPr>
            <w:r>
              <w:tab/>
            </w:r>
            <w:r>
              <w:rPr>
                <w:sz w:val="18"/>
              </w:rPr>
              <w:t xml:space="preserve">sì/no </w:t>
            </w:r>
            <w:r>
              <w:rPr>
                <w:position w:val="6"/>
                <w:sz w:val="16"/>
              </w:rPr>
              <w:t>*)</w:t>
            </w:r>
          </w:p>
        </w:tc>
        <w:tc>
          <w:tcPr>
            <w:tcW w:w="2297" w:type="dxa"/>
            <w:gridSpan w:val="2"/>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Comando del timone di rispetto</w:t>
            </w:r>
          </w:p>
        </w:tc>
        <w:tc>
          <w:tcPr>
            <w:tcW w:w="2297" w:type="dxa"/>
            <w:gridSpan w:val="2"/>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p>
        </w:tc>
        <w:tc>
          <w:tcPr>
            <w:tcW w:w="2297" w:type="dxa"/>
            <w:tcBorders>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p>
        </w:tc>
        <w:tc>
          <w:tcPr>
            <w:tcW w:w="2014" w:type="dxa"/>
            <w:tcBorders>
              <w:bottom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rPr>
                <w:rFonts w:cs="Arial"/>
                <w:sz w:val="18"/>
                <w:szCs w:val="20"/>
              </w:rPr>
              <w:br/>
            </w:r>
          </w:p>
        </w:tc>
        <w:tc>
          <w:tcPr>
            <w:tcW w:w="2297" w:type="dxa"/>
            <w:gridSpan w:val="2"/>
            <w:tcBorders>
              <w:left w:val="single" w:sz="6" w:space="0" w:color="auto"/>
              <w:bottom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rFonts w:cs="Arial"/>
                <w:sz w:val="18"/>
                <w:szCs w:val="20"/>
              </w:rPr>
              <w:br/>
            </w:r>
            <w:r>
              <w:rPr>
                <w:rFonts w:cs="Arial"/>
                <w:sz w:val="18"/>
                <w:szCs w:val="20"/>
              </w:rPr>
              <w:br/>
            </w:r>
          </w:p>
        </w:tc>
        <w:tc>
          <w:tcPr>
            <w:tcW w:w="2297" w:type="dxa"/>
            <w:gridSpan w:val="2"/>
            <w:tcBorders>
              <w:left w:val="single" w:sz="6" w:space="0" w:color="auto"/>
              <w:bottom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w:t>
            </w:r>
            <w:r>
              <w:tab/>
            </w:r>
            <w:r>
              <w:rPr>
                <w:sz w:val="18"/>
              </w:rPr>
              <w:t>manuale</w:t>
            </w:r>
            <w:r>
              <w:rPr>
                <w:position w:val="6"/>
                <w:sz w:val="16"/>
              </w:rPr>
              <w:t>*)</w:t>
            </w:r>
            <w:r>
              <w:rPr>
                <w:rFonts w:cs="Arial"/>
                <w:sz w:val="18"/>
                <w:szCs w:val="20"/>
              </w:rPr>
              <w:br/>
            </w:r>
            <w:r>
              <w:tab/>
            </w:r>
            <w:r>
              <w:rPr>
                <w:sz w:val="18"/>
              </w:rPr>
              <w:t>-</w:t>
            </w:r>
            <w:r>
              <w:tab/>
            </w:r>
            <w:r>
              <w:rPr>
                <w:sz w:val="18"/>
              </w:rPr>
              <w:t>elettrico</w:t>
            </w:r>
            <w:r>
              <w:rPr>
                <w:position w:val="6"/>
                <w:sz w:val="16"/>
              </w:rPr>
              <w:t xml:space="preserve">*) </w:t>
            </w:r>
            <w:r>
              <w:rPr>
                <w:rFonts w:cs="Arial"/>
                <w:sz w:val="18"/>
                <w:szCs w:val="20"/>
              </w:rPr>
              <w:br/>
            </w:r>
          </w:p>
        </w:tc>
        <w:tc>
          <w:tcPr>
            <w:tcW w:w="2297" w:type="dxa"/>
            <w:tcBorders>
              <w:left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w:t>
            </w:r>
            <w:r>
              <w:tab/>
            </w:r>
            <w:r>
              <w:rPr>
                <w:sz w:val="18"/>
              </w:rPr>
              <w:t>elettrico/idraulico*)</w:t>
            </w:r>
            <w:r>
              <w:rPr>
                <w:position w:val="6"/>
                <w:sz w:val="16"/>
              </w:rPr>
              <w:t xml:space="preserve"> </w:t>
            </w:r>
            <w:r>
              <w:rPr>
                <w:rFonts w:cs="Arial"/>
                <w:sz w:val="18"/>
                <w:szCs w:val="20"/>
              </w:rPr>
              <w:br/>
            </w:r>
            <w:r>
              <w:tab/>
            </w:r>
            <w:r>
              <w:rPr>
                <w:sz w:val="18"/>
              </w:rPr>
              <w:t>-</w:t>
            </w:r>
            <w:r>
              <w:tab/>
            </w:r>
            <w:r>
              <w:rPr>
                <w:sz w:val="18"/>
              </w:rPr>
              <w:t>idraulico</w:t>
            </w:r>
            <w:r>
              <w:rPr>
                <w:position w:val="6"/>
                <w:sz w:val="16"/>
              </w:rPr>
              <w:t xml:space="preserve">*) </w:t>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p>
        </w:tc>
        <w:tc>
          <w:tcPr>
            <w:tcW w:w="2014" w:type="dxa"/>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tab/>
            </w:r>
            <w:r>
              <w:rPr>
                <w:sz w:val="18"/>
              </w:rPr>
              <w:t>Apparato di governo a prua</w:t>
            </w:r>
          </w:p>
        </w:tc>
        <w:tc>
          <w:tcPr>
            <w:tcW w:w="2297" w:type="dxa"/>
            <w:gridSpan w:val="2"/>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w:t>
            </w:r>
            <w:r>
              <w:tab/>
            </w:r>
            <w:r>
              <w:rPr>
                <w:sz w:val="18"/>
              </w:rPr>
              <w:t>timone amovibile di prua</w:t>
            </w:r>
            <w:r>
              <w:rPr>
                <w:position w:val="6"/>
                <w:sz w:val="16"/>
              </w:rPr>
              <w:t>*)</w:t>
            </w:r>
            <w:r>
              <w:rPr>
                <w:sz w:val="18"/>
              </w:rPr>
              <w:t xml:space="preserve"> </w:t>
            </w:r>
          </w:p>
        </w:tc>
        <w:tc>
          <w:tcPr>
            <w:tcW w:w="2297" w:type="dxa"/>
            <w:gridSpan w:val="2"/>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w:t>
            </w:r>
            <w:r>
              <w:tab/>
            </w:r>
            <w:r>
              <w:rPr>
                <w:sz w:val="18"/>
              </w:rPr>
              <w:t>Comando a distanza</w:t>
            </w:r>
          </w:p>
        </w:tc>
        <w:tc>
          <w:tcPr>
            <w:tcW w:w="2297" w:type="dxa"/>
            <w:tcBorders>
              <w:top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Azionamento a distanza</w:t>
            </w:r>
          </w:p>
        </w:tc>
      </w:tr>
      <w:tr w:rsidR="009C13A9" w:rsidRPr="00C903F8" w:rsidTr="009C13A9">
        <w:trPr>
          <w:cantSplit/>
          <w:jc w:val="center"/>
        </w:trPr>
        <w:tc>
          <w:tcPr>
            <w:tcW w:w="284" w:type="dxa"/>
            <w:tcBorders>
              <w:left w:val="single" w:sz="6" w:space="0" w:color="auto"/>
              <w:bottom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p>
        </w:tc>
        <w:tc>
          <w:tcPr>
            <w:tcW w:w="2014" w:type="dxa"/>
            <w:tcBorders>
              <w:bottom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tab/>
            </w:r>
            <w:r>
              <w:rPr>
                <w:sz w:val="18"/>
              </w:rPr>
              <w:t>sì/no</w:t>
            </w:r>
            <w:r>
              <w:rPr>
                <w:position w:val="6"/>
                <w:sz w:val="16"/>
              </w:rPr>
              <w:t>*)</w:t>
            </w:r>
            <w:r>
              <w:rPr>
                <w:rFonts w:cs="Arial"/>
                <w:sz w:val="18"/>
                <w:szCs w:val="20"/>
              </w:rPr>
              <w:br/>
            </w:r>
          </w:p>
        </w:tc>
        <w:tc>
          <w:tcPr>
            <w:tcW w:w="2297" w:type="dxa"/>
            <w:gridSpan w:val="2"/>
            <w:tcBorders>
              <w:left w:val="single" w:sz="6" w:space="0" w:color="auto"/>
              <w:bottom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w:t>
            </w:r>
            <w:r>
              <w:tab/>
            </w:r>
            <w:r>
              <w:rPr>
                <w:sz w:val="18"/>
              </w:rPr>
              <w:t>elica di prua</w:t>
            </w:r>
            <w:r>
              <w:rPr>
                <w:position w:val="6"/>
                <w:sz w:val="16"/>
              </w:rPr>
              <w:t>*)</w:t>
            </w:r>
            <w:r>
              <w:rPr>
                <w:sz w:val="18"/>
              </w:rPr>
              <w:t xml:space="preserve"> </w:t>
            </w:r>
            <w:r>
              <w:rPr>
                <w:rFonts w:cs="Arial"/>
                <w:sz w:val="18"/>
                <w:szCs w:val="20"/>
              </w:rPr>
              <w:br/>
            </w:r>
            <w:r>
              <w:tab/>
            </w:r>
            <w:r>
              <w:rPr>
                <w:sz w:val="18"/>
              </w:rPr>
              <w:t>-</w:t>
            </w:r>
            <w:r>
              <w:tab/>
            </w:r>
            <w:r>
              <w:rPr>
                <w:sz w:val="18"/>
              </w:rPr>
              <w:t>altro apparato</w:t>
            </w:r>
            <w:r>
              <w:rPr>
                <w:position w:val="6"/>
                <w:sz w:val="16"/>
              </w:rPr>
              <w:t>*)</w:t>
            </w:r>
          </w:p>
        </w:tc>
        <w:tc>
          <w:tcPr>
            <w:tcW w:w="2297" w:type="dxa"/>
            <w:gridSpan w:val="2"/>
            <w:tcBorders>
              <w:left w:val="single" w:sz="6" w:space="0" w:color="auto"/>
              <w:bottom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tab/>
            </w:r>
            <w:r>
              <w:rPr>
                <w:sz w:val="18"/>
              </w:rPr>
              <w:t>sì/no</w:t>
            </w:r>
            <w:r>
              <w:rPr>
                <w:position w:val="6"/>
                <w:sz w:val="16"/>
              </w:rPr>
              <w:t>*)</w:t>
            </w:r>
            <w:r>
              <w:rPr>
                <w:rFonts w:cs="Arial"/>
                <w:sz w:val="18"/>
                <w:szCs w:val="20"/>
              </w:rPr>
              <w:br/>
            </w:r>
          </w:p>
        </w:tc>
        <w:tc>
          <w:tcPr>
            <w:tcW w:w="2297" w:type="dxa"/>
            <w:tcBorders>
              <w:left w:val="single" w:sz="6" w:space="0" w:color="auto"/>
              <w:bottom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Sì/no</w:t>
            </w:r>
            <w:r>
              <w:rPr>
                <w:position w:val="6"/>
                <w:sz w:val="16"/>
              </w:rPr>
              <w:t>*)</w:t>
            </w:r>
          </w:p>
        </w:tc>
      </w:tr>
      <w:tr w:rsidR="009C13A9" w:rsidRPr="00A0619C"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80"/>
              <w:ind w:left="0" w:firstLine="0"/>
              <w:jc w:val="left"/>
              <w:textAlignment w:val="baseline"/>
              <w:rPr>
                <w:rFonts w:cs="Arial"/>
                <w:sz w:val="18"/>
                <w:szCs w:val="20"/>
              </w:rPr>
            </w:pPr>
            <w:r>
              <w:rPr>
                <w:sz w:val="18"/>
              </w:rPr>
              <w:t>35.</w:t>
            </w:r>
          </w:p>
        </w:tc>
        <w:tc>
          <w:tcPr>
            <w:tcW w:w="8905" w:type="dxa"/>
            <w:gridSpan w:val="6"/>
            <w:tcBorders>
              <w:top w:val="single" w:sz="6" w:space="0" w:color="auto"/>
              <w:bottom w:val="single" w:sz="6" w:space="0" w:color="auto"/>
              <w:right w:val="single" w:sz="6" w:space="0" w:color="auto"/>
            </w:tcBorders>
          </w:tcPr>
          <w:p w:rsidR="009C13A9" w:rsidRPr="00C903F8" w:rsidRDefault="009C13A9" w:rsidP="009C13A9">
            <w:pPr>
              <w:tabs>
                <w:tab w:val="left" w:pos="57"/>
                <w:tab w:val="left" w:pos="340"/>
                <w:tab w:val="left" w:pos="2752"/>
                <w:tab w:val="left" w:pos="4820"/>
                <w:tab w:val="left" w:pos="7088"/>
                <w:tab w:val="left" w:leader="dot" w:pos="8505"/>
              </w:tabs>
              <w:overflowPunct w:val="0"/>
              <w:adjustRightInd w:val="0"/>
              <w:spacing w:before="80"/>
              <w:ind w:left="57" w:hanging="57"/>
              <w:jc w:val="left"/>
              <w:textAlignment w:val="baseline"/>
              <w:rPr>
                <w:rFonts w:cs="Arial"/>
                <w:sz w:val="18"/>
                <w:szCs w:val="20"/>
              </w:rPr>
            </w:pPr>
            <w:r>
              <w:tab/>
            </w:r>
            <w:r>
              <w:rPr>
                <w:sz w:val="18"/>
              </w:rPr>
              <w:t>Impianti di esaurimento della sentina</w:t>
            </w:r>
          </w:p>
          <w:p w:rsidR="009C13A9" w:rsidRPr="00C903F8" w:rsidRDefault="009C13A9" w:rsidP="009C13A9">
            <w:pPr>
              <w:tabs>
                <w:tab w:val="left" w:pos="2552"/>
                <w:tab w:val="left" w:leader="dot" w:pos="3602"/>
                <w:tab w:val="left" w:pos="4820"/>
                <w:tab w:val="left" w:leader="dot" w:pos="6012"/>
                <w:tab w:val="left" w:pos="7088"/>
                <w:tab w:val="left" w:leader="dot" w:pos="8505"/>
              </w:tabs>
              <w:overflowPunct w:val="0"/>
              <w:adjustRightInd w:val="0"/>
              <w:spacing w:before="40" w:after="40"/>
              <w:ind w:left="57" w:hanging="57"/>
              <w:jc w:val="left"/>
              <w:textAlignment w:val="baseline"/>
              <w:rPr>
                <w:rFonts w:cs="Arial"/>
                <w:sz w:val="18"/>
                <w:szCs w:val="20"/>
              </w:rPr>
            </w:pPr>
            <w:r>
              <w:tab/>
            </w:r>
            <w:r>
              <w:rPr>
                <w:sz w:val="18"/>
              </w:rPr>
              <w:t>Numero di pompe di sentina</w:t>
            </w:r>
            <w:r>
              <w:tab/>
            </w:r>
            <w:r>
              <w:tab/>
            </w:r>
            <w:r>
              <w:rPr>
                <w:sz w:val="18"/>
              </w:rPr>
              <w:t>, di cui a motore</w:t>
            </w:r>
            <w:r>
              <w:tab/>
            </w:r>
            <w:r>
              <w:rPr>
                <w:rFonts w:cs="Arial"/>
                <w:sz w:val="18"/>
                <w:szCs w:val="20"/>
              </w:rPr>
              <w:br/>
            </w:r>
            <w:r>
              <w:rPr>
                <w:sz w:val="18"/>
              </w:rPr>
              <w:t>Portata minima</w:t>
            </w:r>
            <w:r>
              <w:tab/>
            </w:r>
            <w:r>
              <w:rPr>
                <w:sz w:val="18"/>
              </w:rPr>
              <w:t>prima pompa di sentina</w:t>
            </w:r>
            <w:r>
              <w:tab/>
            </w:r>
            <w:r>
              <w:rPr>
                <w:sz w:val="18"/>
              </w:rPr>
              <w:t xml:space="preserve"> l/min</w:t>
            </w:r>
            <w:r>
              <w:rPr>
                <w:rFonts w:cs="Arial"/>
                <w:sz w:val="18"/>
                <w:szCs w:val="20"/>
              </w:rPr>
              <w:br/>
            </w:r>
            <w:r>
              <w:tab/>
            </w:r>
            <w:r>
              <w:rPr>
                <w:sz w:val="18"/>
              </w:rPr>
              <w:t>seconda pompa di sentina</w:t>
            </w:r>
            <w:r>
              <w:tab/>
            </w:r>
            <w:r>
              <w:rPr>
                <w:sz w:val="18"/>
              </w:rPr>
              <w:t xml:space="preserve"> l/min</w:t>
            </w:r>
          </w:p>
        </w:tc>
      </w:tr>
      <w:tr w:rsidR="009C13A9" w:rsidRPr="00C903F8" w:rsidTr="009C13A9">
        <w:trPr>
          <w:cantSplit/>
          <w:jc w:val="center"/>
        </w:trPr>
        <w:tc>
          <w:tcPr>
            <w:tcW w:w="284" w:type="dxa"/>
            <w:tcBorders>
              <w:left w:val="single" w:sz="6" w:space="0" w:color="auto"/>
              <w:bottom w:val="single" w:sz="6" w:space="0" w:color="auto"/>
            </w:tcBorders>
          </w:tcPr>
          <w:p w:rsidR="009C13A9" w:rsidRPr="00C903F8" w:rsidRDefault="009C13A9" w:rsidP="009C13A9">
            <w:pPr>
              <w:tabs>
                <w:tab w:val="left" w:pos="57"/>
              </w:tabs>
              <w:overflowPunct w:val="0"/>
              <w:adjustRightInd w:val="0"/>
              <w:spacing w:before="80"/>
              <w:ind w:left="0" w:firstLine="0"/>
              <w:jc w:val="left"/>
              <w:textAlignment w:val="baseline"/>
              <w:rPr>
                <w:rFonts w:cs="Arial"/>
                <w:sz w:val="18"/>
                <w:szCs w:val="20"/>
              </w:rPr>
            </w:pPr>
            <w:r>
              <w:tab/>
            </w:r>
            <w:r>
              <w:rPr>
                <w:sz w:val="18"/>
              </w:rPr>
              <w:t>*)</w:t>
            </w:r>
            <w:r>
              <w:rPr>
                <w:rFonts w:cs="Arial"/>
                <w:sz w:val="18"/>
                <w:szCs w:val="20"/>
              </w:rPr>
              <w:br/>
            </w:r>
            <w:r>
              <w:rPr>
                <w:rFonts w:cs="Arial"/>
                <w:sz w:val="18"/>
                <w:szCs w:val="20"/>
              </w:rPr>
              <w:br/>
            </w:r>
          </w:p>
          <w:p w:rsidR="009C13A9" w:rsidRPr="00C903F8" w:rsidRDefault="009C13A9" w:rsidP="009C13A9">
            <w:pPr>
              <w:tabs>
                <w:tab w:val="left" w:pos="57"/>
              </w:tabs>
              <w:overflowPunct w:val="0"/>
              <w:adjustRightInd w:val="0"/>
              <w:spacing w:before="80"/>
              <w:ind w:left="0" w:firstLine="0"/>
              <w:jc w:val="left"/>
              <w:textAlignment w:val="baseline"/>
              <w:rPr>
                <w:rFonts w:cs="Arial"/>
                <w:sz w:val="18"/>
                <w:szCs w:val="20"/>
              </w:rPr>
            </w:pPr>
          </w:p>
          <w:p w:rsidR="009C13A9" w:rsidRPr="00C903F8" w:rsidRDefault="009C13A9" w:rsidP="009C13A9">
            <w:pPr>
              <w:tabs>
                <w:tab w:val="left" w:pos="57"/>
              </w:tabs>
              <w:overflowPunct w:val="0"/>
              <w:adjustRightInd w:val="0"/>
              <w:spacing w:before="160"/>
              <w:ind w:left="0" w:firstLine="0"/>
              <w:jc w:val="left"/>
              <w:textAlignment w:val="baseline"/>
              <w:rPr>
                <w:rFonts w:cs="Arial"/>
                <w:sz w:val="18"/>
                <w:szCs w:val="20"/>
              </w:rPr>
            </w:pPr>
            <w:r>
              <w:tab/>
            </w:r>
            <w:r>
              <w:rPr>
                <w:sz w:val="18"/>
              </w:rPr>
              <w:t>*)</w:t>
            </w:r>
          </w:p>
        </w:tc>
        <w:tc>
          <w:tcPr>
            <w:tcW w:w="8905" w:type="dxa"/>
            <w:gridSpan w:val="6"/>
            <w:tcBorders>
              <w:bottom w:val="single" w:sz="6" w:space="0" w:color="auto"/>
              <w:right w:val="single" w:sz="6" w:space="0" w:color="auto"/>
            </w:tcBorders>
          </w:tcPr>
          <w:p w:rsidR="009C13A9" w:rsidRPr="00C903F8" w:rsidRDefault="009C13A9" w:rsidP="009C13A9">
            <w:pPr>
              <w:tabs>
                <w:tab w:val="left" w:pos="57"/>
                <w:tab w:val="left" w:leader="dot" w:pos="3686"/>
              </w:tabs>
              <w:overflowPunct w:val="0"/>
              <w:adjustRightInd w:val="0"/>
              <w:spacing w:before="80" w:after="80"/>
              <w:ind w:left="57" w:right="57" w:firstLine="0"/>
              <w:jc w:val="left"/>
              <w:textAlignment w:val="baseline"/>
              <w:rPr>
                <w:rFonts w:cs="Arial"/>
                <w:sz w:val="18"/>
                <w:szCs w:val="20"/>
              </w:rPr>
            </w:pPr>
            <w:r>
              <w:rPr>
                <w:noProof/>
                <w:sz w:val="18"/>
              </w:rPr>
              <w:t>La presente pagina è stata sostituita.: ....................</w:t>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rPr>
                <w:noProof/>
                <w:sz w:val="18"/>
              </w:rPr>
              <w:t xml:space="preserve">Nuova formulazione: </w:t>
            </w:r>
            <w:r>
              <w:tab/>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tab/>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tab/>
            </w:r>
          </w:p>
          <w:p w:rsidR="009C13A9" w:rsidRPr="00C903F8" w:rsidRDefault="009C13A9" w:rsidP="009C13A9">
            <w:pPr>
              <w:tabs>
                <w:tab w:val="left" w:leader="dot" w:pos="4536"/>
                <w:tab w:val="center" w:pos="6862"/>
              </w:tabs>
              <w:overflowPunct w:val="0"/>
              <w:adjustRightInd w:val="0"/>
              <w:spacing w:after="80"/>
              <w:ind w:left="57" w:right="57" w:firstLine="0"/>
              <w:textAlignment w:val="baseline"/>
              <w:rPr>
                <w:rFonts w:cs="Arial"/>
                <w:sz w:val="18"/>
                <w:szCs w:val="20"/>
              </w:rPr>
            </w:pPr>
            <w:r>
              <w:rPr>
                <w:sz w:val="18"/>
              </w:rPr>
              <w:t>La presente pagina è stata sostituita.</w:t>
            </w:r>
          </w:p>
          <w:p w:rsidR="009C13A9" w:rsidRPr="00C903F8" w:rsidRDefault="009C13A9" w:rsidP="009C13A9">
            <w:pPr>
              <w:tabs>
                <w:tab w:val="left" w:leader="dot" w:pos="4536"/>
                <w:tab w:val="center" w:pos="6862"/>
              </w:tabs>
              <w:overflowPunct w:val="0"/>
              <w:adjustRightInd w:val="0"/>
              <w:spacing w:after="80"/>
              <w:ind w:left="57" w:right="57" w:firstLine="0"/>
              <w:textAlignment w:val="baseline"/>
              <w:rPr>
                <w:rFonts w:cs="Arial"/>
                <w:sz w:val="18"/>
                <w:szCs w:val="20"/>
              </w:rPr>
            </w:pPr>
            <w:r>
              <w:rPr>
                <w:sz w:val="18"/>
              </w:rPr>
              <w:t xml:space="preserve">Luogo, data </w:t>
            </w:r>
            <w:r>
              <w:tab/>
            </w:r>
            <w:r>
              <w:tab/>
            </w:r>
            <w:r>
              <w:rPr>
                <w:sz w:val="18"/>
              </w:rPr>
              <w:t>Commissione di ispezione</w:t>
            </w:r>
          </w:p>
          <w:p w:rsidR="009C13A9" w:rsidRPr="00C903F8" w:rsidRDefault="009C13A9" w:rsidP="009C13A9">
            <w:pPr>
              <w:tabs>
                <w:tab w:val="left" w:pos="5103"/>
                <w:tab w:val="left" w:leader="dot" w:pos="8505"/>
              </w:tabs>
              <w:overflowPunct w:val="0"/>
              <w:adjustRightInd w:val="0"/>
              <w:ind w:left="0" w:firstLine="0"/>
              <w:textAlignment w:val="baseline"/>
              <w:rPr>
                <w:rFonts w:cs="Arial"/>
                <w:sz w:val="18"/>
                <w:szCs w:val="20"/>
              </w:rPr>
            </w:pPr>
            <w:r>
              <w:tab/>
            </w:r>
            <w:r>
              <w:tab/>
            </w:r>
          </w:p>
          <w:p w:rsidR="009C13A9" w:rsidRPr="00C903F8" w:rsidRDefault="009C13A9" w:rsidP="009C13A9">
            <w:pPr>
              <w:tabs>
                <w:tab w:val="center" w:pos="1701"/>
              </w:tabs>
              <w:overflowPunct w:val="0"/>
              <w:adjustRightInd w:val="0"/>
              <w:spacing w:after="80"/>
              <w:ind w:left="0" w:firstLine="0"/>
              <w:textAlignment w:val="baseline"/>
              <w:rPr>
                <w:rFonts w:cs="Arial"/>
                <w:sz w:val="18"/>
                <w:szCs w:val="20"/>
              </w:rPr>
            </w:pPr>
            <w:r>
              <w:tab/>
            </w:r>
            <w:r>
              <w:rPr>
                <w:sz w:val="18"/>
              </w:rPr>
              <w:t>Timbro</w:t>
            </w:r>
          </w:p>
          <w:p w:rsidR="009C13A9" w:rsidRPr="00C903F8" w:rsidRDefault="009C13A9" w:rsidP="009C13A9">
            <w:pPr>
              <w:tabs>
                <w:tab w:val="left" w:pos="5103"/>
                <w:tab w:val="left" w:leader="dot" w:pos="8505"/>
              </w:tabs>
              <w:overflowPunct w:val="0"/>
              <w:adjustRightInd w:val="0"/>
              <w:ind w:left="0" w:firstLine="0"/>
              <w:textAlignment w:val="baseline"/>
              <w:rPr>
                <w:rFonts w:cs="Arial"/>
                <w:szCs w:val="20"/>
              </w:rPr>
            </w:pPr>
            <w:r>
              <w:tab/>
            </w:r>
            <w:r>
              <w:tab/>
            </w:r>
          </w:p>
          <w:p w:rsidR="009C13A9" w:rsidRPr="00C903F8" w:rsidRDefault="009C13A9" w:rsidP="009C13A9">
            <w:pPr>
              <w:tabs>
                <w:tab w:val="center" w:pos="6862"/>
              </w:tabs>
              <w:overflowPunct w:val="0"/>
              <w:adjustRightInd w:val="0"/>
              <w:ind w:left="0" w:firstLine="0"/>
              <w:textAlignment w:val="baseline"/>
              <w:rPr>
                <w:rFonts w:cs="Arial"/>
                <w:sz w:val="16"/>
                <w:szCs w:val="20"/>
              </w:rPr>
            </w:pPr>
            <w:r>
              <w:tab/>
            </w:r>
            <w:r>
              <w:rPr>
                <w:sz w:val="16"/>
              </w:rPr>
              <w:t>(firma)</w:t>
            </w:r>
          </w:p>
          <w:p w:rsidR="009C13A9" w:rsidRPr="00C903F8" w:rsidRDefault="009C13A9" w:rsidP="009C13A9">
            <w:pPr>
              <w:tabs>
                <w:tab w:val="left" w:pos="113"/>
                <w:tab w:val="left" w:pos="397"/>
                <w:tab w:val="left" w:pos="6237"/>
                <w:tab w:val="left" w:leader="dot" w:pos="9356"/>
              </w:tabs>
              <w:overflowPunct w:val="0"/>
              <w:adjustRightInd w:val="0"/>
              <w:ind w:left="0" w:firstLine="0"/>
              <w:textAlignment w:val="baseline"/>
              <w:rPr>
                <w:rFonts w:cs="Arial"/>
                <w:sz w:val="16"/>
                <w:szCs w:val="20"/>
              </w:rPr>
            </w:pPr>
            <w:r>
              <w:rPr>
                <w:sz w:val="18"/>
              </w:rPr>
              <w:t>_______________________</w:t>
            </w:r>
          </w:p>
          <w:p w:rsidR="009C13A9" w:rsidRPr="00C903F8" w:rsidRDefault="009C13A9" w:rsidP="009C13A9">
            <w:pPr>
              <w:tabs>
                <w:tab w:val="left" w:pos="284"/>
              </w:tabs>
              <w:overflowPunct w:val="0"/>
              <w:adjustRightInd w:val="0"/>
              <w:spacing w:after="40"/>
              <w:ind w:left="57" w:firstLine="0"/>
              <w:jc w:val="left"/>
              <w:textAlignment w:val="baseline"/>
              <w:rPr>
                <w:rFonts w:cs="Arial"/>
                <w:sz w:val="18"/>
                <w:szCs w:val="20"/>
              </w:rPr>
            </w:pPr>
            <w:r>
              <w:rPr>
                <w:position w:val="4"/>
                <w:sz w:val="16"/>
              </w:rPr>
              <w:t>*)</w:t>
            </w:r>
            <w:r>
              <w:tab/>
            </w:r>
            <w:r>
              <w:rPr>
                <w:sz w:val="16"/>
              </w:rPr>
              <w:t>Cancellare le voci non pertinenti.</w:t>
            </w:r>
          </w:p>
        </w:tc>
      </w:tr>
    </w:tbl>
    <w:p w:rsidR="009C13A9" w:rsidRPr="00C903F8" w:rsidRDefault="009C13A9" w:rsidP="00AA5614">
      <w:pPr>
        <w:tabs>
          <w:tab w:val="left" w:leader="dot" w:pos="2835"/>
          <w:tab w:val="left" w:leader="dot" w:pos="5103"/>
        </w:tabs>
        <w:overflowPunct w:val="0"/>
        <w:adjustRightInd w:val="0"/>
        <w:ind w:left="0" w:firstLine="0"/>
        <w:jc w:val="left"/>
        <w:textAlignment w:val="baseline"/>
        <w:rPr>
          <w:rFonts w:cs="Arial"/>
          <w:szCs w:val="20"/>
        </w:rPr>
      </w:pPr>
      <w:r>
        <w:br w:type="page"/>
      </w:r>
      <w:r>
        <w:lastRenderedPageBreak/>
        <w:t xml:space="preserve">certificato per la navigazione interna n. </w:t>
      </w:r>
      <w:r>
        <w:tab/>
        <w:t xml:space="preserve"> della commissione di ispezione </w:t>
      </w:r>
      <w:r>
        <w:tab/>
      </w:r>
    </w:p>
    <w:tbl>
      <w:tblPr>
        <w:tblW w:w="9189" w:type="dxa"/>
        <w:jc w:val="center"/>
        <w:tblLayout w:type="fixed"/>
        <w:tblCellMar>
          <w:left w:w="0" w:type="dxa"/>
          <w:right w:w="0" w:type="dxa"/>
        </w:tblCellMar>
        <w:tblLook w:val="0000" w:firstRow="0" w:lastRow="0" w:firstColumn="0" w:lastColumn="0" w:noHBand="0" w:noVBand="0"/>
      </w:tblPr>
      <w:tblGrid>
        <w:gridCol w:w="284"/>
        <w:gridCol w:w="2014"/>
        <w:gridCol w:w="2297"/>
        <w:gridCol w:w="2297"/>
        <w:gridCol w:w="26"/>
        <w:gridCol w:w="2271"/>
      </w:tblGrid>
      <w:tr w:rsidR="009C13A9" w:rsidRPr="00A0619C"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r>
              <w:rPr>
                <w:sz w:val="18"/>
              </w:rPr>
              <w:t>36.</w:t>
            </w:r>
          </w:p>
        </w:tc>
        <w:tc>
          <w:tcPr>
            <w:tcW w:w="8905" w:type="dxa"/>
            <w:gridSpan w:val="5"/>
            <w:tcBorders>
              <w:top w:val="single" w:sz="6" w:space="0" w:color="auto"/>
              <w:bottom w:val="single" w:sz="6" w:space="0" w:color="auto"/>
              <w:right w:val="single" w:sz="6" w:space="0" w:color="auto"/>
            </w:tcBorders>
          </w:tcPr>
          <w:p w:rsidR="009C13A9" w:rsidRPr="00C903F8" w:rsidRDefault="009C13A9" w:rsidP="009C13A9">
            <w:pPr>
              <w:tabs>
                <w:tab w:val="left" w:pos="57"/>
                <w:tab w:val="left" w:pos="340"/>
                <w:tab w:val="left" w:leader="dot" w:pos="5103"/>
                <w:tab w:val="left" w:leader="dot" w:pos="8505"/>
              </w:tabs>
              <w:overflowPunct w:val="0"/>
              <w:adjustRightInd w:val="0"/>
              <w:spacing w:before="120"/>
              <w:ind w:left="57" w:firstLine="0"/>
              <w:jc w:val="left"/>
              <w:textAlignment w:val="baseline"/>
              <w:rPr>
                <w:rFonts w:cs="Arial"/>
                <w:sz w:val="18"/>
                <w:szCs w:val="20"/>
              </w:rPr>
            </w:pPr>
            <w:r>
              <w:rPr>
                <w:noProof/>
                <w:sz w:val="18"/>
              </w:rPr>
              <w:t>Numero e posizione dei dispositivi di chiusura di cui all'articolo 8.08, paragrafi 10 e 11</w:t>
            </w:r>
            <w:r>
              <w:rPr>
                <w:rFonts w:cs="Arial"/>
                <w:noProof/>
                <w:sz w:val="18"/>
                <w:szCs w:val="18"/>
              </w:rPr>
              <w:br/>
            </w:r>
            <w:r>
              <w:rPr>
                <w:rFonts w:cs="Arial"/>
                <w:noProof/>
                <w:sz w:val="18"/>
                <w:szCs w:val="18"/>
              </w:rPr>
              <w:br/>
            </w:r>
            <w:r>
              <w:rPr>
                <w:rFonts w:cs="Arial"/>
                <w:noProof/>
                <w:sz w:val="18"/>
                <w:szCs w:val="18"/>
              </w:rPr>
              <w:br/>
            </w:r>
            <w:r>
              <w:rPr>
                <w:rFonts w:cs="Arial"/>
                <w:noProof/>
                <w:sz w:val="18"/>
                <w:szCs w:val="18"/>
              </w:rPr>
              <w:br/>
            </w:r>
            <w:r>
              <w:rPr>
                <w:rFonts w:cs="Arial"/>
                <w:noProof/>
                <w:sz w:val="18"/>
                <w:szCs w:val="18"/>
              </w:rPr>
              <w:br/>
            </w:r>
            <w:r>
              <w:rPr>
                <w:rFonts w:cs="Arial"/>
                <w:noProof/>
                <w:sz w:val="18"/>
                <w:szCs w:val="18"/>
              </w:rPr>
              <w:br/>
            </w:r>
            <w:r>
              <w:rPr>
                <w:rFonts w:cs="Arial"/>
                <w:noProof/>
                <w:sz w:val="18"/>
                <w:szCs w:val="18"/>
              </w:rPr>
              <w:br/>
            </w:r>
            <w:r>
              <w:rPr>
                <w:rFonts w:cs="Arial"/>
                <w:noProof/>
                <w:sz w:val="18"/>
                <w:szCs w:val="18"/>
              </w:rPr>
              <w:br/>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rPr>
                <w:sz w:val="18"/>
              </w:rPr>
              <w:t>37.</w:t>
            </w:r>
          </w:p>
        </w:tc>
        <w:tc>
          <w:tcPr>
            <w:tcW w:w="2014" w:type="dxa"/>
          </w:tcPr>
          <w:p w:rsidR="009C13A9" w:rsidRPr="00C903F8" w:rsidRDefault="009C13A9" w:rsidP="009C13A9">
            <w:pPr>
              <w:tabs>
                <w:tab w:val="left" w:pos="57"/>
              </w:tabs>
              <w:overflowPunct w:val="0"/>
              <w:adjustRightInd w:val="0"/>
              <w:ind w:left="57" w:firstLine="0"/>
              <w:jc w:val="left"/>
              <w:textAlignment w:val="baseline"/>
              <w:rPr>
                <w:rFonts w:cs="Arial"/>
                <w:sz w:val="18"/>
                <w:szCs w:val="20"/>
              </w:rPr>
            </w:pPr>
            <w:r>
              <w:rPr>
                <w:sz w:val="18"/>
              </w:rPr>
              <w:t>Ancore</w:t>
            </w:r>
          </w:p>
        </w:tc>
        <w:tc>
          <w:tcPr>
            <w:tcW w:w="2297" w:type="dxa"/>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p>
        </w:tc>
        <w:tc>
          <w:tcPr>
            <w:tcW w:w="2297" w:type="dxa"/>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p>
        </w:tc>
        <w:tc>
          <w:tcPr>
            <w:tcW w:w="2297" w:type="dxa"/>
            <w:gridSpan w:val="2"/>
            <w:tcBorders>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p>
        </w:tc>
      </w:tr>
      <w:tr w:rsidR="009C13A9" w:rsidRPr="00A0619C"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p>
        </w:tc>
        <w:tc>
          <w:tcPr>
            <w:tcW w:w="2014" w:type="dxa"/>
          </w:tcPr>
          <w:p w:rsidR="009C13A9" w:rsidRPr="00C903F8" w:rsidRDefault="009C13A9" w:rsidP="009C13A9">
            <w:pPr>
              <w:widowControl w:val="0"/>
              <w:tabs>
                <w:tab w:val="left" w:pos="57"/>
              </w:tabs>
              <w:spacing w:before="80" w:after="80"/>
              <w:jc w:val="left"/>
              <w:rPr>
                <w:noProof/>
                <w:sz w:val="18"/>
                <w:szCs w:val="20"/>
              </w:rPr>
            </w:pPr>
            <w:r>
              <w:tab/>
            </w:r>
            <w:r>
              <w:rPr>
                <w:noProof/>
                <w:sz w:val="18"/>
              </w:rPr>
              <w:t>Numero di ancore di prua</w:t>
            </w:r>
          </w:p>
        </w:tc>
        <w:tc>
          <w:tcPr>
            <w:tcW w:w="2297" w:type="dxa"/>
            <w:tcBorders>
              <w:left w:val="single" w:sz="6" w:space="0" w:color="auto"/>
              <w:right w:val="single" w:sz="6" w:space="0" w:color="auto"/>
            </w:tcBorders>
          </w:tcPr>
          <w:p w:rsidR="009C13A9" w:rsidRPr="00C903F8" w:rsidRDefault="009C13A9" w:rsidP="009C13A9">
            <w:pPr>
              <w:widowControl w:val="0"/>
              <w:tabs>
                <w:tab w:val="left" w:pos="57"/>
                <w:tab w:val="left" w:pos="340"/>
              </w:tabs>
              <w:spacing w:before="80" w:after="80"/>
              <w:jc w:val="left"/>
              <w:rPr>
                <w:noProof/>
                <w:sz w:val="18"/>
                <w:szCs w:val="20"/>
              </w:rPr>
            </w:pPr>
            <w:r>
              <w:tab/>
            </w:r>
            <w:r>
              <w:rPr>
                <w:noProof/>
                <w:sz w:val="18"/>
              </w:rPr>
              <w:t>Massa totale delle ancore di prua</w:t>
            </w:r>
          </w:p>
        </w:tc>
        <w:tc>
          <w:tcPr>
            <w:tcW w:w="2297" w:type="dxa"/>
            <w:tcBorders>
              <w:left w:val="single" w:sz="6" w:space="0" w:color="auto"/>
              <w:right w:val="single" w:sz="6" w:space="0" w:color="auto"/>
            </w:tcBorders>
          </w:tcPr>
          <w:p w:rsidR="009C13A9" w:rsidRPr="00C903F8" w:rsidRDefault="009C13A9" w:rsidP="009C13A9">
            <w:pPr>
              <w:widowControl w:val="0"/>
              <w:tabs>
                <w:tab w:val="left" w:pos="57"/>
                <w:tab w:val="left" w:pos="340"/>
              </w:tabs>
              <w:spacing w:before="80" w:after="80"/>
              <w:jc w:val="left"/>
              <w:rPr>
                <w:noProof/>
                <w:sz w:val="18"/>
                <w:szCs w:val="20"/>
              </w:rPr>
            </w:pPr>
            <w:r>
              <w:tab/>
            </w:r>
            <w:r>
              <w:rPr>
                <w:noProof/>
                <w:sz w:val="18"/>
              </w:rPr>
              <w:t>Numero di ancore di poppa</w:t>
            </w:r>
          </w:p>
        </w:tc>
        <w:tc>
          <w:tcPr>
            <w:tcW w:w="2297" w:type="dxa"/>
            <w:gridSpan w:val="2"/>
            <w:tcBorders>
              <w:left w:val="single" w:sz="6" w:space="0" w:color="auto"/>
              <w:right w:val="single" w:sz="6" w:space="0" w:color="auto"/>
            </w:tcBorders>
          </w:tcPr>
          <w:p w:rsidR="009C13A9" w:rsidRPr="00C903F8" w:rsidRDefault="009C13A9" w:rsidP="009C13A9">
            <w:pPr>
              <w:widowControl w:val="0"/>
              <w:tabs>
                <w:tab w:val="left" w:pos="57"/>
                <w:tab w:val="left" w:pos="340"/>
              </w:tabs>
              <w:spacing w:before="80" w:after="80"/>
              <w:jc w:val="left"/>
              <w:rPr>
                <w:noProof/>
                <w:sz w:val="18"/>
                <w:szCs w:val="20"/>
              </w:rPr>
            </w:pPr>
            <w:r>
              <w:tab/>
            </w:r>
            <w:r>
              <w:rPr>
                <w:noProof/>
                <w:sz w:val="18"/>
              </w:rPr>
              <w:t>Massa totale delle ancore di poppa</w:t>
            </w:r>
          </w:p>
        </w:tc>
      </w:tr>
      <w:tr w:rsidR="009C13A9" w:rsidRPr="00C903F8" w:rsidTr="009C13A9">
        <w:trPr>
          <w:cantSplit/>
          <w:jc w:val="center"/>
        </w:trPr>
        <w:tc>
          <w:tcPr>
            <w:tcW w:w="284" w:type="dxa"/>
            <w:tcBorders>
              <w:left w:val="single" w:sz="6" w:space="0" w:color="auto"/>
              <w:bottom w:val="single" w:sz="6" w:space="0" w:color="auto"/>
            </w:tcBorders>
          </w:tcPr>
          <w:p w:rsidR="009C13A9" w:rsidRPr="00C903F8" w:rsidRDefault="009C13A9" w:rsidP="009C13A9">
            <w:pPr>
              <w:tabs>
                <w:tab w:val="left" w:pos="57"/>
              </w:tabs>
              <w:overflowPunct w:val="0"/>
              <w:adjustRightInd w:val="0"/>
              <w:spacing w:after="120"/>
              <w:ind w:left="0" w:firstLine="0"/>
              <w:jc w:val="left"/>
              <w:textAlignment w:val="baseline"/>
              <w:rPr>
                <w:rFonts w:cs="Arial"/>
                <w:sz w:val="18"/>
                <w:szCs w:val="20"/>
              </w:rPr>
            </w:pPr>
          </w:p>
        </w:tc>
        <w:tc>
          <w:tcPr>
            <w:tcW w:w="2014" w:type="dxa"/>
            <w:tcBorders>
              <w:bottom w:val="single" w:sz="6" w:space="0" w:color="auto"/>
            </w:tcBorders>
          </w:tcPr>
          <w:p w:rsidR="009C13A9" w:rsidRPr="00C903F8" w:rsidRDefault="009C13A9" w:rsidP="009C13A9">
            <w:pPr>
              <w:tabs>
                <w:tab w:val="left" w:pos="57"/>
                <w:tab w:val="left" w:leader="dot" w:pos="1701"/>
              </w:tabs>
              <w:overflowPunct w:val="0"/>
              <w:adjustRightInd w:val="0"/>
              <w:spacing w:after="120"/>
              <w:ind w:left="0" w:firstLine="0"/>
              <w:jc w:val="left"/>
              <w:textAlignment w:val="baseline"/>
              <w:rPr>
                <w:rFonts w:cs="Arial"/>
                <w:sz w:val="18"/>
                <w:szCs w:val="20"/>
              </w:rPr>
            </w:pPr>
            <w:r>
              <w:tab/>
            </w:r>
            <w:r>
              <w:tab/>
            </w:r>
          </w:p>
        </w:tc>
        <w:tc>
          <w:tcPr>
            <w:tcW w:w="2297" w:type="dxa"/>
            <w:tcBorders>
              <w:bottom w:val="single" w:sz="6" w:space="0" w:color="auto"/>
            </w:tcBorders>
          </w:tcPr>
          <w:p w:rsidR="009C13A9" w:rsidRPr="00C903F8" w:rsidRDefault="009C13A9" w:rsidP="009C13A9">
            <w:pPr>
              <w:tabs>
                <w:tab w:val="left" w:pos="57"/>
                <w:tab w:val="left" w:leader="dot" w:pos="1814"/>
              </w:tabs>
              <w:overflowPunct w:val="0"/>
              <w:adjustRightInd w:val="0"/>
              <w:spacing w:after="120"/>
              <w:ind w:left="0" w:firstLine="0"/>
              <w:jc w:val="left"/>
              <w:textAlignment w:val="baseline"/>
              <w:rPr>
                <w:rFonts w:cs="Arial"/>
                <w:sz w:val="18"/>
                <w:szCs w:val="20"/>
              </w:rPr>
            </w:pPr>
            <w:r>
              <w:tab/>
            </w:r>
            <w:r>
              <w:tab/>
            </w:r>
            <w:r>
              <w:rPr>
                <w:sz w:val="18"/>
              </w:rPr>
              <w:t xml:space="preserve"> kg </w:t>
            </w:r>
          </w:p>
        </w:tc>
        <w:tc>
          <w:tcPr>
            <w:tcW w:w="2297" w:type="dxa"/>
            <w:tcBorders>
              <w:left w:val="single" w:sz="6" w:space="0" w:color="auto"/>
              <w:bottom w:val="single" w:sz="6" w:space="0" w:color="auto"/>
            </w:tcBorders>
          </w:tcPr>
          <w:p w:rsidR="009C13A9" w:rsidRPr="00C903F8" w:rsidRDefault="009C13A9" w:rsidP="009C13A9">
            <w:pPr>
              <w:tabs>
                <w:tab w:val="left" w:pos="57"/>
                <w:tab w:val="left" w:leader="dot" w:pos="1814"/>
              </w:tabs>
              <w:overflowPunct w:val="0"/>
              <w:adjustRightInd w:val="0"/>
              <w:spacing w:after="120"/>
              <w:ind w:left="0" w:firstLine="0"/>
              <w:jc w:val="left"/>
              <w:textAlignment w:val="baseline"/>
              <w:rPr>
                <w:rFonts w:cs="Arial"/>
                <w:sz w:val="18"/>
                <w:szCs w:val="20"/>
              </w:rPr>
            </w:pPr>
            <w:r>
              <w:tab/>
            </w:r>
            <w:r>
              <w:tab/>
            </w:r>
          </w:p>
        </w:tc>
        <w:tc>
          <w:tcPr>
            <w:tcW w:w="2297" w:type="dxa"/>
            <w:gridSpan w:val="2"/>
            <w:tcBorders>
              <w:bottom w:val="single" w:sz="6" w:space="0" w:color="auto"/>
              <w:right w:val="single" w:sz="6" w:space="0" w:color="auto"/>
            </w:tcBorders>
          </w:tcPr>
          <w:p w:rsidR="009C13A9" w:rsidRPr="00C903F8" w:rsidRDefault="009C13A9" w:rsidP="009C13A9">
            <w:pPr>
              <w:tabs>
                <w:tab w:val="left" w:pos="57"/>
                <w:tab w:val="left" w:leader="dot" w:pos="1814"/>
              </w:tabs>
              <w:overflowPunct w:val="0"/>
              <w:adjustRightInd w:val="0"/>
              <w:spacing w:after="120"/>
              <w:ind w:left="0" w:firstLine="0"/>
              <w:jc w:val="left"/>
              <w:textAlignment w:val="baseline"/>
              <w:rPr>
                <w:rFonts w:cs="Arial"/>
                <w:sz w:val="18"/>
                <w:szCs w:val="20"/>
              </w:rPr>
            </w:pPr>
            <w:r>
              <w:tab/>
            </w:r>
            <w:r>
              <w:tab/>
            </w:r>
            <w:r>
              <w:rPr>
                <w:sz w:val="18"/>
              </w:rPr>
              <w:t xml:space="preserve"> kg</w:t>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rPr>
                <w:sz w:val="18"/>
              </w:rPr>
              <w:t>38.</w:t>
            </w:r>
          </w:p>
        </w:tc>
        <w:tc>
          <w:tcPr>
            <w:tcW w:w="2014" w:type="dxa"/>
          </w:tcPr>
          <w:p w:rsidR="009C13A9" w:rsidRPr="00C903F8" w:rsidRDefault="009C13A9" w:rsidP="009C13A9">
            <w:pPr>
              <w:tabs>
                <w:tab w:val="left" w:pos="57"/>
              </w:tabs>
              <w:overflowPunct w:val="0"/>
              <w:adjustRightInd w:val="0"/>
              <w:ind w:left="57" w:firstLine="0"/>
              <w:jc w:val="left"/>
              <w:textAlignment w:val="baseline"/>
              <w:rPr>
                <w:rFonts w:cs="Arial"/>
                <w:sz w:val="18"/>
                <w:szCs w:val="20"/>
              </w:rPr>
            </w:pPr>
            <w:r>
              <w:rPr>
                <w:sz w:val="18"/>
              </w:rPr>
              <w:t>Catene per ancore</w:t>
            </w:r>
          </w:p>
        </w:tc>
        <w:tc>
          <w:tcPr>
            <w:tcW w:w="2297" w:type="dxa"/>
          </w:tcPr>
          <w:p w:rsidR="009C13A9" w:rsidRPr="00C903F8" w:rsidRDefault="009C13A9" w:rsidP="009C13A9">
            <w:pPr>
              <w:tabs>
                <w:tab w:val="left" w:pos="57"/>
                <w:tab w:val="left" w:pos="340"/>
              </w:tabs>
              <w:overflowPunct w:val="0"/>
              <w:adjustRightInd w:val="0"/>
              <w:ind w:left="57" w:firstLine="0"/>
              <w:jc w:val="left"/>
              <w:textAlignment w:val="baseline"/>
              <w:rPr>
                <w:rFonts w:cs="Arial"/>
                <w:sz w:val="18"/>
                <w:szCs w:val="20"/>
              </w:rPr>
            </w:pPr>
          </w:p>
        </w:tc>
        <w:tc>
          <w:tcPr>
            <w:tcW w:w="2297" w:type="dxa"/>
          </w:tcPr>
          <w:p w:rsidR="009C13A9" w:rsidRPr="00C903F8" w:rsidRDefault="009C13A9" w:rsidP="009C13A9">
            <w:pPr>
              <w:tabs>
                <w:tab w:val="left" w:pos="57"/>
                <w:tab w:val="left" w:pos="340"/>
              </w:tabs>
              <w:overflowPunct w:val="0"/>
              <w:adjustRightInd w:val="0"/>
              <w:ind w:left="57" w:firstLine="0"/>
              <w:jc w:val="left"/>
              <w:textAlignment w:val="baseline"/>
              <w:rPr>
                <w:rFonts w:cs="Arial"/>
                <w:sz w:val="18"/>
                <w:szCs w:val="20"/>
              </w:rPr>
            </w:pPr>
          </w:p>
        </w:tc>
        <w:tc>
          <w:tcPr>
            <w:tcW w:w="2297" w:type="dxa"/>
            <w:gridSpan w:val="2"/>
            <w:tcBorders>
              <w:top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p>
        </w:tc>
      </w:tr>
      <w:tr w:rsidR="009C13A9" w:rsidRPr="00A0619C"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p>
        </w:tc>
        <w:tc>
          <w:tcPr>
            <w:tcW w:w="2014" w:type="dxa"/>
          </w:tcPr>
          <w:p w:rsidR="009C13A9" w:rsidRPr="00C903F8" w:rsidRDefault="009C13A9" w:rsidP="009C13A9">
            <w:pPr>
              <w:tabs>
                <w:tab w:val="left" w:pos="57"/>
              </w:tabs>
              <w:overflowPunct w:val="0"/>
              <w:adjustRightInd w:val="0"/>
              <w:ind w:left="57" w:firstLine="0"/>
              <w:jc w:val="left"/>
              <w:textAlignment w:val="baseline"/>
              <w:rPr>
                <w:rFonts w:cs="Arial"/>
                <w:sz w:val="18"/>
                <w:szCs w:val="20"/>
              </w:rPr>
            </w:pPr>
            <w:r>
              <w:rPr>
                <w:sz w:val="18"/>
              </w:rPr>
              <w:t>Numero di catene a prua</w:t>
            </w:r>
            <w:r>
              <w:rPr>
                <w:rFonts w:cs="Arial"/>
                <w:sz w:val="18"/>
                <w:szCs w:val="20"/>
              </w:rPr>
              <w:br/>
            </w:r>
          </w:p>
        </w:tc>
        <w:tc>
          <w:tcPr>
            <w:tcW w:w="2297" w:type="dxa"/>
            <w:tcBorders>
              <w:left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57" w:firstLine="0"/>
              <w:jc w:val="left"/>
              <w:textAlignment w:val="baseline"/>
              <w:rPr>
                <w:rFonts w:cs="Arial"/>
                <w:sz w:val="18"/>
                <w:szCs w:val="20"/>
              </w:rPr>
            </w:pPr>
            <w:r>
              <w:rPr>
                <w:sz w:val="18"/>
              </w:rPr>
              <w:t>Lunghezza di ogni catena</w:t>
            </w:r>
            <w:r>
              <w:rPr>
                <w:rFonts w:cs="Arial"/>
                <w:sz w:val="18"/>
                <w:szCs w:val="20"/>
              </w:rPr>
              <w:br/>
            </w:r>
            <w:r>
              <w:rPr>
                <w:sz w:val="18"/>
              </w:rPr>
              <w:t xml:space="preserve"> </w:t>
            </w:r>
          </w:p>
        </w:tc>
        <w:tc>
          <w:tcPr>
            <w:tcW w:w="2297" w:type="dxa"/>
            <w:tcBorders>
              <w:left w:val="single" w:sz="6" w:space="0" w:color="auto"/>
            </w:tcBorders>
          </w:tcPr>
          <w:p w:rsidR="009C13A9" w:rsidRPr="00C903F8" w:rsidRDefault="009C13A9" w:rsidP="009C13A9">
            <w:pPr>
              <w:tabs>
                <w:tab w:val="left" w:pos="57"/>
                <w:tab w:val="left" w:pos="340"/>
              </w:tabs>
              <w:overflowPunct w:val="0"/>
              <w:adjustRightInd w:val="0"/>
              <w:ind w:left="57" w:firstLine="0"/>
              <w:jc w:val="left"/>
              <w:textAlignment w:val="baseline"/>
              <w:rPr>
                <w:rFonts w:cs="Arial"/>
                <w:sz w:val="18"/>
                <w:szCs w:val="20"/>
              </w:rPr>
            </w:pPr>
            <w:r>
              <w:rPr>
                <w:sz w:val="18"/>
              </w:rPr>
              <w:t>Carico di rottura di ciascuna catena</w:t>
            </w:r>
          </w:p>
        </w:tc>
        <w:tc>
          <w:tcPr>
            <w:tcW w:w="2297" w:type="dxa"/>
            <w:gridSpan w:val="2"/>
            <w:tcBorders>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spacing w:after="120"/>
              <w:ind w:left="0" w:firstLine="0"/>
              <w:jc w:val="left"/>
              <w:textAlignment w:val="baseline"/>
              <w:rPr>
                <w:rFonts w:cs="Arial"/>
                <w:sz w:val="18"/>
                <w:szCs w:val="20"/>
              </w:rPr>
            </w:pPr>
          </w:p>
        </w:tc>
        <w:tc>
          <w:tcPr>
            <w:tcW w:w="2014" w:type="dxa"/>
            <w:tcBorders>
              <w:right w:val="single" w:sz="6" w:space="0" w:color="auto"/>
            </w:tcBorders>
          </w:tcPr>
          <w:p w:rsidR="009C13A9" w:rsidRPr="00C903F8" w:rsidRDefault="009C13A9" w:rsidP="009C13A9">
            <w:pPr>
              <w:tabs>
                <w:tab w:val="left" w:pos="57"/>
                <w:tab w:val="left" w:leader="dot" w:pos="1701"/>
              </w:tabs>
              <w:overflowPunct w:val="0"/>
              <w:adjustRightInd w:val="0"/>
              <w:spacing w:after="120"/>
              <w:ind w:left="0" w:firstLine="0"/>
              <w:jc w:val="left"/>
              <w:textAlignment w:val="baseline"/>
              <w:rPr>
                <w:rFonts w:cs="Arial"/>
                <w:sz w:val="18"/>
                <w:szCs w:val="20"/>
              </w:rPr>
            </w:pPr>
            <w:r>
              <w:tab/>
            </w:r>
            <w:r>
              <w:tab/>
            </w:r>
          </w:p>
        </w:tc>
        <w:tc>
          <w:tcPr>
            <w:tcW w:w="2297" w:type="dxa"/>
          </w:tcPr>
          <w:p w:rsidR="009C13A9" w:rsidRPr="00C903F8" w:rsidRDefault="009C13A9" w:rsidP="009C13A9">
            <w:pPr>
              <w:tabs>
                <w:tab w:val="left" w:pos="57"/>
                <w:tab w:val="left" w:leader="dot" w:pos="1814"/>
              </w:tabs>
              <w:overflowPunct w:val="0"/>
              <w:adjustRightInd w:val="0"/>
              <w:spacing w:after="120"/>
              <w:ind w:left="0" w:firstLine="0"/>
              <w:jc w:val="left"/>
              <w:textAlignment w:val="baseline"/>
              <w:rPr>
                <w:rFonts w:cs="Arial"/>
                <w:sz w:val="18"/>
                <w:szCs w:val="20"/>
              </w:rPr>
            </w:pPr>
            <w:r>
              <w:tab/>
            </w:r>
            <w:r>
              <w:tab/>
            </w:r>
            <w:r>
              <w:rPr>
                <w:sz w:val="18"/>
              </w:rPr>
              <w:t xml:space="preserve"> m</w:t>
            </w:r>
          </w:p>
        </w:tc>
        <w:tc>
          <w:tcPr>
            <w:tcW w:w="2297" w:type="dxa"/>
            <w:tcBorders>
              <w:left w:val="single" w:sz="6" w:space="0" w:color="auto"/>
            </w:tcBorders>
          </w:tcPr>
          <w:p w:rsidR="009C13A9" w:rsidRPr="00C903F8" w:rsidRDefault="009C13A9" w:rsidP="009C13A9">
            <w:pPr>
              <w:tabs>
                <w:tab w:val="left" w:pos="57"/>
                <w:tab w:val="left" w:leader="dot" w:pos="1814"/>
              </w:tabs>
              <w:overflowPunct w:val="0"/>
              <w:adjustRightInd w:val="0"/>
              <w:spacing w:after="120"/>
              <w:ind w:left="0" w:firstLine="0"/>
              <w:jc w:val="left"/>
              <w:textAlignment w:val="baseline"/>
              <w:rPr>
                <w:rFonts w:cs="Arial"/>
                <w:sz w:val="18"/>
                <w:szCs w:val="20"/>
              </w:rPr>
            </w:pPr>
            <w:r>
              <w:tab/>
            </w:r>
            <w:r>
              <w:tab/>
            </w:r>
            <w:r>
              <w:rPr>
                <w:sz w:val="18"/>
              </w:rPr>
              <w:t xml:space="preserve"> kN</w:t>
            </w:r>
          </w:p>
        </w:tc>
        <w:tc>
          <w:tcPr>
            <w:tcW w:w="2297" w:type="dxa"/>
            <w:gridSpan w:val="2"/>
            <w:tcBorders>
              <w:right w:val="single" w:sz="6" w:space="0" w:color="auto"/>
            </w:tcBorders>
          </w:tcPr>
          <w:p w:rsidR="009C13A9" w:rsidRPr="00C903F8" w:rsidRDefault="009C13A9" w:rsidP="009C13A9">
            <w:pPr>
              <w:tabs>
                <w:tab w:val="left" w:pos="57"/>
                <w:tab w:val="left" w:leader="dot" w:pos="1814"/>
              </w:tabs>
              <w:overflowPunct w:val="0"/>
              <w:adjustRightInd w:val="0"/>
              <w:spacing w:after="120"/>
              <w:ind w:left="0" w:firstLine="0"/>
              <w:jc w:val="left"/>
              <w:textAlignment w:val="baseline"/>
              <w:rPr>
                <w:rFonts w:cs="Arial"/>
                <w:sz w:val="18"/>
                <w:szCs w:val="20"/>
              </w:rPr>
            </w:pPr>
          </w:p>
        </w:tc>
      </w:tr>
      <w:tr w:rsidR="009C13A9" w:rsidRPr="00A0619C"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p>
        </w:tc>
        <w:tc>
          <w:tcPr>
            <w:tcW w:w="2014" w:type="dxa"/>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tab/>
            </w:r>
            <w:r>
              <w:rPr>
                <w:sz w:val="18"/>
              </w:rPr>
              <w:t>Numero di catene a poppa</w:t>
            </w:r>
            <w:r>
              <w:rPr>
                <w:rFonts w:cs="Arial"/>
                <w:sz w:val="18"/>
                <w:szCs w:val="20"/>
              </w:rPr>
              <w:br/>
            </w:r>
          </w:p>
        </w:tc>
        <w:tc>
          <w:tcPr>
            <w:tcW w:w="2297" w:type="dxa"/>
            <w:tcBorders>
              <w:left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r>
              <w:tab/>
            </w:r>
            <w:r>
              <w:rPr>
                <w:sz w:val="18"/>
              </w:rPr>
              <w:t>Lunghezza di ogni catena</w:t>
            </w:r>
            <w:r>
              <w:rPr>
                <w:rFonts w:cs="Arial"/>
                <w:sz w:val="18"/>
                <w:szCs w:val="20"/>
              </w:rPr>
              <w:br/>
            </w:r>
            <w:r>
              <w:rPr>
                <w:sz w:val="18"/>
              </w:rPr>
              <w:t xml:space="preserve"> </w:t>
            </w:r>
          </w:p>
        </w:tc>
        <w:tc>
          <w:tcPr>
            <w:tcW w:w="2297" w:type="dxa"/>
            <w:tcBorders>
              <w:left w:val="single" w:sz="6" w:space="0" w:color="auto"/>
            </w:tcBorders>
          </w:tcPr>
          <w:p w:rsidR="009C13A9" w:rsidRPr="00C903F8" w:rsidRDefault="009C13A9" w:rsidP="009C13A9">
            <w:pPr>
              <w:tabs>
                <w:tab w:val="left" w:pos="57"/>
                <w:tab w:val="left" w:pos="340"/>
              </w:tabs>
              <w:overflowPunct w:val="0"/>
              <w:adjustRightInd w:val="0"/>
              <w:ind w:left="57" w:firstLine="0"/>
              <w:jc w:val="left"/>
              <w:textAlignment w:val="baseline"/>
              <w:rPr>
                <w:rFonts w:cs="Arial"/>
                <w:sz w:val="18"/>
                <w:szCs w:val="20"/>
              </w:rPr>
            </w:pPr>
            <w:r>
              <w:rPr>
                <w:sz w:val="18"/>
              </w:rPr>
              <w:t>Carico di rottura di ciascuna catena</w:t>
            </w:r>
          </w:p>
        </w:tc>
        <w:tc>
          <w:tcPr>
            <w:tcW w:w="2297" w:type="dxa"/>
            <w:gridSpan w:val="2"/>
            <w:tcBorders>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bottom w:val="single" w:sz="6" w:space="0" w:color="auto"/>
            </w:tcBorders>
          </w:tcPr>
          <w:p w:rsidR="009C13A9" w:rsidRPr="00C903F8" w:rsidRDefault="009C13A9" w:rsidP="009C13A9">
            <w:pPr>
              <w:tabs>
                <w:tab w:val="left" w:pos="57"/>
              </w:tabs>
              <w:overflowPunct w:val="0"/>
              <w:adjustRightInd w:val="0"/>
              <w:spacing w:after="120"/>
              <w:ind w:left="0" w:firstLine="0"/>
              <w:jc w:val="left"/>
              <w:textAlignment w:val="baseline"/>
              <w:rPr>
                <w:rFonts w:cs="Arial"/>
                <w:sz w:val="18"/>
                <w:szCs w:val="20"/>
              </w:rPr>
            </w:pPr>
          </w:p>
        </w:tc>
        <w:tc>
          <w:tcPr>
            <w:tcW w:w="2014" w:type="dxa"/>
            <w:tcBorders>
              <w:bottom w:val="single" w:sz="6" w:space="0" w:color="auto"/>
              <w:right w:val="single" w:sz="6" w:space="0" w:color="auto"/>
            </w:tcBorders>
          </w:tcPr>
          <w:p w:rsidR="009C13A9" w:rsidRPr="00C903F8" w:rsidRDefault="009C13A9" w:rsidP="009C13A9">
            <w:pPr>
              <w:tabs>
                <w:tab w:val="left" w:pos="57"/>
                <w:tab w:val="left" w:leader="dot" w:pos="1701"/>
              </w:tabs>
              <w:overflowPunct w:val="0"/>
              <w:adjustRightInd w:val="0"/>
              <w:spacing w:after="120"/>
              <w:ind w:left="0" w:firstLine="0"/>
              <w:jc w:val="left"/>
              <w:textAlignment w:val="baseline"/>
              <w:rPr>
                <w:rFonts w:cs="Arial"/>
                <w:sz w:val="18"/>
                <w:szCs w:val="20"/>
              </w:rPr>
            </w:pPr>
            <w:r>
              <w:tab/>
            </w:r>
            <w:r>
              <w:tab/>
            </w:r>
          </w:p>
        </w:tc>
        <w:tc>
          <w:tcPr>
            <w:tcW w:w="2297" w:type="dxa"/>
            <w:tcBorders>
              <w:bottom w:val="single" w:sz="6" w:space="0" w:color="auto"/>
            </w:tcBorders>
          </w:tcPr>
          <w:p w:rsidR="009C13A9" w:rsidRPr="00C903F8" w:rsidRDefault="009C13A9" w:rsidP="009C13A9">
            <w:pPr>
              <w:tabs>
                <w:tab w:val="left" w:pos="57"/>
                <w:tab w:val="left" w:leader="dot" w:pos="1814"/>
              </w:tabs>
              <w:overflowPunct w:val="0"/>
              <w:adjustRightInd w:val="0"/>
              <w:spacing w:after="120"/>
              <w:ind w:left="0" w:firstLine="0"/>
              <w:jc w:val="left"/>
              <w:textAlignment w:val="baseline"/>
              <w:rPr>
                <w:rFonts w:cs="Arial"/>
                <w:sz w:val="18"/>
                <w:szCs w:val="20"/>
              </w:rPr>
            </w:pPr>
            <w:r>
              <w:tab/>
            </w:r>
            <w:r>
              <w:tab/>
            </w:r>
            <w:r>
              <w:rPr>
                <w:sz w:val="18"/>
              </w:rPr>
              <w:t xml:space="preserve"> m</w:t>
            </w:r>
          </w:p>
        </w:tc>
        <w:tc>
          <w:tcPr>
            <w:tcW w:w="2297" w:type="dxa"/>
            <w:tcBorders>
              <w:left w:val="single" w:sz="6" w:space="0" w:color="auto"/>
              <w:bottom w:val="single" w:sz="6" w:space="0" w:color="auto"/>
            </w:tcBorders>
          </w:tcPr>
          <w:p w:rsidR="009C13A9" w:rsidRPr="00C903F8" w:rsidRDefault="009C13A9" w:rsidP="009C13A9">
            <w:pPr>
              <w:tabs>
                <w:tab w:val="left" w:pos="57"/>
                <w:tab w:val="left" w:leader="dot" w:pos="1814"/>
              </w:tabs>
              <w:overflowPunct w:val="0"/>
              <w:adjustRightInd w:val="0"/>
              <w:spacing w:after="120"/>
              <w:ind w:left="0" w:firstLine="0"/>
              <w:jc w:val="left"/>
              <w:textAlignment w:val="baseline"/>
              <w:rPr>
                <w:rFonts w:cs="Arial"/>
                <w:sz w:val="18"/>
                <w:szCs w:val="20"/>
              </w:rPr>
            </w:pPr>
            <w:r>
              <w:tab/>
            </w:r>
            <w:r>
              <w:tab/>
            </w:r>
            <w:r>
              <w:rPr>
                <w:sz w:val="18"/>
              </w:rPr>
              <w:t xml:space="preserve"> kN</w:t>
            </w:r>
          </w:p>
        </w:tc>
        <w:tc>
          <w:tcPr>
            <w:tcW w:w="2297" w:type="dxa"/>
            <w:gridSpan w:val="2"/>
            <w:tcBorders>
              <w:bottom w:val="single" w:sz="6" w:space="0" w:color="auto"/>
              <w:right w:val="single" w:sz="6" w:space="0" w:color="auto"/>
            </w:tcBorders>
          </w:tcPr>
          <w:p w:rsidR="009C13A9" w:rsidRPr="00C903F8" w:rsidRDefault="009C13A9" w:rsidP="009C13A9">
            <w:pPr>
              <w:tabs>
                <w:tab w:val="left" w:pos="57"/>
                <w:tab w:val="left" w:leader="dot" w:pos="1814"/>
              </w:tabs>
              <w:overflowPunct w:val="0"/>
              <w:adjustRightInd w:val="0"/>
              <w:spacing w:after="12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rPr>
                <w:sz w:val="18"/>
              </w:rPr>
              <w:t>39.</w:t>
            </w:r>
          </w:p>
        </w:tc>
        <w:tc>
          <w:tcPr>
            <w:tcW w:w="2014" w:type="dxa"/>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tab/>
            </w:r>
            <w:r>
              <w:rPr>
                <w:sz w:val="18"/>
              </w:rPr>
              <w:t>Cavi da ormeggio</w:t>
            </w:r>
          </w:p>
        </w:tc>
        <w:tc>
          <w:tcPr>
            <w:tcW w:w="2297" w:type="dxa"/>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p>
        </w:tc>
        <w:tc>
          <w:tcPr>
            <w:tcW w:w="2297" w:type="dxa"/>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p>
        </w:tc>
        <w:tc>
          <w:tcPr>
            <w:tcW w:w="2297" w:type="dxa"/>
            <w:gridSpan w:val="2"/>
            <w:tcBorders>
              <w:top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p>
        </w:tc>
      </w:tr>
      <w:tr w:rsidR="009C13A9" w:rsidRPr="00A0619C"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p>
        </w:tc>
        <w:tc>
          <w:tcPr>
            <w:tcW w:w="6634" w:type="dxa"/>
            <w:gridSpan w:val="4"/>
          </w:tcPr>
          <w:p w:rsidR="009C13A9" w:rsidRPr="00C903F8" w:rsidRDefault="009C13A9" w:rsidP="009C13A9">
            <w:pPr>
              <w:tabs>
                <w:tab w:val="left" w:pos="57"/>
                <w:tab w:val="left" w:leader="dot" w:pos="3005"/>
                <w:tab w:val="left" w:leader="dot" w:pos="6237"/>
              </w:tabs>
              <w:overflowPunct w:val="0"/>
              <w:adjustRightInd w:val="0"/>
              <w:ind w:left="0" w:firstLine="0"/>
              <w:jc w:val="left"/>
              <w:textAlignment w:val="baseline"/>
              <w:rPr>
                <w:rFonts w:cs="Arial"/>
                <w:sz w:val="18"/>
                <w:szCs w:val="20"/>
              </w:rPr>
            </w:pPr>
            <w:r>
              <w:tab/>
            </w:r>
            <w:r>
              <w:rPr>
                <w:sz w:val="18"/>
              </w:rPr>
              <w:t xml:space="preserve">1° cavo lungo </w:t>
            </w:r>
            <w:r>
              <w:tab/>
            </w:r>
            <w:r>
              <w:rPr>
                <w:sz w:val="18"/>
              </w:rPr>
              <w:t xml:space="preserve"> m con un carico di rottura di</w:t>
            </w:r>
            <w:r>
              <w:tab/>
            </w:r>
            <w:r>
              <w:rPr>
                <w:sz w:val="18"/>
              </w:rPr>
              <w:t xml:space="preserve"> kN</w:t>
            </w:r>
            <w:r>
              <w:rPr>
                <w:rFonts w:cs="Arial"/>
                <w:sz w:val="18"/>
                <w:szCs w:val="20"/>
              </w:rPr>
              <w:br/>
            </w:r>
          </w:p>
        </w:tc>
        <w:tc>
          <w:tcPr>
            <w:tcW w:w="2271" w:type="dxa"/>
            <w:tcBorders>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p>
        </w:tc>
      </w:tr>
      <w:tr w:rsidR="009C13A9" w:rsidRPr="00A0619C"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p>
        </w:tc>
        <w:tc>
          <w:tcPr>
            <w:tcW w:w="6634" w:type="dxa"/>
            <w:gridSpan w:val="4"/>
          </w:tcPr>
          <w:p w:rsidR="009C13A9" w:rsidRPr="00C903F8" w:rsidRDefault="009C13A9" w:rsidP="009C13A9">
            <w:pPr>
              <w:tabs>
                <w:tab w:val="left" w:pos="57"/>
                <w:tab w:val="left" w:leader="dot" w:pos="3005"/>
                <w:tab w:val="left" w:leader="dot" w:pos="6237"/>
              </w:tabs>
              <w:overflowPunct w:val="0"/>
              <w:adjustRightInd w:val="0"/>
              <w:ind w:left="0" w:firstLine="0"/>
              <w:jc w:val="left"/>
              <w:textAlignment w:val="baseline"/>
              <w:rPr>
                <w:rFonts w:cs="Arial"/>
                <w:sz w:val="18"/>
                <w:szCs w:val="20"/>
              </w:rPr>
            </w:pPr>
            <w:r>
              <w:tab/>
            </w:r>
            <w:r>
              <w:rPr>
                <w:sz w:val="18"/>
              </w:rPr>
              <w:t xml:space="preserve">2° cavo lungo </w:t>
            </w:r>
            <w:r>
              <w:tab/>
            </w:r>
            <w:r>
              <w:rPr>
                <w:sz w:val="18"/>
              </w:rPr>
              <w:t xml:space="preserve"> m con un carico di rottura di</w:t>
            </w:r>
            <w:r>
              <w:tab/>
            </w:r>
            <w:r>
              <w:rPr>
                <w:sz w:val="18"/>
              </w:rPr>
              <w:t xml:space="preserve"> kN</w:t>
            </w:r>
            <w:r>
              <w:rPr>
                <w:rFonts w:cs="Arial"/>
                <w:sz w:val="18"/>
                <w:szCs w:val="20"/>
              </w:rPr>
              <w:br/>
            </w:r>
          </w:p>
        </w:tc>
        <w:tc>
          <w:tcPr>
            <w:tcW w:w="2271" w:type="dxa"/>
            <w:tcBorders>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p>
        </w:tc>
      </w:tr>
      <w:tr w:rsidR="009C13A9" w:rsidRPr="00A0619C"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p>
        </w:tc>
        <w:tc>
          <w:tcPr>
            <w:tcW w:w="6634" w:type="dxa"/>
            <w:gridSpan w:val="4"/>
          </w:tcPr>
          <w:p w:rsidR="009C13A9" w:rsidRPr="00C903F8" w:rsidRDefault="009C13A9" w:rsidP="009C13A9">
            <w:pPr>
              <w:tabs>
                <w:tab w:val="left" w:pos="57"/>
                <w:tab w:val="left" w:leader="dot" w:pos="3005"/>
                <w:tab w:val="left" w:leader="dot" w:pos="6237"/>
              </w:tabs>
              <w:overflowPunct w:val="0"/>
              <w:adjustRightInd w:val="0"/>
              <w:ind w:left="0" w:firstLine="0"/>
              <w:jc w:val="left"/>
              <w:textAlignment w:val="baseline"/>
              <w:rPr>
                <w:rFonts w:cs="Arial"/>
                <w:sz w:val="18"/>
                <w:szCs w:val="20"/>
              </w:rPr>
            </w:pPr>
            <w:r>
              <w:tab/>
            </w:r>
            <w:r>
              <w:rPr>
                <w:sz w:val="18"/>
              </w:rPr>
              <w:t xml:space="preserve">3° cavo lungo </w:t>
            </w:r>
            <w:r>
              <w:tab/>
            </w:r>
            <w:r>
              <w:rPr>
                <w:sz w:val="18"/>
              </w:rPr>
              <w:t xml:space="preserve"> m con un carico di rottura di</w:t>
            </w:r>
            <w:r>
              <w:tab/>
            </w:r>
            <w:r>
              <w:rPr>
                <w:sz w:val="18"/>
              </w:rPr>
              <w:t xml:space="preserve"> kN</w:t>
            </w:r>
            <w:r>
              <w:rPr>
                <w:rFonts w:cs="Arial"/>
                <w:sz w:val="18"/>
                <w:szCs w:val="20"/>
              </w:rPr>
              <w:br/>
            </w:r>
          </w:p>
        </w:tc>
        <w:tc>
          <w:tcPr>
            <w:tcW w:w="2271" w:type="dxa"/>
            <w:tcBorders>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top w:val="single" w:sz="6" w:space="0" w:color="auto"/>
              <w:left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rPr>
                <w:sz w:val="18"/>
              </w:rPr>
              <w:t>40.</w:t>
            </w:r>
          </w:p>
        </w:tc>
        <w:tc>
          <w:tcPr>
            <w:tcW w:w="6634" w:type="dxa"/>
            <w:gridSpan w:val="4"/>
            <w:tcBorders>
              <w:top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r>
              <w:tab/>
            </w:r>
            <w:r>
              <w:rPr>
                <w:noProof/>
                <w:sz w:val="18"/>
              </w:rPr>
              <w:t>Cavi da rimorchio</w:t>
            </w:r>
          </w:p>
        </w:tc>
        <w:tc>
          <w:tcPr>
            <w:tcW w:w="2271" w:type="dxa"/>
            <w:tcBorders>
              <w:top w:val="single" w:sz="6" w:space="0" w:color="auto"/>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p>
        </w:tc>
      </w:tr>
      <w:tr w:rsidR="009C13A9" w:rsidRPr="00A0619C"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ind w:left="0" w:firstLine="0"/>
              <w:jc w:val="left"/>
              <w:textAlignment w:val="baseline"/>
              <w:rPr>
                <w:rFonts w:cs="Arial"/>
                <w:sz w:val="18"/>
                <w:szCs w:val="20"/>
              </w:rPr>
            </w:pPr>
          </w:p>
        </w:tc>
        <w:tc>
          <w:tcPr>
            <w:tcW w:w="6634" w:type="dxa"/>
            <w:gridSpan w:val="4"/>
          </w:tcPr>
          <w:p w:rsidR="009C13A9" w:rsidRPr="00C903F8" w:rsidRDefault="009C13A9" w:rsidP="009C13A9">
            <w:pPr>
              <w:tabs>
                <w:tab w:val="left" w:pos="57"/>
                <w:tab w:val="left" w:leader="dot" w:pos="567"/>
                <w:tab w:val="left" w:leader="dot" w:pos="851"/>
                <w:tab w:val="left" w:leader="dot" w:pos="3005"/>
                <w:tab w:val="left" w:leader="dot" w:pos="6237"/>
              </w:tabs>
              <w:overflowPunct w:val="0"/>
              <w:adjustRightInd w:val="0"/>
              <w:ind w:left="0" w:firstLine="0"/>
              <w:jc w:val="left"/>
              <w:textAlignment w:val="baseline"/>
              <w:rPr>
                <w:rFonts w:cs="Arial"/>
                <w:sz w:val="18"/>
                <w:szCs w:val="20"/>
              </w:rPr>
            </w:pPr>
            <w:r>
              <w:tab/>
            </w:r>
            <w:r>
              <w:tab/>
            </w:r>
            <w:r>
              <w:rPr>
                <w:sz w:val="18"/>
              </w:rPr>
              <w:t xml:space="preserve"> con una lunghezza di </w:t>
            </w:r>
            <w:r>
              <w:tab/>
            </w:r>
            <w:r>
              <w:rPr>
                <w:sz w:val="18"/>
              </w:rPr>
              <w:t xml:space="preserve"> m e un carico di rottura di </w:t>
            </w:r>
            <w:r>
              <w:tab/>
            </w:r>
            <w:r>
              <w:rPr>
                <w:sz w:val="18"/>
              </w:rPr>
              <w:t xml:space="preserve"> kN</w:t>
            </w:r>
            <w:r>
              <w:rPr>
                <w:rFonts w:cs="Arial"/>
                <w:sz w:val="18"/>
                <w:szCs w:val="20"/>
              </w:rPr>
              <w:br/>
            </w:r>
          </w:p>
        </w:tc>
        <w:tc>
          <w:tcPr>
            <w:tcW w:w="2271" w:type="dxa"/>
            <w:tcBorders>
              <w:right w:val="single" w:sz="6" w:space="0" w:color="auto"/>
            </w:tcBorders>
          </w:tcPr>
          <w:p w:rsidR="009C13A9" w:rsidRPr="00C903F8" w:rsidRDefault="009C13A9" w:rsidP="009C13A9">
            <w:pPr>
              <w:tabs>
                <w:tab w:val="left" w:pos="57"/>
                <w:tab w:val="left" w:pos="340"/>
              </w:tabs>
              <w:overflowPunct w:val="0"/>
              <w:adjustRightInd w:val="0"/>
              <w:ind w:left="0" w:firstLine="0"/>
              <w:jc w:val="left"/>
              <w:textAlignment w:val="baseline"/>
              <w:rPr>
                <w:rFonts w:cs="Arial"/>
                <w:sz w:val="18"/>
                <w:szCs w:val="20"/>
              </w:rPr>
            </w:pPr>
          </w:p>
        </w:tc>
      </w:tr>
      <w:tr w:rsidR="009C13A9" w:rsidRPr="00A0619C"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spacing w:after="120"/>
              <w:ind w:left="0" w:firstLine="0"/>
              <w:jc w:val="left"/>
              <w:textAlignment w:val="baseline"/>
              <w:rPr>
                <w:rFonts w:cs="Arial"/>
                <w:sz w:val="18"/>
                <w:szCs w:val="20"/>
              </w:rPr>
            </w:pPr>
          </w:p>
        </w:tc>
        <w:tc>
          <w:tcPr>
            <w:tcW w:w="6634" w:type="dxa"/>
            <w:gridSpan w:val="4"/>
          </w:tcPr>
          <w:p w:rsidR="009C13A9" w:rsidRPr="00C903F8" w:rsidRDefault="009C13A9" w:rsidP="009C13A9">
            <w:pPr>
              <w:tabs>
                <w:tab w:val="left" w:pos="57"/>
                <w:tab w:val="left" w:leader="dot" w:pos="567"/>
                <w:tab w:val="left" w:leader="dot" w:pos="851"/>
                <w:tab w:val="left" w:leader="dot" w:pos="1701"/>
                <w:tab w:val="left" w:leader="dot" w:pos="3005"/>
                <w:tab w:val="left" w:leader="dot" w:pos="6237"/>
              </w:tabs>
              <w:overflowPunct w:val="0"/>
              <w:adjustRightInd w:val="0"/>
              <w:spacing w:after="120"/>
              <w:ind w:left="0" w:firstLine="0"/>
              <w:jc w:val="left"/>
              <w:textAlignment w:val="baseline"/>
              <w:rPr>
                <w:rFonts w:cs="Arial"/>
                <w:sz w:val="18"/>
                <w:szCs w:val="20"/>
              </w:rPr>
            </w:pPr>
            <w:r>
              <w:tab/>
            </w:r>
            <w:r>
              <w:tab/>
            </w:r>
            <w:r>
              <w:rPr>
                <w:sz w:val="18"/>
              </w:rPr>
              <w:t xml:space="preserve"> con una lunghezza di </w:t>
            </w:r>
            <w:r>
              <w:tab/>
            </w:r>
            <w:r>
              <w:rPr>
                <w:sz w:val="18"/>
              </w:rPr>
              <w:t xml:space="preserve"> m con un carico di rottura di </w:t>
            </w:r>
            <w:r>
              <w:tab/>
            </w:r>
            <w:r>
              <w:rPr>
                <w:sz w:val="18"/>
              </w:rPr>
              <w:t xml:space="preserve"> kN</w:t>
            </w:r>
          </w:p>
        </w:tc>
        <w:tc>
          <w:tcPr>
            <w:tcW w:w="2271" w:type="dxa"/>
            <w:tcBorders>
              <w:right w:val="single" w:sz="6" w:space="0" w:color="auto"/>
            </w:tcBorders>
          </w:tcPr>
          <w:p w:rsidR="009C13A9" w:rsidRPr="00C903F8" w:rsidRDefault="009C13A9" w:rsidP="009C13A9">
            <w:pPr>
              <w:tabs>
                <w:tab w:val="left" w:pos="57"/>
                <w:tab w:val="left" w:leader="dot" w:pos="1814"/>
              </w:tabs>
              <w:overflowPunct w:val="0"/>
              <w:adjustRightInd w:val="0"/>
              <w:spacing w:after="120"/>
              <w:ind w:left="0" w:firstLine="0"/>
              <w:jc w:val="left"/>
              <w:textAlignment w:val="baseline"/>
              <w:rPr>
                <w:rFonts w:cs="Arial"/>
                <w:sz w:val="18"/>
                <w:szCs w:val="20"/>
              </w:rPr>
            </w:pPr>
          </w:p>
        </w:tc>
      </w:tr>
      <w:tr w:rsidR="009C13A9" w:rsidRPr="00A0619C"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r>
              <w:rPr>
                <w:sz w:val="18"/>
              </w:rPr>
              <w:t>41.</w:t>
            </w:r>
          </w:p>
        </w:tc>
        <w:tc>
          <w:tcPr>
            <w:tcW w:w="8905" w:type="dxa"/>
            <w:gridSpan w:val="5"/>
            <w:tcBorders>
              <w:top w:val="single" w:sz="6" w:space="0" w:color="auto"/>
              <w:bottom w:val="single" w:sz="6" w:space="0" w:color="auto"/>
              <w:right w:val="single" w:sz="6" w:space="0" w:color="auto"/>
            </w:tcBorders>
          </w:tcPr>
          <w:p w:rsidR="009C13A9" w:rsidRPr="00C903F8" w:rsidRDefault="009C13A9" w:rsidP="006C7BF8">
            <w:pPr>
              <w:tabs>
                <w:tab w:val="left" w:pos="57"/>
                <w:tab w:val="left" w:pos="340"/>
                <w:tab w:val="left" w:leader="dot" w:pos="5103"/>
                <w:tab w:val="left" w:leader="dot" w:pos="8505"/>
              </w:tabs>
              <w:overflowPunct w:val="0"/>
              <w:adjustRightInd w:val="0"/>
              <w:spacing w:before="120"/>
              <w:ind w:left="57" w:right="57" w:hanging="57"/>
              <w:jc w:val="left"/>
              <w:textAlignment w:val="baseline"/>
              <w:rPr>
                <w:rFonts w:cs="Arial"/>
                <w:sz w:val="18"/>
                <w:szCs w:val="20"/>
              </w:rPr>
            </w:pPr>
            <w:r>
              <w:tab/>
            </w:r>
            <w:r>
              <w:rPr>
                <w:noProof/>
                <w:sz w:val="18"/>
              </w:rPr>
              <w:t>Segnali visivi e acustici</w:t>
            </w:r>
            <w:r>
              <w:rPr>
                <w:noProof/>
                <w:sz w:val="18"/>
                <w:szCs w:val="20"/>
              </w:rPr>
              <w:br/>
            </w:r>
            <w:r>
              <w:rPr>
                <w:noProof/>
                <w:sz w:val="18"/>
              </w:rPr>
              <w:t>I fanali, le bandiere, i palloni, i gavitelli e gli avvisatori acustici usati a fini di segnalazione e per dare i segnali visivi e sonori previsti [dai regolamenti di polizia nautica del Reno / dalle disposizioni di sicurezza della navigazione applicabili degli Stati membri] si trovano a bordo al pari delle luci d'emergenza autonome di ormeggio, indipendenti dalla rete di bordo, previste [dai regolamenti di polizia nautica del Reno / dalle disposizioni di sicurezza della navigazione applicabili degli Stati membri].</w:t>
            </w:r>
            <w:r>
              <w:rPr>
                <w:noProof/>
                <w:sz w:val="18"/>
                <w:szCs w:val="20"/>
              </w:rPr>
              <w:br/>
            </w:r>
            <w:r>
              <w:rPr>
                <w:noProof/>
                <w:sz w:val="18"/>
                <w:szCs w:val="20"/>
              </w:rPr>
              <w:br/>
            </w:r>
          </w:p>
        </w:tc>
      </w:tr>
      <w:tr w:rsidR="009C13A9" w:rsidRPr="00C903F8" w:rsidTr="009C13A9">
        <w:trPr>
          <w:cantSplit/>
          <w:jc w:val="center"/>
        </w:trPr>
        <w:tc>
          <w:tcPr>
            <w:tcW w:w="284" w:type="dxa"/>
            <w:tcBorders>
              <w:left w:val="single" w:sz="6" w:space="0" w:color="auto"/>
              <w:bottom w:val="single" w:sz="6" w:space="0" w:color="auto"/>
            </w:tcBorders>
          </w:tcPr>
          <w:p w:rsidR="009C13A9" w:rsidRPr="00C903F8" w:rsidRDefault="009C13A9" w:rsidP="009C13A9">
            <w:pPr>
              <w:tabs>
                <w:tab w:val="left" w:pos="57"/>
              </w:tabs>
              <w:overflowPunct w:val="0"/>
              <w:adjustRightInd w:val="0"/>
              <w:spacing w:before="80"/>
              <w:ind w:left="0" w:firstLine="0"/>
              <w:jc w:val="left"/>
              <w:textAlignment w:val="baseline"/>
              <w:rPr>
                <w:rFonts w:cs="Arial"/>
                <w:sz w:val="18"/>
                <w:szCs w:val="20"/>
              </w:rPr>
            </w:pPr>
            <w:r>
              <w:tab/>
            </w:r>
            <w:r>
              <w:rPr>
                <w:sz w:val="18"/>
              </w:rPr>
              <w:t>*)</w:t>
            </w:r>
            <w:r>
              <w:rPr>
                <w:rFonts w:cs="Arial"/>
                <w:sz w:val="18"/>
                <w:szCs w:val="20"/>
              </w:rPr>
              <w:br/>
            </w:r>
            <w:r>
              <w:rPr>
                <w:rFonts w:cs="Arial"/>
                <w:sz w:val="18"/>
                <w:szCs w:val="20"/>
              </w:rPr>
              <w:br/>
            </w:r>
          </w:p>
          <w:p w:rsidR="009C13A9" w:rsidRPr="00C903F8" w:rsidRDefault="009C13A9" w:rsidP="009C13A9">
            <w:pPr>
              <w:tabs>
                <w:tab w:val="left" w:pos="57"/>
              </w:tabs>
              <w:overflowPunct w:val="0"/>
              <w:adjustRightInd w:val="0"/>
              <w:spacing w:before="80"/>
              <w:ind w:left="0" w:firstLine="0"/>
              <w:jc w:val="left"/>
              <w:textAlignment w:val="baseline"/>
              <w:rPr>
                <w:rFonts w:cs="Arial"/>
                <w:sz w:val="18"/>
                <w:szCs w:val="20"/>
              </w:rPr>
            </w:pPr>
          </w:p>
          <w:p w:rsidR="009C13A9" w:rsidRPr="00C903F8" w:rsidRDefault="009C13A9" w:rsidP="009C13A9">
            <w:pPr>
              <w:tabs>
                <w:tab w:val="left" w:pos="57"/>
              </w:tabs>
              <w:overflowPunct w:val="0"/>
              <w:adjustRightInd w:val="0"/>
              <w:spacing w:before="160"/>
              <w:ind w:left="0" w:firstLine="0"/>
              <w:jc w:val="left"/>
              <w:textAlignment w:val="baseline"/>
              <w:rPr>
                <w:rFonts w:cs="Arial"/>
                <w:sz w:val="18"/>
                <w:szCs w:val="20"/>
              </w:rPr>
            </w:pPr>
            <w:r>
              <w:tab/>
            </w:r>
            <w:r>
              <w:rPr>
                <w:sz w:val="18"/>
              </w:rPr>
              <w:t>*)</w:t>
            </w:r>
          </w:p>
        </w:tc>
        <w:tc>
          <w:tcPr>
            <w:tcW w:w="8905" w:type="dxa"/>
            <w:gridSpan w:val="5"/>
            <w:tcBorders>
              <w:bottom w:val="single" w:sz="6" w:space="0" w:color="auto"/>
              <w:right w:val="single" w:sz="6" w:space="0" w:color="auto"/>
            </w:tcBorders>
          </w:tcPr>
          <w:p w:rsidR="009C13A9" w:rsidRPr="00C903F8" w:rsidRDefault="009C13A9" w:rsidP="009C13A9">
            <w:pPr>
              <w:tabs>
                <w:tab w:val="left" w:pos="57"/>
                <w:tab w:val="left" w:leader="dot" w:pos="3686"/>
              </w:tabs>
              <w:overflowPunct w:val="0"/>
              <w:adjustRightInd w:val="0"/>
              <w:spacing w:before="80" w:after="80"/>
              <w:ind w:left="57" w:right="57" w:firstLine="0"/>
              <w:jc w:val="left"/>
              <w:textAlignment w:val="baseline"/>
              <w:rPr>
                <w:rFonts w:cs="Arial"/>
                <w:sz w:val="18"/>
                <w:szCs w:val="20"/>
              </w:rPr>
            </w:pPr>
            <w:r>
              <w:rPr>
                <w:noProof/>
                <w:sz w:val="18"/>
              </w:rPr>
              <w:t>La presente pagina è stata sostituita.: ....................</w:t>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rPr>
                <w:noProof/>
                <w:sz w:val="18"/>
              </w:rPr>
              <w:t>Nuova formulazione:</w:t>
            </w:r>
            <w:r>
              <w:tab/>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tab/>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tab/>
            </w:r>
          </w:p>
          <w:p w:rsidR="009C13A9" w:rsidRPr="00C903F8" w:rsidRDefault="009C13A9" w:rsidP="009C13A9">
            <w:pPr>
              <w:tabs>
                <w:tab w:val="left" w:leader="dot" w:pos="4536"/>
                <w:tab w:val="center" w:pos="6862"/>
              </w:tabs>
              <w:overflowPunct w:val="0"/>
              <w:adjustRightInd w:val="0"/>
              <w:spacing w:after="80"/>
              <w:ind w:left="57" w:right="57" w:firstLine="0"/>
              <w:textAlignment w:val="baseline"/>
              <w:rPr>
                <w:rFonts w:cs="Arial"/>
                <w:sz w:val="18"/>
                <w:szCs w:val="20"/>
              </w:rPr>
            </w:pPr>
            <w:r>
              <w:rPr>
                <w:sz w:val="18"/>
              </w:rPr>
              <w:t>La presente pagina è stata sostituita.</w:t>
            </w:r>
          </w:p>
          <w:p w:rsidR="009C13A9" w:rsidRPr="00C903F8" w:rsidRDefault="009C13A9" w:rsidP="009C13A9">
            <w:pPr>
              <w:tabs>
                <w:tab w:val="left" w:leader="dot" w:pos="4536"/>
                <w:tab w:val="center" w:pos="6862"/>
              </w:tabs>
              <w:overflowPunct w:val="0"/>
              <w:adjustRightInd w:val="0"/>
              <w:spacing w:after="80"/>
              <w:ind w:left="57" w:right="57" w:firstLine="0"/>
              <w:textAlignment w:val="baseline"/>
              <w:rPr>
                <w:rFonts w:cs="Arial"/>
                <w:sz w:val="18"/>
                <w:szCs w:val="20"/>
              </w:rPr>
            </w:pPr>
            <w:r>
              <w:rPr>
                <w:sz w:val="18"/>
              </w:rPr>
              <w:t xml:space="preserve">Luogo, data </w:t>
            </w:r>
            <w:r>
              <w:tab/>
            </w:r>
            <w:r>
              <w:tab/>
            </w:r>
            <w:r>
              <w:rPr>
                <w:sz w:val="18"/>
              </w:rPr>
              <w:t>Commissione di ispezione</w:t>
            </w:r>
          </w:p>
          <w:p w:rsidR="009C13A9" w:rsidRPr="00C903F8" w:rsidRDefault="009C13A9" w:rsidP="009C13A9">
            <w:pPr>
              <w:tabs>
                <w:tab w:val="left" w:pos="5103"/>
                <w:tab w:val="left" w:leader="dot" w:pos="8505"/>
              </w:tabs>
              <w:overflowPunct w:val="0"/>
              <w:adjustRightInd w:val="0"/>
              <w:ind w:left="0" w:firstLine="0"/>
              <w:textAlignment w:val="baseline"/>
              <w:rPr>
                <w:rFonts w:cs="Arial"/>
                <w:sz w:val="18"/>
                <w:szCs w:val="20"/>
              </w:rPr>
            </w:pPr>
            <w:r>
              <w:tab/>
            </w:r>
            <w:r>
              <w:tab/>
            </w:r>
          </w:p>
          <w:p w:rsidR="009C13A9" w:rsidRPr="00C903F8" w:rsidRDefault="009C13A9" w:rsidP="009C13A9">
            <w:pPr>
              <w:tabs>
                <w:tab w:val="center" w:pos="1701"/>
              </w:tabs>
              <w:overflowPunct w:val="0"/>
              <w:adjustRightInd w:val="0"/>
              <w:spacing w:after="80"/>
              <w:ind w:left="0" w:firstLine="0"/>
              <w:textAlignment w:val="baseline"/>
              <w:rPr>
                <w:rFonts w:cs="Arial"/>
                <w:sz w:val="18"/>
                <w:szCs w:val="20"/>
              </w:rPr>
            </w:pPr>
            <w:r>
              <w:tab/>
            </w:r>
            <w:r>
              <w:rPr>
                <w:sz w:val="18"/>
              </w:rPr>
              <w:t>Timbro</w:t>
            </w:r>
          </w:p>
          <w:p w:rsidR="009C13A9" w:rsidRPr="00C903F8" w:rsidRDefault="009C13A9" w:rsidP="009C13A9">
            <w:pPr>
              <w:tabs>
                <w:tab w:val="left" w:pos="5103"/>
                <w:tab w:val="left" w:leader="dot" w:pos="8505"/>
              </w:tabs>
              <w:overflowPunct w:val="0"/>
              <w:adjustRightInd w:val="0"/>
              <w:ind w:left="0" w:firstLine="0"/>
              <w:textAlignment w:val="baseline"/>
              <w:rPr>
                <w:rFonts w:cs="Arial"/>
                <w:szCs w:val="20"/>
              </w:rPr>
            </w:pPr>
            <w:r>
              <w:tab/>
            </w:r>
            <w:r>
              <w:tab/>
            </w:r>
          </w:p>
          <w:p w:rsidR="009C13A9" w:rsidRPr="00C903F8" w:rsidRDefault="009C13A9" w:rsidP="009C13A9">
            <w:pPr>
              <w:tabs>
                <w:tab w:val="center" w:pos="6862"/>
              </w:tabs>
              <w:overflowPunct w:val="0"/>
              <w:adjustRightInd w:val="0"/>
              <w:ind w:left="0" w:firstLine="0"/>
              <w:textAlignment w:val="baseline"/>
              <w:rPr>
                <w:rFonts w:cs="Arial"/>
                <w:sz w:val="16"/>
                <w:szCs w:val="20"/>
              </w:rPr>
            </w:pPr>
            <w:r>
              <w:tab/>
            </w:r>
            <w:r>
              <w:rPr>
                <w:sz w:val="16"/>
              </w:rPr>
              <w:t>(firma)</w:t>
            </w:r>
          </w:p>
          <w:p w:rsidR="009C13A9" w:rsidRPr="00C903F8" w:rsidRDefault="009C13A9" w:rsidP="009C13A9">
            <w:pPr>
              <w:tabs>
                <w:tab w:val="left" w:pos="113"/>
                <w:tab w:val="left" w:pos="397"/>
                <w:tab w:val="left" w:pos="6237"/>
                <w:tab w:val="left" w:leader="dot" w:pos="9356"/>
              </w:tabs>
              <w:overflowPunct w:val="0"/>
              <w:adjustRightInd w:val="0"/>
              <w:ind w:left="0" w:firstLine="0"/>
              <w:textAlignment w:val="baseline"/>
              <w:rPr>
                <w:rFonts w:cs="Arial"/>
                <w:sz w:val="16"/>
                <w:szCs w:val="20"/>
              </w:rPr>
            </w:pPr>
            <w:r>
              <w:rPr>
                <w:sz w:val="18"/>
              </w:rPr>
              <w:t>_______________________</w:t>
            </w:r>
          </w:p>
          <w:p w:rsidR="009C13A9" w:rsidRPr="00C903F8" w:rsidRDefault="009C13A9" w:rsidP="009C13A9">
            <w:pPr>
              <w:tabs>
                <w:tab w:val="left" w:pos="284"/>
              </w:tabs>
              <w:overflowPunct w:val="0"/>
              <w:adjustRightInd w:val="0"/>
              <w:spacing w:after="40"/>
              <w:ind w:left="57" w:firstLine="0"/>
              <w:jc w:val="left"/>
              <w:textAlignment w:val="baseline"/>
              <w:rPr>
                <w:rFonts w:cs="Arial"/>
                <w:sz w:val="18"/>
                <w:szCs w:val="20"/>
              </w:rPr>
            </w:pPr>
            <w:r>
              <w:rPr>
                <w:position w:val="4"/>
                <w:sz w:val="16"/>
              </w:rPr>
              <w:t>*)</w:t>
            </w:r>
            <w:r>
              <w:tab/>
            </w:r>
            <w:r>
              <w:rPr>
                <w:sz w:val="16"/>
              </w:rPr>
              <w:t>Cancellare le voci non pertinenti.</w:t>
            </w:r>
          </w:p>
        </w:tc>
      </w:tr>
    </w:tbl>
    <w:p w:rsidR="009C13A9" w:rsidRPr="00C903F8" w:rsidRDefault="009C13A9" w:rsidP="009C13A9">
      <w:pPr>
        <w:overflowPunct w:val="0"/>
        <w:adjustRightInd w:val="0"/>
        <w:ind w:left="0" w:firstLine="0"/>
        <w:jc w:val="left"/>
        <w:textAlignment w:val="baseline"/>
        <w:rPr>
          <w:rFonts w:cs="Arial"/>
          <w:szCs w:val="20"/>
        </w:rPr>
      </w:pPr>
    </w:p>
    <w:p w:rsidR="009C13A9" w:rsidRPr="00C903F8" w:rsidRDefault="009C13A9" w:rsidP="00AA5614">
      <w:pPr>
        <w:tabs>
          <w:tab w:val="left" w:leader="dot" w:pos="2835"/>
          <w:tab w:val="left" w:leader="dot" w:pos="5103"/>
        </w:tabs>
        <w:overflowPunct w:val="0"/>
        <w:adjustRightInd w:val="0"/>
        <w:ind w:left="0" w:firstLine="0"/>
        <w:jc w:val="left"/>
        <w:textAlignment w:val="baseline"/>
        <w:rPr>
          <w:rFonts w:cs="Arial"/>
          <w:szCs w:val="20"/>
        </w:rPr>
      </w:pPr>
      <w:r>
        <w:br w:type="page"/>
      </w:r>
      <w:r>
        <w:lastRenderedPageBreak/>
        <w:t xml:space="preserve">certificato per la navigazione interna n. </w:t>
      </w:r>
      <w:r>
        <w:tab/>
        <w:t xml:space="preserve"> della commissione di ispezione</w:t>
      </w:r>
    </w:p>
    <w:tbl>
      <w:tblPr>
        <w:tblW w:w="9186" w:type="dxa"/>
        <w:jc w:val="center"/>
        <w:tblLayout w:type="fixed"/>
        <w:tblCellMar>
          <w:left w:w="0" w:type="dxa"/>
          <w:right w:w="0" w:type="dxa"/>
        </w:tblCellMar>
        <w:tblLook w:val="0000" w:firstRow="0" w:lastRow="0" w:firstColumn="0" w:lastColumn="0" w:noHBand="0" w:noVBand="0"/>
      </w:tblPr>
      <w:tblGrid>
        <w:gridCol w:w="284"/>
        <w:gridCol w:w="4451"/>
        <w:gridCol w:w="4445"/>
        <w:gridCol w:w="6"/>
      </w:tblGrid>
      <w:tr w:rsidR="009C13A9" w:rsidRPr="00A0619C"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20"/>
              <w:ind w:left="0" w:firstLine="0"/>
              <w:jc w:val="left"/>
              <w:textAlignment w:val="baseline"/>
              <w:rPr>
                <w:rFonts w:cs="Arial"/>
                <w:sz w:val="18"/>
                <w:szCs w:val="20"/>
              </w:rPr>
            </w:pPr>
            <w:r>
              <w:rPr>
                <w:sz w:val="18"/>
              </w:rPr>
              <w:t>42.</w:t>
            </w:r>
          </w:p>
        </w:tc>
        <w:tc>
          <w:tcPr>
            <w:tcW w:w="4451" w:type="dxa"/>
            <w:tcBorders>
              <w:top w:val="single" w:sz="6" w:space="0" w:color="auto"/>
              <w:bottom w:val="single" w:sz="6" w:space="0" w:color="auto"/>
            </w:tcBorders>
          </w:tcPr>
          <w:p w:rsidR="009C13A9" w:rsidRPr="00C903F8" w:rsidRDefault="009C13A9" w:rsidP="009C13A9">
            <w:pPr>
              <w:overflowPunct w:val="0"/>
              <w:adjustRightInd w:val="0"/>
              <w:spacing w:before="20" w:after="20"/>
              <w:ind w:left="57" w:firstLine="0"/>
              <w:jc w:val="left"/>
              <w:textAlignment w:val="baseline"/>
              <w:rPr>
                <w:rFonts w:cs="Arial"/>
                <w:sz w:val="18"/>
                <w:szCs w:val="20"/>
              </w:rPr>
            </w:pPr>
            <w:r>
              <w:rPr>
                <w:noProof/>
                <w:sz w:val="18"/>
              </w:rPr>
              <w:t>Altre dotazioni</w:t>
            </w:r>
          </w:p>
          <w:p w:rsidR="009C13A9" w:rsidRPr="00C903F8" w:rsidRDefault="009C13A9" w:rsidP="009C13A9">
            <w:pPr>
              <w:overflowPunct w:val="0"/>
              <w:adjustRightInd w:val="0"/>
              <w:spacing w:before="20" w:after="20"/>
              <w:ind w:left="57" w:firstLine="0"/>
              <w:jc w:val="left"/>
              <w:textAlignment w:val="baseline"/>
              <w:rPr>
                <w:rFonts w:cs="Arial"/>
                <w:sz w:val="18"/>
                <w:szCs w:val="20"/>
              </w:rPr>
            </w:pPr>
            <w:r>
              <w:rPr>
                <w:noProof/>
                <w:sz w:val="18"/>
              </w:rPr>
              <w:t>Sagola</w:t>
            </w:r>
          </w:p>
          <w:p w:rsidR="009C13A9" w:rsidRPr="00C903F8" w:rsidRDefault="009C13A9" w:rsidP="009C13A9">
            <w:pPr>
              <w:tabs>
                <w:tab w:val="left" w:pos="1010"/>
              </w:tabs>
              <w:overflowPunct w:val="0"/>
              <w:adjustRightInd w:val="0"/>
              <w:spacing w:before="20" w:after="20"/>
              <w:ind w:left="57" w:firstLine="0"/>
              <w:jc w:val="left"/>
              <w:textAlignment w:val="baseline"/>
              <w:rPr>
                <w:rFonts w:cs="Arial"/>
                <w:sz w:val="18"/>
                <w:szCs w:val="20"/>
              </w:rPr>
            </w:pPr>
            <w:r>
              <w:rPr>
                <w:noProof/>
                <w:sz w:val="18"/>
              </w:rPr>
              <w:t>Passerella</w:t>
            </w:r>
            <w:r>
              <w:tab/>
            </w:r>
            <w:r>
              <w:rPr>
                <w:noProof/>
                <w:sz w:val="18"/>
              </w:rPr>
              <w:t>ai sensi dell'articolo 13.02, paragrafo 3, lettera d)*)/</w:t>
            </w:r>
          </w:p>
          <w:p w:rsidR="009C13A9" w:rsidRPr="00C903F8" w:rsidRDefault="009C13A9" w:rsidP="009C13A9">
            <w:pPr>
              <w:tabs>
                <w:tab w:val="left" w:pos="1010"/>
              </w:tabs>
              <w:overflowPunct w:val="0"/>
              <w:adjustRightInd w:val="0"/>
              <w:spacing w:before="20" w:after="20"/>
              <w:ind w:left="57" w:firstLine="0"/>
              <w:jc w:val="left"/>
              <w:textAlignment w:val="baseline"/>
              <w:rPr>
                <w:rFonts w:cs="Arial"/>
                <w:sz w:val="18"/>
                <w:szCs w:val="20"/>
              </w:rPr>
            </w:pPr>
            <w:r>
              <w:tab/>
            </w:r>
            <w:r>
              <w:rPr>
                <w:noProof/>
                <w:sz w:val="18"/>
              </w:rPr>
              <w:t xml:space="preserve">ai sensi dell'articolo 19.06, paragrafo 12 *) </w:t>
            </w:r>
          </w:p>
          <w:p w:rsidR="009C13A9" w:rsidRPr="00C903F8" w:rsidRDefault="009C13A9" w:rsidP="009C13A9">
            <w:pPr>
              <w:tabs>
                <w:tab w:val="left" w:pos="1010"/>
              </w:tabs>
              <w:overflowPunct w:val="0"/>
              <w:adjustRightInd w:val="0"/>
              <w:spacing w:before="20" w:after="20"/>
              <w:ind w:left="57" w:firstLine="0"/>
              <w:jc w:val="left"/>
              <w:textAlignment w:val="baseline"/>
              <w:rPr>
                <w:rFonts w:cs="Arial"/>
                <w:noProof/>
                <w:sz w:val="18"/>
                <w:szCs w:val="20"/>
              </w:rPr>
            </w:pPr>
            <w:r>
              <w:tab/>
            </w:r>
            <w:r>
              <w:rPr>
                <w:noProof/>
                <w:sz w:val="18"/>
              </w:rPr>
              <w:t xml:space="preserve">Lunghezza ...... m </w:t>
            </w:r>
          </w:p>
          <w:p w:rsidR="009C13A9" w:rsidRPr="00C903F8" w:rsidRDefault="009C13A9" w:rsidP="009C13A9">
            <w:pPr>
              <w:tabs>
                <w:tab w:val="left" w:pos="970"/>
              </w:tabs>
              <w:overflowPunct w:val="0"/>
              <w:adjustRightInd w:val="0"/>
              <w:spacing w:before="20" w:after="20"/>
              <w:ind w:left="57" w:firstLine="0"/>
              <w:jc w:val="left"/>
              <w:textAlignment w:val="baseline"/>
              <w:rPr>
                <w:rFonts w:cs="Arial"/>
                <w:sz w:val="18"/>
                <w:szCs w:val="20"/>
              </w:rPr>
            </w:pPr>
            <w:r>
              <w:rPr>
                <w:noProof/>
                <w:sz w:val="18"/>
              </w:rPr>
              <w:t>Gaffa</w:t>
            </w:r>
          </w:p>
          <w:p w:rsidR="009C13A9" w:rsidRPr="00C903F8" w:rsidRDefault="009C13A9" w:rsidP="009C13A9">
            <w:pPr>
              <w:overflowPunct w:val="0"/>
              <w:adjustRightInd w:val="0"/>
              <w:spacing w:before="20" w:after="20"/>
              <w:ind w:left="57" w:firstLine="0"/>
              <w:jc w:val="left"/>
              <w:textAlignment w:val="baseline"/>
              <w:rPr>
                <w:rFonts w:cs="Arial"/>
                <w:sz w:val="18"/>
                <w:szCs w:val="20"/>
              </w:rPr>
            </w:pPr>
            <w:r>
              <w:rPr>
                <w:noProof/>
                <w:sz w:val="18"/>
              </w:rPr>
              <w:t>Numero di cassette di pronto soccorso......</w:t>
            </w:r>
          </w:p>
          <w:p w:rsidR="009C13A9" w:rsidRPr="00C903F8" w:rsidRDefault="009C13A9" w:rsidP="009C13A9">
            <w:pPr>
              <w:overflowPunct w:val="0"/>
              <w:adjustRightInd w:val="0"/>
              <w:spacing w:before="20" w:after="20"/>
              <w:ind w:left="57" w:firstLine="0"/>
              <w:jc w:val="left"/>
              <w:textAlignment w:val="baseline"/>
              <w:rPr>
                <w:rFonts w:cs="Arial"/>
                <w:sz w:val="18"/>
                <w:szCs w:val="20"/>
              </w:rPr>
            </w:pPr>
            <w:r>
              <w:rPr>
                <w:noProof/>
                <w:sz w:val="18"/>
              </w:rPr>
              <w:t>Binocolo</w:t>
            </w:r>
          </w:p>
          <w:p w:rsidR="009C13A9" w:rsidRPr="00C903F8" w:rsidRDefault="009C13A9" w:rsidP="009C13A9">
            <w:pPr>
              <w:overflowPunct w:val="0"/>
              <w:adjustRightInd w:val="0"/>
              <w:spacing w:before="20" w:after="20"/>
              <w:ind w:left="57" w:firstLine="0"/>
              <w:jc w:val="left"/>
              <w:textAlignment w:val="baseline"/>
              <w:rPr>
                <w:rFonts w:cs="Arial"/>
                <w:sz w:val="18"/>
                <w:szCs w:val="20"/>
              </w:rPr>
            </w:pPr>
            <w:r>
              <w:rPr>
                <w:noProof/>
                <w:sz w:val="18"/>
              </w:rPr>
              <w:t>Pannello di istruzioni per il salvataggio in mare</w:t>
            </w:r>
          </w:p>
          <w:p w:rsidR="009C13A9" w:rsidRPr="00C903F8" w:rsidRDefault="009C13A9" w:rsidP="009C13A9">
            <w:pPr>
              <w:overflowPunct w:val="0"/>
              <w:adjustRightInd w:val="0"/>
              <w:spacing w:before="20" w:after="20"/>
              <w:ind w:left="57" w:firstLine="0"/>
              <w:jc w:val="left"/>
              <w:textAlignment w:val="baseline"/>
              <w:rPr>
                <w:rFonts w:cs="Arial"/>
                <w:noProof/>
                <w:sz w:val="18"/>
                <w:szCs w:val="20"/>
              </w:rPr>
            </w:pPr>
            <w:r>
              <w:rPr>
                <w:noProof/>
                <w:sz w:val="18"/>
              </w:rPr>
              <w:t xml:space="preserve">Un proiettore che può essere utilizzato dalla </w:t>
            </w:r>
          </w:p>
          <w:p w:rsidR="009C13A9" w:rsidRPr="00C903F8" w:rsidRDefault="009C13A9" w:rsidP="009C13A9">
            <w:pPr>
              <w:overflowPunct w:val="0"/>
              <w:adjustRightInd w:val="0"/>
              <w:spacing w:before="20" w:after="20"/>
              <w:ind w:left="57" w:firstLine="0"/>
              <w:jc w:val="left"/>
              <w:textAlignment w:val="baseline"/>
              <w:rPr>
                <w:rFonts w:cs="Arial"/>
                <w:noProof/>
                <w:sz w:val="18"/>
                <w:szCs w:val="20"/>
              </w:rPr>
            </w:pPr>
            <w:r>
              <w:rPr>
                <w:noProof/>
                <w:sz w:val="18"/>
              </w:rPr>
              <w:t>timoneria</w:t>
            </w:r>
          </w:p>
          <w:p w:rsidR="009C13A9" w:rsidRPr="00C903F8" w:rsidRDefault="009C13A9" w:rsidP="009C13A9">
            <w:pPr>
              <w:overflowPunct w:val="0"/>
              <w:adjustRightInd w:val="0"/>
              <w:spacing w:before="20" w:after="20"/>
              <w:ind w:left="57" w:firstLine="0"/>
              <w:jc w:val="left"/>
              <w:textAlignment w:val="baseline"/>
              <w:rPr>
                <w:rFonts w:cs="Arial"/>
                <w:sz w:val="18"/>
                <w:szCs w:val="20"/>
              </w:rPr>
            </w:pPr>
            <w:r>
              <w:rPr>
                <w:noProof/>
                <w:sz w:val="18"/>
              </w:rPr>
              <w:t>Recipienti resistenti al fuoco......</w:t>
            </w:r>
          </w:p>
          <w:p w:rsidR="009C13A9" w:rsidRPr="00C903F8" w:rsidRDefault="009C13A9" w:rsidP="009C13A9">
            <w:pPr>
              <w:tabs>
                <w:tab w:val="left" w:pos="57"/>
                <w:tab w:val="left" w:pos="340"/>
                <w:tab w:val="left" w:pos="3402"/>
                <w:tab w:val="left" w:pos="3969"/>
                <w:tab w:val="left" w:pos="4820"/>
                <w:tab w:val="left" w:pos="4990"/>
                <w:tab w:val="left" w:pos="5160"/>
              </w:tabs>
              <w:overflowPunct w:val="0"/>
              <w:adjustRightInd w:val="0"/>
              <w:spacing w:before="20" w:after="20"/>
              <w:ind w:left="57" w:firstLine="0"/>
              <w:jc w:val="left"/>
              <w:textAlignment w:val="baseline"/>
              <w:rPr>
                <w:rFonts w:cs="Arial"/>
                <w:sz w:val="18"/>
                <w:szCs w:val="20"/>
              </w:rPr>
            </w:pPr>
            <w:r>
              <w:rPr>
                <w:noProof/>
                <w:sz w:val="18"/>
              </w:rPr>
              <w:t>Scala/scaletta d'imbarco</w:t>
            </w:r>
            <w:r>
              <w:rPr>
                <w:noProof/>
                <w:position w:val="6"/>
                <w:sz w:val="14"/>
              </w:rPr>
              <w:t>*)</w:t>
            </w:r>
          </w:p>
        </w:tc>
        <w:tc>
          <w:tcPr>
            <w:tcW w:w="4451" w:type="dxa"/>
            <w:gridSpan w:val="2"/>
            <w:tcBorders>
              <w:top w:val="single" w:sz="6" w:space="0" w:color="auto"/>
              <w:bottom w:val="single" w:sz="6" w:space="0" w:color="auto"/>
              <w:right w:val="single" w:sz="6" w:space="0" w:color="auto"/>
            </w:tcBorders>
          </w:tcPr>
          <w:p w:rsidR="009C13A9" w:rsidRPr="00C903F8" w:rsidRDefault="009C13A9" w:rsidP="009C13A9">
            <w:pPr>
              <w:tabs>
                <w:tab w:val="left" w:pos="1844"/>
              </w:tabs>
              <w:overflowPunct w:val="0"/>
              <w:adjustRightInd w:val="0"/>
              <w:spacing w:before="20" w:after="20"/>
              <w:ind w:left="1844" w:hanging="1844"/>
              <w:jc w:val="left"/>
              <w:textAlignment w:val="baseline"/>
              <w:rPr>
                <w:rFonts w:cs="Arial"/>
                <w:sz w:val="18"/>
                <w:szCs w:val="20"/>
              </w:rPr>
            </w:pPr>
            <w:r>
              <w:rPr>
                <w:noProof/>
                <w:sz w:val="18"/>
              </w:rPr>
              <w:t>Sistema di comunicazione</w:t>
            </w:r>
            <w:r>
              <w:tab/>
            </w:r>
            <w:r>
              <w:rPr>
                <w:sz w:val="18"/>
              </w:rPr>
              <w:t>bilaterale alternativo*)</w:t>
            </w:r>
          </w:p>
          <w:p w:rsidR="009C13A9" w:rsidRPr="00C903F8" w:rsidRDefault="009C13A9" w:rsidP="009C13A9">
            <w:pPr>
              <w:tabs>
                <w:tab w:val="left" w:pos="1844"/>
              </w:tabs>
              <w:overflowPunct w:val="0"/>
              <w:adjustRightInd w:val="0"/>
              <w:spacing w:before="20" w:after="20"/>
              <w:ind w:left="1844" w:hanging="1844"/>
              <w:jc w:val="left"/>
              <w:textAlignment w:val="baseline"/>
              <w:rPr>
                <w:rFonts w:cs="Arial"/>
                <w:sz w:val="18"/>
                <w:szCs w:val="20"/>
              </w:rPr>
            </w:pPr>
            <w:r>
              <w:rPr>
                <w:noProof/>
                <w:sz w:val="18"/>
              </w:rPr>
              <w:t>vocale</w:t>
            </w:r>
            <w:r>
              <w:tab/>
            </w:r>
            <w:r>
              <w:rPr>
                <w:noProof/>
                <w:sz w:val="18"/>
              </w:rPr>
              <w:t>bilaterale-simultaneo/telefono *)</w:t>
            </w:r>
          </w:p>
          <w:p w:rsidR="009C13A9" w:rsidRPr="00C903F8" w:rsidRDefault="009C13A9" w:rsidP="009C13A9">
            <w:pPr>
              <w:tabs>
                <w:tab w:val="left" w:pos="1844"/>
                <w:tab w:val="left" w:pos="1910"/>
              </w:tabs>
              <w:overflowPunct w:val="0"/>
              <w:adjustRightInd w:val="0"/>
              <w:spacing w:before="20" w:after="20"/>
              <w:ind w:left="1844" w:hanging="1844"/>
              <w:jc w:val="left"/>
              <w:textAlignment w:val="baseline"/>
              <w:rPr>
                <w:rFonts w:cs="Arial"/>
                <w:sz w:val="18"/>
                <w:szCs w:val="20"/>
              </w:rPr>
            </w:pPr>
            <w:r>
              <w:tab/>
            </w:r>
            <w:r>
              <w:rPr>
                <w:noProof/>
                <w:sz w:val="18"/>
              </w:rPr>
              <w:t xml:space="preserve">collegamento mediante radiotelefono interno *) </w:t>
            </w:r>
          </w:p>
          <w:p w:rsidR="009C13A9" w:rsidRPr="00C903F8" w:rsidRDefault="009C13A9" w:rsidP="009C13A9">
            <w:pPr>
              <w:tabs>
                <w:tab w:val="left" w:pos="1844"/>
                <w:tab w:val="left" w:pos="1910"/>
              </w:tabs>
              <w:overflowPunct w:val="0"/>
              <w:adjustRightInd w:val="0"/>
              <w:spacing w:before="20" w:after="20"/>
              <w:ind w:left="1844" w:hanging="1844"/>
              <w:jc w:val="left"/>
              <w:textAlignment w:val="baseline"/>
              <w:rPr>
                <w:rFonts w:cs="Arial"/>
                <w:sz w:val="18"/>
                <w:szCs w:val="20"/>
              </w:rPr>
            </w:pPr>
          </w:p>
          <w:p w:rsidR="009C13A9" w:rsidRPr="00C903F8" w:rsidRDefault="009C13A9" w:rsidP="009C13A9">
            <w:pPr>
              <w:tabs>
                <w:tab w:val="left" w:pos="1702"/>
              </w:tabs>
              <w:overflowPunct w:val="0"/>
              <w:adjustRightInd w:val="0"/>
              <w:spacing w:before="20" w:after="20"/>
              <w:ind w:left="1702" w:hanging="1702"/>
              <w:jc w:val="left"/>
              <w:textAlignment w:val="baseline"/>
              <w:rPr>
                <w:rFonts w:cs="Arial"/>
                <w:sz w:val="18"/>
                <w:szCs w:val="20"/>
              </w:rPr>
            </w:pPr>
            <w:r>
              <w:rPr>
                <w:noProof/>
                <w:sz w:val="18"/>
              </w:rPr>
              <w:t>Sistemi di</w:t>
            </w:r>
            <w:r>
              <w:tab/>
            </w:r>
            <w:r>
              <w:rPr>
                <w:noProof/>
                <w:sz w:val="18"/>
              </w:rPr>
              <w:t>rete nave-nave</w:t>
            </w:r>
          </w:p>
          <w:p w:rsidR="009C13A9" w:rsidRPr="00C903F8" w:rsidRDefault="009C13A9" w:rsidP="009C13A9">
            <w:pPr>
              <w:tabs>
                <w:tab w:val="left" w:pos="1702"/>
              </w:tabs>
              <w:overflowPunct w:val="0"/>
              <w:adjustRightInd w:val="0"/>
              <w:spacing w:before="20" w:after="20"/>
              <w:ind w:left="1702" w:hanging="1702"/>
              <w:jc w:val="left"/>
              <w:textAlignment w:val="baseline"/>
              <w:rPr>
                <w:rFonts w:cs="Arial"/>
                <w:sz w:val="18"/>
                <w:szCs w:val="20"/>
              </w:rPr>
            </w:pPr>
            <w:r>
              <w:rPr>
                <w:sz w:val="18"/>
              </w:rPr>
              <w:t>radiofonia</w:t>
            </w:r>
            <w:r>
              <w:tab/>
            </w:r>
            <w:r>
              <w:rPr>
                <w:noProof/>
                <w:sz w:val="18"/>
              </w:rPr>
              <w:t>rete di informazioni nautiche</w:t>
            </w:r>
          </w:p>
          <w:p w:rsidR="009C13A9" w:rsidRPr="00C903F8" w:rsidRDefault="009C13A9" w:rsidP="009C13A9">
            <w:pPr>
              <w:tabs>
                <w:tab w:val="left" w:pos="1702"/>
              </w:tabs>
              <w:overflowPunct w:val="0"/>
              <w:adjustRightInd w:val="0"/>
              <w:spacing w:before="20" w:after="20"/>
              <w:ind w:left="1702" w:hanging="1702"/>
              <w:jc w:val="left"/>
              <w:textAlignment w:val="baseline"/>
              <w:rPr>
                <w:rFonts w:cs="Arial"/>
                <w:sz w:val="18"/>
                <w:szCs w:val="20"/>
              </w:rPr>
            </w:pPr>
            <w:r>
              <w:tab/>
            </w:r>
            <w:r>
              <w:rPr>
                <w:noProof/>
                <w:sz w:val="18"/>
              </w:rPr>
              <w:t>rete nave-autorità portuali</w:t>
            </w:r>
          </w:p>
          <w:p w:rsidR="009C13A9" w:rsidRPr="00C903F8" w:rsidRDefault="009C13A9" w:rsidP="009C13A9">
            <w:pPr>
              <w:tabs>
                <w:tab w:val="left" w:pos="1702"/>
              </w:tabs>
              <w:overflowPunct w:val="0"/>
              <w:adjustRightInd w:val="0"/>
              <w:spacing w:before="20" w:after="20"/>
              <w:ind w:left="1702" w:hanging="1702"/>
              <w:jc w:val="left"/>
              <w:textAlignment w:val="baseline"/>
              <w:rPr>
                <w:rFonts w:cs="Arial"/>
                <w:sz w:val="18"/>
                <w:szCs w:val="20"/>
              </w:rPr>
            </w:pPr>
          </w:p>
          <w:p w:rsidR="009C13A9" w:rsidRPr="00C903F8" w:rsidRDefault="009C13A9" w:rsidP="009C13A9">
            <w:pPr>
              <w:tabs>
                <w:tab w:val="left" w:pos="1702"/>
              </w:tabs>
              <w:overflowPunct w:val="0"/>
              <w:adjustRightInd w:val="0"/>
              <w:spacing w:before="20" w:after="20"/>
              <w:ind w:left="1702" w:hanging="1702"/>
              <w:jc w:val="left"/>
              <w:textAlignment w:val="baseline"/>
              <w:rPr>
                <w:rFonts w:cs="Arial"/>
                <w:sz w:val="18"/>
                <w:szCs w:val="20"/>
              </w:rPr>
            </w:pPr>
            <w:r>
              <w:rPr>
                <w:noProof/>
                <w:sz w:val="18"/>
              </w:rPr>
              <w:t>Gru</w:t>
            </w:r>
            <w:r>
              <w:tab/>
            </w:r>
            <w:r>
              <w:rPr>
                <w:sz w:val="18"/>
              </w:rPr>
              <w:t>ai sensi dell'articolo 14.12, paragrafo 9*)</w:t>
            </w:r>
          </w:p>
          <w:p w:rsidR="009C13A9" w:rsidRPr="00C903F8" w:rsidRDefault="009C13A9" w:rsidP="009C13A9">
            <w:pPr>
              <w:tabs>
                <w:tab w:val="left" w:pos="1702"/>
              </w:tabs>
              <w:overflowPunct w:val="0"/>
              <w:adjustRightInd w:val="0"/>
              <w:spacing w:before="20" w:after="20"/>
              <w:ind w:left="1702" w:hanging="1702"/>
              <w:jc w:val="left"/>
              <w:textAlignment w:val="baseline"/>
              <w:rPr>
                <w:rFonts w:cs="Arial"/>
                <w:sz w:val="18"/>
                <w:szCs w:val="20"/>
              </w:rPr>
            </w:pPr>
            <w:r>
              <w:tab/>
            </w:r>
            <w:r>
              <w:rPr>
                <w:noProof/>
                <w:sz w:val="18"/>
              </w:rPr>
              <w:t>altre gru con carico utile fino a 2 000 kg *)</w:t>
            </w:r>
          </w:p>
        </w:tc>
      </w:tr>
      <w:tr w:rsidR="009C13A9" w:rsidRPr="00A0619C" w:rsidTr="009C13A9">
        <w:trPr>
          <w:gridAfter w:val="1"/>
          <w:wAfter w:w="6" w:type="dxa"/>
          <w:cantSplit/>
          <w:jc w:val="center"/>
        </w:trPr>
        <w:tc>
          <w:tcPr>
            <w:tcW w:w="284" w:type="dxa"/>
            <w:tcBorders>
              <w:top w:val="single" w:sz="6" w:space="0" w:color="auto"/>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vertAlign w:val="superscript"/>
              </w:rPr>
            </w:pPr>
            <w:r>
              <w:rPr>
                <w:sz w:val="18"/>
              </w:rPr>
              <w:t>43.</w:t>
            </w:r>
          </w:p>
        </w:tc>
        <w:tc>
          <w:tcPr>
            <w:tcW w:w="8896" w:type="dxa"/>
            <w:gridSpan w:val="2"/>
            <w:tcBorders>
              <w:top w:val="single" w:sz="6" w:space="0" w:color="auto"/>
              <w:right w:val="single" w:sz="6" w:space="0" w:color="auto"/>
            </w:tcBorders>
          </w:tcPr>
          <w:p w:rsidR="009C13A9" w:rsidRPr="00C903F8" w:rsidRDefault="009C13A9" w:rsidP="009C13A9">
            <w:pPr>
              <w:overflowPunct w:val="0"/>
              <w:adjustRightInd w:val="0"/>
              <w:spacing w:before="120"/>
              <w:ind w:left="57" w:firstLine="0"/>
              <w:jc w:val="left"/>
              <w:textAlignment w:val="baseline"/>
              <w:rPr>
                <w:rFonts w:cs="Arial"/>
                <w:sz w:val="18"/>
                <w:szCs w:val="20"/>
              </w:rPr>
            </w:pPr>
            <w:r>
              <w:rPr>
                <w:noProof/>
                <w:sz w:val="18"/>
              </w:rPr>
              <w:t>Dispositivi antincendio</w:t>
            </w:r>
          </w:p>
          <w:p w:rsidR="009C13A9" w:rsidRPr="00C903F8" w:rsidRDefault="009C13A9" w:rsidP="009C13A9">
            <w:pPr>
              <w:overflowPunct w:val="0"/>
              <w:adjustRightInd w:val="0"/>
              <w:ind w:left="57" w:firstLine="0"/>
              <w:jc w:val="left"/>
              <w:textAlignment w:val="baseline"/>
              <w:rPr>
                <w:rFonts w:cs="Arial"/>
                <w:sz w:val="18"/>
                <w:szCs w:val="20"/>
              </w:rPr>
            </w:pPr>
            <w:r>
              <w:rPr>
                <w:noProof/>
                <w:sz w:val="18"/>
              </w:rPr>
              <w:t>Numero di estintori portatili... ..., pompe antincendio ...., idranti ... ...,</w:t>
            </w:r>
          </w:p>
          <w:p w:rsidR="009C13A9" w:rsidRPr="00C903F8" w:rsidRDefault="009C13A9" w:rsidP="009C13A9">
            <w:pPr>
              <w:tabs>
                <w:tab w:val="left" w:pos="5690"/>
              </w:tabs>
              <w:overflowPunct w:val="0"/>
              <w:adjustRightInd w:val="0"/>
              <w:ind w:left="57" w:firstLine="0"/>
              <w:jc w:val="left"/>
              <w:textAlignment w:val="baseline"/>
              <w:rPr>
                <w:rFonts w:cs="Arial"/>
                <w:noProof/>
                <w:sz w:val="18"/>
                <w:szCs w:val="20"/>
              </w:rPr>
            </w:pPr>
            <w:r>
              <w:rPr>
                <w:noProof/>
                <w:sz w:val="18"/>
              </w:rPr>
              <w:t xml:space="preserve">Sistemi antincendio fissi in alloggi, ecc. </w:t>
            </w:r>
            <w:r>
              <w:tab/>
            </w:r>
            <w:r>
              <w:rPr>
                <w:noProof/>
                <w:sz w:val="18"/>
              </w:rPr>
              <w:t>N. / Numero .......*)</w:t>
            </w:r>
          </w:p>
          <w:p w:rsidR="009C13A9" w:rsidRPr="00C903F8" w:rsidRDefault="009C13A9" w:rsidP="009C13A9">
            <w:pPr>
              <w:tabs>
                <w:tab w:val="left" w:pos="5690"/>
              </w:tabs>
              <w:overflowPunct w:val="0"/>
              <w:adjustRightInd w:val="0"/>
              <w:ind w:left="57" w:firstLine="0"/>
              <w:jc w:val="left"/>
              <w:textAlignment w:val="baseline"/>
              <w:rPr>
                <w:rFonts w:cs="Arial"/>
                <w:sz w:val="18"/>
                <w:szCs w:val="20"/>
              </w:rPr>
            </w:pPr>
            <w:r>
              <w:rPr>
                <w:noProof/>
                <w:sz w:val="18"/>
              </w:rPr>
              <w:t>Sistemi antincendio fissi nelle sale macchine, ecc.</w:t>
            </w:r>
            <w:r>
              <w:tab/>
            </w:r>
            <w:r>
              <w:rPr>
                <w:noProof/>
                <w:sz w:val="18"/>
              </w:rPr>
              <w:t>N. / Numero .......*)</w:t>
            </w:r>
          </w:p>
          <w:p w:rsidR="009C13A9" w:rsidRPr="00C903F8" w:rsidRDefault="009C13A9" w:rsidP="009C13A9">
            <w:pPr>
              <w:tabs>
                <w:tab w:val="left" w:pos="57"/>
                <w:tab w:val="left" w:pos="3289"/>
                <w:tab w:val="left" w:pos="3686"/>
                <w:tab w:val="left" w:pos="5724"/>
              </w:tabs>
              <w:overflowPunct w:val="0"/>
              <w:adjustRightInd w:val="0"/>
              <w:spacing w:after="60"/>
              <w:ind w:left="57" w:firstLine="0"/>
              <w:jc w:val="left"/>
              <w:textAlignment w:val="baseline"/>
              <w:rPr>
                <w:rFonts w:cs="Arial"/>
                <w:sz w:val="18"/>
                <w:szCs w:val="20"/>
              </w:rPr>
            </w:pPr>
            <w:r>
              <w:rPr>
                <w:noProof/>
                <w:sz w:val="18"/>
              </w:rPr>
              <w:t>La pompa di sentina a motore sostituisce una pompa antincendio</w:t>
            </w:r>
            <w:r>
              <w:tab/>
            </w:r>
            <w:r>
              <w:rPr>
                <w:noProof/>
                <w:sz w:val="18"/>
              </w:rPr>
              <w:t>Sì/No</w:t>
            </w:r>
            <w:r>
              <w:rPr>
                <w:noProof/>
                <w:sz w:val="18"/>
                <w:vertAlign w:val="superscript"/>
              </w:rPr>
              <w:t>*)</w:t>
            </w:r>
          </w:p>
        </w:tc>
      </w:tr>
      <w:tr w:rsidR="009C13A9" w:rsidRPr="00A0619C" w:rsidTr="009C13A9">
        <w:trPr>
          <w:cantSplit/>
          <w:jc w:val="center"/>
        </w:trPr>
        <w:tc>
          <w:tcPr>
            <w:tcW w:w="284" w:type="dxa"/>
            <w:tcBorders>
              <w:top w:val="single" w:sz="6" w:space="0" w:color="auto"/>
              <w:left w:val="single" w:sz="6" w:space="0" w:color="auto"/>
            </w:tcBorders>
          </w:tcPr>
          <w:p w:rsidR="009C13A9" w:rsidRPr="00C903F8" w:rsidRDefault="009C13A9" w:rsidP="009C13A9">
            <w:pPr>
              <w:tabs>
                <w:tab w:val="left" w:pos="57"/>
                <w:tab w:val="left" w:pos="227"/>
              </w:tabs>
              <w:overflowPunct w:val="0"/>
              <w:adjustRightInd w:val="0"/>
              <w:spacing w:before="60"/>
              <w:ind w:left="0" w:firstLine="0"/>
              <w:jc w:val="left"/>
              <w:textAlignment w:val="baseline"/>
              <w:rPr>
                <w:rFonts w:cs="Arial"/>
                <w:sz w:val="18"/>
                <w:szCs w:val="20"/>
                <w:vertAlign w:val="superscript"/>
              </w:rPr>
            </w:pPr>
            <w:r>
              <w:rPr>
                <w:sz w:val="18"/>
              </w:rPr>
              <w:t>44.</w:t>
            </w:r>
          </w:p>
        </w:tc>
        <w:tc>
          <w:tcPr>
            <w:tcW w:w="8902" w:type="dxa"/>
            <w:gridSpan w:val="3"/>
            <w:tcBorders>
              <w:top w:val="single" w:sz="6" w:space="0" w:color="auto"/>
              <w:right w:val="single" w:sz="6" w:space="0" w:color="auto"/>
            </w:tcBorders>
          </w:tcPr>
          <w:p w:rsidR="009C13A9" w:rsidRPr="00C903F8" w:rsidRDefault="009C13A9" w:rsidP="009C13A9">
            <w:pPr>
              <w:overflowPunct w:val="0"/>
              <w:adjustRightInd w:val="0"/>
              <w:spacing w:before="60"/>
              <w:ind w:left="57" w:right="57" w:firstLine="0"/>
              <w:textAlignment w:val="baseline"/>
              <w:rPr>
                <w:rFonts w:cs="Arial"/>
                <w:noProof/>
                <w:sz w:val="18"/>
                <w:szCs w:val="20"/>
              </w:rPr>
            </w:pPr>
            <w:r>
              <w:rPr>
                <w:noProof/>
                <w:sz w:val="18"/>
              </w:rPr>
              <w:t>Mezzi di salvataggio collettivi</w:t>
            </w:r>
          </w:p>
          <w:p w:rsidR="009C13A9" w:rsidRPr="00C903F8" w:rsidRDefault="00C62508" w:rsidP="009C13A9">
            <w:pPr>
              <w:overflowPunct w:val="0"/>
              <w:adjustRightInd w:val="0"/>
              <w:spacing w:before="60"/>
              <w:ind w:left="57" w:right="57" w:firstLine="0"/>
              <w:textAlignment w:val="baseline"/>
              <w:rPr>
                <w:rFonts w:cs="Arial"/>
                <w:sz w:val="18"/>
                <w:szCs w:val="20"/>
              </w:rPr>
            </w:pPr>
            <w:r>
              <w:rPr>
                <w:noProof/>
                <w:sz w:val="18"/>
              </w:rPr>
              <w:t>Numero di salvagenti galleggianti ... ..., di cui con luce ....., con cima ..... *)</w:t>
            </w:r>
          </w:p>
          <w:p w:rsidR="009C13A9" w:rsidRPr="00C903F8" w:rsidRDefault="009C13A9" w:rsidP="009C13A9">
            <w:pPr>
              <w:overflowPunct w:val="0"/>
              <w:adjustRightInd w:val="0"/>
              <w:spacing w:before="60"/>
              <w:ind w:left="57" w:right="57" w:firstLine="0"/>
              <w:textAlignment w:val="baseline"/>
              <w:rPr>
                <w:rFonts w:cs="Arial"/>
                <w:sz w:val="18"/>
                <w:szCs w:val="20"/>
              </w:rPr>
            </w:pPr>
            <w:r>
              <w:t>Deve essere presente un giubbotto di salvataggio per ogni persona regolarmente imbarcata</w:t>
            </w:r>
            <w:r>
              <w:rPr>
                <w:sz w:val="18"/>
              </w:rPr>
              <w:t xml:space="preserve"> / conformemente all'articolo 13.08, paragrafo 2</w:t>
            </w:r>
            <w:r>
              <w:rPr>
                <w:position w:val="6"/>
                <w:sz w:val="16"/>
              </w:rPr>
              <w:t>*)</w:t>
            </w:r>
          </w:p>
          <w:p w:rsidR="009C13A9" w:rsidRPr="00C903F8" w:rsidRDefault="009C13A9" w:rsidP="009C13A9">
            <w:pPr>
              <w:overflowPunct w:val="0"/>
              <w:adjustRightInd w:val="0"/>
              <w:spacing w:before="60"/>
              <w:ind w:left="57" w:right="57" w:firstLine="0"/>
              <w:textAlignment w:val="baseline"/>
              <w:rPr>
                <w:rFonts w:cs="Arial"/>
                <w:sz w:val="18"/>
                <w:szCs w:val="20"/>
              </w:rPr>
            </w:pPr>
            <w:r>
              <w:rPr>
                <w:sz w:val="18"/>
              </w:rPr>
              <w:t>Lancia dotata di un paio di remi, una cima d'ormeggio, una sassola</w:t>
            </w:r>
            <w:r>
              <w:t xml:space="preserve"> / conformemente alla norma europea</w:t>
            </w:r>
            <w:r>
              <w:rPr>
                <w:position w:val="6"/>
                <w:sz w:val="16"/>
              </w:rPr>
              <w:t>*)</w:t>
            </w:r>
          </w:p>
          <w:p w:rsidR="009C13A9" w:rsidRPr="00C903F8" w:rsidRDefault="009C13A9" w:rsidP="009C13A9">
            <w:pPr>
              <w:overflowPunct w:val="0"/>
              <w:adjustRightInd w:val="0"/>
              <w:spacing w:before="60"/>
              <w:ind w:left="57" w:right="57" w:firstLine="0"/>
              <w:textAlignment w:val="baseline"/>
              <w:rPr>
                <w:rFonts w:cs="Arial"/>
                <w:sz w:val="18"/>
                <w:szCs w:val="20"/>
              </w:rPr>
            </w:pPr>
            <w:r>
              <w:rPr>
                <w:sz w:val="18"/>
              </w:rPr>
              <w:t>Piattaforma o installazione conformemente all'articolo 19.15, paragrafi 4 o 5</w:t>
            </w:r>
            <w:r>
              <w:rPr>
                <w:position w:val="6"/>
                <w:sz w:val="16"/>
              </w:rPr>
              <w:t>*)</w:t>
            </w:r>
          </w:p>
          <w:p w:rsidR="009C13A9" w:rsidRPr="00C903F8" w:rsidRDefault="009C13A9" w:rsidP="009C13A9">
            <w:pPr>
              <w:tabs>
                <w:tab w:val="left" w:leader="dot" w:pos="8505"/>
              </w:tabs>
              <w:overflowPunct w:val="0"/>
              <w:adjustRightInd w:val="0"/>
              <w:spacing w:before="60"/>
              <w:ind w:left="57" w:right="57" w:firstLine="0"/>
              <w:textAlignment w:val="baseline"/>
              <w:rPr>
                <w:rFonts w:cs="Arial"/>
                <w:sz w:val="18"/>
                <w:szCs w:val="20"/>
              </w:rPr>
            </w:pPr>
            <w:r>
              <w:rPr>
                <w:sz w:val="18"/>
              </w:rPr>
              <w:t xml:space="preserve">Numero, tipo e sito/i di installazione dei mezzi per permettere alle persone di essere trasferite in sicurezza in acque poco profonde, a riva o su un'altra imbarcazione conformemente all'articolo 19.09, paragrafo 3 </w:t>
            </w:r>
            <w:r>
              <w:tab/>
            </w:r>
          </w:p>
          <w:p w:rsidR="009C13A9" w:rsidRPr="00C903F8" w:rsidRDefault="009C13A9" w:rsidP="009C13A9">
            <w:pPr>
              <w:tabs>
                <w:tab w:val="left" w:leader="dot" w:pos="8505"/>
              </w:tabs>
              <w:overflowPunct w:val="0"/>
              <w:adjustRightInd w:val="0"/>
              <w:spacing w:before="60"/>
              <w:ind w:left="57" w:right="57" w:firstLine="0"/>
              <w:textAlignment w:val="baseline"/>
              <w:rPr>
                <w:rFonts w:cs="Arial"/>
                <w:sz w:val="18"/>
                <w:szCs w:val="20"/>
              </w:rPr>
            </w:pPr>
            <w:r>
              <w:tab/>
            </w:r>
          </w:p>
          <w:p w:rsidR="009C13A9" w:rsidRPr="00C903F8" w:rsidRDefault="009C13A9" w:rsidP="009C13A9">
            <w:pPr>
              <w:tabs>
                <w:tab w:val="left" w:leader="dot" w:pos="8505"/>
              </w:tabs>
              <w:overflowPunct w:val="0"/>
              <w:adjustRightInd w:val="0"/>
              <w:spacing w:before="60"/>
              <w:ind w:left="57" w:right="57" w:firstLine="0"/>
              <w:textAlignment w:val="baseline"/>
              <w:rPr>
                <w:rFonts w:cs="Arial"/>
                <w:sz w:val="18"/>
                <w:szCs w:val="20"/>
              </w:rPr>
            </w:pPr>
            <w:r>
              <w:tab/>
            </w:r>
          </w:p>
          <w:p w:rsidR="009C13A9" w:rsidRPr="00C903F8" w:rsidRDefault="009C13A9" w:rsidP="009C13A9">
            <w:pPr>
              <w:overflowPunct w:val="0"/>
              <w:adjustRightInd w:val="0"/>
              <w:spacing w:before="60"/>
              <w:ind w:left="57" w:right="57" w:firstLine="0"/>
              <w:textAlignment w:val="baseline"/>
              <w:rPr>
                <w:rFonts w:cs="Arial"/>
                <w:noProof/>
                <w:sz w:val="18"/>
                <w:szCs w:val="20"/>
              </w:rPr>
            </w:pPr>
            <w:r>
              <w:rPr>
                <w:sz w:val="18"/>
              </w:rPr>
              <w:t>Numero di mezzi di salvataggio individuali per il personale di bordo ....., di cui conformi all'articolo 13.08, paragrafo 2 .....</w:t>
            </w:r>
            <w:r>
              <w:rPr>
                <w:position w:val="6"/>
                <w:sz w:val="16"/>
              </w:rPr>
              <w:t xml:space="preserve"> *)</w:t>
            </w:r>
          </w:p>
          <w:p w:rsidR="009C13A9" w:rsidRPr="00C903F8" w:rsidRDefault="009C13A9" w:rsidP="009C13A9">
            <w:pPr>
              <w:overflowPunct w:val="0"/>
              <w:adjustRightInd w:val="0"/>
              <w:spacing w:before="60"/>
              <w:ind w:left="57" w:right="57" w:firstLine="0"/>
              <w:textAlignment w:val="baseline"/>
              <w:rPr>
                <w:rFonts w:cs="Arial"/>
                <w:sz w:val="18"/>
                <w:szCs w:val="20"/>
              </w:rPr>
            </w:pPr>
            <w:r>
              <w:rPr>
                <w:noProof/>
                <w:sz w:val="18"/>
              </w:rPr>
              <w:t>Numero di mezzi di salvataggio individuali per i passeggeri ..... *)</w:t>
            </w:r>
          </w:p>
          <w:p w:rsidR="009C13A9" w:rsidRPr="00C903F8" w:rsidRDefault="009C13A9" w:rsidP="009C13A9">
            <w:pPr>
              <w:overflowPunct w:val="0"/>
              <w:adjustRightInd w:val="0"/>
              <w:spacing w:before="60"/>
              <w:ind w:left="57" w:right="57" w:firstLine="0"/>
              <w:textAlignment w:val="baseline"/>
              <w:rPr>
                <w:rFonts w:cs="Arial"/>
                <w:sz w:val="18"/>
                <w:szCs w:val="18"/>
              </w:rPr>
            </w:pPr>
            <w:r>
              <w:rPr>
                <w:sz w:val="18"/>
              </w:rPr>
              <w:t>Mezzi di salvataggio collettivi, rispetto al numero, equivalente a ... ..... mezzi di salvataggio individuali*)</w:t>
            </w:r>
          </w:p>
          <w:p w:rsidR="009C13A9" w:rsidRPr="00C903F8" w:rsidRDefault="009C13A9" w:rsidP="009C13A9">
            <w:pPr>
              <w:tabs>
                <w:tab w:val="left" w:leader="dot" w:pos="8505"/>
              </w:tabs>
              <w:overflowPunct w:val="0"/>
              <w:adjustRightInd w:val="0"/>
              <w:spacing w:before="60"/>
              <w:ind w:left="57" w:right="57" w:firstLine="0"/>
              <w:textAlignment w:val="baseline"/>
            </w:pPr>
            <w:r>
              <w:rPr>
                <w:sz w:val="18"/>
              </w:rPr>
              <w:t>Due apparecchi autorespiratori, due equipaggiamenti, numero di .......... maschere antifumo*)</w:t>
            </w:r>
            <w:r>
              <w:t xml:space="preserve"> </w:t>
            </w:r>
          </w:p>
          <w:p w:rsidR="009C13A9" w:rsidRPr="00C903F8" w:rsidRDefault="009C13A9" w:rsidP="009C13A9">
            <w:pPr>
              <w:tabs>
                <w:tab w:val="left" w:leader="dot" w:pos="8505"/>
              </w:tabs>
              <w:overflowPunct w:val="0"/>
              <w:adjustRightInd w:val="0"/>
              <w:spacing w:before="60"/>
              <w:ind w:left="57" w:right="57" w:firstLine="0"/>
              <w:textAlignment w:val="baseline"/>
              <w:rPr>
                <w:rFonts w:cs="Arial"/>
                <w:sz w:val="18"/>
                <w:szCs w:val="18"/>
              </w:rPr>
            </w:pPr>
            <w:r>
              <w:rPr>
                <w:sz w:val="18"/>
              </w:rPr>
              <w:t>Ruolo d'appello e piano di sicurezza affissi:</w:t>
            </w:r>
            <w:r>
              <w:tab/>
            </w:r>
          </w:p>
          <w:p w:rsidR="009C13A9" w:rsidRPr="00C903F8" w:rsidRDefault="009C13A9" w:rsidP="009C13A9">
            <w:pPr>
              <w:tabs>
                <w:tab w:val="left" w:leader="dot" w:pos="8505"/>
              </w:tabs>
              <w:overflowPunct w:val="0"/>
              <w:adjustRightInd w:val="0"/>
              <w:spacing w:before="60"/>
              <w:ind w:left="57" w:right="57" w:firstLine="0"/>
              <w:textAlignment w:val="baseline"/>
              <w:rPr>
                <w:rFonts w:cs="Arial"/>
                <w:sz w:val="18"/>
                <w:szCs w:val="20"/>
              </w:rPr>
            </w:pPr>
            <w:r>
              <w:tab/>
            </w:r>
          </w:p>
          <w:p w:rsidR="009C13A9" w:rsidRPr="00C903F8" w:rsidRDefault="009C13A9" w:rsidP="009C13A9">
            <w:pPr>
              <w:tabs>
                <w:tab w:val="left" w:leader="dot" w:pos="8505"/>
              </w:tabs>
              <w:overflowPunct w:val="0"/>
              <w:adjustRightInd w:val="0"/>
              <w:spacing w:before="60"/>
              <w:ind w:left="57" w:right="57" w:firstLine="0"/>
              <w:textAlignment w:val="baseline"/>
              <w:rPr>
                <w:rFonts w:cs="Arial"/>
                <w:sz w:val="18"/>
                <w:szCs w:val="20"/>
              </w:rPr>
            </w:pPr>
            <w:r>
              <w:tab/>
            </w:r>
          </w:p>
          <w:p w:rsidR="009C13A9" w:rsidRPr="00C903F8" w:rsidRDefault="009C13A9" w:rsidP="009C13A9">
            <w:pPr>
              <w:tabs>
                <w:tab w:val="left" w:pos="57"/>
                <w:tab w:val="left" w:pos="5103"/>
              </w:tabs>
              <w:overflowPunct w:val="0"/>
              <w:adjustRightInd w:val="0"/>
              <w:ind w:left="0" w:firstLine="0"/>
              <w:jc w:val="left"/>
              <w:textAlignment w:val="baseline"/>
              <w:rPr>
                <w:rFonts w:cs="Arial"/>
                <w:sz w:val="18"/>
                <w:szCs w:val="20"/>
              </w:rPr>
            </w:pPr>
          </w:p>
        </w:tc>
      </w:tr>
      <w:tr w:rsidR="009C13A9" w:rsidRPr="00A0619C"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r>
              <w:rPr>
                <w:sz w:val="18"/>
              </w:rPr>
              <w:t>45.</w:t>
            </w:r>
          </w:p>
        </w:tc>
        <w:tc>
          <w:tcPr>
            <w:tcW w:w="8902" w:type="dxa"/>
            <w:gridSpan w:val="3"/>
            <w:tcBorders>
              <w:top w:val="single" w:sz="6" w:space="0" w:color="auto"/>
              <w:bottom w:val="single" w:sz="6" w:space="0" w:color="auto"/>
              <w:right w:val="single" w:sz="6" w:space="0" w:color="auto"/>
            </w:tcBorders>
          </w:tcPr>
          <w:p w:rsidR="009C13A9" w:rsidRPr="00C903F8" w:rsidRDefault="009C13A9" w:rsidP="009C13A9">
            <w:pPr>
              <w:tabs>
                <w:tab w:val="left" w:pos="57"/>
                <w:tab w:val="left" w:leader="dot" w:pos="8505"/>
              </w:tabs>
              <w:overflowPunct w:val="0"/>
              <w:adjustRightInd w:val="0"/>
              <w:spacing w:before="120"/>
              <w:ind w:left="57" w:right="57" w:firstLine="0"/>
              <w:jc w:val="left"/>
              <w:textAlignment w:val="baseline"/>
              <w:rPr>
                <w:rFonts w:cs="Arial"/>
                <w:sz w:val="18"/>
                <w:szCs w:val="20"/>
              </w:rPr>
            </w:pPr>
            <w:r>
              <w:rPr>
                <w:sz w:val="18"/>
              </w:rPr>
              <w:t>Allestimento speciale della timoneria per la navigazione con radar da parte di una sola persona:</w:t>
            </w:r>
          </w:p>
          <w:p w:rsidR="009C13A9" w:rsidRPr="00C903F8" w:rsidRDefault="009C13A9" w:rsidP="009C13A9">
            <w:pPr>
              <w:tabs>
                <w:tab w:val="left" w:pos="57"/>
                <w:tab w:val="left" w:leader="dot" w:pos="8505"/>
              </w:tabs>
              <w:overflowPunct w:val="0"/>
              <w:adjustRightInd w:val="0"/>
              <w:spacing w:before="120"/>
              <w:ind w:left="57" w:right="57" w:firstLine="0"/>
              <w:jc w:val="left"/>
              <w:textAlignment w:val="baseline"/>
              <w:rPr>
                <w:rFonts w:cs="Arial"/>
                <w:sz w:val="18"/>
                <w:szCs w:val="20"/>
              </w:rPr>
            </w:pPr>
            <w:r>
              <w:rPr>
                <w:sz w:val="18"/>
              </w:rPr>
              <w:t xml:space="preserve">La nave è dotata di una timoneria attrezzata per la navigazione con radar da parte di una sola persona </w:t>
            </w:r>
            <w:r>
              <w:rPr>
                <w:position w:val="6"/>
                <w:sz w:val="16"/>
              </w:rPr>
              <w:t>*)</w:t>
            </w:r>
            <w:r>
              <w:rPr>
                <w:sz w:val="18"/>
              </w:rPr>
              <w:t>.</w:t>
            </w:r>
          </w:p>
          <w:p w:rsidR="009C13A9" w:rsidRPr="00C903F8" w:rsidRDefault="009C13A9" w:rsidP="009C13A9">
            <w:pPr>
              <w:tabs>
                <w:tab w:val="left" w:pos="57"/>
                <w:tab w:val="left" w:pos="5103"/>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bottom w:val="single" w:sz="6" w:space="0" w:color="auto"/>
            </w:tcBorders>
          </w:tcPr>
          <w:p w:rsidR="009C13A9" w:rsidRPr="00C903F8" w:rsidRDefault="009C13A9" w:rsidP="009C13A9">
            <w:pPr>
              <w:tabs>
                <w:tab w:val="left" w:pos="57"/>
              </w:tabs>
              <w:overflowPunct w:val="0"/>
              <w:adjustRightInd w:val="0"/>
              <w:spacing w:before="80"/>
              <w:ind w:left="0" w:firstLine="0"/>
              <w:jc w:val="left"/>
              <w:textAlignment w:val="baseline"/>
              <w:rPr>
                <w:rFonts w:cs="Arial"/>
                <w:sz w:val="18"/>
                <w:szCs w:val="20"/>
              </w:rPr>
            </w:pPr>
            <w:r>
              <w:tab/>
            </w:r>
            <w:r>
              <w:rPr>
                <w:sz w:val="18"/>
              </w:rPr>
              <w:t>*)</w:t>
            </w:r>
            <w:r>
              <w:rPr>
                <w:rFonts w:cs="Arial"/>
                <w:sz w:val="18"/>
                <w:szCs w:val="20"/>
              </w:rPr>
              <w:br/>
            </w:r>
            <w:r>
              <w:rPr>
                <w:rFonts w:cs="Arial"/>
                <w:sz w:val="18"/>
                <w:szCs w:val="20"/>
              </w:rPr>
              <w:br/>
            </w:r>
          </w:p>
          <w:p w:rsidR="009C13A9" w:rsidRPr="00C903F8" w:rsidRDefault="009C13A9" w:rsidP="009C13A9">
            <w:pPr>
              <w:tabs>
                <w:tab w:val="left" w:pos="57"/>
              </w:tabs>
              <w:overflowPunct w:val="0"/>
              <w:adjustRightInd w:val="0"/>
              <w:spacing w:before="80"/>
              <w:ind w:left="0" w:firstLine="0"/>
              <w:jc w:val="left"/>
              <w:textAlignment w:val="baseline"/>
              <w:rPr>
                <w:rFonts w:cs="Arial"/>
                <w:sz w:val="18"/>
                <w:szCs w:val="20"/>
              </w:rPr>
            </w:pPr>
          </w:p>
          <w:p w:rsidR="009C13A9" w:rsidRPr="00C903F8" w:rsidRDefault="009C13A9" w:rsidP="009C13A9">
            <w:pPr>
              <w:tabs>
                <w:tab w:val="left" w:pos="57"/>
              </w:tabs>
              <w:overflowPunct w:val="0"/>
              <w:adjustRightInd w:val="0"/>
              <w:spacing w:before="160"/>
              <w:ind w:left="0" w:firstLine="0"/>
              <w:jc w:val="left"/>
              <w:textAlignment w:val="baseline"/>
              <w:rPr>
                <w:rFonts w:cs="Arial"/>
                <w:sz w:val="18"/>
                <w:szCs w:val="20"/>
              </w:rPr>
            </w:pPr>
            <w:r>
              <w:tab/>
            </w:r>
            <w:r>
              <w:rPr>
                <w:sz w:val="18"/>
              </w:rPr>
              <w:t>*)</w:t>
            </w:r>
          </w:p>
        </w:tc>
        <w:tc>
          <w:tcPr>
            <w:tcW w:w="8902" w:type="dxa"/>
            <w:gridSpan w:val="3"/>
            <w:tcBorders>
              <w:bottom w:val="single" w:sz="6" w:space="0" w:color="auto"/>
              <w:right w:val="single" w:sz="6" w:space="0" w:color="auto"/>
            </w:tcBorders>
          </w:tcPr>
          <w:p w:rsidR="009C13A9" w:rsidRPr="00C903F8" w:rsidRDefault="009C13A9" w:rsidP="009C13A9">
            <w:pPr>
              <w:tabs>
                <w:tab w:val="left" w:pos="57"/>
                <w:tab w:val="left" w:leader="dot" w:pos="3686"/>
              </w:tabs>
              <w:overflowPunct w:val="0"/>
              <w:adjustRightInd w:val="0"/>
              <w:spacing w:before="80" w:after="80"/>
              <w:ind w:left="57" w:right="57" w:firstLine="0"/>
              <w:jc w:val="left"/>
              <w:textAlignment w:val="baseline"/>
              <w:rPr>
                <w:rFonts w:cs="Arial"/>
                <w:sz w:val="18"/>
                <w:szCs w:val="20"/>
              </w:rPr>
            </w:pPr>
            <w:r>
              <w:rPr>
                <w:noProof/>
                <w:sz w:val="18"/>
              </w:rPr>
              <w:t>La presente pagina è stata sostituita.: ....................</w:t>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rPr>
                <w:noProof/>
                <w:sz w:val="18"/>
              </w:rPr>
              <w:t>Nuova formulazione:</w:t>
            </w:r>
            <w:r>
              <w:tab/>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tab/>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tab/>
            </w:r>
          </w:p>
          <w:p w:rsidR="009C13A9" w:rsidRPr="00C903F8" w:rsidRDefault="009C13A9" w:rsidP="009C13A9">
            <w:pPr>
              <w:tabs>
                <w:tab w:val="left" w:leader="dot" w:pos="4536"/>
                <w:tab w:val="center" w:pos="6862"/>
              </w:tabs>
              <w:overflowPunct w:val="0"/>
              <w:adjustRightInd w:val="0"/>
              <w:spacing w:after="80"/>
              <w:ind w:left="57" w:right="57" w:firstLine="0"/>
              <w:textAlignment w:val="baseline"/>
              <w:rPr>
                <w:rFonts w:cs="Arial"/>
                <w:sz w:val="18"/>
                <w:szCs w:val="20"/>
              </w:rPr>
            </w:pPr>
            <w:r>
              <w:rPr>
                <w:sz w:val="18"/>
              </w:rPr>
              <w:t>La presente pagina è stata sostituita.</w:t>
            </w:r>
          </w:p>
          <w:p w:rsidR="009C13A9" w:rsidRPr="00C903F8" w:rsidRDefault="009C13A9" w:rsidP="009C13A9">
            <w:pPr>
              <w:tabs>
                <w:tab w:val="left" w:leader="dot" w:pos="4536"/>
                <w:tab w:val="center" w:pos="6862"/>
              </w:tabs>
              <w:overflowPunct w:val="0"/>
              <w:adjustRightInd w:val="0"/>
              <w:spacing w:after="80"/>
              <w:ind w:left="57" w:right="57" w:firstLine="0"/>
              <w:textAlignment w:val="baseline"/>
              <w:rPr>
                <w:rFonts w:cs="Arial"/>
                <w:sz w:val="18"/>
                <w:szCs w:val="20"/>
              </w:rPr>
            </w:pPr>
            <w:r>
              <w:rPr>
                <w:sz w:val="18"/>
              </w:rPr>
              <w:t xml:space="preserve">Luogo, data </w:t>
            </w:r>
            <w:r>
              <w:tab/>
            </w:r>
            <w:r>
              <w:tab/>
            </w:r>
            <w:r>
              <w:rPr>
                <w:sz w:val="18"/>
              </w:rPr>
              <w:t>Commissione di ispezione</w:t>
            </w:r>
          </w:p>
          <w:p w:rsidR="009C13A9" w:rsidRPr="00C903F8" w:rsidRDefault="009C13A9" w:rsidP="009C13A9">
            <w:pPr>
              <w:tabs>
                <w:tab w:val="left" w:pos="5103"/>
                <w:tab w:val="left" w:leader="dot" w:pos="8505"/>
              </w:tabs>
              <w:overflowPunct w:val="0"/>
              <w:adjustRightInd w:val="0"/>
              <w:ind w:left="0" w:firstLine="0"/>
              <w:textAlignment w:val="baseline"/>
              <w:rPr>
                <w:rFonts w:cs="Arial"/>
                <w:sz w:val="18"/>
                <w:szCs w:val="20"/>
              </w:rPr>
            </w:pPr>
            <w:r>
              <w:tab/>
            </w:r>
            <w:r>
              <w:tab/>
            </w:r>
          </w:p>
          <w:p w:rsidR="009C13A9" w:rsidRPr="00C903F8" w:rsidRDefault="009C13A9" w:rsidP="009C13A9">
            <w:pPr>
              <w:tabs>
                <w:tab w:val="center" w:pos="1701"/>
              </w:tabs>
              <w:overflowPunct w:val="0"/>
              <w:adjustRightInd w:val="0"/>
              <w:spacing w:after="80"/>
              <w:ind w:left="0" w:firstLine="0"/>
              <w:textAlignment w:val="baseline"/>
              <w:rPr>
                <w:rFonts w:cs="Arial"/>
                <w:sz w:val="18"/>
                <w:szCs w:val="20"/>
              </w:rPr>
            </w:pPr>
            <w:r>
              <w:tab/>
            </w:r>
            <w:r>
              <w:rPr>
                <w:sz w:val="18"/>
              </w:rPr>
              <w:t>Timbro</w:t>
            </w:r>
          </w:p>
          <w:p w:rsidR="009C13A9" w:rsidRPr="00C903F8" w:rsidRDefault="009C13A9" w:rsidP="009C13A9">
            <w:pPr>
              <w:tabs>
                <w:tab w:val="left" w:pos="5103"/>
                <w:tab w:val="left" w:leader="dot" w:pos="8505"/>
              </w:tabs>
              <w:overflowPunct w:val="0"/>
              <w:adjustRightInd w:val="0"/>
              <w:ind w:left="0" w:firstLine="0"/>
              <w:textAlignment w:val="baseline"/>
              <w:rPr>
                <w:rFonts w:cs="Arial"/>
                <w:szCs w:val="20"/>
              </w:rPr>
            </w:pPr>
            <w:r>
              <w:tab/>
            </w:r>
            <w:r>
              <w:tab/>
            </w:r>
          </w:p>
          <w:p w:rsidR="009C13A9" w:rsidRPr="00C903F8" w:rsidRDefault="009C13A9" w:rsidP="009C13A9">
            <w:pPr>
              <w:tabs>
                <w:tab w:val="center" w:pos="6862"/>
              </w:tabs>
              <w:overflowPunct w:val="0"/>
              <w:adjustRightInd w:val="0"/>
              <w:ind w:left="0" w:firstLine="0"/>
              <w:textAlignment w:val="baseline"/>
              <w:rPr>
                <w:rFonts w:cs="Arial"/>
                <w:sz w:val="16"/>
                <w:szCs w:val="20"/>
              </w:rPr>
            </w:pPr>
            <w:r>
              <w:tab/>
            </w:r>
            <w:r>
              <w:rPr>
                <w:sz w:val="16"/>
              </w:rPr>
              <w:t>(firma)</w:t>
            </w:r>
          </w:p>
          <w:p w:rsidR="009C13A9" w:rsidRPr="00C903F8" w:rsidRDefault="009C13A9" w:rsidP="009C13A9">
            <w:pPr>
              <w:tabs>
                <w:tab w:val="left" w:pos="113"/>
                <w:tab w:val="left" w:pos="397"/>
                <w:tab w:val="left" w:pos="6237"/>
                <w:tab w:val="left" w:leader="dot" w:pos="9356"/>
              </w:tabs>
              <w:overflowPunct w:val="0"/>
              <w:adjustRightInd w:val="0"/>
              <w:ind w:left="0" w:firstLine="0"/>
              <w:textAlignment w:val="baseline"/>
              <w:rPr>
                <w:rFonts w:cs="Arial"/>
                <w:sz w:val="16"/>
                <w:szCs w:val="20"/>
              </w:rPr>
            </w:pPr>
            <w:r>
              <w:rPr>
                <w:sz w:val="18"/>
              </w:rPr>
              <w:t>_______________________</w:t>
            </w:r>
          </w:p>
          <w:p w:rsidR="009C13A9" w:rsidRPr="00C903F8" w:rsidRDefault="009C13A9" w:rsidP="009C13A9">
            <w:pPr>
              <w:tabs>
                <w:tab w:val="left" w:pos="284"/>
              </w:tabs>
              <w:overflowPunct w:val="0"/>
              <w:adjustRightInd w:val="0"/>
              <w:spacing w:after="40"/>
              <w:ind w:left="57" w:firstLine="0"/>
              <w:jc w:val="left"/>
              <w:textAlignment w:val="baseline"/>
              <w:rPr>
                <w:rFonts w:cs="Arial"/>
                <w:sz w:val="18"/>
                <w:szCs w:val="20"/>
              </w:rPr>
            </w:pPr>
            <w:r>
              <w:rPr>
                <w:position w:val="4"/>
                <w:sz w:val="16"/>
              </w:rPr>
              <w:t>*)</w:t>
            </w:r>
            <w:r>
              <w:tab/>
            </w:r>
            <w:r>
              <w:rPr>
                <w:sz w:val="16"/>
              </w:rPr>
              <w:t>Cancellare le voci non pertinenti.</w:t>
            </w:r>
          </w:p>
        </w:tc>
      </w:tr>
    </w:tbl>
    <w:p w:rsidR="009C13A9" w:rsidRPr="00C903F8" w:rsidRDefault="009C13A9" w:rsidP="00AA5614">
      <w:pPr>
        <w:tabs>
          <w:tab w:val="left" w:leader="dot" w:pos="2835"/>
          <w:tab w:val="left" w:leader="dot" w:pos="5103"/>
        </w:tabs>
        <w:overflowPunct w:val="0"/>
        <w:adjustRightInd w:val="0"/>
        <w:ind w:left="0" w:firstLine="0"/>
        <w:textAlignment w:val="baseline"/>
        <w:rPr>
          <w:rFonts w:cs="Arial"/>
          <w:szCs w:val="20"/>
        </w:rPr>
      </w:pPr>
      <w:r>
        <w:br w:type="page"/>
      </w:r>
      <w:r>
        <w:lastRenderedPageBreak/>
        <w:t xml:space="preserve">certificato per la navigazione interna n. </w:t>
      </w:r>
      <w:r>
        <w:tab/>
        <w:t xml:space="preserve"> della commissione di ispezione </w:t>
      </w:r>
      <w:r>
        <w:tab/>
      </w:r>
    </w:p>
    <w:tbl>
      <w:tblPr>
        <w:tblW w:w="9188" w:type="dxa"/>
        <w:jc w:val="center"/>
        <w:tblLayout w:type="fixed"/>
        <w:tblCellMar>
          <w:left w:w="0" w:type="dxa"/>
          <w:right w:w="0" w:type="dxa"/>
        </w:tblCellMar>
        <w:tblLook w:val="0000" w:firstRow="0" w:lastRow="0" w:firstColumn="0" w:lastColumn="0" w:noHBand="0" w:noVBand="0"/>
      </w:tblPr>
      <w:tblGrid>
        <w:gridCol w:w="284"/>
        <w:gridCol w:w="4253"/>
        <w:gridCol w:w="1418"/>
        <w:gridCol w:w="1418"/>
        <w:gridCol w:w="1418"/>
        <w:gridCol w:w="397"/>
      </w:tblGrid>
      <w:tr w:rsidR="009C13A9" w:rsidRPr="00A0619C"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r>
              <w:rPr>
                <w:sz w:val="18"/>
              </w:rPr>
              <w:t>46.</w:t>
            </w:r>
          </w:p>
        </w:tc>
        <w:tc>
          <w:tcPr>
            <w:tcW w:w="8904" w:type="dxa"/>
            <w:gridSpan w:val="5"/>
            <w:tcBorders>
              <w:top w:val="single" w:sz="6" w:space="0" w:color="auto"/>
              <w:bottom w:val="single" w:sz="6" w:space="0" w:color="auto"/>
              <w:right w:val="single" w:sz="6" w:space="0" w:color="auto"/>
            </w:tcBorders>
          </w:tcPr>
          <w:p w:rsidR="009C13A9" w:rsidRPr="00C903F8" w:rsidRDefault="009C13A9" w:rsidP="009C13A9">
            <w:pPr>
              <w:tabs>
                <w:tab w:val="left" w:pos="5103"/>
              </w:tabs>
              <w:overflowPunct w:val="0"/>
              <w:adjustRightInd w:val="0"/>
              <w:spacing w:before="120"/>
              <w:ind w:left="57" w:firstLine="0"/>
              <w:jc w:val="left"/>
              <w:textAlignment w:val="baseline"/>
              <w:rPr>
                <w:rFonts w:cs="Arial"/>
                <w:sz w:val="18"/>
                <w:szCs w:val="20"/>
              </w:rPr>
            </w:pPr>
            <w:r>
              <w:t>Regime di esercizio conforme a</w:t>
            </w:r>
            <w:r>
              <w:rPr>
                <w:sz w:val="18"/>
              </w:rPr>
              <w:t xml:space="preserve"> [A1</w:t>
            </w:r>
            <w:r>
              <w:rPr>
                <w:sz w:val="16"/>
                <w:vertAlign w:val="superscript"/>
              </w:rPr>
              <w:t>*)</w:t>
            </w:r>
            <w:r>
              <w:rPr>
                <w:sz w:val="18"/>
              </w:rPr>
              <w:t>, A2</w:t>
            </w:r>
            <w:r>
              <w:rPr>
                <w:sz w:val="16"/>
                <w:vertAlign w:val="superscript"/>
              </w:rPr>
              <w:t>*)</w:t>
            </w:r>
            <w:r>
              <w:rPr>
                <w:sz w:val="18"/>
              </w:rPr>
              <w:t>, B</w:t>
            </w:r>
            <w:r>
              <w:rPr>
                <w:sz w:val="16"/>
                <w:vertAlign w:val="superscript"/>
              </w:rPr>
              <w:t>*)</w:t>
            </w:r>
            <w:r>
              <w:rPr>
                <w:sz w:val="18"/>
              </w:rPr>
              <w:t>. / alle disposizioni della legislazione nazionale o internazionale in materia di equipaggio]</w:t>
            </w:r>
          </w:p>
          <w:p w:rsidR="009C13A9" w:rsidRPr="00C903F8" w:rsidRDefault="009C13A9" w:rsidP="009C13A9">
            <w:pPr>
              <w:tabs>
                <w:tab w:val="left" w:pos="57"/>
                <w:tab w:val="left" w:pos="5103"/>
              </w:tabs>
              <w:overflowPunct w:val="0"/>
              <w:adjustRightInd w:val="0"/>
              <w:spacing w:after="120"/>
              <w:ind w:left="0" w:firstLine="0"/>
              <w:jc w:val="left"/>
              <w:textAlignment w:val="baseline"/>
              <w:rPr>
                <w:rFonts w:cs="Arial"/>
                <w:sz w:val="18"/>
                <w:szCs w:val="20"/>
              </w:rPr>
            </w:pPr>
          </w:p>
        </w:tc>
      </w:tr>
      <w:tr w:rsidR="009C13A9" w:rsidRPr="00A0619C" w:rsidTr="009C13A9">
        <w:trPr>
          <w:cantSplit/>
          <w:jc w:val="center"/>
        </w:trPr>
        <w:tc>
          <w:tcPr>
            <w:tcW w:w="284" w:type="dxa"/>
            <w:tcBorders>
              <w:top w:val="single" w:sz="6" w:space="0" w:color="auto"/>
              <w:left w:val="single" w:sz="6" w:space="0" w:color="auto"/>
            </w:tcBorders>
          </w:tcPr>
          <w:p w:rsidR="009C13A9" w:rsidRPr="00C903F8" w:rsidRDefault="009C13A9" w:rsidP="009C13A9">
            <w:pPr>
              <w:tabs>
                <w:tab w:val="left" w:pos="57"/>
                <w:tab w:val="left" w:pos="227"/>
              </w:tabs>
              <w:overflowPunct w:val="0"/>
              <w:adjustRightInd w:val="0"/>
              <w:ind w:left="0" w:firstLine="0"/>
              <w:jc w:val="left"/>
              <w:textAlignment w:val="baseline"/>
              <w:rPr>
                <w:rFonts w:cs="Arial"/>
                <w:sz w:val="18"/>
                <w:szCs w:val="20"/>
              </w:rPr>
            </w:pPr>
            <w:r>
              <w:rPr>
                <w:sz w:val="18"/>
              </w:rPr>
              <w:t>47.</w:t>
            </w:r>
          </w:p>
        </w:tc>
        <w:tc>
          <w:tcPr>
            <w:tcW w:w="8904" w:type="dxa"/>
            <w:gridSpan w:val="5"/>
            <w:tcBorders>
              <w:top w:val="single" w:sz="6" w:space="0" w:color="auto"/>
              <w:right w:val="single" w:sz="6" w:space="0" w:color="auto"/>
            </w:tcBorders>
          </w:tcPr>
          <w:p w:rsidR="009C13A9" w:rsidRPr="00C903F8" w:rsidRDefault="009C13A9" w:rsidP="00C62508">
            <w:pPr>
              <w:tabs>
                <w:tab w:val="left" w:pos="5103"/>
              </w:tabs>
              <w:overflowPunct w:val="0"/>
              <w:adjustRightInd w:val="0"/>
              <w:ind w:left="57" w:firstLine="0"/>
              <w:jc w:val="left"/>
              <w:textAlignment w:val="baseline"/>
              <w:rPr>
                <w:rFonts w:cs="Arial"/>
                <w:sz w:val="18"/>
                <w:szCs w:val="20"/>
              </w:rPr>
            </w:pPr>
            <w:r>
              <w:rPr>
                <w:noProof/>
                <w:sz w:val="18"/>
              </w:rPr>
              <w:t>Dotazioni della nave conformemente all'articolo 31.01</w:t>
            </w:r>
            <w:r>
              <w:rPr>
                <w:noProof/>
                <w:sz w:val="18"/>
                <w:szCs w:val="20"/>
              </w:rPr>
              <w:br/>
            </w:r>
            <w:r>
              <w:rPr>
                <w:noProof/>
                <w:sz w:val="18"/>
              </w:rPr>
              <w:t>La nave rispetta</w:t>
            </w:r>
            <w:r>
              <w:rPr>
                <w:position w:val="6"/>
                <w:sz w:val="16"/>
              </w:rPr>
              <w:t xml:space="preserve"> *)</w:t>
            </w:r>
            <w:r>
              <w:rPr>
                <w:sz w:val="18"/>
              </w:rPr>
              <w:t xml:space="preserve"> / non rispetta </w:t>
            </w:r>
            <w:r>
              <w:rPr>
                <w:position w:val="6"/>
                <w:sz w:val="16"/>
              </w:rPr>
              <w:t>*)</w:t>
            </w:r>
            <w:r>
              <w:rPr>
                <w:sz w:val="18"/>
              </w:rPr>
              <w:t xml:space="preserve"> l'articolo 31.02 (Norma S1)</w:t>
            </w:r>
            <w:r>
              <w:rPr>
                <w:position w:val="6"/>
                <w:sz w:val="16"/>
              </w:rPr>
              <w:t>*)</w:t>
            </w:r>
            <w:r>
              <w:rPr>
                <w:sz w:val="18"/>
              </w:rPr>
              <w:t xml:space="preserve"> / l'articolo 31.03 (Norma S2)</w:t>
            </w:r>
            <w:r>
              <w:rPr>
                <w:position w:val="6"/>
                <w:sz w:val="16"/>
              </w:rPr>
              <w:t>*)</w:t>
            </w:r>
            <w:r>
              <w:rPr>
                <w:sz w:val="18"/>
              </w:rPr>
              <w:t>.</w:t>
            </w:r>
            <w:r>
              <w:rPr>
                <w:rFonts w:cs="Arial"/>
                <w:sz w:val="18"/>
                <w:szCs w:val="18"/>
              </w:rPr>
              <w:br/>
            </w:r>
            <w:r>
              <w:rPr>
                <w:sz w:val="18"/>
              </w:rPr>
              <w:t>[Conformemente all'articolo 3.18 del regolamento per il personale navigante sul Reno / Conformemente a requisiti nazionali o internazionali], occorre aumentare l'equipaggio minimo come segue</w:t>
            </w:r>
            <w:r>
              <w:rPr>
                <w:position w:val="6"/>
                <w:sz w:val="16"/>
              </w:rPr>
              <w:t>*)</w:t>
            </w:r>
            <w:r>
              <w:rPr>
                <w:sz w:val="18"/>
              </w:rPr>
              <w:t xml:space="preserve"> / non occorre aumentarlo</w:t>
            </w:r>
            <w:r>
              <w:rPr>
                <w:position w:val="6"/>
                <w:sz w:val="16"/>
              </w:rPr>
              <w:t>*)</w:t>
            </w:r>
            <w:r>
              <w:rPr>
                <w:sz w:val="18"/>
              </w:rPr>
              <w:t>:</w:t>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4253" w:type="dxa"/>
            <w:tcBorders>
              <w:top w:val="single" w:sz="6" w:space="0" w:color="auto"/>
              <w:left w:val="single" w:sz="6" w:space="0" w:color="auto"/>
              <w:right w:val="single" w:sz="6" w:space="0" w:color="auto"/>
            </w:tcBorders>
          </w:tcPr>
          <w:p w:rsidR="009C13A9" w:rsidRPr="00C903F8" w:rsidRDefault="009C13A9" w:rsidP="009C13A9">
            <w:pPr>
              <w:tabs>
                <w:tab w:val="left" w:pos="57"/>
                <w:tab w:val="left" w:leader="dot" w:pos="8505"/>
              </w:tabs>
              <w:overflowPunct w:val="0"/>
              <w:adjustRightInd w:val="0"/>
              <w:spacing w:before="20" w:after="20"/>
              <w:ind w:left="57" w:hanging="57"/>
              <w:jc w:val="left"/>
              <w:textAlignment w:val="baseline"/>
              <w:rPr>
                <w:rFonts w:cs="Arial"/>
                <w:sz w:val="18"/>
                <w:szCs w:val="20"/>
              </w:rPr>
            </w:pPr>
          </w:p>
        </w:tc>
        <w:tc>
          <w:tcPr>
            <w:tcW w:w="4254" w:type="dxa"/>
            <w:gridSpan w:val="3"/>
            <w:tcBorders>
              <w:top w:val="single" w:sz="6" w:space="0" w:color="auto"/>
              <w:left w:val="single" w:sz="6" w:space="0" w:color="auto"/>
              <w:right w:val="single" w:sz="6" w:space="0" w:color="auto"/>
            </w:tcBorders>
          </w:tcPr>
          <w:p w:rsidR="009C13A9" w:rsidRPr="00C903F8" w:rsidRDefault="009C13A9" w:rsidP="009C13A9">
            <w:pPr>
              <w:tabs>
                <w:tab w:val="center" w:pos="2042"/>
              </w:tabs>
              <w:overflowPunct w:val="0"/>
              <w:adjustRightInd w:val="0"/>
              <w:spacing w:before="20" w:after="20"/>
              <w:ind w:left="0" w:firstLine="0"/>
              <w:jc w:val="center"/>
              <w:textAlignment w:val="baseline"/>
              <w:rPr>
                <w:rFonts w:cs="Arial"/>
                <w:sz w:val="18"/>
                <w:szCs w:val="20"/>
              </w:rPr>
            </w:pPr>
            <w:r>
              <w:rPr>
                <w:sz w:val="18"/>
              </w:rPr>
              <w:t>Regime di esercizio</w:t>
            </w:r>
            <w:r>
              <w:rPr>
                <w:sz w:val="18"/>
                <w:vertAlign w:val="superscript"/>
              </w:rPr>
              <w:footnoteReference w:id="49"/>
            </w:r>
          </w:p>
        </w:tc>
        <w:tc>
          <w:tcPr>
            <w:tcW w:w="397" w:type="dxa"/>
            <w:tcBorders>
              <w:right w:val="single" w:sz="6" w:space="0" w:color="auto"/>
            </w:tcBorders>
          </w:tcPr>
          <w:p w:rsidR="009C13A9" w:rsidRPr="00C903F8" w:rsidRDefault="009C13A9" w:rsidP="009C13A9">
            <w:pPr>
              <w:tabs>
                <w:tab w:val="left" w:pos="57"/>
                <w:tab w:val="left" w:leader="dot" w:pos="8505"/>
              </w:tabs>
              <w:overflowPunct w:val="0"/>
              <w:adjustRightInd w:val="0"/>
              <w:spacing w:before="20" w:after="20"/>
              <w:ind w:left="57" w:hanging="57"/>
              <w:jc w:val="left"/>
              <w:textAlignment w:val="baseline"/>
              <w:rPr>
                <w:rFonts w:cs="Arial"/>
                <w:sz w:val="18"/>
                <w:szCs w:val="20"/>
              </w:rPr>
            </w:pPr>
            <w:r>
              <w:tab/>
            </w:r>
          </w:p>
          <w:p w:rsidR="009C13A9" w:rsidRPr="00C903F8" w:rsidRDefault="009C13A9" w:rsidP="009C13A9">
            <w:pPr>
              <w:tabs>
                <w:tab w:val="left" w:pos="57"/>
                <w:tab w:val="left" w:pos="5103"/>
              </w:tabs>
              <w:overflowPunct w:val="0"/>
              <w:adjustRightInd w:val="0"/>
              <w:spacing w:before="20" w:after="2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4253" w:type="dxa"/>
            <w:tcBorders>
              <w:top w:val="single" w:sz="6" w:space="0" w:color="auto"/>
              <w:left w:val="single" w:sz="6" w:space="0" w:color="auto"/>
              <w:right w:val="single" w:sz="6" w:space="0" w:color="auto"/>
            </w:tcBorders>
          </w:tcPr>
          <w:p w:rsidR="009C13A9" w:rsidRPr="00C903F8" w:rsidRDefault="009C13A9" w:rsidP="009C13A9">
            <w:pPr>
              <w:tabs>
                <w:tab w:val="left" w:pos="57"/>
                <w:tab w:val="left" w:leader="dot" w:pos="3969"/>
                <w:tab w:val="left" w:leader="dot" w:pos="8505"/>
              </w:tabs>
              <w:overflowPunct w:val="0"/>
              <w:adjustRightInd w:val="0"/>
              <w:spacing w:before="20" w:after="20"/>
              <w:ind w:left="57" w:hanging="57"/>
              <w:jc w:val="left"/>
              <w:textAlignment w:val="baseline"/>
              <w:rPr>
                <w:rFonts w:cs="Arial"/>
                <w:sz w:val="18"/>
                <w:szCs w:val="20"/>
              </w:rPr>
            </w:pPr>
          </w:p>
        </w:tc>
        <w:tc>
          <w:tcPr>
            <w:tcW w:w="1418" w:type="dxa"/>
            <w:tcBorders>
              <w:top w:val="single" w:sz="6" w:space="0" w:color="auto"/>
              <w:bottom w:val="single" w:sz="6" w:space="0" w:color="auto"/>
              <w:right w:val="single" w:sz="6" w:space="0" w:color="auto"/>
            </w:tcBorders>
          </w:tcPr>
          <w:p w:rsidR="009C13A9" w:rsidRPr="00C903F8" w:rsidRDefault="009C13A9" w:rsidP="009C13A9">
            <w:pPr>
              <w:tabs>
                <w:tab w:val="center" w:pos="624"/>
              </w:tabs>
              <w:overflowPunct w:val="0"/>
              <w:adjustRightInd w:val="0"/>
              <w:spacing w:before="20" w:after="20"/>
              <w:ind w:left="0" w:firstLine="0"/>
              <w:jc w:val="left"/>
              <w:textAlignment w:val="baseline"/>
              <w:rPr>
                <w:rFonts w:cs="Arial"/>
                <w:sz w:val="18"/>
                <w:szCs w:val="20"/>
              </w:rPr>
            </w:pPr>
            <w:r>
              <w:tab/>
            </w:r>
          </w:p>
        </w:tc>
        <w:tc>
          <w:tcPr>
            <w:tcW w:w="141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center" w:pos="624"/>
              </w:tabs>
              <w:overflowPunct w:val="0"/>
              <w:adjustRightInd w:val="0"/>
              <w:spacing w:before="20" w:after="20"/>
              <w:ind w:left="0" w:firstLine="0"/>
              <w:jc w:val="left"/>
              <w:textAlignment w:val="baseline"/>
              <w:rPr>
                <w:rFonts w:cs="Arial"/>
                <w:sz w:val="18"/>
                <w:szCs w:val="20"/>
              </w:rPr>
            </w:pPr>
            <w:r>
              <w:tab/>
            </w:r>
          </w:p>
        </w:tc>
        <w:tc>
          <w:tcPr>
            <w:tcW w:w="141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center" w:pos="624"/>
              </w:tabs>
              <w:overflowPunct w:val="0"/>
              <w:adjustRightInd w:val="0"/>
              <w:spacing w:before="20" w:after="20"/>
              <w:ind w:left="0" w:firstLine="0"/>
              <w:jc w:val="left"/>
              <w:textAlignment w:val="baseline"/>
              <w:rPr>
                <w:rFonts w:cs="Arial"/>
                <w:sz w:val="18"/>
                <w:szCs w:val="20"/>
              </w:rPr>
            </w:pPr>
            <w:r>
              <w:tab/>
            </w: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20" w:after="2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4253" w:type="dxa"/>
            <w:tcBorders>
              <w:left w:val="single" w:sz="6" w:space="0" w:color="auto"/>
              <w:right w:val="single" w:sz="6" w:space="0" w:color="auto"/>
            </w:tcBorders>
          </w:tcPr>
          <w:p w:rsidR="009C13A9" w:rsidRPr="00C903F8" w:rsidRDefault="009C13A9" w:rsidP="009C13A9">
            <w:pPr>
              <w:tabs>
                <w:tab w:val="left" w:leader="dot" w:pos="3969"/>
                <w:tab w:val="left" w:leader="dot" w:pos="8505"/>
              </w:tabs>
              <w:overflowPunct w:val="0"/>
              <w:adjustRightInd w:val="0"/>
              <w:spacing w:before="20" w:after="20"/>
              <w:ind w:left="57" w:firstLine="0"/>
              <w:jc w:val="left"/>
              <w:textAlignment w:val="baseline"/>
              <w:rPr>
                <w:rFonts w:cs="Arial"/>
                <w:sz w:val="18"/>
                <w:szCs w:val="20"/>
              </w:rPr>
            </w:pPr>
          </w:p>
        </w:tc>
        <w:tc>
          <w:tcPr>
            <w:tcW w:w="1418" w:type="dxa"/>
            <w:tcBorders>
              <w:right w:val="single" w:sz="6" w:space="0" w:color="auto"/>
            </w:tcBorders>
          </w:tcPr>
          <w:p w:rsidR="009C13A9" w:rsidRPr="00C903F8" w:rsidRDefault="009C13A9" w:rsidP="009C13A9">
            <w:pPr>
              <w:tabs>
                <w:tab w:val="left" w:leader="dot" w:pos="1134"/>
                <w:tab w:val="left" w:leader="dot" w:pos="8505"/>
              </w:tabs>
              <w:overflowPunct w:val="0"/>
              <w:adjustRightInd w:val="0"/>
              <w:spacing w:before="20" w:after="20"/>
              <w:ind w:left="0" w:firstLine="0"/>
              <w:jc w:val="left"/>
              <w:textAlignment w:val="baseline"/>
              <w:rPr>
                <w:rFonts w:cs="Arial"/>
                <w:sz w:val="18"/>
                <w:szCs w:val="20"/>
              </w:rPr>
            </w:pPr>
            <w:r>
              <w:tab/>
            </w:r>
          </w:p>
        </w:tc>
        <w:tc>
          <w:tcPr>
            <w:tcW w:w="1418" w:type="dxa"/>
            <w:tcBorders>
              <w:left w:val="single" w:sz="6" w:space="0" w:color="auto"/>
              <w:right w:val="single" w:sz="6" w:space="0" w:color="auto"/>
            </w:tcBorders>
          </w:tcPr>
          <w:p w:rsidR="009C13A9" w:rsidRPr="00C903F8" w:rsidRDefault="009C13A9" w:rsidP="009C13A9">
            <w:pPr>
              <w:tabs>
                <w:tab w:val="left" w:leader="dot" w:pos="1134"/>
                <w:tab w:val="left" w:leader="dot" w:pos="8505"/>
              </w:tabs>
              <w:overflowPunct w:val="0"/>
              <w:adjustRightInd w:val="0"/>
              <w:spacing w:before="20" w:after="20"/>
              <w:ind w:left="0" w:firstLine="0"/>
              <w:jc w:val="left"/>
              <w:textAlignment w:val="baseline"/>
              <w:rPr>
                <w:rFonts w:cs="Arial"/>
                <w:sz w:val="18"/>
                <w:szCs w:val="20"/>
              </w:rPr>
            </w:pPr>
            <w:r>
              <w:tab/>
            </w:r>
          </w:p>
        </w:tc>
        <w:tc>
          <w:tcPr>
            <w:tcW w:w="1418" w:type="dxa"/>
            <w:tcBorders>
              <w:left w:val="single" w:sz="6" w:space="0" w:color="auto"/>
              <w:right w:val="single" w:sz="6" w:space="0" w:color="auto"/>
            </w:tcBorders>
          </w:tcPr>
          <w:p w:rsidR="009C13A9" w:rsidRPr="00C903F8" w:rsidRDefault="009C13A9" w:rsidP="009C13A9">
            <w:pPr>
              <w:tabs>
                <w:tab w:val="left" w:leader="dot" w:pos="1134"/>
                <w:tab w:val="left" w:leader="dot" w:pos="8505"/>
              </w:tabs>
              <w:overflowPunct w:val="0"/>
              <w:adjustRightInd w:val="0"/>
              <w:spacing w:before="20" w:after="20"/>
              <w:ind w:left="0" w:firstLine="0"/>
              <w:jc w:val="left"/>
              <w:textAlignment w:val="baseline"/>
              <w:rPr>
                <w:rFonts w:cs="Arial"/>
                <w:sz w:val="18"/>
                <w:szCs w:val="20"/>
              </w:rPr>
            </w:pPr>
            <w:r>
              <w:tab/>
            </w: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20" w:after="2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4253" w:type="dxa"/>
            <w:tcBorders>
              <w:left w:val="single" w:sz="6" w:space="0" w:color="auto"/>
              <w:bottom w:val="single" w:sz="6" w:space="0" w:color="auto"/>
              <w:right w:val="single" w:sz="6" w:space="0" w:color="auto"/>
            </w:tcBorders>
          </w:tcPr>
          <w:p w:rsidR="009C13A9" w:rsidRPr="00C903F8" w:rsidRDefault="009C13A9" w:rsidP="009C13A9">
            <w:pPr>
              <w:tabs>
                <w:tab w:val="left" w:leader="dot" w:pos="3969"/>
                <w:tab w:val="left" w:leader="dot" w:pos="8505"/>
              </w:tabs>
              <w:overflowPunct w:val="0"/>
              <w:adjustRightInd w:val="0"/>
              <w:spacing w:before="20" w:after="20"/>
              <w:ind w:left="57" w:firstLine="0"/>
              <w:jc w:val="left"/>
              <w:textAlignment w:val="baseline"/>
              <w:rPr>
                <w:rFonts w:cs="Arial"/>
                <w:sz w:val="18"/>
                <w:szCs w:val="20"/>
              </w:rPr>
            </w:pPr>
          </w:p>
        </w:tc>
        <w:tc>
          <w:tcPr>
            <w:tcW w:w="1418" w:type="dxa"/>
            <w:tcBorders>
              <w:bottom w:val="single" w:sz="6" w:space="0" w:color="auto"/>
              <w:right w:val="single" w:sz="6" w:space="0" w:color="auto"/>
            </w:tcBorders>
          </w:tcPr>
          <w:p w:rsidR="009C13A9" w:rsidRPr="00C903F8" w:rsidRDefault="009C13A9" w:rsidP="009C13A9">
            <w:pPr>
              <w:tabs>
                <w:tab w:val="left" w:leader="dot" w:pos="1134"/>
                <w:tab w:val="left" w:leader="dot" w:pos="8505"/>
              </w:tabs>
              <w:overflowPunct w:val="0"/>
              <w:adjustRightInd w:val="0"/>
              <w:spacing w:before="20" w:after="20"/>
              <w:ind w:left="0" w:firstLine="0"/>
              <w:jc w:val="left"/>
              <w:textAlignment w:val="baseline"/>
              <w:rPr>
                <w:rFonts w:cs="Arial"/>
                <w:sz w:val="18"/>
                <w:szCs w:val="20"/>
              </w:rPr>
            </w:pPr>
            <w:r>
              <w:tab/>
            </w:r>
          </w:p>
        </w:tc>
        <w:tc>
          <w:tcPr>
            <w:tcW w:w="1418" w:type="dxa"/>
            <w:tcBorders>
              <w:left w:val="single" w:sz="6" w:space="0" w:color="auto"/>
              <w:bottom w:val="single" w:sz="6" w:space="0" w:color="auto"/>
              <w:right w:val="single" w:sz="6" w:space="0" w:color="auto"/>
            </w:tcBorders>
          </w:tcPr>
          <w:p w:rsidR="009C13A9" w:rsidRPr="00C903F8" w:rsidRDefault="009C13A9" w:rsidP="009C13A9">
            <w:pPr>
              <w:tabs>
                <w:tab w:val="left" w:leader="dot" w:pos="1134"/>
                <w:tab w:val="left" w:leader="dot" w:pos="8505"/>
              </w:tabs>
              <w:overflowPunct w:val="0"/>
              <w:adjustRightInd w:val="0"/>
              <w:spacing w:before="20" w:after="20"/>
              <w:ind w:left="0" w:firstLine="0"/>
              <w:jc w:val="left"/>
              <w:textAlignment w:val="baseline"/>
              <w:rPr>
                <w:rFonts w:cs="Arial"/>
                <w:sz w:val="18"/>
                <w:szCs w:val="20"/>
              </w:rPr>
            </w:pPr>
            <w:r>
              <w:tab/>
            </w:r>
          </w:p>
        </w:tc>
        <w:tc>
          <w:tcPr>
            <w:tcW w:w="1418" w:type="dxa"/>
            <w:tcBorders>
              <w:left w:val="single" w:sz="6" w:space="0" w:color="auto"/>
              <w:bottom w:val="single" w:sz="6" w:space="0" w:color="auto"/>
              <w:right w:val="single" w:sz="6" w:space="0" w:color="auto"/>
            </w:tcBorders>
          </w:tcPr>
          <w:p w:rsidR="009C13A9" w:rsidRPr="00C903F8" w:rsidRDefault="009C13A9" w:rsidP="009C13A9">
            <w:pPr>
              <w:tabs>
                <w:tab w:val="left" w:leader="dot" w:pos="1134"/>
                <w:tab w:val="left" w:leader="dot" w:pos="8505"/>
              </w:tabs>
              <w:overflowPunct w:val="0"/>
              <w:adjustRightInd w:val="0"/>
              <w:spacing w:before="20" w:after="20"/>
              <w:ind w:left="0" w:firstLine="0"/>
              <w:jc w:val="left"/>
              <w:textAlignment w:val="baseline"/>
              <w:rPr>
                <w:rFonts w:cs="Arial"/>
                <w:sz w:val="18"/>
                <w:szCs w:val="20"/>
              </w:rPr>
            </w:pPr>
            <w:r>
              <w:tab/>
            </w: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20" w:after="2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8904" w:type="dxa"/>
            <w:gridSpan w:val="5"/>
            <w:tcBorders>
              <w:right w:val="single" w:sz="6" w:space="0" w:color="auto"/>
            </w:tcBorders>
          </w:tcPr>
          <w:p w:rsidR="009C13A9" w:rsidRPr="00C903F8" w:rsidRDefault="009C13A9" w:rsidP="009C13A9">
            <w:pPr>
              <w:tabs>
                <w:tab w:val="left" w:leader="dot" w:pos="8505"/>
              </w:tabs>
              <w:overflowPunct w:val="0"/>
              <w:adjustRightInd w:val="0"/>
              <w:spacing w:before="80"/>
              <w:ind w:left="57" w:firstLine="0"/>
              <w:jc w:val="left"/>
              <w:textAlignment w:val="baseline"/>
              <w:rPr>
                <w:noProof/>
                <w:sz w:val="18"/>
                <w:szCs w:val="20"/>
              </w:rPr>
            </w:pPr>
            <w:r>
              <w:rPr>
                <w:noProof/>
                <w:sz w:val="18"/>
              </w:rPr>
              <w:t>Osservazioni e condizioni particolari</w:t>
            </w:r>
          </w:p>
          <w:p w:rsidR="009C13A9" w:rsidRPr="00C903F8" w:rsidRDefault="009C13A9" w:rsidP="009C13A9">
            <w:pPr>
              <w:tabs>
                <w:tab w:val="left" w:leader="dot" w:pos="8505"/>
              </w:tabs>
              <w:overflowPunct w:val="0"/>
              <w:adjustRightInd w:val="0"/>
              <w:spacing w:before="80"/>
              <w:ind w:left="57" w:firstLine="0"/>
              <w:jc w:val="left"/>
              <w:textAlignment w:val="baseline"/>
              <w:rPr>
                <w:rFonts w:cs="Arial"/>
                <w:sz w:val="18"/>
                <w:szCs w:val="20"/>
              </w:rPr>
            </w:pPr>
            <w:r>
              <w:tab/>
            </w:r>
          </w:p>
          <w:p w:rsidR="009C13A9" w:rsidRPr="00C903F8" w:rsidRDefault="009C13A9" w:rsidP="009C13A9">
            <w:pPr>
              <w:tabs>
                <w:tab w:val="left" w:leader="dot" w:pos="8505"/>
              </w:tabs>
              <w:overflowPunct w:val="0"/>
              <w:adjustRightInd w:val="0"/>
              <w:spacing w:before="80"/>
              <w:ind w:left="57" w:firstLine="0"/>
              <w:jc w:val="left"/>
              <w:textAlignment w:val="baseline"/>
              <w:rPr>
                <w:rFonts w:cs="Arial"/>
                <w:sz w:val="18"/>
                <w:szCs w:val="20"/>
              </w:rPr>
            </w:pPr>
            <w:r>
              <w:tab/>
            </w:r>
          </w:p>
          <w:p w:rsidR="009C13A9" w:rsidRPr="00C903F8" w:rsidRDefault="009C13A9" w:rsidP="009C13A9">
            <w:pPr>
              <w:tabs>
                <w:tab w:val="left" w:leader="dot" w:pos="8505"/>
              </w:tabs>
              <w:overflowPunct w:val="0"/>
              <w:adjustRightInd w:val="0"/>
              <w:spacing w:before="80"/>
              <w:ind w:left="57" w:firstLine="0"/>
              <w:jc w:val="left"/>
              <w:textAlignment w:val="baseline"/>
              <w:rPr>
                <w:rFonts w:cs="Arial"/>
                <w:sz w:val="18"/>
                <w:szCs w:val="20"/>
              </w:rPr>
            </w:pPr>
            <w:r>
              <w:tab/>
            </w:r>
          </w:p>
        </w:tc>
      </w:tr>
      <w:tr w:rsidR="009C13A9" w:rsidRPr="00A0619C" w:rsidTr="009C13A9">
        <w:trPr>
          <w:cantSplit/>
          <w:jc w:val="center"/>
        </w:trPr>
        <w:tc>
          <w:tcPr>
            <w:tcW w:w="284" w:type="dxa"/>
            <w:tcBorders>
              <w:top w:val="single" w:sz="6" w:space="0" w:color="auto"/>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r>
              <w:rPr>
                <w:sz w:val="18"/>
              </w:rPr>
              <w:t>48.</w:t>
            </w:r>
          </w:p>
        </w:tc>
        <w:tc>
          <w:tcPr>
            <w:tcW w:w="8904" w:type="dxa"/>
            <w:gridSpan w:val="5"/>
            <w:tcBorders>
              <w:top w:val="single" w:sz="6" w:space="0" w:color="auto"/>
              <w:right w:val="single" w:sz="6" w:space="0" w:color="auto"/>
            </w:tcBorders>
          </w:tcPr>
          <w:p w:rsidR="009C13A9" w:rsidRPr="00C903F8" w:rsidRDefault="009C13A9" w:rsidP="009C13A9">
            <w:pPr>
              <w:tabs>
                <w:tab w:val="left" w:leader="dot" w:pos="8505"/>
              </w:tabs>
              <w:overflowPunct w:val="0"/>
              <w:adjustRightInd w:val="0"/>
              <w:spacing w:before="120"/>
              <w:ind w:left="57" w:firstLine="0"/>
              <w:jc w:val="left"/>
              <w:textAlignment w:val="baseline"/>
              <w:rPr>
                <w:rFonts w:cs="Arial"/>
                <w:sz w:val="18"/>
                <w:szCs w:val="20"/>
              </w:rPr>
            </w:pPr>
            <w:r>
              <w:rPr>
                <w:sz w:val="18"/>
              </w:rPr>
              <w:t>Equipaggio minimo [ai sensi dell'articolo 3.19 del regolamento per il personale navigante sul Reno / conformemente a requisiti nazionali o internazionali]</w:t>
            </w:r>
            <w:r>
              <w:rPr>
                <w:sz w:val="18"/>
                <w:vertAlign w:val="superscript"/>
              </w:rPr>
              <w:footnoteReference w:id="50"/>
            </w:r>
          </w:p>
          <w:p w:rsidR="009C13A9" w:rsidRPr="00C903F8" w:rsidRDefault="009C13A9" w:rsidP="009C13A9">
            <w:pPr>
              <w:tabs>
                <w:tab w:val="left" w:pos="57"/>
                <w:tab w:val="left" w:pos="5103"/>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4253" w:type="dxa"/>
            <w:tcBorders>
              <w:top w:val="single" w:sz="6" w:space="0" w:color="auto"/>
              <w:left w:val="single" w:sz="6" w:space="0" w:color="auto"/>
              <w:right w:val="single" w:sz="6" w:space="0" w:color="auto"/>
            </w:tcBorders>
          </w:tcPr>
          <w:p w:rsidR="009C13A9" w:rsidRPr="00C903F8" w:rsidRDefault="009C13A9" w:rsidP="009C13A9">
            <w:pPr>
              <w:tabs>
                <w:tab w:val="left" w:pos="57"/>
                <w:tab w:val="left" w:leader="dot" w:pos="8505"/>
              </w:tabs>
              <w:overflowPunct w:val="0"/>
              <w:adjustRightInd w:val="0"/>
              <w:spacing w:before="20" w:after="20"/>
              <w:ind w:left="57" w:hanging="57"/>
              <w:jc w:val="left"/>
              <w:textAlignment w:val="baseline"/>
              <w:rPr>
                <w:rFonts w:cs="Arial"/>
                <w:sz w:val="18"/>
                <w:szCs w:val="20"/>
              </w:rPr>
            </w:pPr>
          </w:p>
        </w:tc>
        <w:tc>
          <w:tcPr>
            <w:tcW w:w="4254" w:type="dxa"/>
            <w:gridSpan w:val="3"/>
            <w:tcBorders>
              <w:top w:val="single" w:sz="6" w:space="0" w:color="auto"/>
              <w:left w:val="single" w:sz="6" w:space="0" w:color="auto"/>
              <w:right w:val="single" w:sz="6" w:space="0" w:color="auto"/>
            </w:tcBorders>
          </w:tcPr>
          <w:p w:rsidR="009C13A9" w:rsidRPr="00C903F8" w:rsidRDefault="009C13A9" w:rsidP="009C13A9">
            <w:pPr>
              <w:tabs>
                <w:tab w:val="center" w:pos="2041"/>
              </w:tabs>
              <w:overflowPunct w:val="0"/>
              <w:adjustRightInd w:val="0"/>
              <w:spacing w:before="20" w:after="20"/>
              <w:ind w:left="0" w:firstLine="0"/>
              <w:jc w:val="center"/>
              <w:textAlignment w:val="baseline"/>
              <w:rPr>
                <w:rFonts w:cs="Arial"/>
                <w:sz w:val="18"/>
                <w:szCs w:val="20"/>
              </w:rPr>
            </w:pPr>
            <w:r>
              <w:rPr>
                <w:sz w:val="18"/>
              </w:rPr>
              <w:t>Regime di esercizio</w:t>
            </w:r>
          </w:p>
        </w:tc>
        <w:tc>
          <w:tcPr>
            <w:tcW w:w="397" w:type="dxa"/>
            <w:tcBorders>
              <w:right w:val="single" w:sz="6" w:space="0" w:color="auto"/>
            </w:tcBorders>
          </w:tcPr>
          <w:p w:rsidR="009C13A9" w:rsidRPr="00C903F8" w:rsidRDefault="009C13A9" w:rsidP="009C13A9">
            <w:pPr>
              <w:tabs>
                <w:tab w:val="left" w:pos="57"/>
                <w:tab w:val="left" w:leader="dot" w:pos="8505"/>
              </w:tabs>
              <w:overflowPunct w:val="0"/>
              <w:adjustRightInd w:val="0"/>
              <w:spacing w:before="20" w:after="20"/>
              <w:ind w:left="57" w:hanging="57"/>
              <w:jc w:val="left"/>
              <w:textAlignment w:val="baseline"/>
              <w:rPr>
                <w:rFonts w:cs="Arial"/>
                <w:sz w:val="18"/>
                <w:szCs w:val="20"/>
              </w:rPr>
            </w:pPr>
          </w:p>
          <w:p w:rsidR="009C13A9" w:rsidRPr="00C903F8" w:rsidRDefault="009C13A9" w:rsidP="009C13A9">
            <w:pPr>
              <w:tabs>
                <w:tab w:val="left" w:pos="57"/>
                <w:tab w:val="left" w:pos="5103"/>
              </w:tabs>
              <w:overflowPunct w:val="0"/>
              <w:adjustRightInd w:val="0"/>
              <w:spacing w:before="20" w:after="2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80"/>
              <w:ind w:left="0" w:firstLine="0"/>
              <w:jc w:val="left"/>
              <w:textAlignment w:val="baseline"/>
              <w:rPr>
                <w:rFonts w:cs="Arial"/>
                <w:sz w:val="18"/>
                <w:szCs w:val="20"/>
              </w:rPr>
            </w:pPr>
          </w:p>
        </w:tc>
        <w:tc>
          <w:tcPr>
            <w:tcW w:w="4253" w:type="dxa"/>
            <w:tcBorders>
              <w:top w:val="single" w:sz="6" w:space="0" w:color="auto"/>
              <w:left w:val="single" w:sz="6" w:space="0" w:color="auto"/>
              <w:right w:val="single" w:sz="6" w:space="0" w:color="auto"/>
            </w:tcBorders>
          </w:tcPr>
          <w:p w:rsidR="009C13A9" w:rsidRPr="00C903F8" w:rsidRDefault="009C13A9" w:rsidP="009C13A9">
            <w:pPr>
              <w:tabs>
                <w:tab w:val="left" w:pos="57"/>
                <w:tab w:val="left" w:leader="dot" w:pos="3969"/>
                <w:tab w:val="left" w:leader="dot" w:pos="8505"/>
              </w:tabs>
              <w:overflowPunct w:val="0"/>
              <w:adjustRightInd w:val="0"/>
              <w:spacing w:before="20" w:after="20"/>
              <w:ind w:left="57" w:hanging="57"/>
              <w:jc w:val="left"/>
              <w:textAlignment w:val="baseline"/>
              <w:rPr>
                <w:rFonts w:cs="Arial"/>
                <w:sz w:val="18"/>
                <w:szCs w:val="20"/>
              </w:rPr>
            </w:pPr>
          </w:p>
        </w:tc>
        <w:tc>
          <w:tcPr>
            <w:tcW w:w="1418" w:type="dxa"/>
            <w:tcBorders>
              <w:top w:val="single" w:sz="6" w:space="0" w:color="auto"/>
              <w:bottom w:val="single" w:sz="6" w:space="0" w:color="auto"/>
              <w:right w:val="single" w:sz="6" w:space="0" w:color="auto"/>
            </w:tcBorders>
          </w:tcPr>
          <w:p w:rsidR="009C13A9" w:rsidRPr="00C903F8" w:rsidRDefault="009C13A9" w:rsidP="009C13A9">
            <w:pPr>
              <w:tabs>
                <w:tab w:val="center" w:pos="624"/>
              </w:tabs>
              <w:overflowPunct w:val="0"/>
              <w:adjustRightInd w:val="0"/>
              <w:spacing w:before="20" w:after="20"/>
              <w:ind w:left="0" w:firstLine="0"/>
              <w:jc w:val="left"/>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center" w:pos="624"/>
              </w:tabs>
              <w:overflowPunct w:val="0"/>
              <w:adjustRightInd w:val="0"/>
              <w:spacing w:before="20" w:after="20"/>
              <w:ind w:left="0" w:firstLine="0"/>
              <w:jc w:val="left"/>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center" w:pos="624"/>
              </w:tabs>
              <w:overflowPunct w:val="0"/>
              <w:adjustRightInd w:val="0"/>
              <w:spacing w:before="20" w:after="20"/>
              <w:ind w:left="0" w:firstLine="0"/>
              <w:jc w:val="left"/>
              <w:textAlignment w:val="baseline"/>
              <w:rPr>
                <w:rFonts w:cs="Arial"/>
                <w:sz w:val="18"/>
                <w:szCs w:val="20"/>
              </w:rPr>
            </w:pP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20" w:after="2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80"/>
              <w:ind w:left="0" w:firstLine="0"/>
              <w:jc w:val="left"/>
              <w:textAlignment w:val="baseline"/>
              <w:rPr>
                <w:rFonts w:cs="Arial"/>
                <w:sz w:val="18"/>
                <w:szCs w:val="20"/>
              </w:rPr>
            </w:pPr>
          </w:p>
        </w:tc>
        <w:tc>
          <w:tcPr>
            <w:tcW w:w="4253" w:type="dxa"/>
            <w:tcBorders>
              <w:left w:val="single" w:sz="6" w:space="0" w:color="auto"/>
              <w:right w:val="single" w:sz="6" w:space="0" w:color="auto"/>
            </w:tcBorders>
          </w:tcPr>
          <w:p w:rsidR="009C13A9" w:rsidRPr="00C903F8" w:rsidRDefault="009C13A9" w:rsidP="009C13A9">
            <w:pPr>
              <w:tabs>
                <w:tab w:val="left" w:leader="dot" w:pos="3969"/>
                <w:tab w:val="left" w:leader="dot" w:pos="8505"/>
              </w:tabs>
              <w:overflowPunct w:val="0"/>
              <w:adjustRightInd w:val="0"/>
              <w:spacing w:before="20" w:after="20"/>
              <w:ind w:left="57" w:firstLine="0"/>
              <w:jc w:val="left"/>
              <w:textAlignment w:val="baseline"/>
              <w:rPr>
                <w:rFonts w:cs="Arial"/>
                <w:sz w:val="18"/>
                <w:szCs w:val="20"/>
              </w:rPr>
            </w:pPr>
          </w:p>
        </w:tc>
        <w:tc>
          <w:tcPr>
            <w:tcW w:w="1418" w:type="dxa"/>
            <w:tcBorders>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1418" w:type="dxa"/>
            <w:tcBorders>
              <w:left w:val="single" w:sz="6" w:space="0" w:color="auto"/>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1418" w:type="dxa"/>
            <w:tcBorders>
              <w:left w:val="single" w:sz="6" w:space="0" w:color="auto"/>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20" w:after="2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80"/>
              <w:ind w:left="0" w:firstLine="0"/>
              <w:jc w:val="left"/>
              <w:textAlignment w:val="baseline"/>
              <w:rPr>
                <w:rFonts w:cs="Arial"/>
                <w:sz w:val="18"/>
                <w:szCs w:val="20"/>
              </w:rPr>
            </w:pPr>
          </w:p>
        </w:tc>
        <w:tc>
          <w:tcPr>
            <w:tcW w:w="4253" w:type="dxa"/>
            <w:tcBorders>
              <w:left w:val="single" w:sz="6" w:space="0" w:color="auto"/>
              <w:right w:val="single" w:sz="6" w:space="0" w:color="auto"/>
            </w:tcBorders>
          </w:tcPr>
          <w:p w:rsidR="009C13A9" w:rsidRPr="00C903F8" w:rsidRDefault="009C13A9" w:rsidP="009C13A9">
            <w:pPr>
              <w:tabs>
                <w:tab w:val="left" w:leader="dot" w:pos="3969"/>
                <w:tab w:val="left" w:leader="dot" w:pos="8505"/>
              </w:tabs>
              <w:overflowPunct w:val="0"/>
              <w:adjustRightInd w:val="0"/>
              <w:spacing w:before="20" w:after="20"/>
              <w:ind w:left="57" w:firstLine="0"/>
              <w:jc w:val="left"/>
              <w:textAlignment w:val="baseline"/>
              <w:rPr>
                <w:rFonts w:cs="Arial"/>
                <w:sz w:val="18"/>
                <w:szCs w:val="20"/>
              </w:rPr>
            </w:pPr>
          </w:p>
        </w:tc>
        <w:tc>
          <w:tcPr>
            <w:tcW w:w="1418" w:type="dxa"/>
            <w:tcBorders>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1418" w:type="dxa"/>
            <w:tcBorders>
              <w:left w:val="single" w:sz="6" w:space="0" w:color="auto"/>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1418" w:type="dxa"/>
            <w:tcBorders>
              <w:left w:val="single" w:sz="6" w:space="0" w:color="auto"/>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20" w:after="2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80"/>
              <w:ind w:left="0" w:firstLine="0"/>
              <w:jc w:val="left"/>
              <w:textAlignment w:val="baseline"/>
              <w:rPr>
                <w:rFonts w:cs="Arial"/>
                <w:sz w:val="18"/>
                <w:szCs w:val="20"/>
              </w:rPr>
            </w:pPr>
          </w:p>
        </w:tc>
        <w:tc>
          <w:tcPr>
            <w:tcW w:w="4253" w:type="dxa"/>
            <w:tcBorders>
              <w:left w:val="single" w:sz="6" w:space="0" w:color="auto"/>
              <w:right w:val="single" w:sz="6" w:space="0" w:color="auto"/>
            </w:tcBorders>
          </w:tcPr>
          <w:p w:rsidR="009C13A9" w:rsidRPr="00C903F8" w:rsidRDefault="009C13A9" w:rsidP="009C13A9">
            <w:pPr>
              <w:tabs>
                <w:tab w:val="left" w:leader="dot" w:pos="3969"/>
                <w:tab w:val="left" w:leader="dot" w:pos="8505"/>
              </w:tabs>
              <w:overflowPunct w:val="0"/>
              <w:adjustRightInd w:val="0"/>
              <w:spacing w:before="20" w:after="20"/>
              <w:ind w:left="57" w:firstLine="0"/>
              <w:jc w:val="left"/>
              <w:textAlignment w:val="baseline"/>
              <w:rPr>
                <w:rFonts w:cs="Arial"/>
                <w:sz w:val="18"/>
                <w:szCs w:val="20"/>
              </w:rPr>
            </w:pPr>
          </w:p>
        </w:tc>
        <w:tc>
          <w:tcPr>
            <w:tcW w:w="1418" w:type="dxa"/>
            <w:tcBorders>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1418" w:type="dxa"/>
            <w:tcBorders>
              <w:left w:val="single" w:sz="6" w:space="0" w:color="auto"/>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1418" w:type="dxa"/>
            <w:tcBorders>
              <w:left w:val="single" w:sz="6" w:space="0" w:color="auto"/>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20" w:after="2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80"/>
              <w:ind w:left="0" w:firstLine="0"/>
              <w:jc w:val="left"/>
              <w:textAlignment w:val="baseline"/>
              <w:rPr>
                <w:rFonts w:cs="Arial"/>
                <w:sz w:val="18"/>
                <w:szCs w:val="20"/>
              </w:rPr>
            </w:pPr>
          </w:p>
        </w:tc>
        <w:tc>
          <w:tcPr>
            <w:tcW w:w="4253" w:type="dxa"/>
            <w:tcBorders>
              <w:left w:val="single" w:sz="6" w:space="0" w:color="auto"/>
              <w:right w:val="single" w:sz="6" w:space="0" w:color="auto"/>
            </w:tcBorders>
          </w:tcPr>
          <w:p w:rsidR="009C13A9" w:rsidRPr="00C903F8" w:rsidRDefault="009C13A9" w:rsidP="009C13A9">
            <w:pPr>
              <w:tabs>
                <w:tab w:val="left" w:leader="dot" w:pos="3969"/>
                <w:tab w:val="left" w:leader="dot" w:pos="8505"/>
              </w:tabs>
              <w:overflowPunct w:val="0"/>
              <w:adjustRightInd w:val="0"/>
              <w:spacing w:before="20" w:after="20"/>
              <w:ind w:left="57" w:firstLine="0"/>
              <w:jc w:val="left"/>
              <w:textAlignment w:val="baseline"/>
              <w:rPr>
                <w:rFonts w:cs="Arial"/>
                <w:sz w:val="18"/>
                <w:szCs w:val="20"/>
              </w:rPr>
            </w:pPr>
          </w:p>
        </w:tc>
        <w:tc>
          <w:tcPr>
            <w:tcW w:w="1418" w:type="dxa"/>
            <w:tcBorders>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1418" w:type="dxa"/>
            <w:tcBorders>
              <w:left w:val="single" w:sz="6" w:space="0" w:color="auto"/>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1418" w:type="dxa"/>
            <w:tcBorders>
              <w:left w:val="single" w:sz="6" w:space="0" w:color="auto"/>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20" w:after="2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80"/>
              <w:ind w:left="0" w:firstLine="0"/>
              <w:jc w:val="left"/>
              <w:textAlignment w:val="baseline"/>
              <w:rPr>
                <w:rFonts w:cs="Arial"/>
                <w:sz w:val="18"/>
                <w:szCs w:val="20"/>
              </w:rPr>
            </w:pPr>
          </w:p>
        </w:tc>
        <w:tc>
          <w:tcPr>
            <w:tcW w:w="4253" w:type="dxa"/>
            <w:tcBorders>
              <w:left w:val="single" w:sz="6" w:space="0" w:color="auto"/>
              <w:right w:val="single" w:sz="6" w:space="0" w:color="auto"/>
            </w:tcBorders>
          </w:tcPr>
          <w:p w:rsidR="009C13A9" w:rsidRPr="00C903F8" w:rsidRDefault="009C13A9" w:rsidP="009C13A9">
            <w:pPr>
              <w:tabs>
                <w:tab w:val="left" w:leader="dot" w:pos="3969"/>
                <w:tab w:val="left" w:leader="dot" w:pos="8505"/>
              </w:tabs>
              <w:overflowPunct w:val="0"/>
              <w:adjustRightInd w:val="0"/>
              <w:spacing w:before="20" w:after="20"/>
              <w:ind w:left="57" w:firstLine="0"/>
              <w:jc w:val="left"/>
              <w:textAlignment w:val="baseline"/>
              <w:rPr>
                <w:rFonts w:cs="Arial"/>
                <w:sz w:val="18"/>
                <w:szCs w:val="20"/>
              </w:rPr>
            </w:pPr>
          </w:p>
        </w:tc>
        <w:tc>
          <w:tcPr>
            <w:tcW w:w="1418" w:type="dxa"/>
            <w:tcBorders>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1418" w:type="dxa"/>
            <w:tcBorders>
              <w:left w:val="single" w:sz="6" w:space="0" w:color="auto"/>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1418" w:type="dxa"/>
            <w:tcBorders>
              <w:left w:val="single" w:sz="6" w:space="0" w:color="auto"/>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20" w:after="2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80"/>
              <w:ind w:left="0" w:firstLine="0"/>
              <w:jc w:val="left"/>
              <w:textAlignment w:val="baseline"/>
              <w:rPr>
                <w:rFonts w:cs="Arial"/>
                <w:sz w:val="18"/>
                <w:szCs w:val="20"/>
              </w:rPr>
            </w:pPr>
          </w:p>
        </w:tc>
        <w:tc>
          <w:tcPr>
            <w:tcW w:w="4253" w:type="dxa"/>
            <w:tcBorders>
              <w:left w:val="single" w:sz="6" w:space="0" w:color="auto"/>
              <w:right w:val="single" w:sz="6" w:space="0" w:color="auto"/>
            </w:tcBorders>
          </w:tcPr>
          <w:p w:rsidR="009C13A9" w:rsidRPr="00C903F8" w:rsidRDefault="009C13A9" w:rsidP="009C13A9">
            <w:pPr>
              <w:tabs>
                <w:tab w:val="left" w:leader="dot" w:pos="3969"/>
                <w:tab w:val="left" w:leader="dot" w:pos="8505"/>
              </w:tabs>
              <w:overflowPunct w:val="0"/>
              <w:adjustRightInd w:val="0"/>
              <w:spacing w:before="20" w:after="20"/>
              <w:ind w:left="57" w:firstLine="0"/>
              <w:jc w:val="left"/>
              <w:textAlignment w:val="baseline"/>
              <w:rPr>
                <w:rFonts w:cs="Arial"/>
                <w:sz w:val="18"/>
                <w:szCs w:val="20"/>
              </w:rPr>
            </w:pPr>
          </w:p>
        </w:tc>
        <w:tc>
          <w:tcPr>
            <w:tcW w:w="1418" w:type="dxa"/>
            <w:tcBorders>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1418" w:type="dxa"/>
            <w:tcBorders>
              <w:left w:val="single" w:sz="6" w:space="0" w:color="auto"/>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1418" w:type="dxa"/>
            <w:tcBorders>
              <w:left w:val="single" w:sz="6" w:space="0" w:color="auto"/>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20" w:after="2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80"/>
              <w:ind w:left="0" w:firstLine="0"/>
              <w:jc w:val="left"/>
              <w:textAlignment w:val="baseline"/>
              <w:rPr>
                <w:rFonts w:cs="Arial"/>
                <w:sz w:val="18"/>
                <w:szCs w:val="20"/>
              </w:rPr>
            </w:pPr>
          </w:p>
        </w:tc>
        <w:tc>
          <w:tcPr>
            <w:tcW w:w="4253" w:type="dxa"/>
            <w:tcBorders>
              <w:left w:val="single" w:sz="6" w:space="0" w:color="auto"/>
              <w:right w:val="single" w:sz="6" w:space="0" w:color="auto"/>
            </w:tcBorders>
          </w:tcPr>
          <w:p w:rsidR="009C13A9" w:rsidRPr="00C903F8" w:rsidRDefault="009C13A9" w:rsidP="009C13A9">
            <w:pPr>
              <w:tabs>
                <w:tab w:val="left" w:leader="dot" w:pos="3969"/>
                <w:tab w:val="left" w:leader="dot" w:pos="8505"/>
              </w:tabs>
              <w:overflowPunct w:val="0"/>
              <w:adjustRightInd w:val="0"/>
              <w:spacing w:before="20" w:after="20"/>
              <w:ind w:left="57" w:firstLine="0"/>
              <w:jc w:val="left"/>
              <w:textAlignment w:val="baseline"/>
              <w:rPr>
                <w:rFonts w:cs="Arial"/>
                <w:sz w:val="18"/>
                <w:szCs w:val="20"/>
              </w:rPr>
            </w:pPr>
          </w:p>
        </w:tc>
        <w:tc>
          <w:tcPr>
            <w:tcW w:w="1418" w:type="dxa"/>
            <w:tcBorders>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1418" w:type="dxa"/>
            <w:tcBorders>
              <w:left w:val="single" w:sz="6" w:space="0" w:color="auto"/>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1418" w:type="dxa"/>
            <w:tcBorders>
              <w:left w:val="single" w:sz="6" w:space="0" w:color="auto"/>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20" w:after="2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80"/>
              <w:ind w:left="0" w:firstLine="0"/>
              <w:jc w:val="left"/>
              <w:textAlignment w:val="baseline"/>
              <w:rPr>
                <w:rFonts w:cs="Arial"/>
                <w:sz w:val="18"/>
                <w:szCs w:val="20"/>
              </w:rPr>
            </w:pPr>
          </w:p>
        </w:tc>
        <w:tc>
          <w:tcPr>
            <w:tcW w:w="4253" w:type="dxa"/>
            <w:tcBorders>
              <w:left w:val="single" w:sz="6" w:space="0" w:color="auto"/>
              <w:bottom w:val="single" w:sz="6" w:space="0" w:color="auto"/>
              <w:right w:val="single" w:sz="6" w:space="0" w:color="auto"/>
            </w:tcBorders>
          </w:tcPr>
          <w:p w:rsidR="009C13A9" w:rsidRPr="00C903F8" w:rsidRDefault="009C13A9" w:rsidP="009C13A9">
            <w:pPr>
              <w:tabs>
                <w:tab w:val="left" w:leader="dot" w:pos="3969"/>
                <w:tab w:val="left" w:leader="dot" w:pos="8505"/>
              </w:tabs>
              <w:overflowPunct w:val="0"/>
              <w:adjustRightInd w:val="0"/>
              <w:spacing w:before="20" w:after="20"/>
              <w:ind w:left="57" w:firstLine="0"/>
              <w:jc w:val="left"/>
              <w:textAlignment w:val="baseline"/>
              <w:rPr>
                <w:rFonts w:cs="Arial"/>
                <w:sz w:val="18"/>
                <w:szCs w:val="20"/>
              </w:rPr>
            </w:pPr>
          </w:p>
        </w:tc>
        <w:tc>
          <w:tcPr>
            <w:tcW w:w="1418" w:type="dxa"/>
            <w:tcBorders>
              <w:bottom w:val="single" w:sz="6" w:space="0" w:color="auto"/>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1418" w:type="dxa"/>
            <w:tcBorders>
              <w:left w:val="single" w:sz="6" w:space="0" w:color="auto"/>
              <w:bottom w:val="single" w:sz="6" w:space="0" w:color="auto"/>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1418" w:type="dxa"/>
            <w:tcBorders>
              <w:left w:val="single" w:sz="6" w:space="0" w:color="auto"/>
              <w:bottom w:val="single" w:sz="6" w:space="0" w:color="auto"/>
              <w:right w:val="single" w:sz="6" w:space="0" w:color="auto"/>
            </w:tcBorders>
          </w:tcPr>
          <w:p w:rsidR="009C13A9" w:rsidRPr="00C903F8" w:rsidRDefault="009C13A9" w:rsidP="009C13A9">
            <w:pPr>
              <w:tabs>
                <w:tab w:val="left" w:leader="dot" w:pos="1134"/>
              </w:tabs>
              <w:overflowPunct w:val="0"/>
              <w:adjustRightInd w:val="0"/>
              <w:spacing w:before="20" w:after="20"/>
              <w:ind w:left="0" w:firstLine="0"/>
              <w:jc w:val="left"/>
              <w:textAlignment w:val="baseline"/>
              <w:rPr>
                <w:rFonts w:cs="Arial"/>
                <w:sz w:val="18"/>
                <w:szCs w:val="20"/>
              </w:rPr>
            </w:pPr>
            <w:r>
              <w:tab/>
            </w: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20" w:after="2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80"/>
              <w:ind w:left="0" w:firstLine="0"/>
              <w:jc w:val="left"/>
              <w:textAlignment w:val="baseline"/>
              <w:rPr>
                <w:rFonts w:cs="Arial"/>
                <w:sz w:val="18"/>
                <w:szCs w:val="20"/>
              </w:rPr>
            </w:pPr>
          </w:p>
        </w:tc>
        <w:tc>
          <w:tcPr>
            <w:tcW w:w="8904" w:type="dxa"/>
            <w:gridSpan w:val="5"/>
            <w:tcBorders>
              <w:bottom w:val="single" w:sz="6" w:space="0" w:color="auto"/>
              <w:right w:val="single" w:sz="6" w:space="0" w:color="auto"/>
            </w:tcBorders>
          </w:tcPr>
          <w:p w:rsidR="009C13A9" w:rsidRPr="00C903F8" w:rsidRDefault="009C13A9" w:rsidP="009C13A9">
            <w:pPr>
              <w:widowControl w:val="0"/>
              <w:tabs>
                <w:tab w:val="left" w:pos="57"/>
                <w:tab w:val="left" w:leader="dot" w:pos="8505"/>
              </w:tabs>
              <w:spacing w:before="40" w:after="40"/>
              <w:ind w:left="57" w:hanging="57"/>
              <w:jc w:val="left"/>
              <w:rPr>
                <w:rFonts w:cs="Arial"/>
                <w:sz w:val="18"/>
                <w:szCs w:val="20"/>
              </w:rPr>
            </w:pPr>
            <w:r>
              <w:tab/>
            </w:r>
            <w:r>
              <w:rPr>
                <w:noProof/>
                <w:sz w:val="18"/>
              </w:rPr>
              <w:t>Osservazioni e condizioni particolari</w:t>
            </w:r>
          </w:p>
          <w:p w:rsidR="009C13A9" w:rsidRPr="00C903F8" w:rsidRDefault="009C13A9" w:rsidP="009C13A9">
            <w:pPr>
              <w:tabs>
                <w:tab w:val="left" w:leader="dot" w:pos="8505"/>
              </w:tabs>
              <w:overflowPunct w:val="0"/>
              <w:adjustRightInd w:val="0"/>
              <w:spacing w:before="80"/>
              <w:ind w:left="57" w:firstLine="0"/>
              <w:jc w:val="left"/>
              <w:textAlignment w:val="baseline"/>
              <w:rPr>
                <w:rFonts w:cs="Arial"/>
                <w:sz w:val="18"/>
                <w:szCs w:val="20"/>
              </w:rPr>
            </w:pPr>
            <w:r>
              <w:tab/>
            </w:r>
          </w:p>
          <w:p w:rsidR="009C13A9" w:rsidRPr="00C903F8" w:rsidRDefault="009C13A9" w:rsidP="009C13A9">
            <w:pPr>
              <w:tabs>
                <w:tab w:val="left" w:leader="dot" w:pos="8505"/>
              </w:tabs>
              <w:overflowPunct w:val="0"/>
              <w:adjustRightInd w:val="0"/>
              <w:spacing w:before="80"/>
              <w:ind w:left="57" w:firstLine="0"/>
              <w:jc w:val="left"/>
              <w:textAlignment w:val="baseline"/>
              <w:rPr>
                <w:rFonts w:cs="Arial"/>
                <w:sz w:val="18"/>
                <w:szCs w:val="20"/>
              </w:rPr>
            </w:pPr>
            <w:r>
              <w:tab/>
            </w:r>
          </w:p>
          <w:p w:rsidR="009C13A9" w:rsidRPr="00C903F8" w:rsidRDefault="009C13A9" w:rsidP="009C13A9">
            <w:pPr>
              <w:tabs>
                <w:tab w:val="left" w:leader="dot" w:pos="8505"/>
              </w:tabs>
              <w:overflowPunct w:val="0"/>
              <w:adjustRightInd w:val="0"/>
              <w:spacing w:before="80"/>
              <w:ind w:left="57" w:firstLine="0"/>
              <w:jc w:val="left"/>
              <w:textAlignment w:val="baseline"/>
              <w:rPr>
                <w:rFonts w:cs="Arial"/>
                <w:sz w:val="18"/>
                <w:szCs w:val="20"/>
              </w:rPr>
            </w:pPr>
            <w:r>
              <w:tab/>
            </w:r>
          </w:p>
          <w:p w:rsidR="009C13A9" w:rsidRPr="00C903F8" w:rsidRDefault="009C13A9" w:rsidP="009C13A9">
            <w:pPr>
              <w:tabs>
                <w:tab w:val="left" w:leader="dot" w:pos="8505"/>
              </w:tabs>
              <w:overflowPunct w:val="0"/>
              <w:adjustRightInd w:val="0"/>
              <w:spacing w:before="80" w:after="40"/>
              <w:ind w:left="57"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bottom w:val="single" w:sz="6" w:space="0" w:color="auto"/>
            </w:tcBorders>
          </w:tcPr>
          <w:p w:rsidR="009C13A9" w:rsidRPr="00C903F8" w:rsidRDefault="009C13A9" w:rsidP="009C13A9">
            <w:pPr>
              <w:tabs>
                <w:tab w:val="left" w:pos="57"/>
              </w:tabs>
              <w:overflowPunct w:val="0"/>
              <w:adjustRightInd w:val="0"/>
              <w:spacing w:before="80"/>
              <w:ind w:left="0" w:firstLine="0"/>
              <w:jc w:val="left"/>
              <w:textAlignment w:val="baseline"/>
              <w:rPr>
                <w:rFonts w:cs="Arial"/>
                <w:sz w:val="18"/>
                <w:szCs w:val="20"/>
              </w:rPr>
            </w:pPr>
            <w:r>
              <w:tab/>
            </w:r>
            <w:r>
              <w:rPr>
                <w:sz w:val="18"/>
              </w:rPr>
              <w:t>*)</w:t>
            </w:r>
            <w:r>
              <w:rPr>
                <w:rFonts w:cs="Arial"/>
                <w:sz w:val="18"/>
                <w:szCs w:val="20"/>
              </w:rPr>
              <w:br/>
            </w:r>
            <w:r>
              <w:rPr>
                <w:rFonts w:cs="Arial"/>
                <w:sz w:val="18"/>
                <w:szCs w:val="20"/>
              </w:rPr>
              <w:br/>
            </w:r>
          </w:p>
          <w:p w:rsidR="009C13A9" w:rsidRPr="00C903F8" w:rsidRDefault="009C13A9" w:rsidP="009C13A9">
            <w:pPr>
              <w:tabs>
                <w:tab w:val="left" w:pos="57"/>
              </w:tabs>
              <w:overflowPunct w:val="0"/>
              <w:adjustRightInd w:val="0"/>
              <w:spacing w:before="80"/>
              <w:ind w:left="0" w:firstLine="0"/>
              <w:jc w:val="left"/>
              <w:textAlignment w:val="baseline"/>
              <w:rPr>
                <w:rFonts w:cs="Arial"/>
                <w:sz w:val="18"/>
                <w:szCs w:val="20"/>
              </w:rPr>
            </w:pPr>
          </w:p>
          <w:p w:rsidR="009C13A9" w:rsidRPr="00C903F8" w:rsidRDefault="009C13A9" w:rsidP="009C13A9">
            <w:pPr>
              <w:tabs>
                <w:tab w:val="left" w:pos="57"/>
              </w:tabs>
              <w:overflowPunct w:val="0"/>
              <w:adjustRightInd w:val="0"/>
              <w:spacing w:before="160"/>
              <w:ind w:left="0" w:firstLine="0"/>
              <w:jc w:val="left"/>
              <w:textAlignment w:val="baseline"/>
              <w:rPr>
                <w:rFonts w:cs="Arial"/>
                <w:sz w:val="18"/>
                <w:szCs w:val="20"/>
              </w:rPr>
            </w:pPr>
            <w:r>
              <w:tab/>
            </w:r>
            <w:r>
              <w:rPr>
                <w:sz w:val="18"/>
              </w:rPr>
              <w:t>*)</w:t>
            </w:r>
          </w:p>
        </w:tc>
        <w:tc>
          <w:tcPr>
            <w:tcW w:w="8904" w:type="dxa"/>
            <w:gridSpan w:val="5"/>
            <w:tcBorders>
              <w:bottom w:val="single" w:sz="6" w:space="0" w:color="auto"/>
              <w:right w:val="single" w:sz="6" w:space="0" w:color="auto"/>
            </w:tcBorders>
          </w:tcPr>
          <w:p w:rsidR="009C13A9" w:rsidRPr="00C903F8" w:rsidRDefault="009C13A9" w:rsidP="009C13A9">
            <w:pPr>
              <w:tabs>
                <w:tab w:val="left" w:pos="57"/>
                <w:tab w:val="left" w:leader="dot" w:pos="3686"/>
              </w:tabs>
              <w:overflowPunct w:val="0"/>
              <w:adjustRightInd w:val="0"/>
              <w:spacing w:before="80" w:after="80"/>
              <w:ind w:left="57" w:right="57" w:firstLine="0"/>
              <w:jc w:val="left"/>
              <w:textAlignment w:val="baseline"/>
              <w:rPr>
                <w:rFonts w:cs="Arial"/>
                <w:sz w:val="18"/>
                <w:szCs w:val="20"/>
              </w:rPr>
            </w:pPr>
            <w:r>
              <w:rPr>
                <w:noProof/>
                <w:sz w:val="18"/>
              </w:rPr>
              <w:t>La presente pagina è stata sostituita.: ....................</w:t>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rPr>
                <w:noProof/>
                <w:sz w:val="18"/>
              </w:rPr>
              <w:t>Nuova formulazione:</w:t>
            </w:r>
            <w:r>
              <w:tab/>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tab/>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tab/>
            </w:r>
          </w:p>
          <w:p w:rsidR="009C13A9" w:rsidRPr="00C903F8" w:rsidRDefault="009C13A9" w:rsidP="009C13A9">
            <w:pPr>
              <w:tabs>
                <w:tab w:val="left" w:leader="dot" w:pos="4536"/>
                <w:tab w:val="center" w:pos="6862"/>
              </w:tabs>
              <w:overflowPunct w:val="0"/>
              <w:adjustRightInd w:val="0"/>
              <w:spacing w:after="80"/>
              <w:ind w:left="57" w:right="57" w:firstLine="0"/>
              <w:textAlignment w:val="baseline"/>
              <w:rPr>
                <w:rFonts w:cs="Arial"/>
                <w:sz w:val="18"/>
                <w:szCs w:val="20"/>
              </w:rPr>
            </w:pPr>
            <w:r>
              <w:rPr>
                <w:sz w:val="18"/>
              </w:rPr>
              <w:t>La presente pagina è stata sostituita.</w:t>
            </w:r>
          </w:p>
          <w:p w:rsidR="009C13A9" w:rsidRPr="00C903F8" w:rsidRDefault="009C13A9" w:rsidP="009C13A9">
            <w:pPr>
              <w:tabs>
                <w:tab w:val="left" w:leader="dot" w:pos="4536"/>
                <w:tab w:val="center" w:pos="6862"/>
              </w:tabs>
              <w:overflowPunct w:val="0"/>
              <w:adjustRightInd w:val="0"/>
              <w:spacing w:after="80"/>
              <w:ind w:left="57" w:right="57" w:firstLine="0"/>
              <w:textAlignment w:val="baseline"/>
              <w:rPr>
                <w:rFonts w:cs="Arial"/>
                <w:sz w:val="18"/>
                <w:szCs w:val="20"/>
              </w:rPr>
            </w:pPr>
            <w:r>
              <w:rPr>
                <w:sz w:val="18"/>
              </w:rPr>
              <w:t xml:space="preserve">Luogo, data </w:t>
            </w:r>
            <w:r>
              <w:tab/>
            </w:r>
            <w:r>
              <w:tab/>
            </w:r>
            <w:r>
              <w:rPr>
                <w:sz w:val="18"/>
              </w:rPr>
              <w:t>Commissione di ispezione</w:t>
            </w:r>
          </w:p>
          <w:p w:rsidR="009C13A9" w:rsidRPr="00C903F8" w:rsidRDefault="009C13A9" w:rsidP="009C13A9">
            <w:pPr>
              <w:tabs>
                <w:tab w:val="left" w:pos="5103"/>
                <w:tab w:val="left" w:leader="dot" w:pos="8505"/>
              </w:tabs>
              <w:overflowPunct w:val="0"/>
              <w:adjustRightInd w:val="0"/>
              <w:ind w:left="0" w:firstLine="0"/>
              <w:textAlignment w:val="baseline"/>
              <w:rPr>
                <w:rFonts w:cs="Arial"/>
                <w:sz w:val="18"/>
                <w:szCs w:val="20"/>
              </w:rPr>
            </w:pPr>
            <w:r>
              <w:tab/>
            </w:r>
            <w:r>
              <w:tab/>
            </w:r>
          </w:p>
          <w:p w:rsidR="009C13A9" w:rsidRPr="00C903F8" w:rsidRDefault="009C13A9" w:rsidP="009C13A9">
            <w:pPr>
              <w:tabs>
                <w:tab w:val="center" w:pos="1701"/>
              </w:tabs>
              <w:overflowPunct w:val="0"/>
              <w:adjustRightInd w:val="0"/>
              <w:spacing w:after="80"/>
              <w:ind w:left="0" w:firstLine="0"/>
              <w:textAlignment w:val="baseline"/>
              <w:rPr>
                <w:rFonts w:cs="Arial"/>
                <w:sz w:val="18"/>
                <w:szCs w:val="20"/>
              </w:rPr>
            </w:pPr>
            <w:r>
              <w:tab/>
            </w:r>
            <w:r>
              <w:rPr>
                <w:sz w:val="18"/>
              </w:rPr>
              <w:t>Timbro</w:t>
            </w:r>
          </w:p>
          <w:p w:rsidR="009C13A9" w:rsidRPr="00C903F8" w:rsidRDefault="009C13A9" w:rsidP="009C13A9">
            <w:pPr>
              <w:tabs>
                <w:tab w:val="left" w:pos="5103"/>
                <w:tab w:val="left" w:leader="dot" w:pos="8505"/>
              </w:tabs>
              <w:overflowPunct w:val="0"/>
              <w:adjustRightInd w:val="0"/>
              <w:ind w:left="0" w:firstLine="0"/>
              <w:textAlignment w:val="baseline"/>
              <w:rPr>
                <w:rFonts w:cs="Arial"/>
                <w:szCs w:val="20"/>
              </w:rPr>
            </w:pPr>
            <w:r>
              <w:tab/>
            </w:r>
            <w:r>
              <w:tab/>
            </w:r>
          </w:p>
          <w:p w:rsidR="009C13A9" w:rsidRPr="00C903F8" w:rsidRDefault="009C13A9" w:rsidP="009C13A9">
            <w:pPr>
              <w:tabs>
                <w:tab w:val="center" w:pos="6862"/>
              </w:tabs>
              <w:overflowPunct w:val="0"/>
              <w:adjustRightInd w:val="0"/>
              <w:ind w:left="0" w:firstLine="0"/>
              <w:textAlignment w:val="baseline"/>
              <w:rPr>
                <w:rFonts w:cs="Arial"/>
                <w:sz w:val="16"/>
                <w:szCs w:val="20"/>
              </w:rPr>
            </w:pPr>
            <w:r>
              <w:tab/>
            </w:r>
            <w:r>
              <w:rPr>
                <w:sz w:val="16"/>
              </w:rPr>
              <w:t>(firma)</w:t>
            </w:r>
          </w:p>
          <w:p w:rsidR="009C13A9" w:rsidRPr="00145B96" w:rsidRDefault="009C13A9" w:rsidP="009C13A9">
            <w:pPr>
              <w:tabs>
                <w:tab w:val="left" w:pos="113"/>
                <w:tab w:val="left" w:pos="397"/>
                <w:tab w:val="left" w:pos="6237"/>
                <w:tab w:val="left" w:leader="dot" w:pos="9356"/>
              </w:tabs>
              <w:overflowPunct w:val="0"/>
              <w:adjustRightInd w:val="0"/>
              <w:ind w:left="0" w:firstLine="0"/>
              <w:textAlignment w:val="baseline"/>
              <w:rPr>
                <w:rFonts w:cs="Arial"/>
                <w:sz w:val="16"/>
                <w:szCs w:val="20"/>
              </w:rPr>
            </w:pPr>
            <w:r>
              <w:rPr>
                <w:sz w:val="18"/>
              </w:rPr>
              <w:t>_______________________</w:t>
            </w:r>
          </w:p>
          <w:p w:rsidR="009C13A9" w:rsidRPr="00C903F8" w:rsidRDefault="009C13A9" w:rsidP="009C13A9">
            <w:pPr>
              <w:tabs>
                <w:tab w:val="left" w:pos="284"/>
              </w:tabs>
              <w:overflowPunct w:val="0"/>
              <w:adjustRightInd w:val="0"/>
              <w:spacing w:after="40"/>
              <w:ind w:left="57" w:firstLine="0"/>
              <w:jc w:val="left"/>
              <w:textAlignment w:val="baseline"/>
              <w:rPr>
                <w:rFonts w:cs="Arial"/>
                <w:sz w:val="18"/>
                <w:szCs w:val="20"/>
              </w:rPr>
            </w:pPr>
            <w:r>
              <w:rPr>
                <w:position w:val="4"/>
                <w:sz w:val="16"/>
              </w:rPr>
              <w:t>*)</w:t>
            </w:r>
            <w:r>
              <w:tab/>
            </w:r>
            <w:r>
              <w:rPr>
                <w:sz w:val="16"/>
              </w:rPr>
              <w:t>Cancellare le voci non pertinenti.</w:t>
            </w:r>
          </w:p>
        </w:tc>
      </w:tr>
    </w:tbl>
    <w:p w:rsidR="009C13A9" w:rsidRPr="00C903F8" w:rsidRDefault="009C13A9" w:rsidP="00AA5614">
      <w:pPr>
        <w:tabs>
          <w:tab w:val="left" w:leader="dot" w:pos="2835"/>
          <w:tab w:val="left" w:leader="dot" w:pos="5103"/>
        </w:tabs>
        <w:overflowPunct w:val="0"/>
        <w:adjustRightInd w:val="0"/>
        <w:ind w:left="0" w:firstLine="0"/>
        <w:textAlignment w:val="baseline"/>
        <w:rPr>
          <w:rFonts w:cs="Arial"/>
          <w:szCs w:val="20"/>
        </w:rPr>
      </w:pPr>
      <w:r>
        <w:br w:type="page"/>
      </w:r>
      <w:r>
        <w:lastRenderedPageBreak/>
        <w:t xml:space="preserve">certificato per la navigazione interna n. </w:t>
      </w:r>
      <w:r>
        <w:tab/>
        <w:t xml:space="preserve"> della commissione di ispezione </w:t>
      </w:r>
      <w: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9C13A9" w:rsidRPr="00C903F8" w:rsidTr="00E3172D">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60"/>
              <w:ind w:left="0" w:firstLine="0"/>
              <w:jc w:val="left"/>
              <w:textAlignment w:val="baseline"/>
              <w:rPr>
                <w:rFonts w:cs="Arial"/>
                <w:sz w:val="18"/>
                <w:szCs w:val="20"/>
              </w:rPr>
            </w:pPr>
            <w:r>
              <w:rPr>
                <w:sz w:val="18"/>
              </w:rPr>
              <w:t>49.</w:t>
            </w:r>
          </w:p>
        </w:tc>
        <w:tc>
          <w:tcPr>
            <w:tcW w:w="8902" w:type="dxa"/>
            <w:tcBorders>
              <w:top w:val="single" w:sz="6" w:space="0" w:color="auto"/>
              <w:bottom w:val="single" w:sz="6" w:space="0" w:color="auto"/>
              <w:right w:val="single" w:sz="6" w:space="0" w:color="auto"/>
            </w:tcBorders>
          </w:tcPr>
          <w:p w:rsidR="009C13A9" w:rsidRPr="00C903F8" w:rsidRDefault="009C13A9" w:rsidP="009C13A9">
            <w:pPr>
              <w:tabs>
                <w:tab w:val="left" w:pos="4310"/>
                <w:tab w:val="left" w:leader="dot" w:pos="8505"/>
              </w:tabs>
              <w:overflowPunct w:val="0"/>
              <w:adjustRightInd w:val="0"/>
              <w:spacing w:before="60"/>
              <w:ind w:left="57" w:firstLine="0"/>
              <w:jc w:val="left"/>
              <w:textAlignment w:val="baseline"/>
              <w:rPr>
                <w:rFonts w:cs="Arial"/>
                <w:b/>
                <w:position w:val="6"/>
                <w:sz w:val="16"/>
                <w:szCs w:val="20"/>
              </w:rPr>
            </w:pPr>
            <w:r>
              <w:rPr>
                <w:b/>
                <w:sz w:val="18"/>
              </w:rPr>
              <w:t xml:space="preserve">Estensione/conferma </w:t>
            </w:r>
            <w:r>
              <w:rPr>
                <w:b/>
                <w:position w:val="6"/>
                <w:sz w:val="16"/>
              </w:rPr>
              <w:t>*)</w:t>
            </w:r>
            <w:r>
              <w:rPr>
                <w:b/>
                <w:sz w:val="18"/>
              </w:rPr>
              <w:t xml:space="preserve"> della validità del certificato per la navigazione interna</w:t>
            </w:r>
            <w:r>
              <w:rPr>
                <w:b/>
                <w:position w:val="6"/>
                <w:sz w:val="16"/>
              </w:rPr>
              <w:t>*) - Ispezione</w:t>
            </w:r>
            <w:r>
              <w:rPr>
                <w:b/>
                <w:sz w:val="18"/>
              </w:rPr>
              <w:t xml:space="preserve"> periodica - speciale</w:t>
            </w:r>
            <w:r>
              <w:rPr>
                <w:b/>
                <w:position w:val="6"/>
                <w:sz w:val="16"/>
              </w:rPr>
              <w:t>*)</w:t>
            </w:r>
          </w:p>
          <w:p w:rsidR="009C13A9" w:rsidRPr="00C903F8" w:rsidRDefault="009C13A9" w:rsidP="00083603">
            <w:pPr>
              <w:tabs>
                <w:tab w:val="left" w:leader="dot" w:pos="5103"/>
                <w:tab w:val="left" w:leader="dot" w:pos="8505"/>
              </w:tabs>
              <w:overflowPunct w:val="0"/>
              <w:adjustRightInd w:val="0"/>
              <w:ind w:left="57" w:firstLine="0"/>
              <w:jc w:val="left"/>
              <w:textAlignment w:val="baseline"/>
              <w:rPr>
                <w:rFonts w:cs="Arial"/>
                <w:sz w:val="18"/>
                <w:szCs w:val="20"/>
              </w:rPr>
            </w:pPr>
            <w:r>
              <w:rPr>
                <w:sz w:val="18"/>
              </w:rPr>
              <w:t>La commissione ha effettuato un'ispezione della nave il</w:t>
            </w:r>
            <w:r>
              <w:tab/>
            </w:r>
            <w:r>
              <w:rPr>
                <w:position w:val="6"/>
                <w:sz w:val="16"/>
              </w:rPr>
              <w:t>*)</w:t>
            </w:r>
            <w:r>
              <w:rPr>
                <w:sz w:val="18"/>
              </w:rPr>
              <w:t>.</w:t>
            </w:r>
          </w:p>
          <w:p w:rsidR="009C13A9" w:rsidRPr="00C903F8" w:rsidRDefault="009C13A9" w:rsidP="00083603">
            <w:pPr>
              <w:tabs>
                <w:tab w:val="left" w:leader="dot" w:pos="3686"/>
                <w:tab w:val="left" w:leader="dot" w:pos="8505"/>
              </w:tabs>
              <w:overflowPunct w:val="0"/>
              <w:adjustRightInd w:val="0"/>
              <w:spacing w:before="20" w:after="20"/>
              <w:ind w:left="57" w:firstLine="0"/>
              <w:jc w:val="left"/>
              <w:textAlignment w:val="baseline"/>
              <w:rPr>
                <w:rFonts w:cs="Arial"/>
                <w:sz w:val="18"/>
                <w:szCs w:val="20"/>
              </w:rPr>
            </w:pPr>
            <w:r>
              <w:rPr>
                <w:sz w:val="18"/>
              </w:rPr>
              <w:t>Un attestato datato</w:t>
            </w:r>
            <w:r>
              <w:tab/>
            </w:r>
            <w:r>
              <w:rPr>
                <w:sz w:val="18"/>
              </w:rPr>
              <w:t xml:space="preserve"> </w:t>
            </w:r>
            <w:r>
              <w:t>rilasciato dall'organismo di classificazione autorizzato</w:t>
            </w:r>
            <w:r>
              <w:rPr>
                <w:noProof/>
                <w:sz w:val="18"/>
              </w:rPr>
              <w:t xml:space="preserve"> </w:t>
            </w:r>
            <w:r>
              <w:tab/>
            </w:r>
          </w:p>
          <w:p w:rsidR="009C13A9" w:rsidRPr="00C903F8" w:rsidRDefault="009C13A9" w:rsidP="009C13A9">
            <w:pPr>
              <w:tabs>
                <w:tab w:val="left" w:leader="dot" w:pos="8505"/>
              </w:tabs>
              <w:overflowPunct w:val="0"/>
              <w:adjustRightInd w:val="0"/>
              <w:ind w:left="57" w:firstLine="0"/>
              <w:jc w:val="left"/>
              <w:textAlignment w:val="baseline"/>
              <w:rPr>
                <w:rFonts w:cs="Arial"/>
                <w:sz w:val="18"/>
                <w:szCs w:val="20"/>
              </w:rPr>
            </w:pPr>
            <w:r>
              <w:tab/>
            </w:r>
          </w:p>
          <w:p w:rsidR="009C13A9" w:rsidRPr="00C903F8" w:rsidRDefault="009C13A9" w:rsidP="009C13A9">
            <w:pPr>
              <w:overflowPunct w:val="0"/>
              <w:adjustRightInd w:val="0"/>
              <w:spacing w:after="20"/>
              <w:ind w:left="57" w:firstLine="0"/>
              <w:jc w:val="left"/>
              <w:textAlignment w:val="baseline"/>
              <w:rPr>
                <w:rFonts w:cs="Arial"/>
                <w:sz w:val="18"/>
                <w:szCs w:val="20"/>
              </w:rPr>
            </w:pPr>
            <w:r>
              <w:rPr>
                <w:noProof/>
                <w:sz w:val="18"/>
              </w:rPr>
              <w:t>è stato presentato alla commissione di ispezione</w:t>
            </w:r>
            <w:r>
              <w:rPr>
                <w:position w:val="6"/>
                <w:sz w:val="16"/>
              </w:rPr>
              <w:t>*)</w:t>
            </w:r>
            <w:r>
              <w:rPr>
                <w:sz w:val="18"/>
              </w:rPr>
              <w:t>.</w:t>
            </w:r>
          </w:p>
          <w:p w:rsidR="009C13A9" w:rsidRPr="00C903F8" w:rsidRDefault="009C13A9" w:rsidP="009C13A9">
            <w:pPr>
              <w:overflowPunct w:val="0"/>
              <w:adjustRightInd w:val="0"/>
              <w:spacing w:after="20"/>
              <w:ind w:left="57" w:firstLine="0"/>
              <w:jc w:val="left"/>
              <w:textAlignment w:val="baseline"/>
              <w:rPr>
                <w:rFonts w:cs="Arial"/>
                <w:sz w:val="18"/>
                <w:szCs w:val="20"/>
              </w:rPr>
            </w:pPr>
            <w:r>
              <w:rPr>
                <w:noProof/>
                <w:sz w:val="18"/>
              </w:rPr>
              <w:t>Il motivo dell'ispezione/dell'attestato*) è il seguente</w:t>
            </w:r>
            <w:r>
              <w:rPr>
                <w:sz w:val="18"/>
              </w:rPr>
              <w:t>:</w:t>
            </w:r>
          </w:p>
          <w:p w:rsidR="009C13A9" w:rsidRPr="00C903F8" w:rsidRDefault="009C13A9" w:rsidP="00083603">
            <w:pPr>
              <w:tabs>
                <w:tab w:val="left" w:leader="dot" w:pos="8505"/>
              </w:tabs>
              <w:overflowPunct w:val="0"/>
              <w:adjustRightInd w:val="0"/>
              <w:spacing w:after="80"/>
              <w:ind w:left="57" w:firstLine="0"/>
              <w:jc w:val="left"/>
              <w:textAlignment w:val="baseline"/>
              <w:rPr>
                <w:rFonts w:cs="Arial"/>
                <w:position w:val="6"/>
                <w:sz w:val="16"/>
                <w:szCs w:val="20"/>
              </w:rPr>
            </w:pPr>
            <w:r>
              <w:tab/>
            </w:r>
          </w:p>
          <w:p w:rsidR="009C13A9" w:rsidRPr="00C903F8" w:rsidRDefault="009C13A9" w:rsidP="009C13A9">
            <w:pPr>
              <w:tabs>
                <w:tab w:val="left" w:leader="dot" w:pos="8505"/>
              </w:tabs>
              <w:overflowPunct w:val="0"/>
              <w:adjustRightInd w:val="0"/>
              <w:ind w:left="57" w:firstLine="0"/>
              <w:jc w:val="left"/>
              <w:textAlignment w:val="baseline"/>
              <w:rPr>
                <w:rFonts w:cs="Arial"/>
                <w:position w:val="6"/>
                <w:sz w:val="16"/>
                <w:szCs w:val="20"/>
              </w:rPr>
            </w:pPr>
            <w:r>
              <w:tab/>
            </w:r>
          </w:p>
          <w:p w:rsidR="009C13A9" w:rsidRPr="00C903F8" w:rsidRDefault="009C13A9" w:rsidP="009C13A9">
            <w:pPr>
              <w:tabs>
                <w:tab w:val="left" w:leader="dot" w:pos="8505"/>
              </w:tabs>
              <w:overflowPunct w:val="0"/>
              <w:adjustRightInd w:val="0"/>
              <w:ind w:left="57" w:firstLine="0"/>
              <w:jc w:val="left"/>
              <w:textAlignment w:val="baseline"/>
              <w:rPr>
                <w:rFonts w:cs="Arial"/>
                <w:position w:val="6"/>
                <w:sz w:val="16"/>
                <w:szCs w:val="20"/>
              </w:rPr>
            </w:pPr>
            <w:r>
              <w:rPr>
                <w:sz w:val="18"/>
              </w:rPr>
              <w:t>Alla luce - del risultato dell'ispezione/dell'attestato -*), il periodo di validità del certificato per la navigazione interna è confermato - prorogato </w:t>
            </w:r>
            <w:r>
              <w:softHyphen/>
            </w:r>
            <w:r>
              <w:rPr>
                <w:position w:val="6"/>
                <w:sz w:val="16"/>
              </w:rPr>
              <w:t>*)</w:t>
            </w:r>
          </w:p>
          <w:p w:rsidR="009C13A9" w:rsidRPr="00C903F8" w:rsidRDefault="009C13A9" w:rsidP="009C13A9">
            <w:pPr>
              <w:tabs>
                <w:tab w:val="left" w:leader="dot" w:pos="2268"/>
                <w:tab w:val="left" w:leader="dot" w:pos="3402"/>
                <w:tab w:val="left" w:leader="dot" w:pos="8505"/>
              </w:tabs>
              <w:overflowPunct w:val="0"/>
              <w:adjustRightInd w:val="0"/>
              <w:ind w:left="57" w:firstLine="0"/>
              <w:jc w:val="left"/>
              <w:textAlignment w:val="baseline"/>
              <w:rPr>
                <w:rFonts w:cs="Arial"/>
                <w:sz w:val="18"/>
                <w:szCs w:val="20"/>
              </w:rPr>
            </w:pPr>
            <w:r>
              <w:rPr>
                <w:sz w:val="18"/>
              </w:rPr>
              <w:t xml:space="preserve">fino al </w:t>
            </w:r>
            <w:r>
              <w:tab/>
            </w:r>
            <w:r>
              <w:rPr>
                <w:sz w:val="18"/>
              </w:rPr>
              <w:t xml:space="preserve"> .</w:t>
            </w:r>
          </w:p>
          <w:p w:rsidR="009C13A9" w:rsidRPr="00C903F8" w:rsidRDefault="009C13A9" w:rsidP="00083603">
            <w:pPr>
              <w:tabs>
                <w:tab w:val="left" w:pos="57"/>
                <w:tab w:val="left" w:leader="dot" w:pos="3969"/>
                <w:tab w:val="left" w:leader="dot" w:pos="6237"/>
                <w:tab w:val="left" w:leader="dot" w:pos="8505"/>
              </w:tabs>
              <w:overflowPunct w:val="0"/>
              <w:adjustRightInd w:val="0"/>
              <w:spacing w:before="40"/>
              <w:ind w:left="57" w:firstLine="0"/>
              <w:jc w:val="left"/>
              <w:textAlignment w:val="baseline"/>
              <w:rPr>
                <w:rFonts w:cs="Arial"/>
                <w:sz w:val="18"/>
                <w:szCs w:val="20"/>
              </w:rPr>
            </w:pPr>
            <w:r>
              <w:tab/>
            </w:r>
            <w:r>
              <w:rPr>
                <w:sz w:val="18"/>
              </w:rPr>
              <w:t xml:space="preserve">, </w:t>
            </w:r>
            <w:r>
              <w:tab/>
            </w:r>
          </w:p>
          <w:p w:rsidR="009C13A9" w:rsidRPr="00C903F8" w:rsidRDefault="009C13A9" w:rsidP="009C13A9">
            <w:pPr>
              <w:tabs>
                <w:tab w:val="center" w:pos="2041"/>
                <w:tab w:val="center" w:pos="5216"/>
              </w:tabs>
              <w:overflowPunct w:val="0"/>
              <w:adjustRightInd w:val="0"/>
              <w:ind w:left="0" w:firstLine="0"/>
              <w:jc w:val="left"/>
              <w:textAlignment w:val="baseline"/>
              <w:rPr>
                <w:rFonts w:cs="Arial"/>
                <w:sz w:val="18"/>
                <w:szCs w:val="20"/>
              </w:rPr>
            </w:pPr>
            <w:r>
              <w:tab/>
            </w:r>
            <w:r>
              <w:rPr>
                <w:sz w:val="16"/>
              </w:rPr>
              <w:t>(luogo)</w:t>
            </w:r>
            <w:r>
              <w:tab/>
            </w:r>
            <w:r>
              <w:rPr>
                <w:sz w:val="16"/>
              </w:rPr>
              <w:t>(data)</w:t>
            </w:r>
          </w:p>
          <w:p w:rsidR="009C13A9" w:rsidRPr="00C903F8" w:rsidRDefault="009C13A9" w:rsidP="009C13A9">
            <w:pPr>
              <w:tabs>
                <w:tab w:val="left" w:pos="4820"/>
                <w:tab w:val="left" w:leader="dot" w:pos="8505"/>
              </w:tabs>
              <w:overflowPunct w:val="0"/>
              <w:adjustRightInd w:val="0"/>
              <w:spacing w:before="120"/>
              <w:ind w:left="57" w:firstLine="0"/>
              <w:jc w:val="left"/>
              <w:textAlignment w:val="baseline"/>
              <w:rPr>
                <w:rFonts w:cs="Arial"/>
                <w:sz w:val="18"/>
                <w:szCs w:val="20"/>
              </w:rPr>
            </w:pPr>
            <w:r>
              <w:tab/>
            </w:r>
            <w:r>
              <w:tab/>
            </w:r>
          </w:p>
          <w:p w:rsidR="009C13A9" w:rsidRPr="00C903F8" w:rsidRDefault="009C13A9" w:rsidP="00E3172D">
            <w:pPr>
              <w:tabs>
                <w:tab w:val="center" w:pos="1985"/>
                <w:tab w:val="center" w:pos="6662"/>
              </w:tabs>
              <w:overflowPunct w:val="0"/>
              <w:adjustRightInd w:val="0"/>
              <w:ind w:left="0" w:firstLine="0"/>
              <w:jc w:val="left"/>
              <w:textAlignment w:val="baseline"/>
              <w:rPr>
                <w:rFonts w:cs="Arial"/>
                <w:sz w:val="18"/>
                <w:szCs w:val="20"/>
              </w:rPr>
            </w:pPr>
            <w:r>
              <w:tab/>
            </w:r>
            <w:r>
              <w:rPr>
                <w:sz w:val="16"/>
              </w:rPr>
              <w:t>Timbro</w:t>
            </w:r>
            <w:r>
              <w:tab/>
            </w:r>
            <w:r>
              <w:rPr>
                <w:sz w:val="16"/>
              </w:rPr>
              <w:t>Commissione di ispezione</w:t>
            </w:r>
          </w:p>
          <w:p w:rsidR="009C13A9" w:rsidRPr="00C903F8" w:rsidRDefault="009C13A9" w:rsidP="00E3172D">
            <w:pPr>
              <w:tabs>
                <w:tab w:val="left" w:pos="4820"/>
                <w:tab w:val="left" w:leader="dot" w:pos="8505"/>
              </w:tabs>
              <w:overflowPunct w:val="0"/>
              <w:adjustRightInd w:val="0"/>
              <w:ind w:left="0" w:firstLine="0"/>
              <w:jc w:val="left"/>
              <w:textAlignment w:val="baseline"/>
              <w:rPr>
                <w:rFonts w:cs="Arial"/>
                <w:sz w:val="18"/>
                <w:szCs w:val="20"/>
              </w:rPr>
            </w:pPr>
            <w:r>
              <w:tab/>
            </w:r>
            <w:r>
              <w:tab/>
            </w:r>
          </w:p>
          <w:p w:rsidR="009C13A9" w:rsidRPr="009616BC" w:rsidRDefault="009C13A9" w:rsidP="009C13A9">
            <w:pPr>
              <w:tabs>
                <w:tab w:val="center" w:pos="6662"/>
              </w:tabs>
              <w:overflowPunct w:val="0"/>
              <w:adjustRightInd w:val="0"/>
              <w:ind w:left="57" w:firstLine="0"/>
              <w:jc w:val="left"/>
              <w:textAlignment w:val="baseline"/>
              <w:rPr>
                <w:rFonts w:cs="Arial"/>
                <w:sz w:val="16"/>
                <w:szCs w:val="20"/>
              </w:rPr>
            </w:pPr>
            <w:r>
              <w:rPr>
                <w:sz w:val="18"/>
              </w:rPr>
              <w:t>______________________</w:t>
            </w:r>
            <w:r>
              <w:tab/>
            </w:r>
            <w:r>
              <w:rPr>
                <w:sz w:val="16"/>
              </w:rPr>
              <w:t>(firma)</w:t>
            </w:r>
          </w:p>
          <w:p w:rsidR="009C13A9" w:rsidRPr="00C903F8" w:rsidRDefault="009C13A9" w:rsidP="009C13A9">
            <w:pPr>
              <w:tabs>
                <w:tab w:val="left" w:pos="57"/>
                <w:tab w:val="left" w:pos="227"/>
                <w:tab w:val="left" w:pos="5670"/>
                <w:tab w:val="left" w:leader="dot" w:pos="8505"/>
              </w:tabs>
              <w:overflowPunct w:val="0"/>
              <w:adjustRightInd w:val="0"/>
              <w:spacing w:after="40"/>
              <w:ind w:left="57" w:hanging="57"/>
              <w:jc w:val="left"/>
              <w:textAlignment w:val="baseline"/>
              <w:rPr>
                <w:rFonts w:cs="Arial"/>
                <w:sz w:val="18"/>
                <w:szCs w:val="20"/>
              </w:rPr>
            </w:pPr>
            <w:r>
              <w:rPr>
                <w:position w:val="4"/>
                <w:sz w:val="16"/>
                <w:vertAlign w:val="superscript"/>
              </w:rPr>
              <w:t>*)</w:t>
            </w:r>
            <w:r>
              <w:tab/>
            </w:r>
            <w:r>
              <w:rPr>
                <w:sz w:val="16"/>
              </w:rPr>
              <w:t>Cancellare le voci non pertinenti.</w:t>
            </w:r>
          </w:p>
        </w:tc>
      </w:tr>
      <w:tr w:rsidR="009C13A9" w:rsidRPr="00C903F8" w:rsidTr="00083603">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60"/>
              <w:ind w:left="0" w:firstLine="0"/>
              <w:jc w:val="left"/>
              <w:textAlignment w:val="baseline"/>
              <w:rPr>
                <w:rFonts w:cs="Arial"/>
                <w:sz w:val="18"/>
                <w:szCs w:val="20"/>
              </w:rPr>
            </w:pPr>
            <w:r>
              <w:rPr>
                <w:sz w:val="18"/>
              </w:rPr>
              <w:t>49.</w:t>
            </w:r>
          </w:p>
        </w:tc>
        <w:tc>
          <w:tcPr>
            <w:tcW w:w="8902" w:type="dxa"/>
            <w:tcBorders>
              <w:top w:val="single" w:sz="6" w:space="0" w:color="auto"/>
              <w:bottom w:val="single" w:sz="6" w:space="0" w:color="auto"/>
              <w:right w:val="single" w:sz="6" w:space="0" w:color="auto"/>
            </w:tcBorders>
          </w:tcPr>
          <w:p w:rsidR="009C13A9" w:rsidRPr="00C903F8" w:rsidRDefault="009C13A9" w:rsidP="009C13A9">
            <w:pPr>
              <w:tabs>
                <w:tab w:val="left" w:pos="4310"/>
                <w:tab w:val="left" w:leader="dot" w:pos="8505"/>
              </w:tabs>
              <w:overflowPunct w:val="0"/>
              <w:adjustRightInd w:val="0"/>
              <w:spacing w:before="60"/>
              <w:ind w:left="57" w:firstLine="0"/>
              <w:jc w:val="left"/>
              <w:textAlignment w:val="baseline"/>
              <w:rPr>
                <w:rFonts w:cs="Arial"/>
                <w:b/>
                <w:position w:val="6"/>
                <w:sz w:val="16"/>
                <w:szCs w:val="20"/>
              </w:rPr>
            </w:pPr>
            <w:r>
              <w:rPr>
                <w:b/>
                <w:sz w:val="18"/>
              </w:rPr>
              <w:t xml:space="preserve">Estensione/conferma </w:t>
            </w:r>
            <w:r>
              <w:rPr>
                <w:b/>
                <w:position w:val="6"/>
                <w:sz w:val="16"/>
              </w:rPr>
              <w:t>*)</w:t>
            </w:r>
            <w:r>
              <w:rPr>
                <w:b/>
                <w:sz w:val="18"/>
              </w:rPr>
              <w:t xml:space="preserve"> della validità del certificato per la navigazione interna</w:t>
            </w:r>
            <w:r>
              <w:rPr>
                <w:b/>
                <w:position w:val="6"/>
                <w:sz w:val="16"/>
              </w:rPr>
              <w:t>*) - Ispezione</w:t>
            </w:r>
            <w:r>
              <w:rPr>
                <w:b/>
                <w:sz w:val="18"/>
              </w:rPr>
              <w:t xml:space="preserve"> periodica - speciale</w:t>
            </w:r>
            <w:r>
              <w:rPr>
                <w:b/>
                <w:position w:val="6"/>
                <w:sz w:val="16"/>
              </w:rPr>
              <w:t>*)</w:t>
            </w:r>
          </w:p>
          <w:p w:rsidR="009C13A9" w:rsidRPr="00C903F8" w:rsidRDefault="009C13A9" w:rsidP="00083603">
            <w:pPr>
              <w:tabs>
                <w:tab w:val="left" w:leader="dot" w:pos="5103"/>
                <w:tab w:val="left" w:leader="dot" w:pos="8505"/>
              </w:tabs>
              <w:overflowPunct w:val="0"/>
              <w:adjustRightInd w:val="0"/>
              <w:spacing w:before="20"/>
              <w:ind w:left="57" w:firstLine="0"/>
              <w:jc w:val="left"/>
              <w:textAlignment w:val="baseline"/>
              <w:rPr>
                <w:rFonts w:cs="Arial"/>
                <w:sz w:val="18"/>
                <w:szCs w:val="20"/>
              </w:rPr>
            </w:pPr>
            <w:r>
              <w:rPr>
                <w:sz w:val="18"/>
              </w:rPr>
              <w:t>La commissione ha effettuato un'ispezione della nave il</w:t>
            </w:r>
            <w:r>
              <w:tab/>
            </w:r>
            <w:r>
              <w:rPr>
                <w:position w:val="6"/>
                <w:sz w:val="16"/>
              </w:rPr>
              <w:t>*)</w:t>
            </w:r>
            <w:r>
              <w:rPr>
                <w:sz w:val="18"/>
              </w:rPr>
              <w:t>.</w:t>
            </w:r>
          </w:p>
          <w:p w:rsidR="009C13A9" w:rsidRPr="00C903F8" w:rsidRDefault="009C13A9" w:rsidP="00083603">
            <w:pPr>
              <w:tabs>
                <w:tab w:val="left" w:leader="dot" w:pos="3686"/>
                <w:tab w:val="left" w:leader="dot" w:pos="8505"/>
              </w:tabs>
              <w:overflowPunct w:val="0"/>
              <w:adjustRightInd w:val="0"/>
              <w:spacing w:before="20" w:after="20"/>
              <w:ind w:left="57" w:firstLine="0"/>
              <w:jc w:val="left"/>
              <w:textAlignment w:val="baseline"/>
              <w:rPr>
                <w:rFonts w:cs="Arial"/>
                <w:sz w:val="18"/>
                <w:szCs w:val="20"/>
              </w:rPr>
            </w:pPr>
            <w:r>
              <w:rPr>
                <w:sz w:val="18"/>
              </w:rPr>
              <w:t>Un attestato datato</w:t>
            </w:r>
            <w:r>
              <w:tab/>
              <w:t>rilasciato dall'organismo di classificazione autorizzato</w:t>
            </w:r>
            <w:r>
              <w:tab/>
            </w:r>
          </w:p>
          <w:p w:rsidR="009C13A9" w:rsidRPr="00C903F8" w:rsidRDefault="009C13A9" w:rsidP="009C13A9">
            <w:pPr>
              <w:tabs>
                <w:tab w:val="left" w:leader="dot" w:pos="8505"/>
              </w:tabs>
              <w:overflowPunct w:val="0"/>
              <w:adjustRightInd w:val="0"/>
              <w:ind w:left="57" w:firstLine="0"/>
              <w:jc w:val="left"/>
              <w:textAlignment w:val="baseline"/>
              <w:rPr>
                <w:rFonts w:cs="Arial"/>
                <w:sz w:val="18"/>
                <w:szCs w:val="20"/>
              </w:rPr>
            </w:pPr>
            <w:r>
              <w:tab/>
            </w:r>
          </w:p>
          <w:p w:rsidR="009C13A9" w:rsidRPr="00C903F8" w:rsidRDefault="009C13A9" w:rsidP="009C13A9">
            <w:pPr>
              <w:overflowPunct w:val="0"/>
              <w:adjustRightInd w:val="0"/>
              <w:spacing w:after="20"/>
              <w:ind w:left="57" w:firstLine="0"/>
              <w:jc w:val="left"/>
              <w:textAlignment w:val="baseline"/>
              <w:rPr>
                <w:rFonts w:cs="Arial"/>
                <w:sz w:val="18"/>
                <w:szCs w:val="20"/>
              </w:rPr>
            </w:pPr>
            <w:r>
              <w:rPr>
                <w:noProof/>
                <w:sz w:val="18"/>
              </w:rPr>
              <w:t>è stato presentato alla commissione di ispezione</w:t>
            </w:r>
            <w:r>
              <w:rPr>
                <w:position w:val="6"/>
                <w:sz w:val="16"/>
              </w:rPr>
              <w:t>*)</w:t>
            </w:r>
            <w:r>
              <w:rPr>
                <w:sz w:val="18"/>
              </w:rPr>
              <w:t>.</w:t>
            </w:r>
          </w:p>
          <w:p w:rsidR="009C13A9" w:rsidRPr="00C903F8" w:rsidRDefault="009C13A9" w:rsidP="009C13A9">
            <w:pPr>
              <w:overflowPunct w:val="0"/>
              <w:adjustRightInd w:val="0"/>
              <w:spacing w:after="20"/>
              <w:ind w:left="57" w:firstLine="0"/>
              <w:jc w:val="left"/>
              <w:textAlignment w:val="baseline"/>
              <w:rPr>
                <w:rFonts w:cs="Arial"/>
                <w:sz w:val="18"/>
                <w:szCs w:val="20"/>
              </w:rPr>
            </w:pPr>
            <w:r>
              <w:rPr>
                <w:noProof/>
                <w:sz w:val="18"/>
              </w:rPr>
              <w:t>Il motivo dell'ispezione/dell'attestato*) è il seguente</w:t>
            </w:r>
            <w:r>
              <w:rPr>
                <w:sz w:val="18"/>
              </w:rPr>
              <w:t>:</w:t>
            </w:r>
          </w:p>
          <w:p w:rsidR="009C13A9" w:rsidRPr="00C903F8" w:rsidRDefault="009C13A9" w:rsidP="00083603">
            <w:pPr>
              <w:tabs>
                <w:tab w:val="left" w:leader="dot" w:pos="8505"/>
              </w:tabs>
              <w:overflowPunct w:val="0"/>
              <w:adjustRightInd w:val="0"/>
              <w:spacing w:after="80"/>
              <w:ind w:left="57" w:firstLine="0"/>
              <w:jc w:val="left"/>
              <w:textAlignment w:val="baseline"/>
              <w:rPr>
                <w:rFonts w:cs="Arial"/>
                <w:position w:val="6"/>
                <w:sz w:val="16"/>
                <w:szCs w:val="20"/>
              </w:rPr>
            </w:pPr>
            <w:r>
              <w:tab/>
            </w:r>
          </w:p>
          <w:p w:rsidR="009C13A9" w:rsidRPr="00C903F8" w:rsidRDefault="009C13A9" w:rsidP="009C13A9">
            <w:pPr>
              <w:tabs>
                <w:tab w:val="left" w:leader="dot" w:pos="8505"/>
              </w:tabs>
              <w:overflowPunct w:val="0"/>
              <w:adjustRightInd w:val="0"/>
              <w:ind w:left="57" w:firstLine="0"/>
              <w:jc w:val="left"/>
              <w:textAlignment w:val="baseline"/>
              <w:rPr>
                <w:rFonts w:cs="Arial"/>
                <w:position w:val="6"/>
                <w:sz w:val="16"/>
                <w:szCs w:val="20"/>
              </w:rPr>
            </w:pPr>
            <w:r>
              <w:tab/>
            </w:r>
          </w:p>
          <w:p w:rsidR="009C13A9" w:rsidRPr="00C903F8" w:rsidRDefault="009C13A9" w:rsidP="009C13A9">
            <w:pPr>
              <w:tabs>
                <w:tab w:val="left" w:leader="dot" w:pos="8505"/>
              </w:tabs>
              <w:overflowPunct w:val="0"/>
              <w:adjustRightInd w:val="0"/>
              <w:ind w:left="57" w:firstLine="0"/>
              <w:jc w:val="left"/>
              <w:textAlignment w:val="baseline"/>
              <w:rPr>
                <w:rFonts w:cs="Arial"/>
                <w:position w:val="6"/>
                <w:sz w:val="16"/>
                <w:szCs w:val="20"/>
              </w:rPr>
            </w:pPr>
            <w:r>
              <w:t>Alla luce - del risultato dell'ispezione/dell'attestato -*), il periodo di validità del certificato per la navigazione interna è confermato - prorogato </w:t>
            </w:r>
            <w:r>
              <w:softHyphen/>
              <w:t>*)</w:t>
            </w:r>
          </w:p>
          <w:p w:rsidR="009C13A9" w:rsidRPr="00C903F8" w:rsidRDefault="009C13A9" w:rsidP="009C13A9">
            <w:pPr>
              <w:tabs>
                <w:tab w:val="left" w:leader="dot" w:pos="2268"/>
                <w:tab w:val="left" w:leader="dot" w:pos="3402"/>
                <w:tab w:val="left" w:leader="dot" w:pos="8505"/>
              </w:tabs>
              <w:overflowPunct w:val="0"/>
              <w:adjustRightInd w:val="0"/>
              <w:ind w:left="57" w:firstLine="0"/>
              <w:jc w:val="left"/>
              <w:textAlignment w:val="baseline"/>
              <w:rPr>
                <w:rFonts w:cs="Arial"/>
                <w:sz w:val="18"/>
                <w:szCs w:val="20"/>
              </w:rPr>
            </w:pPr>
            <w:r>
              <w:rPr>
                <w:sz w:val="18"/>
              </w:rPr>
              <w:t xml:space="preserve">fino al </w:t>
            </w:r>
            <w:r>
              <w:tab/>
            </w:r>
            <w:r>
              <w:rPr>
                <w:sz w:val="18"/>
              </w:rPr>
              <w:t xml:space="preserve"> .</w:t>
            </w:r>
          </w:p>
          <w:p w:rsidR="009C13A9" w:rsidRPr="00C903F8" w:rsidRDefault="009C13A9" w:rsidP="00083603">
            <w:pPr>
              <w:tabs>
                <w:tab w:val="left" w:pos="57"/>
                <w:tab w:val="left" w:leader="dot" w:pos="3969"/>
                <w:tab w:val="left" w:leader="dot" w:pos="6237"/>
                <w:tab w:val="left" w:leader="dot" w:pos="8505"/>
              </w:tabs>
              <w:overflowPunct w:val="0"/>
              <w:adjustRightInd w:val="0"/>
              <w:spacing w:before="40"/>
              <w:ind w:left="57" w:firstLine="0"/>
              <w:jc w:val="left"/>
              <w:textAlignment w:val="baseline"/>
              <w:rPr>
                <w:rFonts w:cs="Arial"/>
                <w:sz w:val="18"/>
                <w:szCs w:val="20"/>
              </w:rPr>
            </w:pPr>
            <w:r>
              <w:tab/>
            </w:r>
            <w:r>
              <w:rPr>
                <w:sz w:val="18"/>
              </w:rPr>
              <w:t xml:space="preserve">, </w:t>
            </w:r>
            <w:r>
              <w:tab/>
            </w:r>
          </w:p>
          <w:p w:rsidR="009C13A9" w:rsidRPr="00C903F8" w:rsidRDefault="009C13A9" w:rsidP="009C13A9">
            <w:pPr>
              <w:tabs>
                <w:tab w:val="center" w:pos="2041"/>
                <w:tab w:val="center" w:pos="5216"/>
              </w:tabs>
              <w:overflowPunct w:val="0"/>
              <w:adjustRightInd w:val="0"/>
              <w:ind w:left="0" w:firstLine="0"/>
              <w:jc w:val="left"/>
              <w:textAlignment w:val="baseline"/>
              <w:rPr>
                <w:rFonts w:cs="Arial"/>
                <w:sz w:val="18"/>
                <w:szCs w:val="20"/>
              </w:rPr>
            </w:pPr>
            <w:r>
              <w:tab/>
            </w:r>
            <w:r>
              <w:rPr>
                <w:sz w:val="16"/>
              </w:rPr>
              <w:t>(luogo)</w:t>
            </w:r>
            <w:r>
              <w:tab/>
            </w:r>
            <w:r>
              <w:rPr>
                <w:sz w:val="16"/>
              </w:rPr>
              <w:t>(data)</w:t>
            </w:r>
          </w:p>
          <w:p w:rsidR="009C13A9" w:rsidRPr="00C903F8" w:rsidRDefault="009C13A9" w:rsidP="009C13A9">
            <w:pPr>
              <w:tabs>
                <w:tab w:val="left" w:pos="4820"/>
                <w:tab w:val="left" w:leader="dot" w:pos="8505"/>
              </w:tabs>
              <w:overflowPunct w:val="0"/>
              <w:adjustRightInd w:val="0"/>
              <w:spacing w:before="120"/>
              <w:ind w:left="57" w:firstLine="0"/>
              <w:jc w:val="left"/>
              <w:textAlignment w:val="baseline"/>
              <w:rPr>
                <w:rFonts w:cs="Arial"/>
                <w:sz w:val="18"/>
                <w:szCs w:val="20"/>
              </w:rPr>
            </w:pPr>
            <w:r>
              <w:tab/>
            </w:r>
            <w:r>
              <w:tab/>
            </w:r>
          </w:p>
          <w:p w:rsidR="009C13A9" w:rsidRPr="00C903F8" w:rsidRDefault="009C13A9" w:rsidP="00AA5614">
            <w:pPr>
              <w:tabs>
                <w:tab w:val="center" w:pos="1985"/>
                <w:tab w:val="center" w:pos="6662"/>
              </w:tabs>
              <w:overflowPunct w:val="0"/>
              <w:adjustRightInd w:val="0"/>
              <w:ind w:left="0" w:firstLine="0"/>
              <w:jc w:val="left"/>
              <w:textAlignment w:val="baseline"/>
              <w:rPr>
                <w:rFonts w:cs="Arial"/>
                <w:sz w:val="18"/>
                <w:szCs w:val="20"/>
              </w:rPr>
            </w:pPr>
            <w:r>
              <w:tab/>
            </w:r>
            <w:r>
              <w:rPr>
                <w:sz w:val="16"/>
              </w:rPr>
              <w:t>Timbro</w:t>
            </w:r>
            <w:r>
              <w:tab/>
            </w:r>
            <w:r>
              <w:rPr>
                <w:sz w:val="16"/>
              </w:rPr>
              <w:t>Commissione di ispezione</w:t>
            </w:r>
          </w:p>
          <w:p w:rsidR="009C13A9" w:rsidRPr="00C903F8" w:rsidRDefault="009C13A9" w:rsidP="00AA5614">
            <w:pPr>
              <w:tabs>
                <w:tab w:val="left" w:pos="4820"/>
                <w:tab w:val="left" w:leader="dot" w:pos="8505"/>
              </w:tabs>
              <w:overflowPunct w:val="0"/>
              <w:adjustRightInd w:val="0"/>
              <w:ind w:left="0" w:firstLine="0"/>
              <w:jc w:val="left"/>
              <w:textAlignment w:val="baseline"/>
              <w:rPr>
                <w:rFonts w:cs="Arial"/>
                <w:sz w:val="18"/>
                <w:szCs w:val="20"/>
              </w:rPr>
            </w:pPr>
            <w:r>
              <w:tab/>
            </w:r>
            <w:r>
              <w:tab/>
            </w:r>
          </w:p>
          <w:p w:rsidR="009C13A9" w:rsidRPr="00C903F8" w:rsidRDefault="009C13A9" w:rsidP="009C13A9">
            <w:pPr>
              <w:tabs>
                <w:tab w:val="center" w:pos="6662"/>
              </w:tabs>
              <w:overflowPunct w:val="0"/>
              <w:adjustRightInd w:val="0"/>
              <w:ind w:left="57" w:firstLine="0"/>
              <w:jc w:val="left"/>
              <w:textAlignment w:val="baseline"/>
              <w:rPr>
                <w:rFonts w:cs="Arial"/>
                <w:sz w:val="16"/>
                <w:szCs w:val="20"/>
              </w:rPr>
            </w:pPr>
            <w:r>
              <w:rPr>
                <w:sz w:val="18"/>
              </w:rPr>
              <w:t>______________________</w:t>
            </w:r>
            <w:r>
              <w:tab/>
            </w:r>
            <w:r>
              <w:rPr>
                <w:sz w:val="16"/>
              </w:rPr>
              <w:t>(firma)</w:t>
            </w:r>
          </w:p>
          <w:p w:rsidR="009C13A9" w:rsidRPr="00C903F8" w:rsidRDefault="009C13A9" w:rsidP="009C13A9">
            <w:pPr>
              <w:tabs>
                <w:tab w:val="left" w:pos="57"/>
                <w:tab w:val="left" w:pos="227"/>
                <w:tab w:val="left" w:pos="5670"/>
                <w:tab w:val="left" w:leader="dot" w:pos="8505"/>
              </w:tabs>
              <w:overflowPunct w:val="0"/>
              <w:adjustRightInd w:val="0"/>
              <w:spacing w:after="40"/>
              <w:ind w:left="57" w:hanging="57"/>
              <w:jc w:val="left"/>
              <w:textAlignment w:val="baseline"/>
              <w:rPr>
                <w:rFonts w:cs="Arial"/>
                <w:sz w:val="18"/>
                <w:szCs w:val="20"/>
              </w:rPr>
            </w:pPr>
            <w:r>
              <w:rPr>
                <w:position w:val="4"/>
                <w:sz w:val="16"/>
                <w:vertAlign w:val="superscript"/>
              </w:rPr>
              <w:t>*)</w:t>
            </w:r>
            <w:r>
              <w:tab/>
            </w:r>
            <w:r>
              <w:rPr>
                <w:sz w:val="16"/>
              </w:rPr>
              <w:t>Cancellare le voci non pertinenti.</w:t>
            </w:r>
          </w:p>
        </w:tc>
      </w:tr>
      <w:tr w:rsidR="009C13A9" w:rsidRPr="00C903F8" w:rsidTr="00083603">
        <w:trPr>
          <w:cantSplit/>
          <w:jc w:val="center"/>
        </w:trPr>
        <w:tc>
          <w:tcPr>
            <w:tcW w:w="284" w:type="dxa"/>
            <w:tcBorders>
              <w:top w:val="single" w:sz="6" w:space="0" w:color="auto"/>
              <w:left w:val="single" w:sz="6" w:space="0" w:color="auto"/>
              <w:bottom w:val="single" w:sz="4" w:space="0" w:color="auto"/>
            </w:tcBorders>
          </w:tcPr>
          <w:p w:rsidR="009C13A9" w:rsidRPr="00C903F8" w:rsidRDefault="009C13A9" w:rsidP="009C13A9">
            <w:pPr>
              <w:tabs>
                <w:tab w:val="left" w:pos="57"/>
                <w:tab w:val="left" w:pos="227"/>
              </w:tabs>
              <w:overflowPunct w:val="0"/>
              <w:adjustRightInd w:val="0"/>
              <w:spacing w:before="60"/>
              <w:ind w:left="0" w:firstLine="0"/>
              <w:jc w:val="left"/>
              <w:textAlignment w:val="baseline"/>
              <w:rPr>
                <w:rFonts w:cs="Arial"/>
                <w:sz w:val="18"/>
                <w:szCs w:val="20"/>
              </w:rPr>
            </w:pPr>
            <w:r>
              <w:rPr>
                <w:sz w:val="18"/>
              </w:rPr>
              <w:t>49.</w:t>
            </w:r>
          </w:p>
        </w:tc>
        <w:tc>
          <w:tcPr>
            <w:tcW w:w="8902" w:type="dxa"/>
            <w:tcBorders>
              <w:top w:val="single" w:sz="6" w:space="0" w:color="auto"/>
              <w:bottom w:val="single" w:sz="4" w:space="0" w:color="auto"/>
              <w:right w:val="single" w:sz="6" w:space="0" w:color="auto"/>
            </w:tcBorders>
          </w:tcPr>
          <w:p w:rsidR="009C13A9" w:rsidRPr="00C903F8" w:rsidRDefault="009C13A9" w:rsidP="009C13A9">
            <w:pPr>
              <w:tabs>
                <w:tab w:val="left" w:pos="4310"/>
                <w:tab w:val="left" w:leader="dot" w:pos="8505"/>
              </w:tabs>
              <w:overflowPunct w:val="0"/>
              <w:adjustRightInd w:val="0"/>
              <w:spacing w:before="60"/>
              <w:ind w:left="57" w:firstLine="0"/>
              <w:jc w:val="left"/>
              <w:textAlignment w:val="baseline"/>
              <w:rPr>
                <w:rFonts w:cs="Arial"/>
                <w:b/>
                <w:position w:val="6"/>
                <w:sz w:val="16"/>
                <w:szCs w:val="20"/>
              </w:rPr>
            </w:pPr>
            <w:r>
              <w:rPr>
                <w:b/>
                <w:sz w:val="18"/>
              </w:rPr>
              <w:t xml:space="preserve">Estensione/conferma </w:t>
            </w:r>
            <w:r>
              <w:rPr>
                <w:b/>
                <w:position w:val="6"/>
                <w:sz w:val="16"/>
              </w:rPr>
              <w:t>*)</w:t>
            </w:r>
            <w:r>
              <w:rPr>
                <w:b/>
                <w:sz w:val="18"/>
              </w:rPr>
              <w:t xml:space="preserve"> della validità del certificato per la navigazione interna</w:t>
            </w:r>
            <w:r>
              <w:rPr>
                <w:b/>
                <w:position w:val="6"/>
                <w:sz w:val="16"/>
              </w:rPr>
              <w:t>*) - Ispezione</w:t>
            </w:r>
            <w:r>
              <w:rPr>
                <w:b/>
                <w:sz w:val="18"/>
              </w:rPr>
              <w:t xml:space="preserve"> periodica - speciale</w:t>
            </w:r>
            <w:r>
              <w:rPr>
                <w:b/>
                <w:position w:val="6"/>
                <w:sz w:val="16"/>
              </w:rPr>
              <w:t>*)</w:t>
            </w:r>
          </w:p>
          <w:p w:rsidR="009C13A9" w:rsidRPr="00C903F8" w:rsidRDefault="009C13A9" w:rsidP="00083603">
            <w:pPr>
              <w:tabs>
                <w:tab w:val="left" w:leader="dot" w:pos="5103"/>
                <w:tab w:val="left" w:leader="dot" w:pos="8505"/>
              </w:tabs>
              <w:overflowPunct w:val="0"/>
              <w:adjustRightInd w:val="0"/>
              <w:spacing w:before="20" w:after="20"/>
              <w:ind w:left="57" w:firstLine="0"/>
              <w:jc w:val="left"/>
              <w:textAlignment w:val="baseline"/>
              <w:rPr>
                <w:rFonts w:cs="Arial"/>
                <w:sz w:val="18"/>
                <w:szCs w:val="20"/>
              </w:rPr>
            </w:pPr>
            <w:r>
              <w:rPr>
                <w:sz w:val="18"/>
              </w:rPr>
              <w:t>La commissione ha effettuato un'ispezione della nave il</w:t>
            </w:r>
            <w:r>
              <w:tab/>
            </w:r>
            <w:r>
              <w:rPr>
                <w:position w:val="6"/>
                <w:sz w:val="16"/>
              </w:rPr>
              <w:t>*)</w:t>
            </w:r>
            <w:r>
              <w:rPr>
                <w:sz w:val="18"/>
              </w:rPr>
              <w:t>.</w:t>
            </w:r>
          </w:p>
          <w:p w:rsidR="009C13A9" w:rsidRPr="00C903F8" w:rsidRDefault="009C13A9" w:rsidP="00083603">
            <w:pPr>
              <w:tabs>
                <w:tab w:val="left" w:leader="dot" w:pos="3686"/>
                <w:tab w:val="left" w:leader="dot" w:pos="8505"/>
              </w:tabs>
              <w:overflowPunct w:val="0"/>
              <w:adjustRightInd w:val="0"/>
              <w:spacing w:before="20" w:after="20"/>
              <w:ind w:left="57" w:firstLine="0"/>
              <w:jc w:val="left"/>
              <w:textAlignment w:val="baseline"/>
              <w:rPr>
                <w:rFonts w:cs="Arial"/>
                <w:sz w:val="18"/>
                <w:szCs w:val="20"/>
              </w:rPr>
            </w:pPr>
            <w:r>
              <w:rPr>
                <w:sz w:val="18"/>
              </w:rPr>
              <w:t>Un attestato datato</w:t>
            </w:r>
            <w:r>
              <w:tab/>
              <w:t>rilasciato dall'organismo di classificazione autorizzato</w:t>
            </w:r>
            <w:r>
              <w:tab/>
            </w:r>
          </w:p>
          <w:p w:rsidR="009C13A9" w:rsidRPr="00C903F8" w:rsidRDefault="009C13A9" w:rsidP="009C13A9">
            <w:pPr>
              <w:tabs>
                <w:tab w:val="left" w:leader="dot" w:pos="8505"/>
              </w:tabs>
              <w:overflowPunct w:val="0"/>
              <w:adjustRightInd w:val="0"/>
              <w:ind w:left="57" w:firstLine="0"/>
              <w:jc w:val="left"/>
              <w:textAlignment w:val="baseline"/>
              <w:rPr>
                <w:rFonts w:cs="Arial"/>
                <w:sz w:val="18"/>
                <w:szCs w:val="20"/>
              </w:rPr>
            </w:pPr>
            <w:r>
              <w:tab/>
            </w:r>
          </w:p>
          <w:p w:rsidR="009C13A9" w:rsidRPr="00C903F8" w:rsidRDefault="009C13A9" w:rsidP="009C13A9">
            <w:pPr>
              <w:overflowPunct w:val="0"/>
              <w:adjustRightInd w:val="0"/>
              <w:spacing w:after="20"/>
              <w:ind w:left="57" w:firstLine="0"/>
              <w:jc w:val="left"/>
              <w:textAlignment w:val="baseline"/>
              <w:rPr>
                <w:rFonts w:cs="Arial"/>
                <w:sz w:val="18"/>
                <w:szCs w:val="20"/>
              </w:rPr>
            </w:pPr>
            <w:r>
              <w:rPr>
                <w:noProof/>
                <w:sz w:val="18"/>
              </w:rPr>
              <w:t>è stato presentato alla commissione di ispezione</w:t>
            </w:r>
            <w:r>
              <w:rPr>
                <w:position w:val="6"/>
                <w:sz w:val="16"/>
              </w:rPr>
              <w:t>*)</w:t>
            </w:r>
            <w:r>
              <w:rPr>
                <w:sz w:val="18"/>
              </w:rPr>
              <w:t>.</w:t>
            </w:r>
          </w:p>
          <w:p w:rsidR="009C13A9" w:rsidRPr="00C903F8" w:rsidRDefault="009C13A9" w:rsidP="009C13A9">
            <w:pPr>
              <w:overflowPunct w:val="0"/>
              <w:adjustRightInd w:val="0"/>
              <w:spacing w:after="20"/>
              <w:ind w:left="57" w:firstLine="0"/>
              <w:jc w:val="left"/>
              <w:textAlignment w:val="baseline"/>
              <w:rPr>
                <w:rFonts w:cs="Arial"/>
                <w:sz w:val="18"/>
                <w:szCs w:val="20"/>
              </w:rPr>
            </w:pPr>
            <w:r>
              <w:rPr>
                <w:noProof/>
                <w:sz w:val="18"/>
              </w:rPr>
              <w:t>Il motivo dell'ispezione/dell'attestato*) è il seguente</w:t>
            </w:r>
            <w:r>
              <w:rPr>
                <w:sz w:val="18"/>
              </w:rPr>
              <w:t>:</w:t>
            </w:r>
          </w:p>
          <w:p w:rsidR="009C13A9" w:rsidRPr="00C903F8" w:rsidRDefault="009C13A9" w:rsidP="00083603">
            <w:pPr>
              <w:tabs>
                <w:tab w:val="left" w:leader="dot" w:pos="8505"/>
              </w:tabs>
              <w:overflowPunct w:val="0"/>
              <w:adjustRightInd w:val="0"/>
              <w:spacing w:after="80"/>
              <w:ind w:left="57" w:firstLine="0"/>
              <w:jc w:val="left"/>
              <w:textAlignment w:val="baseline"/>
              <w:rPr>
                <w:rFonts w:cs="Arial"/>
                <w:position w:val="6"/>
                <w:sz w:val="16"/>
                <w:szCs w:val="20"/>
              </w:rPr>
            </w:pPr>
            <w:r>
              <w:tab/>
            </w:r>
          </w:p>
          <w:p w:rsidR="009C13A9" w:rsidRPr="00C903F8" w:rsidRDefault="009C13A9" w:rsidP="009C13A9">
            <w:pPr>
              <w:tabs>
                <w:tab w:val="left" w:leader="dot" w:pos="8505"/>
              </w:tabs>
              <w:overflowPunct w:val="0"/>
              <w:adjustRightInd w:val="0"/>
              <w:ind w:left="57" w:firstLine="0"/>
              <w:jc w:val="left"/>
              <w:textAlignment w:val="baseline"/>
              <w:rPr>
                <w:rFonts w:cs="Arial"/>
                <w:position w:val="6"/>
                <w:sz w:val="16"/>
                <w:szCs w:val="20"/>
              </w:rPr>
            </w:pPr>
            <w:r>
              <w:tab/>
            </w:r>
          </w:p>
          <w:p w:rsidR="009C13A9" w:rsidRPr="00C903F8" w:rsidRDefault="009C13A9" w:rsidP="009C13A9">
            <w:pPr>
              <w:tabs>
                <w:tab w:val="left" w:leader="dot" w:pos="8505"/>
              </w:tabs>
              <w:overflowPunct w:val="0"/>
              <w:adjustRightInd w:val="0"/>
              <w:ind w:left="57" w:firstLine="0"/>
              <w:jc w:val="left"/>
              <w:textAlignment w:val="baseline"/>
              <w:rPr>
                <w:rFonts w:cs="Arial"/>
                <w:position w:val="6"/>
                <w:sz w:val="16"/>
                <w:szCs w:val="20"/>
              </w:rPr>
            </w:pPr>
            <w:r>
              <w:t>Alla luce - del risultato dell'ispezione/dell'attestato -*), il periodo di validità del certificato per la navigazione interna è confermato - prorogato </w:t>
            </w:r>
            <w:r>
              <w:softHyphen/>
              <w:t>*)</w:t>
            </w:r>
          </w:p>
          <w:p w:rsidR="009C13A9" w:rsidRPr="00C903F8" w:rsidRDefault="009C13A9" w:rsidP="009C13A9">
            <w:pPr>
              <w:tabs>
                <w:tab w:val="left" w:leader="dot" w:pos="2268"/>
                <w:tab w:val="left" w:leader="dot" w:pos="3402"/>
                <w:tab w:val="left" w:leader="dot" w:pos="8505"/>
              </w:tabs>
              <w:overflowPunct w:val="0"/>
              <w:adjustRightInd w:val="0"/>
              <w:ind w:left="57" w:firstLine="0"/>
              <w:jc w:val="left"/>
              <w:textAlignment w:val="baseline"/>
              <w:rPr>
                <w:rFonts w:cs="Arial"/>
                <w:sz w:val="18"/>
                <w:szCs w:val="20"/>
              </w:rPr>
            </w:pPr>
            <w:r>
              <w:rPr>
                <w:sz w:val="18"/>
              </w:rPr>
              <w:t xml:space="preserve">fino al </w:t>
            </w:r>
            <w:r>
              <w:tab/>
            </w:r>
            <w:r>
              <w:rPr>
                <w:sz w:val="18"/>
              </w:rPr>
              <w:t xml:space="preserve"> .</w:t>
            </w:r>
          </w:p>
          <w:p w:rsidR="009C13A9" w:rsidRPr="00C903F8" w:rsidRDefault="009C13A9" w:rsidP="00083603">
            <w:pPr>
              <w:tabs>
                <w:tab w:val="left" w:pos="57"/>
                <w:tab w:val="left" w:leader="dot" w:pos="3969"/>
                <w:tab w:val="left" w:leader="dot" w:pos="6237"/>
                <w:tab w:val="left" w:leader="dot" w:pos="8505"/>
              </w:tabs>
              <w:overflowPunct w:val="0"/>
              <w:adjustRightInd w:val="0"/>
              <w:spacing w:before="40"/>
              <w:ind w:left="57" w:firstLine="0"/>
              <w:jc w:val="left"/>
              <w:textAlignment w:val="baseline"/>
              <w:rPr>
                <w:rFonts w:cs="Arial"/>
                <w:sz w:val="18"/>
                <w:szCs w:val="20"/>
              </w:rPr>
            </w:pPr>
            <w:r>
              <w:tab/>
            </w:r>
            <w:r>
              <w:rPr>
                <w:sz w:val="18"/>
              </w:rPr>
              <w:t xml:space="preserve">, </w:t>
            </w:r>
            <w:r>
              <w:tab/>
            </w:r>
          </w:p>
          <w:p w:rsidR="009C13A9" w:rsidRPr="00C903F8" w:rsidRDefault="009C13A9" w:rsidP="009C13A9">
            <w:pPr>
              <w:tabs>
                <w:tab w:val="center" w:pos="2041"/>
                <w:tab w:val="center" w:pos="5216"/>
              </w:tabs>
              <w:overflowPunct w:val="0"/>
              <w:adjustRightInd w:val="0"/>
              <w:ind w:left="0" w:firstLine="0"/>
              <w:jc w:val="left"/>
              <w:textAlignment w:val="baseline"/>
              <w:rPr>
                <w:rFonts w:cs="Arial"/>
                <w:sz w:val="18"/>
                <w:szCs w:val="20"/>
              </w:rPr>
            </w:pPr>
            <w:r>
              <w:tab/>
            </w:r>
            <w:r>
              <w:rPr>
                <w:sz w:val="16"/>
              </w:rPr>
              <w:t>(luogo)</w:t>
            </w:r>
            <w:r>
              <w:tab/>
            </w:r>
            <w:r>
              <w:rPr>
                <w:sz w:val="16"/>
              </w:rPr>
              <w:t>(data)</w:t>
            </w:r>
          </w:p>
          <w:p w:rsidR="009C13A9" w:rsidRPr="00C903F8" w:rsidRDefault="009C13A9" w:rsidP="009C13A9">
            <w:pPr>
              <w:tabs>
                <w:tab w:val="left" w:pos="4820"/>
                <w:tab w:val="left" w:leader="dot" w:pos="8505"/>
              </w:tabs>
              <w:overflowPunct w:val="0"/>
              <w:adjustRightInd w:val="0"/>
              <w:spacing w:before="120"/>
              <w:ind w:left="57" w:firstLine="0"/>
              <w:jc w:val="left"/>
              <w:textAlignment w:val="baseline"/>
              <w:rPr>
                <w:rFonts w:cs="Arial"/>
                <w:sz w:val="18"/>
                <w:szCs w:val="20"/>
              </w:rPr>
            </w:pPr>
            <w:r>
              <w:tab/>
            </w:r>
            <w:r>
              <w:tab/>
            </w:r>
          </w:p>
          <w:p w:rsidR="009C13A9" w:rsidRPr="00C903F8" w:rsidRDefault="009C13A9" w:rsidP="009C13A9">
            <w:pPr>
              <w:tabs>
                <w:tab w:val="center" w:pos="1985"/>
                <w:tab w:val="center" w:pos="6662"/>
              </w:tabs>
              <w:overflowPunct w:val="0"/>
              <w:adjustRightInd w:val="0"/>
              <w:ind w:left="0" w:firstLine="0"/>
              <w:jc w:val="left"/>
              <w:textAlignment w:val="baseline"/>
              <w:rPr>
                <w:rFonts w:cs="Arial"/>
                <w:sz w:val="18"/>
                <w:szCs w:val="20"/>
              </w:rPr>
            </w:pPr>
            <w:r>
              <w:tab/>
            </w:r>
            <w:r>
              <w:rPr>
                <w:sz w:val="16"/>
              </w:rPr>
              <w:t>Timbro</w:t>
            </w:r>
            <w:r>
              <w:tab/>
            </w:r>
            <w:r>
              <w:rPr>
                <w:sz w:val="16"/>
              </w:rPr>
              <w:t>Commissione di ispezione</w:t>
            </w:r>
          </w:p>
          <w:p w:rsidR="009C13A9" w:rsidRPr="00C903F8" w:rsidRDefault="009C13A9" w:rsidP="009C13A9">
            <w:pPr>
              <w:tabs>
                <w:tab w:val="left" w:pos="4820"/>
                <w:tab w:val="left" w:leader="dot" w:pos="8505"/>
              </w:tabs>
              <w:overflowPunct w:val="0"/>
              <w:adjustRightInd w:val="0"/>
              <w:spacing w:before="120"/>
              <w:ind w:left="0" w:firstLine="0"/>
              <w:jc w:val="left"/>
              <w:textAlignment w:val="baseline"/>
              <w:rPr>
                <w:rFonts w:cs="Arial"/>
                <w:sz w:val="18"/>
                <w:szCs w:val="20"/>
              </w:rPr>
            </w:pPr>
            <w:r>
              <w:tab/>
            </w:r>
            <w:r>
              <w:tab/>
            </w:r>
          </w:p>
          <w:p w:rsidR="009C13A9" w:rsidRPr="00C903F8" w:rsidRDefault="009C13A9" w:rsidP="009C13A9">
            <w:pPr>
              <w:tabs>
                <w:tab w:val="center" w:pos="6662"/>
              </w:tabs>
              <w:overflowPunct w:val="0"/>
              <w:adjustRightInd w:val="0"/>
              <w:ind w:left="57" w:firstLine="0"/>
              <w:jc w:val="left"/>
              <w:textAlignment w:val="baseline"/>
              <w:rPr>
                <w:rFonts w:cs="Arial"/>
                <w:sz w:val="16"/>
                <w:szCs w:val="20"/>
              </w:rPr>
            </w:pPr>
            <w:r>
              <w:rPr>
                <w:sz w:val="18"/>
              </w:rPr>
              <w:t>______________________</w:t>
            </w:r>
            <w:r>
              <w:tab/>
            </w:r>
            <w:r>
              <w:rPr>
                <w:sz w:val="16"/>
              </w:rPr>
              <w:t>(firma)</w:t>
            </w:r>
          </w:p>
          <w:p w:rsidR="009C13A9" w:rsidRPr="00C903F8" w:rsidRDefault="009C13A9" w:rsidP="009C13A9">
            <w:pPr>
              <w:tabs>
                <w:tab w:val="left" w:pos="57"/>
                <w:tab w:val="left" w:pos="227"/>
                <w:tab w:val="left" w:pos="5670"/>
                <w:tab w:val="left" w:leader="dot" w:pos="8505"/>
              </w:tabs>
              <w:overflowPunct w:val="0"/>
              <w:adjustRightInd w:val="0"/>
              <w:spacing w:after="40"/>
              <w:ind w:left="57" w:hanging="57"/>
              <w:jc w:val="left"/>
              <w:textAlignment w:val="baseline"/>
              <w:rPr>
                <w:rFonts w:cs="Arial"/>
                <w:sz w:val="18"/>
                <w:szCs w:val="20"/>
              </w:rPr>
            </w:pPr>
            <w:r>
              <w:rPr>
                <w:position w:val="4"/>
                <w:sz w:val="16"/>
                <w:vertAlign w:val="superscript"/>
              </w:rPr>
              <w:t>*)</w:t>
            </w:r>
            <w:r>
              <w:tab/>
            </w:r>
            <w:r>
              <w:rPr>
                <w:sz w:val="16"/>
              </w:rPr>
              <w:t>Cancellare le voci non pertinenti.</w:t>
            </w:r>
          </w:p>
        </w:tc>
      </w:tr>
      <w:tr w:rsidR="00E3172D" w:rsidRPr="00A0619C" w:rsidTr="00083603">
        <w:trPr>
          <w:cantSplit/>
          <w:jc w:val="center"/>
        </w:trPr>
        <w:tc>
          <w:tcPr>
            <w:tcW w:w="284" w:type="dxa"/>
            <w:tcBorders>
              <w:top w:val="single" w:sz="4" w:space="0" w:color="auto"/>
              <w:bottom w:val="single" w:sz="4" w:space="0" w:color="auto"/>
            </w:tcBorders>
          </w:tcPr>
          <w:p w:rsidR="00E3172D" w:rsidRPr="00C903F8" w:rsidRDefault="00E3172D" w:rsidP="00083603">
            <w:pPr>
              <w:tabs>
                <w:tab w:val="left" w:pos="57"/>
                <w:tab w:val="left" w:pos="227"/>
              </w:tabs>
              <w:overflowPunct w:val="0"/>
              <w:adjustRightInd w:val="0"/>
              <w:spacing w:before="120"/>
              <w:ind w:left="0" w:firstLine="0"/>
              <w:jc w:val="left"/>
              <w:textAlignment w:val="baseline"/>
              <w:rPr>
                <w:rFonts w:cs="Arial"/>
                <w:sz w:val="18"/>
                <w:szCs w:val="20"/>
              </w:rPr>
            </w:pPr>
          </w:p>
        </w:tc>
        <w:tc>
          <w:tcPr>
            <w:tcW w:w="8902" w:type="dxa"/>
            <w:tcBorders>
              <w:top w:val="single" w:sz="4" w:space="0" w:color="auto"/>
              <w:bottom w:val="single" w:sz="4" w:space="0" w:color="auto"/>
            </w:tcBorders>
          </w:tcPr>
          <w:p w:rsidR="00E3172D" w:rsidRPr="00C903F8" w:rsidRDefault="00E3172D" w:rsidP="009C13A9">
            <w:pPr>
              <w:tabs>
                <w:tab w:val="left" w:pos="4310"/>
                <w:tab w:val="left" w:leader="dot" w:pos="8505"/>
              </w:tabs>
              <w:overflowPunct w:val="0"/>
              <w:adjustRightInd w:val="0"/>
              <w:spacing w:before="60"/>
              <w:ind w:left="57" w:firstLine="0"/>
              <w:jc w:val="left"/>
              <w:textAlignment w:val="baseline"/>
              <w:rPr>
                <w:rFonts w:cs="Arial"/>
                <w:b/>
                <w:sz w:val="18"/>
                <w:szCs w:val="20"/>
              </w:rPr>
            </w:pPr>
            <w:r>
              <w:t xml:space="preserve">certificato per la navigazione interna n. </w:t>
            </w:r>
            <w:r>
              <w:tab/>
              <w:t xml:space="preserve"> della commissione di ispezione </w:t>
            </w:r>
            <w:r>
              <w:tab/>
            </w:r>
          </w:p>
        </w:tc>
      </w:tr>
      <w:tr w:rsidR="009C13A9" w:rsidRPr="00A0619C" w:rsidTr="00E3172D">
        <w:trPr>
          <w:cantSplit/>
          <w:jc w:val="center"/>
        </w:trPr>
        <w:tc>
          <w:tcPr>
            <w:tcW w:w="284" w:type="dxa"/>
            <w:tcBorders>
              <w:top w:val="single" w:sz="4" w:space="0" w:color="auto"/>
              <w:left w:val="single" w:sz="4" w:space="0" w:color="auto"/>
              <w:bottom w:val="single" w:sz="4" w:space="0" w:color="auto"/>
            </w:tcBorders>
          </w:tcPr>
          <w:p w:rsidR="009C13A9" w:rsidRPr="00C903F8" w:rsidRDefault="009C13A9" w:rsidP="009C13A9">
            <w:pPr>
              <w:tabs>
                <w:tab w:val="left" w:pos="57"/>
                <w:tab w:val="left" w:pos="227"/>
              </w:tabs>
              <w:overflowPunct w:val="0"/>
              <w:adjustRightInd w:val="0"/>
              <w:spacing w:before="60"/>
              <w:ind w:left="0" w:firstLine="0"/>
              <w:jc w:val="left"/>
              <w:textAlignment w:val="baseline"/>
              <w:rPr>
                <w:rFonts w:cs="Arial"/>
                <w:sz w:val="18"/>
                <w:szCs w:val="20"/>
              </w:rPr>
            </w:pPr>
            <w:r>
              <w:rPr>
                <w:sz w:val="18"/>
              </w:rPr>
              <w:t>49.</w:t>
            </w:r>
          </w:p>
        </w:tc>
        <w:tc>
          <w:tcPr>
            <w:tcW w:w="8902" w:type="dxa"/>
            <w:tcBorders>
              <w:top w:val="single" w:sz="4" w:space="0" w:color="auto"/>
              <w:bottom w:val="single" w:sz="4" w:space="0" w:color="auto"/>
              <w:right w:val="single" w:sz="4" w:space="0" w:color="auto"/>
            </w:tcBorders>
          </w:tcPr>
          <w:p w:rsidR="009C13A9" w:rsidRPr="00C903F8" w:rsidRDefault="009C13A9" w:rsidP="009C13A9">
            <w:pPr>
              <w:tabs>
                <w:tab w:val="left" w:pos="4310"/>
                <w:tab w:val="left" w:leader="dot" w:pos="8505"/>
              </w:tabs>
              <w:overflowPunct w:val="0"/>
              <w:adjustRightInd w:val="0"/>
              <w:spacing w:before="60"/>
              <w:ind w:left="57" w:firstLine="0"/>
              <w:jc w:val="left"/>
              <w:textAlignment w:val="baseline"/>
              <w:rPr>
                <w:rFonts w:cs="Arial"/>
                <w:b/>
                <w:position w:val="6"/>
                <w:sz w:val="16"/>
                <w:szCs w:val="20"/>
              </w:rPr>
            </w:pPr>
            <w:r>
              <w:rPr>
                <w:b/>
                <w:sz w:val="18"/>
              </w:rPr>
              <w:t xml:space="preserve">Estensione/conferma </w:t>
            </w:r>
            <w:r>
              <w:rPr>
                <w:b/>
                <w:position w:val="6"/>
                <w:sz w:val="16"/>
              </w:rPr>
              <w:t>*)</w:t>
            </w:r>
            <w:r>
              <w:rPr>
                <w:b/>
                <w:sz w:val="18"/>
              </w:rPr>
              <w:t xml:space="preserve"> della validità del certificato per la navigazione interna</w:t>
            </w:r>
            <w:r>
              <w:rPr>
                <w:b/>
                <w:position w:val="6"/>
                <w:sz w:val="16"/>
              </w:rPr>
              <w:t>*) - Ispezione</w:t>
            </w:r>
            <w:r>
              <w:rPr>
                <w:b/>
                <w:sz w:val="18"/>
              </w:rPr>
              <w:t xml:space="preserve"> periodica - speciale</w:t>
            </w:r>
            <w:r>
              <w:rPr>
                <w:b/>
                <w:position w:val="6"/>
                <w:sz w:val="16"/>
              </w:rPr>
              <w:t>*)</w:t>
            </w:r>
          </w:p>
          <w:p w:rsidR="009C13A9" w:rsidRPr="00C903F8" w:rsidRDefault="009C13A9" w:rsidP="00083603">
            <w:pPr>
              <w:tabs>
                <w:tab w:val="left" w:leader="dot" w:pos="5103"/>
                <w:tab w:val="left" w:leader="dot" w:pos="8505"/>
              </w:tabs>
              <w:overflowPunct w:val="0"/>
              <w:adjustRightInd w:val="0"/>
              <w:spacing w:before="20"/>
              <w:ind w:left="57" w:firstLine="0"/>
              <w:jc w:val="left"/>
              <w:textAlignment w:val="baseline"/>
              <w:rPr>
                <w:rFonts w:cs="Arial"/>
                <w:sz w:val="18"/>
                <w:szCs w:val="20"/>
              </w:rPr>
            </w:pPr>
            <w:r>
              <w:rPr>
                <w:sz w:val="18"/>
              </w:rPr>
              <w:t>La commissione ha effettuato un'ispezione della nave il</w:t>
            </w:r>
            <w:r>
              <w:tab/>
            </w:r>
            <w:r>
              <w:rPr>
                <w:position w:val="6"/>
                <w:sz w:val="16"/>
              </w:rPr>
              <w:t>*)</w:t>
            </w:r>
            <w:r>
              <w:rPr>
                <w:sz w:val="18"/>
              </w:rPr>
              <w:t>.</w:t>
            </w:r>
          </w:p>
          <w:p w:rsidR="009C13A9" w:rsidRPr="00C903F8" w:rsidRDefault="009C13A9" w:rsidP="00083603">
            <w:pPr>
              <w:tabs>
                <w:tab w:val="left" w:leader="dot" w:pos="3686"/>
                <w:tab w:val="left" w:leader="dot" w:pos="8505"/>
              </w:tabs>
              <w:overflowPunct w:val="0"/>
              <w:adjustRightInd w:val="0"/>
              <w:spacing w:after="20"/>
              <w:ind w:left="57" w:firstLine="0"/>
              <w:jc w:val="left"/>
              <w:textAlignment w:val="baseline"/>
              <w:rPr>
                <w:rFonts w:cs="Arial"/>
                <w:sz w:val="18"/>
                <w:szCs w:val="20"/>
              </w:rPr>
            </w:pPr>
            <w:r>
              <w:rPr>
                <w:sz w:val="18"/>
              </w:rPr>
              <w:t>Un attestato datato</w:t>
            </w:r>
            <w:r>
              <w:tab/>
            </w:r>
            <w:r>
              <w:rPr>
                <w:noProof/>
                <w:sz w:val="18"/>
              </w:rPr>
              <w:t>rilasciato dall'organismo di classificazione autorizzato</w:t>
            </w:r>
            <w:r>
              <w:tab/>
            </w:r>
          </w:p>
          <w:p w:rsidR="009C13A9" w:rsidRPr="00C903F8" w:rsidRDefault="009C13A9" w:rsidP="009C13A9">
            <w:pPr>
              <w:tabs>
                <w:tab w:val="left" w:leader="dot" w:pos="8505"/>
              </w:tabs>
              <w:overflowPunct w:val="0"/>
              <w:adjustRightInd w:val="0"/>
              <w:ind w:left="57" w:firstLine="0"/>
              <w:jc w:val="left"/>
              <w:textAlignment w:val="baseline"/>
              <w:rPr>
                <w:rFonts w:cs="Arial"/>
                <w:sz w:val="18"/>
                <w:szCs w:val="20"/>
              </w:rPr>
            </w:pPr>
            <w:r>
              <w:tab/>
            </w:r>
          </w:p>
          <w:p w:rsidR="009C13A9" w:rsidRPr="00C903F8" w:rsidRDefault="009C13A9" w:rsidP="009C13A9">
            <w:pPr>
              <w:overflowPunct w:val="0"/>
              <w:adjustRightInd w:val="0"/>
              <w:spacing w:after="20"/>
              <w:ind w:left="57" w:firstLine="0"/>
              <w:jc w:val="left"/>
              <w:textAlignment w:val="baseline"/>
              <w:rPr>
                <w:rFonts w:cs="Arial"/>
                <w:sz w:val="18"/>
                <w:szCs w:val="20"/>
              </w:rPr>
            </w:pPr>
            <w:r>
              <w:rPr>
                <w:noProof/>
                <w:sz w:val="18"/>
              </w:rPr>
              <w:t>è stato presentato alla commissione di ispezione</w:t>
            </w:r>
            <w:r>
              <w:rPr>
                <w:position w:val="6"/>
                <w:sz w:val="16"/>
              </w:rPr>
              <w:t>*)</w:t>
            </w:r>
            <w:r>
              <w:rPr>
                <w:sz w:val="18"/>
              </w:rPr>
              <w:t>.</w:t>
            </w:r>
          </w:p>
          <w:p w:rsidR="009C13A9" w:rsidRPr="00C903F8" w:rsidRDefault="009C13A9" w:rsidP="009C13A9">
            <w:pPr>
              <w:overflowPunct w:val="0"/>
              <w:adjustRightInd w:val="0"/>
              <w:spacing w:after="20"/>
              <w:ind w:left="57" w:firstLine="0"/>
              <w:jc w:val="left"/>
              <w:textAlignment w:val="baseline"/>
              <w:rPr>
                <w:rFonts w:cs="Arial"/>
                <w:sz w:val="18"/>
                <w:szCs w:val="20"/>
              </w:rPr>
            </w:pPr>
            <w:r>
              <w:rPr>
                <w:noProof/>
                <w:sz w:val="18"/>
              </w:rPr>
              <w:t>Il motivo dell'ispezione/dell'attestato*) è il seguente</w:t>
            </w:r>
            <w:r>
              <w:rPr>
                <w:sz w:val="18"/>
              </w:rPr>
              <w:t>:</w:t>
            </w:r>
          </w:p>
          <w:p w:rsidR="009C13A9" w:rsidRPr="00C903F8" w:rsidRDefault="009C13A9" w:rsidP="00083603">
            <w:pPr>
              <w:tabs>
                <w:tab w:val="left" w:leader="dot" w:pos="8505"/>
              </w:tabs>
              <w:overflowPunct w:val="0"/>
              <w:adjustRightInd w:val="0"/>
              <w:spacing w:after="80"/>
              <w:ind w:left="57" w:firstLine="0"/>
              <w:jc w:val="left"/>
              <w:textAlignment w:val="baseline"/>
              <w:rPr>
                <w:rFonts w:cs="Arial"/>
                <w:position w:val="6"/>
                <w:sz w:val="16"/>
                <w:szCs w:val="20"/>
              </w:rPr>
            </w:pPr>
            <w:r>
              <w:tab/>
            </w:r>
          </w:p>
          <w:p w:rsidR="009C13A9" w:rsidRPr="00C903F8" w:rsidRDefault="009C13A9" w:rsidP="00E3172D">
            <w:pPr>
              <w:tabs>
                <w:tab w:val="left" w:leader="dot" w:pos="8505"/>
              </w:tabs>
              <w:overflowPunct w:val="0"/>
              <w:adjustRightInd w:val="0"/>
              <w:ind w:left="57" w:firstLine="0"/>
              <w:jc w:val="left"/>
              <w:textAlignment w:val="baseline"/>
              <w:rPr>
                <w:rFonts w:cs="Arial"/>
                <w:position w:val="6"/>
                <w:sz w:val="16"/>
                <w:szCs w:val="20"/>
              </w:rPr>
            </w:pPr>
            <w:r>
              <w:tab/>
            </w:r>
          </w:p>
          <w:p w:rsidR="009C13A9" w:rsidRPr="00C903F8" w:rsidRDefault="009C13A9" w:rsidP="00E3172D">
            <w:pPr>
              <w:tabs>
                <w:tab w:val="left" w:leader="dot" w:pos="8505"/>
              </w:tabs>
              <w:overflowPunct w:val="0"/>
              <w:adjustRightInd w:val="0"/>
              <w:ind w:left="57" w:firstLine="0"/>
              <w:jc w:val="left"/>
              <w:textAlignment w:val="baseline"/>
              <w:rPr>
                <w:rFonts w:cs="Arial"/>
                <w:position w:val="6"/>
                <w:sz w:val="16"/>
                <w:szCs w:val="20"/>
              </w:rPr>
            </w:pPr>
            <w:r>
              <w:t>Alla luce - del risultato dell'ispezione/dell'attestato -*), il periodo di validità del certificato per la navigazione interna è confermato - prorogato </w:t>
            </w:r>
            <w:r>
              <w:softHyphen/>
              <w:t>*)</w:t>
            </w:r>
          </w:p>
          <w:p w:rsidR="009C13A9" w:rsidRPr="00C903F8" w:rsidRDefault="009C13A9" w:rsidP="009C13A9">
            <w:pPr>
              <w:tabs>
                <w:tab w:val="left" w:leader="dot" w:pos="2268"/>
                <w:tab w:val="left" w:leader="dot" w:pos="3402"/>
                <w:tab w:val="left" w:leader="dot" w:pos="8505"/>
              </w:tabs>
              <w:overflowPunct w:val="0"/>
              <w:adjustRightInd w:val="0"/>
              <w:ind w:left="57" w:firstLine="0"/>
              <w:jc w:val="left"/>
              <w:textAlignment w:val="baseline"/>
              <w:rPr>
                <w:rFonts w:cs="Arial"/>
                <w:sz w:val="18"/>
                <w:szCs w:val="20"/>
              </w:rPr>
            </w:pPr>
            <w:r>
              <w:rPr>
                <w:sz w:val="18"/>
              </w:rPr>
              <w:t xml:space="preserve">fino al </w:t>
            </w:r>
            <w:r>
              <w:tab/>
            </w:r>
            <w:r>
              <w:rPr>
                <w:sz w:val="18"/>
              </w:rPr>
              <w:t xml:space="preserve"> .</w:t>
            </w:r>
          </w:p>
          <w:p w:rsidR="009C13A9" w:rsidRPr="00C903F8" w:rsidRDefault="009C13A9" w:rsidP="009C13A9">
            <w:pPr>
              <w:tabs>
                <w:tab w:val="left" w:pos="57"/>
                <w:tab w:val="left" w:leader="dot" w:pos="3969"/>
                <w:tab w:val="left" w:leader="dot" w:pos="6237"/>
                <w:tab w:val="left" w:leader="dot" w:pos="8505"/>
              </w:tabs>
              <w:overflowPunct w:val="0"/>
              <w:adjustRightInd w:val="0"/>
              <w:spacing w:before="80"/>
              <w:ind w:left="57" w:firstLine="0"/>
              <w:jc w:val="left"/>
              <w:textAlignment w:val="baseline"/>
              <w:rPr>
                <w:rFonts w:cs="Arial"/>
                <w:sz w:val="18"/>
                <w:szCs w:val="20"/>
              </w:rPr>
            </w:pPr>
            <w:r>
              <w:tab/>
            </w:r>
            <w:r>
              <w:rPr>
                <w:sz w:val="18"/>
              </w:rPr>
              <w:t xml:space="preserve">, il </w:t>
            </w:r>
            <w:r>
              <w:tab/>
            </w:r>
          </w:p>
          <w:p w:rsidR="009C13A9" w:rsidRPr="00C903F8" w:rsidRDefault="009C13A9" w:rsidP="009C13A9">
            <w:pPr>
              <w:tabs>
                <w:tab w:val="center" w:pos="2041"/>
                <w:tab w:val="center" w:pos="5216"/>
              </w:tabs>
              <w:overflowPunct w:val="0"/>
              <w:adjustRightInd w:val="0"/>
              <w:ind w:left="0" w:firstLine="0"/>
              <w:jc w:val="left"/>
              <w:textAlignment w:val="baseline"/>
              <w:rPr>
                <w:rFonts w:cs="Arial"/>
                <w:sz w:val="18"/>
                <w:szCs w:val="20"/>
              </w:rPr>
            </w:pPr>
            <w:r>
              <w:tab/>
            </w:r>
            <w:r>
              <w:rPr>
                <w:sz w:val="16"/>
              </w:rPr>
              <w:t>(luogo)</w:t>
            </w:r>
            <w:r>
              <w:tab/>
            </w:r>
            <w:r>
              <w:rPr>
                <w:sz w:val="16"/>
              </w:rPr>
              <w:t>(data)</w:t>
            </w:r>
          </w:p>
          <w:p w:rsidR="009C13A9" w:rsidRPr="00C903F8" w:rsidRDefault="009C13A9" w:rsidP="009C13A9">
            <w:pPr>
              <w:tabs>
                <w:tab w:val="left" w:pos="4820"/>
                <w:tab w:val="left" w:leader="dot" w:pos="8505"/>
              </w:tabs>
              <w:overflowPunct w:val="0"/>
              <w:adjustRightInd w:val="0"/>
              <w:spacing w:before="120"/>
              <w:ind w:left="57" w:firstLine="0"/>
              <w:jc w:val="left"/>
              <w:textAlignment w:val="baseline"/>
              <w:rPr>
                <w:rFonts w:cs="Arial"/>
                <w:sz w:val="18"/>
                <w:szCs w:val="20"/>
              </w:rPr>
            </w:pPr>
            <w:r>
              <w:tab/>
            </w:r>
            <w:r>
              <w:tab/>
            </w:r>
          </w:p>
          <w:p w:rsidR="009C13A9" w:rsidRPr="00C903F8" w:rsidRDefault="009C13A9" w:rsidP="009C13A9">
            <w:pPr>
              <w:tabs>
                <w:tab w:val="center" w:pos="1985"/>
                <w:tab w:val="center" w:pos="6662"/>
              </w:tabs>
              <w:overflowPunct w:val="0"/>
              <w:adjustRightInd w:val="0"/>
              <w:ind w:left="0" w:firstLine="0"/>
              <w:jc w:val="left"/>
              <w:textAlignment w:val="baseline"/>
              <w:rPr>
                <w:rFonts w:cs="Arial"/>
                <w:sz w:val="18"/>
                <w:szCs w:val="20"/>
              </w:rPr>
            </w:pPr>
            <w:r>
              <w:tab/>
            </w:r>
            <w:r>
              <w:rPr>
                <w:sz w:val="16"/>
              </w:rPr>
              <w:t>Timbro</w:t>
            </w:r>
            <w:r>
              <w:tab/>
            </w:r>
            <w:r>
              <w:rPr>
                <w:sz w:val="16"/>
              </w:rPr>
              <w:t>Commissione di ispezione</w:t>
            </w:r>
          </w:p>
          <w:p w:rsidR="009C13A9" w:rsidRPr="00C903F8" w:rsidRDefault="009C13A9" w:rsidP="009C13A9">
            <w:pPr>
              <w:tabs>
                <w:tab w:val="left" w:pos="4820"/>
                <w:tab w:val="left" w:leader="dot" w:pos="8505"/>
              </w:tabs>
              <w:overflowPunct w:val="0"/>
              <w:adjustRightInd w:val="0"/>
              <w:spacing w:before="120"/>
              <w:ind w:left="0" w:firstLine="0"/>
              <w:jc w:val="left"/>
              <w:textAlignment w:val="baseline"/>
              <w:rPr>
                <w:rFonts w:cs="Arial"/>
                <w:sz w:val="18"/>
                <w:szCs w:val="20"/>
              </w:rPr>
            </w:pPr>
            <w:r>
              <w:tab/>
            </w:r>
            <w:r>
              <w:tab/>
            </w:r>
          </w:p>
          <w:p w:rsidR="009C13A9" w:rsidRPr="00C903F8" w:rsidRDefault="009C13A9" w:rsidP="009C13A9">
            <w:pPr>
              <w:tabs>
                <w:tab w:val="center" w:pos="6662"/>
              </w:tabs>
              <w:overflowPunct w:val="0"/>
              <w:adjustRightInd w:val="0"/>
              <w:ind w:left="57" w:firstLine="0"/>
              <w:jc w:val="left"/>
              <w:textAlignment w:val="baseline"/>
              <w:rPr>
                <w:rFonts w:cs="Arial"/>
                <w:sz w:val="16"/>
                <w:szCs w:val="20"/>
              </w:rPr>
            </w:pPr>
            <w:r>
              <w:rPr>
                <w:sz w:val="18"/>
              </w:rPr>
              <w:t>______________________</w:t>
            </w:r>
            <w:r>
              <w:tab/>
            </w:r>
            <w:r>
              <w:rPr>
                <w:sz w:val="16"/>
              </w:rPr>
              <w:t>(firma)</w:t>
            </w:r>
          </w:p>
          <w:p w:rsidR="009C13A9" w:rsidRPr="009879C7" w:rsidRDefault="009C13A9" w:rsidP="009C13A9">
            <w:pPr>
              <w:tabs>
                <w:tab w:val="left" w:pos="227"/>
              </w:tabs>
              <w:overflowPunct w:val="0"/>
              <w:adjustRightInd w:val="0"/>
              <w:spacing w:after="40"/>
              <w:ind w:left="57" w:firstLine="0"/>
              <w:jc w:val="left"/>
              <w:textAlignment w:val="baseline"/>
              <w:rPr>
                <w:rFonts w:cs="Arial"/>
                <w:sz w:val="18"/>
                <w:szCs w:val="20"/>
              </w:rPr>
            </w:pPr>
            <w:r>
              <w:rPr>
                <w:position w:val="4"/>
                <w:sz w:val="16"/>
                <w:vertAlign w:val="superscript"/>
              </w:rPr>
              <w:t>*)</w:t>
            </w:r>
            <w:r>
              <w:tab/>
            </w:r>
            <w:r>
              <w:rPr>
                <w:sz w:val="16"/>
              </w:rPr>
              <w:t>Cancellare le voci non pertinenti.</w:t>
            </w:r>
          </w:p>
        </w:tc>
      </w:tr>
      <w:tr w:rsidR="009C13A9" w:rsidRPr="00C903F8" w:rsidTr="00E3172D">
        <w:trPr>
          <w:cantSplit/>
          <w:jc w:val="center"/>
        </w:trPr>
        <w:tc>
          <w:tcPr>
            <w:tcW w:w="284" w:type="dxa"/>
            <w:tcBorders>
              <w:top w:val="single" w:sz="4"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60"/>
              <w:ind w:left="0" w:firstLine="0"/>
              <w:jc w:val="left"/>
              <w:textAlignment w:val="baseline"/>
              <w:rPr>
                <w:rFonts w:cs="Arial"/>
                <w:sz w:val="18"/>
                <w:szCs w:val="20"/>
              </w:rPr>
            </w:pPr>
            <w:r>
              <w:rPr>
                <w:sz w:val="18"/>
              </w:rPr>
              <w:t>49.</w:t>
            </w:r>
          </w:p>
        </w:tc>
        <w:tc>
          <w:tcPr>
            <w:tcW w:w="8902" w:type="dxa"/>
            <w:tcBorders>
              <w:top w:val="single" w:sz="4" w:space="0" w:color="auto"/>
              <w:bottom w:val="single" w:sz="6" w:space="0" w:color="auto"/>
              <w:right w:val="single" w:sz="6" w:space="0" w:color="auto"/>
            </w:tcBorders>
          </w:tcPr>
          <w:p w:rsidR="009C13A9" w:rsidRPr="00C903F8" w:rsidRDefault="009C13A9" w:rsidP="009C13A9">
            <w:pPr>
              <w:tabs>
                <w:tab w:val="left" w:pos="4452"/>
                <w:tab w:val="left" w:leader="dot" w:pos="8505"/>
              </w:tabs>
              <w:overflowPunct w:val="0"/>
              <w:adjustRightInd w:val="0"/>
              <w:spacing w:before="60"/>
              <w:ind w:left="57" w:firstLine="0"/>
              <w:jc w:val="left"/>
              <w:textAlignment w:val="baseline"/>
              <w:rPr>
                <w:rFonts w:cs="Arial"/>
                <w:b/>
                <w:position w:val="6"/>
                <w:sz w:val="16"/>
                <w:szCs w:val="20"/>
              </w:rPr>
            </w:pPr>
            <w:r>
              <w:rPr>
                <w:b/>
                <w:sz w:val="18"/>
              </w:rPr>
              <w:t xml:space="preserve">Estensione/conferma </w:t>
            </w:r>
            <w:r>
              <w:rPr>
                <w:b/>
                <w:position w:val="6"/>
                <w:sz w:val="16"/>
              </w:rPr>
              <w:t>*)</w:t>
            </w:r>
            <w:r>
              <w:rPr>
                <w:b/>
                <w:sz w:val="18"/>
              </w:rPr>
              <w:t xml:space="preserve"> della validità del certificato per la navigazione interna</w:t>
            </w:r>
            <w:r>
              <w:rPr>
                <w:b/>
                <w:position w:val="6"/>
                <w:sz w:val="16"/>
              </w:rPr>
              <w:t>*) - Ispezione</w:t>
            </w:r>
            <w:r>
              <w:rPr>
                <w:b/>
                <w:sz w:val="18"/>
              </w:rPr>
              <w:t xml:space="preserve"> periodica - speciale</w:t>
            </w:r>
            <w:r>
              <w:rPr>
                <w:b/>
                <w:position w:val="6"/>
                <w:sz w:val="16"/>
              </w:rPr>
              <w:t>*)</w:t>
            </w:r>
          </w:p>
          <w:p w:rsidR="009C13A9" w:rsidRPr="00C903F8" w:rsidRDefault="009C13A9" w:rsidP="00083603">
            <w:pPr>
              <w:tabs>
                <w:tab w:val="left" w:leader="dot" w:pos="5103"/>
                <w:tab w:val="left" w:leader="dot" w:pos="8505"/>
              </w:tabs>
              <w:overflowPunct w:val="0"/>
              <w:adjustRightInd w:val="0"/>
              <w:spacing w:before="20"/>
              <w:ind w:left="57" w:firstLine="0"/>
              <w:jc w:val="left"/>
              <w:textAlignment w:val="baseline"/>
              <w:rPr>
                <w:rFonts w:cs="Arial"/>
                <w:sz w:val="18"/>
                <w:szCs w:val="20"/>
              </w:rPr>
            </w:pPr>
            <w:r>
              <w:rPr>
                <w:sz w:val="18"/>
              </w:rPr>
              <w:t>La commissione ha effettuato un'ispezione della nave il</w:t>
            </w:r>
            <w:r>
              <w:tab/>
            </w:r>
            <w:r>
              <w:rPr>
                <w:position w:val="6"/>
                <w:sz w:val="16"/>
              </w:rPr>
              <w:t>*)</w:t>
            </w:r>
            <w:r>
              <w:rPr>
                <w:sz w:val="18"/>
              </w:rPr>
              <w:t>.</w:t>
            </w:r>
          </w:p>
          <w:p w:rsidR="009C13A9" w:rsidRPr="00C903F8" w:rsidRDefault="009C13A9" w:rsidP="00083603">
            <w:pPr>
              <w:tabs>
                <w:tab w:val="left" w:leader="dot" w:pos="3686"/>
                <w:tab w:val="left" w:leader="dot" w:pos="8505"/>
              </w:tabs>
              <w:overflowPunct w:val="0"/>
              <w:adjustRightInd w:val="0"/>
              <w:spacing w:after="20"/>
              <w:ind w:left="57" w:firstLine="0"/>
              <w:jc w:val="left"/>
              <w:textAlignment w:val="baseline"/>
              <w:rPr>
                <w:rFonts w:cs="Arial"/>
                <w:sz w:val="18"/>
                <w:szCs w:val="20"/>
              </w:rPr>
            </w:pPr>
            <w:r>
              <w:rPr>
                <w:sz w:val="18"/>
              </w:rPr>
              <w:t>Un attestato datato</w:t>
            </w:r>
            <w:r>
              <w:tab/>
            </w:r>
            <w:r>
              <w:rPr>
                <w:noProof/>
                <w:sz w:val="18"/>
              </w:rPr>
              <w:t>rilasciato dall'organismo di classificazione autorizzato</w:t>
            </w:r>
            <w:r>
              <w:tab/>
            </w:r>
          </w:p>
          <w:p w:rsidR="009C13A9" w:rsidRPr="00C903F8" w:rsidRDefault="009C13A9" w:rsidP="009C13A9">
            <w:pPr>
              <w:tabs>
                <w:tab w:val="left" w:leader="dot" w:pos="8505"/>
              </w:tabs>
              <w:overflowPunct w:val="0"/>
              <w:adjustRightInd w:val="0"/>
              <w:ind w:left="57" w:firstLine="0"/>
              <w:jc w:val="left"/>
              <w:textAlignment w:val="baseline"/>
              <w:rPr>
                <w:rFonts w:cs="Arial"/>
                <w:sz w:val="18"/>
                <w:szCs w:val="20"/>
              </w:rPr>
            </w:pPr>
            <w:r>
              <w:tab/>
            </w:r>
          </w:p>
          <w:p w:rsidR="009C13A9" w:rsidRPr="00C903F8" w:rsidRDefault="009C13A9" w:rsidP="009C13A9">
            <w:pPr>
              <w:overflowPunct w:val="0"/>
              <w:adjustRightInd w:val="0"/>
              <w:spacing w:after="20"/>
              <w:ind w:left="57" w:firstLine="0"/>
              <w:jc w:val="left"/>
              <w:textAlignment w:val="baseline"/>
              <w:rPr>
                <w:rFonts w:cs="Arial"/>
                <w:sz w:val="18"/>
                <w:szCs w:val="20"/>
              </w:rPr>
            </w:pPr>
            <w:r>
              <w:rPr>
                <w:noProof/>
                <w:sz w:val="18"/>
              </w:rPr>
              <w:t>è stato presentato alla commissione di ispezione</w:t>
            </w:r>
            <w:r>
              <w:rPr>
                <w:position w:val="6"/>
                <w:sz w:val="16"/>
              </w:rPr>
              <w:t>*)</w:t>
            </w:r>
            <w:r>
              <w:rPr>
                <w:sz w:val="18"/>
              </w:rPr>
              <w:t>.</w:t>
            </w:r>
          </w:p>
          <w:p w:rsidR="009C13A9" w:rsidRPr="00C903F8" w:rsidRDefault="009C13A9" w:rsidP="009C13A9">
            <w:pPr>
              <w:overflowPunct w:val="0"/>
              <w:adjustRightInd w:val="0"/>
              <w:spacing w:after="20"/>
              <w:ind w:left="57" w:firstLine="0"/>
              <w:jc w:val="left"/>
              <w:textAlignment w:val="baseline"/>
              <w:rPr>
                <w:rFonts w:cs="Arial"/>
                <w:sz w:val="18"/>
                <w:szCs w:val="20"/>
              </w:rPr>
            </w:pPr>
            <w:r>
              <w:rPr>
                <w:noProof/>
                <w:sz w:val="18"/>
              </w:rPr>
              <w:t>Il motivo dell'ispezione/dell'attestato*) è il seguente</w:t>
            </w:r>
            <w:r>
              <w:rPr>
                <w:sz w:val="18"/>
              </w:rPr>
              <w:t>:</w:t>
            </w:r>
          </w:p>
          <w:p w:rsidR="009C13A9" w:rsidRPr="00C903F8" w:rsidRDefault="009C13A9" w:rsidP="00083603">
            <w:pPr>
              <w:tabs>
                <w:tab w:val="left" w:leader="dot" w:pos="8505"/>
              </w:tabs>
              <w:overflowPunct w:val="0"/>
              <w:adjustRightInd w:val="0"/>
              <w:spacing w:after="80"/>
              <w:ind w:left="57" w:firstLine="0"/>
              <w:jc w:val="left"/>
              <w:textAlignment w:val="baseline"/>
              <w:rPr>
                <w:rFonts w:cs="Arial"/>
                <w:position w:val="6"/>
                <w:sz w:val="16"/>
                <w:szCs w:val="20"/>
              </w:rPr>
            </w:pPr>
            <w:r>
              <w:tab/>
            </w:r>
          </w:p>
          <w:p w:rsidR="009C13A9" w:rsidRPr="00C903F8" w:rsidRDefault="009C13A9" w:rsidP="009C13A9">
            <w:pPr>
              <w:tabs>
                <w:tab w:val="left" w:leader="dot" w:pos="8505"/>
              </w:tabs>
              <w:overflowPunct w:val="0"/>
              <w:adjustRightInd w:val="0"/>
              <w:ind w:left="57" w:firstLine="0"/>
              <w:jc w:val="left"/>
              <w:textAlignment w:val="baseline"/>
              <w:rPr>
                <w:rFonts w:cs="Arial"/>
                <w:position w:val="6"/>
                <w:sz w:val="16"/>
                <w:szCs w:val="20"/>
              </w:rPr>
            </w:pPr>
            <w:r>
              <w:tab/>
            </w:r>
          </w:p>
          <w:p w:rsidR="009C13A9" w:rsidRPr="00C903F8" w:rsidRDefault="009C13A9" w:rsidP="009C13A9">
            <w:pPr>
              <w:tabs>
                <w:tab w:val="left" w:leader="dot" w:pos="8505"/>
              </w:tabs>
              <w:overflowPunct w:val="0"/>
              <w:adjustRightInd w:val="0"/>
              <w:ind w:left="57" w:firstLine="0"/>
              <w:jc w:val="left"/>
              <w:textAlignment w:val="baseline"/>
              <w:rPr>
                <w:rFonts w:cs="Arial"/>
                <w:position w:val="6"/>
                <w:sz w:val="16"/>
                <w:szCs w:val="20"/>
              </w:rPr>
            </w:pPr>
            <w:r>
              <w:t>Alla luce - del risultato dell'ispezione/dell'attestato -*), il periodo di validità del certificato per la navigazione interna è confermato - prorogato </w:t>
            </w:r>
            <w:r>
              <w:softHyphen/>
              <w:t>*)</w:t>
            </w:r>
          </w:p>
          <w:p w:rsidR="009C13A9" w:rsidRPr="00C903F8" w:rsidRDefault="009C13A9" w:rsidP="009C13A9">
            <w:pPr>
              <w:tabs>
                <w:tab w:val="left" w:leader="dot" w:pos="2268"/>
                <w:tab w:val="left" w:leader="dot" w:pos="3402"/>
                <w:tab w:val="left" w:leader="dot" w:pos="8505"/>
              </w:tabs>
              <w:overflowPunct w:val="0"/>
              <w:adjustRightInd w:val="0"/>
              <w:ind w:left="57" w:firstLine="0"/>
              <w:jc w:val="left"/>
              <w:textAlignment w:val="baseline"/>
              <w:rPr>
                <w:rFonts w:cs="Arial"/>
                <w:sz w:val="18"/>
                <w:szCs w:val="20"/>
              </w:rPr>
            </w:pPr>
            <w:r>
              <w:rPr>
                <w:sz w:val="18"/>
              </w:rPr>
              <w:t xml:space="preserve">fino al </w:t>
            </w:r>
            <w:r>
              <w:tab/>
            </w:r>
            <w:r>
              <w:rPr>
                <w:sz w:val="18"/>
              </w:rPr>
              <w:t xml:space="preserve"> .</w:t>
            </w:r>
          </w:p>
          <w:p w:rsidR="009C13A9" w:rsidRPr="00C903F8" w:rsidRDefault="009C13A9" w:rsidP="00083603">
            <w:pPr>
              <w:tabs>
                <w:tab w:val="left" w:pos="57"/>
                <w:tab w:val="left" w:leader="dot" w:pos="3969"/>
                <w:tab w:val="left" w:leader="dot" w:pos="6237"/>
                <w:tab w:val="left" w:leader="dot" w:pos="8505"/>
              </w:tabs>
              <w:overflowPunct w:val="0"/>
              <w:adjustRightInd w:val="0"/>
              <w:spacing w:before="20"/>
              <w:ind w:left="57" w:firstLine="0"/>
              <w:jc w:val="left"/>
              <w:textAlignment w:val="baseline"/>
              <w:rPr>
                <w:rFonts w:cs="Arial"/>
                <w:sz w:val="18"/>
                <w:szCs w:val="20"/>
              </w:rPr>
            </w:pPr>
            <w:r>
              <w:tab/>
            </w:r>
            <w:r>
              <w:rPr>
                <w:sz w:val="18"/>
              </w:rPr>
              <w:t xml:space="preserve">, </w:t>
            </w:r>
            <w:r>
              <w:tab/>
            </w:r>
          </w:p>
          <w:p w:rsidR="009C13A9" w:rsidRPr="00C903F8" w:rsidRDefault="009C13A9" w:rsidP="009C13A9">
            <w:pPr>
              <w:tabs>
                <w:tab w:val="center" w:pos="2041"/>
                <w:tab w:val="center" w:pos="5216"/>
              </w:tabs>
              <w:overflowPunct w:val="0"/>
              <w:adjustRightInd w:val="0"/>
              <w:ind w:left="0" w:firstLine="0"/>
              <w:jc w:val="left"/>
              <w:textAlignment w:val="baseline"/>
              <w:rPr>
                <w:rFonts w:cs="Arial"/>
                <w:sz w:val="18"/>
                <w:szCs w:val="20"/>
              </w:rPr>
            </w:pPr>
            <w:r>
              <w:tab/>
            </w:r>
            <w:r>
              <w:rPr>
                <w:sz w:val="16"/>
              </w:rPr>
              <w:t>(luogo)</w:t>
            </w:r>
            <w:r>
              <w:tab/>
            </w:r>
            <w:r>
              <w:rPr>
                <w:sz w:val="16"/>
              </w:rPr>
              <w:t>(data)</w:t>
            </w:r>
          </w:p>
          <w:p w:rsidR="009C13A9" w:rsidRPr="00C903F8" w:rsidRDefault="009C13A9" w:rsidP="009C13A9">
            <w:pPr>
              <w:tabs>
                <w:tab w:val="left" w:pos="4820"/>
                <w:tab w:val="left" w:leader="dot" w:pos="8505"/>
              </w:tabs>
              <w:overflowPunct w:val="0"/>
              <w:adjustRightInd w:val="0"/>
              <w:spacing w:before="120"/>
              <w:ind w:left="57" w:firstLine="0"/>
              <w:jc w:val="left"/>
              <w:textAlignment w:val="baseline"/>
              <w:rPr>
                <w:rFonts w:cs="Arial"/>
                <w:sz w:val="18"/>
                <w:szCs w:val="20"/>
              </w:rPr>
            </w:pPr>
            <w:r>
              <w:tab/>
            </w:r>
            <w:r>
              <w:tab/>
            </w:r>
          </w:p>
          <w:p w:rsidR="009C13A9" w:rsidRPr="00C903F8" w:rsidRDefault="009C13A9" w:rsidP="009C13A9">
            <w:pPr>
              <w:tabs>
                <w:tab w:val="center" w:pos="1985"/>
                <w:tab w:val="center" w:pos="6662"/>
              </w:tabs>
              <w:overflowPunct w:val="0"/>
              <w:adjustRightInd w:val="0"/>
              <w:ind w:left="0" w:firstLine="0"/>
              <w:jc w:val="left"/>
              <w:textAlignment w:val="baseline"/>
              <w:rPr>
                <w:rFonts w:cs="Arial"/>
                <w:sz w:val="18"/>
                <w:szCs w:val="20"/>
              </w:rPr>
            </w:pPr>
            <w:r>
              <w:tab/>
            </w:r>
            <w:r>
              <w:rPr>
                <w:sz w:val="16"/>
              </w:rPr>
              <w:t>Timbro</w:t>
            </w:r>
            <w:r>
              <w:tab/>
            </w:r>
            <w:r>
              <w:rPr>
                <w:sz w:val="16"/>
              </w:rPr>
              <w:t>Commissione di ispezione</w:t>
            </w:r>
          </w:p>
          <w:p w:rsidR="009C13A9" w:rsidRPr="00C903F8" w:rsidRDefault="009C13A9" w:rsidP="009C13A9">
            <w:pPr>
              <w:tabs>
                <w:tab w:val="left" w:pos="4820"/>
                <w:tab w:val="left" w:leader="dot" w:pos="8505"/>
              </w:tabs>
              <w:overflowPunct w:val="0"/>
              <w:adjustRightInd w:val="0"/>
              <w:spacing w:before="120"/>
              <w:ind w:left="0" w:firstLine="0"/>
              <w:jc w:val="left"/>
              <w:textAlignment w:val="baseline"/>
              <w:rPr>
                <w:rFonts w:cs="Arial"/>
                <w:sz w:val="18"/>
                <w:szCs w:val="20"/>
              </w:rPr>
            </w:pPr>
            <w:r>
              <w:tab/>
            </w:r>
            <w:r>
              <w:tab/>
            </w:r>
          </w:p>
          <w:p w:rsidR="009C13A9" w:rsidRPr="00C903F8" w:rsidRDefault="009C13A9" w:rsidP="009C13A9">
            <w:pPr>
              <w:tabs>
                <w:tab w:val="center" w:pos="6662"/>
              </w:tabs>
              <w:overflowPunct w:val="0"/>
              <w:adjustRightInd w:val="0"/>
              <w:ind w:left="57" w:firstLine="0"/>
              <w:jc w:val="left"/>
              <w:textAlignment w:val="baseline"/>
              <w:rPr>
                <w:rFonts w:cs="Arial"/>
                <w:sz w:val="16"/>
                <w:szCs w:val="20"/>
              </w:rPr>
            </w:pPr>
            <w:r>
              <w:rPr>
                <w:sz w:val="18"/>
              </w:rPr>
              <w:t>______________________</w:t>
            </w:r>
            <w:r>
              <w:tab/>
            </w:r>
            <w:r>
              <w:rPr>
                <w:sz w:val="16"/>
              </w:rPr>
              <w:t>(firma)</w:t>
            </w:r>
          </w:p>
          <w:p w:rsidR="009C13A9" w:rsidRPr="00C903F8" w:rsidRDefault="009C13A9" w:rsidP="009C13A9">
            <w:pPr>
              <w:tabs>
                <w:tab w:val="left" w:pos="57"/>
                <w:tab w:val="left" w:pos="227"/>
                <w:tab w:val="left" w:pos="5670"/>
                <w:tab w:val="left" w:leader="dot" w:pos="8505"/>
              </w:tabs>
              <w:overflowPunct w:val="0"/>
              <w:adjustRightInd w:val="0"/>
              <w:spacing w:after="40"/>
              <w:ind w:left="57" w:hanging="57"/>
              <w:jc w:val="left"/>
              <w:textAlignment w:val="baseline"/>
              <w:rPr>
                <w:rFonts w:cs="Arial"/>
                <w:sz w:val="18"/>
                <w:szCs w:val="20"/>
              </w:rPr>
            </w:pPr>
            <w:r>
              <w:rPr>
                <w:position w:val="4"/>
                <w:sz w:val="16"/>
                <w:vertAlign w:val="superscript"/>
              </w:rPr>
              <w:t>*)</w:t>
            </w:r>
            <w:r>
              <w:tab/>
            </w:r>
            <w:r>
              <w:rPr>
                <w:sz w:val="16"/>
              </w:rPr>
              <w:t>Cancellare le voci non pertinenti.</w:t>
            </w:r>
          </w:p>
        </w:tc>
      </w:tr>
      <w:tr w:rsidR="009C13A9" w:rsidRPr="00C903F8" w:rsidTr="00E3172D">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60"/>
              <w:ind w:left="0" w:firstLine="0"/>
              <w:jc w:val="left"/>
              <w:textAlignment w:val="baseline"/>
              <w:rPr>
                <w:rFonts w:cs="Arial"/>
                <w:sz w:val="18"/>
                <w:szCs w:val="20"/>
              </w:rPr>
            </w:pPr>
            <w:r>
              <w:rPr>
                <w:sz w:val="18"/>
              </w:rPr>
              <w:t>49.</w:t>
            </w:r>
          </w:p>
        </w:tc>
        <w:tc>
          <w:tcPr>
            <w:tcW w:w="8902" w:type="dxa"/>
            <w:tcBorders>
              <w:top w:val="single" w:sz="6" w:space="0" w:color="auto"/>
              <w:bottom w:val="single" w:sz="6" w:space="0" w:color="auto"/>
              <w:right w:val="single" w:sz="6" w:space="0" w:color="auto"/>
            </w:tcBorders>
          </w:tcPr>
          <w:p w:rsidR="009C13A9" w:rsidRPr="00C903F8" w:rsidRDefault="009C13A9" w:rsidP="009C13A9">
            <w:pPr>
              <w:tabs>
                <w:tab w:val="left" w:pos="4310"/>
                <w:tab w:val="left" w:leader="dot" w:pos="8505"/>
              </w:tabs>
              <w:overflowPunct w:val="0"/>
              <w:adjustRightInd w:val="0"/>
              <w:spacing w:before="60"/>
              <w:ind w:left="57" w:firstLine="0"/>
              <w:jc w:val="left"/>
              <w:textAlignment w:val="baseline"/>
              <w:rPr>
                <w:rFonts w:cs="Arial"/>
                <w:b/>
                <w:position w:val="6"/>
                <w:sz w:val="16"/>
                <w:szCs w:val="20"/>
              </w:rPr>
            </w:pPr>
            <w:r>
              <w:rPr>
                <w:b/>
                <w:sz w:val="18"/>
              </w:rPr>
              <w:t xml:space="preserve">Estensione/conferma </w:t>
            </w:r>
            <w:r>
              <w:rPr>
                <w:b/>
                <w:position w:val="6"/>
                <w:sz w:val="16"/>
              </w:rPr>
              <w:t>*)</w:t>
            </w:r>
            <w:r>
              <w:rPr>
                <w:b/>
                <w:sz w:val="18"/>
              </w:rPr>
              <w:t xml:space="preserve"> della validità del certificato per la navigazione interna</w:t>
            </w:r>
            <w:r>
              <w:rPr>
                <w:b/>
                <w:position w:val="6"/>
                <w:sz w:val="16"/>
              </w:rPr>
              <w:t>*) - Ispezione</w:t>
            </w:r>
            <w:r>
              <w:rPr>
                <w:b/>
                <w:sz w:val="18"/>
              </w:rPr>
              <w:t xml:space="preserve"> periodica - speciale</w:t>
            </w:r>
            <w:r>
              <w:rPr>
                <w:b/>
                <w:position w:val="6"/>
                <w:sz w:val="16"/>
              </w:rPr>
              <w:t>*)</w:t>
            </w:r>
          </w:p>
          <w:p w:rsidR="009C13A9" w:rsidRPr="00C903F8" w:rsidRDefault="009C13A9" w:rsidP="00083603">
            <w:pPr>
              <w:tabs>
                <w:tab w:val="left" w:leader="dot" w:pos="5103"/>
                <w:tab w:val="left" w:leader="dot" w:pos="8505"/>
              </w:tabs>
              <w:overflowPunct w:val="0"/>
              <w:adjustRightInd w:val="0"/>
              <w:spacing w:before="20"/>
              <w:ind w:left="57" w:firstLine="0"/>
              <w:jc w:val="left"/>
              <w:textAlignment w:val="baseline"/>
              <w:rPr>
                <w:rFonts w:cs="Arial"/>
                <w:sz w:val="18"/>
                <w:szCs w:val="20"/>
              </w:rPr>
            </w:pPr>
            <w:r>
              <w:rPr>
                <w:sz w:val="18"/>
              </w:rPr>
              <w:t>La commissione ha effettuato un'ispezione della nave il</w:t>
            </w:r>
            <w:r>
              <w:tab/>
            </w:r>
            <w:r>
              <w:rPr>
                <w:position w:val="6"/>
                <w:sz w:val="16"/>
              </w:rPr>
              <w:t>*)</w:t>
            </w:r>
            <w:r>
              <w:rPr>
                <w:sz w:val="18"/>
              </w:rPr>
              <w:t>.</w:t>
            </w:r>
          </w:p>
          <w:p w:rsidR="009C13A9" w:rsidRPr="00C903F8" w:rsidRDefault="009C13A9" w:rsidP="00083603">
            <w:pPr>
              <w:tabs>
                <w:tab w:val="left" w:leader="dot" w:pos="3686"/>
                <w:tab w:val="left" w:leader="dot" w:pos="8505"/>
              </w:tabs>
              <w:overflowPunct w:val="0"/>
              <w:adjustRightInd w:val="0"/>
              <w:spacing w:after="20"/>
              <w:ind w:left="57" w:firstLine="0"/>
              <w:jc w:val="left"/>
              <w:textAlignment w:val="baseline"/>
              <w:rPr>
                <w:rFonts w:cs="Arial"/>
                <w:sz w:val="18"/>
                <w:szCs w:val="20"/>
              </w:rPr>
            </w:pPr>
            <w:r>
              <w:rPr>
                <w:sz w:val="18"/>
              </w:rPr>
              <w:t>Un attestato datato</w:t>
            </w:r>
            <w:r>
              <w:tab/>
              <w:t>rilasciato dall'organismo di classificazione autorizzato</w:t>
            </w:r>
            <w:r>
              <w:tab/>
            </w:r>
          </w:p>
          <w:p w:rsidR="009C13A9" w:rsidRPr="00C903F8" w:rsidRDefault="009C13A9" w:rsidP="009C13A9">
            <w:pPr>
              <w:tabs>
                <w:tab w:val="left" w:leader="dot" w:pos="8505"/>
              </w:tabs>
              <w:overflowPunct w:val="0"/>
              <w:adjustRightInd w:val="0"/>
              <w:ind w:left="57" w:firstLine="0"/>
              <w:jc w:val="left"/>
              <w:textAlignment w:val="baseline"/>
              <w:rPr>
                <w:rFonts w:cs="Arial"/>
                <w:sz w:val="18"/>
                <w:szCs w:val="20"/>
              </w:rPr>
            </w:pPr>
            <w:r>
              <w:tab/>
            </w:r>
          </w:p>
          <w:p w:rsidR="009C13A9" w:rsidRPr="00C903F8" w:rsidRDefault="009C13A9" w:rsidP="009C13A9">
            <w:pPr>
              <w:overflowPunct w:val="0"/>
              <w:adjustRightInd w:val="0"/>
              <w:spacing w:after="20"/>
              <w:ind w:left="57" w:firstLine="0"/>
              <w:jc w:val="left"/>
              <w:textAlignment w:val="baseline"/>
              <w:rPr>
                <w:rFonts w:cs="Arial"/>
                <w:sz w:val="18"/>
                <w:szCs w:val="20"/>
              </w:rPr>
            </w:pPr>
            <w:r>
              <w:rPr>
                <w:noProof/>
                <w:sz w:val="18"/>
              </w:rPr>
              <w:t>è stato presentato alla commissione di ispezione</w:t>
            </w:r>
            <w:r>
              <w:rPr>
                <w:position w:val="6"/>
                <w:sz w:val="16"/>
              </w:rPr>
              <w:t>*)</w:t>
            </w:r>
            <w:r>
              <w:rPr>
                <w:sz w:val="18"/>
              </w:rPr>
              <w:t>.</w:t>
            </w:r>
          </w:p>
          <w:p w:rsidR="009C13A9" w:rsidRPr="00C903F8" w:rsidRDefault="009C13A9" w:rsidP="009C13A9">
            <w:pPr>
              <w:overflowPunct w:val="0"/>
              <w:adjustRightInd w:val="0"/>
              <w:spacing w:after="20"/>
              <w:ind w:left="57" w:firstLine="0"/>
              <w:jc w:val="left"/>
              <w:textAlignment w:val="baseline"/>
              <w:rPr>
                <w:rFonts w:cs="Arial"/>
                <w:sz w:val="18"/>
                <w:szCs w:val="20"/>
              </w:rPr>
            </w:pPr>
            <w:r>
              <w:rPr>
                <w:noProof/>
                <w:sz w:val="18"/>
              </w:rPr>
              <w:t>Il motivo dell'ispezione/dell'attestato*) è il seguente</w:t>
            </w:r>
            <w:r>
              <w:rPr>
                <w:sz w:val="18"/>
              </w:rPr>
              <w:t>:</w:t>
            </w:r>
          </w:p>
          <w:p w:rsidR="009C13A9" w:rsidRPr="00C903F8" w:rsidRDefault="009C13A9" w:rsidP="00083603">
            <w:pPr>
              <w:tabs>
                <w:tab w:val="left" w:leader="dot" w:pos="8505"/>
              </w:tabs>
              <w:overflowPunct w:val="0"/>
              <w:adjustRightInd w:val="0"/>
              <w:spacing w:after="80"/>
              <w:ind w:left="57" w:firstLine="0"/>
              <w:jc w:val="left"/>
              <w:textAlignment w:val="baseline"/>
              <w:rPr>
                <w:rFonts w:cs="Arial"/>
                <w:position w:val="6"/>
                <w:sz w:val="16"/>
                <w:szCs w:val="20"/>
              </w:rPr>
            </w:pPr>
            <w:r>
              <w:tab/>
            </w:r>
          </w:p>
          <w:p w:rsidR="009C13A9" w:rsidRPr="00C903F8" w:rsidRDefault="009C13A9" w:rsidP="009C13A9">
            <w:pPr>
              <w:tabs>
                <w:tab w:val="left" w:leader="dot" w:pos="8505"/>
              </w:tabs>
              <w:overflowPunct w:val="0"/>
              <w:adjustRightInd w:val="0"/>
              <w:ind w:left="57" w:firstLine="0"/>
              <w:jc w:val="left"/>
              <w:textAlignment w:val="baseline"/>
              <w:rPr>
                <w:rFonts w:cs="Arial"/>
                <w:position w:val="6"/>
                <w:sz w:val="16"/>
                <w:szCs w:val="20"/>
              </w:rPr>
            </w:pPr>
            <w:r>
              <w:tab/>
            </w:r>
          </w:p>
          <w:p w:rsidR="009C13A9" w:rsidRPr="00C903F8" w:rsidRDefault="009C13A9" w:rsidP="009C13A9">
            <w:pPr>
              <w:tabs>
                <w:tab w:val="left" w:leader="dot" w:pos="8505"/>
              </w:tabs>
              <w:overflowPunct w:val="0"/>
              <w:adjustRightInd w:val="0"/>
              <w:ind w:left="57" w:firstLine="0"/>
              <w:jc w:val="left"/>
              <w:textAlignment w:val="baseline"/>
              <w:rPr>
                <w:rFonts w:cs="Arial"/>
                <w:position w:val="6"/>
                <w:sz w:val="16"/>
                <w:szCs w:val="20"/>
              </w:rPr>
            </w:pPr>
            <w:r>
              <w:t>Alla luce - del risultato dell'ispezione/dell'attestato -*), il periodo di validità del certificato per la navigazione interna è confermato - prorogato </w:t>
            </w:r>
            <w:r>
              <w:softHyphen/>
              <w:t>*)</w:t>
            </w:r>
          </w:p>
          <w:p w:rsidR="009C13A9" w:rsidRPr="00C903F8" w:rsidRDefault="009C13A9" w:rsidP="009C13A9">
            <w:pPr>
              <w:tabs>
                <w:tab w:val="left" w:leader="dot" w:pos="2268"/>
                <w:tab w:val="left" w:leader="dot" w:pos="3402"/>
                <w:tab w:val="left" w:leader="dot" w:pos="8505"/>
              </w:tabs>
              <w:overflowPunct w:val="0"/>
              <w:adjustRightInd w:val="0"/>
              <w:ind w:left="57" w:firstLine="0"/>
              <w:jc w:val="left"/>
              <w:textAlignment w:val="baseline"/>
              <w:rPr>
                <w:rFonts w:cs="Arial"/>
                <w:sz w:val="18"/>
                <w:szCs w:val="20"/>
              </w:rPr>
            </w:pPr>
            <w:r>
              <w:rPr>
                <w:sz w:val="18"/>
              </w:rPr>
              <w:t xml:space="preserve">fino al </w:t>
            </w:r>
            <w:r>
              <w:tab/>
            </w:r>
            <w:r>
              <w:rPr>
                <w:sz w:val="18"/>
              </w:rPr>
              <w:t xml:space="preserve"> .</w:t>
            </w:r>
          </w:p>
          <w:p w:rsidR="009C13A9" w:rsidRPr="00C903F8" w:rsidRDefault="009C13A9" w:rsidP="00083603">
            <w:pPr>
              <w:tabs>
                <w:tab w:val="left" w:pos="57"/>
                <w:tab w:val="left" w:leader="dot" w:pos="3969"/>
                <w:tab w:val="left" w:leader="dot" w:pos="6237"/>
                <w:tab w:val="left" w:leader="dot" w:pos="8505"/>
              </w:tabs>
              <w:overflowPunct w:val="0"/>
              <w:adjustRightInd w:val="0"/>
              <w:spacing w:before="20"/>
              <w:ind w:left="57" w:firstLine="0"/>
              <w:jc w:val="left"/>
              <w:textAlignment w:val="baseline"/>
              <w:rPr>
                <w:rFonts w:cs="Arial"/>
                <w:sz w:val="18"/>
                <w:szCs w:val="20"/>
              </w:rPr>
            </w:pPr>
            <w:r>
              <w:tab/>
            </w:r>
            <w:r>
              <w:rPr>
                <w:sz w:val="18"/>
              </w:rPr>
              <w:t xml:space="preserve">, </w:t>
            </w:r>
            <w:r>
              <w:tab/>
            </w:r>
          </w:p>
          <w:p w:rsidR="009C13A9" w:rsidRPr="00C903F8" w:rsidRDefault="009C13A9" w:rsidP="009C13A9">
            <w:pPr>
              <w:tabs>
                <w:tab w:val="center" w:pos="2041"/>
                <w:tab w:val="center" w:pos="5216"/>
              </w:tabs>
              <w:overflowPunct w:val="0"/>
              <w:adjustRightInd w:val="0"/>
              <w:ind w:left="0" w:firstLine="0"/>
              <w:jc w:val="left"/>
              <w:textAlignment w:val="baseline"/>
              <w:rPr>
                <w:rFonts w:cs="Arial"/>
                <w:sz w:val="18"/>
                <w:szCs w:val="20"/>
              </w:rPr>
            </w:pPr>
            <w:r>
              <w:tab/>
            </w:r>
            <w:r>
              <w:rPr>
                <w:sz w:val="16"/>
              </w:rPr>
              <w:t>(luogo)</w:t>
            </w:r>
            <w:r>
              <w:tab/>
            </w:r>
            <w:r>
              <w:rPr>
                <w:sz w:val="16"/>
              </w:rPr>
              <w:t>(data)</w:t>
            </w:r>
          </w:p>
          <w:p w:rsidR="009C13A9" w:rsidRPr="00C903F8" w:rsidRDefault="009C13A9" w:rsidP="009C13A9">
            <w:pPr>
              <w:tabs>
                <w:tab w:val="left" w:pos="4820"/>
                <w:tab w:val="left" w:leader="dot" w:pos="8505"/>
              </w:tabs>
              <w:overflowPunct w:val="0"/>
              <w:adjustRightInd w:val="0"/>
              <w:spacing w:before="120"/>
              <w:ind w:left="57" w:firstLine="0"/>
              <w:jc w:val="left"/>
              <w:textAlignment w:val="baseline"/>
              <w:rPr>
                <w:rFonts w:cs="Arial"/>
                <w:sz w:val="18"/>
                <w:szCs w:val="20"/>
              </w:rPr>
            </w:pPr>
            <w:r>
              <w:tab/>
            </w:r>
            <w:r>
              <w:tab/>
            </w:r>
          </w:p>
          <w:p w:rsidR="009C13A9" w:rsidRPr="00C903F8" w:rsidRDefault="009C13A9" w:rsidP="009C13A9">
            <w:pPr>
              <w:tabs>
                <w:tab w:val="center" w:pos="1985"/>
                <w:tab w:val="center" w:pos="6662"/>
              </w:tabs>
              <w:overflowPunct w:val="0"/>
              <w:adjustRightInd w:val="0"/>
              <w:ind w:left="0" w:firstLine="0"/>
              <w:jc w:val="left"/>
              <w:textAlignment w:val="baseline"/>
              <w:rPr>
                <w:rFonts w:cs="Arial"/>
                <w:sz w:val="18"/>
                <w:szCs w:val="20"/>
              </w:rPr>
            </w:pPr>
            <w:r>
              <w:tab/>
            </w:r>
            <w:r>
              <w:rPr>
                <w:sz w:val="16"/>
              </w:rPr>
              <w:t>Timbro</w:t>
            </w:r>
            <w:r>
              <w:tab/>
            </w:r>
            <w:r>
              <w:rPr>
                <w:sz w:val="16"/>
              </w:rPr>
              <w:t>Commissione di ispezione</w:t>
            </w:r>
          </w:p>
          <w:p w:rsidR="009C13A9" w:rsidRPr="00C903F8" w:rsidRDefault="009C13A9" w:rsidP="009C13A9">
            <w:pPr>
              <w:tabs>
                <w:tab w:val="left" w:pos="4820"/>
                <w:tab w:val="left" w:leader="dot" w:pos="8505"/>
              </w:tabs>
              <w:overflowPunct w:val="0"/>
              <w:adjustRightInd w:val="0"/>
              <w:spacing w:before="120"/>
              <w:ind w:left="0" w:firstLine="0"/>
              <w:jc w:val="left"/>
              <w:textAlignment w:val="baseline"/>
              <w:rPr>
                <w:rFonts w:cs="Arial"/>
                <w:sz w:val="18"/>
                <w:szCs w:val="20"/>
              </w:rPr>
            </w:pPr>
            <w:r>
              <w:tab/>
            </w:r>
            <w:r>
              <w:tab/>
            </w:r>
          </w:p>
          <w:p w:rsidR="009C13A9" w:rsidRPr="00C903F8" w:rsidRDefault="009C13A9" w:rsidP="009C13A9">
            <w:pPr>
              <w:tabs>
                <w:tab w:val="center" w:pos="6662"/>
              </w:tabs>
              <w:overflowPunct w:val="0"/>
              <w:adjustRightInd w:val="0"/>
              <w:ind w:left="57" w:firstLine="0"/>
              <w:jc w:val="left"/>
              <w:textAlignment w:val="baseline"/>
              <w:rPr>
                <w:rFonts w:cs="Arial"/>
                <w:sz w:val="16"/>
                <w:szCs w:val="20"/>
              </w:rPr>
            </w:pPr>
            <w:r>
              <w:rPr>
                <w:sz w:val="18"/>
              </w:rPr>
              <w:t>______________________</w:t>
            </w:r>
            <w:r>
              <w:tab/>
            </w:r>
            <w:r>
              <w:rPr>
                <w:sz w:val="16"/>
              </w:rPr>
              <w:t>(firma)</w:t>
            </w:r>
          </w:p>
          <w:p w:rsidR="009C13A9" w:rsidRPr="00C903F8" w:rsidRDefault="009C13A9" w:rsidP="009C13A9">
            <w:pPr>
              <w:tabs>
                <w:tab w:val="left" w:pos="57"/>
                <w:tab w:val="left" w:pos="227"/>
                <w:tab w:val="left" w:pos="5670"/>
                <w:tab w:val="left" w:leader="dot" w:pos="8505"/>
              </w:tabs>
              <w:overflowPunct w:val="0"/>
              <w:adjustRightInd w:val="0"/>
              <w:spacing w:after="40"/>
              <w:ind w:left="57" w:hanging="57"/>
              <w:jc w:val="left"/>
              <w:textAlignment w:val="baseline"/>
              <w:rPr>
                <w:rFonts w:cs="Arial"/>
                <w:sz w:val="18"/>
                <w:szCs w:val="20"/>
              </w:rPr>
            </w:pPr>
            <w:r>
              <w:rPr>
                <w:position w:val="4"/>
                <w:sz w:val="16"/>
                <w:vertAlign w:val="superscript"/>
              </w:rPr>
              <w:t>*)</w:t>
            </w:r>
            <w:r>
              <w:tab/>
            </w:r>
            <w:r>
              <w:rPr>
                <w:sz w:val="16"/>
              </w:rPr>
              <w:t>Cancellare le voci non pertinenti.</w:t>
            </w:r>
          </w:p>
        </w:tc>
      </w:tr>
    </w:tbl>
    <w:p w:rsidR="009C13A9" w:rsidRPr="00C903F8" w:rsidRDefault="009C13A9" w:rsidP="009C13A9">
      <w:pPr>
        <w:tabs>
          <w:tab w:val="left" w:leader="dot" w:pos="2835"/>
          <w:tab w:val="left" w:leader="dot" w:pos="7371"/>
        </w:tabs>
        <w:overflowPunct w:val="0"/>
        <w:adjustRightInd w:val="0"/>
        <w:ind w:left="0" w:firstLine="0"/>
        <w:jc w:val="center"/>
        <w:textAlignment w:val="baseline"/>
        <w:rPr>
          <w:rFonts w:cs="Arial"/>
          <w:szCs w:val="20"/>
        </w:rPr>
        <w:sectPr w:rsidR="009C13A9" w:rsidRPr="00C903F8" w:rsidSect="00A50F11">
          <w:headerReference w:type="default" r:id="rId45"/>
          <w:footerReference w:type="default" r:id="rId46"/>
          <w:footnotePr>
            <w:numRestart w:val="eachPage"/>
          </w:footnotePr>
          <w:pgSz w:w="11907" w:h="16840"/>
          <w:pgMar w:top="1191" w:right="1418" w:bottom="1077" w:left="1418" w:header="720" w:footer="720" w:gutter="0"/>
          <w:cols w:space="720"/>
        </w:sectPr>
      </w:pPr>
    </w:p>
    <w:p w:rsidR="009C13A9" w:rsidRPr="00C903F8" w:rsidRDefault="00E3172D" w:rsidP="00E3172D">
      <w:pPr>
        <w:tabs>
          <w:tab w:val="left" w:leader="dot" w:pos="2835"/>
          <w:tab w:val="left" w:leader="dot" w:pos="5103"/>
        </w:tabs>
        <w:overflowPunct w:val="0"/>
        <w:adjustRightInd w:val="0"/>
        <w:ind w:left="0" w:firstLine="0"/>
        <w:textAlignment w:val="baseline"/>
        <w:rPr>
          <w:rFonts w:cs="Arial"/>
          <w:szCs w:val="20"/>
        </w:rPr>
      </w:pPr>
      <w:r>
        <w:lastRenderedPageBreak/>
        <w:t xml:space="preserve">certificato per la navigazione interna n. </w:t>
      </w:r>
      <w:r>
        <w:tab/>
        <w:t xml:space="preserve"> della commissione di ispezione </w:t>
      </w:r>
      <w:r>
        <w:tab/>
      </w:r>
    </w:p>
    <w:tbl>
      <w:tblPr>
        <w:tblW w:w="9187" w:type="dxa"/>
        <w:jc w:val="center"/>
        <w:tblLayout w:type="fixed"/>
        <w:tblCellMar>
          <w:left w:w="0" w:type="dxa"/>
          <w:right w:w="0" w:type="dxa"/>
        </w:tblCellMar>
        <w:tblLook w:val="0000" w:firstRow="0" w:lastRow="0" w:firstColumn="0" w:lastColumn="0" w:noHBand="0" w:noVBand="0"/>
      </w:tblPr>
      <w:tblGrid>
        <w:gridCol w:w="284"/>
        <w:gridCol w:w="1418"/>
        <w:gridCol w:w="1191"/>
        <w:gridCol w:w="1247"/>
        <w:gridCol w:w="1758"/>
        <w:gridCol w:w="1134"/>
        <w:gridCol w:w="1758"/>
        <w:gridCol w:w="397"/>
      </w:tblGrid>
      <w:tr w:rsidR="009C13A9" w:rsidRPr="00A0619C" w:rsidTr="009C13A9">
        <w:trPr>
          <w:cantSplit/>
          <w:jc w:val="center"/>
        </w:trPr>
        <w:tc>
          <w:tcPr>
            <w:tcW w:w="284" w:type="dxa"/>
            <w:tcBorders>
              <w:top w:val="single" w:sz="6" w:space="0" w:color="auto"/>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r>
              <w:rPr>
                <w:sz w:val="18"/>
              </w:rPr>
              <w:t>50.</w:t>
            </w:r>
          </w:p>
        </w:tc>
        <w:tc>
          <w:tcPr>
            <w:tcW w:w="8903" w:type="dxa"/>
            <w:gridSpan w:val="7"/>
            <w:tcBorders>
              <w:top w:val="single" w:sz="6" w:space="0" w:color="auto"/>
              <w:right w:val="single" w:sz="6" w:space="0" w:color="auto"/>
            </w:tcBorders>
          </w:tcPr>
          <w:p w:rsidR="009C13A9" w:rsidRPr="00C903F8" w:rsidRDefault="009C13A9" w:rsidP="009C13A9">
            <w:pPr>
              <w:tabs>
                <w:tab w:val="left" w:pos="57"/>
                <w:tab w:val="left" w:leader="dot" w:pos="8505"/>
              </w:tabs>
              <w:overflowPunct w:val="0"/>
              <w:adjustRightInd w:val="0"/>
              <w:spacing w:before="120"/>
              <w:ind w:left="0" w:firstLine="0"/>
              <w:jc w:val="left"/>
              <w:textAlignment w:val="baseline"/>
              <w:rPr>
                <w:rFonts w:cs="Arial"/>
                <w:b/>
                <w:sz w:val="18"/>
                <w:szCs w:val="20"/>
              </w:rPr>
            </w:pPr>
            <w:r>
              <w:rPr>
                <w:b/>
                <w:sz w:val="18"/>
              </w:rPr>
              <w:t>Attestato concernente l’impianto/gli impianti a gas liquefatti</w:t>
            </w:r>
          </w:p>
          <w:p w:rsidR="009C13A9" w:rsidRPr="00C903F8" w:rsidRDefault="009C13A9" w:rsidP="009C13A9">
            <w:pPr>
              <w:tabs>
                <w:tab w:val="left" w:pos="57"/>
                <w:tab w:val="left" w:leader="dot" w:pos="8505"/>
              </w:tabs>
              <w:overflowPunct w:val="0"/>
              <w:adjustRightInd w:val="0"/>
              <w:spacing w:before="120"/>
              <w:ind w:left="0" w:firstLine="0"/>
              <w:jc w:val="left"/>
              <w:textAlignment w:val="baseline"/>
              <w:rPr>
                <w:rFonts w:cs="Arial"/>
                <w:sz w:val="18"/>
                <w:szCs w:val="20"/>
              </w:rPr>
            </w:pPr>
            <w:r>
              <w:rPr>
                <w:sz w:val="18"/>
              </w:rPr>
              <w:t>L'impianto/gli impianti a gas liquefatto a bordo dell'imbarcazione è stato/sono stati ispezionati da parte dell'esperto</w:t>
            </w:r>
            <w:r>
              <w:rPr>
                <w:position w:val="6"/>
                <w:sz w:val="16"/>
              </w:rPr>
              <w:t>*)</w:t>
            </w:r>
            <w:r>
              <w:rPr>
                <w:sz w:val="18"/>
              </w:rPr>
              <w:t xml:space="preserve"> </w:t>
            </w:r>
            <w:r>
              <w:tab/>
            </w:r>
          </w:p>
          <w:p w:rsidR="009C13A9" w:rsidRPr="00C903F8" w:rsidRDefault="009C13A9" w:rsidP="009C13A9">
            <w:pPr>
              <w:tabs>
                <w:tab w:val="left" w:leader="dot" w:pos="8505"/>
              </w:tabs>
              <w:overflowPunct w:val="0"/>
              <w:adjustRightInd w:val="0"/>
              <w:spacing w:before="120"/>
              <w:ind w:left="0" w:firstLine="0"/>
              <w:jc w:val="left"/>
              <w:textAlignment w:val="baseline"/>
              <w:rPr>
                <w:rFonts w:cs="Arial"/>
                <w:sz w:val="18"/>
                <w:szCs w:val="20"/>
              </w:rPr>
            </w:pPr>
            <w:r>
              <w:tab/>
            </w:r>
          </w:p>
          <w:p w:rsidR="009C13A9" w:rsidRPr="00C903F8" w:rsidRDefault="009C13A9" w:rsidP="009C13A9">
            <w:pPr>
              <w:tabs>
                <w:tab w:val="left" w:pos="57"/>
                <w:tab w:val="left" w:leader="dot" w:pos="5103"/>
                <w:tab w:val="left" w:leader="dot" w:pos="5670"/>
                <w:tab w:val="left" w:leader="dot" w:pos="8505"/>
              </w:tabs>
              <w:overflowPunct w:val="0"/>
              <w:adjustRightInd w:val="0"/>
              <w:spacing w:before="120"/>
              <w:ind w:left="0" w:firstLine="0"/>
              <w:jc w:val="left"/>
              <w:textAlignment w:val="baseline"/>
              <w:rPr>
                <w:rFonts w:cs="Arial"/>
                <w:sz w:val="18"/>
                <w:szCs w:val="20"/>
              </w:rPr>
            </w:pPr>
            <w:r>
              <w:rPr>
                <w:sz w:val="18"/>
              </w:rPr>
              <w:t>e, sulla base del suo attestato di ispezione datato</w:t>
            </w:r>
            <w:r>
              <w:tab/>
            </w:r>
            <w:r>
              <w:rPr>
                <w:position w:val="6"/>
                <w:sz w:val="16"/>
              </w:rPr>
              <w:t xml:space="preserve">*), risulta/risultano </w:t>
            </w:r>
            <w:r>
              <w:rPr>
                <w:sz w:val="18"/>
              </w:rPr>
              <w:t>soddisfare le condizioni stabilite.</w:t>
            </w:r>
          </w:p>
          <w:p w:rsidR="009C13A9" w:rsidRPr="00C903F8" w:rsidRDefault="009C13A9" w:rsidP="009C13A9">
            <w:pPr>
              <w:tabs>
                <w:tab w:val="left" w:pos="57"/>
                <w:tab w:val="left" w:leader="dot" w:pos="5103"/>
                <w:tab w:val="left" w:leader="dot" w:pos="5670"/>
                <w:tab w:val="left" w:leader="dot" w:pos="8505"/>
              </w:tabs>
              <w:overflowPunct w:val="0"/>
              <w:adjustRightInd w:val="0"/>
              <w:spacing w:before="120" w:after="40"/>
              <w:ind w:left="0" w:firstLine="0"/>
              <w:jc w:val="left"/>
              <w:textAlignment w:val="baseline"/>
              <w:rPr>
                <w:rFonts w:cs="Arial"/>
                <w:sz w:val="18"/>
                <w:szCs w:val="20"/>
              </w:rPr>
            </w:pPr>
            <w:r>
              <w:rPr>
                <w:sz w:val="18"/>
              </w:rPr>
              <w:t xml:space="preserve">L'impianto comprende/Gli impianti comprendono i seguenti apparecchi utilizzatori </w:t>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1418" w:type="dxa"/>
            <w:tcBorders>
              <w:top w:val="single" w:sz="6" w:space="0" w:color="auto"/>
              <w:left w:val="single" w:sz="6" w:space="0" w:color="auto"/>
              <w:right w:val="single" w:sz="6" w:space="0" w:color="auto"/>
            </w:tcBorders>
            <w:vAlign w:val="center"/>
          </w:tcPr>
          <w:p w:rsidR="009C13A9" w:rsidRPr="00C903F8" w:rsidRDefault="009C13A9" w:rsidP="009C13A9">
            <w:pPr>
              <w:jc w:val="center"/>
              <w:rPr>
                <w:sz w:val="18"/>
              </w:rPr>
            </w:pPr>
            <w:r>
              <w:rPr>
                <w:sz w:val="18"/>
              </w:rPr>
              <w:t>Impianto</w:t>
            </w:r>
          </w:p>
        </w:tc>
        <w:tc>
          <w:tcPr>
            <w:tcW w:w="1191" w:type="dxa"/>
            <w:tcBorders>
              <w:top w:val="single" w:sz="6" w:space="0" w:color="auto"/>
              <w:left w:val="single" w:sz="6" w:space="0" w:color="auto"/>
              <w:right w:val="single" w:sz="6" w:space="0" w:color="auto"/>
            </w:tcBorders>
            <w:vAlign w:val="center"/>
          </w:tcPr>
          <w:p w:rsidR="009C13A9" w:rsidRPr="00C903F8" w:rsidRDefault="009C13A9" w:rsidP="009C13A9">
            <w:pPr>
              <w:jc w:val="center"/>
              <w:rPr>
                <w:sz w:val="18"/>
              </w:rPr>
            </w:pPr>
            <w:r>
              <w:rPr>
                <w:sz w:val="18"/>
              </w:rPr>
              <w:t>N. d’ordine</w:t>
            </w:r>
          </w:p>
        </w:tc>
        <w:tc>
          <w:tcPr>
            <w:tcW w:w="1247" w:type="dxa"/>
            <w:tcBorders>
              <w:top w:val="single" w:sz="6" w:space="0" w:color="auto"/>
              <w:left w:val="single" w:sz="6" w:space="0" w:color="auto"/>
              <w:right w:val="single" w:sz="6" w:space="0" w:color="auto"/>
            </w:tcBorders>
            <w:vAlign w:val="center"/>
          </w:tcPr>
          <w:p w:rsidR="009C13A9" w:rsidRPr="00C903F8" w:rsidRDefault="009C13A9" w:rsidP="009C13A9">
            <w:pPr>
              <w:jc w:val="center"/>
              <w:rPr>
                <w:sz w:val="18"/>
              </w:rPr>
            </w:pPr>
            <w:r>
              <w:rPr>
                <w:sz w:val="18"/>
              </w:rPr>
              <w:t>Modello</w:t>
            </w:r>
          </w:p>
        </w:tc>
        <w:tc>
          <w:tcPr>
            <w:tcW w:w="1758" w:type="dxa"/>
            <w:tcBorders>
              <w:top w:val="single" w:sz="6" w:space="0" w:color="auto"/>
              <w:left w:val="single" w:sz="6" w:space="0" w:color="auto"/>
              <w:right w:val="single" w:sz="6" w:space="0" w:color="auto"/>
            </w:tcBorders>
            <w:vAlign w:val="center"/>
          </w:tcPr>
          <w:p w:rsidR="009C13A9" w:rsidRPr="00C903F8" w:rsidRDefault="009C13A9" w:rsidP="009C13A9">
            <w:pPr>
              <w:jc w:val="center"/>
              <w:rPr>
                <w:sz w:val="18"/>
              </w:rPr>
            </w:pPr>
            <w:r>
              <w:rPr>
                <w:sz w:val="18"/>
              </w:rPr>
              <w:t>Marca</w:t>
            </w:r>
          </w:p>
        </w:tc>
        <w:tc>
          <w:tcPr>
            <w:tcW w:w="1134" w:type="dxa"/>
            <w:tcBorders>
              <w:top w:val="single" w:sz="6" w:space="0" w:color="auto"/>
              <w:left w:val="single" w:sz="6" w:space="0" w:color="auto"/>
              <w:right w:val="single" w:sz="6" w:space="0" w:color="auto"/>
            </w:tcBorders>
            <w:vAlign w:val="center"/>
          </w:tcPr>
          <w:p w:rsidR="009C13A9" w:rsidRPr="00C903F8" w:rsidRDefault="009C13A9" w:rsidP="009C13A9">
            <w:pPr>
              <w:jc w:val="center"/>
              <w:rPr>
                <w:sz w:val="18"/>
              </w:rPr>
            </w:pPr>
            <w:r>
              <w:rPr>
                <w:sz w:val="18"/>
              </w:rPr>
              <w:t>Tipo</w:t>
            </w:r>
          </w:p>
        </w:tc>
        <w:tc>
          <w:tcPr>
            <w:tcW w:w="1758" w:type="dxa"/>
            <w:tcBorders>
              <w:top w:val="single" w:sz="6" w:space="0" w:color="auto"/>
              <w:left w:val="single" w:sz="6" w:space="0" w:color="auto"/>
              <w:right w:val="single" w:sz="6" w:space="0" w:color="auto"/>
            </w:tcBorders>
            <w:vAlign w:val="center"/>
          </w:tcPr>
          <w:p w:rsidR="009C13A9" w:rsidRPr="00C903F8" w:rsidRDefault="009C13A9" w:rsidP="009C13A9">
            <w:pPr>
              <w:jc w:val="center"/>
              <w:rPr>
                <w:sz w:val="18"/>
              </w:rPr>
            </w:pPr>
            <w:r>
              <w:rPr>
                <w:sz w:val="18"/>
              </w:rPr>
              <w:t>Collocazione</w:t>
            </w: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3969"/>
                <w:tab w:val="left" w:leader="dot" w:pos="8505"/>
              </w:tabs>
              <w:overflowPunct w:val="0"/>
              <w:adjustRightInd w:val="0"/>
              <w:ind w:left="57" w:hanging="57"/>
              <w:jc w:val="left"/>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3969"/>
                <w:tab w:val="left" w:leader="dot" w:pos="8505"/>
              </w:tabs>
              <w:overflowPunct w:val="0"/>
              <w:adjustRightInd w:val="0"/>
              <w:spacing w:before="120"/>
              <w:ind w:left="57" w:hanging="57"/>
              <w:jc w:val="left"/>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12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3969"/>
                <w:tab w:val="left" w:leader="dot" w:pos="8505"/>
              </w:tabs>
              <w:overflowPunct w:val="0"/>
              <w:adjustRightInd w:val="0"/>
              <w:ind w:left="57" w:hanging="57"/>
              <w:jc w:val="left"/>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3969"/>
                <w:tab w:val="left" w:leader="dot" w:pos="8505"/>
              </w:tabs>
              <w:overflowPunct w:val="0"/>
              <w:adjustRightInd w:val="0"/>
              <w:spacing w:before="120"/>
              <w:ind w:left="57" w:hanging="57"/>
              <w:jc w:val="left"/>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12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3969"/>
                <w:tab w:val="left" w:leader="dot" w:pos="8505"/>
              </w:tabs>
              <w:overflowPunct w:val="0"/>
              <w:adjustRightInd w:val="0"/>
              <w:ind w:left="57" w:hanging="57"/>
              <w:jc w:val="left"/>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3969"/>
                <w:tab w:val="left" w:leader="dot" w:pos="8505"/>
              </w:tabs>
              <w:overflowPunct w:val="0"/>
              <w:adjustRightInd w:val="0"/>
              <w:spacing w:before="120"/>
              <w:ind w:left="57" w:hanging="57"/>
              <w:jc w:val="left"/>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12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3969"/>
                <w:tab w:val="left" w:leader="dot" w:pos="8505"/>
              </w:tabs>
              <w:overflowPunct w:val="0"/>
              <w:adjustRightInd w:val="0"/>
              <w:ind w:left="57" w:hanging="57"/>
              <w:jc w:val="left"/>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3969"/>
                <w:tab w:val="left" w:leader="dot" w:pos="8505"/>
              </w:tabs>
              <w:overflowPunct w:val="0"/>
              <w:adjustRightInd w:val="0"/>
              <w:spacing w:before="120"/>
              <w:ind w:left="57" w:hanging="57"/>
              <w:jc w:val="left"/>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12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3969"/>
                <w:tab w:val="left" w:leader="dot" w:pos="8505"/>
              </w:tabs>
              <w:overflowPunct w:val="0"/>
              <w:adjustRightInd w:val="0"/>
              <w:ind w:left="57" w:hanging="57"/>
              <w:jc w:val="left"/>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ind w:left="57" w:hanging="57"/>
              <w:jc w:val="left"/>
              <w:textAlignment w:val="baseline"/>
              <w:rPr>
                <w:rFonts w:cs="Arial"/>
                <w:sz w:val="18"/>
                <w:szCs w:val="20"/>
              </w:rPr>
            </w:pP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3969"/>
                <w:tab w:val="left" w:leader="dot" w:pos="8505"/>
              </w:tabs>
              <w:overflowPunct w:val="0"/>
              <w:adjustRightInd w:val="0"/>
              <w:spacing w:before="120"/>
              <w:ind w:left="57" w:hanging="57"/>
              <w:jc w:val="left"/>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12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3969"/>
                <w:tab w:val="left" w:leader="dot" w:pos="8505"/>
              </w:tabs>
              <w:overflowPunct w:val="0"/>
              <w:adjustRightInd w:val="0"/>
              <w:spacing w:before="120"/>
              <w:ind w:left="57" w:hanging="57"/>
              <w:jc w:val="left"/>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12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8903" w:type="dxa"/>
            <w:gridSpan w:val="7"/>
            <w:tcBorders>
              <w:bottom w:val="single" w:sz="6" w:space="0" w:color="auto"/>
              <w:right w:val="single" w:sz="6" w:space="0" w:color="auto"/>
            </w:tcBorders>
          </w:tcPr>
          <w:p w:rsidR="009C13A9" w:rsidRPr="00C903F8" w:rsidRDefault="009C13A9" w:rsidP="009C13A9">
            <w:pPr>
              <w:tabs>
                <w:tab w:val="left" w:pos="57"/>
                <w:tab w:val="left" w:leader="dot" w:pos="8505"/>
              </w:tabs>
              <w:overflowPunct w:val="0"/>
              <w:adjustRightInd w:val="0"/>
              <w:ind w:left="0" w:firstLine="0"/>
              <w:jc w:val="left"/>
              <w:textAlignment w:val="baseline"/>
              <w:rPr>
                <w:rFonts w:cs="Arial"/>
                <w:sz w:val="18"/>
                <w:szCs w:val="20"/>
              </w:rPr>
            </w:pPr>
          </w:p>
          <w:p w:rsidR="009C13A9" w:rsidRPr="00C903F8" w:rsidRDefault="009C13A9" w:rsidP="009C13A9">
            <w:pPr>
              <w:tabs>
                <w:tab w:val="left" w:pos="57"/>
                <w:tab w:val="left" w:leader="dot" w:pos="8505"/>
              </w:tabs>
              <w:overflowPunct w:val="0"/>
              <w:adjustRightInd w:val="0"/>
              <w:ind w:left="0" w:firstLine="0"/>
              <w:jc w:val="left"/>
              <w:textAlignment w:val="baseline"/>
              <w:rPr>
                <w:rFonts w:cs="Arial"/>
                <w:sz w:val="18"/>
                <w:szCs w:val="20"/>
              </w:rPr>
            </w:pPr>
            <w:r>
              <w:rPr>
                <w:sz w:val="18"/>
              </w:rPr>
              <w:t>Il presente attestato è valido fino al</w:t>
            </w:r>
            <w:r>
              <w:tab/>
            </w:r>
          </w:p>
          <w:p w:rsidR="009C13A9" w:rsidRPr="00C903F8" w:rsidRDefault="009C13A9" w:rsidP="009C13A9">
            <w:pPr>
              <w:tabs>
                <w:tab w:val="left" w:pos="57"/>
                <w:tab w:val="left" w:leader="dot" w:pos="3969"/>
                <w:tab w:val="left" w:leader="dot" w:pos="6237"/>
                <w:tab w:val="left" w:leader="dot" w:pos="8505"/>
              </w:tabs>
              <w:overflowPunct w:val="0"/>
              <w:adjustRightInd w:val="0"/>
              <w:spacing w:before="120"/>
              <w:ind w:left="57" w:hanging="57"/>
              <w:jc w:val="left"/>
              <w:textAlignment w:val="baseline"/>
              <w:rPr>
                <w:rFonts w:cs="Arial"/>
                <w:sz w:val="18"/>
                <w:szCs w:val="20"/>
              </w:rPr>
            </w:pPr>
          </w:p>
          <w:p w:rsidR="009C13A9" w:rsidRPr="00C903F8" w:rsidRDefault="009C13A9" w:rsidP="009C13A9">
            <w:pPr>
              <w:tabs>
                <w:tab w:val="left" w:leader="dot" w:pos="3969"/>
                <w:tab w:val="left" w:leader="dot" w:pos="6237"/>
                <w:tab w:val="left" w:leader="dot" w:pos="8505"/>
              </w:tabs>
              <w:overflowPunct w:val="0"/>
              <w:adjustRightInd w:val="0"/>
              <w:spacing w:before="120"/>
              <w:ind w:left="0" w:firstLine="0"/>
              <w:jc w:val="left"/>
              <w:textAlignment w:val="baseline"/>
              <w:rPr>
                <w:rFonts w:cs="Arial"/>
                <w:sz w:val="18"/>
                <w:szCs w:val="20"/>
              </w:rPr>
            </w:pPr>
            <w:r>
              <w:tab/>
            </w:r>
            <w:r>
              <w:rPr>
                <w:sz w:val="18"/>
              </w:rPr>
              <w:t xml:space="preserve">, </w:t>
            </w:r>
            <w:r>
              <w:tab/>
            </w:r>
          </w:p>
          <w:p w:rsidR="009C13A9" w:rsidRPr="00C903F8" w:rsidRDefault="009C13A9" w:rsidP="009C13A9">
            <w:pPr>
              <w:tabs>
                <w:tab w:val="left" w:pos="57"/>
                <w:tab w:val="center" w:pos="5302"/>
                <w:tab w:val="left" w:leader="dot" w:pos="6237"/>
                <w:tab w:val="left" w:leader="dot" w:pos="8505"/>
              </w:tabs>
              <w:overflowPunct w:val="0"/>
              <w:adjustRightInd w:val="0"/>
              <w:ind w:left="0" w:firstLine="0"/>
              <w:jc w:val="left"/>
              <w:textAlignment w:val="baseline"/>
              <w:rPr>
                <w:rFonts w:cs="Arial"/>
                <w:sz w:val="18"/>
                <w:szCs w:val="20"/>
              </w:rPr>
            </w:pPr>
            <w:r>
              <w:rPr>
                <w:sz w:val="16"/>
              </w:rPr>
              <w:t>(luogo)</w:t>
            </w:r>
            <w:r>
              <w:tab/>
            </w:r>
            <w:r>
              <w:rPr>
                <w:sz w:val="16"/>
              </w:rPr>
              <w:t>(data)</w:t>
            </w:r>
          </w:p>
          <w:p w:rsidR="009C13A9" w:rsidRPr="00C903F8" w:rsidRDefault="009C13A9" w:rsidP="009C13A9">
            <w:pPr>
              <w:tabs>
                <w:tab w:val="left" w:pos="57"/>
                <w:tab w:val="left" w:leader="dot" w:pos="8505"/>
              </w:tabs>
              <w:overflowPunct w:val="0"/>
              <w:adjustRightInd w:val="0"/>
              <w:ind w:left="57" w:hanging="57"/>
              <w:jc w:val="left"/>
              <w:textAlignment w:val="baseline"/>
              <w:rPr>
                <w:rFonts w:cs="Arial"/>
                <w:sz w:val="18"/>
                <w:szCs w:val="20"/>
              </w:rPr>
            </w:pPr>
          </w:p>
          <w:p w:rsidR="009C13A9" w:rsidRPr="00C903F8" w:rsidRDefault="009C13A9" w:rsidP="009C13A9">
            <w:pPr>
              <w:tabs>
                <w:tab w:val="left" w:pos="3402"/>
                <w:tab w:val="left" w:leader="dot" w:pos="8505"/>
              </w:tabs>
              <w:overflowPunct w:val="0"/>
              <w:adjustRightInd w:val="0"/>
              <w:spacing w:before="120"/>
              <w:ind w:left="0" w:firstLine="0"/>
              <w:jc w:val="left"/>
              <w:textAlignment w:val="baseline"/>
              <w:rPr>
                <w:rFonts w:cs="Arial"/>
                <w:sz w:val="18"/>
                <w:szCs w:val="20"/>
              </w:rPr>
            </w:pPr>
            <w:r>
              <w:tab/>
            </w:r>
            <w:r>
              <w:tab/>
            </w:r>
          </w:p>
          <w:p w:rsidR="009C13A9" w:rsidRPr="00C903F8" w:rsidRDefault="009C13A9" w:rsidP="009C13A9">
            <w:pPr>
              <w:tabs>
                <w:tab w:val="center" w:pos="5869"/>
                <w:tab w:val="left" w:leader="dot" w:pos="8505"/>
              </w:tabs>
              <w:overflowPunct w:val="0"/>
              <w:adjustRightInd w:val="0"/>
              <w:ind w:left="0" w:firstLine="0"/>
              <w:jc w:val="left"/>
              <w:textAlignment w:val="baseline"/>
              <w:rPr>
                <w:rFonts w:cs="Arial"/>
                <w:sz w:val="18"/>
                <w:szCs w:val="20"/>
              </w:rPr>
            </w:pPr>
            <w:r>
              <w:tab/>
            </w:r>
            <w:r>
              <w:rPr>
                <w:sz w:val="16"/>
              </w:rPr>
              <w:t>Commissione di ispezione</w:t>
            </w:r>
          </w:p>
          <w:p w:rsidR="009C13A9" w:rsidRPr="00C903F8" w:rsidRDefault="009C13A9" w:rsidP="009C13A9">
            <w:pPr>
              <w:tabs>
                <w:tab w:val="left" w:pos="57"/>
                <w:tab w:val="left" w:pos="3402"/>
                <w:tab w:val="left" w:leader="dot" w:pos="8505"/>
              </w:tabs>
              <w:overflowPunct w:val="0"/>
              <w:adjustRightInd w:val="0"/>
              <w:spacing w:before="120"/>
              <w:ind w:left="57" w:hanging="57"/>
              <w:jc w:val="left"/>
              <w:textAlignment w:val="baseline"/>
              <w:rPr>
                <w:rFonts w:cs="Arial"/>
                <w:sz w:val="18"/>
                <w:szCs w:val="20"/>
              </w:rPr>
            </w:pPr>
          </w:p>
          <w:p w:rsidR="009C13A9" w:rsidRPr="00C903F8" w:rsidRDefault="009C13A9" w:rsidP="009C13A9">
            <w:pPr>
              <w:tabs>
                <w:tab w:val="left" w:pos="57"/>
                <w:tab w:val="center" w:pos="2326"/>
                <w:tab w:val="left" w:pos="3402"/>
                <w:tab w:val="left" w:leader="dot" w:pos="8505"/>
              </w:tabs>
              <w:overflowPunct w:val="0"/>
              <w:adjustRightInd w:val="0"/>
              <w:spacing w:before="120"/>
              <w:ind w:left="57" w:hanging="57"/>
              <w:jc w:val="left"/>
              <w:textAlignment w:val="baseline"/>
              <w:rPr>
                <w:rFonts w:cs="Arial"/>
                <w:sz w:val="16"/>
                <w:szCs w:val="16"/>
              </w:rPr>
            </w:pPr>
            <w:r>
              <w:tab/>
            </w:r>
            <w:r>
              <w:tab/>
            </w:r>
            <w:r>
              <w:rPr>
                <w:sz w:val="16"/>
              </w:rPr>
              <w:t>Timbro</w:t>
            </w:r>
            <w:r>
              <w:tab/>
            </w:r>
            <w:r>
              <w:tab/>
            </w:r>
          </w:p>
          <w:p w:rsidR="009C13A9" w:rsidRPr="00C903F8" w:rsidRDefault="009C13A9" w:rsidP="009C13A9">
            <w:pPr>
              <w:tabs>
                <w:tab w:val="left" w:pos="57"/>
                <w:tab w:val="left" w:pos="5670"/>
                <w:tab w:val="left" w:leader="dot" w:pos="8505"/>
              </w:tabs>
              <w:overflowPunct w:val="0"/>
              <w:adjustRightInd w:val="0"/>
              <w:ind w:left="57" w:hanging="57"/>
              <w:jc w:val="left"/>
              <w:textAlignment w:val="baseline"/>
              <w:rPr>
                <w:rFonts w:cs="Arial"/>
                <w:sz w:val="18"/>
                <w:szCs w:val="20"/>
              </w:rPr>
            </w:pPr>
            <w:r>
              <w:tab/>
            </w:r>
            <w:r>
              <w:tab/>
            </w:r>
            <w:r>
              <w:rPr>
                <w:sz w:val="16"/>
              </w:rPr>
              <w:t>(firma)</w:t>
            </w:r>
          </w:p>
          <w:p w:rsidR="009C13A9" w:rsidRPr="00C903F8" w:rsidRDefault="009C13A9" w:rsidP="009C13A9">
            <w:pPr>
              <w:tabs>
                <w:tab w:val="left" w:pos="57"/>
                <w:tab w:val="left" w:pos="5103"/>
              </w:tabs>
              <w:overflowPunct w:val="0"/>
              <w:adjustRightInd w:val="0"/>
              <w:ind w:left="0" w:firstLine="0"/>
              <w:jc w:val="left"/>
              <w:textAlignment w:val="baseline"/>
              <w:rPr>
                <w:rFonts w:cs="Arial"/>
                <w:sz w:val="18"/>
                <w:szCs w:val="20"/>
              </w:rPr>
            </w:pPr>
          </w:p>
          <w:p w:rsidR="009C13A9" w:rsidRPr="00C903F8" w:rsidRDefault="009C13A9" w:rsidP="009C13A9">
            <w:pPr>
              <w:tabs>
                <w:tab w:val="left" w:pos="57"/>
                <w:tab w:val="left" w:pos="5103"/>
              </w:tabs>
              <w:overflowPunct w:val="0"/>
              <w:adjustRightInd w:val="0"/>
              <w:spacing w:after="12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bottom w:val="single" w:sz="6" w:space="0" w:color="auto"/>
            </w:tcBorders>
          </w:tcPr>
          <w:p w:rsidR="009C13A9" w:rsidRPr="00C903F8" w:rsidRDefault="009C13A9" w:rsidP="009C13A9">
            <w:pPr>
              <w:tabs>
                <w:tab w:val="left" w:pos="57"/>
              </w:tabs>
              <w:overflowPunct w:val="0"/>
              <w:adjustRightInd w:val="0"/>
              <w:spacing w:before="80"/>
              <w:ind w:left="0" w:firstLine="0"/>
              <w:jc w:val="left"/>
              <w:textAlignment w:val="baseline"/>
              <w:rPr>
                <w:rFonts w:cs="Arial"/>
                <w:sz w:val="18"/>
                <w:szCs w:val="20"/>
              </w:rPr>
            </w:pPr>
            <w:r>
              <w:tab/>
            </w:r>
            <w:r>
              <w:rPr>
                <w:sz w:val="18"/>
              </w:rPr>
              <w:t>*)</w:t>
            </w:r>
            <w:r>
              <w:rPr>
                <w:rFonts w:cs="Arial"/>
                <w:sz w:val="18"/>
                <w:szCs w:val="20"/>
              </w:rPr>
              <w:br/>
            </w:r>
            <w:r>
              <w:rPr>
                <w:rFonts w:cs="Arial"/>
                <w:sz w:val="18"/>
                <w:szCs w:val="20"/>
              </w:rPr>
              <w:br/>
            </w:r>
          </w:p>
          <w:p w:rsidR="009C13A9" w:rsidRPr="00C903F8" w:rsidRDefault="009C13A9" w:rsidP="009C13A9">
            <w:pPr>
              <w:tabs>
                <w:tab w:val="left" w:pos="57"/>
              </w:tabs>
              <w:overflowPunct w:val="0"/>
              <w:adjustRightInd w:val="0"/>
              <w:spacing w:before="80"/>
              <w:ind w:left="0" w:firstLine="0"/>
              <w:jc w:val="left"/>
              <w:textAlignment w:val="baseline"/>
              <w:rPr>
                <w:rFonts w:cs="Arial"/>
                <w:sz w:val="18"/>
                <w:szCs w:val="20"/>
              </w:rPr>
            </w:pPr>
          </w:p>
          <w:p w:rsidR="009C13A9" w:rsidRPr="00C903F8" w:rsidRDefault="009C13A9" w:rsidP="009C13A9">
            <w:pPr>
              <w:tabs>
                <w:tab w:val="left" w:pos="57"/>
              </w:tabs>
              <w:overflowPunct w:val="0"/>
              <w:adjustRightInd w:val="0"/>
              <w:spacing w:before="160"/>
              <w:ind w:left="0" w:firstLine="0"/>
              <w:jc w:val="left"/>
              <w:textAlignment w:val="baseline"/>
              <w:rPr>
                <w:rFonts w:cs="Arial"/>
                <w:sz w:val="18"/>
                <w:szCs w:val="20"/>
              </w:rPr>
            </w:pPr>
            <w:r>
              <w:tab/>
            </w:r>
            <w:r>
              <w:rPr>
                <w:sz w:val="18"/>
              </w:rPr>
              <w:t>*)</w:t>
            </w:r>
          </w:p>
        </w:tc>
        <w:tc>
          <w:tcPr>
            <w:tcW w:w="8903" w:type="dxa"/>
            <w:gridSpan w:val="7"/>
            <w:tcBorders>
              <w:bottom w:val="single" w:sz="6" w:space="0" w:color="auto"/>
              <w:right w:val="single" w:sz="6" w:space="0" w:color="auto"/>
            </w:tcBorders>
          </w:tcPr>
          <w:p w:rsidR="009C13A9" w:rsidRPr="00C903F8" w:rsidRDefault="009C13A9" w:rsidP="009C13A9">
            <w:pPr>
              <w:tabs>
                <w:tab w:val="left" w:pos="57"/>
                <w:tab w:val="left" w:leader="dot" w:pos="3686"/>
              </w:tabs>
              <w:overflowPunct w:val="0"/>
              <w:adjustRightInd w:val="0"/>
              <w:spacing w:before="80" w:after="80"/>
              <w:ind w:left="57" w:right="57" w:firstLine="0"/>
              <w:jc w:val="left"/>
              <w:textAlignment w:val="baseline"/>
              <w:rPr>
                <w:rFonts w:cs="Arial"/>
                <w:sz w:val="18"/>
                <w:szCs w:val="20"/>
              </w:rPr>
            </w:pPr>
            <w:r>
              <w:rPr>
                <w:noProof/>
                <w:sz w:val="18"/>
              </w:rPr>
              <w:t>La presente pagina è stata sostituita.: ....................</w:t>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rPr>
                <w:noProof/>
                <w:sz w:val="18"/>
              </w:rPr>
              <w:t>Nuova formulazione:</w:t>
            </w:r>
            <w:r>
              <w:tab/>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tab/>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tab/>
            </w:r>
          </w:p>
          <w:p w:rsidR="009C13A9" w:rsidRPr="00C903F8" w:rsidRDefault="009C13A9" w:rsidP="009C13A9">
            <w:pPr>
              <w:tabs>
                <w:tab w:val="left" w:leader="dot" w:pos="4536"/>
                <w:tab w:val="center" w:pos="6862"/>
              </w:tabs>
              <w:overflowPunct w:val="0"/>
              <w:adjustRightInd w:val="0"/>
              <w:spacing w:after="80"/>
              <w:ind w:left="57" w:right="57" w:firstLine="0"/>
              <w:textAlignment w:val="baseline"/>
              <w:rPr>
                <w:rFonts w:cs="Arial"/>
                <w:sz w:val="18"/>
                <w:szCs w:val="20"/>
              </w:rPr>
            </w:pPr>
            <w:r>
              <w:rPr>
                <w:sz w:val="18"/>
              </w:rPr>
              <w:t>La presente pagina è stata sostituita.</w:t>
            </w:r>
          </w:p>
          <w:p w:rsidR="009C13A9" w:rsidRPr="00C903F8" w:rsidRDefault="009C13A9" w:rsidP="009C13A9">
            <w:pPr>
              <w:tabs>
                <w:tab w:val="left" w:leader="dot" w:pos="4536"/>
                <w:tab w:val="center" w:pos="6862"/>
              </w:tabs>
              <w:overflowPunct w:val="0"/>
              <w:adjustRightInd w:val="0"/>
              <w:spacing w:after="80"/>
              <w:ind w:left="57" w:right="57" w:firstLine="0"/>
              <w:textAlignment w:val="baseline"/>
              <w:rPr>
                <w:rFonts w:cs="Arial"/>
                <w:sz w:val="18"/>
                <w:szCs w:val="20"/>
              </w:rPr>
            </w:pPr>
            <w:r>
              <w:rPr>
                <w:sz w:val="18"/>
              </w:rPr>
              <w:t xml:space="preserve">Luogo, data </w:t>
            </w:r>
            <w:r>
              <w:tab/>
            </w:r>
            <w:r>
              <w:tab/>
            </w:r>
            <w:r>
              <w:rPr>
                <w:sz w:val="18"/>
              </w:rPr>
              <w:t>Commissione di ispezione</w:t>
            </w:r>
          </w:p>
          <w:p w:rsidR="009C13A9" w:rsidRPr="00C903F8" w:rsidRDefault="009C13A9" w:rsidP="009C13A9">
            <w:pPr>
              <w:tabs>
                <w:tab w:val="left" w:pos="5103"/>
                <w:tab w:val="left" w:leader="dot" w:pos="8505"/>
              </w:tabs>
              <w:overflowPunct w:val="0"/>
              <w:adjustRightInd w:val="0"/>
              <w:ind w:left="0" w:firstLine="0"/>
              <w:textAlignment w:val="baseline"/>
              <w:rPr>
                <w:rFonts w:cs="Arial"/>
                <w:sz w:val="18"/>
                <w:szCs w:val="20"/>
              </w:rPr>
            </w:pPr>
            <w:r>
              <w:tab/>
            </w:r>
            <w:r>
              <w:tab/>
            </w:r>
          </w:p>
          <w:p w:rsidR="009C13A9" w:rsidRPr="00C903F8" w:rsidRDefault="009C13A9" w:rsidP="009C13A9">
            <w:pPr>
              <w:tabs>
                <w:tab w:val="center" w:pos="1701"/>
              </w:tabs>
              <w:overflowPunct w:val="0"/>
              <w:adjustRightInd w:val="0"/>
              <w:spacing w:after="80"/>
              <w:ind w:left="0" w:firstLine="0"/>
              <w:textAlignment w:val="baseline"/>
              <w:rPr>
                <w:rFonts w:cs="Arial"/>
                <w:sz w:val="18"/>
                <w:szCs w:val="20"/>
              </w:rPr>
            </w:pPr>
            <w:r>
              <w:tab/>
            </w:r>
            <w:r>
              <w:rPr>
                <w:sz w:val="18"/>
              </w:rPr>
              <w:t>Timbro</w:t>
            </w:r>
          </w:p>
          <w:p w:rsidR="009C13A9" w:rsidRPr="00C903F8" w:rsidRDefault="009C13A9" w:rsidP="009C13A9">
            <w:pPr>
              <w:tabs>
                <w:tab w:val="left" w:pos="5103"/>
                <w:tab w:val="left" w:leader="dot" w:pos="8505"/>
              </w:tabs>
              <w:overflowPunct w:val="0"/>
              <w:adjustRightInd w:val="0"/>
              <w:ind w:left="0" w:firstLine="0"/>
              <w:textAlignment w:val="baseline"/>
              <w:rPr>
                <w:rFonts w:cs="Arial"/>
                <w:szCs w:val="20"/>
              </w:rPr>
            </w:pPr>
            <w:r>
              <w:tab/>
            </w:r>
            <w:r>
              <w:tab/>
            </w:r>
          </w:p>
          <w:p w:rsidR="009C13A9" w:rsidRPr="00C903F8" w:rsidRDefault="009C13A9" w:rsidP="009C13A9">
            <w:pPr>
              <w:tabs>
                <w:tab w:val="center" w:pos="6862"/>
              </w:tabs>
              <w:overflowPunct w:val="0"/>
              <w:adjustRightInd w:val="0"/>
              <w:ind w:left="0" w:firstLine="0"/>
              <w:textAlignment w:val="baseline"/>
              <w:rPr>
                <w:rFonts w:cs="Arial"/>
                <w:sz w:val="16"/>
                <w:szCs w:val="20"/>
              </w:rPr>
            </w:pPr>
            <w:r>
              <w:tab/>
            </w:r>
            <w:r>
              <w:rPr>
                <w:sz w:val="16"/>
              </w:rPr>
              <w:t>(firma)</w:t>
            </w:r>
          </w:p>
          <w:p w:rsidR="009C13A9" w:rsidRPr="00C903F8" w:rsidRDefault="009C13A9" w:rsidP="009C13A9">
            <w:pPr>
              <w:tabs>
                <w:tab w:val="left" w:pos="113"/>
                <w:tab w:val="left" w:pos="397"/>
                <w:tab w:val="left" w:pos="6237"/>
                <w:tab w:val="left" w:leader="dot" w:pos="9356"/>
              </w:tabs>
              <w:overflowPunct w:val="0"/>
              <w:adjustRightInd w:val="0"/>
              <w:ind w:left="0" w:firstLine="0"/>
              <w:textAlignment w:val="baseline"/>
              <w:rPr>
                <w:rFonts w:cs="Arial"/>
                <w:sz w:val="16"/>
                <w:szCs w:val="20"/>
              </w:rPr>
            </w:pPr>
            <w:r>
              <w:rPr>
                <w:sz w:val="18"/>
              </w:rPr>
              <w:t>_______________________</w:t>
            </w:r>
          </w:p>
          <w:p w:rsidR="009C13A9" w:rsidRPr="00C903F8" w:rsidRDefault="009C13A9" w:rsidP="009C13A9">
            <w:pPr>
              <w:tabs>
                <w:tab w:val="left" w:pos="284"/>
              </w:tabs>
              <w:overflowPunct w:val="0"/>
              <w:adjustRightInd w:val="0"/>
              <w:spacing w:after="40"/>
              <w:ind w:left="57" w:firstLine="0"/>
              <w:jc w:val="left"/>
              <w:textAlignment w:val="baseline"/>
              <w:rPr>
                <w:rFonts w:cs="Arial"/>
                <w:sz w:val="18"/>
                <w:szCs w:val="20"/>
              </w:rPr>
            </w:pPr>
            <w:r>
              <w:rPr>
                <w:position w:val="4"/>
                <w:sz w:val="16"/>
              </w:rPr>
              <w:t>*)</w:t>
            </w:r>
            <w:r>
              <w:tab/>
            </w:r>
            <w:r>
              <w:rPr>
                <w:sz w:val="16"/>
              </w:rPr>
              <w:t>Cancellare le voci non pertinenti.</w:t>
            </w:r>
          </w:p>
        </w:tc>
      </w:tr>
    </w:tbl>
    <w:p w:rsidR="009C13A9" w:rsidRPr="00C903F8" w:rsidRDefault="009C13A9" w:rsidP="009C13A9">
      <w:pPr>
        <w:overflowPunct w:val="0"/>
        <w:adjustRightInd w:val="0"/>
        <w:ind w:left="0" w:firstLine="0"/>
        <w:jc w:val="left"/>
        <w:textAlignment w:val="baseline"/>
        <w:rPr>
          <w:rFonts w:cs="Arial"/>
          <w:szCs w:val="20"/>
        </w:rPr>
      </w:pPr>
    </w:p>
    <w:p w:rsidR="009C13A9" w:rsidRPr="00C903F8" w:rsidRDefault="009C13A9" w:rsidP="00E3172D">
      <w:pPr>
        <w:tabs>
          <w:tab w:val="left" w:leader="dot" w:pos="2835"/>
          <w:tab w:val="left" w:leader="dot" w:pos="5103"/>
        </w:tabs>
        <w:overflowPunct w:val="0"/>
        <w:adjustRightInd w:val="0"/>
        <w:ind w:left="0" w:firstLine="0"/>
        <w:textAlignment w:val="baseline"/>
        <w:rPr>
          <w:rFonts w:cs="Arial"/>
          <w:szCs w:val="20"/>
        </w:rPr>
      </w:pPr>
      <w:r>
        <w:br w:type="page"/>
      </w:r>
      <w:r>
        <w:lastRenderedPageBreak/>
        <w:t xml:space="preserve">certificato per la navigazione interna n. </w:t>
      </w:r>
      <w:r>
        <w:tab/>
        <w:t xml:space="preserve"> della commissione di ispezione </w:t>
      </w:r>
      <w:r>
        <w:tab/>
      </w:r>
    </w:p>
    <w:tbl>
      <w:tblPr>
        <w:tblW w:w="0" w:type="auto"/>
        <w:jc w:val="center"/>
        <w:tblLayout w:type="fixed"/>
        <w:tblCellMar>
          <w:left w:w="0" w:type="dxa"/>
          <w:right w:w="0" w:type="dxa"/>
        </w:tblCellMar>
        <w:tblLook w:val="0000" w:firstRow="0" w:lastRow="0" w:firstColumn="0" w:lastColumn="0" w:noHBand="0" w:noVBand="0"/>
      </w:tblPr>
      <w:tblGrid>
        <w:gridCol w:w="284"/>
        <w:gridCol w:w="8902"/>
      </w:tblGrid>
      <w:tr w:rsidR="009C13A9" w:rsidRPr="00C903F8"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r>
              <w:rPr>
                <w:sz w:val="18"/>
              </w:rPr>
              <w:t>51.</w:t>
            </w:r>
          </w:p>
        </w:tc>
        <w:tc>
          <w:tcPr>
            <w:tcW w:w="8902" w:type="dxa"/>
            <w:tcBorders>
              <w:top w:val="single" w:sz="6" w:space="0" w:color="auto"/>
              <w:bottom w:val="single" w:sz="6" w:space="0" w:color="auto"/>
              <w:right w:val="single" w:sz="6" w:space="0" w:color="auto"/>
            </w:tcBorders>
          </w:tcPr>
          <w:p w:rsidR="009C13A9" w:rsidRPr="00C903F8" w:rsidRDefault="009C13A9" w:rsidP="009C13A9">
            <w:pPr>
              <w:tabs>
                <w:tab w:val="left" w:leader="dot" w:pos="8505"/>
              </w:tabs>
              <w:overflowPunct w:val="0"/>
              <w:adjustRightInd w:val="0"/>
              <w:spacing w:before="120"/>
              <w:ind w:left="114" w:hanging="57"/>
              <w:jc w:val="left"/>
              <w:textAlignment w:val="baseline"/>
              <w:rPr>
                <w:rFonts w:cs="Arial"/>
                <w:b/>
                <w:position w:val="6"/>
                <w:sz w:val="16"/>
                <w:szCs w:val="20"/>
              </w:rPr>
            </w:pPr>
            <w:r>
              <w:rPr>
                <w:b/>
                <w:noProof/>
                <w:sz w:val="18"/>
              </w:rPr>
              <w:t>Proroga dell’attestato concernente gli impianti a gas liquefatto</w:t>
            </w:r>
          </w:p>
          <w:p w:rsidR="009C13A9" w:rsidRPr="00C903F8" w:rsidRDefault="009C13A9" w:rsidP="009C13A9">
            <w:pPr>
              <w:tabs>
                <w:tab w:val="left" w:leader="dot" w:pos="4453"/>
                <w:tab w:val="left" w:leader="dot" w:pos="8505"/>
              </w:tabs>
              <w:overflowPunct w:val="0"/>
              <w:adjustRightInd w:val="0"/>
              <w:spacing w:after="120"/>
              <w:ind w:left="114" w:hanging="57"/>
              <w:jc w:val="left"/>
              <w:textAlignment w:val="baseline"/>
              <w:rPr>
                <w:rFonts w:cs="Arial"/>
                <w:noProof/>
                <w:sz w:val="18"/>
                <w:szCs w:val="20"/>
              </w:rPr>
            </w:pPr>
            <w:r>
              <w:rPr>
                <w:noProof/>
                <w:sz w:val="18"/>
              </w:rPr>
              <w:t>La validità dell’attestato concernente l’impianto/gli impianti a gas liquefatto</w:t>
            </w:r>
          </w:p>
          <w:p w:rsidR="009C13A9" w:rsidRPr="00C903F8" w:rsidRDefault="009C13A9" w:rsidP="009C13A9">
            <w:pPr>
              <w:tabs>
                <w:tab w:val="left" w:leader="dot" w:pos="4453"/>
                <w:tab w:val="left" w:leader="dot" w:pos="8505"/>
              </w:tabs>
              <w:overflowPunct w:val="0"/>
              <w:adjustRightInd w:val="0"/>
              <w:spacing w:after="120"/>
              <w:ind w:left="114" w:hanging="57"/>
              <w:jc w:val="left"/>
              <w:textAlignment w:val="baseline"/>
              <w:rPr>
                <w:rFonts w:cs="Arial"/>
                <w:sz w:val="18"/>
                <w:szCs w:val="20"/>
              </w:rPr>
            </w:pPr>
            <w:r>
              <w:rPr>
                <w:noProof/>
                <w:sz w:val="18"/>
              </w:rPr>
              <w:t>datato</w:t>
            </w:r>
            <w:r>
              <w:tab/>
            </w:r>
            <w:r>
              <w:rPr>
                <w:sz w:val="18"/>
              </w:rPr>
              <w:t xml:space="preserve"> valido fino al</w:t>
            </w:r>
            <w:r>
              <w:tab/>
            </w:r>
            <w:r>
              <w:rPr>
                <w:sz w:val="18"/>
              </w:rPr>
              <w:t xml:space="preserve"> </w:t>
            </w:r>
          </w:p>
          <w:p w:rsidR="009C13A9" w:rsidRPr="00C903F8" w:rsidRDefault="009C13A9" w:rsidP="009C13A9">
            <w:pPr>
              <w:tabs>
                <w:tab w:val="left" w:pos="227"/>
                <w:tab w:val="left" w:leader="dot" w:pos="8505"/>
              </w:tabs>
              <w:overflowPunct w:val="0"/>
              <w:adjustRightInd w:val="0"/>
              <w:spacing w:after="120"/>
              <w:ind w:left="114" w:hanging="57"/>
              <w:jc w:val="left"/>
              <w:textAlignment w:val="baseline"/>
              <w:rPr>
                <w:rFonts w:cs="Arial"/>
                <w:sz w:val="18"/>
                <w:szCs w:val="20"/>
              </w:rPr>
            </w:pPr>
            <w:r>
              <w:rPr>
                <w:noProof/>
                <w:sz w:val="18"/>
              </w:rPr>
              <w:t>è estesa</w:t>
            </w:r>
          </w:p>
          <w:p w:rsidR="009C13A9" w:rsidRPr="00C903F8" w:rsidRDefault="009C13A9" w:rsidP="009C13A9">
            <w:pPr>
              <w:tabs>
                <w:tab w:val="left" w:pos="227"/>
                <w:tab w:val="left" w:leader="dot" w:pos="8505"/>
              </w:tabs>
              <w:overflowPunct w:val="0"/>
              <w:adjustRightInd w:val="0"/>
              <w:spacing w:after="100"/>
              <w:ind w:left="114" w:hanging="57"/>
              <w:jc w:val="left"/>
              <w:textAlignment w:val="baseline"/>
              <w:rPr>
                <w:rFonts w:cs="Arial"/>
                <w:sz w:val="18"/>
                <w:szCs w:val="20"/>
              </w:rPr>
            </w:pPr>
            <w:r>
              <w:rPr>
                <w:sz w:val="18"/>
              </w:rPr>
              <w:t>-</w:t>
            </w:r>
            <w:r>
              <w:tab/>
            </w:r>
            <w:r>
              <w:rPr>
                <w:noProof/>
                <w:sz w:val="18"/>
              </w:rPr>
              <w:t>in seguito a ispezione periodica da parte dell'esperto</w:t>
            </w:r>
            <w:r>
              <w:tab/>
            </w:r>
          </w:p>
          <w:p w:rsidR="009C13A9" w:rsidRPr="00C903F8" w:rsidRDefault="009C13A9" w:rsidP="009C13A9">
            <w:pPr>
              <w:tabs>
                <w:tab w:val="left" w:pos="227"/>
                <w:tab w:val="left" w:leader="dot" w:pos="4734"/>
                <w:tab w:val="left" w:pos="4876"/>
                <w:tab w:val="left" w:leader="dot" w:pos="6861"/>
              </w:tabs>
              <w:overflowPunct w:val="0"/>
              <w:adjustRightInd w:val="0"/>
              <w:spacing w:after="120"/>
              <w:ind w:left="114" w:hanging="57"/>
              <w:jc w:val="left"/>
              <w:textAlignment w:val="baseline"/>
              <w:rPr>
                <w:rFonts w:cs="Arial"/>
                <w:sz w:val="18"/>
                <w:szCs w:val="20"/>
              </w:rPr>
            </w:pPr>
            <w:r>
              <w:rPr>
                <w:sz w:val="18"/>
              </w:rPr>
              <w:t>-</w:t>
            </w:r>
            <w:r>
              <w:tab/>
            </w:r>
            <w:r>
              <w:rPr>
                <w:noProof/>
                <w:sz w:val="18"/>
              </w:rPr>
              <w:t>visto l'attestato di ispezione del</w:t>
            </w:r>
            <w:r>
              <w:tab/>
            </w:r>
            <w:r>
              <w:rPr>
                <w:sz w:val="18"/>
              </w:rPr>
              <w:t xml:space="preserve"> </w:t>
            </w:r>
            <w:r>
              <w:tab/>
            </w:r>
          </w:p>
          <w:p w:rsidR="009C13A9" w:rsidRPr="00C903F8" w:rsidRDefault="009C13A9" w:rsidP="009C13A9">
            <w:pPr>
              <w:tabs>
                <w:tab w:val="left" w:pos="57"/>
                <w:tab w:val="left" w:pos="227"/>
                <w:tab w:val="left" w:leader="dot" w:pos="5103"/>
                <w:tab w:val="left" w:leader="dot" w:pos="8505"/>
              </w:tabs>
              <w:overflowPunct w:val="0"/>
              <w:adjustRightInd w:val="0"/>
              <w:spacing w:after="120"/>
              <w:ind w:left="114" w:hanging="57"/>
              <w:jc w:val="left"/>
              <w:textAlignment w:val="baseline"/>
              <w:rPr>
                <w:rFonts w:cs="Arial"/>
                <w:sz w:val="18"/>
                <w:szCs w:val="20"/>
              </w:rPr>
            </w:pPr>
            <w:r>
              <w:rPr>
                <w:noProof/>
                <w:sz w:val="18"/>
              </w:rPr>
              <w:t xml:space="preserve">fino al </w:t>
            </w:r>
            <w:r>
              <w:tab/>
            </w:r>
          </w:p>
          <w:p w:rsidR="009C13A9" w:rsidRPr="00C903F8" w:rsidRDefault="009C13A9" w:rsidP="009C13A9">
            <w:pPr>
              <w:tabs>
                <w:tab w:val="left" w:pos="57"/>
                <w:tab w:val="left" w:leader="dot" w:pos="8505"/>
              </w:tabs>
              <w:overflowPunct w:val="0"/>
              <w:adjustRightInd w:val="0"/>
              <w:ind w:left="57" w:hanging="57"/>
              <w:jc w:val="left"/>
              <w:textAlignment w:val="baseline"/>
              <w:rPr>
                <w:rFonts w:cs="Arial"/>
                <w:sz w:val="18"/>
                <w:szCs w:val="20"/>
              </w:rPr>
            </w:pPr>
          </w:p>
          <w:p w:rsidR="009C13A9" w:rsidRPr="00C903F8" w:rsidRDefault="009C13A9" w:rsidP="009C13A9">
            <w:pPr>
              <w:tabs>
                <w:tab w:val="left" w:leader="dot" w:pos="3969"/>
                <w:tab w:val="left" w:leader="dot" w:pos="6237"/>
                <w:tab w:val="left" w:leader="dot" w:pos="8505"/>
              </w:tabs>
              <w:overflowPunct w:val="0"/>
              <w:adjustRightInd w:val="0"/>
              <w:spacing w:before="40"/>
              <w:ind w:left="114" w:hanging="57"/>
              <w:jc w:val="left"/>
              <w:textAlignment w:val="baseline"/>
              <w:rPr>
                <w:rFonts w:cs="Arial"/>
                <w:sz w:val="18"/>
                <w:szCs w:val="20"/>
              </w:rPr>
            </w:pPr>
            <w:r>
              <w:tab/>
            </w:r>
            <w:r>
              <w:tab/>
            </w:r>
            <w:r>
              <w:rPr>
                <w:noProof/>
                <w:sz w:val="18"/>
              </w:rPr>
              <w:t xml:space="preserve">, </w:t>
            </w:r>
            <w:r>
              <w:tab/>
            </w:r>
          </w:p>
          <w:p w:rsidR="009C13A9" w:rsidRPr="00C903F8" w:rsidRDefault="009C13A9" w:rsidP="009C13A9">
            <w:pPr>
              <w:tabs>
                <w:tab w:val="center" w:pos="2041"/>
                <w:tab w:val="center" w:pos="5216"/>
              </w:tabs>
              <w:overflowPunct w:val="0"/>
              <w:adjustRightInd w:val="0"/>
              <w:ind w:left="0" w:firstLine="0"/>
              <w:jc w:val="left"/>
              <w:textAlignment w:val="baseline"/>
              <w:rPr>
                <w:rFonts w:cs="Arial"/>
                <w:sz w:val="18"/>
                <w:szCs w:val="20"/>
              </w:rPr>
            </w:pPr>
            <w:r>
              <w:tab/>
            </w:r>
            <w:r>
              <w:rPr>
                <w:noProof/>
                <w:sz w:val="16"/>
              </w:rPr>
              <w:t>(luogo)</w:t>
            </w:r>
            <w:r>
              <w:tab/>
            </w:r>
            <w:r>
              <w:rPr>
                <w:noProof/>
                <w:sz w:val="16"/>
              </w:rPr>
              <w:t>(data)</w:t>
            </w:r>
          </w:p>
          <w:p w:rsidR="009C13A9" w:rsidRPr="00C903F8" w:rsidRDefault="009C13A9" w:rsidP="009C13A9">
            <w:pPr>
              <w:tabs>
                <w:tab w:val="left" w:pos="4820"/>
                <w:tab w:val="left" w:leader="dot" w:pos="8505"/>
              </w:tabs>
              <w:overflowPunct w:val="0"/>
              <w:adjustRightInd w:val="0"/>
              <w:spacing w:before="120"/>
              <w:ind w:left="0" w:firstLine="0"/>
              <w:jc w:val="left"/>
              <w:textAlignment w:val="baseline"/>
              <w:rPr>
                <w:rFonts w:cs="Arial"/>
                <w:sz w:val="18"/>
                <w:szCs w:val="20"/>
              </w:rPr>
            </w:pPr>
            <w:r>
              <w:tab/>
            </w:r>
            <w:r>
              <w:tab/>
            </w:r>
          </w:p>
          <w:p w:rsidR="009C13A9" w:rsidRPr="00C903F8" w:rsidRDefault="009C13A9" w:rsidP="009C13A9">
            <w:pPr>
              <w:tabs>
                <w:tab w:val="center" w:pos="6719"/>
              </w:tabs>
              <w:overflowPunct w:val="0"/>
              <w:adjustRightInd w:val="0"/>
              <w:ind w:left="0" w:firstLine="0"/>
              <w:jc w:val="left"/>
              <w:textAlignment w:val="baseline"/>
              <w:rPr>
                <w:rFonts w:cs="Arial"/>
                <w:sz w:val="18"/>
                <w:szCs w:val="20"/>
              </w:rPr>
            </w:pPr>
            <w:r>
              <w:tab/>
            </w:r>
            <w:r>
              <w:rPr>
                <w:noProof/>
                <w:sz w:val="16"/>
              </w:rPr>
              <w:t>Commissione di ispezione</w:t>
            </w:r>
          </w:p>
          <w:p w:rsidR="009C13A9" w:rsidRPr="00C903F8" w:rsidRDefault="009C13A9" w:rsidP="009C13A9">
            <w:pPr>
              <w:tabs>
                <w:tab w:val="center" w:pos="1985"/>
              </w:tabs>
              <w:overflowPunct w:val="0"/>
              <w:adjustRightInd w:val="0"/>
              <w:spacing w:before="120"/>
              <w:ind w:left="0" w:firstLine="0"/>
              <w:jc w:val="left"/>
              <w:textAlignment w:val="baseline"/>
              <w:rPr>
                <w:rFonts w:cs="Arial"/>
                <w:sz w:val="18"/>
                <w:szCs w:val="20"/>
              </w:rPr>
            </w:pPr>
            <w:r>
              <w:tab/>
            </w:r>
            <w:r>
              <w:rPr>
                <w:noProof/>
                <w:sz w:val="16"/>
              </w:rPr>
              <w:t>Timbro</w:t>
            </w:r>
          </w:p>
          <w:p w:rsidR="009C13A9" w:rsidRPr="00C903F8" w:rsidRDefault="009C13A9" w:rsidP="009C13A9">
            <w:pPr>
              <w:tabs>
                <w:tab w:val="left" w:pos="4820"/>
                <w:tab w:val="left" w:leader="dot" w:pos="8505"/>
              </w:tabs>
              <w:overflowPunct w:val="0"/>
              <w:adjustRightInd w:val="0"/>
              <w:spacing w:before="120"/>
              <w:ind w:left="0" w:firstLine="0"/>
              <w:jc w:val="left"/>
              <w:textAlignment w:val="baseline"/>
              <w:rPr>
                <w:rFonts w:cs="Arial"/>
                <w:sz w:val="18"/>
                <w:szCs w:val="20"/>
              </w:rPr>
            </w:pPr>
            <w:r>
              <w:tab/>
            </w:r>
            <w:r>
              <w:tab/>
            </w:r>
          </w:p>
          <w:p w:rsidR="009C13A9" w:rsidRPr="00C903F8" w:rsidRDefault="009C13A9" w:rsidP="009C13A9">
            <w:pPr>
              <w:tabs>
                <w:tab w:val="center" w:pos="6719"/>
              </w:tabs>
              <w:overflowPunct w:val="0"/>
              <w:adjustRightInd w:val="0"/>
              <w:ind w:left="0" w:firstLine="0"/>
              <w:jc w:val="left"/>
              <w:textAlignment w:val="baseline"/>
              <w:rPr>
                <w:rFonts w:cs="Arial"/>
                <w:sz w:val="18"/>
                <w:szCs w:val="20"/>
              </w:rPr>
            </w:pPr>
            <w:r>
              <w:tab/>
            </w:r>
            <w:r>
              <w:rPr>
                <w:noProof/>
                <w:sz w:val="16"/>
              </w:rPr>
              <w:t>(firma)</w:t>
            </w:r>
          </w:p>
          <w:p w:rsidR="009C13A9" w:rsidRPr="00C903F8" w:rsidRDefault="009C13A9" w:rsidP="009C13A9">
            <w:pPr>
              <w:tabs>
                <w:tab w:val="left" w:pos="57"/>
                <w:tab w:val="left" w:pos="5670"/>
                <w:tab w:val="left" w:leader="dot" w:pos="8505"/>
              </w:tabs>
              <w:overflowPunct w:val="0"/>
              <w:adjustRightInd w:val="0"/>
              <w:ind w:left="57" w:hanging="57"/>
              <w:jc w:val="left"/>
              <w:textAlignment w:val="baseline"/>
              <w:rPr>
                <w:rFonts w:cs="Arial"/>
                <w:sz w:val="18"/>
                <w:szCs w:val="20"/>
              </w:rPr>
            </w:pPr>
          </w:p>
        </w:tc>
      </w:tr>
      <w:tr w:rsidR="009C13A9" w:rsidRPr="00C903F8"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r>
              <w:rPr>
                <w:sz w:val="18"/>
              </w:rPr>
              <w:t>51.</w:t>
            </w:r>
          </w:p>
        </w:tc>
        <w:tc>
          <w:tcPr>
            <w:tcW w:w="8902" w:type="dxa"/>
            <w:tcBorders>
              <w:top w:val="single" w:sz="6" w:space="0" w:color="auto"/>
              <w:bottom w:val="single" w:sz="6" w:space="0" w:color="auto"/>
              <w:right w:val="single" w:sz="6" w:space="0" w:color="auto"/>
            </w:tcBorders>
          </w:tcPr>
          <w:p w:rsidR="009C13A9" w:rsidRPr="00C903F8" w:rsidRDefault="009C13A9" w:rsidP="009C13A9">
            <w:pPr>
              <w:tabs>
                <w:tab w:val="left" w:leader="dot" w:pos="8505"/>
              </w:tabs>
              <w:overflowPunct w:val="0"/>
              <w:adjustRightInd w:val="0"/>
              <w:spacing w:before="120"/>
              <w:ind w:left="114" w:hanging="57"/>
              <w:jc w:val="left"/>
              <w:textAlignment w:val="baseline"/>
              <w:rPr>
                <w:rFonts w:cs="Arial"/>
                <w:b/>
                <w:position w:val="6"/>
                <w:sz w:val="16"/>
                <w:szCs w:val="20"/>
              </w:rPr>
            </w:pPr>
            <w:r>
              <w:rPr>
                <w:b/>
                <w:noProof/>
                <w:sz w:val="18"/>
              </w:rPr>
              <w:t>Proroga dell’attestato concernente gli impianti a gas liquefatto</w:t>
            </w:r>
          </w:p>
          <w:p w:rsidR="009C13A9" w:rsidRPr="00C903F8" w:rsidRDefault="009C13A9" w:rsidP="009C13A9">
            <w:pPr>
              <w:tabs>
                <w:tab w:val="left" w:leader="dot" w:pos="4453"/>
                <w:tab w:val="left" w:leader="dot" w:pos="8505"/>
              </w:tabs>
              <w:overflowPunct w:val="0"/>
              <w:adjustRightInd w:val="0"/>
              <w:spacing w:after="120"/>
              <w:ind w:left="114" w:hanging="57"/>
              <w:jc w:val="left"/>
              <w:textAlignment w:val="baseline"/>
              <w:rPr>
                <w:rFonts w:cs="Arial"/>
                <w:noProof/>
                <w:sz w:val="18"/>
                <w:szCs w:val="20"/>
              </w:rPr>
            </w:pPr>
            <w:r>
              <w:rPr>
                <w:noProof/>
                <w:sz w:val="18"/>
              </w:rPr>
              <w:t>La validità dell’attestato concernente l’impianto/gli impianti a gas liquefatto</w:t>
            </w:r>
          </w:p>
          <w:p w:rsidR="009C13A9" w:rsidRPr="00C903F8" w:rsidRDefault="009C13A9" w:rsidP="009C13A9">
            <w:pPr>
              <w:tabs>
                <w:tab w:val="left" w:leader="dot" w:pos="4453"/>
                <w:tab w:val="left" w:leader="dot" w:pos="8505"/>
              </w:tabs>
              <w:overflowPunct w:val="0"/>
              <w:adjustRightInd w:val="0"/>
              <w:spacing w:after="120"/>
              <w:ind w:left="114" w:hanging="57"/>
              <w:jc w:val="left"/>
              <w:textAlignment w:val="baseline"/>
              <w:rPr>
                <w:rFonts w:cs="Arial"/>
                <w:sz w:val="18"/>
                <w:szCs w:val="20"/>
              </w:rPr>
            </w:pPr>
            <w:r>
              <w:rPr>
                <w:noProof/>
                <w:sz w:val="18"/>
              </w:rPr>
              <w:t>datato</w:t>
            </w:r>
            <w:r>
              <w:tab/>
            </w:r>
            <w:r>
              <w:rPr>
                <w:sz w:val="18"/>
              </w:rPr>
              <w:t xml:space="preserve"> valido fino al</w:t>
            </w:r>
            <w:r>
              <w:tab/>
            </w:r>
            <w:r>
              <w:rPr>
                <w:sz w:val="18"/>
              </w:rPr>
              <w:t xml:space="preserve"> </w:t>
            </w:r>
          </w:p>
          <w:p w:rsidR="009C13A9" w:rsidRPr="00C903F8" w:rsidRDefault="009C13A9" w:rsidP="009C13A9">
            <w:pPr>
              <w:tabs>
                <w:tab w:val="left" w:pos="227"/>
                <w:tab w:val="left" w:leader="dot" w:pos="8505"/>
              </w:tabs>
              <w:overflowPunct w:val="0"/>
              <w:adjustRightInd w:val="0"/>
              <w:spacing w:after="120"/>
              <w:ind w:left="114" w:hanging="57"/>
              <w:jc w:val="left"/>
              <w:textAlignment w:val="baseline"/>
              <w:rPr>
                <w:rFonts w:cs="Arial"/>
                <w:sz w:val="18"/>
                <w:szCs w:val="20"/>
              </w:rPr>
            </w:pPr>
            <w:r>
              <w:rPr>
                <w:noProof/>
                <w:sz w:val="18"/>
              </w:rPr>
              <w:t>è estesa</w:t>
            </w:r>
          </w:p>
          <w:p w:rsidR="009C13A9" w:rsidRPr="00C903F8" w:rsidRDefault="009C13A9" w:rsidP="009C13A9">
            <w:pPr>
              <w:tabs>
                <w:tab w:val="left" w:pos="227"/>
                <w:tab w:val="left" w:leader="dot" w:pos="8505"/>
              </w:tabs>
              <w:overflowPunct w:val="0"/>
              <w:adjustRightInd w:val="0"/>
              <w:spacing w:after="100"/>
              <w:ind w:left="114" w:hanging="57"/>
              <w:jc w:val="left"/>
              <w:textAlignment w:val="baseline"/>
              <w:rPr>
                <w:rFonts w:cs="Arial"/>
                <w:sz w:val="18"/>
                <w:szCs w:val="20"/>
              </w:rPr>
            </w:pPr>
            <w:r>
              <w:rPr>
                <w:sz w:val="18"/>
              </w:rPr>
              <w:t>-</w:t>
            </w:r>
            <w:r>
              <w:tab/>
            </w:r>
            <w:r>
              <w:rPr>
                <w:noProof/>
                <w:sz w:val="18"/>
              </w:rPr>
              <w:t>in seguito a ispezione periodica da parte dell'esperto</w:t>
            </w:r>
            <w:r>
              <w:tab/>
            </w:r>
          </w:p>
          <w:p w:rsidR="009C13A9" w:rsidRPr="00C903F8" w:rsidRDefault="009C13A9" w:rsidP="009C13A9">
            <w:pPr>
              <w:tabs>
                <w:tab w:val="left" w:pos="227"/>
                <w:tab w:val="left" w:leader="dot" w:pos="4734"/>
                <w:tab w:val="left" w:pos="4876"/>
                <w:tab w:val="left" w:leader="dot" w:pos="6861"/>
              </w:tabs>
              <w:overflowPunct w:val="0"/>
              <w:adjustRightInd w:val="0"/>
              <w:spacing w:after="120"/>
              <w:ind w:left="114" w:hanging="57"/>
              <w:jc w:val="left"/>
              <w:textAlignment w:val="baseline"/>
              <w:rPr>
                <w:rFonts w:cs="Arial"/>
                <w:sz w:val="18"/>
                <w:szCs w:val="20"/>
              </w:rPr>
            </w:pPr>
            <w:r>
              <w:rPr>
                <w:sz w:val="18"/>
              </w:rPr>
              <w:t>-</w:t>
            </w:r>
            <w:r>
              <w:tab/>
            </w:r>
            <w:r>
              <w:rPr>
                <w:noProof/>
                <w:sz w:val="18"/>
              </w:rPr>
              <w:t>visto l'attestato di ispezione del</w:t>
            </w:r>
            <w:r>
              <w:tab/>
            </w:r>
            <w:r>
              <w:rPr>
                <w:sz w:val="18"/>
              </w:rPr>
              <w:t xml:space="preserve"> </w:t>
            </w:r>
            <w:r>
              <w:tab/>
            </w:r>
          </w:p>
          <w:p w:rsidR="009C13A9" w:rsidRPr="00C903F8" w:rsidRDefault="009C13A9" w:rsidP="009C13A9">
            <w:pPr>
              <w:tabs>
                <w:tab w:val="left" w:pos="57"/>
                <w:tab w:val="left" w:pos="227"/>
                <w:tab w:val="left" w:leader="dot" w:pos="5103"/>
                <w:tab w:val="left" w:leader="dot" w:pos="8505"/>
              </w:tabs>
              <w:overflowPunct w:val="0"/>
              <w:adjustRightInd w:val="0"/>
              <w:spacing w:after="120"/>
              <w:ind w:left="114" w:hanging="57"/>
              <w:jc w:val="left"/>
              <w:textAlignment w:val="baseline"/>
              <w:rPr>
                <w:rFonts w:cs="Arial"/>
                <w:sz w:val="18"/>
                <w:szCs w:val="20"/>
              </w:rPr>
            </w:pPr>
            <w:r>
              <w:rPr>
                <w:noProof/>
                <w:sz w:val="18"/>
              </w:rPr>
              <w:t xml:space="preserve">fino al </w:t>
            </w:r>
            <w:r>
              <w:tab/>
            </w:r>
          </w:p>
          <w:p w:rsidR="009C13A9" w:rsidRPr="00C903F8" w:rsidRDefault="009C13A9" w:rsidP="009C13A9">
            <w:pPr>
              <w:tabs>
                <w:tab w:val="left" w:pos="57"/>
                <w:tab w:val="left" w:leader="dot" w:pos="8505"/>
              </w:tabs>
              <w:overflowPunct w:val="0"/>
              <w:adjustRightInd w:val="0"/>
              <w:ind w:left="57" w:hanging="57"/>
              <w:jc w:val="left"/>
              <w:textAlignment w:val="baseline"/>
              <w:rPr>
                <w:rFonts w:cs="Arial"/>
                <w:sz w:val="18"/>
                <w:szCs w:val="20"/>
              </w:rPr>
            </w:pPr>
          </w:p>
          <w:p w:rsidR="009C13A9" w:rsidRPr="00C903F8" w:rsidRDefault="009C13A9" w:rsidP="009C13A9">
            <w:pPr>
              <w:tabs>
                <w:tab w:val="left" w:leader="dot" w:pos="3969"/>
                <w:tab w:val="left" w:leader="dot" w:pos="6237"/>
                <w:tab w:val="left" w:leader="dot" w:pos="8505"/>
              </w:tabs>
              <w:overflowPunct w:val="0"/>
              <w:adjustRightInd w:val="0"/>
              <w:spacing w:before="40"/>
              <w:ind w:left="114" w:hanging="57"/>
              <w:jc w:val="left"/>
              <w:textAlignment w:val="baseline"/>
              <w:rPr>
                <w:rFonts w:cs="Arial"/>
                <w:sz w:val="18"/>
                <w:szCs w:val="20"/>
              </w:rPr>
            </w:pPr>
            <w:r>
              <w:tab/>
            </w:r>
            <w:r>
              <w:tab/>
            </w:r>
            <w:r>
              <w:rPr>
                <w:noProof/>
                <w:sz w:val="18"/>
              </w:rPr>
              <w:t xml:space="preserve">, </w:t>
            </w:r>
            <w:r>
              <w:tab/>
            </w:r>
          </w:p>
          <w:p w:rsidR="009C13A9" w:rsidRPr="00C903F8" w:rsidRDefault="009C13A9" w:rsidP="009C13A9">
            <w:pPr>
              <w:tabs>
                <w:tab w:val="center" w:pos="2041"/>
                <w:tab w:val="center" w:pos="5216"/>
              </w:tabs>
              <w:overflowPunct w:val="0"/>
              <w:adjustRightInd w:val="0"/>
              <w:ind w:left="0" w:firstLine="0"/>
              <w:jc w:val="left"/>
              <w:textAlignment w:val="baseline"/>
              <w:rPr>
                <w:rFonts w:cs="Arial"/>
                <w:sz w:val="18"/>
                <w:szCs w:val="20"/>
              </w:rPr>
            </w:pPr>
            <w:r>
              <w:tab/>
            </w:r>
            <w:r>
              <w:rPr>
                <w:noProof/>
                <w:sz w:val="16"/>
              </w:rPr>
              <w:t>(luogo)</w:t>
            </w:r>
            <w:r>
              <w:tab/>
            </w:r>
            <w:r>
              <w:rPr>
                <w:noProof/>
                <w:sz w:val="16"/>
              </w:rPr>
              <w:t>(data)</w:t>
            </w:r>
          </w:p>
          <w:p w:rsidR="009C13A9" w:rsidRPr="00C903F8" w:rsidRDefault="009C13A9" w:rsidP="009C13A9">
            <w:pPr>
              <w:tabs>
                <w:tab w:val="left" w:pos="4820"/>
                <w:tab w:val="left" w:leader="dot" w:pos="8505"/>
              </w:tabs>
              <w:overflowPunct w:val="0"/>
              <w:adjustRightInd w:val="0"/>
              <w:spacing w:before="120"/>
              <w:ind w:left="0" w:firstLine="0"/>
              <w:jc w:val="left"/>
              <w:textAlignment w:val="baseline"/>
              <w:rPr>
                <w:rFonts w:cs="Arial"/>
                <w:sz w:val="18"/>
                <w:szCs w:val="20"/>
              </w:rPr>
            </w:pPr>
            <w:r>
              <w:tab/>
            </w:r>
            <w:r>
              <w:tab/>
            </w:r>
          </w:p>
          <w:p w:rsidR="009C13A9" w:rsidRPr="00C903F8" w:rsidRDefault="009C13A9" w:rsidP="009C13A9">
            <w:pPr>
              <w:tabs>
                <w:tab w:val="center" w:pos="6719"/>
              </w:tabs>
              <w:overflowPunct w:val="0"/>
              <w:adjustRightInd w:val="0"/>
              <w:ind w:left="0" w:firstLine="0"/>
              <w:jc w:val="left"/>
              <w:textAlignment w:val="baseline"/>
              <w:rPr>
                <w:rFonts w:cs="Arial"/>
                <w:sz w:val="18"/>
                <w:szCs w:val="20"/>
              </w:rPr>
            </w:pPr>
            <w:r>
              <w:tab/>
            </w:r>
            <w:r>
              <w:rPr>
                <w:noProof/>
                <w:sz w:val="16"/>
              </w:rPr>
              <w:t>Commissione di ispezione</w:t>
            </w:r>
          </w:p>
          <w:p w:rsidR="009C13A9" w:rsidRPr="00C903F8" w:rsidRDefault="009C13A9" w:rsidP="009C13A9">
            <w:pPr>
              <w:tabs>
                <w:tab w:val="center" w:pos="1985"/>
              </w:tabs>
              <w:overflowPunct w:val="0"/>
              <w:adjustRightInd w:val="0"/>
              <w:spacing w:before="120"/>
              <w:ind w:left="0" w:firstLine="0"/>
              <w:jc w:val="left"/>
              <w:textAlignment w:val="baseline"/>
              <w:rPr>
                <w:rFonts w:cs="Arial"/>
                <w:sz w:val="18"/>
                <w:szCs w:val="20"/>
              </w:rPr>
            </w:pPr>
            <w:r>
              <w:tab/>
            </w:r>
            <w:r>
              <w:rPr>
                <w:noProof/>
                <w:sz w:val="16"/>
              </w:rPr>
              <w:t>Timbro</w:t>
            </w:r>
          </w:p>
          <w:p w:rsidR="009C13A9" w:rsidRPr="00C903F8" w:rsidRDefault="009C13A9" w:rsidP="009C13A9">
            <w:pPr>
              <w:tabs>
                <w:tab w:val="left" w:pos="4820"/>
                <w:tab w:val="left" w:leader="dot" w:pos="8505"/>
              </w:tabs>
              <w:overflowPunct w:val="0"/>
              <w:adjustRightInd w:val="0"/>
              <w:spacing w:before="120"/>
              <w:ind w:left="0" w:firstLine="0"/>
              <w:jc w:val="left"/>
              <w:textAlignment w:val="baseline"/>
              <w:rPr>
                <w:rFonts w:cs="Arial"/>
                <w:sz w:val="18"/>
                <w:szCs w:val="20"/>
              </w:rPr>
            </w:pPr>
            <w:r>
              <w:tab/>
            </w:r>
            <w:r>
              <w:tab/>
            </w:r>
          </w:p>
          <w:p w:rsidR="009C13A9" w:rsidRPr="00C903F8" w:rsidRDefault="009C13A9" w:rsidP="009C13A9">
            <w:pPr>
              <w:tabs>
                <w:tab w:val="center" w:pos="6719"/>
              </w:tabs>
              <w:overflowPunct w:val="0"/>
              <w:adjustRightInd w:val="0"/>
              <w:ind w:left="0" w:firstLine="0"/>
              <w:jc w:val="left"/>
              <w:textAlignment w:val="baseline"/>
              <w:rPr>
                <w:rFonts w:cs="Arial"/>
                <w:sz w:val="18"/>
                <w:szCs w:val="20"/>
              </w:rPr>
            </w:pPr>
            <w:r>
              <w:tab/>
            </w:r>
            <w:r>
              <w:rPr>
                <w:noProof/>
                <w:sz w:val="16"/>
              </w:rPr>
              <w:t>(firma)</w:t>
            </w:r>
          </w:p>
          <w:p w:rsidR="009C13A9" w:rsidRPr="00C903F8" w:rsidRDefault="009C13A9" w:rsidP="009C13A9">
            <w:pPr>
              <w:tabs>
                <w:tab w:val="center" w:pos="6719"/>
              </w:tabs>
              <w:overflowPunct w:val="0"/>
              <w:adjustRightInd w:val="0"/>
              <w:ind w:left="0" w:firstLine="0"/>
              <w:jc w:val="left"/>
              <w:textAlignment w:val="baseline"/>
              <w:rPr>
                <w:rFonts w:cs="Arial"/>
                <w:sz w:val="18"/>
                <w:szCs w:val="20"/>
              </w:rPr>
            </w:pPr>
          </w:p>
          <w:p w:rsidR="009C13A9" w:rsidRPr="00C903F8" w:rsidRDefault="009C13A9" w:rsidP="009C13A9">
            <w:pPr>
              <w:tabs>
                <w:tab w:val="left" w:pos="57"/>
                <w:tab w:val="left" w:pos="5670"/>
                <w:tab w:val="left" w:leader="dot" w:pos="8505"/>
              </w:tabs>
              <w:overflowPunct w:val="0"/>
              <w:adjustRightInd w:val="0"/>
              <w:ind w:left="57" w:hanging="57"/>
              <w:jc w:val="left"/>
              <w:textAlignment w:val="baseline"/>
              <w:rPr>
                <w:rFonts w:cs="Arial"/>
                <w:sz w:val="18"/>
                <w:szCs w:val="20"/>
              </w:rPr>
            </w:pPr>
          </w:p>
        </w:tc>
      </w:tr>
      <w:tr w:rsidR="009C13A9" w:rsidRPr="00C903F8"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r>
              <w:rPr>
                <w:sz w:val="18"/>
              </w:rPr>
              <w:t>51.</w:t>
            </w:r>
          </w:p>
        </w:tc>
        <w:tc>
          <w:tcPr>
            <w:tcW w:w="8902" w:type="dxa"/>
            <w:tcBorders>
              <w:top w:val="single" w:sz="6" w:space="0" w:color="auto"/>
              <w:bottom w:val="single" w:sz="6" w:space="0" w:color="auto"/>
              <w:right w:val="single" w:sz="6" w:space="0" w:color="auto"/>
            </w:tcBorders>
          </w:tcPr>
          <w:p w:rsidR="009C13A9" w:rsidRPr="00C903F8" w:rsidRDefault="009C13A9" w:rsidP="009C13A9">
            <w:pPr>
              <w:tabs>
                <w:tab w:val="left" w:leader="dot" w:pos="8505"/>
              </w:tabs>
              <w:overflowPunct w:val="0"/>
              <w:adjustRightInd w:val="0"/>
              <w:spacing w:before="120"/>
              <w:ind w:left="114" w:hanging="57"/>
              <w:jc w:val="left"/>
              <w:textAlignment w:val="baseline"/>
              <w:rPr>
                <w:rFonts w:cs="Arial"/>
                <w:b/>
                <w:position w:val="6"/>
                <w:sz w:val="16"/>
                <w:szCs w:val="20"/>
              </w:rPr>
            </w:pPr>
            <w:r>
              <w:rPr>
                <w:b/>
                <w:noProof/>
                <w:sz w:val="18"/>
              </w:rPr>
              <w:t>Proroga dell’attestato concernente gli impianti a gas liquefatto</w:t>
            </w:r>
          </w:p>
          <w:p w:rsidR="009C13A9" w:rsidRPr="00C903F8" w:rsidRDefault="009C13A9" w:rsidP="009C13A9">
            <w:pPr>
              <w:tabs>
                <w:tab w:val="left" w:leader="dot" w:pos="4453"/>
                <w:tab w:val="left" w:leader="dot" w:pos="8505"/>
              </w:tabs>
              <w:overflowPunct w:val="0"/>
              <w:adjustRightInd w:val="0"/>
              <w:spacing w:after="120"/>
              <w:ind w:left="114" w:hanging="57"/>
              <w:jc w:val="left"/>
              <w:textAlignment w:val="baseline"/>
              <w:rPr>
                <w:rFonts w:cs="Arial"/>
                <w:noProof/>
                <w:sz w:val="18"/>
                <w:szCs w:val="20"/>
              </w:rPr>
            </w:pPr>
            <w:r>
              <w:rPr>
                <w:noProof/>
                <w:sz w:val="18"/>
              </w:rPr>
              <w:t>La validità dell’attestato concernente l’impianto/gli impianti a gas liquefatto</w:t>
            </w:r>
          </w:p>
          <w:p w:rsidR="009C13A9" w:rsidRPr="00C903F8" w:rsidRDefault="009C13A9" w:rsidP="009C13A9">
            <w:pPr>
              <w:tabs>
                <w:tab w:val="left" w:leader="dot" w:pos="4453"/>
                <w:tab w:val="left" w:leader="dot" w:pos="8505"/>
              </w:tabs>
              <w:overflowPunct w:val="0"/>
              <w:adjustRightInd w:val="0"/>
              <w:spacing w:after="120"/>
              <w:ind w:left="114" w:hanging="57"/>
              <w:jc w:val="left"/>
              <w:textAlignment w:val="baseline"/>
              <w:rPr>
                <w:rFonts w:cs="Arial"/>
                <w:sz w:val="18"/>
                <w:szCs w:val="20"/>
              </w:rPr>
            </w:pPr>
            <w:r>
              <w:rPr>
                <w:noProof/>
                <w:sz w:val="18"/>
              </w:rPr>
              <w:t>datato</w:t>
            </w:r>
            <w:r>
              <w:tab/>
            </w:r>
            <w:r>
              <w:rPr>
                <w:sz w:val="18"/>
              </w:rPr>
              <w:t xml:space="preserve"> valido fino al</w:t>
            </w:r>
            <w:r>
              <w:tab/>
            </w:r>
            <w:r>
              <w:rPr>
                <w:sz w:val="18"/>
              </w:rPr>
              <w:t xml:space="preserve"> </w:t>
            </w:r>
          </w:p>
          <w:p w:rsidR="009C13A9" w:rsidRPr="00C903F8" w:rsidRDefault="009C13A9" w:rsidP="009C13A9">
            <w:pPr>
              <w:tabs>
                <w:tab w:val="left" w:pos="227"/>
                <w:tab w:val="left" w:leader="dot" w:pos="8505"/>
              </w:tabs>
              <w:overflowPunct w:val="0"/>
              <w:adjustRightInd w:val="0"/>
              <w:spacing w:after="120"/>
              <w:ind w:left="114" w:hanging="57"/>
              <w:jc w:val="left"/>
              <w:textAlignment w:val="baseline"/>
              <w:rPr>
                <w:rFonts w:cs="Arial"/>
                <w:sz w:val="18"/>
                <w:szCs w:val="20"/>
              </w:rPr>
            </w:pPr>
            <w:r>
              <w:rPr>
                <w:noProof/>
                <w:sz w:val="18"/>
              </w:rPr>
              <w:t>è estesa</w:t>
            </w:r>
          </w:p>
          <w:p w:rsidR="009C13A9" w:rsidRPr="00C903F8" w:rsidRDefault="009C13A9" w:rsidP="009C13A9">
            <w:pPr>
              <w:tabs>
                <w:tab w:val="left" w:pos="227"/>
                <w:tab w:val="left" w:leader="dot" w:pos="8505"/>
              </w:tabs>
              <w:overflowPunct w:val="0"/>
              <w:adjustRightInd w:val="0"/>
              <w:spacing w:after="100"/>
              <w:ind w:left="114" w:hanging="57"/>
              <w:jc w:val="left"/>
              <w:textAlignment w:val="baseline"/>
              <w:rPr>
                <w:rFonts w:cs="Arial"/>
                <w:sz w:val="18"/>
                <w:szCs w:val="20"/>
              </w:rPr>
            </w:pPr>
            <w:r>
              <w:rPr>
                <w:sz w:val="18"/>
              </w:rPr>
              <w:t>-</w:t>
            </w:r>
            <w:r>
              <w:tab/>
            </w:r>
            <w:r>
              <w:rPr>
                <w:noProof/>
                <w:sz w:val="18"/>
              </w:rPr>
              <w:t>in seguito a ispezione periodica da parte dell'esperto</w:t>
            </w:r>
            <w:r>
              <w:tab/>
            </w:r>
          </w:p>
          <w:p w:rsidR="009C13A9" w:rsidRPr="00C903F8" w:rsidRDefault="009C13A9" w:rsidP="009C13A9">
            <w:pPr>
              <w:tabs>
                <w:tab w:val="left" w:pos="227"/>
                <w:tab w:val="left" w:leader="dot" w:pos="4734"/>
                <w:tab w:val="left" w:pos="4876"/>
                <w:tab w:val="left" w:leader="dot" w:pos="6861"/>
              </w:tabs>
              <w:overflowPunct w:val="0"/>
              <w:adjustRightInd w:val="0"/>
              <w:spacing w:after="120"/>
              <w:ind w:left="114" w:hanging="57"/>
              <w:jc w:val="left"/>
              <w:textAlignment w:val="baseline"/>
              <w:rPr>
                <w:rFonts w:cs="Arial"/>
                <w:sz w:val="18"/>
                <w:szCs w:val="20"/>
              </w:rPr>
            </w:pPr>
            <w:r>
              <w:rPr>
                <w:sz w:val="18"/>
              </w:rPr>
              <w:t>-</w:t>
            </w:r>
            <w:r>
              <w:tab/>
            </w:r>
            <w:r>
              <w:rPr>
                <w:noProof/>
                <w:sz w:val="18"/>
              </w:rPr>
              <w:t>visto l'attestato di ispezione del</w:t>
            </w:r>
            <w:r>
              <w:tab/>
            </w:r>
            <w:r>
              <w:rPr>
                <w:sz w:val="18"/>
              </w:rPr>
              <w:t xml:space="preserve"> </w:t>
            </w:r>
            <w:r>
              <w:tab/>
            </w:r>
          </w:p>
          <w:p w:rsidR="009C13A9" w:rsidRPr="00C903F8" w:rsidRDefault="009C13A9" w:rsidP="009C13A9">
            <w:pPr>
              <w:tabs>
                <w:tab w:val="left" w:pos="57"/>
                <w:tab w:val="left" w:pos="227"/>
                <w:tab w:val="left" w:leader="dot" w:pos="5103"/>
                <w:tab w:val="left" w:leader="dot" w:pos="8505"/>
              </w:tabs>
              <w:overflowPunct w:val="0"/>
              <w:adjustRightInd w:val="0"/>
              <w:spacing w:after="120"/>
              <w:ind w:left="114" w:hanging="57"/>
              <w:jc w:val="left"/>
              <w:textAlignment w:val="baseline"/>
              <w:rPr>
                <w:rFonts w:cs="Arial"/>
                <w:sz w:val="18"/>
                <w:szCs w:val="20"/>
              </w:rPr>
            </w:pPr>
            <w:r>
              <w:rPr>
                <w:noProof/>
                <w:sz w:val="18"/>
              </w:rPr>
              <w:t xml:space="preserve">fino al </w:t>
            </w:r>
            <w:r>
              <w:tab/>
            </w:r>
          </w:p>
          <w:p w:rsidR="009C13A9" w:rsidRPr="00C903F8" w:rsidRDefault="009C13A9" w:rsidP="009C13A9">
            <w:pPr>
              <w:tabs>
                <w:tab w:val="left" w:pos="57"/>
                <w:tab w:val="left" w:leader="dot" w:pos="8505"/>
              </w:tabs>
              <w:overflowPunct w:val="0"/>
              <w:adjustRightInd w:val="0"/>
              <w:ind w:left="57" w:hanging="57"/>
              <w:jc w:val="left"/>
              <w:textAlignment w:val="baseline"/>
              <w:rPr>
                <w:rFonts w:cs="Arial"/>
                <w:sz w:val="18"/>
                <w:szCs w:val="20"/>
              </w:rPr>
            </w:pPr>
          </w:p>
          <w:p w:rsidR="009C13A9" w:rsidRPr="00C903F8" w:rsidRDefault="009C13A9" w:rsidP="009C13A9">
            <w:pPr>
              <w:tabs>
                <w:tab w:val="left" w:leader="dot" w:pos="3969"/>
                <w:tab w:val="left" w:leader="dot" w:pos="6237"/>
                <w:tab w:val="left" w:leader="dot" w:pos="8505"/>
              </w:tabs>
              <w:overflowPunct w:val="0"/>
              <w:adjustRightInd w:val="0"/>
              <w:spacing w:before="40"/>
              <w:ind w:left="114" w:hanging="57"/>
              <w:jc w:val="left"/>
              <w:textAlignment w:val="baseline"/>
              <w:rPr>
                <w:rFonts w:cs="Arial"/>
                <w:sz w:val="18"/>
                <w:szCs w:val="20"/>
              </w:rPr>
            </w:pPr>
            <w:r>
              <w:tab/>
            </w:r>
            <w:r>
              <w:tab/>
            </w:r>
            <w:r>
              <w:rPr>
                <w:noProof/>
                <w:sz w:val="18"/>
              </w:rPr>
              <w:t xml:space="preserve">, </w:t>
            </w:r>
            <w:r>
              <w:tab/>
            </w:r>
          </w:p>
          <w:p w:rsidR="009C13A9" w:rsidRPr="00C903F8" w:rsidRDefault="009C13A9" w:rsidP="009C13A9">
            <w:pPr>
              <w:tabs>
                <w:tab w:val="center" w:pos="2041"/>
                <w:tab w:val="center" w:pos="5216"/>
              </w:tabs>
              <w:overflowPunct w:val="0"/>
              <w:adjustRightInd w:val="0"/>
              <w:ind w:left="0" w:firstLine="0"/>
              <w:jc w:val="left"/>
              <w:textAlignment w:val="baseline"/>
              <w:rPr>
                <w:rFonts w:cs="Arial"/>
                <w:sz w:val="18"/>
                <w:szCs w:val="20"/>
              </w:rPr>
            </w:pPr>
            <w:r>
              <w:tab/>
            </w:r>
            <w:r>
              <w:rPr>
                <w:noProof/>
                <w:sz w:val="16"/>
              </w:rPr>
              <w:t>(luogo)</w:t>
            </w:r>
            <w:r>
              <w:tab/>
            </w:r>
            <w:r>
              <w:rPr>
                <w:noProof/>
                <w:sz w:val="16"/>
              </w:rPr>
              <w:t>(data)</w:t>
            </w:r>
          </w:p>
          <w:p w:rsidR="009C13A9" w:rsidRPr="00C903F8" w:rsidRDefault="009C13A9" w:rsidP="009C13A9">
            <w:pPr>
              <w:tabs>
                <w:tab w:val="left" w:pos="4820"/>
                <w:tab w:val="left" w:leader="dot" w:pos="8505"/>
              </w:tabs>
              <w:overflowPunct w:val="0"/>
              <w:adjustRightInd w:val="0"/>
              <w:spacing w:before="120"/>
              <w:ind w:left="0" w:firstLine="0"/>
              <w:jc w:val="left"/>
              <w:textAlignment w:val="baseline"/>
              <w:rPr>
                <w:rFonts w:cs="Arial"/>
                <w:sz w:val="18"/>
                <w:szCs w:val="20"/>
              </w:rPr>
            </w:pPr>
            <w:r>
              <w:tab/>
            </w:r>
            <w:r>
              <w:tab/>
            </w:r>
          </w:p>
          <w:p w:rsidR="009C13A9" w:rsidRPr="00C903F8" w:rsidRDefault="009C13A9" w:rsidP="009C13A9">
            <w:pPr>
              <w:tabs>
                <w:tab w:val="center" w:pos="6719"/>
              </w:tabs>
              <w:overflowPunct w:val="0"/>
              <w:adjustRightInd w:val="0"/>
              <w:ind w:left="0" w:firstLine="0"/>
              <w:jc w:val="left"/>
              <w:textAlignment w:val="baseline"/>
              <w:rPr>
                <w:rFonts w:cs="Arial"/>
                <w:sz w:val="18"/>
                <w:szCs w:val="20"/>
              </w:rPr>
            </w:pPr>
            <w:r>
              <w:tab/>
            </w:r>
            <w:r>
              <w:rPr>
                <w:noProof/>
                <w:sz w:val="16"/>
              </w:rPr>
              <w:t>Commissione di ispezione</w:t>
            </w:r>
          </w:p>
          <w:p w:rsidR="009C13A9" w:rsidRPr="00C903F8" w:rsidRDefault="009C13A9" w:rsidP="009C13A9">
            <w:pPr>
              <w:tabs>
                <w:tab w:val="center" w:pos="1985"/>
              </w:tabs>
              <w:overflowPunct w:val="0"/>
              <w:adjustRightInd w:val="0"/>
              <w:spacing w:before="120"/>
              <w:ind w:left="0" w:firstLine="0"/>
              <w:jc w:val="left"/>
              <w:textAlignment w:val="baseline"/>
              <w:rPr>
                <w:rFonts w:cs="Arial"/>
                <w:sz w:val="18"/>
                <w:szCs w:val="20"/>
              </w:rPr>
            </w:pPr>
            <w:r>
              <w:tab/>
            </w:r>
            <w:r>
              <w:rPr>
                <w:noProof/>
                <w:sz w:val="16"/>
              </w:rPr>
              <w:t>Timbro</w:t>
            </w:r>
          </w:p>
          <w:p w:rsidR="009C13A9" w:rsidRPr="00C903F8" w:rsidRDefault="009C13A9" w:rsidP="009C13A9">
            <w:pPr>
              <w:tabs>
                <w:tab w:val="left" w:pos="4820"/>
                <w:tab w:val="left" w:leader="dot" w:pos="8505"/>
              </w:tabs>
              <w:overflowPunct w:val="0"/>
              <w:adjustRightInd w:val="0"/>
              <w:spacing w:before="120"/>
              <w:ind w:left="0" w:firstLine="0"/>
              <w:jc w:val="left"/>
              <w:textAlignment w:val="baseline"/>
              <w:rPr>
                <w:rFonts w:cs="Arial"/>
                <w:sz w:val="18"/>
                <w:szCs w:val="20"/>
              </w:rPr>
            </w:pPr>
            <w:r>
              <w:tab/>
            </w:r>
            <w:r>
              <w:tab/>
            </w:r>
          </w:p>
          <w:p w:rsidR="009C13A9" w:rsidRPr="00C903F8" w:rsidRDefault="009C13A9" w:rsidP="009C13A9">
            <w:pPr>
              <w:tabs>
                <w:tab w:val="center" w:pos="6719"/>
              </w:tabs>
              <w:overflowPunct w:val="0"/>
              <w:adjustRightInd w:val="0"/>
              <w:ind w:left="0" w:firstLine="0"/>
              <w:jc w:val="left"/>
              <w:textAlignment w:val="baseline"/>
              <w:rPr>
                <w:rFonts w:cs="Arial"/>
                <w:sz w:val="18"/>
                <w:szCs w:val="20"/>
              </w:rPr>
            </w:pPr>
            <w:r>
              <w:tab/>
            </w:r>
            <w:r>
              <w:rPr>
                <w:noProof/>
                <w:sz w:val="16"/>
              </w:rPr>
              <w:t>(firma)</w:t>
            </w:r>
          </w:p>
          <w:p w:rsidR="009C13A9" w:rsidRPr="00C903F8" w:rsidRDefault="009C13A9" w:rsidP="009C13A9">
            <w:pPr>
              <w:tabs>
                <w:tab w:val="left" w:pos="57"/>
                <w:tab w:val="left" w:pos="5103"/>
              </w:tabs>
              <w:overflowPunct w:val="0"/>
              <w:adjustRightInd w:val="0"/>
              <w:spacing w:after="120"/>
              <w:ind w:left="0" w:firstLine="0"/>
              <w:jc w:val="left"/>
              <w:textAlignment w:val="baseline"/>
              <w:rPr>
                <w:rFonts w:cs="Arial"/>
                <w:sz w:val="18"/>
                <w:szCs w:val="20"/>
              </w:rPr>
            </w:pPr>
          </w:p>
        </w:tc>
      </w:tr>
    </w:tbl>
    <w:p w:rsidR="009C13A9" w:rsidRPr="00C903F8" w:rsidRDefault="009C13A9" w:rsidP="009C13A9">
      <w:pPr>
        <w:overflowPunct w:val="0"/>
        <w:adjustRightInd w:val="0"/>
        <w:ind w:left="0" w:firstLine="0"/>
        <w:jc w:val="left"/>
        <w:textAlignment w:val="baseline"/>
        <w:rPr>
          <w:rFonts w:cs="Arial"/>
          <w:sz w:val="16"/>
          <w:szCs w:val="20"/>
        </w:rPr>
        <w:sectPr w:rsidR="009C13A9" w:rsidRPr="00C903F8" w:rsidSect="009C13A9">
          <w:footnotePr>
            <w:numRestart w:val="eachPage"/>
          </w:footnotePr>
          <w:pgSz w:w="11907" w:h="16840"/>
          <w:pgMar w:top="851" w:right="1418" w:bottom="851" w:left="1418" w:header="720" w:footer="720" w:gutter="0"/>
          <w:cols w:space="720"/>
        </w:sectPr>
      </w:pPr>
    </w:p>
    <w:p w:rsidR="009C13A9" w:rsidRPr="00C903F8" w:rsidRDefault="009C13A9" w:rsidP="00E3172D">
      <w:pPr>
        <w:tabs>
          <w:tab w:val="left" w:leader="dot" w:pos="2835"/>
          <w:tab w:val="left" w:leader="dot" w:pos="5103"/>
        </w:tabs>
        <w:overflowPunct w:val="0"/>
        <w:adjustRightInd w:val="0"/>
        <w:ind w:left="0" w:firstLine="0"/>
        <w:textAlignment w:val="baseline"/>
        <w:rPr>
          <w:rFonts w:cs="Arial"/>
          <w:szCs w:val="20"/>
        </w:rPr>
      </w:pPr>
      <w:r>
        <w:lastRenderedPageBreak/>
        <w:br w:type="page"/>
      </w:r>
      <w:r>
        <w:lastRenderedPageBreak/>
        <w:t xml:space="preserve">certificato per la navigazione interna n. </w:t>
      </w:r>
      <w:r>
        <w:tab/>
        <w:t xml:space="preserve"> della commissione di ispezione </w:t>
      </w:r>
      <w: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9C13A9" w:rsidRPr="00946CF6"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r>
              <w:rPr>
                <w:sz w:val="18"/>
              </w:rPr>
              <w:t>52.</w:t>
            </w:r>
          </w:p>
        </w:tc>
        <w:tc>
          <w:tcPr>
            <w:tcW w:w="8902" w:type="dxa"/>
            <w:tcBorders>
              <w:top w:val="single" w:sz="6" w:space="0" w:color="auto"/>
              <w:bottom w:val="single" w:sz="6" w:space="0" w:color="auto"/>
              <w:right w:val="single" w:sz="6" w:space="0" w:color="auto"/>
            </w:tcBorders>
          </w:tcPr>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rPr>
                <w:sz w:val="18"/>
              </w:rPr>
              <w:t>Allegato al certificato per la navigazione interna</w:t>
            </w:r>
            <w:r>
              <w:t xml:space="preserve"> n.</w:t>
            </w:r>
            <w:r>
              <w:rPr>
                <w:sz w:val="18"/>
              </w:rPr>
              <w:t xml:space="preserve"> </w:t>
            </w:r>
            <w:r>
              <w:tab/>
            </w:r>
          </w:p>
          <w:p w:rsidR="009C13A9" w:rsidRPr="00E3172D" w:rsidRDefault="009C13A9" w:rsidP="009C13A9">
            <w:pPr>
              <w:tabs>
                <w:tab w:val="left" w:leader="dot" w:pos="8505"/>
              </w:tabs>
              <w:overflowPunct w:val="0"/>
              <w:adjustRightInd w:val="0"/>
              <w:spacing w:before="8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0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ind w:left="57" w:firstLine="0"/>
              <w:jc w:val="left"/>
              <w:textAlignment w:val="baseline"/>
              <w:rPr>
                <w:rFonts w:cs="Arial"/>
                <w:sz w:val="18"/>
                <w:szCs w:val="20"/>
              </w:rPr>
            </w:pPr>
            <w:r>
              <w:tab/>
            </w:r>
          </w:p>
          <w:p w:rsidR="009C13A9" w:rsidRPr="00E3172D" w:rsidRDefault="009C13A9" w:rsidP="009C13A9">
            <w:pPr>
              <w:tabs>
                <w:tab w:val="left" w:leader="dot" w:pos="8505"/>
              </w:tabs>
              <w:overflowPunct w:val="0"/>
              <w:adjustRightInd w:val="0"/>
              <w:spacing w:before="120" w:after="40"/>
              <w:ind w:left="57"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bottom w:val="single" w:sz="6" w:space="0" w:color="auto"/>
            </w:tcBorders>
          </w:tcPr>
          <w:p w:rsidR="009C13A9" w:rsidRPr="00C903F8" w:rsidRDefault="009C13A9" w:rsidP="009C13A9">
            <w:pPr>
              <w:tabs>
                <w:tab w:val="left" w:pos="57"/>
              </w:tabs>
              <w:overflowPunct w:val="0"/>
              <w:adjustRightInd w:val="0"/>
              <w:spacing w:before="80"/>
              <w:ind w:left="0" w:firstLine="0"/>
              <w:jc w:val="left"/>
              <w:textAlignment w:val="baseline"/>
              <w:rPr>
                <w:rFonts w:cs="Arial"/>
                <w:sz w:val="18"/>
                <w:szCs w:val="20"/>
              </w:rPr>
            </w:pPr>
            <w:r>
              <w:tab/>
            </w:r>
            <w:r>
              <w:rPr>
                <w:sz w:val="18"/>
              </w:rPr>
              <w:t>*)</w:t>
            </w:r>
            <w:r>
              <w:rPr>
                <w:rFonts w:cs="Arial"/>
                <w:sz w:val="18"/>
                <w:szCs w:val="20"/>
              </w:rPr>
              <w:br/>
            </w:r>
            <w:r>
              <w:rPr>
                <w:rFonts w:cs="Arial"/>
                <w:sz w:val="18"/>
                <w:szCs w:val="20"/>
              </w:rPr>
              <w:br/>
            </w:r>
          </w:p>
          <w:p w:rsidR="009C13A9" w:rsidRPr="00C903F8" w:rsidRDefault="009C13A9" w:rsidP="009C13A9">
            <w:pPr>
              <w:tabs>
                <w:tab w:val="left" w:pos="57"/>
              </w:tabs>
              <w:overflowPunct w:val="0"/>
              <w:adjustRightInd w:val="0"/>
              <w:spacing w:before="80"/>
              <w:ind w:left="0" w:firstLine="0"/>
              <w:jc w:val="left"/>
              <w:textAlignment w:val="baseline"/>
              <w:rPr>
                <w:rFonts w:cs="Arial"/>
                <w:sz w:val="18"/>
                <w:szCs w:val="20"/>
              </w:rPr>
            </w:pPr>
          </w:p>
          <w:p w:rsidR="009C13A9" w:rsidRPr="00C903F8" w:rsidRDefault="009C13A9" w:rsidP="009C13A9">
            <w:pPr>
              <w:tabs>
                <w:tab w:val="left" w:pos="57"/>
              </w:tabs>
              <w:overflowPunct w:val="0"/>
              <w:adjustRightInd w:val="0"/>
              <w:spacing w:before="160"/>
              <w:ind w:left="0" w:firstLine="0"/>
              <w:jc w:val="left"/>
              <w:textAlignment w:val="baseline"/>
              <w:rPr>
                <w:rFonts w:cs="Arial"/>
                <w:sz w:val="18"/>
                <w:szCs w:val="20"/>
              </w:rPr>
            </w:pPr>
            <w:r>
              <w:tab/>
            </w:r>
            <w:r>
              <w:rPr>
                <w:sz w:val="18"/>
              </w:rPr>
              <w:t>*)</w:t>
            </w:r>
          </w:p>
        </w:tc>
        <w:tc>
          <w:tcPr>
            <w:tcW w:w="8902" w:type="dxa"/>
            <w:tcBorders>
              <w:bottom w:val="single" w:sz="6" w:space="0" w:color="auto"/>
              <w:right w:val="single" w:sz="6" w:space="0" w:color="auto"/>
            </w:tcBorders>
          </w:tcPr>
          <w:p w:rsidR="009C13A9" w:rsidRPr="00C903F8" w:rsidRDefault="009C13A9" w:rsidP="009C13A9">
            <w:pPr>
              <w:tabs>
                <w:tab w:val="left" w:pos="57"/>
                <w:tab w:val="left" w:leader="dot" w:pos="3686"/>
              </w:tabs>
              <w:overflowPunct w:val="0"/>
              <w:adjustRightInd w:val="0"/>
              <w:spacing w:before="80" w:after="80"/>
              <w:ind w:left="57" w:right="57" w:firstLine="0"/>
              <w:jc w:val="left"/>
              <w:textAlignment w:val="baseline"/>
              <w:rPr>
                <w:rFonts w:cs="Arial"/>
                <w:sz w:val="18"/>
                <w:szCs w:val="20"/>
              </w:rPr>
            </w:pPr>
            <w:r>
              <w:rPr>
                <w:noProof/>
                <w:sz w:val="18"/>
              </w:rPr>
              <w:t>La presente pagina è stata sostituita.: ....................</w:t>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rPr>
                <w:noProof/>
                <w:sz w:val="18"/>
              </w:rPr>
              <w:t>Nuova formulazione:</w:t>
            </w:r>
            <w:r>
              <w:tab/>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tab/>
            </w:r>
          </w:p>
          <w:p w:rsidR="009C13A9" w:rsidRPr="00C903F8" w:rsidRDefault="009C13A9" w:rsidP="009C13A9">
            <w:pPr>
              <w:tabs>
                <w:tab w:val="left" w:pos="57"/>
                <w:tab w:val="left" w:leader="dot" w:pos="8505"/>
              </w:tabs>
              <w:overflowPunct w:val="0"/>
              <w:adjustRightInd w:val="0"/>
              <w:spacing w:after="60"/>
              <w:ind w:left="57" w:right="57" w:firstLine="0"/>
              <w:jc w:val="left"/>
              <w:textAlignment w:val="baseline"/>
              <w:rPr>
                <w:rFonts w:cs="Arial"/>
                <w:sz w:val="18"/>
                <w:szCs w:val="20"/>
              </w:rPr>
            </w:pPr>
            <w:r>
              <w:tab/>
            </w:r>
          </w:p>
          <w:p w:rsidR="009C13A9" w:rsidRPr="00C903F8" w:rsidRDefault="009C13A9" w:rsidP="009C13A9">
            <w:pPr>
              <w:tabs>
                <w:tab w:val="left" w:leader="dot" w:pos="4536"/>
                <w:tab w:val="center" w:pos="6862"/>
              </w:tabs>
              <w:overflowPunct w:val="0"/>
              <w:adjustRightInd w:val="0"/>
              <w:spacing w:after="80"/>
              <w:ind w:left="57" w:right="57" w:firstLine="0"/>
              <w:textAlignment w:val="baseline"/>
              <w:rPr>
                <w:rFonts w:cs="Arial"/>
                <w:sz w:val="18"/>
                <w:szCs w:val="20"/>
              </w:rPr>
            </w:pPr>
            <w:r>
              <w:rPr>
                <w:sz w:val="18"/>
              </w:rPr>
              <w:t>La presente pagina è stata sostituita.</w:t>
            </w:r>
          </w:p>
          <w:p w:rsidR="009C13A9" w:rsidRPr="00C903F8" w:rsidRDefault="009C13A9" w:rsidP="009C13A9">
            <w:pPr>
              <w:tabs>
                <w:tab w:val="left" w:leader="dot" w:pos="4536"/>
                <w:tab w:val="center" w:pos="6862"/>
              </w:tabs>
              <w:overflowPunct w:val="0"/>
              <w:adjustRightInd w:val="0"/>
              <w:spacing w:after="80"/>
              <w:ind w:left="57" w:right="57" w:firstLine="0"/>
              <w:textAlignment w:val="baseline"/>
              <w:rPr>
                <w:rFonts w:cs="Arial"/>
                <w:sz w:val="18"/>
                <w:szCs w:val="20"/>
              </w:rPr>
            </w:pPr>
            <w:r>
              <w:rPr>
                <w:sz w:val="18"/>
              </w:rPr>
              <w:t xml:space="preserve">Luogo, data </w:t>
            </w:r>
            <w:r>
              <w:tab/>
            </w:r>
            <w:r>
              <w:tab/>
            </w:r>
            <w:r>
              <w:rPr>
                <w:sz w:val="18"/>
              </w:rPr>
              <w:t>Commissione di ispezione</w:t>
            </w:r>
          </w:p>
          <w:p w:rsidR="009C13A9" w:rsidRPr="00C903F8" w:rsidRDefault="009C13A9" w:rsidP="009C13A9">
            <w:pPr>
              <w:tabs>
                <w:tab w:val="left" w:pos="5103"/>
                <w:tab w:val="left" w:leader="dot" w:pos="8505"/>
              </w:tabs>
              <w:overflowPunct w:val="0"/>
              <w:adjustRightInd w:val="0"/>
              <w:ind w:left="0" w:firstLine="0"/>
              <w:textAlignment w:val="baseline"/>
              <w:rPr>
                <w:rFonts w:cs="Arial"/>
                <w:sz w:val="18"/>
                <w:szCs w:val="20"/>
              </w:rPr>
            </w:pPr>
            <w:r>
              <w:tab/>
            </w:r>
            <w:r>
              <w:tab/>
            </w:r>
          </w:p>
          <w:p w:rsidR="009C13A9" w:rsidRPr="00C903F8" w:rsidRDefault="009C13A9" w:rsidP="009C13A9">
            <w:pPr>
              <w:tabs>
                <w:tab w:val="center" w:pos="1701"/>
              </w:tabs>
              <w:overflowPunct w:val="0"/>
              <w:adjustRightInd w:val="0"/>
              <w:spacing w:after="80"/>
              <w:ind w:left="0" w:firstLine="0"/>
              <w:textAlignment w:val="baseline"/>
              <w:rPr>
                <w:rFonts w:cs="Arial"/>
                <w:sz w:val="18"/>
                <w:szCs w:val="20"/>
              </w:rPr>
            </w:pPr>
            <w:r>
              <w:tab/>
            </w:r>
            <w:r>
              <w:rPr>
                <w:sz w:val="18"/>
              </w:rPr>
              <w:t>Timbro</w:t>
            </w:r>
          </w:p>
          <w:p w:rsidR="009C13A9" w:rsidRPr="00C903F8" w:rsidRDefault="009C13A9" w:rsidP="009C13A9">
            <w:pPr>
              <w:tabs>
                <w:tab w:val="left" w:pos="5103"/>
                <w:tab w:val="left" w:leader="dot" w:pos="8505"/>
              </w:tabs>
              <w:overflowPunct w:val="0"/>
              <w:adjustRightInd w:val="0"/>
              <w:ind w:left="0" w:firstLine="0"/>
              <w:textAlignment w:val="baseline"/>
              <w:rPr>
                <w:rFonts w:cs="Arial"/>
                <w:szCs w:val="20"/>
              </w:rPr>
            </w:pPr>
            <w:r>
              <w:tab/>
            </w:r>
            <w:r>
              <w:tab/>
            </w:r>
          </w:p>
          <w:p w:rsidR="009C13A9" w:rsidRPr="00C903F8" w:rsidRDefault="009C13A9" w:rsidP="009C13A9">
            <w:pPr>
              <w:tabs>
                <w:tab w:val="center" w:pos="6862"/>
              </w:tabs>
              <w:overflowPunct w:val="0"/>
              <w:adjustRightInd w:val="0"/>
              <w:ind w:left="0" w:firstLine="0"/>
              <w:textAlignment w:val="baseline"/>
              <w:rPr>
                <w:rFonts w:cs="Arial"/>
                <w:sz w:val="16"/>
                <w:szCs w:val="20"/>
              </w:rPr>
            </w:pPr>
            <w:r>
              <w:tab/>
            </w:r>
            <w:r>
              <w:rPr>
                <w:sz w:val="16"/>
              </w:rPr>
              <w:t>(firma)</w:t>
            </w:r>
          </w:p>
          <w:p w:rsidR="009C13A9" w:rsidRPr="00C903F8" w:rsidRDefault="009C13A9" w:rsidP="009C13A9">
            <w:pPr>
              <w:tabs>
                <w:tab w:val="left" w:pos="113"/>
                <w:tab w:val="left" w:pos="397"/>
                <w:tab w:val="left" w:pos="6237"/>
                <w:tab w:val="left" w:leader="dot" w:pos="9356"/>
              </w:tabs>
              <w:overflowPunct w:val="0"/>
              <w:adjustRightInd w:val="0"/>
              <w:ind w:left="0" w:firstLine="0"/>
              <w:textAlignment w:val="baseline"/>
              <w:rPr>
                <w:rFonts w:cs="Arial"/>
                <w:sz w:val="16"/>
                <w:szCs w:val="20"/>
              </w:rPr>
            </w:pPr>
            <w:r>
              <w:rPr>
                <w:sz w:val="18"/>
              </w:rPr>
              <w:t>_______________________</w:t>
            </w:r>
          </w:p>
          <w:p w:rsidR="009C13A9" w:rsidRPr="00C903F8" w:rsidRDefault="009C13A9" w:rsidP="009C13A9">
            <w:pPr>
              <w:tabs>
                <w:tab w:val="left" w:pos="284"/>
              </w:tabs>
              <w:overflowPunct w:val="0"/>
              <w:adjustRightInd w:val="0"/>
              <w:spacing w:after="40"/>
              <w:ind w:left="57" w:firstLine="0"/>
              <w:jc w:val="left"/>
              <w:textAlignment w:val="baseline"/>
              <w:rPr>
                <w:rFonts w:cs="Arial"/>
                <w:sz w:val="18"/>
                <w:szCs w:val="20"/>
              </w:rPr>
            </w:pPr>
            <w:r>
              <w:rPr>
                <w:position w:val="4"/>
                <w:sz w:val="16"/>
              </w:rPr>
              <w:t>*)</w:t>
            </w:r>
            <w:r>
              <w:tab/>
            </w:r>
            <w:r>
              <w:rPr>
                <w:sz w:val="16"/>
              </w:rPr>
              <w:t>Cancellare le voci non pertinenti.</w:t>
            </w:r>
          </w:p>
        </w:tc>
      </w:tr>
      <w:tr w:rsidR="009C13A9" w:rsidRPr="00A0619C"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r>
              <w:rPr>
                <w:sz w:val="18"/>
              </w:rPr>
              <w:t xml:space="preserve"> </w:t>
            </w:r>
          </w:p>
        </w:tc>
        <w:tc>
          <w:tcPr>
            <w:tcW w:w="8902" w:type="dxa"/>
            <w:tcBorders>
              <w:top w:val="single" w:sz="6" w:space="0" w:color="auto"/>
              <w:bottom w:val="single" w:sz="6" w:space="0" w:color="auto"/>
              <w:right w:val="single" w:sz="6" w:space="0" w:color="auto"/>
            </w:tcBorders>
          </w:tcPr>
          <w:p w:rsidR="009C13A9" w:rsidRPr="00C903F8" w:rsidRDefault="009C13A9" w:rsidP="00430B47">
            <w:pPr>
              <w:tabs>
                <w:tab w:val="left" w:pos="57"/>
                <w:tab w:val="left" w:pos="6295"/>
                <w:tab w:val="left" w:leader="dot" w:pos="8505"/>
              </w:tabs>
              <w:overflowPunct w:val="0"/>
              <w:adjustRightInd w:val="0"/>
              <w:spacing w:before="120" w:after="40"/>
              <w:ind w:left="0" w:firstLine="0"/>
              <w:jc w:val="left"/>
              <w:textAlignment w:val="baseline"/>
              <w:rPr>
                <w:rFonts w:cs="Arial"/>
                <w:sz w:val="18"/>
                <w:szCs w:val="20"/>
              </w:rPr>
            </w:pPr>
            <w:r>
              <w:tab/>
            </w:r>
            <w:r>
              <w:tab/>
            </w:r>
            <w:r>
              <w:rPr>
                <w:sz w:val="18"/>
              </w:rPr>
              <w:t>Segue a pagina</w:t>
            </w:r>
            <w:r>
              <w:rPr>
                <w:position w:val="4"/>
                <w:sz w:val="16"/>
                <w:vertAlign w:val="superscript"/>
              </w:rPr>
              <w:t>*)</w:t>
            </w:r>
            <w:r>
              <w:tab/>
            </w:r>
            <w:r>
              <w:rPr>
                <w:rFonts w:cs="Arial"/>
                <w:position w:val="4"/>
                <w:sz w:val="16"/>
                <w:szCs w:val="20"/>
              </w:rPr>
              <w:br/>
            </w:r>
            <w:r>
              <w:tab/>
            </w:r>
            <w:r>
              <w:tab/>
            </w:r>
            <w:r>
              <w:rPr>
                <w:position w:val="4"/>
                <w:sz w:val="18"/>
              </w:rPr>
              <w:t>Fine del certificato</w:t>
            </w:r>
            <w:r>
              <w:rPr>
                <w:position w:val="4"/>
                <w:sz w:val="16"/>
                <w:vertAlign w:val="superscript"/>
              </w:rPr>
              <w:t>*)</w:t>
            </w:r>
          </w:p>
        </w:tc>
      </w:tr>
    </w:tbl>
    <w:p w:rsidR="009C13A9" w:rsidRPr="00C903F8" w:rsidRDefault="009C13A9" w:rsidP="009C13A9">
      <w:pPr>
        <w:overflowPunct w:val="0"/>
        <w:adjustRightInd w:val="0"/>
        <w:ind w:left="0" w:firstLine="0"/>
        <w:jc w:val="left"/>
        <w:textAlignment w:val="baseline"/>
        <w:rPr>
          <w:rFonts w:cs="Arial"/>
          <w:sz w:val="16"/>
          <w:szCs w:val="16"/>
        </w:rPr>
      </w:pPr>
    </w:p>
    <w:p w:rsidR="009C13A9" w:rsidRPr="00C903F8" w:rsidRDefault="009C13A9" w:rsidP="009C13A9">
      <w:pPr>
        <w:overflowPunct w:val="0"/>
        <w:adjustRightInd w:val="0"/>
        <w:ind w:left="0" w:firstLine="0"/>
        <w:jc w:val="left"/>
        <w:textAlignment w:val="baseline"/>
        <w:rPr>
          <w:rFonts w:cs="Arial"/>
          <w:sz w:val="16"/>
          <w:szCs w:val="16"/>
        </w:rPr>
      </w:pPr>
      <w:r>
        <w:br w:type="page"/>
      </w:r>
    </w:p>
    <w:p w:rsidR="009C13A9" w:rsidRPr="00C903F8" w:rsidRDefault="009C13A9" w:rsidP="009C13A9">
      <w:pPr>
        <w:overflowPunct w:val="0"/>
        <w:adjustRightInd w:val="0"/>
        <w:ind w:left="0" w:firstLine="0"/>
        <w:jc w:val="left"/>
        <w:textAlignment w:val="baseline"/>
        <w:rPr>
          <w:rFonts w:cs="Arial"/>
          <w:sz w:val="16"/>
          <w:szCs w:val="16"/>
        </w:rPr>
      </w:pPr>
    </w:p>
    <w:p w:rsidR="009C13A9" w:rsidRPr="00C903F8" w:rsidRDefault="009C13A9" w:rsidP="009C13A9">
      <w:pPr>
        <w:overflowPunct w:val="0"/>
        <w:adjustRightInd w:val="0"/>
        <w:ind w:left="0" w:firstLine="0"/>
        <w:jc w:val="left"/>
        <w:textAlignment w:val="baseline"/>
        <w:rPr>
          <w:rFonts w:cs="Arial"/>
          <w:sz w:val="16"/>
          <w:szCs w:val="16"/>
        </w:rPr>
      </w:pPr>
    </w:p>
    <w:p w:rsidR="009C13A9" w:rsidRPr="00C903F8" w:rsidRDefault="009C13A9" w:rsidP="009C13A9">
      <w:pPr>
        <w:overflowPunct w:val="0"/>
        <w:adjustRightInd w:val="0"/>
        <w:ind w:left="0" w:firstLine="0"/>
        <w:jc w:val="left"/>
        <w:textAlignment w:val="baseline"/>
        <w:rPr>
          <w:rFonts w:cs="Arial"/>
          <w:sz w:val="16"/>
          <w:szCs w:val="16"/>
        </w:rPr>
      </w:pPr>
    </w:p>
    <w:p w:rsidR="009C13A9" w:rsidRPr="00C903F8" w:rsidRDefault="009C13A9" w:rsidP="001865DF">
      <w:pPr>
        <w:pStyle w:val="ESgauche"/>
      </w:pPr>
      <w:r>
        <w:br w:type="page"/>
      </w:r>
    </w:p>
    <w:p w:rsidR="009C13A9" w:rsidRPr="00C903F8" w:rsidRDefault="00925755" w:rsidP="00857FC2">
      <w:pPr>
        <w:pStyle w:val="ES-Titre3"/>
        <w:rPr>
          <w:noProof/>
        </w:rPr>
      </w:pPr>
      <w:bookmarkStart w:id="610" w:name="_Toc491854297"/>
      <w:bookmarkStart w:id="611" w:name="_Toc535500246"/>
      <w:r>
        <w:lastRenderedPageBreak/>
        <w:t>Sezione II</w:t>
      </w:r>
      <w:bookmarkEnd w:id="610"/>
      <w:bookmarkEnd w:id="611"/>
    </w:p>
    <w:p w:rsidR="009C13A9" w:rsidRPr="00C903F8" w:rsidRDefault="009C13A9" w:rsidP="00857FC2">
      <w:pPr>
        <w:pStyle w:val="ES-Titre3a"/>
        <w:rPr>
          <w:noProof/>
        </w:rPr>
      </w:pPr>
      <w:bookmarkStart w:id="612" w:name="_Toc491854298"/>
      <w:bookmarkStart w:id="613" w:name="_Toc535500247"/>
      <w:r>
        <w:t>Modello di certificato provvisorio di nave di navigazione interna</w:t>
      </w:r>
      <w:bookmarkEnd w:id="612"/>
      <w:bookmarkEnd w:id="613"/>
    </w:p>
    <w:p w:rsidR="009C13A9" w:rsidRPr="00C903F8" w:rsidRDefault="009C13A9" w:rsidP="009C13A9">
      <w:pPr>
        <w:tabs>
          <w:tab w:val="center" w:pos="8080"/>
        </w:tabs>
        <w:overflowPunct w:val="0"/>
        <w:adjustRightInd w:val="0"/>
        <w:ind w:left="0" w:firstLine="0"/>
        <w:jc w:val="left"/>
        <w:textAlignment w:val="baseline"/>
        <w:rPr>
          <w:rFonts w:cs="Arial"/>
          <w:szCs w:val="20"/>
        </w:rPr>
      </w:pPr>
    </w:p>
    <w:p w:rsidR="009C13A9" w:rsidRPr="00C903F8" w:rsidRDefault="009C13A9" w:rsidP="009C13A9">
      <w:pPr>
        <w:tabs>
          <w:tab w:val="left" w:pos="284"/>
          <w:tab w:val="left" w:leader="dot" w:pos="9356"/>
        </w:tabs>
        <w:overflowPunct w:val="0"/>
        <w:adjustRightInd w:val="0"/>
        <w:ind w:left="0" w:firstLine="0"/>
        <w:jc w:val="center"/>
        <w:textAlignment w:val="baseline"/>
        <w:rPr>
          <w:rFonts w:cs="Arial"/>
          <w:b/>
          <w:sz w:val="22"/>
          <w:szCs w:val="22"/>
        </w:rPr>
      </w:pPr>
      <w:r>
        <w:rPr>
          <w:b/>
          <w:sz w:val="22"/>
        </w:rPr>
        <w:t>Nome dello Stato / Sigillo</w:t>
      </w:r>
    </w:p>
    <w:p w:rsidR="009C13A9" w:rsidRPr="00C903F8" w:rsidRDefault="009C13A9" w:rsidP="009C13A9">
      <w:pPr>
        <w:tabs>
          <w:tab w:val="center" w:pos="8080"/>
        </w:tabs>
        <w:overflowPunct w:val="0"/>
        <w:adjustRightInd w:val="0"/>
        <w:ind w:left="0" w:firstLine="0"/>
        <w:jc w:val="left"/>
        <w:textAlignment w:val="baseline"/>
        <w:rPr>
          <w:rFonts w:cs="Arial"/>
          <w:szCs w:val="20"/>
        </w:rPr>
      </w:pPr>
    </w:p>
    <w:p w:rsidR="00E3172D" w:rsidRPr="009C481C" w:rsidRDefault="00E3172D" w:rsidP="00E3172D">
      <w:pPr>
        <w:tabs>
          <w:tab w:val="left" w:pos="284"/>
          <w:tab w:val="left" w:leader="dot" w:pos="9356"/>
        </w:tabs>
        <w:overflowPunct w:val="0"/>
        <w:adjustRightInd w:val="0"/>
        <w:jc w:val="center"/>
        <w:textAlignment w:val="baseline"/>
        <w:rPr>
          <w:rFonts w:cs="Arial"/>
          <w:b/>
          <w:sz w:val="22"/>
          <w:szCs w:val="22"/>
        </w:rPr>
      </w:pPr>
      <w:r>
        <w:rPr>
          <w:b/>
          <w:sz w:val="22"/>
        </w:rPr>
        <w:t>Certificato provvisorio di nave di navigazione interna</w:t>
      </w:r>
    </w:p>
    <w:p w:rsidR="009C13A9" w:rsidRPr="00C903F8" w:rsidRDefault="009C13A9" w:rsidP="009C13A9">
      <w:pPr>
        <w:overflowPunct w:val="0"/>
        <w:adjustRightInd w:val="0"/>
        <w:ind w:left="0" w:firstLine="0"/>
        <w:jc w:val="center"/>
        <w:textAlignment w:val="baseline"/>
        <w:rPr>
          <w:rFonts w:cs="Arial"/>
          <w:sz w:val="22"/>
          <w:szCs w:val="22"/>
        </w:rPr>
      </w:pPr>
    </w:p>
    <w:p w:rsidR="009C13A9" w:rsidRPr="00C903F8" w:rsidRDefault="009C13A9" w:rsidP="009C13A9">
      <w:pPr>
        <w:overflowPunct w:val="0"/>
        <w:adjustRightInd w:val="0"/>
        <w:ind w:left="0" w:firstLine="0"/>
        <w:jc w:val="center"/>
        <w:textAlignment w:val="baseline"/>
        <w:rPr>
          <w:rFonts w:cs="Arial"/>
          <w:sz w:val="22"/>
          <w:szCs w:val="22"/>
        </w:rPr>
      </w:pPr>
      <w:r>
        <w:rPr>
          <w:b/>
          <w:sz w:val="22"/>
        </w:rPr>
        <w:t>n</w:t>
      </w:r>
      <w:r>
        <w:rPr>
          <w:rFonts w:cs="Arial"/>
          <w:b/>
          <w:sz w:val="22"/>
          <w:szCs w:val="22"/>
        </w:rPr>
        <w:sym w:font="Symbol" w:char="F0B0"/>
      </w:r>
      <w:r>
        <w:rPr>
          <w:b/>
          <w:sz w:val="22"/>
        </w:rPr>
        <w:t xml:space="preserve"> …..............</w:t>
      </w:r>
    </w:p>
    <w:tbl>
      <w:tblPr>
        <w:tblW w:w="9188" w:type="dxa"/>
        <w:jc w:val="center"/>
        <w:tblLayout w:type="fixed"/>
        <w:tblCellMar>
          <w:left w:w="0" w:type="dxa"/>
          <w:right w:w="0" w:type="dxa"/>
        </w:tblCellMar>
        <w:tblLook w:val="0000" w:firstRow="0" w:lastRow="0" w:firstColumn="0" w:lastColumn="0" w:noHBand="0" w:noVBand="0"/>
      </w:tblPr>
      <w:tblGrid>
        <w:gridCol w:w="284"/>
        <w:gridCol w:w="2778"/>
        <w:gridCol w:w="1475"/>
        <w:gridCol w:w="1418"/>
        <w:gridCol w:w="169"/>
        <w:gridCol w:w="1249"/>
        <w:gridCol w:w="1418"/>
        <w:gridCol w:w="397"/>
      </w:tblGrid>
      <w:tr w:rsidR="009C13A9" w:rsidRPr="00C903F8" w:rsidTr="009C13A9">
        <w:trPr>
          <w:cantSplit/>
          <w:jc w:val="center"/>
        </w:trPr>
        <w:tc>
          <w:tcPr>
            <w:tcW w:w="284" w:type="dxa"/>
            <w:tcBorders>
              <w:top w:val="single" w:sz="6" w:space="0" w:color="auto"/>
              <w:left w:val="single" w:sz="6" w:space="0" w:color="auto"/>
            </w:tcBorders>
          </w:tcPr>
          <w:p w:rsidR="009C13A9" w:rsidRPr="00C903F8" w:rsidRDefault="009C13A9" w:rsidP="009C13A9">
            <w:pPr>
              <w:tabs>
                <w:tab w:val="left" w:pos="57"/>
              </w:tabs>
              <w:overflowPunct w:val="0"/>
              <w:adjustRightInd w:val="0"/>
              <w:spacing w:before="40"/>
              <w:ind w:left="0" w:firstLine="0"/>
              <w:jc w:val="left"/>
              <w:textAlignment w:val="baseline"/>
              <w:rPr>
                <w:rFonts w:cs="Arial"/>
                <w:sz w:val="18"/>
                <w:szCs w:val="20"/>
              </w:rPr>
            </w:pPr>
            <w:r>
              <w:tab/>
            </w:r>
            <w:r>
              <w:rPr>
                <w:sz w:val="18"/>
              </w:rPr>
              <w:t>1.</w:t>
            </w:r>
          </w:p>
        </w:tc>
        <w:tc>
          <w:tcPr>
            <w:tcW w:w="2778" w:type="dxa"/>
            <w:tcBorders>
              <w:top w:val="single" w:sz="6" w:space="0" w:color="auto"/>
              <w:bottom w:val="single" w:sz="6" w:space="0" w:color="auto"/>
              <w:right w:val="single" w:sz="6" w:space="0" w:color="auto"/>
            </w:tcBorders>
          </w:tcPr>
          <w:p w:rsidR="009C13A9" w:rsidRPr="00C903F8" w:rsidRDefault="009C13A9" w:rsidP="009C13A9">
            <w:pPr>
              <w:tabs>
                <w:tab w:val="left" w:pos="57"/>
              </w:tabs>
              <w:overflowPunct w:val="0"/>
              <w:adjustRightInd w:val="0"/>
              <w:spacing w:before="40"/>
              <w:ind w:left="0" w:firstLine="0"/>
              <w:jc w:val="left"/>
              <w:textAlignment w:val="baseline"/>
              <w:rPr>
                <w:rFonts w:cs="Arial"/>
                <w:sz w:val="18"/>
                <w:szCs w:val="20"/>
              </w:rPr>
            </w:pPr>
            <w:r>
              <w:rPr>
                <w:sz w:val="18"/>
              </w:rPr>
              <w:t>Nome dell’imbarcazione</w:t>
            </w:r>
            <w:r>
              <w:rPr>
                <w:rFonts w:cs="Arial"/>
                <w:sz w:val="18"/>
                <w:szCs w:val="20"/>
              </w:rPr>
              <w:br/>
            </w:r>
            <w:r>
              <w:rPr>
                <w:rFonts w:cs="Arial"/>
                <w:sz w:val="18"/>
                <w:szCs w:val="20"/>
              </w:rPr>
              <w:br/>
            </w:r>
            <w:r>
              <w:rPr>
                <w:rFonts w:cs="Arial"/>
                <w:sz w:val="18"/>
                <w:szCs w:val="20"/>
              </w:rPr>
              <w:br/>
            </w:r>
          </w:p>
        </w:tc>
        <w:tc>
          <w:tcPr>
            <w:tcW w:w="3062" w:type="dxa"/>
            <w:gridSpan w:val="3"/>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57"/>
                <w:tab w:val="left" w:pos="227"/>
              </w:tabs>
              <w:overflowPunct w:val="0"/>
              <w:adjustRightInd w:val="0"/>
              <w:spacing w:before="40"/>
              <w:ind w:left="0" w:firstLine="0"/>
              <w:jc w:val="left"/>
              <w:textAlignment w:val="baseline"/>
              <w:rPr>
                <w:rFonts w:cs="Arial"/>
                <w:sz w:val="18"/>
                <w:szCs w:val="20"/>
              </w:rPr>
            </w:pPr>
            <w:r>
              <w:tab/>
            </w:r>
            <w:r>
              <w:rPr>
                <w:sz w:val="18"/>
              </w:rPr>
              <w:t>2.</w:t>
            </w:r>
            <w:r>
              <w:tab/>
            </w:r>
            <w:r>
              <w:rPr>
                <w:sz w:val="18"/>
              </w:rPr>
              <w:t>Tipo di imbarcazione</w:t>
            </w:r>
          </w:p>
        </w:tc>
        <w:tc>
          <w:tcPr>
            <w:tcW w:w="3064" w:type="dxa"/>
            <w:gridSpan w:val="3"/>
            <w:tcBorders>
              <w:top w:val="single" w:sz="6" w:space="0" w:color="auto"/>
              <w:bottom w:val="single" w:sz="6" w:space="0" w:color="auto"/>
              <w:right w:val="single" w:sz="6" w:space="0" w:color="auto"/>
            </w:tcBorders>
          </w:tcPr>
          <w:p w:rsidR="009C13A9" w:rsidRPr="00C903F8" w:rsidRDefault="009C13A9" w:rsidP="006D37CC">
            <w:pPr>
              <w:tabs>
                <w:tab w:val="left" w:pos="57"/>
                <w:tab w:val="left" w:pos="284"/>
              </w:tabs>
              <w:overflowPunct w:val="0"/>
              <w:adjustRightInd w:val="0"/>
              <w:spacing w:before="40"/>
              <w:ind w:left="284" w:hanging="284"/>
              <w:jc w:val="left"/>
              <w:textAlignment w:val="baseline"/>
              <w:rPr>
                <w:rFonts w:cs="Arial"/>
                <w:sz w:val="18"/>
                <w:szCs w:val="20"/>
              </w:rPr>
            </w:pPr>
            <w:r>
              <w:tab/>
            </w:r>
            <w:r>
              <w:rPr>
                <w:sz w:val="18"/>
              </w:rPr>
              <w:t>3.</w:t>
            </w:r>
            <w:r>
              <w:tab/>
            </w:r>
            <w:r>
              <w:rPr>
                <w:noProof/>
                <w:sz w:val="18"/>
              </w:rPr>
              <w:t>Numero unico europeo di identificazione delle navi</w:t>
            </w:r>
          </w:p>
        </w:tc>
      </w:tr>
      <w:tr w:rsidR="009C13A9" w:rsidRPr="00A0619C"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40"/>
              <w:ind w:left="0" w:firstLine="0"/>
              <w:jc w:val="left"/>
              <w:textAlignment w:val="baseline"/>
              <w:rPr>
                <w:rFonts w:cs="Arial"/>
                <w:sz w:val="18"/>
                <w:szCs w:val="20"/>
              </w:rPr>
            </w:pPr>
            <w:r>
              <w:tab/>
            </w:r>
            <w:r>
              <w:rPr>
                <w:sz w:val="18"/>
              </w:rPr>
              <w:t>4.</w:t>
            </w:r>
          </w:p>
        </w:tc>
        <w:tc>
          <w:tcPr>
            <w:tcW w:w="8904" w:type="dxa"/>
            <w:gridSpan w:val="7"/>
            <w:tcBorders>
              <w:top w:val="single" w:sz="6" w:space="0" w:color="auto"/>
              <w:bottom w:val="single" w:sz="6" w:space="0" w:color="auto"/>
              <w:right w:val="single" w:sz="6" w:space="0" w:color="auto"/>
            </w:tcBorders>
          </w:tcPr>
          <w:p w:rsidR="009C13A9" w:rsidRPr="00C903F8" w:rsidRDefault="009C13A9" w:rsidP="009C13A9">
            <w:pPr>
              <w:tabs>
                <w:tab w:val="left" w:pos="57"/>
                <w:tab w:val="left" w:pos="227"/>
              </w:tabs>
              <w:overflowPunct w:val="0"/>
              <w:adjustRightInd w:val="0"/>
              <w:spacing w:before="40"/>
              <w:ind w:left="57" w:firstLine="0"/>
              <w:jc w:val="left"/>
              <w:textAlignment w:val="baseline"/>
              <w:rPr>
                <w:rFonts w:cs="Arial"/>
                <w:sz w:val="18"/>
                <w:szCs w:val="20"/>
              </w:rPr>
            </w:pPr>
            <w:r>
              <w:rPr>
                <w:sz w:val="18"/>
              </w:rPr>
              <w:t>Nome e indirizzo del proprietario</w:t>
            </w:r>
            <w:r>
              <w:rPr>
                <w:rFonts w:cs="Arial"/>
                <w:sz w:val="18"/>
                <w:szCs w:val="20"/>
              </w:rPr>
              <w:br/>
            </w:r>
            <w:r>
              <w:rPr>
                <w:rFonts w:cs="Arial"/>
                <w:sz w:val="18"/>
                <w:szCs w:val="20"/>
              </w:rPr>
              <w:br/>
            </w:r>
            <w:r>
              <w:rPr>
                <w:rFonts w:cs="Arial"/>
                <w:sz w:val="18"/>
                <w:szCs w:val="20"/>
              </w:rPr>
              <w:br/>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s>
              <w:overflowPunct w:val="0"/>
              <w:adjustRightInd w:val="0"/>
              <w:spacing w:before="40"/>
              <w:ind w:left="0" w:firstLine="0"/>
              <w:jc w:val="left"/>
              <w:textAlignment w:val="baseline"/>
              <w:rPr>
                <w:rFonts w:cs="Arial"/>
                <w:sz w:val="18"/>
                <w:szCs w:val="20"/>
              </w:rPr>
            </w:pPr>
            <w:r>
              <w:tab/>
            </w:r>
            <w:r>
              <w:rPr>
                <w:sz w:val="18"/>
              </w:rPr>
              <w:t>5.</w:t>
            </w:r>
          </w:p>
        </w:tc>
        <w:tc>
          <w:tcPr>
            <w:tcW w:w="8904" w:type="dxa"/>
            <w:gridSpan w:val="7"/>
            <w:tcBorders>
              <w:top w:val="single" w:sz="6" w:space="0" w:color="auto"/>
              <w:bottom w:val="single" w:sz="6" w:space="0" w:color="auto"/>
              <w:right w:val="single" w:sz="6" w:space="0" w:color="auto"/>
            </w:tcBorders>
          </w:tcPr>
          <w:p w:rsidR="009C13A9" w:rsidRPr="00C903F8" w:rsidRDefault="009C13A9" w:rsidP="009C13A9">
            <w:pPr>
              <w:tabs>
                <w:tab w:val="left" w:pos="57"/>
                <w:tab w:val="left" w:pos="227"/>
                <w:tab w:val="left" w:leader="dot" w:pos="2835"/>
                <w:tab w:val="left" w:pos="3686"/>
                <w:tab w:val="left" w:leader="dot" w:pos="5670"/>
                <w:tab w:val="left" w:leader="dot" w:pos="8505"/>
              </w:tabs>
              <w:overflowPunct w:val="0"/>
              <w:adjustRightInd w:val="0"/>
              <w:spacing w:before="40"/>
              <w:ind w:left="57" w:firstLine="0"/>
              <w:jc w:val="left"/>
              <w:textAlignment w:val="baseline"/>
              <w:rPr>
                <w:rFonts w:cs="Arial"/>
                <w:sz w:val="18"/>
                <w:szCs w:val="20"/>
              </w:rPr>
            </w:pPr>
            <w:r>
              <w:rPr>
                <w:sz w:val="18"/>
              </w:rPr>
              <w:t xml:space="preserve">Lunghezza </w:t>
            </w:r>
            <m:oMath>
              <m:r>
                <w:rPr>
                  <w:rFonts w:ascii="Cambria Math" w:hAnsi="Cambria Math" w:cs="Arial"/>
                  <w:sz w:val="18"/>
                  <w:szCs w:val="20"/>
                </w:rPr>
                <m:t>L</m:t>
              </m:r>
            </m:oMath>
            <w:r>
              <w:rPr>
                <w:sz w:val="18"/>
              </w:rPr>
              <w:t xml:space="preserve">/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Pr>
                <w:sz w:val="16"/>
                <w:vertAlign w:val="superscript"/>
              </w:rPr>
              <w:t>*)</w:t>
            </w:r>
            <w:r>
              <w:tab/>
            </w:r>
            <w:r>
              <w:rPr>
                <w:sz w:val="16"/>
                <w:vertAlign w:val="superscript"/>
              </w:rPr>
              <w:t xml:space="preserve"> </w:t>
            </w:r>
            <w:r>
              <w:rPr>
                <w:sz w:val="18"/>
              </w:rPr>
              <w:t>Numero di passeggeri</w:t>
            </w:r>
            <w:r>
              <w:tab/>
            </w:r>
          </w:p>
          <w:p w:rsidR="009C13A9" w:rsidRPr="00C903F8" w:rsidRDefault="009C13A9" w:rsidP="009C13A9">
            <w:pPr>
              <w:tabs>
                <w:tab w:val="left" w:pos="57"/>
                <w:tab w:val="left" w:pos="227"/>
                <w:tab w:val="left" w:leader="dot" w:pos="2835"/>
                <w:tab w:val="left" w:pos="3686"/>
                <w:tab w:val="left" w:leader="dot" w:pos="5670"/>
                <w:tab w:val="left" w:leader="dot" w:pos="8505"/>
              </w:tabs>
              <w:overflowPunct w:val="0"/>
              <w:adjustRightInd w:val="0"/>
              <w:spacing w:before="40" w:after="80"/>
              <w:ind w:left="57" w:firstLine="0"/>
              <w:jc w:val="left"/>
              <w:textAlignment w:val="baseline"/>
              <w:rPr>
                <w:rFonts w:cs="Arial"/>
                <w:sz w:val="18"/>
                <w:szCs w:val="20"/>
              </w:rPr>
            </w:pPr>
            <w:r>
              <w:rPr>
                <w:sz w:val="18"/>
              </w:rPr>
              <w:t>Numero di letti</w:t>
            </w:r>
            <w:r>
              <w:rPr>
                <w:sz w:val="16"/>
                <w:vertAlign w:val="superscript"/>
              </w:rPr>
              <w:t>*)</w:t>
            </w:r>
            <w:r>
              <w:rPr>
                <w:sz w:val="18"/>
              </w:rPr>
              <w:t xml:space="preserve"> </w:t>
            </w:r>
            <w:r>
              <w:tab/>
            </w:r>
          </w:p>
        </w:tc>
      </w:tr>
      <w:tr w:rsidR="009C13A9" w:rsidRPr="00C903F8"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40"/>
              <w:ind w:left="0" w:firstLine="0"/>
              <w:jc w:val="left"/>
              <w:textAlignment w:val="baseline"/>
              <w:rPr>
                <w:rFonts w:cs="Arial"/>
                <w:sz w:val="18"/>
                <w:szCs w:val="20"/>
              </w:rPr>
            </w:pPr>
            <w:r>
              <w:tab/>
            </w:r>
            <w:r>
              <w:rPr>
                <w:sz w:val="18"/>
              </w:rPr>
              <w:t>6.</w:t>
            </w:r>
          </w:p>
        </w:tc>
        <w:tc>
          <w:tcPr>
            <w:tcW w:w="8904" w:type="dxa"/>
            <w:gridSpan w:val="7"/>
            <w:tcBorders>
              <w:top w:val="single" w:sz="6" w:space="0" w:color="auto"/>
              <w:bottom w:val="single" w:sz="6" w:space="0" w:color="auto"/>
              <w:right w:val="single" w:sz="6" w:space="0" w:color="auto"/>
            </w:tcBorders>
          </w:tcPr>
          <w:p w:rsidR="009C13A9" w:rsidRPr="00C903F8" w:rsidRDefault="009C13A9" w:rsidP="00166C9D">
            <w:pPr>
              <w:tabs>
                <w:tab w:val="left" w:pos="57"/>
                <w:tab w:val="left" w:pos="227"/>
                <w:tab w:val="left" w:leader="dot" w:pos="8505"/>
              </w:tabs>
              <w:overflowPunct w:val="0"/>
              <w:adjustRightInd w:val="0"/>
              <w:spacing w:before="40"/>
              <w:ind w:left="57" w:firstLine="0"/>
              <w:jc w:val="left"/>
              <w:textAlignment w:val="baseline"/>
              <w:rPr>
                <w:rFonts w:cs="Arial"/>
                <w:sz w:val="18"/>
                <w:szCs w:val="20"/>
              </w:rPr>
            </w:pPr>
            <w:r>
              <w:rPr>
                <w:sz w:val="18"/>
              </w:rPr>
              <w:t xml:space="preserve">Equipaggio: </w:t>
            </w:r>
            <w:r>
              <w:tab/>
            </w:r>
            <w:r>
              <w:rPr>
                <w:rFonts w:cs="Arial"/>
                <w:sz w:val="18"/>
                <w:szCs w:val="20"/>
              </w:rPr>
              <w:br/>
            </w:r>
          </w:p>
        </w:tc>
      </w:tr>
      <w:tr w:rsidR="009C13A9" w:rsidRPr="00A0619C"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r>
              <w:rPr>
                <w:sz w:val="18"/>
              </w:rPr>
              <w:t>6.1</w:t>
            </w:r>
          </w:p>
        </w:tc>
        <w:tc>
          <w:tcPr>
            <w:tcW w:w="8904" w:type="dxa"/>
            <w:gridSpan w:val="7"/>
            <w:tcBorders>
              <w:top w:val="single" w:sz="6" w:space="0" w:color="auto"/>
              <w:bottom w:val="single" w:sz="6" w:space="0" w:color="auto"/>
              <w:right w:val="single" w:sz="6" w:space="0" w:color="auto"/>
            </w:tcBorders>
          </w:tcPr>
          <w:p w:rsidR="009C13A9" w:rsidRPr="00C903F8" w:rsidRDefault="009C13A9" w:rsidP="001C4EBD">
            <w:pPr>
              <w:ind w:left="57" w:right="57" w:firstLine="0"/>
              <w:rPr>
                <w:sz w:val="18"/>
              </w:rPr>
            </w:pPr>
          </w:p>
          <w:p w:rsidR="009C13A9" w:rsidRPr="00C903F8" w:rsidRDefault="009C13A9" w:rsidP="001C4EBD">
            <w:pPr>
              <w:ind w:left="57" w:right="57" w:firstLine="0"/>
              <w:rPr>
                <w:rFonts w:cs="Arial"/>
                <w:sz w:val="18"/>
                <w:szCs w:val="18"/>
              </w:rPr>
            </w:pPr>
            <w:r>
              <w:rPr>
                <w:sz w:val="18"/>
              </w:rPr>
              <w:t>[La nave è accettata per i regimi di esercizio A1</w:t>
            </w:r>
            <w:r>
              <w:rPr>
                <w:sz w:val="16"/>
                <w:vertAlign w:val="superscript"/>
              </w:rPr>
              <w:t>*)</w:t>
            </w:r>
            <w:r>
              <w:rPr>
                <w:sz w:val="18"/>
              </w:rPr>
              <w:t>, A2</w:t>
            </w:r>
            <w:r>
              <w:rPr>
                <w:sz w:val="16"/>
                <w:vertAlign w:val="superscript"/>
              </w:rPr>
              <w:t>*)</w:t>
            </w:r>
            <w:r>
              <w:rPr>
                <w:sz w:val="18"/>
              </w:rPr>
              <w:t>, B</w:t>
            </w:r>
            <w:r>
              <w:rPr>
                <w:sz w:val="16"/>
                <w:vertAlign w:val="superscript"/>
              </w:rPr>
              <w:t>*)</w:t>
            </w:r>
            <w:r>
              <w:rPr>
                <w:sz w:val="18"/>
              </w:rPr>
              <w:t xml:space="preserve"> / Intestazione riferita ai regimi di esercizio conformemente ai requisiti nazionali e internazionali.]</w:t>
            </w:r>
          </w:p>
        </w:tc>
      </w:tr>
      <w:tr w:rsidR="009C13A9" w:rsidRPr="00A0619C"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r>
              <w:rPr>
                <w:sz w:val="18"/>
              </w:rPr>
              <w:t>6.2</w:t>
            </w:r>
          </w:p>
        </w:tc>
        <w:tc>
          <w:tcPr>
            <w:tcW w:w="8904" w:type="dxa"/>
            <w:gridSpan w:val="7"/>
            <w:tcBorders>
              <w:top w:val="single" w:sz="6" w:space="0" w:color="auto"/>
              <w:bottom w:val="single" w:sz="6" w:space="0" w:color="auto"/>
              <w:right w:val="single" w:sz="6" w:space="0" w:color="auto"/>
            </w:tcBorders>
          </w:tcPr>
          <w:p w:rsidR="009C13A9" w:rsidRPr="00C903F8" w:rsidRDefault="009C13A9" w:rsidP="001C4EBD">
            <w:pPr>
              <w:ind w:left="57" w:right="57" w:firstLine="0"/>
              <w:rPr>
                <w:rFonts w:cs="Arial"/>
                <w:sz w:val="18"/>
                <w:szCs w:val="18"/>
              </w:rPr>
            </w:pPr>
            <w:r>
              <w:rPr>
                <w:noProof/>
                <w:sz w:val="18"/>
              </w:rPr>
              <w:t>Dotazioni della nave conformemente all'articolo 31.01</w:t>
            </w:r>
            <w:r>
              <w:rPr>
                <w:noProof/>
                <w:sz w:val="18"/>
                <w:szCs w:val="20"/>
              </w:rPr>
              <w:br/>
            </w:r>
            <w:r>
              <w:rPr>
                <w:noProof/>
                <w:sz w:val="18"/>
              </w:rPr>
              <w:t>La nave rispetta</w:t>
            </w:r>
            <w:r>
              <w:rPr>
                <w:position w:val="6"/>
                <w:sz w:val="16"/>
              </w:rPr>
              <w:t xml:space="preserve"> *)</w:t>
            </w:r>
            <w:r>
              <w:rPr>
                <w:sz w:val="18"/>
              </w:rPr>
              <w:t xml:space="preserve"> / non rispetta </w:t>
            </w:r>
            <w:r>
              <w:rPr>
                <w:position w:val="6"/>
                <w:sz w:val="16"/>
              </w:rPr>
              <w:t>*)</w:t>
            </w:r>
            <w:r>
              <w:rPr>
                <w:sz w:val="18"/>
              </w:rPr>
              <w:t xml:space="preserve"> l'articolo 31.02 (Norma S1)</w:t>
            </w:r>
            <w:r>
              <w:rPr>
                <w:position w:val="6"/>
                <w:sz w:val="16"/>
              </w:rPr>
              <w:t>*)</w:t>
            </w:r>
            <w:r>
              <w:rPr>
                <w:sz w:val="18"/>
              </w:rPr>
              <w:t xml:space="preserve"> / l'articolo 31.03 (Norma S2)</w:t>
            </w:r>
            <w:r>
              <w:rPr>
                <w:position w:val="6"/>
                <w:sz w:val="16"/>
              </w:rPr>
              <w:t>*)</w:t>
            </w:r>
            <w:r>
              <w:rPr>
                <w:sz w:val="18"/>
              </w:rPr>
              <w:t>.</w:t>
            </w:r>
            <w:r>
              <w:rPr>
                <w:rFonts w:cs="Arial"/>
                <w:sz w:val="18"/>
                <w:szCs w:val="18"/>
              </w:rPr>
              <w:br/>
            </w:r>
            <w:r>
              <w:rPr>
                <w:sz w:val="18"/>
              </w:rPr>
              <w:t>[Conformemente all'articolo 3.18 del regolamento per il personale navigante sul Reno / Conformemente a requisiti nazionali o internazionali], occorre aumentare l'equipaggio minimo come segue</w:t>
            </w:r>
            <w:r>
              <w:rPr>
                <w:position w:val="6"/>
                <w:sz w:val="16"/>
              </w:rPr>
              <w:t>*)</w:t>
            </w:r>
            <w:r>
              <w:rPr>
                <w:sz w:val="18"/>
              </w:rPr>
              <w:t xml:space="preserve"> / non occorre aumentarlo</w:t>
            </w:r>
            <w:r>
              <w:rPr>
                <w:position w:val="6"/>
                <w:sz w:val="16"/>
              </w:rPr>
              <w:t>*)</w:t>
            </w:r>
            <w:r>
              <w:rPr>
                <w:sz w:val="18"/>
              </w:rPr>
              <w:t>:</w:t>
            </w:r>
            <w:r>
              <w:rPr>
                <w:sz w:val="18"/>
                <w:vertAlign w:val="superscript"/>
              </w:rPr>
              <w:footnoteReference w:id="51"/>
            </w:r>
          </w:p>
        </w:tc>
      </w:tr>
      <w:tr w:rsidR="009C13A9" w:rsidRPr="00A0619C"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4253" w:type="dxa"/>
            <w:gridSpan w:val="2"/>
            <w:tcBorders>
              <w:top w:val="single" w:sz="6" w:space="0" w:color="auto"/>
              <w:bottom w:val="single" w:sz="4" w:space="0" w:color="auto"/>
            </w:tcBorders>
          </w:tcPr>
          <w:p w:rsidR="009C13A9" w:rsidRPr="00C903F8" w:rsidRDefault="009C13A9" w:rsidP="009C13A9">
            <w:pPr>
              <w:tabs>
                <w:tab w:val="left" w:pos="57"/>
                <w:tab w:val="left" w:leader="dot" w:pos="8505"/>
              </w:tabs>
              <w:overflowPunct w:val="0"/>
              <w:adjustRightInd w:val="0"/>
              <w:spacing w:before="120"/>
              <w:ind w:left="57" w:hanging="57"/>
              <w:jc w:val="left"/>
              <w:textAlignment w:val="baseline"/>
              <w:rPr>
                <w:rFonts w:cs="Arial"/>
                <w:sz w:val="18"/>
                <w:szCs w:val="20"/>
              </w:rPr>
            </w:pPr>
          </w:p>
        </w:tc>
        <w:tc>
          <w:tcPr>
            <w:tcW w:w="4254" w:type="dxa"/>
            <w:gridSpan w:val="4"/>
            <w:tcBorders>
              <w:top w:val="single" w:sz="6" w:space="0" w:color="auto"/>
              <w:bottom w:val="single" w:sz="4" w:space="0" w:color="auto"/>
            </w:tcBorders>
          </w:tcPr>
          <w:p w:rsidR="009C13A9" w:rsidRPr="00C903F8" w:rsidRDefault="009C13A9" w:rsidP="009C13A9">
            <w:pPr>
              <w:tabs>
                <w:tab w:val="left" w:pos="1134"/>
              </w:tabs>
              <w:overflowPunct w:val="0"/>
              <w:adjustRightInd w:val="0"/>
              <w:spacing w:before="120"/>
              <w:ind w:left="57" w:hanging="57"/>
              <w:jc w:val="left"/>
              <w:textAlignment w:val="baseline"/>
              <w:rPr>
                <w:rFonts w:cs="Arial"/>
                <w:sz w:val="18"/>
                <w:szCs w:val="20"/>
              </w:rPr>
            </w:pPr>
          </w:p>
        </w:tc>
        <w:tc>
          <w:tcPr>
            <w:tcW w:w="397" w:type="dxa"/>
            <w:tcBorders>
              <w:left w:val="nil"/>
              <w:right w:val="single" w:sz="6" w:space="0" w:color="auto"/>
            </w:tcBorders>
          </w:tcPr>
          <w:p w:rsidR="009C13A9" w:rsidRPr="00C903F8" w:rsidRDefault="009C13A9" w:rsidP="009C13A9">
            <w:pPr>
              <w:tabs>
                <w:tab w:val="left" w:pos="57"/>
                <w:tab w:val="left" w:pos="5103"/>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4253" w:type="dxa"/>
            <w:gridSpan w:val="2"/>
            <w:tcBorders>
              <w:top w:val="single" w:sz="4" w:space="0" w:color="auto"/>
              <w:left w:val="single" w:sz="6" w:space="0" w:color="auto"/>
              <w:right w:val="single" w:sz="6" w:space="0" w:color="auto"/>
            </w:tcBorders>
          </w:tcPr>
          <w:p w:rsidR="009C13A9" w:rsidRPr="00C903F8" w:rsidRDefault="009C13A9" w:rsidP="009C13A9">
            <w:pPr>
              <w:tabs>
                <w:tab w:val="left" w:pos="57"/>
                <w:tab w:val="left" w:leader="dot" w:pos="8505"/>
              </w:tabs>
              <w:overflowPunct w:val="0"/>
              <w:adjustRightInd w:val="0"/>
              <w:spacing w:before="120"/>
              <w:ind w:left="57" w:hanging="57"/>
              <w:jc w:val="left"/>
              <w:textAlignment w:val="baseline"/>
              <w:rPr>
                <w:rFonts w:cs="Arial"/>
                <w:sz w:val="18"/>
                <w:szCs w:val="20"/>
              </w:rPr>
            </w:pPr>
          </w:p>
        </w:tc>
        <w:tc>
          <w:tcPr>
            <w:tcW w:w="4254" w:type="dxa"/>
            <w:gridSpan w:val="4"/>
            <w:tcBorders>
              <w:top w:val="single" w:sz="4" w:space="0" w:color="auto"/>
              <w:left w:val="single" w:sz="6" w:space="0" w:color="auto"/>
              <w:right w:val="single" w:sz="6" w:space="0" w:color="auto"/>
            </w:tcBorders>
          </w:tcPr>
          <w:p w:rsidR="009C13A9" w:rsidRPr="00C903F8" w:rsidRDefault="009C13A9" w:rsidP="009C13A9">
            <w:pPr>
              <w:tabs>
                <w:tab w:val="left" w:pos="1134"/>
              </w:tabs>
              <w:overflowPunct w:val="0"/>
              <w:adjustRightInd w:val="0"/>
              <w:spacing w:before="120"/>
              <w:ind w:left="57" w:hanging="57"/>
              <w:jc w:val="left"/>
              <w:textAlignment w:val="baseline"/>
              <w:rPr>
                <w:rFonts w:cs="Arial"/>
                <w:sz w:val="18"/>
                <w:szCs w:val="20"/>
              </w:rPr>
            </w:pPr>
            <w:r>
              <w:tab/>
            </w:r>
            <w:r>
              <w:tab/>
            </w:r>
            <w:r>
              <w:rPr>
                <w:sz w:val="18"/>
              </w:rPr>
              <w:t>Regime di esercizio</w:t>
            </w: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ind w:left="0" w:firstLine="0"/>
              <w:jc w:val="left"/>
              <w:textAlignment w:val="baseline"/>
              <w:rPr>
                <w:rFonts w:cs="Arial"/>
                <w:sz w:val="18"/>
                <w:szCs w:val="20"/>
              </w:rPr>
            </w:pP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40" w:after="40"/>
              <w:ind w:left="0" w:firstLine="0"/>
              <w:jc w:val="left"/>
              <w:textAlignment w:val="baseline"/>
              <w:rPr>
                <w:rFonts w:cs="Arial"/>
                <w:sz w:val="18"/>
                <w:szCs w:val="20"/>
              </w:rPr>
            </w:pPr>
          </w:p>
        </w:tc>
        <w:tc>
          <w:tcPr>
            <w:tcW w:w="4253" w:type="dxa"/>
            <w:gridSpan w:val="2"/>
            <w:tcBorders>
              <w:top w:val="single" w:sz="6" w:space="0" w:color="auto"/>
              <w:left w:val="single" w:sz="6" w:space="0" w:color="auto"/>
              <w:right w:val="single" w:sz="6" w:space="0" w:color="auto"/>
            </w:tcBorders>
          </w:tcPr>
          <w:p w:rsidR="009C13A9" w:rsidRPr="00C903F8" w:rsidRDefault="009C13A9" w:rsidP="009C13A9">
            <w:pPr>
              <w:tabs>
                <w:tab w:val="left" w:pos="57"/>
                <w:tab w:val="left" w:leader="dot" w:pos="3969"/>
                <w:tab w:val="left" w:leader="dot" w:pos="8505"/>
              </w:tabs>
              <w:overflowPunct w:val="0"/>
              <w:adjustRightInd w:val="0"/>
              <w:spacing w:before="40" w:after="40"/>
              <w:ind w:left="57" w:hanging="57"/>
              <w:jc w:val="left"/>
              <w:textAlignment w:val="baseline"/>
              <w:rPr>
                <w:rFonts w:cs="Arial"/>
                <w:sz w:val="18"/>
                <w:szCs w:val="20"/>
              </w:rPr>
            </w:pPr>
          </w:p>
        </w:tc>
        <w:tc>
          <w:tcPr>
            <w:tcW w:w="1418" w:type="dxa"/>
            <w:tcBorders>
              <w:top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spacing w:before="40" w:after="40"/>
              <w:ind w:left="57" w:hanging="57"/>
              <w:jc w:val="left"/>
              <w:textAlignment w:val="baseline"/>
              <w:rPr>
                <w:rFonts w:cs="Arial"/>
                <w:sz w:val="18"/>
                <w:szCs w:val="20"/>
              </w:rPr>
            </w:pPr>
          </w:p>
        </w:tc>
        <w:tc>
          <w:tcPr>
            <w:tcW w:w="1418" w:type="dxa"/>
            <w:gridSpan w:val="2"/>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spacing w:before="40" w:after="40"/>
              <w:ind w:left="57" w:hanging="57"/>
              <w:jc w:val="left"/>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C903F8" w:rsidRDefault="009C13A9" w:rsidP="009C13A9">
            <w:pPr>
              <w:tabs>
                <w:tab w:val="left" w:pos="454"/>
              </w:tabs>
              <w:overflowPunct w:val="0"/>
              <w:adjustRightInd w:val="0"/>
              <w:spacing w:before="40" w:after="40"/>
              <w:ind w:left="57" w:hanging="57"/>
              <w:jc w:val="left"/>
              <w:textAlignment w:val="baseline"/>
              <w:rPr>
                <w:rFonts w:cs="Arial"/>
                <w:sz w:val="18"/>
                <w:szCs w:val="20"/>
              </w:rPr>
            </w:pP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40" w:after="4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4253" w:type="dxa"/>
            <w:gridSpan w:val="2"/>
            <w:tcBorders>
              <w:left w:val="single" w:sz="6" w:space="0" w:color="auto"/>
              <w:right w:val="single" w:sz="6" w:space="0" w:color="auto"/>
            </w:tcBorders>
          </w:tcPr>
          <w:p w:rsidR="009C13A9" w:rsidRPr="00C903F8" w:rsidRDefault="009C13A9" w:rsidP="009C13A9">
            <w:pPr>
              <w:tabs>
                <w:tab w:val="left" w:pos="57"/>
                <w:tab w:val="left" w:leader="dot" w:pos="3969"/>
                <w:tab w:val="left" w:leader="dot" w:pos="8505"/>
              </w:tabs>
              <w:overflowPunct w:val="0"/>
              <w:adjustRightInd w:val="0"/>
              <w:spacing w:before="120"/>
              <w:ind w:left="114" w:hanging="57"/>
              <w:jc w:val="left"/>
              <w:textAlignment w:val="baseline"/>
              <w:rPr>
                <w:rFonts w:cs="Arial"/>
                <w:sz w:val="18"/>
                <w:szCs w:val="20"/>
              </w:rPr>
            </w:pPr>
          </w:p>
        </w:tc>
        <w:tc>
          <w:tcPr>
            <w:tcW w:w="1418" w:type="dxa"/>
            <w:tcBorders>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r>
              <w:tab/>
            </w:r>
            <w:r>
              <w:tab/>
            </w:r>
          </w:p>
        </w:tc>
        <w:tc>
          <w:tcPr>
            <w:tcW w:w="1418" w:type="dxa"/>
            <w:gridSpan w:val="2"/>
            <w:tcBorders>
              <w:left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r>
              <w:tab/>
            </w:r>
            <w:r>
              <w:tab/>
            </w:r>
          </w:p>
        </w:tc>
        <w:tc>
          <w:tcPr>
            <w:tcW w:w="1418" w:type="dxa"/>
            <w:tcBorders>
              <w:left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r>
              <w:tab/>
            </w:r>
            <w:r>
              <w:tab/>
            </w: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12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p>
        </w:tc>
        <w:tc>
          <w:tcPr>
            <w:tcW w:w="4253" w:type="dxa"/>
            <w:gridSpan w:val="2"/>
            <w:tcBorders>
              <w:left w:val="single" w:sz="6" w:space="0" w:color="auto"/>
              <w:bottom w:val="single" w:sz="6" w:space="0" w:color="auto"/>
              <w:right w:val="single" w:sz="6" w:space="0" w:color="auto"/>
            </w:tcBorders>
          </w:tcPr>
          <w:p w:rsidR="009C13A9" w:rsidRPr="00C903F8" w:rsidRDefault="009C13A9" w:rsidP="009C13A9">
            <w:pPr>
              <w:tabs>
                <w:tab w:val="left" w:pos="57"/>
                <w:tab w:val="left" w:leader="dot" w:pos="3969"/>
                <w:tab w:val="left" w:leader="dot" w:pos="8505"/>
              </w:tabs>
              <w:overflowPunct w:val="0"/>
              <w:adjustRightInd w:val="0"/>
              <w:spacing w:before="120"/>
              <w:ind w:left="114" w:hanging="57"/>
              <w:jc w:val="left"/>
              <w:textAlignment w:val="baseline"/>
              <w:rPr>
                <w:rFonts w:cs="Arial"/>
                <w:sz w:val="18"/>
                <w:szCs w:val="20"/>
              </w:rPr>
            </w:pPr>
          </w:p>
        </w:tc>
        <w:tc>
          <w:tcPr>
            <w:tcW w:w="1418" w:type="dxa"/>
            <w:tcBorders>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r>
              <w:tab/>
            </w:r>
            <w:r>
              <w:tab/>
            </w:r>
          </w:p>
        </w:tc>
        <w:tc>
          <w:tcPr>
            <w:tcW w:w="1418" w:type="dxa"/>
            <w:gridSpan w:val="2"/>
            <w:tcBorders>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r>
              <w:tab/>
            </w:r>
            <w:r>
              <w:tab/>
            </w:r>
          </w:p>
        </w:tc>
        <w:tc>
          <w:tcPr>
            <w:tcW w:w="1418" w:type="dxa"/>
            <w:tcBorders>
              <w:left w:val="single" w:sz="6" w:space="0" w:color="auto"/>
              <w:bottom w:val="single" w:sz="6" w:space="0" w:color="auto"/>
              <w:right w:val="single" w:sz="6" w:space="0" w:color="auto"/>
            </w:tcBorders>
          </w:tcPr>
          <w:p w:rsidR="009C13A9" w:rsidRPr="00C903F8" w:rsidRDefault="009C13A9" w:rsidP="009C13A9">
            <w:pPr>
              <w:tabs>
                <w:tab w:val="left" w:pos="57"/>
                <w:tab w:val="left" w:leader="dot" w:pos="1134"/>
                <w:tab w:val="left" w:leader="dot" w:pos="8505"/>
              </w:tabs>
              <w:overflowPunct w:val="0"/>
              <w:adjustRightInd w:val="0"/>
              <w:spacing w:before="120"/>
              <w:ind w:left="57" w:hanging="57"/>
              <w:jc w:val="left"/>
              <w:textAlignment w:val="baseline"/>
              <w:rPr>
                <w:rFonts w:cs="Arial"/>
                <w:sz w:val="18"/>
                <w:szCs w:val="20"/>
              </w:rPr>
            </w:pPr>
            <w:r>
              <w:tab/>
            </w:r>
            <w:r>
              <w:tab/>
            </w:r>
          </w:p>
        </w:tc>
        <w:tc>
          <w:tcPr>
            <w:tcW w:w="397" w:type="dxa"/>
            <w:tcBorders>
              <w:right w:val="single" w:sz="6" w:space="0" w:color="auto"/>
            </w:tcBorders>
          </w:tcPr>
          <w:p w:rsidR="009C13A9" w:rsidRPr="00C903F8" w:rsidRDefault="009C13A9" w:rsidP="009C13A9">
            <w:pPr>
              <w:tabs>
                <w:tab w:val="left" w:pos="57"/>
                <w:tab w:val="left" w:pos="5103"/>
              </w:tabs>
              <w:overflowPunct w:val="0"/>
              <w:adjustRightInd w:val="0"/>
              <w:spacing w:before="120"/>
              <w:ind w:left="0" w:firstLine="0"/>
              <w:jc w:val="left"/>
              <w:textAlignment w:val="baseline"/>
              <w:rPr>
                <w:rFonts w:cs="Arial"/>
                <w:sz w:val="18"/>
                <w:szCs w:val="20"/>
              </w:rPr>
            </w:pPr>
            <w:r>
              <w:tab/>
            </w:r>
          </w:p>
        </w:tc>
      </w:tr>
      <w:tr w:rsidR="009C13A9" w:rsidRPr="00C903F8" w:rsidTr="009C13A9">
        <w:trPr>
          <w:cantSplit/>
          <w:jc w:val="center"/>
        </w:trPr>
        <w:tc>
          <w:tcPr>
            <w:tcW w:w="284" w:type="dxa"/>
            <w:tcBorders>
              <w:left w:val="single" w:sz="6" w:space="0" w:color="auto"/>
            </w:tcBorders>
          </w:tcPr>
          <w:p w:rsidR="009C13A9" w:rsidRPr="00C903F8" w:rsidRDefault="009C13A9" w:rsidP="009C13A9">
            <w:pPr>
              <w:tabs>
                <w:tab w:val="left" w:pos="57"/>
                <w:tab w:val="left" w:pos="227"/>
              </w:tabs>
              <w:overflowPunct w:val="0"/>
              <w:adjustRightInd w:val="0"/>
              <w:spacing w:before="40"/>
              <w:ind w:left="0" w:firstLine="0"/>
              <w:jc w:val="left"/>
              <w:textAlignment w:val="baseline"/>
              <w:rPr>
                <w:rFonts w:cs="Arial"/>
                <w:sz w:val="18"/>
                <w:szCs w:val="20"/>
              </w:rPr>
            </w:pPr>
          </w:p>
        </w:tc>
        <w:tc>
          <w:tcPr>
            <w:tcW w:w="8904" w:type="dxa"/>
            <w:gridSpan w:val="7"/>
            <w:tcBorders>
              <w:right w:val="single" w:sz="6" w:space="0" w:color="auto"/>
            </w:tcBorders>
          </w:tcPr>
          <w:p w:rsidR="009C13A9" w:rsidRPr="00C903F8" w:rsidRDefault="009C13A9" w:rsidP="009C13A9">
            <w:pPr>
              <w:tabs>
                <w:tab w:val="left" w:leader="dot" w:pos="8505"/>
              </w:tabs>
              <w:overflowPunct w:val="0"/>
              <w:adjustRightInd w:val="0"/>
              <w:spacing w:before="80"/>
              <w:ind w:left="57" w:firstLine="0"/>
              <w:jc w:val="left"/>
              <w:textAlignment w:val="baseline"/>
              <w:rPr>
                <w:rFonts w:cs="Arial"/>
                <w:sz w:val="18"/>
                <w:szCs w:val="20"/>
              </w:rPr>
            </w:pPr>
            <w:r>
              <w:rPr>
                <w:noProof/>
                <w:sz w:val="18"/>
              </w:rPr>
              <w:t>Osservazioni e condizioni particolari</w:t>
            </w:r>
            <w:r>
              <w:rPr>
                <w:noProof/>
                <w:sz w:val="18"/>
                <w:szCs w:val="20"/>
              </w:rPr>
              <w:br/>
            </w:r>
            <w:r>
              <w:tab/>
            </w:r>
            <w:r>
              <w:rPr>
                <w:rFonts w:cs="Arial"/>
                <w:sz w:val="18"/>
                <w:szCs w:val="20"/>
              </w:rPr>
              <w:br/>
            </w:r>
            <w:r>
              <w:tab/>
            </w:r>
          </w:p>
        </w:tc>
      </w:tr>
      <w:tr w:rsidR="009C13A9" w:rsidRPr="00A0619C" w:rsidTr="009C13A9">
        <w:trPr>
          <w:cantSplit/>
          <w:jc w:val="center"/>
        </w:trPr>
        <w:tc>
          <w:tcPr>
            <w:tcW w:w="284" w:type="dxa"/>
            <w:tcBorders>
              <w:top w:val="single" w:sz="6" w:space="0" w:color="auto"/>
              <w:left w:val="single" w:sz="6" w:space="0" w:color="auto"/>
            </w:tcBorders>
          </w:tcPr>
          <w:p w:rsidR="009C13A9" w:rsidRPr="00C903F8" w:rsidRDefault="009C13A9" w:rsidP="009C13A9">
            <w:pPr>
              <w:tabs>
                <w:tab w:val="left" w:pos="57"/>
                <w:tab w:val="left" w:pos="227"/>
              </w:tabs>
              <w:overflowPunct w:val="0"/>
              <w:adjustRightInd w:val="0"/>
              <w:spacing w:before="120"/>
              <w:ind w:left="0" w:firstLine="0"/>
              <w:jc w:val="left"/>
              <w:textAlignment w:val="baseline"/>
              <w:rPr>
                <w:rFonts w:cs="Arial"/>
                <w:sz w:val="18"/>
                <w:szCs w:val="20"/>
              </w:rPr>
            </w:pPr>
            <w:r>
              <w:rPr>
                <w:sz w:val="18"/>
              </w:rPr>
              <w:t>6.3</w:t>
            </w:r>
          </w:p>
        </w:tc>
        <w:tc>
          <w:tcPr>
            <w:tcW w:w="8904" w:type="dxa"/>
            <w:gridSpan w:val="7"/>
            <w:tcBorders>
              <w:top w:val="single" w:sz="6" w:space="0" w:color="auto"/>
              <w:right w:val="single" w:sz="6" w:space="0" w:color="auto"/>
            </w:tcBorders>
          </w:tcPr>
          <w:p w:rsidR="009C13A9" w:rsidRPr="00C903F8" w:rsidRDefault="009C13A9" w:rsidP="00166C9D">
            <w:pPr>
              <w:tabs>
                <w:tab w:val="left" w:pos="57"/>
                <w:tab w:val="left" w:leader="dot" w:pos="8505"/>
              </w:tabs>
              <w:overflowPunct w:val="0"/>
              <w:adjustRightInd w:val="0"/>
              <w:spacing w:before="120" w:after="120"/>
              <w:ind w:left="57" w:firstLine="0"/>
              <w:jc w:val="left"/>
              <w:textAlignment w:val="baseline"/>
              <w:rPr>
                <w:rFonts w:cs="Arial"/>
                <w:sz w:val="18"/>
                <w:szCs w:val="20"/>
              </w:rPr>
            </w:pPr>
            <w:r>
              <w:rPr>
                <w:sz w:val="18"/>
              </w:rPr>
              <w:t xml:space="preserve">Equipaggio minimo [ai sensi dell'articolo 3.19 del regolamento per il personale navigante sul Reno / conformemente a requisiti nazionali o internazionali]: </w:t>
            </w:r>
            <w:r>
              <w:tab/>
            </w:r>
            <w:r>
              <w:rPr>
                <w:rFonts w:cs="Arial"/>
                <w:sz w:val="18"/>
                <w:szCs w:val="20"/>
              </w:rPr>
              <w:br/>
            </w:r>
            <w:r>
              <w:tab/>
            </w:r>
          </w:p>
        </w:tc>
      </w:tr>
      <w:tr w:rsidR="009C13A9" w:rsidRPr="00A0619C"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80"/>
              <w:ind w:left="0" w:firstLine="0"/>
              <w:jc w:val="left"/>
              <w:textAlignment w:val="baseline"/>
              <w:rPr>
                <w:rFonts w:cs="Arial"/>
                <w:sz w:val="18"/>
                <w:szCs w:val="20"/>
              </w:rPr>
            </w:pPr>
            <w:r>
              <w:rPr>
                <w:sz w:val="18"/>
              </w:rPr>
              <w:t xml:space="preserve"> 7.</w:t>
            </w:r>
          </w:p>
        </w:tc>
        <w:tc>
          <w:tcPr>
            <w:tcW w:w="8904" w:type="dxa"/>
            <w:gridSpan w:val="7"/>
            <w:tcBorders>
              <w:top w:val="single" w:sz="6" w:space="0" w:color="auto"/>
              <w:bottom w:val="single" w:sz="6" w:space="0" w:color="auto"/>
              <w:right w:val="single" w:sz="6" w:space="0" w:color="auto"/>
            </w:tcBorders>
          </w:tcPr>
          <w:p w:rsidR="009C13A9" w:rsidRPr="00C903F8" w:rsidRDefault="009C13A9" w:rsidP="009C13A9">
            <w:pPr>
              <w:tabs>
                <w:tab w:val="left" w:pos="57"/>
                <w:tab w:val="left" w:leader="dot" w:pos="4536"/>
                <w:tab w:val="left" w:pos="5103"/>
              </w:tabs>
              <w:overflowPunct w:val="0"/>
              <w:adjustRightInd w:val="0"/>
              <w:spacing w:before="80" w:after="120"/>
              <w:ind w:left="57" w:firstLine="0"/>
              <w:jc w:val="left"/>
              <w:textAlignment w:val="baseline"/>
              <w:rPr>
                <w:rFonts w:cs="Arial"/>
                <w:sz w:val="18"/>
                <w:szCs w:val="20"/>
              </w:rPr>
            </w:pPr>
            <w:r>
              <w:rPr>
                <w:noProof/>
                <w:sz w:val="18"/>
              </w:rPr>
              <w:t>Impianto/impianti a gas liquefatto</w:t>
            </w:r>
            <w:r>
              <w:rPr>
                <w:noProof/>
                <w:sz w:val="18"/>
                <w:szCs w:val="20"/>
              </w:rPr>
              <w:br/>
            </w:r>
            <w:r>
              <w:rPr>
                <w:noProof/>
                <w:sz w:val="18"/>
              </w:rPr>
              <w:t>Il certificato è valido fino al</w:t>
            </w:r>
            <w:r>
              <w:tab/>
            </w:r>
          </w:p>
        </w:tc>
      </w:tr>
      <w:tr w:rsidR="009C13A9" w:rsidRPr="00C903F8"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40"/>
              <w:ind w:left="0" w:firstLine="0"/>
              <w:jc w:val="left"/>
              <w:textAlignment w:val="baseline"/>
              <w:rPr>
                <w:rFonts w:cs="Arial"/>
                <w:sz w:val="18"/>
                <w:szCs w:val="20"/>
              </w:rPr>
            </w:pPr>
            <w:r>
              <w:rPr>
                <w:sz w:val="18"/>
              </w:rPr>
              <w:t xml:space="preserve"> 8.</w:t>
            </w:r>
          </w:p>
        </w:tc>
        <w:tc>
          <w:tcPr>
            <w:tcW w:w="8904" w:type="dxa"/>
            <w:gridSpan w:val="7"/>
            <w:tcBorders>
              <w:top w:val="single" w:sz="6" w:space="0" w:color="auto"/>
              <w:bottom w:val="single" w:sz="6" w:space="0" w:color="auto"/>
              <w:right w:val="single" w:sz="6" w:space="0" w:color="auto"/>
            </w:tcBorders>
          </w:tcPr>
          <w:p w:rsidR="009C13A9" w:rsidRPr="00C903F8" w:rsidRDefault="009C13A9" w:rsidP="009C13A9">
            <w:pPr>
              <w:tabs>
                <w:tab w:val="left" w:pos="57"/>
                <w:tab w:val="left" w:pos="5103"/>
              </w:tabs>
              <w:overflowPunct w:val="0"/>
              <w:adjustRightInd w:val="0"/>
              <w:spacing w:before="40" w:after="120"/>
              <w:ind w:left="57" w:firstLine="0"/>
              <w:jc w:val="left"/>
              <w:textAlignment w:val="baseline"/>
              <w:rPr>
                <w:rFonts w:cs="Arial"/>
                <w:sz w:val="18"/>
                <w:szCs w:val="20"/>
              </w:rPr>
            </w:pPr>
            <w:r>
              <w:rPr>
                <w:sz w:val="18"/>
              </w:rPr>
              <w:t>Condizioni particolari</w:t>
            </w:r>
            <w:r>
              <w:rPr>
                <w:rFonts w:cs="Arial"/>
                <w:sz w:val="18"/>
                <w:szCs w:val="20"/>
              </w:rPr>
              <w:br/>
            </w:r>
          </w:p>
        </w:tc>
      </w:tr>
      <w:tr w:rsidR="009C13A9" w:rsidRPr="00A0619C"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80"/>
              <w:ind w:left="0" w:firstLine="0"/>
              <w:jc w:val="left"/>
              <w:textAlignment w:val="baseline"/>
              <w:rPr>
                <w:rFonts w:cs="Arial"/>
                <w:sz w:val="18"/>
                <w:szCs w:val="20"/>
              </w:rPr>
            </w:pPr>
            <w:r>
              <w:rPr>
                <w:sz w:val="18"/>
              </w:rPr>
              <w:t xml:space="preserve"> [9.</w:t>
            </w:r>
          </w:p>
        </w:tc>
        <w:tc>
          <w:tcPr>
            <w:tcW w:w="8904" w:type="dxa"/>
            <w:gridSpan w:val="7"/>
            <w:tcBorders>
              <w:top w:val="single" w:sz="6" w:space="0" w:color="auto"/>
              <w:bottom w:val="single" w:sz="6" w:space="0" w:color="auto"/>
              <w:right w:val="single" w:sz="6" w:space="0" w:color="auto"/>
            </w:tcBorders>
          </w:tcPr>
          <w:p w:rsidR="009C13A9" w:rsidRPr="00C903F8" w:rsidRDefault="009C13A9" w:rsidP="009C13A9">
            <w:pPr>
              <w:tabs>
                <w:tab w:val="left" w:pos="57"/>
                <w:tab w:val="left" w:pos="5103"/>
              </w:tabs>
              <w:overflowPunct w:val="0"/>
              <w:adjustRightInd w:val="0"/>
              <w:spacing w:before="80" w:after="120"/>
              <w:ind w:left="57" w:firstLine="0"/>
              <w:jc w:val="left"/>
              <w:textAlignment w:val="baseline"/>
              <w:rPr>
                <w:rFonts w:cs="Arial"/>
                <w:sz w:val="18"/>
                <w:szCs w:val="20"/>
              </w:rPr>
            </w:pPr>
            <w:r>
              <w:rPr>
                <w:sz w:val="18"/>
              </w:rPr>
              <w:t>Trasporto di merci pericolose, cfr. certificato di autorizzazione provvisorio</w:t>
            </w:r>
            <w:r>
              <w:rPr>
                <w:sz w:val="16"/>
                <w:vertAlign w:val="superscript"/>
              </w:rPr>
              <w:t xml:space="preserve"> *)</w:t>
            </w:r>
            <w:r>
              <w:rPr>
                <w:sz w:val="18"/>
              </w:rPr>
              <w:t>]</w:t>
            </w:r>
          </w:p>
        </w:tc>
      </w:tr>
      <w:tr w:rsidR="009C13A9" w:rsidRPr="00A0619C" w:rsidTr="009C13A9">
        <w:trPr>
          <w:cantSplit/>
          <w:jc w:val="center"/>
        </w:trPr>
        <w:tc>
          <w:tcPr>
            <w:tcW w:w="284" w:type="dxa"/>
            <w:tcBorders>
              <w:top w:val="single" w:sz="6" w:space="0" w:color="auto"/>
              <w:left w:val="single" w:sz="6" w:space="0" w:color="auto"/>
              <w:bottom w:val="single" w:sz="6" w:space="0" w:color="auto"/>
            </w:tcBorders>
          </w:tcPr>
          <w:p w:rsidR="009C13A9" w:rsidRPr="00C903F8" w:rsidRDefault="009C13A9" w:rsidP="009C13A9">
            <w:pPr>
              <w:tabs>
                <w:tab w:val="left" w:pos="57"/>
                <w:tab w:val="left" w:pos="227"/>
              </w:tabs>
              <w:overflowPunct w:val="0"/>
              <w:adjustRightInd w:val="0"/>
              <w:spacing w:before="80"/>
              <w:ind w:left="0" w:firstLine="0"/>
              <w:jc w:val="left"/>
              <w:textAlignment w:val="baseline"/>
              <w:rPr>
                <w:rFonts w:cs="Arial"/>
                <w:sz w:val="18"/>
                <w:szCs w:val="20"/>
              </w:rPr>
            </w:pPr>
            <w:r>
              <w:rPr>
                <w:sz w:val="18"/>
              </w:rPr>
              <w:lastRenderedPageBreak/>
              <w:t>10.</w:t>
            </w:r>
          </w:p>
        </w:tc>
        <w:tc>
          <w:tcPr>
            <w:tcW w:w="8904" w:type="dxa"/>
            <w:gridSpan w:val="7"/>
            <w:tcBorders>
              <w:top w:val="single" w:sz="6" w:space="0" w:color="auto"/>
              <w:bottom w:val="single" w:sz="6" w:space="0" w:color="auto"/>
              <w:right w:val="single" w:sz="6" w:space="0" w:color="auto"/>
            </w:tcBorders>
          </w:tcPr>
          <w:p w:rsidR="009C13A9" w:rsidRPr="00C903F8" w:rsidRDefault="009C13A9" w:rsidP="00E3172D">
            <w:pPr>
              <w:tabs>
                <w:tab w:val="left" w:pos="57"/>
                <w:tab w:val="left" w:leader="dot" w:pos="2835"/>
                <w:tab w:val="left" w:pos="6296"/>
                <w:tab w:val="left" w:leader="dot" w:pos="8564"/>
              </w:tabs>
              <w:overflowPunct w:val="0"/>
              <w:adjustRightInd w:val="0"/>
              <w:spacing w:before="80" w:after="20"/>
              <w:ind w:left="57" w:firstLine="0"/>
              <w:jc w:val="left"/>
              <w:textAlignment w:val="baseline"/>
              <w:rPr>
                <w:rFonts w:cs="Arial"/>
                <w:sz w:val="16"/>
                <w:szCs w:val="20"/>
              </w:rPr>
            </w:pPr>
            <w:r>
              <w:rPr>
                <w:sz w:val="18"/>
              </w:rPr>
              <w:t>Validità</w:t>
            </w:r>
            <w:r>
              <w:rPr>
                <w:rFonts w:cs="Arial"/>
                <w:sz w:val="18"/>
                <w:szCs w:val="20"/>
              </w:rPr>
              <w:br/>
            </w:r>
            <w:r>
              <w:rPr>
                <w:sz w:val="18"/>
              </w:rPr>
              <w:t>Data di fine validità del certificato provvisorio di nave di navigazione interna ………………………………………………………</w:t>
            </w:r>
            <w:r>
              <w:rPr>
                <w:rFonts w:cs="Arial"/>
                <w:sz w:val="18"/>
                <w:szCs w:val="20"/>
              </w:rPr>
              <w:br/>
            </w:r>
            <w:r>
              <w:rPr>
                <w:sz w:val="18"/>
              </w:rPr>
              <w:t>per la navigazione</w:t>
            </w:r>
            <w:r>
              <w:rPr>
                <w:sz w:val="16"/>
                <w:vertAlign w:val="superscript"/>
              </w:rPr>
              <w:t>*)</w:t>
            </w:r>
            <w:r>
              <w:rPr>
                <w:sz w:val="18"/>
              </w:rPr>
              <w:t>/per un solo viaggio</w:t>
            </w:r>
            <w:r>
              <w:rPr>
                <w:sz w:val="16"/>
                <w:vertAlign w:val="superscript"/>
              </w:rPr>
              <w:t>*)</w:t>
            </w:r>
            <w:r>
              <w:tab/>
            </w:r>
            <w:r>
              <w:rPr>
                <w:sz w:val="18"/>
              </w:rPr>
              <w:t xml:space="preserve"> </w:t>
            </w:r>
            <w:r>
              <w:rPr>
                <w:sz w:val="16"/>
              </w:rPr>
              <w:t>(data)</w:t>
            </w:r>
          </w:p>
          <w:p w:rsidR="009C13A9" w:rsidRPr="00C903F8" w:rsidRDefault="009C13A9" w:rsidP="009C13A9">
            <w:pPr>
              <w:tabs>
                <w:tab w:val="left" w:pos="342"/>
                <w:tab w:val="left" w:leader="dot" w:pos="3969"/>
                <w:tab w:val="left" w:pos="4253"/>
                <w:tab w:val="left" w:leader="dot" w:pos="8505"/>
              </w:tabs>
              <w:overflowPunct w:val="0"/>
              <w:adjustRightInd w:val="0"/>
              <w:ind w:left="0" w:firstLine="0"/>
              <w:jc w:val="left"/>
              <w:textAlignment w:val="baseline"/>
              <w:rPr>
                <w:noProof/>
                <w:position w:val="6"/>
                <w:sz w:val="16"/>
              </w:rPr>
            </w:pPr>
            <w:r>
              <w:rPr>
                <w:noProof/>
                <w:sz w:val="18"/>
              </w:rPr>
              <w:t>-</w:t>
            </w:r>
            <w:r>
              <w:tab/>
            </w:r>
            <w:r>
              <w:rPr>
                <w:noProof/>
                <w:sz w:val="18"/>
              </w:rPr>
              <w:t>sul Reno </w:t>
            </w:r>
            <w:r>
              <w:rPr>
                <w:noProof/>
                <w:position w:val="6"/>
                <w:sz w:val="16"/>
              </w:rPr>
              <w:t>(*)</w:t>
            </w:r>
          </w:p>
          <w:p w:rsidR="009C13A9" w:rsidRPr="00C903F8" w:rsidRDefault="009C13A9" w:rsidP="009C13A9">
            <w:pPr>
              <w:tabs>
                <w:tab w:val="left" w:pos="57"/>
                <w:tab w:val="left" w:leader="dot" w:pos="3969"/>
                <w:tab w:val="left" w:pos="4253"/>
                <w:tab w:val="left" w:leader="dot" w:pos="8505"/>
              </w:tabs>
              <w:overflowPunct w:val="0"/>
              <w:adjustRightInd w:val="0"/>
              <w:ind w:left="0" w:firstLine="0"/>
              <w:jc w:val="left"/>
              <w:textAlignment w:val="baseline"/>
              <w:rPr>
                <w:rFonts w:cs="Arial"/>
                <w:position w:val="6"/>
                <w:sz w:val="16"/>
                <w:szCs w:val="20"/>
              </w:rPr>
            </w:pPr>
            <w:r>
              <w:rPr>
                <w:sz w:val="18"/>
              </w:rPr>
              <w:t xml:space="preserve">tra </w:t>
            </w:r>
            <w:r>
              <w:tab/>
            </w:r>
            <w:r>
              <w:tab/>
            </w:r>
            <w:r>
              <w:tab/>
            </w:r>
            <w:r>
              <w:rPr>
                <w:position w:val="6"/>
                <w:sz w:val="16"/>
              </w:rPr>
              <w:t>*)</w:t>
            </w:r>
          </w:p>
          <w:p w:rsidR="009C13A9" w:rsidRPr="00C903F8" w:rsidRDefault="009C13A9" w:rsidP="009C13A9">
            <w:pPr>
              <w:tabs>
                <w:tab w:val="left" w:pos="57"/>
                <w:tab w:val="left" w:leader="dot" w:pos="3969"/>
                <w:tab w:val="left" w:pos="4253"/>
                <w:tab w:val="left" w:leader="dot" w:pos="8505"/>
              </w:tabs>
              <w:overflowPunct w:val="0"/>
              <w:adjustRightInd w:val="0"/>
              <w:ind w:left="0" w:firstLine="0"/>
              <w:jc w:val="left"/>
              <w:textAlignment w:val="baseline"/>
              <w:rPr>
                <w:rFonts w:cs="Arial"/>
                <w:sz w:val="18"/>
                <w:szCs w:val="20"/>
              </w:rPr>
            </w:pPr>
          </w:p>
          <w:p w:rsidR="009C13A9" w:rsidRPr="00C903F8" w:rsidRDefault="009C13A9" w:rsidP="009C13A9">
            <w:pPr>
              <w:tabs>
                <w:tab w:val="left" w:pos="340"/>
                <w:tab w:val="left" w:leader="dot" w:pos="8564"/>
                <w:tab w:val="left" w:leader="dot" w:pos="8789"/>
              </w:tabs>
              <w:overflowPunct w:val="0"/>
              <w:adjustRightInd w:val="0"/>
              <w:ind w:left="0" w:firstLine="0"/>
              <w:jc w:val="left"/>
              <w:textAlignment w:val="baseline"/>
              <w:rPr>
                <w:noProof/>
                <w:position w:val="6"/>
                <w:sz w:val="16"/>
              </w:rPr>
            </w:pPr>
            <w:r>
              <w:rPr>
                <w:noProof/>
                <w:sz w:val="18"/>
              </w:rPr>
              <w:t>-</w:t>
            </w:r>
            <w:r>
              <w:tab/>
            </w:r>
            <w:r>
              <w:rPr>
                <w:noProof/>
                <w:sz w:val="18"/>
              </w:rPr>
              <w:t xml:space="preserve">sulle vie navigabili dell'Unione della zona/delle zone </w:t>
            </w:r>
            <w:r>
              <w:rPr>
                <w:noProof/>
                <w:position w:val="6"/>
                <w:sz w:val="16"/>
              </w:rPr>
              <w:t xml:space="preserve">(*) </w:t>
            </w:r>
            <w:r>
              <w:tab/>
            </w:r>
          </w:p>
          <w:p w:rsidR="009C13A9" w:rsidRPr="00C903F8" w:rsidRDefault="009C13A9" w:rsidP="009C13A9">
            <w:pPr>
              <w:tabs>
                <w:tab w:val="left" w:leader="dot" w:pos="8564"/>
                <w:tab w:val="left" w:leader="dot" w:pos="8789"/>
              </w:tabs>
              <w:overflowPunct w:val="0"/>
              <w:adjustRightInd w:val="0"/>
              <w:ind w:left="342" w:hanging="342"/>
              <w:jc w:val="left"/>
              <w:textAlignment w:val="baseline"/>
              <w:rPr>
                <w:noProof/>
                <w:sz w:val="18"/>
                <w:szCs w:val="20"/>
              </w:rPr>
            </w:pPr>
            <w:r>
              <w:tab/>
            </w:r>
            <w:r>
              <w:tab/>
            </w:r>
          </w:p>
          <w:p w:rsidR="009C13A9" w:rsidRPr="00C903F8" w:rsidRDefault="009C13A9" w:rsidP="009C13A9">
            <w:pPr>
              <w:tabs>
                <w:tab w:val="left" w:leader="dot" w:pos="8564"/>
                <w:tab w:val="left" w:leader="dot" w:pos="8789"/>
              </w:tabs>
              <w:overflowPunct w:val="0"/>
              <w:adjustRightInd w:val="0"/>
              <w:ind w:left="342" w:hanging="342"/>
              <w:jc w:val="left"/>
              <w:textAlignment w:val="baseline"/>
              <w:rPr>
                <w:noProof/>
                <w:sz w:val="18"/>
              </w:rPr>
            </w:pPr>
          </w:p>
          <w:p w:rsidR="009C13A9" w:rsidRPr="00C903F8" w:rsidRDefault="009C13A9" w:rsidP="009C13A9">
            <w:pPr>
              <w:tabs>
                <w:tab w:val="left" w:leader="dot" w:pos="8564"/>
                <w:tab w:val="left" w:leader="dot" w:pos="8789"/>
              </w:tabs>
              <w:overflowPunct w:val="0"/>
              <w:adjustRightInd w:val="0"/>
              <w:ind w:left="342" w:hanging="342"/>
              <w:jc w:val="left"/>
              <w:textAlignment w:val="baseline"/>
              <w:rPr>
                <w:noProof/>
                <w:sz w:val="18"/>
              </w:rPr>
            </w:pPr>
            <w:r>
              <w:rPr>
                <w:noProof/>
                <w:sz w:val="18"/>
              </w:rPr>
              <w:t>-</w:t>
            </w:r>
            <w:r>
              <w:tab/>
            </w:r>
            <w:r>
              <w:rPr>
                <w:noProof/>
                <w:sz w:val="18"/>
              </w:rPr>
              <w:t xml:space="preserve">sulle vie navigabili della zona/delle zone </w:t>
            </w:r>
            <w:r>
              <w:rPr>
                <w:noProof/>
                <w:position w:val="6"/>
                <w:sz w:val="16"/>
              </w:rPr>
              <w:t xml:space="preserve">(*) </w:t>
            </w:r>
            <w:r>
              <w:tab/>
            </w:r>
          </w:p>
          <w:p w:rsidR="009C13A9" w:rsidRPr="00C903F8" w:rsidRDefault="009C13A9" w:rsidP="009C13A9">
            <w:pPr>
              <w:tabs>
                <w:tab w:val="right" w:pos="342"/>
                <w:tab w:val="left" w:leader="dot" w:pos="8564"/>
              </w:tabs>
              <w:overflowPunct w:val="0"/>
              <w:adjustRightInd w:val="0"/>
              <w:ind w:left="0" w:firstLine="0"/>
              <w:jc w:val="left"/>
              <w:textAlignment w:val="baseline"/>
              <w:rPr>
                <w:noProof/>
                <w:sz w:val="18"/>
              </w:rPr>
            </w:pPr>
            <w:r>
              <w:tab/>
            </w:r>
            <w:r>
              <w:rPr>
                <w:noProof/>
                <w:sz w:val="18"/>
              </w:rPr>
              <w:t>.</w:t>
            </w:r>
            <w:r>
              <w:tab/>
            </w:r>
          </w:p>
          <w:p w:rsidR="009C13A9" w:rsidRPr="00C903F8" w:rsidRDefault="009C13A9" w:rsidP="009C13A9">
            <w:pPr>
              <w:tabs>
                <w:tab w:val="left" w:leader="dot" w:pos="8564"/>
                <w:tab w:val="left" w:leader="dot" w:pos="8789"/>
              </w:tabs>
              <w:overflowPunct w:val="0"/>
              <w:adjustRightInd w:val="0"/>
              <w:spacing w:before="120"/>
              <w:ind w:left="0" w:firstLine="0"/>
              <w:jc w:val="left"/>
              <w:textAlignment w:val="baseline"/>
              <w:rPr>
                <w:noProof/>
                <w:sz w:val="18"/>
              </w:rPr>
            </w:pPr>
            <w:r>
              <w:rPr>
                <w:noProof/>
                <w:sz w:val="18"/>
              </w:rPr>
              <w:t xml:space="preserve">in [Nome degli Stati (*)] </w:t>
            </w:r>
          </w:p>
          <w:p w:rsidR="009C13A9" w:rsidRPr="00C903F8" w:rsidRDefault="009C13A9" w:rsidP="009C13A9">
            <w:pPr>
              <w:tabs>
                <w:tab w:val="left" w:leader="dot" w:pos="8564"/>
                <w:tab w:val="left" w:leader="dot" w:pos="8789"/>
              </w:tabs>
              <w:overflowPunct w:val="0"/>
              <w:adjustRightInd w:val="0"/>
              <w:ind w:left="0" w:firstLine="0"/>
              <w:jc w:val="left"/>
              <w:textAlignment w:val="baseline"/>
              <w:rPr>
                <w:noProof/>
                <w:sz w:val="18"/>
              </w:rPr>
            </w:pPr>
            <w:r>
              <w:tab/>
            </w:r>
            <w:r>
              <w:rPr>
                <w:noProof/>
                <w:sz w:val="18"/>
              </w:rPr>
              <w:br/>
            </w:r>
            <w:r>
              <w:tab/>
            </w:r>
            <w:r>
              <w:rPr>
                <w:noProof/>
                <w:sz w:val="18"/>
                <w:szCs w:val="20"/>
              </w:rPr>
              <w:br/>
            </w:r>
            <w:r>
              <w:rPr>
                <w:noProof/>
                <w:sz w:val="18"/>
              </w:rPr>
              <w:t xml:space="preserve">ad eccezione di: </w:t>
            </w:r>
            <w:r>
              <w:tab/>
            </w:r>
            <w:r>
              <w:rPr>
                <w:noProof/>
                <w:sz w:val="18"/>
                <w:szCs w:val="20"/>
              </w:rPr>
              <w:br/>
            </w:r>
            <w:r>
              <w:tab/>
            </w:r>
          </w:p>
          <w:p w:rsidR="009C13A9" w:rsidRPr="00C903F8" w:rsidRDefault="009C13A9" w:rsidP="009C13A9">
            <w:pPr>
              <w:tabs>
                <w:tab w:val="left" w:leader="dot" w:pos="8564"/>
                <w:tab w:val="left" w:leader="dot" w:pos="8789"/>
              </w:tabs>
              <w:overflowPunct w:val="0"/>
              <w:adjustRightInd w:val="0"/>
              <w:ind w:left="0" w:firstLine="0"/>
              <w:jc w:val="left"/>
              <w:textAlignment w:val="baseline"/>
              <w:rPr>
                <w:noProof/>
                <w:sz w:val="18"/>
              </w:rPr>
            </w:pPr>
            <w:r>
              <w:tab/>
            </w:r>
          </w:p>
          <w:p w:rsidR="009C13A9" w:rsidRPr="00C903F8" w:rsidRDefault="009C13A9" w:rsidP="009C13A9">
            <w:pPr>
              <w:tabs>
                <w:tab w:val="left" w:pos="57"/>
                <w:tab w:val="left" w:pos="345"/>
                <w:tab w:val="left" w:leader="dot" w:pos="8505"/>
              </w:tabs>
              <w:overflowPunct w:val="0"/>
              <w:adjustRightInd w:val="0"/>
              <w:spacing w:before="120" w:after="120"/>
              <w:ind w:left="0" w:firstLine="0"/>
              <w:jc w:val="left"/>
              <w:textAlignment w:val="baseline"/>
              <w:rPr>
                <w:noProof/>
                <w:sz w:val="18"/>
              </w:rPr>
            </w:pPr>
            <w:r>
              <w:rPr>
                <w:noProof/>
                <w:sz w:val="18"/>
              </w:rPr>
              <w:t>-</w:t>
            </w:r>
            <w:r>
              <w:tab/>
            </w:r>
            <w:r>
              <w:rPr>
                <w:noProof/>
                <w:sz w:val="18"/>
              </w:rPr>
              <w:t>sulle vie navigabili seguenti in.[(nome dello Stato </w:t>
            </w:r>
            <w:r>
              <w:rPr>
                <w:noProof/>
                <w:position w:val="6"/>
                <w:sz w:val="16"/>
              </w:rPr>
              <w:t>(*)</w:t>
            </w:r>
            <w:r>
              <w:rPr>
                <w:noProof/>
                <w:sz w:val="18"/>
              </w:rPr>
              <w:t>]</w:t>
            </w:r>
            <w:r>
              <w:tab/>
            </w:r>
          </w:p>
          <w:p w:rsidR="009C13A9" w:rsidRPr="00C903F8" w:rsidRDefault="009C13A9" w:rsidP="009C13A9">
            <w:pPr>
              <w:tabs>
                <w:tab w:val="left" w:leader="dot" w:pos="8505"/>
              </w:tabs>
              <w:overflowPunct w:val="0"/>
              <w:adjustRightInd w:val="0"/>
              <w:spacing w:after="120"/>
              <w:ind w:left="342" w:firstLine="0"/>
              <w:jc w:val="left"/>
              <w:textAlignment w:val="baseline"/>
              <w:rPr>
                <w:rFonts w:cs="Arial"/>
                <w:sz w:val="18"/>
                <w:szCs w:val="20"/>
              </w:rPr>
            </w:pPr>
            <w:r>
              <w:tab/>
            </w:r>
            <w:r>
              <w:rPr>
                <w:noProof/>
                <w:sz w:val="18"/>
                <w:szCs w:val="20"/>
              </w:rPr>
              <w:br/>
            </w:r>
            <w:r>
              <w:tab/>
            </w:r>
            <w:r>
              <w:rPr>
                <w:noProof/>
                <w:sz w:val="18"/>
                <w:szCs w:val="20"/>
              </w:rPr>
              <w:br/>
            </w:r>
            <w:r>
              <w:tab/>
            </w:r>
          </w:p>
        </w:tc>
      </w:tr>
      <w:tr w:rsidR="009C13A9" w:rsidRPr="00C903F8" w:rsidTr="009C13A9">
        <w:trPr>
          <w:cantSplit/>
          <w:jc w:val="center"/>
        </w:trPr>
        <w:tc>
          <w:tcPr>
            <w:tcW w:w="284" w:type="dxa"/>
            <w:tcBorders>
              <w:top w:val="single" w:sz="6" w:space="0" w:color="auto"/>
              <w:left w:val="single" w:sz="6" w:space="0" w:color="auto"/>
              <w:bottom w:val="single" w:sz="6" w:space="0" w:color="auto"/>
            </w:tcBorders>
          </w:tcPr>
          <w:p w:rsidR="009C13A9" w:rsidRPr="00E3172D" w:rsidRDefault="009C13A9" w:rsidP="009C13A9">
            <w:pPr>
              <w:tabs>
                <w:tab w:val="left" w:pos="57"/>
                <w:tab w:val="left" w:pos="227"/>
              </w:tabs>
              <w:overflowPunct w:val="0"/>
              <w:adjustRightInd w:val="0"/>
              <w:spacing w:before="100"/>
              <w:ind w:left="0" w:firstLine="0"/>
              <w:jc w:val="left"/>
              <w:textAlignment w:val="baseline"/>
              <w:rPr>
                <w:rFonts w:cs="Arial"/>
                <w:sz w:val="18"/>
                <w:szCs w:val="20"/>
              </w:rPr>
            </w:pPr>
            <w:r>
              <w:rPr>
                <w:sz w:val="18"/>
              </w:rPr>
              <w:t>11.</w:t>
            </w:r>
          </w:p>
        </w:tc>
        <w:tc>
          <w:tcPr>
            <w:tcW w:w="8904" w:type="dxa"/>
            <w:gridSpan w:val="7"/>
            <w:tcBorders>
              <w:top w:val="single" w:sz="6" w:space="0" w:color="auto"/>
              <w:bottom w:val="single" w:sz="6" w:space="0" w:color="auto"/>
              <w:right w:val="single" w:sz="6" w:space="0" w:color="auto"/>
            </w:tcBorders>
          </w:tcPr>
          <w:p w:rsidR="009C13A9" w:rsidRPr="00C903F8" w:rsidRDefault="009C13A9" w:rsidP="009C13A9">
            <w:pPr>
              <w:tabs>
                <w:tab w:val="left" w:leader="dot" w:pos="4536"/>
                <w:tab w:val="center" w:pos="6862"/>
              </w:tabs>
              <w:overflowPunct w:val="0"/>
              <w:adjustRightInd w:val="0"/>
              <w:spacing w:before="100" w:after="80"/>
              <w:ind w:left="57" w:right="57" w:firstLine="0"/>
              <w:textAlignment w:val="baseline"/>
              <w:rPr>
                <w:rFonts w:cs="Arial"/>
                <w:sz w:val="18"/>
                <w:szCs w:val="20"/>
              </w:rPr>
            </w:pPr>
            <w:r>
              <w:rPr>
                <w:sz w:val="18"/>
              </w:rPr>
              <w:t xml:space="preserve">Luogo, data </w:t>
            </w:r>
            <w:r>
              <w:tab/>
            </w:r>
            <w:r>
              <w:tab/>
            </w:r>
            <w:r>
              <w:rPr>
                <w:sz w:val="18"/>
              </w:rPr>
              <w:t>Commissione di ispezione</w:t>
            </w:r>
          </w:p>
          <w:p w:rsidR="009C13A9" w:rsidRPr="00C903F8" w:rsidRDefault="009C13A9" w:rsidP="009C13A9">
            <w:pPr>
              <w:tabs>
                <w:tab w:val="left" w:pos="5103"/>
                <w:tab w:val="left" w:leader="dot" w:pos="8505"/>
              </w:tabs>
              <w:overflowPunct w:val="0"/>
              <w:adjustRightInd w:val="0"/>
              <w:ind w:left="0" w:firstLine="0"/>
              <w:textAlignment w:val="baseline"/>
              <w:rPr>
                <w:rFonts w:cs="Arial"/>
                <w:sz w:val="18"/>
                <w:szCs w:val="20"/>
              </w:rPr>
            </w:pPr>
            <w:r>
              <w:tab/>
            </w:r>
            <w:r>
              <w:tab/>
            </w:r>
          </w:p>
          <w:p w:rsidR="009C13A9" w:rsidRPr="00C903F8" w:rsidRDefault="009C13A9" w:rsidP="009C13A9">
            <w:pPr>
              <w:tabs>
                <w:tab w:val="center" w:pos="1701"/>
              </w:tabs>
              <w:overflowPunct w:val="0"/>
              <w:adjustRightInd w:val="0"/>
              <w:spacing w:after="80"/>
              <w:ind w:left="0" w:firstLine="0"/>
              <w:textAlignment w:val="baseline"/>
              <w:rPr>
                <w:rFonts w:cs="Arial"/>
                <w:sz w:val="18"/>
                <w:szCs w:val="20"/>
              </w:rPr>
            </w:pPr>
            <w:r>
              <w:tab/>
            </w:r>
            <w:r>
              <w:rPr>
                <w:sz w:val="18"/>
              </w:rPr>
              <w:t>Timbro</w:t>
            </w:r>
          </w:p>
          <w:p w:rsidR="009C13A9" w:rsidRPr="00C903F8" w:rsidRDefault="009C13A9" w:rsidP="009C13A9">
            <w:pPr>
              <w:tabs>
                <w:tab w:val="left" w:pos="5103"/>
                <w:tab w:val="left" w:leader="dot" w:pos="8505"/>
              </w:tabs>
              <w:overflowPunct w:val="0"/>
              <w:adjustRightInd w:val="0"/>
              <w:ind w:left="0" w:firstLine="0"/>
              <w:textAlignment w:val="baseline"/>
              <w:rPr>
                <w:rFonts w:cs="Arial"/>
                <w:szCs w:val="20"/>
              </w:rPr>
            </w:pPr>
            <w:r>
              <w:tab/>
            </w:r>
            <w:r>
              <w:tab/>
            </w:r>
          </w:p>
          <w:p w:rsidR="009C13A9" w:rsidRPr="00C903F8" w:rsidRDefault="009C13A9" w:rsidP="009C13A9">
            <w:pPr>
              <w:tabs>
                <w:tab w:val="center" w:pos="6862"/>
              </w:tabs>
              <w:overflowPunct w:val="0"/>
              <w:adjustRightInd w:val="0"/>
              <w:ind w:left="0" w:firstLine="0"/>
              <w:textAlignment w:val="baseline"/>
              <w:rPr>
                <w:rFonts w:cs="Arial"/>
                <w:sz w:val="16"/>
                <w:szCs w:val="20"/>
              </w:rPr>
            </w:pPr>
            <w:r>
              <w:tab/>
            </w:r>
            <w:r>
              <w:rPr>
                <w:sz w:val="16"/>
              </w:rPr>
              <w:t>(firma)</w:t>
            </w:r>
          </w:p>
          <w:p w:rsidR="009C13A9" w:rsidRPr="00C903F8" w:rsidRDefault="009C13A9" w:rsidP="009C13A9">
            <w:pPr>
              <w:tabs>
                <w:tab w:val="left" w:pos="113"/>
                <w:tab w:val="left" w:pos="397"/>
                <w:tab w:val="left" w:pos="6237"/>
                <w:tab w:val="left" w:leader="dot" w:pos="9356"/>
              </w:tabs>
              <w:overflowPunct w:val="0"/>
              <w:adjustRightInd w:val="0"/>
              <w:ind w:left="0" w:firstLine="0"/>
              <w:textAlignment w:val="baseline"/>
              <w:rPr>
                <w:rFonts w:cs="Arial"/>
                <w:sz w:val="16"/>
                <w:szCs w:val="20"/>
              </w:rPr>
            </w:pPr>
            <w:r>
              <w:rPr>
                <w:sz w:val="18"/>
              </w:rPr>
              <w:t>_______________________</w:t>
            </w:r>
          </w:p>
          <w:p w:rsidR="009C13A9" w:rsidRPr="00C903F8" w:rsidRDefault="009C13A9" w:rsidP="009C13A9">
            <w:pPr>
              <w:tabs>
                <w:tab w:val="left" w:pos="284"/>
              </w:tabs>
              <w:overflowPunct w:val="0"/>
              <w:adjustRightInd w:val="0"/>
              <w:spacing w:before="80"/>
              <w:ind w:left="0" w:firstLine="0"/>
              <w:jc w:val="left"/>
              <w:textAlignment w:val="baseline"/>
              <w:rPr>
                <w:rFonts w:cs="Arial"/>
                <w:sz w:val="18"/>
                <w:szCs w:val="20"/>
              </w:rPr>
            </w:pPr>
            <w:r>
              <w:rPr>
                <w:position w:val="4"/>
                <w:sz w:val="16"/>
              </w:rPr>
              <w:t>*)</w:t>
            </w:r>
            <w:r>
              <w:tab/>
            </w:r>
            <w:r>
              <w:rPr>
                <w:sz w:val="16"/>
              </w:rPr>
              <w:t>Cancellare le voci non pertinenti.</w:t>
            </w:r>
          </w:p>
        </w:tc>
      </w:tr>
    </w:tbl>
    <w:p w:rsidR="009C13A9" w:rsidRPr="00C903F8" w:rsidRDefault="009C13A9" w:rsidP="009C13A9">
      <w:pPr>
        <w:overflowPunct w:val="0"/>
        <w:adjustRightInd w:val="0"/>
        <w:ind w:left="0" w:firstLine="0"/>
        <w:textAlignment w:val="baseline"/>
        <w:rPr>
          <w:rFonts w:cs="Arial"/>
          <w:szCs w:val="20"/>
        </w:rPr>
      </w:pPr>
    </w:p>
    <w:p w:rsidR="009C13A9" w:rsidRPr="00C903F8" w:rsidRDefault="009C13A9" w:rsidP="009C13A9">
      <w:pPr>
        <w:overflowPunct w:val="0"/>
        <w:adjustRightInd w:val="0"/>
        <w:ind w:left="0" w:firstLine="0"/>
        <w:textAlignment w:val="baseline"/>
        <w:rPr>
          <w:rFonts w:cs="Arial"/>
          <w:szCs w:val="20"/>
        </w:rPr>
      </w:pPr>
    </w:p>
    <w:p w:rsidR="009C13A9" w:rsidRPr="00C903F8" w:rsidRDefault="009C13A9" w:rsidP="009C13A9">
      <w:pPr>
        <w:spacing w:line="240" w:lineRule="atLeast"/>
        <w:ind w:left="567" w:hanging="567"/>
        <w:rPr>
          <w:noProof/>
        </w:rPr>
      </w:pPr>
      <w:r>
        <w:br w:type="page"/>
      </w:r>
    </w:p>
    <w:p w:rsidR="009C13A9" w:rsidRPr="00C903F8" w:rsidRDefault="00925755" w:rsidP="00857FC2">
      <w:pPr>
        <w:pStyle w:val="ES-Titre3"/>
        <w:rPr>
          <w:noProof/>
        </w:rPr>
      </w:pPr>
      <w:bookmarkStart w:id="614" w:name="_Toc491854299"/>
      <w:bookmarkStart w:id="615" w:name="_Toc535500248"/>
      <w:r>
        <w:lastRenderedPageBreak/>
        <w:t>Sezione III</w:t>
      </w:r>
      <w:bookmarkEnd w:id="614"/>
      <w:bookmarkEnd w:id="615"/>
    </w:p>
    <w:p w:rsidR="009C13A9" w:rsidRPr="00C903F8" w:rsidRDefault="009C13A9" w:rsidP="00857FC2">
      <w:pPr>
        <w:pStyle w:val="ES-Titre3a"/>
        <w:rPr>
          <w:noProof/>
        </w:rPr>
      </w:pPr>
      <w:bookmarkStart w:id="616" w:name="_Toc491854300"/>
      <w:bookmarkStart w:id="617" w:name="_Toc535500249"/>
      <w:r>
        <w:t>Modello di certificato dell'Unione supplementare per la navigazione interna</w:t>
      </w:r>
      <w:bookmarkEnd w:id="616"/>
      <w:bookmarkEnd w:id="617"/>
    </w:p>
    <w:p w:rsidR="009C13A9" w:rsidRPr="00C903F8" w:rsidRDefault="009C13A9" w:rsidP="009C13A9">
      <w:pPr>
        <w:widowControl w:val="0"/>
        <w:spacing w:line="240" w:lineRule="atLeast"/>
        <w:jc w:val="center"/>
        <w:rPr>
          <w:noProof/>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6"/>
      </w:tblGrid>
      <w:tr w:rsidR="009C13A9" w:rsidRPr="00946CF6" w:rsidTr="009C13A9">
        <w:tc>
          <w:tcPr>
            <w:tcW w:w="9286" w:type="dxa"/>
            <w:vAlign w:val="center"/>
          </w:tcPr>
          <w:p w:rsidR="009C13A9" w:rsidRPr="00C903F8" w:rsidRDefault="00E3172D" w:rsidP="007233FE">
            <w:pPr>
              <w:widowControl w:val="0"/>
              <w:tabs>
                <w:tab w:val="left" w:leader="dot" w:pos="7655"/>
              </w:tabs>
              <w:spacing w:before="80" w:after="80" w:line="240" w:lineRule="atLeast"/>
              <w:ind w:left="0" w:firstLine="0"/>
              <w:jc w:val="left"/>
              <w:rPr>
                <w:noProof/>
                <w:szCs w:val="20"/>
              </w:rPr>
            </w:pPr>
            <w:r>
              <w:t xml:space="preserve">Allegato al certificato per la navigazione interna n. </w:t>
            </w:r>
            <w:r>
              <w:tab/>
            </w:r>
          </w:p>
        </w:tc>
      </w:tr>
      <w:tr w:rsidR="009C13A9" w:rsidRPr="00946CF6" w:rsidTr="009C13A9">
        <w:tc>
          <w:tcPr>
            <w:tcW w:w="9286" w:type="dxa"/>
          </w:tcPr>
          <w:p w:rsidR="009C13A9" w:rsidRPr="00C903F8" w:rsidRDefault="009C13A9" w:rsidP="009C13A9">
            <w:pPr>
              <w:widowControl w:val="0"/>
              <w:spacing w:before="120" w:line="240" w:lineRule="atLeast"/>
              <w:ind w:left="0" w:firstLine="0"/>
              <w:jc w:val="center"/>
              <w:rPr>
                <w:b/>
                <w:noProof/>
                <w:szCs w:val="20"/>
              </w:rPr>
            </w:pPr>
            <w:r>
              <w:rPr>
                <w:b/>
                <w:noProof/>
              </w:rPr>
              <w:t>Certificato dell'Unione supplementare per la navigazione interna</w:t>
            </w:r>
          </w:p>
          <w:p w:rsidR="009C13A9" w:rsidRPr="00C903F8" w:rsidRDefault="009C13A9" w:rsidP="009C13A9">
            <w:pPr>
              <w:widowControl w:val="0"/>
              <w:spacing w:line="240" w:lineRule="atLeast"/>
              <w:ind w:left="0" w:firstLine="0"/>
              <w:jc w:val="center"/>
              <w:rPr>
                <w:noProof/>
                <w:szCs w:val="20"/>
              </w:rPr>
            </w:pPr>
          </w:p>
          <w:p w:rsidR="009C13A9" w:rsidRPr="00C903F8" w:rsidRDefault="009C13A9" w:rsidP="009C13A9">
            <w:pPr>
              <w:widowControl w:val="0"/>
              <w:spacing w:line="240" w:lineRule="atLeast"/>
              <w:ind w:left="0" w:firstLine="0"/>
              <w:jc w:val="center"/>
              <w:rPr>
                <w:noProof/>
                <w:szCs w:val="20"/>
              </w:rPr>
            </w:pPr>
          </w:p>
          <w:p w:rsidR="009C13A9" w:rsidRPr="00C903F8" w:rsidRDefault="009C13A9" w:rsidP="009C13A9">
            <w:pPr>
              <w:widowControl w:val="0"/>
              <w:spacing w:line="240" w:lineRule="atLeast"/>
              <w:ind w:left="0" w:firstLine="0"/>
              <w:jc w:val="center"/>
              <w:rPr>
                <w:b/>
                <w:noProof/>
                <w:sz w:val="22"/>
                <w:szCs w:val="20"/>
              </w:rPr>
            </w:pPr>
            <w:r>
              <w:rPr>
                <w:b/>
                <w:noProof/>
                <w:sz w:val="22"/>
              </w:rPr>
              <w:t>Nome dello Stato / Sigillo</w:t>
            </w:r>
          </w:p>
          <w:p w:rsidR="009C13A9" w:rsidRPr="00C903F8" w:rsidRDefault="009C13A9" w:rsidP="009C13A9">
            <w:pPr>
              <w:widowControl w:val="0"/>
              <w:spacing w:line="240" w:lineRule="atLeast"/>
              <w:ind w:left="0" w:firstLine="0"/>
              <w:jc w:val="center"/>
              <w:rPr>
                <w:noProof/>
                <w:szCs w:val="20"/>
              </w:rPr>
            </w:pPr>
          </w:p>
          <w:p w:rsidR="009C13A9" w:rsidRPr="00C903F8" w:rsidRDefault="009C13A9" w:rsidP="009C13A9">
            <w:pPr>
              <w:widowControl w:val="0"/>
              <w:spacing w:line="240" w:lineRule="atLeast"/>
              <w:ind w:left="0" w:firstLine="0"/>
              <w:jc w:val="center"/>
              <w:rPr>
                <w:noProof/>
                <w:szCs w:val="20"/>
              </w:rPr>
            </w:pPr>
          </w:p>
          <w:p w:rsidR="009C13A9" w:rsidRPr="00C903F8" w:rsidRDefault="009C13A9" w:rsidP="009C13A9">
            <w:pPr>
              <w:widowControl w:val="0"/>
              <w:spacing w:line="240" w:lineRule="atLeast"/>
              <w:ind w:left="0" w:firstLine="0"/>
              <w:jc w:val="center"/>
              <w:rPr>
                <w:noProof/>
                <w:szCs w:val="20"/>
              </w:rPr>
            </w:pPr>
            <w:r>
              <w:t>Nome ed indirizzo dell’autorità competente per il rilascio del certificato supplementare</w:t>
            </w:r>
          </w:p>
          <w:p w:rsidR="009C13A9" w:rsidRPr="00C903F8" w:rsidRDefault="009C13A9" w:rsidP="009C13A9">
            <w:pPr>
              <w:widowControl w:val="0"/>
              <w:spacing w:line="240" w:lineRule="atLeast"/>
              <w:ind w:left="0" w:firstLine="0"/>
              <w:jc w:val="center"/>
              <w:rPr>
                <w:noProof/>
              </w:rPr>
            </w:pPr>
          </w:p>
          <w:p w:rsidR="009C13A9" w:rsidRPr="00C903F8" w:rsidRDefault="009C13A9" w:rsidP="009C13A9">
            <w:pPr>
              <w:widowControl w:val="0"/>
              <w:tabs>
                <w:tab w:val="left" w:pos="851"/>
                <w:tab w:val="right" w:leader="dot" w:pos="8931"/>
              </w:tabs>
              <w:spacing w:line="360" w:lineRule="auto"/>
              <w:jc w:val="left"/>
              <w:rPr>
                <w:noProof/>
                <w:szCs w:val="20"/>
              </w:rPr>
            </w:pPr>
            <w:r>
              <w:t>1.</w:t>
            </w:r>
            <w:r>
              <w:tab/>
              <w:t xml:space="preserve">Nome della nave: </w:t>
            </w:r>
            <w:r>
              <w:tab/>
            </w:r>
          </w:p>
          <w:p w:rsidR="009C13A9" w:rsidRPr="00C903F8" w:rsidRDefault="009C13A9" w:rsidP="009C13A9">
            <w:pPr>
              <w:widowControl w:val="0"/>
              <w:tabs>
                <w:tab w:val="left" w:pos="851"/>
                <w:tab w:val="right" w:leader="dot" w:pos="8931"/>
              </w:tabs>
              <w:spacing w:line="360" w:lineRule="auto"/>
              <w:jc w:val="left"/>
              <w:rPr>
                <w:noProof/>
              </w:rPr>
            </w:pPr>
            <w:r>
              <w:t>2.</w:t>
            </w:r>
            <w:r>
              <w:tab/>
              <w:t xml:space="preserve">Numero unico europeo di identificazione delle navi: </w:t>
            </w:r>
            <w:r>
              <w:tab/>
            </w:r>
          </w:p>
          <w:p w:rsidR="009C13A9" w:rsidRPr="00C903F8" w:rsidRDefault="009C13A9" w:rsidP="009C13A9">
            <w:pPr>
              <w:widowControl w:val="0"/>
              <w:tabs>
                <w:tab w:val="left" w:pos="851"/>
                <w:tab w:val="right" w:leader="dot" w:pos="8931"/>
              </w:tabs>
              <w:spacing w:line="360" w:lineRule="auto"/>
              <w:jc w:val="left"/>
              <w:rPr>
                <w:noProof/>
              </w:rPr>
            </w:pPr>
            <w:r>
              <w:t>3.</w:t>
            </w:r>
            <w:r>
              <w:tab/>
              <w:t xml:space="preserve">Luogo e numero di registrazione: </w:t>
            </w:r>
            <w:r>
              <w:tab/>
            </w:r>
          </w:p>
          <w:p w:rsidR="009C13A9" w:rsidRPr="00C903F8" w:rsidRDefault="009C13A9" w:rsidP="009C13A9">
            <w:pPr>
              <w:widowControl w:val="0"/>
              <w:tabs>
                <w:tab w:val="left" w:pos="851"/>
                <w:tab w:val="right" w:leader="dot" w:pos="8931"/>
              </w:tabs>
              <w:spacing w:line="360" w:lineRule="auto"/>
              <w:jc w:val="left"/>
              <w:rPr>
                <w:noProof/>
                <w:szCs w:val="20"/>
              </w:rPr>
            </w:pPr>
            <w:r>
              <w:t>4.</w:t>
            </w:r>
            <w:r>
              <w:tab/>
              <w:t xml:space="preserve">Paese d'immatricolazione e/o porto d'armamento: </w:t>
            </w:r>
            <w:r>
              <w:rPr>
                <w:noProof/>
                <w:vertAlign w:val="superscript"/>
              </w:rPr>
              <w:t xml:space="preserve">(1) </w:t>
            </w:r>
            <w:r>
              <w:tab/>
            </w:r>
          </w:p>
          <w:p w:rsidR="009C13A9" w:rsidRPr="00C903F8" w:rsidRDefault="009C13A9" w:rsidP="009C13A9">
            <w:pPr>
              <w:widowControl w:val="0"/>
              <w:tabs>
                <w:tab w:val="left" w:pos="851"/>
                <w:tab w:val="right" w:leader="dot" w:pos="7230"/>
              </w:tabs>
              <w:spacing w:line="360" w:lineRule="auto"/>
              <w:jc w:val="left"/>
              <w:rPr>
                <w:noProof/>
                <w:szCs w:val="20"/>
              </w:rPr>
            </w:pPr>
            <w:r>
              <w:t>5.</w:t>
            </w:r>
            <w:r>
              <w:tab/>
              <w:t xml:space="preserve">Visto il certificato per la navigazione interna n. </w:t>
            </w:r>
            <w:r>
              <w:tab/>
            </w:r>
          </w:p>
          <w:p w:rsidR="009C13A9" w:rsidRPr="00C903F8" w:rsidRDefault="009C13A9" w:rsidP="009C13A9">
            <w:pPr>
              <w:widowControl w:val="0"/>
              <w:tabs>
                <w:tab w:val="left" w:pos="851"/>
                <w:tab w:val="right" w:leader="dot" w:pos="8931"/>
              </w:tabs>
              <w:spacing w:line="360" w:lineRule="auto"/>
              <w:ind w:firstLine="1"/>
              <w:jc w:val="left"/>
              <w:rPr>
                <w:noProof/>
                <w:szCs w:val="20"/>
              </w:rPr>
            </w:pPr>
            <w:r>
              <w:t xml:space="preserve">datato …………….………………….. valido fino al </w:t>
            </w:r>
            <w:r>
              <w:tab/>
            </w:r>
          </w:p>
          <w:p w:rsidR="009C13A9" w:rsidRPr="00C903F8" w:rsidRDefault="009C13A9" w:rsidP="009C13A9">
            <w:pPr>
              <w:widowControl w:val="0"/>
              <w:tabs>
                <w:tab w:val="left" w:pos="851"/>
                <w:tab w:val="right" w:leader="dot" w:pos="8931"/>
              </w:tabs>
              <w:spacing w:line="360" w:lineRule="auto"/>
              <w:jc w:val="left"/>
              <w:rPr>
                <w:noProof/>
                <w:szCs w:val="20"/>
              </w:rPr>
            </w:pPr>
            <w:r>
              <w:t>6.</w:t>
            </w:r>
            <w:r>
              <w:tab/>
              <w:t xml:space="preserve">Visto il risultato dell’ispezione del </w:t>
            </w:r>
            <w:r>
              <w:tab/>
            </w:r>
          </w:p>
          <w:p w:rsidR="009C13A9" w:rsidRPr="00C903F8" w:rsidRDefault="009C13A9" w:rsidP="009C13A9">
            <w:pPr>
              <w:widowControl w:val="0"/>
              <w:tabs>
                <w:tab w:val="left" w:leader="dot" w:pos="3686"/>
                <w:tab w:val="left" w:pos="3969"/>
                <w:tab w:val="right" w:leader="dot" w:pos="8931"/>
              </w:tabs>
              <w:spacing w:line="360" w:lineRule="auto"/>
              <w:ind w:firstLine="0"/>
              <w:jc w:val="left"/>
              <w:rPr>
                <w:noProof/>
                <w:szCs w:val="20"/>
              </w:rPr>
            </w:pPr>
            <w:r>
              <w:tab/>
            </w:r>
            <w:r>
              <w:tab/>
              <w:t xml:space="preserve">del </w:t>
            </w:r>
            <w:r>
              <w:tab/>
            </w:r>
          </w:p>
          <w:p w:rsidR="009C13A9" w:rsidRPr="00C903F8" w:rsidRDefault="009C13A9" w:rsidP="009C13A9">
            <w:pPr>
              <w:widowControl w:val="0"/>
              <w:tabs>
                <w:tab w:val="left" w:pos="851"/>
                <w:tab w:val="right" w:leader="dot" w:pos="8789"/>
              </w:tabs>
              <w:spacing w:line="360" w:lineRule="auto"/>
              <w:jc w:val="left"/>
              <w:rPr>
                <w:noProof/>
                <w:szCs w:val="20"/>
              </w:rPr>
            </w:pPr>
            <w:r>
              <w:t>7.</w:t>
            </w:r>
            <w:r>
              <w:tab/>
              <w:t>la nave sopra indicata è dichiarata atta alla navigazione sulle vie navigabili dell'Unione della/e zona/e</w:t>
            </w:r>
          </w:p>
          <w:p w:rsidR="009C13A9" w:rsidRPr="00C903F8" w:rsidRDefault="009C13A9" w:rsidP="009C13A9">
            <w:pPr>
              <w:widowControl w:val="0"/>
              <w:tabs>
                <w:tab w:val="left" w:pos="426"/>
                <w:tab w:val="right" w:leader="dot" w:pos="8931"/>
              </w:tabs>
              <w:spacing w:line="360" w:lineRule="auto"/>
              <w:ind w:firstLine="1"/>
              <w:jc w:val="left"/>
              <w:rPr>
                <w:noProof/>
              </w:rPr>
            </w:pPr>
            <w:r>
              <w:tab/>
            </w:r>
          </w:p>
          <w:p w:rsidR="009C13A9" w:rsidRPr="00C903F8" w:rsidRDefault="009C13A9" w:rsidP="009C13A9">
            <w:pPr>
              <w:widowControl w:val="0"/>
              <w:tabs>
                <w:tab w:val="left" w:pos="426"/>
                <w:tab w:val="right" w:leader="dot" w:pos="8931"/>
              </w:tabs>
              <w:spacing w:line="360" w:lineRule="auto"/>
              <w:jc w:val="left"/>
              <w:rPr>
                <w:noProof/>
                <w:szCs w:val="20"/>
              </w:rPr>
            </w:pPr>
            <w:r>
              <w:t>8.</w:t>
            </w:r>
            <w:r>
              <w:tab/>
              <w:t xml:space="preserve">Il presente certificato scade il </w:t>
            </w:r>
            <w:r>
              <w:tab/>
            </w:r>
          </w:p>
          <w:p w:rsidR="009C13A9" w:rsidRPr="00C903F8" w:rsidRDefault="009C13A9" w:rsidP="009C13A9">
            <w:pPr>
              <w:widowControl w:val="0"/>
              <w:tabs>
                <w:tab w:val="left" w:pos="851"/>
                <w:tab w:val="left" w:leader="dot" w:pos="3969"/>
                <w:tab w:val="right" w:leader="dot" w:pos="8931"/>
              </w:tabs>
              <w:spacing w:line="360" w:lineRule="auto"/>
              <w:jc w:val="left"/>
              <w:rPr>
                <w:noProof/>
                <w:szCs w:val="20"/>
              </w:rPr>
            </w:pPr>
            <w:r>
              <w:t>9.</w:t>
            </w:r>
            <w:r>
              <w:tab/>
              <w:t xml:space="preserve">Rilasciato a </w:t>
            </w:r>
            <w:r>
              <w:tab/>
              <w:t xml:space="preserve">, il </w:t>
            </w:r>
            <w:r>
              <w:tab/>
            </w:r>
          </w:p>
          <w:p w:rsidR="009C13A9" w:rsidRPr="00C903F8" w:rsidRDefault="00074E15" w:rsidP="009C13A9">
            <w:pPr>
              <w:widowControl w:val="0"/>
              <w:tabs>
                <w:tab w:val="left" w:pos="5954"/>
                <w:tab w:val="left" w:leader="dot" w:pos="8789"/>
              </w:tabs>
              <w:spacing w:line="360" w:lineRule="auto"/>
              <w:jc w:val="left"/>
            </w:pPr>
            <w:r>
              <w:t>10.</w:t>
            </w:r>
          </w:p>
          <w:p w:rsidR="009C13A9" w:rsidRPr="00C903F8" w:rsidRDefault="009C13A9" w:rsidP="009C13A9">
            <w:pPr>
              <w:widowControl w:val="0"/>
              <w:tabs>
                <w:tab w:val="center" w:pos="6804"/>
                <w:tab w:val="left" w:leader="dot" w:pos="8789"/>
              </w:tabs>
              <w:spacing w:line="360" w:lineRule="auto"/>
              <w:ind w:left="0" w:firstLine="0"/>
              <w:jc w:val="left"/>
              <w:rPr>
                <w:noProof/>
                <w:szCs w:val="20"/>
              </w:rPr>
            </w:pPr>
            <w:r>
              <w:tab/>
              <w:t>…………………………………….</w:t>
            </w:r>
          </w:p>
          <w:p w:rsidR="009C13A9" w:rsidRPr="00C903F8" w:rsidRDefault="009C13A9" w:rsidP="009C13A9">
            <w:pPr>
              <w:widowControl w:val="0"/>
              <w:tabs>
                <w:tab w:val="center" w:pos="6804"/>
                <w:tab w:val="left" w:leader="dot" w:pos="8789"/>
              </w:tabs>
              <w:spacing w:after="240" w:line="360" w:lineRule="auto"/>
              <w:ind w:left="0" w:firstLine="0"/>
              <w:jc w:val="left"/>
              <w:rPr>
                <w:noProof/>
              </w:rPr>
            </w:pPr>
            <w:r>
              <w:tab/>
              <w:t>Commissione di ispezione</w:t>
            </w:r>
          </w:p>
          <w:p w:rsidR="009C13A9" w:rsidRPr="00C903F8" w:rsidRDefault="00313B91" w:rsidP="009C13A9">
            <w:pPr>
              <w:widowControl w:val="0"/>
              <w:tabs>
                <w:tab w:val="center" w:pos="6804"/>
                <w:tab w:val="left" w:leader="dot" w:pos="8789"/>
              </w:tabs>
              <w:spacing w:line="240" w:lineRule="atLeast"/>
              <w:ind w:left="1134" w:firstLine="0"/>
              <w:jc w:val="left"/>
              <w:rPr>
                <w:noProof/>
                <w:szCs w:val="20"/>
              </w:rPr>
            </w:pPr>
            <w:r>
              <w:t>Timbro</w:t>
            </w:r>
          </w:p>
          <w:p w:rsidR="009C13A9" w:rsidRPr="00C903F8" w:rsidRDefault="009C13A9" w:rsidP="009C13A9">
            <w:pPr>
              <w:widowControl w:val="0"/>
              <w:tabs>
                <w:tab w:val="center" w:pos="6804"/>
                <w:tab w:val="left" w:leader="dot" w:pos="8789"/>
              </w:tabs>
              <w:spacing w:line="360" w:lineRule="auto"/>
              <w:ind w:left="0" w:firstLine="0"/>
              <w:jc w:val="left"/>
              <w:rPr>
                <w:noProof/>
                <w:szCs w:val="20"/>
              </w:rPr>
            </w:pPr>
            <w:r>
              <w:tab/>
              <w:t>…………………………………….</w:t>
            </w:r>
          </w:p>
          <w:p w:rsidR="009C13A9" w:rsidRPr="00C903F8" w:rsidRDefault="009C13A9" w:rsidP="009C13A9">
            <w:pPr>
              <w:widowControl w:val="0"/>
              <w:tabs>
                <w:tab w:val="center" w:pos="6804"/>
                <w:tab w:val="left" w:leader="dot" w:pos="8789"/>
              </w:tabs>
              <w:spacing w:after="240" w:line="360" w:lineRule="auto"/>
              <w:ind w:left="0" w:firstLine="0"/>
              <w:jc w:val="left"/>
              <w:rPr>
                <w:noProof/>
                <w:sz w:val="16"/>
                <w:szCs w:val="20"/>
              </w:rPr>
            </w:pPr>
            <w:r>
              <w:tab/>
              <w:t>(firma)</w:t>
            </w:r>
          </w:p>
          <w:p w:rsidR="009C13A9" w:rsidRPr="00C903F8" w:rsidRDefault="009C13A9" w:rsidP="009C13A9">
            <w:pPr>
              <w:widowControl w:val="0"/>
              <w:tabs>
                <w:tab w:val="left" w:pos="6946"/>
                <w:tab w:val="left" w:leader="dot" w:pos="8789"/>
              </w:tabs>
              <w:spacing w:line="360" w:lineRule="auto"/>
              <w:jc w:val="left"/>
              <w:rPr>
                <w:noProof/>
                <w:sz w:val="16"/>
                <w:szCs w:val="20"/>
                <w:vertAlign w:val="superscript"/>
              </w:rPr>
            </w:pPr>
          </w:p>
          <w:p w:rsidR="009C13A9" w:rsidRPr="00C903F8" w:rsidRDefault="009C13A9" w:rsidP="009C13A9">
            <w:pPr>
              <w:widowControl w:val="0"/>
              <w:tabs>
                <w:tab w:val="left" w:pos="6946"/>
                <w:tab w:val="left" w:leader="dot" w:pos="8789"/>
              </w:tabs>
              <w:spacing w:line="360" w:lineRule="auto"/>
              <w:jc w:val="left"/>
              <w:rPr>
                <w:noProof/>
                <w:sz w:val="16"/>
                <w:szCs w:val="20"/>
                <w:vertAlign w:val="superscript"/>
              </w:rPr>
            </w:pPr>
            <w:r>
              <w:rPr>
                <w:noProof/>
                <w:sz w:val="16"/>
                <w:vertAlign w:val="superscript"/>
              </w:rPr>
              <w:t>_________________</w:t>
            </w:r>
          </w:p>
          <w:p w:rsidR="009C13A9" w:rsidRPr="00C903F8" w:rsidRDefault="009C13A9" w:rsidP="009C13A9">
            <w:pPr>
              <w:widowControl w:val="0"/>
              <w:tabs>
                <w:tab w:val="left" w:pos="6946"/>
                <w:tab w:val="left" w:leader="dot" w:pos="8789"/>
              </w:tabs>
              <w:spacing w:line="360" w:lineRule="auto"/>
              <w:jc w:val="left"/>
              <w:rPr>
                <w:b/>
                <w:noProof/>
                <w:szCs w:val="20"/>
              </w:rPr>
            </w:pPr>
            <w:r>
              <w:rPr>
                <w:noProof/>
                <w:sz w:val="16"/>
                <w:vertAlign w:val="superscript"/>
              </w:rPr>
              <w:t>(1)</w:t>
            </w:r>
            <w:r>
              <w:rPr>
                <w:noProof/>
                <w:sz w:val="16"/>
              </w:rPr>
              <w:t xml:space="preserve"> Cancellare le voci non pertinenti.</w:t>
            </w:r>
          </w:p>
        </w:tc>
      </w:tr>
    </w:tbl>
    <w:p w:rsidR="009C13A9" w:rsidRPr="00C903F8" w:rsidRDefault="009C13A9" w:rsidP="009C13A9">
      <w:pPr>
        <w:widowControl w:val="0"/>
        <w:spacing w:line="360" w:lineRule="auto"/>
        <w:jc w:val="left"/>
        <w:rPr>
          <w:noProof/>
          <w:szCs w:val="20"/>
        </w:rPr>
      </w:pPr>
    </w:p>
    <w:p w:rsidR="009C13A9" w:rsidRPr="00C903F8" w:rsidRDefault="009C13A9" w:rsidP="009C13A9">
      <w:pPr>
        <w:widowControl w:val="0"/>
        <w:jc w:val="left"/>
        <w:rPr>
          <w:noProof/>
          <w:szCs w:val="20"/>
        </w:rPr>
      </w:pPr>
      <w:r>
        <w:br w:type="page"/>
      </w:r>
    </w:p>
    <w:tbl>
      <w:tblPr>
        <w:tblW w:w="9322" w:type="dxa"/>
        <w:tblBorders>
          <w:top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322"/>
      </w:tblGrid>
      <w:tr w:rsidR="009C13A9" w:rsidRPr="00946CF6" w:rsidTr="009C13A9">
        <w:tc>
          <w:tcPr>
            <w:tcW w:w="9322" w:type="dxa"/>
            <w:tcBorders>
              <w:left w:val="single" w:sz="4" w:space="0" w:color="auto"/>
              <w:bottom w:val="nil"/>
            </w:tcBorders>
          </w:tcPr>
          <w:p w:rsidR="009C13A9" w:rsidRPr="00C903F8" w:rsidRDefault="009C13A9" w:rsidP="009C13A9">
            <w:pPr>
              <w:widowControl w:val="0"/>
              <w:spacing w:before="60" w:after="60" w:line="240" w:lineRule="atLeast"/>
              <w:ind w:left="0" w:firstLine="0"/>
              <w:jc w:val="left"/>
              <w:rPr>
                <w:noProof/>
                <w:szCs w:val="20"/>
              </w:rPr>
            </w:pPr>
            <w:r>
              <w:lastRenderedPageBreak/>
              <w:br w:type="page"/>
              <w:t>Allegato al certificato per la navigazione interna n. ……………………….</w:t>
            </w:r>
          </w:p>
        </w:tc>
      </w:tr>
      <w:tr w:rsidR="009C13A9" w:rsidRPr="00946CF6" w:rsidTr="009C13A9">
        <w:trPr>
          <w:cantSplit/>
        </w:trPr>
        <w:tc>
          <w:tcPr>
            <w:tcW w:w="9322" w:type="dxa"/>
            <w:tcBorders>
              <w:left w:val="single" w:sz="4" w:space="0" w:color="auto"/>
              <w:bottom w:val="nil"/>
            </w:tcBorders>
          </w:tcPr>
          <w:p w:rsidR="009C13A9" w:rsidRPr="00C903F8" w:rsidRDefault="009C13A9" w:rsidP="009C13A9">
            <w:pPr>
              <w:widowControl w:val="0"/>
              <w:tabs>
                <w:tab w:val="left" w:leader="dot" w:pos="2835"/>
                <w:tab w:val="left" w:leader="dot" w:pos="7371"/>
              </w:tabs>
              <w:spacing w:line="360" w:lineRule="auto"/>
              <w:ind w:left="284"/>
              <w:jc w:val="left"/>
              <w:rPr>
                <w:noProof/>
                <w:sz w:val="18"/>
                <w:szCs w:val="20"/>
              </w:rPr>
            </w:pPr>
          </w:p>
        </w:tc>
      </w:tr>
      <w:tr w:rsidR="009C13A9" w:rsidRPr="00C903F8" w:rsidTr="009C13A9">
        <w:tc>
          <w:tcPr>
            <w:tcW w:w="9322" w:type="dxa"/>
            <w:tcBorders>
              <w:top w:val="nil"/>
              <w:left w:val="single" w:sz="4" w:space="0" w:color="auto"/>
              <w:bottom w:val="nil"/>
            </w:tcBorders>
          </w:tcPr>
          <w:p w:rsidR="009C13A9" w:rsidRPr="00C903F8" w:rsidRDefault="009C13A9" w:rsidP="009C13A9">
            <w:pPr>
              <w:tabs>
                <w:tab w:val="left" w:pos="57"/>
                <w:tab w:val="left" w:pos="345"/>
                <w:tab w:val="left" w:leader="dot" w:pos="8505"/>
              </w:tabs>
              <w:overflowPunct w:val="0"/>
              <w:adjustRightInd w:val="0"/>
              <w:spacing w:line="240" w:lineRule="atLeast"/>
              <w:ind w:left="0" w:firstLine="0"/>
              <w:jc w:val="left"/>
              <w:textAlignment w:val="baseline"/>
              <w:rPr>
                <w:rFonts w:eastAsia="Calibri" w:cs="Arial"/>
                <w:sz w:val="18"/>
                <w:szCs w:val="20"/>
              </w:rPr>
            </w:pPr>
            <w:r>
              <w:rPr>
                <w:sz w:val="18"/>
              </w:rPr>
              <w:t>11.</w:t>
            </w:r>
          </w:p>
        </w:tc>
      </w:tr>
      <w:tr w:rsidR="009C13A9" w:rsidRPr="00C903F8" w:rsidTr="009C13A9">
        <w:tc>
          <w:tcPr>
            <w:tcW w:w="9322" w:type="dxa"/>
            <w:tcBorders>
              <w:top w:val="nil"/>
              <w:left w:val="single" w:sz="4" w:space="0" w:color="auto"/>
              <w:bottom w:val="nil"/>
            </w:tcBorders>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7"/>
              <w:gridCol w:w="2041"/>
              <w:gridCol w:w="1021"/>
              <w:gridCol w:w="1021"/>
              <w:gridCol w:w="1021"/>
              <w:gridCol w:w="1021"/>
              <w:gridCol w:w="1021"/>
              <w:gridCol w:w="236"/>
            </w:tblGrid>
            <w:tr w:rsidR="009C13A9" w:rsidRPr="00C903F8" w:rsidTr="009C13A9">
              <w:trPr>
                <w:jc w:val="center"/>
              </w:trPr>
              <w:tc>
                <w:tcPr>
                  <w:tcW w:w="1077" w:type="dxa"/>
                  <w:tcBorders>
                    <w:top w:val="nil"/>
                    <w:left w:val="nil"/>
                    <w:bottom w:val="nil"/>
                    <w:right w:val="nil"/>
                  </w:tcBorders>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 w:val="18"/>
                      <w:szCs w:val="20"/>
                    </w:rPr>
                  </w:pPr>
                </w:p>
              </w:tc>
              <w:tc>
                <w:tcPr>
                  <w:tcW w:w="2041" w:type="dxa"/>
                  <w:tcBorders>
                    <w:top w:val="nil"/>
                    <w:left w:val="nil"/>
                    <w:bottom w:val="nil"/>
                  </w:tcBorders>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 w:val="18"/>
                      <w:szCs w:val="20"/>
                    </w:rPr>
                  </w:pPr>
                </w:p>
              </w:tc>
              <w:tc>
                <w:tcPr>
                  <w:tcW w:w="5105" w:type="dxa"/>
                  <w:gridSpan w:val="5"/>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center"/>
                    <w:textAlignment w:val="baseline"/>
                    <w:rPr>
                      <w:rFonts w:eastAsia="Calibri" w:cs="Arial"/>
                      <w:sz w:val="18"/>
                      <w:szCs w:val="20"/>
                    </w:rPr>
                  </w:pPr>
                  <w:r>
                    <w:rPr>
                      <w:noProof/>
                      <w:sz w:val="18"/>
                    </w:rPr>
                    <w:t xml:space="preserve">Zona e/o vie navigabili </w:t>
                  </w:r>
                  <w:r>
                    <w:rPr>
                      <w:sz w:val="18"/>
                      <w:vertAlign w:val="superscript"/>
                    </w:rPr>
                    <w:t>(1)</w:t>
                  </w:r>
                </w:p>
              </w:tc>
              <w:tc>
                <w:tcPr>
                  <w:tcW w:w="170" w:type="dxa"/>
                  <w:tcBorders>
                    <w:top w:val="nil"/>
                    <w:bottom w:val="nil"/>
                    <w:right w:val="nil"/>
                  </w:tcBorders>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Cs w:val="20"/>
                    </w:rPr>
                  </w:pPr>
                </w:p>
              </w:tc>
            </w:tr>
            <w:tr w:rsidR="009C13A9" w:rsidRPr="00C903F8" w:rsidTr="009C13A9">
              <w:trPr>
                <w:jc w:val="center"/>
              </w:trPr>
              <w:tc>
                <w:tcPr>
                  <w:tcW w:w="1077" w:type="dxa"/>
                  <w:tcBorders>
                    <w:top w:val="nil"/>
                    <w:left w:val="nil"/>
                    <w:bottom w:val="single" w:sz="4" w:space="0" w:color="auto"/>
                    <w:right w:val="nil"/>
                  </w:tcBorders>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 w:val="18"/>
                      <w:szCs w:val="20"/>
                    </w:rPr>
                  </w:pPr>
                </w:p>
              </w:tc>
              <w:tc>
                <w:tcPr>
                  <w:tcW w:w="2041" w:type="dxa"/>
                  <w:tcBorders>
                    <w:top w:val="nil"/>
                    <w:left w:val="nil"/>
                    <w:bottom w:val="single" w:sz="4" w:space="0" w:color="auto"/>
                  </w:tcBorders>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 w:val="18"/>
                      <w:szCs w:val="20"/>
                    </w:rPr>
                  </w:pPr>
                </w:p>
              </w:tc>
              <w:tc>
                <w:tcPr>
                  <w:tcW w:w="1021" w:type="dxa"/>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center"/>
                    <w:textAlignment w:val="baseline"/>
                    <w:rPr>
                      <w:rFonts w:eastAsia="Calibri" w:cs="Arial"/>
                      <w:sz w:val="18"/>
                      <w:szCs w:val="20"/>
                    </w:rPr>
                  </w:pPr>
                  <w:r>
                    <w:rPr>
                      <w:sz w:val="18"/>
                    </w:rPr>
                    <w:t>4</w:t>
                  </w:r>
                </w:p>
              </w:tc>
              <w:tc>
                <w:tcPr>
                  <w:tcW w:w="1021" w:type="dxa"/>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center"/>
                    <w:textAlignment w:val="baseline"/>
                    <w:rPr>
                      <w:rFonts w:eastAsia="Calibri" w:cs="Arial"/>
                      <w:sz w:val="18"/>
                      <w:szCs w:val="20"/>
                    </w:rPr>
                  </w:pPr>
                  <w:r>
                    <w:rPr>
                      <w:sz w:val="18"/>
                    </w:rPr>
                    <w:t>3</w:t>
                  </w:r>
                </w:p>
              </w:tc>
              <w:tc>
                <w:tcPr>
                  <w:tcW w:w="1021" w:type="dxa"/>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center"/>
                    <w:textAlignment w:val="baseline"/>
                    <w:rPr>
                      <w:rFonts w:eastAsia="Calibri" w:cs="Arial"/>
                      <w:sz w:val="18"/>
                      <w:szCs w:val="20"/>
                    </w:rPr>
                  </w:pPr>
                  <w:r>
                    <w:rPr>
                      <w:sz w:val="18"/>
                    </w:rPr>
                    <w:t>2</w:t>
                  </w:r>
                </w:p>
              </w:tc>
              <w:tc>
                <w:tcPr>
                  <w:tcW w:w="1021" w:type="dxa"/>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center"/>
                    <w:textAlignment w:val="baseline"/>
                    <w:rPr>
                      <w:rFonts w:eastAsia="Calibri" w:cs="Arial"/>
                      <w:sz w:val="18"/>
                      <w:szCs w:val="20"/>
                    </w:rPr>
                  </w:pPr>
                  <w:r>
                    <w:rPr>
                      <w:sz w:val="18"/>
                    </w:rPr>
                    <w:t>1</w:t>
                  </w:r>
                </w:p>
              </w:tc>
              <w:tc>
                <w:tcPr>
                  <w:tcW w:w="1021" w:type="dxa"/>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 w:val="18"/>
                      <w:szCs w:val="20"/>
                    </w:rPr>
                  </w:pPr>
                </w:p>
              </w:tc>
              <w:tc>
                <w:tcPr>
                  <w:tcW w:w="170" w:type="dxa"/>
                  <w:tcBorders>
                    <w:top w:val="nil"/>
                    <w:bottom w:val="nil"/>
                    <w:right w:val="nil"/>
                  </w:tcBorders>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Cs w:val="20"/>
                    </w:rPr>
                  </w:pPr>
                </w:p>
              </w:tc>
            </w:tr>
            <w:tr w:rsidR="009C13A9" w:rsidRPr="00C903F8" w:rsidTr="009C13A9">
              <w:trPr>
                <w:jc w:val="center"/>
              </w:trPr>
              <w:tc>
                <w:tcPr>
                  <w:tcW w:w="1077" w:type="dxa"/>
                  <w:tcBorders>
                    <w:top w:val="single" w:sz="4" w:space="0" w:color="auto"/>
                    <w:bottom w:val="nil"/>
                  </w:tcBorders>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 w:val="18"/>
                      <w:szCs w:val="20"/>
                    </w:rPr>
                  </w:pPr>
                  <w:r>
                    <w:rPr>
                      <w:noProof/>
                      <w:sz w:val="18"/>
                    </w:rPr>
                    <w:t>Bordo libero (cm)</w:t>
                  </w:r>
                </w:p>
              </w:tc>
              <w:tc>
                <w:tcPr>
                  <w:tcW w:w="2041" w:type="dxa"/>
                  <w:tcBorders>
                    <w:top w:val="single" w:sz="4" w:space="0" w:color="auto"/>
                  </w:tcBorders>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 w:val="18"/>
                      <w:szCs w:val="20"/>
                    </w:rPr>
                  </w:pPr>
                  <w:r>
                    <w:rPr>
                      <w:noProof/>
                      <w:sz w:val="18"/>
                    </w:rPr>
                    <w:t>a stiva chiusa</w:t>
                  </w:r>
                </w:p>
              </w:tc>
              <w:tc>
                <w:tcPr>
                  <w:tcW w:w="1021" w:type="dxa"/>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 w:val="18"/>
                      <w:szCs w:val="20"/>
                    </w:rPr>
                  </w:pPr>
                </w:p>
              </w:tc>
              <w:tc>
                <w:tcPr>
                  <w:tcW w:w="1021" w:type="dxa"/>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 w:val="18"/>
                      <w:szCs w:val="20"/>
                    </w:rPr>
                  </w:pPr>
                </w:p>
              </w:tc>
              <w:tc>
                <w:tcPr>
                  <w:tcW w:w="1021" w:type="dxa"/>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 w:val="18"/>
                      <w:szCs w:val="20"/>
                    </w:rPr>
                  </w:pPr>
                </w:p>
              </w:tc>
              <w:tc>
                <w:tcPr>
                  <w:tcW w:w="1021" w:type="dxa"/>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 w:val="18"/>
                      <w:szCs w:val="20"/>
                    </w:rPr>
                  </w:pPr>
                </w:p>
              </w:tc>
              <w:tc>
                <w:tcPr>
                  <w:tcW w:w="1021" w:type="dxa"/>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 w:val="18"/>
                      <w:szCs w:val="20"/>
                    </w:rPr>
                  </w:pPr>
                </w:p>
              </w:tc>
              <w:tc>
                <w:tcPr>
                  <w:tcW w:w="170" w:type="dxa"/>
                  <w:tcBorders>
                    <w:top w:val="nil"/>
                    <w:bottom w:val="nil"/>
                    <w:right w:val="nil"/>
                  </w:tcBorders>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Cs w:val="20"/>
                    </w:rPr>
                  </w:pPr>
                </w:p>
              </w:tc>
            </w:tr>
            <w:tr w:rsidR="009C13A9" w:rsidRPr="00C903F8" w:rsidTr="009C13A9">
              <w:trPr>
                <w:jc w:val="center"/>
              </w:trPr>
              <w:tc>
                <w:tcPr>
                  <w:tcW w:w="1077" w:type="dxa"/>
                  <w:tcBorders>
                    <w:top w:val="nil"/>
                  </w:tcBorders>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 w:val="18"/>
                      <w:szCs w:val="20"/>
                    </w:rPr>
                  </w:pPr>
                </w:p>
              </w:tc>
              <w:tc>
                <w:tcPr>
                  <w:tcW w:w="2041" w:type="dxa"/>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 w:val="18"/>
                      <w:szCs w:val="20"/>
                    </w:rPr>
                  </w:pPr>
                  <w:r>
                    <w:rPr>
                      <w:noProof/>
                      <w:sz w:val="18"/>
                    </w:rPr>
                    <w:t>a stiva aperta</w:t>
                  </w:r>
                </w:p>
              </w:tc>
              <w:tc>
                <w:tcPr>
                  <w:tcW w:w="1021" w:type="dxa"/>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 w:val="18"/>
                      <w:szCs w:val="20"/>
                    </w:rPr>
                  </w:pPr>
                </w:p>
              </w:tc>
              <w:tc>
                <w:tcPr>
                  <w:tcW w:w="1021" w:type="dxa"/>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 w:val="18"/>
                      <w:szCs w:val="20"/>
                    </w:rPr>
                  </w:pPr>
                </w:p>
              </w:tc>
              <w:tc>
                <w:tcPr>
                  <w:tcW w:w="1021" w:type="dxa"/>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 w:val="18"/>
                      <w:szCs w:val="20"/>
                    </w:rPr>
                  </w:pPr>
                </w:p>
              </w:tc>
              <w:tc>
                <w:tcPr>
                  <w:tcW w:w="1021" w:type="dxa"/>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 w:val="18"/>
                      <w:szCs w:val="20"/>
                    </w:rPr>
                  </w:pPr>
                </w:p>
              </w:tc>
              <w:tc>
                <w:tcPr>
                  <w:tcW w:w="1021" w:type="dxa"/>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 w:val="18"/>
                      <w:szCs w:val="20"/>
                    </w:rPr>
                  </w:pPr>
                </w:p>
              </w:tc>
              <w:tc>
                <w:tcPr>
                  <w:tcW w:w="170" w:type="dxa"/>
                  <w:tcBorders>
                    <w:top w:val="nil"/>
                    <w:bottom w:val="nil"/>
                    <w:right w:val="nil"/>
                  </w:tcBorders>
                  <w:shd w:val="clear" w:color="auto" w:fill="auto"/>
                </w:tcPr>
                <w:p w:rsidR="009C13A9" w:rsidRPr="00C903F8" w:rsidRDefault="009C13A9" w:rsidP="009C13A9">
                  <w:pPr>
                    <w:tabs>
                      <w:tab w:val="left" w:pos="57"/>
                      <w:tab w:val="left" w:pos="345"/>
                      <w:tab w:val="left" w:leader="dot" w:pos="8505"/>
                    </w:tabs>
                    <w:overflowPunct w:val="0"/>
                    <w:adjustRightInd w:val="0"/>
                    <w:spacing w:before="60" w:after="60" w:line="240" w:lineRule="atLeast"/>
                    <w:ind w:left="0" w:firstLine="0"/>
                    <w:jc w:val="left"/>
                    <w:textAlignment w:val="baseline"/>
                    <w:rPr>
                      <w:rFonts w:eastAsia="Calibri" w:cs="Arial"/>
                      <w:szCs w:val="20"/>
                    </w:rPr>
                  </w:pPr>
                </w:p>
              </w:tc>
            </w:tr>
          </w:tbl>
          <w:p w:rsidR="009C13A9" w:rsidRPr="00C903F8" w:rsidRDefault="009C13A9" w:rsidP="009C13A9">
            <w:pPr>
              <w:widowControl w:val="0"/>
              <w:tabs>
                <w:tab w:val="left" w:pos="426"/>
                <w:tab w:val="right" w:pos="8789"/>
              </w:tabs>
              <w:spacing w:before="240" w:line="360" w:lineRule="auto"/>
              <w:ind w:left="426" w:hanging="426"/>
              <w:jc w:val="left"/>
              <w:rPr>
                <w:noProof/>
              </w:rPr>
            </w:pPr>
          </w:p>
        </w:tc>
      </w:tr>
      <w:tr w:rsidR="009C13A9" w:rsidRPr="00C903F8" w:rsidTr="009C13A9">
        <w:tc>
          <w:tcPr>
            <w:tcW w:w="9322" w:type="dxa"/>
            <w:tcBorders>
              <w:top w:val="nil"/>
              <w:left w:val="single" w:sz="4" w:space="0" w:color="auto"/>
              <w:bottom w:val="single" w:sz="4" w:space="0" w:color="auto"/>
            </w:tcBorders>
          </w:tcPr>
          <w:p w:rsidR="009C13A9" w:rsidRPr="00C903F8" w:rsidRDefault="009C13A9" w:rsidP="009C13A9">
            <w:pPr>
              <w:widowControl w:val="0"/>
              <w:tabs>
                <w:tab w:val="left" w:pos="426"/>
                <w:tab w:val="right" w:pos="8789"/>
              </w:tabs>
              <w:spacing w:before="240" w:line="360" w:lineRule="auto"/>
              <w:ind w:left="426" w:hanging="426"/>
              <w:jc w:val="left"/>
              <w:rPr>
                <w:noProof/>
                <w:szCs w:val="20"/>
              </w:rPr>
            </w:pPr>
            <w:r>
              <w:t>12.</w:t>
            </w:r>
            <w:r>
              <w:tab/>
              <w:t>Deroghe rispetto al certificato per la navigazione interna n. ……………………….</w:t>
            </w:r>
          </w:p>
          <w:p w:rsidR="009C13A9" w:rsidRPr="00C903F8" w:rsidRDefault="009C13A9" w:rsidP="009C13A9">
            <w:pPr>
              <w:widowControl w:val="0"/>
              <w:tabs>
                <w:tab w:val="right" w:leader="dot" w:pos="8789"/>
              </w:tabs>
              <w:spacing w:line="360" w:lineRule="auto"/>
              <w:ind w:left="426" w:firstLine="0"/>
              <w:jc w:val="left"/>
              <w:rPr>
                <w:noProof/>
              </w:rPr>
            </w:pPr>
            <w:r>
              <w:tab/>
            </w:r>
          </w:p>
          <w:p w:rsidR="009C13A9" w:rsidRPr="00C903F8" w:rsidRDefault="009C13A9" w:rsidP="009C13A9">
            <w:pPr>
              <w:widowControl w:val="0"/>
              <w:tabs>
                <w:tab w:val="right" w:leader="dot" w:pos="8789"/>
              </w:tabs>
              <w:spacing w:line="360" w:lineRule="auto"/>
              <w:ind w:left="426" w:firstLine="0"/>
              <w:jc w:val="left"/>
              <w:rPr>
                <w:noProof/>
              </w:rPr>
            </w:pPr>
            <w:r>
              <w:tab/>
            </w:r>
          </w:p>
          <w:p w:rsidR="009C13A9" w:rsidRPr="00C903F8" w:rsidRDefault="009C13A9" w:rsidP="009C13A9">
            <w:pPr>
              <w:widowControl w:val="0"/>
              <w:tabs>
                <w:tab w:val="right" w:leader="dot" w:pos="8789"/>
              </w:tabs>
              <w:spacing w:line="360" w:lineRule="auto"/>
              <w:ind w:left="426" w:firstLine="0"/>
              <w:jc w:val="left"/>
              <w:rPr>
                <w:noProof/>
              </w:rPr>
            </w:pPr>
            <w:r>
              <w:tab/>
            </w:r>
          </w:p>
          <w:p w:rsidR="009C13A9" w:rsidRPr="00C903F8" w:rsidRDefault="009C13A9" w:rsidP="009C13A9">
            <w:pPr>
              <w:widowControl w:val="0"/>
              <w:tabs>
                <w:tab w:val="right" w:leader="dot" w:pos="8789"/>
              </w:tabs>
              <w:spacing w:line="360" w:lineRule="auto"/>
              <w:ind w:left="426" w:firstLine="0"/>
              <w:jc w:val="left"/>
              <w:rPr>
                <w:noProof/>
              </w:rPr>
            </w:pPr>
            <w:r>
              <w:tab/>
            </w:r>
          </w:p>
          <w:p w:rsidR="009C13A9" w:rsidRPr="00C903F8" w:rsidRDefault="009C13A9" w:rsidP="009C13A9">
            <w:pPr>
              <w:widowControl w:val="0"/>
              <w:tabs>
                <w:tab w:val="right" w:leader="dot" w:pos="8789"/>
              </w:tabs>
              <w:spacing w:line="360" w:lineRule="auto"/>
              <w:ind w:left="426" w:firstLine="0"/>
              <w:jc w:val="left"/>
              <w:rPr>
                <w:noProof/>
              </w:rPr>
            </w:pPr>
            <w:r>
              <w:tab/>
            </w:r>
          </w:p>
          <w:p w:rsidR="009C13A9" w:rsidRPr="00C903F8" w:rsidRDefault="009C13A9" w:rsidP="009C13A9">
            <w:pPr>
              <w:widowControl w:val="0"/>
              <w:tabs>
                <w:tab w:val="right" w:leader="dot" w:pos="8789"/>
              </w:tabs>
              <w:spacing w:line="360" w:lineRule="auto"/>
              <w:ind w:left="426" w:firstLine="0"/>
              <w:jc w:val="left"/>
              <w:rPr>
                <w:noProof/>
              </w:rPr>
            </w:pPr>
            <w:r>
              <w:tab/>
            </w:r>
          </w:p>
          <w:p w:rsidR="009C13A9" w:rsidRPr="00677052" w:rsidRDefault="009C13A9" w:rsidP="009C13A9">
            <w:pPr>
              <w:widowControl w:val="0"/>
              <w:tabs>
                <w:tab w:val="right" w:pos="8789"/>
              </w:tabs>
              <w:spacing w:line="360" w:lineRule="auto"/>
              <w:ind w:left="426" w:hanging="426"/>
              <w:jc w:val="left"/>
              <w:rPr>
                <w:noProof/>
                <w:szCs w:val="20"/>
              </w:rPr>
            </w:pPr>
            <w:r>
              <w:t>13.</w:t>
            </w:r>
            <w:r>
              <w:tab/>
              <w:t>I dati relativi al numero dei membri dell'equipaggio del certificato per la navigazione interna non sono applicabili.</w:t>
            </w:r>
          </w:p>
          <w:p w:rsidR="009C13A9" w:rsidRPr="00C903F8" w:rsidRDefault="009C13A9" w:rsidP="009C13A9">
            <w:pPr>
              <w:widowControl w:val="0"/>
              <w:tabs>
                <w:tab w:val="right" w:leader="dot" w:pos="6804"/>
              </w:tabs>
              <w:spacing w:line="360" w:lineRule="auto"/>
              <w:jc w:val="left"/>
              <w:rPr>
                <w:noProof/>
                <w:szCs w:val="20"/>
              </w:rPr>
            </w:pPr>
            <w:r>
              <w:t>14.</w:t>
            </w:r>
            <w:r>
              <w:tab/>
              <w:t>Visto il certificato per la navigazione interna n.</w:t>
            </w:r>
            <w:r>
              <w:tab/>
            </w:r>
          </w:p>
          <w:p w:rsidR="009C13A9" w:rsidRPr="00C903F8" w:rsidRDefault="009C13A9" w:rsidP="009C13A9">
            <w:pPr>
              <w:widowControl w:val="0"/>
              <w:tabs>
                <w:tab w:val="left" w:pos="709"/>
                <w:tab w:val="left" w:leader="dot" w:pos="3686"/>
                <w:tab w:val="right" w:leader="dot" w:pos="8789"/>
              </w:tabs>
              <w:spacing w:line="360" w:lineRule="auto"/>
              <w:ind w:left="426" w:firstLine="0"/>
              <w:jc w:val="left"/>
              <w:rPr>
                <w:noProof/>
                <w:szCs w:val="20"/>
              </w:rPr>
            </w:pPr>
            <w:r>
              <w:t xml:space="preserve">datato </w:t>
            </w:r>
            <w:r>
              <w:tab/>
              <w:t xml:space="preserve"> valido fino al </w:t>
            </w:r>
            <w:r>
              <w:tab/>
            </w:r>
          </w:p>
          <w:p w:rsidR="009C13A9" w:rsidRPr="00C903F8" w:rsidRDefault="009C13A9" w:rsidP="009C13A9">
            <w:pPr>
              <w:widowControl w:val="0"/>
              <w:tabs>
                <w:tab w:val="left" w:pos="709"/>
                <w:tab w:val="right" w:leader="dot" w:pos="8789"/>
              </w:tabs>
              <w:spacing w:line="360" w:lineRule="auto"/>
              <w:ind w:left="426" w:firstLine="0"/>
              <w:jc w:val="left"/>
              <w:rPr>
                <w:noProof/>
              </w:rPr>
            </w:pPr>
            <w:r>
              <w:t xml:space="preserve">Visto il risultato dell’ispezione del </w:t>
            </w:r>
            <w:r>
              <w:tab/>
              <w:t>,</w:t>
            </w:r>
          </w:p>
          <w:p w:rsidR="009C13A9" w:rsidRPr="00C903F8" w:rsidRDefault="009C13A9" w:rsidP="009C13A9">
            <w:pPr>
              <w:widowControl w:val="0"/>
              <w:tabs>
                <w:tab w:val="left" w:pos="709"/>
                <w:tab w:val="right" w:leader="dot" w:pos="8789"/>
              </w:tabs>
              <w:spacing w:line="360" w:lineRule="auto"/>
              <w:ind w:left="426" w:firstLine="0"/>
              <w:jc w:val="left"/>
              <w:rPr>
                <w:noProof/>
                <w:szCs w:val="20"/>
              </w:rPr>
            </w:pPr>
            <w:r>
              <w:t>del ………………………….,</w:t>
            </w:r>
          </w:p>
          <w:p w:rsidR="009C13A9" w:rsidRPr="00C903F8" w:rsidRDefault="009C13A9" w:rsidP="009C13A9">
            <w:pPr>
              <w:widowControl w:val="0"/>
              <w:tabs>
                <w:tab w:val="right" w:leader="dot" w:pos="8789"/>
              </w:tabs>
              <w:spacing w:line="360" w:lineRule="auto"/>
              <w:ind w:left="426" w:firstLine="0"/>
              <w:jc w:val="left"/>
              <w:rPr>
                <w:noProof/>
              </w:rPr>
            </w:pPr>
            <w:r>
              <w:t xml:space="preserve">la validità del presente certificato supplementare è prorogata/rinnovata </w:t>
            </w:r>
            <w:r>
              <w:rPr>
                <w:noProof/>
                <w:vertAlign w:val="superscript"/>
              </w:rPr>
              <w:t>(1)</w:t>
            </w:r>
            <w:r>
              <w:t xml:space="preserve"> fino al </w:t>
            </w:r>
            <w:r>
              <w:tab/>
            </w:r>
          </w:p>
          <w:p w:rsidR="009C13A9" w:rsidRPr="00C903F8" w:rsidRDefault="009C13A9" w:rsidP="009C13A9">
            <w:pPr>
              <w:widowControl w:val="0"/>
              <w:tabs>
                <w:tab w:val="right" w:leader="dot" w:pos="8789"/>
              </w:tabs>
              <w:spacing w:line="360" w:lineRule="auto"/>
              <w:ind w:left="284" w:firstLine="0"/>
              <w:jc w:val="left"/>
            </w:pPr>
            <w:r>
              <w:tab/>
            </w:r>
          </w:p>
          <w:p w:rsidR="009C13A9" w:rsidRPr="00C903F8" w:rsidRDefault="009C13A9" w:rsidP="009C13A9">
            <w:pPr>
              <w:widowControl w:val="0"/>
              <w:tabs>
                <w:tab w:val="right" w:leader="dot" w:pos="8789"/>
              </w:tabs>
              <w:spacing w:line="360" w:lineRule="auto"/>
              <w:ind w:left="284" w:firstLine="0"/>
              <w:jc w:val="left"/>
            </w:pPr>
          </w:p>
          <w:p w:rsidR="009C13A9" w:rsidRPr="00C903F8" w:rsidRDefault="009C13A9" w:rsidP="009C13A9">
            <w:pPr>
              <w:widowControl w:val="0"/>
              <w:tabs>
                <w:tab w:val="left" w:pos="5954"/>
                <w:tab w:val="left" w:leader="dot" w:pos="8789"/>
              </w:tabs>
              <w:spacing w:line="240" w:lineRule="atLeast"/>
              <w:ind w:left="0" w:firstLine="0"/>
              <w:jc w:val="left"/>
              <w:rPr>
                <w:noProof/>
              </w:rPr>
            </w:pPr>
            <w:r>
              <w:tab/>
            </w:r>
            <w:r>
              <w:tab/>
              <w:t>,</w:t>
            </w:r>
          </w:p>
          <w:p w:rsidR="009C13A9" w:rsidRPr="00C903F8" w:rsidRDefault="009C13A9" w:rsidP="009C13A9">
            <w:pPr>
              <w:widowControl w:val="0"/>
              <w:tabs>
                <w:tab w:val="left" w:pos="6804"/>
                <w:tab w:val="left" w:leader="dot" w:pos="8789"/>
              </w:tabs>
              <w:spacing w:after="240" w:line="360" w:lineRule="auto"/>
              <w:ind w:left="0" w:firstLine="0"/>
              <w:jc w:val="left"/>
              <w:rPr>
                <w:noProof/>
              </w:rPr>
            </w:pPr>
            <w:r>
              <w:tab/>
              <w:t>(Luogo) (Data)</w:t>
            </w:r>
          </w:p>
          <w:p w:rsidR="009C13A9" w:rsidRPr="00C903F8" w:rsidRDefault="009C13A9" w:rsidP="009C13A9">
            <w:pPr>
              <w:widowControl w:val="0"/>
              <w:tabs>
                <w:tab w:val="left" w:pos="5954"/>
                <w:tab w:val="left" w:leader="dot" w:pos="8789"/>
              </w:tabs>
              <w:spacing w:line="240" w:lineRule="atLeast"/>
              <w:ind w:left="0" w:firstLine="0"/>
              <w:jc w:val="left"/>
              <w:rPr>
                <w:noProof/>
                <w:szCs w:val="20"/>
              </w:rPr>
            </w:pPr>
            <w:r>
              <w:tab/>
              <w:t>…………………………………….</w:t>
            </w:r>
          </w:p>
          <w:p w:rsidR="009C13A9" w:rsidRPr="00C903F8" w:rsidRDefault="009C13A9" w:rsidP="009C13A9">
            <w:pPr>
              <w:widowControl w:val="0"/>
              <w:tabs>
                <w:tab w:val="left" w:pos="6521"/>
                <w:tab w:val="left" w:leader="dot" w:pos="8789"/>
              </w:tabs>
              <w:spacing w:after="240" w:line="360" w:lineRule="auto"/>
              <w:ind w:left="0" w:firstLine="0"/>
              <w:jc w:val="left"/>
              <w:rPr>
                <w:noProof/>
              </w:rPr>
            </w:pPr>
            <w:r>
              <w:tab/>
              <w:t>Commissione di ispezione</w:t>
            </w:r>
          </w:p>
          <w:p w:rsidR="009C13A9" w:rsidRPr="00C903F8" w:rsidRDefault="00313B91" w:rsidP="009C13A9">
            <w:pPr>
              <w:widowControl w:val="0"/>
              <w:tabs>
                <w:tab w:val="center" w:pos="6804"/>
                <w:tab w:val="left" w:leader="dot" w:pos="8789"/>
              </w:tabs>
              <w:spacing w:line="240" w:lineRule="atLeast"/>
              <w:ind w:left="1134" w:firstLine="0"/>
              <w:jc w:val="left"/>
              <w:rPr>
                <w:noProof/>
                <w:szCs w:val="20"/>
              </w:rPr>
            </w:pPr>
            <w:r>
              <w:t>Timbro</w:t>
            </w:r>
          </w:p>
          <w:p w:rsidR="009C13A9" w:rsidRPr="00C903F8" w:rsidRDefault="009C13A9" w:rsidP="009C13A9">
            <w:pPr>
              <w:widowControl w:val="0"/>
              <w:tabs>
                <w:tab w:val="left" w:pos="5954"/>
                <w:tab w:val="left" w:leader="dot" w:pos="8789"/>
              </w:tabs>
              <w:spacing w:line="240" w:lineRule="atLeast"/>
              <w:ind w:left="0" w:firstLine="0"/>
              <w:jc w:val="left"/>
              <w:rPr>
                <w:noProof/>
                <w:szCs w:val="20"/>
              </w:rPr>
            </w:pPr>
            <w:r>
              <w:tab/>
              <w:t>…………………………………….</w:t>
            </w:r>
          </w:p>
          <w:p w:rsidR="009C13A9" w:rsidRPr="00C903F8" w:rsidRDefault="009C13A9" w:rsidP="009C13A9">
            <w:pPr>
              <w:widowControl w:val="0"/>
              <w:tabs>
                <w:tab w:val="left" w:pos="7088"/>
                <w:tab w:val="left" w:leader="dot" w:pos="8789"/>
              </w:tabs>
              <w:spacing w:after="240" w:line="360" w:lineRule="auto"/>
              <w:ind w:left="0" w:firstLine="0"/>
              <w:jc w:val="left"/>
              <w:rPr>
                <w:noProof/>
                <w:sz w:val="16"/>
                <w:szCs w:val="20"/>
              </w:rPr>
            </w:pPr>
            <w:r>
              <w:tab/>
              <w:t>(firma)</w:t>
            </w:r>
          </w:p>
          <w:p w:rsidR="009C13A9" w:rsidRPr="00C903F8" w:rsidRDefault="009C13A9" w:rsidP="009C13A9">
            <w:pPr>
              <w:widowControl w:val="0"/>
              <w:tabs>
                <w:tab w:val="left" w:pos="6946"/>
                <w:tab w:val="left" w:leader="dot" w:pos="8789"/>
              </w:tabs>
              <w:spacing w:before="960" w:line="240" w:lineRule="atLeast"/>
              <w:ind w:left="284" w:hanging="284"/>
              <w:jc w:val="left"/>
              <w:rPr>
                <w:noProof/>
                <w:sz w:val="16"/>
                <w:szCs w:val="20"/>
                <w:vertAlign w:val="superscript"/>
              </w:rPr>
            </w:pPr>
            <w:r>
              <w:rPr>
                <w:noProof/>
                <w:sz w:val="16"/>
                <w:vertAlign w:val="superscript"/>
              </w:rPr>
              <w:t>_________________</w:t>
            </w:r>
          </w:p>
          <w:p w:rsidR="009C13A9" w:rsidRPr="00C903F8" w:rsidRDefault="009C13A9" w:rsidP="00FF6A33">
            <w:pPr>
              <w:widowControl w:val="0"/>
              <w:tabs>
                <w:tab w:val="right" w:pos="8789"/>
              </w:tabs>
              <w:spacing w:line="360" w:lineRule="auto"/>
              <w:ind w:left="284" w:hanging="284"/>
              <w:jc w:val="left"/>
              <w:rPr>
                <w:noProof/>
                <w:szCs w:val="20"/>
              </w:rPr>
            </w:pPr>
            <w:r>
              <w:rPr>
                <w:noProof/>
                <w:sz w:val="16"/>
                <w:vertAlign w:val="superscript"/>
              </w:rPr>
              <w:t>(1)</w:t>
            </w:r>
            <w:r>
              <w:rPr>
                <w:noProof/>
                <w:sz w:val="16"/>
              </w:rPr>
              <w:t xml:space="preserve"> Cancellare le voci non pertinenti.</w:t>
            </w:r>
          </w:p>
        </w:tc>
      </w:tr>
    </w:tbl>
    <w:p w:rsidR="009C13A9" w:rsidRPr="00C903F8" w:rsidRDefault="009C13A9" w:rsidP="00857FC2">
      <w:pPr>
        <w:pStyle w:val="ES-Titre3"/>
        <w:rPr>
          <w:noProof/>
        </w:rPr>
      </w:pPr>
      <w:r>
        <w:br w:type="page"/>
      </w:r>
      <w:bookmarkStart w:id="618" w:name="_Toc491854301"/>
      <w:bookmarkStart w:id="619" w:name="_Toc535500250"/>
      <w:r>
        <w:lastRenderedPageBreak/>
        <w:t>Sezione IV</w:t>
      </w:r>
      <w:bookmarkEnd w:id="618"/>
      <w:bookmarkEnd w:id="619"/>
    </w:p>
    <w:p w:rsidR="009C13A9" w:rsidRPr="00C903F8" w:rsidRDefault="009C13A9" w:rsidP="00857FC2">
      <w:pPr>
        <w:pStyle w:val="ES-Titre3a"/>
        <w:rPr>
          <w:noProof/>
        </w:rPr>
      </w:pPr>
      <w:bookmarkStart w:id="620" w:name="_Toc491854302"/>
      <w:bookmarkStart w:id="621" w:name="_Toc535500251"/>
      <w:r>
        <w:t>Modello di certificato per le navi della navigazione impiegate sul Reno</w:t>
      </w:r>
      <w:bookmarkEnd w:id="620"/>
      <w:bookmarkEnd w:id="621"/>
    </w:p>
    <w:p w:rsidR="009C13A9" w:rsidRPr="00DE404B" w:rsidRDefault="009C13A9" w:rsidP="00DE404B">
      <w:pPr>
        <w:pStyle w:val="ESch"/>
      </w:pPr>
    </w:p>
    <w:p w:rsidR="009C13A9" w:rsidRPr="00C903F8" w:rsidRDefault="009C13A9" w:rsidP="009C13A9">
      <w:pPr>
        <w:tabs>
          <w:tab w:val="left" w:pos="284"/>
          <w:tab w:val="left" w:leader="dot" w:pos="9356"/>
        </w:tabs>
        <w:overflowPunct w:val="0"/>
        <w:adjustRightInd w:val="0"/>
        <w:ind w:left="0" w:firstLine="0"/>
        <w:jc w:val="center"/>
        <w:textAlignment w:val="baseline"/>
        <w:rPr>
          <w:rFonts w:cs="Arial"/>
          <w:b/>
          <w:sz w:val="22"/>
          <w:szCs w:val="22"/>
        </w:rPr>
      </w:pPr>
      <w:r>
        <w:rPr>
          <w:b/>
          <w:sz w:val="22"/>
        </w:rPr>
        <w:t>Nome dello Stato / Sigillo</w:t>
      </w:r>
    </w:p>
    <w:p w:rsidR="009C13A9" w:rsidRPr="00DE404B" w:rsidRDefault="009C13A9" w:rsidP="00DE404B">
      <w:pPr>
        <w:pStyle w:val="ESch"/>
      </w:pPr>
    </w:p>
    <w:p w:rsidR="009C13A9" w:rsidRPr="00C903F8" w:rsidRDefault="009C13A9" w:rsidP="009C13A9">
      <w:pPr>
        <w:overflowPunct w:val="0"/>
        <w:adjustRightInd w:val="0"/>
        <w:jc w:val="center"/>
        <w:textAlignment w:val="baseline"/>
        <w:rPr>
          <w:rFonts w:cs="Arial"/>
          <w:b/>
        </w:rPr>
      </w:pPr>
      <w:r>
        <w:rPr>
          <w:b/>
        </w:rPr>
        <w:t>Certificato per le navi della navigazione impiegate sul Reno</w:t>
      </w:r>
    </w:p>
    <w:p w:rsidR="009C13A9" w:rsidRPr="00C903F8" w:rsidRDefault="009C13A9" w:rsidP="009C13A9">
      <w:pPr>
        <w:overflowPunct w:val="0"/>
        <w:adjustRightInd w:val="0"/>
        <w:jc w:val="center"/>
        <w:textAlignment w:val="baseline"/>
        <w:rPr>
          <w:rFonts w:cs="Arial"/>
          <w:b/>
        </w:rPr>
      </w:pPr>
      <w:r>
        <w:rPr>
          <w:b/>
        </w:rPr>
        <w:t>n</w:t>
      </w:r>
      <w:r>
        <w:rPr>
          <w:rFonts w:cs="Arial"/>
          <w:b/>
        </w:rPr>
        <w:sym w:font="Symbol" w:char="F0B0"/>
      </w:r>
      <w:r>
        <w:rPr>
          <w:b/>
        </w:rPr>
        <w:t xml:space="preserve"> ........................</w:t>
      </w:r>
    </w:p>
    <w:p w:rsidR="009C13A9" w:rsidRPr="00C903F8" w:rsidRDefault="009C13A9" w:rsidP="009C13A9">
      <w:pPr>
        <w:tabs>
          <w:tab w:val="left" w:pos="284"/>
          <w:tab w:val="left" w:leader="dot" w:pos="9072"/>
        </w:tabs>
        <w:ind w:left="284" w:hanging="284"/>
      </w:pPr>
    </w:p>
    <w:p w:rsidR="009C13A9" w:rsidRPr="00C903F8" w:rsidRDefault="009C13A9" w:rsidP="009C13A9">
      <w:pPr>
        <w:tabs>
          <w:tab w:val="left" w:leader="dot" w:pos="5954"/>
          <w:tab w:val="left" w:leader="dot" w:pos="9072"/>
        </w:tabs>
        <w:ind w:left="0" w:firstLine="0"/>
      </w:pPr>
      <w:r>
        <w:t xml:space="preserve">La commissione di ispezione </w:t>
      </w:r>
      <w:r>
        <w:tab/>
        <w:t xml:space="preserve"> con il presente certifica che la nave della navigazione marittima </w:t>
      </w:r>
    </w:p>
    <w:p w:rsidR="009C13A9" w:rsidRPr="00C903F8" w:rsidRDefault="009C13A9" w:rsidP="00DE404B">
      <w:pPr>
        <w:pStyle w:val="ESch"/>
      </w:pPr>
    </w:p>
    <w:p w:rsidR="009C13A9" w:rsidRPr="00C903F8" w:rsidRDefault="009C13A9" w:rsidP="009C13A9">
      <w:pPr>
        <w:tabs>
          <w:tab w:val="left" w:pos="284"/>
          <w:tab w:val="left" w:leader="dot" w:pos="9072"/>
        </w:tabs>
        <w:spacing w:after="120"/>
        <w:ind w:left="284" w:hanging="284"/>
      </w:pPr>
      <w:r>
        <w:t xml:space="preserve">Nome: </w:t>
      </w:r>
      <w:r>
        <w:tab/>
      </w:r>
    </w:p>
    <w:p w:rsidR="009C13A9" w:rsidRPr="00C903F8" w:rsidRDefault="009C13A9" w:rsidP="009C13A9">
      <w:pPr>
        <w:tabs>
          <w:tab w:val="left" w:pos="284"/>
          <w:tab w:val="left" w:leader="dot" w:pos="9072"/>
        </w:tabs>
        <w:spacing w:after="120"/>
        <w:ind w:left="284" w:hanging="284"/>
      </w:pPr>
      <w:r>
        <w:t xml:space="preserve">Numero o lettere di immatricolazione della nave: </w:t>
      </w:r>
      <w:r>
        <w:tab/>
      </w:r>
    </w:p>
    <w:p w:rsidR="009C13A9" w:rsidRPr="00C903F8" w:rsidRDefault="009C13A9" w:rsidP="009C13A9">
      <w:pPr>
        <w:tabs>
          <w:tab w:val="left" w:pos="284"/>
          <w:tab w:val="left" w:leader="dot" w:pos="9072"/>
        </w:tabs>
        <w:spacing w:after="120"/>
        <w:ind w:left="284" w:hanging="284"/>
      </w:pPr>
      <w:r>
        <w:t xml:space="preserve">Luogo di immatricolazione: </w:t>
      </w:r>
      <w:r>
        <w:tab/>
      </w:r>
    </w:p>
    <w:p w:rsidR="009C13A9" w:rsidRPr="00C903F8" w:rsidRDefault="009C13A9" w:rsidP="009C13A9">
      <w:pPr>
        <w:tabs>
          <w:tab w:val="left" w:pos="284"/>
          <w:tab w:val="left" w:leader="dot" w:pos="9072"/>
        </w:tabs>
        <w:spacing w:after="120"/>
        <w:ind w:left="284" w:hanging="284"/>
      </w:pPr>
      <w:r>
        <w:t xml:space="preserve">Anno di costruzione: </w:t>
      </w:r>
      <w:r>
        <w:tab/>
      </w:r>
    </w:p>
    <w:p w:rsidR="009C13A9" w:rsidRPr="00C903F8" w:rsidRDefault="009C13A9" w:rsidP="009C13A9">
      <w:pPr>
        <w:tabs>
          <w:tab w:val="left" w:pos="284"/>
          <w:tab w:val="left" w:leader="dot" w:pos="9072"/>
        </w:tabs>
        <w:spacing w:after="120"/>
        <w:ind w:left="284" w:hanging="284"/>
      </w:pPr>
      <w:r>
        <w:t xml:space="preserve">Lunghezza della nave: </w:t>
      </w:r>
      <w:r>
        <w:tab/>
      </w:r>
    </w:p>
    <w:p w:rsidR="009C13A9" w:rsidRPr="00C903F8" w:rsidRDefault="009C13A9" w:rsidP="00DE404B">
      <w:pPr>
        <w:tabs>
          <w:tab w:val="left" w:leader="dot" w:pos="4536"/>
          <w:tab w:val="left" w:leader="dot" w:pos="9072"/>
        </w:tabs>
        <w:spacing w:before="80" w:after="80" w:line="240" w:lineRule="atLeast"/>
        <w:ind w:left="0" w:right="-1" w:firstLine="0"/>
      </w:pPr>
      <w:r>
        <w:t xml:space="preserve">in seguito all'ispezione effettuata il </w:t>
      </w:r>
      <w:r>
        <w:tab/>
        <w:t xml:space="preserve"> è riconosciuta idonea a navigare sul Reno ed è autorizzata a farlo nel rispetto delle condizioni particolari indicate in appresso.</w:t>
      </w:r>
    </w:p>
    <w:p w:rsidR="009C13A9" w:rsidRPr="00C903F8" w:rsidRDefault="009C13A9" w:rsidP="00DE404B">
      <w:pPr>
        <w:tabs>
          <w:tab w:val="left" w:leader="dot" w:pos="9072"/>
        </w:tabs>
        <w:spacing w:line="240" w:lineRule="atLeast"/>
      </w:pPr>
      <w:r>
        <w:t xml:space="preserve">Condizioni particolari: </w:t>
      </w:r>
      <w:r>
        <w:tab/>
      </w:r>
    </w:p>
    <w:p w:rsidR="009C13A9" w:rsidRPr="00C903F8" w:rsidRDefault="009C13A9" w:rsidP="00DE404B">
      <w:pPr>
        <w:tabs>
          <w:tab w:val="left" w:leader="dot" w:pos="9072"/>
        </w:tabs>
        <w:spacing w:line="240" w:lineRule="atLeast"/>
        <w:ind w:left="0" w:firstLine="0"/>
      </w:pPr>
      <w:r>
        <w:tab/>
      </w:r>
    </w:p>
    <w:p w:rsidR="009C13A9" w:rsidRPr="00C903F8" w:rsidRDefault="009C13A9" w:rsidP="00DE404B">
      <w:pPr>
        <w:tabs>
          <w:tab w:val="left" w:leader="dot" w:pos="9072"/>
        </w:tabs>
        <w:spacing w:line="240" w:lineRule="atLeast"/>
        <w:ind w:left="0" w:firstLine="0"/>
      </w:pPr>
      <w:r>
        <w:tab/>
      </w:r>
    </w:p>
    <w:p w:rsidR="009C13A9" w:rsidRPr="00C903F8" w:rsidRDefault="009C13A9" w:rsidP="00DE404B">
      <w:pPr>
        <w:tabs>
          <w:tab w:val="left" w:leader="dot" w:pos="9072"/>
        </w:tabs>
        <w:spacing w:line="240" w:lineRule="atLeast"/>
        <w:ind w:left="0" w:firstLine="0"/>
      </w:pPr>
      <w:r>
        <w:tab/>
      </w:r>
    </w:p>
    <w:p w:rsidR="00DE404B" w:rsidRPr="00DE404B" w:rsidRDefault="00DE404B" w:rsidP="00DE404B">
      <w:pPr>
        <w:pStyle w:val="ESch"/>
      </w:pPr>
    </w:p>
    <w:p w:rsidR="009C13A9" w:rsidRPr="00C903F8" w:rsidRDefault="009C13A9" w:rsidP="009C13A9">
      <w:pPr>
        <w:tabs>
          <w:tab w:val="left" w:leader="dot" w:pos="9072"/>
        </w:tabs>
        <w:spacing w:before="60" w:after="40" w:line="240" w:lineRule="atLeast"/>
        <w:ind w:left="0" w:right="-1" w:firstLine="0"/>
      </w:pPr>
      <w:r>
        <w:t xml:space="preserve">Il presente certificato è valido soltanto a condizione che la nave sia in possesso di validi certificati di navigazione marittima o costiera e non sarà valida dopo il </w:t>
      </w:r>
      <w:r>
        <w:tab/>
      </w:r>
    </w:p>
    <w:p w:rsidR="009C13A9" w:rsidRPr="00C903F8" w:rsidRDefault="009C13A9" w:rsidP="009C13A9">
      <w:pPr>
        <w:tabs>
          <w:tab w:val="left" w:pos="284"/>
          <w:tab w:val="left" w:leader="dot" w:pos="9072"/>
        </w:tabs>
        <w:ind w:left="284" w:hanging="284"/>
      </w:pPr>
    </w:p>
    <w:p w:rsidR="009C13A9" w:rsidRPr="00C903F8" w:rsidRDefault="009C13A9" w:rsidP="009C13A9">
      <w:pPr>
        <w:tabs>
          <w:tab w:val="left" w:pos="2835"/>
          <w:tab w:val="left" w:leader="dot" w:pos="5670"/>
          <w:tab w:val="left" w:leader="dot" w:pos="9072"/>
        </w:tabs>
        <w:ind w:left="284" w:hanging="284"/>
      </w:pPr>
      <w:r>
        <w:tab/>
      </w:r>
      <w:r>
        <w:tab/>
      </w:r>
      <w:r>
        <w:tab/>
        <w:t xml:space="preserve">, </w:t>
      </w:r>
      <w:r>
        <w:tab/>
      </w:r>
    </w:p>
    <w:p w:rsidR="009C13A9" w:rsidRPr="00C903F8" w:rsidRDefault="009C13A9" w:rsidP="009C13A9">
      <w:pPr>
        <w:tabs>
          <w:tab w:val="center" w:pos="4253"/>
          <w:tab w:val="center" w:pos="7513"/>
          <w:tab w:val="left" w:leader="dot" w:pos="9072"/>
        </w:tabs>
        <w:ind w:left="284" w:hanging="284"/>
      </w:pPr>
      <w:r>
        <w:tab/>
      </w:r>
      <w:r>
        <w:tab/>
        <w:t xml:space="preserve">(luogo) </w:t>
      </w:r>
      <w:r>
        <w:tab/>
        <w:t>(data)</w:t>
      </w:r>
    </w:p>
    <w:p w:rsidR="009C13A9" w:rsidRPr="00C903F8" w:rsidRDefault="009C13A9" w:rsidP="00DE404B">
      <w:pPr>
        <w:pStyle w:val="ESch"/>
      </w:pPr>
    </w:p>
    <w:p w:rsidR="009C13A9" w:rsidRPr="00C903F8" w:rsidRDefault="009C13A9" w:rsidP="009C13A9">
      <w:pPr>
        <w:tabs>
          <w:tab w:val="left" w:pos="5103"/>
          <w:tab w:val="left" w:leader="dot" w:pos="9072"/>
        </w:tabs>
        <w:ind w:left="284" w:hanging="284"/>
      </w:pPr>
      <w:r>
        <w:tab/>
      </w:r>
      <w:r>
        <w:tab/>
      </w:r>
      <w:r>
        <w:tab/>
      </w:r>
    </w:p>
    <w:p w:rsidR="009C13A9" w:rsidRPr="00C903F8" w:rsidRDefault="00313B91" w:rsidP="00313B91">
      <w:pPr>
        <w:tabs>
          <w:tab w:val="center" w:pos="7088"/>
          <w:tab w:val="left" w:leader="dot" w:pos="9072"/>
        </w:tabs>
        <w:ind w:left="1560"/>
      </w:pPr>
      <w:r>
        <w:t>Timbro</w:t>
      </w:r>
      <w:r>
        <w:tab/>
        <w:t>Commissione di ispezione</w:t>
      </w:r>
    </w:p>
    <w:p w:rsidR="009C13A9" w:rsidRPr="00C903F8" w:rsidRDefault="009C13A9" w:rsidP="009C13A9">
      <w:pPr>
        <w:tabs>
          <w:tab w:val="left" w:pos="5103"/>
          <w:tab w:val="left" w:leader="dot" w:pos="9072"/>
        </w:tabs>
        <w:ind w:left="284" w:hanging="284"/>
      </w:pPr>
      <w:r>
        <w:tab/>
      </w:r>
      <w:r>
        <w:tab/>
      </w:r>
      <w:r>
        <w:tab/>
      </w:r>
    </w:p>
    <w:p w:rsidR="009C13A9" w:rsidRPr="00C903F8" w:rsidRDefault="009C13A9" w:rsidP="009C13A9">
      <w:pPr>
        <w:tabs>
          <w:tab w:val="center" w:pos="7088"/>
          <w:tab w:val="left" w:leader="dot" w:pos="9072"/>
        </w:tabs>
        <w:ind w:left="284" w:hanging="284"/>
      </w:pPr>
      <w:r>
        <w:tab/>
      </w:r>
      <w:r>
        <w:tab/>
        <w:t>(firma)</w:t>
      </w:r>
    </w:p>
    <w:p w:rsidR="009C13A9" w:rsidRPr="00C903F8" w:rsidRDefault="009C13A9" w:rsidP="009C13A9">
      <w:pPr>
        <w:tabs>
          <w:tab w:val="left" w:pos="2579"/>
        </w:tabs>
      </w:pPr>
      <w:r>
        <w:br w:type="page"/>
      </w:r>
    </w:p>
    <w:p w:rsidR="001865DF" w:rsidRPr="00C903F8" w:rsidRDefault="001865DF" w:rsidP="009C13A9">
      <w:pPr>
        <w:tabs>
          <w:tab w:val="left" w:pos="2579"/>
        </w:tabs>
      </w:pPr>
    </w:p>
    <w:p w:rsidR="001865DF" w:rsidRPr="00C903F8" w:rsidRDefault="001865DF" w:rsidP="009C13A9">
      <w:pPr>
        <w:tabs>
          <w:tab w:val="left" w:pos="2579"/>
        </w:tabs>
      </w:pPr>
    </w:p>
    <w:p w:rsidR="001865DF" w:rsidRPr="00C903F8" w:rsidRDefault="001865DF" w:rsidP="009C13A9">
      <w:pPr>
        <w:tabs>
          <w:tab w:val="left" w:pos="2579"/>
        </w:tabs>
      </w:pPr>
      <w:r>
        <w:br w:type="page"/>
      </w:r>
    </w:p>
    <w:p w:rsidR="009C13A9" w:rsidRPr="00C903F8" w:rsidRDefault="00925755" w:rsidP="00857FC2">
      <w:pPr>
        <w:pStyle w:val="ES-Titre3"/>
        <w:rPr>
          <w:noProof/>
        </w:rPr>
      </w:pPr>
      <w:bookmarkStart w:id="622" w:name="_Toc491854303"/>
      <w:bookmarkStart w:id="623" w:name="_Toc535500252"/>
      <w:r>
        <w:lastRenderedPageBreak/>
        <w:t>Sezione V</w:t>
      </w:r>
      <w:bookmarkEnd w:id="622"/>
      <w:bookmarkEnd w:id="623"/>
    </w:p>
    <w:p w:rsidR="009C13A9" w:rsidRPr="00C903F8" w:rsidRDefault="00E3172D" w:rsidP="00677052">
      <w:pPr>
        <w:pStyle w:val="ES-Titre3a"/>
        <w:rPr>
          <w:rFonts w:cs="Arial"/>
          <w:color w:val="000000"/>
        </w:rPr>
      </w:pPr>
      <w:bookmarkStart w:id="624" w:name="_Toc491854304"/>
      <w:bookmarkStart w:id="625" w:name="_Toc535500253"/>
      <w:r>
        <w:t>Modello allegato "Imbarcazione tradizionale" al certificato per la navigazione interna a norma del capo 24</w:t>
      </w:r>
      <w:bookmarkEnd w:id="624"/>
      <w:bookmarkEnd w:id="625"/>
    </w:p>
    <w:p w:rsidR="009C13A9" w:rsidRDefault="009C13A9" w:rsidP="009C13A9">
      <w:pPr>
        <w:tabs>
          <w:tab w:val="center" w:pos="8222"/>
        </w:tabs>
      </w:pPr>
    </w:p>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3"/>
        <w:gridCol w:w="4592"/>
      </w:tblGrid>
      <w:tr w:rsidR="00E3172D" w:rsidRPr="006F497D" w:rsidTr="001077F3">
        <w:tc>
          <w:tcPr>
            <w:tcW w:w="10188" w:type="dxa"/>
            <w:gridSpan w:val="2"/>
            <w:tcBorders>
              <w:bottom w:val="nil"/>
            </w:tcBorders>
          </w:tcPr>
          <w:p w:rsidR="00E3172D" w:rsidRPr="00486A70" w:rsidRDefault="00E3172D" w:rsidP="001077F3">
            <w:pPr>
              <w:spacing w:before="60" w:after="60" w:line="240" w:lineRule="atLeast"/>
              <w:jc w:val="center"/>
              <w:rPr>
                <w:rFonts w:cs="Arial"/>
                <w:b/>
                <w:color w:val="000000"/>
              </w:rPr>
            </w:pPr>
            <w:r>
              <w:rPr>
                <w:b/>
                <w:color w:val="000000"/>
              </w:rPr>
              <w:t>Allegato Imbarcazione tradizionale</w:t>
            </w:r>
          </w:p>
          <w:p w:rsidR="00E3172D" w:rsidRPr="00486A70" w:rsidRDefault="00E3172D" w:rsidP="001077F3">
            <w:pPr>
              <w:spacing w:before="60" w:after="60" w:line="240" w:lineRule="atLeast"/>
              <w:jc w:val="center"/>
              <w:rPr>
                <w:rFonts w:cs="Arial"/>
                <w:color w:val="000000"/>
              </w:rPr>
            </w:pPr>
          </w:p>
        </w:tc>
      </w:tr>
      <w:tr w:rsidR="00E3172D" w:rsidRPr="006F497D" w:rsidTr="001077F3">
        <w:tc>
          <w:tcPr>
            <w:tcW w:w="10188" w:type="dxa"/>
            <w:gridSpan w:val="2"/>
            <w:tcBorders>
              <w:top w:val="nil"/>
              <w:bottom w:val="nil"/>
            </w:tcBorders>
          </w:tcPr>
          <w:p w:rsidR="00E3172D" w:rsidRPr="00486A70" w:rsidRDefault="00E3172D" w:rsidP="001077F3">
            <w:pPr>
              <w:spacing w:before="60" w:after="60" w:line="240" w:lineRule="atLeast"/>
              <w:jc w:val="center"/>
              <w:rPr>
                <w:rFonts w:cs="Arial"/>
                <w:b/>
                <w:color w:val="000000"/>
              </w:rPr>
            </w:pPr>
            <w:r>
              <w:rPr>
                <w:b/>
                <w:sz w:val="22"/>
              </w:rPr>
              <w:t>Nome dello Stato / Sigillo</w:t>
            </w:r>
          </w:p>
          <w:p w:rsidR="00E3172D" w:rsidRPr="00486A70" w:rsidRDefault="00E3172D" w:rsidP="001077F3">
            <w:pPr>
              <w:spacing w:before="60" w:after="60" w:line="240" w:lineRule="atLeast"/>
              <w:jc w:val="center"/>
              <w:rPr>
                <w:rFonts w:cs="Arial"/>
                <w:b/>
                <w:color w:val="000000"/>
              </w:rPr>
            </w:pPr>
          </w:p>
        </w:tc>
      </w:tr>
      <w:tr w:rsidR="00E3172D" w:rsidRPr="00A0619C" w:rsidTr="001077F3">
        <w:tc>
          <w:tcPr>
            <w:tcW w:w="10188" w:type="dxa"/>
            <w:gridSpan w:val="2"/>
            <w:tcBorders>
              <w:top w:val="nil"/>
            </w:tcBorders>
          </w:tcPr>
          <w:p w:rsidR="00E3172D" w:rsidRPr="00486A70" w:rsidRDefault="00E3172D" w:rsidP="001077F3">
            <w:pPr>
              <w:spacing w:before="60" w:after="60" w:line="240" w:lineRule="atLeast"/>
              <w:jc w:val="center"/>
              <w:rPr>
                <w:rFonts w:cs="Arial"/>
                <w:color w:val="000000"/>
              </w:rPr>
            </w:pPr>
            <w:r>
              <w:rPr>
                <w:b/>
                <w:color w:val="000000"/>
              </w:rPr>
              <w:t>Allegato al certificato per la navigazione interna n.</w:t>
            </w:r>
            <w:r>
              <w:rPr>
                <w:color w:val="000000"/>
              </w:rPr>
              <w:t>…………….</w:t>
            </w:r>
          </w:p>
          <w:p w:rsidR="00E3172D" w:rsidRPr="00486A70" w:rsidRDefault="00E3172D" w:rsidP="001077F3">
            <w:pPr>
              <w:spacing w:before="60" w:after="60" w:line="240" w:lineRule="atLeast"/>
              <w:jc w:val="center"/>
              <w:rPr>
                <w:rFonts w:cs="Arial"/>
                <w:color w:val="000000"/>
              </w:rPr>
            </w:pPr>
          </w:p>
        </w:tc>
      </w:tr>
      <w:tr w:rsidR="00E3172D" w:rsidRPr="006F497D" w:rsidTr="001077F3">
        <w:tc>
          <w:tcPr>
            <w:tcW w:w="5094" w:type="dxa"/>
          </w:tcPr>
          <w:p w:rsidR="00E3172D" w:rsidRPr="00486A70" w:rsidRDefault="00E3172D" w:rsidP="001077F3">
            <w:pPr>
              <w:tabs>
                <w:tab w:val="left" w:pos="284"/>
                <w:tab w:val="left" w:leader="dot" w:pos="4253"/>
              </w:tabs>
              <w:spacing w:before="80" w:line="360" w:lineRule="auto"/>
              <w:rPr>
                <w:rFonts w:cs="Arial"/>
                <w:color w:val="000000"/>
              </w:rPr>
            </w:pPr>
            <w:r>
              <w:rPr>
                <w:color w:val="000000"/>
                <w:sz w:val="18"/>
              </w:rPr>
              <w:t>1.</w:t>
            </w:r>
            <w:r>
              <w:tab/>
            </w:r>
            <w:r>
              <w:rPr>
                <w:color w:val="000000"/>
                <w:sz w:val="18"/>
              </w:rPr>
              <w:t>Nome dell'imbarcazione tradizionale:</w:t>
            </w:r>
            <w:r>
              <w:rPr>
                <w:color w:val="000000"/>
                <w:sz w:val="18"/>
              </w:rPr>
              <w:br/>
            </w:r>
            <w:r>
              <w:tab/>
            </w:r>
            <w:r>
              <w:tab/>
            </w:r>
          </w:p>
        </w:tc>
        <w:tc>
          <w:tcPr>
            <w:tcW w:w="5094" w:type="dxa"/>
          </w:tcPr>
          <w:p w:rsidR="00E3172D" w:rsidRPr="00486A70" w:rsidRDefault="00E3172D" w:rsidP="001077F3">
            <w:pPr>
              <w:tabs>
                <w:tab w:val="left" w:pos="227"/>
                <w:tab w:val="left" w:leader="dot" w:pos="4196"/>
              </w:tabs>
              <w:spacing w:before="80"/>
              <w:ind w:left="227" w:hanging="227"/>
              <w:rPr>
                <w:rFonts w:cs="Arial"/>
                <w:color w:val="000000"/>
                <w:sz w:val="18"/>
              </w:rPr>
            </w:pPr>
            <w:r>
              <w:rPr>
                <w:sz w:val="18"/>
              </w:rPr>
              <w:t>2.</w:t>
            </w:r>
            <w:r>
              <w:tab/>
            </w:r>
            <w:r>
              <w:rPr>
                <w:sz w:val="18"/>
              </w:rPr>
              <w:t>Numero unico europeo di identificazione delle navi</w:t>
            </w:r>
          </w:p>
          <w:p w:rsidR="00E3172D" w:rsidRPr="00486A70" w:rsidRDefault="00E3172D" w:rsidP="001077F3">
            <w:pPr>
              <w:tabs>
                <w:tab w:val="left" w:pos="227"/>
                <w:tab w:val="left" w:leader="dot" w:pos="4196"/>
              </w:tabs>
              <w:spacing w:before="80" w:line="360" w:lineRule="auto"/>
              <w:ind w:left="227" w:hanging="227"/>
              <w:rPr>
                <w:rFonts w:cs="Arial"/>
                <w:color w:val="000000"/>
              </w:rPr>
            </w:pPr>
            <w:r>
              <w:tab/>
            </w:r>
            <w:r>
              <w:tab/>
            </w:r>
          </w:p>
        </w:tc>
      </w:tr>
      <w:tr w:rsidR="00E3172D" w:rsidRPr="006F497D" w:rsidTr="001077F3">
        <w:tc>
          <w:tcPr>
            <w:tcW w:w="5094" w:type="dxa"/>
          </w:tcPr>
          <w:p w:rsidR="00E3172D" w:rsidRPr="00486A70" w:rsidRDefault="00E3172D" w:rsidP="001077F3">
            <w:pPr>
              <w:tabs>
                <w:tab w:val="left" w:pos="284"/>
                <w:tab w:val="left" w:leader="dot" w:pos="4253"/>
              </w:tabs>
              <w:spacing w:before="80" w:line="360" w:lineRule="auto"/>
              <w:rPr>
                <w:rFonts w:cs="Arial"/>
                <w:color w:val="000000"/>
                <w:sz w:val="18"/>
              </w:rPr>
            </w:pPr>
            <w:r>
              <w:rPr>
                <w:color w:val="000000"/>
                <w:sz w:val="18"/>
              </w:rPr>
              <w:t>3.</w:t>
            </w:r>
            <w:r>
              <w:tab/>
            </w:r>
            <w:r>
              <w:rPr>
                <w:color w:val="000000"/>
                <w:sz w:val="18"/>
              </w:rPr>
              <w:t>Tipo di imbarcazione prima del riconoscimento</w:t>
            </w:r>
            <w:r>
              <w:rPr>
                <w:color w:val="000000"/>
                <w:sz w:val="18"/>
              </w:rPr>
              <w:br/>
            </w:r>
            <w:r>
              <w:tab/>
            </w:r>
            <w:r>
              <w:tab/>
            </w:r>
          </w:p>
        </w:tc>
        <w:tc>
          <w:tcPr>
            <w:tcW w:w="5094" w:type="dxa"/>
          </w:tcPr>
          <w:p w:rsidR="00E3172D" w:rsidRPr="00486A70" w:rsidRDefault="00E3172D" w:rsidP="001077F3">
            <w:pPr>
              <w:tabs>
                <w:tab w:val="left" w:pos="293"/>
                <w:tab w:val="left" w:leader="dot" w:pos="4196"/>
              </w:tabs>
              <w:spacing w:before="80" w:line="360" w:lineRule="auto"/>
              <w:rPr>
                <w:rFonts w:cs="Arial"/>
                <w:color w:val="000000"/>
                <w:sz w:val="18"/>
              </w:rPr>
            </w:pPr>
            <w:r>
              <w:rPr>
                <w:color w:val="000000"/>
                <w:sz w:val="18"/>
              </w:rPr>
              <w:t>4.</w:t>
            </w:r>
            <w:r>
              <w:tab/>
            </w:r>
            <w:r>
              <w:rPr>
                <w:color w:val="000000"/>
                <w:sz w:val="18"/>
              </w:rPr>
              <w:t>Periodo storico</w:t>
            </w:r>
            <w:r>
              <w:rPr>
                <w:color w:val="000000"/>
                <w:sz w:val="18"/>
              </w:rPr>
              <w:br/>
            </w:r>
            <w:r>
              <w:tab/>
            </w:r>
            <w:r>
              <w:tab/>
            </w:r>
          </w:p>
        </w:tc>
      </w:tr>
      <w:tr w:rsidR="00E3172D" w:rsidRPr="006F497D" w:rsidTr="001077F3">
        <w:tc>
          <w:tcPr>
            <w:tcW w:w="10188" w:type="dxa"/>
            <w:gridSpan w:val="2"/>
          </w:tcPr>
          <w:p w:rsidR="00E3172D" w:rsidRPr="00486A70" w:rsidRDefault="00E3172D" w:rsidP="001077F3">
            <w:pPr>
              <w:tabs>
                <w:tab w:val="left" w:pos="284"/>
              </w:tabs>
              <w:spacing w:before="120" w:line="360" w:lineRule="auto"/>
              <w:ind w:left="284" w:hanging="284"/>
              <w:rPr>
                <w:rFonts w:cs="Arial"/>
                <w:color w:val="000000"/>
                <w:sz w:val="18"/>
              </w:rPr>
            </w:pPr>
            <w:r>
              <w:rPr>
                <w:color w:val="000000"/>
                <w:sz w:val="18"/>
              </w:rPr>
              <w:t>5.</w:t>
            </w:r>
            <w:r>
              <w:tab/>
            </w:r>
            <w:r>
              <w:rPr>
                <w:color w:val="000000"/>
                <w:sz w:val="18"/>
              </w:rPr>
              <w:t xml:space="preserve">La conformità dell'imbarcazione tradizionale di cui sopra è stata stabilita, sulla base di </w:t>
            </w:r>
          </w:p>
          <w:p w:rsidR="00E3172D" w:rsidRPr="00486A70" w:rsidRDefault="00E3172D" w:rsidP="00486A70">
            <w:pPr>
              <w:tabs>
                <w:tab w:val="left" w:pos="284"/>
                <w:tab w:val="left" w:leader="dot" w:pos="4820"/>
              </w:tabs>
              <w:spacing w:before="120" w:line="360" w:lineRule="auto"/>
              <w:ind w:left="284" w:firstLine="0"/>
              <w:rPr>
                <w:rFonts w:cs="Arial"/>
                <w:color w:val="000000"/>
                <w:sz w:val="18"/>
              </w:rPr>
            </w:pPr>
            <w:r>
              <w:rPr>
                <w:color w:val="000000"/>
                <w:sz w:val="18"/>
              </w:rPr>
              <w:t xml:space="preserve">un'ispezione di </w:t>
            </w:r>
            <w:r>
              <w:tab/>
            </w:r>
            <w:r>
              <w:rPr>
                <w:color w:val="000000"/>
                <w:sz w:val="18"/>
              </w:rPr>
              <w:t>,</w:t>
            </w:r>
          </w:p>
          <w:p w:rsidR="00E3172D" w:rsidRPr="00486A70" w:rsidRDefault="00E3172D" w:rsidP="00486A70">
            <w:pPr>
              <w:tabs>
                <w:tab w:val="left" w:pos="720"/>
              </w:tabs>
              <w:spacing w:line="360" w:lineRule="auto"/>
              <w:ind w:left="284" w:firstLine="0"/>
              <w:rPr>
                <w:rFonts w:cs="Arial"/>
                <w:color w:val="000000"/>
              </w:rPr>
            </w:pPr>
            <w:r>
              <w:t xml:space="preserve">nonché </w:t>
            </w:r>
            <w:r>
              <w:rPr>
                <w:color w:val="000000"/>
                <w:sz w:val="18"/>
              </w:rPr>
              <w:t>della relazione dell'esperto dell'autorità per la conservazione del patrimonio / dell'esperto di imbarcazioni tradizionali</w:t>
            </w:r>
            <w:r>
              <w:rPr>
                <w:color w:val="000000"/>
                <w:vertAlign w:val="superscript"/>
              </w:rPr>
              <w:t>*)</w:t>
            </w:r>
          </w:p>
          <w:p w:rsidR="00E3172D" w:rsidRPr="00486A70" w:rsidRDefault="00E3172D" w:rsidP="00486A70">
            <w:pPr>
              <w:tabs>
                <w:tab w:val="left" w:pos="284"/>
                <w:tab w:val="left" w:leader="dot" w:pos="5812"/>
                <w:tab w:val="left" w:leader="dot" w:pos="8789"/>
              </w:tabs>
              <w:spacing w:line="360" w:lineRule="auto"/>
              <w:ind w:left="284" w:firstLine="0"/>
              <w:rPr>
                <w:rFonts w:cs="Arial"/>
                <w:color w:val="000000"/>
                <w:sz w:val="18"/>
              </w:rPr>
            </w:pPr>
            <w:r>
              <w:tab/>
            </w:r>
            <w:r>
              <w:rPr>
                <w:color w:val="000000"/>
                <w:sz w:val="18"/>
              </w:rPr>
              <w:t xml:space="preserve"> datata </w:t>
            </w:r>
            <w:r>
              <w:tab/>
            </w:r>
          </w:p>
          <w:p w:rsidR="00E3172D" w:rsidRPr="00486A70" w:rsidRDefault="00E3172D" w:rsidP="00486A70">
            <w:pPr>
              <w:spacing w:line="360" w:lineRule="auto"/>
              <w:ind w:left="284" w:firstLine="0"/>
              <w:rPr>
                <w:rFonts w:cs="Arial"/>
                <w:color w:val="000000"/>
              </w:rPr>
            </w:pPr>
            <w:r>
              <w:rPr>
                <w:color w:val="000000"/>
                <w:sz w:val="18"/>
              </w:rPr>
              <w:t xml:space="preserve">ritenendo che </w:t>
            </w:r>
          </w:p>
          <w:p w:rsidR="00E3172D" w:rsidRPr="00486A70" w:rsidRDefault="00E3172D" w:rsidP="001077F3">
            <w:pPr>
              <w:spacing w:line="360" w:lineRule="auto"/>
              <w:ind w:left="709"/>
              <w:rPr>
                <w:rFonts w:cs="Arial"/>
                <w:color w:val="000000"/>
              </w:rPr>
            </w:pPr>
            <w:r>
              <w:rPr>
                <w:color w:val="000000"/>
                <w:sz w:val="18"/>
              </w:rPr>
              <w:t>-</w:t>
            </w:r>
            <w:r>
              <w:tab/>
            </w:r>
            <w:r>
              <w:rPr>
                <w:color w:val="000000"/>
                <w:sz w:val="18"/>
              </w:rPr>
              <w:t>le deviazioni di cui al punto 6, e</w:t>
            </w:r>
          </w:p>
          <w:p w:rsidR="00E3172D" w:rsidRPr="00486A70" w:rsidRDefault="00E3172D" w:rsidP="001077F3">
            <w:pPr>
              <w:spacing w:line="360" w:lineRule="auto"/>
              <w:ind w:left="709"/>
              <w:rPr>
                <w:rFonts w:cs="Arial"/>
                <w:color w:val="000000"/>
              </w:rPr>
            </w:pPr>
            <w:r>
              <w:rPr>
                <w:color w:val="000000"/>
                <w:sz w:val="18"/>
              </w:rPr>
              <w:t>-</w:t>
            </w:r>
            <w:r>
              <w:tab/>
            </w:r>
            <w:r>
              <w:rPr>
                <w:color w:val="000000"/>
                <w:sz w:val="18"/>
              </w:rPr>
              <w:t>i requisiti supplementari di cui al punto 7</w:t>
            </w:r>
          </w:p>
          <w:p w:rsidR="00E3172D" w:rsidRPr="00486A70" w:rsidRDefault="00E3172D" w:rsidP="00486A70">
            <w:pPr>
              <w:spacing w:line="360" w:lineRule="auto"/>
              <w:ind w:left="284" w:firstLine="0"/>
              <w:rPr>
                <w:rFonts w:cs="Arial"/>
                <w:color w:val="000000"/>
              </w:rPr>
            </w:pPr>
            <w:r>
              <w:rPr>
                <w:color w:val="000000"/>
                <w:sz w:val="18"/>
              </w:rPr>
              <w:t>siano appropriati.</w:t>
            </w:r>
          </w:p>
        </w:tc>
      </w:tr>
      <w:tr w:rsidR="00E3172D" w:rsidRPr="006F497D" w:rsidTr="001077F3">
        <w:tc>
          <w:tcPr>
            <w:tcW w:w="10188" w:type="dxa"/>
            <w:gridSpan w:val="2"/>
          </w:tcPr>
          <w:p w:rsidR="00E3172D" w:rsidRPr="00486A70" w:rsidRDefault="00E3172D" w:rsidP="001077F3">
            <w:pPr>
              <w:rPr>
                <w:rFonts w:cs="Arial"/>
                <w:color w:val="000000"/>
              </w:rPr>
            </w:pPr>
          </w:p>
          <w:p w:rsidR="00E3172D" w:rsidRPr="00486A70" w:rsidRDefault="00E3172D" w:rsidP="00486A70">
            <w:pPr>
              <w:tabs>
                <w:tab w:val="left" w:leader="dot" w:pos="3969"/>
                <w:tab w:val="left" w:leader="dot" w:pos="6237"/>
                <w:tab w:val="left" w:leader="dot" w:pos="8789"/>
              </w:tabs>
              <w:ind w:left="284" w:firstLine="0"/>
              <w:rPr>
                <w:rFonts w:cs="Arial"/>
                <w:color w:val="000000"/>
              </w:rPr>
            </w:pPr>
            <w:r>
              <w:tab/>
            </w:r>
            <w:r>
              <w:rPr>
                <w:color w:val="000000"/>
              </w:rPr>
              <w:t xml:space="preserve">, </w:t>
            </w:r>
            <w:r>
              <w:tab/>
            </w:r>
          </w:p>
          <w:p w:rsidR="00E3172D" w:rsidRPr="00486A70" w:rsidRDefault="00E3172D" w:rsidP="00486A70">
            <w:pPr>
              <w:tabs>
                <w:tab w:val="center" w:pos="2127"/>
                <w:tab w:val="center" w:pos="5103"/>
                <w:tab w:val="center" w:pos="8080"/>
              </w:tabs>
              <w:ind w:firstLine="1"/>
              <w:rPr>
                <w:rFonts w:cs="Arial"/>
                <w:color w:val="000000"/>
              </w:rPr>
            </w:pPr>
            <w:r>
              <w:tab/>
            </w:r>
            <w:r>
              <w:rPr>
                <w:color w:val="000000"/>
                <w:sz w:val="16"/>
              </w:rPr>
              <w:t>(luogo)</w:t>
            </w:r>
            <w:r>
              <w:tab/>
            </w:r>
            <w:r>
              <w:rPr>
                <w:color w:val="000000"/>
                <w:sz w:val="16"/>
              </w:rPr>
              <w:t>(data)</w:t>
            </w:r>
          </w:p>
          <w:p w:rsidR="00E3172D" w:rsidRPr="00486A70" w:rsidRDefault="00E3172D" w:rsidP="001077F3">
            <w:pPr>
              <w:rPr>
                <w:rFonts w:cs="Arial"/>
                <w:color w:val="000000"/>
              </w:rPr>
            </w:pPr>
          </w:p>
          <w:p w:rsidR="00E3172D" w:rsidRPr="00486A70" w:rsidRDefault="00E3172D" w:rsidP="00486A70">
            <w:pPr>
              <w:tabs>
                <w:tab w:val="left" w:pos="4820"/>
                <w:tab w:val="left" w:leader="dot" w:pos="8789"/>
              </w:tabs>
              <w:ind w:firstLine="1"/>
              <w:rPr>
                <w:rFonts w:cs="Arial"/>
                <w:color w:val="000000"/>
              </w:rPr>
            </w:pPr>
            <w:r>
              <w:tab/>
            </w:r>
            <w:r>
              <w:tab/>
            </w:r>
          </w:p>
          <w:p w:rsidR="00E3172D" w:rsidRPr="00486A70" w:rsidRDefault="00E3172D" w:rsidP="00486A70">
            <w:pPr>
              <w:tabs>
                <w:tab w:val="center" w:pos="6804"/>
              </w:tabs>
              <w:ind w:firstLine="1"/>
              <w:rPr>
                <w:rFonts w:cs="Arial"/>
                <w:color w:val="000000"/>
              </w:rPr>
            </w:pPr>
            <w:r>
              <w:tab/>
            </w:r>
            <w:r>
              <w:rPr>
                <w:color w:val="000000"/>
                <w:sz w:val="16"/>
              </w:rPr>
              <w:t>Commissione di ispezione</w:t>
            </w:r>
          </w:p>
          <w:p w:rsidR="00E3172D" w:rsidRPr="00486A70" w:rsidRDefault="00E3172D" w:rsidP="00486A70">
            <w:pPr>
              <w:tabs>
                <w:tab w:val="center" w:pos="1985"/>
              </w:tabs>
              <w:spacing w:before="120" w:line="240" w:lineRule="atLeast"/>
              <w:ind w:firstLine="1"/>
              <w:rPr>
                <w:rFonts w:cs="Arial"/>
                <w:color w:val="000000"/>
                <w:sz w:val="18"/>
                <w:szCs w:val="18"/>
              </w:rPr>
            </w:pPr>
            <w:r>
              <w:tab/>
            </w:r>
            <w:r>
              <w:rPr>
                <w:color w:val="000000"/>
                <w:sz w:val="18"/>
              </w:rPr>
              <w:t>Timbro</w:t>
            </w:r>
          </w:p>
          <w:p w:rsidR="00E3172D" w:rsidRPr="00486A70" w:rsidRDefault="00E3172D" w:rsidP="00486A70">
            <w:pPr>
              <w:tabs>
                <w:tab w:val="left" w:pos="4820"/>
                <w:tab w:val="left" w:leader="dot" w:pos="8789"/>
              </w:tabs>
              <w:spacing w:before="120" w:line="240" w:lineRule="atLeast"/>
              <w:ind w:firstLine="1"/>
              <w:rPr>
                <w:rFonts w:cs="Arial"/>
                <w:color w:val="000000"/>
              </w:rPr>
            </w:pPr>
            <w:r>
              <w:tab/>
            </w:r>
            <w:r>
              <w:tab/>
            </w:r>
          </w:p>
          <w:p w:rsidR="00E3172D" w:rsidRPr="00486A70" w:rsidRDefault="00E3172D" w:rsidP="00486A70">
            <w:pPr>
              <w:tabs>
                <w:tab w:val="center" w:pos="6804"/>
              </w:tabs>
              <w:ind w:firstLine="1"/>
              <w:rPr>
                <w:rFonts w:cs="Arial"/>
                <w:color w:val="000000"/>
                <w:sz w:val="16"/>
              </w:rPr>
            </w:pPr>
            <w:r>
              <w:tab/>
            </w:r>
            <w:r>
              <w:rPr>
                <w:color w:val="000000"/>
                <w:sz w:val="16"/>
              </w:rPr>
              <w:t>(firma)</w:t>
            </w:r>
          </w:p>
          <w:p w:rsidR="00E3172D" w:rsidRPr="00486A70" w:rsidRDefault="00E3172D" w:rsidP="00486A70">
            <w:pPr>
              <w:ind w:left="0" w:firstLine="1"/>
              <w:rPr>
                <w:rFonts w:cs="Arial"/>
                <w:color w:val="000000"/>
              </w:rPr>
            </w:pPr>
          </w:p>
          <w:p w:rsidR="00E3172D" w:rsidRPr="00486A70" w:rsidRDefault="00E3172D" w:rsidP="00486A70">
            <w:pPr>
              <w:ind w:left="0" w:firstLine="1"/>
              <w:rPr>
                <w:rFonts w:cs="Arial"/>
                <w:color w:val="000000"/>
              </w:rPr>
            </w:pPr>
          </w:p>
          <w:p w:rsidR="00E3172D" w:rsidRPr="00486A70" w:rsidRDefault="00E3172D" w:rsidP="00486A70">
            <w:pPr>
              <w:tabs>
                <w:tab w:val="left" w:leader="dot" w:pos="8789"/>
              </w:tabs>
              <w:ind w:left="3261" w:firstLine="0"/>
              <w:rPr>
                <w:rFonts w:cs="Arial"/>
                <w:color w:val="000000"/>
                <w:sz w:val="16"/>
              </w:rPr>
            </w:pPr>
            <w:r>
              <w:tab/>
            </w:r>
          </w:p>
          <w:p w:rsidR="00E3172D" w:rsidRPr="00486A70" w:rsidRDefault="00E3172D" w:rsidP="00486A70">
            <w:pPr>
              <w:ind w:left="4111" w:firstLine="0"/>
              <w:rPr>
                <w:rFonts w:cs="Arial"/>
                <w:color w:val="000000"/>
                <w:sz w:val="16"/>
              </w:rPr>
            </w:pPr>
            <w:r>
              <w:rPr>
                <w:color w:val="000000"/>
                <w:sz w:val="16"/>
              </w:rPr>
              <w:t>Nome/indirizzo dell'esperto di imbarcazioni tradizionali</w:t>
            </w:r>
          </w:p>
          <w:p w:rsidR="00E3172D" w:rsidRPr="00486A70" w:rsidRDefault="00E3172D" w:rsidP="00486A70">
            <w:pPr>
              <w:ind w:left="0" w:firstLine="1"/>
              <w:rPr>
                <w:rFonts w:cs="Arial"/>
                <w:color w:val="000000"/>
              </w:rPr>
            </w:pPr>
          </w:p>
          <w:p w:rsidR="00E3172D" w:rsidRPr="00486A70" w:rsidRDefault="00E3172D" w:rsidP="001077F3">
            <w:pPr>
              <w:rPr>
                <w:rFonts w:cs="Arial"/>
                <w:color w:val="000000"/>
                <w:sz w:val="12"/>
              </w:rPr>
            </w:pPr>
            <w:r>
              <w:rPr>
                <w:color w:val="000000"/>
                <w:sz w:val="12"/>
              </w:rPr>
              <w:t>___________________________________</w:t>
            </w:r>
          </w:p>
          <w:p w:rsidR="00E3172D" w:rsidRPr="00486A70" w:rsidRDefault="00E3172D" w:rsidP="001077F3">
            <w:pPr>
              <w:spacing w:before="40" w:after="40" w:line="240" w:lineRule="atLeast"/>
              <w:ind w:left="284" w:hanging="284"/>
              <w:rPr>
                <w:rFonts w:cs="Arial"/>
                <w:color w:val="000000"/>
                <w:sz w:val="16"/>
                <w:szCs w:val="16"/>
              </w:rPr>
            </w:pPr>
            <w:r>
              <w:rPr>
                <w:sz w:val="16"/>
              </w:rPr>
              <w:t>*)</w:t>
            </w:r>
            <w:r>
              <w:tab/>
            </w:r>
            <w:r>
              <w:rPr>
                <w:color w:val="000000"/>
                <w:sz w:val="16"/>
              </w:rPr>
              <w:t xml:space="preserve">Cancellare le voci non pertinenti. </w:t>
            </w:r>
          </w:p>
        </w:tc>
      </w:tr>
    </w:tbl>
    <w:p w:rsidR="00E3172D" w:rsidRPr="00C903F8" w:rsidRDefault="00E3172D" w:rsidP="009C13A9">
      <w:pPr>
        <w:tabs>
          <w:tab w:val="center" w:pos="8222"/>
        </w:tabs>
      </w:pPr>
    </w:p>
    <w:p w:rsidR="009C13A9" w:rsidRPr="00C903F8" w:rsidRDefault="009C13A9" w:rsidP="009C13A9">
      <w:pPr>
        <w:tabs>
          <w:tab w:val="center" w:pos="8222"/>
        </w:tabs>
      </w:pPr>
    </w:p>
    <w:p w:rsidR="00A50F11" w:rsidRPr="00C903F8" w:rsidRDefault="00A50F11" w:rsidP="009C13A9">
      <w:pPr>
        <w:tabs>
          <w:tab w:val="center" w:pos="8222"/>
        </w:tabs>
      </w:pPr>
      <w:r>
        <w:br w:type="page"/>
      </w:r>
    </w:p>
    <w:p w:rsidR="00A50F11" w:rsidRPr="00C903F8" w:rsidRDefault="00A50F11" w:rsidP="009C13A9">
      <w:pPr>
        <w:tabs>
          <w:tab w:val="center" w:pos="8222"/>
        </w:tabs>
      </w:pPr>
    </w:p>
    <w:p w:rsidR="000F600A" w:rsidRPr="0091173E" w:rsidRDefault="000F600A" w:rsidP="000F600A">
      <w:pPr>
        <w:tabs>
          <w:tab w:val="left" w:leader="dot" w:pos="8364"/>
        </w:tabs>
        <w:spacing w:line="240" w:lineRule="atLeast"/>
        <w:jc w:val="center"/>
        <w:rPr>
          <w:b/>
          <w:color w:val="000000"/>
          <w:sz w:val="18"/>
          <w:szCs w:val="18"/>
        </w:rPr>
      </w:pPr>
      <w:r>
        <w:rPr>
          <w:b/>
          <w:color w:val="000000"/>
        </w:rPr>
        <w:t xml:space="preserve">Allegato al certificato per la navigazione interna n. </w:t>
      </w:r>
      <w:r>
        <w:tab/>
      </w:r>
    </w:p>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3"/>
        <w:gridCol w:w="4592"/>
      </w:tblGrid>
      <w:tr w:rsidR="000F600A" w:rsidRPr="00A0619C" w:rsidTr="001077F3">
        <w:tc>
          <w:tcPr>
            <w:tcW w:w="5063" w:type="dxa"/>
            <w:tcBorders>
              <w:bottom w:val="nil"/>
            </w:tcBorders>
          </w:tcPr>
          <w:p w:rsidR="000F600A" w:rsidRPr="0091173E" w:rsidRDefault="000F600A" w:rsidP="001077F3">
            <w:pPr>
              <w:spacing w:before="80" w:after="60" w:line="240" w:lineRule="atLeast"/>
              <w:ind w:left="284" w:hanging="284"/>
              <w:rPr>
                <w:rFonts w:cs="Arial"/>
                <w:color w:val="000000"/>
                <w:sz w:val="18"/>
                <w:szCs w:val="18"/>
              </w:rPr>
            </w:pPr>
            <w:r>
              <w:rPr>
                <w:color w:val="000000"/>
                <w:sz w:val="18"/>
              </w:rPr>
              <w:t>6.</w:t>
            </w:r>
            <w:r>
              <w:tab/>
            </w:r>
            <w:r>
              <w:rPr>
                <w:color w:val="000000"/>
                <w:sz w:val="18"/>
              </w:rPr>
              <w:t>Elenco delle deviazioni in termini di condizione tecnica rispetto alla condizione di cui alla norma applicabile per il periodo storico prescelto al momento del riconoscimento:</w:t>
            </w:r>
          </w:p>
        </w:tc>
        <w:tc>
          <w:tcPr>
            <w:tcW w:w="5063" w:type="dxa"/>
            <w:tcBorders>
              <w:bottom w:val="nil"/>
            </w:tcBorders>
          </w:tcPr>
          <w:p w:rsidR="000F600A" w:rsidRPr="0091173E" w:rsidRDefault="000F600A" w:rsidP="001077F3">
            <w:pPr>
              <w:spacing w:before="80" w:after="60" w:line="240" w:lineRule="atLeast"/>
              <w:ind w:left="284" w:hanging="284"/>
              <w:rPr>
                <w:rFonts w:cs="Arial"/>
                <w:color w:val="000000"/>
                <w:sz w:val="18"/>
                <w:szCs w:val="18"/>
              </w:rPr>
            </w:pPr>
            <w:r>
              <w:rPr>
                <w:color w:val="000000"/>
                <w:sz w:val="18"/>
              </w:rPr>
              <w:t>7.</w:t>
            </w:r>
            <w:r>
              <w:tab/>
            </w:r>
            <w:r>
              <w:rPr>
                <w:color w:val="000000"/>
                <w:sz w:val="18"/>
              </w:rPr>
              <w:t>Requisiti supplementari derivanti dal punto 6:</w:t>
            </w:r>
          </w:p>
        </w:tc>
      </w:tr>
      <w:tr w:rsidR="000F600A" w:rsidRPr="00A0619C" w:rsidTr="001077F3">
        <w:tc>
          <w:tcPr>
            <w:tcW w:w="5063" w:type="dxa"/>
            <w:tcBorders>
              <w:top w:val="nil"/>
            </w:tcBorders>
          </w:tcPr>
          <w:p w:rsidR="000F600A" w:rsidRPr="0091173E" w:rsidRDefault="000F600A" w:rsidP="001077F3">
            <w:pPr>
              <w:tabs>
                <w:tab w:val="left" w:leader="dot" w:pos="4253"/>
              </w:tabs>
              <w:spacing w:line="360" w:lineRule="auto"/>
              <w:ind w:left="284"/>
              <w:rPr>
                <w:rFonts w:cs="Arial"/>
                <w:color w:val="000000"/>
                <w:sz w:val="18"/>
                <w:szCs w:val="18"/>
              </w:rPr>
            </w:pPr>
            <w:r>
              <w:tab/>
            </w:r>
            <w:r>
              <w:tab/>
            </w:r>
          </w:p>
          <w:p w:rsidR="000F600A" w:rsidRPr="0091173E" w:rsidRDefault="000F600A" w:rsidP="001077F3">
            <w:pPr>
              <w:tabs>
                <w:tab w:val="left" w:leader="dot" w:pos="4253"/>
              </w:tabs>
              <w:spacing w:line="360" w:lineRule="auto"/>
              <w:ind w:left="284"/>
              <w:rPr>
                <w:rFonts w:cs="Arial"/>
                <w:color w:val="000000"/>
                <w:sz w:val="18"/>
                <w:szCs w:val="18"/>
              </w:rPr>
            </w:pPr>
            <w:r>
              <w:tab/>
            </w:r>
            <w:r>
              <w:tab/>
            </w:r>
          </w:p>
          <w:p w:rsidR="000F600A" w:rsidRPr="0091173E" w:rsidRDefault="000F600A" w:rsidP="001077F3">
            <w:pPr>
              <w:tabs>
                <w:tab w:val="left" w:leader="dot" w:pos="4253"/>
              </w:tabs>
              <w:spacing w:line="360" w:lineRule="auto"/>
              <w:ind w:left="284"/>
              <w:rPr>
                <w:rFonts w:cs="Arial"/>
                <w:color w:val="000000"/>
                <w:sz w:val="18"/>
                <w:szCs w:val="18"/>
              </w:rPr>
            </w:pPr>
            <w:r>
              <w:tab/>
            </w:r>
            <w:r>
              <w:tab/>
            </w:r>
          </w:p>
          <w:p w:rsidR="000F600A" w:rsidRPr="0091173E" w:rsidRDefault="000F600A" w:rsidP="001077F3">
            <w:pPr>
              <w:tabs>
                <w:tab w:val="left" w:leader="dot" w:pos="4253"/>
              </w:tabs>
              <w:spacing w:line="360" w:lineRule="auto"/>
              <w:ind w:left="284"/>
              <w:rPr>
                <w:rFonts w:cs="Arial"/>
                <w:color w:val="000000"/>
                <w:sz w:val="18"/>
                <w:szCs w:val="18"/>
              </w:rPr>
            </w:pPr>
            <w:r>
              <w:tab/>
            </w:r>
            <w:r>
              <w:tab/>
            </w:r>
          </w:p>
          <w:p w:rsidR="000F600A" w:rsidRPr="0091173E" w:rsidRDefault="000F600A" w:rsidP="001077F3">
            <w:pPr>
              <w:tabs>
                <w:tab w:val="left" w:leader="dot" w:pos="4253"/>
              </w:tabs>
              <w:spacing w:line="360" w:lineRule="auto"/>
              <w:ind w:left="284"/>
              <w:rPr>
                <w:rFonts w:cs="Arial"/>
                <w:color w:val="000000"/>
                <w:sz w:val="18"/>
                <w:szCs w:val="18"/>
              </w:rPr>
            </w:pPr>
            <w:r>
              <w:tab/>
            </w:r>
            <w:r>
              <w:tab/>
            </w:r>
          </w:p>
          <w:p w:rsidR="000F600A" w:rsidRPr="0091173E" w:rsidRDefault="000F600A" w:rsidP="001077F3">
            <w:pPr>
              <w:tabs>
                <w:tab w:val="left" w:leader="dot" w:pos="4253"/>
              </w:tabs>
              <w:spacing w:line="360" w:lineRule="auto"/>
              <w:ind w:left="284"/>
              <w:rPr>
                <w:rFonts w:cs="Arial"/>
                <w:color w:val="000000"/>
                <w:sz w:val="18"/>
                <w:szCs w:val="18"/>
              </w:rPr>
            </w:pPr>
            <w:r>
              <w:tab/>
            </w:r>
            <w:r>
              <w:tab/>
            </w:r>
          </w:p>
          <w:p w:rsidR="000F600A" w:rsidRPr="0091173E" w:rsidRDefault="000F600A" w:rsidP="001077F3">
            <w:pPr>
              <w:tabs>
                <w:tab w:val="left" w:leader="dot" w:pos="4253"/>
              </w:tabs>
              <w:spacing w:line="360" w:lineRule="auto"/>
              <w:ind w:left="284"/>
              <w:rPr>
                <w:rFonts w:cs="Arial"/>
                <w:color w:val="000000"/>
                <w:sz w:val="18"/>
                <w:szCs w:val="18"/>
              </w:rPr>
            </w:pPr>
            <w:r>
              <w:tab/>
            </w:r>
            <w:r>
              <w:tab/>
            </w:r>
          </w:p>
          <w:p w:rsidR="000F600A" w:rsidRPr="0091173E" w:rsidRDefault="000F600A" w:rsidP="001077F3">
            <w:pPr>
              <w:tabs>
                <w:tab w:val="left" w:leader="dot" w:pos="4253"/>
              </w:tabs>
              <w:spacing w:line="360" w:lineRule="auto"/>
              <w:ind w:left="284"/>
              <w:rPr>
                <w:rFonts w:cs="Arial"/>
                <w:color w:val="000000"/>
                <w:sz w:val="18"/>
                <w:szCs w:val="18"/>
              </w:rPr>
            </w:pPr>
            <w:r>
              <w:tab/>
            </w:r>
            <w:r>
              <w:tab/>
            </w:r>
          </w:p>
          <w:p w:rsidR="000F600A" w:rsidRPr="0091173E" w:rsidRDefault="000F600A" w:rsidP="001077F3">
            <w:pPr>
              <w:tabs>
                <w:tab w:val="left" w:leader="dot" w:pos="4253"/>
              </w:tabs>
              <w:spacing w:line="360" w:lineRule="auto"/>
              <w:ind w:left="284"/>
              <w:rPr>
                <w:rFonts w:cs="Arial"/>
                <w:color w:val="000000"/>
                <w:sz w:val="18"/>
                <w:szCs w:val="18"/>
              </w:rPr>
            </w:pPr>
            <w:r>
              <w:tab/>
            </w:r>
            <w:r>
              <w:tab/>
            </w:r>
          </w:p>
          <w:p w:rsidR="000F600A" w:rsidRPr="0091173E" w:rsidRDefault="000F600A" w:rsidP="001077F3">
            <w:pPr>
              <w:tabs>
                <w:tab w:val="left" w:leader="dot" w:pos="4253"/>
              </w:tabs>
              <w:spacing w:line="360" w:lineRule="auto"/>
              <w:ind w:left="284"/>
              <w:rPr>
                <w:rFonts w:cs="Arial"/>
                <w:color w:val="000000"/>
                <w:sz w:val="18"/>
                <w:szCs w:val="18"/>
              </w:rPr>
            </w:pPr>
            <w:r>
              <w:tab/>
            </w:r>
            <w:r>
              <w:tab/>
            </w:r>
          </w:p>
          <w:p w:rsidR="000F600A" w:rsidRPr="0091173E" w:rsidRDefault="000F600A" w:rsidP="001077F3">
            <w:pPr>
              <w:tabs>
                <w:tab w:val="left" w:leader="dot" w:pos="4253"/>
              </w:tabs>
              <w:spacing w:line="360" w:lineRule="auto"/>
              <w:ind w:left="284"/>
              <w:rPr>
                <w:rFonts w:cs="Arial"/>
                <w:color w:val="000000"/>
                <w:sz w:val="18"/>
                <w:szCs w:val="18"/>
              </w:rPr>
            </w:pPr>
            <w:r>
              <w:tab/>
            </w:r>
            <w:r>
              <w:tab/>
            </w:r>
          </w:p>
          <w:p w:rsidR="000F600A" w:rsidRPr="0091173E" w:rsidRDefault="000F600A" w:rsidP="001077F3">
            <w:pPr>
              <w:tabs>
                <w:tab w:val="left" w:leader="dot" w:pos="4253"/>
              </w:tabs>
              <w:spacing w:line="360" w:lineRule="auto"/>
              <w:ind w:left="284"/>
              <w:rPr>
                <w:rFonts w:cs="Arial"/>
                <w:color w:val="000000"/>
                <w:sz w:val="18"/>
                <w:szCs w:val="18"/>
              </w:rPr>
            </w:pPr>
            <w:r>
              <w:tab/>
            </w:r>
            <w:r>
              <w:tab/>
            </w:r>
          </w:p>
          <w:p w:rsidR="000F600A" w:rsidRPr="0091173E" w:rsidRDefault="000F600A" w:rsidP="001077F3">
            <w:pPr>
              <w:tabs>
                <w:tab w:val="left" w:leader="dot" w:pos="4253"/>
              </w:tabs>
              <w:spacing w:line="360" w:lineRule="auto"/>
              <w:ind w:left="284"/>
              <w:rPr>
                <w:rFonts w:cs="Arial"/>
                <w:color w:val="000000"/>
                <w:sz w:val="18"/>
                <w:szCs w:val="18"/>
              </w:rPr>
            </w:pPr>
            <w:r>
              <w:tab/>
            </w:r>
            <w:r>
              <w:tab/>
            </w:r>
          </w:p>
          <w:p w:rsidR="000F600A" w:rsidRPr="0091173E" w:rsidRDefault="000F600A" w:rsidP="001077F3">
            <w:pPr>
              <w:tabs>
                <w:tab w:val="left" w:leader="dot" w:pos="4253"/>
              </w:tabs>
              <w:spacing w:line="360" w:lineRule="auto"/>
              <w:ind w:left="284"/>
              <w:rPr>
                <w:rFonts w:cs="Arial"/>
                <w:color w:val="000000"/>
                <w:sz w:val="18"/>
                <w:szCs w:val="18"/>
              </w:rPr>
            </w:pPr>
            <w:r>
              <w:tab/>
            </w:r>
            <w:r>
              <w:tab/>
            </w:r>
          </w:p>
          <w:p w:rsidR="000F600A" w:rsidRPr="0091173E" w:rsidRDefault="000F600A" w:rsidP="001077F3">
            <w:pPr>
              <w:tabs>
                <w:tab w:val="left" w:leader="dot" w:pos="4253"/>
              </w:tabs>
              <w:spacing w:line="360" w:lineRule="auto"/>
              <w:ind w:left="284"/>
              <w:rPr>
                <w:rFonts w:cs="Arial"/>
                <w:color w:val="000000"/>
                <w:sz w:val="18"/>
                <w:szCs w:val="18"/>
              </w:rPr>
            </w:pPr>
            <w:r>
              <w:tab/>
            </w:r>
            <w:r>
              <w:tab/>
            </w:r>
          </w:p>
          <w:p w:rsidR="000F600A" w:rsidRPr="0091173E" w:rsidRDefault="000F600A" w:rsidP="001077F3">
            <w:pPr>
              <w:tabs>
                <w:tab w:val="left" w:leader="dot" w:pos="4253"/>
              </w:tabs>
              <w:spacing w:line="360" w:lineRule="auto"/>
              <w:ind w:left="284"/>
              <w:rPr>
                <w:rFonts w:cs="Arial"/>
                <w:color w:val="000000"/>
                <w:sz w:val="18"/>
                <w:szCs w:val="18"/>
              </w:rPr>
            </w:pPr>
            <w:r>
              <w:tab/>
            </w:r>
            <w:r>
              <w:tab/>
            </w:r>
          </w:p>
          <w:p w:rsidR="000F600A" w:rsidRPr="0091173E" w:rsidRDefault="000F600A" w:rsidP="001077F3">
            <w:pPr>
              <w:tabs>
                <w:tab w:val="left" w:leader="dot" w:pos="4253"/>
              </w:tabs>
              <w:spacing w:line="360" w:lineRule="auto"/>
              <w:ind w:left="284"/>
              <w:rPr>
                <w:rFonts w:cs="Arial"/>
                <w:color w:val="000000"/>
                <w:sz w:val="18"/>
                <w:szCs w:val="18"/>
              </w:rPr>
            </w:pPr>
            <w:r>
              <w:tab/>
            </w:r>
            <w:r>
              <w:tab/>
            </w:r>
          </w:p>
          <w:p w:rsidR="000F600A" w:rsidRPr="0091173E" w:rsidRDefault="000F600A" w:rsidP="001077F3">
            <w:pPr>
              <w:tabs>
                <w:tab w:val="left" w:leader="dot" w:pos="4253"/>
              </w:tabs>
              <w:spacing w:line="360" w:lineRule="auto"/>
              <w:ind w:left="284"/>
              <w:rPr>
                <w:rFonts w:cs="Arial"/>
                <w:color w:val="000000"/>
                <w:sz w:val="18"/>
                <w:szCs w:val="18"/>
              </w:rPr>
            </w:pPr>
            <w:r>
              <w:tab/>
            </w:r>
            <w:r>
              <w:tab/>
            </w:r>
          </w:p>
          <w:p w:rsidR="000F600A" w:rsidRPr="0091173E" w:rsidRDefault="000F600A" w:rsidP="001077F3">
            <w:pPr>
              <w:tabs>
                <w:tab w:val="left" w:leader="dot" w:pos="4253"/>
              </w:tabs>
              <w:spacing w:line="360" w:lineRule="auto"/>
              <w:ind w:left="284"/>
              <w:rPr>
                <w:rFonts w:cs="Arial"/>
                <w:color w:val="000000"/>
                <w:sz w:val="18"/>
                <w:szCs w:val="18"/>
              </w:rPr>
            </w:pPr>
            <w:r>
              <w:tab/>
            </w:r>
            <w:r>
              <w:tab/>
            </w:r>
          </w:p>
        </w:tc>
        <w:tc>
          <w:tcPr>
            <w:tcW w:w="5063" w:type="dxa"/>
            <w:tcBorders>
              <w:top w:val="nil"/>
            </w:tcBorders>
          </w:tcPr>
          <w:p w:rsidR="000F600A" w:rsidRPr="0091173E" w:rsidRDefault="000F600A" w:rsidP="001077F3">
            <w:pPr>
              <w:tabs>
                <w:tab w:val="left" w:leader="dot" w:pos="4196"/>
              </w:tabs>
              <w:spacing w:line="360" w:lineRule="auto"/>
              <w:ind w:left="284"/>
              <w:rPr>
                <w:rFonts w:cs="Arial"/>
                <w:color w:val="000000"/>
                <w:sz w:val="18"/>
                <w:szCs w:val="18"/>
              </w:rPr>
            </w:pPr>
            <w:r>
              <w:tab/>
            </w:r>
            <w:r>
              <w:tab/>
            </w:r>
          </w:p>
          <w:p w:rsidR="000F600A" w:rsidRPr="0091173E" w:rsidRDefault="000F600A" w:rsidP="001077F3">
            <w:pPr>
              <w:tabs>
                <w:tab w:val="left" w:leader="dot" w:pos="4196"/>
              </w:tabs>
              <w:spacing w:line="360" w:lineRule="auto"/>
              <w:ind w:left="284"/>
              <w:rPr>
                <w:rFonts w:cs="Arial"/>
                <w:color w:val="000000"/>
                <w:sz w:val="18"/>
                <w:szCs w:val="18"/>
              </w:rPr>
            </w:pPr>
            <w:r>
              <w:tab/>
            </w:r>
            <w:r>
              <w:tab/>
            </w:r>
          </w:p>
          <w:p w:rsidR="000F600A" w:rsidRPr="0091173E" w:rsidRDefault="000F600A" w:rsidP="001077F3">
            <w:pPr>
              <w:tabs>
                <w:tab w:val="left" w:leader="dot" w:pos="4196"/>
              </w:tabs>
              <w:spacing w:line="360" w:lineRule="auto"/>
              <w:ind w:left="284"/>
              <w:rPr>
                <w:rFonts w:cs="Arial"/>
                <w:color w:val="000000"/>
                <w:sz w:val="18"/>
                <w:szCs w:val="18"/>
              </w:rPr>
            </w:pPr>
            <w:r>
              <w:tab/>
            </w:r>
            <w:r>
              <w:tab/>
            </w:r>
          </w:p>
          <w:p w:rsidR="000F600A" w:rsidRPr="0091173E" w:rsidRDefault="000F600A" w:rsidP="001077F3">
            <w:pPr>
              <w:tabs>
                <w:tab w:val="left" w:leader="dot" w:pos="4196"/>
              </w:tabs>
              <w:spacing w:line="360" w:lineRule="auto"/>
              <w:ind w:left="284"/>
              <w:rPr>
                <w:rFonts w:cs="Arial"/>
                <w:color w:val="000000"/>
                <w:sz w:val="18"/>
                <w:szCs w:val="18"/>
              </w:rPr>
            </w:pPr>
            <w:r>
              <w:tab/>
            </w:r>
            <w:r>
              <w:tab/>
            </w:r>
          </w:p>
          <w:p w:rsidR="000F600A" w:rsidRPr="0091173E" w:rsidRDefault="000F600A" w:rsidP="001077F3">
            <w:pPr>
              <w:tabs>
                <w:tab w:val="left" w:leader="dot" w:pos="4196"/>
              </w:tabs>
              <w:spacing w:line="360" w:lineRule="auto"/>
              <w:ind w:left="284"/>
              <w:rPr>
                <w:rFonts w:cs="Arial"/>
                <w:color w:val="000000"/>
                <w:sz w:val="18"/>
                <w:szCs w:val="18"/>
              </w:rPr>
            </w:pPr>
            <w:r>
              <w:tab/>
            </w:r>
            <w:r>
              <w:tab/>
            </w:r>
          </w:p>
          <w:p w:rsidR="000F600A" w:rsidRPr="0091173E" w:rsidRDefault="000F600A" w:rsidP="001077F3">
            <w:pPr>
              <w:tabs>
                <w:tab w:val="left" w:leader="dot" w:pos="4196"/>
              </w:tabs>
              <w:spacing w:line="360" w:lineRule="auto"/>
              <w:ind w:left="284"/>
              <w:rPr>
                <w:rFonts w:cs="Arial"/>
                <w:color w:val="000000"/>
                <w:sz w:val="18"/>
                <w:szCs w:val="18"/>
              </w:rPr>
            </w:pPr>
            <w:r>
              <w:tab/>
            </w:r>
            <w:r>
              <w:tab/>
            </w:r>
          </w:p>
          <w:p w:rsidR="000F600A" w:rsidRPr="0091173E" w:rsidRDefault="000F600A" w:rsidP="001077F3">
            <w:pPr>
              <w:tabs>
                <w:tab w:val="left" w:leader="dot" w:pos="4196"/>
              </w:tabs>
              <w:spacing w:line="360" w:lineRule="auto"/>
              <w:ind w:left="284"/>
              <w:rPr>
                <w:rFonts w:cs="Arial"/>
                <w:color w:val="000000"/>
                <w:sz w:val="18"/>
                <w:szCs w:val="18"/>
              </w:rPr>
            </w:pPr>
            <w:r>
              <w:tab/>
            </w:r>
            <w:r>
              <w:tab/>
            </w:r>
          </w:p>
          <w:p w:rsidR="000F600A" w:rsidRPr="0091173E" w:rsidRDefault="000F600A" w:rsidP="001077F3">
            <w:pPr>
              <w:tabs>
                <w:tab w:val="left" w:leader="dot" w:pos="4196"/>
              </w:tabs>
              <w:spacing w:line="360" w:lineRule="auto"/>
              <w:ind w:left="284"/>
              <w:rPr>
                <w:rFonts w:cs="Arial"/>
                <w:color w:val="000000"/>
                <w:sz w:val="18"/>
                <w:szCs w:val="18"/>
              </w:rPr>
            </w:pPr>
            <w:r>
              <w:tab/>
            </w:r>
            <w:r>
              <w:tab/>
            </w:r>
          </w:p>
          <w:p w:rsidR="000F600A" w:rsidRPr="0091173E" w:rsidRDefault="000F600A" w:rsidP="001077F3">
            <w:pPr>
              <w:tabs>
                <w:tab w:val="left" w:leader="dot" w:pos="4196"/>
              </w:tabs>
              <w:spacing w:line="360" w:lineRule="auto"/>
              <w:ind w:left="284"/>
              <w:rPr>
                <w:rFonts w:cs="Arial"/>
                <w:color w:val="000000"/>
                <w:sz w:val="18"/>
                <w:szCs w:val="18"/>
              </w:rPr>
            </w:pPr>
            <w:r>
              <w:tab/>
            </w:r>
            <w:r>
              <w:tab/>
            </w:r>
          </w:p>
          <w:p w:rsidR="000F600A" w:rsidRPr="0091173E" w:rsidRDefault="000F600A" w:rsidP="001077F3">
            <w:pPr>
              <w:tabs>
                <w:tab w:val="left" w:leader="dot" w:pos="4196"/>
              </w:tabs>
              <w:spacing w:line="360" w:lineRule="auto"/>
              <w:ind w:left="284"/>
              <w:rPr>
                <w:rFonts w:cs="Arial"/>
                <w:color w:val="000000"/>
                <w:sz w:val="18"/>
                <w:szCs w:val="18"/>
              </w:rPr>
            </w:pPr>
            <w:r>
              <w:tab/>
            </w:r>
            <w:r>
              <w:tab/>
            </w:r>
          </w:p>
          <w:p w:rsidR="000F600A" w:rsidRPr="0091173E" w:rsidRDefault="000F600A" w:rsidP="001077F3">
            <w:pPr>
              <w:tabs>
                <w:tab w:val="left" w:leader="dot" w:pos="4196"/>
              </w:tabs>
              <w:spacing w:line="360" w:lineRule="auto"/>
              <w:ind w:left="284"/>
              <w:rPr>
                <w:rFonts w:cs="Arial"/>
                <w:color w:val="000000"/>
                <w:sz w:val="18"/>
                <w:szCs w:val="18"/>
              </w:rPr>
            </w:pPr>
            <w:r>
              <w:tab/>
            </w:r>
            <w:r>
              <w:tab/>
            </w:r>
          </w:p>
          <w:p w:rsidR="000F600A" w:rsidRPr="0091173E" w:rsidRDefault="000F600A" w:rsidP="001077F3">
            <w:pPr>
              <w:tabs>
                <w:tab w:val="left" w:leader="dot" w:pos="4196"/>
              </w:tabs>
              <w:spacing w:line="360" w:lineRule="auto"/>
              <w:ind w:left="284"/>
              <w:rPr>
                <w:rFonts w:cs="Arial"/>
                <w:color w:val="000000"/>
                <w:sz w:val="18"/>
                <w:szCs w:val="18"/>
              </w:rPr>
            </w:pPr>
            <w:r>
              <w:tab/>
            </w:r>
            <w:r>
              <w:tab/>
            </w:r>
          </w:p>
          <w:p w:rsidR="000F600A" w:rsidRPr="0091173E" w:rsidRDefault="000F600A" w:rsidP="001077F3">
            <w:pPr>
              <w:tabs>
                <w:tab w:val="left" w:leader="dot" w:pos="4196"/>
              </w:tabs>
              <w:spacing w:line="360" w:lineRule="auto"/>
              <w:ind w:left="284"/>
              <w:rPr>
                <w:rFonts w:cs="Arial"/>
                <w:color w:val="000000"/>
                <w:sz w:val="18"/>
                <w:szCs w:val="18"/>
              </w:rPr>
            </w:pPr>
            <w:r>
              <w:tab/>
            </w:r>
            <w:r>
              <w:tab/>
            </w:r>
          </w:p>
          <w:p w:rsidR="000F600A" w:rsidRPr="0091173E" w:rsidRDefault="000F600A" w:rsidP="001077F3">
            <w:pPr>
              <w:tabs>
                <w:tab w:val="left" w:leader="dot" w:pos="4196"/>
              </w:tabs>
              <w:spacing w:line="360" w:lineRule="auto"/>
              <w:ind w:left="284"/>
              <w:rPr>
                <w:rFonts w:cs="Arial"/>
                <w:color w:val="000000"/>
                <w:sz w:val="18"/>
                <w:szCs w:val="18"/>
              </w:rPr>
            </w:pPr>
            <w:r>
              <w:tab/>
            </w:r>
            <w:r>
              <w:tab/>
            </w:r>
          </w:p>
          <w:p w:rsidR="000F600A" w:rsidRPr="0091173E" w:rsidRDefault="000F600A" w:rsidP="001077F3">
            <w:pPr>
              <w:tabs>
                <w:tab w:val="left" w:leader="dot" w:pos="4196"/>
              </w:tabs>
              <w:spacing w:line="360" w:lineRule="auto"/>
              <w:ind w:left="284"/>
              <w:rPr>
                <w:rFonts w:cs="Arial"/>
                <w:color w:val="000000"/>
                <w:sz w:val="18"/>
                <w:szCs w:val="18"/>
              </w:rPr>
            </w:pPr>
            <w:r>
              <w:tab/>
            </w:r>
            <w:r>
              <w:tab/>
            </w:r>
          </w:p>
          <w:p w:rsidR="000F600A" w:rsidRPr="0091173E" w:rsidRDefault="000F600A" w:rsidP="001077F3">
            <w:pPr>
              <w:tabs>
                <w:tab w:val="left" w:leader="dot" w:pos="4196"/>
              </w:tabs>
              <w:spacing w:line="360" w:lineRule="auto"/>
              <w:ind w:left="284"/>
              <w:rPr>
                <w:rFonts w:cs="Arial"/>
                <w:color w:val="000000"/>
                <w:sz w:val="18"/>
                <w:szCs w:val="18"/>
              </w:rPr>
            </w:pPr>
            <w:r>
              <w:tab/>
            </w:r>
            <w:r>
              <w:tab/>
            </w:r>
          </w:p>
          <w:p w:rsidR="000F600A" w:rsidRPr="0091173E" w:rsidRDefault="000F600A" w:rsidP="001077F3">
            <w:pPr>
              <w:tabs>
                <w:tab w:val="left" w:leader="dot" w:pos="4196"/>
              </w:tabs>
              <w:spacing w:line="360" w:lineRule="auto"/>
              <w:ind w:left="284"/>
              <w:rPr>
                <w:rFonts w:cs="Arial"/>
                <w:color w:val="000000"/>
                <w:sz w:val="18"/>
                <w:szCs w:val="18"/>
              </w:rPr>
            </w:pPr>
            <w:r>
              <w:tab/>
            </w:r>
            <w:r>
              <w:tab/>
            </w:r>
          </w:p>
          <w:p w:rsidR="000F600A" w:rsidRPr="0091173E" w:rsidRDefault="000F600A" w:rsidP="001077F3">
            <w:pPr>
              <w:tabs>
                <w:tab w:val="left" w:leader="dot" w:pos="4196"/>
              </w:tabs>
              <w:spacing w:line="360" w:lineRule="auto"/>
              <w:ind w:left="284"/>
              <w:rPr>
                <w:rFonts w:cs="Arial"/>
                <w:color w:val="000000"/>
                <w:sz w:val="18"/>
                <w:szCs w:val="18"/>
              </w:rPr>
            </w:pPr>
            <w:r>
              <w:tab/>
            </w:r>
            <w:r>
              <w:tab/>
            </w:r>
          </w:p>
          <w:p w:rsidR="000F600A" w:rsidRPr="0091173E" w:rsidRDefault="000F600A" w:rsidP="001077F3">
            <w:pPr>
              <w:tabs>
                <w:tab w:val="left" w:leader="dot" w:pos="4196"/>
              </w:tabs>
              <w:spacing w:line="360" w:lineRule="auto"/>
              <w:ind w:left="284"/>
              <w:rPr>
                <w:rFonts w:cs="Arial"/>
                <w:color w:val="000000"/>
                <w:sz w:val="18"/>
                <w:szCs w:val="18"/>
              </w:rPr>
            </w:pPr>
            <w:r>
              <w:tab/>
            </w:r>
            <w:r>
              <w:tab/>
            </w:r>
          </w:p>
        </w:tc>
      </w:tr>
      <w:tr w:rsidR="000F600A" w:rsidRPr="0091173E" w:rsidTr="001077F3">
        <w:tc>
          <w:tcPr>
            <w:tcW w:w="10126" w:type="dxa"/>
            <w:gridSpan w:val="2"/>
          </w:tcPr>
          <w:p w:rsidR="000F600A" w:rsidRPr="0091173E" w:rsidRDefault="000F600A" w:rsidP="001077F3">
            <w:pPr>
              <w:spacing w:before="80"/>
              <w:ind w:left="284" w:hanging="284"/>
              <w:rPr>
                <w:rFonts w:cs="Arial"/>
                <w:sz w:val="18"/>
                <w:szCs w:val="18"/>
              </w:rPr>
            </w:pPr>
            <w:r>
              <w:rPr>
                <w:sz w:val="18"/>
              </w:rPr>
              <w:t>8.</w:t>
            </w:r>
            <w:r>
              <w:tab/>
            </w:r>
            <w:r>
              <w:rPr>
                <w:sz w:val="18"/>
              </w:rPr>
              <w:t>Altre condizioni:</w:t>
            </w:r>
          </w:p>
          <w:p w:rsidR="000F600A" w:rsidRPr="0091173E" w:rsidRDefault="000F600A" w:rsidP="001077F3">
            <w:pPr>
              <w:tabs>
                <w:tab w:val="left" w:leader="dot" w:pos="8789"/>
              </w:tabs>
              <w:spacing w:before="40" w:line="360" w:lineRule="auto"/>
              <w:ind w:left="284"/>
              <w:rPr>
                <w:rFonts w:cs="Arial"/>
                <w:color w:val="000000"/>
                <w:sz w:val="18"/>
                <w:szCs w:val="18"/>
              </w:rPr>
            </w:pPr>
            <w:r>
              <w:tab/>
            </w:r>
            <w:r>
              <w:tab/>
            </w:r>
          </w:p>
          <w:p w:rsidR="000F600A" w:rsidRPr="0091173E" w:rsidRDefault="000F600A" w:rsidP="001077F3">
            <w:pPr>
              <w:tabs>
                <w:tab w:val="left" w:leader="dot" w:pos="8789"/>
              </w:tabs>
              <w:spacing w:before="40" w:line="360" w:lineRule="auto"/>
              <w:ind w:left="284"/>
              <w:rPr>
                <w:rFonts w:cs="Arial"/>
                <w:color w:val="000000"/>
                <w:sz w:val="18"/>
                <w:szCs w:val="18"/>
              </w:rPr>
            </w:pPr>
            <w:r>
              <w:tab/>
            </w:r>
            <w:r>
              <w:tab/>
            </w:r>
          </w:p>
        </w:tc>
      </w:tr>
      <w:tr w:rsidR="000F600A" w:rsidRPr="0091173E" w:rsidTr="001077F3">
        <w:tc>
          <w:tcPr>
            <w:tcW w:w="10126" w:type="dxa"/>
            <w:gridSpan w:val="2"/>
          </w:tcPr>
          <w:p w:rsidR="000F600A" w:rsidRPr="0091173E" w:rsidRDefault="000F600A" w:rsidP="001077F3">
            <w:pPr>
              <w:spacing w:before="80"/>
              <w:ind w:left="284" w:hanging="284"/>
              <w:rPr>
                <w:rFonts w:cs="Arial"/>
                <w:sz w:val="18"/>
                <w:szCs w:val="18"/>
              </w:rPr>
            </w:pPr>
            <w:r>
              <w:rPr>
                <w:sz w:val="18"/>
              </w:rPr>
              <w:t>9.</w:t>
            </w:r>
            <w:r>
              <w:tab/>
            </w:r>
            <w:r>
              <w:rPr>
                <w:sz w:val="18"/>
              </w:rPr>
              <w:t>Annotazioni</w:t>
            </w:r>
          </w:p>
          <w:p w:rsidR="000F600A" w:rsidRPr="0091173E" w:rsidRDefault="000F600A" w:rsidP="001077F3">
            <w:pPr>
              <w:tabs>
                <w:tab w:val="left" w:leader="dot" w:pos="8789"/>
              </w:tabs>
              <w:spacing w:before="40" w:line="360" w:lineRule="auto"/>
              <w:ind w:left="284"/>
              <w:rPr>
                <w:rFonts w:cs="Arial"/>
                <w:color w:val="000000"/>
                <w:sz w:val="18"/>
                <w:szCs w:val="18"/>
              </w:rPr>
            </w:pPr>
            <w:r>
              <w:tab/>
            </w:r>
            <w:r>
              <w:tab/>
            </w:r>
          </w:p>
          <w:p w:rsidR="000F600A" w:rsidRPr="0091173E" w:rsidRDefault="000F600A" w:rsidP="001077F3">
            <w:pPr>
              <w:tabs>
                <w:tab w:val="left" w:leader="dot" w:pos="8789"/>
              </w:tabs>
              <w:spacing w:before="40" w:line="360" w:lineRule="auto"/>
              <w:ind w:left="284"/>
              <w:rPr>
                <w:rFonts w:cs="Arial"/>
                <w:color w:val="000000"/>
                <w:sz w:val="18"/>
                <w:szCs w:val="18"/>
              </w:rPr>
            </w:pPr>
            <w:r>
              <w:tab/>
            </w:r>
            <w:r>
              <w:tab/>
            </w:r>
          </w:p>
        </w:tc>
      </w:tr>
      <w:tr w:rsidR="000F600A" w:rsidRPr="006F497D" w:rsidTr="001077F3">
        <w:tc>
          <w:tcPr>
            <w:tcW w:w="10126" w:type="dxa"/>
            <w:gridSpan w:val="2"/>
          </w:tcPr>
          <w:p w:rsidR="000F600A" w:rsidRPr="0091173E" w:rsidRDefault="000F600A" w:rsidP="001077F3">
            <w:pPr>
              <w:spacing w:before="80"/>
              <w:rPr>
                <w:rFonts w:cs="Arial"/>
                <w:color w:val="000000"/>
                <w:sz w:val="18"/>
                <w:szCs w:val="18"/>
              </w:rPr>
            </w:pPr>
            <w:r>
              <w:rPr>
                <w:sz w:val="18"/>
              </w:rPr>
              <w:t>La presente pagina è stata rilasciata / sostituita (*)</w:t>
            </w:r>
          </w:p>
          <w:p w:rsidR="000F600A" w:rsidRPr="0091173E" w:rsidRDefault="000F600A" w:rsidP="001077F3">
            <w:pPr>
              <w:rPr>
                <w:rFonts w:cs="Arial"/>
                <w:color w:val="000000"/>
                <w:sz w:val="18"/>
                <w:szCs w:val="18"/>
              </w:rPr>
            </w:pPr>
          </w:p>
          <w:p w:rsidR="000F600A" w:rsidRPr="0091173E" w:rsidRDefault="000F600A" w:rsidP="001077F3">
            <w:pPr>
              <w:tabs>
                <w:tab w:val="left" w:leader="dot" w:pos="4536"/>
                <w:tab w:val="center" w:pos="7088"/>
              </w:tabs>
              <w:spacing w:after="80" w:line="240" w:lineRule="atLeast"/>
              <w:rPr>
                <w:color w:val="000000"/>
                <w:sz w:val="18"/>
                <w:szCs w:val="18"/>
              </w:rPr>
            </w:pPr>
            <w:r>
              <w:rPr>
                <w:color w:val="000000"/>
                <w:sz w:val="18"/>
              </w:rPr>
              <w:t xml:space="preserve">Luogo, data </w:t>
            </w:r>
            <w:r>
              <w:tab/>
            </w:r>
            <w:r>
              <w:tab/>
            </w:r>
            <w:r>
              <w:rPr>
                <w:color w:val="000000"/>
                <w:sz w:val="18"/>
              </w:rPr>
              <w:t>Commissione di ispezione</w:t>
            </w:r>
          </w:p>
          <w:p w:rsidR="000F600A" w:rsidRPr="0091173E" w:rsidRDefault="000F600A" w:rsidP="001077F3">
            <w:pPr>
              <w:tabs>
                <w:tab w:val="left" w:pos="5387"/>
                <w:tab w:val="left" w:leader="dot" w:pos="8789"/>
              </w:tabs>
              <w:rPr>
                <w:rFonts w:cs="Arial"/>
                <w:color w:val="000000"/>
                <w:sz w:val="18"/>
                <w:szCs w:val="18"/>
              </w:rPr>
            </w:pPr>
            <w:r>
              <w:tab/>
            </w:r>
            <w:r>
              <w:tab/>
            </w:r>
          </w:p>
          <w:p w:rsidR="000F600A" w:rsidRPr="0091173E" w:rsidRDefault="000F600A" w:rsidP="001077F3">
            <w:pPr>
              <w:rPr>
                <w:rFonts w:cs="Arial"/>
                <w:color w:val="000000"/>
                <w:sz w:val="18"/>
                <w:szCs w:val="18"/>
              </w:rPr>
            </w:pPr>
          </w:p>
          <w:p w:rsidR="000F600A" w:rsidRPr="0091173E" w:rsidRDefault="000F600A" w:rsidP="001077F3">
            <w:pPr>
              <w:tabs>
                <w:tab w:val="center" w:pos="1985"/>
              </w:tabs>
              <w:rPr>
                <w:rFonts w:cs="Arial"/>
                <w:color w:val="000000"/>
                <w:sz w:val="18"/>
                <w:szCs w:val="18"/>
              </w:rPr>
            </w:pPr>
            <w:r>
              <w:tab/>
            </w:r>
            <w:r>
              <w:rPr>
                <w:color w:val="000000"/>
                <w:sz w:val="18"/>
              </w:rPr>
              <w:t>Timbro</w:t>
            </w:r>
          </w:p>
          <w:p w:rsidR="000F600A" w:rsidRPr="0091173E" w:rsidRDefault="000F600A" w:rsidP="001077F3">
            <w:pPr>
              <w:tabs>
                <w:tab w:val="left" w:leader="dot" w:pos="8789"/>
              </w:tabs>
              <w:ind w:left="5387"/>
              <w:rPr>
                <w:rFonts w:cs="Arial"/>
                <w:color w:val="000000"/>
              </w:rPr>
            </w:pPr>
            <w:r>
              <w:tab/>
            </w:r>
            <w:r>
              <w:tab/>
            </w:r>
          </w:p>
          <w:p w:rsidR="000F600A" w:rsidRPr="0091173E" w:rsidRDefault="000F600A" w:rsidP="001077F3">
            <w:pPr>
              <w:tabs>
                <w:tab w:val="center" w:pos="7088"/>
              </w:tabs>
              <w:rPr>
                <w:rFonts w:cs="Arial"/>
                <w:color w:val="000000"/>
                <w:sz w:val="16"/>
              </w:rPr>
            </w:pPr>
            <w:r>
              <w:tab/>
            </w:r>
            <w:r>
              <w:tab/>
            </w:r>
            <w:r>
              <w:rPr>
                <w:color w:val="000000"/>
                <w:sz w:val="16"/>
              </w:rPr>
              <w:t xml:space="preserve"> (firma)</w:t>
            </w:r>
          </w:p>
          <w:p w:rsidR="000F600A" w:rsidRPr="0091173E" w:rsidRDefault="000F600A" w:rsidP="001077F3">
            <w:pPr>
              <w:rPr>
                <w:rFonts w:cs="Arial"/>
                <w:color w:val="000000"/>
              </w:rPr>
            </w:pPr>
          </w:p>
          <w:p w:rsidR="000F600A" w:rsidRPr="0091173E" w:rsidRDefault="000F600A" w:rsidP="001077F3">
            <w:pPr>
              <w:rPr>
                <w:rFonts w:cs="Arial"/>
                <w:color w:val="000000"/>
                <w:sz w:val="12"/>
              </w:rPr>
            </w:pPr>
            <w:r>
              <w:rPr>
                <w:color w:val="000000"/>
                <w:sz w:val="12"/>
              </w:rPr>
              <w:t>___________________________________</w:t>
            </w:r>
          </w:p>
          <w:p w:rsidR="000F600A" w:rsidRPr="0091173E" w:rsidRDefault="000F600A" w:rsidP="001077F3">
            <w:pPr>
              <w:spacing w:before="40" w:after="40" w:line="240" w:lineRule="atLeast"/>
              <w:ind w:left="284" w:hanging="284"/>
              <w:rPr>
                <w:rFonts w:cs="Arial"/>
                <w:color w:val="000000"/>
                <w:sz w:val="18"/>
                <w:szCs w:val="18"/>
              </w:rPr>
            </w:pPr>
            <w:r>
              <w:rPr>
                <w:sz w:val="16"/>
              </w:rPr>
              <w:t>*)</w:t>
            </w:r>
            <w:r>
              <w:tab/>
            </w:r>
            <w:r>
              <w:rPr>
                <w:color w:val="000000"/>
                <w:sz w:val="16"/>
              </w:rPr>
              <w:t>Cancellare le voci non pertinenti.</w:t>
            </w:r>
          </w:p>
        </w:tc>
      </w:tr>
      <w:tr w:rsidR="000F600A" w:rsidRPr="00A0619C" w:rsidTr="001077F3">
        <w:tc>
          <w:tcPr>
            <w:tcW w:w="10126" w:type="dxa"/>
            <w:gridSpan w:val="2"/>
          </w:tcPr>
          <w:p w:rsidR="000F600A" w:rsidRPr="0091173E" w:rsidRDefault="000F600A" w:rsidP="005F2D46">
            <w:pPr>
              <w:tabs>
                <w:tab w:val="left" w:pos="5670"/>
                <w:tab w:val="left" w:leader="dot" w:pos="8789"/>
              </w:tabs>
              <w:spacing w:before="120" w:after="40"/>
              <w:ind w:left="5670"/>
              <w:rPr>
                <w:rFonts w:cs="Arial"/>
                <w:color w:val="000000"/>
                <w:sz w:val="18"/>
                <w:szCs w:val="18"/>
              </w:rPr>
            </w:pPr>
            <w:r>
              <w:rPr>
                <w:color w:val="000000"/>
                <w:sz w:val="18"/>
              </w:rPr>
              <w:t>Segue a pagina</w:t>
            </w:r>
            <w:r>
              <w:rPr>
                <w:sz w:val="16"/>
              </w:rPr>
              <w:t xml:space="preserve">*) </w:t>
            </w:r>
            <w:r>
              <w:tab/>
            </w:r>
            <w:r>
              <w:rPr>
                <w:color w:val="000000"/>
                <w:sz w:val="18"/>
                <w:szCs w:val="18"/>
              </w:rPr>
              <w:br/>
            </w:r>
            <w:r>
              <w:rPr>
                <w:color w:val="000000"/>
                <w:sz w:val="18"/>
              </w:rPr>
              <w:t xml:space="preserve">Fine </w:t>
            </w:r>
            <w:r>
              <w:rPr>
                <w:sz w:val="16"/>
              </w:rPr>
              <w:t>dell'allegato Imbarcazione tradizionale*)</w:t>
            </w:r>
          </w:p>
        </w:tc>
      </w:tr>
    </w:tbl>
    <w:p w:rsidR="000F600A" w:rsidRPr="00E727A2" w:rsidRDefault="000F600A" w:rsidP="000F600A">
      <w:pPr>
        <w:jc w:val="right"/>
        <w:outlineLvl w:val="0"/>
      </w:pPr>
      <w:r>
        <w:t> "</w:t>
      </w:r>
    </w:p>
    <w:p w:rsidR="000F600A" w:rsidRPr="006F497D" w:rsidRDefault="000F600A" w:rsidP="000F600A">
      <w:pPr>
        <w:spacing w:line="240" w:lineRule="atLeast"/>
        <w:ind w:left="851"/>
        <w:rPr>
          <w:rFonts w:cs="Arial"/>
          <w:bCs/>
          <w:i/>
          <w:sz w:val="22"/>
          <w:szCs w:val="22"/>
        </w:rPr>
      </w:pPr>
    </w:p>
    <w:p w:rsidR="000F600A" w:rsidRDefault="000F600A" w:rsidP="000F600A">
      <w:pPr>
        <w:rPr>
          <w:rFonts w:cs="Arial"/>
          <w:szCs w:val="20"/>
        </w:rPr>
      </w:pPr>
      <w:r>
        <w:br w:type="page"/>
      </w:r>
    </w:p>
    <w:p w:rsidR="001077F3" w:rsidRDefault="001077F3" w:rsidP="0091173E">
      <w:pPr>
        <w:pStyle w:val="ESch"/>
        <w:rPr>
          <w:noProof/>
        </w:rPr>
      </w:pPr>
    </w:p>
    <w:p w:rsidR="00A50F11" w:rsidRPr="00C903F8" w:rsidRDefault="00A50F11" w:rsidP="00A50F11">
      <w:pPr>
        <w:pStyle w:val="ES-Titre3"/>
        <w:rPr>
          <w:noProof/>
        </w:rPr>
      </w:pPr>
      <w:bookmarkStart w:id="626" w:name="_Toc491854305"/>
      <w:bookmarkStart w:id="627" w:name="_Toc535500254"/>
      <w:r>
        <w:t>Sezione VI</w:t>
      </w:r>
      <w:bookmarkEnd w:id="626"/>
      <w:bookmarkEnd w:id="627"/>
    </w:p>
    <w:p w:rsidR="00A50F11" w:rsidRPr="00C903F8" w:rsidRDefault="00A50F11" w:rsidP="00A50F11">
      <w:pPr>
        <w:pStyle w:val="ES-Titre3a"/>
      </w:pPr>
      <w:bookmarkStart w:id="628" w:name="_Toc491854306"/>
      <w:bookmarkStart w:id="629" w:name="_Toc535500255"/>
      <w:r>
        <w:t>Modello di registro dei certificati di nave di navigazione interna</w:t>
      </w:r>
      <w:bookmarkEnd w:id="628"/>
      <w:bookmarkEnd w:id="629"/>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A50F11">
      <w:pPr>
        <w:overflowPunct w:val="0"/>
        <w:adjustRightInd w:val="0"/>
        <w:jc w:val="center"/>
        <w:textAlignment w:val="baseline"/>
        <w:rPr>
          <w:rFonts w:cs="Arial"/>
          <w:szCs w:val="20"/>
        </w:rPr>
      </w:pPr>
      <w:r>
        <w:rPr>
          <w:b/>
          <w:sz w:val="24"/>
        </w:rPr>
        <w:t>Registro dei certificati di nave di navigazione interna</w:t>
      </w:r>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A50F11">
      <w:pPr>
        <w:tabs>
          <w:tab w:val="left" w:leader="dot" w:pos="5670"/>
        </w:tabs>
        <w:overflowPunct w:val="0"/>
        <w:adjustRightInd w:val="0"/>
        <w:ind w:left="0" w:firstLine="0"/>
        <w:jc w:val="center"/>
        <w:textAlignment w:val="baseline"/>
        <w:rPr>
          <w:rFonts w:cs="Arial"/>
          <w:szCs w:val="20"/>
        </w:rPr>
      </w:pPr>
      <w:r>
        <w:t>Autorità competente/Commissione di ispezione</w:t>
      </w:r>
      <w:r>
        <w:tab/>
      </w:r>
    </w:p>
    <w:p w:rsidR="00A50F11" w:rsidRPr="00C903F8" w:rsidRDefault="00A50F11" w:rsidP="00A50F11">
      <w:pPr>
        <w:tabs>
          <w:tab w:val="left" w:leader="dot" w:pos="5670"/>
        </w:tabs>
        <w:overflowPunct w:val="0"/>
        <w:adjustRightInd w:val="0"/>
        <w:ind w:left="0" w:firstLine="0"/>
        <w:jc w:val="center"/>
        <w:textAlignment w:val="baseline"/>
        <w:rPr>
          <w:rFonts w:cs="Arial"/>
          <w:szCs w:val="20"/>
        </w:rPr>
      </w:pPr>
    </w:p>
    <w:p w:rsidR="00A50F11" w:rsidRPr="00C903F8" w:rsidRDefault="00A50F11" w:rsidP="00A50F11">
      <w:pPr>
        <w:tabs>
          <w:tab w:val="left" w:leader="dot" w:pos="5670"/>
        </w:tabs>
        <w:overflowPunct w:val="0"/>
        <w:adjustRightInd w:val="0"/>
        <w:ind w:left="0" w:firstLine="0"/>
        <w:jc w:val="center"/>
        <w:textAlignment w:val="baseline"/>
        <w:rPr>
          <w:rFonts w:cs="Arial"/>
          <w:szCs w:val="20"/>
        </w:rPr>
      </w:pPr>
    </w:p>
    <w:p w:rsidR="00A50F11" w:rsidRPr="00C903F8" w:rsidRDefault="00A50F11" w:rsidP="00A50F11">
      <w:pPr>
        <w:tabs>
          <w:tab w:val="left" w:leader="dot" w:pos="5670"/>
        </w:tabs>
        <w:overflowPunct w:val="0"/>
        <w:adjustRightInd w:val="0"/>
        <w:ind w:left="0" w:firstLine="0"/>
        <w:jc w:val="center"/>
        <w:textAlignment w:val="baseline"/>
        <w:rPr>
          <w:rFonts w:cs="Arial"/>
          <w:szCs w:val="20"/>
        </w:rPr>
      </w:pPr>
    </w:p>
    <w:p w:rsidR="00A50F11" w:rsidRPr="00C903F8" w:rsidRDefault="00A50F11" w:rsidP="00A50F11">
      <w:pPr>
        <w:tabs>
          <w:tab w:val="left" w:leader="dot" w:pos="5670"/>
        </w:tabs>
        <w:overflowPunct w:val="0"/>
        <w:adjustRightInd w:val="0"/>
        <w:ind w:left="0" w:firstLine="0"/>
        <w:jc w:val="center"/>
        <w:textAlignment w:val="baseline"/>
        <w:rPr>
          <w:rFonts w:cs="Arial"/>
          <w:szCs w:val="20"/>
        </w:rPr>
      </w:pPr>
      <w:r>
        <w:t>Registro dei certificati</w:t>
      </w:r>
    </w:p>
    <w:p w:rsidR="00A50F11" w:rsidRPr="00C903F8" w:rsidRDefault="00A50F11" w:rsidP="00A50F11">
      <w:pPr>
        <w:tabs>
          <w:tab w:val="left" w:leader="dot" w:pos="5670"/>
        </w:tabs>
        <w:overflowPunct w:val="0"/>
        <w:adjustRightInd w:val="0"/>
        <w:ind w:left="0" w:firstLine="0"/>
        <w:jc w:val="center"/>
        <w:textAlignment w:val="baseline"/>
        <w:rPr>
          <w:rFonts w:cs="Arial"/>
          <w:szCs w:val="20"/>
        </w:rPr>
      </w:pPr>
    </w:p>
    <w:p w:rsidR="00A50F11" w:rsidRPr="00C903F8" w:rsidRDefault="00A50F11" w:rsidP="00A50F11">
      <w:pPr>
        <w:tabs>
          <w:tab w:val="left" w:leader="dot" w:pos="5670"/>
        </w:tabs>
        <w:overflowPunct w:val="0"/>
        <w:adjustRightInd w:val="0"/>
        <w:ind w:left="0" w:firstLine="0"/>
        <w:jc w:val="center"/>
        <w:textAlignment w:val="baseline"/>
        <w:rPr>
          <w:rFonts w:cs="Arial"/>
          <w:szCs w:val="20"/>
        </w:rPr>
      </w:pPr>
    </w:p>
    <w:p w:rsidR="00A50F11" w:rsidRPr="00C903F8" w:rsidRDefault="00A50F11" w:rsidP="00A50F11">
      <w:pPr>
        <w:tabs>
          <w:tab w:val="left" w:leader="dot" w:pos="5670"/>
        </w:tabs>
        <w:overflowPunct w:val="0"/>
        <w:adjustRightInd w:val="0"/>
        <w:ind w:left="0" w:firstLine="0"/>
        <w:jc w:val="center"/>
        <w:textAlignment w:val="baseline"/>
        <w:rPr>
          <w:rFonts w:cs="Arial"/>
          <w:szCs w:val="20"/>
        </w:rPr>
      </w:pPr>
    </w:p>
    <w:p w:rsidR="00A50F11" w:rsidRPr="00C903F8" w:rsidRDefault="00A50F11" w:rsidP="00A50F11">
      <w:pPr>
        <w:tabs>
          <w:tab w:val="left" w:leader="dot" w:pos="1701"/>
        </w:tabs>
        <w:overflowPunct w:val="0"/>
        <w:adjustRightInd w:val="0"/>
        <w:ind w:left="0" w:firstLine="0"/>
        <w:jc w:val="center"/>
        <w:textAlignment w:val="baseline"/>
        <w:rPr>
          <w:rFonts w:cs="Arial"/>
          <w:szCs w:val="20"/>
        </w:rPr>
      </w:pPr>
      <w:r>
        <w:t xml:space="preserve">Anno </w:t>
      </w:r>
      <w:r>
        <w:tab/>
      </w:r>
    </w:p>
    <w:p w:rsidR="00A50F11" w:rsidRPr="00C903F8" w:rsidRDefault="00A50F11" w:rsidP="00A50F11">
      <w:pPr>
        <w:overflowPunct w:val="0"/>
        <w:adjustRightInd w:val="0"/>
        <w:spacing w:line="240" w:lineRule="atLeast"/>
        <w:ind w:left="0" w:firstLine="0"/>
        <w:jc w:val="center"/>
        <w:textAlignment w:val="baseline"/>
        <w:rPr>
          <w:rFonts w:eastAsia="Calibri"/>
          <w:b/>
          <w:i/>
          <w:caps/>
          <w:sz w:val="24"/>
          <w:szCs w:val="28"/>
        </w:rPr>
      </w:pPr>
    </w:p>
    <w:p w:rsidR="00A50F11" w:rsidRPr="00C903F8" w:rsidRDefault="00A50F11" w:rsidP="00A50F11">
      <w:pPr>
        <w:tabs>
          <w:tab w:val="center" w:pos="8647"/>
        </w:tabs>
        <w:rPr>
          <w:rFonts w:cs="Arial"/>
          <w:szCs w:val="20"/>
        </w:rPr>
      </w:pPr>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A50F11">
      <w:pPr>
        <w:overflowPunct w:val="0"/>
        <w:adjustRightInd w:val="0"/>
        <w:ind w:left="0" w:firstLine="0"/>
        <w:jc w:val="left"/>
        <w:textAlignment w:val="baseline"/>
        <w:rPr>
          <w:rFonts w:cs="Arial"/>
          <w:szCs w:val="20"/>
        </w:rPr>
      </w:pPr>
    </w:p>
    <w:p w:rsidR="00A50F11" w:rsidRPr="00C903F8" w:rsidRDefault="00A50F11" w:rsidP="00C92875">
      <w:pPr>
        <w:tabs>
          <w:tab w:val="left" w:leader="dot" w:pos="1701"/>
        </w:tabs>
        <w:overflowPunct w:val="0"/>
        <w:adjustRightInd w:val="0"/>
        <w:ind w:left="0" w:firstLine="0"/>
        <w:textAlignment w:val="baseline"/>
        <w:rPr>
          <w:rFonts w:cs="Arial"/>
          <w:b/>
          <w:szCs w:val="20"/>
        </w:rPr>
      </w:pPr>
    </w:p>
    <w:p w:rsidR="00A50F11" w:rsidRPr="00C903F8" w:rsidRDefault="00A50F11" w:rsidP="00A50F11">
      <w:pPr>
        <w:tabs>
          <w:tab w:val="left" w:leader="dot" w:pos="1701"/>
        </w:tabs>
        <w:overflowPunct w:val="0"/>
        <w:adjustRightInd w:val="0"/>
        <w:ind w:left="0" w:firstLine="0"/>
        <w:jc w:val="left"/>
        <w:textAlignment w:val="baseline"/>
        <w:rPr>
          <w:rFonts w:cs="Arial"/>
          <w:b/>
          <w:szCs w:val="20"/>
        </w:rPr>
      </w:pPr>
    </w:p>
    <w:p w:rsidR="00A50F11" w:rsidRPr="00C903F8" w:rsidRDefault="00A50F11" w:rsidP="00A50F11">
      <w:pPr>
        <w:rPr>
          <w:rFonts w:cs="Arial"/>
          <w:b/>
          <w:szCs w:val="20"/>
        </w:rPr>
      </w:pPr>
    </w:p>
    <w:p w:rsidR="00A50F11" w:rsidRPr="00C903F8" w:rsidRDefault="00A50F11" w:rsidP="00A50F11">
      <w:pPr>
        <w:tabs>
          <w:tab w:val="left" w:pos="3930"/>
        </w:tabs>
        <w:rPr>
          <w:rFonts w:cs="Arial"/>
          <w:b/>
          <w:szCs w:val="20"/>
        </w:rPr>
      </w:pPr>
    </w:p>
    <w:p w:rsidR="00A50F11" w:rsidRPr="00C903F8" w:rsidRDefault="00A50F11" w:rsidP="00A50F11">
      <w:pPr>
        <w:rPr>
          <w:rFonts w:cs="Arial"/>
          <w:b/>
          <w:szCs w:val="20"/>
        </w:rPr>
      </w:pPr>
    </w:p>
    <w:p w:rsidR="00A50F11" w:rsidRPr="00C903F8" w:rsidRDefault="00A50F11" w:rsidP="00A50F11">
      <w:pPr>
        <w:rPr>
          <w:rFonts w:cs="Arial"/>
          <w:b/>
          <w:szCs w:val="20"/>
        </w:rPr>
        <w:sectPr w:rsidR="00A50F11" w:rsidRPr="00C903F8" w:rsidSect="0042206B">
          <w:headerReference w:type="default" r:id="rId47"/>
          <w:footerReference w:type="default" r:id="rId48"/>
          <w:footnotePr>
            <w:numRestart w:val="eachPage"/>
          </w:footnotePr>
          <w:type w:val="continuous"/>
          <w:pgSz w:w="11907" w:h="16840"/>
          <w:pgMar w:top="1418" w:right="1418" w:bottom="1418" w:left="1418" w:header="720" w:footer="720" w:gutter="0"/>
          <w:cols w:space="720"/>
          <w:docGrid w:linePitch="272"/>
        </w:sectPr>
      </w:pPr>
    </w:p>
    <w:p w:rsidR="00A50F11" w:rsidRPr="00C903F8" w:rsidRDefault="00A50F11" w:rsidP="00A50F11">
      <w:pPr>
        <w:tabs>
          <w:tab w:val="left" w:leader="dot" w:pos="1701"/>
        </w:tabs>
        <w:overflowPunct w:val="0"/>
        <w:adjustRightInd w:val="0"/>
        <w:spacing w:before="60" w:after="60"/>
        <w:ind w:left="0" w:firstLine="0"/>
        <w:jc w:val="center"/>
        <w:textAlignment w:val="baseline"/>
        <w:rPr>
          <w:rFonts w:cs="Arial"/>
          <w:szCs w:val="20"/>
        </w:rPr>
      </w:pPr>
      <w:r>
        <w:lastRenderedPageBreak/>
        <w:t>(pagina di sinistra)</w:t>
      </w:r>
    </w:p>
    <w:tbl>
      <w:tblPr>
        <w:tblW w:w="14178"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831"/>
        <w:gridCol w:w="831"/>
        <w:gridCol w:w="833"/>
        <w:gridCol w:w="1985"/>
        <w:gridCol w:w="1985"/>
        <w:gridCol w:w="1474"/>
        <w:gridCol w:w="2212"/>
        <w:gridCol w:w="1190"/>
        <w:gridCol w:w="1193"/>
        <w:gridCol w:w="1644"/>
      </w:tblGrid>
      <w:tr w:rsidR="00A50F11" w:rsidRPr="00C903F8" w:rsidTr="00FC0393">
        <w:tc>
          <w:tcPr>
            <w:tcW w:w="2495" w:type="dxa"/>
            <w:gridSpan w:val="3"/>
            <w:vAlign w:val="center"/>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Certificati di nave di navigazione interna</w:t>
            </w:r>
          </w:p>
        </w:tc>
        <w:tc>
          <w:tcPr>
            <w:tcW w:w="1985" w:type="dxa"/>
            <w:tcBorders>
              <w:bottom w:val="nil"/>
            </w:tcBorders>
            <w:vAlign w:val="center"/>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noProof/>
                <w:sz w:val="18"/>
              </w:rPr>
              <w:t>Nome della nave</w:t>
            </w:r>
          </w:p>
        </w:tc>
        <w:tc>
          <w:tcPr>
            <w:tcW w:w="1985" w:type="dxa"/>
            <w:tcBorders>
              <w:bottom w:val="nil"/>
            </w:tcBorders>
            <w:vAlign w:val="center"/>
          </w:tcPr>
          <w:p w:rsidR="00A50F11" w:rsidRPr="00C903F8" w:rsidRDefault="00A50F11" w:rsidP="006D37CC">
            <w:pPr>
              <w:tabs>
                <w:tab w:val="left" w:leader="dot" w:pos="1701"/>
              </w:tabs>
              <w:overflowPunct w:val="0"/>
              <w:adjustRightInd w:val="0"/>
              <w:spacing w:before="40"/>
              <w:ind w:left="0" w:firstLine="0"/>
              <w:jc w:val="center"/>
              <w:textAlignment w:val="baseline"/>
              <w:rPr>
                <w:rFonts w:cs="Arial"/>
                <w:sz w:val="18"/>
                <w:szCs w:val="18"/>
              </w:rPr>
            </w:pPr>
            <w:r>
              <w:rPr>
                <w:noProof/>
                <w:sz w:val="18"/>
              </w:rPr>
              <w:t xml:space="preserve">Numero unico europeo di identificazione delle navi </w:t>
            </w:r>
          </w:p>
        </w:tc>
        <w:tc>
          <w:tcPr>
            <w:tcW w:w="3686" w:type="dxa"/>
            <w:gridSpan w:val="2"/>
            <w:vAlign w:val="center"/>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Proprietario della nave</w:t>
            </w:r>
          </w:p>
        </w:tc>
        <w:tc>
          <w:tcPr>
            <w:tcW w:w="2383" w:type="dxa"/>
            <w:gridSpan w:val="2"/>
            <w:vAlign w:val="center"/>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Registro della nave</w:t>
            </w:r>
          </w:p>
        </w:tc>
        <w:tc>
          <w:tcPr>
            <w:tcW w:w="1644" w:type="dxa"/>
            <w:tcBorders>
              <w:bottom w:val="nil"/>
            </w:tcBorders>
            <w:vAlign w:val="center"/>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Tipo di nave</w:t>
            </w:r>
          </w:p>
        </w:tc>
      </w:tr>
      <w:tr w:rsidR="00A50F11" w:rsidRPr="00C903F8" w:rsidTr="00FC0393">
        <w:tc>
          <w:tcPr>
            <w:tcW w:w="831" w:type="dxa"/>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N.</w:t>
            </w:r>
          </w:p>
        </w:tc>
        <w:tc>
          <w:tcPr>
            <w:tcW w:w="831" w:type="dxa"/>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Giorno</w:t>
            </w:r>
          </w:p>
        </w:tc>
        <w:tc>
          <w:tcPr>
            <w:tcW w:w="833" w:type="dxa"/>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Mese</w:t>
            </w:r>
          </w:p>
        </w:tc>
        <w:tc>
          <w:tcPr>
            <w:tcW w:w="1985" w:type="dxa"/>
            <w:tcBorders>
              <w:top w:val="nil"/>
            </w:tcBorders>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p>
        </w:tc>
        <w:tc>
          <w:tcPr>
            <w:tcW w:w="1985" w:type="dxa"/>
            <w:tcBorders>
              <w:top w:val="nil"/>
            </w:tcBorders>
          </w:tcPr>
          <w:p w:rsidR="00A50F11" w:rsidRPr="00C903F8" w:rsidRDefault="006D37CC" w:rsidP="00FC0393">
            <w:pPr>
              <w:tabs>
                <w:tab w:val="left" w:leader="dot" w:pos="1701"/>
              </w:tabs>
              <w:overflowPunct w:val="0"/>
              <w:adjustRightInd w:val="0"/>
              <w:spacing w:after="40"/>
              <w:ind w:left="0" w:firstLine="0"/>
              <w:jc w:val="center"/>
              <w:textAlignment w:val="baseline"/>
              <w:rPr>
                <w:rFonts w:cs="Arial"/>
                <w:sz w:val="18"/>
                <w:szCs w:val="20"/>
              </w:rPr>
            </w:pPr>
            <w:r>
              <w:rPr>
                <w:noProof/>
                <w:sz w:val="18"/>
              </w:rPr>
              <w:t>.</w:t>
            </w:r>
          </w:p>
        </w:tc>
        <w:tc>
          <w:tcPr>
            <w:tcW w:w="1474" w:type="dxa"/>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Nome</w:t>
            </w:r>
          </w:p>
        </w:tc>
        <w:tc>
          <w:tcPr>
            <w:tcW w:w="2212" w:type="dxa"/>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Indirizzo</w:t>
            </w:r>
          </w:p>
        </w:tc>
        <w:tc>
          <w:tcPr>
            <w:tcW w:w="1190" w:type="dxa"/>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Luogo</w:t>
            </w:r>
          </w:p>
        </w:tc>
        <w:tc>
          <w:tcPr>
            <w:tcW w:w="1193" w:type="dxa"/>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N.</w:t>
            </w:r>
          </w:p>
        </w:tc>
        <w:tc>
          <w:tcPr>
            <w:tcW w:w="1644" w:type="dxa"/>
            <w:tcBorders>
              <w:top w:val="nil"/>
            </w:tcBorders>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p>
        </w:tc>
      </w:tr>
      <w:tr w:rsidR="00A50F11" w:rsidRPr="00C903F8" w:rsidTr="00FC0393">
        <w:tc>
          <w:tcPr>
            <w:tcW w:w="831" w:type="dxa"/>
          </w:tcPr>
          <w:p w:rsidR="00A50F11" w:rsidRPr="00C903F8" w:rsidRDefault="00A50F11" w:rsidP="00FC0393">
            <w:pPr>
              <w:tabs>
                <w:tab w:val="left" w:leader="dot" w:pos="1701"/>
              </w:tabs>
              <w:overflowPunct w:val="0"/>
              <w:adjustRightInd w:val="0"/>
              <w:ind w:left="0" w:firstLine="0"/>
              <w:jc w:val="center"/>
              <w:textAlignment w:val="baseline"/>
              <w:rPr>
                <w:rFonts w:cs="Arial"/>
                <w:sz w:val="18"/>
                <w:szCs w:val="20"/>
              </w:rPr>
            </w:pP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p>
        </w:tc>
        <w:tc>
          <w:tcPr>
            <w:tcW w:w="831" w:type="dxa"/>
          </w:tcPr>
          <w:p w:rsidR="00A50F11" w:rsidRPr="00C903F8" w:rsidRDefault="00A50F11" w:rsidP="00FC0393">
            <w:pPr>
              <w:tabs>
                <w:tab w:val="left" w:leader="dot" w:pos="1701"/>
              </w:tabs>
              <w:overflowPunct w:val="0"/>
              <w:adjustRightInd w:val="0"/>
              <w:ind w:left="0" w:firstLine="0"/>
              <w:jc w:val="center"/>
              <w:textAlignment w:val="baseline"/>
              <w:rPr>
                <w:rFonts w:cs="Arial"/>
                <w:sz w:val="18"/>
                <w:szCs w:val="20"/>
              </w:rPr>
            </w:pPr>
          </w:p>
        </w:tc>
        <w:tc>
          <w:tcPr>
            <w:tcW w:w="833" w:type="dxa"/>
          </w:tcPr>
          <w:p w:rsidR="00A50F11" w:rsidRPr="00C903F8" w:rsidRDefault="00A50F11" w:rsidP="00FC0393">
            <w:pPr>
              <w:tabs>
                <w:tab w:val="left" w:leader="dot" w:pos="1701"/>
              </w:tabs>
              <w:overflowPunct w:val="0"/>
              <w:adjustRightInd w:val="0"/>
              <w:ind w:left="0" w:firstLine="0"/>
              <w:jc w:val="center"/>
              <w:textAlignment w:val="baseline"/>
              <w:rPr>
                <w:rFonts w:cs="Arial"/>
                <w:sz w:val="18"/>
                <w:szCs w:val="20"/>
              </w:rPr>
            </w:pPr>
          </w:p>
        </w:tc>
        <w:tc>
          <w:tcPr>
            <w:tcW w:w="1985" w:type="dxa"/>
          </w:tcPr>
          <w:p w:rsidR="00A50F11" w:rsidRPr="00C903F8" w:rsidRDefault="00A50F11" w:rsidP="00FC0393">
            <w:pPr>
              <w:tabs>
                <w:tab w:val="left" w:leader="dot" w:pos="1701"/>
              </w:tabs>
              <w:overflowPunct w:val="0"/>
              <w:adjustRightInd w:val="0"/>
              <w:ind w:left="0" w:firstLine="0"/>
              <w:jc w:val="center"/>
              <w:textAlignment w:val="baseline"/>
              <w:rPr>
                <w:rFonts w:cs="Arial"/>
                <w:sz w:val="18"/>
                <w:szCs w:val="20"/>
              </w:rPr>
            </w:pPr>
          </w:p>
        </w:tc>
        <w:tc>
          <w:tcPr>
            <w:tcW w:w="1985" w:type="dxa"/>
          </w:tcPr>
          <w:p w:rsidR="00A50F11" w:rsidRPr="00C903F8" w:rsidRDefault="00A50F11" w:rsidP="00FC0393">
            <w:pPr>
              <w:tabs>
                <w:tab w:val="left" w:leader="dot" w:pos="1701"/>
              </w:tabs>
              <w:overflowPunct w:val="0"/>
              <w:adjustRightInd w:val="0"/>
              <w:ind w:left="0" w:firstLine="0"/>
              <w:jc w:val="center"/>
              <w:textAlignment w:val="baseline"/>
              <w:rPr>
                <w:rFonts w:cs="Arial"/>
                <w:sz w:val="18"/>
                <w:szCs w:val="20"/>
              </w:rPr>
            </w:pPr>
          </w:p>
        </w:tc>
        <w:tc>
          <w:tcPr>
            <w:tcW w:w="1474" w:type="dxa"/>
          </w:tcPr>
          <w:p w:rsidR="00A50F11" w:rsidRPr="00C903F8" w:rsidRDefault="00A50F11" w:rsidP="00FC0393">
            <w:pPr>
              <w:tabs>
                <w:tab w:val="left" w:leader="dot" w:pos="1701"/>
              </w:tabs>
              <w:overflowPunct w:val="0"/>
              <w:adjustRightInd w:val="0"/>
              <w:ind w:left="0" w:firstLine="0"/>
              <w:jc w:val="center"/>
              <w:textAlignment w:val="baseline"/>
              <w:rPr>
                <w:rFonts w:cs="Arial"/>
                <w:sz w:val="18"/>
                <w:szCs w:val="20"/>
              </w:rPr>
            </w:pPr>
          </w:p>
        </w:tc>
        <w:tc>
          <w:tcPr>
            <w:tcW w:w="2212" w:type="dxa"/>
          </w:tcPr>
          <w:p w:rsidR="00A50F11" w:rsidRPr="00C903F8" w:rsidRDefault="00A50F11" w:rsidP="00FC0393">
            <w:pPr>
              <w:tabs>
                <w:tab w:val="left" w:leader="dot" w:pos="1701"/>
              </w:tabs>
              <w:overflowPunct w:val="0"/>
              <w:adjustRightInd w:val="0"/>
              <w:ind w:left="0" w:firstLine="0"/>
              <w:jc w:val="center"/>
              <w:textAlignment w:val="baseline"/>
              <w:rPr>
                <w:rFonts w:cs="Arial"/>
                <w:sz w:val="18"/>
                <w:szCs w:val="20"/>
              </w:rPr>
            </w:pPr>
          </w:p>
        </w:tc>
        <w:tc>
          <w:tcPr>
            <w:tcW w:w="1190" w:type="dxa"/>
          </w:tcPr>
          <w:p w:rsidR="00A50F11" w:rsidRPr="00C903F8" w:rsidRDefault="00A50F11" w:rsidP="00FC0393">
            <w:pPr>
              <w:tabs>
                <w:tab w:val="left" w:leader="dot" w:pos="1701"/>
              </w:tabs>
              <w:overflowPunct w:val="0"/>
              <w:adjustRightInd w:val="0"/>
              <w:ind w:left="0" w:firstLine="0"/>
              <w:jc w:val="center"/>
              <w:textAlignment w:val="baseline"/>
              <w:rPr>
                <w:rFonts w:cs="Arial"/>
                <w:sz w:val="18"/>
                <w:szCs w:val="20"/>
              </w:rPr>
            </w:pPr>
          </w:p>
        </w:tc>
        <w:tc>
          <w:tcPr>
            <w:tcW w:w="1193" w:type="dxa"/>
          </w:tcPr>
          <w:p w:rsidR="00A50F11" w:rsidRPr="00C903F8" w:rsidRDefault="00A50F11" w:rsidP="00FC0393">
            <w:pPr>
              <w:tabs>
                <w:tab w:val="left" w:leader="dot" w:pos="1701"/>
              </w:tabs>
              <w:overflowPunct w:val="0"/>
              <w:adjustRightInd w:val="0"/>
              <w:ind w:left="0" w:firstLine="0"/>
              <w:jc w:val="center"/>
              <w:textAlignment w:val="baseline"/>
              <w:rPr>
                <w:rFonts w:cs="Arial"/>
                <w:sz w:val="18"/>
                <w:szCs w:val="20"/>
              </w:rPr>
            </w:pPr>
          </w:p>
        </w:tc>
        <w:tc>
          <w:tcPr>
            <w:tcW w:w="1644" w:type="dxa"/>
          </w:tcPr>
          <w:p w:rsidR="00A50F11" w:rsidRPr="00C903F8" w:rsidRDefault="00A50F11" w:rsidP="00FC0393">
            <w:pPr>
              <w:tabs>
                <w:tab w:val="left" w:leader="dot" w:pos="1701"/>
              </w:tabs>
              <w:overflowPunct w:val="0"/>
              <w:adjustRightInd w:val="0"/>
              <w:ind w:left="0" w:firstLine="0"/>
              <w:jc w:val="center"/>
              <w:textAlignment w:val="baseline"/>
              <w:rPr>
                <w:rFonts w:cs="Arial"/>
                <w:sz w:val="18"/>
                <w:szCs w:val="20"/>
              </w:rPr>
            </w:pPr>
          </w:p>
        </w:tc>
      </w:tr>
    </w:tbl>
    <w:p w:rsidR="00A50F11" w:rsidRPr="00C903F8" w:rsidRDefault="00A50F11" w:rsidP="00A50F11">
      <w:pPr>
        <w:tabs>
          <w:tab w:val="left" w:leader="dot" w:pos="1701"/>
        </w:tabs>
        <w:overflowPunct w:val="0"/>
        <w:adjustRightInd w:val="0"/>
        <w:ind w:left="0" w:firstLine="0"/>
        <w:jc w:val="left"/>
        <w:textAlignment w:val="baseline"/>
        <w:rPr>
          <w:rFonts w:cs="Arial"/>
          <w:szCs w:val="20"/>
        </w:rPr>
      </w:pPr>
    </w:p>
    <w:p w:rsidR="00A50F11" w:rsidRPr="00C903F8" w:rsidRDefault="00A50F11" w:rsidP="00A50F11">
      <w:pPr>
        <w:tabs>
          <w:tab w:val="left" w:leader="dot" w:pos="1701"/>
        </w:tabs>
        <w:overflowPunct w:val="0"/>
        <w:adjustRightInd w:val="0"/>
        <w:ind w:left="0" w:firstLine="0"/>
        <w:jc w:val="center"/>
        <w:textAlignment w:val="baseline"/>
        <w:rPr>
          <w:rFonts w:cs="Arial"/>
          <w:szCs w:val="20"/>
        </w:rPr>
      </w:pPr>
      <w:r>
        <w:br w:type="page"/>
      </w:r>
      <w:r>
        <w:lastRenderedPageBreak/>
        <w:t>(pagina di destra)</w:t>
      </w:r>
    </w:p>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190"/>
        <w:gridCol w:w="1190"/>
        <w:gridCol w:w="1192"/>
        <w:gridCol w:w="1757"/>
        <w:gridCol w:w="1758"/>
        <w:gridCol w:w="2948"/>
        <w:gridCol w:w="2325"/>
        <w:gridCol w:w="1758"/>
      </w:tblGrid>
      <w:tr w:rsidR="00A50F11" w:rsidRPr="00C903F8" w:rsidTr="00FC0393">
        <w:tc>
          <w:tcPr>
            <w:tcW w:w="3572" w:type="dxa"/>
            <w:gridSpan w:val="3"/>
            <w:vAlign w:val="center"/>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Portata lorda come dal certificato di stazza o dislocamento*)</w:t>
            </w:r>
          </w:p>
        </w:tc>
        <w:tc>
          <w:tcPr>
            <w:tcW w:w="3515" w:type="dxa"/>
            <w:gridSpan w:val="2"/>
            <w:vAlign w:val="center"/>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Zone o tratto di via navigabile interna,</w:t>
            </w:r>
            <w:r>
              <w:rPr>
                <w:rFonts w:cs="Arial"/>
                <w:sz w:val="18"/>
                <w:szCs w:val="20"/>
              </w:rPr>
              <w:br/>
            </w:r>
            <w:r>
              <w:rPr>
                <w:sz w:val="18"/>
              </w:rPr>
              <w:t>se del caso</w:t>
            </w:r>
          </w:p>
        </w:tc>
        <w:tc>
          <w:tcPr>
            <w:tcW w:w="2948" w:type="dxa"/>
            <w:tcBorders>
              <w:bottom w:val="nil"/>
            </w:tcBorders>
            <w:vAlign w:val="center"/>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 xml:space="preserve">Annotazioni relative a ispezioni periodiche e speciali, ritiro ed annullamento </w:t>
            </w:r>
          </w:p>
        </w:tc>
        <w:tc>
          <w:tcPr>
            <w:tcW w:w="2325" w:type="dxa"/>
            <w:tcBorders>
              <w:bottom w:val="nil"/>
            </w:tcBorders>
            <w:vAlign w:val="center"/>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rFonts w:cs="Arial"/>
                <w:sz w:val="18"/>
                <w:szCs w:val="20"/>
              </w:rPr>
              <w:br/>
            </w:r>
            <w:r>
              <w:rPr>
                <w:sz w:val="18"/>
              </w:rPr>
              <w:t xml:space="preserve">Certificato </w:t>
            </w:r>
          </w:p>
        </w:tc>
        <w:tc>
          <w:tcPr>
            <w:tcW w:w="1758" w:type="dxa"/>
            <w:tcBorders>
              <w:bottom w:val="nil"/>
            </w:tcBorders>
            <w:vAlign w:val="center"/>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rFonts w:cs="Arial"/>
                <w:sz w:val="18"/>
                <w:szCs w:val="20"/>
              </w:rPr>
              <w:br/>
            </w:r>
            <w:r>
              <w:rPr>
                <w:sz w:val="18"/>
              </w:rPr>
              <w:t xml:space="preserve">Osservazioni particolari </w:t>
            </w:r>
          </w:p>
        </w:tc>
      </w:tr>
      <w:tr w:rsidR="00A50F11" w:rsidRPr="00C903F8" w:rsidTr="00FC0393">
        <w:tc>
          <w:tcPr>
            <w:tcW w:w="1190" w:type="dxa"/>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data del certificato</w:t>
            </w:r>
          </w:p>
        </w:tc>
        <w:tc>
          <w:tcPr>
            <w:tcW w:w="1190" w:type="dxa"/>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marca di</w:t>
            </w:r>
            <w:r>
              <w:rPr>
                <w:rFonts w:cs="Arial"/>
                <w:sz w:val="18"/>
                <w:szCs w:val="20"/>
              </w:rPr>
              <w:br/>
            </w:r>
            <w:r>
              <w:rPr>
                <w:sz w:val="18"/>
              </w:rPr>
              <w:t>stazza</w:t>
            </w:r>
          </w:p>
        </w:tc>
        <w:tc>
          <w:tcPr>
            <w:tcW w:w="1192" w:type="dxa"/>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t o</w:t>
            </w:r>
            <w:r>
              <w:rPr>
                <w:rFonts w:cs="Arial"/>
                <w:sz w:val="18"/>
                <w:szCs w:val="20"/>
              </w:rPr>
              <w:br/>
            </w:r>
            <w:r>
              <w:rPr>
                <w:sz w:val="18"/>
              </w:rPr>
              <w:t>m</w:t>
            </w:r>
            <w:r>
              <w:rPr>
                <w:position w:val="4"/>
                <w:sz w:val="16"/>
                <w:vertAlign w:val="superscript"/>
              </w:rPr>
              <w:t>3</w:t>
            </w:r>
          </w:p>
        </w:tc>
        <w:tc>
          <w:tcPr>
            <w:tcW w:w="1757" w:type="dxa"/>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tra</w:t>
            </w:r>
          </w:p>
        </w:tc>
        <w:tc>
          <w:tcPr>
            <w:tcW w:w="1758" w:type="dxa"/>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e</w:t>
            </w:r>
          </w:p>
        </w:tc>
        <w:tc>
          <w:tcPr>
            <w:tcW w:w="2948" w:type="dxa"/>
            <w:tcBorders>
              <w:top w:val="nil"/>
            </w:tcBorders>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del certificato</w:t>
            </w:r>
          </w:p>
        </w:tc>
        <w:tc>
          <w:tcPr>
            <w:tcW w:w="2325" w:type="dxa"/>
            <w:tcBorders>
              <w:top w:val="nil"/>
            </w:tcBorders>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r>
              <w:rPr>
                <w:sz w:val="18"/>
              </w:rPr>
              <w:t>valido fino a</w:t>
            </w:r>
          </w:p>
        </w:tc>
        <w:tc>
          <w:tcPr>
            <w:tcW w:w="1758" w:type="dxa"/>
            <w:tcBorders>
              <w:top w:val="nil"/>
            </w:tcBorders>
          </w:tcPr>
          <w:p w:rsidR="00A50F11" w:rsidRPr="00C903F8" w:rsidRDefault="00A50F11" w:rsidP="00FC0393">
            <w:pPr>
              <w:tabs>
                <w:tab w:val="left" w:leader="dot" w:pos="1701"/>
              </w:tabs>
              <w:overflowPunct w:val="0"/>
              <w:adjustRightInd w:val="0"/>
              <w:spacing w:before="40" w:after="40"/>
              <w:ind w:left="0" w:firstLine="0"/>
              <w:jc w:val="center"/>
              <w:textAlignment w:val="baseline"/>
              <w:rPr>
                <w:rFonts w:cs="Arial"/>
                <w:sz w:val="18"/>
                <w:szCs w:val="20"/>
              </w:rPr>
            </w:pPr>
          </w:p>
        </w:tc>
      </w:tr>
      <w:tr w:rsidR="00A50F11" w:rsidRPr="00C903F8" w:rsidTr="00FC0393">
        <w:tc>
          <w:tcPr>
            <w:tcW w:w="1190" w:type="dxa"/>
          </w:tcPr>
          <w:p w:rsidR="00A50F11" w:rsidRPr="00C903F8" w:rsidRDefault="00A50F11" w:rsidP="00C92875">
            <w:pPr>
              <w:tabs>
                <w:tab w:val="left" w:leader="dot" w:pos="1701"/>
              </w:tabs>
              <w:overflowPunct w:val="0"/>
              <w:adjustRightInd w:val="0"/>
              <w:ind w:left="0" w:firstLine="0"/>
              <w:jc w:val="center"/>
              <w:textAlignment w:val="baseline"/>
              <w:rPr>
                <w:rFonts w:cs="Arial"/>
                <w:sz w:val="18"/>
                <w:szCs w:val="20"/>
              </w:rPr>
            </w:pP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r>
              <w:rPr>
                <w:rFonts w:cs="Arial"/>
                <w:sz w:val="18"/>
                <w:szCs w:val="20"/>
              </w:rPr>
              <w:br/>
            </w:r>
          </w:p>
        </w:tc>
        <w:tc>
          <w:tcPr>
            <w:tcW w:w="1190" w:type="dxa"/>
          </w:tcPr>
          <w:p w:rsidR="00A50F11" w:rsidRPr="00C903F8" w:rsidRDefault="00A50F11" w:rsidP="00FC0393">
            <w:pPr>
              <w:tabs>
                <w:tab w:val="left" w:leader="dot" w:pos="1701"/>
              </w:tabs>
              <w:overflowPunct w:val="0"/>
              <w:adjustRightInd w:val="0"/>
              <w:ind w:left="0" w:firstLine="0"/>
              <w:jc w:val="center"/>
              <w:textAlignment w:val="baseline"/>
              <w:rPr>
                <w:rFonts w:cs="Arial"/>
                <w:sz w:val="18"/>
                <w:szCs w:val="20"/>
              </w:rPr>
            </w:pPr>
          </w:p>
        </w:tc>
        <w:tc>
          <w:tcPr>
            <w:tcW w:w="1192" w:type="dxa"/>
          </w:tcPr>
          <w:p w:rsidR="00A50F11" w:rsidRPr="00C903F8" w:rsidRDefault="00A50F11" w:rsidP="00FC0393">
            <w:pPr>
              <w:tabs>
                <w:tab w:val="left" w:leader="dot" w:pos="1701"/>
              </w:tabs>
              <w:overflowPunct w:val="0"/>
              <w:adjustRightInd w:val="0"/>
              <w:ind w:left="0" w:firstLine="0"/>
              <w:jc w:val="center"/>
              <w:textAlignment w:val="baseline"/>
              <w:rPr>
                <w:rFonts w:cs="Arial"/>
                <w:sz w:val="18"/>
                <w:szCs w:val="20"/>
              </w:rPr>
            </w:pPr>
          </w:p>
        </w:tc>
        <w:tc>
          <w:tcPr>
            <w:tcW w:w="1757" w:type="dxa"/>
          </w:tcPr>
          <w:p w:rsidR="00A50F11" w:rsidRPr="00C903F8" w:rsidRDefault="00A50F11" w:rsidP="00FC0393">
            <w:pPr>
              <w:tabs>
                <w:tab w:val="left" w:leader="dot" w:pos="1701"/>
              </w:tabs>
              <w:overflowPunct w:val="0"/>
              <w:adjustRightInd w:val="0"/>
              <w:spacing w:before="120"/>
              <w:ind w:left="0" w:firstLine="0"/>
              <w:jc w:val="center"/>
              <w:textAlignment w:val="baseline"/>
              <w:rPr>
                <w:rFonts w:cs="Arial"/>
                <w:sz w:val="18"/>
                <w:szCs w:val="20"/>
              </w:rPr>
            </w:pPr>
          </w:p>
        </w:tc>
        <w:tc>
          <w:tcPr>
            <w:tcW w:w="1758" w:type="dxa"/>
          </w:tcPr>
          <w:p w:rsidR="00A50F11" w:rsidRPr="00C903F8" w:rsidRDefault="00A50F11" w:rsidP="00FC0393">
            <w:pPr>
              <w:tabs>
                <w:tab w:val="left" w:leader="dot" w:pos="1701"/>
              </w:tabs>
              <w:overflowPunct w:val="0"/>
              <w:adjustRightInd w:val="0"/>
              <w:spacing w:before="120"/>
              <w:ind w:left="0" w:firstLine="0"/>
              <w:jc w:val="center"/>
              <w:textAlignment w:val="baseline"/>
              <w:rPr>
                <w:rFonts w:cs="Arial"/>
                <w:sz w:val="18"/>
                <w:szCs w:val="20"/>
              </w:rPr>
            </w:pPr>
          </w:p>
        </w:tc>
        <w:tc>
          <w:tcPr>
            <w:tcW w:w="2948" w:type="dxa"/>
          </w:tcPr>
          <w:p w:rsidR="00A50F11" w:rsidRPr="00C903F8" w:rsidRDefault="00A50F11" w:rsidP="00FC0393">
            <w:pPr>
              <w:tabs>
                <w:tab w:val="left" w:leader="dot" w:pos="1701"/>
              </w:tabs>
              <w:overflowPunct w:val="0"/>
              <w:adjustRightInd w:val="0"/>
              <w:ind w:left="0" w:firstLine="0"/>
              <w:jc w:val="center"/>
              <w:textAlignment w:val="baseline"/>
              <w:rPr>
                <w:rFonts w:cs="Arial"/>
                <w:sz w:val="18"/>
                <w:szCs w:val="20"/>
              </w:rPr>
            </w:pPr>
          </w:p>
        </w:tc>
        <w:tc>
          <w:tcPr>
            <w:tcW w:w="2325" w:type="dxa"/>
          </w:tcPr>
          <w:p w:rsidR="00A50F11" w:rsidRPr="00C903F8" w:rsidRDefault="00A50F11" w:rsidP="00FC0393">
            <w:pPr>
              <w:tabs>
                <w:tab w:val="left" w:leader="dot" w:pos="1701"/>
              </w:tabs>
              <w:overflowPunct w:val="0"/>
              <w:adjustRightInd w:val="0"/>
              <w:ind w:left="0" w:firstLine="0"/>
              <w:jc w:val="center"/>
              <w:textAlignment w:val="baseline"/>
              <w:rPr>
                <w:rFonts w:cs="Arial"/>
                <w:sz w:val="18"/>
                <w:szCs w:val="20"/>
              </w:rPr>
            </w:pPr>
          </w:p>
        </w:tc>
        <w:tc>
          <w:tcPr>
            <w:tcW w:w="1758" w:type="dxa"/>
          </w:tcPr>
          <w:p w:rsidR="00A50F11" w:rsidRPr="00C903F8" w:rsidRDefault="00A50F11" w:rsidP="00FC0393">
            <w:pPr>
              <w:tabs>
                <w:tab w:val="left" w:leader="dot" w:pos="1701"/>
              </w:tabs>
              <w:overflowPunct w:val="0"/>
              <w:adjustRightInd w:val="0"/>
              <w:ind w:left="0" w:firstLine="0"/>
              <w:jc w:val="center"/>
              <w:textAlignment w:val="baseline"/>
              <w:rPr>
                <w:rFonts w:cs="Arial"/>
                <w:sz w:val="18"/>
                <w:szCs w:val="20"/>
              </w:rPr>
            </w:pPr>
          </w:p>
        </w:tc>
      </w:tr>
    </w:tbl>
    <w:p w:rsidR="00A50F11" w:rsidRPr="00C903F8" w:rsidRDefault="00A50F11" w:rsidP="00C92875">
      <w:pPr>
        <w:tabs>
          <w:tab w:val="left" w:pos="284"/>
          <w:tab w:val="left" w:leader="dot" w:pos="1701"/>
        </w:tabs>
        <w:overflowPunct w:val="0"/>
        <w:adjustRightInd w:val="0"/>
        <w:spacing w:before="60"/>
        <w:ind w:left="0" w:firstLine="0"/>
        <w:jc w:val="left"/>
        <w:textAlignment w:val="baseline"/>
        <w:rPr>
          <w:rFonts w:cs="Arial"/>
          <w:sz w:val="16"/>
          <w:szCs w:val="20"/>
        </w:rPr>
      </w:pPr>
      <w:r>
        <w:rPr>
          <w:sz w:val="18"/>
        </w:rPr>
        <w:t>*)</w:t>
      </w:r>
      <w:r>
        <w:tab/>
      </w:r>
      <w:r>
        <w:rPr>
          <w:sz w:val="16"/>
        </w:rPr>
        <w:t>Se il certificato di stazza non è disponibile, indicare una stima della portata lorda o del dislocamento.</w:t>
      </w:r>
    </w:p>
    <w:p w:rsidR="00C92875" w:rsidRDefault="00C92875">
      <w:pPr>
        <w:autoSpaceDE/>
        <w:autoSpaceDN/>
        <w:ind w:left="0" w:firstLine="0"/>
        <w:jc w:val="left"/>
        <w:rPr>
          <w:rFonts w:cs="Arial"/>
          <w:sz w:val="18"/>
          <w:szCs w:val="20"/>
        </w:rPr>
      </w:pPr>
      <w:r>
        <w:br w:type="page"/>
      </w:r>
    </w:p>
    <w:p w:rsidR="00402237" w:rsidRPr="00C903F8" w:rsidRDefault="00402237" w:rsidP="00C92875">
      <w:pPr>
        <w:tabs>
          <w:tab w:val="left" w:pos="284"/>
          <w:tab w:val="left" w:leader="dot" w:pos="1701"/>
        </w:tabs>
        <w:overflowPunct w:val="0"/>
        <w:adjustRightInd w:val="0"/>
        <w:ind w:left="0" w:firstLine="0"/>
        <w:jc w:val="left"/>
        <w:textAlignment w:val="baseline"/>
        <w:rPr>
          <w:rFonts w:cs="Arial"/>
          <w:sz w:val="18"/>
          <w:szCs w:val="20"/>
        </w:rPr>
      </w:pPr>
    </w:p>
    <w:p w:rsidR="00A50F11" w:rsidRPr="00C903F8" w:rsidRDefault="00A50F11" w:rsidP="00A50F11">
      <w:pPr>
        <w:tabs>
          <w:tab w:val="left" w:pos="284"/>
          <w:tab w:val="left" w:leader="dot" w:pos="1701"/>
        </w:tabs>
        <w:overflowPunct w:val="0"/>
        <w:adjustRightInd w:val="0"/>
        <w:ind w:left="0" w:firstLine="0"/>
        <w:jc w:val="left"/>
        <w:textAlignment w:val="baseline"/>
        <w:rPr>
          <w:rFonts w:cs="Arial"/>
          <w:sz w:val="18"/>
          <w:szCs w:val="20"/>
        </w:rPr>
      </w:pPr>
    </w:p>
    <w:p w:rsidR="00A50F11" w:rsidRPr="00C903F8" w:rsidRDefault="00A50F11" w:rsidP="00A50F11">
      <w:pPr>
        <w:tabs>
          <w:tab w:val="left" w:pos="284"/>
          <w:tab w:val="left" w:leader="dot" w:pos="1701"/>
        </w:tabs>
        <w:overflowPunct w:val="0"/>
        <w:adjustRightInd w:val="0"/>
        <w:ind w:left="0" w:firstLine="0"/>
        <w:jc w:val="left"/>
        <w:textAlignment w:val="baseline"/>
        <w:rPr>
          <w:rFonts w:cs="Arial"/>
          <w:sz w:val="18"/>
          <w:szCs w:val="20"/>
        </w:rPr>
      </w:pPr>
    </w:p>
    <w:p w:rsidR="009C13A9" w:rsidRPr="00C903F8" w:rsidRDefault="009C13A9" w:rsidP="00A50F11">
      <w:pPr>
        <w:tabs>
          <w:tab w:val="left" w:pos="284"/>
          <w:tab w:val="left" w:leader="dot" w:pos="1701"/>
        </w:tabs>
        <w:overflowPunct w:val="0"/>
        <w:adjustRightInd w:val="0"/>
        <w:ind w:left="0" w:firstLine="0"/>
        <w:jc w:val="left"/>
        <w:textAlignment w:val="baseline"/>
      </w:pPr>
    </w:p>
    <w:p w:rsidR="009C13A9" w:rsidRPr="00C903F8" w:rsidRDefault="009C13A9" w:rsidP="009C13A9">
      <w:pPr>
        <w:tabs>
          <w:tab w:val="center" w:pos="8222"/>
        </w:tabs>
      </w:pPr>
    </w:p>
    <w:p w:rsidR="009C13A9" w:rsidRPr="00C903F8" w:rsidRDefault="009C13A9" w:rsidP="009C13A9">
      <w:pPr>
        <w:tabs>
          <w:tab w:val="center" w:pos="7088"/>
          <w:tab w:val="left" w:leader="dot" w:pos="9072"/>
        </w:tabs>
        <w:ind w:left="284" w:hanging="284"/>
        <w:rPr>
          <w:sz w:val="18"/>
        </w:rPr>
      </w:pPr>
    </w:p>
    <w:p w:rsidR="009C13A9" w:rsidRPr="00C903F8" w:rsidRDefault="009C13A9" w:rsidP="009C13A9">
      <w:pPr>
        <w:tabs>
          <w:tab w:val="center" w:pos="7088"/>
          <w:tab w:val="left" w:leader="dot" w:pos="9072"/>
        </w:tabs>
        <w:ind w:left="284" w:hanging="284"/>
        <w:rPr>
          <w:sz w:val="18"/>
        </w:rPr>
        <w:sectPr w:rsidR="009C13A9" w:rsidRPr="00C903F8" w:rsidSect="00FB55E9">
          <w:headerReference w:type="default" r:id="rId49"/>
          <w:footerReference w:type="default" r:id="rId50"/>
          <w:footerReference w:type="first" r:id="rId51"/>
          <w:footnotePr>
            <w:numRestart w:val="eachPage"/>
          </w:footnotePr>
          <w:pgSz w:w="16840" w:h="11907" w:orient="landscape" w:code="9"/>
          <w:pgMar w:top="1418" w:right="1418" w:bottom="1418" w:left="1418" w:header="680" w:footer="680" w:gutter="0"/>
          <w:cols w:space="720"/>
          <w:docGrid w:linePitch="326"/>
        </w:sectPr>
      </w:pPr>
    </w:p>
    <w:p w:rsidR="009C13A9" w:rsidRPr="00C903F8" w:rsidRDefault="009C13A9" w:rsidP="00857FC2">
      <w:pPr>
        <w:pStyle w:val="ES-Titre1"/>
      </w:pPr>
      <w:bookmarkStart w:id="630" w:name="_Toc491854307"/>
      <w:bookmarkStart w:id="631" w:name="_Toc535500256"/>
      <w:r>
        <w:lastRenderedPageBreak/>
        <w:t>PARTE II</w:t>
      </w:r>
      <w:r>
        <w:br/>
        <w:t>REQUISITI SUPPLEMENTARI PER ATTREZZATURE SPECIFICHE UTILIZZATE A BORDO</w:t>
      </w:r>
      <w:bookmarkEnd w:id="630"/>
      <w:bookmarkEnd w:id="631"/>
    </w:p>
    <w:p w:rsidR="009C13A9" w:rsidRPr="00C903F8" w:rsidRDefault="009C13A9" w:rsidP="009C13A9">
      <w:pPr>
        <w:overflowPunct w:val="0"/>
        <w:adjustRightInd w:val="0"/>
        <w:ind w:left="0" w:firstLine="0"/>
        <w:jc w:val="left"/>
        <w:textAlignment w:val="baseline"/>
        <w:rPr>
          <w:rFonts w:cs="Arial"/>
          <w:szCs w:val="20"/>
        </w:rPr>
      </w:pPr>
    </w:p>
    <w:p w:rsidR="009C13A9" w:rsidRPr="00C903F8" w:rsidRDefault="009C13A9" w:rsidP="009C13A9">
      <w:pPr>
        <w:overflowPunct w:val="0"/>
        <w:adjustRightInd w:val="0"/>
        <w:ind w:left="0" w:firstLine="0"/>
        <w:jc w:val="left"/>
        <w:textAlignment w:val="baseline"/>
        <w:rPr>
          <w:rFonts w:cs="Arial"/>
          <w:szCs w:val="20"/>
        </w:rPr>
      </w:pPr>
    </w:p>
    <w:p w:rsidR="009C13A9" w:rsidRPr="00C903F8" w:rsidRDefault="009C13A9" w:rsidP="00857FC2">
      <w:pPr>
        <w:pStyle w:val="ES-Titre2"/>
        <w:pageBreakBefore w:val="0"/>
      </w:pPr>
      <w:bookmarkStart w:id="632" w:name="_Toc491854308"/>
      <w:bookmarkStart w:id="633" w:name="_Toc535500257"/>
      <w:r>
        <w:t>Allegato 4</w:t>
      </w:r>
      <w:r>
        <w:br/>
        <w:t>Segnali di sicurezza</w:t>
      </w:r>
      <w:bookmarkEnd w:id="632"/>
      <w:bookmarkEnd w:id="633"/>
    </w:p>
    <w:p w:rsidR="009C13A9" w:rsidRPr="00C903F8" w:rsidRDefault="009C13A9" w:rsidP="009C13A9">
      <w:pPr>
        <w:overflowPunct w:val="0"/>
        <w:adjustRightInd w:val="0"/>
        <w:ind w:left="0" w:firstLine="0"/>
        <w:jc w:val="left"/>
        <w:textAlignment w:val="baseline"/>
        <w:rPr>
          <w:rFonts w:cs="Arial"/>
          <w:szCs w:val="20"/>
        </w:rPr>
      </w:pPr>
    </w:p>
    <w:p w:rsidR="009C13A9" w:rsidRPr="00C903F8" w:rsidRDefault="009C13A9" w:rsidP="009C13A9">
      <w:pPr>
        <w:overflowPunct w:val="0"/>
        <w:adjustRightInd w:val="0"/>
        <w:ind w:left="0" w:firstLine="0"/>
        <w:jc w:val="left"/>
        <w:textAlignment w:val="baseline"/>
        <w:rPr>
          <w:rFonts w:cs="Arial"/>
          <w:szCs w:val="20"/>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9C13A9" w:rsidRPr="00C903F8" w:rsidTr="009C13A9">
        <w:tc>
          <w:tcPr>
            <w:tcW w:w="3331" w:type="dxa"/>
            <w:vAlign w:val="center"/>
          </w:tcPr>
          <w:p w:rsidR="009C13A9" w:rsidRPr="00C903F8" w:rsidRDefault="009C13A9" w:rsidP="009C13A9">
            <w:pPr>
              <w:tabs>
                <w:tab w:val="left" w:pos="454"/>
                <w:tab w:val="left" w:pos="907"/>
                <w:tab w:val="left" w:pos="1361"/>
                <w:tab w:val="left" w:pos="1814"/>
              </w:tabs>
              <w:overflowPunct w:val="0"/>
              <w:adjustRightInd w:val="0"/>
              <w:spacing w:before="240" w:line="240" w:lineRule="exact"/>
              <w:ind w:left="0" w:firstLine="0"/>
              <w:textAlignment w:val="baseline"/>
              <w:rPr>
                <w:rFonts w:cs="Arial"/>
                <w:noProof/>
                <w:szCs w:val="20"/>
              </w:rPr>
            </w:pPr>
            <w:r>
              <w:t>Figura 1</w:t>
            </w:r>
          </w:p>
          <w:p w:rsidR="009C13A9" w:rsidRPr="00C903F8" w:rsidRDefault="009C13A9" w:rsidP="009C13A9">
            <w:pPr>
              <w:overflowPunct w:val="0"/>
              <w:adjustRightInd w:val="0"/>
              <w:ind w:left="0" w:firstLine="0"/>
              <w:jc w:val="left"/>
              <w:textAlignment w:val="baseline"/>
              <w:rPr>
                <w:rFonts w:cs="Arial"/>
                <w:szCs w:val="20"/>
              </w:rPr>
            </w:pPr>
            <w:r>
              <w:t>Vietato l'accesso alle persone non autorizzate</w:t>
            </w:r>
          </w:p>
        </w:tc>
        <w:tc>
          <w:tcPr>
            <w:tcW w:w="2551" w:type="dxa"/>
          </w:tcPr>
          <w:p w:rsidR="009C13A9" w:rsidRPr="00C903F8" w:rsidRDefault="009C13A9" w:rsidP="009C13A9">
            <w:pPr>
              <w:overflowPunct w:val="0"/>
              <w:adjustRightInd w:val="0"/>
              <w:ind w:left="0" w:firstLine="0"/>
              <w:jc w:val="left"/>
              <w:textAlignment w:val="baseline"/>
              <w:rPr>
                <w:rFonts w:cs="Arial"/>
                <w:sz w:val="18"/>
                <w:szCs w:val="20"/>
              </w:rPr>
            </w:pPr>
          </w:p>
          <w:p w:rsidR="009C13A9" w:rsidRPr="00C903F8" w:rsidRDefault="002C0BA5" w:rsidP="009C13A9">
            <w:pPr>
              <w:overflowPunct w:val="0"/>
              <w:adjustRightInd w:val="0"/>
              <w:ind w:left="0" w:firstLine="0"/>
              <w:jc w:val="center"/>
              <w:textAlignment w:val="baseline"/>
              <w:rPr>
                <w:rFonts w:cs="Arial"/>
                <w:sz w:val="18"/>
                <w:szCs w:val="20"/>
              </w:rPr>
            </w:pPr>
            <w:r>
              <w:rPr>
                <w:rFonts w:cs="Arial"/>
                <w:b/>
                <w:noProof/>
                <w:szCs w:val="20"/>
                <w:lang w:val="en-GB" w:eastAsia="en-GB" w:bidi="ar-SA"/>
              </w:rPr>
              <w:drawing>
                <wp:inline distT="0" distB="0" distL="0" distR="0" wp14:anchorId="42454943" wp14:editId="77186295">
                  <wp:extent cx="1282700" cy="1282700"/>
                  <wp:effectExtent l="0" t="0" r="0" b="0"/>
                  <wp:docPr id="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C903F8" w:rsidRDefault="009C13A9" w:rsidP="009C13A9">
            <w:pPr>
              <w:overflowPunct w:val="0"/>
              <w:adjustRightInd w:val="0"/>
              <w:ind w:left="0" w:firstLine="0"/>
              <w:jc w:val="left"/>
              <w:textAlignment w:val="baseline"/>
              <w:rPr>
                <w:rFonts w:cs="Arial"/>
                <w:sz w:val="18"/>
                <w:szCs w:val="20"/>
              </w:rPr>
            </w:pPr>
          </w:p>
        </w:tc>
        <w:tc>
          <w:tcPr>
            <w:tcW w:w="3328" w:type="dxa"/>
            <w:vAlign w:val="center"/>
          </w:tcPr>
          <w:p w:rsidR="009C13A9" w:rsidRPr="00C903F8" w:rsidRDefault="009C13A9" w:rsidP="009C13A9">
            <w:pPr>
              <w:overflowPunct w:val="0"/>
              <w:adjustRightInd w:val="0"/>
              <w:ind w:left="0" w:firstLine="0"/>
              <w:jc w:val="left"/>
              <w:textAlignment w:val="baseline"/>
              <w:rPr>
                <w:rFonts w:cs="Arial"/>
                <w:szCs w:val="20"/>
              </w:rPr>
            </w:pPr>
            <w:r>
              <w:t>Colore: rosso / bianco / nero</w:t>
            </w:r>
          </w:p>
        </w:tc>
      </w:tr>
      <w:tr w:rsidR="009C13A9" w:rsidRPr="00C903F8" w:rsidTr="009C13A9">
        <w:tc>
          <w:tcPr>
            <w:tcW w:w="3331" w:type="dxa"/>
            <w:vAlign w:val="center"/>
          </w:tcPr>
          <w:p w:rsidR="009C13A9" w:rsidRPr="00C903F8" w:rsidRDefault="009C13A9" w:rsidP="009C13A9">
            <w:pPr>
              <w:overflowPunct w:val="0"/>
              <w:adjustRightInd w:val="0"/>
              <w:ind w:left="0" w:firstLine="0"/>
              <w:jc w:val="left"/>
              <w:textAlignment w:val="baseline"/>
              <w:rPr>
                <w:rFonts w:cs="Arial"/>
                <w:szCs w:val="20"/>
              </w:rPr>
            </w:pPr>
            <w:r>
              <w:t>Figura 2</w:t>
            </w:r>
          </w:p>
          <w:p w:rsidR="009C13A9" w:rsidRPr="00C903F8" w:rsidRDefault="009C13A9" w:rsidP="009C13A9">
            <w:pPr>
              <w:overflowPunct w:val="0"/>
              <w:adjustRightInd w:val="0"/>
              <w:ind w:left="0" w:firstLine="0"/>
              <w:jc w:val="left"/>
              <w:textAlignment w:val="baseline"/>
              <w:rPr>
                <w:rFonts w:cs="Arial"/>
                <w:szCs w:val="20"/>
              </w:rPr>
            </w:pPr>
            <w:r>
              <w:t>Vietato utilizzare fiamme libere e vietato fumare</w:t>
            </w:r>
          </w:p>
        </w:tc>
        <w:tc>
          <w:tcPr>
            <w:tcW w:w="2551" w:type="dxa"/>
          </w:tcPr>
          <w:p w:rsidR="009C13A9" w:rsidRPr="00C903F8" w:rsidRDefault="009C13A9" w:rsidP="009C13A9">
            <w:pPr>
              <w:overflowPunct w:val="0"/>
              <w:adjustRightInd w:val="0"/>
              <w:ind w:left="0" w:firstLine="0"/>
              <w:jc w:val="left"/>
              <w:textAlignment w:val="baseline"/>
              <w:rPr>
                <w:rFonts w:cs="Arial"/>
                <w:sz w:val="18"/>
                <w:szCs w:val="20"/>
              </w:rPr>
            </w:pPr>
          </w:p>
          <w:p w:rsidR="009C13A9" w:rsidRPr="00C903F8" w:rsidRDefault="002C0BA5" w:rsidP="009C13A9">
            <w:pPr>
              <w:overflowPunct w:val="0"/>
              <w:adjustRightInd w:val="0"/>
              <w:ind w:left="0" w:firstLine="0"/>
              <w:jc w:val="center"/>
              <w:textAlignment w:val="baseline"/>
              <w:rPr>
                <w:rFonts w:cs="Arial"/>
                <w:sz w:val="18"/>
                <w:szCs w:val="20"/>
              </w:rPr>
            </w:pPr>
            <w:r>
              <w:rPr>
                <w:rFonts w:cs="Arial"/>
                <w:noProof/>
                <w:szCs w:val="20"/>
                <w:lang w:val="en-GB" w:eastAsia="en-GB" w:bidi="ar-SA"/>
              </w:rPr>
              <w:drawing>
                <wp:inline distT="0" distB="0" distL="0" distR="0" wp14:anchorId="7D8AE6C3" wp14:editId="54C3B19D">
                  <wp:extent cx="1282700" cy="12827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C903F8" w:rsidRDefault="009C13A9" w:rsidP="009C13A9">
            <w:pPr>
              <w:overflowPunct w:val="0"/>
              <w:adjustRightInd w:val="0"/>
              <w:ind w:left="0" w:firstLine="0"/>
              <w:jc w:val="left"/>
              <w:textAlignment w:val="baseline"/>
              <w:rPr>
                <w:rFonts w:cs="Arial"/>
                <w:sz w:val="18"/>
                <w:szCs w:val="20"/>
              </w:rPr>
            </w:pPr>
          </w:p>
        </w:tc>
        <w:tc>
          <w:tcPr>
            <w:tcW w:w="3328" w:type="dxa"/>
            <w:vAlign w:val="center"/>
          </w:tcPr>
          <w:p w:rsidR="009C13A9" w:rsidRPr="00C903F8" w:rsidRDefault="009C13A9" w:rsidP="009C13A9">
            <w:pPr>
              <w:overflowPunct w:val="0"/>
              <w:adjustRightInd w:val="0"/>
              <w:ind w:left="0" w:firstLine="0"/>
              <w:jc w:val="left"/>
              <w:textAlignment w:val="baseline"/>
              <w:rPr>
                <w:rFonts w:cs="Arial"/>
                <w:szCs w:val="20"/>
              </w:rPr>
            </w:pPr>
            <w:r>
              <w:t>Colore: rosso / bianco / nero</w:t>
            </w:r>
          </w:p>
        </w:tc>
      </w:tr>
      <w:tr w:rsidR="009C13A9" w:rsidRPr="00C903F8" w:rsidTr="009C13A9">
        <w:tc>
          <w:tcPr>
            <w:tcW w:w="3331" w:type="dxa"/>
            <w:vAlign w:val="center"/>
          </w:tcPr>
          <w:p w:rsidR="009C13A9" w:rsidRPr="00C903F8" w:rsidRDefault="009C13A9" w:rsidP="009C13A9">
            <w:pPr>
              <w:tabs>
                <w:tab w:val="left" w:pos="454"/>
                <w:tab w:val="left" w:pos="907"/>
                <w:tab w:val="left" w:pos="1361"/>
                <w:tab w:val="left" w:pos="1814"/>
              </w:tabs>
              <w:overflowPunct w:val="0"/>
              <w:adjustRightInd w:val="0"/>
              <w:spacing w:before="240" w:line="240" w:lineRule="exact"/>
              <w:ind w:left="0" w:firstLine="0"/>
              <w:textAlignment w:val="baseline"/>
              <w:rPr>
                <w:rFonts w:cs="Arial"/>
                <w:noProof/>
                <w:szCs w:val="20"/>
              </w:rPr>
            </w:pPr>
            <w:r>
              <w:t>Figura 3</w:t>
            </w:r>
          </w:p>
          <w:p w:rsidR="009C13A9" w:rsidRPr="00C903F8" w:rsidRDefault="009C13A9" w:rsidP="009C13A9">
            <w:pPr>
              <w:overflowPunct w:val="0"/>
              <w:adjustRightInd w:val="0"/>
              <w:ind w:left="0" w:firstLine="0"/>
              <w:jc w:val="left"/>
              <w:textAlignment w:val="baseline"/>
              <w:rPr>
                <w:rFonts w:cs="Arial"/>
                <w:szCs w:val="20"/>
              </w:rPr>
            </w:pPr>
            <w:r>
              <w:t>Estintore</w:t>
            </w:r>
          </w:p>
        </w:tc>
        <w:tc>
          <w:tcPr>
            <w:tcW w:w="2551" w:type="dxa"/>
          </w:tcPr>
          <w:p w:rsidR="009C13A9" w:rsidRPr="00C903F8" w:rsidRDefault="009C13A9" w:rsidP="009C13A9">
            <w:pPr>
              <w:overflowPunct w:val="0"/>
              <w:adjustRightInd w:val="0"/>
              <w:ind w:left="0" w:firstLine="0"/>
              <w:jc w:val="left"/>
              <w:textAlignment w:val="baseline"/>
              <w:rPr>
                <w:rFonts w:cs="Arial"/>
                <w:sz w:val="18"/>
                <w:szCs w:val="20"/>
              </w:rPr>
            </w:pPr>
          </w:p>
          <w:p w:rsidR="009C13A9" w:rsidRPr="00C903F8" w:rsidRDefault="002C0BA5" w:rsidP="009C13A9">
            <w:pPr>
              <w:overflowPunct w:val="0"/>
              <w:adjustRightInd w:val="0"/>
              <w:ind w:left="0" w:firstLine="0"/>
              <w:jc w:val="center"/>
              <w:textAlignment w:val="baseline"/>
              <w:rPr>
                <w:rFonts w:cs="Arial"/>
                <w:sz w:val="18"/>
                <w:szCs w:val="20"/>
              </w:rPr>
            </w:pPr>
            <w:r>
              <w:rPr>
                <w:rFonts w:cs="Arial"/>
                <w:noProof/>
                <w:szCs w:val="20"/>
                <w:lang w:val="en-GB" w:eastAsia="en-GB" w:bidi="ar-SA"/>
              </w:rPr>
              <w:drawing>
                <wp:inline distT="0" distB="0" distL="0" distR="0" wp14:anchorId="7281A7BA" wp14:editId="730C86A6">
                  <wp:extent cx="1282700" cy="1282700"/>
                  <wp:effectExtent l="0" t="0" r="0" b="0"/>
                  <wp:docPr id="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C903F8" w:rsidRDefault="009C13A9" w:rsidP="009C13A9">
            <w:pPr>
              <w:overflowPunct w:val="0"/>
              <w:adjustRightInd w:val="0"/>
              <w:ind w:left="0" w:firstLine="0"/>
              <w:jc w:val="left"/>
              <w:textAlignment w:val="baseline"/>
              <w:rPr>
                <w:rFonts w:cs="Arial"/>
                <w:sz w:val="18"/>
                <w:szCs w:val="20"/>
              </w:rPr>
            </w:pPr>
          </w:p>
        </w:tc>
        <w:tc>
          <w:tcPr>
            <w:tcW w:w="3328" w:type="dxa"/>
            <w:vAlign w:val="center"/>
          </w:tcPr>
          <w:p w:rsidR="009C13A9" w:rsidRPr="00C903F8" w:rsidRDefault="009C13A9" w:rsidP="009C13A9">
            <w:pPr>
              <w:overflowPunct w:val="0"/>
              <w:adjustRightInd w:val="0"/>
              <w:ind w:left="0" w:firstLine="0"/>
              <w:jc w:val="left"/>
              <w:textAlignment w:val="baseline"/>
              <w:rPr>
                <w:rFonts w:cs="Arial"/>
                <w:szCs w:val="20"/>
              </w:rPr>
            </w:pPr>
            <w:r>
              <w:t>Colore: rosso / bianco</w:t>
            </w:r>
          </w:p>
        </w:tc>
      </w:tr>
      <w:tr w:rsidR="009C13A9" w:rsidRPr="00C903F8" w:rsidTr="009C13A9">
        <w:tc>
          <w:tcPr>
            <w:tcW w:w="3331" w:type="dxa"/>
            <w:vAlign w:val="center"/>
          </w:tcPr>
          <w:p w:rsidR="009C13A9" w:rsidRPr="00C903F8"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rPr>
            </w:pPr>
            <w:r>
              <w:t>Figura 4</w:t>
            </w:r>
          </w:p>
          <w:p w:rsidR="009C13A9" w:rsidRPr="00C903F8" w:rsidRDefault="009C13A9" w:rsidP="009C13A9">
            <w:pPr>
              <w:overflowPunct w:val="0"/>
              <w:adjustRightInd w:val="0"/>
              <w:ind w:left="0" w:firstLine="0"/>
              <w:jc w:val="left"/>
              <w:textAlignment w:val="baseline"/>
              <w:rPr>
                <w:rFonts w:cs="Arial"/>
                <w:szCs w:val="20"/>
              </w:rPr>
            </w:pPr>
            <w:r>
              <w:t>Avvertimento di pericolo generico</w:t>
            </w:r>
          </w:p>
        </w:tc>
        <w:tc>
          <w:tcPr>
            <w:tcW w:w="2551" w:type="dxa"/>
          </w:tcPr>
          <w:p w:rsidR="009C13A9" w:rsidRPr="00C903F8" w:rsidRDefault="009C13A9" w:rsidP="009C13A9">
            <w:pPr>
              <w:overflowPunct w:val="0"/>
              <w:adjustRightInd w:val="0"/>
              <w:ind w:left="0" w:firstLine="0"/>
              <w:jc w:val="left"/>
              <w:textAlignment w:val="baseline"/>
              <w:rPr>
                <w:rFonts w:cs="Arial"/>
                <w:sz w:val="18"/>
                <w:szCs w:val="20"/>
              </w:rPr>
            </w:pPr>
          </w:p>
          <w:p w:rsidR="009C13A9" w:rsidRPr="00C903F8" w:rsidRDefault="002C0BA5" w:rsidP="009C13A9">
            <w:pPr>
              <w:overflowPunct w:val="0"/>
              <w:adjustRightInd w:val="0"/>
              <w:ind w:left="0" w:firstLine="0"/>
              <w:jc w:val="center"/>
              <w:textAlignment w:val="baseline"/>
              <w:rPr>
                <w:rFonts w:cs="Arial"/>
                <w:sz w:val="18"/>
                <w:szCs w:val="20"/>
              </w:rPr>
            </w:pPr>
            <w:r>
              <w:rPr>
                <w:rFonts w:cs="Arial"/>
                <w:noProof/>
                <w:szCs w:val="20"/>
                <w:lang w:val="en-GB" w:eastAsia="en-GB" w:bidi="ar-SA"/>
              </w:rPr>
              <w:drawing>
                <wp:inline distT="0" distB="0" distL="0" distR="0" wp14:anchorId="429686B7" wp14:editId="23BAF06D">
                  <wp:extent cx="1460500" cy="1282700"/>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460500" cy="1282700"/>
                          </a:xfrm>
                          <a:prstGeom prst="rect">
                            <a:avLst/>
                          </a:prstGeom>
                          <a:noFill/>
                          <a:ln>
                            <a:noFill/>
                          </a:ln>
                        </pic:spPr>
                      </pic:pic>
                    </a:graphicData>
                  </a:graphic>
                </wp:inline>
              </w:drawing>
            </w:r>
          </w:p>
          <w:p w:rsidR="009C13A9" w:rsidRPr="00C903F8" w:rsidRDefault="009C13A9" w:rsidP="009C13A9">
            <w:pPr>
              <w:overflowPunct w:val="0"/>
              <w:adjustRightInd w:val="0"/>
              <w:ind w:left="0" w:firstLine="0"/>
              <w:jc w:val="left"/>
              <w:textAlignment w:val="baseline"/>
              <w:rPr>
                <w:rFonts w:cs="Arial"/>
                <w:sz w:val="18"/>
                <w:szCs w:val="20"/>
              </w:rPr>
            </w:pPr>
          </w:p>
        </w:tc>
        <w:tc>
          <w:tcPr>
            <w:tcW w:w="3328" w:type="dxa"/>
            <w:vAlign w:val="center"/>
          </w:tcPr>
          <w:p w:rsidR="009C13A9" w:rsidRPr="00C903F8" w:rsidRDefault="009C13A9" w:rsidP="009C13A9">
            <w:pPr>
              <w:overflowPunct w:val="0"/>
              <w:adjustRightInd w:val="0"/>
              <w:ind w:left="0" w:firstLine="0"/>
              <w:jc w:val="left"/>
              <w:textAlignment w:val="baseline"/>
              <w:rPr>
                <w:rFonts w:cs="Arial"/>
                <w:szCs w:val="20"/>
              </w:rPr>
            </w:pPr>
            <w:r>
              <w:t>Colore: nero / giallo</w:t>
            </w:r>
          </w:p>
        </w:tc>
      </w:tr>
    </w:tbl>
    <w:p w:rsidR="009C13A9" w:rsidRPr="00C903F8" w:rsidRDefault="009C13A9" w:rsidP="009C13A9">
      <w:pPr>
        <w:overflowPunct w:val="0"/>
        <w:adjustRightInd w:val="0"/>
        <w:ind w:left="0" w:firstLine="0"/>
        <w:jc w:val="left"/>
        <w:textAlignment w:val="baseline"/>
        <w:rPr>
          <w:rFonts w:cs="Arial"/>
          <w:szCs w:val="20"/>
        </w:rPr>
      </w:pPr>
    </w:p>
    <w:p w:rsidR="009C13A9" w:rsidRPr="00C903F8" w:rsidRDefault="009C13A9" w:rsidP="009C13A9">
      <w:pPr>
        <w:overflowPunct w:val="0"/>
        <w:adjustRightInd w:val="0"/>
        <w:ind w:left="0" w:firstLine="0"/>
        <w:jc w:val="left"/>
        <w:textAlignment w:val="baseline"/>
        <w:rPr>
          <w:rFonts w:cs="Arial"/>
          <w:szCs w:val="20"/>
        </w:rPr>
      </w:pPr>
    </w:p>
    <w:p w:rsidR="009C13A9" w:rsidRPr="00C903F8" w:rsidRDefault="009C13A9" w:rsidP="009C13A9">
      <w:pPr>
        <w:overflowPunct w:val="0"/>
        <w:adjustRightInd w:val="0"/>
        <w:ind w:left="0" w:firstLine="0"/>
        <w:jc w:val="left"/>
        <w:textAlignment w:val="baseline"/>
        <w:rPr>
          <w:rFonts w:cs="Arial"/>
          <w:szCs w:val="20"/>
        </w:rPr>
      </w:pPr>
    </w:p>
    <w:p w:rsidR="009C13A9" w:rsidRPr="00C903F8" w:rsidRDefault="009C13A9" w:rsidP="009C13A9">
      <w:pPr>
        <w:overflowPunct w:val="0"/>
        <w:adjustRightInd w:val="0"/>
        <w:ind w:left="0" w:firstLine="0"/>
        <w:jc w:val="left"/>
        <w:textAlignment w:val="baseline"/>
        <w:rPr>
          <w:rFonts w:cs="Arial"/>
          <w:szCs w:val="20"/>
        </w:rPr>
      </w:pPr>
      <w:r>
        <w:br w:type="page"/>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9C13A9" w:rsidRPr="00C903F8" w:rsidTr="009C13A9">
        <w:tc>
          <w:tcPr>
            <w:tcW w:w="3331" w:type="dxa"/>
            <w:vAlign w:val="center"/>
          </w:tcPr>
          <w:p w:rsidR="009C13A9" w:rsidRPr="00C903F8"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rPr>
            </w:pPr>
            <w:r>
              <w:lastRenderedPageBreak/>
              <w:t>Figura 5</w:t>
            </w:r>
          </w:p>
          <w:p w:rsidR="009C13A9" w:rsidRPr="00C903F8" w:rsidRDefault="009C13A9" w:rsidP="009C13A9">
            <w:pPr>
              <w:overflowPunct w:val="0"/>
              <w:adjustRightInd w:val="0"/>
              <w:ind w:left="0" w:firstLine="0"/>
              <w:jc w:val="left"/>
              <w:textAlignment w:val="baseline"/>
              <w:rPr>
                <w:rFonts w:cs="Arial"/>
                <w:szCs w:val="20"/>
              </w:rPr>
            </w:pPr>
            <w:r>
              <w:t>Manichetta antincendio</w:t>
            </w:r>
          </w:p>
        </w:tc>
        <w:tc>
          <w:tcPr>
            <w:tcW w:w="2551" w:type="dxa"/>
          </w:tcPr>
          <w:p w:rsidR="009C13A9" w:rsidRPr="00C903F8" w:rsidRDefault="009C13A9" w:rsidP="009C13A9">
            <w:pPr>
              <w:overflowPunct w:val="0"/>
              <w:adjustRightInd w:val="0"/>
              <w:ind w:left="0" w:firstLine="0"/>
              <w:jc w:val="left"/>
              <w:textAlignment w:val="baseline"/>
              <w:rPr>
                <w:rFonts w:cs="Arial"/>
                <w:sz w:val="18"/>
                <w:szCs w:val="20"/>
              </w:rPr>
            </w:pPr>
          </w:p>
          <w:p w:rsidR="009C13A9" w:rsidRPr="00C903F8" w:rsidRDefault="002C0BA5" w:rsidP="009C13A9">
            <w:pPr>
              <w:overflowPunct w:val="0"/>
              <w:adjustRightInd w:val="0"/>
              <w:ind w:left="0" w:firstLine="0"/>
              <w:jc w:val="center"/>
              <w:textAlignment w:val="baseline"/>
              <w:rPr>
                <w:rFonts w:cs="Arial"/>
                <w:sz w:val="18"/>
                <w:szCs w:val="20"/>
              </w:rPr>
            </w:pPr>
            <w:r>
              <w:rPr>
                <w:rFonts w:cs="Arial"/>
                <w:noProof/>
                <w:szCs w:val="20"/>
                <w:lang w:val="en-GB" w:eastAsia="en-GB" w:bidi="ar-SA"/>
              </w:rPr>
              <w:drawing>
                <wp:inline distT="0" distB="0" distL="0" distR="0" wp14:anchorId="55A6462F" wp14:editId="66DF68F1">
                  <wp:extent cx="1282700" cy="12827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C903F8" w:rsidRDefault="009C13A9" w:rsidP="009C13A9">
            <w:pPr>
              <w:overflowPunct w:val="0"/>
              <w:adjustRightInd w:val="0"/>
              <w:ind w:left="0" w:firstLine="0"/>
              <w:jc w:val="left"/>
              <w:textAlignment w:val="baseline"/>
              <w:rPr>
                <w:rFonts w:cs="Arial"/>
                <w:sz w:val="18"/>
                <w:szCs w:val="20"/>
              </w:rPr>
            </w:pPr>
          </w:p>
        </w:tc>
        <w:tc>
          <w:tcPr>
            <w:tcW w:w="3328" w:type="dxa"/>
            <w:vAlign w:val="center"/>
          </w:tcPr>
          <w:p w:rsidR="009C13A9" w:rsidRPr="00C903F8" w:rsidRDefault="009C13A9" w:rsidP="009C13A9">
            <w:pPr>
              <w:overflowPunct w:val="0"/>
              <w:adjustRightInd w:val="0"/>
              <w:ind w:left="0" w:firstLine="0"/>
              <w:jc w:val="left"/>
              <w:textAlignment w:val="baseline"/>
              <w:rPr>
                <w:rFonts w:cs="Arial"/>
                <w:szCs w:val="20"/>
              </w:rPr>
            </w:pPr>
            <w:r>
              <w:t>Colore: rosso / bianco</w:t>
            </w:r>
          </w:p>
        </w:tc>
      </w:tr>
      <w:tr w:rsidR="009C13A9" w:rsidRPr="00C903F8" w:rsidTr="009C13A9">
        <w:tc>
          <w:tcPr>
            <w:tcW w:w="3331" w:type="dxa"/>
            <w:vAlign w:val="center"/>
          </w:tcPr>
          <w:p w:rsidR="009C13A9" w:rsidRPr="00C903F8"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rPr>
            </w:pPr>
            <w:r>
              <w:t>Figura 6</w:t>
            </w:r>
          </w:p>
          <w:p w:rsidR="009C13A9" w:rsidRPr="00C903F8" w:rsidRDefault="009C13A9" w:rsidP="009C13A9">
            <w:pPr>
              <w:overflowPunct w:val="0"/>
              <w:adjustRightInd w:val="0"/>
              <w:ind w:left="0" w:firstLine="0"/>
              <w:jc w:val="left"/>
              <w:textAlignment w:val="baseline"/>
              <w:rPr>
                <w:rFonts w:cs="Arial"/>
                <w:szCs w:val="20"/>
              </w:rPr>
            </w:pPr>
            <w:r>
              <w:t>Impianto antincendio</w:t>
            </w:r>
          </w:p>
        </w:tc>
        <w:tc>
          <w:tcPr>
            <w:tcW w:w="2551" w:type="dxa"/>
          </w:tcPr>
          <w:p w:rsidR="009C13A9" w:rsidRPr="00C903F8" w:rsidRDefault="009C13A9" w:rsidP="009C13A9">
            <w:pPr>
              <w:overflowPunct w:val="0"/>
              <w:adjustRightInd w:val="0"/>
              <w:ind w:left="0" w:firstLine="0"/>
              <w:jc w:val="left"/>
              <w:textAlignment w:val="baseline"/>
              <w:rPr>
                <w:rFonts w:cs="Arial"/>
                <w:sz w:val="18"/>
                <w:szCs w:val="20"/>
              </w:rPr>
            </w:pPr>
          </w:p>
          <w:p w:rsidR="009C13A9" w:rsidRPr="00C903F8" w:rsidRDefault="002C0BA5" w:rsidP="009C13A9">
            <w:pPr>
              <w:overflowPunct w:val="0"/>
              <w:adjustRightInd w:val="0"/>
              <w:ind w:left="0" w:firstLine="0"/>
              <w:jc w:val="center"/>
              <w:textAlignment w:val="baseline"/>
              <w:rPr>
                <w:rFonts w:cs="Arial"/>
                <w:sz w:val="18"/>
                <w:szCs w:val="20"/>
              </w:rPr>
            </w:pPr>
            <w:r>
              <w:rPr>
                <w:rFonts w:cs="Arial"/>
                <w:noProof/>
                <w:szCs w:val="20"/>
                <w:lang w:val="en-GB" w:eastAsia="en-GB" w:bidi="ar-SA"/>
              </w:rPr>
              <w:drawing>
                <wp:inline distT="0" distB="0" distL="0" distR="0" wp14:anchorId="23C9C6A9" wp14:editId="0ED70475">
                  <wp:extent cx="1282700" cy="12827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C903F8" w:rsidRDefault="009C13A9" w:rsidP="009C13A9">
            <w:pPr>
              <w:overflowPunct w:val="0"/>
              <w:adjustRightInd w:val="0"/>
              <w:ind w:left="0" w:firstLine="0"/>
              <w:jc w:val="left"/>
              <w:textAlignment w:val="baseline"/>
              <w:rPr>
                <w:rFonts w:cs="Arial"/>
                <w:sz w:val="18"/>
                <w:szCs w:val="20"/>
              </w:rPr>
            </w:pPr>
          </w:p>
        </w:tc>
        <w:tc>
          <w:tcPr>
            <w:tcW w:w="3328" w:type="dxa"/>
            <w:vAlign w:val="center"/>
          </w:tcPr>
          <w:p w:rsidR="009C13A9" w:rsidRPr="00C903F8" w:rsidRDefault="009C13A9" w:rsidP="009C13A9">
            <w:pPr>
              <w:overflowPunct w:val="0"/>
              <w:adjustRightInd w:val="0"/>
              <w:ind w:left="0" w:firstLine="0"/>
              <w:jc w:val="left"/>
              <w:textAlignment w:val="baseline"/>
              <w:rPr>
                <w:rFonts w:cs="Arial"/>
                <w:szCs w:val="20"/>
              </w:rPr>
            </w:pPr>
            <w:r>
              <w:t>Colore: rosso / bianco</w:t>
            </w:r>
          </w:p>
        </w:tc>
      </w:tr>
      <w:tr w:rsidR="009C13A9" w:rsidRPr="00C903F8" w:rsidTr="009C13A9">
        <w:tc>
          <w:tcPr>
            <w:tcW w:w="3331" w:type="dxa"/>
            <w:vAlign w:val="center"/>
          </w:tcPr>
          <w:p w:rsidR="009C13A9" w:rsidRPr="00C903F8"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rPr>
            </w:pPr>
            <w:r>
              <w:t>Figura 7</w:t>
            </w:r>
          </w:p>
          <w:p w:rsidR="009C13A9" w:rsidRPr="00C903F8" w:rsidRDefault="009C13A9" w:rsidP="009C13A9">
            <w:pPr>
              <w:overflowPunct w:val="0"/>
              <w:adjustRightInd w:val="0"/>
              <w:ind w:left="0" w:firstLine="0"/>
              <w:jc w:val="left"/>
              <w:textAlignment w:val="baseline"/>
              <w:rPr>
                <w:rFonts w:cs="Arial"/>
                <w:szCs w:val="20"/>
              </w:rPr>
            </w:pPr>
            <w:r>
              <w:t>Indossare apparecchi di protezione auricolare</w:t>
            </w:r>
          </w:p>
        </w:tc>
        <w:tc>
          <w:tcPr>
            <w:tcW w:w="2551" w:type="dxa"/>
          </w:tcPr>
          <w:p w:rsidR="009C13A9" w:rsidRPr="00C903F8" w:rsidRDefault="009C13A9" w:rsidP="009C13A9">
            <w:pPr>
              <w:overflowPunct w:val="0"/>
              <w:adjustRightInd w:val="0"/>
              <w:ind w:left="0" w:firstLine="0"/>
              <w:jc w:val="left"/>
              <w:textAlignment w:val="baseline"/>
              <w:rPr>
                <w:rFonts w:cs="Arial"/>
                <w:sz w:val="18"/>
                <w:szCs w:val="20"/>
              </w:rPr>
            </w:pPr>
          </w:p>
          <w:p w:rsidR="009C13A9" w:rsidRPr="00C903F8" w:rsidRDefault="002C0BA5" w:rsidP="009C13A9">
            <w:pPr>
              <w:overflowPunct w:val="0"/>
              <w:adjustRightInd w:val="0"/>
              <w:ind w:left="0" w:firstLine="0"/>
              <w:jc w:val="center"/>
              <w:textAlignment w:val="baseline"/>
              <w:rPr>
                <w:rFonts w:cs="Arial"/>
                <w:sz w:val="18"/>
                <w:szCs w:val="20"/>
              </w:rPr>
            </w:pPr>
            <w:r>
              <w:rPr>
                <w:rFonts w:cs="Arial"/>
                <w:noProof/>
                <w:szCs w:val="20"/>
                <w:lang w:val="en-GB" w:eastAsia="en-GB" w:bidi="ar-SA"/>
              </w:rPr>
              <w:drawing>
                <wp:inline distT="0" distB="0" distL="0" distR="0" wp14:anchorId="69D2C5C8" wp14:editId="55FA7C38">
                  <wp:extent cx="1282700" cy="12827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C903F8" w:rsidRDefault="009C13A9" w:rsidP="009C13A9">
            <w:pPr>
              <w:overflowPunct w:val="0"/>
              <w:adjustRightInd w:val="0"/>
              <w:ind w:left="0" w:firstLine="0"/>
              <w:jc w:val="left"/>
              <w:textAlignment w:val="baseline"/>
              <w:rPr>
                <w:rFonts w:cs="Arial"/>
                <w:sz w:val="18"/>
                <w:szCs w:val="20"/>
              </w:rPr>
            </w:pPr>
          </w:p>
        </w:tc>
        <w:tc>
          <w:tcPr>
            <w:tcW w:w="3328" w:type="dxa"/>
            <w:vAlign w:val="center"/>
          </w:tcPr>
          <w:p w:rsidR="009C13A9" w:rsidRPr="00C903F8" w:rsidRDefault="009C13A9" w:rsidP="009C13A9">
            <w:pPr>
              <w:overflowPunct w:val="0"/>
              <w:adjustRightInd w:val="0"/>
              <w:ind w:left="0" w:firstLine="0"/>
              <w:jc w:val="left"/>
              <w:textAlignment w:val="baseline"/>
              <w:rPr>
                <w:rFonts w:cs="Arial"/>
                <w:szCs w:val="20"/>
              </w:rPr>
            </w:pPr>
            <w:r>
              <w:t>Colore: blu / bianco</w:t>
            </w:r>
          </w:p>
        </w:tc>
      </w:tr>
      <w:tr w:rsidR="009C13A9" w:rsidRPr="00C903F8" w:rsidTr="009C13A9">
        <w:tc>
          <w:tcPr>
            <w:tcW w:w="3331" w:type="dxa"/>
            <w:tcBorders>
              <w:bottom w:val="single" w:sz="6" w:space="0" w:color="auto"/>
            </w:tcBorders>
            <w:vAlign w:val="center"/>
          </w:tcPr>
          <w:p w:rsidR="009C13A9" w:rsidRPr="00C903F8"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rPr>
            </w:pPr>
            <w:r>
              <w:t>Figura 8</w:t>
            </w:r>
          </w:p>
          <w:p w:rsidR="009C13A9" w:rsidRPr="00C903F8" w:rsidRDefault="009C13A9" w:rsidP="009C13A9">
            <w:pPr>
              <w:overflowPunct w:val="0"/>
              <w:adjustRightInd w:val="0"/>
              <w:ind w:left="0" w:firstLine="0"/>
              <w:jc w:val="left"/>
              <w:textAlignment w:val="baseline"/>
              <w:rPr>
                <w:rFonts w:cs="Arial"/>
                <w:szCs w:val="20"/>
              </w:rPr>
            </w:pPr>
            <w:r>
              <w:t>Cassetta di pronto soccorso</w:t>
            </w:r>
          </w:p>
        </w:tc>
        <w:tc>
          <w:tcPr>
            <w:tcW w:w="2551" w:type="dxa"/>
            <w:tcBorders>
              <w:bottom w:val="single" w:sz="6" w:space="0" w:color="auto"/>
            </w:tcBorders>
          </w:tcPr>
          <w:p w:rsidR="009C13A9" w:rsidRPr="00C903F8" w:rsidRDefault="00014931" w:rsidP="009C13A9">
            <w:pPr>
              <w:overflowPunct w:val="0"/>
              <w:adjustRightInd w:val="0"/>
              <w:spacing w:line="240" w:lineRule="atLeast"/>
              <w:ind w:left="0" w:firstLine="0"/>
              <w:jc w:val="left"/>
              <w:textAlignment w:val="baseline"/>
              <w:rPr>
                <w:rFonts w:cs="Arial"/>
                <w:sz w:val="18"/>
                <w:szCs w:val="20"/>
              </w:rPr>
            </w:pPr>
            <w:r>
              <w:rPr>
                <w:rFonts w:cs="Arial"/>
                <w:noProof/>
                <w:sz w:val="18"/>
                <w:szCs w:val="20"/>
                <w:lang w:val="en-GB" w:eastAsia="en-GB" w:bidi="ar-SA"/>
              </w:rPr>
              <w:drawing>
                <wp:inline distT="0" distB="0" distL="0" distR="0" wp14:anchorId="057C6623" wp14:editId="1066EE83">
                  <wp:extent cx="1438275" cy="1438275"/>
                  <wp:effectExtent l="0" t="0" r="9525" b="9525"/>
                  <wp:docPr id="70" name="Image 70" descr="Verbandskas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Verbandskasten"/>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438275" cy="1438275"/>
                          </a:xfrm>
                          <a:prstGeom prst="rect">
                            <a:avLst/>
                          </a:prstGeom>
                          <a:noFill/>
                          <a:ln>
                            <a:noFill/>
                          </a:ln>
                        </pic:spPr>
                      </pic:pic>
                    </a:graphicData>
                  </a:graphic>
                </wp:inline>
              </w:drawing>
            </w:r>
          </w:p>
        </w:tc>
        <w:tc>
          <w:tcPr>
            <w:tcW w:w="3328" w:type="dxa"/>
            <w:tcBorders>
              <w:bottom w:val="single" w:sz="6" w:space="0" w:color="auto"/>
            </w:tcBorders>
            <w:vAlign w:val="center"/>
          </w:tcPr>
          <w:p w:rsidR="009C13A9" w:rsidRPr="00C903F8" w:rsidRDefault="009C13A9" w:rsidP="009C13A9">
            <w:pPr>
              <w:overflowPunct w:val="0"/>
              <w:adjustRightInd w:val="0"/>
              <w:ind w:left="0" w:firstLine="0"/>
              <w:jc w:val="left"/>
              <w:textAlignment w:val="baseline"/>
              <w:rPr>
                <w:rFonts w:cs="Arial"/>
                <w:szCs w:val="20"/>
              </w:rPr>
            </w:pPr>
            <w:r>
              <w:t>Colore: verde / bianco</w:t>
            </w:r>
          </w:p>
        </w:tc>
      </w:tr>
      <w:tr w:rsidR="009C13A9" w:rsidRPr="00C903F8" w:rsidTr="009C13A9">
        <w:tc>
          <w:tcPr>
            <w:tcW w:w="3331" w:type="dxa"/>
            <w:tcBorders>
              <w:bottom w:val="single" w:sz="4" w:space="0" w:color="auto"/>
            </w:tcBorders>
            <w:vAlign w:val="center"/>
          </w:tcPr>
          <w:p w:rsidR="009C13A9" w:rsidRPr="00C903F8" w:rsidRDefault="009C13A9" w:rsidP="009C13A9">
            <w:pPr>
              <w:jc w:val="left"/>
              <w:rPr>
                <w:rFonts w:cs="Arial"/>
                <w:noProof/>
                <w:szCs w:val="20"/>
              </w:rPr>
            </w:pPr>
            <w:r>
              <w:t>Figura 9</w:t>
            </w:r>
          </w:p>
          <w:p w:rsidR="009C13A9" w:rsidRPr="00C903F8" w:rsidRDefault="009C13A9" w:rsidP="009C13A9">
            <w:pPr>
              <w:overflowPunct w:val="0"/>
              <w:adjustRightInd w:val="0"/>
              <w:ind w:left="0" w:firstLine="0"/>
              <w:jc w:val="left"/>
              <w:textAlignment w:val="baseline"/>
              <w:rPr>
                <w:rFonts w:cs="Arial"/>
                <w:szCs w:val="20"/>
              </w:rPr>
            </w:pPr>
            <w:r>
              <w:t>Valvola a chiusura rapida sul serbatoio </w:t>
            </w:r>
          </w:p>
        </w:tc>
        <w:tc>
          <w:tcPr>
            <w:tcW w:w="2551" w:type="dxa"/>
            <w:tcBorders>
              <w:bottom w:val="single" w:sz="4" w:space="0" w:color="auto"/>
            </w:tcBorders>
          </w:tcPr>
          <w:p w:rsidR="009C13A9" w:rsidRPr="00C903F8" w:rsidRDefault="00014931" w:rsidP="009C13A9">
            <w:pPr>
              <w:overflowPunct w:val="0"/>
              <w:adjustRightInd w:val="0"/>
              <w:spacing w:line="240" w:lineRule="atLeast"/>
              <w:ind w:left="0" w:firstLine="0"/>
              <w:jc w:val="left"/>
              <w:textAlignment w:val="baseline"/>
              <w:rPr>
                <w:rFonts w:cs="Arial"/>
                <w:sz w:val="18"/>
                <w:szCs w:val="20"/>
              </w:rPr>
            </w:pPr>
            <w:r>
              <w:rPr>
                <w:rFonts w:cs="Arial"/>
                <w:noProof/>
                <w:sz w:val="18"/>
                <w:szCs w:val="20"/>
                <w:lang w:val="en-GB" w:eastAsia="en-GB" w:bidi="ar-SA"/>
              </w:rPr>
              <w:drawing>
                <wp:anchor distT="0" distB="0" distL="0" distR="0" simplePos="0" relativeHeight="251648000" behindDoc="0" locked="0" layoutInCell="1" allowOverlap="1" wp14:anchorId="57D8C7FE" wp14:editId="327D4227">
                  <wp:simplePos x="0" y="0"/>
                  <wp:positionH relativeFrom="column">
                    <wp:posOffset>34290</wp:posOffset>
                  </wp:positionH>
                  <wp:positionV relativeFrom="paragraph">
                    <wp:posOffset>-1162050</wp:posOffset>
                  </wp:positionV>
                  <wp:extent cx="1463040" cy="1167765"/>
                  <wp:effectExtent l="0" t="0" r="3810" b="0"/>
                  <wp:wrapTopAndBottom/>
                  <wp:docPr id="28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463040" cy="1167765"/>
                          </a:xfrm>
                          <a:prstGeom prst="rect">
                            <a:avLst/>
                          </a:prstGeom>
                          <a:solidFill>
                            <a:srgbClr val="FFFFFF"/>
                          </a:solidFill>
                          <a:ln>
                            <a:noFill/>
                          </a:ln>
                        </pic:spPr>
                      </pic:pic>
                    </a:graphicData>
                  </a:graphic>
                </wp:anchor>
              </w:drawing>
            </w:r>
          </w:p>
        </w:tc>
        <w:tc>
          <w:tcPr>
            <w:tcW w:w="3328" w:type="dxa"/>
            <w:tcBorders>
              <w:bottom w:val="single" w:sz="4" w:space="0" w:color="auto"/>
            </w:tcBorders>
            <w:vAlign w:val="center"/>
          </w:tcPr>
          <w:p w:rsidR="009C13A9" w:rsidRPr="00C903F8" w:rsidRDefault="009C13A9" w:rsidP="009C13A9">
            <w:pPr>
              <w:overflowPunct w:val="0"/>
              <w:adjustRightInd w:val="0"/>
              <w:ind w:left="0" w:firstLine="0"/>
              <w:jc w:val="left"/>
              <w:textAlignment w:val="baseline"/>
              <w:rPr>
                <w:rFonts w:cs="Arial"/>
                <w:szCs w:val="20"/>
              </w:rPr>
            </w:pPr>
            <w:r>
              <w:t>Colore: marrone / bianco</w:t>
            </w:r>
          </w:p>
        </w:tc>
      </w:tr>
    </w:tbl>
    <w:p w:rsidR="009C13A9" w:rsidRPr="00C903F8" w:rsidRDefault="009C13A9" w:rsidP="009C13A9">
      <w:pPr>
        <w:overflowPunct w:val="0"/>
        <w:adjustRightInd w:val="0"/>
        <w:ind w:left="0" w:firstLine="0"/>
        <w:jc w:val="left"/>
        <w:textAlignment w:val="baseline"/>
        <w:rPr>
          <w:rFonts w:cs="Arial"/>
          <w:szCs w:val="20"/>
        </w:rPr>
      </w:pPr>
    </w:p>
    <w:p w:rsidR="009C13A9" w:rsidRPr="00C903F8" w:rsidRDefault="009C13A9" w:rsidP="009C13A9">
      <w:pPr>
        <w:overflowPunct w:val="0"/>
        <w:adjustRightInd w:val="0"/>
        <w:ind w:left="0" w:firstLine="0"/>
        <w:jc w:val="left"/>
        <w:textAlignment w:val="baseline"/>
        <w:rPr>
          <w:rFonts w:cs="Arial"/>
          <w:szCs w:val="20"/>
        </w:rPr>
      </w:pPr>
      <w:r>
        <w:br w:type="page"/>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9C13A9" w:rsidRPr="00C903F8" w:rsidTr="009C13A9">
        <w:trPr>
          <w:trHeight w:val="2552"/>
        </w:trPr>
        <w:tc>
          <w:tcPr>
            <w:tcW w:w="3331" w:type="dxa"/>
            <w:tcBorders>
              <w:top w:val="single" w:sz="6" w:space="0" w:color="auto"/>
              <w:left w:val="single" w:sz="6" w:space="0" w:color="auto"/>
              <w:bottom w:val="single" w:sz="6" w:space="0" w:color="auto"/>
              <w:right w:val="single" w:sz="6" w:space="0" w:color="auto"/>
            </w:tcBorders>
            <w:vAlign w:val="center"/>
          </w:tcPr>
          <w:p w:rsidR="009C13A9" w:rsidRPr="00C903F8" w:rsidRDefault="009C13A9" w:rsidP="009C13A9">
            <w:pPr>
              <w:jc w:val="left"/>
              <w:rPr>
                <w:rFonts w:cs="Arial"/>
                <w:noProof/>
                <w:szCs w:val="20"/>
              </w:rPr>
            </w:pPr>
            <w:r>
              <w:lastRenderedPageBreak/>
              <w:t>Figura 10</w:t>
            </w:r>
          </w:p>
          <w:p w:rsidR="009C13A9" w:rsidRPr="00C903F8" w:rsidRDefault="009C13A9" w:rsidP="009C13A9">
            <w:pPr>
              <w:overflowPunct w:val="0"/>
              <w:adjustRightInd w:val="0"/>
              <w:ind w:left="0" w:firstLine="0"/>
              <w:jc w:val="left"/>
              <w:textAlignment w:val="baseline"/>
              <w:rPr>
                <w:rFonts w:cs="Arial"/>
                <w:szCs w:val="20"/>
              </w:rPr>
            </w:pPr>
            <w:r>
              <w:t>Indossare giubbetto di salvataggio</w:t>
            </w:r>
          </w:p>
        </w:tc>
        <w:tc>
          <w:tcPr>
            <w:tcW w:w="2551" w:type="dxa"/>
            <w:tcBorders>
              <w:top w:val="single" w:sz="6" w:space="0" w:color="auto"/>
              <w:left w:val="single" w:sz="6" w:space="0" w:color="auto"/>
              <w:bottom w:val="single" w:sz="6" w:space="0" w:color="auto"/>
              <w:right w:val="single" w:sz="6" w:space="0" w:color="auto"/>
            </w:tcBorders>
          </w:tcPr>
          <w:p w:rsidR="009C13A9" w:rsidRPr="00C903F8" w:rsidRDefault="00014931" w:rsidP="009C13A9">
            <w:pPr>
              <w:overflowPunct w:val="0"/>
              <w:adjustRightInd w:val="0"/>
              <w:spacing w:line="240" w:lineRule="atLeast"/>
              <w:ind w:left="0" w:firstLine="0"/>
              <w:jc w:val="left"/>
              <w:textAlignment w:val="baseline"/>
              <w:rPr>
                <w:rFonts w:cs="Arial"/>
                <w:noProof/>
                <w:sz w:val="18"/>
                <w:szCs w:val="20"/>
              </w:rPr>
            </w:pPr>
            <w:r>
              <w:rPr>
                <w:rFonts w:cs="Arial"/>
                <w:noProof/>
                <w:sz w:val="18"/>
                <w:szCs w:val="20"/>
                <w:lang w:val="en-GB" w:eastAsia="en-GB" w:bidi="ar-SA"/>
              </w:rPr>
              <w:drawing>
                <wp:anchor distT="0" distB="0" distL="114300" distR="114300" simplePos="0" relativeHeight="251649024" behindDoc="0" locked="0" layoutInCell="1" allowOverlap="1" wp14:anchorId="0A5F94B5" wp14:editId="0FD8A29F">
                  <wp:simplePos x="0" y="0"/>
                  <wp:positionH relativeFrom="column">
                    <wp:posOffset>-3810</wp:posOffset>
                  </wp:positionH>
                  <wp:positionV relativeFrom="paragraph">
                    <wp:posOffset>51435</wp:posOffset>
                  </wp:positionV>
                  <wp:extent cx="1530985" cy="1530985"/>
                  <wp:effectExtent l="0" t="0" r="0" b="0"/>
                  <wp:wrapNone/>
                  <wp:docPr id="287"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530985" cy="1530985"/>
                          </a:xfrm>
                          <a:prstGeom prst="rect">
                            <a:avLst/>
                          </a:prstGeom>
                          <a:noFill/>
                          <a:ln>
                            <a:noFill/>
                          </a:ln>
                        </pic:spPr>
                      </pic:pic>
                    </a:graphicData>
                  </a:graphic>
                </wp:anchor>
              </w:drawing>
            </w:r>
          </w:p>
        </w:tc>
        <w:tc>
          <w:tcPr>
            <w:tcW w:w="3328" w:type="dxa"/>
            <w:tcBorders>
              <w:top w:val="single" w:sz="6" w:space="0" w:color="auto"/>
              <w:left w:val="single" w:sz="6" w:space="0" w:color="auto"/>
              <w:bottom w:val="single" w:sz="6" w:space="0" w:color="auto"/>
              <w:right w:val="single" w:sz="6" w:space="0" w:color="auto"/>
            </w:tcBorders>
            <w:vAlign w:val="center"/>
          </w:tcPr>
          <w:p w:rsidR="009C13A9" w:rsidRPr="00C903F8" w:rsidRDefault="009C13A9" w:rsidP="005C7DB3">
            <w:pPr>
              <w:jc w:val="left"/>
              <w:rPr>
                <w:rFonts w:cs="Arial"/>
                <w:szCs w:val="20"/>
              </w:rPr>
            </w:pPr>
            <w:r>
              <w:t>Colore: blu / bianco</w:t>
            </w:r>
          </w:p>
        </w:tc>
      </w:tr>
      <w:tr w:rsidR="005C7DB3" w:rsidRPr="00C903F8" w:rsidTr="009C13A9">
        <w:trPr>
          <w:trHeight w:val="2552"/>
        </w:trPr>
        <w:tc>
          <w:tcPr>
            <w:tcW w:w="3331" w:type="dxa"/>
            <w:tcBorders>
              <w:top w:val="single" w:sz="6" w:space="0" w:color="auto"/>
              <w:left w:val="single" w:sz="6" w:space="0" w:color="auto"/>
              <w:bottom w:val="single" w:sz="6" w:space="0" w:color="auto"/>
              <w:right w:val="single" w:sz="6" w:space="0" w:color="auto"/>
            </w:tcBorders>
            <w:vAlign w:val="center"/>
          </w:tcPr>
          <w:p w:rsidR="005C7DB3" w:rsidRPr="00C903F8" w:rsidRDefault="005C7DB3" w:rsidP="00A94102">
            <w:pPr>
              <w:tabs>
                <w:tab w:val="left" w:pos="454"/>
                <w:tab w:val="left" w:pos="907"/>
                <w:tab w:val="left" w:pos="1361"/>
                <w:tab w:val="left" w:pos="1814"/>
              </w:tabs>
              <w:overflowPunct w:val="0"/>
              <w:adjustRightInd w:val="0"/>
              <w:spacing w:before="240" w:line="240" w:lineRule="exact"/>
              <w:textAlignment w:val="baseline"/>
              <w:rPr>
                <w:noProof/>
                <w:szCs w:val="20"/>
              </w:rPr>
            </w:pPr>
            <w:r>
              <w:t>Figura 11</w:t>
            </w:r>
          </w:p>
          <w:p w:rsidR="005C7DB3" w:rsidRPr="00C903F8" w:rsidRDefault="005C7DB3" w:rsidP="00A94102">
            <w:pPr>
              <w:overflowPunct w:val="0"/>
              <w:adjustRightInd w:val="0"/>
              <w:textAlignment w:val="baseline"/>
              <w:rPr>
                <w:szCs w:val="20"/>
              </w:rPr>
            </w:pPr>
            <w:r>
              <w:t>Avvertimento GNL</w:t>
            </w:r>
          </w:p>
        </w:tc>
        <w:tc>
          <w:tcPr>
            <w:tcW w:w="2551" w:type="dxa"/>
            <w:tcBorders>
              <w:top w:val="single" w:sz="6" w:space="0" w:color="auto"/>
              <w:left w:val="single" w:sz="6" w:space="0" w:color="auto"/>
              <w:bottom w:val="single" w:sz="6" w:space="0" w:color="auto"/>
              <w:right w:val="single" w:sz="6" w:space="0" w:color="auto"/>
            </w:tcBorders>
          </w:tcPr>
          <w:p w:rsidR="005C7DB3" w:rsidRPr="00C903F8" w:rsidRDefault="005C7DB3" w:rsidP="00A94102">
            <w:pPr>
              <w:overflowPunct w:val="0"/>
              <w:adjustRightInd w:val="0"/>
              <w:jc w:val="center"/>
              <w:textAlignment w:val="baseline"/>
              <w:rPr>
                <w:szCs w:val="20"/>
              </w:rPr>
            </w:pPr>
            <w:r>
              <w:rPr>
                <w:noProof/>
                <w:szCs w:val="20"/>
                <w:lang w:val="en-GB" w:eastAsia="en-GB" w:bidi="ar-SA"/>
              </w:rPr>
              <w:drawing>
                <wp:inline distT="0" distB="0" distL="0" distR="0" wp14:anchorId="04E37074" wp14:editId="245DB895">
                  <wp:extent cx="1585240" cy="1457325"/>
                  <wp:effectExtent l="0" t="0" r="0" b="0"/>
                  <wp:docPr id="4" name="Image 4" descr="panneau L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nneau L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593290" cy="1464725"/>
                          </a:xfrm>
                          <a:prstGeom prst="rect">
                            <a:avLst/>
                          </a:prstGeom>
                          <a:noFill/>
                          <a:ln>
                            <a:noFill/>
                          </a:ln>
                        </pic:spPr>
                      </pic:pic>
                    </a:graphicData>
                  </a:graphic>
                </wp:inline>
              </w:drawing>
            </w:r>
          </w:p>
        </w:tc>
        <w:tc>
          <w:tcPr>
            <w:tcW w:w="3328" w:type="dxa"/>
            <w:tcBorders>
              <w:top w:val="single" w:sz="6" w:space="0" w:color="auto"/>
              <w:left w:val="single" w:sz="6" w:space="0" w:color="auto"/>
              <w:bottom w:val="single" w:sz="6" w:space="0" w:color="auto"/>
              <w:right w:val="single" w:sz="6" w:space="0" w:color="auto"/>
            </w:tcBorders>
            <w:vAlign w:val="center"/>
          </w:tcPr>
          <w:p w:rsidR="005C7DB3" w:rsidRPr="00C903F8" w:rsidRDefault="005C7DB3" w:rsidP="00A94102">
            <w:pPr>
              <w:overflowPunct w:val="0"/>
              <w:adjustRightInd w:val="0"/>
              <w:textAlignment w:val="baseline"/>
              <w:rPr>
                <w:szCs w:val="20"/>
              </w:rPr>
            </w:pPr>
            <w:r>
              <w:t>Colore: nero / giallo</w:t>
            </w:r>
          </w:p>
        </w:tc>
      </w:tr>
    </w:tbl>
    <w:p w:rsidR="009C13A9" w:rsidRPr="00C903F8" w:rsidRDefault="009C13A9" w:rsidP="009C13A9">
      <w:pPr>
        <w:tabs>
          <w:tab w:val="left" w:pos="6237"/>
        </w:tabs>
        <w:overflowPunct w:val="0"/>
        <w:adjustRightInd w:val="0"/>
        <w:ind w:left="0" w:firstLine="0"/>
        <w:jc w:val="left"/>
        <w:textAlignment w:val="baseline"/>
        <w:rPr>
          <w:rFonts w:cs="Arial"/>
          <w:sz w:val="18"/>
          <w:szCs w:val="20"/>
        </w:rPr>
      </w:pPr>
    </w:p>
    <w:p w:rsidR="009C13A9" w:rsidRPr="00C903F8" w:rsidRDefault="009C13A9" w:rsidP="009C13A9">
      <w:pPr>
        <w:tabs>
          <w:tab w:val="left" w:pos="284"/>
          <w:tab w:val="left" w:leader="dot" w:pos="3402"/>
          <w:tab w:val="left" w:pos="4536"/>
          <w:tab w:val="left" w:leader="dot" w:pos="8505"/>
        </w:tabs>
        <w:overflowPunct w:val="0"/>
        <w:adjustRightInd w:val="0"/>
        <w:ind w:left="0" w:firstLine="0"/>
        <w:textAlignment w:val="baseline"/>
        <w:rPr>
          <w:rFonts w:cs="Arial"/>
          <w:szCs w:val="20"/>
        </w:rPr>
      </w:pPr>
      <w:r>
        <w:t>I pittogrammi utilizzati possono variare leggermente o essere più dettagliati rispetto a quelli riportati nel presente allegato purché il significato non cambi e le differenze e modifiche non siano tali da impedirne la comprensione.</w:t>
      </w:r>
    </w:p>
    <w:p w:rsidR="009C13A9" w:rsidRPr="00C903F8" w:rsidRDefault="009C13A9" w:rsidP="009C13A9">
      <w:pPr>
        <w:tabs>
          <w:tab w:val="left" w:pos="284"/>
          <w:tab w:val="left" w:leader="dot" w:pos="3402"/>
          <w:tab w:val="left" w:pos="4536"/>
          <w:tab w:val="left" w:leader="dot" w:pos="8505"/>
        </w:tabs>
        <w:overflowPunct w:val="0"/>
        <w:adjustRightInd w:val="0"/>
        <w:ind w:left="0" w:firstLine="0"/>
        <w:jc w:val="left"/>
        <w:textAlignment w:val="baseline"/>
        <w:rPr>
          <w:rFonts w:cs="Arial"/>
          <w:szCs w:val="20"/>
        </w:rPr>
      </w:pPr>
    </w:p>
    <w:p w:rsidR="009C13A9" w:rsidRPr="00C903F8" w:rsidRDefault="009C13A9" w:rsidP="009C13A9">
      <w:pPr>
        <w:tabs>
          <w:tab w:val="left" w:pos="284"/>
          <w:tab w:val="left" w:leader="dot" w:pos="3402"/>
          <w:tab w:val="left" w:pos="4536"/>
          <w:tab w:val="left" w:leader="dot" w:pos="8505"/>
        </w:tabs>
        <w:overflowPunct w:val="0"/>
        <w:adjustRightInd w:val="0"/>
        <w:ind w:left="0" w:firstLine="0"/>
        <w:jc w:val="left"/>
        <w:textAlignment w:val="baseline"/>
        <w:rPr>
          <w:rFonts w:cs="Arial"/>
          <w:szCs w:val="20"/>
        </w:rPr>
      </w:pPr>
      <w:r>
        <w:br w:type="page"/>
      </w:r>
    </w:p>
    <w:p w:rsidR="009C13A9" w:rsidRPr="00C903F8" w:rsidRDefault="009C13A9" w:rsidP="009C13A9">
      <w:pPr>
        <w:tabs>
          <w:tab w:val="left" w:pos="284"/>
          <w:tab w:val="left" w:leader="dot" w:pos="3402"/>
          <w:tab w:val="left" w:pos="4536"/>
          <w:tab w:val="left" w:leader="dot" w:pos="8505"/>
        </w:tabs>
        <w:overflowPunct w:val="0"/>
        <w:adjustRightInd w:val="0"/>
        <w:ind w:left="0" w:firstLine="0"/>
        <w:jc w:val="left"/>
        <w:textAlignment w:val="baseline"/>
        <w:rPr>
          <w:rFonts w:cs="Arial"/>
          <w:szCs w:val="20"/>
        </w:rPr>
      </w:pPr>
    </w:p>
    <w:p w:rsidR="009C13A9" w:rsidRPr="00C903F8" w:rsidRDefault="009C13A9" w:rsidP="009C13A9">
      <w:pPr>
        <w:tabs>
          <w:tab w:val="left" w:pos="284"/>
          <w:tab w:val="left" w:leader="dot" w:pos="3402"/>
          <w:tab w:val="left" w:pos="4536"/>
          <w:tab w:val="left" w:leader="dot" w:pos="8505"/>
        </w:tabs>
        <w:overflowPunct w:val="0"/>
        <w:adjustRightInd w:val="0"/>
        <w:ind w:left="0" w:firstLine="0"/>
        <w:jc w:val="left"/>
        <w:textAlignment w:val="baseline"/>
        <w:rPr>
          <w:rFonts w:cs="Arial"/>
          <w:szCs w:val="20"/>
        </w:rPr>
      </w:pPr>
    </w:p>
    <w:p w:rsidR="009C13A9" w:rsidRPr="00C903F8" w:rsidRDefault="009C13A9" w:rsidP="009C13A9">
      <w:pPr>
        <w:tabs>
          <w:tab w:val="left" w:pos="284"/>
          <w:tab w:val="left" w:leader="dot" w:pos="3402"/>
          <w:tab w:val="left" w:pos="4536"/>
          <w:tab w:val="left" w:leader="dot" w:pos="8505"/>
        </w:tabs>
        <w:overflowPunct w:val="0"/>
        <w:adjustRightInd w:val="0"/>
        <w:ind w:left="0" w:firstLine="0"/>
        <w:jc w:val="left"/>
        <w:textAlignment w:val="baseline"/>
        <w:rPr>
          <w:rFonts w:cs="Arial"/>
          <w:szCs w:val="20"/>
        </w:rPr>
      </w:pPr>
    </w:p>
    <w:p w:rsidR="009C13A9" w:rsidRPr="00C903F8" w:rsidRDefault="009C13A9" w:rsidP="009C13A9">
      <w:pPr>
        <w:overflowPunct w:val="0"/>
        <w:adjustRightInd w:val="0"/>
        <w:ind w:left="0" w:firstLine="0"/>
        <w:textAlignment w:val="baseline"/>
        <w:rPr>
          <w:rFonts w:ascii="Times New Roman" w:hAnsi="Times New Roman"/>
          <w:szCs w:val="20"/>
        </w:rPr>
      </w:pPr>
      <w:r>
        <w:br w:type="page"/>
      </w:r>
    </w:p>
    <w:p w:rsidR="009C13A9" w:rsidRPr="00C903F8" w:rsidRDefault="009C13A9" w:rsidP="00857FC2">
      <w:pPr>
        <w:pStyle w:val="ES-Titre2"/>
        <w:pageBreakBefore w:val="0"/>
      </w:pPr>
      <w:bookmarkStart w:id="634" w:name="_Toc491854309"/>
      <w:bookmarkStart w:id="635" w:name="_Toc535500258"/>
      <w:r>
        <w:lastRenderedPageBreak/>
        <w:t>Allegato 5</w:t>
      </w:r>
      <w:r>
        <w:br/>
        <w:t>Impianti di informazione e di navigazione</w:t>
      </w:r>
      <w:bookmarkEnd w:id="634"/>
      <w:bookmarkEnd w:id="635"/>
    </w:p>
    <w:p w:rsidR="009C13A9" w:rsidRPr="00C903F8" w:rsidRDefault="009C13A9" w:rsidP="009C13A9">
      <w:pPr>
        <w:overflowPunct w:val="0"/>
        <w:adjustRightInd w:val="0"/>
        <w:ind w:left="0" w:firstLine="0"/>
        <w:jc w:val="left"/>
        <w:textAlignment w:val="baseline"/>
        <w:rPr>
          <w:rFonts w:cs="Arial"/>
          <w:szCs w:val="20"/>
        </w:rPr>
      </w:pPr>
    </w:p>
    <w:p w:rsidR="009C13A9" w:rsidRPr="00C903F8" w:rsidRDefault="009C13A9" w:rsidP="009C13A9">
      <w:pPr>
        <w:overflowPunct w:val="0"/>
        <w:adjustRightInd w:val="0"/>
        <w:spacing w:line="240" w:lineRule="atLeast"/>
        <w:ind w:left="0" w:firstLine="0"/>
        <w:jc w:val="center"/>
        <w:textAlignment w:val="baseline"/>
        <w:rPr>
          <w:rFonts w:cs="Arial"/>
          <w:bCs/>
          <w:szCs w:val="22"/>
        </w:rPr>
      </w:pPr>
    </w:p>
    <w:p w:rsidR="009C13A9" w:rsidRPr="00C903F8" w:rsidRDefault="009C13A9" w:rsidP="009C13A9">
      <w:pPr>
        <w:overflowPunct w:val="0"/>
        <w:adjustRightInd w:val="0"/>
        <w:spacing w:line="240" w:lineRule="atLeast"/>
        <w:ind w:left="0" w:firstLine="0"/>
        <w:jc w:val="center"/>
        <w:textAlignment w:val="baseline"/>
        <w:rPr>
          <w:rFonts w:cs="Arial"/>
          <w:b/>
          <w:bCs/>
          <w:sz w:val="22"/>
          <w:szCs w:val="22"/>
        </w:rPr>
      </w:pPr>
      <w:r>
        <w:rPr>
          <w:b/>
          <w:noProof/>
          <w:sz w:val="22"/>
        </w:rPr>
        <w:t>Indice</w:t>
      </w:r>
    </w:p>
    <w:p w:rsidR="009C13A9" w:rsidRPr="00C903F8" w:rsidRDefault="009C13A9" w:rsidP="009C13A9">
      <w:pPr>
        <w:overflowPunct w:val="0"/>
        <w:adjustRightInd w:val="0"/>
        <w:spacing w:line="240" w:lineRule="atLeast"/>
        <w:ind w:left="0" w:firstLine="0"/>
        <w:jc w:val="center"/>
        <w:textAlignment w:val="baseline"/>
        <w:rPr>
          <w:rFonts w:cs="Arial"/>
          <w:sz w:val="22"/>
          <w:szCs w:val="22"/>
        </w:rPr>
      </w:pPr>
    </w:p>
    <w:p w:rsidR="009C13A9" w:rsidRPr="00C903F8" w:rsidRDefault="009C13A9" w:rsidP="009C13A9">
      <w:pPr>
        <w:overflowPunct w:val="0"/>
        <w:adjustRightInd w:val="0"/>
        <w:spacing w:line="240" w:lineRule="atLeast"/>
        <w:ind w:left="1134" w:hanging="1134"/>
        <w:textAlignment w:val="baseline"/>
        <w:rPr>
          <w:rFonts w:cs="Arial"/>
          <w:b/>
          <w:bCs/>
          <w:noProof/>
          <w:szCs w:val="20"/>
        </w:rPr>
      </w:pPr>
      <w:r>
        <w:rPr>
          <w:b/>
          <w:noProof/>
        </w:rPr>
        <w:t>Definizioni</w:t>
      </w:r>
    </w:p>
    <w:p w:rsidR="009C13A9" w:rsidRPr="00C903F8" w:rsidRDefault="009C13A9" w:rsidP="009C13A9">
      <w:pPr>
        <w:overflowPunct w:val="0"/>
        <w:adjustRightInd w:val="0"/>
        <w:spacing w:line="240" w:lineRule="atLeast"/>
        <w:ind w:left="1134" w:hanging="1134"/>
        <w:textAlignment w:val="baseline"/>
        <w:rPr>
          <w:rFonts w:cs="Arial"/>
          <w:b/>
          <w:bCs/>
          <w:noProof/>
          <w:szCs w:val="20"/>
        </w:rPr>
      </w:pPr>
    </w:p>
    <w:p w:rsidR="009C13A9" w:rsidRDefault="00925755" w:rsidP="009C13A9">
      <w:pPr>
        <w:overflowPunct w:val="0"/>
        <w:adjustRightInd w:val="0"/>
        <w:spacing w:line="240" w:lineRule="atLeast"/>
        <w:ind w:left="1134" w:hanging="1134"/>
        <w:textAlignment w:val="baseline"/>
        <w:rPr>
          <w:rFonts w:cs="Arial"/>
          <w:noProof/>
          <w:szCs w:val="20"/>
        </w:rPr>
      </w:pPr>
      <w:r>
        <w:rPr>
          <w:b/>
          <w:noProof/>
        </w:rPr>
        <w:t>Sezione I</w:t>
      </w:r>
      <w:r>
        <w:tab/>
        <w:t>Requisiti minimi e condizioni di prova per gli impianti radar di navigazione utilizzati nella navigazione interna</w:t>
      </w:r>
    </w:p>
    <w:p w:rsidR="001077F3" w:rsidRPr="00C903F8" w:rsidRDefault="001077F3" w:rsidP="00C92875">
      <w:pPr>
        <w:overflowPunct w:val="0"/>
        <w:adjustRightInd w:val="0"/>
        <w:spacing w:line="240" w:lineRule="atLeast"/>
        <w:ind w:left="2410" w:hanging="1276"/>
        <w:textAlignment w:val="baseline"/>
        <w:rPr>
          <w:rFonts w:cs="Arial"/>
          <w:szCs w:val="20"/>
        </w:rPr>
      </w:pPr>
      <w:r>
        <w:t>Appendice</w:t>
      </w:r>
      <w:r>
        <w:tab/>
        <w:t>Dispositivo ECDIS interno, dispositivo indipendente collegato all'impianto radar</w:t>
      </w:r>
    </w:p>
    <w:p w:rsidR="009C13A9" w:rsidRPr="00C903F8" w:rsidRDefault="009C13A9" w:rsidP="009C13A9">
      <w:pPr>
        <w:overflowPunct w:val="0"/>
        <w:adjustRightInd w:val="0"/>
        <w:spacing w:line="240" w:lineRule="atLeast"/>
        <w:ind w:left="1134" w:hanging="1134"/>
        <w:textAlignment w:val="baseline"/>
        <w:rPr>
          <w:rFonts w:cs="Arial"/>
          <w:szCs w:val="20"/>
        </w:rPr>
      </w:pPr>
    </w:p>
    <w:p w:rsidR="009C13A9" w:rsidRPr="00C903F8" w:rsidRDefault="00925755" w:rsidP="009C13A9">
      <w:pPr>
        <w:overflowPunct w:val="0"/>
        <w:adjustRightInd w:val="0"/>
        <w:spacing w:line="240" w:lineRule="atLeast"/>
        <w:ind w:left="1134" w:hanging="1134"/>
        <w:textAlignment w:val="baseline"/>
        <w:rPr>
          <w:rFonts w:cs="Arial"/>
          <w:szCs w:val="20"/>
        </w:rPr>
      </w:pPr>
      <w:r>
        <w:rPr>
          <w:b/>
          <w:noProof/>
        </w:rPr>
        <w:t>Sezione II</w:t>
      </w:r>
      <w:r>
        <w:tab/>
        <w:t>Requisiti minimi e condizioni di prova per indicatori della velocità di accostata utilizzati nella navigazione interna</w:t>
      </w:r>
    </w:p>
    <w:p w:rsidR="009C13A9" w:rsidRPr="00C903F8" w:rsidRDefault="009C13A9" w:rsidP="009C13A9">
      <w:pPr>
        <w:overflowPunct w:val="0"/>
        <w:adjustRightInd w:val="0"/>
        <w:spacing w:line="240" w:lineRule="atLeast"/>
        <w:ind w:left="2410" w:hanging="1276"/>
        <w:textAlignment w:val="baseline"/>
        <w:rPr>
          <w:rFonts w:cs="Arial"/>
          <w:szCs w:val="20"/>
        </w:rPr>
      </w:pPr>
      <w:r>
        <w:t>Capo 1</w:t>
      </w:r>
      <w:r>
        <w:tab/>
        <w:t>Aspetti generali</w:t>
      </w:r>
    </w:p>
    <w:p w:rsidR="009C13A9" w:rsidRPr="00C903F8" w:rsidRDefault="009C13A9" w:rsidP="009C13A9">
      <w:pPr>
        <w:tabs>
          <w:tab w:val="left" w:pos="2410"/>
        </w:tabs>
        <w:overflowPunct w:val="0"/>
        <w:adjustRightInd w:val="0"/>
        <w:spacing w:before="60" w:line="240" w:lineRule="atLeast"/>
        <w:ind w:left="2410" w:hanging="1276"/>
        <w:textAlignment w:val="baseline"/>
        <w:rPr>
          <w:rFonts w:cs="Arial"/>
          <w:szCs w:val="20"/>
        </w:rPr>
      </w:pPr>
      <w:r>
        <w:t xml:space="preserve">Capo 2 </w:t>
      </w:r>
      <w:r>
        <w:tab/>
        <w:t>Requisiti generali minimi degli indicatori della velocità di accostata</w:t>
      </w:r>
    </w:p>
    <w:p w:rsidR="009C13A9" w:rsidRPr="00C903F8" w:rsidRDefault="009C13A9" w:rsidP="009C13A9">
      <w:pPr>
        <w:tabs>
          <w:tab w:val="left" w:pos="2410"/>
        </w:tabs>
        <w:overflowPunct w:val="0"/>
        <w:adjustRightInd w:val="0"/>
        <w:spacing w:before="60" w:line="240" w:lineRule="atLeast"/>
        <w:ind w:left="2410" w:hanging="1276"/>
        <w:textAlignment w:val="baseline"/>
        <w:rPr>
          <w:rFonts w:cs="Arial"/>
          <w:szCs w:val="20"/>
        </w:rPr>
      </w:pPr>
      <w:r>
        <w:t xml:space="preserve">Capo 3 </w:t>
      </w:r>
      <w:r>
        <w:tab/>
        <w:t>Requisiti minimi di funzionamento degli indicatori della velocità di accostata</w:t>
      </w:r>
    </w:p>
    <w:p w:rsidR="009C13A9" w:rsidRPr="00C903F8" w:rsidRDefault="009C13A9" w:rsidP="009C13A9">
      <w:pPr>
        <w:tabs>
          <w:tab w:val="left" w:pos="2410"/>
        </w:tabs>
        <w:overflowPunct w:val="0"/>
        <w:adjustRightInd w:val="0"/>
        <w:spacing w:before="60" w:line="240" w:lineRule="atLeast"/>
        <w:ind w:left="2410" w:hanging="1276"/>
        <w:textAlignment w:val="baseline"/>
        <w:rPr>
          <w:rFonts w:cs="Arial"/>
          <w:szCs w:val="20"/>
        </w:rPr>
      </w:pPr>
      <w:r>
        <w:t xml:space="preserve">Capo 4 </w:t>
      </w:r>
      <w:r>
        <w:tab/>
        <w:t>Requisiti tecnici minimi degli indicatori della velocità di accostata</w:t>
      </w:r>
    </w:p>
    <w:p w:rsidR="009C13A9" w:rsidRPr="00C903F8" w:rsidRDefault="009C13A9" w:rsidP="009C13A9">
      <w:pPr>
        <w:tabs>
          <w:tab w:val="left" w:pos="2410"/>
        </w:tabs>
        <w:overflowPunct w:val="0"/>
        <w:adjustRightInd w:val="0"/>
        <w:spacing w:before="60" w:line="240" w:lineRule="atLeast"/>
        <w:ind w:left="2410" w:hanging="1276"/>
        <w:textAlignment w:val="baseline"/>
        <w:rPr>
          <w:rFonts w:cs="Arial"/>
          <w:szCs w:val="20"/>
        </w:rPr>
      </w:pPr>
      <w:r>
        <w:t xml:space="preserve">Capo 5 </w:t>
      </w:r>
      <w:r>
        <w:tab/>
        <w:t>Condizioni e procedure di prova degli indicatori della velocità di accostata</w:t>
      </w:r>
    </w:p>
    <w:p w:rsidR="009C13A9" w:rsidRPr="00C903F8" w:rsidRDefault="009C13A9" w:rsidP="002052A6">
      <w:pPr>
        <w:tabs>
          <w:tab w:val="left" w:pos="1418"/>
          <w:tab w:val="left" w:pos="3544"/>
        </w:tabs>
        <w:overflowPunct w:val="0"/>
        <w:adjustRightInd w:val="0"/>
        <w:spacing w:before="60" w:line="240" w:lineRule="atLeast"/>
        <w:ind w:left="3544" w:hanging="1134"/>
        <w:textAlignment w:val="baseline"/>
        <w:rPr>
          <w:rFonts w:cs="Arial"/>
          <w:noProof/>
          <w:szCs w:val="20"/>
        </w:rPr>
      </w:pPr>
      <w:r>
        <w:t>Appendice:</w:t>
      </w:r>
      <w:r>
        <w:tab/>
        <w:t>Tolleranze di errore per gli indicatori della velocità di accostata</w:t>
      </w:r>
    </w:p>
    <w:p w:rsidR="009C13A9" w:rsidRPr="00C903F8" w:rsidRDefault="009C13A9" w:rsidP="009C13A9">
      <w:pPr>
        <w:overflowPunct w:val="0"/>
        <w:adjustRightInd w:val="0"/>
        <w:spacing w:line="240" w:lineRule="atLeast"/>
        <w:ind w:left="1134" w:hanging="1134"/>
        <w:textAlignment w:val="baseline"/>
        <w:rPr>
          <w:rFonts w:cs="Arial"/>
          <w:szCs w:val="20"/>
        </w:rPr>
      </w:pPr>
    </w:p>
    <w:p w:rsidR="009C13A9" w:rsidRPr="00C903F8" w:rsidRDefault="00925755" w:rsidP="009C13A9">
      <w:pPr>
        <w:overflowPunct w:val="0"/>
        <w:adjustRightInd w:val="0"/>
        <w:spacing w:line="240" w:lineRule="atLeast"/>
        <w:ind w:left="1134" w:hanging="1134"/>
        <w:textAlignment w:val="baseline"/>
        <w:rPr>
          <w:rFonts w:cs="Arial"/>
          <w:szCs w:val="20"/>
        </w:rPr>
      </w:pPr>
      <w:r>
        <w:rPr>
          <w:b/>
          <w:noProof/>
        </w:rPr>
        <w:t>Sezione III</w:t>
      </w:r>
      <w:r>
        <w:tab/>
        <w:t>Requisiti concernenti l'installazione e le prove di funzionamento degli impianti radar di navigazione e degli indicatori della velocità di accostata utilizzati nella navigazione interna</w:t>
      </w:r>
    </w:p>
    <w:p w:rsidR="009C13A9" w:rsidRPr="00C903F8" w:rsidRDefault="009C13A9" w:rsidP="009C13A9">
      <w:pPr>
        <w:overflowPunct w:val="0"/>
        <w:adjustRightInd w:val="0"/>
        <w:spacing w:line="240" w:lineRule="atLeast"/>
        <w:ind w:left="1134" w:hanging="1134"/>
        <w:textAlignment w:val="baseline"/>
        <w:rPr>
          <w:rFonts w:cs="Arial"/>
          <w:szCs w:val="20"/>
        </w:rPr>
      </w:pPr>
    </w:p>
    <w:p w:rsidR="009C13A9" w:rsidRPr="00C903F8" w:rsidRDefault="00925755" w:rsidP="009C13A9">
      <w:pPr>
        <w:overflowPunct w:val="0"/>
        <w:adjustRightInd w:val="0"/>
        <w:spacing w:line="240" w:lineRule="atLeast"/>
        <w:ind w:left="1134" w:hanging="1134"/>
        <w:textAlignment w:val="baseline"/>
        <w:rPr>
          <w:rFonts w:cs="Arial"/>
          <w:noProof/>
          <w:szCs w:val="20"/>
        </w:rPr>
      </w:pPr>
      <w:r>
        <w:rPr>
          <w:b/>
          <w:noProof/>
        </w:rPr>
        <w:t>Sezione IV</w:t>
      </w:r>
      <w:r>
        <w:tab/>
        <w:t>Requisiti minimi, requisiti concernenti l'installazione e le prove di funzionamento per il dispositivo AIS interno utilizzato nella navigazione interna</w:t>
      </w:r>
    </w:p>
    <w:p w:rsidR="009C13A9" w:rsidRPr="00C903F8" w:rsidRDefault="009C13A9" w:rsidP="009C13A9">
      <w:pPr>
        <w:overflowPunct w:val="0"/>
        <w:adjustRightInd w:val="0"/>
        <w:spacing w:line="240" w:lineRule="atLeast"/>
        <w:ind w:left="1134" w:hanging="1134"/>
        <w:textAlignment w:val="baseline"/>
        <w:rPr>
          <w:rFonts w:cs="Arial"/>
          <w:noProof/>
          <w:szCs w:val="20"/>
        </w:rPr>
      </w:pPr>
    </w:p>
    <w:p w:rsidR="009C13A9" w:rsidRPr="00C903F8" w:rsidRDefault="00925755" w:rsidP="00925755">
      <w:pPr>
        <w:tabs>
          <w:tab w:val="left" w:pos="284"/>
        </w:tabs>
        <w:overflowPunct w:val="0"/>
        <w:adjustRightInd w:val="0"/>
        <w:ind w:left="1134" w:hanging="1134"/>
        <w:textAlignment w:val="baseline"/>
        <w:rPr>
          <w:rFonts w:cs="Arial"/>
          <w:noProof/>
          <w:szCs w:val="20"/>
        </w:rPr>
      </w:pPr>
      <w:r>
        <w:rPr>
          <w:b/>
          <w:noProof/>
          <w:color w:val="000000"/>
        </w:rPr>
        <w:t>Sezione V</w:t>
      </w:r>
      <w:r>
        <w:tab/>
        <w:t>Requisiti minimi, requisiti concernenti l'installazione e le prove di funzionamento per i tachigrafi utilizzati nella navigazione interna</w:t>
      </w:r>
    </w:p>
    <w:p w:rsidR="009C13A9" w:rsidRPr="00C903F8" w:rsidRDefault="009C13A9" w:rsidP="009C13A9">
      <w:pPr>
        <w:tabs>
          <w:tab w:val="left" w:pos="284"/>
          <w:tab w:val="left" w:leader="dot" w:pos="9072"/>
        </w:tabs>
        <w:overflowPunct w:val="0"/>
        <w:adjustRightInd w:val="0"/>
        <w:ind w:left="1134" w:hanging="1134"/>
        <w:textAlignment w:val="baseline"/>
        <w:rPr>
          <w:rFonts w:cs="Arial"/>
          <w:szCs w:val="20"/>
        </w:rPr>
      </w:pPr>
    </w:p>
    <w:p w:rsidR="009C13A9" w:rsidRPr="00C903F8" w:rsidRDefault="00925755" w:rsidP="009C13A9">
      <w:pPr>
        <w:overflowPunct w:val="0"/>
        <w:adjustRightInd w:val="0"/>
        <w:spacing w:line="240" w:lineRule="atLeast"/>
        <w:ind w:left="1134" w:hanging="1134"/>
        <w:textAlignment w:val="baseline"/>
        <w:rPr>
          <w:rFonts w:cs="Arial"/>
          <w:noProof/>
          <w:szCs w:val="20"/>
        </w:rPr>
      </w:pPr>
      <w:r>
        <w:rPr>
          <w:b/>
          <w:noProof/>
        </w:rPr>
        <w:t>Sezione VI</w:t>
      </w:r>
      <w:r>
        <w:tab/>
        <w:t>Installazione e certificato di funzionamento per impianti radar di navigazione e indicatori della velocità di accostata, per il dispositivo AIS interno e per tachigrafi utilizzati nella navigazione interna</w:t>
      </w:r>
    </w:p>
    <w:p w:rsidR="009C13A9" w:rsidRPr="00C903F8" w:rsidRDefault="009C13A9" w:rsidP="009C13A9">
      <w:pPr>
        <w:overflowPunct w:val="0"/>
        <w:adjustRightInd w:val="0"/>
        <w:spacing w:line="240" w:lineRule="atLeast"/>
        <w:ind w:left="1134" w:hanging="1134"/>
        <w:textAlignment w:val="baseline"/>
        <w:rPr>
          <w:rFonts w:cs="Arial"/>
          <w:szCs w:val="20"/>
        </w:rPr>
      </w:pPr>
    </w:p>
    <w:p w:rsidR="009C13A9" w:rsidRDefault="009C13A9" w:rsidP="009C13A9">
      <w:pPr>
        <w:overflowPunct w:val="0"/>
        <w:adjustRightInd w:val="0"/>
        <w:spacing w:line="240" w:lineRule="atLeast"/>
        <w:ind w:left="1134" w:hanging="1134"/>
        <w:textAlignment w:val="baseline"/>
        <w:rPr>
          <w:rFonts w:cs="Arial"/>
          <w:szCs w:val="20"/>
        </w:rPr>
      </w:pPr>
    </w:p>
    <w:p w:rsidR="00C92875" w:rsidRPr="00C903F8" w:rsidRDefault="00C92875" w:rsidP="009C13A9">
      <w:pPr>
        <w:overflowPunct w:val="0"/>
        <w:adjustRightInd w:val="0"/>
        <w:spacing w:line="240" w:lineRule="atLeast"/>
        <w:ind w:left="1134" w:hanging="1134"/>
        <w:textAlignment w:val="baseline"/>
        <w:rPr>
          <w:rFonts w:cs="Arial"/>
          <w:szCs w:val="20"/>
        </w:rPr>
      </w:pPr>
    </w:p>
    <w:p w:rsidR="009C13A9" w:rsidRPr="00C903F8" w:rsidRDefault="009C13A9" w:rsidP="009C13A9">
      <w:pPr>
        <w:overflowPunct w:val="0"/>
        <w:adjustRightInd w:val="0"/>
        <w:spacing w:line="240" w:lineRule="exact"/>
        <w:ind w:left="0" w:firstLine="0"/>
        <w:jc w:val="center"/>
        <w:textAlignment w:val="baseline"/>
        <w:rPr>
          <w:rFonts w:eastAsia="Calibri"/>
          <w:b/>
          <w:noProof/>
          <w:sz w:val="22"/>
          <w:szCs w:val="22"/>
        </w:rPr>
      </w:pPr>
      <w:r>
        <w:rPr>
          <w:b/>
          <w:noProof/>
          <w:sz w:val="22"/>
        </w:rPr>
        <w:t>Definizioni</w:t>
      </w:r>
    </w:p>
    <w:p w:rsidR="009C13A9" w:rsidRPr="00C903F8" w:rsidRDefault="009C13A9" w:rsidP="009C13A9">
      <w:pPr>
        <w:overflowPunct w:val="0"/>
        <w:adjustRightInd w:val="0"/>
        <w:spacing w:line="240" w:lineRule="atLeast"/>
        <w:ind w:left="1134" w:hanging="1134"/>
        <w:textAlignment w:val="baseline"/>
        <w:rPr>
          <w:rFonts w:cs="Arial"/>
          <w:szCs w:val="20"/>
        </w:rPr>
      </w:pPr>
    </w:p>
    <w:p w:rsidR="009C13A9" w:rsidRPr="00C903F8" w:rsidRDefault="009C13A9" w:rsidP="009C13A9">
      <w:pPr>
        <w:spacing w:line="240" w:lineRule="atLeast"/>
        <w:rPr>
          <w:rFonts w:cs="Arial"/>
          <w:color w:val="000000"/>
        </w:rPr>
      </w:pPr>
      <w:r>
        <w:rPr>
          <w:color w:val="000000"/>
        </w:rPr>
        <w:t>1.</w:t>
      </w:r>
      <w:r>
        <w:tab/>
      </w:r>
      <w:r>
        <w:rPr>
          <w:color w:val="000000"/>
        </w:rPr>
        <w:t>"Prova del tipo": la procedura di prova di cui alla sezione I, articolo 4 o sezione II, articolo 1.03, che utilizza il servizio tecnico per verificare la conformità ai requisiti previsti dal presente allegato. La prova del tipo è parte integrante della procedura di omologazione.</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2.</w:t>
      </w:r>
      <w:r>
        <w:tab/>
      </w:r>
      <w:r>
        <w:rPr>
          <w:color w:val="000000"/>
        </w:rPr>
        <w:t>"Omologazione": la procedura amministrativa secondo la quale uno Stato membro conferma che l'apparecchio è conforme ai requisiti del presente allegato.</w:t>
      </w:r>
    </w:p>
    <w:p w:rsidR="009C13A9" w:rsidRPr="00C903F8" w:rsidRDefault="009C13A9" w:rsidP="009C13A9">
      <w:pPr>
        <w:spacing w:line="240" w:lineRule="atLeast"/>
        <w:rPr>
          <w:rFonts w:cs="Arial"/>
          <w:strike/>
          <w:noProof/>
          <w:color w:val="000000"/>
        </w:rPr>
      </w:pPr>
    </w:p>
    <w:p w:rsidR="009C13A9" w:rsidRPr="00C903F8" w:rsidRDefault="009C13A9" w:rsidP="009C13A9">
      <w:pPr>
        <w:spacing w:line="240" w:lineRule="atLeast"/>
        <w:rPr>
          <w:rFonts w:cs="Arial"/>
          <w:noProof/>
          <w:color w:val="000000"/>
        </w:rPr>
      </w:pPr>
      <w:r>
        <w:br w:type="page"/>
      </w:r>
    </w:p>
    <w:p w:rsidR="009C13A9" w:rsidRPr="00C903F8" w:rsidRDefault="009C13A9" w:rsidP="009C13A9">
      <w:pPr>
        <w:spacing w:line="240" w:lineRule="atLeast"/>
        <w:rPr>
          <w:rFonts w:cs="Arial"/>
          <w:noProof/>
          <w:color w:val="000000"/>
        </w:rPr>
      </w:pPr>
      <w:r>
        <w:rPr>
          <w:noProof/>
          <w:color w:val="000000"/>
        </w:rPr>
        <w:lastRenderedPageBreak/>
        <w:t>3.</w:t>
      </w:r>
      <w:r>
        <w:tab/>
      </w:r>
      <w:r>
        <w:rPr>
          <w:noProof/>
          <w:color w:val="000000"/>
        </w:rPr>
        <w:t>"Certificato di prova": il documento nel quale vengono indicati i risultati della prova del tipo.</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4.</w:t>
      </w:r>
      <w:r>
        <w:tab/>
      </w:r>
      <w:r>
        <w:rPr>
          <w:noProof/>
          <w:color w:val="000000"/>
        </w:rPr>
        <w:t>"Richiedente" o "costruttore": la persona fisica o giuridica sotto il cui nome, marchio o altro tipo di identificazione l'apparecchio presentato alla prova è fabbricato o commercializzato e che è responsabile per ogni aspetto per quanto riguarda la prova del tipo e la procedura di omologazione nei confronti del servizio tecnico e dell'autorità che rilascia l'omologazione.</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5.</w:t>
      </w:r>
      <w:r>
        <w:tab/>
      </w:r>
      <w:r>
        <w:rPr>
          <w:noProof/>
          <w:color w:val="000000"/>
        </w:rPr>
        <w:t>"Servizio tecnico": l'istituzione, autorità o organizzazione che procede alla prova del tipo.</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6.</w:t>
      </w:r>
      <w:r>
        <w:tab/>
      </w:r>
      <w:r>
        <w:rPr>
          <w:noProof/>
          <w:color w:val="000000"/>
        </w:rPr>
        <w:t>"Dichiarazione del costruttore": la dichiarazione con la quale il costruttore garantisce che l'apparecchio rispetta i requisiti minimi prevalenti e che è identico sotto ogni aspetto al tipo presentato alla prova.</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7.</w:t>
      </w:r>
      <w:r>
        <w:tab/>
      </w:r>
      <w:r>
        <w:rPr>
          <w:noProof/>
          <w:color w:val="000000"/>
        </w:rPr>
        <w:t>"Dichiarazione di conformità a norma della direttiva 2014/53/UE</w:t>
      </w:r>
      <w:r>
        <w:rPr>
          <w:noProof/>
          <w:vertAlign w:val="superscript"/>
        </w:rPr>
        <w:footnoteReference w:id="52"/>
      </w:r>
      <w:r>
        <w:rPr>
          <w:noProof/>
          <w:color w:val="000000"/>
        </w:rPr>
        <w:t>": dichiarazione ai sensi della direttiva 2014/53/UE, allegato II, punto 4, in base alla quale il costruttore conferma che i prodotti in questione soddisfano i requisiti applicabili della direttiva.</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color w:val="000000"/>
          <w:szCs w:val="20"/>
        </w:rPr>
      </w:pPr>
    </w:p>
    <w:p w:rsidR="009C13A9" w:rsidRPr="00C903F8" w:rsidRDefault="009C13A9" w:rsidP="009C13A9">
      <w:pPr>
        <w:overflowPunct w:val="0"/>
        <w:adjustRightInd w:val="0"/>
        <w:spacing w:line="240" w:lineRule="atLeast"/>
        <w:ind w:left="1134" w:hanging="1134"/>
        <w:textAlignment w:val="baseline"/>
        <w:rPr>
          <w:rFonts w:cs="Arial"/>
          <w:szCs w:val="20"/>
        </w:rPr>
      </w:pPr>
    </w:p>
    <w:p w:rsidR="009C13A9" w:rsidRPr="00C903F8" w:rsidRDefault="009C13A9" w:rsidP="009C13A9">
      <w:pPr>
        <w:overflowPunct w:val="0"/>
        <w:adjustRightInd w:val="0"/>
        <w:spacing w:line="240" w:lineRule="atLeast"/>
        <w:ind w:left="1134" w:hanging="1134"/>
        <w:textAlignment w:val="baseline"/>
        <w:rPr>
          <w:rFonts w:cs="Arial"/>
          <w:szCs w:val="20"/>
        </w:rPr>
      </w:pPr>
    </w:p>
    <w:p w:rsidR="009C13A9" w:rsidRPr="00C903F8" w:rsidRDefault="009C13A9" w:rsidP="009C13A9">
      <w:pPr>
        <w:overflowPunct w:val="0"/>
        <w:adjustRightInd w:val="0"/>
        <w:spacing w:line="240" w:lineRule="atLeast"/>
        <w:ind w:left="0" w:firstLine="0"/>
        <w:jc w:val="center"/>
        <w:textAlignment w:val="baseline"/>
        <w:rPr>
          <w:rFonts w:cs="Arial"/>
          <w:szCs w:val="20"/>
        </w:rPr>
        <w:sectPr w:rsidR="009C13A9" w:rsidRPr="00C903F8" w:rsidSect="00FB55E9">
          <w:headerReference w:type="default" r:id="rId63"/>
          <w:footerReference w:type="default" r:id="rId64"/>
          <w:footnotePr>
            <w:numRestart w:val="eachPage"/>
          </w:footnotePr>
          <w:pgSz w:w="11907" w:h="16840" w:code="9"/>
          <w:pgMar w:top="1361" w:right="1418" w:bottom="1361" w:left="1418" w:header="680" w:footer="680" w:gutter="0"/>
          <w:cols w:space="720"/>
          <w:docGrid w:linePitch="326"/>
        </w:sectPr>
      </w:pPr>
    </w:p>
    <w:p w:rsidR="009C13A9" w:rsidRPr="00C903F8" w:rsidRDefault="009C13A9" w:rsidP="009C13A9">
      <w:pPr>
        <w:overflowPunct w:val="0"/>
        <w:adjustRightInd w:val="0"/>
        <w:spacing w:line="240" w:lineRule="atLeast"/>
        <w:ind w:left="0" w:firstLine="0"/>
        <w:jc w:val="center"/>
        <w:textAlignment w:val="baseline"/>
        <w:rPr>
          <w:rFonts w:cs="Arial"/>
          <w:szCs w:val="20"/>
        </w:rPr>
      </w:pPr>
    </w:p>
    <w:p w:rsidR="009C13A9" w:rsidRPr="00C903F8" w:rsidRDefault="00925755" w:rsidP="00C50DA9">
      <w:pPr>
        <w:pStyle w:val="ES-Titre3"/>
        <w:rPr>
          <w:noProof/>
        </w:rPr>
      </w:pPr>
      <w:bookmarkStart w:id="636" w:name="_Toc491854310"/>
      <w:bookmarkStart w:id="637" w:name="_Toc535500259"/>
      <w:r>
        <w:t>Sezione I</w:t>
      </w:r>
      <w:bookmarkEnd w:id="636"/>
      <w:bookmarkEnd w:id="637"/>
    </w:p>
    <w:p w:rsidR="009C13A9" w:rsidRPr="00C903F8" w:rsidRDefault="009C13A9" w:rsidP="00C50DA9">
      <w:pPr>
        <w:pStyle w:val="ES-Titre3a"/>
        <w:rPr>
          <w:rFonts w:cs="Arial"/>
          <w:bCs/>
          <w:szCs w:val="20"/>
        </w:rPr>
      </w:pPr>
      <w:bookmarkStart w:id="638" w:name="_Toc491854311"/>
      <w:bookmarkStart w:id="639" w:name="_Toc535500260"/>
      <w:r>
        <w:t>Requisiti minimi e condizioni di prova per gli impianti radar di navigazione utilizzati nella navigazione interna</w:t>
      </w:r>
      <w:bookmarkEnd w:id="638"/>
      <w:bookmarkEnd w:id="639"/>
    </w:p>
    <w:p w:rsidR="009C13A9" w:rsidRPr="00C903F8" w:rsidRDefault="009C13A9" w:rsidP="009C13A9">
      <w:pPr>
        <w:tabs>
          <w:tab w:val="right" w:pos="9072"/>
        </w:tabs>
        <w:overflowPunct w:val="0"/>
        <w:adjustRightInd w:val="0"/>
        <w:spacing w:line="240" w:lineRule="atLeast"/>
        <w:ind w:left="0" w:firstLine="0"/>
        <w:jc w:val="left"/>
        <w:textAlignment w:val="baseline"/>
        <w:rPr>
          <w:rFonts w:cs="Arial"/>
          <w:szCs w:val="20"/>
        </w:rPr>
      </w:pPr>
    </w:p>
    <w:p w:rsidR="009C13A9" w:rsidRPr="00C903F8" w:rsidRDefault="009C13A9" w:rsidP="009C13A9">
      <w:pPr>
        <w:spacing w:line="240" w:lineRule="atLeast"/>
        <w:ind w:left="0" w:firstLine="0"/>
        <w:jc w:val="center"/>
        <w:rPr>
          <w:rFonts w:cs="Arial"/>
          <w:i/>
          <w:noProof/>
        </w:rPr>
      </w:pPr>
      <w:r>
        <w:rPr>
          <w:b/>
          <w:noProof/>
        </w:rPr>
        <w:t>Articolo 1</w:t>
      </w:r>
      <w:r>
        <w:rPr>
          <w:rFonts w:cs="Arial"/>
          <w:b/>
          <w:noProof/>
        </w:rPr>
        <w:br/>
      </w:r>
      <w:r>
        <w:rPr>
          <w:i/>
          <w:noProof/>
        </w:rPr>
        <w:t>Campo d’applicazione</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noProof/>
        </w:rPr>
      </w:pPr>
      <w:r>
        <w:t xml:space="preserve">Le presenti disposizioni fissano i requisiti minimi degli impianti radar di navigazione utilizzati nella navigazione interna e le condizioni di prova di conformità a detti requisiti minimi. </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spacing w:line="240" w:lineRule="atLeast"/>
        <w:ind w:left="0" w:firstLine="0"/>
        <w:jc w:val="center"/>
        <w:rPr>
          <w:rFonts w:cs="Arial"/>
          <w:i/>
          <w:noProof/>
        </w:rPr>
      </w:pPr>
      <w:r>
        <w:rPr>
          <w:b/>
          <w:noProof/>
        </w:rPr>
        <w:t>Articolo 2</w:t>
      </w:r>
      <w:r>
        <w:rPr>
          <w:rFonts w:cs="Arial"/>
          <w:b/>
          <w:noProof/>
        </w:rPr>
        <w:br/>
      </w:r>
      <w:r>
        <w:rPr>
          <w:i/>
          <w:noProof/>
        </w:rPr>
        <w:t>Funzione dell'impianto radar di navigazione</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noProof/>
        </w:rPr>
      </w:pPr>
      <w:r>
        <w:t>L'impianto radar di navigazione facilita la navigazione della nave fornendo un'immagine intelligibile della posizione della stessa rispetto ai segnali idrografici, alla configurazione delle rive e alle installazioni per la navigazione, nonché permettendo di localizzare, tempestivamente e con sicurezza, la presenza di altre navi e di ostacoli che emergono dalla superficie dall'acqua.</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spacing w:line="240" w:lineRule="atLeast"/>
        <w:ind w:left="0" w:firstLine="0"/>
        <w:jc w:val="center"/>
        <w:rPr>
          <w:rFonts w:cs="Arial"/>
          <w:i/>
          <w:noProof/>
        </w:rPr>
      </w:pPr>
      <w:r>
        <w:rPr>
          <w:b/>
          <w:noProof/>
        </w:rPr>
        <w:t>Articolo 3</w:t>
      </w:r>
      <w:r>
        <w:rPr>
          <w:rFonts w:cs="Arial"/>
          <w:b/>
          <w:noProof/>
        </w:rPr>
        <w:br/>
      </w:r>
      <w:r>
        <w:rPr>
          <w:i/>
          <w:noProof/>
        </w:rPr>
        <w:t>Requisiti minimi</w:t>
      </w:r>
    </w:p>
    <w:p w:rsidR="009C13A9" w:rsidRPr="00C903F8" w:rsidRDefault="009C13A9" w:rsidP="009C13A9">
      <w:pPr>
        <w:spacing w:line="240" w:lineRule="atLeast"/>
        <w:ind w:left="0" w:firstLine="0"/>
        <w:jc w:val="center"/>
        <w:rPr>
          <w:rFonts w:cs="Arial"/>
          <w:noProof/>
        </w:rPr>
      </w:pPr>
    </w:p>
    <w:p w:rsidR="001077F3" w:rsidRPr="00C92875" w:rsidRDefault="001077F3" w:rsidP="001077F3">
      <w:pPr>
        <w:autoSpaceDE/>
        <w:autoSpaceDN/>
        <w:spacing w:line="240" w:lineRule="atLeast"/>
        <w:ind w:left="426" w:hanging="426"/>
        <w:jc w:val="left"/>
        <w:rPr>
          <w:rFonts w:eastAsia="Batang" w:cs="Arial"/>
          <w:noProof/>
          <w:color w:val="000000"/>
        </w:rPr>
      </w:pPr>
      <w:r>
        <w:rPr>
          <w:color w:val="000000"/>
        </w:rPr>
        <w:t>1.</w:t>
      </w:r>
      <w:r>
        <w:tab/>
      </w:r>
      <w:r>
        <w:rPr>
          <w:color w:val="000000"/>
        </w:rPr>
        <w:t xml:space="preserve">Gli impianti radar di navigazione soddisfano i requisiti di cui alla direttiva </w:t>
      </w:r>
      <w:r>
        <w:rPr>
          <w:rFonts w:ascii="ArialMT" w:eastAsiaTheme="minorHAnsi" w:hAnsi="ArialMT"/>
        </w:rPr>
        <w:t>2014/53/UE</w:t>
      </w:r>
      <w:r>
        <w:rPr>
          <w:noProof/>
          <w:color w:val="000000"/>
        </w:rPr>
        <w:t>.</w:t>
      </w:r>
    </w:p>
    <w:p w:rsidR="001077F3" w:rsidRPr="00C92875" w:rsidRDefault="001077F3" w:rsidP="001077F3">
      <w:pPr>
        <w:autoSpaceDE/>
        <w:autoSpaceDN/>
        <w:spacing w:line="240" w:lineRule="atLeast"/>
        <w:ind w:left="426" w:hanging="426"/>
        <w:jc w:val="left"/>
        <w:rPr>
          <w:rFonts w:eastAsia="Batang" w:cs="Arial"/>
          <w:noProof/>
          <w:color w:val="000000"/>
        </w:rPr>
      </w:pPr>
    </w:p>
    <w:p w:rsidR="001077F3" w:rsidRPr="00C92875" w:rsidRDefault="001077F3" w:rsidP="001077F3">
      <w:pPr>
        <w:spacing w:line="240" w:lineRule="atLeast"/>
        <w:ind w:left="426" w:hanging="426"/>
        <w:rPr>
          <w:rFonts w:cs="Arial"/>
          <w:noProof/>
          <w:color w:val="000000"/>
        </w:rPr>
      </w:pPr>
      <w:r>
        <w:rPr>
          <w:color w:val="000000"/>
        </w:rPr>
        <w:t>2.</w:t>
      </w:r>
      <w:r>
        <w:tab/>
      </w:r>
      <w:r>
        <w:rPr>
          <w:color w:val="000000"/>
        </w:rPr>
        <w:t>Gli impianti radar di navigazione devono soddisfare altresì i requisiti della norma europea EN 302 194-1:2006 Compatibilità elettromagnetica e questioni relative allo spettro delle radiofrequenze (ERM); Radar di navigazione utilizzati nelle vie navigabili interne: parte 1: caratteristiche tecniche e metodi di misura.</w:t>
      </w:r>
    </w:p>
    <w:p w:rsidR="001077F3" w:rsidRPr="00C92875" w:rsidRDefault="001077F3" w:rsidP="001077F3">
      <w:pPr>
        <w:spacing w:line="240" w:lineRule="atLeast"/>
        <w:ind w:left="426" w:hanging="426"/>
        <w:rPr>
          <w:rFonts w:cs="Arial"/>
          <w:noProof/>
          <w:color w:val="000000"/>
        </w:rPr>
      </w:pPr>
    </w:p>
    <w:p w:rsidR="001077F3" w:rsidRPr="00C92875" w:rsidRDefault="001077F3" w:rsidP="001077F3">
      <w:pPr>
        <w:spacing w:line="240" w:lineRule="atLeast"/>
        <w:ind w:left="426" w:hanging="426"/>
        <w:rPr>
          <w:rFonts w:cs="Arial"/>
          <w:color w:val="000000"/>
        </w:rPr>
      </w:pPr>
      <w:r>
        <w:rPr>
          <w:color w:val="000000"/>
        </w:rPr>
        <w:t>3.</w:t>
      </w:r>
      <w:r>
        <w:tab/>
      </w:r>
      <w:r>
        <w:rPr>
          <w:color w:val="000000"/>
        </w:rPr>
        <w:t>Il paragrafo 2 non si applica ai componenti hardware del dispositivo ECDIS interno utilizzati nel modo navigazione nella configurazione di sistema 2 o 3 in conformità alla norma ECDIS interno, sezione 1, punto 5.2 in combinato disposto con la sezione 4 punto 2.2.2 o 2.2.3 se viene presentato il certificato di conformità del costruttore. Tale certificato di conformità deve confermare che i componenti hardware:</w:t>
      </w:r>
    </w:p>
    <w:p w:rsidR="001077F3" w:rsidRPr="00C92875" w:rsidRDefault="001077F3" w:rsidP="00C92875">
      <w:pPr>
        <w:tabs>
          <w:tab w:val="left" w:pos="0"/>
        </w:tabs>
        <w:overflowPunct w:val="0"/>
        <w:adjustRightInd w:val="0"/>
        <w:spacing w:before="60" w:line="240" w:lineRule="atLeast"/>
        <w:ind w:left="850"/>
        <w:textAlignment w:val="baseline"/>
        <w:rPr>
          <w:rFonts w:cs="Arial"/>
          <w:szCs w:val="20"/>
        </w:rPr>
      </w:pPr>
      <w:r>
        <w:rPr>
          <w:color w:val="000000"/>
        </w:rPr>
        <w:t>a)</w:t>
      </w:r>
      <w:r>
        <w:tab/>
      </w:r>
      <w:r>
        <w:rPr>
          <w:color w:val="000000"/>
        </w:rPr>
        <w:t>sono progettati e fabbricati per resistere alle sollecitazioni tipiche e alle condizioni ambientali prevalenti a bordo di una nave, senza perdita di qualità o affidabilità; e</w:t>
      </w:r>
    </w:p>
    <w:p w:rsidR="001077F3" w:rsidRPr="00C92875" w:rsidRDefault="001077F3" w:rsidP="00C92875">
      <w:pPr>
        <w:tabs>
          <w:tab w:val="left" w:pos="0"/>
        </w:tabs>
        <w:overflowPunct w:val="0"/>
        <w:adjustRightInd w:val="0"/>
        <w:spacing w:before="60" w:line="240" w:lineRule="atLeast"/>
        <w:ind w:left="850"/>
        <w:textAlignment w:val="baseline"/>
        <w:rPr>
          <w:rFonts w:cs="Arial"/>
          <w:color w:val="000000"/>
          <w:szCs w:val="20"/>
        </w:rPr>
      </w:pPr>
      <w:r>
        <w:t>b)</w:t>
      </w:r>
      <w:r>
        <w:tab/>
      </w:r>
      <w:r>
        <w:rPr>
          <w:color w:val="000000"/>
        </w:rPr>
        <w:t>non interferiscono con il funzionamento di altre apparecchiature di comunicazione e di navigazione presenti a bordo.</w:t>
      </w:r>
    </w:p>
    <w:p w:rsidR="001077F3" w:rsidRPr="00C92875" w:rsidRDefault="001077F3" w:rsidP="001077F3">
      <w:pPr>
        <w:tabs>
          <w:tab w:val="left" w:pos="495"/>
        </w:tabs>
        <w:overflowPunct w:val="0"/>
        <w:adjustRightInd w:val="0"/>
        <w:spacing w:line="240" w:lineRule="atLeast"/>
        <w:ind w:left="426" w:hanging="426"/>
        <w:jc w:val="left"/>
        <w:textAlignment w:val="baseline"/>
        <w:rPr>
          <w:rFonts w:cs="Arial"/>
          <w:b/>
          <w:bCs/>
          <w:noProof/>
          <w:szCs w:val="20"/>
        </w:rPr>
      </w:pPr>
    </w:p>
    <w:p w:rsidR="001077F3" w:rsidRPr="001077F3" w:rsidRDefault="001077F3" w:rsidP="00C92875">
      <w:pPr>
        <w:spacing w:line="240" w:lineRule="atLeast"/>
        <w:ind w:left="426" w:firstLine="0"/>
        <w:rPr>
          <w:rFonts w:cs="Arial"/>
          <w:color w:val="000000"/>
        </w:rPr>
      </w:pPr>
      <w:r>
        <w:rPr>
          <w:rFonts w:eastAsiaTheme="minorHAnsi" w:cstheme="minorBidi"/>
          <w:color w:val="000000"/>
        </w:rPr>
        <w:t>La prima frase non si applica alle unità di visualizzazione funzionanti in modo navigazione nella configurazione di sistema 3, né ai componenti hardware utilizzati per fornire informazioni radar dal processore del radar per la visualizzazione sullo schermo del dispositivo ECDIS interno.</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p>
    <w:p w:rsidR="001077F3" w:rsidRDefault="001077F3">
      <w:pPr>
        <w:autoSpaceDE/>
        <w:autoSpaceDN/>
        <w:ind w:left="0" w:firstLine="0"/>
        <w:jc w:val="left"/>
        <w:rPr>
          <w:rFonts w:cs="Arial"/>
          <w:b/>
          <w:noProof/>
        </w:rPr>
      </w:pPr>
      <w:r>
        <w:br w:type="page"/>
      </w:r>
    </w:p>
    <w:p w:rsidR="001077F3" w:rsidRDefault="001077F3" w:rsidP="009C13A9">
      <w:pPr>
        <w:spacing w:line="240" w:lineRule="atLeast"/>
        <w:ind w:left="0" w:firstLine="0"/>
        <w:jc w:val="center"/>
        <w:rPr>
          <w:rFonts w:cs="Arial"/>
          <w:b/>
          <w:noProof/>
        </w:rPr>
      </w:pPr>
    </w:p>
    <w:p w:rsidR="009C13A9" w:rsidRPr="00C903F8" w:rsidRDefault="009C13A9" w:rsidP="009C13A9">
      <w:pPr>
        <w:spacing w:line="240" w:lineRule="atLeast"/>
        <w:ind w:left="0" w:firstLine="0"/>
        <w:jc w:val="center"/>
        <w:rPr>
          <w:rFonts w:cs="Arial"/>
          <w:i/>
          <w:noProof/>
        </w:rPr>
      </w:pPr>
      <w:r>
        <w:rPr>
          <w:b/>
          <w:noProof/>
        </w:rPr>
        <w:t>Articolo 4</w:t>
      </w:r>
      <w:r>
        <w:rPr>
          <w:rFonts w:cs="Arial"/>
          <w:b/>
          <w:noProof/>
        </w:rPr>
        <w:br/>
      </w:r>
      <w:r>
        <w:rPr>
          <w:i/>
          <w:noProof/>
        </w:rPr>
        <w:t>Prove del tipo</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noProof/>
        </w:rPr>
      </w:pPr>
      <w:r>
        <w:t>La conformità ai requisiti minimi come precisato all'articolo 3, paragrafo 2, viene stabilita attraverso una prova del tipo.</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noProof/>
        </w:rPr>
      </w:pPr>
      <w:r>
        <w:t>Se l’apparecchio supera la prova del tipo il servizio tecnico rilascia un certificato di prova. Nel caso in cui i requisiti minimi non siano soddisfatti, i motivi del rifiuto sono comunicati per iscritto al richiedente.</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spacing w:line="240" w:lineRule="atLeast"/>
        <w:ind w:left="0" w:firstLine="0"/>
        <w:jc w:val="center"/>
        <w:rPr>
          <w:rFonts w:cs="Arial"/>
          <w:i/>
          <w:noProof/>
        </w:rPr>
      </w:pPr>
      <w:r>
        <w:rPr>
          <w:b/>
          <w:noProof/>
        </w:rPr>
        <w:t>Articolo 5</w:t>
      </w:r>
      <w:r>
        <w:rPr>
          <w:rFonts w:cs="Arial"/>
          <w:b/>
          <w:noProof/>
        </w:rPr>
        <w:br/>
      </w:r>
      <w:r>
        <w:rPr>
          <w:i/>
          <w:noProof/>
        </w:rPr>
        <w:t>Domanda di prova del tipo</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1.</w:t>
      </w:r>
      <w:r>
        <w:tab/>
      </w:r>
      <w:r>
        <w:rPr>
          <w:noProof/>
          <w:color w:val="000000"/>
        </w:rPr>
        <w:t>Le domande per una prova del tipo di un impianto radar di navigazione vengono presentate al servizio tecnico competente.</w:t>
      </w:r>
    </w:p>
    <w:p w:rsidR="009C13A9" w:rsidRPr="00C903F8" w:rsidRDefault="009C13A9" w:rsidP="001077F3">
      <w:pPr>
        <w:spacing w:line="240" w:lineRule="atLeast"/>
        <w:ind w:left="0" w:firstLine="0"/>
        <w:rPr>
          <w:rFonts w:cs="Arial"/>
          <w:noProof/>
          <w:color w:val="000000"/>
        </w:rPr>
      </w:pPr>
    </w:p>
    <w:p w:rsidR="009C13A9" w:rsidRPr="00C903F8" w:rsidRDefault="009C13A9" w:rsidP="009C13A9">
      <w:pPr>
        <w:spacing w:line="240" w:lineRule="atLeast"/>
        <w:rPr>
          <w:rFonts w:cs="Arial"/>
          <w:noProof/>
          <w:color w:val="000000"/>
        </w:rPr>
      </w:pPr>
      <w:r>
        <w:rPr>
          <w:noProof/>
          <w:color w:val="000000"/>
        </w:rPr>
        <w:t>2.</w:t>
      </w:r>
      <w:r>
        <w:tab/>
      </w:r>
      <w:r>
        <w:rPr>
          <w:noProof/>
          <w:color w:val="000000"/>
        </w:rPr>
        <w:t>La domanda è accompagnata dai seguenti documenti:</w:t>
      </w:r>
    </w:p>
    <w:p w:rsidR="009C13A9" w:rsidRPr="00C903F8" w:rsidRDefault="009C13A9" w:rsidP="009C13A9">
      <w:pPr>
        <w:spacing w:before="60" w:line="240" w:lineRule="atLeast"/>
        <w:ind w:left="851"/>
        <w:rPr>
          <w:rFonts w:cs="Arial"/>
          <w:noProof/>
          <w:szCs w:val="22"/>
        </w:rPr>
      </w:pPr>
      <w:r>
        <w:t>a)</w:t>
      </w:r>
      <w:r>
        <w:tab/>
        <w:t>due descrizioni tecniche dettagliate;</w:t>
      </w:r>
    </w:p>
    <w:p w:rsidR="009C13A9" w:rsidRPr="00C903F8" w:rsidRDefault="009C13A9" w:rsidP="009C13A9">
      <w:pPr>
        <w:spacing w:before="60" w:line="240" w:lineRule="atLeast"/>
        <w:ind w:left="851"/>
        <w:rPr>
          <w:rFonts w:cs="Arial"/>
          <w:noProof/>
          <w:szCs w:val="22"/>
        </w:rPr>
      </w:pPr>
      <w:r>
        <w:t>b)</w:t>
      </w:r>
      <w:r>
        <w:tab/>
        <w:t>due serie di documentazione completa di montaggio e di funzionamento;</w:t>
      </w:r>
    </w:p>
    <w:p w:rsidR="009C13A9" w:rsidRPr="00C903F8" w:rsidRDefault="009C13A9" w:rsidP="009C13A9">
      <w:pPr>
        <w:spacing w:before="60" w:line="240" w:lineRule="atLeast"/>
        <w:ind w:left="851"/>
        <w:rPr>
          <w:rFonts w:cs="Arial"/>
          <w:noProof/>
          <w:szCs w:val="22"/>
        </w:rPr>
      </w:pPr>
      <w:r>
        <w:t>c)</w:t>
      </w:r>
      <w:r>
        <w:tab/>
        <w:t xml:space="preserve">due manuali di istruzioni particolareggiati; </w:t>
      </w:r>
    </w:p>
    <w:p w:rsidR="009C13A9" w:rsidRPr="00C903F8" w:rsidRDefault="009C13A9" w:rsidP="009C13A9">
      <w:pPr>
        <w:spacing w:before="60" w:line="240" w:lineRule="atLeast"/>
        <w:ind w:left="851"/>
        <w:rPr>
          <w:rFonts w:cs="Arial"/>
          <w:noProof/>
          <w:szCs w:val="22"/>
        </w:rPr>
      </w:pPr>
      <w:r>
        <w:t>d)</w:t>
      </w:r>
      <w:r>
        <w:tab/>
        <w:t>due manuali brevi di istruzioni; e</w:t>
      </w:r>
    </w:p>
    <w:p w:rsidR="009C13A9" w:rsidRPr="00C903F8" w:rsidRDefault="009C13A9" w:rsidP="009C13A9">
      <w:pPr>
        <w:spacing w:before="60" w:line="240" w:lineRule="atLeast"/>
        <w:ind w:left="851"/>
        <w:rPr>
          <w:rFonts w:cs="Arial"/>
          <w:noProof/>
          <w:szCs w:val="22"/>
        </w:rPr>
      </w:pPr>
      <w:r>
        <w:t>e)</w:t>
      </w:r>
      <w:r>
        <w:tab/>
        <w:t>se del caso, attestati delle prove superate in precedenza.</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3.</w:t>
      </w:r>
      <w:r>
        <w:tab/>
      </w:r>
      <w:r>
        <w:rPr>
          <w:noProof/>
          <w:color w:val="000000"/>
        </w:rPr>
        <w:t>Qualora il richiedente non intenda ricevere la dichiarazione di conformità ai sensi della direttiva 2014/53/UE assieme all'omologazione, la dichiarazione di conformità viene trasmessa assieme alla domanda di prova del tipo.</w:t>
      </w:r>
    </w:p>
    <w:p w:rsidR="009C13A9" w:rsidRPr="00C903F8" w:rsidRDefault="009C13A9" w:rsidP="009C13A9">
      <w:pPr>
        <w:spacing w:line="240" w:lineRule="atLeast"/>
        <w:rPr>
          <w:rFonts w:cs="Arial"/>
          <w:noProof/>
          <w:color w:val="000000"/>
        </w:rPr>
      </w:pPr>
    </w:p>
    <w:p w:rsidR="001077F3" w:rsidRDefault="001077F3" w:rsidP="009C13A9">
      <w:pPr>
        <w:spacing w:line="240" w:lineRule="atLeast"/>
        <w:ind w:left="0" w:firstLine="0"/>
        <w:jc w:val="center"/>
        <w:rPr>
          <w:rFonts w:cs="Arial"/>
          <w:b/>
          <w:noProof/>
        </w:rPr>
      </w:pPr>
    </w:p>
    <w:p w:rsidR="009C13A9" w:rsidRPr="00C903F8" w:rsidRDefault="009C13A9" w:rsidP="009C13A9">
      <w:pPr>
        <w:spacing w:line="240" w:lineRule="atLeast"/>
        <w:ind w:left="0" w:firstLine="0"/>
        <w:jc w:val="center"/>
        <w:rPr>
          <w:rFonts w:cs="Arial"/>
          <w:i/>
          <w:noProof/>
        </w:rPr>
      </w:pPr>
      <w:r>
        <w:rPr>
          <w:b/>
          <w:noProof/>
        </w:rPr>
        <w:t>Articolo 6</w:t>
      </w:r>
      <w:r>
        <w:rPr>
          <w:rFonts w:cs="Arial"/>
          <w:b/>
          <w:noProof/>
        </w:rPr>
        <w:br/>
      </w:r>
      <w:r>
        <w:rPr>
          <w:i/>
          <w:noProof/>
        </w:rPr>
        <w:t>Omologazione</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1.</w:t>
      </w:r>
      <w:r>
        <w:tab/>
      </w:r>
      <w:r>
        <w:rPr>
          <w:noProof/>
          <w:color w:val="000000"/>
        </w:rPr>
        <w:t xml:space="preserve">L’omologazione viene rilasciata dall’autorità competente a norma del certificato di prova. </w:t>
      </w:r>
    </w:p>
    <w:p w:rsidR="009C13A9" w:rsidRPr="00C903F8" w:rsidRDefault="009C13A9" w:rsidP="009C13A9">
      <w:pPr>
        <w:ind w:left="851"/>
      </w:pPr>
    </w:p>
    <w:p w:rsidR="009C13A9" w:rsidRPr="00C903F8" w:rsidRDefault="009C13A9" w:rsidP="009C13A9">
      <w:pPr>
        <w:spacing w:line="240" w:lineRule="atLeast"/>
        <w:rPr>
          <w:rFonts w:cs="Arial"/>
          <w:noProof/>
          <w:color w:val="000000"/>
        </w:rPr>
      </w:pPr>
      <w:r>
        <w:rPr>
          <w:noProof/>
          <w:color w:val="000000"/>
        </w:rPr>
        <w:t>2.</w:t>
      </w:r>
      <w:r>
        <w:tab/>
      </w:r>
      <w:r>
        <w:rPr>
          <w:noProof/>
          <w:color w:val="000000"/>
        </w:rPr>
        <w:t>Ogni autorità competente o il servizio tecnico designato dall'autorità competente sono autorizzati a scegliere l'apparecchio tra le serie di produzione in qualsiasi momento per l'ispezione.</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t>Se dall’ispezione emergono difetti, l’omologazione può essere ritirata.</w:t>
      </w:r>
    </w:p>
    <w:p w:rsidR="009C13A9" w:rsidRPr="00C903F8" w:rsidRDefault="009C13A9" w:rsidP="009C13A9">
      <w:pPr>
        <w:ind w:left="850"/>
        <w:rPr>
          <w:noProof/>
        </w:rPr>
      </w:pPr>
    </w:p>
    <w:p w:rsidR="009C13A9" w:rsidRPr="00C903F8" w:rsidRDefault="009C13A9" w:rsidP="009C13A9">
      <w:pPr>
        <w:spacing w:line="240" w:lineRule="atLeast"/>
        <w:ind w:left="426" w:firstLine="0"/>
        <w:rPr>
          <w:noProof/>
        </w:rPr>
      </w:pPr>
      <w:r>
        <w:t>Per il ritiro è competente la stessa autorità che ha rilasciato l’omologazione.</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0" w:firstLine="0"/>
        <w:jc w:val="center"/>
        <w:rPr>
          <w:rFonts w:cs="Arial"/>
          <w:i/>
          <w:noProof/>
        </w:rPr>
      </w:pPr>
      <w:r>
        <w:rPr>
          <w:b/>
          <w:noProof/>
        </w:rPr>
        <w:t>Articolo 7</w:t>
      </w:r>
      <w:r>
        <w:rPr>
          <w:rFonts w:cs="Arial"/>
          <w:b/>
          <w:noProof/>
        </w:rPr>
        <w:br/>
      </w:r>
      <w:r>
        <w:rPr>
          <w:i/>
          <w:noProof/>
        </w:rPr>
        <w:t>Marcatura dell’apparecchio e numero di omologazione</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1.</w:t>
      </w:r>
      <w:r>
        <w:tab/>
      </w:r>
      <w:r>
        <w:rPr>
          <w:noProof/>
          <w:color w:val="000000"/>
        </w:rPr>
        <w:t>Su ogni componente dell'apparecchio è marcato in modo indelebile il nome del costruttore, la denominazione commerciale dell'apparecchio, il tipo di apparecchio e il numero di serie.</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2.</w:t>
      </w:r>
      <w:r>
        <w:tab/>
      </w:r>
      <w:r>
        <w:rPr>
          <w:noProof/>
          <w:color w:val="000000"/>
        </w:rPr>
        <w:t>Il numero di omologazione rilasciato dall’autorità competente è apposto in modo indelebile sull’unità di visualizzazione, in modo che resti visibile anche dopo l’installazione.</w:t>
      </w:r>
    </w:p>
    <w:p w:rsidR="009C13A9" w:rsidRPr="00C903F8" w:rsidRDefault="009C13A9" w:rsidP="009C13A9">
      <w:pPr>
        <w:spacing w:line="240" w:lineRule="atLeast"/>
        <w:ind w:left="426" w:firstLine="0"/>
        <w:rPr>
          <w:noProof/>
        </w:rPr>
      </w:pPr>
    </w:p>
    <w:p w:rsidR="001077F3" w:rsidRDefault="001077F3">
      <w:pPr>
        <w:autoSpaceDE/>
        <w:autoSpaceDN/>
        <w:ind w:left="0" w:firstLine="0"/>
        <w:jc w:val="left"/>
        <w:rPr>
          <w:noProof/>
        </w:rPr>
      </w:pPr>
      <w:r>
        <w:br w:type="page"/>
      </w:r>
    </w:p>
    <w:p w:rsidR="009C13A9" w:rsidRPr="00C903F8" w:rsidRDefault="009C13A9" w:rsidP="009C13A9">
      <w:pPr>
        <w:spacing w:line="240" w:lineRule="atLeast"/>
        <w:ind w:left="426" w:firstLine="0"/>
      </w:pPr>
      <w:r>
        <w:lastRenderedPageBreak/>
        <w:t>Composizione del numero di omologazione: R-NN-NNN o e-NN-NNN</w:t>
      </w:r>
    </w:p>
    <w:p w:rsidR="009C13A9" w:rsidRPr="00C903F8" w:rsidRDefault="009C13A9" w:rsidP="009C13A9">
      <w:pPr>
        <w:tabs>
          <w:tab w:val="left" w:pos="993"/>
        </w:tabs>
        <w:spacing w:before="60" w:line="240" w:lineRule="atLeast"/>
        <w:ind w:left="1418" w:hanging="993"/>
        <w:rPr>
          <w:rFonts w:cs="Arial"/>
          <w:noProof/>
          <w:szCs w:val="20"/>
        </w:rPr>
      </w:pPr>
      <w:r>
        <w:t>R</w:t>
      </w:r>
      <w:r>
        <w:tab/>
        <w:t>=</w:t>
      </w:r>
      <w:r>
        <w:tab/>
        <w:t>Reno</w:t>
      </w:r>
    </w:p>
    <w:p w:rsidR="009C13A9" w:rsidRPr="00C903F8" w:rsidRDefault="009C13A9" w:rsidP="009C13A9">
      <w:pPr>
        <w:tabs>
          <w:tab w:val="left" w:pos="993"/>
        </w:tabs>
        <w:spacing w:before="60" w:line="240" w:lineRule="atLeast"/>
        <w:ind w:left="1418" w:hanging="993"/>
        <w:rPr>
          <w:noProof/>
        </w:rPr>
      </w:pPr>
      <w:r>
        <w:t>e</w:t>
      </w:r>
      <w:r>
        <w:tab/>
        <w:t>=</w:t>
      </w:r>
      <w:r>
        <w:tab/>
        <w:t>Unione europea</w:t>
      </w:r>
    </w:p>
    <w:p w:rsidR="009C13A9" w:rsidRPr="00C903F8" w:rsidRDefault="009C13A9" w:rsidP="009C13A9">
      <w:pPr>
        <w:tabs>
          <w:tab w:val="left" w:pos="993"/>
        </w:tabs>
        <w:spacing w:before="60" w:line="240" w:lineRule="atLeast"/>
        <w:ind w:left="1418" w:hanging="993"/>
        <w:rPr>
          <w:noProof/>
        </w:rPr>
      </w:pPr>
      <w:r>
        <w:t>NN</w:t>
      </w:r>
      <w:r>
        <w:tab/>
        <w:t>=</w:t>
      </w:r>
      <w:r>
        <w:tab/>
        <w:t>numero dello Stato di omologazione, ove</w:t>
      </w:r>
    </w:p>
    <w:p w:rsidR="009C13A9" w:rsidRPr="00C903F8" w:rsidRDefault="009C13A9" w:rsidP="009C13A9">
      <w:pPr>
        <w:spacing w:line="240" w:lineRule="atLeast"/>
        <w:ind w:left="426" w:firstLine="0"/>
        <w:rPr>
          <w:noProof/>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01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Germania</w:t>
            </w:r>
          </w:p>
        </w:tc>
        <w:tc>
          <w:tcPr>
            <w:tcW w:w="724" w:type="dxa"/>
          </w:tcPr>
          <w:p w:rsidR="009C13A9" w:rsidRPr="00C903F8" w:rsidRDefault="009C13A9" w:rsidP="009C13A9">
            <w:pPr>
              <w:spacing w:before="40" w:after="40" w:line="240" w:lineRule="atLeast"/>
              <w:rPr>
                <w:noProof/>
                <w:szCs w:val="20"/>
              </w:rPr>
            </w:pPr>
            <w:r>
              <w:t>19</w:t>
            </w:r>
          </w:p>
        </w:tc>
        <w:tc>
          <w:tcPr>
            <w:tcW w:w="416" w:type="dxa"/>
          </w:tcPr>
          <w:p w:rsidR="009C13A9" w:rsidRPr="00C903F8" w:rsidRDefault="009C13A9" w:rsidP="009C13A9">
            <w:pPr>
              <w:spacing w:before="40" w:after="40" w:line="240" w:lineRule="atLeast"/>
              <w:rPr>
                <w:noProof/>
                <w:szCs w:val="20"/>
              </w:rPr>
            </w:pPr>
            <w:r>
              <w:t>=</w:t>
            </w:r>
          </w:p>
        </w:tc>
        <w:tc>
          <w:tcPr>
            <w:tcW w:w="2205" w:type="dxa"/>
          </w:tcPr>
          <w:p w:rsidR="009C13A9" w:rsidRPr="00C903F8" w:rsidRDefault="009C13A9" w:rsidP="009C13A9">
            <w:pPr>
              <w:spacing w:before="40" w:after="40" w:line="240" w:lineRule="atLeast"/>
              <w:rPr>
                <w:noProof/>
                <w:szCs w:val="20"/>
              </w:rPr>
            </w:pPr>
            <w:r>
              <w:t>Romania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02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 xml:space="preserve">Francia </w:t>
            </w:r>
          </w:p>
        </w:tc>
        <w:tc>
          <w:tcPr>
            <w:tcW w:w="724" w:type="dxa"/>
          </w:tcPr>
          <w:p w:rsidR="009C13A9" w:rsidRPr="00C903F8" w:rsidRDefault="009C13A9" w:rsidP="009C13A9">
            <w:pPr>
              <w:spacing w:before="40" w:after="40" w:line="240" w:lineRule="atLeast"/>
              <w:rPr>
                <w:noProof/>
                <w:szCs w:val="20"/>
              </w:rPr>
            </w:pPr>
            <w:r>
              <w:t xml:space="preserve">20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 xml:space="preserve">Polonia </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03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Italia</w:t>
            </w:r>
          </w:p>
        </w:tc>
        <w:tc>
          <w:tcPr>
            <w:tcW w:w="724" w:type="dxa"/>
          </w:tcPr>
          <w:p w:rsidR="009C13A9" w:rsidRPr="00C903F8" w:rsidRDefault="009C13A9" w:rsidP="009C13A9">
            <w:pPr>
              <w:spacing w:before="40" w:after="40" w:line="240" w:lineRule="atLeast"/>
              <w:rPr>
                <w:noProof/>
                <w:szCs w:val="20"/>
              </w:rPr>
            </w:pPr>
            <w:r>
              <w:t xml:space="preserve">21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 xml:space="preserve">Portogallo </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04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 xml:space="preserve">Paesi Bassi </w:t>
            </w:r>
          </w:p>
        </w:tc>
        <w:tc>
          <w:tcPr>
            <w:tcW w:w="724" w:type="dxa"/>
          </w:tcPr>
          <w:p w:rsidR="009C13A9" w:rsidRPr="00C903F8" w:rsidRDefault="009C13A9" w:rsidP="009C13A9">
            <w:pPr>
              <w:spacing w:before="40" w:after="40" w:line="240" w:lineRule="atLeast"/>
              <w:rPr>
                <w:noProof/>
                <w:szCs w:val="20"/>
              </w:rPr>
            </w:pPr>
            <w:r>
              <w:t xml:space="preserve">23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Grecia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05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Svezia</w:t>
            </w:r>
          </w:p>
        </w:tc>
        <w:tc>
          <w:tcPr>
            <w:tcW w:w="724" w:type="dxa"/>
          </w:tcPr>
          <w:p w:rsidR="009C13A9" w:rsidRPr="00C903F8" w:rsidRDefault="009C13A9" w:rsidP="009C13A9">
            <w:pPr>
              <w:spacing w:before="40" w:after="40" w:line="240" w:lineRule="atLeast"/>
              <w:rPr>
                <w:noProof/>
                <w:szCs w:val="20"/>
              </w:rPr>
            </w:pPr>
            <w:r>
              <w:t xml:space="preserve">24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Irlanda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06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 xml:space="preserve">Belgio </w:t>
            </w:r>
          </w:p>
        </w:tc>
        <w:tc>
          <w:tcPr>
            <w:tcW w:w="724" w:type="dxa"/>
            <w:vAlign w:val="center"/>
          </w:tcPr>
          <w:p w:rsidR="009C13A9" w:rsidRPr="00C903F8" w:rsidRDefault="009C13A9" w:rsidP="009C13A9">
            <w:pPr>
              <w:spacing w:before="40" w:after="40" w:line="240" w:lineRule="atLeast"/>
              <w:rPr>
                <w:noProof/>
                <w:szCs w:val="20"/>
              </w:rPr>
            </w:pPr>
            <w:r>
              <w:rPr>
                <w:color w:val="000000"/>
              </w:rPr>
              <w:t>25</w:t>
            </w:r>
          </w:p>
        </w:tc>
        <w:tc>
          <w:tcPr>
            <w:tcW w:w="416" w:type="dxa"/>
            <w:vAlign w:val="center"/>
          </w:tcPr>
          <w:p w:rsidR="009C13A9" w:rsidRPr="00C903F8" w:rsidRDefault="009C13A9" w:rsidP="009C13A9">
            <w:pPr>
              <w:spacing w:before="40" w:after="40" w:line="240" w:lineRule="atLeast"/>
              <w:rPr>
                <w:noProof/>
                <w:szCs w:val="20"/>
              </w:rPr>
            </w:pPr>
            <w:r>
              <w:rPr>
                <w:color w:val="000000"/>
              </w:rPr>
              <w:t>=</w:t>
            </w:r>
          </w:p>
        </w:tc>
        <w:tc>
          <w:tcPr>
            <w:tcW w:w="2205" w:type="dxa"/>
            <w:vAlign w:val="center"/>
          </w:tcPr>
          <w:p w:rsidR="009C13A9" w:rsidRPr="00C903F8" w:rsidRDefault="009C13A9" w:rsidP="009C13A9">
            <w:pPr>
              <w:spacing w:before="40" w:after="40" w:line="240" w:lineRule="atLeast"/>
              <w:rPr>
                <w:noProof/>
                <w:szCs w:val="20"/>
              </w:rPr>
            </w:pPr>
            <w:r>
              <w:t>Croazia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07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Ungheria</w:t>
            </w:r>
          </w:p>
        </w:tc>
        <w:tc>
          <w:tcPr>
            <w:tcW w:w="724" w:type="dxa"/>
          </w:tcPr>
          <w:p w:rsidR="009C13A9" w:rsidRPr="00C903F8" w:rsidRDefault="009C13A9" w:rsidP="009C13A9">
            <w:pPr>
              <w:spacing w:before="40" w:after="40" w:line="240" w:lineRule="atLeast"/>
              <w:rPr>
                <w:noProof/>
                <w:szCs w:val="20"/>
              </w:rPr>
            </w:pPr>
            <w:r>
              <w:t xml:space="preserve">26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Slovenia</w:t>
            </w:r>
          </w:p>
        </w:tc>
      </w:tr>
      <w:tr w:rsidR="009C13A9" w:rsidRPr="00C903F8" w:rsidTr="009C13A9">
        <w:trPr>
          <w:jc w:val="center"/>
        </w:trPr>
        <w:tc>
          <w:tcPr>
            <w:tcW w:w="720" w:type="dxa"/>
          </w:tcPr>
          <w:p w:rsidR="009C13A9" w:rsidRPr="00C903F8" w:rsidRDefault="009C13A9" w:rsidP="009C13A9">
            <w:pPr>
              <w:spacing w:before="40" w:after="160" w:line="240" w:lineRule="atLeast"/>
              <w:rPr>
                <w:noProof/>
                <w:szCs w:val="20"/>
              </w:rPr>
            </w:pPr>
            <w:r>
              <w:t xml:space="preserve">08 </w:t>
            </w:r>
          </w:p>
        </w:tc>
        <w:tc>
          <w:tcPr>
            <w:tcW w:w="360" w:type="dxa"/>
          </w:tcPr>
          <w:p w:rsidR="009C13A9" w:rsidRPr="00C903F8" w:rsidRDefault="009C13A9" w:rsidP="009C13A9">
            <w:pPr>
              <w:spacing w:before="40" w:after="160" w:line="240" w:lineRule="atLeast"/>
              <w:rPr>
                <w:noProof/>
                <w:szCs w:val="20"/>
              </w:rPr>
            </w:pPr>
            <w:r>
              <w:t xml:space="preserve">= </w:t>
            </w:r>
          </w:p>
        </w:tc>
        <w:tc>
          <w:tcPr>
            <w:tcW w:w="3162" w:type="dxa"/>
          </w:tcPr>
          <w:p w:rsidR="009C13A9" w:rsidRPr="00C903F8" w:rsidRDefault="009C13A9" w:rsidP="009C13A9">
            <w:pPr>
              <w:spacing w:before="40" w:after="160" w:line="240" w:lineRule="atLeast"/>
              <w:rPr>
                <w:noProof/>
                <w:szCs w:val="20"/>
              </w:rPr>
            </w:pPr>
            <w:r>
              <w:t>Repubblica ceca</w:t>
            </w:r>
          </w:p>
        </w:tc>
        <w:tc>
          <w:tcPr>
            <w:tcW w:w="724" w:type="dxa"/>
          </w:tcPr>
          <w:p w:rsidR="009C13A9" w:rsidRPr="00C903F8" w:rsidRDefault="009C13A9" w:rsidP="009C13A9">
            <w:pPr>
              <w:spacing w:before="40" w:after="160" w:line="240" w:lineRule="atLeast"/>
              <w:rPr>
                <w:noProof/>
                <w:szCs w:val="20"/>
              </w:rPr>
            </w:pPr>
            <w:r>
              <w:t xml:space="preserve">27 </w:t>
            </w:r>
          </w:p>
        </w:tc>
        <w:tc>
          <w:tcPr>
            <w:tcW w:w="416" w:type="dxa"/>
          </w:tcPr>
          <w:p w:rsidR="009C13A9" w:rsidRPr="00C903F8" w:rsidRDefault="009C13A9" w:rsidP="009C13A9">
            <w:pPr>
              <w:spacing w:before="40" w:after="160" w:line="240" w:lineRule="atLeast"/>
              <w:rPr>
                <w:noProof/>
                <w:szCs w:val="20"/>
              </w:rPr>
            </w:pPr>
            <w:r>
              <w:t xml:space="preserve">= </w:t>
            </w:r>
          </w:p>
        </w:tc>
        <w:tc>
          <w:tcPr>
            <w:tcW w:w="2205" w:type="dxa"/>
          </w:tcPr>
          <w:p w:rsidR="009C13A9" w:rsidRPr="00C903F8" w:rsidRDefault="009C13A9" w:rsidP="009C13A9">
            <w:pPr>
              <w:spacing w:before="40" w:after="160" w:line="240" w:lineRule="atLeast"/>
              <w:rPr>
                <w:noProof/>
                <w:szCs w:val="20"/>
              </w:rPr>
            </w:pPr>
            <w:r>
              <w:t>Slovacchia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09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 xml:space="preserve">Spagna </w:t>
            </w:r>
          </w:p>
        </w:tc>
        <w:tc>
          <w:tcPr>
            <w:tcW w:w="724" w:type="dxa"/>
          </w:tcPr>
          <w:p w:rsidR="009C13A9" w:rsidRPr="00C903F8" w:rsidRDefault="009C13A9" w:rsidP="009C13A9">
            <w:pPr>
              <w:spacing w:before="40" w:after="40" w:line="240" w:lineRule="atLeast"/>
              <w:rPr>
                <w:noProof/>
                <w:szCs w:val="20"/>
              </w:rPr>
            </w:pPr>
            <w:r>
              <w:t xml:space="preserve">29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Estonia</w:t>
            </w:r>
          </w:p>
        </w:tc>
      </w:tr>
    </w:tbl>
    <w:p w:rsidR="009C13A9" w:rsidRPr="00C903F8" w:rsidRDefault="009C13A9" w:rsidP="001077F3">
      <w:pPr>
        <w:ind w:left="0" w:firstLine="0"/>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11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Regno Unito</w:t>
            </w:r>
          </w:p>
        </w:tc>
        <w:tc>
          <w:tcPr>
            <w:tcW w:w="724" w:type="dxa"/>
          </w:tcPr>
          <w:p w:rsidR="009C13A9" w:rsidRPr="00C903F8" w:rsidRDefault="009C13A9" w:rsidP="009C13A9">
            <w:pPr>
              <w:spacing w:before="40" w:after="40" w:line="240" w:lineRule="atLeast"/>
              <w:rPr>
                <w:noProof/>
                <w:szCs w:val="20"/>
              </w:rPr>
            </w:pPr>
            <w:r>
              <w:t xml:space="preserve">32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Lettonia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12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Austria</w:t>
            </w:r>
          </w:p>
        </w:tc>
        <w:tc>
          <w:tcPr>
            <w:tcW w:w="724" w:type="dxa"/>
          </w:tcPr>
          <w:p w:rsidR="009C13A9" w:rsidRPr="00C903F8" w:rsidRDefault="009C13A9" w:rsidP="009C13A9">
            <w:pPr>
              <w:spacing w:before="40" w:after="40" w:line="240" w:lineRule="atLeast"/>
              <w:rPr>
                <w:noProof/>
                <w:szCs w:val="20"/>
              </w:rPr>
            </w:pPr>
            <w:r>
              <w:t>34</w:t>
            </w:r>
          </w:p>
        </w:tc>
        <w:tc>
          <w:tcPr>
            <w:tcW w:w="416" w:type="dxa"/>
          </w:tcPr>
          <w:p w:rsidR="009C13A9" w:rsidRPr="00C903F8" w:rsidRDefault="009C13A9" w:rsidP="009C13A9">
            <w:pPr>
              <w:spacing w:before="40" w:after="40" w:line="240" w:lineRule="atLeast"/>
              <w:rPr>
                <w:noProof/>
                <w:szCs w:val="20"/>
              </w:rPr>
            </w:pPr>
            <w:r>
              <w:t>=</w:t>
            </w:r>
          </w:p>
        </w:tc>
        <w:tc>
          <w:tcPr>
            <w:tcW w:w="2205" w:type="dxa"/>
          </w:tcPr>
          <w:p w:rsidR="009C13A9" w:rsidRPr="00C903F8" w:rsidRDefault="009C13A9" w:rsidP="009C13A9">
            <w:pPr>
              <w:spacing w:before="40" w:after="40" w:line="240" w:lineRule="atLeast"/>
              <w:rPr>
                <w:noProof/>
                <w:szCs w:val="20"/>
              </w:rPr>
            </w:pPr>
            <w:r>
              <w:t>Bulgaria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13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 xml:space="preserve">Lussemburgo </w:t>
            </w:r>
          </w:p>
        </w:tc>
        <w:tc>
          <w:tcPr>
            <w:tcW w:w="724" w:type="dxa"/>
          </w:tcPr>
          <w:p w:rsidR="009C13A9" w:rsidRPr="00C903F8" w:rsidRDefault="009C13A9" w:rsidP="009C13A9">
            <w:pPr>
              <w:spacing w:before="40" w:after="40" w:line="240" w:lineRule="atLeast"/>
              <w:rPr>
                <w:noProof/>
                <w:szCs w:val="20"/>
              </w:rPr>
            </w:pPr>
            <w:r>
              <w:t xml:space="preserve">36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Lituania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14</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Svizzera</w:t>
            </w:r>
          </w:p>
        </w:tc>
        <w:tc>
          <w:tcPr>
            <w:tcW w:w="724" w:type="dxa"/>
          </w:tcPr>
          <w:p w:rsidR="009C13A9" w:rsidRPr="00C903F8" w:rsidRDefault="009C13A9" w:rsidP="009C13A9">
            <w:pPr>
              <w:spacing w:before="40" w:after="40" w:line="240" w:lineRule="atLeast"/>
              <w:rPr>
                <w:noProof/>
                <w:szCs w:val="20"/>
              </w:rPr>
            </w:pPr>
            <w:r>
              <w:t xml:space="preserve">49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Cipro</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17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Finlandia</w:t>
            </w:r>
          </w:p>
        </w:tc>
        <w:tc>
          <w:tcPr>
            <w:tcW w:w="724" w:type="dxa"/>
          </w:tcPr>
          <w:p w:rsidR="009C13A9" w:rsidRPr="00C903F8" w:rsidRDefault="009C13A9" w:rsidP="009C13A9">
            <w:pPr>
              <w:spacing w:before="40" w:after="40" w:line="240" w:lineRule="atLeast"/>
              <w:rPr>
                <w:noProof/>
                <w:szCs w:val="20"/>
              </w:rPr>
            </w:pPr>
            <w:r>
              <w:t xml:space="preserve">50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Malta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18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 xml:space="preserve">Danimarca </w:t>
            </w:r>
          </w:p>
        </w:tc>
        <w:tc>
          <w:tcPr>
            <w:tcW w:w="724" w:type="dxa"/>
          </w:tcPr>
          <w:p w:rsidR="009C13A9" w:rsidRPr="00C903F8" w:rsidRDefault="009C13A9" w:rsidP="009C13A9">
            <w:pPr>
              <w:spacing w:before="40" w:after="40" w:line="240" w:lineRule="atLeast"/>
              <w:rPr>
                <w:noProof/>
                <w:szCs w:val="20"/>
              </w:rPr>
            </w:pPr>
          </w:p>
        </w:tc>
        <w:tc>
          <w:tcPr>
            <w:tcW w:w="416" w:type="dxa"/>
          </w:tcPr>
          <w:p w:rsidR="009C13A9" w:rsidRPr="00C903F8" w:rsidRDefault="009C13A9" w:rsidP="009C13A9">
            <w:pPr>
              <w:spacing w:before="40" w:after="40" w:line="240" w:lineRule="atLeast"/>
              <w:rPr>
                <w:noProof/>
                <w:szCs w:val="20"/>
              </w:rPr>
            </w:pPr>
          </w:p>
        </w:tc>
        <w:tc>
          <w:tcPr>
            <w:tcW w:w="2205" w:type="dxa"/>
          </w:tcPr>
          <w:p w:rsidR="009C13A9" w:rsidRPr="00C903F8" w:rsidRDefault="009C13A9" w:rsidP="009C13A9">
            <w:pPr>
              <w:spacing w:before="40" w:after="40" w:line="240" w:lineRule="atLeast"/>
              <w:rPr>
                <w:noProof/>
                <w:szCs w:val="20"/>
              </w:rPr>
            </w:pPr>
          </w:p>
        </w:tc>
      </w:tr>
    </w:tbl>
    <w:p w:rsidR="009C13A9" w:rsidRPr="00C903F8" w:rsidRDefault="009C13A9" w:rsidP="009C13A9">
      <w:pPr>
        <w:tabs>
          <w:tab w:val="left" w:pos="993"/>
        </w:tabs>
        <w:spacing w:line="240" w:lineRule="atLeast"/>
        <w:ind w:left="1418" w:hanging="992"/>
        <w:rPr>
          <w:noProof/>
        </w:rPr>
      </w:pPr>
    </w:p>
    <w:p w:rsidR="009C13A9" w:rsidRPr="00C903F8" w:rsidRDefault="009C13A9" w:rsidP="009C13A9">
      <w:pPr>
        <w:tabs>
          <w:tab w:val="left" w:pos="993"/>
        </w:tabs>
        <w:spacing w:line="240" w:lineRule="atLeast"/>
        <w:ind w:left="1418" w:hanging="992"/>
        <w:rPr>
          <w:noProof/>
        </w:rPr>
      </w:pPr>
      <w:r>
        <w:t>NNN</w:t>
      </w:r>
      <w:r>
        <w:tab/>
        <w:t>=</w:t>
      </w:r>
      <w:r>
        <w:tab/>
        <w:t>numero a tre cifre fissato dall'autorità competente.</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3.</w:t>
      </w:r>
      <w:r>
        <w:tab/>
      </w:r>
      <w:r>
        <w:rPr>
          <w:noProof/>
          <w:color w:val="000000"/>
        </w:rPr>
        <w:t xml:space="preserve">Il numero di omologazione è utilizzato soltanto in relazione alla corrispondente omologazione. </w:t>
      </w:r>
    </w:p>
    <w:p w:rsidR="009C13A9" w:rsidRPr="00C903F8" w:rsidRDefault="009C13A9" w:rsidP="009C13A9">
      <w:pPr>
        <w:spacing w:line="240" w:lineRule="atLeast"/>
        <w:ind w:left="426" w:firstLine="0"/>
        <w:rPr>
          <w:noProof/>
        </w:rPr>
      </w:pPr>
      <w:r>
        <w:t>Spetta al richiedente esibire e apporre il numero di omologazione.</w:t>
      </w:r>
    </w:p>
    <w:p w:rsidR="009C13A9" w:rsidRPr="00C903F8" w:rsidRDefault="009C13A9" w:rsidP="009C13A9">
      <w:pPr>
        <w:tabs>
          <w:tab w:val="left" w:leader="dot" w:pos="9072"/>
        </w:tabs>
        <w:spacing w:line="240" w:lineRule="atLeast"/>
        <w:ind w:left="0" w:firstLine="0"/>
        <w:rPr>
          <w:rFonts w:cs="Arial"/>
        </w:rPr>
      </w:pPr>
    </w:p>
    <w:p w:rsidR="009C13A9" w:rsidRPr="00C903F8" w:rsidRDefault="009C13A9" w:rsidP="009C13A9">
      <w:pPr>
        <w:tabs>
          <w:tab w:val="left" w:leader="dot" w:pos="9072"/>
        </w:tabs>
        <w:spacing w:line="240" w:lineRule="atLeast"/>
        <w:ind w:left="0" w:firstLine="0"/>
        <w:rPr>
          <w:rFonts w:cs="Arial"/>
        </w:rPr>
      </w:pPr>
    </w:p>
    <w:p w:rsidR="009C13A9" w:rsidRPr="00C903F8" w:rsidRDefault="009C13A9" w:rsidP="009C13A9">
      <w:pPr>
        <w:spacing w:line="240" w:lineRule="atLeast"/>
        <w:ind w:left="0" w:firstLine="0"/>
        <w:jc w:val="center"/>
        <w:rPr>
          <w:rFonts w:cs="Arial"/>
          <w:i/>
          <w:noProof/>
        </w:rPr>
      </w:pPr>
      <w:r>
        <w:rPr>
          <w:b/>
          <w:noProof/>
        </w:rPr>
        <w:t>Articolo 8</w:t>
      </w:r>
      <w:r>
        <w:rPr>
          <w:rFonts w:cs="Arial"/>
          <w:b/>
          <w:noProof/>
        </w:rPr>
        <w:br/>
      </w:r>
      <w:r>
        <w:rPr>
          <w:i/>
          <w:noProof/>
        </w:rPr>
        <w:t>Dichiarazione del costruttore</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noProof/>
        </w:rPr>
      </w:pPr>
      <w:r>
        <w:t>Ogni singolo apparecchio è accompagnato da una dichiarazione del costruttore.</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ind w:left="0" w:firstLine="0"/>
        <w:jc w:val="center"/>
        <w:rPr>
          <w:rFonts w:cs="Arial"/>
          <w:i/>
          <w:noProof/>
        </w:rPr>
      </w:pPr>
      <w:r>
        <w:rPr>
          <w:b/>
          <w:noProof/>
        </w:rPr>
        <w:t>Articolo 9</w:t>
      </w:r>
      <w:r>
        <w:rPr>
          <w:rFonts w:cs="Arial"/>
          <w:b/>
          <w:noProof/>
        </w:rPr>
        <w:br/>
      </w:r>
      <w:r>
        <w:rPr>
          <w:i/>
          <w:noProof/>
        </w:rPr>
        <w:t>Modifiche ad apparecchi già omologati</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1.</w:t>
      </w:r>
      <w:r>
        <w:tab/>
      </w:r>
      <w:r>
        <w:rPr>
          <w:noProof/>
          <w:color w:val="000000"/>
        </w:rPr>
        <w:t xml:space="preserve">Qualsiasi modifica apportata ad apparecchi già omologati comporta la nullità dell'omologazione. </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t>In caso di modifiche pianificate i relativi particolari sono notificati per iscritto al servizio tecnico competente.</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2.</w:t>
      </w:r>
      <w:r>
        <w:tab/>
      </w:r>
      <w:r>
        <w:rPr>
          <w:noProof/>
          <w:color w:val="000000"/>
        </w:rPr>
        <w:t>L'autorità competente decide, dopo aver consultato il servizio tecnico, se l'omologazione è sempre valida o se si renda necessaria un'ispezione o una nuova prova del tipo.</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t>In quest’ultimo caso è attribuito un nuovo numero di omologazione.</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br w:type="page"/>
      </w:r>
    </w:p>
    <w:p w:rsidR="009C13A9" w:rsidRPr="00C903F8" w:rsidRDefault="009C13A9" w:rsidP="009C13A9">
      <w:pPr>
        <w:spacing w:line="240" w:lineRule="atLeast"/>
        <w:ind w:left="426" w:firstLine="0"/>
        <w:rPr>
          <w:noProof/>
        </w:rPr>
      </w:pPr>
    </w:p>
    <w:p w:rsidR="001077F3" w:rsidRPr="002043D6" w:rsidRDefault="001077F3" w:rsidP="001077F3">
      <w:pPr>
        <w:overflowPunct w:val="0"/>
        <w:adjustRightInd w:val="0"/>
        <w:spacing w:line="240" w:lineRule="atLeast"/>
        <w:jc w:val="center"/>
        <w:textAlignment w:val="baseline"/>
        <w:rPr>
          <w:rFonts w:cs="Arial"/>
          <w:b/>
          <w:bCs/>
          <w:noProof/>
        </w:rPr>
      </w:pPr>
      <w:r>
        <w:rPr>
          <w:b/>
          <w:noProof/>
        </w:rPr>
        <w:t>Appendice</w:t>
      </w:r>
    </w:p>
    <w:p w:rsidR="001077F3" w:rsidRPr="002043D6" w:rsidRDefault="001077F3" w:rsidP="001077F3">
      <w:pPr>
        <w:tabs>
          <w:tab w:val="left" w:pos="0"/>
        </w:tabs>
        <w:suppressAutoHyphens/>
        <w:spacing w:line="240" w:lineRule="atLeast"/>
        <w:ind w:left="1276" w:hanging="992"/>
        <w:jc w:val="center"/>
        <w:rPr>
          <w:b/>
          <w:szCs w:val="20"/>
        </w:rPr>
      </w:pPr>
      <w:r>
        <w:rPr>
          <w:b/>
        </w:rPr>
        <w:t>Figura 1:</w:t>
      </w:r>
      <w:r>
        <w:tab/>
      </w:r>
      <w:r>
        <w:rPr>
          <w:b/>
        </w:rPr>
        <w:t>dispositivo ECDIS interno, dispositivo indipendente collegato all'impianto radar (configurazione di sistema 2)</w:t>
      </w:r>
    </w:p>
    <w:p w:rsidR="001077F3" w:rsidRPr="002043D6" w:rsidRDefault="001077F3" w:rsidP="001077F3">
      <w:pPr>
        <w:tabs>
          <w:tab w:val="left" w:pos="0"/>
        </w:tabs>
        <w:suppressAutoHyphens/>
        <w:spacing w:line="240" w:lineRule="atLeast"/>
        <w:ind w:left="993" w:hanging="709"/>
        <w:rPr>
          <w:b/>
          <w:i/>
          <w:sz w:val="18"/>
        </w:rPr>
      </w:pPr>
    </w:p>
    <w:p w:rsidR="001077F3" w:rsidRPr="002043D6" w:rsidRDefault="001077F3" w:rsidP="001077F3">
      <w:pPr>
        <w:tabs>
          <w:tab w:val="left" w:pos="0"/>
        </w:tabs>
        <w:suppressAutoHyphens/>
        <w:spacing w:line="240" w:lineRule="atLeast"/>
        <w:ind w:left="993" w:hanging="709"/>
        <w:rPr>
          <w:b/>
          <w:i/>
          <w:sz w:val="18"/>
        </w:rPr>
      </w:pPr>
      <w:r>
        <w:rPr>
          <w:noProof/>
          <w:lang w:val="en-GB" w:eastAsia="en-GB" w:bidi="ar-SA"/>
        </w:rPr>
        <mc:AlternateContent>
          <mc:Choice Requires="wps">
            <w:drawing>
              <wp:anchor distT="0" distB="0" distL="114300" distR="114300" simplePos="0" relativeHeight="251682816" behindDoc="0" locked="0" layoutInCell="1" allowOverlap="1" wp14:anchorId="3A7EE693" wp14:editId="316062F4">
                <wp:simplePos x="0" y="0"/>
                <wp:positionH relativeFrom="column">
                  <wp:posOffset>252095</wp:posOffset>
                </wp:positionH>
                <wp:positionV relativeFrom="paragraph">
                  <wp:posOffset>130175</wp:posOffset>
                </wp:positionV>
                <wp:extent cx="2333625" cy="3438525"/>
                <wp:effectExtent l="0" t="0" r="28575" b="28575"/>
                <wp:wrapNone/>
                <wp:docPr id="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3625" cy="3438525"/>
                        </a:xfrm>
                        <a:prstGeom prst="rect">
                          <a:avLst/>
                        </a:prstGeom>
                        <a:noFill/>
                        <a:ln w="25400">
                          <a:solidFill>
                            <a:srgbClr val="F79646"/>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rect xmlns:o="urn:schemas-microsoft-com:office:office" xmlns:v="urn:schemas-microsoft-com:vml" id="Rectangle 4" style="position:absolute;margin-left:19.85pt;margin-top:10.25pt;width:183.75pt;height:270.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f79646" strokeweigh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">
                <v:stroke dashstyle="dash"/>
              </v:rect>
            </w:pict>
          </mc:Fallback>
        </mc:AlternateContent>
      </w:r>
      <w:r>
        <w:rPr>
          <w:b/>
          <w:i/>
          <w:noProof/>
          <w:sz w:val="18"/>
          <w:lang w:val="en-GB" w:eastAsia="en-GB" w:bidi="ar-SA"/>
        </w:rPr>
        <w:drawing>
          <wp:inline distT="0" distB="0" distL="0" distR="0" wp14:anchorId="59C10467" wp14:editId="5CD2D47C">
            <wp:extent cx="5362575" cy="3913309"/>
            <wp:effectExtent l="0" t="0" r="0" b="0"/>
            <wp:docPr id="291" name="Imag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367317" cy="3916769"/>
                    </a:xfrm>
                    <a:prstGeom prst="rect">
                      <a:avLst/>
                    </a:prstGeom>
                    <a:noFill/>
                  </pic:spPr>
                </pic:pic>
              </a:graphicData>
            </a:graphic>
          </wp:inline>
        </w:drawing>
      </w:r>
    </w:p>
    <w:p w:rsidR="001077F3" w:rsidRPr="00C15BF5" w:rsidRDefault="001077F3" w:rsidP="001077F3">
      <w:pPr>
        <w:tabs>
          <w:tab w:val="left" w:pos="0"/>
        </w:tabs>
        <w:suppressAutoHyphens/>
        <w:spacing w:line="240" w:lineRule="atLeast"/>
        <w:ind w:left="1276" w:hanging="992"/>
        <w:rPr>
          <w:b/>
          <w:szCs w:val="20"/>
        </w:rPr>
      </w:pPr>
      <w:r>
        <w:rPr>
          <w:b/>
        </w:rPr>
        <w:t>Figura 2:</w:t>
      </w:r>
      <w:r>
        <w:tab/>
      </w:r>
      <w:r>
        <w:rPr>
          <w:b/>
        </w:rPr>
        <w:t>dispositivo ECDIS interno, dispositivo indipendente collegato all'impianto radar e monitor condiviso (configurazione di sistema 3)</w:t>
      </w:r>
    </w:p>
    <w:p w:rsidR="001077F3" w:rsidRPr="00C15BF5" w:rsidRDefault="001077F3" w:rsidP="001077F3">
      <w:pPr>
        <w:tabs>
          <w:tab w:val="left" w:pos="0"/>
        </w:tabs>
        <w:suppressAutoHyphens/>
        <w:spacing w:line="240" w:lineRule="atLeast"/>
        <w:ind w:left="1276" w:hanging="992"/>
        <w:rPr>
          <w:b/>
          <w:i/>
          <w:sz w:val="18"/>
        </w:rPr>
      </w:pPr>
    </w:p>
    <w:p w:rsidR="001077F3" w:rsidRPr="00C15BF5" w:rsidRDefault="001077F3" w:rsidP="001077F3">
      <w:pPr>
        <w:tabs>
          <w:tab w:val="left" w:pos="0"/>
        </w:tabs>
        <w:suppressAutoHyphens/>
        <w:spacing w:line="240" w:lineRule="atLeast"/>
        <w:ind w:left="993" w:hanging="709"/>
        <w:rPr>
          <w:rFonts w:cs="Arial"/>
          <w:b/>
          <w:i/>
          <w:sz w:val="18"/>
          <w:szCs w:val="18"/>
        </w:rPr>
      </w:pPr>
      <w:r>
        <w:rPr>
          <w:noProof/>
          <w:lang w:val="en-GB" w:eastAsia="en-GB" w:bidi="ar-SA"/>
        </w:rPr>
        <mc:AlternateContent>
          <mc:Choice Requires="wps">
            <w:drawing>
              <wp:anchor distT="0" distB="0" distL="114300" distR="114300" simplePos="0" relativeHeight="251683840" behindDoc="0" locked="0" layoutInCell="1" allowOverlap="1" wp14:anchorId="1F2E768F" wp14:editId="548719CC">
                <wp:simplePos x="0" y="0"/>
                <wp:positionH relativeFrom="column">
                  <wp:posOffset>213995</wp:posOffset>
                </wp:positionH>
                <wp:positionV relativeFrom="paragraph">
                  <wp:posOffset>84455</wp:posOffset>
                </wp:positionV>
                <wp:extent cx="2133600" cy="2867025"/>
                <wp:effectExtent l="0" t="0" r="19050" b="28575"/>
                <wp:wrapNone/>
                <wp:docPr id="286"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33600" cy="2867025"/>
                        </a:xfrm>
                        <a:custGeom>
                          <a:avLst/>
                          <a:gdLst>
                            <a:gd name="T0" fmla="*/ 0 w 2019300"/>
                            <a:gd name="T1" fmla="*/ 1466850 h 2867025"/>
                            <a:gd name="T2" fmla="*/ 0 w 2019300"/>
                            <a:gd name="T3" fmla="*/ 0 h 2867025"/>
                            <a:gd name="T4" fmla="*/ 781050 w 2019300"/>
                            <a:gd name="T5" fmla="*/ 0 h 2867025"/>
                            <a:gd name="T6" fmla="*/ 771525 w 2019300"/>
                            <a:gd name="T7" fmla="*/ 1457325 h 2867025"/>
                            <a:gd name="T8" fmla="*/ 2019300 w 2019300"/>
                            <a:gd name="T9" fmla="*/ 1466850 h 2867025"/>
                            <a:gd name="T10" fmla="*/ 2019300 w 2019300"/>
                            <a:gd name="T11" fmla="*/ 2867025 h 2867025"/>
                            <a:gd name="T12" fmla="*/ 0 w 2019300"/>
                            <a:gd name="T13" fmla="*/ 2867025 h 2867025"/>
                            <a:gd name="T14" fmla="*/ 0 w 2019300"/>
                            <a:gd name="T15" fmla="*/ 1466850 h 286702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2019300" h="2867025">
                              <a:moveTo>
                                <a:pt x="0" y="1466850"/>
                              </a:moveTo>
                              <a:lnTo>
                                <a:pt x="0" y="0"/>
                              </a:lnTo>
                              <a:lnTo>
                                <a:pt x="781050" y="0"/>
                              </a:lnTo>
                              <a:lnTo>
                                <a:pt x="771525" y="1457325"/>
                              </a:lnTo>
                              <a:lnTo>
                                <a:pt x="2019300" y="1466850"/>
                              </a:lnTo>
                              <a:lnTo>
                                <a:pt x="2019300" y="2867025"/>
                              </a:lnTo>
                              <a:lnTo>
                                <a:pt x="0" y="2867025"/>
                              </a:lnTo>
                              <a:lnTo>
                                <a:pt x="0" y="1466850"/>
                              </a:lnTo>
                              <a:close/>
                            </a:path>
                          </a:pathLst>
                        </a:custGeom>
                        <a:noFill/>
                        <a:ln w="25400">
                          <a:solidFill>
                            <a:srgbClr val="F79646"/>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shape xmlns:o="urn:schemas-microsoft-com:office:office" xmlns:v="urn:schemas-microsoft-com:vml" id="Rectangle 5" style="position:absolute;margin-left:16.85pt;margin-top:6.65pt;width:168pt;height:225.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19300,2867025" o:spid="_x0000_s1026" filled="f" strokecolor="#f79646" strokeweight="2pt" path="m,1466850l,,781050,r-9525,1457325l2019300,1466850r,1400175l,2867025,,1466850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">
                <v:stroke dashstyle="dash"/>
                <v:path arrowok="t" o:connecttype="custom" o:connectlocs="0,1466850;0,0;825260,0;815196,1457325;2133600,1466850;2133600,2867025;0,2867025;0,1466850" o:connectangles="0,0,0,0,0,0,0,0"/>
              </v:shape>
            </w:pict>
          </mc:Fallback>
        </mc:AlternateContent>
      </w:r>
      <w:r>
        <w:rPr>
          <w:rFonts w:cs="Arial"/>
          <w:b/>
          <w:i/>
          <w:noProof/>
          <w:sz w:val="18"/>
          <w:szCs w:val="18"/>
          <w:lang w:val="en-GB" w:eastAsia="en-GB" w:bidi="ar-SA"/>
        </w:rPr>
        <w:drawing>
          <wp:inline distT="0" distB="0" distL="0" distR="0" wp14:anchorId="5DF59CBF" wp14:editId="328B2BF8">
            <wp:extent cx="5362575" cy="3005907"/>
            <wp:effectExtent l="0" t="0" r="0" b="4445"/>
            <wp:docPr id="292" name="Imag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362939" cy="3006111"/>
                    </a:xfrm>
                    <a:prstGeom prst="rect">
                      <a:avLst/>
                    </a:prstGeom>
                    <a:noFill/>
                  </pic:spPr>
                </pic:pic>
              </a:graphicData>
            </a:graphic>
          </wp:inline>
        </w:drawing>
      </w:r>
    </w:p>
    <w:p w:rsidR="001077F3" w:rsidRPr="00C15BF5" w:rsidRDefault="001077F3" w:rsidP="001077F3">
      <w:pPr>
        <w:adjustRightInd w:val="0"/>
        <w:spacing w:line="240" w:lineRule="atLeast"/>
        <w:jc w:val="center"/>
        <w:rPr>
          <w:rFonts w:ascii="Times New Roman" w:hAnsi="Times New Roman"/>
          <w:sz w:val="24"/>
        </w:rPr>
      </w:pPr>
      <w:r>
        <w:rPr>
          <w:noProof/>
          <w:lang w:val="en-GB" w:eastAsia="en-GB" w:bidi="ar-SA"/>
        </w:rPr>
        <mc:AlternateContent>
          <mc:Choice Requires="wps">
            <w:drawing>
              <wp:anchor distT="0" distB="0" distL="114300" distR="114300" simplePos="0" relativeHeight="251681792" behindDoc="0" locked="0" layoutInCell="1" allowOverlap="1" wp14:anchorId="2022A81B" wp14:editId="6C97D392">
                <wp:simplePos x="0" y="0"/>
                <wp:positionH relativeFrom="column">
                  <wp:posOffset>194945</wp:posOffset>
                </wp:positionH>
                <wp:positionV relativeFrom="paragraph">
                  <wp:posOffset>125095</wp:posOffset>
                </wp:positionV>
                <wp:extent cx="1943100" cy="304800"/>
                <wp:effectExtent l="0" t="0" r="19050" b="19050"/>
                <wp:wrapNone/>
                <wp:docPr id="290"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304800"/>
                        </a:xfrm>
                        <a:prstGeom prst="rect">
                          <a:avLst/>
                        </a:prstGeom>
                        <a:noFill/>
                        <a:ln w="25400">
                          <a:solidFill>
                            <a:srgbClr val="F79646"/>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801F1F" w:rsidRPr="00CC14C6" w:rsidRDefault="00801F1F" w:rsidP="001077F3">
                            <w:pPr>
                              <w:rPr>
                                <w:szCs w:val="20"/>
                              </w:rPr>
                            </w:pPr>
                            <w:r>
                              <w:t>Hardware del dispositivo AIS interno</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7" o:spid="_x0000_s1026" style="position:absolute;left:0;text-align:left;margin-left:15.35pt;margin-top:9.85pt;width:153pt;height:2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" filled="f" strokecolor="#f79646" strokeweight="2pt">
                <v:stroke dashstyle="dash"/>
                <v:textbox>
                  <w:txbxContent>
                    <w:p w:rsidR="00801F1F" w:rsidRPr="00CC14C6" w:rsidRDefault="00801F1F" w:rsidP="001077F3">
                      <w:pPr>
                        <w:rPr>
                          <w:szCs w:val="20"/>
                        </w:rPr>
                      </w:pPr>
                      <w:r>
                        <w:t>Hardware del dispositivo AIS interno</w:t>
                      </w:r>
                    </w:p>
                  </w:txbxContent>
                </v:textbox>
              </v:rect>
            </w:pict>
          </mc:Fallback>
        </mc:AlternateContent>
      </w:r>
    </w:p>
    <w:p w:rsidR="001077F3" w:rsidRPr="00C15BF5" w:rsidRDefault="001077F3" w:rsidP="001077F3">
      <w:pPr>
        <w:tabs>
          <w:tab w:val="left" w:pos="1985"/>
        </w:tabs>
        <w:suppressAutoHyphens/>
        <w:spacing w:line="240" w:lineRule="atLeast"/>
        <w:ind w:left="1985" w:hanging="1276"/>
        <w:rPr>
          <w:rFonts w:ascii="Times New Roman" w:hAnsi="Times New Roman"/>
          <w:sz w:val="24"/>
        </w:rPr>
      </w:pPr>
    </w:p>
    <w:p w:rsidR="001077F3" w:rsidRDefault="001077F3" w:rsidP="001077F3">
      <w:pPr>
        <w:spacing w:line="240" w:lineRule="atLeast"/>
        <w:ind w:left="851"/>
        <w:rPr>
          <w:rFonts w:cs="Arial"/>
          <w:bCs/>
          <w:i/>
          <w:sz w:val="22"/>
          <w:szCs w:val="22"/>
        </w:rPr>
      </w:pPr>
    </w:p>
    <w:p w:rsidR="002043D6" w:rsidRDefault="002043D6">
      <w:pPr>
        <w:autoSpaceDE/>
        <w:autoSpaceDN/>
        <w:ind w:left="0" w:firstLine="0"/>
        <w:jc w:val="left"/>
        <w:rPr>
          <w:rFonts w:cs="Arial"/>
          <w:b/>
          <w:bCs/>
          <w:szCs w:val="20"/>
        </w:rPr>
      </w:pPr>
      <w:r>
        <w:br w:type="page"/>
      </w:r>
    </w:p>
    <w:p w:rsidR="009C13A9" w:rsidRPr="00C903F8" w:rsidRDefault="009C13A9" w:rsidP="007D3F2F">
      <w:pPr>
        <w:tabs>
          <w:tab w:val="right" w:pos="9072"/>
        </w:tabs>
        <w:overflowPunct w:val="0"/>
        <w:adjustRightInd w:val="0"/>
        <w:spacing w:line="240" w:lineRule="atLeast"/>
        <w:ind w:left="0" w:firstLine="0"/>
        <w:textAlignment w:val="baseline"/>
        <w:rPr>
          <w:rFonts w:cs="Arial"/>
          <w:b/>
          <w:bCs/>
          <w:szCs w:val="20"/>
        </w:rPr>
      </w:pPr>
    </w:p>
    <w:p w:rsidR="009C13A9" w:rsidRPr="00C903F8" w:rsidRDefault="00925755" w:rsidP="00C50DA9">
      <w:pPr>
        <w:pStyle w:val="ES-Titre3"/>
        <w:rPr>
          <w:noProof/>
        </w:rPr>
      </w:pPr>
      <w:bookmarkStart w:id="640" w:name="_Toc491854312"/>
      <w:bookmarkStart w:id="641" w:name="_Toc535500261"/>
      <w:r>
        <w:t>Sezione II</w:t>
      </w:r>
      <w:bookmarkEnd w:id="640"/>
      <w:bookmarkEnd w:id="641"/>
      <w:r>
        <w:t xml:space="preserve"> </w:t>
      </w:r>
    </w:p>
    <w:p w:rsidR="009C13A9" w:rsidRPr="00C903F8" w:rsidRDefault="009C13A9" w:rsidP="00C50DA9">
      <w:pPr>
        <w:pStyle w:val="ES-Titre3a"/>
        <w:rPr>
          <w:rFonts w:cs="Arial"/>
          <w:szCs w:val="20"/>
        </w:rPr>
      </w:pPr>
      <w:bookmarkStart w:id="642" w:name="_Toc491854313"/>
      <w:bookmarkStart w:id="643" w:name="_Toc535500262"/>
      <w:r>
        <w:t>Requisiti minimi e condizioni di prova per indicatori della velocità di accostata utilizzati nella navigazione interna</w:t>
      </w:r>
      <w:bookmarkEnd w:id="642"/>
      <w:bookmarkEnd w:id="643"/>
    </w:p>
    <w:p w:rsidR="009C13A9" w:rsidRPr="00C903F8" w:rsidRDefault="009C13A9" w:rsidP="009C13A9">
      <w:pPr>
        <w:tabs>
          <w:tab w:val="right" w:pos="9072"/>
        </w:tabs>
        <w:overflowPunct w:val="0"/>
        <w:adjustRightInd w:val="0"/>
        <w:spacing w:line="240" w:lineRule="atLeast"/>
        <w:ind w:left="0" w:firstLine="0"/>
        <w:jc w:val="left"/>
        <w:textAlignment w:val="baseline"/>
        <w:rPr>
          <w:rFonts w:cs="Arial"/>
          <w:szCs w:val="20"/>
        </w:rPr>
      </w:pPr>
    </w:p>
    <w:p w:rsidR="009C13A9" w:rsidRPr="00C903F8" w:rsidRDefault="009C13A9" w:rsidP="009C13A9">
      <w:pPr>
        <w:spacing w:line="240" w:lineRule="atLeast"/>
        <w:ind w:left="0" w:firstLine="0"/>
        <w:jc w:val="center"/>
        <w:rPr>
          <w:rFonts w:cs="Arial"/>
          <w:b/>
          <w:noProof/>
        </w:rPr>
      </w:pPr>
      <w:r>
        <w:rPr>
          <w:b/>
          <w:noProof/>
        </w:rPr>
        <w:t>Capo 1</w:t>
      </w:r>
    </w:p>
    <w:p w:rsidR="009C13A9" w:rsidRPr="00C903F8" w:rsidRDefault="009C13A9" w:rsidP="009C13A9">
      <w:pPr>
        <w:spacing w:line="240" w:lineRule="atLeast"/>
        <w:ind w:left="0" w:firstLine="0"/>
        <w:jc w:val="center"/>
        <w:rPr>
          <w:rFonts w:cs="Arial"/>
          <w:b/>
          <w:caps/>
          <w:noProof/>
        </w:rPr>
      </w:pPr>
      <w:r>
        <w:rPr>
          <w:b/>
          <w:noProof/>
        </w:rPr>
        <w:t>Aspetti generali</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p>
    <w:p w:rsidR="009C13A9" w:rsidRPr="00C903F8" w:rsidRDefault="009C13A9" w:rsidP="009C13A9">
      <w:pPr>
        <w:spacing w:line="240" w:lineRule="atLeast"/>
        <w:ind w:left="0" w:firstLine="0"/>
        <w:jc w:val="center"/>
        <w:rPr>
          <w:rFonts w:cs="Arial"/>
          <w:b/>
          <w:noProof/>
        </w:rPr>
      </w:pPr>
      <w:r>
        <w:rPr>
          <w:b/>
          <w:noProof/>
        </w:rPr>
        <w:t>Articolo 1.01</w:t>
      </w:r>
    </w:p>
    <w:p w:rsidR="009C13A9" w:rsidRPr="00C903F8" w:rsidRDefault="009C13A9" w:rsidP="009C13A9">
      <w:pPr>
        <w:spacing w:line="240" w:lineRule="atLeast"/>
        <w:ind w:left="0" w:firstLine="0"/>
        <w:jc w:val="center"/>
        <w:rPr>
          <w:rFonts w:cs="Arial"/>
          <w:i/>
          <w:noProof/>
        </w:rPr>
      </w:pPr>
      <w:r>
        <w:rPr>
          <w:i/>
          <w:noProof/>
        </w:rPr>
        <w:t>Campo d’applicazione</w:t>
      </w: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p>
    <w:p w:rsidR="009C13A9" w:rsidRPr="00C903F8" w:rsidRDefault="009C13A9" w:rsidP="009C13A9">
      <w:pPr>
        <w:tabs>
          <w:tab w:val="left" w:leader="dot" w:pos="9072"/>
        </w:tabs>
        <w:spacing w:line="240" w:lineRule="atLeast"/>
        <w:ind w:left="0" w:firstLine="0"/>
        <w:rPr>
          <w:rFonts w:cs="Arial"/>
          <w:szCs w:val="20"/>
        </w:rPr>
      </w:pPr>
      <w:r>
        <w:t>Le presenti disposizioni fissano i requisiti minimi degli indicatori della velocità di accostata utilizzati nella navigazione interna e le condizioni di prova di conformità a detti requisiti minimi.</w:t>
      </w:r>
    </w:p>
    <w:p w:rsidR="009C13A9" w:rsidRPr="00C903F8" w:rsidRDefault="009C13A9" w:rsidP="009C13A9">
      <w:pPr>
        <w:tabs>
          <w:tab w:val="left" w:leader="dot" w:pos="9072"/>
        </w:tabs>
        <w:spacing w:line="240" w:lineRule="atLeast"/>
        <w:ind w:left="0" w:firstLine="0"/>
        <w:rPr>
          <w:rFonts w:cs="Arial"/>
          <w:szCs w:val="20"/>
        </w:rPr>
      </w:pPr>
    </w:p>
    <w:p w:rsidR="009C13A9" w:rsidRPr="00C903F8" w:rsidRDefault="009C13A9" w:rsidP="009C13A9">
      <w:pPr>
        <w:tabs>
          <w:tab w:val="left" w:leader="dot" w:pos="9072"/>
        </w:tabs>
        <w:spacing w:line="240" w:lineRule="atLeast"/>
        <w:ind w:left="0" w:firstLine="0"/>
        <w:rPr>
          <w:rFonts w:cs="Arial"/>
          <w:szCs w:val="20"/>
        </w:rPr>
      </w:pPr>
    </w:p>
    <w:p w:rsidR="009C13A9" w:rsidRPr="00C903F8" w:rsidRDefault="009C13A9" w:rsidP="009C13A9">
      <w:pPr>
        <w:spacing w:line="240" w:lineRule="atLeast"/>
        <w:ind w:left="0" w:firstLine="0"/>
        <w:jc w:val="center"/>
        <w:rPr>
          <w:rFonts w:cs="Arial"/>
          <w:b/>
          <w:noProof/>
        </w:rPr>
      </w:pPr>
      <w:r>
        <w:rPr>
          <w:b/>
          <w:noProof/>
        </w:rPr>
        <w:t>Articolo 1.02</w:t>
      </w:r>
    </w:p>
    <w:p w:rsidR="009C13A9" w:rsidRPr="00C903F8" w:rsidRDefault="009C13A9" w:rsidP="009C13A9">
      <w:pPr>
        <w:overflowPunct w:val="0"/>
        <w:adjustRightInd w:val="0"/>
        <w:ind w:left="0" w:firstLine="0"/>
        <w:jc w:val="center"/>
        <w:textAlignment w:val="baseline"/>
        <w:rPr>
          <w:rFonts w:cs="Arial"/>
          <w:szCs w:val="20"/>
        </w:rPr>
      </w:pPr>
      <w:r>
        <w:rPr>
          <w:i/>
          <w:noProof/>
        </w:rPr>
        <w:t>Funzione dell’indicatore di velocità di accostata</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szCs w:val="20"/>
        </w:rPr>
      </w:pPr>
      <w:r>
        <w:t>L’indicatore di velocità di accostata facilita la navigazione radar, misura e indica la velocità di accostata della nave a babordo e a tribordo.</w:t>
      </w:r>
    </w:p>
    <w:p w:rsidR="009C13A9" w:rsidRPr="00C903F8" w:rsidRDefault="009C13A9" w:rsidP="009C13A9">
      <w:pPr>
        <w:tabs>
          <w:tab w:val="left" w:leader="dot" w:pos="9072"/>
        </w:tabs>
        <w:spacing w:line="240" w:lineRule="atLeast"/>
        <w:ind w:left="0" w:firstLine="0"/>
        <w:rPr>
          <w:rFonts w:cs="Arial"/>
          <w:szCs w:val="20"/>
        </w:rPr>
      </w:pPr>
    </w:p>
    <w:p w:rsidR="009C13A9" w:rsidRPr="00C903F8" w:rsidRDefault="009C13A9" w:rsidP="009C13A9">
      <w:pPr>
        <w:tabs>
          <w:tab w:val="left" w:leader="dot" w:pos="9072"/>
        </w:tabs>
        <w:spacing w:line="240" w:lineRule="atLeast"/>
        <w:ind w:left="0" w:firstLine="0"/>
        <w:rPr>
          <w:rFonts w:cs="Arial"/>
          <w:szCs w:val="20"/>
        </w:rPr>
      </w:pPr>
    </w:p>
    <w:p w:rsidR="009C13A9" w:rsidRPr="00C903F8" w:rsidRDefault="009C13A9" w:rsidP="009C13A9">
      <w:pPr>
        <w:spacing w:line="240" w:lineRule="atLeast"/>
        <w:ind w:left="0" w:firstLine="0"/>
        <w:jc w:val="center"/>
        <w:rPr>
          <w:rFonts w:cs="Arial"/>
          <w:b/>
          <w:noProof/>
        </w:rPr>
      </w:pPr>
      <w:r>
        <w:rPr>
          <w:b/>
          <w:noProof/>
        </w:rPr>
        <w:t>Articolo 1.03</w:t>
      </w:r>
    </w:p>
    <w:p w:rsidR="009C13A9" w:rsidRPr="00C903F8" w:rsidRDefault="009C13A9" w:rsidP="009C13A9">
      <w:pPr>
        <w:spacing w:line="240" w:lineRule="atLeast"/>
        <w:ind w:left="0" w:firstLine="0"/>
        <w:jc w:val="center"/>
        <w:rPr>
          <w:rFonts w:cs="Arial"/>
          <w:noProof/>
        </w:rPr>
      </w:pPr>
      <w:r>
        <w:rPr>
          <w:i/>
          <w:noProof/>
        </w:rPr>
        <w:t>Esame del tipo</w:t>
      </w: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p>
    <w:p w:rsidR="009C13A9" w:rsidRPr="00C903F8" w:rsidRDefault="009C13A9" w:rsidP="009C13A9">
      <w:pPr>
        <w:spacing w:line="240" w:lineRule="atLeast"/>
        <w:rPr>
          <w:rFonts w:cs="Arial"/>
          <w:noProof/>
          <w:color w:val="000000"/>
        </w:rPr>
      </w:pPr>
      <w:r>
        <w:rPr>
          <w:noProof/>
          <w:color w:val="000000"/>
        </w:rPr>
        <w:t>1.</w:t>
      </w:r>
      <w:r>
        <w:tab/>
      </w:r>
      <w:r>
        <w:rPr>
          <w:noProof/>
          <w:color w:val="000000"/>
        </w:rPr>
        <w:t>La conformità ai requisiti minimi degli indicatori della velocità di accostata ai sensi dei capi da 2 a 4 viene stabilita attraverso una prova del tipo.</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szCs w:val="20"/>
        </w:rPr>
      </w:pPr>
      <w:r>
        <w:rPr>
          <w:noProof/>
          <w:color w:val="000000"/>
        </w:rPr>
        <w:t>2.</w:t>
      </w:r>
      <w:r>
        <w:tab/>
      </w:r>
      <w:r>
        <w:rPr>
          <w:noProof/>
          <w:color w:val="000000"/>
        </w:rPr>
        <w:t>Se l’apparecchio supera la prova del tipo il servizio tecnico rilascia un certificato di prova. Nel caso in cui i requisiti minimi non siano soddisfatti, i motivi del rifiuto sono comunicati per iscritto al richiedente.</w:t>
      </w:r>
    </w:p>
    <w:p w:rsidR="009C13A9" w:rsidRPr="00C903F8" w:rsidRDefault="009C13A9" w:rsidP="009C13A9">
      <w:pPr>
        <w:spacing w:line="240" w:lineRule="atLeast"/>
        <w:ind w:left="567" w:hanging="567"/>
        <w:rPr>
          <w:rFonts w:cs="Arial"/>
          <w:szCs w:val="20"/>
        </w:rPr>
      </w:pP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p>
    <w:p w:rsidR="009C13A9" w:rsidRPr="00C903F8" w:rsidRDefault="009C13A9" w:rsidP="009C13A9">
      <w:pPr>
        <w:spacing w:line="240" w:lineRule="atLeast"/>
        <w:ind w:left="0" w:firstLine="0"/>
        <w:jc w:val="center"/>
        <w:rPr>
          <w:rFonts w:cs="Arial"/>
          <w:b/>
          <w:noProof/>
        </w:rPr>
      </w:pPr>
      <w:r>
        <w:rPr>
          <w:b/>
          <w:noProof/>
        </w:rPr>
        <w:t>Articolo 1.04</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i/>
          <w:iCs/>
          <w:noProof/>
        </w:rPr>
      </w:pPr>
      <w:r>
        <w:rPr>
          <w:i/>
          <w:noProof/>
        </w:rPr>
        <w:t>Domanda di prova del tipo</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p>
    <w:p w:rsidR="009C13A9" w:rsidRPr="00C903F8" w:rsidRDefault="009C13A9" w:rsidP="009C13A9">
      <w:pPr>
        <w:spacing w:line="240" w:lineRule="atLeast"/>
        <w:rPr>
          <w:rFonts w:cs="Arial"/>
          <w:noProof/>
          <w:color w:val="000000"/>
        </w:rPr>
      </w:pPr>
      <w:r>
        <w:rPr>
          <w:noProof/>
          <w:color w:val="000000"/>
        </w:rPr>
        <w:t>1.</w:t>
      </w:r>
      <w:r>
        <w:tab/>
      </w:r>
      <w:r>
        <w:rPr>
          <w:noProof/>
          <w:color w:val="000000"/>
        </w:rPr>
        <w:t>Le domande per una prova del tipo di un indicatore della velocità di accostata vengono presentate al servizio tecnico competente.</w:t>
      </w:r>
    </w:p>
    <w:p w:rsidR="009C13A9" w:rsidRPr="00C903F8" w:rsidRDefault="009C13A9" w:rsidP="009C13A9">
      <w:pPr>
        <w:spacing w:line="240" w:lineRule="atLeast"/>
        <w:rPr>
          <w:rFonts w:cs="Arial"/>
          <w:color w:val="000000"/>
          <w:szCs w:val="20"/>
        </w:rPr>
      </w:pPr>
    </w:p>
    <w:p w:rsidR="009C13A9" w:rsidRPr="00C903F8" w:rsidRDefault="009C13A9" w:rsidP="009C13A9">
      <w:pPr>
        <w:spacing w:line="240" w:lineRule="atLeast"/>
        <w:rPr>
          <w:rFonts w:cs="Arial"/>
          <w:color w:val="000000"/>
        </w:rPr>
      </w:pPr>
      <w:r>
        <w:rPr>
          <w:color w:val="000000"/>
        </w:rPr>
        <w:t>2.</w:t>
      </w:r>
      <w:r>
        <w:tab/>
      </w:r>
      <w:r>
        <w:rPr>
          <w:noProof/>
          <w:color w:val="000000"/>
        </w:rPr>
        <w:t>La domanda è accompagnata dai seguenti documenti:</w:t>
      </w:r>
    </w:p>
    <w:p w:rsidR="009C13A9" w:rsidRPr="00C903F8" w:rsidRDefault="009C13A9" w:rsidP="009C13A9">
      <w:pPr>
        <w:spacing w:before="60" w:line="240" w:lineRule="atLeast"/>
        <w:ind w:left="851"/>
        <w:rPr>
          <w:rFonts w:cs="Arial"/>
          <w:noProof/>
          <w:szCs w:val="22"/>
        </w:rPr>
      </w:pPr>
      <w:r>
        <w:t>a)</w:t>
      </w:r>
      <w:r>
        <w:tab/>
        <w:t>due descrizioni tecniche dettagliate;</w:t>
      </w:r>
    </w:p>
    <w:p w:rsidR="009C13A9" w:rsidRPr="00C903F8" w:rsidRDefault="009C13A9" w:rsidP="009C13A9">
      <w:pPr>
        <w:spacing w:before="60" w:line="240" w:lineRule="atLeast"/>
        <w:ind w:left="851"/>
        <w:rPr>
          <w:rFonts w:cs="Arial"/>
          <w:noProof/>
          <w:szCs w:val="22"/>
        </w:rPr>
      </w:pPr>
      <w:r>
        <w:t>b)</w:t>
      </w:r>
      <w:r>
        <w:tab/>
        <w:t>due serie della documentazione completa di montaggio e di funzionamento;</w:t>
      </w:r>
    </w:p>
    <w:p w:rsidR="009C13A9" w:rsidRPr="00C903F8" w:rsidRDefault="009C13A9" w:rsidP="009C13A9">
      <w:pPr>
        <w:spacing w:before="60" w:line="240" w:lineRule="atLeast"/>
        <w:ind w:left="851"/>
        <w:rPr>
          <w:rFonts w:cs="Arial"/>
          <w:noProof/>
          <w:szCs w:val="22"/>
        </w:rPr>
      </w:pPr>
      <w:r>
        <w:t>c)</w:t>
      </w:r>
      <w:r>
        <w:tab/>
        <w:t>due copie delle istruzioni operative.</w:t>
      </w:r>
    </w:p>
    <w:p w:rsidR="009C13A9" w:rsidRPr="00C903F8" w:rsidRDefault="009C13A9" w:rsidP="009C13A9">
      <w:pPr>
        <w:overflowPunct w:val="0"/>
        <w:adjustRightInd w:val="0"/>
        <w:ind w:left="0" w:firstLine="0"/>
        <w:jc w:val="left"/>
        <w:textAlignment w:val="baseline"/>
        <w:rPr>
          <w:rFonts w:cs="Arial"/>
          <w:szCs w:val="20"/>
        </w:rPr>
      </w:pPr>
    </w:p>
    <w:p w:rsidR="009C13A9" w:rsidRPr="00C903F8" w:rsidRDefault="009C13A9" w:rsidP="009C13A9">
      <w:pPr>
        <w:spacing w:line="240" w:lineRule="atLeast"/>
        <w:rPr>
          <w:rFonts w:cs="Arial"/>
          <w:color w:val="000000"/>
        </w:rPr>
      </w:pPr>
      <w:r>
        <w:rPr>
          <w:color w:val="000000"/>
        </w:rPr>
        <w:t>3.</w:t>
      </w:r>
      <w:r>
        <w:tab/>
      </w:r>
      <w:r>
        <w:rPr>
          <w:color w:val="000000"/>
        </w:rPr>
        <w:t>Il richiedente è tenuto a verificare, o a far verificare mediante prove, l’ottemperanza dell’apparecchio ai requisiti minimi menzionati nelle presenti disposizioni.</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ind w:left="426" w:firstLine="0"/>
      </w:pPr>
      <w:r>
        <w:t>Alla domanda sono allegati i risultati della prova e i verbali di misurazione.</w:t>
      </w:r>
    </w:p>
    <w:p w:rsidR="009C13A9" w:rsidRPr="00C903F8" w:rsidRDefault="009C13A9" w:rsidP="009C13A9">
      <w:pPr>
        <w:spacing w:line="240" w:lineRule="atLeast"/>
        <w:ind w:left="426" w:firstLine="0"/>
      </w:pPr>
    </w:p>
    <w:p w:rsidR="009C13A9" w:rsidRPr="00C903F8" w:rsidRDefault="009C13A9" w:rsidP="009C13A9">
      <w:pPr>
        <w:spacing w:line="240" w:lineRule="atLeast"/>
        <w:ind w:left="426" w:firstLine="0"/>
        <w:rPr>
          <w:szCs w:val="20"/>
        </w:rPr>
      </w:pPr>
      <w:r>
        <w:t>Questi documenti sono conservati dall’autorità competente, assieme alle informazioni risultanti dalle prove.</w:t>
      </w:r>
    </w:p>
    <w:p w:rsidR="009C13A9" w:rsidRPr="00C903F8" w:rsidRDefault="009C13A9" w:rsidP="009C13A9">
      <w:pPr>
        <w:tabs>
          <w:tab w:val="left" w:pos="425"/>
        </w:tabs>
        <w:overflowPunct w:val="0"/>
        <w:adjustRightInd w:val="0"/>
        <w:spacing w:line="240" w:lineRule="atLeast"/>
        <w:textAlignment w:val="baseline"/>
        <w:rPr>
          <w:rFonts w:cs="Arial"/>
          <w:szCs w:val="20"/>
        </w:rPr>
      </w:pPr>
      <w:r>
        <w:br w:type="page"/>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b/>
          <w:bCs/>
          <w:szCs w:val="20"/>
        </w:rPr>
      </w:pPr>
      <w:r>
        <w:rPr>
          <w:b/>
          <w:noProof/>
        </w:rPr>
        <w:lastRenderedPageBreak/>
        <w:t>Articolo 1.05</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r>
        <w:rPr>
          <w:i/>
          <w:noProof/>
        </w:rPr>
        <w:t>Omologazione</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p>
    <w:p w:rsidR="009C13A9" w:rsidRPr="00C903F8" w:rsidRDefault="009C13A9" w:rsidP="009C13A9">
      <w:pPr>
        <w:spacing w:line="240" w:lineRule="atLeast"/>
        <w:rPr>
          <w:rFonts w:cs="Arial"/>
          <w:color w:val="000000"/>
        </w:rPr>
      </w:pPr>
      <w:r>
        <w:rPr>
          <w:color w:val="000000"/>
        </w:rPr>
        <w:t>1.</w:t>
      </w:r>
      <w:r>
        <w:tab/>
      </w:r>
      <w:r>
        <w:rPr>
          <w:color w:val="000000"/>
        </w:rPr>
        <w:t>L’omologazione viene rilasciata dall’autorità competente a norma del certificato di prova.</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rPr>
          <w:rFonts w:cs="Arial"/>
          <w:noProof/>
          <w:color w:val="000000"/>
        </w:rPr>
      </w:pPr>
      <w:r>
        <w:rPr>
          <w:color w:val="000000"/>
        </w:rPr>
        <w:t>2.</w:t>
      </w:r>
      <w:r>
        <w:tab/>
      </w:r>
      <w:r>
        <w:rPr>
          <w:noProof/>
          <w:color w:val="000000"/>
        </w:rPr>
        <w:t>Ogni autorità competente o il servizio tecnico designato dall’autorità competente sono autorizzati a scegliere l’apparecchio tra le serie di produzione in qualsiasi momento per l’ispezione.</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ind w:left="426" w:firstLine="0"/>
        <w:rPr>
          <w:noProof/>
        </w:rPr>
      </w:pPr>
      <w:r>
        <w:t>Se dall’ispezione emergono difetti, l’omologazione può essere ritirata.</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szCs w:val="20"/>
        </w:rPr>
      </w:pPr>
      <w:r>
        <w:t>Per il ritiro è competente la stessa autorità che ha rilasciato l’omologazione.</w:t>
      </w:r>
    </w:p>
    <w:p w:rsidR="009C13A9" w:rsidRPr="00C903F8" w:rsidRDefault="009C13A9" w:rsidP="009C13A9">
      <w:pPr>
        <w:tabs>
          <w:tab w:val="left" w:leader="dot" w:pos="9072"/>
        </w:tabs>
        <w:spacing w:line="240" w:lineRule="atLeast"/>
        <w:ind w:left="0" w:firstLine="0"/>
        <w:rPr>
          <w:rFonts w:cs="Arial"/>
        </w:rPr>
      </w:pPr>
    </w:p>
    <w:p w:rsidR="009C13A9" w:rsidRPr="00C903F8" w:rsidRDefault="009C13A9" w:rsidP="009C13A9">
      <w:pPr>
        <w:tabs>
          <w:tab w:val="left" w:leader="dot" w:pos="9072"/>
        </w:tabs>
        <w:spacing w:line="240" w:lineRule="atLeast"/>
        <w:ind w:left="0" w:firstLine="0"/>
        <w:rPr>
          <w:rFonts w:cs="Arial"/>
        </w:rPr>
      </w:pP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b/>
          <w:bCs/>
          <w:szCs w:val="20"/>
        </w:rPr>
      </w:pPr>
      <w:r>
        <w:rPr>
          <w:b/>
          <w:noProof/>
        </w:rPr>
        <w:t>Articolo 1.06</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i/>
          <w:iCs/>
          <w:noProof/>
          <w:szCs w:val="20"/>
        </w:rPr>
      </w:pPr>
      <w:r>
        <w:rPr>
          <w:i/>
          <w:noProof/>
        </w:rPr>
        <w:t>Marcatura dell’apparecchio e numero di omologazione</w:t>
      </w:r>
    </w:p>
    <w:p w:rsidR="009C13A9" w:rsidRPr="00C903F8" w:rsidRDefault="009C13A9" w:rsidP="009C13A9">
      <w:pPr>
        <w:tabs>
          <w:tab w:val="left" w:leader="dot" w:pos="9072"/>
        </w:tabs>
        <w:spacing w:line="240" w:lineRule="atLeast"/>
        <w:ind w:left="0" w:firstLine="0"/>
        <w:rPr>
          <w:rFonts w:cs="Arial"/>
        </w:rPr>
      </w:pPr>
    </w:p>
    <w:p w:rsidR="009C13A9" w:rsidRPr="00C903F8" w:rsidRDefault="009C13A9" w:rsidP="009C13A9">
      <w:pPr>
        <w:spacing w:line="240" w:lineRule="atLeast"/>
        <w:rPr>
          <w:rFonts w:cs="Arial"/>
          <w:color w:val="000000"/>
        </w:rPr>
      </w:pPr>
      <w:r>
        <w:rPr>
          <w:color w:val="000000"/>
        </w:rPr>
        <w:t>1.</w:t>
      </w:r>
      <w:r>
        <w:tab/>
      </w:r>
      <w:r>
        <w:rPr>
          <w:noProof/>
          <w:color w:val="000000"/>
        </w:rPr>
        <w:t xml:space="preserve">Su ogni componente dell'apparecchio è marcato in modo indelebile il nome del costruttore, </w:t>
      </w:r>
      <w:r>
        <w:tab/>
      </w:r>
      <w:r>
        <w:rPr>
          <w:noProof/>
          <w:color w:val="000000"/>
        </w:rPr>
        <w:t xml:space="preserve">la denominazione commerciale dell’apparecchio; </w:t>
      </w:r>
      <w:r>
        <w:tab/>
      </w:r>
      <w:r>
        <w:rPr>
          <w:noProof/>
          <w:color w:val="000000"/>
        </w:rPr>
        <w:t>il tipo di apparecchio e il numero di serie.</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noProof/>
          <w:color w:val="000000"/>
        </w:rPr>
      </w:pPr>
      <w:r>
        <w:rPr>
          <w:color w:val="000000"/>
        </w:rPr>
        <w:t>2.</w:t>
      </w:r>
      <w:r>
        <w:tab/>
      </w:r>
      <w:r>
        <w:rPr>
          <w:noProof/>
          <w:color w:val="000000"/>
        </w:rPr>
        <w:t>Il numero di omologazione assegnato dall’autorità competente è apposto in modo indelebile sul blocco di comando, in modo che resti visibile anche dopo l’installazione.</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ind w:left="426" w:firstLine="0"/>
      </w:pPr>
      <w:r>
        <w:t>Composizione del numero di omologazione: R-NN-NNN o e-NN-NNN</w:t>
      </w:r>
    </w:p>
    <w:p w:rsidR="009C13A9" w:rsidRPr="00C903F8" w:rsidRDefault="009C13A9" w:rsidP="009C13A9">
      <w:pPr>
        <w:tabs>
          <w:tab w:val="left" w:pos="425"/>
          <w:tab w:val="left" w:pos="993"/>
          <w:tab w:val="left" w:pos="1418"/>
        </w:tabs>
        <w:overflowPunct w:val="0"/>
        <w:adjustRightInd w:val="0"/>
        <w:spacing w:before="60" w:line="240" w:lineRule="atLeast"/>
        <w:ind w:left="992" w:hanging="567"/>
        <w:textAlignment w:val="baseline"/>
        <w:rPr>
          <w:rFonts w:cs="Arial"/>
          <w:noProof/>
          <w:szCs w:val="20"/>
        </w:rPr>
      </w:pPr>
      <w:r>
        <w:t>R</w:t>
      </w:r>
      <w:r>
        <w:tab/>
        <w:t>=</w:t>
      </w:r>
      <w:r>
        <w:tab/>
        <w:t>Reno</w:t>
      </w:r>
    </w:p>
    <w:p w:rsidR="009C13A9" w:rsidRPr="00C903F8" w:rsidRDefault="009C13A9" w:rsidP="009C13A9">
      <w:pPr>
        <w:tabs>
          <w:tab w:val="left" w:pos="993"/>
          <w:tab w:val="left" w:pos="1418"/>
        </w:tabs>
        <w:ind w:left="992" w:hanging="567"/>
        <w:rPr>
          <w:noProof/>
        </w:rPr>
      </w:pPr>
      <w:r>
        <w:t>e</w:t>
      </w:r>
      <w:r>
        <w:tab/>
        <w:t>=</w:t>
      </w:r>
      <w:r>
        <w:tab/>
        <w:t>Unione europea</w:t>
      </w:r>
    </w:p>
    <w:p w:rsidR="009C13A9" w:rsidRPr="00C903F8" w:rsidRDefault="009C13A9" w:rsidP="009C13A9">
      <w:pPr>
        <w:tabs>
          <w:tab w:val="left" w:pos="993"/>
          <w:tab w:val="left" w:pos="1418"/>
        </w:tabs>
        <w:ind w:left="992" w:hanging="567"/>
        <w:rPr>
          <w:noProof/>
        </w:rPr>
      </w:pPr>
      <w:r>
        <w:t>NN</w:t>
      </w:r>
      <w:r>
        <w:tab/>
        <w:t>=</w:t>
      </w:r>
      <w:r>
        <w:tab/>
        <w:t>numero dello Stato di omologazione, ove</w:t>
      </w:r>
    </w:p>
    <w:p w:rsidR="009C13A9" w:rsidRPr="00C903F8" w:rsidRDefault="009C13A9" w:rsidP="009C13A9">
      <w:pPr>
        <w:ind w:left="850"/>
        <w:rPr>
          <w:noProof/>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01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Germania</w:t>
            </w:r>
          </w:p>
        </w:tc>
        <w:tc>
          <w:tcPr>
            <w:tcW w:w="724" w:type="dxa"/>
          </w:tcPr>
          <w:p w:rsidR="009C13A9" w:rsidRPr="00C903F8" w:rsidRDefault="009C13A9" w:rsidP="009C13A9">
            <w:pPr>
              <w:spacing w:before="40" w:after="40" w:line="240" w:lineRule="atLeast"/>
              <w:rPr>
                <w:noProof/>
                <w:szCs w:val="20"/>
              </w:rPr>
            </w:pPr>
            <w:r>
              <w:t>19</w:t>
            </w:r>
          </w:p>
        </w:tc>
        <w:tc>
          <w:tcPr>
            <w:tcW w:w="416" w:type="dxa"/>
          </w:tcPr>
          <w:p w:rsidR="009C13A9" w:rsidRPr="00C903F8" w:rsidRDefault="009C13A9" w:rsidP="009C13A9">
            <w:pPr>
              <w:spacing w:before="40" w:after="40" w:line="240" w:lineRule="atLeast"/>
              <w:rPr>
                <w:noProof/>
                <w:szCs w:val="20"/>
              </w:rPr>
            </w:pPr>
            <w:r>
              <w:t>=</w:t>
            </w:r>
          </w:p>
        </w:tc>
        <w:tc>
          <w:tcPr>
            <w:tcW w:w="2205" w:type="dxa"/>
          </w:tcPr>
          <w:p w:rsidR="009C13A9" w:rsidRPr="00C903F8" w:rsidRDefault="009C13A9" w:rsidP="009C13A9">
            <w:pPr>
              <w:spacing w:before="40" w:after="40" w:line="240" w:lineRule="atLeast"/>
              <w:rPr>
                <w:noProof/>
                <w:szCs w:val="20"/>
              </w:rPr>
            </w:pPr>
            <w:r>
              <w:t>Romania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02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 xml:space="preserve">Francia </w:t>
            </w:r>
          </w:p>
        </w:tc>
        <w:tc>
          <w:tcPr>
            <w:tcW w:w="724" w:type="dxa"/>
          </w:tcPr>
          <w:p w:rsidR="009C13A9" w:rsidRPr="00C903F8" w:rsidRDefault="009C13A9" w:rsidP="009C13A9">
            <w:pPr>
              <w:spacing w:before="40" w:after="40" w:line="240" w:lineRule="atLeast"/>
              <w:rPr>
                <w:noProof/>
                <w:szCs w:val="20"/>
              </w:rPr>
            </w:pPr>
            <w:r>
              <w:t xml:space="preserve">20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 xml:space="preserve">Polonia </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03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Italia</w:t>
            </w:r>
          </w:p>
        </w:tc>
        <w:tc>
          <w:tcPr>
            <w:tcW w:w="724" w:type="dxa"/>
          </w:tcPr>
          <w:p w:rsidR="009C13A9" w:rsidRPr="00C903F8" w:rsidRDefault="009C13A9" w:rsidP="009C13A9">
            <w:pPr>
              <w:spacing w:before="40" w:after="40" w:line="240" w:lineRule="atLeast"/>
              <w:rPr>
                <w:noProof/>
                <w:szCs w:val="20"/>
              </w:rPr>
            </w:pPr>
            <w:r>
              <w:t xml:space="preserve">21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 xml:space="preserve">Portogallo </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04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 xml:space="preserve">Paesi Bassi </w:t>
            </w:r>
          </w:p>
        </w:tc>
        <w:tc>
          <w:tcPr>
            <w:tcW w:w="724" w:type="dxa"/>
          </w:tcPr>
          <w:p w:rsidR="009C13A9" w:rsidRPr="00C903F8" w:rsidRDefault="009C13A9" w:rsidP="009C13A9">
            <w:pPr>
              <w:spacing w:before="40" w:after="40" w:line="240" w:lineRule="atLeast"/>
              <w:rPr>
                <w:noProof/>
                <w:szCs w:val="20"/>
              </w:rPr>
            </w:pPr>
            <w:r>
              <w:t xml:space="preserve">23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Grecia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05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Svezia</w:t>
            </w:r>
          </w:p>
        </w:tc>
        <w:tc>
          <w:tcPr>
            <w:tcW w:w="724" w:type="dxa"/>
          </w:tcPr>
          <w:p w:rsidR="009C13A9" w:rsidRPr="00C903F8" w:rsidRDefault="009C13A9" w:rsidP="009C13A9">
            <w:pPr>
              <w:spacing w:before="40" w:after="40" w:line="240" w:lineRule="atLeast"/>
              <w:rPr>
                <w:noProof/>
                <w:szCs w:val="20"/>
              </w:rPr>
            </w:pPr>
            <w:r>
              <w:t xml:space="preserve">24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Irlanda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06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 xml:space="preserve">Belgio </w:t>
            </w:r>
          </w:p>
        </w:tc>
        <w:tc>
          <w:tcPr>
            <w:tcW w:w="724" w:type="dxa"/>
            <w:vAlign w:val="center"/>
          </w:tcPr>
          <w:p w:rsidR="009C13A9" w:rsidRPr="00C903F8" w:rsidRDefault="009C13A9" w:rsidP="009C13A9">
            <w:pPr>
              <w:spacing w:before="40" w:after="40" w:line="240" w:lineRule="atLeast"/>
              <w:rPr>
                <w:noProof/>
                <w:szCs w:val="20"/>
              </w:rPr>
            </w:pPr>
            <w:r>
              <w:rPr>
                <w:color w:val="000000"/>
              </w:rPr>
              <w:t>25</w:t>
            </w:r>
          </w:p>
        </w:tc>
        <w:tc>
          <w:tcPr>
            <w:tcW w:w="416" w:type="dxa"/>
            <w:vAlign w:val="center"/>
          </w:tcPr>
          <w:p w:rsidR="009C13A9" w:rsidRPr="00C903F8" w:rsidRDefault="009C13A9" w:rsidP="009C13A9">
            <w:pPr>
              <w:spacing w:before="40" w:after="40" w:line="240" w:lineRule="atLeast"/>
              <w:rPr>
                <w:noProof/>
                <w:szCs w:val="20"/>
              </w:rPr>
            </w:pPr>
            <w:r>
              <w:rPr>
                <w:color w:val="000000"/>
              </w:rPr>
              <w:t>=</w:t>
            </w:r>
          </w:p>
        </w:tc>
        <w:tc>
          <w:tcPr>
            <w:tcW w:w="2205" w:type="dxa"/>
            <w:vAlign w:val="center"/>
          </w:tcPr>
          <w:p w:rsidR="009C13A9" w:rsidRPr="00C903F8" w:rsidRDefault="009C13A9" w:rsidP="009C13A9">
            <w:pPr>
              <w:spacing w:before="40" w:after="40" w:line="240" w:lineRule="atLeast"/>
              <w:rPr>
                <w:noProof/>
                <w:szCs w:val="20"/>
              </w:rPr>
            </w:pPr>
            <w:r>
              <w:t>Croazia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07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Ungheria</w:t>
            </w:r>
          </w:p>
        </w:tc>
        <w:tc>
          <w:tcPr>
            <w:tcW w:w="724" w:type="dxa"/>
          </w:tcPr>
          <w:p w:rsidR="009C13A9" w:rsidRPr="00C903F8" w:rsidRDefault="009C13A9" w:rsidP="009C13A9">
            <w:pPr>
              <w:spacing w:before="40" w:after="40" w:line="240" w:lineRule="atLeast"/>
              <w:rPr>
                <w:noProof/>
                <w:szCs w:val="20"/>
              </w:rPr>
            </w:pPr>
            <w:r>
              <w:t xml:space="preserve">26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Slovenia</w:t>
            </w:r>
          </w:p>
        </w:tc>
      </w:tr>
      <w:tr w:rsidR="009C13A9" w:rsidRPr="00C903F8" w:rsidTr="009C13A9">
        <w:trPr>
          <w:jc w:val="center"/>
        </w:trPr>
        <w:tc>
          <w:tcPr>
            <w:tcW w:w="720" w:type="dxa"/>
          </w:tcPr>
          <w:p w:rsidR="009C13A9" w:rsidRPr="00C903F8" w:rsidRDefault="009C13A9" w:rsidP="009C13A9">
            <w:pPr>
              <w:spacing w:before="40" w:after="160" w:line="240" w:lineRule="atLeast"/>
              <w:rPr>
                <w:noProof/>
                <w:szCs w:val="20"/>
              </w:rPr>
            </w:pPr>
            <w:r>
              <w:t xml:space="preserve">08 </w:t>
            </w:r>
          </w:p>
        </w:tc>
        <w:tc>
          <w:tcPr>
            <w:tcW w:w="360" w:type="dxa"/>
          </w:tcPr>
          <w:p w:rsidR="009C13A9" w:rsidRPr="00C903F8" w:rsidRDefault="009C13A9" w:rsidP="009C13A9">
            <w:pPr>
              <w:spacing w:before="40" w:after="160" w:line="240" w:lineRule="atLeast"/>
              <w:rPr>
                <w:noProof/>
                <w:szCs w:val="20"/>
              </w:rPr>
            </w:pPr>
            <w:r>
              <w:t xml:space="preserve">= </w:t>
            </w:r>
          </w:p>
        </w:tc>
        <w:tc>
          <w:tcPr>
            <w:tcW w:w="3162" w:type="dxa"/>
          </w:tcPr>
          <w:p w:rsidR="009C13A9" w:rsidRPr="00C903F8" w:rsidRDefault="009C13A9" w:rsidP="009C13A9">
            <w:pPr>
              <w:spacing w:before="40" w:after="160" w:line="240" w:lineRule="atLeast"/>
              <w:rPr>
                <w:noProof/>
                <w:szCs w:val="20"/>
              </w:rPr>
            </w:pPr>
            <w:r>
              <w:t>Repubblica ceca</w:t>
            </w:r>
          </w:p>
        </w:tc>
        <w:tc>
          <w:tcPr>
            <w:tcW w:w="724" w:type="dxa"/>
          </w:tcPr>
          <w:p w:rsidR="009C13A9" w:rsidRPr="00C903F8" w:rsidRDefault="009C13A9" w:rsidP="009C13A9">
            <w:pPr>
              <w:spacing w:before="40" w:after="160" w:line="240" w:lineRule="atLeast"/>
              <w:rPr>
                <w:noProof/>
                <w:szCs w:val="20"/>
              </w:rPr>
            </w:pPr>
            <w:r>
              <w:t xml:space="preserve">27 </w:t>
            </w:r>
          </w:p>
        </w:tc>
        <w:tc>
          <w:tcPr>
            <w:tcW w:w="416" w:type="dxa"/>
          </w:tcPr>
          <w:p w:rsidR="009C13A9" w:rsidRPr="00C903F8" w:rsidRDefault="009C13A9" w:rsidP="009C13A9">
            <w:pPr>
              <w:spacing w:before="40" w:after="160" w:line="240" w:lineRule="atLeast"/>
              <w:rPr>
                <w:noProof/>
                <w:szCs w:val="20"/>
              </w:rPr>
            </w:pPr>
            <w:r>
              <w:t xml:space="preserve">= </w:t>
            </w:r>
          </w:p>
        </w:tc>
        <w:tc>
          <w:tcPr>
            <w:tcW w:w="2205" w:type="dxa"/>
          </w:tcPr>
          <w:p w:rsidR="009C13A9" w:rsidRPr="00C903F8" w:rsidRDefault="009C13A9" w:rsidP="009C13A9">
            <w:pPr>
              <w:spacing w:before="40" w:after="160" w:line="240" w:lineRule="atLeast"/>
              <w:rPr>
                <w:noProof/>
                <w:szCs w:val="20"/>
              </w:rPr>
            </w:pPr>
            <w:r>
              <w:t>Slovacchia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09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 xml:space="preserve">Spagna </w:t>
            </w:r>
          </w:p>
        </w:tc>
        <w:tc>
          <w:tcPr>
            <w:tcW w:w="724" w:type="dxa"/>
          </w:tcPr>
          <w:p w:rsidR="009C13A9" w:rsidRPr="00C903F8" w:rsidRDefault="009C13A9" w:rsidP="009C13A9">
            <w:pPr>
              <w:spacing w:before="40" w:after="40" w:line="240" w:lineRule="atLeast"/>
              <w:rPr>
                <w:noProof/>
                <w:szCs w:val="20"/>
              </w:rPr>
            </w:pPr>
            <w:r>
              <w:t xml:space="preserve">29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Estonia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11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Regno Unito</w:t>
            </w:r>
          </w:p>
        </w:tc>
        <w:tc>
          <w:tcPr>
            <w:tcW w:w="724" w:type="dxa"/>
          </w:tcPr>
          <w:p w:rsidR="009C13A9" w:rsidRPr="00C903F8" w:rsidRDefault="009C13A9" w:rsidP="009C13A9">
            <w:pPr>
              <w:spacing w:before="40" w:after="40" w:line="240" w:lineRule="atLeast"/>
              <w:rPr>
                <w:noProof/>
                <w:szCs w:val="20"/>
              </w:rPr>
            </w:pPr>
            <w:r>
              <w:t xml:space="preserve">32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Lettonia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12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Austria</w:t>
            </w:r>
          </w:p>
        </w:tc>
        <w:tc>
          <w:tcPr>
            <w:tcW w:w="724" w:type="dxa"/>
          </w:tcPr>
          <w:p w:rsidR="009C13A9" w:rsidRPr="00C903F8" w:rsidRDefault="009C13A9" w:rsidP="009C13A9">
            <w:pPr>
              <w:spacing w:before="40" w:after="40" w:line="240" w:lineRule="atLeast"/>
              <w:rPr>
                <w:noProof/>
                <w:szCs w:val="20"/>
              </w:rPr>
            </w:pPr>
            <w:r>
              <w:t>34</w:t>
            </w:r>
          </w:p>
        </w:tc>
        <w:tc>
          <w:tcPr>
            <w:tcW w:w="416" w:type="dxa"/>
          </w:tcPr>
          <w:p w:rsidR="009C13A9" w:rsidRPr="00C903F8" w:rsidRDefault="009C13A9" w:rsidP="009C13A9">
            <w:pPr>
              <w:spacing w:before="40" w:after="40" w:line="240" w:lineRule="atLeast"/>
              <w:rPr>
                <w:noProof/>
                <w:szCs w:val="20"/>
              </w:rPr>
            </w:pPr>
            <w:r>
              <w:t>=</w:t>
            </w:r>
          </w:p>
        </w:tc>
        <w:tc>
          <w:tcPr>
            <w:tcW w:w="2205" w:type="dxa"/>
          </w:tcPr>
          <w:p w:rsidR="009C13A9" w:rsidRPr="00C903F8" w:rsidRDefault="009C13A9" w:rsidP="009C13A9">
            <w:pPr>
              <w:spacing w:before="40" w:after="40" w:line="240" w:lineRule="atLeast"/>
              <w:rPr>
                <w:noProof/>
                <w:szCs w:val="20"/>
              </w:rPr>
            </w:pPr>
            <w:r>
              <w:t>Bulgaria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13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 xml:space="preserve">Lussemburgo </w:t>
            </w:r>
          </w:p>
        </w:tc>
        <w:tc>
          <w:tcPr>
            <w:tcW w:w="724" w:type="dxa"/>
          </w:tcPr>
          <w:p w:rsidR="009C13A9" w:rsidRPr="00C903F8" w:rsidRDefault="009C13A9" w:rsidP="009C13A9">
            <w:pPr>
              <w:spacing w:before="40" w:after="40" w:line="240" w:lineRule="atLeast"/>
              <w:rPr>
                <w:noProof/>
                <w:szCs w:val="20"/>
              </w:rPr>
            </w:pPr>
            <w:r>
              <w:t xml:space="preserve">36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Lituania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14</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Svizzera</w:t>
            </w:r>
          </w:p>
        </w:tc>
        <w:tc>
          <w:tcPr>
            <w:tcW w:w="724" w:type="dxa"/>
          </w:tcPr>
          <w:p w:rsidR="009C13A9" w:rsidRPr="00C903F8" w:rsidRDefault="009C13A9" w:rsidP="009C13A9">
            <w:pPr>
              <w:spacing w:before="40" w:after="40" w:line="240" w:lineRule="atLeast"/>
              <w:rPr>
                <w:noProof/>
                <w:szCs w:val="20"/>
              </w:rPr>
            </w:pPr>
            <w:r>
              <w:t xml:space="preserve">49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Cipro</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17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Finlandia</w:t>
            </w:r>
          </w:p>
        </w:tc>
        <w:tc>
          <w:tcPr>
            <w:tcW w:w="724" w:type="dxa"/>
          </w:tcPr>
          <w:p w:rsidR="009C13A9" w:rsidRPr="00C903F8" w:rsidRDefault="009C13A9" w:rsidP="009C13A9">
            <w:pPr>
              <w:spacing w:before="40" w:after="40" w:line="240" w:lineRule="atLeast"/>
              <w:rPr>
                <w:noProof/>
                <w:szCs w:val="20"/>
              </w:rPr>
            </w:pPr>
            <w:r>
              <w:t xml:space="preserve">50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Malta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18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 xml:space="preserve">Danimarca </w:t>
            </w:r>
          </w:p>
        </w:tc>
        <w:tc>
          <w:tcPr>
            <w:tcW w:w="724" w:type="dxa"/>
          </w:tcPr>
          <w:p w:rsidR="009C13A9" w:rsidRPr="00C903F8" w:rsidRDefault="009C13A9" w:rsidP="009C13A9">
            <w:pPr>
              <w:spacing w:before="40" w:after="40" w:line="240" w:lineRule="atLeast"/>
              <w:rPr>
                <w:noProof/>
                <w:szCs w:val="20"/>
              </w:rPr>
            </w:pPr>
          </w:p>
        </w:tc>
        <w:tc>
          <w:tcPr>
            <w:tcW w:w="416" w:type="dxa"/>
          </w:tcPr>
          <w:p w:rsidR="009C13A9" w:rsidRPr="00C903F8" w:rsidRDefault="009C13A9" w:rsidP="009C13A9">
            <w:pPr>
              <w:spacing w:before="40" w:after="40" w:line="240" w:lineRule="atLeast"/>
              <w:rPr>
                <w:noProof/>
                <w:szCs w:val="20"/>
              </w:rPr>
            </w:pPr>
          </w:p>
        </w:tc>
        <w:tc>
          <w:tcPr>
            <w:tcW w:w="2205" w:type="dxa"/>
          </w:tcPr>
          <w:p w:rsidR="009C13A9" w:rsidRPr="00C903F8" w:rsidRDefault="009C13A9" w:rsidP="009C13A9">
            <w:pPr>
              <w:spacing w:before="40" w:after="40" w:line="240" w:lineRule="atLeast"/>
              <w:rPr>
                <w:noProof/>
                <w:szCs w:val="20"/>
              </w:rPr>
            </w:pPr>
          </w:p>
        </w:tc>
      </w:tr>
    </w:tbl>
    <w:p w:rsidR="009C13A9" w:rsidRPr="00C903F8" w:rsidRDefault="009C13A9" w:rsidP="009C13A9">
      <w:pPr>
        <w:tabs>
          <w:tab w:val="left" w:pos="993"/>
        </w:tabs>
        <w:spacing w:line="240" w:lineRule="atLeast"/>
        <w:ind w:left="1418" w:hanging="992"/>
        <w:rPr>
          <w:noProof/>
        </w:rPr>
      </w:pPr>
    </w:p>
    <w:p w:rsidR="009C13A9" w:rsidRPr="00C903F8" w:rsidRDefault="009C13A9" w:rsidP="009C13A9">
      <w:pPr>
        <w:tabs>
          <w:tab w:val="left" w:pos="993"/>
        </w:tabs>
        <w:spacing w:line="240" w:lineRule="atLeast"/>
        <w:ind w:left="1418" w:hanging="992"/>
        <w:rPr>
          <w:noProof/>
        </w:rPr>
      </w:pPr>
      <w:r>
        <w:t>NNN</w:t>
      </w:r>
      <w:r>
        <w:tab/>
        <w:t>=</w:t>
      </w:r>
      <w:r>
        <w:tab/>
        <w:t>numero a tre cifre fissato dall'autorità competente.</w:t>
      </w:r>
    </w:p>
    <w:p w:rsidR="009C13A9" w:rsidRPr="00C903F8" w:rsidRDefault="009C13A9" w:rsidP="009C13A9">
      <w:pPr>
        <w:tabs>
          <w:tab w:val="left" w:pos="288"/>
          <w:tab w:val="left" w:pos="432"/>
        </w:tabs>
        <w:overflowPunct w:val="0"/>
        <w:adjustRightInd w:val="0"/>
        <w:ind w:left="0" w:firstLine="0"/>
        <w:jc w:val="left"/>
        <w:textAlignment w:val="baseline"/>
        <w:rPr>
          <w:rFonts w:cs="Arial"/>
          <w:szCs w:val="20"/>
        </w:rPr>
      </w:pPr>
    </w:p>
    <w:p w:rsidR="009C13A9" w:rsidRPr="00B70FC2" w:rsidRDefault="009C13A9" w:rsidP="00B70FC2">
      <w:pPr>
        <w:pStyle w:val="Esannch"/>
        <w:rPr>
          <w:noProof/>
        </w:rPr>
      </w:pPr>
      <w:r>
        <w:t>3.</w:t>
      </w:r>
      <w:r>
        <w:tab/>
        <w:t xml:space="preserve">Il numero di omologazione è utilizzato soltanto in relazione alla corrispondente omologazione. </w:t>
      </w:r>
    </w:p>
    <w:p w:rsidR="009C13A9" w:rsidRPr="00C903F8" w:rsidRDefault="009C13A9" w:rsidP="009C13A9">
      <w:pPr>
        <w:spacing w:line="240" w:lineRule="atLeast"/>
        <w:ind w:left="426" w:firstLine="0"/>
        <w:rPr>
          <w:noProof/>
        </w:rPr>
      </w:pPr>
      <w:r>
        <w:t>Spetta al richiedente esibire e apporre il numero di omologazione.</w:t>
      </w:r>
    </w:p>
    <w:p w:rsidR="009C13A9" w:rsidRPr="00C903F8" w:rsidRDefault="009C13A9" w:rsidP="009C13A9">
      <w:pPr>
        <w:tabs>
          <w:tab w:val="left" w:pos="288"/>
          <w:tab w:val="left" w:pos="432"/>
        </w:tabs>
        <w:overflowPunct w:val="0"/>
        <w:adjustRightInd w:val="0"/>
        <w:ind w:left="0" w:firstLine="0"/>
        <w:jc w:val="left"/>
        <w:textAlignment w:val="baseline"/>
        <w:rPr>
          <w:rFonts w:cs="Arial"/>
          <w:szCs w:val="20"/>
        </w:rPr>
      </w:pPr>
    </w:p>
    <w:p w:rsidR="00B70FC2" w:rsidRDefault="00B70FC2">
      <w:pPr>
        <w:autoSpaceDE/>
        <w:autoSpaceDN/>
        <w:ind w:left="0" w:firstLine="0"/>
        <w:jc w:val="left"/>
        <w:rPr>
          <w:rFonts w:cs="Arial"/>
          <w:szCs w:val="20"/>
        </w:rPr>
      </w:pPr>
      <w:r>
        <w:br w:type="page"/>
      </w:r>
    </w:p>
    <w:p w:rsidR="009C13A9" w:rsidRPr="00C903F8" w:rsidRDefault="009C13A9" w:rsidP="009C13A9">
      <w:pPr>
        <w:tabs>
          <w:tab w:val="left" w:pos="288"/>
          <w:tab w:val="left" w:pos="432"/>
        </w:tabs>
        <w:overflowPunct w:val="0"/>
        <w:adjustRightInd w:val="0"/>
        <w:ind w:left="0" w:firstLine="0"/>
        <w:jc w:val="left"/>
        <w:textAlignment w:val="baseline"/>
        <w:rPr>
          <w:rFonts w:cs="Arial"/>
          <w:szCs w:val="20"/>
        </w:rPr>
      </w:pP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b/>
          <w:bCs/>
          <w:szCs w:val="20"/>
        </w:rPr>
      </w:pPr>
      <w:r>
        <w:rPr>
          <w:b/>
          <w:noProof/>
        </w:rPr>
        <w:t>Articolo 1.07</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r>
        <w:rPr>
          <w:i/>
          <w:noProof/>
        </w:rPr>
        <w:t>Dichiarazione del costruttore</w:t>
      </w:r>
    </w:p>
    <w:p w:rsidR="009C13A9" w:rsidRPr="00C903F8" w:rsidRDefault="009C13A9" w:rsidP="009C13A9">
      <w:pPr>
        <w:tabs>
          <w:tab w:val="left" w:pos="288"/>
          <w:tab w:val="left" w:pos="432"/>
        </w:tabs>
        <w:overflowPunct w:val="0"/>
        <w:adjustRightInd w:val="0"/>
        <w:ind w:left="0" w:firstLine="0"/>
        <w:jc w:val="left"/>
        <w:textAlignment w:val="baseline"/>
        <w:rPr>
          <w:rFonts w:cs="Arial"/>
          <w:szCs w:val="20"/>
        </w:rPr>
      </w:pPr>
    </w:p>
    <w:p w:rsidR="009C13A9" w:rsidRPr="00C903F8" w:rsidRDefault="009C13A9" w:rsidP="009C13A9">
      <w:pPr>
        <w:tabs>
          <w:tab w:val="left" w:leader="dot" w:pos="9072"/>
        </w:tabs>
        <w:spacing w:line="240" w:lineRule="atLeast"/>
        <w:ind w:left="0" w:firstLine="0"/>
        <w:rPr>
          <w:rFonts w:cs="Arial"/>
          <w:szCs w:val="20"/>
        </w:rPr>
      </w:pPr>
      <w:r>
        <w:t>Ogni singolo apparecchio è accompagnato da una dichiarazione del costruttore.</w:t>
      </w:r>
    </w:p>
    <w:p w:rsidR="009C13A9" w:rsidRPr="00C903F8" w:rsidRDefault="009C13A9" w:rsidP="009C13A9">
      <w:pPr>
        <w:tabs>
          <w:tab w:val="left" w:leader="dot" w:pos="9072"/>
        </w:tabs>
        <w:spacing w:line="240" w:lineRule="atLeast"/>
        <w:ind w:left="0" w:firstLine="0"/>
        <w:rPr>
          <w:rFonts w:cs="Arial"/>
        </w:rPr>
      </w:pPr>
    </w:p>
    <w:p w:rsidR="009C13A9" w:rsidRPr="00C903F8" w:rsidRDefault="009C13A9" w:rsidP="009C13A9">
      <w:pPr>
        <w:tabs>
          <w:tab w:val="left" w:leader="dot" w:pos="9072"/>
        </w:tabs>
        <w:spacing w:line="240" w:lineRule="atLeast"/>
        <w:ind w:left="0" w:firstLine="0"/>
        <w:rPr>
          <w:rFonts w:cs="Arial"/>
        </w:rPr>
      </w:pP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b/>
          <w:bCs/>
          <w:szCs w:val="20"/>
        </w:rPr>
      </w:pPr>
      <w:r>
        <w:rPr>
          <w:b/>
          <w:noProof/>
        </w:rPr>
        <w:t>Articolo 1.08</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i/>
          <w:iCs/>
          <w:noProof/>
          <w:szCs w:val="20"/>
        </w:rPr>
      </w:pPr>
      <w:r>
        <w:rPr>
          <w:i/>
          <w:noProof/>
        </w:rPr>
        <w:t>Modifiche ad apparecchi già omologati</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p>
    <w:p w:rsidR="009C13A9" w:rsidRPr="00C903F8" w:rsidRDefault="009C13A9" w:rsidP="009C13A9">
      <w:pPr>
        <w:spacing w:line="240" w:lineRule="atLeast"/>
        <w:rPr>
          <w:rFonts w:cs="Arial"/>
          <w:color w:val="000000"/>
        </w:rPr>
      </w:pPr>
      <w:r>
        <w:rPr>
          <w:color w:val="000000"/>
        </w:rPr>
        <w:t>1.</w:t>
      </w:r>
      <w:r>
        <w:tab/>
      </w:r>
      <w:r>
        <w:rPr>
          <w:color w:val="000000"/>
        </w:rPr>
        <w:t>Qualsiasi modifica apportata ad apparecchi già omologati comporta la nullità dell'omologazione.</w:t>
      </w:r>
    </w:p>
    <w:p w:rsidR="009C13A9" w:rsidRPr="00C903F8" w:rsidRDefault="009C13A9" w:rsidP="009C13A9">
      <w:pPr>
        <w:spacing w:line="240" w:lineRule="atLeast"/>
        <w:ind w:left="426" w:firstLine="0"/>
      </w:pPr>
    </w:p>
    <w:p w:rsidR="009C13A9" w:rsidRPr="00C903F8" w:rsidRDefault="009C13A9" w:rsidP="009C13A9">
      <w:pPr>
        <w:spacing w:line="240" w:lineRule="atLeast"/>
        <w:ind w:left="426" w:firstLine="0"/>
      </w:pPr>
      <w:r>
        <w:t>In caso di modifiche pianificate i relativi particolari sono notificati per iscritto al servizio tecnico competente.</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2.</w:t>
      </w:r>
      <w:r>
        <w:tab/>
      </w:r>
      <w:r>
        <w:rPr>
          <w:color w:val="000000"/>
        </w:rPr>
        <w:t>L’autorità competente decide, dopo aver consultato il servizio tecnico, se l’omologazione è sempre valida o se si renda necessaria un’ispezione o una nuova prova del tipo.</w:t>
      </w:r>
    </w:p>
    <w:p w:rsidR="009C13A9" w:rsidRPr="00C903F8" w:rsidRDefault="009C13A9" w:rsidP="009C13A9">
      <w:pPr>
        <w:spacing w:line="240" w:lineRule="atLeast"/>
        <w:ind w:left="426" w:firstLine="0"/>
      </w:pPr>
    </w:p>
    <w:p w:rsidR="009C13A9" w:rsidRPr="00C903F8" w:rsidRDefault="009C13A9" w:rsidP="009C13A9">
      <w:pPr>
        <w:spacing w:line="240" w:lineRule="atLeast"/>
        <w:ind w:left="426" w:firstLine="0"/>
        <w:rPr>
          <w:szCs w:val="20"/>
        </w:rPr>
      </w:pPr>
      <w:r>
        <w:t>In quest’ultimo caso è attribuito un nuovo numero di omologazione.</w:t>
      </w: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p>
    <w:p w:rsidR="009C13A9" w:rsidRPr="00C903F8" w:rsidRDefault="009C13A9" w:rsidP="009C13A9">
      <w:pPr>
        <w:overflowPunct w:val="0"/>
        <w:adjustRightInd w:val="0"/>
        <w:ind w:left="0" w:firstLine="0"/>
        <w:jc w:val="center"/>
        <w:textAlignment w:val="baseline"/>
        <w:rPr>
          <w:rFonts w:cs="Arial"/>
          <w:b/>
          <w:bCs/>
          <w:szCs w:val="20"/>
        </w:rPr>
      </w:pPr>
      <w:r>
        <w:rPr>
          <w:b/>
          <w:noProof/>
        </w:rPr>
        <w:t>Capo 2</w:t>
      </w:r>
    </w:p>
    <w:p w:rsidR="009C13A9" w:rsidRPr="00C903F8" w:rsidRDefault="009C13A9" w:rsidP="009C13A9">
      <w:pPr>
        <w:overflowPunct w:val="0"/>
        <w:adjustRightInd w:val="0"/>
        <w:ind w:left="0" w:firstLine="0"/>
        <w:jc w:val="center"/>
        <w:textAlignment w:val="baseline"/>
        <w:rPr>
          <w:rFonts w:cs="Arial"/>
          <w:b/>
          <w:bCs/>
          <w:caps/>
          <w:szCs w:val="20"/>
        </w:rPr>
      </w:pPr>
      <w:r>
        <w:rPr>
          <w:b/>
          <w:noProof/>
        </w:rPr>
        <w:t>Requisiti generali minimi degli indicatori della velocità di accostata</w:t>
      </w:r>
    </w:p>
    <w:p w:rsidR="009C13A9" w:rsidRPr="00C903F8" w:rsidRDefault="009C13A9" w:rsidP="009C13A9">
      <w:pPr>
        <w:overflowPunct w:val="0"/>
        <w:adjustRightInd w:val="0"/>
        <w:ind w:left="0" w:firstLine="0"/>
        <w:jc w:val="center"/>
        <w:textAlignment w:val="baseline"/>
        <w:rPr>
          <w:rFonts w:cs="Arial"/>
          <w:szCs w:val="20"/>
        </w:rPr>
      </w:pPr>
    </w:p>
    <w:p w:rsidR="009C13A9" w:rsidRPr="00C903F8" w:rsidRDefault="009C13A9" w:rsidP="009C13A9">
      <w:pPr>
        <w:overflowPunct w:val="0"/>
        <w:adjustRightInd w:val="0"/>
        <w:ind w:left="0" w:firstLine="0"/>
        <w:jc w:val="center"/>
        <w:textAlignment w:val="baseline"/>
        <w:rPr>
          <w:rFonts w:cs="Arial"/>
          <w:b/>
          <w:bCs/>
          <w:szCs w:val="20"/>
        </w:rPr>
      </w:pPr>
      <w:r>
        <w:rPr>
          <w:b/>
          <w:noProof/>
        </w:rPr>
        <w:t>Articolo 2.01</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i/>
          <w:iCs/>
          <w:noProof/>
          <w:szCs w:val="20"/>
        </w:rPr>
      </w:pPr>
      <w:r>
        <w:rPr>
          <w:i/>
          <w:noProof/>
        </w:rPr>
        <w:t>Costruzione, progettazione</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p>
    <w:p w:rsidR="009C13A9" w:rsidRPr="00C903F8" w:rsidRDefault="009C13A9" w:rsidP="009C13A9">
      <w:pPr>
        <w:spacing w:line="240" w:lineRule="atLeast"/>
        <w:rPr>
          <w:rFonts w:cs="Arial"/>
          <w:snapToGrid w:val="0"/>
          <w:color w:val="000000"/>
        </w:rPr>
      </w:pPr>
      <w:r>
        <w:rPr>
          <w:snapToGrid w:val="0"/>
          <w:color w:val="000000"/>
        </w:rPr>
        <w:t>1.</w:t>
      </w:r>
      <w:r>
        <w:tab/>
      </w:r>
      <w:r>
        <w:rPr>
          <w:noProof/>
          <w:snapToGrid w:val="0"/>
          <w:color w:val="000000"/>
        </w:rPr>
        <w:t>Gli indicatori della velocità di accostata sono idonei a funzionare a bordo delle navi della navigazione interna.</w:t>
      </w:r>
    </w:p>
    <w:p w:rsidR="009C13A9" w:rsidRPr="00C903F8" w:rsidRDefault="009C13A9" w:rsidP="009C13A9">
      <w:pPr>
        <w:spacing w:line="240" w:lineRule="atLeast"/>
        <w:rPr>
          <w:rFonts w:cs="Arial"/>
          <w:snapToGrid w:val="0"/>
          <w:color w:val="000000"/>
        </w:rPr>
      </w:pPr>
    </w:p>
    <w:p w:rsidR="009C13A9" w:rsidRPr="00C903F8" w:rsidRDefault="009C13A9" w:rsidP="009C13A9">
      <w:pPr>
        <w:spacing w:line="240" w:lineRule="atLeast"/>
        <w:rPr>
          <w:rFonts w:cs="Arial"/>
          <w:snapToGrid w:val="0"/>
          <w:color w:val="000000"/>
        </w:rPr>
      </w:pPr>
      <w:r>
        <w:rPr>
          <w:snapToGrid w:val="0"/>
          <w:color w:val="000000"/>
        </w:rPr>
        <w:t>2.</w:t>
      </w:r>
      <w:r>
        <w:tab/>
      </w:r>
      <w:r>
        <w:rPr>
          <w:noProof/>
          <w:snapToGrid w:val="0"/>
          <w:color w:val="000000"/>
        </w:rPr>
        <w:t>La costruzione e la progettazione dell’apparecchio corrispondono alle attuali regole dell’ingegneria industriale sia sotto il profilo meccanico che quello elettrico.</w:t>
      </w:r>
    </w:p>
    <w:p w:rsidR="009C13A9" w:rsidRPr="00C903F8" w:rsidRDefault="009C13A9" w:rsidP="009C13A9">
      <w:pPr>
        <w:tabs>
          <w:tab w:val="left" w:leader="dot" w:pos="9072"/>
        </w:tabs>
        <w:spacing w:line="240" w:lineRule="atLeast"/>
        <w:ind w:left="0" w:firstLine="0"/>
        <w:rPr>
          <w:rFonts w:cs="Arial"/>
          <w:snapToGrid w:val="0"/>
        </w:rPr>
      </w:pPr>
    </w:p>
    <w:p w:rsidR="009C13A9" w:rsidRPr="00C903F8" w:rsidRDefault="009C13A9" w:rsidP="009C13A9">
      <w:pPr>
        <w:spacing w:line="240" w:lineRule="atLeast"/>
        <w:rPr>
          <w:rFonts w:cs="Arial"/>
          <w:snapToGrid w:val="0"/>
          <w:color w:val="000000"/>
        </w:rPr>
      </w:pPr>
      <w:r>
        <w:rPr>
          <w:snapToGrid w:val="0"/>
          <w:color w:val="000000"/>
        </w:rPr>
        <w:t>3.</w:t>
      </w:r>
      <w:r>
        <w:tab/>
      </w:r>
      <w:r>
        <w:rPr>
          <w:noProof/>
          <w:color w:val="000000"/>
        </w:rPr>
        <w:t>In assenza di disposizioni specifiche nella presente norma, i requisiti e i metodi di prova contenuti nella norma europea EN 60945:2002 si applicano all'alimentazione elettrica, alla sicurezza, all'interferenza tra le apparecchiature di bordo, alla distanza di protezione della bussola, alla resistenza alle condizioni climatiche, alla resistenza meccanica, all'impatto ambientale, all'emissione sonora e alla marcatura dell'apparecchio.</w:t>
      </w:r>
    </w:p>
    <w:p w:rsidR="009C13A9" w:rsidRPr="00C903F8" w:rsidRDefault="009C13A9" w:rsidP="009C13A9">
      <w:pPr>
        <w:spacing w:line="240" w:lineRule="atLeast"/>
        <w:ind w:left="426" w:firstLine="0"/>
        <w:rPr>
          <w:noProof/>
          <w:snapToGrid w:val="0"/>
        </w:rPr>
      </w:pPr>
    </w:p>
    <w:p w:rsidR="009C13A9" w:rsidRPr="00C903F8" w:rsidRDefault="009C13A9" w:rsidP="009C13A9">
      <w:pPr>
        <w:spacing w:line="240" w:lineRule="atLeast"/>
        <w:ind w:left="426" w:firstLine="0"/>
        <w:rPr>
          <w:snapToGrid w:val="0"/>
        </w:rPr>
      </w:pPr>
      <w:r>
        <w:t>L'apparecchio soddisfa tutti i requisiti del presente allegato a temperature ambiente comprese tra 0 °C e +40 °C.</w:t>
      </w: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r>
        <w:br w:type="page"/>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b/>
          <w:bCs/>
          <w:szCs w:val="20"/>
        </w:rPr>
      </w:pPr>
      <w:r>
        <w:rPr>
          <w:b/>
          <w:noProof/>
        </w:rPr>
        <w:lastRenderedPageBreak/>
        <w:t>Articolo 2.02</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r>
        <w:rPr>
          <w:i/>
          <w:noProof/>
        </w:rPr>
        <w:t>Emissioni spurie e compatibilità elettromagnetica</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1.</w:t>
      </w:r>
      <w:r>
        <w:tab/>
      </w:r>
      <w:r>
        <w:rPr>
          <w:noProof/>
          <w:color w:val="000000"/>
          <w:w w:val="103"/>
        </w:rPr>
        <w:t>Requisiti generali</w:t>
      </w:r>
    </w:p>
    <w:p w:rsidR="009C13A9" w:rsidRPr="00C903F8" w:rsidRDefault="009C13A9" w:rsidP="009C13A9">
      <w:pPr>
        <w:spacing w:line="240" w:lineRule="atLeast"/>
        <w:rPr>
          <w:rFonts w:cs="Arial"/>
          <w:color w:val="000000"/>
          <w:szCs w:val="20"/>
        </w:rPr>
      </w:pPr>
    </w:p>
    <w:p w:rsidR="001077F3" w:rsidRPr="00C903F8" w:rsidRDefault="001077F3" w:rsidP="001077F3">
      <w:pPr>
        <w:spacing w:line="240" w:lineRule="atLeast"/>
        <w:ind w:firstLine="0"/>
        <w:rPr>
          <w:szCs w:val="20"/>
        </w:rPr>
      </w:pPr>
      <w:r>
        <w:t>Gli indicatori della velocità di accostata soddisfano i requisiti della direttiva 2014/30/UE</w:t>
      </w:r>
      <w:r>
        <w:rPr>
          <w:noProof/>
          <w:vertAlign w:val="superscript"/>
        </w:rPr>
        <w:footnoteReference w:id="53"/>
      </w:r>
      <w:r>
        <w:t>.</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2.</w:t>
      </w:r>
      <w:r>
        <w:tab/>
      </w:r>
      <w:r>
        <w:rPr>
          <w:noProof/>
          <w:color w:val="000000"/>
        </w:rPr>
        <w:t>Emissioni spurie</w:t>
      </w:r>
    </w:p>
    <w:p w:rsidR="009C13A9" w:rsidRPr="00C903F8" w:rsidRDefault="009C13A9" w:rsidP="009C13A9">
      <w:pPr>
        <w:spacing w:line="240" w:lineRule="atLeast"/>
        <w:rPr>
          <w:rFonts w:cs="Arial"/>
          <w:color w:val="000000"/>
          <w:szCs w:val="20"/>
        </w:rPr>
      </w:pPr>
    </w:p>
    <w:p w:rsidR="009C13A9" w:rsidRPr="00C903F8" w:rsidRDefault="009C13A9" w:rsidP="009C13A9">
      <w:pPr>
        <w:spacing w:line="240" w:lineRule="atLeast"/>
        <w:ind w:left="426" w:firstLine="0"/>
      </w:pPr>
      <w:r>
        <w:t>Nelle bande di frequenza 156-165 MHz, 450-470 MHz e 1,53-1,544 GHz, l'intensità di campo non supera il valore limite di 15 μV/m. Le suddette intensità di campo si intendono misurate ad una distanza di 3 m dall'apparecchio in esame.</w:t>
      </w:r>
    </w:p>
    <w:p w:rsidR="009C13A9" w:rsidRPr="00C903F8" w:rsidRDefault="009C13A9" w:rsidP="009C13A9">
      <w:pPr>
        <w:tabs>
          <w:tab w:val="left" w:pos="425"/>
        </w:tabs>
        <w:overflowPunct w:val="0"/>
        <w:adjustRightInd w:val="0"/>
        <w:spacing w:line="240" w:lineRule="atLeast"/>
        <w:textAlignment w:val="baseline"/>
        <w:rPr>
          <w:rFonts w:cs="Arial"/>
          <w:szCs w:val="20"/>
        </w:rPr>
      </w:pP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b/>
          <w:bCs/>
          <w:szCs w:val="20"/>
        </w:rPr>
      </w:pPr>
      <w:r>
        <w:rPr>
          <w:b/>
          <w:noProof/>
        </w:rPr>
        <w:t>Articolo 2.03</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r>
        <w:rPr>
          <w:i/>
          <w:noProof/>
        </w:rPr>
        <w:t>Funzionamento</w:t>
      </w: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p>
    <w:p w:rsidR="009C13A9" w:rsidRPr="00C903F8" w:rsidRDefault="009C13A9" w:rsidP="009C13A9">
      <w:pPr>
        <w:spacing w:line="240" w:lineRule="atLeast"/>
        <w:rPr>
          <w:rFonts w:cs="Arial"/>
          <w:noProof/>
          <w:color w:val="000000"/>
        </w:rPr>
      </w:pPr>
      <w:r>
        <w:rPr>
          <w:color w:val="000000"/>
        </w:rPr>
        <w:t>1.</w:t>
      </w:r>
      <w:r>
        <w:tab/>
      </w:r>
      <w:r>
        <w:rPr>
          <w:color w:val="000000"/>
        </w:rPr>
        <w:t>Il numero di organi di comando dell'apparecchiatura è commisurato a quello necessario al normale funzionamento.</w:t>
      </w:r>
    </w:p>
    <w:p w:rsidR="009C13A9" w:rsidRPr="00C903F8" w:rsidRDefault="009C13A9" w:rsidP="009C13A9">
      <w:pPr>
        <w:tabs>
          <w:tab w:val="left" w:pos="425"/>
        </w:tabs>
        <w:overflowPunct w:val="0"/>
        <w:adjustRightInd w:val="0"/>
        <w:spacing w:line="240" w:lineRule="atLeast"/>
        <w:textAlignment w:val="baseline"/>
        <w:rPr>
          <w:rFonts w:cs="Arial"/>
          <w:szCs w:val="20"/>
        </w:rPr>
      </w:pPr>
    </w:p>
    <w:p w:rsidR="009C13A9" w:rsidRPr="00C903F8" w:rsidRDefault="009C13A9" w:rsidP="009C13A9">
      <w:pPr>
        <w:spacing w:line="240" w:lineRule="atLeast"/>
        <w:ind w:left="426" w:firstLine="0"/>
      </w:pPr>
      <w:r>
        <w:t xml:space="preserve">La progettazione, le marcature e la manipolazione de organi di comando sono tali da consentire un funzionamento semplice, chiaro e rapido. </w:t>
      </w:r>
    </w:p>
    <w:p w:rsidR="009C13A9" w:rsidRPr="00C903F8" w:rsidRDefault="009C13A9" w:rsidP="009C13A9">
      <w:pPr>
        <w:spacing w:line="240" w:lineRule="atLeast"/>
        <w:ind w:left="426" w:firstLine="0"/>
      </w:pPr>
    </w:p>
    <w:p w:rsidR="009C13A9" w:rsidRPr="00C903F8" w:rsidRDefault="009C13A9" w:rsidP="009C13A9">
      <w:pPr>
        <w:spacing w:line="240" w:lineRule="atLeast"/>
        <w:ind w:left="426" w:firstLine="0"/>
      </w:pPr>
      <w:r>
        <w:t>Gli organi di comando sono sistemati in modo tale da evitare, per quanto possibile, errori di manipolazione.</w:t>
      </w:r>
    </w:p>
    <w:p w:rsidR="009C13A9" w:rsidRPr="00C903F8" w:rsidRDefault="009C13A9" w:rsidP="009C13A9">
      <w:pPr>
        <w:spacing w:line="240" w:lineRule="atLeast"/>
        <w:ind w:left="426" w:firstLine="0"/>
      </w:pPr>
    </w:p>
    <w:p w:rsidR="009C13A9" w:rsidRPr="00C903F8" w:rsidRDefault="009C13A9" w:rsidP="009C13A9">
      <w:pPr>
        <w:spacing w:line="240" w:lineRule="atLeast"/>
        <w:ind w:left="426" w:firstLine="0"/>
        <w:rPr>
          <w:noProof/>
        </w:rPr>
      </w:pPr>
      <w:r>
        <w:t>Gli organi di comando non necessari al normale funzionamento non sono direttamente accessibili.</w:t>
      </w:r>
    </w:p>
    <w:p w:rsidR="009C13A9" w:rsidRPr="00C903F8" w:rsidRDefault="009C13A9" w:rsidP="009C13A9">
      <w:pPr>
        <w:tabs>
          <w:tab w:val="left" w:pos="425"/>
        </w:tabs>
        <w:overflowPunct w:val="0"/>
        <w:adjustRightInd w:val="0"/>
        <w:spacing w:line="240" w:lineRule="atLeast"/>
        <w:textAlignment w:val="baseline"/>
        <w:rPr>
          <w:rFonts w:cs="Arial"/>
          <w:szCs w:val="20"/>
        </w:rPr>
      </w:pPr>
    </w:p>
    <w:p w:rsidR="009C13A9" w:rsidRPr="00C903F8" w:rsidRDefault="009C13A9" w:rsidP="009C13A9">
      <w:pPr>
        <w:spacing w:line="240" w:lineRule="atLeast"/>
        <w:rPr>
          <w:rFonts w:cs="Arial"/>
          <w:noProof/>
          <w:color w:val="000000"/>
        </w:rPr>
      </w:pPr>
      <w:r>
        <w:rPr>
          <w:color w:val="000000"/>
        </w:rPr>
        <w:t xml:space="preserve">2. </w:t>
      </w:r>
      <w:r>
        <w:tab/>
      </w:r>
      <w:r>
        <w:rPr>
          <w:rFonts w:ascii="ArialMT" w:hAnsi="ArialMT"/>
        </w:rPr>
        <w:t>Tutti i comandi e gli indicatori sono contrassegnati con simboli e/o marcature in lingua inglese. I simboli soddisfano i requisiti della norma europea EN 60417:2002 (simboli grafici da utilizzare sulle apparecchiature elettriche).</w:t>
      </w:r>
    </w:p>
    <w:p w:rsidR="009C13A9" w:rsidRPr="00C903F8" w:rsidRDefault="009C13A9" w:rsidP="009C13A9">
      <w:pPr>
        <w:tabs>
          <w:tab w:val="left" w:pos="425"/>
        </w:tabs>
        <w:overflowPunct w:val="0"/>
        <w:adjustRightInd w:val="0"/>
        <w:spacing w:line="240" w:lineRule="atLeast"/>
        <w:textAlignment w:val="baseline"/>
        <w:rPr>
          <w:rFonts w:cs="Arial"/>
          <w:szCs w:val="20"/>
        </w:rPr>
      </w:pPr>
    </w:p>
    <w:p w:rsidR="009C13A9" w:rsidRPr="00C903F8" w:rsidRDefault="009C13A9" w:rsidP="009C13A9">
      <w:pPr>
        <w:spacing w:line="240" w:lineRule="atLeast"/>
        <w:ind w:left="426" w:firstLine="0"/>
      </w:pPr>
      <w:r>
        <w:t>Tutte le cifre ed i caratteri sono di altezza pari ad almeno 4 mm. Se per fondati motivi tecnici è impossibile adottare cifre e caratteri di 4 mm e se dal punto di vista operativo sono accettabili cifre e caratteri più piccoli, la loro altezza può essere ridotta a 3 mm.</w:t>
      </w:r>
    </w:p>
    <w:p w:rsidR="009C13A9" w:rsidRPr="00C903F8" w:rsidRDefault="009C13A9" w:rsidP="009C13A9">
      <w:pPr>
        <w:tabs>
          <w:tab w:val="left" w:pos="425"/>
        </w:tabs>
        <w:overflowPunct w:val="0"/>
        <w:adjustRightInd w:val="0"/>
        <w:spacing w:line="240" w:lineRule="atLeast"/>
        <w:textAlignment w:val="baseline"/>
        <w:rPr>
          <w:rFonts w:cs="Arial"/>
          <w:szCs w:val="20"/>
        </w:rPr>
      </w:pPr>
    </w:p>
    <w:p w:rsidR="009C13A9" w:rsidRPr="00C903F8" w:rsidRDefault="009C13A9" w:rsidP="009C13A9">
      <w:pPr>
        <w:spacing w:line="240" w:lineRule="atLeast"/>
        <w:rPr>
          <w:rFonts w:cs="Arial"/>
          <w:color w:val="000000"/>
        </w:rPr>
      </w:pPr>
      <w:r>
        <w:rPr>
          <w:color w:val="000000"/>
        </w:rPr>
        <w:t>3.</w:t>
      </w:r>
      <w:r>
        <w:tab/>
      </w:r>
      <w:r>
        <w:rPr>
          <w:noProof/>
          <w:color w:val="000000"/>
        </w:rPr>
        <w:t>L’apparecchiatura è realizzata in modo che eventuali errori di manipolazione non causino avarie.</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4.</w:t>
      </w:r>
      <w:r>
        <w:tab/>
      </w:r>
      <w:r>
        <w:rPr>
          <w:noProof/>
          <w:color w:val="000000"/>
        </w:rPr>
        <w:t>Le funzioni che vanno oltre i requisiti minimi, ad esempio il collegamento ad altre apparecchiature, sono concepite in modo tale che l’apparecchiatura soddisfi i requisiti minimi in tutte le condizioni.</w:t>
      </w:r>
    </w:p>
    <w:p w:rsidR="009C13A9" w:rsidRPr="00C903F8" w:rsidRDefault="009C13A9" w:rsidP="009C13A9">
      <w:pPr>
        <w:tabs>
          <w:tab w:val="right" w:pos="9072"/>
        </w:tabs>
        <w:overflowPunct w:val="0"/>
        <w:adjustRightInd w:val="0"/>
        <w:spacing w:line="240" w:lineRule="atLeast"/>
        <w:ind w:left="0" w:firstLine="0"/>
        <w:jc w:val="left"/>
        <w:textAlignment w:val="baseline"/>
        <w:rPr>
          <w:rFonts w:cs="Arial"/>
          <w:szCs w:val="20"/>
        </w:rPr>
      </w:pPr>
    </w:p>
    <w:p w:rsidR="009C13A9" w:rsidRPr="00C903F8" w:rsidRDefault="009C13A9" w:rsidP="009C13A9">
      <w:pPr>
        <w:tabs>
          <w:tab w:val="right" w:pos="9072"/>
        </w:tabs>
        <w:overflowPunct w:val="0"/>
        <w:adjustRightInd w:val="0"/>
        <w:spacing w:line="240" w:lineRule="atLeast"/>
        <w:ind w:left="0" w:firstLine="0"/>
        <w:jc w:val="left"/>
        <w:textAlignment w:val="baseline"/>
        <w:rPr>
          <w:rFonts w:cs="Arial"/>
          <w:szCs w:val="20"/>
        </w:rPr>
      </w:pP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b/>
          <w:bCs/>
          <w:szCs w:val="20"/>
        </w:rPr>
      </w:pPr>
      <w:r>
        <w:rPr>
          <w:b/>
          <w:noProof/>
        </w:rPr>
        <w:t>Articolo 2.04</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r>
        <w:rPr>
          <w:i/>
          <w:noProof/>
        </w:rPr>
        <w:t>Manuale di istruzioni</w:t>
      </w:r>
    </w:p>
    <w:p w:rsidR="009C13A9" w:rsidRPr="00C903F8" w:rsidRDefault="009C13A9" w:rsidP="009C13A9">
      <w:pPr>
        <w:tabs>
          <w:tab w:val="left" w:leader="dot" w:pos="9072"/>
        </w:tabs>
        <w:spacing w:line="240" w:lineRule="atLeast"/>
        <w:ind w:left="0" w:firstLine="0"/>
        <w:rPr>
          <w:rFonts w:cs="Arial"/>
        </w:rPr>
      </w:pPr>
    </w:p>
    <w:p w:rsidR="009C13A9" w:rsidRPr="00C903F8" w:rsidRDefault="009C13A9" w:rsidP="009C13A9">
      <w:pPr>
        <w:tabs>
          <w:tab w:val="left" w:leader="dot" w:pos="9072"/>
        </w:tabs>
        <w:spacing w:line="240" w:lineRule="atLeast"/>
        <w:ind w:left="0" w:firstLine="0"/>
        <w:rPr>
          <w:rFonts w:cs="Arial"/>
        </w:rPr>
      </w:pPr>
      <w:r>
        <w:t>Insieme a ogni apparecchio è fornito un manuale di istruzioni particolareggiato in francese, inglese, neerlandese e tedesco, contenente almeno le seguenti informazioni:</w:t>
      </w:r>
    </w:p>
    <w:p w:rsidR="009C13A9" w:rsidRPr="00C903F8" w:rsidRDefault="009C13A9" w:rsidP="009C13A9">
      <w:pPr>
        <w:spacing w:before="60" w:line="240" w:lineRule="atLeast"/>
        <w:rPr>
          <w:rFonts w:cs="Arial"/>
          <w:noProof/>
          <w:szCs w:val="22"/>
        </w:rPr>
      </w:pPr>
      <w:r>
        <w:t>a)</w:t>
      </w:r>
      <w:r>
        <w:tab/>
        <w:t>accensione e funzionamento;</w:t>
      </w:r>
    </w:p>
    <w:p w:rsidR="009C13A9" w:rsidRPr="00C903F8" w:rsidRDefault="009C13A9" w:rsidP="009C13A9">
      <w:pPr>
        <w:spacing w:before="60" w:line="240" w:lineRule="atLeast"/>
        <w:rPr>
          <w:rFonts w:cs="Arial"/>
          <w:noProof/>
          <w:szCs w:val="22"/>
        </w:rPr>
      </w:pPr>
      <w:r>
        <w:t>b)</w:t>
      </w:r>
      <w:r>
        <w:tab/>
        <w:t>manutenzione e assistenza;</w:t>
      </w:r>
    </w:p>
    <w:p w:rsidR="009C13A9" w:rsidRPr="00C903F8" w:rsidRDefault="009C13A9" w:rsidP="009C13A9">
      <w:pPr>
        <w:spacing w:before="60" w:line="240" w:lineRule="atLeast"/>
        <w:rPr>
          <w:rFonts w:cs="Arial"/>
          <w:noProof/>
          <w:szCs w:val="20"/>
        </w:rPr>
      </w:pPr>
      <w:r>
        <w:t>c)</w:t>
      </w:r>
      <w:r>
        <w:tab/>
        <w:t>disposizioni generali in materia di sicurezza.</w:t>
      </w: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r>
        <w:br w:type="page"/>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b/>
          <w:bCs/>
          <w:szCs w:val="20"/>
        </w:rPr>
      </w:pPr>
      <w:r>
        <w:rPr>
          <w:b/>
          <w:noProof/>
        </w:rPr>
        <w:lastRenderedPageBreak/>
        <w:t>Articolo 2.05</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r>
        <w:rPr>
          <w:i/>
          <w:noProof/>
        </w:rPr>
        <w:t>Installazione del sensore</w:t>
      </w:r>
    </w:p>
    <w:p w:rsidR="009C13A9" w:rsidRPr="00C903F8" w:rsidRDefault="009C13A9" w:rsidP="009C13A9">
      <w:pPr>
        <w:tabs>
          <w:tab w:val="left" w:pos="425"/>
        </w:tabs>
        <w:overflowPunct w:val="0"/>
        <w:adjustRightInd w:val="0"/>
        <w:spacing w:line="240" w:lineRule="atLeast"/>
        <w:textAlignment w:val="baseline"/>
        <w:rPr>
          <w:rFonts w:eastAsia="Batang" w:cs="Arial"/>
        </w:rPr>
      </w:pPr>
    </w:p>
    <w:p w:rsidR="009C13A9" w:rsidRPr="00C903F8" w:rsidRDefault="009C13A9" w:rsidP="009C13A9">
      <w:pPr>
        <w:tabs>
          <w:tab w:val="left" w:leader="dot" w:pos="9072"/>
        </w:tabs>
        <w:spacing w:line="240" w:lineRule="atLeast"/>
        <w:ind w:left="0" w:firstLine="0"/>
        <w:rPr>
          <w:rFonts w:cs="Arial"/>
          <w:szCs w:val="20"/>
        </w:rPr>
      </w:pPr>
      <w:r>
        <w:t>La direzione di installazione rispetto alla linea di chiglia è indicata sul sensore dell'indicatore della velocità di accostata. Sono fornite anche istruzioni di installazione per ridurre al minimo la sensibilità ad altri movimenti tipici della nave.</w:t>
      </w:r>
    </w:p>
    <w:p w:rsidR="009C13A9" w:rsidRPr="00C903F8" w:rsidRDefault="009C13A9" w:rsidP="009C13A9">
      <w:pPr>
        <w:tabs>
          <w:tab w:val="left" w:pos="425"/>
        </w:tabs>
        <w:overflowPunct w:val="0"/>
        <w:adjustRightInd w:val="0"/>
        <w:spacing w:line="240" w:lineRule="atLeast"/>
        <w:textAlignment w:val="baseline"/>
        <w:rPr>
          <w:rFonts w:cs="Arial"/>
          <w:szCs w:val="20"/>
        </w:rPr>
      </w:pPr>
    </w:p>
    <w:p w:rsidR="009C13A9" w:rsidRPr="00C903F8" w:rsidRDefault="009C13A9" w:rsidP="009C13A9">
      <w:pPr>
        <w:tabs>
          <w:tab w:val="left" w:pos="425"/>
        </w:tabs>
        <w:overflowPunct w:val="0"/>
        <w:adjustRightInd w:val="0"/>
        <w:spacing w:line="240" w:lineRule="atLeast"/>
        <w:textAlignment w:val="baseline"/>
        <w:rPr>
          <w:rFonts w:cs="Arial"/>
          <w:szCs w:val="20"/>
        </w:rPr>
      </w:pPr>
    </w:p>
    <w:p w:rsidR="009C13A9" w:rsidRPr="00C903F8" w:rsidRDefault="009C13A9" w:rsidP="009C13A9">
      <w:pPr>
        <w:overflowPunct w:val="0"/>
        <w:adjustRightInd w:val="0"/>
        <w:spacing w:line="240" w:lineRule="atLeast"/>
        <w:ind w:left="0" w:firstLine="0"/>
        <w:jc w:val="center"/>
        <w:textAlignment w:val="baseline"/>
        <w:rPr>
          <w:rFonts w:cs="Arial"/>
          <w:b/>
          <w:bCs/>
          <w:szCs w:val="20"/>
        </w:rPr>
      </w:pPr>
      <w:r>
        <w:rPr>
          <w:b/>
          <w:noProof/>
        </w:rPr>
        <w:t>Capo 3</w:t>
      </w:r>
    </w:p>
    <w:p w:rsidR="009C13A9" w:rsidRPr="00C903F8" w:rsidRDefault="009C13A9" w:rsidP="009C13A9">
      <w:pPr>
        <w:overflowPunct w:val="0"/>
        <w:adjustRightInd w:val="0"/>
        <w:ind w:left="0" w:firstLine="0"/>
        <w:jc w:val="center"/>
        <w:textAlignment w:val="baseline"/>
        <w:rPr>
          <w:rFonts w:cs="Arial"/>
          <w:b/>
          <w:bCs/>
          <w:noProof/>
          <w:szCs w:val="20"/>
        </w:rPr>
      </w:pPr>
      <w:r>
        <w:rPr>
          <w:b/>
          <w:noProof/>
        </w:rPr>
        <w:t>Requisiti minimi di funzionamento degli indicatori della velocità di accostata</w:t>
      </w:r>
    </w:p>
    <w:p w:rsidR="009C13A9" w:rsidRPr="00C903F8" w:rsidRDefault="009C13A9" w:rsidP="009C13A9">
      <w:pPr>
        <w:overflowPunct w:val="0"/>
        <w:adjustRightInd w:val="0"/>
        <w:ind w:left="0" w:firstLine="0"/>
        <w:jc w:val="center"/>
        <w:textAlignment w:val="baseline"/>
        <w:rPr>
          <w:rFonts w:cs="Arial"/>
          <w:szCs w:val="20"/>
        </w:rPr>
      </w:pPr>
    </w:p>
    <w:p w:rsidR="009C13A9" w:rsidRPr="00C903F8" w:rsidRDefault="009C13A9" w:rsidP="009C13A9">
      <w:pPr>
        <w:overflowPunct w:val="0"/>
        <w:adjustRightInd w:val="0"/>
        <w:ind w:left="0" w:firstLine="0"/>
        <w:jc w:val="center"/>
        <w:textAlignment w:val="baseline"/>
        <w:rPr>
          <w:rFonts w:cs="Arial"/>
          <w:b/>
          <w:bCs/>
          <w:szCs w:val="20"/>
        </w:rPr>
      </w:pPr>
      <w:r>
        <w:rPr>
          <w:b/>
          <w:noProof/>
        </w:rPr>
        <w:t>Articolo 3.01</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i/>
          <w:iCs/>
          <w:noProof/>
          <w:szCs w:val="20"/>
        </w:rPr>
      </w:pPr>
      <w:r>
        <w:rPr>
          <w:i/>
          <w:noProof/>
        </w:rPr>
        <w:t>Prontezza operativa dell’indicatore della velocità di accostata</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p>
    <w:p w:rsidR="009C13A9" w:rsidRPr="00C903F8" w:rsidRDefault="009C13A9" w:rsidP="009C13A9">
      <w:pPr>
        <w:spacing w:line="240" w:lineRule="atLeast"/>
        <w:rPr>
          <w:rFonts w:cs="Arial"/>
          <w:color w:val="000000"/>
        </w:rPr>
      </w:pPr>
      <w:r>
        <w:rPr>
          <w:color w:val="000000"/>
        </w:rPr>
        <w:t>1.</w:t>
      </w:r>
      <w:r>
        <w:tab/>
      </w:r>
      <w:r>
        <w:rPr>
          <w:noProof/>
          <w:color w:val="000000"/>
        </w:rPr>
        <w:t>L’indicatore della velocità di accostata è pienamente funzionante al massimo dopo 4 minuti dall’accensione, entro i limiti di precisione richiesti.</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2.</w:t>
      </w:r>
      <w:r>
        <w:tab/>
      </w:r>
      <w:r>
        <w:rPr>
          <w:noProof/>
          <w:color w:val="000000"/>
        </w:rPr>
        <w:t>L'attivazione dell'indicatore è visualizzata mediante un dispositivo ottico. È possibile osservare e azionare contemporaneamente l'apparecchio.</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3.</w:t>
      </w:r>
      <w:r>
        <w:tab/>
      </w:r>
      <w:r>
        <w:rPr>
          <w:noProof/>
          <w:color w:val="000000"/>
        </w:rPr>
        <w:t>Non sono ammessi telecomandi senza filo.</w:t>
      </w: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b/>
          <w:bCs/>
          <w:szCs w:val="20"/>
        </w:rPr>
      </w:pPr>
      <w:r>
        <w:rPr>
          <w:b/>
          <w:noProof/>
        </w:rPr>
        <w:t>Articolo 3.02</w:t>
      </w:r>
    </w:p>
    <w:p w:rsidR="009C13A9" w:rsidRPr="00C903F8" w:rsidRDefault="009C13A9" w:rsidP="00C50DA9">
      <w:pPr>
        <w:tabs>
          <w:tab w:val="left" w:pos="284"/>
          <w:tab w:val="left" w:pos="454"/>
          <w:tab w:val="left" w:pos="680"/>
          <w:tab w:val="left" w:pos="1021"/>
        </w:tabs>
        <w:overflowPunct w:val="0"/>
        <w:adjustRightInd w:val="0"/>
        <w:ind w:left="0" w:firstLine="0"/>
        <w:jc w:val="center"/>
        <w:textAlignment w:val="baseline"/>
        <w:rPr>
          <w:rFonts w:cs="Arial"/>
          <w:i/>
          <w:iCs/>
          <w:noProof/>
          <w:szCs w:val="20"/>
        </w:rPr>
      </w:pPr>
      <w:r>
        <w:rPr>
          <w:i/>
          <w:noProof/>
        </w:rPr>
        <w:t>Indicazione della velocità di accostata</w:t>
      </w:r>
    </w:p>
    <w:p w:rsidR="00C50DA9" w:rsidRPr="00C903F8" w:rsidRDefault="00C50D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1.</w:t>
      </w:r>
      <w:r>
        <w:tab/>
      </w:r>
      <w:r>
        <w:rPr>
          <w:noProof/>
          <w:color w:val="000000"/>
        </w:rPr>
        <w:t>La velocità di accostata è indicata su una scala a graduazione lineare, il cui punto zero si trova al centro. La direzione e la grandezza della velocità di accostata sono leggibili con la precisione necessaria. Non sono ammessi indicatori diversi da lancette e diagrammi a barre.</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2.</w:t>
      </w:r>
      <w:r>
        <w:tab/>
      </w:r>
      <w:r>
        <w:rPr>
          <w:noProof/>
          <w:color w:val="000000"/>
        </w:rPr>
        <w:t>La scala dell’indicatore, di lunghezza pari ad almeno 20 cm, può essere circolare o rettilinea.</w:t>
      </w:r>
    </w:p>
    <w:p w:rsidR="009C13A9" w:rsidRPr="00C903F8" w:rsidRDefault="009C13A9" w:rsidP="009C13A9">
      <w:pPr>
        <w:tabs>
          <w:tab w:val="left" w:pos="425"/>
        </w:tabs>
        <w:overflowPunct w:val="0"/>
        <w:adjustRightInd w:val="0"/>
        <w:spacing w:line="240" w:lineRule="atLeast"/>
        <w:textAlignment w:val="baseline"/>
        <w:rPr>
          <w:rFonts w:cs="Arial"/>
          <w:szCs w:val="20"/>
        </w:rPr>
      </w:pPr>
    </w:p>
    <w:p w:rsidR="009C13A9" w:rsidRPr="00C903F8" w:rsidRDefault="009C13A9" w:rsidP="009C13A9">
      <w:pPr>
        <w:tabs>
          <w:tab w:val="left" w:pos="425"/>
        </w:tabs>
        <w:overflowPunct w:val="0"/>
        <w:adjustRightInd w:val="0"/>
        <w:spacing w:line="240" w:lineRule="atLeast"/>
        <w:textAlignment w:val="baseline"/>
        <w:rPr>
          <w:noProof/>
        </w:rPr>
      </w:pPr>
      <w:r>
        <w:tab/>
        <w:t>Le scale di forma rettilinea possono essere disposte soltanto orizzontalmente.</w:t>
      </w:r>
    </w:p>
    <w:p w:rsidR="009C13A9" w:rsidRPr="00C903F8" w:rsidRDefault="009C13A9" w:rsidP="009C13A9">
      <w:pPr>
        <w:tabs>
          <w:tab w:val="left" w:pos="425"/>
        </w:tabs>
        <w:overflowPunct w:val="0"/>
        <w:adjustRightInd w:val="0"/>
        <w:spacing w:line="240" w:lineRule="atLeast"/>
        <w:textAlignment w:val="baseline"/>
        <w:rPr>
          <w:rFonts w:cs="Arial"/>
          <w:szCs w:val="20"/>
        </w:rPr>
      </w:pPr>
    </w:p>
    <w:p w:rsidR="009C13A9" w:rsidRPr="00C903F8" w:rsidRDefault="009C13A9" w:rsidP="009C13A9">
      <w:pPr>
        <w:spacing w:line="240" w:lineRule="atLeast"/>
        <w:rPr>
          <w:rFonts w:cs="Arial"/>
          <w:noProof/>
          <w:color w:val="000000"/>
        </w:rPr>
      </w:pPr>
      <w:r>
        <w:rPr>
          <w:noProof/>
          <w:color w:val="000000"/>
        </w:rPr>
        <w:t>3.</w:t>
      </w:r>
      <w:r>
        <w:tab/>
      </w:r>
      <w:r>
        <w:rPr>
          <w:noProof/>
          <w:color w:val="000000"/>
        </w:rPr>
        <w:t>Non saranno accettati indicatori di tipo esclusivamente digitale.</w:t>
      </w:r>
    </w:p>
    <w:p w:rsidR="009C13A9" w:rsidRPr="00C903F8"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C903F8"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b/>
          <w:bCs/>
          <w:szCs w:val="20"/>
        </w:rPr>
      </w:pPr>
      <w:r>
        <w:rPr>
          <w:b/>
          <w:noProof/>
        </w:rPr>
        <w:t>Articolo 3.03</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i/>
          <w:iCs/>
          <w:noProof/>
          <w:szCs w:val="20"/>
        </w:rPr>
      </w:pPr>
      <w:r>
        <w:rPr>
          <w:i/>
          <w:noProof/>
        </w:rPr>
        <w:t>Campi di misura</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p>
    <w:p w:rsidR="009C13A9" w:rsidRPr="00C903F8" w:rsidRDefault="009C13A9" w:rsidP="009C13A9">
      <w:pPr>
        <w:tabs>
          <w:tab w:val="left" w:leader="dot" w:pos="9072"/>
        </w:tabs>
        <w:spacing w:line="240" w:lineRule="atLeast"/>
        <w:ind w:left="0" w:firstLine="0"/>
        <w:rPr>
          <w:rFonts w:cs="Arial"/>
        </w:rPr>
      </w:pPr>
      <w:r>
        <w:t>Gli indicatori della velocità di accostata possono essere dotati di uno o più campi di misura. Si consigliano i seguenti campi di misura:</w:t>
      </w:r>
    </w:p>
    <w:p w:rsidR="009C13A9" w:rsidRPr="00C903F8" w:rsidRDefault="008872E2" w:rsidP="009C13A9">
      <w:pPr>
        <w:tabs>
          <w:tab w:val="left" w:pos="-340"/>
          <w:tab w:val="decimal" w:pos="709"/>
          <w:tab w:val="left" w:pos="851"/>
        </w:tabs>
        <w:overflowPunct w:val="0"/>
        <w:adjustRightInd w:val="0"/>
        <w:ind w:left="0" w:firstLine="0"/>
        <w:textAlignment w:val="baseline"/>
        <w:rPr>
          <w:rFonts w:cs="Arial"/>
          <w:szCs w:val="20"/>
        </w:rPr>
      </w:pPr>
      <w:r>
        <w:tab/>
        <w:t>30°/min;</w:t>
      </w:r>
    </w:p>
    <w:p w:rsidR="009C13A9" w:rsidRPr="00C903F8" w:rsidRDefault="008872E2" w:rsidP="009C13A9">
      <w:pPr>
        <w:tabs>
          <w:tab w:val="left" w:pos="-340"/>
          <w:tab w:val="decimal" w:pos="709"/>
          <w:tab w:val="left" w:pos="851"/>
        </w:tabs>
        <w:overflowPunct w:val="0"/>
        <w:adjustRightInd w:val="0"/>
        <w:ind w:left="0" w:firstLine="0"/>
        <w:textAlignment w:val="baseline"/>
        <w:rPr>
          <w:rFonts w:cs="Arial"/>
          <w:szCs w:val="20"/>
        </w:rPr>
      </w:pPr>
      <w:r>
        <w:tab/>
        <w:t>60°/min;</w:t>
      </w:r>
    </w:p>
    <w:p w:rsidR="009C13A9" w:rsidRPr="00C903F8" w:rsidRDefault="008872E2" w:rsidP="009C13A9">
      <w:pPr>
        <w:tabs>
          <w:tab w:val="left" w:pos="-340"/>
          <w:tab w:val="decimal" w:pos="709"/>
          <w:tab w:val="left" w:pos="851"/>
        </w:tabs>
        <w:overflowPunct w:val="0"/>
        <w:adjustRightInd w:val="0"/>
        <w:ind w:left="0" w:firstLine="0"/>
        <w:textAlignment w:val="baseline"/>
        <w:rPr>
          <w:rFonts w:cs="Arial"/>
          <w:szCs w:val="20"/>
        </w:rPr>
      </w:pPr>
      <w:r>
        <w:tab/>
        <w:t>90°/min;</w:t>
      </w:r>
    </w:p>
    <w:p w:rsidR="009C13A9" w:rsidRPr="00C903F8" w:rsidRDefault="008872E2" w:rsidP="009C13A9">
      <w:pPr>
        <w:tabs>
          <w:tab w:val="left" w:pos="-340"/>
          <w:tab w:val="decimal" w:pos="709"/>
          <w:tab w:val="left" w:pos="851"/>
        </w:tabs>
        <w:overflowPunct w:val="0"/>
        <w:adjustRightInd w:val="0"/>
        <w:ind w:left="0" w:firstLine="0"/>
        <w:textAlignment w:val="baseline"/>
        <w:rPr>
          <w:rFonts w:cs="Arial"/>
          <w:szCs w:val="20"/>
        </w:rPr>
      </w:pPr>
      <w:r>
        <w:tab/>
        <w:t>180°/min;</w:t>
      </w:r>
    </w:p>
    <w:p w:rsidR="009C13A9" w:rsidRPr="00C903F8" w:rsidRDefault="008872E2" w:rsidP="009C13A9">
      <w:pPr>
        <w:tabs>
          <w:tab w:val="left" w:pos="-340"/>
          <w:tab w:val="decimal" w:pos="709"/>
          <w:tab w:val="left" w:pos="851"/>
        </w:tabs>
        <w:overflowPunct w:val="0"/>
        <w:adjustRightInd w:val="0"/>
        <w:ind w:left="0" w:firstLine="0"/>
        <w:textAlignment w:val="baseline"/>
        <w:rPr>
          <w:rFonts w:cs="Arial"/>
          <w:szCs w:val="20"/>
        </w:rPr>
      </w:pPr>
      <w:r>
        <w:tab/>
        <w:t>300°/min.</w:t>
      </w:r>
    </w:p>
    <w:p w:rsidR="009C13A9" w:rsidRPr="00C903F8" w:rsidRDefault="009C13A9" w:rsidP="009C13A9">
      <w:pPr>
        <w:tabs>
          <w:tab w:val="right" w:pos="9072"/>
        </w:tabs>
        <w:overflowPunct w:val="0"/>
        <w:adjustRightInd w:val="0"/>
        <w:spacing w:line="240" w:lineRule="atLeast"/>
        <w:ind w:left="0" w:firstLine="0"/>
        <w:jc w:val="left"/>
        <w:textAlignment w:val="baseline"/>
        <w:rPr>
          <w:rFonts w:cs="Arial"/>
          <w:szCs w:val="20"/>
        </w:rPr>
      </w:pPr>
    </w:p>
    <w:p w:rsidR="009C13A9" w:rsidRPr="00C903F8" w:rsidRDefault="009C13A9" w:rsidP="009C13A9">
      <w:pPr>
        <w:tabs>
          <w:tab w:val="right" w:pos="9072"/>
        </w:tabs>
        <w:overflowPunct w:val="0"/>
        <w:adjustRightInd w:val="0"/>
        <w:spacing w:line="240" w:lineRule="atLeast"/>
        <w:ind w:left="0" w:firstLine="0"/>
        <w:jc w:val="left"/>
        <w:textAlignment w:val="baseline"/>
        <w:rPr>
          <w:rFonts w:cs="Arial"/>
          <w:szCs w:val="20"/>
        </w:rPr>
      </w:pPr>
      <w:r>
        <w:br w:type="page"/>
      </w:r>
    </w:p>
    <w:p w:rsidR="009C13A9" w:rsidRPr="00C903F8" w:rsidRDefault="009C13A9" w:rsidP="009C13A9">
      <w:pPr>
        <w:overflowPunct w:val="0"/>
        <w:adjustRightInd w:val="0"/>
        <w:ind w:left="0" w:firstLine="0"/>
        <w:jc w:val="center"/>
        <w:textAlignment w:val="baseline"/>
        <w:rPr>
          <w:rFonts w:cs="Arial"/>
          <w:b/>
          <w:bCs/>
          <w:szCs w:val="20"/>
        </w:rPr>
      </w:pPr>
      <w:r>
        <w:rPr>
          <w:b/>
          <w:noProof/>
        </w:rPr>
        <w:lastRenderedPageBreak/>
        <w:t>Articolo 3.04</w:t>
      </w:r>
    </w:p>
    <w:p w:rsidR="009C13A9" w:rsidRPr="00C903F8" w:rsidRDefault="009C13A9" w:rsidP="009C13A9">
      <w:pPr>
        <w:tabs>
          <w:tab w:val="left" w:leader="dot" w:pos="9072"/>
        </w:tabs>
        <w:spacing w:line="240" w:lineRule="atLeast"/>
        <w:ind w:left="0" w:firstLine="0"/>
        <w:jc w:val="center"/>
        <w:rPr>
          <w:rFonts w:cs="Arial"/>
          <w:i/>
          <w:iCs/>
          <w:noProof/>
          <w:szCs w:val="20"/>
        </w:rPr>
      </w:pPr>
      <w:r>
        <w:rPr>
          <w:i/>
          <w:noProof/>
        </w:rPr>
        <w:t>Precisione della velocità di accostata indicata</w:t>
      </w:r>
    </w:p>
    <w:p w:rsidR="009C13A9" w:rsidRPr="00C903F8" w:rsidRDefault="009C13A9" w:rsidP="009C13A9">
      <w:pPr>
        <w:tabs>
          <w:tab w:val="left" w:leader="dot" w:pos="9072"/>
        </w:tabs>
        <w:spacing w:line="240" w:lineRule="atLeast"/>
        <w:ind w:left="0" w:firstLine="0"/>
        <w:jc w:val="center"/>
        <w:rPr>
          <w:rFonts w:cs="Arial"/>
        </w:rPr>
      </w:pPr>
    </w:p>
    <w:p w:rsidR="009C13A9" w:rsidRPr="00C903F8" w:rsidRDefault="009C13A9" w:rsidP="009C13A9">
      <w:pPr>
        <w:tabs>
          <w:tab w:val="left" w:leader="dot" w:pos="9072"/>
        </w:tabs>
        <w:spacing w:line="240" w:lineRule="atLeast"/>
        <w:ind w:left="0" w:firstLine="0"/>
        <w:rPr>
          <w:rFonts w:cs="Arial"/>
        </w:rPr>
      </w:pPr>
      <w:r>
        <w:t>Il valore indicato non differisce di più del 2 % dal valore massimo misurabile o di più del 10 % dal valore effettivo: viene preso in considerazione il valore più elevato dei due (cfr. appendice).</w:t>
      </w:r>
    </w:p>
    <w:p w:rsidR="009C13A9" w:rsidRPr="00C903F8" w:rsidRDefault="009C13A9" w:rsidP="009C13A9">
      <w:pPr>
        <w:tabs>
          <w:tab w:val="left" w:leader="dot" w:pos="9072"/>
        </w:tabs>
        <w:spacing w:line="240" w:lineRule="atLeast"/>
        <w:ind w:left="0" w:firstLine="0"/>
        <w:rPr>
          <w:rFonts w:cs="Arial"/>
        </w:rPr>
      </w:pPr>
    </w:p>
    <w:p w:rsidR="009C13A9" w:rsidRPr="00C903F8" w:rsidRDefault="009C13A9" w:rsidP="009C13A9">
      <w:pPr>
        <w:tabs>
          <w:tab w:val="left" w:leader="dot" w:pos="9072"/>
        </w:tabs>
        <w:spacing w:line="240" w:lineRule="atLeast"/>
        <w:ind w:left="0" w:firstLine="0"/>
        <w:rPr>
          <w:rFonts w:cs="Arial"/>
        </w:rPr>
      </w:pP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b/>
          <w:bCs/>
          <w:szCs w:val="20"/>
        </w:rPr>
      </w:pPr>
      <w:r>
        <w:rPr>
          <w:b/>
          <w:noProof/>
        </w:rPr>
        <w:t>Articolo 3.05</w:t>
      </w:r>
    </w:p>
    <w:p w:rsidR="009C13A9" w:rsidRPr="00C903F8" w:rsidRDefault="009C13A9" w:rsidP="009C13A9">
      <w:pPr>
        <w:tabs>
          <w:tab w:val="left" w:leader="dot" w:pos="9072"/>
        </w:tabs>
        <w:spacing w:line="240" w:lineRule="atLeast"/>
        <w:ind w:left="0" w:firstLine="0"/>
        <w:jc w:val="center"/>
        <w:rPr>
          <w:rFonts w:cs="Arial"/>
        </w:rPr>
      </w:pPr>
      <w:r>
        <w:rPr>
          <w:i/>
          <w:noProof/>
        </w:rPr>
        <w:t>Sensibilità</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rPr>
      </w:pPr>
      <w:r>
        <w:t>La soglia di funzionamento è inferiore o pari ad una variazione della velocità angolare corrispondente all’1 % del valore indicato.</w:t>
      </w:r>
    </w:p>
    <w:p w:rsidR="009C13A9" w:rsidRPr="00C903F8" w:rsidRDefault="009C13A9" w:rsidP="009C13A9">
      <w:pPr>
        <w:tabs>
          <w:tab w:val="left" w:leader="dot" w:pos="9072"/>
        </w:tabs>
        <w:spacing w:line="240" w:lineRule="atLeast"/>
        <w:ind w:left="0" w:firstLine="0"/>
        <w:rPr>
          <w:rFonts w:cs="Arial"/>
        </w:rPr>
      </w:pPr>
    </w:p>
    <w:p w:rsidR="009C13A9" w:rsidRPr="00C903F8" w:rsidRDefault="009C13A9" w:rsidP="009C13A9">
      <w:pPr>
        <w:tabs>
          <w:tab w:val="left" w:leader="dot" w:pos="9072"/>
        </w:tabs>
        <w:spacing w:line="240" w:lineRule="atLeast"/>
        <w:ind w:left="0" w:firstLine="0"/>
        <w:rPr>
          <w:rFonts w:cs="Arial"/>
        </w:rPr>
      </w:pP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b/>
          <w:bCs/>
          <w:szCs w:val="20"/>
        </w:rPr>
      </w:pPr>
      <w:r>
        <w:rPr>
          <w:b/>
          <w:noProof/>
        </w:rPr>
        <w:t>Articolo 3.06</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r>
        <w:rPr>
          <w:i/>
          <w:noProof/>
        </w:rPr>
        <w:t>Controllo del funzionamento</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1.</w:t>
      </w:r>
      <w:r>
        <w:tab/>
      </w:r>
      <w:r>
        <w:rPr>
          <w:noProof/>
          <w:color w:val="000000"/>
        </w:rPr>
        <w:t>Se l’indicatore della velocità di accostata non funziona entro i limiti di precisione richiesti, tale situazione viene segnalata.</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2.</w:t>
      </w:r>
      <w:r>
        <w:tab/>
      </w:r>
      <w:r>
        <w:rPr>
          <w:noProof/>
          <w:color w:val="000000"/>
        </w:rPr>
        <w:t>Se viene utilizzato un giroscopio, qualsiasi variazione critica della velocità di rotazione del giroscopio è segnalata da un indicatore. Per variazione critica si intende una variazione che causi un calo di precisione del 10 %.</w:t>
      </w: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b/>
          <w:bCs/>
          <w:szCs w:val="20"/>
        </w:rPr>
      </w:pPr>
      <w:r>
        <w:rPr>
          <w:b/>
          <w:noProof/>
        </w:rPr>
        <w:t>Articolo 3.07</w:t>
      </w:r>
    </w:p>
    <w:p w:rsidR="009C13A9" w:rsidRPr="00C903F8" w:rsidRDefault="009C13A9" w:rsidP="00C50DA9">
      <w:pPr>
        <w:tabs>
          <w:tab w:val="left" w:pos="284"/>
          <w:tab w:val="left" w:pos="454"/>
          <w:tab w:val="left" w:pos="680"/>
          <w:tab w:val="left" w:pos="1021"/>
        </w:tabs>
        <w:overflowPunct w:val="0"/>
        <w:adjustRightInd w:val="0"/>
        <w:ind w:left="0" w:firstLine="0"/>
        <w:jc w:val="center"/>
        <w:textAlignment w:val="baseline"/>
        <w:rPr>
          <w:rFonts w:cs="Arial"/>
          <w:i/>
          <w:iCs/>
          <w:noProof/>
          <w:szCs w:val="20"/>
        </w:rPr>
      </w:pPr>
      <w:r>
        <w:rPr>
          <w:i/>
          <w:noProof/>
        </w:rPr>
        <w:t>Insensibilità ai movimenti tipici della nave</w:t>
      </w:r>
    </w:p>
    <w:p w:rsidR="00C50DA9" w:rsidRPr="00C903F8" w:rsidRDefault="00C50D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1.</w:t>
      </w:r>
      <w:r>
        <w:tab/>
      </w:r>
      <w:r>
        <w:rPr>
          <w:color w:val="000000"/>
        </w:rPr>
        <w:t>I movimenti di rollio con un’inclinazione fino a 10° a una velocità di accostata fino a 4°/secondo non causano errori di misurazione superiori ai limiti di tolleranza prescritti.</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2.</w:t>
      </w:r>
      <w:r>
        <w:tab/>
      </w:r>
      <w:r>
        <w:rPr>
          <w:noProof/>
          <w:color w:val="000000"/>
        </w:rPr>
        <w:t>Gli impatti simili a quelli che si possono verificare durante l’approdo non causano errori di misurazione superiori ai limiti di tolleranza prescritti.</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p>
    <w:p w:rsidR="009C13A9" w:rsidRPr="00C903F8" w:rsidRDefault="009C13A9" w:rsidP="009C13A9">
      <w:pPr>
        <w:overflowPunct w:val="0"/>
        <w:adjustRightInd w:val="0"/>
        <w:ind w:left="0" w:firstLine="0"/>
        <w:jc w:val="center"/>
        <w:textAlignment w:val="baseline"/>
        <w:rPr>
          <w:rFonts w:cs="Arial"/>
          <w:b/>
          <w:bCs/>
          <w:szCs w:val="20"/>
        </w:rPr>
      </w:pPr>
      <w:r>
        <w:rPr>
          <w:b/>
          <w:noProof/>
        </w:rPr>
        <w:t>Articolo 3.08</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r>
        <w:rPr>
          <w:i/>
          <w:noProof/>
        </w:rPr>
        <w:t>Insensibilità ai campi magnetici</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szCs w:val="20"/>
        </w:rPr>
      </w:pPr>
      <w:r>
        <w:t>L’indicatore della velocità di accostata è insensibile ai campi magnetici che si manifestano in genere a bordo delle navi.</w:t>
      </w: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p>
    <w:p w:rsidR="009C13A9" w:rsidRPr="00C903F8" w:rsidRDefault="009C13A9" w:rsidP="009C13A9">
      <w:pPr>
        <w:overflowPunct w:val="0"/>
        <w:adjustRightInd w:val="0"/>
        <w:ind w:left="0" w:firstLine="0"/>
        <w:jc w:val="center"/>
        <w:textAlignment w:val="baseline"/>
        <w:rPr>
          <w:rFonts w:cs="Arial"/>
          <w:b/>
          <w:bCs/>
          <w:szCs w:val="20"/>
        </w:rPr>
      </w:pPr>
      <w:r>
        <w:rPr>
          <w:b/>
          <w:noProof/>
        </w:rPr>
        <w:t>Articolo 3.09</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i/>
          <w:iCs/>
          <w:noProof/>
          <w:szCs w:val="20"/>
        </w:rPr>
      </w:pPr>
      <w:r>
        <w:rPr>
          <w:i/>
          <w:noProof/>
        </w:rPr>
        <w:t>Indicatori ripetitori</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p>
    <w:p w:rsidR="009C13A9" w:rsidRPr="00C903F8" w:rsidRDefault="009C13A9" w:rsidP="009C13A9">
      <w:pPr>
        <w:tabs>
          <w:tab w:val="left" w:leader="dot" w:pos="9072"/>
        </w:tabs>
        <w:spacing w:line="240" w:lineRule="atLeast"/>
        <w:ind w:left="0" w:firstLine="0"/>
        <w:rPr>
          <w:rFonts w:cs="Arial"/>
          <w:noProof/>
        </w:rPr>
      </w:pPr>
      <w:r>
        <w:t>Gli indicatori ripetitori soddisfano tutti i requisiti previsti per gli indicatori della velocità di accostata.</w:t>
      </w:r>
    </w:p>
    <w:p w:rsidR="009C13A9" w:rsidRPr="00C903F8" w:rsidRDefault="009C13A9" w:rsidP="009C13A9">
      <w:pPr>
        <w:tabs>
          <w:tab w:val="left" w:leader="dot" w:pos="9072"/>
        </w:tabs>
        <w:spacing w:line="240" w:lineRule="atLeast"/>
        <w:ind w:left="0" w:firstLine="0"/>
        <w:rPr>
          <w:rFonts w:cs="Arial"/>
        </w:rPr>
      </w:pPr>
    </w:p>
    <w:p w:rsidR="009C13A9" w:rsidRPr="00C903F8" w:rsidRDefault="009C13A9" w:rsidP="009C13A9">
      <w:pPr>
        <w:tabs>
          <w:tab w:val="right" w:pos="9072"/>
        </w:tabs>
        <w:overflowPunct w:val="0"/>
        <w:adjustRightInd w:val="0"/>
        <w:spacing w:line="240" w:lineRule="atLeast"/>
        <w:ind w:left="0" w:firstLine="0"/>
        <w:jc w:val="left"/>
        <w:textAlignment w:val="baseline"/>
        <w:rPr>
          <w:rFonts w:cs="Arial"/>
          <w:szCs w:val="20"/>
        </w:rPr>
      </w:pPr>
      <w:r>
        <w:br w:type="page"/>
      </w:r>
    </w:p>
    <w:p w:rsidR="009C13A9" w:rsidRPr="00C903F8" w:rsidRDefault="009C13A9" w:rsidP="009C13A9">
      <w:pPr>
        <w:tabs>
          <w:tab w:val="left" w:pos="284"/>
          <w:tab w:val="left" w:pos="454"/>
          <w:tab w:val="left" w:pos="680"/>
          <w:tab w:val="left" w:pos="1021"/>
        </w:tabs>
        <w:overflowPunct w:val="0"/>
        <w:adjustRightInd w:val="0"/>
        <w:spacing w:line="240" w:lineRule="atLeast"/>
        <w:ind w:left="0" w:firstLine="0"/>
        <w:jc w:val="center"/>
        <w:textAlignment w:val="baseline"/>
        <w:rPr>
          <w:rFonts w:cs="Arial"/>
          <w:b/>
          <w:bCs/>
          <w:szCs w:val="20"/>
        </w:rPr>
      </w:pPr>
      <w:r>
        <w:rPr>
          <w:b/>
          <w:noProof/>
        </w:rPr>
        <w:lastRenderedPageBreak/>
        <w:t>Capo 4</w:t>
      </w:r>
    </w:p>
    <w:p w:rsidR="009C13A9" w:rsidRPr="00C903F8" w:rsidRDefault="009C13A9" w:rsidP="009C13A9">
      <w:pPr>
        <w:tabs>
          <w:tab w:val="left" w:pos="284"/>
          <w:tab w:val="left" w:pos="454"/>
          <w:tab w:val="left" w:pos="680"/>
          <w:tab w:val="left" w:pos="1021"/>
        </w:tabs>
        <w:overflowPunct w:val="0"/>
        <w:adjustRightInd w:val="0"/>
        <w:spacing w:line="240" w:lineRule="atLeast"/>
        <w:ind w:left="0" w:firstLine="0"/>
        <w:jc w:val="center"/>
        <w:textAlignment w:val="baseline"/>
        <w:rPr>
          <w:rFonts w:cs="Arial"/>
          <w:szCs w:val="20"/>
        </w:rPr>
      </w:pPr>
      <w:r>
        <w:rPr>
          <w:b/>
          <w:noProof/>
        </w:rPr>
        <w:t>Requisiti tecnici minimi degli indicatori della velocità di accostata</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b/>
          <w:bCs/>
          <w:noProof/>
          <w:szCs w:val="20"/>
        </w:rPr>
      </w:pP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b/>
          <w:bCs/>
          <w:szCs w:val="20"/>
        </w:rPr>
      </w:pPr>
      <w:r>
        <w:rPr>
          <w:b/>
          <w:noProof/>
        </w:rPr>
        <w:t>Articolo 4.01</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i/>
          <w:iCs/>
          <w:noProof/>
          <w:szCs w:val="20"/>
        </w:rPr>
      </w:pPr>
      <w:r>
        <w:rPr>
          <w:i/>
          <w:noProof/>
        </w:rPr>
        <w:t>Funzionamento</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p>
    <w:p w:rsidR="009C13A9" w:rsidRPr="00C903F8" w:rsidRDefault="009C13A9" w:rsidP="009C13A9">
      <w:pPr>
        <w:rPr>
          <w:noProof/>
        </w:rPr>
      </w:pPr>
      <w:r>
        <w:t>1.</w:t>
      </w:r>
      <w:r>
        <w:tab/>
        <w:t>Tutti i comandi sono disposti in modo tale che il loro uso non nasconda nessuna indicazione e la navigazione a mezzo radar resti possibile senza limitazioni.</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2.</w:t>
      </w:r>
      <w:r>
        <w:tab/>
      </w:r>
      <w:r>
        <w:rPr>
          <w:noProof/>
          <w:color w:val="000000"/>
        </w:rPr>
        <w:t>Tutti gli organi di comando e gli indicatori sono dotati di un'illuminazione antiabbagliante, adatta a tutte le condizioni di luminosità ambiente e regolabile fino a zero mediante un comando indipendente.</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3.</w:t>
      </w:r>
      <w:r>
        <w:tab/>
      </w:r>
      <w:r>
        <w:rPr>
          <w:noProof/>
          <w:color w:val="000000"/>
        </w:rPr>
        <w:t>La messa a punto degli organi di comando è tale che i movimenti verso destra o verso l'alto corrispondono ad un'azione positiva sulla grandezza da regolare e i movimenti verso sinistra o verso il basso ad un'azione negativa.</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4.</w:t>
      </w:r>
      <w:r>
        <w:tab/>
      </w:r>
      <w:r>
        <w:rPr>
          <w:noProof/>
          <w:color w:val="000000"/>
        </w:rPr>
        <w:t>Nel caso di comandi a pulsanti, questi sono individuabili e azionabili al tocco e il punto di pressione è chiaramente percettibile. Se i comandi a pulsanti hanno funzioni multiple, deve risultare chiaramente quale livello è stato attivato.</w:t>
      </w: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p>
    <w:p w:rsidR="009C13A9" w:rsidRPr="00C903F8" w:rsidRDefault="009C13A9" w:rsidP="009C13A9">
      <w:pPr>
        <w:overflowPunct w:val="0"/>
        <w:adjustRightInd w:val="0"/>
        <w:ind w:left="0" w:firstLine="0"/>
        <w:jc w:val="center"/>
        <w:textAlignment w:val="baseline"/>
        <w:rPr>
          <w:rFonts w:cs="Arial"/>
          <w:b/>
          <w:bCs/>
          <w:szCs w:val="20"/>
        </w:rPr>
      </w:pPr>
      <w:r>
        <w:rPr>
          <w:b/>
          <w:noProof/>
        </w:rPr>
        <w:t>Articolo 4.02</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r>
        <w:rPr>
          <w:i/>
          <w:noProof/>
        </w:rPr>
        <w:t>Dispositivi di smorzamento</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1.</w:t>
      </w:r>
      <w:r>
        <w:tab/>
      </w:r>
      <w:r>
        <w:rPr>
          <w:noProof/>
          <w:color w:val="000000"/>
        </w:rPr>
        <w:t>Il sistema a sensori è smorzato per i valori critici. La costante di smorzamento (63 % del valore limite) non supera 0,4 secondi.</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noProof/>
          <w:color w:val="000000"/>
        </w:rPr>
      </w:pPr>
      <w:r>
        <w:rPr>
          <w:color w:val="000000"/>
        </w:rPr>
        <w:t>2.</w:t>
      </w:r>
      <w:r>
        <w:tab/>
      </w:r>
      <w:r>
        <w:rPr>
          <w:noProof/>
          <w:color w:val="000000"/>
        </w:rPr>
        <w:t>L’indicatore è smorzato per i valori critici.</w:t>
      </w:r>
    </w:p>
    <w:p w:rsidR="009C13A9" w:rsidRPr="00C903F8" w:rsidRDefault="009C13A9" w:rsidP="009C13A9">
      <w:pPr>
        <w:spacing w:line="240" w:lineRule="atLeast"/>
        <w:ind w:left="426" w:firstLine="0"/>
        <w:rPr>
          <w:noProof/>
        </w:rPr>
      </w:pPr>
      <w:r>
        <w:t>Sono ammessi organi di comando per aumentare lo smorzamento dell'indicatore.</w:t>
      </w:r>
    </w:p>
    <w:p w:rsidR="009C13A9" w:rsidRPr="00C903F8" w:rsidRDefault="009C13A9" w:rsidP="009C13A9">
      <w:pPr>
        <w:spacing w:line="240" w:lineRule="atLeast"/>
        <w:ind w:left="426" w:firstLine="0"/>
      </w:pPr>
      <w:r>
        <w:t>In nessun caso la costante di smorzamento deve superare 5 secondi.</w:t>
      </w:r>
    </w:p>
    <w:p w:rsidR="009C13A9" w:rsidRPr="00C903F8" w:rsidRDefault="009C13A9" w:rsidP="009C13A9">
      <w:pPr>
        <w:tabs>
          <w:tab w:val="left" w:pos="425"/>
        </w:tabs>
        <w:overflowPunct w:val="0"/>
        <w:adjustRightInd w:val="0"/>
        <w:spacing w:line="240" w:lineRule="atLeast"/>
        <w:textAlignment w:val="baseline"/>
        <w:rPr>
          <w:rFonts w:cs="Arial"/>
          <w:szCs w:val="20"/>
        </w:rPr>
      </w:pPr>
    </w:p>
    <w:p w:rsidR="009C13A9" w:rsidRPr="00C903F8" w:rsidRDefault="009C13A9" w:rsidP="009C13A9">
      <w:pPr>
        <w:tabs>
          <w:tab w:val="right" w:pos="9072"/>
        </w:tabs>
        <w:overflowPunct w:val="0"/>
        <w:adjustRightInd w:val="0"/>
        <w:spacing w:line="240" w:lineRule="atLeast"/>
        <w:ind w:left="0" w:firstLine="0"/>
        <w:jc w:val="left"/>
        <w:textAlignment w:val="baseline"/>
        <w:rPr>
          <w:rFonts w:cs="Arial"/>
          <w:szCs w:val="20"/>
        </w:rPr>
      </w:pPr>
    </w:p>
    <w:p w:rsidR="009C13A9" w:rsidRPr="00C903F8" w:rsidRDefault="009C13A9" w:rsidP="009C13A9">
      <w:pPr>
        <w:overflowPunct w:val="0"/>
        <w:adjustRightInd w:val="0"/>
        <w:ind w:left="0" w:firstLine="0"/>
        <w:jc w:val="center"/>
        <w:textAlignment w:val="baseline"/>
        <w:rPr>
          <w:rFonts w:cs="Arial"/>
          <w:b/>
          <w:bCs/>
          <w:szCs w:val="20"/>
        </w:rPr>
      </w:pPr>
      <w:r>
        <w:rPr>
          <w:b/>
          <w:noProof/>
        </w:rPr>
        <w:t>Articolo 4.03</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i/>
          <w:noProof/>
        </w:rPr>
      </w:pPr>
      <w:r>
        <w:rPr>
          <w:i/>
          <w:noProof/>
        </w:rPr>
        <w:t>Raccordo di apparecchiature supplementari</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p>
    <w:p w:rsidR="009C13A9" w:rsidRPr="00C903F8" w:rsidRDefault="009C13A9" w:rsidP="009C13A9">
      <w:pPr>
        <w:spacing w:line="240" w:lineRule="atLeast"/>
        <w:rPr>
          <w:rFonts w:cs="Arial"/>
          <w:noProof/>
          <w:color w:val="000000"/>
        </w:rPr>
      </w:pPr>
      <w:r>
        <w:rPr>
          <w:color w:val="000000"/>
        </w:rPr>
        <w:t xml:space="preserve">1. </w:t>
      </w:r>
      <w:r>
        <w:tab/>
      </w:r>
      <w:r>
        <w:rPr>
          <w:noProof/>
          <w:color w:val="000000"/>
        </w:rPr>
        <w:t>Se l'indicatore della velocità di accostata può essere raccordato a indicatori ripetitori o apparecchiature simili, l'indicazione della velocità di accostata resta disponibile sotto forma di segnale elettrico analogico. Inoltre, l’indicatore della velocità di accostata può essere dotato di un’interfaccia digitale in conformità al paragrafo 2.</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ind w:left="426" w:firstLine="0"/>
      </w:pPr>
      <w:r>
        <w:t xml:space="preserve">Il segnale resta separato galvanicamente dalla massa e disponibile come tensione analogica proporzionale pari a 20 mV/°/min ± 5 % e con una resistenza interna non superiore a 100 </w:t>
      </w:r>
      <w:r>
        <w:rPr>
          <w:rFonts w:eastAsia="TimesNewRoman"/>
          <w:szCs w:val="20"/>
        </w:rPr>
        <w:sym w:font="Symbol" w:char="F057"/>
      </w:r>
      <w:r>
        <w:t>.</w:t>
      </w:r>
    </w:p>
    <w:p w:rsidR="009C13A9" w:rsidRPr="00C903F8" w:rsidRDefault="009C13A9" w:rsidP="009C13A9">
      <w:pPr>
        <w:spacing w:line="240" w:lineRule="atLeast"/>
        <w:ind w:left="426" w:firstLine="0"/>
      </w:pPr>
    </w:p>
    <w:p w:rsidR="009C13A9" w:rsidRPr="00C903F8" w:rsidRDefault="009C13A9" w:rsidP="009C13A9">
      <w:pPr>
        <w:spacing w:line="240" w:lineRule="atLeast"/>
        <w:ind w:left="426" w:firstLine="0"/>
        <w:rPr>
          <w:noProof/>
        </w:rPr>
      </w:pPr>
      <w:r>
        <w:t>La polarità è positiva per un’accostata della nave verso tribordo e negativa per un’accostata verso babordo.</w:t>
      </w:r>
    </w:p>
    <w:p w:rsidR="009C13A9" w:rsidRPr="00C903F8" w:rsidRDefault="009C13A9" w:rsidP="009C13A9">
      <w:pPr>
        <w:tabs>
          <w:tab w:val="left" w:pos="425"/>
        </w:tabs>
        <w:overflowPunct w:val="0"/>
        <w:adjustRightInd w:val="0"/>
        <w:spacing w:line="240" w:lineRule="atLeast"/>
        <w:ind w:firstLine="1"/>
        <w:textAlignment w:val="baseline"/>
        <w:rPr>
          <w:rFonts w:cs="Arial"/>
          <w:szCs w:val="20"/>
        </w:rPr>
      </w:pPr>
      <w:r>
        <w:br w:type="page"/>
      </w:r>
    </w:p>
    <w:p w:rsidR="009C13A9" w:rsidRPr="00C903F8" w:rsidRDefault="009C13A9" w:rsidP="009C13A9">
      <w:pPr>
        <w:spacing w:line="240" w:lineRule="atLeast"/>
        <w:ind w:left="426" w:firstLine="0"/>
        <w:rPr>
          <w:noProof/>
        </w:rPr>
      </w:pPr>
      <w:r>
        <w:lastRenderedPageBreak/>
        <w:t>La soglia di funzionamento non supera il valore di 0,3°/minuto.</w:t>
      </w:r>
    </w:p>
    <w:p w:rsidR="009C13A9" w:rsidRPr="00C903F8" w:rsidRDefault="009C13A9" w:rsidP="009C13A9">
      <w:pPr>
        <w:spacing w:line="240" w:lineRule="atLeast"/>
        <w:ind w:left="426" w:firstLine="0"/>
      </w:pPr>
    </w:p>
    <w:p w:rsidR="009C13A9" w:rsidRPr="00C903F8" w:rsidRDefault="009C13A9" w:rsidP="009C13A9">
      <w:pPr>
        <w:spacing w:line="240" w:lineRule="atLeast"/>
        <w:ind w:left="426" w:firstLine="0"/>
      </w:pPr>
      <w:r>
        <w:t>Per le temperature da 0 °C a 40 °C, l'errore zero non supera il valore di 1°/minuto.</w:t>
      </w:r>
    </w:p>
    <w:p w:rsidR="009C13A9" w:rsidRPr="00C903F8" w:rsidRDefault="009C13A9" w:rsidP="009C13A9">
      <w:pPr>
        <w:spacing w:line="240" w:lineRule="atLeast"/>
        <w:ind w:left="426" w:firstLine="0"/>
      </w:pPr>
    </w:p>
    <w:p w:rsidR="009C13A9" w:rsidRPr="00C903F8" w:rsidRDefault="009C13A9" w:rsidP="009C13A9">
      <w:pPr>
        <w:spacing w:line="240" w:lineRule="atLeast"/>
        <w:ind w:left="426" w:firstLine="0"/>
        <w:rPr>
          <w:noProof/>
        </w:rPr>
      </w:pPr>
      <w:r>
        <w:t>Con l’indicatore inserito e il sensore in posizione immobile, la tensione parassita nel segnale d’uscita, misurata a valle di un filtro passa basso semplice di banda passante pari a 10 Hz, non supera 10 mV.</w:t>
      </w:r>
    </w:p>
    <w:p w:rsidR="009C13A9" w:rsidRPr="00C903F8" w:rsidRDefault="009C13A9" w:rsidP="009C13A9">
      <w:pPr>
        <w:spacing w:line="240" w:lineRule="atLeast"/>
        <w:ind w:left="426" w:firstLine="0"/>
      </w:pPr>
    </w:p>
    <w:p w:rsidR="009C13A9" w:rsidRPr="00C903F8" w:rsidRDefault="009C13A9" w:rsidP="009C13A9">
      <w:pPr>
        <w:spacing w:line="240" w:lineRule="atLeast"/>
        <w:ind w:left="426" w:firstLine="0"/>
        <w:rPr>
          <w:noProof/>
        </w:rPr>
      </w:pPr>
      <w:r>
        <w:t>Il segnale della velocità di accostata è disponibile con uno smorzamento che non superi i limiti di cui all'articolo 4.02, paragrafo 1.</w:t>
      </w:r>
    </w:p>
    <w:p w:rsidR="009C13A9" w:rsidRPr="00C903F8" w:rsidRDefault="009C13A9" w:rsidP="009C13A9">
      <w:pPr>
        <w:tabs>
          <w:tab w:val="left" w:pos="425"/>
        </w:tabs>
        <w:overflowPunct w:val="0"/>
        <w:adjustRightInd w:val="0"/>
        <w:spacing w:line="240" w:lineRule="atLeast"/>
        <w:textAlignment w:val="baseline"/>
        <w:rPr>
          <w:rFonts w:cs="Arial"/>
          <w:noProof/>
          <w:szCs w:val="20"/>
        </w:rPr>
      </w:pPr>
    </w:p>
    <w:p w:rsidR="009C13A9" w:rsidRPr="00C903F8" w:rsidRDefault="009C13A9" w:rsidP="009C13A9">
      <w:pPr>
        <w:spacing w:line="240" w:lineRule="atLeast"/>
        <w:rPr>
          <w:rFonts w:cs="Arial"/>
          <w:color w:val="000000"/>
        </w:rPr>
      </w:pPr>
      <w:r>
        <w:rPr>
          <w:color w:val="000000"/>
        </w:rPr>
        <w:t>2.</w:t>
      </w:r>
      <w:r>
        <w:tab/>
      </w:r>
      <w:r>
        <w:rPr>
          <w:color w:val="000000"/>
        </w:rPr>
        <w:t>È progettata un'interfaccia digitale ai sensi delle norme europee EN 61162</w:t>
      </w:r>
      <w:r>
        <w:softHyphen/>
      </w:r>
      <w:r>
        <w:rPr>
          <w:color w:val="000000"/>
        </w:rPr>
        <w:t>1:2011, EN 61162-2:1998 and EN 61162-3:2014.</w:t>
      </w:r>
    </w:p>
    <w:p w:rsidR="009C13A9" w:rsidRPr="00C903F8" w:rsidRDefault="009C13A9" w:rsidP="009C13A9">
      <w:pPr>
        <w:spacing w:line="240" w:lineRule="atLeast"/>
        <w:rPr>
          <w:rFonts w:cs="Arial"/>
          <w:color w:val="000000"/>
          <w:szCs w:val="20"/>
        </w:rPr>
      </w:pPr>
    </w:p>
    <w:p w:rsidR="009C13A9" w:rsidRPr="00C903F8" w:rsidRDefault="009C13A9" w:rsidP="009C13A9">
      <w:pPr>
        <w:spacing w:line="240" w:lineRule="atLeast"/>
        <w:rPr>
          <w:rFonts w:cs="Arial"/>
          <w:noProof/>
          <w:color w:val="000000"/>
        </w:rPr>
      </w:pPr>
      <w:r>
        <w:rPr>
          <w:color w:val="000000"/>
        </w:rPr>
        <w:t>3.</w:t>
      </w:r>
      <w:r>
        <w:tab/>
      </w:r>
      <w:r>
        <w:rPr>
          <w:noProof/>
          <w:color w:val="000000"/>
        </w:rPr>
        <w:t>È previsto un commutatore per l'inserimento di un allarme esterno il quale è installato in modo da creare isolamento galvanico all'indicatore della velocità di accostata.</w:t>
      </w:r>
    </w:p>
    <w:p w:rsidR="008761B8" w:rsidRDefault="008761B8" w:rsidP="009C13A9">
      <w:pPr>
        <w:spacing w:line="240" w:lineRule="atLeast"/>
        <w:ind w:left="426" w:firstLine="0"/>
        <w:rPr>
          <w:noProof/>
        </w:rPr>
      </w:pPr>
    </w:p>
    <w:p w:rsidR="009C13A9" w:rsidRPr="00C903F8" w:rsidRDefault="009C13A9" w:rsidP="009C13A9">
      <w:pPr>
        <w:spacing w:line="240" w:lineRule="atLeast"/>
        <w:ind w:left="426" w:firstLine="0"/>
        <w:rPr>
          <w:noProof/>
        </w:rPr>
      </w:pPr>
      <w:r>
        <w:t>L’allarme esterno si inserisce mediante chiusura del contatto quando:</w:t>
      </w:r>
    </w:p>
    <w:p w:rsidR="009C13A9" w:rsidRPr="00C903F8" w:rsidRDefault="009C13A9" w:rsidP="009C13A9">
      <w:pPr>
        <w:spacing w:before="60" w:line="240" w:lineRule="atLeast"/>
        <w:ind w:left="851"/>
        <w:rPr>
          <w:rFonts w:cs="Arial"/>
          <w:noProof/>
          <w:szCs w:val="22"/>
        </w:rPr>
      </w:pPr>
      <w:r>
        <w:t>a)</w:t>
      </w:r>
      <w:r>
        <w:tab/>
        <w:t>l'indicatore della velocità di accostata è disinserito; oppure</w:t>
      </w:r>
    </w:p>
    <w:p w:rsidR="009C13A9" w:rsidRPr="00C903F8" w:rsidRDefault="009C13A9" w:rsidP="009C13A9">
      <w:pPr>
        <w:spacing w:before="60" w:line="240" w:lineRule="atLeast"/>
        <w:ind w:left="851"/>
        <w:rPr>
          <w:rFonts w:cs="Arial"/>
          <w:noProof/>
          <w:szCs w:val="22"/>
        </w:rPr>
      </w:pPr>
      <w:r>
        <w:t>b)</w:t>
      </w:r>
      <w:r>
        <w:tab/>
        <w:t>l'indicatore della velocità di accostata non è in funzione; oppure</w:t>
      </w:r>
    </w:p>
    <w:p w:rsidR="009C13A9" w:rsidRPr="00C903F8" w:rsidRDefault="009C13A9" w:rsidP="009C13A9">
      <w:pPr>
        <w:spacing w:before="60" w:line="240" w:lineRule="atLeast"/>
        <w:ind w:left="851"/>
        <w:rPr>
          <w:rFonts w:cs="Arial"/>
          <w:noProof/>
          <w:szCs w:val="22"/>
        </w:rPr>
      </w:pPr>
      <w:r>
        <w:t>c)</w:t>
      </w:r>
      <w:r>
        <w:tab/>
        <w:t>il controllo del funzionamento ha reagito in seguito a un errore eccessivo (articolo 3.06).</w:t>
      </w:r>
    </w:p>
    <w:p w:rsidR="009C13A9" w:rsidRPr="00C903F8" w:rsidRDefault="009C13A9" w:rsidP="009C13A9">
      <w:pPr>
        <w:tabs>
          <w:tab w:val="left" w:pos="425"/>
        </w:tabs>
        <w:overflowPunct w:val="0"/>
        <w:adjustRightInd w:val="0"/>
        <w:spacing w:line="240" w:lineRule="atLeast"/>
        <w:textAlignment w:val="baseline"/>
        <w:rPr>
          <w:rFonts w:cs="Arial"/>
          <w:szCs w:val="20"/>
        </w:rPr>
      </w:pP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p>
    <w:p w:rsidR="009C13A9" w:rsidRPr="00C903F8" w:rsidRDefault="009C13A9" w:rsidP="009C13A9">
      <w:pPr>
        <w:tabs>
          <w:tab w:val="left" w:pos="284"/>
          <w:tab w:val="left" w:pos="454"/>
          <w:tab w:val="left" w:pos="680"/>
          <w:tab w:val="left" w:pos="1021"/>
        </w:tabs>
        <w:overflowPunct w:val="0"/>
        <w:adjustRightInd w:val="0"/>
        <w:spacing w:line="240" w:lineRule="atLeast"/>
        <w:ind w:left="0" w:firstLine="0"/>
        <w:jc w:val="center"/>
        <w:textAlignment w:val="baseline"/>
        <w:rPr>
          <w:rFonts w:cs="Arial"/>
          <w:b/>
          <w:bCs/>
          <w:szCs w:val="20"/>
        </w:rPr>
      </w:pPr>
      <w:r>
        <w:rPr>
          <w:b/>
          <w:noProof/>
        </w:rPr>
        <w:t>Capo 5</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r>
        <w:rPr>
          <w:b/>
          <w:noProof/>
        </w:rPr>
        <w:t>Condizioni e procedure di prova degli indicatori della velocità di accostata</w:t>
      </w:r>
    </w:p>
    <w:p w:rsidR="009C13A9" w:rsidRPr="00C903F8" w:rsidRDefault="009C13A9" w:rsidP="009C13A9">
      <w:pPr>
        <w:spacing w:line="240" w:lineRule="atLeast"/>
        <w:rPr>
          <w:rFonts w:cs="Arial"/>
          <w:noProof/>
          <w:color w:val="000000"/>
        </w:rPr>
      </w:pP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b/>
          <w:bCs/>
          <w:szCs w:val="20"/>
        </w:rPr>
      </w:pPr>
      <w:r>
        <w:rPr>
          <w:b/>
          <w:noProof/>
        </w:rPr>
        <w:t>Articolo 5.01</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r>
        <w:rPr>
          <w:i/>
          <w:noProof/>
        </w:rPr>
        <w:t>Sicurezza, capacità di carico e compatibilità elettromagnetica</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noProof/>
        </w:rPr>
      </w:pPr>
      <w:r>
        <w:t xml:space="preserve">Le prove inerenti all'alimentazione elettrica, alla sicurezza, all'interferenza tra le apparecchiature di bordo, alla distanza di protezione della bussola, alla resistenza alle condizioni climatiche, alla resistenza meccanica, all'impatto ambientale, all'emissione sonora e alla compatibilità elettromagnetica sono eseguite conformemente alla norma europea EN 60945:2002. </w:t>
      </w: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p>
    <w:p w:rsidR="009C13A9" w:rsidRPr="00C903F8" w:rsidRDefault="009C13A9" w:rsidP="009C13A9">
      <w:pPr>
        <w:overflowPunct w:val="0"/>
        <w:adjustRightInd w:val="0"/>
        <w:ind w:left="0" w:firstLine="0"/>
        <w:jc w:val="center"/>
        <w:textAlignment w:val="baseline"/>
        <w:rPr>
          <w:rFonts w:cs="Arial"/>
          <w:b/>
          <w:bCs/>
          <w:szCs w:val="20"/>
        </w:rPr>
      </w:pPr>
      <w:r>
        <w:rPr>
          <w:b/>
          <w:noProof/>
        </w:rPr>
        <w:t>Articolo 5.02</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r>
        <w:rPr>
          <w:i/>
          <w:noProof/>
        </w:rPr>
        <w:t>Emissioni spurie</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noProof/>
        </w:rPr>
      </w:pPr>
      <w:r>
        <w:t xml:space="preserve">Le emissioni spurie sono misurate secondo la norma europea EN 60945:2002 nel campo di frequenza da 30 a 2000 MHz. </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noProof/>
        </w:rPr>
      </w:pPr>
      <w:r>
        <w:t>Sono soddisfatti i requisiti di cui all'articolo 2.02, paragrafo 2.</w:t>
      </w:r>
    </w:p>
    <w:p w:rsidR="009C13A9" w:rsidRPr="00C903F8" w:rsidRDefault="009C13A9" w:rsidP="009C13A9">
      <w:pPr>
        <w:tabs>
          <w:tab w:val="left" w:pos="425"/>
        </w:tabs>
        <w:overflowPunct w:val="0"/>
        <w:adjustRightInd w:val="0"/>
        <w:spacing w:line="240" w:lineRule="atLeast"/>
        <w:textAlignment w:val="baseline"/>
        <w:rPr>
          <w:rFonts w:cs="Arial"/>
          <w:szCs w:val="20"/>
        </w:rPr>
      </w:pPr>
    </w:p>
    <w:p w:rsidR="009C13A9" w:rsidRPr="00C903F8" w:rsidRDefault="009C13A9" w:rsidP="009C13A9">
      <w:pPr>
        <w:tabs>
          <w:tab w:val="left" w:pos="284"/>
          <w:tab w:val="left" w:pos="454"/>
          <w:tab w:val="left" w:pos="680"/>
          <w:tab w:val="left" w:pos="1021"/>
        </w:tabs>
        <w:overflowPunct w:val="0"/>
        <w:adjustRightInd w:val="0"/>
        <w:ind w:left="0" w:firstLine="0"/>
        <w:textAlignment w:val="baseline"/>
        <w:rPr>
          <w:rFonts w:cs="Arial"/>
          <w:szCs w:val="20"/>
        </w:rPr>
      </w:pP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b/>
          <w:bCs/>
          <w:szCs w:val="20"/>
        </w:rPr>
      </w:pPr>
      <w:r>
        <w:rPr>
          <w:b/>
          <w:noProof/>
        </w:rPr>
        <w:t>Articolo 5.03</w:t>
      </w:r>
    </w:p>
    <w:p w:rsidR="009C13A9" w:rsidRPr="00C903F8" w:rsidRDefault="009C13A9" w:rsidP="009C13A9">
      <w:pPr>
        <w:tabs>
          <w:tab w:val="left" w:pos="284"/>
          <w:tab w:val="left" w:pos="454"/>
          <w:tab w:val="left" w:pos="680"/>
          <w:tab w:val="left" w:pos="1021"/>
        </w:tabs>
        <w:overflowPunct w:val="0"/>
        <w:adjustRightInd w:val="0"/>
        <w:ind w:left="0" w:firstLine="0"/>
        <w:jc w:val="center"/>
        <w:textAlignment w:val="baseline"/>
        <w:rPr>
          <w:rFonts w:cs="Arial"/>
          <w:szCs w:val="20"/>
        </w:rPr>
      </w:pPr>
      <w:r>
        <w:rPr>
          <w:i/>
          <w:noProof/>
        </w:rPr>
        <w:t>Procedimento di prova</w:t>
      </w:r>
    </w:p>
    <w:p w:rsidR="009C13A9" w:rsidRPr="00C903F8" w:rsidRDefault="009C13A9" w:rsidP="009C13A9">
      <w:pPr>
        <w:overflowPunct w:val="0"/>
        <w:adjustRightInd w:val="0"/>
        <w:ind w:left="426" w:hanging="426"/>
        <w:textAlignment w:val="baseline"/>
        <w:rPr>
          <w:rFonts w:cs="Arial"/>
          <w:szCs w:val="20"/>
        </w:rPr>
      </w:pPr>
    </w:p>
    <w:p w:rsidR="009C13A9" w:rsidRPr="00C903F8" w:rsidRDefault="009C13A9" w:rsidP="009C13A9">
      <w:pPr>
        <w:spacing w:line="240" w:lineRule="atLeast"/>
        <w:rPr>
          <w:rFonts w:cs="Arial"/>
          <w:noProof/>
          <w:color w:val="000000"/>
        </w:rPr>
      </w:pPr>
      <w:r>
        <w:rPr>
          <w:snapToGrid w:val="0"/>
          <w:color w:val="000000"/>
        </w:rPr>
        <w:t>1.</w:t>
      </w:r>
      <w:r>
        <w:tab/>
      </w:r>
      <w:r>
        <w:rPr>
          <w:noProof/>
          <w:color w:val="000000"/>
        </w:rPr>
        <w:t>Gli indicatori della velocità di accostata sono sottoposti a prova in condizioni nominali ed estreme di funzionamento. A tale fine, la tensione di funzionamento e la temperatura ambiente sono modificate fino ai limiti prescritti.</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t>Inoltre, sono impiegati dei radiotrasmettitori per creare intensità di campo limite nelle vicinanze dell’indicatore.</w:t>
      </w:r>
    </w:p>
    <w:p w:rsidR="009C13A9" w:rsidRPr="00C903F8" w:rsidRDefault="009C13A9" w:rsidP="009C13A9">
      <w:pPr>
        <w:spacing w:line="240" w:lineRule="atLeast"/>
        <w:rPr>
          <w:rFonts w:cs="Arial"/>
          <w:color w:val="000000"/>
          <w:szCs w:val="20"/>
        </w:rPr>
      </w:pPr>
    </w:p>
    <w:p w:rsidR="009C13A9" w:rsidRPr="00C903F8" w:rsidRDefault="009C13A9" w:rsidP="009C13A9">
      <w:pPr>
        <w:overflowPunct w:val="0"/>
        <w:adjustRightInd w:val="0"/>
        <w:ind w:left="426" w:hanging="426"/>
        <w:jc w:val="left"/>
        <w:textAlignment w:val="baseline"/>
        <w:rPr>
          <w:rFonts w:cs="Arial"/>
          <w:szCs w:val="20"/>
        </w:rPr>
      </w:pPr>
      <w:r>
        <w:br w:type="page"/>
      </w:r>
    </w:p>
    <w:p w:rsidR="009C13A9" w:rsidRPr="00C903F8" w:rsidRDefault="009C13A9" w:rsidP="009C13A9">
      <w:pPr>
        <w:spacing w:line="240" w:lineRule="atLeast"/>
        <w:rPr>
          <w:rFonts w:cs="Arial"/>
          <w:snapToGrid w:val="0"/>
          <w:color w:val="000000"/>
        </w:rPr>
      </w:pPr>
      <w:r>
        <w:rPr>
          <w:snapToGrid w:val="0"/>
          <w:color w:val="000000"/>
        </w:rPr>
        <w:lastRenderedPageBreak/>
        <w:t>2.</w:t>
      </w:r>
      <w:r>
        <w:tab/>
      </w:r>
      <w:r>
        <w:rPr>
          <w:noProof/>
          <w:color w:val="000000"/>
        </w:rPr>
        <w:t>Alle condizioni di cui al paragrafo 1, l'errore di segnalazione resta al di sotto dei limiti di tolleranza indicati nell'appendice.</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t>Devono essere soddisfatti tutti i requisiti minimi di cui ai capi da 2 a 4.</w:t>
      </w:r>
    </w:p>
    <w:p w:rsidR="009C13A9" w:rsidRPr="00C903F8" w:rsidRDefault="009C13A9" w:rsidP="009C13A9">
      <w:pPr>
        <w:spacing w:line="240" w:lineRule="atLeast"/>
        <w:ind w:left="426" w:firstLine="0"/>
      </w:pPr>
    </w:p>
    <w:p w:rsidR="009C13A9" w:rsidRPr="00C903F8" w:rsidRDefault="009C13A9" w:rsidP="009C13A9">
      <w:pPr>
        <w:tabs>
          <w:tab w:val="right" w:pos="9072"/>
        </w:tabs>
        <w:overflowPunct w:val="0"/>
        <w:adjustRightInd w:val="0"/>
        <w:spacing w:line="240" w:lineRule="atLeast"/>
        <w:ind w:left="0" w:firstLine="0"/>
        <w:jc w:val="center"/>
        <w:textAlignment w:val="baseline"/>
        <w:rPr>
          <w:rFonts w:cs="Arial"/>
          <w:b/>
          <w:bCs/>
          <w:szCs w:val="20"/>
        </w:rPr>
      </w:pPr>
      <w:r>
        <w:rPr>
          <w:b/>
          <w:noProof/>
        </w:rPr>
        <w:t>Appendice</w:t>
      </w:r>
    </w:p>
    <w:p w:rsidR="009C13A9" w:rsidRPr="00C903F8" w:rsidRDefault="009C13A9" w:rsidP="009C13A9">
      <w:pPr>
        <w:tabs>
          <w:tab w:val="decimal" w:pos="7056"/>
          <w:tab w:val="decimal" w:pos="9504"/>
        </w:tabs>
        <w:overflowPunct w:val="0"/>
        <w:adjustRightInd w:val="0"/>
        <w:ind w:left="0" w:firstLine="0"/>
        <w:jc w:val="center"/>
        <w:textAlignment w:val="baseline"/>
        <w:rPr>
          <w:rFonts w:cs="Arial"/>
          <w:b/>
          <w:bCs/>
          <w:szCs w:val="20"/>
        </w:rPr>
      </w:pPr>
      <w:r>
        <w:rPr>
          <w:b/>
          <w:noProof/>
        </w:rPr>
        <w:t xml:space="preserve">Figura 1: tolleranze massime per errori di indicazione </w:t>
      </w:r>
      <w:r>
        <w:rPr>
          <w:rFonts w:cs="Arial"/>
          <w:b/>
          <w:bCs/>
          <w:noProof/>
          <w:szCs w:val="20"/>
        </w:rPr>
        <w:br/>
      </w:r>
      <w:r>
        <w:rPr>
          <w:b/>
          <w:noProof/>
        </w:rPr>
        <w:t>degli indicatori della velocità di accostata</w:t>
      </w:r>
    </w:p>
    <w:p w:rsidR="009C13A9" w:rsidRPr="00C903F8" w:rsidRDefault="009C13A9" w:rsidP="009C13A9">
      <w:pPr>
        <w:tabs>
          <w:tab w:val="decimal" w:pos="7056"/>
          <w:tab w:val="decimal" w:pos="9504"/>
        </w:tabs>
        <w:overflowPunct w:val="0"/>
        <w:adjustRightInd w:val="0"/>
        <w:ind w:left="0" w:firstLine="0"/>
        <w:jc w:val="center"/>
        <w:textAlignment w:val="baseline"/>
        <w:rPr>
          <w:rFonts w:cs="Arial"/>
          <w:b/>
          <w:bCs/>
          <w:szCs w:val="20"/>
        </w:rPr>
      </w:pPr>
    </w:p>
    <w:p w:rsidR="009C13A9" w:rsidRPr="00C903F8" w:rsidRDefault="00014931" w:rsidP="009C13A9">
      <w:pPr>
        <w:tabs>
          <w:tab w:val="decimal" w:pos="7056"/>
          <w:tab w:val="decimal" w:pos="9504"/>
        </w:tabs>
        <w:overflowPunct w:val="0"/>
        <w:adjustRightInd w:val="0"/>
        <w:ind w:left="0" w:firstLine="0"/>
        <w:jc w:val="center"/>
        <w:textAlignment w:val="baseline"/>
        <w:rPr>
          <w:rFonts w:cs="Arial"/>
          <w:b/>
          <w:bCs/>
          <w:szCs w:val="20"/>
        </w:rPr>
      </w:pPr>
      <w:r>
        <w:rPr>
          <w:noProof/>
          <w:lang w:val="en-GB" w:eastAsia="en-GB" w:bidi="ar-SA"/>
        </w:rPr>
        <w:drawing>
          <wp:inline distT="0" distB="0" distL="0" distR="0" wp14:anchorId="179C77FC" wp14:editId="68B3C042">
            <wp:extent cx="5038725" cy="7334250"/>
            <wp:effectExtent l="0" t="0" r="9525"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038725" cy="7334250"/>
                    </a:xfrm>
                    <a:prstGeom prst="rect">
                      <a:avLst/>
                    </a:prstGeom>
                    <a:noFill/>
                    <a:ln>
                      <a:noFill/>
                    </a:ln>
                  </pic:spPr>
                </pic:pic>
              </a:graphicData>
            </a:graphic>
          </wp:inline>
        </w:drawing>
      </w:r>
    </w:p>
    <w:p w:rsidR="009C13A9" w:rsidRPr="00C903F8" w:rsidRDefault="009C13A9" w:rsidP="009C13A9">
      <w:pPr>
        <w:tabs>
          <w:tab w:val="decimal" w:pos="7056"/>
          <w:tab w:val="decimal" w:pos="9504"/>
        </w:tabs>
        <w:overflowPunct w:val="0"/>
        <w:adjustRightInd w:val="0"/>
        <w:ind w:left="0" w:firstLine="0"/>
        <w:jc w:val="center"/>
        <w:textAlignment w:val="baseline"/>
        <w:rPr>
          <w:rFonts w:cs="Arial"/>
          <w:b/>
          <w:bCs/>
          <w:szCs w:val="20"/>
        </w:rPr>
      </w:pPr>
    </w:p>
    <w:p w:rsidR="009C13A9" w:rsidRPr="00C903F8" w:rsidRDefault="009C13A9" w:rsidP="009C13A9">
      <w:pPr>
        <w:tabs>
          <w:tab w:val="decimal" w:pos="7056"/>
          <w:tab w:val="decimal" w:pos="9504"/>
        </w:tabs>
        <w:overflowPunct w:val="0"/>
        <w:adjustRightInd w:val="0"/>
        <w:ind w:left="0" w:firstLine="0"/>
        <w:jc w:val="center"/>
        <w:textAlignment w:val="baseline"/>
        <w:rPr>
          <w:rFonts w:cs="Arial"/>
          <w:b/>
          <w:bCs/>
          <w:szCs w:val="20"/>
        </w:rPr>
      </w:pPr>
    </w:p>
    <w:p w:rsidR="009C13A9" w:rsidRPr="00C903F8" w:rsidRDefault="009C13A9" w:rsidP="009C13A9">
      <w:pPr>
        <w:tabs>
          <w:tab w:val="decimal" w:pos="7056"/>
          <w:tab w:val="decimal" w:pos="9504"/>
        </w:tabs>
        <w:overflowPunct w:val="0"/>
        <w:adjustRightInd w:val="0"/>
        <w:ind w:left="0" w:firstLine="0"/>
        <w:jc w:val="center"/>
        <w:textAlignment w:val="baseline"/>
        <w:rPr>
          <w:rFonts w:cs="Arial"/>
          <w:b/>
          <w:bCs/>
          <w:szCs w:val="20"/>
        </w:rPr>
      </w:pPr>
    </w:p>
    <w:p w:rsidR="009C13A9" w:rsidRPr="00C903F8" w:rsidRDefault="009C13A9" w:rsidP="009C13A9">
      <w:pPr>
        <w:tabs>
          <w:tab w:val="decimal" w:pos="7056"/>
          <w:tab w:val="decimal" w:pos="9504"/>
        </w:tabs>
        <w:overflowPunct w:val="0"/>
        <w:adjustRightInd w:val="0"/>
        <w:ind w:left="0" w:firstLine="0"/>
        <w:jc w:val="center"/>
        <w:textAlignment w:val="baseline"/>
        <w:rPr>
          <w:rFonts w:cs="Arial"/>
          <w:b/>
          <w:bCs/>
          <w:szCs w:val="20"/>
        </w:rPr>
      </w:pPr>
    </w:p>
    <w:p w:rsidR="009C13A9" w:rsidRPr="00C903F8" w:rsidRDefault="009C13A9" w:rsidP="009C13A9">
      <w:pPr>
        <w:tabs>
          <w:tab w:val="decimal" w:pos="7056"/>
          <w:tab w:val="decimal" w:pos="9504"/>
        </w:tabs>
        <w:overflowPunct w:val="0"/>
        <w:adjustRightInd w:val="0"/>
        <w:ind w:left="0" w:firstLine="0"/>
        <w:jc w:val="center"/>
        <w:textAlignment w:val="baseline"/>
        <w:rPr>
          <w:rFonts w:cs="Arial"/>
          <w:b/>
          <w:bCs/>
          <w:szCs w:val="20"/>
        </w:rPr>
      </w:pPr>
    </w:p>
    <w:p w:rsidR="009C13A9" w:rsidRPr="00C903F8" w:rsidRDefault="009C13A9" w:rsidP="009C13A9">
      <w:pPr>
        <w:tabs>
          <w:tab w:val="decimal" w:pos="7056"/>
          <w:tab w:val="decimal" w:pos="9504"/>
        </w:tabs>
        <w:overflowPunct w:val="0"/>
        <w:adjustRightInd w:val="0"/>
        <w:ind w:left="0" w:firstLine="0"/>
        <w:jc w:val="center"/>
        <w:textAlignment w:val="baseline"/>
        <w:rPr>
          <w:rFonts w:cs="Arial"/>
          <w:b/>
          <w:bCs/>
          <w:szCs w:val="20"/>
        </w:rPr>
      </w:pPr>
    </w:p>
    <w:p w:rsidR="009C13A9" w:rsidRPr="00C903F8" w:rsidRDefault="009C13A9" w:rsidP="009C13A9">
      <w:pPr>
        <w:tabs>
          <w:tab w:val="decimal" w:pos="7056"/>
          <w:tab w:val="decimal" w:pos="9504"/>
        </w:tabs>
        <w:overflowPunct w:val="0"/>
        <w:adjustRightInd w:val="0"/>
        <w:ind w:left="0" w:firstLine="0"/>
        <w:jc w:val="center"/>
        <w:textAlignment w:val="baseline"/>
        <w:rPr>
          <w:rFonts w:cs="Arial"/>
          <w:b/>
          <w:bCs/>
          <w:szCs w:val="20"/>
        </w:rPr>
      </w:pPr>
    </w:p>
    <w:p w:rsidR="009C13A9" w:rsidRPr="00C903F8" w:rsidRDefault="009C13A9" w:rsidP="009C13A9">
      <w:pPr>
        <w:tabs>
          <w:tab w:val="decimal" w:pos="7056"/>
          <w:tab w:val="decimal" w:pos="9504"/>
        </w:tabs>
        <w:overflowPunct w:val="0"/>
        <w:adjustRightInd w:val="0"/>
        <w:ind w:left="0" w:firstLine="0"/>
        <w:jc w:val="center"/>
        <w:textAlignment w:val="baseline"/>
        <w:rPr>
          <w:rFonts w:cs="Arial"/>
          <w:b/>
          <w:bCs/>
          <w:szCs w:val="20"/>
        </w:rPr>
      </w:pPr>
    </w:p>
    <w:p w:rsidR="009C13A9" w:rsidRPr="00C903F8" w:rsidRDefault="009C13A9" w:rsidP="009C13A9">
      <w:pPr>
        <w:tabs>
          <w:tab w:val="decimal" w:pos="7056"/>
          <w:tab w:val="decimal" w:pos="9504"/>
        </w:tabs>
        <w:overflowPunct w:val="0"/>
        <w:adjustRightInd w:val="0"/>
        <w:ind w:left="0" w:firstLine="0"/>
        <w:jc w:val="center"/>
        <w:textAlignment w:val="baseline"/>
        <w:rPr>
          <w:rFonts w:cs="Arial"/>
          <w:b/>
          <w:bCs/>
          <w:szCs w:val="20"/>
        </w:rPr>
      </w:pPr>
    </w:p>
    <w:p w:rsidR="009C13A9" w:rsidRPr="00C903F8" w:rsidRDefault="009C13A9" w:rsidP="009C13A9">
      <w:pPr>
        <w:tabs>
          <w:tab w:val="decimal" w:pos="7056"/>
          <w:tab w:val="decimal" w:pos="9504"/>
        </w:tabs>
        <w:overflowPunct w:val="0"/>
        <w:adjustRightInd w:val="0"/>
        <w:ind w:left="0" w:firstLine="0"/>
        <w:jc w:val="center"/>
        <w:textAlignment w:val="baseline"/>
        <w:rPr>
          <w:rFonts w:cs="Arial"/>
          <w:b/>
          <w:bCs/>
          <w:szCs w:val="20"/>
        </w:rPr>
      </w:pPr>
    </w:p>
    <w:p w:rsidR="009C13A9" w:rsidRPr="00C903F8" w:rsidRDefault="009C13A9" w:rsidP="009C13A9">
      <w:pPr>
        <w:tabs>
          <w:tab w:val="decimal" w:pos="7056"/>
          <w:tab w:val="decimal" w:pos="9504"/>
        </w:tabs>
        <w:overflowPunct w:val="0"/>
        <w:adjustRightInd w:val="0"/>
        <w:ind w:left="0" w:firstLine="0"/>
        <w:jc w:val="center"/>
        <w:textAlignment w:val="baseline"/>
        <w:rPr>
          <w:rFonts w:cs="Arial"/>
          <w:b/>
          <w:bCs/>
          <w:szCs w:val="20"/>
        </w:rPr>
      </w:pPr>
    </w:p>
    <w:p w:rsidR="009C13A9" w:rsidRPr="00C903F8" w:rsidRDefault="009C13A9" w:rsidP="009C13A9">
      <w:pPr>
        <w:tabs>
          <w:tab w:val="decimal" w:pos="7056"/>
          <w:tab w:val="decimal" w:pos="9504"/>
        </w:tabs>
        <w:overflowPunct w:val="0"/>
        <w:adjustRightInd w:val="0"/>
        <w:ind w:left="0" w:firstLine="0"/>
        <w:jc w:val="center"/>
        <w:textAlignment w:val="baseline"/>
        <w:rPr>
          <w:rFonts w:cs="Arial"/>
          <w:b/>
          <w:bCs/>
          <w:szCs w:val="20"/>
        </w:rPr>
      </w:pPr>
    </w:p>
    <w:p w:rsidR="009C13A9" w:rsidRPr="00C903F8" w:rsidRDefault="009C13A9" w:rsidP="009C13A9">
      <w:pPr>
        <w:tabs>
          <w:tab w:val="right" w:pos="9072"/>
        </w:tabs>
        <w:overflowPunct w:val="0"/>
        <w:adjustRightInd w:val="0"/>
        <w:spacing w:line="240" w:lineRule="atLeast"/>
        <w:ind w:left="0" w:firstLine="0"/>
        <w:jc w:val="left"/>
        <w:textAlignment w:val="baseline"/>
        <w:rPr>
          <w:rFonts w:cs="Arial"/>
          <w:szCs w:val="20"/>
        </w:rPr>
      </w:pPr>
    </w:p>
    <w:p w:rsidR="009C13A9" w:rsidRPr="00C903F8" w:rsidRDefault="009C13A9" w:rsidP="009C13A9">
      <w:pPr>
        <w:spacing w:line="240" w:lineRule="atLeast"/>
        <w:ind w:left="567" w:hanging="567"/>
      </w:pPr>
      <w:r>
        <w:br w:type="page"/>
      </w:r>
    </w:p>
    <w:p w:rsidR="009C13A9" w:rsidRPr="00C903F8" w:rsidRDefault="00925755" w:rsidP="00C50DA9">
      <w:pPr>
        <w:pStyle w:val="ES-Titre3"/>
        <w:rPr>
          <w:noProof/>
        </w:rPr>
      </w:pPr>
      <w:bookmarkStart w:id="644" w:name="_Toc491854314"/>
      <w:bookmarkStart w:id="645" w:name="_Toc535500263"/>
      <w:r>
        <w:lastRenderedPageBreak/>
        <w:t>Sezione III</w:t>
      </w:r>
      <w:bookmarkEnd w:id="644"/>
      <w:bookmarkEnd w:id="645"/>
      <w:r>
        <w:t xml:space="preserve"> </w:t>
      </w:r>
    </w:p>
    <w:p w:rsidR="009C13A9" w:rsidRPr="00C903F8" w:rsidRDefault="009C13A9" w:rsidP="00C50DA9">
      <w:pPr>
        <w:pStyle w:val="ES-Titre3a"/>
        <w:rPr>
          <w:rFonts w:cs="Arial"/>
          <w:szCs w:val="20"/>
        </w:rPr>
      </w:pPr>
      <w:bookmarkStart w:id="646" w:name="_Toc491854315"/>
      <w:bookmarkStart w:id="647" w:name="_Toc535500264"/>
      <w:r>
        <w:t>Requisiti concernenti l'installazione e le prove di funzionamento degli impianti radar di navigazione e degli indicatori della velocità di accostata utilizzati nella navigazione interna</w:t>
      </w:r>
      <w:bookmarkEnd w:id="646"/>
      <w:bookmarkEnd w:id="647"/>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ind w:left="0" w:firstLine="0"/>
        <w:jc w:val="center"/>
        <w:rPr>
          <w:rFonts w:cs="Arial"/>
          <w:i/>
          <w:noProof/>
        </w:rPr>
      </w:pPr>
      <w:r>
        <w:rPr>
          <w:b/>
          <w:noProof/>
        </w:rPr>
        <w:t>Articolo 1</w:t>
      </w:r>
      <w:r>
        <w:rPr>
          <w:rFonts w:cs="Arial"/>
          <w:b/>
          <w:noProof/>
        </w:rPr>
        <w:br/>
      </w:r>
      <w:r>
        <w:rPr>
          <w:i/>
          <w:noProof/>
        </w:rPr>
        <w:t>Aspetti generali</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1.</w:t>
      </w:r>
      <w:r>
        <w:tab/>
      </w:r>
      <w:r>
        <w:rPr>
          <w:noProof/>
          <w:color w:val="000000"/>
        </w:rPr>
        <w:t>L'installazione e le prove di funzionamento degli impianti radar di navigazione e degli indicatori della velocità di accostata devono essere effettuate secondo le disposizioni seguenti.</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2.</w:t>
      </w:r>
      <w:r>
        <w:tab/>
      </w:r>
      <w:r>
        <w:rPr>
          <w:noProof/>
          <w:color w:val="000000"/>
        </w:rPr>
        <w:t>È autorizzata l'installazione soltanto di dispositivi omologati a norma della</w:t>
      </w:r>
      <w:r w:rsidR="00A16690">
        <w:rPr>
          <w:noProof/>
          <w:color w:val="000000"/>
        </w:rPr>
        <w:t xml:space="preserve"> </w:t>
      </w:r>
      <w:r>
        <w:rPr>
          <w:noProof/>
          <w:color w:val="000000"/>
        </w:rPr>
        <w:t>sezione I, articolo 6, o della sezione II, articolo 1.05, oppure con omologazione riconosciuta equivalente.</w:t>
      </w:r>
    </w:p>
    <w:p w:rsidR="009C13A9" w:rsidRPr="00C903F8" w:rsidRDefault="009C13A9" w:rsidP="009C13A9">
      <w:pPr>
        <w:spacing w:line="240" w:lineRule="atLeast"/>
        <w:rPr>
          <w:rFonts w:cs="Arial"/>
          <w:noProof/>
          <w:color w:val="000000"/>
        </w:rPr>
      </w:pPr>
    </w:p>
    <w:p w:rsidR="001077F3" w:rsidRPr="001077F3" w:rsidRDefault="001077F3" w:rsidP="001077F3">
      <w:pPr>
        <w:spacing w:line="240" w:lineRule="atLeast"/>
        <w:rPr>
          <w:rFonts w:cs="Arial"/>
          <w:noProof/>
          <w:color w:val="000000"/>
        </w:rPr>
      </w:pPr>
      <w:r>
        <w:rPr>
          <w:noProof/>
          <w:color w:val="000000"/>
        </w:rPr>
        <w:t>3.</w:t>
      </w:r>
      <w:r>
        <w:tab/>
      </w:r>
      <w:r>
        <w:rPr>
          <w:noProof/>
          <w:color w:val="000000"/>
        </w:rPr>
        <w:t>I sensori esterni omologati sono gli unici dispositivi che possono essere collegati agli impianti radar di navigazione. I sensori esterni collegati all'impianto radar di navigazione sono omologati in base alle seguenti norme marittime:</w:t>
      </w:r>
    </w:p>
    <w:p w:rsidR="001077F3" w:rsidRPr="00F21CA2" w:rsidRDefault="001077F3" w:rsidP="001077F3">
      <w:pPr>
        <w:ind w:left="426" w:hanging="426"/>
        <w:rPr>
          <w:rFonts w:cs="Arial"/>
          <w:noProof/>
          <w:color w:val="000000"/>
          <w:highlight w:val="lightGray"/>
        </w:rPr>
      </w:pPr>
    </w:p>
    <w:tbl>
      <w:tblPr>
        <w:tblW w:w="0" w:type="auto"/>
        <w:jc w:val="right"/>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17"/>
        <w:gridCol w:w="2860"/>
        <w:gridCol w:w="2976"/>
      </w:tblGrid>
      <w:tr w:rsidR="001077F3" w:rsidRPr="00A0619C" w:rsidTr="001077F3">
        <w:trPr>
          <w:trHeight w:val="595"/>
          <w:jc w:val="right"/>
        </w:trPr>
        <w:tc>
          <w:tcPr>
            <w:tcW w:w="2917" w:type="dxa"/>
            <w:vMerge w:val="restart"/>
            <w:shd w:val="clear" w:color="auto" w:fill="auto"/>
          </w:tcPr>
          <w:p w:rsidR="001077F3" w:rsidRPr="003D0163" w:rsidRDefault="001077F3" w:rsidP="001077F3">
            <w:pPr>
              <w:spacing w:before="60" w:after="60" w:line="240" w:lineRule="atLeast"/>
              <w:jc w:val="center"/>
              <w:rPr>
                <w:sz w:val="18"/>
                <w:szCs w:val="18"/>
              </w:rPr>
            </w:pPr>
          </w:p>
          <w:p w:rsidR="001077F3" w:rsidRPr="003D0163" w:rsidRDefault="001077F3" w:rsidP="001077F3">
            <w:pPr>
              <w:spacing w:before="60" w:after="60" w:line="240" w:lineRule="atLeast"/>
              <w:jc w:val="center"/>
              <w:rPr>
                <w:b/>
                <w:sz w:val="18"/>
                <w:szCs w:val="18"/>
              </w:rPr>
            </w:pPr>
            <w:r>
              <w:rPr>
                <w:b/>
                <w:sz w:val="18"/>
              </w:rPr>
              <w:t>Sensore</w:t>
            </w:r>
          </w:p>
        </w:tc>
        <w:tc>
          <w:tcPr>
            <w:tcW w:w="5836" w:type="dxa"/>
            <w:gridSpan w:val="2"/>
            <w:shd w:val="clear" w:color="auto" w:fill="auto"/>
          </w:tcPr>
          <w:p w:rsidR="001077F3" w:rsidRPr="003D0163" w:rsidRDefault="001077F3" w:rsidP="001077F3">
            <w:pPr>
              <w:spacing w:before="60" w:after="60" w:line="240" w:lineRule="atLeast"/>
              <w:jc w:val="center"/>
              <w:rPr>
                <w:sz w:val="18"/>
                <w:szCs w:val="18"/>
              </w:rPr>
            </w:pPr>
            <w:r>
              <w:rPr>
                <w:b/>
                <w:sz w:val="18"/>
              </w:rPr>
              <w:t>Requisiti minimi in conformità con</w:t>
            </w:r>
          </w:p>
        </w:tc>
      </w:tr>
      <w:tr w:rsidR="001077F3" w:rsidRPr="00F21CA2" w:rsidTr="001077F3">
        <w:trPr>
          <w:trHeight w:val="516"/>
          <w:jc w:val="right"/>
        </w:trPr>
        <w:tc>
          <w:tcPr>
            <w:tcW w:w="2917" w:type="dxa"/>
            <w:vMerge/>
            <w:shd w:val="clear" w:color="auto" w:fill="auto"/>
          </w:tcPr>
          <w:p w:rsidR="001077F3" w:rsidRPr="003D0163" w:rsidRDefault="001077F3" w:rsidP="001077F3">
            <w:pPr>
              <w:spacing w:before="60" w:after="60" w:line="240" w:lineRule="atLeast"/>
              <w:jc w:val="center"/>
              <w:rPr>
                <w:color w:val="000000"/>
                <w:sz w:val="18"/>
                <w:szCs w:val="18"/>
              </w:rPr>
            </w:pPr>
          </w:p>
        </w:tc>
        <w:tc>
          <w:tcPr>
            <w:tcW w:w="2860" w:type="dxa"/>
            <w:shd w:val="clear" w:color="auto" w:fill="auto"/>
          </w:tcPr>
          <w:p w:rsidR="001077F3" w:rsidRPr="003D0163" w:rsidRDefault="001077F3" w:rsidP="001077F3">
            <w:pPr>
              <w:spacing w:before="60" w:after="60" w:line="240" w:lineRule="atLeast"/>
              <w:jc w:val="center"/>
              <w:rPr>
                <w:b/>
                <w:color w:val="000000"/>
                <w:sz w:val="18"/>
                <w:szCs w:val="18"/>
              </w:rPr>
            </w:pPr>
            <w:r>
              <w:rPr>
                <w:b/>
                <w:sz w:val="18"/>
              </w:rPr>
              <w:t>Norma (IMO)</w:t>
            </w:r>
          </w:p>
        </w:tc>
        <w:tc>
          <w:tcPr>
            <w:tcW w:w="2976" w:type="dxa"/>
            <w:shd w:val="clear" w:color="auto" w:fill="auto"/>
          </w:tcPr>
          <w:p w:rsidR="001077F3" w:rsidRPr="003D0163" w:rsidRDefault="001077F3" w:rsidP="001077F3">
            <w:pPr>
              <w:spacing w:before="60" w:after="60" w:line="240" w:lineRule="atLeast"/>
              <w:jc w:val="center"/>
              <w:rPr>
                <w:b/>
                <w:color w:val="000000"/>
                <w:sz w:val="18"/>
                <w:szCs w:val="18"/>
              </w:rPr>
            </w:pPr>
            <w:r>
              <w:rPr>
                <w:b/>
                <w:sz w:val="18"/>
              </w:rPr>
              <w:t>Norma ISO / IEC</w:t>
            </w:r>
          </w:p>
        </w:tc>
      </w:tr>
      <w:tr w:rsidR="001077F3" w:rsidRPr="00F21CA2" w:rsidTr="001077F3">
        <w:trPr>
          <w:jc w:val="right"/>
        </w:trPr>
        <w:tc>
          <w:tcPr>
            <w:tcW w:w="2917" w:type="dxa"/>
            <w:shd w:val="clear" w:color="auto" w:fill="auto"/>
          </w:tcPr>
          <w:p w:rsidR="001077F3" w:rsidRPr="003D0163" w:rsidRDefault="001077F3" w:rsidP="001077F3">
            <w:pPr>
              <w:spacing w:before="60" w:after="60" w:line="240" w:lineRule="atLeast"/>
              <w:rPr>
                <w:color w:val="000000"/>
                <w:sz w:val="18"/>
                <w:szCs w:val="18"/>
              </w:rPr>
            </w:pPr>
            <w:r>
              <w:rPr>
                <w:sz w:val="18"/>
              </w:rPr>
              <w:t>GPS</w:t>
            </w:r>
          </w:p>
        </w:tc>
        <w:tc>
          <w:tcPr>
            <w:tcW w:w="2860" w:type="dxa"/>
            <w:shd w:val="clear" w:color="auto" w:fill="auto"/>
          </w:tcPr>
          <w:p w:rsidR="001077F3" w:rsidRPr="003D0163" w:rsidRDefault="001077F3" w:rsidP="001077F3">
            <w:pPr>
              <w:spacing w:before="60" w:after="60" w:line="240" w:lineRule="atLeast"/>
              <w:jc w:val="center"/>
              <w:rPr>
                <w:color w:val="000000"/>
                <w:sz w:val="18"/>
                <w:szCs w:val="18"/>
              </w:rPr>
            </w:pPr>
            <w:r>
              <w:rPr>
                <w:sz w:val="18"/>
              </w:rPr>
              <w:t>MSC.112(73)</w:t>
            </w:r>
            <w:r>
              <w:rPr>
                <w:sz w:val="18"/>
                <w:vertAlign w:val="superscript"/>
              </w:rPr>
              <w:footnoteReference w:id="54"/>
            </w:r>
          </w:p>
        </w:tc>
        <w:tc>
          <w:tcPr>
            <w:tcW w:w="2976" w:type="dxa"/>
            <w:shd w:val="clear" w:color="auto" w:fill="auto"/>
          </w:tcPr>
          <w:p w:rsidR="001077F3" w:rsidRPr="003D0163" w:rsidRDefault="001077F3" w:rsidP="001077F3">
            <w:pPr>
              <w:spacing w:before="60" w:after="60" w:line="240" w:lineRule="atLeast"/>
              <w:jc w:val="center"/>
              <w:rPr>
                <w:color w:val="000000"/>
                <w:sz w:val="18"/>
                <w:szCs w:val="18"/>
              </w:rPr>
            </w:pPr>
            <w:r>
              <w:rPr>
                <w:sz w:val="18"/>
              </w:rPr>
              <w:t>IEC 61108-1:2003</w:t>
            </w:r>
          </w:p>
        </w:tc>
      </w:tr>
      <w:tr w:rsidR="001077F3" w:rsidRPr="00F21CA2" w:rsidTr="001077F3">
        <w:trPr>
          <w:jc w:val="right"/>
        </w:trPr>
        <w:tc>
          <w:tcPr>
            <w:tcW w:w="2917" w:type="dxa"/>
            <w:shd w:val="clear" w:color="auto" w:fill="auto"/>
          </w:tcPr>
          <w:p w:rsidR="001077F3" w:rsidRPr="003D0163" w:rsidRDefault="001077F3" w:rsidP="001077F3">
            <w:pPr>
              <w:spacing w:before="60" w:after="60" w:line="240" w:lineRule="atLeast"/>
              <w:rPr>
                <w:color w:val="000000"/>
                <w:sz w:val="18"/>
                <w:szCs w:val="18"/>
              </w:rPr>
            </w:pPr>
            <w:r>
              <w:rPr>
                <w:sz w:val="18"/>
              </w:rPr>
              <w:t>DGPS/DGLONASS</w:t>
            </w:r>
          </w:p>
        </w:tc>
        <w:tc>
          <w:tcPr>
            <w:tcW w:w="2860" w:type="dxa"/>
            <w:shd w:val="clear" w:color="auto" w:fill="auto"/>
          </w:tcPr>
          <w:p w:rsidR="001077F3" w:rsidRPr="003D0163" w:rsidRDefault="001077F3" w:rsidP="001077F3">
            <w:pPr>
              <w:spacing w:before="60" w:after="60" w:line="240" w:lineRule="atLeast"/>
              <w:jc w:val="center"/>
              <w:rPr>
                <w:color w:val="000000"/>
                <w:sz w:val="18"/>
                <w:szCs w:val="18"/>
              </w:rPr>
            </w:pPr>
            <w:r>
              <w:rPr>
                <w:sz w:val="18"/>
              </w:rPr>
              <w:t>MSC.114(73)</w:t>
            </w:r>
            <w:r>
              <w:rPr>
                <w:sz w:val="18"/>
                <w:vertAlign w:val="superscript"/>
              </w:rPr>
              <w:footnoteReference w:id="55"/>
            </w:r>
          </w:p>
        </w:tc>
        <w:tc>
          <w:tcPr>
            <w:tcW w:w="2976" w:type="dxa"/>
            <w:shd w:val="clear" w:color="auto" w:fill="auto"/>
          </w:tcPr>
          <w:p w:rsidR="001077F3" w:rsidRPr="003D0163" w:rsidRDefault="001077F3" w:rsidP="001077F3">
            <w:pPr>
              <w:spacing w:before="60" w:after="60" w:line="240" w:lineRule="atLeast"/>
              <w:jc w:val="center"/>
              <w:rPr>
                <w:color w:val="000000"/>
                <w:sz w:val="18"/>
                <w:szCs w:val="18"/>
              </w:rPr>
            </w:pPr>
            <w:r>
              <w:rPr>
                <w:sz w:val="18"/>
              </w:rPr>
              <w:t>IEC 61108-4:2004</w:t>
            </w:r>
          </w:p>
        </w:tc>
      </w:tr>
      <w:tr w:rsidR="001077F3" w:rsidRPr="00F21CA2" w:rsidTr="001077F3">
        <w:trPr>
          <w:jc w:val="right"/>
        </w:trPr>
        <w:tc>
          <w:tcPr>
            <w:tcW w:w="2917" w:type="dxa"/>
            <w:shd w:val="clear" w:color="auto" w:fill="auto"/>
          </w:tcPr>
          <w:p w:rsidR="001077F3" w:rsidRPr="003D0163" w:rsidRDefault="001077F3" w:rsidP="001077F3">
            <w:pPr>
              <w:spacing w:before="60" w:after="60" w:line="240" w:lineRule="atLeast"/>
              <w:rPr>
                <w:color w:val="000000"/>
                <w:sz w:val="18"/>
                <w:szCs w:val="18"/>
              </w:rPr>
            </w:pPr>
            <w:r>
              <w:rPr>
                <w:sz w:val="18"/>
              </w:rPr>
              <w:t>Galileo</w:t>
            </w:r>
          </w:p>
        </w:tc>
        <w:tc>
          <w:tcPr>
            <w:tcW w:w="2860" w:type="dxa"/>
            <w:shd w:val="clear" w:color="auto" w:fill="auto"/>
          </w:tcPr>
          <w:p w:rsidR="001077F3" w:rsidRPr="003D0163" w:rsidRDefault="001077F3" w:rsidP="001077F3">
            <w:pPr>
              <w:spacing w:before="60" w:after="60" w:line="240" w:lineRule="atLeast"/>
              <w:jc w:val="center"/>
              <w:rPr>
                <w:color w:val="000000"/>
                <w:sz w:val="18"/>
                <w:szCs w:val="18"/>
              </w:rPr>
            </w:pPr>
            <w:r>
              <w:rPr>
                <w:sz w:val="18"/>
              </w:rPr>
              <w:t>MSC.233(82)</w:t>
            </w:r>
            <w:r>
              <w:rPr>
                <w:sz w:val="18"/>
                <w:vertAlign w:val="superscript"/>
              </w:rPr>
              <w:footnoteReference w:id="56"/>
            </w:r>
          </w:p>
        </w:tc>
        <w:tc>
          <w:tcPr>
            <w:tcW w:w="2976" w:type="dxa"/>
            <w:shd w:val="clear" w:color="auto" w:fill="auto"/>
          </w:tcPr>
          <w:p w:rsidR="001077F3" w:rsidRPr="003D0163" w:rsidRDefault="001077F3" w:rsidP="001077F3">
            <w:pPr>
              <w:spacing w:before="60" w:after="60" w:line="240" w:lineRule="atLeast"/>
              <w:jc w:val="center"/>
              <w:rPr>
                <w:color w:val="000000"/>
                <w:sz w:val="18"/>
                <w:szCs w:val="18"/>
              </w:rPr>
            </w:pPr>
            <w:r>
              <w:rPr>
                <w:sz w:val="18"/>
              </w:rPr>
              <w:t>IEC 61108-3:2010</w:t>
            </w:r>
          </w:p>
        </w:tc>
      </w:tr>
      <w:tr w:rsidR="001077F3" w:rsidRPr="00F21CA2" w:rsidTr="001077F3">
        <w:trPr>
          <w:jc w:val="right"/>
        </w:trPr>
        <w:tc>
          <w:tcPr>
            <w:tcW w:w="2917" w:type="dxa"/>
            <w:shd w:val="clear" w:color="auto" w:fill="auto"/>
          </w:tcPr>
          <w:p w:rsidR="001077F3" w:rsidRPr="003D0163" w:rsidRDefault="001077F3" w:rsidP="001077F3">
            <w:pPr>
              <w:spacing w:before="60" w:after="60" w:line="240" w:lineRule="atLeast"/>
              <w:rPr>
                <w:color w:val="000000"/>
                <w:sz w:val="18"/>
                <w:szCs w:val="18"/>
              </w:rPr>
            </w:pPr>
            <w:r>
              <w:rPr>
                <w:sz w:val="18"/>
              </w:rPr>
              <w:t>Rotta/Bussola GPS</w:t>
            </w:r>
          </w:p>
        </w:tc>
        <w:tc>
          <w:tcPr>
            <w:tcW w:w="2860" w:type="dxa"/>
            <w:shd w:val="clear" w:color="auto" w:fill="auto"/>
          </w:tcPr>
          <w:p w:rsidR="001077F3" w:rsidRPr="003D0163" w:rsidRDefault="001077F3" w:rsidP="001077F3">
            <w:pPr>
              <w:spacing w:before="60" w:after="60" w:line="240" w:lineRule="atLeast"/>
              <w:jc w:val="center"/>
              <w:rPr>
                <w:color w:val="000000"/>
                <w:sz w:val="18"/>
                <w:szCs w:val="18"/>
              </w:rPr>
            </w:pPr>
            <w:r>
              <w:rPr>
                <w:sz w:val="18"/>
              </w:rPr>
              <w:t>MSC.116(73)</w:t>
            </w:r>
            <w:r>
              <w:rPr>
                <w:sz w:val="18"/>
                <w:vertAlign w:val="superscript"/>
              </w:rPr>
              <w:footnoteReference w:id="57"/>
            </w:r>
          </w:p>
        </w:tc>
        <w:tc>
          <w:tcPr>
            <w:tcW w:w="2976" w:type="dxa"/>
            <w:shd w:val="clear" w:color="auto" w:fill="auto"/>
          </w:tcPr>
          <w:p w:rsidR="001077F3" w:rsidRPr="003D0163" w:rsidRDefault="001077F3" w:rsidP="001077F3">
            <w:pPr>
              <w:spacing w:before="60" w:after="60" w:line="240" w:lineRule="atLeast"/>
              <w:jc w:val="center"/>
              <w:rPr>
                <w:color w:val="000000"/>
                <w:sz w:val="18"/>
                <w:szCs w:val="18"/>
              </w:rPr>
            </w:pPr>
            <w:r>
              <w:rPr>
                <w:sz w:val="18"/>
              </w:rPr>
              <w:t>ISO 22090-3:2014</w:t>
            </w:r>
            <w:r>
              <w:rPr>
                <w:sz w:val="18"/>
                <w:szCs w:val="18"/>
              </w:rPr>
              <w:br/>
            </w:r>
            <w:r>
              <w:rPr>
                <w:sz w:val="18"/>
              </w:rPr>
              <w:t>Parte 3: principi GNSS</w:t>
            </w:r>
          </w:p>
        </w:tc>
      </w:tr>
    </w:tbl>
    <w:p w:rsidR="001077F3" w:rsidRPr="001077F3" w:rsidRDefault="001077F3" w:rsidP="001077F3">
      <w:pPr>
        <w:spacing w:line="240" w:lineRule="atLeast"/>
        <w:rPr>
          <w:rFonts w:cs="Arial"/>
          <w:color w:val="000000"/>
          <w:highlight w:val="lightGray"/>
        </w:rPr>
      </w:pPr>
    </w:p>
    <w:p w:rsidR="001077F3" w:rsidRPr="001077F3" w:rsidRDefault="001077F3" w:rsidP="001077F3">
      <w:pPr>
        <w:spacing w:line="240" w:lineRule="atLeast"/>
        <w:rPr>
          <w:rFonts w:cs="Arial"/>
          <w:noProof/>
          <w:color w:val="000000"/>
        </w:rPr>
      </w:pPr>
      <w:r>
        <w:rPr>
          <w:noProof/>
          <w:color w:val="000000"/>
        </w:rPr>
        <w:t>4.</w:t>
      </w:r>
      <w:r>
        <w:tab/>
      </w:r>
      <w:r>
        <w:rPr>
          <w:noProof/>
          <w:color w:val="000000"/>
        </w:rPr>
        <w:t>Se un dispositivo AIS interno viene collegato a un impianto radar di navigazione non dotato di una scheda elettronica di navigazione interna per la visualizzazione di simboli AIS, occorre collegare anche una bussola omologata al fine di soddisfare i requisiti di cui all'allegato 5, sezione I, punto 2.</w:t>
      </w:r>
    </w:p>
    <w:p w:rsidR="009C13A9" w:rsidRPr="00C903F8" w:rsidRDefault="009C13A9" w:rsidP="009C13A9">
      <w:pPr>
        <w:spacing w:line="240" w:lineRule="atLeast"/>
        <w:rPr>
          <w:rFonts w:cs="Arial"/>
          <w:noProof/>
          <w:color w:val="000000"/>
        </w:rPr>
      </w:pPr>
    </w:p>
    <w:p w:rsidR="001077F3" w:rsidRDefault="001077F3" w:rsidP="009C13A9">
      <w:pPr>
        <w:spacing w:line="240" w:lineRule="atLeast"/>
        <w:ind w:left="0" w:firstLine="0"/>
        <w:jc w:val="center"/>
        <w:rPr>
          <w:rFonts w:cs="Arial"/>
          <w:b/>
          <w:noProof/>
        </w:rPr>
      </w:pPr>
    </w:p>
    <w:p w:rsidR="009C13A9" w:rsidRPr="00C903F8" w:rsidRDefault="009C13A9" w:rsidP="009C13A9">
      <w:pPr>
        <w:spacing w:line="240" w:lineRule="atLeast"/>
        <w:ind w:left="0" w:firstLine="0"/>
        <w:jc w:val="center"/>
        <w:rPr>
          <w:rFonts w:cs="Arial"/>
          <w:i/>
          <w:noProof/>
        </w:rPr>
      </w:pPr>
      <w:r>
        <w:rPr>
          <w:b/>
          <w:noProof/>
        </w:rPr>
        <w:t>Articolo 2</w:t>
      </w:r>
      <w:r>
        <w:rPr>
          <w:rFonts w:cs="Arial"/>
          <w:b/>
          <w:noProof/>
        </w:rPr>
        <w:br/>
      </w:r>
      <w:r>
        <w:rPr>
          <w:i/>
          <w:noProof/>
        </w:rPr>
        <w:t>Imprese specializzate autorizzate</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1.</w:t>
      </w:r>
      <w:r>
        <w:tab/>
      </w:r>
      <w:r>
        <w:rPr>
          <w:noProof/>
          <w:color w:val="000000"/>
        </w:rPr>
        <w:t xml:space="preserve">L'installazione, la sostituzione, la riparazione o la manutenzione di impianti radar di navigazione e di indicatori della velocità di accostata possono essere effettuate unicamente da imprese specializzate autorizzate dall'autorità competente. </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rPr>
          <w:rFonts w:cs="Arial"/>
          <w:noProof/>
          <w:color w:val="000000"/>
        </w:rPr>
      </w:pPr>
      <w:r>
        <w:rPr>
          <w:noProof/>
          <w:color w:val="000000"/>
        </w:rPr>
        <w:t>2.</w:t>
      </w:r>
      <w:r>
        <w:tab/>
      </w:r>
      <w:r>
        <w:rPr>
          <w:noProof/>
          <w:color w:val="000000"/>
        </w:rPr>
        <w:t>L’autorizzazione può essere ritirata dall’autorità competente.</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p>
    <w:p w:rsidR="001077F3" w:rsidRDefault="001077F3">
      <w:pPr>
        <w:autoSpaceDE/>
        <w:autoSpaceDN/>
        <w:ind w:left="0" w:firstLine="0"/>
        <w:jc w:val="left"/>
        <w:rPr>
          <w:rFonts w:cs="Arial"/>
          <w:b/>
          <w:noProof/>
        </w:rPr>
      </w:pPr>
      <w:r>
        <w:br w:type="page"/>
      </w:r>
    </w:p>
    <w:p w:rsidR="001077F3" w:rsidRDefault="001077F3" w:rsidP="009C13A9">
      <w:pPr>
        <w:spacing w:line="240" w:lineRule="atLeast"/>
        <w:ind w:left="0" w:firstLine="0"/>
        <w:jc w:val="center"/>
        <w:rPr>
          <w:rFonts w:cs="Arial"/>
          <w:b/>
          <w:noProof/>
        </w:rPr>
      </w:pPr>
    </w:p>
    <w:p w:rsidR="009C13A9" w:rsidRPr="00C903F8" w:rsidRDefault="009C13A9" w:rsidP="009C13A9">
      <w:pPr>
        <w:spacing w:line="240" w:lineRule="atLeast"/>
        <w:ind w:left="0" w:firstLine="0"/>
        <w:jc w:val="center"/>
        <w:rPr>
          <w:rFonts w:cs="Arial"/>
          <w:i/>
          <w:noProof/>
        </w:rPr>
      </w:pPr>
      <w:r>
        <w:rPr>
          <w:b/>
          <w:noProof/>
        </w:rPr>
        <w:t>Articolo 3</w:t>
      </w:r>
      <w:r>
        <w:rPr>
          <w:rFonts w:cs="Arial"/>
          <w:b/>
          <w:noProof/>
        </w:rPr>
        <w:br/>
      </w:r>
      <w:r>
        <w:rPr>
          <w:i/>
          <w:noProof/>
        </w:rPr>
        <w:t>Requisiti relativi all’alimentazione elettrica di bordo</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noProof/>
        </w:rPr>
      </w:pPr>
      <w:r>
        <w:t>Tutti i cavi di alimentazione degli impianti radar di navigazione e degli indicatori della velocità di accostata sono dotati di un proprio fusibile e, se possibile, sono a prova di guasto.</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szCs w:val="20"/>
        </w:rPr>
      </w:pPr>
    </w:p>
    <w:p w:rsidR="009C13A9" w:rsidRPr="00C903F8" w:rsidRDefault="009C13A9" w:rsidP="009C13A9">
      <w:pPr>
        <w:spacing w:line="240" w:lineRule="atLeast"/>
        <w:ind w:left="0" w:firstLine="0"/>
        <w:jc w:val="center"/>
        <w:rPr>
          <w:rFonts w:cs="Arial"/>
          <w:i/>
          <w:noProof/>
        </w:rPr>
      </w:pPr>
      <w:r>
        <w:rPr>
          <w:b/>
          <w:noProof/>
        </w:rPr>
        <w:t>Articolo 4</w:t>
      </w:r>
      <w:r>
        <w:rPr>
          <w:rFonts w:cs="Arial"/>
          <w:b/>
          <w:noProof/>
        </w:rPr>
        <w:br/>
      </w:r>
      <w:r>
        <w:rPr>
          <w:i/>
          <w:noProof/>
        </w:rPr>
        <w:t>Installazione dell’antenna radar</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1.</w:t>
      </w:r>
      <w:r>
        <w:tab/>
      </w:r>
      <w:r>
        <w:rPr>
          <w:noProof/>
          <w:color w:val="000000"/>
        </w:rPr>
        <w:t>L’antenna radar è installata il più vicino possibile all’asse longitudinale della nave. Il campo d'emissione dell'antenna è privo di ostacoli suscettibili di provocare falsi echi oppure settori d'ombra indesiderati; se necessario, l'antenna radar è montata a prua. L'installazione e il fissaggio dell'antenna radar nella posizione d'esercizio assicurano la stabilità sufficiente per consentire il funzionamento dell'impianto radar di navigazione con la precisione richiesta.</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2.</w:t>
      </w:r>
      <w:r>
        <w:tab/>
      </w:r>
      <w:r>
        <w:rPr>
          <w:noProof/>
          <w:color w:val="000000"/>
        </w:rPr>
        <w:t>Una volta corretto l’errore angolare dovuto al montaggio e acceso l’impianto, lo scarto tra la linea di fede e l’asse longitudinale della nave non è superiore a 1 grado.</w:t>
      </w:r>
    </w:p>
    <w:p w:rsidR="009C13A9" w:rsidRPr="00C903F8" w:rsidRDefault="009C13A9" w:rsidP="009C13A9">
      <w:pPr>
        <w:spacing w:line="240" w:lineRule="atLeast"/>
        <w:rPr>
          <w:rFonts w:cs="Arial"/>
          <w:noProof/>
          <w:color w:val="000000"/>
        </w:rPr>
      </w:pPr>
    </w:p>
    <w:p w:rsidR="009C13A9" w:rsidRPr="00C903F8" w:rsidRDefault="009C13A9" w:rsidP="001077F3">
      <w:pPr>
        <w:spacing w:line="240" w:lineRule="atLeast"/>
        <w:ind w:left="0" w:firstLine="0"/>
        <w:rPr>
          <w:rFonts w:cs="Arial"/>
          <w:noProof/>
          <w:color w:val="000000"/>
        </w:rPr>
      </w:pPr>
    </w:p>
    <w:p w:rsidR="009C13A9" w:rsidRPr="00C903F8" w:rsidRDefault="009C13A9" w:rsidP="009C13A9">
      <w:pPr>
        <w:spacing w:line="240" w:lineRule="atLeast"/>
        <w:ind w:left="0" w:firstLine="0"/>
        <w:jc w:val="center"/>
        <w:rPr>
          <w:rFonts w:cs="Arial"/>
          <w:i/>
          <w:noProof/>
        </w:rPr>
      </w:pPr>
      <w:r>
        <w:rPr>
          <w:b/>
          <w:noProof/>
        </w:rPr>
        <w:t>Articolo 5</w:t>
      </w:r>
      <w:r>
        <w:rPr>
          <w:rFonts w:cs="Arial"/>
          <w:b/>
          <w:noProof/>
        </w:rPr>
        <w:br/>
      </w:r>
      <w:r>
        <w:rPr>
          <w:i/>
          <w:noProof/>
        </w:rPr>
        <w:t>Installazione dell’unità di visualizzazione e del blocco di comando</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1.</w:t>
      </w:r>
      <w:r>
        <w:tab/>
      </w:r>
      <w:r>
        <w:rPr>
          <w:noProof/>
          <w:color w:val="000000"/>
        </w:rPr>
        <w:t>L'unità di visualizzazione e il blocco di comando sono installati nella timoneria in modo che la valutazione dell'immagine radar e il funzionamento dell'impianto radar di navigazione non presentino difficoltà. La disposizione azimutale dell’immagine radar coincide con la situazione naturale dell’ambiente circostante. Supporti e console adattabili sono costruiti in modo da poter essere fissati in qualsiasi posizione libera da vibrazioni.</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2.</w:t>
      </w:r>
      <w:r>
        <w:tab/>
      </w:r>
      <w:r>
        <w:rPr>
          <w:noProof/>
          <w:color w:val="000000"/>
        </w:rPr>
        <w:t>Durante la navigazione a mezzo radar, la luce artificiale non provoca riflessi in direzione dell’osservatore radar.</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3.</w:t>
      </w:r>
      <w:r>
        <w:tab/>
      </w:r>
      <w:r>
        <w:rPr>
          <w:noProof/>
          <w:color w:val="000000"/>
        </w:rPr>
        <w:t>Se non fa parte dell'unità di visualizzazione il blocco di comando si trova in un alloggiamento situato a non più di 1 m di distanza dall'unità. Non sono ammessi telecomandi senza filo.</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4.</w:t>
      </w:r>
      <w:r>
        <w:tab/>
      </w:r>
      <w:r>
        <w:rPr>
          <w:noProof/>
          <w:color w:val="000000"/>
        </w:rPr>
        <w:t>Gli eventuali indicatori ripetitori soddisfano i requisiti che si applicano agli impianti radar di navigazione.</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ind w:left="0" w:firstLine="0"/>
        <w:jc w:val="center"/>
        <w:rPr>
          <w:rFonts w:cs="Arial"/>
          <w:i/>
          <w:noProof/>
        </w:rPr>
      </w:pPr>
      <w:r>
        <w:rPr>
          <w:b/>
          <w:noProof/>
        </w:rPr>
        <w:t>Articolo 6</w:t>
      </w:r>
      <w:r>
        <w:rPr>
          <w:rFonts w:cs="Arial"/>
          <w:b/>
          <w:noProof/>
        </w:rPr>
        <w:br/>
      </w:r>
      <w:r>
        <w:rPr>
          <w:i/>
          <w:noProof/>
        </w:rPr>
        <w:t>Installazione dell’indicatore della velocità di accostata</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1.</w:t>
      </w:r>
      <w:r>
        <w:tab/>
      </w:r>
      <w:r>
        <w:rPr>
          <w:noProof/>
          <w:color w:val="000000"/>
        </w:rPr>
        <w:t>L’indicatore della velocità di accostata è collocato davanti al timoniere all’interno del suo campo di visuale.</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2.</w:t>
      </w:r>
      <w:r>
        <w:tab/>
      </w:r>
      <w:r>
        <w:rPr>
          <w:noProof/>
          <w:color w:val="000000"/>
        </w:rPr>
        <w:t>Il sistema a sensori è possibilmente installato nella parte centrale della nave, orizzontalmente e in direzione dell'asse longitudinale. Il punto in cui è installato per quanto possibile non è esposto a vibrazioni ed è soggetto solo a modeste fluttuazioni di temperatura. L’indicatore è possibilmente installato direttamente sopra lo schermo radar.</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3.</w:t>
      </w:r>
      <w:r>
        <w:tab/>
      </w:r>
      <w:r>
        <w:rPr>
          <w:noProof/>
          <w:color w:val="000000"/>
        </w:rPr>
        <w:t>Gli eventuali indicatori ripetitori soddisfano i requisiti relativi agli indicatori della velocità di accostata.</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p>
    <w:p w:rsidR="001077F3" w:rsidRDefault="001077F3">
      <w:pPr>
        <w:autoSpaceDE/>
        <w:autoSpaceDN/>
        <w:ind w:left="0" w:firstLine="0"/>
        <w:jc w:val="left"/>
        <w:rPr>
          <w:rFonts w:cs="Arial"/>
          <w:b/>
          <w:noProof/>
        </w:rPr>
      </w:pPr>
      <w:r>
        <w:br w:type="page"/>
      </w:r>
    </w:p>
    <w:p w:rsidR="001077F3" w:rsidRDefault="001077F3" w:rsidP="009C13A9">
      <w:pPr>
        <w:spacing w:line="240" w:lineRule="atLeast"/>
        <w:ind w:left="0" w:firstLine="0"/>
        <w:jc w:val="center"/>
        <w:rPr>
          <w:rFonts w:cs="Arial"/>
          <w:b/>
          <w:noProof/>
        </w:rPr>
      </w:pPr>
    </w:p>
    <w:p w:rsidR="009C13A9" w:rsidRPr="00C903F8" w:rsidRDefault="009C13A9" w:rsidP="009C13A9">
      <w:pPr>
        <w:spacing w:line="240" w:lineRule="atLeast"/>
        <w:ind w:left="0" w:firstLine="0"/>
        <w:jc w:val="center"/>
        <w:rPr>
          <w:rFonts w:cs="Arial"/>
          <w:i/>
          <w:noProof/>
        </w:rPr>
      </w:pPr>
      <w:r>
        <w:rPr>
          <w:b/>
          <w:noProof/>
        </w:rPr>
        <w:t>Articolo 7</w:t>
      </w:r>
      <w:r>
        <w:rPr>
          <w:rFonts w:cs="Arial"/>
          <w:b/>
          <w:noProof/>
        </w:rPr>
        <w:br/>
      </w:r>
      <w:r>
        <w:rPr>
          <w:i/>
          <w:noProof/>
        </w:rPr>
        <w:t>Installazione del sensore di posizione</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noProof/>
        </w:rPr>
      </w:pPr>
      <w:r>
        <w:t>Per il dispositivo ECDIS interno funzionante in modo navigazione, il sensore di posizione (ad esempio l'antenna DGPS) deve essere installato in modo che possa funzionare con la maggior precisione possibile e non subisca gli effetti negativi provocati da sovrastrutture e apparecchiature trasmittenti di bordo.</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spacing w:line="240" w:lineRule="atLeast"/>
        <w:ind w:left="0" w:firstLine="0"/>
        <w:jc w:val="center"/>
        <w:rPr>
          <w:rFonts w:cs="Arial"/>
          <w:i/>
          <w:noProof/>
        </w:rPr>
      </w:pPr>
      <w:r>
        <w:rPr>
          <w:b/>
          <w:noProof/>
        </w:rPr>
        <w:t>Articolo 8</w:t>
      </w:r>
      <w:r>
        <w:rPr>
          <w:rFonts w:cs="Arial"/>
          <w:b/>
          <w:noProof/>
        </w:rPr>
        <w:br/>
      </w:r>
      <w:r>
        <w:rPr>
          <w:i/>
          <w:noProof/>
        </w:rPr>
        <w:t>Installazione e prova di funzionamento</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noProof/>
        </w:rPr>
      </w:pPr>
      <w:r>
        <w:t>L'autorità competente o un'impresa specializzata autorizzata di cui all'articolo 2 eseguono una verifica dell'installazione e una relativa prova di funzionamento anteriormente alla prima messa in funzione dopo l'installazione, in caso di ispezione periodica al fine di estendere la validità del certificato per la navigazione interna e dopo ogni modifica apportata alla nave, suscettibile di perturbare le condizioni di funzionamento degli apparecchi. A tal fine sono soddisfatte le seguenti condizioni:</w:t>
      </w:r>
    </w:p>
    <w:p w:rsidR="009C13A9" w:rsidRPr="00C903F8" w:rsidRDefault="009C13A9" w:rsidP="009C13A9">
      <w:pPr>
        <w:spacing w:before="60" w:line="240" w:lineRule="atLeast"/>
        <w:rPr>
          <w:rFonts w:cs="Arial"/>
          <w:noProof/>
          <w:szCs w:val="22"/>
        </w:rPr>
      </w:pPr>
      <w:r>
        <w:t>a)</w:t>
      </w:r>
      <w:r>
        <w:tab/>
        <w:t>l’alimentazione elettrica è dotata di un proprio dispositivo di sicurezza;</w:t>
      </w:r>
    </w:p>
    <w:p w:rsidR="009C13A9" w:rsidRPr="00C903F8" w:rsidRDefault="009C13A9" w:rsidP="001077F3">
      <w:pPr>
        <w:spacing w:before="60" w:line="240" w:lineRule="atLeast"/>
        <w:rPr>
          <w:rFonts w:cs="Arial"/>
          <w:noProof/>
          <w:szCs w:val="22"/>
        </w:rPr>
      </w:pPr>
      <w:r>
        <w:t>b)</w:t>
      </w:r>
      <w:r>
        <w:tab/>
        <w:t>la tensione di funzionamento rientra nei limiti di tolleranza;</w:t>
      </w:r>
    </w:p>
    <w:p w:rsidR="009C13A9" w:rsidRPr="00C903F8" w:rsidRDefault="009C13A9" w:rsidP="009C13A9">
      <w:pPr>
        <w:spacing w:before="60" w:line="240" w:lineRule="atLeast"/>
        <w:rPr>
          <w:rFonts w:cs="Arial"/>
          <w:noProof/>
          <w:szCs w:val="22"/>
        </w:rPr>
      </w:pPr>
      <w:r>
        <w:t>c)</w:t>
      </w:r>
      <w:r>
        <w:tab/>
        <w:t xml:space="preserve">i cavi e la loro posa soddisfano le disposizioni della presente norma e, se del caso, quelle dell'ADN; </w:t>
      </w:r>
    </w:p>
    <w:p w:rsidR="009C13A9" w:rsidRPr="00C903F8" w:rsidRDefault="009C13A9" w:rsidP="009C13A9">
      <w:pPr>
        <w:spacing w:before="60" w:line="240" w:lineRule="atLeast"/>
        <w:rPr>
          <w:rFonts w:cs="Arial"/>
          <w:noProof/>
          <w:szCs w:val="22"/>
        </w:rPr>
      </w:pPr>
      <w:r>
        <w:t>d)</w:t>
      </w:r>
      <w:r>
        <w:tab/>
        <w:t>il numero di rotazioni dell’antenna è di almeno 24 al minuto;</w:t>
      </w:r>
    </w:p>
    <w:p w:rsidR="009C13A9" w:rsidRPr="00C903F8" w:rsidRDefault="009C13A9" w:rsidP="009C13A9">
      <w:pPr>
        <w:spacing w:before="60" w:line="240" w:lineRule="atLeast"/>
        <w:rPr>
          <w:rFonts w:cs="Arial"/>
          <w:noProof/>
          <w:szCs w:val="22"/>
        </w:rPr>
      </w:pPr>
      <w:r>
        <w:t>e)</w:t>
      </w:r>
      <w:r>
        <w:tab/>
        <w:t>nel campo d’emissione dell’antenna non si trova alcun ostacolo che pregiudichi la navigazione;</w:t>
      </w:r>
    </w:p>
    <w:p w:rsidR="009C13A9" w:rsidRPr="00C903F8" w:rsidRDefault="009C13A9" w:rsidP="009C13A9">
      <w:pPr>
        <w:spacing w:before="60" w:line="240" w:lineRule="atLeast"/>
        <w:rPr>
          <w:rFonts w:cs="Arial"/>
          <w:noProof/>
          <w:szCs w:val="22"/>
        </w:rPr>
      </w:pPr>
      <w:r>
        <w:t>f)</w:t>
      </w:r>
      <w:r>
        <w:tab/>
        <w:t>l’interruttore di sicurezza per l’antenna, se presente, è in buono stato di funzionamento;</w:t>
      </w:r>
    </w:p>
    <w:p w:rsidR="009C13A9" w:rsidRPr="00C903F8" w:rsidRDefault="009C13A9" w:rsidP="009C13A9">
      <w:pPr>
        <w:spacing w:before="60" w:line="240" w:lineRule="atLeast"/>
        <w:rPr>
          <w:rFonts w:cs="Arial"/>
          <w:noProof/>
          <w:szCs w:val="22"/>
        </w:rPr>
      </w:pPr>
      <w:r>
        <w:t>g)</w:t>
      </w:r>
      <w:r>
        <w:tab/>
        <w:t>le unità di visualizzazione, gli indicatori della velocità di accostata e gli organi di comando sono disposti secondo criteri ergonomici e conviviali;</w:t>
      </w:r>
    </w:p>
    <w:p w:rsidR="009C13A9" w:rsidRPr="00C903F8" w:rsidRDefault="009C13A9" w:rsidP="009C13A9">
      <w:pPr>
        <w:spacing w:before="60" w:line="240" w:lineRule="atLeast"/>
        <w:rPr>
          <w:rFonts w:cs="Arial"/>
          <w:noProof/>
          <w:szCs w:val="22"/>
        </w:rPr>
      </w:pPr>
      <w:r>
        <w:t>h)</w:t>
      </w:r>
      <w:r>
        <w:tab/>
        <w:t>la linea di fede dell'impianto radar di navigazione può differire al massimo di 1 grado dall'asse longitudinale della nave;</w:t>
      </w:r>
    </w:p>
    <w:p w:rsidR="009C13A9" w:rsidRPr="00C903F8" w:rsidRDefault="009C13A9" w:rsidP="009C13A9">
      <w:pPr>
        <w:spacing w:before="60" w:line="240" w:lineRule="atLeast"/>
        <w:rPr>
          <w:rFonts w:cs="Arial"/>
          <w:noProof/>
          <w:szCs w:val="22"/>
        </w:rPr>
      </w:pPr>
      <w:r>
        <w:t>i)</w:t>
      </w:r>
      <w:r>
        <w:tab/>
        <w:t>la precisione della rappresentazione azimutale e della portata soddisfa i requisiti (rilevamento in base a obiettivi noti);</w:t>
      </w:r>
    </w:p>
    <w:p w:rsidR="009C13A9" w:rsidRPr="00C903F8" w:rsidRDefault="009C13A9" w:rsidP="009C13A9">
      <w:pPr>
        <w:spacing w:before="60" w:line="240" w:lineRule="atLeast"/>
        <w:rPr>
          <w:rFonts w:cs="Arial"/>
          <w:noProof/>
          <w:szCs w:val="22"/>
        </w:rPr>
      </w:pPr>
      <w:r>
        <w:t>j)</w:t>
      </w:r>
      <w:r>
        <w:tab/>
        <w:t>la linearità alle portate ridotte è corretta (</w:t>
      </w:r>
      <w:r>
        <w:rPr>
          <w:i/>
        </w:rPr>
        <w:t>pushing</w:t>
      </w:r>
      <w:r>
        <w:t xml:space="preserve"> e </w:t>
      </w:r>
      <w:r>
        <w:rPr>
          <w:i/>
        </w:rPr>
        <w:t>pulling</w:t>
      </w:r>
      <w:r>
        <w:t>);</w:t>
      </w:r>
    </w:p>
    <w:p w:rsidR="009C13A9" w:rsidRPr="00C903F8" w:rsidRDefault="009C13A9" w:rsidP="009C13A9">
      <w:pPr>
        <w:spacing w:before="60" w:line="240" w:lineRule="atLeast"/>
        <w:rPr>
          <w:rFonts w:cs="Arial"/>
          <w:noProof/>
          <w:szCs w:val="22"/>
        </w:rPr>
      </w:pPr>
      <w:r>
        <w:t>k)</w:t>
      </w:r>
      <w:r>
        <w:tab/>
        <w:t>la portata minima rappresentabile è pari o inferiore a 15 m;</w:t>
      </w:r>
    </w:p>
    <w:p w:rsidR="009C13A9" w:rsidRPr="00C903F8" w:rsidRDefault="009C13A9" w:rsidP="009C13A9">
      <w:pPr>
        <w:spacing w:before="60" w:line="240" w:lineRule="atLeast"/>
        <w:rPr>
          <w:rFonts w:cs="Arial"/>
          <w:noProof/>
          <w:szCs w:val="22"/>
        </w:rPr>
      </w:pPr>
      <w:r>
        <w:t>l)</w:t>
      </w:r>
      <w:r>
        <w:tab/>
        <w:t>il punto centrale dell’immagine è visibile e il suo diametro non supera 1 mm;</w:t>
      </w:r>
    </w:p>
    <w:p w:rsidR="009C13A9" w:rsidRPr="00C903F8" w:rsidRDefault="009C13A9" w:rsidP="009C13A9">
      <w:pPr>
        <w:spacing w:before="60" w:line="240" w:lineRule="atLeast"/>
        <w:rPr>
          <w:rFonts w:cs="Arial"/>
          <w:noProof/>
          <w:szCs w:val="22"/>
        </w:rPr>
      </w:pPr>
      <w:r>
        <w:t>m)</w:t>
      </w:r>
      <w:r>
        <w:tab/>
        <w:t>falsi echi da riflessione e settori d’ombra indesiderati sulla linea di fede non si manifestano né pregiudicano la sicurezza della navigazione;</w:t>
      </w:r>
    </w:p>
    <w:p w:rsidR="009C13A9" w:rsidRPr="00C903F8" w:rsidRDefault="009C13A9" w:rsidP="009C13A9">
      <w:pPr>
        <w:spacing w:before="60" w:line="240" w:lineRule="atLeast"/>
        <w:rPr>
          <w:rFonts w:cs="Arial"/>
          <w:noProof/>
          <w:szCs w:val="22"/>
        </w:rPr>
      </w:pPr>
      <w:r>
        <w:t>n)</w:t>
      </w:r>
      <w:r>
        <w:tab/>
        <w:t>i soppressori degli echi di disturbo provocati dalla pioggia e dalle onde (Preset STC e FTC) e i relativi comandi operano correttamente;</w:t>
      </w:r>
    </w:p>
    <w:p w:rsidR="009C13A9" w:rsidRPr="00C903F8" w:rsidRDefault="009C13A9" w:rsidP="009C13A9">
      <w:pPr>
        <w:spacing w:before="60" w:line="240" w:lineRule="atLeast"/>
        <w:rPr>
          <w:rFonts w:cs="Arial"/>
          <w:noProof/>
          <w:szCs w:val="22"/>
        </w:rPr>
      </w:pPr>
      <w:r>
        <w:t>o)</w:t>
      </w:r>
      <w:r>
        <w:tab/>
        <w:t>la regolazione dell’amplificazione è in buono stato di funzionamento;</w:t>
      </w:r>
    </w:p>
    <w:p w:rsidR="009C13A9" w:rsidRPr="00C903F8" w:rsidRDefault="009C13A9" w:rsidP="009C13A9">
      <w:pPr>
        <w:spacing w:before="60" w:line="240" w:lineRule="atLeast"/>
        <w:rPr>
          <w:rFonts w:cs="Arial"/>
          <w:noProof/>
          <w:szCs w:val="22"/>
        </w:rPr>
      </w:pPr>
      <w:r>
        <w:t>p)</w:t>
      </w:r>
      <w:r>
        <w:tab/>
        <w:t>la messa a fuoco e la risoluzione dell’immagine sono corrette;</w:t>
      </w:r>
    </w:p>
    <w:p w:rsidR="009C13A9" w:rsidRPr="00C903F8" w:rsidRDefault="009C13A9" w:rsidP="009C13A9">
      <w:pPr>
        <w:spacing w:before="60" w:line="240" w:lineRule="atLeast"/>
        <w:rPr>
          <w:rFonts w:cs="Arial"/>
          <w:noProof/>
          <w:szCs w:val="22"/>
        </w:rPr>
      </w:pPr>
      <w:r>
        <w:t>q)</w:t>
      </w:r>
      <w:r>
        <w:tab/>
        <w:t>la direzione di accostata della nave corrisponde a quella indicata dall'indicatore della velocità di accostata e la posizione zero in navigazione avanti dritta è corretta;</w:t>
      </w:r>
    </w:p>
    <w:p w:rsidR="009C13A9" w:rsidRPr="00C903F8" w:rsidRDefault="009C13A9" w:rsidP="009C13A9">
      <w:pPr>
        <w:spacing w:before="60" w:line="240" w:lineRule="atLeast"/>
        <w:rPr>
          <w:rFonts w:cs="Arial"/>
          <w:noProof/>
          <w:szCs w:val="22"/>
        </w:rPr>
      </w:pPr>
      <w:r>
        <w:t>r)</w:t>
      </w:r>
      <w:r>
        <w:tab/>
        <w:t>l'impianto radar di navigazione non è sensibile a emissioni del radiotrasmettitore di bordo oppure a interferenze causate da altre fonti che si trovano a bordo;</w:t>
      </w:r>
    </w:p>
    <w:p w:rsidR="009C13A9" w:rsidRPr="00C903F8" w:rsidRDefault="009C13A9" w:rsidP="009C13A9">
      <w:pPr>
        <w:spacing w:before="60" w:line="240" w:lineRule="atLeast"/>
        <w:rPr>
          <w:rFonts w:cs="Arial"/>
          <w:noProof/>
          <w:szCs w:val="22"/>
        </w:rPr>
      </w:pPr>
      <w:r>
        <w:t>s)</w:t>
      </w:r>
      <w:r>
        <w:tab/>
        <w:t>l'impianto radar di navigazione o l'indicatore della velocità di accostata non devono interferire con le altre apparecchiature di bordo.</w:t>
      </w:r>
    </w:p>
    <w:p w:rsidR="009C13A9" w:rsidRPr="00C903F8" w:rsidRDefault="009C13A9" w:rsidP="009C13A9">
      <w:pPr>
        <w:spacing w:before="60" w:line="240" w:lineRule="atLeast"/>
        <w:rPr>
          <w:rFonts w:cs="Arial"/>
          <w:noProof/>
          <w:szCs w:val="22"/>
        </w:rPr>
      </w:pPr>
      <w:r>
        <w:t>Inoltre, per il dispositivo ECDIS interno:</w:t>
      </w:r>
    </w:p>
    <w:p w:rsidR="009C13A9" w:rsidRPr="00C903F8" w:rsidRDefault="009C13A9" w:rsidP="009C13A9">
      <w:pPr>
        <w:spacing w:before="60" w:line="240" w:lineRule="atLeast"/>
        <w:rPr>
          <w:rFonts w:cs="Arial"/>
          <w:noProof/>
          <w:szCs w:val="22"/>
        </w:rPr>
      </w:pPr>
      <w:r>
        <w:t>t)</w:t>
      </w:r>
      <w:r>
        <w:tab/>
        <w:t>l’errore di posizionamento statico della carta non è superiore a 2 m;</w:t>
      </w:r>
    </w:p>
    <w:p w:rsidR="009C13A9" w:rsidRPr="00C903F8" w:rsidRDefault="009C13A9" w:rsidP="009C13A9">
      <w:pPr>
        <w:spacing w:before="60" w:line="240" w:lineRule="atLeast"/>
        <w:rPr>
          <w:rFonts w:cs="Arial"/>
          <w:noProof/>
          <w:szCs w:val="22"/>
        </w:rPr>
      </w:pPr>
      <w:r>
        <w:t>u)</w:t>
      </w:r>
      <w:r>
        <w:tab/>
        <w:t>l'errore di angolo di fase statico della carta non è superiore a 1°.</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p>
    <w:p w:rsidR="001077F3" w:rsidRDefault="001077F3">
      <w:pPr>
        <w:autoSpaceDE/>
        <w:autoSpaceDN/>
        <w:ind w:left="0" w:firstLine="0"/>
        <w:jc w:val="left"/>
        <w:rPr>
          <w:rFonts w:cs="Arial"/>
          <w:b/>
          <w:noProof/>
        </w:rPr>
      </w:pPr>
      <w:r>
        <w:br w:type="page"/>
      </w:r>
    </w:p>
    <w:p w:rsidR="001077F3" w:rsidRDefault="001077F3" w:rsidP="009C13A9">
      <w:pPr>
        <w:spacing w:line="240" w:lineRule="atLeast"/>
        <w:ind w:left="0" w:firstLine="0"/>
        <w:jc w:val="center"/>
        <w:rPr>
          <w:rFonts w:cs="Arial"/>
          <w:b/>
          <w:noProof/>
        </w:rPr>
      </w:pPr>
    </w:p>
    <w:p w:rsidR="009C13A9" w:rsidRPr="00C903F8" w:rsidRDefault="009C13A9" w:rsidP="009C13A9">
      <w:pPr>
        <w:spacing w:line="240" w:lineRule="atLeast"/>
        <w:ind w:left="0" w:firstLine="0"/>
        <w:jc w:val="center"/>
        <w:rPr>
          <w:rFonts w:cs="Arial"/>
          <w:i/>
          <w:noProof/>
        </w:rPr>
      </w:pPr>
      <w:r>
        <w:rPr>
          <w:b/>
          <w:noProof/>
        </w:rPr>
        <w:t>Articolo 9</w:t>
      </w:r>
      <w:r>
        <w:rPr>
          <w:rFonts w:cs="Arial"/>
          <w:b/>
          <w:noProof/>
        </w:rPr>
        <w:br/>
      </w:r>
      <w:r>
        <w:rPr>
          <w:i/>
          <w:noProof/>
        </w:rPr>
        <w:t>Certificato di installazione e funzionamento</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noProof/>
        </w:rPr>
      </w:pPr>
      <w:r>
        <w:t>Dopo il superamento della prova in conformità dell'articolo 8, l'autorità competente o l'impresa specializzata autorizzata emettono un certificato basato sul modello di cui all'allegato 5, sezione V. Detto certificato va tenuto costantemente a bordo.</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noProof/>
        </w:rPr>
      </w:pPr>
      <w:r>
        <w:t>Nel caso in cui non fossero soddisfatte le condizioni di prova, è compilato un elenco dei difetti. Qualsiasi certificato esistente è ritirato o inviato all'autorità competente o all'impresa autorizzata.</w:t>
      </w:r>
    </w:p>
    <w:p w:rsidR="009C13A9" w:rsidRPr="00C903F8" w:rsidRDefault="009C13A9" w:rsidP="009C13A9">
      <w:pPr>
        <w:tabs>
          <w:tab w:val="left" w:pos="170"/>
        </w:tabs>
        <w:overflowPunct w:val="0"/>
        <w:adjustRightInd w:val="0"/>
        <w:spacing w:line="240" w:lineRule="exact"/>
        <w:ind w:left="0" w:firstLine="0"/>
        <w:jc w:val="left"/>
        <w:textAlignment w:val="baseline"/>
        <w:rPr>
          <w:rFonts w:cs="Arial"/>
          <w:szCs w:val="20"/>
        </w:rPr>
      </w:pPr>
    </w:p>
    <w:p w:rsidR="009C13A9" w:rsidRPr="00C903F8" w:rsidRDefault="009C13A9" w:rsidP="009C13A9">
      <w:pPr>
        <w:tabs>
          <w:tab w:val="left" w:pos="170"/>
        </w:tabs>
        <w:overflowPunct w:val="0"/>
        <w:adjustRightInd w:val="0"/>
        <w:spacing w:line="240" w:lineRule="exact"/>
        <w:ind w:left="0" w:firstLine="0"/>
        <w:jc w:val="left"/>
        <w:textAlignment w:val="baseline"/>
        <w:rPr>
          <w:rFonts w:cs="Arial"/>
          <w:szCs w:val="20"/>
        </w:rPr>
      </w:pPr>
    </w:p>
    <w:p w:rsidR="009C13A9" w:rsidRPr="00C903F8" w:rsidRDefault="009C13A9" w:rsidP="009C13A9">
      <w:pPr>
        <w:tabs>
          <w:tab w:val="left" w:pos="170"/>
        </w:tabs>
        <w:overflowPunct w:val="0"/>
        <w:adjustRightInd w:val="0"/>
        <w:spacing w:line="240" w:lineRule="exact"/>
        <w:ind w:left="0" w:firstLine="0"/>
        <w:jc w:val="left"/>
        <w:textAlignment w:val="baseline"/>
        <w:rPr>
          <w:rFonts w:cs="Arial"/>
          <w:szCs w:val="20"/>
        </w:rPr>
      </w:pPr>
      <w:r>
        <w:br w:type="page"/>
      </w:r>
    </w:p>
    <w:p w:rsidR="00C50DA9" w:rsidRPr="00C903F8" w:rsidRDefault="00C50DA9" w:rsidP="009C13A9">
      <w:pPr>
        <w:tabs>
          <w:tab w:val="left" w:pos="170"/>
        </w:tabs>
        <w:overflowPunct w:val="0"/>
        <w:adjustRightInd w:val="0"/>
        <w:spacing w:line="240" w:lineRule="exact"/>
        <w:ind w:left="0" w:firstLine="0"/>
        <w:jc w:val="left"/>
        <w:textAlignment w:val="baseline"/>
        <w:rPr>
          <w:rFonts w:cs="Arial"/>
          <w:szCs w:val="20"/>
        </w:rPr>
      </w:pPr>
    </w:p>
    <w:p w:rsidR="009C13A9" w:rsidRPr="00C903F8" w:rsidRDefault="00925755" w:rsidP="00C50DA9">
      <w:pPr>
        <w:pStyle w:val="ES-Titre3"/>
        <w:rPr>
          <w:noProof/>
        </w:rPr>
      </w:pPr>
      <w:bookmarkStart w:id="648" w:name="_Toc491854316"/>
      <w:bookmarkStart w:id="649" w:name="_Toc535500265"/>
      <w:r>
        <w:t>Sezione IV</w:t>
      </w:r>
      <w:bookmarkEnd w:id="648"/>
      <w:bookmarkEnd w:id="649"/>
    </w:p>
    <w:p w:rsidR="009C13A9" w:rsidRPr="00C903F8" w:rsidRDefault="009C13A9" w:rsidP="00AD0A30">
      <w:pPr>
        <w:pStyle w:val="ES-Titre3a"/>
        <w:rPr>
          <w:noProof/>
        </w:rPr>
      </w:pPr>
      <w:bookmarkStart w:id="650" w:name="_Toc491854317"/>
      <w:bookmarkStart w:id="651" w:name="_Toc535500266"/>
      <w:r>
        <w:t>Requisiti minimi, requisiti concernenti l'installazione e le prove di funzionamento per il dispositivo AIS interno utilizzato nella navigazione interna</w:t>
      </w:r>
      <w:bookmarkEnd w:id="650"/>
      <w:bookmarkEnd w:id="651"/>
    </w:p>
    <w:p w:rsidR="009C13A9" w:rsidRPr="00C903F8" w:rsidRDefault="009C13A9" w:rsidP="009C13A9">
      <w:pPr>
        <w:tabs>
          <w:tab w:val="right" w:pos="9072"/>
        </w:tabs>
        <w:overflowPunct w:val="0"/>
        <w:adjustRightInd w:val="0"/>
        <w:spacing w:line="240" w:lineRule="atLeast"/>
        <w:ind w:left="0" w:firstLine="0"/>
        <w:textAlignment w:val="baseline"/>
        <w:rPr>
          <w:rFonts w:cs="Arial"/>
          <w:szCs w:val="20"/>
        </w:rPr>
      </w:pPr>
    </w:p>
    <w:p w:rsidR="009C13A9" w:rsidRPr="00C903F8" w:rsidRDefault="009C13A9" w:rsidP="009C13A9">
      <w:pPr>
        <w:spacing w:line="240" w:lineRule="atLeast"/>
        <w:ind w:left="0" w:firstLine="0"/>
        <w:jc w:val="center"/>
        <w:rPr>
          <w:rFonts w:cs="Arial"/>
          <w:b/>
          <w:bCs/>
          <w:i/>
          <w:iCs/>
          <w:noProof/>
        </w:rPr>
      </w:pPr>
      <w:r>
        <w:rPr>
          <w:b/>
          <w:noProof/>
        </w:rPr>
        <w:t>Articolo 1</w:t>
      </w:r>
    </w:p>
    <w:p w:rsidR="009C13A9" w:rsidRPr="00C903F8" w:rsidRDefault="009C13A9" w:rsidP="009C13A9">
      <w:pPr>
        <w:spacing w:line="240" w:lineRule="atLeast"/>
        <w:ind w:left="0" w:firstLine="0"/>
        <w:jc w:val="center"/>
        <w:rPr>
          <w:rFonts w:cs="Arial"/>
          <w:bCs/>
          <w:i/>
          <w:iCs/>
          <w:noProof/>
        </w:rPr>
      </w:pPr>
      <w:r>
        <w:rPr>
          <w:i/>
          <w:noProof/>
        </w:rPr>
        <w:t>Approvazione del dispositivo AIS interno</w:t>
      </w:r>
    </w:p>
    <w:p w:rsidR="009C13A9" w:rsidRPr="00C903F8" w:rsidRDefault="009C13A9" w:rsidP="009C13A9">
      <w:pPr>
        <w:tabs>
          <w:tab w:val="right" w:pos="9072"/>
        </w:tabs>
        <w:overflowPunct w:val="0"/>
        <w:adjustRightInd w:val="0"/>
        <w:spacing w:line="240" w:lineRule="atLeast"/>
        <w:ind w:left="0" w:firstLine="0"/>
        <w:jc w:val="center"/>
        <w:textAlignment w:val="baseline"/>
        <w:rPr>
          <w:rFonts w:cs="Arial"/>
          <w:bCs/>
          <w:i/>
          <w:iCs/>
          <w:noProof/>
          <w:szCs w:val="20"/>
        </w:rPr>
      </w:pPr>
    </w:p>
    <w:p w:rsidR="001077F3" w:rsidRPr="008D4AAD" w:rsidRDefault="001077F3" w:rsidP="003D0163">
      <w:pPr>
        <w:pStyle w:val="ESgauche"/>
      </w:pPr>
      <w:r>
        <w:t>Il dispositivo AIS interno deve soddisfare i requisiti della norma di prova per AIS interno e tale conformità è certificata mediante l'esame dell'omologazione da parte di un'autorità competente.</w:t>
      </w:r>
    </w:p>
    <w:p w:rsidR="009C13A9" w:rsidRPr="00C903F8" w:rsidRDefault="009C13A9" w:rsidP="003D0163">
      <w:pPr>
        <w:pStyle w:val="ESch"/>
      </w:pPr>
    </w:p>
    <w:p w:rsidR="009C13A9" w:rsidRPr="00C903F8" w:rsidRDefault="009C13A9" w:rsidP="009C13A9">
      <w:pPr>
        <w:spacing w:line="240" w:lineRule="atLeast"/>
        <w:ind w:left="0" w:firstLine="0"/>
        <w:jc w:val="center"/>
        <w:rPr>
          <w:rFonts w:cs="Arial"/>
          <w:b/>
          <w:noProof/>
        </w:rPr>
      </w:pPr>
      <w:r>
        <w:rPr>
          <w:b/>
          <w:noProof/>
        </w:rPr>
        <w:t>Articolo 2</w:t>
      </w:r>
    </w:p>
    <w:p w:rsidR="001077F3" w:rsidRPr="008D4AAD" w:rsidRDefault="001077F3" w:rsidP="001077F3">
      <w:pPr>
        <w:spacing w:line="240" w:lineRule="atLeast"/>
        <w:ind w:left="851"/>
        <w:jc w:val="center"/>
        <w:rPr>
          <w:rFonts w:cs="Arial"/>
          <w:noProof/>
        </w:rPr>
      </w:pPr>
      <w:r>
        <w:rPr>
          <w:i/>
          <w:noProof/>
        </w:rPr>
        <w:t>Installazione e prove di funzionamento del dispositivo AIS interno di bordo</w:t>
      </w:r>
    </w:p>
    <w:p w:rsidR="001077F3" w:rsidRPr="008D4AAD" w:rsidRDefault="001077F3" w:rsidP="003D0163">
      <w:pPr>
        <w:pStyle w:val="ESch"/>
      </w:pPr>
    </w:p>
    <w:p w:rsidR="001077F3" w:rsidRPr="008D4AAD" w:rsidRDefault="001077F3" w:rsidP="001077F3">
      <w:pPr>
        <w:tabs>
          <w:tab w:val="left" w:leader="dot" w:pos="9072"/>
        </w:tabs>
        <w:spacing w:line="240" w:lineRule="atLeast"/>
        <w:rPr>
          <w:rFonts w:cs="Arial"/>
          <w:noProof/>
        </w:rPr>
      </w:pPr>
      <w:r>
        <w:t>Per l'installazione del dispositivo AIS interno di bordo si devono rispettare le seguenti condizioni.</w:t>
      </w:r>
    </w:p>
    <w:p w:rsidR="001077F3" w:rsidRPr="008D4AAD" w:rsidRDefault="001077F3" w:rsidP="001077F3">
      <w:pPr>
        <w:spacing w:line="240" w:lineRule="atLeast"/>
        <w:ind w:left="851"/>
        <w:jc w:val="center"/>
        <w:rPr>
          <w:rFonts w:cs="Arial"/>
          <w:noProof/>
          <w:color w:val="000000"/>
          <w:szCs w:val="20"/>
        </w:rPr>
      </w:pPr>
    </w:p>
    <w:p w:rsidR="001077F3" w:rsidRPr="008D4AAD" w:rsidRDefault="001077F3" w:rsidP="001077F3">
      <w:pPr>
        <w:spacing w:line="240" w:lineRule="atLeast"/>
        <w:rPr>
          <w:rFonts w:cs="Arial"/>
          <w:color w:val="000000"/>
        </w:rPr>
      </w:pPr>
      <w:r>
        <w:rPr>
          <w:color w:val="000000"/>
        </w:rPr>
        <w:t>1.</w:t>
      </w:r>
      <w:r>
        <w:tab/>
      </w:r>
      <w:r>
        <w:rPr>
          <w:color w:val="000000"/>
        </w:rPr>
        <w:t xml:space="preserve">Il dispositivo AIS interno di bordo può essere installato soltanto da imprese specializzate, autorizzate dall'autorità competente. </w:t>
      </w:r>
    </w:p>
    <w:p w:rsidR="001077F3" w:rsidRPr="008D4AAD" w:rsidRDefault="001077F3" w:rsidP="001077F3">
      <w:pPr>
        <w:spacing w:line="240" w:lineRule="atLeast"/>
        <w:rPr>
          <w:rFonts w:cs="Arial"/>
          <w:color w:val="000000"/>
        </w:rPr>
      </w:pPr>
    </w:p>
    <w:p w:rsidR="001077F3" w:rsidRPr="008D4AAD" w:rsidRDefault="001077F3" w:rsidP="001077F3">
      <w:pPr>
        <w:spacing w:line="240" w:lineRule="atLeast"/>
        <w:rPr>
          <w:rFonts w:cs="Arial"/>
          <w:color w:val="000000"/>
        </w:rPr>
      </w:pPr>
      <w:r>
        <w:rPr>
          <w:color w:val="000000"/>
        </w:rPr>
        <w:t>2.</w:t>
      </w:r>
      <w:r>
        <w:tab/>
      </w:r>
      <w:r>
        <w:rPr>
          <w:color w:val="000000"/>
        </w:rPr>
        <w:t>Il dispositivo AIS interno deve essere installato nella timoneria o in un'altra posizione facilmente accessibile.</w:t>
      </w:r>
    </w:p>
    <w:p w:rsidR="009C13A9" w:rsidRPr="00C903F8" w:rsidRDefault="009C13A9" w:rsidP="009C13A9">
      <w:pPr>
        <w:spacing w:line="240" w:lineRule="atLeast"/>
        <w:rPr>
          <w:rFonts w:cs="Arial"/>
          <w:color w:val="000000"/>
        </w:rPr>
      </w:pPr>
    </w:p>
    <w:p w:rsidR="001077F3" w:rsidRDefault="001077F3" w:rsidP="001077F3">
      <w:pPr>
        <w:spacing w:line="240" w:lineRule="atLeast"/>
        <w:rPr>
          <w:rFonts w:cs="Arial"/>
          <w:color w:val="000000"/>
        </w:rPr>
      </w:pPr>
      <w:r>
        <w:rPr>
          <w:color w:val="000000"/>
        </w:rPr>
        <w:t>3.</w:t>
      </w:r>
      <w:r>
        <w:tab/>
      </w:r>
      <w:r>
        <w:rPr>
          <w:color w:val="000000"/>
        </w:rPr>
        <w:t>Il conduttore deve avere accesso alle funzionalità di un MKD (dispositivo integrato di acquisizione e visualizzazione). I segnali di avvertimento e le informazioni sullo stato del dispositivo AIS interno sono posizionati all'interno del campo visivo diretto del timoniere. Tuttavia, altri dispositivi utilizzati per la navigazione possono avere la priorità in termini di visibilità diretta. Tutte le spie degli indicatori luminosi devono rimanere visibili dopo l'installazione.</w:t>
      </w:r>
    </w:p>
    <w:p w:rsidR="001077F3" w:rsidRPr="008D4AAD" w:rsidRDefault="001077F3" w:rsidP="001077F3">
      <w:pPr>
        <w:spacing w:line="240" w:lineRule="atLeast"/>
        <w:rPr>
          <w:rFonts w:cs="Arial"/>
          <w:color w:val="000000"/>
        </w:rPr>
      </w:pPr>
    </w:p>
    <w:p w:rsidR="001077F3" w:rsidRPr="008D4AAD" w:rsidRDefault="001077F3" w:rsidP="001077F3">
      <w:pPr>
        <w:spacing w:line="240" w:lineRule="atLeast"/>
        <w:rPr>
          <w:rFonts w:cs="Arial"/>
          <w:color w:val="000000"/>
        </w:rPr>
      </w:pPr>
      <w:r>
        <w:rPr>
          <w:color w:val="000000"/>
        </w:rPr>
        <w:t>4.</w:t>
      </w:r>
      <w:r>
        <w:tab/>
      </w:r>
      <w:r>
        <w:rPr>
          <w:color w:val="000000"/>
        </w:rPr>
        <w:t>Deve essere possibile stabilire visivamente se l'apparecchio è in funzione. L'apparecchio è costantemente alimentato con energia elettrica tramite un circuito di alimentazione ininterrotto dotato di una propria protezione mediante fusibile e collegato direttamente a tale alimentazione.</w:t>
      </w:r>
    </w:p>
    <w:p w:rsidR="001077F3" w:rsidRPr="008D4AAD" w:rsidRDefault="001077F3" w:rsidP="001077F3">
      <w:pPr>
        <w:spacing w:line="240" w:lineRule="atLeast"/>
        <w:rPr>
          <w:rFonts w:cs="Arial"/>
          <w:color w:val="000000"/>
        </w:rPr>
      </w:pPr>
    </w:p>
    <w:p w:rsidR="001077F3" w:rsidRPr="008D4AAD" w:rsidRDefault="001077F3" w:rsidP="001077F3">
      <w:pPr>
        <w:spacing w:line="240" w:lineRule="atLeast"/>
        <w:rPr>
          <w:rFonts w:cs="Arial"/>
          <w:color w:val="000000"/>
        </w:rPr>
      </w:pPr>
      <w:r>
        <w:rPr>
          <w:color w:val="000000"/>
        </w:rPr>
        <w:t>5.</w:t>
      </w:r>
      <w:r>
        <w:tab/>
      </w:r>
      <w:r>
        <w:rPr>
          <w:color w:val="000000"/>
        </w:rPr>
        <w:t>Le antenne del dispositivo AIS interno sono installate e collegate alle stazioni in maniera tale da garantire che queste ultime funzionino in modo affidabile in tutte le normali condizioni d'uso. È possibile collegare altri apparecchi soltanto se le interfacce dei due apparecchi sono compatibili.</w:t>
      </w:r>
    </w:p>
    <w:p w:rsidR="009C13A9" w:rsidRDefault="009C13A9" w:rsidP="009C13A9">
      <w:pPr>
        <w:spacing w:line="240" w:lineRule="atLeast"/>
        <w:rPr>
          <w:rFonts w:cs="Arial"/>
          <w:color w:val="000000"/>
        </w:rPr>
      </w:pPr>
    </w:p>
    <w:p w:rsidR="004706D2" w:rsidRDefault="004706D2">
      <w:pPr>
        <w:autoSpaceDE/>
        <w:autoSpaceDN/>
        <w:ind w:left="0" w:firstLine="0"/>
        <w:jc w:val="left"/>
        <w:rPr>
          <w:rFonts w:cs="Arial"/>
          <w:color w:val="000000"/>
        </w:rPr>
      </w:pPr>
      <w:r>
        <w:br w:type="page"/>
      </w:r>
    </w:p>
    <w:p w:rsidR="004706D2" w:rsidRPr="00C903F8" w:rsidRDefault="004706D2" w:rsidP="009C13A9">
      <w:pPr>
        <w:spacing w:line="240" w:lineRule="atLeast"/>
        <w:rPr>
          <w:rFonts w:cs="Arial"/>
          <w:color w:val="000000"/>
        </w:rPr>
      </w:pPr>
    </w:p>
    <w:p w:rsidR="009C13A9" w:rsidRPr="00C903F8" w:rsidRDefault="009C13A9" w:rsidP="009C13A9">
      <w:pPr>
        <w:spacing w:line="240" w:lineRule="atLeast"/>
        <w:rPr>
          <w:rFonts w:cs="Arial"/>
          <w:noProof/>
          <w:color w:val="000000"/>
        </w:rPr>
      </w:pPr>
      <w:r>
        <w:rPr>
          <w:color w:val="000000"/>
        </w:rPr>
        <w:t>6.</w:t>
      </w:r>
      <w:r>
        <w:tab/>
      </w:r>
      <w:r>
        <w:rPr>
          <w:noProof/>
          <w:color w:val="000000"/>
        </w:rPr>
        <w:t>Solo i sensori esterni omologati possono essere collegati</w:t>
      </w:r>
      <w:r w:rsidR="00A16690">
        <w:rPr>
          <w:noProof/>
          <w:color w:val="000000"/>
        </w:rPr>
        <w:t xml:space="preserve"> </w:t>
      </w:r>
      <w:r>
        <w:rPr>
          <w:noProof/>
          <w:color w:val="000000"/>
        </w:rPr>
        <w:t>al dispositivo AIS interno. I sensori esterni collegati al dispositivo AIS interno sono omologati in base alle seguenti norme marittime:</w:t>
      </w:r>
    </w:p>
    <w:p w:rsidR="009C13A9" w:rsidRPr="00C903F8" w:rsidRDefault="009C13A9" w:rsidP="009C13A9">
      <w:pPr>
        <w:spacing w:before="60" w:line="240" w:lineRule="atLeast"/>
        <w:rPr>
          <w:rFonts w:cs="Arial"/>
          <w:noProof/>
          <w:szCs w:val="22"/>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09"/>
        <w:gridCol w:w="3119"/>
        <w:gridCol w:w="3225"/>
      </w:tblGrid>
      <w:tr w:rsidR="001077F3" w:rsidRPr="00A0619C" w:rsidTr="003D0163">
        <w:trPr>
          <w:jc w:val="right"/>
        </w:trPr>
        <w:tc>
          <w:tcPr>
            <w:tcW w:w="2409" w:type="dxa"/>
            <w:vMerge w:val="restart"/>
            <w:shd w:val="clear" w:color="auto" w:fill="auto"/>
            <w:vAlign w:val="center"/>
          </w:tcPr>
          <w:p w:rsidR="001077F3" w:rsidRPr="003D0163" w:rsidRDefault="001077F3" w:rsidP="001077F3">
            <w:pPr>
              <w:spacing w:before="40" w:after="40" w:line="240" w:lineRule="atLeast"/>
              <w:jc w:val="center"/>
              <w:rPr>
                <w:b/>
                <w:sz w:val="18"/>
                <w:szCs w:val="18"/>
              </w:rPr>
            </w:pPr>
            <w:r>
              <w:rPr>
                <w:b/>
                <w:sz w:val="18"/>
              </w:rPr>
              <w:t>Sensore</w:t>
            </w:r>
          </w:p>
        </w:tc>
        <w:tc>
          <w:tcPr>
            <w:tcW w:w="6344" w:type="dxa"/>
            <w:gridSpan w:val="2"/>
            <w:shd w:val="clear" w:color="auto" w:fill="auto"/>
          </w:tcPr>
          <w:p w:rsidR="001077F3" w:rsidRPr="003D0163" w:rsidRDefault="001077F3" w:rsidP="001077F3">
            <w:pPr>
              <w:spacing w:before="40" w:after="40" w:line="240" w:lineRule="atLeast"/>
              <w:jc w:val="center"/>
              <w:rPr>
                <w:sz w:val="18"/>
                <w:szCs w:val="18"/>
              </w:rPr>
            </w:pPr>
            <w:r>
              <w:rPr>
                <w:rFonts w:eastAsiaTheme="minorHAnsi" w:cstheme="minorBidi"/>
                <w:b/>
                <w:sz w:val="18"/>
              </w:rPr>
              <w:t>Requisiti minimi in conformità con</w:t>
            </w:r>
          </w:p>
        </w:tc>
      </w:tr>
      <w:tr w:rsidR="001077F3" w:rsidRPr="008D4AAD" w:rsidTr="003D0163">
        <w:trPr>
          <w:jc w:val="right"/>
        </w:trPr>
        <w:tc>
          <w:tcPr>
            <w:tcW w:w="2409" w:type="dxa"/>
            <w:vMerge/>
            <w:shd w:val="clear" w:color="auto" w:fill="auto"/>
          </w:tcPr>
          <w:p w:rsidR="001077F3" w:rsidRPr="003D0163" w:rsidRDefault="001077F3" w:rsidP="001077F3">
            <w:pPr>
              <w:spacing w:before="40" w:after="40" w:line="240" w:lineRule="atLeast"/>
              <w:jc w:val="center"/>
              <w:rPr>
                <w:color w:val="000000"/>
                <w:sz w:val="18"/>
                <w:szCs w:val="18"/>
              </w:rPr>
            </w:pPr>
          </w:p>
        </w:tc>
        <w:tc>
          <w:tcPr>
            <w:tcW w:w="3119" w:type="dxa"/>
            <w:shd w:val="clear" w:color="auto" w:fill="auto"/>
          </w:tcPr>
          <w:p w:rsidR="001077F3" w:rsidRPr="003D0163" w:rsidRDefault="001077F3" w:rsidP="001077F3">
            <w:pPr>
              <w:spacing w:before="40" w:after="40" w:line="240" w:lineRule="atLeast"/>
              <w:jc w:val="center"/>
              <w:rPr>
                <w:color w:val="000000"/>
                <w:sz w:val="18"/>
                <w:szCs w:val="18"/>
              </w:rPr>
            </w:pPr>
            <w:r>
              <w:rPr>
                <w:b/>
                <w:sz w:val="18"/>
              </w:rPr>
              <w:t>Norma (IMO)</w:t>
            </w:r>
          </w:p>
        </w:tc>
        <w:tc>
          <w:tcPr>
            <w:tcW w:w="3225" w:type="dxa"/>
            <w:shd w:val="clear" w:color="auto" w:fill="auto"/>
            <w:vAlign w:val="center"/>
          </w:tcPr>
          <w:p w:rsidR="001077F3" w:rsidRPr="008D4AAD" w:rsidRDefault="001077F3" w:rsidP="001077F3">
            <w:pPr>
              <w:spacing w:before="40" w:after="40" w:line="240" w:lineRule="atLeast"/>
              <w:jc w:val="center"/>
              <w:rPr>
                <w:b/>
                <w:color w:val="000000"/>
                <w:sz w:val="18"/>
                <w:szCs w:val="18"/>
              </w:rPr>
            </w:pPr>
            <w:r>
              <w:rPr>
                <w:b/>
                <w:sz w:val="18"/>
              </w:rPr>
              <w:t>Norma ISO/IEC</w:t>
            </w:r>
          </w:p>
        </w:tc>
      </w:tr>
      <w:tr w:rsidR="001077F3" w:rsidRPr="008D4AAD" w:rsidTr="003D0163">
        <w:trPr>
          <w:jc w:val="right"/>
        </w:trPr>
        <w:tc>
          <w:tcPr>
            <w:tcW w:w="2409" w:type="dxa"/>
            <w:shd w:val="clear" w:color="auto" w:fill="auto"/>
          </w:tcPr>
          <w:p w:rsidR="001077F3" w:rsidRPr="003D0163" w:rsidRDefault="001077F3" w:rsidP="001077F3">
            <w:pPr>
              <w:spacing w:before="40" w:after="40" w:line="240" w:lineRule="atLeast"/>
              <w:rPr>
                <w:color w:val="000000"/>
                <w:sz w:val="18"/>
                <w:szCs w:val="18"/>
              </w:rPr>
            </w:pPr>
            <w:r>
              <w:rPr>
                <w:sz w:val="18"/>
              </w:rPr>
              <w:t>GPS</w:t>
            </w:r>
          </w:p>
        </w:tc>
        <w:tc>
          <w:tcPr>
            <w:tcW w:w="3119" w:type="dxa"/>
            <w:shd w:val="clear" w:color="auto" w:fill="auto"/>
          </w:tcPr>
          <w:p w:rsidR="001077F3" w:rsidRPr="003D0163" w:rsidRDefault="001077F3" w:rsidP="003D0163">
            <w:pPr>
              <w:spacing w:before="40" w:after="40" w:line="240" w:lineRule="atLeast"/>
              <w:jc w:val="center"/>
              <w:rPr>
                <w:sz w:val="18"/>
                <w:szCs w:val="18"/>
              </w:rPr>
            </w:pPr>
            <w:r>
              <w:rPr>
                <w:sz w:val="18"/>
              </w:rPr>
              <w:t>MSC.112(73)</w:t>
            </w:r>
            <w:r>
              <w:rPr>
                <w:sz w:val="18"/>
                <w:vertAlign w:val="superscript"/>
              </w:rPr>
              <w:footnoteReference w:id="58"/>
            </w:r>
          </w:p>
        </w:tc>
        <w:tc>
          <w:tcPr>
            <w:tcW w:w="3225" w:type="dxa"/>
            <w:shd w:val="clear" w:color="auto" w:fill="auto"/>
          </w:tcPr>
          <w:p w:rsidR="001077F3" w:rsidRPr="003D0163" w:rsidRDefault="001077F3" w:rsidP="003D0163">
            <w:pPr>
              <w:spacing w:before="40" w:after="40" w:line="240" w:lineRule="atLeast"/>
              <w:jc w:val="center"/>
              <w:rPr>
                <w:sz w:val="18"/>
                <w:szCs w:val="18"/>
              </w:rPr>
            </w:pPr>
            <w:r>
              <w:rPr>
                <w:sz w:val="18"/>
              </w:rPr>
              <w:t>IEC 61108-1:2003</w:t>
            </w:r>
          </w:p>
        </w:tc>
      </w:tr>
      <w:tr w:rsidR="001077F3" w:rsidRPr="008D4AAD" w:rsidTr="003D0163">
        <w:trPr>
          <w:jc w:val="right"/>
        </w:trPr>
        <w:tc>
          <w:tcPr>
            <w:tcW w:w="2409" w:type="dxa"/>
            <w:shd w:val="clear" w:color="auto" w:fill="auto"/>
          </w:tcPr>
          <w:p w:rsidR="001077F3" w:rsidRPr="003D0163" w:rsidRDefault="001077F3" w:rsidP="001077F3">
            <w:pPr>
              <w:spacing w:before="40" w:after="40" w:line="240" w:lineRule="atLeast"/>
              <w:rPr>
                <w:color w:val="000000"/>
                <w:sz w:val="18"/>
                <w:szCs w:val="18"/>
              </w:rPr>
            </w:pPr>
            <w:r>
              <w:rPr>
                <w:sz w:val="18"/>
              </w:rPr>
              <w:t>DGPS/DGLONASS</w:t>
            </w:r>
          </w:p>
        </w:tc>
        <w:tc>
          <w:tcPr>
            <w:tcW w:w="3119" w:type="dxa"/>
            <w:shd w:val="clear" w:color="auto" w:fill="auto"/>
          </w:tcPr>
          <w:p w:rsidR="001077F3" w:rsidRPr="003D0163" w:rsidRDefault="001077F3" w:rsidP="003D0163">
            <w:pPr>
              <w:spacing w:before="40" w:after="40" w:line="240" w:lineRule="atLeast"/>
              <w:jc w:val="center"/>
              <w:rPr>
                <w:sz w:val="18"/>
                <w:szCs w:val="18"/>
              </w:rPr>
            </w:pPr>
            <w:r>
              <w:rPr>
                <w:sz w:val="18"/>
              </w:rPr>
              <w:t>MSC.114(73)</w:t>
            </w:r>
            <w:r>
              <w:rPr>
                <w:sz w:val="18"/>
                <w:vertAlign w:val="superscript"/>
              </w:rPr>
              <w:footnoteReference w:id="59"/>
            </w:r>
          </w:p>
        </w:tc>
        <w:tc>
          <w:tcPr>
            <w:tcW w:w="3225" w:type="dxa"/>
            <w:shd w:val="clear" w:color="auto" w:fill="auto"/>
          </w:tcPr>
          <w:p w:rsidR="001077F3" w:rsidRPr="003D0163" w:rsidRDefault="001077F3" w:rsidP="003D0163">
            <w:pPr>
              <w:spacing w:before="40" w:after="40" w:line="240" w:lineRule="atLeast"/>
              <w:jc w:val="center"/>
              <w:rPr>
                <w:sz w:val="18"/>
                <w:szCs w:val="18"/>
              </w:rPr>
            </w:pPr>
            <w:r>
              <w:rPr>
                <w:sz w:val="18"/>
              </w:rPr>
              <w:t>IEC 61108-4:2004</w:t>
            </w:r>
          </w:p>
        </w:tc>
      </w:tr>
      <w:tr w:rsidR="001077F3" w:rsidRPr="008D4AAD" w:rsidTr="003D0163">
        <w:trPr>
          <w:jc w:val="right"/>
        </w:trPr>
        <w:tc>
          <w:tcPr>
            <w:tcW w:w="2409" w:type="dxa"/>
            <w:shd w:val="clear" w:color="auto" w:fill="auto"/>
          </w:tcPr>
          <w:p w:rsidR="001077F3" w:rsidRPr="008D4AAD" w:rsidRDefault="001077F3" w:rsidP="001077F3">
            <w:pPr>
              <w:spacing w:before="40" w:after="40" w:line="240" w:lineRule="atLeast"/>
              <w:rPr>
                <w:color w:val="000000"/>
                <w:sz w:val="18"/>
                <w:szCs w:val="18"/>
              </w:rPr>
            </w:pPr>
            <w:r>
              <w:rPr>
                <w:sz w:val="18"/>
              </w:rPr>
              <w:t>Galileo</w:t>
            </w:r>
          </w:p>
        </w:tc>
        <w:tc>
          <w:tcPr>
            <w:tcW w:w="3119" w:type="dxa"/>
            <w:shd w:val="clear" w:color="auto" w:fill="auto"/>
          </w:tcPr>
          <w:p w:rsidR="001077F3" w:rsidRPr="003D0163" w:rsidRDefault="001077F3" w:rsidP="003D0163">
            <w:pPr>
              <w:spacing w:before="40" w:after="40" w:line="240" w:lineRule="atLeast"/>
              <w:jc w:val="center"/>
              <w:rPr>
                <w:sz w:val="18"/>
                <w:szCs w:val="18"/>
              </w:rPr>
            </w:pPr>
            <w:r>
              <w:rPr>
                <w:sz w:val="18"/>
              </w:rPr>
              <w:t>MSC.233(82)</w:t>
            </w:r>
            <w:r>
              <w:rPr>
                <w:sz w:val="18"/>
                <w:vertAlign w:val="superscript"/>
              </w:rPr>
              <w:footnoteReference w:id="60"/>
            </w:r>
          </w:p>
        </w:tc>
        <w:tc>
          <w:tcPr>
            <w:tcW w:w="3225" w:type="dxa"/>
            <w:shd w:val="clear" w:color="auto" w:fill="auto"/>
          </w:tcPr>
          <w:p w:rsidR="001077F3" w:rsidRPr="003D0163" w:rsidRDefault="001077F3" w:rsidP="003D0163">
            <w:pPr>
              <w:spacing w:before="40" w:after="40" w:line="240" w:lineRule="atLeast"/>
              <w:jc w:val="center"/>
              <w:rPr>
                <w:sz w:val="18"/>
                <w:szCs w:val="18"/>
              </w:rPr>
            </w:pPr>
            <w:r>
              <w:rPr>
                <w:sz w:val="18"/>
              </w:rPr>
              <w:t>IEC 61108-3:2010</w:t>
            </w:r>
          </w:p>
        </w:tc>
      </w:tr>
      <w:tr w:rsidR="001077F3" w:rsidRPr="008D4AAD" w:rsidTr="003D0163">
        <w:trPr>
          <w:jc w:val="right"/>
        </w:trPr>
        <w:tc>
          <w:tcPr>
            <w:tcW w:w="2409" w:type="dxa"/>
            <w:shd w:val="clear" w:color="auto" w:fill="auto"/>
          </w:tcPr>
          <w:p w:rsidR="001077F3" w:rsidRPr="008D4AAD" w:rsidRDefault="001077F3" w:rsidP="001077F3">
            <w:pPr>
              <w:spacing w:before="40" w:after="40" w:line="240" w:lineRule="atLeast"/>
              <w:rPr>
                <w:color w:val="000000"/>
                <w:sz w:val="18"/>
                <w:szCs w:val="18"/>
              </w:rPr>
            </w:pPr>
            <w:r>
              <w:rPr>
                <w:sz w:val="18"/>
              </w:rPr>
              <w:t>Rotta/Bussola GPS</w:t>
            </w:r>
          </w:p>
        </w:tc>
        <w:tc>
          <w:tcPr>
            <w:tcW w:w="3119" w:type="dxa"/>
            <w:shd w:val="clear" w:color="auto" w:fill="auto"/>
          </w:tcPr>
          <w:p w:rsidR="001077F3" w:rsidRPr="003D0163" w:rsidRDefault="001077F3" w:rsidP="003D0163">
            <w:pPr>
              <w:spacing w:before="40" w:after="40" w:line="240" w:lineRule="atLeast"/>
              <w:jc w:val="center"/>
              <w:rPr>
                <w:sz w:val="18"/>
                <w:szCs w:val="18"/>
              </w:rPr>
            </w:pPr>
            <w:r>
              <w:rPr>
                <w:sz w:val="18"/>
              </w:rPr>
              <w:t>MSC.116(73)</w:t>
            </w:r>
            <w:r>
              <w:rPr>
                <w:sz w:val="18"/>
                <w:vertAlign w:val="superscript"/>
              </w:rPr>
              <w:footnoteReference w:id="61"/>
            </w:r>
          </w:p>
        </w:tc>
        <w:tc>
          <w:tcPr>
            <w:tcW w:w="3225" w:type="dxa"/>
            <w:shd w:val="clear" w:color="auto" w:fill="auto"/>
          </w:tcPr>
          <w:p w:rsidR="001077F3" w:rsidRPr="003D0163" w:rsidRDefault="001077F3" w:rsidP="003D0163">
            <w:pPr>
              <w:spacing w:before="40" w:after="40" w:line="240" w:lineRule="atLeast"/>
              <w:ind w:left="34" w:hanging="34"/>
              <w:jc w:val="center"/>
              <w:rPr>
                <w:sz w:val="18"/>
                <w:szCs w:val="18"/>
              </w:rPr>
            </w:pPr>
            <w:r>
              <w:rPr>
                <w:sz w:val="18"/>
              </w:rPr>
              <w:t>ISO 22090-3:2014</w:t>
            </w:r>
            <w:r>
              <w:rPr>
                <w:sz w:val="18"/>
                <w:szCs w:val="18"/>
              </w:rPr>
              <w:br/>
            </w:r>
            <w:r>
              <w:rPr>
                <w:sz w:val="18"/>
              </w:rPr>
              <w:t>Parte 3: principi GNSS</w:t>
            </w:r>
          </w:p>
        </w:tc>
      </w:tr>
    </w:tbl>
    <w:p w:rsidR="009C13A9" w:rsidRPr="00C903F8" w:rsidRDefault="009C13A9" w:rsidP="009C13A9">
      <w:pPr>
        <w:spacing w:line="240" w:lineRule="atLeast"/>
        <w:rPr>
          <w:rFonts w:cs="Arial"/>
          <w:color w:val="000000"/>
        </w:rPr>
      </w:pPr>
    </w:p>
    <w:p w:rsidR="00F04CAF" w:rsidRPr="008D4AAD" w:rsidRDefault="00F04CAF" w:rsidP="00F04CAF">
      <w:pPr>
        <w:spacing w:line="240" w:lineRule="atLeast"/>
        <w:rPr>
          <w:rFonts w:cs="Arial"/>
          <w:color w:val="000000"/>
        </w:rPr>
      </w:pPr>
      <w:r>
        <w:rPr>
          <w:color w:val="000000"/>
        </w:rPr>
        <w:t>7.</w:t>
      </w:r>
      <w:r>
        <w:tab/>
      </w:r>
      <w:r>
        <w:rPr>
          <w:color w:val="000000"/>
        </w:rPr>
        <w:t>Prima della messa in servizio in seguito all'installazione, in caso di rinnovo o estensione del certificato per la navigazione interna e nel caso di qualsiasi conversione della nave suscettibile di perturbare le condizioni di funzionamento di tali apparecchi, un'autorità competente o un'impresa specializzata autorizzata devono effettuare una verifica dell'installazione e una prova di funzionamento.</w:t>
      </w:r>
    </w:p>
    <w:p w:rsidR="00F04CAF" w:rsidRPr="008D4AAD" w:rsidRDefault="00F04CAF" w:rsidP="00F04CAF">
      <w:pPr>
        <w:spacing w:line="240" w:lineRule="atLeast"/>
        <w:rPr>
          <w:rFonts w:cs="Arial"/>
          <w:color w:val="000000"/>
        </w:rPr>
      </w:pPr>
    </w:p>
    <w:p w:rsidR="00F04CAF" w:rsidRPr="008D4AAD" w:rsidRDefault="00F04CAF" w:rsidP="00F04CAF">
      <w:pPr>
        <w:spacing w:line="240" w:lineRule="atLeast"/>
        <w:rPr>
          <w:rFonts w:cs="Arial"/>
          <w:color w:val="000000"/>
        </w:rPr>
      </w:pPr>
      <w:r>
        <w:rPr>
          <w:color w:val="000000"/>
        </w:rPr>
        <w:t>8.</w:t>
      </w:r>
      <w:r>
        <w:tab/>
      </w:r>
      <w:r>
        <w:rPr>
          <w:color w:val="000000"/>
        </w:rPr>
        <w:t>L'impresa specializzata autorizzata che ha effettuato l'installazione e la prova di funzionamento rilascia un certificato conformemente all'allegato 5, sezione VI, concernente le caratteristiche specifiche e il corretto funzionamento del dispositivo AIS interno.</w:t>
      </w:r>
    </w:p>
    <w:p w:rsidR="00F04CAF" w:rsidRPr="008D4AAD" w:rsidRDefault="00F04CAF" w:rsidP="00F04CAF">
      <w:pPr>
        <w:spacing w:line="240" w:lineRule="atLeast"/>
        <w:rPr>
          <w:rFonts w:cs="Arial"/>
          <w:color w:val="000000"/>
        </w:rPr>
      </w:pPr>
    </w:p>
    <w:p w:rsidR="00F04CAF" w:rsidRPr="008D4AAD" w:rsidRDefault="00F04CAF" w:rsidP="00F04CAF">
      <w:pPr>
        <w:spacing w:line="240" w:lineRule="atLeast"/>
        <w:rPr>
          <w:rFonts w:cs="Arial"/>
          <w:color w:val="000000"/>
        </w:rPr>
      </w:pPr>
      <w:r>
        <w:rPr>
          <w:color w:val="000000"/>
        </w:rPr>
        <w:t>9.</w:t>
      </w:r>
      <w:r>
        <w:tab/>
      </w:r>
      <w:r>
        <w:rPr>
          <w:color w:val="000000"/>
        </w:rPr>
        <w:t>Il certificato deve essere costantemente conservato a bordo.</w:t>
      </w:r>
    </w:p>
    <w:p w:rsidR="00F04CAF" w:rsidRPr="008D4AAD" w:rsidRDefault="00F04CAF" w:rsidP="00F04CAF">
      <w:pPr>
        <w:spacing w:line="240" w:lineRule="atLeast"/>
        <w:rPr>
          <w:rFonts w:cs="Arial"/>
          <w:color w:val="000000"/>
        </w:rPr>
      </w:pPr>
    </w:p>
    <w:p w:rsidR="00F04CAF" w:rsidRDefault="00F04CAF" w:rsidP="00F04CAF">
      <w:pPr>
        <w:spacing w:line="240" w:lineRule="atLeast"/>
        <w:rPr>
          <w:rFonts w:cs="Arial"/>
          <w:color w:val="000000"/>
        </w:rPr>
      </w:pPr>
      <w:r>
        <w:rPr>
          <w:color w:val="000000"/>
        </w:rPr>
        <w:t>10.</w:t>
      </w:r>
      <w:r>
        <w:tab/>
      </w:r>
      <w:r>
        <w:rPr>
          <w:color w:val="000000"/>
        </w:rPr>
        <w:t>Le istruzioni per l'uso vanno consegnate affinché siano conservate a bordo. Ciò va menzionato nel certificato di installazione a bordo.</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szCs w:val="22"/>
        </w:rPr>
      </w:pPr>
    </w:p>
    <w:p w:rsidR="009C13A9" w:rsidRPr="00C903F8" w:rsidRDefault="009C13A9" w:rsidP="009C13A9">
      <w:pPr>
        <w:spacing w:line="240" w:lineRule="atLeast"/>
        <w:rPr>
          <w:rFonts w:cs="Arial"/>
          <w:color w:val="000000"/>
        </w:rPr>
      </w:pPr>
    </w:p>
    <w:p w:rsidR="009C13A9" w:rsidRPr="00C903F8" w:rsidRDefault="009C13A9" w:rsidP="009C13A9">
      <w:pPr>
        <w:tabs>
          <w:tab w:val="right" w:pos="9072"/>
        </w:tabs>
        <w:spacing w:line="240" w:lineRule="atLeast"/>
        <w:rPr>
          <w:rFonts w:cs="Arial"/>
          <w:szCs w:val="20"/>
        </w:rPr>
      </w:pPr>
      <w:r>
        <w:br w:type="page"/>
      </w:r>
    </w:p>
    <w:p w:rsidR="009C13A9" w:rsidRPr="00C903F8" w:rsidRDefault="00925755" w:rsidP="00C92BD2">
      <w:pPr>
        <w:pStyle w:val="ES-Titre3"/>
        <w:rPr>
          <w:noProof/>
        </w:rPr>
      </w:pPr>
      <w:bookmarkStart w:id="652" w:name="_Toc491854318"/>
      <w:bookmarkStart w:id="653" w:name="_Toc535500267"/>
      <w:r>
        <w:lastRenderedPageBreak/>
        <w:t>Sezione V</w:t>
      </w:r>
      <w:bookmarkEnd w:id="652"/>
      <w:bookmarkEnd w:id="653"/>
    </w:p>
    <w:p w:rsidR="009C13A9" w:rsidRPr="00C903F8" w:rsidRDefault="009C13A9" w:rsidP="00C92BD2">
      <w:pPr>
        <w:pStyle w:val="ES-Titre3a"/>
        <w:rPr>
          <w:rFonts w:cs="Arial"/>
          <w:szCs w:val="20"/>
        </w:rPr>
      </w:pPr>
      <w:bookmarkStart w:id="654" w:name="_Toc491854319"/>
      <w:bookmarkStart w:id="655" w:name="_Toc535500268"/>
      <w:r>
        <w:t>Requisiti minimi, requisiti concernenti l'installazione e le prove di funzionamento per i tachigrafi utilizzati nella navigazione interna</w:t>
      </w:r>
      <w:bookmarkEnd w:id="654"/>
      <w:bookmarkEnd w:id="655"/>
    </w:p>
    <w:p w:rsidR="009C13A9" w:rsidRPr="00C903F8" w:rsidRDefault="009C13A9" w:rsidP="009C13A9">
      <w:pPr>
        <w:tabs>
          <w:tab w:val="left" w:pos="284"/>
          <w:tab w:val="left" w:leader="dot" w:pos="9072"/>
        </w:tabs>
        <w:overflowPunct w:val="0"/>
        <w:adjustRightInd w:val="0"/>
        <w:ind w:left="284" w:hanging="284"/>
        <w:textAlignment w:val="baseline"/>
        <w:rPr>
          <w:rFonts w:cs="Arial"/>
          <w:szCs w:val="20"/>
        </w:rPr>
      </w:pPr>
    </w:p>
    <w:p w:rsidR="00F04CAF" w:rsidRPr="003D0163" w:rsidRDefault="00F04CAF" w:rsidP="00F04CAF">
      <w:pPr>
        <w:tabs>
          <w:tab w:val="left" w:leader="dot" w:pos="9072"/>
        </w:tabs>
        <w:spacing w:line="240" w:lineRule="atLeast"/>
        <w:jc w:val="center"/>
        <w:rPr>
          <w:rFonts w:cs="Arial"/>
          <w:b/>
          <w:noProof/>
        </w:rPr>
      </w:pPr>
      <w:r>
        <w:rPr>
          <w:b/>
          <w:noProof/>
        </w:rPr>
        <w:t>Articolo 1</w:t>
      </w:r>
    </w:p>
    <w:p w:rsidR="00F04CAF" w:rsidRPr="003D0163" w:rsidRDefault="00F04CAF" w:rsidP="00F04CAF">
      <w:pPr>
        <w:tabs>
          <w:tab w:val="left" w:leader="dot" w:pos="9072"/>
        </w:tabs>
        <w:spacing w:line="240" w:lineRule="atLeast"/>
        <w:jc w:val="center"/>
        <w:rPr>
          <w:rFonts w:cs="Arial"/>
          <w:i/>
          <w:noProof/>
        </w:rPr>
      </w:pPr>
      <w:r>
        <w:rPr>
          <w:i/>
          <w:noProof/>
        </w:rPr>
        <w:t>Approvazione dei tachigrafi</w:t>
      </w:r>
    </w:p>
    <w:p w:rsidR="00F04CAF" w:rsidRPr="003D0163" w:rsidRDefault="00F04CAF" w:rsidP="00F04CAF">
      <w:pPr>
        <w:tabs>
          <w:tab w:val="left" w:leader="dot" w:pos="9072"/>
        </w:tabs>
        <w:spacing w:line="240" w:lineRule="atLeast"/>
        <w:rPr>
          <w:rFonts w:cs="Arial"/>
          <w:noProof/>
        </w:rPr>
      </w:pPr>
    </w:p>
    <w:p w:rsidR="00F04CAF" w:rsidRPr="00F04CAF" w:rsidRDefault="00F04CAF" w:rsidP="003D0163">
      <w:pPr>
        <w:pStyle w:val="ESgauche"/>
      </w:pPr>
      <w:r>
        <w:t>I tachigrafi soddisfano i requisiti della presente sezione. La conformità è certificata da un esame di omologazione svolto da un'autorità competente.</w:t>
      </w:r>
    </w:p>
    <w:p w:rsidR="00F04CAF" w:rsidRDefault="00F04CAF" w:rsidP="003D0163">
      <w:pPr>
        <w:pStyle w:val="ESch"/>
        <w:rPr>
          <w:noProof/>
        </w:rPr>
      </w:pPr>
    </w:p>
    <w:p w:rsidR="009C13A9" w:rsidRPr="00C903F8" w:rsidRDefault="00F04CAF" w:rsidP="009C13A9">
      <w:pPr>
        <w:spacing w:line="240" w:lineRule="atLeast"/>
        <w:ind w:left="0" w:firstLine="0"/>
        <w:jc w:val="center"/>
        <w:rPr>
          <w:rFonts w:cs="Arial"/>
          <w:b/>
          <w:noProof/>
        </w:rPr>
      </w:pPr>
      <w:r>
        <w:rPr>
          <w:b/>
          <w:noProof/>
        </w:rPr>
        <w:t>Articolo 2</w:t>
      </w:r>
    </w:p>
    <w:p w:rsidR="009C13A9" w:rsidRPr="00C903F8" w:rsidRDefault="009C13A9" w:rsidP="009C13A9">
      <w:pPr>
        <w:spacing w:line="240" w:lineRule="atLeast"/>
        <w:ind w:left="0" w:firstLine="0"/>
        <w:jc w:val="center"/>
        <w:rPr>
          <w:rFonts w:cs="Arial"/>
          <w:i/>
          <w:noProof/>
        </w:rPr>
      </w:pPr>
      <w:r>
        <w:rPr>
          <w:i/>
          <w:noProof/>
        </w:rPr>
        <w:t>Requisiti relativi ai tachigrafi</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1.</w:t>
      </w:r>
      <w:r>
        <w:tab/>
      </w:r>
      <w:r>
        <w:rPr>
          <w:color w:val="000000"/>
        </w:rPr>
        <w:t>Accertamento del tempo di navigazione della nave</w:t>
      </w:r>
    </w:p>
    <w:p w:rsidR="009C13A9" w:rsidRPr="00C903F8" w:rsidRDefault="009C13A9" w:rsidP="009C13A9">
      <w:pPr>
        <w:spacing w:line="240" w:lineRule="atLeast"/>
        <w:ind w:left="426" w:firstLine="0"/>
      </w:pPr>
    </w:p>
    <w:p w:rsidR="009C13A9" w:rsidRPr="00C903F8" w:rsidRDefault="009C13A9" w:rsidP="009C13A9">
      <w:pPr>
        <w:spacing w:line="240" w:lineRule="atLeast"/>
        <w:ind w:left="426" w:firstLine="0"/>
      </w:pPr>
      <w:r>
        <w:t>Al fine di determinare la navigazione secondo il criterio sì/no, la rotazione dell'elica deve essere misurata in un punto appropriato. Se la propulsione non è costituita da un'elica, occorre accertare il movimento della nave in maniera equivalente nel punto appropriato. Laddove vi siano due o più alberi dell'elica, occorre assicurarsi che la registrazione funzioni anche se ruota soltanto uno degli alberi.</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2.</w:t>
      </w:r>
      <w:r>
        <w:tab/>
      </w:r>
      <w:r>
        <w:rPr>
          <w:color w:val="000000"/>
        </w:rPr>
        <w:t>Identificazione della nave</w:t>
      </w:r>
    </w:p>
    <w:p w:rsidR="009C13A9" w:rsidRPr="00C903F8" w:rsidRDefault="009C13A9" w:rsidP="009C13A9">
      <w:pPr>
        <w:spacing w:line="240" w:lineRule="atLeast"/>
        <w:ind w:left="426" w:firstLine="0"/>
      </w:pPr>
    </w:p>
    <w:p w:rsidR="009C13A9" w:rsidRPr="00C903F8" w:rsidRDefault="009C13A9" w:rsidP="009C13A9">
      <w:pPr>
        <w:spacing w:line="240" w:lineRule="atLeast"/>
        <w:ind w:left="426" w:firstLine="0"/>
      </w:pPr>
      <w:r>
        <w:t>Il numero unico europeo di identificazione delle navi o il numero ufficiale della nave devono essere registrati in maniera indelebile sul supporto dati e poter essere leggibili dallo stesso.</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3.</w:t>
      </w:r>
      <w:r>
        <w:tab/>
      </w:r>
      <w:r>
        <w:rPr>
          <w:color w:val="000000"/>
        </w:rPr>
        <w:t>Registrazione sul supporto dati</w:t>
      </w:r>
    </w:p>
    <w:p w:rsidR="009C13A9" w:rsidRPr="00C903F8" w:rsidRDefault="009C13A9" w:rsidP="009C13A9">
      <w:pPr>
        <w:spacing w:line="240" w:lineRule="atLeast"/>
        <w:ind w:left="426" w:firstLine="0"/>
      </w:pPr>
    </w:p>
    <w:p w:rsidR="009C13A9" w:rsidRPr="00C903F8" w:rsidRDefault="009C13A9" w:rsidP="009C13A9">
      <w:pPr>
        <w:spacing w:line="240" w:lineRule="atLeast"/>
        <w:ind w:left="426" w:firstLine="0"/>
      </w:pPr>
      <w:r>
        <w:t>Sul supporto dati occorre registrare le seguenti informazioni, facendo in modo che siano a prova di manomissione e leggibili da tale supporto: il regime di esercizio della nave, la data e l'ora in cui il tachigrafo era in funzione e quelle in cui ha cessato di funzionare, l'inserimento e la rimozione del supporto dati e altre azioni eseguite sul dispositivo. Il tachigrafo registra automaticamente il tempo, l'inserimento e la rimozione del supporto dati, l'apertura e la chiusura del dispositivo e qualsiasi interruzione alla sua alimentazione.</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4.</w:t>
      </w:r>
      <w:r>
        <w:tab/>
      </w:r>
      <w:r>
        <w:rPr>
          <w:color w:val="000000"/>
        </w:rPr>
        <w:t>Tempo di registrazione giornaliero</w:t>
      </w:r>
    </w:p>
    <w:p w:rsidR="009C13A9" w:rsidRPr="00C903F8" w:rsidRDefault="009C13A9" w:rsidP="009C13A9">
      <w:pPr>
        <w:spacing w:line="240" w:lineRule="atLeast"/>
        <w:ind w:left="426" w:firstLine="0"/>
      </w:pPr>
    </w:p>
    <w:p w:rsidR="009C13A9" w:rsidRPr="00C903F8" w:rsidRDefault="009C13A9" w:rsidP="009C13A9">
      <w:pPr>
        <w:spacing w:line="240" w:lineRule="atLeast"/>
        <w:ind w:left="426" w:firstLine="0"/>
      </w:pPr>
      <w:r>
        <w:t>La data e l'ora in cui l'albero inizia e smette di ruotare vengono registrate continuamente ogni giorno tra le 00:00 e le 24:00.</w:t>
      </w:r>
    </w:p>
    <w:p w:rsidR="009C13A9" w:rsidRPr="00C903F8" w:rsidRDefault="009C13A9" w:rsidP="009C13A9">
      <w:pPr>
        <w:spacing w:line="240" w:lineRule="atLeast"/>
        <w:ind w:left="426" w:firstLine="0"/>
      </w:pPr>
    </w:p>
    <w:p w:rsidR="009C13A9" w:rsidRPr="00C903F8" w:rsidRDefault="009C13A9" w:rsidP="009C13A9">
      <w:pPr>
        <w:spacing w:line="240" w:lineRule="atLeast"/>
        <w:rPr>
          <w:rFonts w:cs="Arial"/>
          <w:color w:val="000000"/>
        </w:rPr>
      </w:pPr>
      <w:r>
        <w:rPr>
          <w:color w:val="000000"/>
        </w:rPr>
        <w:t>5.</w:t>
      </w:r>
      <w:r>
        <w:tab/>
      </w:r>
      <w:r>
        <w:rPr>
          <w:color w:val="000000"/>
        </w:rPr>
        <w:t>Lettura della registrazione</w:t>
      </w:r>
    </w:p>
    <w:p w:rsidR="009C13A9" w:rsidRPr="00C903F8" w:rsidRDefault="009C13A9" w:rsidP="009C13A9">
      <w:pPr>
        <w:spacing w:line="240" w:lineRule="atLeast"/>
        <w:ind w:left="426" w:firstLine="0"/>
      </w:pPr>
    </w:p>
    <w:p w:rsidR="009C13A9" w:rsidRPr="00C903F8" w:rsidRDefault="009C13A9" w:rsidP="009C13A9">
      <w:pPr>
        <w:spacing w:line="240" w:lineRule="atLeast"/>
        <w:ind w:left="426" w:firstLine="0"/>
      </w:pPr>
      <w:r>
        <w:t>La registrazione deve essere inequivocabile, facile da leggere e chiaramente comprensibile. Deve essere possibile leggere la registrazione in qualsiasi momento senza ricorrere ad alcun dispositivo ausiliario speciale.</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6.</w:t>
      </w:r>
      <w:r>
        <w:tab/>
      </w:r>
      <w:r>
        <w:rPr>
          <w:color w:val="000000"/>
        </w:rPr>
        <w:t>Stampa della registrazione</w:t>
      </w:r>
    </w:p>
    <w:p w:rsidR="009C13A9" w:rsidRPr="00C903F8" w:rsidRDefault="009C13A9" w:rsidP="009C13A9">
      <w:pPr>
        <w:spacing w:line="240" w:lineRule="atLeast"/>
        <w:ind w:left="426" w:firstLine="0"/>
      </w:pPr>
    </w:p>
    <w:p w:rsidR="009C13A9" w:rsidRPr="00C903F8" w:rsidRDefault="009C13A9" w:rsidP="009C13A9">
      <w:pPr>
        <w:spacing w:line="240" w:lineRule="atLeast"/>
        <w:ind w:left="426" w:firstLine="0"/>
      </w:pPr>
      <w:r>
        <w:t>Deve essere possibile fornire le registrazioni in qualsiasi momento come una stampa prontamente intelligibile.</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7.</w:t>
      </w:r>
      <w:r>
        <w:tab/>
      </w:r>
      <w:r>
        <w:rPr>
          <w:color w:val="000000"/>
        </w:rPr>
        <w:t>Sicurezza della registrazione</w:t>
      </w:r>
    </w:p>
    <w:p w:rsidR="009C13A9" w:rsidRPr="00C903F8" w:rsidRDefault="009C13A9" w:rsidP="009C13A9">
      <w:pPr>
        <w:spacing w:line="240" w:lineRule="atLeast"/>
        <w:ind w:left="426" w:firstLine="0"/>
      </w:pPr>
    </w:p>
    <w:p w:rsidR="009C13A9" w:rsidRPr="00C903F8" w:rsidRDefault="009C13A9" w:rsidP="009C13A9">
      <w:pPr>
        <w:spacing w:line="240" w:lineRule="atLeast"/>
        <w:ind w:left="426" w:firstLine="0"/>
      </w:pPr>
      <w:r>
        <w:t>La rotazione dell'elica deve essere registrata</w:t>
      </w:r>
      <w:r w:rsidR="00A16690">
        <w:t xml:space="preserve"> </w:t>
      </w:r>
      <w:r>
        <w:t>in una maniera tale da non consentire manomissioni.</w:t>
      </w:r>
    </w:p>
    <w:p w:rsidR="009C13A9" w:rsidRPr="00C903F8" w:rsidRDefault="009C13A9" w:rsidP="009C13A9">
      <w:pPr>
        <w:spacing w:line="240" w:lineRule="atLeast"/>
        <w:rPr>
          <w:rFonts w:cs="Arial"/>
          <w:color w:val="000000"/>
        </w:rPr>
      </w:pPr>
    </w:p>
    <w:p w:rsidR="00F04CAF" w:rsidRDefault="00F04CAF">
      <w:pPr>
        <w:autoSpaceDE/>
        <w:autoSpaceDN/>
        <w:ind w:left="0" w:firstLine="0"/>
        <w:jc w:val="left"/>
        <w:rPr>
          <w:rFonts w:cs="Arial"/>
          <w:color w:val="000000"/>
        </w:rPr>
      </w:pPr>
      <w:r>
        <w:br w:type="page"/>
      </w:r>
    </w:p>
    <w:p w:rsidR="00F04CAF" w:rsidRDefault="00F04CAF"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8.</w:t>
      </w:r>
      <w:r>
        <w:tab/>
      </w:r>
      <w:r>
        <w:rPr>
          <w:color w:val="000000"/>
        </w:rPr>
        <w:t>Precisione della registrazione</w:t>
      </w:r>
    </w:p>
    <w:p w:rsidR="009C13A9" w:rsidRPr="00C903F8" w:rsidRDefault="009C13A9" w:rsidP="009C13A9">
      <w:pPr>
        <w:spacing w:line="240" w:lineRule="atLeast"/>
        <w:ind w:left="426" w:firstLine="0"/>
      </w:pPr>
    </w:p>
    <w:p w:rsidR="009C13A9" w:rsidRPr="00C903F8" w:rsidRDefault="009C13A9" w:rsidP="009C13A9">
      <w:pPr>
        <w:spacing w:line="240" w:lineRule="atLeast"/>
        <w:ind w:left="426" w:firstLine="0"/>
      </w:pPr>
      <w:r>
        <w:t>La rotazione dell'elica deve essere registrata in una maniera tale da garantirne la precisione nel tempo. La registrazione deve essere leggibile con una precisione di 5 minuti.</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9.</w:t>
      </w:r>
      <w:r>
        <w:tab/>
      </w:r>
      <w:r>
        <w:rPr>
          <w:color w:val="000000"/>
        </w:rPr>
        <w:t>Tensioni di esercizio</w:t>
      </w:r>
    </w:p>
    <w:p w:rsidR="009C13A9" w:rsidRPr="00C903F8" w:rsidRDefault="009C13A9" w:rsidP="009C13A9">
      <w:pPr>
        <w:spacing w:line="240" w:lineRule="atLeast"/>
        <w:ind w:left="426" w:firstLine="0"/>
      </w:pPr>
    </w:p>
    <w:p w:rsidR="009C13A9" w:rsidRPr="00C903F8" w:rsidRDefault="009C13A9" w:rsidP="009C13A9">
      <w:pPr>
        <w:spacing w:line="240" w:lineRule="atLeast"/>
        <w:ind w:left="426" w:firstLine="0"/>
      </w:pPr>
      <w:r>
        <w:t xml:space="preserve">Eventuali fluttuazioni della tensione fino a </w:t>
      </w:r>
      <w:r>
        <w:sym w:font="Symbol" w:char="F0B1"/>
      </w:r>
      <w:r>
        <w:t xml:space="preserve"> 10 % del valore nominale non devono ostacolare il corretto funzionamento del dispositivo. Inoltre, l'impianto è in grado di sopportare un aumento del 25 % della tensione di alimentazione rispetto alla tensione nominale senza che la sua capacità di funzionamento sia compromessa in alcun modo.</w:t>
      </w:r>
    </w:p>
    <w:p w:rsidR="009C13A9" w:rsidRPr="00C903F8" w:rsidRDefault="009C13A9" w:rsidP="009C13A9">
      <w:pPr>
        <w:tabs>
          <w:tab w:val="left" w:pos="284"/>
          <w:tab w:val="left" w:leader="dot" w:pos="8505"/>
        </w:tabs>
        <w:ind w:left="284" w:hanging="284"/>
      </w:pPr>
    </w:p>
    <w:p w:rsidR="009C13A9" w:rsidRPr="00C903F8" w:rsidRDefault="009C13A9" w:rsidP="009C13A9">
      <w:pPr>
        <w:spacing w:line="240" w:lineRule="atLeast"/>
        <w:rPr>
          <w:rFonts w:cs="Arial"/>
          <w:color w:val="000000"/>
        </w:rPr>
      </w:pPr>
      <w:r>
        <w:rPr>
          <w:color w:val="000000"/>
        </w:rPr>
        <w:t>10.</w:t>
      </w:r>
      <w:r>
        <w:tab/>
      </w:r>
      <w:r>
        <w:rPr>
          <w:color w:val="000000"/>
        </w:rPr>
        <w:t>Condizioni d'esercizio</w:t>
      </w:r>
    </w:p>
    <w:p w:rsidR="009C13A9" w:rsidRPr="00C903F8" w:rsidRDefault="009C13A9" w:rsidP="009C13A9">
      <w:pPr>
        <w:tabs>
          <w:tab w:val="left" w:pos="284"/>
          <w:tab w:val="left" w:leader="dot" w:pos="8505"/>
        </w:tabs>
        <w:ind w:left="284" w:hanging="284"/>
      </w:pPr>
    </w:p>
    <w:p w:rsidR="009C13A9" w:rsidRPr="00C903F8" w:rsidRDefault="009C13A9" w:rsidP="009C13A9">
      <w:pPr>
        <w:spacing w:line="240" w:lineRule="atLeast"/>
        <w:ind w:left="426" w:firstLine="0"/>
      </w:pPr>
      <w:r>
        <w:t>I dispositivi o i loro componenti devono funzionare in maniera impeccabile nelle seguenti condizioni:</w:t>
      </w:r>
    </w:p>
    <w:p w:rsidR="009C13A9" w:rsidRPr="00C903F8" w:rsidRDefault="009C13A9" w:rsidP="009C13A9">
      <w:pPr>
        <w:tabs>
          <w:tab w:val="left" w:pos="851"/>
        </w:tabs>
        <w:spacing w:before="60" w:line="240" w:lineRule="atLeast"/>
        <w:ind w:left="3544" w:hanging="3118"/>
        <w:rPr>
          <w:rFonts w:cs="Arial"/>
          <w:noProof/>
          <w:szCs w:val="22"/>
        </w:rPr>
      </w:pPr>
      <w:r>
        <w:t>-</w:t>
      </w:r>
      <w:r>
        <w:tab/>
        <w:t>temperatura ambiente:</w:t>
      </w:r>
      <w:r>
        <w:tab/>
        <w:t xml:space="preserve">0 </w:t>
      </w:r>
      <w:r>
        <w:rPr>
          <w:rFonts w:cs="Arial"/>
          <w:noProof/>
          <w:szCs w:val="22"/>
        </w:rPr>
        <w:sym w:font="Symbol" w:char="F0B0"/>
      </w:r>
      <w:r>
        <w:t xml:space="preserve">C a +40 </w:t>
      </w:r>
      <w:r>
        <w:rPr>
          <w:rFonts w:cs="Arial"/>
          <w:noProof/>
          <w:szCs w:val="22"/>
        </w:rPr>
        <w:sym w:font="Symbol" w:char="F0B0"/>
      </w:r>
      <w:r>
        <w:t>C;</w:t>
      </w:r>
    </w:p>
    <w:p w:rsidR="009C13A9" w:rsidRPr="00C903F8" w:rsidRDefault="009C13A9" w:rsidP="009C13A9">
      <w:pPr>
        <w:tabs>
          <w:tab w:val="left" w:pos="851"/>
        </w:tabs>
        <w:spacing w:before="60" w:line="240" w:lineRule="atLeast"/>
        <w:ind w:left="3544" w:hanging="3118"/>
        <w:rPr>
          <w:rFonts w:cs="Arial"/>
          <w:noProof/>
          <w:szCs w:val="22"/>
        </w:rPr>
      </w:pPr>
      <w:r>
        <w:t>-</w:t>
      </w:r>
      <w:r>
        <w:tab/>
        <w:t>umidità:</w:t>
      </w:r>
      <w:r>
        <w:tab/>
        <w:t>fino all'85 % di umidità relativa dell'aria;</w:t>
      </w:r>
    </w:p>
    <w:p w:rsidR="009C13A9" w:rsidRPr="00C903F8" w:rsidRDefault="009C13A9" w:rsidP="009C13A9">
      <w:pPr>
        <w:tabs>
          <w:tab w:val="left" w:pos="851"/>
        </w:tabs>
        <w:spacing w:before="60" w:line="240" w:lineRule="atLeast"/>
        <w:ind w:left="3544" w:hanging="3118"/>
        <w:rPr>
          <w:rFonts w:cs="Arial"/>
          <w:noProof/>
          <w:szCs w:val="22"/>
        </w:rPr>
      </w:pPr>
      <w:r>
        <w:t>-</w:t>
      </w:r>
      <w:r>
        <w:tab/>
        <w:t>tipo di protezione elettrica:</w:t>
      </w:r>
      <w:r>
        <w:tab/>
        <w:t>IP 54 in conformità alla norma internazionale IEC 529;</w:t>
      </w:r>
    </w:p>
    <w:p w:rsidR="009C13A9" w:rsidRPr="00C903F8" w:rsidRDefault="009C13A9" w:rsidP="009C13A9">
      <w:pPr>
        <w:tabs>
          <w:tab w:val="left" w:pos="851"/>
        </w:tabs>
        <w:spacing w:before="60" w:line="240" w:lineRule="atLeast"/>
        <w:ind w:left="3544" w:hanging="3118"/>
        <w:rPr>
          <w:rFonts w:cs="Arial"/>
          <w:noProof/>
          <w:szCs w:val="22"/>
        </w:rPr>
      </w:pPr>
      <w:r>
        <w:t>-</w:t>
      </w:r>
      <w:r>
        <w:tab/>
        <w:t>resistenza all'olio:</w:t>
      </w:r>
      <w:r>
        <w:tab/>
        <w:t>sebbene siano destinati ad essere installati nella sala macchine, i dispositivi o i loro componenti devono essere resistenti all'olio;</w:t>
      </w:r>
    </w:p>
    <w:p w:rsidR="009C13A9" w:rsidRPr="00C903F8" w:rsidRDefault="009C13A9" w:rsidP="009C13A9">
      <w:pPr>
        <w:tabs>
          <w:tab w:val="left" w:pos="851"/>
        </w:tabs>
        <w:spacing w:before="60" w:line="240" w:lineRule="atLeast"/>
        <w:ind w:left="3544" w:hanging="3118"/>
        <w:rPr>
          <w:rFonts w:cs="Arial"/>
          <w:noProof/>
          <w:szCs w:val="22"/>
        </w:rPr>
      </w:pPr>
      <w:r>
        <w:t>-</w:t>
      </w:r>
      <w:r>
        <w:tab/>
        <w:t>tolleranze consentite di</w:t>
      </w:r>
    </w:p>
    <w:p w:rsidR="009C13A9" w:rsidRPr="00C903F8" w:rsidRDefault="009C13A9" w:rsidP="009C13A9">
      <w:pPr>
        <w:tabs>
          <w:tab w:val="left" w:pos="851"/>
        </w:tabs>
        <w:spacing w:line="240" w:lineRule="atLeast"/>
        <w:ind w:left="3544" w:hanging="2693"/>
        <w:rPr>
          <w:rFonts w:cs="Arial"/>
          <w:noProof/>
          <w:szCs w:val="22"/>
        </w:rPr>
      </w:pPr>
      <w:r>
        <w:t>registrazione dei tempi:</w:t>
      </w:r>
      <w:r>
        <w:tab/>
      </w:r>
      <w:r>
        <w:rPr>
          <w:rFonts w:cs="Arial"/>
          <w:noProof/>
          <w:szCs w:val="22"/>
        </w:rPr>
        <w:sym w:font="Symbol" w:char="F0B1"/>
      </w:r>
      <w:r>
        <w:t xml:space="preserve"> 2 minuti ogni 24 ore.</w:t>
      </w:r>
    </w:p>
    <w:p w:rsidR="009C13A9" w:rsidRPr="00C903F8" w:rsidRDefault="009C13A9" w:rsidP="009C13A9">
      <w:pPr>
        <w:tabs>
          <w:tab w:val="left" w:pos="284"/>
          <w:tab w:val="left" w:leader="dot" w:pos="8505"/>
        </w:tabs>
        <w:ind w:left="284" w:hanging="284"/>
      </w:pPr>
    </w:p>
    <w:p w:rsidR="009C13A9" w:rsidRPr="00C903F8" w:rsidRDefault="009C13A9" w:rsidP="009C13A9">
      <w:pPr>
        <w:tabs>
          <w:tab w:val="left" w:pos="284"/>
          <w:tab w:val="left" w:leader="dot" w:pos="8505"/>
        </w:tabs>
        <w:ind w:left="284" w:hanging="284"/>
      </w:pPr>
    </w:p>
    <w:p w:rsidR="009C13A9" w:rsidRPr="00C903F8" w:rsidRDefault="00F04CAF" w:rsidP="009C13A9">
      <w:pPr>
        <w:spacing w:line="240" w:lineRule="atLeast"/>
        <w:ind w:left="0" w:firstLine="0"/>
        <w:jc w:val="center"/>
        <w:rPr>
          <w:rFonts w:cs="Arial"/>
          <w:b/>
          <w:noProof/>
        </w:rPr>
      </w:pPr>
      <w:r>
        <w:rPr>
          <w:b/>
          <w:noProof/>
        </w:rPr>
        <w:t>Articolo 3</w:t>
      </w:r>
    </w:p>
    <w:p w:rsidR="009C13A9" w:rsidRPr="00C903F8" w:rsidRDefault="009C13A9" w:rsidP="009C13A9">
      <w:pPr>
        <w:spacing w:line="240" w:lineRule="atLeast"/>
        <w:ind w:left="0" w:firstLine="0"/>
        <w:jc w:val="center"/>
        <w:rPr>
          <w:rFonts w:cs="Arial"/>
          <w:i/>
          <w:noProof/>
        </w:rPr>
      </w:pPr>
      <w:r>
        <w:rPr>
          <w:i/>
          <w:noProof/>
        </w:rPr>
        <w:t>Requisiti per l'installazione di tachigrafi di bordo</w:t>
      </w:r>
    </w:p>
    <w:p w:rsidR="009C13A9" w:rsidRPr="00C903F8" w:rsidRDefault="009C13A9" w:rsidP="009C13A9">
      <w:pPr>
        <w:tabs>
          <w:tab w:val="left" w:pos="284"/>
          <w:tab w:val="left" w:leader="dot" w:pos="8505"/>
        </w:tabs>
        <w:ind w:left="284" w:hanging="284"/>
      </w:pPr>
    </w:p>
    <w:p w:rsidR="009C13A9" w:rsidRPr="00C903F8" w:rsidRDefault="009C13A9" w:rsidP="009C13A9">
      <w:pPr>
        <w:tabs>
          <w:tab w:val="left" w:pos="284"/>
          <w:tab w:val="left" w:leader="dot" w:pos="8505"/>
        </w:tabs>
        <w:ind w:left="284" w:hanging="284"/>
      </w:pPr>
      <w:r>
        <w:t>Quando si installano tachigrafi di bordo si devono rispettare le seguenti condizioni.</w:t>
      </w:r>
    </w:p>
    <w:p w:rsidR="009C13A9" w:rsidRPr="00C903F8" w:rsidRDefault="009C13A9" w:rsidP="009C13A9">
      <w:pPr>
        <w:tabs>
          <w:tab w:val="left" w:pos="284"/>
          <w:tab w:val="left" w:leader="dot" w:pos="8505"/>
        </w:tabs>
        <w:ind w:left="284" w:hanging="284"/>
      </w:pPr>
    </w:p>
    <w:p w:rsidR="009C13A9" w:rsidRPr="00C903F8" w:rsidRDefault="009C13A9" w:rsidP="009C13A9">
      <w:pPr>
        <w:spacing w:line="240" w:lineRule="atLeast"/>
        <w:rPr>
          <w:rFonts w:cs="Arial"/>
          <w:color w:val="000000"/>
        </w:rPr>
      </w:pPr>
      <w:r>
        <w:rPr>
          <w:color w:val="000000"/>
        </w:rPr>
        <w:t>1.</w:t>
      </w:r>
      <w:r>
        <w:tab/>
      </w:r>
      <w:r>
        <w:rPr>
          <w:color w:val="000000"/>
        </w:rPr>
        <w:t>I tachigrafi di bordo possono essere installati soltanto da imprese specializzate autorizzate dall'autorità competente.</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2.</w:t>
      </w:r>
      <w:r>
        <w:tab/>
      </w:r>
      <w:r>
        <w:rPr>
          <w:color w:val="000000"/>
        </w:rPr>
        <w:t>Il tachigrafo deve essere installato nella timoneria o in un'altra posizione facilmente accessibile.</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3.</w:t>
      </w:r>
      <w:r>
        <w:tab/>
      </w:r>
      <w:r>
        <w:rPr>
          <w:color w:val="000000"/>
        </w:rPr>
        <w:t>Deve essere possibile stabilire visivamente se il dispositivo è in funzione. Il dispositivo è costantemente alimentato con energia elettrica tramite un circuito di alimentazione ininterrotto dotato di una propria protezione mediante fusibile e collegato direttamente a tale alimentazione.</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4.</w:t>
      </w:r>
      <w:r>
        <w:tab/>
      </w:r>
      <w:r>
        <w:rPr>
          <w:color w:val="000000"/>
        </w:rPr>
        <w:t>Le informazioni relative al movimento della nave, in particolare il fatto che nave sia "in fase di navigazione" o "non in fase di navigazione", sono desumibili dal movimento del sistema di propulsione. Il segnale corrispondente è generato dalla rotazione dell'elica, dall'albero dell'elica o dal funzionamento dei macchinari di propulsione. Nel caso di sistemi di propulsione diversi si deve adottare una soluzione equivalente.</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5.</w:t>
      </w:r>
      <w:r>
        <w:tab/>
      </w:r>
      <w:r>
        <w:rPr>
          <w:color w:val="000000"/>
        </w:rPr>
        <w:t>L'apparecchiatura tecnica per rilevare il movimento della nave deve essere installata in maniera tale da essere il più affidabile possibile dal punto di vista operativo e non suscettibile agli interventi non autorizzati. A tal fine, si deve proteggere il circuito di trasmissione del segnale (compreso il generatore del segnale e il terminale di ingresso del dispositivo), dal sistema di propulsione verso il dispositivo, con mezzi appropriati dotati di controllo al fine di rilevare qualsiasi interruzione del circuito. A tale fine risultano adeguati, ad esempio, guarnizioni recanti segni di identificazione e cavi raggruppati visibili o circuiti di controllo.</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br w:type="page"/>
      </w:r>
    </w:p>
    <w:p w:rsidR="00B70FC2" w:rsidRDefault="00B70FC2"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6.</w:t>
      </w:r>
      <w:r>
        <w:tab/>
      </w:r>
      <w:r>
        <w:rPr>
          <w:color w:val="000000"/>
        </w:rPr>
        <w:t>Al termine dell'installazione l'impresa specializzata che ha effettuato o supervisionato l'installazione esegue una prova di funzionamento. Rilascia un certificato che certifica le caratteristiche dell'installazione (in particolare la posizione e il tipo di sigilli e le loro marcature, la posizione e il tipo di apparecchiature di controllo) e il suo corretto funzionamento; l'attestato fornisce altresì informazioni sul tipo di dispositivo autorizzato. È necessario effettuare una nuova prova di funzionamento dopo ogni sostituzione, modifica o riparazione; tale prova va annotata nell'attestato.</w:t>
      </w:r>
    </w:p>
    <w:p w:rsidR="009C13A9" w:rsidRPr="00C903F8" w:rsidRDefault="009C13A9" w:rsidP="009C13A9">
      <w:pPr>
        <w:tabs>
          <w:tab w:val="left" w:pos="284"/>
          <w:tab w:val="left" w:leader="dot" w:pos="8505"/>
        </w:tabs>
        <w:ind w:left="284" w:hanging="284"/>
      </w:pPr>
    </w:p>
    <w:p w:rsidR="009C13A9" w:rsidRPr="00C903F8" w:rsidRDefault="009C13A9" w:rsidP="009C13A9">
      <w:pPr>
        <w:spacing w:line="240" w:lineRule="atLeast"/>
        <w:ind w:left="426" w:firstLine="0"/>
      </w:pPr>
      <w:r>
        <w:t>Il certificato include quanto meno i seguenti dati:</w:t>
      </w:r>
    </w:p>
    <w:p w:rsidR="009C13A9" w:rsidRPr="00C903F8" w:rsidRDefault="009C13A9" w:rsidP="009C13A9">
      <w:pPr>
        <w:spacing w:before="60" w:line="240" w:lineRule="atLeast"/>
        <w:ind w:left="851"/>
        <w:rPr>
          <w:rFonts w:cs="Arial"/>
          <w:noProof/>
          <w:szCs w:val="22"/>
        </w:rPr>
      </w:pPr>
      <w:r>
        <w:t>-</w:t>
      </w:r>
      <w:r>
        <w:tab/>
        <w:t>nome, indirizzo e riferimento univoco dell'impresa specializzata autorizzata che ha effettuato o supervisionato l'installazione;</w:t>
      </w:r>
    </w:p>
    <w:p w:rsidR="009C13A9" w:rsidRPr="00C903F8" w:rsidRDefault="009C13A9" w:rsidP="009C13A9">
      <w:pPr>
        <w:spacing w:before="60" w:line="240" w:lineRule="atLeast"/>
        <w:ind w:left="851"/>
        <w:rPr>
          <w:rFonts w:cs="Arial"/>
          <w:noProof/>
          <w:szCs w:val="22"/>
        </w:rPr>
      </w:pPr>
      <w:r>
        <w:t>-</w:t>
      </w:r>
      <w:r>
        <w:tab/>
        <w:t>nome, indirizzo e numero di telefono dell'autorità competente che ha autorizzato l'impresa;</w:t>
      </w:r>
    </w:p>
    <w:p w:rsidR="009C13A9" w:rsidRPr="00C903F8" w:rsidRDefault="009C13A9" w:rsidP="009C13A9">
      <w:pPr>
        <w:spacing w:before="60" w:line="240" w:lineRule="atLeast"/>
        <w:ind w:left="851"/>
        <w:rPr>
          <w:rFonts w:cs="Arial"/>
          <w:noProof/>
          <w:szCs w:val="22"/>
        </w:rPr>
      </w:pPr>
      <w:r>
        <w:t>-</w:t>
      </w:r>
      <w:r>
        <w:tab/>
        <w:t>numero unico europeo di identificazione delle navi o numero ufficiale della nave;</w:t>
      </w:r>
    </w:p>
    <w:p w:rsidR="009C13A9" w:rsidRPr="00C903F8" w:rsidRDefault="009C13A9" w:rsidP="009C13A9">
      <w:pPr>
        <w:spacing w:before="60" w:line="240" w:lineRule="atLeast"/>
        <w:ind w:left="851"/>
        <w:rPr>
          <w:rFonts w:cs="Arial"/>
          <w:noProof/>
          <w:szCs w:val="22"/>
        </w:rPr>
      </w:pPr>
      <w:r>
        <w:t>-</w:t>
      </w:r>
      <w:r>
        <w:tab/>
        <w:t>tipo di tachigrafo e numero di serie;</w:t>
      </w:r>
    </w:p>
    <w:p w:rsidR="009C13A9" w:rsidRPr="00C903F8" w:rsidRDefault="009C13A9" w:rsidP="009C13A9">
      <w:pPr>
        <w:spacing w:before="60" w:line="240" w:lineRule="atLeast"/>
        <w:ind w:left="851"/>
        <w:rPr>
          <w:rFonts w:cs="Arial"/>
          <w:noProof/>
          <w:szCs w:val="22"/>
        </w:rPr>
      </w:pPr>
      <w:r>
        <w:t>-</w:t>
      </w:r>
      <w:r>
        <w:tab/>
        <w:t>data della prova di funzionamento.</w:t>
      </w:r>
    </w:p>
    <w:p w:rsidR="009C13A9" w:rsidRPr="00C903F8" w:rsidRDefault="009C13A9" w:rsidP="009C13A9">
      <w:pPr>
        <w:spacing w:line="240" w:lineRule="atLeast"/>
        <w:ind w:left="426" w:firstLine="0"/>
      </w:pPr>
    </w:p>
    <w:p w:rsidR="009C13A9" w:rsidRPr="00C903F8" w:rsidRDefault="009C13A9" w:rsidP="009C13A9">
      <w:pPr>
        <w:spacing w:line="240" w:lineRule="atLeast"/>
        <w:ind w:left="426" w:firstLine="0"/>
      </w:pPr>
      <w:r>
        <w:t>Il certificato è valido per 5 anni.</w:t>
      </w:r>
    </w:p>
    <w:p w:rsidR="009C13A9" w:rsidRPr="00C903F8" w:rsidRDefault="009C13A9" w:rsidP="009C13A9">
      <w:pPr>
        <w:spacing w:line="240" w:lineRule="atLeast"/>
        <w:ind w:left="426" w:firstLine="0"/>
      </w:pPr>
    </w:p>
    <w:p w:rsidR="009C13A9" w:rsidRPr="00C903F8" w:rsidRDefault="009C13A9" w:rsidP="009C13A9">
      <w:pPr>
        <w:spacing w:line="240" w:lineRule="atLeast"/>
        <w:ind w:left="426" w:firstLine="0"/>
      </w:pPr>
      <w:r>
        <w:t>Tale certificato serve a dimostrare che il dispositivo è stato autorizzato, installato da un'impresa specializzata autorizzata ed è stato sottoposto a prove per accertarne il corretto funzionamento.</w:t>
      </w:r>
    </w:p>
    <w:p w:rsidR="009C13A9" w:rsidRPr="00C903F8" w:rsidRDefault="009C13A9" w:rsidP="009C13A9">
      <w:pPr>
        <w:tabs>
          <w:tab w:val="left" w:pos="284"/>
          <w:tab w:val="left" w:pos="567"/>
        </w:tabs>
        <w:ind w:left="284" w:hanging="284"/>
      </w:pPr>
    </w:p>
    <w:p w:rsidR="009C13A9" w:rsidRPr="00C903F8" w:rsidRDefault="009C13A9" w:rsidP="009C13A9">
      <w:pPr>
        <w:tabs>
          <w:tab w:val="left" w:pos="284"/>
          <w:tab w:val="left" w:pos="567"/>
        </w:tabs>
        <w:ind w:left="284" w:hanging="284"/>
      </w:pPr>
      <w:r>
        <w:t>7.</w:t>
      </w:r>
      <w:r>
        <w:tab/>
        <w:t>Il personale di comando della nave è addestrato all'uso del dispositivo da parte dell'impresa autorizzata e le corrispondenti istruzioni per l'uso vanno consegnate affinché siano conservate a bordo. Ciò va menzionato nel certificato di installazione a bordo.</w:t>
      </w:r>
    </w:p>
    <w:p w:rsidR="009C13A9" w:rsidRPr="00C903F8" w:rsidRDefault="009C13A9" w:rsidP="009C13A9">
      <w:pPr>
        <w:tabs>
          <w:tab w:val="left" w:pos="284"/>
          <w:tab w:val="left" w:pos="567"/>
        </w:tabs>
        <w:ind w:left="284" w:hanging="284"/>
      </w:pPr>
    </w:p>
    <w:p w:rsidR="009C13A9" w:rsidRPr="00C903F8" w:rsidRDefault="009C13A9" w:rsidP="009C13A9">
      <w:pPr>
        <w:tabs>
          <w:tab w:val="left" w:pos="284"/>
          <w:tab w:val="left" w:pos="567"/>
        </w:tabs>
        <w:ind w:left="284" w:hanging="284"/>
      </w:pPr>
    </w:p>
    <w:p w:rsidR="009C13A9" w:rsidRPr="00C903F8" w:rsidRDefault="009C13A9" w:rsidP="009C13A9">
      <w:pPr>
        <w:tabs>
          <w:tab w:val="left" w:pos="284"/>
          <w:tab w:val="left" w:pos="567"/>
        </w:tabs>
        <w:ind w:left="284" w:hanging="284"/>
      </w:pPr>
      <w:r>
        <w:br w:type="page"/>
      </w:r>
    </w:p>
    <w:p w:rsidR="009C13A9" w:rsidRPr="00C903F8" w:rsidRDefault="009C13A9" w:rsidP="009C13A9">
      <w:pPr>
        <w:tabs>
          <w:tab w:val="left" w:pos="284"/>
          <w:tab w:val="left" w:pos="567"/>
        </w:tabs>
        <w:ind w:left="284" w:hanging="284"/>
      </w:pPr>
    </w:p>
    <w:p w:rsidR="009C13A9" w:rsidRPr="00C903F8" w:rsidRDefault="009C13A9" w:rsidP="009C13A9">
      <w:pPr>
        <w:tabs>
          <w:tab w:val="left" w:pos="284"/>
          <w:tab w:val="left" w:pos="567"/>
        </w:tabs>
        <w:ind w:left="284" w:hanging="284"/>
      </w:pPr>
    </w:p>
    <w:p w:rsidR="009C13A9" w:rsidRPr="00C903F8" w:rsidRDefault="009C13A9" w:rsidP="009C13A9">
      <w:pPr>
        <w:tabs>
          <w:tab w:val="left" w:pos="284"/>
          <w:tab w:val="left" w:pos="567"/>
        </w:tabs>
        <w:ind w:left="284" w:hanging="284"/>
      </w:pPr>
    </w:p>
    <w:p w:rsidR="009C13A9" w:rsidRPr="00C903F8" w:rsidRDefault="009C13A9" w:rsidP="009C13A9">
      <w:pPr>
        <w:tabs>
          <w:tab w:val="left" w:pos="284"/>
          <w:tab w:val="left" w:pos="567"/>
        </w:tabs>
        <w:ind w:left="284" w:hanging="284"/>
      </w:pPr>
    </w:p>
    <w:p w:rsidR="009C13A9" w:rsidRPr="00C903F8" w:rsidRDefault="009C13A9" w:rsidP="009C13A9">
      <w:pPr>
        <w:tabs>
          <w:tab w:val="left" w:pos="284"/>
          <w:tab w:val="left" w:pos="567"/>
        </w:tabs>
        <w:ind w:left="284" w:hanging="284"/>
      </w:pPr>
      <w:r>
        <w:br w:type="page"/>
      </w:r>
    </w:p>
    <w:p w:rsidR="009C13A9" w:rsidRPr="00C903F8" w:rsidRDefault="00925755" w:rsidP="00C92BD2">
      <w:pPr>
        <w:pStyle w:val="ES-Titre3"/>
        <w:rPr>
          <w:noProof/>
        </w:rPr>
      </w:pPr>
      <w:bookmarkStart w:id="656" w:name="_Toc491854320"/>
      <w:bookmarkStart w:id="657" w:name="_Toc535500269"/>
      <w:r>
        <w:lastRenderedPageBreak/>
        <w:t>Sezione VI</w:t>
      </w:r>
      <w:bookmarkEnd w:id="656"/>
      <w:bookmarkEnd w:id="657"/>
    </w:p>
    <w:p w:rsidR="009C13A9" w:rsidRPr="00C903F8" w:rsidRDefault="009C13A9" w:rsidP="00C92BD2">
      <w:pPr>
        <w:pStyle w:val="ES-Titre3a"/>
        <w:rPr>
          <w:noProof/>
        </w:rPr>
      </w:pPr>
      <w:bookmarkStart w:id="658" w:name="_Toc491854321"/>
      <w:bookmarkStart w:id="659" w:name="_Toc535500270"/>
      <w:r>
        <w:t>Certificato di installazione e funzionamento per impianti radar di navigazione e indicatori della velocità di accostata, per il dispositivo AIS interno e per tachigrafi utilizzati nella navigazione interna</w:t>
      </w:r>
      <w:bookmarkEnd w:id="658"/>
      <w:bookmarkEnd w:id="659"/>
    </w:p>
    <w:p w:rsidR="009C13A9" w:rsidRPr="00C903F8" w:rsidRDefault="009C13A9" w:rsidP="009C13A9">
      <w:pPr>
        <w:overflowPunct w:val="0"/>
        <w:adjustRightInd w:val="0"/>
        <w:spacing w:line="240" w:lineRule="exact"/>
        <w:ind w:left="0" w:firstLine="0"/>
        <w:jc w:val="center"/>
        <w:textAlignment w:val="baseline"/>
        <w:rPr>
          <w:rFonts w:eastAsia="Calibri"/>
          <w:szCs w:val="20"/>
        </w:rPr>
      </w:pPr>
      <w:r>
        <w:t>(Modello)</w:t>
      </w:r>
    </w:p>
    <w:p w:rsidR="009C13A9" w:rsidRPr="00C903F8" w:rsidRDefault="009C13A9" w:rsidP="009C13A9">
      <w:pPr>
        <w:tabs>
          <w:tab w:val="left" w:leader="dot" w:pos="9072"/>
        </w:tabs>
        <w:spacing w:line="240" w:lineRule="atLeast"/>
        <w:ind w:left="0" w:firstLine="0"/>
        <w:rPr>
          <w:rFonts w:cs="Arial"/>
          <w:snapToGrid w:val="0"/>
        </w:rPr>
      </w:pPr>
    </w:p>
    <w:p w:rsidR="009C13A9" w:rsidRPr="00C903F8" w:rsidRDefault="009C13A9" w:rsidP="009C13A9">
      <w:pPr>
        <w:tabs>
          <w:tab w:val="left" w:leader="dot" w:pos="9072"/>
        </w:tabs>
        <w:autoSpaceDE/>
        <w:autoSpaceDN/>
        <w:spacing w:after="120"/>
        <w:ind w:left="0" w:firstLine="0"/>
        <w:rPr>
          <w:rFonts w:cs="Arial"/>
          <w:noProof/>
          <w:szCs w:val="20"/>
        </w:rPr>
      </w:pPr>
      <w:r>
        <w:t xml:space="preserve">Tipo/nome della nave </w:t>
      </w:r>
      <w:r>
        <w:tab/>
      </w:r>
    </w:p>
    <w:p w:rsidR="009C13A9" w:rsidRPr="00C903F8" w:rsidRDefault="006D37CC" w:rsidP="009C13A9">
      <w:pPr>
        <w:tabs>
          <w:tab w:val="left" w:leader="dot" w:pos="9072"/>
        </w:tabs>
        <w:autoSpaceDE/>
        <w:autoSpaceDN/>
        <w:spacing w:after="120"/>
        <w:ind w:left="0" w:firstLine="0"/>
        <w:rPr>
          <w:rFonts w:cs="Arial"/>
          <w:noProof/>
          <w:szCs w:val="20"/>
        </w:rPr>
      </w:pPr>
      <w:r>
        <w:t>Numero unico</w:t>
      </w:r>
      <w:r>
        <w:rPr>
          <w:i/>
          <w:noProof/>
        </w:rPr>
        <w:t xml:space="preserve"> </w:t>
      </w:r>
      <w:r>
        <w:t xml:space="preserve">europeo di identificazione delle navi: </w:t>
      </w:r>
      <w:r>
        <w:tab/>
      </w:r>
    </w:p>
    <w:p w:rsidR="009C13A9" w:rsidRPr="00C903F8" w:rsidRDefault="009C13A9" w:rsidP="009C13A9">
      <w:pPr>
        <w:tabs>
          <w:tab w:val="left" w:leader="dot" w:pos="9072"/>
        </w:tabs>
        <w:autoSpaceDE/>
        <w:autoSpaceDN/>
        <w:spacing w:after="120"/>
        <w:ind w:left="0" w:firstLine="0"/>
        <w:rPr>
          <w:rFonts w:cs="Arial"/>
          <w:noProof/>
          <w:szCs w:val="20"/>
        </w:rPr>
      </w:pPr>
      <w:r>
        <w:rPr>
          <w:b/>
          <w:noProof/>
        </w:rPr>
        <w:t>Proprietario:</w:t>
      </w:r>
      <w:r>
        <w:t xml:space="preserve"> </w:t>
      </w:r>
    </w:p>
    <w:p w:rsidR="009C13A9" w:rsidRPr="00C903F8" w:rsidRDefault="009C13A9" w:rsidP="009C13A9">
      <w:pPr>
        <w:tabs>
          <w:tab w:val="left" w:leader="dot" w:pos="4536"/>
        </w:tabs>
        <w:autoSpaceDE/>
        <w:autoSpaceDN/>
        <w:spacing w:after="120"/>
        <w:ind w:left="0" w:firstLine="0"/>
        <w:rPr>
          <w:rFonts w:cs="Arial"/>
          <w:noProof/>
          <w:szCs w:val="20"/>
        </w:rPr>
      </w:pPr>
      <w:r>
        <w:t xml:space="preserve">Nome: </w:t>
      </w:r>
      <w:r>
        <w:tab/>
      </w:r>
    </w:p>
    <w:p w:rsidR="009C13A9" w:rsidRPr="00C903F8" w:rsidRDefault="009C13A9" w:rsidP="009C13A9">
      <w:pPr>
        <w:tabs>
          <w:tab w:val="left" w:leader="dot" w:pos="9072"/>
        </w:tabs>
        <w:autoSpaceDE/>
        <w:autoSpaceDN/>
        <w:spacing w:after="120"/>
        <w:ind w:left="0" w:firstLine="0"/>
        <w:rPr>
          <w:rFonts w:cs="Arial"/>
          <w:noProof/>
          <w:szCs w:val="20"/>
        </w:rPr>
      </w:pPr>
      <w:r>
        <w:t xml:space="preserve">Indirizzo: </w:t>
      </w:r>
      <w:r>
        <w:tab/>
      </w:r>
    </w:p>
    <w:p w:rsidR="009C13A9" w:rsidRPr="00C903F8" w:rsidRDefault="009C13A9" w:rsidP="005C3F09">
      <w:pPr>
        <w:tabs>
          <w:tab w:val="left" w:leader="dot" w:pos="3119"/>
        </w:tabs>
        <w:autoSpaceDE/>
        <w:autoSpaceDN/>
        <w:ind w:left="0" w:firstLine="0"/>
        <w:rPr>
          <w:rFonts w:cs="Arial"/>
          <w:noProof/>
          <w:szCs w:val="20"/>
        </w:rPr>
      </w:pPr>
      <w:r>
        <w:t xml:space="preserve">Telefono: </w:t>
      </w:r>
      <w:r>
        <w:tab/>
      </w:r>
    </w:p>
    <w:p w:rsidR="009C13A9" w:rsidRPr="00C903F8" w:rsidRDefault="009C13A9" w:rsidP="003E6750">
      <w:pPr>
        <w:tabs>
          <w:tab w:val="left" w:leader="dot" w:pos="9072"/>
        </w:tabs>
        <w:spacing w:line="240" w:lineRule="atLeast"/>
        <w:ind w:left="0" w:firstLine="0"/>
        <w:rPr>
          <w:rFonts w:cs="Arial"/>
          <w:snapToGrid w:val="0"/>
        </w:rPr>
      </w:pPr>
    </w:p>
    <w:p w:rsidR="009C13A9" w:rsidRPr="00C903F8" w:rsidRDefault="009C13A9" w:rsidP="003E6750">
      <w:pPr>
        <w:tabs>
          <w:tab w:val="left" w:pos="284"/>
          <w:tab w:val="left" w:pos="5670"/>
          <w:tab w:val="left" w:leader="dot" w:pos="7655"/>
        </w:tabs>
        <w:overflowPunct w:val="0"/>
        <w:adjustRightInd w:val="0"/>
        <w:ind w:left="0" w:firstLine="0"/>
        <w:textAlignment w:val="baseline"/>
        <w:rPr>
          <w:rFonts w:cs="Arial"/>
          <w:snapToGrid w:val="0"/>
          <w:szCs w:val="20"/>
        </w:rPr>
      </w:pPr>
      <w:r>
        <w:rPr>
          <w:b/>
          <w:noProof/>
          <w:snapToGrid w:val="0"/>
        </w:rPr>
        <w:t>Impianti radar di navigazione:</w:t>
      </w:r>
      <w:r>
        <w:tab/>
        <w:t xml:space="preserve">Numero: </w:t>
      </w:r>
      <w:r>
        <w:tab/>
      </w:r>
    </w:p>
    <w:p w:rsidR="009C13A9" w:rsidRPr="00C903F8" w:rsidRDefault="009C13A9" w:rsidP="009C13A9">
      <w:pPr>
        <w:tabs>
          <w:tab w:val="left" w:leader="dot" w:pos="9072"/>
        </w:tabs>
        <w:spacing w:line="240" w:lineRule="atLeast"/>
        <w:ind w:left="0" w:firstLine="0"/>
        <w:rPr>
          <w:rFonts w:cs="Arial"/>
          <w:snapToGrid w:val="0"/>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9C13A9" w:rsidRPr="00C903F8" w:rsidTr="009C13A9">
        <w:trPr>
          <w:cantSplit/>
        </w:trPr>
        <w:tc>
          <w:tcPr>
            <w:tcW w:w="1814" w:type="dxa"/>
            <w:tcBorders>
              <w:bottom w:val="single" w:sz="6" w:space="0" w:color="auto"/>
              <w:right w:val="single" w:sz="6" w:space="0" w:color="auto"/>
            </w:tcBorders>
          </w:tcPr>
          <w:p w:rsidR="009C13A9" w:rsidRPr="00C903F8" w:rsidRDefault="009C13A9" w:rsidP="009C13A9">
            <w:pPr>
              <w:jc w:val="center"/>
              <w:rPr>
                <w:noProof/>
                <w:sz w:val="16"/>
                <w:szCs w:val="20"/>
              </w:rPr>
            </w:pPr>
            <w:r>
              <w:rPr>
                <w:noProof/>
                <w:sz w:val="16"/>
              </w:rPr>
              <w:t>Voce</w:t>
            </w:r>
          </w:p>
        </w:tc>
        <w:tc>
          <w:tcPr>
            <w:tcW w:w="1814" w:type="dxa"/>
            <w:tcBorders>
              <w:left w:val="single" w:sz="6" w:space="0" w:color="auto"/>
              <w:bottom w:val="single" w:sz="6" w:space="0" w:color="auto"/>
              <w:right w:val="single" w:sz="6" w:space="0" w:color="auto"/>
            </w:tcBorders>
          </w:tcPr>
          <w:p w:rsidR="009C13A9" w:rsidRPr="00C903F8" w:rsidRDefault="009C13A9" w:rsidP="009C13A9">
            <w:pPr>
              <w:jc w:val="center"/>
              <w:rPr>
                <w:noProof/>
                <w:sz w:val="16"/>
                <w:szCs w:val="20"/>
              </w:rPr>
            </w:pPr>
            <w:r>
              <w:rPr>
                <w:noProof/>
                <w:sz w:val="16"/>
              </w:rPr>
              <w:t>Tipo</w:t>
            </w:r>
          </w:p>
        </w:tc>
        <w:tc>
          <w:tcPr>
            <w:tcW w:w="1814" w:type="dxa"/>
            <w:tcBorders>
              <w:left w:val="single" w:sz="6" w:space="0" w:color="auto"/>
              <w:bottom w:val="single" w:sz="6" w:space="0" w:color="auto"/>
              <w:right w:val="single" w:sz="6" w:space="0" w:color="auto"/>
            </w:tcBorders>
          </w:tcPr>
          <w:p w:rsidR="009C13A9" w:rsidRPr="00C903F8" w:rsidRDefault="009C13A9" w:rsidP="009C13A9">
            <w:pPr>
              <w:jc w:val="center"/>
              <w:rPr>
                <w:noProof/>
                <w:sz w:val="16"/>
                <w:szCs w:val="20"/>
              </w:rPr>
            </w:pPr>
            <w:r>
              <w:rPr>
                <w:noProof/>
                <w:sz w:val="16"/>
              </w:rPr>
              <w:t>Fabbricante</w:t>
            </w:r>
          </w:p>
        </w:tc>
        <w:tc>
          <w:tcPr>
            <w:tcW w:w="1814" w:type="dxa"/>
            <w:tcBorders>
              <w:left w:val="single" w:sz="6" w:space="0" w:color="auto"/>
              <w:bottom w:val="single" w:sz="6" w:space="0" w:color="auto"/>
              <w:right w:val="single" w:sz="6" w:space="0" w:color="auto"/>
            </w:tcBorders>
          </w:tcPr>
          <w:p w:rsidR="009C13A9" w:rsidRPr="00C903F8" w:rsidRDefault="009C13A9" w:rsidP="009C13A9">
            <w:pPr>
              <w:jc w:val="center"/>
              <w:rPr>
                <w:noProof/>
                <w:sz w:val="16"/>
                <w:szCs w:val="20"/>
              </w:rPr>
            </w:pPr>
            <w:r>
              <w:rPr>
                <w:noProof/>
                <w:sz w:val="16"/>
              </w:rPr>
              <w:t>Numero di omologazione</w:t>
            </w:r>
          </w:p>
        </w:tc>
        <w:tc>
          <w:tcPr>
            <w:tcW w:w="1814" w:type="dxa"/>
            <w:tcBorders>
              <w:left w:val="single" w:sz="6" w:space="0" w:color="auto"/>
              <w:bottom w:val="single" w:sz="6" w:space="0" w:color="auto"/>
            </w:tcBorders>
          </w:tcPr>
          <w:p w:rsidR="009C13A9" w:rsidRPr="00C903F8" w:rsidRDefault="009C13A9" w:rsidP="009C13A9">
            <w:pPr>
              <w:jc w:val="center"/>
              <w:rPr>
                <w:noProof/>
                <w:sz w:val="16"/>
                <w:szCs w:val="20"/>
              </w:rPr>
            </w:pPr>
            <w:r>
              <w:rPr>
                <w:noProof/>
                <w:sz w:val="16"/>
              </w:rPr>
              <w:t>Numero di serie</w:t>
            </w:r>
          </w:p>
        </w:tc>
      </w:tr>
      <w:tr w:rsidR="009C13A9" w:rsidRPr="00C903F8" w:rsidTr="009C13A9">
        <w:trPr>
          <w:cantSplit/>
        </w:trPr>
        <w:tc>
          <w:tcPr>
            <w:tcW w:w="1814" w:type="dxa"/>
            <w:tcBorders>
              <w:top w:val="single" w:sz="6" w:space="0" w:color="auto"/>
              <w:right w:val="single" w:sz="6" w:space="0" w:color="auto"/>
            </w:tcBorders>
          </w:tcPr>
          <w:p w:rsidR="009C13A9" w:rsidRPr="00C903F8" w:rsidRDefault="009C13A9" w:rsidP="009C13A9">
            <w:pPr>
              <w:tabs>
                <w:tab w:val="left" w:pos="284"/>
              </w:tabs>
              <w:overflowPunct w:val="0"/>
              <w:adjustRightInd w:val="0"/>
              <w:ind w:left="0" w:hanging="397"/>
              <w:jc w:val="center"/>
              <w:textAlignment w:val="baseline"/>
              <w:rPr>
                <w:rFonts w:cs="Arial"/>
                <w:snapToGrid w:val="0"/>
                <w:sz w:val="22"/>
                <w:szCs w:val="20"/>
              </w:rPr>
            </w:pPr>
          </w:p>
        </w:tc>
        <w:tc>
          <w:tcPr>
            <w:tcW w:w="1814" w:type="dxa"/>
            <w:tcBorders>
              <w:top w:val="single" w:sz="6" w:space="0" w:color="auto"/>
              <w:left w:val="single" w:sz="6" w:space="0" w:color="auto"/>
              <w:right w:val="single" w:sz="6" w:space="0" w:color="auto"/>
            </w:tcBorders>
          </w:tcPr>
          <w:p w:rsidR="009C13A9" w:rsidRPr="00C903F8" w:rsidRDefault="009C13A9" w:rsidP="009C13A9">
            <w:pPr>
              <w:tabs>
                <w:tab w:val="left" w:pos="284"/>
              </w:tabs>
              <w:overflowPunct w:val="0"/>
              <w:adjustRightInd w:val="0"/>
              <w:ind w:left="0" w:hanging="397"/>
              <w:jc w:val="center"/>
              <w:textAlignment w:val="baseline"/>
              <w:rPr>
                <w:rFonts w:cs="Arial"/>
                <w:snapToGrid w:val="0"/>
                <w:sz w:val="16"/>
                <w:szCs w:val="16"/>
              </w:rPr>
            </w:pPr>
          </w:p>
        </w:tc>
        <w:tc>
          <w:tcPr>
            <w:tcW w:w="1814" w:type="dxa"/>
            <w:tcBorders>
              <w:top w:val="single" w:sz="6" w:space="0" w:color="auto"/>
              <w:left w:val="single" w:sz="6" w:space="0" w:color="auto"/>
              <w:right w:val="single" w:sz="6" w:space="0" w:color="auto"/>
            </w:tcBorders>
          </w:tcPr>
          <w:p w:rsidR="009C13A9" w:rsidRPr="00C903F8" w:rsidRDefault="009C13A9" w:rsidP="009C13A9">
            <w:pPr>
              <w:tabs>
                <w:tab w:val="left" w:pos="284"/>
              </w:tabs>
              <w:overflowPunct w:val="0"/>
              <w:adjustRightInd w:val="0"/>
              <w:ind w:left="0" w:hanging="397"/>
              <w:jc w:val="center"/>
              <w:textAlignment w:val="baseline"/>
              <w:rPr>
                <w:rFonts w:cs="Arial"/>
                <w:snapToGrid w:val="0"/>
                <w:sz w:val="22"/>
                <w:szCs w:val="20"/>
              </w:rPr>
            </w:pPr>
          </w:p>
        </w:tc>
        <w:tc>
          <w:tcPr>
            <w:tcW w:w="1814" w:type="dxa"/>
            <w:tcBorders>
              <w:top w:val="single" w:sz="6" w:space="0" w:color="auto"/>
              <w:left w:val="single" w:sz="6" w:space="0" w:color="auto"/>
              <w:right w:val="single" w:sz="6" w:space="0" w:color="auto"/>
            </w:tcBorders>
          </w:tcPr>
          <w:p w:rsidR="009C13A9" w:rsidRPr="00C903F8" w:rsidRDefault="009C13A9" w:rsidP="009C13A9">
            <w:pPr>
              <w:tabs>
                <w:tab w:val="left" w:pos="284"/>
              </w:tabs>
              <w:overflowPunct w:val="0"/>
              <w:adjustRightInd w:val="0"/>
              <w:ind w:left="0" w:hanging="397"/>
              <w:jc w:val="center"/>
              <w:textAlignment w:val="baseline"/>
              <w:rPr>
                <w:rFonts w:cs="Arial"/>
                <w:snapToGrid w:val="0"/>
                <w:sz w:val="22"/>
                <w:szCs w:val="20"/>
              </w:rPr>
            </w:pPr>
          </w:p>
        </w:tc>
        <w:tc>
          <w:tcPr>
            <w:tcW w:w="1814" w:type="dxa"/>
            <w:tcBorders>
              <w:top w:val="single" w:sz="6" w:space="0" w:color="auto"/>
              <w:left w:val="single" w:sz="6" w:space="0" w:color="auto"/>
            </w:tcBorders>
          </w:tcPr>
          <w:p w:rsidR="009C13A9" w:rsidRPr="00C903F8" w:rsidRDefault="009C13A9" w:rsidP="009C13A9">
            <w:pPr>
              <w:tabs>
                <w:tab w:val="left" w:pos="284"/>
              </w:tabs>
              <w:overflowPunct w:val="0"/>
              <w:adjustRightInd w:val="0"/>
              <w:ind w:left="0" w:hanging="397"/>
              <w:jc w:val="center"/>
              <w:textAlignment w:val="baseline"/>
              <w:rPr>
                <w:rFonts w:cs="Arial"/>
                <w:snapToGrid w:val="0"/>
                <w:sz w:val="22"/>
                <w:szCs w:val="20"/>
              </w:rPr>
            </w:pPr>
          </w:p>
        </w:tc>
      </w:tr>
    </w:tbl>
    <w:p w:rsidR="009C13A9" w:rsidRPr="00C903F8" w:rsidRDefault="009C13A9" w:rsidP="009C13A9">
      <w:pPr>
        <w:tabs>
          <w:tab w:val="left" w:leader="dot" w:pos="9072"/>
        </w:tabs>
        <w:spacing w:line="240" w:lineRule="atLeast"/>
        <w:ind w:left="0" w:firstLine="0"/>
        <w:rPr>
          <w:rFonts w:cs="Arial"/>
        </w:rPr>
      </w:pPr>
    </w:p>
    <w:p w:rsidR="009C13A9" w:rsidRPr="00C903F8" w:rsidRDefault="009C13A9" w:rsidP="009C13A9">
      <w:pPr>
        <w:tabs>
          <w:tab w:val="left" w:pos="284"/>
          <w:tab w:val="left" w:pos="5670"/>
          <w:tab w:val="left" w:leader="dot" w:pos="7655"/>
        </w:tabs>
        <w:overflowPunct w:val="0"/>
        <w:adjustRightInd w:val="0"/>
        <w:ind w:left="0" w:firstLine="0"/>
        <w:textAlignment w:val="baseline"/>
        <w:rPr>
          <w:rFonts w:cs="Arial"/>
          <w:snapToGrid w:val="0"/>
          <w:szCs w:val="20"/>
        </w:rPr>
      </w:pPr>
      <w:r>
        <w:rPr>
          <w:b/>
          <w:noProof/>
          <w:snapToGrid w:val="0"/>
        </w:rPr>
        <w:t>Indicatori della velocità di accostata</w:t>
      </w:r>
      <w:r>
        <w:t>:</w:t>
      </w:r>
      <w:r>
        <w:tab/>
        <w:t xml:space="preserve">Numero: </w:t>
      </w:r>
      <w:r>
        <w:tab/>
      </w:r>
    </w:p>
    <w:p w:rsidR="009C13A9" w:rsidRPr="00C903F8" w:rsidRDefault="009C13A9" w:rsidP="009C13A9">
      <w:pPr>
        <w:tabs>
          <w:tab w:val="left" w:leader="dot" w:pos="9072"/>
        </w:tabs>
        <w:spacing w:line="240" w:lineRule="atLeast"/>
        <w:ind w:left="0" w:firstLine="0"/>
        <w:rPr>
          <w:rFonts w:cs="Arial"/>
          <w:snapToGrid w:val="0"/>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9C13A9" w:rsidRPr="00C903F8" w:rsidTr="009C13A9">
        <w:trPr>
          <w:cantSplit/>
        </w:trPr>
        <w:tc>
          <w:tcPr>
            <w:tcW w:w="1814" w:type="dxa"/>
            <w:tcBorders>
              <w:bottom w:val="single" w:sz="6" w:space="0" w:color="auto"/>
              <w:right w:val="single" w:sz="6" w:space="0" w:color="auto"/>
            </w:tcBorders>
          </w:tcPr>
          <w:p w:rsidR="009C13A9" w:rsidRPr="00C903F8" w:rsidRDefault="009C13A9" w:rsidP="009C13A9">
            <w:pPr>
              <w:jc w:val="center"/>
              <w:rPr>
                <w:noProof/>
                <w:sz w:val="16"/>
                <w:szCs w:val="20"/>
              </w:rPr>
            </w:pPr>
            <w:r>
              <w:rPr>
                <w:noProof/>
                <w:sz w:val="16"/>
              </w:rPr>
              <w:t>Voce</w:t>
            </w:r>
          </w:p>
        </w:tc>
        <w:tc>
          <w:tcPr>
            <w:tcW w:w="1814" w:type="dxa"/>
            <w:tcBorders>
              <w:left w:val="single" w:sz="6" w:space="0" w:color="auto"/>
              <w:bottom w:val="single" w:sz="6" w:space="0" w:color="auto"/>
              <w:right w:val="single" w:sz="6" w:space="0" w:color="auto"/>
            </w:tcBorders>
          </w:tcPr>
          <w:p w:rsidR="009C13A9" w:rsidRPr="00C903F8" w:rsidRDefault="009C13A9" w:rsidP="009C13A9">
            <w:pPr>
              <w:jc w:val="center"/>
              <w:rPr>
                <w:noProof/>
                <w:sz w:val="16"/>
                <w:szCs w:val="20"/>
              </w:rPr>
            </w:pPr>
            <w:r>
              <w:rPr>
                <w:noProof/>
                <w:sz w:val="16"/>
              </w:rPr>
              <w:t>Tipo</w:t>
            </w:r>
          </w:p>
        </w:tc>
        <w:tc>
          <w:tcPr>
            <w:tcW w:w="1814" w:type="dxa"/>
            <w:tcBorders>
              <w:left w:val="single" w:sz="6" w:space="0" w:color="auto"/>
              <w:bottom w:val="single" w:sz="6" w:space="0" w:color="auto"/>
              <w:right w:val="single" w:sz="6" w:space="0" w:color="auto"/>
            </w:tcBorders>
          </w:tcPr>
          <w:p w:rsidR="009C13A9" w:rsidRPr="00C903F8" w:rsidRDefault="009C13A9" w:rsidP="009C13A9">
            <w:pPr>
              <w:jc w:val="center"/>
              <w:rPr>
                <w:noProof/>
                <w:sz w:val="16"/>
                <w:szCs w:val="20"/>
              </w:rPr>
            </w:pPr>
            <w:r>
              <w:rPr>
                <w:noProof/>
                <w:sz w:val="16"/>
              </w:rPr>
              <w:t>Fabbricante</w:t>
            </w:r>
          </w:p>
        </w:tc>
        <w:tc>
          <w:tcPr>
            <w:tcW w:w="1814" w:type="dxa"/>
            <w:tcBorders>
              <w:left w:val="single" w:sz="6" w:space="0" w:color="auto"/>
              <w:bottom w:val="single" w:sz="6" w:space="0" w:color="auto"/>
              <w:right w:val="single" w:sz="6" w:space="0" w:color="auto"/>
            </w:tcBorders>
          </w:tcPr>
          <w:p w:rsidR="009C13A9" w:rsidRPr="00C903F8" w:rsidRDefault="009C13A9" w:rsidP="009C13A9">
            <w:pPr>
              <w:jc w:val="center"/>
              <w:rPr>
                <w:noProof/>
                <w:sz w:val="16"/>
                <w:szCs w:val="20"/>
              </w:rPr>
            </w:pPr>
            <w:r>
              <w:rPr>
                <w:noProof/>
                <w:sz w:val="16"/>
              </w:rPr>
              <w:t>Numero di omologazione</w:t>
            </w:r>
          </w:p>
        </w:tc>
        <w:tc>
          <w:tcPr>
            <w:tcW w:w="1814" w:type="dxa"/>
            <w:tcBorders>
              <w:left w:val="single" w:sz="6" w:space="0" w:color="auto"/>
              <w:bottom w:val="single" w:sz="6" w:space="0" w:color="auto"/>
            </w:tcBorders>
          </w:tcPr>
          <w:p w:rsidR="009C13A9" w:rsidRPr="00C903F8" w:rsidRDefault="009C13A9" w:rsidP="009C13A9">
            <w:pPr>
              <w:jc w:val="center"/>
              <w:rPr>
                <w:noProof/>
                <w:sz w:val="16"/>
                <w:szCs w:val="20"/>
              </w:rPr>
            </w:pPr>
            <w:r>
              <w:rPr>
                <w:noProof/>
                <w:sz w:val="16"/>
              </w:rPr>
              <w:t>Numero di serie</w:t>
            </w:r>
          </w:p>
        </w:tc>
      </w:tr>
      <w:tr w:rsidR="009C13A9" w:rsidRPr="00C903F8" w:rsidTr="009C13A9">
        <w:trPr>
          <w:cantSplit/>
        </w:trPr>
        <w:tc>
          <w:tcPr>
            <w:tcW w:w="1814" w:type="dxa"/>
            <w:tcBorders>
              <w:top w:val="single" w:sz="6" w:space="0" w:color="auto"/>
              <w:right w:val="single" w:sz="6" w:space="0" w:color="auto"/>
            </w:tcBorders>
          </w:tcPr>
          <w:p w:rsidR="009C13A9" w:rsidRPr="00C903F8" w:rsidRDefault="009C13A9" w:rsidP="009C13A9">
            <w:pPr>
              <w:tabs>
                <w:tab w:val="left" w:pos="284"/>
              </w:tabs>
              <w:overflowPunct w:val="0"/>
              <w:adjustRightInd w:val="0"/>
              <w:ind w:left="0" w:hanging="397"/>
              <w:jc w:val="center"/>
              <w:textAlignment w:val="baseline"/>
              <w:rPr>
                <w:rFonts w:cs="Arial"/>
                <w:snapToGrid w:val="0"/>
                <w:sz w:val="22"/>
                <w:szCs w:val="20"/>
              </w:rPr>
            </w:pPr>
          </w:p>
        </w:tc>
        <w:tc>
          <w:tcPr>
            <w:tcW w:w="1814" w:type="dxa"/>
            <w:tcBorders>
              <w:top w:val="single" w:sz="6" w:space="0" w:color="auto"/>
              <w:left w:val="single" w:sz="6" w:space="0" w:color="auto"/>
              <w:right w:val="single" w:sz="6" w:space="0" w:color="auto"/>
            </w:tcBorders>
          </w:tcPr>
          <w:p w:rsidR="009C13A9" w:rsidRPr="00C903F8" w:rsidRDefault="009C13A9" w:rsidP="009C13A9">
            <w:pPr>
              <w:tabs>
                <w:tab w:val="left" w:pos="284"/>
              </w:tabs>
              <w:overflowPunct w:val="0"/>
              <w:adjustRightInd w:val="0"/>
              <w:ind w:left="0" w:hanging="397"/>
              <w:jc w:val="center"/>
              <w:textAlignment w:val="baseline"/>
              <w:rPr>
                <w:rFonts w:cs="Arial"/>
                <w:snapToGrid w:val="0"/>
                <w:sz w:val="16"/>
                <w:szCs w:val="16"/>
              </w:rPr>
            </w:pPr>
          </w:p>
        </w:tc>
        <w:tc>
          <w:tcPr>
            <w:tcW w:w="1814" w:type="dxa"/>
            <w:tcBorders>
              <w:top w:val="single" w:sz="6" w:space="0" w:color="auto"/>
              <w:left w:val="single" w:sz="6" w:space="0" w:color="auto"/>
              <w:right w:val="single" w:sz="6" w:space="0" w:color="auto"/>
            </w:tcBorders>
          </w:tcPr>
          <w:p w:rsidR="009C13A9" w:rsidRPr="00C903F8" w:rsidRDefault="009C13A9" w:rsidP="009C13A9">
            <w:pPr>
              <w:tabs>
                <w:tab w:val="left" w:pos="284"/>
              </w:tabs>
              <w:overflowPunct w:val="0"/>
              <w:adjustRightInd w:val="0"/>
              <w:ind w:left="0" w:hanging="397"/>
              <w:jc w:val="center"/>
              <w:textAlignment w:val="baseline"/>
              <w:rPr>
                <w:rFonts w:cs="Arial"/>
                <w:snapToGrid w:val="0"/>
                <w:sz w:val="22"/>
                <w:szCs w:val="20"/>
              </w:rPr>
            </w:pPr>
          </w:p>
        </w:tc>
        <w:tc>
          <w:tcPr>
            <w:tcW w:w="1814" w:type="dxa"/>
            <w:tcBorders>
              <w:top w:val="single" w:sz="6" w:space="0" w:color="auto"/>
              <w:left w:val="single" w:sz="6" w:space="0" w:color="auto"/>
              <w:right w:val="single" w:sz="6" w:space="0" w:color="auto"/>
            </w:tcBorders>
          </w:tcPr>
          <w:p w:rsidR="009C13A9" w:rsidRPr="00C903F8" w:rsidRDefault="009C13A9" w:rsidP="009C13A9">
            <w:pPr>
              <w:tabs>
                <w:tab w:val="left" w:pos="284"/>
              </w:tabs>
              <w:overflowPunct w:val="0"/>
              <w:adjustRightInd w:val="0"/>
              <w:ind w:left="0" w:hanging="397"/>
              <w:jc w:val="center"/>
              <w:textAlignment w:val="baseline"/>
              <w:rPr>
                <w:rFonts w:cs="Arial"/>
                <w:snapToGrid w:val="0"/>
                <w:sz w:val="22"/>
                <w:szCs w:val="20"/>
              </w:rPr>
            </w:pPr>
          </w:p>
        </w:tc>
        <w:tc>
          <w:tcPr>
            <w:tcW w:w="1814" w:type="dxa"/>
            <w:tcBorders>
              <w:top w:val="single" w:sz="6" w:space="0" w:color="auto"/>
              <w:left w:val="single" w:sz="6" w:space="0" w:color="auto"/>
            </w:tcBorders>
          </w:tcPr>
          <w:p w:rsidR="009C13A9" w:rsidRPr="00C903F8" w:rsidRDefault="009C13A9" w:rsidP="009C13A9">
            <w:pPr>
              <w:tabs>
                <w:tab w:val="left" w:pos="284"/>
              </w:tabs>
              <w:overflowPunct w:val="0"/>
              <w:adjustRightInd w:val="0"/>
              <w:ind w:left="0" w:hanging="397"/>
              <w:jc w:val="center"/>
              <w:textAlignment w:val="baseline"/>
              <w:rPr>
                <w:rFonts w:cs="Arial"/>
                <w:snapToGrid w:val="0"/>
                <w:sz w:val="22"/>
                <w:szCs w:val="20"/>
              </w:rPr>
            </w:pPr>
          </w:p>
        </w:tc>
      </w:tr>
    </w:tbl>
    <w:p w:rsidR="009C13A9" w:rsidRPr="00C903F8" w:rsidRDefault="009C13A9" w:rsidP="009C13A9">
      <w:pPr>
        <w:tabs>
          <w:tab w:val="left" w:leader="dot" w:pos="9072"/>
        </w:tabs>
        <w:spacing w:line="240" w:lineRule="atLeast"/>
        <w:ind w:left="0" w:firstLine="0"/>
        <w:rPr>
          <w:rFonts w:cs="Arial"/>
          <w:snapToGrid w:val="0"/>
        </w:rPr>
      </w:pPr>
    </w:p>
    <w:p w:rsidR="009C13A9" w:rsidRPr="00C903F8" w:rsidRDefault="009C13A9" w:rsidP="009C13A9">
      <w:pPr>
        <w:tabs>
          <w:tab w:val="left" w:pos="284"/>
          <w:tab w:val="left" w:pos="5670"/>
          <w:tab w:val="left" w:leader="dot" w:pos="7655"/>
        </w:tabs>
        <w:overflowPunct w:val="0"/>
        <w:adjustRightInd w:val="0"/>
        <w:ind w:left="0" w:firstLine="0"/>
        <w:textAlignment w:val="baseline"/>
        <w:rPr>
          <w:rFonts w:cs="Arial"/>
          <w:snapToGrid w:val="0"/>
          <w:color w:val="000000"/>
          <w:szCs w:val="20"/>
        </w:rPr>
      </w:pPr>
      <w:r>
        <w:rPr>
          <w:b/>
          <w:noProof/>
          <w:snapToGrid w:val="0"/>
          <w:color w:val="000000"/>
        </w:rPr>
        <w:t>Dispositivo AIS interno:</w:t>
      </w:r>
    </w:p>
    <w:p w:rsidR="009C13A9" w:rsidRPr="00C903F8" w:rsidRDefault="009C13A9" w:rsidP="009C13A9">
      <w:pPr>
        <w:tabs>
          <w:tab w:val="left" w:pos="284"/>
        </w:tabs>
        <w:overflowPunct w:val="0"/>
        <w:adjustRightInd w:val="0"/>
        <w:ind w:left="0" w:firstLine="0"/>
        <w:textAlignment w:val="baseline"/>
        <w:rPr>
          <w:rFonts w:cs="Arial"/>
          <w:snapToGrid w:val="0"/>
          <w:color w:val="000000"/>
          <w:szCs w:val="20"/>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5C3F09" w:rsidRPr="00C903F8" w:rsidTr="005C3F09">
        <w:trPr>
          <w:cantSplit/>
        </w:trPr>
        <w:tc>
          <w:tcPr>
            <w:tcW w:w="1814" w:type="dxa"/>
            <w:tcBorders>
              <w:bottom w:val="single" w:sz="6" w:space="0" w:color="auto"/>
              <w:right w:val="single" w:sz="6" w:space="0" w:color="auto"/>
            </w:tcBorders>
          </w:tcPr>
          <w:p w:rsidR="005C3F09" w:rsidRPr="00C903F8" w:rsidRDefault="005C3F09" w:rsidP="005C3F09">
            <w:pPr>
              <w:jc w:val="center"/>
              <w:rPr>
                <w:noProof/>
                <w:sz w:val="16"/>
                <w:szCs w:val="20"/>
              </w:rPr>
            </w:pPr>
            <w:r>
              <w:rPr>
                <w:noProof/>
                <w:sz w:val="16"/>
              </w:rPr>
              <w:t>Voce</w:t>
            </w:r>
          </w:p>
        </w:tc>
        <w:tc>
          <w:tcPr>
            <w:tcW w:w="1814" w:type="dxa"/>
            <w:tcBorders>
              <w:left w:val="single" w:sz="6" w:space="0" w:color="auto"/>
              <w:bottom w:val="single" w:sz="6" w:space="0" w:color="auto"/>
              <w:right w:val="single" w:sz="6" w:space="0" w:color="auto"/>
            </w:tcBorders>
          </w:tcPr>
          <w:p w:rsidR="005C3F09" w:rsidRPr="00C903F8" w:rsidRDefault="005C3F09" w:rsidP="005C3F09">
            <w:pPr>
              <w:jc w:val="center"/>
              <w:rPr>
                <w:noProof/>
                <w:sz w:val="16"/>
                <w:szCs w:val="20"/>
              </w:rPr>
            </w:pPr>
            <w:r>
              <w:rPr>
                <w:noProof/>
                <w:sz w:val="16"/>
              </w:rPr>
              <w:t>Tipo</w:t>
            </w:r>
          </w:p>
        </w:tc>
        <w:tc>
          <w:tcPr>
            <w:tcW w:w="1814" w:type="dxa"/>
            <w:tcBorders>
              <w:left w:val="single" w:sz="6" w:space="0" w:color="auto"/>
              <w:bottom w:val="single" w:sz="6" w:space="0" w:color="auto"/>
              <w:right w:val="single" w:sz="6" w:space="0" w:color="auto"/>
            </w:tcBorders>
          </w:tcPr>
          <w:p w:rsidR="005C3F09" w:rsidRPr="00C903F8" w:rsidRDefault="005C3F09" w:rsidP="005C3F09">
            <w:pPr>
              <w:jc w:val="center"/>
              <w:rPr>
                <w:noProof/>
                <w:sz w:val="16"/>
                <w:szCs w:val="20"/>
              </w:rPr>
            </w:pPr>
            <w:r>
              <w:rPr>
                <w:noProof/>
                <w:sz w:val="16"/>
              </w:rPr>
              <w:t>Fabbricante</w:t>
            </w:r>
          </w:p>
        </w:tc>
        <w:tc>
          <w:tcPr>
            <w:tcW w:w="1814" w:type="dxa"/>
            <w:tcBorders>
              <w:left w:val="single" w:sz="6" w:space="0" w:color="auto"/>
              <w:bottom w:val="single" w:sz="6" w:space="0" w:color="auto"/>
              <w:right w:val="single" w:sz="6" w:space="0" w:color="auto"/>
            </w:tcBorders>
          </w:tcPr>
          <w:p w:rsidR="005C3F09" w:rsidRPr="00C903F8" w:rsidRDefault="005C3F09" w:rsidP="005C3F09">
            <w:pPr>
              <w:jc w:val="center"/>
              <w:rPr>
                <w:noProof/>
                <w:sz w:val="16"/>
                <w:szCs w:val="20"/>
              </w:rPr>
            </w:pPr>
            <w:r>
              <w:rPr>
                <w:noProof/>
                <w:sz w:val="16"/>
              </w:rPr>
              <w:t>Numero di omologazione</w:t>
            </w:r>
          </w:p>
        </w:tc>
        <w:tc>
          <w:tcPr>
            <w:tcW w:w="1814" w:type="dxa"/>
            <w:tcBorders>
              <w:left w:val="single" w:sz="6" w:space="0" w:color="auto"/>
              <w:bottom w:val="single" w:sz="6" w:space="0" w:color="auto"/>
            </w:tcBorders>
          </w:tcPr>
          <w:p w:rsidR="005C3F09" w:rsidRPr="00C903F8" w:rsidRDefault="005C3F09" w:rsidP="005C3F09">
            <w:pPr>
              <w:jc w:val="center"/>
              <w:rPr>
                <w:noProof/>
                <w:sz w:val="16"/>
                <w:szCs w:val="20"/>
              </w:rPr>
            </w:pPr>
            <w:r>
              <w:rPr>
                <w:noProof/>
                <w:sz w:val="16"/>
              </w:rPr>
              <w:t>Numero di serie</w:t>
            </w:r>
          </w:p>
        </w:tc>
      </w:tr>
      <w:tr w:rsidR="005C3F09" w:rsidRPr="00C903F8" w:rsidTr="005C3F09">
        <w:trPr>
          <w:cantSplit/>
        </w:trPr>
        <w:tc>
          <w:tcPr>
            <w:tcW w:w="1814" w:type="dxa"/>
            <w:tcBorders>
              <w:top w:val="single" w:sz="6" w:space="0" w:color="auto"/>
              <w:right w:val="single" w:sz="6" w:space="0" w:color="auto"/>
            </w:tcBorders>
          </w:tcPr>
          <w:p w:rsidR="005C3F09" w:rsidRPr="00C903F8" w:rsidRDefault="005C3F09" w:rsidP="005C3F09">
            <w:pPr>
              <w:tabs>
                <w:tab w:val="left" w:pos="284"/>
              </w:tabs>
              <w:overflowPunct w:val="0"/>
              <w:adjustRightInd w:val="0"/>
              <w:ind w:left="0" w:hanging="397"/>
              <w:jc w:val="center"/>
              <w:textAlignment w:val="baseline"/>
              <w:rPr>
                <w:rFonts w:cs="Arial"/>
                <w:snapToGrid w:val="0"/>
                <w:sz w:val="22"/>
                <w:szCs w:val="20"/>
              </w:rPr>
            </w:pPr>
          </w:p>
        </w:tc>
        <w:tc>
          <w:tcPr>
            <w:tcW w:w="1814" w:type="dxa"/>
            <w:tcBorders>
              <w:top w:val="single" w:sz="6" w:space="0" w:color="auto"/>
              <w:left w:val="single" w:sz="6" w:space="0" w:color="auto"/>
              <w:right w:val="single" w:sz="6" w:space="0" w:color="auto"/>
            </w:tcBorders>
          </w:tcPr>
          <w:p w:rsidR="005C3F09" w:rsidRPr="00C903F8" w:rsidRDefault="005C3F09" w:rsidP="005C3F09">
            <w:pPr>
              <w:tabs>
                <w:tab w:val="left" w:pos="284"/>
              </w:tabs>
              <w:overflowPunct w:val="0"/>
              <w:adjustRightInd w:val="0"/>
              <w:ind w:left="0" w:hanging="397"/>
              <w:jc w:val="center"/>
              <w:textAlignment w:val="baseline"/>
              <w:rPr>
                <w:rFonts w:cs="Arial"/>
                <w:snapToGrid w:val="0"/>
                <w:sz w:val="16"/>
                <w:szCs w:val="16"/>
              </w:rPr>
            </w:pPr>
          </w:p>
        </w:tc>
        <w:tc>
          <w:tcPr>
            <w:tcW w:w="1814" w:type="dxa"/>
            <w:tcBorders>
              <w:top w:val="single" w:sz="6" w:space="0" w:color="auto"/>
              <w:left w:val="single" w:sz="6" w:space="0" w:color="auto"/>
              <w:right w:val="single" w:sz="6" w:space="0" w:color="auto"/>
            </w:tcBorders>
          </w:tcPr>
          <w:p w:rsidR="005C3F09" w:rsidRPr="00C903F8" w:rsidRDefault="005C3F09" w:rsidP="005C3F09">
            <w:pPr>
              <w:tabs>
                <w:tab w:val="left" w:pos="284"/>
              </w:tabs>
              <w:overflowPunct w:val="0"/>
              <w:adjustRightInd w:val="0"/>
              <w:ind w:left="0" w:hanging="397"/>
              <w:jc w:val="center"/>
              <w:textAlignment w:val="baseline"/>
              <w:rPr>
                <w:rFonts w:cs="Arial"/>
                <w:snapToGrid w:val="0"/>
                <w:sz w:val="22"/>
                <w:szCs w:val="20"/>
              </w:rPr>
            </w:pPr>
          </w:p>
        </w:tc>
        <w:tc>
          <w:tcPr>
            <w:tcW w:w="1814" w:type="dxa"/>
            <w:tcBorders>
              <w:top w:val="single" w:sz="6" w:space="0" w:color="auto"/>
              <w:left w:val="single" w:sz="6" w:space="0" w:color="auto"/>
              <w:right w:val="single" w:sz="6" w:space="0" w:color="auto"/>
            </w:tcBorders>
          </w:tcPr>
          <w:p w:rsidR="005C3F09" w:rsidRPr="00C903F8" w:rsidRDefault="005C3F09" w:rsidP="005C3F09">
            <w:pPr>
              <w:tabs>
                <w:tab w:val="left" w:pos="284"/>
              </w:tabs>
              <w:overflowPunct w:val="0"/>
              <w:adjustRightInd w:val="0"/>
              <w:ind w:left="0" w:hanging="397"/>
              <w:jc w:val="center"/>
              <w:textAlignment w:val="baseline"/>
              <w:rPr>
                <w:rFonts w:cs="Arial"/>
                <w:snapToGrid w:val="0"/>
                <w:sz w:val="22"/>
                <w:szCs w:val="20"/>
              </w:rPr>
            </w:pPr>
          </w:p>
        </w:tc>
        <w:tc>
          <w:tcPr>
            <w:tcW w:w="1814" w:type="dxa"/>
            <w:tcBorders>
              <w:top w:val="single" w:sz="6" w:space="0" w:color="auto"/>
              <w:left w:val="single" w:sz="6" w:space="0" w:color="auto"/>
            </w:tcBorders>
          </w:tcPr>
          <w:p w:rsidR="005C3F09" w:rsidRPr="00C903F8" w:rsidRDefault="005C3F09" w:rsidP="005C3F09">
            <w:pPr>
              <w:tabs>
                <w:tab w:val="left" w:pos="284"/>
              </w:tabs>
              <w:overflowPunct w:val="0"/>
              <w:adjustRightInd w:val="0"/>
              <w:ind w:left="0" w:hanging="397"/>
              <w:jc w:val="center"/>
              <w:textAlignment w:val="baseline"/>
              <w:rPr>
                <w:rFonts w:cs="Arial"/>
                <w:snapToGrid w:val="0"/>
                <w:sz w:val="22"/>
                <w:szCs w:val="20"/>
              </w:rPr>
            </w:pPr>
          </w:p>
        </w:tc>
      </w:tr>
    </w:tbl>
    <w:p w:rsidR="005C3F09" w:rsidRPr="00C903F8" w:rsidRDefault="005C3F09" w:rsidP="009C13A9">
      <w:pPr>
        <w:tabs>
          <w:tab w:val="left" w:pos="284"/>
        </w:tabs>
        <w:overflowPunct w:val="0"/>
        <w:adjustRightInd w:val="0"/>
        <w:ind w:left="0" w:firstLine="0"/>
        <w:textAlignment w:val="baseline"/>
        <w:rPr>
          <w:rFonts w:cs="Arial"/>
          <w:snapToGrid w:val="0"/>
          <w:color w:val="000000"/>
          <w:szCs w:val="20"/>
        </w:rPr>
      </w:pPr>
    </w:p>
    <w:p w:rsidR="005C3F09" w:rsidRPr="00C903F8" w:rsidRDefault="005C3F09" w:rsidP="009C13A9">
      <w:pPr>
        <w:tabs>
          <w:tab w:val="left" w:leader="dot" w:pos="9072"/>
        </w:tabs>
        <w:spacing w:line="240" w:lineRule="atLeast"/>
        <w:ind w:left="0" w:firstLine="0"/>
        <w:rPr>
          <w:noProof/>
        </w:rPr>
      </w:pPr>
      <w:r>
        <w:rPr>
          <w:b/>
          <w:noProof/>
        </w:rPr>
        <w:t>Tachigrafi</w:t>
      </w:r>
    </w:p>
    <w:p w:rsidR="005C3F09" w:rsidRPr="00C903F8" w:rsidRDefault="005C3F09" w:rsidP="009C13A9">
      <w:pPr>
        <w:tabs>
          <w:tab w:val="left" w:leader="dot" w:pos="9072"/>
        </w:tabs>
        <w:spacing w:line="240" w:lineRule="atLeast"/>
        <w:ind w:left="0" w:firstLine="0"/>
        <w:rPr>
          <w:rFonts w:cs="Arial"/>
          <w:noProof/>
        </w:rPr>
      </w:pPr>
      <w:r>
        <w:t>…</w:t>
      </w:r>
    </w:p>
    <w:p w:rsidR="005C3F09" w:rsidRPr="00C903F8" w:rsidRDefault="005C3F0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rPr>
      </w:pPr>
      <w:r>
        <w:t>Tramite il presente documento si certifica che gli impianti radar di navigazione, gli indicatori della velocità di accostata e il dispositivo AIS interno della nave, di cui sopra, sono conformi ai requisiti dell'allegato 5 della norma europea che stabilisce i requisiti tecnici per le navi della navigazione interna (ES-TRIN) concernenti l'installazione e la prova di funzionamento degli impianti radar di navigazione, degli indicatori della velocità di accostata e del dispositivo AIS interno per la navigazione interna.</w:t>
      </w:r>
    </w:p>
    <w:p w:rsidR="001A7DAB" w:rsidRPr="00C903F8" w:rsidRDefault="001A7DAB" w:rsidP="009C13A9">
      <w:pPr>
        <w:tabs>
          <w:tab w:val="left" w:leader="dot" w:pos="9072"/>
        </w:tabs>
        <w:spacing w:line="240" w:lineRule="atLeast"/>
        <w:ind w:left="0" w:firstLine="0"/>
        <w:rPr>
          <w:rFonts w:cs="Arial"/>
          <w:szCs w:val="20"/>
        </w:rPr>
      </w:pPr>
    </w:p>
    <w:p w:rsidR="009C13A9" w:rsidRPr="00C903F8" w:rsidRDefault="009C13A9" w:rsidP="009C13A9">
      <w:pPr>
        <w:tabs>
          <w:tab w:val="left" w:pos="284"/>
          <w:tab w:val="left" w:pos="5670"/>
        </w:tabs>
        <w:overflowPunct w:val="0"/>
        <w:adjustRightInd w:val="0"/>
        <w:ind w:left="0" w:firstLine="0"/>
        <w:textAlignment w:val="baseline"/>
        <w:rPr>
          <w:rFonts w:cs="Arial"/>
          <w:b/>
          <w:snapToGrid w:val="0"/>
          <w:color w:val="000000"/>
          <w:szCs w:val="20"/>
        </w:rPr>
      </w:pPr>
      <w:r>
        <w:rPr>
          <w:b/>
          <w:noProof/>
          <w:snapToGrid w:val="0"/>
          <w:color w:val="000000"/>
        </w:rPr>
        <w:t>Impresa specializzata autorizzata</w:t>
      </w:r>
    </w:p>
    <w:p w:rsidR="009C13A9" w:rsidRPr="00C903F8" w:rsidRDefault="009C13A9" w:rsidP="009C13A9">
      <w:pPr>
        <w:tabs>
          <w:tab w:val="left" w:leader="dot" w:pos="5103"/>
        </w:tabs>
        <w:overflowPunct w:val="0"/>
        <w:adjustRightInd w:val="0"/>
        <w:spacing w:before="120"/>
        <w:ind w:left="0" w:firstLine="0"/>
        <w:textAlignment w:val="baseline"/>
        <w:rPr>
          <w:rFonts w:cs="Arial"/>
          <w:snapToGrid w:val="0"/>
          <w:color w:val="000000"/>
          <w:szCs w:val="20"/>
        </w:rPr>
      </w:pPr>
      <w:r>
        <w:rPr>
          <w:noProof/>
          <w:snapToGrid w:val="0"/>
          <w:color w:val="000000"/>
        </w:rPr>
        <w:t xml:space="preserve">Nome: </w:t>
      </w:r>
      <w:r>
        <w:tab/>
      </w:r>
    </w:p>
    <w:p w:rsidR="009C13A9" w:rsidRPr="00C903F8" w:rsidRDefault="009C13A9" w:rsidP="009C13A9">
      <w:pPr>
        <w:tabs>
          <w:tab w:val="left" w:leader="dot" w:pos="9072"/>
        </w:tabs>
        <w:overflowPunct w:val="0"/>
        <w:adjustRightInd w:val="0"/>
        <w:spacing w:before="120"/>
        <w:ind w:left="0" w:firstLine="0"/>
        <w:textAlignment w:val="baseline"/>
        <w:rPr>
          <w:rFonts w:cs="Arial"/>
          <w:snapToGrid w:val="0"/>
          <w:color w:val="000000"/>
          <w:szCs w:val="20"/>
        </w:rPr>
      </w:pPr>
      <w:r>
        <w:rPr>
          <w:noProof/>
          <w:snapToGrid w:val="0"/>
          <w:color w:val="000000"/>
        </w:rPr>
        <w:t xml:space="preserve">Indirizzo: </w:t>
      </w:r>
      <w:r>
        <w:tab/>
      </w:r>
    </w:p>
    <w:p w:rsidR="009C13A9" w:rsidRPr="00C903F8" w:rsidRDefault="009C13A9" w:rsidP="009C13A9">
      <w:pPr>
        <w:tabs>
          <w:tab w:val="left" w:leader="dot" w:pos="3402"/>
        </w:tabs>
        <w:overflowPunct w:val="0"/>
        <w:adjustRightInd w:val="0"/>
        <w:spacing w:before="120"/>
        <w:ind w:left="0" w:firstLine="0"/>
        <w:textAlignment w:val="baseline"/>
        <w:rPr>
          <w:rFonts w:cs="Arial"/>
          <w:snapToGrid w:val="0"/>
          <w:color w:val="000000"/>
          <w:szCs w:val="20"/>
        </w:rPr>
      </w:pPr>
      <w:r>
        <w:rPr>
          <w:noProof/>
          <w:snapToGrid w:val="0"/>
          <w:color w:val="000000"/>
        </w:rPr>
        <w:t xml:space="preserve">Telefono: </w:t>
      </w:r>
      <w:r>
        <w:tab/>
      </w:r>
    </w:p>
    <w:p w:rsidR="009C13A9" w:rsidRPr="00C903F8" w:rsidRDefault="009C13A9" w:rsidP="009C13A9">
      <w:pPr>
        <w:tabs>
          <w:tab w:val="left" w:pos="284"/>
        </w:tabs>
        <w:overflowPunct w:val="0"/>
        <w:adjustRightInd w:val="0"/>
        <w:spacing w:before="120"/>
        <w:ind w:left="0" w:firstLine="0"/>
        <w:textAlignment w:val="baseline"/>
        <w:rPr>
          <w:rFonts w:cs="Arial"/>
          <w:snapToGrid w:val="0"/>
          <w:color w:val="000000"/>
          <w:szCs w:val="20"/>
        </w:rPr>
      </w:pPr>
    </w:p>
    <w:p w:rsidR="009C13A9" w:rsidRPr="00C903F8" w:rsidRDefault="009C13A9" w:rsidP="003E6750">
      <w:pPr>
        <w:tabs>
          <w:tab w:val="center" w:pos="1134"/>
          <w:tab w:val="left" w:pos="3969"/>
          <w:tab w:val="left" w:leader="dot" w:pos="6237"/>
          <w:tab w:val="left" w:pos="6521"/>
          <w:tab w:val="left" w:leader="dot" w:pos="9072"/>
        </w:tabs>
        <w:overflowPunct w:val="0"/>
        <w:adjustRightInd w:val="0"/>
        <w:ind w:left="0" w:firstLine="0"/>
        <w:textAlignment w:val="baseline"/>
        <w:rPr>
          <w:rFonts w:cs="Arial"/>
          <w:snapToGrid w:val="0"/>
          <w:color w:val="000000"/>
          <w:szCs w:val="20"/>
        </w:rPr>
      </w:pPr>
      <w:r>
        <w:tab/>
      </w:r>
      <w:r>
        <w:rPr>
          <w:noProof/>
          <w:snapToGrid w:val="0"/>
          <w:color w:val="000000"/>
        </w:rPr>
        <w:t>Timbro</w:t>
      </w:r>
      <w:r>
        <w:tab/>
      </w:r>
      <w:r>
        <w:rPr>
          <w:noProof/>
          <w:snapToGrid w:val="0"/>
          <w:color w:val="000000"/>
        </w:rPr>
        <w:t xml:space="preserve">Luogo </w:t>
      </w:r>
      <w:r>
        <w:tab/>
      </w:r>
      <w:r>
        <w:rPr>
          <w:snapToGrid w:val="0"/>
          <w:color w:val="000000"/>
        </w:rPr>
        <w:t xml:space="preserve"> </w:t>
      </w:r>
      <w:r>
        <w:tab/>
      </w:r>
      <w:r>
        <w:rPr>
          <w:noProof/>
          <w:snapToGrid w:val="0"/>
          <w:color w:val="000000"/>
        </w:rPr>
        <w:t xml:space="preserve">Data </w:t>
      </w:r>
      <w:r>
        <w:tab/>
      </w:r>
    </w:p>
    <w:p w:rsidR="009C13A9" w:rsidRPr="00C903F8" w:rsidRDefault="009C13A9" w:rsidP="009C13A9">
      <w:pPr>
        <w:tabs>
          <w:tab w:val="center" w:pos="1134"/>
          <w:tab w:val="left" w:pos="6521"/>
        </w:tabs>
        <w:overflowPunct w:val="0"/>
        <w:adjustRightInd w:val="0"/>
        <w:spacing w:before="120"/>
        <w:ind w:left="0" w:firstLine="0"/>
        <w:textAlignment w:val="baseline"/>
        <w:rPr>
          <w:rFonts w:cs="Arial"/>
          <w:snapToGrid w:val="0"/>
          <w:color w:val="000000"/>
          <w:szCs w:val="20"/>
        </w:rPr>
      </w:pPr>
      <w:r>
        <w:tab/>
      </w:r>
      <w:r>
        <w:rPr>
          <w:noProof/>
          <w:snapToGrid w:val="0"/>
          <w:color w:val="000000"/>
        </w:rPr>
        <w:t>Firma</w:t>
      </w:r>
    </w:p>
    <w:p w:rsidR="009C13A9" w:rsidRPr="00C903F8" w:rsidRDefault="009C13A9" w:rsidP="003E6750">
      <w:pPr>
        <w:tabs>
          <w:tab w:val="left" w:pos="284"/>
          <w:tab w:val="left" w:pos="4536"/>
          <w:tab w:val="left" w:pos="6521"/>
        </w:tabs>
        <w:overflowPunct w:val="0"/>
        <w:adjustRightInd w:val="0"/>
        <w:ind w:left="0" w:firstLine="0"/>
        <w:textAlignment w:val="baseline"/>
        <w:rPr>
          <w:rFonts w:cs="Arial"/>
          <w:snapToGrid w:val="0"/>
          <w:color w:val="000000"/>
          <w:szCs w:val="20"/>
        </w:rPr>
      </w:pPr>
    </w:p>
    <w:p w:rsidR="009C13A9" w:rsidRPr="00C903F8" w:rsidRDefault="009C13A9" w:rsidP="003E6750">
      <w:pPr>
        <w:tabs>
          <w:tab w:val="left" w:pos="284"/>
          <w:tab w:val="left" w:pos="4536"/>
          <w:tab w:val="left" w:pos="6521"/>
        </w:tabs>
        <w:overflowPunct w:val="0"/>
        <w:adjustRightInd w:val="0"/>
        <w:ind w:left="0" w:firstLine="0"/>
        <w:textAlignment w:val="baseline"/>
        <w:rPr>
          <w:rFonts w:cs="Arial"/>
          <w:b/>
          <w:snapToGrid w:val="0"/>
          <w:color w:val="000000"/>
          <w:szCs w:val="20"/>
        </w:rPr>
      </w:pPr>
      <w:r>
        <w:rPr>
          <w:b/>
          <w:noProof/>
          <w:snapToGrid w:val="0"/>
          <w:color w:val="000000"/>
        </w:rPr>
        <w:t>Autorità competente per l'autorizzazione dell'impresa specializzata</w:t>
      </w:r>
    </w:p>
    <w:p w:rsidR="009C13A9" w:rsidRPr="00C903F8" w:rsidRDefault="009C13A9" w:rsidP="009C13A9">
      <w:pPr>
        <w:tabs>
          <w:tab w:val="left" w:leader="dot" w:pos="5103"/>
        </w:tabs>
        <w:overflowPunct w:val="0"/>
        <w:adjustRightInd w:val="0"/>
        <w:spacing w:before="120"/>
        <w:ind w:left="0" w:firstLine="0"/>
        <w:textAlignment w:val="baseline"/>
        <w:rPr>
          <w:rFonts w:cs="Arial"/>
          <w:snapToGrid w:val="0"/>
          <w:color w:val="000000"/>
          <w:szCs w:val="20"/>
        </w:rPr>
      </w:pPr>
      <w:r>
        <w:rPr>
          <w:noProof/>
          <w:snapToGrid w:val="0"/>
          <w:color w:val="000000"/>
        </w:rPr>
        <w:t xml:space="preserve">Nome: </w:t>
      </w:r>
      <w:r>
        <w:tab/>
      </w:r>
    </w:p>
    <w:p w:rsidR="009C13A9" w:rsidRPr="00C903F8" w:rsidRDefault="009C13A9" w:rsidP="009C13A9">
      <w:pPr>
        <w:tabs>
          <w:tab w:val="left" w:leader="dot" w:pos="9072"/>
        </w:tabs>
        <w:overflowPunct w:val="0"/>
        <w:adjustRightInd w:val="0"/>
        <w:spacing w:before="120"/>
        <w:ind w:left="0" w:firstLine="0"/>
        <w:textAlignment w:val="baseline"/>
        <w:rPr>
          <w:rFonts w:cs="Arial"/>
          <w:snapToGrid w:val="0"/>
          <w:color w:val="000000"/>
          <w:szCs w:val="20"/>
        </w:rPr>
      </w:pPr>
      <w:r>
        <w:rPr>
          <w:noProof/>
          <w:snapToGrid w:val="0"/>
          <w:color w:val="000000"/>
        </w:rPr>
        <w:t xml:space="preserve">Indirizzo: </w:t>
      </w:r>
      <w:r>
        <w:tab/>
      </w:r>
    </w:p>
    <w:p w:rsidR="009C13A9" w:rsidRPr="00C903F8" w:rsidRDefault="009C13A9" w:rsidP="009C13A9">
      <w:pPr>
        <w:tabs>
          <w:tab w:val="left" w:leader="dot" w:pos="3402"/>
        </w:tabs>
        <w:overflowPunct w:val="0"/>
        <w:adjustRightInd w:val="0"/>
        <w:spacing w:before="120"/>
        <w:ind w:left="0" w:firstLine="0"/>
        <w:textAlignment w:val="baseline"/>
        <w:rPr>
          <w:rFonts w:cs="Arial"/>
          <w:snapToGrid w:val="0"/>
          <w:color w:val="000000"/>
          <w:szCs w:val="20"/>
        </w:rPr>
      </w:pPr>
      <w:r>
        <w:rPr>
          <w:noProof/>
          <w:snapToGrid w:val="0"/>
          <w:color w:val="000000"/>
        </w:rPr>
        <w:t xml:space="preserve">Telefono: </w:t>
      </w:r>
      <w:r>
        <w:tab/>
      </w:r>
    </w:p>
    <w:p w:rsidR="009C13A9" w:rsidRPr="00C903F8" w:rsidRDefault="009C13A9" w:rsidP="009C13A9">
      <w:pPr>
        <w:tabs>
          <w:tab w:val="right" w:pos="9072"/>
        </w:tabs>
        <w:spacing w:line="240" w:lineRule="atLeast"/>
      </w:pPr>
      <w:r>
        <w:br w:type="page"/>
      </w:r>
    </w:p>
    <w:p w:rsidR="009C13A9" w:rsidRPr="00C903F8" w:rsidRDefault="009C13A9" w:rsidP="009C13A9">
      <w:pPr>
        <w:tabs>
          <w:tab w:val="right" w:pos="9072"/>
        </w:tabs>
        <w:spacing w:line="240" w:lineRule="atLeast"/>
      </w:pPr>
    </w:p>
    <w:p w:rsidR="009C13A9" w:rsidRPr="00C903F8" w:rsidRDefault="009C13A9" w:rsidP="009C13A9">
      <w:pPr>
        <w:tabs>
          <w:tab w:val="right" w:pos="9072"/>
        </w:tabs>
        <w:spacing w:line="240" w:lineRule="atLeast"/>
      </w:pPr>
    </w:p>
    <w:p w:rsidR="009C13A9" w:rsidRPr="00C903F8" w:rsidRDefault="009C13A9" w:rsidP="009C13A9">
      <w:pPr>
        <w:tabs>
          <w:tab w:val="right" w:pos="9072"/>
        </w:tabs>
        <w:spacing w:line="240" w:lineRule="atLeast"/>
      </w:pPr>
    </w:p>
    <w:p w:rsidR="009C13A9" w:rsidRPr="00C903F8" w:rsidRDefault="009C13A9" w:rsidP="009C13A9">
      <w:pPr>
        <w:tabs>
          <w:tab w:val="left" w:pos="284"/>
          <w:tab w:val="left" w:pos="5670"/>
        </w:tabs>
        <w:overflowPunct w:val="0"/>
        <w:adjustRightInd w:val="0"/>
        <w:ind w:left="0" w:firstLine="0"/>
        <w:textAlignment w:val="baseline"/>
        <w:rPr>
          <w:rFonts w:cs="Arial"/>
          <w:snapToGrid w:val="0"/>
          <w:szCs w:val="20"/>
        </w:rPr>
      </w:pPr>
    </w:p>
    <w:p w:rsidR="009C13A9" w:rsidRPr="00C903F8" w:rsidRDefault="009C13A9" w:rsidP="009C13A9">
      <w:pPr>
        <w:overflowPunct w:val="0"/>
        <w:adjustRightInd w:val="0"/>
        <w:ind w:left="426" w:hanging="426"/>
        <w:textAlignment w:val="baseline"/>
        <w:rPr>
          <w:rFonts w:cs="Arial"/>
          <w:szCs w:val="20"/>
        </w:rPr>
      </w:pPr>
    </w:p>
    <w:p w:rsidR="009C13A9" w:rsidRPr="00C903F8" w:rsidRDefault="009C13A9" w:rsidP="009C13A9">
      <w:pPr>
        <w:overflowPunct w:val="0"/>
        <w:adjustRightInd w:val="0"/>
        <w:ind w:left="426" w:hanging="426"/>
        <w:textAlignment w:val="baseline"/>
        <w:rPr>
          <w:rFonts w:cs="Arial"/>
          <w:szCs w:val="20"/>
        </w:rPr>
      </w:pPr>
    </w:p>
    <w:p w:rsidR="009C13A9" w:rsidRPr="00C903F8" w:rsidRDefault="009C13A9" w:rsidP="009C13A9">
      <w:pPr>
        <w:overflowPunct w:val="0"/>
        <w:adjustRightInd w:val="0"/>
        <w:ind w:left="426" w:hanging="426"/>
        <w:textAlignment w:val="baseline"/>
        <w:rPr>
          <w:rFonts w:cs="Arial"/>
          <w:szCs w:val="20"/>
        </w:rPr>
      </w:pPr>
    </w:p>
    <w:p w:rsidR="009C13A9" w:rsidRPr="00C903F8" w:rsidRDefault="009C13A9" w:rsidP="009C13A9">
      <w:pPr>
        <w:spacing w:line="240" w:lineRule="atLeast"/>
        <w:ind w:left="0" w:firstLine="0"/>
        <w:rPr>
          <w:rFonts w:cs="Arial"/>
          <w:noProof/>
          <w:szCs w:val="20"/>
        </w:rPr>
      </w:pPr>
    </w:p>
    <w:p w:rsidR="009C13A9" w:rsidRPr="00C903F8" w:rsidRDefault="009C13A9" w:rsidP="009C13A9">
      <w:pPr>
        <w:tabs>
          <w:tab w:val="center" w:pos="7797"/>
        </w:tabs>
        <w:ind w:right="288"/>
        <w:rPr>
          <w:rFonts w:cs="Arial"/>
          <w:szCs w:val="20"/>
        </w:rPr>
        <w:sectPr w:rsidR="009C13A9" w:rsidRPr="00C903F8" w:rsidSect="00FB55E9">
          <w:headerReference w:type="default" r:id="rId68"/>
          <w:footerReference w:type="default" r:id="rId69"/>
          <w:footnotePr>
            <w:numRestart w:val="eachPage"/>
          </w:footnotePr>
          <w:pgSz w:w="11907" w:h="16840" w:code="9"/>
          <w:pgMar w:top="1361" w:right="1418" w:bottom="1361" w:left="1418" w:header="680" w:footer="680" w:gutter="0"/>
          <w:cols w:space="720"/>
          <w:docGrid w:linePitch="326"/>
        </w:sectPr>
      </w:pPr>
    </w:p>
    <w:p w:rsidR="009C13A9" w:rsidRPr="00C903F8" w:rsidRDefault="009C13A9" w:rsidP="009C13A9">
      <w:pPr>
        <w:tabs>
          <w:tab w:val="left" w:leader="dot" w:pos="9072"/>
        </w:tabs>
        <w:spacing w:line="240" w:lineRule="atLeast"/>
        <w:ind w:left="0" w:firstLine="0"/>
        <w:rPr>
          <w:rFonts w:cs="Arial"/>
        </w:rPr>
      </w:pPr>
    </w:p>
    <w:p w:rsidR="009C13A9" w:rsidRPr="00C903F8" w:rsidRDefault="009C13A9" w:rsidP="00C92BD2">
      <w:pPr>
        <w:pStyle w:val="ES-Titre2"/>
        <w:pageBreakBefore w:val="0"/>
      </w:pPr>
      <w:bookmarkStart w:id="660" w:name="_Toc491854322"/>
      <w:bookmarkStart w:id="661" w:name="_Toc535500271"/>
      <w:r>
        <w:t>Allegato 6</w:t>
      </w:r>
      <w:r>
        <w:br/>
        <w:t>Protocollo dei parametri del motore</w:t>
      </w:r>
      <w:bookmarkEnd w:id="660"/>
      <w:bookmarkEnd w:id="661"/>
    </w:p>
    <w:p w:rsidR="009C13A9" w:rsidRPr="00C903F8" w:rsidRDefault="009C13A9" w:rsidP="009C13A9">
      <w:pPr>
        <w:spacing w:line="240" w:lineRule="atLeast"/>
        <w:jc w:val="center"/>
        <w:rPr>
          <w:rFonts w:cs="Arial"/>
          <w:color w:val="000000"/>
        </w:rPr>
      </w:pPr>
      <w:r>
        <w:rPr>
          <w:color w:val="000000"/>
        </w:rPr>
        <w:t>(Modello)</w:t>
      </w:r>
    </w:p>
    <w:p w:rsidR="009C13A9" w:rsidRPr="00C903F8" w:rsidRDefault="009C13A9" w:rsidP="009C13A9">
      <w:pPr>
        <w:spacing w:line="240" w:lineRule="atLeast"/>
        <w:rPr>
          <w:rFonts w:cs="Arial"/>
          <w:b/>
          <w:noProof/>
          <w:color w:val="000000"/>
        </w:rPr>
      </w:pPr>
    </w:p>
    <w:tbl>
      <w:tblPr>
        <w:tblW w:w="0" w:type="auto"/>
        <w:tblLayout w:type="fixed"/>
        <w:tblLook w:val="01E0" w:firstRow="1" w:lastRow="1" w:firstColumn="1" w:lastColumn="1" w:noHBand="0" w:noVBand="0"/>
      </w:tblPr>
      <w:tblGrid>
        <w:gridCol w:w="737"/>
        <w:gridCol w:w="5131"/>
        <w:gridCol w:w="3360"/>
      </w:tblGrid>
      <w:tr w:rsidR="009C13A9" w:rsidRPr="00C903F8" w:rsidTr="009C13A9">
        <w:tc>
          <w:tcPr>
            <w:tcW w:w="737" w:type="dxa"/>
            <w:shd w:val="clear" w:color="auto" w:fill="auto"/>
          </w:tcPr>
          <w:p w:rsidR="009C13A9" w:rsidRPr="00C903F8" w:rsidRDefault="009C13A9" w:rsidP="009C13A9">
            <w:pPr>
              <w:spacing w:line="240" w:lineRule="atLeast"/>
              <w:rPr>
                <w:b/>
                <w:bCs/>
                <w:noProof/>
                <w:szCs w:val="20"/>
              </w:rPr>
            </w:pPr>
            <w:r>
              <w:rPr>
                <w:b/>
                <w:noProof/>
              </w:rPr>
              <w:t>0</w:t>
            </w:r>
          </w:p>
        </w:tc>
        <w:tc>
          <w:tcPr>
            <w:tcW w:w="8491" w:type="dxa"/>
            <w:gridSpan w:val="2"/>
            <w:shd w:val="clear" w:color="auto" w:fill="auto"/>
          </w:tcPr>
          <w:p w:rsidR="009C13A9" w:rsidRPr="00C903F8" w:rsidRDefault="009C13A9" w:rsidP="009C13A9">
            <w:pPr>
              <w:tabs>
                <w:tab w:val="right" w:leader="underscore" w:pos="8263"/>
              </w:tabs>
              <w:spacing w:line="240" w:lineRule="atLeast"/>
              <w:rPr>
                <w:b/>
                <w:bCs/>
                <w:noProof/>
                <w:szCs w:val="20"/>
              </w:rPr>
            </w:pPr>
            <w:r>
              <w:rPr>
                <w:b/>
                <w:noProof/>
              </w:rPr>
              <w:t>Aspetti generali</w:t>
            </w:r>
          </w:p>
          <w:p w:rsidR="009C13A9" w:rsidRPr="00C903F8" w:rsidRDefault="009C13A9" w:rsidP="009C13A9">
            <w:pPr>
              <w:tabs>
                <w:tab w:val="right" w:leader="underscore" w:pos="8263"/>
              </w:tabs>
              <w:spacing w:line="240" w:lineRule="atLeast"/>
              <w:rPr>
                <w:b/>
                <w:bCs/>
                <w:noProof/>
                <w:szCs w:val="20"/>
              </w:rPr>
            </w:pPr>
          </w:p>
        </w:tc>
      </w:tr>
      <w:tr w:rsidR="009C13A9" w:rsidRPr="00C903F8" w:rsidTr="009C13A9">
        <w:tc>
          <w:tcPr>
            <w:tcW w:w="737" w:type="dxa"/>
            <w:shd w:val="clear" w:color="auto" w:fill="auto"/>
          </w:tcPr>
          <w:p w:rsidR="009C13A9" w:rsidRPr="00C903F8" w:rsidRDefault="009C13A9" w:rsidP="009C13A9">
            <w:pPr>
              <w:spacing w:before="40" w:line="240" w:lineRule="atLeast"/>
              <w:outlineLvl w:val="0"/>
              <w:rPr>
                <w:noProof/>
                <w:szCs w:val="20"/>
              </w:rPr>
            </w:pPr>
            <w:r>
              <w:t>0.1</w:t>
            </w:r>
          </w:p>
        </w:tc>
        <w:tc>
          <w:tcPr>
            <w:tcW w:w="8491" w:type="dxa"/>
            <w:gridSpan w:val="2"/>
            <w:shd w:val="clear" w:color="auto" w:fill="auto"/>
          </w:tcPr>
          <w:p w:rsidR="009C13A9" w:rsidRPr="00C903F8" w:rsidRDefault="009C13A9" w:rsidP="009C13A9">
            <w:pPr>
              <w:tabs>
                <w:tab w:val="right" w:leader="underscore" w:pos="8263"/>
              </w:tabs>
              <w:spacing w:before="40" w:line="240" w:lineRule="atLeast"/>
              <w:outlineLvl w:val="0"/>
              <w:rPr>
                <w:noProof/>
                <w:szCs w:val="20"/>
              </w:rPr>
            </w:pPr>
            <w:r>
              <w:t>Informazioni relative al motore</w:t>
            </w:r>
          </w:p>
        </w:tc>
      </w:tr>
      <w:tr w:rsidR="009C13A9" w:rsidRPr="00C903F8" w:rsidTr="009C13A9">
        <w:tc>
          <w:tcPr>
            <w:tcW w:w="737" w:type="dxa"/>
            <w:shd w:val="clear" w:color="auto" w:fill="auto"/>
          </w:tcPr>
          <w:p w:rsidR="009C13A9" w:rsidRPr="00C903F8" w:rsidRDefault="009C13A9" w:rsidP="009C13A9">
            <w:pPr>
              <w:spacing w:before="40" w:line="240" w:lineRule="atLeast"/>
              <w:outlineLvl w:val="0"/>
              <w:rPr>
                <w:noProof/>
                <w:szCs w:val="20"/>
              </w:rPr>
            </w:pPr>
            <w:r>
              <w:t>0.1.1</w:t>
            </w:r>
          </w:p>
        </w:tc>
        <w:tc>
          <w:tcPr>
            <w:tcW w:w="8491" w:type="dxa"/>
            <w:gridSpan w:val="2"/>
            <w:shd w:val="clear" w:color="auto" w:fill="auto"/>
          </w:tcPr>
          <w:p w:rsidR="009C13A9" w:rsidRPr="00C903F8" w:rsidRDefault="009C13A9" w:rsidP="009C13A9">
            <w:pPr>
              <w:tabs>
                <w:tab w:val="right" w:leader="dot" w:pos="8263"/>
              </w:tabs>
              <w:spacing w:before="40" w:line="240" w:lineRule="atLeast"/>
              <w:outlineLvl w:val="0"/>
              <w:rPr>
                <w:noProof/>
                <w:szCs w:val="20"/>
              </w:rPr>
            </w:pPr>
            <w:r>
              <w:t xml:space="preserve">Marca: </w:t>
            </w:r>
            <w:r>
              <w:tab/>
            </w:r>
          </w:p>
        </w:tc>
      </w:tr>
      <w:tr w:rsidR="009C13A9" w:rsidRPr="00C903F8" w:rsidTr="009C13A9">
        <w:tc>
          <w:tcPr>
            <w:tcW w:w="737" w:type="dxa"/>
            <w:shd w:val="clear" w:color="auto" w:fill="auto"/>
          </w:tcPr>
          <w:p w:rsidR="009C13A9" w:rsidRPr="00C903F8" w:rsidRDefault="009C13A9" w:rsidP="009C13A9">
            <w:pPr>
              <w:spacing w:before="40" w:line="240" w:lineRule="atLeast"/>
              <w:outlineLvl w:val="0"/>
              <w:rPr>
                <w:noProof/>
                <w:szCs w:val="20"/>
              </w:rPr>
            </w:pPr>
            <w:r>
              <w:t>0.1.2</w:t>
            </w:r>
          </w:p>
        </w:tc>
        <w:tc>
          <w:tcPr>
            <w:tcW w:w="8491" w:type="dxa"/>
            <w:gridSpan w:val="2"/>
            <w:shd w:val="clear" w:color="auto" w:fill="auto"/>
          </w:tcPr>
          <w:p w:rsidR="009C13A9" w:rsidRPr="00C903F8" w:rsidRDefault="009C13A9" w:rsidP="009C13A9">
            <w:pPr>
              <w:tabs>
                <w:tab w:val="right" w:leader="dot" w:pos="8263"/>
              </w:tabs>
              <w:spacing w:before="40" w:line="240" w:lineRule="atLeast"/>
              <w:outlineLvl w:val="0"/>
              <w:rPr>
                <w:noProof/>
                <w:szCs w:val="20"/>
              </w:rPr>
            </w:pPr>
            <w:r>
              <w:t xml:space="preserve">Descrizione del costruttore: </w:t>
            </w:r>
            <w:r>
              <w:tab/>
            </w:r>
          </w:p>
        </w:tc>
      </w:tr>
      <w:tr w:rsidR="009C13A9" w:rsidRPr="00C903F8" w:rsidTr="009C13A9">
        <w:tc>
          <w:tcPr>
            <w:tcW w:w="737" w:type="dxa"/>
            <w:shd w:val="clear" w:color="auto" w:fill="auto"/>
          </w:tcPr>
          <w:p w:rsidR="009C13A9" w:rsidRPr="00C903F8" w:rsidRDefault="009C13A9" w:rsidP="009C13A9">
            <w:pPr>
              <w:spacing w:before="40" w:line="240" w:lineRule="atLeast"/>
              <w:outlineLvl w:val="0"/>
              <w:rPr>
                <w:noProof/>
                <w:szCs w:val="20"/>
              </w:rPr>
            </w:pPr>
            <w:r>
              <w:t>0.1.3</w:t>
            </w:r>
          </w:p>
        </w:tc>
        <w:tc>
          <w:tcPr>
            <w:tcW w:w="8491" w:type="dxa"/>
            <w:gridSpan w:val="2"/>
            <w:shd w:val="clear" w:color="auto" w:fill="auto"/>
          </w:tcPr>
          <w:p w:rsidR="009C13A9" w:rsidRPr="00C903F8" w:rsidRDefault="009C13A9" w:rsidP="009C13A9">
            <w:pPr>
              <w:tabs>
                <w:tab w:val="right" w:leader="dot" w:pos="8263"/>
              </w:tabs>
              <w:spacing w:before="40" w:line="240" w:lineRule="atLeast"/>
              <w:outlineLvl w:val="0"/>
              <w:rPr>
                <w:noProof/>
                <w:szCs w:val="20"/>
              </w:rPr>
            </w:pPr>
            <w:r>
              <w:t xml:space="preserve">Numero di omologazione: </w:t>
            </w:r>
            <w:r>
              <w:tab/>
            </w:r>
          </w:p>
        </w:tc>
      </w:tr>
      <w:tr w:rsidR="009C13A9" w:rsidRPr="00C903F8" w:rsidTr="009C13A9">
        <w:tc>
          <w:tcPr>
            <w:tcW w:w="737" w:type="dxa"/>
            <w:shd w:val="clear" w:color="auto" w:fill="auto"/>
          </w:tcPr>
          <w:p w:rsidR="009C13A9" w:rsidRPr="00C903F8" w:rsidRDefault="009C13A9" w:rsidP="009C13A9">
            <w:pPr>
              <w:spacing w:before="40" w:line="240" w:lineRule="atLeast"/>
              <w:outlineLvl w:val="0"/>
              <w:rPr>
                <w:noProof/>
                <w:szCs w:val="20"/>
              </w:rPr>
            </w:pPr>
            <w:r>
              <w:t>0.1.4</w:t>
            </w:r>
          </w:p>
        </w:tc>
        <w:tc>
          <w:tcPr>
            <w:tcW w:w="8491" w:type="dxa"/>
            <w:gridSpan w:val="2"/>
            <w:shd w:val="clear" w:color="auto" w:fill="auto"/>
          </w:tcPr>
          <w:p w:rsidR="009C13A9" w:rsidRPr="00C903F8" w:rsidRDefault="009C13A9" w:rsidP="009C13A9">
            <w:pPr>
              <w:tabs>
                <w:tab w:val="right" w:leader="dot" w:pos="8263"/>
              </w:tabs>
              <w:spacing w:before="40" w:line="240" w:lineRule="atLeast"/>
              <w:outlineLvl w:val="0"/>
              <w:rPr>
                <w:noProof/>
                <w:szCs w:val="20"/>
              </w:rPr>
            </w:pPr>
            <w:r>
              <w:t xml:space="preserve">Numero di identificazione del motore: </w:t>
            </w:r>
            <w:r>
              <w:tab/>
            </w:r>
          </w:p>
        </w:tc>
      </w:tr>
      <w:tr w:rsidR="009C13A9" w:rsidRPr="00C903F8" w:rsidTr="009C13A9">
        <w:tc>
          <w:tcPr>
            <w:tcW w:w="737" w:type="dxa"/>
            <w:shd w:val="clear" w:color="auto" w:fill="auto"/>
          </w:tcPr>
          <w:p w:rsidR="009C13A9" w:rsidRPr="00C903F8" w:rsidRDefault="009C13A9" w:rsidP="009C13A9">
            <w:pPr>
              <w:outlineLvl w:val="0"/>
              <w:rPr>
                <w:noProof/>
                <w:szCs w:val="20"/>
              </w:rPr>
            </w:pPr>
          </w:p>
        </w:tc>
        <w:tc>
          <w:tcPr>
            <w:tcW w:w="8491" w:type="dxa"/>
            <w:gridSpan w:val="2"/>
            <w:shd w:val="clear" w:color="auto" w:fill="auto"/>
          </w:tcPr>
          <w:p w:rsidR="009C13A9" w:rsidRPr="00C903F8" w:rsidRDefault="009C13A9" w:rsidP="009C13A9">
            <w:pPr>
              <w:tabs>
                <w:tab w:val="right" w:leader="underscore" w:pos="8263"/>
              </w:tabs>
              <w:outlineLvl w:val="0"/>
              <w:rPr>
                <w:noProof/>
                <w:szCs w:val="20"/>
              </w:rPr>
            </w:pPr>
          </w:p>
        </w:tc>
      </w:tr>
      <w:tr w:rsidR="009C13A9" w:rsidRPr="00C903F8" w:rsidTr="009C13A9">
        <w:tc>
          <w:tcPr>
            <w:tcW w:w="737" w:type="dxa"/>
            <w:shd w:val="clear" w:color="auto" w:fill="auto"/>
          </w:tcPr>
          <w:p w:rsidR="009C13A9" w:rsidRPr="00C903F8" w:rsidRDefault="009C13A9" w:rsidP="009C13A9">
            <w:pPr>
              <w:outlineLvl w:val="0"/>
              <w:rPr>
                <w:noProof/>
                <w:szCs w:val="20"/>
              </w:rPr>
            </w:pPr>
            <w:r>
              <w:t>0.2</w:t>
            </w:r>
          </w:p>
        </w:tc>
        <w:tc>
          <w:tcPr>
            <w:tcW w:w="8491" w:type="dxa"/>
            <w:gridSpan w:val="2"/>
            <w:shd w:val="clear" w:color="auto" w:fill="auto"/>
          </w:tcPr>
          <w:p w:rsidR="009C13A9" w:rsidRPr="00C903F8" w:rsidRDefault="009C13A9" w:rsidP="009C13A9">
            <w:pPr>
              <w:tabs>
                <w:tab w:val="right" w:leader="underscore" w:pos="8263"/>
              </w:tabs>
              <w:outlineLvl w:val="0"/>
              <w:rPr>
                <w:noProof/>
                <w:szCs w:val="20"/>
              </w:rPr>
            </w:pPr>
            <w:r>
              <w:t>Documentazione</w:t>
            </w:r>
          </w:p>
        </w:tc>
      </w:tr>
      <w:tr w:rsidR="009C13A9" w:rsidRPr="00A0619C" w:rsidTr="009C13A9">
        <w:tc>
          <w:tcPr>
            <w:tcW w:w="737" w:type="dxa"/>
            <w:shd w:val="clear" w:color="auto" w:fill="auto"/>
          </w:tcPr>
          <w:p w:rsidR="009C13A9" w:rsidRPr="00C903F8" w:rsidRDefault="009C13A9" w:rsidP="009C13A9">
            <w:pPr>
              <w:outlineLvl w:val="0"/>
              <w:rPr>
                <w:noProof/>
                <w:szCs w:val="20"/>
              </w:rPr>
            </w:pPr>
          </w:p>
        </w:tc>
        <w:tc>
          <w:tcPr>
            <w:tcW w:w="8491" w:type="dxa"/>
            <w:gridSpan w:val="2"/>
            <w:shd w:val="clear" w:color="auto" w:fill="auto"/>
          </w:tcPr>
          <w:p w:rsidR="009C13A9" w:rsidRPr="00C903F8" w:rsidRDefault="009C13A9" w:rsidP="009C13A9">
            <w:pPr>
              <w:tabs>
                <w:tab w:val="right" w:leader="underscore" w:pos="8263"/>
              </w:tabs>
              <w:outlineLvl w:val="0"/>
              <w:rPr>
                <w:noProof/>
                <w:szCs w:val="20"/>
              </w:rPr>
            </w:pPr>
          </w:p>
          <w:p w:rsidR="009C13A9" w:rsidRPr="00C903F8" w:rsidRDefault="009C13A9" w:rsidP="009C13A9">
            <w:pPr>
              <w:tabs>
                <w:tab w:val="left" w:leader="dot" w:pos="9072"/>
              </w:tabs>
              <w:spacing w:line="240" w:lineRule="atLeast"/>
              <w:ind w:left="0" w:firstLine="0"/>
              <w:rPr>
                <w:rFonts w:cs="Arial"/>
                <w:noProof/>
              </w:rPr>
            </w:pPr>
            <w:r>
              <w:t>I parametri del motore devono essere verificati documentando i risultati delle prove. La documentazione è costituita da fogli separati, numerati singolarmente, firmati dal controllore e allegati al presente protocollo.</w:t>
            </w:r>
          </w:p>
          <w:p w:rsidR="009C13A9" w:rsidRPr="00C903F8" w:rsidRDefault="009C13A9" w:rsidP="009C13A9">
            <w:pPr>
              <w:tabs>
                <w:tab w:val="left" w:leader="dot" w:pos="9072"/>
              </w:tabs>
              <w:spacing w:line="240" w:lineRule="atLeast"/>
              <w:ind w:left="0" w:firstLine="0"/>
              <w:rPr>
                <w:rFonts w:cs="Arial"/>
                <w:noProof/>
              </w:rPr>
            </w:pPr>
          </w:p>
        </w:tc>
      </w:tr>
      <w:tr w:rsidR="009C13A9" w:rsidRPr="00C903F8" w:rsidTr="009C13A9">
        <w:tc>
          <w:tcPr>
            <w:tcW w:w="737" w:type="dxa"/>
            <w:shd w:val="clear" w:color="auto" w:fill="auto"/>
          </w:tcPr>
          <w:p w:rsidR="009C13A9" w:rsidRPr="00C903F8" w:rsidRDefault="009C13A9" w:rsidP="009C13A9">
            <w:pPr>
              <w:outlineLvl w:val="0"/>
              <w:rPr>
                <w:noProof/>
                <w:szCs w:val="20"/>
              </w:rPr>
            </w:pPr>
            <w:r>
              <w:t>0.3</w:t>
            </w:r>
          </w:p>
        </w:tc>
        <w:tc>
          <w:tcPr>
            <w:tcW w:w="8491" w:type="dxa"/>
            <w:gridSpan w:val="2"/>
            <w:shd w:val="clear" w:color="auto" w:fill="auto"/>
          </w:tcPr>
          <w:p w:rsidR="009C13A9" w:rsidRPr="00C903F8" w:rsidRDefault="009C13A9" w:rsidP="009C13A9">
            <w:pPr>
              <w:tabs>
                <w:tab w:val="right" w:leader="underscore" w:pos="8263"/>
              </w:tabs>
              <w:outlineLvl w:val="0"/>
              <w:rPr>
                <w:noProof/>
                <w:szCs w:val="20"/>
              </w:rPr>
            </w:pPr>
            <w:r>
              <w:t>Controllo</w:t>
            </w:r>
          </w:p>
          <w:p w:rsidR="009C13A9" w:rsidRPr="00C903F8" w:rsidRDefault="009C13A9" w:rsidP="009C13A9">
            <w:pPr>
              <w:tabs>
                <w:tab w:val="right" w:leader="underscore" w:pos="8263"/>
              </w:tabs>
              <w:outlineLvl w:val="0"/>
              <w:rPr>
                <w:noProof/>
                <w:szCs w:val="20"/>
              </w:rPr>
            </w:pPr>
          </w:p>
        </w:tc>
      </w:tr>
      <w:tr w:rsidR="009C13A9" w:rsidRPr="00A0619C" w:rsidTr="009C13A9">
        <w:tc>
          <w:tcPr>
            <w:tcW w:w="737" w:type="dxa"/>
            <w:shd w:val="clear" w:color="auto" w:fill="auto"/>
          </w:tcPr>
          <w:p w:rsidR="009C13A9" w:rsidRPr="00C903F8" w:rsidRDefault="009C13A9" w:rsidP="009C13A9">
            <w:pPr>
              <w:outlineLvl w:val="0"/>
              <w:rPr>
                <w:noProof/>
                <w:szCs w:val="20"/>
              </w:rPr>
            </w:pPr>
          </w:p>
        </w:tc>
        <w:tc>
          <w:tcPr>
            <w:tcW w:w="8491" w:type="dxa"/>
            <w:gridSpan w:val="2"/>
            <w:shd w:val="clear" w:color="auto" w:fill="auto"/>
          </w:tcPr>
          <w:p w:rsidR="009C13A9" w:rsidRPr="00C903F8" w:rsidRDefault="009C13A9" w:rsidP="009C13A9">
            <w:pPr>
              <w:tabs>
                <w:tab w:val="left" w:leader="dot" w:pos="9072"/>
              </w:tabs>
              <w:spacing w:line="240" w:lineRule="atLeast"/>
              <w:ind w:left="0" w:firstLine="0"/>
              <w:rPr>
                <w:rFonts w:cs="Arial"/>
                <w:noProof/>
              </w:rPr>
            </w:pPr>
            <w:r>
              <w:t>Il controllo viene svolto sulla base delle istruzioni del costruttore del motore relative al monitoraggio dei componenti e dei parametri del motore rilevanti per i gas di scarico. In casi debitamente motivati i controllori possono, a propria discrezione, sollevare dall’obbligo di verificare determinati parametri.</w:t>
            </w:r>
          </w:p>
          <w:p w:rsidR="009C13A9" w:rsidRPr="00C903F8" w:rsidRDefault="009C13A9" w:rsidP="009C13A9">
            <w:pPr>
              <w:tabs>
                <w:tab w:val="left" w:leader="dot" w:pos="9072"/>
              </w:tabs>
              <w:spacing w:line="240" w:lineRule="atLeast"/>
              <w:ind w:left="0" w:firstLine="0"/>
              <w:rPr>
                <w:rFonts w:cs="Arial"/>
                <w:noProof/>
              </w:rPr>
            </w:pPr>
          </w:p>
        </w:tc>
      </w:tr>
      <w:tr w:rsidR="009C13A9" w:rsidRPr="00C903F8" w:rsidTr="009C13A9">
        <w:tc>
          <w:tcPr>
            <w:tcW w:w="737" w:type="dxa"/>
            <w:shd w:val="clear" w:color="auto" w:fill="auto"/>
          </w:tcPr>
          <w:p w:rsidR="009C13A9" w:rsidRPr="00C903F8" w:rsidRDefault="009C13A9" w:rsidP="009C13A9">
            <w:pPr>
              <w:outlineLvl w:val="0"/>
              <w:rPr>
                <w:noProof/>
                <w:szCs w:val="20"/>
              </w:rPr>
            </w:pPr>
            <w:r>
              <w:t>0.4</w:t>
            </w:r>
          </w:p>
        </w:tc>
        <w:tc>
          <w:tcPr>
            <w:tcW w:w="8491" w:type="dxa"/>
            <w:gridSpan w:val="2"/>
            <w:shd w:val="clear" w:color="auto" w:fill="auto"/>
          </w:tcPr>
          <w:p w:rsidR="009C13A9" w:rsidRPr="00C903F8" w:rsidRDefault="009C13A9" w:rsidP="009C13A9">
            <w:pPr>
              <w:tabs>
                <w:tab w:val="left" w:leader="dot" w:pos="9072"/>
              </w:tabs>
              <w:spacing w:line="240" w:lineRule="atLeast"/>
              <w:ind w:left="0" w:firstLine="0"/>
              <w:rPr>
                <w:rFonts w:cs="Arial"/>
                <w:noProof/>
              </w:rPr>
            </w:pPr>
            <w:r>
              <w:t>Il presente protocollo dei parametri del motore, compresi i relativi valori registrati, contiene complessivamente … * pagine.</w:t>
            </w:r>
          </w:p>
          <w:p w:rsidR="009C13A9" w:rsidRPr="00C903F8" w:rsidRDefault="009C13A9" w:rsidP="009C13A9">
            <w:pPr>
              <w:tabs>
                <w:tab w:val="right" w:leader="underscore" w:pos="8263"/>
              </w:tabs>
              <w:outlineLvl w:val="0"/>
              <w:rPr>
                <w:noProof/>
                <w:szCs w:val="20"/>
              </w:rPr>
            </w:pPr>
          </w:p>
        </w:tc>
      </w:tr>
      <w:tr w:rsidR="009C13A9" w:rsidRPr="00C903F8" w:rsidTr="009C13A9">
        <w:tc>
          <w:tcPr>
            <w:tcW w:w="737" w:type="dxa"/>
            <w:shd w:val="clear" w:color="auto" w:fill="auto"/>
          </w:tcPr>
          <w:p w:rsidR="009C13A9" w:rsidRPr="00C903F8" w:rsidRDefault="009C13A9" w:rsidP="009C13A9">
            <w:pPr>
              <w:outlineLvl w:val="0"/>
              <w:rPr>
                <w:noProof/>
                <w:szCs w:val="20"/>
              </w:rPr>
            </w:pPr>
            <w:r>
              <w:rPr>
                <w:b/>
                <w:noProof/>
              </w:rPr>
              <w:t>1.</w:t>
            </w:r>
          </w:p>
        </w:tc>
        <w:tc>
          <w:tcPr>
            <w:tcW w:w="8491" w:type="dxa"/>
            <w:gridSpan w:val="2"/>
            <w:shd w:val="clear" w:color="auto" w:fill="auto"/>
          </w:tcPr>
          <w:p w:rsidR="009C13A9" w:rsidRPr="00C903F8" w:rsidRDefault="009C13A9" w:rsidP="009C13A9">
            <w:pPr>
              <w:tabs>
                <w:tab w:val="right" w:leader="underscore" w:pos="8263"/>
              </w:tabs>
              <w:outlineLvl w:val="0"/>
              <w:rPr>
                <w:b/>
                <w:bCs/>
                <w:noProof/>
                <w:szCs w:val="20"/>
              </w:rPr>
            </w:pPr>
            <w:r>
              <w:rPr>
                <w:b/>
                <w:noProof/>
              </w:rPr>
              <w:t>Parametri del motore</w:t>
            </w:r>
          </w:p>
          <w:p w:rsidR="009C13A9" w:rsidRPr="00C903F8" w:rsidRDefault="009C13A9" w:rsidP="009C13A9">
            <w:pPr>
              <w:tabs>
                <w:tab w:val="right" w:leader="underscore" w:pos="8263"/>
              </w:tabs>
              <w:outlineLvl w:val="0"/>
              <w:rPr>
                <w:noProof/>
                <w:szCs w:val="20"/>
              </w:rPr>
            </w:pPr>
          </w:p>
        </w:tc>
      </w:tr>
      <w:tr w:rsidR="009C13A9" w:rsidRPr="00A0619C" w:rsidTr="009C13A9">
        <w:tc>
          <w:tcPr>
            <w:tcW w:w="737" w:type="dxa"/>
            <w:shd w:val="clear" w:color="auto" w:fill="auto"/>
          </w:tcPr>
          <w:p w:rsidR="009C13A9" w:rsidRPr="00C903F8" w:rsidRDefault="009C13A9" w:rsidP="009C13A9">
            <w:pPr>
              <w:outlineLvl w:val="0"/>
              <w:rPr>
                <w:b/>
                <w:bCs/>
                <w:noProof/>
                <w:szCs w:val="20"/>
              </w:rPr>
            </w:pPr>
          </w:p>
        </w:tc>
        <w:tc>
          <w:tcPr>
            <w:tcW w:w="8491" w:type="dxa"/>
            <w:gridSpan w:val="2"/>
            <w:shd w:val="clear" w:color="auto" w:fill="auto"/>
          </w:tcPr>
          <w:p w:rsidR="009C13A9" w:rsidRPr="00C903F8" w:rsidRDefault="009C13A9" w:rsidP="009C13A9">
            <w:pPr>
              <w:tabs>
                <w:tab w:val="left" w:leader="dot" w:pos="9072"/>
              </w:tabs>
              <w:spacing w:line="240" w:lineRule="atLeast"/>
              <w:ind w:left="0" w:firstLine="0"/>
              <w:rPr>
                <w:rFonts w:cs="Arial"/>
                <w:noProof/>
              </w:rPr>
            </w:pPr>
            <w:r>
              <w:t>Il presente documento certifica che il motore sottoposto a controllo non si discosta eccessivamente dai parametri previsti.</w:t>
            </w:r>
          </w:p>
          <w:p w:rsidR="009C13A9" w:rsidRPr="00C903F8" w:rsidRDefault="009C13A9" w:rsidP="009C13A9">
            <w:pPr>
              <w:tabs>
                <w:tab w:val="left" w:leader="dot" w:pos="9072"/>
              </w:tabs>
              <w:spacing w:line="240" w:lineRule="atLeast"/>
              <w:ind w:left="0" w:firstLine="0"/>
              <w:rPr>
                <w:rFonts w:cs="Arial"/>
                <w:b/>
                <w:bCs/>
                <w:noProof/>
              </w:rPr>
            </w:pPr>
          </w:p>
        </w:tc>
      </w:tr>
      <w:tr w:rsidR="009C13A9" w:rsidRPr="00C903F8" w:rsidTr="009C13A9">
        <w:tc>
          <w:tcPr>
            <w:tcW w:w="737" w:type="dxa"/>
            <w:shd w:val="clear" w:color="auto" w:fill="auto"/>
          </w:tcPr>
          <w:p w:rsidR="009C13A9" w:rsidRPr="00C903F8" w:rsidRDefault="009C13A9" w:rsidP="009C13A9">
            <w:pPr>
              <w:outlineLvl w:val="0"/>
              <w:rPr>
                <w:b/>
                <w:bCs/>
                <w:noProof/>
                <w:szCs w:val="20"/>
              </w:rPr>
            </w:pPr>
            <w:r>
              <w:t>1.1</w:t>
            </w:r>
          </w:p>
        </w:tc>
        <w:tc>
          <w:tcPr>
            <w:tcW w:w="8491" w:type="dxa"/>
            <w:gridSpan w:val="2"/>
            <w:shd w:val="clear" w:color="auto" w:fill="auto"/>
          </w:tcPr>
          <w:p w:rsidR="009C13A9" w:rsidRPr="00C903F8" w:rsidRDefault="009C13A9" w:rsidP="009C13A9">
            <w:pPr>
              <w:tabs>
                <w:tab w:val="right" w:leader="underscore" w:pos="8263"/>
              </w:tabs>
              <w:outlineLvl w:val="0"/>
              <w:rPr>
                <w:noProof/>
                <w:szCs w:val="20"/>
              </w:rPr>
            </w:pPr>
            <w:r>
              <w:t>Controllo in sede di montaggio</w:t>
            </w:r>
          </w:p>
        </w:tc>
      </w:tr>
      <w:tr w:rsidR="009C13A9" w:rsidRPr="00A0619C" w:rsidTr="009C13A9">
        <w:tc>
          <w:tcPr>
            <w:tcW w:w="737" w:type="dxa"/>
            <w:shd w:val="clear" w:color="auto" w:fill="auto"/>
          </w:tcPr>
          <w:p w:rsidR="009C13A9" w:rsidRPr="00C903F8" w:rsidRDefault="009C13A9" w:rsidP="009C13A9">
            <w:pPr>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r>
              <w:t xml:space="preserve">Nome e indirizzo del servizio tecnico: </w:t>
            </w:r>
            <w:r>
              <w:tab/>
            </w:r>
          </w:p>
        </w:tc>
      </w:tr>
      <w:tr w:rsidR="009C13A9" w:rsidRPr="00A0619C" w:rsidTr="009C13A9">
        <w:tc>
          <w:tcPr>
            <w:tcW w:w="737" w:type="dxa"/>
            <w:shd w:val="clear" w:color="auto" w:fill="auto"/>
          </w:tcPr>
          <w:p w:rsidR="009C13A9" w:rsidRPr="00C903F8" w:rsidRDefault="009C13A9" w:rsidP="009C13A9">
            <w:pPr>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ind w:left="0" w:firstLine="0"/>
              <w:outlineLvl w:val="0"/>
              <w:rPr>
                <w:noProof/>
                <w:szCs w:val="20"/>
              </w:rPr>
            </w:pPr>
            <w:r>
              <w:tab/>
            </w:r>
          </w:p>
        </w:tc>
      </w:tr>
      <w:tr w:rsidR="009C13A9" w:rsidRPr="00A0619C" w:rsidTr="009C13A9">
        <w:tc>
          <w:tcPr>
            <w:tcW w:w="737" w:type="dxa"/>
            <w:shd w:val="clear" w:color="auto" w:fill="auto"/>
          </w:tcPr>
          <w:p w:rsidR="009C13A9" w:rsidRPr="00C903F8" w:rsidRDefault="009C13A9" w:rsidP="009C13A9">
            <w:pPr>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ind w:left="0" w:firstLine="0"/>
              <w:outlineLvl w:val="0"/>
              <w:rPr>
                <w:noProof/>
                <w:szCs w:val="20"/>
              </w:rPr>
            </w:pPr>
            <w:r>
              <w:tab/>
            </w:r>
          </w:p>
        </w:tc>
      </w:tr>
      <w:tr w:rsidR="009C13A9" w:rsidRPr="00C903F8" w:rsidTr="009C13A9">
        <w:tc>
          <w:tcPr>
            <w:tcW w:w="737" w:type="dxa"/>
            <w:shd w:val="clear" w:color="auto" w:fill="auto"/>
          </w:tcPr>
          <w:p w:rsidR="009C13A9" w:rsidRPr="00C903F8" w:rsidRDefault="009C13A9" w:rsidP="009C13A9">
            <w:pPr>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r>
              <w:t>Nome del controllore:</w:t>
            </w:r>
            <w:r>
              <w:tab/>
            </w:r>
          </w:p>
        </w:tc>
      </w:tr>
      <w:tr w:rsidR="009C13A9" w:rsidRPr="00C903F8" w:rsidTr="009C13A9">
        <w:tc>
          <w:tcPr>
            <w:tcW w:w="737" w:type="dxa"/>
            <w:shd w:val="clear" w:color="auto" w:fill="auto"/>
          </w:tcPr>
          <w:p w:rsidR="009C13A9" w:rsidRPr="00C903F8" w:rsidRDefault="009C13A9" w:rsidP="009C13A9">
            <w:pPr>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r>
              <w:t>Luogo e data:</w:t>
            </w:r>
            <w:r>
              <w:tab/>
            </w:r>
          </w:p>
        </w:tc>
      </w:tr>
      <w:tr w:rsidR="009C13A9" w:rsidRPr="00C903F8" w:rsidTr="009C13A9">
        <w:tc>
          <w:tcPr>
            <w:tcW w:w="737" w:type="dxa"/>
            <w:shd w:val="clear" w:color="auto" w:fill="auto"/>
          </w:tcPr>
          <w:p w:rsidR="009C13A9" w:rsidRPr="00C903F8" w:rsidRDefault="009C13A9" w:rsidP="009C13A9">
            <w:pPr>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r>
              <w:t>Firma:</w:t>
            </w:r>
            <w:r>
              <w:tab/>
            </w:r>
          </w:p>
        </w:tc>
      </w:tr>
      <w:tr w:rsidR="009C13A9" w:rsidRPr="00C903F8" w:rsidTr="009C13A9">
        <w:tc>
          <w:tcPr>
            <w:tcW w:w="737" w:type="dxa"/>
            <w:shd w:val="clear" w:color="auto" w:fill="auto"/>
          </w:tcPr>
          <w:p w:rsidR="009C13A9" w:rsidRPr="00C903F8" w:rsidRDefault="009C13A9" w:rsidP="009C13A9">
            <w:pPr>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p>
        </w:tc>
      </w:tr>
      <w:tr w:rsidR="009C13A9" w:rsidRPr="00A0619C" w:rsidTr="009C13A9">
        <w:tc>
          <w:tcPr>
            <w:tcW w:w="737" w:type="dxa"/>
            <w:shd w:val="clear" w:color="auto" w:fill="auto"/>
          </w:tcPr>
          <w:p w:rsidR="009C13A9" w:rsidRPr="00C903F8" w:rsidRDefault="009C13A9" w:rsidP="009C13A9">
            <w:pPr>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r>
              <w:t>Prova riconosciuta dall’autorità competente:</w:t>
            </w:r>
            <w:r>
              <w:tab/>
            </w:r>
          </w:p>
        </w:tc>
      </w:tr>
      <w:tr w:rsidR="009C13A9" w:rsidRPr="00A0619C" w:rsidTr="009C13A9">
        <w:tc>
          <w:tcPr>
            <w:tcW w:w="737" w:type="dxa"/>
            <w:shd w:val="clear" w:color="auto" w:fill="auto"/>
          </w:tcPr>
          <w:p w:rsidR="009C13A9" w:rsidRPr="00C903F8" w:rsidRDefault="009C13A9" w:rsidP="009C13A9">
            <w:pPr>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ind w:left="0" w:firstLine="0"/>
              <w:outlineLvl w:val="0"/>
              <w:rPr>
                <w:noProof/>
                <w:szCs w:val="20"/>
              </w:rPr>
            </w:pPr>
            <w:r>
              <w:tab/>
            </w:r>
          </w:p>
        </w:tc>
      </w:tr>
      <w:tr w:rsidR="009C13A9" w:rsidRPr="00A0619C" w:rsidTr="009C13A9">
        <w:tc>
          <w:tcPr>
            <w:tcW w:w="737" w:type="dxa"/>
            <w:shd w:val="clear" w:color="auto" w:fill="auto"/>
          </w:tcPr>
          <w:p w:rsidR="009C13A9" w:rsidRPr="00C903F8" w:rsidRDefault="009C13A9" w:rsidP="009C13A9">
            <w:pPr>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ind w:left="0" w:firstLine="0"/>
              <w:outlineLvl w:val="0"/>
              <w:rPr>
                <w:noProof/>
                <w:szCs w:val="20"/>
              </w:rPr>
            </w:pPr>
            <w:r>
              <w:tab/>
            </w:r>
          </w:p>
        </w:tc>
      </w:tr>
      <w:tr w:rsidR="009C13A9" w:rsidRPr="00A0619C" w:rsidTr="009C13A9">
        <w:tc>
          <w:tcPr>
            <w:tcW w:w="737" w:type="dxa"/>
            <w:shd w:val="clear" w:color="auto" w:fill="auto"/>
          </w:tcPr>
          <w:p w:rsidR="009C13A9" w:rsidRPr="00C903F8" w:rsidRDefault="009C13A9" w:rsidP="009C13A9">
            <w:pPr>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ind w:left="0" w:firstLine="0"/>
              <w:outlineLvl w:val="0"/>
              <w:rPr>
                <w:noProof/>
                <w:szCs w:val="20"/>
              </w:rPr>
            </w:pPr>
          </w:p>
        </w:tc>
      </w:tr>
      <w:tr w:rsidR="009C13A9" w:rsidRPr="00C903F8" w:rsidTr="009C13A9">
        <w:tc>
          <w:tcPr>
            <w:tcW w:w="737" w:type="dxa"/>
            <w:shd w:val="clear" w:color="auto" w:fill="auto"/>
          </w:tcPr>
          <w:p w:rsidR="009C13A9" w:rsidRPr="00C903F8" w:rsidRDefault="009C13A9" w:rsidP="009C13A9">
            <w:pPr>
              <w:outlineLvl w:val="0"/>
              <w:rPr>
                <w:noProof/>
                <w:szCs w:val="20"/>
              </w:rPr>
            </w:pPr>
          </w:p>
        </w:tc>
        <w:tc>
          <w:tcPr>
            <w:tcW w:w="5131" w:type="dxa"/>
            <w:shd w:val="clear" w:color="auto" w:fill="auto"/>
          </w:tcPr>
          <w:p w:rsidR="009C13A9" w:rsidRPr="00C903F8" w:rsidRDefault="009C13A9" w:rsidP="009C13A9">
            <w:pPr>
              <w:tabs>
                <w:tab w:val="right" w:leader="dot" w:pos="8263"/>
              </w:tabs>
              <w:spacing w:line="240" w:lineRule="atLeast"/>
              <w:outlineLvl w:val="0"/>
              <w:rPr>
                <w:noProof/>
                <w:szCs w:val="20"/>
              </w:rPr>
            </w:pPr>
            <w:r>
              <w:t>Luogo e data:</w:t>
            </w:r>
            <w:r>
              <w:tab/>
            </w:r>
          </w:p>
        </w:tc>
        <w:tc>
          <w:tcPr>
            <w:tcW w:w="3360" w:type="dxa"/>
            <w:shd w:val="clear" w:color="auto" w:fill="auto"/>
          </w:tcPr>
          <w:p w:rsidR="009C13A9" w:rsidRPr="00C903F8" w:rsidRDefault="009C13A9" w:rsidP="009C13A9">
            <w:pPr>
              <w:tabs>
                <w:tab w:val="right" w:leader="dot" w:pos="8263"/>
              </w:tabs>
              <w:spacing w:line="240" w:lineRule="atLeast"/>
              <w:jc w:val="center"/>
              <w:outlineLvl w:val="0"/>
              <w:rPr>
                <w:noProof/>
                <w:sz w:val="16"/>
                <w:szCs w:val="20"/>
              </w:rPr>
            </w:pPr>
            <w:r>
              <w:rPr>
                <w:noProof/>
                <w:sz w:val="16"/>
              </w:rPr>
              <w:t>Timbro dell'autorità</w:t>
            </w:r>
          </w:p>
        </w:tc>
      </w:tr>
      <w:tr w:rsidR="009C13A9" w:rsidRPr="00C903F8" w:rsidTr="009C13A9">
        <w:tc>
          <w:tcPr>
            <w:tcW w:w="737" w:type="dxa"/>
            <w:shd w:val="clear" w:color="auto" w:fill="auto"/>
          </w:tcPr>
          <w:p w:rsidR="009C13A9" w:rsidRPr="00C903F8" w:rsidRDefault="009C13A9" w:rsidP="009C13A9">
            <w:pPr>
              <w:outlineLvl w:val="0"/>
              <w:rPr>
                <w:noProof/>
                <w:szCs w:val="20"/>
              </w:rPr>
            </w:pPr>
          </w:p>
        </w:tc>
        <w:tc>
          <w:tcPr>
            <w:tcW w:w="5131" w:type="dxa"/>
            <w:shd w:val="clear" w:color="auto" w:fill="auto"/>
          </w:tcPr>
          <w:p w:rsidR="009C13A9" w:rsidRPr="00C903F8" w:rsidRDefault="009C13A9" w:rsidP="009C13A9">
            <w:pPr>
              <w:tabs>
                <w:tab w:val="right" w:leader="dot" w:pos="8263"/>
              </w:tabs>
              <w:spacing w:line="240" w:lineRule="atLeast"/>
              <w:outlineLvl w:val="0"/>
              <w:rPr>
                <w:noProof/>
                <w:szCs w:val="20"/>
              </w:rPr>
            </w:pPr>
            <w:r>
              <w:t>Firma:</w:t>
            </w:r>
            <w:r>
              <w:tab/>
            </w:r>
          </w:p>
        </w:tc>
        <w:tc>
          <w:tcPr>
            <w:tcW w:w="3360" w:type="dxa"/>
            <w:shd w:val="clear" w:color="auto" w:fill="auto"/>
          </w:tcPr>
          <w:p w:rsidR="009C13A9" w:rsidRPr="00C903F8" w:rsidRDefault="009C13A9" w:rsidP="009C13A9">
            <w:pPr>
              <w:tabs>
                <w:tab w:val="right" w:leader="dot" w:pos="8263"/>
              </w:tabs>
              <w:spacing w:line="240" w:lineRule="atLeast"/>
              <w:jc w:val="center"/>
              <w:outlineLvl w:val="0"/>
              <w:rPr>
                <w:noProof/>
                <w:sz w:val="16"/>
                <w:szCs w:val="20"/>
              </w:rPr>
            </w:pPr>
            <w:r>
              <w:rPr>
                <w:noProof/>
                <w:sz w:val="16"/>
              </w:rPr>
              <w:t>competente</w:t>
            </w:r>
          </w:p>
        </w:tc>
      </w:tr>
    </w:tbl>
    <w:p w:rsidR="009C13A9" w:rsidRPr="00C903F8" w:rsidRDefault="009C13A9" w:rsidP="009C13A9">
      <w:pPr>
        <w:tabs>
          <w:tab w:val="left" w:pos="737"/>
          <w:tab w:val="left" w:pos="2835"/>
        </w:tabs>
        <w:rPr>
          <w:noProof/>
          <w:szCs w:val="20"/>
        </w:rPr>
      </w:pPr>
    </w:p>
    <w:p w:rsidR="009C13A9" w:rsidRPr="00C903F8" w:rsidRDefault="009C13A9" w:rsidP="009C13A9">
      <w:pPr>
        <w:tabs>
          <w:tab w:val="left" w:pos="737"/>
          <w:tab w:val="left" w:pos="2835"/>
        </w:tabs>
        <w:rPr>
          <w:noProof/>
          <w:szCs w:val="20"/>
        </w:rPr>
      </w:pPr>
    </w:p>
    <w:p w:rsidR="009C13A9" w:rsidRPr="00C903F8" w:rsidRDefault="009C13A9" w:rsidP="009C13A9">
      <w:pPr>
        <w:tabs>
          <w:tab w:val="left" w:pos="737"/>
          <w:tab w:val="left" w:pos="2835"/>
        </w:tabs>
        <w:rPr>
          <w:noProof/>
          <w:szCs w:val="20"/>
        </w:rPr>
      </w:pPr>
    </w:p>
    <w:p w:rsidR="009C13A9" w:rsidRPr="00C903F8" w:rsidRDefault="009C13A9" w:rsidP="009C13A9">
      <w:pPr>
        <w:tabs>
          <w:tab w:val="left" w:pos="737"/>
          <w:tab w:val="left" w:pos="2835"/>
        </w:tabs>
        <w:rPr>
          <w:noProof/>
          <w:szCs w:val="20"/>
        </w:rPr>
      </w:pPr>
    </w:p>
    <w:p w:rsidR="009C13A9" w:rsidRPr="00C903F8" w:rsidRDefault="009C13A9" w:rsidP="009C13A9">
      <w:pPr>
        <w:tabs>
          <w:tab w:val="left" w:pos="737"/>
          <w:tab w:val="left" w:pos="2835"/>
        </w:tabs>
        <w:rPr>
          <w:noProof/>
          <w:szCs w:val="20"/>
        </w:rPr>
      </w:pPr>
    </w:p>
    <w:p w:rsidR="009C13A9" w:rsidRDefault="009C13A9" w:rsidP="009C13A9">
      <w:pPr>
        <w:tabs>
          <w:tab w:val="left" w:pos="737"/>
          <w:tab w:val="left" w:pos="2835"/>
        </w:tabs>
        <w:rPr>
          <w:noProof/>
          <w:szCs w:val="20"/>
        </w:rPr>
      </w:pPr>
    </w:p>
    <w:p w:rsidR="0042206B" w:rsidRPr="00C903F8" w:rsidRDefault="0042206B" w:rsidP="009C13A9">
      <w:pPr>
        <w:tabs>
          <w:tab w:val="left" w:pos="737"/>
          <w:tab w:val="left" w:pos="2835"/>
        </w:tabs>
        <w:rPr>
          <w:noProof/>
          <w:szCs w:val="20"/>
        </w:rPr>
      </w:pPr>
    </w:p>
    <w:p w:rsidR="009C13A9" w:rsidRPr="00C903F8" w:rsidRDefault="009C13A9" w:rsidP="009C13A9">
      <w:pPr>
        <w:tabs>
          <w:tab w:val="left" w:pos="737"/>
          <w:tab w:val="left" w:pos="2835"/>
        </w:tabs>
        <w:rPr>
          <w:noProof/>
          <w:szCs w:val="20"/>
        </w:rPr>
      </w:pPr>
    </w:p>
    <w:p w:rsidR="009C13A9" w:rsidRPr="00C903F8" w:rsidRDefault="009C13A9" w:rsidP="009C13A9">
      <w:pPr>
        <w:tabs>
          <w:tab w:val="left" w:pos="737"/>
          <w:tab w:val="left" w:pos="2835"/>
        </w:tabs>
        <w:rPr>
          <w:noProof/>
          <w:szCs w:val="20"/>
        </w:rPr>
      </w:pPr>
      <w:r>
        <w:t>-----------------</w:t>
      </w:r>
    </w:p>
    <w:p w:rsidR="009C13A9" w:rsidRPr="00C903F8" w:rsidRDefault="009C13A9" w:rsidP="009C13A9">
      <w:pPr>
        <w:tabs>
          <w:tab w:val="left" w:pos="284"/>
        </w:tabs>
        <w:ind w:left="284" w:hanging="284"/>
        <w:rPr>
          <w:noProof/>
          <w:sz w:val="16"/>
          <w:szCs w:val="20"/>
        </w:rPr>
      </w:pPr>
      <w:r>
        <w:t>*</w:t>
      </w:r>
      <w:r>
        <w:tab/>
      </w:r>
      <w:r>
        <w:rPr>
          <w:noProof/>
          <w:sz w:val="16"/>
        </w:rPr>
        <w:t>Da compilare a cura del controllore.</w:t>
      </w:r>
    </w:p>
    <w:p w:rsidR="009C13A9" w:rsidRPr="00C903F8" w:rsidRDefault="009C13A9" w:rsidP="009C13A9">
      <w:pPr>
        <w:tabs>
          <w:tab w:val="left" w:leader="dot" w:pos="9072"/>
        </w:tabs>
        <w:spacing w:line="240" w:lineRule="atLeast"/>
        <w:ind w:left="0" w:firstLine="0"/>
        <w:rPr>
          <w:rFonts w:cs="Arial"/>
          <w:noProof/>
        </w:rPr>
      </w:pPr>
      <w:r>
        <w:br w:type="page"/>
      </w:r>
    </w:p>
    <w:tbl>
      <w:tblPr>
        <w:tblW w:w="0" w:type="auto"/>
        <w:tblLayout w:type="fixed"/>
        <w:tblLook w:val="01E0" w:firstRow="1" w:lastRow="1" w:firstColumn="1" w:lastColumn="1" w:noHBand="0" w:noVBand="0"/>
      </w:tblPr>
      <w:tblGrid>
        <w:gridCol w:w="737"/>
        <w:gridCol w:w="5131"/>
        <w:gridCol w:w="3360"/>
      </w:tblGrid>
      <w:tr w:rsidR="009C13A9" w:rsidRPr="00C903F8" w:rsidTr="009C13A9">
        <w:tc>
          <w:tcPr>
            <w:tcW w:w="737" w:type="dxa"/>
            <w:shd w:val="clear" w:color="auto" w:fill="auto"/>
          </w:tcPr>
          <w:p w:rsidR="009C13A9" w:rsidRPr="00C903F8" w:rsidRDefault="009C13A9" w:rsidP="009C13A9">
            <w:pPr>
              <w:spacing w:line="240" w:lineRule="atLeast"/>
              <w:rPr>
                <w:b/>
                <w:bCs/>
                <w:noProof/>
                <w:szCs w:val="20"/>
              </w:rPr>
            </w:pPr>
            <w:r>
              <w:lastRenderedPageBreak/>
              <w:t>1.2</w:t>
            </w:r>
          </w:p>
        </w:tc>
        <w:tc>
          <w:tcPr>
            <w:tcW w:w="8491" w:type="dxa"/>
            <w:gridSpan w:val="2"/>
            <w:shd w:val="clear" w:color="auto" w:fill="auto"/>
          </w:tcPr>
          <w:p w:rsidR="009C13A9" w:rsidRPr="00C903F8" w:rsidRDefault="00475311" w:rsidP="009C13A9">
            <w:pPr>
              <w:spacing w:line="240" w:lineRule="atLeast"/>
              <w:rPr>
                <w:b/>
                <w:bCs/>
                <w:noProof/>
                <w:szCs w:val="20"/>
              </w:rPr>
            </w:pPr>
            <w:r>
              <w:rPr>
                <w:noProof/>
                <w:szCs w:val="20"/>
              </w:rPr>
              <w:fldChar w:fldCharType="begin">
                <w:ffData>
                  <w:name w:val="Kontrollkästchen1"/>
                  <w:enabled/>
                  <w:calcOnExit w:val="0"/>
                  <w:checkBox>
                    <w:size w:val="20"/>
                    <w:default w:val="0"/>
                  </w:checkBox>
                </w:ffData>
              </w:fldChar>
            </w:r>
            <w:r>
              <w:rPr>
                <w:noProof/>
                <w:szCs w:val="20"/>
              </w:rPr>
              <w:instrText xml:space="preserve"> FORMCHECKBOX </w:instrText>
            </w:r>
            <w:r w:rsidR="00624017">
              <w:rPr>
                <w:noProof/>
                <w:szCs w:val="20"/>
              </w:rPr>
            </w:r>
            <w:r w:rsidR="00624017">
              <w:rPr>
                <w:noProof/>
                <w:szCs w:val="20"/>
              </w:rPr>
              <w:fldChar w:fldCharType="separate"/>
            </w:r>
            <w:r>
              <w:rPr>
                <w:noProof/>
                <w:szCs w:val="20"/>
              </w:rPr>
              <w:fldChar w:fldCharType="end"/>
            </w:r>
            <w:r>
              <w:t xml:space="preserve"> Controllo intermedio</w:t>
            </w:r>
            <w:r>
              <w:tab/>
            </w:r>
            <w:r>
              <w:rPr>
                <w:noProof/>
                <w:szCs w:val="20"/>
              </w:rPr>
              <w:fldChar w:fldCharType="begin">
                <w:ffData>
                  <w:name w:val="Kontrollkästchen1"/>
                  <w:enabled/>
                  <w:calcOnExit w:val="0"/>
                  <w:checkBox>
                    <w:size w:val="20"/>
                    <w:default w:val="0"/>
                  </w:checkBox>
                </w:ffData>
              </w:fldChar>
            </w:r>
            <w:r>
              <w:rPr>
                <w:noProof/>
                <w:szCs w:val="20"/>
              </w:rPr>
              <w:instrText xml:space="preserve"> FORMCHECKBOX </w:instrText>
            </w:r>
            <w:r w:rsidR="00624017">
              <w:rPr>
                <w:noProof/>
                <w:szCs w:val="20"/>
              </w:rPr>
            </w:r>
            <w:r w:rsidR="00624017">
              <w:rPr>
                <w:noProof/>
                <w:szCs w:val="20"/>
              </w:rPr>
              <w:fldChar w:fldCharType="separate"/>
            </w:r>
            <w:r>
              <w:rPr>
                <w:noProof/>
                <w:szCs w:val="20"/>
              </w:rPr>
              <w:fldChar w:fldCharType="end"/>
            </w:r>
            <w:r>
              <w:t xml:space="preserve"> Controllo speciale</w:t>
            </w:r>
            <w:r>
              <w:rPr>
                <w:rStyle w:val="FootnoteReference"/>
                <w:noProof/>
              </w:rPr>
              <w:footnoteReference w:id="62"/>
            </w: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r>
              <w:t xml:space="preserve">Nome e indirizzo del servizio tecnico: </w:t>
            </w:r>
            <w:r>
              <w:tab/>
            </w: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ind w:left="0" w:firstLine="0"/>
              <w:outlineLvl w:val="0"/>
              <w:rPr>
                <w:noProof/>
                <w:szCs w:val="20"/>
              </w:rPr>
            </w:pPr>
            <w:r>
              <w:tab/>
            </w: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ind w:left="0" w:firstLine="0"/>
              <w:outlineLvl w:val="0"/>
              <w:rPr>
                <w:noProof/>
                <w:szCs w:val="20"/>
              </w:rPr>
            </w:pPr>
            <w:r>
              <w:tab/>
            </w: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r>
              <w:t xml:space="preserve">Nome del controllore: </w:t>
            </w:r>
            <w:r>
              <w:tab/>
            </w: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r>
              <w:t xml:space="preserve">Luogo e data: </w:t>
            </w:r>
            <w:r>
              <w:tab/>
            </w: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r>
              <w:t xml:space="preserve">Firma: </w:t>
            </w:r>
            <w:r>
              <w:tab/>
            </w: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r>
              <w:t xml:space="preserve">Prova riconosciuta dall’autorità competente: </w:t>
            </w:r>
            <w:r>
              <w:tab/>
            </w: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ind w:left="0" w:firstLine="0"/>
              <w:outlineLvl w:val="0"/>
              <w:rPr>
                <w:noProof/>
                <w:szCs w:val="20"/>
              </w:rPr>
            </w:pPr>
            <w:r>
              <w:tab/>
            </w: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ind w:left="0" w:firstLine="0"/>
              <w:outlineLvl w:val="0"/>
              <w:rPr>
                <w:noProof/>
                <w:szCs w:val="20"/>
              </w:rPr>
            </w:pPr>
            <w:r>
              <w:tab/>
            </w: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ind w:left="0" w:firstLine="0"/>
              <w:outlineLvl w:val="0"/>
              <w:rPr>
                <w:noProof/>
                <w:szCs w:val="20"/>
              </w:rPr>
            </w:pP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5131" w:type="dxa"/>
            <w:shd w:val="clear" w:color="auto" w:fill="auto"/>
          </w:tcPr>
          <w:p w:rsidR="009C13A9" w:rsidRPr="00C903F8" w:rsidRDefault="009C13A9" w:rsidP="009C13A9">
            <w:pPr>
              <w:tabs>
                <w:tab w:val="right" w:leader="dot" w:pos="8263"/>
              </w:tabs>
              <w:spacing w:line="240" w:lineRule="atLeast"/>
              <w:outlineLvl w:val="0"/>
              <w:rPr>
                <w:noProof/>
                <w:szCs w:val="20"/>
              </w:rPr>
            </w:pPr>
            <w:r>
              <w:t xml:space="preserve">Luogo e data: </w:t>
            </w:r>
            <w:r>
              <w:tab/>
            </w:r>
          </w:p>
        </w:tc>
        <w:tc>
          <w:tcPr>
            <w:tcW w:w="3360" w:type="dxa"/>
            <w:shd w:val="clear" w:color="auto" w:fill="auto"/>
          </w:tcPr>
          <w:p w:rsidR="009C13A9" w:rsidRPr="00C903F8" w:rsidRDefault="009C13A9" w:rsidP="009C13A9">
            <w:pPr>
              <w:tabs>
                <w:tab w:val="right" w:leader="dot" w:pos="8263"/>
              </w:tabs>
              <w:spacing w:line="240" w:lineRule="atLeast"/>
              <w:jc w:val="center"/>
              <w:outlineLvl w:val="0"/>
              <w:rPr>
                <w:noProof/>
                <w:sz w:val="16"/>
                <w:szCs w:val="20"/>
              </w:rPr>
            </w:pPr>
            <w:r>
              <w:rPr>
                <w:noProof/>
                <w:sz w:val="16"/>
              </w:rPr>
              <w:t>Timbro dell'autorità</w:t>
            </w: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5131" w:type="dxa"/>
            <w:shd w:val="clear" w:color="auto" w:fill="auto"/>
          </w:tcPr>
          <w:p w:rsidR="009C13A9" w:rsidRPr="00C903F8" w:rsidRDefault="009C13A9" w:rsidP="009C13A9">
            <w:pPr>
              <w:tabs>
                <w:tab w:val="right" w:leader="dot" w:pos="8263"/>
              </w:tabs>
              <w:spacing w:line="240" w:lineRule="atLeast"/>
              <w:outlineLvl w:val="0"/>
              <w:rPr>
                <w:noProof/>
                <w:szCs w:val="20"/>
              </w:rPr>
            </w:pPr>
            <w:r>
              <w:t xml:space="preserve">Firma: </w:t>
            </w:r>
            <w:r>
              <w:tab/>
            </w:r>
          </w:p>
        </w:tc>
        <w:tc>
          <w:tcPr>
            <w:tcW w:w="3360" w:type="dxa"/>
            <w:shd w:val="clear" w:color="auto" w:fill="auto"/>
          </w:tcPr>
          <w:p w:rsidR="009C13A9" w:rsidRPr="00C903F8" w:rsidRDefault="009C13A9" w:rsidP="009C13A9">
            <w:pPr>
              <w:tabs>
                <w:tab w:val="right" w:leader="dot" w:pos="8263"/>
              </w:tabs>
              <w:spacing w:line="240" w:lineRule="atLeast"/>
              <w:jc w:val="center"/>
              <w:outlineLvl w:val="0"/>
              <w:rPr>
                <w:noProof/>
                <w:sz w:val="16"/>
                <w:szCs w:val="20"/>
              </w:rPr>
            </w:pPr>
            <w:r>
              <w:rPr>
                <w:noProof/>
                <w:sz w:val="16"/>
              </w:rPr>
              <w:t>competente</w:t>
            </w: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p w:rsidR="009C13A9" w:rsidRPr="00C903F8" w:rsidRDefault="009C13A9" w:rsidP="009C13A9">
            <w:pPr>
              <w:spacing w:line="240" w:lineRule="atLeast"/>
              <w:outlineLvl w:val="0"/>
              <w:rPr>
                <w:noProof/>
                <w:szCs w:val="20"/>
              </w:rPr>
            </w:pPr>
          </w:p>
          <w:p w:rsidR="009C13A9" w:rsidRPr="00C903F8" w:rsidRDefault="009C13A9" w:rsidP="009C13A9">
            <w:pPr>
              <w:spacing w:line="240" w:lineRule="atLeast"/>
              <w:outlineLvl w:val="0"/>
              <w:rPr>
                <w:noProof/>
                <w:szCs w:val="20"/>
              </w:rPr>
            </w:pPr>
          </w:p>
        </w:tc>
        <w:tc>
          <w:tcPr>
            <w:tcW w:w="5131" w:type="dxa"/>
            <w:shd w:val="clear" w:color="auto" w:fill="auto"/>
          </w:tcPr>
          <w:p w:rsidR="009C13A9" w:rsidRPr="00C903F8" w:rsidRDefault="009C13A9" w:rsidP="009C13A9">
            <w:pPr>
              <w:tabs>
                <w:tab w:val="right" w:leader="dot" w:pos="8263"/>
              </w:tabs>
              <w:spacing w:line="240" w:lineRule="atLeast"/>
              <w:outlineLvl w:val="0"/>
              <w:rPr>
                <w:noProof/>
                <w:szCs w:val="20"/>
              </w:rPr>
            </w:pPr>
          </w:p>
        </w:tc>
        <w:tc>
          <w:tcPr>
            <w:tcW w:w="3360" w:type="dxa"/>
            <w:shd w:val="clear" w:color="auto" w:fill="auto"/>
          </w:tcPr>
          <w:p w:rsidR="009C13A9" w:rsidRPr="00C903F8" w:rsidRDefault="009C13A9" w:rsidP="009C13A9">
            <w:pPr>
              <w:tabs>
                <w:tab w:val="right" w:leader="dot" w:pos="8263"/>
              </w:tabs>
              <w:spacing w:line="240" w:lineRule="atLeast"/>
              <w:jc w:val="center"/>
              <w:outlineLvl w:val="0"/>
              <w:rPr>
                <w:noProof/>
                <w:sz w:val="16"/>
                <w:szCs w:val="20"/>
              </w:rPr>
            </w:pPr>
          </w:p>
        </w:tc>
      </w:tr>
      <w:tr w:rsidR="009C13A9" w:rsidRPr="00C903F8" w:rsidTr="009C13A9">
        <w:tc>
          <w:tcPr>
            <w:tcW w:w="737" w:type="dxa"/>
            <w:shd w:val="clear" w:color="auto" w:fill="auto"/>
          </w:tcPr>
          <w:p w:rsidR="009C13A9" w:rsidRPr="00C903F8" w:rsidRDefault="009C13A9" w:rsidP="009C13A9">
            <w:pPr>
              <w:spacing w:line="240" w:lineRule="atLeast"/>
              <w:rPr>
                <w:b/>
                <w:bCs/>
                <w:noProof/>
                <w:szCs w:val="20"/>
              </w:rPr>
            </w:pPr>
            <w:r>
              <w:t>1.2</w:t>
            </w:r>
          </w:p>
        </w:tc>
        <w:tc>
          <w:tcPr>
            <w:tcW w:w="8491" w:type="dxa"/>
            <w:gridSpan w:val="2"/>
            <w:shd w:val="clear" w:color="auto" w:fill="auto"/>
          </w:tcPr>
          <w:p w:rsidR="009C13A9" w:rsidRPr="00C903F8" w:rsidRDefault="00475311" w:rsidP="009C13A9">
            <w:pPr>
              <w:spacing w:line="240" w:lineRule="atLeast"/>
              <w:rPr>
                <w:b/>
                <w:bCs/>
                <w:noProof/>
                <w:szCs w:val="20"/>
              </w:rPr>
            </w:pPr>
            <w:r>
              <w:rPr>
                <w:noProof/>
                <w:szCs w:val="20"/>
              </w:rPr>
              <w:fldChar w:fldCharType="begin">
                <w:ffData>
                  <w:name w:val="Kontrollkästchen1"/>
                  <w:enabled/>
                  <w:calcOnExit w:val="0"/>
                  <w:checkBox>
                    <w:size w:val="20"/>
                    <w:default w:val="0"/>
                  </w:checkBox>
                </w:ffData>
              </w:fldChar>
            </w:r>
            <w:r>
              <w:rPr>
                <w:noProof/>
                <w:szCs w:val="20"/>
              </w:rPr>
              <w:instrText xml:space="preserve"> FORMCHECKBOX </w:instrText>
            </w:r>
            <w:r w:rsidR="00624017">
              <w:rPr>
                <w:noProof/>
                <w:szCs w:val="20"/>
              </w:rPr>
            </w:r>
            <w:r w:rsidR="00624017">
              <w:rPr>
                <w:noProof/>
                <w:szCs w:val="20"/>
              </w:rPr>
              <w:fldChar w:fldCharType="separate"/>
            </w:r>
            <w:r>
              <w:rPr>
                <w:noProof/>
                <w:szCs w:val="20"/>
              </w:rPr>
              <w:fldChar w:fldCharType="end"/>
            </w:r>
            <w:r>
              <w:t xml:space="preserve"> Controllo intermedio</w:t>
            </w:r>
            <w:r>
              <w:tab/>
            </w:r>
            <w:r>
              <w:rPr>
                <w:noProof/>
                <w:szCs w:val="20"/>
              </w:rPr>
              <w:fldChar w:fldCharType="begin">
                <w:ffData>
                  <w:name w:val="Kontrollkästchen1"/>
                  <w:enabled/>
                  <w:calcOnExit w:val="0"/>
                  <w:checkBox>
                    <w:size w:val="20"/>
                    <w:default w:val="0"/>
                  </w:checkBox>
                </w:ffData>
              </w:fldChar>
            </w:r>
            <w:r>
              <w:rPr>
                <w:noProof/>
                <w:szCs w:val="20"/>
              </w:rPr>
              <w:instrText xml:space="preserve"> FORMCHECKBOX </w:instrText>
            </w:r>
            <w:r w:rsidR="00624017">
              <w:rPr>
                <w:noProof/>
                <w:szCs w:val="20"/>
              </w:rPr>
            </w:r>
            <w:r w:rsidR="00624017">
              <w:rPr>
                <w:noProof/>
                <w:szCs w:val="20"/>
              </w:rPr>
              <w:fldChar w:fldCharType="separate"/>
            </w:r>
            <w:r>
              <w:rPr>
                <w:noProof/>
                <w:szCs w:val="20"/>
              </w:rPr>
              <w:fldChar w:fldCharType="end"/>
            </w:r>
            <w:r>
              <w:t xml:space="preserve"> Controllo</w:t>
            </w: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r>
              <w:t xml:space="preserve">Nome e indirizzo del servizio tecnico: </w:t>
            </w:r>
            <w:r>
              <w:tab/>
            </w: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ind w:left="0" w:firstLine="0"/>
              <w:outlineLvl w:val="0"/>
              <w:rPr>
                <w:noProof/>
                <w:szCs w:val="20"/>
              </w:rPr>
            </w:pPr>
            <w:r>
              <w:tab/>
            </w: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ind w:left="0" w:firstLine="0"/>
              <w:outlineLvl w:val="0"/>
              <w:rPr>
                <w:noProof/>
                <w:szCs w:val="20"/>
              </w:rPr>
            </w:pPr>
            <w:r>
              <w:tab/>
            </w: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r>
              <w:t xml:space="preserve">Nome del controllore: </w:t>
            </w:r>
            <w:r>
              <w:tab/>
            </w: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r>
              <w:t xml:space="preserve">Luogo e data: </w:t>
            </w:r>
            <w:r>
              <w:tab/>
            </w: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r>
              <w:t xml:space="preserve">Firma: </w:t>
            </w:r>
            <w:r>
              <w:tab/>
            </w: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r>
              <w:t xml:space="preserve">Prova riconosciuta dall’autorità competente: </w:t>
            </w:r>
            <w:r>
              <w:tab/>
            </w: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ind w:left="0" w:firstLine="0"/>
              <w:outlineLvl w:val="0"/>
              <w:rPr>
                <w:noProof/>
                <w:szCs w:val="20"/>
              </w:rPr>
            </w:pPr>
            <w:r>
              <w:tab/>
            </w: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ind w:left="0" w:firstLine="0"/>
              <w:outlineLvl w:val="0"/>
              <w:rPr>
                <w:noProof/>
                <w:szCs w:val="20"/>
              </w:rPr>
            </w:pPr>
            <w:r>
              <w:tab/>
            </w: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ind w:left="0" w:firstLine="0"/>
              <w:outlineLvl w:val="0"/>
              <w:rPr>
                <w:noProof/>
                <w:szCs w:val="20"/>
              </w:rPr>
            </w:pP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5131" w:type="dxa"/>
            <w:shd w:val="clear" w:color="auto" w:fill="auto"/>
          </w:tcPr>
          <w:p w:rsidR="009C13A9" w:rsidRPr="00C903F8" w:rsidRDefault="009C13A9" w:rsidP="009C13A9">
            <w:pPr>
              <w:tabs>
                <w:tab w:val="right" w:leader="dot" w:pos="8263"/>
              </w:tabs>
              <w:spacing w:line="240" w:lineRule="atLeast"/>
              <w:outlineLvl w:val="0"/>
              <w:rPr>
                <w:noProof/>
                <w:szCs w:val="20"/>
              </w:rPr>
            </w:pPr>
            <w:r>
              <w:t xml:space="preserve">Luogo e data: </w:t>
            </w:r>
            <w:r>
              <w:tab/>
            </w:r>
          </w:p>
        </w:tc>
        <w:tc>
          <w:tcPr>
            <w:tcW w:w="3360" w:type="dxa"/>
            <w:shd w:val="clear" w:color="auto" w:fill="auto"/>
          </w:tcPr>
          <w:p w:rsidR="009C13A9" w:rsidRPr="00C903F8" w:rsidRDefault="009C13A9" w:rsidP="009C13A9">
            <w:pPr>
              <w:tabs>
                <w:tab w:val="right" w:leader="dot" w:pos="8263"/>
              </w:tabs>
              <w:spacing w:line="240" w:lineRule="atLeast"/>
              <w:jc w:val="center"/>
              <w:outlineLvl w:val="0"/>
              <w:rPr>
                <w:noProof/>
                <w:sz w:val="16"/>
                <w:szCs w:val="20"/>
              </w:rPr>
            </w:pPr>
            <w:r>
              <w:rPr>
                <w:noProof/>
                <w:sz w:val="16"/>
              </w:rPr>
              <w:t>Timbro dell'autorità</w:t>
            </w: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5131" w:type="dxa"/>
            <w:shd w:val="clear" w:color="auto" w:fill="auto"/>
          </w:tcPr>
          <w:p w:rsidR="009C13A9" w:rsidRPr="00C903F8" w:rsidRDefault="009C13A9" w:rsidP="009C13A9">
            <w:pPr>
              <w:tabs>
                <w:tab w:val="right" w:leader="dot" w:pos="8263"/>
              </w:tabs>
              <w:spacing w:line="240" w:lineRule="atLeast"/>
              <w:outlineLvl w:val="0"/>
              <w:rPr>
                <w:noProof/>
                <w:szCs w:val="20"/>
              </w:rPr>
            </w:pPr>
            <w:r>
              <w:t xml:space="preserve">Firma: </w:t>
            </w:r>
            <w:r>
              <w:tab/>
            </w:r>
          </w:p>
        </w:tc>
        <w:tc>
          <w:tcPr>
            <w:tcW w:w="3360" w:type="dxa"/>
            <w:shd w:val="clear" w:color="auto" w:fill="auto"/>
          </w:tcPr>
          <w:p w:rsidR="009C13A9" w:rsidRPr="00C903F8" w:rsidRDefault="009C13A9" w:rsidP="009C13A9">
            <w:pPr>
              <w:tabs>
                <w:tab w:val="right" w:leader="dot" w:pos="8263"/>
              </w:tabs>
              <w:spacing w:line="240" w:lineRule="atLeast"/>
              <w:jc w:val="center"/>
              <w:outlineLvl w:val="0"/>
              <w:rPr>
                <w:noProof/>
                <w:sz w:val="16"/>
                <w:szCs w:val="20"/>
              </w:rPr>
            </w:pPr>
            <w:r>
              <w:rPr>
                <w:noProof/>
                <w:sz w:val="16"/>
              </w:rPr>
              <w:t>competente</w:t>
            </w: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p w:rsidR="009C13A9" w:rsidRPr="00C903F8" w:rsidRDefault="009C13A9" w:rsidP="009C13A9">
            <w:pPr>
              <w:spacing w:line="240" w:lineRule="atLeast"/>
              <w:outlineLvl w:val="0"/>
              <w:rPr>
                <w:noProof/>
                <w:szCs w:val="20"/>
              </w:rPr>
            </w:pPr>
          </w:p>
          <w:p w:rsidR="009C13A9" w:rsidRPr="00C903F8" w:rsidRDefault="009C13A9" w:rsidP="009C13A9">
            <w:pPr>
              <w:spacing w:line="240" w:lineRule="atLeast"/>
              <w:outlineLvl w:val="0"/>
              <w:rPr>
                <w:noProof/>
                <w:szCs w:val="20"/>
              </w:rPr>
            </w:pPr>
          </w:p>
        </w:tc>
        <w:tc>
          <w:tcPr>
            <w:tcW w:w="5131" w:type="dxa"/>
            <w:shd w:val="clear" w:color="auto" w:fill="auto"/>
          </w:tcPr>
          <w:p w:rsidR="009C13A9" w:rsidRPr="00C903F8" w:rsidRDefault="009C13A9" w:rsidP="009C13A9">
            <w:pPr>
              <w:tabs>
                <w:tab w:val="right" w:leader="dot" w:pos="8263"/>
              </w:tabs>
              <w:spacing w:line="240" w:lineRule="atLeast"/>
              <w:outlineLvl w:val="0"/>
              <w:rPr>
                <w:noProof/>
                <w:szCs w:val="20"/>
              </w:rPr>
            </w:pPr>
          </w:p>
        </w:tc>
        <w:tc>
          <w:tcPr>
            <w:tcW w:w="3360" w:type="dxa"/>
            <w:shd w:val="clear" w:color="auto" w:fill="auto"/>
          </w:tcPr>
          <w:p w:rsidR="009C13A9" w:rsidRPr="00C903F8" w:rsidRDefault="009C13A9" w:rsidP="009C13A9">
            <w:pPr>
              <w:tabs>
                <w:tab w:val="right" w:leader="dot" w:pos="8263"/>
              </w:tabs>
              <w:spacing w:line="240" w:lineRule="atLeast"/>
              <w:jc w:val="center"/>
              <w:outlineLvl w:val="0"/>
              <w:rPr>
                <w:noProof/>
                <w:sz w:val="16"/>
                <w:szCs w:val="20"/>
              </w:rPr>
            </w:pPr>
          </w:p>
        </w:tc>
      </w:tr>
      <w:tr w:rsidR="009C13A9" w:rsidRPr="00C903F8" w:rsidTr="009C13A9">
        <w:tc>
          <w:tcPr>
            <w:tcW w:w="737" w:type="dxa"/>
            <w:shd w:val="clear" w:color="auto" w:fill="auto"/>
          </w:tcPr>
          <w:p w:rsidR="009C13A9" w:rsidRPr="00C903F8" w:rsidRDefault="009C13A9" w:rsidP="009C13A9">
            <w:pPr>
              <w:spacing w:line="240" w:lineRule="atLeast"/>
              <w:rPr>
                <w:b/>
                <w:bCs/>
                <w:noProof/>
                <w:szCs w:val="20"/>
              </w:rPr>
            </w:pPr>
            <w:r>
              <w:t>1.2</w:t>
            </w:r>
          </w:p>
        </w:tc>
        <w:tc>
          <w:tcPr>
            <w:tcW w:w="8491" w:type="dxa"/>
            <w:gridSpan w:val="2"/>
            <w:shd w:val="clear" w:color="auto" w:fill="auto"/>
          </w:tcPr>
          <w:p w:rsidR="009C13A9" w:rsidRPr="00C903F8" w:rsidRDefault="00475311" w:rsidP="009C13A9">
            <w:pPr>
              <w:spacing w:line="240" w:lineRule="atLeast"/>
              <w:rPr>
                <w:b/>
                <w:bCs/>
                <w:noProof/>
                <w:szCs w:val="20"/>
              </w:rPr>
            </w:pPr>
            <w:r>
              <w:rPr>
                <w:noProof/>
                <w:szCs w:val="20"/>
              </w:rPr>
              <w:fldChar w:fldCharType="begin">
                <w:ffData>
                  <w:name w:val="Kontrollkästchen1"/>
                  <w:enabled/>
                  <w:calcOnExit w:val="0"/>
                  <w:checkBox>
                    <w:size w:val="20"/>
                    <w:default w:val="0"/>
                  </w:checkBox>
                </w:ffData>
              </w:fldChar>
            </w:r>
            <w:r>
              <w:rPr>
                <w:noProof/>
                <w:szCs w:val="20"/>
              </w:rPr>
              <w:instrText xml:space="preserve"> FORMCHECKBOX </w:instrText>
            </w:r>
            <w:r w:rsidR="00624017">
              <w:rPr>
                <w:noProof/>
                <w:szCs w:val="20"/>
              </w:rPr>
            </w:r>
            <w:r w:rsidR="00624017">
              <w:rPr>
                <w:noProof/>
                <w:szCs w:val="20"/>
              </w:rPr>
              <w:fldChar w:fldCharType="separate"/>
            </w:r>
            <w:r>
              <w:rPr>
                <w:noProof/>
                <w:szCs w:val="20"/>
              </w:rPr>
              <w:fldChar w:fldCharType="end"/>
            </w:r>
            <w:r>
              <w:t xml:space="preserve"> Controllo intermedio</w:t>
            </w:r>
            <w:r>
              <w:tab/>
            </w:r>
            <w:r>
              <w:rPr>
                <w:noProof/>
                <w:szCs w:val="20"/>
              </w:rPr>
              <w:fldChar w:fldCharType="begin">
                <w:ffData>
                  <w:name w:val="Kontrollkästchen1"/>
                  <w:enabled/>
                  <w:calcOnExit w:val="0"/>
                  <w:checkBox>
                    <w:size w:val="20"/>
                    <w:default w:val="0"/>
                  </w:checkBox>
                </w:ffData>
              </w:fldChar>
            </w:r>
            <w:r>
              <w:rPr>
                <w:noProof/>
                <w:szCs w:val="20"/>
              </w:rPr>
              <w:instrText xml:space="preserve"> FORMCHECKBOX </w:instrText>
            </w:r>
            <w:r w:rsidR="00624017">
              <w:rPr>
                <w:noProof/>
                <w:szCs w:val="20"/>
              </w:rPr>
            </w:r>
            <w:r w:rsidR="00624017">
              <w:rPr>
                <w:noProof/>
                <w:szCs w:val="20"/>
              </w:rPr>
              <w:fldChar w:fldCharType="separate"/>
            </w:r>
            <w:r>
              <w:rPr>
                <w:noProof/>
                <w:szCs w:val="20"/>
              </w:rPr>
              <w:fldChar w:fldCharType="end"/>
            </w:r>
            <w:r>
              <w:t xml:space="preserve"> Controllo</w:t>
            </w: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r>
              <w:t xml:space="preserve">Nome e indirizzo del servizio tecnico: </w:t>
            </w:r>
            <w:r>
              <w:tab/>
            </w: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ind w:left="0" w:firstLine="0"/>
              <w:outlineLvl w:val="0"/>
              <w:rPr>
                <w:noProof/>
                <w:szCs w:val="20"/>
              </w:rPr>
            </w:pPr>
            <w:r>
              <w:tab/>
            </w: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ind w:left="0" w:firstLine="0"/>
              <w:outlineLvl w:val="0"/>
              <w:rPr>
                <w:noProof/>
                <w:szCs w:val="20"/>
              </w:rPr>
            </w:pPr>
            <w:r>
              <w:tab/>
            </w: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r>
              <w:t xml:space="preserve">Nome del controllore: </w:t>
            </w:r>
            <w:r>
              <w:tab/>
            </w: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r>
              <w:t xml:space="preserve">Luogo e data: </w:t>
            </w:r>
            <w:r>
              <w:tab/>
            </w: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r>
              <w:t xml:space="preserve">Firma: </w:t>
            </w:r>
            <w:r>
              <w:tab/>
            </w: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outlineLvl w:val="0"/>
              <w:rPr>
                <w:noProof/>
                <w:szCs w:val="20"/>
              </w:rPr>
            </w:pPr>
            <w:r>
              <w:t xml:space="preserve">Prova riconosciuta dall’autorità competente: </w:t>
            </w:r>
            <w:r>
              <w:tab/>
            </w: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ind w:left="0" w:firstLine="0"/>
              <w:outlineLvl w:val="0"/>
              <w:rPr>
                <w:noProof/>
                <w:szCs w:val="20"/>
              </w:rPr>
            </w:pPr>
            <w:r>
              <w:tab/>
            </w: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ind w:left="0" w:firstLine="0"/>
              <w:outlineLvl w:val="0"/>
              <w:rPr>
                <w:noProof/>
                <w:szCs w:val="20"/>
              </w:rPr>
            </w:pPr>
            <w:r>
              <w:tab/>
            </w:r>
          </w:p>
        </w:tc>
      </w:tr>
      <w:tr w:rsidR="009C13A9" w:rsidRPr="00A0619C"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8491" w:type="dxa"/>
            <w:gridSpan w:val="2"/>
            <w:shd w:val="clear" w:color="auto" w:fill="auto"/>
          </w:tcPr>
          <w:p w:rsidR="009C13A9" w:rsidRPr="00C903F8" w:rsidRDefault="009C13A9" w:rsidP="009C13A9">
            <w:pPr>
              <w:tabs>
                <w:tab w:val="right" w:leader="dot" w:pos="8263"/>
              </w:tabs>
              <w:spacing w:line="240" w:lineRule="atLeast"/>
              <w:ind w:left="0" w:firstLine="0"/>
              <w:outlineLvl w:val="0"/>
              <w:rPr>
                <w:noProof/>
                <w:szCs w:val="20"/>
              </w:rPr>
            </w:pP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5131" w:type="dxa"/>
            <w:shd w:val="clear" w:color="auto" w:fill="auto"/>
          </w:tcPr>
          <w:p w:rsidR="009C13A9" w:rsidRPr="00C903F8" w:rsidRDefault="009C13A9" w:rsidP="009C13A9">
            <w:pPr>
              <w:tabs>
                <w:tab w:val="right" w:leader="dot" w:pos="8263"/>
              </w:tabs>
              <w:spacing w:line="240" w:lineRule="atLeast"/>
              <w:outlineLvl w:val="0"/>
              <w:rPr>
                <w:noProof/>
                <w:szCs w:val="20"/>
              </w:rPr>
            </w:pPr>
            <w:r>
              <w:t xml:space="preserve">Luogo e data: </w:t>
            </w:r>
            <w:r>
              <w:tab/>
            </w:r>
          </w:p>
        </w:tc>
        <w:tc>
          <w:tcPr>
            <w:tcW w:w="3360" w:type="dxa"/>
            <w:shd w:val="clear" w:color="auto" w:fill="auto"/>
          </w:tcPr>
          <w:p w:rsidR="009C13A9" w:rsidRPr="00C903F8" w:rsidRDefault="009C13A9" w:rsidP="009C13A9">
            <w:pPr>
              <w:tabs>
                <w:tab w:val="right" w:leader="dot" w:pos="8263"/>
              </w:tabs>
              <w:spacing w:line="240" w:lineRule="atLeast"/>
              <w:jc w:val="center"/>
              <w:outlineLvl w:val="0"/>
              <w:rPr>
                <w:noProof/>
                <w:sz w:val="16"/>
                <w:szCs w:val="20"/>
              </w:rPr>
            </w:pPr>
            <w:r>
              <w:rPr>
                <w:noProof/>
                <w:sz w:val="16"/>
              </w:rPr>
              <w:t>Timbro dell'autorità</w:t>
            </w: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5131" w:type="dxa"/>
            <w:shd w:val="clear" w:color="auto" w:fill="auto"/>
          </w:tcPr>
          <w:p w:rsidR="009C13A9" w:rsidRPr="00C903F8" w:rsidRDefault="009C13A9" w:rsidP="009C13A9">
            <w:pPr>
              <w:tabs>
                <w:tab w:val="right" w:leader="dot" w:pos="8263"/>
              </w:tabs>
              <w:spacing w:line="240" w:lineRule="atLeast"/>
              <w:outlineLvl w:val="0"/>
              <w:rPr>
                <w:noProof/>
                <w:szCs w:val="20"/>
              </w:rPr>
            </w:pPr>
            <w:r>
              <w:t xml:space="preserve">Firma: </w:t>
            </w:r>
            <w:r>
              <w:tab/>
            </w:r>
          </w:p>
        </w:tc>
        <w:tc>
          <w:tcPr>
            <w:tcW w:w="3360" w:type="dxa"/>
            <w:shd w:val="clear" w:color="auto" w:fill="auto"/>
          </w:tcPr>
          <w:p w:rsidR="009C13A9" w:rsidRPr="00C903F8" w:rsidRDefault="009C13A9" w:rsidP="009C13A9">
            <w:pPr>
              <w:tabs>
                <w:tab w:val="right" w:leader="dot" w:pos="8263"/>
              </w:tabs>
              <w:spacing w:line="240" w:lineRule="atLeast"/>
              <w:jc w:val="center"/>
              <w:outlineLvl w:val="0"/>
              <w:rPr>
                <w:noProof/>
                <w:sz w:val="16"/>
                <w:szCs w:val="20"/>
              </w:rPr>
            </w:pPr>
            <w:r>
              <w:rPr>
                <w:noProof/>
                <w:sz w:val="16"/>
              </w:rPr>
              <w:t>competente</w:t>
            </w:r>
          </w:p>
        </w:tc>
      </w:tr>
      <w:tr w:rsidR="009C13A9" w:rsidRPr="00C903F8" w:rsidTr="009C13A9">
        <w:tc>
          <w:tcPr>
            <w:tcW w:w="737" w:type="dxa"/>
            <w:shd w:val="clear" w:color="auto" w:fill="auto"/>
          </w:tcPr>
          <w:p w:rsidR="009C13A9" w:rsidRPr="00C903F8" w:rsidRDefault="009C13A9" w:rsidP="009C13A9">
            <w:pPr>
              <w:spacing w:line="240" w:lineRule="atLeast"/>
              <w:outlineLvl w:val="0"/>
              <w:rPr>
                <w:noProof/>
                <w:szCs w:val="20"/>
              </w:rPr>
            </w:pPr>
          </w:p>
        </w:tc>
        <w:tc>
          <w:tcPr>
            <w:tcW w:w="5131" w:type="dxa"/>
            <w:shd w:val="clear" w:color="auto" w:fill="auto"/>
          </w:tcPr>
          <w:p w:rsidR="009C13A9" w:rsidRPr="00C903F8" w:rsidRDefault="009C13A9" w:rsidP="009C13A9">
            <w:pPr>
              <w:tabs>
                <w:tab w:val="right" w:leader="dot" w:pos="8263"/>
              </w:tabs>
              <w:spacing w:line="240" w:lineRule="atLeast"/>
              <w:outlineLvl w:val="0"/>
              <w:rPr>
                <w:noProof/>
                <w:szCs w:val="20"/>
              </w:rPr>
            </w:pPr>
          </w:p>
        </w:tc>
        <w:tc>
          <w:tcPr>
            <w:tcW w:w="3360" w:type="dxa"/>
            <w:shd w:val="clear" w:color="auto" w:fill="auto"/>
          </w:tcPr>
          <w:p w:rsidR="009C13A9" w:rsidRPr="00C903F8" w:rsidRDefault="009C13A9" w:rsidP="009C13A9">
            <w:pPr>
              <w:tabs>
                <w:tab w:val="right" w:leader="dot" w:pos="8263"/>
              </w:tabs>
              <w:spacing w:line="240" w:lineRule="atLeast"/>
              <w:jc w:val="center"/>
              <w:outlineLvl w:val="0"/>
              <w:rPr>
                <w:noProof/>
                <w:sz w:val="16"/>
                <w:szCs w:val="20"/>
              </w:rPr>
            </w:pPr>
          </w:p>
        </w:tc>
      </w:tr>
    </w:tbl>
    <w:p w:rsidR="009C13A9" w:rsidRPr="00C903F8" w:rsidRDefault="009C13A9" w:rsidP="009C13A9">
      <w:pPr>
        <w:tabs>
          <w:tab w:val="left" w:pos="737"/>
          <w:tab w:val="left" w:pos="2835"/>
        </w:tabs>
        <w:rPr>
          <w:noProof/>
          <w:szCs w:val="20"/>
        </w:rPr>
      </w:pPr>
    </w:p>
    <w:p w:rsidR="009C13A9" w:rsidRPr="00C903F8" w:rsidRDefault="009C13A9" w:rsidP="009C13A9">
      <w:pPr>
        <w:rPr>
          <w:noProof/>
          <w:sz w:val="4"/>
          <w:szCs w:val="4"/>
        </w:rPr>
        <w:sectPr w:rsidR="009C13A9" w:rsidRPr="00C903F8" w:rsidSect="009C13A9">
          <w:headerReference w:type="default" r:id="rId70"/>
          <w:footnotePr>
            <w:numRestart w:val="eachPage"/>
          </w:footnotePr>
          <w:pgSz w:w="11907" w:h="16839"/>
          <w:pgMar w:top="1134" w:right="1417" w:bottom="1134" w:left="1417" w:header="709" w:footer="709" w:gutter="0"/>
          <w:cols w:space="708"/>
          <w:docGrid w:linePitch="360"/>
        </w:sectPr>
      </w:pPr>
    </w:p>
    <w:tbl>
      <w:tblPr>
        <w:tblW w:w="9215" w:type="dxa"/>
        <w:tblLayout w:type="fixed"/>
        <w:tblCellMar>
          <w:left w:w="70" w:type="dxa"/>
          <w:right w:w="70" w:type="dxa"/>
        </w:tblCellMar>
        <w:tblLook w:val="0000" w:firstRow="0" w:lastRow="0" w:firstColumn="0" w:lastColumn="0" w:noHBand="0" w:noVBand="0"/>
      </w:tblPr>
      <w:tblGrid>
        <w:gridCol w:w="70"/>
        <w:gridCol w:w="356"/>
        <w:gridCol w:w="567"/>
        <w:gridCol w:w="283"/>
        <w:gridCol w:w="284"/>
        <w:gridCol w:w="425"/>
        <w:gridCol w:w="567"/>
        <w:gridCol w:w="283"/>
        <w:gridCol w:w="142"/>
        <w:gridCol w:w="142"/>
        <w:gridCol w:w="43"/>
        <w:gridCol w:w="382"/>
        <w:gridCol w:w="425"/>
        <w:gridCol w:w="142"/>
        <w:gridCol w:w="425"/>
        <w:gridCol w:w="142"/>
        <w:gridCol w:w="140"/>
        <w:gridCol w:w="569"/>
        <w:gridCol w:w="567"/>
        <w:gridCol w:w="135"/>
        <w:gridCol w:w="7"/>
        <w:gridCol w:w="298"/>
        <w:gridCol w:w="127"/>
        <w:gridCol w:w="567"/>
        <w:gridCol w:w="47"/>
        <w:gridCol w:w="214"/>
        <w:gridCol w:w="306"/>
        <w:gridCol w:w="496"/>
        <w:gridCol w:w="23"/>
        <w:gridCol w:w="190"/>
        <w:gridCol w:w="555"/>
        <w:gridCol w:w="296"/>
      </w:tblGrid>
      <w:tr w:rsidR="009C13A9" w:rsidRPr="00C903F8" w:rsidTr="009C13A9">
        <w:trPr>
          <w:gridBefore w:val="1"/>
          <w:gridAfter w:val="1"/>
          <w:wBefore w:w="70" w:type="dxa"/>
          <w:wAfter w:w="296" w:type="dxa"/>
          <w:cantSplit/>
          <w:trHeight w:hRule="exact" w:val="160"/>
        </w:trPr>
        <w:tc>
          <w:tcPr>
            <w:tcW w:w="8849" w:type="dxa"/>
            <w:gridSpan w:val="30"/>
            <w:vAlign w:val="center"/>
          </w:tcPr>
          <w:p w:rsidR="009C13A9" w:rsidRPr="00C903F8" w:rsidRDefault="009C13A9" w:rsidP="009C13A9">
            <w:pPr>
              <w:autoSpaceDE/>
              <w:autoSpaceDN/>
              <w:ind w:left="0" w:firstLine="0"/>
              <w:jc w:val="left"/>
              <w:rPr>
                <w:noProof/>
              </w:rPr>
            </w:pPr>
          </w:p>
        </w:tc>
      </w:tr>
      <w:tr w:rsidR="009C13A9" w:rsidRPr="00C903F8" w:rsidTr="009C13A9">
        <w:tblPrEx>
          <w:jc w:val="center"/>
        </w:tblPrEx>
        <w:trPr>
          <w:cantSplit/>
          <w:jc w:val="center"/>
        </w:trPr>
        <w:tc>
          <w:tcPr>
            <w:tcW w:w="9215" w:type="dxa"/>
            <w:gridSpan w:val="32"/>
            <w:vAlign w:val="center"/>
          </w:tcPr>
          <w:p w:rsidR="009C13A9" w:rsidRPr="00C903F8" w:rsidRDefault="009C13A9" w:rsidP="009C13A9">
            <w:pPr>
              <w:tabs>
                <w:tab w:val="center" w:pos="7316"/>
              </w:tabs>
              <w:overflowPunct w:val="0"/>
              <w:adjustRightInd w:val="0"/>
              <w:spacing w:line="240" w:lineRule="atLeast"/>
              <w:ind w:left="0" w:firstLine="0"/>
              <w:jc w:val="center"/>
              <w:textAlignment w:val="baseline"/>
              <w:rPr>
                <w:rFonts w:cs="Arial"/>
                <w:bCs/>
                <w:sz w:val="16"/>
                <w:szCs w:val="18"/>
              </w:rPr>
            </w:pPr>
            <w:r>
              <w:br w:type="page"/>
            </w:r>
            <w:r>
              <w:rPr>
                <w:b/>
              </w:rPr>
              <w:t xml:space="preserve">Appendice 1 </w:t>
            </w:r>
          </w:p>
          <w:p w:rsidR="009C13A9" w:rsidRPr="00C903F8" w:rsidRDefault="009C13A9" w:rsidP="009C13A9">
            <w:pPr>
              <w:overflowPunct w:val="0"/>
              <w:adjustRightInd w:val="0"/>
              <w:ind w:left="0" w:right="57" w:firstLine="0"/>
              <w:jc w:val="center"/>
              <w:textAlignment w:val="baseline"/>
              <w:rPr>
                <w:rFonts w:cs="Arial"/>
                <w:b/>
                <w:bCs/>
                <w:szCs w:val="22"/>
              </w:rPr>
            </w:pPr>
            <w:r>
              <w:rPr>
                <w:b/>
              </w:rPr>
              <w:t>Allegato al protocollo dei parametri del motore</w:t>
            </w:r>
          </w:p>
          <w:p w:rsidR="009C13A9" w:rsidRPr="00C903F8" w:rsidRDefault="009C13A9" w:rsidP="009C13A9">
            <w:pPr>
              <w:overflowPunct w:val="0"/>
              <w:adjustRightInd w:val="0"/>
              <w:ind w:left="0" w:right="57" w:firstLine="0"/>
              <w:jc w:val="center"/>
              <w:textAlignment w:val="baseline"/>
              <w:rPr>
                <w:rFonts w:cs="Arial"/>
                <w:b/>
                <w:bCs/>
                <w:caps/>
                <w:szCs w:val="20"/>
              </w:rPr>
            </w:pPr>
            <w:r>
              <w:rPr>
                <w:sz w:val="18"/>
              </w:rPr>
              <w:t>(Modello)</w:t>
            </w:r>
          </w:p>
        </w:tc>
      </w:tr>
      <w:tr w:rsidR="009C13A9" w:rsidRPr="00C903F8" w:rsidTr="009C13A9">
        <w:tblPrEx>
          <w:jc w:val="center"/>
        </w:tblPrEx>
        <w:trPr>
          <w:cantSplit/>
          <w:trHeight w:hRule="exact" w:val="160"/>
          <w:jc w:val="center"/>
        </w:trPr>
        <w:tc>
          <w:tcPr>
            <w:tcW w:w="9215" w:type="dxa"/>
            <w:gridSpan w:val="32"/>
            <w:vAlign w:val="center"/>
          </w:tcPr>
          <w:p w:rsidR="009C13A9" w:rsidRPr="00C903F8" w:rsidRDefault="009C13A9" w:rsidP="009C13A9">
            <w:pPr>
              <w:overflowPunct w:val="0"/>
              <w:adjustRightInd w:val="0"/>
              <w:ind w:left="0" w:right="57" w:firstLine="0"/>
              <w:jc w:val="left"/>
              <w:textAlignment w:val="baseline"/>
              <w:rPr>
                <w:rFonts w:cs="Arial"/>
                <w:szCs w:val="20"/>
              </w:rPr>
            </w:pPr>
          </w:p>
          <w:p w:rsidR="009C13A9" w:rsidRPr="00C903F8" w:rsidRDefault="009C13A9" w:rsidP="009C13A9">
            <w:pPr>
              <w:overflowPunct w:val="0"/>
              <w:adjustRightInd w:val="0"/>
              <w:ind w:left="0" w:right="57" w:firstLine="0"/>
              <w:jc w:val="left"/>
              <w:textAlignment w:val="baseline"/>
              <w:rPr>
                <w:rFonts w:cs="Arial"/>
                <w:szCs w:val="20"/>
              </w:rPr>
            </w:pPr>
          </w:p>
        </w:tc>
      </w:tr>
      <w:tr w:rsidR="009C13A9" w:rsidRPr="00C903F8" w:rsidTr="009C13A9">
        <w:tblPrEx>
          <w:jc w:val="center"/>
        </w:tblPrEx>
        <w:trPr>
          <w:cantSplit/>
          <w:jc w:val="center"/>
        </w:trPr>
        <w:tc>
          <w:tcPr>
            <w:tcW w:w="1560" w:type="dxa"/>
            <w:gridSpan w:val="5"/>
            <w:vAlign w:val="center"/>
          </w:tcPr>
          <w:p w:rsidR="009C13A9" w:rsidRPr="00C903F8" w:rsidRDefault="009C13A9" w:rsidP="009C13A9">
            <w:pPr>
              <w:overflowPunct w:val="0"/>
              <w:adjustRightInd w:val="0"/>
              <w:ind w:left="0" w:right="57" w:firstLine="0"/>
              <w:jc w:val="left"/>
              <w:textAlignment w:val="baseline"/>
              <w:rPr>
                <w:rFonts w:cs="Arial"/>
                <w:sz w:val="16"/>
                <w:szCs w:val="16"/>
              </w:rPr>
            </w:pPr>
            <w:r>
              <w:rPr>
                <w:sz w:val="16"/>
              </w:rPr>
              <w:t>Nome della nave:</w:t>
            </w:r>
          </w:p>
        </w:tc>
        <w:tc>
          <w:tcPr>
            <w:tcW w:w="2551" w:type="dxa"/>
            <w:gridSpan w:val="9"/>
            <w:vAlign w:val="center"/>
          </w:tcPr>
          <w:p w:rsidR="009C13A9" w:rsidRPr="00C903F8" w:rsidRDefault="009C13A9" w:rsidP="009C13A9">
            <w:pPr>
              <w:tabs>
                <w:tab w:val="center" w:pos="4819"/>
              </w:tabs>
              <w:overflowPunct w:val="0"/>
              <w:adjustRightInd w:val="0"/>
              <w:ind w:left="0" w:right="57" w:firstLine="0"/>
              <w:jc w:val="left"/>
              <w:textAlignment w:val="baseline"/>
              <w:rPr>
                <w:rFonts w:cs="Arial"/>
                <w:sz w:val="16"/>
                <w:szCs w:val="16"/>
              </w:rPr>
            </w:pPr>
            <w:r>
              <w:rPr>
                <w:sz w:val="16"/>
              </w:rPr>
              <w:t>……………………………….</w:t>
            </w:r>
          </w:p>
        </w:tc>
        <w:tc>
          <w:tcPr>
            <w:tcW w:w="2977" w:type="dxa"/>
            <w:gridSpan w:val="10"/>
            <w:vAlign w:val="center"/>
          </w:tcPr>
          <w:p w:rsidR="009C13A9" w:rsidRPr="00C903F8" w:rsidRDefault="006D37CC" w:rsidP="006D37CC">
            <w:pPr>
              <w:overflowPunct w:val="0"/>
              <w:adjustRightInd w:val="0"/>
              <w:ind w:left="0" w:right="57" w:firstLine="0"/>
              <w:jc w:val="left"/>
              <w:textAlignment w:val="baseline"/>
              <w:rPr>
                <w:rFonts w:cs="Arial"/>
                <w:sz w:val="16"/>
                <w:szCs w:val="16"/>
              </w:rPr>
            </w:pPr>
            <w:r>
              <w:rPr>
                <w:noProof/>
                <w:sz w:val="16"/>
              </w:rPr>
              <w:t>Numero unico europeo di identificazione delle navi:</w:t>
            </w:r>
          </w:p>
        </w:tc>
        <w:tc>
          <w:tcPr>
            <w:tcW w:w="2127" w:type="dxa"/>
            <w:gridSpan w:val="8"/>
            <w:vAlign w:val="center"/>
          </w:tcPr>
          <w:p w:rsidR="009C13A9" w:rsidRPr="00C903F8" w:rsidRDefault="009C13A9" w:rsidP="009C13A9">
            <w:pPr>
              <w:overflowPunct w:val="0"/>
              <w:adjustRightInd w:val="0"/>
              <w:ind w:left="0" w:right="57" w:firstLine="0"/>
              <w:jc w:val="left"/>
              <w:textAlignment w:val="baseline"/>
              <w:rPr>
                <w:rFonts w:cs="Arial"/>
                <w:sz w:val="16"/>
                <w:szCs w:val="16"/>
              </w:rPr>
            </w:pPr>
            <w:r>
              <w:rPr>
                <w:sz w:val="16"/>
              </w:rPr>
              <w:t>…………………………</w:t>
            </w:r>
          </w:p>
        </w:tc>
      </w:tr>
      <w:tr w:rsidR="009C13A9" w:rsidRPr="00C903F8" w:rsidTr="009C13A9">
        <w:tblPrEx>
          <w:jc w:val="center"/>
        </w:tblPrEx>
        <w:trPr>
          <w:cantSplit/>
          <w:jc w:val="center"/>
        </w:trPr>
        <w:tc>
          <w:tcPr>
            <w:tcW w:w="9215" w:type="dxa"/>
            <w:gridSpan w:val="32"/>
            <w:vAlign w:val="center"/>
          </w:tcPr>
          <w:p w:rsidR="009C13A9" w:rsidRPr="00C903F8" w:rsidRDefault="009C13A9" w:rsidP="009C13A9">
            <w:pPr>
              <w:tabs>
                <w:tab w:val="center" w:pos="4819"/>
              </w:tabs>
              <w:overflowPunct w:val="0"/>
              <w:adjustRightInd w:val="0"/>
              <w:spacing w:line="100" w:lineRule="exact"/>
              <w:ind w:left="0" w:right="57" w:firstLine="0"/>
              <w:jc w:val="left"/>
              <w:textAlignment w:val="baseline"/>
              <w:rPr>
                <w:rFonts w:cs="Arial"/>
                <w:szCs w:val="20"/>
              </w:rPr>
            </w:pPr>
          </w:p>
        </w:tc>
      </w:tr>
      <w:tr w:rsidR="009C13A9" w:rsidRPr="00C903F8" w:rsidTr="009C13A9">
        <w:tblPrEx>
          <w:jc w:val="center"/>
        </w:tblPrEx>
        <w:trPr>
          <w:jc w:val="center"/>
        </w:trPr>
        <w:tc>
          <w:tcPr>
            <w:tcW w:w="426" w:type="dxa"/>
            <w:gridSpan w:val="2"/>
            <w:vAlign w:val="center"/>
          </w:tcPr>
          <w:p w:rsidR="009C13A9" w:rsidRPr="00C903F8" w:rsidRDefault="00475311" w:rsidP="009C13A9">
            <w:pPr>
              <w:overflowPunct w:val="0"/>
              <w:adjustRightInd w:val="0"/>
              <w:ind w:left="0" w:right="57" w:firstLine="0"/>
              <w:jc w:val="center"/>
              <w:textAlignment w:val="baseline"/>
              <w:rPr>
                <w:rFonts w:cs="Arial"/>
                <w:sz w:val="12"/>
                <w:szCs w:val="12"/>
              </w:rPr>
            </w:pPr>
            <w:r>
              <w:rPr>
                <w:rFonts w:cs="Arial"/>
                <w:sz w:val="16"/>
                <w:szCs w:val="16"/>
              </w:rPr>
              <w:fldChar w:fldCharType="begin">
                <w:ffData>
                  <w:name w:val="Kontrollkästchen4"/>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p>
        </w:tc>
        <w:tc>
          <w:tcPr>
            <w:tcW w:w="2736" w:type="dxa"/>
            <w:gridSpan w:val="9"/>
            <w:tcBorders>
              <w:left w:val="nil"/>
            </w:tcBorders>
            <w:vAlign w:val="center"/>
          </w:tcPr>
          <w:p w:rsidR="009C13A9" w:rsidRPr="00C903F8" w:rsidRDefault="009C13A9" w:rsidP="009C13A9">
            <w:pPr>
              <w:tabs>
                <w:tab w:val="center" w:pos="4819"/>
              </w:tabs>
              <w:overflowPunct w:val="0"/>
              <w:adjustRightInd w:val="0"/>
              <w:ind w:left="0" w:right="57" w:firstLine="0"/>
              <w:jc w:val="left"/>
              <w:textAlignment w:val="baseline"/>
              <w:rPr>
                <w:rFonts w:cs="Arial"/>
                <w:sz w:val="18"/>
                <w:szCs w:val="18"/>
              </w:rPr>
            </w:pPr>
            <w:r>
              <w:rPr>
                <w:sz w:val="16"/>
              </w:rPr>
              <w:t xml:space="preserve">Controllo in sede di montaggio </w:t>
            </w:r>
            <w:r>
              <w:rPr>
                <w:sz w:val="18"/>
                <w:vertAlign w:val="superscript"/>
              </w:rPr>
              <w:t>1)</w:t>
            </w:r>
          </w:p>
        </w:tc>
        <w:tc>
          <w:tcPr>
            <w:tcW w:w="807" w:type="dxa"/>
            <w:gridSpan w:val="2"/>
            <w:vAlign w:val="center"/>
          </w:tcPr>
          <w:p w:rsidR="009C13A9" w:rsidRPr="00C903F8" w:rsidRDefault="00475311" w:rsidP="009C13A9">
            <w:pPr>
              <w:overflowPunct w:val="0"/>
              <w:adjustRightInd w:val="0"/>
              <w:ind w:left="0" w:right="57" w:firstLine="0"/>
              <w:jc w:val="center"/>
              <w:textAlignment w:val="baseline"/>
              <w:rPr>
                <w:rFonts w:cs="Arial"/>
                <w:sz w:val="12"/>
                <w:szCs w:val="12"/>
              </w:rPr>
            </w:pPr>
            <w:r>
              <w:rPr>
                <w:rFonts w:cs="Arial"/>
                <w:sz w:val="16"/>
                <w:szCs w:val="16"/>
              </w:rPr>
              <w:fldChar w:fldCharType="begin">
                <w:ffData>
                  <w:name w:val="Kontrollkästchen4"/>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p>
        </w:tc>
        <w:tc>
          <w:tcPr>
            <w:tcW w:w="2425" w:type="dxa"/>
            <w:gridSpan w:val="9"/>
            <w:tcBorders>
              <w:left w:val="nil"/>
            </w:tcBorders>
            <w:vAlign w:val="center"/>
          </w:tcPr>
          <w:p w:rsidR="009C13A9" w:rsidRPr="00C903F8" w:rsidRDefault="009C13A9" w:rsidP="009C13A9">
            <w:pPr>
              <w:overflowPunct w:val="0"/>
              <w:adjustRightInd w:val="0"/>
              <w:ind w:left="0" w:right="57" w:firstLine="0"/>
              <w:jc w:val="left"/>
              <w:textAlignment w:val="baseline"/>
              <w:rPr>
                <w:rFonts w:cs="Arial"/>
                <w:sz w:val="18"/>
                <w:szCs w:val="18"/>
              </w:rPr>
            </w:pPr>
            <w:r>
              <w:rPr>
                <w:sz w:val="16"/>
              </w:rPr>
              <w:t xml:space="preserve">Controllo intermedio </w:t>
            </w:r>
            <w:r>
              <w:rPr>
                <w:sz w:val="18"/>
                <w:vertAlign w:val="superscript"/>
              </w:rPr>
              <w:t>1)</w:t>
            </w:r>
          </w:p>
        </w:tc>
        <w:tc>
          <w:tcPr>
            <w:tcW w:w="694" w:type="dxa"/>
            <w:gridSpan w:val="2"/>
            <w:vAlign w:val="center"/>
          </w:tcPr>
          <w:p w:rsidR="009C13A9" w:rsidRPr="00C903F8" w:rsidRDefault="00475311" w:rsidP="009C13A9">
            <w:pPr>
              <w:overflowPunct w:val="0"/>
              <w:adjustRightInd w:val="0"/>
              <w:ind w:left="0" w:right="57" w:firstLine="0"/>
              <w:jc w:val="center"/>
              <w:textAlignment w:val="baseline"/>
              <w:rPr>
                <w:rFonts w:cs="Arial"/>
                <w:sz w:val="12"/>
                <w:szCs w:val="12"/>
              </w:rPr>
            </w:pPr>
            <w:r>
              <w:rPr>
                <w:rFonts w:cs="Arial"/>
                <w:sz w:val="16"/>
                <w:szCs w:val="16"/>
              </w:rPr>
              <w:fldChar w:fldCharType="begin">
                <w:ffData>
                  <w:name w:val="Kontrollkästchen4"/>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p>
        </w:tc>
        <w:tc>
          <w:tcPr>
            <w:tcW w:w="2127" w:type="dxa"/>
            <w:gridSpan w:val="8"/>
            <w:tcBorders>
              <w:left w:val="nil"/>
            </w:tcBorders>
            <w:vAlign w:val="center"/>
          </w:tcPr>
          <w:p w:rsidR="009C13A9" w:rsidRPr="00C903F8" w:rsidRDefault="009C13A9" w:rsidP="009C13A9">
            <w:pPr>
              <w:overflowPunct w:val="0"/>
              <w:adjustRightInd w:val="0"/>
              <w:ind w:left="0" w:right="57" w:firstLine="0"/>
              <w:jc w:val="left"/>
              <w:textAlignment w:val="baseline"/>
              <w:rPr>
                <w:rFonts w:cs="Arial"/>
                <w:sz w:val="18"/>
                <w:szCs w:val="18"/>
              </w:rPr>
            </w:pPr>
            <w:bookmarkStart w:id="662" w:name="Kontrollkästchen3"/>
            <w:bookmarkStart w:id="663" w:name="Kontrollkästchen2"/>
            <w:bookmarkStart w:id="664" w:name="Kontrollkästchen1"/>
            <w:r>
              <w:rPr>
                <w:sz w:val="16"/>
              </w:rPr>
              <w:t xml:space="preserve">Controllo speciale </w:t>
            </w:r>
            <w:r>
              <w:rPr>
                <w:sz w:val="18"/>
                <w:vertAlign w:val="superscript"/>
              </w:rPr>
              <w:t>1)</w:t>
            </w:r>
            <w:bookmarkEnd w:id="662"/>
            <w:bookmarkEnd w:id="663"/>
            <w:bookmarkEnd w:id="664"/>
          </w:p>
        </w:tc>
      </w:tr>
      <w:tr w:rsidR="009C13A9" w:rsidRPr="00C903F8" w:rsidTr="009C13A9">
        <w:tblPrEx>
          <w:jc w:val="center"/>
          <w:tblCellMar>
            <w:left w:w="28" w:type="dxa"/>
            <w:right w:w="28" w:type="dxa"/>
          </w:tblCellMar>
        </w:tblPrEx>
        <w:trPr>
          <w:cantSplit/>
          <w:trHeight w:hRule="exact" w:val="160"/>
          <w:jc w:val="center"/>
        </w:trPr>
        <w:tc>
          <w:tcPr>
            <w:tcW w:w="9215" w:type="dxa"/>
            <w:gridSpan w:val="32"/>
            <w:vAlign w:val="center"/>
          </w:tcPr>
          <w:p w:rsidR="009C13A9" w:rsidRPr="00C903F8" w:rsidRDefault="009C13A9" w:rsidP="009C13A9">
            <w:pPr>
              <w:overflowPunct w:val="0"/>
              <w:adjustRightInd w:val="0"/>
              <w:spacing w:before="60" w:after="60"/>
              <w:ind w:left="0" w:right="57" w:firstLine="0"/>
              <w:jc w:val="left"/>
              <w:textAlignment w:val="baseline"/>
              <w:rPr>
                <w:rFonts w:cs="Arial"/>
                <w:szCs w:val="20"/>
              </w:rPr>
            </w:pPr>
          </w:p>
        </w:tc>
      </w:tr>
      <w:tr w:rsidR="009C13A9" w:rsidRPr="00C903F8" w:rsidTr="009C13A9">
        <w:tblPrEx>
          <w:jc w:val="center"/>
          <w:tblCellMar>
            <w:left w:w="28" w:type="dxa"/>
            <w:right w:w="28" w:type="dxa"/>
          </w:tblCellMar>
        </w:tblPrEx>
        <w:trPr>
          <w:jc w:val="center"/>
        </w:trPr>
        <w:tc>
          <w:tcPr>
            <w:tcW w:w="1276" w:type="dxa"/>
            <w:gridSpan w:val="4"/>
            <w:vAlign w:val="center"/>
          </w:tcPr>
          <w:p w:rsidR="009C13A9" w:rsidRPr="00C903F8" w:rsidRDefault="009C13A9" w:rsidP="009C13A9">
            <w:pPr>
              <w:overflowPunct w:val="0"/>
              <w:adjustRightInd w:val="0"/>
              <w:ind w:left="0" w:right="57" w:firstLine="0"/>
              <w:jc w:val="left"/>
              <w:textAlignment w:val="baseline"/>
              <w:rPr>
                <w:rFonts w:cs="Arial"/>
                <w:sz w:val="16"/>
                <w:szCs w:val="16"/>
              </w:rPr>
            </w:pPr>
            <w:r>
              <w:rPr>
                <w:sz w:val="16"/>
              </w:rPr>
              <w:t>Costruttore:</w:t>
            </w:r>
          </w:p>
        </w:tc>
        <w:tc>
          <w:tcPr>
            <w:tcW w:w="3402" w:type="dxa"/>
            <w:gridSpan w:val="12"/>
            <w:vAlign w:val="center"/>
          </w:tcPr>
          <w:p w:rsidR="009C13A9" w:rsidRPr="00C903F8" w:rsidRDefault="009C13A9" w:rsidP="009C13A9">
            <w:pPr>
              <w:overflowPunct w:val="0"/>
              <w:adjustRightInd w:val="0"/>
              <w:ind w:left="0" w:right="57" w:firstLine="0"/>
              <w:jc w:val="left"/>
              <w:textAlignment w:val="baseline"/>
              <w:rPr>
                <w:rFonts w:cs="Arial"/>
                <w:sz w:val="16"/>
                <w:szCs w:val="16"/>
              </w:rPr>
            </w:pPr>
            <w:r>
              <w:rPr>
                <w:sz w:val="16"/>
              </w:rPr>
              <w:t>…………………………………………</w:t>
            </w:r>
          </w:p>
        </w:tc>
        <w:tc>
          <w:tcPr>
            <w:tcW w:w="1276" w:type="dxa"/>
            <w:gridSpan w:val="3"/>
            <w:vAlign w:val="center"/>
          </w:tcPr>
          <w:p w:rsidR="009C13A9" w:rsidRPr="00C903F8" w:rsidRDefault="009C13A9" w:rsidP="009C13A9">
            <w:pPr>
              <w:overflowPunct w:val="0"/>
              <w:adjustRightInd w:val="0"/>
              <w:ind w:left="0" w:right="57" w:firstLine="0"/>
              <w:jc w:val="left"/>
              <w:textAlignment w:val="baseline"/>
              <w:rPr>
                <w:rFonts w:cs="Arial"/>
                <w:sz w:val="16"/>
                <w:szCs w:val="16"/>
              </w:rPr>
            </w:pPr>
            <w:bookmarkStart w:id="665" w:name="Text14"/>
            <w:bookmarkStart w:id="666" w:name="Text15"/>
            <w:r>
              <w:rPr>
                <w:sz w:val="16"/>
              </w:rPr>
              <w:t>Tipo di motore:</w:t>
            </w:r>
            <w:bookmarkEnd w:id="665"/>
            <w:bookmarkEnd w:id="666"/>
          </w:p>
        </w:tc>
        <w:tc>
          <w:tcPr>
            <w:tcW w:w="3261" w:type="dxa"/>
            <w:gridSpan w:val="13"/>
            <w:vAlign w:val="center"/>
          </w:tcPr>
          <w:p w:rsidR="009C13A9" w:rsidRPr="00C903F8" w:rsidRDefault="009C13A9" w:rsidP="009C13A9">
            <w:pPr>
              <w:overflowPunct w:val="0"/>
              <w:adjustRightInd w:val="0"/>
              <w:ind w:left="0" w:right="57" w:firstLine="0"/>
              <w:jc w:val="left"/>
              <w:textAlignment w:val="baseline"/>
              <w:rPr>
                <w:rFonts w:cs="Arial"/>
                <w:sz w:val="16"/>
                <w:szCs w:val="16"/>
              </w:rPr>
            </w:pPr>
            <w:r>
              <w:rPr>
                <w:sz w:val="16"/>
              </w:rPr>
              <w:t>……………………………………….</w:t>
            </w:r>
          </w:p>
        </w:tc>
      </w:tr>
      <w:tr w:rsidR="009C13A9" w:rsidRPr="00C903F8" w:rsidTr="009C13A9">
        <w:tblPrEx>
          <w:jc w:val="center"/>
          <w:tblCellMar>
            <w:left w:w="28" w:type="dxa"/>
            <w:right w:w="28" w:type="dxa"/>
          </w:tblCellMar>
        </w:tblPrEx>
        <w:trPr>
          <w:jc w:val="center"/>
        </w:trPr>
        <w:tc>
          <w:tcPr>
            <w:tcW w:w="1276" w:type="dxa"/>
            <w:gridSpan w:val="4"/>
            <w:vAlign w:val="center"/>
          </w:tcPr>
          <w:p w:rsidR="009C13A9" w:rsidRPr="00C903F8" w:rsidRDefault="009C13A9" w:rsidP="009C13A9">
            <w:pPr>
              <w:overflowPunct w:val="0"/>
              <w:adjustRightInd w:val="0"/>
              <w:ind w:left="0" w:right="57" w:firstLine="0"/>
              <w:jc w:val="left"/>
              <w:textAlignment w:val="baseline"/>
              <w:rPr>
                <w:rFonts w:cs="Arial"/>
                <w:szCs w:val="20"/>
              </w:rPr>
            </w:pPr>
          </w:p>
        </w:tc>
        <w:tc>
          <w:tcPr>
            <w:tcW w:w="3402" w:type="dxa"/>
            <w:gridSpan w:val="12"/>
            <w:tcBorders>
              <w:bottom w:val="nil"/>
            </w:tcBorders>
            <w:vAlign w:val="center"/>
          </w:tcPr>
          <w:p w:rsidR="009C13A9" w:rsidRPr="00C903F8" w:rsidRDefault="009C13A9" w:rsidP="009C13A9">
            <w:pPr>
              <w:overflowPunct w:val="0"/>
              <w:adjustRightInd w:val="0"/>
              <w:ind w:left="0" w:right="57" w:firstLine="0"/>
              <w:jc w:val="left"/>
              <w:textAlignment w:val="baseline"/>
              <w:rPr>
                <w:rFonts w:cs="Arial"/>
                <w:sz w:val="12"/>
                <w:szCs w:val="12"/>
              </w:rPr>
            </w:pPr>
            <w:r>
              <w:rPr>
                <w:sz w:val="12"/>
              </w:rPr>
              <w:t>(Nome commerciale/marchio di fabbrica/nome commerciale del costruttore)</w:t>
            </w:r>
          </w:p>
        </w:tc>
        <w:tc>
          <w:tcPr>
            <w:tcW w:w="1276" w:type="dxa"/>
            <w:gridSpan w:val="3"/>
            <w:vAlign w:val="center"/>
          </w:tcPr>
          <w:p w:rsidR="009C13A9" w:rsidRPr="00C903F8" w:rsidRDefault="009C13A9" w:rsidP="009C13A9">
            <w:pPr>
              <w:overflowPunct w:val="0"/>
              <w:adjustRightInd w:val="0"/>
              <w:ind w:left="0" w:right="57" w:firstLine="0"/>
              <w:jc w:val="left"/>
              <w:textAlignment w:val="baseline"/>
              <w:rPr>
                <w:rFonts w:cs="Arial"/>
                <w:szCs w:val="20"/>
              </w:rPr>
            </w:pPr>
          </w:p>
        </w:tc>
        <w:tc>
          <w:tcPr>
            <w:tcW w:w="3261" w:type="dxa"/>
            <w:gridSpan w:val="13"/>
            <w:tcBorders>
              <w:bottom w:val="nil"/>
            </w:tcBorders>
            <w:vAlign w:val="center"/>
          </w:tcPr>
          <w:p w:rsidR="009C13A9" w:rsidRPr="00C903F8" w:rsidRDefault="009C13A9" w:rsidP="009C13A9">
            <w:pPr>
              <w:overflowPunct w:val="0"/>
              <w:adjustRightInd w:val="0"/>
              <w:ind w:left="0" w:right="57" w:firstLine="0"/>
              <w:jc w:val="left"/>
              <w:textAlignment w:val="baseline"/>
              <w:rPr>
                <w:rFonts w:cs="Arial"/>
                <w:sz w:val="12"/>
                <w:szCs w:val="12"/>
              </w:rPr>
            </w:pPr>
            <w:r>
              <w:rPr>
                <w:sz w:val="12"/>
              </w:rPr>
              <w:t>(Famiglia di motori/descrizione del costruttore)</w:t>
            </w:r>
          </w:p>
        </w:tc>
      </w:tr>
      <w:tr w:rsidR="009C13A9" w:rsidRPr="00C903F8"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C903F8" w:rsidRDefault="009C13A9" w:rsidP="009C13A9">
            <w:pPr>
              <w:overflowPunct w:val="0"/>
              <w:adjustRightInd w:val="0"/>
              <w:spacing w:before="60" w:after="60"/>
              <w:ind w:left="0" w:right="57" w:firstLine="0"/>
              <w:jc w:val="left"/>
              <w:textAlignment w:val="baseline"/>
              <w:rPr>
                <w:rFonts w:cs="Arial"/>
                <w:szCs w:val="20"/>
              </w:rPr>
            </w:pPr>
          </w:p>
        </w:tc>
      </w:tr>
      <w:tr w:rsidR="009C13A9" w:rsidRPr="00C903F8" w:rsidTr="009C13A9">
        <w:tblPrEx>
          <w:jc w:val="center"/>
          <w:tblCellMar>
            <w:left w:w="28" w:type="dxa"/>
            <w:right w:w="28" w:type="dxa"/>
          </w:tblCellMar>
        </w:tblPrEx>
        <w:trPr>
          <w:jc w:val="center"/>
        </w:trPr>
        <w:tc>
          <w:tcPr>
            <w:tcW w:w="1985" w:type="dxa"/>
            <w:gridSpan w:val="6"/>
            <w:vAlign w:val="center"/>
          </w:tcPr>
          <w:p w:rsidR="009C13A9" w:rsidRPr="00C903F8" w:rsidRDefault="009635C7" w:rsidP="009C13A9">
            <w:pPr>
              <w:tabs>
                <w:tab w:val="center" w:pos="4819"/>
              </w:tabs>
              <w:overflowPunct w:val="0"/>
              <w:adjustRightInd w:val="0"/>
              <w:ind w:left="0" w:right="57" w:firstLine="0"/>
              <w:jc w:val="left"/>
              <w:textAlignment w:val="baseline"/>
              <w:rPr>
                <w:rFonts w:cs="Arial"/>
                <w:sz w:val="16"/>
                <w:szCs w:val="16"/>
              </w:rPr>
            </w:pPr>
            <w:r>
              <w:rPr>
                <w:sz w:val="16"/>
              </w:rPr>
              <w:t>Potenza nominale (kW):</w:t>
            </w:r>
          </w:p>
        </w:tc>
        <w:tc>
          <w:tcPr>
            <w:tcW w:w="992" w:type="dxa"/>
            <w:gridSpan w:val="3"/>
            <w:vAlign w:val="center"/>
          </w:tcPr>
          <w:p w:rsidR="009C13A9" w:rsidRPr="00C903F8" w:rsidRDefault="009C13A9" w:rsidP="009C13A9">
            <w:pPr>
              <w:overflowPunct w:val="0"/>
              <w:adjustRightInd w:val="0"/>
              <w:ind w:left="0" w:right="57" w:firstLine="0"/>
              <w:jc w:val="left"/>
              <w:textAlignment w:val="baseline"/>
              <w:rPr>
                <w:rFonts w:cs="Arial"/>
                <w:sz w:val="18"/>
                <w:szCs w:val="18"/>
              </w:rPr>
            </w:pPr>
            <w:r>
              <w:rPr>
                <w:sz w:val="18"/>
              </w:rPr>
              <w:t>…………..</w:t>
            </w:r>
          </w:p>
        </w:tc>
        <w:tc>
          <w:tcPr>
            <w:tcW w:w="2410" w:type="dxa"/>
            <w:gridSpan w:val="9"/>
            <w:vAlign w:val="center"/>
          </w:tcPr>
          <w:p w:rsidR="009C13A9" w:rsidRPr="00C903F8" w:rsidRDefault="009C13A9" w:rsidP="009C13A9">
            <w:pPr>
              <w:overflowPunct w:val="0"/>
              <w:adjustRightInd w:val="0"/>
              <w:ind w:left="0" w:right="57" w:firstLine="0"/>
              <w:jc w:val="left"/>
              <w:textAlignment w:val="baseline"/>
              <w:rPr>
                <w:rFonts w:cs="Arial"/>
                <w:sz w:val="18"/>
                <w:szCs w:val="18"/>
              </w:rPr>
            </w:pPr>
            <w:r>
              <w:rPr>
                <w:sz w:val="16"/>
              </w:rPr>
              <w:t>Velocità nominale (giri/min)</w:t>
            </w:r>
            <w:r>
              <w:rPr>
                <w:sz w:val="18"/>
              </w:rPr>
              <w:t>:</w:t>
            </w:r>
          </w:p>
        </w:tc>
        <w:tc>
          <w:tcPr>
            <w:tcW w:w="1134" w:type="dxa"/>
            <w:gridSpan w:val="5"/>
            <w:vAlign w:val="center"/>
          </w:tcPr>
          <w:p w:rsidR="009C13A9" w:rsidRPr="00C903F8" w:rsidRDefault="009C13A9" w:rsidP="009C13A9">
            <w:pPr>
              <w:overflowPunct w:val="0"/>
              <w:adjustRightInd w:val="0"/>
              <w:ind w:left="0" w:right="57" w:firstLine="0"/>
              <w:jc w:val="left"/>
              <w:textAlignment w:val="baseline"/>
              <w:rPr>
                <w:rFonts w:cs="Arial"/>
                <w:sz w:val="18"/>
                <w:szCs w:val="18"/>
              </w:rPr>
            </w:pPr>
            <w:r>
              <w:rPr>
                <w:sz w:val="18"/>
              </w:rPr>
              <w:t>…………….</w:t>
            </w:r>
          </w:p>
        </w:tc>
        <w:tc>
          <w:tcPr>
            <w:tcW w:w="1843" w:type="dxa"/>
            <w:gridSpan w:val="7"/>
            <w:vAlign w:val="center"/>
          </w:tcPr>
          <w:p w:rsidR="009C13A9" w:rsidRPr="00C903F8" w:rsidRDefault="009C13A9" w:rsidP="009C13A9">
            <w:pPr>
              <w:overflowPunct w:val="0"/>
              <w:adjustRightInd w:val="0"/>
              <w:ind w:left="0" w:right="57" w:firstLine="0"/>
              <w:jc w:val="left"/>
              <w:textAlignment w:val="baseline"/>
              <w:rPr>
                <w:rFonts w:cs="Arial"/>
                <w:sz w:val="16"/>
                <w:szCs w:val="16"/>
              </w:rPr>
            </w:pPr>
            <w:bookmarkStart w:id="667" w:name="Text16"/>
            <w:bookmarkStart w:id="668" w:name="Text17"/>
            <w:bookmarkStart w:id="669" w:name="Text18"/>
            <w:r>
              <w:rPr>
                <w:sz w:val="16"/>
              </w:rPr>
              <w:t>Numero di cilindri:</w:t>
            </w:r>
            <w:bookmarkEnd w:id="667"/>
            <w:bookmarkEnd w:id="668"/>
            <w:bookmarkEnd w:id="669"/>
          </w:p>
        </w:tc>
        <w:tc>
          <w:tcPr>
            <w:tcW w:w="851" w:type="dxa"/>
            <w:gridSpan w:val="2"/>
            <w:vAlign w:val="center"/>
          </w:tcPr>
          <w:p w:rsidR="009C13A9" w:rsidRPr="00C903F8" w:rsidRDefault="009C13A9" w:rsidP="009C13A9">
            <w:pPr>
              <w:overflowPunct w:val="0"/>
              <w:adjustRightInd w:val="0"/>
              <w:ind w:left="0" w:right="57" w:firstLine="0"/>
              <w:jc w:val="left"/>
              <w:textAlignment w:val="baseline"/>
              <w:rPr>
                <w:rFonts w:cs="Arial"/>
                <w:sz w:val="18"/>
                <w:szCs w:val="18"/>
              </w:rPr>
            </w:pPr>
            <w:r>
              <w:rPr>
                <w:sz w:val="18"/>
              </w:rPr>
              <w:t>………..</w:t>
            </w:r>
          </w:p>
        </w:tc>
      </w:tr>
      <w:tr w:rsidR="009C13A9" w:rsidRPr="00C903F8" w:rsidTr="009C13A9">
        <w:tblPrEx>
          <w:jc w:val="center"/>
          <w:tblCellMar>
            <w:left w:w="28" w:type="dxa"/>
            <w:right w:w="28" w:type="dxa"/>
          </w:tblCellMar>
        </w:tblPrEx>
        <w:trPr>
          <w:cantSplit/>
          <w:trHeight w:hRule="exact" w:val="160"/>
          <w:jc w:val="center"/>
        </w:trPr>
        <w:tc>
          <w:tcPr>
            <w:tcW w:w="9215" w:type="dxa"/>
            <w:gridSpan w:val="32"/>
            <w:vAlign w:val="center"/>
          </w:tcPr>
          <w:p w:rsidR="009C13A9" w:rsidRPr="00C903F8" w:rsidRDefault="009C13A9" w:rsidP="009C13A9">
            <w:pPr>
              <w:overflowPunct w:val="0"/>
              <w:adjustRightInd w:val="0"/>
              <w:spacing w:before="60" w:after="60"/>
              <w:ind w:left="0" w:right="57" w:firstLine="0"/>
              <w:jc w:val="left"/>
              <w:textAlignment w:val="baseline"/>
              <w:rPr>
                <w:rFonts w:cs="Arial"/>
                <w:szCs w:val="20"/>
              </w:rPr>
            </w:pPr>
          </w:p>
        </w:tc>
      </w:tr>
      <w:tr w:rsidR="009C13A9" w:rsidRPr="00C903F8" w:rsidTr="009C13A9">
        <w:tblPrEx>
          <w:jc w:val="center"/>
          <w:tblCellMar>
            <w:left w:w="28" w:type="dxa"/>
            <w:right w:w="28" w:type="dxa"/>
          </w:tblCellMar>
        </w:tblPrEx>
        <w:trPr>
          <w:cantSplit/>
          <w:jc w:val="center"/>
        </w:trPr>
        <w:tc>
          <w:tcPr>
            <w:tcW w:w="3544" w:type="dxa"/>
            <w:gridSpan w:val="12"/>
            <w:vAlign w:val="center"/>
          </w:tcPr>
          <w:p w:rsidR="009C13A9" w:rsidRPr="00C903F8" w:rsidRDefault="009C13A9" w:rsidP="009C13A9">
            <w:pPr>
              <w:tabs>
                <w:tab w:val="center" w:pos="4819"/>
              </w:tabs>
              <w:overflowPunct w:val="0"/>
              <w:adjustRightInd w:val="0"/>
              <w:ind w:left="0" w:right="57" w:firstLine="0"/>
              <w:jc w:val="left"/>
              <w:textAlignment w:val="baseline"/>
              <w:rPr>
                <w:rFonts w:cs="Arial"/>
                <w:sz w:val="16"/>
                <w:szCs w:val="16"/>
              </w:rPr>
            </w:pPr>
            <w:bookmarkStart w:id="670" w:name="Text32"/>
            <w:r>
              <w:rPr>
                <w:sz w:val="16"/>
              </w:rPr>
              <w:t>Destinazione d'uso del motore:</w:t>
            </w:r>
            <w:bookmarkEnd w:id="670"/>
          </w:p>
        </w:tc>
        <w:tc>
          <w:tcPr>
            <w:tcW w:w="5671" w:type="dxa"/>
            <w:gridSpan w:val="20"/>
            <w:vAlign w:val="center"/>
          </w:tcPr>
          <w:p w:rsidR="009C13A9" w:rsidRPr="00C903F8" w:rsidRDefault="009C13A9" w:rsidP="009C13A9">
            <w:pPr>
              <w:overflowPunct w:val="0"/>
              <w:adjustRightInd w:val="0"/>
              <w:ind w:left="0" w:right="57" w:firstLine="0"/>
              <w:jc w:val="left"/>
              <w:textAlignment w:val="baseline"/>
              <w:rPr>
                <w:rFonts w:cs="Arial"/>
                <w:sz w:val="16"/>
                <w:szCs w:val="16"/>
              </w:rPr>
            </w:pPr>
            <w:r>
              <w:rPr>
                <w:sz w:val="16"/>
              </w:rPr>
              <w:t>………………………………………………………………………..</w:t>
            </w:r>
          </w:p>
        </w:tc>
      </w:tr>
      <w:tr w:rsidR="009C13A9" w:rsidRPr="00C903F8" w:rsidTr="009C13A9">
        <w:tblPrEx>
          <w:jc w:val="center"/>
          <w:tblCellMar>
            <w:left w:w="28" w:type="dxa"/>
            <w:right w:w="28" w:type="dxa"/>
          </w:tblCellMar>
        </w:tblPrEx>
        <w:trPr>
          <w:cantSplit/>
          <w:jc w:val="center"/>
        </w:trPr>
        <w:tc>
          <w:tcPr>
            <w:tcW w:w="3544" w:type="dxa"/>
            <w:gridSpan w:val="12"/>
            <w:vAlign w:val="center"/>
          </w:tcPr>
          <w:p w:rsidR="009C13A9" w:rsidRPr="00C903F8" w:rsidRDefault="009C13A9" w:rsidP="009C13A9">
            <w:pPr>
              <w:tabs>
                <w:tab w:val="center" w:pos="4819"/>
              </w:tabs>
              <w:overflowPunct w:val="0"/>
              <w:adjustRightInd w:val="0"/>
              <w:ind w:left="0" w:right="57" w:firstLine="0"/>
              <w:jc w:val="left"/>
              <w:textAlignment w:val="baseline"/>
              <w:rPr>
                <w:rFonts w:cs="Arial"/>
                <w:szCs w:val="20"/>
              </w:rPr>
            </w:pPr>
          </w:p>
        </w:tc>
        <w:tc>
          <w:tcPr>
            <w:tcW w:w="5671" w:type="dxa"/>
            <w:gridSpan w:val="20"/>
            <w:tcBorders>
              <w:bottom w:val="nil"/>
            </w:tcBorders>
            <w:vAlign w:val="center"/>
          </w:tcPr>
          <w:p w:rsidR="009C13A9" w:rsidRPr="00C903F8" w:rsidRDefault="009C13A9" w:rsidP="009C13A9">
            <w:pPr>
              <w:overflowPunct w:val="0"/>
              <w:adjustRightInd w:val="0"/>
              <w:ind w:left="0" w:right="57" w:firstLine="0"/>
              <w:jc w:val="left"/>
              <w:textAlignment w:val="baseline"/>
              <w:rPr>
                <w:rFonts w:cs="Arial"/>
                <w:sz w:val="12"/>
                <w:szCs w:val="12"/>
              </w:rPr>
            </w:pPr>
            <w:r>
              <w:rPr>
                <w:sz w:val="12"/>
              </w:rPr>
              <w:t>(Propulsione principale dell'imbarcazione/propulsione del generatore/propulsione della trave anteriore/motore ausiliario, ecc.)</w:t>
            </w:r>
          </w:p>
        </w:tc>
      </w:tr>
      <w:tr w:rsidR="009C13A9" w:rsidRPr="00C903F8"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C903F8" w:rsidRDefault="009C13A9" w:rsidP="009C13A9">
            <w:pPr>
              <w:overflowPunct w:val="0"/>
              <w:adjustRightInd w:val="0"/>
              <w:spacing w:before="60" w:after="60"/>
              <w:ind w:left="0" w:right="57" w:firstLine="0"/>
              <w:jc w:val="left"/>
              <w:textAlignment w:val="baseline"/>
              <w:rPr>
                <w:rFonts w:cs="Arial"/>
                <w:szCs w:val="20"/>
              </w:rPr>
            </w:pPr>
          </w:p>
        </w:tc>
      </w:tr>
      <w:tr w:rsidR="009C13A9" w:rsidRPr="00C903F8" w:rsidTr="009C13A9">
        <w:tblPrEx>
          <w:jc w:val="center"/>
          <w:tblCellMar>
            <w:left w:w="28" w:type="dxa"/>
            <w:right w:w="28" w:type="dxa"/>
          </w:tblCellMar>
        </w:tblPrEx>
        <w:trPr>
          <w:cantSplit/>
          <w:jc w:val="center"/>
        </w:trPr>
        <w:tc>
          <w:tcPr>
            <w:tcW w:w="2552" w:type="dxa"/>
            <w:gridSpan w:val="7"/>
            <w:vAlign w:val="center"/>
          </w:tcPr>
          <w:p w:rsidR="009C13A9" w:rsidRPr="00C903F8" w:rsidRDefault="009C13A9" w:rsidP="009C13A9">
            <w:pPr>
              <w:tabs>
                <w:tab w:val="center" w:pos="4819"/>
              </w:tabs>
              <w:overflowPunct w:val="0"/>
              <w:adjustRightInd w:val="0"/>
              <w:ind w:left="0" w:right="57" w:firstLine="0"/>
              <w:jc w:val="left"/>
              <w:textAlignment w:val="baseline"/>
              <w:rPr>
                <w:rFonts w:cs="Arial"/>
                <w:sz w:val="16"/>
                <w:szCs w:val="16"/>
              </w:rPr>
            </w:pPr>
            <w:r>
              <w:rPr>
                <w:sz w:val="16"/>
              </w:rPr>
              <w:t>Numero di omologazione:</w:t>
            </w:r>
          </w:p>
        </w:tc>
        <w:tc>
          <w:tcPr>
            <w:tcW w:w="3544" w:type="dxa"/>
            <w:gridSpan w:val="14"/>
            <w:vAlign w:val="center"/>
          </w:tcPr>
          <w:p w:rsidR="009C13A9" w:rsidRPr="00C903F8" w:rsidRDefault="009C13A9" w:rsidP="009C13A9">
            <w:pPr>
              <w:overflowPunct w:val="0"/>
              <w:adjustRightInd w:val="0"/>
              <w:ind w:left="0" w:right="57" w:firstLine="0"/>
              <w:jc w:val="left"/>
              <w:textAlignment w:val="baseline"/>
              <w:rPr>
                <w:rFonts w:cs="Arial"/>
                <w:sz w:val="16"/>
                <w:szCs w:val="16"/>
              </w:rPr>
            </w:pPr>
            <w:r>
              <w:rPr>
                <w:sz w:val="16"/>
              </w:rPr>
              <w:t>……………………………………………</w:t>
            </w:r>
          </w:p>
        </w:tc>
        <w:tc>
          <w:tcPr>
            <w:tcW w:w="1559" w:type="dxa"/>
            <w:gridSpan w:val="6"/>
            <w:vAlign w:val="center"/>
          </w:tcPr>
          <w:p w:rsidR="009C13A9" w:rsidRPr="00C903F8" w:rsidRDefault="009C13A9" w:rsidP="009C13A9">
            <w:pPr>
              <w:tabs>
                <w:tab w:val="center" w:pos="4819"/>
              </w:tabs>
              <w:overflowPunct w:val="0"/>
              <w:adjustRightInd w:val="0"/>
              <w:ind w:left="0" w:right="57" w:firstLine="0"/>
              <w:jc w:val="left"/>
              <w:textAlignment w:val="baseline"/>
              <w:rPr>
                <w:rFonts w:cs="Arial"/>
                <w:sz w:val="16"/>
                <w:szCs w:val="16"/>
              </w:rPr>
            </w:pPr>
            <w:bookmarkStart w:id="671" w:name="Text19"/>
            <w:bookmarkStart w:id="672" w:name="Text41"/>
            <w:r>
              <w:rPr>
                <w:sz w:val="16"/>
              </w:rPr>
              <w:t>Anno di costruzione del motore:</w:t>
            </w:r>
            <w:bookmarkEnd w:id="671"/>
            <w:bookmarkEnd w:id="672"/>
          </w:p>
        </w:tc>
        <w:tc>
          <w:tcPr>
            <w:tcW w:w="1560" w:type="dxa"/>
            <w:gridSpan w:val="5"/>
            <w:vAlign w:val="center"/>
          </w:tcPr>
          <w:p w:rsidR="009C13A9" w:rsidRPr="00C903F8" w:rsidRDefault="009C13A9" w:rsidP="009C13A9">
            <w:pPr>
              <w:overflowPunct w:val="0"/>
              <w:adjustRightInd w:val="0"/>
              <w:ind w:left="0" w:right="57" w:firstLine="0"/>
              <w:jc w:val="left"/>
              <w:textAlignment w:val="baseline"/>
              <w:rPr>
                <w:rFonts w:cs="Arial"/>
                <w:sz w:val="16"/>
                <w:szCs w:val="16"/>
              </w:rPr>
            </w:pPr>
            <w:r>
              <w:rPr>
                <w:sz w:val="16"/>
              </w:rPr>
              <w:t>…………………</w:t>
            </w:r>
          </w:p>
        </w:tc>
      </w:tr>
      <w:tr w:rsidR="009C13A9" w:rsidRPr="00C903F8"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C903F8" w:rsidRDefault="009C13A9" w:rsidP="009C13A9">
            <w:pPr>
              <w:overflowPunct w:val="0"/>
              <w:adjustRightInd w:val="0"/>
              <w:spacing w:before="60" w:after="60"/>
              <w:ind w:left="0" w:right="57" w:firstLine="0"/>
              <w:jc w:val="left"/>
              <w:textAlignment w:val="baseline"/>
              <w:rPr>
                <w:rFonts w:cs="Arial"/>
                <w:szCs w:val="20"/>
              </w:rPr>
            </w:pPr>
          </w:p>
        </w:tc>
      </w:tr>
      <w:tr w:rsidR="009C13A9" w:rsidRPr="00C903F8" w:rsidTr="009C13A9">
        <w:tblPrEx>
          <w:jc w:val="center"/>
          <w:tblCellMar>
            <w:left w:w="28" w:type="dxa"/>
            <w:right w:w="28" w:type="dxa"/>
          </w:tblCellMar>
        </w:tblPrEx>
        <w:trPr>
          <w:cantSplit/>
          <w:jc w:val="center"/>
        </w:trPr>
        <w:tc>
          <w:tcPr>
            <w:tcW w:w="2835" w:type="dxa"/>
            <w:gridSpan w:val="8"/>
            <w:vAlign w:val="center"/>
          </w:tcPr>
          <w:p w:rsidR="009C13A9" w:rsidRPr="00C903F8" w:rsidRDefault="00DD67E3" w:rsidP="009C13A9">
            <w:pPr>
              <w:tabs>
                <w:tab w:val="center" w:pos="4819"/>
              </w:tabs>
              <w:overflowPunct w:val="0"/>
              <w:adjustRightInd w:val="0"/>
              <w:ind w:left="0" w:right="57" w:firstLine="0"/>
              <w:jc w:val="left"/>
              <w:textAlignment w:val="baseline"/>
              <w:rPr>
                <w:rFonts w:cs="Arial"/>
                <w:sz w:val="16"/>
                <w:szCs w:val="16"/>
              </w:rPr>
            </w:pPr>
            <w:r>
              <w:rPr>
                <w:sz w:val="16"/>
              </w:rPr>
              <w:t>Numero di identificazione del motore:</w:t>
            </w:r>
          </w:p>
        </w:tc>
        <w:tc>
          <w:tcPr>
            <w:tcW w:w="3254" w:type="dxa"/>
            <w:gridSpan w:val="12"/>
            <w:vAlign w:val="center"/>
          </w:tcPr>
          <w:p w:rsidR="009C13A9" w:rsidRPr="00C903F8" w:rsidRDefault="009C13A9" w:rsidP="009C13A9">
            <w:pPr>
              <w:overflowPunct w:val="0"/>
              <w:adjustRightInd w:val="0"/>
              <w:ind w:left="0" w:right="57" w:firstLine="0"/>
              <w:jc w:val="left"/>
              <w:textAlignment w:val="baseline"/>
              <w:rPr>
                <w:rFonts w:cs="Arial"/>
                <w:sz w:val="16"/>
                <w:szCs w:val="16"/>
              </w:rPr>
            </w:pPr>
            <w:r>
              <w:rPr>
                <w:sz w:val="16"/>
              </w:rPr>
              <w:t>…………………………………………….</w:t>
            </w:r>
          </w:p>
        </w:tc>
        <w:tc>
          <w:tcPr>
            <w:tcW w:w="1260" w:type="dxa"/>
            <w:gridSpan w:val="6"/>
            <w:vAlign w:val="center"/>
          </w:tcPr>
          <w:p w:rsidR="009C13A9" w:rsidRPr="00C903F8" w:rsidRDefault="009C13A9" w:rsidP="009C13A9">
            <w:pPr>
              <w:overflowPunct w:val="0"/>
              <w:adjustRightInd w:val="0"/>
              <w:ind w:left="0" w:right="57" w:firstLine="0"/>
              <w:jc w:val="left"/>
              <w:textAlignment w:val="baseline"/>
              <w:rPr>
                <w:rFonts w:cs="Arial"/>
                <w:sz w:val="16"/>
                <w:szCs w:val="16"/>
              </w:rPr>
            </w:pPr>
            <w:r>
              <w:rPr>
                <w:sz w:val="16"/>
              </w:rPr>
              <w:t>Posizione di installazione:</w:t>
            </w:r>
          </w:p>
        </w:tc>
        <w:tc>
          <w:tcPr>
            <w:tcW w:w="1866" w:type="dxa"/>
            <w:gridSpan w:val="6"/>
            <w:vAlign w:val="center"/>
          </w:tcPr>
          <w:p w:rsidR="009C13A9" w:rsidRPr="00C903F8" w:rsidRDefault="009C13A9" w:rsidP="009C13A9">
            <w:pPr>
              <w:overflowPunct w:val="0"/>
              <w:adjustRightInd w:val="0"/>
              <w:ind w:left="0" w:right="57" w:firstLine="0"/>
              <w:jc w:val="left"/>
              <w:textAlignment w:val="baseline"/>
              <w:rPr>
                <w:rFonts w:cs="Arial"/>
                <w:sz w:val="16"/>
                <w:szCs w:val="16"/>
              </w:rPr>
            </w:pPr>
            <w:r>
              <w:rPr>
                <w:sz w:val="16"/>
              </w:rPr>
              <w:t>……………………...</w:t>
            </w:r>
          </w:p>
        </w:tc>
      </w:tr>
      <w:tr w:rsidR="009C13A9" w:rsidRPr="00C903F8" w:rsidTr="009C13A9">
        <w:tblPrEx>
          <w:jc w:val="center"/>
          <w:tblCellMar>
            <w:left w:w="28" w:type="dxa"/>
            <w:right w:w="28" w:type="dxa"/>
          </w:tblCellMar>
        </w:tblPrEx>
        <w:trPr>
          <w:cantSplit/>
          <w:jc w:val="center"/>
        </w:trPr>
        <w:tc>
          <w:tcPr>
            <w:tcW w:w="2835" w:type="dxa"/>
            <w:gridSpan w:val="8"/>
            <w:vAlign w:val="center"/>
          </w:tcPr>
          <w:p w:rsidR="009C13A9" w:rsidRPr="00C903F8" w:rsidRDefault="009C13A9" w:rsidP="009C13A9">
            <w:pPr>
              <w:overflowPunct w:val="0"/>
              <w:adjustRightInd w:val="0"/>
              <w:ind w:left="0" w:right="57" w:firstLine="0"/>
              <w:jc w:val="left"/>
              <w:textAlignment w:val="baseline"/>
              <w:rPr>
                <w:rFonts w:cs="Arial"/>
                <w:szCs w:val="20"/>
              </w:rPr>
            </w:pPr>
          </w:p>
        </w:tc>
        <w:tc>
          <w:tcPr>
            <w:tcW w:w="6380" w:type="dxa"/>
            <w:gridSpan w:val="24"/>
            <w:tcBorders>
              <w:bottom w:val="nil"/>
            </w:tcBorders>
            <w:vAlign w:val="center"/>
          </w:tcPr>
          <w:p w:rsidR="009C13A9" w:rsidRPr="00C903F8" w:rsidRDefault="009C13A9" w:rsidP="009C13A9">
            <w:pPr>
              <w:overflowPunct w:val="0"/>
              <w:adjustRightInd w:val="0"/>
              <w:ind w:left="0" w:right="57" w:firstLine="0"/>
              <w:jc w:val="left"/>
              <w:textAlignment w:val="baseline"/>
              <w:rPr>
                <w:rFonts w:cs="Arial"/>
                <w:sz w:val="12"/>
                <w:szCs w:val="12"/>
              </w:rPr>
            </w:pPr>
            <w:r>
              <w:rPr>
                <w:noProof/>
                <w:sz w:val="12"/>
              </w:rPr>
              <w:t>(Numero di serie/numero identificativo unico)</w:t>
            </w:r>
          </w:p>
        </w:tc>
      </w:tr>
      <w:tr w:rsidR="009C13A9" w:rsidRPr="00C903F8"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C903F8" w:rsidRDefault="009C13A9" w:rsidP="009C13A9">
            <w:pPr>
              <w:tabs>
                <w:tab w:val="center" w:pos="4819"/>
              </w:tabs>
              <w:overflowPunct w:val="0"/>
              <w:adjustRightInd w:val="0"/>
              <w:spacing w:before="60" w:after="60"/>
              <w:ind w:left="0" w:right="57" w:firstLine="0"/>
              <w:jc w:val="left"/>
              <w:textAlignment w:val="baseline"/>
              <w:rPr>
                <w:rFonts w:cs="Arial"/>
                <w:szCs w:val="20"/>
              </w:rPr>
            </w:pPr>
          </w:p>
        </w:tc>
      </w:tr>
      <w:tr w:rsidR="009C13A9" w:rsidRPr="00A0619C" w:rsidTr="009C13A9">
        <w:tblPrEx>
          <w:jc w:val="center"/>
          <w:tblCellMar>
            <w:left w:w="28" w:type="dxa"/>
            <w:right w:w="28" w:type="dxa"/>
          </w:tblCellMar>
        </w:tblPrEx>
        <w:trPr>
          <w:cantSplit/>
          <w:jc w:val="center"/>
        </w:trPr>
        <w:tc>
          <w:tcPr>
            <w:tcW w:w="9215" w:type="dxa"/>
            <w:gridSpan w:val="32"/>
            <w:vAlign w:val="center"/>
          </w:tcPr>
          <w:p w:rsidR="009C13A9" w:rsidRPr="00C903F8" w:rsidRDefault="009C13A9" w:rsidP="009C13A9">
            <w:pPr>
              <w:overflowPunct w:val="0"/>
              <w:adjustRightInd w:val="0"/>
              <w:ind w:left="0" w:right="57" w:firstLine="0"/>
              <w:textAlignment w:val="baseline"/>
              <w:rPr>
                <w:rFonts w:cs="Arial"/>
                <w:sz w:val="16"/>
                <w:szCs w:val="16"/>
              </w:rPr>
            </w:pPr>
            <w:r>
              <w:rPr>
                <w:sz w:val="16"/>
              </w:rPr>
              <w:t>Il motore e i suoi componenti rilevanti per i gas di scarico sono stati identificati sulla base dei dati riportati sull’apposita targhetta.</w:t>
            </w:r>
          </w:p>
          <w:p w:rsidR="009C13A9" w:rsidRPr="00C903F8" w:rsidRDefault="009C13A9" w:rsidP="009C13A9">
            <w:pPr>
              <w:overflowPunct w:val="0"/>
              <w:adjustRightInd w:val="0"/>
              <w:ind w:left="0" w:right="57" w:firstLine="0"/>
              <w:textAlignment w:val="baseline"/>
              <w:rPr>
                <w:rFonts w:cs="Arial"/>
                <w:sz w:val="16"/>
                <w:szCs w:val="16"/>
              </w:rPr>
            </w:pPr>
            <w:r>
              <w:rPr>
                <w:sz w:val="16"/>
              </w:rPr>
              <w:t>Il controllo è stato svolto sulla base delle istruzioni del costruttore del motore relative al monitoraggio dei componenti e dei parametri del motore rilevanti per i gas di scarico.</w:t>
            </w:r>
          </w:p>
        </w:tc>
      </w:tr>
      <w:tr w:rsidR="009C13A9" w:rsidRPr="00A0619C" w:rsidTr="009C13A9">
        <w:tblPrEx>
          <w:jc w:val="center"/>
          <w:tblCellMar>
            <w:left w:w="28" w:type="dxa"/>
            <w:right w:w="28" w:type="dxa"/>
          </w:tblCellMar>
        </w:tblPrEx>
        <w:trPr>
          <w:cantSplit/>
          <w:trHeight w:val="57"/>
          <w:jc w:val="center"/>
        </w:trPr>
        <w:tc>
          <w:tcPr>
            <w:tcW w:w="9215" w:type="dxa"/>
            <w:gridSpan w:val="32"/>
            <w:vAlign w:val="center"/>
          </w:tcPr>
          <w:p w:rsidR="009C13A9" w:rsidRPr="00C903F8" w:rsidRDefault="009C13A9" w:rsidP="009C13A9">
            <w:pPr>
              <w:overflowPunct w:val="0"/>
              <w:adjustRightInd w:val="0"/>
              <w:spacing w:line="100" w:lineRule="exact"/>
              <w:ind w:left="0" w:right="57" w:firstLine="0"/>
              <w:jc w:val="left"/>
              <w:textAlignment w:val="baseline"/>
              <w:rPr>
                <w:rFonts w:cs="Arial"/>
                <w:sz w:val="12"/>
                <w:szCs w:val="12"/>
              </w:rPr>
            </w:pPr>
          </w:p>
        </w:tc>
      </w:tr>
      <w:tr w:rsidR="009C13A9" w:rsidRPr="00A0619C" w:rsidTr="009C13A9">
        <w:tblPrEx>
          <w:jc w:val="center"/>
        </w:tblPrEx>
        <w:trPr>
          <w:cantSplit/>
          <w:jc w:val="center"/>
        </w:trPr>
        <w:tc>
          <w:tcPr>
            <w:tcW w:w="9215" w:type="dxa"/>
            <w:gridSpan w:val="32"/>
            <w:vAlign w:val="center"/>
          </w:tcPr>
          <w:p w:rsidR="009C13A9" w:rsidRPr="00C903F8" w:rsidRDefault="009C13A9" w:rsidP="009C13A9">
            <w:pPr>
              <w:overflowPunct w:val="0"/>
              <w:adjustRightInd w:val="0"/>
              <w:ind w:left="286" w:hanging="286"/>
              <w:jc w:val="left"/>
              <w:textAlignment w:val="baseline"/>
              <w:rPr>
                <w:rFonts w:cs="Arial"/>
                <w:b/>
                <w:sz w:val="18"/>
                <w:szCs w:val="18"/>
              </w:rPr>
            </w:pPr>
            <w:r>
              <w:rPr>
                <w:b/>
                <w:sz w:val="18"/>
              </w:rPr>
              <w:t>A)</w:t>
            </w:r>
            <w:r>
              <w:tab/>
            </w:r>
            <w:r>
              <w:rPr>
                <w:b/>
                <w:sz w:val="18"/>
              </w:rPr>
              <w:t>Prova dei componenti</w:t>
            </w:r>
          </w:p>
          <w:p w:rsidR="009C13A9" w:rsidRPr="00C903F8" w:rsidRDefault="009C13A9" w:rsidP="009C13A9">
            <w:pPr>
              <w:overflowPunct w:val="0"/>
              <w:adjustRightInd w:val="0"/>
              <w:spacing w:after="80"/>
              <w:ind w:left="284" w:right="57" w:firstLine="0"/>
              <w:textAlignment w:val="baseline"/>
              <w:rPr>
                <w:rFonts w:cs="Arial"/>
                <w:sz w:val="16"/>
                <w:szCs w:val="16"/>
              </w:rPr>
            </w:pPr>
            <w:r>
              <w:rPr>
                <w:sz w:val="16"/>
              </w:rPr>
              <w:t>Eventuali componenti aggiuntivi rilevanti per i gas di scarico ed elencati nelle Istruzioni del costruttore del motore relative al monitoraggio dei componenti e dei parametri del motore rilevanti per i gas di scarico devono essere indicati nella tabella.</w:t>
            </w:r>
          </w:p>
        </w:tc>
      </w:tr>
      <w:tr w:rsidR="009C13A9" w:rsidRPr="00C903F8" w:rsidTr="009C13A9">
        <w:tblPrEx>
          <w:jc w:val="center"/>
        </w:tblPrEx>
        <w:trPr>
          <w:jc w:val="center"/>
        </w:trPr>
        <w:tc>
          <w:tcPr>
            <w:tcW w:w="426" w:type="dxa"/>
            <w:gridSpan w:val="2"/>
            <w:tcBorders>
              <w:right w:val="single" w:sz="4" w:space="0" w:color="auto"/>
            </w:tcBorders>
            <w:vAlign w:val="center"/>
          </w:tcPr>
          <w:p w:rsidR="009C13A9" w:rsidRPr="00C903F8" w:rsidRDefault="009C13A9" w:rsidP="009C13A9">
            <w:pPr>
              <w:overflowPunct w:val="0"/>
              <w:adjustRightInd w:val="0"/>
              <w:spacing w:before="40" w:after="40"/>
              <w:ind w:left="0" w:right="57" w:firstLine="0"/>
              <w:jc w:val="left"/>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C903F8" w:rsidRDefault="009C13A9" w:rsidP="009C13A9">
            <w:pPr>
              <w:spacing w:before="60" w:after="60"/>
              <w:jc w:val="center"/>
              <w:rPr>
                <w:noProof/>
                <w:sz w:val="16"/>
                <w:szCs w:val="18"/>
              </w:rPr>
            </w:pPr>
            <w:r>
              <w:rPr>
                <w:noProof/>
                <w:sz w:val="16"/>
              </w:rPr>
              <w:t>Componente</w:t>
            </w:r>
          </w:p>
        </w:tc>
        <w:tc>
          <w:tcPr>
            <w:tcW w:w="2977" w:type="dxa"/>
            <w:gridSpan w:val="11"/>
            <w:tcBorders>
              <w:top w:val="single" w:sz="4" w:space="0" w:color="auto"/>
              <w:left w:val="nil"/>
              <w:bottom w:val="single" w:sz="4" w:space="0" w:color="auto"/>
              <w:right w:val="single" w:sz="4" w:space="0" w:color="auto"/>
            </w:tcBorders>
            <w:vAlign w:val="center"/>
          </w:tcPr>
          <w:p w:rsidR="009C13A9" w:rsidRPr="00C903F8" w:rsidRDefault="009C13A9" w:rsidP="009C13A9">
            <w:pPr>
              <w:spacing w:before="60" w:after="60"/>
              <w:jc w:val="center"/>
              <w:rPr>
                <w:noProof/>
                <w:sz w:val="18"/>
                <w:szCs w:val="18"/>
              </w:rPr>
            </w:pPr>
            <w:r>
              <w:rPr>
                <w:noProof/>
                <w:sz w:val="16"/>
              </w:rPr>
              <w:t>Numero di componente registrato</w:t>
            </w:r>
          </w:p>
        </w:tc>
        <w:tc>
          <w:tcPr>
            <w:tcW w:w="3119" w:type="dxa"/>
            <w:gridSpan w:val="11"/>
            <w:tcBorders>
              <w:top w:val="single" w:sz="4" w:space="0" w:color="auto"/>
              <w:left w:val="nil"/>
              <w:bottom w:val="single" w:sz="4" w:space="0" w:color="auto"/>
              <w:right w:val="single" w:sz="4" w:space="0" w:color="auto"/>
            </w:tcBorders>
            <w:vAlign w:val="center"/>
          </w:tcPr>
          <w:p w:rsidR="009C13A9" w:rsidRPr="00C903F8" w:rsidRDefault="009C13A9" w:rsidP="009C13A9">
            <w:pPr>
              <w:overflowPunct w:val="0"/>
              <w:adjustRightInd w:val="0"/>
              <w:spacing w:before="40" w:after="40"/>
              <w:ind w:left="0" w:right="57" w:firstLine="0"/>
              <w:jc w:val="center"/>
              <w:textAlignment w:val="baseline"/>
              <w:rPr>
                <w:rFonts w:cs="Arial"/>
                <w:bCs/>
                <w:sz w:val="18"/>
                <w:szCs w:val="18"/>
              </w:rPr>
            </w:pPr>
            <w:r>
              <w:rPr>
                <w:noProof/>
                <w:sz w:val="16"/>
              </w:rPr>
              <w:t>Conformità</w:t>
            </w:r>
            <w:r>
              <w:rPr>
                <w:noProof/>
                <w:sz w:val="18"/>
              </w:rPr>
              <w:t xml:space="preserve"> </w:t>
            </w:r>
            <w:r>
              <w:rPr>
                <w:sz w:val="18"/>
                <w:vertAlign w:val="superscript"/>
              </w:rPr>
              <w:t>1)</w:t>
            </w:r>
          </w:p>
        </w:tc>
      </w:tr>
      <w:tr w:rsidR="009C13A9" w:rsidRPr="00C903F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C903F8" w:rsidRDefault="009C13A9" w:rsidP="009C13A9">
            <w:pPr>
              <w:overflowPunct w:val="0"/>
              <w:adjustRightInd w:val="0"/>
              <w:ind w:left="0" w:right="57" w:firstLine="0"/>
              <w:jc w:val="left"/>
              <w:textAlignment w:val="baseline"/>
              <w:rPr>
                <w:rFonts w:cs="Arial"/>
                <w:sz w:val="18"/>
                <w:szCs w:val="18"/>
              </w:rPr>
            </w:pPr>
          </w:p>
        </w:tc>
        <w:tc>
          <w:tcPr>
            <w:tcW w:w="2693" w:type="dxa"/>
            <w:gridSpan w:val="8"/>
            <w:tcBorders>
              <w:top w:val="nil"/>
              <w:left w:val="nil"/>
              <w:bottom w:val="single" w:sz="4" w:space="0" w:color="auto"/>
              <w:right w:val="single" w:sz="4" w:space="0" w:color="auto"/>
            </w:tcBorders>
            <w:vAlign w:val="center"/>
          </w:tcPr>
          <w:p w:rsidR="009C13A9" w:rsidRPr="00C903F8" w:rsidRDefault="009C13A9" w:rsidP="009C13A9">
            <w:pPr>
              <w:spacing w:before="40" w:after="40"/>
              <w:rPr>
                <w:noProof/>
                <w:sz w:val="16"/>
              </w:rPr>
            </w:pPr>
            <w:r>
              <w:rPr>
                <w:noProof/>
                <w:sz w:val="16"/>
              </w:rPr>
              <w:t>Albero a camme/pistone</w:t>
            </w:r>
          </w:p>
        </w:tc>
        <w:tc>
          <w:tcPr>
            <w:tcW w:w="2977" w:type="dxa"/>
            <w:gridSpan w:val="11"/>
            <w:tcBorders>
              <w:top w:val="nil"/>
              <w:left w:val="single" w:sz="4" w:space="0" w:color="auto"/>
              <w:bottom w:val="single" w:sz="4" w:space="0" w:color="auto"/>
              <w:right w:val="single" w:sz="4" w:space="0" w:color="auto"/>
            </w:tcBorders>
            <w:vAlign w:val="center"/>
          </w:tcPr>
          <w:p w:rsidR="009C13A9" w:rsidRPr="00C903F8" w:rsidRDefault="009C13A9" w:rsidP="009C13A9">
            <w:pPr>
              <w:overflowPunct w:val="0"/>
              <w:adjustRightInd w:val="0"/>
              <w:ind w:left="0" w:right="57" w:firstLine="0"/>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4"/>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Sì</w:t>
            </w:r>
          </w:p>
        </w:tc>
        <w:tc>
          <w:tcPr>
            <w:tcW w:w="1039" w:type="dxa"/>
            <w:gridSpan w:val="4"/>
            <w:tcBorders>
              <w:top w:val="single" w:sz="4" w:space="0" w:color="auto"/>
              <w:left w:val="nil"/>
              <w:bottom w:val="single" w:sz="4" w:space="0" w:color="auto"/>
              <w:right w:val="nil"/>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5"/>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No</w:t>
            </w:r>
          </w:p>
        </w:tc>
        <w:tc>
          <w:tcPr>
            <w:tcW w:w="1041" w:type="dxa"/>
            <w:gridSpan w:val="3"/>
            <w:tcBorders>
              <w:top w:val="single" w:sz="4" w:space="0" w:color="auto"/>
              <w:left w:val="nil"/>
              <w:bottom w:val="single" w:sz="4" w:space="0" w:color="auto"/>
              <w:right w:val="single" w:sz="4" w:space="0" w:color="auto"/>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6"/>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N.D.</w:t>
            </w:r>
          </w:p>
        </w:tc>
      </w:tr>
      <w:tr w:rsidR="009C13A9" w:rsidRPr="00C903F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C903F8" w:rsidRDefault="009C13A9" w:rsidP="009C13A9">
            <w:pPr>
              <w:overflowPunct w:val="0"/>
              <w:adjustRightInd w:val="0"/>
              <w:ind w:left="0" w:right="57" w:firstLine="0"/>
              <w:jc w:val="left"/>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C903F8" w:rsidRDefault="009C13A9" w:rsidP="009C13A9">
            <w:pPr>
              <w:spacing w:before="40" w:after="40"/>
              <w:rPr>
                <w:noProof/>
                <w:sz w:val="16"/>
              </w:rPr>
            </w:pPr>
            <w:r>
              <w:rPr>
                <w:noProof/>
                <w:sz w:val="16"/>
              </w:rPr>
              <w:t>Valvola di iniezione</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C903F8" w:rsidRDefault="009C13A9" w:rsidP="009C13A9">
            <w:pPr>
              <w:overflowPunct w:val="0"/>
              <w:adjustRightInd w:val="0"/>
              <w:ind w:left="0" w:right="57" w:firstLine="0"/>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7"/>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Sì</w:t>
            </w:r>
          </w:p>
        </w:tc>
        <w:tc>
          <w:tcPr>
            <w:tcW w:w="1039" w:type="dxa"/>
            <w:gridSpan w:val="4"/>
            <w:tcBorders>
              <w:top w:val="single" w:sz="4" w:space="0" w:color="auto"/>
              <w:left w:val="nil"/>
              <w:bottom w:val="single" w:sz="4" w:space="0" w:color="auto"/>
              <w:right w:val="nil"/>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8"/>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No</w:t>
            </w:r>
          </w:p>
        </w:tc>
        <w:tc>
          <w:tcPr>
            <w:tcW w:w="1041" w:type="dxa"/>
            <w:gridSpan w:val="3"/>
            <w:tcBorders>
              <w:top w:val="single" w:sz="4" w:space="0" w:color="auto"/>
              <w:left w:val="nil"/>
              <w:bottom w:val="single" w:sz="4" w:space="0" w:color="auto"/>
              <w:right w:val="single" w:sz="4" w:space="0" w:color="auto"/>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9"/>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N.D.</w:t>
            </w:r>
          </w:p>
        </w:tc>
      </w:tr>
      <w:tr w:rsidR="009C13A9" w:rsidRPr="00C903F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C903F8" w:rsidRDefault="009C13A9" w:rsidP="009C13A9">
            <w:pPr>
              <w:overflowPunct w:val="0"/>
              <w:adjustRightInd w:val="0"/>
              <w:ind w:left="0" w:right="57" w:firstLine="0"/>
              <w:jc w:val="left"/>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C903F8" w:rsidRDefault="009C13A9" w:rsidP="009C13A9">
            <w:pPr>
              <w:spacing w:before="40" w:after="40"/>
              <w:rPr>
                <w:noProof/>
                <w:sz w:val="16"/>
              </w:rPr>
            </w:pPr>
            <w:r>
              <w:rPr>
                <w:noProof/>
                <w:sz w:val="16"/>
              </w:rPr>
              <w:t>Set di dati/numero software</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C903F8" w:rsidRDefault="009C13A9" w:rsidP="009C13A9">
            <w:pPr>
              <w:overflowPunct w:val="0"/>
              <w:adjustRightInd w:val="0"/>
              <w:ind w:left="0" w:right="57" w:firstLine="0"/>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7"/>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Sì</w:t>
            </w:r>
          </w:p>
        </w:tc>
        <w:tc>
          <w:tcPr>
            <w:tcW w:w="1039" w:type="dxa"/>
            <w:gridSpan w:val="4"/>
            <w:tcBorders>
              <w:top w:val="single" w:sz="4" w:space="0" w:color="auto"/>
              <w:left w:val="nil"/>
              <w:bottom w:val="single" w:sz="4" w:space="0" w:color="auto"/>
              <w:right w:val="nil"/>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8"/>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No</w:t>
            </w:r>
          </w:p>
        </w:tc>
        <w:tc>
          <w:tcPr>
            <w:tcW w:w="1041" w:type="dxa"/>
            <w:gridSpan w:val="3"/>
            <w:tcBorders>
              <w:top w:val="single" w:sz="4" w:space="0" w:color="auto"/>
              <w:left w:val="nil"/>
              <w:bottom w:val="single" w:sz="4" w:space="0" w:color="auto"/>
              <w:right w:val="single" w:sz="4" w:space="0" w:color="auto"/>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9"/>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N.D.</w:t>
            </w:r>
          </w:p>
        </w:tc>
      </w:tr>
      <w:tr w:rsidR="009C13A9" w:rsidRPr="00C903F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C903F8" w:rsidRDefault="009C13A9" w:rsidP="009C13A9">
            <w:pPr>
              <w:overflowPunct w:val="0"/>
              <w:adjustRightInd w:val="0"/>
              <w:ind w:left="0" w:right="57" w:firstLine="0"/>
              <w:jc w:val="left"/>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C903F8" w:rsidRDefault="009C13A9" w:rsidP="009C13A9">
            <w:pPr>
              <w:spacing w:before="40" w:after="40"/>
              <w:rPr>
                <w:noProof/>
                <w:sz w:val="16"/>
              </w:rPr>
            </w:pPr>
            <w:r>
              <w:rPr>
                <w:noProof/>
                <w:sz w:val="16"/>
              </w:rPr>
              <w:t>Pompa di iniezione</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C903F8" w:rsidRDefault="009C13A9" w:rsidP="009C13A9">
            <w:pPr>
              <w:overflowPunct w:val="0"/>
              <w:adjustRightInd w:val="0"/>
              <w:ind w:left="0" w:right="57" w:firstLine="0"/>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7"/>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Sì</w:t>
            </w:r>
          </w:p>
        </w:tc>
        <w:tc>
          <w:tcPr>
            <w:tcW w:w="1039" w:type="dxa"/>
            <w:gridSpan w:val="4"/>
            <w:tcBorders>
              <w:top w:val="single" w:sz="4" w:space="0" w:color="auto"/>
              <w:left w:val="nil"/>
              <w:bottom w:val="single" w:sz="4" w:space="0" w:color="auto"/>
              <w:right w:val="nil"/>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8"/>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No</w:t>
            </w:r>
          </w:p>
        </w:tc>
        <w:tc>
          <w:tcPr>
            <w:tcW w:w="1041" w:type="dxa"/>
            <w:gridSpan w:val="3"/>
            <w:tcBorders>
              <w:top w:val="single" w:sz="4" w:space="0" w:color="auto"/>
              <w:left w:val="nil"/>
              <w:bottom w:val="single" w:sz="4" w:space="0" w:color="auto"/>
              <w:right w:val="single" w:sz="4" w:space="0" w:color="auto"/>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9"/>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N.D.</w:t>
            </w:r>
          </w:p>
        </w:tc>
      </w:tr>
      <w:tr w:rsidR="009C13A9" w:rsidRPr="00C903F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C903F8" w:rsidRDefault="009C13A9" w:rsidP="009C13A9">
            <w:pPr>
              <w:overflowPunct w:val="0"/>
              <w:adjustRightInd w:val="0"/>
              <w:ind w:left="0" w:right="57" w:firstLine="0"/>
              <w:jc w:val="left"/>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C903F8" w:rsidRDefault="009C13A9" w:rsidP="009C13A9">
            <w:pPr>
              <w:spacing w:before="40" w:after="40"/>
              <w:rPr>
                <w:noProof/>
                <w:sz w:val="16"/>
              </w:rPr>
            </w:pPr>
            <w:r>
              <w:rPr>
                <w:noProof/>
                <w:sz w:val="16"/>
              </w:rPr>
              <w:t>Testata cilindri</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C903F8" w:rsidRDefault="009C13A9" w:rsidP="009C13A9">
            <w:pPr>
              <w:overflowPunct w:val="0"/>
              <w:adjustRightInd w:val="0"/>
              <w:ind w:left="0" w:right="57" w:firstLine="0"/>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13"/>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Sì</w:t>
            </w:r>
          </w:p>
        </w:tc>
        <w:tc>
          <w:tcPr>
            <w:tcW w:w="1039" w:type="dxa"/>
            <w:gridSpan w:val="4"/>
            <w:tcBorders>
              <w:top w:val="single" w:sz="4" w:space="0" w:color="auto"/>
              <w:left w:val="nil"/>
              <w:bottom w:val="single" w:sz="4" w:space="0" w:color="auto"/>
              <w:right w:val="nil"/>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14"/>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No</w:t>
            </w:r>
          </w:p>
        </w:tc>
        <w:tc>
          <w:tcPr>
            <w:tcW w:w="1041" w:type="dxa"/>
            <w:gridSpan w:val="3"/>
            <w:tcBorders>
              <w:top w:val="single" w:sz="4" w:space="0" w:color="auto"/>
              <w:left w:val="nil"/>
              <w:bottom w:val="single" w:sz="4" w:space="0" w:color="auto"/>
              <w:right w:val="single" w:sz="4" w:space="0" w:color="auto"/>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15"/>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N.D.</w:t>
            </w:r>
          </w:p>
        </w:tc>
      </w:tr>
      <w:tr w:rsidR="009C13A9" w:rsidRPr="00C903F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C903F8" w:rsidRDefault="009C13A9" w:rsidP="009C13A9">
            <w:pPr>
              <w:overflowPunct w:val="0"/>
              <w:adjustRightInd w:val="0"/>
              <w:ind w:left="0" w:right="57" w:firstLine="0"/>
              <w:jc w:val="left"/>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C903F8" w:rsidRDefault="009C13A9" w:rsidP="009C13A9">
            <w:pPr>
              <w:spacing w:before="40" w:after="40"/>
              <w:rPr>
                <w:noProof/>
                <w:sz w:val="16"/>
              </w:rPr>
            </w:pPr>
            <w:r>
              <w:rPr>
                <w:noProof/>
                <w:sz w:val="16"/>
              </w:rPr>
              <w:t>Turbocompressore gas di scarico</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C903F8" w:rsidRDefault="009C13A9" w:rsidP="009C13A9">
            <w:pPr>
              <w:overflowPunct w:val="0"/>
              <w:adjustRightInd w:val="0"/>
              <w:ind w:left="0" w:right="57" w:firstLine="0"/>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7"/>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Sì</w:t>
            </w:r>
          </w:p>
        </w:tc>
        <w:tc>
          <w:tcPr>
            <w:tcW w:w="1039" w:type="dxa"/>
            <w:gridSpan w:val="4"/>
            <w:tcBorders>
              <w:top w:val="single" w:sz="4" w:space="0" w:color="auto"/>
              <w:left w:val="nil"/>
              <w:bottom w:val="single" w:sz="4" w:space="0" w:color="auto"/>
              <w:right w:val="nil"/>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8"/>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No</w:t>
            </w:r>
          </w:p>
        </w:tc>
        <w:tc>
          <w:tcPr>
            <w:tcW w:w="1041" w:type="dxa"/>
            <w:gridSpan w:val="3"/>
            <w:tcBorders>
              <w:top w:val="single" w:sz="4" w:space="0" w:color="auto"/>
              <w:left w:val="nil"/>
              <w:bottom w:val="single" w:sz="4" w:space="0" w:color="auto"/>
              <w:right w:val="single" w:sz="4" w:space="0" w:color="auto"/>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9"/>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N.D.</w:t>
            </w:r>
          </w:p>
        </w:tc>
      </w:tr>
      <w:tr w:rsidR="009C13A9" w:rsidRPr="00C903F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C903F8" w:rsidRDefault="009C13A9" w:rsidP="009C13A9">
            <w:pPr>
              <w:overflowPunct w:val="0"/>
              <w:adjustRightInd w:val="0"/>
              <w:ind w:left="0" w:right="57" w:firstLine="0"/>
              <w:jc w:val="left"/>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C903F8" w:rsidRDefault="009C13A9" w:rsidP="009C13A9">
            <w:pPr>
              <w:spacing w:before="40" w:after="40"/>
              <w:rPr>
                <w:noProof/>
                <w:sz w:val="16"/>
              </w:rPr>
            </w:pPr>
            <w:r>
              <w:rPr>
                <w:noProof/>
                <w:sz w:val="16"/>
              </w:rPr>
              <w:t>Dispositivo di raffreddamento dell’aria di sovralimentazione</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C903F8" w:rsidRDefault="009C13A9" w:rsidP="009C13A9">
            <w:pPr>
              <w:overflowPunct w:val="0"/>
              <w:adjustRightInd w:val="0"/>
              <w:ind w:left="0" w:right="57" w:firstLine="0"/>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16"/>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Sì</w:t>
            </w:r>
          </w:p>
        </w:tc>
        <w:tc>
          <w:tcPr>
            <w:tcW w:w="1039" w:type="dxa"/>
            <w:gridSpan w:val="4"/>
            <w:tcBorders>
              <w:top w:val="single" w:sz="4" w:space="0" w:color="auto"/>
              <w:left w:val="nil"/>
              <w:bottom w:val="single" w:sz="4" w:space="0" w:color="auto"/>
              <w:right w:val="nil"/>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17"/>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No</w:t>
            </w:r>
          </w:p>
        </w:tc>
        <w:tc>
          <w:tcPr>
            <w:tcW w:w="1041" w:type="dxa"/>
            <w:gridSpan w:val="3"/>
            <w:tcBorders>
              <w:top w:val="single" w:sz="4" w:space="0" w:color="auto"/>
              <w:left w:val="nil"/>
              <w:bottom w:val="single" w:sz="4" w:space="0" w:color="auto"/>
              <w:right w:val="single" w:sz="4" w:space="0" w:color="auto"/>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18"/>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N.D.</w:t>
            </w:r>
          </w:p>
        </w:tc>
      </w:tr>
      <w:tr w:rsidR="009C13A9" w:rsidRPr="00C903F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C903F8" w:rsidRDefault="009C13A9" w:rsidP="009C13A9">
            <w:pPr>
              <w:overflowPunct w:val="0"/>
              <w:adjustRightInd w:val="0"/>
              <w:ind w:left="0" w:right="57" w:firstLine="0"/>
              <w:jc w:val="left"/>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C903F8" w:rsidRDefault="009C13A9" w:rsidP="009C13A9">
            <w:pPr>
              <w:overflowPunct w:val="0"/>
              <w:adjustRightInd w:val="0"/>
              <w:ind w:left="0" w:right="57" w:firstLine="0"/>
              <w:jc w:val="left"/>
              <w:textAlignment w:val="baseline"/>
              <w:rPr>
                <w:rFonts w:cs="Arial"/>
                <w:sz w:val="18"/>
                <w:szCs w:val="18"/>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C903F8" w:rsidRDefault="009C13A9" w:rsidP="009C13A9">
            <w:pPr>
              <w:overflowPunct w:val="0"/>
              <w:adjustRightInd w:val="0"/>
              <w:ind w:left="0" w:right="57" w:firstLine="0"/>
              <w:jc w:val="center"/>
              <w:textAlignment w:val="baseline"/>
              <w:rPr>
                <w:rFonts w:cs="Arial"/>
                <w:sz w:val="18"/>
                <w:szCs w:val="18"/>
              </w:rPr>
            </w:pPr>
          </w:p>
        </w:tc>
        <w:bookmarkStart w:id="673" w:name="Kontrollkästchen19"/>
        <w:tc>
          <w:tcPr>
            <w:tcW w:w="1039" w:type="dxa"/>
            <w:gridSpan w:val="4"/>
            <w:tcBorders>
              <w:top w:val="single" w:sz="4" w:space="0" w:color="auto"/>
              <w:left w:val="single" w:sz="4" w:space="0" w:color="auto"/>
              <w:bottom w:val="single" w:sz="4" w:space="0" w:color="auto"/>
              <w:right w:val="nil"/>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19"/>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w:t>
            </w:r>
            <w:bookmarkEnd w:id="673"/>
            <w:r>
              <w:rPr>
                <w:sz w:val="16"/>
              </w:rPr>
              <w:t>Sì</w:t>
            </w:r>
          </w:p>
        </w:tc>
        <w:bookmarkStart w:id="674" w:name="Kontrollkästchen20"/>
        <w:tc>
          <w:tcPr>
            <w:tcW w:w="1039" w:type="dxa"/>
            <w:gridSpan w:val="4"/>
            <w:tcBorders>
              <w:top w:val="single" w:sz="4" w:space="0" w:color="auto"/>
              <w:left w:val="nil"/>
              <w:bottom w:val="single" w:sz="4" w:space="0" w:color="auto"/>
              <w:right w:val="nil"/>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20"/>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No</w:t>
            </w:r>
            <w:bookmarkEnd w:id="674"/>
          </w:p>
        </w:tc>
        <w:bookmarkStart w:id="675" w:name="Kontrollkästchen21"/>
        <w:tc>
          <w:tcPr>
            <w:tcW w:w="1041" w:type="dxa"/>
            <w:gridSpan w:val="3"/>
            <w:tcBorders>
              <w:top w:val="single" w:sz="4" w:space="0" w:color="auto"/>
              <w:left w:val="nil"/>
              <w:bottom w:val="single" w:sz="4" w:space="0" w:color="auto"/>
              <w:right w:val="single" w:sz="4" w:space="0" w:color="auto"/>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21"/>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w:t>
            </w:r>
            <w:bookmarkEnd w:id="675"/>
            <w:r>
              <w:rPr>
                <w:sz w:val="16"/>
              </w:rPr>
              <w:t>N.D.</w:t>
            </w:r>
          </w:p>
        </w:tc>
      </w:tr>
      <w:tr w:rsidR="009C13A9" w:rsidRPr="00C903F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C903F8" w:rsidRDefault="009C13A9" w:rsidP="009C13A9">
            <w:pPr>
              <w:overflowPunct w:val="0"/>
              <w:adjustRightInd w:val="0"/>
              <w:ind w:left="0" w:right="57" w:firstLine="0"/>
              <w:jc w:val="left"/>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C903F8" w:rsidRDefault="009C13A9" w:rsidP="009C13A9">
            <w:pPr>
              <w:overflowPunct w:val="0"/>
              <w:adjustRightInd w:val="0"/>
              <w:ind w:left="0" w:right="57" w:firstLine="0"/>
              <w:jc w:val="left"/>
              <w:textAlignment w:val="baseline"/>
              <w:rPr>
                <w:rFonts w:cs="Arial"/>
                <w:sz w:val="18"/>
                <w:szCs w:val="18"/>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C903F8" w:rsidRDefault="009C13A9" w:rsidP="009C13A9">
            <w:pPr>
              <w:overflowPunct w:val="0"/>
              <w:adjustRightInd w:val="0"/>
              <w:ind w:left="0" w:right="57" w:firstLine="0"/>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19"/>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Sì</w:t>
            </w:r>
          </w:p>
        </w:tc>
        <w:tc>
          <w:tcPr>
            <w:tcW w:w="1039" w:type="dxa"/>
            <w:gridSpan w:val="4"/>
            <w:tcBorders>
              <w:top w:val="single" w:sz="4" w:space="0" w:color="auto"/>
              <w:left w:val="nil"/>
              <w:bottom w:val="single" w:sz="4" w:space="0" w:color="auto"/>
              <w:right w:val="nil"/>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20"/>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No</w:t>
            </w:r>
          </w:p>
        </w:tc>
        <w:tc>
          <w:tcPr>
            <w:tcW w:w="1041" w:type="dxa"/>
            <w:gridSpan w:val="3"/>
            <w:tcBorders>
              <w:top w:val="single" w:sz="4" w:space="0" w:color="auto"/>
              <w:left w:val="nil"/>
              <w:bottom w:val="single" w:sz="4" w:space="0" w:color="auto"/>
              <w:right w:val="single" w:sz="4" w:space="0" w:color="auto"/>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21"/>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N.D.</w:t>
            </w:r>
          </w:p>
        </w:tc>
      </w:tr>
      <w:tr w:rsidR="009C13A9" w:rsidRPr="00C903F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C903F8" w:rsidRDefault="009C13A9" w:rsidP="009C13A9">
            <w:pPr>
              <w:overflowPunct w:val="0"/>
              <w:adjustRightInd w:val="0"/>
              <w:ind w:left="0" w:right="57" w:firstLine="0"/>
              <w:jc w:val="left"/>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C903F8" w:rsidRDefault="009C13A9" w:rsidP="009C13A9">
            <w:pPr>
              <w:overflowPunct w:val="0"/>
              <w:adjustRightInd w:val="0"/>
              <w:ind w:left="0" w:right="57" w:firstLine="0"/>
              <w:jc w:val="left"/>
              <w:textAlignment w:val="baseline"/>
              <w:rPr>
                <w:rFonts w:cs="Arial"/>
                <w:sz w:val="18"/>
                <w:szCs w:val="18"/>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C903F8" w:rsidRDefault="009C13A9" w:rsidP="009C13A9">
            <w:pPr>
              <w:overflowPunct w:val="0"/>
              <w:adjustRightInd w:val="0"/>
              <w:ind w:left="0" w:right="57" w:firstLine="0"/>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19"/>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Sì</w:t>
            </w:r>
          </w:p>
        </w:tc>
        <w:tc>
          <w:tcPr>
            <w:tcW w:w="1039" w:type="dxa"/>
            <w:gridSpan w:val="4"/>
            <w:tcBorders>
              <w:top w:val="single" w:sz="4" w:space="0" w:color="auto"/>
              <w:left w:val="nil"/>
              <w:bottom w:val="single" w:sz="4" w:space="0" w:color="auto"/>
              <w:right w:val="nil"/>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20"/>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No</w:t>
            </w:r>
          </w:p>
        </w:tc>
        <w:tc>
          <w:tcPr>
            <w:tcW w:w="1041" w:type="dxa"/>
            <w:gridSpan w:val="3"/>
            <w:tcBorders>
              <w:top w:val="single" w:sz="4" w:space="0" w:color="auto"/>
              <w:left w:val="nil"/>
              <w:bottom w:val="single" w:sz="4" w:space="0" w:color="auto"/>
              <w:right w:val="single" w:sz="4" w:space="0" w:color="auto"/>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21"/>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N.D.</w:t>
            </w:r>
          </w:p>
        </w:tc>
      </w:tr>
      <w:tr w:rsidR="009C13A9" w:rsidRPr="00C903F8" w:rsidTr="009C13A9">
        <w:tblPrEx>
          <w:jc w:val="center"/>
        </w:tblPrEx>
        <w:trPr>
          <w:cantSplit/>
          <w:trHeight w:hRule="exact" w:val="160"/>
          <w:jc w:val="center"/>
        </w:trPr>
        <w:tc>
          <w:tcPr>
            <w:tcW w:w="9215" w:type="dxa"/>
            <w:gridSpan w:val="32"/>
            <w:vAlign w:val="center"/>
          </w:tcPr>
          <w:p w:rsidR="009C13A9" w:rsidRPr="00C903F8" w:rsidRDefault="009C13A9" w:rsidP="009C13A9">
            <w:pPr>
              <w:overflowPunct w:val="0"/>
              <w:adjustRightInd w:val="0"/>
              <w:ind w:left="0" w:right="57" w:firstLine="0"/>
              <w:jc w:val="left"/>
              <w:textAlignment w:val="baseline"/>
              <w:rPr>
                <w:rFonts w:cs="Arial"/>
                <w:sz w:val="18"/>
                <w:szCs w:val="18"/>
              </w:rPr>
            </w:pPr>
          </w:p>
        </w:tc>
      </w:tr>
      <w:tr w:rsidR="009C13A9" w:rsidRPr="00A0619C" w:rsidTr="009C13A9">
        <w:tblPrEx>
          <w:jc w:val="center"/>
        </w:tblPrEx>
        <w:trPr>
          <w:cantSplit/>
          <w:jc w:val="center"/>
        </w:trPr>
        <w:tc>
          <w:tcPr>
            <w:tcW w:w="9215" w:type="dxa"/>
            <w:gridSpan w:val="32"/>
            <w:vAlign w:val="center"/>
          </w:tcPr>
          <w:p w:rsidR="009C13A9" w:rsidRPr="00C903F8" w:rsidRDefault="009C13A9" w:rsidP="009C13A9">
            <w:pPr>
              <w:overflowPunct w:val="0"/>
              <w:adjustRightInd w:val="0"/>
              <w:ind w:left="286" w:hanging="286"/>
              <w:jc w:val="left"/>
              <w:textAlignment w:val="baseline"/>
              <w:rPr>
                <w:rFonts w:cs="Arial"/>
                <w:b/>
                <w:sz w:val="18"/>
                <w:szCs w:val="18"/>
              </w:rPr>
            </w:pPr>
            <w:r>
              <w:rPr>
                <w:b/>
                <w:sz w:val="18"/>
              </w:rPr>
              <w:t>B)</w:t>
            </w:r>
            <w:r>
              <w:tab/>
            </w:r>
            <w:r>
              <w:rPr>
                <w:b/>
                <w:sz w:val="18"/>
              </w:rPr>
              <w:t>Esame visivo delle caratteristiche regolabili e dei parametri del motore</w:t>
            </w:r>
          </w:p>
        </w:tc>
      </w:tr>
      <w:tr w:rsidR="009C13A9" w:rsidRPr="00C903F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C903F8" w:rsidRDefault="009C13A9" w:rsidP="009C13A9">
            <w:pPr>
              <w:overflowPunct w:val="0"/>
              <w:adjustRightInd w:val="0"/>
              <w:spacing w:before="20" w:after="20"/>
              <w:ind w:left="0" w:right="57" w:firstLine="0"/>
              <w:jc w:val="center"/>
              <w:textAlignment w:val="baseline"/>
              <w:rPr>
                <w:rFonts w:cs="Arial"/>
                <w:sz w:val="16"/>
                <w:szCs w:val="18"/>
              </w:rPr>
            </w:pPr>
          </w:p>
        </w:tc>
        <w:tc>
          <w:tcPr>
            <w:tcW w:w="3543" w:type="dxa"/>
            <w:gridSpan w:val="11"/>
            <w:tcBorders>
              <w:top w:val="single" w:sz="4" w:space="0" w:color="auto"/>
              <w:left w:val="nil"/>
              <w:bottom w:val="single" w:sz="4" w:space="0" w:color="auto"/>
              <w:right w:val="single" w:sz="4" w:space="0" w:color="auto"/>
            </w:tcBorders>
            <w:vAlign w:val="center"/>
          </w:tcPr>
          <w:p w:rsidR="009C13A9" w:rsidRPr="00C903F8" w:rsidRDefault="009C13A9" w:rsidP="009C13A9">
            <w:pPr>
              <w:overflowPunct w:val="0"/>
              <w:adjustRightInd w:val="0"/>
              <w:spacing w:before="20" w:after="20"/>
              <w:ind w:left="0" w:right="57" w:firstLine="0"/>
              <w:jc w:val="center"/>
              <w:textAlignment w:val="baseline"/>
              <w:rPr>
                <w:rFonts w:cs="Arial"/>
                <w:bCs/>
                <w:sz w:val="16"/>
                <w:szCs w:val="18"/>
              </w:rPr>
            </w:pPr>
            <w:r>
              <w:rPr>
                <w:sz w:val="16"/>
              </w:rPr>
              <w:t>Parametro</w:t>
            </w:r>
          </w:p>
        </w:tc>
        <w:tc>
          <w:tcPr>
            <w:tcW w:w="3119" w:type="dxa"/>
            <w:gridSpan w:val="11"/>
            <w:tcBorders>
              <w:top w:val="single" w:sz="4" w:space="0" w:color="auto"/>
              <w:left w:val="single" w:sz="4" w:space="0" w:color="auto"/>
              <w:bottom w:val="single" w:sz="4" w:space="0" w:color="auto"/>
              <w:right w:val="single" w:sz="4" w:space="0" w:color="auto"/>
            </w:tcBorders>
            <w:vAlign w:val="center"/>
          </w:tcPr>
          <w:p w:rsidR="009C13A9" w:rsidRPr="00C903F8" w:rsidRDefault="009C13A9" w:rsidP="009C13A9">
            <w:pPr>
              <w:overflowPunct w:val="0"/>
              <w:adjustRightInd w:val="0"/>
              <w:spacing w:before="20" w:after="20"/>
              <w:ind w:left="0" w:right="57" w:firstLine="0"/>
              <w:jc w:val="center"/>
              <w:textAlignment w:val="baseline"/>
              <w:rPr>
                <w:rFonts w:cs="Arial"/>
                <w:bCs/>
                <w:sz w:val="16"/>
                <w:szCs w:val="18"/>
              </w:rPr>
            </w:pPr>
            <w:r>
              <w:rPr>
                <w:noProof/>
                <w:sz w:val="16"/>
              </w:rPr>
              <w:t>Valore registrato</w:t>
            </w:r>
          </w:p>
        </w:tc>
        <w:tc>
          <w:tcPr>
            <w:tcW w:w="2127" w:type="dxa"/>
            <w:gridSpan w:val="8"/>
            <w:tcBorders>
              <w:top w:val="single" w:sz="4" w:space="0" w:color="auto"/>
              <w:left w:val="single" w:sz="4" w:space="0" w:color="auto"/>
              <w:bottom w:val="single" w:sz="4" w:space="0" w:color="auto"/>
              <w:right w:val="single" w:sz="4" w:space="0" w:color="auto"/>
            </w:tcBorders>
            <w:vAlign w:val="center"/>
          </w:tcPr>
          <w:p w:rsidR="009C13A9" w:rsidRPr="00C903F8" w:rsidRDefault="009C13A9" w:rsidP="009C13A9">
            <w:pPr>
              <w:overflowPunct w:val="0"/>
              <w:adjustRightInd w:val="0"/>
              <w:spacing w:before="20" w:after="20"/>
              <w:ind w:left="0" w:right="57" w:firstLine="0"/>
              <w:jc w:val="center"/>
              <w:textAlignment w:val="baseline"/>
              <w:rPr>
                <w:rFonts w:cs="Arial"/>
                <w:bCs/>
                <w:sz w:val="16"/>
                <w:szCs w:val="18"/>
              </w:rPr>
            </w:pPr>
            <w:r>
              <w:rPr>
                <w:sz w:val="16"/>
              </w:rPr>
              <w:t>Conformità</w:t>
            </w:r>
            <w:r>
              <w:rPr>
                <w:sz w:val="16"/>
                <w:vertAlign w:val="superscript"/>
              </w:rPr>
              <w:t>1)</w:t>
            </w:r>
          </w:p>
        </w:tc>
      </w:tr>
      <w:tr w:rsidR="009C13A9" w:rsidRPr="00C903F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C903F8" w:rsidRDefault="009C13A9" w:rsidP="009C13A9">
            <w:pPr>
              <w:overflowPunct w:val="0"/>
              <w:adjustRightInd w:val="0"/>
              <w:spacing w:before="20" w:after="20"/>
              <w:ind w:left="0" w:right="57" w:firstLine="0"/>
              <w:jc w:val="center"/>
              <w:textAlignment w:val="baseline"/>
              <w:rPr>
                <w:rFonts w:cs="Arial"/>
                <w:sz w:val="16"/>
                <w:szCs w:val="16"/>
              </w:rPr>
            </w:pPr>
          </w:p>
        </w:tc>
        <w:tc>
          <w:tcPr>
            <w:tcW w:w="3543" w:type="dxa"/>
            <w:gridSpan w:val="11"/>
            <w:tcBorders>
              <w:top w:val="single" w:sz="4" w:space="0" w:color="auto"/>
              <w:left w:val="nil"/>
              <w:bottom w:val="single" w:sz="4" w:space="0" w:color="auto"/>
              <w:right w:val="single" w:sz="4" w:space="0" w:color="auto"/>
            </w:tcBorders>
            <w:vAlign w:val="center"/>
          </w:tcPr>
          <w:p w:rsidR="009C13A9" w:rsidRPr="00C903F8" w:rsidRDefault="009C13A9" w:rsidP="009C13A9">
            <w:pPr>
              <w:overflowPunct w:val="0"/>
              <w:adjustRightInd w:val="0"/>
              <w:spacing w:before="20" w:after="20"/>
              <w:ind w:left="0" w:right="57" w:firstLine="0"/>
              <w:jc w:val="center"/>
              <w:textAlignment w:val="baseline"/>
              <w:rPr>
                <w:rFonts w:cs="Arial"/>
                <w:sz w:val="16"/>
                <w:szCs w:val="16"/>
              </w:rPr>
            </w:pPr>
            <w:r>
              <w:rPr>
                <w:sz w:val="16"/>
              </w:rPr>
              <w:t>Tempi di iniezione, periodo di iniezione</w:t>
            </w:r>
          </w:p>
        </w:tc>
        <w:tc>
          <w:tcPr>
            <w:tcW w:w="3119" w:type="dxa"/>
            <w:gridSpan w:val="11"/>
            <w:tcBorders>
              <w:top w:val="single" w:sz="4" w:space="0" w:color="auto"/>
              <w:left w:val="single" w:sz="4" w:space="0" w:color="auto"/>
              <w:bottom w:val="single" w:sz="4" w:space="0" w:color="auto"/>
              <w:right w:val="single" w:sz="4" w:space="0" w:color="auto"/>
            </w:tcBorders>
            <w:vAlign w:val="center"/>
          </w:tcPr>
          <w:p w:rsidR="009C13A9" w:rsidRPr="00C903F8" w:rsidRDefault="009C13A9" w:rsidP="009C13A9">
            <w:pPr>
              <w:overflowPunct w:val="0"/>
              <w:adjustRightInd w:val="0"/>
              <w:spacing w:before="20" w:after="20"/>
              <w:ind w:left="0" w:right="57" w:firstLine="0"/>
              <w:jc w:val="center"/>
              <w:textAlignment w:val="baseline"/>
              <w:rPr>
                <w:rFonts w:cs="Arial"/>
                <w:sz w:val="16"/>
                <w:szCs w:val="16"/>
              </w:rPr>
            </w:pPr>
          </w:p>
        </w:tc>
        <w:tc>
          <w:tcPr>
            <w:tcW w:w="1063" w:type="dxa"/>
            <w:gridSpan w:val="4"/>
            <w:tcBorders>
              <w:top w:val="single" w:sz="4" w:space="0" w:color="auto"/>
              <w:left w:val="single" w:sz="4" w:space="0" w:color="auto"/>
              <w:bottom w:val="single" w:sz="4" w:space="0" w:color="auto"/>
              <w:right w:val="single" w:sz="4" w:space="0" w:color="auto"/>
            </w:tcBorders>
            <w:vAlign w:val="center"/>
          </w:tcPr>
          <w:p w:rsidR="009C13A9" w:rsidRPr="00C903F8" w:rsidRDefault="00475311" w:rsidP="009C13A9">
            <w:pPr>
              <w:overflowPunct w:val="0"/>
              <w:adjustRightInd w:val="0"/>
              <w:spacing w:before="20" w:after="20"/>
              <w:ind w:left="0" w:right="57" w:firstLine="0"/>
              <w:jc w:val="center"/>
              <w:textAlignment w:val="baseline"/>
              <w:rPr>
                <w:rFonts w:cs="Arial"/>
                <w:sz w:val="16"/>
                <w:szCs w:val="16"/>
              </w:rPr>
            </w:pPr>
            <w:r>
              <w:rPr>
                <w:rFonts w:cs="Arial"/>
                <w:sz w:val="16"/>
                <w:szCs w:val="16"/>
              </w:rPr>
              <w:fldChar w:fldCharType="begin">
                <w:ffData>
                  <w:name w:val=""/>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Sì</w:t>
            </w:r>
          </w:p>
        </w:tc>
        <w:tc>
          <w:tcPr>
            <w:tcW w:w="1064" w:type="dxa"/>
            <w:gridSpan w:val="4"/>
            <w:tcBorders>
              <w:top w:val="single" w:sz="4" w:space="0" w:color="auto"/>
              <w:left w:val="single" w:sz="4" w:space="0" w:color="auto"/>
              <w:bottom w:val="single" w:sz="4" w:space="0" w:color="auto"/>
              <w:right w:val="single" w:sz="4" w:space="0" w:color="auto"/>
            </w:tcBorders>
            <w:vAlign w:val="center"/>
          </w:tcPr>
          <w:p w:rsidR="009C13A9" w:rsidRPr="00C903F8" w:rsidRDefault="00475311" w:rsidP="009C13A9">
            <w:pPr>
              <w:overflowPunct w:val="0"/>
              <w:adjustRightInd w:val="0"/>
              <w:spacing w:before="20" w:after="20"/>
              <w:ind w:left="0" w:right="57" w:firstLine="0"/>
              <w:jc w:val="center"/>
              <w:textAlignment w:val="baseline"/>
              <w:rPr>
                <w:rFonts w:cs="Arial"/>
                <w:sz w:val="16"/>
                <w:szCs w:val="16"/>
              </w:rPr>
            </w:pPr>
            <w:r>
              <w:rPr>
                <w:rFonts w:cs="Arial"/>
                <w:sz w:val="16"/>
                <w:szCs w:val="16"/>
              </w:rPr>
              <w:fldChar w:fldCharType="begin">
                <w:ffData>
                  <w:name w:val="Kontrollkästchen20"/>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r>
              <w:rPr>
                <w:sz w:val="16"/>
              </w:rPr>
              <w:t xml:space="preserve"> No</w:t>
            </w:r>
          </w:p>
        </w:tc>
      </w:tr>
      <w:tr w:rsidR="009C13A9" w:rsidRPr="00C903F8"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60"/>
          <w:jc w:val="center"/>
        </w:trPr>
        <w:tc>
          <w:tcPr>
            <w:tcW w:w="9215" w:type="dxa"/>
            <w:gridSpan w:val="32"/>
            <w:tcBorders>
              <w:top w:val="nil"/>
              <w:left w:val="nil"/>
              <w:bottom w:val="nil"/>
              <w:right w:val="nil"/>
            </w:tcBorders>
            <w:vAlign w:val="center"/>
          </w:tcPr>
          <w:p w:rsidR="009C13A9" w:rsidRPr="00C903F8" w:rsidRDefault="009C13A9" w:rsidP="009C13A9">
            <w:pPr>
              <w:overflowPunct w:val="0"/>
              <w:adjustRightInd w:val="0"/>
              <w:ind w:left="0" w:right="57" w:firstLine="0"/>
              <w:jc w:val="left"/>
              <w:textAlignment w:val="baseline"/>
              <w:rPr>
                <w:rFonts w:cs="Arial"/>
                <w:sz w:val="18"/>
                <w:szCs w:val="18"/>
              </w:rPr>
            </w:pPr>
          </w:p>
        </w:tc>
      </w:tr>
      <w:tr w:rsidR="009C13A9" w:rsidRPr="00A0619C"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9215" w:type="dxa"/>
            <w:gridSpan w:val="32"/>
            <w:tcBorders>
              <w:top w:val="nil"/>
              <w:left w:val="nil"/>
              <w:bottom w:val="nil"/>
              <w:right w:val="nil"/>
            </w:tcBorders>
            <w:vAlign w:val="center"/>
          </w:tcPr>
          <w:p w:rsidR="009C13A9" w:rsidRPr="00C903F8" w:rsidRDefault="009C13A9" w:rsidP="009C13A9">
            <w:pPr>
              <w:autoSpaceDE/>
              <w:autoSpaceDN/>
              <w:spacing w:before="40" w:after="40"/>
              <w:ind w:left="286" w:right="57" w:hanging="286"/>
              <w:jc w:val="left"/>
              <w:outlineLvl w:val="4"/>
              <w:rPr>
                <w:rFonts w:cs="Arial"/>
                <w:b/>
                <w:bCs/>
                <w:snapToGrid w:val="0"/>
                <w:sz w:val="18"/>
                <w:szCs w:val="18"/>
              </w:rPr>
            </w:pPr>
            <w:r>
              <w:rPr>
                <w:b/>
                <w:snapToGrid w:val="0"/>
                <w:sz w:val="18"/>
              </w:rPr>
              <w:t>C)</w:t>
            </w:r>
            <w:r>
              <w:tab/>
            </w:r>
            <w:r>
              <w:rPr>
                <w:b/>
                <w:snapToGrid w:val="0"/>
                <w:sz w:val="18"/>
              </w:rPr>
              <w:t>Ispezione dell'ingresso dell'aria e del sistema di scarico</w:t>
            </w:r>
          </w:p>
        </w:tc>
      </w:tr>
      <w:tr w:rsidR="009C13A9" w:rsidRPr="00A0619C"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C903F8" w:rsidRDefault="009C13A9" w:rsidP="009C13A9">
            <w:pPr>
              <w:overflowPunct w:val="0"/>
              <w:adjustRightInd w:val="0"/>
              <w:ind w:left="0" w:right="57" w:firstLine="0"/>
              <w:jc w:val="center"/>
              <w:textAlignment w:val="baseline"/>
              <w:rPr>
                <w:rFonts w:cs="Arial"/>
                <w:sz w:val="18"/>
                <w:szCs w:val="18"/>
              </w:rPr>
            </w:pPr>
          </w:p>
        </w:tc>
        <w:tc>
          <w:tcPr>
            <w:tcW w:w="567" w:type="dxa"/>
            <w:tcBorders>
              <w:top w:val="single" w:sz="4" w:space="0" w:color="auto"/>
              <w:left w:val="nil"/>
              <w:bottom w:val="single" w:sz="4" w:space="0" w:color="auto"/>
              <w:right w:val="single" w:sz="4" w:space="0" w:color="auto"/>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25"/>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p>
        </w:tc>
        <w:tc>
          <w:tcPr>
            <w:tcW w:w="8222" w:type="dxa"/>
            <w:gridSpan w:val="29"/>
            <w:tcBorders>
              <w:top w:val="single" w:sz="4" w:space="0" w:color="auto"/>
              <w:left w:val="single" w:sz="4" w:space="0" w:color="auto"/>
              <w:bottom w:val="single" w:sz="4" w:space="0" w:color="auto"/>
              <w:right w:val="single" w:sz="4" w:space="0" w:color="auto"/>
            </w:tcBorders>
            <w:vAlign w:val="center"/>
          </w:tcPr>
          <w:p w:rsidR="009C13A9" w:rsidRPr="00C903F8" w:rsidRDefault="009C13A9" w:rsidP="009C13A9">
            <w:pPr>
              <w:overflowPunct w:val="0"/>
              <w:adjustRightInd w:val="0"/>
              <w:ind w:left="0" w:right="113" w:firstLine="0"/>
              <w:jc w:val="left"/>
              <w:textAlignment w:val="baseline"/>
              <w:rPr>
                <w:rFonts w:cs="Arial"/>
                <w:sz w:val="16"/>
                <w:szCs w:val="16"/>
              </w:rPr>
            </w:pPr>
            <w:r>
              <w:rPr>
                <w:sz w:val="16"/>
              </w:rPr>
              <w:t>Sono state effettuate misure per verificare la conformità ai valori autorizzati</w:t>
            </w:r>
          </w:p>
          <w:p w:rsidR="009C13A9" w:rsidRPr="00C903F8" w:rsidRDefault="009C13A9" w:rsidP="009C13A9">
            <w:pPr>
              <w:overflowPunct w:val="0"/>
              <w:adjustRightInd w:val="0"/>
              <w:ind w:left="0" w:right="113" w:firstLine="0"/>
              <w:jc w:val="left"/>
              <w:textAlignment w:val="baseline"/>
              <w:rPr>
                <w:rFonts w:cs="Arial"/>
                <w:sz w:val="16"/>
                <w:szCs w:val="16"/>
              </w:rPr>
            </w:pPr>
            <w:r>
              <w:rPr>
                <w:sz w:val="16"/>
              </w:rPr>
              <w:t>Depressione dell’aria di aspirazione:</w:t>
            </w:r>
            <w:r>
              <w:tab/>
            </w:r>
            <w:r>
              <w:rPr>
                <w:sz w:val="16"/>
              </w:rPr>
              <w:t>……….. kPa alla velocità nominale e pieno carico</w:t>
            </w:r>
          </w:p>
          <w:p w:rsidR="009C13A9" w:rsidRPr="00C903F8" w:rsidRDefault="009C13A9" w:rsidP="009C13A9">
            <w:pPr>
              <w:autoSpaceDE/>
              <w:autoSpaceDN/>
              <w:ind w:left="0" w:right="57" w:firstLine="0"/>
              <w:jc w:val="left"/>
              <w:rPr>
                <w:rFonts w:cs="Arial"/>
                <w:snapToGrid w:val="0"/>
                <w:sz w:val="16"/>
                <w:szCs w:val="16"/>
              </w:rPr>
            </w:pPr>
            <w:r>
              <w:rPr>
                <w:snapToGrid w:val="0"/>
                <w:sz w:val="16"/>
              </w:rPr>
              <w:t>Contropressione gas di scarico:</w:t>
            </w:r>
            <w:r>
              <w:tab/>
            </w:r>
            <w:r>
              <w:rPr>
                <w:snapToGrid w:val="0"/>
                <w:sz w:val="16"/>
              </w:rPr>
              <w:t xml:space="preserve"> ……….. kPa alla velocità nominale e pieno carico</w:t>
            </w:r>
          </w:p>
        </w:tc>
      </w:tr>
      <w:tr w:rsidR="009C13A9" w:rsidRPr="00A0619C"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C903F8" w:rsidRDefault="009C13A9" w:rsidP="009C13A9">
            <w:pPr>
              <w:overflowPunct w:val="0"/>
              <w:adjustRightInd w:val="0"/>
              <w:ind w:left="0" w:right="57" w:firstLine="0"/>
              <w:jc w:val="center"/>
              <w:textAlignment w:val="baseline"/>
              <w:rPr>
                <w:rFonts w:cs="Arial"/>
                <w:sz w:val="16"/>
                <w:szCs w:val="16"/>
              </w:rPr>
            </w:pPr>
          </w:p>
        </w:tc>
        <w:tc>
          <w:tcPr>
            <w:tcW w:w="567" w:type="dxa"/>
            <w:tcBorders>
              <w:top w:val="single" w:sz="4" w:space="0" w:color="auto"/>
              <w:left w:val="nil"/>
              <w:bottom w:val="single" w:sz="4" w:space="0" w:color="auto"/>
              <w:right w:val="single" w:sz="4" w:space="0" w:color="auto"/>
            </w:tcBorders>
            <w:vAlign w:val="center"/>
          </w:tcPr>
          <w:p w:rsidR="009C13A9" w:rsidRPr="00C903F8" w:rsidRDefault="00475311" w:rsidP="009C13A9">
            <w:pPr>
              <w:overflowPunct w:val="0"/>
              <w:adjustRightInd w:val="0"/>
              <w:ind w:left="0" w:right="57" w:firstLine="0"/>
              <w:jc w:val="center"/>
              <w:textAlignment w:val="baseline"/>
              <w:rPr>
                <w:rFonts w:cs="Arial"/>
                <w:sz w:val="16"/>
                <w:szCs w:val="16"/>
              </w:rPr>
            </w:pPr>
            <w:r>
              <w:rPr>
                <w:rFonts w:cs="Arial"/>
                <w:sz w:val="16"/>
                <w:szCs w:val="16"/>
              </w:rPr>
              <w:fldChar w:fldCharType="begin">
                <w:ffData>
                  <w:name w:val="Kontrollkästchen25"/>
                  <w:enabled/>
                  <w:calcOnExit w:val="0"/>
                  <w:checkBox>
                    <w:sizeAuto/>
                    <w:default w:val="0"/>
                  </w:checkBox>
                </w:ffData>
              </w:fldChar>
            </w:r>
            <w:r>
              <w:rPr>
                <w:rFonts w:cs="Arial"/>
                <w:sz w:val="16"/>
                <w:szCs w:val="16"/>
              </w:rPr>
              <w:instrText xml:space="preserve"> FORMCHECKBOX _</w:instrText>
            </w:r>
            <w:r w:rsidR="00624017">
              <w:rPr>
                <w:rFonts w:cs="Arial"/>
                <w:sz w:val="16"/>
                <w:szCs w:val="16"/>
              </w:rPr>
            </w:r>
            <w:r w:rsidR="00624017">
              <w:rPr>
                <w:rFonts w:cs="Arial"/>
                <w:sz w:val="16"/>
                <w:szCs w:val="16"/>
              </w:rPr>
              <w:fldChar w:fldCharType="separate"/>
            </w:r>
            <w:r>
              <w:rPr>
                <w:rFonts w:cs="Arial"/>
                <w:sz w:val="16"/>
                <w:szCs w:val="16"/>
              </w:rPr>
              <w:fldChar w:fldCharType="end"/>
            </w:r>
          </w:p>
        </w:tc>
        <w:tc>
          <w:tcPr>
            <w:tcW w:w="8222" w:type="dxa"/>
            <w:gridSpan w:val="29"/>
            <w:tcBorders>
              <w:top w:val="single" w:sz="4" w:space="0" w:color="auto"/>
              <w:left w:val="single" w:sz="4" w:space="0" w:color="auto"/>
              <w:bottom w:val="single" w:sz="4" w:space="0" w:color="auto"/>
              <w:right w:val="single" w:sz="4" w:space="0" w:color="auto"/>
            </w:tcBorders>
            <w:vAlign w:val="center"/>
          </w:tcPr>
          <w:p w:rsidR="009C13A9" w:rsidRPr="00C903F8" w:rsidRDefault="009C13A9" w:rsidP="009C13A9">
            <w:pPr>
              <w:autoSpaceDE/>
              <w:autoSpaceDN/>
              <w:ind w:left="0" w:right="57" w:firstLine="0"/>
              <w:rPr>
                <w:rFonts w:cs="Arial"/>
                <w:snapToGrid w:val="0"/>
                <w:sz w:val="16"/>
                <w:szCs w:val="16"/>
              </w:rPr>
            </w:pPr>
            <w:bookmarkStart w:id="676" w:name="Kontrollkästchen25"/>
            <w:r>
              <w:rPr>
                <w:snapToGrid w:val="0"/>
                <w:sz w:val="16"/>
              </w:rPr>
              <w:t>È stato svolto un esame visivo del sistema di ingresso dell’aria e di scarico del gas. Non sono state rilevate anomalie che indichino la non conformità rispetto ai valori autorizzati.</w:t>
            </w:r>
            <w:bookmarkEnd w:id="676"/>
          </w:p>
        </w:tc>
      </w:tr>
      <w:tr w:rsidR="009C13A9" w:rsidRPr="00A0619C" w:rsidTr="009C13A9">
        <w:tblPrEx>
          <w:jc w:val="center"/>
        </w:tblPrEx>
        <w:trPr>
          <w:cantSplit/>
          <w:trHeight w:hRule="exact" w:val="57"/>
          <w:jc w:val="center"/>
        </w:trPr>
        <w:tc>
          <w:tcPr>
            <w:tcW w:w="9215" w:type="dxa"/>
            <w:gridSpan w:val="32"/>
            <w:vAlign w:val="center"/>
          </w:tcPr>
          <w:p w:rsidR="009C13A9" w:rsidRPr="00C903F8" w:rsidRDefault="009C13A9" w:rsidP="009C13A9">
            <w:pPr>
              <w:overflowPunct w:val="0"/>
              <w:adjustRightInd w:val="0"/>
              <w:ind w:left="0" w:right="57" w:firstLine="0"/>
              <w:jc w:val="left"/>
              <w:textAlignment w:val="baseline"/>
              <w:rPr>
                <w:rFonts w:cs="Arial"/>
                <w:b/>
                <w:bCs/>
                <w:sz w:val="16"/>
                <w:szCs w:val="16"/>
              </w:rPr>
            </w:pPr>
          </w:p>
        </w:tc>
      </w:tr>
      <w:tr w:rsidR="009C13A9" w:rsidRPr="00C903F8" w:rsidTr="009C13A9">
        <w:tblPrEx>
          <w:jc w:val="center"/>
        </w:tblPrEx>
        <w:trPr>
          <w:cantSplit/>
          <w:jc w:val="center"/>
        </w:trPr>
        <w:tc>
          <w:tcPr>
            <w:tcW w:w="1985" w:type="dxa"/>
            <w:gridSpan w:val="6"/>
            <w:vAlign w:val="center"/>
          </w:tcPr>
          <w:p w:rsidR="009C13A9" w:rsidRPr="00C903F8" w:rsidRDefault="009C13A9" w:rsidP="009635C7">
            <w:pPr>
              <w:overflowPunct w:val="0"/>
              <w:adjustRightInd w:val="0"/>
              <w:ind w:left="286" w:right="57" w:hanging="286"/>
              <w:jc w:val="left"/>
              <w:textAlignment w:val="baseline"/>
              <w:rPr>
                <w:rFonts w:cs="Arial"/>
                <w:sz w:val="18"/>
                <w:szCs w:val="18"/>
              </w:rPr>
            </w:pPr>
            <w:bookmarkStart w:id="677" w:name="Text28"/>
            <w:r>
              <w:rPr>
                <w:b/>
                <w:sz w:val="18"/>
              </w:rPr>
              <w:t>D)</w:t>
            </w:r>
            <w:r>
              <w:tab/>
            </w:r>
            <w:r>
              <w:rPr>
                <w:b/>
                <w:sz w:val="18"/>
              </w:rPr>
              <w:t>Osservazioni:</w:t>
            </w:r>
            <w:bookmarkEnd w:id="677"/>
          </w:p>
        </w:tc>
        <w:tc>
          <w:tcPr>
            <w:tcW w:w="7230" w:type="dxa"/>
            <w:gridSpan w:val="26"/>
            <w:tcBorders>
              <w:bottom w:val="dashed" w:sz="4" w:space="0" w:color="auto"/>
            </w:tcBorders>
            <w:vAlign w:val="center"/>
          </w:tcPr>
          <w:p w:rsidR="009C13A9" w:rsidRPr="00C903F8" w:rsidRDefault="009C13A9" w:rsidP="009C13A9">
            <w:pPr>
              <w:overflowPunct w:val="0"/>
              <w:adjustRightInd w:val="0"/>
              <w:ind w:left="0" w:right="57" w:firstLine="0"/>
              <w:jc w:val="left"/>
              <w:textAlignment w:val="baseline"/>
              <w:rPr>
                <w:rFonts w:cs="Arial"/>
                <w:sz w:val="18"/>
                <w:szCs w:val="18"/>
              </w:rPr>
            </w:pPr>
          </w:p>
        </w:tc>
      </w:tr>
      <w:tr w:rsidR="009C13A9" w:rsidRPr="00A0619C" w:rsidTr="009C13A9">
        <w:tblPrEx>
          <w:jc w:val="center"/>
        </w:tblPrEx>
        <w:trPr>
          <w:cantSplit/>
          <w:jc w:val="center"/>
        </w:trPr>
        <w:tc>
          <w:tcPr>
            <w:tcW w:w="1985" w:type="dxa"/>
            <w:gridSpan w:val="6"/>
            <w:vAlign w:val="center"/>
          </w:tcPr>
          <w:p w:rsidR="009C13A9" w:rsidRPr="00C903F8" w:rsidRDefault="009C13A9" w:rsidP="009C13A9">
            <w:pPr>
              <w:overflowPunct w:val="0"/>
              <w:adjustRightInd w:val="0"/>
              <w:ind w:left="0" w:right="57" w:firstLine="0"/>
              <w:jc w:val="left"/>
              <w:textAlignment w:val="baseline"/>
              <w:rPr>
                <w:rFonts w:cs="Arial"/>
                <w:b/>
                <w:bCs/>
                <w:szCs w:val="20"/>
              </w:rPr>
            </w:pPr>
          </w:p>
        </w:tc>
        <w:tc>
          <w:tcPr>
            <w:tcW w:w="7230" w:type="dxa"/>
            <w:gridSpan w:val="26"/>
            <w:tcBorders>
              <w:top w:val="dashed" w:sz="4" w:space="0" w:color="auto"/>
              <w:bottom w:val="nil"/>
            </w:tcBorders>
            <w:vAlign w:val="center"/>
          </w:tcPr>
          <w:p w:rsidR="009C13A9" w:rsidRPr="00C903F8" w:rsidRDefault="009C13A9" w:rsidP="009C13A9">
            <w:pPr>
              <w:overflowPunct w:val="0"/>
              <w:adjustRightInd w:val="0"/>
              <w:ind w:left="0" w:right="57" w:firstLine="0"/>
              <w:jc w:val="left"/>
              <w:textAlignment w:val="baseline"/>
              <w:rPr>
                <w:rFonts w:cs="Arial"/>
                <w:sz w:val="12"/>
                <w:szCs w:val="12"/>
              </w:rPr>
            </w:pPr>
            <w:r>
              <w:rPr>
                <w:noProof/>
                <w:sz w:val="12"/>
              </w:rPr>
              <w:t>(Sul motore installato sono state riscontrare le seguenti impostazioni, modifiche o alterazioni divergenti.)</w:t>
            </w:r>
          </w:p>
        </w:tc>
      </w:tr>
      <w:tr w:rsidR="009C13A9" w:rsidRPr="00A0619C" w:rsidTr="009C13A9">
        <w:tblPrEx>
          <w:jc w:val="center"/>
        </w:tblPrEx>
        <w:trPr>
          <w:cantSplit/>
          <w:jc w:val="center"/>
        </w:trPr>
        <w:tc>
          <w:tcPr>
            <w:tcW w:w="1985" w:type="dxa"/>
            <w:gridSpan w:val="6"/>
            <w:vAlign w:val="center"/>
          </w:tcPr>
          <w:p w:rsidR="009C13A9" w:rsidRPr="00C903F8" w:rsidRDefault="009C13A9" w:rsidP="009C13A9">
            <w:pPr>
              <w:overflowPunct w:val="0"/>
              <w:adjustRightInd w:val="0"/>
              <w:ind w:left="0" w:right="57" w:firstLine="0"/>
              <w:jc w:val="left"/>
              <w:textAlignment w:val="baseline"/>
              <w:rPr>
                <w:rFonts w:cs="Arial"/>
                <w:sz w:val="18"/>
                <w:szCs w:val="18"/>
              </w:rPr>
            </w:pPr>
          </w:p>
        </w:tc>
        <w:tc>
          <w:tcPr>
            <w:tcW w:w="7230" w:type="dxa"/>
            <w:gridSpan w:val="26"/>
            <w:tcBorders>
              <w:bottom w:val="dashed" w:sz="4" w:space="0" w:color="auto"/>
            </w:tcBorders>
            <w:vAlign w:val="center"/>
          </w:tcPr>
          <w:p w:rsidR="009C13A9" w:rsidRPr="00C903F8" w:rsidRDefault="009C13A9" w:rsidP="009C13A9">
            <w:pPr>
              <w:overflowPunct w:val="0"/>
              <w:adjustRightInd w:val="0"/>
              <w:ind w:left="0" w:right="57" w:firstLine="0"/>
              <w:jc w:val="left"/>
              <w:textAlignment w:val="baseline"/>
              <w:rPr>
                <w:rFonts w:cs="Arial"/>
                <w:sz w:val="18"/>
                <w:szCs w:val="18"/>
              </w:rPr>
            </w:pPr>
          </w:p>
        </w:tc>
      </w:tr>
      <w:tr w:rsidR="009C13A9" w:rsidRPr="00A0619C" w:rsidTr="009C13A9">
        <w:tblPrEx>
          <w:jc w:val="center"/>
        </w:tblPrEx>
        <w:trPr>
          <w:cantSplit/>
          <w:jc w:val="center"/>
        </w:trPr>
        <w:tc>
          <w:tcPr>
            <w:tcW w:w="1985" w:type="dxa"/>
            <w:gridSpan w:val="6"/>
            <w:vAlign w:val="center"/>
          </w:tcPr>
          <w:p w:rsidR="009C13A9" w:rsidRPr="00C903F8" w:rsidRDefault="009C13A9" w:rsidP="009C13A9">
            <w:pPr>
              <w:overflowPunct w:val="0"/>
              <w:adjustRightInd w:val="0"/>
              <w:ind w:left="0" w:right="57" w:firstLine="0"/>
              <w:jc w:val="left"/>
              <w:textAlignment w:val="baseline"/>
              <w:rPr>
                <w:rFonts w:cs="Arial"/>
                <w:sz w:val="18"/>
                <w:szCs w:val="18"/>
              </w:rPr>
            </w:pPr>
          </w:p>
        </w:tc>
        <w:tc>
          <w:tcPr>
            <w:tcW w:w="7230" w:type="dxa"/>
            <w:gridSpan w:val="26"/>
            <w:tcBorders>
              <w:top w:val="dashed" w:sz="4" w:space="0" w:color="auto"/>
              <w:bottom w:val="dashed" w:sz="4" w:space="0" w:color="auto"/>
            </w:tcBorders>
            <w:vAlign w:val="center"/>
          </w:tcPr>
          <w:p w:rsidR="009C13A9" w:rsidRPr="00C903F8" w:rsidRDefault="009C13A9" w:rsidP="009C13A9">
            <w:pPr>
              <w:overflowPunct w:val="0"/>
              <w:adjustRightInd w:val="0"/>
              <w:ind w:left="0" w:right="57" w:firstLine="0"/>
              <w:jc w:val="left"/>
              <w:textAlignment w:val="baseline"/>
              <w:rPr>
                <w:rFonts w:cs="Arial"/>
                <w:sz w:val="18"/>
                <w:szCs w:val="18"/>
              </w:rPr>
            </w:pPr>
          </w:p>
        </w:tc>
      </w:tr>
      <w:tr w:rsidR="009C13A9" w:rsidRPr="00A0619C" w:rsidTr="009C13A9">
        <w:tblPrEx>
          <w:jc w:val="center"/>
        </w:tblPrEx>
        <w:trPr>
          <w:cantSplit/>
          <w:jc w:val="center"/>
        </w:trPr>
        <w:tc>
          <w:tcPr>
            <w:tcW w:w="1985" w:type="dxa"/>
            <w:gridSpan w:val="6"/>
            <w:vAlign w:val="center"/>
          </w:tcPr>
          <w:p w:rsidR="009C13A9" w:rsidRPr="00C903F8" w:rsidRDefault="009C13A9" w:rsidP="009C13A9">
            <w:pPr>
              <w:overflowPunct w:val="0"/>
              <w:adjustRightInd w:val="0"/>
              <w:ind w:left="0" w:right="57" w:firstLine="0"/>
              <w:jc w:val="left"/>
              <w:textAlignment w:val="baseline"/>
              <w:rPr>
                <w:rFonts w:cs="Arial"/>
                <w:sz w:val="18"/>
                <w:szCs w:val="18"/>
              </w:rPr>
            </w:pPr>
          </w:p>
        </w:tc>
        <w:tc>
          <w:tcPr>
            <w:tcW w:w="7230" w:type="dxa"/>
            <w:gridSpan w:val="26"/>
            <w:tcBorders>
              <w:top w:val="dashed" w:sz="4" w:space="0" w:color="auto"/>
              <w:bottom w:val="dashed" w:sz="4" w:space="0" w:color="auto"/>
            </w:tcBorders>
            <w:vAlign w:val="center"/>
          </w:tcPr>
          <w:p w:rsidR="009C13A9" w:rsidRPr="00C903F8" w:rsidRDefault="009C13A9" w:rsidP="009C13A9">
            <w:pPr>
              <w:overflowPunct w:val="0"/>
              <w:adjustRightInd w:val="0"/>
              <w:ind w:left="0" w:right="57" w:firstLine="0"/>
              <w:jc w:val="left"/>
              <w:textAlignment w:val="baseline"/>
              <w:rPr>
                <w:rFonts w:cs="Arial"/>
                <w:sz w:val="18"/>
                <w:szCs w:val="18"/>
              </w:rPr>
            </w:pPr>
          </w:p>
        </w:tc>
      </w:tr>
      <w:tr w:rsidR="009C13A9" w:rsidRPr="00A0619C" w:rsidTr="009C13A9">
        <w:tblPrEx>
          <w:jc w:val="center"/>
        </w:tblPrEx>
        <w:trPr>
          <w:cantSplit/>
          <w:trHeight w:hRule="exact" w:val="160"/>
          <w:jc w:val="center"/>
        </w:trPr>
        <w:tc>
          <w:tcPr>
            <w:tcW w:w="9215" w:type="dxa"/>
            <w:gridSpan w:val="32"/>
            <w:vAlign w:val="center"/>
          </w:tcPr>
          <w:p w:rsidR="009C13A9" w:rsidRPr="00C903F8" w:rsidRDefault="009C13A9" w:rsidP="009C13A9">
            <w:pPr>
              <w:overflowPunct w:val="0"/>
              <w:adjustRightInd w:val="0"/>
              <w:ind w:left="0" w:right="57" w:firstLine="0"/>
              <w:jc w:val="left"/>
              <w:textAlignment w:val="baseline"/>
              <w:rPr>
                <w:rFonts w:cs="Arial"/>
                <w:szCs w:val="20"/>
              </w:rPr>
            </w:pPr>
          </w:p>
        </w:tc>
      </w:tr>
      <w:tr w:rsidR="009C13A9" w:rsidRPr="00C903F8" w:rsidTr="009C13A9">
        <w:tblPrEx>
          <w:jc w:val="center"/>
        </w:tblPrEx>
        <w:trPr>
          <w:cantSplit/>
          <w:jc w:val="center"/>
        </w:trPr>
        <w:tc>
          <w:tcPr>
            <w:tcW w:w="2552" w:type="dxa"/>
            <w:gridSpan w:val="7"/>
            <w:vAlign w:val="center"/>
          </w:tcPr>
          <w:p w:rsidR="009C13A9" w:rsidRPr="00C903F8" w:rsidRDefault="009C13A9" w:rsidP="009C13A9">
            <w:pPr>
              <w:overflowPunct w:val="0"/>
              <w:adjustRightInd w:val="0"/>
              <w:ind w:left="0" w:right="57" w:firstLine="0"/>
              <w:jc w:val="left"/>
              <w:textAlignment w:val="baseline"/>
              <w:rPr>
                <w:rFonts w:cs="Arial"/>
                <w:szCs w:val="20"/>
              </w:rPr>
            </w:pPr>
          </w:p>
        </w:tc>
        <w:tc>
          <w:tcPr>
            <w:tcW w:w="1984" w:type="dxa"/>
            <w:gridSpan w:val="8"/>
            <w:vAlign w:val="center"/>
          </w:tcPr>
          <w:p w:rsidR="009C13A9" w:rsidRPr="00C903F8" w:rsidRDefault="009C13A9" w:rsidP="009C13A9">
            <w:pPr>
              <w:tabs>
                <w:tab w:val="center" w:pos="4819"/>
              </w:tabs>
              <w:overflowPunct w:val="0"/>
              <w:adjustRightInd w:val="0"/>
              <w:ind w:left="0" w:right="57" w:firstLine="0"/>
              <w:jc w:val="left"/>
              <w:textAlignment w:val="baseline"/>
              <w:rPr>
                <w:rFonts w:cs="Arial"/>
                <w:sz w:val="16"/>
                <w:szCs w:val="16"/>
              </w:rPr>
            </w:pPr>
            <w:bookmarkStart w:id="678" w:name="Text30"/>
            <w:r>
              <w:rPr>
                <w:sz w:val="16"/>
              </w:rPr>
              <w:t>Nome del controllore:</w:t>
            </w:r>
            <w:bookmarkEnd w:id="678"/>
          </w:p>
        </w:tc>
        <w:tc>
          <w:tcPr>
            <w:tcW w:w="4679" w:type="dxa"/>
            <w:gridSpan w:val="17"/>
            <w:vAlign w:val="center"/>
          </w:tcPr>
          <w:p w:rsidR="009C13A9" w:rsidRPr="00C903F8" w:rsidRDefault="009C13A9" w:rsidP="009C13A9">
            <w:pPr>
              <w:overflowPunct w:val="0"/>
              <w:adjustRightInd w:val="0"/>
              <w:ind w:left="0" w:right="57" w:firstLine="0"/>
              <w:jc w:val="left"/>
              <w:textAlignment w:val="baseline"/>
              <w:rPr>
                <w:rFonts w:cs="Arial"/>
                <w:sz w:val="18"/>
                <w:szCs w:val="18"/>
              </w:rPr>
            </w:pPr>
            <w:r>
              <w:rPr>
                <w:sz w:val="18"/>
              </w:rPr>
              <w:t>………………………………………………………………...</w:t>
            </w:r>
          </w:p>
        </w:tc>
      </w:tr>
      <w:tr w:rsidR="009C13A9" w:rsidRPr="00C903F8" w:rsidTr="009C13A9">
        <w:tblPrEx>
          <w:jc w:val="center"/>
        </w:tblPrEx>
        <w:trPr>
          <w:cantSplit/>
          <w:trHeight w:hRule="exact" w:val="57"/>
          <w:jc w:val="center"/>
        </w:trPr>
        <w:tc>
          <w:tcPr>
            <w:tcW w:w="9215" w:type="dxa"/>
            <w:gridSpan w:val="32"/>
            <w:vAlign w:val="center"/>
          </w:tcPr>
          <w:p w:rsidR="009C13A9" w:rsidRPr="00C903F8" w:rsidRDefault="009C13A9" w:rsidP="009C13A9">
            <w:pPr>
              <w:overflowPunct w:val="0"/>
              <w:adjustRightInd w:val="0"/>
              <w:ind w:left="0" w:right="57" w:firstLine="0"/>
              <w:jc w:val="left"/>
              <w:textAlignment w:val="baseline"/>
              <w:rPr>
                <w:rFonts w:cs="Arial"/>
                <w:sz w:val="16"/>
                <w:szCs w:val="16"/>
              </w:rPr>
            </w:pPr>
          </w:p>
        </w:tc>
      </w:tr>
      <w:tr w:rsidR="009C13A9" w:rsidRPr="00C903F8" w:rsidTr="009C13A9">
        <w:tblPrEx>
          <w:jc w:val="center"/>
        </w:tblPrEx>
        <w:trPr>
          <w:cantSplit/>
          <w:jc w:val="center"/>
        </w:trPr>
        <w:tc>
          <w:tcPr>
            <w:tcW w:w="2552" w:type="dxa"/>
            <w:gridSpan w:val="7"/>
            <w:vAlign w:val="center"/>
          </w:tcPr>
          <w:p w:rsidR="009C13A9" w:rsidRPr="00C903F8" w:rsidRDefault="009C13A9" w:rsidP="009C13A9">
            <w:pPr>
              <w:overflowPunct w:val="0"/>
              <w:adjustRightInd w:val="0"/>
              <w:ind w:left="0" w:right="57" w:firstLine="0"/>
              <w:jc w:val="left"/>
              <w:textAlignment w:val="baseline"/>
              <w:rPr>
                <w:rFonts w:cs="Arial"/>
                <w:szCs w:val="20"/>
              </w:rPr>
            </w:pPr>
          </w:p>
        </w:tc>
        <w:tc>
          <w:tcPr>
            <w:tcW w:w="1984" w:type="dxa"/>
            <w:gridSpan w:val="8"/>
            <w:vAlign w:val="center"/>
          </w:tcPr>
          <w:p w:rsidR="009C13A9" w:rsidRPr="00C903F8" w:rsidRDefault="009C13A9" w:rsidP="009C13A9">
            <w:pPr>
              <w:overflowPunct w:val="0"/>
              <w:adjustRightInd w:val="0"/>
              <w:ind w:left="0" w:right="57" w:firstLine="0"/>
              <w:jc w:val="left"/>
              <w:textAlignment w:val="baseline"/>
              <w:rPr>
                <w:rFonts w:cs="Arial"/>
                <w:sz w:val="16"/>
                <w:szCs w:val="16"/>
              </w:rPr>
            </w:pPr>
            <w:bookmarkStart w:id="679" w:name="Text31"/>
            <w:r>
              <w:rPr>
                <w:sz w:val="16"/>
              </w:rPr>
              <w:t>Luogo e data:</w:t>
            </w:r>
            <w:bookmarkEnd w:id="679"/>
          </w:p>
        </w:tc>
        <w:tc>
          <w:tcPr>
            <w:tcW w:w="4679" w:type="dxa"/>
            <w:gridSpan w:val="17"/>
            <w:vAlign w:val="center"/>
          </w:tcPr>
          <w:p w:rsidR="009C13A9" w:rsidRPr="00C903F8" w:rsidRDefault="009C13A9" w:rsidP="009C13A9">
            <w:pPr>
              <w:overflowPunct w:val="0"/>
              <w:adjustRightInd w:val="0"/>
              <w:ind w:left="0" w:right="57" w:firstLine="0"/>
              <w:jc w:val="left"/>
              <w:textAlignment w:val="baseline"/>
              <w:rPr>
                <w:rFonts w:cs="Arial"/>
                <w:szCs w:val="20"/>
              </w:rPr>
            </w:pPr>
            <w:r>
              <w:t>……………………………….</w:t>
            </w:r>
          </w:p>
        </w:tc>
      </w:tr>
      <w:tr w:rsidR="009C13A9" w:rsidRPr="00C903F8" w:rsidTr="009C13A9">
        <w:tblPrEx>
          <w:jc w:val="center"/>
        </w:tblPrEx>
        <w:trPr>
          <w:cantSplit/>
          <w:trHeight w:hRule="exact" w:val="57"/>
          <w:jc w:val="center"/>
        </w:trPr>
        <w:tc>
          <w:tcPr>
            <w:tcW w:w="9215" w:type="dxa"/>
            <w:gridSpan w:val="32"/>
            <w:vAlign w:val="center"/>
          </w:tcPr>
          <w:p w:rsidR="009C13A9" w:rsidRPr="00C903F8" w:rsidRDefault="009C13A9" w:rsidP="009C13A9">
            <w:pPr>
              <w:overflowPunct w:val="0"/>
              <w:adjustRightInd w:val="0"/>
              <w:ind w:left="0" w:right="57" w:firstLine="0"/>
              <w:jc w:val="left"/>
              <w:textAlignment w:val="baseline"/>
              <w:rPr>
                <w:rFonts w:cs="Arial"/>
                <w:sz w:val="16"/>
                <w:szCs w:val="16"/>
              </w:rPr>
            </w:pPr>
          </w:p>
        </w:tc>
      </w:tr>
      <w:tr w:rsidR="009C13A9" w:rsidRPr="00C903F8" w:rsidTr="009C13A9">
        <w:tblPrEx>
          <w:jc w:val="center"/>
        </w:tblPrEx>
        <w:trPr>
          <w:cantSplit/>
          <w:jc w:val="center"/>
        </w:trPr>
        <w:tc>
          <w:tcPr>
            <w:tcW w:w="2552" w:type="dxa"/>
            <w:gridSpan w:val="7"/>
            <w:vAlign w:val="center"/>
          </w:tcPr>
          <w:p w:rsidR="009C13A9" w:rsidRPr="00C903F8" w:rsidRDefault="009C13A9" w:rsidP="009C13A9">
            <w:pPr>
              <w:overflowPunct w:val="0"/>
              <w:adjustRightInd w:val="0"/>
              <w:ind w:left="0" w:right="57" w:firstLine="0"/>
              <w:jc w:val="left"/>
              <w:textAlignment w:val="baseline"/>
              <w:rPr>
                <w:rFonts w:cs="Arial"/>
                <w:szCs w:val="20"/>
              </w:rPr>
            </w:pPr>
          </w:p>
        </w:tc>
        <w:tc>
          <w:tcPr>
            <w:tcW w:w="1984" w:type="dxa"/>
            <w:gridSpan w:val="8"/>
            <w:vAlign w:val="center"/>
          </w:tcPr>
          <w:p w:rsidR="009C13A9" w:rsidRPr="00C903F8" w:rsidRDefault="009C13A9" w:rsidP="009635C7">
            <w:pPr>
              <w:overflowPunct w:val="0"/>
              <w:adjustRightInd w:val="0"/>
              <w:ind w:left="0" w:right="57" w:firstLine="0"/>
              <w:jc w:val="left"/>
              <w:textAlignment w:val="baseline"/>
              <w:rPr>
                <w:rFonts w:cs="Arial"/>
                <w:sz w:val="16"/>
                <w:szCs w:val="16"/>
              </w:rPr>
            </w:pPr>
            <w:r>
              <w:rPr>
                <w:sz w:val="16"/>
              </w:rPr>
              <w:t>Firma:</w:t>
            </w:r>
          </w:p>
        </w:tc>
        <w:tc>
          <w:tcPr>
            <w:tcW w:w="4679" w:type="dxa"/>
            <w:gridSpan w:val="17"/>
            <w:vAlign w:val="center"/>
          </w:tcPr>
          <w:p w:rsidR="009C13A9" w:rsidRPr="00C903F8" w:rsidRDefault="009C13A9" w:rsidP="009C13A9">
            <w:pPr>
              <w:overflowPunct w:val="0"/>
              <w:adjustRightInd w:val="0"/>
              <w:ind w:left="0" w:right="57" w:firstLine="0"/>
              <w:jc w:val="left"/>
              <w:textAlignment w:val="baseline"/>
              <w:rPr>
                <w:rFonts w:cs="Arial"/>
                <w:szCs w:val="20"/>
              </w:rPr>
            </w:pPr>
          </w:p>
        </w:tc>
      </w:tr>
      <w:tr w:rsidR="009C13A9" w:rsidRPr="00A0619C" w:rsidTr="009C13A9">
        <w:tblPrEx>
          <w:jc w:val="center"/>
        </w:tblPrEx>
        <w:trPr>
          <w:jc w:val="center"/>
        </w:trPr>
        <w:tc>
          <w:tcPr>
            <w:tcW w:w="4818" w:type="dxa"/>
            <w:gridSpan w:val="17"/>
            <w:vAlign w:val="center"/>
          </w:tcPr>
          <w:p w:rsidR="009C13A9" w:rsidRPr="00C903F8" w:rsidRDefault="009C13A9" w:rsidP="009C13A9">
            <w:pPr>
              <w:tabs>
                <w:tab w:val="center" w:pos="4536"/>
                <w:tab w:val="right" w:pos="9072"/>
              </w:tabs>
              <w:overflowPunct w:val="0"/>
              <w:adjustRightInd w:val="0"/>
              <w:ind w:left="0" w:right="57" w:firstLine="0"/>
              <w:jc w:val="left"/>
              <w:textAlignment w:val="baseline"/>
              <w:rPr>
                <w:rFonts w:cs="Arial"/>
                <w:b/>
                <w:bCs/>
                <w:szCs w:val="20"/>
                <w:u w:val="single"/>
              </w:rPr>
            </w:pPr>
            <w:r>
              <w:rPr>
                <w:sz w:val="16"/>
                <w:vertAlign w:val="superscript"/>
              </w:rPr>
              <w:t>1)</w:t>
            </w:r>
            <w:r>
              <w:t xml:space="preserve"> </w:t>
            </w:r>
            <w:r>
              <w:rPr>
                <w:sz w:val="14"/>
              </w:rPr>
              <w:t>Barrare la casella che interessa.</w:t>
            </w:r>
          </w:p>
        </w:tc>
        <w:tc>
          <w:tcPr>
            <w:tcW w:w="4397" w:type="dxa"/>
            <w:gridSpan w:val="15"/>
            <w:vAlign w:val="center"/>
          </w:tcPr>
          <w:p w:rsidR="009C13A9" w:rsidRPr="00C903F8" w:rsidRDefault="009C13A9" w:rsidP="009C13A9">
            <w:pPr>
              <w:tabs>
                <w:tab w:val="center" w:pos="4536"/>
                <w:tab w:val="right" w:pos="9072"/>
              </w:tabs>
              <w:overflowPunct w:val="0"/>
              <w:adjustRightInd w:val="0"/>
              <w:ind w:left="0" w:right="57" w:firstLine="0"/>
              <w:jc w:val="right"/>
              <w:textAlignment w:val="baseline"/>
              <w:rPr>
                <w:rFonts w:cs="Arial"/>
                <w:szCs w:val="20"/>
              </w:rPr>
            </w:pPr>
          </w:p>
        </w:tc>
      </w:tr>
    </w:tbl>
    <w:p w:rsidR="009C13A9" w:rsidRPr="00C903F8" w:rsidRDefault="009C13A9" w:rsidP="009C13A9">
      <w:pPr>
        <w:ind w:left="0" w:firstLine="0"/>
        <w:rPr>
          <w:rFonts w:cs="Arial"/>
          <w:noProof/>
          <w:sz w:val="16"/>
          <w:szCs w:val="20"/>
        </w:rPr>
      </w:pPr>
    </w:p>
    <w:p w:rsidR="009C13A9" w:rsidRPr="00C903F8" w:rsidRDefault="009C13A9" w:rsidP="009C13A9">
      <w:pPr>
        <w:ind w:left="0" w:firstLine="0"/>
        <w:rPr>
          <w:rFonts w:cs="Arial"/>
          <w:noProof/>
          <w:sz w:val="16"/>
          <w:szCs w:val="20"/>
        </w:rPr>
      </w:pPr>
      <w:r>
        <w:br w:type="page"/>
      </w:r>
    </w:p>
    <w:p w:rsidR="009C13A9" w:rsidRPr="00C903F8" w:rsidRDefault="009C13A9" w:rsidP="009C13A9">
      <w:pPr>
        <w:ind w:left="0" w:firstLine="0"/>
        <w:rPr>
          <w:rFonts w:cs="Arial"/>
          <w:noProof/>
          <w:sz w:val="16"/>
          <w:szCs w:val="20"/>
        </w:rPr>
      </w:pPr>
    </w:p>
    <w:p w:rsidR="009C13A9" w:rsidRPr="00C903F8" w:rsidRDefault="009C13A9" w:rsidP="009C13A9">
      <w:pPr>
        <w:ind w:left="0" w:firstLine="0"/>
        <w:rPr>
          <w:rFonts w:cs="Arial"/>
          <w:noProof/>
          <w:sz w:val="16"/>
          <w:szCs w:val="20"/>
        </w:rPr>
      </w:pPr>
    </w:p>
    <w:p w:rsidR="009C13A9" w:rsidRPr="00C903F8" w:rsidRDefault="009C13A9" w:rsidP="009C13A9">
      <w:pPr>
        <w:ind w:left="0" w:firstLine="0"/>
        <w:rPr>
          <w:rFonts w:cs="Arial"/>
          <w:noProof/>
          <w:sz w:val="16"/>
          <w:szCs w:val="20"/>
        </w:rPr>
      </w:pPr>
    </w:p>
    <w:p w:rsidR="009C13A9" w:rsidRPr="00C903F8" w:rsidRDefault="009C13A9" w:rsidP="009C13A9">
      <w:pPr>
        <w:ind w:left="0" w:firstLine="0"/>
        <w:rPr>
          <w:rFonts w:cs="Arial"/>
          <w:noProof/>
          <w:sz w:val="16"/>
          <w:szCs w:val="20"/>
        </w:rPr>
      </w:pPr>
    </w:p>
    <w:p w:rsidR="009C13A9" w:rsidRPr="00C903F8" w:rsidRDefault="009C13A9" w:rsidP="009C13A9">
      <w:pPr>
        <w:ind w:left="0" w:firstLine="0"/>
        <w:rPr>
          <w:rFonts w:cs="Arial"/>
          <w:noProof/>
          <w:sz w:val="16"/>
          <w:szCs w:val="20"/>
        </w:rPr>
      </w:pPr>
    </w:p>
    <w:p w:rsidR="009C13A9" w:rsidRPr="00C903F8" w:rsidRDefault="009C13A9" w:rsidP="009C13A9">
      <w:pPr>
        <w:ind w:left="0" w:firstLine="0"/>
        <w:rPr>
          <w:rFonts w:cs="Arial"/>
          <w:noProof/>
          <w:sz w:val="16"/>
          <w:szCs w:val="20"/>
        </w:rPr>
      </w:pPr>
    </w:p>
    <w:p w:rsidR="001705E4" w:rsidRDefault="001705E4" w:rsidP="00611BF5">
      <w:pPr>
        <w:pStyle w:val="ES-Titre2"/>
        <w:pageBreakBefore w:val="0"/>
        <w:sectPr w:rsidR="001705E4" w:rsidSect="00FB55E9">
          <w:headerReference w:type="default" r:id="rId71"/>
          <w:footerReference w:type="default" r:id="rId72"/>
          <w:footnotePr>
            <w:numRestart w:val="eachPage"/>
          </w:footnotePr>
          <w:pgSz w:w="11907" w:h="16840" w:code="9"/>
          <w:pgMar w:top="1361" w:right="1418" w:bottom="1361" w:left="1418" w:header="680" w:footer="680" w:gutter="0"/>
          <w:cols w:space="720"/>
          <w:docGrid w:linePitch="326"/>
        </w:sectPr>
      </w:pPr>
    </w:p>
    <w:p w:rsidR="009C13A9" w:rsidRPr="00C903F8" w:rsidRDefault="009C13A9" w:rsidP="00611BF5">
      <w:pPr>
        <w:pStyle w:val="ES-Titre2"/>
        <w:pageBreakBefore w:val="0"/>
        <w:rPr>
          <w:szCs w:val="20"/>
        </w:rPr>
      </w:pPr>
      <w:bookmarkStart w:id="680" w:name="_Toc491854323"/>
      <w:bookmarkStart w:id="681" w:name="_Toc535500272"/>
      <w:r>
        <w:lastRenderedPageBreak/>
        <w:t>Allegato 7</w:t>
      </w:r>
      <w:r>
        <w:br/>
        <w:t>Impianti di depurazione di bordo</w:t>
      </w:r>
      <w:bookmarkEnd w:id="680"/>
      <w:bookmarkEnd w:id="681"/>
      <w:r>
        <w:t xml:space="preserve"> </w:t>
      </w:r>
    </w:p>
    <w:p w:rsidR="009C13A9" w:rsidRPr="00C903F8" w:rsidRDefault="009C13A9" w:rsidP="009C13A9">
      <w:pPr>
        <w:tabs>
          <w:tab w:val="left" w:pos="2552"/>
        </w:tabs>
        <w:suppressAutoHyphens/>
        <w:autoSpaceDE/>
        <w:autoSpaceDN/>
        <w:spacing w:line="240" w:lineRule="atLeast"/>
        <w:ind w:left="0" w:firstLine="0"/>
        <w:jc w:val="center"/>
        <w:rPr>
          <w:rFonts w:cs="Arial"/>
          <w:b/>
          <w:szCs w:val="20"/>
        </w:rPr>
      </w:pPr>
    </w:p>
    <w:p w:rsidR="009C13A9" w:rsidRPr="00C903F8" w:rsidRDefault="009C13A9" w:rsidP="009C13A9">
      <w:pPr>
        <w:overflowPunct w:val="0"/>
        <w:adjustRightInd w:val="0"/>
        <w:spacing w:line="240" w:lineRule="atLeast"/>
        <w:ind w:left="0" w:firstLine="0"/>
        <w:jc w:val="center"/>
        <w:textAlignment w:val="baseline"/>
        <w:rPr>
          <w:rFonts w:cs="Arial"/>
          <w:b/>
          <w:bCs/>
          <w:noProof/>
          <w:sz w:val="22"/>
          <w:szCs w:val="22"/>
        </w:rPr>
      </w:pPr>
      <w:r>
        <w:rPr>
          <w:b/>
          <w:noProof/>
          <w:sz w:val="22"/>
        </w:rPr>
        <w:t>Sommario</w:t>
      </w:r>
    </w:p>
    <w:p w:rsidR="009C13A9" w:rsidRPr="00C903F8" w:rsidRDefault="009C13A9" w:rsidP="009C13A9">
      <w:pPr>
        <w:tabs>
          <w:tab w:val="left" w:pos="284"/>
          <w:tab w:val="left" w:pos="1134"/>
          <w:tab w:val="left" w:pos="1701"/>
        </w:tabs>
        <w:suppressAutoHyphens/>
        <w:autoSpaceDE/>
        <w:autoSpaceDN/>
        <w:spacing w:line="240" w:lineRule="atLeast"/>
        <w:ind w:left="0" w:firstLine="0"/>
        <w:jc w:val="left"/>
        <w:rPr>
          <w:rFonts w:cs="Arial"/>
          <w:szCs w:val="20"/>
        </w:rPr>
      </w:pPr>
    </w:p>
    <w:p w:rsidR="009C13A9" w:rsidRPr="00C903F8" w:rsidRDefault="00925755" w:rsidP="009C13A9">
      <w:pPr>
        <w:tabs>
          <w:tab w:val="left" w:pos="1701"/>
        </w:tabs>
        <w:suppressAutoHyphens/>
        <w:autoSpaceDE/>
        <w:autoSpaceDN/>
        <w:spacing w:line="240" w:lineRule="atLeast"/>
        <w:ind w:left="1134" w:hanging="1134"/>
        <w:rPr>
          <w:rFonts w:cs="Arial"/>
          <w:szCs w:val="20"/>
        </w:rPr>
      </w:pPr>
      <w:r>
        <w:rPr>
          <w:b/>
        </w:rPr>
        <w:t>Sezione I</w:t>
      </w:r>
      <w:r>
        <w:tab/>
        <w:t>Disposizioni supplementari</w:t>
      </w:r>
    </w:p>
    <w:p w:rsidR="009C13A9" w:rsidRPr="00C903F8" w:rsidRDefault="009C13A9" w:rsidP="009C13A9">
      <w:pPr>
        <w:suppressAutoHyphens/>
        <w:autoSpaceDE/>
        <w:autoSpaceDN/>
        <w:spacing w:line="240" w:lineRule="atLeast"/>
        <w:ind w:left="1134" w:hanging="1134"/>
        <w:rPr>
          <w:rFonts w:cs="Arial"/>
          <w:b/>
          <w:szCs w:val="20"/>
        </w:rPr>
      </w:pPr>
    </w:p>
    <w:p w:rsidR="009C13A9" w:rsidRPr="00C903F8" w:rsidRDefault="009C13A9" w:rsidP="009C13A9">
      <w:pPr>
        <w:suppressAutoHyphens/>
        <w:overflowPunct w:val="0"/>
        <w:autoSpaceDN/>
        <w:spacing w:line="240" w:lineRule="atLeast"/>
        <w:ind w:left="1560" w:hanging="426"/>
        <w:textAlignment w:val="baseline"/>
        <w:rPr>
          <w:rFonts w:cs="Arial"/>
          <w:szCs w:val="20"/>
        </w:rPr>
      </w:pPr>
      <w:r>
        <w:t>1.</w:t>
      </w:r>
      <w:r>
        <w:tab/>
        <w:t>Marcatura degli impianti di depurazione di bordo</w:t>
      </w:r>
    </w:p>
    <w:p w:rsidR="009C13A9" w:rsidRPr="00C903F8" w:rsidRDefault="009C13A9" w:rsidP="009C13A9">
      <w:pPr>
        <w:suppressAutoHyphens/>
        <w:overflowPunct w:val="0"/>
        <w:autoSpaceDN/>
        <w:spacing w:line="240" w:lineRule="atLeast"/>
        <w:ind w:left="1560" w:hanging="426"/>
        <w:textAlignment w:val="baseline"/>
        <w:rPr>
          <w:rFonts w:cs="Arial"/>
          <w:szCs w:val="20"/>
        </w:rPr>
      </w:pPr>
      <w:r>
        <w:t>2.</w:t>
      </w:r>
      <w:r>
        <w:tab/>
        <w:t>Prove</w:t>
      </w:r>
    </w:p>
    <w:p w:rsidR="009C13A9" w:rsidRPr="00C903F8" w:rsidRDefault="009C13A9" w:rsidP="009C13A9">
      <w:pPr>
        <w:suppressAutoHyphens/>
        <w:overflowPunct w:val="0"/>
        <w:autoSpaceDN/>
        <w:spacing w:line="240" w:lineRule="atLeast"/>
        <w:ind w:left="1560" w:hanging="426"/>
        <w:textAlignment w:val="baseline"/>
        <w:rPr>
          <w:rFonts w:cs="Arial"/>
          <w:szCs w:val="20"/>
        </w:rPr>
      </w:pPr>
      <w:r>
        <w:t>3.</w:t>
      </w:r>
      <w:r>
        <w:tab/>
        <w:t>Valutazione della conformità della produzione</w:t>
      </w:r>
    </w:p>
    <w:p w:rsidR="009C13A9" w:rsidRPr="00C903F8" w:rsidRDefault="009C13A9" w:rsidP="009C13A9">
      <w:pPr>
        <w:suppressAutoHyphens/>
        <w:autoSpaceDE/>
        <w:autoSpaceDN/>
        <w:spacing w:line="240" w:lineRule="atLeast"/>
        <w:ind w:left="1134" w:hanging="1134"/>
        <w:rPr>
          <w:rFonts w:cs="Arial"/>
          <w:szCs w:val="20"/>
        </w:rPr>
      </w:pPr>
    </w:p>
    <w:p w:rsidR="009C13A9" w:rsidRPr="00C903F8" w:rsidRDefault="00925755" w:rsidP="009C13A9">
      <w:pPr>
        <w:suppressAutoHyphens/>
        <w:autoSpaceDE/>
        <w:autoSpaceDN/>
        <w:spacing w:line="240" w:lineRule="atLeast"/>
        <w:ind w:left="1134" w:hanging="1134"/>
        <w:rPr>
          <w:rFonts w:cs="Arial"/>
          <w:szCs w:val="20"/>
        </w:rPr>
      </w:pPr>
      <w:r>
        <w:rPr>
          <w:b/>
        </w:rPr>
        <w:t>Sezione II</w:t>
      </w:r>
      <w:r>
        <w:tab/>
        <w:t>Scheda informativa n. ... relativa all'omologazione di impianti di depurazione di bordo destinati al montaggio su imbarcazioni per la navigazione interna (modello)</w:t>
      </w:r>
    </w:p>
    <w:p w:rsidR="009C13A9" w:rsidRPr="00C903F8" w:rsidRDefault="009C13A9" w:rsidP="009C13A9">
      <w:pPr>
        <w:suppressAutoHyphens/>
        <w:autoSpaceDE/>
        <w:autoSpaceDN/>
        <w:spacing w:line="240" w:lineRule="atLeast"/>
        <w:ind w:left="1134" w:hanging="1134"/>
        <w:rPr>
          <w:rFonts w:cs="Arial"/>
          <w:szCs w:val="20"/>
        </w:rPr>
      </w:pPr>
    </w:p>
    <w:p w:rsidR="009C13A9" w:rsidRPr="00C903F8" w:rsidRDefault="009C13A9" w:rsidP="009C13A9">
      <w:pPr>
        <w:suppressAutoHyphens/>
        <w:overflowPunct w:val="0"/>
        <w:autoSpaceDN/>
        <w:spacing w:line="240" w:lineRule="atLeast"/>
        <w:ind w:left="1134" w:firstLine="0"/>
        <w:textAlignment w:val="baseline"/>
        <w:rPr>
          <w:rFonts w:cs="Arial"/>
          <w:szCs w:val="20"/>
        </w:rPr>
      </w:pPr>
      <w:r>
        <w:t>Appendice 1 - Caratteristiche principali del tipo di impianto di depurazione di bordo (modello)</w:t>
      </w:r>
    </w:p>
    <w:p w:rsidR="009C13A9" w:rsidRPr="00C903F8" w:rsidRDefault="009C13A9" w:rsidP="009C13A9">
      <w:pPr>
        <w:suppressAutoHyphens/>
        <w:autoSpaceDE/>
        <w:autoSpaceDN/>
        <w:spacing w:line="240" w:lineRule="atLeast"/>
        <w:ind w:left="1134" w:hanging="1134"/>
        <w:rPr>
          <w:rFonts w:cs="Arial"/>
          <w:szCs w:val="20"/>
        </w:rPr>
      </w:pPr>
    </w:p>
    <w:p w:rsidR="009C13A9" w:rsidRPr="00C903F8" w:rsidRDefault="00925755" w:rsidP="009C13A9">
      <w:pPr>
        <w:suppressAutoHyphens/>
        <w:autoSpaceDE/>
        <w:autoSpaceDN/>
        <w:spacing w:line="240" w:lineRule="atLeast"/>
        <w:ind w:left="1134" w:hanging="1134"/>
        <w:rPr>
          <w:rFonts w:cs="Arial"/>
          <w:szCs w:val="20"/>
        </w:rPr>
      </w:pPr>
      <w:r>
        <w:rPr>
          <w:b/>
        </w:rPr>
        <w:t>Sezione III</w:t>
      </w:r>
      <w:r>
        <w:tab/>
        <w:t>Certificato di omologazione (modello)</w:t>
      </w:r>
    </w:p>
    <w:p w:rsidR="009C13A9" w:rsidRPr="00C903F8" w:rsidRDefault="009C13A9" w:rsidP="009C13A9">
      <w:pPr>
        <w:suppressAutoHyphens/>
        <w:autoSpaceDE/>
        <w:autoSpaceDN/>
        <w:spacing w:line="240" w:lineRule="atLeast"/>
        <w:ind w:left="1134" w:hanging="1134"/>
        <w:rPr>
          <w:rFonts w:cs="Arial"/>
          <w:szCs w:val="20"/>
        </w:rPr>
      </w:pPr>
    </w:p>
    <w:p w:rsidR="009C13A9" w:rsidRPr="00C903F8" w:rsidRDefault="009C13A9" w:rsidP="009C13A9">
      <w:pPr>
        <w:suppressAutoHyphens/>
        <w:overflowPunct w:val="0"/>
        <w:autoSpaceDN/>
        <w:spacing w:line="240" w:lineRule="atLeast"/>
        <w:ind w:left="1134" w:firstLine="0"/>
        <w:textAlignment w:val="baseline"/>
        <w:rPr>
          <w:rFonts w:cs="Arial"/>
          <w:szCs w:val="20"/>
        </w:rPr>
      </w:pPr>
      <w:r>
        <w:t>Appendice 1 - Risultati delle prove di omologazione (modello)</w:t>
      </w:r>
    </w:p>
    <w:p w:rsidR="009C13A9" w:rsidRPr="00C903F8" w:rsidRDefault="009C13A9" w:rsidP="009C13A9">
      <w:pPr>
        <w:suppressAutoHyphens/>
        <w:autoSpaceDE/>
        <w:autoSpaceDN/>
        <w:spacing w:line="240" w:lineRule="atLeast"/>
        <w:ind w:left="1134" w:hanging="1134"/>
        <w:rPr>
          <w:rFonts w:cs="Arial"/>
          <w:szCs w:val="20"/>
        </w:rPr>
      </w:pPr>
    </w:p>
    <w:p w:rsidR="009C13A9" w:rsidRPr="00C903F8" w:rsidRDefault="00925755" w:rsidP="009C13A9">
      <w:pPr>
        <w:suppressAutoHyphens/>
        <w:autoSpaceDE/>
        <w:autoSpaceDN/>
        <w:spacing w:line="240" w:lineRule="atLeast"/>
        <w:ind w:left="1134" w:hanging="1134"/>
        <w:rPr>
          <w:rFonts w:cs="Arial"/>
          <w:szCs w:val="20"/>
        </w:rPr>
      </w:pPr>
      <w:r>
        <w:rPr>
          <w:b/>
        </w:rPr>
        <w:t>Sezione IV</w:t>
      </w:r>
      <w:r>
        <w:tab/>
        <w:t>Sistema di numerazione delle omologazioni</w:t>
      </w:r>
    </w:p>
    <w:p w:rsidR="009C13A9" w:rsidRPr="00C903F8" w:rsidRDefault="009C13A9" w:rsidP="009C13A9">
      <w:pPr>
        <w:suppressAutoHyphens/>
        <w:autoSpaceDE/>
        <w:autoSpaceDN/>
        <w:spacing w:line="240" w:lineRule="atLeast"/>
        <w:ind w:left="1134" w:hanging="1134"/>
        <w:rPr>
          <w:rFonts w:cs="Arial"/>
          <w:szCs w:val="20"/>
        </w:rPr>
      </w:pPr>
    </w:p>
    <w:p w:rsidR="009C13A9" w:rsidRPr="00C903F8" w:rsidRDefault="00925755" w:rsidP="009C13A9">
      <w:pPr>
        <w:suppressAutoHyphens/>
        <w:autoSpaceDE/>
        <w:autoSpaceDN/>
        <w:spacing w:line="240" w:lineRule="atLeast"/>
        <w:ind w:left="1134" w:hanging="1134"/>
        <w:rPr>
          <w:rFonts w:cs="Arial"/>
          <w:szCs w:val="20"/>
        </w:rPr>
      </w:pPr>
      <w:r>
        <w:rPr>
          <w:b/>
        </w:rPr>
        <w:t>Sezione V</w:t>
      </w:r>
      <w:r>
        <w:tab/>
        <w:t>Sintesi delle omologazioni di tipi di impianti di depurazione di bordo</w:t>
      </w:r>
    </w:p>
    <w:p w:rsidR="009C13A9" w:rsidRPr="00C903F8" w:rsidRDefault="009C13A9" w:rsidP="009C13A9">
      <w:pPr>
        <w:suppressAutoHyphens/>
        <w:autoSpaceDE/>
        <w:autoSpaceDN/>
        <w:spacing w:line="240" w:lineRule="atLeast"/>
        <w:ind w:left="1134" w:hanging="1134"/>
        <w:rPr>
          <w:rFonts w:cs="Arial"/>
          <w:szCs w:val="20"/>
        </w:rPr>
      </w:pPr>
    </w:p>
    <w:p w:rsidR="009C13A9" w:rsidRPr="00C903F8" w:rsidRDefault="00925755" w:rsidP="009C13A9">
      <w:pPr>
        <w:suppressAutoHyphens/>
        <w:autoSpaceDE/>
        <w:autoSpaceDN/>
        <w:spacing w:line="240" w:lineRule="atLeast"/>
        <w:ind w:left="1134" w:hanging="1134"/>
        <w:rPr>
          <w:rFonts w:cs="Arial"/>
          <w:szCs w:val="20"/>
        </w:rPr>
      </w:pPr>
      <w:r>
        <w:rPr>
          <w:b/>
        </w:rPr>
        <w:t>Sezione VI</w:t>
      </w:r>
      <w:r>
        <w:tab/>
        <w:t>Sintesi degli impianti di depurazione di bordo fabbricati (modello)</w:t>
      </w:r>
    </w:p>
    <w:p w:rsidR="009C13A9" w:rsidRPr="00C903F8" w:rsidRDefault="009C13A9" w:rsidP="009C13A9">
      <w:pPr>
        <w:suppressAutoHyphens/>
        <w:autoSpaceDE/>
        <w:autoSpaceDN/>
        <w:spacing w:line="240" w:lineRule="atLeast"/>
        <w:ind w:left="1134" w:hanging="1134"/>
        <w:rPr>
          <w:rFonts w:cs="Arial"/>
          <w:szCs w:val="20"/>
        </w:rPr>
      </w:pPr>
    </w:p>
    <w:p w:rsidR="009C13A9" w:rsidRPr="00C903F8" w:rsidRDefault="00925755" w:rsidP="009C13A9">
      <w:pPr>
        <w:suppressAutoHyphens/>
        <w:autoSpaceDE/>
        <w:autoSpaceDN/>
        <w:spacing w:line="240" w:lineRule="atLeast"/>
        <w:ind w:left="1134" w:hanging="1134"/>
        <w:rPr>
          <w:rFonts w:cs="Arial"/>
          <w:szCs w:val="20"/>
        </w:rPr>
      </w:pPr>
      <w:r>
        <w:rPr>
          <w:b/>
        </w:rPr>
        <w:t>Sezione VII</w:t>
      </w:r>
      <w:r>
        <w:tab/>
        <w:t>Scheda informativa per gli impianti di depurazione di bordo con omologazione (modello)</w:t>
      </w:r>
    </w:p>
    <w:p w:rsidR="009C13A9" w:rsidRPr="00C903F8" w:rsidRDefault="009C13A9" w:rsidP="009C13A9">
      <w:pPr>
        <w:suppressAutoHyphens/>
        <w:autoSpaceDE/>
        <w:autoSpaceDN/>
        <w:spacing w:line="240" w:lineRule="atLeast"/>
        <w:ind w:left="1134" w:hanging="1134"/>
        <w:rPr>
          <w:rFonts w:cs="Arial"/>
          <w:szCs w:val="20"/>
        </w:rPr>
      </w:pPr>
    </w:p>
    <w:p w:rsidR="009C13A9" w:rsidRPr="00C903F8" w:rsidRDefault="00925755" w:rsidP="009C13A9">
      <w:pPr>
        <w:suppressAutoHyphens/>
        <w:autoSpaceDE/>
        <w:autoSpaceDN/>
        <w:spacing w:line="240" w:lineRule="atLeast"/>
        <w:ind w:left="1134" w:hanging="1134"/>
        <w:rPr>
          <w:rFonts w:cs="Arial"/>
          <w:szCs w:val="20"/>
        </w:rPr>
      </w:pPr>
      <w:r>
        <w:rPr>
          <w:b/>
        </w:rPr>
        <w:t>Sezione VIII</w:t>
      </w:r>
      <w:r>
        <w:tab/>
        <w:t>Registrazione dei parametri dell’impianto di depurazione di bordo per il controllo speciale (modello)</w:t>
      </w:r>
    </w:p>
    <w:p w:rsidR="009C13A9" w:rsidRPr="00C903F8" w:rsidRDefault="009C13A9" w:rsidP="009C13A9">
      <w:pPr>
        <w:suppressAutoHyphens/>
        <w:overflowPunct w:val="0"/>
        <w:autoSpaceDN/>
        <w:spacing w:line="240" w:lineRule="atLeast"/>
        <w:ind w:left="1134" w:hanging="1134"/>
        <w:textAlignment w:val="baseline"/>
        <w:rPr>
          <w:rFonts w:cs="Arial"/>
          <w:szCs w:val="20"/>
        </w:rPr>
      </w:pPr>
    </w:p>
    <w:p w:rsidR="009C13A9" w:rsidRPr="00C903F8" w:rsidRDefault="009C13A9" w:rsidP="009C13A9">
      <w:pPr>
        <w:suppressAutoHyphens/>
        <w:overflowPunct w:val="0"/>
        <w:autoSpaceDN/>
        <w:spacing w:line="240" w:lineRule="atLeast"/>
        <w:ind w:left="1134" w:firstLine="0"/>
        <w:textAlignment w:val="baseline"/>
        <w:rPr>
          <w:rFonts w:cs="Arial"/>
          <w:szCs w:val="20"/>
        </w:rPr>
      </w:pPr>
      <w:r>
        <w:t>Appendice 1 - Appendice alla registrazione dei parametri dell'impianto di depurazione di bordo</w:t>
      </w:r>
    </w:p>
    <w:p w:rsidR="009C13A9" w:rsidRPr="00C903F8" w:rsidRDefault="009C13A9" w:rsidP="009C13A9">
      <w:pPr>
        <w:suppressAutoHyphens/>
        <w:overflowPunct w:val="0"/>
        <w:autoSpaceDN/>
        <w:spacing w:line="240" w:lineRule="atLeast"/>
        <w:ind w:left="1134" w:firstLine="0"/>
        <w:textAlignment w:val="baseline"/>
        <w:rPr>
          <w:rFonts w:cs="Arial"/>
          <w:szCs w:val="20"/>
        </w:rPr>
      </w:pPr>
    </w:p>
    <w:p w:rsidR="009E363E" w:rsidRPr="00C903F8" w:rsidRDefault="009E363E" w:rsidP="009E363E">
      <w:pPr>
        <w:suppressAutoHyphens/>
        <w:autoSpaceDE/>
        <w:autoSpaceDN/>
        <w:spacing w:line="240" w:lineRule="atLeast"/>
        <w:ind w:left="1134" w:hanging="1134"/>
        <w:rPr>
          <w:rFonts w:cs="Arial"/>
          <w:szCs w:val="20"/>
        </w:rPr>
      </w:pPr>
      <w:r>
        <w:rPr>
          <w:b/>
        </w:rPr>
        <w:t>Sezione IX</w:t>
      </w:r>
      <w:r>
        <w:tab/>
      </w:r>
      <w:r>
        <w:rPr>
          <w:noProof/>
          <w:color w:val="000000"/>
        </w:rPr>
        <w:t>Procedimento di prova</w:t>
      </w:r>
    </w:p>
    <w:p w:rsidR="009C13A9" w:rsidRPr="00C903F8" w:rsidRDefault="009C13A9" w:rsidP="009C13A9">
      <w:pPr>
        <w:suppressAutoHyphens/>
        <w:overflowPunct w:val="0"/>
        <w:autoSpaceDN/>
        <w:spacing w:line="240" w:lineRule="atLeast"/>
        <w:ind w:left="1134" w:firstLine="0"/>
        <w:textAlignment w:val="baseline"/>
        <w:rPr>
          <w:rFonts w:cs="Arial"/>
          <w:szCs w:val="20"/>
        </w:rPr>
      </w:pPr>
    </w:p>
    <w:p w:rsidR="009C13A9" w:rsidRPr="00C903F8" w:rsidRDefault="009C13A9" w:rsidP="009C13A9">
      <w:pPr>
        <w:suppressAutoHyphens/>
        <w:overflowPunct w:val="0"/>
        <w:autoSpaceDN/>
        <w:spacing w:line="240" w:lineRule="atLeast"/>
        <w:ind w:left="1134" w:firstLine="0"/>
        <w:textAlignment w:val="baseline"/>
        <w:rPr>
          <w:rFonts w:cs="Arial"/>
          <w:szCs w:val="20"/>
        </w:rPr>
      </w:pPr>
    </w:p>
    <w:p w:rsidR="009C13A9" w:rsidRPr="00C903F8" w:rsidRDefault="009C13A9" w:rsidP="009C13A9">
      <w:pPr>
        <w:suppressAutoHyphens/>
        <w:overflowPunct w:val="0"/>
        <w:autoSpaceDN/>
        <w:spacing w:line="240" w:lineRule="atLeast"/>
        <w:ind w:left="1134" w:firstLine="0"/>
        <w:textAlignment w:val="baseline"/>
        <w:rPr>
          <w:rFonts w:cs="Arial"/>
          <w:szCs w:val="20"/>
        </w:rPr>
      </w:pPr>
      <w:r>
        <w:br w:type="page"/>
      </w:r>
    </w:p>
    <w:p w:rsidR="009C13A9" w:rsidRPr="00C903F8" w:rsidRDefault="009C13A9" w:rsidP="009C13A9">
      <w:pPr>
        <w:suppressAutoHyphens/>
        <w:overflowPunct w:val="0"/>
        <w:autoSpaceDN/>
        <w:spacing w:line="240" w:lineRule="atLeast"/>
        <w:ind w:left="1134" w:firstLine="0"/>
        <w:textAlignment w:val="baseline"/>
        <w:rPr>
          <w:rFonts w:cs="Arial"/>
          <w:szCs w:val="20"/>
        </w:rPr>
      </w:pPr>
    </w:p>
    <w:p w:rsidR="009C13A9" w:rsidRPr="00C903F8" w:rsidRDefault="009C13A9" w:rsidP="009C13A9">
      <w:pPr>
        <w:suppressAutoHyphens/>
        <w:overflowPunct w:val="0"/>
        <w:autoSpaceDN/>
        <w:spacing w:line="240" w:lineRule="atLeast"/>
        <w:ind w:left="1134" w:firstLine="0"/>
        <w:textAlignment w:val="baseline"/>
        <w:rPr>
          <w:rFonts w:cs="Arial"/>
          <w:szCs w:val="20"/>
        </w:rPr>
      </w:pPr>
    </w:p>
    <w:p w:rsidR="009C13A9" w:rsidRPr="00C903F8" w:rsidRDefault="009C13A9" w:rsidP="009C13A9">
      <w:pPr>
        <w:suppressAutoHyphens/>
        <w:overflowPunct w:val="0"/>
        <w:autoSpaceDN/>
        <w:spacing w:line="240" w:lineRule="atLeast"/>
        <w:ind w:left="1134" w:firstLine="0"/>
        <w:textAlignment w:val="baseline"/>
        <w:rPr>
          <w:rFonts w:cs="Arial"/>
          <w:szCs w:val="20"/>
        </w:rPr>
      </w:pPr>
    </w:p>
    <w:p w:rsidR="009C13A9" w:rsidRPr="00C903F8" w:rsidRDefault="009C13A9" w:rsidP="009C13A9">
      <w:pPr>
        <w:suppressAutoHyphens/>
        <w:overflowPunct w:val="0"/>
        <w:autoSpaceDN/>
        <w:spacing w:line="240" w:lineRule="atLeast"/>
        <w:ind w:left="1134" w:firstLine="0"/>
        <w:textAlignment w:val="baseline"/>
        <w:rPr>
          <w:rFonts w:cs="Arial"/>
          <w:szCs w:val="20"/>
        </w:rPr>
      </w:pPr>
    </w:p>
    <w:p w:rsidR="009C13A9" w:rsidRPr="00C903F8" w:rsidRDefault="009C13A9" w:rsidP="009C13A9">
      <w:pPr>
        <w:suppressAutoHyphens/>
        <w:overflowPunct w:val="0"/>
        <w:autoSpaceDN/>
        <w:spacing w:line="240" w:lineRule="atLeast"/>
        <w:ind w:left="1134" w:firstLine="0"/>
        <w:textAlignment w:val="baseline"/>
        <w:rPr>
          <w:rFonts w:cs="Arial"/>
          <w:szCs w:val="20"/>
        </w:rPr>
      </w:pPr>
    </w:p>
    <w:p w:rsidR="009C13A9" w:rsidRPr="00C903F8" w:rsidRDefault="009C13A9" w:rsidP="009C13A9">
      <w:pPr>
        <w:tabs>
          <w:tab w:val="center" w:pos="7956"/>
        </w:tabs>
        <w:suppressAutoHyphens/>
        <w:autoSpaceDE/>
        <w:autoSpaceDN/>
        <w:spacing w:line="240" w:lineRule="atLeast"/>
        <w:ind w:left="0" w:firstLine="0"/>
        <w:jc w:val="right"/>
        <w:rPr>
          <w:rFonts w:cs="Arial"/>
          <w:b/>
          <w:szCs w:val="20"/>
        </w:rPr>
        <w:sectPr w:rsidR="009C13A9" w:rsidRPr="00C903F8" w:rsidSect="00FB55E9">
          <w:footnotePr>
            <w:numRestart w:val="eachPage"/>
          </w:footnotePr>
          <w:pgSz w:w="11907" w:h="16840" w:code="9"/>
          <w:pgMar w:top="1361" w:right="1418" w:bottom="1361" w:left="1418" w:header="680" w:footer="680" w:gutter="0"/>
          <w:cols w:space="720"/>
          <w:docGrid w:linePitch="326"/>
        </w:sectPr>
      </w:pPr>
    </w:p>
    <w:p w:rsidR="009C13A9" w:rsidRPr="00C903F8" w:rsidRDefault="00925755" w:rsidP="00684B1D">
      <w:pPr>
        <w:pStyle w:val="ES-Titre3"/>
        <w:rPr>
          <w:noProof/>
        </w:rPr>
      </w:pPr>
      <w:bookmarkStart w:id="682" w:name="_Toc491854324"/>
      <w:bookmarkStart w:id="683" w:name="_Toc535500273"/>
      <w:r>
        <w:lastRenderedPageBreak/>
        <w:t>Sezione I</w:t>
      </w:r>
      <w:bookmarkEnd w:id="682"/>
      <w:bookmarkEnd w:id="683"/>
    </w:p>
    <w:p w:rsidR="009C13A9" w:rsidRPr="00C903F8" w:rsidRDefault="009C13A9" w:rsidP="00684B1D">
      <w:pPr>
        <w:pStyle w:val="ES-Titre3a"/>
        <w:rPr>
          <w:noProof/>
        </w:rPr>
      </w:pPr>
      <w:bookmarkStart w:id="684" w:name="_Toc491854325"/>
      <w:bookmarkStart w:id="685" w:name="_Toc535500274"/>
      <w:r>
        <w:t>Disposizioni supplementari</w:t>
      </w:r>
      <w:bookmarkEnd w:id="684"/>
      <w:bookmarkEnd w:id="685"/>
    </w:p>
    <w:p w:rsidR="009C13A9" w:rsidRPr="00C903F8" w:rsidRDefault="009C13A9" w:rsidP="009C13A9">
      <w:pPr>
        <w:ind w:left="709" w:hanging="709"/>
        <w:rPr>
          <w:noProof/>
        </w:rPr>
      </w:pPr>
    </w:p>
    <w:p w:rsidR="009C13A9" w:rsidRPr="00C903F8" w:rsidRDefault="009C13A9" w:rsidP="009C13A9">
      <w:pPr>
        <w:spacing w:line="240" w:lineRule="atLeast"/>
        <w:ind w:left="709" w:hanging="709"/>
        <w:rPr>
          <w:b/>
          <w:noProof/>
        </w:rPr>
      </w:pPr>
      <w:r>
        <w:rPr>
          <w:b/>
          <w:noProof/>
        </w:rPr>
        <w:t>1.</w:t>
      </w:r>
      <w:r>
        <w:tab/>
      </w:r>
      <w:r>
        <w:rPr>
          <w:b/>
          <w:noProof/>
        </w:rPr>
        <w:t>Marcatura degli impianti di depurazione di bordo</w:t>
      </w:r>
    </w:p>
    <w:p w:rsidR="009C13A9" w:rsidRPr="00C903F8" w:rsidRDefault="009C13A9" w:rsidP="009C13A9">
      <w:pPr>
        <w:spacing w:line="240" w:lineRule="atLeast"/>
        <w:ind w:left="709" w:hanging="709"/>
        <w:rPr>
          <w:noProof/>
        </w:rPr>
      </w:pPr>
    </w:p>
    <w:p w:rsidR="009C13A9" w:rsidRPr="00C903F8" w:rsidRDefault="009C13A9" w:rsidP="009C13A9">
      <w:pPr>
        <w:spacing w:line="240" w:lineRule="atLeast"/>
        <w:ind w:left="709" w:hanging="709"/>
        <w:rPr>
          <w:noProof/>
        </w:rPr>
      </w:pPr>
      <w:r>
        <w:t>1.1</w:t>
      </w:r>
      <w:r>
        <w:tab/>
        <w:t>L’impianto di depurazione di bordo sottoposto alla prova del tipo deve recare le seguenti informazioni (marcatura):</w:t>
      </w:r>
    </w:p>
    <w:p w:rsidR="009C13A9" w:rsidRPr="00C903F8" w:rsidRDefault="009C13A9" w:rsidP="009C13A9">
      <w:pPr>
        <w:tabs>
          <w:tab w:val="left" w:leader="dot" w:pos="9072"/>
        </w:tabs>
        <w:spacing w:line="240" w:lineRule="atLeast"/>
        <w:ind w:left="709" w:hanging="709"/>
        <w:rPr>
          <w:rFonts w:cs="Arial"/>
          <w:noProof/>
        </w:rPr>
      </w:pPr>
    </w:p>
    <w:p w:rsidR="009C13A9" w:rsidRPr="00C903F8" w:rsidRDefault="009C13A9" w:rsidP="009C13A9">
      <w:pPr>
        <w:spacing w:line="240" w:lineRule="atLeast"/>
        <w:ind w:left="709" w:hanging="709"/>
        <w:rPr>
          <w:noProof/>
        </w:rPr>
      </w:pPr>
      <w:r>
        <w:t>1.1.1</w:t>
      </w:r>
      <w:r>
        <w:tab/>
        <w:t>marchio o denominazione commerciale del costruttore;</w:t>
      </w:r>
    </w:p>
    <w:p w:rsidR="009C13A9" w:rsidRPr="00C903F8" w:rsidRDefault="009C13A9" w:rsidP="009C13A9">
      <w:pPr>
        <w:spacing w:line="240" w:lineRule="atLeast"/>
        <w:ind w:left="709" w:hanging="709"/>
        <w:rPr>
          <w:noProof/>
        </w:rPr>
      </w:pPr>
    </w:p>
    <w:p w:rsidR="009C13A9" w:rsidRPr="00C903F8" w:rsidRDefault="009C13A9" w:rsidP="009C13A9">
      <w:pPr>
        <w:spacing w:line="240" w:lineRule="atLeast"/>
        <w:ind w:left="709" w:hanging="709"/>
        <w:rPr>
          <w:noProof/>
        </w:rPr>
      </w:pPr>
      <w:r>
        <w:t>1.1.2</w:t>
      </w:r>
      <w:r>
        <w:tab/>
        <w:t>tipo e numero di serie dell’impianto di depurazione di bordo;</w:t>
      </w:r>
    </w:p>
    <w:p w:rsidR="009C13A9" w:rsidRPr="00C903F8" w:rsidRDefault="009C13A9" w:rsidP="009C13A9">
      <w:pPr>
        <w:spacing w:line="240" w:lineRule="atLeast"/>
        <w:ind w:left="709" w:hanging="709"/>
        <w:rPr>
          <w:noProof/>
        </w:rPr>
      </w:pPr>
    </w:p>
    <w:p w:rsidR="009C13A9" w:rsidRPr="00C903F8" w:rsidRDefault="009C13A9" w:rsidP="009C13A9">
      <w:pPr>
        <w:spacing w:line="240" w:lineRule="atLeast"/>
        <w:ind w:left="709" w:hanging="709"/>
        <w:rPr>
          <w:noProof/>
        </w:rPr>
      </w:pPr>
      <w:r>
        <w:t>1.1.3</w:t>
      </w:r>
      <w:r>
        <w:tab/>
        <w:t>numero di omologazione in conformità della sezione IV del presente allegato;</w:t>
      </w:r>
    </w:p>
    <w:p w:rsidR="009C13A9" w:rsidRPr="00C903F8" w:rsidRDefault="009C13A9" w:rsidP="009C13A9">
      <w:pPr>
        <w:spacing w:line="240" w:lineRule="atLeast"/>
        <w:ind w:left="709" w:hanging="709"/>
        <w:rPr>
          <w:noProof/>
        </w:rPr>
      </w:pPr>
    </w:p>
    <w:p w:rsidR="009C13A9" w:rsidRPr="00C903F8" w:rsidRDefault="009C13A9" w:rsidP="009C13A9">
      <w:pPr>
        <w:spacing w:line="240" w:lineRule="atLeast"/>
        <w:ind w:left="709" w:hanging="709"/>
        <w:rPr>
          <w:noProof/>
        </w:rPr>
      </w:pPr>
      <w:r>
        <w:t>1.1.4</w:t>
      </w:r>
      <w:r>
        <w:tab/>
        <w:t>anno di costruzione dell’impianto di depurazione di bordo.</w:t>
      </w:r>
    </w:p>
    <w:p w:rsidR="009C13A9" w:rsidRPr="00C903F8" w:rsidRDefault="009C13A9" w:rsidP="009C13A9">
      <w:pPr>
        <w:spacing w:line="240" w:lineRule="atLeast"/>
        <w:ind w:left="709" w:hanging="709"/>
        <w:rPr>
          <w:noProof/>
        </w:rPr>
      </w:pPr>
    </w:p>
    <w:p w:rsidR="009C13A9" w:rsidRPr="00C903F8" w:rsidRDefault="009C13A9" w:rsidP="009C13A9">
      <w:pPr>
        <w:spacing w:line="240" w:lineRule="atLeast"/>
        <w:ind w:left="709" w:hanging="709"/>
        <w:rPr>
          <w:noProof/>
        </w:rPr>
      </w:pPr>
      <w:r>
        <w:t>1.2</w:t>
      </w:r>
      <w:r>
        <w:tab/>
        <w:t>La marcatura di cui al punto 1.1 deve essere permanente, chiaramente leggibile e indelebile durante tutta la durata di vita dell'impianto di depurazione di bordo. Se sono utilizzate etichette o targhette adesive, esse devono essere apposte in modo tale da permanere in tale posizione per tutta la durata di vita dell'impianto di depurazione di bordo e da renderne impossibile la rimozione senza che ciò ne provochi la distruzione o l'illeggibilità.</w:t>
      </w:r>
    </w:p>
    <w:p w:rsidR="009C13A9" w:rsidRPr="00C903F8" w:rsidRDefault="009C13A9" w:rsidP="009C13A9">
      <w:pPr>
        <w:spacing w:line="240" w:lineRule="atLeast"/>
        <w:ind w:left="709" w:hanging="709"/>
        <w:rPr>
          <w:noProof/>
        </w:rPr>
      </w:pPr>
    </w:p>
    <w:p w:rsidR="009C13A9" w:rsidRPr="00C903F8" w:rsidRDefault="009C13A9" w:rsidP="009C13A9">
      <w:pPr>
        <w:spacing w:line="240" w:lineRule="atLeast"/>
        <w:ind w:left="709" w:hanging="709"/>
        <w:rPr>
          <w:noProof/>
        </w:rPr>
      </w:pPr>
      <w:r>
        <w:t>1.3</w:t>
      </w:r>
      <w:r>
        <w:tab/>
        <w:t>La marcatura deve essere affissa su una parte dell’impianto di depurazione di bordo necessaria per il normale funzionamento di tale impianto e che di norma non ha bisogno di essere sostituita nel corso della durata di vita dello stesso.</w:t>
      </w:r>
    </w:p>
    <w:p w:rsidR="009C13A9" w:rsidRPr="00C903F8" w:rsidRDefault="009C13A9" w:rsidP="009C13A9">
      <w:pPr>
        <w:spacing w:line="240" w:lineRule="atLeast"/>
        <w:ind w:left="709" w:hanging="709"/>
        <w:rPr>
          <w:noProof/>
        </w:rPr>
      </w:pPr>
    </w:p>
    <w:p w:rsidR="009C13A9" w:rsidRPr="00C903F8" w:rsidRDefault="009C13A9" w:rsidP="009C13A9">
      <w:pPr>
        <w:spacing w:line="240" w:lineRule="atLeast"/>
        <w:ind w:left="709" w:hanging="709"/>
        <w:rPr>
          <w:noProof/>
        </w:rPr>
      </w:pPr>
      <w:r>
        <w:t>1.3.1</w:t>
      </w:r>
      <w:r>
        <w:tab/>
        <w:t>La marcatura deve essere affissa in modo tale da essere chiaramente visibile anche dopo che sono stati montate sull’impianto di depurazione di bordo tutte le apparecchiature accessorie necessarie al suo funzionamento.</w:t>
      </w:r>
    </w:p>
    <w:p w:rsidR="009C13A9" w:rsidRPr="00C903F8" w:rsidRDefault="009C13A9" w:rsidP="009C13A9">
      <w:pPr>
        <w:spacing w:line="240" w:lineRule="atLeast"/>
        <w:ind w:left="709" w:hanging="709"/>
        <w:rPr>
          <w:noProof/>
        </w:rPr>
      </w:pPr>
    </w:p>
    <w:p w:rsidR="009C13A9" w:rsidRPr="00C903F8" w:rsidRDefault="009C13A9" w:rsidP="009C13A9">
      <w:pPr>
        <w:spacing w:line="240" w:lineRule="atLeast"/>
        <w:ind w:left="709" w:hanging="709"/>
        <w:rPr>
          <w:noProof/>
        </w:rPr>
      </w:pPr>
      <w:r>
        <w:t>1.3.2</w:t>
      </w:r>
      <w:r>
        <w:tab/>
        <w:t>Se necessario l'impianto di depurazione di bordo deve recare una targhetta supplementare asportabile costruita in un materiale resistente su cui sono riportate tutte le informazioni di cui al punto 1.1; tale targhetta deve essere affissa in modo tale che le informazioni siano chiaramente leggibili e facilmente accessibili anche dopo che l'impianto di depurazione di bordo è stato montato su un'imbarcazione.</w:t>
      </w:r>
    </w:p>
    <w:p w:rsidR="009C13A9" w:rsidRPr="00C903F8" w:rsidRDefault="009C13A9" w:rsidP="009C13A9">
      <w:pPr>
        <w:spacing w:line="240" w:lineRule="atLeast"/>
        <w:ind w:left="709" w:hanging="709"/>
        <w:rPr>
          <w:noProof/>
        </w:rPr>
      </w:pPr>
    </w:p>
    <w:p w:rsidR="009C13A9" w:rsidRPr="00C903F8" w:rsidRDefault="009C13A9" w:rsidP="009C13A9">
      <w:pPr>
        <w:spacing w:line="240" w:lineRule="atLeast"/>
        <w:ind w:left="709" w:hanging="709"/>
        <w:rPr>
          <w:noProof/>
        </w:rPr>
      </w:pPr>
      <w:r>
        <w:t>1.4</w:t>
      </w:r>
      <w:r>
        <w:tab/>
        <w:t>Tutte le parti dell’impianto di depurazione che possono avere un impatto sul trattamento delle acque reflue devono essere chiaramente marchiate e identificate.</w:t>
      </w:r>
    </w:p>
    <w:p w:rsidR="009C13A9" w:rsidRPr="00C903F8" w:rsidRDefault="009C13A9" w:rsidP="009C13A9">
      <w:pPr>
        <w:spacing w:line="240" w:lineRule="atLeast"/>
        <w:ind w:left="709" w:hanging="709"/>
        <w:rPr>
          <w:noProof/>
        </w:rPr>
      </w:pPr>
    </w:p>
    <w:p w:rsidR="009C13A9" w:rsidRPr="00C903F8" w:rsidRDefault="009C13A9" w:rsidP="009C13A9">
      <w:pPr>
        <w:spacing w:line="240" w:lineRule="atLeast"/>
        <w:ind w:left="709" w:hanging="709"/>
        <w:rPr>
          <w:noProof/>
        </w:rPr>
      </w:pPr>
      <w:r>
        <w:t>1.5</w:t>
      </w:r>
      <w:r>
        <w:tab/>
        <w:t>Nella sezione I del certificato di omologazione è indicata l'esatta ubicazione della marcatura di cui al punto 1.1.</w:t>
      </w:r>
    </w:p>
    <w:p w:rsidR="009C13A9" w:rsidRPr="00C903F8" w:rsidRDefault="009C13A9" w:rsidP="009C13A9">
      <w:pPr>
        <w:suppressAutoHyphens/>
        <w:autoSpaceDE/>
        <w:autoSpaceDN/>
        <w:spacing w:line="240" w:lineRule="atLeast"/>
        <w:ind w:left="709" w:hanging="709"/>
        <w:jc w:val="left"/>
        <w:rPr>
          <w:rFonts w:cs="Arial"/>
          <w:szCs w:val="20"/>
        </w:rPr>
      </w:pPr>
    </w:p>
    <w:p w:rsidR="009C13A9" w:rsidRPr="00C903F8" w:rsidRDefault="009C13A9" w:rsidP="009C13A9">
      <w:pPr>
        <w:spacing w:line="240" w:lineRule="atLeast"/>
        <w:ind w:left="709" w:hanging="709"/>
        <w:outlineLvl w:val="0"/>
        <w:rPr>
          <w:b/>
          <w:noProof/>
          <w:szCs w:val="20"/>
        </w:rPr>
      </w:pPr>
      <w:r>
        <w:rPr>
          <w:b/>
          <w:noProof/>
        </w:rPr>
        <w:t>2.</w:t>
      </w:r>
      <w:r>
        <w:tab/>
      </w:r>
      <w:r>
        <w:rPr>
          <w:b/>
          <w:noProof/>
        </w:rPr>
        <w:t>Prove</w:t>
      </w:r>
    </w:p>
    <w:p w:rsidR="009C13A9" w:rsidRPr="00C903F8" w:rsidRDefault="009C13A9" w:rsidP="009C13A9">
      <w:pPr>
        <w:spacing w:line="240" w:lineRule="atLeast"/>
        <w:ind w:left="709" w:hanging="709"/>
        <w:rPr>
          <w:noProof/>
          <w:szCs w:val="20"/>
        </w:rPr>
      </w:pPr>
    </w:p>
    <w:p w:rsidR="009C13A9" w:rsidRPr="00C903F8" w:rsidRDefault="009C13A9" w:rsidP="009C13A9">
      <w:pPr>
        <w:spacing w:line="240" w:lineRule="atLeast"/>
        <w:ind w:left="709" w:firstLine="0"/>
        <w:rPr>
          <w:noProof/>
          <w:szCs w:val="20"/>
        </w:rPr>
      </w:pPr>
      <w:r>
        <w:t xml:space="preserve">Nella sezione IX è illustrata la procedura di prova degli impianti di depurazione di bordo. </w:t>
      </w:r>
    </w:p>
    <w:p w:rsidR="009C13A9" w:rsidRPr="00C903F8" w:rsidRDefault="009C13A9" w:rsidP="009C13A9">
      <w:pPr>
        <w:spacing w:line="240" w:lineRule="atLeast"/>
        <w:ind w:left="709" w:hanging="709"/>
        <w:rPr>
          <w:noProof/>
          <w:szCs w:val="20"/>
        </w:rPr>
      </w:pPr>
    </w:p>
    <w:p w:rsidR="009C13A9" w:rsidRPr="00C903F8" w:rsidRDefault="009C13A9" w:rsidP="009C13A9">
      <w:pPr>
        <w:spacing w:line="240" w:lineRule="atLeast"/>
        <w:ind w:left="709" w:hanging="709"/>
        <w:rPr>
          <w:noProof/>
          <w:szCs w:val="20"/>
        </w:rPr>
      </w:pPr>
      <w:r>
        <w:br w:type="page"/>
      </w:r>
    </w:p>
    <w:p w:rsidR="009C13A9" w:rsidRPr="00C903F8" w:rsidRDefault="009C13A9" w:rsidP="009C13A9">
      <w:pPr>
        <w:spacing w:line="240" w:lineRule="atLeast"/>
        <w:ind w:left="709" w:hanging="709"/>
        <w:outlineLvl w:val="0"/>
        <w:rPr>
          <w:b/>
          <w:noProof/>
          <w:szCs w:val="20"/>
        </w:rPr>
      </w:pPr>
      <w:r>
        <w:rPr>
          <w:b/>
          <w:noProof/>
        </w:rPr>
        <w:lastRenderedPageBreak/>
        <w:t>3.</w:t>
      </w:r>
      <w:r>
        <w:tab/>
      </w:r>
      <w:r>
        <w:rPr>
          <w:b/>
          <w:noProof/>
        </w:rPr>
        <w:t>Valutazione della conformità della produzione</w:t>
      </w:r>
    </w:p>
    <w:p w:rsidR="009C13A9" w:rsidRPr="00C903F8" w:rsidRDefault="009C13A9" w:rsidP="009C13A9">
      <w:pPr>
        <w:spacing w:line="240" w:lineRule="atLeast"/>
        <w:ind w:left="709" w:hanging="709"/>
        <w:outlineLvl w:val="0"/>
        <w:rPr>
          <w:b/>
          <w:noProof/>
          <w:szCs w:val="20"/>
        </w:rPr>
      </w:pPr>
    </w:p>
    <w:p w:rsidR="009C13A9" w:rsidRPr="00C903F8" w:rsidRDefault="009C13A9" w:rsidP="009C13A9">
      <w:pPr>
        <w:spacing w:line="240" w:lineRule="atLeast"/>
        <w:ind w:left="709" w:hanging="709"/>
        <w:rPr>
          <w:noProof/>
          <w:szCs w:val="20"/>
        </w:rPr>
      </w:pPr>
      <w:r>
        <w:t>3.1</w:t>
      </w:r>
      <w:r>
        <w:tab/>
      </w:r>
      <w:r>
        <w:rPr>
          <w:rFonts w:ascii="ArialMT" w:hAnsi="ArialMT"/>
        </w:rPr>
        <w:t xml:space="preserve">Per quanto concerne la verifica dell'esistenza di disposizioni e procedure soddisfacenti per garantire un effettivo controllo della conformità della produzione preliminarmente al rilascio dell'omologazione, l'autorità competente è tenuta ad accettare, come rispondente ai requisiti, la conformità del costruttore alla norma armonizzata EN ISO 9001: 2015 (il cui campo di applicazione riguarda la produzione degli impianti di depurazione di bordo di cui trattasi) o a una norma di accreditamento equivalente. </w:t>
      </w:r>
      <w:r>
        <w:t xml:space="preserve">Il costruttore deve fornire i dettagli della registrazione e impegnarsi ad informare l’autorità competente di qualsiasi revisione della sua validità o campo di applicazione. Per accertare il coerente rispetto delle disposizioni dell'articolo 18.01, paragrafi da 2 a 5, devono essere eseguite adeguate ispezioni della produzione. </w:t>
      </w:r>
    </w:p>
    <w:p w:rsidR="009C13A9" w:rsidRPr="00C903F8" w:rsidRDefault="009C13A9" w:rsidP="009C13A9">
      <w:pPr>
        <w:spacing w:line="240" w:lineRule="atLeast"/>
        <w:ind w:left="709" w:hanging="709"/>
        <w:rPr>
          <w:noProof/>
          <w:szCs w:val="20"/>
        </w:rPr>
      </w:pPr>
    </w:p>
    <w:p w:rsidR="009C13A9" w:rsidRPr="00C903F8" w:rsidRDefault="009C13A9" w:rsidP="009C13A9">
      <w:pPr>
        <w:spacing w:line="240" w:lineRule="atLeast"/>
        <w:ind w:left="709" w:hanging="709"/>
        <w:rPr>
          <w:noProof/>
          <w:szCs w:val="20"/>
        </w:rPr>
      </w:pPr>
      <w:r>
        <w:t>3.2</w:t>
      </w:r>
      <w:r>
        <w:tab/>
        <w:t>Il titolare dell’omologazione è tenuto a:</w:t>
      </w:r>
    </w:p>
    <w:p w:rsidR="009C13A9" w:rsidRPr="00C903F8" w:rsidRDefault="009C13A9" w:rsidP="009C13A9">
      <w:pPr>
        <w:spacing w:line="240" w:lineRule="atLeast"/>
        <w:ind w:left="709" w:hanging="709"/>
        <w:rPr>
          <w:noProof/>
          <w:szCs w:val="20"/>
        </w:rPr>
      </w:pPr>
    </w:p>
    <w:p w:rsidR="009C13A9" w:rsidRPr="00C903F8" w:rsidRDefault="009C13A9" w:rsidP="009C13A9">
      <w:pPr>
        <w:spacing w:line="240" w:lineRule="atLeast"/>
        <w:ind w:left="709" w:hanging="709"/>
        <w:rPr>
          <w:noProof/>
          <w:szCs w:val="20"/>
        </w:rPr>
      </w:pPr>
      <w:r>
        <w:t>3.2.1</w:t>
      </w:r>
      <w:r>
        <w:tab/>
        <w:t xml:space="preserve">garantire l’esistenza di procedure efficaci di controllo della qualità del prodotto; </w:t>
      </w:r>
    </w:p>
    <w:p w:rsidR="009C13A9" w:rsidRPr="00C903F8" w:rsidRDefault="009C13A9" w:rsidP="009C13A9">
      <w:pPr>
        <w:spacing w:line="240" w:lineRule="atLeast"/>
        <w:ind w:left="709" w:hanging="709"/>
        <w:rPr>
          <w:noProof/>
          <w:szCs w:val="20"/>
        </w:rPr>
      </w:pPr>
    </w:p>
    <w:p w:rsidR="009C13A9" w:rsidRPr="00C903F8" w:rsidRDefault="009C13A9" w:rsidP="009C13A9">
      <w:pPr>
        <w:spacing w:line="240" w:lineRule="atLeast"/>
        <w:ind w:left="709" w:hanging="709"/>
        <w:rPr>
          <w:noProof/>
          <w:szCs w:val="20"/>
        </w:rPr>
      </w:pPr>
      <w:r>
        <w:t>3.2.2</w:t>
      </w:r>
      <w:r>
        <w:tab/>
        <w:t xml:space="preserve">avere accesso all'apparecchiatura di prova necessaria per il controllo della conformità di ciascun tipo omologato; </w:t>
      </w:r>
    </w:p>
    <w:p w:rsidR="009C13A9" w:rsidRPr="00C903F8" w:rsidRDefault="009C13A9" w:rsidP="009C13A9">
      <w:pPr>
        <w:ind w:left="850" w:hanging="850"/>
        <w:rPr>
          <w:noProof/>
          <w:szCs w:val="20"/>
        </w:rPr>
      </w:pPr>
    </w:p>
    <w:p w:rsidR="009C13A9" w:rsidRPr="00C903F8" w:rsidRDefault="009C13A9" w:rsidP="009C13A9">
      <w:pPr>
        <w:spacing w:line="240" w:lineRule="atLeast"/>
        <w:ind w:left="709" w:hanging="709"/>
        <w:rPr>
          <w:noProof/>
          <w:szCs w:val="20"/>
        </w:rPr>
      </w:pPr>
      <w:r>
        <w:t>3.2.3</w:t>
      </w:r>
      <w:r>
        <w:tab/>
        <w:t xml:space="preserve">accertarsi che i risultati delle prove siano registrati e che le registrazioni e la relativa documentazione restino disponibili per un periodo da concordare con l’autorità competente; </w:t>
      </w:r>
    </w:p>
    <w:p w:rsidR="009C13A9" w:rsidRPr="00C903F8" w:rsidRDefault="009C13A9" w:rsidP="009C13A9">
      <w:pPr>
        <w:spacing w:line="240" w:lineRule="atLeast"/>
        <w:ind w:left="709" w:hanging="709"/>
        <w:rPr>
          <w:noProof/>
          <w:szCs w:val="20"/>
        </w:rPr>
      </w:pPr>
    </w:p>
    <w:p w:rsidR="009C13A9" w:rsidRPr="00C903F8" w:rsidRDefault="009C13A9" w:rsidP="009C13A9">
      <w:pPr>
        <w:spacing w:line="240" w:lineRule="atLeast"/>
        <w:ind w:left="709" w:hanging="709"/>
        <w:rPr>
          <w:noProof/>
          <w:szCs w:val="20"/>
        </w:rPr>
      </w:pPr>
      <w:r>
        <w:t>3.2.4</w:t>
      </w:r>
      <w:r>
        <w:tab/>
        <w:t xml:space="preserve">analizzare attentamente i risultati di ciascuna prova in modo da verificare e garantire la conformità con le caratteristiche dell'impianto di depurazione di bordo, tenendo conto delle normali variazioni nella produzione di serie; </w:t>
      </w:r>
    </w:p>
    <w:p w:rsidR="009C13A9" w:rsidRPr="00C903F8" w:rsidRDefault="009C13A9" w:rsidP="009C13A9">
      <w:pPr>
        <w:spacing w:line="240" w:lineRule="atLeast"/>
        <w:ind w:left="709" w:hanging="709"/>
        <w:rPr>
          <w:noProof/>
          <w:szCs w:val="20"/>
        </w:rPr>
      </w:pPr>
    </w:p>
    <w:p w:rsidR="009C13A9" w:rsidRPr="00C903F8" w:rsidRDefault="009C13A9" w:rsidP="009C13A9">
      <w:pPr>
        <w:spacing w:line="240" w:lineRule="atLeast"/>
        <w:ind w:left="709" w:hanging="709"/>
        <w:rPr>
          <w:noProof/>
          <w:szCs w:val="20"/>
        </w:rPr>
      </w:pPr>
      <w:r>
        <w:t>3.2.5</w:t>
      </w:r>
      <w:r>
        <w:tab/>
        <w:t>garantire che eventuali campioni prelevati dagli impianti di depurazione di bordo o componenti sottoposti a prova che evidenzino nel tipo di prova in questione una manifesta non conformità siano oggetto di nuovi campionamenti o prove e che siano adottate tutte le misure necessarie per ripristinare la conformità della produzione.</w:t>
      </w:r>
    </w:p>
    <w:p w:rsidR="009C13A9" w:rsidRPr="00C903F8" w:rsidRDefault="009C13A9" w:rsidP="009C13A9">
      <w:pPr>
        <w:spacing w:line="240" w:lineRule="atLeast"/>
        <w:ind w:left="709" w:hanging="709"/>
        <w:rPr>
          <w:noProof/>
          <w:szCs w:val="20"/>
        </w:rPr>
      </w:pPr>
    </w:p>
    <w:p w:rsidR="009C13A9" w:rsidRPr="00C903F8" w:rsidRDefault="009C13A9" w:rsidP="009C13A9">
      <w:pPr>
        <w:spacing w:line="240" w:lineRule="atLeast"/>
        <w:ind w:left="709" w:hanging="709"/>
        <w:rPr>
          <w:noProof/>
          <w:szCs w:val="20"/>
        </w:rPr>
      </w:pPr>
      <w:r>
        <w:t>3.3</w:t>
      </w:r>
      <w:r>
        <w:tab/>
        <w:t>L’autorità competente che ha concesso l’omologazione del tipo può in ogni momento verificare i metodi di controllo della conformità applicati in ciascuna unità produttiva.</w:t>
      </w:r>
    </w:p>
    <w:p w:rsidR="009C13A9" w:rsidRPr="00C903F8" w:rsidRDefault="009C13A9" w:rsidP="009C13A9">
      <w:pPr>
        <w:spacing w:line="240" w:lineRule="atLeast"/>
        <w:ind w:left="709" w:hanging="709"/>
        <w:rPr>
          <w:noProof/>
          <w:szCs w:val="20"/>
        </w:rPr>
      </w:pPr>
    </w:p>
    <w:p w:rsidR="009C13A9" w:rsidRPr="00C903F8" w:rsidRDefault="009C13A9" w:rsidP="009C13A9">
      <w:pPr>
        <w:spacing w:line="240" w:lineRule="atLeast"/>
        <w:ind w:left="709" w:hanging="709"/>
        <w:rPr>
          <w:noProof/>
          <w:szCs w:val="20"/>
        </w:rPr>
      </w:pPr>
      <w:r>
        <w:t>3.3.1</w:t>
      </w:r>
      <w:r>
        <w:tab/>
        <w:t>La documentazione di produzione e di prova deve essere messa a disposizione del personale che esegue le prove in occasione di ciascuna di esse.</w:t>
      </w:r>
    </w:p>
    <w:p w:rsidR="009C13A9" w:rsidRPr="00C903F8" w:rsidRDefault="009C13A9" w:rsidP="009C13A9">
      <w:pPr>
        <w:spacing w:line="240" w:lineRule="atLeast"/>
        <w:ind w:left="709" w:hanging="709"/>
        <w:rPr>
          <w:noProof/>
          <w:szCs w:val="20"/>
        </w:rPr>
      </w:pPr>
    </w:p>
    <w:p w:rsidR="009C13A9" w:rsidRPr="00C903F8" w:rsidRDefault="009C13A9" w:rsidP="009C13A9">
      <w:pPr>
        <w:spacing w:line="240" w:lineRule="atLeast"/>
        <w:ind w:left="709" w:hanging="709"/>
        <w:rPr>
          <w:noProof/>
          <w:szCs w:val="20"/>
        </w:rPr>
      </w:pPr>
      <w:r>
        <w:t>3.3.2</w:t>
      </w:r>
      <w:r>
        <w:tab/>
        <w:t>Qualora la qualità delle prove si riveli insoddisfacente si applica la seguente procedura:</w:t>
      </w:r>
    </w:p>
    <w:p w:rsidR="009C13A9" w:rsidRPr="00C903F8" w:rsidRDefault="009C13A9" w:rsidP="009C13A9">
      <w:pPr>
        <w:spacing w:line="240" w:lineRule="atLeast"/>
        <w:ind w:left="709" w:hanging="709"/>
        <w:rPr>
          <w:noProof/>
          <w:szCs w:val="20"/>
        </w:rPr>
      </w:pPr>
    </w:p>
    <w:p w:rsidR="009C13A9" w:rsidRPr="00C903F8" w:rsidRDefault="009C13A9" w:rsidP="009C13A9">
      <w:pPr>
        <w:spacing w:line="240" w:lineRule="atLeast"/>
        <w:ind w:left="709" w:hanging="709"/>
        <w:rPr>
          <w:noProof/>
          <w:szCs w:val="20"/>
        </w:rPr>
      </w:pPr>
      <w:r>
        <w:t>3.3.2.1</w:t>
      </w:r>
      <w:r>
        <w:tab/>
        <w:t>si preleva dalla produzione di serie un impianto di depurazione di bordo e lo si sottopone a prova mediante misurazione di campioni prelevati a caso nelle condizioni normali di carico di cui alla sezione IX dopo una giornata di funzionamento. Conformemente ai metodi di prova di cui alla sezione IX, le acque reflue trattate non devono superare i valori di cui alla tabella 2 dell'articolo 18.01, paragrafo 2;</w:t>
      </w:r>
    </w:p>
    <w:p w:rsidR="009C13A9" w:rsidRPr="00C903F8" w:rsidRDefault="009C13A9" w:rsidP="009C13A9">
      <w:pPr>
        <w:tabs>
          <w:tab w:val="left" w:pos="709"/>
          <w:tab w:val="left" w:pos="851"/>
        </w:tabs>
        <w:suppressAutoHyphens/>
        <w:autoSpaceDE/>
        <w:autoSpaceDN/>
        <w:spacing w:line="240" w:lineRule="atLeast"/>
        <w:ind w:left="709" w:hanging="709"/>
        <w:rPr>
          <w:noProof/>
          <w:szCs w:val="20"/>
        </w:rPr>
      </w:pPr>
    </w:p>
    <w:p w:rsidR="009C13A9" w:rsidRPr="00C903F8" w:rsidRDefault="009C13A9" w:rsidP="009C13A9">
      <w:pPr>
        <w:tabs>
          <w:tab w:val="left" w:pos="709"/>
          <w:tab w:val="left" w:pos="851"/>
        </w:tabs>
        <w:suppressAutoHyphens/>
        <w:autoSpaceDE/>
        <w:autoSpaceDN/>
        <w:spacing w:line="240" w:lineRule="atLeast"/>
        <w:ind w:left="709" w:hanging="709"/>
        <w:rPr>
          <w:noProof/>
          <w:szCs w:val="20"/>
        </w:rPr>
      </w:pPr>
      <w:r>
        <w:br w:type="page"/>
      </w:r>
    </w:p>
    <w:p w:rsidR="009C13A9" w:rsidRDefault="009C13A9" w:rsidP="009C13A9">
      <w:pPr>
        <w:tabs>
          <w:tab w:val="left" w:pos="709"/>
          <w:tab w:val="left" w:pos="851"/>
        </w:tabs>
        <w:suppressAutoHyphens/>
        <w:autoSpaceDE/>
        <w:autoSpaceDN/>
        <w:spacing w:line="240" w:lineRule="atLeast"/>
        <w:ind w:left="709" w:hanging="709"/>
        <w:rPr>
          <w:noProof/>
          <w:szCs w:val="20"/>
        </w:rPr>
      </w:pPr>
      <w:r>
        <w:lastRenderedPageBreak/>
        <w:t>3.3.2.2</w:t>
      </w:r>
      <w:r>
        <w:tab/>
        <w:t xml:space="preserve">qualora un impianto di depurazione di bordo prelevato dalla produzione di serie non soddisfi i requisiti di cui al punto 3.3.2.1, il costruttore può chiedere che vengano effettuate misurazioni di campioni scelti a caso su un a serie di impianti di depurazione di bordo con le stesse specifiche prelevati dalla produzione di serie. Il nuovo campionamento deve includere il primo impianto di depurazione di bordo inizialmente sottoposto a campionamento. </w:t>
      </w:r>
    </w:p>
    <w:p w:rsidR="00FF6A33" w:rsidRPr="00C903F8" w:rsidRDefault="00FF6A33" w:rsidP="009C13A9">
      <w:pPr>
        <w:tabs>
          <w:tab w:val="left" w:pos="709"/>
          <w:tab w:val="left" w:pos="851"/>
        </w:tabs>
        <w:suppressAutoHyphens/>
        <w:autoSpaceDE/>
        <w:autoSpaceDN/>
        <w:spacing w:line="240" w:lineRule="atLeast"/>
        <w:ind w:left="709" w:hanging="709"/>
        <w:rPr>
          <w:noProof/>
          <w:szCs w:val="20"/>
        </w:rPr>
      </w:pPr>
    </w:p>
    <w:p w:rsidR="009C13A9" w:rsidRPr="00C903F8" w:rsidRDefault="009C13A9" w:rsidP="009C13A9">
      <w:pPr>
        <w:tabs>
          <w:tab w:val="left" w:pos="709"/>
        </w:tabs>
        <w:suppressAutoHyphens/>
        <w:autoSpaceDE/>
        <w:autoSpaceDN/>
        <w:spacing w:line="240" w:lineRule="atLeast"/>
        <w:ind w:left="709" w:firstLine="0"/>
        <w:rPr>
          <w:noProof/>
          <w:szCs w:val="20"/>
        </w:rPr>
      </w:pPr>
      <w:r>
        <w:t xml:space="preserve">Il costruttore determina la dimensione </w:t>
      </w:r>
      <m:oMath>
        <m:r>
          <w:rPr>
            <w:rFonts w:ascii="Cambria Math" w:hAnsi="Cambria Math"/>
            <w:noProof/>
            <w:szCs w:val="20"/>
          </w:rPr>
          <m:t>'n'</m:t>
        </m:r>
      </m:oMath>
      <w:r>
        <w:t xml:space="preserve"> della serie in consultazione con l'autorità competente. Gli impianti di depurazione di bordo, ad eccezione di quello iniziale, sono sottoposti a prova mediante misurazione di campioni prelevati a caso. Si determina quindi la media aritmetica </w:t>
      </w:r>
      <m:oMath>
        <m:r>
          <w:rPr>
            <w:rFonts w:ascii="Cambria Math" w:hAnsi="Cambria Math"/>
            <w:noProof/>
            <w:szCs w:val="20"/>
          </w:rPr>
          <m:t>(</m:t>
        </m:r>
        <m:acc>
          <m:accPr>
            <m:chr m:val="̅"/>
            <m:ctrlPr>
              <w:rPr>
                <w:rFonts w:ascii="Cambria Math" w:hAnsi="Cambria Math"/>
                <w:i/>
                <w:noProof/>
                <w:szCs w:val="20"/>
              </w:rPr>
            </m:ctrlPr>
          </m:accPr>
          <m:e>
            <m:r>
              <w:rPr>
                <w:rFonts w:ascii="Cambria Math" w:hAnsi="Cambria Math"/>
                <w:noProof/>
                <w:szCs w:val="20"/>
              </w:rPr>
              <m:t>x</m:t>
            </m:r>
          </m:e>
        </m:acc>
        <m:r>
          <w:rPr>
            <w:rFonts w:ascii="Cambria Math" w:hAnsi="Cambria Math"/>
            <w:noProof/>
            <w:szCs w:val="20"/>
          </w:rPr>
          <m:t>)</m:t>
        </m:r>
      </m:oMath>
      <w:r>
        <w:t xml:space="preserve"> dei risultati ottenuti dalla misurazione dei campioni dell'impianto di depurazione di bordo prelevati a caso. La produzione di serie è considerata conforme ai requisiti se è soddisfatta la seguente condizione:</w:t>
      </w:r>
    </w:p>
    <w:p w:rsidR="009C13A9" w:rsidRPr="00C903F8" w:rsidRDefault="009C13A9" w:rsidP="007D3F2F">
      <w:pPr>
        <w:suppressAutoHyphens/>
        <w:autoSpaceDE/>
        <w:autoSpaceDN/>
        <w:spacing w:line="240" w:lineRule="atLeast"/>
        <w:ind w:left="0" w:firstLine="0"/>
        <w:rPr>
          <w:noProof/>
          <w:szCs w:val="20"/>
        </w:rPr>
      </w:pPr>
    </w:p>
    <w:p w:rsidR="007D3F2F" w:rsidRPr="00C903F8" w:rsidRDefault="00624017" w:rsidP="007D3F2F">
      <w:pPr>
        <w:suppressAutoHyphens/>
        <w:autoSpaceDE/>
        <w:autoSpaceDN/>
        <w:spacing w:line="240" w:lineRule="atLeast"/>
        <w:ind w:left="0" w:firstLine="0"/>
        <w:rPr>
          <w:noProof/>
          <w:szCs w:val="20"/>
        </w:rPr>
      </w:pPr>
      <m:oMathPara>
        <m:oMath>
          <m:acc>
            <m:accPr>
              <m:chr m:val="̅"/>
              <m:ctrlPr>
                <w:rPr>
                  <w:rFonts w:ascii="Cambria Math" w:hAnsi="Cambria Math"/>
                  <w:i/>
                  <w:noProof/>
                  <w:szCs w:val="20"/>
                </w:rPr>
              </m:ctrlPr>
            </m:accPr>
            <m:e>
              <m:r>
                <w:rPr>
                  <w:rFonts w:ascii="Cambria Math" w:hAnsi="Cambria Math"/>
                  <w:noProof/>
                  <w:szCs w:val="20"/>
                </w:rPr>
                <m:t>x</m:t>
              </m:r>
            </m:e>
          </m:acc>
          <m:r>
            <w:rPr>
              <w:rFonts w:ascii="Cambria Math" w:hAnsi="Cambria Math"/>
              <w:noProof/>
              <w:szCs w:val="20"/>
            </w:rPr>
            <m:t xml:space="preserve">+k ∙ </m:t>
          </m:r>
          <m:sSub>
            <m:sSubPr>
              <m:ctrlPr>
                <w:rPr>
                  <w:rFonts w:ascii="Cambria Math" w:hAnsi="Cambria Math"/>
                  <w:i/>
                  <w:noProof/>
                  <w:szCs w:val="20"/>
                </w:rPr>
              </m:ctrlPr>
            </m:sSubPr>
            <m:e>
              <m:r>
                <w:rPr>
                  <w:rFonts w:ascii="Cambria Math" w:hAnsi="Cambria Math"/>
                  <w:noProof/>
                  <w:szCs w:val="20"/>
                </w:rPr>
                <m:t>S</m:t>
              </m:r>
            </m:e>
            <m:sub>
              <m:r>
                <w:rPr>
                  <w:rFonts w:ascii="Cambria Math" w:hAnsi="Cambria Math"/>
                  <w:noProof/>
                  <w:szCs w:val="20"/>
                </w:rPr>
                <m:t>t</m:t>
              </m:r>
            </m:sub>
          </m:sSub>
          <m:r>
            <w:rPr>
              <w:rFonts w:ascii="Cambria Math" w:hAnsi="Cambria Math"/>
              <w:noProof/>
              <w:szCs w:val="20"/>
            </w:rPr>
            <m:t xml:space="preserve"> ≤L</m:t>
          </m:r>
        </m:oMath>
      </m:oMathPara>
    </w:p>
    <w:p w:rsidR="007D3F2F" w:rsidRPr="00C903F8" w:rsidRDefault="007D3F2F" w:rsidP="009C13A9">
      <w:pPr>
        <w:tabs>
          <w:tab w:val="left" w:pos="709"/>
        </w:tabs>
        <w:suppressAutoHyphens/>
        <w:overflowPunct w:val="0"/>
        <w:autoSpaceDN/>
        <w:spacing w:line="240" w:lineRule="atLeast"/>
        <w:ind w:left="709" w:firstLine="0"/>
        <w:textAlignment w:val="baseline"/>
        <w:rPr>
          <w:rFonts w:cs="Arial"/>
          <w:szCs w:val="20"/>
        </w:rPr>
      </w:pPr>
    </w:p>
    <w:p w:rsidR="009C13A9" w:rsidRPr="00C903F8" w:rsidRDefault="009C13A9" w:rsidP="009C13A9">
      <w:pPr>
        <w:tabs>
          <w:tab w:val="left" w:pos="709"/>
        </w:tabs>
        <w:suppressAutoHyphens/>
        <w:overflowPunct w:val="0"/>
        <w:autoSpaceDN/>
        <w:spacing w:line="240" w:lineRule="atLeast"/>
        <w:ind w:left="709" w:firstLine="0"/>
        <w:textAlignment w:val="baseline"/>
        <w:rPr>
          <w:rFonts w:cs="Arial"/>
          <w:szCs w:val="20"/>
        </w:rPr>
      </w:pPr>
      <w:r>
        <w:t>dove:</w:t>
      </w:r>
    </w:p>
    <w:p w:rsidR="009C13A9" w:rsidRPr="00C903F8" w:rsidRDefault="009C13A9" w:rsidP="009C13A9">
      <w:pPr>
        <w:tabs>
          <w:tab w:val="left" w:pos="709"/>
          <w:tab w:val="left" w:pos="851"/>
        </w:tabs>
        <w:suppressAutoHyphens/>
        <w:autoSpaceDE/>
        <w:autoSpaceDN/>
        <w:spacing w:line="240" w:lineRule="atLeast"/>
        <w:ind w:left="709" w:hanging="709"/>
        <w:rPr>
          <w:rFonts w:cs="Arial"/>
          <w:szCs w:val="20"/>
        </w:rPr>
      </w:pPr>
      <w:r>
        <w:tab/>
      </w:r>
      <m:oMath>
        <m:r>
          <w:rPr>
            <w:rFonts w:ascii="Cambria Math" w:hAnsi="Cambria Math" w:cs="Arial"/>
            <w:szCs w:val="20"/>
          </w:rPr>
          <m:t>k</m:t>
        </m:r>
      </m:oMath>
      <w:r>
        <w:t>:</w:t>
      </w:r>
      <w:r>
        <w:tab/>
        <w:t xml:space="preserve">è un fattore statistico che dipende da </w:t>
      </w:r>
      <m:oMath>
        <m:r>
          <w:rPr>
            <w:rFonts w:ascii="Cambria Math" w:hAnsi="Cambria Math"/>
            <w:noProof/>
            <w:szCs w:val="20"/>
          </w:rPr>
          <m:t>'n'</m:t>
        </m:r>
      </m:oMath>
      <w:r>
        <w:t xml:space="preserve"> e che è dato dalla tabella seguente:</w:t>
      </w:r>
    </w:p>
    <w:p w:rsidR="009C13A9" w:rsidRPr="00C903F8" w:rsidRDefault="009C13A9" w:rsidP="009C13A9">
      <w:pPr>
        <w:tabs>
          <w:tab w:val="left" w:pos="709"/>
          <w:tab w:val="left" w:pos="851"/>
        </w:tabs>
        <w:suppressAutoHyphens/>
        <w:autoSpaceDE/>
        <w:autoSpaceDN/>
        <w:spacing w:line="240" w:lineRule="atLeast"/>
        <w:ind w:left="709" w:hanging="709"/>
        <w:rPr>
          <w:rFonts w:cs="Arial"/>
          <w:szCs w:val="20"/>
        </w:rPr>
      </w:pPr>
    </w:p>
    <w:tbl>
      <w:tblPr>
        <w:tblW w:w="0" w:type="auto"/>
        <w:jc w:val="center"/>
        <w:tblLayout w:type="fixed"/>
        <w:tblCellMar>
          <w:left w:w="70" w:type="dxa"/>
          <w:right w:w="70" w:type="dxa"/>
        </w:tblCellMar>
        <w:tblLook w:val="0000" w:firstRow="0" w:lastRow="0" w:firstColumn="0" w:lastColumn="0" w:noHBand="0" w:noVBand="0"/>
      </w:tblPr>
      <w:tblGrid>
        <w:gridCol w:w="709"/>
        <w:gridCol w:w="850"/>
        <w:gridCol w:w="851"/>
        <w:gridCol w:w="850"/>
        <w:gridCol w:w="851"/>
        <w:gridCol w:w="850"/>
        <w:gridCol w:w="851"/>
        <w:gridCol w:w="850"/>
        <w:gridCol w:w="851"/>
        <w:gridCol w:w="975"/>
      </w:tblGrid>
      <w:tr w:rsidR="009C13A9" w:rsidRPr="00C903F8" w:rsidTr="009C13A9">
        <w:trPr>
          <w:jc w:val="center"/>
        </w:trPr>
        <w:tc>
          <w:tcPr>
            <w:tcW w:w="709" w:type="dxa"/>
            <w:tcBorders>
              <w:top w:val="single" w:sz="4" w:space="0" w:color="000000"/>
              <w:left w:val="single" w:sz="4" w:space="0" w:color="000000"/>
              <w:bottom w:val="single" w:sz="4" w:space="0" w:color="000000"/>
            </w:tcBorders>
          </w:tcPr>
          <w:p w:rsidR="009C13A9" w:rsidRPr="00C903F8" w:rsidRDefault="007D3F2F" w:rsidP="009C13A9">
            <w:pPr>
              <w:suppressAutoHyphens/>
              <w:autoSpaceDE/>
              <w:autoSpaceDN/>
              <w:snapToGrid w:val="0"/>
              <w:spacing w:before="60" w:after="60" w:line="240" w:lineRule="atLeast"/>
              <w:ind w:left="0" w:firstLine="0"/>
              <w:jc w:val="center"/>
              <w:rPr>
                <w:rFonts w:cs="Arial"/>
                <w:sz w:val="18"/>
                <w:szCs w:val="20"/>
              </w:rPr>
            </w:pPr>
            <m:oMathPara>
              <m:oMath>
                <m:r>
                  <w:rPr>
                    <w:rFonts w:ascii="Cambria Math" w:hAnsi="Cambria Math"/>
                    <w:noProof/>
                    <w:szCs w:val="20"/>
                  </w:rPr>
                  <m:t>n</m:t>
                </m:r>
              </m:oMath>
            </m:oMathPara>
          </w:p>
        </w:tc>
        <w:tc>
          <w:tcPr>
            <w:tcW w:w="850"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2</w:t>
            </w:r>
          </w:p>
        </w:tc>
        <w:tc>
          <w:tcPr>
            <w:tcW w:w="851"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3</w:t>
            </w:r>
          </w:p>
        </w:tc>
        <w:tc>
          <w:tcPr>
            <w:tcW w:w="850"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4</w:t>
            </w:r>
          </w:p>
        </w:tc>
        <w:tc>
          <w:tcPr>
            <w:tcW w:w="851"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5</w:t>
            </w:r>
          </w:p>
        </w:tc>
        <w:tc>
          <w:tcPr>
            <w:tcW w:w="850"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6</w:t>
            </w:r>
          </w:p>
        </w:tc>
        <w:tc>
          <w:tcPr>
            <w:tcW w:w="851"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7</w:t>
            </w:r>
          </w:p>
        </w:tc>
        <w:tc>
          <w:tcPr>
            <w:tcW w:w="850"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8</w:t>
            </w:r>
          </w:p>
        </w:tc>
        <w:tc>
          <w:tcPr>
            <w:tcW w:w="851"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9</w:t>
            </w:r>
          </w:p>
        </w:tc>
        <w:tc>
          <w:tcPr>
            <w:tcW w:w="975" w:type="dxa"/>
            <w:tcBorders>
              <w:top w:val="single" w:sz="4" w:space="0" w:color="000000"/>
              <w:left w:val="single" w:sz="4" w:space="0" w:color="000000"/>
              <w:bottom w:val="single" w:sz="4" w:space="0" w:color="000000"/>
              <w:right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10</w:t>
            </w:r>
          </w:p>
        </w:tc>
      </w:tr>
      <w:tr w:rsidR="009C13A9" w:rsidRPr="00C903F8" w:rsidTr="009C13A9">
        <w:trPr>
          <w:jc w:val="center"/>
        </w:trPr>
        <w:tc>
          <w:tcPr>
            <w:tcW w:w="709" w:type="dxa"/>
            <w:tcBorders>
              <w:top w:val="single" w:sz="4" w:space="0" w:color="000000"/>
              <w:left w:val="single" w:sz="4" w:space="0" w:color="000000"/>
              <w:bottom w:val="double" w:sz="4" w:space="0" w:color="auto"/>
              <w:right w:val="single" w:sz="4" w:space="0" w:color="000000"/>
            </w:tcBorders>
          </w:tcPr>
          <w:p w:rsidR="009C13A9" w:rsidRPr="00C903F8" w:rsidRDefault="007D3F2F" w:rsidP="009C13A9">
            <w:pPr>
              <w:suppressAutoHyphens/>
              <w:autoSpaceDE/>
              <w:autoSpaceDN/>
              <w:snapToGrid w:val="0"/>
              <w:spacing w:before="60" w:after="60" w:line="240" w:lineRule="atLeast"/>
              <w:ind w:left="0" w:firstLine="0"/>
              <w:jc w:val="center"/>
              <w:rPr>
                <w:rFonts w:cs="Arial"/>
                <w:sz w:val="18"/>
                <w:szCs w:val="20"/>
              </w:rPr>
            </w:pPr>
            <m:oMathPara>
              <m:oMath>
                <m:r>
                  <w:rPr>
                    <w:rFonts w:ascii="Cambria Math" w:hAnsi="Cambria Math" w:cs="Arial"/>
                    <w:szCs w:val="20"/>
                  </w:rPr>
                  <m:t>k</m:t>
                </m:r>
              </m:oMath>
            </m:oMathPara>
          </w:p>
        </w:tc>
        <w:tc>
          <w:tcPr>
            <w:tcW w:w="850" w:type="dxa"/>
            <w:tcBorders>
              <w:top w:val="single" w:sz="4" w:space="0" w:color="000000"/>
              <w:left w:val="single" w:sz="4" w:space="0" w:color="000000"/>
              <w:bottom w:val="double" w:sz="4" w:space="0" w:color="auto"/>
              <w:right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0,973</w:t>
            </w:r>
          </w:p>
        </w:tc>
        <w:tc>
          <w:tcPr>
            <w:tcW w:w="851" w:type="dxa"/>
            <w:tcBorders>
              <w:top w:val="single" w:sz="4" w:space="0" w:color="000000"/>
              <w:left w:val="single" w:sz="4" w:space="0" w:color="000000"/>
              <w:bottom w:val="double" w:sz="4" w:space="0" w:color="auto"/>
              <w:right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0,613</w:t>
            </w:r>
          </w:p>
        </w:tc>
        <w:tc>
          <w:tcPr>
            <w:tcW w:w="850" w:type="dxa"/>
            <w:tcBorders>
              <w:top w:val="single" w:sz="4" w:space="0" w:color="000000"/>
              <w:left w:val="single" w:sz="4" w:space="0" w:color="000000"/>
              <w:bottom w:val="double" w:sz="4" w:space="0" w:color="auto"/>
              <w:right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0,489</w:t>
            </w:r>
          </w:p>
        </w:tc>
        <w:tc>
          <w:tcPr>
            <w:tcW w:w="851" w:type="dxa"/>
            <w:tcBorders>
              <w:top w:val="single" w:sz="4" w:space="0" w:color="000000"/>
              <w:left w:val="single" w:sz="4" w:space="0" w:color="000000"/>
              <w:bottom w:val="double" w:sz="4" w:space="0" w:color="auto"/>
              <w:right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0,421</w:t>
            </w:r>
          </w:p>
        </w:tc>
        <w:tc>
          <w:tcPr>
            <w:tcW w:w="850" w:type="dxa"/>
            <w:tcBorders>
              <w:top w:val="single" w:sz="4" w:space="0" w:color="000000"/>
              <w:left w:val="single" w:sz="4" w:space="0" w:color="000000"/>
              <w:bottom w:val="double" w:sz="4" w:space="0" w:color="auto"/>
              <w:right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0,376</w:t>
            </w:r>
          </w:p>
        </w:tc>
        <w:tc>
          <w:tcPr>
            <w:tcW w:w="851" w:type="dxa"/>
            <w:tcBorders>
              <w:top w:val="single" w:sz="4" w:space="0" w:color="000000"/>
              <w:left w:val="single" w:sz="4" w:space="0" w:color="000000"/>
              <w:bottom w:val="double" w:sz="4" w:space="0" w:color="auto"/>
              <w:right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0,342</w:t>
            </w:r>
          </w:p>
        </w:tc>
        <w:tc>
          <w:tcPr>
            <w:tcW w:w="850" w:type="dxa"/>
            <w:tcBorders>
              <w:top w:val="single" w:sz="4" w:space="0" w:color="000000"/>
              <w:left w:val="single" w:sz="4" w:space="0" w:color="000000"/>
              <w:bottom w:val="double" w:sz="4" w:space="0" w:color="auto"/>
              <w:right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0,317</w:t>
            </w:r>
          </w:p>
        </w:tc>
        <w:tc>
          <w:tcPr>
            <w:tcW w:w="851" w:type="dxa"/>
            <w:tcBorders>
              <w:top w:val="single" w:sz="4" w:space="0" w:color="000000"/>
              <w:left w:val="single" w:sz="4" w:space="0" w:color="000000"/>
              <w:bottom w:val="double" w:sz="4" w:space="0" w:color="auto"/>
              <w:right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0,296</w:t>
            </w:r>
          </w:p>
        </w:tc>
        <w:tc>
          <w:tcPr>
            <w:tcW w:w="975" w:type="dxa"/>
            <w:tcBorders>
              <w:top w:val="single" w:sz="4" w:space="0" w:color="000000"/>
              <w:left w:val="single" w:sz="4" w:space="0" w:color="000000"/>
              <w:bottom w:val="double" w:sz="4" w:space="0" w:color="auto"/>
              <w:right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0,279</w:t>
            </w:r>
          </w:p>
        </w:tc>
      </w:tr>
      <w:tr w:rsidR="009C13A9" w:rsidRPr="00C903F8" w:rsidTr="009C13A9">
        <w:trPr>
          <w:jc w:val="center"/>
        </w:trPr>
        <w:tc>
          <w:tcPr>
            <w:tcW w:w="709" w:type="dxa"/>
            <w:tcBorders>
              <w:top w:val="double" w:sz="4" w:space="0" w:color="auto"/>
              <w:left w:val="single" w:sz="4" w:space="0" w:color="000000"/>
              <w:bottom w:val="single" w:sz="4" w:space="0" w:color="000000"/>
              <w:right w:val="single" w:sz="4" w:space="0" w:color="000000"/>
            </w:tcBorders>
          </w:tcPr>
          <w:p w:rsidR="009C13A9" w:rsidRPr="00C903F8" w:rsidRDefault="007D3F2F" w:rsidP="009C13A9">
            <w:pPr>
              <w:suppressAutoHyphens/>
              <w:autoSpaceDE/>
              <w:autoSpaceDN/>
              <w:snapToGrid w:val="0"/>
              <w:spacing w:before="60" w:after="60" w:line="240" w:lineRule="atLeast"/>
              <w:ind w:left="0" w:firstLine="0"/>
              <w:jc w:val="center"/>
              <w:rPr>
                <w:rFonts w:cs="Arial"/>
                <w:sz w:val="18"/>
                <w:szCs w:val="20"/>
              </w:rPr>
            </w:pPr>
            <m:oMathPara>
              <m:oMath>
                <m:r>
                  <w:rPr>
                    <w:rFonts w:ascii="Cambria Math" w:hAnsi="Cambria Math"/>
                    <w:noProof/>
                    <w:szCs w:val="20"/>
                  </w:rPr>
                  <m:t>n</m:t>
                </m:r>
              </m:oMath>
            </m:oMathPara>
          </w:p>
        </w:tc>
        <w:tc>
          <w:tcPr>
            <w:tcW w:w="850" w:type="dxa"/>
            <w:tcBorders>
              <w:top w:val="double" w:sz="4" w:space="0" w:color="auto"/>
              <w:left w:val="single" w:sz="4" w:space="0" w:color="000000"/>
              <w:bottom w:val="single" w:sz="4" w:space="0" w:color="000000"/>
              <w:right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11</w:t>
            </w:r>
          </w:p>
        </w:tc>
        <w:tc>
          <w:tcPr>
            <w:tcW w:w="851" w:type="dxa"/>
            <w:tcBorders>
              <w:top w:val="double" w:sz="4" w:space="0" w:color="auto"/>
              <w:left w:val="single" w:sz="4" w:space="0" w:color="000000"/>
              <w:bottom w:val="single" w:sz="4" w:space="0" w:color="000000"/>
              <w:right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12</w:t>
            </w:r>
          </w:p>
        </w:tc>
        <w:tc>
          <w:tcPr>
            <w:tcW w:w="850" w:type="dxa"/>
            <w:tcBorders>
              <w:top w:val="double" w:sz="4" w:space="0" w:color="auto"/>
              <w:left w:val="single" w:sz="4" w:space="0" w:color="000000"/>
              <w:bottom w:val="single" w:sz="4" w:space="0" w:color="000000"/>
              <w:right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13</w:t>
            </w:r>
          </w:p>
        </w:tc>
        <w:tc>
          <w:tcPr>
            <w:tcW w:w="851" w:type="dxa"/>
            <w:tcBorders>
              <w:top w:val="double" w:sz="4" w:space="0" w:color="auto"/>
              <w:left w:val="single" w:sz="4" w:space="0" w:color="000000"/>
              <w:bottom w:val="single" w:sz="4" w:space="0" w:color="000000"/>
              <w:right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14</w:t>
            </w:r>
          </w:p>
        </w:tc>
        <w:tc>
          <w:tcPr>
            <w:tcW w:w="850" w:type="dxa"/>
            <w:tcBorders>
              <w:top w:val="double" w:sz="4" w:space="0" w:color="auto"/>
              <w:left w:val="single" w:sz="4" w:space="0" w:color="000000"/>
              <w:bottom w:val="single" w:sz="4" w:space="0" w:color="000000"/>
              <w:right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15</w:t>
            </w:r>
          </w:p>
        </w:tc>
        <w:tc>
          <w:tcPr>
            <w:tcW w:w="851" w:type="dxa"/>
            <w:tcBorders>
              <w:top w:val="double" w:sz="4" w:space="0" w:color="auto"/>
              <w:left w:val="single" w:sz="4" w:space="0" w:color="000000"/>
              <w:bottom w:val="single" w:sz="4" w:space="0" w:color="000000"/>
              <w:right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16</w:t>
            </w:r>
          </w:p>
        </w:tc>
        <w:tc>
          <w:tcPr>
            <w:tcW w:w="850" w:type="dxa"/>
            <w:tcBorders>
              <w:top w:val="double" w:sz="4" w:space="0" w:color="auto"/>
              <w:left w:val="single" w:sz="4" w:space="0" w:color="000000"/>
              <w:bottom w:val="single" w:sz="4" w:space="0" w:color="000000"/>
              <w:right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17</w:t>
            </w:r>
          </w:p>
        </w:tc>
        <w:tc>
          <w:tcPr>
            <w:tcW w:w="851" w:type="dxa"/>
            <w:tcBorders>
              <w:top w:val="double" w:sz="4" w:space="0" w:color="auto"/>
              <w:left w:val="single" w:sz="4" w:space="0" w:color="000000"/>
              <w:bottom w:val="single" w:sz="4" w:space="0" w:color="000000"/>
              <w:right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18</w:t>
            </w:r>
          </w:p>
        </w:tc>
        <w:tc>
          <w:tcPr>
            <w:tcW w:w="975" w:type="dxa"/>
            <w:tcBorders>
              <w:top w:val="double" w:sz="4" w:space="0" w:color="auto"/>
              <w:left w:val="single" w:sz="4" w:space="0" w:color="000000"/>
              <w:bottom w:val="single" w:sz="4" w:space="0" w:color="000000"/>
              <w:right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19</w:t>
            </w:r>
          </w:p>
        </w:tc>
      </w:tr>
      <w:tr w:rsidR="009C13A9" w:rsidRPr="00C903F8" w:rsidTr="009C13A9">
        <w:trPr>
          <w:jc w:val="center"/>
        </w:trPr>
        <w:tc>
          <w:tcPr>
            <w:tcW w:w="709" w:type="dxa"/>
            <w:tcBorders>
              <w:top w:val="single" w:sz="4" w:space="0" w:color="000000"/>
              <w:left w:val="single" w:sz="4" w:space="0" w:color="000000"/>
              <w:bottom w:val="single" w:sz="4" w:space="0" w:color="000000"/>
            </w:tcBorders>
          </w:tcPr>
          <w:p w:rsidR="009C13A9" w:rsidRPr="00C903F8" w:rsidRDefault="007D3F2F" w:rsidP="009C13A9">
            <w:pPr>
              <w:suppressAutoHyphens/>
              <w:autoSpaceDE/>
              <w:autoSpaceDN/>
              <w:snapToGrid w:val="0"/>
              <w:spacing w:before="60" w:after="60" w:line="240" w:lineRule="atLeast"/>
              <w:ind w:left="0" w:firstLine="0"/>
              <w:jc w:val="center"/>
              <w:rPr>
                <w:rFonts w:cs="Arial"/>
                <w:sz w:val="18"/>
                <w:szCs w:val="20"/>
              </w:rPr>
            </w:pPr>
            <m:oMathPara>
              <m:oMath>
                <m:r>
                  <w:rPr>
                    <w:rFonts w:ascii="Cambria Math" w:hAnsi="Cambria Math" w:cs="Arial"/>
                    <w:szCs w:val="20"/>
                  </w:rPr>
                  <m:t>k</m:t>
                </m:r>
              </m:oMath>
            </m:oMathPara>
          </w:p>
        </w:tc>
        <w:tc>
          <w:tcPr>
            <w:tcW w:w="850"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0,265</w:t>
            </w:r>
          </w:p>
        </w:tc>
        <w:tc>
          <w:tcPr>
            <w:tcW w:w="851"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0,253</w:t>
            </w:r>
          </w:p>
        </w:tc>
        <w:tc>
          <w:tcPr>
            <w:tcW w:w="850"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0,242</w:t>
            </w:r>
          </w:p>
        </w:tc>
        <w:tc>
          <w:tcPr>
            <w:tcW w:w="851"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0,233</w:t>
            </w:r>
          </w:p>
        </w:tc>
        <w:tc>
          <w:tcPr>
            <w:tcW w:w="850"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0,224</w:t>
            </w:r>
          </w:p>
        </w:tc>
        <w:tc>
          <w:tcPr>
            <w:tcW w:w="851"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0,216</w:t>
            </w:r>
          </w:p>
        </w:tc>
        <w:tc>
          <w:tcPr>
            <w:tcW w:w="850"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0,210</w:t>
            </w:r>
          </w:p>
        </w:tc>
        <w:tc>
          <w:tcPr>
            <w:tcW w:w="851"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0,203</w:t>
            </w:r>
          </w:p>
        </w:tc>
        <w:tc>
          <w:tcPr>
            <w:tcW w:w="975" w:type="dxa"/>
            <w:tcBorders>
              <w:top w:val="single" w:sz="4" w:space="0" w:color="000000"/>
              <w:left w:val="single" w:sz="4" w:space="0" w:color="000000"/>
              <w:bottom w:val="single" w:sz="4" w:space="0" w:color="000000"/>
              <w:right w:val="single" w:sz="4" w:space="0" w:color="000000"/>
            </w:tcBorders>
          </w:tcPr>
          <w:p w:rsidR="009C13A9" w:rsidRPr="00C903F8" w:rsidRDefault="009C13A9" w:rsidP="009C13A9">
            <w:pPr>
              <w:suppressAutoHyphens/>
              <w:autoSpaceDE/>
              <w:autoSpaceDN/>
              <w:snapToGrid w:val="0"/>
              <w:spacing w:before="60" w:after="60" w:line="240" w:lineRule="atLeast"/>
              <w:ind w:left="0" w:firstLine="0"/>
              <w:jc w:val="center"/>
              <w:rPr>
                <w:rFonts w:cs="Arial"/>
                <w:sz w:val="18"/>
                <w:szCs w:val="20"/>
              </w:rPr>
            </w:pPr>
            <w:r>
              <w:rPr>
                <w:sz w:val="18"/>
              </w:rPr>
              <w:t>0,198</w:t>
            </w:r>
          </w:p>
        </w:tc>
      </w:tr>
    </w:tbl>
    <w:p w:rsidR="009C13A9" w:rsidRPr="00C903F8" w:rsidRDefault="009C13A9" w:rsidP="009C13A9">
      <w:pPr>
        <w:suppressAutoHyphens/>
        <w:autoSpaceDE/>
        <w:autoSpaceDN/>
        <w:spacing w:line="240" w:lineRule="atLeast"/>
        <w:ind w:left="851" w:hanging="851"/>
        <w:jc w:val="left"/>
        <w:rPr>
          <w:rFonts w:cs="Arial"/>
          <w:szCs w:val="20"/>
        </w:rPr>
      </w:pPr>
    </w:p>
    <w:p w:rsidR="007D3F2F" w:rsidRPr="00C903F8" w:rsidRDefault="007D3F2F" w:rsidP="009C13A9">
      <w:pPr>
        <w:suppressAutoHyphens/>
        <w:autoSpaceDE/>
        <w:autoSpaceDN/>
        <w:spacing w:line="240" w:lineRule="atLeast"/>
        <w:ind w:left="851" w:hanging="851"/>
        <w:jc w:val="left"/>
        <w:rPr>
          <w:rFonts w:cs="Arial"/>
          <w:szCs w:val="20"/>
        </w:rPr>
      </w:pPr>
    </w:p>
    <w:p w:rsidR="007D3F2F" w:rsidRPr="00C903F8" w:rsidRDefault="00624017" w:rsidP="007D3F2F">
      <w:pPr>
        <w:suppressAutoHyphens/>
        <w:autoSpaceDE/>
        <w:autoSpaceDN/>
        <w:spacing w:line="240" w:lineRule="atLeast"/>
        <w:ind w:left="851" w:hanging="851"/>
        <w:jc w:val="center"/>
        <w:rPr>
          <w:rFonts w:cs="Arial"/>
          <w:szCs w:val="20"/>
        </w:rPr>
      </w:pPr>
      <m:oMath>
        <m:func>
          <m:funcPr>
            <m:ctrlPr>
              <w:rPr>
                <w:rFonts w:ascii="Cambria Math" w:hAnsi="Cambria Math" w:cs="Arial"/>
                <w:i/>
                <w:szCs w:val="20"/>
              </w:rPr>
            </m:ctrlPr>
          </m:funcPr>
          <m:fName>
            <m:r>
              <m:rPr>
                <m:sty m:val="p"/>
              </m:rPr>
              <w:rPr>
                <w:rFonts w:ascii="Cambria Math" w:hAnsi="Cambria Math" w:cs="Arial"/>
                <w:szCs w:val="20"/>
              </w:rPr>
              <m:t>si n</m:t>
            </m:r>
          </m:fName>
          <m:e>
            <m:r>
              <w:rPr>
                <w:rFonts w:ascii="Cambria Math" w:hAnsi="Cambria Math" w:cs="Arial"/>
                <w:szCs w:val="20"/>
              </w:rPr>
              <m:t>≥</m:t>
            </m:r>
          </m:e>
        </m:func>
        <m:r>
          <w:rPr>
            <w:rFonts w:ascii="Cambria Math" w:hAnsi="Cambria Math" w:cs="Arial"/>
            <w:szCs w:val="20"/>
          </w:rPr>
          <m:t xml:space="preserve"> 20</m:t>
        </m:r>
      </m:oMath>
      <w:r w:rsidR="00801F1F">
        <w:t xml:space="preserve">, </w:t>
      </w:r>
      <m:oMath>
        <m:r>
          <w:rPr>
            <w:rFonts w:ascii="Cambria Math" w:hAnsi="Cambria Math" w:cs="Arial"/>
            <w:sz w:val="22"/>
            <w:szCs w:val="20"/>
          </w:rPr>
          <m:t xml:space="preserve">k= </m:t>
        </m:r>
        <m:f>
          <m:fPr>
            <m:ctrlPr>
              <w:rPr>
                <w:rFonts w:ascii="Cambria Math" w:hAnsi="Cambria Math" w:cs="Arial"/>
                <w:i/>
                <w:sz w:val="22"/>
                <w:szCs w:val="20"/>
              </w:rPr>
            </m:ctrlPr>
          </m:fPr>
          <m:num>
            <m:r>
              <w:rPr>
                <w:rFonts w:ascii="Cambria Math" w:hAnsi="Cambria Math" w:cs="Arial"/>
                <w:sz w:val="22"/>
                <w:szCs w:val="20"/>
              </w:rPr>
              <m:t>0,860</m:t>
            </m:r>
          </m:num>
          <m:den>
            <m:rad>
              <m:radPr>
                <m:degHide m:val="1"/>
                <m:ctrlPr>
                  <w:rPr>
                    <w:rFonts w:ascii="Cambria Math" w:hAnsi="Cambria Math" w:cs="Arial"/>
                    <w:i/>
                    <w:sz w:val="22"/>
                    <w:szCs w:val="20"/>
                  </w:rPr>
                </m:ctrlPr>
              </m:radPr>
              <m:deg/>
              <m:e>
                <m:r>
                  <w:rPr>
                    <w:rFonts w:ascii="Cambria Math" w:hAnsi="Cambria Math" w:cs="Arial"/>
                    <w:sz w:val="22"/>
                    <w:szCs w:val="20"/>
                  </w:rPr>
                  <m:t>n</m:t>
                </m:r>
              </m:e>
            </m:rad>
          </m:den>
        </m:f>
      </m:oMath>
    </w:p>
    <w:p w:rsidR="009C13A9" w:rsidRPr="00C903F8" w:rsidRDefault="009C13A9" w:rsidP="009C13A9">
      <w:pPr>
        <w:suppressAutoHyphens/>
        <w:autoSpaceDE/>
        <w:autoSpaceDN/>
        <w:spacing w:line="240" w:lineRule="atLeast"/>
        <w:ind w:left="851" w:hanging="851"/>
        <w:jc w:val="center"/>
        <w:rPr>
          <w:rFonts w:cs="Arial"/>
          <w:szCs w:val="20"/>
        </w:rPr>
      </w:pPr>
    </w:p>
    <w:p w:rsidR="009C13A9" w:rsidRPr="00C903F8" w:rsidRDefault="00624017" w:rsidP="008A5402">
      <w:pPr>
        <w:tabs>
          <w:tab w:val="left" w:pos="1276"/>
        </w:tabs>
        <w:suppressAutoHyphens/>
        <w:overflowPunct w:val="0"/>
        <w:autoSpaceDN/>
        <w:spacing w:line="240" w:lineRule="atLeast"/>
        <w:ind w:left="709" w:firstLine="0"/>
        <w:textAlignment w:val="baseline"/>
        <w:rPr>
          <w:rFonts w:cs="Arial"/>
          <w:szCs w:val="20"/>
        </w:rPr>
      </w:pPr>
      <m:oMathPara>
        <m:oMathParaPr>
          <m:jc m:val="center"/>
        </m:oMathParaPr>
        <m:oMath>
          <m:sSub>
            <m:sSubPr>
              <m:ctrlPr>
                <w:rPr>
                  <w:rFonts w:ascii="Cambria Math" w:hAnsi="Cambria Math" w:cs="Arial"/>
                  <w:i/>
                  <w:szCs w:val="20"/>
                </w:rPr>
              </m:ctrlPr>
            </m:sSubPr>
            <m:e>
              <m:r>
                <w:rPr>
                  <w:rFonts w:ascii="Cambria Math" w:hAnsi="Cambria Math" w:cs="Arial"/>
                  <w:szCs w:val="20"/>
                </w:rPr>
                <m:t>S</m:t>
              </m:r>
            </m:e>
            <m:sub>
              <m:r>
                <w:rPr>
                  <w:rFonts w:ascii="Cambria Math" w:hAnsi="Cambria Math" w:cs="Arial"/>
                  <w:szCs w:val="20"/>
                </w:rPr>
                <m:t>t</m:t>
              </m:r>
            </m:sub>
          </m:sSub>
          <m:r>
            <w:rPr>
              <w:rFonts w:ascii="Cambria Math" w:hAnsi="Cambria Math" w:cs="Arial"/>
              <w:szCs w:val="20"/>
            </w:rPr>
            <m:t xml:space="preserve"> : </m:t>
          </m:r>
          <m:rad>
            <m:radPr>
              <m:degHide m:val="1"/>
              <m:ctrlPr>
                <w:rPr>
                  <w:rFonts w:ascii="Cambria Math" w:hAnsi="Cambria Math" w:cs="Arial"/>
                  <w:i/>
                  <w:szCs w:val="20"/>
                </w:rPr>
              </m:ctrlPr>
            </m:radPr>
            <m:deg/>
            <m:e>
              <m:nary>
                <m:naryPr>
                  <m:chr m:val="∑"/>
                  <m:limLoc m:val="undOvr"/>
                  <m:ctrlPr>
                    <w:rPr>
                      <w:rFonts w:ascii="Cambria Math" w:hAnsi="Cambria Math" w:cs="Arial"/>
                      <w:i/>
                      <w:szCs w:val="20"/>
                    </w:rPr>
                  </m:ctrlPr>
                </m:naryPr>
                <m:sub>
                  <m:r>
                    <w:rPr>
                      <w:rFonts w:ascii="Cambria Math" w:hAnsi="Cambria Math" w:cs="Arial"/>
                      <w:szCs w:val="20"/>
                    </w:rPr>
                    <m:t>i=1</m:t>
                  </m:r>
                </m:sub>
                <m:sup>
                  <m:r>
                    <w:rPr>
                      <w:rFonts w:ascii="Cambria Math" w:hAnsi="Cambria Math" w:cs="Arial"/>
                      <w:szCs w:val="20"/>
                    </w:rPr>
                    <m:t>n</m:t>
                  </m:r>
                </m:sup>
                <m:e>
                  <m:f>
                    <m:fPr>
                      <m:ctrlPr>
                        <w:rPr>
                          <w:rFonts w:ascii="Cambria Math" w:hAnsi="Cambria Math" w:cs="Arial"/>
                          <w:i/>
                          <w:szCs w:val="20"/>
                        </w:rPr>
                      </m:ctrlPr>
                    </m:fPr>
                    <m:num>
                      <m:d>
                        <m:dPr>
                          <m:ctrlPr>
                            <w:rPr>
                              <w:rFonts w:ascii="Cambria Math" w:hAnsi="Cambria Math" w:cs="Arial"/>
                              <w:i/>
                              <w:szCs w:val="20"/>
                            </w:rPr>
                          </m:ctrlPr>
                        </m:dPr>
                        <m:e>
                          <m:sSub>
                            <m:sSubPr>
                              <m:ctrlPr>
                                <w:rPr>
                                  <w:rFonts w:ascii="Cambria Math" w:hAnsi="Cambria Math" w:cs="Arial"/>
                                  <w:i/>
                                  <w:szCs w:val="20"/>
                                </w:rPr>
                              </m:ctrlPr>
                            </m:sSubPr>
                            <m:e>
                              <m:r>
                                <w:rPr>
                                  <w:rFonts w:ascii="Cambria Math" w:hAnsi="Cambria Math" w:cs="Arial"/>
                                  <w:szCs w:val="20"/>
                                </w:rPr>
                                <m:t>x</m:t>
                              </m:r>
                            </m:e>
                            <m:sub>
                              <m:r>
                                <w:rPr>
                                  <w:rFonts w:ascii="Cambria Math" w:hAnsi="Cambria Math" w:cs="Arial"/>
                                  <w:szCs w:val="20"/>
                                </w:rPr>
                                <m:t>i</m:t>
                              </m:r>
                            </m:sub>
                          </m:sSub>
                          <m:r>
                            <w:rPr>
                              <w:rFonts w:ascii="Cambria Math" w:hAnsi="Cambria Math" w:cs="Arial"/>
                              <w:szCs w:val="20"/>
                            </w:rPr>
                            <m:t xml:space="preserve">- </m:t>
                          </m:r>
                          <m:acc>
                            <m:accPr>
                              <m:chr m:val="̅"/>
                              <m:ctrlPr>
                                <w:rPr>
                                  <w:rFonts w:ascii="Cambria Math" w:hAnsi="Cambria Math" w:cs="Arial"/>
                                  <w:i/>
                                  <w:szCs w:val="20"/>
                                </w:rPr>
                              </m:ctrlPr>
                            </m:accPr>
                            <m:e>
                              <m:r>
                                <w:rPr>
                                  <w:rFonts w:ascii="Cambria Math" w:hAnsi="Cambria Math" w:cs="Arial"/>
                                  <w:szCs w:val="20"/>
                                </w:rPr>
                                <m:t>x</m:t>
                              </m:r>
                            </m:e>
                          </m:acc>
                        </m:e>
                      </m:d>
                    </m:num>
                    <m:den>
                      <m:r>
                        <w:rPr>
                          <w:rFonts w:ascii="Cambria Math" w:hAnsi="Cambria Math" w:cs="Arial"/>
                          <w:szCs w:val="20"/>
                        </w:rPr>
                        <m:t>n-1</m:t>
                      </m:r>
                    </m:den>
                  </m:f>
                </m:e>
              </m:nary>
            </m:e>
          </m:rad>
          <m:r>
            <m:rPr>
              <m:sty m:val="p"/>
            </m:rPr>
            <w:rPr>
              <w:rFonts w:cs="Arial"/>
              <w:szCs w:val="20"/>
            </w:rPr>
            <w:br/>
          </m:r>
        </m:oMath>
      </m:oMathPara>
      <w:r w:rsidR="00801F1F">
        <w:t xml:space="preserve">dove </w:t>
      </w:r>
      <m:oMath>
        <m:sSub>
          <m:sSubPr>
            <m:ctrlPr>
              <w:rPr>
                <w:rFonts w:ascii="Cambria Math" w:hAnsi="Cambria Math" w:cs="Arial"/>
                <w:i/>
                <w:szCs w:val="20"/>
              </w:rPr>
            </m:ctrlPr>
          </m:sSubPr>
          <m:e>
            <m:r>
              <w:rPr>
                <w:rFonts w:ascii="Cambria Math" w:hAnsi="Cambria Math" w:cs="Arial"/>
                <w:szCs w:val="20"/>
              </w:rPr>
              <m:t>x</m:t>
            </m:r>
          </m:e>
          <m:sub>
            <m:r>
              <w:rPr>
                <w:rFonts w:ascii="Cambria Math" w:hAnsi="Cambria Math" w:cs="Arial"/>
                <w:szCs w:val="20"/>
              </w:rPr>
              <m:t>i</m:t>
            </m:r>
          </m:sub>
        </m:sSub>
      </m:oMath>
      <w:r w:rsidR="00801F1F">
        <w:t xml:space="preserve"> è qualsiasi risultato individuale ottenuto dal campione casuale </w:t>
      </w:r>
      <m:oMath>
        <m:r>
          <w:rPr>
            <w:rFonts w:ascii="Cambria Math" w:hAnsi="Cambria Math"/>
            <w:noProof/>
            <w:szCs w:val="20"/>
          </w:rPr>
          <m:t>n</m:t>
        </m:r>
      </m:oMath>
    </w:p>
    <w:p w:rsidR="009C13A9" w:rsidRPr="00C903F8" w:rsidRDefault="007D3F2F" w:rsidP="00C036E3">
      <w:pPr>
        <w:tabs>
          <w:tab w:val="left" w:pos="1134"/>
        </w:tabs>
        <w:suppressAutoHyphens/>
        <w:overflowPunct w:val="0"/>
        <w:autoSpaceDN/>
        <w:spacing w:line="240" w:lineRule="atLeast"/>
        <w:ind w:left="1134"/>
        <w:textAlignment w:val="baseline"/>
        <w:rPr>
          <w:rFonts w:cs="Arial"/>
          <w:szCs w:val="20"/>
        </w:rPr>
      </w:pPr>
      <m:oMath>
        <m:r>
          <w:rPr>
            <w:rFonts w:ascii="Cambria Math" w:hAnsi="Cambria Math" w:cs="Arial"/>
            <w:szCs w:val="20"/>
          </w:rPr>
          <m:t>L</m:t>
        </m:r>
      </m:oMath>
      <w:r>
        <w:t>:</w:t>
      </w:r>
      <w:r>
        <w:tab/>
        <w:t>è il valore limite ammissibile di cui alla tabella 2 dell'articolo 18.01, paragrafo 2, per ciascun inquinante analizzato.</w:t>
      </w:r>
    </w:p>
    <w:p w:rsidR="009C13A9" w:rsidRPr="00C903F8" w:rsidRDefault="009C13A9" w:rsidP="009C13A9">
      <w:pPr>
        <w:tabs>
          <w:tab w:val="left" w:pos="709"/>
        </w:tabs>
        <w:suppressAutoHyphens/>
        <w:overflowPunct w:val="0"/>
        <w:autoSpaceDN/>
        <w:spacing w:line="240" w:lineRule="atLeast"/>
        <w:ind w:left="709" w:hanging="709"/>
        <w:textAlignment w:val="baseline"/>
        <w:rPr>
          <w:rFonts w:cs="Arial"/>
          <w:szCs w:val="20"/>
        </w:rPr>
      </w:pPr>
    </w:p>
    <w:p w:rsidR="009C13A9" w:rsidRPr="00C903F8" w:rsidRDefault="009C13A9" w:rsidP="009C13A9">
      <w:pPr>
        <w:tabs>
          <w:tab w:val="left" w:pos="709"/>
        </w:tabs>
        <w:spacing w:line="240" w:lineRule="atLeast"/>
        <w:ind w:left="709" w:hanging="709"/>
        <w:rPr>
          <w:noProof/>
          <w:szCs w:val="20"/>
        </w:rPr>
      </w:pPr>
      <w:r>
        <w:t>3.3.3</w:t>
      </w:r>
      <w:r>
        <w:tab/>
        <w:t>In caso di mancato rispetto dei valori di cui alla tabella 2 dell'articolo 18.01, paragrafo 2, viene effettuata una nuova prova a norma del punto 3.3.2.1 e, in caso di risultato negativo, una prova completa a norma del punto 3.3.2.2 secondo la procedura indicata nell'allegato 9. I valori limite di cui alla tabella 1 dell'articolo 18.01, paragrafo 2, non possono essere superati né per i campioni compositi né per i campioni scelti a caso.</w:t>
      </w:r>
    </w:p>
    <w:p w:rsidR="009C13A9" w:rsidRPr="00C903F8" w:rsidRDefault="009C13A9" w:rsidP="009C13A9">
      <w:pPr>
        <w:tabs>
          <w:tab w:val="left" w:pos="709"/>
        </w:tabs>
        <w:spacing w:line="240" w:lineRule="atLeast"/>
        <w:ind w:left="709" w:hanging="709"/>
        <w:rPr>
          <w:noProof/>
          <w:szCs w:val="20"/>
        </w:rPr>
      </w:pPr>
    </w:p>
    <w:p w:rsidR="009C13A9" w:rsidRPr="00C903F8" w:rsidRDefault="009C13A9" w:rsidP="009C13A9">
      <w:pPr>
        <w:tabs>
          <w:tab w:val="left" w:pos="709"/>
        </w:tabs>
        <w:spacing w:line="240" w:lineRule="atLeast"/>
        <w:ind w:left="709" w:hanging="709"/>
        <w:rPr>
          <w:noProof/>
          <w:szCs w:val="20"/>
        </w:rPr>
      </w:pPr>
      <w:r>
        <w:t>3.3.4</w:t>
      </w:r>
      <w:r>
        <w:tab/>
        <w:t>L’autorità competente è tenuta a effettuare prove sugli impianti di depurazione di bordo che siano parzialmente o pienamente operativi sulla base delle informazioni fornite dal fabbricante.</w:t>
      </w:r>
    </w:p>
    <w:p w:rsidR="009C13A9" w:rsidRPr="00C903F8" w:rsidRDefault="009C13A9" w:rsidP="009C13A9">
      <w:pPr>
        <w:tabs>
          <w:tab w:val="left" w:pos="709"/>
        </w:tabs>
        <w:spacing w:line="240" w:lineRule="atLeast"/>
        <w:ind w:left="709" w:hanging="709"/>
        <w:rPr>
          <w:noProof/>
          <w:szCs w:val="20"/>
        </w:rPr>
      </w:pPr>
    </w:p>
    <w:p w:rsidR="009C13A9" w:rsidRPr="00C903F8" w:rsidRDefault="009C13A9" w:rsidP="009C13A9">
      <w:pPr>
        <w:tabs>
          <w:tab w:val="left" w:pos="709"/>
        </w:tabs>
        <w:spacing w:line="240" w:lineRule="atLeast"/>
        <w:ind w:left="709" w:hanging="709"/>
        <w:rPr>
          <w:noProof/>
          <w:szCs w:val="20"/>
        </w:rPr>
      </w:pPr>
      <w:r>
        <w:t>3.3.5</w:t>
      </w:r>
      <w:r>
        <w:tab/>
        <w:t>La frequenza normale delle prove di conformità della produzione che l’autorità competente è autorizzata a effettuare è di una prova per anno. In caso di non conformità con i requisiti del punto 3.3.3, l'autorità competente deve garantire che siano adottate tutte le misure necessarie per ripristinare sollecitamente la conformità della produzione.</w:t>
      </w:r>
    </w:p>
    <w:p w:rsidR="009C13A9" w:rsidRPr="00C903F8" w:rsidRDefault="009C13A9" w:rsidP="009C13A9">
      <w:pPr>
        <w:tabs>
          <w:tab w:val="left" w:pos="709"/>
        </w:tabs>
        <w:suppressAutoHyphens/>
        <w:overflowPunct w:val="0"/>
        <w:autoSpaceDN/>
        <w:spacing w:line="240" w:lineRule="atLeast"/>
        <w:ind w:left="709" w:hanging="709"/>
        <w:textAlignment w:val="baseline"/>
        <w:rPr>
          <w:rFonts w:cs="Arial"/>
          <w:szCs w:val="20"/>
        </w:rPr>
      </w:pPr>
    </w:p>
    <w:p w:rsidR="009C13A9" w:rsidRPr="00C903F8" w:rsidRDefault="009C13A9" w:rsidP="009C13A9">
      <w:pPr>
        <w:tabs>
          <w:tab w:val="left" w:pos="709"/>
          <w:tab w:val="left" w:pos="1134"/>
        </w:tabs>
        <w:suppressAutoHyphens/>
        <w:overflowPunct w:val="0"/>
        <w:autoSpaceDN/>
        <w:spacing w:line="240" w:lineRule="atLeast"/>
        <w:ind w:left="709" w:hanging="709"/>
        <w:textAlignment w:val="baseline"/>
        <w:rPr>
          <w:rFonts w:cs="Arial"/>
          <w:szCs w:val="20"/>
        </w:rPr>
      </w:pPr>
      <w:r>
        <w:br w:type="page"/>
      </w:r>
    </w:p>
    <w:p w:rsidR="009C13A9" w:rsidRPr="00C903F8" w:rsidRDefault="009C13A9" w:rsidP="009C13A9">
      <w:pPr>
        <w:tabs>
          <w:tab w:val="left" w:pos="709"/>
          <w:tab w:val="left" w:pos="1134"/>
        </w:tabs>
        <w:suppressAutoHyphens/>
        <w:overflowPunct w:val="0"/>
        <w:autoSpaceDN/>
        <w:spacing w:line="240" w:lineRule="atLeast"/>
        <w:ind w:left="709" w:hanging="709"/>
        <w:textAlignment w:val="baseline"/>
        <w:rPr>
          <w:rFonts w:cs="Arial"/>
          <w:szCs w:val="20"/>
        </w:rPr>
      </w:pPr>
    </w:p>
    <w:p w:rsidR="009C13A9" w:rsidRPr="00C903F8" w:rsidRDefault="009C13A9" w:rsidP="009C13A9">
      <w:pPr>
        <w:tabs>
          <w:tab w:val="left" w:pos="709"/>
          <w:tab w:val="left" w:pos="1134"/>
        </w:tabs>
        <w:suppressAutoHyphens/>
        <w:overflowPunct w:val="0"/>
        <w:autoSpaceDN/>
        <w:spacing w:line="240" w:lineRule="atLeast"/>
        <w:ind w:left="709" w:hanging="709"/>
        <w:textAlignment w:val="baseline"/>
        <w:rPr>
          <w:rFonts w:cs="Arial"/>
          <w:szCs w:val="20"/>
        </w:rPr>
      </w:pPr>
    </w:p>
    <w:p w:rsidR="009C13A9" w:rsidRPr="00C903F8" w:rsidRDefault="009C13A9" w:rsidP="009C13A9">
      <w:pPr>
        <w:tabs>
          <w:tab w:val="left" w:pos="709"/>
          <w:tab w:val="left" w:pos="1134"/>
        </w:tabs>
        <w:suppressAutoHyphens/>
        <w:overflowPunct w:val="0"/>
        <w:autoSpaceDN/>
        <w:spacing w:line="240" w:lineRule="atLeast"/>
        <w:ind w:left="709" w:hanging="709"/>
        <w:textAlignment w:val="baseline"/>
        <w:rPr>
          <w:rFonts w:cs="Arial"/>
          <w:szCs w:val="20"/>
        </w:rPr>
      </w:pPr>
    </w:p>
    <w:p w:rsidR="009C13A9" w:rsidRPr="00C903F8" w:rsidRDefault="009C13A9" w:rsidP="009C13A9">
      <w:pPr>
        <w:tabs>
          <w:tab w:val="left" w:pos="709"/>
          <w:tab w:val="left" w:pos="1134"/>
        </w:tabs>
        <w:suppressAutoHyphens/>
        <w:overflowPunct w:val="0"/>
        <w:autoSpaceDN/>
        <w:spacing w:line="240" w:lineRule="atLeast"/>
        <w:ind w:left="709" w:hanging="709"/>
        <w:textAlignment w:val="baseline"/>
        <w:rPr>
          <w:rFonts w:cs="Arial"/>
          <w:szCs w:val="20"/>
        </w:rPr>
      </w:pPr>
      <w:r>
        <w:br w:type="page"/>
      </w:r>
    </w:p>
    <w:p w:rsidR="009C13A9" w:rsidRPr="00C903F8" w:rsidRDefault="00925755" w:rsidP="00684B1D">
      <w:pPr>
        <w:pStyle w:val="ES-Titre3"/>
        <w:rPr>
          <w:noProof/>
        </w:rPr>
      </w:pPr>
      <w:bookmarkStart w:id="686" w:name="_Toc491854326"/>
      <w:bookmarkStart w:id="687" w:name="_Toc535500275"/>
      <w:r>
        <w:lastRenderedPageBreak/>
        <w:t>Sezione II</w:t>
      </w:r>
      <w:bookmarkEnd w:id="686"/>
      <w:bookmarkEnd w:id="687"/>
    </w:p>
    <w:p w:rsidR="009C13A9" w:rsidRPr="00C903F8" w:rsidRDefault="009C13A9" w:rsidP="00684B1D">
      <w:pPr>
        <w:pStyle w:val="ES-Titre3a"/>
        <w:rPr>
          <w:noProof/>
        </w:rPr>
      </w:pPr>
      <w:bookmarkStart w:id="688" w:name="_Toc491854327"/>
      <w:bookmarkStart w:id="689" w:name="_Toc535500276"/>
      <w:r>
        <w:t>Scheda informativa n. ...</w:t>
      </w:r>
      <w:r>
        <w:rPr>
          <w:noProof/>
          <w:vertAlign w:val="superscript"/>
        </w:rPr>
        <w:footnoteReference w:id="63"/>
      </w:r>
      <w:r>
        <w:t xml:space="preserve"> relativa all'omologazione di impianti di depurazione di bordo destinati al montaggio su imbarcazioni per la navigazione interna</w:t>
      </w:r>
      <w:bookmarkEnd w:id="688"/>
      <w:bookmarkEnd w:id="689"/>
    </w:p>
    <w:p w:rsidR="009C13A9" w:rsidRPr="00C903F8" w:rsidRDefault="009C13A9" w:rsidP="009C13A9">
      <w:pPr>
        <w:overflowPunct w:val="0"/>
        <w:adjustRightInd w:val="0"/>
        <w:spacing w:line="240" w:lineRule="exact"/>
        <w:ind w:left="0" w:firstLine="0"/>
        <w:jc w:val="center"/>
        <w:textAlignment w:val="baseline"/>
        <w:rPr>
          <w:rFonts w:eastAsia="Calibri"/>
          <w:szCs w:val="22"/>
        </w:rPr>
      </w:pPr>
      <w:r>
        <w:t>(Modello)</w:t>
      </w:r>
    </w:p>
    <w:p w:rsidR="009C13A9" w:rsidRPr="00C903F8" w:rsidRDefault="009C13A9" w:rsidP="009C13A9">
      <w:pPr>
        <w:tabs>
          <w:tab w:val="left" w:leader="dot" w:pos="9214"/>
        </w:tabs>
        <w:suppressAutoHyphens/>
        <w:autoSpaceDE/>
        <w:autoSpaceDN/>
        <w:spacing w:line="240" w:lineRule="atLeast"/>
        <w:ind w:firstLine="0"/>
        <w:jc w:val="left"/>
        <w:rPr>
          <w:rFonts w:cs="Arial"/>
          <w:szCs w:val="20"/>
        </w:rPr>
      </w:pPr>
    </w:p>
    <w:p w:rsidR="009C13A9" w:rsidRPr="00C903F8" w:rsidRDefault="009C13A9" w:rsidP="009C13A9">
      <w:pPr>
        <w:tabs>
          <w:tab w:val="left" w:leader="dot" w:pos="9072"/>
        </w:tabs>
        <w:ind w:left="850" w:hanging="850"/>
        <w:jc w:val="left"/>
        <w:rPr>
          <w:noProof/>
          <w:szCs w:val="20"/>
        </w:rPr>
      </w:pPr>
      <w:r>
        <w:t xml:space="preserve">Tipo di impianto di depurazione di bordo: </w:t>
      </w:r>
      <w:r>
        <w:tab/>
      </w:r>
    </w:p>
    <w:p w:rsidR="009C13A9" w:rsidRPr="00C903F8" w:rsidRDefault="009C13A9" w:rsidP="009C13A9">
      <w:pPr>
        <w:tabs>
          <w:tab w:val="left" w:leader="dot" w:pos="9072"/>
        </w:tabs>
        <w:ind w:left="567" w:hanging="567"/>
        <w:rPr>
          <w:noProof/>
          <w:szCs w:val="20"/>
        </w:rPr>
      </w:pPr>
    </w:p>
    <w:p w:rsidR="009C13A9" w:rsidRPr="00C903F8" w:rsidRDefault="009C13A9" w:rsidP="009C13A9">
      <w:pPr>
        <w:tabs>
          <w:tab w:val="left" w:leader="dot" w:pos="9072"/>
        </w:tabs>
        <w:spacing w:line="240" w:lineRule="atLeast"/>
        <w:ind w:left="567" w:hanging="567"/>
        <w:rPr>
          <w:noProof/>
          <w:szCs w:val="20"/>
        </w:rPr>
      </w:pPr>
      <w:r>
        <w:t>0.</w:t>
      </w:r>
      <w:r>
        <w:tab/>
        <w:t>Aspetti generali</w:t>
      </w:r>
    </w:p>
    <w:p w:rsidR="009C13A9" w:rsidRPr="00C903F8" w:rsidRDefault="009C13A9" w:rsidP="009C13A9">
      <w:pPr>
        <w:tabs>
          <w:tab w:val="left" w:leader="dot" w:pos="9072"/>
        </w:tabs>
        <w:spacing w:line="240" w:lineRule="atLeast"/>
        <w:ind w:left="567" w:hanging="567"/>
        <w:rPr>
          <w:noProof/>
          <w:szCs w:val="20"/>
        </w:rPr>
      </w:pPr>
    </w:p>
    <w:p w:rsidR="009C13A9" w:rsidRPr="00C903F8" w:rsidRDefault="009C13A9" w:rsidP="009C13A9">
      <w:pPr>
        <w:tabs>
          <w:tab w:val="left" w:leader="dot" w:pos="9072"/>
        </w:tabs>
        <w:spacing w:line="240" w:lineRule="atLeast"/>
        <w:ind w:left="567" w:hanging="567"/>
        <w:jc w:val="left"/>
        <w:rPr>
          <w:noProof/>
          <w:szCs w:val="20"/>
        </w:rPr>
      </w:pPr>
      <w:r>
        <w:t>0.1</w:t>
      </w:r>
      <w:r>
        <w:tab/>
        <w:t xml:space="preserve">Marca (marchio commerciale del costruttore): </w:t>
      </w:r>
      <w:r>
        <w:tab/>
      </w:r>
    </w:p>
    <w:p w:rsidR="009C13A9" w:rsidRPr="00C903F8" w:rsidRDefault="009C13A9" w:rsidP="009C13A9">
      <w:pPr>
        <w:tabs>
          <w:tab w:val="left" w:leader="dot" w:pos="9072"/>
        </w:tabs>
        <w:spacing w:line="240" w:lineRule="atLeast"/>
        <w:ind w:left="567" w:hanging="567"/>
        <w:jc w:val="left"/>
        <w:rPr>
          <w:noProof/>
          <w:szCs w:val="20"/>
        </w:rPr>
      </w:pPr>
    </w:p>
    <w:p w:rsidR="009C13A9" w:rsidRPr="00C903F8" w:rsidRDefault="009C13A9" w:rsidP="009C13A9">
      <w:pPr>
        <w:tabs>
          <w:tab w:val="left" w:leader="dot" w:pos="9072"/>
        </w:tabs>
        <w:spacing w:line="240" w:lineRule="atLeast"/>
        <w:ind w:left="567" w:hanging="567"/>
        <w:jc w:val="left"/>
        <w:rPr>
          <w:noProof/>
          <w:szCs w:val="20"/>
        </w:rPr>
      </w:pPr>
      <w:r>
        <w:t>0.2</w:t>
      </w:r>
      <w:r>
        <w:tab/>
        <w:t xml:space="preserve">Designazione del tipo di impianto di depurazione di bordo da parte del costruttore: </w:t>
      </w:r>
      <w:r>
        <w:tab/>
      </w:r>
    </w:p>
    <w:p w:rsidR="009C13A9" w:rsidRPr="00C903F8" w:rsidRDefault="009C13A9" w:rsidP="009C13A9">
      <w:pPr>
        <w:tabs>
          <w:tab w:val="left" w:leader="dot" w:pos="9072"/>
        </w:tabs>
        <w:spacing w:line="240" w:lineRule="atLeast"/>
        <w:ind w:left="567" w:firstLine="0"/>
        <w:rPr>
          <w:noProof/>
          <w:szCs w:val="20"/>
        </w:rPr>
      </w:pPr>
      <w:r>
        <w:tab/>
      </w:r>
    </w:p>
    <w:p w:rsidR="009C13A9" w:rsidRPr="00C903F8" w:rsidRDefault="009C13A9" w:rsidP="009C13A9">
      <w:pPr>
        <w:tabs>
          <w:tab w:val="left" w:leader="dot" w:pos="9072"/>
        </w:tabs>
        <w:spacing w:line="240" w:lineRule="atLeast"/>
        <w:ind w:left="567" w:hanging="567"/>
        <w:jc w:val="left"/>
        <w:rPr>
          <w:noProof/>
          <w:szCs w:val="20"/>
        </w:rPr>
      </w:pPr>
    </w:p>
    <w:p w:rsidR="009C13A9" w:rsidRPr="00C903F8" w:rsidRDefault="009C13A9" w:rsidP="009C13A9">
      <w:pPr>
        <w:tabs>
          <w:tab w:val="left" w:leader="dot" w:pos="9072"/>
        </w:tabs>
        <w:spacing w:line="240" w:lineRule="atLeast"/>
        <w:ind w:left="567" w:hanging="567"/>
        <w:jc w:val="left"/>
        <w:rPr>
          <w:noProof/>
          <w:szCs w:val="20"/>
        </w:rPr>
      </w:pPr>
      <w:r>
        <w:t>0.3</w:t>
      </w:r>
      <w:r>
        <w:tab/>
        <w:t xml:space="preserve">Codice del tipo del costruttore corrispondente alle informazioni fornite sull'impianto di depurazione di bordo: </w:t>
      </w:r>
      <w:r>
        <w:tab/>
      </w:r>
    </w:p>
    <w:p w:rsidR="009C13A9" w:rsidRPr="00C903F8" w:rsidRDefault="009C13A9" w:rsidP="009C13A9">
      <w:pPr>
        <w:tabs>
          <w:tab w:val="left" w:leader="dot" w:pos="9072"/>
        </w:tabs>
        <w:spacing w:line="240" w:lineRule="atLeast"/>
        <w:ind w:left="567" w:firstLine="0"/>
        <w:rPr>
          <w:noProof/>
          <w:szCs w:val="20"/>
        </w:rPr>
      </w:pPr>
      <w:r>
        <w:tab/>
      </w:r>
    </w:p>
    <w:p w:rsidR="009C13A9" w:rsidRPr="00C903F8" w:rsidRDefault="009C13A9" w:rsidP="009C13A9">
      <w:pPr>
        <w:tabs>
          <w:tab w:val="left" w:leader="dot" w:pos="9072"/>
        </w:tabs>
        <w:spacing w:line="240" w:lineRule="atLeast"/>
        <w:ind w:left="567" w:hanging="567"/>
        <w:jc w:val="left"/>
        <w:rPr>
          <w:noProof/>
          <w:szCs w:val="20"/>
        </w:rPr>
      </w:pPr>
    </w:p>
    <w:p w:rsidR="009C13A9" w:rsidRPr="00C903F8" w:rsidRDefault="009C13A9" w:rsidP="009C13A9">
      <w:pPr>
        <w:tabs>
          <w:tab w:val="left" w:leader="dot" w:pos="9072"/>
        </w:tabs>
        <w:spacing w:line="240" w:lineRule="atLeast"/>
        <w:ind w:left="567" w:hanging="567"/>
        <w:jc w:val="left"/>
        <w:rPr>
          <w:noProof/>
          <w:szCs w:val="20"/>
        </w:rPr>
      </w:pPr>
      <w:r>
        <w:t>0.4</w:t>
      </w:r>
      <w:r>
        <w:tab/>
        <w:t xml:space="preserve">Nome e indirizzo del costruttore: </w:t>
      </w:r>
      <w:r>
        <w:tab/>
      </w:r>
    </w:p>
    <w:p w:rsidR="009C13A9" w:rsidRPr="00C903F8" w:rsidRDefault="009C13A9" w:rsidP="009C13A9">
      <w:pPr>
        <w:tabs>
          <w:tab w:val="left" w:leader="dot" w:pos="9072"/>
        </w:tabs>
        <w:spacing w:line="240" w:lineRule="atLeast"/>
        <w:ind w:left="567" w:firstLine="0"/>
        <w:jc w:val="left"/>
        <w:rPr>
          <w:noProof/>
          <w:szCs w:val="20"/>
        </w:rPr>
      </w:pPr>
      <w:r>
        <w:t xml:space="preserve">Nome e indirizzo dell’eventuale mandatario del fabbricante: </w:t>
      </w:r>
      <w:r>
        <w:tab/>
      </w:r>
    </w:p>
    <w:p w:rsidR="009C13A9" w:rsidRPr="00C903F8" w:rsidRDefault="009C13A9" w:rsidP="009C13A9">
      <w:pPr>
        <w:tabs>
          <w:tab w:val="left" w:leader="dot" w:pos="9072"/>
        </w:tabs>
        <w:spacing w:line="240" w:lineRule="atLeast"/>
        <w:ind w:left="567" w:firstLine="0"/>
        <w:rPr>
          <w:noProof/>
          <w:szCs w:val="20"/>
        </w:rPr>
      </w:pPr>
      <w:r>
        <w:tab/>
      </w:r>
    </w:p>
    <w:p w:rsidR="009C13A9" w:rsidRPr="00C903F8" w:rsidRDefault="009C13A9" w:rsidP="009C13A9">
      <w:pPr>
        <w:tabs>
          <w:tab w:val="left" w:leader="dot" w:pos="9072"/>
        </w:tabs>
        <w:spacing w:line="240" w:lineRule="atLeast"/>
        <w:ind w:left="567" w:hanging="567"/>
        <w:jc w:val="left"/>
        <w:rPr>
          <w:noProof/>
          <w:szCs w:val="20"/>
        </w:rPr>
      </w:pPr>
    </w:p>
    <w:p w:rsidR="009C13A9" w:rsidRPr="00C903F8" w:rsidRDefault="009C13A9" w:rsidP="009C13A9">
      <w:pPr>
        <w:tabs>
          <w:tab w:val="left" w:leader="dot" w:pos="9072"/>
        </w:tabs>
        <w:spacing w:line="240" w:lineRule="atLeast"/>
        <w:ind w:left="567" w:hanging="567"/>
        <w:jc w:val="left"/>
        <w:rPr>
          <w:noProof/>
          <w:szCs w:val="20"/>
        </w:rPr>
      </w:pPr>
      <w:r>
        <w:t>0.5</w:t>
      </w:r>
      <w:r>
        <w:tab/>
        <w:t xml:space="preserve">Posizione, codificazione e metodo di affissione del numero di serie dell'impianto di depurazione di bordo: </w:t>
      </w:r>
      <w:r>
        <w:tab/>
      </w:r>
    </w:p>
    <w:p w:rsidR="009C13A9" w:rsidRPr="00C903F8" w:rsidRDefault="009C13A9" w:rsidP="009C13A9">
      <w:pPr>
        <w:tabs>
          <w:tab w:val="left" w:leader="dot" w:pos="9072"/>
        </w:tabs>
        <w:spacing w:line="240" w:lineRule="atLeast"/>
        <w:ind w:left="567" w:firstLine="0"/>
        <w:rPr>
          <w:noProof/>
          <w:szCs w:val="20"/>
        </w:rPr>
      </w:pPr>
      <w:r>
        <w:tab/>
      </w:r>
    </w:p>
    <w:p w:rsidR="009C13A9" w:rsidRPr="00C903F8" w:rsidRDefault="009C13A9" w:rsidP="009C13A9">
      <w:pPr>
        <w:tabs>
          <w:tab w:val="left" w:leader="dot" w:pos="9072"/>
        </w:tabs>
        <w:spacing w:line="240" w:lineRule="atLeast"/>
        <w:ind w:left="567" w:hanging="567"/>
        <w:jc w:val="left"/>
        <w:rPr>
          <w:noProof/>
          <w:szCs w:val="20"/>
        </w:rPr>
      </w:pPr>
    </w:p>
    <w:p w:rsidR="009C13A9" w:rsidRPr="00C903F8" w:rsidRDefault="009C13A9" w:rsidP="009C13A9">
      <w:pPr>
        <w:tabs>
          <w:tab w:val="left" w:leader="dot" w:pos="9072"/>
        </w:tabs>
        <w:spacing w:line="240" w:lineRule="atLeast"/>
        <w:ind w:left="567" w:hanging="567"/>
        <w:jc w:val="left"/>
        <w:rPr>
          <w:noProof/>
          <w:szCs w:val="20"/>
        </w:rPr>
      </w:pPr>
      <w:r>
        <w:t>0.6</w:t>
      </w:r>
      <w:r>
        <w:tab/>
        <w:t xml:space="preserve">Posizione e metodo di affissione del numero di omologazione: </w:t>
      </w:r>
      <w:r>
        <w:tab/>
      </w:r>
    </w:p>
    <w:p w:rsidR="009C13A9" w:rsidRPr="00C903F8" w:rsidRDefault="009C13A9" w:rsidP="009C13A9">
      <w:pPr>
        <w:tabs>
          <w:tab w:val="left" w:leader="dot" w:pos="9072"/>
        </w:tabs>
        <w:spacing w:line="240" w:lineRule="atLeast"/>
        <w:ind w:left="567" w:firstLine="0"/>
        <w:rPr>
          <w:noProof/>
          <w:szCs w:val="20"/>
        </w:rPr>
      </w:pPr>
      <w:r>
        <w:tab/>
      </w:r>
    </w:p>
    <w:p w:rsidR="009C13A9" w:rsidRPr="00C903F8" w:rsidRDefault="009C13A9" w:rsidP="009C13A9">
      <w:pPr>
        <w:tabs>
          <w:tab w:val="left" w:leader="dot" w:pos="9072"/>
        </w:tabs>
        <w:spacing w:line="240" w:lineRule="atLeast"/>
        <w:ind w:left="567" w:hanging="567"/>
        <w:jc w:val="left"/>
        <w:rPr>
          <w:noProof/>
          <w:szCs w:val="20"/>
        </w:rPr>
      </w:pPr>
    </w:p>
    <w:p w:rsidR="009C13A9" w:rsidRPr="00C903F8" w:rsidRDefault="009C13A9" w:rsidP="009C13A9">
      <w:pPr>
        <w:tabs>
          <w:tab w:val="left" w:leader="dot" w:pos="9072"/>
        </w:tabs>
        <w:spacing w:line="240" w:lineRule="atLeast"/>
        <w:ind w:left="567" w:hanging="567"/>
        <w:jc w:val="left"/>
        <w:rPr>
          <w:noProof/>
          <w:szCs w:val="20"/>
        </w:rPr>
      </w:pPr>
      <w:r>
        <w:t>0.7</w:t>
      </w:r>
      <w:r>
        <w:tab/>
        <w:t xml:space="preserve">Indirizzo/i delle unità di produzione: </w:t>
      </w:r>
      <w:r>
        <w:tab/>
      </w:r>
    </w:p>
    <w:p w:rsidR="009C13A9" w:rsidRPr="00C903F8" w:rsidRDefault="009C13A9" w:rsidP="009C13A9">
      <w:pPr>
        <w:tabs>
          <w:tab w:val="left" w:leader="dot" w:pos="9072"/>
        </w:tabs>
        <w:spacing w:line="240" w:lineRule="atLeast"/>
        <w:ind w:left="567" w:firstLine="0"/>
        <w:rPr>
          <w:noProof/>
          <w:szCs w:val="20"/>
        </w:rPr>
      </w:pPr>
      <w:r>
        <w:tab/>
      </w:r>
    </w:p>
    <w:p w:rsidR="009C13A9" w:rsidRPr="00C903F8" w:rsidRDefault="009C13A9" w:rsidP="009C13A9">
      <w:pPr>
        <w:spacing w:line="240" w:lineRule="atLeast"/>
        <w:ind w:left="850" w:hanging="850"/>
        <w:outlineLvl w:val="0"/>
        <w:rPr>
          <w:noProof/>
          <w:szCs w:val="20"/>
        </w:rPr>
      </w:pPr>
    </w:p>
    <w:p w:rsidR="009C13A9" w:rsidRPr="00F04CAF" w:rsidRDefault="009C13A9" w:rsidP="009C13A9">
      <w:pPr>
        <w:spacing w:line="240" w:lineRule="atLeast"/>
        <w:ind w:left="850" w:hanging="850"/>
        <w:outlineLvl w:val="0"/>
        <w:rPr>
          <w:b/>
          <w:noProof/>
          <w:szCs w:val="20"/>
        </w:rPr>
      </w:pPr>
      <w:r>
        <w:rPr>
          <w:b/>
          <w:noProof/>
        </w:rPr>
        <w:t xml:space="preserve">Appendici </w:t>
      </w:r>
    </w:p>
    <w:p w:rsidR="009C13A9" w:rsidRPr="00C903F8" w:rsidRDefault="009C13A9" w:rsidP="009C13A9">
      <w:pPr>
        <w:spacing w:line="240" w:lineRule="atLeast"/>
        <w:ind w:left="850" w:hanging="850"/>
        <w:outlineLvl w:val="0"/>
        <w:rPr>
          <w:noProof/>
          <w:szCs w:val="20"/>
        </w:rPr>
      </w:pPr>
    </w:p>
    <w:p w:rsidR="009C13A9" w:rsidRPr="00C903F8" w:rsidRDefault="009C13A9" w:rsidP="009C13A9">
      <w:pPr>
        <w:spacing w:line="240" w:lineRule="atLeast"/>
        <w:ind w:left="567" w:hanging="567"/>
        <w:rPr>
          <w:noProof/>
          <w:szCs w:val="20"/>
        </w:rPr>
      </w:pPr>
      <w:r>
        <w:t>1.</w:t>
      </w:r>
      <w:r>
        <w:tab/>
        <w:t xml:space="preserve">Caratteristiche principali del tipo di impianto di depurazione di bordo </w:t>
      </w:r>
    </w:p>
    <w:p w:rsidR="009C13A9" w:rsidRPr="00C903F8" w:rsidRDefault="009C13A9" w:rsidP="009C13A9">
      <w:pPr>
        <w:spacing w:before="60" w:line="240" w:lineRule="atLeast"/>
        <w:ind w:left="567" w:hanging="567"/>
        <w:rPr>
          <w:noProof/>
          <w:szCs w:val="20"/>
        </w:rPr>
      </w:pPr>
      <w:r>
        <w:t>2.</w:t>
      </w:r>
      <w:r>
        <w:tab/>
        <w:t xml:space="preserve">Criteri dimensionali e di progettazione, specifiche e regolamenti dimensionali applicati </w:t>
      </w:r>
    </w:p>
    <w:p w:rsidR="009C13A9" w:rsidRPr="00C903F8" w:rsidRDefault="009C13A9" w:rsidP="009C13A9">
      <w:pPr>
        <w:spacing w:before="60" w:line="240" w:lineRule="atLeast"/>
        <w:ind w:left="567" w:hanging="567"/>
        <w:rPr>
          <w:noProof/>
          <w:szCs w:val="20"/>
        </w:rPr>
      </w:pPr>
      <w:r>
        <w:t>3.</w:t>
      </w:r>
      <w:r>
        <w:tab/>
        <w:t>Schema dell’impianto di depurazione di bordo con elenco delle parti</w:t>
      </w:r>
    </w:p>
    <w:p w:rsidR="009C13A9" w:rsidRPr="00C903F8" w:rsidRDefault="009C13A9" w:rsidP="009C13A9">
      <w:pPr>
        <w:spacing w:before="60" w:line="240" w:lineRule="atLeast"/>
        <w:ind w:left="567" w:hanging="567"/>
        <w:rPr>
          <w:noProof/>
          <w:szCs w:val="20"/>
        </w:rPr>
      </w:pPr>
      <w:r>
        <w:t>4.</w:t>
      </w:r>
      <w:r>
        <w:tab/>
        <w:t xml:space="preserve">Schema dell’impianto di prova con elenco delle parti </w:t>
      </w:r>
    </w:p>
    <w:p w:rsidR="009C13A9" w:rsidRPr="00C903F8" w:rsidRDefault="009C13A9" w:rsidP="009C13A9">
      <w:pPr>
        <w:spacing w:before="60" w:line="240" w:lineRule="atLeast"/>
        <w:ind w:left="567" w:hanging="567"/>
        <w:rPr>
          <w:noProof/>
          <w:szCs w:val="20"/>
        </w:rPr>
      </w:pPr>
      <w:r>
        <w:t>5</w:t>
      </w:r>
      <w:r>
        <w:tab/>
        <w:t xml:space="preserve">5 Schema dell’impianto elettrico (schema R/I) </w:t>
      </w:r>
    </w:p>
    <w:p w:rsidR="009C13A9" w:rsidRPr="00C903F8" w:rsidRDefault="009C13A9" w:rsidP="009C13A9">
      <w:pPr>
        <w:spacing w:before="60" w:line="240" w:lineRule="atLeast"/>
        <w:ind w:left="567" w:hanging="567"/>
        <w:rPr>
          <w:noProof/>
          <w:szCs w:val="20"/>
        </w:rPr>
      </w:pPr>
      <w:r>
        <w:t>6.</w:t>
      </w:r>
      <w:r>
        <w:tab/>
        <w:t xml:space="preserve">Dichiarazione che sono state rispettate tutte le specifiche relative alla sicurezza meccanica, elettrica e tecnica degli impianti di depurazione di bordo e le specifiche relative alla sicurezza dell’imbarcazione </w:t>
      </w:r>
    </w:p>
    <w:p w:rsidR="009C13A9" w:rsidRPr="00C903F8" w:rsidRDefault="009C13A9" w:rsidP="009C13A9">
      <w:pPr>
        <w:spacing w:before="60" w:line="240" w:lineRule="atLeast"/>
        <w:ind w:left="567" w:hanging="567"/>
        <w:rPr>
          <w:noProof/>
          <w:szCs w:val="20"/>
        </w:rPr>
      </w:pPr>
      <w:r>
        <w:t>7.</w:t>
      </w:r>
      <w:r>
        <w:tab/>
        <w:t xml:space="preserve">Caratteristiche di tutte le parti dell’imbarcazione che sono collegate all’impianto di depurazione di bordo </w:t>
      </w:r>
    </w:p>
    <w:p w:rsidR="009C13A9" w:rsidRPr="00C903F8" w:rsidRDefault="009C13A9" w:rsidP="009C13A9">
      <w:pPr>
        <w:spacing w:before="60" w:line="240" w:lineRule="atLeast"/>
        <w:ind w:left="567" w:hanging="567"/>
        <w:rPr>
          <w:noProof/>
          <w:szCs w:val="20"/>
        </w:rPr>
      </w:pPr>
      <w:r>
        <w:t>8.</w:t>
      </w:r>
      <w:r>
        <w:tab/>
        <w:t>Guida del costruttore per il controllo dei componenti e parametri relativi dell'impianto di depurazione di bordo che intervengono nel trattamento delle acque reflue in conformità dell'articolo 1.01, paragrafo 9, punto 10.</w:t>
      </w:r>
    </w:p>
    <w:p w:rsidR="009C13A9" w:rsidRPr="00C903F8" w:rsidRDefault="009C13A9" w:rsidP="009C13A9">
      <w:pPr>
        <w:spacing w:line="240" w:lineRule="atLeast"/>
        <w:ind w:left="567" w:hanging="567"/>
        <w:rPr>
          <w:noProof/>
          <w:szCs w:val="20"/>
        </w:rPr>
      </w:pPr>
      <w:r>
        <w:br w:type="page"/>
      </w:r>
    </w:p>
    <w:p w:rsidR="009C13A9" w:rsidRPr="00C903F8" w:rsidRDefault="009C13A9" w:rsidP="009C13A9">
      <w:pPr>
        <w:spacing w:line="240" w:lineRule="atLeast"/>
        <w:ind w:left="567" w:hanging="567"/>
        <w:rPr>
          <w:noProof/>
          <w:szCs w:val="20"/>
        </w:rPr>
      </w:pPr>
      <w:r>
        <w:lastRenderedPageBreak/>
        <w:t>9.</w:t>
      </w:r>
      <w:r>
        <w:tab/>
        <w:t>Fotografie dell’impianto di depurazione di bordo</w:t>
      </w:r>
    </w:p>
    <w:p w:rsidR="009C13A9" w:rsidRPr="00C903F8" w:rsidRDefault="009C13A9" w:rsidP="009C13A9">
      <w:pPr>
        <w:spacing w:before="60" w:line="240" w:lineRule="atLeast"/>
        <w:ind w:left="567" w:hanging="567"/>
        <w:rPr>
          <w:noProof/>
          <w:szCs w:val="20"/>
        </w:rPr>
      </w:pPr>
      <w:r>
        <w:t>10.</w:t>
      </w:r>
      <w:r>
        <w:tab/>
        <w:t>Concetti operativi</w:t>
      </w:r>
      <w:r>
        <w:rPr>
          <w:noProof/>
          <w:vertAlign w:val="superscript"/>
        </w:rPr>
        <w:t>(</w:t>
      </w:r>
      <w:r>
        <w:rPr>
          <w:noProof/>
          <w:vertAlign w:val="superscript"/>
        </w:rPr>
        <w:footnoteReference w:id="64"/>
      </w:r>
      <w:r>
        <w:rPr>
          <w:noProof/>
          <w:vertAlign w:val="superscript"/>
        </w:rPr>
        <w:t>)</w:t>
      </w:r>
    </w:p>
    <w:p w:rsidR="009C13A9" w:rsidRPr="00C903F8" w:rsidRDefault="009C13A9" w:rsidP="009C13A9">
      <w:pPr>
        <w:spacing w:before="60" w:line="240" w:lineRule="atLeast"/>
        <w:ind w:left="567" w:hanging="567"/>
        <w:rPr>
          <w:noProof/>
          <w:szCs w:val="20"/>
        </w:rPr>
      </w:pPr>
      <w:r>
        <w:t>10.1</w:t>
      </w:r>
      <w:r>
        <w:tab/>
        <w:t xml:space="preserve">Istruzioni per il funzionamento manuale dell’impianto di depurazione di bordo </w:t>
      </w:r>
    </w:p>
    <w:p w:rsidR="009C13A9" w:rsidRPr="00C903F8" w:rsidRDefault="009C13A9" w:rsidP="009C13A9">
      <w:pPr>
        <w:spacing w:before="60" w:line="240" w:lineRule="atLeast"/>
        <w:ind w:left="567" w:hanging="567"/>
        <w:rPr>
          <w:noProof/>
          <w:szCs w:val="20"/>
        </w:rPr>
      </w:pPr>
      <w:r>
        <w:t>10.2</w:t>
      </w:r>
      <w:r>
        <w:tab/>
        <w:t>Informazioni sulla gestione dei fanghi di depurazione in eccesso (intervalli di scarico)</w:t>
      </w:r>
    </w:p>
    <w:p w:rsidR="009C13A9" w:rsidRPr="00C903F8" w:rsidRDefault="009C13A9" w:rsidP="009C13A9">
      <w:pPr>
        <w:spacing w:before="60" w:line="240" w:lineRule="atLeast"/>
        <w:ind w:left="567" w:hanging="567"/>
        <w:rPr>
          <w:noProof/>
          <w:szCs w:val="20"/>
        </w:rPr>
      </w:pPr>
      <w:r>
        <w:t>10.3</w:t>
      </w:r>
      <w:r>
        <w:tab/>
        <w:t>Informazioni sulla manutenzione e la riparazione</w:t>
      </w:r>
    </w:p>
    <w:p w:rsidR="009C13A9" w:rsidRPr="00C903F8" w:rsidRDefault="009C13A9" w:rsidP="009C13A9">
      <w:pPr>
        <w:spacing w:before="60" w:line="240" w:lineRule="atLeast"/>
        <w:ind w:left="567" w:hanging="567"/>
        <w:rPr>
          <w:noProof/>
          <w:szCs w:val="20"/>
        </w:rPr>
      </w:pPr>
      <w:r>
        <w:t>10.4</w:t>
      </w:r>
      <w:r>
        <w:tab/>
        <w:t>Informazioni sugli interventi necessari in caso di stand-by dell’impianto di depurazione di bordo</w:t>
      </w:r>
    </w:p>
    <w:p w:rsidR="009C13A9" w:rsidRPr="00C903F8" w:rsidRDefault="009C13A9" w:rsidP="009C13A9">
      <w:pPr>
        <w:spacing w:before="60" w:line="240" w:lineRule="atLeast"/>
        <w:ind w:left="567" w:hanging="567"/>
        <w:rPr>
          <w:noProof/>
          <w:szCs w:val="20"/>
        </w:rPr>
      </w:pPr>
      <w:r>
        <w:t>10.5</w:t>
      </w:r>
      <w:r>
        <w:tab/>
        <w:t>Informazioni sugli interventi necessari in caso di operatività di emergenza dell’impianto di depurazione di bordo</w:t>
      </w:r>
    </w:p>
    <w:p w:rsidR="009C13A9" w:rsidRPr="00C903F8" w:rsidRDefault="009C13A9" w:rsidP="009C13A9">
      <w:pPr>
        <w:spacing w:before="60" w:line="240" w:lineRule="atLeast"/>
        <w:ind w:left="567" w:hanging="567"/>
        <w:rPr>
          <w:noProof/>
          <w:szCs w:val="20"/>
        </w:rPr>
      </w:pPr>
      <w:r>
        <w:t>10.6</w:t>
      </w:r>
      <w:r>
        <w:tab/>
        <w:t>Informazioni relative alle modalità spegnimento, arresto e riavvio dell’impianto di depurazione di bordo</w:t>
      </w:r>
    </w:p>
    <w:p w:rsidR="009C13A9" w:rsidRPr="00C903F8" w:rsidRDefault="009C13A9" w:rsidP="009C13A9">
      <w:pPr>
        <w:spacing w:before="60" w:line="240" w:lineRule="atLeast"/>
        <w:ind w:left="567" w:hanging="567"/>
        <w:rPr>
          <w:noProof/>
          <w:szCs w:val="20"/>
        </w:rPr>
      </w:pPr>
      <w:r>
        <w:t>10.7</w:t>
      </w:r>
      <w:r>
        <w:tab/>
        <w:t xml:space="preserve">Informazioni sui requisiti di pretrattamento delle acque reflue delle cucine </w:t>
      </w:r>
    </w:p>
    <w:p w:rsidR="009C13A9" w:rsidRPr="00C903F8" w:rsidRDefault="009C13A9" w:rsidP="009C13A9">
      <w:pPr>
        <w:spacing w:before="60" w:line="240" w:lineRule="atLeast"/>
        <w:ind w:left="567" w:hanging="567"/>
        <w:rPr>
          <w:noProof/>
          <w:szCs w:val="20"/>
        </w:rPr>
      </w:pPr>
      <w:r>
        <w:t>11.</w:t>
      </w:r>
      <w:r>
        <w:tab/>
        <w:t>Altri apparecchi (elencare qui)</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p>
    <w:p w:rsidR="009C13A9" w:rsidRPr="00C903F8" w:rsidRDefault="009C13A9" w:rsidP="009C13A9">
      <w:pPr>
        <w:outlineLvl w:val="0"/>
        <w:rPr>
          <w:b/>
          <w:noProof/>
          <w:szCs w:val="20"/>
        </w:rPr>
      </w:pPr>
      <w:r>
        <w:rPr>
          <w:b/>
          <w:noProof/>
        </w:rPr>
        <w:t>Data, firma del fabbricante dell’impianto di depurazione di bordo</w:t>
      </w:r>
    </w:p>
    <w:p w:rsidR="009C13A9" w:rsidRPr="00C903F8" w:rsidRDefault="009C13A9" w:rsidP="009C13A9">
      <w:pPr>
        <w:spacing w:line="240" w:lineRule="atLeast"/>
        <w:rPr>
          <w:rFonts w:cs="Arial"/>
          <w:noProof/>
          <w:color w:val="000000"/>
        </w:rPr>
      </w:pPr>
    </w:p>
    <w:p w:rsidR="009C13A9" w:rsidRPr="00C903F8" w:rsidRDefault="009C13A9" w:rsidP="009C13A9">
      <w:pPr>
        <w:rPr>
          <w:noProof/>
          <w:szCs w:val="20"/>
        </w:rPr>
      </w:pPr>
      <w:r>
        <w:t>……………………………………………</w:t>
      </w:r>
      <w:r>
        <w:tab/>
        <w:t>………………………………………….</w:t>
      </w:r>
    </w:p>
    <w:p w:rsidR="009C13A9" w:rsidRPr="00C903F8" w:rsidRDefault="009C13A9" w:rsidP="009C13A9">
      <w:pPr>
        <w:rPr>
          <w:noProof/>
          <w:szCs w:val="20"/>
        </w:rPr>
      </w:pPr>
    </w:p>
    <w:p w:rsidR="009C13A9" w:rsidRPr="00C903F8" w:rsidRDefault="009C13A9" w:rsidP="009C13A9">
      <w:pPr>
        <w:tabs>
          <w:tab w:val="left" w:pos="142"/>
        </w:tabs>
        <w:suppressAutoHyphens/>
        <w:autoSpaceDE/>
        <w:autoSpaceDN/>
        <w:spacing w:line="240" w:lineRule="atLeast"/>
        <w:ind w:left="0" w:firstLine="0"/>
        <w:jc w:val="left"/>
        <w:rPr>
          <w:rFonts w:cs="Arial"/>
          <w:szCs w:val="20"/>
        </w:rPr>
      </w:pPr>
    </w:p>
    <w:p w:rsidR="009C13A9" w:rsidRPr="00C903F8" w:rsidRDefault="009C13A9" w:rsidP="009C13A9">
      <w:pPr>
        <w:tabs>
          <w:tab w:val="center" w:pos="7655"/>
        </w:tabs>
        <w:suppressAutoHyphens/>
        <w:autoSpaceDE/>
        <w:autoSpaceDN/>
        <w:spacing w:line="240" w:lineRule="atLeast"/>
        <w:ind w:left="0" w:firstLine="0"/>
        <w:jc w:val="center"/>
        <w:rPr>
          <w:rFonts w:cs="Arial"/>
          <w:b/>
          <w:szCs w:val="22"/>
        </w:rPr>
      </w:pPr>
      <w:r>
        <w:rPr>
          <w:b/>
        </w:rPr>
        <w:t>Appendice 1</w:t>
      </w:r>
    </w:p>
    <w:p w:rsidR="009C13A9" w:rsidRPr="00C903F8" w:rsidRDefault="009C13A9" w:rsidP="009C13A9">
      <w:pPr>
        <w:tabs>
          <w:tab w:val="center" w:pos="7655"/>
        </w:tabs>
        <w:suppressAutoHyphens/>
        <w:autoSpaceDE/>
        <w:autoSpaceDN/>
        <w:spacing w:line="240" w:lineRule="atLeast"/>
        <w:ind w:left="0" w:firstLine="0"/>
        <w:jc w:val="center"/>
        <w:rPr>
          <w:rFonts w:cs="Arial"/>
          <w:szCs w:val="20"/>
        </w:rPr>
      </w:pPr>
      <w:r>
        <w:rPr>
          <w:b/>
        </w:rPr>
        <w:t xml:space="preserve">Caratteristiche principali del tipo di impianto di depurazione di bordo </w:t>
      </w:r>
      <w:r>
        <w:rPr>
          <w:rFonts w:cs="Arial"/>
          <w:b/>
          <w:szCs w:val="20"/>
        </w:rPr>
        <w:br/>
      </w:r>
      <w:r>
        <w:t>(Modello)</w:t>
      </w:r>
    </w:p>
    <w:p w:rsidR="009C13A9" w:rsidRPr="00C903F8" w:rsidRDefault="009C13A9" w:rsidP="009C13A9">
      <w:pPr>
        <w:suppressAutoHyphens/>
        <w:autoSpaceDE/>
        <w:autoSpaceDN/>
        <w:spacing w:line="240" w:lineRule="atLeast"/>
        <w:ind w:left="993" w:hanging="993"/>
        <w:jc w:val="left"/>
        <w:rPr>
          <w:rFonts w:cs="Arial"/>
          <w:szCs w:val="20"/>
        </w:rPr>
      </w:pPr>
    </w:p>
    <w:p w:rsidR="009C13A9" w:rsidRPr="00C903F8" w:rsidRDefault="009C13A9" w:rsidP="009C13A9">
      <w:pPr>
        <w:ind w:left="850" w:hanging="850"/>
        <w:outlineLvl w:val="0"/>
        <w:rPr>
          <w:b/>
          <w:noProof/>
          <w:szCs w:val="20"/>
        </w:rPr>
      </w:pPr>
      <w:r>
        <w:rPr>
          <w:b/>
          <w:noProof/>
        </w:rPr>
        <w:t>1.</w:t>
      </w:r>
      <w:r>
        <w:tab/>
      </w:r>
      <w:r>
        <w:rPr>
          <w:b/>
          <w:noProof/>
        </w:rPr>
        <w:t>Descrizione dell’impianto di depurazione di bordo</w:t>
      </w:r>
    </w:p>
    <w:p w:rsidR="009C13A9" w:rsidRPr="00C903F8" w:rsidRDefault="009C13A9" w:rsidP="00C036E3">
      <w:pPr>
        <w:tabs>
          <w:tab w:val="left" w:leader="dot" w:pos="9072"/>
        </w:tabs>
        <w:ind w:left="851" w:hanging="851"/>
        <w:rPr>
          <w:noProof/>
          <w:szCs w:val="20"/>
        </w:rPr>
      </w:pPr>
      <w:r>
        <w:t>1.1</w:t>
      </w:r>
      <w:r>
        <w:tab/>
        <w:t xml:space="preserve">Costruttore: </w:t>
      </w:r>
      <w:r>
        <w:tab/>
      </w:r>
    </w:p>
    <w:p w:rsidR="009C13A9" w:rsidRPr="00C903F8" w:rsidRDefault="009C13A9" w:rsidP="00C036E3">
      <w:pPr>
        <w:tabs>
          <w:tab w:val="left" w:leader="dot" w:pos="9072"/>
        </w:tabs>
        <w:ind w:left="851" w:hanging="851"/>
        <w:jc w:val="left"/>
        <w:rPr>
          <w:noProof/>
          <w:szCs w:val="20"/>
        </w:rPr>
      </w:pPr>
      <w:r>
        <w:t>1.2</w:t>
      </w:r>
      <w:r>
        <w:tab/>
        <w:t xml:space="preserve">Numero di serie dell'impianto: </w:t>
      </w:r>
      <w:r>
        <w:tab/>
      </w:r>
    </w:p>
    <w:p w:rsidR="009C13A9" w:rsidRPr="00C903F8" w:rsidRDefault="009C13A9" w:rsidP="009C13A9">
      <w:pPr>
        <w:ind w:left="850" w:hanging="850"/>
        <w:rPr>
          <w:noProof/>
          <w:szCs w:val="20"/>
        </w:rPr>
      </w:pPr>
      <w:r>
        <w:t>1.3</w:t>
      </w:r>
      <w:r>
        <w:tab/>
        <w:t xml:space="preserve">Modalità di trattamento: biologico o meccanico/chimico </w:t>
      </w:r>
      <w:r>
        <w:rPr>
          <w:noProof/>
          <w:vertAlign w:val="superscript"/>
        </w:rPr>
        <w:t>(</w:t>
      </w:r>
      <w:r>
        <w:rPr>
          <w:noProof/>
          <w:vertAlign w:val="superscript"/>
        </w:rPr>
        <w:footnoteReference w:id="65"/>
      </w:r>
      <w:r>
        <w:rPr>
          <w:noProof/>
          <w:vertAlign w:val="superscript"/>
        </w:rPr>
        <w:t>)</w:t>
      </w:r>
    </w:p>
    <w:p w:rsidR="009C13A9" w:rsidRPr="00C903F8" w:rsidRDefault="009C13A9" w:rsidP="009C13A9">
      <w:pPr>
        <w:ind w:left="850" w:hanging="850"/>
        <w:rPr>
          <w:noProof/>
          <w:szCs w:val="20"/>
        </w:rPr>
      </w:pPr>
      <w:r>
        <w:t>1.4</w:t>
      </w:r>
      <w:r>
        <w:tab/>
        <w:t>Serbatoio di stoccaggio delle acque reflue collocato a monte? Sì, … m³ / No</w:t>
      </w:r>
      <w:r>
        <w:rPr>
          <w:noProof/>
          <w:vertAlign w:val="superscript"/>
        </w:rPr>
        <w:t>(2)</w:t>
      </w:r>
    </w:p>
    <w:p w:rsidR="009C13A9" w:rsidRPr="00C903F8" w:rsidRDefault="009C13A9" w:rsidP="009C13A9">
      <w:pPr>
        <w:ind w:left="850" w:hanging="850"/>
        <w:outlineLvl w:val="0"/>
        <w:rPr>
          <w:b/>
          <w:bCs/>
          <w:noProof/>
          <w:szCs w:val="20"/>
        </w:rPr>
      </w:pPr>
    </w:p>
    <w:p w:rsidR="009C13A9" w:rsidRPr="00C903F8" w:rsidRDefault="009C13A9" w:rsidP="009C13A9">
      <w:pPr>
        <w:ind w:left="850" w:hanging="850"/>
        <w:outlineLvl w:val="0"/>
        <w:rPr>
          <w:b/>
          <w:bCs/>
          <w:noProof/>
          <w:szCs w:val="20"/>
        </w:rPr>
      </w:pPr>
      <w:r>
        <w:rPr>
          <w:b/>
          <w:noProof/>
        </w:rPr>
        <w:t>2.</w:t>
      </w:r>
      <w:r>
        <w:tab/>
      </w:r>
      <w:r>
        <w:rPr>
          <w:b/>
          <w:noProof/>
        </w:rPr>
        <w:t xml:space="preserve">Criteri dimensionali e di progettazione (incluse eventuali istruzioni speciali di montaggio o restrizioni d’uso) </w:t>
      </w:r>
    </w:p>
    <w:p w:rsidR="009C13A9" w:rsidRPr="00C903F8" w:rsidRDefault="009C13A9" w:rsidP="00C036E3">
      <w:pPr>
        <w:tabs>
          <w:tab w:val="left" w:leader="dot" w:pos="9072"/>
        </w:tabs>
        <w:ind w:left="851" w:hanging="851"/>
        <w:rPr>
          <w:noProof/>
          <w:szCs w:val="20"/>
        </w:rPr>
      </w:pPr>
      <w:r>
        <w:t>2.1</w:t>
      </w:r>
      <w:r>
        <w:tab/>
      </w:r>
      <w:r>
        <w:tab/>
      </w:r>
    </w:p>
    <w:p w:rsidR="009C13A9" w:rsidRPr="00C903F8" w:rsidRDefault="009C13A9" w:rsidP="00C036E3">
      <w:pPr>
        <w:tabs>
          <w:tab w:val="left" w:leader="dot" w:pos="9072"/>
        </w:tabs>
        <w:ind w:left="851" w:hanging="851"/>
        <w:rPr>
          <w:noProof/>
          <w:szCs w:val="20"/>
        </w:rPr>
      </w:pPr>
      <w:r>
        <w:t>2.2</w:t>
      </w:r>
      <w:r>
        <w:tab/>
      </w:r>
      <w:r>
        <w:tab/>
      </w:r>
    </w:p>
    <w:p w:rsidR="009C13A9" w:rsidRPr="00C903F8" w:rsidRDefault="009C13A9" w:rsidP="009C13A9">
      <w:pPr>
        <w:ind w:left="850" w:hanging="850"/>
        <w:rPr>
          <w:noProof/>
          <w:szCs w:val="20"/>
        </w:rPr>
      </w:pPr>
    </w:p>
    <w:p w:rsidR="009C13A9" w:rsidRPr="00C903F8" w:rsidRDefault="009C13A9" w:rsidP="009C13A9">
      <w:pPr>
        <w:ind w:left="850" w:hanging="850"/>
        <w:outlineLvl w:val="0"/>
        <w:rPr>
          <w:b/>
          <w:bCs/>
          <w:noProof/>
          <w:szCs w:val="20"/>
        </w:rPr>
      </w:pPr>
      <w:r>
        <w:rPr>
          <w:b/>
          <w:noProof/>
        </w:rPr>
        <w:t>3.</w:t>
      </w:r>
      <w:r>
        <w:tab/>
      </w:r>
      <w:r>
        <w:rPr>
          <w:b/>
          <w:noProof/>
        </w:rPr>
        <w:t>Dimensioni dell’impianto di depurazione di bordo</w:t>
      </w:r>
    </w:p>
    <w:p w:rsidR="009C13A9" w:rsidRPr="00C903F8" w:rsidRDefault="009C13A9" w:rsidP="00C036E3">
      <w:pPr>
        <w:tabs>
          <w:tab w:val="left" w:leader="dot" w:pos="9072"/>
        </w:tabs>
        <w:ind w:left="851" w:hanging="851"/>
        <w:jc w:val="left"/>
        <w:rPr>
          <w:noProof/>
          <w:szCs w:val="20"/>
        </w:rPr>
      </w:pPr>
      <w:r>
        <w:t>3.1</w:t>
      </w:r>
      <w:r>
        <w:tab/>
        <w:t xml:space="preserve">Portata volumetrica massima giornaliera di acque reflue </w:t>
      </w:r>
      <m:oMath>
        <m:sSub>
          <m:sSubPr>
            <m:ctrlPr>
              <w:rPr>
                <w:rFonts w:ascii="Cambria Math" w:hAnsi="Cambria Math" w:cs="Arial"/>
                <w:i/>
                <w:szCs w:val="20"/>
              </w:rPr>
            </m:ctrlPr>
          </m:sSubPr>
          <m:e>
            <m:r>
              <w:rPr>
                <w:rFonts w:ascii="Cambria Math" w:hAnsi="Cambria Math" w:cs="Arial"/>
                <w:szCs w:val="20"/>
              </w:rPr>
              <m:t>Q</m:t>
            </m:r>
          </m:e>
          <m:sub>
            <m:r>
              <w:rPr>
                <w:rFonts w:ascii="Cambria Math" w:hAnsi="Cambria Math" w:cs="Arial"/>
                <w:szCs w:val="20"/>
              </w:rPr>
              <m:t>d</m:t>
            </m:r>
          </m:sub>
        </m:sSub>
      </m:oMath>
      <w:r>
        <w:t xml:space="preserve"> (m</w:t>
      </w:r>
      <w:r>
        <w:rPr>
          <w:vertAlign w:val="superscript"/>
        </w:rPr>
        <w:t>3</w:t>
      </w:r>
      <w:r>
        <w:t xml:space="preserve">/g): </w:t>
      </w:r>
      <w:r>
        <w:tab/>
      </w:r>
    </w:p>
    <w:p w:rsidR="009C13A9" w:rsidRPr="00C903F8" w:rsidRDefault="009C13A9" w:rsidP="00C036E3">
      <w:pPr>
        <w:tabs>
          <w:tab w:val="left" w:leader="dot" w:pos="9072"/>
        </w:tabs>
        <w:ind w:left="851" w:hanging="851"/>
        <w:jc w:val="left"/>
        <w:rPr>
          <w:noProof/>
          <w:szCs w:val="20"/>
        </w:rPr>
      </w:pPr>
      <w:r>
        <w:t>3.2</w:t>
      </w:r>
      <w:r>
        <w:tab/>
        <w:t xml:space="preserve">Carico giornaliero di inquinante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t xml:space="preserve"> (kg/d): </w:t>
      </w:r>
      <w:r>
        <w:tab/>
      </w:r>
    </w:p>
    <w:p w:rsidR="009C13A9" w:rsidRPr="00C903F8" w:rsidRDefault="009C13A9" w:rsidP="009C13A9">
      <w:pPr>
        <w:ind w:left="850" w:hanging="850"/>
        <w:jc w:val="left"/>
        <w:rPr>
          <w:noProof/>
          <w:szCs w:val="20"/>
        </w:rPr>
      </w:pPr>
    </w:p>
    <w:p w:rsidR="009C13A9" w:rsidRPr="00C903F8" w:rsidRDefault="009C13A9" w:rsidP="009C13A9">
      <w:pPr>
        <w:ind w:left="850" w:hanging="850"/>
        <w:jc w:val="left"/>
        <w:rPr>
          <w:noProof/>
          <w:szCs w:val="20"/>
        </w:rPr>
      </w:pPr>
    </w:p>
    <w:p w:rsidR="009C13A9" w:rsidRPr="00C903F8" w:rsidRDefault="009C13A9" w:rsidP="009C13A9">
      <w:pPr>
        <w:ind w:left="850" w:hanging="850"/>
        <w:jc w:val="left"/>
        <w:rPr>
          <w:noProof/>
          <w:szCs w:val="20"/>
        </w:rPr>
      </w:pPr>
    </w:p>
    <w:p w:rsidR="009C13A9" w:rsidRPr="00C903F8" w:rsidRDefault="009C13A9" w:rsidP="009C13A9">
      <w:pPr>
        <w:tabs>
          <w:tab w:val="center" w:pos="7956"/>
        </w:tabs>
        <w:suppressAutoHyphens/>
        <w:autoSpaceDE/>
        <w:autoSpaceDN/>
        <w:spacing w:line="240" w:lineRule="atLeast"/>
        <w:ind w:left="0" w:firstLine="0"/>
        <w:jc w:val="right"/>
        <w:rPr>
          <w:rFonts w:cs="Arial"/>
          <w:szCs w:val="20"/>
        </w:rPr>
      </w:pPr>
      <w:r>
        <w:br w:type="page"/>
      </w:r>
    </w:p>
    <w:p w:rsidR="009C13A9" w:rsidRPr="00C903F8" w:rsidRDefault="00925755" w:rsidP="00684B1D">
      <w:pPr>
        <w:pStyle w:val="ES-Titre3"/>
        <w:rPr>
          <w:noProof/>
        </w:rPr>
      </w:pPr>
      <w:bookmarkStart w:id="690" w:name="_Toc491854328"/>
      <w:bookmarkStart w:id="691" w:name="_Toc535500277"/>
      <w:r>
        <w:lastRenderedPageBreak/>
        <w:t>Sezione III</w:t>
      </w:r>
      <w:bookmarkEnd w:id="690"/>
      <w:bookmarkEnd w:id="691"/>
    </w:p>
    <w:p w:rsidR="00684B1D" w:rsidRPr="00C903F8" w:rsidRDefault="009C13A9" w:rsidP="00684B1D">
      <w:pPr>
        <w:pStyle w:val="ES-Titre3a"/>
        <w:rPr>
          <w:noProof/>
        </w:rPr>
      </w:pPr>
      <w:bookmarkStart w:id="692" w:name="_Toc491854329"/>
      <w:bookmarkStart w:id="693" w:name="_Toc535500278"/>
      <w:r>
        <w:t>Certificato di omologazione</w:t>
      </w:r>
      <w:bookmarkEnd w:id="692"/>
      <w:bookmarkEnd w:id="693"/>
      <w:r>
        <w:t xml:space="preserve"> </w:t>
      </w:r>
    </w:p>
    <w:p w:rsidR="009C13A9" w:rsidRPr="00C903F8" w:rsidRDefault="009C13A9" w:rsidP="009C13A9">
      <w:pPr>
        <w:overflowPunct w:val="0"/>
        <w:adjustRightInd w:val="0"/>
        <w:spacing w:line="240" w:lineRule="exact"/>
        <w:ind w:left="0" w:firstLine="0"/>
        <w:jc w:val="center"/>
        <w:textAlignment w:val="baseline"/>
        <w:rPr>
          <w:rFonts w:eastAsia="Calibri"/>
          <w:noProof/>
          <w:szCs w:val="22"/>
        </w:rPr>
      </w:pPr>
      <w:r>
        <w:t>(Modello)</w:t>
      </w:r>
    </w:p>
    <w:p w:rsidR="009C13A9" w:rsidRPr="00C903F8" w:rsidRDefault="009C13A9" w:rsidP="009C13A9">
      <w:pPr>
        <w:suppressAutoHyphens/>
        <w:autoSpaceDE/>
        <w:autoSpaceDN/>
        <w:spacing w:line="240" w:lineRule="atLeast"/>
        <w:ind w:left="0" w:firstLine="0"/>
        <w:rPr>
          <w:rFonts w:cs="Arial"/>
          <w:szCs w:val="20"/>
        </w:rPr>
      </w:pPr>
    </w:p>
    <w:p w:rsidR="009C13A9" w:rsidRPr="00C903F8" w:rsidRDefault="009C13A9" w:rsidP="009C13A9">
      <w:pPr>
        <w:jc w:val="right"/>
        <w:rPr>
          <w:b/>
          <w:noProof/>
          <w:szCs w:val="20"/>
        </w:rPr>
      </w:pPr>
      <w:r>
        <w:t>Timbro dell’autorità competente</w:t>
      </w:r>
    </w:p>
    <w:p w:rsidR="009C13A9" w:rsidRPr="00C903F8" w:rsidRDefault="009C13A9" w:rsidP="009C13A9">
      <w:pPr>
        <w:rPr>
          <w:b/>
          <w:noProof/>
          <w:szCs w:val="20"/>
        </w:rPr>
      </w:pPr>
    </w:p>
    <w:p w:rsidR="009C13A9" w:rsidRPr="00C903F8" w:rsidRDefault="009C13A9" w:rsidP="009C13A9">
      <w:pPr>
        <w:tabs>
          <w:tab w:val="left" w:leader="dot" w:pos="4253"/>
          <w:tab w:val="left" w:pos="4536"/>
          <w:tab w:val="left" w:leader="dot" w:pos="9072"/>
        </w:tabs>
        <w:ind w:left="851" w:hanging="851"/>
        <w:outlineLvl w:val="0"/>
        <w:rPr>
          <w:noProof/>
          <w:szCs w:val="20"/>
        </w:rPr>
      </w:pPr>
      <w:r>
        <w:rPr>
          <w:b/>
        </w:rPr>
        <w:t>Omologazione n.</w:t>
      </w:r>
      <w:r>
        <w:t xml:space="preserve">: </w:t>
      </w:r>
      <w:r>
        <w:tab/>
      </w:r>
      <w:r>
        <w:tab/>
      </w:r>
      <w:r>
        <w:rPr>
          <w:b/>
        </w:rPr>
        <w:t>Estensione n.</w:t>
      </w:r>
      <w:r>
        <w:t xml:space="preserve">: </w:t>
      </w:r>
      <w:r>
        <w:tab/>
      </w:r>
    </w:p>
    <w:p w:rsidR="009C13A9" w:rsidRPr="00C903F8" w:rsidRDefault="009C13A9" w:rsidP="009C13A9">
      <w:pPr>
        <w:ind w:left="850" w:hanging="850"/>
        <w:rPr>
          <w:noProof/>
          <w:szCs w:val="20"/>
        </w:rPr>
      </w:pPr>
    </w:p>
    <w:p w:rsidR="009C13A9" w:rsidRPr="00C903F8" w:rsidRDefault="009C13A9" w:rsidP="009C13A9">
      <w:pPr>
        <w:tabs>
          <w:tab w:val="left" w:leader="dot" w:pos="9072"/>
        </w:tabs>
        <w:spacing w:line="240" w:lineRule="atLeast"/>
        <w:ind w:left="0" w:firstLine="0"/>
        <w:rPr>
          <w:rFonts w:cs="Arial"/>
          <w:noProof/>
        </w:rPr>
      </w:pPr>
      <w:r>
        <w:t xml:space="preserve">Notifica di </w:t>
      </w:r>
    </w:p>
    <w:p w:rsidR="009C13A9" w:rsidRPr="00C903F8" w:rsidRDefault="009C13A9" w:rsidP="009C13A9">
      <w:pPr>
        <w:spacing w:line="240" w:lineRule="atLeast"/>
        <w:rPr>
          <w:rFonts w:cs="Arial"/>
          <w:noProof/>
          <w:color w:val="000000"/>
        </w:rPr>
      </w:pPr>
      <w:r>
        <w:rPr>
          <w:noProof/>
          <w:color w:val="000000"/>
        </w:rPr>
        <w:t>-</w:t>
      </w:r>
      <w:r>
        <w:tab/>
      </w:r>
      <w:r>
        <w:rPr>
          <w:noProof/>
          <w:color w:val="000000"/>
        </w:rPr>
        <w:t>emissione/estensione/rifiuto/revoca</w:t>
      </w:r>
      <w:r>
        <w:rPr>
          <w:noProof/>
          <w:color w:val="000000"/>
          <w:vertAlign w:val="superscript"/>
        </w:rPr>
        <w:footnoteReference w:id="66"/>
      </w:r>
      <w:r>
        <w:rPr>
          <w:noProof/>
          <w:color w:val="000000"/>
        </w:rPr>
        <w:t xml:space="preserve"> </w:t>
      </w:r>
    </w:p>
    <w:p w:rsidR="009C13A9" w:rsidRPr="00C903F8" w:rsidRDefault="009C13A9" w:rsidP="009C13A9">
      <w:pPr>
        <w:tabs>
          <w:tab w:val="left" w:leader="dot" w:pos="9072"/>
        </w:tabs>
        <w:spacing w:line="240" w:lineRule="atLeast"/>
        <w:ind w:left="0" w:firstLine="0"/>
        <w:rPr>
          <w:rFonts w:cs="Arial"/>
          <w:noProof/>
        </w:rPr>
      </w:pPr>
      <w:r>
        <w:t xml:space="preserve">dell'omologazione per un tipo di impianto di depurazione di bordo conforme alla norma europea che stabilisce i requisiti tecnici per le navi della navigazione interna (ES-TRIN) </w:t>
      </w:r>
    </w:p>
    <w:p w:rsidR="009C13A9" w:rsidRPr="00C903F8" w:rsidRDefault="009C13A9" w:rsidP="009C13A9">
      <w:pPr>
        <w:ind w:left="850" w:hanging="850"/>
        <w:jc w:val="left"/>
        <w:rPr>
          <w:noProof/>
          <w:szCs w:val="20"/>
        </w:rPr>
      </w:pPr>
    </w:p>
    <w:p w:rsidR="009C13A9" w:rsidRPr="00C903F8" w:rsidRDefault="009C13A9" w:rsidP="009C13A9">
      <w:pPr>
        <w:tabs>
          <w:tab w:val="left" w:leader="dot" w:pos="9072"/>
        </w:tabs>
        <w:ind w:left="851" w:hanging="851"/>
        <w:jc w:val="left"/>
        <w:rPr>
          <w:noProof/>
          <w:szCs w:val="20"/>
        </w:rPr>
      </w:pPr>
      <w:r>
        <w:t xml:space="preserve">Motivi dell'eventuale estensione: </w:t>
      </w:r>
      <w:r>
        <w:tab/>
      </w:r>
    </w:p>
    <w:p w:rsidR="009C13A9" w:rsidRPr="00C903F8" w:rsidRDefault="009C13A9" w:rsidP="009C13A9">
      <w:pPr>
        <w:ind w:left="850" w:hanging="850"/>
        <w:rPr>
          <w:noProof/>
          <w:szCs w:val="20"/>
        </w:rPr>
      </w:pPr>
    </w:p>
    <w:p w:rsidR="009C13A9" w:rsidRPr="00C903F8" w:rsidRDefault="009C13A9" w:rsidP="009C13A9">
      <w:pPr>
        <w:ind w:left="850" w:hanging="850"/>
        <w:rPr>
          <w:noProof/>
          <w:szCs w:val="20"/>
        </w:rPr>
      </w:pPr>
    </w:p>
    <w:p w:rsidR="009C13A9" w:rsidRPr="00C903F8" w:rsidRDefault="009C13A9" w:rsidP="009C13A9">
      <w:pPr>
        <w:ind w:left="850" w:hanging="850"/>
        <w:outlineLvl w:val="0"/>
        <w:rPr>
          <w:b/>
          <w:bCs/>
          <w:noProof/>
          <w:szCs w:val="20"/>
        </w:rPr>
      </w:pPr>
      <w:r>
        <w:rPr>
          <w:b/>
          <w:noProof/>
        </w:rPr>
        <w:t>Sezione I</w:t>
      </w:r>
    </w:p>
    <w:p w:rsidR="009C13A9" w:rsidRPr="00C903F8" w:rsidRDefault="009C13A9" w:rsidP="009C13A9">
      <w:pPr>
        <w:ind w:left="850" w:hanging="850"/>
        <w:rPr>
          <w:noProof/>
          <w:szCs w:val="20"/>
        </w:rPr>
      </w:pPr>
    </w:p>
    <w:p w:rsidR="009C13A9" w:rsidRPr="00C903F8" w:rsidRDefault="009C13A9" w:rsidP="009C13A9">
      <w:pPr>
        <w:tabs>
          <w:tab w:val="left" w:leader="dot" w:pos="9072"/>
        </w:tabs>
        <w:spacing w:line="240" w:lineRule="atLeast"/>
        <w:ind w:left="709" w:hanging="709"/>
        <w:rPr>
          <w:noProof/>
          <w:szCs w:val="20"/>
        </w:rPr>
      </w:pPr>
      <w:r>
        <w:t>0.</w:t>
      </w:r>
      <w:r>
        <w:tab/>
        <w:t>Aspetti generali</w:t>
      </w:r>
    </w:p>
    <w:p w:rsidR="009C13A9" w:rsidRPr="00C903F8" w:rsidRDefault="009C13A9" w:rsidP="009C13A9">
      <w:pPr>
        <w:tabs>
          <w:tab w:val="left" w:leader="dot" w:pos="9072"/>
        </w:tabs>
        <w:spacing w:before="60" w:line="240" w:lineRule="atLeast"/>
        <w:ind w:left="709" w:hanging="709"/>
        <w:rPr>
          <w:noProof/>
          <w:szCs w:val="20"/>
        </w:rPr>
      </w:pPr>
      <w:r>
        <w:t>0.1</w:t>
      </w:r>
      <w:r>
        <w:tab/>
        <w:t xml:space="preserve">Marca (marchio commerciale del costruttore): </w:t>
      </w:r>
      <w:r>
        <w:tab/>
      </w:r>
    </w:p>
    <w:p w:rsidR="009C13A9" w:rsidRPr="00C903F8" w:rsidRDefault="009C13A9" w:rsidP="009C13A9">
      <w:pPr>
        <w:tabs>
          <w:tab w:val="left" w:leader="dot" w:pos="9072"/>
        </w:tabs>
        <w:spacing w:before="60" w:line="240" w:lineRule="atLeast"/>
        <w:ind w:left="720" w:hanging="709"/>
        <w:rPr>
          <w:noProof/>
          <w:szCs w:val="20"/>
        </w:rPr>
      </w:pPr>
      <w:r>
        <w:t>0.2</w:t>
      </w:r>
      <w:r>
        <w:tab/>
        <w:t xml:space="preserve">Designazione del tipo di impianto di depurazione di bordo da parte del costruttore: </w:t>
      </w:r>
      <w:r>
        <w:tab/>
      </w:r>
    </w:p>
    <w:p w:rsidR="009C13A9" w:rsidRPr="00C903F8" w:rsidRDefault="009C13A9" w:rsidP="009C13A9">
      <w:pPr>
        <w:tabs>
          <w:tab w:val="left" w:leader="dot" w:pos="9072"/>
        </w:tabs>
        <w:spacing w:before="60" w:line="240" w:lineRule="atLeast"/>
        <w:ind w:left="709" w:firstLine="0"/>
        <w:rPr>
          <w:noProof/>
          <w:szCs w:val="20"/>
        </w:rPr>
      </w:pPr>
      <w:r>
        <w:tab/>
      </w:r>
    </w:p>
    <w:p w:rsidR="009C13A9" w:rsidRPr="00C903F8" w:rsidRDefault="009C13A9" w:rsidP="009C13A9">
      <w:pPr>
        <w:tabs>
          <w:tab w:val="left" w:leader="dot" w:pos="9072"/>
        </w:tabs>
        <w:spacing w:before="60" w:line="240" w:lineRule="atLeast"/>
        <w:ind w:left="709" w:hanging="709"/>
        <w:rPr>
          <w:noProof/>
          <w:szCs w:val="20"/>
        </w:rPr>
      </w:pPr>
      <w:r>
        <w:t>0.3</w:t>
      </w:r>
      <w:r>
        <w:tab/>
        <w:t xml:space="preserve">Codice del tipo del costruttore corrispondente alle informazioni affisse sull'impianto di depurazione di bordo: </w:t>
      </w:r>
      <w:r>
        <w:tab/>
      </w:r>
    </w:p>
    <w:p w:rsidR="009C13A9" w:rsidRPr="00C903F8" w:rsidRDefault="009C13A9" w:rsidP="009C13A9">
      <w:pPr>
        <w:tabs>
          <w:tab w:val="left" w:leader="dot" w:pos="9072"/>
        </w:tabs>
        <w:spacing w:before="60" w:line="240" w:lineRule="atLeast"/>
        <w:ind w:left="709" w:firstLine="0"/>
        <w:rPr>
          <w:noProof/>
          <w:szCs w:val="20"/>
        </w:rPr>
      </w:pPr>
      <w:r>
        <w:tab/>
      </w:r>
    </w:p>
    <w:p w:rsidR="009C13A9" w:rsidRPr="00C903F8" w:rsidRDefault="009C13A9" w:rsidP="009C13A9">
      <w:pPr>
        <w:tabs>
          <w:tab w:val="left" w:leader="dot" w:pos="9072"/>
        </w:tabs>
        <w:spacing w:before="60" w:line="240" w:lineRule="atLeast"/>
        <w:ind w:left="709" w:firstLine="0"/>
        <w:rPr>
          <w:noProof/>
          <w:szCs w:val="20"/>
        </w:rPr>
      </w:pPr>
      <w:r>
        <w:t xml:space="preserve">Posizione: </w:t>
      </w:r>
      <w:r>
        <w:tab/>
      </w:r>
    </w:p>
    <w:p w:rsidR="009C13A9" w:rsidRPr="00C903F8" w:rsidRDefault="009C13A9" w:rsidP="009C13A9">
      <w:pPr>
        <w:tabs>
          <w:tab w:val="left" w:leader="dot" w:pos="9072"/>
        </w:tabs>
        <w:spacing w:before="60" w:line="240" w:lineRule="atLeast"/>
        <w:ind w:left="709" w:firstLine="0"/>
        <w:rPr>
          <w:noProof/>
          <w:szCs w:val="20"/>
        </w:rPr>
      </w:pPr>
      <w:r>
        <w:t xml:space="preserve">Modalità di fissaggio: </w:t>
      </w:r>
      <w:r>
        <w:tab/>
      </w:r>
    </w:p>
    <w:p w:rsidR="009C13A9" w:rsidRPr="00C903F8" w:rsidRDefault="009C13A9" w:rsidP="009C13A9">
      <w:pPr>
        <w:tabs>
          <w:tab w:val="left" w:leader="dot" w:pos="9072"/>
        </w:tabs>
        <w:spacing w:before="60" w:line="240" w:lineRule="atLeast"/>
        <w:ind w:left="709" w:hanging="709"/>
        <w:rPr>
          <w:noProof/>
          <w:szCs w:val="20"/>
        </w:rPr>
      </w:pPr>
      <w:r>
        <w:t>0.4</w:t>
      </w:r>
      <w:r>
        <w:tab/>
        <w:t xml:space="preserve">Nome e indirizzo del costruttore: </w:t>
      </w:r>
      <w:r>
        <w:tab/>
      </w:r>
    </w:p>
    <w:p w:rsidR="009C13A9" w:rsidRPr="00C903F8" w:rsidRDefault="009C13A9" w:rsidP="009C13A9">
      <w:pPr>
        <w:tabs>
          <w:tab w:val="left" w:leader="dot" w:pos="9072"/>
        </w:tabs>
        <w:spacing w:before="60" w:line="240" w:lineRule="atLeast"/>
        <w:ind w:left="709" w:firstLine="0"/>
        <w:rPr>
          <w:noProof/>
          <w:szCs w:val="20"/>
        </w:rPr>
      </w:pPr>
      <w:r>
        <w:tab/>
      </w:r>
    </w:p>
    <w:p w:rsidR="009C13A9" w:rsidRPr="00C903F8" w:rsidRDefault="009C13A9" w:rsidP="009C13A9">
      <w:pPr>
        <w:tabs>
          <w:tab w:val="left" w:leader="dot" w:pos="9072"/>
        </w:tabs>
        <w:spacing w:before="60" w:line="240" w:lineRule="atLeast"/>
        <w:ind w:left="709" w:firstLine="0"/>
        <w:rPr>
          <w:noProof/>
          <w:szCs w:val="20"/>
        </w:rPr>
      </w:pPr>
      <w:r>
        <w:t xml:space="preserve">Nome e indirizzo dell’eventuale mandatario del fabbricante: </w:t>
      </w:r>
      <w:r>
        <w:tab/>
      </w:r>
    </w:p>
    <w:p w:rsidR="009C13A9" w:rsidRPr="00C903F8" w:rsidRDefault="009C13A9" w:rsidP="009C13A9">
      <w:pPr>
        <w:tabs>
          <w:tab w:val="left" w:leader="dot" w:pos="9072"/>
        </w:tabs>
        <w:spacing w:before="60" w:line="240" w:lineRule="atLeast"/>
        <w:ind w:left="709" w:firstLine="0"/>
        <w:rPr>
          <w:noProof/>
          <w:szCs w:val="20"/>
        </w:rPr>
      </w:pPr>
      <w:r>
        <w:tab/>
      </w:r>
    </w:p>
    <w:p w:rsidR="009C13A9" w:rsidRPr="00C903F8" w:rsidRDefault="009C13A9" w:rsidP="009C13A9">
      <w:pPr>
        <w:tabs>
          <w:tab w:val="left" w:leader="dot" w:pos="9072"/>
        </w:tabs>
        <w:spacing w:before="60" w:line="240" w:lineRule="atLeast"/>
        <w:ind w:left="709" w:hanging="709"/>
        <w:rPr>
          <w:noProof/>
          <w:szCs w:val="20"/>
        </w:rPr>
      </w:pPr>
      <w:r>
        <w:t>0.5</w:t>
      </w:r>
      <w:r>
        <w:tab/>
        <w:t xml:space="preserve">Posizione, codificazione e metodo di affissione del numero di serie dell'impianto di depurazione di bordo: </w:t>
      </w:r>
      <w:r>
        <w:tab/>
      </w:r>
    </w:p>
    <w:p w:rsidR="009C13A9" w:rsidRPr="00C903F8" w:rsidRDefault="009C13A9" w:rsidP="009C13A9">
      <w:pPr>
        <w:tabs>
          <w:tab w:val="left" w:leader="dot" w:pos="9072"/>
        </w:tabs>
        <w:spacing w:before="60" w:line="240" w:lineRule="atLeast"/>
        <w:ind w:left="709" w:firstLine="0"/>
        <w:rPr>
          <w:noProof/>
          <w:szCs w:val="20"/>
        </w:rPr>
      </w:pPr>
      <w:r>
        <w:tab/>
      </w:r>
    </w:p>
    <w:p w:rsidR="009C13A9" w:rsidRPr="00C903F8" w:rsidRDefault="009C13A9" w:rsidP="009C13A9">
      <w:pPr>
        <w:tabs>
          <w:tab w:val="left" w:leader="dot" w:pos="9072"/>
        </w:tabs>
        <w:spacing w:before="60" w:line="240" w:lineRule="atLeast"/>
        <w:ind w:left="709" w:firstLine="0"/>
        <w:rPr>
          <w:noProof/>
          <w:szCs w:val="20"/>
        </w:rPr>
      </w:pPr>
      <w:r>
        <w:tab/>
      </w:r>
    </w:p>
    <w:p w:rsidR="009C13A9" w:rsidRPr="00C903F8" w:rsidRDefault="009C13A9" w:rsidP="009C13A9">
      <w:pPr>
        <w:tabs>
          <w:tab w:val="left" w:leader="dot" w:pos="9072"/>
        </w:tabs>
        <w:spacing w:before="60" w:line="240" w:lineRule="atLeast"/>
        <w:ind w:left="709" w:hanging="709"/>
        <w:rPr>
          <w:noProof/>
          <w:szCs w:val="20"/>
        </w:rPr>
      </w:pPr>
      <w:r>
        <w:t>0.6</w:t>
      </w:r>
      <w:r>
        <w:tab/>
        <w:t xml:space="preserve">Posizione e metodo di affissione del numero di omologazione: </w:t>
      </w:r>
      <w:r>
        <w:tab/>
      </w:r>
    </w:p>
    <w:p w:rsidR="009C13A9" w:rsidRPr="00C903F8" w:rsidRDefault="009C13A9" w:rsidP="009C13A9">
      <w:pPr>
        <w:tabs>
          <w:tab w:val="left" w:leader="dot" w:pos="9072"/>
        </w:tabs>
        <w:spacing w:before="60" w:line="240" w:lineRule="atLeast"/>
        <w:ind w:left="709" w:firstLine="0"/>
        <w:rPr>
          <w:noProof/>
          <w:szCs w:val="20"/>
        </w:rPr>
      </w:pPr>
      <w:r>
        <w:tab/>
      </w:r>
    </w:p>
    <w:p w:rsidR="009C13A9" w:rsidRPr="00C903F8" w:rsidRDefault="009C13A9" w:rsidP="009C13A9">
      <w:pPr>
        <w:tabs>
          <w:tab w:val="left" w:leader="dot" w:pos="9072"/>
        </w:tabs>
        <w:spacing w:before="60" w:line="240" w:lineRule="atLeast"/>
        <w:ind w:left="709" w:hanging="709"/>
        <w:rPr>
          <w:noProof/>
          <w:szCs w:val="20"/>
        </w:rPr>
      </w:pPr>
      <w:r>
        <w:t>0.7</w:t>
      </w:r>
      <w:r>
        <w:tab/>
        <w:t xml:space="preserve">Indirizzo/i delle unità di produzione: </w:t>
      </w:r>
      <w:r>
        <w:tab/>
      </w:r>
    </w:p>
    <w:p w:rsidR="009C13A9" w:rsidRPr="00C903F8" w:rsidRDefault="009C13A9" w:rsidP="009C13A9">
      <w:pPr>
        <w:tabs>
          <w:tab w:val="left" w:leader="dot" w:pos="9072"/>
        </w:tabs>
        <w:spacing w:before="60" w:line="240" w:lineRule="atLeast"/>
        <w:ind w:left="709" w:firstLine="0"/>
        <w:rPr>
          <w:noProof/>
          <w:szCs w:val="20"/>
        </w:rPr>
      </w:pPr>
      <w:r>
        <w:tab/>
      </w:r>
    </w:p>
    <w:p w:rsidR="009C13A9" w:rsidRPr="00C903F8" w:rsidRDefault="009C13A9" w:rsidP="009C13A9">
      <w:pPr>
        <w:ind w:left="850" w:hanging="850"/>
        <w:outlineLvl w:val="0"/>
        <w:rPr>
          <w:b/>
          <w:bCs/>
          <w:noProof/>
          <w:szCs w:val="20"/>
        </w:rPr>
      </w:pPr>
    </w:p>
    <w:p w:rsidR="009C13A9" w:rsidRPr="00C903F8" w:rsidRDefault="009C13A9" w:rsidP="009C13A9">
      <w:pPr>
        <w:ind w:left="850" w:hanging="850"/>
        <w:outlineLvl w:val="0"/>
        <w:rPr>
          <w:b/>
          <w:bCs/>
          <w:noProof/>
          <w:szCs w:val="20"/>
        </w:rPr>
      </w:pPr>
      <w:r>
        <w:br w:type="page"/>
      </w:r>
    </w:p>
    <w:p w:rsidR="009C13A9" w:rsidRPr="00C903F8" w:rsidRDefault="009C13A9" w:rsidP="009C13A9">
      <w:pPr>
        <w:ind w:left="850" w:hanging="850"/>
        <w:outlineLvl w:val="0"/>
        <w:rPr>
          <w:b/>
          <w:bCs/>
          <w:noProof/>
          <w:szCs w:val="20"/>
        </w:rPr>
      </w:pPr>
      <w:r>
        <w:rPr>
          <w:b/>
          <w:noProof/>
        </w:rPr>
        <w:lastRenderedPageBreak/>
        <w:t>Sezione II</w:t>
      </w:r>
    </w:p>
    <w:p w:rsidR="009C13A9" w:rsidRPr="00C903F8" w:rsidRDefault="009C13A9" w:rsidP="009C13A9">
      <w:pPr>
        <w:ind w:left="850" w:hanging="850"/>
        <w:rPr>
          <w:noProof/>
          <w:szCs w:val="20"/>
        </w:rPr>
      </w:pPr>
    </w:p>
    <w:p w:rsidR="009C13A9" w:rsidRPr="00C903F8" w:rsidRDefault="009C13A9" w:rsidP="009C13A9">
      <w:pPr>
        <w:tabs>
          <w:tab w:val="left" w:leader="dot" w:pos="9072"/>
        </w:tabs>
        <w:spacing w:before="60" w:line="240" w:lineRule="atLeast"/>
        <w:ind w:left="709" w:hanging="709"/>
        <w:rPr>
          <w:noProof/>
          <w:szCs w:val="20"/>
        </w:rPr>
      </w:pPr>
      <w:r>
        <w:t>1.</w:t>
      </w:r>
      <w:r>
        <w:tab/>
        <w:t xml:space="preserve">Eventuali limitazioni d'uso: </w:t>
      </w:r>
      <w:r>
        <w:tab/>
      </w:r>
    </w:p>
    <w:p w:rsidR="009C13A9" w:rsidRPr="00C903F8" w:rsidRDefault="009C13A9" w:rsidP="009C13A9">
      <w:pPr>
        <w:tabs>
          <w:tab w:val="left" w:leader="dot" w:pos="9072"/>
        </w:tabs>
        <w:spacing w:before="60" w:line="240" w:lineRule="atLeast"/>
        <w:ind w:left="709" w:hanging="709"/>
        <w:rPr>
          <w:noProof/>
          <w:szCs w:val="20"/>
        </w:rPr>
      </w:pPr>
      <w:r>
        <w:t>1.1</w:t>
      </w:r>
      <w:r>
        <w:tab/>
        <w:t>Aspetti particolari di cui tenere conto per il montaggio dell’impianto di depurazione di bordo in un’imbarcazione:</w:t>
      </w:r>
    </w:p>
    <w:p w:rsidR="009C13A9" w:rsidRPr="00C903F8" w:rsidRDefault="009C13A9" w:rsidP="009C13A9">
      <w:pPr>
        <w:tabs>
          <w:tab w:val="left" w:leader="dot" w:pos="9072"/>
        </w:tabs>
        <w:spacing w:before="60" w:line="240" w:lineRule="atLeast"/>
        <w:ind w:left="709" w:firstLine="0"/>
        <w:rPr>
          <w:noProof/>
          <w:szCs w:val="20"/>
        </w:rPr>
      </w:pPr>
      <w:r>
        <w:tab/>
      </w:r>
    </w:p>
    <w:p w:rsidR="009C13A9" w:rsidRPr="00C903F8" w:rsidRDefault="009C13A9" w:rsidP="009C13A9">
      <w:pPr>
        <w:tabs>
          <w:tab w:val="left" w:leader="dot" w:pos="9072"/>
        </w:tabs>
        <w:spacing w:before="60" w:line="240" w:lineRule="atLeast"/>
        <w:ind w:left="709" w:hanging="709"/>
        <w:rPr>
          <w:noProof/>
          <w:szCs w:val="20"/>
        </w:rPr>
      </w:pPr>
      <w:r>
        <w:t xml:space="preserve">1.1.1 </w:t>
      </w:r>
      <w:r>
        <w:tab/>
      </w:r>
      <w:r>
        <w:tab/>
      </w:r>
    </w:p>
    <w:p w:rsidR="009C13A9" w:rsidRPr="00C903F8" w:rsidRDefault="009C13A9" w:rsidP="009C13A9">
      <w:pPr>
        <w:tabs>
          <w:tab w:val="left" w:leader="dot" w:pos="9072"/>
        </w:tabs>
        <w:spacing w:before="60" w:line="240" w:lineRule="atLeast"/>
        <w:ind w:left="709" w:hanging="709"/>
        <w:rPr>
          <w:noProof/>
          <w:szCs w:val="20"/>
        </w:rPr>
      </w:pPr>
      <w:r>
        <w:t xml:space="preserve">1.1.2 </w:t>
      </w:r>
      <w:r>
        <w:tab/>
      </w:r>
      <w:r>
        <w:tab/>
      </w:r>
    </w:p>
    <w:p w:rsidR="009C13A9" w:rsidRPr="00C903F8" w:rsidRDefault="009C13A9" w:rsidP="009C13A9">
      <w:pPr>
        <w:tabs>
          <w:tab w:val="left" w:leader="dot" w:pos="9072"/>
        </w:tabs>
        <w:spacing w:line="240" w:lineRule="atLeast"/>
        <w:ind w:left="709" w:hanging="709"/>
        <w:rPr>
          <w:noProof/>
          <w:szCs w:val="20"/>
        </w:rPr>
      </w:pPr>
    </w:p>
    <w:p w:rsidR="009C13A9" w:rsidRPr="00C903F8" w:rsidRDefault="009C13A9" w:rsidP="009C13A9">
      <w:pPr>
        <w:tabs>
          <w:tab w:val="left" w:leader="dot" w:pos="9072"/>
        </w:tabs>
        <w:spacing w:line="240" w:lineRule="atLeast"/>
        <w:ind w:left="709" w:hanging="709"/>
        <w:rPr>
          <w:noProof/>
          <w:szCs w:val="20"/>
        </w:rPr>
      </w:pPr>
      <w:r>
        <w:t>2.</w:t>
      </w:r>
      <w:r>
        <w:tab/>
        <w:t>Servizio tecnico responsabile per l'esecuzione delle prove</w:t>
      </w:r>
      <w:r>
        <w:rPr>
          <w:noProof/>
          <w:vertAlign w:val="superscript"/>
        </w:rPr>
        <w:footnoteReference w:id="67"/>
      </w:r>
      <w:r>
        <w:t xml:space="preserve">: </w:t>
      </w:r>
      <w:r>
        <w:tab/>
      </w:r>
    </w:p>
    <w:p w:rsidR="009C13A9" w:rsidRPr="00C903F8" w:rsidRDefault="009C13A9" w:rsidP="009C13A9">
      <w:pPr>
        <w:tabs>
          <w:tab w:val="left" w:leader="dot" w:pos="9072"/>
        </w:tabs>
        <w:spacing w:before="60" w:line="240" w:lineRule="atLeast"/>
        <w:ind w:left="709" w:firstLine="0"/>
        <w:rPr>
          <w:noProof/>
          <w:szCs w:val="20"/>
        </w:rPr>
      </w:pPr>
      <w:r>
        <w:tab/>
      </w:r>
    </w:p>
    <w:p w:rsidR="009C13A9" w:rsidRPr="00C903F8" w:rsidRDefault="009C13A9" w:rsidP="009C13A9">
      <w:pPr>
        <w:tabs>
          <w:tab w:val="left" w:leader="dot" w:pos="9072"/>
        </w:tabs>
        <w:spacing w:before="60" w:line="240" w:lineRule="atLeast"/>
        <w:ind w:left="709" w:firstLine="0"/>
        <w:rPr>
          <w:noProof/>
          <w:szCs w:val="20"/>
        </w:rPr>
      </w:pPr>
      <w:r>
        <w:tab/>
      </w:r>
    </w:p>
    <w:p w:rsidR="009C13A9" w:rsidRPr="00C903F8" w:rsidRDefault="009C13A9" w:rsidP="009C13A9">
      <w:pPr>
        <w:tabs>
          <w:tab w:val="left" w:leader="dot" w:pos="9072"/>
        </w:tabs>
        <w:spacing w:line="240" w:lineRule="atLeast"/>
        <w:ind w:left="709" w:hanging="709"/>
        <w:rPr>
          <w:noProof/>
          <w:szCs w:val="20"/>
        </w:rPr>
      </w:pPr>
    </w:p>
    <w:p w:rsidR="009C13A9" w:rsidRPr="00C903F8" w:rsidRDefault="009C13A9" w:rsidP="009C13A9">
      <w:pPr>
        <w:tabs>
          <w:tab w:val="left" w:leader="dot" w:pos="9072"/>
        </w:tabs>
        <w:spacing w:line="240" w:lineRule="atLeast"/>
        <w:ind w:left="709" w:hanging="709"/>
        <w:rPr>
          <w:noProof/>
          <w:szCs w:val="20"/>
        </w:rPr>
      </w:pPr>
      <w:r>
        <w:t>3.</w:t>
      </w:r>
      <w:r>
        <w:tab/>
        <w:t xml:space="preserve">Data del verbale di prova: </w:t>
      </w:r>
      <w:r>
        <w:tab/>
      </w:r>
    </w:p>
    <w:p w:rsidR="009C13A9" w:rsidRPr="00C903F8" w:rsidRDefault="009C13A9" w:rsidP="009C13A9">
      <w:pPr>
        <w:tabs>
          <w:tab w:val="left" w:leader="dot" w:pos="9072"/>
        </w:tabs>
        <w:spacing w:line="240" w:lineRule="atLeast"/>
        <w:ind w:left="709" w:hanging="709"/>
        <w:rPr>
          <w:noProof/>
          <w:szCs w:val="20"/>
        </w:rPr>
      </w:pPr>
    </w:p>
    <w:p w:rsidR="009C13A9" w:rsidRPr="00C903F8" w:rsidRDefault="009C13A9" w:rsidP="009C13A9">
      <w:pPr>
        <w:tabs>
          <w:tab w:val="left" w:leader="dot" w:pos="9072"/>
        </w:tabs>
        <w:spacing w:line="240" w:lineRule="atLeast"/>
        <w:ind w:left="709" w:hanging="709"/>
        <w:rPr>
          <w:noProof/>
          <w:szCs w:val="20"/>
        </w:rPr>
      </w:pPr>
      <w:r>
        <w:t>4.</w:t>
      </w:r>
      <w:r>
        <w:tab/>
        <w:t xml:space="preserve">Numero del verbale di prova: </w:t>
      </w:r>
      <w:r>
        <w:tab/>
      </w:r>
    </w:p>
    <w:p w:rsidR="009C13A9" w:rsidRPr="00C903F8" w:rsidRDefault="009C13A9" w:rsidP="009C13A9">
      <w:pPr>
        <w:tabs>
          <w:tab w:val="left" w:leader="dot" w:pos="9072"/>
        </w:tabs>
        <w:spacing w:line="240" w:lineRule="atLeast"/>
        <w:ind w:left="709" w:hanging="709"/>
        <w:rPr>
          <w:noProof/>
          <w:szCs w:val="20"/>
        </w:rPr>
      </w:pPr>
    </w:p>
    <w:p w:rsidR="009C13A9" w:rsidRPr="00C903F8" w:rsidRDefault="009C13A9" w:rsidP="009C13A9">
      <w:pPr>
        <w:tabs>
          <w:tab w:val="left" w:leader="dot" w:pos="9072"/>
        </w:tabs>
        <w:spacing w:line="240" w:lineRule="atLeast"/>
        <w:ind w:left="709" w:hanging="709"/>
        <w:rPr>
          <w:noProof/>
          <w:szCs w:val="20"/>
        </w:rPr>
      </w:pPr>
      <w:r>
        <w:t>5.</w:t>
      </w:r>
      <w:r>
        <w:tab/>
        <w:t>Il sottoscritto certifica con la presente l'accuratezza delle informazioni del costruttore quali riportate nell'allegata scheda informativa in relazione all'impianto di depurazione di bordo sopramenzionato, conformemente all'allegato 7, sezione IX della norma europea che fissa i requisiti tecnici per le navi della navigazione interna (ES-TRIN) e la validità dei risultati di prova allegati relativi al tipo di impianto di depurazione di bordo. Il campione è stato selezionato (i campioni sono stati selezionati) dal fabbricante di concerto con l’autorità competente ed è stato presentato dal fabbricante come prototipo dell’impianto di depurazione di bordo.</w:t>
      </w:r>
    </w:p>
    <w:p w:rsidR="009C13A9" w:rsidRPr="00C903F8" w:rsidRDefault="009C13A9" w:rsidP="009C13A9">
      <w:pPr>
        <w:tabs>
          <w:tab w:val="left" w:leader="dot" w:pos="9072"/>
        </w:tabs>
        <w:spacing w:line="240" w:lineRule="atLeast"/>
        <w:ind w:left="709" w:hanging="709"/>
        <w:rPr>
          <w:noProof/>
          <w:szCs w:val="20"/>
        </w:rPr>
      </w:pPr>
    </w:p>
    <w:p w:rsidR="009C13A9" w:rsidRPr="00C903F8" w:rsidRDefault="009C13A9" w:rsidP="009C13A9">
      <w:pPr>
        <w:tabs>
          <w:tab w:val="left" w:leader="dot" w:pos="9072"/>
        </w:tabs>
        <w:spacing w:line="240" w:lineRule="atLeast"/>
        <w:ind w:left="709" w:firstLine="0"/>
        <w:rPr>
          <w:noProof/>
          <w:szCs w:val="20"/>
        </w:rPr>
      </w:pPr>
      <w:r>
        <w:t>L'omologazione è rilasciata/estesa/rifiutata/revocata</w:t>
      </w:r>
      <w:r>
        <w:rPr>
          <w:noProof/>
          <w:vertAlign w:val="superscript"/>
        </w:rPr>
        <w:footnoteReference w:id="68"/>
      </w:r>
      <w:r>
        <w:t>:</w:t>
      </w:r>
    </w:p>
    <w:p w:rsidR="009C13A9" w:rsidRPr="00C903F8" w:rsidRDefault="009C13A9" w:rsidP="009C13A9">
      <w:pPr>
        <w:tabs>
          <w:tab w:val="left" w:leader="dot" w:pos="9072"/>
        </w:tabs>
        <w:spacing w:before="60" w:line="240" w:lineRule="atLeast"/>
        <w:ind w:left="709" w:firstLine="0"/>
        <w:rPr>
          <w:noProof/>
          <w:szCs w:val="20"/>
        </w:rPr>
      </w:pPr>
      <w:r>
        <w:t xml:space="preserve">Luogo: </w:t>
      </w:r>
      <w:r>
        <w:tab/>
      </w:r>
    </w:p>
    <w:p w:rsidR="009C13A9" w:rsidRPr="00C903F8" w:rsidRDefault="009C13A9" w:rsidP="009C13A9">
      <w:pPr>
        <w:tabs>
          <w:tab w:val="left" w:leader="dot" w:pos="9072"/>
        </w:tabs>
        <w:spacing w:before="60" w:line="240" w:lineRule="atLeast"/>
        <w:ind w:left="709" w:firstLine="0"/>
        <w:rPr>
          <w:noProof/>
          <w:szCs w:val="20"/>
        </w:rPr>
      </w:pPr>
      <w:r>
        <w:t xml:space="preserve">Data: </w:t>
      </w:r>
      <w:r>
        <w:tab/>
      </w:r>
    </w:p>
    <w:p w:rsidR="009C13A9" w:rsidRPr="00C903F8" w:rsidRDefault="009C13A9" w:rsidP="009C13A9">
      <w:pPr>
        <w:tabs>
          <w:tab w:val="left" w:leader="dot" w:pos="9072"/>
        </w:tabs>
        <w:spacing w:before="60" w:line="240" w:lineRule="atLeast"/>
        <w:ind w:left="709" w:firstLine="0"/>
        <w:rPr>
          <w:noProof/>
          <w:szCs w:val="20"/>
        </w:rPr>
      </w:pPr>
      <w:r>
        <w:t xml:space="preserve">Firma: </w:t>
      </w:r>
      <w:r>
        <w:tab/>
      </w:r>
    </w:p>
    <w:p w:rsidR="009C13A9" w:rsidRPr="00C903F8" w:rsidRDefault="009C13A9" w:rsidP="009C13A9">
      <w:pPr>
        <w:tabs>
          <w:tab w:val="left" w:leader="dot" w:pos="9072"/>
        </w:tabs>
        <w:spacing w:before="60" w:line="240" w:lineRule="atLeast"/>
        <w:ind w:left="709" w:firstLine="0"/>
        <w:rPr>
          <w:i/>
          <w:noProof/>
          <w:szCs w:val="20"/>
        </w:rPr>
      </w:pPr>
    </w:p>
    <w:p w:rsidR="009C13A9" w:rsidRPr="00C903F8" w:rsidRDefault="009C13A9" w:rsidP="009C13A9">
      <w:pPr>
        <w:tabs>
          <w:tab w:val="left" w:leader="dot" w:pos="9072"/>
        </w:tabs>
        <w:spacing w:before="60" w:line="240" w:lineRule="atLeast"/>
        <w:ind w:left="709" w:firstLine="0"/>
        <w:rPr>
          <w:noProof/>
          <w:szCs w:val="20"/>
        </w:rPr>
      </w:pPr>
    </w:p>
    <w:p w:rsidR="009C13A9" w:rsidRPr="00C903F8" w:rsidRDefault="009C13A9" w:rsidP="009C13A9">
      <w:pPr>
        <w:tabs>
          <w:tab w:val="left" w:pos="1276"/>
          <w:tab w:val="left" w:leader="dot" w:pos="9072"/>
        </w:tabs>
        <w:spacing w:before="60" w:line="240" w:lineRule="atLeast"/>
        <w:ind w:left="0" w:firstLine="0"/>
        <w:rPr>
          <w:noProof/>
          <w:szCs w:val="20"/>
        </w:rPr>
      </w:pPr>
      <w:r>
        <w:t>Appendici:</w:t>
      </w:r>
      <w:r>
        <w:tab/>
        <w:t>Documentazione informativa</w:t>
      </w:r>
    </w:p>
    <w:p w:rsidR="009C13A9" w:rsidRPr="00C903F8" w:rsidRDefault="009C13A9" w:rsidP="009C13A9">
      <w:pPr>
        <w:tabs>
          <w:tab w:val="left" w:leader="dot" w:pos="9072"/>
        </w:tabs>
        <w:spacing w:before="60" w:line="240" w:lineRule="atLeast"/>
        <w:ind w:left="1276" w:firstLine="0"/>
        <w:rPr>
          <w:noProof/>
          <w:szCs w:val="20"/>
        </w:rPr>
      </w:pPr>
      <w:r>
        <w:t>risultati delle prove (cfr. appendice 1).</w:t>
      </w:r>
    </w:p>
    <w:p w:rsidR="009C13A9" w:rsidRPr="00C903F8" w:rsidRDefault="009C13A9" w:rsidP="009C13A9">
      <w:pPr>
        <w:suppressAutoHyphens/>
        <w:autoSpaceDE/>
        <w:autoSpaceDN/>
        <w:spacing w:line="240" w:lineRule="atLeast"/>
        <w:ind w:left="0" w:firstLine="0"/>
        <w:jc w:val="center"/>
        <w:rPr>
          <w:rFonts w:cs="Arial"/>
          <w:szCs w:val="20"/>
        </w:rPr>
      </w:pPr>
      <w:r>
        <w:br w:type="page"/>
      </w:r>
    </w:p>
    <w:p w:rsidR="009C13A9" w:rsidRPr="00C903F8" w:rsidRDefault="009C13A9" w:rsidP="009C13A9">
      <w:pPr>
        <w:suppressAutoHyphens/>
        <w:autoSpaceDE/>
        <w:autoSpaceDN/>
        <w:spacing w:line="240" w:lineRule="atLeast"/>
        <w:ind w:left="0" w:firstLine="0"/>
        <w:jc w:val="center"/>
        <w:rPr>
          <w:rFonts w:cs="Arial"/>
          <w:b/>
          <w:szCs w:val="20"/>
        </w:rPr>
      </w:pPr>
      <w:r>
        <w:rPr>
          <w:b/>
        </w:rPr>
        <w:lastRenderedPageBreak/>
        <w:t>Appendice 1</w:t>
      </w:r>
    </w:p>
    <w:p w:rsidR="009C13A9" w:rsidRPr="00C903F8" w:rsidRDefault="009C13A9" w:rsidP="009C13A9">
      <w:pPr>
        <w:tabs>
          <w:tab w:val="center" w:pos="7513"/>
          <w:tab w:val="center" w:pos="8222"/>
        </w:tabs>
        <w:suppressAutoHyphens/>
        <w:autoSpaceDE/>
        <w:autoSpaceDN/>
        <w:spacing w:line="240" w:lineRule="atLeast"/>
        <w:ind w:left="0" w:firstLine="0"/>
        <w:jc w:val="center"/>
        <w:rPr>
          <w:rFonts w:cs="Arial"/>
          <w:szCs w:val="20"/>
        </w:rPr>
      </w:pPr>
      <w:r>
        <w:rPr>
          <w:b/>
        </w:rPr>
        <w:t xml:space="preserve">Risultati delle prove di omologazione </w:t>
      </w:r>
      <w:r>
        <w:rPr>
          <w:rFonts w:cs="Arial"/>
          <w:b/>
          <w:szCs w:val="20"/>
        </w:rPr>
        <w:br/>
      </w:r>
      <w:r>
        <w:t>(Modello)</w:t>
      </w:r>
    </w:p>
    <w:p w:rsidR="009C13A9" w:rsidRPr="00C903F8" w:rsidRDefault="009C13A9" w:rsidP="009C13A9">
      <w:pPr>
        <w:spacing w:line="240" w:lineRule="atLeast"/>
        <w:ind w:left="709" w:hanging="709"/>
        <w:rPr>
          <w:rFonts w:cs="Arial"/>
          <w:color w:val="000000"/>
          <w:szCs w:val="20"/>
        </w:rPr>
      </w:pPr>
    </w:p>
    <w:p w:rsidR="009C13A9" w:rsidRPr="00C903F8" w:rsidRDefault="009C13A9" w:rsidP="009C13A9">
      <w:pPr>
        <w:spacing w:line="240" w:lineRule="atLeast"/>
        <w:ind w:left="709" w:hanging="709"/>
        <w:rPr>
          <w:rFonts w:cs="Arial"/>
          <w:color w:val="000000"/>
          <w:szCs w:val="20"/>
        </w:rPr>
      </w:pPr>
    </w:p>
    <w:p w:rsidR="009C13A9" w:rsidRPr="00C903F8" w:rsidRDefault="009C13A9" w:rsidP="009C13A9">
      <w:pPr>
        <w:spacing w:line="240" w:lineRule="atLeast"/>
        <w:ind w:left="709" w:hanging="709"/>
        <w:rPr>
          <w:rFonts w:cs="Arial"/>
          <w:noProof/>
          <w:color w:val="000000"/>
          <w:szCs w:val="20"/>
        </w:rPr>
      </w:pPr>
      <w:r>
        <w:rPr>
          <w:noProof/>
          <w:color w:val="000000"/>
        </w:rPr>
        <w:t>0.</w:t>
      </w:r>
      <w:r>
        <w:tab/>
      </w:r>
      <w:r>
        <w:rPr>
          <w:noProof/>
          <w:color w:val="000000"/>
        </w:rPr>
        <w:t>Aspetti generali</w:t>
      </w:r>
    </w:p>
    <w:p w:rsidR="009C13A9" w:rsidRPr="00C903F8" w:rsidRDefault="009C13A9" w:rsidP="009C13A9">
      <w:pPr>
        <w:tabs>
          <w:tab w:val="left" w:leader="dot" w:pos="9072"/>
        </w:tabs>
        <w:spacing w:before="60" w:line="240" w:lineRule="atLeast"/>
        <w:ind w:left="709" w:hanging="709"/>
        <w:rPr>
          <w:rFonts w:cs="Arial"/>
          <w:noProof/>
          <w:color w:val="000000"/>
          <w:szCs w:val="20"/>
        </w:rPr>
      </w:pPr>
      <w:r>
        <w:rPr>
          <w:noProof/>
          <w:color w:val="000000"/>
        </w:rPr>
        <w:t>0.1</w:t>
      </w:r>
      <w:r>
        <w:tab/>
      </w:r>
      <w:r>
        <w:rPr>
          <w:noProof/>
          <w:color w:val="000000"/>
        </w:rPr>
        <w:t xml:space="preserve">Marca (marchio commerciale del costruttore): </w:t>
      </w:r>
      <w:r>
        <w:tab/>
      </w:r>
    </w:p>
    <w:p w:rsidR="009C13A9" w:rsidRPr="00C903F8" w:rsidRDefault="009C13A9" w:rsidP="009C13A9">
      <w:pPr>
        <w:tabs>
          <w:tab w:val="left" w:leader="dot" w:pos="9072"/>
        </w:tabs>
        <w:spacing w:before="60" w:line="240" w:lineRule="atLeast"/>
        <w:ind w:left="709" w:hanging="709"/>
        <w:rPr>
          <w:rFonts w:cs="Arial"/>
          <w:noProof/>
          <w:color w:val="000000"/>
          <w:szCs w:val="20"/>
        </w:rPr>
      </w:pPr>
      <w:r>
        <w:rPr>
          <w:noProof/>
          <w:color w:val="000000"/>
        </w:rPr>
        <w:t>0.2</w:t>
      </w:r>
      <w:r>
        <w:tab/>
      </w:r>
      <w:r>
        <w:rPr>
          <w:noProof/>
          <w:color w:val="000000"/>
        </w:rPr>
        <w:t xml:space="preserve">Designazione del tipo di impianto di depurazione di bordo da parte del costruttore: </w:t>
      </w:r>
      <w:r>
        <w:tab/>
      </w:r>
    </w:p>
    <w:p w:rsidR="009C13A9" w:rsidRPr="00C903F8" w:rsidRDefault="009C13A9" w:rsidP="009C13A9">
      <w:pPr>
        <w:tabs>
          <w:tab w:val="left" w:leader="dot" w:pos="9072"/>
        </w:tabs>
        <w:spacing w:line="240" w:lineRule="atLeast"/>
        <w:ind w:left="709" w:hanging="709"/>
        <w:rPr>
          <w:rFonts w:cs="Arial"/>
          <w:noProof/>
          <w:color w:val="000000"/>
          <w:szCs w:val="20"/>
        </w:rPr>
      </w:pPr>
    </w:p>
    <w:p w:rsidR="009C13A9" w:rsidRPr="00C903F8" w:rsidRDefault="009C13A9" w:rsidP="009C13A9">
      <w:pPr>
        <w:tabs>
          <w:tab w:val="left" w:leader="dot" w:pos="9072"/>
        </w:tabs>
        <w:spacing w:line="240" w:lineRule="atLeast"/>
        <w:ind w:left="709" w:hanging="709"/>
        <w:rPr>
          <w:rFonts w:cs="Arial"/>
          <w:noProof/>
          <w:color w:val="000000"/>
          <w:szCs w:val="20"/>
          <w:vertAlign w:val="superscript"/>
        </w:rPr>
      </w:pPr>
      <w:r>
        <w:rPr>
          <w:noProof/>
          <w:color w:val="000000"/>
        </w:rPr>
        <w:t>1.</w:t>
      </w:r>
      <w:r>
        <w:tab/>
      </w:r>
      <w:r>
        <w:rPr>
          <w:b/>
          <w:noProof/>
          <w:color w:val="000000"/>
        </w:rPr>
        <w:t>Informazione sull'esecuzione della/e prova/e</w:t>
      </w:r>
      <w:r>
        <w:rPr>
          <w:noProof/>
          <w:color w:val="000000"/>
          <w:vertAlign w:val="superscript"/>
        </w:rPr>
        <w:footnoteReference w:id="69"/>
      </w:r>
      <w:r>
        <w:rPr>
          <w:noProof/>
          <w:color w:val="000000"/>
        </w:rPr>
        <w:t>.</w:t>
      </w:r>
      <w:r>
        <w:rPr>
          <w:noProof/>
          <w:color w:val="000000"/>
          <w:vertAlign w:val="superscript"/>
        </w:rPr>
        <w:t xml:space="preserve"> </w:t>
      </w:r>
    </w:p>
    <w:p w:rsidR="009C13A9" w:rsidRPr="00C903F8" w:rsidRDefault="009C13A9" w:rsidP="009C13A9">
      <w:pPr>
        <w:tabs>
          <w:tab w:val="left" w:leader="dot" w:pos="9072"/>
        </w:tabs>
        <w:spacing w:before="60" w:line="240" w:lineRule="atLeast"/>
        <w:ind w:left="709" w:hanging="709"/>
        <w:rPr>
          <w:rFonts w:cs="Arial"/>
          <w:noProof/>
          <w:color w:val="000000"/>
          <w:szCs w:val="20"/>
        </w:rPr>
      </w:pPr>
      <w:r>
        <w:rPr>
          <w:noProof/>
          <w:color w:val="000000"/>
        </w:rPr>
        <w:t>1.1</w:t>
      </w:r>
      <w:r>
        <w:tab/>
      </w:r>
      <w:r>
        <w:rPr>
          <w:noProof/>
          <w:color w:val="000000"/>
        </w:rPr>
        <w:t>Valori di afflusso</w:t>
      </w:r>
    </w:p>
    <w:p w:rsidR="009C13A9" w:rsidRPr="00C903F8" w:rsidRDefault="009C13A9" w:rsidP="009C13A9">
      <w:pPr>
        <w:tabs>
          <w:tab w:val="left" w:leader="dot" w:pos="9072"/>
        </w:tabs>
        <w:spacing w:before="60" w:line="240" w:lineRule="atLeast"/>
        <w:ind w:left="709" w:hanging="709"/>
        <w:rPr>
          <w:rFonts w:cs="Arial"/>
          <w:noProof/>
          <w:color w:val="000000"/>
          <w:szCs w:val="20"/>
        </w:rPr>
      </w:pPr>
      <w:r>
        <w:rPr>
          <w:noProof/>
          <w:color w:val="000000"/>
        </w:rPr>
        <w:t>1.1.1</w:t>
      </w:r>
      <w:r>
        <w:tab/>
      </w:r>
      <w:r>
        <w:rPr>
          <w:noProof/>
          <w:color w:val="000000"/>
        </w:rPr>
        <w:t xml:space="preserve">Portata volumetrica giornaliera di acque reflue </w:t>
      </w:r>
      <m:oMath>
        <m:sSub>
          <m:sSubPr>
            <m:ctrlPr>
              <w:rPr>
                <w:rFonts w:ascii="Cambria Math" w:hAnsi="Cambria Math" w:cs="Arial"/>
                <w:i/>
                <w:szCs w:val="20"/>
              </w:rPr>
            </m:ctrlPr>
          </m:sSubPr>
          <m:e>
            <m:r>
              <w:rPr>
                <w:rFonts w:ascii="Cambria Math" w:hAnsi="Cambria Math" w:cs="Arial"/>
                <w:szCs w:val="20"/>
              </w:rPr>
              <m:t>Q</m:t>
            </m:r>
          </m:e>
          <m:sub>
            <m:r>
              <w:rPr>
                <w:rFonts w:ascii="Cambria Math" w:hAnsi="Cambria Math" w:cs="Arial"/>
                <w:szCs w:val="20"/>
              </w:rPr>
              <m:t>d</m:t>
            </m:r>
          </m:sub>
        </m:sSub>
      </m:oMath>
      <w:r>
        <w:rPr>
          <w:noProof/>
          <w:color w:val="000000"/>
        </w:rPr>
        <w:t xml:space="preserve"> (m</w:t>
      </w:r>
      <w:r>
        <w:rPr>
          <w:noProof/>
          <w:color w:val="000000"/>
          <w:vertAlign w:val="superscript"/>
        </w:rPr>
        <w:t>3</w:t>
      </w:r>
      <w:r>
        <w:rPr>
          <w:noProof/>
          <w:color w:val="000000"/>
        </w:rPr>
        <w:t xml:space="preserve">/g): </w:t>
      </w:r>
      <w:r>
        <w:tab/>
      </w:r>
    </w:p>
    <w:p w:rsidR="009C13A9" w:rsidRPr="00C903F8" w:rsidRDefault="009C13A9" w:rsidP="009C13A9">
      <w:pPr>
        <w:tabs>
          <w:tab w:val="left" w:leader="dot" w:pos="9072"/>
        </w:tabs>
        <w:spacing w:before="60" w:line="240" w:lineRule="atLeast"/>
        <w:ind w:left="709" w:hanging="709"/>
        <w:rPr>
          <w:rFonts w:cs="Arial"/>
          <w:noProof/>
          <w:color w:val="000000"/>
          <w:szCs w:val="20"/>
        </w:rPr>
      </w:pPr>
      <w:r>
        <w:rPr>
          <w:noProof/>
          <w:color w:val="000000"/>
        </w:rPr>
        <w:t>1.1.2</w:t>
      </w:r>
      <w:r>
        <w:tab/>
      </w:r>
      <w:r>
        <w:rPr>
          <w:noProof/>
          <w:color w:val="000000"/>
        </w:rPr>
        <w:t xml:space="preserve">Carico giornaliero di inquinante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rPr>
          <w:noProof/>
          <w:color w:val="000000"/>
        </w:rPr>
        <w:t xml:space="preserve"> (kg/d): </w:t>
      </w:r>
      <w:r>
        <w:tab/>
      </w:r>
    </w:p>
    <w:p w:rsidR="009C13A9" w:rsidRPr="00C903F8" w:rsidRDefault="009C13A9" w:rsidP="009C13A9">
      <w:pPr>
        <w:spacing w:before="60" w:line="240" w:lineRule="atLeast"/>
        <w:ind w:left="709" w:hanging="709"/>
        <w:rPr>
          <w:rFonts w:cs="Arial"/>
          <w:noProof/>
          <w:color w:val="000000"/>
          <w:szCs w:val="20"/>
        </w:rPr>
      </w:pPr>
      <w:r>
        <w:rPr>
          <w:noProof/>
          <w:color w:val="000000"/>
        </w:rPr>
        <w:t>1.2</w:t>
      </w:r>
      <w:r>
        <w:tab/>
      </w:r>
      <w:r>
        <w:rPr>
          <w:noProof/>
          <w:color w:val="000000"/>
        </w:rPr>
        <w:t>Efficienza di purificazione</w:t>
      </w:r>
    </w:p>
    <w:p w:rsidR="009C13A9" w:rsidRPr="00C903F8" w:rsidRDefault="009C13A9" w:rsidP="009C13A9">
      <w:pPr>
        <w:spacing w:before="60" w:line="240" w:lineRule="atLeast"/>
        <w:ind w:left="709" w:hanging="709"/>
        <w:rPr>
          <w:rFonts w:cs="Arial"/>
          <w:noProof/>
          <w:color w:val="000000"/>
          <w:szCs w:val="20"/>
        </w:rPr>
      </w:pPr>
      <w:r>
        <w:rPr>
          <w:noProof/>
          <w:color w:val="000000"/>
        </w:rPr>
        <w:t>1.2.1</w:t>
      </w:r>
      <w:r>
        <w:tab/>
      </w:r>
      <w:r>
        <w:rPr>
          <w:noProof/>
          <w:color w:val="000000"/>
        </w:rPr>
        <w:t>Valutazione dei valori di deflusso</w:t>
      </w:r>
    </w:p>
    <w:p w:rsidR="009C13A9" w:rsidRPr="00C903F8" w:rsidRDefault="009C13A9" w:rsidP="009C13A9">
      <w:pPr>
        <w:spacing w:line="240" w:lineRule="atLeast"/>
        <w:rPr>
          <w:rFonts w:cs="Arial"/>
          <w:color w:val="000000"/>
        </w:rPr>
      </w:pPr>
    </w:p>
    <w:p w:rsidR="009C13A9" w:rsidRPr="00C903F8" w:rsidRDefault="009C13A9" w:rsidP="009C13A9">
      <w:pPr>
        <w:tabs>
          <w:tab w:val="left" w:leader="dot" w:pos="9072"/>
        </w:tabs>
        <w:spacing w:line="240" w:lineRule="atLeast"/>
        <w:ind w:left="0" w:firstLine="0"/>
        <w:rPr>
          <w:rFonts w:cs="Arial"/>
          <w:noProof/>
        </w:rPr>
      </w:pPr>
      <w:r>
        <w:t xml:space="preserve">Valutazione dei valori di deflusso </w:t>
      </w:r>
      <m:oMath>
        <m:sSub>
          <m:sSubPr>
            <m:ctrlPr>
              <w:rPr>
                <w:rFonts w:ascii="Cambria Math" w:hAnsi="Cambria Math"/>
                <w:b/>
                <w:i/>
                <w:noProof/>
              </w:rPr>
            </m:ctrlPr>
          </m:sSubPr>
          <m:e>
            <m:r>
              <m:rPr>
                <m:sty m:val="bi"/>
              </m:rPr>
              <w:rPr>
                <w:rFonts w:ascii="Cambria Math" w:hAnsi="Cambria Math"/>
                <w:noProof/>
              </w:rPr>
              <m:t>BOD</m:t>
            </m:r>
          </m:e>
          <m:sub>
            <m:r>
              <m:rPr>
                <m:sty m:val="bi"/>
              </m:rPr>
              <w:rPr>
                <w:rFonts w:ascii="Cambria Math" w:hAnsi="Cambria Math"/>
                <w:noProof/>
              </w:rPr>
              <m:t>5</m:t>
            </m:r>
          </m:sub>
        </m:sSub>
      </m:oMath>
      <w:r>
        <w:t xml:space="preserve"> (mg/l)</w:t>
      </w:r>
    </w:p>
    <w:p w:rsidR="009C13A9" w:rsidRPr="00C903F8" w:rsidRDefault="009C13A9" w:rsidP="009C13A9">
      <w:pPr>
        <w:tabs>
          <w:tab w:val="left" w:leader="dot" w:pos="9072"/>
        </w:tabs>
        <w:spacing w:line="240" w:lineRule="atLeast"/>
        <w:ind w:left="0" w:firstLine="0"/>
        <w:rPr>
          <w:rFonts w:cs="Arial"/>
          <w:noProof/>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C903F8" w:rsidTr="009C13A9">
        <w:trPr>
          <w:trHeight w:val="300"/>
        </w:trPr>
        <w:tc>
          <w:tcPr>
            <w:tcW w:w="1560" w:type="dxa"/>
            <w:vMerge w:val="restart"/>
          </w:tcPr>
          <w:p w:rsidR="009C13A9" w:rsidRPr="00C903F8" w:rsidRDefault="00390107" w:rsidP="009C13A9">
            <w:pPr>
              <w:spacing w:before="60" w:after="60"/>
              <w:ind w:left="0" w:firstLine="0"/>
              <w:rPr>
                <w:noProof/>
                <w:sz w:val="18"/>
                <w:szCs w:val="18"/>
              </w:rPr>
            </w:pPr>
            <w:r>
              <w:rPr>
                <w:noProof/>
                <w:sz w:val="18"/>
              </w:rPr>
              <w:t>Ubicazione</w:t>
            </w:r>
          </w:p>
        </w:tc>
        <w:tc>
          <w:tcPr>
            <w:tcW w:w="1842" w:type="dxa"/>
            <w:vMerge w:val="restart"/>
          </w:tcPr>
          <w:p w:rsidR="009C13A9" w:rsidRPr="00C903F8" w:rsidRDefault="009C13A9" w:rsidP="009C13A9">
            <w:pPr>
              <w:spacing w:before="60" w:after="60"/>
              <w:ind w:left="0" w:firstLine="0"/>
              <w:jc w:val="center"/>
              <w:rPr>
                <w:noProof/>
                <w:sz w:val="18"/>
                <w:szCs w:val="18"/>
              </w:rPr>
            </w:pPr>
            <w:r>
              <w:rPr>
                <w:noProof/>
                <w:sz w:val="18"/>
              </w:rPr>
              <w:t>Tipo di campione</w:t>
            </w:r>
          </w:p>
        </w:tc>
        <w:tc>
          <w:tcPr>
            <w:tcW w:w="1058" w:type="dxa"/>
            <w:vMerge w:val="restart"/>
          </w:tcPr>
          <w:p w:rsidR="009C13A9" w:rsidRPr="00C903F8" w:rsidRDefault="009C13A9" w:rsidP="009C13A9">
            <w:pPr>
              <w:spacing w:before="60" w:after="60"/>
              <w:ind w:left="0" w:firstLine="0"/>
              <w:jc w:val="center"/>
              <w:rPr>
                <w:noProof/>
                <w:sz w:val="18"/>
                <w:szCs w:val="18"/>
              </w:rPr>
            </w:pPr>
            <w:r>
              <w:rPr>
                <w:noProof/>
                <w:sz w:val="18"/>
              </w:rPr>
              <w:t>Numero di prove che rispettano i valori limite</w:t>
            </w:r>
          </w:p>
        </w:tc>
        <w:tc>
          <w:tcPr>
            <w:tcW w:w="992" w:type="dxa"/>
            <w:vMerge w:val="restart"/>
          </w:tcPr>
          <w:p w:rsidR="009C13A9" w:rsidRPr="00C903F8" w:rsidRDefault="009C13A9" w:rsidP="009C13A9">
            <w:pPr>
              <w:spacing w:before="60" w:after="60"/>
              <w:ind w:left="0" w:firstLine="0"/>
              <w:jc w:val="center"/>
              <w:rPr>
                <w:noProof/>
                <w:sz w:val="18"/>
                <w:szCs w:val="18"/>
              </w:rPr>
            </w:pPr>
            <w:r>
              <w:rPr>
                <w:noProof/>
                <w:sz w:val="18"/>
              </w:rPr>
              <w:t>Min</w:t>
            </w:r>
          </w:p>
        </w:tc>
        <w:tc>
          <w:tcPr>
            <w:tcW w:w="2203" w:type="dxa"/>
            <w:gridSpan w:val="2"/>
          </w:tcPr>
          <w:p w:rsidR="009C13A9" w:rsidRPr="00C903F8" w:rsidRDefault="009C13A9" w:rsidP="009C13A9">
            <w:pPr>
              <w:spacing w:before="60" w:after="60"/>
              <w:ind w:left="0" w:firstLine="0"/>
              <w:jc w:val="center"/>
              <w:rPr>
                <w:noProof/>
                <w:sz w:val="18"/>
                <w:szCs w:val="18"/>
              </w:rPr>
            </w:pPr>
            <w:r>
              <w:rPr>
                <w:noProof/>
                <w:sz w:val="18"/>
              </w:rPr>
              <w:t>Max.</w:t>
            </w:r>
          </w:p>
        </w:tc>
        <w:tc>
          <w:tcPr>
            <w:tcW w:w="1134" w:type="dxa"/>
            <w:vMerge w:val="restart"/>
          </w:tcPr>
          <w:p w:rsidR="009C13A9" w:rsidRPr="00C903F8" w:rsidRDefault="009C13A9" w:rsidP="009C13A9">
            <w:pPr>
              <w:spacing w:before="60" w:after="60"/>
              <w:ind w:left="0" w:firstLine="0"/>
              <w:jc w:val="center"/>
              <w:rPr>
                <w:noProof/>
                <w:sz w:val="18"/>
                <w:szCs w:val="18"/>
              </w:rPr>
            </w:pPr>
            <w:r>
              <w:rPr>
                <w:noProof/>
                <w:sz w:val="18"/>
              </w:rPr>
              <w:t>Media</w:t>
            </w:r>
          </w:p>
        </w:tc>
      </w:tr>
      <w:tr w:rsidR="009C13A9" w:rsidRPr="00C903F8" w:rsidTr="009C13A9">
        <w:trPr>
          <w:trHeight w:val="300"/>
        </w:trPr>
        <w:tc>
          <w:tcPr>
            <w:tcW w:w="1560" w:type="dxa"/>
            <w:vMerge/>
          </w:tcPr>
          <w:p w:rsidR="009C13A9" w:rsidRPr="00C903F8" w:rsidRDefault="009C13A9" w:rsidP="009C13A9">
            <w:pPr>
              <w:spacing w:before="60" w:after="60"/>
              <w:ind w:left="0" w:firstLine="0"/>
              <w:rPr>
                <w:noProof/>
                <w:sz w:val="18"/>
                <w:szCs w:val="18"/>
              </w:rPr>
            </w:pPr>
          </w:p>
        </w:tc>
        <w:tc>
          <w:tcPr>
            <w:tcW w:w="1842" w:type="dxa"/>
            <w:vMerge/>
          </w:tcPr>
          <w:p w:rsidR="009C13A9" w:rsidRPr="00C903F8" w:rsidRDefault="009C13A9" w:rsidP="009C13A9">
            <w:pPr>
              <w:spacing w:before="60" w:after="60"/>
              <w:ind w:left="0" w:firstLine="0"/>
              <w:rPr>
                <w:noProof/>
                <w:sz w:val="18"/>
                <w:szCs w:val="18"/>
              </w:rPr>
            </w:pPr>
          </w:p>
        </w:tc>
        <w:tc>
          <w:tcPr>
            <w:tcW w:w="1058" w:type="dxa"/>
            <w:vMerge/>
          </w:tcPr>
          <w:p w:rsidR="009C13A9" w:rsidRPr="00C903F8" w:rsidRDefault="009C13A9" w:rsidP="009C13A9">
            <w:pPr>
              <w:spacing w:before="60" w:after="60"/>
              <w:ind w:left="0" w:firstLine="0"/>
              <w:rPr>
                <w:noProof/>
                <w:sz w:val="18"/>
                <w:szCs w:val="18"/>
              </w:rPr>
            </w:pPr>
          </w:p>
        </w:tc>
        <w:tc>
          <w:tcPr>
            <w:tcW w:w="992" w:type="dxa"/>
            <w:vMerge/>
          </w:tcPr>
          <w:p w:rsidR="009C13A9" w:rsidRPr="00C903F8" w:rsidRDefault="009C13A9" w:rsidP="009C13A9">
            <w:pPr>
              <w:spacing w:before="60" w:after="60"/>
              <w:ind w:left="0" w:firstLine="0"/>
              <w:rPr>
                <w:noProof/>
                <w:sz w:val="18"/>
                <w:szCs w:val="18"/>
              </w:rPr>
            </w:pPr>
          </w:p>
        </w:tc>
        <w:tc>
          <w:tcPr>
            <w:tcW w:w="1069" w:type="dxa"/>
          </w:tcPr>
          <w:p w:rsidR="009C13A9" w:rsidRPr="00C903F8" w:rsidRDefault="009C13A9" w:rsidP="009C13A9">
            <w:pPr>
              <w:spacing w:before="60" w:after="60"/>
              <w:ind w:left="0" w:firstLine="0"/>
              <w:jc w:val="center"/>
              <w:rPr>
                <w:noProof/>
                <w:sz w:val="18"/>
                <w:szCs w:val="18"/>
              </w:rPr>
            </w:pPr>
            <w:r>
              <w:rPr>
                <w:noProof/>
                <w:sz w:val="18"/>
              </w:rPr>
              <w:t>Valore</w:t>
            </w:r>
          </w:p>
        </w:tc>
        <w:tc>
          <w:tcPr>
            <w:tcW w:w="1134" w:type="dxa"/>
          </w:tcPr>
          <w:p w:rsidR="009C13A9" w:rsidRPr="00C903F8" w:rsidRDefault="009C13A9" w:rsidP="009C13A9">
            <w:pPr>
              <w:spacing w:before="60" w:after="60"/>
              <w:ind w:left="0" w:firstLine="0"/>
              <w:jc w:val="center"/>
              <w:rPr>
                <w:noProof/>
                <w:sz w:val="18"/>
                <w:szCs w:val="18"/>
              </w:rPr>
            </w:pPr>
            <w:r>
              <w:rPr>
                <w:noProof/>
                <w:sz w:val="18"/>
              </w:rPr>
              <w:t>Fase</w:t>
            </w:r>
          </w:p>
        </w:tc>
        <w:tc>
          <w:tcPr>
            <w:tcW w:w="1134" w:type="dxa"/>
            <w:vMerge/>
          </w:tcPr>
          <w:p w:rsidR="009C13A9" w:rsidRPr="00C903F8" w:rsidRDefault="009C13A9" w:rsidP="009C13A9">
            <w:pPr>
              <w:spacing w:before="60" w:after="60"/>
              <w:ind w:left="0" w:firstLine="0"/>
              <w:rPr>
                <w:noProof/>
                <w:sz w:val="18"/>
                <w:szCs w:val="18"/>
              </w:rPr>
            </w:pPr>
          </w:p>
        </w:tc>
      </w:tr>
      <w:tr w:rsidR="009C13A9" w:rsidRPr="00C903F8" w:rsidTr="009C13A9">
        <w:tc>
          <w:tcPr>
            <w:tcW w:w="1560" w:type="dxa"/>
            <w:vAlign w:val="center"/>
          </w:tcPr>
          <w:p w:rsidR="009C13A9" w:rsidRPr="00C903F8" w:rsidRDefault="009C13A9" w:rsidP="009C13A9">
            <w:pPr>
              <w:spacing w:before="60" w:after="60"/>
              <w:ind w:left="0" w:firstLine="0"/>
              <w:rPr>
                <w:noProof/>
                <w:sz w:val="18"/>
                <w:szCs w:val="18"/>
              </w:rPr>
            </w:pPr>
            <w:r>
              <w:rPr>
                <w:noProof/>
                <w:sz w:val="18"/>
              </w:rPr>
              <w:t>Afflusso</w:t>
            </w:r>
          </w:p>
        </w:tc>
        <w:tc>
          <w:tcPr>
            <w:tcW w:w="1842" w:type="dxa"/>
            <w:vAlign w:val="center"/>
          </w:tcPr>
          <w:p w:rsidR="009C13A9" w:rsidRPr="00C903F8" w:rsidRDefault="009C13A9" w:rsidP="009C13A9">
            <w:pPr>
              <w:spacing w:before="60" w:after="60"/>
              <w:ind w:left="0" w:firstLine="0"/>
              <w:jc w:val="left"/>
              <w:rPr>
                <w:noProof/>
                <w:sz w:val="18"/>
                <w:szCs w:val="18"/>
              </w:rPr>
            </w:pPr>
            <w:r>
              <w:rPr>
                <w:noProof/>
                <w:sz w:val="18"/>
              </w:rPr>
              <w:t>Campioni compositi su 24 ore</w:t>
            </w:r>
          </w:p>
        </w:tc>
        <w:tc>
          <w:tcPr>
            <w:tcW w:w="1058" w:type="dxa"/>
            <w:vAlign w:val="center"/>
          </w:tcPr>
          <w:p w:rsidR="009C13A9" w:rsidRPr="00C903F8" w:rsidRDefault="009C13A9" w:rsidP="00704BED">
            <w:pPr>
              <w:spacing w:before="60" w:after="60"/>
              <w:ind w:left="0" w:firstLine="0"/>
              <w:jc w:val="center"/>
              <w:rPr>
                <w:noProof/>
                <w:sz w:val="18"/>
                <w:szCs w:val="18"/>
              </w:rPr>
            </w:pPr>
            <w:r>
              <w:rPr>
                <w:noProof/>
                <w:sz w:val="18"/>
              </w:rPr>
              <w:t>--</w:t>
            </w:r>
          </w:p>
        </w:tc>
        <w:tc>
          <w:tcPr>
            <w:tcW w:w="992" w:type="dxa"/>
            <w:vAlign w:val="center"/>
          </w:tcPr>
          <w:p w:rsidR="009C13A9" w:rsidRPr="00C903F8" w:rsidRDefault="009C13A9" w:rsidP="009C13A9">
            <w:pPr>
              <w:spacing w:before="60" w:after="60"/>
              <w:ind w:left="0" w:firstLine="0"/>
              <w:rPr>
                <w:noProof/>
                <w:sz w:val="18"/>
                <w:szCs w:val="18"/>
              </w:rPr>
            </w:pPr>
          </w:p>
        </w:tc>
        <w:tc>
          <w:tcPr>
            <w:tcW w:w="1069"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r>
      <w:tr w:rsidR="009C13A9" w:rsidRPr="00C903F8" w:rsidTr="009C13A9">
        <w:tc>
          <w:tcPr>
            <w:tcW w:w="1560" w:type="dxa"/>
          </w:tcPr>
          <w:p w:rsidR="009C13A9" w:rsidRPr="00C903F8" w:rsidRDefault="009C13A9" w:rsidP="009C13A9">
            <w:pPr>
              <w:spacing w:before="60" w:after="60"/>
              <w:ind w:left="0" w:firstLine="0"/>
              <w:rPr>
                <w:noProof/>
                <w:sz w:val="18"/>
                <w:szCs w:val="18"/>
              </w:rPr>
            </w:pPr>
            <w:r>
              <w:rPr>
                <w:noProof/>
                <w:sz w:val="18"/>
              </w:rPr>
              <w:t>Deflusso</w:t>
            </w:r>
          </w:p>
        </w:tc>
        <w:tc>
          <w:tcPr>
            <w:tcW w:w="1842" w:type="dxa"/>
            <w:vAlign w:val="center"/>
          </w:tcPr>
          <w:p w:rsidR="009C13A9" w:rsidRPr="00C903F8" w:rsidRDefault="009C13A9" w:rsidP="009C13A9">
            <w:pPr>
              <w:spacing w:before="60" w:after="60"/>
              <w:ind w:left="0" w:firstLine="0"/>
              <w:jc w:val="left"/>
              <w:rPr>
                <w:noProof/>
                <w:sz w:val="18"/>
                <w:szCs w:val="18"/>
              </w:rPr>
            </w:pPr>
            <w:r>
              <w:rPr>
                <w:noProof/>
                <w:sz w:val="18"/>
              </w:rPr>
              <w:t>Campioni compositi su 24 ore</w:t>
            </w:r>
          </w:p>
        </w:tc>
        <w:tc>
          <w:tcPr>
            <w:tcW w:w="1058" w:type="dxa"/>
            <w:vAlign w:val="center"/>
          </w:tcPr>
          <w:p w:rsidR="009C13A9" w:rsidRPr="00C903F8" w:rsidRDefault="009C13A9" w:rsidP="009C13A9">
            <w:pPr>
              <w:spacing w:before="60" w:after="60"/>
              <w:ind w:left="0" w:firstLine="0"/>
              <w:rPr>
                <w:noProof/>
                <w:sz w:val="18"/>
                <w:szCs w:val="18"/>
              </w:rPr>
            </w:pPr>
          </w:p>
        </w:tc>
        <w:tc>
          <w:tcPr>
            <w:tcW w:w="992" w:type="dxa"/>
            <w:vAlign w:val="center"/>
          </w:tcPr>
          <w:p w:rsidR="009C13A9" w:rsidRPr="00C903F8" w:rsidRDefault="009C13A9" w:rsidP="009C13A9">
            <w:pPr>
              <w:spacing w:before="60" w:after="60"/>
              <w:ind w:left="0" w:firstLine="0"/>
              <w:rPr>
                <w:noProof/>
                <w:sz w:val="18"/>
                <w:szCs w:val="18"/>
              </w:rPr>
            </w:pPr>
          </w:p>
        </w:tc>
        <w:tc>
          <w:tcPr>
            <w:tcW w:w="1069"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c>
          <w:tcPr>
            <w:tcW w:w="1134" w:type="dxa"/>
          </w:tcPr>
          <w:p w:rsidR="009C13A9" w:rsidRPr="00C903F8" w:rsidRDefault="009C13A9" w:rsidP="009C13A9">
            <w:pPr>
              <w:spacing w:before="60" w:after="60"/>
              <w:ind w:left="0" w:firstLine="0"/>
              <w:rPr>
                <w:noProof/>
                <w:sz w:val="18"/>
                <w:szCs w:val="18"/>
              </w:rPr>
            </w:pPr>
          </w:p>
        </w:tc>
      </w:tr>
      <w:tr w:rsidR="009C13A9" w:rsidRPr="00C903F8" w:rsidTr="009C13A9">
        <w:tc>
          <w:tcPr>
            <w:tcW w:w="1560" w:type="dxa"/>
            <w:vAlign w:val="center"/>
          </w:tcPr>
          <w:p w:rsidR="009C13A9" w:rsidRPr="00C903F8" w:rsidRDefault="009C13A9" w:rsidP="009C13A9">
            <w:pPr>
              <w:spacing w:before="60" w:after="60"/>
              <w:ind w:left="0" w:firstLine="0"/>
              <w:rPr>
                <w:noProof/>
                <w:sz w:val="18"/>
                <w:szCs w:val="18"/>
              </w:rPr>
            </w:pPr>
            <w:r>
              <w:rPr>
                <w:noProof/>
                <w:sz w:val="18"/>
              </w:rPr>
              <w:t>Afflusso</w:t>
            </w:r>
          </w:p>
        </w:tc>
        <w:tc>
          <w:tcPr>
            <w:tcW w:w="1842" w:type="dxa"/>
            <w:vAlign w:val="center"/>
          </w:tcPr>
          <w:p w:rsidR="009C13A9" w:rsidRPr="00C903F8" w:rsidRDefault="009C13A9" w:rsidP="009C13A9">
            <w:pPr>
              <w:spacing w:before="60" w:after="60"/>
              <w:ind w:left="0" w:firstLine="0"/>
              <w:rPr>
                <w:noProof/>
                <w:sz w:val="18"/>
                <w:szCs w:val="18"/>
              </w:rPr>
            </w:pPr>
            <w:r>
              <w:rPr>
                <w:noProof/>
                <w:sz w:val="18"/>
              </w:rPr>
              <w:t>Campioni scelti a caso</w:t>
            </w:r>
          </w:p>
        </w:tc>
        <w:tc>
          <w:tcPr>
            <w:tcW w:w="1058" w:type="dxa"/>
            <w:vAlign w:val="center"/>
          </w:tcPr>
          <w:p w:rsidR="009C13A9" w:rsidRPr="00C903F8" w:rsidRDefault="009C13A9" w:rsidP="009C13A9">
            <w:pPr>
              <w:spacing w:before="60" w:after="60"/>
              <w:ind w:left="0" w:firstLine="0"/>
              <w:jc w:val="center"/>
              <w:rPr>
                <w:noProof/>
                <w:sz w:val="18"/>
                <w:szCs w:val="18"/>
              </w:rPr>
            </w:pPr>
            <w:r>
              <w:rPr>
                <w:noProof/>
                <w:sz w:val="18"/>
              </w:rPr>
              <w:t>--</w:t>
            </w:r>
          </w:p>
        </w:tc>
        <w:tc>
          <w:tcPr>
            <w:tcW w:w="992" w:type="dxa"/>
            <w:vAlign w:val="center"/>
          </w:tcPr>
          <w:p w:rsidR="009C13A9" w:rsidRPr="00C903F8" w:rsidRDefault="009C13A9" w:rsidP="009C13A9">
            <w:pPr>
              <w:spacing w:before="60" w:after="60"/>
              <w:ind w:left="0" w:firstLine="0"/>
              <w:rPr>
                <w:noProof/>
                <w:sz w:val="18"/>
                <w:szCs w:val="18"/>
              </w:rPr>
            </w:pPr>
          </w:p>
        </w:tc>
        <w:tc>
          <w:tcPr>
            <w:tcW w:w="1069"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r>
      <w:tr w:rsidR="009C13A9" w:rsidRPr="00C903F8" w:rsidTr="009C13A9">
        <w:tc>
          <w:tcPr>
            <w:tcW w:w="1560" w:type="dxa"/>
          </w:tcPr>
          <w:p w:rsidR="009C13A9" w:rsidRPr="00C903F8" w:rsidRDefault="009C13A9" w:rsidP="009C13A9">
            <w:pPr>
              <w:spacing w:before="60" w:after="60"/>
              <w:ind w:left="0" w:firstLine="0"/>
              <w:rPr>
                <w:noProof/>
                <w:sz w:val="18"/>
                <w:szCs w:val="18"/>
              </w:rPr>
            </w:pPr>
            <w:r>
              <w:rPr>
                <w:noProof/>
                <w:sz w:val="18"/>
              </w:rPr>
              <w:t>Deflusso</w:t>
            </w:r>
          </w:p>
        </w:tc>
        <w:tc>
          <w:tcPr>
            <w:tcW w:w="1842" w:type="dxa"/>
            <w:vAlign w:val="center"/>
          </w:tcPr>
          <w:p w:rsidR="009C13A9" w:rsidRPr="00C903F8" w:rsidRDefault="009C13A9" w:rsidP="009C13A9">
            <w:pPr>
              <w:spacing w:before="60" w:after="60"/>
              <w:ind w:left="0" w:firstLine="0"/>
              <w:rPr>
                <w:noProof/>
                <w:sz w:val="18"/>
                <w:szCs w:val="18"/>
              </w:rPr>
            </w:pPr>
            <w:r>
              <w:rPr>
                <w:noProof/>
                <w:sz w:val="18"/>
              </w:rPr>
              <w:t>Campioni scelti a caso</w:t>
            </w:r>
          </w:p>
        </w:tc>
        <w:tc>
          <w:tcPr>
            <w:tcW w:w="1058" w:type="dxa"/>
            <w:vAlign w:val="center"/>
          </w:tcPr>
          <w:p w:rsidR="009C13A9" w:rsidRPr="00C903F8" w:rsidRDefault="009C13A9" w:rsidP="009C13A9">
            <w:pPr>
              <w:spacing w:before="60" w:after="60"/>
              <w:ind w:left="0" w:firstLine="0"/>
              <w:rPr>
                <w:noProof/>
                <w:sz w:val="18"/>
                <w:szCs w:val="18"/>
              </w:rPr>
            </w:pPr>
          </w:p>
        </w:tc>
        <w:tc>
          <w:tcPr>
            <w:tcW w:w="992" w:type="dxa"/>
            <w:vAlign w:val="center"/>
          </w:tcPr>
          <w:p w:rsidR="009C13A9" w:rsidRPr="00C903F8" w:rsidRDefault="009C13A9" w:rsidP="009C13A9">
            <w:pPr>
              <w:spacing w:before="60" w:after="60"/>
              <w:ind w:left="0" w:firstLine="0"/>
              <w:rPr>
                <w:noProof/>
                <w:sz w:val="18"/>
                <w:szCs w:val="18"/>
              </w:rPr>
            </w:pPr>
          </w:p>
        </w:tc>
        <w:tc>
          <w:tcPr>
            <w:tcW w:w="1069"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c>
          <w:tcPr>
            <w:tcW w:w="1134" w:type="dxa"/>
          </w:tcPr>
          <w:p w:rsidR="009C13A9" w:rsidRPr="00C903F8" w:rsidRDefault="009C13A9" w:rsidP="009C13A9">
            <w:pPr>
              <w:spacing w:before="60" w:after="60"/>
              <w:ind w:left="0" w:firstLine="0"/>
              <w:rPr>
                <w:noProof/>
                <w:sz w:val="18"/>
                <w:szCs w:val="18"/>
              </w:rPr>
            </w:pPr>
          </w:p>
        </w:tc>
      </w:tr>
    </w:tbl>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 xml:space="preserve">Valutazione dei valori di deflusso </w:t>
      </w:r>
      <w:r>
        <w:rPr>
          <w:b/>
          <w:noProof/>
          <w:color w:val="000000"/>
        </w:rPr>
        <w:t xml:space="preserve">COD </w:t>
      </w:r>
      <w:r>
        <w:rPr>
          <w:noProof/>
          <w:color w:val="000000"/>
        </w:rPr>
        <w:t>(mg/l)</w:t>
      </w:r>
    </w:p>
    <w:p w:rsidR="009C13A9" w:rsidRPr="00C903F8" w:rsidRDefault="009C13A9" w:rsidP="009C13A9">
      <w:pPr>
        <w:spacing w:line="240" w:lineRule="atLeast"/>
        <w:rPr>
          <w:rFonts w:cs="Arial"/>
          <w:noProof/>
          <w:color w:val="00000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C903F8" w:rsidTr="009C13A9">
        <w:tc>
          <w:tcPr>
            <w:tcW w:w="1560" w:type="dxa"/>
            <w:vMerge w:val="restart"/>
          </w:tcPr>
          <w:p w:rsidR="009C13A9" w:rsidRPr="00C903F8" w:rsidRDefault="00390107" w:rsidP="009C13A9">
            <w:pPr>
              <w:spacing w:before="60" w:after="60"/>
              <w:ind w:left="0" w:firstLine="0"/>
              <w:rPr>
                <w:noProof/>
                <w:sz w:val="18"/>
                <w:szCs w:val="18"/>
              </w:rPr>
            </w:pPr>
            <w:r>
              <w:rPr>
                <w:noProof/>
                <w:sz w:val="18"/>
              </w:rPr>
              <w:t>Ubicazione</w:t>
            </w:r>
          </w:p>
        </w:tc>
        <w:tc>
          <w:tcPr>
            <w:tcW w:w="1842" w:type="dxa"/>
            <w:vMerge w:val="restart"/>
          </w:tcPr>
          <w:p w:rsidR="009C13A9" w:rsidRPr="00C903F8" w:rsidRDefault="009C13A9" w:rsidP="009C13A9">
            <w:pPr>
              <w:spacing w:before="60" w:after="60"/>
              <w:ind w:left="0" w:firstLine="0"/>
              <w:jc w:val="center"/>
              <w:rPr>
                <w:noProof/>
                <w:sz w:val="18"/>
                <w:szCs w:val="18"/>
              </w:rPr>
            </w:pPr>
            <w:r>
              <w:rPr>
                <w:noProof/>
                <w:sz w:val="18"/>
              </w:rPr>
              <w:t>Tipo di campione</w:t>
            </w:r>
          </w:p>
        </w:tc>
        <w:tc>
          <w:tcPr>
            <w:tcW w:w="1058" w:type="dxa"/>
            <w:vMerge w:val="restart"/>
          </w:tcPr>
          <w:p w:rsidR="009C13A9" w:rsidRPr="00C903F8" w:rsidRDefault="009C13A9" w:rsidP="009C13A9">
            <w:pPr>
              <w:spacing w:before="60" w:after="60"/>
              <w:ind w:left="0" w:firstLine="0"/>
              <w:jc w:val="center"/>
              <w:rPr>
                <w:noProof/>
                <w:sz w:val="18"/>
                <w:szCs w:val="18"/>
              </w:rPr>
            </w:pPr>
            <w:r>
              <w:rPr>
                <w:noProof/>
                <w:sz w:val="18"/>
              </w:rPr>
              <w:t>Numero di prove che rispettano i valori limite</w:t>
            </w:r>
          </w:p>
        </w:tc>
        <w:tc>
          <w:tcPr>
            <w:tcW w:w="992" w:type="dxa"/>
            <w:vMerge w:val="restart"/>
          </w:tcPr>
          <w:p w:rsidR="009C13A9" w:rsidRPr="00C903F8" w:rsidRDefault="009C13A9" w:rsidP="009C13A9">
            <w:pPr>
              <w:spacing w:before="60" w:after="60"/>
              <w:ind w:left="0" w:firstLine="0"/>
              <w:jc w:val="center"/>
              <w:rPr>
                <w:noProof/>
                <w:sz w:val="18"/>
                <w:szCs w:val="18"/>
              </w:rPr>
            </w:pPr>
            <w:r>
              <w:rPr>
                <w:noProof/>
                <w:sz w:val="18"/>
              </w:rPr>
              <w:t>Min</w:t>
            </w:r>
          </w:p>
        </w:tc>
        <w:tc>
          <w:tcPr>
            <w:tcW w:w="2203" w:type="dxa"/>
            <w:gridSpan w:val="2"/>
          </w:tcPr>
          <w:p w:rsidR="009C13A9" w:rsidRPr="00C903F8" w:rsidRDefault="009C13A9" w:rsidP="009C13A9">
            <w:pPr>
              <w:spacing w:before="60" w:after="60"/>
              <w:ind w:left="0" w:firstLine="0"/>
              <w:jc w:val="center"/>
              <w:rPr>
                <w:noProof/>
                <w:sz w:val="18"/>
                <w:szCs w:val="18"/>
              </w:rPr>
            </w:pPr>
            <w:r>
              <w:rPr>
                <w:noProof/>
                <w:sz w:val="18"/>
              </w:rPr>
              <w:t>Max.</w:t>
            </w:r>
          </w:p>
        </w:tc>
        <w:tc>
          <w:tcPr>
            <w:tcW w:w="1134" w:type="dxa"/>
            <w:vMerge w:val="restart"/>
          </w:tcPr>
          <w:p w:rsidR="009C13A9" w:rsidRPr="00C903F8" w:rsidRDefault="009C13A9" w:rsidP="009C13A9">
            <w:pPr>
              <w:spacing w:before="60" w:after="60"/>
              <w:ind w:left="0" w:firstLine="0"/>
              <w:jc w:val="center"/>
              <w:rPr>
                <w:noProof/>
                <w:sz w:val="18"/>
                <w:szCs w:val="18"/>
              </w:rPr>
            </w:pPr>
            <w:r>
              <w:rPr>
                <w:noProof/>
                <w:sz w:val="18"/>
              </w:rPr>
              <w:t>Media</w:t>
            </w:r>
          </w:p>
        </w:tc>
      </w:tr>
      <w:tr w:rsidR="009C13A9" w:rsidRPr="00C903F8" w:rsidTr="009C13A9">
        <w:tc>
          <w:tcPr>
            <w:tcW w:w="1560" w:type="dxa"/>
            <w:vMerge/>
          </w:tcPr>
          <w:p w:rsidR="009C13A9" w:rsidRPr="00C903F8" w:rsidRDefault="009C13A9" w:rsidP="009C13A9">
            <w:pPr>
              <w:spacing w:before="60" w:after="60"/>
              <w:ind w:left="0" w:firstLine="0"/>
              <w:rPr>
                <w:noProof/>
                <w:sz w:val="18"/>
                <w:szCs w:val="18"/>
              </w:rPr>
            </w:pPr>
          </w:p>
        </w:tc>
        <w:tc>
          <w:tcPr>
            <w:tcW w:w="1842" w:type="dxa"/>
            <w:vMerge/>
          </w:tcPr>
          <w:p w:rsidR="009C13A9" w:rsidRPr="00C903F8" w:rsidRDefault="009C13A9" w:rsidP="009C13A9">
            <w:pPr>
              <w:spacing w:before="60" w:after="60"/>
              <w:ind w:left="0" w:firstLine="0"/>
              <w:rPr>
                <w:noProof/>
                <w:sz w:val="18"/>
                <w:szCs w:val="18"/>
              </w:rPr>
            </w:pPr>
          </w:p>
        </w:tc>
        <w:tc>
          <w:tcPr>
            <w:tcW w:w="1058" w:type="dxa"/>
            <w:vMerge/>
          </w:tcPr>
          <w:p w:rsidR="009C13A9" w:rsidRPr="00C903F8" w:rsidRDefault="009C13A9" w:rsidP="009C13A9">
            <w:pPr>
              <w:spacing w:before="60" w:after="60"/>
              <w:ind w:left="0" w:firstLine="0"/>
              <w:rPr>
                <w:noProof/>
                <w:sz w:val="18"/>
                <w:szCs w:val="18"/>
              </w:rPr>
            </w:pPr>
          </w:p>
        </w:tc>
        <w:tc>
          <w:tcPr>
            <w:tcW w:w="992" w:type="dxa"/>
            <w:vMerge/>
          </w:tcPr>
          <w:p w:rsidR="009C13A9" w:rsidRPr="00C903F8" w:rsidRDefault="009C13A9" w:rsidP="009C13A9">
            <w:pPr>
              <w:spacing w:before="60" w:after="60"/>
              <w:ind w:left="0" w:firstLine="0"/>
              <w:rPr>
                <w:noProof/>
                <w:sz w:val="18"/>
                <w:szCs w:val="18"/>
              </w:rPr>
            </w:pPr>
          </w:p>
        </w:tc>
        <w:tc>
          <w:tcPr>
            <w:tcW w:w="1069" w:type="dxa"/>
          </w:tcPr>
          <w:p w:rsidR="009C13A9" w:rsidRPr="00C903F8" w:rsidRDefault="009C13A9" w:rsidP="009C13A9">
            <w:pPr>
              <w:spacing w:before="60" w:after="60"/>
              <w:ind w:left="0" w:firstLine="0"/>
              <w:jc w:val="center"/>
              <w:rPr>
                <w:noProof/>
                <w:sz w:val="18"/>
                <w:szCs w:val="18"/>
              </w:rPr>
            </w:pPr>
            <w:r>
              <w:rPr>
                <w:noProof/>
                <w:sz w:val="18"/>
              </w:rPr>
              <w:t>Valore</w:t>
            </w:r>
          </w:p>
        </w:tc>
        <w:tc>
          <w:tcPr>
            <w:tcW w:w="1134" w:type="dxa"/>
          </w:tcPr>
          <w:p w:rsidR="009C13A9" w:rsidRPr="00C903F8" w:rsidRDefault="009C13A9" w:rsidP="009C13A9">
            <w:pPr>
              <w:spacing w:before="60" w:after="60"/>
              <w:ind w:left="0" w:firstLine="0"/>
              <w:jc w:val="center"/>
              <w:rPr>
                <w:noProof/>
                <w:sz w:val="18"/>
                <w:szCs w:val="18"/>
              </w:rPr>
            </w:pPr>
            <w:r>
              <w:rPr>
                <w:noProof/>
                <w:sz w:val="18"/>
              </w:rPr>
              <w:t>Fase</w:t>
            </w:r>
          </w:p>
        </w:tc>
        <w:tc>
          <w:tcPr>
            <w:tcW w:w="1134" w:type="dxa"/>
            <w:vMerge/>
          </w:tcPr>
          <w:p w:rsidR="009C13A9" w:rsidRPr="00C903F8" w:rsidRDefault="009C13A9" w:rsidP="009C13A9">
            <w:pPr>
              <w:spacing w:before="60" w:after="60"/>
              <w:ind w:left="0" w:firstLine="0"/>
              <w:rPr>
                <w:noProof/>
                <w:sz w:val="18"/>
                <w:szCs w:val="18"/>
              </w:rPr>
            </w:pPr>
          </w:p>
        </w:tc>
      </w:tr>
      <w:tr w:rsidR="009C13A9" w:rsidRPr="00C903F8" w:rsidTr="009C13A9">
        <w:tc>
          <w:tcPr>
            <w:tcW w:w="1560" w:type="dxa"/>
            <w:vAlign w:val="center"/>
          </w:tcPr>
          <w:p w:rsidR="009C13A9" w:rsidRPr="00C903F8" w:rsidRDefault="009C13A9" w:rsidP="009C13A9">
            <w:pPr>
              <w:spacing w:before="60" w:after="60"/>
              <w:ind w:left="0" w:firstLine="0"/>
              <w:rPr>
                <w:noProof/>
                <w:sz w:val="18"/>
                <w:szCs w:val="18"/>
              </w:rPr>
            </w:pPr>
            <w:r>
              <w:rPr>
                <w:noProof/>
                <w:sz w:val="18"/>
              </w:rPr>
              <w:t>Afflusso</w:t>
            </w:r>
          </w:p>
        </w:tc>
        <w:tc>
          <w:tcPr>
            <w:tcW w:w="1842" w:type="dxa"/>
            <w:vAlign w:val="center"/>
          </w:tcPr>
          <w:p w:rsidR="009C13A9" w:rsidRPr="00C903F8" w:rsidRDefault="009C13A9" w:rsidP="009C13A9">
            <w:pPr>
              <w:spacing w:before="60" w:after="60"/>
              <w:ind w:left="0" w:firstLine="0"/>
              <w:jc w:val="left"/>
              <w:rPr>
                <w:noProof/>
                <w:sz w:val="18"/>
                <w:szCs w:val="18"/>
              </w:rPr>
            </w:pPr>
            <w:r>
              <w:rPr>
                <w:noProof/>
                <w:sz w:val="18"/>
              </w:rPr>
              <w:t>Campioni compositi su 24 ore</w:t>
            </w:r>
          </w:p>
        </w:tc>
        <w:tc>
          <w:tcPr>
            <w:tcW w:w="1058" w:type="dxa"/>
            <w:vAlign w:val="center"/>
          </w:tcPr>
          <w:p w:rsidR="009C13A9" w:rsidRPr="00C903F8" w:rsidRDefault="009C13A9" w:rsidP="009C13A9">
            <w:pPr>
              <w:spacing w:before="60" w:after="60"/>
              <w:ind w:left="0" w:firstLine="0"/>
              <w:jc w:val="center"/>
              <w:rPr>
                <w:noProof/>
                <w:sz w:val="18"/>
                <w:szCs w:val="18"/>
              </w:rPr>
            </w:pPr>
            <w:r>
              <w:rPr>
                <w:noProof/>
                <w:sz w:val="18"/>
              </w:rPr>
              <w:t>--</w:t>
            </w:r>
          </w:p>
        </w:tc>
        <w:tc>
          <w:tcPr>
            <w:tcW w:w="992" w:type="dxa"/>
            <w:vAlign w:val="center"/>
          </w:tcPr>
          <w:p w:rsidR="009C13A9" w:rsidRPr="00C903F8" w:rsidRDefault="009C13A9" w:rsidP="009C13A9">
            <w:pPr>
              <w:spacing w:before="60" w:after="60"/>
              <w:ind w:left="0" w:firstLine="0"/>
              <w:rPr>
                <w:noProof/>
                <w:sz w:val="18"/>
                <w:szCs w:val="18"/>
              </w:rPr>
            </w:pPr>
          </w:p>
        </w:tc>
        <w:tc>
          <w:tcPr>
            <w:tcW w:w="1069"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r>
      <w:tr w:rsidR="009C13A9" w:rsidRPr="00C903F8" w:rsidTr="009C13A9">
        <w:tc>
          <w:tcPr>
            <w:tcW w:w="1560" w:type="dxa"/>
          </w:tcPr>
          <w:p w:rsidR="009C13A9" w:rsidRPr="00C903F8" w:rsidRDefault="009C13A9" w:rsidP="009C13A9">
            <w:pPr>
              <w:spacing w:before="60" w:after="60"/>
              <w:ind w:left="0" w:firstLine="0"/>
              <w:rPr>
                <w:noProof/>
                <w:sz w:val="18"/>
                <w:szCs w:val="18"/>
              </w:rPr>
            </w:pPr>
            <w:r>
              <w:rPr>
                <w:noProof/>
                <w:sz w:val="18"/>
              </w:rPr>
              <w:t>Deflusso</w:t>
            </w:r>
          </w:p>
        </w:tc>
        <w:tc>
          <w:tcPr>
            <w:tcW w:w="1842" w:type="dxa"/>
            <w:vAlign w:val="center"/>
          </w:tcPr>
          <w:p w:rsidR="009C13A9" w:rsidRPr="00C903F8" w:rsidRDefault="009C13A9" w:rsidP="009C13A9">
            <w:pPr>
              <w:spacing w:before="60" w:after="60"/>
              <w:ind w:left="0" w:firstLine="0"/>
              <w:jc w:val="left"/>
              <w:rPr>
                <w:noProof/>
                <w:sz w:val="18"/>
                <w:szCs w:val="18"/>
              </w:rPr>
            </w:pPr>
            <w:r>
              <w:rPr>
                <w:noProof/>
                <w:sz w:val="18"/>
              </w:rPr>
              <w:t>Campioni compositi su 24 ore</w:t>
            </w:r>
          </w:p>
        </w:tc>
        <w:tc>
          <w:tcPr>
            <w:tcW w:w="1058" w:type="dxa"/>
            <w:vAlign w:val="center"/>
          </w:tcPr>
          <w:p w:rsidR="009C13A9" w:rsidRPr="00C903F8" w:rsidRDefault="009C13A9" w:rsidP="009C13A9">
            <w:pPr>
              <w:spacing w:before="60" w:after="60"/>
              <w:ind w:left="0" w:firstLine="0"/>
              <w:rPr>
                <w:noProof/>
                <w:sz w:val="18"/>
                <w:szCs w:val="18"/>
              </w:rPr>
            </w:pPr>
          </w:p>
        </w:tc>
        <w:tc>
          <w:tcPr>
            <w:tcW w:w="992" w:type="dxa"/>
            <w:vAlign w:val="center"/>
          </w:tcPr>
          <w:p w:rsidR="009C13A9" w:rsidRPr="00C903F8" w:rsidRDefault="009C13A9" w:rsidP="009C13A9">
            <w:pPr>
              <w:spacing w:before="60" w:after="60"/>
              <w:ind w:left="0" w:firstLine="0"/>
              <w:rPr>
                <w:noProof/>
                <w:sz w:val="18"/>
                <w:szCs w:val="18"/>
              </w:rPr>
            </w:pPr>
          </w:p>
        </w:tc>
        <w:tc>
          <w:tcPr>
            <w:tcW w:w="1069"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r>
      <w:tr w:rsidR="009C13A9" w:rsidRPr="00C903F8" w:rsidTr="009C13A9">
        <w:tc>
          <w:tcPr>
            <w:tcW w:w="1560" w:type="dxa"/>
            <w:vAlign w:val="center"/>
          </w:tcPr>
          <w:p w:rsidR="009C13A9" w:rsidRPr="00C903F8" w:rsidRDefault="009C13A9" w:rsidP="009C13A9">
            <w:pPr>
              <w:spacing w:before="60" w:after="60"/>
              <w:ind w:left="0" w:firstLine="0"/>
              <w:rPr>
                <w:noProof/>
                <w:sz w:val="18"/>
                <w:szCs w:val="18"/>
              </w:rPr>
            </w:pPr>
            <w:r>
              <w:rPr>
                <w:noProof/>
                <w:sz w:val="18"/>
              </w:rPr>
              <w:t>Afflusso</w:t>
            </w:r>
          </w:p>
        </w:tc>
        <w:tc>
          <w:tcPr>
            <w:tcW w:w="1842" w:type="dxa"/>
            <w:vAlign w:val="center"/>
          </w:tcPr>
          <w:p w:rsidR="009C13A9" w:rsidRPr="00C903F8" w:rsidRDefault="009C13A9" w:rsidP="009C13A9">
            <w:pPr>
              <w:spacing w:before="60" w:after="60"/>
              <w:ind w:left="0" w:firstLine="0"/>
              <w:rPr>
                <w:noProof/>
                <w:sz w:val="18"/>
                <w:szCs w:val="18"/>
              </w:rPr>
            </w:pPr>
            <w:r>
              <w:rPr>
                <w:noProof/>
                <w:sz w:val="18"/>
              </w:rPr>
              <w:t>Campioni scelti a caso</w:t>
            </w:r>
          </w:p>
        </w:tc>
        <w:tc>
          <w:tcPr>
            <w:tcW w:w="1058" w:type="dxa"/>
            <w:vAlign w:val="center"/>
          </w:tcPr>
          <w:p w:rsidR="009C13A9" w:rsidRPr="00C903F8" w:rsidRDefault="009C13A9" w:rsidP="009C13A9">
            <w:pPr>
              <w:spacing w:before="60" w:after="60"/>
              <w:ind w:left="0" w:firstLine="0"/>
              <w:jc w:val="center"/>
              <w:rPr>
                <w:noProof/>
                <w:sz w:val="18"/>
                <w:szCs w:val="18"/>
              </w:rPr>
            </w:pPr>
            <w:r>
              <w:rPr>
                <w:noProof/>
                <w:sz w:val="18"/>
              </w:rPr>
              <w:t>--</w:t>
            </w:r>
          </w:p>
        </w:tc>
        <w:tc>
          <w:tcPr>
            <w:tcW w:w="992" w:type="dxa"/>
            <w:vAlign w:val="center"/>
          </w:tcPr>
          <w:p w:rsidR="009C13A9" w:rsidRPr="00C903F8" w:rsidRDefault="009C13A9" w:rsidP="009C13A9">
            <w:pPr>
              <w:spacing w:before="60" w:after="60"/>
              <w:ind w:left="0" w:firstLine="0"/>
              <w:rPr>
                <w:noProof/>
                <w:sz w:val="18"/>
                <w:szCs w:val="18"/>
              </w:rPr>
            </w:pPr>
          </w:p>
        </w:tc>
        <w:tc>
          <w:tcPr>
            <w:tcW w:w="1069"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r>
      <w:tr w:rsidR="009C13A9" w:rsidRPr="00C903F8" w:rsidTr="009C13A9">
        <w:tc>
          <w:tcPr>
            <w:tcW w:w="1560" w:type="dxa"/>
          </w:tcPr>
          <w:p w:rsidR="009C13A9" w:rsidRPr="00C903F8" w:rsidRDefault="009C13A9" w:rsidP="009C13A9">
            <w:pPr>
              <w:spacing w:before="60" w:after="60"/>
              <w:ind w:left="0" w:firstLine="0"/>
              <w:rPr>
                <w:noProof/>
                <w:sz w:val="18"/>
                <w:szCs w:val="18"/>
              </w:rPr>
            </w:pPr>
            <w:r>
              <w:rPr>
                <w:noProof/>
                <w:sz w:val="18"/>
              </w:rPr>
              <w:t>Deflusso</w:t>
            </w:r>
          </w:p>
        </w:tc>
        <w:tc>
          <w:tcPr>
            <w:tcW w:w="1842" w:type="dxa"/>
            <w:vAlign w:val="center"/>
          </w:tcPr>
          <w:p w:rsidR="009C13A9" w:rsidRPr="00C903F8" w:rsidRDefault="009C13A9" w:rsidP="009C13A9">
            <w:pPr>
              <w:spacing w:before="60" w:after="60"/>
              <w:ind w:left="0" w:firstLine="0"/>
              <w:rPr>
                <w:noProof/>
                <w:sz w:val="18"/>
                <w:szCs w:val="18"/>
              </w:rPr>
            </w:pPr>
            <w:r>
              <w:rPr>
                <w:noProof/>
                <w:sz w:val="18"/>
              </w:rPr>
              <w:t>Campioni scelti a caso</w:t>
            </w:r>
          </w:p>
        </w:tc>
        <w:tc>
          <w:tcPr>
            <w:tcW w:w="1058" w:type="dxa"/>
            <w:vAlign w:val="center"/>
          </w:tcPr>
          <w:p w:rsidR="009C13A9" w:rsidRPr="00C903F8" w:rsidRDefault="009C13A9" w:rsidP="009C13A9">
            <w:pPr>
              <w:spacing w:before="60" w:after="60"/>
              <w:ind w:left="0" w:firstLine="0"/>
              <w:rPr>
                <w:noProof/>
                <w:sz w:val="18"/>
                <w:szCs w:val="18"/>
              </w:rPr>
            </w:pPr>
          </w:p>
        </w:tc>
        <w:tc>
          <w:tcPr>
            <w:tcW w:w="992" w:type="dxa"/>
            <w:vAlign w:val="center"/>
          </w:tcPr>
          <w:p w:rsidR="009C13A9" w:rsidRPr="00C903F8" w:rsidRDefault="009C13A9" w:rsidP="009C13A9">
            <w:pPr>
              <w:spacing w:before="60" w:after="60"/>
              <w:ind w:left="0" w:firstLine="0"/>
              <w:rPr>
                <w:noProof/>
                <w:sz w:val="18"/>
                <w:szCs w:val="18"/>
              </w:rPr>
            </w:pPr>
          </w:p>
        </w:tc>
        <w:tc>
          <w:tcPr>
            <w:tcW w:w="1069"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r>
    </w:tbl>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br w:type="page"/>
      </w:r>
    </w:p>
    <w:p w:rsidR="009C13A9" w:rsidRPr="00C903F8" w:rsidRDefault="009C13A9" w:rsidP="009C13A9">
      <w:pPr>
        <w:spacing w:line="240" w:lineRule="atLeast"/>
        <w:rPr>
          <w:rFonts w:cs="Arial"/>
          <w:noProof/>
          <w:color w:val="000000"/>
        </w:rPr>
      </w:pPr>
      <w:r>
        <w:rPr>
          <w:noProof/>
          <w:color w:val="000000"/>
        </w:rPr>
        <w:lastRenderedPageBreak/>
        <w:t xml:space="preserve">Valutazione dei valori di deflusso </w:t>
      </w:r>
      <w:r>
        <w:rPr>
          <w:b/>
          <w:noProof/>
          <w:color w:val="000000"/>
        </w:rPr>
        <w:t xml:space="preserve">TOC </w:t>
      </w:r>
      <w:r>
        <w:rPr>
          <w:noProof/>
          <w:color w:val="000000"/>
        </w:rPr>
        <w:t>(mg/l)</w:t>
      </w:r>
    </w:p>
    <w:p w:rsidR="009C13A9" w:rsidRPr="00C903F8" w:rsidRDefault="009C13A9" w:rsidP="009C13A9">
      <w:pPr>
        <w:spacing w:line="240" w:lineRule="atLeast"/>
        <w:rPr>
          <w:rFonts w:cs="Arial"/>
          <w:noProof/>
          <w:color w:val="00000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C903F8" w:rsidTr="009C13A9">
        <w:tc>
          <w:tcPr>
            <w:tcW w:w="1560" w:type="dxa"/>
            <w:vMerge w:val="restart"/>
          </w:tcPr>
          <w:p w:rsidR="009C13A9" w:rsidRPr="00C903F8" w:rsidRDefault="00390107" w:rsidP="009C13A9">
            <w:pPr>
              <w:spacing w:before="60" w:after="60"/>
              <w:ind w:left="0" w:firstLine="0"/>
              <w:rPr>
                <w:noProof/>
                <w:sz w:val="18"/>
                <w:szCs w:val="18"/>
              </w:rPr>
            </w:pPr>
            <w:r>
              <w:rPr>
                <w:noProof/>
                <w:sz w:val="18"/>
              </w:rPr>
              <w:t>Ubicazione</w:t>
            </w:r>
          </w:p>
        </w:tc>
        <w:tc>
          <w:tcPr>
            <w:tcW w:w="1842" w:type="dxa"/>
            <w:vMerge w:val="restart"/>
          </w:tcPr>
          <w:p w:rsidR="009C13A9" w:rsidRPr="00C903F8" w:rsidRDefault="009C13A9" w:rsidP="009C13A9">
            <w:pPr>
              <w:spacing w:before="60" w:after="60"/>
              <w:ind w:left="0" w:firstLine="0"/>
              <w:jc w:val="center"/>
              <w:rPr>
                <w:noProof/>
                <w:sz w:val="18"/>
                <w:szCs w:val="18"/>
              </w:rPr>
            </w:pPr>
            <w:r>
              <w:rPr>
                <w:noProof/>
                <w:sz w:val="18"/>
              </w:rPr>
              <w:t>Tipo di campione</w:t>
            </w:r>
          </w:p>
        </w:tc>
        <w:tc>
          <w:tcPr>
            <w:tcW w:w="1058" w:type="dxa"/>
            <w:vMerge w:val="restart"/>
          </w:tcPr>
          <w:p w:rsidR="009C13A9" w:rsidRPr="00C903F8" w:rsidRDefault="009C13A9" w:rsidP="009C13A9">
            <w:pPr>
              <w:spacing w:before="60" w:after="60"/>
              <w:ind w:left="0" w:firstLine="0"/>
              <w:jc w:val="center"/>
              <w:rPr>
                <w:noProof/>
                <w:sz w:val="18"/>
                <w:szCs w:val="18"/>
              </w:rPr>
            </w:pPr>
            <w:r>
              <w:rPr>
                <w:noProof/>
                <w:sz w:val="18"/>
              </w:rPr>
              <w:t>Numero di prove che rispettano i valori limite</w:t>
            </w:r>
          </w:p>
        </w:tc>
        <w:tc>
          <w:tcPr>
            <w:tcW w:w="992" w:type="dxa"/>
            <w:vMerge w:val="restart"/>
          </w:tcPr>
          <w:p w:rsidR="009C13A9" w:rsidRPr="00C903F8" w:rsidRDefault="009C13A9" w:rsidP="009C13A9">
            <w:pPr>
              <w:spacing w:before="60" w:after="60"/>
              <w:ind w:left="0" w:firstLine="0"/>
              <w:jc w:val="center"/>
              <w:rPr>
                <w:noProof/>
                <w:sz w:val="18"/>
                <w:szCs w:val="18"/>
              </w:rPr>
            </w:pPr>
            <w:r>
              <w:rPr>
                <w:noProof/>
                <w:sz w:val="18"/>
              </w:rPr>
              <w:t>Min</w:t>
            </w:r>
          </w:p>
        </w:tc>
        <w:tc>
          <w:tcPr>
            <w:tcW w:w="2203" w:type="dxa"/>
            <w:gridSpan w:val="2"/>
          </w:tcPr>
          <w:p w:rsidR="009C13A9" w:rsidRPr="00C903F8" w:rsidRDefault="009C13A9" w:rsidP="009C13A9">
            <w:pPr>
              <w:spacing w:before="60" w:after="60"/>
              <w:ind w:left="0" w:firstLine="0"/>
              <w:jc w:val="center"/>
              <w:rPr>
                <w:noProof/>
                <w:sz w:val="18"/>
                <w:szCs w:val="18"/>
              </w:rPr>
            </w:pPr>
            <w:r>
              <w:rPr>
                <w:noProof/>
                <w:sz w:val="18"/>
              </w:rPr>
              <w:t>Max.</w:t>
            </w:r>
          </w:p>
        </w:tc>
        <w:tc>
          <w:tcPr>
            <w:tcW w:w="1134" w:type="dxa"/>
            <w:vMerge w:val="restart"/>
          </w:tcPr>
          <w:p w:rsidR="009C13A9" w:rsidRPr="00C903F8" w:rsidRDefault="009C13A9" w:rsidP="009C13A9">
            <w:pPr>
              <w:spacing w:before="60" w:after="60"/>
              <w:ind w:left="0" w:firstLine="0"/>
              <w:jc w:val="center"/>
              <w:rPr>
                <w:noProof/>
                <w:sz w:val="18"/>
                <w:szCs w:val="18"/>
              </w:rPr>
            </w:pPr>
            <w:r>
              <w:rPr>
                <w:noProof/>
                <w:sz w:val="18"/>
              </w:rPr>
              <w:t>Media</w:t>
            </w:r>
          </w:p>
        </w:tc>
      </w:tr>
      <w:tr w:rsidR="009C13A9" w:rsidRPr="00C903F8" w:rsidTr="009C13A9">
        <w:tc>
          <w:tcPr>
            <w:tcW w:w="1560" w:type="dxa"/>
            <w:vMerge/>
          </w:tcPr>
          <w:p w:rsidR="009C13A9" w:rsidRPr="00C903F8" w:rsidRDefault="009C13A9" w:rsidP="009C13A9">
            <w:pPr>
              <w:spacing w:before="60" w:after="60"/>
              <w:ind w:left="0" w:firstLine="0"/>
              <w:rPr>
                <w:noProof/>
                <w:sz w:val="18"/>
                <w:szCs w:val="18"/>
              </w:rPr>
            </w:pPr>
          </w:p>
        </w:tc>
        <w:tc>
          <w:tcPr>
            <w:tcW w:w="1842" w:type="dxa"/>
            <w:vMerge/>
          </w:tcPr>
          <w:p w:rsidR="009C13A9" w:rsidRPr="00C903F8" w:rsidRDefault="009C13A9" w:rsidP="009C13A9">
            <w:pPr>
              <w:spacing w:before="60" w:after="60"/>
              <w:ind w:left="0" w:firstLine="0"/>
              <w:rPr>
                <w:noProof/>
                <w:sz w:val="18"/>
                <w:szCs w:val="18"/>
              </w:rPr>
            </w:pPr>
          </w:p>
        </w:tc>
        <w:tc>
          <w:tcPr>
            <w:tcW w:w="1058" w:type="dxa"/>
            <w:vMerge/>
          </w:tcPr>
          <w:p w:rsidR="009C13A9" w:rsidRPr="00C903F8" w:rsidRDefault="009C13A9" w:rsidP="009C13A9">
            <w:pPr>
              <w:spacing w:before="60" w:after="60"/>
              <w:ind w:left="0" w:firstLine="0"/>
              <w:rPr>
                <w:noProof/>
                <w:sz w:val="18"/>
                <w:szCs w:val="18"/>
              </w:rPr>
            </w:pPr>
          </w:p>
        </w:tc>
        <w:tc>
          <w:tcPr>
            <w:tcW w:w="992" w:type="dxa"/>
            <w:vMerge/>
          </w:tcPr>
          <w:p w:rsidR="009C13A9" w:rsidRPr="00C903F8" w:rsidRDefault="009C13A9" w:rsidP="009C13A9">
            <w:pPr>
              <w:spacing w:before="60" w:after="60"/>
              <w:ind w:left="0" w:firstLine="0"/>
              <w:rPr>
                <w:noProof/>
                <w:sz w:val="18"/>
                <w:szCs w:val="18"/>
              </w:rPr>
            </w:pPr>
          </w:p>
        </w:tc>
        <w:tc>
          <w:tcPr>
            <w:tcW w:w="1069" w:type="dxa"/>
          </w:tcPr>
          <w:p w:rsidR="009C13A9" w:rsidRPr="00C903F8" w:rsidRDefault="009C13A9" w:rsidP="009C13A9">
            <w:pPr>
              <w:spacing w:before="60" w:after="60"/>
              <w:ind w:left="0" w:firstLine="0"/>
              <w:jc w:val="center"/>
              <w:rPr>
                <w:noProof/>
                <w:sz w:val="18"/>
                <w:szCs w:val="18"/>
              </w:rPr>
            </w:pPr>
            <w:r>
              <w:rPr>
                <w:noProof/>
                <w:sz w:val="18"/>
              </w:rPr>
              <w:t>Valore</w:t>
            </w:r>
          </w:p>
        </w:tc>
        <w:tc>
          <w:tcPr>
            <w:tcW w:w="1134" w:type="dxa"/>
          </w:tcPr>
          <w:p w:rsidR="009C13A9" w:rsidRPr="00C903F8" w:rsidRDefault="009C13A9" w:rsidP="009C13A9">
            <w:pPr>
              <w:spacing w:before="60" w:after="60"/>
              <w:ind w:left="0" w:firstLine="0"/>
              <w:jc w:val="center"/>
              <w:rPr>
                <w:noProof/>
                <w:sz w:val="18"/>
                <w:szCs w:val="18"/>
              </w:rPr>
            </w:pPr>
            <w:r>
              <w:rPr>
                <w:noProof/>
                <w:sz w:val="18"/>
              </w:rPr>
              <w:t>Fase</w:t>
            </w:r>
          </w:p>
        </w:tc>
        <w:tc>
          <w:tcPr>
            <w:tcW w:w="1134" w:type="dxa"/>
            <w:vMerge/>
          </w:tcPr>
          <w:p w:rsidR="009C13A9" w:rsidRPr="00C903F8" w:rsidRDefault="009C13A9" w:rsidP="009C13A9">
            <w:pPr>
              <w:spacing w:before="60" w:after="60"/>
              <w:ind w:left="0" w:firstLine="0"/>
              <w:rPr>
                <w:noProof/>
                <w:sz w:val="18"/>
                <w:szCs w:val="18"/>
              </w:rPr>
            </w:pPr>
          </w:p>
        </w:tc>
      </w:tr>
      <w:tr w:rsidR="009C13A9" w:rsidRPr="00C903F8" w:rsidTr="009C13A9">
        <w:tc>
          <w:tcPr>
            <w:tcW w:w="1560" w:type="dxa"/>
            <w:vAlign w:val="center"/>
          </w:tcPr>
          <w:p w:rsidR="009C13A9" w:rsidRPr="00C903F8" w:rsidRDefault="009C13A9" w:rsidP="009C13A9">
            <w:pPr>
              <w:spacing w:before="60" w:after="60"/>
              <w:ind w:left="0" w:firstLine="0"/>
              <w:rPr>
                <w:noProof/>
                <w:sz w:val="18"/>
                <w:szCs w:val="18"/>
              </w:rPr>
            </w:pPr>
            <w:r>
              <w:rPr>
                <w:noProof/>
                <w:sz w:val="18"/>
              </w:rPr>
              <w:t>Afflusso</w:t>
            </w:r>
          </w:p>
        </w:tc>
        <w:tc>
          <w:tcPr>
            <w:tcW w:w="1842" w:type="dxa"/>
            <w:vAlign w:val="center"/>
          </w:tcPr>
          <w:p w:rsidR="009C13A9" w:rsidRPr="00C903F8" w:rsidRDefault="009C13A9" w:rsidP="009C13A9">
            <w:pPr>
              <w:spacing w:before="60" w:after="60"/>
              <w:ind w:left="0" w:firstLine="0"/>
              <w:jc w:val="left"/>
              <w:rPr>
                <w:noProof/>
                <w:sz w:val="18"/>
                <w:szCs w:val="18"/>
              </w:rPr>
            </w:pPr>
            <w:r>
              <w:rPr>
                <w:noProof/>
                <w:sz w:val="18"/>
              </w:rPr>
              <w:t>Campioni compositi su 24 ore</w:t>
            </w:r>
          </w:p>
        </w:tc>
        <w:tc>
          <w:tcPr>
            <w:tcW w:w="1058" w:type="dxa"/>
            <w:vAlign w:val="center"/>
          </w:tcPr>
          <w:p w:rsidR="009C13A9" w:rsidRPr="00C903F8" w:rsidRDefault="009C13A9" w:rsidP="009C13A9">
            <w:pPr>
              <w:spacing w:before="60" w:after="60"/>
              <w:ind w:left="0" w:firstLine="0"/>
              <w:jc w:val="center"/>
              <w:rPr>
                <w:noProof/>
                <w:sz w:val="18"/>
                <w:szCs w:val="18"/>
              </w:rPr>
            </w:pPr>
            <w:r>
              <w:rPr>
                <w:noProof/>
                <w:sz w:val="18"/>
              </w:rPr>
              <w:t>--</w:t>
            </w:r>
          </w:p>
        </w:tc>
        <w:tc>
          <w:tcPr>
            <w:tcW w:w="992" w:type="dxa"/>
            <w:vAlign w:val="center"/>
          </w:tcPr>
          <w:p w:rsidR="009C13A9" w:rsidRPr="00C903F8" w:rsidRDefault="009C13A9" w:rsidP="009C13A9">
            <w:pPr>
              <w:spacing w:before="60" w:after="60"/>
              <w:ind w:left="0" w:firstLine="0"/>
              <w:rPr>
                <w:noProof/>
                <w:sz w:val="18"/>
                <w:szCs w:val="18"/>
              </w:rPr>
            </w:pPr>
          </w:p>
        </w:tc>
        <w:tc>
          <w:tcPr>
            <w:tcW w:w="1069"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r>
      <w:tr w:rsidR="009C13A9" w:rsidRPr="00C903F8" w:rsidTr="009C13A9">
        <w:tc>
          <w:tcPr>
            <w:tcW w:w="1560" w:type="dxa"/>
          </w:tcPr>
          <w:p w:rsidR="009C13A9" w:rsidRPr="00C903F8" w:rsidRDefault="009C13A9" w:rsidP="009C13A9">
            <w:pPr>
              <w:spacing w:before="60" w:after="60"/>
              <w:ind w:left="0" w:firstLine="0"/>
              <w:rPr>
                <w:noProof/>
                <w:sz w:val="18"/>
                <w:szCs w:val="18"/>
              </w:rPr>
            </w:pPr>
            <w:r>
              <w:rPr>
                <w:noProof/>
                <w:sz w:val="18"/>
              </w:rPr>
              <w:t>Deflusso</w:t>
            </w:r>
          </w:p>
        </w:tc>
        <w:tc>
          <w:tcPr>
            <w:tcW w:w="1842" w:type="dxa"/>
            <w:vAlign w:val="center"/>
          </w:tcPr>
          <w:p w:rsidR="009C13A9" w:rsidRPr="00C903F8" w:rsidRDefault="009C13A9" w:rsidP="009C13A9">
            <w:pPr>
              <w:spacing w:before="60" w:after="60"/>
              <w:ind w:left="0" w:firstLine="0"/>
              <w:jc w:val="left"/>
              <w:rPr>
                <w:noProof/>
                <w:sz w:val="18"/>
                <w:szCs w:val="18"/>
              </w:rPr>
            </w:pPr>
            <w:r>
              <w:rPr>
                <w:noProof/>
                <w:sz w:val="18"/>
              </w:rPr>
              <w:t>Campioni compositi su 24 ore</w:t>
            </w:r>
          </w:p>
        </w:tc>
        <w:tc>
          <w:tcPr>
            <w:tcW w:w="1058" w:type="dxa"/>
            <w:vAlign w:val="center"/>
          </w:tcPr>
          <w:p w:rsidR="009C13A9" w:rsidRPr="00C903F8" w:rsidRDefault="009C13A9" w:rsidP="009C13A9">
            <w:pPr>
              <w:spacing w:before="60" w:after="60"/>
              <w:ind w:left="0" w:firstLine="0"/>
              <w:rPr>
                <w:noProof/>
                <w:sz w:val="18"/>
                <w:szCs w:val="18"/>
              </w:rPr>
            </w:pPr>
          </w:p>
        </w:tc>
        <w:tc>
          <w:tcPr>
            <w:tcW w:w="992" w:type="dxa"/>
            <w:vAlign w:val="center"/>
          </w:tcPr>
          <w:p w:rsidR="009C13A9" w:rsidRPr="00C903F8" w:rsidRDefault="009C13A9" w:rsidP="009C13A9">
            <w:pPr>
              <w:spacing w:before="60" w:after="60"/>
              <w:ind w:left="0" w:firstLine="0"/>
              <w:rPr>
                <w:noProof/>
                <w:sz w:val="18"/>
                <w:szCs w:val="18"/>
              </w:rPr>
            </w:pPr>
          </w:p>
        </w:tc>
        <w:tc>
          <w:tcPr>
            <w:tcW w:w="1069"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r>
      <w:tr w:rsidR="009C13A9" w:rsidRPr="00C903F8" w:rsidTr="009C13A9">
        <w:tc>
          <w:tcPr>
            <w:tcW w:w="1560" w:type="dxa"/>
            <w:vAlign w:val="center"/>
          </w:tcPr>
          <w:p w:rsidR="009C13A9" w:rsidRPr="00C903F8" w:rsidRDefault="009C13A9" w:rsidP="009C13A9">
            <w:pPr>
              <w:spacing w:before="60" w:after="60"/>
              <w:ind w:left="0" w:firstLine="0"/>
              <w:rPr>
                <w:noProof/>
                <w:sz w:val="18"/>
                <w:szCs w:val="18"/>
              </w:rPr>
            </w:pPr>
            <w:r>
              <w:rPr>
                <w:noProof/>
                <w:sz w:val="18"/>
              </w:rPr>
              <w:t>Afflusso</w:t>
            </w:r>
          </w:p>
        </w:tc>
        <w:tc>
          <w:tcPr>
            <w:tcW w:w="1842" w:type="dxa"/>
            <w:vAlign w:val="center"/>
          </w:tcPr>
          <w:p w:rsidR="009C13A9" w:rsidRPr="00C903F8" w:rsidRDefault="009C13A9" w:rsidP="009C13A9">
            <w:pPr>
              <w:spacing w:before="60" w:after="60"/>
              <w:ind w:left="0" w:firstLine="0"/>
              <w:rPr>
                <w:noProof/>
                <w:sz w:val="18"/>
                <w:szCs w:val="18"/>
              </w:rPr>
            </w:pPr>
            <w:r>
              <w:rPr>
                <w:noProof/>
                <w:sz w:val="18"/>
              </w:rPr>
              <w:t>Campioni scelti a caso</w:t>
            </w:r>
          </w:p>
        </w:tc>
        <w:tc>
          <w:tcPr>
            <w:tcW w:w="1058" w:type="dxa"/>
            <w:vAlign w:val="center"/>
          </w:tcPr>
          <w:p w:rsidR="009C13A9" w:rsidRPr="00C903F8" w:rsidRDefault="009C13A9" w:rsidP="009C13A9">
            <w:pPr>
              <w:spacing w:before="60" w:after="60"/>
              <w:ind w:left="0" w:firstLine="0"/>
              <w:jc w:val="center"/>
              <w:rPr>
                <w:noProof/>
                <w:sz w:val="18"/>
                <w:szCs w:val="18"/>
              </w:rPr>
            </w:pPr>
            <w:r>
              <w:rPr>
                <w:noProof/>
                <w:sz w:val="18"/>
              </w:rPr>
              <w:t>--</w:t>
            </w:r>
          </w:p>
        </w:tc>
        <w:tc>
          <w:tcPr>
            <w:tcW w:w="992" w:type="dxa"/>
            <w:vAlign w:val="center"/>
          </w:tcPr>
          <w:p w:rsidR="009C13A9" w:rsidRPr="00C903F8" w:rsidRDefault="009C13A9" w:rsidP="009C13A9">
            <w:pPr>
              <w:spacing w:before="60" w:after="60"/>
              <w:ind w:left="0" w:firstLine="0"/>
              <w:rPr>
                <w:noProof/>
                <w:sz w:val="18"/>
                <w:szCs w:val="18"/>
              </w:rPr>
            </w:pPr>
          </w:p>
        </w:tc>
        <w:tc>
          <w:tcPr>
            <w:tcW w:w="1069"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r>
      <w:tr w:rsidR="009C13A9" w:rsidRPr="00C903F8" w:rsidTr="009C13A9">
        <w:tc>
          <w:tcPr>
            <w:tcW w:w="1560" w:type="dxa"/>
          </w:tcPr>
          <w:p w:rsidR="009C13A9" w:rsidRPr="00C903F8" w:rsidRDefault="009C13A9" w:rsidP="009C13A9">
            <w:pPr>
              <w:spacing w:before="60" w:after="60"/>
              <w:ind w:left="0" w:firstLine="0"/>
              <w:rPr>
                <w:noProof/>
                <w:sz w:val="18"/>
                <w:szCs w:val="18"/>
              </w:rPr>
            </w:pPr>
            <w:r>
              <w:rPr>
                <w:noProof/>
                <w:sz w:val="18"/>
              </w:rPr>
              <w:t>Deflusso</w:t>
            </w:r>
          </w:p>
        </w:tc>
        <w:tc>
          <w:tcPr>
            <w:tcW w:w="1842" w:type="dxa"/>
            <w:vAlign w:val="center"/>
          </w:tcPr>
          <w:p w:rsidR="009C13A9" w:rsidRPr="00C903F8" w:rsidRDefault="009C13A9" w:rsidP="009C13A9">
            <w:pPr>
              <w:spacing w:before="60" w:after="60"/>
              <w:ind w:left="0" w:firstLine="0"/>
              <w:rPr>
                <w:noProof/>
                <w:sz w:val="18"/>
                <w:szCs w:val="18"/>
              </w:rPr>
            </w:pPr>
            <w:r>
              <w:rPr>
                <w:noProof/>
                <w:sz w:val="18"/>
              </w:rPr>
              <w:t>Campioni scelti a caso</w:t>
            </w:r>
          </w:p>
        </w:tc>
        <w:tc>
          <w:tcPr>
            <w:tcW w:w="1058" w:type="dxa"/>
            <w:vAlign w:val="center"/>
          </w:tcPr>
          <w:p w:rsidR="009C13A9" w:rsidRPr="00C903F8" w:rsidRDefault="009C13A9" w:rsidP="009C13A9">
            <w:pPr>
              <w:spacing w:before="60" w:after="60"/>
              <w:ind w:left="0" w:firstLine="0"/>
              <w:rPr>
                <w:noProof/>
                <w:sz w:val="18"/>
                <w:szCs w:val="18"/>
              </w:rPr>
            </w:pPr>
          </w:p>
        </w:tc>
        <w:tc>
          <w:tcPr>
            <w:tcW w:w="992" w:type="dxa"/>
            <w:vAlign w:val="center"/>
          </w:tcPr>
          <w:p w:rsidR="009C13A9" w:rsidRPr="00C903F8" w:rsidRDefault="009C13A9" w:rsidP="009C13A9">
            <w:pPr>
              <w:spacing w:before="60" w:after="60"/>
              <w:ind w:left="0" w:firstLine="0"/>
              <w:rPr>
                <w:noProof/>
                <w:sz w:val="18"/>
                <w:szCs w:val="18"/>
              </w:rPr>
            </w:pPr>
          </w:p>
        </w:tc>
        <w:tc>
          <w:tcPr>
            <w:tcW w:w="1069"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c>
          <w:tcPr>
            <w:tcW w:w="1134" w:type="dxa"/>
            <w:vAlign w:val="center"/>
          </w:tcPr>
          <w:p w:rsidR="009C13A9" w:rsidRPr="00C903F8" w:rsidRDefault="009C13A9" w:rsidP="009C13A9">
            <w:pPr>
              <w:spacing w:before="60" w:after="60"/>
              <w:ind w:left="0" w:firstLine="0"/>
              <w:rPr>
                <w:noProof/>
                <w:sz w:val="18"/>
                <w:szCs w:val="18"/>
              </w:rPr>
            </w:pPr>
          </w:p>
        </w:tc>
      </w:tr>
    </w:tbl>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 xml:space="preserve">Valutazione dei valori di deflusso </w:t>
      </w:r>
      <w:r>
        <w:rPr>
          <w:b/>
          <w:noProof/>
          <w:color w:val="000000"/>
        </w:rPr>
        <w:t xml:space="preserve">SRF </w:t>
      </w:r>
      <w:r>
        <w:rPr>
          <w:noProof/>
          <w:color w:val="000000"/>
        </w:rPr>
        <w:t>(mg/l)</w:t>
      </w:r>
    </w:p>
    <w:p w:rsidR="009C13A9" w:rsidRPr="00C903F8" w:rsidRDefault="009C13A9" w:rsidP="009C13A9">
      <w:pPr>
        <w:spacing w:line="240" w:lineRule="atLeast"/>
        <w:rPr>
          <w:rFonts w:cs="Arial"/>
          <w:noProof/>
          <w:color w:val="00000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C903F8" w:rsidTr="009C13A9">
        <w:tc>
          <w:tcPr>
            <w:tcW w:w="1560" w:type="dxa"/>
            <w:vMerge w:val="restart"/>
          </w:tcPr>
          <w:p w:rsidR="009C13A9" w:rsidRPr="00C903F8" w:rsidRDefault="00390107" w:rsidP="009C13A9">
            <w:pPr>
              <w:spacing w:before="60" w:after="60"/>
              <w:ind w:left="0" w:firstLine="0"/>
              <w:rPr>
                <w:noProof/>
                <w:sz w:val="18"/>
              </w:rPr>
            </w:pPr>
            <w:r>
              <w:rPr>
                <w:noProof/>
                <w:sz w:val="18"/>
              </w:rPr>
              <w:t>Ubicazione</w:t>
            </w:r>
          </w:p>
        </w:tc>
        <w:tc>
          <w:tcPr>
            <w:tcW w:w="1842" w:type="dxa"/>
            <w:vMerge w:val="restart"/>
          </w:tcPr>
          <w:p w:rsidR="009C13A9" w:rsidRPr="00C903F8" w:rsidRDefault="009C13A9" w:rsidP="009C13A9">
            <w:pPr>
              <w:spacing w:before="60" w:after="60"/>
              <w:ind w:left="0" w:firstLine="0"/>
              <w:jc w:val="center"/>
              <w:rPr>
                <w:noProof/>
                <w:sz w:val="18"/>
              </w:rPr>
            </w:pPr>
            <w:r>
              <w:rPr>
                <w:noProof/>
                <w:sz w:val="18"/>
              </w:rPr>
              <w:t>Tipo di campione</w:t>
            </w:r>
          </w:p>
        </w:tc>
        <w:tc>
          <w:tcPr>
            <w:tcW w:w="1058" w:type="dxa"/>
            <w:vMerge w:val="restart"/>
          </w:tcPr>
          <w:p w:rsidR="009C13A9" w:rsidRPr="00C903F8" w:rsidRDefault="009C13A9" w:rsidP="009C13A9">
            <w:pPr>
              <w:spacing w:before="60" w:after="60"/>
              <w:ind w:left="0" w:firstLine="0"/>
              <w:jc w:val="center"/>
              <w:rPr>
                <w:noProof/>
                <w:sz w:val="18"/>
              </w:rPr>
            </w:pPr>
            <w:r>
              <w:rPr>
                <w:noProof/>
                <w:sz w:val="18"/>
              </w:rPr>
              <w:t>Numero di prove che rispettano i valori limite</w:t>
            </w:r>
          </w:p>
        </w:tc>
        <w:tc>
          <w:tcPr>
            <w:tcW w:w="992" w:type="dxa"/>
            <w:vMerge w:val="restart"/>
          </w:tcPr>
          <w:p w:rsidR="009C13A9" w:rsidRPr="00C903F8" w:rsidRDefault="009C13A9" w:rsidP="009C13A9">
            <w:pPr>
              <w:spacing w:before="60" w:after="60"/>
              <w:ind w:left="0" w:firstLine="0"/>
              <w:jc w:val="center"/>
              <w:rPr>
                <w:noProof/>
                <w:sz w:val="18"/>
              </w:rPr>
            </w:pPr>
            <w:r>
              <w:rPr>
                <w:noProof/>
                <w:sz w:val="18"/>
              </w:rPr>
              <w:t>Min</w:t>
            </w:r>
          </w:p>
        </w:tc>
        <w:tc>
          <w:tcPr>
            <w:tcW w:w="2203" w:type="dxa"/>
            <w:gridSpan w:val="2"/>
          </w:tcPr>
          <w:p w:rsidR="009C13A9" w:rsidRPr="00C903F8" w:rsidRDefault="009C13A9" w:rsidP="009C13A9">
            <w:pPr>
              <w:spacing w:before="60" w:after="60"/>
              <w:ind w:left="0" w:firstLine="0"/>
              <w:jc w:val="center"/>
              <w:rPr>
                <w:noProof/>
                <w:sz w:val="18"/>
              </w:rPr>
            </w:pPr>
            <w:r>
              <w:rPr>
                <w:noProof/>
                <w:sz w:val="18"/>
              </w:rPr>
              <w:t>Max.</w:t>
            </w:r>
          </w:p>
        </w:tc>
        <w:tc>
          <w:tcPr>
            <w:tcW w:w="1134" w:type="dxa"/>
            <w:vMerge w:val="restart"/>
          </w:tcPr>
          <w:p w:rsidR="009C13A9" w:rsidRPr="00C903F8" w:rsidRDefault="009C13A9" w:rsidP="009C13A9">
            <w:pPr>
              <w:spacing w:before="60" w:after="60"/>
              <w:ind w:left="0" w:firstLine="0"/>
              <w:jc w:val="center"/>
              <w:rPr>
                <w:noProof/>
                <w:sz w:val="18"/>
              </w:rPr>
            </w:pPr>
            <w:r>
              <w:rPr>
                <w:noProof/>
                <w:sz w:val="18"/>
              </w:rPr>
              <w:t>Media</w:t>
            </w:r>
          </w:p>
        </w:tc>
      </w:tr>
      <w:tr w:rsidR="009C13A9" w:rsidRPr="00C903F8" w:rsidTr="009C13A9">
        <w:tc>
          <w:tcPr>
            <w:tcW w:w="1560" w:type="dxa"/>
            <w:vMerge/>
          </w:tcPr>
          <w:p w:rsidR="009C13A9" w:rsidRPr="00C903F8" w:rsidRDefault="009C13A9" w:rsidP="009C13A9">
            <w:pPr>
              <w:spacing w:before="60" w:after="60"/>
              <w:ind w:left="0" w:firstLine="0"/>
              <w:rPr>
                <w:noProof/>
                <w:sz w:val="18"/>
              </w:rPr>
            </w:pPr>
          </w:p>
        </w:tc>
        <w:tc>
          <w:tcPr>
            <w:tcW w:w="1842" w:type="dxa"/>
            <w:vMerge/>
          </w:tcPr>
          <w:p w:rsidR="009C13A9" w:rsidRPr="00C903F8" w:rsidRDefault="009C13A9" w:rsidP="009C13A9">
            <w:pPr>
              <w:spacing w:before="60" w:after="60"/>
              <w:ind w:left="0" w:firstLine="0"/>
              <w:rPr>
                <w:noProof/>
                <w:sz w:val="18"/>
              </w:rPr>
            </w:pPr>
          </w:p>
        </w:tc>
        <w:tc>
          <w:tcPr>
            <w:tcW w:w="1058" w:type="dxa"/>
            <w:vMerge/>
          </w:tcPr>
          <w:p w:rsidR="009C13A9" w:rsidRPr="00C903F8" w:rsidRDefault="009C13A9" w:rsidP="009C13A9">
            <w:pPr>
              <w:spacing w:before="60" w:after="60"/>
              <w:ind w:left="0" w:firstLine="0"/>
              <w:rPr>
                <w:noProof/>
                <w:sz w:val="18"/>
              </w:rPr>
            </w:pPr>
          </w:p>
        </w:tc>
        <w:tc>
          <w:tcPr>
            <w:tcW w:w="992" w:type="dxa"/>
            <w:vMerge/>
          </w:tcPr>
          <w:p w:rsidR="009C13A9" w:rsidRPr="00C903F8" w:rsidRDefault="009C13A9" w:rsidP="009C13A9">
            <w:pPr>
              <w:spacing w:before="60" w:after="60"/>
              <w:ind w:left="0" w:firstLine="0"/>
              <w:rPr>
                <w:noProof/>
                <w:sz w:val="18"/>
              </w:rPr>
            </w:pPr>
          </w:p>
        </w:tc>
        <w:tc>
          <w:tcPr>
            <w:tcW w:w="1069" w:type="dxa"/>
          </w:tcPr>
          <w:p w:rsidR="009C13A9" w:rsidRPr="00C903F8" w:rsidRDefault="009C13A9" w:rsidP="009C13A9">
            <w:pPr>
              <w:spacing w:before="60" w:after="60"/>
              <w:ind w:left="0" w:firstLine="0"/>
              <w:jc w:val="center"/>
              <w:rPr>
                <w:noProof/>
                <w:sz w:val="18"/>
              </w:rPr>
            </w:pPr>
            <w:r>
              <w:rPr>
                <w:noProof/>
                <w:sz w:val="18"/>
              </w:rPr>
              <w:t>Valore</w:t>
            </w:r>
          </w:p>
        </w:tc>
        <w:tc>
          <w:tcPr>
            <w:tcW w:w="1134" w:type="dxa"/>
          </w:tcPr>
          <w:p w:rsidR="009C13A9" w:rsidRPr="00C903F8" w:rsidRDefault="009C13A9" w:rsidP="009C13A9">
            <w:pPr>
              <w:spacing w:before="60" w:after="60"/>
              <w:ind w:left="0" w:firstLine="0"/>
              <w:jc w:val="center"/>
              <w:rPr>
                <w:noProof/>
                <w:sz w:val="18"/>
              </w:rPr>
            </w:pPr>
            <w:r>
              <w:rPr>
                <w:noProof/>
                <w:sz w:val="18"/>
              </w:rPr>
              <w:t>Fase</w:t>
            </w:r>
          </w:p>
        </w:tc>
        <w:tc>
          <w:tcPr>
            <w:tcW w:w="1134" w:type="dxa"/>
            <w:vMerge/>
          </w:tcPr>
          <w:p w:rsidR="009C13A9" w:rsidRPr="00C903F8" w:rsidRDefault="009C13A9" w:rsidP="009C13A9">
            <w:pPr>
              <w:spacing w:before="60" w:after="60"/>
              <w:ind w:left="0" w:firstLine="0"/>
              <w:rPr>
                <w:noProof/>
                <w:sz w:val="18"/>
              </w:rPr>
            </w:pPr>
          </w:p>
        </w:tc>
      </w:tr>
      <w:tr w:rsidR="009C13A9" w:rsidRPr="00C903F8" w:rsidTr="009C13A9">
        <w:tc>
          <w:tcPr>
            <w:tcW w:w="1560" w:type="dxa"/>
            <w:vAlign w:val="center"/>
          </w:tcPr>
          <w:p w:rsidR="009C13A9" w:rsidRPr="00C903F8" w:rsidRDefault="009C13A9" w:rsidP="009C13A9">
            <w:pPr>
              <w:spacing w:before="60" w:after="60"/>
              <w:ind w:left="0" w:firstLine="0"/>
              <w:rPr>
                <w:noProof/>
                <w:sz w:val="18"/>
              </w:rPr>
            </w:pPr>
            <w:r>
              <w:rPr>
                <w:noProof/>
                <w:sz w:val="18"/>
              </w:rPr>
              <w:t>Afflusso</w:t>
            </w:r>
          </w:p>
        </w:tc>
        <w:tc>
          <w:tcPr>
            <w:tcW w:w="1842" w:type="dxa"/>
            <w:vAlign w:val="center"/>
          </w:tcPr>
          <w:p w:rsidR="009C13A9" w:rsidRPr="00C903F8" w:rsidRDefault="009C13A9" w:rsidP="009C13A9">
            <w:pPr>
              <w:spacing w:before="60" w:after="60"/>
              <w:ind w:left="0" w:firstLine="0"/>
              <w:jc w:val="left"/>
              <w:rPr>
                <w:noProof/>
                <w:sz w:val="18"/>
                <w:szCs w:val="22"/>
              </w:rPr>
            </w:pPr>
            <w:r>
              <w:rPr>
                <w:noProof/>
                <w:sz w:val="18"/>
              </w:rPr>
              <w:t>Campioni compositi su 24 ore</w:t>
            </w:r>
          </w:p>
        </w:tc>
        <w:tc>
          <w:tcPr>
            <w:tcW w:w="1058" w:type="dxa"/>
            <w:vAlign w:val="center"/>
          </w:tcPr>
          <w:p w:rsidR="009C13A9" w:rsidRPr="00C903F8" w:rsidRDefault="009C13A9" w:rsidP="009C13A9">
            <w:pPr>
              <w:spacing w:before="60" w:after="60"/>
              <w:ind w:left="0" w:firstLine="0"/>
              <w:jc w:val="center"/>
              <w:rPr>
                <w:noProof/>
                <w:sz w:val="18"/>
              </w:rPr>
            </w:pPr>
            <w:r>
              <w:rPr>
                <w:noProof/>
                <w:sz w:val="18"/>
              </w:rPr>
              <w:t>--</w:t>
            </w:r>
          </w:p>
        </w:tc>
        <w:tc>
          <w:tcPr>
            <w:tcW w:w="992" w:type="dxa"/>
            <w:vAlign w:val="center"/>
          </w:tcPr>
          <w:p w:rsidR="009C13A9" w:rsidRPr="00C903F8" w:rsidRDefault="009C13A9" w:rsidP="009C13A9">
            <w:pPr>
              <w:spacing w:before="60" w:after="60"/>
              <w:ind w:left="0" w:firstLine="0"/>
              <w:rPr>
                <w:noProof/>
                <w:sz w:val="18"/>
              </w:rPr>
            </w:pPr>
          </w:p>
        </w:tc>
        <w:tc>
          <w:tcPr>
            <w:tcW w:w="1069" w:type="dxa"/>
            <w:vAlign w:val="center"/>
          </w:tcPr>
          <w:p w:rsidR="009C13A9" w:rsidRPr="00C903F8" w:rsidRDefault="009C13A9" w:rsidP="009C13A9">
            <w:pPr>
              <w:spacing w:before="60" w:after="60"/>
              <w:ind w:left="0" w:firstLine="0"/>
              <w:rPr>
                <w:noProof/>
                <w:sz w:val="18"/>
              </w:rPr>
            </w:pPr>
          </w:p>
        </w:tc>
        <w:tc>
          <w:tcPr>
            <w:tcW w:w="1134" w:type="dxa"/>
            <w:vAlign w:val="center"/>
          </w:tcPr>
          <w:p w:rsidR="009C13A9" w:rsidRPr="00C903F8" w:rsidRDefault="009C13A9" w:rsidP="009C13A9">
            <w:pPr>
              <w:spacing w:before="60" w:after="60"/>
              <w:ind w:left="0" w:firstLine="0"/>
              <w:rPr>
                <w:noProof/>
                <w:sz w:val="18"/>
              </w:rPr>
            </w:pPr>
          </w:p>
        </w:tc>
        <w:tc>
          <w:tcPr>
            <w:tcW w:w="1134" w:type="dxa"/>
            <w:vAlign w:val="center"/>
          </w:tcPr>
          <w:p w:rsidR="009C13A9" w:rsidRPr="00C903F8" w:rsidRDefault="009C13A9" w:rsidP="009C13A9">
            <w:pPr>
              <w:spacing w:before="60" w:after="60"/>
              <w:ind w:left="0" w:firstLine="0"/>
              <w:rPr>
                <w:noProof/>
                <w:sz w:val="18"/>
              </w:rPr>
            </w:pPr>
          </w:p>
        </w:tc>
      </w:tr>
      <w:tr w:rsidR="009C13A9" w:rsidRPr="00C903F8" w:rsidTr="009C13A9">
        <w:tc>
          <w:tcPr>
            <w:tcW w:w="1560" w:type="dxa"/>
          </w:tcPr>
          <w:p w:rsidR="009C13A9" w:rsidRPr="00C903F8" w:rsidRDefault="009C13A9" w:rsidP="009C13A9">
            <w:pPr>
              <w:spacing w:before="60" w:after="60"/>
              <w:ind w:left="0" w:firstLine="0"/>
              <w:rPr>
                <w:noProof/>
                <w:sz w:val="18"/>
              </w:rPr>
            </w:pPr>
            <w:r>
              <w:rPr>
                <w:noProof/>
                <w:sz w:val="18"/>
              </w:rPr>
              <w:t>Deflusso</w:t>
            </w:r>
          </w:p>
        </w:tc>
        <w:tc>
          <w:tcPr>
            <w:tcW w:w="1842" w:type="dxa"/>
            <w:vAlign w:val="center"/>
          </w:tcPr>
          <w:p w:rsidR="009C13A9" w:rsidRPr="00C903F8" w:rsidRDefault="009C13A9" w:rsidP="009C13A9">
            <w:pPr>
              <w:spacing w:before="60" w:after="60"/>
              <w:ind w:left="0" w:firstLine="0"/>
              <w:jc w:val="left"/>
              <w:rPr>
                <w:noProof/>
                <w:sz w:val="18"/>
                <w:szCs w:val="22"/>
              </w:rPr>
            </w:pPr>
            <w:r>
              <w:rPr>
                <w:noProof/>
                <w:sz w:val="18"/>
              </w:rPr>
              <w:t>Campioni compositi su 24 ore</w:t>
            </w:r>
          </w:p>
        </w:tc>
        <w:tc>
          <w:tcPr>
            <w:tcW w:w="1058" w:type="dxa"/>
            <w:vAlign w:val="center"/>
          </w:tcPr>
          <w:p w:rsidR="009C13A9" w:rsidRPr="00C903F8" w:rsidRDefault="009C13A9" w:rsidP="009C13A9">
            <w:pPr>
              <w:spacing w:before="60" w:after="60"/>
              <w:ind w:left="0" w:firstLine="0"/>
              <w:rPr>
                <w:noProof/>
                <w:sz w:val="18"/>
              </w:rPr>
            </w:pPr>
          </w:p>
        </w:tc>
        <w:tc>
          <w:tcPr>
            <w:tcW w:w="992" w:type="dxa"/>
            <w:vAlign w:val="center"/>
          </w:tcPr>
          <w:p w:rsidR="009C13A9" w:rsidRPr="00C903F8" w:rsidRDefault="009C13A9" w:rsidP="009C13A9">
            <w:pPr>
              <w:spacing w:before="60" w:after="60"/>
              <w:ind w:left="0" w:firstLine="0"/>
              <w:rPr>
                <w:noProof/>
                <w:sz w:val="18"/>
              </w:rPr>
            </w:pPr>
          </w:p>
        </w:tc>
        <w:tc>
          <w:tcPr>
            <w:tcW w:w="1069" w:type="dxa"/>
            <w:vAlign w:val="center"/>
          </w:tcPr>
          <w:p w:rsidR="009C13A9" w:rsidRPr="00C903F8" w:rsidRDefault="009C13A9" w:rsidP="009C13A9">
            <w:pPr>
              <w:spacing w:before="60" w:after="60"/>
              <w:ind w:left="0" w:firstLine="0"/>
              <w:rPr>
                <w:noProof/>
                <w:sz w:val="18"/>
              </w:rPr>
            </w:pPr>
          </w:p>
        </w:tc>
        <w:tc>
          <w:tcPr>
            <w:tcW w:w="1134" w:type="dxa"/>
            <w:vAlign w:val="center"/>
          </w:tcPr>
          <w:p w:rsidR="009C13A9" w:rsidRPr="00C903F8" w:rsidRDefault="009C13A9" w:rsidP="009C13A9">
            <w:pPr>
              <w:spacing w:before="60" w:after="60"/>
              <w:ind w:left="0" w:firstLine="0"/>
              <w:rPr>
                <w:noProof/>
                <w:sz w:val="18"/>
              </w:rPr>
            </w:pPr>
          </w:p>
        </w:tc>
        <w:tc>
          <w:tcPr>
            <w:tcW w:w="1134" w:type="dxa"/>
            <w:vAlign w:val="center"/>
          </w:tcPr>
          <w:p w:rsidR="009C13A9" w:rsidRPr="00C903F8" w:rsidRDefault="009C13A9" w:rsidP="009C13A9">
            <w:pPr>
              <w:spacing w:before="60" w:after="60"/>
              <w:ind w:left="0" w:firstLine="0"/>
              <w:rPr>
                <w:noProof/>
                <w:sz w:val="18"/>
              </w:rPr>
            </w:pPr>
          </w:p>
        </w:tc>
      </w:tr>
      <w:tr w:rsidR="009C13A9" w:rsidRPr="00C903F8" w:rsidTr="009C13A9">
        <w:tc>
          <w:tcPr>
            <w:tcW w:w="1560" w:type="dxa"/>
            <w:vAlign w:val="center"/>
          </w:tcPr>
          <w:p w:rsidR="009C13A9" w:rsidRPr="00C903F8" w:rsidRDefault="009C13A9" w:rsidP="009C13A9">
            <w:pPr>
              <w:spacing w:before="60" w:after="60"/>
              <w:ind w:left="0" w:firstLine="0"/>
              <w:rPr>
                <w:noProof/>
                <w:sz w:val="18"/>
              </w:rPr>
            </w:pPr>
            <w:r>
              <w:rPr>
                <w:noProof/>
                <w:sz w:val="18"/>
              </w:rPr>
              <w:t>Afflusso</w:t>
            </w:r>
          </w:p>
        </w:tc>
        <w:tc>
          <w:tcPr>
            <w:tcW w:w="1842" w:type="dxa"/>
            <w:vAlign w:val="center"/>
          </w:tcPr>
          <w:p w:rsidR="009C13A9" w:rsidRPr="00C903F8" w:rsidRDefault="009C13A9" w:rsidP="009C13A9">
            <w:pPr>
              <w:spacing w:before="60" w:after="60"/>
              <w:ind w:left="0" w:firstLine="0"/>
              <w:rPr>
                <w:noProof/>
                <w:sz w:val="18"/>
                <w:szCs w:val="22"/>
              </w:rPr>
            </w:pPr>
            <w:r>
              <w:rPr>
                <w:noProof/>
                <w:sz w:val="18"/>
              </w:rPr>
              <w:t>Campioni scelti a caso</w:t>
            </w:r>
          </w:p>
        </w:tc>
        <w:tc>
          <w:tcPr>
            <w:tcW w:w="1058" w:type="dxa"/>
            <w:vAlign w:val="center"/>
          </w:tcPr>
          <w:p w:rsidR="009C13A9" w:rsidRPr="00C903F8" w:rsidRDefault="009C13A9" w:rsidP="009C13A9">
            <w:pPr>
              <w:spacing w:before="60" w:after="60"/>
              <w:ind w:left="0" w:firstLine="0"/>
              <w:jc w:val="center"/>
              <w:rPr>
                <w:noProof/>
                <w:sz w:val="18"/>
              </w:rPr>
            </w:pPr>
            <w:r>
              <w:rPr>
                <w:noProof/>
                <w:sz w:val="18"/>
              </w:rPr>
              <w:t>--</w:t>
            </w:r>
          </w:p>
        </w:tc>
        <w:tc>
          <w:tcPr>
            <w:tcW w:w="992" w:type="dxa"/>
            <w:vAlign w:val="center"/>
          </w:tcPr>
          <w:p w:rsidR="009C13A9" w:rsidRPr="00C903F8" w:rsidRDefault="009C13A9" w:rsidP="009C13A9">
            <w:pPr>
              <w:spacing w:before="60" w:after="60"/>
              <w:ind w:left="0" w:firstLine="0"/>
              <w:rPr>
                <w:noProof/>
                <w:sz w:val="18"/>
              </w:rPr>
            </w:pPr>
          </w:p>
        </w:tc>
        <w:tc>
          <w:tcPr>
            <w:tcW w:w="1069" w:type="dxa"/>
            <w:vAlign w:val="center"/>
          </w:tcPr>
          <w:p w:rsidR="009C13A9" w:rsidRPr="00C903F8" w:rsidRDefault="009C13A9" w:rsidP="009C13A9">
            <w:pPr>
              <w:spacing w:before="60" w:after="60"/>
              <w:ind w:left="0" w:firstLine="0"/>
              <w:rPr>
                <w:noProof/>
                <w:sz w:val="18"/>
              </w:rPr>
            </w:pPr>
          </w:p>
        </w:tc>
        <w:tc>
          <w:tcPr>
            <w:tcW w:w="1134" w:type="dxa"/>
            <w:vAlign w:val="center"/>
          </w:tcPr>
          <w:p w:rsidR="009C13A9" w:rsidRPr="00C903F8" w:rsidRDefault="009C13A9" w:rsidP="009C13A9">
            <w:pPr>
              <w:spacing w:before="60" w:after="60"/>
              <w:ind w:left="0" w:firstLine="0"/>
              <w:rPr>
                <w:noProof/>
                <w:sz w:val="18"/>
              </w:rPr>
            </w:pPr>
          </w:p>
        </w:tc>
        <w:tc>
          <w:tcPr>
            <w:tcW w:w="1134" w:type="dxa"/>
            <w:vAlign w:val="center"/>
          </w:tcPr>
          <w:p w:rsidR="009C13A9" w:rsidRPr="00C903F8" w:rsidRDefault="009C13A9" w:rsidP="009C13A9">
            <w:pPr>
              <w:spacing w:before="60" w:after="60"/>
              <w:ind w:left="0" w:firstLine="0"/>
              <w:rPr>
                <w:noProof/>
                <w:sz w:val="18"/>
              </w:rPr>
            </w:pPr>
          </w:p>
        </w:tc>
      </w:tr>
      <w:tr w:rsidR="009C13A9" w:rsidRPr="00C903F8" w:rsidTr="009C13A9">
        <w:tc>
          <w:tcPr>
            <w:tcW w:w="1560" w:type="dxa"/>
          </w:tcPr>
          <w:p w:rsidR="009C13A9" w:rsidRPr="00C903F8" w:rsidRDefault="009C13A9" w:rsidP="009C13A9">
            <w:pPr>
              <w:spacing w:before="60" w:after="60"/>
              <w:ind w:left="0" w:firstLine="0"/>
              <w:rPr>
                <w:noProof/>
                <w:sz w:val="18"/>
              </w:rPr>
            </w:pPr>
            <w:r>
              <w:rPr>
                <w:noProof/>
                <w:sz w:val="18"/>
              </w:rPr>
              <w:t>Deflusso</w:t>
            </w:r>
          </w:p>
        </w:tc>
        <w:tc>
          <w:tcPr>
            <w:tcW w:w="1842" w:type="dxa"/>
            <w:vAlign w:val="center"/>
          </w:tcPr>
          <w:p w:rsidR="009C13A9" w:rsidRPr="00C903F8" w:rsidRDefault="009C13A9" w:rsidP="009C13A9">
            <w:pPr>
              <w:spacing w:before="60" w:after="60"/>
              <w:ind w:left="0" w:firstLine="0"/>
              <w:rPr>
                <w:noProof/>
                <w:sz w:val="18"/>
                <w:szCs w:val="22"/>
              </w:rPr>
            </w:pPr>
            <w:r>
              <w:rPr>
                <w:noProof/>
                <w:sz w:val="18"/>
              </w:rPr>
              <w:t>Campioni scelti a caso</w:t>
            </w:r>
          </w:p>
        </w:tc>
        <w:tc>
          <w:tcPr>
            <w:tcW w:w="1058" w:type="dxa"/>
            <w:vAlign w:val="center"/>
          </w:tcPr>
          <w:p w:rsidR="009C13A9" w:rsidRPr="00C903F8" w:rsidRDefault="009C13A9" w:rsidP="009C13A9">
            <w:pPr>
              <w:spacing w:before="60" w:after="60"/>
              <w:ind w:left="0" w:firstLine="0"/>
              <w:rPr>
                <w:noProof/>
                <w:sz w:val="18"/>
              </w:rPr>
            </w:pPr>
          </w:p>
        </w:tc>
        <w:tc>
          <w:tcPr>
            <w:tcW w:w="992" w:type="dxa"/>
            <w:vAlign w:val="center"/>
          </w:tcPr>
          <w:p w:rsidR="009C13A9" w:rsidRPr="00C903F8" w:rsidRDefault="009C13A9" w:rsidP="009C13A9">
            <w:pPr>
              <w:spacing w:before="60" w:after="60"/>
              <w:ind w:left="0" w:firstLine="0"/>
              <w:rPr>
                <w:noProof/>
                <w:sz w:val="18"/>
              </w:rPr>
            </w:pPr>
          </w:p>
        </w:tc>
        <w:tc>
          <w:tcPr>
            <w:tcW w:w="1069" w:type="dxa"/>
            <w:vAlign w:val="center"/>
          </w:tcPr>
          <w:p w:rsidR="009C13A9" w:rsidRPr="00C903F8" w:rsidRDefault="009C13A9" w:rsidP="009C13A9">
            <w:pPr>
              <w:spacing w:before="60" w:after="60"/>
              <w:ind w:left="0" w:firstLine="0"/>
              <w:rPr>
                <w:noProof/>
                <w:sz w:val="18"/>
              </w:rPr>
            </w:pPr>
          </w:p>
        </w:tc>
        <w:tc>
          <w:tcPr>
            <w:tcW w:w="1134" w:type="dxa"/>
            <w:vAlign w:val="center"/>
          </w:tcPr>
          <w:p w:rsidR="009C13A9" w:rsidRPr="00C903F8" w:rsidRDefault="009C13A9" w:rsidP="009C13A9">
            <w:pPr>
              <w:spacing w:before="60" w:after="60"/>
              <w:ind w:left="0" w:firstLine="0"/>
              <w:rPr>
                <w:noProof/>
                <w:sz w:val="18"/>
              </w:rPr>
            </w:pPr>
          </w:p>
        </w:tc>
        <w:tc>
          <w:tcPr>
            <w:tcW w:w="1134" w:type="dxa"/>
            <w:vAlign w:val="center"/>
          </w:tcPr>
          <w:p w:rsidR="009C13A9" w:rsidRPr="00C903F8" w:rsidRDefault="009C13A9" w:rsidP="009C13A9">
            <w:pPr>
              <w:spacing w:before="60" w:after="60"/>
              <w:ind w:left="0" w:firstLine="0"/>
              <w:rPr>
                <w:noProof/>
                <w:sz w:val="18"/>
              </w:rPr>
            </w:pPr>
          </w:p>
        </w:tc>
      </w:tr>
    </w:tbl>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br w:type="page"/>
      </w:r>
    </w:p>
    <w:p w:rsidR="009C13A9" w:rsidRPr="00C903F8" w:rsidRDefault="009C13A9" w:rsidP="009C13A9">
      <w:pPr>
        <w:spacing w:line="240" w:lineRule="atLeast"/>
        <w:ind w:left="709" w:hanging="709"/>
        <w:rPr>
          <w:rFonts w:cs="Arial"/>
          <w:noProof/>
          <w:color w:val="000000"/>
        </w:rPr>
      </w:pPr>
      <w:r>
        <w:rPr>
          <w:noProof/>
          <w:color w:val="000000"/>
        </w:rPr>
        <w:lastRenderedPageBreak/>
        <w:t>1.2.2</w:t>
      </w:r>
      <w:r>
        <w:tab/>
      </w:r>
      <w:r>
        <w:rPr>
          <w:noProof/>
          <w:color w:val="000000"/>
        </w:rPr>
        <w:t xml:space="preserve">Efficienza di purificazione (efficienza di eliminazione) </w:t>
      </w:r>
    </w:p>
    <w:p w:rsidR="009C13A9" w:rsidRPr="00C903F8" w:rsidRDefault="009C13A9" w:rsidP="009C13A9">
      <w:pPr>
        <w:spacing w:line="240" w:lineRule="atLeast"/>
        <w:rPr>
          <w:rFonts w:cs="Arial"/>
          <w:noProof/>
          <w:color w:val="000000"/>
        </w:rPr>
      </w:pPr>
    </w:p>
    <w:tbl>
      <w:tblPr>
        <w:tblW w:w="66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876"/>
        <w:gridCol w:w="1046"/>
        <w:gridCol w:w="1065"/>
        <w:gridCol w:w="1134"/>
      </w:tblGrid>
      <w:tr w:rsidR="009C13A9" w:rsidRPr="00C903F8" w:rsidTr="009C13A9">
        <w:trPr>
          <w:jc w:val="center"/>
        </w:trPr>
        <w:tc>
          <w:tcPr>
            <w:tcW w:w="1526" w:type="dxa"/>
            <w:vAlign w:val="center"/>
          </w:tcPr>
          <w:p w:rsidR="009C13A9" w:rsidRPr="00C903F8" w:rsidRDefault="009C13A9" w:rsidP="009C13A9">
            <w:pPr>
              <w:spacing w:before="60" w:after="60"/>
              <w:ind w:left="0" w:firstLine="0"/>
              <w:rPr>
                <w:noProof/>
                <w:sz w:val="18"/>
                <w:szCs w:val="22"/>
              </w:rPr>
            </w:pPr>
            <w:r>
              <w:rPr>
                <w:noProof/>
                <w:sz w:val="18"/>
              </w:rPr>
              <w:t>Parametro</w:t>
            </w:r>
          </w:p>
        </w:tc>
        <w:tc>
          <w:tcPr>
            <w:tcW w:w="1876" w:type="dxa"/>
            <w:vAlign w:val="center"/>
          </w:tcPr>
          <w:p w:rsidR="009C13A9" w:rsidRPr="00C903F8" w:rsidRDefault="009C13A9" w:rsidP="009C13A9">
            <w:pPr>
              <w:spacing w:before="60" w:after="60"/>
              <w:ind w:left="0" w:firstLine="0"/>
              <w:rPr>
                <w:noProof/>
                <w:sz w:val="18"/>
                <w:szCs w:val="22"/>
              </w:rPr>
            </w:pPr>
            <w:r>
              <w:rPr>
                <w:noProof/>
                <w:sz w:val="18"/>
              </w:rPr>
              <w:t>Tipo di campione</w:t>
            </w:r>
          </w:p>
        </w:tc>
        <w:tc>
          <w:tcPr>
            <w:tcW w:w="1046" w:type="dxa"/>
            <w:vAlign w:val="center"/>
          </w:tcPr>
          <w:p w:rsidR="009C13A9" w:rsidRPr="00C903F8" w:rsidRDefault="009C13A9" w:rsidP="009C13A9">
            <w:pPr>
              <w:spacing w:before="60" w:after="60"/>
              <w:ind w:left="0" w:firstLine="0"/>
              <w:jc w:val="center"/>
              <w:rPr>
                <w:noProof/>
                <w:sz w:val="18"/>
                <w:szCs w:val="22"/>
              </w:rPr>
            </w:pPr>
            <w:r>
              <w:rPr>
                <w:noProof/>
                <w:sz w:val="18"/>
              </w:rPr>
              <w:t>Min</w:t>
            </w:r>
          </w:p>
        </w:tc>
        <w:tc>
          <w:tcPr>
            <w:tcW w:w="1065" w:type="dxa"/>
            <w:vAlign w:val="center"/>
          </w:tcPr>
          <w:p w:rsidR="009C13A9" w:rsidRPr="00C903F8" w:rsidRDefault="009C13A9" w:rsidP="009C13A9">
            <w:pPr>
              <w:spacing w:before="60" w:after="60"/>
              <w:ind w:left="0" w:firstLine="0"/>
              <w:jc w:val="center"/>
              <w:rPr>
                <w:noProof/>
                <w:sz w:val="18"/>
                <w:szCs w:val="22"/>
              </w:rPr>
            </w:pPr>
            <w:r>
              <w:rPr>
                <w:noProof/>
                <w:sz w:val="18"/>
              </w:rPr>
              <w:t>Max.</w:t>
            </w:r>
          </w:p>
        </w:tc>
        <w:tc>
          <w:tcPr>
            <w:tcW w:w="1134" w:type="dxa"/>
            <w:vAlign w:val="center"/>
          </w:tcPr>
          <w:p w:rsidR="009C13A9" w:rsidRPr="00C903F8" w:rsidRDefault="009C13A9" w:rsidP="009C13A9">
            <w:pPr>
              <w:spacing w:before="60" w:after="60"/>
              <w:ind w:left="0" w:firstLine="0"/>
              <w:jc w:val="center"/>
              <w:rPr>
                <w:noProof/>
                <w:sz w:val="18"/>
                <w:szCs w:val="22"/>
              </w:rPr>
            </w:pPr>
            <w:r>
              <w:rPr>
                <w:noProof/>
                <w:sz w:val="18"/>
              </w:rPr>
              <w:t>Media</w:t>
            </w:r>
          </w:p>
        </w:tc>
      </w:tr>
      <w:tr w:rsidR="009C13A9" w:rsidRPr="00C903F8" w:rsidTr="009C13A9">
        <w:trPr>
          <w:jc w:val="center"/>
        </w:trPr>
        <w:tc>
          <w:tcPr>
            <w:tcW w:w="1526" w:type="dxa"/>
            <w:vAlign w:val="center"/>
          </w:tcPr>
          <w:p w:rsidR="009C13A9" w:rsidRPr="00C903F8" w:rsidRDefault="00624017" w:rsidP="009C13A9">
            <w:pPr>
              <w:spacing w:before="60" w:after="60"/>
              <w:ind w:left="0" w:firstLine="0"/>
              <w:rPr>
                <w:noProof/>
                <w:sz w:val="18"/>
                <w:szCs w:val="18"/>
              </w:rPr>
            </w:pPr>
            <m:oMathPara>
              <m:oMathParaPr>
                <m:jc m:val="left"/>
              </m:oMathParaP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m:oMathPara>
          </w:p>
        </w:tc>
        <w:tc>
          <w:tcPr>
            <w:tcW w:w="1876" w:type="dxa"/>
            <w:vAlign w:val="center"/>
          </w:tcPr>
          <w:p w:rsidR="009C13A9" w:rsidRPr="00C903F8" w:rsidRDefault="009C13A9" w:rsidP="009C13A9">
            <w:pPr>
              <w:spacing w:before="60" w:after="60"/>
              <w:ind w:left="0" w:firstLine="0"/>
              <w:jc w:val="left"/>
              <w:rPr>
                <w:noProof/>
                <w:sz w:val="18"/>
                <w:szCs w:val="22"/>
              </w:rPr>
            </w:pPr>
            <w:r>
              <w:rPr>
                <w:noProof/>
                <w:sz w:val="18"/>
              </w:rPr>
              <w:t>Campioni compositi su 24 ore</w:t>
            </w:r>
          </w:p>
        </w:tc>
        <w:tc>
          <w:tcPr>
            <w:tcW w:w="1046" w:type="dxa"/>
            <w:vAlign w:val="center"/>
          </w:tcPr>
          <w:p w:rsidR="009C13A9" w:rsidRPr="00C903F8" w:rsidRDefault="009C13A9" w:rsidP="009C13A9">
            <w:pPr>
              <w:spacing w:before="60" w:after="60"/>
              <w:ind w:left="0" w:firstLine="0"/>
              <w:rPr>
                <w:noProof/>
                <w:sz w:val="18"/>
                <w:szCs w:val="22"/>
              </w:rPr>
            </w:pPr>
          </w:p>
        </w:tc>
        <w:tc>
          <w:tcPr>
            <w:tcW w:w="1065" w:type="dxa"/>
            <w:vAlign w:val="center"/>
          </w:tcPr>
          <w:p w:rsidR="009C13A9" w:rsidRPr="00C903F8" w:rsidRDefault="009C13A9" w:rsidP="009C13A9">
            <w:pPr>
              <w:spacing w:before="60" w:after="60"/>
              <w:ind w:left="0" w:firstLine="0"/>
              <w:rPr>
                <w:noProof/>
                <w:sz w:val="18"/>
                <w:szCs w:val="22"/>
              </w:rPr>
            </w:pPr>
          </w:p>
        </w:tc>
        <w:tc>
          <w:tcPr>
            <w:tcW w:w="1134" w:type="dxa"/>
            <w:vAlign w:val="center"/>
          </w:tcPr>
          <w:p w:rsidR="009C13A9" w:rsidRPr="00C903F8" w:rsidRDefault="009C13A9" w:rsidP="009C13A9">
            <w:pPr>
              <w:spacing w:before="60" w:after="60"/>
              <w:ind w:left="0" w:firstLine="0"/>
              <w:rPr>
                <w:noProof/>
                <w:sz w:val="18"/>
                <w:szCs w:val="22"/>
              </w:rPr>
            </w:pPr>
          </w:p>
        </w:tc>
      </w:tr>
      <w:tr w:rsidR="009C13A9" w:rsidRPr="00C903F8" w:rsidTr="009C13A9">
        <w:trPr>
          <w:jc w:val="center"/>
        </w:trPr>
        <w:tc>
          <w:tcPr>
            <w:tcW w:w="1526" w:type="dxa"/>
            <w:vAlign w:val="center"/>
          </w:tcPr>
          <w:p w:rsidR="009C13A9" w:rsidRPr="00C903F8" w:rsidRDefault="00624017" w:rsidP="009C13A9">
            <w:pPr>
              <w:spacing w:before="60" w:after="60"/>
              <w:ind w:left="0" w:firstLine="0"/>
              <w:rPr>
                <w:noProof/>
                <w:sz w:val="18"/>
                <w:szCs w:val="18"/>
              </w:rPr>
            </w:pPr>
            <m:oMathPara>
              <m:oMathParaPr>
                <m:jc m:val="left"/>
              </m:oMathParaP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m:oMathPara>
          </w:p>
        </w:tc>
        <w:tc>
          <w:tcPr>
            <w:tcW w:w="1876" w:type="dxa"/>
            <w:vAlign w:val="center"/>
          </w:tcPr>
          <w:p w:rsidR="009C13A9" w:rsidRPr="00C903F8" w:rsidRDefault="009C13A9" w:rsidP="009C13A9">
            <w:pPr>
              <w:spacing w:before="60" w:after="60"/>
              <w:ind w:left="0" w:firstLine="0"/>
              <w:rPr>
                <w:noProof/>
                <w:sz w:val="18"/>
                <w:szCs w:val="22"/>
              </w:rPr>
            </w:pPr>
            <w:r>
              <w:rPr>
                <w:noProof/>
                <w:sz w:val="18"/>
              </w:rPr>
              <w:t>Campioni scelti a caso</w:t>
            </w:r>
          </w:p>
        </w:tc>
        <w:tc>
          <w:tcPr>
            <w:tcW w:w="1046" w:type="dxa"/>
            <w:vAlign w:val="center"/>
          </w:tcPr>
          <w:p w:rsidR="009C13A9" w:rsidRPr="00C903F8" w:rsidRDefault="009C13A9" w:rsidP="009C13A9">
            <w:pPr>
              <w:spacing w:before="60" w:after="60"/>
              <w:ind w:left="0" w:firstLine="0"/>
              <w:rPr>
                <w:noProof/>
                <w:sz w:val="18"/>
                <w:szCs w:val="22"/>
              </w:rPr>
            </w:pPr>
          </w:p>
        </w:tc>
        <w:tc>
          <w:tcPr>
            <w:tcW w:w="1065" w:type="dxa"/>
            <w:vAlign w:val="center"/>
          </w:tcPr>
          <w:p w:rsidR="009C13A9" w:rsidRPr="00C903F8" w:rsidRDefault="009C13A9" w:rsidP="009C13A9">
            <w:pPr>
              <w:spacing w:before="60" w:after="60"/>
              <w:ind w:left="0" w:firstLine="0"/>
              <w:rPr>
                <w:noProof/>
                <w:sz w:val="18"/>
                <w:szCs w:val="22"/>
              </w:rPr>
            </w:pPr>
          </w:p>
        </w:tc>
        <w:tc>
          <w:tcPr>
            <w:tcW w:w="1134" w:type="dxa"/>
            <w:vAlign w:val="center"/>
          </w:tcPr>
          <w:p w:rsidR="009C13A9" w:rsidRPr="00C903F8" w:rsidRDefault="009C13A9" w:rsidP="009C13A9">
            <w:pPr>
              <w:spacing w:before="60" w:after="60"/>
              <w:ind w:left="0" w:firstLine="0"/>
              <w:rPr>
                <w:noProof/>
                <w:sz w:val="18"/>
                <w:szCs w:val="22"/>
              </w:rPr>
            </w:pPr>
          </w:p>
        </w:tc>
      </w:tr>
      <w:tr w:rsidR="009C13A9" w:rsidRPr="00C903F8" w:rsidTr="009C13A9">
        <w:trPr>
          <w:jc w:val="center"/>
        </w:trPr>
        <w:tc>
          <w:tcPr>
            <w:tcW w:w="1526" w:type="dxa"/>
          </w:tcPr>
          <w:p w:rsidR="009C13A9" w:rsidRPr="00C903F8" w:rsidRDefault="009C13A9" w:rsidP="009C13A9">
            <w:pPr>
              <w:spacing w:before="60" w:after="60"/>
              <w:ind w:left="0" w:firstLine="0"/>
              <w:rPr>
                <w:noProof/>
                <w:sz w:val="18"/>
                <w:szCs w:val="22"/>
              </w:rPr>
            </w:pPr>
            <w:r>
              <w:rPr>
                <w:noProof/>
                <w:sz w:val="18"/>
              </w:rPr>
              <w:t>COD</w:t>
            </w:r>
          </w:p>
        </w:tc>
        <w:tc>
          <w:tcPr>
            <w:tcW w:w="1876" w:type="dxa"/>
          </w:tcPr>
          <w:p w:rsidR="009C13A9" w:rsidRPr="00C903F8" w:rsidRDefault="009C13A9" w:rsidP="009C13A9">
            <w:pPr>
              <w:spacing w:before="60" w:after="60"/>
              <w:ind w:left="0" w:firstLine="0"/>
              <w:jc w:val="left"/>
              <w:rPr>
                <w:noProof/>
                <w:sz w:val="18"/>
                <w:szCs w:val="22"/>
              </w:rPr>
            </w:pPr>
            <w:r>
              <w:rPr>
                <w:noProof/>
                <w:sz w:val="18"/>
              </w:rPr>
              <w:t>Campioni compositi su 24 ore</w:t>
            </w:r>
          </w:p>
        </w:tc>
        <w:tc>
          <w:tcPr>
            <w:tcW w:w="1046" w:type="dxa"/>
          </w:tcPr>
          <w:p w:rsidR="009C13A9" w:rsidRPr="00C903F8" w:rsidRDefault="009C13A9" w:rsidP="009C13A9">
            <w:pPr>
              <w:spacing w:before="60" w:after="60"/>
              <w:ind w:left="0" w:firstLine="0"/>
              <w:rPr>
                <w:noProof/>
                <w:sz w:val="18"/>
                <w:szCs w:val="22"/>
              </w:rPr>
            </w:pPr>
          </w:p>
        </w:tc>
        <w:tc>
          <w:tcPr>
            <w:tcW w:w="1065" w:type="dxa"/>
          </w:tcPr>
          <w:p w:rsidR="009C13A9" w:rsidRPr="00C903F8" w:rsidRDefault="009C13A9" w:rsidP="009C13A9">
            <w:pPr>
              <w:spacing w:before="60" w:after="60"/>
              <w:ind w:left="0" w:firstLine="0"/>
              <w:rPr>
                <w:noProof/>
                <w:sz w:val="18"/>
                <w:szCs w:val="22"/>
              </w:rPr>
            </w:pPr>
          </w:p>
        </w:tc>
        <w:tc>
          <w:tcPr>
            <w:tcW w:w="1134" w:type="dxa"/>
          </w:tcPr>
          <w:p w:rsidR="009C13A9" w:rsidRPr="00C903F8" w:rsidRDefault="009C13A9" w:rsidP="009C13A9">
            <w:pPr>
              <w:spacing w:before="60" w:after="60"/>
              <w:ind w:left="0" w:firstLine="0"/>
              <w:rPr>
                <w:noProof/>
                <w:sz w:val="18"/>
                <w:szCs w:val="22"/>
              </w:rPr>
            </w:pPr>
          </w:p>
        </w:tc>
      </w:tr>
      <w:tr w:rsidR="009C13A9" w:rsidRPr="00C903F8" w:rsidTr="009C13A9">
        <w:trPr>
          <w:jc w:val="center"/>
        </w:trPr>
        <w:tc>
          <w:tcPr>
            <w:tcW w:w="1526" w:type="dxa"/>
          </w:tcPr>
          <w:p w:rsidR="009C13A9" w:rsidRPr="00C903F8" w:rsidRDefault="009C13A9" w:rsidP="009C13A9">
            <w:pPr>
              <w:spacing w:before="60" w:after="60"/>
              <w:ind w:left="0" w:firstLine="0"/>
              <w:rPr>
                <w:noProof/>
                <w:sz w:val="18"/>
                <w:szCs w:val="22"/>
              </w:rPr>
            </w:pPr>
            <w:r>
              <w:rPr>
                <w:noProof/>
                <w:sz w:val="18"/>
              </w:rPr>
              <w:t>COD</w:t>
            </w:r>
          </w:p>
        </w:tc>
        <w:tc>
          <w:tcPr>
            <w:tcW w:w="1876" w:type="dxa"/>
          </w:tcPr>
          <w:p w:rsidR="009C13A9" w:rsidRPr="00C903F8" w:rsidRDefault="009C13A9" w:rsidP="009C13A9">
            <w:pPr>
              <w:spacing w:before="60" w:after="60"/>
              <w:ind w:left="0" w:firstLine="0"/>
              <w:rPr>
                <w:noProof/>
                <w:sz w:val="18"/>
                <w:szCs w:val="22"/>
              </w:rPr>
            </w:pPr>
            <w:r>
              <w:rPr>
                <w:noProof/>
                <w:sz w:val="18"/>
              </w:rPr>
              <w:t>Campioni scelti a caso</w:t>
            </w:r>
          </w:p>
        </w:tc>
        <w:tc>
          <w:tcPr>
            <w:tcW w:w="1046" w:type="dxa"/>
          </w:tcPr>
          <w:p w:rsidR="009C13A9" w:rsidRPr="00C903F8" w:rsidRDefault="009C13A9" w:rsidP="009C13A9">
            <w:pPr>
              <w:spacing w:before="60" w:after="60"/>
              <w:ind w:left="0" w:firstLine="0"/>
              <w:rPr>
                <w:noProof/>
                <w:sz w:val="18"/>
                <w:szCs w:val="22"/>
              </w:rPr>
            </w:pPr>
          </w:p>
        </w:tc>
        <w:tc>
          <w:tcPr>
            <w:tcW w:w="1065" w:type="dxa"/>
          </w:tcPr>
          <w:p w:rsidR="009C13A9" w:rsidRPr="00C903F8" w:rsidRDefault="009C13A9" w:rsidP="009C13A9">
            <w:pPr>
              <w:spacing w:before="60" w:after="60"/>
              <w:ind w:left="0" w:firstLine="0"/>
              <w:rPr>
                <w:noProof/>
                <w:sz w:val="18"/>
                <w:szCs w:val="22"/>
              </w:rPr>
            </w:pPr>
          </w:p>
        </w:tc>
        <w:tc>
          <w:tcPr>
            <w:tcW w:w="1134" w:type="dxa"/>
          </w:tcPr>
          <w:p w:rsidR="009C13A9" w:rsidRPr="00C903F8" w:rsidRDefault="009C13A9" w:rsidP="009C13A9">
            <w:pPr>
              <w:spacing w:before="60" w:after="60"/>
              <w:ind w:left="0" w:firstLine="0"/>
              <w:rPr>
                <w:noProof/>
                <w:sz w:val="18"/>
                <w:szCs w:val="22"/>
              </w:rPr>
            </w:pPr>
          </w:p>
        </w:tc>
      </w:tr>
      <w:tr w:rsidR="009C13A9" w:rsidRPr="00C903F8" w:rsidTr="009C13A9">
        <w:trPr>
          <w:jc w:val="center"/>
        </w:trPr>
        <w:tc>
          <w:tcPr>
            <w:tcW w:w="1526" w:type="dxa"/>
          </w:tcPr>
          <w:p w:rsidR="009C13A9" w:rsidRPr="00C903F8" w:rsidRDefault="009C13A9" w:rsidP="009C13A9">
            <w:pPr>
              <w:spacing w:before="60" w:after="60"/>
              <w:ind w:left="0" w:firstLine="0"/>
              <w:rPr>
                <w:noProof/>
                <w:sz w:val="18"/>
                <w:szCs w:val="22"/>
              </w:rPr>
            </w:pPr>
            <w:r>
              <w:rPr>
                <w:noProof/>
                <w:sz w:val="18"/>
              </w:rPr>
              <w:t>TOC</w:t>
            </w:r>
          </w:p>
        </w:tc>
        <w:tc>
          <w:tcPr>
            <w:tcW w:w="1876" w:type="dxa"/>
          </w:tcPr>
          <w:p w:rsidR="009C13A9" w:rsidRPr="00C903F8" w:rsidRDefault="009C13A9" w:rsidP="009C13A9">
            <w:pPr>
              <w:spacing w:before="60" w:after="60"/>
              <w:ind w:left="0" w:firstLine="0"/>
              <w:jc w:val="left"/>
              <w:rPr>
                <w:noProof/>
                <w:sz w:val="18"/>
                <w:szCs w:val="22"/>
              </w:rPr>
            </w:pPr>
            <w:r>
              <w:rPr>
                <w:noProof/>
                <w:sz w:val="18"/>
              </w:rPr>
              <w:t>Campioni compositi su 24 ore</w:t>
            </w:r>
          </w:p>
        </w:tc>
        <w:tc>
          <w:tcPr>
            <w:tcW w:w="1046" w:type="dxa"/>
          </w:tcPr>
          <w:p w:rsidR="009C13A9" w:rsidRPr="00C903F8" w:rsidRDefault="009C13A9" w:rsidP="009C13A9">
            <w:pPr>
              <w:spacing w:before="60" w:after="60"/>
              <w:ind w:left="0" w:firstLine="0"/>
              <w:rPr>
                <w:noProof/>
                <w:sz w:val="18"/>
                <w:szCs w:val="22"/>
              </w:rPr>
            </w:pPr>
          </w:p>
        </w:tc>
        <w:tc>
          <w:tcPr>
            <w:tcW w:w="1065" w:type="dxa"/>
          </w:tcPr>
          <w:p w:rsidR="009C13A9" w:rsidRPr="00C903F8" w:rsidRDefault="009C13A9" w:rsidP="009C13A9">
            <w:pPr>
              <w:spacing w:before="60" w:after="60"/>
              <w:ind w:left="0" w:firstLine="0"/>
              <w:rPr>
                <w:noProof/>
                <w:sz w:val="18"/>
                <w:szCs w:val="22"/>
              </w:rPr>
            </w:pPr>
          </w:p>
        </w:tc>
        <w:tc>
          <w:tcPr>
            <w:tcW w:w="1134" w:type="dxa"/>
          </w:tcPr>
          <w:p w:rsidR="009C13A9" w:rsidRPr="00C903F8" w:rsidRDefault="009C13A9" w:rsidP="009C13A9">
            <w:pPr>
              <w:spacing w:before="60" w:after="60"/>
              <w:ind w:left="0" w:firstLine="0"/>
              <w:rPr>
                <w:noProof/>
                <w:sz w:val="18"/>
                <w:szCs w:val="22"/>
              </w:rPr>
            </w:pPr>
          </w:p>
        </w:tc>
      </w:tr>
      <w:tr w:rsidR="009C13A9" w:rsidRPr="00C903F8" w:rsidTr="009C13A9">
        <w:trPr>
          <w:jc w:val="center"/>
        </w:trPr>
        <w:tc>
          <w:tcPr>
            <w:tcW w:w="1526" w:type="dxa"/>
          </w:tcPr>
          <w:p w:rsidR="009C13A9" w:rsidRPr="00C903F8" w:rsidRDefault="009C13A9" w:rsidP="009C13A9">
            <w:pPr>
              <w:spacing w:before="60" w:after="60"/>
              <w:ind w:left="0" w:firstLine="0"/>
              <w:rPr>
                <w:noProof/>
                <w:sz w:val="18"/>
                <w:szCs w:val="22"/>
              </w:rPr>
            </w:pPr>
            <w:r>
              <w:rPr>
                <w:noProof/>
                <w:sz w:val="18"/>
              </w:rPr>
              <w:t>TOC</w:t>
            </w:r>
          </w:p>
        </w:tc>
        <w:tc>
          <w:tcPr>
            <w:tcW w:w="1876" w:type="dxa"/>
          </w:tcPr>
          <w:p w:rsidR="009C13A9" w:rsidRPr="00C903F8" w:rsidRDefault="009C13A9" w:rsidP="009C13A9">
            <w:pPr>
              <w:spacing w:before="60" w:after="60"/>
              <w:ind w:left="0" w:firstLine="0"/>
              <w:rPr>
                <w:noProof/>
                <w:sz w:val="18"/>
                <w:szCs w:val="22"/>
              </w:rPr>
            </w:pPr>
            <w:r>
              <w:rPr>
                <w:noProof/>
                <w:sz w:val="18"/>
              </w:rPr>
              <w:t>Campioni scelti a caso</w:t>
            </w:r>
          </w:p>
        </w:tc>
        <w:tc>
          <w:tcPr>
            <w:tcW w:w="1046" w:type="dxa"/>
          </w:tcPr>
          <w:p w:rsidR="009C13A9" w:rsidRPr="00C903F8" w:rsidRDefault="009C13A9" w:rsidP="009C13A9">
            <w:pPr>
              <w:spacing w:before="60" w:after="60"/>
              <w:ind w:left="0" w:firstLine="0"/>
              <w:rPr>
                <w:noProof/>
                <w:sz w:val="18"/>
                <w:szCs w:val="22"/>
              </w:rPr>
            </w:pPr>
          </w:p>
        </w:tc>
        <w:tc>
          <w:tcPr>
            <w:tcW w:w="1065" w:type="dxa"/>
          </w:tcPr>
          <w:p w:rsidR="009C13A9" w:rsidRPr="00C903F8" w:rsidRDefault="009C13A9" w:rsidP="009C13A9">
            <w:pPr>
              <w:spacing w:before="60" w:after="60"/>
              <w:ind w:left="0" w:firstLine="0"/>
              <w:rPr>
                <w:noProof/>
                <w:sz w:val="18"/>
                <w:szCs w:val="22"/>
              </w:rPr>
            </w:pPr>
          </w:p>
        </w:tc>
        <w:tc>
          <w:tcPr>
            <w:tcW w:w="1134" w:type="dxa"/>
          </w:tcPr>
          <w:p w:rsidR="009C13A9" w:rsidRPr="00C903F8" w:rsidRDefault="009C13A9" w:rsidP="009C13A9">
            <w:pPr>
              <w:spacing w:before="60" w:after="60"/>
              <w:ind w:left="0" w:firstLine="0"/>
              <w:rPr>
                <w:noProof/>
                <w:sz w:val="18"/>
                <w:szCs w:val="22"/>
              </w:rPr>
            </w:pPr>
          </w:p>
        </w:tc>
      </w:tr>
      <w:tr w:rsidR="009C13A9" w:rsidRPr="00C903F8" w:rsidTr="009C13A9">
        <w:trPr>
          <w:jc w:val="center"/>
        </w:trPr>
        <w:tc>
          <w:tcPr>
            <w:tcW w:w="1526" w:type="dxa"/>
          </w:tcPr>
          <w:p w:rsidR="009C13A9" w:rsidRPr="00C903F8" w:rsidRDefault="009C13A9" w:rsidP="009C13A9">
            <w:pPr>
              <w:spacing w:before="60" w:after="60"/>
              <w:ind w:left="0" w:firstLine="0"/>
              <w:rPr>
                <w:noProof/>
                <w:sz w:val="18"/>
              </w:rPr>
            </w:pPr>
            <w:r>
              <w:rPr>
                <w:noProof/>
                <w:sz w:val="18"/>
              </w:rPr>
              <w:t>SRF</w:t>
            </w:r>
          </w:p>
        </w:tc>
        <w:tc>
          <w:tcPr>
            <w:tcW w:w="1876" w:type="dxa"/>
          </w:tcPr>
          <w:p w:rsidR="009C13A9" w:rsidRPr="00C903F8" w:rsidRDefault="009C13A9" w:rsidP="009C13A9">
            <w:pPr>
              <w:spacing w:before="60" w:after="60"/>
              <w:ind w:left="0" w:firstLine="0"/>
              <w:jc w:val="left"/>
              <w:rPr>
                <w:noProof/>
                <w:sz w:val="18"/>
                <w:szCs w:val="22"/>
              </w:rPr>
            </w:pPr>
            <w:r>
              <w:rPr>
                <w:noProof/>
                <w:sz w:val="18"/>
              </w:rPr>
              <w:t>Campioni compositi su 24 ore</w:t>
            </w:r>
          </w:p>
        </w:tc>
        <w:tc>
          <w:tcPr>
            <w:tcW w:w="1046" w:type="dxa"/>
          </w:tcPr>
          <w:p w:rsidR="009C13A9" w:rsidRPr="00C903F8" w:rsidRDefault="009C13A9" w:rsidP="009C13A9">
            <w:pPr>
              <w:spacing w:before="60" w:after="60"/>
              <w:ind w:left="0" w:firstLine="0"/>
              <w:rPr>
                <w:noProof/>
                <w:sz w:val="18"/>
                <w:szCs w:val="22"/>
              </w:rPr>
            </w:pPr>
          </w:p>
        </w:tc>
        <w:tc>
          <w:tcPr>
            <w:tcW w:w="1065" w:type="dxa"/>
          </w:tcPr>
          <w:p w:rsidR="009C13A9" w:rsidRPr="00C903F8" w:rsidRDefault="009C13A9" w:rsidP="009C13A9">
            <w:pPr>
              <w:spacing w:before="60" w:after="60"/>
              <w:ind w:left="0" w:firstLine="0"/>
              <w:rPr>
                <w:noProof/>
                <w:sz w:val="18"/>
                <w:szCs w:val="22"/>
              </w:rPr>
            </w:pPr>
          </w:p>
        </w:tc>
        <w:tc>
          <w:tcPr>
            <w:tcW w:w="1134" w:type="dxa"/>
          </w:tcPr>
          <w:p w:rsidR="009C13A9" w:rsidRPr="00C903F8" w:rsidRDefault="009C13A9" w:rsidP="009C13A9">
            <w:pPr>
              <w:spacing w:before="60" w:after="60"/>
              <w:ind w:left="0" w:firstLine="0"/>
              <w:rPr>
                <w:noProof/>
                <w:sz w:val="18"/>
                <w:szCs w:val="22"/>
              </w:rPr>
            </w:pPr>
          </w:p>
        </w:tc>
      </w:tr>
      <w:tr w:rsidR="009C13A9" w:rsidRPr="00C903F8" w:rsidTr="009C13A9">
        <w:trPr>
          <w:jc w:val="center"/>
        </w:trPr>
        <w:tc>
          <w:tcPr>
            <w:tcW w:w="1526" w:type="dxa"/>
          </w:tcPr>
          <w:p w:rsidR="009C13A9" w:rsidRPr="00C903F8" w:rsidRDefault="009C13A9" w:rsidP="009C13A9">
            <w:pPr>
              <w:spacing w:before="60" w:after="60"/>
              <w:ind w:left="0" w:firstLine="0"/>
              <w:rPr>
                <w:noProof/>
                <w:sz w:val="18"/>
              </w:rPr>
            </w:pPr>
            <w:r>
              <w:rPr>
                <w:noProof/>
                <w:sz w:val="18"/>
              </w:rPr>
              <w:t>SRF</w:t>
            </w:r>
          </w:p>
        </w:tc>
        <w:tc>
          <w:tcPr>
            <w:tcW w:w="1876" w:type="dxa"/>
          </w:tcPr>
          <w:p w:rsidR="009C13A9" w:rsidRPr="00C903F8" w:rsidRDefault="009C13A9" w:rsidP="009C13A9">
            <w:pPr>
              <w:spacing w:before="60" w:after="60"/>
              <w:ind w:left="0" w:firstLine="0"/>
              <w:rPr>
                <w:noProof/>
                <w:sz w:val="18"/>
                <w:szCs w:val="22"/>
              </w:rPr>
            </w:pPr>
            <w:r>
              <w:rPr>
                <w:noProof/>
                <w:sz w:val="18"/>
              </w:rPr>
              <w:t>Campioni scelti a caso</w:t>
            </w:r>
          </w:p>
        </w:tc>
        <w:tc>
          <w:tcPr>
            <w:tcW w:w="1046" w:type="dxa"/>
          </w:tcPr>
          <w:p w:rsidR="009C13A9" w:rsidRPr="00C903F8" w:rsidRDefault="009C13A9" w:rsidP="009C13A9">
            <w:pPr>
              <w:spacing w:before="60" w:after="60"/>
              <w:ind w:left="0" w:firstLine="0"/>
              <w:rPr>
                <w:noProof/>
                <w:sz w:val="18"/>
                <w:szCs w:val="22"/>
              </w:rPr>
            </w:pPr>
          </w:p>
        </w:tc>
        <w:tc>
          <w:tcPr>
            <w:tcW w:w="1065" w:type="dxa"/>
          </w:tcPr>
          <w:p w:rsidR="009C13A9" w:rsidRPr="00C903F8" w:rsidRDefault="009C13A9" w:rsidP="009C13A9">
            <w:pPr>
              <w:spacing w:before="60" w:after="60"/>
              <w:ind w:left="0" w:firstLine="0"/>
              <w:rPr>
                <w:noProof/>
                <w:sz w:val="18"/>
                <w:szCs w:val="22"/>
              </w:rPr>
            </w:pPr>
          </w:p>
        </w:tc>
        <w:tc>
          <w:tcPr>
            <w:tcW w:w="1134" w:type="dxa"/>
          </w:tcPr>
          <w:p w:rsidR="009C13A9" w:rsidRPr="00C903F8" w:rsidRDefault="009C13A9" w:rsidP="009C13A9">
            <w:pPr>
              <w:spacing w:before="60" w:after="60"/>
              <w:ind w:left="0" w:firstLine="0"/>
              <w:rPr>
                <w:noProof/>
                <w:sz w:val="18"/>
                <w:szCs w:val="22"/>
              </w:rPr>
            </w:pPr>
          </w:p>
        </w:tc>
      </w:tr>
    </w:tbl>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ind w:left="709" w:hanging="709"/>
        <w:rPr>
          <w:rFonts w:cs="Arial"/>
          <w:noProof/>
          <w:color w:val="000000"/>
        </w:rPr>
      </w:pPr>
      <w:r>
        <w:rPr>
          <w:noProof/>
          <w:color w:val="000000"/>
        </w:rPr>
        <w:t>1.3</w:t>
      </w:r>
      <w:r>
        <w:tab/>
      </w:r>
      <w:r>
        <w:rPr>
          <w:noProof/>
          <w:color w:val="000000"/>
        </w:rPr>
        <w:t xml:space="preserve">Ulteriori parametri misurati </w:t>
      </w:r>
    </w:p>
    <w:p w:rsidR="009C13A9" w:rsidRPr="00C903F8" w:rsidRDefault="009C13A9" w:rsidP="009C13A9">
      <w:pPr>
        <w:spacing w:line="240" w:lineRule="atLeast"/>
        <w:ind w:left="709" w:hanging="709"/>
        <w:rPr>
          <w:rFonts w:cs="Arial"/>
          <w:noProof/>
          <w:color w:val="000000"/>
        </w:rPr>
      </w:pPr>
    </w:p>
    <w:p w:rsidR="009C13A9" w:rsidRPr="00C903F8" w:rsidRDefault="009C13A9" w:rsidP="009C13A9">
      <w:pPr>
        <w:spacing w:line="240" w:lineRule="atLeast"/>
        <w:ind w:left="709" w:hanging="709"/>
        <w:rPr>
          <w:rFonts w:cs="Arial"/>
          <w:noProof/>
          <w:color w:val="000000"/>
        </w:rPr>
      </w:pPr>
      <w:r>
        <w:rPr>
          <w:noProof/>
          <w:color w:val="000000"/>
        </w:rPr>
        <w:t>1.3.1</w:t>
      </w:r>
      <w:r>
        <w:tab/>
      </w:r>
      <w:r>
        <w:rPr>
          <w:noProof/>
          <w:color w:val="000000"/>
        </w:rPr>
        <w:t>Parametri supplementari di afflusso e deflusso:</w:t>
      </w:r>
    </w:p>
    <w:p w:rsidR="009C13A9" w:rsidRPr="00C903F8" w:rsidRDefault="009C13A9" w:rsidP="009C13A9">
      <w:pPr>
        <w:spacing w:line="240" w:lineRule="atLeast"/>
        <w:rPr>
          <w:rFonts w:cs="Arial"/>
          <w:noProof/>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417"/>
        <w:gridCol w:w="1639"/>
      </w:tblGrid>
      <w:tr w:rsidR="009C13A9" w:rsidRPr="00C903F8" w:rsidTr="009C13A9">
        <w:trPr>
          <w:jc w:val="center"/>
        </w:trPr>
        <w:tc>
          <w:tcPr>
            <w:tcW w:w="5103" w:type="dxa"/>
            <w:shd w:val="clear" w:color="auto" w:fill="auto"/>
          </w:tcPr>
          <w:p w:rsidR="009C13A9" w:rsidRPr="00C903F8" w:rsidRDefault="009C13A9" w:rsidP="009C13A9">
            <w:pPr>
              <w:spacing w:before="60" w:after="60"/>
              <w:ind w:left="0" w:firstLine="0"/>
              <w:rPr>
                <w:noProof/>
                <w:sz w:val="18"/>
                <w:szCs w:val="22"/>
              </w:rPr>
            </w:pPr>
            <w:r>
              <w:rPr>
                <w:noProof/>
                <w:sz w:val="18"/>
              </w:rPr>
              <w:t>Parametro</w:t>
            </w:r>
          </w:p>
        </w:tc>
        <w:tc>
          <w:tcPr>
            <w:tcW w:w="1417" w:type="dxa"/>
            <w:shd w:val="clear" w:color="auto" w:fill="auto"/>
          </w:tcPr>
          <w:p w:rsidR="009C13A9" w:rsidRPr="00C903F8" w:rsidRDefault="009C13A9" w:rsidP="009C13A9">
            <w:pPr>
              <w:spacing w:before="60" w:after="60"/>
              <w:ind w:left="0" w:firstLine="0"/>
              <w:jc w:val="center"/>
              <w:rPr>
                <w:noProof/>
                <w:sz w:val="18"/>
                <w:szCs w:val="22"/>
              </w:rPr>
            </w:pPr>
            <w:r>
              <w:rPr>
                <w:noProof/>
                <w:sz w:val="18"/>
              </w:rPr>
              <w:t>Afflusso</w:t>
            </w:r>
          </w:p>
        </w:tc>
        <w:tc>
          <w:tcPr>
            <w:tcW w:w="1639" w:type="dxa"/>
            <w:shd w:val="clear" w:color="auto" w:fill="auto"/>
          </w:tcPr>
          <w:p w:rsidR="009C13A9" w:rsidRPr="00C903F8" w:rsidRDefault="009C13A9" w:rsidP="009C13A9">
            <w:pPr>
              <w:spacing w:before="60" w:after="60"/>
              <w:ind w:left="0" w:firstLine="0"/>
              <w:jc w:val="center"/>
              <w:rPr>
                <w:noProof/>
                <w:sz w:val="18"/>
                <w:szCs w:val="22"/>
              </w:rPr>
            </w:pPr>
            <w:r>
              <w:rPr>
                <w:noProof/>
                <w:sz w:val="18"/>
              </w:rPr>
              <w:t>Deflusso</w:t>
            </w:r>
          </w:p>
        </w:tc>
      </w:tr>
      <w:tr w:rsidR="009C13A9" w:rsidRPr="00C903F8" w:rsidTr="009C13A9">
        <w:trPr>
          <w:jc w:val="center"/>
        </w:trPr>
        <w:tc>
          <w:tcPr>
            <w:tcW w:w="5103" w:type="dxa"/>
            <w:shd w:val="clear" w:color="auto" w:fill="auto"/>
          </w:tcPr>
          <w:p w:rsidR="009C13A9" w:rsidRPr="00C903F8" w:rsidRDefault="009C13A9" w:rsidP="009C13A9">
            <w:pPr>
              <w:spacing w:before="60" w:after="60"/>
              <w:ind w:left="0" w:firstLine="0"/>
              <w:rPr>
                <w:noProof/>
                <w:sz w:val="18"/>
                <w:szCs w:val="22"/>
              </w:rPr>
            </w:pPr>
            <w:r>
              <w:rPr>
                <w:noProof/>
                <w:sz w:val="18"/>
              </w:rPr>
              <w:t>pH</w:t>
            </w:r>
          </w:p>
        </w:tc>
        <w:tc>
          <w:tcPr>
            <w:tcW w:w="1417" w:type="dxa"/>
            <w:shd w:val="clear" w:color="auto" w:fill="auto"/>
          </w:tcPr>
          <w:p w:rsidR="009C13A9" w:rsidRPr="00C903F8" w:rsidRDefault="009C13A9" w:rsidP="009C13A9">
            <w:pPr>
              <w:spacing w:before="60" w:after="60"/>
              <w:ind w:left="0" w:firstLine="0"/>
              <w:rPr>
                <w:noProof/>
                <w:sz w:val="18"/>
                <w:szCs w:val="22"/>
              </w:rPr>
            </w:pPr>
          </w:p>
        </w:tc>
        <w:tc>
          <w:tcPr>
            <w:tcW w:w="1639" w:type="dxa"/>
            <w:shd w:val="clear" w:color="auto" w:fill="auto"/>
          </w:tcPr>
          <w:p w:rsidR="009C13A9" w:rsidRPr="00C903F8" w:rsidRDefault="009C13A9" w:rsidP="009C13A9">
            <w:pPr>
              <w:spacing w:before="60" w:after="60"/>
              <w:ind w:left="0" w:firstLine="0"/>
              <w:rPr>
                <w:noProof/>
                <w:sz w:val="18"/>
                <w:szCs w:val="22"/>
              </w:rPr>
            </w:pPr>
          </w:p>
        </w:tc>
      </w:tr>
      <w:tr w:rsidR="009C13A9" w:rsidRPr="00C903F8" w:rsidTr="009C13A9">
        <w:trPr>
          <w:jc w:val="center"/>
        </w:trPr>
        <w:tc>
          <w:tcPr>
            <w:tcW w:w="5103" w:type="dxa"/>
            <w:shd w:val="clear" w:color="auto" w:fill="auto"/>
          </w:tcPr>
          <w:p w:rsidR="009C13A9" w:rsidRPr="00C903F8" w:rsidRDefault="009C13A9" w:rsidP="009C13A9">
            <w:pPr>
              <w:spacing w:before="60" w:after="60"/>
              <w:ind w:left="0" w:firstLine="0"/>
              <w:rPr>
                <w:noProof/>
                <w:sz w:val="18"/>
                <w:szCs w:val="22"/>
              </w:rPr>
            </w:pPr>
            <w:r>
              <w:rPr>
                <w:noProof/>
                <w:sz w:val="18"/>
              </w:rPr>
              <w:t>Conduttività</w:t>
            </w:r>
          </w:p>
        </w:tc>
        <w:tc>
          <w:tcPr>
            <w:tcW w:w="1417" w:type="dxa"/>
            <w:shd w:val="clear" w:color="auto" w:fill="auto"/>
          </w:tcPr>
          <w:p w:rsidR="009C13A9" w:rsidRPr="00C903F8" w:rsidRDefault="009C13A9" w:rsidP="009C13A9">
            <w:pPr>
              <w:spacing w:before="60" w:after="60"/>
              <w:ind w:left="0" w:firstLine="0"/>
              <w:rPr>
                <w:noProof/>
                <w:sz w:val="18"/>
                <w:szCs w:val="22"/>
              </w:rPr>
            </w:pPr>
          </w:p>
        </w:tc>
        <w:tc>
          <w:tcPr>
            <w:tcW w:w="1639" w:type="dxa"/>
            <w:shd w:val="clear" w:color="auto" w:fill="auto"/>
          </w:tcPr>
          <w:p w:rsidR="009C13A9" w:rsidRPr="00C903F8" w:rsidRDefault="009C13A9" w:rsidP="009C13A9">
            <w:pPr>
              <w:spacing w:before="60" w:after="60"/>
              <w:ind w:left="0" w:firstLine="0"/>
              <w:rPr>
                <w:noProof/>
                <w:sz w:val="18"/>
                <w:szCs w:val="22"/>
              </w:rPr>
            </w:pPr>
          </w:p>
        </w:tc>
      </w:tr>
      <w:tr w:rsidR="009C13A9" w:rsidRPr="00C903F8" w:rsidTr="009C13A9">
        <w:trPr>
          <w:jc w:val="center"/>
        </w:trPr>
        <w:tc>
          <w:tcPr>
            <w:tcW w:w="5103" w:type="dxa"/>
            <w:shd w:val="clear" w:color="auto" w:fill="auto"/>
          </w:tcPr>
          <w:p w:rsidR="009C13A9" w:rsidRPr="00C903F8" w:rsidRDefault="009C13A9" w:rsidP="009C13A9">
            <w:pPr>
              <w:spacing w:before="60" w:after="60"/>
              <w:ind w:left="0" w:firstLine="0"/>
              <w:rPr>
                <w:noProof/>
                <w:sz w:val="18"/>
                <w:szCs w:val="22"/>
              </w:rPr>
            </w:pPr>
            <w:r>
              <w:rPr>
                <w:noProof/>
                <w:sz w:val="18"/>
              </w:rPr>
              <w:t>Temperatura delle fasi liquide</w:t>
            </w:r>
          </w:p>
        </w:tc>
        <w:tc>
          <w:tcPr>
            <w:tcW w:w="1417" w:type="dxa"/>
            <w:shd w:val="clear" w:color="auto" w:fill="auto"/>
          </w:tcPr>
          <w:p w:rsidR="009C13A9" w:rsidRPr="00C903F8" w:rsidRDefault="009C13A9" w:rsidP="009C13A9">
            <w:pPr>
              <w:spacing w:before="60" w:after="60"/>
              <w:ind w:left="0" w:firstLine="0"/>
              <w:rPr>
                <w:noProof/>
                <w:sz w:val="18"/>
                <w:szCs w:val="22"/>
              </w:rPr>
            </w:pPr>
          </w:p>
        </w:tc>
        <w:tc>
          <w:tcPr>
            <w:tcW w:w="1639" w:type="dxa"/>
            <w:shd w:val="clear" w:color="auto" w:fill="auto"/>
          </w:tcPr>
          <w:p w:rsidR="009C13A9" w:rsidRPr="00C903F8" w:rsidRDefault="009C13A9" w:rsidP="009C13A9">
            <w:pPr>
              <w:spacing w:before="60" w:after="60"/>
              <w:ind w:left="0" w:firstLine="0"/>
              <w:rPr>
                <w:noProof/>
                <w:sz w:val="18"/>
                <w:szCs w:val="22"/>
              </w:rPr>
            </w:pPr>
          </w:p>
        </w:tc>
      </w:tr>
    </w:tbl>
    <w:p w:rsidR="009C13A9" w:rsidRPr="00C903F8" w:rsidRDefault="009C13A9" w:rsidP="009C13A9">
      <w:pPr>
        <w:spacing w:line="240" w:lineRule="atLeast"/>
        <w:ind w:left="709" w:hanging="709"/>
        <w:rPr>
          <w:rFonts w:cs="Arial"/>
          <w:noProof/>
          <w:color w:val="000000"/>
        </w:rPr>
      </w:pPr>
    </w:p>
    <w:p w:rsidR="009C13A9" w:rsidRPr="00C903F8" w:rsidRDefault="009C13A9" w:rsidP="009C13A9">
      <w:pPr>
        <w:spacing w:line="240" w:lineRule="atLeast"/>
        <w:ind w:left="709" w:hanging="709"/>
        <w:rPr>
          <w:rFonts w:cs="Arial"/>
          <w:noProof/>
          <w:color w:val="000000"/>
        </w:rPr>
      </w:pPr>
      <w:r>
        <w:rPr>
          <w:noProof/>
          <w:color w:val="000000"/>
        </w:rPr>
        <w:t>1.3.2</w:t>
      </w:r>
      <w:r>
        <w:tab/>
      </w:r>
      <w:r>
        <w:rPr>
          <w:noProof/>
          <w:color w:val="000000"/>
        </w:rPr>
        <w:t>I seguenti parametri operativi devono essere registrati durante il campionamento - se disponibili</w:t>
      </w:r>
    </w:p>
    <w:p w:rsidR="009C13A9" w:rsidRPr="00C903F8" w:rsidRDefault="009C13A9" w:rsidP="009C13A9">
      <w:pPr>
        <w:spacing w:line="240" w:lineRule="atLeast"/>
        <w:ind w:left="709" w:hanging="709"/>
        <w:rPr>
          <w:rFonts w:cs="Arial"/>
          <w:noProof/>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417"/>
      </w:tblGrid>
      <w:tr w:rsidR="009C13A9" w:rsidRPr="00A0619C" w:rsidTr="009C13A9">
        <w:trPr>
          <w:jc w:val="center"/>
        </w:trPr>
        <w:tc>
          <w:tcPr>
            <w:tcW w:w="5103" w:type="dxa"/>
            <w:shd w:val="clear" w:color="auto" w:fill="auto"/>
          </w:tcPr>
          <w:p w:rsidR="009C13A9" w:rsidRPr="00C903F8" w:rsidRDefault="009C13A9" w:rsidP="009C13A9">
            <w:pPr>
              <w:spacing w:before="60" w:after="60" w:line="240" w:lineRule="atLeast"/>
              <w:ind w:left="0" w:firstLine="0"/>
              <w:rPr>
                <w:rFonts w:cs="Arial"/>
                <w:noProof/>
                <w:color w:val="000000"/>
                <w:sz w:val="18"/>
              </w:rPr>
            </w:pPr>
            <w:r>
              <w:rPr>
                <w:noProof/>
                <w:color w:val="000000"/>
                <w:sz w:val="18"/>
              </w:rPr>
              <w:t>Concentrazione di ossigeno disciolto nel bioreattore</w:t>
            </w:r>
          </w:p>
        </w:tc>
        <w:tc>
          <w:tcPr>
            <w:tcW w:w="1417" w:type="dxa"/>
            <w:shd w:val="clear" w:color="auto" w:fill="auto"/>
          </w:tcPr>
          <w:p w:rsidR="009C13A9" w:rsidRPr="00C903F8" w:rsidRDefault="009C13A9" w:rsidP="009C13A9">
            <w:pPr>
              <w:spacing w:before="60" w:after="60" w:line="240" w:lineRule="atLeast"/>
              <w:ind w:left="0" w:firstLine="0"/>
              <w:rPr>
                <w:rFonts w:cs="Arial"/>
                <w:noProof/>
                <w:color w:val="000000"/>
                <w:sz w:val="18"/>
              </w:rPr>
            </w:pPr>
          </w:p>
        </w:tc>
      </w:tr>
      <w:tr w:rsidR="009C13A9" w:rsidRPr="00A0619C" w:rsidTr="009C13A9">
        <w:trPr>
          <w:jc w:val="center"/>
        </w:trPr>
        <w:tc>
          <w:tcPr>
            <w:tcW w:w="5103" w:type="dxa"/>
            <w:shd w:val="clear" w:color="auto" w:fill="auto"/>
          </w:tcPr>
          <w:p w:rsidR="009C13A9" w:rsidRPr="00C903F8" w:rsidRDefault="009C13A9" w:rsidP="009C13A9">
            <w:pPr>
              <w:spacing w:before="60" w:after="60" w:line="240" w:lineRule="atLeast"/>
              <w:ind w:left="0" w:firstLine="0"/>
              <w:rPr>
                <w:rFonts w:cs="Arial"/>
                <w:noProof/>
                <w:color w:val="000000"/>
                <w:sz w:val="18"/>
              </w:rPr>
            </w:pPr>
            <w:r>
              <w:rPr>
                <w:noProof/>
                <w:color w:val="000000"/>
                <w:sz w:val="18"/>
              </w:rPr>
              <w:t>Tenore di materia secca nel bioreattore</w:t>
            </w:r>
          </w:p>
        </w:tc>
        <w:tc>
          <w:tcPr>
            <w:tcW w:w="1417" w:type="dxa"/>
            <w:shd w:val="clear" w:color="auto" w:fill="auto"/>
          </w:tcPr>
          <w:p w:rsidR="009C13A9" w:rsidRPr="00C903F8" w:rsidRDefault="009C13A9" w:rsidP="009C13A9">
            <w:pPr>
              <w:spacing w:before="60" w:after="60" w:line="240" w:lineRule="atLeast"/>
              <w:ind w:left="0" w:firstLine="0"/>
              <w:rPr>
                <w:rFonts w:cs="Arial"/>
                <w:noProof/>
                <w:color w:val="000000"/>
                <w:sz w:val="18"/>
              </w:rPr>
            </w:pPr>
          </w:p>
        </w:tc>
      </w:tr>
      <w:tr w:rsidR="009C13A9" w:rsidRPr="00C903F8" w:rsidTr="009C13A9">
        <w:trPr>
          <w:jc w:val="center"/>
        </w:trPr>
        <w:tc>
          <w:tcPr>
            <w:tcW w:w="5103" w:type="dxa"/>
            <w:shd w:val="clear" w:color="auto" w:fill="auto"/>
          </w:tcPr>
          <w:p w:rsidR="009C13A9" w:rsidRPr="00C903F8" w:rsidRDefault="009C13A9" w:rsidP="009C13A9">
            <w:pPr>
              <w:spacing w:before="60" w:after="60" w:line="240" w:lineRule="atLeast"/>
              <w:ind w:left="0" w:firstLine="0"/>
              <w:rPr>
                <w:rFonts w:cs="Arial"/>
                <w:noProof/>
                <w:color w:val="000000"/>
                <w:sz w:val="18"/>
              </w:rPr>
            </w:pPr>
            <w:r>
              <w:rPr>
                <w:noProof/>
                <w:color w:val="000000"/>
                <w:sz w:val="18"/>
              </w:rPr>
              <w:t>Temperatura nel bioreattore</w:t>
            </w:r>
          </w:p>
        </w:tc>
        <w:tc>
          <w:tcPr>
            <w:tcW w:w="1417" w:type="dxa"/>
            <w:shd w:val="clear" w:color="auto" w:fill="auto"/>
          </w:tcPr>
          <w:p w:rsidR="009C13A9" w:rsidRPr="00C903F8" w:rsidRDefault="009C13A9" w:rsidP="009C13A9">
            <w:pPr>
              <w:spacing w:before="60" w:after="60" w:line="240" w:lineRule="atLeast"/>
              <w:ind w:left="0" w:firstLine="0"/>
              <w:rPr>
                <w:rFonts w:cs="Arial"/>
                <w:noProof/>
                <w:color w:val="000000"/>
                <w:sz w:val="18"/>
              </w:rPr>
            </w:pPr>
          </w:p>
        </w:tc>
      </w:tr>
      <w:tr w:rsidR="009C13A9" w:rsidRPr="00C903F8" w:rsidTr="009C13A9">
        <w:trPr>
          <w:jc w:val="center"/>
        </w:trPr>
        <w:tc>
          <w:tcPr>
            <w:tcW w:w="5103" w:type="dxa"/>
            <w:shd w:val="clear" w:color="auto" w:fill="auto"/>
          </w:tcPr>
          <w:p w:rsidR="009C13A9" w:rsidRPr="00C903F8" w:rsidRDefault="009C13A9" w:rsidP="009C13A9">
            <w:pPr>
              <w:spacing w:before="60" w:after="60" w:line="240" w:lineRule="atLeast"/>
              <w:ind w:left="0" w:firstLine="0"/>
              <w:rPr>
                <w:rFonts w:cs="Arial"/>
                <w:noProof/>
                <w:color w:val="000000"/>
                <w:sz w:val="18"/>
              </w:rPr>
            </w:pPr>
            <w:r>
              <w:rPr>
                <w:noProof/>
                <w:color w:val="000000"/>
                <w:sz w:val="18"/>
              </w:rPr>
              <w:t>Temperatura ambiente</w:t>
            </w:r>
          </w:p>
        </w:tc>
        <w:tc>
          <w:tcPr>
            <w:tcW w:w="1417" w:type="dxa"/>
            <w:shd w:val="clear" w:color="auto" w:fill="auto"/>
          </w:tcPr>
          <w:p w:rsidR="009C13A9" w:rsidRPr="00C903F8" w:rsidRDefault="009C13A9" w:rsidP="009C13A9">
            <w:pPr>
              <w:spacing w:before="60" w:after="60" w:line="240" w:lineRule="atLeast"/>
              <w:ind w:left="0" w:firstLine="0"/>
              <w:rPr>
                <w:rFonts w:cs="Arial"/>
                <w:noProof/>
                <w:color w:val="000000"/>
                <w:sz w:val="18"/>
              </w:rPr>
            </w:pPr>
          </w:p>
        </w:tc>
      </w:tr>
    </w:tbl>
    <w:p w:rsidR="009C13A9" w:rsidRPr="00C903F8" w:rsidRDefault="009C13A9" w:rsidP="009C13A9">
      <w:pPr>
        <w:spacing w:line="240" w:lineRule="atLeast"/>
        <w:ind w:left="709" w:hanging="709"/>
        <w:rPr>
          <w:rFonts w:cs="Arial"/>
          <w:noProof/>
          <w:color w:val="000000"/>
        </w:rPr>
      </w:pPr>
    </w:p>
    <w:p w:rsidR="009C13A9" w:rsidRPr="00C903F8" w:rsidRDefault="009C13A9" w:rsidP="009C13A9">
      <w:pPr>
        <w:spacing w:line="240" w:lineRule="atLeast"/>
        <w:ind w:left="709" w:hanging="709"/>
        <w:rPr>
          <w:rFonts w:cs="Arial"/>
          <w:noProof/>
          <w:color w:val="000000"/>
        </w:rPr>
      </w:pPr>
      <w:r>
        <w:rPr>
          <w:noProof/>
          <w:color w:val="000000"/>
        </w:rPr>
        <w:t>1.3.3</w:t>
      </w:r>
      <w:r>
        <w:tab/>
      </w:r>
      <w:r>
        <w:rPr>
          <w:noProof/>
          <w:color w:val="000000"/>
        </w:rPr>
        <w:t>Ulteriori parametri operativi sulla base delle istruzioni d'uso del costruttore</w:t>
      </w:r>
    </w:p>
    <w:p w:rsidR="009C13A9" w:rsidRPr="00C903F8" w:rsidRDefault="009C13A9" w:rsidP="009C13A9">
      <w:pPr>
        <w:tabs>
          <w:tab w:val="left" w:leader="dot" w:pos="9072"/>
        </w:tabs>
        <w:spacing w:before="60" w:line="240" w:lineRule="atLeast"/>
        <w:ind w:left="709" w:firstLine="0"/>
        <w:rPr>
          <w:rFonts w:cs="Arial"/>
          <w:noProof/>
          <w:color w:val="000000"/>
        </w:rPr>
      </w:pPr>
      <w:r>
        <w:tab/>
      </w:r>
    </w:p>
    <w:p w:rsidR="009C13A9" w:rsidRPr="00C903F8" w:rsidRDefault="009C13A9" w:rsidP="009C13A9">
      <w:pPr>
        <w:tabs>
          <w:tab w:val="left" w:leader="dot" w:pos="9072"/>
        </w:tabs>
        <w:spacing w:before="60" w:line="240" w:lineRule="atLeast"/>
        <w:ind w:left="709" w:firstLine="0"/>
        <w:rPr>
          <w:rFonts w:cs="Arial"/>
          <w:noProof/>
          <w:color w:val="000000"/>
        </w:rPr>
      </w:pPr>
      <w:r>
        <w:tab/>
      </w:r>
    </w:p>
    <w:p w:rsidR="009C13A9" w:rsidRPr="00C903F8" w:rsidRDefault="009C13A9" w:rsidP="009C13A9">
      <w:pPr>
        <w:tabs>
          <w:tab w:val="left" w:leader="dot" w:pos="9072"/>
        </w:tabs>
        <w:spacing w:before="60" w:line="240" w:lineRule="atLeast"/>
        <w:ind w:left="709" w:firstLine="0"/>
        <w:rPr>
          <w:rFonts w:cs="Arial"/>
          <w:noProof/>
          <w:color w:val="000000"/>
        </w:rPr>
      </w:pPr>
      <w:r>
        <w:tab/>
      </w:r>
    </w:p>
    <w:p w:rsidR="009C13A9" w:rsidRPr="00C903F8" w:rsidRDefault="009C13A9" w:rsidP="009C13A9">
      <w:pPr>
        <w:tabs>
          <w:tab w:val="left" w:leader="dot" w:pos="9072"/>
        </w:tabs>
        <w:spacing w:before="60" w:line="240" w:lineRule="atLeast"/>
        <w:ind w:left="709" w:firstLine="0"/>
        <w:rPr>
          <w:rFonts w:cs="Arial"/>
          <w:noProof/>
          <w:color w:val="000000"/>
        </w:rPr>
      </w:pPr>
      <w:r>
        <w:tab/>
      </w:r>
    </w:p>
    <w:p w:rsidR="009C13A9" w:rsidRPr="00C903F8" w:rsidRDefault="009C13A9" w:rsidP="009C13A9">
      <w:pPr>
        <w:spacing w:line="240" w:lineRule="atLeast"/>
        <w:ind w:left="709" w:hanging="709"/>
        <w:rPr>
          <w:rFonts w:cs="Arial"/>
          <w:noProof/>
          <w:color w:val="000000"/>
        </w:rPr>
      </w:pPr>
    </w:p>
    <w:p w:rsidR="009C13A9" w:rsidRPr="00C903F8" w:rsidRDefault="009C13A9" w:rsidP="009C13A9">
      <w:pPr>
        <w:spacing w:line="240" w:lineRule="atLeast"/>
        <w:ind w:left="709" w:hanging="709"/>
        <w:rPr>
          <w:rFonts w:cs="Arial"/>
          <w:noProof/>
          <w:color w:val="000000"/>
        </w:rPr>
      </w:pPr>
      <w:r>
        <w:rPr>
          <w:noProof/>
          <w:color w:val="000000"/>
        </w:rPr>
        <w:t>1.4</w:t>
      </w:r>
      <w:r>
        <w:tab/>
      </w:r>
      <w:r>
        <w:rPr>
          <w:noProof/>
          <w:color w:val="000000"/>
        </w:rPr>
        <w:t>Autorità competente o servizio tecnico:</w:t>
      </w:r>
    </w:p>
    <w:p w:rsidR="009C13A9" w:rsidRPr="00C903F8" w:rsidRDefault="009C13A9" w:rsidP="009C13A9">
      <w:pPr>
        <w:spacing w:line="240" w:lineRule="atLeast"/>
        <w:ind w:left="709" w:hanging="709"/>
        <w:rPr>
          <w:rFonts w:cs="Arial"/>
          <w:noProof/>
          <w:color w:val="000000"/>
        </w:rPr>
      </w:pPr>
    </w:p>
    <w:p w:rsidR="009C13A9" w:rsidRPr="00C903F8" w:rsidRDefault="009C13A9" w:rsidP="009C13A9">
      <w:pPr>
        <w:spacing w:line="240" w:lineRule="atLeast"/>
        <w:ind w:left="709" w:hanging="709"/>
        <w:rPr>
          <w:rFonts w:cs="Arial"/>
          <w:noProof/>
          <w:color w:val="000000"/>
        </w:rPr>
      </w:pPr>
    </w:p>
    <w:p w:rsidR="009C13A9" w:rsidRPr="00C903F8" w:rsidRDefault="009C13A9" w:rsidP="009C13A9">
      <w:pPr>
        <w:tabs>
          <w:tab w:val="left" w:leader="dot" w:pos="3828"/>
          <w:tab w:val="left" w:pos="4111"/>
          <w:tab w:val="left" w:leader="dot" w:pos="9072"/>
        </w:tabs>
        <w:spacing w:line="240" w:lineRule="atLeast"/>
        <w:ind w:left="0" w:firstLine="0"/>
        <w:rPr>
          <w:rFonts w:cs="Arial"/>
          <w:noProof/>
          <w:color w:val="000000"/>
        </w:rPr>
      </w:pPr>
      <w:r>
        <w:rPr>
          <w:noProof/>
          <w:color w:val="000000"/>
        </w:rPr>
        <w:t xml:space="preserve">Luogo, data: </w:t>
      </w:r>
      <w:r>
        <w:tab/>
      </w:r>
      <w:r>
        <w:tab/>
      </w:r>
      <w:r>
        <w:rPr>
          <w:noProof/>
          <w:color w:val="000000"/>
        </w:rPr>
        <w:t xml:space="preserve">Firma: </w:t>
      </w:r>
      <w:r>
        <w:tab/>
      </w:r>
    </w:p>
    <w:p w:rsidR="009C13A9" w:rsidRPr="00C903F8" w:rsidRDefault="009C13A9" w:rsidP="009C13A9">
      <w:pPr>
        <w:spacing w:line="240" w:lineRule="atLeast"/>
        <w:ind w:left="709" w:hanging="709"/>
        <w:rPr>
          <w:rFonts w:cs="Arial"/>
          <w:noProof/>
          <w:color w:val="000000"/>
        </w:rPr>
      </w:pPr>
    </w:p>
    <w:p w:rsidR="009C13A9" w:rsidRPr="00C903F8" w:rsidRDefault="009C13A9" w:rsidP="009C13A9">
      <w:pPr>
        <w:spacing w:line="240" w:lineRule="atLeast"/>
        <w:ind w:left="709" w:hanging="709"/>
        <w:rPr>
          <w:rFonts w:cs="Arial"/>
          <w:noProof/>
          <w:color w:val="000000"/>
        </w:rPr>
      </w:pPr>
    </w:p>
    <w:p w:rsidR="009C13A9" w:rsidRPr="00C903F8" w:rsidRDefault="009C13A9" w:rsidP="009C13A9">
      <w:pPr>
        <w:spacing w:line="240" w:lineRule="atLeast"/>
        <w:ind w:left="709" w:hanging="709"/>
        <w:rPr>
          <w:rFonts w:cs="Arial"/>
          <w:noProof/>
          <w:color w:val="000000"/>
        </w:rPr>
      </w:pPr>
    </w:p>
    <w:p w:rsidR="009C13A9" w:rsidRPr="00C903F8" w:rsidRDefault="009C13A9" w:rsidP="009C13A9">
      <w:pPr>
        <w:spacing w:line="240" w:lineRule="atLeast"/>
        <w:ind w:left="709" w:hanging="709"/>
        <w:rPr>
          <w:rFonts w:cs="Arial"/>
          <w:noProof/>
          <w:color w:val="000000"/>
        </w:rPr>
      </w:pPr>
      <w:r>
        <w:br w:type="page"/>
      </w:r>
    </w:p>
    <w:p w:rsidR="00390107" w:rsidRPr="00C903F8" w:rsidRDefault="00390107" w:rsidP="009C13A9">
      <w:pPr>
        <w:spacing w:line="240" w:lineRule="atLeast"/>
        <w:ind w:left="709" w:hanging="709"/>
        <w:rPr>
          <w:rFonts w:cs="Arial"/>
          <w:noProof/>
          <w:color w:val="000000"/>
        </w:rPr>
      </w:pPr>
    </w:p>
    <w:p w:rsidR="00390107" w:rsidRPr="00C903F8" w:rsidRDefault="00390107" w:rsidP="009C13A9">
      <w:pPr>
        <w:spacing w:line="240" w:lineRule="atLeast"/>
        <w:ind w:left="709" w:hanging="709"/>
        <w:rPr>
          <w:rFonts w:cs="Arial"/>
          <w:noProof/>
          <w:color w:val="000000"/>
        </w:rPr>
      </w:pPr>
    </w:p>
    <w:p w:rsidR="009C13A9" w:rsidRPr="00C903F8" w:rsidRDefault="009C13A9" w:rsidP="009C13A9">
      <w:pPr>
        <w:spacing w:line="240" w:lineRule="atLeast"/>
        <w:ind w:left="709" w:hanging="709"/>
        <w:rPr>
          <w:rFonts w:cs="Arial"/>
          <w:noProof/>
          <w:color w:val="000000"/>
        </w:rPr>
      </w:pPr>
    </w:p>
    <w:p w:rsidR="009C13A9" w:rsidRPr="00C903F8" w:rsidRDefault="009C13A9" w:rsidP="009C13A9">
      <w:pPr>
        <w:spacing w:line="240" w:lineRule="atLeast"/>
        <w:rPr>
          <w:rFonts w:cs="Arial"/>
          <w:color w:val="000000"/>
        </w:rPr>
      </w:pPr>
      <w:r>
        <w:br w:type="page"/>
      </w:r>
    </w:p>
    <w:p w:rsidR="009C13A9" w:rsidRPr="00C903F8" w:rsidRDefault="00925755" w:rsidP="00390107">
      <w:pPr>
        <w:pStyle w:val="ES-Titre3"/>
        <w:rPr>
          <w:noProof/>
        </w:rPr>
      </w:pPr>
      <w:bookmarkStart w:id="694" w:name="_Toc491854330"/>
      <w:bookmarkStart w:id="695" w:name="_Toc535500279"/>
      <w:r>
        <w:lastRenderedPageBreak/>
        <w:t>Sezione IV</w:t>
      </w:r>
      <w:bookmarkEnd w:id="694"/>
      <w:bookmarkEnd w:id="695"/>
    </w:p>
    <w:p w:rsidR="009C13A9" w:rsidRPr="00C903F8" w:rsidRDefault="00390107" w:rsidP="00390107">
      <w:pPr>
        <w:pStyle w:val="ES-Titre3a"/>
        <w:rPr>
          <w:noProof/>
        </w:rPr>
      </w:pPr>
      <w:bookmarkStart w:id="696" w:name="_Toc491854331"/>
      <w:bookmarkStart w:id="697" w:name="_Toc535500280"/>
      <w:r>
        <w:t>Sistema di numerazione delle omologazioni</w:t>
      </w:r>
      <w:bookmarkEnd w:id="696"/>
      <w:bookmarkEnd w:id="697"/>
    </w:p>
    <w:p w:rsidR="009C13A9" w:rsidRPr="00C903F8" w:rsidRDefault="009C13A9" w:rsidP="009C13A9">
      <w:pPr>
        <w:overflowPunct w:val="0"/>
        <w:adjustRightInd w:val="0"/>
        <w:spacing w:line="240" w:lineRule="exact"/>
        <w:ind w:left="0" w:firstLine="0"/>
        <w:jc w:val="center"/>
        <w:textAlignment w:val="baseline"/>
        <w:rPr>
          <w:rFonts w:eastAsia="Calibri"/>
          <w:szCs w:val="22"/>
        </w:rPr>
      </w:pPr>
      <w:r>
        <w:t>(Modello)</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1.</w:t>
      </w:r>
      <w:r>
        <w:tab/>
      </w:r>
      <w:r>
        <w:rPr>
          <w:color w:val="000000"/>
        </w:rPr>
        <w:t>Sistema</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ind w:left="426" w:firstLine="0"/>
      </w:pPr>
      <w:r>
        <w:t>Il numero è costituito da quattro sezioni separate dal segno "*".</w:t>
      </w:r>
    </w:p>
    <w:p w:rsidR="009C13A9" w:rsidRPr="00C903F8" w:rsidRDefault="009C13A9" w:rsidP="009C13A9">
      <w:pPr>
        <w:spacing w:line="240" w:lineRule="atLeast"/>
        <w:ind w:left="426" w:firstLine="0"/>
      </w:pPr>
    </w:p>
    <w:p w:rsidR="009C13A9" w:rsidRPr="00C903F8" w:rsidRDefault="009C13A9" w:rsidP="009C13A9">
      <w:pPr>
        <w:spacing w:line="240" w:lineRule="atLeast"/>
        <w:ind w:left="1560" w:hanging="1134"/>
      </w:pPr>
      <w:r>
        <w:t>Sezione 1:</w:t>
      </w:r>
      <w:r>
        <w:tab/>
        <w:t>la lettera "e" minuscola per UE o la lettera "R" maiuscola seguita dal numero distintivo dello Stato che rilascia l'omologazione:</w:t>
      </w:r>
    </w:p>
    <w:p w:rsidR="009C13A9" w:rsidRPr="00C903F8" w:rsidRDefault="009C13A9" w:rsidP="009C13A9">
      <w:pPr>
        <w:ind w:left="850" w:hanging="850"/>
        <w:rPr>
          <w:noProof/>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01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Germania</w:t>
            </w:r>
          </w:p>
        </w:tc>
        <w:tc>
          <w:tcPr>
            <w:tcW w:w="724" w:type="dxa"/>
          </w:tcPr>
          <w:p w:rsidR="009C13A9" w:rsidRPr="00C903F8" w:rsidRDefault="009C13A9" w:rsidP="009C13A9">
            <w:pPr>
              <w:spacing w:before="40" w:after="40" w:line="240" w:lineRule="atLeast"/>
              <w:rPr>
                <w:noProof/>
                <w:szCs w:val="20"/>
              </w:rPr>
            </w:pPr>
            <w:r>
              <w:t>19</w:t>
            </w:r>
          </w:p>
        </w:tc>
        <w:tc>
          <w:tcPr>
            <w:tcW w:w="416" w:type="dxa"/>
          </w:tcPr>
          <w:p w:rsidR="009C13A9" w:rsidRPr="00C903F8" w:rsidRDefault="009C13A9" w:rsidP="009C13A9">
            <w:pPr>
              <w:spacing w:before="40" w:after="40" w:line="240" w:lineRule="atLeast"/>
              <w:rPr>
                <w:noProof/>
                <w:szCs w:val="20"/>
              </w:rPr>
            </w:pPr>
            <w:r>
              <w:t>=</w:t>
            </w:r>
          </w:p>
        </w:tc>
        <w:tc>
          <w:tcPr>
            <w:tcW w:w="2205" w:type="dxa"/>
          </w:tcPr>
          <w:p w:rsidR="009C13A9" w:rsidRPr="00C903F8" w:rsidRDefault="009C13A9" w:rsidP="009C13A9">
            <w:pPr>
              <w:spacing w:before="40" w:after="40" w:line="240" w:lineRule="atLeast"/>
              <w:rPr>
                <w:noProof/>
                <w:szCs w:val="20"/>
              </w:rPr>
            </w:pPr>
            <w:r>
              <w:t>Romania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02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 xml:space="preserve">Francia </w:t>
            </w:r>
          </w:p>
        </w:tc>
        <w:tc>
          <w:tcPr>
            <w:tcW w:w="724" w:type="dxa"/>
          </w:tcPr>
          <w:p w:rsidR="009C13A9" w:rsidRPr="00C903F8" w:rsidRDefault="009C13A9" w:rsidP="009C13A9">
            <w:pPr>
              <w:spacing w:before="40" w:after="40" w:line="240" w:lineRule="atLeast"/>
              <w:rPr>
                <w:noProof/>
                <w:szCs w:val="20"/>
              </w:rPr>
            </w:pPr>
            <w:r>
              <w:t xml:space="preserve">20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 xml:space="preserve">Polonia </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03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Italia</w:t>
            </w:r>
          </w:p>
        </w:tc>
        <w:tc>
          <w:tcPr>
            <w:tcW w:w="724" w:type="dxa"/>
          </w:tcPr>
          <w:p w:rsidR="009C13A9" w:rsidRPr="00C903F8" w:rsidRDefault="009C13A9" w:rsidP="009C13A9">
            <w:pPr>
              <w:spacing w:before="40" w:after="40" w:line="240" w:lineRule="atLeast"/>
              <w:rPr>
                <w:noProof/>
                <w:szCs w:val="20"/>
              </w:rPr>
            </w:pPr>
            <w:r>
              <w:t xml:space="preserve">21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 xml:space="preserve">Portogallo </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04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 xml:space="preserve">Paesi Bassi </w:t>
            </w:r>
          </w:p>
        </w:tc>
        <w:tc>
          <w:tcPr>
            <w:tcW w:w="724" w:type="dxa"/>
          </w:tcPr>
          <w:p w:rsidR="009C13A9" w:rsidRPr="00C903F8" w:rsidRDefault="009C13A9" w:rsidP="009C13A9">
            <w:pPr>
              <w:spacing w:before="40" w:after="40" w:line="240" w:lineRule="atLeast"/>
              <w:rPr>
                <w:noProof/>
                <w:szCs w:val="20"/>
              </w:rPr>
            </w:pPr>
            <w:r>
              <w:t xml:space="preserve">23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Grecia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05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Svezia</w:t>
            </w:r>
          </w:p>
        </w:tc>
        <w:tc>
          <w:tcPr>
            <w:tcW w:w="724" w:type="dxa"/>
          </w:tcPr>
          <w:p w:rsidR="009C13A9" w:rsidRPr="00C903F8" w:rsidRDefault="009C13A9" w:rsidP="009C13A9">
            <w:pPr>
              <w:spacing w:before="40" w:after="40" w:line="240" w:lineRule="atLeast"/>
              <w:rPr>
                <w:noProof/>
                <w:szCs w:val="20"/>
              </w:rPr>
            </w:pPr>
            <w:r>
              <w:t xml:space="preserve">24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Irlanda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06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 xml:space="preserve">Belgio </w:t>
            </w:r>
          </w:p>
        </w:tc>
        <w:tc>
          <w:tcPr>
            <w:tcW w:w="724" w:type="dxa"/>
            <w:vAlign w:val="center"/>
          </w:tcPr>
          <w:p w:rsidR="009C13A9" w:rsidRPr="00C903F8" w:rsidRDefault="009C13A9" w:rsidP="009C13A9">
            <w:pPr>
              <w:spacing w:before="40" w:after="40" w:line="240" w:lineRule="atLeast"/>
              <w:rPr>
                <w:noProof/>
                <w:szCs w:val="20"/>
              </w:rPr>
            </w:pPr>
            <w:r>
              <w:rPr>
                <w:color w:val="000000"/>
              </w:rPr>
              <w:t>25</w:t>
            </w:r>
          </w:p>
        </w:tc>
        <w:tc>
          <w:tcPr>
            <w:tcW w:w="416" w:type="dxa"/>
            <w:vAlign w:val="center"/>
          </w:tcPr>
          <w:p w:rsidR="009C13A9" w:rsidRPr="00C903F8" w:rsidRDefault="009C13A9" w:rsidP="009C13A9">
            <w:pPr>
              <w:spacing w:before="40" w:after="40" w:line="240" w:lineRule="atLeast"/>
              <w:rPr>
                <w:noProof/>
                <w:szCs w:val="20"/>
              </w:rPr>
            </w:pPr>
            <w:r>
              <w:rPr>
                <w:color w:val="000000"/>
              </w:rPr>
              <w:t>=</w:t>
            </w:r>
          </w:p>
        </w:tc>
        <w:tc>
          <w:tcPr>
            <w:tcW w:w="2205" w:type="dxa"/>
            <w:vAlign w:val="center"/>
          </w:tcPr>
          <w:p w:rsidR="009C13A9" w:rsidRPr="00C903F8" w:rsidRDefault="009C13A9" w:rsidP="009C13A9">
            <w:pPr>
              <w:spacing w:before="40" w:after="40" w:line="240" w:lineRule="atLeast"/>
              <w:rPr>
                <w:noProof/>
                <w:szCs w:val="20"/>
              </w:rPr>
            </w:pPr>
            <w:r>
              <w:t>Croazia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07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Ungheria</w:t>
            </w:r>
          </w:p>
        </w:tc>
        <w:tc>
          <w:tcPr>
            <w:tcW w:w="724" w:type="dxa"/>
          </w:tcPr>
          <w:p w:rsidR="009C13A9" w:rsidRPr="00C903F8" w:rsidRDefault="009C13A9" w:rsidP="009C13A9">
            <w:pPr>
              <w:spacing w:before="40" w:after="40" w:line="240" w:lineRule="atLeast"/>
              <w:rPr>
                <w:noProof/>
                <w:szCs w:val="20"/>
              </w:rPr>
            </w:pPr>
            <w:r>
              <w:t xml:space="preserve">26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Slovenia</w:t>
            </w:r>
          </w:p>
        </w:tc>
      </w:tr>
      <w:tr w:rsidR="009C13A9" w:rsidRPr="00C903F8" w:rsidTr="009C13A9">
        <w:trPr>
          <w:jc w:val="center"/>
        </w:trPr>
        <w:tc>
          <w:tcPr>
            <w:tcW w:w="720" w:type="dxa"/>
          </w:tcPr>
          <w:p w:rsidR="009C13A9" w:rsidRPr="00C903F8" w:rsidRDefault="009C13A9" w:rsidP="009C13A9">
            <w:pPr>
              <w:spacing w:before="40" w:after="160" w:line="240" w:lineRule="atLeast"/>
              <w:rPr>
                <w:noProof/>
                <w:szCs w:val="20"/>
              </w:rPr>
            </w:pPr>
            <w:r>
              <w:t xml:space="preserve">08 </w:t>
            </w:r>
          </w:p>
        </w:tc>
        <w:tc>
          <w:tcPr>
            <w:tcW w:w="360" w:type="dxa"/>
          </w:tcPr>
          <w:p w:rsidR="009C13A9" w:rsidRPr="00C903F8" w:rsidRDefault="009C13A9" w:rsidP="009C13A9">
            <w:pPr>
              <w:spacing w:before="40" w:after="160" w:line="240" w:lineRule="atLeast"/>
              <w:rPr>
                <w:noProof/>
                <w:szCs w:val="20"/>
              </w:rPr>
            </w:pPr>
            <w:r>
              <w:t xml:space="preserve">= </w:t>
            </w:r>
          </w:p>
        </w:tc>
        <w:tc>
          <w:tcPr>
            <w:tcW w:w="3162" w:type="dxa"/>
          </w:tcPr>
          <w:p w:rsidR="009C13A9" w:rsidRPr="00C903F8" w:rsidRDefault="009C13A9" w:rsidP="009C13A9">
            <w:pPr>
              <w:spacing w:before="40" w:after="160" w:line="240" w:lineRule="atLeast"/>
              <w:rPr>
                <w:noProof/>
                <w:szCs w:val="20"/>
              </w:rPr>
            </w:pPr>
            <w:r>
              <w:t>Repubblica ceca</w:t>
            </w:r>
          </w:p>
        </w:tc>
        <w:tc>
          <w:tcPr>
            <w:tcW w:w="724" w:type="dxa"/>
          </w:tcPr>
          <w:p w:rsidR="009C13A9" w:rsidRPr="00C903F8" w:rsidRDefault="009C13A9" w:rsidP="009C13A9">
            <w:pPr>
              <w:spacing w:before="40" w:after="160" w:line="240" w:lineRule="atLeast"/>
              <w:rPr>
                <w:noProof/>
                <w:szCs w:val="20"/>
              </w:rPr>
            </w:pPr>
            <w:r>
              <w:t xml:space="preserve">27 </w:t>
            </w:r>
          </w:p>
        </w:tc>
        <w:tc>
          <w:tcPr>
            <w:tcW w:w="416" w:type="dxa"/>
          </w:tcPr>
          <w:p w:rsidR="009C13A9" w:rsidRPr="00C903F8" w:rsidRDefault="009C13A9" w:rsidP="009C13A9">
            <w:pPr>
              <w:spacing w:before="40" w:after="160" w:line="240" w:lineRule="atLeast"/>
              <w:rPr>
                <w:noProof/>
                <w:szCs w:val="20"/>
              </w:rPr>
            </w:pPr>
            <w:r>
              <w:t xml:space="preserve">= </w:t>
            </w:r>
          </w:p>
        </w:tc>
        <w:tc>
          <w:tcPr>
            <w:tcW w:w="2205" w:type="dxa"/>
          </w:tcPr>
          <w:p w:rsidR="009C13A9" w:rsidRPr="00C903F8" w:rsidRDefault="009C13A9" w:rsidP="009C13A9">
            <w:pPr>
              <w:spacing w:before="40" w:after="160" w:line="240" w:lineRule="atLeast"/>
              <w:rPr>
                <w:noProof/>
                <w:szCs w:val="20"/>
              </w:rPr>
            </w:pPr>
            <w:r>
              <w:t>Slovacchia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09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 xml:space="preserve">Spagna </w:t>
            </w:r>
          </w:p>
        </w:tc>
        <w:tc>
          <w:tcPr>
            <w:tcW w:w="724" w:type="dxa"/>
          </w:tcPr>
          <w:p w:rsidR="009C13A9" w:rsidRPr="00C903F8" w:rsidRDefault="009C13A9" w:rsidP="009C13A9">
            <w:pPr>
              <w:spacing w:before="40" w:after="40" w:line="240" w:lineRule="atLeast"/>
              <w:rPr>
                <w:noProof/>
                <w:szCs w:val="20"/>
              </w:rPr>
            </w:pPr>
            <w:r>
              <w:t xml:space="preserve">29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Estonia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11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Regno Unito</w:t>
            </w:r>
          </w:p>
        </w:tc>
        <w:tc>
          <w:tcPr>
            <w:tcW w:w="724" w:type="dxa"/>
          </w:tcPr>
          <w:p w:rsidR="009C13A9" w:rsidRPr="00C903F8" w:rsidRDefault="009C13A9" w:rsidP="009C13A9">
            <w:pPr>
              <w:spacing w:before="40" w:after="40" w:line="240" w:lineRule="atLeast"/>
              <w:rPr>
                <w:noProof/>
                <w:szCs w:val="20"/>
              </w:rPr>
            </w:pPr>
            <w:r>
              <w:t xml:space="preserve">32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Lettonia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12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Austria</w:t>
            </w:r>
          </w:p>
        </w:tc>
        <w:tc>
          <w:tcPr>
            <w:tcW w:w="724" w:type="dxa"/>
          </w:tcPr>
          <w:p w:rsidR="009C13A9" w:rsidRPr="00C903F8" w:rsidRDefault="009C13A9" w:rsidP="009C13A9">
            <w:pPr>
              <w:spacing w:before="40" w:after="40" w:line="240" w:lineRule="atLeast"/>
              <w:rPr>
                <w:noProof/>
                <w:szCs w:val="20"/>
              </w:rPr>
            </w:pPr>
            <w:r>
              <w:t>34</w:t>
            </w:r>
          </w:p>
        </w:tc>
        <w:tc>
          <w:tcPr>
            <w:tcW w:w="416" w:type="dxa"/>
          </w:tcPr>
          <w:p w:rsidR="009C13A9" w:rsidRPr="00C903F8" w:rsidRDefault="009C13A9" w:rsidP="009C13A9">
            <w:pPr>
              <w:spacing w:before="40" w:after="40" w:line="240" w:lineRule="atLeast"/>
              <w:rPr>
                <w:noProof/>
                <w:szCs w:val="20"/>
              </w:rPr>
            </w:pPr>
            <w:r>
              <w:t>=</w:t>
            </w:r>
          </w:p>
        </w:tc>
        <w:tc>
          <w:tcPr>
            <w:tcW w:w="2205" w:type="dxa"/>
          </w:tcPr>
          <w:p w:rsidR="009C13A9" w:rsidRPr="00C903F8" w:rsidRDefault="009C13A9" w:rsidP="009C13A9">
            <w:pPr>
              <w:spacing w:before="40" w:after="40" w:line="240" w:lineRule="atLeast"/>
              <w:rPr>
                <w:noProof/>
                <w:szCs w:val="20"/>
              </w:rPr>
            </w:pPr>
            <w:r>
              <w:t>Bulgaria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13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 xml:space="preserve">Lussemburgo </w:t>
            </w:r>
          </w:p>
        </w:tc>
        <w:tc>
          <w:tcPr>
            <w:tcW w:w="724" w:type="dxa"/>
          </w:tcPr>
          <w:p w:rsidR="009C13A9" w:rsidRPr="00C903F8" w:rsidRDefault="009C13A9" w:rsidP="009C13A9">
            <w:pPr>
              <w:spacing w:before="40" w:after="40" w:line="240" w:lineRule="atLeast"/>
              <w:rPr>
                <w:noProof/>
                <w:szCs w:val="20"/>
              </w:rPr>
            </w:pPr>
            <w:r>
              <w:t xml:space="preserve">36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Lituania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14</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Svizzera</w:t>
            </w:r>
          </w:p>
        </w:tc>
        <w:tc>
          <w:tcPr>
            <w:tcW w:w="724" w:type="dxa"/>
          </w:tcPr>
          <w:p w:rsidR="009C13A9" w:rsidRPr="00C903F8" w:rsidRDefault="009C13A9" w:rsidP="009C13A9">
            <w:pPr>
              <w:spacing w:before="40" w:after="40" w:line="240" w:lineRule="atLeast"/>
              <w:rPr>
                <w:noProof/>
                <w:szCs w:val="20"/>
              </w:rPr>
            </w:pPr>
            <w:r>
              <w:t xml:space="preserve">49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Cipro</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17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Finlandia</w:t>
            </w:r>
          </w:p>
        </w:tc>
        <w:tc>
          <w:tcPr>
            <w:tcW w:w="724" w:type="dxa"/>
          </w:tcPr>
          <w:p w:rsidR="009C13A9" w:rsidRPr="00C903F8" w:rsidRDefault="009C13A9" w:rsidP="009C13A9">
            <w:pPr>
              <w:spacing w:before="40" w:after="40" w:line="240" w:lineRule="atLeast"/>
              <w:rPr>
                <w:noProof/>
                <w:szCs w:val="20"/>
              </w:rPr>
            </w:pPr>
            <w:r>
              <w:t xml:space="preserve">50 </w:t>
            </w:r>
          </w:p>
        </w:tc>
        <w:tc>
          <w:tcPr>
            <w:tcW w:w="416" w:type="dxa"/>
          </w:tcPr>
          <w:p w:rsidR="009C13A9" w:rsidRPr="00C903F8" w:rsidRDefault="009C13A9" w:rsidP="009C13A9">
            <w:pPr>
              <w:spacing w:before="40" w:after="40" w:line="240" w:lineRule="atLeast"/>
              <w:rPr>
                <w:noProof/>
                <w:szCs w:val="20"/>
              </w:rPr>
            </w:pPr>
            <w:r>
              <w:t xml:space="preserve">= </w:t>
            </w:r>
          </w:p>
        </w:tc>
        <w:tc>
          <w:tcPr>
            <w:tcW w:w="2205" w:type="dxa"/>
          </w:tcPr>
          <w:p w:rsidR="009C13A9" w:rsidRPr="00C903F8" w:rsidRDefault="009C13A9" w:rsidP="009C13A9">
            <w:pPr>
              <w:spacing w:before="40" w:after="40" w:line="240" w:lineRule="atLeast"/>
              <w:rPr>
                <w:noProof/>
                <w:szCs w:val="20"/>
              </w:rPr>
            </w:pPr>
            <w:r>
              <w:t>Malta</w:t>
            </w:r>
          </w:p>
        </w:tc>
      </w:tr>
      <w:tr w:rsidR="009C13A9" w:rsidRPr="00C903F8" w:rsidTr="009C13A9">
        <w:trPr>
          <w:jc w:val="center"/>
        </w:trPr>
        <w:tc>
          <w:tcPr>
            <w:tcW w:w="720" w:type="dxa"/>
          </w:tcPr>
          <w:p w:rsidR="009C13A9" w:rsidRPr="00C903F8" w:rsidRDefault="009C13A9" w:rsidP="009C13A9">
            <w:pPr>
              <w:spacing w:before="40" w:after="40" w:line="240" w:lineRule="atLeast"/>
              <w:rPr>
                <w:noProof/>
                <w:szCs w:val="20"/>
              </w:rPr>
            </w:pPr>
            <w:r>
              <w:t xml:space="preserve">18 </w:t>
            </w:r>
          </w:p>
        </w:tc>
        <w:tc>
          <w:tcPr>
            <w:tcW w:w="360" w:type="dxa"/>
          </w:tcPr>
          <w:p w:rsidR="009C13A9" w:rsidRPr="00C903F8" w:rsidRDefault="009C13A9" w:rsidP="009C13A9">
            <w:pPr>
              <w:spacing w:before="40" w:after="40" w:line="240" w:lineRule="atLeast"/>
              <w:rPr>
                <w:noProof/>
                <w:szCs w:val="20"/>
              </w:rPr>
            </w:pPr>
            <w:r>
              <w:t xml:space="preserve">= </w:t>
            </w:r>
          </w:p>
        </w:tc>
        <w:tc>
          <w:tcPr>
            <w:tcW w:w="3162" w:type="dxa"/>
          </w:tcPr>
          <w:p w:rsidR="009C13A9" w:rsidRPr="00C903F8" w:rsidRDefault="009C13A9" w:rsidP="009C13A9">
            <w:pPr>
              <w:spacing w:before="40" w:after="40" w:line="240" w:lineRule="atLeast"/>
              <w:rPr>
                <w:noProof/>
                <w:szCs w:val="20"/>
              </w:rPr>
            </w:pPr>
            <w:r>
              <w:t xml:space="preserve">Danimarca </w:t>
            </w:r>
          </w:p>
        </w:tc>
        <w:tc>
          <w:tcPr>
            <w:tcW w:w="724" w:type="dxa"/>
          </w:tcPr>
          <w:p w:rsidR="009C13A9" w:rsidRPr="00C903F8" w:rsidRDefault="009C13A9" w:rsidP="009C13A9">
            <w:pPr>
              <w:spacing w:before="40" w:after="40" w:line="240" w:lineRule="atLeast"/>
              <w:rPr>
                <w:noProof/>
                <w:szCs w:val="20"/>
              </w:rPr>
            </w:pPr>
          </w:p>
        </w:tc>
        <w:tc>
          <w:tcPr>
            <w:tcW w:w="416" w:type="dxa"/>
          </w:tcPr>
          <w:p w:rsidR="009C13A9" w:rsidRPr="00C903F8" w:rsidRDefault="009C13A9" w:rsidP="009C13A9">
            <w:pPr>
              <w:spacing w:before="40" w:after="40" w:line="240" w:lineRule="atLeast"/>
              <w:rPr>
                <w:noProof/>
                <w:szCs w:val="20"/>
              </w:rPr>
            </w:pPr>
          </w:p>
        </w:tc>
        <w:tc>
          <w:tcPr>
            <w:tcW w:w="2205" w:type="dxa"/>
          </w:tcPr>
          <w:p w:rsidR="009C13A9" w:rsidRPr="00C903F8" w:rsidRDefault="009C13A9" w:rsidP="009C13A9">
            <w:pPr>
              <w:spacing w:before="40" w:after="40" w:line="240" w:lineRule="atLeast"/>
              <w:rPr>
                <w:noProof/>
                <w:szCs w:val="20"/>
              </w:rPr>
            </w:pPr>
          </w:p>
        </w:tc>
      </w:tr>
    </w:tbl>
    <w:p w:rsidR="009C13A9" w:rsidRPr="00C903F8" w:rsidRDefault="009C13A9" w:rsidP="009C13A9">
      <w:pPr>
        <w:ind w:left="850" w:hanging="850"/>
        <w:rPr>
          <w:noProof/>
        </w:rPr>
      </w:pPr>
    </w:p>
    <w:p w:rsidR="009C13A9" w:rsidRPr="00C903F8" w:rsidRDefault="009C13A9" w:rsidP="009C13A9">
      <w:pPr>
        <w:ind w:left="850" w:hanging="850"/>
        <w:rPr>
          <w:noProof/>
        </w:rPr>
      </w:pPr>
    </w:p>
    <w:p w:rsidR="009C13A9" w:rsidRPr="00C903F8" w:rsidRDefault="009C13A9" w:rsidP="009C13A9">
      <w:pPr>
        <w:spacing w:line="240" w:lineRule="atLeast"/>
        <w:ind w:left="1560" w:hanging="1134"/>
        <w:rPr>
          <w:noProof/>
        </w:rPr>
      </w:pPr>
      <w:r>
        <w:t>Sezione 2:</w:t>
      </w:r>
      <w:r>
        <w:tab/>
        <w:t>L’indicazione del livello dei requisiti. È probabile che in futuro i requisiti relativi all’efficienza di purificazione siano resi più rigorosi. I differenti livelli dei requisiti sono indicati con numeri romani partendo dal livello I.</w:t>
      </w:r>
    </w:p>
    <w:p w:rsidR="009C13A9" w:rsidRPr="00C903F8" w:rsidRDefault="009C13A9" w:rsidP="009C13A9">
      <w:pPr>
        <w:spacing w:line="240" w:lineRule="atLeast"/>
        <w:ind w:left="1560" w:hanging="1134"/>
        <w:rPr>
          <w:noProof/>
        </w:rPr>
      </w:pPr>
    </w:p>
    <w:p w:rsidR="009C13A9" w:rsidRPr="00C903F8" w:rsidRDefault="009C13A9" w:rsidP="009C13A9">
      <w:pPr>
        <w:spacing w:line="240" w:lineRule="atLeast"/>
        <w:ind w:left="1560" w:hanging="1134"/>
        <w:rPr>
          <w:noProof/>
        </w:rPr>
      </w:pPr>
      <w:r>
        <w:t>Sezione 3:</w:t>
      </w:r>
      <w:r>
        <w:tab/>
        <w:t>Un numero progressivo a 4 cifre (eventualmente preceduto da zeri non significativi) indicante il numero di omologazione di base. La sequenza numerica inizia da 0001.</w:t>
      </w:r>
    </w:p>
    <w:p w:rsidR="009C13A9" w:rsidRPr="00C903F8" w:rsidRDefault="009C13A9" w:rsidP="009C13A9">
      <w:pPr>
        <w:spacing w:line="240" w:lineRule="atLeast"/>
        <w:ind w:left="1560" w:hanging="1134"/>
        <w:rPr>
          <w:noProof/>
        </w:rPr>
      </w:pPr>
    </w:p>
    <w:p w:rsidR="009C13A9" w:rsidRPr="00C903F8" w:rsidRDefault="009C13A9" w:rsidP="009C13A9">
      <w:pPr>
        <w:spacing w:line="240" w:lineRule="atLeast"/>
        <w:ind w:left="1560" w:hanging="1134"/>
        <w:rPr>
          <w:noProof/>
        </w:rPr>
      </w:pPr>
      <w:r>
        <w:t>Sezione 4:</w:t>
      </w:r>
      <w:r>
        <w:tab/>
        <w:t>Un numero progressivo a 2 cifre (eventualmente preceduto da zeri non significativi) indicante l’estensione. La sequenza numerica inizia da 01 per ogni numero.</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2.</w:t>
      </w:r>
      <w:r>
        <w:tab/>
      </w:r>
      <w:r>
        <w:rPr>
          <w:noProof/>
          <w:color w:val="000000"/>
        </w:rPr>
        <w:t>Esempi</w:t>
      </w:r>
    </w:p>
    <w:p w:rsidR="009C13A9" w:rsidRPr="00C903F8" w:rsidRDefault="005C7859" w:rsidP="009C13A9">
      <w:pPr>
        <w:spacing w:before="60" w:line="240" w:lineRule="atLeast"/>
        <w:ind w:left="851"/>
        <w:rPr>
          <w:rFonts w:cs="Arial"/>
          <w:noProof/>
          <w:szCs w:val="22"/>
        </w:rPr>
      </w:pPr>
      <w:r>
        <w:t>a)</w:t>
      </w:r>
      <w:r>
        <w:tab/>
        <w:t>Terza omologazione (ancora senza estensione) rilasciata dai Paesi Bassi e corrispondente al livello I.</w:t>
      </w:r>
    </w:p>
    <w:p w:rsidR="009C13A9" w:rsidRPr="00C903F8" w:rsidRDefault="009C13A9" w:rsidP="009C13A9">
      <w:pPr>
        <w:spacing w:before="60" w:line="240" w:lineRule="atLeast"/>
        <w:ind w:left="851"/>
        <w:jc w:val="center"/>
        <w:rPr>
          <w:rFonts w:cs="Arial"/>
          <w:noProof/>
          <w:szCs w:val="22"/>
        </w:rPr>
      </w:pPr>
      <w:r>
        <w:t>R 4*I*0003*00 o e 4*I*0003*00</w:t>
      </w:r>
    </w:p>
    <w:p w:rsidR="009C13A9" w:rsidRPr="00C903F8" w:rsidRDefault="005C7859" w:rsidP="009C13A9">
      <w:pPr>
        <w:spacing w:before="60" w:line="240" w:lineRule="atLeast"/>
        <w:ind w:left="851"/>
        <w:rPr>
          <w:rFonts w:cs="Arial"/>
          <w:noProof/>
          <w:szCs w:val="22"/>
        </w:rPr>
      </w:pPr>
      <w:r>
        <w:t>b)</w:t>
      </w:r>
      <w:r>
        <w:tab/>
        <w:t>Seconda estensione della quarta omologazione rilasciata dalla Germania e corrispondente al livello II:</w:t>
      </w:r>
    </w:p>
    <w:p w:rsidR="009C13A9" w:rsidRPr="00C903F8" w:rsidRDefault="009C13A9" w:rsidP="009C13A9">
      <w:pPr>
        <w:spacing w:before="60" w:line="240" w:lineRule="atLeast"/>
        <w:ind w:left="851"/>
        <w:jc w:val="center"/>
        <w:rPr>
          <w:rFonts w:cs="Arial"/>
          <w:noProof/>
          <w:szCs w:val="20"/>
        </w:rPr>
      </w:pPr>
      <w:r>
        <w:t>R 1*II* 0004*02 o e 4*I*0003*00</w:t>
      </w:r>
    </w:p>
    <w:p w:rsidR="009C13A9" w:rsidRPr="00C903F8" w:rsidRDefault="009C13A9" w:rsidP="009C13A9">
      <w:pPr>
        <w:spacing w:before="60" w:line="240" w:lineRule="atLeast"/>
        <w:ind w:left="851"/>
        <w:jc w:val="center"/>
        <w:rPr>
          <w:rFonts w:cs="Arial"/>
          <w:noProof/>
          <w:szCs w:val="22"/>
        </w:rPr>
      </w:pPr>
    </w:p>
    <w:p w:rsidR="009C13A9" w:rsidRPr="00C903F8" w:rsidRDefault="009C13A9" w:rsidP="009C13A9">
      <w:pPr>
        <w:spacing w:line="240" w:lineRule="atLeast"/>
        <w:rPr>
          <w:rFonts w:cs="Arial"/>
          <w:color w:val="000000"/>
        </w:rPr>
      </w:pPr>
      <w:r>
        <w:br w:type="page"/>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noProof/>
          <w:color w:val="000000"/>
        </w:rPr>
      </w:pPr>
    </w:p>
    <w:p w:rsidR="009C13A9" w:rsidRPr="00C903F8" w:rsidRDefault="009C13A9" w:rsidP="009C13A9">
      <w:pPr>
        <w:suppressAutoHyphens/>
        <w:autoSpaceDE/>
        <w:autoSpaceDN/>
        <w:spacing w:line="240" w:lineRule="atLeast"/>
        <w:ind w:left="426" w:hanging="426"/>
        <w:jc w:val="center"/>
        <w:rPr>
          <w:rFonts w:cs="Arial"/>
          <w:sz w:val="22"/>
        </w:rPr>
      </w:pPr>
    </w:p>
    <w:p w:rsidR="009C13A9" w:rsidRPr="00C903F8" w:rsidRDefault="009C13A9" w:rsidP="009C13A9">
      <w:pPr>
        <w:suppressAutoHyphens/>
        <w:autoSpaceDE/>
        <w:autoSpaceDN/>
        <w:ind w:left="0" w:firstLine="0"/>
        <w:jc w:val="left"/>
        <w:rPr>
          <w:rFonts w:cs="Arial"/>
          <w:sz w:val="24"/>
        </w:rPr>
        <w:sectPr w:rsidR="009C13A9" w:rsidRPr="00C903F8" w:rsidSect="00FB55E9">
          <w:headerReference w:type="default" r:id="rId73"/>
          <w:footerReference w:type="default" r:id="rId74"/>
          <w:footnotePr>
            <w:numRestart w:val="eachPage"/>
          </w:footnotePr>
          <w:pgSz w:w="11907" w:h="16840" w:code="9"/>
          <w:pgMar w:top="1361" w:right="1418" w:bottom="1361" w:left="1418" w:header="680" w:footer="680" w:gutter="0"/>
          <w:cols w:space="720"/>
          <w:docGrid w:linePitch="326"/>
        </w:sectPr>
      </w:pPr>
    </w:p>
    <w:p w:rsidR="009C13A9" w:rsidRPr="00C903F8" w:rsidRDefault="009C13A9" w:rsidP="009C13A9">
      <w:pPr>
        <w:spacing w:line="240" w:lineRule="atLeast"/>
        <w:ind w:left="567" w:hanging="567"/>
        <w:rPr>
          <w:noProof/>
        </w:rPr>
      </w:pPr>
    </w:p>
    <w:p w:rsidR="009C13A9" w:rsidRPr="00C903F8" w:rsidRDefault="00925755" w:rsidP="00390107">
      <w:pPr>
        <w:pStyle w:val="ES-Titre3"/>
        <w:rPr>
          <w:noProof/>
        </w:rPr>
      </w:pPr>
      <w:bookmarkStart w:id="698" w:name="_Toc491854332"/>
      <w:bookmarkStart w:id="699" w:name="_Toc535500281"/>
      <w:r>
        <w:t>Sezione V</w:t>
      </w:r>
      <w:bookmarkEnd w:id="698"/>
      <w:bookmarkEnd w:id="699"/>
    </w:p>
    <w:p w:rsidR="009C13A9" w:rsidRPr="00C903F8" w:rsidRDefault="009C13A9" w:rsidP="00390107">
      <w:pPr>
        <w:pStyle w:val="ES-Titre3a"/>
        <w:rPr>
          <w:noProof/>
        </w:rPr>
      </w:pPr>
      <w:bookmarkStart w:id="700" w:name="_Toc491854333"/>
      <w:bookmarkStart w:id="701" w:name="_Toc535500282"/>
      <w:r>
        <w:t>Sintesi delle omologazioni di tipi di impianti di depurazione di bordo</w:t>
      </w:r>
      <w:bookmarkEnd w:id="700"/>
      <w:bookmarkEnd w:id="701"/>
      <w:r>
        <w:t xml:space="preserve"> </w:t>
      </w:r>
    </w:p>
    <w:p w:rsidR="009C13A9" w:rsidRPr="00C903F8" w:rsidRDefault="009C13A9" w:rsidP="009C13A9">
      <w:pPr>
        <w:overflowPunct w:val="0"/>
        <w:adjustRightInd w:val="0"/>
        <w:spacing w:line="240" w:lineRule="exact"/>
        <w:ind w:left="0" w:firstLine="0"/>
        <w:jc w:val="center"/>
        <w:textAlignment w:val="baseline"/>
        <w:rPr>
          <w:rFonts w:eastAsia="Calibri"/>
          <w:sz w:val="14"/>
          <w:szCs w:val="16"/>
        </w:rPr>
      </w:pPr>
      <w:r>
        <w:t>(Modello)</w:t>
      </w:r>
    </w:p>
    <w:p w:rsidR="009C13A9" w:rsidRPr="00C903F8" w:rsidRDefault="009C13A9" w:rsidP="009C13A9">
      <w:pPr>
        <w:suppressAutoHyphens/>
        <w:autoSpaceDE/>
        <w:autoSpaceDN/>
        <w:spacing w:line="240" w:lineRule="atLeast"/>
        <w:ind w:left="426" w:hanging="426"/>
        <w:jc w:val="left"/>
        <w:rPr>
          <w:rFonts w:cs="Arial"/>
          <w:szCs w:val="20"/>
        </w:rPr>
      </w:pPr>
    </w:p>
    <w:p w:rsidR="009C13A9" w:rsidRPr="00C903F8" w:rsidRDefault="009C13A9" w:rsidP="009C13A9">
      <w:pPr>
        <w:tabs>
          <w:tab w:val="left" w:pos="11057"/>
        </w:tabs>
        <w:suppressAutoHyphens/>
        <w:autoSpaceDE/>
        <w:autoSpaceDN/>
        <w:spacing w:line="240" w:lineRule="atLeast"/>
        <w:ind w:left="11057" w:firstLine="0"/>
        <w:rPr>
          <w:rFonts w:cs="Arial"/>
          <w:sz w:val="16"/>
        </w:rPr>
      </w:pPr>
      <w:r>
        <w:rPr>
          <w:sz w:val="16"/>
        </w:rPr>
        <w:t>Timbro dell’autorità competente</w:t>
      </w:r>
    </w:p>
    <w:p w:rsidR="009C13A9" w:rsidRPr="00C903F8" w:rsidRDefault="009C13A9" w:rsidP="009C13A9">
      <w:pPr>
        <w:suppressAutoHyphens/>
        <w:autoSpaceDE/>
        <w:autoSpaceDN/>
        <w:ind w:left="0" w:firstLine="0"/>
        <w:jc w:val="center"/>
        <w:rPr>
          <w:rFonts w:cs="Arial"/>
          <w:b/>
          <w:sz w:val="16"/>
          <w:szCs w:val="16"/>
        </w:rPr>
      </w:pPr>
    </w:p>
    <w:p w:rsidR="009C13A9" w:rsidRPr="00C903F8" w:rsidRDefault="009C13A9" w:rsidP="009C13A9">
      <w:pPr>
        <w:tabs>
          <w:tab w:val="left" w:leader="dot" w:pos="3402"/>
          <w:tab w:val="left" w:leader="dot" w:pos="4536"/>
          <w:tab w:val="left" w:leader="dot" w:pos="5670"/>
        </w:tabs>
        <w:suppressAutoHyphens/>
        <w:autoSpaceDE/>
        <w:autoSpaceDN/>
        <w:spacing w:line="240" w:lineRule="atLeast"/>
        <w:ind w:left="0" w:firstLine="0"/>
        <w:rPr>
          <w:rFonts w:cs="Arial"/>
        </w:rPr>
      </w:pPr>
      <w:r>
        <w:t xml:space="preserve">Elenco n.: </w:t>
      </w:r>
      <w:r>
        <w:tab/>
      </w:r>
    </w:p>
    <w:p w:rsidR="009C13A9" w:rsidRPr="00C903F8" w:rsidRDefault="009C13A9" w:rsidP="009C13A9">
      <w:pPr>
        <w:tabs>
          <w:tab w:val="left" w:leader="dot" w:pos="3969"/>
          <w:tab w:val="left" w:pos="4111"/>
          <w:tab w:val="left" w:leader="dot" w:pos="7371"/>
        </w:tabs>
        <w:suppressAutoHyphens/>
        <w:autoSpaceDE/>
        <w:autoSpaceDN/>
        <w:spacing w:line="240" w:lineRule="atLeast"/>
        <w:ind w:left="0" w:firstLine="0"/>
        <w:rPr>
          <w:rFonts w:cs="Arial"/>
        </w:rPr>
      </w:pPr>
      <w:r>
        <w:t xml:space="preserve">Periodo da </w:t>
      </w:r>
      <w:r>
        <w:tab/>
      </w:r>
      <w:r>
        <w:tab/>
        <w:t xml:space="preserve">a </w:t>
      </w:r>
      <w:r>
        <w:tab/>
      </w:r>
    </w:p>
    <w:p w:rsidR="009C13A9" w:rsidRPr="00C903F8" w:rsidRDefault="009C13A9" w:rsidP="009C13A9">
      <w:pPr>
        <w:suppressAutoHyphens/>
        <w:autoSpaceDE/>
        <w:autoSpaceDN/>
        <w:spacing w:line="240" w:lineRule="atLeast"/>
        <w:ind w:left="0" w:firstLine="0"/>
        <w:jc w:val="left"/>
        <w:rPr>
          <w:rFonts w:cs="Arial"/>
          <w:sz w:val="14"/>
          <w:szCs w:val="16"/>
        </w:rPr>
      </w:pPr>
    </w:p>
    <w:tbl>
      <w:tblPr>
        <w:tblW w:w="0" w:type="auto"/>
        <w:tblInd w:w="136" w:type="dxa"/>
        <w:tblLayout w:type="fixed"/>
        <w:tblCellMar>
          <w:left w:w="56" w:type="dxa"/>
          <w:right w:w="56" w:type="dxa"/>
        </w:tblCellMar>
        <w:tblLook w:val="0000" w:firstRow="0" w:lastRow="0" w:firstColumn="0" w:lastColumn="0" w:noHBand="0" w:noVBand="0"/>
      </w:tblPr>
      <w:tblGrid>
        <w:gridCol w:w="2126"/>
        <w:gridCol w:w="2410"/>
        <w:gridCol w:w="3147"/>
        <w:gridCol w:w="1361"/>
        <w:gridCol w:w="1361"/>
        <w:gridCol w:w="2608"/>
        <w:gridCol w:w="1440"/>
      </w:tblGrid>
      <w:tr w:rsidR="009C13A9" w:rsidRPr="00C903F8" w:rsidTr="009C13A9">
        <w:tc>
          <w:tcPr>
            <w:tcW w:w="2126"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center"/>
              <w:rPr>
                <w:rFonts w:cs="Arial"/>
                <w:sz w:val="18"/>
              </w:rPr>
            </w:pPr>
            <w:r>
              <w:rPr>
                <w:sz w:val="18"/>
              </w:rPr>
              <w:t>1</w:t>
            </w:r>
          </w:p>
        </w:tc>
        <w:tc>
          <w:tcPr>
            <w:tcW w:w="2410"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center"/>
              <w:rPr>
                <w:rFonts w:cs="Arial"/>
                <w:sz w:val="18"/>
              </w:rPr>
            </w:pPr>
            <w:r>
              <w:rPr>
                <w:sz w:val="18"/>
              </w:rPr>
              <w:t>2</w:t>
            </w:r>
          </w:p>
        </w:tc>
        <w:tc>
          <w:tcPr>
            <w:tcW w:w="3147"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center"/>
              <w:rPr>
                <w:rFonts w:cs="Arial"/>
                <w:sz w:val="18"/>
              </w:rPr>
            </w:pPr>
            <w:r>
              <w:rPr>
                <w:sz w:val="18"/>
              </w:rPr>
              <w:t>3</w:t>
            </w:r>
          </w:p>
        </w:tc>
        <w:tc>
          <w:tcPr>
            <w:tcW w:w="1361"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center"/>
              <w:rPr>
                <w:rFonts w:cs="Arial"/>
                <w:sz w:val="18"/>
              </w:rPr>
            </w:pPr>
            <w:r>
              <w:rPr>
                <w:sz w:val="18"/>
              </w:rPr>
              <w:t>4</w:t>
            </w:r>
          </w:p>
        </w:tc>
        <w:tc>
          <w:tcPr>
            <w:tcW w:w="1361"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center"/>
              <w:rPr>
                <w:rFonts w:cs="Arial"/>
                <w:sz w:val="18"/>
              </w:rPr>
            </w:pPr>
            <w:r>
              <w:rPr>
                <w:sz w:val="18"/>
              </w:rPr>
              <w:t>5</w:t>
            </w:r>
          </w:p>
        </w:tc>
        <w:tc>
          <w:tcPr>
            <w:tcW w:w="2608" w:type="dxa"/>
            <w:tcBorders>
              <w:top w:val="single" w:sz="4" w:space="0" w:color="000000"/>
              <w:left w:val="single" w:sz="4" w:space="0" w:color="000000"/>
              <w:bottom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center"/>
              <w:rPr>
                <w:rFonts w:cs="Arial"/>
                <w:sz w:val="18"/>
              </w:rPr>
            </w:pPr>
            <w:r>
              <w:rPr>
                <w:sz w:val="18"/>
              </w:rPr>
              <w:t>6</w:t>
            </w:r>
          </w:p>
        </w:tc>
        <w:tc>
          <w:tcPr>
            <w:tcW w:w="1440" w:type="dxa"/>
            <w:tcBorders>
              <w:top w:val="single" w:sz="4" w:space="0" w:color="000000"/>
              <w:left w:val="single" w:sz="4" w:space="0" w:color="000000"/>
              <w:bottom w:val="single" w:sz="4" w:space="0" w:color="000000"/>
              <w:righ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center"/>
              <w:rPr>
                <w:rFonts w:cs="Arial"/>
                <w:sz w:val="18"/>
              </w:rPr>
            </w:pPr>
            <w:r>
              <w:rPr>
                <w:sz w:val="18"/>
              </w:rPr>
              <w:t>7</w:t>
            </w:r>
          </w:p>
        </w:tc>
      </w:tr>
      <w:tr w:rsidR="009C13A9" w:rsidRPr="00A0619C" w:rsidTr="009C13A9">
        <w:tc>
          <w:tcPr>
            <w:tcW w:w="2126" w:type="dxa"/>
            <w:tcBorders>
              <w:top w:val="single" w:sz="4" w:space="0" w:color="000000"/>
              <w:left w:val="single" w:sz="4" w:space="0" w:color="000000"/>
              <w:bottom w:val="single" w:sz="4" w:space="0" w:color="000000"/>
            </w:tcBorders>
            <w:vAlign w:val="center"/>
          </w:tcPr>
          <w:p w:rsidR="009C13A9" w:rsidRPr="00C903F8" w:rsidRDefault="009C13A9" w:rsidP="00BE2EE8">
            <w:pPr>
              <w:suppressAutoHyphens/>
              <w:autoSpaceDE/>
              <w:autoSpaceDN/>
              <w:snapToGrid w:val="0"/>
              <w:spacing w:before="40" w:after="40" w:line="240" w:lineRule="atLeast"/>
              <w:ind w:left="0" w:firstLine="0"/>
              <w:jc w:val="center"/>
              <w:rPr>
                <w:rFonts w:cs="Arial"/>
                <w:sz w:val="18"/>
                <w:vertAlign w:val="superscript"/>
              </w:rPr>
            </w:pPr>
            <w:r>
              <w:rPr>
                <w:sz w:val="18"/>
              </w:rPr>
              <w:t>Marca</w:t>
            </w:r>
            <w:r>
              <w:rPr>
                <w:sz w:val="18"/>
                <w:vertAlign w:val="superscript"/>
              </w:rPr>
              <w:t xml:space="preserve"> (</w:t>
            </w:r>
            <w:r>
              <w:rPr>
                <w:rStyle w:val="FootnoteReference"/>
                <w:sz w:val="18"/>
              </w:rPr>
              <w:footnoteReference w:id="70"/>
            </w:r>
            <w:r>
              <w:rPr>
                <w:sz w:val="18"/>
                <w:vertAlign w:val="superscript"/>
              </w:rPr>
              <w:t>)</w:t>
            </w:r>
          </w:p>
        </w:tc>
        <w:tc>
          <w:tcPr>
            <w:tcW w:w="2410" w:type="dxa"/>
            <w:tcBorders>
              <w:top w:val="single" w:sz="4" w:space="0" w:color="000000"/>
              <w:left w:val="single" w:sz="4" w:space="0" w:color="000000"/>
              <w:bottom w:val="single" w:sz="4" w:space="0" w:color="000000"/>
            </w:tcBorders>
            <w:vAlign w:val="center"/>
          </w:tcPr>
          <w:p w:rsidR="009C13A9" w:rsidRPr="00C903F8" w:rsidRDefault="009C13A9" w:rsidP="009C13A9">
            <w:pPr>
              <w:suppressAutoHyphens/>
              <w:autoSpaceDE/>
              <w:autoSpaceDN/>
              <w:snapToGrid w:val="0"/>
              <w:spacing w:before="40" w:after="40" w:line="240" w:lineRule="atLeast"/>
              <w:ind w:left="0" w:firstLine="0"/>
              <w:jc w:val="center"/>
              <w:rPr>
                <w:rFonts w:cs="Arial"/>
                <w:sz w:val="18"/>
                <w:vertAlign w:val="superscript"/>
              </w:rPr>
            </w:pPr>
            <w:r>
              <w:rPr>
                <w:sz w:val="18"/>
              </w:rPr>
              <w:t xml:space="preserve">Designazione del costruttore </w:t>
            </w:r>
            <w:r>
              <w:rPr>
                <w:sz w:val="18"/>
                <w:vertAlign w:val="superscript"/>
              </w:rPr>
              <w:t>(1)</w:t>
            </w:r>
          </w:p>
        </w:tc>
        <w:tc>
          <w:tcPr>
            <w:tcW w:w="3147" w:type="dxa"/>
            <w:tcBorders>
              <w:top w:val="single" w:sz="4" w:space="0" w:color="000000"/>
              <w:left w:val="single" w:sz="4" w:space="0" w:color="000000"/>
              <w:bottom w:val="single" w:sz="4" w:space="0" w:color="000000"/>
            </w:tcBorders>
            <w:vAlign w:val="center"/>
          </w:tcPr>
          <w:p w:rsidR="009C13A9" w:rsidRPr="00C903F8" w:rsidRDefault="009C13A9" w:rsidP="009C13A9">
            <w:pPr>
              <w:suppressAutoHyphens/>
              <w:autoSpaceDE/>
              <w:autoSpaceDN/>
              <w:snapToGrid w:val="0"/>
              <w:spacing w:before="40" w:after="40" w:line="240" w:lineRule="atLeast"/>
              <w:ind w:left="0" w:firstLine="0"/>
              <w:jc w:val="center"/>
              <w:rPr>
                <w:rFonts w:cs="Arial"/>
                <w:sz w:val="18"/>
              </w:rPr>
            </w:pPr>
            <w:r>
              <w:rPr>
                <w:sz w:val="18"/>
              </w:rPr>
              <w:t>Numero di omologazione</w:t>
            </w:r>
          </w:p>
        </w:tc>
        <w:tc>
          <w:tcPr>
            <w:tcW w:w="1361" w:type="dxa"/>
            <w:tcBorders>
              <w:top w:val="single" w:sz="4" w:space="0" w:color="000000"/>
              <w:left w:val="single" w:sz="4" w:space="0" w:color="000000"/>
              <w:bottom w:val="single" w:sz="4" w:space="0" w:color="000000"/>
            </w:tcBorders>
            <w:vAlign w:val="center"/>
          </w:tcPr>
          <w:p w:rsidR="009C13A9" w:rsidRPr="00C903F8" w:rsidRDefault="009C13A9" w:rsidP="009C13A9">
            <w:pPr>
              <w:suppressAutoHyphens/>
              <w:autoSpaceDE/>
              <w:autoSpaceDN/>
              <w:snapToGrid w:val="0"/>
              <w:spacing w:before="40" w:after="40" w:line="240" w:lineRule="atLeast"/>
              <w:ind w:left="0" w:firstLine="0"/>
              <w:jc w:val="center"/>
              <w:rPr>
                <w:rFonts w:cs="Arial"/>
                <w:sz w:val="18"/>
              </w:rPr>
            </w:pPr>
            <w:r>
              <w:rPr>
                <w:sz w:val="18"/>
              </w:rPr>
              <w:t>Data dell’omologazione</w:t>
            </w:r>
          </w:p>
        </w:tc>
        <w:tc>
          <w:tcPr>
            <w:tcW w:w="1361" w:type="dxa"/>
            <w:tcBorders>
              <w:top w:val="single" w:sz="4" w:space="0" w:color="000000"/>
              <w:left w:val="single" w:sz="4" w:space="0" w:color="000000"/>
              <w:bottom w:val="single" w:sz="4" w:space="0" w:color="000000"/>
            </w:tcBorders>
            <w:vAlign w:val="center"/>
          </w:tcPr>
          <w:p w:rsidR="009C13A9" w:rsidRPr="00C903F8" w:rsidRDefault="009C13A9" w:rsidP="00BE2EE8">
            <w:pPr>
              <w:suppressAutoHyphens/>
              <w:autoSpaceDE/>
              <w:autoSpaceDN/>
              <w:snapToGrid w:val="0"/>
              <w:spacing w:before="40" w:after="40" w:line="240" w:lineRule="atLeast"/>
              <w:ind w:left="0" w:firstLine="0"/>
              <w:jc w:val="center"/>
              <w:rPr>
                <w:rFonts w:cs="Arial"/>
                <w:sz w:val="18"/>
                <w:vertAlign w:val="superscript"/>
              </w:rPr>
            </w:pPr>
            <w:r>
              <w:rPr>
                <w:sz w:val="18"/>
              </w:rPr>
              <w:t>Estensione/ rifiuto/</w:t>
            </w:r>
            <w:r>
              <w:rPr>
                <w:rFonts w:cs="Arial"/>
                <w:sz w:val="18"/>
              </w:rPr>
              <w:br/>
            </w:r>
            <w:r>
              <w:rPr>
                <w:sz w:val="18"/>
              </w:rPr>
              <w:t>revoca</w:t>
            </w:r>
            <w:r>
              <w:rPr>
                <w:sz w:val="18"/>
                <w:vertAlign w:val="superscript"/>
              </w:rPr>
              <w:t xml:space="preserve"> </w:t>
            </w:r>
            <w:r>
              <w:rPr>
                <w:rStyle w:val="FootnoteReference"/>
                <w:sz w:val="18"/>
              </w:rPr>
              <w:footnoteReference w:id="71"/>
            </w:r>
            <w:r>
              <w:rPr>
                <w:sz w:val="18"/>
                <w:vertAlign w:val="superscript"/>
              </w:rPr>
              <w:t>)</w:t>
            </w:r>
          </w:p>
        </w:tc>
        <w:tc>
          <w:tcPr>
            <w:tcW w:w="2608" w:type="dxa"/>
            <w:tcBorders>
              <w:top w:val="single" w:sz="4" w:space="0" w:color="000000"/>
              <w:left w:val="single" w:sz="4" w:space="0" w:color="000000"/>
              <w:bottom w:val="single" w:sz="4" w:space="0" w:color="000000"/>
            </w:tcBorders>
            <w:vAlign w:val="center"/>
          </w:tcPr>
          <w:p w:rsidR="009C13A9" w:rsidRPr="00C903F8" w:rsidRDefault="009C13A9" w:rsidP="009C13A9">
            <w:pPr>
              <w:suppressAutoHyphens/>
              <w:autoSpaceDE/>
              <w:autoSpaceDN/>
              <w:snapToGrid w:val="0"/>
              <w:spacing w:before="40" w:after="40" w:line="240" w:lineRule="atLeast"/>
              <w:ind w:left="0" w:firstLine="0"/>
              <w:jc w:val="center"/>
              <w:rPr>
                <w:rFonts w:cs="Arial"/>
                <w:sz w:val="18"/>
              </w:rPr>
            </w:pPr>
            <w:r>
              <w:rPr>
                <w:sz w:val="18"/>
              </w:rPr>
              <w:t>Ragioni dell’estensione/rifiuto/revoca</w:t>
            </w:r>
          </w:p>
        </w:tc>
        <w:tc>
          <w:tcPr>
            <w:tcW w:w="1440" w:type="dxa"/>
            <w:tcBorders>
              <w:top w:val="single" w:sz="4" w:space="0" w:color="000000"/>
              <w:left w:val="single" w:sz="4" w:space="0" w:color="000000"/>
              <w:bottom w:val="single" w:sz="4" w:space="0" w:color="000000"/>
              <w:right w:val="single" w:sz="4" w:space="0" w:color="000000"/>
            </w:tcBorders>
            <w:vAlign w:val="center"/>
          </w:tcPr>
          <w:p w:rsidR="009C13A9" w:rsidRPr="00C903F8" w:rsidRDefault="009C13A9" w:rsidP="009C13A9">
            <w:pPr>
              <w:suppressAutoHyphens/>
              <w:autoSpaceDE/>
              <w:autoSpaceDN/>
              <w:snapToGrid w:val="0"/>
              <w:spacing w:before="40" w:after="40" w:line="240" w:lineRule="atLeast"/>
              <w:ind w:left="0" w:firstLine="0"/>
              <w:jc w:val="center"/>
              <w:rPr>
                <w:rFonts w:cs="Arial"/>
                <w:sz w:val="18"/>
                <w:vertAlign w:val="superscript"/>
              </w:rPr>
            </w:pPr>
            <w:r>
              <w:rPr>
                <w:sz w:val="18"/>
              </w:rPr>
              <w:t>Data dell'estensione/ del rifiuto/</w:t>
            </w:r>
            <w:r>
              <w:rPr>
                <w:rFonts w:cs="Arial"/>
                <w:sz w:val="18"/>
              </w:rPr>
              <w:br/>
            </w:r>
            <w:r>
              <w:rPr>
                <w:sz w:val="18"/>
              </w:rPr>
              <w:t>della revoca</w:t>
            </w:r>
            <w:r>
              <w:rPr>
                <w:sz w:val="18"/>
                <w:vertAlign w:val="superscript"/>
              </w:rPr>
              <w:t xml:space="preserve"> 2)</w:t>
            </w:r>
          </w:p>
        </w:tc>
      </w:tr>
      <w:tr w:rsidR="009C13A9" w:rsidRPr="00A0619C" w:rsidTr="009C13A9">
        <w:tc>
          <w:tcPr>
            <w:tcW w:w="2126"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410"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3147"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608"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440" w:type="dxa"/>
            <w:tcBorders>
              <w:left w:val="single" w:sz="4" w:space="0" w:color="000000"/>
              <w:righ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r>
      <w:tr w:rsidR="009C13A9" w:rsidRPr="00A0619C" w:rsidTr="009C13A9">
        <w:tc>
          <w:tcPr>
            <w:tcW w:w="2126"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410"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3147"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608"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440" w:type="dxa"/>
            <w:tcBorders>
              <w:left w:val="single" w:sz="4" w:space="0" w:color="000000"/>
              <w:righ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r>
      <w:tr w:rsidR="009C13A9" w:rsidRPr="00A0619C" w:rsidTr="009C13A9">
        <w:tc>
          <w:tcPr>
            <w:tcW w:w="2126"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410"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3147"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608"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440" w:type="dxa"/>
            <w:tcBorders>
              <w:left w:val="single" w:sz="4" w:space="0" w:color="000000"/>
              <w:righ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r>
      <w:tr w:rsidR="009C13A9" w:rsidRPr="00A0619C" w:rsidTr="009C13A9">
        <w:tc>
          <w:tcPr>
            <w:tcW w:w="2126"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410"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3147"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608"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440" w:type="dxa"/>
            <w:tcBorders>
              <w:left w:val="single" w:sz="4" w:space="0" w:color="000000"/>
              <w:righ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r>
      <w:tr w:rsidR="009C13A9" w:rsidRPr="00A0619C" w:rsidTr="009C13A9">
        <w:tc>
          <w:tcPr>
            <w:tcW w:w="2126"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410"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3147"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608"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440" w:type="dxa"/>
            <w:tcBorders>
              <w:left w:val="single" w:sz="4" w:space="0" w:color="000000"/>
              <w:righ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r>
      <w:tr w:rsidR="009C13A9" w:rsidRPr="00A0619C" w:rsidTr="009C13A9">
        <w:tc>
          <w:tcPr>
            <w:tcW w:w="2126"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410"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3147"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608"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440" w:type="dxa"/>
            <w:tcBorders>
              <w:left w:val="single" w:sz="4" w:space="0" w:color="000000"/>
              <w:righ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r>
      <w:tr w:rsidR="009C13A9" w:rsidRPr="00A0619C" w:rsidTr="009C13A9">
        <w:tc>
          <w:tcPr>
            <w:tcW w:w="2126"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410"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3147"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608"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440" w:type="dxa"/>
            <w:tcBorders>
              <w:left w:val="single" w:sz="4" w:space="0" w:color="000000"/>
              <w:righ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r>
      <w:tr w:rsidR="009C13A9" w:rsidRPr="00A0619C" w:rsidTr="009C13A9">
        <w:tc>
          <w:tcPr>
            <w:tcW w:w="2126"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410"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3147"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608"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440" w:type="dxa"/>
            <w:tcBorders>
              <w:left w:val="single" w:sz="4" w:space="0" w:color="000000"/>
              <w:righ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r>
      <w:tr w:rsidR="009C13A9" w:rsidRPr="00A0619C" w:rsidTr="009C13A9">
        <w:tc>
          <w:tcPr>
            <w:tcW w:w="2126"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410"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3147"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608"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440" w:type="dxa"/>
            <w:tcBorders>
              <w:left w:val="single" w:sz="4" w:space="0" w:color="000000"/>
              <w:righ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r>
      <w:tr w:rsidR="009C13A9" w:rsidRPr="00A0619C" w:rsidTr="009C13A9">
        <w:tc>
          <w:tcPr>
            <w:tcW w:w="2126"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410"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3147"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608"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440" w:type="dxa"/>
            <w:tcBorders>
              <w:left w:val="single" w:sz="4" w:space="0" w:color="000000"/>
              <w:righ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r>
      <w:tr w:rsidR="009C13A9" w:rsidRPr="00A0619C" w:rsidTr="009C13A9">
        <w:tc>
          <w:tcPr>
            <w:tcW w:w="2126"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410"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3147"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608"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440" w:type="dxa"/>
            <w:tcBorders>
              <w:left w:val="single" w:sz="4" w:space="0" w:color="000000"/>
              <w:righ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r>
      <w:tr w:rsidR="009C13A9" w:rsidRPr="00A0619C" w:rsidTr="009C13A9">
        <w:tc>
          <w:tcPr>
            <w:tcW w:w="2126"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410"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3147"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361"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2608" w:type="dxa"/>
            <w:tcBorders>
              <w:lef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c>
          <w:tcPr>
            <w:tcW w:w="1440" w:type="dxa"/>
            <w:tcBorders>
              <w:left w:val="single" w:sz="4" w:space="0" w:color="000000"/>
              <w:right w:val="single" w:sz="4" w:space="0" w:color="000000"/>
            </w:tcBorders>
          </w:tcPr>
          <w:p w:rsidR="009C13A9" w:rsidRPr="00C903F8" w:rsidRDefault="009C13A9" w:rsidP="009C13A9">
            <w:pPr>
              <w:suppressAutoHyphens/>
              <w:autoSpaceDE/>
              <w:autoSpaceDN/>
              <w:snapToGrid w:val="0"/>
              <w:spacing w:before="40" w:after="40" w:line="240" w:lineRule="atLeast"/>
              <w:ind w:left="0" w:firstLine="0"/>
              <w:jc w:val="left"/>
              <w:rPr>
                <w:rFonts w:cs="Arial"/>
                <w:sz w:val="18"/>
              </w:rPr>
            </w:pPr>
          </w:p>
        </w:tc>
      </w:tr>
    </w:tbl>
    <w:p w:rsidR="009C13A9" w:rsidRPr="00C903F8" w:rsidRDefault="009C13A9" w:rsidP="009C13A9">
      <w:pPr>
        <w:suppressAutoHyphens/>
        <w:autoSpaceDE/>
        <w:autoSpaceDN/>
        <w:spacing w:line="240" w:lineRule="atLeast"/>
        <w:ind w:left="426" w:hanging="426"/>
        <w:jc w:val="left"/>
        <w:rPr>
          <w:rFonts w:cs="Arial"/>
          <w:sz w:val="24"/>
        </w:rPr>
      </w:pPr>
    </w:p>
    <w:p w:rsidR="009C13A9" w:rsidRPr="00C903F8" w:rsidRDefault="009C13A9" w:rsidP="009C13A9">
      <w:pPr>
        <w:suppressAutoHyphens/>
        <w:autoSpaceDE/>
        <w:autoSpaceDN/>
        <w:spacing w:line="240" w:lineRule="atLeast"/>
        <w:ind w:left="426" w:hanging="426"/>
        <w:jc w:val="left"/>
        <w:rPr>
          <w:rFonts w:cs="Arial"/>
        </w:rPr>
      </w:pPr>
      <w:r>
        <w:br w:type="page"/>
      </w:r>
    </w:p>
    <w:p w:rsidR="009C13A9" w:rsidRPr="00C903F8" w:rsidRDefault="009C13A9" w:rsidP="009C13A9">
      <w:pPr>
        <w:suppressAutoHyphens/>
        <w:autoSpaceDE/>
        <w:autoSpaceDN/>
        <w:spacing w:line="240" w:lineRule="atLeast"/>
        <w:ind w:left="426" w:hanging="426"/>
        <w:jc w:val="left"/>
        <w:rPr>
          <w:rFonts w:cs="Arial"/>
        </w:rPr>
      </w:pPr>
    </w:p>
    <w:p w:rsidR="009C13A9" w:rsidRPr="00C903F8" w:rsidRDefault="009C13A9" w:rsidP="009C13A9">
      <w:pPr>
        <w:suppressAutoHyphens/>
        <w:autoSpaceDE/>
        <w:autoSpaceDN/>
        <w:spacing w:line="240" w:lineRule="atLeast"/>
        <w:ind w:left="426" w:hanging="426"/>
        <w:jc w:val="left"/>
        <w:rPr>
          <w:rFonts w:cs="Arial"/>
        </w:rPr>
      </w:pPr>
    </w:p>
    <w:p w:rsidR="009C13A9" w:rsidRPr="00C903F8" w:rsidRDefault="009C13A9" w:rsidP="009C13A9">
      <w:pPr>
        <w:suppressAutoHyphens/>
        <w:autoSpaceDE/>
        <w:autoSpaceDN/>
        <w:spacing w:line="240" w:lineRule="atLeast"/>
        <w:ind w:left="426" w:hanging="426"/>
        <w:jc w:val="left"/>
        <w:rPr>
          <w:rFonts w:cs="Arial"/>
        </w:rPr>
      </w:pPr>
    </w:p>
    <w:p w:rsidR="009C13A9" w:rsidRPr="00C903F8" w:rsidRDefault="009C13A9" w:rsidP="009C13A9">
      <w:pPr>
        <w:suppressAutoHyphens/>
        <w:autoSpaceDE/>
        <w:autoSpaceDN/>
        <w:spacing w:line="240" w:lineRule="atLeast"/>
        <w:ind w:left="426" w:hanging="426"/>
        <w:jc w:val="left"/>
        <w:rPr>
          <w:rFonts w:cs="Arial"/>
        </w:rPr>
      </w:pPr>
    </w:p>
    <w:p w:rsidR="009C13A9" w:rsidRPr="00C903F8" w:rsidRDefault="009C13A9" w:rsidP="009C13A9">
      <w:pPr>
        <w:suppressAutoHyphens/>
        <w:autoSpaceDE/>
        <w:autoSpaceDN/>
        <w:spacing w:line="240" w:lineRule="atLeast"/>
        <w:ind w:left="426" w:hanging="426"/>
        <w:jc w:val="left"/>
        <w:rPr>
          <w:rFonts w:cs="Arial"/>
          <w:szCs w:val="20"/>
        </w:rPr>
      </w:pPr>
    </w:p>
    <w:p w:rsidR="009C13A9" w:rsidRPr="00C903F8" w:rsidRDefault="009C13A9" w:rsidP="009C13A9">
      <w:pPr>
        <w:suppressAutoHyphens/>
        <w:autoSpaceDE/>
        <w:autoSpaceDN/>
        <w:spacing w:line="240" w:lineRule="atLeast"/>
        <w:ind w:left="426" w:hanging="426"/>
        <w:jc w:val="left"/>
        <w:rPr>
          <w:rFonts w:cs="Arial"/>
          <w:szCs w:val="20"/>
        </w:rPr>
      </w:pPr>
    </w:p>
    <w:p w:rsidR="009C13A9" w:rsidRPr="00C903F8" w:rsidRDefault="009C13A9" w:rsidP="009C13A9">
      <w:pPr>
        <w:suppressAutoHyphens/>
        <w:autoSpaceDE/>
        <w:autoSpaceDN/>
        <w:ind w:left="0" w:firstLine="0"/>
        <w:jc w:val="left"/>
        <w:rPr>
          <w:rFonts w:cs="Arial"/>
          <w:sz w:val="24"/>
        </w:rPr>
        <w:sectPr w:rsidR="009C13A9" w:rsidRPr="00C903F8" w:rsidSect="009C13A9">
          <w:headerReference w:type="even" r:id="rId75"/>
          <w:headerReference w:type="default" r:id="rId76"/>
          <w:footerReference w:type="even" r:id="rId77"/>
          <w:footerReference w:type="default" r:id="rId78"/>
          <w:headerReference w:type="first" r:id="rId79"/>
          <w:footerReference w:type="first" r:id="rId80"/>
          <w:footnotePr>
            <w:numRestart w:val="eachPage"/>
          </w:footnotePr>
          <w:pgSz w:w="16840" w:h="11907" w:orient="landscape" w:code="9"/>
          <w:pgMar w:top="1418" w:right="1418" w:bottom="1418" w:left="1418" w:header="680" w:footer="680" w:gutter="0"/>
          <w:cols w:space="720"/>
          <w:docGrid w:linePitch="360"/>
        </w:sectPr>
      </w:pPr>
    </w:p>
    <w:p w:rsidR="009C13A9" w:rsidRPr="00C903F8" w:rsidRDefault="009C13A9" w:rsidP="009C13A9">
      <w:pPr>
        <w:suppressAutoHyphens/>
        <w:autoSpaceDE/>
        <w:autoSpaceDN/>
        <w:spacing w:line="240" w:lineRule="atLeast"/>
        <w:ind w:left="0" w:firstLine="0"/>
        <w:jc w:val="center"/>
        <w:rPr>
          <w:rFonts w:cs="Arial"/>
        </w:rPr>
      </w:pPr>
    </w:p>
    <w:p w:rsidR="009C13A9" w:rsidRPr="00C903F8" w:rsidRDefault="00925755" w:rsidP="00390107">
      <w:pPr>
        <w:pStyle w:val="ES-Titre3"/>
        <w:rPr>
          <w:noProof/>
        </w:rPr>
      </w:pPr>
      <w:bookmarkStart w:id="702" w:name="_Toc491854334"/>
      <w:bookmarkStart w:id="703" w:name="_Toc535500283"/>
      <w:r>
        <w:t>Sezione VI</w:t>
      </w:r>
      <w:bookmarkEnd w:id="702"/>
      <w:bookmarkEnd w:id="703"/>
    </w:p>
    <w:p w:rsidR="00390107" w:rsidRPr="00C903F8" w:rsidRDefault="009C13A9" w:rsidP="00390107">
      <w:pPr>
        <w:pStyle w:val="ES-Titre3a"/>
        <w:rPr>
          <w:noProof/>
        </w:rPr>
      </w:pPr>
      <w:bookmarkStart w:id="704" w:name="_Toc491854335"/>
      <w:bookmarkStart w:id="705" w:name="_Toc535500284"/>
      <w:r>
        <w:t>Sintesi degli impianti di depurazione di bordo fabbricati</w:t>
      </w:r>
      <w:bookmarkEnd w:id="704"/>
      <w:bookmarkEnd w:id="705"/>
    </w:p>
    <w:p w:rsidR="009C13A9" w:rsidRPr="00C903F8" w:rsidRDefault="009C13A9" w:rsidP="009C13A9">
      <w:pPr>
        <w:overflowPunct w:val="0"/>
        <w:adjustRightInd w:val="0"/>
        <w:spacing w:line="240" w:lineRule="exact"/>
        <w:ind w:left="0" w:firstLine="0"/>
        <w:jc w:val="center"/>
        <w:textAlignment w:val="baseline"/>
        <w:rPr>
          <w:rFonts w:eastAsia="Calibri" w:cs="Arial"/>
          <w:szCs w:val="20"/>
        </w:rPr>
      </w:pPr>
      <w:r>
        <w:t>(Modello)</w:t>
      </w:r>
    </w:p>
    <w:p w:rsidR="009C13A9" w:rsidRPr="00C903F8" w:rsidRDefault="009C13A9" w:rsidP="009C13A9">
      <w:pPr>
        <w:suppressAutoHyphens/>
        <w:autoSpaceDE/>
        <w:autoSpaceDN/>
        <w:spacing w:line="240" w:lineRule="atLeast"/>
        <w:ind w:left="0" w:firstLine="0"/>
        <w:jc w:val="left"/>
        <w:rPr>
          <w:rFonts w:cs="Arial"/>
        </w:rPr>
      </w:pPr>
    </w:p>
    <w:p w:rsidR="009C13A9" w:rsidRPr="00C903F8" w:rsidRDefault="009C13A9" w:rsidP="009C13A9">
      <w:pPr>
        <w:suppressAutoHyphens/>
        <w:autoSpaceDE/>
        <w:autoSpaceDN/>
        <w:spacing w:line="240" w:lineRule="atLeast"/>
        <w:ind w:left="0" w:firstLine="0"/>
        <w:jc w:val="right"/>
        <w:rPr>
          <w:rFonts w:cs="Arial"/>
          <w:szCs w:val="20"/>
        </w:rPr>
      </w:pPr>
      <w:r>
        <w:rPr>
          <w:sz w:val="16"/>
        </w:rPr>
        <w:t>Timbro dell’autorità competente</w:t>
      </w:r>
    </w:p>
    <w:p w:rsidR="009C13A9" w:rsidRPr="00C903F8" w:rsidRDefault="009C13A9" w:rsidP="009C13A9">
      <w:pPr>
        <w:tabs>
          <w:tab w:val="left" w:leader="dot" w:pos="9072"/>
        </w:tabs>
        <w:suppressAutoHyphens/>
        <w:autoSpaceDE/>
        <w:autoSpaceDN/>
        <w:spacing w:line="240" w:lineRule="atLeast"/>
        <w:ind w:left="0" w:firstLine="0"/>
        <w:jc w:val="left"/>
        <w:rPr>
          <w:rFonts w:cs="Arial"/>
          <w:szCs w:val="20"/>
        </w:rPr>
      </w:pPr>
    </w:p>
    <w:p w:rsidR="009C13A9" w:rsidRPr="00C903F8" w:rsidRDefault="009C13A9" w:rsidP="009C13A9">
      <w:pPr>
        <w:tabs>
          <w:tab w:val="left" w:leader="dot" w:pos="9072"/>
        </w:tabs>
        <w:suppressAutoHyphens/>
        <w:autoSpaceDE/>
        <w:autoSpaceDN/>
        <w:spacing w:line="240" w:lineRule="atLeast"/>
        <w:ind w:left="0" w:firstLine="0"/>
        <w:jc w:val="left"/>
        <w:rPr>
          <w:rFonts w:cs="Arial"/>
          <w:szCs w:val="20"/>
        </w:rPr>
      </w:pPr>
      <w:r>
        <w:t xml:space="preserve">Elenco n.: </w:t>
      </w:r>
      <w:r>
        <w:tab/>
      </w:r>
    </w:p>
    <w:p w:rsidR="009C13A9" w:rsidRPr="00C903F8" w:rsidRDefault="009C13A9" w:rsidP="009C13A9">
      <w:pPr>
        <w:tabs>
          <w:tab w:val="left" w:leader="dot" w:pos="4536"/>
          <w:tab w:val="left" w:leader="dot" w:pos="8505"/>
          <w:tab w:val="left" w:leader="dot" w:pos="9072"/>
        </w:tabs>
        <w:suppressAutoHyphens/>
        <w:autoSpaceDE/>
        <w:autoSpaceDN/>
        <w:spacing w:line="240" w:lineRule="atLeast"/>
        <w:ind w:left="0" w:firstLine="0"/>
        <w:jc w:val="left"/>
        <w:rPr>
          <w:rFonts w:cs="Arial"/>
          <w:szCs w:val="20"/>
        </w:rPr>
      </w:pPr>
    </w:p>
    <w:p w:rsidR="009C13A9" w:rsidRPr="00C903F8" w:rsidRDefault="009C13A9" w:rsidP="009C13A9">
      <w:pPr>
        <w:tabs>
          <w:tab w:val="left" w:leader="dot" w:pos="4536"/>
          <w:tab w:val="left" w:pos="4678"/>
          <w:tab w:val="left" w:leader="dot" w:pos="9072"/>
        </w:tabs>
        <w:suppressAutoHyphens/>
        <w:autoSpaceDE/>
        <w:autoSpaceDN/>
        <w:spacing w:line="240" w:lineRule="atLeast"/>
        <w:ind w:left="0" w:firstLine="0"/>
        <w:jc w:val="left"/>
        <w:rPr>
          <w:rFonts w:cs="Arial"/>
          <w:szCs w:val="20"/>
        </w:rPr>
      </w:pPr>
      <w:r>
        <w:t xml:space="preserve">Per il periodo da: </w:t>
      </w:r>
      <w:r>
        <w:tab/>
        <w:t xml:space="preserve"> </w:t>
      </w:r>
      <w:r>
        <w:tab/>
        <w:t xml:space="preserve">a: </w:t>
      </w:r>
      <w:r>
        <w:tab/>
      </w:r>
    </w:p>
    <w:p w:rsidR="009C13A9" w:rsidRPr="00C903F8" w:rsidRDefault="009C13A9" w:rsidP="009C13A9">
      <w:pPr>
        <w:tabs>
          <w:tab w:val="left" w:leader="dot" w:pos="9072"/>
        </w:tabs>
        <w:suppressAutoHyphens/>
        <w:autoSpaceDE/>
        <w:autoSpaceDN/>
        <w:spacing w:line="240" w:lineRule="atLeast"/>
        <w:ind w:left="0" w:firstLine="0"/>
        <w:jc w:val="left"/>
        <w:rPr>
          <w:rFonts w:cs="Arial"/>
          <w:szCs w:val="20"/>
        </w:rPr>
      </w:pPr>
    </w:p>
    <w:p w:rsidR="009C13A9" w:rsidRPr="00C903F8" w:rsidRDefault="009C13A9" w:rsidP="009C13A9">
      <w:pPr>
        <w:tabs>
          <w:tab w:val="left" w:leader="dot" w:pos="9072"/>
        </w:tabs>
        <w:suppressAutoHyphens/>
        <w:autoSpaceDE/>
        <w:autoSpaceDN/>
        <w:spacing w:line="240" w:lineRule="atLeast"/>
        <w:ind w:left="0" w:firstLine="0"/>
        <w:rPr>
          <w:rFonts w:cs="Arial"/>
          <w:szCs w:val="20"/>
        </w:rPr>
      </w:pPr>
      <w:r>
        <w:t>Le seguenti informazioni sono fornite in relazione a tipi di impianti di depurazione di bordo e numeri di omologazione di impianti di depurazione di bordo fabbricati nel periodo sopraindicato in conformità alle disposizioni della norma europea che fissa i requisiti tecnici per le navi della navigazione interna (ES-TRIN):</w:t>
      </w:r>
    </w:p>
    <w:p w:rsidR="009C13A9" w:rsidRPr="00C903F8" w:rsidRDefault="009C13A9" w:rsidP="009C13A9">
      <w:pPr>
        <w:spacing w:line="240" w:lineRule="atLeast"/>
        <w:rPr>
          <w:rFonts w:cs="Arial"/>
          <w:color w:val="000000"/>
        </w:rPr>
      </w:pPr>
    </w:p>
    <w:p w:rsidR="009C13A9" w:rsidRPr="00C903F8" w:rsidRDefault="009C13A9" w:rsidP="009C13A9">
      <w:pPr>
        <w:tabs>
          <w:tab w:val="left" w:leader="dot" w:pos="9072"/>
        </w:tabs>
        <w:suppressAutoHyphens/>
        <w:autoSpaceDE/>
        <w:autoSpaceDN/>
        <w:spacing w:line="240" w:lineRule="atLeast"/>
        <w:ind w:left="0" w:firstLine="0"/>
        <w:jc w:val="left"/>
        <w:rPr>
          <w:rFonts w:cs="Arial"/>
          <w:szCs w:val="20"/>
        </w:rPr>
      </w:pPr>
      <w:r>
        <w:t xml:space="preserve">Marca (marchio commerciale del costruttore): </w:t>
      </w:r>
      <w:r>
        <w:tab/>
      </w:r>
    </w:p>
    <w:p w:rsidR="009C13A9" w:rsidRPr="00C903F8" w:rsidRDefault="009C13A9" w:rsidP="009C13A9">
      <w:pPr>
        <w:tabs>
          <w:tab w:val="left" w:leader="dot" w:pos="9072"/>
        </w:tabs>
        <w:suppressAutoHyphens/>
        <w:autoSpaceDE/>
        <w:autoSpaceDN/>
        <w:spacing w:line="240" w:lineRule="atLeast"/>
        <w:ind w:left="0" w:firstLine="0"/>
        <w:rPr>
          <w:rFonts w:cs="Arial"/>
          <w:szCs w:val="20"/>
        </w:rPr>
      </w:pPr>
    </w:p>
    <w:p w:rsidR="009C13A9" w:rsidRPr="00C903F8" w:rsidRDefault="009C13A9" w:rsidP="009C13A9">
      <w:pPr>
        <w:tabs>
          <w:tab w:val="left" w:leader="dot" w:pos="9072"/>
        </w:tabs>
        <w:suppressAutoHyphens/>
        <w:autoSpaceDE/>
        <w:autoSpaceDN/>
        <w:spacing w:line="240" w:lineRule="atLeast"/>
        <w:ind w:left="0" w:firstLine="0"/>
        <w:rPr>
          <w:rFonts w:cs="Arial"/>
          <w:szCs w:val="20"/>
        </w:rPr>
      </w:pPr>
      <w:r>
        <w:t xml:space="preserve">Designazione del tipo di impianto di depurazione di bordo da parte del costruttore: </w:t>
      </w:r>
      <w:r>
        <w:tab/>
      </w:r>
    </w:p>
    <w:p w:rsidR="009C13A9" w:rsidRPr="00C903F8" w:rsidRDefault="009C13A9" w:rsidP="009C13A9">
      <w:pPr>
        <w:tabs>
          <w:tab w:val="left" w:leader="dot" w:pos="9072"/>
        </w:tabs>
        <w:suppressAutoHyphens/>
        <w:autoSpaceDE/>
        <w:autoSpaceDN/>
        <w:spacing w:line="240" w:lineRule="atLeast"/>
        <w:ind w:left="0" w:firstLine="0"/>
        <w:jc w:val="left"/>
        <w:rPr>
          <w:rFonts w:cs="Arial"/>
          <w:szCs w:val="20"/>
        </w:rPr>
      </w:pPr>
      <w:r>
        <w:tab/>
      </w:r>
    </w:p>
    <w:p w:rsidR="009C13A9" w:rsidRPr="00C903F8" w:rsidRDefault="009C13A9" w:rsidP="009C13A9">
      <w:pPr>
        <w:tabs>
          <w:tab w:val="left" w:leader="dot" w:pos="9072"/>
        </w:tabs>
        <w:suppressAutoHyphens/>
        <w:autoSpaceDE/>
        <w:autoSpaceDN/>
        <w:spacing w:line="240" w:lineRule="atLeast"/>
        <w:ind w:left="0" w:firstLine="0"/>
        <w:jc w:val="left"/>
        <w:rPr>
          <w:rFonts w:cs="Arial"/>
          <w:szCs w:val="20"/>
        </w:rPr>
      </w:pPr>
    </w:p>
    <w:p w:rsidR="009C13A9" w:rsidRPr="00C903F8" w:rsidRDefault="009C13A9" w:rsidP="009C13A9">
      <w:pPr>
        <w:tabs>
          <w:tab w:val="left" w:leader="dot" w:pos="9072"/>
        </w:tabs>
        <w:suppressAutoHyphens/>
        <w:autoSpaceDE/>
        <w:autoSpaceDN/>
        <w:spacing w:line="240" w:lineRule="atLeast"/>
        <w:ind w:left="0" w:firstLine="0"/>
        <w:jc w:val="left"/>
        <w:rPr>
          <w:rFonts w:cs="Arial"/>
          <w:szCs w:val="20"/>
        </w:rPr>
      </w:pPr>
      <w:r>
        <w:t xml:space="preserve">Numero di omologazione: </w:t>
      </w:r>
      <w:r>
        <w:tab/>
      </w:r>
    </w:p>
    <w:p w:rsidR="009C13A9" w:rsidRPr="00C903F8" w:rsidRDefault="009C13A9" w:rsidP="009C13A9">
      <w:pPr>
        <w:tabs>
          <w:tab w:val="left" w:leader="dot" w:pos="9072"/>
        </w:tabs>
        <w:suppressAutoHyphens/>
        <w:autoSpaceDE/>
        <w:autoSpaceDN/>
        <w:spacing w:line="240" w:lineRule="atLeast"/>
        <w:ind w:left="0" w:firstLine="0"/>
        <w:jc w:val="left"/>
        <w:rPr>
          <w:rFonts w:cs="Arial"/>
          <w:szCs w:val="20"/>
        </w:rPr>
      </w:pPr>
    </w:p>
    <w:p w:rsidR="009C13A9" w:rsidRPr="00C903F8" w:rsidRDefault="009C13A9" w:rsidP="009C13A9">
      <w:pPr>
        <w:tabs>
          <w:tab w:val="left" w:leader="dot" w:pos="9072"/>
        </w:tabs>
        <w:suppressAutoHyphens/>
        <w:autoSpaceDE/>
        <w:autoSpaceDN/>
        <w:spacing w:line="240" w:lineRule="atLeast"/>
        <w:ind w:left="0" w:firstLine="0"/>
        <w:jc w:val="left"/>
        <w:rPr>
          <w:rFonts w:cs="Arial"/>
          <w:szCs w:val="20"/>
        </w:rPr>
      </w:pPr>
      <w:r>
        <w:t xml:space="preserve">Data del primo rilascio: </w:t>
      </w:r>
      <w:r>
        <w:tab/>
      </w:r>
    </w:p>
    <w:p w:rsidR="009C13A9" w:rsidRPr="00C903F8" w:rsidRDefault="009C13A9" w:rsidP="009C13A9">
      <w:pPr>
        <w:tabs>
          <w:tab w:val="left" w:leader="dot" w:pos="9072"/>
        </w:tabs>
        <w:suppressAutoHyphens/>
        <w:autoSpaceDE/>
        <w:autoSpaceDN/>
        <w:spacing w:line="240" w:lineRule="atLeast"/>
        <w:ind w:left="0" w:firstLine="0"/>
        <w:jc w:val="left"/>
        <w:rPr>
          <w:rFonts w:cs="Arial"/>
          <w:szCs w:val="20"/>
        </w:rPr>
      </w:pPr>
    </w:p>
    <w:p w:rsidR="009C13A9" w:rsidRPr="00C903F8" w:rsidRDefault="009C13A9" w:rsidP="009C13A9">
      <w:pPr>
        <w:tabs>
          <w:tab w:val="left" w:leader="dot" w:pos="9072"/>
        </w:tabs>
        <w:suppressAutoHyphens/>
        <w:autoSpaceDE/>
        <w:autoSpaceDN/>
        <w:spacing w:line="240" w:lineRule="atLeast"/>
        <w:ind w:left="0" w:firstLine="0"/>
        <w:jc w:val="left"/>
        <w:rPr>
          <w:rFonts w:cs="Arial"/>
          <w:szCs w:val="20"/>
        </w:rPr>
      </w:pPr>
      <w:r>
        <w:t>Data del primo rilascio (per le estensioni):</w:t>
      </w:r>
      <w:r>
        <w:tab/>
      </w:r>
    </w:p>
    <w:p w:rsidR="009C13A9" w:rsidRPr="00C903F8" w:rsidRDefault="009C13A9" w:rsidP="009C13A9">
      <w:pPr>
        <w:tabs>
          <w:tab w:val="left" w:leader="dot" w:pos="9072"/>
        </w:tabs>
        <w:suppressAutoHyphens/>
        <w:autoSpaceDE/>
        <w:autoSpaceDN/>
        <w:spacing w:line="240" w:lineRule="atLeast"/>
        <w:ind w:left="567" w:firstLine="0"/>
        <w:jc w:val="left"/>
        <w:rPr>
          <w:rFonts w:cs="Arial"/>
          <w:szCs w:val="20"/>
        </w:rPr>
      </w:pPr>
    </w:p>
    <w:p w:rsidR="009C13A9" w:rsidRPr="00C903F8" w:rsidRDefault="009C13A9" w:rsidP="009C13A9">
      <w:pPr>
        <w:tabs>
          <w:tab w:val="left" w:pos="4111"/>
          <w:tab w:val="left" w:pos="5812"/>
          <w:tab w:val="left" w:pos="7938"/>
        </w:tabs>
        <w:suppressAutoHyphens/>
        <w:autoSpaceDE/>
        <w:autoSpaceDN/>
        <w:spacing w:line="240" w:lineRule="atLeast"/>
        <w:ind w:left="0" w:firstLine="0"/>
        <w:jc w:val="left"/>
        <w:rPr>
          <w:rFonts w:cs="Arial"/>
          <w:szCs w:val="20"/>
        </w:rPr>
      </w:pPr>
      <w:r>
        <w:t>Numero di serie:</w:t>
      </w:r>
      <w:r>
        <w:tab/>
        <w:t>... 001</w:t>
      </w:r>
      <w:r>
        <w:tab/>
        <w:t>... 001</w:t>
      </w:r>
      <w:r>
        <w:tab/>
        <w:t>... 001</w:t>
      </w:r>
    </w:p>
    <w:p w:rsidR="009C13A9" w:rsidRPr="00C903F8" w:rsidRDefault="009C13A9" w:rsidP="009C13A9">
      <w:pPr>
        <w:tabs>
          <w:tab w:val="left" w:pos="4111"/>
          <w:tab w:val="left" w:pos="5812"/>
          <w:tab w:val="left" w:pos="7938"/>
        </w:tabs>
        <w:suppressAutoHyphens/>
        <w:autoSpaceDE/>
        <w:autoSpaceDN/>
        <w:spacing w:line="240" w:lineRule="atLeast"/>
        <w:ind w:left="0" w:firstLine="0"/>
        <w:jc w:val="left"/>
        <w:rPr>
          <w:rFonts w:cs="Arial"/>
          <w:szCs w:val="20"/>
        </w:rPr>
      </w:pPr>
      <w:r>
        <w:tab/>
      </w:r>
    </w:p>
    <w:p w:rsidR="009C13A9" w:rsidRPr="00C903F8" w:rsidRDefault="009C13A9" w:rsidP="009C13A9">
      <w:pPr>
        <w:tabs>
          <w:tab w:val="left" w:pos="4111"/>
          <w:tab w:val="left" w:pos="5812"/>
          <w:tab w:val="left" w:pos="7938"/>
        </w:tabs>
        <w:suppressAutoHyphens/>
        <w:autoSpaceDE/>
        <w:autoSpaceDN/>
        <w:spacing w:line="240" w:lineRule="atLeast"/>
        <w:ind w:left="4111" w:firstLine="0"/>
        <w:jc w:val="left"/>
        <w:rPr>
          <w:rFonts w:cs="Arial"/>
          <w:szCs w:val="20"/>
        </w:rPr>
      </w:pPr>
      <w:r>
        <w:t>... 002</w:t>
      </w:r>
      <w:r>
        <w:tab/>
        <w:t>... 002</w:t>
      </w:r>
      <w:r>
        <w:tab/>
        <w:t>... 002</w:t>
      </w:r>
    </w:p>
    <w:p w:rsidR="009C13A9" w:rsidRPr="00C903F8" w:rsidRDefault="009C13A9" w:rsidP="009C13A9">
      <w:pPr>
        <w:tabs>
          <w:tab w:val="left" w:pos="4111"/>
          <w:tab w:val="left" w:pos="5812"/>
          <w:tab w:val="left" w:pos="7938"/>
        </w:tabs>
        <w:suppressAutoHyphens/>
        <w:autoSpaceDE/>
        <w:autoSpaceDN/>
        <w:spacing w:line="240" w:lineRule="atLeast"/>
        <w:ind w:left="4111" w:firstLine="0"/>
        <w:jc w:val="left"/>
        <w:rPr>
          <w:rFonts w:cs="Arial"/>
          <w:szCs w:val="20"/>
        </w:rPr>
      </w:pPr>
    </w:p>
    <w:p w:rsidR="009C13A9" w:rsidRPr="00C903F8" w:rsidRDefault="009C13A9" w:rsidP="009C13A9">
      <w:pPr>
        <w:tabs>
          <w:tab w:val="left" w:pos="4111"/>
          <w:tab w:val="left" w:pos="5812"/>
          <w:tab w:val="left" w:pos="7938"/>
        </w:tabs>
        <w:suppressAutoHyphens/>
        <w:autoSpaceDE/>
        <w:autoSpaceDN/>
        <w:spacing w:line="240" w:lineRule="atLeast"/>
        <w:ind w:left="4111" w:firstLine="0"/>
        <w:jc w:val="left"/>
        <w:rPr>
          <w:rFonts w:cs="Arial"/>
          <w:szCs w:val="20"/>
        </w:rPr>
      </w:pPr>
      <w:r>
        <w:t>.</w:t>
      </w:r>
      <w:r>
        <w:tab/>
        <w:t>.</w:t>
      </w:r>
      <w:r>
        <w:tab/>
        <w:t>.</w:t>
      </w:r>
    </w:p>
    <w:p w:rsidR="009C13A9" w:rsidRPr="00C903F8" w:rsidRDefault="009C13A9" w:rsidP="009C13A9">
      <w:pPr>
        <w:tabs>
          <w:tab w:val="left" w:pos="4111"/>
          <w:tab w:val="left" w:pos="5812"/>
          <w:tab w:val="left" w:pos="7938"/>
        </w:tabs>
        <w:suppressAutoHyphens/>
        <w:autoSpaceDE/>
        <w:autoSpaceDN/>
        <w:spacing w:line="240" w:lineRule="atLeast"/>
        <w:ind w:left="4111" w:firstLine="0"/>
        <w:jc w:val="left"/>
        <w:rPr>
          <w:rFonts w:cs="Arial"/>
          <w:szCs w:val="20"/>
        </w:rPr>
      </w:pPr>
      <w:r>
        <w:t>.</w:t>
      </w:r>
      <w:r>
        <w:tab/>
        <w:t>.</w:t>
      </w:r>
      <w:r>
        <w:tab/>
        <w:t>.</w:t>
      </w:r>
    </w:p>
    <w:p w:rsidR="009C13A9" w:rsidRPr="00C903F8" w:rsidRDefault="009C13A9" w:rsidP="009C13A9">
      <w:pPr>
        <w:tabs>
          <w:tab w:val="left" w:pos="4111"/>
          <w:tab w:val="left" w:pos="5812"/>
          <w:tab w:val="left" w:pos="7938"/>
        </w:tabs>
        <w:suppressAutoHyphens/>
        <w:autoSpaceDE/>
        <w:autoSpaceDN/>
        <w:spacing w:line="240" w:lineRule="atLeast"/>
        <w:ind w:left="4111" w:firstLine="0"/>
        <w:jc w:val="left"/>
        <w:rPr>
          <w:rFonts w:cs="Arial"/>
          <w:szCs w:val="20"/>
        </w:rPr>
      </w:pPr>
      <w:r>
        <w:t>.</w:t>
      </w:r>
      <w:r>
        <w:tab/>
        <w:t>.</w:t>
      </w:r>
      <w:r>
        <w:tab/>
        <w:t>.</w:t>
      </w:r>
    </w:p>
    <w:p w:rsidR="009C13A9" w:rsidRPr="00C903F8" w:rsidRDefault="009C13A9" w:rsidP="009C13A9">
      <w:pPr>
        <w:tabs>
          <w:tab w:val="left" w:pos="4111"/>
          <w:tab w:val="left" w:pos="5812"/>
          <w:tab w:val="left" w:pos="7938"/>
        </w:tabs>
        <w:suppressAutoHyphens/>
        <w:autoSpaceDE/>
        <w:autoSpaceDN/>
        <w:spacing w:line="240" w:lineRule="atLeast"/>
        <w:ind w:left="4111" w:firstLine="0"/>
        <w:jc w:val="left"/>
        <w:rPr>
          <w:rFonts w:cs="Arial"/>
          <w:szCs w:val="20"/>
        </w:rPr>
      </w:pPr>
    </w:p>
    <w:p w:rsidR="009C13A9" w:rsidRPr="00C903F8" w:rsidRDefault="009C13A9" w:rsidP="009C13A9">
      <w:pPr>
        <w:tabs>
          <w:tab w:val="left" w:pos="4111"/>
          <w:tab w:val="left" w:pos="5812"/>
          <w:tab w:val="left" w:pos="7938"/>
        </w:tabs>
        <w:suppressAutoHyphens/>
        <w:autoSpaceDE/>
        <w:autoSpaceDN/>
        <w:spacing w:line="240" w:lineRule="atLeast"/>
        <w:ind w:left="4111" w:firstLine="0"/>
        <w:jc w:val="left"/>
        <w:rPr>
          <w:rFonts w:cs="Arial"/>
          <w:szCs w:val="20"/>
        </w:rPr>
      </w:pPr>
      <w:r>
        <w:t>..... m</w:t>
      </w:r>
      <w:r>
        <w:tab/>
        <w:t>..... p</w:t>
      </w:r>
      <w:r>
        <w:tab/>
        <w:t>..... q</w:t>
      </w:r>
    </w:p>
    <w:p w:rsidR="009C13A9" w:rsidRPr="00C903F8" w:rsidRDefault="009C13A9" w:rsidP="009C13A9">
      <w:pPr>
        <w:tabs>
          <w:tab w:val="left" w:pos="4111"/>
          <w:tab w:val="left" w:pos="5812"/>
          <w:tab w:val="left" w:pos="7938"/>
        </w:tabs>
        <w:suppressAutoHyphens/>
        <w:autoSpaceDE/>
        <w:autoSpaceDN/>
        <w:spacing w:line="240" w:lineRule="atLeast"/>
        <w:ind w:left="4111" w:firstLine="0"/>
        <w:jc w:val="left"/>
        <w:rPr>
          <w:rFonts w:cs="Arial"/>
          <w:szCs w:val="20"/>
        </w:rPr>
      </w:pPr>
    </w:p>
    <w:p w:rsidR="009C13A9" w:rsidRPr="00C903F8" w:rsidRDefault="009C13A9" w:rsidP="009C13A9">
      <w:pPr>
        <w:tabs>
          <w:tab w:val="left" w:pos="4111"/>
          <w:tab w:val="left" w:pos="5812"/>
          <w:tab w:val="left" w:pos="7938"/>
        </w:tabs>
        <w:suppressAutoHyphens/>
        <w:autoSpaceDE/>
        <w:autoSpaceDN/>
        <w:spacing w:line="240" w:lineRule="atLeast"/>
        <w:ind w:left="4111" w:firstLine="0"/>
        <w:jc w:val="left"/>
        <w:rPr>
          <w:rFonts w:cs="Arial"/>
          <w:szCs w:val="20"/>
        </w:rPr>
      </w:pPr>
    </w:p>
    <w:p w:rsidR="009C13A9" w:rsidRPr="00C903F8" w:rsidRDefault="009C13A9" w:rsidP="009C13A9">
      <w:pPr>
        <w:suppressAutoHyphens/>
        <w:autoSpaceDE/>
        <w:autoSpaceDN/>
        <w:spacing w:line="240" w:lineRule="atLeast"/>
        <w:ind w:left="0" w:firstLine="0"/>
        <w:jc w:val="left"/>
        <w:rPr>
          <w:rFonts w:cs="Arial"/>
        </w:rPr>
      </w:pPr>
    </w:p>
    <w:p w:rsidR="009C13A9" w:rsidRPr="00C903F8" w:rsidRDefault="009C13A9" w:rsidP="009C13A9">
      <w:pPr>
        <w:suppressAutoHyphens/>
        <w:autoSpaceDE/>
        <w:autoSpaceDN/>
        <w:spacing w:line="240" w:lineRule="atLeast"/>
        <w:ind w:left="0" w:firstLine="0"/>
        <w:jc w:val="left"/>
        <w:rPr>
          <w:rFonts w:cs="Arial"/>
        </w:rPr>
      </w:pPr>
    </w:p>
    <w:p w:rsidR="009C13A9" w:rsidRPr="00C903F8" w:rsidRDefault="009C13A9" w:rsidP="009C13A9">
      <w:pPr>
        <w:suppressAutoHyphens/>
        <w:autoSpaceDE/>
        <w:autoSpaceDN/>
        <w:spacing w:line="240" w:lineRule="atLeast"/>
        <w:ind w:left="0" w:firstLine="0"/>
        <w:jc w:val="left"/>
        <w:rPr>
          <w:rFonts w:cs="Arial"/>
        </w:rPr>
      </w:pPr>
    </w:p>
    <w:p w:rsidR="009C13A9" w:rsidRPr="00C903F8" w:rsidRDefault="009C13A9" w:rsidP="009C13A9">
      <w:pPr>
        <w:suppressAutoHyphens/>
        <w:autoSpaceDE/>
        <w:autoSpaceDN/>
        <w:spacing w:line="240" w:lineRule="atLeast"/>
        <w:ind w:left="0" w:firstLine="0"/>
        <w:jc w:val="left"/>
        <w:rPr>
          <w:rFonts w:cs="Arial"/>
        </w:rPr>
      </w:pPr>
      <w:r>
        <w:br w:type="page"/>
      </w:r>
    </w:p>
    <w:p w:rsidR="009C13A9" w:rsidRPr="00C903F8" w:rsidRDefault="009C13A9" w:rsidP="009C13A9">
      <w:pPr>
        <w:suppressAutoHyphens/>
        <w:autoSpaceDE/>
        <w:autoSpaceDN/>
        <w:spacing w:line="240" w:lineRule="atLeast"/>
        <w:ind w:left="0" w:firstLine="0"/>
        <w:jc w:val="left"/>
        <w:rPr>
          <w:rFonts w:cs="Arial"/>
        </w:rPr>
      </w:pPr>
    </w:p>
    <w:p w:rsidR="009C13A9" w:rsidRPr="00C903F8" w:rsidRDefault="009C13A9" w:rsidP="009C13A9">
      <w:pPr>
        <w:suppressAutoHyphens/>
        <w:autoSpaceDE/>
        <w:autoSpaceDN/>
        <w:spacing w:line="240" w:lineRule="atLeast"/>
        <w:ind w:left="0" w:firstLine="0"/>
        <w:jc w:val="left"/>
        <w:rPr>
          <w:rFonts w:cs="Arial"/>
        </w:rPr>
      </w:pPr>
    </w:p>
    <w:p w:rsidR="009C13A9" w:rsidRPr="00C903F8" w:rsidRDefault="009C13A9" w:rsidP="009C13A9">
      <w:pPr>
        <w:tabs>
          <w:tab w:val="left" w:pos="4111"/>
          <w:tab w:val="left" w:pos="5812"/>
          <w:tab w:val="left" w:pos="7938"/>
        </w:tabs>
        <w:suppressAutoHyphens/>
        <w:autoSpaceDE/>
        <w:autoSpaceDN/>
        <w:spacing w:line="240" w:lineRule="atLeast"/>
        <w:ind w:left="0" w:firstLine="0"/>
        <w:jc w:val="left"/>
        <w:rPr>
          <w:rFonts w:cs="Arial"/>
          <w:sz w:val="22"/>
        </w:rPr>
      </w:pPr>
    </w:p>
    <w:p w:rsidR="009C13A9" w:rsidRPr="00C903F8" w:rsidRDefault="009C13A9" w:rsidP="009C13A9">
      <w:pPr>
        <w:suppressAutoHyphens/>
        <w:autoSpaceDE/>
        <w:autoSpaceDN/>
        <w:ind w:left="0" w:firstLine="0"/>
        <w:jc w:val="left"/>
        <w:rPr>
          <w:rFonts w:cs="Arial"/>
          <w:sz w:val="24"/>
        </w:rPr>
        <w:sectPr w:rsidR="009C13A9" w:rsidRPr="00C903F8" w:rsidSect="009C13A9">
          <w:headerReference w:type="even" r:id="rId81"/>
          <w:headerReference w:type="default" r:id="rId82"/>
          <w:footerReference w:type="even" r:id="rId83"/>
          <w:footerReference w:type="default" r:id="rId84"/>
          <w:headerReference w:type="first" r:id="rId85"/>
          <w:footerReference w:type="first" r:id="rId86"/>
          <w:footnotePr>
            <w:numRestart w:val="eachPage"/>
          </w:footnotePr>
          <w:pgSz w:w="11907" w:h="16840" w:code="9"/>
          <w:pgMar w:top="1418" w:right="1418" w:bottom="1418" w:left="1418" w:header="680" w:footer="680" w:gutter="0"/>
          <w:cols w:space="720"/>
          <w:docGrid w:linePitch="360"/>
        </w:sectPr>
      </w:pPr>
    </w:p>
    <w:p w:rsidR="009C13A9" w:rsidRPr="00C903F8" w:rsidRDefault="009C13A9" w:rsidP="009C13A9">
      <w:pPr>
        <w:suppressAutoHyphens/>
        <w:autoSpaceDE/>
        <w:autoSpaceDN/>
        <w:spacing w:line="240" w:lineRule="atLeast"/>
        <w:ind w:left="0" w:firstLine="0"/>
        <w:jc w:val="center"/>
        <w:rPr>
          <w:rFonts w:cs="Arial"/>
          <w:sz w:val="18"/>
        </w:rPr>
      </w:pPr>
    </w:p>
    <w:p w:rsidR="009C13A9" w:rsidRPr="00C903F8" w:rsidRDefault="00925755" w:rsidP="00390107">
      <w:pPr>
        <w:pStyle w:val="ES-Titre3"/>
        <w:rPr>
          <w:noProof/>
        </w:rPr>
      </w:pPr>
      <w:bookmarkStart w:id="706" w:name="_Toc491854336"/>
      <w:bookmarkStart w:id="707" w:name="_Toc535500285"/>
      <w:r>
        <w:t>Sezione VII</w:t>
      </w:r>
      <w:bookmarkEnd w:id="706"/>
      <w:bookmarkEnd w:id="707"/>
    </w:p>
    <w:p w:rsidR="009C13A9" w:rsidRPr="00C903F8" w:rsidRDefault="009C13A9" w:rsidP="00390107">
      <w:pPr>
        <w:pStyle w:val="ES-Titre3a"/>
        <w:rPr>
          <w:noProof/>
        </w:rPr>
      </w:pPr>
      <w:bookmarkStart w:id="708" w:name="_Toc491854337"/>
      <w:bookmarkStart w:id="709" w:name="_Toc535500286"/>
      <w:r>
        <w:t>Scheda informativa per gli impianti di depurazione di bordo omologati</w:t>
      </w:r>
      <w:bookmarkEnd w:id="708"/>
      <w:bookmarkEnd w:id="709"/>
      <w:r>
        <w:t xml:space="preserve"> </w:t>
      </w:r>
    </w:p>
    <w:p w:rsidR="009C13A9" w:rsidRPr="00C903F8" w:rsidRDefault="009C13A9" w:rsidP="009C13A9">
      <w:pPr>
        <w:overflowPunct w:val="0"/>
        <w:adjustRightInd w:val="0"/>
        <w:spacing w:line="240" w:lineRule="exact"/>
        <w:ind w:left="0" w:firstLine="0"/>
        <w:jc w:val="center"/>
        <w:textAlignment w:val="baseline"/>
        <w:rPr>
          <w:rFonts w:eastAsia="Calibri" w:cs="Arial"/>
          <w:szCs w:val="20"/>
        </w:rPr>
      </w:pPr>
      <w:r>
        <w:t>(Modello)</w:t>
      </w:r>
    </w:p>
    <w:p w:rsidR="009C13A9" w:rsidRPr="00C903F8" w:rsidRDefault="009C13A9" w:rsidP="009C13A9">
      <w:pPr>
        <w:suppressAutoHyphens/>
        <w:autoSpaceDE/>
        <w:autoSpaceDN/>
        <w:spacing w:line="240" w:lineRule="atLeast"/>
        <w:ind w:left="0" w:firstLine="0"/>
        <w:jc w:val="left"/>
        <w:rPr>
          <w:rFonts w:cs="Arial"/>
          <w:szCs w:val="20"/>
        </w:rPr>
      </w:pPr>
    </w:p>
    <w:p w:rsidR="009C13A9" w:rsidRPr="00C903F8" w:rsidRDefault="009C13A9" w:rsidP="009C13A9">
      <w:pPr>
        <w:jc w:val="right"/>
        <w:outlineLvl w:val="0"/>
        <w:rPr>
          <w:b/>
          <w:noProof/>
          <w:sz w:val="16"/>
        </w:rPr>
      </w:pPr>
      <w:r>
        <w:rPr>
          <w:noProof/>
          <w:sz w:val="16"/>
        </w:rPr>
        <w:t>Timbro dell’autorità competente</w:t>
      </w:r>
    </w:p>
    <w:p w:rsidR="009C13A9" w:rsidRPr="00C903F8" w:rsidRDefault="009C13A9" w:rsidP="009C13A9">
      <w:pPr>
        <w:suppressAutoHyphens/>
        <w:autoSpaceDE/>
        <w:autoSpaceDN/>
        <w:spacing w:line="240" w:lineRule="atLeast"/>
        <w:ind w:left="0" w:firstLine="0"/>
        <w:jc w:val="left"/>
        <w:rPr>
          <w:rFonts w:cs="Arial"/>
        </w:rPr>
      </w:pPr>
    </w:p>
    <w:tbl>
      <w:tblPr>
        <w:tblW w:w="147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2"/>
        <w:gridCol w:w="923"/>
        <w:gridCol w:w="1001"/>
        <w:gridCol w:w="780"/>
        <w:gridCol w:w="2178"/>
        <w:gridCol w:w="1302"/>
        <w:gridCol w:w="1006"/>
        <w:gridCol w:w="546"/>
        <w:gridCol w:w="567"/>
        <w:gridCol w:w="992"/>
        <w:gridCol w:w="873"/>
        <w:gridCol w:w="1258"/>
        <w:gridCol w:w="812"/>
        <w:gridCol w:w="1258"/>
        <w:gridCol w:w="812"/>
        <w:gridCol w:w="12"/>
      </w:tblGrid>
      <w:tr w:rsidR="009C13A9" w:rsidRPr="00C903F8" w:rsidTr="009C13A9">
        <w:tc>
          <w:tcPr>
            <w:tcW w:w="5334" w:type="dxa"/>
            <w:gridSpan w:val="5"/>
            <w:shd w:val="clear" w:color="auto" w:fill="auto"/>
          </w:tcPr>
          <w:p w:rsidR="009C13A9" w:rsidRPr="00C903F8" w:rsidRDefault="009C13A9" w:rsidP="009C13A9">
            <w:pPr>
              <w:spacing w:before="120" w:after="120" w:line="240" w:lineRule="atLeast"/>
              <w:ind w:left="0" w:firstLine="0"/>
              <w:jc w:val="center"/>
              <w:rPr>
                <w:b/>
                <w:bCs/>
                <w:noProof/>
                <w:szCs w:val="20"/>
              </w:rPr>
            </w:pPr>
          </w:p>
        </w:tc>
        <w:tc>
          <w:tcPr>
            <w:tcW w:w="3421" w:type="dxa"/>
            <w:gridSpan w:val="4"/>
            <w:shd w:val="clear" w:color="auto" w:fill="auto"/>
          </w:tcPr>
          <w:p w:rsidR="009C13A9" w:rsidRPr="00C903F8" w:rsidRDefault="009C13A9" w:rsidP="009C13A9">
            <w:pPr>
              <w:spacing w:before="120" w:after="120" w:line="240" w:lineRule="atLeast"/>
              <w:ind w:left="0" w:firstLine="0"/>
              <w:jc w:val="center"/>
              <w:rPr>
                <w:b/>
                <w:bCs/>
                <w:noProof/>
                <w:szCs w:val="20"/>
              </w:rPr>
            </w:pPr>
            <w:r>
              <w:rPr>
                <w:b/>
                <w:noProof/>
                <w:sz w:val="16"/>
              </w:rPr>
              <w:t>Caratteristiche dell’impianto di depurazione di bordo</w:t>
            </w:r>
          </w:p>
        </w:tc>
        <w:tc>
          <w:tcPr>
            <w:tcW w:w="6017" w:type="dxa"/>
            <w:gridSpan w:val="7"/>
            <w:shd w:val="clear" w:color="auto" w:fill="auto"/>
          </w:tcPr>
          <w:p w:rsidR="009C13A9" w:rsidRPr="00C903F8" w:rsidRDefault="009C13A9" w:rsidP="009C13A9">
            <w:pPr>
              <w:spacing w:before="120" w:after="120" w:line="240" w:lineRule="atLeast"/>
              <w:ind w:left="0" w:firstLine="0"/>
              <w:jc w:val="center"/>
              <w:rPr>
                <w:b/>
                <w:bCs/>
                <w:noProof/>
                <w:szCs w:val="20"/>
              </w:rPr>
            </w:pPr>
            <w:r>
              <w:rPr>
                <w:b/>
                <w:noProof/>
                <w:sz w:val="16"/>
              </w:rPr>
              <w:t>Efficienza di purificazione</w:t>
            </w:r>
          </w:p>
        </w:tc>
      </w:tr>
      <w:tr w:rsidR="009C13A9" w:rsidRPr="00C903F8" w:rsidTr="009C13A9">
        <w:trPr>
          <w:gridAfter w:val="1"/>
          <w:wAfter w:w="12" w:type="dxa"/>
        </w:trPr>
        <w:tc>
          <w:tcPr>
            <w:tcW w:w="452" w:type="dxa"/>
            <w:vMerge w:val="restart"/>
            <w:shd w:val="clear" w:color="auto" w:fill="auto"/>
          </w:tcPr>
          <w:p w:rsidR="009C13A9" w:rsidRPr="00C903F8" w:rsidRDefault="009C13A9" w:rsidP="009C13A9">
            <w:pPr>
              <w:spacing w:before="120" w:after="120" w:line="240" w:lineRule="atLeast"/>
              <w:ind w:left="0" w:firstLine="0"/>
              <w:jc w:val="center"/>
              <w:rPr>
                <w:noProof/>
                <w:szCs w:val="20"/>
              </w:rPr>
            </w:pPr>
            <w:r>
              <w:rPr>
                <w:noProof/>
                <w:sz w:val="16"/>
              </w:rPr>
              <w:t>N.</w:t>
            </w:r>
          </w:p>
        </w:tc>
        <w:tc>
          <w:tcPr>
            <w:tcW w:w="923" w:type="dxa"/>
            <w:vMerge w:val="restart"/>
            <w:shd w:val="clear" w:color="auto" w:fill="auto"/>
          </w:tcPr>
          <w:p w:rsidR="009C13A9" w:rsidRPr="00C903F8" w:rsidRDefault="009C13A9" w:rsidP="009C13A9">
            <w:pPr>
              <w:spacing w:before="120" w:after="120" w:line="240" w:lineRule="atLeast"/>
              <w:ind w:left="0" w:firstLine="0"/>
              <w:jc w:val="center"/>
              <w:rPr>
                <w:noProof/>
                <w:szCs w:val="20"/>
              </w:rPr>
            </w:pPr>
            <w:r>
              <w:rPr>
                <w:noProof/>
                <w:sz w:val="16"/>
              </w:rPr>
              <w:t xml:space="preserve">Data della </w:t>
            </w:r>
            <w:r>
              <w:rPr>
                <w:noProof/>
                <w:sz w:val="16"/>
                <w:szCs w:val="16"/>
              </w:rPr>
              <w:br/>
            </w:r>
            <w:r>
              <w:rPr>
                <w:noProof/>
                <w:sz w:val="16"/>
              </w:rPr>
              <w:t>omologazione</w:t>
            </w:r>
          </w:p>
        </w:tc>
        <w:tc>
          <w:tcPr>
            <w:tcW w:w="1001" w:type="dxa"/>
            <w:vMerge w:val="restart"/>
            <w:shd w:val="clear" w:color="auto" w:fill="auto"/>
          </w:tcPr>
          <w:p w:rsidR="009C13A9" w:rsidRPr="00C903F8" w:rsidRDefault="009C13A9" w:rsidP="009C13A9">
            <w:pPr>
              <w:spacing w:before="120" w:after="120" w:line="240" w:lineRule="atLeast"/>
              <w:ind w:left="0" w:firstLine="0"/>
              <w:jc w:val="center"/>
              <w:rPr>
                <w:noProof/>
                <w:szCs w:val="20"/>
              </w:rPr>
            </w:pPr>
            <w:r>
              <w:rPr>
                <w:noProof/>
                <w:sz w:val="16"/>
              </w:rPr>
              <w:t>Numero di omologazione</w:t>
            </w:r>
          </w:p>
        </w:tc>
        <w:tc>
          <w:tcPr>
            <w:tcW w:w="780" w:type="dxa"/>
            <w:vMerge w:val="restart"/>
            <w:shd w:val="clear" w:color="auto" w:fill="auto"/>
          </w:tcPr>
          <w:p w:rsidR="009C13A9" w:rsidRPr="00C903F8" w:rsidRDefault="009C13A9" w:rsidP="009C13A9">
            <w:pPr>
              <w:spacing w:before="120" w:after="120" w:line="240" w:lineRule="atLeast"/>
              <w:ind w:left="0" w:firstLine="0"/>
              <w:jc w:val="center"/>
              <w:rPr>
                <w:noProof/>
                <w:szCs w:val="20"/>
              </w:rPr>
            </w:pPr>
            <w:r>
              <w:rPr>
                <w:noProof/>
                <w:sz w:val="16"/>
              </w:rPr>
              <w:t>Marca</w:t>
            </w:r>
          </w:p>
        </w:tc>
        <w:tc>
          <w:tcPr>
            <w:tcW w:w="2178" w:type="dxa"/>
            <w:vMerge w:val="restart"/>
            <w:shd w:val="clear" w:color="auto" w:fill="auto"/>
          </w:tcPr>
          <w:p w:rsidR="009C13A9" w:rsidRPr="00C903F8" w:rsidRDefault="009C13A9" w:rsidP="009C13A9">
            <w:pPr>
              <w:spacing w:before="120" w:after="120" w:line="240" w:lineRule="atLeast"/>
              <w:ind w:left="0" w:firstLine="0"/>
              <w:jc w:val="center"/>
              <w:rPr>
                <w:noProof/>
                <w:szCs w:val="20"/>
              </w:rPr>
            </w:pPr>
            <w:r>
              <w:rPr>
                <w:noProof/>
                <w:sz w:val="16"/>
              </w:rPr>
              <w:t>Tipo di impianto di depurazione di bordo</w:t>
            </w:r>
          </w:p>
        </w:tc>
        <w:tc>
          <w:tcPr>
            <w:tcW w:w="1302" w:type="dxa"/>
            <w:vMerge w:val="restart"/>
            <w:shd w:val="clear" w:color="auto" w:fill="auto"/>
          </w:tcPr>
          <w:p w:rsidR="009C13A9" w:rsidRPr="00C903F8" w:rsidRDefault="009C13A9" w:rsidP="009C13A9">
            <w:pPr>
              <w:spacing w:before="120" w:after="120" w:line="240" w:lineRule="atLeast"/>
              <w:ind w:left="0" w:firstLine="0"/>
              <w:jc w:val="center"/>
              <w:rPr>
                <w:noProof/>
                <w:szCs w:val="20"/>
              </w:rPr>
            </w:pPr>
            <w:r>
              <w:rPr>
                <w:noProof/>
                <w:sz w:val="16"/>
              </w:rPr>
              <w:t xml:space="preserve">Portata volumetrica giornaliera di acque reflue </w:t>
            </w:r>
            <m:oMath>
              <m:sSub>
                <m:sSubPr>
                  <m:ctrlPr>
                    <w:rPr>
                      <w:rFonts w:ascii="Cambria Math" w:hAnsi="Cambria Math" w:cs="Arial"/>
                      <w:i/>
                      <w:sz w:val="16"/>
                      <w:szCs w:val="16"/>
                    </w:rPr>
                  </m:ctrlPr>
                </m:sSubPr>
                <m:e>
                  <m:r>
                    <w:rPr>
                      <w:rFonts w:ascii="Cambria Math" w:hAnsi="Cambria Math" w:cs="Arial"/>
                      <w:sz w:val="16"/>
                      <w:szCs w:val="16"/>
                    </w:rPr>
                    <m:t>Q</m:t>
                  </m:r>
                </m:e>
                <m:sub>
                  <m:r>
                    <w:rPr>
                      <w:rFonts w:ascii="Cambria Math" w:hAnsi="Cambria Math" w:cs="Arial"/>
                      <w:sz w:val="16"/>
                      <w:szCs w:val="16"/>
                    </w:rPr>
                    <m:t>d</m:t>
                  </m:r>
                </m:sub>
              </m:sSub>
            </m:oMath>
            <w:r>
              <w:rPr>
                <w:noProof/>
                <w:sz w:val="16"/>
              </w:rPr>
              <w:t xml:space="preserve"> (m</w:t>
            </w:r>
            <w:r>
              <w:rPr>
                <w:noProof/>
                <w:sz w:val="16"/>
                <w:vertAlign w:val="superscript"/>
              </w:rPr>
              <w:t>3</w:t>
            </w:r>
            <w:r>
              <w:rPr>
                <w:noProof/>
                <w:sz w:val="16"/>
              </w:rPr>
              <w:t>/d)</w:t>
            </w:r>
          </w:p>
        </w:tc>
        <w:tc>
          <w:tcPr>
            <w:tcW w:w="1006" w:type="dxa"/>
            <w:vMerge w:val="restart"/>
            <w:shd w:val="clear" w:color="auto" w:fill="auto"/>
          </w:tcPr>
          <w:p w:rsidR="009C13A9" w:rsidRPr="00C903F8" w:rsidRDefault="009C13A9" w:rsidP="009C13A9">
            <w:pPr>
              <w:spacing w:before="120" w:after="120" w:line="240" w:lineRule="atLeast"/>
              <w:ind w:left="0" w:firstLine="0"/>
              <w:jc w:val="center"/>
              <w:rPr>
                <w:noProof/>
                <w:szCs w:val="20"/>
              </w:rPr>
            </w:pPr>
            <w:r>
              <w:rPr>
                <w:noProof/>
                <w:sz w:val="16"/>
              </w:rPr>
              <w:t xml:space="preserve">Carico giornaliero di inquinante </w:t>
            </w:r>
            <m:oMath>
              <m:sSub>
                <m:sSubPr>
                  <m:ctrlPr>
                    <w:rPr>
                      <w:rFonts w:ascii="Cambria Math" w:hAnsi="Cambria Math"/>
                      <w:i/>
                      <w:noProof/>
                      <w:sz w:val="16"/>
                      <w:szCs w:val="16"/>
                    </w:rPr>
                  </m:ctrlPr>
                </m:sSubPr>
                <m:e>
                  <m:r>
                    <w:rPr>
                      <w:rFonts w:ascii="Cambria Math" w:hAnsi="Cambria Math"/>
                      <w:noProof/>
                      <w:sz w:val="16"/>
                      <w:szCs w:val="16"/>
                    </w:rPr>
                    <m:t>BOD</m:t>
                  </m:r>
                </m:e>
                <m:sub>
                  <m:r>
                    <w:rPr>
                      <w:rFonts w:ascii="Cambria Math" w:hAnsi="Cambria Math"/>
                      <w:noProof/>
                      <w:sz w:val="16"/>
                      <w:szCs w:val="16"/>
                    </w:rPr>
                    <m:t>5</m:t>
                  </m:r>
                </m:sub>
              </m:sSub>
            </m:oMath>
            <w:r>
              <w:rPr>
                <w:noProof/>
                <w:sz w:val="16"/>
              </w:rPr>
              <w:t xml:space="preserve"> (kg/d)</w:t>
            </w:r>
          </w:p>
        </w:tc>
        <w:tc>
          <w:tcPr>
            <w:tcW w:w="546" w:type="dxa"/>
            <w:vMerge w:val="restart"/>
            <w:shd w:val="clear" w:color="auto" w:fill="auto"/>
          </w:tcPr>
          <w:p w:rsidR="009C13A9" w:rsidRPr="00C903F8" w:rsidRDefault="009C13A9" w:rsidP="009C13A9">
            <w:pPr>
              <w:spacing w:before="120" w:after="120" w:line="240" w:lineRule="atLeast"/>
              <w:ind w:left="0" w:firstLine="0"/>
              <w:jc w:val="center"/>
              <w:rPr>
                <w:noProof/>
                <w:szCs w:val="20"/>
              </w:rPr>
            </w:pPr>
          </w:p>
        </w:tc>
        <w:tc>
          <w:tcPr>
            <w:tcW w:w="567" w:type="dxa"/>
            <w:vMerge w:val="restart"/>
            <w:shd w:val="clear" w:color="auto" w:fill="auto"/>
          </w:tcPr>
          <w:p w:rsidR="009C13A9" w:rsidRPr="00C903F8" w:rsidRDefault="009C13A9" w:rsidP="009C13A9">
            <w:pPr>
              <w:spacing w:before="120" w:after="120" w:line="240" w:lineRule="atLeast"/>
              <w:ind w:left="0" w:firstLine="0"/>
              <w:jc w:val="center"/>
              <w:rPr>
                <w:noProof/>
                <w:szCs w:val="20"/>
              </w:rPr>
            </w:pPr>
          </w:p>
        </w:tc>
        <w:tc>
          <w:tcPr>
            <w:tcW w:w="1865" w:type="dxa"/>
            <w:gridSpan w:val="2"/>
            <w:shd w:val="clear" w:color="auto" w:fill="auto"/>
          </w:tcPr>
          <w:p w:rsidR="009C13A9" w:rsidRPr="00C903F8" w:rsidRDefault="00624017" w:rsidP="009C13A9">
            <w:pPr>
              <w:spacing w:before="120" w:after="120" w:line="240" w:lineRule="atLeast"/>
              <w:ind w:left="0" w:firstLine="0"/>
              <w:jc w:val="center"/>
              <w:rPr>
                <w:noProof/>
                <w:sz w:val="16"/>
                <w:szCs w:val="16"/>
              </w:rPr>
            </w:pPr>
            <m:oMathPara>
              <m:oMath>
                <m:sSub>
                  <m:sSubPr>
                    <m:ctrlPr>
                      <w:rPr>
                        <w:rFonts w:ascii="Cambria Math" w:hAnsi="Cambria Math"/>
                        <w:i/>
                        <w:noProof/>
                        <w:sz w:val="16"/>
                        <w:szCs w:val="16"/>
                      </w:rPr>
                    </m:ctrlPr>
                  </m:sSubPr>
                  <m:e>
                    <m:r>
                      <w:rPr>
                        <w:rFonts w:ascii="Cambria Math" w:hAnsi="Cambria Math"/>
                        <w:noProof/>
                        <w:sz w:val="16"/>
                        <w:szCs w:val="16"/>
                      </w:rPr>
                      <m:t>BOD</m:t>
                    </m:r>
                  </m:e>
                  <m:sub>
                    <m:r>
                      <w:rPr>
                        <w:rFonts w:ascii="Cambria Math" w:hAnsi="Cambria Math"/>
                        <w:noProof/>
                        <w:sz w:val="16"/>
                        <w:szCs w:val="16"/>
                      </w:rPr>
                      <m:t>5</m:t>
                    </m:r>
                  </m:sub>
                </m:sSub>
              </m:oMath>
            </m:oMathPara>
          </w:p>
        </w:tc>
        <w:tc>
          <w:tcPr>
            <w:tcW w:w="2070" w:type="dxa"/>
            <w:gridSpan w:val="2"/>
            <w:shd w:val="clear" w:color="auto" w:fill="auto"/>
          </w:tcPr>
          <w:p w:rsidR="009C13A9" w:rsidRPr="00C903F8" w:rsidRDefault="009C13A9" w:rsidP="009C13A9">
            <w:pPr>
              <w:spacing w:before="120" w:after="120" w:line="240" w:lineRule="atLeast"/>
              <w:ind w:left="0" w:firstLine="0"/>
              <w:jc w:val="center"/>
              <w:rPr>
                <w:noProof/>
                <w:szCs w:val="20"/>
              </w:rPr>
            </w:pPr>
            <w:r>
              <w:rPr>
                <w:noProof/>
                <w:sz w:val="16"/>
              </w:rPr>
              <w:t>COD</w:t>
            </w:r>
          </w:p>
        </w:tc>
        <w:tc>
          <w:tcPr>
            <w:tcW w:w="2070" w:type="dxa"/>
            <w:gridSpan w:val="2"/>
            <w:shd w:val="clear" w:color="auto" w:fill="auto"/>
          </w:tcPr>
          <w:p w:rsidR="009C13A9" w:rsidRPr="00C903F8" w:rsidRDefault="009C13A9" w:rsidP="009C13A9">
            <w:pPr>
              <w:spacing w:before="120" w:after="120" w:line="240" w:lineRule="atLeast"/>
              <w:ind w:left="0" w:firstLine="0"/>
              <w:jc w:val="center"/>
              <w:rPr>
                <w:noProof/>
                <w:szCs w:val="20"/>
              </w:rPr>
            </w:pPr>
            <w:r>
              <w:rPr>
                <w:noProof/>
                <w:sz w:val="16"/>
              </w:rPr>
              <w:t>TOC</w:t>
            </w:r>
          </w:p>
        </w:tc>
      </w:tr>
      <w:tr w:rsidR="009C13A9" w:rsidRPr="00C903F8" w:rsidTr="009C13A9">
        <w:trPr>
          <w:gridAfter w:val="1"/>
          <w:wAfter w:w="12" w:type="dxa"/>
        </w:trPr>
        <w:tc>
          <w:tcPr>
            <w:tcW w:w="452" w:type="dxa"/>
            <w:vMerge/>
            <w:shd w:val="clear" w:color="auto" w:fill="auto"/>
          </w:tcPr>
          <w:p w:rsidR="009C13A9" w:rsidRPr="00C903F8" w:rsidRDefault="009C13A9" w:rsidP="009C13A9">
            <w:pPr>
              <w:spacing w:before="120" w:after="120" w:line="240" w:lineRule="atLeast"/>
              <w:ind w:left="0" w:firstLine="0"/>
              <w:rPr>
                <w:noProof/>
                <w:szCs w:val="20"/>
              </w:rPr>
            </w:pPr>
          </w:p>
        </w:tc>
        <w:tc>
          <w:tcPr>
            <w:tcW w:w="923" w:type="dxa"/>
            <w:vMerge/>
            <w:shd w:val="clear" w:color="auto" w:fill="auto"/>
          </w:tcPr>
          <w:p w:rsidR="009C13A9" w:rsidRPr="00C903F8" w:rsidRDefault="009C13A9" w:rsidP="009C13A9">
            <w:pPr>
              <w:spacing w:before="120" w:after="120" w:line="240" w:lineRule="atLeast"/>
              <w:ind w:left="0" w:firstLine="0"/>
              <w:rPr>
                <w:noProof/>
                <w:szCs w:val="20"/>
              </w:rPr>
            </w:pPr>
          </w:p>
        </w:tc>
        <w:tc>
          <w:tcPr>
            <w:tcW w:w="1001" w:type="dxa"/>
            <w:vMerge/>
            <w:shd w:val="clear" w:color="auto" w:fill="auto"/>
          </w:tcPr>
          <w:p w:rsidR="009C13A9" w:rsidRPr="00C903F8" w:rsidRDefault="009C13A9" w:rsidP="009C13A9">
            <w:pPr>
              <w:spacing w:before="120" w:after="120" w:line="240" w:lineRule="atLeast"/>
              <w:ind w:left="0" w:firstLine="0"/>
              <w:rPr>
                <w:noProof/>
                <w:szCs w:val="20"/>
              </w:rPr>
            </w:pPr>
          </w:p>
        </w:tc>
        <w:tc>
          <w:tcPr>
            <w:tcW w:w="780" w:type="dxa"/>
            <w:vMerge/>
            <w:shd w:val="clear" w:color="auto" w:fill="auto"/>
          </w:tcPr>
          <w:p w:rsidR="009C13A9" w:rsidRPr="00C903F8" w:rsidRDefault="009C13A9" w:rsidP="009C13A9">
            <w:pPr>
              <w:spacing w:before="120" w:after="120" w:line="240" w:lineRule="atLeast"/>
              <w:ind w:left="0" w:firstLine="0"/>
              <w:rPr>
                <w:noProof/>
                <w:szCs w:val="20"/>
              </w:rPr>
            </w:pPr>
          </w:p>
        </w:tc>
        <w:tc>
          <w:tcPr>
            <w:tcW w:w="2178" w:type="dxa"/>
            <w:vMerge/>
            <w:shd w:val="clear" w:color="auto" w:fill="auto"/>
          </w:tcPr>
          <w:p w:rsidR="009C13A9" w:rsidRPr="00C903F8" w:rsidRDefault="009C13A9" w:rsidP="009C13A9">
            <w:pPr>
              <w:spacing w:before="120" w:after="120" w:line="240" w:lineRule="atLeast"/>
              <w:ind w:left="0" w:firstLine="0"/>
              <w:rPr>
                <w:noProof/>
                <w:szCs w:val="20"/>
              </w:rPr>
            </w:pPr>
          </w:p>
        </w:tc>
        <w:tc>
          <w:tcPr>
            <w:tcW w:w="1302" w:type="dxa"/>
            <w:vMerge/>
            <w:shd w:val="clear" w:color="auto" w:fill="auto"/>
          </w:tcPr>
          <w:p w:rsidR="009C13A9" w:rsidRPr="00C903F8" w:rsidRDefault="009C13A9" w:rsidP="009C13A9">
            <w:pPr>
              <w:spacing w:before="120" w:after="120" w:line="240" w:lineRule="atLeast"/>
              <w:ind w:left="0" w:firstLine="0"/>
              <w:rPr>
                <w:noProof/>
                <w:szCs w:val="20"/>
              </w:rPr>
            </w:pPr>
          </w:p>
        </w:tc>
        <w:tc>
          <w:tcPr>
            <w:tcW w:w="1006" w:type="dxa"/>
            <w:vMerge/>
            <w:shd w:val="clear" w:color="auto" w:fill="auto"/>
          </w:tcPr>
          <w:p w:rsidR="009C13A9" w:rsidRPr="00C903F8" w:rsidRDefault="009C13A9" w:rsidP="009C13A9">
            <w:pPr>
              <w:spacing w:before="120" w:after="120" w:line="240" w:lineRule="atLeast"/>
              <w:ind w:left="0" w:firstLine="0"/>
              <w:rPr>
                <w:noProof/>
                <w:szCs w:val="20"/>
              </w:rPr>
            </w:pPr>
          </w:p>
        </w:tc>
        <w:tc>
          <w:tcPr>
            <w:tcW w:w="546" w:type="dxa"/>
            <w:vMerge/>
            <w:shd w:val="clear" w:color="auto" w:fill="auto"/>
          </w:tcPr>
          <w:p w:rsidR="009C13A9" w:rsidRPr="00C903F8" w:rsidRDefault="009C13A9" w:rsidP="009C13A9">
            <w:pPr>
              <w:spacing w:before="120" w:after="120" w:line="240" w:lineRule="atLeast"/>
              <w:ind w:left="0" w:firstLine="0"/>
              <w:rPr>
                <w:noProof/>
                <w:szCs w:val="20"/>
              </w:rPr>
            </w:pPr>
          </w:p>
        </w:tc>
        <w:tc>
          <w:tcPr>
            <w:tcW w:w="567" w:type="dxa"/>
            <w:vMerge/>
            <w:shd w:val="clear" w:color="auto" w:fill="auto"/>
          </w:tcPr>
          <w:p w:rsidR="009C13A9" w:rsidRPr="00C903F8" w:rsidRDefault="009C13A9" w:rsidP="009C13A9">
            <w:pPr>
              <w:spacing w:before="120" w:after="120" w:line="240" w:lineRule="atLeast"/>
              <w:ind w:left="0" w:firstLine="0"/>
              <w:rPr>
                <w:noProof/>
                <w:szCs w:val="20"/>
              </w:rPr>
            </w:pPr>
          </w:p>
        </w:tc>
        <w:tc>
          <w:tcPr>
            <w:tcW w:w="992" w:type="dxa"/>
            <w:shd w:val="clear" w:color="auto" w:fill="auto"/>
          </w:tcPr>
          <w:p w:rsidR="009C13A9" w:rsidRPr="00C903F8" w:rsidRDefault="009C13A9" w:rsidP="009C13A9">
            <w:pPr>
              <w:spacing w:before="120" w:after="120" w:line="240" w:lineRule="atLeast"/>
              <w:ind w:left="0" w:firstLine="0"/>
              <w:jc w:val="center"/>
              <w:rPr>
                <w:noProof/>
                <w:szCs w:val="20"/>
              </w:rPr>
            </w:pPr>
            <w:r>
              <w:rPr>
                <w:noProof/>
                <w:sz w:val="16"/>
              </w:rPr>
              <w:t>Campione composito su 24 ore</w:t>
            </w:r>
          </w:p>
        </w:tc>
        <w:tc>
          <w:tcPr>
            <w:tcW w:w="873" w:type="dxa"/>
            <w:shd w:val="clear" w:color="auto" w:fill="auto"/>
          </w:tcPr>
          <w:p w:rsidR="009C13A9" w:rsidRPr="00C903F8" w:rsidRDefault="009C13A9" w:rsidP="009C13A9">
            <w:pPr>
              <w:spacing w:before="120" w:after="120" w:line="240" w:lineRule="atLeast"/>
              <w:ind w:left="0" w:firstLine="0"/>
              <w:jc w:val="center"/>
              <w:rPr>
                <w:noProof/>
                <w:sz w:val="16"/>
                <w:szCs w:val="16"/>
              </w:rPr>
            </w:pPr>
            <w:r>
              <w:rPr>
                <w:noProof/>
                <w:sz w:val="16"/>
              </w:rPr>
              <w:t>Campione scelto a caso</w:t>
            </w:r>
          </w:p>
        </w:tc>
        <w:tc>
          <w:tcPr>
            <w:tcW w:w="1258" w:type="dxa"/>
            <w:shd w:val="clear" w:color="auto" w:fill="auto"/>
          </w:tcPr>
          <w:p w:rsidR="009C13A9" w:rsidRPr="00C903F8" w:rsidRDefault="009C13A9" w:rsidP="009C13A9">
            <w:pPr>
              <w:spacing w:before="120" w:after="120" w:line="240" w:lineRule="atLeast"/>
              <w:ind w:left="0" w:firstLine="0"/>
              <w:jc w:val="center"/>
              <w:rPr>
                <w:noProof/>
                <w:szCs w:val="20"/>
              </w:rPr>
            </w:pPr>
            <w:r>
              <w:rPr>
                <w:noProof/>
                <w:sz w:val="16"/>
              </w:rPr>
              <w:t>Campione composito su 24 ore</w:t>
            </w:r>
          </w:p>
        </w:tc>
        <w:tc>
          <w:tcPr>
            <w:tcW w:w="812" w:type="dxa"/>
            <w:shd w:val="clear" w:color="auto" w:fill="auto"/>
          </w:tcPr>
          <w:p w:rsidR="009C13A9" w:rsidRPr="00C903F8" w:rsidRDefault="009C13A9" w:rsidP="009C13A9">
            <w:pPr>
              <w:spacing w:before="120" w:after="120" w:line="240" w:lineRule="atLeast"/>
              <w:ind w:left="0" w:firstLine="0"/>
              <w:jc w:val="center"/>
              <w:rPr>
                <w:noProof/>
                <w:sz w:val="16"/>
                <w:szCs w:val="16"/>
              </w:rPr>
            </w:pPr>
            <w:r>
              <w:rPr>
                <w:noProof/>
                <w:sz w:val="16"/>
              </w:rPr>
              <w:t>Campione scelto a caso</w:t>
            </w:r>
          </w:p>
        </w:tc>
        <w:tc>
          <w:tcPr>
            <w:tcW w:w="1258" w:type="dxa"/>
            <w:shd w:val="clear" w:color="auto" w:fill="auto"/>
          </w:tcPr>
          <w:p w:rsidR="009C13A9" w:rsidRPr="00C903F8" w:rsidRDefault="009C13A9" w:rsidP="009C13A9">
            <w:pPr>
              <w:spacing w:before="120" w:after="120" w:line="240" w:lineRule="atLeast"/>
              <w:ind w:left="0" w:firstLine="0"/>
              <w:jc w:val="center"/>
              <w:rPr>
                <w:noProof/>
                <w:szCs w:val="20"/>
              </w:rPr>
            </w:pPr>
            <w:r>
              <w:rPr>
                <w:noProof/>
                <w:sz w:val="16"/>
              </w:rPr>
              <w:t>Campione composito su 24 ore</w:t>
            </w:r>
          </w:p>
        </w:tc>
        <w:tc>
          <w:tcPr>
            <w:tcW w:w="812" w:type="dxa"/>
            <w:shd w:val="clear" w:color="auto" w:fill="auto"/>
          </w:tcPr>
          <w:p w:rsidR="009C13A9" w:rsidRPr="00C903F8" w:rsidRDefault="009C13A9" w:rsidP="009C13A9">
            <w:pPr>
              <w:spacing w:before="120" w:after="120" w:line="240" w:lineRule="atLeast"/>
              <w:ind w:left="0" w:firstLine="0"/>
              <w:jc w:val="center"/>
              <w:rPr>
                <w:noProof/>
                <w:sz w:val="16"/>
                <w:szCs w:val="16"/>
              </w:rPr>
            </w:pPr>
            <w:r>
              <w:rPr>
                <w:noProof/>
                <w:sz w:val="16"/>
              </w:rPr>
              <w:t>Campione scelto a caso</w:t>
            </w:r>
          </w:p>
        </w:tc>
      </w:tr>
      <w:tr w:rsidR="009C13A9" w:rsidRPr="00C903F8" w:rsidTr="009C13A9">
        <w:trPr>
          <w:gridAfter w:val="1"/>
          <w:wAfter w:w="12" w:type="dxa"/>
        </w:trPr>
        <w:tc>
          <w:tcPr>
            <w:tcW w:w="452" w:type="dxa"/>
            <w:shd w:val="clear" w:color="auto" w:fill="auto"/>
          </w:tcPr>
          <w:p w:rsidR="009C13A9" w:rsidRPr="00C903F8" w:rsidRDefault="009C13A9" w:rsidP="009C13A9">
            <w:pPr>
              <w:spacing w:before="120" w:after="120" w:line="240" w:lineRule="atLeast"/>
              <w:ind w:left="0" w:firstLine="0"/>
              <w:rPr>
                <w:noProof/>
                <w:szCs w:val="20"/>
              </w:rPr>
            </w:pPr>
          </w:p>
        </w:tc>
        <w:tc>
          <w:tcPr>
            <w:tcW w:w="923" w:type="dxa"/>
            <w:shd w:val="clear" w:color="auto" w:fill="auto"/>
          </w:tcPr>
          <w:p w:rsidR="009C13A9" w:rsidRPr="00C903F8" w:rsidRDefault="009C13A9" w:rsidP="009C13A9">
            <w:pPr>
              <w:spacing w:before="120" w:after="120" w:line="240" w:lineRule="atLeast"/>
              <w:ind w:left="0" w:firstLine="0"/>
              <w:rPr>
                <w:noProof/>
                <w:szCs w:val="20"/>
              </w:rPr>
            </w:pPr>
          </w:p>
        </w:tc>
        <w:tc>
          <w:tcPr>
            <w:tcW w:w="1001" w:type="dxa"/>
            <w:shd w:val="clear" w:color="auto" w:fill="auto"/>
          </w:tcPr>
          <w:p w:rsidR="009C13A9" w:rsidRPr="00C903F8" w:rsidRDefault="009C13A9" w:rsidP="009C13A9">
            <w:pPr>
              <w:spacing w:before="120" w:after="120" w:line="240" w:lineRule="atLeast"/>
              <w:ind w:left="0" w:firstLine="0"/>
              <w:rPr>
                <w:noProof/>
                <w:szCs w:val="20"/>
              </w:rPr>
            </w:pPr>
          </w:p>
        </w:tc>
        <w:tc>
          <w:tcPr>
            <w:tcW w:w="780" w:type="dxa"/>
            <w:shd w:val="clear" w:color="auto" w:fill="auto"/>
          </w:tcPr>
          <w:p w:rsidR="009C13A9" w:rsidRPr="00C903F8" w:rsidRDefault="009C13A9" w:rsidP="009C13A9">
            <w:pPr>
              <w:spacing w:before="120" w:after="120" w:line="240" w:lineRule="atLeast"/>
              <w:ind w:left="0" w:firstLine="0"/>
              <w:rPr>
                <w:noProof/>
                <w:szCs w:val="20"/>
              </w:rPr>
            </w:pPr>
          </w:p>
        </w:tc>
        <w:tc>
          <w:tcPr>
            <w:tcW w:w="2178" w:type="dxa"/>
            <w:shd w:val="clear" w:color="auto" w:fill="auto"/>
          </w:tcPr>
          <w:p w:rsidR="009C13A9" w:rsidRPr="00C903F8" w:rsidRDefault="009C13A9" w:rsidP="009C13A9">
            <w:pPr>
              <w:spacing w:before="120" w:after="120" w:line="240" w:lineRule="atLeast"/>
              <w:ind w:left="0" w:firstLine="0"/>
              <w:rPr>
                <w:noProof/>
                <w:szCs w:val="20"/>
              </w:rPr>
            </w:pPr>
          </w:p>
        </w:tc>
        <w:tc>
          <w:tcPr>
            <w:tcW w:w="1302" w:type="dxa"/>
            <w:shd w:val="clear" w:color="auto" w:fill="auto"/>
          </w:tcPr>
          <w:p w:rsidR="009C13A9" w:rsidRPr="00C903F8" w:rsidRDefault="009C13A9" w:rsidP="009C13A9">
            <w:pPr>
              <w:spacing w:before="120" w:after="120" w:line="240" w:lineRule="atLeast"/>
              <w:ind w:left="0" w:firstLine="0"/>
              <w:rPr>
                <w:noProof/>
                <w:szCs w:val="20"/>
              </w:rPr>
            </w:pPr>
          </w:p>
        </w:tc>
        <w:tc>
          <w:tcPr>
            <w:tcW w:w="1006" w:type="dxa"/>
            <w:shd w:val="clear" w:color="auto" w:fill="auto"/>
          </w:tcPr>
          <w:p w:rsidR="009C13A9" w:rsidRPr="00C903F8" w:rsidRDefault="009C13A9" w:rsidP="009C13A9">
            <w:pPr>
              <w:spacing w:before="120" w:after="120" w:line="240" w:lineRule="atLeast"/>
              <w:ind w:left="0" w:firstLine="0"/>
              <w:rPr>
                <w:noProof/>
                <w:szCs w:val="20"/>
              </w:rPr>
            </w:pPr>
          </w:p>
        </w:tc>
        <w:tc>
          <w:tcPr>
            <w:tcW w:w="546" w:type="dxa"/>
            <w:shd w:val="clear" w:color="auto" w:fill="auto"/>
          </w:tcPr>
          <w:p w:rsidR="009C13A9" w:rsidRPr="00C903F8" w:rsidRDefault="009C13A9" w:rsidP="009C13A9">
            <w:pPr>
              <w:spacing w:before="120" w:after="120" w:line="240" w:lineRule="atLeast"/>
              <w:ind w:left="0" w:firstLine="0"/>
              <w:rPr>
                <w:noProof/>
                <w:szCs w:val="20"/>
              </w:rPr>
            </w:pPr>
          </w:p>
        </w:tc>
        <w:tc>
          <w:tcPr>
            <w:tcW w:w="567" w:type="dxa"/>
            <w:shd w:val="clear" w:color="auto" w:fill="auto"/>
          </w:tcPr>
          <w:p w:rsidR="009C13A9" w:rsidRPr="00C903F8" w:rsidRDefault="009C13A9" w:rsidP="009C13A9">
            <w:pPr>
              <w:spacing w:before="120" w:after="120" w:line="240" w:lineRule="atLeast"/>
              <w:ind w:left="0" w:firstLine="0"/>
              <w:rPr>
                <w:noProof/>
                <w:szCs w:val="20"/>
              </w:rPr>
            </w:pPr>
          </w:p>
        </w:tc>
        <w:tc>
          <w:tcPr>
            <w:tcW w:w="992" w:type="dxa"/>
            <w:shd w:val="clear" w:color="auto" w:fill="auto"/>
          </w:tcPr>
          <w:p w:rsidR="009C13A9" w:rsidRPr="00C903F8" w:rsidRDefault="009C13A9" w:rsidP="009C13A9">
            <w:pPr>
              <w:spacing w:before="120" w:after="120" w:line="240" w:lineRule="atLeast"/>
              <w:ind w:left="0" w:firstLine="0"/>
              <w:rPr>
                <w:noProof/>
                <w:szCs w:val="20"/>
              </w:rPr>
            </w:pPr>
          </w:p>
        </w:tc>
        <w:tc>
          <w:tcPr>
            <w:tcW w:w="873" w:type="dxa"/>
            <w:shd w:val="clear" w:color="auto" w:fill="auto"/>
          </w:tcPr>
          <w:p w:rsidR="009C13A9" w:rsidRPr="00C903F8" w:rsidRDefault="009C13A9" w:rsidP="009C13A9">
            <w:pPr>
              <w:spacing w:before="120" w:after="120" w:line="240" w:lineRule="atLeast"/>
              <w:ind w:left="0" w:firstLine="0"/>
              <w:rPr>
                <w:noProof/>
                <w:szCs w:val="20"/>
              </w:rPr>
            </w:pPr>
          </w:p>
        </w:tc>
        <w:tc>
          <w:tcPr>
            <w:tcW w:w="1258" w:type="dxa"/>
            <w:shd w:val="clear" w:color="auto" w:fill="auto"/>
          </w:tcPr>
          <w:p w:rsidR="009C13A9" w:rsidRPr="00C903F8" w:rsidRDefault="009C13A9" w:rsidP="009C13A9">
            <w:pPr>
              <w:spacing w:before="120" w:after="120" w:line="240" w:lineRule="atLeast"/>
              <w:ind w:left="0" w:firstLine="0"/>
              <w:rPr>
                <w:noProof/>
                <w:szCs w:val="20"/>
              </w:rPr>
            </w:pPr>
          </w:p>
        </w:tc>
        <w:tc>
          <w:tcPr>
            <w:tcW w:w="812" w:type="dxa"/>
            <w:shd w:val="clear" w:color="auto" w:fill="auto"/>
          </w:tcPr>
          <w:p w:rsidR="009C13A9" w:rsidRPr="00C903F8" w:rsidRDefault="009C13A9" w:rsidP="009C13A9">
            <w:pPr>
              <w:spacing w:before="120" w:after="120" w:line="240" w:lineRule="atLeast"/>
              <w:ind w:left="0" w:firstLine="0"/>
              <w:rPr>
                <w:noProof/>
                <w:szCs w:val="20"/>
              </w:rPr>
            </w:pPr>
          </w:p>
        </w:tc>
        <w:tc>
          <w:tcPr>
            <w:tcW w:w="1258" w:type="dxa"/>
            <w:shd w:val="clear" w:color="auto" w:fill="auto"/>
          </w:tcPr>
          <w:p w:rsidR="009C13A9" w:rsidRPr="00C903F8" w:rsidRDefault="009C13A9" w:rsidP="009C13A9">
            <w:pPr>
              <w:spacing w:before="120" w:after="120" w:line="240" w:lineRule="atLeast"/>
              <w:ind w:left="0" w:firstLine="0"/>
              <w:rPr>
                <w:noProof/>
                <w:szCs w:val="20"/>
              </w:rPr>
            </w:pPr>
          </w:p>
        </w:tc>
        <w:tc>
          <w:tcPr>
            <w:tcW w:w="812" w:type="dxa"/>
            <w:shd w:val="clear" w:color="auto" w:fill="auto"/>
          </w:tcPr>
          <w:p w:rsidR="009C13A9" w:rsidRPr="00C903F8" w:rsidRDefault="009C13A9" w:rsidP="009C13A9">
            <w:pPr>
              <w:spacing w:before="120" w:after="120" w:line="240" w:lineRule="atLeast"/>
              <w:ind w:left="0" w:firstLine="0"/>
              <w:rPr>
                <w:noProof/>
                <w:szCs w:val="20"/>
              </w:rPr>
            </w:pPr>
          </w:p>
        </w:tc>
      </w:tr>
      <w:tr w:rsidR="009C13A9" w:rsidRPr="00C903F8" w:rsidTr="009C13A9">
        <w:trPr>
          <w:gridAfter w:val="1"/>
          <w:wAfter w:w="12" w:type="dxa"/>
        </w:trPr>
        <w:tc>
          <w:tcPr>
            <w:tcW w:w="452" w:type="dxa"/>
            <w:shd w:val="clear" w:color="auto" w:fill="auto"/>
          </w:tcPr>
          <w:p w:rsidR="009C13A9" w:rsidRPr="00C903F8" w:rsidRDefault="009C13A9" w:rsidP="009C13A9">
            <w:pPr>
              <w:spacing w:before="120" w:after="120" w:line="240" w:lineRule="atLeast"/>
              <w:ind w:left="0" w:firstLine="0"/>
              <w:rPr>
                <w:noProof/>
                <w:szCs w:val="20"/>
              </w:rPr>
            </w:pPr>
          </w:p>
        </w:tc>
        <w:tc>
          <w:tcPr>
            <w:tcW w:w="923" w:type="dxa"/>
            <w:shd w:val="clear" w:color="auto" w:fill="auto"/>
          </w:tcPr>
          <w:p w:rsidR="009C13A9" w:rsidRPr="00C903F8" w:rsidRDefault="009C13A9" w:rsidP="009C13A9">
            <w:pPr>
              <w:spacing w:before="120" w:after="120" w:line="240" w:lineRule="atLeast"/>
              <w:ind w:left="0" w:firstLine="0"/>
              <w:rPr>
                <w:noProof/>
                <w:szCs w:val="20"/>
              </w:rPr>
            </w:pPr>
          </w:p>
        </w:tc>
        <w:tc>
          <w:tcPr>
            <w:tcW w:w="1001" w:type="dxa"/>
            <w:shd w:val="clear" w:color="auto" w:fill="auto"/>
          </w:tcPr>
          <w:p w:rsidR="009C13A9" w:rsidRPr="00C903F8" w:rsidRDefault="009C13A9" w:rsidP="009C13A9">
            <w:pPr>
              <w:spacing w:before="120" w:after="120" w:line="240" w:lineRule="atLeast"/>
              <w:ind w:left="0" w:firstLine="0"/>
              <w:rPr>
                <w:noProof/>
                <w:szCs w:val="20"/>
              </w:rPr>
            </w:pPr>
          </w:p>
        </w:tc>
        <w:tc>
          <w:tcPr>
            <w:tcW w:w="780" w:type="dxa"/>
            <w:shd w:val="clear" w:color="auto" w:fill="auto"/>
          </w:tcPr>
          <w:p w:rsidR="009C13A9" w:rsidRPr="00C903F8" w:rsidRDefault="009C13A9" w:rsidP="009C13A9">
            <w:pPr>
              <w:spacing w:before="120" w:after="120" w:line="240" w:lineRule="atLeast"/>
              <w:ind w:left="0" w:firstLine="0"/>
              <w:rPr>
                <w:noProof/>
                <w:szCs w:val="20"/>
              </w:rPr>
            </w:pPr>
          </w:p>
        </w:tc>
        <w:tc>
          <w:tcPr>
            <w:tcW w:w="2178" w:type="dxa"/>
            <w:shd w:val="clear" w:color="auto" w:fill="auto"/>
          </w:tcPr>
          <w:p w:rsidR="009C13A9" w:rsidRPr="00C903F8" w:rsidRDefault="009C13A9" w:rsidP="009C13A9">
            <w:pPr>
              <w:spacing w:before="120" w:after="120" w:line="240" w:lineRule="atLeast"/>
              <w:ind w:left="0" w:firstLine="0"/>
              <w:rPr>
                <w:noProof/>
                <w:szCs w:val="20"/>
              </w:rPr>
            </w:pPr>
          </w:p>
        </w:tc>
        <w:tc>
          <w:tcPr>
            <w:tcW w:w="1302" w:type="dxa"/>
            <w:shd w:val="clear" w:color="auto" w:fill="auto"/>
          </w:tcPr>
          <w:p w:rsidR="009C13A9" w:rsidRPr="00C903F8" w:rsidRDefault="009C13A9" w:rsidP="009C13A9">
            <w:pPr>
              <w:spacing w:before="120" w:after="120" w:line="240" w:lineRule="atLeast"/>
              <w:ind w:left="0" w:firstLine="0"/>
              <w:rPr>
                <w:noProof/>
                <w:szCs w:val="20"/>
              </w:rPr>
            </w:pPr>
          </w:p>
        </w:tc>
        <w:tc>
          <w:tcPr>
            <w:tcW w:w="1006" w:type="dxa"/>
            <w:shd w:val="clear" w:color="auto" w:fill="auto"/>
          </w:tcPr>
          <w:p w:rsidR="009C13A9" w:rsidRPr="00C903F8" w:rsidRDefault="009C13A9" w:rsidP="009C13A9">
            <w:pPr>
              <w:spacing w:before="120" w:after="120" w:line="240" w:lineRule="atLeast"/>
              <w:ind w:left="0" w:firstLine="0"/>
              <w:rPr>
                <w:noProof/>
                <w:szCs w:val="20"/>
              </w:rPr>
            </w:pPr>
          </w:p>
        </w:tc>
        <w:tc>
          <w:tcPr>
            <w:tcW w:w="546" w:type="dxa"/>
            <w:shd w:val="clear" w:color="auto" w:fill="auto"/>
          </w:tcPr>
          <w:p w:rsidR="009C13A9" w:rsidRPr="00C903F8" w:rsidRDefault="009C13A9" w:rsidP="009C13A9">
            <w:pPr>
              <w:spacing w:before="120" w:after="120" w:line="240" w:lineRule="atLeast"/>
              <w:ind w:left="0" w:firstLine="0"/>
              <w:rPr>
                <w:noProof/>
                <w:szCs w:val="20"/>
              </w:rPr>
            </w:pPr>
          </w:p>
        </w:tc>
        <w:tc>
          <w:tcPr>
            <w:tcW w:w="567" w:type="dxa"/>
            <w:shd w:val="clear" w:color="auto" w:fill="auto"/>
          </w:tcPr>
          <w:p w:rsidR="009C13A9" w:rsidRPr="00C903F8" w:rsidRDefault="009C13A9" w:rsidP="009C13A9">
            <w:pPr>
              <w:spacing w:before="120" w:after="120" w:line="240" w:lineRule="atLeast"/>
              <w:ind w:left="0" w:firstLine="0"/>
              <w:rPr>
                <w:noProof/>
                <w:szCs w:val="20"/>
              </w:rPr>
            </w:pPr>
          </w:p>
        </w:tc>
        <w:tc>
          <w:tcPr>
            <w:tcW w:w="992" w:type="dxa"/>
            <w:shd w:val="clear" w:color="auto" w:fill="auto"/>
          </w:tcPr>
          <w:p w:rsidR="009C13A9" w:rsidRPr="00C903F8" w:rsidRDefault="009C13A9" w:rsidP="009C13A9">
            <w:pPr>
              <w:spacing w:before="120" w:after="120" w:line="240" w:lineRule="atLeast"/>
              <w:ind w:left="0" w:firstLine="0"/>
              <w:rPr>
                <w:noProof/>
                <w:szCs w:val="20"/>
              </w:rPr>
            </w:pPr>
          </w:p>
        </w:tc>
        <w:tc>
          <w:tcPr>
            <w:tcW w:w="873" w:type="dxa"/>
            <w:shd w:val="clear" w:color="auto" w:fill="auto"/>
          </w:tcPr>
          <w:p w:rsidR="009C13A9" w:rsidRPr="00C903F8" w:rsidRDefault="009C13A9" w:rsidP="009C13A9">
            <w:pPr>
              <w:spacing w:before="120" w:after="120" w:line="240" w:lineRule="atLeast"/>
              <w:ind w:left="0" w:firstLine="0"/>
              <w:rPr>
                <w:noProof/>
                <w:szCs w:val="20"/>
              </w:rPr>
            </w:pPr>
          </w:p>
        </w:tc>
        <w:tc>
          <w:tcPr>
            <w:tcW w:w="1258" w:type="dxa"/>
            <w:shd w:val="clear" w:color="auto" w:fill="auto"/>
          </w:tcPr>
          <w:p w:rsidR="009C13A9" w:rsidRPr="00C903F8" w:rsidRDefault="009C13A9" w:rsidP="009C13A9">
            <w:pPr>
              <w:spacing w:before="120" w:after="120" w:line="240" w:lineRule="atLeast"/>
              <w:ind w:left="0" w:firstLine="0"/>
              <w:rPr>
                <w:noProof/>
                <w:szCs w:val="20"/>
              </w:rPr>
            </w:pPr>
          </w:p>
        </w:tc>
        <w:tc>
          <w:tcPr>
            <w:tcW w:w="812" w:type="dxa"/>
            <w:shd w:val="clear" w:color="auto" w:fill="auto"/>
          </w:tcPr>
          <w:p w:rsidR="009C13A9" w:rsidRPr="00C903F8" w:rsidRDefault="009C13A9" w:rsidP="009C13A9">
            <w:pPr>
              <w:spacing w:before="120" w:after="120" w:line="240" w:lineRule="atLeast"/>
              <w:ind w:left="0" w:firstLine="0"/>
              <w:rPr>
                <w:noProof/>
                <w:szCs w:val="20"/>
              </w:rPr>
            </w:pPr>
          </w:p>
        </w:tc>
        <w:tc>
          <w:tcPr>
            <w:tcW w:w="1258" w:type="dxa"/>
            <w:shd w:val="clear" w:color="auto" w:fill="auto"/>
          </w:tcPr>
          <w:p w:rsidR="009C13A9" w:rsidRPr="00C903F8" w:rsidRDefault="009C13A9" w:rsidP="009C13A9">
            <w:pPr>
              <w:spacing w:before="120" w:after="120" w:line="240" w:lineRule="atLeast"/>
              <w:ind w:left="0" w:firstLine="0"/>
              <w:rPr>
                <w:noProof/>
                <w:szCs w:val="20"/>
              </w:rPr>
            </w:pPr>
          </w:p>
        </w:tc>
        <w:tc>
          <w:tcPr>
            <w:tcW w:w="812" w:type="dxa"/>
            <w:shd w:val="clear" w:color="auto" w:fill="auto"/>
          </w:tcPr>
          <w:p w:rsidR="009C13A9" w:rsidRPr="00C903F8" w:rsidRDefault="009C13A9" w:rsidP="009C13A9">
            <w:pPr>
              <w:spacing w:before="120" w:after="120" w:line="240" w:lineRule="atLeast"/>
              <w:ind w:left="0" w:firstLine="0"/>
              <w:rPr>
                <w:noProof/>
                <w:szCs w:val="20"/>
              </w:rPr>
            </w:pPr>
          </w:p>
        </w:tc>
      </w:tr>
      <w:tr w:rsidR="009C13A9" w:rsidRPr="00C903F8" w:rsidTr="009C13A9">
        <w:trPr>
          <w:gridAfter w:val="1"/>
          <w:wAfter w:w="12" w:type="dxa"/>
        </w:trPr>
        <w:tc>
          <w:tcPr>
            <w:tcW w:w="452" w:type="dxa"/>
            <w:shd w:val="clear" w:color="auto" w:fill="auto"/>
          </w:tcPr>
          <w:p w:rsidR="009C13A9" w:rsidRPr="00C903F8" w:rsidRDefault="009C13A9" w:rsidP="009C13A9">
            <w:pPr>
              <w:spacing w:before="120" w:after="120" w:line="240" w:lineRule="atLeast"/>
              <w:ind w:left="0" w:firstLine="0"/>
              <w:rPr>
                <w:noProof/>
                <w:szCs w:val="20"/>
              </w:rPr>
            </w:pPr>
          </w:p>
        </w:tc>
        <w:tc>
          <w:tcPr>
            <w:tcW w:w="923" w:type="dxa"/>
            <w:shd w:val="clear" w:color="auto" w:fill="auto"/>
          </w:tcPr>
          <w:p w:rsidR="009C13A9" w:rsidRPr="00C903F8" w:rsidRDefault="009C13A9" w:rsidP="009C13A9">
            <w:pPr>
              <w:spacing w:before="120" w:after="120" w:line="240" w:lineRule="atLeast"/>
              <w:ind w:left="0" w:firstLine="0"/>
              <w:rPr>
                <w:noProof/>
                <w:szCs w:val="20"/>
              </w:rPr>
            </w:pPr>
          </w:p>
        </w:tc>
        <w:tc>
          <w:tcPr>
            <w:tcW w:w="1001" w:type="dxa"/>
            <w:shd w:val="clear" w:color="auto" w:fill="auto"/>
          </w:tcPr>
          <w:p w:rsidR="009C13A9" w:rsidRPr="00C903F8" w:rsidRDefault="009C13A9" w:rsidP="009C13A9">
            <w:pPr>
              <w:spacing w:before="120" w:after="120" w:line="240" w:lineRule="atLeast"/>
              <w:ind w:left="0" w:firstLine="0"/>
              <w:rPr>
                <w:noProof/>
                <w:szCs w:val="20"/>
              </w:rPr>
            </w:pPr>
          </w:p>
        </w:tc>
        <w:tc>
          <w:tcPr>
            <w:tcW w:w="780" w:type="dxa"/>
            <w:shd w:val="clear" w:color="auto" w:fill="auto"/>
          </w:tcPr>
          <w:p w:rsidR="009C13A9" w:rsidRPr="00C903F8" w:rsidRDefault="009C13A9" w:rsidP="009C13A9">
            <w:pPr>
              <w:spacing w:before="120" w:after="120" w:line="240" w:lineRule="atLeast"/>
              <w:ind w:left="0" w:firstLine="0"/>
              <w:rPr>
                <w:noProof/>
                <w:szCs w:val="20"/>
              </w:rPr>
            </w:pPr>
          </w:p>
        </w:tc>
        <w:tc>
          <w:tcPr>
            <w:tcW w:w="2178" w:type="dxa"/>
            <w:shd w:val="clear" w:color="auto" w:fill="auto"/>
          </w:tcPr>
          <w:p w:rsidR="009C13A9" w:rsidRPr="00C903F8" w:rsidRDefault="009C13A9" w:rsidP="009C13A9">
            <w:pPr>
              <w:spacing w:before="120" w:after="120" w:line="240" w:lineRule="atLeast"/>
              <w:ind w:left="0" w:firstLine="0"/>
              <w:rPr>
                <w:noProof/>
                <w:szCs w:val="20"/>
              </w:rPr>
            </w:pPr>
          </w:p>
        </w:tc>
        <w:tc>
          <w:tcPr>
            <w:tcW w:w="1302" w:type="dxa"/>
            <w:shd w:val="clear" w:color="auto" w:fill="auto"/>
          </w:tcPr>
          <w:p w:rsidR="009C13A9" w:rsidRPr="00C903F8" w:rsidRDefault="009C13A9" w:rsidP="009C13A9">
            <w:pPr>
              <w:spacing w:before="120" w:after="120" w:line="240" w:lineRule="atLeast"/>
              <w:ind w:left="0" w:firstLine="0"/>
              <w:rPr>
                <w:noProof/>
                <w:szCs w:val="20"/>
              </w:rPr>
            </w:pPr>
          </w:p>
        </w:tc>
        <w:tc>
          <w:tcPr>
            <w:tcW w:w="1006" w:type="dxa"/>
            <w:shd w:val="clear" w:color="auto" w:fill="auto"/>
          </w:tcPr>
          <w:p w:rsidR="009C13A9" w:rsidRPr="00C903F8" w:rsidRDefault="009C13A9" w:rsidP="009C13A9">
            <w:pPr>
              <w:spacing w:before="120" w:after="120" w:line="240" w:lineRule="atLeast"/>
              <w:ind w:left="0" w:firstLine="0"/>
              <w:rPr>
                <w:noProof/>
                <w:szCs w:val="20"/>
              </w:rPr>
            </w:pPr>
          </w:p>
        </w:tc>
        <w:tc>
          <w:tcPr>
            <w:tcW w:w="546" w:type="dxa"/>
            <w:shd w:val="clear" w:color="auto" w:fill="auto"/>
          </w:tcPr>
          <w:p w:rsidR="009C13A9" w:rsidRPr="00C903F8" w:rsidRDefault="009C13A9" w:rsidP="009C13A9">
            <w:pPr>
              <w:spacing w:before="120" w:after="120" w:line="240" w:lineRule="atLeast"/>
              <w:ind w:left="0" w:firstLine="0"/>
              <w:rPr>
                <w:noProof/>
                <w:szCs w:val="20"/>
              </w:rPr>
            </w:pPr>
          </w:p>
        </w:tc>
        <w:tc>
          <w:tcPr>
            <w:tcW w:w="567" w:type="dxa"/>
            <w:shd w:val="clear" w:color="auto" w:fill="auto"/>
          </w:tcPr>
          <w:p w:rsidR="009C13A9" w:rsidRPr="00C903F8" w:rsidRDefault="009C13A9" w:rsidP="009C13A9">
            <w:pPr>
              <w:spacing w:before="120" w:after="120" w:line="240" w:lineRule="atLeast"/>
              <w:ind w:left="0" w:firstLine="0"/>
              <w:rPr>
                <w:noProof/>
                <w:szCs w:val="20"/>
              </w:rPr>
            </w:pPr>
          </w:p>
        </w:tc>
        <w:tc>
          <w:tcPr>
            <w:tcW w:w="992" w:type="dxa"/>
            <w:shd w:val="clear" w:color="auto" w:fill="auto"/>
          </w:tcPr>
          <w:p w:rsidR="009C13A9" w:rsidRPr="00C903F8" w:rsidRDefault="009C13A9" w:rsidP="009C13A9">
            <w:pPr>
              <w:spacing w:before="120" w:after="120" w:line="240" w:lineRule="atLeast"/>
              <w:ind w:left="0" w:firstLine="0"/>
              <w:rPr>
                <w:noProof/>
                <w:szCs w:val="20"/>
              </w:rPr>
            </w:pPr>
          </w:p>
        </w:tc>
        <w:tc>
          <w:tcPr>
            <w:tcW w:w="873" w:type="dxa"/>
            <w:shd w:val="clear" w:color="auto" w:fill="auto"/>
          </w:tcPr>
          <w:p w:rsidR="009C13A9" w:rsidRPr="00C903F8" w:rsidRDefault="009C13A9" w:rsidP="009C13A9">
            <w:pPr>
              <w:spacing w:before="120" w:after="120" w:line="240" w:lineRule="atLeast"/>
              <w:ind w:left="0" w:firstLine="0"/>
              <w:rPr>
                <w:noProof/>
                <w:szCs w:val="20"/>
              </w:rPr>
            </w:pPr>
          </w:p>
        </w:tc>
        <w:tc>
          <w:tcPr>
            <w:tcW w:w="1258" w:type="dxa"/>
            <w:shd w:val="clear" w:color="auto" w:fill="auto"/>
          </w:tcPr>
          <w:p w:rsidR="009C13A9" w:rsidRPr="00C903F8" w:rsidRDefault="009C13A9" w:rsidP="009C13A9">
            <w:pPr>
              <w:spacing w:before="120" w:after="120" w:line="240" w:lineRule="atLeast"/>
              <w:ind w:left="0" w:firstLine="0"/>
              <w:rPr>
                <w:noProof/>
                <w:szCs w:val="20"/>
              </w:rPr>
            </w:pPr>
          </w:p>
        </w:tc>
        <w:tc>
          <w:tcPr>
            <w:tcW w:w="812" w:type="dxa"/>
            <w:shd w:val="clear" w:color="auto" w:fill="auto"/>
          </w:tcPr>
          <w:p w:rsidR="009C13A9" w:rsidRPr="00C903F8" w:rsidRDefault="009C13A9" w:rsidP="009C13A9">
            <w:pPr>
              <w:spacing w:before="120" w:after="120" w:line="240" w:lineRule="atLeast"/>
              <w:ind w:left="0" w:firstLine="0"/>
              <w:rPr>
                <w:noProof/>
                <w:szCs w:val="20"/>
              </w:rPr>
            </w:pPr>
          </w:p>
        </w:tc>
        <w:tc>
          <w:tcPr>
            <w:tcW w:w="1258" w:type="dxa"/>
            <w:shd w:val="clear" w:color="auto" w:fill="auto"/>
          </w:tcPr>
          <w:p w:rsidR="009C13A9" w:rsidRPr="00C903F8" w:rsidRDefault="009C13A9" w:rsidP="009C13A9">
            <w:pPr>
              <w:spacing w:before="120" w:after="120" w:line="240" w:lineRule="atLeast"/>
              <w:ind w:left="0" w:firstLine="0"/>
              <w:rPr>
                <w:noProof/>
                <w:szCs w:val="20"/>
              </w:rPr>
            </w:pPr>
          </w:p>
        </w:tc>
        <w:tc>
          <w:tcPr>
            <w:tcW w:w="812" w:type="dxa"/>
            <w:shd w:val="clear" w:color="auto" w:fill="auto"/>
          </w:tcPr>
          <w:p w:rsidR="009C13A9" w:rsidRPr="00C903F8" w:rsidRDefault="009C13A9" w:rsidP="009C13A9">
            <w:pPr>
              <w:spacing w:before="120" w:after="120" w:line="240" w:lineRule="atLeast"/>
              <w:ind w:left="0" w:firstLine="0"/>
              <w:rPr>
                <w:noProof/>
                <w:szCs w:val="20"/>
              </w:rPr>
            </w:pPr>
          </w:p>
        </w:tc>
      </w:tr>
      <w:tr w:rsidR="009C13A9" w:rsidRPr="00C903F8" w:rsidTr="009C13A9">
        <w:trPr>
          <w:gridAfter w:val="1"/>
          <w:wAfter w:w="12" w:type="dxa"/>
        </w:trPr>
        <w:tc>
          <w:tcPr>
            <w:tcW w:w="452" w:type="dxa"/>
            <w:shd w:val="clear" w:color="auto" w:fill="auto"/>
          </w:tcPr>
          <w:p w:rsidR="009C13A9" w:rsidRPr="00C903F8" w:rsidRDefault="009C13A9" w:rsidP="009C13A9">
            <w:pPr>
              <w:spacing w:before="120" w:after="120" w:line="240" w:lineRule="atLeast"/>
              <w:ind w:left="0" w:firstLine="0"/>
              <w:rPr>
                <w:noProof/>
                <w:szCs w:val="20"/>
              </w:rPr>
            </w:pPr>
          </w:p>
        </w:tc>
        <w:tc>
          <w:tcPr>
            <w:tcW w:w="923" w:type="dxa"/>
            <w:shd w:val="clear" w:color="auto" w:fill="auto"/>
          </w:tcPr>
          <w:p w:rsidR="009C13A9" w:rsidRPr="00C903F8" w:rsidRDefault="009C13A9" w:rsidP="009C13A9">
            <w:pPr>
              <w:spacing w:before="120" w:after="120" w:line="240" w:lineRule="atLeast"/>
              <w:ind w:left="0" w:firstLine="0"/>
              <w:rPr>
                <w:noProof/>
                <w:szCs w:val="20"/>
              </w:rPr>
            </w:pPr>
          </w:p>
        </w:tc>
        <w:tc>
          <w:tcPr>
            <w:tcW w:w="1001" w:type="dxa"/>
            <w:shd w:val="clear" w:color="auto" w:fill="auto"/>
          </w:tcPr>
          <w:p w:rsidR="009C13A9" w:rsidRPr="00C903F8" w:rsidRDefault="009C13A9" w:rsidP="009C13A9">
            <w:pPr>
              <w:spacing w:before="120" w:after="120" w:line="240" w:lineRule="atLeast"/>
              <w:ind w:left="0" w:firstLine="0"/>
              <w:rPr>
                <w:noProof/>
                <w:szCs w:val="20"/>
              </w:rPr>
            </w:pPr>
          </w:p>
        </w:tc>
        <w:tc>
          <w:tcPr>
            <w:tcW w:w="780" w:type="dxa"/>
            <w:shd w:val="clear" w:color="auto" w:fill="auto"/>
          </w:tcPr>
          <w:p w:rsidR="009C13A9" w:rsidRPr="00C903F8" w:rsidRDefault="009C13A9" w:rsidP="009C13A9">
            <w:pPr>
              <w:spacing w:before="120" w:after="120" w:line="240" w:lineRule="atLeast"/>
              <w:ind w:left="0" w:firstLine="0"/>
              <w:rPr>
                <w:noProof/>
                <w:szCs w:val="20"/>
              </w:rPr>
            </w:pPr>
          </w:p>
        </w:tc>
        <w:tc>
          <w:tcPr>
            <w:tcW w:w="2178" w:type="dxa"/>
            <w:shd w:val="clear" w:color="auto" w:fill="auto"/>
          </w:tcPr>
          <w:p w:rsidR="009C13A9" w:rsidRPr="00C903F8" w:rsidRDefault="009C13A9" w:rsidP="009C13A9">
            <w:pPr>
              <w:spacing w:before="120" w:after="120" w:line="240" w:lineRule="atLeast"/>
              <w:ind w:left="0" w:firstLine="0"/>
              <w:rPr>
                <w:noProof/>
                <w:szCs w:val="20"/>
              </w:rPr>
            </w:pPr>
          </w:p>
        </w:tc>
        <w:tc>
          <w:tcPr>
            <w:tcW w:w="1302" w:type="dxa"/>
            <w:shd w:val="clear" w:color="auto" w:fill="auto"/>
          </w:tcPr>
          <w:p w:rsidR="009C13A9" w:rsidRPr="00C903F8" w:rsidRDefault="009C13A9" w:rsidP="009C13A9">
            <w:pPr>
              <w:spacing w:before="120" w:after="120" w:line="240" w:lineRule="atLeast"/>
              <w:ind w:left="0" w:firstLine="0"/>
              <w:rPr>
                <w:noProof/>
                <w:szCs w:val="20"/>
              </w:rPr>
            </w:pPr>
          </w:p>
        </w:tc>
        <w:tc>
          <w:tcPr>
            <w:tcW w:w="1006" w:type="dxa"/>
            <w:shd w:val="clear" w:color="auto" w:fill="auto"/>
          </w:tcPr>
          <w:p w:rsidR="009C13A9" w:rsidRPr="00C903F8" w:rsidRDefault="009C13A9" w:rsidP="009C13A9">
            <w:pPr>
              <w:spacing w:before="120" w:after="120" w:line="240" w:lineRule="atLeast"/>
              <w:ind w:left="0" w:firstLine="0"/>
              <w:rPr>
                <w:noProof/>
                <w:szCs w:val="20"/>
              </w:rPr>
            </w:pPr>
          </w:p>
        </w:tc>
        <w:tc>
          <w:tcPr>
            <w:tcW w:w="546" w:type="dxa"/>
            <w:shd w:val="clear" w:color="auto" w:fill="auto"/>
          </w:tcPr>
          <w:p w:rsidR="009C13A9" w:rsidRPr="00C903F8" w:rsidRDefault="009C13A9" w:rsidP="009C13A9">
            <w:pPr>
              <w:spacing w:before="120" w:after="120" w:line="240" w:lineRule="atLeast"/>
              <w:ind w:left="0" w:firstLine="0"/>
              <w:rPr>
                <w:noProof/>
                <w:szCs w:val="20"/>
              </w:rPr>
            </w:pPr>
          </w:p>
        </w:tc>
        <w:tc>
          <w:tcPr>
            <w:tcW w:w="567" w:type="dxa"/>
            <w:shd w:val="clear" w:color="auto" w:fill="auto"/>
          </w:tcPr>
          <w:p w:rsidR="009C13A9" w:rsidRPr="00C903F8" w:rsidRDefault="009C13A9" w:rsidP="009C13A9">
            <w:pPr>
              <w:spacing w:before="120" w:after="120" w:line="240" w:lineRule="atLeast"/>
              <w:ind w:left="0" w:firstLine="0"/>
              <w:rPr>
                <w:noProof/>
                <w:szCs w:val="20"/>
              </w:rPr>
            </w:pPr>
          </w:p>
        </w:tc>
        <w:tc>
          <w:tcPr>
            <w:tcW w:w="992" w:type="dxa"/>
            <w:shd w:val="clear" w:color="auto" w:fill="auto"/>
          </w:tcPr>
          <w:p w:rsidR="009C13A9" w:rsidRPr="00C903F8" w:rsidRDefault="009C13A9" w:rsidP="009C13A9">
            <w:pPr>
              <w:spacing w:before="120" w:after="120" w:line="240" w:lineRule="atLeast"/>
              <w:ind w:left="0" w:firstLine="0"/>
              <w:rPr>
                <w:noProof/>
                <w:szCs w:val="20"/>
              </w:rPr>
            </w:pPr>
          </w:p>
        </w:tc>
        <w:tc>
          <w:tcPr>
            <w:tcW w:w="873" w:type="dxa"/>
            <w:shd w:val="clear" w:color="auto" w:fill="auto"/>
          </w:tcPr>
          <w:p w:rsidR="009C13A9" w:rsidRPr="00C903F8" w:rsidRDefault="009C13A9" w:rsidP="009C13A9">
            <w:pPr>
              <w:spacing w:before="120" w:after="120" w:line="240" w:lineRule="atLeast"/>
              <w:ind w:left="0" w:firstLine="0"/>
              <w:rPr>
                <w:noProof/>
                <w:szCs w:val="20"/>
              </w:rPr>
            </w:pPr>
          </w:p>
        </w:tc>
        <w:tc>
          <w:tcPr>
            <w:tcW w:w="1258" w:type="dxa"/>
            <w:shd w:val="clear" w:color="auto" w:fill="auto"/>
          </w:tcPr>
          <w:p w:rsidR="009C13A9" w:rsidRPr="00C903F8" w:rsidRDefault="009C13A9" w:rsidP="009C13A9">
            <w:pPr>
              <w:spacing w:before="120" w:after="120" w:line="240" w:lineRule="atLeast"/>
              <w:ind w:left="0" w:firstLine="0"/>
              <w:rPr>
                <w:noProof/>
                <w:szCs w:val="20"/>
              </w:rPr>
            </w:pPr>
          </w:p>
        </w:tc>
        <w:tc>
          <w:tcPr>
            <w:tcW w:w="812" w:type="dxa"/>
            <w:shd w:val="clear" w:color="auto" w:fill="auto"/>
          </w:tcPr>
          <w:p w:rsidR="009C13A9" w:rsidRPr="00C903F8" w:rsidRDefault="009C13A9" w:rsidP="009C13A9">
            <w:pPr>
              <w:spacing w:before="120" w:after="120" w:line="240" w:lineRule="atLeast"/>
              <w:ind w:left="0" w:firstLine="0"/>
              <w:rPr>
                <w:noProof/>
                <w:szCs w:val="20"/>
              </w:rPr>
            </w:pPr>
          </w:p>
        </w:tc>
        <w:tc>
          <w:tcPr>
            <w:tcW w:w="1258" w:type="dxa"/>
            <w:shd w:val="clear" w:color="auto" w:fill="auto"/>
          </w:tcPr>
          <w:p w:rsidR="009C13A9" w:rsidRPr="00C903F8" w:rsidRDefault="009C13A9" w:rsidP="009C13A9">
            <w:pPr>
              <w:spacing w:before="120" w:after="120" w:line="240" w:lineRule="atLeast"/>
              <w:ind w:left="0" w:firstLine="0"/>
              <w:rPr>
                <w:noProof/>
                <w:szCs w:val="20"/>
              </w:rPr>
            </w:pPr>
          </w:p>
        </w:tc>
        <w:tc>
          <w:tcPr>
            <w:tcW w:w="812" w:type="dxa"/>
            <w:shd w:val="clear" w:color="auto" w:fill="auto"/>
          </w:tcPr>
          <w:p w:rsidR="009C13A9" w:rsidRPr="00C903F8" w:rsidRDefault="009C13A9" w:rsidP="009C13A9">
            <w:pPr>
              <w:spacing w:before="120" w:after="120" w:line="240" w:lineRule="atLeast"/>
              <w:ind w:left="0" w:firstLine="0"/>
              <w:rPr>
                <w:noProof/>
                <w:szCs w:val="20"/>
              </w:rPr>
            </w:pPr>
          </w:p>
        </w:tc>
      </w:tr>
    </w:tbl>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br w:type="page"/>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p>
    <w:p w:rsidR="009C13A9" w:rsidRPr="00C903F8" w:rsidRDefault="009C13A9" w:rsidP="009C13A9">
      <w:pPr>
        <w:suppressAutoHyphens/>
        <w:autoSpaceDE/>
        <w:autoSpaceDN/>
        <w:ind w:left="0" w:firstLine="0"/>
        <w:jc w:val="left"/>
        <w:rPr>
          <w:rFonts w:cs="Arial"/>
          <w:sz w:val="24"/>
        </w:rPr>
        <w:sectPr w:rsidR="009C13A9" w:rsidRPr="00C903F8" w:rsidSect="009C13A9">
          <w:headerReference w:type="even" r:id="rId87"/>
          <w:headerReference w:type="default" r:id="rId88"/>
          <w:footerReference w:type="even" r:id="rId89"/>
          <w:footerReference w:type="default" r:id="rId90"/>
          <w:headerReference w:type="first" r:id="rId91"/>
          <w:footerReference w:type="first" r:id="rId92"/>
          <w:footnotePr>
            <w:numRestart w:val="eachPage"/>
          </w:footnotePr>
          <w:pgSz w:w="16840" w:h="11907" w:orient="landscape" w:code="9"/>
          <w:pgMar w:top="1418" w:right="1418" w:bottom="1418" w:left="1418" w:header="680" w:footer="680" w:gutter="0"/>
          <w:cols w:space="720"/>
          <w:docGrid w:linePitch="360"/>
        </w:sectPr>
      </w:pPr>
    </w:p>
    <w:p w:rsidR="009C13A9" w:rsidRPr="00C903F8" w:rsidRDefault="009C13A9" w:rsidP="009C13A9">
      <w:pPr>
        <w:suppressAutoHyphens/>
        <w:autoSpaceDE/>
        <w:autoSpaceDN/>
        <w:spacing w:line="240" w:lineRule="atLeast"/>
        <w:ind w:left="0" w:firstLine="0"/>
        <w:jc w:val="center"/>
        <w:rPr>
          <w:rFonts w:cs="Arial"/>
          <w:b/>
          <w:sz w:val="22"/>
        </w:rPr>
      </w:pPr>
    </w:p>
    <w:p w:rsidR="009C13A9" w:rsidRPr="008F19E2" w:rsidRDefault="00925755" w:rsidP="00390107">
      <w:pPr>
        <w:pStyle w:val="ES-Titre3"/>
        <w:rPr>
          <w:noProof/>
        </w:rPr>
      </w:pPr>
      <w:bookmarkStart w:id="710" w:name="_Toc491854338"/>
      <w:bookmarkStart w:id="711" w:name="_Toc535500287"/>
      <w:r>
        <w:t>Sezione VIII</w:t>
      </w:r>
      <w:bookmarkEnd w:id="710"/>
      <w:bookmarkEnd w:id="711"/>
    </w:p>
    <w:p w:rsidR="009C13A9" w:rsidRPr="00C903F8" w:rsidRDefault="009C13A9" w:rsidP="00390107">
      <w:pPr>
        <w:pStyle w:val="ES-Titre3a"/>
        <w:rPr>
          <w:noProof/>
        </w:rPr>
      </w:pPr>
      <w:bookmarkStart w:id="712" w:name="_Toc491854339"/>
      <w:bookmarkStart w:id="713" w:name="_Toc535500288"/>
      <w:r>
        <w:t>Registrazione dei parametri dell’impianto di depurazione di bordo ai fini del controllo speciale</w:t>
      </w:r>
      <w:bookmarkEnd w:id="712"/>
      <w:bookmarkEnd w:id="713"/>
    </w:p>
    <w:p w:rsidR="009C13A9" w:rsidRPr="00C903F8" w:rsidRDefault="009C13A9" w:rsidP="009C13A9">
      <w:pPr>
        <w:overflowPunct w:val="0"/>
        <w:adjustRightInd w:val="0"/>
        <w:spacing w:line="240" w:lineRule="exact"/>
        <w:ind w:left="0" w:firstLine="0"/>
        <w:jc w:val="center"/>
        <w:textAlignment w:val="baseline"/>
        <w:rPr>
          <w:rFonts w:eastAsia="Calibri" w:cs="Arial"/>
          <w:sz w:val="16"/>
          <w:szCs w:val="22"/>
        </w:rPr>
      </w:pPr>
      <w:r>
        <w:t>(Modello)</w:t>
      </w:r>
    </w:p>
    <w:p w:rsidR="009C13A9" w:rsidRPr="00C903F8" w:rsidRDefault="009C13A9" w:rsidP="009C13A9">
      <w:pPr>
        <w:suppressAutoHyphens/>
        <w:autoSpaceDE/>
        <w:autoSpaceDN/>
        <w:spacing w:line="240" w:lineRule="atLeast"/>
        <w:ind w:left="0" w:firstLine="0"/>
        <w:jc w:val="left"/>
        <w:rPr>
          <w:rFonts w:cs="Arial"/>
          <w:szCs w:val="20"/>
        </w:rPr>
      </w:pPr>
    </w:p>
    <w:p w:rsidR="009C13A9" w:rsidRPr="00C903F8" w:rsidRDefault="009C13A9" w:rsidP="009C13A9">
      <w:pPr>
        <w:ind w:left="709" w:hanging="709"/>
        <w:outlineLvl w:val="0"/>
        <w:rPr>
          <w:rFonts w:cs="Arial"/>
          <w:b/>
          <w:bCs/>
          <w:noProof/>
          <w:szCs w:val="20"/>
        </w:rPr>
      </w:pPr>
      <w:r>
        <w:rPr>
          <w:b/>
          <w:noProof/>
        </w:rPr>
        <w:t>1.</w:t>
      </w:r>
      <w:r>
        <w:tab/>
      </w:r>
      <w:r>
        <w:rPr>
          <w:b/>
          <w:noProof/>
        </w:rPr>
        <w:t>Aspetti generali</w:t>
      </w:r>
    </w:p>
    <w:p w:rsidR="009C13A9" w:rsidRPr="00C903F8" w:rsidRDefault="009C13A9" w:rsidP="009C13A9">
      <w:pPr>
        <w:spacing w:before="60" w:line="240" w:lineRule="atLeast"/>
        <w:ind w:left="709" w:hanging="709"/>
        <w:rPr>
          <w:rFonts w:cs="Arial"/>
          <w:noProof/>
          <w:szCs w:val="20"/>
        </w:rPr>
      </w:pPr>
      <w:r>
        <w:t>1.1</w:t>
      </w:r>
      <w:r>
        <w:tab/>
        <w:t xml:space="preserve">Caratteristiche particolari dell’impianto di depurazione di bordo </w:t>
      </w:r>
    </w:p>
    <w:p w:rsidR="009C13A9" w:rsidRPr="00C903F8" w:rsidRDefault="009C13A9" w:rsidP="009C13A9">
      <w:pPr>
        <w:tabs>
          <w:tab w:val="left" w:leader="dot" w:pos="9072"/>
        </w:tabs>
        <w:spacing w:before="60" w:line="240" w:lineRule="atLeast"/>
        <w:ind w:left="709" w:hanging="709"/>
        <w:rPr>
          <w:rFonts w:cs="Arial"/>
          <w:noProof/>
          <w:szCs w:val="20"/>
        </w:rPr>
      </w:pPr>
      <w:r>
        <w:t>1.1.1</w:t>
      </w:r>
      <w:r>
        <w:tab/>
        <w:t xml:space="preserve">Marca: </w:t>
      </w:r>
      <w:r>
        <w:tab/>
      </w:r>
    </w:p>
    <w:p w:rsidR="009C13A9" w:rsidRPr="00C903F8" w:rsidRDefault="009C13A9" w:rsidP="009C13A9">
      <w:pPr>
        <w:tabs>
          <w:tab w:val="left" w:leader="dot" w:pos="9072"/>
        </w:tabs>
        <w:spacing w:before="60" w:line="240" w:lineRule="atLeast"/>
        <w:ind w:left="709" w:hanging="709"/>
        <w:jc w:val="left"/>
        <w:rPr>
          <w:rFonts w:cs="Arial"/>
          <w:noProof/>
          <w:szCs w:val="20"/>
        </w:rPr>
      </w:pPr>
      <w:r>
        <w:t>1.1.2</w:t>
      </w:r>
      <w:r>
        <w:tab/>
        <w:t xml:space="preserve">Designazione del costruttore: </w:t>
      </w:r>
      <w:r>
        <w:tab/>
      </w:r>
    </w:p>
    <w:p w:rsidR="009C13A9" w:rsidRPr="00C903F8" w:rsidRDefault="009C13A9" w:rsidP="009C13A9">
      <w:pPr>
        <w:tabs>
          <w:tab w:val="left" w:leader="dot" w:pos="9072"/>
        </w:tabs>
        <w:spacing w:before="60" w:line="240" w:lineRule="atLeast"/>
        <w:ind w:left="709" w:firstLine="0"/>
        <w:rPr>
          <w:rFonts w:cs="Arial"/>
          <w:noProof/>
          <w:szCs w:val="20"/>
        </w:rPr>
      </w:pPr>
      <w:r>
        <w:tab/>
      </w:r>
    </w:p>
    <w:p w:rsidR="009C13A9" w:rsidRPr="00C903F8" w:rsidRDefault="009C13A9" w:rsidP="009C13A9">
      <w:pPr>
        <w:tabs>
          <w:tab w:val="left" w:leader="dot" w:pos="9072"/>
        </w:tabs>
        <w:spacing w:before="60" w:line="240" w:lineRule="atLeast"/>
        <w:ind w:left="709" w:hanging="709"/>
        <w:rPr>
          <w:rFonts w:cs="Arial"/>
          <w:noProof/>
          <w:szCs w:val="20"/>
        </w:rPr>
      </w:pPr>
      <w:r>
        <w:t>1.1.3</w:t>
      </w:r>
      <w:r>
        <w:tab/>
        <w:t xml:space="preserve">Numero di omologazione: </w:t>
      </w:r>
      <w:r>
        <w:tab/>
      </w:r>
    </w:p>
    <w:p w:rsidR="009C13A9" w:rsidRPr="00C903F8" w:rsidRDefault="009C13A9" w:rsidP="009C13A9">
      <w:pPr>
        <w:tabs>
          <w:tab w:val="left" w:leader="dot" w:pos="9072"/>
        </w:tabs>
        <w:spacing w:before="60" w:line="240" w:lineRule="atLeast"/>
        <w:ind w:left="709" w:hanging="709"/>
        <w:jc w:val="left"/>
        <w:rPr>
          <w:rFonts w:cs="Arial"/>
          <w:noProof/>
          <w:szCs w:val="20"/>
        </w:rPr>
      </w:pPr>
      <w:r>
        <w:t>1.1.4</w:t>
      </w:r>
      <w:r>
        <w:tab/>
        <w:t xml:space="preserve">Numero di serie dell’impianto di depurazione di bordo: </w:t>
      </w:r>
      <w:r>
        <w:tab/>
      </w:r>
    </w:p>
    <w:p w:rsidR="009C13A9" w:rsidRPr="00C903F8" w:rsidRDefault="009C13A9" w:rsidP="009C13A9">
      <w:pPr>
        <w:tabs>
          <w:tab w:val="left" w:leader="dot" w:pos="9072"/>
        </w:tabs>
        <w:spacing w:before="60" w:line="240" w:lineRule="atLeast"/>
        <w:ind w:left="709" w:firstLine="0"/>
        <w:rPr>
          <w:rFonts w:cs="Arial"/>
          <w:noProof/>
          <w:szCs w:val="20"/>
        </w:rPr>
      </w:pPr>
      <w:r>
        <w:tab/>
      </w:r>
    </w:p>
    <w:p w:rsidR="009C13A9" w:rsidRPr="00C903F8" w:rsidRDefault="009C13A9" w:rsidP="009C13A9">
      <w:pPr>
        <w:ind w:left="709" w:hanging="709"/>
        <w:rPr>
          <w:rFonts w:cs="Arial"/>
          <w:noProof/>
          <w:szCs w:val="20"/>
        </w:rPr>
      </w:pPr>
    </w:p>
    <w:p w:rsidR="009C13A9" w:rsidRPr="00C903F8" w:rsidRDefault="009C13A9" w:rsidP="009C13A9">
      <w:pPr>
        <w:ind w:left="709" w:hanging="709"/>
        <w:rPr>
          <w:rFonts w:cs="Arial"/>
          <w:noProof/>
          <w:szCs w:val="20"/>
        </w:rPr>
      </w:pPr>
      <w:r>
        <w:t>1.2</w:t>
      </w:r>
      <w:r>
        <w:tab/>
        <w:t>Documentazione</w:t>
      </w:r>
    </w:p>
    <w:p w:rsidR="009C13A9" w:rsidRPr="00C903F8" w:rsidRDefault="009C13A9" w:rsidP="009C13A9">
      <w:pPr>
        <w:ind w:left="709" w:hanging="709"/>
        <w:rPr>
          <w:rFonts w:cs="Arial"/>
          <w:noProof/>
          <w:szCs w:val="20"/>
        </w:rPr>
      </w:pPr>
    </w:p>
    <w:p w:rsidR="009C13A9" w:rsidRPr="00C903F8" w:rsidRDefault="009C13A9" w:rsidP="009C13A9">
      <w:pPr>
        <w:ind w:left="709" w:firstLine="0"/>
        <w:rPr>
          <w:rFonts w:cs="Arial"/>
          <w:noProof/>
          <w:szCs w:val="20"/>
        </w:rPr>
      </w:pPr>
      <w:r>
        <w:t>L’impianto di depurazione di bordo è sottoposto a prova e i risultati della prova sono registrati in fogli separati, numerati individualmente, firmati dall’ispettore e allegati alla registrazione.</w:t>
      </w:r>
    </w:p>
    <w:p w:rsidR="009C13A9" w:rsidRPr="00C903F8" w:rsidRDefault="009C13A9" w:rsidP="009C13A9">
      <w:pPr>
        <w:ind w:left="709" w:hanging="709"/>
        <w:rPr>
          <w:rFonts w:cs="Arial"/>
          <w:noProof/>
          <w:szCs w:val="20"/>
        </w:rPr>
      </w:pPr>
    </w:p>
    <w:p w:rsidR="009C13A9" w:rsidRPr="00C903F8" w:rsidRDefault="009C13A9" w:rsidP="009C13A9">
      <w:pPr>
        <w:ind w:left="709" w:hanging="709"/>
        <w:rPr>
          <w:rFonts w:cs="Arial"/>
          <w:noProof/>
          <w:szCs w:val="20"/>
        </w:rPr>
      </w:pPr>
      <w:r>
        <w:t>1.3</w:t>
      </w:r>
      <w:r>
        <w:tab/>
        <w:t>Prove</w:t>
      </w:r>
    </w:p>
    <w:p w:rsidR="009C13A9" w:rsidRPr="00C903F8" w:rsidRDefault="009C13A9" w:rsidP="009C13A9">
      <w:pPr>
        <w:ind w:left="709" w:hanging="709"/>
        <w:rPr>
          <w:rFonts w:cs="Arial"/>
          <w:noProof/>
          <w:szCs w:val="20"/>
        </w:rPr>
      </w:pPr>
    </w:p>
    <w:p w:rsidR="009C13A9" w:rsidRPr="00C903F8" w:rsidRDefault="009C13A9" w:rsidP="009C13A9">
      <w:pPr>
        <w:ind w:left="709" w:firstLine="0"/>
        <w:rPr>
          <w:rFonts w:cs="Arial"/>
          <w:noProof/>
          <w:szCs w:val="20"/>
        </w:rPr>
      </w:pPr>
      <w:r>
        <w:t>Le prove sono effettuate sulla base della guida del costruttore per il controllo dei componenti e dei parametri dell'impianto di depurazione di bordo relativi al trattamento delle acque reflue conformemente all'articolo 1.01, paragrafo 9, punto 10. In casi singoli motivati gli ispettori possono, a propria discrezione, sollevare dall’obbligo di verificare determinati parametri o componenti dell’impianto.</w:t>
      </w:r>
    </w:p>
    <w:p w:rsidR="009C13A9" w:rsidRPr="00C903F8" w:rsidRDefault="009C13A9" w:rsidP="009C13A9">
      <w:pPr>
        <w:ind w:left="709" w:hanging="709"/>
        <w:rPr>
          <w:rFonts w:cs="Arial"/>
          <w:noProof/>
          <w:szCs w:val="20"/>
        </w:rPr>
      </w:pPr>
    </w:p>
    <w:p w:rsidR="009C13A9" w:rsidRPr="00C903F8" w:rsidRDefault="009C13A9" w:rsidP="009C13A9">
      <w:pPr>
        <w:ind w:left="709" w:firstLine="0"/>
        <w:rPr>
          <w:rFonts w:cs="Arial"/>
          <w:noProof/>
          <w:szCs w:val="20"/>
        </w:rPr>
      </w:pPr>
      <w:r>
        <w:t>Nel corso della prova deve essere prelevato almeno un campione scelto a caso. I risultati della misurazione del campione scelto a caso sono confrontati con i valori di controllo di cui alla tabella 2 dell'articolo 18.01, paragrafo 2.</w:t>
      </w:r>
    </w:p>
    <w:p w:rsidR="009C13A9" w:rsidRPr="00C903F8" w:rsidRDefault="009C13A9" w:rsidP="009C13A9">
      <w:pPr>
        <w:ind w:left="709" w:hanging="709"/>
        <w:rPr>
          <w:rFonts w:cs="Arial"/>
          <w:noProof/>
          <w:szCs w:val="20"/>
        </w:rPr>
      </w:pPr>
    </w:p>
    <w:p w:rsidR="009C13A9" w:rsidRPr="00C903F8" w:rsidRDefault="009C13A9" w:rsidP="009C13A9">
      <w:pPr>
        <w:ind w:left="709" w:hanging="709"/>
        <w:rPr>
          <w:rFonts w:cs="Arial"/>
          <w:noProof/>
          <w:szCs w:val="20"/>
        </w:rPr>
      </w:pPr>
      <w:r>
        <w:t>1.4</w:t>
      </w:r>
      <w:r>
        <w:tab/>
        <w:t>Il verbale di prova e le registrazioni allegate comportano un totale di ……</w:t>
      </w:r>
      <w:r>
        <w:rPr>
          <w:noProof/>
          <w:vertAlign w:val="superscript"/>
        </w:rPr>
        <w:footnoteReference w:id="72"/>
      </w:r>
      <w:r>
        <w:t>.. pagine.</w:t>
      </w:r>
    </w:p>
    <w:p w:rsidR="009C13A9" w:rsidRPr="00C903F8" w:rsidRDefault="009C13A9" w:rsidP="009C13A9">
      <w:pPr>
        <w:ind w:left="709" w:hanging="709"/>
        <w:jc w:val="left"/>
        <w:rPr>
          <w:rFonts w:cs="Arial"/>
          <w:b/>
          <w:bCs/>
          <w:noProof/>
          <w:szCs w:val="20"/>
        </w:rPr>
      </w:pPr>
    </w:p>
    <w:p w:rsidR="009C13A9" w:rsidRPr="00C903F8" w:rsidRDefault="009C13A9" w:rsidP="009C13A9">
      <w:pPr>
        <w:ind w:left="709" w:hanging="709"/>
        <w:jc w:val="left"/>
        <w:rPr>
          <w:rFonts w:cs="Arial"/>
          <w:b/>
          <w:bCs/>
          <w:noProof/>
          <w:szCs w:val="20"/>
        </w:rPr>
      </w:pPr>
      <w:r>
        <w:rPr>
          <w:b/>
          <w:noProof/>
        </w:rPr>
        <w:t>2.</w:t>
      </w:r>
      <w:r>
        <w:tab/>
      </w:r>
      <w:r>
        <w:rPr>
          <w:b/>
          <w:noProof/>
        </w:rPr>
        <w:t>Parametri</w:t>
      </w:r>
    </w:p>
    <w:p w:rsidR="009C13A9" w:rsidRPr="00C903F8" w:rsidRDefault="009C13A9" w:rsidP="009C13A9">
      <w:pPr>
        <w:ind w:left="709" w:hanging="709"/>
        <w:rPr>
          <w:rFonts w:cs="Arial"/>
          <w:noProof/>
          <w:szCs w:val="20"/>
        </w:rPr>
      </w:pPr>
    </w:p>
    <w:p w:rsidR="009C13A9" w:rsidRPr="00C903F8" w:rsidRDefault="009C13A9" w:rsidP="009C13A9">
      <w:pPr>
        <w:ind w:left="709" w:firstLine="0"/>
        <w:rPr>
          <w:rFonts w:cs="Arial"/>
          <w:noProof/>
          <w:szCs w:val="20"/>
        </w:rPr>
      </w:pPr>
      <w:r>
        <w:t>Con la presente si certifica che l'impianto di depurazione di bordo sottoposto a prova non si discosta in misura inammissibile dai parametri e che i valori di controllo, di cui alla tabella 2 dell'articolo 18.01, paragrafo 2, non sono stati superati.</w:t>
      </w:r>
    </w:p>
    <w:p w:rsidR="009C13A9" w:rsidRPr="00C903F8" w:rsidRDefault="009C13A9" w:rsidP="009C13A9">
      <w:pPr>
        <w:ind w:left="709" w:firstLine="0"/>
        <w:jc w:val="left"/>
        <w:rPr>
          <w:rFonts w:cs="Arial"/>
          <w:noProof/>
          <w:szCs w:val="20"/>
        </w:rPr>
      </w:pPr>
    </w:p>
    <w:p w:rsidR="009C13A9" w:rsidRPr="00C903F8" w:rsidRDefault="009C13A9" w:rsidP="009C13A9">
      <w:pPr>
        <w:tabs>
          <w:tab w:val="left" w:leader="dot" w:pos="9072"/>
        </w:tabs>
        <w:ind w:left="709" w:firstLine="0"/>
        <w:jc w:val="left"/>
        <w:rPr>
          <w:rFonts w:cs="Arial"/>
          <w:noProof/>
          <w:szCs w:val="20"/>
        </w:rPr>
      </w:pPr>
      <w:r>
        <w:t xml:space="preserve">Nome e indirizzo del servizio tecnico: </w:t>
      </w:r>
      <w:r>
        <w:tab/>
      </w:r>
    </w:p>
    <w:p w:rsidR="009C13A9" w:rsidRPr="00C903F8" w:rsidRDefault="009C13A9" w:rsidP="009C13A9">
      <w:pPr>
        <w:tabs>
          <w:tab w:val="left" w:leader="dot" w:pos="9072"/>
        </w:tabs>
        <w:ind w:left="709" w:firstLine="0"/>
        <w:rPr>
          <w:rFonts w:cs="Arial"/>
          <w:noProof/>
          <w:szCs w:val="20"/>
        </w:rPr>
      </w:pPr>
      <w:r>
        <w:tab/>
      </w:r>
    </w:p>
    <w:p w:rsidR="009C13A9" w:rsidRPr="00C903F8" w:rsidRDefault="009C13A9" w:rsidP="009C13A9">
      <w:pPr>
        <w:tabs>
          <w:tab w:val="left" w:leader="dot" w:pos="9072"/>
        </w:tabs>
        <w:ind w:left="709" w:firstLine="0"/>
        <w:rPr>
          <w:rFonts w:cs="Arial"/>
          <w:noProof/>
          <w:szCs w:val="20"/>
        </w:rPr>
      </w:pPr>
      <w:r>
        <w:tab/>
      </w:r>
    </w:p>
    <w:p w:rsidR="009C13A9" w:rsidRPr="00C903F8" w:rsidRDefault="009C13A9" w:rsidP="009C13A9">
      <w:pPr>
        <w:tabs>
          <w:tab w:val="left" w:leader="dot" w:pos="9072"/>
        </w:tabs>
        <w:ind w:left="709" w:firstLine="0"/>
        <w:jc w:val="left"/>
        <w:rPr>
          <w:rFonts w:cs="Arial"/>
          <w:noProof/>
          <w:szCs w:val="20"/>
        </w:rPr>
      </w:pPr>
      <w:r>
        <w:t xml:space="preserve">Nome dell'ispettore: </w:t>
      </w:r>
      <w:r>
        <w:tab/>
      </w:r>
    </w:p>
    <w:p w:rsidR="009C13A9" w:rsidRPr="00C903F8" w:rsidRDefault="009C13A9" w:rsidP="009C13A9">
      <w:pPr>
        <w:tabs>
          <w:tab w:val="left" w:leader="dot" w:pos="9072"/>
        </w:tabs>
        <w:ind w:left="709" w:firstLine="0"/>
        <w:rPr>
          <w:rFonts w:cs="Arial"/>
          <w:noProof/>
          <w:szCs w:val="20"/>
        </w:rPr>
      </w:pPr>
      <w:r>
        <w:t xml:space="preserve">Luogo e data: </w:t>
      </w:r>
      <w:r>
        <w:tab/>
      </w:r>
    </w:p>
    <w:p w:rsidR="009C13A9" w:rsidRPr="00C903F8" w:rsidRDefault="009C13A9" w:rsidP="009C13A9">
      <w:pPr>
        <w:tabs>
          <w:tab w:val="left" w:leader="dot" w:pos="9072"/>
        </w:tabs>
        <w:ind w:left="709" w:firstLine="0"/>
        <w:rPr>
          <w:rFonts w:cs="Arial"/>
          <w:noProof/>
          <w:szCs w:val="20"/>
        </w:rPr>
      </w:pPr>
      <w:r>
        <w:t xml:space="preserve">Firma: </w:t>
      </w:r>
      <w:r>
        <w:tab/>
      </w:r>
    </w:p>
    <w:p w:rsidR="009C13A9" w:rsidRPr="00C903F8" w:rsidRDefault="009C13A9" w:rsidP="009C13A9">
      <w:pPr>
        <w:tabs>
          <w:tab w:val="left" w:leader="dot" w:pos="9072"/>
        </w:tabs>
        <w:ind w:left="709" w:firstLine="0"/>
        <w:rPr>
          <w:rFonts w:cs="Arial"/>
          <w:noProof/>
          <w:szCs w:val="20"/>
        </w:rPr>
      </w:pPr>
    </w:p>
    <w:p w:rsidR="009C13A9" w:rsidRPr="00C903F8" w:rsidRDefault="009C13A9" w:rsidP="009C13A9">
      <w:pPr>
        <w:tabs>
          <w:tab w:val="left" w:leader="dot" w:pos="9072"/>
        </w:tabs>
        <w:ind w:left="709" w:firstLine="0"/>
        <w:jc w:val="left"/>
        <w:rPr>
          <w:rFonts w:cs="Arial"/>
          <w:noProof/>
          <w:szCs w:val="20"/>
        </w:rPr>
      </w:pPr>
      <w:r>
        <w:t xml:space="preserve">Prova riconosciuta dall’autorità competente: </w:t>
      </w:r>
      <w:r>
        <w:tab/>
      </w:r>
    </w:p>
    <w:p w:rsidR="009C13A9" w:rsidRPr="00C903F8" w:rsidRDefault="009C13A9" w:rsidP="009C13A9">
      <w:pPr>
        <w:tabs>
          <w:tab w:val="left" w:leader="dot" w:pos="9072"/>
        </w:tabs>
        <w:ind w:left="709" w:firstLine="11"/>
        <w:rPr>
          <w:rFonts w:cs="Arial"/>
          <w:noProof/>
          <w:szCs w:val="20"/>
        </w:rPr>
      </w:pPr>
      <w:r>
        <w:tab/>
      </w:r>
    </w:p>
    <w:p w:rsidR="009C13A9" w:rsidRPr="00C903F8" w:rsidRDefault="009C13A9" w:rsidP="009C13A9">
      <w:pPr>
        <w:tabs>
          <w:tab w:val="left" w:leader="dot" w:pos="9072"/>
        </w:tabs>
        <w:ind w:left="709" w:firstLine="0"/>
        <w:rPr>
          <w:rFonts w:cs="Arial"/>
          <w:noProof/>
          <w:szCs w:val="20"/>
        </w:rPr>
      </w:pPr>
      <w:r>
        <w:tab/>
      </w:r>
    </w:p>
    <w:p w:rsidR="009C13A9" w:rsidRPr="00C903F8" w:rsidRDefault="009C13A9" w:rsidP="009C13A9">
      <w:pPr>
        <w:tabs>
          <w:tab w:val="left" w:leader="dot" w:pos="9072"/>
        </w:tabs>
        <w:ind w:left="709" w:firstLine="0"/>
        <w:rPr>
          <w:rFonts w:cs="Arial"/>
          <w:noProof/>
          <w:szCs w:val="20"/>
        </w:rPr>
      </w:pPr>
      <w:r>
        <w:t xml:space="preserve">Luogo e data: </w:t>
      </w:r>
      <w:r>
        <w:tab/>
      </w:r>
    </w:p>
    <w:p w:rsidR="009C13A9" w:rsidRPr="00C903F8" w:rsidRDefault="009C13A9" w:rsidP="009C13A9">
      <w:pPr>
        <w:tabs>
          <w:tab w:val="left" w:leader="dot" w:pos="9072"/>
        </w:tabs>
        <w:ind w:left="709" w:firstLine="0"/>
        <w:rPr>
          <w:rFonts w:cs="Arial"/>
          <w:noProof/>
          <w:szCs w:val="20"/>
        </w:rPr>
      </w:pPr>
      <w:r>
        <w:t xml:space="preserve">Firma: </w:t>
      </w:r>
      <w:r>
        <w:tab/>
      </w:r>
    </w:p>
    <w:p w:rsidR="009C13A9" w:rsidRPr="00C903F8" w:rsidRDefault="009C13A9" w:rsidP="009C13A9">
      <w:pPr>
        <w:ind w:left="709" w:firstLine="0"/>
        <w:rPr>
          <w:rFonts w:cs="Arial"/>
          <w:noProof/>
          <w:szCs w:val="20"/>
        </w:rPr>
      </w:pPr>
    </w:p>
    <w:p w:rsidR="009C13A9" w:rsidRPr="00C903F8" w:rsidRDefault="009C13A9" w:rsidP="009C13A9">
      <w:pPr>
        <w:jc w:val="right"/>
        <w:outlineLvl w:val="0"/>
        <w:rPr>
          <w:rFonts w:cs="Arial"/>
          <w:noProof/>
          <w:szCs w:val="20"/>
        </w:rPr>
      </w:pPr>
      <w:r>
        <w:t>Timbro dell’autorità competente</w:t>
      </w:r>
    </w:p>
    <w:p w:rsidR="009C13A9" w:rsidRPr="00C903F8" w:rsidRDefault="009C13A9" w:rsidP="009C13A9">
      <w:pPr>
        <w:spacing w:line="240" w:lineRule="atLeast"/>
        <w:rPr>
          <w:rFonts w:cs="Arial"/>
          <w:color w:val="000000"/>
        </w:rPr>
      </w:pPr>
      <w:r>
        <w:br w:type="page"/>
      </w:r>
    </w:p>
    <w:p w:rsidR="009C13A9" w:rsidRPr="00C903F8" w:rsidRDefault="009C13A9" w:rsidP="009C13A9">
      <w:pPr>
        <w:tabs>
          <w:tab w:val="left" w:leader="dot" w:pos="9072"/>
        </w:tabs>
        <w:ind w:left="709" w:firstLine="0"/>
        <w:jc w:val="left"/>
        <w:rPr>
          <w:rFonts w:cs="Arial"/>
          <w:noProof/>
          <w:szCs w:val="20"/>
        </w:rPr>
      </w:pPr>
      <w:r>
        <w:lastRenderedPageBreak/>
        <w:t xml:space="preserve">Nome e indirizzo del servizio tecnico: </w:t>
      </w:r>
      <w:r>
        <w:tab/>
      </w:r>
    </w:p>
    <w:p w:rsidR="009C13A9" w:rsidRPr="00C903F8" w:rsidRDefault="009C13A9" w:rsidP="009C13A9">
      <w:pPr>
        <w:tabs>
          <w:tab w:val="left" w:leader="dot" w:pos="9072"/>
        </w:tabs>
        <w:ind w:left="709" w:firstLine="0"/>
        <w:rPr>
          <w:rFonts w:cs="Arial"/>
          <w:noProof/>
          <w:szCs w:val="20"/>
        </w:rPr>
      </w:pPr>
      <w:r>
        <w:tab/>
      </w:r>
    </w:p>
    <w:p w:rsidR="009C13A9" w:rsidRPr="00C903F8" w:rsidRDefault="009C13A9" w:rsidP="009C13A9">
      <w:pPr>
        <w:tabs>
          <w:tab w:val="left" w:leader="dot" w:pos="9072"/>
        </w:tabs>
        <w:ind w:left="709" w:firstLine="0"/>
        <w:rPr>
          <w:rFonts w:cs="Arial"/>
          <w:noProof/>
          <w:szCs w:val="20"/>
        </w:rPr>
      </w:pPr>
      <w:r>
        <w:tab/>
      </w:r>
    </w:p>
    <w:p w:rsidR="009C13A9" w:rsidRPr="00C903F8" w:rsidRDefault="009C13A9" w:rsidP="009C13A9">
      <w:pPr>
        <w:tabs>
          <w:tab w:val="left" w:leader="dot" w:pos="9072"/>
        </w:tabs>
        <w:ind w:left="709" w:firstLine="0"/>
        <w:jc w:val="left"/>
        <w:rPr>
          <w:rFonts w:cs="Arial"/>
          <w:noProof/>
          <w:szCs w:val="20"/>
        </w:rPr>
      </w:pPr>
      <w:r>
        <w:t xml:space="preserve">Nome dell'ispettore: </w:t>
      </w:r>
      <w:r>
        <w:tab/>
      </w:r>
    </w:p>
    <w:p w:rsidR="009C13A9" w:rsidRPr="00C903F8" w:rsidRDefault="009C13A9" w:rsidP="009C13A9">
      <w:pPr>
        <w:tabs>
          <w:tab w:val="left" w:leader="dot" w:pos="9072"/>
        </w:tabs>
        <w:ind w:left="709" w:firstLine="0"/>
        <w:rPr>
          <w:rFonts w:cs="Arial"/>
          <w:noProof/>
          <w:szCs w:val="20"/>
        </w:rPr>
      </w:pPr>
      <w:r>
        <w:t xml:space="preserve">Luogo e data: </w:t>
      </w:r>
      <w:r>
        <w:tab/>
      </w:r>
    </w:p>
    <w:p w:rsidR="009C13A9" w:rsidRPr="00C903F8" w:rsidRDefault="009C13A9" w:rsidP="009C13A9">
      <w:pPr>
        <w:tabs>
          <w:tab w:val="left" w:leader="dot" w:pos="9072"/>
        </w:tabs>
        <w:ind w:left="709" w:firstLine="0"/>
        <w:rPr>
          <w:rFonts w:cs="Arial"/>
          <w:noProof/>
          <w:szCs w:val="20"/>
        </w:rPr>
      </w:pPr>
      <w:r>
        <w:t xml:space="preserve">Firma: </w:t>
      </w:r>
      <w:r>
        <w:tab/>
      </w:r>
    </w:p>
    <w:p w:rsidR="009C13A9" w:rsidRPr="00C903F8" w:rsidRDefault="009C13A9" w:rsidP="009C13A9">
      <w:pPr>
        <w:tabs>
          <w:tab w:val="left" w:leader="dot" w:pos="9072"/>
        </w:tabs>
        <w:ind w:left="709" w:firstLine="0"/>
        <w:rPr>
          <w:rFonts w:cs="Arial"/>
          <w:noProof/>
          <w:szCs w:val="20"/>
        </w:rPr>
      </w:pPr>
    </w:p>
    <w:p w:rsidR="009C13A9" w:rsidRPr="00C903F8" w:rsidRDefault="009C13A9" w:rsidP="009C13A9">
      <w:pPr>
        <w:tabs>
          <w:tab w:val="left" w:leader="dot" w:pos="9072"/>
        </w:tabs>
        <w:ind w:left="709" w:firstLine="0"/>
        <w:jc w:val="left"/>
        <w:rPr>
          <w:rFonts w:cs="Arial"/>
          <w:noProof/>
          <w:szCs w:val="20"/>
        </w:rPr>
      </w:pPr>
      <w:r>
        <w:t xml:space="preserve">Prova riconosciuta dall’autorità competente: </w:t>
      </w:r>
      <w:r>
        <w:tab/>
      </w:r>
    </w:p>
    <w:p w:rsidR="009C13A9" w:rsidRPr="00C903F8" w:rsidRDefault="009C13A9" w:rsidP="009C13A9">
      <w:pPr>
        <w:tabs>
          <w:tab w:val="left" w:leader="dot" w:pos="9072"/>
        </w:tabs>
        <w:ind w:left="709" w:firstLine="11"/>
        <w:rPr>
          <w:rFonts w:cs="Arial"/>
          <w:noProof/>
          <w:szCs w:val="20"/>
        </w:rPr>
      </w:pPr>
      <w:r>
        <w:tab/>
      </w:r>
    </w:p>
    <w:p w:rsidR="009C13A9" w:rsidRPr="00C903F8" w:rsidRDefault="009C13A9" w:rsidP="009C13A9">
      <w:pPr>
        <w:tabs>
          <w:tab w:val="left" w:leader="dot" w:pos="9072"/>
        </w:tabs>
        <w:ind w:left="709" w:firstLine="0"/>
        <w:rPr>
          <w:rFonts w:cs="Arial"/>
          <w:noProof/>
          <w:szCs w:val="20"/>
        </w:rPr>
      </w:pPr>
      <w:r>
        <w:tab/>
      </w:r>
    </w:p>
    <w:p w:rsidR="009C13A9" w:rsidRPr="00C903F8" w:rsidRDefault="009C13A9" w:rsidP="009C13A9">
      <w:pPr>
        <w:tabs>
          <w:tab w:val="left" w:leader="dot" w:pos="9072"/>
        </w:tabs>
        <w:ind w:left="709" w:firstLine="0"/>
        <w:rPr>
          <w:rFonts w:cs="Arial"/>
          <w:noProof/>
          <w:szCs w:val="20"/>
        </w:rPr>
      </w:pPr>
      <w:r>
        <w:t xml:space="preserve">Luogo e data: </w:t>
      </w:r>
      <w:r>
        <w:tab/>
      </w:r>
    </w:p>
    <w:p w:rsidR="009C13A9" w:rsidRPr="00C903F8" w:rsidRDefault="009C13A9" w:rsidP="009C13A9">
      <w:pPr>
        <w:tabs>
          <w:tab w:val="left" w:leader="dot" w:pos="9072"/>
        </w:tabs>
        <w:ind w:left="709" w:firstLine="0"/>
        <w:rPr>
          <w:rFonts w:cs="Arial"/>
          <w:noProof/>
          <w:szCs w:val="20"/>
        </w:rPr>
      </w:pPr>
      <w:r>
        <w:t xml:space="preserve">Firma: </w:t>
      </w:r>
      <w:r>
        <w:tab/>
      </w:r>
    </w:p>
    <w:p w:rsidR="009C13A9" w:rsidRPr="00C903F8" w:rsidRDefault="009C13A9" w:rsidP="009C13A9">
      <w:pPr>
        <w:ind w:left="709" w:firstLine="0"/>
        <w:rPr>
          <w:rFonts w:cs="Arial"/>
          <w:noProof/>
          <w:szCs w:val="20"/>
        </w:rPr>
      </w:pPr>
    </w:p>
    <w:p w:rsidR="009C13A9" w:rsidRPr="00C903F8" w:rsidRDefault="009C13A9" w:rsidP="009C13A9">
      <w:pPr>
        <w:jc w:val="right"/>
        <w:outlineLvl w:val="0"/>
        <w:rPr>
          <w:rFonts w:cs="Arial"/>
          <w:noProof/>
          <w:szCs w:val="20"/>
        </w:rPr>
      </w:pPr>
      <w:r>
        <w:t>Timbro dell’autorità competente</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p>
    <w:p w:rsidR="009C13A9" w:rsidRPr="00C903F8" w:rsidRDefault="009C13A9" w:rsidP="009C13A9">
      <w:pPr>
        <w:tabs>
          <w:tab w:val="left" w:leader="dot" w:pos="9072"/>
        </w:tabs>
        <w:ind w:left="709" w:firstLine="0"/>
        <w:jc w:val="left"/>
        <w:rPr>
          <w:rFonts w:cs="Arial"/>
          <w:noProof/>
          <w:szCs w:val="20"/>
        </w:rPr>
      </w:pPr>
      <w:r>
        <w:t xml:space="preserve">Nome e indirizzo del servizio tecnico: </w:t>
      </w:r>
      <w:r>
        <w:tab/>
      </w:r>
    </w:p>
    <w:p w:rsidR="009C13A9" w:rsidRPr="00C903F8" w:rsidRDefault="009C13A9" w:rsidP="009C13A9">
      <w:pPr>
        <w:tabs>
          <w:tab w:val="left" w:leader="dot" w:pos="9072"/>
        </w:tabs>
        <w:ind w:left="709" w:firstLine="0"/>
        <w:rPr>
          <w:rFonts w:cs="Arial"/>
          <w:noProof/>
          <w:szCs w:val="20"/>
        </w:rPr>
      </w:pPr>
      <w:r>
        <w:tab/>
      </w:r>
    </w:p>
    <w:p w:rsidR="009C13A9" w:rsidRPr="00C903F8" w:rsidRDefault="009C13A9" w:rsidP="009C13A9">
      <w:pPr>
        <w:tabs>
          <w:tab w:val="left" w:leader="dot" w:pos="9072"/>
        </w:tabs>
        <w:ind w:left="709" w:firstLine="0"/>
        <w:rPr>
          <w:rFonts w:cs="Arial"/>
          <w:noProof/>
          <w:szCs w:val="20"/>
        </w:rPr>
      </w:pPr>
      <w:r>
        <w:tab/>
      </w:r>
    </w:p>
    <w:p w:rsidR="009C13A9" w:rsidRPr="00C903F8" w:rsidRDefault="009C13A9" w:rsidP="009C13A9">
      <w:pPr>
        <w:tabs>
          <w:tab w:val="left" w:leader="dot" w:pos="9072"/>
        </w:tabs>
        <w:ind w:left="709" w:firstLine="0"/>
        <w:jc w:val="left"/>
        <w:rPr>
          <w:rFonts w:cs="Arial"/>
          <w:noProof/>
          <w:szCs w:val="20"/>
        </w:rPr>
      </w:pPr>
      <w:r>
        <w:t xml:space="preserve">Nome dell'ispettore: </w:t>
      </w:r>
      <w:r>
        <w:tab/>
      </w:r>
    </w:p>
    <w:p w:rsidR="009C13A9" w:rsidRPr="00C903F8" w:rsidRDefault="009C13A9" w:rsidP="009C13A9">
      <w:pPr>
        <w:tabs>
          <w:tab w:val="left" w:leader="dot" w:pos="9072"/>
        </w:tabs>
        <w:ind w:left="709" w:firstLine="0"/>
        <w:rPr>
          <w:rFonts w:cs="Arial"/>
          <w:noProof/>
          <w:szCs w:val="20"/>
        </w:rPr>
      </w:pPr>
      <w:r>
        <w:t xml:space="preserve">Luogo e data: </w:t>
      </w:r>
      <w:r>
        <w:tab/>
      </w:r>
    </w:p>
    <w:p w:rsidR="009C13A9" w:rsidRPr="00C903F8" w:rsidRDefault="009C13A9" w:rsidP="009C13A9">
      <w:pPr>
        <w:tabs>
          <w:tab w:val="left" w:leader="dot" w:pos="9072"/>
        </w:tabs>
        <w:ind w:left="709" w:firstLine="0"/>
        <w:rPr>
          <w:rFonts w:cs="Arial"/>
          <w:noProof/>
          <w:szCs w:val="20"/>
        </w:rPr>
      </w:pPr>
      <w:r>
        <w:t xml:space="preserve">Firma: </w:t>
      </w:r>
      <w:r>
        <w:tab/>
      </w:r>
    </w:p>
    <w:p w:rsidR="009C13A9" w:rsidRPr="00C903F8" w:rsidRDefault="009C13A9" w:rsidP="009C13A9">
      <w:pPr>
        <w:tabs>
          <w:tab w:val="left" w:leader="dot" w:pos="9072"/>
        </w:tabs>
        <w:ind w:left="709" w:firstLine="0"/>
        <w:rPr>
          <w:rFonts w:cs="Arial"/>
          <w:noProof/>
          <w:szCs w:val="20"/>
        </w:rPr>
      </w:pPr>
    </w:p>
    <w:p w:rsidR="009C13A9" w:rsidRPr="00C903F8" w:rsidRDefault="009C13A9" w:rsidP="009C13A9">
      <w:pPr>
        <w:tabs>
          <w:tab w:val="left" w:leader="dot" w:pos="9072"/>
        </w:tabs>
        <w:ind w:left="709" w:firstLine="0"/>
        <w:jc w:val="left"/>
        <w:rPr>
          <w:rFonts w:cs="Arial"/>
          <w:noProof/>
          <w:szCs w:val="20"/>
        </w:rPr>
      </w:pPr>
      <w:r>
        <w:t xml:space="preserve">Prova riconosciuta dall’autorità competente: </w:t>
      </w:r>
      <w:r>
        <w:tab/>
      </w:r>
    </w:p>
    <w:p w:rsidR="009C13A9" w:rsidRPr="00C903F8" w:rsidRDefault="009C13A9" w:rsidP="009C13A9">
      <w:pPr>
        <w:tabs>
          <w:tab w:val="left" w:leader="dot" w:pos="9072"/>
        </w:tabs>
        <w:ind w:left="709" w:firstLine="11"/>
        <w:rPr>
          <w:rFonts w:cs="Arial"/>
          <w:noProof/>
          <w:szCs w:val="20"/>
        </w:rPr>
      </w:pPr>
      <w:r>
        <w:tab/>
      </w:r>
    </w:p>
    <w:p w:rsidR="009C13A9" w:rsidRPr="00C903F8" w:rsidRDefault="009C13A9" w:rsidP="009C13A9">
      <w:pPr>
        <w:tabs>
          <w:tab w:val="left" w:leader="dot" w:pos="9072"/>
        </w:tabs>
        <w:ind w:left="709" w:firstLine="0"/>
        <w:rPr>
          <w:rFonts w:cs="Arial"/>
          <w:noProof/>
          <w:szCs w:val="20"/>
        </w:rPr>
      </w:pPr>
      <w:r>
        <w:tab/>
      </w:r>
    </w:p>
    <w:p w:rsidR="009C13A9" w:rsidRPr="00C903F8" w:rsidRDefault="009C13A9" w:rsidP="009C13A9">
      <w:pPr>
        <w:tabs>
          <w:tab w:val="left" w:leader="dot" w:pos="9072"/>
        </w:tabs>
        <w:ind w:left="709" w:firstLine="0"/>
        <w:rPr>
          <w:rFonts w:cs="Arial"/>
          <w:noProof/>
          <w:szCs w:val="20"/>
        </w:rPr>
      </w:pPr>
      <w:r>
        <w:t xml:space="preserve">Luogo e data: </w:t>
      </w:r>
      <w:r>
        <w:tab/>
      </w:r>
    </w:p>
    <w:p w:rsidR="009C13A9" w:rsidRPr="00C903F8" w:rsidRDefault="009C13A9" w:rsidP="009C13A9">
      <w:pPr>
        <w:tabs>
          <w:tab w:val="left" w:leader="dot" w:pos="9072"/>
        </w:tabs>
        <w:ind w:left="709" w:firstLine="0"/>
        <w:rPr>
          <w:rFonts w:cs="Arial"/>
          <w:noProof/>
          <w:szCs w:val="20"/>
        </w:rPr>
      </w:pPr>
      <w:r>
        <w:t xml:space="preserve">Firma: </w:t>
      </w:r>
      <w:r>
        <w:tab/>
      </w:r>
    </w:p>
    <w:p w:rsidR="009C13A9" w:rsidRPr="00C903F8" w:rsidRDefault="009C13A9" w:rsidP="009C13A9">
      <w:pPr>
        <w:ind w:left="709" w:firstLine="0"/>
        <w:rPr>
          <w:rFonts w:cs="Arial"/>
          <w:noProof/>
          <w:szCs w:val="20"/>
        </w:rPr>
      </w:pPr>
    </w:p>
    <w:p w:rsidR="009C13A9" w:rsidRPr="00C903F8" w:rsidRDefault="009C13A9" w:rsidP="009C13A9">
      <w:pPr>
        <w:jc w:val="right"/>
        <w:outlineLvl w:val="0"/>
        <w:rPr>
          <w:rFonts w:cs="Arial"/>
          <w:noProof/>
          <w:szCs w:val="20"/>
        </w:rPr>
      </w:pPr>
      <w:r>
        <w:t>Timbro dell’autorità competente</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br w:type="page"/>
      </w:r>
    </w:p>
    <w:p w:rsidR="009C13A9" w:rsidRPr="00C903F8" w:rsidRDefault="009C13A9" w:rsidP="009C13A9">
      <w:pPr>
        <w:suppressAutoHyphens/>
        <w:autoSpaceDE/>
        <w:autoSpaceDN/>
        <w:spacing w:line="240" w:lineRule="atLeast"/>
        <w:ind w:left="0" w:firstLine="0"/>
        <w:jc w:val="center"/>
        <w:rPr>
          <w:rFonts w:cs="Arial"/>
          <w:szCs w:val="22"/>
        </w:rPr>
      </w:pPr>
      <w:r>
        <w:rPr>
          <w:b/>
        </w:rPr>
        <w:lastRenderedPageBreak/>
        <w:t>Appendice 1</w:t>
      </w:r>
    </w:p>
    <w:p w:rsidR="009C13A9" w:rsidRPr="00C903F8" w:rsidRDefault="009C13A9" w:rsidP="009C13A9">
      <w:pPr>
        <w:suppressAutoHyphens/>
        <w:autoSpaceDE/>
        <w:autoSpaceDN/>
        <w:ind w:left="0" w:firstLine="0"/>
        <w:jc w:val="center"/>
        <w:rPr>
          <w:rFonts w:cs="Arial"/>
          <w:b/>
        </w:rPr>
      </w:pPr>
      <w:r>
        <w:rPr>
          <w:b/>
        </w:rPr>
        <w:t>Allegato alla registrazione dei parametri relativi all'impianto di depurazione di bordo</w:t>
      </w:r>
    </w:p>
    <w:p w:rsidR="009C13A9" w:rsidRPr="00C903F8" w:rsidRDefault="009C13A9" w:rsidP="009C13A9">
      <w:pPr>
        <w:spacing w:line="240" w:lineRule="atLeast"/>
        <w:jc w:val="center"/>
        <w:rPr>
          <w:rFonts w:cs="Arial"/>
          <w:b/>
          <w:color w:val="000000"/>
        </w:rPr>
      </w:pPr>
      <w:r>
        <w:rPr>
          <w:color w:val="000000"/>
        </w:rPr>
        <w:t>(Modello)</w:t>
      </w:r>
    </w:p>
    <w:p w:rsidR="009C13A9" w:rsidRPr="00C903F8" w:rsidRDefault="009C13A9" w:rsidP="009C13A9">
      <w:pPr>
        <w:spacing w:line="240" w:lineRule="atLeast"/>
        <w:rPr>
          <w:rFonts w:cs="Arial"/>
          <w:color w:val="000000"/>
        </w:rPr>
      </w:pPr>
    </w:p>
    <w:tbl>
      <w:tblPr>
        <w:tblW w:w="9215" w:type="dxa"/>
        <w:jc w:val="center"/>
        <w:tblLayout w:type="fixed"/>
        <w:tblCellMar>
          <w:left w:w="70" w:type="dxa"/>
          <w:right w:w="70" w:type="dxa"/>
        </w:tblCellMar>
        <w:tblLook w:val="0000" w:firstRow="0" w:lastRow="0" w:firstColumn="0" w:lastColumn="0" w:noHBand="0" w:noVBand="0"/>
      </w:tblPr>
      <w:tblGrid>
        <w:gridCol w:w="426"/>
        <w:gridCol w:w="850"/>
        <w:gridCol w:w="284"/>
        <w:gridCol w:w="476"/>
        <w:gridCol w:w="1083"/>
        <w:gridCol w:w="43"/>
        <w:gridCol w:w="200"/>
        <w:gridCol w:w="607"/>
        <w:gridCol w:w="709"/>
        <w:gridCol w:w="634"/>
        <w:gridCol w:w="784"/>
        <w:gridCol w:w="298"/>
        <w:gridCol w:w="213"/>
        <w:gridCol w:w="265"/>
        <w:gridCol w:w="216"/>
        <w:gridCol w:w="47"/>
        <w:gridCol w:w="39"/>
        <w:gridCol w:w="1000"/>
        <w:gridCol w:w="1041"/>
      </w:tblGrid>
      <w:tr w:rsidR="009C13A9" w:rsidRPr="00C903F8" w:rsidTr="009C13A9">
        <w:trPr>
          <w:cantSplit/>
          <w:jc w:val="center"/>
        </w:trPr>
        <w:tc>
          <w:tcPr>
            <w:tcW w:w="1560" w:type="dxa"/>
            <w:gridSpan w:val="3"/>
            <w:vAlign w:val="center"/>
          </w:tcPr>
          <w:p w:rsidR="009C13A9" w:rsidRPr="00C903F8" w:rsidRDefault="009C13A9" w:rsidP="009C13A9">
            <w:pPr>
              <w:ind w:left="0" w:firstLine="0"/>
              <w:jc w:val="left"/>
              <w:rPr>
                <w:noProof/>
                <w:szCs w:val="18"/>
              </w:rPr>
            </w:pPr>
            <w:r>
              <w:t>Nome della nave:</w:t>
            </w:r>
          </w:p>
        </w:tc>
        <w:tc>
          <w:tcPr>
            <w:tcW w:w="1802" w:type="dxa"/>
            <w:gridSpan w:val="4"/>
            <w:vAlign w:val="center"/>
          </w:tcPr>
          <w:p w:rsidR="009C13A9" w:rsidRPr="00C903F8" w:rsidRDefault="009C13A9" w:rsidP="009C13A9">
            <w:pPr>
              <w:ind w:left="0" w:firstLine="0"/>
              <w:rPr>
                <w:noProof/>
                <w:szCs w:val="18"/>
              </w:rPr>
            </w:pPr>
            <w:r>
              <w:t>……………………</w:t>
            </w:r>
          </w:p>
        </w:tc>
        <w:tc>
          <w:tcPr>
            <w:tcW w:w="3726" w:type="dxa"/>
            <w:gridSpan w:val="8"/>
            <w:vAlign w:val="center"/>
          </w:tcPr>
          <w:p w:rsidR="009C13A9" w:rsidRPr="00C903F8" w:rsidRDefault="009C13A9" w:rsidP="006D37CC">
            <w:pPr>
              <w:ind w:left="0" w:firstLine="0"/>
              <w:jc w:val="left"/>
              <w:rPr>
                <w:noProof/>
                <w:szCs w:val="18"/>
              </w:rPr>
            </w:pPr>
            <w:r>
              <w:t>Numero unico europeo di identificazione delle navi:</w:t>
            </w:r>
          </w:p>
        </w:tc>
        <w:tc>
          <w:tcPr>
            <w:tcW w:w="2127" w:type="dxa"/>
            <w:gridSpan w:val="4"/>
            <w:vAlign w:val="center"/>
          </w:tcPr>
          <w:p w:rsidR="009C13A9" w:rsidRPr="00C903F8" w:rsidRDefault="009C13A9" w:rsidP="009C13A9">
            <w:pPr>
              <w:tabs>
                <w:tab w:val="left" w:leader="dot" w:pos="1987"/>
              </w:tabs>
              <w:ind w:left="0" w:firstLine="0"/>
              <w:rPr>
                <w:noProof/>
                <w:szCs w:val="18"/>
              </w:rPr>
            </w:pPr>
            <w:r>
              <w:tab/>
            </w:r>
          </w:p>
        </w:tc>
      </w:tr>
      <w:tr w:rsidR="009C13A9" w:rsidRPr="00C903F8" w:rsidTr="009C13A9">
        <w:trPr>
          <w:cantSplit/>
          <w:trHeight w:hRule="exact" w:val="160"/>
          <w:jc w:val="center"/>
        </w:trPr>
        <w:tc>
          <w:tcPr>
            <w:tcW w:w="9215" w:type="dxa"/>
            <w:gridSpan w:val="19"/>
            <w:vAlign w:val="center"/>
          </w:tcPr>
          <w:p w:rsidR="009C13A9" w:rsidRPr="00C903F8" w:rsidRDefault="009C13A9" w:rsidP="009C13A9">
            <w:pPr>
              <w:rPr>
                <w:noProof/>
              </w:rPr>
            </w:pPr>
          </w:p>
        </w:tc>
      </w:tr>
      <w:tr w:rsidR="009C13A9" w:rsidRPr="00C903F8" w:rsidTr="009C13A9">
        <w:trPr>
          <w:jc w:val="center"/>
        </w:trPr>
        <w:tc>
          <w:tcPr>
            <w:tcW w:w="426" w:type="dxa"/>
            <w:vAlign w:val="center"/>
          </w:tcPr>
          <w:p w:rsidR="009C13A9" w:rsidRPr="00C903F8" w:rsidRDefault="009C13A9" w:rsidP="009C13A9">
            <w:pPr>
              <w:rPr>
                <w:noProof/>
                <w:sz w:val="18"/>
                <w:szCs w:val="18"/>
              </w:rPr>
            </w:pPr>
          </w:p>
        </w:tc>
        <w:tc>
          <w:tcPr>
            <w:tcW w:w="2736" w:type="dxa"/>
            <w:gridSpan w:val="5"/>
            <w:tcBorders>
              <w:left w:val="nil"/>
            </w:tcBorders>
            <w:vAlign w:val="center"/>
          </w:tcPr>
          <w:p w:rsidR="009C13A9" w:rsidRPr="00C903F8" w:rsidRDefault="009C13A9" w:rsidP="009C13A9">
            <w:pPr>
              <w:rPr>
                <w:noProof/>
                <w:sz w:val="18"/>
                <w:szCs w:val="18"/>
              </w:rPr>
            </w:pPr>
          </w:p>
        </w:tc>
        <w:tc>
          <w:tcPr>
            <w:tcW w:w="807" w:type="dxa"/>
            <w:gridSpan w:val="2"/>
            <w:vAlign w:val="center"/>
          </w:tcPr>
          <w:p w:rsidR="009C13A9" w:rsidRPr="00C903F8" w:rsidRDefault="009C13A9" w:rsidP="009C13A9">
            <w:pPr>
              <w:rPr>
                <w:noProof/>
              </w:rPr>
            </w:pPr>
          </w:p>
        </w:tc>
        <w:tc>
          <w:tcPr>
            <w:tcW w:w="2425" w:type="dxa"/>
            <w:gridSpan w:val="4"/>
            <w:tcBorders>
              <w:left w:val="nil"/>
            </w:tcBorders>
            <w:vAlign w:val="center"/>
          </w:tcPr>
          <w:p w:rsidR="009C13A9" w:rsidRPr="00C903F8" w:rsidRDefault="009C13A9" w:rsidP="009C13A9">
            <w:pPr>
              <w:rPr>
                <w:noProof/>
                <w:sz w:val="18"/>
                <w:szCs w:val="18"/>
              </w:rPr>
            </w:pPr>
          </w:p>
        </w:tc>
        <w:tc>
          <w:tcPr>
            <w:tcW w:w="694" w:type="dxa"/>
            <w:gridSpan w:val="3"/>
            <w:vAlign w:val="center"/>
          </w:tcPr>
          <w:p w:rsidR="009C13A9" w:rsidRPr="00C903F8" w:rsidRDefault="009C13A9" w:rsidP="009C13A9">
            <w:pPr>
              <w:rPr>
                <w:noProof/>
                <w:sz w:val="18"/>
                <w:szCs w:val="18"/>
              </w:rPr>
            </w:pPr>
          </w:p>
        </w:tc>
        <w:tc>
          <w:tcPr>
            <w:tcW w:w="2127" w:type="dxa"/>
            <w:gridSpan w:val="4"/>
            <w:tcBorders>
              <w:left w:val="nil"/>
            </w:tcBorders>
            <w:vAlign w:val="center"/>
          </w:tcPr>
          <w:p w:rsidR="009C13A9" w:rsidRPr="00C903F8" w:rsidRDefault="009C13A9" w:rsidP="009C13A9">
            <w:pPr>
              <w:rPr>
                <w:noProof/>
                <w:sz w:val="18"/>
                <w:szCs w:val="18"/>
              </w:rPr>
            </w:pPr>
          </w:p>
        </w:tc>
      </w:tr>
      <w:tr w:rsidR="009C13A9" w:rsidRPr="00C903F8" w:rsidTr="009C13A9">
        <w:tblPrEx>
          <w:tblCellMar>
            <w:left w:w="28" w:type="dxa"/>
            <w:right w:w="28" w:type="dxa"/>
          </w:tblCellMar>
        </w:tblPrEx>
        <w:trPr>
          <w:cantSplit/>
          <w:trHeight w:hRule="exact" w:val="160"/>
          <w:jc w:val="center"/>
        </w:trPr>
        <w:tc>
          <w:tcPr>
            <w:tcW w:w="9215" w:type="dxa"/>
            <w:gridSpan w:val="19"/>
            <w:vAlign w:val="center"/>
          </w:tcPr>
          <w:p w:rsidR="009C13A9" w:rsidRPr="00C903F8" w:rsidRDefault="009C13A9" w:rsidP="009C13A9">
            <w:pPr>
              <w:rPr>
                <w:noProof/>
              </w:rPr>
            </w:pPr>
          </w:p>
        </w:tc>
      </w:tr>
      <w:tr w:rsidR="009C13A9" w:rsidRPr="00C903F8" w:rsidTr="009C13A9">
        <w:tblPrEx>
          <w:tblCellMar>
            <w:left w:w="28" w:type="dxa"/>
            <w:right w:w="28" w:type="dxa"/>
          </w:tblCellMar>
        </w:tblPrEx>
        <w:trPr>
          <w:jc w:val="center"/>
        </w:trPr>
        <w:tc>
          <w:tcPr>
            <w:tcW w:w="1276" w:type="dxa"/>
            <w:gridSpan w:val="2"/>
            <w:vAlign w:val="center"/>
          </w:tcPr>
          <w:p w:rsidR="009C13A9" w:rsidRPr="00C903F8" w:rsidRDefault="009C13A9" w:rsidP="009C13A9">
            <w:pPr>
              <w:ind w:left="0" w:firstLine="0"/>
              <w:rPr>
                <w:noProof/>
                <w:szCs w:val="18"/>
              </w:rPr>
            </w:pPr>
            <w:r>
              <w:t>Costruttore:</w:t>
            </w:r>
          </w:p>
        </w:tc>
        <w:tc>
          <w:tcPr>
            <w:tcW w:w="3402" w:type="dxa"/>
            <w:gridSpan w:val="7"/>
            <w:vAlign w:val="center"/>
          </w:tcPr>
          <w:p w:rsidR="009C13A9" w:rsidRPr="00C903F8" w:rsidRDefault="009C13A9" w:rsidP="009C13A9">
            <w:pPr>
              <w:ind w:left="0" w:firstLine="0"/>
              <w:rPr>
                <w:noProof/>
                <w:szCs w:val="18"/>
              </w:rPr>
            </w:pPr>
            <w:r>
              <w:t>………………………………………….</w:t>
            </w:r>
          </w:p>
        </w:tc>
        <w:tc>
          <w:tcPr>
            <w:tcW w:w="1929" w:type="dxa"/>
            <w:gridSpan w:val="4"/>
            <w:vAlign w:val="center"/>
          </w:tcPr>
          <w:p w:rsidR="009C13A9" w:rsidRPr="00C903F8" w:rsidRDefault="009C13A9" w:rsidP="009C13A9">
            <w:pPr>
              <w:ind w:left="0" w:firstLine="0"/>
              <w:rPr>
                <w:noProof/>
                <w:szCs w:val="18"/>
              </w:rPr>
            </w:pPr>
            <w:r>
              <w:t>Tipo di impianto:</w:t>
            </w:r>
          </w:p>
        </w:tc>
        <w:tc>
          <w:tcPr>
            <w:tcW w:w="2608" w:type="dxa"/>
            <w:gridSpan w:val="6"/>
            <w:vAlign w:val="center"/>
          </w:tcPr>
          <w:p w:rsidR="009C13A9" w:rsidRPr="00C903F8" w:rsidRDefault="009C13A9" w:rsidP="009C13A9">
            <w:pPr>
              <w:tabs>
                <w:tab w:val="left" w:leader="dot" w:pos="2552"/>
              </w:tabs>
              <w:ind w:left="0" w:firstLine="0"/>
              <w:rPr>
                <w:noProof/>
                <w:szCs w:val="18"/>
              </w:rPr>
            </w:pPr>
            <w:r>
              <w:tab/>
            </w:r>
          </w:p>
        </w:tc>
      </w:tr>
      <w:tr w:rsidR="009C13A9" w:rsidRPr="00C903F8" w:rsidTr="009C13A9">
        <w:tblPrEx>
          <w:tblCellMar>
            <w:left w:w="28" w:type="dxa"/>
            <w:right w:w="28" w:type="dxa"/>
          </w:tblCellMar>
        </w:tblPrEx>
        <w:trPr>
          <w:jc w:val="center"/>
        </w:trPr>
        <w:tc>
          <w:tcPr>
            <w:tcW w:w="1276" w:type="dxa"/>
            <w:gridSpan w:val="2"/>
            <w:vAlign w:val="center"/>
          </w:tcPr>
          <w:p w:rsidR="009C13A9" w:rsidRPr="00C903F8" w:rsidRDefault="009C13A9" w:rsidP="009C13A9">
            <w:pPr>
              <w:rPr>
                <w:noProof/>
              </w:rPr>
            </w:pPr>
          </w:p>
        </w:tc>
        <w:tc>
          <w:tcPr>
            <w:tcW w:w="3402" w:type="dxa"/>
            <w:gridSpan w:val="7"/>
            <w:tcBorders>
              <w:bottom w:val="nil"/>
            </w:tcBorders>
            <w:vAlign w:val="center"/>
          </w:tcPr>
          <w:p w:rsidR="009C13A9" w:rsidRPr="00C903F8" w:rsidRDefault="009C13A9" w:rsidP="009C13A9">
            <w:pPr>
              <w:rPr>
                <w:noProof/>
                <w:sz w:val="12"/>
                <w:szCs w:val="12"/>
              </w:rPr>
            </w:pPr>
            <w:r>
              <w:rPr>
                <w:noProof/>
                <w:sz w:val="12"/>
              </w:rPr>
              <w:t>(Marca/marchio/ denominazione commerciale del costruttore)</w:t>
            </w:r>
          </w:p>
        </w:tc>
        <w:tc>
          <w:tcPr>
            <w:tcW w:w="1929" w:type="dxa"/>
            <w:gridSpan w:val="4"/>
            <w:vAlign w:val="center"/>
          </w:tcPr>
          <w:p w:rsidR="009C13A9" w:rsidRPr="00C903F8" w:rsidRDefault="009C13A9" w:rsidP="009C13A9">
            <w:pPr>
              <w:rPr>
                <w:noProof/>
              </w:rPr>
            </w:pPr>
          </w:p>
        </w:tc>
        <w:tc>
          <w:tcPr>
            <w:tcW w:w="2608" w:type="dxa"/>
            <w:gridSpan w:val="6"/>
            <w:tcBorders>
              <w:bottom w:val="nil"/>
            </w:tcBorders>
            <w:vAlign w:val="center"/>
          </w:tcPr>
          <w:p w:rsidR="009C13A9" w:rsidRPr="00C903F8" w:rsidRDefault="009C13A9" w:rsidP="009C13A9">
            <w:pPr>
              <w:rPr>
                <w:noProof/>
                <w:sz w:val="12"/>
                <w:szCs w:val="12"/>
              </w:rPr>
            </w:pPr>
            <w:r>
              <w:rPr>
                <w:noProof/>
                <w:sz w:val="12"/>
              </w:rPr>
              <w:t>(Designazione del costruttore)</w:t>
            </w:r>
          </w:p>
        </w:tc>
      </w:tr>
      <w:tr w:rsidR="009C13A9" w:rsidRPr="00C903F8" w:rsidTr="009C13A9">
        <w:tblPrEx>
          <w:tblCellMar>
            <w:left w:w="28" w:type="dxa"/>
            <w:right w:w="28" w:type="dxa"/>
          </w:tblCellMar>
        </w:tblPrEx>
        <w:trPr>
          <w:cantSplit/>
          <w:trHeight w:hRule="exact" w:val="160"/>
          <w:jc w:val="center"/>
        </w:trPr>
        <w:tc>
          <w:tcPr>
            <w:tcW w:w="9215" w:type="dxa"/>
            <w:gridSpan w:val="19"/>
            <w:vAlign w:val="center"/>
          </w:tcPr>
          <w:p w:rsidR="009C13A9" w:rsidRPr="00C903F8" w:rsidRDefault="009C13A9" w:rsidP="009C13A9">
            <w:pPr>
              <w:rPr>
                <w:noProof/>
              </w:rPr>
            </w:pPr>
          </w:p>
        </w:tc>
      </w:tr>
      <w:tr w:rsidR="009C13A9" w:rsidRPr="00A0619C" w:rsidTr="009C13A9">
        <w:tblPrEx>
          <w:tblCellMar>
            <w:left w:w="28" w:type="dxa"/>
            <w:right w:w="28" w:type="dxa"/>
          </w:tblCellMar>
        </w:tblPrEx>
        <w:trPr>
          <w:cantSplit/>
          <w:jc w:val="center"/>
        </w:trPr>
        <w:tc>
          <w:tcPr>
            <w:tcW w:w="2036" w:type="dxa"/>
            <w:gridSpan w:val="4"/>
            <w:vAlign w:val="center"/>
          </w:tcPr>
          <w:p w:rsidR="009C13A9" w:rsidRPr="00C903F8" w:rsidRDefault="009C13A9" w:rsidP="009C13A9">
            <w:pPr>
              <w:ind w:left="0" w:firstLine="0"/>
              <w:rPr>
                <w:noProof/>
                <w:szCs w:val="18"/>
              </w:rPr>
            </w:pPr>
            <w:r>
              <w:t>Omologazione n.:</w:t>
            </w:r>
          </w:p>
        </w:tc>
        <w:tc>
          <w:tcPr>
            <w:tcW w:w="3276" w:type="dxa"/>
            <w:gridSpan w:val="6"/>
            <w:vAlign w:val="center"/>
          </w:tcPr>
          <w:p w:rsidR="009C13A9" w:rsidRPr="00C903F8" w:rsidRDefault="009C13A9" w:rsidP="009C13A9">
            <w:pPr>
              <w:ind w:left="0" w:firstLine="0"/>
              <w:rPr>
                <w:noProof/>
                <w:szCs w:val="18"/>
              </w:rPr>
            </w:pPr>
            <w:r>
              <w:t>………………………………………..</w:t>
            </w:r>
          </w:p>
        </w:tc>
        <w:tc>
          <w:tcPr>
            <w:tcW w:w="1862" w:type="dxa"/>
            <w:gridSpan w:val="7"/>
            <w:vAlign w:val="center"/>
          </w:tcPr>
          <w:p w:rsidR="009C13A9" w:rsidRPr="00C903F8" w:rsidRDefault="009C13A9" w:rsidP="009C13A9">
            <w:pPr>
              <w:ind w:left="0" w:firstLine="0"/>
              <w:jc w:val="left"/>
              <w:rPr>
                <w:noProof/>
                <w:szCs w:val="18"/>
              </w:rPr>
            </w:pPr>
            <w:r>
              <w:t>Anno di costruzione dell'impianto di depurazione di bordo:</w:t>
            </w:r>
          </w:p>
        </w:tc>
        <w:tc>
          <w:tcPr>
            <w:tcW w:w="2041" w:type="dxa"/>
            <w:gridSpan w:val="2"/>
            <w:vAlign w:val="center"/>
          </w:tcPr>
          <w:p w:rsidR="009C13A9" w:rsidRPr="00C903F8" w:rsidRDefault="009C13A9" w:rsidP="009C13A9">
            <w:pPr>
              <w:tabs>
                <w:tab w:val="left" w:leader="dot" w:pos="1942"/>
              </w:tabs>
              <w:ind w:left="0" w:firstLine="0"/>
              <w:rPr>
                <w:noProof/>
                <w:szCs w:val="18"/>
              </w:rPr>
            </w:pPr>
            <w:r>
              <w:tab/>
            </w:r>
          </w:p>
        </w:tc>
      </w:tr>
      <w:tr w:rsidR="009C13A9" w:rsidRPr="00A0619C" w:rsidTr="009C13A9">
        <w:tblPrEx>
          <w:tblCellMar>
            <w:left w:w="28" w:type="dxa"/>
            <w:right w:w="28" w:type="dxa"/>
          </w:tblCellMar>
        </w:tblPrEx>
        <w:trPr>
          <w:cantSplit/>
          <w:trHeight w:hRule="exact" w:val="160"/>
          <w:jc w:val="center"/>
        </w:trPr>
        <w:tc>
          <w:tcPr>
            <w:tcW w:w="9215" w:type="dxa"/>
            <w:gridSpan w:val="19"/>
            <w:vAlign w:val="center"/>
          </w:tcPr>
          <w:p w:rsidR="009C13A9" w:rsidRPr="00C903F8" w:rsidRDefault="009C13A9" w:rsidP="009C13A9">
            <w:pPr>
              <w:ind w:left="0" w:firstLine="0"/>
              <w:rPr>
                <w:noProof/>
              </w:rPr>
            </w:pPr>
          </w:p>
        </w:tc>
      </w:tr>
      <w:tr w:rsidR="009C13A9" w:rsidRPr="00C903F8" w:rsidTr="009C13A9">
        <w:tblPrEx>
          <w:tblCellMar>
            <w:left w:w="28" w:type="dxa"/>
            <w:right w:w="28" w:type="dxa"/>
          </w:tblCellMar>
        </w:tblPrEx>
        <w:trPr>
          <w:cantSplit/>
          <w:jc w:val="center"/>
        </w:trPr>
        <w:tc>
          <w:tcPr>
            <w:tcW w:w="2036" w:type="dxa"/>
            <w:gridSpan w:val="4"/>
            <w:vAlign w:val="center"/>
          </w:tcPr>
          <w:p w:rsidR="009C13A9" w:rsidRPr="00C903F8" w:rsidRDefault="009C13A9" w:rsidP="00433D99">
            <w:pPr>
              <w:ind w:left="0" w:firstLine="0"/>
              <w:jc w:val="left"/>
              <w:rPr>
                <w:noProof/>
                <w:szCs w:val="18"/>
              </w:rPr>
            </w:pPr>
            <w:r>
              <w:t>Numero di serie dell'impianto di depurazione di bordo:</w:t>
            </w:r>
          </w:p>
        </w:tc>
        <w:tc>
          <w:tcPr>
            <w:tcW w:w="3276" w:type="dxa"/>
            <w:gridSpan w:val="6"/>
            <w:vAlign w:val="center"/>
          </w:tcPr>
          <w:p w:rsidR="009C13A9" w:rsidRPr="00C903F8" w:rsidRDefault="009C13A9" w:rsidP="009C13A9">
            <w:pPr>
              <w:ind w:left="0" w:firstLine="0"/>
              <w:rPr>
                <w:noProof/>
                <w:szCs w:val="18"/>
              </w:rPr>
            </w:pPr>
            <w:r>
              <w:t>………………………………………..</w:t>
            </w:r>
          </w:p>
        </w:tc>
        <w:tc>
          <w:tcPr>
            <w:tcW w:w="1560" w:type="dxa"/>
            <w:gridSpan w:val="4"/>
            <w:vAlign w:val="center"/>
          </w:tcPr>
          <w:p w:rsidR="009C13A9" w:rsidRPr="00C903F8" w:rsidRDefault="009C13A9" w:rsidP="009C13A9">
            <w:pPr>
              <w:ind w:left="0" w:firstLine="0"/>
              <w:jc w:val="left"/>
              <w:rPr>
                <w:noProof/>
                <w:szCs w:val="18"/>
              </w:rPr>
            </w:pPr>
            <w:r>
              <w:t>Sito di installazione:</w:t>
            </w:r>
          </w:p>
        </w:tc>
        <w:tc>
          <w:tcPr>
            <w:tcW w:w="2343" w:type="dxa"/>
            <w:gridSpan w:val="5"/>
            <w:vAlign w:val="center"/>
          </w:tcPr>
          <w:p w:rsidR="009C13A9" w:rsidRPr="00C903F8" w:rsidRDefault="009C13A9" w:rsidP="009C13A9">
            <w:pPr>
              <w:tabs>
                <w:tab w:val="left" w:leader="dot" w:pos="2244"/>
              </w:tabs>
              <w:ind w:left="0" w:firstLine="0"/>
              <w:rPr>
                <w:noProof/>
                <w:szCs w:val="18"/>
              </w:rPr>
            </w:pPr>
            <w:r>
              <w:tab/>
            </w:r>
          </w:p>
        </w:tc>
      </w:tr>
      <w:tr w:rsidR="009C13A9" w:rsidRPr="00C903F8" w:rsidTr="009C13A9">
        <w:tblPrEx>
          <w:tblCellMar>
            <w:left w:w="28" w:type="dxa"/>
            <w:right w:w="28" w:type="dxa"/>
          </w:tblCellMar>
        </w:tblPrEx>
        <w:trPr>
          <w:cantSplit/>
          <w:jc w:val="center"/>
        </w:trPr>
        <w:tc>
          <w:tcPr>
            <w:tcW w:w="2036" w:type="dxa"/>
            <w:gridSpan w:val="4"/>
            <w:vAlign w:val="center"/>
          </w:tcPr>
          <w:p w:rsidR="009C13A9" w:rsidRPr="00C903F8" w:rsidRDefault="009C13A9" w:rsidP="009C13A9">
            <w:pPr>
              <w:rPr>
                <w:noProof/>
              </w:rPr>
            </w:pPr>
          </w:p>
        </w:tc>
        <w:tc>
          <w:tcPr>
            <w:tcW w:w="7179" w:type="dxa"/>
            <w:gridSpan w:val="15"/>
            <w:tcBorders>
              <w:bottom w:val="nil"/>
            </w:tcBorders>
            <w:vAlign w:val="center"/>
          </w:tcPr>
          <w:p w:rsidR="009C13A9" w:rsidRPr="00C903F8" w:rsidRDefault="009C13A9" w:rsidP="009C13A9">
            <w:pPr>
              <w:rPr>
                <w:noProof/>
                <w:sz w:val="12"/>
                <w:szCs w:val="12"/>
              </w:rPr>
            </w:pPr>
            <w:r>
              <w:rPr>
                <w:noProof/>
                <w:sz w:val="12"/>
              </w:rPr>
              <w:t xml:space="preserve"> (Numero di serie)</w:t>
            </w:r>
          </w:p>
        </w:tc>
      </w:tr>
      <w:tr w:rsidR="009C13A9" w:rsidRPr="00C903F8" w:rsidTr="009C13A9">
        <w:tblPrEx>
          <w:tblCellMar>
            <w:left w:w="28" w:type="dxa"/>
            <w:right w:w="28" w:type="dxa"/>
          </w:tblCellMar>
        </w:tblPrEx>
        <w:trPr>
          <w:cantSplit/>
          <w:trHeight w:hRule="exact" w:val="160"/>
          <w:jc w:val="center"/>
        </w:trPr>
        <w:tc>
          <w:tcPr>
            <w:tcW w:w="9215" w:type="dxa"/>
            <w:gridSpan w:val="19"/>
            <w:vAlign w:val="center"/>
          </w:tcPr>
          <w:p w:rsidR="009C13A9" w:rsidRPr="00C903F8" w:rsidRDefault="009C13A9" w:rsidP="009C13A9">
            <w:pPr>
              <w:rPr>
                <w:noProof/>
              </w:rPr>
            </w:pPr>
          </w:p>
        </w:tc>
      </w:tr>
      <w:tr w:rsidR="009C13A9" w:rsidRPr="00A0619C" w:rsidTr="009C13A9">
        <w:tblPrEx>
          <w:tblCellMar>
            <w:left w:w="28" w:type="dxa"/>
            <w:right w:w="28" w:type="dxa"/>
          </w:tblCellMar>
        </w:tblPrEx>
        <w:trPr>
          <w:cantSplit/>
          <w:jc w:val="center"/>
        </w:trPr>
        <w:tc>
          <w:tcPr>
            <w:tcW w:w="9215" w:type="dxa"/>
            <w:gridSpan w:val="19"/>
            <w:vAlign w:val="center"/>
          </w:tcPr>
          <w:p w:rsidR="009C13A9" w:rsidRPr="00C903F8" w:rsidRDefault="009C13A9" w:rsidP="00E43E4C">
            <w:pPr>
              <w:ind w:left="0" w:firstLine="0"/>
              <w:rPr>
                <w:noProof/>
                <w:szCs w:val="20"/>
              </w:rPr>
            </w:pPr>
            <w:r>
              <w:t xml:space="preserve">L’impianto di depurazione di bordo e i suoi componenti che intervengono nel trattamento delle acque reflue sono stati identificati grazie all’apposita targhetta. Le prove sono state effettuate sulla base della guida del fabbricante per il controllo dei componenti e dei parametri relativi al trattamento delle acque reflue. </w:t>
            </w:r>
          </w:p>
        </w:tc>
      </w:tr>
      <w:tr w:rsidR="009C13A9" w:rsidRPr="00A0619C" w:rsidTr="009C13A9">
        <w:tblPrEx>
          <w:tblCellMar>
            <w:left w:w="28" w:type="dxa"/>
            <w:right w:w="28" w:type="dxa"/>
          </w:tblCellMar>
        </w:tblPrEx>
        <w:trPr>
          <w:cantSplit/>
          <w:jc w:val="center"/>
        </w:trPr>
        <w:tc>
          <w:tcPr>
            <w:tcW w:w="9215" w:type="dxa"/>
            <w:gridSpan w:val="19"/>
            <w:vAlign w:val="center"/>
          </w:tcPr>
          <w:p w:rsidR="009C13A9" w:rsidRPr="00C903F8" w:rsidRDefault="009C13A9" w:rsidP="009C13A9">
            <w:pPr>
              <w:rPr>
                <w:noProof/>
                <w:szCs w:val="20"/>
              </w:rPr>
            </w:pPr>
          </w:p>
        </w:tc>
      </w:tr>
      <w:tr w:rsidR="009C13A9" w:rsidRPr="00A0619C" w:rsidTr="009C13A9">
        <w:trPr>
          <w:cantSplit/>
          <w:jc w:val="center"/>
        </w:trPr>
        <w:tc>
          <w:tcPr>
            <w:tcW w:w="9215" w:type="dxa"/>
            <w:gridSpan w:val="19"/>
            <w:vAlign w:val="center"/>
          </w:tcPr>
          <w:p w:rsidR="009C13A9" w:rsidRPr="00C903F8" w:rsidRDefault="009C13A9" w:rsidP="009C13A9">
            <w:pPr>
              <w:rPr>
                <w:b/>
                <w:noProof/>
                <w:szCs w:val="20"/>
              </w:rPr>
            </w:pPr>
            <w:r>
              <w:rPr>
                <w:b/>
                <w:noProof/>
              </w:rPr>
              <w:t>A.</w:t>
            </w:r>
            <w:r>
              <w:tab/>
            </w:r>
            <w:r>
              <w:rPr>
                <w:b/>
                <w:noProof/>
              </w:rPr>
              <w:t>Prova dei componenti</w:t>
            </w:r>
          </w:p>
          <w:p w:rsidR="009C13A9" w:rsidRPr="00C903F8" w:rsidRDefault="009C13A9" w:rsidP="009C13A9">
            <w:pPr>
              <w:ind w:firstLine="3"/>
              <w:rPr>
                <w:noProof/>
                <w:szCs w:val="20"/>
              </w:rPr>
            </w:pPr>
          </w:p>
          <w:p w:rsidR="009C13A9" w:rsidRPr="00C903F8" w:rsidRDefault="009C13A9" w:rsidP="009C13A9">
            <w:pPr>
              <w:ind w:firstLine="3"/>
              <w:rPr>
                <w:noProof/>
                <w:szCs w:val="20"/>
              </w:rPr>
            </w:pPr>
            <w:r>
              <w:t>Ulteriori componenti che intervengono nel trattamento delle acque reflue elencati nella guida del costruttore per il controllo dei componenti e dei parametri che intervengono nel trattamento delle acque reflue o la sezione II dell'appendice 4 devono essere indicati di seguito.</w:t>
            </w:r>
          </w:p>
          <w:p w:rsidR="009C13A9" w:rsidRPr="00C903F8" w:rsidRDefault="009C13A9" w:rsidP="009C13A9">
            <w:pPr>
              <w:rPr>
                <w:noProof/>
                <w:szCs w:val="20"/>
              </w:rPr>
            </w:pPr>
          </w:p>
        </w:tc>
      </w:tr>
      <w:tr w:rsidR="009C13A9" w:rsidRPr="00C903F8" w:rsidTr="009C13A9">
        <w:trPr>
          <w:jc w:val="center"/>
        </w:trPr>
        <w:tc>
          <w:tcPr>
            <w:tcW w:w="426" w:type="dxa"/>
            <w:tcBorders>
              <w:right w:val="single" w:sz="4" w:space="0" w:color="auto"/>
            </w:tcBorders>
            <w:vAlign w:val="center"/>
          </w:tcPr>
          <w:p w:rsidR="009C13A9" w:rsidRPr="00C903F8" w:rsidRDefault="009C13A9" w:rsidP="009C13A9">
            <w:pPr>
              <w:spacing w:before="60" w:after="60" w:line="240" w:lineRule="atLeast"/>
              <w:rPr>
                <w:noProof/>
                <w:sz w:val="18"/>
                <w:szCs w:val="18"/>
              </w:rPr>
            </w:pPr>
          </w:p>
        </w:tc>
        <w:tc>
          <w:tcPr>
            <w:tcW w:w="2693" w:type="dxa"/>
            <w:gridSpan w:val="4"/>
            <w:tcBorders>
              <w:top w:val="single" w:sz="4" w:space="0" w:color="auto"/>
              <w:left w:val="nil"/>
              <w:bottom w:val="single" w:sz="4" w:space="0" w:color="auto"/>
              <w:right w:val="single" w:sz="4" w:space="0" w:color="auto"/>
            </w:tcBorders>
            <w:vAlign w:val="center"/>
          </w:tcPr>
          <w:p w:rsidR="009C13A9" w:rsidRPr="00C903F8" w:rsidRDefault="009C13A9" w:rsidP="009C13A9">
            <w:pPr>
              <w:spacing w:before="60" w:after="60" w:line="240" w:lineRule="atLeast"/>
              <w:jc w:val="center"/>
              <w:rPr>
                <w:noProof/>
                <w:sz w:val="18"/>
                <w:szCs w:val="18"/>
              </w:rPr>
            </w:pPr>
            <w:r>
              <w:rPr>
                <w:noProof/>
                <w:sz w:val="18"/>
              </w:rPr>
              <w:t>Componente</w:t>
            </w:r>
          </w:p>
        </w:tc>
        <w:tc>
          <w:tcPr>
            <w:tcW w:w="2977" w:type="dxa"/>
            <w:gridSpan w:val="6"/>
            <w:tcBorders>
              <w:top w:val="single" w:sz="4" w:space="0" w:color="auto"/>
              <w:left w:val="nil"/>
              <w:bottom w:val="single" w:sz="4" w:space="0" w:color="auto"/>
              <w:right w:val="single" w:sz="4" w:space="0" w:color="auto"/>
            </w:tcBorders>
            <w:vAlign w:val="center"/>
          </w:tcPr>
          <w:p w:rsidR="009C13A9" w:rsidRPr="00C903F8" w:rsidRDefault="009C13A9" w:rsidP="009C13A9">
            <w:pPr>
              <w:spacing w:before="60" w:after="60" w:line="240" w:lineRule="atLeast"/>
              <w:jc w:val="center"/>
              <w:rPr>
                <w:bCs/>
                <w:noProof/>
                <w:sz w:val="18"/>
                <w:szCs w:val="18"/>
              </w:rPr>
            </w:pPr>
            <w:r>
              <w:rPr>
                <w:noProof/>
                <w:sz w:val="18"/>
              </w:rPr>
              <w:t>Numero del componente identificato</w:t>
            </w:r>
          </w:p>
        </w:tc>
        <w:tc>
          <w:tcPr>
            <w:tcW w:w="3119" w:type="dxa"/>
            <w:gridSpan w:val="8"/>
            <w:tcBorders>
              <w:top w:val="single" w:sz="4" w:space="0" w:color="auto"/>
              <w:left w:val="nil"/>
              <w:bottom w:val="single" w:sz="4" w:space="0" w:color="auto"/>
              <w:right w:val="single" w:sz="4" w:space="0" w:color="auto"/>
            </w:tcBorders>
            <w:vAlign w:val="center"/>
          </w:tcPr>
          <w:p w:rsidR="009C13A9" w:rsidRPr="00C903F8" w:rsidRDefault="009C13A9" w:rsidP="009C13A9">
            <w:pPr>
              <w:spacing w:before="60" w:after="60" w:line="240" w:lineRule="atLeast"/>
              <w:jc w:val="center"/>
              <w:rPr>
                <w:b/>
                <w:noProof/>
                <w:sz w:val="18"/>
                <w:szCs w:val="18"/>
              </w:rPr>
            </w:pPr>
            <w:r>
              <w:rPr>
                <w:noProof/>
                <w:sz w:val="18"/>
              </w:rPr>
              <w:t>Conformità</w:t>
            </w:r>
            <w:r>
              <w:rPr>
                <w:noProof/>
                <w:vertAlign w:val="superscript"/>
              </w:rPr>
              <w:footnoteReference w:id="73"/>
            </w:r>
          </w:p>
        </w:tc>
      </w:tr>
      <w:tr w:rsidR="009C13A9" w:rsidRPr="00C903F8"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C903F8" w:rsidRDefault="009C13A9" w:rsidP="009C13A9">
            <w:pPr>
              <w:spacing w:before="60" w:after="60" w:line="240" w:lineRule="atLeast"/>
              <w:rPr>
                <w:noProof/>
                <w:sz w:val="18"/>
                <w:szCs w:val="18"/>
              </w:rPr>
            </w:pPr>
          </w:p>
        </w:tc>
        <w:tc>
          <w:tcPr>
            <w:tcW w:w="2693" w:type="dxa"/>
            <w:gridSpan w:val="4"/>
            <w:tcBorders>
              <w:top w:val="nil"/>
              <w:left w:val="nil"/>
            </w:tcBorders>
            <w:vAlign w:val="center"/>
          </w:tcPr>
          <w:p w:rsidR="009C13A9" w:rsidRPr="00C903F8" w:rsidRDefault="009C13A9" w:rsidP="009C13A9">
            <w:pPr>
              <w:spacing w:before="60" w:after="60" w:line="240" w:lineRule="atLeast"/>
              <w:rPr>
                <w:noProof/>
                <w:sz w:val="18"/>
                <w:szCs w:val="18"/>
              </w:rPr>
            </w:pPr>
          </w:p>
        </w:tc>
        <w:tc>
          <w:tcPr>
            <w:tcW w:w="2977" w:type="dxa"/>
            <w:gridSpan w:val="6"/>
            <w:tcBorders>
              <w:top w:val="nil"/>
            </w:tcBorders>
            <w:vAlign w:val="center"/>
          </w:tcPr>
          <w:p w:rsidR="009C13A9" w:rsidRPr="00C903F8" w:rsidRDefault="009C13A9" w:rsidP="009C13A9">
            <w:pPr>
              <w:spacing w:before="60" w:after="60" w:line="240" w:lineRule="atLeast"/>
              <w:rPr>
                <w:noProof/>
                <w:sz w:val="18"/>
                <w:szCs w:val="18"/>
              </w:rPr>
            </w:pPr>
          </w:p>
        </w:tc>
        <w:tc>
          <w:tcPr>
            <w:tcW w:w="1039" w:type="dxa"/>
            <w:gridSpan w:val="5"/>
            <w:tcBorders>
              <w:righ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1"/>
                  <w:enabled/>
                  <w:calcOnExit w:val="0"/>
                  <w:checkBox>
                    <w:size w:val="20"/>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Sì</w:t>
            </w:r>
          </w:p>
        </w:tc>
        <w:tc>
          <w:tcPr>
            <w:tcW w:w="1039" w:type="dxa"/>
            <w:gridSpan w:val="2"/>
            <w:tcBorders>
              <w:left w:val="nil"/>
              <w:righ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5"/>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No</w:t>
            </w:r>
          </w:p>
        </w:tc>
        <w:tc>
          <w:tcPr>
            <w:tcW w:w="1041" w:type="dxa"/>
            <w:tcBorders>
              <w:lef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6"/>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n/d</w:t>
            </w:r>
          </w:p>
        </w:tc>
      </w:tr>
      <w:tr w:rsidR="009C13A9" w:rsidRPr="00C903F8"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C903F8" w:rsidRDefault="009C13A9" w:rsidP="009C13A9">
            <w:pPr>
              <w:spacing w:before="60" w:after="60" w:line="240" w:lineRule="atLeast"/>
              <w:rPr>
                <w:noProof/>
                <w:sz w:val="18"/>
                <w:szCs w:val="18"/>
              </w:rPr>
            </w:pPr>
          </w:p>
        </w:tc>
        <w:tc>
          <w:tcPr>
            <w:tcW w:w="2693" w:type="dxa"/>
            <w:gridSpan w:val="4"/>
            <w:tcBorders>
              <w:left w:val="nil"/>
            </w:tcBorders>
            <w:vAlign w:val="center"/>
          </w:tcPr>
          <w:p w:rsidR="009C13A9" w:rsidRPr="00C903F8" w:rsidRDefault="009C13A9" w:rsidP="009C13A9">
            <w:pPr>
              <w:spacing w:before="60" w:after="60" w:line="240" w:lineRule="atLeast"/>
              <w:rPr>
                <w:noProof/>
                <w:sz w:val="18"/>
                <w:szCs w:val="18"/>
              </w:rPr>
            </w:pPr>
          </w:p>
        </w:tc>
        <w:tc>
          <w:tcPr>
            <w:tcW w:w="2977" w:type="dxa"/>
            <w:gridSpan w:val="6"/>
            <w:vAlign w:val="center"/>
          </w:tcPr>
          <w:p w:rsidR="009C13A9" w:rsidRPr="00C903F8" w:rsidRDefault="009C13A9" w:rsidP="009C13A9">
            <w:pPr>
              <w:spacing w:before="60" w:after="60" w:line="240" w:lineRule="atLeast"/>
              <w:rPr>
                <w:noProof/>
                <w:sz w:val="18"/>
                <w:szCs w:val="18"/>
              </w:rPr>
            </w:pPr>
          </w:p>
        </w:tc>
        <w:tc>
          <w:tcPr>
            <w:tcW w:w="1039" w:type="dxa"/>
            <w:gridSpan w:val="5"/>
            <w:tcBorders>
              <w:righ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7"/>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Sì</w:t>
            </w:r>
          </w:p>
        </w:tc>
        <w:tc>
          <w:tcPr>
            <w:tcW w:w="1039" w:type="dxa"/>
            <w:gridSpan w:val="2"/>
            <w:tcBorders>
              <w:left w:val="nil"/>
              <w:righ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8"/>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No</w:t>
            </w:r>
          </w:p>
        </w:tc>
        <w:tc>
          <w:tcPr>
            <w:tcW w:w="1041" w:type="dxa"/>
            <w:tcBorders>
              <w:lef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9"/>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n/d</w:t>
            </w:r>
          </w:p>
        </w:tc>
      </w:tr>
      <w:tr w:rsidR="009C13A9" w:rsidRPr="00C903F8"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C903F8" w:rsidRDefault="009C13A9" w:rsidP="009C13A9">
            <w:pPr>
              <w:spacing w:before="60" w:after="60" w:line="240" w:lineRule="atLeast"/>
              <w:rPr>
                <w:noProof/>
                <w:sz w:val="18"/>
                <w:szCs w:val="18"/>
              </w:rPr>
            </w:pPr>
          </w:p>
        </w:tc>
        <w:tc>
          <w:tcPr>
            <w:tcW w:w="2693" w:type="dxa"/>
            <w:gridSpan w:val="4"/>
            <w:tcBorders>
              <w:left w:val="nil"/>
            </w:tcBorders>
            <w:vAlign w:val="center"/>
          </w:tcPr>
          <w:p w:rsidR="009C13A9" w:rsidRPr="00C903F8" w:rsidRDefault="009C13A9" w:rsidP="009C13A9">
            <w:pPr>
              <w:spacing w:before="60" w:after="60" w:line="240" w:lineRule="atLeast"/>
              <w:rPr>
                <w:noProof/>
                <w:sz w:val="18"/>
                <w:szCs w:val="18"/>
              </w:rPr>
            </w:pPr>
          </w:p>
        </w:tc>
        <w:tc>
          <w:tcPr>
            <w:tcW w:w="2977" w:type="dxa"/>
            <w:gridSpan w:val="6"/>
            <w:vAlign w:val="center"/>
          </w:tcPr>
          <w:p w:rsidR="009C13A9" w:rsidRPr="00C903F8" w:rsidRDefault="009C13A9" w:rsidP="009C13A9">
            <w:pPr>
              <w:spacing w:before="60" w:after="60" w:line="240" w:lineRule="atLeast"/>
              <w:rPr>
                <w:noProof/>
                <w:sz w:val="18"/>
                <w:szCs w:val="18"/>
              </w:rPr>
            </w:pPr>
          </w:p>
        </w:tc>
        <w:tc>
          <w:tcPr>
            <w:tcW w:w="1039" w:type="dxa"/>
            <w:gridSpan w:val="5"/>
            <w:tcBorders>
              <w:righ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7"/>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Sì</w:t>
            </w:r>
          </w:p>
        </w:tc>
        <w:tc>
          <w:tcPr>
            <w:tcW w:w="1039" w:type="dxa"/>
            <w:gridSpan w:val="2"/>
            <w:tcBorders>
              <w:left w:val="nil"/>
              <w:righ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8"/>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No</w:t>
            </w:r>
          </w:p>
        </w:tc>
        <w:tc>
          <w:tcPr>
            <w:tcW w:w="1041" w:type="dxa"/>
            <w:tcBorders>
              <w:lef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9"/>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n/d</w:t>
            </w:r>
          </w:p>
        </w:tc>
      </w:tr>
      <w:tr w:rsidR="009C13A9" w:rsidRPr="00C903F8"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C903F8" w:rsidRDefault="009C13A9" w:rsidP="009C13A9">
            <w:pPr>
              <w:spacing w:before="60" w:after="60" w:line="240" w:lineRule="atLeast"/>
              <w:rPr>
                <w:noProof/>
                <w:sz w:val="18"/>
                <w:szCs w:val="18"/>
              </w:rPr>
            </w:pPr>
          </w:p>
        </w:tc>
        <w:tc>
          <w:tcPr>
            <w:tcW w:w="2693" w:type="dxa"/>
            <w:gridSpan w:val="4"/>
            <w:tcBorders>
              <w:left w:val="nil"/>
            </w:tcBorders>
            <w:vAlign w:val="center"/>
          </w:tcPr>
          <w:p w:rsidR="009C13A9" w:rsidRPr="00C903F8" w:rsidRDefault="009C13A9" w:rsidP="009C13A9">
            <w:pPr>
              <w:spacing w:before="60" w:after="60" w:line="240" w:lineRule="atLeast"/>
              <w:rPr>
                <w:noProof/>
                <w:sz w:val="18"/>
                <w:szCs w:val="18"/>
              </w:rPr>
            </w:pPr>
          </w:p>
        </w:tc>
        <w:tc>
          <w:tcPr>
            <w:tcW w:w="2977" w:type="dxa"/>
            <w:gridSpan w:val="6"/>
            <w:vAlign w:val="center"/>
          </w:tcPr>
          <w:p w:rsidR="009C13A9" w:rsidRPr="00C903F8" w:rsidRDefault="009C13A9" w:rsidP="009C13A9">
            <w:pPr>
              <w:spacing w:before="60" w:after="60" w:line="240" w:lineRule="atLeast"/>
              <w:rPr>
                <w:noProof/>
                <w:sz w:val="18"/>
                <w:szCs w:val="18"/>
              </w:rPr>
            </w:pPr>
          </w:p>
        </w:tc>
        <w:tc>
          <w:tcPr>
            <w:tcW w:w="1039" w:type="dxa"/>
            <w:gridSpan w:val="5"/>
            <w:tcBorders>
              <w:righ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7"/>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Sì</w:t>
            </w:r>
          </w:p>
        </w:tc>
        <w:tc>
          <w:tcPr>
            <w:tcW w:w="1039" w:type="dxa"/>
            <w:gridSpan w:val="2"/>
            <w:tcBorders>
              <w:left w:val="nil"/>
              <w:righ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8"/>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No</w:t>
            </w:r>
          </w:p>
        </w:tc>
        <w:tc>
          <w:tcPr>
            <w:tcW w:w="1041" w:type="dxa"/>
            <w:tcBorders>
              <w:lef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9"/>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n/d</w:t>
            </w:r>
          </w:p>
        </w:tc>
      </w:tr>
      <w:tr w:rsidR="009C13A9" w:rsidRPr="00C903F8"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C903F8" w:rsidRDefault="009C13A9" w:rsidP="009C13A9">
            <w:pPr>
              <w:spacing w:before="60" w:after="60" w:line="240" w:lineRule="atLeast"/>
              <w:rPr>
                <w:noProof/>
                <w:sz w:val="18"/>
                <w:szCs w:val="18"/>
              </w:rPr>
            </w:pPr>
          </w:p>
        </w:tc>
        <w:tc>
          <w:tcPr>
            <w:tcW w:w="2693" w:type="dxa"/>
            <w:gridSpan w:val="4"/>
            <w:tcBorders>
              <w:left w:val="nil"/>
            </w:tcBorders>
            <w:vAlign w:val="center"/>
          </w:tcPr>
          <w:p w:rsidR="009C13A9" w:rsidRPr="00C903F8" w:rsidRDefault="009C13A9" w:rsidP="009C13A9">
            <w:pPr>
              <w:spacing w:before="60" w:after="60" w:line="240" w:lineRule="atLeast"/>
              <w:rPr>
                <w:noProof/>
                <w:sz w:val="18"/>
                <w:szCs w:val="18"/>
              </w:rPr>
            </w:pPr>
          </w:p>
        </w:tc>
        <w:tc>
          <w:tcPr>
            <w:tcW w:w="2977" w:type="dxa"/>
            <w:gridSpan w:val="6"/>
            <w:vAlign w:val="center"/>
          </w:tcPr>
          <w:p w:rsidR="009C13A9" w:rsidRPr="00C903F8" w:rsidRDefault="009C13A9" w:rsidP="009C13A9">
            <w:pPr>
              <w:spacing w:before="60" w:after="60" w:line="240" w:lineRule="atLeast"/>
              <w:rPr>
                <w:noProof/>
                <w:sz w:val="18"/>
                <w:szCs w:val="18"/>
              </w:rPr>
            </w:pPr>
          </w:p>
        </w:tc>
        <w:tc>
          <w:tcPr>
            <w:tcW w:w="1039" w:type="dxa"/>
            <w:gridSpan w:val="5"/>
            <w:tcBorders>
              <w:righ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13"/>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Sì</w:t>
            </w:r>
          </w:p>
        </w:tc>
        <w:tc>
          <w:tcPr>
            <w:tcW w:w="1039" w:type="dxa"/>
            <w:gridSpan w:val="2"/>
            <w:tcBorders>
              <w:left w:val="nil"/>
              <w:righ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14"/>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No</w:t>
            </w:r>
          </w:p>
        </w:tc>
        <w:tc>
          <w:tcPr>
            <w:tcW w:w="1041" w:type="dxa"/>
            <w:tcBorders>
              <w:lef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15"/>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n/d</w:t>
            </w:r>
          </w:p>
        </w:tc>
      </w:tr>
      <w:tr w:rsidR="009C13A9" w:rsidRPr="00C903F8"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9C13A9" w:rsidRPr="00C903F8" w:rsidRDefault="009C13A9" w:rsidP="009C13A9">
            <w:pPr>
              <w:spacing w:before="60" w:after="60" w:line="240" w:lineRule="atLeast"/>
              <w:rPr>
                <w:noProof/>
                <w:sz w:val="18"/>
                <w:szCs w:val="18"/>
              </w:rPr>
            </w:pPr>
          </w:p>
        </w:tc>
        <w:tc>
          <w:tcPr>
            <w:tcW w:w="2693" w:type="dxa"/>
            <w:gridSpan w:val="4"/>
            <w:tcBorders>
              <w:left w:val="nil"/>
            </w:tcBorders>
            <w:vAlign w:val="center"/>
          </w:tcPr>
          <w:p w:rsidR="009C13A9" w:rsidRPr="00C903F8" w:rsidRDefault="009C13A9" w:rsidP="009C13A9">
            <w:pPr>
              <w:spacing w:before="60" w:after="60" w:line="240" w:lineRule="atLeast"/>
              <w:rPr>
                <w:noProof/>
                <w:sz w:val="18"/>
                <w:szCs w:val="18"/>
              </w:rPr>
            </w:pPr>
          </w:p>
        </w:tc>
        <w:tc>
          <w:tcPr>
            <w:tcW w:w="2977" w:type="dxa"/>
            <w:gridSpan w:val="6"/>
            <w:vAlign w:val="center"/>
          </w:tcPr>
          <w:p w:rsidR="009C13A9" w:rsidRPr="00C903F8" w:rsidRDefault="009C13A9" w:rsidP="009C13A9">
            <w:pPr>
              <w:spacing w:before="60" w:after="60" w:line="240" w:lineRule="atLeast"/>
              <w:rPr>
                <w:noProof/>
                <w:sz w:val="18"/>
                <w:szCs w:val="18"/>
              </w:rPr>
            </w:pPr>
          </w:p>
        </w:tc>
        <w:tc>
          <w:tcPr>
            <w:tcW w:w="1039" w:type="dxa"/>
            <w:gridSpan w:val="5"/>
            <w:tcBorders>
              <w:righ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7"/>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Sì</w:t>
            </w:r>
          </w:p>
        </w:tc>
        <w:tc>
          <w:tcPr>
            <w:tcW w:w="1039" w:type="dxa"/>
            <w:gridSpan w:val="2"/>
            <w:tcBorders>
              <w:left w:val="nil"/>
              <w:righ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8"/>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No</w:t>
            </w:r>
          </w:p>
        </w:tc>
        <w:tc>
          <w:tcPr>
            <w:tcW w:w="1041" w:type="dxa"/>
            <w:tcBorders>
              <w:lef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9"/>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n/d</w:t>
            </w:r>
          </w:p>
        </w:tc>
      </w:tr>
      <w:tr w:rsidR="009C13A9" w:rsidRPr="00C903F8"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C903F8" w:rsidRDefault="009C13A9" w:rsidP="009C13A9">
            <w:pPr>
              <w:spacing w:before="60" w:after="60" w:line="240" w:lineRule="atLeast"/>
              <w:rPr>
                <w:noProof/>
                <w:sz w:val="18"/>
                <w:szCs w:val="18"/>
              </w:rPr>
            </w:pPr>
          </w:p>
        </w:tc>
        <w:tc>
          <w:tcPr>
            <w:tcW w:w="2693" w:type="dxa"/>
            <w:gridSpan w:val="4"/>
            <w:tcBorders>
              <w:left w:val="nil"/>
            </w:tcBorders>
            <w:vAlign w:val="center"/>
          </w:tcPr>
          <w:p w:rsidR="009C13A9" w:rsidRPr="00C903F8" w:rsidRDefault="009C13A9" w:rsidP="009C13A9">
            <w:pPr>
              <w:spacing w:before="60" w:after="60" w:line="240" w:lineRule="atLeast"/>
              <w:rPr>
                <w:noProof/>
                <w:sz w:val="18"/>
                <w:szCs w:val="18"/>
              </w:rPr>
            </w:pPr>
          </w:p>
        </w:tc>
        <w:tc>
          <w:tcPr>
            <w:tcW w:w="2977" w:type="dxa"/>
            <w:gridSpan w:val="6"/>
            <w:vAlign w:val="center"/>
          </w:tcPr>
          <w:p w:rsidR="009C13A9" w:rsidRPr="00C903F8" w:rsidRDefault="009C13A9" w:rsidP="009C13A9">
            <w:pPr>
              <w:spacing w:before="60" w:after="60" w:line="240" w:lineRule="atLeast"/>
              <w:rPr>
                <w:noProof/>
                <w:sz w:val="18"/>
                <w:szCs w:val="18"/>
              </w:rPr>
            </w:pPr>
          </w:p>
        </w:tc>
        <w:tc>
          <w:tcPr>
            <w:tcW w:w="1039" w:type="dxa"/>
            <w:gridSpan w:val="5"/>
            <w:tcBorders>
              <w:righ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16"/>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Sì</w:t>
            </w:r>
          </w:p>
        </w:tc>
        <w:tc>
          <w:tcPr>
            <w:tcW w:w="1039" w:type="dxa"/>
            <w:gridSpan w:val="2"/>
            <w:tcBorders>
              <w:left w:val="nil"/>
              <w:righ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17"/>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No</w:t>
            </w:r>
          </w:p>
        </w:tc>
        <w:tc>
          <w:tcPr>
            <w:tcW w:w="1041" w:type="dxa"/>
            <w:tcBorders>
              <w:lef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18"/>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n/d</w:t>
            </w:r>
          </w:p>
        </w:tc>
      </w:tr>
      <w:tr w:rsidR="009C13A9" w:rsidRPr="00C903F8"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9C13A9" w:rsidRPr="00C903F8" w:rsidRDefault="009C13A9" w:rsidP="009C13A9">
            <w:pPr>
              <w:spacing w:before="60" w:after="60" w:line="240" w:lineRule="atLeast"/>
              <w:rPr>
                <w:noProof/>
                <w:sz w:val="18"/>
                <w:szCs w:val="18"/>
              </w:rPr>
            </w:pPr>
          </w:p>
        </w:tc>
        <w:tc>
          <w:tcPr>
            <w:tcW w:w="2693" w:type="dxa"/>
            <w:gridSpan w:val="4"/>
            <w:tcBorders>
              <w:left w:val="nil"/>
            </w:tcBorders>
            <w:vAlign w:val="center"/>
          </w:tcPr>
          <w:p w:rsidR="009C13A9" w:rsidRPr="00C903F8" w:rsidRDefault="009C13A9" w:rsidP="009C13A9">
            <w:pPr>
              <w:spacing w:before="60" w:after="60" w:line="240" w:lineRule="atLeast"/>
              <w:rPr>
                <w:noProof/>
                <w:sz w:val="18"/>
                <w:szCs w:val="18"/>
              </w:rPr>
            </w:pPr>
          </w:p>
        </w:tc>
        <w:tc>
          <w:tcPr>
            <w:tcW w:w="2977" w:type="dxa"/>
            <w:gridSpan w:val="6"/>
            <w:vAlign w:val="center"/>
          </w:tcPr>
          <w:p w:rsidR="009C13A9" w:rsidRPr="00C903F8" w:rsidRDefault="009C13A9" w:rsidP="009C13A9">
            <w:pPr>
              <w:spacing w:before="60" w:after="60" w:line="240" w:lineRule="atLeast"/>
              <w:rPr>
                <w:noProof/>
                <w:sz w:val="18"/>
                <w:szCs w:val="18"/>
              </w:rPr>
            </w:pPr>
          </w:p>
        </w:tc>
        <w:tc>
          <w:tcPr>
            <w:tcW w:w="1039" w:type="dxa"/>
            <w:gridSpan w:val="5"/>
            <w:tcBorders>
              <w:righ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19"/>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Sì</w:t>
            </w:r>
          </w:p>
        </w:tc>
        <w:tc>
          <w:tcPr>
            <w:tcW w:w="1039" w:type="dxa"/>
            <w:gridSpan w:val="2"/>
            <w:tcBorders>
              <w:left w:val="nil"/>
              <w:righ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20"/>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No</w:t>
            </w:r>
          </w:p>
        </w:tc>
        <w:tc>
          <w:tcPr>
            <w:tcW w:w="1041" w:type="dxa"/>
            <w:tcBorders>
              <w:lef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21"/>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n/d</w:t>
            </w:r>
          </w:p>
        </w:tc>
      </w:tr>
      <w:tr w:rsidR="009C13A9" w:rsidRPr="00C903F8"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9C13A9" w:rsidRPr="00C903F8" w:rsidRDefault="009C13A9" w:rsidP="009C13A9">
            <w:pPr>
              <w:spacing w:before="60" w:after="60" w:line="240" w:lineRule="atLeast"/>
              <w:rPr>
                <w:noProof/>
                <w:sz w:val="18"/>
                <w:szCs w:val="18"/>
              </w:rPr>
            </w:pPr>
          </w:p>
        </w:tc>
        <w:tc>
          <w:tcPr>
            <w:tcW w:w="2693" w:type="dxa"/>
            <w:gridSpan w:val="4"/>
            <w:tcBorders>
              <w:left w:val="nil"/>
            </w:tcBorders>
            <w:vAlign w:val="center"/>
          </w:tcPr>
          <w:p w:rsidR="009C13A9" w:rsidRPr="00C903F8" w:rsidRDefault="009C13A9" w:rsidP="009C13A9">
            <w:pPr>
              <w:spacing w:before="60" w:after="60" w:line="240" w:lineRule="atLeast"/>
              <w:rPr>
                <w:noProof/>
                <w:sz w:val="18"/>
                <w:szCs w:val="18"/>
              </w:rPr>
            </w:pPr>
          </w:p>
        </w:tc>
        <w:tc>
          <w:tcPr>
            <w:tcW w:w="2977" w:type="dxa"/>
            <w:gridSpan w:val="6"/>
            <w:vAlign w:val="center"/>
          </w:tcPr>
          <w:p w:rsidR="009C13A9" w:rsidRPr="00C903F8" w:rsidRDefault="009C13A9" w:rsidP="009C13A9">
            <w:pPr>
              <w:spacing w:before="60" w:after="60" w:line="240" w:lineRule="atLeast"/>
              <w:rPr>
                <w:noProof/>
                <w:sz w:val="18"/>
                <w:szCs w:val="18"/>
              </w:rPr>
            </w:pPr>
          </w:p>
        </w:tc>
        <w:tc>
          <w:tcPr>
            <w:tcW w:w="1039" w:type="dxa"/>
            <w:gridSpan w:val="5"/>
            <w:tcBorders>
              <w:righ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19"/>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Sì</w:t>
            </w:r>
          </w:p>
        </w:tc>
        <w:tc>
          <w:tcPr>
            <w:tcW w:w="1039" w:type="dxa"/>
            <w:gridSpan w:val="2"/>
            <w:tcBorders>
              <w:left w:val="nil"/>
              <w:righ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20"/>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No</w:t>
            </w:r>
          </w:p>
        </w:tc>
        <w:tc>
          <w:tcPr>
            <w:tcW w:w="1041" w:type="dxa"/>
            <w:tcBorders>
              <w:left w:val="nil"/>
            </w:tcBorders>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21"/>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n/d</w:t>
            </w:r>
          </w:p>
        </w:tc>
      </w:tr>
    </w:tbl>
    <w:p w:rsidR="009C13A9" w:rsidRPr="00C903F8" w:rsidRDefault="009C13A9" w:rsidP="009C13A9">
      <w:pPr>
        <w:rPr>
          <w:b/>
          <w:bCs/>
          <w:noProof/>
          <w:sz w:val="18"/>
          <w:szCs w:val="18"/>
        </w:rPr>
      </w:pPr>
    </w:p>
    <w:p w:rsidR="009C13A9" w:rsidRPr="00C903F8" w:rsidRDefault="009C13A9" w:rsidP="009C13A9">
      <w:pPr>
        <w:rPr>
          <w:b/>
          <w:bCs/>
          <w:noProof/>
          <w:sz w:val="18"/>
          <w:szCs w:val="18"/>
        </w:rPr>
      </w:pPr>
      <w:r>
        <w:br w:type="page"/>
      </w:r>
    </w:p>
    <w:p w:rsidR="009C13A9" w:rsidRPr="00C903F8" w:rsidRDefault="009C13A9" w:rsidP="009C13A9">
      <w:pPr>
        <w:rPr>
          <w:b/>
          <w:bCs/>
          <w:noProof/>
          <w:sz w:val="18"/>
          <w:szCs w:val="18"/>
        </w:rPr>
      </w:pPr>
      <w:r>
        <w:rPr>
          <w:b/>
          <w:noProof/>
          <w:sz w:val="18"/>
        </w:rPr>
        <w:lastRenderedPageBreak/>
        <w:t>B.</w:t>
      </w:r>
      <w:r>
        <w:tab/>
      </w:r>
      <w:r>
        <w:rPr>
          <w:b/>
          <w:noProof/>
          <w:sz w:val="18"/>
        </w:rPr>
        <w:t>Risultati della misurazione dei campioni scelti a caso:</w:t>
      </w:r>
    </w:p>
    <w:p w:rsidR="009C13A9" w:rsidRPr="00C903F8" w:rsidRDefault="009C13A9" w:rsidP="009C13A9">
      <w:pPr>
        <w:rPr>
          <w:noProof/>
        </w:rPr>
      </w:pPr>
    </w:p>
    <w:tbl>
      <w:tblPr>
        <w:tblW w:w="92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6"/>
        <w:gridCol w:w="870"/>
        <w:gridCol w:w="514"/>
        <w:gridCol w:w="195"/>
        <w:gridCol w:w="567"/>
        <w:gridCol w:w="810"/>
        <w:gridCol w:w="998"/>
        <w:gridCol w:w="176"/>
        <w:gridCol w:w="953"/>
        <w:gridCol w:w="409"/>
        <w:gridCol w:w="3317"/>
      </w:tblGrid>
      <w:tr w:rsidR="009C13A9" w:rsidRPr="00C903F8" w:rsidTr="009C13A9">
        <w:trPr>
          <w:gridBefore w:val="1"/>
          <w:gridAfter w:val="2"/>
          <w:wBefore w:w="406" w:type="dxa"/>
          <w:wAfter w:w="3726" w:type="dxa"/>
          <w:cantSplit/>
          <w:jc w:val="center"/>
        </w:trPr>
        <w:tc>
          <w:tcPr>
            <w:tcW w:w="1384" w:type="dxa"/>
            <w:gridSpan w:val="2"/>
            <w:vAlign w:val="center"/>
          </w:tcPr>
          <w:p w:rsidR="009C13A9" w:rsidRPr="00C903F8" w:rsidRDefault="009C13A9" w:rsidP="00390107">
            <w:pPr>
              <w:spacing w:before="60" w:after="60" w:line="240" w:lineRule="atLeast"/>
              <w:jc w:val="center"/>
              <w:rPr>
                <w:noProof/>
                <w:sz w:val="18"/>
                <w:szCs w:val="18"/>
              </w:rPr>
            </w:pPr>
            <w:r>
              <w:rPr>
                <w:noProof/>
                <w:sz w:val="18"/>
              </w:rPr>
              <w:t>Parametro</w:t>
            </w:r>
          </w:p>
        </w:tc>
        <w:tc>
          <w:tcPr>
            <w:tcW w:w="1572" w:type="dxa"/>
            <w:gridSpan w:val="3"/>
            <w:vAlign w:val="center"/>
          </w:tcPr>
          <w:p w:rsidR="009C13A9" w:rsidRPr="00C903F8" w:rsidRDefault="009C13A9" w:rsidP="00390107">
            <w:pPr>
              <w:spacing w:before="60" w:after="60" w:line="240" w:lineRule="atLeast"/>
              <w:jc w:val="center"/>
              <w:rPr>
                <w:noProof/>
                <w:sz w:val="18"/>
                <w:szCs w:val="18"/>
              </w:rPr>
            </w:pPr>
            <w:r>
              <w:rPr>
                <w:noProof/>
                <w:sz w:val="18"/>
              </w:rPr>
              <w:t>Valore ottenuto</w:t>
            </w:r>
          </w:p>
        </w:tc>
        <w:tc>
          <w:tcPr>
            <w:tcW w:w="2127" w:type="dxa"/>
            <w:gridSpan w:val="3"/>
            <w:vAlign w:val="center"/>
          </w:tcPr>
          <w:p w:rsidR="009C13A9" w:rsidRPr="00C903F8" w:rsidRDefault="009C13A9" w:rsidP="00390107">
            <w:pPr>
              <w:spacing w:before="60" w:after="60" w:line="240" w:lineRule="atLeast"/>
              <w:jc w:val="center"/>
              <w:rPr>
                <w:noProof/>
                <w:sz w:val="18"/>
                <w:szCs w:val="18"/>
              </w:rPr>
            </w:pPr>
            <w:r>
              <w:rPr>
                <w:noProof/>
                <w:sz w:val="18"/>
              </w:rPr>
              <w:t>Conformità</w:t>
            </w:r>
            <w:r>
              <w:rPr>
                <w:noProof/>
                <w:sz w:val="18"/>
                <w:vertAlign w:val="superscript"/>
              </w:rPr>
              <w:t>(</w:t>
            </w:r>
            <w:r>
              <w:rPr>
                <w:noProof/>
                <w:sz w:val="18"/>
                <w:vertAlign w:val="superscript"/>
              </w:rPr>
              <w:footnoteReference w:id="74"/>
            </w:r>
            <w:r>
              <w:rPr>
                <w:noProof/>
                <w:sz w:val="18"/>
                <w:vertAlign w:val="superscript"/>
              </w:rPr>
              <w:t>)</w:t>
            </w:r>
          </w:p>
        </w:tc>
      </w:tr>
      <w:tr w:rsidR="009C13A9" w:rsidRPr="00C903F8" w:rsidTr="009C13A9">
        <w:trPr>
          <w:gridBefore w:val="1"/>
          <w:gridAfter w:val="2"/>
          <w:wBefore w:w="406" w:type="dxa"/>
          <w:wAfter w:w="3726" w:type="dxa"/>
          <w:cantSplit/>
          <w:jc w:val="center"/>
        </w:trPr>
        <w:tc>
          <w:tcPr>
            <w:tcW w:w="1384" w:type="dxa"/>
            <w:gridSpan w:val="2"/>
            <w:vAlign w:val="center"/>
          </w:tcPr>
          <w:p w:rsidR="009C13A9" w:rsidRPr="00C903F8" w:rsidRDefault="00624017" w:rsidP="00AF0659">
            <w:pPr>
              <w:spacing w:before="60" w:after="60" w:line="240" w:lineRule="atLeast"/>
              <w:ind w:left="0" w:firstLine="0"/>
              <w:rPr>
                <w:noProof/>
                <w:sz w:val="18"/>
                <w:szCs w:val="18"/>
              </w:rPr>
            </w:pPr>
            <m:oMathPara>
              <m:oMathParaPr>
                <m:jc m:val="left"/>
              </m:oMathParaP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m:oMathPara>
          </w:p>
        </w:tc>
        <w:tc>
          <w:tcPr>
            <w:tcW w:w="1572" w:type="dxa"/>
            <w:gridSpan w:val="3"/>
            <w:vAlign w:val="center"/>
          </w:tcPr>
          <w:p w:rsidR="009C13A9" w:rsidRPr="00C903F8" w:rsidRDefault="009C13A9" w:rsidP="009C13A9">
            <w:pPr>
              <w:spacing w:before="60" w:after="60" w:line="240" w:lineRule="atLeast"/>
              <w:rPr>
                <w:noProof/>
                <w:sz w:val="18"/>
                <w:szCs w:val="18"/>
              </w:rPr>
            </w:pPr>
          </w:p>
        </w:tc>
        <w:tc>
          <w:tcPr>
            <w:tcW w:w="998" w:type="dxa"/>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Sì</w:t>
            </w:r>
          </w:p>
        </w:tc>
        <w:tc>
          <w:tcPr>
            <w:tcW w:w="1129" w:type="dxa"/>
            <w:gridSpan w:val="2"/>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20"/>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No</w:t>
            </w:r>
          </w:p>
        </w:tc>
      </w:tr>
      <w:tr w:rsidR="009C13A9" w:rsidRPr="00C903F8" w:rsidTr="009C13A9">
        <w:trPr>
          <w:gridBefore w:val="1"/>
          <w:gridAfter w:val="2"/>
          <w:wBefore w:w="406" w:type="dxa"/>
          <w:wAfter w:w="3726" w:type="dxa"/>
          <w:cantSplit/>
          <w:jc w:val="center"/>
        </w:trPr>
        <w:tc>
          <w:tcPr>
            <w:tcW w:w="1384" w:type="dxa"/>
            <w:gridSpan w:val="2"/>
            <w:vAlign w:val="center"/>
          </w:tcPr>
          <w:p w:rsidR="009C13A9" w:rsidRPr="00C903F8" w:rsidRDefault="009C13A9" w:rsidP="009C13A9">
            <w:pPr>
              <w:spacing w:before="60" w:after="60" w:line="240" w:lineRule="atLeast"/>
              <w:rPr>
                <w:noProof/>
                <w:sz w:val="18"/>
                <w:szCs w:val="18"/>
              </w:rPr>
            </w:pPr>
            <w:r>
              <w:rPr>
                <w:noProof/>
                <w:sz w:val="18"/>
              </w:rPr>
              <w:t>COD</w:t>
            </w:r>
          </w:p>
        </w:tc>
        <w:tc>
          <w:tcPr>
            <w:tcW w:w="1572" w:type="dxa"/>
            <w:gridSpan w:val="3"/>
            <w:vAlign w:val="center"/>
          </w:tcPr>
          <w:p w:rsidR="009C13A9" w:rsidRPr="00C903F8" w:rsidRDefault="009C13A9" w:rsidP="009C13A9">
            <w:pPr>
              <w:spacing w:before="60" w:after="60" w:line="240" w:lineRule="atLeast"/>
              <w:rPr>
                <w:noProof/>
                <w:sz w:val="18"/>
                <w:szCs w:val="18"/>
              </w:rPr>
            </w:pPr>
          </w:p>
        </w:tc>
        <w:tc>
          <w:tcPr>
            <w:tcW w:w="998" w:type="dxa"/>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Sì</w:t>
            </w:r>
          </w:p>
        </w:tc>
        <w:tc>
          <w:tcPr>
            <w:tcW w:w="1129" w:type="dxa"/>
            <w:gridSpan w:val="2"/>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20"/>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No</w:t>
            </w:r>
          </w:p>
        </w:tc>
      </w:tr>
      <w:tr w:rsidR="009C13A9" w:rsidRPr="00C903F8" w:rsidTr="009C13A9">
        <w:trPr>
          <w:gridBefore w:val="1"/>
          <w:gridAfter w:val="2"/>
          <w:wBefore w:w="406" w:type="dxa"/>
          <w:wAfter w:w="3726" w:type="dxa"/>
          <w:cantSplit/>
          <w:jc w:val="center"/>
        </w:trPr>
        <w:tc>
          <w:tcPr>
            <w:tcW w:w="1384" w:type="dxa"/>
            <w:gridSpan w:val="2"/>
            <w:vAlign w:val="center"/>
          </w:tcPr>
          <w:p w:rsidR="009C13A9" w:rsidRPr="00C903F8" w:rsidRDefault="009C13A9" w:rsidP="009C13A9">
            <w:pPr>
              <w:spacing w:before="60" w:after="60" w:line="240" w:lineRule="atLeast"/>
              <w:rPr>
                <w:noProof/>
                <w:sz w:val="18"/>
                <w:szCs w:val="18"/>
                <w:vertAlign w:val="superscript"/>
              </w:rPr>
            </w:pPr>
            <w:r>
              <w:rPr>
                <w:noProof/>
                <w:sz w:val="18"/>
              </w:rPr>
              <w:t>TOC</w:t>
            </w:r>
            <w:r>
              <w:rPr>
                <w:sz w:val="18"/>
                <w:vertAlign w:val="superscript"/>
              </w:rPr>
              <w:t>(</w:t>
            </w:r>
            <w:r>
              <w:rPr>
                <w:b/>
                <w:sz w:val="18"/>
                <w:vertAlign w:val="superscript"/>
              </w:rPr>
              <w:footnoteReference w:id="75"/>
            </w:r>
            <w:r>
              <w:rPr>
                <w:sz w:val="18"/>
                <w:vertAlign w:val="superscript"/>
              </w:rPr>
              <w:t>)</w:t>
            </w:r>
          </w:p>
        </w:tc>
        <w:tc>
          <w:tcPr>
            <w:tcW w:w="1572" w:type="dxa"/>
            <w:gridSpan w:val="3"/>
            <w:vAlign w:val="center"/>
          </w:tcPr>
          <w:p w:rsidR="009C13A9" w:rsidRPr="00C903F8" w:rsidRDefault="009C13A9" w:rsidP="009C13A9">
            <w:pPr>
              <w:spacing w:before="60" w:after="60" w:line="240" w:lineRule="atLeast"/>
              <w:rPr>
                <w:noProof/>
                <w:sz w:val="18"/>
                <w:szCs w:val="18"/>
              </w:rPr>
            </w:pPr>
          </w:p>
        </w:tc>
        <w:tc>
          <w:tcPr>
            <w:tcW w:w="998" w:type="dxa"/>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Sì</w:t>
            </w:r>
          </w:p>
        </w:tc>
        <w:tc>
          <w:tcPr>
            <w:tcW w:w="1129" w:type="dxa"/>
            <w:gridSpan w:val="2"/>
            <w:vAlign w:val="center"/>
          </w:tcPr>
          <w:p w:rsidR="009C13A9" w:rsidRPr="00C903F8" w:rsidRDefault="00475311" w:rsidP="009C13A9">
            <w:pPr>
              <w:spacing w:before="60" w:after="60" w:line="240" w:lineRule="atLeast"/>
              <w:rPr>
                <w:noProof/>
                <w:sz w:val="18"/>
                <w:szCs w:val="18"/>
              </w:rPr>
            </w:pPr>
            <w:r>
              <w:rPr>
                <w:noProof/>
                <w:sz w:val="18"/>
                <w:szCs w:val="18"/>
              </w:rPr>
              <w:fldChar w:fldCharType="begin">
                <w:ffData>
                  <w:name w:val="Kontrollkästchen20"/>
                  <w:enabled/>
                  <w:calcOnExit w:val="0"/>
                  <w:checkBox>
                    <w:sizeAuto/>
                    <w:default w:val="0"/>
                  </w:checkBox>
                </w:ffData>
              </w:fldChar>
            </w:r>
            <w:r>
              <w:rPr>
                <w:noProof/>
                <w:sz w:val="18"/>
                <w:szCs w:val="18"/>
              </w:rPr>
              <w:instrText xml:space="preserve"> FORMCHECKBOX </w:instrText>
            </w:r>
            <w:r w:rsidR="00624017">
              <w:rPr>
                <w:noProof/>
                <w:sz w:val="18"/>
                <w:szCs w:val="18"/>
              </w:rPr>
            </w:r>
            <w:r w:rsidR="00624017">
              <w:rPr>
                <w:noProof/>
                <w:sz w:val="18"/>
                <w:szCs w:val="18"/>
              </w:rPr>
              <w:fldChar w:fldCharType="separate"/>
            </w:r>
            <w:r>
              <w:rPr>
                <w:noProof/>
                <w:sz w:val="18"/>
                <w:szCs w:val="18"/>
              </w:rPr>
              <w:fldChar w:fldCharType="end"/>
            </w:r>
            <w:r>
              <w:rPr>
                <w:noProof/>
                <w:sz w:val="18"/>
              </w:rPr>
              <w:t xml:space="preserve"> No</w:t>
            </w:r>
          </w:p>
        </w:tc>
      </w:tr>
      <w:tr w:rsidR="009C13A9" w:rsidRPr="00C903F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C903F8" w:rsidRDefault="009C13A9" w:rsidP="009C13A9">
            <w:pPr>
              <w:rPr>
                <w:b/>
                <w:bCs/>
                <w:noProof/>
                <w:sz w:val="18"/>
                <w:szCs w:val="18"/>
              </w:rPr>
            </w:pPr>
          </w:p>
          <w:p w:rsidR="009C13A9" w:rsidRPr="00C903F8" w:rsidRDefault="009C13A9" w:rsidP="009C13A9">
            <w:pPr>
              <w:rPr>
                <w:b/>
                <w:bCs/>
                <w:noProof/>
                <w:sz w:val="18"/>
                <w:szCs w:val="18"/>
              </w:rPr>
            </w:pPr>
            <w:r>
              <w:rPr>
                <w:b/>
                <w:noProof/>
                <w:sz w:val="18"/>
              </w:rPr>
              <w:t>C.</w:t>
            </w:r>
            <w:r>
              <w:tab/>
            </w:r>
            <w:r>
              <w:rPr>
                <w:b/>
                <w:noProof/>
                <w:sz w:val="18"/>
              </w:rPr>
              <w:t>Osservazioni:</w:t>
            </w:r>
          </w:p>
          <w:p w:rsidR="009C13A9" w:rsidRPr="00C903F8" w:rsidRDefault="009C13A9" w:rsidP="009C13A9">
            <w:pPr>
              <w:rPr>
                <w:b/>
                <w:bCs/>
                <w:noProof/>
                <w:sz w:val="18"/>
                <w:szCs w:val="18"/>
              </w:rPr>
            </w:pPr>
          </w:p>
        </w:tc>
        <w:tc>
          <w:tcPr>
            <w:tcW w:w="7230" w:type="dxa"/>
            <w:gridSpan w:val="7"/>
            <w:tcBorders>
              <w:bottom w:val="dotted" w:sz="4" w:space="0" w:color="auto"/>
            </w:tcBorders>
            <w:vAlign w:val="center"/>
          </w:tcPr>
          <w:p w:rsidR="009C13A9" w:rsidRPr="00C903F8" w:rsidRDefault="009C13A9" w:rsidP="009C13A9">
            <w:pPr>
              <w:rPr>
                <w:b/>
                <w:bCs/>
                <w:noProof/>
                <w:sz w:val="18"/>
                <w:szCs w:val="18"/>
              </w:rPr>
            </w:pPr>
          </w:p>
        </w:tc>
      </w:tr>
      <w:tr w:rsidR="009C13A9" w:rsidRPr="00A0619C"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C903F8" w:rsidRDefault="009C13A9" w:rsidP="009C13A9">
            <w:pPr>
              <w:rPr>
                <w:b/>
                <w:noProof/>
              </w:rPr>
            </w:pPr>
          </w:p>
        </w:tc>
        <w:tc>
          <w:tcPr>
            <w:tcW w:w="7230" w:type="dxa"/>
            <w:gridSpan w:val="7"/>
            <w:tcBorders>
              <w:top w:val="dotted" w:sz="4" w:space="0" w:color="auto"/>
              <w:bottom w:val="dotted" w:sz="4" w:space="0" w:color="auto"/>
            </w:tcBorders>
            <w:vAlign w:val="center"/>
          </w:tcPr>
          <w:p w:rsidR="009C13A9" w:rsidRPr="00C903F8" w:rsidRDefault="009C13A9" w:rsidP="009C13A9">
            <w:pPr>
              <w:spacing w:before="20"/>
              <w:ind w:left="0" w:firstLine="0"/>
              <w:rPr>
                <w:noProof/>
                <w:sz w:val="14"/>
                <w:szCs w:val="12"/>
              </w:rPr>
            </w:pPr>
            <w:r>
              <w:rPr>
                <w:noProof/>
                <w:sz w:val="16"/>
              </w:rPr>
              <w:t>(Sono state riscontrate le seguenti regolazioni, modifiche o alterazioni anomale dell’impianto di depurazione di bordo installato)</w:t>
            </w:r>
          </w:p>
        </w:tc>
      </w:tr>
      <w:tr w:rsidR="009C13A9" w:rsidRPr="00A0619C"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C903F8" w:rsidRDefault="009C13A9" w:rsidP="009C13A9">
            <w:pPr>
              <w:rPr>
                <w:noProof/>
              </w:rPr>
            </w:pPr>
          </w:p>
        </w:tc>
        <w:tc>
          <w:tcPr>
            <w:tcW w:w="7230" w:type="dxa"/>
            <w:gridSpan w:val="7"/>
            <w:tcBorders>
              <w:top w:val="dotted" w:sz="4" w:space="0" w:color="auto"/>
              <w:bottom w:val="dotted" w:sz="4" w:space="0" w:color="auto"/>
            </w:tcBorders>
            <w:vAlign w:val="center"/>
          </w:tcPr>
          <w:p w:rsidR="009C13A9" w:rsidRPr="00C903F8" w:rsidRDefault="009C13A9" w:rsidP="009C13A9">
            <w:pPr>
              <w:rPr>
                <w:noProof/>
              </w:rPr>
            </w:pPr>
          </w:p>
        </w:tc>
      </w:tr>
      <w:tr w:rsidR="009C13A9" w:rsidRPr="00A0619C"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C903F8" w:rsidRDefault="009C13A9" w:rsidP="009C13A9">
            <w:pPr>
              <w:rPr>
                <w:noProof/>
              </w:rPr>
            </w:pPr>
          </w:p>
        </w:tc>
        <w:tc>
          <w:tcPr>
            <w:tcW w:w="7230" w:type="dxa"/>
            <w:gridSpan w:val="7"/>
            <w:tcBorders>
              <w:top w:val="dotted" w:sz="4" w:space="0" w:color="auto"/>
              <w:bottom w:val="dotted" w:sz="4" w:space="0" w:color="auto"/>
            </w:tcBorders>
            <w:vAlign w:val="center"/>
          </w:tcPr>
          <w:p w:rsidR="009C13A9" w:rsidRPr="00C903F8" w:rsidRDefault="009C13A9" w:rsidP="009C13A9">
            <w:pPr>
              <w:rPr>
                <w:noProof/>
              </w:rPr>
            </w:pPr>
          </w:p>
        </w:tc>
      </w:tr>
      <w:tr w:rsidR="009C13A9" w:rsidRPr="00A0619C"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C903F8" w:rsidRDefault="009C13A9" w:rsidP="009C13A9">
            <w:pPr>
              <w:rPr>
                <w:noProof/>
              </w:rPr>
            </w:pPr>
          </w:p>
        </w:tc>
        <w:tc>
          <w:tcPr>
            <w:tcW w:w="7230" w:type="dxa"/>
            <w:gridSpan w:val="7"/>
            <w:tcBorders>
              <w:top w:val="dotted" w:sz="4" w:space="0" w:color="auto"/>
              <w:bottom w:val="dotted" w:sz="4" w:space="0" w:color="auto"/>
            </w:tcBorders>
            <w:vAlign w:val="center"/>
          </w:tcPr>
          <w:p w:rsidR="009C13A9" w:rsidRPr="00C903F8" w:rsidRDefault="009C13A9" w:rsidP="009C13A9">
            <w:pPr>
              <w:rPr>
                <w:noProof/>
              </w:rPr>
            </w:pPr>
          </w:p>
        </w:tc>
      </w:tr>
      <w:tr w:rsidR="009C13A9" w:rsidRPr="00A0619C"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C903F8" w:rsidRDefault="009C13A9" w:rsidP="009C13A9">
            <w:pPr>
              <w:rPr>
                <w:noProof/>
              </w:rPr>
            </w:pPr>
          </w:p>
        </w:tc>
        <w:tc>
          <w:tcPr>
            <w:tcW w:w="7230" w:type="dxa"/>
            <w:gridSpan w:val="7"/>
            <w:tcBorders>
              <w:top w:val="dotted" w:sz="4" w:space="0" w:color="auto"/>
              <w:bottom w:val="dotted" w:sz="4" w:space="0" w:color="auto"/>
            </w:tcBorders>
            <w:vAlign w:val="center"/>
          </w:tcPr>
          <w:p w:rsidR="009C13A9" w:rsidRPr="00C903F8" w:rsidRDefault="009C13A9" w:rsidP="009C13A9">
            <w:pPr>
              <w:rPr>
                <w:noProof/>
              </w:rPr>
            </w:pPr>
          </w:p>
        </w:tc>
      </w:tr>
      <w:tr w:rsidR="009C13A9" w:rsidRPr="00A0619C"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C903F8" w:rsidRDefault="009C13A9" w:rsidP="009C13A9">
            <w:pPr>
              <w:rPr>
                <w:noProof/>
              </w:rPr>
            </w:pPr>
          </w:p>
        </w:tc>
        <w:tc>
          <w:tcPr>
            <w:tcW w:w="7230" w:type="dxa"/>
            <w:gridSpan w:val="7"/>
            <w:tcBorders>
              <w:top w:val="dotted" w:sz="4" w:space="0" w:color="auto"/>
              <w:bottom w:val="dotted" w:sz="4" w:space="0" w:color="auto"/>
            </w:tcBorders>
            <w:vAlign w:val="center"/>
          </w:tcPr>
          <w:p w:rsidR="009C13A9" w:rsidRPr="00C903F8" w:rsidRDefault="009C13A9" w:rsidP="009C13A9">
            <w:pPr>
              <w:rPr>
                <w:noProof/>
              </w:rPr>
            </w:pPr>
          </w:p>
        </w:tc>
      </w:tr>
      <w:tr w:rsidR="009C13A9" w:rsidRPr="00A0619C"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60"/>
          <w:jc w:val="center"/>
        </w:trPr>
        <w:tc>
          <w:tcPr>
            <w:tcW w:w="9215" w:type="dxa"/>
            <w:gridSpan w:val="11"/>
            <w:vAlign w:val="center"/>
          </w:tcPr>
          <w:p w:rsidR="009C13A9" w:rsidRPr="00C903F8" w:rsidRDefault="009C13A9" w:rsidP="009C13A9">
            <w:pPr>
              <w:rPr>
                <w:noProof/>
              </w:rPr>
            </w:pPr>
          </w:p>
        </w:tc>
      </w:tr>
      <w:tr w:rsidR="009C13A9" w:rsidRPr="00C903F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9C13A9" w:rsidRPr="00C903F8" w:rsidRDefault="009C13A9" w:rsidP="009C13A9">
            <w:pPr>
              <w:rPr>
                <w:noProof/>
                <w:sz w:val="18"/>
                <w:szCs w:val="18"/>
              </w:rPr>
            </w:pPr>
          </w:p>
        </w:tc>
        <w:tc>
          <w:tcPr>
            <w:tcW w:w="1984" w:type="dxa"/>
            <w:gridSpan w:val="3"/>
            <w:vAlign w:val="center"/>
          </w:tcPr>
          <w:p w:rsidR="009C13A9" w:rsidRPr="00C903F8" w:rsidRDefault="009C13A9" w:rsidP="009C13A9">
            <w:pPr>
              <w:rPr>
                <w:noProof/>
                <w:sz w:val="18"/>
                <w:szCs w:val="18"/>
              </w:rPr>
            </w:pPr>
            <w:r>
              <w:rPr>
                <w:noProof/>
                <w:sz w:val="18"/>
              </w:rPr>
              <w:t>Nome dell'ispettore:</w:t>
            </w:r>
          </w:p>
        </w:tc>
        <w:tc>
          <w:tcPr>
            <w:tcW w:w="4679" w:type="dxa"/>
            <w:gridSpan w:val="3"/>
            <w:tcBorders>
              <w:bottom w:val="dotted" w:sz="4" w:space="0" w:color="auto"/>
            </w:tcBorders>
            <w:vAlign w:val="center"/>
          </w:tcPr>
          <w:p w:rsidR="009C13A9" w:rsidRPr="00C903F8" w:rsidRDefault="009C13A9" w:rsidP="009C13A9">
            <w:pPr>
              <w:rPr>
                <w:noProof/>
                <w:sz w:val="18"/>
                <w:szCs w:val="18"/>
              </w:rPr>
            </w:pPr>
          </w:p>
        </w:tc>
      </w:tr>
      <w:tr w:rsidR="009C13A9" w:rsidRPr="00C903F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57"/>
          <w:jc w:val="center"/>
        </w:trPr>
        <w:tc>
          <w:tcPr>
            <w:tcW w:w="9215" w:type="dxa"/>
            <w:gridSpan w:val="11"/>
            <w:vAlign w:val="center"/>
          </w:tcPr>
          <w:p w:rsidR="009C13A9" w:rsidRPr="00C903F8" w:rsidRDefault="009C13A9" w:rsidP="009C13A9">
            <w:pPr>
              <w:rPr>
                <w:noProof/>
              </w:rPr>
            </w:pPr>
          </w:p>
        </w:tc>
      </w:tr>
      <w:tr w:rsidR="009C13A9" w:rsidRPr="00C903F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9C13A9" w:rsidRPr="00C903F8" w:rsidRDefault="009C13A9" w:rsidP="009C13A9">
            <w:pPr>
              <w:rPr>
                <w:noProof/>
                <w:sz w:val="18"/>
                <w:szCs w:val="18"/>
              </w:rPr>
            </w:pPr>
          </w:p>
        </w:tc>
        <w:tc>
          <w:tcPr>
            <w:tcW w:w="1984" w:type="dxa"/>
            <w:gridSpan w:val="3"/>
            <w:vAlign w:val="center"/>
          </w:tcPr>
          <w:p w:rsidR="009C13A9" w:rsidRPr="00C903F8" w:rsidRDefault="009C13A9" w:rsidP="009C13A9">
            <w:pPr>
              <w:rPr>
                <w:noProof/>
                <w:sz w:val="18"/>
                <w:szCs w:val="18"/>
              </w:rPr>
            </w:pPr>
            <w:r>
              <w:rPr>
                <w:noProof/>
                <w:sz w:val="18"/>
              </w:rPr>
              <w:t>Luogo e data:</w:t>
            </w:r>
          </w:p>
        </w:tc>
        <w:tc>
          <w:tcPr>
            <w:tcW w:w="4679" w:type="dxa"/>
            <w:gridSpan w:val="3"/>
            <w:tcBorders>
              <w:bottom w:val="dotted" w:sz="4" w:space="0" w:color="auto"/>
            </w:tcBorders>
            <w:vAlign w:val="center"/>
          </w:tcPr>
          <w:p w:rsidR="009C13A9" w:rsidRPr="00C903F8" w:rsidRDefault="009C13A9" w:rsidP="009C13A9">
            <w:pPr>
              <w:rPr>
                <w:noProof/>
                <w:sz w:val="18"/>
                <w:szCs w:val="18"/>
              </w:rPr>
            </w:pPr>
          </w:p>
        </w:tc>
      </w:tr>
      <w:tr w:rsidR="009C13A9" w:rsidRPr="00C903F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9C13A9" w:rsidRPr="00C903F8" w:rsidRDefault="009C13A9" w:rsidP="009C13A9">
            <w:pPr>
              <w:rPr>
                <w:noProof/>
                <w:sz w:val="18"/>
                <w:szCs w:val="18"/>
              </w:rPr>
            </w:pPr>
          </w:p>
        </w:tc>
        <w:tc>
          <w:tcPr>
            <w:tcW w:w="1984" w:type="dxa"/>
            <w:gridSpan w:val="3"/>
            <w:vAlign w:val="center"/>
          </w:tcPr>
          <w:p w:rsidR="009C13A9" w:rsidRPr="00C903F8" w:rsidRDefault="009C13A9" w:rsidP="009C13A9">
            <w:pPr>
              <w:rPr>
                <w:noProof/>
                <w:sz w:val="18"/>
                <w:szCs w:val="18"/>
              </w:rPr>
            </w:pPr>
            <w:r>
              <w:rPr>
                <w:noProof/>
                <w:sz w:val="18"/>
              </w:rPr>
              <w:t>Firma:</w:t>
            </w:r>
          </w:p>
        </w:tc>
        <w:tc>
          <w:tcPr>
            <w:tcW w:w="4679" w:type="dxa"/>
            <w:gridSpan w:val="3"/>
            <w:tcBorders>
              <w:bottom w:val="dotted" w:sz="4" w:space="0" w:color="auto"/>
            </w:tcBorders>
            <w:vAlign w:val="center"/>
          </w:tcPr>
          <w:p w:rsidR="009C13A9" w:rsidRPr="00C903F8" w:rsidRDefault="009C13A9" w:rsidP="009C13A9">
            <w:pPr>
              <w:rPr>
                <w:noProof/>
                <w:sz w:val="18"/>
                <w:szCs w:val="18"/>
              </w:rPr>
            </w:pPr>
          </w:p>
        </w:tc>
      </w:tr>
      <w:tr w:rsidR="009C13A9" w:rsidRPr="00C903F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57"/>
          <w:jc w:val="center"/>
        </w:trPr>
        <w:tc>
          <w:tcPr>
            <w:tcW w:w="9215" w:type="dxa"/>
            <w:gridSpan w:val="11"/>
            <w:vAlign w:val="center"/>
          </w:tcPr>
          <w:p w:rsidR="009C13A9" w:rsidRPr="00C903F8" w:rsidRDefault="009C13A9" w:rsidP="009C13A9">
            <w:pPr>
              <w:rPr>
                <w:noProof/>
              </w:rPr>
            </w:pPr>
          </w:p>
        </w:tc>
      </w:tr>
      <w:tr w:rsidR="009C13A9" w:rsidRPr="00C903F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276" w:type="dxa"/>
            <w:gridSpan w:val="2"/>
            <w:vAlign w:val="center"/>
          </w:tcPr>
          <w:p w:rsidR="009C13A9" w:rsidRPr="00C903F8" w:rsidRDefault="009C13A9" w:rsidP="009C13A9">
            <w:pPr>
              <w:ind w:left="0" w:firstLine="0"/>
              <w:rPr>
                <w:noProof/>
                <w:sz w:val="18"/>
                <w:szCs w:val="18"/>
              </w:rPr>
            </w:pPr>
          </w:p>
        </w:tc>
        <w:tc>
          <w:tcPr>
            <w:tcW w:w="1276" w:type="dxa"/>
            <w:gridSpan w:val="3"/>
            <w:vAlign w:val="center"/>
          </w:tcPr>
          <w:p w:rsidR="009C13A9" w:rsidRPr="00C903F8" w:rsidRDefault="009C13A9" w:rsidP="009C13A9">
            <w:pPr>
              <w:rPr>
                <w:noProof/>
                <w:sz w:val="18"/>
                <w:szCs w:val="18"/>
              </w:rPr>
            </w:pPr>
          </w:p>
        </w:tc>
        <w:tc>
          <w:tcPr>
            <w:tcW w:w="1984" w:type="dxa"/>
            <w:gridSpan w:val="3"/>
            <w:vAlign w:val="center"/>
          </w:tcPr>
          <w:p w:rsidR="009C13A9" w:rsidRPr="00C903F8" w:rsidRDefault="009C13A9" w:rsidP="009C13A9">
            <w:pPr>
              <w:rPr>
                <w:noProof/>
                <w:sz w:val="18"/>
                <w:szCs w:val="18"/>
              </w:rPr>
            </w:pPr>
          </w:p>
        </w:tc>
        <w:tc>
          <w:tcPr>
            <w:tcW w:w="4679" w:type="dxa"/>
            <w:gridSpan w:val="3"/>
            <w:vAlign w:val="center"/>
          </w:tcPr>
          <w:p w:rsidR="009C13A9" w:rsidRPr="00C903F8" w:rsidRDefault="009C13A9" w:rsidP="009C13A9">
            <w:pPr>
              <w:rPr>
                <w:noProof/>
                <w:sz w:val="18"/>
                <w:szCs w:val="18"/>
              </w:rPr>
            </w:pPr>
          </w:p>
        </w:tc>
      </w:tr>
      <w:tr w:rsidR="009C13A9" w:rsidRPr="00C903F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5898" w:type="dxa"/>
            <w:gridSpan w:val="10"/>
            <w:vAlign w:val="center"/>
          </w:tcPr>
          <w:p w:rsidR="009C13A9" w:rsidRPr="00C903F8" w:rsidRDefault="009C13A9" w:rsidP="009C13A9">
            <w:pPr>
              <w:ind w:left="286" w:hanging="286"/>
              <w:rPr>
                <w:noProof/>
                <w:sz w:val="16"/>
                <w:szCs w:val="16"/>
              </w:rPr>
            </w:pPr>
          </w:p>
        </w:tc>
        <w:tc>
          <w:tcPr>
            <w:tcW w:w="3317" w:type="dxa"/>
            <w:vAlign w:val="center"/>
          </w:tcPr>
          <w:p w:rsidR="009C13A9" w:rsidRPr="00C903F8" w:rsidRDefault="009C13A9" w:rsidP="009C13A9">
            <w:pPr>
              <w:rPr>
                <w:noProof/>
              </w:rPr>
            </w:pPr>
          </w:p>
        </w:tc>
      </w:tr>
      <w:tr w:rsidR="009C13A9" w:rsidRPr="00C903F8"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5898" w:type="dxa"/>
            <w:gridSpan w:val="10"/>
            <w:vAlign w:val="center"/>
          </w:tcPr>
          <w:p w:rsidR="009C13A9" w:rsidRPr="00C903F8" w:rsidRDefault="009C13A9" w:rsidP="009C13A9">
            <w:pPr>
              <w:rPr>
                <w:noProof/>
                <w:sz w:val="16"/>
                <w:szCs w:val="16"/>
                <w:vertAlign w:val="superscript"/>
              </w:rPr>
            </w:pPr>
          </w:p>
          <w:p w:rsidR="009C13A9" w:rsidRPr="00C903F8" w:rsidRDefault="009C13A9" w:rsidP="009C13A9">
            <w:pPr>
              <w:rPr>
                <w:noProof/>
                <w:sz w:val="16"/>
                <w:szCs w:val="16"/>
                <w:vertAlign w:val="superscript"/>
              </w:rPr>
            </w:pPr>
          </w:p>
        </w:tc>
        <w:tc>
          <w:tcPr>
            <w:tcW w:w="3317" w:type="dxa"/>
            <w:vAlign w:val="center"/>
          </w:tcPr>
          <w:p w:rsidR="009C13A9" w:rsidRPr="00C903F8" w:rsidRDefault="009C13A9" w:rsidP="009C13A9">
            <w:pPr>
              <w:rPr>
                <w:noProof/>
              </w:rPr>
            </w:pPr>
          </w:p>
        </w:tc>
      </w:tr>
    </w:tbl>
    <w:p w:rsidR="009C13A9" w:rsidRPr="00C903F8" w:rsidRDefault="009C13A9" w:rsidP="009C13A9">
      <w:pPr>
        <w:tabs>
          <w:tab w:val="left" w:pos="1021"/>
          <w:tab w:val="center" w:pos="8080"/>
        </w:tabs>
        <w:suppressAutoHyphens/>
        <w:autoSpaceDE/>
        <w:autoSpaceDN/>
        <w:spacing w:line="240" w:lineRule="atLeast"/>
        <w:ind w:left="0" w:firstLine="0"/>
        <w:jc w:val="left"/>
        <w:rPr>
          <w:rFonts w:cs="Arial"/>
          <w:sz w:val="24"/>
        </w:rPr>
        <w:sectPr w:rsidR="009C13A9" w:rsidRPr="00C903F8" w:rsidSect="00FB55E9">
          <w:headerReference w:type="default" r:id="rId93"/>
          <w:footerReference w:type="default" r:id="rId94"/>
          <w:headerReference w:type="first" r:id="rId95"/>
          <w:footerReference w:type="first" r:id="rId96"/>
          <w:footnotePr>
            <w:numRestart w:val="eachPage"/>
          </w:footnotePr>
          <w:pgSz w:w="11907" w:h="16840"/>
          <w:pgMar w:top="1247" w:right="1418" w:bottom="1247" w:left="1418" w:header="720" w:footer="720" w:gutter="0"/>
          <w:cols w:space="720"/>
          <w:docGrid w:linePitch="272"/>
        </w:sectPr>
      </w:pPr>
    </w:p>
    <w:p w:rsidR="009E363E" w:rsidRPr="00C903F8" w:rsidRDefault="009E363E" w:rsidP="009E363E">
      <w:pPr>
        <w:pStyle w:val="ES-Titre3"/>
        <w:rPr>
          <w:noProof/>
        </w:rPr>
      </w:pPr>
      <w:bookmarkStart w:id="714" w:name="_Toc491854340"/>
      <w:bookmarkStart w:id="715" w:name="_Toc535500289"/>
      <w:r>
        <w:lastRenderedPageBreak/>
        <w:t>Sezione IX</w:t>
      </w:r>
      <w:bookmarkEnd w:id="714"/>
      <w:bookmarkEnd w:id="715"/>
    </w:p>
    <w:p w:rsidR="009E363E" w:rsidRPr="00C903F8" w:rsidRDefault="00F716DC" w:rsidP="009E363E">
      <w:pPr>
        <w:pStyle w:val="ES-Titre3a"/>
        <w:rPr>
          <w:noProof/>
        </w:rPr>
      </w:pPr>
      <w:bookmarkStart w:id="716" w:name="_Toc491854341"/>
      <w:bookmarkStart w:id="717" w:name="_Toc535500290"/>
      <w:r>
        <w:t>Procedimento di prova</w:t>
      </w:r>
      <w:bookmarkEnd w:id="716"/>
      <w:bookmarkEnd w:id="717"/>
    </w:p>
    <w:p w:rsidR="009C13A9" w:rsidRPr="00C903F8" w:rsidRDefault="009C13A9" w:rsidP="009C13A9">
      <w:pPr>
        <w:tabs>
          <w:tab w:val="left" w:pos="1021"/>
          <w:tab w:val="center" w:pos="8080"/>
        </w:tabs>
        <w:suppressAutoHyphens/>
        <w:autoSpaceDE/>
        <w:autoSpaceDN/>
        <w:spacing w:line="240" w:lineRule="atLeast"/>
        <w:ind w:left="0" w:firstLine="0"/>
        <w:rPr>
          <w:rFonts w:cs="Arial"/>
          <w:szCs w:val="20"/>
        </w:rPr>
      </w:pPr>
    </w:p>
    <w:p w:rsidR="009C13A9" w:rsidRPr="00C903F8" w:rsidRDefault="009C13A9" w:rsidP="009C13A9">
      <w:pPr>
        <w:spacing w:line="240" w:lineRule="atLeast"/>
        <w:rPr>
          <w:rFonts w:cs="Arial"/>
          <w:b/>
          <w:noProof/>
          <w:color w:val="000000"/>
        </w:rPr>
      </w:pPr>
      <w:r>
        <w:rPr>
          <w:b/>
          <w:noProof/>
          <w:color w:val="000000"/>
        </w:rPr>
        <w:t>1.</w:t>
      </w:r>
      <w:r>
        <w:tab/>
      </w:r>
      <w:r>
        <w:rPr>
          <w:b/>
          <w:noProof/>
          <w:color w:val="000000"/>
        </w:rPr>
        <w:t>Aspetti generali</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1.1</w:t>
      </w:r>
      <w:r>
        <w:tab/>
      </w:r>
      <w:r>
        <w:rPr>
          <w:noProof/>
          <w:color w:val="000000"/>
        </w:rPr>
        <w:t>Quadro generale</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t xml:space="preserve">Le specifiche di prova sono utilizzate per verificare l’adeguatezza degli impianti di depurazione di bordo montati sulle navi passeggeri. </w:t>
      </w:r>
    </w:p>
    <w:p w:rsidR="009C13A9" w:rsidRPr="00C903F8" w:rsidRDefault="009C13A9" w:rsidP="009C13A9">
      <w:pPr>
        <w:spacing w:line="240" w:lineRule="atLeast"/>
        <w:ind w:left="426" w:firstLine="0"/>
        <w:rPr>
          <w:noProof/>
        </w:rPr>
      </w:pPr>
      <w:r>
        <w:t>Nell’ambito di tale procedura, il processo e la tecnologia di trattamento utilizzati sono esaminati e approvati utilizzando un impianto di prova. La conformità dell’impianto di prova con gli impianti messi in servizio in una fase successiva è garantita applicando criteri dimensionali e di progettazione identici.</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rPr>
          <w:rFonts w:cs="Arial"/>
          <w:noProof/>
          <w:color w:val="000000"/>
        </w:rPr>
      </w:pPr>
      <w:r>
        <w:rPr>
          <w:noProof/>
          <w:color w:val="000000"/>
        </w:rPr>
        <w:t>1.2.</w:t>
      </w:r>
      <w:r>
        <w:tab/>
      </w:r>
      <w:r>
        <w:rPr>
          <w:noProof/>
          <w:color w:val="000000"/>
        </w:rPr>
        <w:t>Responsabilità e sito di prova</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t xml:space="preserve">L’impianto di prova per una serie di tipi di impianti di depurazione di bordo è sottoposto a prova da parte di un servizio tecnico. Le condizioni di prova nel relativo sito sono di competenza del servizio tecnico e devono corrispondere alle condizioni qui specificate. </w:t>
      </w:r>
    </w:p>
    <w:p w:rsidR="009C13A9" w:rsidRPr="00C903F8" w:rsidRDefault="009C13A9" w:rsidP="009C13A9">
      <w:pPr>
        <w:ind w:left="850" w:hanging="850"/>
        <w:rPr>
          <w:noProof/>
        </w:rPr>
      </w:pPr>
    </w:p>
    <w:p w:rsidR="009C13A9" w:rsidRPr="00C903F8" w:rsidRDefault="009C13A9" w:rsidP="009C13A9">
      <w:pPr>
        <w:spacing w:line="240" w:lineRule="atLeast"/>
        <w:rPr>
          <w:rFonts w:cs="Arial"/>
          <w:noProof/>
          <w:color w:val="000000"/>
        </w:rPr>
      </w:pPr>
      <w:r>
        <w:rPr>
          <w:noProof/>
          <w:color w:val="000000"/>
        </w:rPr>
        <w:t>1.3</w:t>
      </w:r>
      <w:r>
        <w:tab/>
      </w:r>
      <w:r>
        <w:rPr>
          <w:noProof/>
          <w:color w:val="000000"/>
        </w:rPr>
        <w:t>Documenti da presentare</w:t>
      </w:r>
    </w:p>
    <w:p w:rsidR="009C13A9" w:rsidRPr="00C903F8" w:rsidRDefault="009C13A9" w:rsidP="009C13A9">
      <w:pPr>
        <w:ind w:left="851"/>
        <w:rPr>
          <w:noProof/>
        </w:rPr>
      </w:pPr>
    </w:p>
    <w:p w:rsidR="009C13A9" w:rsidRPr="00C903F8" w:rsidRDefault="009C13A9" w:rsidP="009C13A9">
      <w:pPr>
        <w:spacing w:line="240" w:lineRule="atLeast"/>
        <w:ind w:left="426" w:firstLine="0"/>
        <w:rPr>
          <w:noProof/>
        </w:rPr>
      </w:pPr>
      <w:r>
        <w:t xml:space="preserve">La prova è effettuata sulla base della scheda informativa in conformità dell'allegato 7, sezione II. </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rPr>
          <w:rFonts w:cs="Arial"/>
          <w:noProof/>
          <w:color w:val="000000"/>
        </w:rPr>
      </w:pPr>
      <w:r>
        <w:rPr>
          <w:noProof/>
          <w:color w:val="000000"/>
        </w:rPr>
        <w:t>1.4</w:t>
      </w:r>
      <w:r>
        <w:tab/>
      </w:r>
      <w:r>
        <w:rPr>
          <w:noProof/>
          <w:color w:val="000000"/>
        </w:rPr>
        <w:t xml:space="preserve">Specifiche dimensionali dell’impianto </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t>Gli impianti di depurazione di bordo presentano caratteristiche dimensionali e di progettazione tali da non superare durante il funzionamento i valori limite, in fase di efflusso, di cui alle tabelle 1 e 2 dell'articolo 18.01, paragrafo 2.</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rPr>
          <w:rFonts w:cs="Arial"/>
          <w:b/>
          <w:noProof/>
          <w:color w:val="000000"/>
        </w:rPr>
      </w:pPr>
      <w:r>
        <w:rPr>
          <w:b/>
          <w:noProof/>
          <w:color w:val="000000"/>
        </w:rPr>
        <w:t>2.</w:t>
      </w:r>
      <w:r>
        <w:tab/>
      </w:r>
      <w:r>
        <w:rPr>
          <w:b/>
          <w:noProof/>
          <w:color w:val="000000"/>
        </w:rPr>
        <w:t xml:space="preserve">Misure preparatorie in vista della prova </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2.1</w:t>
      </w:r>
      <w:r>
        <w:tab/>
      </w:r>
      <w:r>
        <w:rPr>
          <w:noProof/>
          <w:color w:val="000000"/>
        </w:rPr>
        <w:t>Aspetti generali</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ind w:left="426" w:firstLine="0"/>
        <w:rPr>
          <w:noProof/>
        </w:rPr>
      </w:pPr>
      <w:r>
        <w:t>Prima dell'inizio della prova il costruttore fornisce al servizio tecnico le specifiche strutturali e di processo dell'impianto di prova, compresa una serie completa di disegni e calcioli di supporto in conformità dell'allegato 7, sezione II e informazioni complete sui requisiti dell'impianto di depurazione di bordo per quanto riguarda installazione, manutenzione e funzionamento. Il fabbricante fornisce al servizio tecnico informazioni sulla sicurezza meccanica, elettrica e tecnica dell’impianto di depurazione di bordo da sottoporre a prova.</w:t>
      </w:r>
    </w:p>
    <w:p w:rsidR="009C13A9" w:rsidRPr="00C903F8" w:rsidRDefault="009C13A9" w:rsidP="009C13A9">
      <w:pPr>
        <w:ind w:left="851"/>
        <w:rPr>
          <w:noProof/>
        </w:rPr>
      </w:pPr>
    </w:p>
    <w:p w:rsidR="009C13A9" w:rsidRPr="00C903F8" w:rsidRDefault="009C13A9" w:rsidP="009C13A9">
      <w:pPr>
        <w:spacing w:line="240" w:lineRule="atLeast"/>
        <w:rPr>
          <w:rFonts w:cs="Arial"/>
          <w:noProof/>
          <w:color w:val="000000"/>
        </w:rPr>
      </w:pPr>
      <w:r>
        <w:rPr>
          <w:noProof/>
          <w:color w:val="000000"/>
        </w:rPr>
        <w:t>2.2</w:t>
      </w:r>
      <w:r>
        <w:tab/>
      </w:r>
      <w:r>
        <w:rPr>
          <w:noProof/>
          <w:color w:val="000000"/>
        </w:rPr>
        <w:t>Installazione e messa in servizio</w:t>
      </w:r>
    </w:p>
    <w:p w:rsidR="009C13A9" w:rsidRPr="00C903F8" w:rsidRDefault="009C13A9" w:rsidP="009C13A9">
      <w:pPr>
        <w:ind w:left="851"/>
        <w:rPr>
          <w:noProof/>
        </w:rPr>
      </w:pPr>
    </w:p>
    <w:p w:rsidR="009C13A9" w:rsidRPr="00C903F8" w:rsidRDefault="009C13A9" w:rsidP="009C13A9">
      <w:pPr>
        <w:spacing w:line="240" w:lineRule="atLeast"/>
        <w:ind w:left="426" w:firstLine="0"/>
        <w:rPr>
          <w:noProof/>
        </w:rPr>
      </w:pPr>
      <w:r>
        <w:t xml:space="preserve">Ai fini della prova il fabbricante installa l’impianto di prova in modo che esso corrisponda alle previste modalità di installazione a bordo della nave passeggeri. Prima di eseguire la prova il fabbricante assembla l’impianto di depurazione di bordo e lo mette in servizio. La fase di avviamento deve essere conforme alle istruzioni operative del fabbricante ed è verificata dal servizio tecnico. </w:t>
      </w:r>
    </w:p>
    <w:p w:rsidR="009C13A9" w:rsidRPr="00C903F8" w:rsidRDefault="009C13A9" w:rsidP="009C13A9">
      <w:pPr>
        <w:ind w:left="850" w:hanging="850"/>
        <w:rPr>
          <w:noProof/>
        </w:rPr>
      </w:pPr>
    </w:p>
    <w:p w:rsidR="009C13A9" w:rsidRPr="00C903F8" w:rsidRDefault="009C13A9" w:rsidP="009C13A9">
      <w:pPr>
        <w:ind w:left="850" w:hanging="850"/>
        <w:rPr>
          <w:noProof/>
        </w:rPr>
      </w:pPr>
      <w:r>
        <w:br w:type="page"/>
      </w:r>
    </w:p>
    <w:p w:rsidR="009C13A9" w:rsidRPr="00C903F8" w:rsidRDefault="009C13A9" w:rsidP="009C13A9">
      <w:pPr>
        <w:spacing w:line="240" w:lineRule="atLeast"/>
        <w:rPr>
          <w:rFonts w:cs="Arial"/>
          <w:noProof/>
          <w:color w:val="000000"/>
        </w:rPr>
      </w:pPr>
      <w:r>
        <w:rPr>
          <w:noProof/>
          <w:color w:val="000000"/>
        </w:rPr>
        <w:lastRenderedPageBreak/>
        <w:t>2.3</w:t>
      </w:r>
      <w:r>
        <w:tab/>
      </w:r>
      <w:r>
        <w:rPr>
          <w:noProof/>
          <w:color w:val="000000"/>
        </w:rPr>
        <w:t>Fase di messa in servizio</w:t>
      </w:r>
    </w:p>
    <w:p w:rsidR="009C13A9" w:rsidRPr="00C903F8" w:rsidRDefault="009C13A9" w:rsidP="009C13A9">
      <w:pPr>
        <w:ind w:left="851"/>
        <w:rPr>
          <w:noProof/>
        </w:rPr>
      </w:pPr>
    </w:p>
    <w:p w:rsidR="009C13A9" w:rsidRPr="00C903F8" w:rsidRDefault="009C13A9" w:rsidP="009C13A9">
      <w:pPr>
        <w:spacing w:line="240" w:lineRule="atLeast"/>
        <w:ind w:left="426" w:firstLine="0"/>
        <w:rPr>
          <w:noProof/>
        </w:rPr>
      </w:pPr>
      <w:r>
        <w:t>Il fabbricante comunica al servizio tecnico la durata nominale, espressa in settimane, della fase di messa in servizio fino alle condizioni normali di funzionamento. Il fabbricante specifica il momento in cui la fase di messa in servizio può considerarsi conclusa e possono iniziare le prove.</w:t>
      </w:r>
    </w:p>
    <w:p w:rsidR="009C13A9" w:rsidRPr="00C903F8" w:rsidRDefault="009C13A9" w:rsidP="009C13A9">
      <w:pPr>
        <w:ind w:left="850" w:hanging="850"/>
        <w:rPr>
          <w:noProof/>
        </w:rPr>
      </w:pPr>
    </w:p>
    <w:p w:rsidR="009C13A9" w:rsidRPr="00C903F8" w:rsidRDefault="009C13A9" w:rsidP="009C13A9">
      <w:pPr>
        <w:spacing w:line="240" w:lineRule="atLeast"/>
        <w:rPr>
          <w:rFonts w:cs="Arial"/>
          <w:noProof/>
          <w:color w:val="000000"/>
        </w:rPr>
      </w:pPr>
      <w:r>
        <w:rPr>
          <w:noProof/>
          <w:color w:val="000000"/>
        </w:rPr>
        <w:t>2.4</w:t>
      </w:r>
      <w:r>
        <w:tab/>
      </w:r>
      <w:r>
        <w:rPr>
          <w:noProof/>
          <w:color w:val="000000"/>
        </w:rPr>
        <w:t>Caratteristiche di afflusso</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t xml:space="preserve">Per la prova dell’impianto sono utilizzate acque reflue domestiche non trattate. Le caratteristiche di afflusso per quanto riguarda le concentrazioni di inquinante sono ricavate dalla documentazione del costruttore relativa alle caratteristiche dimensionali dell'impianto di depurazione di bordo in conformità dell'allegato 7, sezione II, dividendo la portata di sostanze organiche in forma di carico di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t xml:space="preserve"> espressa in kg/d (chilogrammi giorno) per la portata nominale di acque reflue </w:t>
      </w:r>
      <m:oMath>
        <m:sSub>
          <m:sSubPr>
            <m:ctrlPr>
              <w:rPr>
                <w:rFonts w:ascii="Cambria Math" w:hAnsi="Cambria Math"/>
                <w:i/>
                <w:sz w:val="18"/>
                <w:szCs w:val="18"/>
              </w:rPr>
            </m:ctrlPr>
          </m:sSubPr>
          <m:e>
            <m:r>
              <w:rPr>
                <w:rFonts w:ascii="Cambria Math" w:hAnsi="Cambria Math"/>
                <w:sz w:val="18"/>
                <w:szCs w:val="18"/>
              </w:rPr>
              <m:t>Q</m:t>
            </m:r>
          </m:e>
          <m:sub>
            <m:r>
              <w:rPr>
                <w:rFonts w:ascii="Cambria Math" w:hAnsi="Cambria Math"/>
                <w:sz w:val="18"/>
                <w:szCs w:val="18"/>
              </w:rPr>
              <m:t>d</m:t>
            </m:r>
          </m:sub>
        </m:sSub>
      </m:oMath>
      <w:r>
        <w:t xml:space="preserve"> espressa in m³/d (metri cubi giorno). Le caratteristiche di afflusso sono fissate di conseguenza dalla commissione di ispezione.</w:t>
      </w:r>
    </w:p>
    <w:p w:rsidR="009C13A9" w:rsidRPr="00C903F8" w:rsidRDefault="009C13A9" w:rsidP="009C13A9">
      <w:pPr>
        <w:ind w:left="851"/>
        <w:rPr>
          <w:noProof/>
        </w:rPr>
      </w:pPr>
    </w:p>
    <w:p w:rsidR="009C13A9" w:rsidRPr="00C903F8" w:rsidRDefault="009C13A9" w:rsidP="009C13A9">
      <w:pPr>
        <w:spacing w:line="240" w:lineRule="atLeast"/>
        <w:ind w:left="426" w:firstLine="0"/>
        <w:rPr>
          <w:noProof/>
        </w:rPr>
      </w:pPr>
      <w:r>
        <w:t>Formula 1 – Calcolo delle caratteristiche di afflusso</w:t>
      </w:r>
    </w:p>
    <w:p w:rsidR="00117BDC" w:rsidRPr="00C903F8" w:rsidRDefault="00117BDC" w:rsidP="009C13A9">
      <w:pPr>
        <w:spacing w:line="240" w:lineRule="atLeast"/>
        <w:ind w:left="426" w:firstLine="0"/>
        <w:rPr>
          <w:noProof/>
        </w:rPr>
      </w:pPr>
    </w:p>
    <w:p w:rsidR="00117BDC" w:rsidRPr="00C903F8" w:rsidRDefault="00624017" w:rsidP="009C13A9">
      <w:pPr>
        <w:spacing w:line="240" w:lineRule="atLeast"/>
        <w:ind w:left="426" w:firstLine="0"/>
        <w:rPr>
          <w:noProof/>
        </w:rPr>
      </w:pPr>
      <m:oMathPara>
        <m:oMath>
          <m:sSub>
            <m:sSubPr>
              <m:ctrlPr>
                <w:rPr>
                  <w:rFonts w:ascii="Cambria Math" w:hAnsi="Cambria Math"/>
                  <w:i/>
                  <w:noProof/>
                </w:rPr>
              </m:ctrlPr>
            </m:sSubPr>
            <m:e>
              <m:r>
                <w:rPr>
                  <w:rFonts w:ascii="Cambria Math" w:hAnsi="Cambria Math"/>
                  <w:noProof/>
                </w:rPr>
                <m:t>C</m:t>
              </m:r>
            </m:e>
            <m:sub>
              <m:r>
                <w:rPr>
                  <w:rFonts w:ascii="Cambria Math" w:hAnsi="Cambria Math"/>
                  <w:noProof/>
                </w:rPr>
                <m:t>BOD5,mean</m:t>
              </m:r>
            </m:sub>
          </m:sSub>
          <m:r>
            <w:rPr>
              <w:rFonts w:ascii="Cambria Math" w:hAnsi="Cambria Math"/>
              <w:noProof/>
            </w:rPr>
            <m:t xml:space="preserve">=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num>
            <m:den>
              <m:sSub>
                <m:sSubPr>
                  <m:ctrlPr>
                    <w:rPr>
                      <w:rFonts w:ascii="Cambria Math" w:hAnsi="Cambria Math"/>
                      <w:i/>
                      <w:noProof/>
                    </w:rPr>
                  </m:ctrlPr>
                </m:sSubPr>
                <m:e>
                  <m:r>
                    <w:rPr>
                      <w:rFonts w:ascii="Cambria Math" w:hAnsi="Cambria Math"/>
                      <w:noProof/>
                    </w:rPr>
                    <m:t>Q</m:t>
                  </m:r>
                </m:e>
                <m:sub>
                  <m:r>
                    <w:rPr>
                      <w:rFonts w:ascii="Cambria Math" w:hAnsi="Cambria Math"/>
                      <w:noProof/>
                    </w:rPr>
                    <m:t>d</m:t>
                  </m:r>
                </m:sub>
              </m:sSub>
            </m:den>
          </m:f>
          <m:r>
            <w:rPr>
              <w:rFonts w:ascii="Cambria Math" w:hAnsi="Cambria Math"/>
              <w:noProof/>
            </w:rPr>
            <m:t xml:space="preserve"> </m:t>
          </m:r>
          <m:d>
            <m:dPr>
              <m:begChr m:val="["/>
              <m:endChr m:val="]"/>
              <m:ctrlPr>
                <w:rPr>
                  <w:rFonts w:ascii="Cambria Math" w:hAnsi="Cambria Math"/>
                  <w:i/>
                  <w:noProof/>
                </w:rPr>
              </m:ctrlPr>
            </m:dPr>
            <m:e>
              <m:f>
                <m:fPr>
                  <m:ctrlPr>
                    <w:rPr>
                      <w:rFonts w:ascii="Cambria Math" w:hAnsi="Cambria Math"/>
                      <w:i/>
                      <w:noProof/>
                    </w:rPr>
                  </m:ctrlPr>
                </m:fPr>
                <m:num>
                  <m:r>
                    <w:rPr>
                      <w:rFonts w:ascii="Cambria Math" w:hAnsi="Cambria Math"/>
                      <w:noProof/>
                    </w:rPr>
                    <m:t>kg/d</m:t>
                  </m:r>
                </m:num>
                <m:den>
                  <m:sSup>
                    <m:sSupPr>
                      <m:ctrlPr>
                        <w:rPr>
                          <w:rFonts w:ascii="Cambria Math" w:hAnsi="Cambria Math"/>
                          <w:i/>
                          <w:noProof/>
                        </w:rPr>
                      </m:ctrlPr>
                    </m:sSupPr>
                    <m:e>
                      <m:r>
                        <w:rPr>
                          <w:rFonts w:ascii="Cambria Math" w:hAnsi="Cambria Math"/>
                          <w:noProof/>
                        </w:rPr>
                        <m:t>m</m:t>
                      </m:r>
                    </m:e>
                    <m:sup>
                      <m:r>
                        <w:rPr>
                          <w:rFonts w:ascii="Cambria Math" w:hAnsi="Cambria Math"/>
                          <w:noProof/>
                        </w:rPr>
                        <m:t>3</m:t>
                      </m:r>
                    </m:sup>
                  </m:sSup>
                  <m:r>
                    <w:rPr>
                      <w:rFonts w:ascii="Cambria Math" w:hAnsi="Cambria Math"/>
                      <w:noProof/>
                    </w:rPr>
                    <m:t>/d</m:t>
                  </m:r>
                </m:den>
              </m:f>
            </m:e>
          </m:d>
        </m:oMath>
      </m:oMathPara>
    </w:p>
    <w:p w:rsidR="009C13A9" w:rsidRPr="00C903F8" w:rsidRDefault="009C13A9" w:rsidP="009C13A9">
      <w:pPr>
        <w:spacing w:line="240" w:lineRule="atLeast"/>
        <w:ind w:left="426" w:firstLine="0"/>
        <w:rPr>
          <w:noProof/>
        </w:rPr>
      </w:pPr>
    </w:p>
    <w:p w:rsidR="009C13A9" w:rsidRPr="00C903F8" w:rsidRDefault="00A936D2" w:rsidP="00A76137">
      <w:pPr>
        <w:spacing w:line="240" w:lineRule="atLeast"/>
        <w:ind w:firstLine="1"/>
        <w:rPr>
          <w:noProof/>
        </w:rPr>
      </w:pPr>
      <w:r>
        <w:t xml:space="preserve">Se il calcolo eseguito conformemente alla formula 1 determina una concentrazione media di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t xml:space="preserve"> inferiore a </w:t>
      </w:r>
      <m:oMath>
        <m:sSub>
          <m:sSubPr>
            <m:ctrlPr>
              <w:rPr>
                <w:rFonts w:ascii="Cambria Math" w:hAnsi="Cambria Math" w:cs="Arial"/>
                <w:i/>
                <w:color w:val="000000"/>
              </w:rPr>
            </m:ctrlPr>
          </m:sSubPr>
          <m:e>
            <m:r>
              <w:rPr>
                <w:rFonts w:ascii="Cambria Math" w:hAnsi="Cambria Math" w:cs="Arial"/>
                <w:color w:val="000000"/>
              </w:rPr>
              <m:t>C</m:t>
            </m:r>
          </m:e>
          <m:sub>
            <m:sSub>
              <m:sSubPr>
                <m:ctrlPr>
                  <w:rPr>
                    <w:rFonts w:ascii="Cambria Math" w:hAnsi="Cambria Math" w:cs="Arial"/>
                    <w:i/>
                    <w:color w:val="000000"/>
                  </w:rPr>
                </m:ctrlPr>
              </m:sSubPr>
              <m:e>
                <m:r>
                  <w:rPr>
                    <w:rFonts w:ascii="Cambria Math" w:hAnsi="Cambria Math" w:cs="Arial"/>
                    <w:color w:val="000000"/>
                  </w:rPr>
                  <m:t>BOD</m:t>
                </m:r>
              </m:e>
              <m:sub>
                <m:r>
                  <w:rPr>
                    <w:rFonts w:ascii="Cambria Math" w:hAnsi="Cambria Math" w:cs="Arial"/>
                    <w:color w:val="000000"/>
                  </w:rPr>
                  <m:t>5, mean</m:t>
                </m:r>
              </m:sub>
            </m:sSub>
          </m:sub>
        </m:sSub>
        <m:r>
          <w:rPr>
            <w:rFonts w:ascii="Cambria Math" w:hAnsi="Cambria Math" w:cs="Arial"/>
            <w:color w:val="000000"/>
          </w:rPr>
          <m:t>=500 mg/l</m:t>
        </m:r>
      </m:oMath>
      <w:r>
        <w:t xml:space="preserve">, nell'afflusso di acque reflue si osserverà una concentrazione media minima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t xml:space="preserve"> pari a 500 mg/l.</w:t>
      </w:r>
    </w:p>
    <w:p w:rsidR="009C13A9" w:rsidRDefault="009C13A9" w:rsidP="009C13A9">
      <w:pPr>
        <w:spacing w:line="240" w:lineRule="atLeast"/>
        <w:ind w:left="426" w:firstLine="0"/>
        <w:rPr>
          <w:noProof/>
        </w:rPr>
      </w:pPr>
      <w:r>
        <w:t xml:space="preserve">Il servizio tecnico non deve far passare per un trituratore le acque reflue in afflusso non trattate. È ammessa invece la rimozione della sabbia (ad esempio mediante setacciatura). </w:t>
      </w:r>
    </w:p>
    <w:p w:rsidR="001E2A58" w:rsidRPr="00C903F8" w:rsidRDefault="001E2A58" w:rsidP="009C13A9">
      <w:pPr>
        <w:spacing w:line="240" w:lineRule="atLeast"/>
        <w:ind w:left="426" w:firstLine="0"/>
        <w:rPr>
          <w:noProof/>
        </w:rPr>
      </w:pPr>
    </w:p>
    <w:p w:rsidR="009C13A9" w:rsidRPr="00C903F8" w:rsidRDefault="009C13A9" w:rsidP="009C13A9">
      <w:pPr>
        <w:spacing w:line="240" w:lineRule="atLeast"/>
        <w:rPr>
          <w:rFonts w:cs="Arial"/>
          <w:b/>
          <w:color w:val="000000"/>
        </w:rPr>
      </w:pPr>
      <w:r>
        <w:rPr>
          <w:b/>
          <w:color w:val="000000"/>
        </w:rPr>
        <w:t>3.</w:t>
      </w:r>
      <w:r>
        <w:tab/>
      </w:r>
      <w:r>
        <w:rPr>
          <w:b/>
          <w:color w:val="000000"/>
        </w:rPr>
        <w:t>Procedimento di prova</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rPr>
          <w:rFonts w:cs="Arial"/>
          <w:color w:val="000000"/>
        </w:rPr>
      </w:pPr>
      <w:r>
        <w:rPr>
          <w:color w:val="000000"/>
        </w:rPr>
        <w:t>3.1</w:t>
      </w:r>
      <w:r>
        <w:tab/>
      </w:r>
      <w:r>
        <w:rPr>
          <w:color w:val="000000"/>
        </w:rPr>
        <w:t>Fasi di carico e alimentazione idraulica</w:t>
      </w:r>
    </w:p>
    <w:p w:rsidR="009C13A9" w:rsidRPr="00C903F8" w:rsidRDefault="009C13A9" w:rsidP="009C13A9">
      <w:pPr>
        <w:spacing w:line="240" w:lineRule="atLeast"/>
        <w:rPr>
          <w:rFonts w:cs="Arial"/>
          <w:color w:val="000000"/>
        </w:rPr>
      </w:pPr>
    </w:p>
    <w:p w:rsidR="009C13A9" w:rsidRPr="00C903F8" w:rsidRDefault="009C13A9" w:rsidP="009C13A9">
      <w:pPr>
        <w:spacing w:line="240" w:lineRule="atLeast"/>
        <w:ind w:left="426" w:firstLine="0"/>
        <w:rPr>
          <w:noProof/>
        </w:rPr>
      </w:pPr>
      <w:r>
        <w:t>Il periodo di prova si articola su 30 giorni. L’impianto di prova, testato su banco di prova, viene alimentato con acque reflue domestiche in conformità dei carichi specificati nella tabella 1. Le prove devono comportare diverse fasi di carico, ovvero la sequenza delle prove deve tenere conto di fasi di carico normali e speciali (sovraccarico, carico insufficiente e stand-by). La durata di ciascuna fase di carico (numero di giorni di prova) è indicata nella tabella 1. Il carico idraulico medio giornaliero per ciascuna fase di carico è fissato in conformità alla tabella 1. La concentrazione media dell'inquinante, da fissare in conformità del punto 2.4, è mantenuta costante.</w:t>
      </w:r>
    </w:p>
    <w:p w:rsidR="009C13A9" w:rsidRPr="00C903F8" w:rsidRDefault="009C13A9" w:rsidP="009C13A9">
      <w:pPr>
        <w:spacing w:line="240" w:lineRule="atLeast"/>
        <w:rPr>
          <w:rFonts w:cs="Arial"/>
          <w:color w:val="000000"/>
        </w:rPr>
      </w:pPr>
    </w:p>
    <w:p w:rsidR="009C13A9" w:rsidRPr="00C903F8" w:rsidRDefault="009C13A9" w:rsidP="009C13A9">
      <w:pPr>
        <w:tabs>
          <w:tab w:val="left" w:pos="1276"/>
        </w:tabs>
        <w:spacing w:line="240" w:lineRule="atLeast"/>
        <w:ind w:left="426" w:firstLine="0"/>
      </w:pPr>
      <w:r>
        <w:t>Tabella 1:</w:t>
      </w:r>
      <w:r>
        <w:tab/>
        <w:t>Regolazione del carico per ciascuna fase di carico</w:t>
      </w:r>
    </w:p>
    <w:p w:rsidR="009C13A9" w:rsidRPr="00C903F8" w:rsidRDefault="009C13A9" w:rsidP="009C13A9">
      <w:pPr>
        <w:tabs>
          <w:tab w:val="left" w:pos="1418"/>
        </w:tabs>
        <w:suppressAutoHyphens/>
        <w:autoSpaceDE/>
        <w:autoSpaceDN/>
        <w:spacing w:line="240" w:lineRule="atLeast"/>
        <w:ind w:left="709" w:hanging="709"/>
        <w:rPr>
          <w:rFonts w:cs="Arial"/>
          <w:szCs w:val="20"/>
        </w:rPr>
      </w:pPr>
    </w:p>
    <w:tbl>
      <w:tblPr>
        <w:tblW w:w="0" w:type="auto"/>
        <w:jc w:val="center"/>
        <w:tblLayout w:type="fixed"/>
        <w:tblLook w:val="0000" w:firstRow="0" w:lastRow="0" w:firstColumn="0" w:lastColumn="0" w:noHBand="0" w:noVBand="0"/>
      </w:tblPr>
      <w:tblGrid>
        <w:gridCol w:w="1418"/>
        <w:gridCol w:w="1134"/>
        <w:gridCol w:w="2268"/>
        <w:gridCol w:w="3345"/>
      </w:tblGrid>
      <w:tr w:rsidR="009C13A9" w:rsidRPr="00C903F8" w:rsidTr="009C13A9">
        <w:trPr>
          <w:jc w:val="center"/>
        </w:trPr>
        <w:tc>
          <w:tcPr>
            <w:tcW w:w="1418" w:type="dxa"/>
            <w:tcBorders>
              <w:top w:val="single" w:sz="4" w:space="0" w:color="000000"/>
              <w:left w:val="single" w:sz="4" w:space="0" w:color="000000"/>
              <w:bottom w:val="single" w:sz="4" w:space="0" w:color="000000"/>
            </w:tcBorders>
            <w:shd w:val="clear" w:color="auto" w:fill="auto"/>
          </w:tcPr>
          <w:p w:rsidR="009C13A9" w:rsidRPr="00C903F8" w:rsidRDefault="009C13A9" w:rsidP="009C13A9">
            <w:pPr>
              <w:spacing w:before="60" w:after="60" w:line="240" w:lineRule="atLeast"/>
              <w:ind w:left="0" w:firstLine="0"/>
              <w:jc w:val="center"/>
              <w:rPr>
                <w:sz w:val="18"/>
                <w:szCs w:val="18"/>
              </w:rPr>
            </w:pPr>
            <w:r>
              <w:rPr>
                <w:sz w:val="18"/>
              </w:rPr>
              <w:t>Fase</w:t>
            </w:r>
          </w:p>
        </w:tc>
        <w:tc>
          <w:tcPr>
            <w:tcW w:w="1134" w:type="dxa"/>
            <w:tcBorders>
              <w:top w:val="single" w:sz="4" w:space="0" w:color="000000"/>
              <w:left w:val="single" w:sz="4" w:space="0" w:color="000000"/>
              <w:bottom w:val="single" w:sz="4" w:space="0" w:color="000000"/>
            </w:tcBorders>
          </w:tcPr>
          <w:p w:rsidR="009C13A9" w:rsidRPr="00C903F8" w:rsidRDefault="009C13A9" w:rsidP="009C13A9">
            <w:pPr>
              <w:spacing w:before="60" w:after="60" w:line="240" w:lineRule="atLeast"/>
              <w:ind w:left="0" w:firstLine="0"/>
              <w:jc w:val="center"/>
              <w:rPr>
                <w:sz w:val="18"/>
                <w:szCs w:val="18"/>
              </w:rPr>
            </w:pPr>
            <w:r>
              <w:rPr>
                <w:sz w:val="18"/>
              </w:rPr>
              <w:t>Numero di giorni prova</w:t>
            </w:r>
          </w:p>
        </w:tc>
        <w:tc>
          <w:tcPr>
            <w:tcW w:w="2268" w:type="dxa"/>
            <w:tcBorders>
              <w:top w:val="single" w:sz="4" w:space="0" w:color="000000"/>
              <w:left w:val="single" w:sz="4" w:space="0" w:color="000000"/>
              <w:bottom w:val="single" w:sz="4" w:space="0" w:color="000000"/>
            </w:tcBorders>
          </w:tcPr>
          <w:p w:rsidR="009C13A9" w:rsidRPr="00C903F8" w:rsidRDefault="009C13A9" w:rsidP="009C13A9">
            <w:pPr>
              <w:spacing w:before="60" w:after="60" w:line="240" w:lineRule="atLeast"/>
              <w:ind w:left="0" w:firstLine="0"/>
              <w:jc w:val="center"/>
              <w:rPr>
                <w:sz w:val="18"/>
                <w:szCs w:val="18"/>
              </w:rPr>
            </w:pPr>
            <w:r>
              <w:rPr>
                <w:sz w:val="18"/>
              </w:rPr>
              <w:t>Carico idraulico giornaliero</w:t>
            </w:r>
          </w:p>
        </w:tc>
        <w:tc>
          <w:tcPr>
            <w:tcW w:w="3345" w:type="dxa"/>
            <w:tcBorders>
              <w:top w:val="single" w:sz="4" w:space="0" w:color="000000"/>
              <w:left w:val="single" w:sz="4" w:space="0" w:color="000000"/>
              <w:bottom w:val="single" w:sz="4" w:space="0" w:color="000000"/>
              <w:right w:val="single" w:sz="4" w:space="0" w:color="000000"/>
            </w:tcBorders>
          </w:tcPr>
          <w:p w:rsidR="009C13A9" w:rsidRPr="00C903F8" w:rsidRDefault="009C13A9" w:rsidP="009C13A9">
            <w:pPr>
              <w:spacing w:before="60" w:after="60" w:line="240" w:lineRule="atLeast"/>
              <w:ind w:left="0" w:firstLine="0"/>
              <w:jc w:val="center"/>
              <w:rPr>
                <w:sz w:val="18"/>
                <w:szCs w:val="18"/>
              </w:rPr>
            </w:pPr>
            <w:r>
              <w:rPr>
                <w:sz w:val="18"/>
              </w:rPr>
              <w:t>Concentrazione dell’inquinante</w:t>
            </w:r>
          </w:p>
        </w:tc>
      </w:tr>
      <w:tr w:rsidR="009C13A9" w:rsidRPr="00A0619C" w:rsidTr="009C13A9">
        <w:trPr>
          <w:jc w:val="center"/>
        </w:trPr>
        <w:tc>
          <w:tcPr>
            <w:tcW w:w="1418" w:type="dxa"/>
            <w:tcBorders>
              <w:top w:val="single" w:sz="4" w:space="0" w:color="000000"/>
              <w:left w:val="single" w:sz="4" w:space="0" w:color="000000"/>
              <w:bottom w:val="single" w:sz="4" w:space="0" w:color="000000"/>
            </w:tcBorders>
          </w:tcPr>
          <w:p w:rsidR="009C13A9" w:rsidRPr="00C903F8" w:rsidRDefault="009C13A9" w:rsidP="009C13A9">
            <w:pPr>
              <w:spacing w:before="60" w:after="60" w:line="240" w:lineRule="atLeast"/>
              <w:ind w:left="0" w:firstLine="0"/>
              <w:rPr>
                <w:sz w:val="18"/>
                <w:szCs w:val="18"/>
              </w:rPr>
            </w:pPr>
            <w:r>
              <w:rPr>
                <w:sz w:val="18"/>
              </w:rPr>
              <w:t>Carico normale</w:t>
            </w:r>
          </w:p>
        </w:tc>
        <w:tc>
          <w:tcPr>
            <w:tcW w:w="1134" w:type="dxa"/>
            <w:tcBorders>
              <w:top w:val="single" w:sz="4" w:space="0" w:color="000000"/>
              <w:left w:val="single" w:sz="4" w:space="0" w:color="000000"/>
              <w:bottom w:val="single" w:sz="4" w:space="0" w:color="000000"/>
            </w:tcBorders>
          </w:tcPr>
          <w:p w:rsidR="009C13A9" w:rsidRPr="00C903F8" w:rsidRDefault="009C13A9" w:rsidP="009C13A9">
            <w:pPr>
              <w:spacing w:before="60" w:after="60" w:line="240" w:lineRule="atLeast"/>
              <w:ind w:left="0" w:firstLine="0"/>
              <w:rPr>
                <w:sz w:val="18"/>
                <w:szCs w:val="18"/>
              </w:rPr>
            </w:pPr>
            <w:r>
              <w:rPr>
                <w:sz w:val="18"/>
              </w:rPr>
              <w:t>20 giorni</w:t>
            </w:r>
          </w:p>
        </w:tc>
        <w:tc>
          <w:tcPr>
            <w:tcW w:w="2268" w:type="dxa"/>
            <w:tcBorders>
              <w:top w:val="single" w:sz="4" w:space="0" w:color="000000"/>
              <w:left w:val="single" w:sz="4" w:space="0" w:color="000000"/>
              <w:bottom w:val="single" w:sz="4" w:space="0" w:color="000000"/>
            </w:tcBorders>
          </w:tcPr>
          <w:p w:rsidR="009C13A9" w:rsidRPr="00C903F8" w:rsidRDefault="00624017" w:rsidP="009C13A9">
            <w:pPr>
              <w:spacing w:before="60" w:after="60" w:line="240" w:lineRule="atLeast"/>
              <w:ind w:left="0" w:firstLine="0"/>
              <w:rPr>
                <w:sz w:val="18"/>
                <w:szCs w:val="18"/>
              </w:rPr>
            </w:pPr>
            <m:oMathPara>
              <m:oMath>
                <m:sSub>
                  <m:sSubPr>
                    <m:ctrlPr>
                      <w:rPr>
                        <w:rFonts w:ascii="Cambria Math" w:hAnsi="Cambria Math"/>
                        <w:i/>
                        <w:sz w:val="18"/>
                        <w:szCs w:val="18"/>
                      </w:rPr>
                    </m:ctrlPr>
                  </m:sSubPr>
                  <m:e>
                    <m:r>
                      <w:rPr>
                        <w:rFonts w:ascii="Cambria Math" w:hAnsi="Cambria Math"/>
                        <w:sz w:val="18"/>
                        <w:szCs w:val="18"/>
                      </w:rPr>
                      <m:t>Q</m:t>
                    </m:r>
                  </m:e>
                  <m:sub>
                    <m:r>
                      <w:rPr>
                        <w:rFonts w:ascii="Cambria Math" w:hAnsi="Cambria Math"/>
                        <w:sz w:val="18"/>
                        <w:szCs w:val="18"/>
                      </w:rPr>
                      <m:t>d</m:t>
                    </m:r>
                  </m:sub>
                </m:sSub>
              </m:oMath>
            </m:oMathPara>
          </w:p>
        </w:tc>
        <w:tc>
          <w:tcPr>
            <w:tcW w:w="3345" w:type="dxa"/>
            <w:tcBorders>
              <w:top w:val="single" w:sz="4" w:space="0" w:color="000000"/>
              <w:left w:val="single" w:sz="4" w:space="0" w:color="000000"/>
              <w:bottom w:val="single" w:sz="4" w:space="0" w:color="000000"/>
              <w:right w:val="single" w:sz="4" w:space="0" w:color="000000"/>
            </w:tcBorders>
            <w:shd w:val="clear" w:color="auto" w:fill="auto"/>
          </w:tcPr>
          <w:p w:rsidR="009C13A9" w:rsidRPr="00C903F8" w:rsidRDefault="00624017" w:rsidP="00A76137">
            <w:pPr>
              <w:spacing w:before="60" w:after="60" w:line="240" w:lineRule="atLeast"/>
              <w:ind w:left="0" w:firstLine="0"/>
              <w:rPr>
                <w:sz w:val="18"/>
                <w:szCs w:val="18"/>
              </w:rPr>
            </w:pPr>
            <m:oMath>
              <m:sSub>
                <m:sSubPr>
                  <m:ctrlPr>
                    <w:rPr>
                      <w:rFonts w:ascii="Cambria Math" w:hAnsi="Cambria Math" w:cs="Arial"/>
                      <w:i/>
                      <w:sz w:val="18"/>
                      <w:szCs w:val="20"/>
                    </w:rPr>
                  </m:ctrlPr>
                </m:sSubPr>
                <m:e>
                  <m:r>
                    <w:rPr>
                      <w:rFonts w:ascii="Cambria Math" w:hAnsi="Cambria Math" w:cs="Arial"/>
                      <w:sz w:val="18"/>
                      <w:szCs w:val="20"/>
                    </w:rPr>
                    <m:t>C</m:t>
                  </m:r>
                </m:e>
                <m:sub>
                  <m:sSub>
                    <m:sSubPr>
                      <m:ctrlPr>
                        <w:rPr>
                          <w:rFonts w:ascii="Cambria Math" w:hAnsi="Cambria Math" w:cs="Arial"/>
                          <w:i/>
                          <w:sz w:val="18"/>
                          <w:szCs w:val="20"/>
                        </w:rPr>
                      </m:ctrlPr>
                    </m:sSubPr>
                    <m:e>
                      <m:r>
                        <w:rPr>
                          <w:rFonts w:ascii="Cambria Math" w:hAnsi="Cambria Math" w:cs="Arial"/>
                          <w:sz w:val="18"/>
                          <w:szCs w:val="20"/>
                        </w:rPr>
                        <m:t>BOD</m:t>
                      </m:r>
                    </m:e>
                    <m:sub>
                      <m:r>
                        <w:rPr>
                          <w:rFonts w:ascii="Cambria Math" w:hAnsi="Cambria Math" w:cs="Arial"/>
                          <w:sz w:val="18"/>
                          <w:szCs w:val="20"/>
                        </w:rPr>
                        <m:t>5</m:t>
                      </m:r>
                    </m:sub>
                  </m:sSub>
                </m:sub>
              </m:sSub>
            </m:oMath>
            <w:r w:rsidR="00801F1F">
              <w:rPr>
                <w:sz w:val="18"/>
              </w:rPr>
              <w:t xml:space="preserve"> conformemente al punto 2.4</w:t>
            </w:r>
          </w:p>
        </w:tc>
      </w:tr>
      <w:tr w:rsidR="009C13A9" w:rsidRPr="00A0619C" w:rsidTr="009C13A9">
        <w:trPr>
          <w:jc w:val="center"/>
        </w:trPr>
        <w:tc>
          <w:tcPr>
            <w:tcW w:w="1418" w:type="dxa"/>
            <w:tcBorders>
              <w:top w:val="single" w:sz="4" w:space="0" w:color="000000"/>
              <w:left w:val="single" w:sz="4" w:space="0" w:color="000000"/>
              <w:bottom w:val="single" w:sz="4" w:space="0" w:color="000000"/>
            </w:tcBorders>
          </w:tcPr>
          <w:p w:rsidR="009C13A9" w:rsidRPr="00C903F8" w:rsidRDefault="009C13A9" w:rsidP="009C13A9">
            <w:pPr>
              <w:spacing w:before="60" w:after="60" w:line="240" w:lineRule="atLeast"/>
              <w:ind w:left="0" w:firstLine="0"/>
              <w:rPr>
                <w:sz w:val="18"/>
                <w:szCs w:val="18"/>
              </w:rPr>
            </w:pPr>
            <w:r>
              <w:rPr>
                <w:sz w:val="18"/>
              </w:rPr>
              <w:t>Sovraccarico</w:t>
            </w:r>
          </w:p>
        </w:tc>
        <w:tc>
          <w:tcPr>
            <w:tcW w:w="1134" w:type="dxa"/>
            <w:tcBorders>
              <w:top w:val="single" w:sz="4" w:space="0" w:color="000000"/>
              <w:left w:val="single" w:sz="4" w:space="0" w:color="000000"/>
              <w:bottom w:val="single" w:sz="4" w:space="0" w:color="000000"/>
            </w:tcBorders>
          </w:tcPr>
          <w:p w:rsidR="009C13A9" w:rsidRPr="00C903F8" w:rsidRDefault="009C13A9" w:rsidP="009C13A9">
            <w:pPr>
              <w:spacing w:before="60" w:after="60" w:line="240" w:lineRule="atLeast"/>
              <w:ind w:left="0" w:firstLine="0"/>
              <w:rPr>
                <w:sz w:val="18"/>
                <w:szCs w:val="18"/>
              </w:rPr>
            </w:pPr>
            <w:r>
              <w:rPr>
                <w:sz w:val="18"/>
              </w:rPr>
              <w:t>3 giorni</w:t>
            </w:r>
          </w:p>
        </w:tc>
        <w:tc>
          <w:tcPr>
            <w:tcW w:w="2268" w:type="dxa"/>
            <w:tcBorders>
              <w:top w:val="single" w:sz="4" w:space="0" w:color="000000"/>
              <w:left w:val="single" w:sz="4" w:space="0" w:color="000000"/>
              <w:bottom w:val="single" w:sz="4" w:space="0" w:color="000000"/>
            </w:tcBorders>
          </w:tcPr>
          <w:p w:rsidR="009C13A9" w:rsidRPr="00C903F8" w:rsidRDefault="00624017" w:rsidP="009C13A9">
            <w:pPr>
              <w:spacing w:before="60" w:after="60" w:line="240" w:lineRule="atLeast"/>
              <w:ind w:left="0" w:firstLine="0"/>
              <w:rPr>
                <w:sz w:val="18"/>
                <w:szCs w:val="18"/>
              </w:rPr>
            </w:pPr>
            <m:oMathPara>
              <m:oMath>
                <m:sSub>
                  <m:sSubPr>
                    <m:ctrlPr>
                      <w:rPr>
                        <w:rFonts w:ascii="Cambria Math" w:hAnsi="Cambria Math"/>
                        <w:i/>
                        <w:sz w:val="18"/>
                        <w:szCs w:val="18"/>
                      </w:rPr>
                    </m:ctrlPr>
                  </m:sSubPr>
                  <m:e>
                    <m:r>
                      <w:rPr>
                        <w:rFonts w:ascii="Cambria Math" w:hAnsi="Cambria Math"/>
                        <w:sz w:val="18"/>
                        <w:szCs w:val="18"/>
                      </w:rPr>
                      <m:t>1,25 Q</m:t>
                    </m:r>
                  </m:e>
                  <m:sub>
                    <m:r>
                      <w:rPr>
                        <w:rFonts w:ascii="Cambria Math" w:hAnsi="Cambria Math"/>
                        <w:sz w:val="18"/>
                        <w:szCs w:val="18"/>
                      </w:rPr>
                      <m:t>d</m:t>
                    </m:r>
                  </m:sub>
                </m:sSub>
              </m:oMath>
            </m:oMathPara>
          </w:p>
        </w:tc>
        <w:tc>
          <w:tcPr>
            <w:tcW w:w="3345" w:type="dxa"/>
            <w:tcBorders>
              <w:top w:val="single" w:sz="4" w:space="0" w:color="000000"/>
              <w:left w:val="single" w:sz="4" w:space="0" w:color="000000"/>
              <w:bottom w:val="single" w:sz="4" w:space="0" w:color="000000"/>
              <w:right w:val="single" w:sz="4" w:space="0" w:color="000000"/>
            </w:tcBorders>
          </w:tcPr>
          <w:p w:rsidR="009C13A9" w:rsidRPr="00C903F8" w:rsidRDefault="00624017" w:rsidP="009C13A9">
            <w:pPr>
              <w:spacing w:before="60" w:after="60" w:line="240" w:lineRule="atLeast"/>
              <w:ind w:left="0" w:firstLine="0"/>
              <w:rPr>
                <w:sz w:val="18"/>
                <w:szCs w:val="18"/>
              </w:rPr>
            </w:pPr>
            <m:oMath>
              <m:sSub>
                <m:sSubPr>
                  <m:ctrlPr>
                    <w:rPr>
                      <w:rFonts w:ascii="Cambria Math" w:hAnsi="Cambria Math" w:cs="Arial"/>
                      <w:i/>
                      <w:sz w:val="18"/>
                      <w:szCs w:val="20"/>
                    </w:rPr>
                  </m:ctrlPr>
                </m:sSubPr>
                <m:e>
                  <m:r>
                    <w:rPr>
                      <w:rFonts w:ascii="Cambria Math" w:hAnsi="Cambria Math" w:cs="Arial"/>
                      <w:sz w:val="18"/>
                      <w:szCs w:val="20"/>
                    </w:rPr>
                    <m:t>C</m:t>
                  </m:r>
                </m:e>
                <m:sub>
                  <m:sSub>
                    <m:sSubPr>
                      <m:ctrlPr>
                        <w:rPr>
                          <w:rFonts w:ascii="Cambria Math" w:hAnsi="Cambria Math" w:cs="Arial"/>
                          <w:i/>
                          <w:sz w:val="18"/>
                          <w:szCs w:val="20"/>
                        </w:rPr>
                      </m:ctrlPr>
                    </m:sSubPr>
                    <m:e>
                      <m:r>
                        <w:rPr>
                          <w:rFonts w:ascii="Cambria Math" w:hAnsi="Cambria Math" w:cs="Arial"/>
                          <w:sz w:val="18"/>
                          <w:szCs w:val="20"/>
                        </w:rPr>
                        <m:t>BOD</m:t>
                      </m:r>
                    </m:e>
                    <m:sub>
                      <m:r>
                        <w:rPr>
                          <w:rFonts w:ascii="Cambria Math" w:hAnsi="Cambria Math" w:cs="Arial"/>
                          <w:sz w:val="18"/>
                          <w:szCs w:val="20"/>
                        </w:rPr>
                        <m:t>5</m:t>
                      </m:r>
                    </m:sub>
                  </m:sSub>
                </m:sub>
              </m:sSub>
            </m:oMath>
            <w:r w:rsidR="00801F1F">
              <w:rPr>
                <w:sz w:val="18"/>
              </w:rPr>
              <w:t xml:space="preserve"> conformemente al punto 2.4</w:t>
            </w:r>
          </w:p>
        </w:tc>
      </w:tr>
      <w:tr w:rsidR="009C13A9" w:rsidRPr="00A0619C" w:rsidTr="009C13A9">
        <w:trPr>
          <w:jc w:val="center"/>
        </w:trPr>
        <w:tc>
          <w:tcPr>
            <w:tcW w:w="1418" w:type="dxa"/>
            <w:tcBorders>
              <w:top w:val="single" w:sz="4" w:space="0" w:color="000000"/>
              <w:left w:val="single" w:sz="4" w:space="0" w:color="000000"/>
              <w:bottom w:val="single" w:sz="4" w:space="0" w:color="000000"/>
            </w:tcBorders>
          </w:tcPr>
          <w:p w:rsidR="009C13A9" w:rsidRPr="00C903F8" w:rsidRDefault="009C13A9" w:rsidP="009C13A9">
            <w:pPr>
              <w:spacing w:before="60" w:after="60" w:line="240" w:lineRule="atLeast"/>
              <w:ind w:left="0" w:firstLine="0"/>
              <w:rPr>
                <w:sz w:val="18"/>
                <w:szCs w:val="18"/>
              </w:rPr>
            </w:pPr>
            <w:r>
              <w:rPr>
                <w:sz w:val="18"/>
              </w:rPr>
              <w:t>Carico insufficiente</w:t>
            </w:r>
          </w:p>
        </w:tc>
        <w:tc>
          <w:tcPr>
            <w:tcW w:w="1134" w:type="dxa"/>
            <w:tcBorders>
              <w:top w:val="single" w:sz="4" w:space="0" w:color="000000"/>
              <w:left w:val="single" w:sz="4" w:space="0" w:color="000000"/>
              <w:bottom w:val="single" w:sz="4" w:space="0" w:color="000000"/>
            </w:tcBorders>
          </w:tcPr>
          <w:p w:rsidR="009C13A9" w:rsidRPr="00C903F8" w:rsidRDefault="009C13A9" w:rsidP="009C13A9">
            <w:pPr>
              <w:spacing w:before="60" w:after="60" w:line="240" w:lineRule="atLeast"/>
              <w:ind w:left="0" w:firstLine="0"/>
              <w:rPr>
                <w:sz w:val="18"/>
                <w:szCs w:val="18"/>
              </w:rPr>
            </w:pPr>
            <w:r>
              <w:rPr>
                <w:sz w:val="18"/>
              </w:rPr>
              <w:t>3 giorni</w:t>
            </w:r>
          </w:p>
        </w:tc>
        <w:tc>
          <w:tcPr>
            <w:tcW w:w="2268" w:type="dxa"/>
            <w:tcBorders>
              <w:top w:val="single" w:sz="4" w:space="0" w:color="000000"/>
              <w:left w:val="single" w:sz="4" w:space="0" w:color="000000"/>
              <w:bottom w:val="single" w:sz="4" w:space="0" w:color="000000"/>
            </w:tcBorders>
          </w:tcPr>
          <w:p w:rsidR="009C13A9" w:rsidRPr="00C903F8" w:rsidRDefault="00624017" w:rsidP="00EB3292">
            <w:pPr>
              <w:spacing w:before="60" w:after="60" w:line="240" w:lineRule="atLeast"/>
              <w:ind w:left="0" w:firstLine="0"/>
              <w:rPr>
                <w:sz w:val="18"/>
                <w:szCs w:val="18"/>
              </w:rPr>
            </w:pPr>
            <m:oMathPara>
              <m:oMath>
                <m:sSub>
                  <m:sSubPr>
                    <m:ctrlPr>
                      <w:rPr>
                        <w:rFonts w:ascii="Cambria Math" w:hAnsi="Cambria Math"/>
                        <w:i/>
                        <w:sz w:val="18"/>
                        <w:szCs w:val="18"/>
                      </w:rPr>
                    </m:ctrlPr>
                  </m:sSubPr>
                  <m:e>
                    <m:r>
                      <w:rPr>
                        <w:rFonts w:ascii="Cambria Math" w:hAnsi="Cambria Math"/>
                        <w:sz w:val="18"/>
                        <w:szCs w:val="18"/>
                      </w:rPr>
                      <m:t>0,5 Q</m:t>
                    </m:r>
                  </m:e>
                  <m:sub>
                    <m:r>
                      <w:rPr>
                        <w:rFonts w:ascii="Cambria Math" w:hAnsi="Cambria Math"/>
                        <w:sz w:val="18"/>
                        <w:szCs w:val="18"/>
                      </w:rPr>
                      <m:t>d</m:t>
                    </m:r>
                  </m:sub>
                </m:sSub>
              </m:oMath>
            </m:oMathPara>
          </w:p>
        </w:tc>
        <w:tc>
          <w:tcPr>
            <w:tcW w:w="3345" w:type="dxa"/>
            <w:tcBorders>
              <w:top w:val="single" w:sz="4" w:space="0" w:color="000000"/>
              <w:left w:val="single" w:sz="4" w:space="0" w:color="000000"/>
              <w:bottom w:val="single" w:sz="4" w:space="0" w:color="000000"/>
              <w:right w:val="single" w:sz="4" w:space="0" w:color="000000"/>
            </w:tcBorders>
          </w:tcPr>
          <w:p w:rsidR="009C13A9" w:rsidRPr="00C903F8" w:rsidRDefault="00624017" w:rsidP="009C13A9">
            <w:pPr>
              <w:spacing w:before="60" w:after="60" w:line="240" w:lineRule="atLeast"/>
              <w:ind w:left="0" w:firstLine="0"/>
              <w:rPr>
                <w:sz w:val="18"/>
                <w:szCs w:val="18"/>
              </w:rPr>
            </w:pPr>
            <m:oMath>
              <m:sSub>
                <m:sSubPr>
                  <m:ctrlPr>
                    <w:rPr>
                      <w:rFonts w:ascii="Cambria Math" w:hAnsi="Cambria Math" w:cs="Arial"/>
                      <w:i/>
                      <w:sz w:val="18"/>
                      <w:szCs w:val="20"/>
                    </w:rPr>
                  </m:ctrlPr>
                </m:sSubPr>
                <m:e>
                  <m:r>
                    <w:rPr>
                      <w:rFonts w:ascii="Cambria Math" w:hAnsi="Cambria Math" w:cs="Arial"/>
                      <w:sz w:val="18"/>
                      <w:szCs w:val="20"/>
                    </w:rPr>
                    <m:t>C</m:t>
                  </m:r>
                </m:e>
                <m:sub>
                  <m:sSub>
                    <m:sSubPr>
                      <m:ctrlPr>
                        <w:rPr>
                          <w:rFonts w:ascii="Cambria Math" w:hAnsi="Cambria Math" w:cs="Arial"/>
                          <w:i/>
                          <w:sz w:val="18"/>
                          <w:szCs w:val="20"/>
                        </w:rPr>
                      </m:ctrlPr>
                    </m:sSubPr>
                    <m:e>
                      <m:r>
                        <w:rPr>
                          <w:rFonts w:ascii="Cambria Math" w:hAnsi="Cambria Math" w:cs="Arial"/>
                          <w:sz w:val="18"/>
                          <w:szCs w:val="20"/>
                        </w:rPr>
                        <m:t>BOD</m:t>
                      </m:r>
                    </m:e>
                    <m:sub>
                      <m:r>
                        <w:rPr>
                          <w:rFonts w:ascii="Cambria Math" w:hAnsi="Cambria Math" w:cs="Arial"/>
                          <w:sz w:val="18"/>
                          <w:szCs w:val="20"/>
                        </w:rPr>
                        <m:t>5</m:t>
                      </m:r>
                    </m:sub>
                  </m:sSub>
                </m:sub>
              </m:sSub>
            </m:oMath>
            <w:r w:rsidR="00801F1F">
              <w:rPr>
                <w:sz w:val="18"/>
              </w:rPr>
              <w:t xml:space="preserve"> conformemente al punto 2.4</w:t>
            </w:r>
          </w:p>
        </w:tc>
      </w:tr>
      <w:tr w:rsidR="009C13A9" w:rsidRPr="00A0619C" w:rsidTr="009C13A9">
        <w:trPr>
          <w:jc w:val="center"/>
        </w:trPr>
        <w:tc>
          <w:tcPr>
            <w:tcW w:w="1418" w:type="dxa"/>
            <w:tcBorders>
              <w:top w:val="single" w:sz="4" w:space="0" w:color="000000"/>
              <w:left w:val="single" w:sz="4" w:space="0" w:color="000000"/>
              <w:bottom w:val="single" w:sz="4" w:space="0" w:color="000000"/>
            </w:tcBorders>
          </w:tcPr>
          <w:p w:rsidR="009C13A9" w:rsidRPr="00C903F8" w:rsidRDefault="009C13A9" w:rsidP="009C13A9">
            <w:pPr>
              <w:spacing w:before="60" w:after="60" w:line="240" w:lineRule="atLeast"/>
              <w:ind w:left="0" w:firstLine="0"/>
              <w:rPr>
                <w:sz w:val="18"/>
                <w:szCs w:val="18"/>
              </w:rPr>
            </w:pPr>
            <w:r>
              <w:rPr>
                <w:sz w:val="18"/>
              </w:rPr>
              <w:t>Stand-by</w:t>
            </w:r>
          </w:p>
        </w:tc>
        <w:tc>
          <w:tcPr>
            <w:tcW w:w="1134" w:type="dxa"/>
            <w:tcBorders>
              <w:top w:val="single" w:sz="4" w:space="0" w:color="000000"/>
              <w:left w:val="single" w:sz="4" w:space="0" w:color="000000"/>
              <w:bottom w:val="single" w:sz="4" w:space="0" w:color="000000"/>
            </w:tcBorders>
          </w:tcPr>
          <w:p w:rsidR="009C13A9" w:rsidRPr="00C903F8" w:rsidRDefault="009C13A9" w:rsidP="009C13A9">
            <w:pPr>
              <w:spacing w:before="60" w:after="60" w:line="240" w:lineRule="atLeast"/>
              <w:ind w:left="0" w:firstLine="0"/>
              <w:rPr>
                <w:sz w:val="18"/>
                <w:szCs w:val="18"/>
              </w:rPr>
            </w:pPr>
            <w:r>
              <w:rPr>
                <w:sz w:val="18"/>
              </w:rPr>
              <w:t>4 giorni</w:t>
            </w:r>
          </w:p>
        </w:tc>
        <w:tc>
          <w:tcPr>
            <w:tcW w:w="2268" w:type="dxa"/>
            <w:tcBorders>
              <w:top w:val="single" w:sz="4" w:space="0" w:color="000000"/>
              <w:left w:val="single" w:sz="4" w:space="0" w:color="000000"/>
              <w:bottom w:val="single" w:sz="4" w:space="0" w:color="000000"/>
            </w:tcBorders>
          </w:tcPr>
          <w:p w:rsidR="00220FB5" w:rsidRPr="00C903F8" w:rsidRDefault="009C13A9" w:rsidP="00EB3292">
            <w:pPr>
              <w:spacing w:before="60" w:after="60" w:line="240" w:lineRule="atLeast"/>
              <w:ind w:left="0" w:firstLine="0"/>
              <w:rPr>
                <w:sz w:val="18"/>
                <w:szCs w:val="18"/>
              </w:rPr>
            </w:pPr>
            <w:r>
              <w:rPr>
                <w:sz w:val="18"/>
              </w:rPr>
              <w:t xml:space="preserve">Giorno 1 e giorno 2: </w:t>
            </w:r>
            <m:oMath>
              <m:sSub>
                <m:sSubPr>
                  <m:ctrlPr>
                    <w:rPr>
                      <w:rFonts w:ascii="Cambria Math" w:hAnsi="Cambria Math"/>
                      <w:i/>
                      <w:sz w:val="18"/>
                      <w:szCs w:val="18"/>
                    </w:rPr>
                  </m:ctrlPr>
                </m:sSubPr>
                <m:e>
                  <m:r>
                    <w:rPr>
                      <w:rFonts w:ascii="Cambria Math" w:hAnsi="Cambria Math"/>
                      <w:sz w:val="18"/>
                      <w:szCs w:val="18"/>
                    </w:rPr>
                    <m:t>Q</m:t>
                  </m:r>
                </m:e>
                <m:sub>
                  <m:r>
                    <w:rPr>
                      <w:rFonts w:ascii="Cambria Math" w:hAnsi="Cambria Math"/>
                      <w:sz w:val="18"/>
                      <w:szCs w:val="18"/>
                    </w:rPr>
                    <m:t>d</m:t>
                  </m:r>
                </m:sub>
              </m:sSub>
              <m:r>
                <w:rPr>
                  <w:rFonts w:ascii="Cambria Math" w:hAnsi="Cambria Math"/>
                  <w:sz w:val="18"/>
                  <w:szCs w:val="18"/>
                </w:rPr>
                <m:t>=0</m:t>
              </m:r>
            </m:oMath>
            <w:r>
              <w:rPr>
                <w:sz w:val="18"/>
                <w:szCs w:val="18"/>
              </w:rPr>
              <w:br/>
            </w:r>
            <w:r>
              <w:rPr>
                <w:sz w:val="18"/>
              </w:rPr>
              <w:t xml:space="preserve">Giorno 3 e giorno 4: </w:t>
            </w:r>
            <m:oMath>
              <m:sSub>
                <m:sSubPr>
                  <m:ctrlPr>
                    <w:rPr>
                      <w:rFonts w:ascii="Cambria Math" w:hAnsi="Cambria Math"/>
                      <w:i/>
                      <w:sz w:val="18"/>
                      <w:szCs w:val="18"/>
                    </w:rPr>
                  </m:ctrlPr>
                </m:sSubPr>
                <m:e>
                  <m:r>
                    <w:rPr>
                      <w:rFonts w:ascii="Cambria Math" w:hAnsi="Cambria Math"/>
                      <w:sz w:val="18"/>
                      <w:szCs w:val="18"/>
                    </w:rPr>
                    <m:t>Q</m:t>
                  </m:r>
                </m:e>
                <m:sub>
                  <m:r>
                    <w:rPr>
                      <w:rFonts w:ascii="Cambria Math" w:hAnsi="Cambria Math"/>
                      <w:sz w:val="18"/>
                      <w:szCs w:val="18"/>
                    </w:rPr>
                    <m:t>d</m:t>
                  </m:r>
                </m:sub>
              </m:sSub>
            </m:oMath>
          </w:p>
        </w:tc>
        <w:tc>
          <w:tcPr>
            <w:tcW w:w="3345" w:type="dxa"/>
            <w:tcBorders>
              <w:top w:val="single" w:sz="4" w:space="0" w:color="000000"/>
              <w:left w:val="single" w:sz="4" w:space="0" w:color="000000"/>
              <w:bottom w:val="single" w:sz="4" w:space="0" w:color="000000"/>
              <w:right w:val="single" w:sz="4" w:space="0" w:color="000000"/>
            </w:tcBorders>
          </w:tcPr>
          <w:p w:rsidR="009C13A9" w:rsidRPr="00C903F8" w:rsidRDefault="00624017" w:rsidP="009C13A9">
            <w:pPr>
              <w:spacing w:before="60" w:after="60" w:line="240" w:lineRule="atLeast"/>
              <w:ind w:left="0" w:firstLine="0"/>
              <w:rPr>
                <w:sz w:val="18"/>
                <w:szCs w:val="18"/>
              </w:rPr>
            </w:pPr>
            <m:oMath>
              <m:sSub>
                <m:sSubPr>
                  <m:ctrlPr>
                    <w:rPr>
                      <w:rFonts w:ascii="Cambria Math" w:hAnsi="Cambria Math" w:cs="Arial"/>
                      <w:i/>
                      <w:sz w:val="18"/>
                      <w:szCs w:val="20"/>
                    </w:rPr>
                  </m:ctrlPr>
                </m:sSubPr>
                <m:e>
                  <m:r>
                    <w:rPr>
                      <w:rFonts w:ascii="Cambria Math" w:hAnsi="Cambria Math" w:cs="Arial"/>
                      <w:sz w:val="18"/>
                      <w:szCs w:val="20"/>
                    </w:rPr>
                    <m:t>C</m:t>
                  </m:r>
                </m:e>
                <m:sub>
                  <m:sSub>
                    <m:sSubPr>
                      <m:ctrlPr>
                        <w:rPr>
                          <w:rFonts w:ascii="Cambria Math" w:hAnsi="Cambria Math" w:cs="Arial"/>
                          <w:i/>
                          <w:sz w:val="18"/>
                          <w:szCs w:val="20"/>
                        </w:rPr>
                      </m:ctrlPr>
                    </m:sSubPr>
                    <m:e>
                      <m:r>
                        <w:rPr>
                          <w:rFonts w:ascii="Cambria Math" w:hAnsi="Cambria Math" w:cs="Arial"/>
                          <w:sz w:val="18"/>
                          <w:szCs w:val="20"/>
                        </w:rPr>
                        <m:t>BOD</m:t>
                      </m:r>
                    </m:e>
                    <m:sub>
                      <m:r>
                        <w:rPr>
                          <w:rFonts w:ascii="Cambria Math" w:hAnsi="Cambria Math" w:cs="Arial"/>
                          <w:sz w:val="18"/>
                          <w:szCs w:val="20"/>
                        </w:rPr>
                        <m:t>5</m:t>
                      </m:r>
                    </m:sub>
                  </m:sSub>
                </m:sub>
              </m:sSub>
            </m:oMath>
            <w:r w:rsidR="00801F1F">
              <w:rPr>
                <w:sz w:val="18"/>
              </w:rPr>
              <w:t xml:space="preserve"> conformemente al punto 2.4</w:t>
            </w:r>
          </w:p>
        </w:tc>
      </w:tr>
    </w:tbl>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br w:type="page"/>
      </w:r>
    </w:p>
    <w:p w:rsidR="009C13A9" w:rsidRPr="00C903F8" w:rsidRDefault="009C13A9" w:rsidP="009C13A9">
      <w:pPr>
        <w:spacing w:line="240" w:lineRule="atLeast"/>
        <w:ind w:left="426" w:firstLine="0"/>
        <w:rPr>
          <w:noProof/>
        </w:rPr>
      </w:pPr>
      <w:r>
        <w:lastRenderedPageBreak/>
        <w:t xml:space="preserve">Le fasi speciali di carico (sovraccarico, carico insufficiente e stand-by) sono condotte consecutivamente senza interruzione; la fase normale di carico è suddivisa in diverse parti. La prova inizia e finisce con una fase normale di carico della durata di almeno cinque giorni in ciascun caso. </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t xml:space="preserve">Per l'alimentazione idraulica sono definiti idrogrammi giornalieri sulla base del tipo di operazione specificata dell'impianto di depurazione di bordo. L’idrogramma giornaliero dell’alimentazione idraulica è selezionato in conformità al modo operativo dell’impianto di depurazione di bordo. Una distinzione deve essere fatta a seconda che l’impianto di depurazione di bordo funzioni con o senza serbatoio di stoccaggio delle acque reflue collocato a monte. Gli idrogrammi di alimentazione (idrogrammi giornalieri) sono riportanti nelle figure 1 e 2. </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t xml:space="preserve">Per l’intero periodo di prova l’afflusso orario deve rimanere costante. La portata volumetrica media oraria di acque reflue </w:t>
      </w:r>
      <m:oMath>
        <m:sSub>
          <m:sSubPr>
            <m:ctrlPr>
              <w:rPr>
                <w:rFonts w:ascii="Cambria Math" w:hAnsi="Cambria Math"/>
                <w:i/>
                <w:noProof/>
              </w:rPr>
            </m:ctrlPr>
          </m:sSubPr>
          <m:e>
            <m:r>
              <w:rPr>
                <w:rFonts w:ascii="Cambria Math" w:hAnsi="Cambria Math"/>
                <w:noProof/>
              </w:rPr>
              <m:t>Q</m:t>
            </m:r>
          </m:e>
          <m:sub>
            <m:r>
              <w:rPr>
                <w:rFonts w:ascii="Cambria Math" w:hAnsi="Cambria Math"/>
                <w:noProof/>
              </w:rPr>
              <m:t>h, mean</m:t>
            </m:r>
          </m:sub>
        </m:sSub>
      </m:oMath>
      <w:r>
        <w:t xml:space="preserve"> è equivalente a 1/24 del carico idraulico giornaliero conformemente alla tabella 1. L’afflusso è misurato costantemente dal servizio tecnico. L'idrogramma giornaliero deve essere mantenuto in una fascia di tolleranza di ±5 %.</w:t>
      </w:r>
    </w:p>
    <w:p w:rsidR="009C13A9" w:rsidRDefault="009C13A9" w:rsidP="009C13A9">
      <w:pPr>
        <w:spacing w:line="240" w:lineRule="atLeast"/>
        <w:ind w:left="426" w:firstLine="0"/>
        <w:rPr>
          <w:noProof/>
        </w:rPr>
      </w:pPr>
    </w:p>
    <w:p w:rsidR="00AD0DF4" w:rsidRDefault="00AD0DF4" w:rsidP="009C13A9">
      <w:pPr>
        <w:spacing w:line="240" w:lineRule="atLeast"/>
        <w:ind w:left="426" w:firstLine="0"/>
        <w:rPr>
          <w:noProof/>
        </w:rPr>
      </w:pPr>
    </w:p>
    <w:p w:rsidR="00D74433" w:rsidRDefault="00AD0DF4" w:rsidP="00AD0DF4">
      <w:pPr>
        <w:spacing w:line="240" w:lineRule="atLeast"/>
        <w:ind w:left="426" w:firstLine="0"/>
        <w:jc w:val="center"/>
        <w:rPr>
          <w:noProof/>
        </w:rPr>
      </w:pPr>
      <w:r>
        <w:rPr>
          <w:noProof/>
          <w:lang w:val="en-GB" w:eastAsia="en-GB" w:bidi="ar-SA"/>
        </w:rPr>
        <w:drawing>
          <wp:inline distT="0" distB="0" distL="0" distR="0" wp14:anchorId="52E38947" wp14:editId="7E1658CF">
            <wp:extent cx="5358384" cy="3267456"/>
            <wp:effectExtent l="0" t="0" r="0" b="9525"/>
            <wp:docPr id="308" name="Imag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rin-Fig1en_p369..jpg"/>
                    <pic:cNvPicPr/>
                  </pic:nvPicPr>
                  <pic:blipFill>
                    <a:blip r:embed="rId97">
                      <a:extLst>
                        <a:ext uri="{28A0092B-C50C-407E-A947-70E740481C1C}">
                          <a14:useLocalDpi xmlns:a14="http://schemas.microsoft.com/office/drawing/2010/main" val="0"/>
                        </a:ext>
                      </a:extLst>
                    </a:blip>
                    <a:stretch>
                      <a:fillRect/>
                    </a:stretch>
                  </pic:blipFill>
                  <pic:spPr>
                    <a:xfrm>
                      <a:off x="0" y="0"/>
                      <a:ext cx="5358384" cy="3267456"/>
                    </a:xfrm>
                    <a:prstGeom prst="rect">
                      <a:avLst/>
                    </a:prstGeom>
                  </pic:spPr>
                </pic:pic>
              </a:graphicData>
            </a:graphic>
          </wp:inline>
        </w:drawing>
      </w:r>
    </w:p>
    <w:p w:rsidR="00D74433" w:rsidRPr="00C903F8" w:rsidRDefault="00D74433" w:rsidP="009C13A9">
      <w:pPr>
        <w:spacing w:line="240" w:lineRule="atLeast"/>
        <w:ind w:left="426" w:firstLine="0"/>
        <w:rPr>
          <w:noProof/>
        </w:rPr>
      </w:pPr>
    </w:p>
    <w:p w:rsidR="009C13A9" w:rsidRPr="00C903F8" w:rsidRDefault="009C13A9" w:rsidP="009C13A9">
      <w:pPr>
        <w:ind w:left="1985" w:hanging="1276"/>
        <w:rPr>
          <w:i/>
          <w:noProof/>
          <w:szCs w:val="20"/>
        </w:rPr>
      </w:pPr>
      <w:r>
        <w:rPr>
          <w:i/>
          <w:noProof/>
        </w:rPr>
        <w:t xml:space="preserve">Figura </w:t>
      </w:r>
      <w:r>
        <w:rPr>
          <w:i/>
          <w:noProof/>
          <w:szCs w:val="20"/>
        </w:rPr>
        <w:fldChar w:fldCharType="begin"/>
      </w:r>
      <w:r>
        <w:rPr>
          <w:i/>
          <w:noProof/>
          <w:szCs w:val="20"/>
        </w:rPr>
        <w:instrText xml:space="preserve"> SEQ Abbildung \* ARABIC </w:instrText>
      </w:r>
      <w:r>
        <w:rPr>
          <w:i/>
          <w:noProof/>
          <w:szCs w:val="20"/>
        </w:rPr>
        <w:fldChar w:fldCharType="separate"/>
      </w:r>
      <w:r>
        <w:rPr>
          <w:i/>
          <w:noProof/>
          <w:szCs w:val="20"/>
        </w:rPr>
        <w:t>1</w:t>
      </w:r>
      <w:r>
        <w:rPr>
          <w:i/>
          <w:noProof/>
          <w:szCs w:val="20"/>
        </w:rPr>
        <w:fldChar w:fldCharType="end"/>
      </w:r>
      <w:r>
        <w:rPr>
          <w:i/>
          <w:noProof/>
        </w:rPr>
        <w:t>:</w:t>
      </w:r>
      <w:r>
        <w:tab/>
      </w:r>
      <w:r>
        <w:rPr>
          <w:i/>
          <w:noProof/>
        </w:rPr>
        <w:t>Idrogramma giornaliero per l’alimentazione dell’impianto di depurazione di bordo con serbatoio di stoccaggio delle acque reflue collocato a monte</w:t>
      </w:r>
    </w:p>
    <w:p w:rsidR="009C13A9" w:rsidRPr="00C903F8" w:rsidRDefault="009C13A9" w:rsidP="009C13A9">
      <w:pPr>
        <w:rPr>
          <w:noProof/>
          <w:sz w:val="22"/>
        </w:rPr>
      </w:pPr>
    </w:p>
    <w:p w:rsidR="00EB3292" w:rsidRPr="00C903F8" w:rsidRDefault="00EB3292" w:rsidP="009C13A9">
      <w:pPr>
        <w:rPr>
          <w:noProof/>
          <w:sz w:val="22"/>
        </w:rPr>
      </w:pPr>
    </w:p>
    <w:p w:rsidR="009C13A9" w:rsidRPr="00C903F8" w:rsidRDefault="009C13A9" w:rsidP="009C13A9">
      <w:pPr>
        <w:suppressAutoHyphens/>
        <w:autoSpaceDE/>
        <w:autoSpaceDN/>
        <w:spacing w:line="240" w:lineRule="atLeast"/>
        <w:ind w:left="0" w:firstLine="0"/>
        <w:jc w:val="left"/>
        <w:rPr>
          <w:rFonts w:cs="Arial"/>
          <w:sz w:val="22"/>
        </w:rPr>
      </w:pPr>
      <w:r>
        <w:br w:type="page"/>
      </w:r>
    </w:p>
    <w:p w:rsidR="009C13A9" w:rsidRPr="00C903F8" w:rsidRDefault="009C13A9" w:rsidP="009C13A9">
      <w:pPr>
        <w:suppressAutoHyphens/>
        <w:autoSpaceDE/>
        <w:autoSpaceDN/>
        <w:spacing w:line="240" w:lineRule="atLeast"/>
        <w:ind w:left="0" w:firstLine="0"/>
        <w:rPr>
          <w:rFonts w:cs="Arial"/>
          <w:sz w:val="22"/>
        </w:rPr>
      </w:pPr>
    </w:p>
    <w:p w:rsidR="009C13A9" w:rsidRPr="00C903F8" w:rsidRDefault="00AD0DF4" w:rsidP="009C13A9">
      <w:pPr>
        <w:spacing w:line="240" w:lineRule="atLeast"/>
        <w:rPr>
          <w:rFonts w:cs="Arial"/>
          <w:noProof/>
          <w:color w:val="000000"/>
        </w:rPr>
      </w:pPr>
      <w:r>
        <w:rPr>
          <w:rFonts w:cs="Arial"/>
          <w:noProof/>
          <w:color w:val="000000"/>
          <w:lang w:val="en-GB" w:eastAsia="en-GB" w:bidi="ar-SA"/>
        </w:rPr>
        <w:drawing>
          <wp:inline distT="0" distB="0" distL="0" distR="0" wp14:anchorId="3A59EC3E" wp14:editId="26C8E7B5">
            <wp:extent cx="5358384" cy="2950464"/>
            <wp:effectExtent l="0" t="0" r="0" b="2540"/>
            <wp:docPr id="309" name="Imag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rin-Fig2en_p369..jpg"/>
                    <pic:cNvPicPr/>
                  </pic:nvPicPr>
                  <pic:blipFill>
                    <a:blip r:embed="rId98">
                      <a:extLst>
                        <a:ext uri="{28A0092B-C50C-407E-A947-70E740481C1C}">
                          <a14:useLocalDpi xmlns:a14="http://schemas.microsoft.com/office/drawing/2010/main" val="0"/>
                        </a:ext>
                      </a:extLst>
                    </a:blip>
                    <a:stretch>
                      <a:fillRect/>
                    </a:stretch>
                  </pic:blipFill>
                  <pic:spPr>
                    <a:xfrm>
                      <a:off x="0" y="0"/>
                      <a:ext cx="5358384" cy="2950464"/>
                    </a:xfrm>
                    <a:prstGeom prst="rect">
                      <a:avLst/>
                    </a:prstGeom>
                  </pic:spPr>
                </pic:pic>
              </a:graphicData>
            </a:graphic>
          </wp:inline>
        </w:drawing>
      </w:r>
    </w:p>
    <w:p w:rsidR="00AD0DF4" w:rsidRDefault="00AD0DF4" w:rsidP="009C13A9">
      <w:pPr>
        <w:ind w:left="1985" w:hanging="1276"/>
        <w:rPr>
          <w:i/>
          <w:noProof/>
          <w:szCs w:val="20"/>
        </w:rPr>
      </w:pPr>
    </w:p>
    <w:p w:rsidR="009C13A9" w:rsidRPr="00C903F8" w:rsidRDefault="009C13A9" w:rsidP="009C13A9">
      <w:pPr>
        <w:ind w:left="1985" w:hanging="1276"/>
        <w:rPr>
          <w:i/>
          <w:noProof/>
          <w:szCs w:val="20"/>
        </w:rPr>
      </w:pPr>
      <w:r>
        <w:rPr>
          <w:i/>
          <w:noProof/>
        </w:rPr>
        <w:t xml:space="preserve">Figura </w:t>
      </w:r>
      <w:r>
        <w:rPr>
          <w:i/>
          <w:noProof/>
          <w:szCs w:val="20"/>
        </w:rPr>
        <w:fldChar w:fldCharType="begin"/>
      </w:r>
      <w:r>
        <w:rPr>
          <w:i/>
          <w:noProof/>
          <w:szCs w:val="20"/>
        </w:rPr>
        <w:instrText xml:space="preserve"> SEQ Abbildung \* ARABIC </w:instrText>
      </w:r>
      <w:r>
        <w:rPr>
          <w:i/>
          <w:noProof/>
          <w:szCs w:val="20"/>
        </w:rPr>
        <w:fldChar w:fldCharType="separate"/>
      </w:r>
      <w:r>
        <w:rPr>
          <w:i/>
          <w:noProof/>
          <w:szCs w:val="20"/>
        </w:rPr>
        <w:t>2</w:t>
      </w:r>
      <w:r>
        <w:rPr>
          <w:i/>
          <w:noProof/>
          <w:szCs w:val="20"/>
        </w:rPr>
        <w:fldChar w:fldCharType="end"/>
      </w:r>
      <w:r>
        <w:rPr>
          <w:i/>
          <w:noProof/>
        </w:rPr>
        <w:t>:</w:t>
      </w:r>
      <w:r>
        <w:tab/>
      </w:r>
      <w:r>
        <w:rPr>
          <w:i/>
          <w:noProof/>
        </w:rPr>
        <w:t>Idrogramma giornaliero per l’alimentazione dell’impianto di depurazione di bordo senza serbatoio di stoccaggio delle acque reflue collocato a monte</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3.2</w:t>
      </w:r>
      <w:r>
        <w:tab/>
      </w:r>
      <w:r>
        <w:rPr>
          <w:noProof/>
          <w:color w:val="000000"/>
        </w:rPr>
        <w:t>Interruzione o annullamento della prova</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t>Può rivelarsi necessario interrompere la prova qualora l’impianto di depurazione di prova non possa funzionare in modo adeguato a causa di un’interruzione di corrente o di anomalie di un sottoinsieme. La prova può essere interrotta per la durata della riparazione. In questi casi non è necessario ripetere l’intera prova ma solo la fase di carico in cui si è verificata l’anomalia del sottoinsieme.</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t>Se la prova è interrotta per una seconda volta, spetta al servizio tecnico decidere se essa possa essere continuata o no. I motivi della decisione devono essere indicati e documentati nel verbale di prova. In caso di cancellazione della prova, quest’ultima deve essere ripetuta integralmente.</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3.3</w:t>
      </w:r>
      <w:r>
        <w:tab/>
      </w:r>
      <w:r>
        <w:rPr>
          <w:noProof/>
          <w:color w:val="000000"/>
        </w:rPr>
        <w:t xml:space="preserve">Analisi dell’efficienza di purificazione e conformità con i valori limite di deflusso. </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t xml:space="preserve">Il servizio tecnico preleva campioni dal materiale di afflusso all’impianto di prova e gli analizza al fine di verificarne la conformità con le caratteristiche di afflusso. Campioni di acque reflue sono prelevati in uscita dall’impianto di prova e analizzati per determinare l’efficienza di purificazione e la conformità con i valori limite di deflusso previsti. Il campionamento comprende sia semplici campioni prelevati a caso sia campioni compositi su 24 ore. Nel caso di questi ultimi il campionamento può essere proporzionale al tempo o alla portata. Il tipo di campionamento composito su 24 ore è specificato dalla commissione di ispezione. Il campionamento di afflusso e deflusso deve essere realizzato contemporaneamente e al medesimo livello. </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br w:type="page"/>
      </w:r>
    </w:p>
    <w:p w:rsidR="009C13A9" w:rsidRPr="00C903F8" w:rsidRDefault="009C13A9" w:rsidP="009C13A9">
      <w:pPr>
        <w:spacing w:line="240" w:lineRule="atLeast"/>
        <w:ind w:left="426" w:firstLine="0"/>
        <w:rPr>
          <w:noProof/>
        </w:rPr>
      </w:pPr>
      <w:r>
        <w:lastRenderedPageBreak/>
        <w:t xml:space="preserve">In aggiunta i parametri di controllo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t>, COD e TOC</w:t>
      </w:r>
      <w:r>
        <w:rPr>
          <w:vertAlign w:val="superscript"/>
        </w:rPr>
        <w:t>(</w:t>
      </w:r>
      <w:r>
        <w:rPr>
          <w:vertAlign w:val="superscript"/>
        </w:rPr>
        <w:footnoteReference w:id="76"/>
      </w:r>
      <w:r>
        <w:rPr>
          <w:vertAlign w:val="superscript"/>
        </w:rPr>
        <w:t>)</w:t>
      </w:r>
      <w:r>
        <w:t>, sono misurati i seguenti parametri di afflusso e deflusso al fine di descrivere e rappresentare le condizioni ambientali e di prova:</w:t>
      </w:r>
    </w:p>
    <w:p w:rsidR="009C13A9" w:rsidRPr="00C903F8" w:rsidRDefault="005C7859" w:rsidP="009C13A9">
      <w:pPr>
        <w:spacing w:before="60" w:line="240" w:lineRule="atLeast"/>
        <w:ind w:left="851"/>
        <w:rPr>
          <w:rFonts w:cs="Arial"/>
          <w:noProof/>
          <w:szCs w:val="22"/>
        </w:rPr>
      </w:pPr>
      <w:r>
        <w:t>a)</w:t>
      </w:r>
      <w:r>
        <w:tab/>
        <w:t>solidi che possono essere rimossi mediante filtrazione (SRF);</w:t>
      </w:r>
    </w:p>
    <w:p w:rsidR="009C13A9" w:rsidRPr="00C903F8" w:rsidRDefault="005C7859" w:rsidP="009C13A9">
      <w:pPr>
        <w:spacing w:before="60" w:line="240" w:lineRule="atLeast"/>
        <w:ind w:left="851"/>
        <w:rPr>
          <w:rFonts w:cs="Arial"/>
          <w:noProof/>
          <w:szCs w:val="22"/>
        </w:rPr>
      </w:pPr>
      <w:r>
        <w:t>b)</w:t>
      </w:r>
      <w:r>
        <w:tab/>
        <w:t>pH;</w:t>
      </w:r>
    </w:p>
    <w:p w:rsidR="009C13A9" w:rsidRPr="00C903F8" w:rsidRDefault="005C7859" w:rsidP="009C13A9">
      <w:pPr>
        <w:spacing w:before="60" w:line="240" w:lineRule="atLeast"/>
        <w:ind w:left="851"/>
        <w:rPr>
          <w:rFonts w:cs="Arial"/>
          <w:noProof/>
          <w:szCs w:val="22"/>
        </w:rPr>
      </w:pPr>
      <w:r>
        <w:t>c)</w:t>
      </w:r>
      <w:r>
        <w:tab/>
        <w:t>conduttività;</w:t>
      </w:r>
    </w:p>
    <w:p w:rsidR="009C13A9" w:rsidRPr="00C903F8" w:rsidRDefault="0029453D" w:rsidP="009C13A9">
      <w:pPr>
        <w:spacing w:before="60" w:line="240" w:lineRule="atLeast"/>
        <w:ind w:left="851"/>
        <w:rPr>
          <w:rFonts w:cs="Arial"/>
          <w:noProof/>
          <w:szCs w:val="22"/>
        </w:rPr>
      </w:pPr>
      <w:r>
        <w:t>d)</w:t>
      </w:r>
      <w:r>
        <w:tab/>
        <w:t xml:space="preserve">temperatura delle fasi liquide. </w:t>
      </w:r>
    </w:p>
    <w:p w:rsidR="009C13A9" w:rsidRPr="00C903F8" w:rsidRDefault="009C13A9" w:rsidP="009C13A9">
      <w:pPr>
        <w:spacing w:before="60" w:line="240" w:lineRule="atLeast"/>
        <w:ind w:left="851"/>
        <w:rPr>
          <w:rFonts w:cs="Arial"/>
          <w:noProof/>
          <w:szCs w:val="22"/>
        </w:rPr>
      </w:pPr>
    </w:p>
    <w:p w:rsidR="009C13A9" w:rsidRPr="00C903F8" w:rsidRDefault="009C13A9" w:rsidP="009C13A9">
      <w:pPr>
        <w:spacing w:line="240" w:lineRule="atLeast"/>
        <w:ind w:left="426" w:firstLine="0"/>
        <w:rPr>
          <w:noProof/>
        </w:rPr>
      </w:pPr>
      <w:r>
        <w:t xml:space="preserve">Il numero di analisi varia a seconda delle pertinenti fasi di carico ed è indicato nella tabella 2. Il numero di campionamenti si riferisce all’afflusso o deflusso dall’impianto di prova. </w:t>
      </w:r>
    </w:p>
    <w:p w:rsidR="009C13A9" w:rsidRPr="00C903F8" w:rsidRDefault="009C13A9" w:rsidP="009C13A9">
      <w:pPr>
        <w:spacing w:line="240" w:lineRule="atLeast"/>
        <w:ind w:left="426" w:firstLine="0"/>
        <w:rPr>
          <w:noProof/>
        </w:rPr>
      </w:pPr>
    </w:p>
    <w:p w:rsidR="009C13A9" w:rsidRPr="00C903F8" w:rsidRDefault="009C13A9" w:rsidP="00FA5168">
      <w:pPr>
        <w:spacing w:line="240" w:lineRule="atLeast"/>
        <w:ind w:left="1560" w:hanging="851"/>
        <w:rPr>
          <w:rFonts w:cs="Arial"/>
          <w:noProof/>
          <w:color w:val="000000"/>
        </w:rPr>
      </w:pPr>
      <w:r>
        <w:rPr>
          <w:noProof/>
          <w:color w:val="000000"/>
        </w:rPr>
        <w:t>Tabella 2:</w:t>
      </w:r>
      <w:r>
        <w:tab/>
      </w:r>
      <w:r>
        <w:rPr>
          <w:noProof/>
          <w:color w:val="000000"/>
        </w:rPr>
        <w:t xml:space="preserve">Indicazione del numero e della periodicità dei campionamenti nell’afflusso/deflusso dell’impianto di prova </w:t>
      </w:r>
    </w:p>
    <w:p w:rsidR="009C13A9" w:rsidRPr="00C903F8" w:rsidRDefault="009C13A9" w:rsidP="009C13A9">
      <w:pPr>
        <w:spacing w:line="240" w:lineRule="atLeast"/>
        <w:ind w:left="2127" w:hanging="1418"/>
        <w:rPr>
          <w:rFonts w:cs="Arial"/>
          <w:noProof/>
          <w:color w:val="000000"/>
        </w:rPr>
      </w:pPr>
    </w:p>
    <w:tbl>
      <w:tblPr>
        <w:tblW w:w="8363"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7"/>
        <w:gridCol w:w="1092"/>
        <w:gridCol w:w="2472"/>
        <w:gridCol w:w="3402"/>
      </w:tblGrid>
      <w:tr w:rsidR="009C13A9" w:rsidRPr="00A0619C" w:rsidTr="009C13A9">
        <w:tc>
          <w:tcPr>
            <w:tcW w:w="1397" w:type="dxa"/>
          </w:tcPr>
          <w:p w:rsidR="009C13A9" w:rsidRPr="00C903F8" w:rsidRDefault="009C13A9" w:rsidP="009C13A9">
            <w:pPr>
              <w:spacing w:before="60" w:after="60" w:line="240" w:lineRule="atLeast"/>
              <w:ind w:left="0" w:firstLine="0"/>
              <w:rPr>
                <w:noProof/>
                <w:sz w:val="18"/>
                <w:szCs w:val="20"/>
              </w:rPr>
            </w:pPr>
            <w:r>
              <w:rPr>
                <w:noProof/>
                <w:sz w:val="18"/>
              </w:rPr>
              <w:t>Fase di carico</w:t>
            </w:r>
          </w:p>
        </w:tc>
        <w:tc>
          <w:tcPr>
            <w:tcW w:w="1092" w:type="dxa"/>
          </w:tcPr>
          <w:p w:rsidR="009C13A9" w:rsidRPr="00C903F8" w:rsidRDefault="009C13A9" w:rsidP="009C13A9">
            <w:pPr>
              <w:spacing w:before="60" w:after="60" w:line="240" w:lineRule="atLeast"/>
              <w:ind w:left="0" w:firstLine="0"/>
              <w:rPr>
                <w:noProof/>
                <w:sz w:val="18"/>
                <w:szCs w:val="20"/>
              </w:rPr>
            </w:pPr>
            <w:r>
              <w:rPr>
                <w:noProof/>
                <w:sz w:val="18"/>
              </w:rPr>
              <w:t>Numero di giorni prova</w:t>
            </w:r>
          </w:p>
        </w:tc>
        <w:tc>
          <w:tcPr>
            <w:tcW w:w="2472" w:type="dxa"/>
          </w:tcPr>
          <w:p w:rsidR="009C13A9" w:rsidRPr="00C903F8" w:rsidRDefault="009C13A9" w:rsidP="009C13A9">
            <w:pPr>
              <w:spacing w:before="60" w:after="60" w:line="240" w:lineRule="atLeast"/>
              <w:ind w:left="0" w:firstLine="0"/>
              <w:jc w:val="left"/>
              <w:rPr>
                <w:noProof/>
                <w:sz w:val="18"/>
                <w:szCs w:val="20"/>
              </w:rPr>
            </w:pPr>
            <w:r>
              <w:rPr>
                <w:noProof/>
                <w:sz w:val="18"/>
              </w:rPr>
              <w:t>Numero di campionamenti</w:t>
            </w:r>
          </w:p>
        </w:tc>
        <w:tc>
          <w:tcPr>
            <w:tcW w:w="3402" w:type="dxa"/>
          </w:tcPr>
          <w:p w:rsidR="009C13A9" w:rsidRPr="00C903F8" w:rsidRDefault="009C13A9" w:rsidP="009C13A9">
            <w:pPr>
              <w:spacing w:before="60" w:after="60" w:line="240" w:lineRule="atLeast"/>
              <w:ind w:left="0" w:firstLine="0"/>
              <w:rPr>
                <w:noProof/>
                <w:sz w:val="18"/>
                <w:szCs w:val="20"/>
              </w:rPr>
            </w:pPr>
            <w:r>
              <w:rPr>
                <w:noProof/>
                <w:sz w:val="18"/>
              </w:rPr>
              <w:t>Indicazione della periodicità dei campionamenti</w:t>
            </w:r>
          </w:p>
        </w:tc>
      </w:tr>
      <w:tr w:rsidR="009C13A9" w:rsidRPr="00A0619C" w:rsidTr="009C13A9">
        <w:tc>
          <w:tcPr>
            <w:tcW w:w="1397" w:type="dxa"/>
          </w:tcPr>
          <w:p w:rsidR="009C13A9" w:rsidRPr="00C903F8" w:rsidRDefault="009C13A9" w:rsidP="009C13A9">
            <w:pPr>
              <w:spacing w:before="60" w:after="60" w:line="240" w:lineRule="atLeast"/>
              <w:ind w:left="0" w:firstLine="0"/>
              <w:rPr>
                <w:noProof/>
                <w:sz w:val="18"/>
                <w:szCs w:val="20"/>
              </w:rPr>
            </w:pPr>
            <w:r>
              <w:rPr>
                <w:noProof/>
                <w:sz w:val="18"/>
              </w:rPr>
              <w:t>Carico normale</w:t>
            </w:r>
          </w:p>
        </w:tc>
        <w:tc>
          <w:tcPr>
            <w:tcW w:w="1092" w:type="dxa"/>
          </w:tcPr>
          <w:p w:rsidR="009C13A9" w:rsidRPr="00C903F8" w:rsidRDefault="009C13A9" w:rsidP="009C13A9">
            <w:pPr>
              <w:spacing w:before="60" w:after="60" w:line="240" w:lineRule="atLeast"/>
              <w:ind w:left="0" w:firstLine="0"/>
              <w:rPr>
                <w:noProof/>
                <w:sz w:val="18"/>
                <w:szCs w:val="20"/>
              </w:rPr>
            </w:pPr>
            <w:r>
              <w:rPr>
                <w:noProof/>
                <w:sz w:val="18"/>
              </w:rPr>
              <w:t>20 giorni</w:t>
            </w:r>
          </w:p>
        </w:tc>
        <w:tc>
          <w:tcPr>
            <w:tcW w:w="2472" w:type="dxa"/>
          </w:tcPr>
          <w:p w:rsidR="009C13A9" w:rsidRPr="00C903F8" w:rsidRDefault="009C13A9" w:rsidP="009C13A9">
            <w:pPr>
              <w:tabs>
                <w:tab w:val="left" w:pos="2081"/>
              </w:tabs>
              <w:spacing w:before="60" w:after="60" w:line="240" w:lineRule="atLeast"/>
              <w:ind w:left="0" w:firstLine="0"/>
              <w:jc w:val="left"/>
              <w:rPr>
                <w:noProof/>
                <w:sz w:val="18"/>
                <w:szCs w:val="20"/>
              </w:rPr>
            </w:pPr>
            <w:r>
              <w:rPr>
                <w:noProof/>
                <w:sz w:val="18"/>
              </w:rPr>
              <w:t xml:space="preserve">Campioni compositi su 24 ore: </w:t>
            </w:r>
            <w:r>
              <w:tab/>
            </w:r>
            <w:r>
              <w:rPr>
                <w:noProof/>
                <w:sz w:val="18"/>
              </w:rPr>
              <w:t>8</w:t>
            </w:r>
            <w:r>
              <w:rPr>
                <w:noProof/>
                <w:sz w:val="18"/>
                <w:szCs w:val="20"/>
              </w:rPr>
              <w:br/>
            </w:r>
            <w:r>
              <w:rPr>
                <w:noProof/>
                <w:sz w:val="18"/>
              </w:rPr>
              <w:t xml:space="preserve">Campioni scelti a caso: </w:t>
            </w:r>
            <w:r>
              <w:tab/>
            </w:r>
            <w:r>
              <w:rPr>
                <w:noProof/>
                <w:sz w:val="18"/>
              </w:rPr>
              <w:t>8</w:t>
            </w:r>
          </w:p>
        </w:tc>
        <w:tc>
          <w:tcPr>
            <w:tcW w:w="3402" w:type="dxa"/>
          </w:tcPr>
          <w:p w:rsidR="009C13A9" w:rsidRPr="00C903F8" w:rsidRDefault="009C13A9" w:rsidP="009C13A9">
            <w:pPr>
              <w:spacing w:before="60" w:after="60" w:line="240" w:lineRule="atLeast"/>
              <w:ind w:left="0" w:firstLine="0"/>
              <w:jc w:val="left"/>
              <w:rPr>
                <w:noProof/>
                <w:sz w:val="18"/>
                <w:szCs w:val="20"/>
              </w:rPr>
            </w:pPr>
            <w:r>
              <w:rPr>
                <w:noProof/>
                <w:sz w:val="18"/>
              </w:rPr>
              <w:t>Campionamento a intervalli regolari per tutto il periodo</w:t>
            </w:r>
          </w:p>
        </w:tc>
      </w:tr>
      <w:tr w:rsidR="009C13A9" w:rsidRPr="00A0619C" w:rsidTr="009C13A9">
        <w:tc>
          <w:tcPr>
            <w:tcW w:w="1397" w:type="dxa"/>
          </w:tcPr>
          <w:p w:rsidR="009C13A9" w:rsidRPr="00C903F8" w:rsidRDefault="009C13A9" w:rsidP="009C13A9">
            <w:pPr>
              <w:spacing w:before="60" w:after="60" w:line="240" w:lineRule="atLeast"/>
              <w:ind w:left="0" w:firstLine="0"/>
              <w:rPr>
                <w:noProof/>
                <w:sz w:val="18"/>
                <w:szCs w:val="20"/>
              </w:rPr>
            </w:pPr>
            <w:r>
              <w:rPr>
                <w:noProof/>
                <w:sz w:val="18"/>
              </w:rPr>
              <w:t>Sovraccarico</w:t>
            </w:r>
          </w:p>
        </w:tc>
        <w:tc>
          <w:tcPr>
            <w:tcW w:w="1092" w:type="dxa"/>
          </w:tcPr>
          <w:p w:rsidR="009C13A9" w:rsidRPr="00C903F8" w:rsidRDefault="009C13A9" w:rsidP="009C13A9">
            <w:pPr>
              <w:spacing w:before="60" w:after="60" w:line="240" w:lineRule="atLeast"/>
              <w:ind w:left="0" w:firstLine="0"/>
              <w:rPr>
                <w:noProof/>
                <w:sz w:val="18"/>
                <w:szCs w:val="20"/>
              </w:rPr>
            </w:pPr>
            <w:r>
              <w:rPr>
                <w:noProof/>
                <w:sz w:val="18"/>
              </w:rPr>
              <w:t>3 giorni</w:t>
            </w:r>
          </w:p>
        </w:tc>
        <w:tc>
          <w:tcPr>
            <w:tcW w:w="2472" w:type="dxa"/>
          </w:tcPr>
          <w:p w:rsidR="009C13A9" w:rsidRPr="00C903F8" w:rsidRDefault="009C13A9" w:rsidP="009C13A9">
            <w:pPr>
              <w:tabs>
                <w:tab w:val="left" w:pos="2081"/>
              </w:tabs>
              <w:spacing w:before="60" w:after="60" w:line="240" w:lineRule="atLeast"/>
              <w:ind w:left="0" w:firstLine="0"/>
              <w:jc w:val="left"/>
              <w:rPr>
                <w:noProof/>
                <w:sz w:val="18"/>
                <w:szCs w:val="20"/>
              </w:rPr>
            </w:pPr>
            <w:r>
              <w:rPr>
                <w:noProof/>
                <w:sz w:val="18"/>
              </w:rPr>
              <w:t>Campioni compositi su 24 ore:</w:t>
            </w:r>
            <w:r>
              <w:tab/>
            </w:r>
            <w:r>
              <w:rPr>
                <w:noProof/>
                <w:sz w:val="18"/>
              </w:rPr>
              <w:t>2</w:t>
            </w:r>
            <w:r>
              <w:rPr>
                <w:noProof/>
                <w:sz w:val="18"/>
                <w:szCs w:val="20"/>
              </w:rPr>
              <w:br/>
            </w:r>
            <w:r>
              <w:rPr>
                <w:noProof/>
                <w:sz w:val="18"/>
              </w:rPr>
              <w:t xml:space="preserve">Campioni scelti a caso: </w:t>
            </w:r>
            <w:r>
              <w:tab/>
            </w:r>
            <w:r>
              <w:rPr>
                <w:noProof/>
                <w:sz w:val="18"/>
              </w:rPr>
              <w:t>2</w:t>
            </w:r>
          </w:p>
        </w:tc>
        <w:tc>
          <w:tcPr>
            <w:tcW w:w="3402" w:type="dxa"/>
          </w:tcPr>
          <w:p w:rsidR="009C13A9" w:rsidRPr="00C903F8" w:rsidRDefault="009C13A9" w:rsidP="009C13A9">
            <w:pPr>
              <w:spacing w:before="60" w:after="60" w:line="240" w:lineRule="atLeast"/>
              <w:ind w:left="0" w:firstLine="0"/>
              <w:jc w:val="left"/>
              <w:rPr>
                <w:noProof/>
                <w:sz w:val="18"/>
                <w:szCs w:val="20"/>
              </w:rPr>
            </w:pPr>
            <w:r>
              <w:rPr>
                <w:noProof/>
                <w:sz w:val="18"/>
              </w:rPr>
              <w:t>Campionamento a intervalli regolari per tutto il periodo</w:t>
            </w:r>
          </w:p>
        </w:tc>
      </w:tr>
      <w:tr w:rsidR="009C13A9" w:rsidRPr="00A0619C" w:rsidTr="009C13A9">
        <w:tc>
          <w:tcPr>
            <w:tcW w:w="1397" w:type="dxa"/>
          </w:tcPr>
          <w:p w:rsidR="009C13A9" w:rsidRPr="00C903F8" w:rsidRDefault="009C13A9" w:rsidP="009C13A9">
            <w:pPr>
              <w:spacing w:before="60" w:after="60" w:line="240" w:lineRule="atLeast"/>
              <w:ind w:left="0" w:firstLine="0"/>
              <w:rPr>
                <w:noProof/>
                <w:sz w:val="18"/>
                <w:szCs w:val="20"/>
              </w:rPr>
            </w:pPr>
            <w:r>
              <w:rPr>
                <w:noProof/>
                <w:sz w:val="18"/>
              </w:rPr>
              <w:t>Carico insufficiente</w:t>
            </w:r>
          </w:p>
        </w:tc>
        <w:tc>
          <w:tcPr>
            <w:tcW w:w="1092" w:type="dxa"/>
          </w:tcPr>
          <w:p w:rsidR="009C13A9" w:rsidRPr="00C903F8" w:rsidRDefault="009C13A9" w:rsidP="009C13A9">
            <w:pPr>
              <w:spacing w:before="60" w:after="60" w:line="240" w:lineRule="atLeast"/>
              <w:ind w:left="0" w:firstLine="0"/>
              <w:rPr>
                <w:noProof/>
                <w:sz w:val="18"/>
                <w:szCs w:val="20"/>
              </w:rPr>
            </w:pPr>
            <w:r>
              <w:rPr>
                <w:noProof/>
                <w:sz w:val="18"/>
              </w:rPr>
              <w:t>3 giorni</w:t>
            </w:r>
          </w:p>
        </w:tc>
        <w:tc>
          <w:tcPr>
            <w:tcW w:w="2472" w:type="dxa"/>
          </w:tcPr>
          <w:p w:rsidR="009C13A9" w:rsidRPr="00C903F8" w:rsidRDefault="009C13A9" w:rsidP="009C13A9">
            <w:pPr>
              <w:tabs>
                <w:tab w:val="left" w:pos="2081"/>
              </w:tabs>
              <w:spacing w:before="60" w:after="60" w:line="240" w:lineRule="atLeast"/>
              <w:ind w:left="0" w:firstLine="0"/>
              <w:jc w:val="left"/>
              <w:rPr>
                <w:noProof/>
                <w:sz w:val="18"/>
                <w:szCs w:val="20"/>
              </w:rPr>
            </w:pPr>
            <w:r>
              <w:rPr>
                <w:noProof/>
                <w:sz w:val="18"/>
              </w:rPr>
              <w:t xml:space="preserve">Campioni compositi su 24 ore: </w:t>
            </w:r>
            <w:r>
              <w:tab/>
            </w:r>
            <w:r>
              <w:rPr>
                <w:noProof/>
                <w:sz w:val="18"/>
              </w:rPr>
              <w:t>2</w:t>
            </w:r>
            <w:r>
              <w:rPr>
                <w:noProof/>
                <w:sz w:val="18"/>
                <w:szCs w:val="20"/>
              </w:rPr>
              <w:br/>
            </w:r>
            <w:r>
              <w:rPr>
                <w:noProof/>
                <w:sz w:val="18"/>
              </w:rPr>
              <w:t xml:space="preserve">Campioni scelti a caso: </w:t>
            </w:r>
            <w:r>
              <w:tab/>
            </w:r>
            <w:r>
              <w:rPr>
                <w:noProof/>
                <w:sz w:val="18"/>
              </w:rPr>
              <w:t>2</w:t>
            </w:r>
          </w:p>
        </w:tc>
        <w:tc>
          <w:tcPr>
            <w:tcW w:w="3402" w:type="dxa"/>
          </w:tcPr>
          <w:p w:rsidR="009C13A9" w:rsidRPr="00C903F8" w:rsidRDefault="009C13A9" w:rsidP="009C13A9">
            <w:pPr>
              <w:spacing w:before="60" w:after="60" w:line="240" w:lineRule="atLeast"/>
              <w:ind w:left="0" w:firstLine="0"/>
              <w:jc w:val="left"/>
              <w:rPr>
                <w:noProof/>
                <w:sz w:val="18"/>
                <w:szCs w:val="20"/>
              </w:rPr>
            </w:pPr>
            <w:r>
              <w:rPr>
                <w:noProof/>
                <w:sz w:val="18"/>
              </w:rPr>
              <w:t>Campionamento a intervalli regolari per tutto il periodo</w:t>
            </w:r>
          </w:p>
        </w:tc>
      </w:tr>
      <w:tr w:rsidR="009C13A9" w:rsidRPr="00A0619C" w:rsidTr="009C13A9">
        <w:tc>
          <w:tcPr>
            <w:tcW w:w="1397" w:type="dxa"/>
          </w:tcPr>
          <w:p w:rsidR="009C13A9" w:rsidRPr="00C903F8" w:rsidRDefault="009C13A9" w:rsidP="009C13A9">
            <w:pPr>
              <w:spacing w:before="60" w:after="60" w:line="240" w:lineRule="atLeast"/>
              <w:ind w:left="0" w:firstLine="0"/>
              <w:rPr>
                <w:noProof/>
                <w:sz w:val="18"/>
                <w:szCs w:val="20"/>
              </w:rPr>
            </w:pPr>
            <w:r>
              <w:rPr>
                <w:noProof/>
                <w:sz w:val="18"/>
              </w:rPr>
              <w:t>Stand-by</w:t>
            </w:r>
          </w:p>
        </w:tc>
        <w:tc>
          <w:tcPr>
            <w:tcW w:w="1092" w:type="dxa"/>
          </w:tcPr>
          <w:p w:rsidR="009C13A9" w:rsidRPr="00C903F8" w:rsidRDefault="009C13A9" w:rsidP="009C13A9">
            <w:pPr>
              <w:spacing w:before="60" w:after="60" w:line="240" w:lineRule="atLeast"/>
              <w:ind w:left="0" w:firstLine="0"/>
              <w:rPr>
                <w:noProof/>
                <w:sz w:val="18"/>
                <w:szCs w:val="20"/>
              </w:rPr>
            </w:pPr>
            <w:r>
              <w:rPr>
                <w:noProof/>
                <w:sz w:val="18"/>
              </w:rPr>
              <w:t>4 giorni</w:t>
            </w:r>
          </w:p>
        </w:tc>
        <w:tc>
          <w:tcPr>
            <w:tcW w:w="2472" w:type="dxa"/>
          </w:tcPr>
          <w:p w:rsidR="009C13A9" w:rsidRPr="00C903F8" w:rsidRDefault="009C13A9" w:rsidP="009C13A9">
            <w:pPr>
              <w:tabs>
                <w:tab w:val="left" w:pos="2081"/>
              </w:tabs>
              <w:spacing w:before="60" w:after="60" w:line="240" w:lineRule="atLeast"/>
              <w:ind w:left="0" w:firstLine="0"/>
              <w:jc w:val="left"/>
              <w:rPr>
                <w:noProof/>
                <w:sz w:val="18"/>
                <w:szCs w:val="20"/>
              </w:rPr>
            </w:pPr>
            <w:r>
              <w:rPr>
                <w:noProof/>
                <w:sz w:val="18"/>
              </w:rPr>
              <w:t xml:space="preserve">Campioni compositi su 24 ore: </w:t>
            </w:r>
            <w:r>
              <w:tab/>
            </w:r>
            <w:r>
              <w:rPr>
                <w:noProof/>
                <w:sz w:val="18"/>
              </w:rPr>
              <w:t>2</w:t>
            </w:r>
            <w:r>
              <w:rPr>
                <w:noProof/>
                <w:sz w:val="18"/>
                <w:szCs w:val="20"/>
              </w:rPr>
              <w:br/>
            </w:r>
            <w:r>
              <w:rPr>
                <w:noProof/>
                <w:sz w:val="18"/>
              </w:rPr>
              <w:t xml:space="preserve">Campioni scelti a caso: </w:t>
            </w:r>
            <w:r>
              <w:tab/>
            </w:r>
            <w:r>
              <w:rPr>
                <w:noProof/>
                <w:sz w:val="18"/>
              </w:rPr>
              <w:t>2</w:t>
            </w:r>
          </w:p>
        </w:tc>
        <w:tc>
          <w:tcPr>
            <w:tcW w:w="3402" w:type="dxa"/>
          </w:tcPr>
          <w:p w:rsidR="009C13A9" w:rsidRPr="00C903F8" w:rsidRDefault="009C13A9" w:rsidP="009C13A9">
            <w:pPr>
              <w:spacing w:before="60" w:after="60" w:line="240" w:lineRule="atLeast"/>
              <w:ind w:left="0" w:firstLine="0"/>
              <w:jc w:val="left"/>
              <w:rPr>
                <w:noProof/>
                <w:sz w:val="18"/>
                <w:szCs w:val="20"/>
              </w:rPr>
            </w:pPr>
            <w:r>
              <w:rPr>
                <w:noProof/>
                <w:sz w:val="18"/>
              </w:rPr>
              <w:t>Campione composito su 24 ore: campionamento una volta iniziato l'afflusso e 24 ore dopo.</w:t>
            </w:r>
            <w:r>
              <w:rPr>
                <w:noProof/>
                <w:sz w:val="18"/>
                <w:szCs w:val="20"/>
              </w:rPr>
              <w:br/>
            </w:r>
            <w:r>
              <w:rPr>
                <w:noProof/>
                <w:sz w:val="18"/>
              </w:rPr>
              <w:t>Campione casuale: 1 ora dopo l'inizio dell'afflusso e 24 ore dopo.</w:t>
            </w:r>
          </w:p>
        </w:tc>
      </w:tr>
      <w:tr w:rsidR="009C13A9" w:rsidRPr="00A0619C" w:rsidTr="009C13A9">
        <w:tc>
          <w:tcPr>
            <w:tcW w:w="8363" w:type="dxa"/>
            <w:gridSpan w:val="4"/>
          </w:tcPr>
          <w:p w:rsidR="009C13A9" w:rsidRPr="00C903F8" w:rsidRDefault="009C13A9" w:rsidP="009C13A9">
            <w:pPr>
              <w:spacing w:before="60" w:after="60" w:line="240" w:lineRule="atLeast"/>
              <w:ind w:left="0" w:firstLine="0"/>
              <w:rPr>
                <w:noProof/>
                <w:sz w:val="18"/>
                <w:szCs w:val="20"/>
              </w:rPr>
            </w:pPr>
            <w:r>
              <w:rPr>
                <w:noProof/>
                <w:sz w:val="18"/>
              </w:rPr>
              <w:t>Numero totale dei campioni compositi su 24 ore: 14</w:t>
            </w:r>
            <w:r>
              <w:tab/>
            </w:r>
            <w:r>
              <w:rPr>
                <w:noProof/>
                <w:sz w:val="18"/>
                <w:szCs w:val="20"/>
              </w:rPr>
              <w:br/>
            </w:r>
            <w:r>
              <w:rPr>
                <w:noProof/>
                <w:sz w:val="18"/>
              </w:rPr>
              <w:t>Numero totale dei campioni prelevati a caso: 14</w:t>
            </w:r>
          </w:p>
        </w:tc>
      </w:tr>
    </w:tbl>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t>Se applicabile, sui campioni prelevati a caso sono misurati i seguenti parametri operativi:</w:t>
      </w:r>
    </w:p>
    <w:p w:rsidR="009C13A9" w:rsidRPr="00C903F8" w:rsidRDefault="005C7859" w:rsidP="009C13A9">
      <w:pPr>
        <w:spacing w:before="60" w:line="240" w:lineRule="atLeast"/>
        <w:ind w:left="851"/>
        <w:rPr>
          <w:rFonts w:cs="Arial"/>
          <w:noProof/>
          <w:szCs w:val="22"/>
        </w:rPr>
      </w:pPr>
      <w:r>
        <w:t>a)</w:t>
      </w:r>
      <w:r>
        <w:tab/>
        <w:t>concentrazione di ossigeno disciolto nel bioreattore;</w:t>
      </w:r>
    </w:p>
    <w:p w:rsidR="009C13A9" w:rsidRPr="00C903F8" w:rsidRDefault="005C7859" w:rsidP="009C13A9">
      <w:pPr>
        <w:spacing w:before="60" w:line="240" w:lineRule="atLeast"/>
        <w:ind w:left="851"/>
        <w:rPr>
          <w:rFonts w:cs="Arial"/>
          <w:noProof/>
          <w:szCs w:val="22"/>
        </w:rPr>
      </w:pPr>
      <w:r>
        <w:t>b)</w:t>
      </w:r>
      <w:r>
        <w:tab/>
        <w:t>tenore di materia secca nel bioreattore;</w:t>
      </w:r>
    </w:p>
    <w:p w:rsidR="009C13A9" w:rsidRPr="00C903F8" w:rsidRDefault="005C7859" w:rsidP="009C13A9">
      <w:pPr>
        <w:spacing w:before="60" w:line="240" w:lineRule="atLeast"/>
        <w:ind w:left="851"/>
        <w:rPr>
          <w:rFonts w:cs="Arial"/>
          <w:noProof/>
          <w:szCs w:val="22"/>
        </w:rPr>
      </w:pPr>
      <w:r>
        <w:t>c)</w:t>
      </w:r>
      <w:r>
        <w:tab/>
        <w:t>temperatura nel bioreattore;</w:t>
      </w:r>
    </w:p>
    <w:p w:rsidR="009C13A9" w:rsidRPr="00C903F8" w:rsidRDefault="0029453D" w:rsidP="009C13A9">
      <w:pPr>
        <w:spacing w:before="60" w:line="240" w:lineRule="atLeast"/>
        <w:ind w:left="851"/>
        <w:rPr>
          <w:rFonts w:cs="Arial"/>
          <w:noProof/>
          <w:szCs w:val="22"/>
        </w:rPr>
      </w:pPr>
      <w:r>
        <w:t>d)</w:t>
      </w:r>
      <w:r>
        <w:tab/>
        <w:t>temperatura ambiente;</w:t>
      </w:r>
    </w:p>
    <w:p w:rsidR="009C13A9" w:rsidRPr="00C903F8" w:rsidRDefault="0029453D" w:rsidP="009C13A9">
      <w:pPr>
        <w:spacing w:before="60" w:line="240" w:lineRule="atLeast"/>
        <w:ind w:left="851"/>
        <w:rPr>
          <w:rFonts w:cs="Arial"/>
          <w:noProof/>
          <w:szCs w:val="22"/>
        </w:rPr>
      </w:pPr>
      <w:r>
        <w:t>e)</w:t>
      </w:r>
      <w:r>
        <w:tab/>
        <w:t>altri parametri operativi sulla base delle istruzioni d’uso del fabbricante.</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br w:type="page"/>
      </w:r>
    </w:p>
    <w:p w:rsidR="009C13A9" w:rsidRPr="00C903F8" w:rsidRDefault="009C13A9" w:rsidP="009C13A9">
      <w:pPr>
        <w:spacing w:line="240" w:lineRule="atLeast"/>
        <w:rPr>
          <w:rFonts w:cs="Arial"/>
          <w:noProof/>
          <w:color w:val="000000"/>
        </w:rPr>
      </w:pPr>
      <w:r>
        <w:rPr>
          <w:noProof/>
          <w:color w:val="000000"/>
        </w:rPr>
        <w:lastRenderedPageBreak/>
        <w:t>3.4</w:t>
      </w:r>
      <w:r>
        <w:tab/>
      </w:r>
      <w:r>
        <w:rPr>
          <w:noProof/>
          <w:color w:val="000000"/>
        </w:rPr>
        <w:t>Valutazione delle analisi</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t xml:space="preserve">Al fine di documentare l'efficienza di purificazione determinata e di verificare l'aderenza ai valori limite di processo, devono essere specificati il valore minimo del campione (Min), il valore massimo del campione (Max.) e la media aritmetica (Media) come pure i singoli risultati della misurazione per i parametri di controllo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t>, COD e TOC.</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t>Deve essere inoltre indicata la fase di carico per il valore massimo del campione. Le valutazioni sono condotte congiuntamente per tutte le fasi di carico. I risultati sono elaborati come indicato nella tabella che segue:</w:t>
      </w:r>
    </w:p>
    <w:p w:rsidR="009C13A9" w:rsidRPr="00C903F8" w:rsidRDefault="009C13A9" w:rsidP="009C13A9">
      <w:pPr>
        <w:spacing w:line="240" w:lineRule="atLeast"/>
        <w:ind w:left="426" w:firstLine="0"/>
        <w:rPr>
          <w:noProof/>
        </w:rPr>
      </w:pPr>
    </w:p>
    <w:p w:rsidR="009C13A9" w:rsidRPr="00C903F8" w:rsidRDefault="009C13A9" w:rsidP="00FA5168">
      <w:pPr>
        <w:tabs>
          <w:tab w:val="left" w:pos="709"/>
        </w:tabs>
        <w:suppressAutoHyphens/>
        <w:autoSpaceDE/>
        <w:autoSpaceDN/>
        <w:spacing w:after="120" w:line="240" w:lineRule="atLeast"/>
        <w:ind w:left="1701" w:hanging="992"/>
        <w:rPr>
          <w:rFonts w:cs="Arial"/>
          <w:szCs w:val="20"/>
        </w:rPr>
      </w:pPr>
      <w:r>
        <w:t>Tabella 3a:</w:t>
      </w:r>
      <w:r>
        <w:tab/>
        <w:t xml:space="preserve">specifiche per l'elaborazione statistica dei dati raccolti - valutazione finalizzata a documentare la conformità con i valori limite di deflusso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1"/>
        <w:gridCol w:w="2325"/>
        <w:gridCol w:w="1016"/>
        <w:gridCol w:w="927"/>
        <w:gridCol w:w="848"/>
        <w:gridCol w:w="852"/>
        <w:gridCol w:w="903"/>
      </w:tblGrid>
      <w:tr w:rsidR="009C13A9" w:rsidRPr="00C903F8" w:rsidTr="00FA5168">
        <w:trPr>
          <w:jc w:val="center"/>
        </w:trPr>
        <w:tc>
          <w:tcPr>
            <w:tcW w:w="1461" w:type="dxa"/>
            <w:vMerge w:val="restart"/>
            <w:vAlign w:val="center"/>
          </w:tcPr>
          <w:p w:rsidR="009C13A9" w:rsidRPr="00C903F8" w:rsidRDefault="009C13A9" w:rsidP="009C13A9">
            <w:pPr>
              <w:spacing w:before="60" w:after="60" w:line="240" w:lineRule="atLeast"/>
              <w:ind w:left="0" w:firstLine="0"/>
              <w:rPr>
                <w:rFonts w:cs="Arial"/>
                <w:noProof/>
                <w:sz w:val="18"/>
                <w:szCs w:val="18"/>
              </w:rPr>
            </w:pPr>
            <w:r>
              <w:rPr>
                <w:noProof/>
                <w:sz w:val="18"/>
              </w:rPr>
              <w:t>Parametro</w:t>
            </w:r>
          </w:p>
        </w:tc>
        <w:tc>
          <w:tcPr>
            <w:tcW w:w="2325" w:type="dxa"/>
            <w:vMerge w:val="restart"/>
            <w:vAlign w:val="center"/>
          </w:tcPr>
          <w:p w:rsidR="009C13A9" w:rsidRPr="00C903F8" w:rsidRDefault="009C13A9" w:rsidP="009C13A9">
            <w:pPr>
              <w:spacing w:before="60" w:after="60" w:line="240" w:lineRule="atLeast"/>
              <w:ind w:left="0" w:firstLine="0"/>
              <w:jc w:val="center"/>
              <w:rPr>
                <w:rFonts w:cs="Arial"/>
                <w:noProof/>
                <w:sz w:val="18"/>
                <w:szCs w:val="18"/>
              </w:rPr>
            </w:pPr>
            <w:r>
              <w:rPr>
                <w:noProof/>
                <w:sz w:val="18"/>
              </w:rPr>
              <w:t>Tipo di campionamento</w:t>
            </w:r>
          </w:p>
        </w:tc>
        <w:tc>
          <w:tcPr>
            <w:tcW w:w="1016" w:type="dxa"/>
            <w:vMerge w:val="restart"/>
            <w:vAlign w:val="center"/>
          </w:tcPr>
          <w:p w:rsidR="009C13A9" w:rsidRPr="00C903F8" w:rsidRDefault="009C13A9" w:rsidP="009C13A9">
            <w:pPr>
              <w:spacing w:before="60" w:after="60" w:line="240" w:lineRule="atLeast"/>
              <w:ind w:left="0" w:firstLine="0"/>
              <w:jc w:val="center"/>
              <w:rPr>
                <w:rFonts w:cs="Arial"/>
                <w:noProof/>
                <w:sz w:val="18"/>
                <w:szCs w:val="18"/>
              </w:rPr>
            </w:pPr>
            <w:r>
              <w:rPr>
                <w:noProof/>
                <w:sz w:val="18"/>
              </w:rPr>
              <w:t>Numero di prove che rispettano i valori limite</w:t>
            </w:r>
          </w:p>
        </w:tc>
        <w:tc>
          <w:tcPr>
            <w:tcW w:w="927" w:type="dxa"/>
            <w:vMerge w:val="restart"/>
            <w:vAlign w:val="center"/>
          </w:tcPr>
          <w:p w:rsidR="009C13A9" w:rsidRPr="00C903F8" w:rsidRDefault="009C13A9" w:rsidP="009C13A9">
            <w:pPr>
              <w:spacing w:before="60" w:after="60" w:line="240" w:lineRule="atLeast"/>
              <w:ind w:left="0" w:firstLine="0"/>
              <w:jc w:val="center"/>
              <w:rPr>
                <w:rFonts w:cs="Arial"/>
                <w:noProof/>
                <w:sz w:val="18"/>
                <w:szCs w:val="18"/>
              </w:rPr>
            </w:pPr>
            <w:r>
              <w:rPr>
                <w:noProof/>
                <w:sz w:val="18"/>
              </w:rPr>
              <w:t>Media</w:t>
            </w:r>
          </w:p>
        </w:tc>
        <w:tc>
          <w:tcPr>
            <w:tcW w:w="848" w:type="dxa"/>
            <w:vMerge w:val="restart"/>
            <w:vAlign w:val="center"/>
          </w:tcPr>
          <w:p w:rsidR="009C13A9" w:rsidRPr="00C903F8" w:rsidRDefault="009C13A9" w:rsidP="009C13A9">
            <w:pPr>
              <w:spacing w:before="60" w:after="60" w:line="240" w:lineRule="atLeast"/>
              <w:ind w:left="0" w:firstLine="0"/>
              <w:jc w:val="center"/>
              <w:rPr>
                <w:rFonts w:cs="Arial"/>
                <w:noProof/>
                <w:sz w:val="18"/>
                <w:szCs w:val="18"/>
              </w:rPr>
            </w:pPr>
            <w:r>
              <w:rPr>
                <w:noProof/>
                <w:sz w:val="18"/>
              </w:rPr>
              <w:t>Min</w:t>
            </w:r>
          </w:p>
        </w:tc>
        <w:tc>
          <w:tcPr>
            <w:tcW w:w="1755" w:type="dxa"/>
            <w:gridSpan w:val="2"/>
            <w:vAlign w:val="center"/>
          </w:tcPr>
          <w:p w:rsidR="009C13A9" w:rsidRPr="00C903F8" w:rsidRDefault="009C13A9" w:rsidP="009C13A9">
            <w:pPr>
              <w:spacing w:before="60" w:after="60" w:line="240" w:lineRule="atLeast"/>
              <w:ind w:left="0" w:firstLine="0"/>
              <w:jc w:val="center"/>
              <w:rPr>
                <w:rFonts w:cs="Arial"/>
                <w:noProof/>
                <w:sz w:val="18"/>
                <w:szCs w:val="18"/>
              </w:rPr>
            </w:pPr>
            <w:r>
              <w:rPr>
                <w:noProof/>
                <w:sz w:val="18"/>
              </w:rPr>
              <w:t>Max.</w:t>
            </w:r>
          </w:p>
        </w:tc>
      </w:tr>
      <w:tr w:rsidR="009C13A9" w:rsidRPr="00C903F8" w:rsidTr="00FA5168">
        <w:trPr>
          <w:jc w:val="center"/>
        </w:trPr>
        <w:tc>
          <w:tcPr>
            <w:tcW w:w="1461" w:type="dxa"/>
            <w:vMerge/>
          </w:tcPr>
          <w:p w:rsidR="009C13A9" w:rsidRPr="00C903F8" w:rsidRDefault="009C13A9" w:rsidP="009C13A9">
            <w:pPr>
              <w:spacing w:before="60" w:after="60" w:line="240" w:lineRule="atLeast"/>
              <w:ind w:left="0" w:firstLine="0"/>
              <w:rPr>
                <w:rFonts w:cs="Arial"/>
                <w:noProof/>
                <w:sz w:val="18"/>
                <w:szCs w:val="18"/>
              </w:rPr>
            </w:pPr>
          </w:p>
        </w:tc>
        <w:tc>
          <w:tcPr>
            <w:tcW w:w="2325" w:type="dxa"/>
            <w:vMerge/>
          </w:tcPr>
          <w:p w:rsidR="009C13A9" w:rsidRPr="00C903F8" w:rsidRDefault="009C13A9" w:rsidP="009C13A9">
            <w:pPr>
              <w:spacing w:before="60" w:after="60" w:line="240" w:lineRule="atLeast"/>
              <w:ind w:left="0" w:firstLine="0"/>
              <w:jc w:val="center"/>
              <w:rPr>
                <w:rFonts w:cs="Arial"/>
                <w:noProof/>
                <w:sz w:val="18"/>
                <w:szCs w:val="18"/>
              </w:rPr>
            </w:pPr>
          </w:p>
        </w:tc>
        <w:tc>
          <w:tcPr>
            <w:tcW w:w="1016" w:type="dxa"/>
            <w:vMerge/>
          </w:tcPr>
          <w:p w:rsidR="009C13A9" w:rsidRPr="00C903F8" w:rsidRDefault="009C13A9" w:rsidP="009C13A9">
            <w:pPr>
              <w:spacing w:before="60" w:after="60" w:line="240" w:lineRule="atLeast"/>
              <w:ind w:left="0" w:firstLine="0"/>
              <w:jc w:val="center"/>
              <w:rPr>
                <w:rFonts w:cs="Arial"/>
                <w:noProof/>
                <w:sz w:val="18"/>
                <w:szCs w:val="18"/>
              </w:rPr>
            </w:pPr>
          </w:p>
        </w:tc>
        <w:tc>
          <w:tcPr>
            <w:tcW w:w="927" w:type="dxa"/>
            <w:vMerge/>
          </w:tcPr>
          <w:p w:rsidR="009C13A9" w:rsidRPr="00C903F8" w:rsidRDefault="009C13A9" w:rsidP="009C13A9">
            <w:pPr>
              <w:spacing w:before="60" w:after="60" w:line="240" w:lineRule="atLeast"/>
              <w:ind w:left="0" w:firstLine="0"/>
              <w:jc w:val="center"/>
              <w:rPr>
                <w:rFonts w:cs="Arial"/>
                <w:noProof/>
                <w:sz w:val="18"/>
                <w:szCs w:val="18"/>
              </w:rPr>
            </w:pPr>
          </w:p>
        </w:tc>
        <w:tc>
          <w:tcPr>
            <w:tcW w:w="848" w:type="dxa"/>
            <w:vMerge/>
          </w:tcPr>
          <w:p w:rsidR="009C13A9" w:rsidRPr="00C903F8" w:rsidRDefault="009C13A9" w:rsidP="009C13A9">
            <w:pPr>
              <w:spacing w:before="60" w:after="60" w:line="240" w:lineRule="atLeast"/>
              <w:ind w:left="0" w:firstLine="0"/>
              <w:jc w:val="center"/>
              <w:rPr>
                <w:rFonts w:cs="Arial"/>
                <w:noProof/>
                <w:sz w:val="18"/>
                <w:szCs w:val="18"/>
              </w:rPr>
            </w:pPr>
          </w:p>
        </w:tc>
        <w:tc>
          <w:tcPr>
            <w:tcW w:w="852" w:type="dxa"/>
          </w:tcPr>
          <w:p w:rsidR="009C13A9" w:rsidRPr="00C903F8" w:rsidRDefault="009C13A9" w:rsidP="009C13A9">
            <w:pPr>
              <w:spacing w:before="60" w:after="60" w:line="240" w:lineRule="atLeast"/>
              <w:ind w:left="0" w:firstLine="0"/>
              <w:jc w:val="center"/>
              <w:rPr>
                <w:rFonts w:cs="Arial"/>
                <w:noProof/>
                <w:sz w:val="18"/>
                <w:szCs w:val="18"/>
              </w:rPr>
            </w:pPr>
            <w:r>
              <w:rPr>
                <w:noProof/>
                <w:sz w:val="18"/>
              </w:rPr>
              <w:t>Valore</w:t>
            </w:r>
          </w:p>
        </w:tc>
        <w:tc>
          <w:tcPr>
            <w:tcW w:w="903" w:type="dxa"/>
          </w:tcPr>
          <w:p w:rsidR="009C13A9" w:rsidRPr="00C903F8" w:rsidRDefault="009C13A9" w:rsidP="009C13A9">
            <w:pPr>
              <w:spacing w:before="60" w:after="60" w:line="240" w:lineRule="atLeast"/>
              <w:ind w:left="0" w:firstLine="0"/>
              <w:jc w:val="center"/>
              <w:rPr>
                <w:rFonts w:cs="Arial"/>
                <w:noProof/>
                <w:sz w:val="18"/>
                <w:szCs w:val="18"/>
              </w:rPr>
            </w:pPr>
            <w:r>
              <w:rPr>
                <w:noProof/>
                <w:sz w:val="18"/>
              </w:rPr>
              <w:t>Fase</w:t>
            </w:r>
          </w:p>
        </w:tc>
      </w:tr>
      <w:tr w:rsidR="009C13A9" w:rsidRPr="00C903F8" w:rsidTr="00FA5168">
        <w:trPr>
          <w:jc w:val="center"/>
        </w:trPr>
        <w:tc>
          <w:tcPr>
            <w:tcW w:w="1461" w:type="dxa"/>
            <w:vAlign w:val="center"/>
          </w:tcPr>
          <w:p w:rsidR="009C13A9" w:rsidRPr="00C903F8" w:rsidRDefault="009C13A9" w:rsidP="009C13A9">
            <w:pPr>
              <w:spacing w:before="60" w:after="60" w:line="240" w:lineRule="atLeast"/>
              <w:ind w:left="0" w:firstLine="0"/>
              <w:rPr>
                <w:rFonts w:cs="Arial"/>
                <w:noProof/>
                <w:sz w:val="18"/>
                <w:szCs w:val="18"/>
              </w:rPr>
            </w:pPr>
            <w:r>
              <w:rPr>
                <w:noProof/>
                <w:sz w:val="18"/>
              </w:rPr>
              <w:t xml:space="preserve">Afflusso </w:t>
            </w:r>
            <m:oMath>
              <m:sSub>
                <m:sSubPr>
                  <m:ctrlPr>
                    <w:rPr>
                      <w:rFonts w:ascii="Cambria Math" w:hAnsi="Cambria Math"/>
                      <w:i/>
                      <w:noProof/>
                      <w:sz w:val="18"/>
                    </w:rPr>
                  </m:ctrlPr>
                </m:sSubPr>
                <m:e>
                  <m:r>
                    <w:rPr>
                      <w:rFonts w:ascii="Cambria Math" w:hAnsi="Cambria Math"/>
                      <w:noProof/>
                      <w:sz w:val="18"/>
                    </w:rPr>
                    <m:t>BOD</m:t>
                  </m:r>
                </m:e>
                <m:sub>
                  <m:r>
                    <w:rPr>
                      <w:rFonts w:ascii="Cambria Math" w:hAnsi="Cambria Math"/>
                      <w:noProof/>
                      <w:sz w:val="18"/>
                    </w:rPr>
                    <m:t>5</m:t>
                  </m:r>
                </m:sub>
              </m:sSub>
            </m:oMath>
          </w:p>
        </w:tc>
        <w:tc>
          <w:tcPr>
            <w:tcW w:w="2325" w:type="dxa"/>
            <w:vAlign w:val="center"/>
          </w:tcPr>
          <w:p w:rsidR="009C13A9" w:rsidRPr="00C903F8" w:rsidRDefault="009C13A9" w:rsidP="00FA5168">
            <w:pPr>
              <w:spacing w:before="60" w:after="60" w:line="240" w:lineRule="atLeast"/>
              <w:ind w:left="0" w:firstLine="0"/>
              <w:jc w:val="left"/>
              <w:rPr>
                <w:rFonts w:cs="Arial"/>
                <w:noProof/>
                <w:sz w:val="18"/>
                <w:szCs w:val="18"/>
              </w:rPr>
            </w:pPr>
            <w:r>
              <w:rPr>
                <w:noProof/>
                <w:sz w:val="18"/>
              </w:rPr>
              <w:t>Campioni compositi su 24 ore</w:t>
            </w:r>
          </w:p>
        </w:tc>
        <w:tc>
          <w:tcPr>
            <w:tcW w:w="1016" w:type="dxa"/>
            <w:vAlign w:val="center"/>
          </w:tcPr>
          <w:p w:rsidR="009C13A9" w:rsidRPr="00C903F8" w:rsidRDefault="009C13A9" w:rsidP="00FA5168">
            <w:pPr>
              <w:spacing w:before="60" w:after="60" w:line="240" w:lineRule="atLeast"/>
              <w:ind w:left="0" w:firstLine="0"/>
              <w:jc w:val="center"/>
              <w:rPr>
                <w:rFonts w:cs="Arial"/>
                <w:noProof/>
                <w:sz w:val="18"/>
                <w:szCs w:val="18"/>
              </w:rPr>
            </w:pPr>
            <w:r>
              <w:rPr>
                <w:noProof/>
                <w:sz w:val="18"/>
              </w:rPr>
              <w:t>--</w:t>
            </w:r>
          </w:p>
        </w:tc>
        <w:tc>
          <w:tcPr>
            <w:tcW w:w="927" w:type="dxa"/>
            <w:vAlign w:val="center"/>
          </w:tcPr>
          <w:p w:rsidR="009C13A9" w:rsidRPr="00C903F8" w:rsidRDefault="009C13A9" w:rsidP="009C13A9">
            <w:pPr>
              <w:spacing w:before="60" w:after="60" w:line="240" w:lineRule="atLeast"/>
              <w:ind w:left="0" w:firstLine="0"/>
              <w:rPr>
                <w:rFonts w:cs="Arial"/>
                <w:noProof/>
                <w:sz w:val="18"/>
                <w:szCs w:val="18"/>
              </w:rPr>
            </w:pPr>
          </w:p>
        </w:tc>
        <w:tc>
          <w:tcPr>
            <w:tcW w:w="848" w:type="dxa"/>
          </w:tcPr>
          <w:p w:rsidR="009C13A9" w:rsidRPr="00C903F8" w:rsidRDefault="009C13A9" w:rsidP="009C13A9">
            <w:pPr>
              <w:spacing w:before="60" w:after="60" w:line="240" w:lineRule="atLeast"/>
              <w:ind w:left="0" w:firstLine="0"/>
              <w:rPr>
                <w:rFonts w:cs="Arial"/>
                <w:noProof/>
                <w:sz w:val="18"/>
                <w:szCs w:val="18"/>
              </w:rPr>
            </w:pPr>
          </w:p>
        </w:tc>
        <w:tc>
          <w:tcPr>
            <w:tcW w:w="852"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03" w:type="dxa"/>
            <w:vAlign w:val="center"/>
          </w:tcPr>
          <w:p w:rsidR="009C13A9" w:rsidRPr="00C903F8" w:rsidRDefault="009C13A9" w:rsidP="009C13A9">
            <w:pPr>
              <w:spacing w:before="60" w:after="60" w:line="240" w:lineRule="atLeast"/>
              <w:ind w:left="0" w:firstLine="0"/>
              <w:rPr>
                <w:rFonts w:cs="Arial"/>
                <w:noProof/>
                <w:sz w:val="18"/>
                <w:szCs w:val="18"/>
              </w:rPr>
            </w:pPr>
          </w:p>
        </w:tc>
      </w:tr>
      <w:tr w:rsidR="009C13A9" w:rsidRPr="00C903F8" w:rsidTr="00FA5168">
        <w:trPr>
          <w:jc w:val="center"/>
        </w:trPr>
        <w:tc>
          <w:tcPr>
            <w:tcW w:w="1461" w:type="dxa"/>
          </w:tcPr>
          <w:p w:rsidR="009C13A9" w:rsidRPr="00C903F8" w:rsidRDefault="009C13A9" w:rsidP="009C13A9">
            <w:pPr>
              <w:spacing w:before="60" w:after="60" w:line="240" w:lineRule="atLeast"/>
              <w:ind w:left="0" w:firstLine="0"/>
              <w:rPr>
                <w:rFonts w:cs="Arial"/>
                <w:noProof/>
                <w:sz w:val="18"/>
                <w:szCs w:val="18"/>
              </w:rPr>
            </w:pPr>
            <w:r>
              <w:rPr>
                <w:noProof/>
                <w:sz w:val="18"/>
              </w:rPr>
              <w:t xml:space="preserve">Deflusso </w:t>
            </w:r>
            <m:oMath>
              <m:sSub>
                <m:sSubPr>
                  <m:ctrlPr>
                    <w:rPr>
                      <w:rFonts w:ascii="Cambria Math" w:hAnsi="Cambria Math"/>
                      <w:i/>
                      <w:noProof/>
                      <w:sz w:val="18"/>
                    </w:rPr>
                  </m:ctrlPr>
                </m:sSubPr>
                <m:e>
                  <m:r>
                    <w:rPr>
                      <w:rFonts w:ascii="Cambria Math" w:hAnsi="Cambria Math"/>
                      <w:noProof/>
                      <w:sz w:val="18"/>
                    </w:rPr>
                    <m:t>BOD</m:t>
                  </m:r>
                </m:e>
                <m:sub>
                  <m:r>
                    <w:rPr>
                      <w:rFonts w:ascii="Cambria Math" w:hAnsi="Cambria Math"/>
                      <w:noProof/>
                      <w:sz w:val="18"/>
                    </w:rPr>
                    <m:t>5</m:t>
                  </m:r>
                </m:sub>
              </m:sSub>
            </m:oMath>
          </w:p>
        </w:tc>
        <w:tc>
          <w:tcPr>
            <w:tcW w:w="2325" w:type="dxa"/>
            <w:vAlign w:val="center"/>
          </w:tcPr>
          <w:p w:rsidR="009C13A9" w:rsidRPr="00C903F8" w:rsidRDefault="009C13A9" w:rsidP="00FA5168">
            <w:pPr>
              <w:spacing w:before="60" w:after="60" w:line="240" w:lineRule="atLeast"/>
              <w:ind w:left="0" w:firstLine="0"/>
              <w:jc w:val="left"/>
              <w:rPr>
                <w:rFonts w:cs="Arial"/>
                <w:noProof/>
                <w:sz w:val="18"/>
                <w:szCs w:val="18"/>
              </w:rPr>
            </w:pPr>
            <w:r>
              <w:rPr>
                <w:noProof/>
                <w:sz w:val="18"/>
              </w:rPr>
              <w:t>Campioni compositi su 24 ore</w:t>
            </w:r>
          </w:p>
        </w:tc>
        <w:tc>
          <w:tcPr>
            <w:tcW w:w="1016"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27" w:type="dxa"/>
            <w:vAlign w:val="center"/>
          </w:tcPr>
          <w:p w:rsidR="009C13A9" w:rsidRPr="00C903F8" w:rsidRDefault="009C13A9" w:rsidP="009C13A9">
            <w:pPr>
              <w:spacing w:before="60" w:after="60" w:line="240" w:lineRule="atLeast"/>
              <w:ind w:left="0" w:firstLine="0"/>
              <w:rPr>
                <w:rFonts w:cs="Arial"/>
                <w:noProof/>
                <w:sz w:val="18"/>
                <w:szCs w:val="18"/>
              </w:rPr>
            </w:pPr>
          </w:p>
        </w:tc>
        <w:tc>
          <w:tcPr>
            <w:tcW w:w="848" w:type="dxa"/>
          </w:tcPr>
          <w:p w:rsidR="009C13A9" w:rsidRPr="00C903F8" w:rsidRDefault="009C13A9" w:rsidP="009C13A9">
            <w:pPr>
              <w:spacing w:before="60" w:after="60" w:line="240" w:lineRule="atLeast"/>
              <w:ind w:left="0" w:firstLine="0"/>
              <w:rPr>
                <w:rFonts w:cs="Arial"/>
                <w:noProof/>
                <w:sz w:val="18"/>
                <w:szCs w:val="18"/>
              </w:rPr>
            </w:pPr>
          </w:p>
        </w:tc>
        <w:tc>
          <w:tcPr>
            <w:tcW w:w="852"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03" w:type="dxa"/>
            <w:vAlign w:val="center"/>
          </w:tcPr>
          <w:p w:rsidR="009C13A9" w:rsidRPr="00C903F8" w:rsidRDefault="009C13A9" w:rsidP="009C13A9">
            <w:pPr>
              <w:spacing w:before="60" w:after="60" w:line="240" w:lineRule="atLeast"/>
              <w:ind w:left="0" w:firstLine="0"/>
              <w:rPr>
                <w:rFonts w:cs="Arial"/>
                <w:noProof/>
                <w:sz w:val="18"/>
                <w:szCs w:val="18"/>
              </w:rPr>
            </w:pPr>
          </w:p>
        </w:tc>
      </w:tr>
      <w:tr w:rsidR="009C13A9" w:rsidRPr="00C903F8" w:rsidTr="00FA5168">
        <w:trPr>
          <w:jc w:val="center"/>
        </w:trPr>
        <w:tc>
          <w:tcPr>
            <w:tcW w:w="1461" w:type="dxa"/>
            <w:vAlign w:val="center"/>
          </w:tcPr>
          <w:p w:rsidR="009C13A9" w:rsidRPr="00C903F8" w:rsidRDefault="009C13A9" w:rsidP="009C13A9">
            <w:pPr>
              <w:spacing w:before="60" w:after="60" w:line="240" w:lineRule="atLeast"/>
              <w:ind w:left="0" w:firstLine="0"/>
              <w:rPr>
                <w:rFonts w:cs="Arial"/>
                <w:noProof/>
                <w:sz w:val="18"/>
                <w:szCs w:val="18"/>
              </w:rPr>
            </w:pPr>
            <w:r>
              <w:rPr>
                <w:noProof/>
                <w:sz w:val="18"/>
              </w:rPr>
              <w:t xml:space="preserve">Afflusso </w:t>
            </w:r>
            <m:oMath>
              <m:sSub>
                <m:sSubPr>
                  <m:ctrlPr>
                    <w:rPr>
                      <w:rFonts w:ascii="Cambria Math" w:hAnsi="Cambria Math"/>
                      <w:i/>
                      <w:noProof/>
                      <w:sz w:val="18"/>
                    </w:rPr>
                  </m:ctrlPr>
                </m:sSubPr>
                <m:e>
                  <m:r>
                    <w:rPr>
                      <w:rFonts w:ascii="Cambria Math" w:hAnsi="Cambria Math"/>
                      <w:noProof/>
                      <w:sz w:val="18"/>
                    </w:rPr>
                    <m:t>BOD</m:t>
                  </m:r>
                </m:e>
                <m:sub>
                  <m:r>
                    <w:rPr>
                      <w:rFonts w:ascii="Cambria Math" w:hAnsi="Cambria Math"/>
                      <w:noProof/>
                      <w:sz w:val="18"/>
                    </w:rPr>
                    <m:t>5</m:t>
                  </m:r>
                </m:sub>
              </m:sSub>
            </m:oMath>
          </w:p>
        </w:tc>
        <w:tc>
          <w:tcPr>
            <w:tcW w:w="2325" w:type="dxa"/>
            <w:vAlign w:val="center"/>
          </w:tcPr>
          <w:p w:rsidR="009C13A9" w:rsidRPr="00C903F8" w:rsidRDefault="009C13A9" w:rsidP="00FA5168">
            <w:pPr>
              <w:spacing w:before="60" w:after="60" w:line="240" w:lineRule="atLeast"/>
              <w:ind w:left="0" w:firstLine="0"/>
              <w:jc w:val="left"/>
              <w:rPr>
                <w:rFonts w:cs="Arial"/>
                <w:noProof/>
                <w:sz w:val="18"/>
                <w:szCs w:val="18"/>
              </w:rPr>
            </w:pPr>
            <w:r>
              <w:rPr>
                <w:noProof/>
                <w:sz w:val="18"/>
              </w:rPr>
              <w:t>Campioni scelti a caso</w:t>
            </w:r>
          </w:p>
        </w:tc>
        <w:tc>
          <w:tcPr>
            <w:tcW w:w="1016" w:type="dxa"/>
            <w:vAlign w:val="center"/>
          </w:tcPr>
          <w:p w:rsidR="009C13A9" w:rsidRPr="00C903F8" w:rsidRDefault="009C13A9" w:rsidP="009C13A9">
            <w:pPr>
              <w:spacing w:before="60" w:after="60" w:line="240" w:lineRule="atLeast"/>
              <w:ind w:left="0" w:firstLine="0"/>
              <w:jc w:val="center"/>
              <w:rPr>
                <w:rFonts w:cs="Arial"/>
                <w:noProof/>
                <w:sz w:val="18"/>
                <w:szCs w:val="18"/>
              </w:rPr>
            </w:pPr>
            <w:r>
              <w:rPr>
                <w:noProof/>
                <w:sz w:val="18"/>
              </w:rPr>
              <w:t>--</w:t>
            </w:r>
          </w:p>
        </w:tc>
        <w:tc>
          <w:tcPr>
            <w:tcW w:w="927" w:type="dxa"/>
            <w:vAlign w:val="center"/>
          </w:tcPr>
          <w:p w:rsidR="009C13A9" w:rsidRPr="00C903F8" w:rsidRDefault="009C13A9" w:rsidP="009C13A9">
            <w:pPr>
              <w:spacing w:before="60" w:after="60" w:line="240" w:lineRule="atLeast"/>
              <w:ind w:left="0" w:firstLine="0"/>
              <w:rPr>
                <w:rFonts w:cs="Arial"/>
                <w:noProof/>
                <w:sz w:val="18"/>
                <w:szCs w:val="18"/>
              </w:rPr>
            </w:pPr>
          </w:p>
        </w:tc>
        <w:tc>
          <w:tcPr>
            <w:tcW w:w="848" w:type="dxa"/>
          </w:tcPr>
          <w:p w:rsidR="009C13A9" w:rsidRPr="00C903F8" w:rsidRDefault="009C13A9" w:rsidP="009C13A9">
            <w:pPr>
              <w:spacing w:before="60" w:after="60" w:line="240" w:lineRule="atLeast"/>
              <w:ind w:left="0" w:firstLine="0"/>
              <w:rPr>
                <w:rFonts w:cs="Arial"/>
                <w:noProof/>
                <w:sz w:val="18"/>
                <w:szCs w:val="18"/>
              </w:rPr>
            </w:pPr>
          </w:p>
        </w:tc>
        <w:tc>
          <w:tcPr>
            <w:tcW w:w="852"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03" w:type="dxa"/>
            <w:vAlign w:val="center"/>
          </w:tcPr>
          <w:p w:rsidR="009C13A9" w:rsidRPr="00C903F8" w:rsidRDefault="009C13A9" w:rsidP="009C13A9">
            <w:pPr>
              <w:spacing w:before="60" w:after="60" w:line="240" w:lineRule="atLeast"/>
              <w:ind w:left="0" w:firstLine="0"/>
              <w:rPr>
                <w:rFonts w:cs="Arial"/>
                <w:noProof/>
                <w:sz w:val="18"/>
                <w:szCs w:val="18"/>
              </w:rPr>
            </w:pPr>
          </w:p>
        </w:tc>
      </w:tr>
      <w:tr w:rsidR="009C13A9" w:rsidRPr="00C903F8" w:rsidTr="00FA5168">
        <w:trPr>
          <w:jc w:val="center"/>
        </w:trPr>
        <w:tc>
          <w:tcPr>
            <w:tcW w:w="1461" w:type="dxa"/>
          </w:tcPr>
          <w:p w:rsidR="009C13A9" w:rsidRPr="00C903F8" w:rsidRDefault="009C13A9" w:rsidP="009C13A9">
            <w:pPr>
              <w:spacing w:before="60" w:after="60" w:line="240" w:lineRule="atLeast"/>
              <w:ind w:left="0" w:firstLine="0"/>
              <w:rPr>
                <w:rFonts w:cs="Arial"/>
                <w:noProof/>
                <w:sz w:val="18"/>
                <w:szCs w:val="18"/>
              </w:rPr>
            </w:pPr>
            <w:r>
              <w:rPr>
                <w:noProof/>
                <w:sz w:val="18"/>
              </w:rPr>
              <w:t xml:space="preserve">Deflusso </w:t>
            </w:r>
            <m:oMath>
              <m:sSub>
                <m:sSubPr>
                  <m:ctrlPr>
                    <w:rPr>
                      <w:rFonts w:ascii="Cambria Math" w:hAnsi="Cambria Math"/>
                      <w:i/>
                      <w:noProof/>
                      <w:sz w:val="18"/>
                    </w:rPr>
                  </m:ctrlPr>
                </m:sSubPr>
                <m:e>
                  <m:r>
                    <w:rPr>
                      <w:rFonts w:ascii="Cambria Math" w:hAnsi="Cambria Math"/>
                      <w:noProof/>
                      <w:sz w:val="18"/>
                    </w:rPr>
                    <m:t>BOD</m:t>
                  </m:r>
                </m:e>
                <m:sub>
                  <m:r>
                    <w:rPr>
                      <w:rFonts w:ascii="Cambria Math" w:hAnsi="Cambria Math"/>
                      <w:noProof/>
                      <w:sz w:val="18"/>
                    </w:rPr>
                    <m:t>5</m:t>
                  </m:r>
                </m:sub>
              </m:sSub>
            </m:oMath>
          </w:p>
        </w:tc>
        <w:tc>
          <w:tcPr>
            <w:tcW w:w="2325" w:type="dxa"/>
            <w:vAlign w:val="center"/>
          </w:tcPr>
          <w:p w:rsidR="009C13A9" w:rsidRPr="00C903F8" w:rsidRDefault="009C13A9" w:rsidP="00FA5168">
            <w:pPr>
              <w:spacing w:before="60" w:after="60" w:line="240" w:lineRule="atLeast"/>
              <w:ind w:left="0" w:firstLine="0"/>
              <w:jc w:val="left"/>
              <w:rPr>
                <w:rFonts w:cs="Arial"/>
                <w:noProof/>
                <w:sz w:val="18"/>
                <w:szCs w:val="18"/>
              </w:rPr>
            </w:pPr>
            <w:r>
              <w:rPr>
                <w:noProof/>
                <w:sz w:val="18"/>
              </w:rPr>
              <w:t>Campioni scelti a caso</w:t>
            </w:r>
          </w:p>
        </w:tc>
        <w:tc>
          <w:tcPr>
            <w:tcW w:w="1016"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27" w:type="dxa"/>
            <w:vAlign w:val="center"/>
          </w:tcPr>
          <w:p w:rsidR="009C13A9" w:rsidRPr="00C903F8" w:rsidRDefault="009C13A9" w:rsidP="009C13A9">
            <w:pPr>
              <w:spacing w:before="60" w:after="60" w:line="240" w:lineRule="atLeast"/>
              <w:ind w:left="0" w:firstLine="0"/>
              <w:rPr>
                <w:rFonts w:cs="Arial"/>
                <w:noProof/>
                <w:sz w:val="18"/>
                <w:szCs w:val="18"/>
              </w:rPr>
            </w:pPr>
          </w:p>
        </w:tc>
        <w:tc>
          <w:tcPr>
            <w:tcW w:w="848" w:type="dxa"/>
          </w:tcPr>
          <w:p w:rsidR="009C13A9" w:rsidRPr="00C903F8" w:rsidRDefault="009C13A9" w:rsidP="009C13A9">
            <w:pPr>
              <w:spacing w:before="60" w:after="60" w:line="240" w:lineRule="atLeast"/>
              <w:ind w:left="0" w:firstLine="0"/>
              <w:rPr>
                <w:rFonts w:cs="Arial"/>
                <w:noProof/>
                <w:sz w:val="18"/>
                <w:szCs w:val="18"/>
              </w:rPr>
            </w:pPr>
          </w:p>
        </w:tc>
        <w:tc>
          <w:tcPr>
            <w:tcW w:w="852"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03" w:type="dxa"/>
            <w:vAlign w:val="center"/>
          </w:tcPr>
          <w:p w:rsidR="009C13A9" w:rsidRPr="00C903F8" w:rsidRDefault="009C13A9" w:rsidP="009C13A9">
            <w:pPr>
              <w:spacing w:before="60" w:after="60" w:line="240" w:lineRule="atLeast"/>
              <w:ind w:left="0" w:firstLine="0"/>
              <w:rPr>
                <w:rFonts w:cs="Arial"/>
                <w:noProof/>
                <w:sz w:val="18"/>
                <w:szCs w:val="18"/>
              </w:rPr>
            </w:pPr>
          </w:p>
        </w:tc>
      </w:tr>
      <w:tr w:rsidR="009C13A9" w:rsidRPr="00C903F8" w:rsidTr="00FA5168">
        <w:trPr>
          <w:jc w:val="center"/>
        </w:trPr>
        <w:tc>
          <w:tcPr>
            <w:tcW w:w="1461" w:type="dxa"/>
            <w:vAlign w:val="center"/>
          </w:tcPr>
          <w:p w:rsidR="009C13A9" w:rsidRPr="00C903F8" w:rsidRDefault="009C13A9" w:rsidP="009C13A9">
            <w:pPr>
              <w:spacing w:before="60" w:after="60" w:line="240" w:lineRule="atLeast"/>
              <w:ind w:left="0" w:firstLine="0"/>
              <w:rPr>
                <w:rFonts w:cs="Arial"/>
                <w:noProof/>
                <w:sz w:val="18"/>
                <w:szCs w:val="18"/>
              </w:rPr>
            </w:pPr>
            <w:r>
              <w:rPr>
                <w:noProof/>
                <w:sz w:val="18"/>
              </w:rPr>
              <w:t>COD afflusso</w:t>
            </w:r>
          </w:p>
        </w:tc>
        <w:tc>
          <w:tcPr>
            <w:tcW w:w="2325" w:type="dxa"/>
            <w:vAlign w:val="center"/>
          </w:tcPr>
          <w:p w:rsidR="009C13A9" w:rsidRPr="00C903F8" w:rsidRDefault="009C13A9" w:rsidP="00FA5168">
            <w:pPr>
              <w:spacing w:before="60" w:after="60" w:line="240" w:lineRule="atLeast"/>
              <w:ind w:left="0" w:firstLine="0"/>
              <w:jc w:val="left"/>
              <w:rPr>
                <w:rFonts w:cs="Arial"/>
                <w:noProof/>
                <w:sz w:val="18"/>
                <w:szCs w:val="18"/>
              </w:rPr>
            </w:pPr>
            <w:r>
              <w:rPr>
                <w:noProof/>
                <w:sz w:val="18"/>
              </w:rPr>
              <w:t>Campioni compositi su 24 ore</w:t>
            </w:r>
          </w:p>
        </w:tc>
        <w:tc>
          <w:tcPr>
            <w:tcW w:w="1016" w:type="dxa"/>
            <w:vAlign w:val="center"/>
          </w:tcPr>
          <w:p w:rsidR="009C13A9" w:rsidRPr="00C903F8" w:rsidRDefault="009C13A9" w:rsidP="009C13A9">
            <w:pPr>
              <w:spacing w:before="60" w:after="60" w:line="240" w:lineRule="atLeast"/>
              <w:ind w:left="0" w:firstLine="0"/>
              <w:jc w:val="center"/>
              <w:rPr>
                <w:rFonts w:cs="Arial"/>
                <w:noProof/>
                <w:sz w:val="18"/>
                <w:szCs w:val="18"/>
              </w:rPr>
            </w:pPr>
            <w:r>
              <w:rPr>
                <w:noProof/>
                <w:sz w:val="18"/>
              </w:rPr>
              <w:t>--</w:t>
            </w:r>
          </w:p>
        </w:tc>
        <w:tc>
          <w:tcPr>
            <w:tcW w:w="927" w:type="dxa"/>
            <w:vAlign w:val="center"/>
          </w:tcPr>
          <w:p w:rsidR="009C13A9" w:rsidRPr="00C903F8" w:rsidRDefault="009C13A9" w:rsidP="009C13A9">
            <w:pPr>
              <w:spacing w:before="60" w:after="60" w:line="240" w:lineRule="atLeast"/>
              <w:ind w:left="0" w:firstLine="0"/>
              <w:rPr>
                <w:rFonts w:cs="Arial"/>
                <w:noProof/>
                <w:sz w:val="18"/>
                <w:szCs w:val="18"/>
              </w:rPr>
            </w:pPr>
          </w:p>
        </w:tc>
        <w:tc>
          <w:tcPr>
            <w:tcW w:w="848" w:type="dxa"/>
          </w:tcPr>
          <w:p w:rsidR="009C13A9" w:rsidRPr="00C903F8" w:rsidRDefault="009C13A9" w:rsidP="009C13A9">
            <w:pPr>
              <w:spacing w:before="60" w:after="60" w:line="240" w:lineRule="atLeast"/>
              <w:ind w:left="0" w:firstLine="0"/>
              <w:rPr>
                <w:rFonts w:cs="Arial"/>
                <w:noProof/>
                <w:sz w:val="18"/>
                <w:szCs w:val="18"/>
              </w:rPr>
            </w:pPr>
          </w:p>
        </w:tc>
        <w:tc>
          <w:tcPr>
            <w:tcW w:w="852"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03" w:type="dxa"/>
            <w:vAlign w:val="center"/>
          </w:tcPr>
          <w:p w:rsidR="009C13A9" w:rsidRPr="00C903F8" w:rsidRDefault="009C13A9" w:rsidP="009C13A9">
            <w:pPr>
              <w:spacing w:before="60" w:after="60" w:line="240" w:lineRule="atLeast"/>
              <w:ind w:left="0" w:firstLine="0"/>
              <w:rPr>
                <w:rFonts w:cs="Arial"/>
                <w:noProof/>
                <w:sz w:val="18"/>
                <w:szCs w:val="18"/>
              </w:rPr>
            </w:pPr>
          </w:p>
        </w:tc>
      </w:tr>
      <w:tr w:rsidR="009C13A9" w:rsidRPr="00C903F8" w:rsidTr="00FA5168">
        <w:trPr>
          <w:jc w:val="center"/>
        </w:trPr>
        <w:tc>
          <w:tcPr>
            <w:tcW w:w="1461" w:type="dxa"/>
          </w:tcPr>
          <w:p w:rsidR="009C13A9" w:rsidRPr="00C903F8" w:rsidRDefault="009C13A9" w:rsidP="009C13A9">
            <w:pPr>
              <w:spacing w:before="60" w:after="60" w:line="240" w:lineRule="atLeast"/>
              <w:ind w:left="0" w:firstLine="0"/>
              <w:rPr>
                <w:rFonts w:cs="Arial"/>
                <w:noProof/>
                <w:sz w:val="18"/>
                <w:szCs w:val="18"/>
              </w:rPr>
            </w:pPr>
            <w:r>
              <w:rPr>
                <w:noProof/>
                <w:sz w:val="18"/>
              </w:rPr>
              <w:t>COD deflusso</w:t>
            </w:r>
          </w:p>
        </w:tc>
        <w:tc>
          <w:tcPr>
            <w:tcW w:w="2325" w:type="dxa"/>
            <w:vAlign w:val="center"/>
          </w:tcPr>
          <w:p w:rsidR="009C13A9" w:rsidRPr="00C903F8" w:rsidRDefault="009C13A9" w:rsidP="00FA5168">
            <w:pPr>
              <w:spacing w:before="60" w:after="60" w:line="240" w:lineRule="atLeast"/>
              <w:ind w:left="0" w:firstLine="0"/>
              <w:jc w:val="left"/>
              <w:rPr>
                <w:rFonts w:cs="Arial"/>
                <w:noProof/>
                <w:sz w:val="18"/>
                <w:szCs w:val="18"/>
              </w:rPr>
            </w:pPr>
            <w:r>
              <w:rPr>
                <w:noProof/>
                <w:sz w:val="18"/>
              </w:rPr>
              <w:t>Campioni compositi su 24 ore</w:t>
            </w:r>
          </w:p>
        </w:tc>
        <w:tc>
          <w:tcPr>
            <w:tcW w:w="1016"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27" w:type="dxa"/>
            <w:vAlign w:val="center"/>
          </w:tcPr>
          <w:p w:rsidR="009C13A9" w:rsidRPr="00C903F8" w:rsidRDefault="009C13A9" w:rsidP="009C13A9">
            <w:pPr>
              <w:spacing w:before="60" w:after="60" w:line="240" w:lineRule="atLeast"/>
              <w:ind w:left="0" w:firstLine="0"/>
              <w:rPr>
                <w:rFonts w:cs="Arial"/>
                <w:noProof/>
                <w:sz w:val="18"/>
                <w:szCs w:val="18"/>
              </w:rPr>
            </w:pPr>
          </w:p>
        </w:tc>
        <w:tc>
          <w:tcPr>
            <w:tcW w:w="848" w:type="dxa"/>
          </w:tcPr>
          <w:p w:rsidR="009C13A9" w:rsidRPr="00C903F8" w:rsidRDefault="009C13A9" w:rsidP="009C13A9">
            <w:pPr>
              <w:spacing w:before="60" w:after="60" w:line="240" w:lineRule="atLeast"/>
              <w:ind w:left="0" w:firstLine="0"/>
              <w:rPr>
                <w:rFonts w:cs="Arial"/>
                <w:noProof/>
                <w:sz w:val="18"/>
                <w:szCs w:val="18"/>
              </w:rPr>
            </w:pPr>
          </w:p>
        </w:tc>
        <w:tc>
          <w:tcPr>
            <w:tcW w:w="852"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03" w:type="dxa"/>
            <w:vAlign w:val="center"/>
          </w:tcPr>
          <w:p w:rsidR="009C13A9" w:rsidRPr="00C903F8" w:rsidRDefault="009C13A9" w:rsidP="009C13A9">
            <w:pPr>
              <w:spacing w:before="60" w:after="60" w:line="240" w:lineRule="atLeast"/>
              <w:ind w:left="0" w:firstLine="0"/>
              <w:rPr>
                <w:rFonts w:cs="Arial"/>
                <w:noProof/>
                <w:sz w:val="18"/>
                <w:szCs w:val="18"/>
              </w:rPr>
            </w:pPr>
          </w:p>
        </w:tc>
      </w:tr>
      <w:tr w:rsidR="009C13A9" w:rsidRPr="00C903F8" w:rsidTr="00FA5168">
        <w:trPr>
          <w:jc w:val="center"/>
        </w:trPr>
        <w:tc>
          <w:tcPr>
            <w:tcW w:w="1461" w:type="dxa"/>
            <w:vAlign w:val="center"/>
          </w:tcPr>
          <w:p w:rsidR="009C13A9" w:rsidRPr="00C903F8" w:rsidRDefault="009C13A9" w:rsidP="009C13A9">
            <w:pPr>
              <w:spacing w:before="60" w:after="60" w:line="240" w:lineRule="atLeast"/>
              <w:ind w:left="0" w:firstLine="0"/>
              <w:rPr>
                <w:rFonts w:cs="Arial"/>
                <w:noProof/>
                <w:sz w:val="18"/>
                <w:szCs w:val="18"/>
              </w:rPr>
            </w:pPr>
            <w:r>
              <w:rPr>
                <w:noProof/>
                <w:sz w:val="18"/>
              </w:rPr>
              <w:t>COD afflusso</w:t>
            </w:r>
          </w:p>
        </w:tc>
        <w:tc>
          <w:tcPr>
            <w:tcW w:w="2325" w:type="dxa"/>
            <w:vAlign w:val="center"/>
          </w:tcPr>
          <w:p w:rsidR="009C13A9" w:rsidRPr="00C903F8" w:rsidRDefault="009C13A9" w:rsidP="00FA5168">
            <w:pPr>
              <w:spacing w:before="60" w:after="60" w:line="240" w:lineRule="atLeast"/>
              <w:ind w:left="0" w:firstLine="0"/>
              <w:jc w:val="left"/>
              <w:rPr>
                <w:rFonts w:cs="Arial"/>
                <w:noProof/>
                <w:sz w:val="18"/>
                <w:szCs w:val="18"/>
              </w:rPr>
            </w:pPr>
            <w:r>
              <w:rPr>
                <w:noProof/>
                <w:sz w:val="18"/>
              </w:rPr>
              <w:t>Campioni scelti a caso</w:t>
            </w:r>
          </w:p>
        </w:tc>
        <w:tc>
          <w:tcPr>
            <w:tcW w:w="1016" w:type="dxa"/>
            <w:vAlign w:val="center"/>
          </w:tcPr>
          <w:p w:rsidR="009C13A9" w:rsidRPr="00C903F8" w:rsidRDefault="009C13A9" w:rsidP="009C13A9">
            <w:pPr>
              <w:spacing w:before="60" w:after="60" w:line="240" w:lineRule="atLeast"/>
              <w:ind w:left="0" w:firstLine="0"/>
              <w:jc w:val="center"/>
              <w:rPr>
                <w:rFonts w:cs="Arial"/>
                <w:noProof/>
                <w:sz w:val="18"/>
                <w:szCs w:val="18"/>
              </w:rPr>
            </w:pPr>
            <w:r>
              <w:rPr>
                <w:noProof/>
                <w:sz w:val="18"/>
              </w:rPr>
              <w:t>--</w:t>
            </w:r>
          </w:p>
        </w:tc>
        <w:tc>
          <w:tcPr>
            <w:tcW w:w="927" w:type="dxa"/>
            <w:vAlign w:val="center"/>
          </w:tcPr>
          <w:p w:rsidR="009C13A9" w:rsidRPr="00C903F8" w:rsidRDefault="009C13A9" w:rsidP="009C13A9">
            <w:pPr>
              <w:spacing w:before="60" w:after="60" w:line="240" w:lineRule="atLeast"/>
              <w:ind w:left="0" w:firstLine="0"/>
              <w:rPr>
                <w:rFonts w:cs="Arial"/>
                <w:noProof/>
                <w:sz w:val="18"/>
                <w:szCs w:val="18"/>
              </w:rPr>
            </w:pPr>
          </w:p>
        </w:tc>
        <w:tc>
          <w:tcPr>
            <w:tcW w:w="848" w:type="dxa"/>
          </w:tcPr>
          <w:p w:rsidR="009C13A9" w:rsidRPr="00C903F8" w:rsidRDefault="009C13A9" w:rsidP="009C13A9">
            <w:pPr>
              <w:spacing w:before="60" w:after="60" w:line="240" w:lineRule="atLeast"/>
              <w:ind w:left="0" w:firstLine="0"/>
              <w:rPr>
                <w:rFonts w:cs="Arial"/>
                <w:noProof/>
                <w:sz w:val="18"/>
                <w:szCs w:val="18"/>
              </w:rPr>
            </w:pPr>
          </w:p>
        </w:tc>
        <w:tc>
          <w:tcPr>
            <w:tcW w:w="852"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03" w:type="dxa"/>
            <w:vAlign w:val="center"/>
          </w:tcPr>
          <w:p w:rsidR="009C13A9" w:rsidRPr="00C903F8" w:rsidRDefault="009C13A9" w:rsidP="009C13A9">
            <w:pPr>
              <w:spacing w:before="60" w:after="60" w:line="240" w:lineRule="atLeast"/>
              <w:ind w:left="0" w:firstLine="0"/>
              <w:rPr>
                <w:rFonts w:cs="Arial"/>
                <w:noProof/>
                <w:sz w:val="18"/>
                <w:szCs w:val="18"/>
              </w:rPr>
            </w:pPr>
          </w:p>
        </w:tc>
      </w:tr>
      <w:tr w:rsidR="009C13A9" w:rsidRPr="00C903F8" w:rsidTr="00FA5168">
        <w:trPr>
          <w:jc w:val="center"/>
        </w:trPr>
        <w:tc>
          <w:tcPr>
            <w:tcW w:w="1461" w:type="dxa"/>
          </w:tcPr>
          <w:p w:rsidR="009C13A9" w:rsidRPr="00C903F8" w:rsidRDefault="009C13A9" w:rsidP="009C13A9">
            <w:pPr>
              <w:spacing w:before="60" w:after="60" w:line="240" w:lineRule="atLeast"/>
              <w:ind w:left="0" w:firstLine="0"/>
              <w:rPr>
                <w:rFonts w:cs="Arial"/>
                <w:noProof/>
                <w:sz w:val="18"/>
                <w:szCs w:val="18"/>
              </w:rPr>
            </w:pPr>
            <w:r>
              <w:rPr>
                <w:noProof/>
                <w:sz w:val="18"/>
              </w:rPr>
              <w:t>COD deflusso</w:t>
            </w:r>
          </w:p>
        </w:tc>
        <w:tc>
          <w:tcPr>
            <w:tcW w:w="2325" w:type="dxa"/>
            <w:vAlign w:val="center"/>
          </w:tcPr>
          <w:p w:rsidR="009C13A9" w:rsidRPr="00C903F8" w:rsidRDefault="009C13A9" w:rsidP="00FA5168">
            <w:pPr>
              <w:spacing w:before="60" w:after="60" w:line="240" w:lineRule="atLeast"/>
              <w:ind w:left="0" w:firstLine="0"/>
              <w:jc w:val="left"/>
              <w:rPr>
                <w:rFonts w:cs="Arial"/>
                <w:noProof/>
                <w:sz w:val="18"/>
                <w:szCs w:val="18"/>
              </w:rPr>
            </w:pPr>
            <w:r>
              <w:rPr>
                <w:noProof/>
                <w:sz w:val="18"/>
              </w:rPr>
              <w:t>Campioni scelti a caso</w:t>
            </w:r>
          </w:p>
        </w:tc>
        <w:tc>
          <w:tcPr>
            <w:tcW w:w="1016"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27" w:type="dxa"/>
            <w:vAlign w:val="center"/>
          </w:tcPr>
          <w:p w:rsidR="009C13A9" w:rsidRPr="00C903F8" w:rsidRDefault="009C13A9" w:rsidP="009C13A9">
            <w:pPr>
              <w:spacing w:before="60" w:after="60" w:line="240" w:lineRule="atLeast"/>
              <w:ind w:left="0" w:firstLine="0"/>
              <w:rPr>
                <w:rFonts w:cs="Arial"/>
                <w:noProof/>
                <w:sz w:val="18"/>
                <w:szCs w:val="18"/>
              </w:rPr>
            </w:pPr>
          </w:p>
        </w:tc>
        <w:tc>
          <w:tcPr>
            <w:tcW w:w="848" w:type="dxa"/>
          </w:tcPr>
          <w:p w:rsidR="009C13A9" w:rsidRPr="00C903F8" w:rsidRDefault="009C13A9" w:rsidP="009C13A9">
            <w:pPr>
              <w:spacing w:before="60" w:after="60" w:line="240" w:lineRule="atLeast"/>
              <w:ind w:left="0" w:firstLine="0"/>
              <w:rPr>
                <w:rFonts w:cs="Arial"/>
                <w:noProof/>
                <w:sz w:val="18"/>
                <w:szCs w:val="18"/>
              </w:rPr>
            </w:pPr>
          </w:p>
        </w:tc>
        <w:tc>
          <w:tcPr>
            <w:tcW w:w="852"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03" w:type="dxa"/>
            <w:vAlign w:val="center"/>
          </w:tcPr>
          <w:p w:rsidR="009C13A9" w:rsidRPr="00C903F8" w:rsidRDefault="009C13A9" w:rsidP="009C13A9">
            <w:pPr>
              <w:spacing w:before="60" w:after="60" w:line="240" w:lineRule="atLeast"/>
              <w:ind w:left="0" w:firstLine="0"/>
              <w:rPr>
                <w:rFonts w:cs="Arial"/>
                <w:noProof/>
                <w:sz w:val="18"/>
                <w:szCs w:val="18"/>
              </w:rPr>
            </w:pPr>
          </w:p>
        </w:tc>
      </w:tr>
      <w:tr w:rsidR="009C13A9" w:rsidRPr="00C903F8" w:rsidTr="00FA5168">
        <w:trPr>
          <w:jc w:val="center"/>
        </w:trPr>
        <w:tc>
          <w:tcPr>
            <w:tcW w:w="1461" w:type="dxa"/>
            <w:vAlign w:val="center"/>
          </w:tcPr>
          <w:p w:rsidR="009C13A9" w:rsidRPr="00C903F8" w:rsidRDefault="009C13A9" w:rsidP="009C13A9">
            <w:pPr>
              <w:spacing w:before="60" w:after="60" w:line="240" w:lineRule="atLeast"/>
              <w:ind w:left="0" w:firstLine="0"/>
              <w:rPr>
                <w:rFonts w:cs="Arial"/>
                <w:noProof/>
                <w:sz w:val="18"/>
                <w:szCs w:val="18"/>
              </w:rPr>
            </w:pPr>
            <w:r>
              <w:rPr>
                <w:noProof/>
                <w:sz w:val="18"/>
              </w:rPr>
              <w:t>TOC afflusso</w:t>
            </w:r>
          </w:p>
        </w:tc>
        <w:tc>
          <w:tcPr>
            <w:tcW w:w="2325" w:type="dxa"/>
            <w:vAlign w:val="center"/>
          </w:tcPr>
          <w:p w:rsidR="009C13A9" w:rsidRPr="00C903F8" w:rsidRDefault="009C13A9" w:rsidP="00FA5168">
            <w:pPr>
              <w:spacing w:before="60" w:after="60" w:line="240" w:lineRule="atLeast"/>
              <w:ind w:left="0" w:firstLine="0"/>
              <w:jc w:val="left"/>
              <w:rPr>
                <w:rFonts w:cs="Arial"/>
                <w:noProof/>
                <w:sz w:val="18"/>
                <w:szCs w:val="18"/>
              </w:rPr>
            </w:pPr>
            <w:r>
              <w:rPr>
                <w:noProof/>
                <w:sz w:val="18"/>
              </w:rPr>
              <w:t>Campioni compositi su 24 ore</w:t>
            </w:r>
          </w:p>
        </w:tc>
        <w:tc>
          <w:tcPr>
            <w:tcW w:w="1016" w:type="dxa"/>
            <w:vAlign w:val="center"/>
          </w:tcPr>
          <w:p w:rsidR="009C13A9" w:rsidRPr="00C903F8" w:rsidRDefault="009C13A9" w:rsidP="009C13A9">
            <w:pPr>
              <w:spacing w:before="60" w:after="60" w:line="240" w:lineRule="atLeast"/>
              <w:ind w:left="0" w:firstLine="0"/>
              <w:jc w:val="center"/>
              <w:rPr>
                <w:rFonts w:cs="Arial"/>
                <w:noProof/>
                <w:sz w:val="18"/>
                <w:szCs w:val="18"/>
              </w:rPr>
            </w:pPr>
            <w:r>
              <w:rPr>
                <w:noProof/>
                <w:sz w:val="18"/>
              </w:rPr>
              <w:t>--</w:t>
            </w:r>
          </w:p>
        </w:tc>
        <w:tc>
          <w:tcPr>
            <w:tcW w:w="927" w:type="dxa"/>
            <w:vAlign w:val="center"/>
          </w:tcPr>
          <w:p w:rsidR="009C13A9" w:rsidRPr="00C903F8" w:rsidRDefault="009C13A9" w:rsidP="009C13A9">
            <w:pPr>
              <w:spacing w:before="60" w:after="60" w:line="240" w:lineRule="atLeast"/>
              <w:ind w:left="0" w:firstLine="0"/>
              <w:rPr>
                <w:rFonts w:cs="Arial"/>
                <w:noProof/>
                <w:sz w:val="18"/>
                <w:szCs w:val="18"/>
              </w:rPr>
            </w:pPr>
          </w:p>
        </w:tc>
        <w:tc>
          <w:tcPr>
            <w:tcW w:w="848" w:type="dxa"/>
          </w:tcPr>
          <w:p w:rsidR="009C13A9" w:rsidRPr="00C903F8" w:rsidRDefault="009C13A9" w:rsidP="009C13A9">
            <w:pPr>
              <w:spacing w:before="60" w:after="60" w:line="240" w:lineRule="atLeast"/>
              <w:ind w:left="0" w:firstLine="0"/>
              <w:rPr>
                <w:rFonts w:cs="Arial"/>
                <w:noProof/>
                <w:sz w:val="18"/>
                <w:szCs w:val="18"/>
              </w:rPr>
            </w:pPr>
          </w:p>
        </w:tc>
        <w:tc>
          <w:tcPr>
            <w:tcW w:w="852"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03" w:type="dxa"/>
            <w:vAlign w:val="center"/>
          </w:tcPr>
          <w:p w:rsidR="009C13A9" w:rsidRPr="00C903F8" w:rsidRDefault="009C13A9" w:rsidP="009C13A9">
            <w:pPr>
              <w:spacing w:before="60" w:after="60" w:line="240" w:lineRule="atLeast"/>
              <w:ind w:left="0" w:firstLine="0"/>
              <w:rPr>
                <w:rFonts w:cs="Arial"/>
                <w:noProof/>
                <w:sz w:val="18"/>
                <w:szCs w:val="18"/>
              </w:rPr>
            </w:pPr>
          </w:p>
        </w:tc>
      </w:tr>
      <w:tr w:rsidR="009C13A9" w:rsidRPr="00C903F8" w:rsidTr="00FA5168">
        <w:trPr>
          <w:jc w:val="center"/>
        </w:trPr>
        <w:tc>
          <w:tcPr>
            <w:tcW w:w="1461" w:type="dxa"/>
          </w:tcPr>
          <w:p w:rsidR="009C13A9" w:rsidRPr="00C903F8" w:rsidRDefault="009C13A9" w:rsidP="009C13A9">
            <w:pPr>
              <w:spacing w:before="60" w:after="60" w:line="240" w:lineRule="atLeast"/>
              <w:ind w:left="0" w:firstLine="0"/>
              <w:rPr>
                <w:rFonts w:cs="Arial"/>
                <w:noProof/>
                <w:sz w:val="18"/>
                <w:szCs w:val="18"/>
              </w:rPr>
            </w:pPr>
            <w:r>
              <w:rPr>
                <w:noProof/>
                <w:sz w:val="18"/>
              </w:rPr>
              <w:t>TOC deflusso</w:t>
            </w:r>
          </w:p>
        </w:tc>
        <w:tc>
          <w:tcPr>
            <w:tcW w:w="2325" w:type="dxa"/>
            <w:vAlign w:val="center"/>
          </w:tcPr>
          <w:p w:rsidR="009C13A9" w:rsidRPr="00C903F8" w:rsidRDefault="009C13A9" w:rsidP="00FA5168">
            <w:pPr>
              <w:spacing w:before="60" w:after="60" w:line="240" w:lineRule="atLeast"/>
              <w:ind w:left="0" w:firstLine="0"/>
              <w:jc w:val="left"/>
              <w:rPr>
                <w:rFonts w:cs="Arial"/>
                <w:noProof/>
                <w:sz w:val="18"/>
                <w:szCs w:val="18"/>
              </w:rPr>
            </w:pPr>
            <w:r>
              <w:rPr>
                <w:noProof/>
                <w:sz w:val="18"/>
              </w:rPr>
              <w:t>Campioni compositi su 24 ore</w:t>
            </w:r>
          </w:p>
        </w:tc>
        <w:tc>
          <w:tcPr>
            <w:tcW w:w="1016"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27" w:type="dxa"/>
            <w:vAlign w:val="center"/>
          </w:tcPr>
          <w:p w:rsidR="009C13A9" w:rsidRPr="00C903F8" w:rsidRDefault="009C13A9" w:rsidP="009C13A9">
            <w:pPr>
              <w:spacing w:before="60" w:after="60" w:line="240" w:lineRule="atLeast"/>
              <w:ind w:left="0" w:firstLine="0"/>
              <w:rPr>
                <w:rFonts w:cs="Arial"/>
                <w:noProof/>
                <w:sz w:val="18"/>
                <w:szCs w:val="18"/>
              </w:rPr>
            </w:pPr>
          </w:p>
        </w:tc>
        <w:tc>
          <w:tcPr>
            <w:tcW w:w="848" w:type="dxa"/>
          </w:tcPr>
          <w:p w:rsidR="009C13A9" w:rsidRPr="00C903F8" w:rsidRDefault="009C13A9" w:rsidP="009C13A9">
            <w:pPr>
              <w:spacing w:before="60" w:after="60" w:line="240" w:lineRule="atLeast"/>
              <w:ind w:left="0" w:firstLine="0"/>
              <w:rPr>
                <w:rFonts w:cs="Arial"/>
                <w:noProof/>
                <w:sz w:val="18"/>
                <w:szCs w:val="18"/>
              </w:rPr>
            </w:pPr>
          </w:p>
        </w:tc>
        <w:tc>
          <w:tcPr>
            <w:tcW w:w="852"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03" w:type="dxa"/>
            <w:vAlign w:val="center"/>
          </w:tcPr>
          <w:p w:rsidR="009C13A9" w:rsidRPr="00C903F8" w:rsidRDefault="009C13A9" w:rsidP="009C13A9">
            <w:pPr>
              <w:spacing w:before="60" w:after="60" w:line="240" w:lineRule="atLeast"/>
              <w:ind w:left="0" w:firstLine="0"/>
              <w:rPr>
                <w:rFonts w:cs="Arial"/>
                <w:noProof/>
                <w:sz w:val="18"/>
                <w:szCs w:val="18"/>
              </w:rPr>
            </w:pPr>
          </w:p>
        </w:tc>
      </w:tr>
      <w:tr w:rsidR="009C13A9" w:rsidRPr="00C903F8" w:rsidTr="00FA5168">
        <w:trPr>
          <w:jc w:val="center"/>
        </w:trPr>
        <w:tc>
          <w:tcPr>
            <w:tcW w:w="1461" w:type="dxa"/>
            <w:vAlign w:val="center"/>
          </w:tcPr>
          <w:p w:rsidR="009C13A9" w:rsidRPr="00C903F8" w:rsidRDefault="009C13A9" w:rsidP="009C13A9">
            <w:pPr>
              <w:spacing w:before="60" w:after="60" w:line="240" w:lineRule="atLeast"/>
              <w:ind w:left="0" w:firstLine="0"/>
              <w:rPr>
                <w:rFonts w:cs="Arial"/>
                <w:noProof/>
                <w:sz w:val="18"/>
                <w:szCs w:val="18"/>
              </w:rPr>
            </w:pPr>
            <w:r>
              <w:rPr>
                <w:noProof/>
                <w:sz w:val="18"/>
              </w:rPr>
              <w:t>TOC afflusso</w:t>
            </w:r>
          </w:p>
        </w:tc>
        <w:tc>
          <w:tcPr>
            <w:tcW w:w="2325" w:type="dxa"/>
            <w:vAlign w:val="center"/>
          </w:tcPr>
          <w:p w:rsidR="009C13A9" w:rsidRPr="00C903F8" w:rsidRDefault="009C13A9" w:rsidP="00FA5168">
            <w:pPr>
              <w:spacing w:before="60" w:after="60" w:line="240" w:lineRule="atLeast"/>
              <w:ind w:left="0" w:firstLine="0"/>
              <w:jc w:val="left"/>
              <w:rPr>
                <w:rFonts w:cs="Arial"/>
                <w:noProof/>
                <w:sz w:val="18"/>
                <w:szCs w:val="18"/>
              </w:rPr>
            </w:pPr>
            <w:r>
              <w:rPr>
                <w:noProof/>
                <w:sz w:val="18"/>
              </w:rPr>
              <w:t>Campioni scelti a caso</w:t>
            </w:r>
          </w:p>
        </w:tc>
        <w:tc>
          <w:tcPr>
            <w:tcW w:w="1016" w:type="dxa"/>
            <w:vAlign w:val="center"/>
          </w:tcPr>
          <w:p w:rsidR="009C13A9" w:rsidRPr="00C903F8" w:rsidRDefault="009C13A9" w:rsidP="009C13A9">
            <w:pPr>
              <w:spacing w:before="60" w:after="60" w:line="240" w:lineRule="atLeast"/>
              <w:ind w:left="0" w:firstLine="0"/>
              <w:jc w:val="center"/>
              <w:rPr>
                <w:rFonts w:cs="Arial"/>
                <w:noProof/>
                <w:sz w:val="18"/>
                <w:szCs w:val="18"/>
              </w:rPr>
            </w:pPr>
            <w:r>
              <w:rPr>
                <w:noProof/>
                <w:sz w:val="18"/>
              </w:rPr>
              <w:t>--</w:t>
            </w:r>
          </w:p>
        </w:tc>
        <w:tc>
          <w:tcPr>
            <w:tcW w:w="927" w:type="dxa"/>
            <w:vAlign w:val="center"/>
          </w:tcPr>
          <w:p w:rsidR="009C13A9" w:rsidRPr="00C903F8" w:rsidRDefault="009C13A9" w:rsidP="009C13A9">
            <w:pPr>
              <w:spacing w:before="60" w:after="60" w:line="240" w:lineRule="atLeast"/>
              <w:ind w:left="0" w:firstLine="0"/>
              <w:rPr>
                <w:rFonts w:cs="Arial"/>
                <w:noProof/>
                <w:sz w:val="18"/>
                <w:szCs w:val="18"/>
              </w:rPr>
            </w:pPr>
          </w:p>
        </w:tc>
        <w:tc>
          <w:tcPr>
            <w:tcW w:w="848" w:type="dxa"/>
          </w:tcPr>
          <w:p w:rsidR="009C13A9" w:rsidRPr="00C903F8" w:rsidRDefault="009C13A9" w:rsidP="009C13A9">
            <w:pPr>
              <w:spacing w:before="60" w:after="60" w:line="240" w:lineRule="atLeast"/>
              <w:ind w:left="0" w:firstLine="0"/>
              <w:rPr>
                <w:rFonts w:cs="Arial"/>
                <w:noProof/>
                <w:sz w:val="18"/>
                <w:szCs w:val="18"/>
              </w:rPr>
            </w:pPr>
          </w:p>
        </w:tc>
        <w:tc>
          <w:tcPr>
            <w:tcW w:w="852"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03" w:type="dxa"/>
            <w:vAlign w:val="center"/>
          </w:tcPr>
          <w:p w:rsidR="009C13A9" w:rsidRPr="00C903F8" w:rsidRDefault="009C13A9" w:rsidP="009C13A9">
            <w:pPr>
              <w:spacing w:before="60" w:after="60" w:line="240" w:lineRule="atLeast"/>
              <w:ind w:left="0" w:firstLine="0"/>
              <w:rPr>
                <w:rFonts w:cs="Arial"/>
                <w:noProof/>
                <w:sz w:val="18"/>
                <w:szCs w:val="18"/>
              </w:rPr>
            </w:pPr>
          </w:p>
        </w:tc>
      </w:tr>
      <w:tr w:rsidR="009C13A9" w:rsidRPr="00C903F8" w:rsidTr="00FA5168">
        <w:trPr>
          <w:jc w:val="center"/>
        </w:trPr>
        <w:tc>
          <w:tcPr>
            <w:tcW w:w="1461" w:type="dxa"/>
          </w:tcPr>
          <w:p w:rsidR="009C13A9" w:rsidRPr="00C903F8" w:rsidRDefault="009C13A9" w:rsidP="009C13A9">
            <w:pPr>
              <w:spacing w:before="60" w:after="60" w:line="240" w:lineRule="atLeast"/>
              <w:ind w:left="0" w:firstLine="0"/>
              <w:rPr>
                <w:rFonts w:cs="Arial"/>
                <w:noProof/>
                <w:sz w:val="18"/>
                <w:szCs w:val="18"/>
              </w:rPr>
            </w:pPr>
            <w:r>
              <w:rPr>
                <w:noProof/>
                <w:sz w:val="18"/>
              </w:rPr>
              <w:t>TOC deflusso</w:t>
            </w:r>
          </w:p>
        </w:tc>
        <w:tc>
          <w:tcPr>
            <w:tcW w:w="2325" w:type="dxa"/>
            <w:vAlign w:val="center"/>
          </w:tcPr>
          <w:p w:rsidR="009C13A9" w:rsidRPr="00C903F8" w:rsidRDefault="009C13A9" w:rsidP="00FA5168">
            <w:pPr>
              <w:spacing w:before="60" w:after="60" w:line="240" w:lineRule="atLeast"/>
              <w:ind w:left="0" w:firstLine="0"/>
              <w:jc w:val="left"/>
              <w:rPr>
                <w:rFonts w:cs="Arial"/>
                <w:noProof/>
                <w:sz w:val="18"/>
                <w:szCs w:val="18"/>
              </w:rPr>
            </w:pPr>
            <w:r>
              <w:rPr>
                <w:noProof/>
                <w:sz w:val="18"/>
              </w:rPr>
              <w:t>Campioni scelti a caso</w:t>
            </w:r>
          </w:p>
        </w:tc>
        <w:tc>
          <w:tcPr>
            <w:tcW w:w="1016"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27" w:type="dxa"/>
            <w:vAlign w:val="center"/>
          </w:tcPr>
          <w:p w:rsidR="009C13A9" w:rsidRPr="00C903F8" w:rsidRDefault="009C13A9" w:rsidP="009C13A9">
            <w:pPr>
              <w:spacing w:before="60" w:after="60" w:line="240" w:lineRule="atLeast"/>
              <w:ind w:left="0" w:firstLine="0"/>
              <w:rPr>
                <w:rFonts w:cs="Arial"/>
                <w:noProof/>
                <w:sz w:val="18"/>
                <w:szCs w:val="18"/>
              </w:rPr>
            </w:pPr>
          </w:p>
        </w:tc>
        <w:tc>
          <w:tcPr>
            <w:tcW w:w="848" w:type="dxa"/>
          </w:tcPr>
          <w:p w:rsidR="009C13A9" w:rsidRPr="00C903F8" w:rsidRDefault="009C13A9" w:rsidP="009C13A9">
            <w:pPr>
              <w:spacing w:before="60" w:after="60" w:line="240" w:lineRule="atLeast"/>
              <w:ind w:left="0" w:firstLine="0"/>
              <w:rPr>
                <w:rFonts w:cs="Arial"/>
                <w:noProof/>
                <w:sz w:val="18"/>
                <w:szCs w:val="18"/>
              </w:rPr>
            </w:pPr>
          </w:p>
        </w:tc>
        <w:tc>
          <w:tcPr>
            <w:tcW w:w="852"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03" w:type="dxa"/>
            <w:vAlign w:val="center"/>
          </w:tcPr>
          <w:p w:rsidR="009C13A9" w:rsidRPr="00C903F8" w:rsidRDefault="009C13A9" w:rsidP="009C13A9">
            <w:pPr>
              <w:spacing w:before="60" w:after="60" w:line="240" w:lineRule="atLeast"/>
              <w:ind w:left="0" w:firstLine="0"/>
              <w:rPr>
                <w:rFonts w:cs="Arial"/>
                <w:noProof/>
                <w:sz w:val="18"/>
                <w:szCs w:val="18"/>
              </w:rPr>
            </w:pPr>
          </w:p>
        </w:tc>
      </w:tr>
      <w:tr w:rsidR="009C13A9" w:rsidRPr="00C903F8" w:rsidTr="00FA5168">
        <w:trPr>
          <w:jc w:val="center"/>
        </w:trPr>
        <w:tc>
          <w:tcPr>
            <w:tcW w:w="1461" w:type="dxa"/>
            <w:vAlign w:val="center"/>
          </w:tcPr>
          <w:p w:rsidR="009C13A9" w:rsidRPr="00C903F8" w:rsidRDefault="009C13A9" w:rsidP="009C13A9">
            <w:pPr>
              <w:spacing w:before="60" w:after="60" w:line="240" w:lineRule="atLeast"/>
              <w:ind w:left="0" w:firstLine="0"/>
              <w:rPr>
                <w:rFonts w:cs="Arial"/>
                <w:noProof/>
                <w:sz w:val="18"/>
                <w:szCs w:val="18"/>
              </w:rPr>
            </w:pPr>
            <w:r>
              <w:rPr>
                <w:noProof/>
                <w:sz w:val="18"/>
              </w:rPr>
              <w:t>SRF afflusso</w:t>
            </w:r>
          </w:p>
        </w:tc>
        <w:tc>
          <w:tcPr>
            <w:tcW w:w="2325" w:type="dxa"/>
            <w:vAlign w:val="center"/>
          </w:tcPr>
          <w:p w:rsidR="009C13A9" w:rsidRPr="00C903F8" w:rsidRDefault="009C13A9" w:rsidP="00FA5168">
            <w:pPr>
              <w:spacing w:before="60" w:after="60" w:line="240" w:lineRule="atLeast"/>
              <w:ind w:left="0" w:firstLine="0"/>
              <w:jc w:val="left"/>
              <w:rPr>
                <w:rFonts w:cs="Arial"/>
                <w:noProof/>
                <w:sz w:val="18"/>
                <w:szCs w:val="18"/>
              </w:rPr>
            </w:pPr>
            <w:r>
              <w:rPr>
                <w:noProof/>
                <w:sz w:val="18"/>
              </w:rPr>
              <w:t>Campioni compositi su 24 ore</w:t>
            </w:r>
          </w:p>
        </w:tc>
        <w:tc>
          <w:tcPr>
            <w:tcW w:w="1016" w:type="dxa"/>
            <w:vAlign w:val="center"/>
          </w:tcPr>
          <w:p w:rsidR="009C13A9" w:rsidRPr="00C903F8" w:rsidRDefault="009C13A9" w:rsidP="009C13A9">
            <w:pPr>
              <w:spacing w:before="60" w:after="60" w:line="240" w:lineRule="atLeast"/>
              <w:ind w:left="0" w:firstLine="0"/>
              <w:jc w:val="center"/>
              <w:rPr>
                <w:rFonts w:cs="Arial"/>
                <w:noProof/>
                <w:sz w:val="18"/>
                <w:szCs w:val="18"/>
              </w:rPr>
            </w:pPr>
            <w:r>
              <w:rPr>
                <w:noProof/>
                <w:sz w:val="18"/>
              </w:rPr>
              <w:t>--</w:t>
            </w:r>
          </w:p>
        </w:tc>
        <w:tc>
          <w:tcPr>
            <w:tcW w:w="927" w:type="dxa"/>
            <w:vAlign w:val="center"/>
          </w:tcPr>
          <w:p w:rsidR="009C13A9" w:rsidRPr="00C903F8" w:rsidRDefault="009C13A9" w:rsidP="009C13A9">
            <w:pPr>
              <w:spacing w:before="60" w:after="60" w:line="240" w:lineRule="atLeast"/>
              <w:ind w:left="0" w:firstLine="0"/>
              <w:rPr>
                <w:rFonts w:cs="Arial"/>
                <w:noProof/>
                <w:sz w:val="18"/>
                <w:szCs w:val="18"/>
              </w:rPr>
            </w:pPr>
          </w:p>
        </w:tc>
        <w:tc>
          <w:tcPr>
            <w:tcW w:w="848" w:type="dxa"/>
          </w:tcPr>
          <w:p w:rsidR="009C13A9" w:rsidRPr="00C903F8" w:rsidRDefault="009C13A9" w:rsidP="009C13A9">
            <w:pPr>
              <w:spacing w:before="60" w:after="60" w:line="240" w:lineRule="atLeast"/>
              <w:ind w:left="0" w:firstLine="0"/>
              <w:rPr>
                <w:rFonts w:cs="Arial"/>
                <w:noProof/>
                <w:sz w:val="18"/>
                <w:szCs w:val="18"/>
              </w:rPr>
            </w:pPr>
          </w:p>
        </w:tc>
        <w:tc>
          <w:tcPr>
            <w:tcW w:w="852"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03" w:type="dxa"/>
            <w:vAlign w:val="center"/>
          </w:tcPr>
          <w:p w:rsidR="009C13A9" w:rsidRPr="00C903F8" w:rsidRDefault="009C13A9" w:rsidP="009C13A9">
            <w:pPr>
              <w:spacing w:before="60" w:after="60" w:line="240" w:lineRule="atLeast"/>
              <w:ind w:left="0" w:firstLine="0"/>
              <w:rPr>
                <w:rFonts w:cs="Arial"/>
                <w:noProof/>
                <w:sz w:val="18"/>
                <w:szCs w:val="18"/>
              </w:rPr>
            </w:pPr>
          </w:p>
        </w:tc>
      </w:tr>
      <w:tr w:rsidR="009C13A9" w:rsidRPr="00C903F8" w:rsidTr="00FA5168">
        <w:trPr>
          <w:jc w:val="center"/>
        </w:trPr>
        <w:tc>
          <w:tcPr>
            <w:tcW w:w="1461" w:type="dxa"/>
          </w:tcPr>
          <w:p w:rsidR="009C13A9" w:rsidRPr="00C903F8" w:rsidRDefault="009C13A9" w:rsidP="009C13A9">
            <w:pPr>
              <w:spacing w:before="60" w:after="60" w:line="240" w:lineRule="atLeast"/>
              <w:ind w:left="0" w:firstLine="0"/>
              <w:rPr>
                <w:rFonts w:cs="Arial"/>
                <w:noProof/>
                <w:sz w:val="18"/>
                <w:szCs w:val="18"/>
              </w:rPr>
            </w:pPr>
            <w:r>
              <w:rPr>
                <w:noProof/>
                <w:sz w:val="18"/>
              </w:rPr>
              <w:t>SRF deflusso</w:t>
            </w:r>
          </w:p>
        </w:tc>
        <w:tc>
          <w:tcPr>
            <w:tcW w:w="2325" w:type="dxa"/>
            <w:vAlign w:val="center"/>
          </w:tcPr>
          <w:p w:rsidR="009C13A9" w:rsidRPr="00C903F8" w:rsidRDefault="009C13A9" w:rsidP="00FA5168">
            <w:pPr>
              <w:spacing w:before="60" w:after="60" w:line="240" w:lineRule="atLeast"/>
              <w:ind w:left="0" w:firstLine="0"/>
              <w:jc w:val="left"/>
              <w:rPr>
                <w:rFonts w:cs="Arial"/>
                <w:noProof/>
                <w:sz w:val="18"/>
                <w:szCs w:val="18"/>
              </w:rPr>
            </w:pPr>
            <w:r>
              <w:rPr>
                <w:noProof/>
                <w:sz w:val="18"/>
              </w:rPr>
              <w:t>Campioni compositi su 24 ore</w:t>
            </w:r>
          </w:p>
        </w:tc>
        <w:tc>
          <w:tcPr>
            <w:tcW w:w="1016"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27" w:type="dxa"/>
            <w:vAlign w:val="center"/>
          </w:tcPr>
          <w:p w:rsidR="009C13A9" w:rsidRPr="00C903F8" w:rsidRDefault="009C13A9" w:rsidP="009C13A9">
            <w:pPr>
              <w:spacing w:before="60" w:after="60" w:line="240" w:lineRule="atLeast"/>
              <w:ind w:left="0" w:firstLine="0"/>
              <w:rPr>
                <w:rFonts w:cs="Arial"/>
                <w:noProof/>
                <w:sz w:val="18"/>
                <w:szCs w:val="18"/>
              </w:rPr>
            </w:pPr>
          </w:p>
        </w:tc>
        <w:tc>
          <w:tcPr>
            <w:tcW w:w="848" w:type="dxa"/>
          </w:tcPr>
          <w:p w:rsidR="009C13A9" w:rsidRPr="00C903F8" w:rsidRDefault="009C13A9" w:rsidP="009C13A9">
            <w:pPr>
              <w:spacing w:before="60" w:after="60" w:line="240" w:lineRule="atLeast"/>
              <w:ind w:left="0" w:firstLine="0"/>
              <w:rPr>
                <w:rFonts w:cs="Arial"/>
                <w:noProof/>
                <w:sz w:val="18"/>
                <w:szCs w:val="18"/>
              </w:rPr>
            </w:pPr>
          </w:p>
        </w:tc>
        <w:tc>
          <w:tcPr>
            <w:tcW w:w="852"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03" w:type="dxa"/>
            <w:vAlign w:val="center"/>
          </w:tcPr>
          <w:p w:rsidR="009C13A9" w:rsidRPr="00C903F8" w:rsidRDefault="009C13A9" w:rsidP="009C13A9">
            <w:pPr>
              <w:spacing w:before="60" w:after="60" w:line="240" w:lineRule="atLeast"/>
              <w:ind w:left="0" w:firstLine="0"/>
              <w:rPr>
                <w:rFonts w:cs="Arial"/>
                <w:noProof/>
                <w:sz w:val="18"/>
                <w:szCs w:val="18"/>
              </w:rPr>
            </w:pPr>
          </w:p>
        </w:tc>
      </w:tr>
      <w:tr w:rsidR="009C13A9" w:rsidRPr="00C903F8" w:rsidTr="00FA5168">
        <w:trPr>
          <w:jc w:val="center"/>
        </w:trPr>
        <w:tc>
          <w:tcPr>
            <w:tcW w:w="1461" w:type="dxa"/>
            <w:vAlign w:val="center"/>
          </w:tcPr>
          <w:p w:rsidR="009C13A9" w:rsidRPr="00C903F8" w:rsidRDefault="009C13A9" w:rsidP="009C13A9">
            <w:pPr>
              <w:spacing w:before="60" w:after="60" w:line="240" w:lineRule="atLeast"/>
              <w:ind w:left="0" w:firstLine="0"/>
              <w:rPr>
                <w:rFonts w:cs="Arial"/>
                <w:noProof/>
                <w:sz w:val="18"/>
                <w:szCs w:val="18"/>
              </w:rPr>
            </w:pPr>
            <w:r>
              <w:rPr>
                <w:noProof/>
                <w:sz w:val="18"/>
              </w:rPr>
              <w:t>SRF afflusso</w:t>
            </w:r>
          </w:p>
        </w:tc>
        <w:tc>
          <w:tcPr>
            <w:tcW w:w="2325" w:type="dxa"/>
            <w:vAlign w:val="center"/>
          </w:tcPr>
          <w:p w:rsidR="009C13A9" w:rsidRPr="00C903F8" w:rsidRDefault="009C13A9" w:rsidP="00FA5168">
            <w:pPr>
              <w:spacing w:before="60" w:after="60" w:line="240" w:lineRule="atLeast"/>
              <w:ind w:left="0" w:firstLine="0"/>
              <w:jc w:val="left"/>
              <w:rPr>
                <w:rFonts w:cs="Arial"/>
                <w:noProof/>
                <w:sz w:val="18"/>
                <w:szCs w:val="18"/>
              </w:rPr>
            </w:pPr>
            <w:r>
              <w:rPr>
                <w:noProof/>
                <w:sz w:val="18"/>
              </w:rPr>
              <w:t>Campioni scelti a caso</w:t>
            </w:r>
          </w:p>
        </w:tc>
        <w:tc>
          <w:tcPr>
            <w:tcW w:w="1016" w:type="dxa"/>
            <w:vAlign w:val="center"/>
          </w:tcPr>
          <w:p w:rsidR="009C13A9" w:rsidRPr="00C903F8" w:rsidRDefault="009C13A9" w:rsidP="009C13A9">
            <w:pPr>
              <w:spacing w:before="60" w:after="60" w:line="240" w:lineRule="atLeast"/>
              <w:ind w:left="0" w:firstLine="0"/>
              <w:jc w:val="center"/>
              <w:rPr>
                <w:rFonts w:cs="Arial"/>
                <w:noProof/>
                <w:sz w:val="18"/>
                <w:szCs w:val="18"/>
              </w:rPr>
            </w:pPr>
            <w:r>
              <w:rPr>
                <w:noProof/>
                <w:sz w:val="18"/>
              </w:rPr>
              <w:t>--</w:t>
            </w:r>
          </w:p>
        </w:tc>
        <w:tc>
          <w:tcPr>
            <w:tcW w:w="927" w:type="dxa"/>
            <w:vAlign w:val="center"/>
          </w:tcPr>
          <w:p w:rsidR="009C13A9" w:rsidRPr="00C903F8" w:rsidRDefault="009C13A9" w:rsidP="009C13A9">
            <w:pPr>
              <w:spacing w:before="60" w:after="60" w:line="240" w:lineRule="atLeast"/>
              <w:ind w:left="0" w:firstLine="0"/>
              <w:rPr>
                <w:rFonts w:cs="Arial"/>
                <w:noProof/>
                <w:sz w:val="18"/>
                <w:szCs w:val="18"/>
              </w:rPr>
            </w:pPr>
          </w:p>
        </w:tc>
        <w:tc>
          <w:tcPr>
            <w:tcW w:w="848" w:type="dxa"/>
          </w:tcPr>
          <w:p w:rsidR="009C13A9" w:rsidRPr="00C903F8" w:rsidRDefault="009C13A9" w:rsidP="009C13A9">
            <w:pPr>
              <w:spacing w:before="60" w:after="60" w:line="240" w:lineRule="atLeast"/>
              <w:ind w:left="0" w:firstLine="0"/>
              <w:rPr>
                <w:rFonts w:cs="Arial"/>
                <w:noProof/>
                <w:sz w:val="18"/>
                <w:szCs w:val="18"/>
              </w:rPr>
            </w:pPr>
          </w:p>
        </w:tc>
        <w:tc>
          <w:tcPr>
            <w:tcW w:w="852"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03" w:type="dxa"/>
            <w:vAlign w:val="center"/>
          </w:tcPr>
          <w:p w:rsidR="009C13A9" w:rsidRPr="00C903F8" w:rsidRDefault="009C13A9" w:rsidP="009C13A9">
            <w:pPr>
              <w:spacing w:before="60" w:after="60" w:line="240" w:lineRule="atLeast"/>
              <w:ind w:left="0" w:firstLine="0"/>
              <w:rPr>
                <w:rFonts w:cs="Arial"/>
                <w:noProof/>
                <w:sz w:val="18"/>
                <w:szCs w:val="18"/>
              </w:rPr>
            </w:pPr>
          </w:p>
        </w:tc>
      </w:tr>
      <w:tr w:rsidR="009C13A9" w:rsidRPr="00C903F8" w:rsidTr="00FA5168">
        <w:trPr>
          <w:jc w:val="center"/>
        </w:trPr>
        <w:tc>
          <w:tcPr>
            <w:tcW w:w="1461" w:type="dxa"/>
          </w:tcPr>
          <w:p w:rsidR="009C13A9" w:rsidRPr="00C903F8" w:rsidRDefault="009C13A9" w:rsidP="009C13A9">
            <w:pPr>
              <w:spacing w:before="60" w:after="60" w:line="240" w:lineRule="atLeast"/>
              <w:ind w:left="0" w:firstLine="0"/>
              <w:rPr>
                <w:rFonts w:cs="Arial"/>
                <w:noProof/>
                <w:sz w:val="18"/>
                <w:szCs w:val="18"/>
              </w:rPr>
            </w:pPr>
            <w:r>
              <w:rPr>
                <w:noProof/>
                <w:sz w:val="18"/>
              </w:rPr>
              <w:t>SRF deflusso</w:t>
            </w:r>
          </w:p>
        </w:tc>
        <w:tc>
          <w:tcPr>
            <w:tcW w:w="2325" w:type="dxa"/>
            <w:vAlign w:val="center"/>
          </w:tcPr>
          <w:p w:rsidR="009C13A9" w:rsidRPr="00C903F8" w:rsidRDefault="009C13A9" w:rsidP="00FA5168">
            <w:pPr>
              <w:spacing w:before="60" w:after="60" w:line="240" w:lineRule="atLeast"/>
              <w:ind w:left="0" w:firstLine="0"/>
              <w:jc w:val="left"/>
              <w:rPr>
                <w:rFonts w:cs="Arial"/>
                <w:noProof/>
                <w:sz w:val="18"/>
                <w:szCs w:val="18"/>
              </w:rPr>
            </w:pPr>
            <w:r>
              <w:rPr>
                <w:noProof/>
                <w:sz w:val="18"/>
              </w:rPr>
              <w:t>Campioni scelti a caso</w:t>
            </w:r>
          </w:p>
        </w:tc>
        <w:tc>
          <w:tcPr>
            <w:tcW w:w="1016"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27" w:type="dxa"/>
            <w:vAlign w:val="center"/>
          </w:tcPr>
          <w:p w:rsidR="009C13A9" w:rsidRPr="00C903F8" w:rsidRDefault="009C13A9" w:rsidP="009C13A9">
            <w:pPr>
              <w:spacing w:before="60" w:after="60" w:line="240" w:lineRule="atLeast"/>
              <w:ind w:left="0" w:firstLine="0"/>
              <w:rPr>
                <w:rFonts w:cs="Arial"/>
                <w:noProof/>
                <w:sz w:val="18"/>
                <w:szCs w:val="18"/>
              </w:rPr>
            </w:pPr>
          </w:p>
        </w:tc>
        <w:tc>
          <w:tcPr>
            <w:tcW w:w="848" w:type="dxa"/>
          </w:tcPr>
          <w:p w:rsidR="009C13A9" w:rsidRPr="00C903F8" w:rsidRDefault="009C13A9" w:rsidP="009C13A9">
            <w:pPr>
              <w:spacing w:before="60" w:after="60" w:line="240" w:lineRule="atLeast"/>
              <w:ind w:left="0" w:firstLine="0"/>
              <w:rPr>
                <w:rFonts w:cs="Arial"/>
                <w:noProof/>
                <w:sz w:val="18"/>
                <w:szCs w:val="18"/>
              </w:rPr>
            </w:pPr>
          </w:p>
        </w:tc>
        <w:tc>
          <w:tcPr>
            <w:tcW w:w="852" w:type="dxa"/>
            <w:vAlign w:val="center"/>
          </w:tcPr>
          <w:p w:rsidR="009C13A9" w:rsidRPr="00C903F8" w:rsidRDefault="009C13A9" w:rsidP="009C13A9">
            <w:pPr>
              <w:spacing w:before="60" w:after="60" w:line="240" w:lineRule="atLeast"/>
              <w:ind w:left="0" w:firstLine="0"/>
              <w:rPr>
                <w:rFonts w:cs="Arial"/>
                <w:noProof/>
                <w:sz w:val="18"/>
                <w:szCs w:val="18"/>
              </w:rPr>
            </w:pPr>
          </w:p>
        </w:tc>
        <w:tc>
          <w:tcPr>
            <w:tcW w:w="903" w:type="dxa"/>
            <w:vAlign w:val="center"/>
          </w:tcPr>
          <w:p w:rsidR="009C13A9" w:rsidRPr="00C903F8" w:rsidRDefault="009C13A9" w:rsidP="009C13A9">
            <w:pPr>
              <w:spacing w:before="60" w:after="60" w:line="240" w:lineRule="atLeast"/>
              <w:ind w:left="0" w:firstLine="0"/>
              <w:rPr>
                <w:rFonts w:cs="Arial"/>
                <w:noProof/>
                <w:sz w:val="18"/>
                <w:szCs w:val="18"/>
              </w:rPr>
            </w:pPr>
          </w:p>
        </w:tc>
      </w:tr>
    </w:tbl>
    <w:p w:rsidR="009C13A9" w:rsidRPr="00C903F8" w:rsidRDefault="009C13A9" w:rsidP="009C13A9">
      <w:pPr>
        <w:spacing w:line="240" w:lineRule="atLeast"/>
        <w:rPr>
          <w:rFonts w:cs="Arial"/>
          <w:noProof/>
          <w:color w:val="000000"/>
        </w:rPr>
      </w:pPr>
      <w:r>
        <w:br w:type="page"/>
      </w:r>
    </w:p>
    <w:p w:rsidR="009C13A9" w:rsidRPr="00C903F8" w:rsidRDefault="009C13A9" w:rsidP="00FA5168">
      <w:pPr>
        <w:tabs>
          <w:tab w:val="left" w:pos="709"/>
        </w:tabs>
        <w:suppressAutoHyphens/>
        <w:autoSpaceDE/>
        <w:autoSpaceDN/>
        <w:spacing w:after="120" w:line="240" w:lineRule="atLeast"/>
        <w:ind w:left="1701" w:hanging="992"/>
        <w:rPr>
          <w:rFonts w:cs="Arial"/>
          <w:szCs w:val="20"/>
        </w:rPr>
      </w:pPr>
      <w:r>
        <w:lastRenderedPageBreak/>
        <w:t>Tabella 3b:</w:t>
      </w:r>
      <w:r>
        <w:tab/>
        <w:t xml:space="preserve">specifiche per l'elaborazione statistica dei dati raccolti - valutazione finalizzata a documentare l'efficienza di purificazione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88"/>
        <w:gridCol w:w="2325"/>
        <w:gridCol w:w="936"/>
        <w:gridCol w:w="858"/>
        <w:gridCol w:w="858"/>
      </w:tblGrid>
      <w:tr w:rsidR="009C13A9" w:rsidRPr="00C903F8" w:rsidTr="00EB3292">
        <w:trPr>
          <w:trHeight w:val="760"/>
          <w:jc w:val="center"/>
        </w:trPr>
        <w:tc>
          <w:tcPr>
            <w:tcW w:w="1588" w:type="dxa"/>
            <w:vAlign w:val="center"/>
          </w:tcPr>
          <w:p w:rsidR="009C13A9" w:rsidRPr="00C903F8" w:rsidRDefault="009C13A9" w:rsidP="009C13A9">
            <w:pPr>
              <w:spacing w:before="60" w:after="60" w:line="240" w:lineRule="atLeast"/>
              <w:ind w:left="0" w:firstLine="0"/>
              <w:jc w:val="center"/>
              <w:rPr>
                <w:noProof/>
                <w:sz w:val="18"/>
                <w:szCs w:val="18"/>
              </w:rPr>
            </w:pPr>
            <w:r>
              <w:rPr>
                <w:noProof/>
                <w:sz w:val="18"/>
              </w:rPr>
              <w:t>Parametro</w:t>
            </w:r>
          </w:p>
        </w:tc>
        <w:tc>
          <w:tcPr>
            <w:tcW w:w="2325" w:type="dxa"/>
            <w:vAlign w:val="center"/>
          </w:tcPr>
          <w:p w:rsidR="009C13A9" w:rsidRPr="00C903F8" w:rsidRDefault="009C13A9" w:rsidP="009C13A9">
            <w:pPr>
              <w:spacing w:before="60" w:after="60" w:line="240" w:lineRule="atLeast"/>
              <w:ind w:left="0" w:firstLine="0"/>
              <w:jc w:val="center"/>
              <w:rPr>
                <w:noProof/>
                <w:sz w:val="18"/>
                <w:szCs w:val="18"/>
              </w:rPr>
            </w:pPr>
            <w:r>
              <w:rPr>
                <w:noProof/>
                <w:sz w:val="18"/>
              </w:rPr>
              <w:t>Tipo di campionamento</w:t>
            </w:r>
          </w:p>
        </w:tc>
        <w:tc>
          <w:tcPr>
            <w:tcW w:w="936" w:type="dxa"/>
            <w:vAlign w:val="center"/>
          </w:tcPr>
          <w:p w:rsidR="009C13A9" w:rsidRPr="00C903F8" w:rsidRDefault="009C13A9" w:rsidP="009C13A9">
            <w:pPr>
              <w:spacing w:before="60" w:after="60" w:line="240" w:lineRule="atLeast"/>
              <w:ind w:left="0" w:firstLine="0"/>
              <w:jc w:val="center"/>
              <w:rPr>
                <w:noProof/>
                <w:sz w:val="18"/>
                <w:szCs w:val="18"/>
              </w:rPr>
            </w:pPr>
            <w:r>
              <w:rPr>
                <w:noProof/>
                <w:sz w:val="18"/>
              </w:rPr>
              <w:t>Media</w:t>
            </w:r>
          </w:p>
        </w:tc>
        <w:tc>
          <w:tcPr>
            <w:tcW w:w="858" w:type="dxa"/>
            <w:vAlign w:val="center"/>
          </w:tcPr>
          <w:p w:rsidR="009C13A9" w:rsidRPr="00C903F8" w:rsidRDefault="009C13A9" w:rsidP="009C13A9">
            <w:pPr>
              <w:spacing w:before="60" w:after="60" w:line="240" w:lineRule="atLeast"/>
              <w:ind w:left="0" w:firstLine="0"/>
              <w:jc w:val="center"/>
              <w:rPr>
                <w:noProof/>
                <w:sz w:val="18"/>
                <w:szCs w:val="18"/>
              </w:rPr>
            </w:pPr>
            <w:r>
              <w:rPr>
                <w:noProof/>
                <w:sz w:val="18"/>
              </w:rPr>
              <w:t>Min</w:t>
            </w:r>
          </w:p>
        </w:tc>
        <w:tc>
          <w:tcPr>
            <w:tcW w:w="858" w:type="dxa"/>
            <w:vAlign w:val="center"/>
          </w:tcPr>
          <w:p w:rsidR="009C13A9" w:rsidRPr="00C903F8" w:rsidRDefault="009C13A9" w:rsidP="009C13A9">
            <w:pPr>
              <w:spacing w:before="60" w:after="60" w:line="240" w:lineRule="atLeast"/>
              <w:ind w:left="0" w:firstLine="0"/>
              <w:jc w:val="center"/>
              <w:rPr>
                <w:noProof/>
                <w:sz w:val="18"/>
                <w:szCs w:val="18"/>
              </w:rPr>
            </w:pPr>
            <w:r>
              <w:rPr>
                <w:noProof/>
                <w:sz w:val="18"/>
              </w:rPr>
              <w:t>Max.</w:t>
            </w:r>
          </w:p>
        </w:tc>
      </w:tr>
      <w:tr w:rsidR="009C13A9" w:rsidRPr="00C903F8" w:rsidTr="00EB3292">
        <w:trPr>
          <w:jc w:val="center"/>
        </w:trPr>
        <w:tc>
          <w:tcPr>
            <w:tcW w:w="1588" w:type="dxa"/>
          </w:tcPr>
          <w:p w:rsidR="009C13A9" w:rsidRPr="00C903F8" w:rsidRDefault="009C13A9" w:rsidP="009C13A9">
            <w:pPr>
              <w:spacing w:before="60" w:after="60" w:line="240" w:lineRule="atLeast"/>
              <w:ind w:left="0" w:firstLine="0"/>
              <w:jc w:val="left"/>
              <w:rPr>
                <w:noProof/>
                <w:sz w:val="18"/>
                <w:szCs w:val="18"/>
              </w:rPr>
            </w:pPr>
            <w:r>
              <w:rPr>
                <w:noProof/>
                <w:sz w:val="18"/>
              </w:rPr>
              <w:t xml:space="preserve">efficienza di eliminazione </w:t>
            </w: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w:p>
        </w:tc>
        <w:tc>
          <w:tcPr>
            <w:tcW w:w="2325" w:type="dxa"/>
            <w:vAlign w:val="center"/>
          </w:tcPr>
          <w:p w:rsidR="009C13A9" w:rsidRPr="00C903F8" w:rsidRDefault="009C13A9" w:rsidP="009C13A9">
            <w:pPr>
              <w:spacing w:before="60" w:after="60" w:line="240" w:lineRule="atLeast"/>
              <w:ind w:left="0" w:firstLine="0"/>
              <w:jc w:val="left"/>
              <w:rPr>
                <w:noProof/>
                <w:sz w:val="18"/>
                <w:szCs w:val="18"/>
              </w:rPr>
            </w:pPr>
            <w:r>
              <w:rPr>
                <w:noProof/>
                <w:sz w:val="18"/>
              </w:rPr>
              <w:t>Campioni compositi su 24 ore</w:t>
            </w:r>
          </w:p>
        </w:tc>
        <w:tc>
          <w:tcPr>
            <w:tcW w:w="936" w:type="dxa"/>
          </w:tcPr>
          <w:p w:rsidR="009C13A9" w:rsidRPr="00C903F8" w:rsidRDefault="009C13A9" w:rsidP="009C13A9">
            <w:pPr>
              <w:spacing w:before="60" w:after="60" w:line="240" w:lineRule="atLeast"/>
              <w:ind w:left="0" w:firstLine="0"/>
              <w:rPr>
                <w:noProof/>
                <w:sz w:val="18"/>
                <w:szCs w:val="18"/>
              </w:rPr>
            </w:pPr>
          </w:p>
        </w:tc>
        <w:tc>
          <w:tcPr>
            <w:tcW w:w="858" w:type="dxa"/>
          </w:tcPr>
          <w:p w:rsidR="009C13A9" w:rsidRPr="00C903F8" w:rsidRDefault="009C13A9" w:rsidP="009C13A9">
            <w:pPr>
              <w:spacing w:before="60" w:after="60" w:line="240" w:lineRule="atLeast"/>
              <w:ind w:left="0" w:firstLine="0"/>
              <w:rPr>
                <w:noProof/>
                <w:sz w:val="18"/>
                <w:szCs w:val="18"/>
              </w:rPr>
            </w:pPr>
          </w:p>
        </w:tc>
        <w:tc>
          <w:tcPr>
            <w:tcW w:w="858" w:type="dxa"/>
          </w:tcPr>
          <w:p w:rsidR="009C13A9" w:rsidRPr="00C903F8" w:rsidRDefault="009C13A9" w:rsidP="009C13A9">
            <w:pPr>
              <w:spacing w:before="60" w:after="60" w:line="240" w:lineRule="atLeast"/>
              <w:ind w:left="0" w:firstLine="0"/>
              <w:rPr>
                <w:noProof/>
                <w:sz w:val="18"/>
                <w:szCs w:val="18"/>
              </w:rPr>
            </w:pPr>
          </w:p>
        </w:tc>
      </w:tr>
      <w:tr w:rsidR="009C13A9" w:rsidRPr="00C903F8" w:rsidTr="00EB3292">
        <w:trPr>
          <w:jc w:val="center"/>
        </w:trPr>
        <w:tc>
          <w:tcPr>
            <w:tcW w:w="1588" w:type="dxa"/>
          </w:tcPr>
          <w:p w:rsidR="009C13A9" w:rsidRPr="00C903F8" w:rsidRDefault="009C13A9" w:rsidP="009C13A9">
            <w:pPr>
              <w:spacing w:before="60" w:after="60" w:line="240" w:lineRule="atLeast"/>
              <w:ind w:left="0" w:firstLine="0"/>
              <w:jc w:val="left"/>
              <w:rPr>
                <w:noProof/>
                <w:sz w:val="18"/>
                <w:szCs w:val="18"/>
              </w:rPr>
            </w:pPr>
            <w:r>
              <w:rPr>
                <w:noProof/>
                <w:sz w:val="18"/>
              </w:rPr>
              <w:t xml:space="preserve">efficienza di eliminazione </w:t>
            </w: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w:p>
        </w:tc>
        <w:tc>
          <w:tcPr>
            <w:tcW w:w="2325" w:type="dxa"/>
            <w:vAlign w:val="center"/>
          </w:tcPr>
          <w:p w:rsidR="009C13A9" w:rsidRPr="00C903F8" w:rsidRDefault="009C13A9" w:rsidP="009C13A9">
            <w:pPr>
              <w:spacing w:before="60" w:after="60" w:line="240" w:lineRule="atLeast"/>
              <w:ind w:left="0" w:firstLine="0"/>
              <w:jc w:val="left"/>
              <w:rPr>
                <w:noProof/>
                <w:sz w:val="18"/>
                <w:szCs w:val="18"/>
              </w:rPr>
            </w:pPr>
            <w:r>
              <w:rPr>
                <w:noProof/>
                <w:sz w:val="18"/>
              </w:rPr>
              <w:t>Campioni scelti a caso</w:t>
            </w:r>
          </w:p>
        </w:tc>
        <w:tc>
          <w:tcPr>
            <w:tcW w:w="936" w:type="dxa"/>
          </w:tcPr>
          <w:p w:rsidR="009C13A9" w:rsidRPr="00C903F8" w:rsidRDefault="009C13A9" w:rsidP="009C13A9">
            <w:pPr>
              <w:spacing w:before="60" w:after="60" w:line="240" w:lineRule="atLeast"/>
              <w:ind w:left="0" w:firstLine="0"/>
              <w:rPr>
                <w:noProof/>
                <w:sz w:val="18"/>
                <w:szCs w:val="18"/>
              </w:rPr>
            </w:pPr>
          </w:p>
        </w:tc>
        <w:tc>
          <w:tcPr>
            <w:tcW w:w="858" w:type="dxa"/>
          </w:tcPr>
          <w:p w:rsidR="009C13A9" w:rsidRPr="00C903F8" w:rsidRDefault="009C13A9" w:rsidP="009C13A9">
            <w:pPr>
              <w:spacing w:before="60" w:after="60" w:line="240" w:lineRule="atLeast"/>
              <w:ind w:left="0" w:firstLine="0"/>
              <w:rPr>
                <w:noProof/>
                <w:sz w:val="18"/>
                <w:szCs w:val="18"/>
              </w:rPr>
            </w:pPr>
          </w:p>
        </w:tc>
        <w:tc>
          <w:tcPr>
            <w:tcW w:w="858" w:type="dxa"/>
          </w:tcPr>
          <w:p w:rsidR="009C13A9" w:rsidRPr="00C903F8" w:rsidRDefault="009C13A9" w:rsidP="009C13A9">
            <w:pPr>
              <w:spacing w:before="60" w:after="60" w:line="240" w:lineRule="atLeast"/>
              <w:ind w:left="0" w:firstLine="0"/>
              <w:rPr>
                <w:noProof/>
                <w:sz w:val="18"/>
                <w:szCs w:val="18"/>
              </w:rPr>
            </w:pPr>
          </w:p>
        </w:tc>
      </w:tr>
      <w:tr w:rsidR="009C13A9" w:rsidRPr="00C903F8" w:rsidTr="00EB3292">
        <w:trPr>
          <w:jc w:val="center"/>
        </w:trPr>
        <w:tc>
          <w:tcPr>
            <w:tcW w:w="1588" w:type="dxa"/>
          </w:tcPr>
          <w:p w:rsidR="009C13A9" w:rsidRPr="00C903F8" w:rsidRDefault="009C13A9" w:rsidP="009C13A9">
            <w:pPr>
              <w:spacing w:before="60" w:after="60" w:line="240" w:lineRule="atLeast"/>
              <w:ind w:left="0" w:firstLine="0"/>
              <w:jc w:val="left"/>
              <w:rPr>
                <w:noProof/>
                <w:sz w:val="18"/>
                <w:szCs w:val="18"/>
              </w:rPr>
            </w:pPr>
            <w:r>
              <w:rPr>
                <w:noProof/>
                <w:sz w:val="18"/>
              </w:rPr>
              <w:t>COD efficienza di eliminazione</w:t>
            </w:r>
          </w:p>
        </w:tc>
        <w:tc>
          <w:tcPr>
            <w:tcW w:w="2325" w:type="dxa"/>
          </w:tcPr>
          <w:p w:rsidR="009C13A9" w:rsidRPr="00C903F8" w:rsidRDefault="009C13A9" w:rsidP="009C13A9">
            <w:pPr>
              <w:spacing w:before="60" w:after="60" w:line="240" w:lineRule="atLeast"/>
              <w:ind w:left="0" w:firstLine="0"/>
              <w:jc w:val="left"/>
              <w:rPr>
                <w:noProof/>
                <w:sz w:val="18"/>
                <w:szCs w:val="18"/>
              </w:rPr>
            </w:pPr>
            <w:r>
              <w:rPr>
                <w:noProof/>
                <w:sz w:val="18"/>
              </w:rPr>
              <w:t>Campioni compositi su 24 ore</w:t>
            </w:r>
          </w:p>
        </w:tc>
        <w:tc>
          <w:tcPr>
            <w:tcW w:w="936" w:type="dxa"/>
          </w:tcPr>
          <w:p w:rsidR="009C13A9" w:rsidRPr="00C903F8" w:rsidRDefault="009C13A9" w:rsidP="009C13A9">
            <w:pPr>
              <w:spacing w:before="60" w:after="60" w:line="240" w:lineRule="atLeast"/>
              <w:ind w:left="0" w:firstLine="0"/>
              <w:rPr>
                <w:noProof/>
                <w:sz w:val="18"/>
                <w:szCs w:val="18"/>
              </w:rPr>
            </w:pPr>
          </w:p>
        </w:tc>
        <w:tc>
          <w:tcPr>
            <w:tcW w:w="858" w:type="dxa"/>
          </w:tcPr>
          <w:p w:rsidR="009C13A9" w:rsidRPr="00C903F8" w:rsidRDefault="009C13A9" w:rsidP="009C13A9">
            <w:pPr>
              <w:spacing w:before="60" w:after="60" w:line="240" w:lineRule="atLeast"/>
              <w:ind w:left="0" w:firstLine="0"/>
              <w:rPr>
                <w:noProof/>
                <w:sz w:val="18"/>
                <w:szCs w:val="18"/>
              </w:rPr>
            </w:pPr>
          </w:p>
        </w:tc>
        <w:tc>
          <w:tcPr>
            <w:tcW w:w="858" w:type="dxa"/>
          </w:tcPr>
          <w:p w:rsidR="009C13A9" w:rsidRPr="00C903F8" w:rsidRDefault="009C13A9" w:rsidP="009C13A9">
            <w:pPr>
              <w:spacing w:before="60" w:after="60" w:line="240" w:lineRule="atLeast"/>
              <w:ind w:left="0" w:firstLine="0"/>
              <w:rPr>
                <w:noProof/>
                <w:sz w:val="18"/>
                <w:szCs w:val="18"/>
              </w:rPr>
            </w:pPr>
          </w:p>
        </w:tc>
      </w:tr>
      <w:tr w:rsidR="009C13A9" w:rsidRPr="00C903F8" w:rsidTr="00EB3292">
        <w:trPr>
          <w:jc w:val="center"/>
        </w:trPr>
        <w:tc>
          <w:tcPr>
            <w:tcW w:w="1588" w:type="dxa"/>
          </w:tcPr>
          <w:p w:rsidR="009C13A9" w:rsidRPr="00C903F8" w:rsidRDefault="009C13A9" w:rsidP="009C13A9">
            <w:pPr>
              <w:spacing w:before="60" w:after="60" w:line="240" w:lineRule="atLeast"/>
              <w:ind w:left="0" w:firstLine="0"/>
              <w:jc w:val="left"/>
              <w:rPr>
                <w:noProof/>
                <w:sz w:val="18"/>
                <w:szCs w:val="18"/>
              </w:rPr>
            </w:pPr>
            <w:r>
              <w:rPr>
                <w:noProof/>
                <w:sz w:val="18"/>
              </w:rPr>
              <w:t>COD efficienza di eliminazione</w:t>
            </w:r>
          </w:p>
        </w:tc>
        <w:tc>
          <w:tcPr>
            <w:tcW w:w="2325" w:type="dxa"/>
          </w:tcPr>
          <w:p w:rsidR="009C13A9" w:rsidRPr="00C903F8" w:rsidRDefault="009C13A9" w:rsidP="009C13A9">
            <w:pPr>
              <w:spacing w:before="60" w:after="60" w:line="240" w:lineRule="atLeast"/>
              <w:ind w:left="0" w:firstLine="0"/>
              <w:jc w:val="left"/>
              <w:rPr>
                <w:noProof/>
                <w:sz w:val="18"/>
                <w:szCs w:val="18"/>
              </w:rPr>
            </w:pPr>
            <w:r>
              <w:rPr>
                <w:noProof/>
                <w:sz w:val="18"/>
              </w:rPr>
              <w:t>Campioni scelti a caso</w:t>
            </w:r>
          </w:p>
        </w:tc>
        <w:tc>
          <w:tcPr>
            <w:tcW w:w="936" w:type="dxa"/>
          </w:tcPr>
          <w:p w:rsidR="009C13A9" w:rsidRPr="00C903F8" w:rsidRDefault="009C13A9" w:rsidP="009C13A9">
            <w:pPr>
              <w:spacing w:before="60" w:after="60" w:line="240" w:lineRule="atLeast"/>
              <w:ind w:left="0" w:firstLine="0"/>
              <w:rPr>
                <w:noProof/>
                <w:sz w:val="18"/>
                <w:szCs w:val="18"/>
              </w:rPr>
            </w:pPr>
          </w:p>
        </w:tc>
        <w:tc>
          <w:tcPr>
            <w:tcW w:w="858" w:type="dxa"/>
          </w:tcPr>
          <w:p w:rsidR="009C13A9" w:rsidRPr="00C903F8" w:rsidRDefault="009C13A9" w:rsidP="009C13A9">
            <w:pPr>
              <w:spacing w:before="60" w:after="60" w:line="240" w:lineRule="atLeast"/>
              <w:ind w:left="0" w:firstLine="0"/>
              <w:rPr>
                <w:noProof/>
                <w:sz w:val="18"/>
                <w:szCs w:val="18"/>
              </w:rPr>
            </w:pPr>
          </w:p>
        </w:tc>
        <w:tc>
          <w:tcPr>
            <w:tcW w:w="858" w:type="dxa"/>
          </w:tcPr>
          <w:p w:rsidR="009C13A9" w:rsidRPr="00C903F8" w:rsidRDefault="009C13A9" w:rsidP="009C13A9">
            <w:pPr>
              <w:spacing w:before="60" w:after="60" w:line="240" w:lineRule="atLeast"/>
              <w:ind w:left="0" w:firstLine="0"/>
              <w:rPr>
                <w:noProof/>
                <w:sz w:val="18"/>
                <w:szCs w:val="18"/>
              </w:rPr>
            </w:pPr>
          </w:p>
        </w:tc>
      </w:tr>
      <w:tr w:rsidR="009C13A9" w:rsidRPr="00C903F8" w:rsidTr="00EB3292">
        <w:trPr>
          <w:jc w:val="center"/>
        </w:trPr>
        <w:tc>
          <w:tcPr>
            <w:tcW w:w="1588" w:type="dxa"/>
          </w:tcPr>
          <w:p w:rsidR="009C13A9" w:rsidRPr="00C903F8" w:rsidRDefault="009C13A9" w:rsidP="009C13A9">
            <w:pPr>
              <w:spacing w:before="60" w:after="60" w:line="240" w:lineRule="atLeast"/>
              <w:ind w:left="0" w:firstLine="0"/>
              <w:jc w:val="left"/>
              <w:rPr>
                <w:noProof/>
                <w:sz w:val="18"/>
                <w:szCs w:val="18"/>
              </w:rPr>
            </w:pPr>
            <w:r>
              <w:rPr>
                <w:noProof/>
                <w:sz w:val="18"/>
              </w:rPr>
              <w:t>TOC efficienza di eliminazione</w:t>
            </w:r>
          </w:p>
        </w:tc>
        <w:tc>
          <w:tcPr>
            <w:tcW w:w="2325" w:type="dxa"/>
          </w:tcPr>
          <w:p w:rsidR="009C13A9" w:rsidRPr="00C903F8" w:rsidRDefault="009C13A9" w:rsidP="009C13A9">
            <w:pPr>
              <w:spacing w:before="60" w:after="60" w:line="240" w:lineRule="atLeast"/>
              <w:ind w:left="0" w:firstLine="0"/>
              <w:jc w:val="left"/>
              <w:rPr>
                <w:noProof/>
                <w:sz w:val="18"/>
                <w:szCs w:val="18"/>
              </w:rPr>
            </w:pPr>
            <w:r>
              <w:rPr>
                <w:noProof/>
                <w:sz w:val="18"/>
              </w:rPr>
              <w:t>Campioni compositi su 24 ore</w:t>
            </w:r>
          </w:p>
        </w:tc>
        <w:tc>
          <w:tcPr>
            <w:tcW w:w="936" w:type="dxa"/>
          </w:tcPr>
          <w:p w:rsidR="009C13A9" w:rsidRPr="00C903F8" w:rsidRDefault="009C13A9" w:rsidP="009C13A9">
            <w:pPr>
              <w:spacing w:before="60" w:after="60" w:line="240" w:lineRule="atLeast"/>
              <w:ind w:left="0" w:firstLine="0"/>
              <w:rPr>
                <w:noProof/>
                <w:sz w:val="18"/>
                <w:szCs w:val="18"/>
              </w:rPr>
            </w:pPr>
          </w:p>
        </w:tc>
        <w:tc>
          <w:tcPr>
            <w:tcW w:w="858" w:type="dxa"/>
          </w:tcPr>
          <w:p w:rsidR="009C13A9" w:rsidRPr="00C903F8" w:rsidRDefault="009C13A9" w:rsidP="009C13A9">
            <w:pPr>
              <w:spacing w:before="60" w:after="60" w:line="240" w:lineRule="atLeast"/>
              <w:ind w:left="0" w:firstLine="0"/>
              <w:rPr>
                <w:noProof/>
                <w:sz w:val="18"/>
                <w:szCs w:val="18"/>
              </w:rPr>
            </w:pPr>
          </w:p>
        </w:tc>
        <w:tc>
          <w:tcPr>
            <w:tcW w:w="858" w:type="dxa"/>
          </w:tcPr>
          <w:p w:rsidR="009C13A9" w:rsidRPr="00C903F8" w:rsidRDefault="009C13A9" w:rsidP="009C13A9">
            <w:pPr>
              <w:spacing w:before="60" w:after="60" w:line="240" w:lineRule="atLeast"/>
              <w:ind w:left="0" w:firstLine="0"/>
              <w:rPr>
                <w:noProof/>
                <w:sz w:val="18"/>
                <w:szCs w:val="18"/>
              </w:rPr>
            </w:pPr>
          </w:p>
        </w:tc>
      </w:tr>
      <w:tr w:rsidR="009C13A9" w:rsidRPr="00C903F8" w:rsidTr="00EB3292">
        <w:trPr>
          <w:jc w:val="center"/>
        </w:trPr>
        <w:tc>
          <w:tcPr>
            <w:tcW w:w="1588" w:type="dxa"/>
          </w:tcPr>
          <w:p w:rsidR="009C13A9" w:rsidRPr="00C903F8" w:rsidRDefault="009C13A9" w:rsidP="009C13A9">
            <w:pPr>
              <w:spacing w:before="60" w:after="60" w:line="240" w:lineRule="atLeast"/>
              <w:ind w:left="0" w:firstLine="0"/>
              <w:jc w:val="left"/>
              <w:rPr>
                <w:noProof/>
                <w:sz w:val="18"/>
                <w:szCs w:val="18"/>
              </w:rPr>
            </w:pPr>
            <w:r>
              <w:rPr>
                <w:noProof/>
                <w:sz w:val="18"/>
              </w:rPr>
              <w:t>TOC efficienza di eliminazione</w:t>
            </w:r>
          </w:p>
        </w:tc>
        <w:tc>
          <w:tcPr>
            <w:tcW w:w="2325" w:type="dxa"/>
          </w:tcPr>
          <w:p w:rsidR="009C13A9" w:rsidRPr="00C903F8" w:rsidRDefault="009C13A9" w:rsidP="009C13A9">
            <w:pPr>
              <w:spacing w:before="60" w:after="60" w:line="240" w:lineRule="atLeast"/>
              <w:ind w:left="0" w:firstLine="0"/>
              <w:jc w:val="left"/>
              <w:rPr>
                <w:noProof/>
                <w:sz w:val="18"/>
                <w:szCs w:val="18"/>
              </w:rPr>
            </w:pPr>
            <w:r>
              <w:rPr>
                <w:noProof/>
                <w:sz w:val="18"/>
              </w:rPr>
              <w:t>Campioni scelti a caso</w:t>
            </w:r>
          </w:p>
        </w:tc>
        <w:tc>
          <w:tcPr>
            <w:tcW w:w="936" w:type="dxa"/>
          </w:tcPr>
          <w:p w:rsidR="009C13A9" w:rsidRPr="00C903F8" w:rsidRDefault="009C13A9" w:rsidP="009C13A9">
            <w:pPr>
              <w:spacing w:before="60" w:after="60" w:line="240" w:lineRule="atLeast"/>
              <w:ind w:left="0" w:firstLine="0"/>
              <w:rPr>
                <w:noProof/>
                <w:sz w:val="18"/>
                <w:szCs w:val="18"/>
              </w:rPr>
            </w:pPr>
          </w:p>
        </w:tc>
        <w:tc>
          <w:tcPr>
            <w:tcW w:w="858" w:type="dxa"/>
          </w:tcPr>
          <w:p w:rsidR="009C13A9" w:rsidRPr="00C903F8" w:rsidRDefault="009C13A9" w:rsidP="009C13A9">
            <w:pPr>
              <w:spacing w:before="60" w:after="60" w:line="240" w:lineRule="atLeast"/>
              <w:ind w:left="0" w:firstLine="0"/>
              <w:rPr>
                <w:noProof/>
                <w:sz w:val="18"/>
                <w:szCs w:val="18"/>
              </w:rPr>
            </w:pPr>
          </w:p>
        </w:tc>
        <w:tc>
          <w:tcPr>
            <w:tcW w:w="858" w:type="dxa"/>
          </w:tcPr>
          <w:p w:rsidR="009C13A9" w:rsidRPr="00C903F8" w:rsidRDefault="009C13A9" w:rsidP="009C13A9">
            <w:pPr>
              <w:spacing w:before="60" w:after="60" w:line="240" w:lineRule="atLeast"/>
              <w:ind w:left="0" w:firstLine="0"/>
              <w:rPr>
                <w:noProof/>
                <w:sz w:val="18"/>
                <w:szCs w:val="18"/>
              </w:rPr>
            </w:pPr>
          </w:p>
        </w:tc>
      </w:tr>
      <w:tr w:rsidR="009C13A9" w:rsidRPr="00C903F8" w:rsidTr="00EB3292">
        <w:trPr>
          <w:jc w:val="center"/>
        </w:trPr>
        <w:tc>
          <w:tcPr>
            <w:tcW w:w="1588" w:type="dxa"/>
          </w:tcPr>
          <w:p w:rsidR="009C13A9" w:rsidRPr="00C903F8" w:rsidRDefault="009C13A9" w:rsidP="009C13A9">
            <w:pPr>
              <w:spacing w:before="60" w:after="60" w:line="240" w:lineRule="atLeast"/>
              <w:ind w:left="0" w:firstLine="0"/>
              <w:jc w:val="left"/>
              <w:rPr>
                <w:noProof/>
                <w:sz w:val="18"/>
                <w:szCs w:val="18"/>
              </w:rPr>
            </w:pPr>
            <w:r>
              <w:rPr>
                <w:noProof/>
                <w:sz w:val="18"/>
              </w:rPr>
              <w:t>SRF efficienza di eliminazione</w:t>
            </w:r>
          </w:p>
        </w:tc>
        <w:tc>
          <w:tcPr>
            <w:tcW w:w="2325" w:type="dxa"/>
          </w:tcPr>
          <w:p w:rsidR="009C13A9" w:rsidRPr="00C903F8" w:rsidRDefault="009C13A9" w:rsidP="009C13A9">
            <w:pPr>
              <w:spacing w:before="60" w:after="60" w:line="240" w:lineRule="atLeast"/>
              <w:ind w:left="0" w:firstLine="0"/>
              <w:jc w:val="left"/>
              <w:rPr>
                <w:noProof/>
                <w:sz w:val="18"/>
                <w:szCs w:val="18"/>
              </w:rPr>
            </w:pPr>
            <w:r>
              <w:rPr>
                <w:noProof/>
                <w:sz w:val="18"/>
              </w:rPr>
              <w:t>Campioni compositi su 24 ore</w:t>
            </w:r>
          </w:p>
        </w:tc>
        <w:tc>
          <w:tcPr>
            <w:tcW w:w="936" w:type="dxa"/>
          </w:tcPr>
          <w:p w:rsidR="009C13A9" w:rsidRPr="00C903F8" w:rsidRDefault="009C13A9" w:rsidP="009C13A9">
            <w:pPr>
              <w:spacing w:before="60" w:after="60" w:line="240" w:lineRule="atLeast"/>
              <w:ind w:left="0" w:firstLine="0"/>
              <w:rPr>
                <w:noProof/>
                <w:sz w:val="18"/>
                <w:szCs w:val="18"/>
              </w:rPr>
            </w:pPr>
          </w:p>
        </w:tc>
        <w:tc>
          <w:tcPr>
            <w:tcW w:w="858" w:type="dxa"/>
          </w:tcPr>
          <w:p w:rsidR="009C13A9" w:rsidRPr="00C903F8" w:rsidRDefault="009C13A9" w:rsidP="009C13A9">
            <w:pPr>
              <w:spacing w:before="60" w:after="60" w:line="240" w:lineRule="atLeast"/>
              <w:ind w:left="0" w:firstLine="0"/>
              <w:rPr>
                <w:noProof/>
                <w:sz w:val="18"/>
                <w:szCs w:val="18"/>
              </w:rPr>
            </w:pPr>
          </w:p>
        </w:tc>
        <w:tc>
          <w:tcPr>
            <w:tcW w:w="858" w:type="dxa"/>
          </w:tcPr>
          <w:p w:rsidR="009C13A9" w:rsidRPr="00C903F8" w:rsidRDefault="009C13A9" w:rsidP="009C13A9">
            <w:pPr>
              <w:spacing w:before="60" w:after="60" w:line="240" w:lineRule="atLeast"/>
              <w:ind w:left="0" w:firstLine="0"/>
              <w:rPr>
                <w:noProof/>
                <w:sz w:val="18"/>
                <w:szCs w:val="18"/>
              </w:rPr>
            </w:pPr>
          </w:p>
        </w:tc>
      </w:tr>
      <w:tr w:rsidR="009C13A9" w:rsidRPr="00C903F8" w:rsidTr="00EB3292">
        <w:trPr>
          <w:jc w:val="center"/>
        </w:trPr>
        <w:tc>
          <w:tcPr>
            <w:tcW w:w="1588" w:type="dxa"/>
          </w:tcPr>
          <w:p w:rsidR="009C13A9" w:rsidRPr="00C903F8" w:rsidRDefault="009C13A9" w:rsidP="009C13A9">
            <w:pPr>
              <w:spacing w:before="60" w:after="60" w:line="240" w:lineRule="atLeast"/>
              <w:ind w:left="0" w:firstLine="0"/>
              <w:jc w:val="left"/>
              <w:rPr>
                <w:noProof/>
                <w:sz w:val="18"/>
                <w:szCs w:val="18"/>
              </w:rPr>
            </w:pPr>
            <w:r>
              <w:rPr>
                <w:noProof/>
                <w:sz w:val="18"/>
              </w:rPr>
              <w:t>SRF efficienza di eliminazione</w:t>
            </w:r>
          </w:p>
        </w:tc>
        <w:tc>
          <w:tcPr>
            <w:tcW w:w="2325" w:type="dxa"/>
          </w:tcPr>
          <w:p w:rsidR="009C13A9" w:rsidRPr="00C903F8" w:rsidRDefault="009C13A9" w:rsidP="009C13A9">
            <w:pPr>
              <w:spacing w:before="60" w:after="60" w:line="240" w:lineRule="atLeast"/>
              <w:ind w:left="0" w:firstLine="0"/>
              <w:jc w:val="left"/>
              <w:rPr>
                <w:noProof/>
                <w:sz w:val="18"/>
                <w:szCs w:val="18"/>
              </w:rPr>
            </w:pPr>
            <w:r>
              <w:rPr>
                <w:noProof/>
                <w:sz w:val="18"/>
              </w:rPr>
              <w:t>Campioni scelti a caso</w:t>
            </w:r>
          </w:p>
        </w:tc>
        <w:tc>
          <w:tcPr>
            <w:tcW w:w="936" w:type="dxa"/>
          </w:tcPr>
          <w:p w:rsidR="009C13A9" w:rsidRPr="00C903F8" w:rsidRDefault="009C13A9" w:rsidP="009C13A9">
            <w:pPr>
              <w:spacing w:before="60" w:after="60" w:line="240" w:lineRule="atLeast"/>
              <w:ind w:left="0" w:firstLine="0"/>
              <w:rPr>
                <w:noProof/>
                <w:sz w:val="18"/>
                <w:szCs w:val="18"/>
              </w:rPr>
            </w:pPr>
          </w:p>
        </w:tc>
        <w:tc>
          <w:tcPr>
            <w:tcW w:w="858" w:type="dxa"/>
          </w:tcPr>
          <w:p w:rsidR="009C13A9" w:rsidRPr="00C903F8" w:rsidRDefault="009C13A9" w:rsidP="009C13A9">
            <w:pPr>
              <w:spacing w:before="60" w:after="60" w:line="240" w:lineRule="atLeast"/>
              <w:ind w:left="0" w:firstLine="0"/>
              <w:rPr>
                <w:noProof/>
                <w:sz w:val="18"/>
                <w:szCs w:val="18"/>
              </w:rPr>
            </w:pPr>
          </w:p>
        </w:tc>
        <w:tc>
          <w:tcPr>
            <w:tcW w:w="858" w:type="dxa"/>
          </w:tcPr>
          <w:p w:rsidR="009C13A9" w:rsidRPr="00C903F8" w:rsidRDefault="009C13A9" w:rsidP="009C13A9">
            <w:pPr>
              <w:spacing w:before="60" w:after="60" w:line="240" w:lineRule="atLeast"/>
              <w:ind w:left="0" w:firstLine="0"/>
              <w:rPr>
                <w:noProof/>
                <w:sz w:val="18"/>
                <w:szCs w:val="18"/>
              </w:rPr>
            </w:pPr>
          </w:p>
        </w:tc>
      </w:tr>
    </w:tbl>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t xml:space="preserve">I rimanenti parametri, in conformità del punto 3.3, lettere da b) a d), e i parametri operativi in conformità del punto 3.3 sono sintetizzati in una tabella che specifica il risultato minimo del campione (Min), il risultato massimo del campione (Max) e la media aritmetica (Media). </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rPr>
          <w:rFonts w:cs="Arial"/>
          <w:noProof/>
          <w:color w:val="000000"/>
        </w:rPr>
      </w:pPr>
      <w:r>
        <w:rPr>
          <w:noProof/>
          <w:color w:val="000000"/>
        </w:rPr>
        <w:t>3.5</w:t>
      </w:r>
      <w:r>
        <w:tab/>
      </w:r>
      <w:r>
        <w:rPr>
          <w:noProof/>
          <w:color w:val="000000"/>
        </w:rPr>
        <w:t xml:space="preserve">Conformità con i requisiti del capo 18 </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ind w:left="426" w:firstLine="0"/>
        <w:rPr>
          <w:noProof/>
        </w:rPr>
      </w:pPr>
      <w:r>
        <w:t xml:space="preserve">Si ritiene che i valori limite di cui alle tabelle 1 e 2 dell'articolo 18.01, paragrafo 2, sono rispettati se, per ciascun valore dei parametri COD,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t xml:space="preserve"> e TOC:</w:t>
      </w:r>
    </w:p>
    <w:p w:rsidR="009C13A9" w:rsidRPr="00C903F8" w:rsidRDefault="005C7859" w:rsidP="009C13A9">
      <w:pPr>
        <w:spacing w:before="60" w:line="240" w:lineRule="atLeast"/>
        <w:ind w:left="851"/>
        <w:rPr>
          <w:rFonts w:cs="Arial"/>
          <w:noProof/>
          <w:szCs w:val="22"/>
        </w:rPr>
      </w:pPr>
      <w:r>
        <w:t>a)</w:t>
      </w:r>
      <w:r>
        <w:tab/>
        <w:t xml:space="preserve">i valori medi del totale di 14 campioni di deflusso; e </w:t>
      </w:r>
    </w:p>
    <w:p w:rsidR="009C13A9" w:rsidRPr="00C903F8" w:rsidRDefault="005C7859" w:rsidP="009C13A9">
      <w:pPr>
        <w:spacing w:before="60" w:line="240" w:lineRule="atLeast"/>
        <w:ind w:left="851"/>
        <w:rPr>
          <w:rFonts w:cs="Arial"/>
          <w:noProof/>
          <w:szCs w:val="22"/>
        </w:rPr>
      </w:pPr>
      <w:r>
        <w:t>b)</w:t>
      </w:r>
      <w:r>
        <w:tab/>
        <w:t>almeno 10 dei 14 campioni di deflusso non superano i valori limite specificati per i campioni compositi su 24 ore e i campioni scelti a caso.</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rPr>
          <w:rFonts w:cs="Arial"/>
          <w:noProof/>
          <w:color w:val="000000"/>
        </w:rPr>
      </w:pPr>
      <w:r>
        <w:rPr>
          <w:noProof/>
          <w:color w:val="000000"/>
        </w:rPr>
        <w:t>3.6</w:t>
      </w:r>
      <w:r>
        <w:tab/>
      </w:r>
      <w:r>
        <w:rPr>
          <w:noProof/>
          <w:color w:val="000000"/>
        </w:rPr>
        <w:t xml:space="preserve">Funzionamento e manutenzione nel corso delle prove </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t xml:space="preserve">Durante tutte le prove l’impianto di prova è utilizzato conformemente alle specifiche del fabbricante. I controlli e la manutenzione ordinari sono effettuati in conformità alle istruzioni di funzionamento e manutenzione del fabbricante. I fanghi di depurazione in eccesso generati nel processo di purificazione biologica possono essere rimossi dall’impianto di depurazione di bordo soltanto se ciò è specificato dalle istruzioni di funzionamento e manutenzione del fabbricante. Tutti gli interventi di manutenzione effettuati sono registrati dal servizio tecnico e documentati nel verbale di prova. Durante le prove solo le persone autorizzate possono avere accesso all’impianto di prova. </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br w:type="page"/>
      </w:r>
    </w:p>
    <w:p w:rsidR="009C13A9" w:rsidRPr="00C903F8" w:rsidRDefault="009C13A9" w:rsidP="009C13A9">
      <w:pPr>
        <w:spacing w:line="240" w:lineRule="atLeast"/>
        <w:rPr>
          <w:rFonts w:cs="Arial"/>
          <w:noProof/>
          <w:color w:val="000000"/>
        </w:rPr>
      </w:pPr>
      <w:r>
        <w:rPr>
          <w:noProof/>
          <w:color w:val="000000"/>
        </w:rPr>
        <w:lastRenderedPageBreak/>
        <w:t>3.7</w:t>
      </w:r>
      <w:r>
        <w:tab/>
      </w:r>
      <w:r>
        <w:rPr>
          <w:noProof/>
          <w:color w:val="000000"/>
        </w:rPr>
        <w:t>Analisi dei campioni / metodo di analisi</w:t>
      </w:r>
    </w:p>
    <w:p w:rsidR="009C13A9" w:rsidRPr="00C903F8" w:rsidRDefault="009C13A9" w:rsidP="009C13A9">
      <w:pPr>
        <w:spacing w:line="240" w:lineRule="atLeast"/>
        <w:ind w:left="426" w:firstLine="0"/>
        <w:rPr>
          <w:noProof/>
        </w:rPr>
      </w:pPr>
    </w:p>
    <w:p w:rsidR="009C13A9" w:rsidRPr="00C903F8" w:rsidRDefault="009C13A9" w:rsidP="009C13A9">
      <w:pPr>
        <w:spacing w:line="240" w:lineRule="atLeast"/>
        <w:ind w:left="426" w:firstLine="0"/>
        <w:rPr>
          <w:noProof/>
        </w:rPr>
      </w:pPr>
      <w:r>
        <w:t>I parametri oggetto di studio sono analizzati mediante procedure standard approvate. La procedura standard utilizzata deve essere specificata.</w:t>
      </w:r>
    </w:p>
    <w:p w:rsidR="009C13A9" w:rsidRPr="00C903F8" w:rsidRDefault="009C13A9" w:rsidP="009C13A9">
      <w:pPr>
        <w:spacing w:line="240" w:lineRule="atLeast"/>
        <w:ind w:left="426" w:firstLine="0"/>
        <w:rPr>
          <w:noProof/>
        </w:rPr>
      </w:pPr>
    </w:p>
    <w:p w:rsidR="009C13A9" w:rsidRPr="001E2A58" w:rsidRDefault="009C13A9" w:rsidP="009C13A9">
      <w:pPr>
        <w:spacing w:line="240" w:lineRule="atLeast"/>
        <w:rPr>
          <w:rFonts w:cs="Arial"/>
          <w:b/>
          <w:noProof/>
          <w:color w:val="000000"/>
        </w:rPr>
      </w:pPr>
      <w:r>
        <w:rPr>
          <w:b/>
          <w:noProof/>
          <w:color w:val="000000"/>
        </w:rPr>
        <w:t>4</w:t>
      </w:r>
      <w:r>
        <w:tab/>
      </w:r>
      <w:r>
        <w:rPr>
          <w:b/>
          <w:noProof/>
          <w:color w:val="000000"/>
        </w:rPr>
        <w:t>Verbale di prova.</w:t>
      </w:r>
    </w:p>
    <w:p w:rsidR="009C13A9" w:rsidRPr="00C903F8" w:rsidRDefault="009C13A9" w:rsidP="009C13A9">
      <w:pPr>
        <w:spacing w:line="240" w:lineRule="atLeast"/>
        <w:rPr>
          <w:rFonts w:cs="Arial"/>
          <w:noProof/>
          <w:color w:val="000000"/>
        </w:rPr>
      </w:pPr>
    </w:p>
    <w:p w:rsidR="009C13A9" w:rsidRPr="00C903F8" w:rsidRDefault="009C13A9" w:rsidP="009C13A9">
      <w:pPr>
        <w:spacing w:line="240" w:lineRule="atLeast"/>
        <w:rPr>
          <w:rFonts w:cs="Arial"/>
          <w:noProof/>
          <w:color w:val="000000"/>
        </w:rPr>
      </w:pPr>
      <w:r>
        <w:rPr>
          <w:noProof/>
          <w:color w:val="000000"/>
        </w:rPr>
        <w:t>4.1</w:t>
      </w:r>
      <w:r>
        <w:tab/>
      </w:r>
      <w:r>
        <w:rPr>
          <w:noProof/>
          <w:color w:val="000000"/>
        </w:rPr>
        <w:t>Il servizio tecnico è tenuto a compilare una relazione in merito alla prova del tipo effettuata. Tale relazione deve contenere quantomeno le seguenti informazioni:</w:t>
      </w:r>
    </w:p>
    <w:p w:rsidR="009C13A9" w:rsidRPr="00C903F8" w:rsidRDefault="005C7859" w:rsidP="009C13A9">
      <w:pPr>
        <w:spacing w:before="60" w:line="240" w:lineRule="atLeast"/>
        <w:ind w:left="851"/>
        <w:rPr>
          <w:rFonts w:cs="Arial"/>
          <w:noProof/>
          <w:szCs w:val="22"/>
        </w:rPr>
      </w:pPr>
      <w:r>
        <w:t>a)</w:t>
      </w:r>
      <w:r>
        <w:tab/>
        <w:t>informazioni sull’impianto sottoposto a prova, quali tipo, carico nominale giornaliero di inquinante e principi dimensionali applicati dal fabbricante;</w:t>
      </w:r>
    </w:p>
    <w:p w:rsidR="009C13A9" w:rsidRPr="00C903F8" w:rsidRDefault="005C7859" w:rsidP="009C13A9">
      <w:pPr>
        <w:spacing w:before="60" w:line="240" w:lineRule="atLeast"/>
        <w:ind w:left="851"/>
        <w:rPr>
          <w:rFonts w:cs="Arial"/>
          <w:noProof/>
          <w:szCs w:val="22"/>
        </w:rPr>
      </w:pPr>
      <w:r>
        <w:t>b)</w:t>
      </w:r>
      <w:r>
        <w:tab/>
        <w:t>informazioni sulla conformità dell’impianto di depurazione di bordo sottoposto a prova unitamente alla documentazione fornita prima della prova;</w:t>
      </w:r>
    </w:p>
    <w:p w:rsidR="009C13A9" w:rsidRPr="00C903F8" w:rsidRDefault="005C7859" w:rsidP="009C13A9">
      <w:pPr>
        <w:spacing w:before="60" w:line="240" w:lineRule="atLeast"/>
        <w:ind w:left="851"/>
        <w:rPr>
          <w:rFonts w:cs="Arial"/>
          <w:noProof/>
          <w:szCs w:val="22"/>
        </w:rPr>
      </w:pPr>
      <w:r>
        <w:t>c)</w:t>
      </w:r>
      <w:r>
        <w:tab/>
        <w:t>informazioni sui singoli risultati delle misurazioni, sulla valutazione dell’efficienza di purificazione dell’impianto e sulla conformità con i valori limite di deflusso prescritti;</w:t>
      </w:r>
    </w:p>
    <w:p w:rsidR="009C13A9" w:rsidRPr="00C903F8" w:rsidRDefault="0029453D" w:rsidP="009C13A9">
      <w:pPr>
        <w:spacing w:before="60" w:line="240" w:lineRule="atLeast"/>
        <w:ind w:left="851"/>
        <w:rPr>
          <w:rFonts w:cs="Arial"/>
          <w:noProof/>
          <w:szCs w:val="22"/>
        </w:rPr>
      </w:pPr>
      <w:r>
        <w:t>d)</w:t>
      </w:r>
      <w:r>
        <w:tab/>
        <w:t>informazioni sulla rimozione dei fanghi di depurazione in eccesso, quali l’entità dei volumi rimossi e la frequenza della loro rimozione;</w:t>
      </w:r>
    </w:p>
    <w:p w:rsidR="009C13A9" w:rsidRPr="00C903F8" w:rsidRDefault="0029453D" w:rsidP="009C13A9">
      <w:pPr>
        <w:spacing w:before="60" w:line="240" w:lineRule="atLeast"/>
        <w:ind w:left="851"/>
        <w:rPr>
          <w:rFonts w:cs="Arial"/>
          <w:noProof/>
          <w:szCs w:val="22"/>
        </w:rPr>
      </w:pPr>
      <w:r>
        <w:t>e)</w:t>
      </w:r>
      <w:r>
        <w:tab/>
        <w:t>informazioni su tutti gli interventi di funzionamento, manutenzione e riparazione effettuati durante le prove;</w:t>
      </w:r>
    </w:p>
    <w:p w:rsidR="009C13A9" w:rsidRPr="00C903F8" w:rsidRDefault="0029453D" w:rsidP="009C13A9">
      <w:pPr>
        <w:spacing w:before="60" w:line="240" w:lineRule="atLeast"/>
        <w:ind w:left="851"/>
        <w:rPr>
          <w:rFonts w:cs="Arial"/>
          <w:noProof/>
          <w:szCs w:val="22"/>
        </w:rPr>
      </w:pPr>
      <w:r>
        <w:t>f)</w:t>
      </w:r>
      <w:r>
        <w:tab/>
        <w:t>informazioni su eventuali cali di qualità dell’impianto di depurazione di bordo intervenuti durante le prove nonché su eventuali interruzioni delle stesse;</w:t>
      </w:r>
    </w:p>
    <w:p w:rsidR="009C13A9" w:rsidRPr="00C903F8" w:rsidRDefault="0029453D" w:rsidP="009C13A9">
      <w:pPr>
        <w:spacing w:before="60" w:line="240" w:lineRule="atLeast"/>
        <w:ind w:left="851"/>
        <w:rPr>
          <w:rFonts w:cs="Arial"/>
          <w:noProof/>
          <w:szCs w:val="22"/>
        </w:rPr>
      </w:pPr>
      <w:r>
        <w:t>g)</w:t>
      </w:r>
      <w:r>
        <w:tab/>
        <w:t>informazioni su eventuali problemi intervenuti nel corso delle prove;</w:t>
      </w:r>
    </w:p>
    <w:p w:rsidR="009C13A9" w:rsidRPr="00C903F8" w:rsidRDefault="0029453D" w:rsidP="009C13A9">
      <w:pPr>
        <w:spacing w:before="60" w:line="240" w:lineRule="atLeast"/>
        <w:ind w:left="851"/>
        <w:rPr>
          <w:rFonts w:cs="Arial"/>
          <w:noProof/>
          <w:szCs w:val="22"/>
        </w:rPr>
      </w:pPr>
      <w:r>
        <w:t>h)</w:t>
      </w:r>
      <w:r>
        <w:tab/>
        <w:t>un elenco, comprensivo di nomi e funzioni, delle persone responsabili che hanno partecipato alle prove del tipo di impianto di depurazione di bordo;</w:t>
      </w:r>
    </w:p>
    <w:p w:rsidR="009C13A9" w:rsidRPr="00C903F8" w:rsidRDefault="0029453D" w:rsidP="009C13A9">
      <w:pPr>
        <w:spacing w:before="60" w:line="240" w:lineRule="atLeast"/>
        <w:ind w:left="851"/>
        <w:rPr>
          <w:rFonts w:cs="Arial"/>
          <w:noProof/>
          <w:szCs w:val="22"/>
        </w:rPr>
      </w:pPr>
      <w:r>
        <w:t>i)</w:t>
      </w:r>
      <w:r>
        <w:tab/>
        <w:t>nome e indirizzo del laboratorio che ha effettuato le analisi sui campioni di acque reflue;</w:t>
      </w:r>
    </w:p>
    <w:p w:rsidR="009C13A9" w:rsidRPr="00C903F8" w:rsidRDefault="0029453D" w:rsidP="009C13A9">
      <w:pPr>
        <w:spacing w:before="60" w:line="240" w:lineRule="atLeast"/>
        <w:ind w:left="851"/>
        <w:rPr>
          <w:rFonts w:cs="Arial"/>
          <w:noProof/>
          <w:szCs w:val="22"/>
        </w:rPr>
      </w:pPr>
      <w:r>
        <w:t>j)</w:t>
      </w:r>
      <w:r>
        <w:tab/>
        <w:t>metodi di analisi applicati.</w:t>
      </w:r>
    </w:p>
    <w:p w:rsidR="009C13A9" w:rsidRPr="00C903F8" w:rsidRDefault="009C13A9" w:rsidP="009C13A9">
      <w:pPr>
        <w:spacing w:before="60" w:line="240" w:lineRule="atLeast"/>
        <w:ind w:left="851"/>
        <w:rPr>
          <w:rFonts w:cs="Arial"/>
          <w:noProof/>
          <w:szCs w:val="20"/>
        </w:rPr>
      </w:pPr>
    </w:p>
    <w:p w:rsidR="009C13A9" w:rsidRPr="00C903F8" w:rsidRDefault="009C13A9" w:rsidP="009C13A9">
      <w:pPr>
        <w:tabs>
          <w:tab w:val="left" w:pos="1021"/>
          <w:tab w:val="center" w:pos="8080"/>
        </w:tabs>
        <w:suppressAutoHyphens/>
        <w:autoSpaceDE/>
        <w:autoSpaceDN/>
        <w:spacing w:line="240" w:lineRule="atLeast"/>
        <w:ind w:left="0" w:firstLine="0"/>
        <w:rPr>
          <w:rFonts w:cs="Arial"/>
          <w:szCs w:val="20"/>
        </w:rPr>
      </w:pPr>
      <w:r>
        <w:br w:type="page"/>
      </w:r>
    </w:p>
    <w:p w:rsidR="009C13A9" w:rsidRPr="00C903F8" w:rsidRDefault="009C13A9" w:rsidP="009C13A9">
      <w:pPr>
        <w:suppressAutoHyphens/>
        <w:autoSpaceDE/>
        <w:autoSpaceDN/>
        <w:spacing w:line="240" w:lineRule="atLeast"/>
        <w:ind w:left="0" w:firstLine="0"/>
        <w:jc w:val="center"/>
        <w:rPr>
          <w:rFonts w:cs="Arial"/>
          <w:b/>
          <w:szCs w:val="22"/>
        </w:rPr>
      </w:pPr>
      <w:r>
        <w:rPr>
          <w:b/>
        </w:rPr>
        <w:lastRenderedPageBreak/>
        <w:t>Appendice 1</w:t>
      </w:r>
    </w:p>
    <w:p w:rsidR="009C13A9" w:rsidRPr="00C903F8" w:rsidRDefault="009C13A9" w:rsidP="009C13A9">
      <w:pPr>
        <w:tabs>
          <w:tab w:val="left" w:pos="1021"/>
          <w:tab w:val="center" w:pos="8080"/>
        </w:tabs>
        <w:suppressAutoHyphens/>
        <w:autoSpaceDE/>
        <w:autoSpaceDN/>
        <w:spacing w:line="240" w:lineRule="atLeast"/>
        <w:ind w:left="0" w:firstLine="0"/>
        <w:jc w:val="center"/>
        <w:rPr>
          <w:rFonts w:cs="Arial"/>
          <w:b/>
        </w:rPr>
      </w:pPr>
      <w:r>
        <w:rPr>
          <w:b/>
        </w:rPr>
        <w:t>Esempi di sequenze di prova</w:t>
      </w:r>
    </w:p>
    <w:p w:rsidR="009C13A9" w:rsidRPr="00C903F8" w:rsidRDefault="009C13A9" w:rsidP="009C13A9">
      <w:pPr>
        <w:tabs>
          <w:tab w:val="left" w:pos="1021"/>
          <w:tab w:val="center" w:pos="8080"/>
        </w:tabs>
        <w:suppressAutoHyphens/>
        <w:autoSpaceDE/>
        <w:autoSpaceDN/>
        <w:spacing w:line="240" w:lineRule="atLeast"/>
        <w:ind w:left="0" w:firstLine="0"/>
        <w:jc w:val="left"/>
        <w:rPr>
          <w:rFonts w:cs="Arial"/>
          <w:b/>
          <w:sz w:val="22"/>
        </w:rPr>
      </w:pPr>
    </w:p>
    <w:p w:rsidR="009C13A9" w:rsidRPr="00C903F8" w:rsidRDefault="002C0BA5" w:rsidP="009C13A9">
      <w:pPr>
        <w:tabs>
          <w:tab w:val="left" w:leader="dot" w:pos="9072"/>
        </w:tabs>
        <w:spacing w:line="240" w:lineRule="atLeast"/>
        <w:ind w:left="0" w:firstLine="0"/>
        <w:rPr>
          <w:rFonts w:cs="Arial"/>
          <w:sz w:val="22"/>
        </w:rPr>
      </w:pPr>
      <w:r>
        <w:rPr>
          <w:rFonts w:cs="Arial"/>
          <w:b/>
          <w:noProof/>
          <w:lang w:val="en-GB" w:eastAsia="en-GB" w:bidi="ar-SA"/>
        </w:rPr>
        <mc:AlternateContent>
          <mc:Choice Requires="wps">
            <w:drawing>
              <wp:anchor distT="0" distB="0" distL="114300" distR="114300" simplePos="0" relativeHeight="251676672" behindDoc="0" locked="0" layoutInCell="1" allowOverlap="1" wp14:anchorId="046DD4C9" wp14:editId="0488E82F">
                <wp:simplePos x="0" y="0"/>
                <wp:positionH relativeFrom="column">
                  <wp:posOffset>1606550</wp:posOffset>
                </wp:positionH>
                <wp:positionV relativeFrom="paragraph">
                  <wp:posOffset>574675</wp:posOffset>
                </wp:positionV>
                <wp:extent cx="386715" cy="349250"/>
                <wp:effectExtent l="0" t="0" r="0" b="0"/>
                <wp:wrapNone/>
                <wp:docPr id="24"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716DF3">
                            <w:pPr>
                              <w:ind w:left="0" w:firstLine="0"/>
                              <w:jc w:val="center"/>
                              <w:rPr>
                                <w:sz w:val="16"/>
                              </w:rPr>
                            </w:pPr>
                            <w:r>
                              <w:rPr>
                                <w:sz w:val="16"/>
                              </w:rPr>
                              <w:t>Sovrac-</w:t>
                            </w:r>
                            <w:r>
                              <w:rPr>
                                <w:sz w:val="16"/>
                              </w:rPr>
                              <w:br/>
                              <w:t>carico</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3" o:spid="_x0000_s1027" type="#_x0000_t202" style="position:absolute;left:0;text-align:left;margin-left:126.5pt;margin-top:45.25pt;width:30.45pt;height:2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PGOhQIAAAw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" fillcolor="#37eb29" stroked="f">
                <v:textbox inset="0,1mm,0,0">
                  <w:txbxContent>
                    <w:p w:rsidR="00801F1F" w:rsidRPr="00FA5168" w:rsidRDefault="00801F1F" w:rsidP="00716DF3">
                      <w:pPr>
                        <w:ind w:left="0" w:firstLine="0"/>
                        <w:jc w:val="center"/>
                        <w:rPr>
                          <w:sz w:val="16"/>
                        </w:rPr>
                      </w:pPr>
                      <w:r>
                        <w:rPr>
                          <w:sz w:val="16"/>
                        </w:rPr>
                        <w:t>Sovrac-</w:t>
                      </w:r>
                      <w:r>
                        <w:rPr>
                          <w:sz w:val="16"/>
                        </w:rPr>
                        <w:br/>
                        <w:t>carico</w:t>
                      </w:r>
                    </w:p>
                  </w:txbxContent>
                </v:textbox>
              </v:shape>
            </w:pict>
          </mc:Fallback>
        </mc:AlternateContent>
      </w:r>
      <w:r>
        <w:rPr>
          <w:rFonts w:cs="Arial"/>
          <w:b/>
          <w:noProof/>
          <w:sz w:val="22"/>
          <w:lang w:val="en-GB" w:eastAsia="en-GB" w:bidi="ar-SA"/>
        </w:rPr>
        <mc:AlternateContent>
          <mc:Choice Requires="wps">
            <w:drawing>
              <wp:anchor distT="0" distB="0" distL="114300" distR="114300" simplePos="0" relativeHeight="251677696" behindDoc="0" locked="0" layoutInCell="1" allowOverlap="1" wp14:anchorId="133FF94A" wp14:editId="184B57CA">
                <wp:simplePos x="0" y="0"/>
                <wp:positionH relativeFrom="column">
                  <wp:posOffset>2813685</wp:posOffset>
                </wp:positionH>
                <wp:positionV relativeFrom="paragraph">
                  <wp:posOffset>573405</wp:posOffset>
                </wp:positionV>
                <wp:extent cx="386715" cy="349250"/>
                <wp:effectExtent l="0" t="0" r="0" b="0"/>
                <wp:wrapNone/>
                <wp:docPr id="27"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716DF3">
                            <w:pPr>
                              <w:ind w:left="0" w:firstLine="0"/>
                              <w:jc w:val="center"/>
                              <w:rPr>
                                <w:sz w:val="16"/>
                              </w:rPr>
                            </w:pPr>
                            <w:r>
                              <w:rPr>
                                <w:sz w:val="16"/>
                              </w:rPr>
                              <w:t>Carico</w:t>
                            </w:r>
                            <w:r>
                              <w:rPr>
                                <w:sz w:val="16"/>
                              </w:rPr>
                              <w:br/>
                              <w:t>insufficiente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4" o:spid="_x0000_s1028" type="#_x0000_t202" style="position:absolute;left:0;text-align:left;margin-left:221.55pt;margin-top:45.15pt;width:30.45pt;height:2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" fillcolor="#37eb29" stroked="f">
                <v:textbox inset="0,1mm,0,0">
                  <w:txbxContent>
                    <w:p w:rsidR="00801F1F" w:rsidRPr="00FA5168" w:rsidRDefault="00801F1F" w:rsidP="00716DF3">
                      <w:pPr>
                        <w:ind w:left="0" w:firstLine="0"/>
                        <w:jc w:val="center"/>
                        <w:rPr>
                          <w:sz w:val="16"/>
                        </w:rPr>
                      </w:pPr>
                      <w:r>
                        <w:rPr>
                          <w:sz w:val="16"/>
                        </w:rPr>
                        <w:t>Carico</w:t>
                      </w:r>
                      <w:r>
                        <w:rPr>
                          <w:sz w:val="16"/>
                        </w:rPr>
                        <w:br/>
                        <w:t>insufficiente</w:t>
                      </w:r>
                    </w:p>
                  </w:txbxContent>
                </v:textbox>
              </v:shape>
            </w:pict>
          </mc:Fallback>
        </mc:AlternateContent>
      </w:r>
      <w:r>
        <w:rPr>
          <w:rFonts w:cs="Arial"/>
          <w:b/>
          <w:noProof/>
          <w:lang w:val="en-GB" w:eastAsia="en-GB" w:bidi="ar-SA"/>
        </w:rPr>
        <mc:AlternateContent>
          <mc:Choice Requires="wps">
            <w:drawing>
              <wp:anchor distT="0" distB="0" distL="114300" distR="114300" simplePos="0" relativeHeight="251675648" behindDoc="0" locked="0" layoutInCell="1" allowOverlap="1" wp14:anchorId="1D7393F0" wp14:editId="75FF1076">
                <wp:simplePos x="0" y="0"/>
                <wp:positionH relativeFrom="column">
                  <wp:posOffset>213995</wp:posOffset>
                </wp:positionH>
                <wp:positionV relativeFrom="paragraph">
                  <wp:posOffset>813435</wp:posOffset>
                </wp:positionV>
                <wp:extent cx="300355" cy="2115820"/>
                <wp:effectExtent l="0" t="0" r="4445" b="0"/>
                <wp:wrapNone/>
                <wp:docPr id="30" name="Text Box 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2115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9734D" w:rsidRDefault="00801F1F" w:rsidP="00F9734D">
                            <w:pPr>
                              <w:ind w:left="0" w:firstLine="0"/>
                              <w:jc w:val="center"/>
                              <w:rPr>
                                <w:b/>
                                <w:color w:val="0070C0"/>
                                <w:sz w:val="22"/>
                              </w:rPr>
                            </w:pPr>
                            <w:r>
                              <w:rPr>
                                <w:b/>
                                <w:color w:val="0070C0"/>
                                <w:sz w:val="22"/>
                              </w:rPr>
                              <w:t>Carico idraulico Q</w:t>
                            </w:r>
                            <w:r>
                              <w:rPr>
                                <w:b/>
                                <w:color w:val="0070C0"/>
                                <w:sz w:val="22"/>
                                <w:vertAlign w:val="subscript"/>
                              </w:rPr>
                              <w:t>d</w:t>
                            </w:r>
                            <w:r>
                              <w:rPr>
                                <w:b/>
                                <w:color w:val="0070C0"/>
                                <w:sz w:val="22"/>
                              </w:rPr>
                              <w:t xml:space="preserve"> [%]</w:t>
                            </w:r>
                          </w:p>
                        </w:txbxContent>
                      </wps:txbx>
                      <wps:bodyPr rot="0" vert="vert270"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6" o:spid="_x0000_s1029" type="#_x0000_t202" style="position:absolute;left:0;text-align:left;margin-left:16.85pt;margin-top:64.05pt;width:23.65pt;height:166.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" stroked="f">
                <v:textbox style="layout-flow:vertical;mso-layout-flow-alt:bottom-to-top" inset="0,0,0,0">
                  <w:txbxContent>
                    <w:p w:rsidR="00801F1F" w:rsidRPr="00F9734D" w:rsidRDefault="00801F1F" w:rsidP="00F9734D">
                      <w:pPr>
                        <w:ind w:left="0" w:firstLine="0"/>
                        <w:jc w:val="center"/>
                        <w:rPr>
                          <w:b/>
                          <w:color w:val="0070C0"/>
                          <w:sz w:val="22"/>
                        </w:rPr>
                      </w:pPr>
                      <w:r>
                        <w:rPr>
                          <w:b/>
                          <w:color w:val="0070C0"/>
                          <w:sz w:val="22"/>
                        </w:rPr>
                        <w:t>Carico idraulico Q</w:t>
                      </w:r>
                      <w:r>
                        <w:rPr>
                          <w:b/>
                          <w:color w:val="0070C0"/>
                          <w:sz w:val="22"/>
                          <w:vertAlign w:val="subscript"/>
                        </w:rPr>
                        <w:t>d</w:t>
                      </w:r>
                      <w:r>
                        <w:rPr>
                          <w:b/>
                          <w:color w:val="0070C0"/>
                          <w:sz w:val="22"/>
                        </w:rPr>
                        <w:t xml:space="preserve"> [%]</w:t>
                      </w:r>
                    </w:p>
                  </w:txbxContent>
                </v:textbox>
              </v:shape>
            </w:pict>
          </mc:Fallback>
        </mc:AlternateContent>
      </w:r>
      <w:r>
        <w:rPr>
          <w:rFonts w:cs="Arial"/>
          <w:b/>
          <w:noProof/>
          <w:lang w:val="en-GB" w:eastAsia="en-GB" w:bidi="ar-SA"/>
        </w:rPr>
        <mc:AlternateContent>
          <mc:Choice Requires="wps">
            <w:drawing>
              <wp:anchor distT="0" distB="0" distL="114300" distR="114300" simplePos="0" relativeHeight="251674624" behindDoc="0" locked="0" layoutInCell="1" allowOverlap="1" wp14:anchorId="55277A7F" wp14:editId="66934F19">
                <wp:simplePos x="0" y="0"/>
                <wp:positionH relativeFrom="column">
                  <wp:posOffset>4683760</wp:posOffset>
                </wp:positionH>
                <wp:positionV relativeFrom="paragraph">
                  <wp:posOffset>569595</wp:posOffset>
                </wp:positionV>
                <wp:extent cx="539115" cy="349250"/>
                <wp:effectExtent l="0" t="0" r="0" b="0"/>
                <wp:wrapNone/>
                <wp:docPr id="38" name="Text Box 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F9734D">
                            <w:pPr>
                              <w:ind w:left="0" w:firstLine="0"/>
                              <w:jc w:val="center"/>
                              <w:rPr>
                                <w:sz w:val="16"/>
                              </w:rPr>
                            </w:pPr>
                            <w:r>
                              <w:rPr>
                                <w:sz w:val="16"/>
                              </w:rPr>
                              <w:t xml:space="preserve">Carico </w:t>
                            </w:r>
                            <w:r>
                              <w:rPr>
                                <w:sz w:val="16"/>
                              </w:rPr>
                              <w:br/>
                              <w:t>normale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5" o:spid="_x0000_s1030" type="#_x0000_t202" style="position:absolute;left:0;text-align:left;margin-left:368.8pt;margin-top:44.85pt;width:42.45pt;height:2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" fillcolor="#59bb9a" stroked="f">
                <v:textbox inset="0,1mm,0,0">
                  <w:txbxContent>
                    <w:p w:rsidR="00801F1F" w:rsidRPr="00FA5168" w:rsidRDefault="00801F1F" w:rsidP="00F9734D">
                      <w:pPr>
                        <w:ind w:left="0" w:firstLine="0"/>
                        <w:jc w:val="center"/>
                        <w:rPr>
                          <w:sz w:val="16"/>
                        </w:rPr>
                      </w:pPr>
                      <w:r>
                        <w:rPr>
                          <w:sz w:val="16"/>
                        </w:rPr>
                        <w:t xml:space="preserve">Carico </w:t>
                      </w:r>
                      <w:r>
                        <w:rPr>
                          <w:sz w:val="16"/>
                        </w:rPr>
                        <w:br/>
                        <w:t>normale</w:t>
                      </w:r>
                    </w:p>
                  </w:txbxContent>
                </v:textbox>
              </v:shape>
            </w:pict>
          </mc:Fallback>
        </mc:AlternateContent>
      </w:r>
      <w:r>
        <w:rPr>
          <w:rFonts w:cs="Arial"/>
          <w:b/>
          <w:noProof/>
          <w:lang w:val="en-GB" w:eastAsia="en-GB" w:bidi="ar-SA"/>
        </w:rPr>
        <mc:AlternateContent>
          <mc:Choice Requires="wps">
            <w:drawing>
              <wp:anchor distT="0" distB="0" distL="114300" distR="114300" simplePos="0" relativeHeight="251673600" behindDoc="0" locked="0" layoutInCell="1" allowOverlap="1" wp14:anchorId="3C4E60AD" wp14:editId="25DFAA96">
                <wp:simplePos x="0" y="0"/>
                <wp:positionH relativeFrom="column">
                  <wp:posOffset>3332480</wp:posOffset>
                </wp:positionH>
                <wp:positionV relativeFrom="paragraph">
                  <wp:posOffset>569595</wp:posOffset>
                </wp:positionV>
                <wp:extent cx="539115" cy="349250"/>
                <wp:effectExtent l="0" t="0" r="0" b="0"/>
                <wp:wrapNone/>
                <wp:docPr id="42" name="Text Box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F9734D">
                            <w:pPr>
                              <w:ind w:left="0" w:firstLine="0"/>
                              <w:jc w:val="center"/>
                              <w:rPr>
                                <w:sz w:val="16"/>
                              </w:rPr>
                            </w:pPr>
                            <w:r>
                              <w:rPr>
                                <w:sz w:val="16"/>
                              </w:rPr>
                              <w:t xml:space="preserve">Carico </w:t>
                            </w:r>
                            <w:r>
                              <w:rPr>
                                <w:sz w:val="16"/>
                              </w:rPr>
                              <w:br/>
                              <w:t>normale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4" o:spid="_x0000_s1031" type="#_x0000_t202" style="position:absolute;left:0;text-align:left;margin-left:262.4pt;margin-top:44.85pt;width:42.45pt;height:2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" fillcolor="#59bb9a" stroked="f">
                <v:textbox inset="0,1mm,0,0">
                  <w:txbxContent>
                    <w:p w:rsidR="00801F1F" w:rsidRPr="00FA5168" w:rsidRDefault="00801F1F" w:rsidP="00F9734D">
                      <w:pPr>
                        <w:ind w:left="0" w:firstLine="0"/>
                        <w:jc w:val="center"/>
                        <w:rPr>
                          <w:sz w:val="16"/>
                        </w:rPr>
                      </w:pPr>
                      <w:r>
                        <w:rPr>
                          <w:sz w:val="16"/>
                        </w:rPr>
                        <w:t xml:space="preserve">Carico </w:t>
                      </w:r>
                      <w:r>
                        <w:rPr>
                          <w:sz w:val="16"/>
                        </w:rPr>
                        <w:br/>
                        <w:t>normale</w:t>
                      </w:r>
                    </w:p>
                  </w:txbxContent>
                </v:textbox>
              </v:shape>
            </w:pict>
          </mc:Fallback>
        </mc:AlternateContent>
      </w:r>
      <w:r>
        <w:rPr>
          <w:rFonts w:cs="Arial"/>
          <w:noProof/>
          <w:szCs w:val="20"/>
          <w:lang w:val="en-GB" w:eastAsia="en-GB" w:bidi="ar-SA"/>
        </w:rPr>
        <mc:AlternateContent>
          <mc:Choice Requires="wps">
            <w:drawing>
              <wp:anchor distT="0" distB="0" distL="114300" distR="114300" simplePos="0" relativeHeight="251672576" behindDoc="0" locked="0" layoutInCell="1" allowOverlap="1" wp14:anchorId="109FF8E3" wp14:editId="641BDF60">
                <wp:simplePos x="0" y="0"/>
                <wp:positionH relativeFrom="column">
                  <wp:posOffset>2131695</wp:posOffset>
                </wp:positionH>
                <wp:positionV relativeFrom="paragraph">
                  <wp:posOffset>569595</wp:posOffset>
                </wp:positionV>
                <wp:extent cx="539115" cy="349250"/>
                <wp:effectExtent l="0" t="0" r="0" b="0"/>
                <wp:wrapNone/>
                <wp:docPr id="45"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F9734D">
                            <w:pPr>
                              <w:ind w:left="0" w:firstLine="0"/>
                              <w:jc w:val="center"/>
                              <w:rPr>
                                <w:sz w:val="16"/>
                              </w:rPr>
                            </w:pPr>
                            <w:r>
                              <w:rPr>
                                <w:sz w:val="16"/>
                              </w:rPr>
                              <w:t xml:space="preserve">Carico </w:t>
                            </w:r>
                            <w:r>
                              <w:rPr>
                                <w:sz w:val="16"/>
                              </w:rPr>
                              <w:br/>
                              <w:t>normale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3" o:spid="_x0000_s1032" type="#_x0000_t202" style="position:absolute;left:0;text-align:left;margin-left:167.85pt;margin-top:44.85pt;width:42.45pt;height:2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" fillcolor="#59bb9a" stroked="f">
                <v:textbox inset="0,1mm,0,0">
                  <w:txbxContent>
                    <w:p w:rsidR="00801F1F" w:rsidRPr="00FA5168" w:rsidRDefault="00801F1F" w:rsidP="00F9734D">
                      <w:pPr>
                        <w:ind w:left="0" w:firstLine="0"/>
                        <w:jc w:val="center"/>
                        <w:rPr>
                          <w:sz w:val="16"/>
                        </w:rPr>
                      </w:pPr>
                      <w:r>
                        <w:rPr>
                          <w:sz w:val="16"/>
                        </w:rPr>
                        <w:t xml:space="preserve">Carico </w:t>
                      </w:r>
                      <w:r>
                        <w:rPr>
                          <w:sz w:val="16"/>
                        </w:rPr>
                        <w:br/>
                        <w:t>normale</w:t>
                      </w:r>
                    </w:p>
                  </w:txbxContent>
                </v:textbox>
              </v:shape>
            </w:pict>
          </mc:Fallback>
        </mc:AlternateContent>
      </w:r>
      <w:r>
        <w:rPr>
          <w:rFonts w:cs="Arial"/>
          <w:noProof/>
          <w:szCs w:val="20"/>
          <w:lang w:val="en-GB" w:eastAsia="en-GB" w:bidi="ar-SA"/>
        </w:rPr>
        <mc:AlternateContent>
          <mc:Choice Requires="wps">
            <w:drawing>
              <wp:anchor distT="0" distB="0" distL="114300" distR="114300" simplePos="0" relativeHeight="251671552" behindDoc="0" locked="0" layoutInCell="1" allowOverlap="1" wp14:anchorId="1C554796" wp14:editId="0EA7F394">
                <wp:simplePos x="0" y="0"/>
                <wp:positionH relativeFrom="column">
                  <wp:posOffset>928370</wp:posOffset>
                </wp:positionH>
                <wp:positionV relativeFrom="paragraph">
                  <wp:posOffset>569595</wp:posOffset>
                </wp:positionV>
                <wp:extent cx="539115" cy="349250"/>
                <wp:effectExtent l="0" t="0" r="0" b="0"/>
                <wp:wrapNone/>
                <wp:docPr id="46"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FA5168">
                            <w:pPr>
                              <w:ind w:left="0" w:firstLine="0"/>
                              <w:jc w:val="center"/>
                              <w:rPr>
                                <w:sz w:val="16"/>
                              </w:rPr>
                            </w:pPr>
                            <w:r>
                              <w:rPr>
                                <w:sz w:val="16"/>
                              </w:rPr>
                              <w:t xml:space="preserve">Carico </w:t>
                            </w:r>
                            <w:r>
                              <w:rPr>
                                <w:sz w:val="16"/>
                              </w:rPr>
                              <w:br/>
                              <w:t>normale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2" o:spid="_x0000_s1033" type="#_x0000_t202" style="position:absolute;left:0;text-align:left;margin-left:73.1pt;margin-top:44.85pt;width:42.45pt;height:2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" fillcolor="#59bb9a" stroked="f">
                <v:textbox inset="0,1mm,0,0">
                  <w:txbxContent>
                    <w:p w:rsidR="00801F1F" w:rsidRPr="00FA5168" w:rsidRDefault="00801F1F" w:rsidP="00FA5168">
                      <w:pPr>
                        <w:ind w:left="0" w:firstLine="0"/>
                        <w:jc w:val="center"/>
                        <w:rPr>
                          <w:sz w:val="16"/>
                        </w:rPr>
                      </w:pPr>
                      <w:r>
                        <w:rPr>
                          <w:sz w:val="16"/>
                        </w:rPr>
                        <w:t xml:space="preserve">Carico </w:t>
                      </w:r>
                      <w:r>
                        <w:rPr>
                          <w:sz w:val="16"/>
                        </w:rPr>
                        <w:br/>
                        <w:t>normale</w:t>
                      </w:r>
                    </w:p>
                  </w:txbxContent>
                </v:textbox>
              </v:shape>
            </w:pict>
          </mc:Fallback>
        </mc:AlternateContent>
      </w:r>
      <w:r>
        <w:rPr>
          <w:rFonts w:cs="Arial"/>
          <w:noProof/>
          <w:sz w:val="22"/>
          <w:lang w:val="en-GB" w:eastAsia="en-GB" w:bidi="ar-SA"/>
        </w:rPr>
        <w:drawing>
          <wp:anchor distT="0" distB="0" distL="0" distR="0" simplePos="0" relativeHeight="251670528" behindDoc="0" locked="0" layoutInCell="1" allowOverlap="1" wp14:anchorId="5C381D13" wp14:editId="6FC05776">
            <wp:simplePos x="0" y="0"/>
            <wp:positionH relativeFrom="column">
              <wp:posOffset>9525</wp:posOffset>
            </wp:positionH>
            <wp:positionV relativeFrom="paragraph">
              <wp:posOffset>177165</wp:posOffset>
            </wp:positionV>
            <wp:extent cx="5732780" cy="3655695"/>
            <wp:effectExtent l="0" t="0" r="1270" b="1905"/>
            <wp:wrapTopAndBottom/>
            <wp:docPr id="48"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99">
                      <a:extLst>
                        <a:ext uri="{28A0092B-C50C-407E-A947-70E740481C1C}">
                          <a14:useLocalDpi xmlns:a14="http://schemas.microsoft.com/office/drawing/2010/main" val="0"/>
                        </a:ext>
                      </a:extLst>
                    </a:blip>
                    <a:srcRect t="4826" b="4826"/>
                    <a:stretch>
                      <a:fillRect/>
                    </a:stretch>
                  </pic:blipFill>
                  <pic:spPr bwMode="auto">
                    <a:xfrm>
                      <a:off x="0" y="0"/>
                      <a:ext cx="5732780" cy="3655695"/>
                    </a:xfrm>
                    <a:prstGeom prst="rect">
                      <a:avLst/>
                    </a:prstGeom>
                    <a:solidFill>
                      <a:srgbClr val="FFFFFF"/>
                    </a:solidFill>
                    <a:ln>
                      <a:noFill/>
                    </a:ln>
                  </pic:spPr>
                </pic:pic>
              </a:graphicData>
            </a:graphic>
          </wp:anchor>
        </w:drawing>
      </w:r>
      <w:r>
        <w:t>Esempio 1</w:t>
      </w:r>
    </w:p>
    <w:p w:rsidR="009C13A9" w:rsidRPr="00C903F8" w:rsidRDefault="002C0BA5" w:rsidP="009C13A9">
      <w:pPr>
        <w:tabs>
          <w:tab w:val="left" w:leader="dot" w:pos="9072"/>
        </w:tabs>
        <w:spacing w:line="240" w:lineRule="atLeast"/>
        <w:ind w:left="0" w:firstLine="0"/>
        <w:rPr>
          <w:rFonts w:cs="Arial"/>
        </w:rPr>
      </w:pPr>
      <w:r>
        <w:rPr>
          <w:rFonts w:cs="Arial"/>
          <w:b/>
          <w:noProof/>
          <w:lang w:val="en-GB" w:eastAsia="en-GB" w:bidi="ar-SA"/>
        </w:rPr>
        <mc:AlternateContent>
          <mc:Choice Requires="wps">
            <w:drawing>
              <wp:anchor distT="0" distB="0" distL="114300" distR="114300" simplePos="0" relativeHeight="251667456" behindDoc="0" locked="0" layoutInCell="1" allowOverlap="1" wp14:anchorId="40E849D8" wp14:editId="2A65C69A">
                <wp:simplePos x="0" y="0"/>
                <wp:positionH relativeFrom="column">
                  <wp:posOffset>2661285</wp:posOffset>
                </wp:positionH>
                <wp:positionV relativeFrom="paragraph">
                  <wp:posOffset>3399155</wp:posOffset>
                </wp:positionV>
                <wp:extent cx="539115" cy="211455"/>
                <wp:effectExtent l="0" t="0" r="0" b="0"/>
                <wp:wrapNone/>
                <wp:docPr id="20" name="Text Box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211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067BB9">
                            <w:pPr>
                              <w:ind w:left="0" w:firstLine="0"/>
                              <w:jc w:val="center"/>
                              <w:rPr>
                                <w:sz w:val="16"/>
                              </w:rPr>
                            </w:pPr>
                            <w:r>
                              <w:rPr>
                                <w:sz w:val="16"/>
                              </w:rPr>
                              <w:t>Giorno</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7" o:spid="_x0000_s1034" type="#_x0000_t202" style="position:absolute;left:0;text-align:left;margin-left:209.55pt;margin-top:267.65pt;width:42.45pt;height:16.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" stroked="f">
                <v:textbox inset="0,1mm,0,0">
                  <w:txbxContent>
                    <w:p w:rsidR="00801F1F" w:rsidRPr="00FA5168" w:rsidRDefault="00801F1F" w:rsidP="00067BB9">
                      <w:pPr>
                        <w:ind w:left="0" w:firstLine="0"/>
                        <w:jc w:val="center"/>
                        <w:rPr>
                          <w:sz w:val="16"/>
                        </w:rPr>
                      </w:pPr>
                      <w:r>
                        <w:rPr>
                          <w:sz w:val="16"/>
                        </w:rPr>
                        <w:t>Giorno</w:t>
                      </w:r>
                    </w:p>
                  </w:txbxContent>
                </v:textbox>
              </v:shape>
            </w:pict>
          </mc:Fallback>
        </mc:AlternateContent>
      </w:r>
    </w:p>
    <w:p w:rsidR="009C13A9" w:rsidRPr="00C903F8" w:rsidRDefault="00E43E4C" w:rsidP="009C13A9">
      <w:pPr>
        <w:tabs>
          <w:tab w:val="left" w:leader="dot" w:pos="9072"/>
        </w:tabs>
        <w:spacing w:line="240" w:lineRule="atLeast"/>
        <w:ind w:left="0" w:firstLine="0"/>
        <w:rPr>
          <w:rFonts w:cs="Arial"/>
          <w:sz w:val="22"/>
        </w:rPr>
      </w:pPr>
      <w:r>
        <w:rPr>
          <w:rFonts w:cs="Arial"/>
          <w:noProof/>
          <w:sz w:val="22"/>
          <w:lang w:val="en-GB" w:eastAsia="en-GB" w:bidi="ar-SA"/>
        </w:rPr>
        <w:drawing>
          <wp:anchor distT="0" distB="0" distL="0" distR="0" simplePos="0" relativeHeight="251679744" behindDoc="0" locked="0" layoutInCell="1" allowOverlap="1" wp14:anchorId="1D80C156" wp14:editId="6F85CD57">
            <wp:simplePos x="0" y="0"/>
            <wp:positionH relativeFrom="column">
              <wp:posOffset>9525</wp:posOffset>
            </wp:positionH>
            <wp:positionV relativeFrom="paragraph">
              <wp:posOffset>307340</wp:posOffset>
            </wp:positionV>
            <wp:extent cx="5732780" cy="3558540"/>
            <wp:effectExtent l="0" t="0" r="1270" b="3810"/>
            <wp:wrapTopAndBottom/>
            <wp:docPr id="52"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732780" cy="3558540"/>
                    </a:xfrm>
                    <a:prstGeom prst="rect">
                      <a:avLst/>
                    </a:prstGeom>
                    <a:solidFill>
                      <a:srgbClr val="FFFFFF"/>
                    </a:solidFill>
                    <a:ln>
                      <a:noFill/>
                    </a:ln>
                  </pic:spPr>
                </pic:pic>
              </a:graphicData>
            </a:graphic>
          </wp:anchor>
        </w:drawing>
      </w:r>
      <w:r>
        <w:t>Esempio 2</w:t>
      </w:r>
    </w:p>
    <w:p w:rsidR="009C13A9" w:rsidRPr="00C903F8" w:rsidRDefault="002C0BA5" w:rsidP="009C13A9">
      <w:pPr>
        <w:spacing w:line="240" w:lineRule="atLeast"/>
        <w:rPr>
          <w:rFonts w:cs="Arial"/>
          <w:color w:val="000000"/>
        </w:rPr>
      </w:pPr>
      <w:r>
        <w:rPr>
          <w:rFonts w:cs="Arial"/>
          <w:noProof/>
          <w:sz w:val="22"/>
          <w:lang w:val="en-GB" w:eastAsia="en-GB" w:bidi="ar-SA"/>
        </w:rPr>
        <mc:AlternateContent>
          <mc:Choice Requires="wps">
            <w:drawing>
              <wp:anchor distT="0" distB="0" distL="114300" distR="114300" simplePos="0" relativeHeight="251668480" behindDoc="0" locked="0" layoutInCell="1" allowOverlap="1" wp14:anchorId="7B237F48" wp14:editId="1BD6F6F4">
                <wp:simplePos x="0" y="0"/>
                <wp:positionH relativeFrom="column">
                  <wp:posOffset>2661285</wp:posOffset>
                </wp:positionH>
                <wp:positionV relativeFrom="paragraph">
                  <wp:posOffset>3549650</wp:posOffset>
                </wp:positionV>
                <wp:extent cx="539115" cy="211455"/>
                <wp:effectExtent l="0" t="0" r="0" b="0"/>
                <wp:wrapNone/>
                <wp:docPr id="19" name="Text Box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211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067BB9">
                            <w:pPr>
                              <w:ind w:left="0" w:firstLine="0"/>
                              <w:jc w:val="center"/>
                              <w:rPr>
                                <w:sz w:val="16"/>
                              </w:rPr>
                            </w:pPr>
                            <w:r>
                              <w:rPr>
                                <w:sz w:val="16"/>
                              </w:rPr>
                              <w:t>Giorno</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8" o:spid="_x0000_s1035" type="#_x0000_t202" style="position:absolute;left:0;text-align:left;margin-left:209.55pt;margin-top:279.5pt;width:42.45pt;height:16.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" stroked="f">
                <v:textbox inset="0,1mm,0,0">
                  <w:txbxContent>
                    <w:p w:rsidR="00801F1F" w:rsidRPr="00FA5168" w:rsidRDefault="00801F1F" w:rsidP="00067BB9">
                      <w:pPr>
                        <w:ind w:left="0" w:firstLine="0"/>
                        <w:jc w:val="center"/>
                        <w:rPr>
                          <w:sz w:val="16"/>
                        </w:rPr>
                      </w:pPr>
                      <w:r>
                        <w:rPr>
                          <w:sz w:val="16"/>
                        </w:rPr>
                        <w:t>Giorno</w:t>
                      </w:r>
                    </w:p>
                  </w:txbxContent>
                </v:textbox>
              </v:shape>
            </w:pict>
          </mc:Fallback>
        </mc:AlternateContent>
      </w:r>
      <w:r>
        <w:rPr>
          <w:rFonts w:cs="Arial"/>
          <w:b/>
          <w:noProof/>
          <w:sz w:val="22"/>
          <w:lang w:val="en-GB" w:eastAsia="en-GB" w:bidi="ar-SA"/>
        </w:rPr>
        <mc:AlternateContent>
          <mc:Choice Requires="wps">
            <w:drawing>
              <wp:anchor distT="0" distB="0" distL="114300" distR="114300" simplePos="0" relativeHeight="251666432" behindDoc="0" locked="0" layoutInCell="1" allowOverlap="1" wp14:anchorId="20CCA39E" wp14:editId="65ADA7FB">
                <wp:simplePos x="0" y="0"/>
                <wp:positionH relativeFrom="column">
                  <wp:posOffset>2904490</wp:posOffset>
                </wp:positionH>
                <wp:positionV relativeFrom="paragraph">
                  <wp:posOffset>431165</wp:posOffset>
                </wp:positionV>
                <wp:extent cx="386715" cy="349250"/>
                <wp:effectExtent l="0" t="0" r="0" b="0"/>
                <wp:wrapNone/>
                <wp:docPr id="18" name="Text Box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716DF3">
                            <w:pPr>
                              <w:ind w:left="0" w:firstLine="0"/>
                              <w:jc w:val="center"/>
                              <w:rPr>
                                <w:sz w:val="16"/>
                              </w:rPr>
                            </w:pPr>
                            <w:r>
                              <w:rPr>
                                <w:sz w:val="16"/>
                              </w:rPr>
                              <w:t>Carico</w:t>
                            </w:r>
                            <w:r>
                              <w:rPr>
                                <w:sz w:val="16"/>
                              </w:rPr>
                              <w:br/>
                              <w:t>insufficiente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6" o:spid="_x0000_s1036" type="#_x0000_t202" style="position:absolute;left:0;text-align:left;margin-left:228.7pt;margin-top:33.95pt;width:30.45pt;height:2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uathAIAAA0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" fillcolor="#37eb29" stroked="f">
                <v:textbox inset="0,1mm,0,0">
                  <w:txbxContent>
                    <w:p w:rsidR="00801F1F" w:rsidRPr="00FA5168" w:rsidRDefault="00801F1F" w:rsidP="00716DF3">
                      <w:pPr>
                        <w:ind w:left="0" w:firstLine="0"/>
                        <w:jc w:val="center"/>
                        <w:rPr>
                          <w:sz w:val="16"/>
                        </w:rPr>
                      </w:pPr>
                      <w:r>
                        <w:rPr>
                          <w:sz w:val="16"/>
                        </w:rPr>
                        <w:t>Carico</w:t>
                      </w:r>
                      <w:r>
                        <w:rPr>
                          <w:sz w:val="16"/>
                        </w:rPr>
                        <w:br/>
                        <w:t>insufficiente</w:t>
                      </w:r>
                    </w:p>
                  </w:txbxContent>
                </v:textbox>
              </v:shape>
            </w:pict>
          </mc:Fallback>
        </mc:AlternateContent>
      </w:r>
      <w:r>
        <w:rPr>
          <w:rFonts w:cs="Arial"/>
          <w:b/>
          <w:noProof/>
          <w:sz w:val="22"/>
          <w:lang w:val="en-GB" w:eastAsia="en-GB" w:bidi="ar-SA"/>
        </w:rPr>
        <mc:AlternateContent>
          <mc:Choice Requires="wps">
            <w:drawing>
              <wp:anchor distT="0" distB="0" distL="114300" distR="114300" simplePos="0" relativeHeight="251665408" behindDoc="0" locked="0" layoutInCell="1" allowOverlap="1" wp14:anchorId="5212423E" wp14:editId="21841A3E">
                <wp:simplePos x="0" y="0"/>
                <wp:positionH relativeFrom="column">
                  <wp:posOffset>2426970</wp:posOffset>
                </wp:positionH>
                <wp:positionV relativeFrom="paragraph">
                  <wp:posOffset>431165</wp:posOffset>
                </wp:positionV>
                <wp:extent cx="386715" cy="349250"/>
                <wp:effectExtent l="0" t="0" r="0" b="0"/>
                <wp:wrapNone/>
                <wp:docPr id="16" name="Text Box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716DF3">
                            <w:pPr>
                              <w:ind w:left="0" w:firstLine="0"/>
                              <w:jc w:val="center"/>
                              <w:rPr>
                                <w:sz w:val="16"/>
                              </w:rPr>
                            </w:pPr>
                            <w:r>
                              <w:rPr>
                                <w:sz w:val="16"/>
                              </w:rPr>
                              <w:t>Sovrac-</w:t>
                            </w:r>
                            <w:r>
                              <w:rPr>
                                <w:sz w:val="16"/>
                              </w:rPr>
                              <w:br/>
                              <w:t>carico</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5" o:spid="_x0000_s1037" type="#_x0000_t202" style="position:absolute;left:0;text-align:left;margin-left:191.1pt;margin-top:33.95pt;width:30.45pt;height:2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phShQIAAA0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" fillcolor="#37eb29" stroked="f">
                <v:textbox inset="0,1mm,0,0">
                  <w:txbxContent>
                    <w:p w:rsidR="00801F1F" w:rsidRPr="00FA5168" w:rsidRDefault="00801F1F" w:rsidP="00716DF3">
                      <w:pPr>
                        <w:ind w:left="0" w:firstLine="0"/>
                        <w:jc w:val="center"/>
                        <w:rPr>
                          <w:sz w:val="16"/>
                        </w:rPr>
                      </w:pPr>
                      <w:r>
                        <w:rPr>
                          <w:sz w:val="16"/>
                        </w:rPr>
                        <w:t>Sovrac-</w:t>
                      </w:r>
                      <w:r>
                        <w:rPr>
                          <w:sz w:val="16"/>
                        </w:rPr>
                        <w:br/>
                        <w:t>carico</w:t>
                      </w:r>
                    </w:p>
                  </w:txbxContent>
                </v:textbox>
              </v:shape>
            </w:pict>
          </mc:Fallback>
        </mc:AlternateContent>
      </w:r>
      <w:r>
        <w:rPr>
          <w:rFonts w:cs="Arial"/>
          <w:noProof/>
          <w:lang w:val="en-GB" w:eastAsia="en-GB" w:bidi="ar-SA"/>
        </w:rPr>
        <mc:AlternateContent>
          <mc:Choice Requires="wps">
            <w:drawing>
              <wp:anchor distT="0" distB="0" distL="114300" distR="114300" simplePos="0" relativeHeight="251662336" behindDoc="0" locked="0" layoutInCell="1" allowOverlap="1" wp14:anchorId="63EF8E91" wp14:editId="783D4CE7">
                <wp:simplePos x="0" y="0"/>
                <wp:positionH relativeFrom="column">
                  <wp:posOffset>4888230</wp:posOffset>
                </wp:positionH>
                <wp:positionV relativeFrom="paragraph">
                  <wp:posOffset>431165</wp:posOffset>
                </wp:positionV>
                <wp:extent cx="539115" cy="349250"/>
                <wp:effectExtent l="0" t="0" r="0" b="0"/>
                <wp:wrapNone/>
                <wp:docPr id="15" name="Text Box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716DF3">
                            <w:pPr>
                              <w:ind w:left="0" w:firstLine="0"/>
                              <w:jc w:val="center"/>
                              <w:rPr>
                                <w:sz w:val="16"/>
                              </w:rPr>
                            </w:pPr>
                            <w:r>
                              <w:rPr>
                                <w:sz w:val="16"/>
                              </w:rPr>
                              <w:t xml:space="preserve">Carico </w:t>
                            </w:r>
                            <w:r>
                              <w:rPr>
                                <w:sz w:val="16"/>
                              </w:rPr>
                              <w:br/>
                              <w:t>normale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2" o:spid="_x0000_s1038" type="#_x0000_t202" style="position:absolute;left:0;text-align:left;margin-left:384.9pt;margin-top:33.95pt;width:42.45pt;height:2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" fillcolor="#59bb9a" stroked="f">
                <v:textbox inset="0,1mm,0,0">
                  <w:txbxContent>
                    <w:p w:rsidR="00801F1F" w:rsidRPr="00FA5168" w:rsidRDefault="00801F1F" w:rsidP="00716DF3">
                      <w:pPr>
                        <w:ind w:left="0" w:firstLine="0"/>
                        <w:jc w:val="center"/>
                        <w:rPr>
                          <w:sz w:val="16"/>
                        </w:rPr>
                      </w:pPr>
                      <w:r>
                        <w:rPr>
                          <w:sz w:val="16"/>
                        </w:rPr>
                        <w:t xml:space="preserve">Carico </w:t>
                      </w:r>
                      <w:r>
                        <w:rPr>
                          <w:sz w:val="16"/>
                        </w:rPr>
                        <w:br/>
                        <w:t>normale</w:t>
                      </w:r>
                    </w:p>
                  </w:txbxContent>
                </v:textbox>
              </v:shape>
            </w:pict>
          </mc:Fallback>
        </mc:AlternateContent>
      </w:r>
      <w:r>
        <w:rPr>
          <w:rFonts w:cs="Arial"/>
          <w:noProof/>
          <w:lang w:val="en-GB" w:eastAsia="en-GB" w:bidi="ar-SA"/>
        </w:rPr>
        <mc:AlternateContent>
          <mc:Choice Requires="wps">
            <w:drawing>
              <wp:anchor distT="0" distB="0" distL="114300" distR="114300" simplePos="0" relativeHeight="251661312" behindDoc="0" locked="0" layoutInCell="1" allowOverlap="1" wp14:anchorId="62BC4043" wp14:editId="6AFA3E67">
                <wp:simplePos x="0" y="0"/>
                <wp:positionH relativeFrom="column">
                  <wp:posOffset>4097020</wp:posOffset>
                </wp:positionH>
                <wp:positionV relativeFrom="paragraph">
                  <wp:posOffset>431165</wp:posOffset>
                </wp:positionV>
                <wp:extent cx="539115" cy="349250"/>
                <wp:effectExtent l="0" t="0" r="0" b="0"/>
                <wp:wrapNone/>
                <wp:docPr id="14" name="Text 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716DF3">
                            <w:pPr>
                              <w:ind w:left="0" w:firstLine="0"/>
                              <w:jc w:val="center"/>
                              <w:rPr>
                                <w:sz w:val="16"/>
                              </w:rPr>
                            </w:pPr>
                            <w:r>
                              <w:rPr>
                                <w:sz w:val="16"/>
                              </w:rPr>
                              <w:t xml:space="preserve">Carico </w:t>
                            </w:r>
                            <w:r>
                              <w:rPr>
                                <w:sz w:val="16"/>
                              </w:rPr>
                              <w:br/>
                              <w:t>normale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1" o:spid="_x0000_s1039" type="#_x0000_t202" style="position:absolute;left:0;text-align:left;margin-left:322.6pt;margin-top:33.95pt;width:42.45pt;height:2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" fillcolor="#59bb9a" stroked="f">
                <v:textbox inset="0,1mm,0,0">
                  <w:txbxContent>
                    <w:p w:rsidR="00801F1F" w:rsidRPr="00FA5168" w:rsidRDefault="00801F1F" w:rsidP="00716DF3">
                      <w:pPr>
                        <w:ind w:left="0" w:firstLine="0"/>
                        <w:jc w:val="center"/>
                        <w:rPr>
                          <w:sz w:val="16"/>
                        </w:rPr>
                      </w:pPr>
                      <w:r>
                        <w:rPr>
                          <w:sz w:val="16"/>
                        </w:rPr>
                        <w:t xml:space="preserve">Carico </w:t>
                      </w:r>
                      <w:r>
                        <w:rPr>
                          <w:sz w:val="16"/>
                        </w:rPr>
                        <w:br/>
                        <w:t>normale</w:t>
                      </w:r>
                    </w:p>
                  </w:txbxContent>
                </v:textbox>
              </v:shape>
            </w:pict>
          </mc:Fallback>
        </mc:AlternateContent>
      </w:r>
      <w:r>
        <w:rPr>
          <w:rFonts w:cs="Arial"/>
          <w:noProof/>
          <w:lang w:val="en-GB" w:eastAsia="en-GB" w:bidi="ar-SA"/>
        </w:rPr>
        <mc:AlternateContent>
          <mc:Choice Requires="wps">
            <w:drawing>
              <wp:anchor distT="0" distB="0" distL="114300" distR="114300" simplePos="0" relativeHeight="251660288" behindDoc="0" locked="0" layoutInCell="1" allowOverlap="1" wp14:anchorId="1D38DD1F" wp14:editId="2987B0BA">
                <wp:simplePos x="0" y="0"/>
                <wp:positionH relativeFrom="column">
                  <wp:posOffset>1722120</wp:posOffset>
                </wp:positionH>
                <wp:positionV relativeFrom="paragraph">
                  <wp:posOffset>431165</wp:posOffset>
                </wp:positionV>
                <wp:extent cx="539115" cy="349250"/>
                <wp:effectExtent l="0" t="0" r="0" b="0"/>
                <wp:wrapNone/>
                <wp:docPr id="13" name="Text Box 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7F3C26">
                            <w:pPr>
                              <w:ind w:left="0" w:firstLine="0"/>
                              <w:jc w:val="center"/>
                              <w:rPr>
                                <w:sz w:val="16"/>
                              </w:rPr>
                            </w:pPr>
                            <w:r>
                              <w:rPr>
                                <w:sz w:val="16"/>
                              </w:rPr>
                              <w:t xml:space="preserve">Carico </w:t>
                            </w:r>
                            <w:r>
                              <w:rPr>
                                <w:sz w:val="16"/>
                              </w:rPr>
                              <w:br/>
                              <w:t>normale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0" o:spid="_x0000_s1040" type="#_x0000_t202" style="position:absolute;left:0;text-align:left;margin-left:135.6pt;margin-top:33.95pt;width:42.45pt;height:2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" fillcolor="#59bb9a" stroked="f">
                <v:textbox inset="0,1mm,0,0">
                  <w:txbxContent>
                    <w:p w:rsidR="00801F1F" w:rsidRPr="00FA5168" w:rsidRDefault="00801F1F" w:rsidP="007F3C26">
                      <w:pPr>
                        <w:ind w:left="0" w:firstLine="0"/>
                        <w:jc w:val="center"/>
                        <w:rPr>
                          <w:sz w:val="16"/>
                        </w:rPr>
                      </w:pPr>
                      <w:r>
                        <w:rPr>
                          <w:sz w:val="16"/>
                        </w:rPr>
                        <w:t xml:space="preserve">Carico </w:t>
                      </w:r>
                      <w:r>
                        <w:rPr>
                          <w:sz w:val="16"/>
                        </w:rPr>
                        <w:br/>
                        <w:t>normale</w:t>
                      </w:r>
                    </w:p>
                  </w:txbxContent>
                </v:textbox>
              </v:shape>
            </w:pict>
          </mc:Fallback>
        </mc:AlternateContent>
      </w:r>
      <w:r>
        <w:rPr>
          <w:rFonts w:cs="Arial"/>
          <w:b/>
          <w:noProof/>
          <w:lang w:val="en-GB" w:eastAsia="en-GB" w:bidi="ar-SA"/>
        </w:rPr>
        <mc:AlternateContent>
          <mc:Choice Requires="wps">
            <w:drawing>
              <wp:anchor distT="0" distB="0" distL="114300" distR="114300" simplePos="0" relativeHeight="251659264" behindDoc="0" locked="0" layoutInCell="1" allowOverlap="1" wp14:anchorId="55938777" wp14:editId="17C0CD67">
                <wp:simplePos x="0" y="0"/>
                <wp:positionH relativeFrom="column">
                  <wp:posOffset>928370</wp:posOffset>
                </wp:positionH>
                <wp:positionV relativeFrom="paragraph">
                  <wp:posOffset>431165</wp:posOffset>
                </wp:positionV>
                <wp:extent cx="539115" cy="349250"/>
                <wp:effectExtent l="0" t="0" r="0" b="0"/>
                <wp:wrapNone/>
                <wp:docPr id="12"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A5168" w:rsidRDefault="00801F1F" w:rsidP="007F3C26">
                            <w:pPr>
                              <w:ind w:left="0" w:firstLine="0"/>
                              <w:jc w:val="center"/>
                              <w:rPr>
                                <w:sz w:val="16"/>
                              </w:rPr>
                            </w:pPr>
                            <w:r>
                              <w:rPr>
                                <w:sz w:val="16"/>
                              </w:rPr>
                              <w:t xml:space="preserve">Carico </w:t>
                            </w:r>
                            <w:r>
                              <w:rPr>
                                <w:sz w:val="16"/>
                              </w:rPr>
                              <w:br/>
                              <w:t>normale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9" o:spid="_x0000_s1041" type="#_x0000_t202" style="position:absolute;left:0;text-align:left;margin-left:73.1pt;margin-top:33.95pt;width:42.45pt;height:2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" fillcolor="#59bb9a" stroked="f">
                <v:textbox inset="0,1mm,0,0">
                  <w:txbxContent>
                    <w:p w:rsidR="00801F1F" w:rsidRPr="00FA5168" w:rsidRDefault="00801F1F" w:rsidP="007F3C26">
                      <w:pPr>
                        <w:ind w:left="0" w:firstLine="0"/>
                        <w:jc w:val="center"/>
                        <w:rPr>
                          <w:sz w:val="16"/>
                        </w:rPr>
                      </w:pPr>
                      <w:r>
                        <w:rPr>
                          <w:sz w:val="16"/>
                        </w:rPr>
                        <w:t xml:space="preserve">Carico </w:t>
                      </w:r>
                      <w:r>
                        <w:rPr>
                          <w:sz w:val="16"/>
                        </w:rPr>
                        <w:br/>
                        <w:t>normale</w:t>
                      </w:r>
                    </w:p>
                  </w:txbxContent>
                </v:textbox>
              </v:shape>
            </w:pict>
          </mc:Fallback>
        </mc:AlternateContent>
      </w:r>
      <w:r>
        <w:rPr>
          <w:rFonts w:cs="Arial"/>
          <w:b/>
          <w:noProof/>
          <w:sz w:val="22"/>
          <w:lang w:val="en-GB" w:eastAsia="en-GB" w:bidi="ar-SA"/>
        </w:rPr>
        <mc:AlternateContent>
          <mc:Choice Requires="wps">
            <w:drawing>
              <wp:anchor distT="0" distB="0" distL="114300" distR="114300" simplePos="0" relativeHeight="251658240" behindDoc="0" locked="0" layoutInCell="1" allowOverlap="1" wp14:anchorId="5A94B4D8" wp14:editId="15EAA6CD">
                <wp:simplePos x="0" y="0"/>
                <wp:positionH relativeFrom="column">
                  <wp:posOffset>168910</wp:posOffset>
                </wp:positionH>
                <wp:positionV relativeFrom="paragraph">
                  <wp:posOffset>745490</wp:posOffset>
                </wp:positionV>
                <wp:extent cx="300355" cy="2115820"/>
                <wp:effectExtent l="0" t="0" r="4445" b="0"/>
                <wp:wrapNone/>
                <wp:docPr id="11" name="Text 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2115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F9734D" w:rsidRDefault="00801F1F" w:rsidP="007F3C26">
                            <w:pPr>
                              <w:ind w:left="0" w:firstLine="0"/>
                              <w:jc w:val="center"/>
                              <w:rPr>
                                <w:b/>
                                <w:color w:val="0070C0"/>
                                <w:sz w:val="22"/>
                              </w:rPr>
                            </w:pPr>
                            <w:r>
                              <w:rPr>
                                <w:b/>
                                <w:color w:val="0070C0"/>
                                <w:sz w:val="22"/>
                              </w:rPr>
                              <w:t>Carico idraulico Q</w:t>
                            </w:r>
                            <w:r>
                              <w:rPr>
                                <w:b/>
                                <w:color w:val="0070C0"/>
                                <w:sz w:val="22"/>
                                <w:vertAlign w:val="subscript"/>
                              </w:rPr>
                              <w:t>d</w:t>
                            </w:r>
                            <w:r>
                              <w:rPr>
                                <w:b/>
                                <w:color w:val="0070C0"/>
                                <w:sz w:val="22"/>
                              </w:rPr>
                              <w:t xml:space="preserve"> [%]</w:t>
                            </w:r>
                          </w:p>
                        </w:txbxContent>
                      </wps:txbx>
                      <wps:bodyPr rot="0" vert="vert270"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8" o:spid="_x0000_s1042" type="#_x0000_t202" style="position:absolute;left:0;text-align:left;margin-left:13.3pt;margin-top:58.7pt;width:23.65pt;height:166.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" stroked="f">
                <v:textbox style="layout-flow:vertical;mso-layout-flow-alt:bottom-to-top" inset="0,0,0,0">
                  <w:txbxContent>
                    <w:p w:rsidR="00801F1F" w:rsidRPr="00F9734D" w:rsidRDefault="00801F1F" w:rsidP="007F3C26">
                      <w:pPr>
                        <w:ind w:left="0" w:firstLine="0"/>
                        <w:jc w:val="center"/>
                        <w:rPr>
                          <w:b/>
                          <w:color w:val="0070C0"/>
                          <w:sz w:val="22"/>
                        </w:rPr>
                      </w:pPr>
                      <w:r>
                        <w:rPr>
                          <w:b/>
                          <w:color w:val="0070C0"/>
                          <w:sz w:val="22"/>
                        </w:rPr>
                        <w:t>Carico idraulico Q</w:t>
                      </w:r>
                      <w:r>
                        <w:rPr>
                          <w:b/>
                          <w:color w:val="0070C0"/>
                          <w:sz w:val="22"/>
                          <w:vertAlign w:val="subscript"/>
                        </w:rPr>
                        <w:t>d</w:t>
                      </w:r>
                      <w:r>
                        <w:rPr>
                          <w:b/>
                          <w:color w:val="0070C0"/>
                          <w:sz w:val="22"/>
                        </w:rPr>
                        <w:t xml:space="preserve"> [%]</w:t>
                      </w:r>
                    </w:p>
                  </w:txbxContent>
                </v:textbox>
              </v:shape>
            </w:pict>
          </mc:Fallback>
        </mc:AlternateContent>
      </w:r>
      <w:r>
        <w:br w:type="page"/>
      </w:r>
    </w:p>
    <w:p w:rsidR="000323F4" w:rsidRDefault="000323F4" w:rsidP="009C13A9">
      <w:pPr>
        <w:tabs>
          <w:tab w:val="left" w:pos="709"/>
        </w:tabs>
        <w:suppressAutoHyphens/>
        <w:autoSpaceDE/>
        <w:autoSpaceDN/>
        <w:spacing w:line="240" w:lineRule="atLeast"/>
        <w:ind w:left="709" w:hanging="709"/>
        <w:jc w:val="center"/>
        <w:rPr>
          <w:rFonts w:cs="Arial"/>
          <w:b/>
          <w:szCs w:val="20"/>
        </w:rPr>
        <w:sectPr w:rsidR="000323F4" w:rsidSect="00AC5CC1">
          <w:headerReference w:type="default" r:id="rId101"/>
          <w:footerReference w:type="default" r:id="rId102"/>
          <w:headerReference w:type="first" r:id="rId103"/>
          <w:footerReference w:type="first" r:id="rId104"/>
          <w:footnotePr>
            <w:numRestart w:val="eachPage"/>
          </w:footnotePr>
          <w:pgSz w:w="11906" w:h="16838" w:code="9"/>
          <w:pgMar w:top="1418" w:right="1418" w:bottom="1418" w:left="1418" w:header="709" w:footer="709" w:gutter="0"/>
          <w:cols w:space="709"/>
          <w:titlePg/>
          <w:docGrid w:linePitch="272"/>
        </w:sectPr>
      </w:pPr>
    </w:p>
    <w:p w:rsidR="000323F4" w:rsidRDefault="000323F4" w:rsidP="009C13A9">
      <w:pPr>
        <w:tabs>
          <w:tab w:val="left" w:pos="709"/>
        </w:tabs>
        <w:suppressAutoHyphens/>
        <w:autoSpaceDE/>
        <w:autoSpaceDN/>
        <w:spacing w:line="240" w:lineRule="atLeast"/>
        <w:ind w:left="709" w:hanging="709"/>
        <w:jc w:val="center"/>
        <w:rPr>
          <w:rFonts w:cs="Arial"/>
          <w:b/>
          <w:szCs w:val="20"/>
        </w:rPr>
        <w:sectPr w:rsidR="000323F4" w:rsidSect="00AC5CC1">
          <w:footnotePr>
            <w:numRestart w:val="eachPage"/>
          </w:footnotePr>
          <w:pgSz w:w="11906" w:h="16838" w:code="9"/>
          <w:pgMar w:top="1418" w:right="1418" w:bottom="1418" w:left="1418" w:header="709" w:footer="709" w:gutter="0"/>
          <w:cols w:space="709"/>
          <w:titlePg/>
          <w:docGrid w:linePitch="272"/>
        </w:sectPr>
      </w:pPr>
    </w:p>
    <w:p w:rsidR="009C13A9" w:rsidRPr="00C903F8" w:rsidRDefault="009C13A9" w:rsidP="009C13A9">
      <w:pPr>
        <w:tabs>
          <w:tab w:val="left" w:pos="709"/>
        </w:tabs>
        <w:suppressAutoHyphens/>
        <w:autoSpaceDE/>
        <w:autoSpaceDN/>
        <w:spacing w:line="240" w:lineRule="atLeast"/>
        <w:ind w:left="709" w:hanging="709"/>
        <w:jc w:val="center"/>
        <w:rPr>
          <w:rFonts w:cs="Arial"/>
          <w:b/>
          <w:szCs w:val="20"/>
        </w:rPr>
      </w:pPr>
      <w:r>
        <w:rPr>
          <w:b/>
        </w:rPr>
        <w:lastRenderedPageBreak/>
        <w:t>Appendice 2</w:t>
      </w:r>
    </w:p>
    <w:p w:rsidR="009C13A9" w:rsidRPr="00C903F8" w:rsidRDefault="009C13A9" w:rsidP="009C13A9">
      <w:pPr>
        <w:tabs>
          <w:tab w:val="left" w:pos="1021"/>
          <w:tab w:val="center" w:pos="8080"/>
        </w:tabs>
        <w:suppressAutoHyphens/>
        <w:autoSpaceDE/>
        <w:autoSpaceDN/>
        <w:spacing w:line="240" w:lineRule="atLeast"/>
        <w:ind w:left="0" w:firstLine="0"/>
        <w:jc w:val="center"/>
        <w:rPr>
          <w:rFonts w:cs="Arial"/>
          <w:szCs w:val="20"/>
        </w:rPr>
      </w:pPr>
      <w:r>
        <w:rPr>
          <w:b/>
        </w:rPr>
        <w:t>Osservazioni sulla determinazione del fabbisogno biochimico di ossigeno dopo cinque giorni (</w:t>
      </w:r>
      <m:oMath>
        <m:sSub>
          <m:sSubPr>
            <m:ctrlPr>
              <w:rPr>
                <w:rFonts w:ascii="Cambria Math" w:hAnsi="Cambria Math"/>
                <w:b/>
                <w:i/>
                <w:noProof/>
              </w:rPr>
            </m:ctrlPr>
          </m:sSubPr>
          <m:e>
            <m:r>
              <m:rPr>
                <m:sty m:val="bi"/>
              </m:rPr>
              <w:rPr>
                <w:rFonts w:ascii="Cambria Math" w:hAnsi="Cambria Math"/>
                <w:noProof/>
              </w:rPr>
              <m:t>BOD</m:t>
            </m:r>
          </m:e>
          <m:sub>
            <m:r>
              <m:rPr>
                <m:sty m:val="bi"/>
              </m:rPr>
              <w:rPr>
                <w:rFonts w:ascii="Cambria Math" w:hAnsi="Cambria Math"/>
                <w:noProof/>
              </w:rPr>
              <m:t>5</m:t>
            </m:r>
          </m:sub>
        </m:sSub>
      </m:oMath>
      <w:r>
        <w:rPr>
          <w:b/>
        </w:rPr>
        <w:t>) in campioni compositi su 24 ore</w:t>
      </w:r>
    </w:p>
    <w:p w:rsidR="009C13A9" w:rsidRPr="00C903F8" w:rsidRDefault="009C13A9" w:rsidP="009C13A9">
      <w:pPr>
        <w:tabs>
          <w:tab w:val="left" w:pos="709"/>
        </w:tabs>
        <w:suppressAutoHyphens/>
        <w:autoSpaceDE/>
        <w:autoSpaceDN/>
        <w:spacing w:line="240" w:lineRule="atLeast"/>
        <w:ind w:left="0" w:firstLine="0"/>
        <w:rPr>
          <w:rFonts w:cs="Arial"/>
          <w:szCs w:val="20"/>
        </w:rPr>
      </w:pPr>
    </w:p>
    <w:p w:rsidR="009C13A9" w:rsidRPr="00C903F8" w:rsidRDefault="009C13A9" w:rsidP="009C13A9">
      <w:pPr>
        <w:tabs>
          <w:tab w:val="left" w:leader="dot" w:pos="9072"/>
        </w:tabs>
        <w:spacing w:line="240" w:lineRule="atLeast"/>
        <w:ind w:left="0" w:firstLine="0"/>
        <w:rPr>
          <w:rFonts w:cs="Arial"/>
          <w:noProof/>
        </w:rPr>
      </w:pPr>
      <w:r>
        <w:t xml:space="preserve">Le norme internazionali ISO 5815 and 5815-2:2003 stabiliscono che, ai fini dell'analisi per determinare il fabbisogno biochimico di ossigeno dopo cinque giorni i campioni di acqua devono essere conservati immediatamente dopo il campionamento e fino al momento dell'analisi in una bottiglia riempita fino all'orlo e sigillata ermeticamente a una temperatura di 0-4 °C. La procedura per determinare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t xml:space="preserve"> dovrebbe iniziare prima possibile o comunque entro 24 ore dalla conclusione del campionamento.</w:t>
      </w:r>
    </w:p>
    <w:p w:rsidR="009C13A9" w:rsidRPr="00C903F8" w:rsidRDefault="009C13A9"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noProof/>
        </w:rPr>
      </w:pPr>
      <w:r>
        <w:t>Al fine di evitare processi di degradazione biochimica nel campione composito su 24 ore, nella pratica il campione d’acqua è raffreddato a una temperatura di 4 °C massimo mentre il campionamento prosegue ed è conservato a tale temperatura una volta completato il processo di campionamento.</w:t>
      </w:r>
    </w:p>
    <w:p w:rsidR="009C13A9" w:rsidRPr="00C903F8" w:rsidRDefault="009C13A9" w:rsidP="009C13A9">
      <w:pPr>
        <w:tabs>
          <w:tab w:val="left" w:leader="dot" w:pos="9072"/>
        </w:tabs>
        <w:spacing w:line="240" w:lineRule="atLeast"/>
        <w:ind w:left="0" w:firstLine="0"/>
        <w:rPr>
          <w:rFonts w:cs="Arial"/>
          <w:noProof/>
        </w:rPr>
      </w:pPr>
    </w:p>
    <w:p w:rsidR="009C13A9" w:rsidRDefault="009C13A9" w:rsidP="009C13A9">
      <w:pPr>
        <w:tabs>
          <w:tab w:val="left" w:leader="dot" w:pos="9072"/>
        </w:tabs>
        <w:spacing w:line="240" w:lineRule="atLeast"/>
        <w:ind w:left="0" w:firstLine="0"/>
        <w:rPr>
          <w:rFonts w:cs="Arial"/>
          <w:noProof/>
        </w:rPr>
      </w:pPr>
      <w:r>
        <w:t>Apparecchiature adeguate per il campionamento sono regolarmente in commercio.</w:t>
      </w:r>
    </w:p>
    <w:p w:rsidR="000323F4" w:rsidRPr="00C903F8" w:rsidRDefault="000323F4" w:rsidP="009C13A9">
      <w:pPr>
        <w:tabs>
          <w:tab w:val="left" w:leader="dot" w:pos="9072"/>
        </w:tabs>
        <w:spacing w:line="240" w:lineRule="atLeast"/>
        <w:ind w:left="0" w:firstLine="0"/>
        <w:rPr>
          <w:rFonts w:cs="Arial"/>
          <w:noProof/>
        </w:rPr>
      </w:pPr>
    </w:p>
    <w:p w:rsidR="009C13A9" w:rsidRPr="00C903F8" w:rsidRDefault="009C13A9" w:rsidP="009C13A9">
      <w:pPr>
        <w:tabs>
          <w:tab w:val="left" w:leader="dot" w:pos="9072"/>
        </w:tabs>
        <w:spacing w:line="240" w:lineRule="atLeast"/>
        <w:ind w:left="0" w:firstLine="0"/>
        <w:rPr>
          <w:rFonts w:cs="Arial"/>
        </w:rPr>
      </w:pPr>
    </w:p>
    <w:p w:rsidR="0072529F" w:rsidRPr="00C903F8" w:rsidRDefault="0072529F" w:rsidP="009C13A9">
      <w:pPr>
        <w:tabs>
          <w:tab w:val="left" w:leader="dot" w:pos="9072"/>
        </w:tabs>
        <w:spacing w:line="240" w:lineRule="atLeast"/>
        <w:ind w:left="0" w:firstLine="0"/>
        <w:rPr>
          <w:rFonts w:cs="Arial"/>
        </w:rPr>
        <w:sectPr w:rsidR="0072529F" w:rsidRPr="00C903F8" w:rsidSect="00AC5CC1">
          <w:footnotePr>
            <w:numRestart w:val="eachPage"/>
          </w:footnotePr>
          <w:pgSz w:w="11906" w:h="16838" w:code="9"/>
          <w:pgMar w:top="1418" w:right="1418" w:bottom="1418" w:left="1418" w:header="709" w:footer="709" w:gutter="0"/>
          <w:cols w:space="709"/>
          <w:titlePg/>
          <w:docGrid w:linePitch="272"/>
        </w:sectPr>
      </w:pPr>
    </w:p>
    <w:p w:rsidR="009C13A9" w:rsidRDefault="009C13A9" w:rsidP="009C13A9">
      <w:pPr>
        <w:tabs>
          <w:tab w:val="left" w:pos="709"/>
        </w:tabs>
        <w:suppressAutoHyphens/>
        <w:autoSpaceDE/>
        <w:autoSpaceDN/>
        <w:spacing w:line="240" w:lineRule="atLeast"/>
        <w:ind w:left="0" w:firstLine="0"/>
        <w:rPr>
          <w:rFonts w:cs="Arial"/>
          <w:szCs w:val="20"/>
        </w:rPr>
      </w:pPr>
    </w:p>
    <w:p w:rsidR="00886F89" w:rsidRDefault="00886F89" w:rsidP="009C13A9">
      <w:pPr>
        <w:tabs>
          <w:tab w:val="left" w:pos="709"/>
        </w:tabs>
        <w:suppressAutoHyphens/>
        <w:autoSpaceDE/>
        <w:autoSpaceDN/>
        <w:spacing w:line="240" w:lineRule="atLeast"/>
        <w:ind w:left="0" w:firstLine="0"/>
        <w:rPr>
          <w:rFonts w:cs="Arial"/>
          <w:szCs w:val="20"/>
        </w:rPr>
      </w:pPr>
    </w:p>
    <w:p w:rsidR="00886F89" w:rsidRDefault="00886F89" w:rsidP="009C13A9">
      <w:pPr>
        <w:tabs>
          <w:tab w:val="left" w:pos="709"/>
        </w:tabs>
        <w:suppressAutoHyphens/>
        <w:autoSpaceDE/>
        <w:autoSpaceDN/>
        <w:spacing w:line="240" w:lineRule="atLeast"/>
        <w:ind w:left="0" w:firstLine="0"/>
        <w:rPr>
          <w:rFonts w:cs="Arial"/>
          <w:szCs w:val="20"/>
        </w:rPr>
      </w:pPr>
    </w:p>
    <w:p w:rsidR="00886F89" w:rsidRPr="00C903F8" w:rsidRDefault="00886F89" w:rsidP="009C13A9">
      <w:pPr>
        <w:tabs>
          <w:tab w:val="left" w:pos="709"/>
        </w:tabs>
        <w:suppressAutoHyphens/>
        <w:autoSpaceDE/>
        <w:autoSpaceDN/>
        <w:spacing w:line="240" w:lineRule="atLeast"/>
        <w:ind w:left="0" w:firstLine="0"/>
        <w:rPr>
          <w:rFonts w:cs="Arial"/>
          <w:szCs w:val="20"/>
        </w:rPr>
      </w:pPr>
    </w:p>
    <w:p w:rsidR="000323F4" w:rsidRDefault="000323F4" w:rsidP="00067BB9">
      <w:pPr>
        <w:pStyle w:val="ES-Titre2"/>
        <w:pageBreakBefore w:val="0"/>
        <w:sectPr w:rsidR="000323F4" w:rsidSect="00AC5CC1">
          <w:footnotePr>
            <w:numRestart w:val="eachPage"/>
          </w:footnotePr>
          <w:pgSz w:w="11906" w:h="16838" w:code="9"/>
          <w:pgMar w:top="1418" w:right="1418" w:bottom="1418" w:left="1418" w:header="709" w:footer="709" w:gutter="0"/>
          <w:cols w:space="709"/>
          <w:titlePg/>
          <w:docGrid w:linePitch="272"/>
        </w:sectPr>
      </w:pPr>
    </w:p>
    <w:p w:rsidR="009C13A9" w:rsidRPr="00C903F8" w:rsidRDefault="00F25585" w:rsidP="00067BB9">
      <w:pPr>
        <w:pStyle w:val="ES-Titre2"/>
        <w:pageBreakBefore w:val="0"/>
      </w:pPr>
      <w:bookmarkStart w:id="718" w:name="_Toc491854342"/>
      <w:bookmarkStart w:id="719" w:name="_Toc535500291"/>
      <w:r>
        <w:lastRenderedPageBreak/>
        <w:t>Allegato 8</w:t>
      </w:r>
      <w:r>
        <w:br/>
        <w:t>Disposizioni supplementari applicabili alle imbarcazioni alimentate</w:t>
      </w:r>
      <w:r>
        <w:br/>
        <w:t>con combustibili aventi un punto di infiammabilità pari o inferiore a 55 °C</w:t>
      </w:r>
      <w:bookmarkEnd w:id="718"/>
      <w:bookmarkEnd w:id="719"/>
    </w:p>
    <w:p w:rsidR="009C13A9" w:rsidRPr="00C903F8" w:rsidRDefault="009C13A9" w:rsidP="00A94102">
      <w:pPr>
        <w:pStyle w:val="ESch"/>
      </w:pPr>
    </w:p>
    <w:p w:rsidR="005C7DB3" w:rsidRPr="00C903F8" w:rsidRDefault="005C7DB3" w:rsidP="00A94102">
      <w:pPr>
        <w:pStyle w:val="ES-Titre3"/>
      </w:pPr>
      <w:bookmarkStart w:id="720" w:name="_Toc491854343"/>
      <w:bookmarkStart w:id="721" w:name="_Toc535500292"/>
      <w:r>
        <w:t>Sezione I</w:t>
      </w:r>
      <w:bookmarkEnd w:id="720"/>
      <w:bookmarkEnd w:id="721"/>
    </w:p>
    <w:p w:rsidR="005C7DB3" w:rsidRPr="00C903F8" w:rsidRDefault="005C7DB3" w:rsidP="00A94102">
      <w:pPr>
        <w:pStyle w:val="ES-Titre3a"/>
      </w:pPr>
      <w:bookmarkStart w:id="722" w:name="_Toc491854344"/>
      <w:bookmarkStart w:id="723" w:name="_Toc535500293"/>
      <w:r>
        <w:t>Gas naturale liquefatto (GNL)</w:t>
      </w:r>
      <w:bookmarkEnd w:id="722"/>
      <w:bookmarkEnd w:id="723"/>
    </w:p>
    <w:p w:rsidR="005C7DB3" w:rsidRPr="00C903F8" w:rsidRDefault="005C7DB3" w:rsidP="005C7DB3">
      <w:pPr>
        <w:adjustRightInd w:val="0"/>
        <w:spacing w:line="240" w:lineRule="atLeast"/>
        <w:ind w:left="0" w:firstLine="0"/>
        <w:jc w:val="left"/>
        <w:rPr>
          <w:rFonts w:cs="Arial"/>
          <w:szCs w:val="20"/>
        </w:rPr>
      </w:pPr>
    </w:p>
    <w:p w:rsidR="005C7DB3" w:rsidRPr="00C903F8" w:rsidRDefault="00A94102" w:rsidP="00A94102">
      <w:pPr>
        <w:pStyle w:val="Esann8titrechap"/>
      </w:pPr>
      <w:r>
        <w:t xml:space="preserve">Capo 1 </w:t>
      </w:r>
    </w:p>
    <w:p w:rsidR="005C7DB3" w:rsidRPr="00C903F8" w:rsidRDefault="005C7DB3" w:rsidP="00A94102">
      <w:pPr>
        <w:pStyle w:val="Esann8titrechap"/>
      </w:pPr>
      <w:r>
        <w:t>Aspetti generali</w:t>
      </w:r>
    </w:p>
    <w:p w:rsidR="005C7DB3" w:rsidRPr="00C903F8" w:rsidRDefault="005C7DB3" w:rsidP="00A94102">
      <w:pPr>
        <w:pStyle w:val="Esann8ch"/>
      </w:pPr>
    </w:p>
    <w:p w:rsidR="005C7DB3" w:rsidRPr="00C903F8" w:rsidRDefault="005C7DB3" w:rsidP="00A94102">
      <w:pPr>
        <w:pStyle w:val="Esann8chgras"/>
      </w:pPr>
      <w:r>
        <w:t>1.1</w:t>
      </w:r>
      <w:r>
        <w:tab/>
        <w:t>Applicazione</w:t>
      </w:r>
    </w:p>
    <w:p w:rsidR="005C7DB3" w:rsidRPr="00C903F8" w:rsidRDefault="005C7DB3" w:rsidP="005C7DB3">
      <w:pPr>
        <w:tabs>
          <w:tab w:val="left" w:pos="720"/>
          <w:tab w:val="left" w:pos="1440"/>
        </w:tabs>
        <w:adjustRightInd w:val="0"/>
        <w:spacing w:line="240" w:lineRule="atLeast"/>
        <w:ind w:left="0" w:firstLine="0"/>
        <w:rPr>
          <w:rFonts w:cs="Arial"/>
          <w:b/>
          <w:bCs/>
          <w:szCs w:val="20"/>
          <w:u w:val="single"/>
        </w:rPr>
      </w:pPr>
    </w:p>
    <w:p w:rsidR="005C7DB3" w:rsidRPr="00C903F8" w:rsidRDefault="005C7DB3" w:rsidP="00A94102">
      <w:pPr>
        <w:pStyle w:val="Esann8ch"/>
        <w:rPr>
          <w:b/>
          <w:bCs/>
        </w:rPr>
      </w:pPr>
      <w:r>
        <w:t>1.1.1</w:t>
      </w:r>
      <w:r>
        <w:tab/>
        <w:t xml:space="preserve">Le disposizioni di cui alla sezione I si applicano alle imbarcazioni dotate di sistemi di propulsione o ausiliari alimentati a gas naturale liquefatto (GNL) conformemente al punto 1.2.1 e riguardano tutti gli aspetti che richiedono particolare considerazione ai fini dell'uso di gas naturale liquefatto (GNL) come combustibile. </w:t>
      </w:r>
    </w:p>
    <w:p w:rsidR="005C7DB3" w:rsidRPr="00C903F8" w:rsidRDefault="005C7DB3" w:rsidP="005C7DB3">
      <w:pPr>
        <w:tabs>
          <w:tab w:val="left" w:pos="720"/>
          <w:tab w:val="left" w:pos="1440"/>
        </w:tabs>
        <w:adjustRightInd w:val="0"/>
        <w:spacing w:line="240" w:lineRule="atLeast"/>
        <w:ind w:left="0" w:firstLine="0"/>
        <w:rPr>
          <w:rFonts w:cs="Arial"/>
          <w:b/>
          <w:bCs/>
          <w:szCs w:val="20"/>
        </w:rPr>
      </w:pPr>
    </w:p>
    <w:p w:rsidR="005C7DB3" w:rsidRPr="00C903F8" w:rsidRDefault="005C7DB3" w:rsidP="00544563">
      <w:pPr>
        <w:pStyle w:val="Esann8chgras"/>
        <w:rPr>
          <w:rFonts w:eastAsia="Calibri"/>
        </w:rPr>
      </w:pPr>
      <w:r>
        <w:t>1.2</w:t>
      </w:r>
      <w:r>
        <w:tab/>
        <w:t>Definizioni</w:t>
      </w:r>
    </w:p>
    <w:p w:rsidR="005C7DB3" w:rsidRPr="00C903F8" w:rsidRDefault="005C7DB3" w:rsidP="005C7DB3">
      <w:pPr>
        <w:adjustRightInd w:val="0"/>
        <w:spacing w:line="240" w:lineRule="atLeast"/>
        <w:ind w:left="0" w:firstLine="0"/>
        <w:rPr>
          <w:rFonts w:cs="Arial"/>
          <w:iCs/>
          <w:szCs w:val="20"/>
        </w:rPr>
      </w:pPr>
    </w:p>
    <w:p w:rsidR="00E36B0E" w:rsidRPr="00C903F8" w:rsidRDefault="00E36B0E" w:rsidP="00E36B0E">
      <w:pPr>
        <w:pStyle w:val="Esann8chpar"/>
      </w:pPr>
      <w:r>
        <w:t>Ai fini della presente sezione si applicano le seguenti definizioni.</w:t>
      </w:r>
    </w:p>
    <w:p w:rsidR="00E36B0E" w:rsidRPr="00C903F8" w:rsidRDefault="00E36B0E" w:rsidP="00E36B0E">
      <w:pPr>
        <w:pStyle w:val="Esann8chpar"/>
      </w:pPr>
    </w:p>
    <w:p w:rsidR="00A26ED8" w:rsidRPr="00C903F8" w:rsidRDefault="00A26ED8" w:rsidP="00A26ED8">
      <w:pPr>
        <w:pStyle w:val="Esann8ch"/>
      </w:pPr>
      <w:r>
        <w:t>1.2.1</w:t>
      </w:r>
      <w:r>
        <w:tab/>
      </w:r>
      <w:r>
        <w:rPr>
          <w:i/>
        </w:rPr>
        <w:t>Gas naturale liquefatto (GNL)</w:t>
      </w:r>
      <w:r>
        <w:t>: gas naturale che è stato liquefatto raffreddandolo a una temperatura di -161 °C.</w:t>
      </w:r>
    </w:p>
    <w:p w:rsidR="00A26ED8" w:rsidRPr="00C903F8" w:rsidRDefault="00A26ED8" w:rsidP="00A26ED8">
      <w:pPr>
        <w:pStyle w:val="Esann8ch"/>
      </w:pPr>
    </w:p>
    <w:p w:rsidR="00A26ED8" w:rsidRPr="00C903F8" w:rsidRDefault="00A26ED8" w:rsidP="00A26ED8">
      <w:pPr>
        <w:pStyle w:val="Esann8ch"/>
      </w:pPr>
      <w:r>
        <w:t>1.2.2</w:t>
      </w:r>
      <w:r>
        <w:rPr>
          <w:i/>
        </w:rPr>
        <w:t xml:space="preserve"> </w:t>
      </w:r>
      <w:r>
        <w:tab/>
      </w:r>
      <w:r>
        <w:rPr>
          <w:i/>
        </w:rPr>
        <w:t>Impianto GNL:</w:t>
      </w:r>
      <w:r>
        <w:t xml:space="preserve"> tutte le parti dell'imbarcazione che possono contenere gas naturale liquefatto o gas naturale, come motori, serbatoi per il combustibile e tubolature per il rifornimento.</w:t>
      </w:r>
    </w:p>
    <w:p w:rsidR="00A26ED8" w:rsidRPr="00C903F8" w:rsidRDefault="00A26ED8" w:rsidP="00A26ED8">
      <w:pPr>
        <w:pStyle w:val="Esann8ch"/>
      </w:pPr>
    </w:p>
    <w:p w:rsidR="00A26ED8" w:rsidRPr="00C903F8" w:rsidRDefault="00A26ED8" w:rsidP="00A26ED8">
      <w:pPr>
        <w:pStyle w:val="Esann8ch"/>
      </w:pPr>
      <w:r>
        <w:t>1.2.3</w:t>
      </w:r>
      <w:r>
        <w:tab/>
      </w:r>
      <w:r>
        <w:rPr>
          <w:i/>
        </w:rPr>
        <w:t>Sistema di rifornimento di GNL:</w:t>
      </w:r>
      <w:r>
        <w:t xml:space="preserve"> le apparecchiature per il rifornimento del gas naturale liquefatto a bordo (stazione di rifornimento e tubolature per il rifornimento).</w:t>
      </w:r>
    </w:p>
    <w:p w:rsidR="00A26ED8" w:rsidRPr="00C903F8" w:rsidRDefault="00A26ED8" w:rsidP="00A26ED8">
      <w:pPr>
        <w:pStyle w:val="Esann8ch"/>
      </w:pPr>
    </w:p>
    <w:p w:rsidR="00A26ED8" w:rsidRPr="00C903F8" w:rsidRDefault="00A26ED8" w:rsidP="00A26ED8">
      <w:pPr>
        <w:pStyle w:val="Esann8ch"/>
      </w:pPr>
      <w:r>
        <w:t>1.2.4</w:t>
      </w:r>
      <w:r>
        <w:tab/>
      </w:r>
      <w:r>
        <w:rPr>
          <w:i/>
        </w:rPr>
        <w:t>Stazione di rifornimento:</w:t>
      </w:r>
      <w:r>
        <w:t xml:space="preserve"> la zona presente a bordo nella quale si trovano tutte le apparecchiature utilizzate per il rifornimento, quali collettori, valvole, strumenti di indagine, dispositivi di sicurezza, stazione di monitoraggio, strumenti, ecc.</w:t>
      </w:r>
    </w:p>
    <w:p w:rsidR="00A26ED8" w:rsidRPr="00C903F8" w:rsidRDefault="00A26ED8" w:rsidP="00A26ED8">
      <w:pPr>
        <w:pStyle w:val="Esann8ch"/>
      </w:pPr>
    </w:p>
    <w:p w:rsidR="00A26ED8" w:rsidRPr="00C903F8" w:rsidRDefault="00A26ED8" w:rsidP="00A26ED8">
      <w:pPr>
        <w:pStyle w:val="Esann8ch"/>
      </w:pPr>
      <w:r>
        <w:t>1.2.5</w:t>
      </w:r>
      <w:r>
        <w:tab/>
      </w:r>
      <w:r>
        <w:rPr>
          <w:i/>
        </w:rPr>
        <w:t>Sistema di contenimento del GNL:</w:t>
      </w:r>
      <w:r>
        <w:t xml:space="preserve"> le apparecchiature utilizzate per l'immagazzinamento di gas naturale liquefatto, comprese le connessioni dei serbatoi.</w:t>
      </w:r>
    </w:p>
    <w:p w:rsidR="00A26ED8" w:rsidRPr="00C903F8" w:rsidRDefault="00A26ED8" w:rsidP="00A26ED8">
      <w:pPr>
        <w:pStyle w:val="Esann8ch"/>
      </w:pPr>
    </w:p>
    <w:p w:rsidR="00A26ED8" w:rsidRPr="00C903F8" w:rsidRDefault="00A26ED8" w:rsidP="00A26ED8">
      <w:pPr>
        <w:pStyle w:val="Esann8ch"/>
      </w:pPr>
      <w:r>
        <w:t>1.2.6</w:t>
      </w:r>
      <w:r>
        <w:tab/>
      </w:r>
      <w:r>
        <w:rPr>
          <w:i/>
        </w:rPr>
        <w:t>Sistema di alimentazione del gas:</w:t>
      </w:r>
      <w:r>
        <w:t xml:space="preserve"> le apparecchiature, compresi il sistema di preparazione del gas e le linee e le valvole di alimentazione del gas, necessarie per alimentare il gas a bordo a tutte le utenze collegate.</w:t>
      </w:r>
    </w:p>
    <w:p w:rsidR="00A26ED8" w:rsidRPr="00C903F8" w:rsidRDefault="00A26ED8" w:rsidP="00A26ED8">
      <w:pPr>
        <w:pStyle w:val="Esann8ch"/>
      </w:pPr>
    </w:p>
    <w:p w:rsidR="00A26ED8" w:rsidRPr="00C903F8" w:rsidRDefault="00A26ED8" w:rsidP="00A26ED8">
      <w:pPr>
        <w:pStyle w:val="Esann8ch"/>
      </w:pPr>
      <w:r>
        <w:t>1.2.7</w:t>
      </w:r>
      <w:r>
        <w:tab/>
      </w:r>
      <w:r>
        <w:rPr>
          <w:i/>
        </w:rPr>
        <w:t>Sistema di preparazione del gas:</w:t>
      </w:r>
      <w:r>
        <w:t xml:space="preserve"> l'unità utilizzata per convertire il gas naturale liquefatto in gas naturale, i suoi accessori e le sue tubazioni.</w:t>
      </w:r>
    </w:p>
    <w:p w:rsidR="005C7DB3" w:rsidRPr="00C903F8" w:rsidRDefault="005C7DB3" w:rsidP="00544563">
      <w:pPr>
        <w:pStyle w:val="Esann8ch"/>
      </w:pPr>
    </w:p>
    <w:p w:rsidR="00A26ED8" w:rsidRPr="00C903F8" w:rsidRDefault="00A26ED8" w:rsidP="00A26ED8">
      <w:pPr>
        <w:pStyle w:val="Esann8ch"/>
      </w:pPr>
      <w:r>
        <w:t>1.2.8</w:t>
      </w:r>
      <w:r>
        <w:tab/>
      </w:r>
      <w:r>
        <w:rPr>
          <w:i/>
        </w:rPr>
        <w:t>Zone pericolose</w:t>
      </w:r>
      <w:r>
        <w:t>: zone 0, 1 e 2 come classificate in appresso:</w:t>
      </w:r>
    </w:p>
    <w:p w:rsidR="00A26ED8" w:rsidRPr="00C903F8" w:rsidRDefault="00A26ED8" w:rsidP="00A26ED8">
      <w:pPr>
        <w:adjustRightInd w:val="0"/>
        <w:spacing w:line="240" w:lineRule="atLeast"/>
        <w:ind w:left="709" w:hanging="709"/>
        <w:rPr>
          <w:rFonts w:cs="Arial"/>
          <w:color w:val="000000"/>
          <w:szCs w:val="20"/>
        </w:rPr>
      </w:pPr>
    </w:p>
    <w:p w:rsidR="00A26ED8" w:rsidRPr="00C903F8" w:rsidRDefault="00A26ED8" w:rsidP="00A26ED8">
      <w:pPr>
        <w:pStyle w:val="Esann8ch"/>
      </w:pPr>
      <w:r>
        <w:t>1.2.8.1</w:t>
      </w:r>
      <w:r>
        <w:tab/>
        <w:t>zona 0: zona nella quale è presente, in maniera continua o per lunghi periodi o di frequente, un'atmosfera esplosiva costituita da una miscela di aria e sostanze infiammabili sotto forma di gas, vapore o nebbia;</w:t>
      </w:r>
    </w:p>
    <w:p w:rsidR="00A26ED8" w:rsidRPr="00C903F8" w:rsidRDefault="00A26ED8" w:rsidP="00A26ED8">
      <w:pPr>
        <w:pStyle w:val="Esann8ch"/>
      </w:pPr>
    </w:p>
    <w:p w:rsidR="00A26ED8" w:rsidRPr="00C903F8" w:rsidRDefault="00A26ED8" w:rsidP="00A26ED8">
      <w:pPr>
        <w:pStyle w:val="Esann8ch"/>
      </w:pPr>
      <w:r>
        <w:t>1.2.8.2</w:t>
      </w:r>
      <w:r>
        <w:tab/>
        <w:t>zona 1: zona nella quale è presente, occasionalmente, in condizioni di esercizio normali, un'atmosfera esplosiva costituita da una miscela di aria e sostanze infiammabili sotto forma di gas, vapore o nebbia;</w:t>
      </w:r>
    </w:p>
    <w:p w:rsidR="005C7DB3" w:rsidRPr="00C903F8" w:rsidRDefault="005C7DB3" w:rsidP="00A26ED8">
      <w:pPr>
        <w:pStyle w:val="Esann8ch"/>
      </w:pPr>
    </w:p>
    <w:p w:rsidR="00544563" w:rsidRPr="00C903F8" w:rsidRDefault="00544563">
      <w:pPr>
        <w:autoSpaceDE/>
        <w:autoSpaceDN/>
        <w:ind w:left="0" w:firstLine="0"/>
        <w:jc w:val="left"/>
        <w:rPr>
          <w:rFonts w:eastAsia="Calibri" w:cs="Arial"/>
          <w:color w:val="000000"/>
          <w:szCs w:val="20"/>
        </w:rPr>
      </w:pPr>
      <w:r>
        <w:br w:type="page"/>
      </w:r>
    </w:p>
    <w:p w:rsidR="00544563" w:rsidRPr="00C903F8" w:rsidRDefault="00544563" w:rsidP="00544563">
      <w:pPr>
        <w:pStyle w:val="Esann8ch"/>
      </w:pPr>
    </w:p>
    <w:p w:rsidR="00A26ED8" w:rsidRPr="00C903F8" w:rsidRDefault="00A26ED8" w:rsidP="00A26ED8">
      <w:pPr>
        <w:pStyle w:val="Esann8ch"/>
        <w:rPr>
          <w:iCs/>
        </w:rPr>
      </w:pPr>
      <w:r>
        <w:t>1.2.8.3</w:t>
      </w:r>
      <w:r>
        <w:tab/>
        <w:t>zona 2: zona nella quale non è probabile che sia presente, in normali condizioni di esercizio, un'atmosfera esplosiva costituita da una miscela di aria e sostanze infiammabili sotto forma di gas, vapore o nebbia, ma che qualora si verifichi persisterà comunque soltanto per un breve periodo.</w:t>
      </w:r>
    </w:p>
    <w:p w:rsidR="00A26ED8" w:rsidRPr="00C903F8" w:rsidRDefault="00A26ED8" w:rsidP="00A26ED8">
      <w:pPr>
        <w:adjustRightInd w:val="0"/>
        <w:spacing w:line="240" w:lineRule="atLeast"/>
        <w:ind w:left="709" w:hanging="709"/>
        <w:rPr>
          <w:rFonts w:cs="Arial"/>
          <w:i/>
          <w:iCs/>
          <w:szCs w:val="20"/>
        </w:rPr>
      </w:pPr>
    </w:p>
    <w:p w:rsidR="00A26ED8" w:rsidRPr="00C903F8" w:rsidRDefault="00A26ED8" w:rsidP="00A26ED8">
      <w:pPr>
        <w:pStyle w:val="Esann8ch"/>
      </w:pPr>
      <w:r>
        <w:t>1.2.9</w:t>
      </w:r>
      <w:r>
        <w:tab/>
      </w:r>
      <w:r>
        <w:rPr>
          <w:i/>
        </w:rPr>
        <w:t>Locale chiuso</w:t>
      </w:r>
      <w:r>
        <w:t>: qualsiasi locale all'interno del quale, in assenza di ventilazione forzata, l'aerazione è limitata e qualsiasi atmosfera esplosiva non viene dispersa in maniera naturale.</w:t>
      </w:r>
    </w:p>
    <w:p w:rsidR="00A26ED8" w:rsidRPr="00C903F8" w:rsidRDefault="00A26ED8" w:rsidP="00A26ED8">
      <w:pPr>
        <w:pStyle w:val="Esann8ch"/>
        <w:rPr>
          <w:i/>
        </w:rPr>
      </w:pPr>
    </w:p>
    <w:p w:rsidR="00A26ED8" w:rsidRPr="00C903F8" w:rsidRDefault="00A26ED8" w:rsidP="00A26ED8">
      <w:pPr>
        <w:pStyle w:val="Esann8ch"/>
      </w:pPr>
      <w:r>
        <w:t>1.2.10</w:t>
      </w:r>
      <w:r>
        <w:tab/>
      </w:r>
      <w:r>
        <w:rPr>
          <w:i/>
        </w:rPr>
        <w:t>Locale semichiuso</w:t>
      </w:r>
      <w:r>
        <w:t xml:space="preserve"> un locale limitato da ponti o paratie che fanno sì che le condizioni naturali di ventilazione siano notevolmente diverse rispetto a quelle ottenute su un ponte scoperto.</w:t>
      </w:r>
    </w:p>
    <w:p w:rsidR="00A26ED8" w:rsidRPr="00C903F8" w:rsidRDefault="00A26ED8" w:rsidP="00A26ED8">
      <w:pPr>
        <w:pStyle w:val="Esann8ch"/>
      </w:pPr>
    </w:p>
    <w:p w:rsidR="00A26ED8" w:rsidRPr="00C903F8" w:rsidRDefault="00A26ED8" w:rsidP="00A26ED8">
      <w:pPr>
        <w:pStyle w:val="Esann8ch"/>
      </w:pPr>
      <w:r>
        <w:t>1.2.11</w:t>
      </w:r>
      <w:r>
        <w:tab/>
      </w:r>
      <w:r>
        <w:rPr>
          <w:i/>
        </w:rPr>
        <w:t>Valvola di sfiato della pressione</w:t>
      </w:r>
      <w:r>
        <w:t>: un dispositivo a molla attivato automaticamente dalla pressione, il cui scopo è quello di proteggere il serbatoio o le tubolature contro un'eccessiva pressione interna inammissibile.</w:t>
      </w:r>
    </w:p>
    <w:p w:rsidR="00A26ED8" w:rsidRPr="00C903F8" w:rsidRDefault="00A26ED8" w:rsidP="00A26ED8">
      <w:pPr>
        <w:pStyle w:val="Esann8ch"/>
      </w:pPr>
    </w:p>
    <w:p w:rsidR="00A26ED8" w:rsidRPr="00C903F8" w:rsidRDefault="00A26ED8" w:rsidP="00A26ED8">
      <w:pPr>
        <w:pStyle w:val="Esann8ch"/>
      </w:pPr>
      <w:r>
        <w:t>1.2.12</w:t>
      </w:r>
      <w:r>
        <w:tab/>
      </w:r>
      <w:r>
        <w:rPr>
          <w:i/>
        </w:rPr>
        <w:t>Motori a doppia alimentazione</w:t>
      </w:r>
      <w:r>
        <w:t>: motori che utilizzano gas naturale liquefatto (GNL) combinato a combustibile con un punto di infiammabilità superiore a 55 °C.</w:t>
      </w:r>
    </w:p>
    <w:p w:rsidR="00A26ED8" w:rsidRPr="00C903F8" w:rsidRDefault="00A26ED8" w:rsidP="00A26ED8">
      <w:pPr>
        <w:pStyle w:val="Esann8ch"/>
      </w:pPr>
    </w:p>
    <w:p w:rsidR="00A26ED8" w:rsidRPr="00C903F8" w:rsidRDefault="00A26ED8" w:rsidP="00A26ED8">
      <w:pPr>
        <w:pStyle w:val="Esann8ch"/>
      </w:pPr>
      <w:r>
        <w:t>1.2.13</w:t>
      </w:r>
      <w:r>
        <w:rPr>
          <w:i/>
        </w:rPr>
        <w:t xml:space="preserve"> </w:t>
      </w:r>
      <w:r>
        <w:tab/>
      </w:r>
      <w:r>
        <w:rPr>
          <w:i/>
        </w:rPr>
        <w:t>ESD</w:t>
      </w:r>
      <w:r>
        <w:t>: arresto di emergenza.</w:t>
      </w:r>
    </w:p>
    <w:p w:rsidR="00A26ED8" w:rsidRPr="00C903F8" w:rsidRDefault="00A26ED8" w:rsidP="00A26ED8">
      <w:pPr>
        <w:pStyle w:val="Esann8ch"/>
      </w:pPr>
    </w:p>
    <w:p w:rsidR="00A26ED8" w:rsidRPr="00C903F8" w:rsidRDefault="00A26ED8" w:rsidP="00A26ED8">
      <w:pPr>
        <w:pStyle w:val="Esann8ch"/>
      </w:pPr>
      <w:r>
        <w:t>1.2.14</w:t>
      </w:r>
      <w:r>
        <w:tab/>
      </w:r>
      <w:r>
        <w:rPr>
          <w:i/>
        </w:rPr>
        <w:t>Valvola principale di alimentazione del gas</w:t>
      </w:r>
      <w:r>
        <w:t>: una valvola di intercettazione automatica presente nelle linee di alimentazione del gas che alimentano i motori.</w:t>
      </w:r>
    </w:p>
    <w:p w:rsidR="00A26ED8" w:rsidRPr="00C903F8" w:rsidRDefault="00A26ED8" w:rsidP="00A26ED8">
      <w:pPr>
        <w:pStyle w:val="Esann8ch"/>
      </w:pPr>
    </w:p>
    <w:p w:rsidR="00A26ED8" w:rsidRPr="00C903F8" w:rsidRDefault="00A26ED8" w:rsidP="00A26ED8">
      <w:pPr>
        <w:pStyle w:val="Esann8ch"/>
        <w:rPr>
          <w:i/>
        </w:rPr>
      </w:pPr>
      <w:r>
        <w:t>1.2.15</w:t>
      </w:r>
      <w:r>
        <w:tab/>
      </w:r>
      <w:r>
        <w:rPr>
          <w:i/>
        </w:rPr>
        <w:t>Barriera secondaria:</w:t>
      </w:r>
      <w:r>
        <w:t xml:space="preserve"> l'elemento esterno di un sistema di contenimento del GNL o di tubolature, progettato per consentire il contenimento temporaneo di qualsiasi perdita di gas prevista attraverso la barriera primaria.</w:t>
      </w:r>
    </w:p>
    <w:p w:rsidR="00A26ED8" w:rsidRPr="00C903F8" w:rsidRDefault="00A26ED8" w:rsidP="00A26ED8">
      <w:pPr>
        <w:pStyle w:val="Esann8ch"/>
        <w:rPr>
          <w:i/>
        </w:rPr>
      </w:pPr>
    </w:p>
    <w:p w:rsidR="00A26ED8" w:rsidRPr="00C903F8" w:rsidRDefault="00A26ED8" w:rsidP="00A26ED8">
      <w:pPr>
        <w:pStyle w:val="Esann8ch"/>
        <w:rPr>
          <w:i/>
        </w:rPr>
      </w:pPr>
      <w:r>
        <w:t xml:space="preserve">1.2.16 </w:t>
      </w:r>
      <w:r>
        <w:tab/>
      </w:r>
      <w:r>
        <w:rPr>
          <w:i/>
        </w:rPr>
        <w:t>Pressione massima di esercizio</w:t>
      </w:r>
      <w:r>
        <w:t xml:space="preserve">: la pressione massima ammissibile in un serbatoio di GNL o nelle tubolature durante il l'esercizio. Tale pressione è pari alla pressione di apertura dei dispositivi o delle valvole di sfiato della pressione. </w:t>
      </w:r>
    </w:p>
    <w:p w:rsidR="00A26ED8" w:rsidRPr="00C903F8" w:rsidRDefault="00A26ED8" w:rsidP="00A26ED8">
      <w:pPr>
        <w:pStyle w:val="Esann8ch"/>
        <w:rPr>
          <w:i/>
        </w:rPr>
      </w:pPr>
    </w:p>
    <w:p w:rsidR="00A26ED8" w:rsidRPr="00C903F8" w:rsidRDefault="00A26ED8" w:rsidP="00A26ED8">
      <w:pPr>
        <w:pStyle w:val="Esann8ch"/>
      </w:pPr>
      <w:r>
        <w:t xml:space="preserve">1.2.17 </w:t>
      </w:r>
      <w:r>
        <w:tab/>
      </w:r>
      <w:r>
        <w:rPr>
          <w:i/>
        </w:rPr>
        <w:t>Pressione di progettazione</w:t>
      </w:r>
      <w:r>
        <w:t>: la pressione sulla base della quale sono stati progettati e costruiti il serbatoio o le tubolature per il GNL.</w:t>
      </w:r>
    </w:p>
    <w:p w:rsidR="00A26ED8" w:rsidRPr="00C903F8" w:rsidRDefault="00A26ED8" w:rsidP="00A26ED8">
      <w:pPr>
        <w:pStyle w:val="Esann8ch"/>
      </w:pPr>
    </w:p>
    <w:p w:rsidR="00A26ED8" w:rsidRPr="00C903F8" w:rsidRDefault="00A26ED8" w:rsidP="00A26ED8">
      <w:pPr>
        <w:pStyle w:val="Esann8ch"/>
      </w:pPr>
      <w:r>
        <w:t>1.2.18</w:t>
      </w:r>
      <w:r>
        <w:tab/>
      </w:r>
      <w:r>
        <w:rPr>
          <w:i/>
        </w:rPr>
        <w:t>Assieme di valvole di doppio blocco e sfiato</w:t>
      </w:r>
      <w:r>
        <w:t xml:space="preserve">: una serie di due valvole installate in serie su una tubolatura e una terza valvola che consente lo sfiato della pressione da tale tubolatura tra le prime due valvole. Tale apparecchiatura può constare altresì di una valvola a due vie e una valvola di chiusura anziché di tre valvole separate. </w:t>
      </w:r>
    </w:p>
    <w:p w:rsidR="00A26ED8" w:rsidRPr="00C903F8" w:rsidRDefault="00A26ED8" w:rsidP="00A26ED8">
      <w:pPr>
        <w:pStyle w:val="Esann8ch"/>
      </w:pPr>
    </w:p>
    <w:p w:rsidR="00A26ED8" w:rsidRPr="00C903F8" w:rsidRDefault="00A26ED8" w:rsidP="00A26ED8">
      <w:pPr>
        <w:pStyle w:val="Esann8ch"/>
      </w:pPr>
      <w:r>
        <w:t>1.2.19</w:t>
      </w:r>
      <w:r>
        <w:tab/>
      </w:r>
      <w:r>
        <w:rPr>
          <w:i/>
        </w:rPr>
        <w:t>Camera di equilibrio</w:t>
      </w:r>
      <w:r>
        <w:t>: uno spazio racchiuso da paratie in acciaio stagne al gas dotate di due porte stagne al gas, destinate a separare una zona non pericolosa da una zona pericolosa.</w:t>
      </w:r>
    </w:p>
    <w:p w:rsidR="00A26ED8" w:rsidRPr="00C903F8" w:rsidRDefault="00A26ED8" w:rsidP="00A26ED8">
      <w:pPr>
        <w:pStyle w:val="Esann8ch"/>
      </w:pPr>
    </w:p>
    <w:p w:rsidR="00A26ED8" w:rsidRPr="00C903F8" w:rsidRDefault="00A26ED8" w:rsidP="00A26ED8">
      <w:pPr>
        <w:pStyle w:val="Esann8ch"/>
      </w:pPr>
      <w:r>
        <w:t>1.2.20</w:t>
      </w:r>
      <w:r>
        <w:tab/>
      </w:r>
      <w:r>
        <w:rPr>
          <w:i/>
        </w:rPr>
        <w:t>Tubolature a doppia parete</w:t>
      </w:r>
      <w:r>
        <w:t>: tubolature dotate di una doppia parete nelle quali lo spazio tra le pareti è pressurizzato con gas inerte, attrezzate per rilevare eventuali perdite di gas da una delle due pareti.</w:t>
      </w:r>
    </w:p>
    <w:p w:rsidR="00A26ED8" w:rsidRPr="00C903F8" w:rsidRDefault="00A26ED8" w:rsidP="00A26ED8">
      <w:pPr>
        <w:pStyle w:val="Esann8ch"/>
      </w:pPr>
    </w:p>
    <w:p w:rsidR="00A26ED8" w:rsidRPr="00C903F8" w:rsidRDefault="00A26ED8" w:rsidP="00A26ED8">
      <w:pPr>
        <w:pStyle w:val="Esann8ch"/>
      </w:pPr>
      <w:r>
        <w:t>1.2.21</w:t>
      </w:r>
      <w:r>
        <w:tab/>
      </w:r>
      <w:r>
        <w:rPr>
          <w:i/>
        </w:rPr>
        <w:t>Componenti del sistema</w:t>
      </w:r>
      <w:r>
        <w:t>: tutti i componenti dell'impianto che possono contenere gas naturale liquefatto (GNL) o gas naturale (GN) (serbatoi per il combustibile, tubolature, valvole, tubi flessibili, pistoni, pompe, filtri, strumentazione, ecc.).</w:t>
      </w:r>
    </w:p>
    <w:p w:rsidR="005C7DB3" w:rsidRPr="00C903F8" w:rsidRDefault="005C7DB3" w:rsidP="00544563">
      <w:pPr>
        <w:pStyle w:val="Esann8ch"/>
      </w:pPr>
    </w:p>
    <w:p w:rsidR="005E7B71" w:rsidRPr="00C903F8" w:rsidRDefault="005E7B71">
      <w:pPr>
        <w:autoSpaceDE/>
        <w:autoSpaceDN/>
        <w:ind w:left="0" w:firstLine="0"/>
        <w:jc w:val="left"/>
        <w:rPr>
          <w:rFonts w:eastAsia="Calibri" w:cs="Arial"/>
          <w:color w:val="000000"/>
          <w:szCs w:val="20"/>
        </w:rPr>
      </w:pPr>
      <w:r>
        <w:br w:type="page"/>
      </w:r>
    </w:p>
    <w:p w:rsidR="005E7B71" w:rsidRPr="00C903F8" w:rsidRDefault="005E7B71" w:rsidP="00544563">
      <w:pPr>
        <w:pStyle w:val="Esann8ch"/>
      </w:pPr>
    </w:p>
    <w:p w:rsidR="00A26ED8" w:rsidRPr="00C903F8" w:rsidRDefault="00A26ED8" w:rsidP="00A26ED8">
      <w:pPr>
        <w:pStyle w:val="Esann8ch"/>
      </w:pPr>
      <w:r>
        <w:t>1.2.22</w:t>
      </w:r>
      <w:r>
        <w:tab/>
      </w:r>
      <w:r>
        <w:rPr>
          <w:i/>
        </w:rPr>
        <w:t>Condotta ventilata</w:t>
      </w:r>
      <w:r>
        <w:t>: una tubazione per il gas installata in una tubolatura o in una condotta, dotata di un sistema di ventilazione meccanica dei gas di scarico.</w:t>
      </w:r>
    </w:p>
    <w:p w:rsidR="00A26ED8" w:rsidRPr="00C903F8" w:rsidRDefault="00A26ED8" w:rsidP="00A26ED8">
      <w:pPr>
        <w:pStyle w:val="Esann8ch"/>
      </w:pPr>
    </w:p>
    <w:p w:rsidR="00A26ED8" w:rsidRPr="00C903F8" w:rsidRDefault="00A26ED8" w:rsidP="00A26ED8">
      <w:pPr>
        <w:pStyle w:val="Esann8ch"/>
      </w:pPr>
      <w:r>
        <w:t>1.2.23</w:t>
      </w:r>
      <w:r>
        <w:tab/>
      </w:r>
      <w:r>
        <w:rPr>
          <w:i/>
        </w:rPr>
        <w:t>Sistema di segnalazione dei gas</w:t>
      </w:r>
      <w:r>
        <w:t xml:space="preserve">: sistema di segnalazione </w:t>
      </w:r>
      <w:r>
        <w:rPr>
          <w:rStyle w:val="hps"/>
        </w:rPr>
        <w:t>per proteggere</w:t>
      </w:r>
      <w:r>
        <w:t xml:space="preserve"> </w:t>
      </w:r>
      <w:r>
        <w:rPr>
          <w:rStyle w:val="hps"/>
        </w:rPr>
        <w:t>le persone</w:t>
      </w:r>
      <w:r>
        <w:t xml:space="preserve"> </w:t>
      </w:r>
      <w:r>
        <w:rPr>
          <w:rStyle w:val="hps"/>
        </w:rPr>
        <w:t>e le cose da</w:t>
      </w:r>
      <w:r>
        <w:t xml:space="preserve"> </w:t>
      </w:r>
      <w:r>
        <w:rPr>
          <w:rStyle w:val="hps"/>
        </w:rPr>
        <w:t>gas pericolosi e miscele</w:t>
      </w:r>
      <w:r>
        <w:t xml:space="preserve"> </w:t>
      </w:r>
      <w:r>
        <w:rPr>
          <w:rStyle w:val="hps"/>
        </w:rPr>
        <w:t>gas</w:t>
      </w:r>
      <w:r>
        <w:rPr>
          <w:rStyle w:val="atn"/>
        </w:rPr>
        <w:t>-</w:t>
      </w:r>
      <w:r>
        <w:t xml:space="preserve">aria, costituito da rilevatori di gas per individuare i gas, </w:t>
      </w:r>
      <w:r>
        <w:rPr>
          <w:rStyle w:val="hps"/>
        </w:rPr>
        <w:t>un'unità di controllo</w:t>
      </w:r>
      <w:r>
        <w:t xml:space="preserve"> </w:t>
      </w:r>
      <w:r>
        <w:rPr>
          <w:rStyle w:val="hps"/>
        </w:rPr>
        <w:t>per l'elaborazione dei segnali</w:t>
      </w:r>
      <w:r>
        <w:t xml:space="preserve"> </w:t>
      </w:r>
      <w:r>
        <w:rPr>
          <w:rStyle w:val="hps"/>
        </w:rPr>
        <w:t>e</w:t>
      </w:r>
      <w:r>
        <w:t xml:space="preserve"> </w:t>
      </w:r>
      <w:r>
        <w:rPr>
          <w:rStyle w:val="hps"/>
        </w:rPr>
        <w:t>un'unità di</w:t>
      </w:r>
      <w:r>
        <w:t xml:space="preserve"> </w:t>
      </w:r>
      <w:r>
        <w:rPr>
          <w:rStyle w:val="hps"/>
        </w:rPr>
        <w:t>visualizzazione/allarme</w:t>
      </w:r>
      <w:r>
        <w:t xml:space="preserve"> </w:t>
      </w:r>
      <w:r>
        <w:rPr>
          <w:rStyle w:val="hps"/>
        </w:rPr>
        <w:t>per la visualizzazione dello stato</w:t>
      </w:r>
      <w:r>
        <w:t xml:space="preserve"> </w:t>
      </w:r>
      <w:r>
        <w:rPr>
          <w:rStyle w:val="hps"/>
        </w:rPr>
        <w:t>e</w:t>
      </w:r>
      <w:r>
        <w:t xml:space="preserve"> </w:t>
      </w:r>
      <w:r>
        <w:rPr>
          <w:rStyle w:val="hps"/>
        </w:rPr>
        <w:t>dell'avvertimento.</w:t>
      </w:r>
    </w:p>
    <w:p w:rsidR="005C7DB3" w:rsidRPr="00C903F8" w:rsidRDefault="005C7DB3" w:rsidP="00A26ED8">
      <w:pPr>
        <w:pStyle w:val="Esann8ch"/>
      </w:pPr>
    </w:p>
    <w:p w:rsidR="00A26ED8" w:rsidRPr="00C903F8" w:rsidRDefault="00A26ED8" w:rsidP="00A26ED8">
      <w:pPr>
        <w:pStyle w:val="Esann8chgras"/>
      </w:pPr>
      <w:r>
        <w:t>1.3</w:t>
      </w:r>
      <w:r>
        <w:tab/>
        <w:t>Valutazione dei rischi</w:t>
      </w:r>
    </w:p>
    <w:p w:rsidR="00A26ED8" w:rsidRPr="00C903F8" w:rsidRDefault="00A26ED8" w:rsidP="00A26ED8">
      <w:pPr>
        <w:pStyle w:val="Esann8ch"/>
      </w:pPr>
    </w:p>
    <w:p w:rsidR="00A26ED8" w:rsidRPr="00C903F8" w:rsidRDefault="00A26ED8" w:rsidP="00A26ED8">
      <w:pPr>
        <w:pStyle w:val="Esann8ch"/>
      </w:pPr>
      <w:r>
        <w:t>1.3.1</w:t>
      </w:r>
      <w:r>
        <w:tab/>
        <w:t>Occorre effettuare una valutazione dei rischi relativa a tutti i concetti e le configurazioni nuovi o che hanno subito modifiche significative. Tale valutazione affronta i rischi derivanti dall'uso di gas naturale liquefatto che interessano le persone a bordo, inclusi i passeggeri, l'ambiente, nonché la resistenza strutturale e l'integrità dell'imbarcazione. Occorre tenere conto in maniera ragionevole dei rischi associati alla struttura fisica, al funzionamento e alla manutenzione, a seguito di un guasto.</w:t>
      </w:r>
    </w:p>
    <w:p w:rsidR="00A26ED8" w:rsidRPr="00C903F8" w:rsidRDefault="00A26ED8" w:rsidP="00A26ED8">
      <w:pPr>
        <w:pStyle w:val="Esann8ch"/>
      </w:pPr>
    </w:p>
    <w:p w:rsidR="00A26ED8" w:rsidRPr="00C903F8" w:rsidRDefault="00A26ED8" w:rsidP="00A26ED8">
      <w:pPr>
        <w:pStyle w:val="Esann8ch"/>
      </w:pPr>
      <w:r>
        <w:t>1.3.2</w:t>
      </w:r>
      <w:r>
        <w:tab/>
        <w:t xml:space="preserve">I rischi sono determinati e valutati utilizzando una tecnica di analisi dei rischi riconosciuta dalla commissione di ispezione, come ad esempio le norme internazionali ISO 31000:2009 e ISO 31010:2010. Gli aspetti da prendere quanto meno in considerazione sono: la perdita di funzionalità, il danneggiamento di componenti, l'incendio, l'esplosione, l'allagamento di un locale serbatoi, l'affondamento dell'imbarcazione e la presenza di una sovratensione elettrica. L'analisi contribuisce ad assicurare che i rischi siano eliminati ovunque possibile. I rischi che non possono essere eliminati completamente sono attenuati fino a raggiungere un livello accettabile. Occorre descrivere gli scenari principali e le misure destinate ad eliminare o attenuare i rischi. </w:t>
      </w:r>
    </w:p>
    <w:p w:rsidR="00A26ED8" w:rsidRPr="00C903F8" w:rsidRDefault="00A26ED8" w:rsidP="00A26ED8">
      <w:pPr>
        <w:pStyle w:val="Esann8ch"/>
      </w:pPr>
    </w:p>
    <w:p w:rsidR="00A26ED8" w:rsidRPr="00C903F8" w:rsidRDefault="00A26ED8" w:rsidP="00A26ED8">
      <w:pPr>
        <w:pStyle w:val="Esann8ch"/>
      </w:pPr>
      <w:r>
        <w:t>1.3.3</w:t>
      </w:r>
      <w:r>
        <w:tab/>
        <w:t>La classificazione delle zone pericolose a bordo, suddivise nelle zone 0, 1 e 2, in conformità con il punto 1.2.8, va documentata nella valutazione del rischio.</w:t>
      </w:r>
    </w:p>
    <w:p w:rsidR="00A26ED8" w:rsidRPr="00C903F8" w:rsidRDefault="00A26ED8" w:rsidP="00A26ED8">
      <w:pPr>
        <w:pStyle w:val="Esann8ch"/>
        <w:rPr>
          <w:b/>
        </w:rPr>
      </w:pPr>
    </w:p>
    <w:p w:rsidR="00A26ED8" w:rsidRPr="00C903F8" w:rsidRDefault="00A26ED8" w:rsidP="00A26ED8">
      <w:pPr>
        <w:pStyle w:val="Esann8chgras"/>
        <w:rPr>
          <w:rFonts w:eastAsia="Calibri"/>
        </w:rPr>
      </w:pPr>
      <w:r>
        <w:t>1.4</w:t>
      </w:r>
      <w:r>
        <w:tab/>
        <w:t>Requisiti generali</w:t>
      </w:r>
    </w:p>
    <w:p w:rsidR="00A26ED8" w:rsidRPr="00C903F8" w:rsidRDefault="00A26ED8" w:rsidP="00A26ED8">
      <w:pPr>
        <w:pStyle w:val="Esann8ch"/>
      </w:pPr>
    </w:p>
    <w:p w:rsidR="00A26ED8" w:rsidRPr="00C903F8" w:rsidRDefault="00A26ED8" w:rsidP="00A26ED8">
      <w:pPr>
        <w:pStyle w:val="Esann8ch"/>
      </w:pPr>
      <w:r>
        <w:t>1.4.1</w:t>
      </w:r>
      <w:r>
        <w:tab/>
        <w:t>Una singola avaria dell'impianto GNL non deve determinare una situazione di pericolo.</w:t>
      </w:r>
    </w:p>
    <w:p w:rsidR="00A26ED8" w:rsidRPr="00C903F8" w:rsidRDefault="00A26ED8" w:rsidP="00A26ED8">
      <w:pPr>
        <w:pStyle w:val="Esann8ch"/>
      </w:pPr>
    </w:p>
    <w:p w:rsidR="00A26ED8" w:rsidRPr="00C903F8" w:rsidRDefault="00A26ED8" w:rsidP="00A26ED8">
      <w:pPr>
        <w:pStyle w:val="Esann8ch"/>
      </w:pPr>
      <w:r>
        <w:t>1.4.2</w:t>
      </w:r>
      <w:r>
        <w:tab/>
        <w:t xml:space="preserve">L'impianto GNL è progettato, costruito, installato, sottoposto a manutenzione e protetto in maniera tale da garantire un funzionamento sicuro e affidabile. </w:t>
      </w:r>
    </w:p>
    <w:p w:rsidR="00A26ED8" w:rsidRPr="00C903F8" w:rsidRDefault="00A26ED8" w:rsidP="00A26ED8">
      <w:pPr>
        <w:pStyle w:val="Esann8ch"/>
      </w:pPr>
    </w:p>
    <w:p w:rsidR="00A26ED8" w:rsidRPr="00C903F8" w:rsidRDefault="00A26ED8" w:rsidP="00A26ED8">
      <w:pPr>
        <w:pStyle w:val="Esann8ch"/>
      </w:pPr>
      <w:r>
        <w:t>1.4.3</w:t>
      </w:r>
      <w:r>
        <w:tab/>
        <w:t>I componenti dell'impianto GNL sono protetti contro danni esterni.</w:t>
      </w:r>
    </w:p>
    <w:p w:rsidR="00A26ED8" w:rsidRPr="00C903F8" w:rsidRDefault="00A26ED8" w:rsidP="00A26ED8">
      <w:pPr>
        <w:pStyle w:val="Esann8ch"/>
      </w:pPr>
    </w:p>
    <w:p w:rsidR="00A26ED8" w:rsidRPr="00C903F8" w:rsidRDefault="00A26ED8" w:rsidP="00A26ED8">
      <w:pPr>
        <w:pStyle w:val="Esann8ch"/>
      </w:pPr>
      <w:r>
        <w:t>1.4.4</w:t>
      </w:r>
      <w:r>
        <w:tab/>
        <w:t>Le zone pericolose sono soggette a restrizioni, per quanto possibile, al fine di ridurre al minimo i rischi potenziali che potrebbero influire sulla sicurezza dell'imbarcazione, delle persone a bordo, dell'ambiente e delle apparecchiature. In particolare, le zone pericolose sono parti della nave non destinate ai passeggeri conformemente all'articolo 19.06, paragrafo 11.</w:t>
      </w:r>
    </w:p>
    <w:p w:rsidR="00A26ED8" w:rsidRPr="00C903F8" w:rsidRDefault="00A26ED8" w:rsidP="00A26ED8">
      <w:pPr>
        <w:pStyle w:val="Esann8ch"/>
      </w:pPr>
    </w:p>
    <w:p w:rsidR="00A26ED8" w:rsidRPr="00C903F8" w:rsidRDefault="00A26ED8" w:rsidP="00A26ED8">
      <w:pPr>
        <w:pStyle w:val="Esann8ch"/>
      </w:pPr>
      <w:r>
        <w:t xml:space="preserve">1.4.5 </w:t>
      </w:r>
      <w:r>
        <w:tab/>
        <w:t>Vengono adottate misure idonee per tenere i passeggeri lontano dalle zone pericolose.</w:t>
      </w:r>
    </w:p>
    <w:p w:rsidR="00A26ED8" w:rsidRPr="00C903F8" w:rsidRDefault="00A26ED8" w:rsidP="00A26ED8">
      <w:pPr>
        <w:pStyle w:val="Esann8ch"/>
      </w:pPr>
    </w:p>
    <w:p w:rsidR="00A26ED8" w:rsidRPr="00C903F8" w:rsidRDefault="00A26ED8" w:rsidP="00A26ED8">
      <w:pPr>
        <w:pStyle w:val="Esann8ch"/>
      </w:pPr>
      <w:r>
        <w:t>1.4.6</w:t>
      </w:r>
      <w:r>
        <w:tab/>
        <w:t>Le apparecchiature installate in zone pericolose vanno ridotte al minimo necessario per le finalità di esercizio e devono essere certificate in maniera idonea e adeguata.</w:t>
      </w:r>
    </w:p>
    <w:p w:rsidR="00A26ED8" w:rsidRPr="00C903F8" w:rsidRDefault="00A26ED8" w:rsidP="00A26ED8">
      <w:pPr>
        <w:pStyle w:val="Esann8ch"/>
      </w:pPr>
    </w:p>
    <w:p w:rsidR="00A26ED8" w:rsidRPr="00C903F8" w:rsidRDefault="00A26ED8" w:rsidP="00A26ED8">
      <w:pPr>
        <w:pStyle w:val="Esann8ch"/>
      </w:pPr>
      <w:r>
        <w:t>1.4.7</w:t>
      </w:r>
      <w:r>
        <w:tab/>
        <w:t>Occorre evitare l'accumulo indesiderato di concentrazioni di gas esplosivi o infiammabili.</w:t>
      </w:r>
    </w:p>
    <w:p w:rsidR="00A26ED8" w:rsidRPr="00C903F8" w:rsidRDefault="00A26ED8" w:rsidP="00544563">
      <w:pPr>
        <w:pStyle w:val="Esann8ch"/>
      </w:pPr>
    </w:p>
    <w:p w:rsidR="00A26ED8" w:rsidRPr="00C903F8" w:rsidRDefault="00A26ED8" w:rsidP="00544563">
      <w:pPr>
        <w:pStyle w:val="Esann8ch"/>
      </w:pPr>
    </w:p>
    <w:p w:rsidR="00ED22AF" w:rsidRPr="00C903F8" w:rsidRDefault="00ED22AF">
      <w:pPr>
        <w:autoSpaceDE/>
        <w:autoSpaceDN/>
        <w:ind w:left="0" w:firstLine="0"/>
        <w:jc w:val="left"/>
        <w:rPr>
          <w:rFonts w:eastAsia="Calibri" w:cs="Arial"/>
          <w:color w:val="000000"/>
          <w:szCs w:val="20"/>
        </w:rPr>
      </w:pPr>
      <w:r>
        <w:br w:type="page"/>
      </w:r>
    </w:p>
    <w:p w:rsidR="00ED22AF" w:rsidRPr="00C903F8" w:rsidRDefault="00ED22AF" w:rsidP="00544563">
      <w:pPr>
        <w:pStyle w:val="Esann8ch"/>
      </w:pPr>
    </w:p>
    <w:p w:rsidR="001D0FFC" w:rsidRPr="00C903F8" w:rsidRDefault="001D0FFC" w:rsidP="001D0FFC">
      <w:pPr>
        <w:pStyle w:val="Esann8ch"/>
      </w:pPr>
      <w:r>
        <w:t>1.4.8</w:t>
      </w:r>
      <w:r>
        <w:tab/>
        <w:t>Va esclusa la presenza di sorgenti di accensione nelle zone pericolose al fine di ridurre la probabilità di esplosioni.</w:t>
      </w:r>
    </w:p>
    <w:p w:rsidR="001D0FFC" w:rsidRPr="00C903F8" w:rsidRDefault="001D0FFC" w:rsidP="001D0FFC">
      <w:pPr>
        <w:pStyle w:val="Esann8ch"/>
      </w:pPr>
    </w:p>
    <w:p w:rsidR="001D0FFC" w:rsidRPr="00C903F8" w:rsidRDefault="001D0FFC" w:rsidP="001D0FFC">
      <w:pPr>
        <w:pStyle w:val="Esann8ch"/>
      </w:pPr>
      <w:r>
        <w:t>1.4.9</w:t>
      </w:r>
      <w:r>
        <w:tab/>
        <w:t>A bordo dell'imbarcazione che utilizzando il gas naturale liquefatto come combustibile è presente un manuale d'uso dettagliato dell'impianto GNL, il quale, come minimo:</w:t>
      </w:r>
    </w:p>
    <w:p w:rsidR="001D0FFC" w:rsidRPr="00C903F8" w:rsidRDefault="001D0FFC" w:rsidP="001D0FFC">
      <w:pPr>
        <w:pStyle w:val="Esann8let"/>
      </w:pPr>
      <w:r>
        <w:t>a)</w:t>
      </w:r>
      <w:r>
        <w:tab/>
        <w:t>contiene spiegazioni pratiche relative al sistema di rifornimento di GNL, al sistema di rifornimento di GNL, al sistema di tubolature del GNL, al sistema di alimentazione del gas, alla sala macchine, al sistema di ventilazione, al sistema di sicurezza, monitoraggio, controllo e prevenzione di perdite;</w:t>
      </w:r>
    </w:p>
    <w:p w:rsidR="001D0FFC" w:rsidRPr="00C903F8" w:rsidRDefault="001D0FFC" w:rsidP="001D0FFC">
      <w:pPr>
        <w:pStyle w:val="Esann8let"/>
      </w:pPr>
      <w:r>
        <w:t>b)</w:t>
      </w:r>
      <w:r>
        <w:tab/>
        <w:t>descrive le operazioni di rifornimento, in particolare il funzionamento delle valvole, lo spurgo, l'inertizzazione e lo sfiato di gas;</w:t>
      </w:r>
    </w:p>
    <w:p w:rsidR="001D0FFC" w:rsidRPr="00C903F8" w:rsidRDefault="001D0FFC" w:rsidP="001D0FFC">
      <w:pPr>
        <w:pStyle w:val="Esann8let"/>
      </w:pPr>
      <w:r>
        <w:t>c)</w:t>
      </w:r>
      <w:r>
        <w:tab/>
        <w:t>descrive il metodo pertinente di isolamento elettrico durante le operazioni di rifornimento;</w:t>
      </w:r>
    </w:p>
    <w:p w:rsidR="001D0FFC" w:rsidRPr="00C903F8" w:rsidRDefault="001D0FFC" w:rsidP="001D0FFC">
      <w:pPr>
        <w:pStyle w:val="Esann8let"/>
      </w:pPr>
      <w:r>
        <w:t xml:space="preserve">d) </w:t>
      </w:r>
      <w:r>
        <w:tab/>
        <w:t>descrive i dettagli dei rischi individuati nella valutazione dei rischi di cui al punto 1.3 e le modalità di attenuazione degli stessi.</w:t>
      </w:r>
    </w:p>
    <w:p w:rsidR="001D0FFC" w:rsidRPr="00C903F8" w:rsidRDefault="001D0FFC" w:rsidP="001D0FFC">
      <w:pPr>
        <w:adjustRightInd w:val="0"/>
        <w:spacing w:line="240" w:lineRule="atLeast"/>
        <w:ind w:left="709" w:hanging="709"/>
        <w:rPr>
          <w:rFonts w:eastAsia="Calibri" w:cs="Arial"/>
          <w:szCs w:val="20"/>
        </w:rPr>
      </w:pPr>
    </w:p>
    <w:p w:rsidR="001D0FFC" w:rsidRPr="00C903F8" w:rsidRDefault="001D0FFC" w:rsidP="001D0FFC">
      <w:pPr>
        <w:pStyle w:val="Esann8ch"/>
      </w:pPr>
      <w:r>
        <w:t>1.4.10</w:t>
      </w:r>
      <w:r>
        <w:tab/>
        <w:t>Un incendio o un'esplosione causati da una fuoriuscita di gas nei sistemi di contenimento del GNL e nelle sale macchine non devono rendere non funzionanti i macchinari o le apparecchiature essenziali presenti in altri comparti.</w:t>
      </w:r>
    </w:p>
    <w:p w:rsidR="001D0FFC" w:rsidRPr="00C903F8" w:rsidRDefault="001D0FFC" w:rsidP="001D0FFC">
      <w:pPr>
        <w:adjustRightInd w:val="0"/>
        <w:spacing w:line="240" w:lineRule="atLeast"/>
        <w:ind w:left="709" w:hanging="709"/>
        <w:rPr>
          <w:rFonts w:eastAsia="Calibri" w:cs="Arial"/>
          <w:szCs w:val="20"/>
        </w:rPr>
      </w:pPr>
    </w:p>
    <w:p w:rsidR="001D0FFC" w:rsidRPr="00C903F8" w:rsidRDefault="001D0FFC" w:rsidP="001D0FFC">
      <w:pPr>
        <w:pStyle w:val="Esann8chgras"/>
        <w:rPr>
          <w:rFonts w:eastAsia="Calibri"/>
        </w:rPr>
      </w:pPr>
      <w:r>
        <w:t>1.5</w:t>
      </w:r>
      <w:r>
        <w:tab/>
        <w:t>Conoscenza del servizio tecnico</w:t>
      </w:r>
    </w:p>
    <w:p w:rsidR="001D0FFC" w:rsidRPr="00C903F8" w:rsidRDefault="001D0FFC" w:rsidP="001D0FFC">
      <w:pPr>
        <w:autoSpaceDE/>
        <w:autoSpaceDN/>
        <w:spacing w:line="240" w:lineRule="atLeast"/>
        <w:ind w:left="0" w:firstLine="0"/>
        <w:jc w:val="left"/>
        <w:rPr>
          <w:rFonts w:cs="Arial"/>
          <w:b/>
          <w:szCs w:val="20"/>
        </w:rPr>
      </w:pPr>
    </w:p>
    <w:p w:rsidR="001D0FFC" w:rsidRPr="00C903F8" w:rsidRDefault="001D0FFC" w:rsidP="001D0FFC">
      <w:pPr>
        <w:pStyle w:val="Esann8chpar"/>
      </w:pPr>
      <w:r>
        <w:t>La conoscenza della quale dispone il servizio tecnico di cui all'articolo 30.01, paragrafo 4, comprende quanto meno i seguenti settori:</w:t>
      </w:r>
    </w:p>
    <w:p w:rsidR="001D0FFC" w:rsidRPr="00C903F8" w:rsidRDefault="001D0FFC" w:rsidP="001D0FFC">
      <w:pPr>
        <w:pStyle w:val="Esann8let"/>
      </w:pPr>
      <w:r>
        <w:t>a)</w:t>
      </w:r>
      <w:r>
        <w:tab/>
        <w:t xml:space="preserve">sistema di alimentazione del combustibile comprendente serbatoi, scambiatori di calore, tubolature; </w:t>
      </w:r>
    </w:p>
    <w:p w:rsidR="001D0FFC" w:rsidRPr="00C903F8" w:rsidRDefault="001D0FFC" w:rsidP="001D0FFC">
      <w:pPr>
        <w:pStyle w:val="Esann8let"/>
      </w:pPr>
      <w:r>
        <w:t>b)</w:t>
      </w:r>
      <w:r>
        <w:tab/>
        <w:t>robustezza (longitudinale e locale) e stabilità dell'imbarcazione;</w:t>
      </w:r>
    </w:p>
    <w:p w:rsidR="001D0FFC" w:rsidRPr="00C903F8" w:rsidRDefault="001D0FFC" w:rsidP="001D0FFC">
      <w:pPr>
        <w:pStyle w:val="Esann8let"/>
      </w:pPr>
      <w:r>
        <w:t>c)</w:t>
      </w:r>
      <w:r>
        <w:tab/>
        <w:t>impianti elettrici e sistemi di controllo;</w:t>
      </w:r>
    </w:p>
    <w:p w:rsidR="001D0FFC" w:rsidRPr="00C903F8" w:rsidRDefault="001D0FFC" w:rsidP="001D0FFC">
      <w:pPr>
        <w:pStyle w:val="Esann8let"/>
      </w:pPr>
      <w:r>
        <w:t>d)</w:t>
      </w:r>
      <w:r>
        <w:tab/>
        <w:t>sistema di ventilazione;</w:t>
      </w:r>
    </w:p>
    <w:p w:rsidR="001D0FFC" w:rsidRPr="00C903F8" w:rsidRDefault="001D0FFC" w:rsidP="001D0FFC">
      <w:pPr>
        <w:pStyle w:val="Esann8let"/>
      </w:pPr>
      <w:r>
        <w:t>e)</w:t>
      </w:r>
      <w:r>
        <w:tab/>
        <w:t>sicurezza antincendio;</w:t>
      </w:r>
    </w:p>
    <w:p w:rsidR="001D0FFC" w:rsidRPr="00C903F8" w:rsidRDefault="001D0FFC" w:rsidP="001D0FFC">
      <w:pPr>
        <w:pStyle w:val="Esann8let"/>
      </w:pPr>
      <w:r>
        <w:t>f)</w:t>
      </w:r>
      <w:r>
        <w:tab/>
        <w:t>sistema di segnalazione dei gas.</w:t>
      </w:r>
    </w:p>
    <w:p w:rsidR="001D0FFC" w:rsidRPr="00C903F8" w:rsidRDefault="001D0FFC" w:rsidP="001D0FFC">
      <w:pPr>
        <w:adjustRightInd w:val="0"/>
        <w:spacing w:line="240" w:lineRule="atLeast"/>
        <w:ind w:left="709" w:hanging="709"/>
        <w:rPr>
          <w:rFonts w:eastAsia="Calibri" w:cs="Arial"/>
          <w:szCs w:val="20"/>
        </w:rPr>
      </w:pPr>
    </w:p>
    <w:p w:rsidR="001D0FFC" w:rsidRPr="00C903F8" w:rsidRDefault="001D0FFC" w:rsidP="001D0FFC">
      <w:pPr>
        <w:pStyle w:val="Esann8chgras"/>
        <w:rPr>
          <w:rFonts w:eastAsia="Calibri"/>
        </w:rPr>
      </w:pPr>
      <w:r>
        <w:t>1.6</w:t>
      </w:r>
      <w:r>
        <w:tab/>
        <w:t>Marcatura:</w:t>
      </w:r>
    </w:p>
    <w:p w:rsidR="001D0FFC" w:rsidRPr="00C903F8" w:rsidRDefault="001D0FFC" w:rsidP="001D0FFC">
      <w:pPr>
        <w:adjustRightInd w:val="0"/>
        <w:spacing w:line="240" w:lineRule="atLeast"/>
        <w:ind w:left="709" w:hanging="709"/>
        <w:rPr>
          <w:rFonts w:eastAsia="Calibri" w:cs="Arial"/>
          <w:b/>
          <w:szCs w:val="20"/>
        </w:rPr>
      </w:pPr>
    </w:p>
    <w:p w:rsidR="001D0FFC" w:rsidRPr="00C903F8" w:rsidRDefault="001D0FFC" w:rsidP="001D0FFC">
      <w:pPr>
        <w:pStyle w:val="Esann8chpar"/>
      </w:pPr>
      <w:r>
        <w:t>sul lato esterno delle porte dei locali nei quali viene utilizzato gas naturale liquefatto è affisso un simbolo di "Avvertimento GNL" conformemente alla figura 11 dell'allegato 4, avente un'altezza minima di 10 cm.</w:t>
      </w:r>
    </w:p>
    <w:p w:rsidR="001D0FFC" w:rsidRPr="00C903F8" w:rsidRDefault="001D0FFC" w:rsidP="001D0FFC">
      <w:pPr>
        <w:adjustRightInd w:val="0"/>
        <w:spacing w:line="240" w:lineRule="atLeast"/>
        <w:ind w:left="709" w:hanging="709"/>
        <w:rPr>
          <w:rFonts w:eastAsia="Calibri" w:cs="Arial"/>
          <w:szCs w:val="20"/>
        </w:rPr>
      </w:pPr>
    </w:p>
    <w:p w:rsidR="001D0FFC" w:rsidRPr="00C903F8" w:rsidRDefault="001D0FFC" w:rsidP="001D0FFC">
      <w:pPr>
        <w:autoSpaceDE/>
        <w:autoSpaceDN/>
        <w:ind w:left="0" w:firstLine="0"/>
        <w:jc w:val="left"/>
        <w:rPr>
          <w:rFonts w:cs="Arial"/>
          <w:b/>
          <w:szCs w:val="20"/>
        </w:rPr>
      </w:pPr>
    </w:p>
    <w:p w:rsidR="001D0FFC" w:rsidRPr="00C903F8" w:rsidRDefault="001D0FFC" w:rsidP="001D0FFC">
      <w:pPr>
        <w:pStyle w:val="Esann8titrechap"/>
      </w:pPr>
      <w:r>
        <w:t xml:space="preserve">Capo 2 </w:t>
      </w:r>
    </w:p>
    <w:p w:rsidR="001D0FFC" w:rsidRPr="00C903F8" w:rsidRDefault="001D0FFC" w:rsidP="001D0FFC">
      <w:pPr>
        <w:pStyle w:val="Esann8titrechap"/>
      </w:pPr>
      <w:r>
        <w:t>Progettazione dei sistemi e delle apparecchiature della nave</w:t>
      </w:r>
    </w:p>
    <w:p w:rsidR="001D0FFC" w:rsidRPr="00C903F8" w:rsidRDefault="001D0FFC" w:rsidP="001D0FFC">
      <w:pPr>
        <w:pStyle w:val="Esannch"/>
      </w:pPr>
    </w:p>
    <w:p w:rsidR="001D0FFC" w:rsidRPr="00C903F8" w:rsidRDefault="001D0FFC" w:rsidP="001D0FFC">
      <w:pPr>
        <w:pStyle w:val="Esann8chgras"/>
      </w:pPr>
      <w:r>
        <w:t>2.1</w:t>
      </w:r>
      <w:r>
        <w:tab/>
        <w:t xml:space="preserve">Sistema di contenimento del GNL </w:t>
      </w:r>
    </w:p>
    <w:p w:rsidR="001D0FFC" w:rsidRPr="00C903F8" w:rsidRDefault="001D0FFC" w:rsidP="001D0FFC">
      <w:pPr>
        <w:adjustRightInd w:val="0"/>
        <w:spacing w:line="240" w:lineRule="atLeast"/>
        <w:ind w:left="709" w:hanging="709"/>
        <w:rPr>
          <w:rFonts w:eastAsia="Calibri" w:cs="Arial"/>
          <w:szCs w:val="20"/>
        </w:rPr>
      </w:pPr>
    </w:p>
    <w:p w:rsidR="001D0FFC" w:rsidRPr="00C903F8" w:rsidRDefault="001D0FFC" w:rsidP="001D0FFC">
      <w:pPr>
        <w:pStyle w:val="Esann8ch"/>
      </w:pPr>
      <w:r>
        <w:t>2.1.1</w:t>
      </w:r>
      <w:r>
        <w:tab/>
        <w:t>Il sistema di contenimento del GNL è separato dalle sale macchine o da altre zone soggette ad alto rischio di incendio.</w:t>
      </w:r>
    </w:p>
    <w:p w:rsidR="001D0FFC" w:rsidRPr="00C903F8" w:rsidRDefault="001D0FFC" w:rsidP="001D0FFC">
      <w:pPr>
        <w:pStyle w:val="Esann8ch"/>
      </w:pPr>
    </w:p>
    <w:p w:rsidR="001D0FFC" w:rsidRPr="00C903F8" w:rsidRDefault="001D0FFC" w:rsidP="001D0FFC">
      <w:pPr>
        <w:pStyle w:val="Esann8ch"/>
      </w:pPr>
      <w:r>
        <w:t>2.1.2</w:t>
      </w:r>
      <w:r>
        <w:tab/>
        <w:t>I serbatoi di GNL sono posizionati il​più vicino possibile alla linea mediana longitudinale della nave.</w:t>
      </w:r>
    </w:p>
    <w:p w:rsidR="005C7DB3" w:rsidRPr="00C903F8" w:rsidRDefault="005C7DB3" w:rsidP="00ED22AF">
      <w:pPr>
        <w:pStyle w:val="Esann8ch"/>
      </w:pPr>
    </w:p>
    <w:p w:rsidR="00ED22AF" w:rsidRPr="00C903F8" w:rsidRDefault="00ED22AF">
      <w:pPr>
        <w:autoSpaceDE/>
        <w:autoSpaceDN/>
        <w:ind w:left="0" w:firstLine="0"/>
        <w:jc w:val="left"/>
        <w:rPr>
          <w:rFonts w:eastAsia="Calibri" w:cs="Arial"/>
          <w:color w:val="000000"/>
          <w:szCs w:val="20"/>
        </w:rPr>
      </w:pPr>
      <w:r>
        <w:br w:type="page"/>
      </w:r>
    </w:p>
    <w:p w:rsidR="00ED22AF" w:rsidRPr="00C903F8" w:rsidRDefault="00ED22AF" w:rsidP="00ED22AF">
      <w:pPr>
        <w:pStyle w:val="Esann8ch"/>
      </w:pPr>
    </w:p>
    <w:p w:rsidR="001D0FFC" w:rsidRPr="00C903F8" w:rsidRDefault="001D0FFC" w:rsidP="001D0FFC">
      <w:pPr>
        <w:pStyle w:val="Esann8ch"/>
      </w:pPr>
      <w:r>
        <w:t xml:space="preserve">2.1.3 </w:t>
      </w:r>
      <w:r>
        <w:tab/>
        <w:t>La distanza tra la parete dell'imbarcazione e il serbatoio di GNL della nave non è inferiore a 1,00 m. Se i serbatoi di GNL si trovano:</w:t>
      </w:r>
    </w:p>
    <w:p w:rsidR="001D0FFC" w:rsidRPr="00C903F8" w:rsidRDefault="001D0FFC" w:rsidP="001D0FFC">
      <w:pPr>
        <w:pStyle w:val="Esann8let"/>
      </w:pPr>
      <w:r>
        <w:t>a)</w:t>
      </w:r>
      <w:r>
        <w:tab/>
        <w:t xml:space="preserve">sottocoperta, l'imbarcazione deve presentare una costruzione con doppia parete e doppio fondo nella posizione dei serbatoi di GNL. La distanza tra la parete della nave e la parete interna dell'imbarcazione non è inferiore a 0,60 m e la profondità del doppio fondo non è inferiore a 0,60 m; </w:t>
      </w:r>
    </w:p>
    <w:p w:rsidR="001D0FFC" w:rsidRPr="00C903F8" w:rsidRDefault="0084166A" w:rsidP="001D0FFC">
      <w:pPr>
        <w:pStyle w:val="Esann8let"/>
      </w:pPr>
      <w:r>
        <w:t>b)</w:t>
      </w:r>
      <w:r>
        <w:tab/>
        <w:t xml:space="preserve">su un ponte scoperto, la distanza deve essere pari ad almeno B/5 dai piani verticali definiti dai lati dell'imbarcazione. </w:t>
      </w:r>
    </w:p>
    <w:p w:rsidR="001D0FFC" w:rsidRPr="00C903F8" w:rsidRDefault="001D0FFC" w:rsidP="001D0FFC">
      <w:pPr>
        <w:pStyle w:val="Esann8ch"/>
      </w:pPr>
    </w:p>
    <w:p w:rsidR="001D0FFC" w:rsidRPr="00C903F8" w:rsidRDefault="001D0FFC" w:rsidP="001D0FFC">
      <w:pPr>
        <w:pStyle w:val="Esann8ch"/>
      </w:pPr>
      <w:r>
        <w:t>2.1.4</w:t>
      </w:r>
      <w:r>
        <w:tab/>
        <w:t>Il serbatoio di GNL è un serbatoio indipendente progettato in conformità alle norme europee EN 13530:2002, EN 13458-2:2002 in combinazione con carichi dinamici o con il codice IGC (serbatoio di tipo C). La commissione di ispezione può accettare altre norme equivalenti di uno degli Stati rivieraschi del Reno e del Belgio.</w:t>
      </w:r>
    </w:p>
    <w:p w:rsidR="001D0FFC" w:rsidRPr="00C903F8" w:rsidRDefault="001D0FFC" w:rsidP="001D0FFC">
      <w:pPr>
        <w:pStyle w:val="Esann8ch"/>
      </w:pPr>
    </w:p>
    <w:p w:rsidR="001D0FFC" w:rsidRPr="00C903F8" w:rsidRDefault="001D0FFC" w:rsidP="001D0FFC">
      <w:pPr>
        <w:pStyle w:val="Esann8ch"/>
      </w:pPr>
      <w:r>
        <w:t>2.1.5</w:t>
      </w:r>
      <w:r>
        <w:tab/>
        <w:t xml:space="preserve">I collegamenti dei serbatoi vanno montati sopra il livello più alto di liquido nei serbatoi. La commissione di ispezione può accettare collegamenti al di sotto del livello più alto del liquido. </w:t>
      </w:r>
    </w:p>
    <w:p w:rsidR="001D0FFC" w:rsidRDefault="001D0FFC" w:rsidP="001D0FFC">
      <w:pPr>
        <w:pStyle w:val="Esann8ch"/>
      </w:pPr>
    </w:p>
    <w:p w:rsidR="0084166A" w:rsidRPr="00C903F8" w:rsidRDefault="0084166A" w:rsidP="0084166A">
      <w:pPr>
        <w:pStyle w:val="Esann8ch"/>
      </w:pPr>
      <w:r>
        <w:t>2.1.6</w:t>
      </w:r>
      <w:r>
        <w:tab/>
        <w:t>Se i collegamenti dei serbatoi si trovano al di sotto del livello più alto del liquido nei serbatoi di GNL, sotto ai serbatoi vanno collocati dei raccoglitori di gocciolamento che soddisfano i seguenti requisiti:</w:t>
      </w:r>
    </w:p>
    <w:p w:rsidR="0084166A" w:rsidRPr="00C903F8" w:rsidRDefault="0084166A" w:rsidP="0084166A">
      <w:pPr>
        <w:pStyle w:val="Esann8let"/>
      </w:pPr>
      <w:r>
        <w:t>a)</w:t>
      </w:r>
      <w:r>
        <w:tab/>
        <w:t>la capacità del raccoglitore di gocciolamento è sufficiente a contenere il volume che potrebbe fuoriuscire in caso di guasto nel collegamento del tubo;</w:t>
      </w:r>
    </w:p>
    <w:p w:rsidR="0084166A" w:rsidRPr="00C903F8" w:rsidRDefault="0084166A" w:rsidP="0084166A">
      <w:pPr>
        <w:pStyle w:val="Esann8let"/>
      </w:pPr>
      <w:r>
        <w:t>b)</w:t>
      </w:r>
      <w:r>
        <w:tab/>
        <w:t xml:space="preserve">il raccoglitore di gocciolamento è realizzato in acciaio inossidabile adatto; </w:t>
      </w:r>
    </w:p>
    <w:p w:rsidR="0084166A" w:rsidRPr="00C903F8" w:rsidRDefault="0084166A" w:rsidP="0084166A">
      <w:pPr>
        <w:pStyle w:val="Esann8let"/>
      </w:pPr>
      <w:r>
        <w:t>c)</w:t>
      </w:r>
      <w:r>
        <w:tab/>
        <w:t>il raccoglitore di gocciolamento è sufficientemente separato o isolato dalle strutture dello scafo o dei ponti in maniera tale che queste ultime non siano esposte ad un raffreddamento inaccettabile in caso di perdita di gas naturale liquefatto.</w:t>
      </w:r>
    </w:p>
    <w:p w:rsidR="0084166A" w:rsidRDefault="0084166A" w:rsidP="001D0FFC">
      <w:pPr>
        <w:pStyle w:val="Esann8ch"/>
      </w:pPr>
    </w:p>
    <w:p w:rsidR="0084166A" w:rsidRPr="00C903F8" w:rsidRDefault="0084166A" w:rsidP="001D0FFC">
      <w:pPr>
        <w:pStyle w:val="Esann8ch"/>
      </w:pPr>
    </w:p>
    <w:p w:rsidR="001D0FFC" w:rsidRPr="00C903F8" w:rsidRDefault="0084166A" w:rsidP="001D0FFC">
      <w:pPr>
        <w:pStyle w:val="Esann8ch"/>
      </w:pPr>
      <w:r>
        <w:t>2.1.7</w:t>
      </w:r>
      <w:r>
        <w:tab/>
        <w:t>Il sistema di contenimento del GNL è provvisto di una barriera secondaria. Non è richiesta alcuna barriera secondaria per i sistemi di contenimento del GNL nel contesto dei quali la probabilità di guasti strutturali e perdite attraverso la barriera primaria è estremamente bassa e può essere trascurata.</w:t>
      </w:r>
    </w:p>
    <w:p w:rsidR="001D0FFC" w:rsidRPr="00C903F8" w:rsidRDefault="001D0FFC" w:rsidP="001D0FFC">
      <w:pPr>
        <w:pStyle w:val="Esann8ch"/>
      </w:pPr>
    </w:p>
    <w:p w:rsidR="001D0FFC" w:rsidRPr="00C903F8" w:rsidRDefault="0084166A" w:rsidP="001D0FFC">
      <w:pPr>
        <w:pStyle w:val="Esann8ch"/>
      </w:pPr>
      <w:r>
        <w:t>2.1.8</w:t>
      </w:r>
      <w:r>
        <w:tab/>
        <w:t>Se la barriera secondaria del sistema di contenimento del GNL fa parte della struttura dello scafo, potrebbe essere un confine del locale serbatoi soggetto alle necessarie precauzioni contro la perdita di liquido criogenico.</w:t>
      </w:r>
    </w:p>
    <w:p w:rsidR="001D0FFC" w:rsidRPr="00C903F8" w:rsidRDefault="001D0FFC" w:rsidP="001D0FFC">
      <w:pPr>
        <w:pStyle w:val="Esann8ch"/>
      </w:pPr>
    </w:p>
    <w:p w:rsidR="001D0FFC" w:rsidRPr="00C903F8" w:rsidRDefault="001D0FFC" w:rsidP="001D0FFC">
      <w:pPr>
        <w:pStyle w:val="Esann8ch"/>
      </w:pPr>
      <w:r>
        <w:t>2.1.9</w:t>
      </w:r>
      <w:r>
        <w:tab/>
        <w:t>L'ubicazione e la costruzione del sistema di contenimento del GNL e delle altre apparecchiature sul ponte scoperto garantiscono una ventilazione sufficiente. Occorre evitare l'accumulo di gas naturale fuoriuscito.</w:t>
      </w:r>
    </w:p>
    <w:p w:rsidR="001D0FFC" w:rsidRPr="00C903F8" w:rsidRDefault="001D0FFC" w:rsidP="001D0FFC">
      <w:pPr>
        <w:pStyle w:val="Esann8ch"/>
      </w:pPr>
    </w:p>
    <w:p w:rsidR="001D0FFC" w:rsidRPr="00C903F8" w:rsidRDefault="001D0FFC" w:rsidP="001D0FFC">
      <w:pPr>
        <w:pStyle w:val="Esann8ch"/>
      </w:pPr>
      <w:r>
        <w:t>2.1.10</w:t>
      </w:r>
      <w:r>
        <w:tab/>
        <w:t xml:space="preserve">Se la condensa e la formazione di ghiaccio dovute alle superfici fredde dei serbatoi di GNL possono determinare problemi di sicurezza o funzionali, occorre adottare misure preventive o correttive appropriate. </w:t>
      </w:r>
    </w:p>
    <w:p w:rsidR="001D0FFC" w:rsidRPr="00C903F8" w:rsidRDefault="001D0FFC" w:rsidP="001D0FFC">
      <w:pPr>
        <w:pStyle w:val="Esann8ch"/>
      </w:pPr>
    </w:p>
    <w:p w:rsidR="001D0FFC" w:rsidRPr="00C903F8" w:rsidRDefault="001D0FFC" w:rsidP="001D0FFC">
      <w:pPr>
        <w:pStyle w:val="Esann8ch"/>
      </w:pPr>
      <w:r>
        <w:t>2.1.11</w:t>
      </w:r>
      <w:r>
        <w:tab/>
        <w:t xml:space="preserve">Ciascun serbatoio del GNL è dotato di almeno due valvole di sfiato della pressione in grado di prevenire una sovrapressione nel caso in cui una delle valvole si chiuda a causa di un'anomalia, una perdita o interventi di manutenzione. </w:t>
      </w:r>
    </w:p>
    <w:p w:rsidR="001D0FFC" w:rsidRPr="00C903F8" w:rsidRDefault="001D0FFC" w:rsidP="001D0FFC">
      <w:pPr>
        <w:pStyle w:val="Esann8ch"/>
      </w:pPr>
    </w:p>
    <w:p w:rsidR="001D0FFC" w:rsidRPr="00C903F8" w:rsidRDefault="001D0FFC" w:rsidP="001D0FFC">
      <w:pPr>
        <w:pStyle w:val="Esann8ch"/>
      </w:pPr>
      <w:r>
        <w:br w:type="page"/>
      </w:r>
    </w:p>
    <w:p w:rsidR="001D0FFC" w:rsidRPr="00C903F8" w:rsidRDefault="001D0FFC" w:rsidP="001D0FFC">
      <w:pPr>
        <w:pStyle w:val="Esann8ch"/>
      </w:pPr>
    </w:p>
    <w:p w:rsidR="001D0FFC" w:rsidRPr="00C903F8" w:rsidRDefault="001D0FFC" w:rsidP="001D0FFC">
      <w:pPr>
        <w:pStyle w:val="Esann8ch"/>
      </w:pPr>
      <w:r>
        <w:t>2.1.12</w:t>
      </w:r>
      <w:r>
        <w:tab/>
        <w:t xml:space="preserve">Se non è possibile escludere la fuoriuscita di combustibile nello spazio sottovuoto di un serbatoio di GNL isolato, occorre proteggere detto spazio sottovuoto con un'apposita valvola di sfiato della pressione. Se i serbatoi di GNL si trovano in locali chiusi o semichiusi, il dispositivo di sfiato della pressione va collegato a un sistema di ventilazione. </w:t>
      </w:r>
    </w:p>
    <w:p w:rsidR="001D0FFC" w:rsidRPr="00C903F8" w:rsidRDefault="001D0FFC" w:rsidP="001D0FFC">
      <w:pPr>
        <w:pStyle w:val="Esann8ch"/>
      </w:pPr>
    </w:p>
    <w:p w:rsidR="001D0FFC" w:rsidRPr="00C903F8" w:rsidRDefault="001D0FFC" w:rsidP="001D0FFC">
      <w:pPr>
        <w:pStyle w:val="Esann8ch"/>
      </w:pPr>
      <w:r>
        <w:t>2.1.13</w:t>
      </w:r>
      <w:r>
        <w:tab/>
        <w:t>Le uscite di scarico delle valvole di sfiato della pressione si trovano a non meno di 2,00 m sopra il ponte a una distanza non inferiore a 6,00 m dagli alloggi equipaggio, dalle zone passeggeri e dai posti di lavoro, situati all'esterno della stiva o zona del carico. È possibile ridurre tale altezza se entro un raggio di 1,00 m attorno all'uscita delle valvole di sfiato della pressione non ci sono apparecchiature, non viene effettuato alcun lavoro, cartelli contrassegnano la zona e sono state adottate misure adeguate per proteggere il ponte.</w:t>
      </w:r>
    </w:p>
    <w:p w:rsidR="001D0FFC" w:rsidRPr="00C903F8" w:rsidRDefault="001D0FFC" w:rsidP="001D0FFC">
      <w:pPr>
        <w:pStyle w:val="Esann8ch"/>
      </w:pPr>
    </w:p>
    <w:p w:rsidR="001D0FFC" w:rsidRPr="00C903F8" w:rsidRDefault="001D0FFC" w:rsidP="001D0FFC">
      <w:pPr>
        <w:pStyle w:val="Esann8ch"/>
      </w:pPr>
      <w:r>
        <w:t>2.1.14</w:t>
      </w:r>
      <w:r>
        <w:tab/>
        <w:t>È possibile svuotare in sicurezza i serbatoi di GNL, anche se l'impianto GNL è spento.</w:t>
      </w:r>
    </w:p>
    <w:p w:rsidR="001D0FFC" w:rsidRPr="00C903F8" w:rsidRDefault="001D0FFC" w:rsidP="001D0FFC">
      <w:pPr>
        <w:pStyle w:val="Esann8ch"/>
      </w:pPr>
    </w:p>
    <w:p w:rsidR="001D0FFC" w:rsidRPr="00C903F8" w:rsidRDefault="001D0FFC" w:rsidP="001D0FFC">
      <w:pPr>
        <w:pStyle w:val="Esann8ch"/>
      </w:pPr>
      <w:r>
        <w:t>2.1.15</w:t>
      </w:r>
      <w:r>
        <w:tab/>
        <w:t>È possibile eliminare il gas e sfiatare i serbatoi di GNL, compresi i sistemi di tubolature del gas. È possibile effettuare l'inertizzazione con un gas inerte (ad esempio azoto o argon) prima di sfiatare con aria secca, al fine di escludere la possibilità di formazione di un'atmosfera esplosiva nei serbatoi di GNL e nelle tubolature del gas.</w:t>
      </w:r>
    </w:p>
    <w:p w:rsidR="001D0FFC" w:rsidRPr="00C903F8" w:rsidRDefault="001D0FFC" w:rsidP="001D0FFC">
      <w:pPr>
        <w:pStyle w:val="Esann8ch"/>
      </w:pPr>
    </w:p>
    <w:p w:rsidR="001D0FFC" w:rsidRPr="00C903F8" w:rsidRDefault="001D0FFC" w:rsidP="001D0FFC">
      <w:pPr>
        <w:pStyle w:val="Esann8ch"/>
      </w:pPr>
      <w:r>
        <w:t>2.1.16</w:t>
      </w:r>
      <w:r>
        <w:tab/>
        <w:t xml:space="preserve">La pressione e la temperatura dei serbatoi di GNL sono mantenute sempre all'interno del loro intervallo di progettazione. </w:t>
      </w:r>
    </w:p>
    <w:p w:rsidR="001D0FFC" w:rsidRPr="00C903F8" w:rsidRDefault="001D0FFC" w:rsidP="001D0FFC">
      <w:pPr>
        <w:pStyle w:val="Esann8ch"/>
      </w:pPr>
    </w:p>
    <w:p w:rsidR="001D0FFC" w:rsidRPr="00C903F8" w:rsidRDefault="001D0FFC" w:rsidP="001D0FFC">
      <w:pPr>
        <w:pStyle w:val="Esann8ch"/>
      </w:pPr>
      <w:r>
        <w:t>2.1.17</w:t>
      </w:r>
      <w:r>
        <w:tab/>
        <w:t xml:space="preserve">Se l'impianto GNL è spento, la pressione nel serbatoio di GNL va mantenuta al di sotto della pressione massima di esercizio di detto serbatoio per un periodo di 15 giorni. Si presume che il serbatoio di GNL sia stato riempito fino ai limiti di riempimento conformemente al punto 2.9 e che l'imbarcazione rimanga in condizioni di inattività. </w:t>
      </w:r>
    </w:p>
    <w:p w:rsidR="001D0FFC" w:rsidRPr="00C903F8" w:rsidRDefault="001D0FFC" w:rsidP="001D0FFC">
      <w:pPr>
        <w:pStyle w:val="Esann8ch"/>
      </w:pPr>
    </w:p>
    <w:p w:rsidR="001D0FFC" w:rsidRPr="00C903F8" w:rsidRDefault="001D0FFC" w:rsidP="001D0FFC">
      <w:pPr>
        <w:pStyle w:val="Esann8ch"/>
      </w:pPr>
      <w:r>
        <w:t>2.1.18</w:t>
      </w:r>
      <w:r>
        <w:tab/>
        <w:t>I serbatoi di GNL sono collegati elettricamente alla struttura dell'imbarcazione.</w:t>
      </w:r>
    </w:p>
    <w:p w:rsidR="001D0FFC" w:rsidRPr="00C903F8" w:rsidRDefault="001D0FFC" w:rsidP="001D0FFC">
      <w:pPr>
        <w:pStyle w:val="Esann8ch"/>
        <w:rPr>
          <w:b/>
          <w:bCs/>
        </w:rPr>
      </w:pPr>
    </w:p>
    <w:p w:rsidR="001D0FFC" w:rsidRPr="00C903F8" w:rsidRDefault="001D0FFC" w:rsidP="00623DA7">
      <w:pPr>
        <w:pStyle w:val="Esann8chgras"/>
        <w:rPr>
          <w:i/>
        </w:rPr>
      </w:pPr>
      <w:r>
        <w:t>2.2</w:t>
      </w:r>
      <w:r>
        <w:tab/>
        <w:t>Sale macchine</w:t>
      </w:r>
    </w:p>
    <w:p w:rsidR="001D0FFC" w:rsidRPr="00C903F8" w:rsidRDefault="001D0FFC" w:rsidP="001D0FFC">
      <w:pPr>
        <w:pStyle w:val="Esann8ch"/>
        <w:rPr>
          <w:b/>
          <w:bCs/>
        </w:rPr>
      </w:pPr>
    </w:p>
    <w:p w:rsidR="001D0FFC" w:rsidRPr="00C903F8" w:rsidRDefault="001D0FFC" w:rsidP="001D0FFC">
      <w:pPr>
        <w:pStyle w:val="Esann8ch"/>
      </w:pPr>
      <w:r>
        <w:t>2.2.1</w:t>
      </w:r>
      <w:r>
        <w:tab/>
        <w:t xml:space="preserve">Per le sale macchine va applicato uno dei seguenti concetti: </w:t>
      </w:r>
    </w:p>
    <w:p w:rsidR="001D0FFC" w:rsidRPr="00C903F8" w:rsidRDefault="001D0FFC" w:rsidP="00623DA7">
      <w:pPr>
        <w:pStyle w:val="Esann8let"/>
      </w:pPr>
      <w:r>
        <w:t xml:space="preserve">a) </w:t>
      </w:r>
      <w:r>
        <w:tab/>
        <w:t xml:space="preserve">sala macchine a prova di gas; </w:t>
      </w:r>
    </w:p>
    <w:p w:rsidR="001D0FFC" w:rsidRPr="00C903F8" w:rsidRDefault="001D0FFC" w:rsidP="00623DA7">
      <w:pPr>
        <w:pStyle w:val="Esann8let"/>
      </w:pPr>
      <w:r>
        <w:t xml:space="preserve">b) </w:t>
      </w:r>
      <w:r>
        <w:tab/>
        <w:t xml:space="preserve">sala macchine a prova di esplosione; o </w:t>
      </w:r>
    </w:p>
    <w:p w:rsidR="001D0FFC" w:rsidRPr="00C903F8" w:rsidRDefault="001D0FFC" w:rsidP="00623DA7">
      <w:pPr>
        <w:pStyle w:val="Esann8let"/>
      </w:pPr>
      <w:r>
        <w:t xml:space="preserve">c) </w:t>
      </w:r>
      <w:r>
        <w:tab/>
        <w:t>sala macchine protetta mediante arresto di emergenza.</w:t>
      </w:r>
    </w:p>
    <w:p w:rsidR="001D0FFC" w:rsidRPr="00C903F8" w:rsidRDefault="001D0FFC" w:rsidP="001D0FFC">
      <w:pPr>
        <w:pStyle w:val="Esann8ch"/>
      </w:pPr>
    </w:p>
    <w:p w:rsidR="001D0FFC" w:rsidRPr="00C903F8" w:rsidRDefault="001D0FFC" w:rsidP="001D0FFC">
      <w:pPr>
        <w:pStyle w:val="Esann8ch"/>
      </w:pPr>
      <w:r>
        <w:t>2.2.2</w:t>
      </w:r>
      <w:r>
        <w:tab/>
        <w:t>Requisiti per le sale macchine a prova di gas</w:t>
      </w:r>
    </w:p>
    <w:p w:rsidR="001D0FFC" w:rsidRPr="00C903F8" w:rsidRDefault="001D0FFC" w:rsidP="001D0FFC">
      <w:pPr>
        <w:pStyle w:val="Esann8ch"/>
      </w:pPr>
    </w:p>
    <w:p w:rsidR="001D0FFC" w:rsidRPr="00C903F8" w:rsidRDefault="001D0FFC" w:rsidP="001D0FFC">
      <w:pPr>
        <w:pStyle w:val="Esann8ch"/>
      </w:pPr>
      <w:r>
        <w:t>2.2.2.1</w:t>
      </w:r>
      <w:r>
        <w:tab/>
        <w:t xml:space="preserve">Le sale macchine a prova di gas sono resistenti ai gas in tutte le condizioni ("intrinsecamente sicure nei confronti dei gas"). Un singolo guasto all'interno dell'impianto GNL non deve determinare perdite di gas nella sala macchine. Tutte le tubolature del gas all'interno dei confini della sala macchine sono racchiuse in un armadio a tenuta stagna ai gas, ad esempio tubolature a doppia parete o condotta ventilata. </w:t>
      </w:r>
    </w:p>
    <w:p w:rsidR="001D0FFC" w:rsidRPr="00C903F8" w:rsidRDefault="001D0FFC" w:rsidP="001D0FFC">
      <w:pPr>
        <w:pStyle w:val="Esann8ch"/>
      </w:pPr>
    </w:p>
    <w:p w:rsidR="001D0FFC" w:rsidRPr="00C903F8" w:rsidRDefault="001D0FFC" w:rsidP="001D0FFC">
      <w:pPr>
        <w:pStyle w:val="Esann8ch"/>
      </w:pPr>
      <w:r>
        <w:t>2.2.2.2</w:t>
      </w:r>
      <w:r>
        <w:tab/>
        <w:t xml:space="preserve">In caso di guasto di una barriera, l'alimentazione di gas alla parte pertinente dell'impianto GNL si arresta automaticamente. </w:t>
      </w:r>
    </w:p>
    <w:p w:rsidR="001D0FFC" w:rsidRPr="00C903F8" w:rsidRDefault="001D0FFC" w:rsidP="001D0FFC">
      <w:pPr>
        <w:pStyle w:val="Esann8ch"/>
      </w:pPr>
    </w:p>
    <w:p w:rsidR="005E7B71" w:rsidRPr="00C903F8" w:rsidRDefault="005E7B71">
      <w:pPr>
        <w:autoSpaceDE/>
        <w:autoSpaceDN/>
        <w:ind w:left="0" w:firstLine="0"/>
        <w:jc w:val="left"/>
        <w:rPr>
          <w:rFonts w:eastAsia="Calibri" w:cs="Arial"/>
          <w:color w:val="000000"/>
          <w:szCs w:val="20"/>
        </w:rPr>
      </w:pPr>
      <w:r>
        <w:br w:type="page"/>
      </w:r>
    </w:p>
    <w:p w:rsidR="005E7B71" w:rsidRPr="00C903F8" w:rsidRDefault="005E7B71" w:rsidP="001D0FFC">
      <w:pPr>
        <w:pStyle w:val="Esann8ch"/>
      </w:pPr>
    </w:p>
    <w:p w:rsidR="001D0FFC" w:rsidRPr="00C903F8" w:rsidRDefault="001D0FFC" w:rsidP="001D0FFC">
      <w:pPr>
        <w:pStyle w:val="Esann8ch"/>
        <w:rPr>
          <w:bCs/>
        </w:rPr>
      </w:pPr>
      <w:r>
        <w:t>2.2.2.3</w:t>
      </w:r>
      <w:r>
        <w:tab/>
        <w:t>Il sistema di ventilazione della condotta ventilata:</w:t>
      </w:r>
    </w:p>
    <w:p w:rsidR="001D0FFC" w:rsidRPr="00C903F8" w:rsidRDefault="001D0FFC" w:rsidP="00623DA7">
      <w:pPr>
        <w:pStyle w:val="Esann8let"/>
      </w:pPr>
      <w:r>
        <w:t>a)</w:t>
      </w:r>
      <w:r>
        <w:tab/>
        <w:t>garantisce una capacità sufficiente per assicurare la variazione del volume lordo dell'aria all'interno della condotta ventilata almeno 30 volte l'ora;</w:t>
      </w:r>
    </w:p>
    <w:p w:rsidR="001D0FFC" w:rsidRPr="00C903F8" w:rsidRDefault="001D0FFC" w:rsidP="00623DA7">
      <w:pPr>
        <w:pStyle w:val="Esann8let"/>
      </w:pPr>
      <w:r>
        <w:t>b)</w:t>
      </w:r>
      <w:r>
        <w:tab/>
        <w:t>è equipaggiato in maniera tale da essere in grado di rilevare la presenza di gas in modo continuo nello spazio tra le tubolature interne ed esterne;</w:t>
      </w:r>
    </w:p>
    <w:p w:rsidR="001D0FFC" w:rsidRPr="00C903F8" w:rsidRDefault="001D0FFC" w:rsidP="00623DA7">
      <w:pPr>
        <w:pStyle w:val="Esann8let"/>
      </w:pPr>
      <w:r>
        <w:t>c)</w:t>
      </w:r>
      <w:r>
        <w:tab/>
        <w:t>è indipendente da tutti gli altri sistemi di ventilazione, in particolare dal sistema di ventilazione della sala macchine.</w:t>
      </w:r>
    </w:p>
    <w:p w:rsidR="001D0FFC" w:rsidRPr="00C903F8" w:rsidRDefault="001D0FFC" w:rsidP="001D0FFC">
      <w:pPr>
        <w:pStyle w:val="Esann8ch"/>
      </w:pPr>
    </w:p>
    <w:p w:rsidR="001D0FFC" w:rsidRPr="00C903F8" w:rsidRDefault="001D0FFC" w:rsidP="001D0FFC">
      <w:pPr>
        <w:pStyle w:val="Esann8ch"/>
      </w:pPr>
      <w:r>
        <w:t>2.2.2.4</w:t>
      </w:r>
      <w:r>
        <w:tab/>
        <w:t>Una sala macchine a prova di gas va considerata una zona non pericolosa, a meno che la valutazione dei rischi a norma del punto 1.3 dimostri il contrario.</w:t>
      </w:r>
    </w:p>
    <w:p w:rsidR="001D0FFC" w:rsidRPr="00C903F8" w:rsidRDefault="001D0FFC" w:rsidP="001D0FFC">
      <w:pPr>
        <w:pStyle w:val="Esann8ch"/>
      </w:pPr>
    </w:p>
    <w:p w:rsidR="001D0FFC" w:rsidRPr="00C903F8" w:rsidRDefault="001D0FFC" w:rsidP="001D0FFC">
      <w:pPr>
        <w:pStyle w:val="Esann8ch"/>
      </w:pPr>
      <w:r>
        <w:t>2.2.3</w:t>
      </w:r>
      <w:r>
        <w:tab/>
        <w:t>Requisiti per le sale macchine a prova di esplosione</w:t>
      </w:r>
    </w:p>
    <w:p w:rsidR="001D0FFC" w:rsidRPr="00C903F8" w:rsidRDefault="001D0FFC" w:rsidP="001D0FFC">
      <w:pPr>
        <w:pStyle w:val="Esann8ch"/>
        <w:rPr>
          <w:i/>
        </w:rPr>
      </w:pPr>
    </w:p>
    <w:p w:rsidR="001D0FFC" w:rsidRPr="00C903F8" w:rsidRDefault="001D0FFC" w:rsidP="001D0FFC">
      <w:pPr>
        <w:pStyle w:val="Esann8ch"/>
      </w:pPr>
      <w:r>
        <w:t>2.2.3.1</w:t>
      </w:r>
      <w:r>
        <w:tab/>
        <w:t xml:space="preserve">Le apparecchiature presenti nelle sale macchine a prova di esplosione sono tali da consentire di considerare dette sale a prova di gas in condizioni normali. Un singolo guasto all'interno dell'impianto GNL non deve determinare la formazione di una concentrazione di gas superiore al 20 % del limite di esplosione inferiore (LEL) nella sala macchine. </w:t>
      </w:r>
    </w:p>
    <w:p w:rsidR="001D0FFC" w:rsidRPr="00C903F8" w:rsidRDefault="001D0FFC" w:rsidP="001D0FFC">
      <w:pPr>
        <w:pStyle w:val="Esann8ch"/>
      </w:pPr>
    </w:p>
    <w:p w:rsidR="001D0FFC" w:rsidRPr="00C903F8" w:rsidRDefault="001D0FFC" w:rsidP="001D0FFC">
      <w:pPr>
        <w:pStyle w:val="Esann8ch"/>
      </w:pPr>
      <w:r>
        <w:t>2.2.3.2</w:t>
      </w:r>
      <w:r>
        <w:tab/>
        <w:t>In caso di rilevamento di gas o di guasto del sistema di ventilazione, l'alimentazione di gas alla parte pertinente dell'impianto GNL si arresta automaticamente.</w:t>
      </w:r>
    </w:p>
    <w:p w:rsidR="001D0FFC" w:rsidRPr="00C903F8" w:rsidRDefault="001D0FFC" w:rsidP="001D0FFC">
      <w:pPr>
        <w:pStyle w:val="Esann8ch"/>
      </w:pPr>
    </w:p>
    <w:p w:rsidR="001D0FFC" w:rsidRPr="00C903F8" w:rsidRDefault="001D0FFC" w:rsidP="001D0FFC">
      <w:pPr>
        <w:pStyle w:val="Esann8ch"/>
      </w:pPr>
      <w:r>
        <w:t>2.2.3.3</w:t>
      </w:r>
      <w:r>
        <w:tab/>
        <w:t>Il sistema di ventilazione:</w:t>
      </w:r>
    </w:p>
    <w:p w:rsidR="001D0FFC" w:rsidRPr="00C903F8" w:rsidRDefault="001D0FFC" w:rsidP="00623DA7">
      <w:pPr>
        <w:pStyle w:val="Esann8let"/>
      </w:pPr>
      <w:r>
        <w:t>a)</w:t>
      </w:r>
      <w:r>
        <w:tab/>
        <w:t>garantisce una capacità sufficiente di mantenere la concentrazione di gas al di sotto del 20 % del LEL nella sala macchine, nonché il cambio del volume lordo dell'aria all'interno della sala macchine almeno 30 volte l'ora;</w:t>
      </w:r>
    </w:p>
    <w:p w:rsidR="001D0FFC" w:rsidRPr="00C903F8" w:rsidRDefault="001D0FFC" w:rsidP="00623DA7">
      <w:pPr>
        <w:pStyle w:val="Esann8let"/>
      </w:pPr>
      <w:r>
        <w:t>b)</w:t>
      </w:r>
      <w:r>
        <w:tab/>
        <w:t>è indipendente da tutti gli altri sistemi di ventilazione.</w:t>
      </w:r>
    </w:p>
    <w:p w:rsidR="001D0FFC" w:rsidRPr="00C903F8" w:rsidRDefault="001D0FFC" w:rsidP="001D0FFC">
      <w:pPr>
        <w:pStyle w:val="Esann8ch"/>
      </w:pPr>
    </w:p>
    <w:p w:rsidR="001D0FFC" w:rsidRPr="00C903F8" w:rsidRDefault="001D0FFC" w:rsidP="001D0FFC">
      <w:pPr>
        <w:pStyle w:val="Esann8ch"/>
      </w:pPr>
      <w:r>
        <w:t>2.2.3.4</w:t>
      </w:r>
      <w:r>
        <w:tab/>
        <w:t xml:space="preserve">Durante il normale funzionamento, la sala macchine viene ventilata costantemente con almeno 15 cambi l'ora del volume lordo dell'aria presente nella sala macchine. </w:t>
      </w:r>
    </w:p>
    <w:p w:rsidR="001D0FFC" w:rsidRPr="00C903F8" w:rsidRDefault="001D0FFC" w:rsidP="001D0FFC">
      <w:pPr>
        <w:pStyle w:val="Esann8ch"/>
      </w:pPr>
    </w:p>
    <w:p w:rsidR="001D0FFC" w:rsidRPr="00C903F8" w:rsidRDefault="00623DA7" w:rsidP="001D0FFC">
      <w:pPr>
        <w:pStyle w:val="Esann8ch"/>
      </w:pPr>
      <w:r>
        <w:t>2.2.3.5</w:t>
      </w:r>
      <w:r>
        <w:tab/>
        <w:t>Le sale macchine a prova di esplosione sono progettate in maniera tale da presentare una forma geometrica in grado di ridurre al minimo l'accumulo di gas o la formazione di sacche di gas. Va assicurata una buona circolazione dell'aria.</w:t>
      </w:r>
    </w:p>
    <w:p w:rsidR="001D0FFC" w:rsidRPr="00C903F8" w:rsidRDefault="001D0FFC" w:rsidP="001D0FFC">
      <w:pPr>
        <w:pStyle w:val="Esann8ch"/>
      </w:pPr>
    </w:p>
    <w:p w:rsidR="001D0FFC" w:rsidRPr="00C903F8" w:rsidRDefault="001D0FFC" w:rsidP="001D0FFC">
      <w:pPr>
        <w:pStyle w:val="Esann8ch"/>
      </w:pPr>
      <w:r>
        <w:t>2.2.3.6</w:t>
      </w:r>
      <w:r>
        <w:tab/>
        <w:t xml:space="preserve">Una sala macchine a prova di esplosione va considerata una zona 2, a meno che la valutazione dei rischi a norma del punto 1.3 dimostri il contrario. </w:t>
      </w:r>
    </w:p>
    <w:p w:rsidR="001D0FFC" w:rsidRPr="00C903F8" w:rsidRDefault="001D0FFC" w:rsidP="001D0FFC">
      <w:pPr>
        <w:pStyle w:val="Esann8ch"/>
      </w:pPr>
    </w:p>
    <w:p w:rsidR="001D0FFC" w:rsidRPr="00C903F8" w:rsidRDefault="001D0FFC" w:rsidP="001D0FFC">
      <w:pPr>
        <w:pStyle w:val="Esann8ch"/>
      </w:pPr>
      <w:r>
        <w:t>2.2.4</w:t>
      </w:r>
      <w:r>
        <w:tab/>
        <w:t>Requisiti per sale macchine protette mediante arresto di emergenza</w:t>
      </w:r>
    </w:p>
    <w:p w:rsidR="001D0FFC" w:rsidRPr="00C903F8" w:rsidRDefault="001D0FFC" w:rsidP="001D0FFC">
      <w:pPr>
        <w:pStyle w:val="Esann8ch"/>
      </w:pPr>
    </w:p>
    <w:p w:rsidR="001D0FFC" w:rsidRPr="00C903F8" w:rsidRDefault="001D0FFC" w:rsidP="001D0FFC">
      <w:pPr>
        <w:pStyle w:val="Esann8ch"/>
      </w:pPr>
      <w:r>
        <w:t>2.2.4.1</w:t>
      </w:r>
      <w:r>
        <w:tab/>
        <w:t xml:space="preserve">Le apparecchiature presenti nelle sale macchine protette mediante arresto di emergenza sono tali da garantire che le sale siano considerate a prova di gas in condizioni normali, tuttavia, in determinate condizioni anormali, possono potenzialmente diventare soggette a rischi posti dalla presenza di gas. </w:t>
      </w:r>
    </w:p>
    <w:p w:rsidR="001D0FFC" w:rsidRPr="00C903F8" w:rsidRDefault="001D0FFC" w:rsidP="001D0FFC">
      <w:pPr>
        <w:pStyle w:val="Esann8ch"/>
      </w:pPr>
    </w:p>
    <w:p w:rsidR="001D0FFC" w:rsidRPr="00C903F8" w:rsidRDefault="001D0FFC" w:rsidP="001D0FFC">
      <w:pPr>
        <w:pStyle w:val="Esann8ch"/>
      </w:pPr>
      <w:r>
        <w:t>2.2.4.2</w:t>
      </w:r>
      <w:r>
        <w:tab/>
        <w:t xml:space="preserve">In caso di condizioni anormali che comportano rischi dovuti alla presenza di gas, l'arresto di emergenza di apparecchiature non sicure (sorgenti di accensione) e macchinari alimentati a gas deve essere eseguito automaticamente, mentre le attrezzature o i macchinari in uso o attivi in tali condizioni devono essere del tipo certificato di sicurezza. </w:t>
      </w:r>
    </w:p>
    <w:p w:rsidR="001D0FFC" w:rsidRPr="00C903F8" w:rsidRDefault="001D0FFC" w:rsidP="001D0FFC">
      <w:pPr>
        <w:pStyle w:val="Esann8ch"/>
      </w:pPr>
    </w:p>
    <w:p w:rsidR="005E7B71" w:rsidRPr="00C903F8" w:rsidRDefault="005E7B71">
      <w:pPr>
        <w:autoSpaceDE/>
        <w:autoSpaceDN/>
        <w:ind w:left="0" w:firstLine="0"/>
        <w:jc w:val="left"/>
        <w:rPr>
          <w:rFonts w:eastAsia="Calibri" w:cs="Arial"/>
          <w:color w:val="000000"/>
          <w:szCs w:val="20"/>
        </w:rPr>
      </w:pPr>
      <w:r>
        <w:br w:type="page"/>
      </w:r>
    </w:p>
    <w:p w:rsidR="005E7B71" w:rsidRPr="00C903F8" w:rsidRDefault="005E7B71" w:rsidP="001D0FFC">
      <w:pPr>
        <w:pStyle w:val="Esann8ch"/>
      </w:pPr>
    </w:p>
    <w:p w:rsidR="001D0FFC" w:rsidRPr="00C903F8" w:rsidRDefault="001D0FFC" w:rsidP="001D0FFC">
      <w:pPr>
        <w:pStyle w:val="Esann8ch"/>
      </w:pPr>
      <w:r>
        <w:t>2.2.4.3</w:t>
      </w:r>
      <w:r>
        <w:tab/>
        <w:t>Il sistema di ventilazione:</w:t>
      </w:r>
    </w:p>
    <w:p w:rsidR="001D0FFC" w:rsidRPr="00C903F8" w:rsidRDefault="001D0FFC" w:rsidP="00623DA7">
      <w:pPr>
        <w:pStyle w:val="Esann8let"/>
      </w:pPr>
      <w:r>
        <w:t>a)</w:t>
      </w:r>
      <w:r>
        <w:tab/>
        <w:t xml:space="preserve">garantisce una capacità sufficiente per assicurare il cambio del volume lordo dell'aria all'interno della sala macchine almeno 30 volte l'ora; </w:t>
      </w:r>
    </w:p>
    <w:p w:rsidR="001D0FFC" w:rsidRPr="00C903F8" w:rsidRDefault="001D0FFC" w:rsidP="00623DA7">
      <w:pPr>
        <w:pStyle w:val="Esann8let"/>
      </w:pPr>
      <w:r>
        <w:t>b)</w:t>
      </w:r>
      <w:r>
        <w:tab/>
        <w:t>è progettato per gestire lo scenario di probabile perdita massima dovuta a guasti tecnici; e</w:t>
      </w:r>
    </w:p>
    <w:p w:rsidR="001D0FFC" w:rsidRPr="00C903F8" w:rsidRDefault="001D0FFC" w:rsidP="00623DA7">
      <w:pPr>
        <w:pStyle w:val="Esann8let"/>
      </w:pPr>
      <w:r>
        <w:t>c)</w:t>
      </w:r>
      <w:r>
        <w:tab/>
        <w:t>è indipendente da tutti gli altri sistemi di ventilazione.</w:t>
      </w:r>
    </w:p>
    <w:p w:rsidR="001D0FFC" w:rsidRPr="00C903F8" w:rsidRDefault="001D0FFC" w:rsidP="001D0FFC">
      <w:pPr>
        <w:pStyle w:val="Esann8ch"/>
      </w:pPr>
    </w:p>
    <w:p w:rsidR="001D0FFC" w:rsidRPr="00C903F8" w:rsidRDefault="001D0FFC" w:rsidP="001D0FFC">
      <w:pPr>
        <w:pStyle w:val="Esann8ch"/>
      </w:pPr>
      <w:r>
        <w:t>2.2.4.4</w:t>
      </w:r>
      <w:r>
        <w:tab/>
        <w:t>Durante il normale funzionamento, la sala macchine viene ventilata costantemente con almeno 15 cambi l'ora del volume lordo dell'aria presente nella sala macchine.</w:t>
      </w:r>
    </w:p>
    <w:p w:rsidR="001D0FFC" w:rsidRPr="00C903F8" w:rsidRDefault="001D0FFC" w:rsidP="00623DA7">
      <w:pPr>
        <w:pStyle w:val="Esann8chpar"/>
      </w:pPr>
      <w:r>
        <w:t xml:space="preserve">Se viene rilevata la presenza di gas nella sala macchine, il numero di ricambi d'aria viene automaticamente aumentato a 30 cambi l'ora. </w:t>
      </w:r>
    </w:p>
    <w:p w:rsidR="001D0FFC" w:rsidRPr="00C903F8" w:rsidRDefault="001D0FFC" w:rsidP="001D0FFC">
      <w:pPr>
        <w:pStyle w:val="Esann8ch"/>
      </w:pPr>
    </w:p>
    <w:p w:rsidR="001D0FFC" w:rsidRPr="00C903F8" w:rsidRDefault="000A13AD" w:rsidP="001D0FFC">
      <w:pPr>
        <w:pStyle w:val="Esann8ch"/>
      </w:pPr>
      <w:r>
        <w:t>2.2.4.5</w:t>
      </w:r>
      <w:r>
        <w:tab/>
        <w:t>Se l'imbarcazione è dotata di più di un motore di propulsione, tali motori devono essere collocati in almeno due sale macchine separate che non devono avere paratie divisorie comuni. Tuttavia, la presenza di paratie divisorie comuni può essere accettata, se è possibile documentare che le conseguenze di un singolo guasto non influiranno su entrambe le stanze.</w:t>
      </w:r>
      <w:r>
        <w:rPr>
          <w:vertAlign w:val="superscript"/>
        </w:rPr>
        <w:t xml:space="preserve"> </w:t>
      </w:r>
    </w:p>
    <w:p w:rsidR="001D0FFC" w:rsidRPr="00C903F8" w:rsidRDefault="001D0FFC" w:rsidP="001D0FFC">
      <w:pPr>
        <w:pStyle w:val="Esann8ch"/>
      </w:pPr>
    </w:p>
    <w:p w:rsidR="001D0FFC" w:rsidRPr="00C903F8" w:rsidRDefault="001D0FFC" w:rsidP="001D0FFC">
      <w:pPr>
        <w:pStyle w:val="Esann8ch"/>
      </w:pPr>
      <w:r>
        <w:t>2.2.4.6</w:t>
      </w:r>
      <w:r>
        <w:tab/>
        <w:t>Occorre installare apparecchiature fisse di avvertimento della presenza di gas disposte in maniera tale da arrestare automaticamente l'alimentazione di gas nella sala macchine interessata e scollegare tutte le apparecchiature o gli impianti non protetti contro le esplosioni.</w:t>
      </w:r>
    </w:p>
    <w:p w:rsidR="001D0FFC" w:rsidRPr="00C903F8" w:rsidRDefault="001D0FFC" w:rsidP="001D0FFC">
      <w:pPr>
        <w:pStyle w:val="Esann8ch"/>
      </w:pPr>
    </w:p>
    <w:p w:rsidR="001D0FFC" w:rsidRPr="00C903F8" w:rsidRDefault="001D0FFC" w:rsidP="001D0FFC">
      <w:pPr>
        <w:pStyle w:val="Esann8ch"/>
      </w:pPr>
      <w:r>
        <w:t>2.2.4.7</w:t>
      </w:r>
      <w:r>
        <w:tab/>
        <w:t>Le sale macchine protette mediante arresto di emergenza sono progettate in maniera tale da presentare una forma geometrica in grado di ridurre al minimo l'accumulo di gas o la formazione di sacche di gas. Va assicurata una buona circolazione dell'aria.</w:t>
      </w:r>
    </w:p>
    <w:p w:rsidR="001D0FFC" w:rsidRPr="00C903F8" w:rsidRDefault="001D0FFC" w:rsidP="001D0FFC">
      <w:pPr>
        <w:pStyle w:val="Esann8ch"/>
      </w:pPr>
    </w:p>
    <w:p w:rsidR="001D0FFC" w:rsidRPr="00C903F8" w:rsidRDefault="001D0FFC" w:rsidP="001D0FFC">
      <w:pPr>
        <w:pStyle w:val="Esann8ch"/>
      </w:pPr>
      <w:r>
        <w:t>2.2.4.8</w:t>
      </w:r>
      <w:r>
        <w:tab/>
        <w:t>Una sala macchine protetta mediante arresto di emergenza va considerata una zona 1, a meno che la valutazione dei rischi a norma del punto 1.3 dimostri il contrario.</w:t>
      </w:r>
    </w:p>
    <w:p w:rsidR="001D0FFC" w:rsidRPr="00C903F8" w:rsidRDefault="001D0FFC" w:rsidP="001D0FFC">
      <w:pPr>
        <w:pStyle w:val="Esann8ch"/>
        <w:rPr>
          <w:b/>
          <w:bCs/>
        </w:rPr>
      </w:pPr>
    </w:p>
    <w:p w:rsidR="001D0FFC" w:rsidRPr="00C903F8" w:rsidRDefault="001D0FFC" w:rsidP="00623DA7">
      <w:pPr>
        <w:pStyle w:val="Esann8chgras"/>
      </w:pPr>
      <w:r>
        <w:t>2.3</w:t>
      </w:r>
      <w:r>
        <w:tab/>
        <w:t xml:space="preserve">Sistemi di tubolature per gas naturale liquefatto e gas naturale </w:t>
      </w:r>
    </w:p>
    <w:p w:rsidR="001D0FFC" w:rsidRPr="00C903F8" w:rsidRDefault="001D0FFC" w:rsidP="001D0FFC">
      <w:pPr>
        <w:pStyle w:val="Esann8ch"/>
      </w:pPr>
    </w:p>
    <w:p w:rsidR="001D0FFC" w:rsidRPr="00C903F8" w:rsidRDefault="001D0FFC" w:rsidP="001D0FFC">
      <w:pPr>
        <w:pStyle w:val="Esann8ch"/>
      </w:pPr>
      <w:r>
        <w:t>2.3.1</w:t>
      </w:r>
      <w:r>
        <w:tab/>
        <w:t xml:space="preserve">Le tubazioni per il gas naturale liquefatto e il gas naturale che passano attraverso altre sale macchine o zone chiuse non pericolose dell'imbarcazione vanno racchiuse in tubolature a doppia parete o condotte ventilate. </w:t>
      </w:r>
    </w:p>
    <w:p w:rsidR="001D0FFC" w:rsidRPr="00C903F8" w:rsidRDefault="001D0FFC" w:rsidP="001D0FFC">
      <w:pPr>
        <w:pStyle w:val="Esann8ch"/>
      </w:pPr>
    </w:p>
    <w:p w:rsidR="001D0FFC" w:rsidRPr="00C903F8" w:rsidRDefault="001D0FFC" w:rsidP="001D0FFC">
      <w:pPr>
        <w:pStyle w:val="Esann8ch"/>
      </w:pPr>
      <w:r>
        <w:t>2.3.2</w:t>
      </w:r>
      <w:r>
        <w:tab/>
        <w:t xml:space="preserve">Le tubolature del gas naturale liquefatto e del gas naturale non devono trovarsi a meno di 1,00 m dal lato della nave e 0,60 m dal fondo. </w:t>
      </w:r>
    </w:p>
    <w:p w:rsidR="001D0FFC" w:rsidRPr="00C903F8" w:rsidRDefault="001D0FFC" w:rsidP="001D0FFC">
      <w:pPr>
        <w:pStyle w:val="Esann8ch"/>
      </w:pPr>
    </w:p>
    <w:p w:rsidR="001D0FFC" w:rsidRPr="00C903F8" w:rsidRDefault="001D0FFC" w:rsidP="001D0FFC">
      <w:pPr>
        <w:pStyle w:val="Esann8ch"/>
      </w:pPr>
      <w:r>
        <w:t>2.3.3</w:t>
      </w:r>
      <w:r>
        <w:tab/>
        <w:t>Tutte le tubolature e tutti i componenti che possono essere isolati tramite valvole dall'impianto GNL in condizioni di pieno di liquido sono provvisti di valvole di sfiato della pressione.</w:t>
      </w:r>
    </w:p>
    <w:p w:rsidR="001D0FFC" w:rsidRPr="00C903F8" w:rsidRDefault="001D0FFC" w:rsidP="001D0FFC">
      <w:pPr>
        <w:pStyle w:val="Esann8ch"/>
      </w:pPr>
    </w:p>
    <w:p w:rsidR="001D0FFC" w:rsidRPr="00C903F8" w:rsidRDefault="001D0FFC" w:rsidP="001D0FFC">
      <w:pPr>
        <w:pStyle w:val="Esann8ch"/>
      </w:pPr>
      <w:r>
        <w:t>2.3.4</w:t>
      </w:r>
      <w:r>
        <w:tab/>
        <w:t>Le tubolature sono collegate elettricamente alla struttura della nave.</w:t>
      </w:r>
    </w:p>
    <w:p w:rsidR="001D0FFC" w:rsidRPr="00C903F8" w:rsidRDefault="001D0FFC" w:rsidP="001D0FFC">
      <w:pPr>
        <w:pStyle w:val="Esann8ch"/>
      </w:pPr>
    </w:p>
    <w:p w:rsidR="001D0FFC" w:rsidRPr="00C903F8" w:rsidRDefault="001D0FFC" w:rsidP="001D0FFC">
      <w:pPr>
        <w:pStyle w:val="Esann8ch"/>
      </w:pPr>
      <w:r>
        <w:t>2.3.5</w:t>
      </w:r>
      <w:r>
        <w:tab/>
        <w:t>Le tubolature a bassa temperatura sono isolate termicamente dalla struttura dello scafo adiacente, ove necessario ed è presente una protezione contro i contatti accidentali.</w:t>
      </w:r>
    </w:p>
    <w:p w:rsidR="001D0FFC" w:rsidRPr="00C903F8" w:rsidRDefault="001D0FFC" w:rsidP="001D0FFC">
      <w:pPr>
        <w:pStyle w:val="Esann8ch"/>
      </w:pPr>
    </w:p>
    <w:p w:rsidR="001D0FFC" w:rsidRPr="00C903F8" w:rsidRDefault="001D0FFC" w:rsidP="001D0FFC">
      <w:pPr>
        <w:pStyle w:val="Esann8ch"/>
      </w:pPr>
      <w:r>
        <w:t>2.3.6</w:t>
      </w:r>
      <w:r>
        <w:tab/>
        <w:t xml:space="preserve">La pressione di progettazione delle tubolature non è inferiore al 150 % della pressione massima di esercizio. La pressione massima di esercizio delle tubolature all'interno di locali non deve superare 1 000 kPa. La pressione di progettazione del tubo o della condotta esterni dei sistemi di tubolature del gas non deve essere inferiore a quella del tubo del gas interno. </w:t>
      </w:r>
    </w:p>
    <w:p w:rsidR="001D0FFC" w:rsidRPr="00C903F8" w:rsidRDefault="001D0FFC" w:rsidP="001D0FFC">
      <w:pPr>
        <w:pStyle w:val="Esann8ch"/>
      </w:pPr>
    </w:p>
    <w:p w:rsidR="00D24BFE" w:rsidRPr="00C903F8" w:rsidRDefault="00D24BFE">
      <w:pPr>
        <w:autoSpaceDE/>
        <w:autoSpaceDN/>
        <w:ind w:left="0" w:firstLine="0"/>
        <w:jc w:val="left"/>
        <w:rPr>
          <w:rFonts w:eastAsia="Calibri" w:cs="Arial"/>
          <w:color w:val="000000"/>
          <w:szCs w:val="20"/>
        </w:rPr>
      </w:pPr>
      <w:r>
        <w:br w:type="page"/>
      </w:r>
    </w:p>
    <w:p w:rsidR="00D24BFE" w:rsidRPr="00C903F8" w:rsidRDefault="00D24BFE" w:rsidP="001D0FFC">
      <w:pPr>
        <w:pStyle w:val="Esann8ch"/>
      </w:pPr>
    </w:p>
    <w:p w:rsidR="001D0FFC" w:rsidRPr="00C903F8" w:rsidRDefault="001D0FFC" w:rsidP="001D0FFC">
      <w:pPr>
        <w:pStyle w:val="Esann8ch"/>
      </w:pPr>
      <w:r>
        <w:t>2.3.7</w:t>
      </w:r>
      <w:r>
        <w:tab/>
        <w:t>Le tubolature del gas nelle sale macchine protette tramite arresto di emergenza sono poste il più lontano possibile da impianti elettrici e serbatoi contenenti liquidi infiammabili.</w:t>
      </w:r>
    </w:p>
    <w:p w:rsidR="001D0FFC" w:rsidRPr="00C903F8" w:rsidRDefault="001D0FFC" w:rsidP="001D0FFC">
      <w:pPr>
        <w:pStyle w:val="Esann8ch"/>
      </w:pPr>
    </w:p>
    <w:p w:rsidR="001D0FFC" w:rsidRPr="00C903F8" w:rsidRDefault="001D0FFC" w:rsidP="00623DA7">
      <w:pPr>
        <w:pStyle w:val="Esann8chgras"/>
      </w:pPr>
      <w:r>
        <w:t>2.4</w:t>
      </w:r>
      <w:r>
        <w:tab/>
        <w:t>Impianti di esaurimento</w:t>
      </w:r>
    </w:p>
    <w:p w:rsidR="001D0FFC" w:rsidRPr="00C903F8" w:rsidRDefault="001D0FFC" w:rsidP="001D0FFC">
      <w:pPr>
        <w:pStyle w:val="Esann8ch"/>
      </w:pPr>
    </w:p>
    <w:p w:rsidR="001D0FFC" w:rsidRPr="00C903F8" w:rsidRDefault="001D0FFC" w:rsidP="001D0FFC">
      <w:pPr>
        <w:pStyle w:val="Esann8ch"/>
      </w:pPr>
      <w:r>
        <w:t>2.4.1</w:t>
      </w:r>
      <w:r>
        <w:tab/>
        <w:t>Gli impianti di esaurimento per le zone nelle quali possono essere presenti gas naturale liquefatto o gas naturale:</w:t>
      </w:r>
    </w:p>
    <w:p w:rsidR="001D0FFC" w:rsidRPr="00C903F8" w:rsidRDefault="001D0FFC" w:rsidP="00623DA7">
      <w:pPr>
        <w:pStyle w:val="Esann8let"/>
      </w:pPr>
      <w:r>
        <w:t>a)</w:t>
      </w:r>
      <w:r>
        <w:tab/>
        <w:t xml:space="preserve">sono indipendenti e separati dall'impianto di esaurimento di zone nelle quali il gas naturale liquefatto e il gas naturale non possono essere presenti; </w:t>
      </w:r>
    </w:p>
    <w:p w:rsidR="001D0FFC" w:rsidRPr="00C903F8" w:rsidRDefault="001D0FFC" w:rsidP="00623DA7">
      <w:pPr>
        <w:pStyle w:val="Esann8let"/>
        <w:rPr>
          <w:b/>
        </w:rPr>
      </w:pPr>
      <w:r>
        <w:t>b)</w:t>
      </w:r>
      <w:r>
        <w:tab/>
        <w:t>non conducono a pompe in zone non pericolose.</w:t>
      </w:r>
    </w:p>
    <w:p w:rsidR="001D0FFC" w:rsidRPr="00C903F8" w:rsidRDefault="001D0FFC" w:rsidP="001D0FFC">
      <w:pPr>
        <w:pStyle w:val="Esann8ch"/>
      </w:pPr>
    </w:p>
    <w:p w:rsidR="001D0FFC" w:rsidRPr="00C903F8" w:rsidRDefault="001D0FFC" w:rsidP="001D0FFC">
      <w:pPr>
        <w:pStyle w:val="Esann8ch"/>
      </w:pPr>
      <w:r>
        <w:t>2.4.2</w:t>
      </w:r>
      <w:r>
        <w:tab/>
        <w:t>Qualora il sistema di contenimento del GNL non richieda una barriera secondaria, occorre predisporre idonei apparecchi di esaurimento per le sale serbatoi non collegate alle sale macchine. Sono messi a disposizione mezzi per rilevare eventuali perdite di gas naturale liquefatto.</w:t>
      </w:r>
    </w:p>
    <w:p w:rsidR="001D0FFC" w:rsidRPr="00C903F8" w:rsidRDefault="001D0FFC" w:rsidP="001D0FFC">
      <w:pPr>
        <w:pStyle w:val="Esann8ch"/>
      </w:pPr>
    </w:p>
    <w:p w:rsidR="001D0FFC" w:rsidRPr="00C903F8" w:rsidRDefault="001D0FFC" w:rsidP="001D0FFC">
      <w:pPr>
        <w:pStyle w:val="Esann8ch"/>
      </w:pPr>
      <w:r>
        <w:t>2.4.3</w:t>
      </w:r>
      <w:r>
        <w:tab/>
        <w:t>Qualora il sistema di contenimento del GNL richieda una barriera secondaria, occorre predisporre idonei apparecchi di esaurimento per la gestione di eventuali perdite di GNL negli spazi presenti tra le barriere. Sono messi a disposizione mezzi per rilevare tali perdite.</w:t>
      </w:r>
    </w:p>
    <w:p w:rsidR="001D0FFC" w:rsidRPr="00C903F8" w:rsidRDefault="001D0FFC" w:rsidP="00623DA7">
      <w:pPr>
        <w:pStyle w:val="Esannch"/>
      </w:pPr>
    </w:p>
    <w:p w:rsidR="001D0FFC" w:rsidRPr="00C903F8" w:rsidRDefault="001D0FFC" w:rsidP="00623DA7">
      <w:pPr>
        <w:pStyle w:val="Esann8chgras"/>
      </w:pPr>
      <w:r>
        <w:t>2.5</w:t>
      </w:r>
      <w:r>
        <w:tab/>
        <w:t>Raccoglitori di gocciolamento</w:t>
      </w:r>
    </w:p>
    <w:p w:rsidR="001D0FFC" w:rsidRPr="00C903F8" w:rsidRDefault="001D0FFC" w:rsidP="001D0FFC">
      <w:pPr>
        <w:pStyle w:val="Esann8ch"/>
      </w:pPr>
    </w:p>
    <w:p w:rsidR="001D0FFC" w:rsidRPr="00C903F8" w:rsidRDefault="001D0FFC" w:rsidP="001D0FFC">
      <w:pPr>
        <w:pStyle w:val="Esann8ch"/>
        <w:rPr>
          <w:b/>
        </w:rPr>
      </w:pPr>
      <w:r>
        <w:t>2.5.1</w:t>
      </w:r>
      <w:r>
        <w:tab/>
        <w:t xml:space="preserve">Idonei raccoglitori di gocciolamento sono installati nei punti in cui eventuali perdite possono causare danni alla struttura dell'imbarcazione o nei quali è necessario circoscrivere la zona interessata da una fuoriuscita. </w:t>
      </w:r>
    </w:p>
    <w:p w:rsidR="001D0FFC" w:rsidRPr="00C903F8" w:rsidRDefault="001D0FFC" w:rsidP="001D0FFC">
      <w:pPr>
        <w:pStyle w:val="Esann8ch"/>
        <w:rPr>
          <w:b/>
        </w:rPr>
      </w:pPr>
    </w:p>
    <w:p w:rsidR="001D0FFC" w:rsidRPr="00C903F8" w:rsidRDefault="001D0FFC" w:rsidP="00623DA7">
      <w:pPr>
        <w:pStyle w:val="Esann8chgras"/>
      </w:pPr>
      <w:r>
        <w:t>2.6</w:t>
      </w:r>
      <w:r>
        <w:tab/>
        <w:t>Disposizione di ingressi e altre aperture</w:t>
      </w:r>
    </w:p>
    <w:p w:rsidR="001D0FFC" w:rsidRPr="00C903F8" w:rsidRDefault="001D0FFC" w:rsidP="001D0FFC">
      <w:pPr>
        <w:pStyle w:val="Esann8ch"/>
      </w:pPr>
    </w:p>
    <w:p w:rsidR="001D0FFC" w:rsidRPr="00C903F8" w:rsidRDefault="001D0FFC" w:rsidP="001D0FFC">
      <w:pPr>
        <w:pStyle w:val="Esann8ch"/>
      </w:pPr>
      <w:r>
        <w:t>2.6.1</w:t>
      </w:r>
      <w:r>
        <w:tab/>
        <w:t>Gli ingressi e le altre aperture che da una zona non pericolosa sono rivolti verso una zona pericolosa sono consentiti soltanto nella misura necessaria per ragioni operative.</w:t>
      </w:r>
    </w:p>
    <w:p w:rsidR="001D0FFC" w:rsidRPr="00C903F8" w:rsidRDefault="001D0FFC" w:rsidP="001D0FFC">
      <w:pPr>
        <w:pStyle w:val="Esann8ch"/>
      </w:pPr>
    </w:p>
    <w:p w:rsidR="001D0FFC" w:rsidRPr="00C903F8" w:rsidRDefault="001D0FFC" w:rsidP="001D0FFC">
      <w:pPr>
        <w:pStyle w:val="Esann8ch"/>
      </w:pPr>
      <w:r>
        <w:t>2.6.2</w:t>
      </w:r>
      <w:r>
        <w:tab/>
        <w:t xml:space="preserve">Per gli ingressi e le aperture verso una zona non pericolosa entro un raggio di 6,00 m dal sistema di contenimento GNL, dal sistema di preparazione del gas o dall'uscita di una valvola di sfiato della pressione, occorre prevedere la presenza di una camera di equilibrio idonea. </w:t>
      </w:r>
    </w:p>
    <w:p w:rsidR="001D0FFC" w:rsidRPr="00C903F8" w:rsidRDefault="001D0FFC" w:rsidP="001D0FFC">
      <w:pPr>
        <w:pStyle w:val="Esann8ch"/>
      </w:pPr>
    </w:p>
    <w:p w:rsidR="001D0FFC" w:rsidRPr="00C903F8" w:rsidRDefault="001D0FFC" w:rsidP="001D0FFC">
      <w:pPr>
        <w:pStyle w:val="Esann8ch"/>
      </w:pPr>
      <w:r>
        <w:t>2.6.3</w:t>
      </w:r>
      <w:r>
        <w:tab/>
        <w:t>Le camere di equilibrio sono ventilate meccanicamente secondo una sovrapressione relativa alla zona pericolosa adiacente. Le porte sono del tipo a chiusura automatica.</w:t>
      </w:r>
    </w:p>
    <w:p w:rsidR="001D0FFC" w:rsidRPr="00C903F8" w:rsidRDefault="001D0FFC" w:rsidP="001D0FFC">
      <w:pPr>
        <w:pStyle w:val="Esann8ch"/>
      </w:pPr>
    </w:p>
    <w:p w:rsidR="001D0FFC" w:rsidRPr="00C903F8" w:rsidRDefault="001D0FFC" w:rsidP="001D0FFC">
      <w:pPr>
        <w:pStyle w:val="Esann8ch"/>
      </w:pPr>
      <w:r>
        <w:t>2.6.4</w:t>
      </w:r>
      <w:r>
        <w:tab/>
        <w:t>Le camere di equilibrio sono progettate in maniera tale che nessun gas possa essere rilasciato in zone non pericolose qualora si verifichino gli eventi più critici nelle zone pericolose separate dalla camera di equilibrio. Tali eventi sono esaminati nel contesto della valutazione dei rischi di cui al punto 1.3.</w:t>
      </w:r>
    </w:p>
    <w:p w:rsidR="001D0FFC" w:rsidRPr="00C903F8" w:rsidRDefault="001D0FFC" w:rsidP="001D0FFC">
      <w:pPr>
        <w:pStyle w:val="Esann8ch"/>
      </w:pPr>
    </w:p>
    <w:p w:rsidR="001D0FFC" w:rsidRPr="00C903F8" w:rsidRDefault="001D0FFC" w:rsidP="001D0FFC">
      <w:pPr>
        <w:pStyle w:val="Esann8ch"/>
      </w:pPr>
      <w:r>
        <w:t>2.6.5</w:t>
      </w:r>
      <w:r>
        <w:tab/>
        <w:t>Le camere di equilibrio sono prive di ostacoli, consentono un passaggio agevole e non vengono utilizzate per altri scopi.</w:t>
      </w:r>
    </w:p>
    <w:p w:rsidR="001D0FFC" w:rsidRPr="00C903F8" w:rsidRDefault="001D0FFC" w:rsidP="001D0FFC">
      <w:pPr>
        <w:pStyle w:val="Esann8ch"/>
      </w:pPr>
    </w:p>
    <w:p w:rsidR="001D0FFC" w:rsidRPr="00C903F8" w:rsidRDefault="001D0FFC" w:rsidP="001D0FFC">
      <w:pPr>
        <w:pStyle w:val="Esann8ch"/>
      </w:pPr>
      <w:r>
        <w:t>2.6.6</w:t>
      </w:r>
      <w:r>
        <w:tab/>
        <w:t>Un allarme acustico e ottico viene emesso su entrambi i lati della camera di equilibrio, se più di una porta viene spostata dalla posizione chiusa o se viene rilevato del gas all'interno della camera di equilibrio.</w:t>
      </w:r>
    </w:p>
    <w:p w:rsidR="001D0FFC" w:rsidRPr="00C903F8" w:rsidRDefault="001D0FFC" w:rsidP="001D0FFC">
      <w:pPr>
        <w:pStyle w:val="Esann8ch"/>
      </w:pPr>
    </w:p>
    <w:p w:rsidR="001D0FFC" w:rsidRPr="00C903F8" w:rsidRDefault="001D0FFC" w:rsidP="00623DA7">
      <w:pPr>
        <w:pStyle w:val="Esann8chgras"/>
      </w:pPr>
      <w:r>
        <w:t>2.7</w:t>
      </w:r>
      <w:r>
        <w:tab/>
        <w:t>Sistemi di ventilazione</w:t>
      </w:r>
    </w:p>
    <w:p w:rsidR="001D0FFC" w:rsidRPr="00C903F8" w:rsidRDefault="001D0FFC" w:rsidP="001D0FFC">
      <w:pPr>
        <w:pStyle w:val="Esann8ch"/>
      </w:pPr>
    </w:p>
    <w:p w:rsidR="001D0FFC" w:rsidRPr="00C903F8" w:rsidRDefault="001D0FFC" w:rsidP="001D0FFC">
      <w:pPr>
        <w:pStyle w:val="Esann8ch"/>
      </w:pPr>
      <w:r>
        <w:t>2.7.1</w:t>
      </w:r>
      <w:r>
        <w:tab/>
        <w:t xml:space="preserve">I ventilatori presenti nelle zone pericolose sono del tipo certificato di sicurezza. </w:t>
      </w:r>
    </w:p>
    <w:p w:rsidR="001D0FFC" w:rsidRPr="00C903F8" w:rsidRDefault="001D0FFC" w:rsidP="001D0FFC">
      <w:pPr>
        <w:pStyle w:val="Esann8ch"/>
      </w:pPr>
    </w:p>
    <w:p w:rsidR="00D24BFE" w:rsidRPr="00C903F8" w:rsidRDefault="00D24BFE">
      <w:pPr>
        <w:autoSpaceDE/>
        <w:autoSpaceDN/>
        <w:ind w:left="0" w:firstLine="0"/>
        <w:jc w:val="left"/>
        <w:rPr>
          <w:rFonts w:eastAsia="Calibri" w:cs="Arial"/>
          <w:color w:val="000000"/>
          <w:szCs w:val="20"/>
        </w:rPr>
      </w:pPr>
      <w:r>
        <w:br w:type="page"/>
      </w:r>
    </w:p>
    <w:p w:rsidR="00D24BFE" w:rsidRPr="00C903F8" w:rsidRDefault="00D24BFE" w:rsidP="001D0FFC">
      <w:pPr>
        <w:pStyle w:val="Esann8ch"/>
      </w:pPr>
    </w:p>
    <w:p w:rsidR="001D0FFC" w:rsidRPr="00C903F8" w:rsidRDefault="001D0FFC" w:rsidP="001D0FFC">
      <w:pPr>
        <w:pStyle w:val="Esann8ch"/>
      </w:pPr>
      <w:r>
        <w:t xml:space="preserve">2.7.2 </w:t>
      </w:r>
      <w:r>
        <w:tab/>
        <w:t>I motori elettrici che azionano i ventilatori sono conformi alla protezione richiesta contro le esplosioni nella zona di installazione.</w:t>
      </w:r>
    </w:p>
    <w:p w:rsidR="001D0FFC" w:rsidRPr="00C903F8" w:rsidRDefault="001D0FFC" w:rsidP="001D0FFC">
      <w:pPr>
        <w:pStyle w:val="Esann8ch"/>
      </w:pPr>
    </w:p>
    <w:p w:rsidR="001D0FFC" w:rsidRPr="00C903F8" w:rsidRDefault="001D0FFC" w:rsidP="001D0FFC">
      <w:pPr>
        <w:pStyle w:val="Esann8ch"/>
      </w:pPr>
      <w:r>
        <w:t>2.7.3</w:t>
      </w:r>
      <w:r>
        <w:tab/>
        <w:t>Un allarme acustico e ottico viene attivato presso una posizione costantemente presidiata (ad esempio timoneria) in caso di perdita della capacità di ventilazione richiesta.</w:t>
      </w:r>
    </w:p>
    <w:p w:rsidR="001D0FFC" w:rsidRPr="00C903F8" w:rsidRDefault="001D0FFC" w:rsidP="001D0FFC">
      <w:pPr>
        <w:pStyle w:val="Esann8ch"/>
      </w:pPr>
    </w:p>
    <w:p w:rsidR="001D0FFC" w:rsidRPr="00C903F8" w:rsidRDefault="001D0FFC" w:rsidP="001D0FFC">
      <w:pPr>
        <w:pStyle w:val="Esann8ch"/>
      </w:pPr>
      <w:r>
        <w:t>2.7.4</w:t>
      </w:r>
      <w:r>
        <w:tab/>
        <w:t xml:space="preserve">Eventuali condutture utilizzate per la ventilazione di zone pericolose sono tenute separate da quelle utilizzate per la ventilazione di zone non pericolose. </w:t>
      </w:r>
    </w:p>
    <w:p w:rsidR="001D0FFC" w:rsidRPr="00C903F8" w:rsidRDefault="001D0FFC" w:rsidP="001D0FFC">
      <w:pPr>
        <w:pStyle w:val="Esann8ch"/>
      </w:pPr>
    </w:p>
    <w:p w:rsidR="001D0FFC" w:rsidRPr="00C903F8" w:rsidRDefault="001D0FFC" w:rsidP="001D0FFC">
      <w:pPr>
        <w:pStyle w:val="Esann8ch"/>
      </w:pPr>
      <w:r>
        <w:t>2.7.5</w:t>
      </w:r>
      <w:r>
        <w:tab/>
        <w:t>I sistemi di ventilazione richiesti devono avere almeno due ventilatori con alimentazione indipendente, ciascuno di capacità sufficiente, per evitare qualsiasi accumulo di gas.</w:t>
      </w:r>
    </w:p>
    <w:p w:rsidR="001D0FFC" w:rsidRPr="00C903F8" w:rsidRDefault="001D0FFC" w:rsidP="001D0FFC">
      <w:pPr>
        <w:pStyle w:val="Esann8ch"/>
      </w:pPr>
    </w:p>
    <w:p w:rsidR="001D0FFC" w:rsidRPr="00C903F8" w:rsidRDefault="001D0FFC" w:rsidP="001D0FFC">
      <w:pPr>
        <w:pStyle w:val="Esann8ch"/>
      </w:pPr>
      <w:r>
        <w:t>2.7.6</w:t>
      </w:r>
      <w:r>
        <w:tab/>
        <w:t xml:space="preserve">L'aria per i locali pericolosi viene prelevata da zone non pericolose. </w:t>
      </w:r>
    </w:p>
    <w:p w:rsidR="001D0FFC" w:rsidRPr="00C903F8" w:rsidRDefault="001D0FFC" w:rsidP="001D0FFC">
      <w:pPr>
        <w:pStyle w:val="Esann8ch"/>
      </w:pPr>
    </w:p>
    <w:p w:rsidR="001D0FFC" w:rsidRPr="00C903F8" w:rsidRDefault="001D0FFC" w:rsidP="001D0FFC">
      <w:pPr>
        <w:pStyle w:val="Esann8ch"/>
      </w:pPr>
      <w:r>
        <w:t xml:space="preserve">2.7.7 </w:t>
      </w:r>
      <w:r>
        <w:tab/>
        <w:t xml:space="preserve">L'aria per i locali non pericolosi viene prelevata da zone non pericolose poste ad almeno 1,50 metri di distanza dai confini di qualsiasi zona pericolosa. </w:t>
      </w:r>
    </w:p>
    <w:p w:rsidR="001D0FFC" w:rsidRPr="00C903F8" w:rsidRDefault="001D0FFC" w:rsidP="001D0FFC">
      <w:pPr>
        <w:pStyle w:val="Esann8ch"/>
      </w:pPr>
    </w:p>
    <w:p w:rsidR="001D0FFC" w:rsidRPr="00C903F8" w:rsidRDefault="001D0FFC" w:rsidP="001D0FFC">
      <w:pPr>
        <w:pStyle w:val="Esann8ch"/>
      </w:pPr>
      <w:r>
        <w:t>2.7.8</w:t>
      </w:r>
      <w:r>
        <w:tab/>
        <w:t xml:space="preserve">Quando la condotta di ingresso passa attraverso un locale pericoloso, la stessa presenta una sovrapressione relativa a tale locale. La sovrapressione non è richiesta quando le misure strutturali sulla condotta assicurano che i gas non fuoriescano nel condotto in caso di perdite. </w:t>
      </w:r>
    </w:p>
    <w:p w:rsidR="001D0FFC" w:rsidRPr="00C903F8" w:rsidRDefault="001D0FFC" w:rsidP="001D0FFC">
      <w:pPr>
        <w:pStyle w:val="Esann8ch"/>
      </w:pPr>
    </w:p>
    <w:p w:rsidR="001D0FFC" w:rsidRPr="00C903F8" w:rsidRDefault="001D0FFC" w:rsidP="001D0FFC">
      <w:pPr>
        <w:pStyle w:val="Esann8ch"/>
      </w:pPr>
      <w:r>
        <w:t xml:space="preserve">2.7.9 </w:t>
      </w:r>
      <w:r>
        <w:tab/>
        <w:t>Le uscite per l'aria provenienti da locali pericolosi sono situate in una zona aperta che presenti al massimo la stessa pericolosità del locale ventilato.</w:t>
      </w:r>
    </w:p>
    <w:p w:rsidR="001D0FFC" w:rsidRPr="00C903F8" w:rsidRDefault="001D0FFC" w:rsidP="001D0FFC">
      <w:pPr>
        <w:pStyle w:val="Esann8ch"/>
      </w:pPr>
    </w:p>
    <w:p w:rsidR="001D0FFC" w:rsidRPr="00C903F8" w:rsidRDefault="001D0FFC" w:rsidP="001D0FFC">
      <w:pPr>
        <w:pStyle w:val="Esann8ch"/>
      </w:pPr>
      <w:r>
        <w:t>2.7.10</w:t>
      </w:r>
      <w:r>
        <w:tab/>
        <w:t>Le uscite dell'aria provenienti da locali non pericolosi sono situate al di fuori di zone pericolose.</w:t>
      </w:r>
    </w:p>
    <w:p w:rsidR="001D0FFC" w:rsidRPr="00C903F8" w:rsidRDefault="001D0FFC" w:rsidP="001D0FFC">
      <w:pPr>
        <w:pStyle w:val="Esann8ch"/>
      </w:pPr>
    </w:p>
    <w:p w:rsidR="001D0FFC" w:rsidRPr="00C903F8" w:rsidRDefault="001D0FFC" w:rsidP="001D0FFC">
      <w:pPr>
        <w:pStyle w:val="Esann8ch"/>
      </w:pPr>
      <w:r>
        <w:t>2.7.11</w:t>
      </w:r>
      <w:r>
        <w:tab/>
        <w:t>Nei locali chiusi le condotte di ventilazione dei gas di scarico sono poste nella parte superiore di tali locali, mentre gli ingressi per l'aria sono situati nella parte inferiore.</w:t>
      </w:r>
    </w:p>
    <w:p w:rsidR="001D0FFC" w:rsidRPr="00C903F8" w:rsidRDefault="001D0FFC" w:rsidP="001D0FFC">
      <w:pPr>
        <w:pStyle w:val="Esann8ch"/>
        <w:rPr>
          <w:bCs/>
        </w:rPr>
      </w:pPr>
    </w:p>
    <w:p w:rsidR="001D0FFC" w:rsidRPr="00C903F8" w:rsidRDefault="001D0FFC" w:rsidP="00623DA7">
      <w:pPr>
        <w:pStyle w:val="Esann8chgras"/>
      </w:pPr>
      <w:r>
        <w:t>2.8</w:t>
      </w:r>
      <w:r>
        <w:tab/>
        <w:t>Sistema di rifornimento di GNL</w:t>
      </w:r>
    </w:p>
    <w:p w:rsidR="001D0FFC" w:rsidRPr="00C903F8" w:rsidRDefault="001D0FFC" w:rsidP="001D0FFC">
      <w:pPr>
        <w:pStyle w:val="Esann8ch"/>
      </w:pPr>
    </w:p>
    <w:p w:rsidR="001D0FFC" w:rsidRPr="00C903F8" w:rsidRDefault="001D0FFC" w:rsidP="001D0FFC">
      <w:pPr>
        <w:pStyle w:val="Esann8ch"/>
      </w:pPr>
      <w:r>
        <w:t>2.8.1</w:t>
      </w:r>
      <w:r>
        <w:tab/>
        <w:t>Il sistema di rifornimento di GNL è configurato in maniera tale da non scaricare gas nell'atmosfera durante il riempimento dei serbatoi di GNL.</w:t>
      </w:r>
    </w:p>
    <w:p w:rsidR="001D0FFC" w:rsidRPr="00C903F8" w:rsidRDefault="001D0FFC" w:rsidP="001D0FFC">
      <w:pPr>
        <w:pStyle w:val="Esann8ch"/>
      </w:pPr>
    </w:p>
    <w:p w:rsidR="001D0FFC" w:rsidRPr="00C903F8" w:rsidRDefault="001D0FFC" w:rsidP="001D0FFC">
      <w:pPr>
        <w:pStyle w:val="Esann8ch"/>
      </w:pPr>
      <w:r>
        <w:t>2.8.2</w:t>
      </w:r>
      <w:r>
        <w:tab/>
        <w:t>La stazione di rifornimento e tutte le valvole utilizzate per il rifornimento sono situate su un ponte scoperto in maniera da assicurare una ventilazione naturale sufficiente.</w:t>
      </w:r>
    </w:p>
    <w:p w:rsidR="001D0FFC" w:rsidRPr="00C903F8" w:rsidRDefault="001D0FFC" w:rsidP="001D0FFC">
      <w:pPr>
        <w:pStyle w:val="Esann8ch"/>
      </w:pPr>
    </w:p>
    <w:p w:rsidR="001D0FFC" w:rsidRPr="00C903F8" w:rsidRDefault="001D0FFC" w:rsidP="001D0FFC">
      <w:pPr>
        <w:pStyle w:val="Esann8ch"/>
      </w:pPr>
      <w:r>
        <w:t>2.8.3</w:t>
      </w:r>
      <w:r>
        <w:tab/>
        <w:t>La stazione di rifornimento è posizionata e disposta in maniera tale da fare sì che eventuali danni alle tubolature del gas non provochino danni al sistema di contenimento del GNL dell'imbarcazione.</w:t>
      </w:r>
    </w:p>
    <w:p w:rsidR="001D0FFC" w:rsidRPr="00C903F8" w:rsidRDefault="001D0FFC" w:rsidP="001D0FFC">
      <w:pPr>
        <w:pStyle w:val="Esann8ch"/>
      </w:pPr>
    </w:p>
    <w:p w:rsidR="001D0FFC" w:rsidRPr="00C903F8" w:rsidRDefault="001D0FFC" w:rsidP="001D0FFC">
      <w:pPr>
        <w:pStyle w:val="Esann8ch"/>
      </w:pPr>
      <w:r>
        <w:t>2.8.4</w:t>
      </w:r>
      <w:r>
        <w:tab/>
        <w:t>Sono previsti mezzi idonei per sfiatare la pressione e rimuovere i contenuti liquidi dalle condotte di aspirazione delle pompe e dalle tubolature dei serbatoi per il combustibile.</w:t>
      </w:r>
    </w:p>
    <w:p w:rsidR="001D0FFC" w:rsidRPr="00C903F8" w:rsidRDefault="001D0FFC" w:rsidP="001D0FFC">
      <w:pPr>
        <w:pStyle w:val="Esann8ch"/>
      </w:pPr>
    </w:p>
    <w:p w:rsidR="001D0FFC" w:rsidRPr="00C903F8" w:rsidRDefault="001D0FFC" w:rsidP="001D0FFC">
      <w:pPr>
        <w:pStyle w:val="Esann8ch"/>
      </w:pPr>
      <w:r>
        <w:t>2.8.5</w:t>
      </w:r>
      <w:r>
        <w:tab/>
        <w:t>I tubi flessibili utilizzati per il rifornimento di gas naturale liquefatto sono:</w:t>
      </w:r>
    </w:p>
    <w:p w:rsidR="001D0FFC" w:rsidRPr="00C903F8" w:rsidRDefault="001D0FFC" w:rsidP="00623DA7">
      <w:pPr>
        <w:pStyle w:val="Esann8let"/>
      </w:pPr>
      <w:r>
        <w:t>a)</w:t>
      </w:r>
      <w:r>
        <w:tab/>
        <w:t>compatibili con il gas naturale liquefatto, in particolare adatti all'uso alla temperatura di tale gas;</w:t>
      </w:r>
    </w:p>
    <w:p w:rsidR="001D0FFC" w:rsidRPr="00C903F8" w:rsidRDefault="001D0FFC" w:rsidP="00623DA7">
      <w:pPr>
        <w:pStyle w:val="Esann8let"/>
      </w:pPr>
      <w:r>
        <w:t>b)</w:t>
      </w:r>
      <w:r>
        <w:tab/>
        <w:t>progettati per una pressione di scoppio non inferiore a cinque volte la pressione massima a cui possono essere sottoposti durante il rifornimento.</w:t>
      </w:r>
    </w:p>
    <w:p w:rsidR="00D24BFE" w:rsidRPr="00C903F8" w:rsidRDefault="00D24BFE">
      <w:pPr>
        <w:autoSpaceDE/>
        <w:autoSpaceDN/>
        <w:ind w:left="0" w:firstLine="0"/>
        <w:jc w:val="left"/>
        <w:rPr>
          <w:rFonts w:eastAsia="Calibri" w:cs="Arial"/>
          <w:color w:val="000000"/>
          <w:szCs w:val="20"/>
        </w:rPr>
      </w:pPr>
      <w:r>
        <w:br w:type="page"/>
      </w:r>
    </w:p>
    <w:p w:rsidR="001D0FFC" w:rsidRPr="00C903F8" w:rsidRDefault="001D0FFC" w:rsidP="001D0FFC">
      <w:pPr>
        <w:pStyle w:val="Esann8ch"/>
      </w:pPr>
    </w:p>
    <w:p w:rsidR="001D0FFC" w:rsidRPr="00C903F8" w:rsidRDefault="001D0FFC" w:rsidP="001D0FFC">
      <w:pPr>
        <w:pStyle w:val="Esann8ch"/>
      </w:pPr>
      <w:r>
        <w:t>2.8.6</w:t>
      </w:r>
      <w:r>
        <w:tab/>
        <w:t xml:space="preserve">Il collettore di rifornimento è progettato per resistere a carichi meccanici normali durante il rifornimento. I collegamenti sono di tipo a disinnesto a secco conformemente alla norma europea EN 1474 e provvisti di accoppiamenti di sicurezza supplementari con disinnesto a secco. </w:t>
      </w:r>
    </w:p>
    <w:p w:rsidR="001D0FFC" w:rsidRPr="00C903F8" w:rsidRDefault="001D0FFC" w:rsidP="001D0FFC">
      <w:pPr>
        <w:pStyle w:val="Esann8ch"/>
      </w:pPr>
    </w:p>
    <w:p w:rsidR="001D0FFC" w:rsidRPr="00C903F8" w:rsidRDefault="001D0FFC" w:rsidP="001D0FFC">
      <w:pPr>
        <w:pStyle w:val="Esann8ch"/>
      </w:pPr>
      <w:r>
        <w:t>2.8.7</w:t>
      </w:r>
      <w:r>
        <w:tab/>
        <w:t xml:space="preserve">Deve essere possibile azionare la valvola principale di rifornimento del GNL durante le operazioni di rifornimento da una stazione di controllo sicura presente sull'imbarcazione. </w:t>
      </w:r>
    </w:p>
    <w:p w:rsidR="001D0FFC" w:rsidRPr="00C903F8" w:rsidRDefault="001D0FFC" w:rsidP="001D0FFC">
      <w:pPr>
        <w:pStyle w:val="Esann8ch"/>
      </w:pPr>
    </w:p>
    <w:p w:rsidR="001D0FFC" w:rsidRPr="00C903F8" w:rsidRDefault="001D0FFC" w:rsidP="001D0FFC">
      <w:pPr>
        <w:pStyle w:val="Esann8ch"/>
      </w:pPr>
      <w:r>
        <w:t xml:space="preserve">2.8.8 </w:t>
      </w:r>
      <w:r>
        <w:tab/>
        <w:t>Le tubolature per il rifornimento sono predisposte per l'inertizzazione e lo sfiato di gas.</w:t>
      </w:r>
    </w:p>
    <w:p w:rsidR="001D0FFC" w:rsidRPr="00C903F8" w:rsidRDefault="001D0FFC" w:rsidP="001D0FFC">
      <w:pPr>
        <w:pStyle w:val="Esann8ch"/>
        <w:rPr>
          <w:b/>
          <w:bCs/>
        </w:rPr>
      </w:pPr>
    </w:p>
    <w:p w:rsidR="001D0FFC" w:rsidRPr="00C903F8" w:rsidRDefault="001D0FFC" w:rsidP="00623DA7">
      <w:pPr>
        <w:pStyle w:val="Esann8chgras"/>
      </w:pPr>
      <w:r>
        <w:t>2.9</w:t>
      </w:r>
      <w:r>
        <w:tab/>
        <w:t>Limiti di riempimento dei serbatoi di GNL</w:t>
      </w:r>
    </w:p>
    <w:p w:rsidR="001D0FFC" w:rsidRPr="00C903F8" w:rsidRDefault="001D0FFC" w:rsidP="001D0FFC">
      <w:pPr>
        <w:pStyle w:val="Esann8ch"/>
      </w:pPr>
    </w:p>
    <w:p w:rsidR="001D0FFC" w:rsidRPr="00C903F8" w:rsidRDefault="001D0FFC" w:rsidP="001D0FFC">
      <w:pPr>
        <w:pStyle w:val="Esann8ch"/>
      </w:pPr>
      <w:r>
        <w:t>2.9.1</w:t>
      </w:r>
      <w:r>
        <w:tab/>
        <w:t xml:space="preserve">Il livello di gas naturale liquefatto presente nel serbatoio di GNL non supera il limite di riempimento pari al 95 % del pieno alla temperatura di riferimento. La temperatura di riferimento indica la temperatura corrispondente alla pressione di vapore del combustibile alla pressione di apertura delle valvole di sfiato della pressione. </w:t>
      </w:r>
    </w:p>
    <w:p w:rsidR="001D0FFC" w:rsidRPr="00C903F8" w:rsidRDefault="001D0FFC" w:rsidP="001D0FFC">
      <w:pPr>
        <w:pStyle w:val="Esann8ch"/>
      </w:pPr>
    </w:p>
    <w:p w:rsidR="001D0FFC" w:rsidRPr="00C903F8" w:rsidRDefault="001D0FFC" w:rsidP="001D0FFC">
      <w:pPr>
        <w:pStyle w:val="Esann8ch"/>
      </w:pPr>
      <w:r>
        <w:t>2.9.2</w:t>
      </w:r>
      <w:r>
        <w:tab/>
        <w:t>Utilizzando la formula che segue si prepara una curva limite di riempimento per le temperature di riempimento del gas naturale liquefatto utilizzando la seguente formula:</w:t>
      </w:r>
    </w:p>
    <w:p w:rsidR="00623DA7" w:rsidRPr="00C903F8" w:rsidRDefault="00623DA7" w:rsidP="00623DA7">
      <w:pPr>
        <w:spacing w:line="240" w:lineRule="atLeast"/>
        <w:ind w:left="851" w:hanging="851"/>
        <w:jc w:val="center"/>
        <w:rPr>
          <w:rFonts w:eastAsia="Calibri" w:cs="Arial"/>
          <w:color w:val="000000"/>
          <w:szCs w:val="20"/>
        </w:rPr>
      </w:pPr>
      <m:oMathPara>
        <m:oMath>
          <m:r>
            <w:rPr>
              <w:rFonts w:ascii="Cambria Math" w:eastAsia="Calibri" w:hAnsi="Cambria Math" w:cs="Arial"/>
              <w:color w:val="000000"/>
              <w:szCs w:val="20"/>
            </w:rPr>
            <m:t xml:space="preserve">LL=FL ∙ </m:t>
          </m:r>
          <m:sSub>
            <m:sSubPr>
              <m:ctrlPr>
                <w:rPr>
                  <w:rFonts w:ascii="Cambria Math" w:eastAsia="Calibri" w:hAnsi="Cambria Math" w:cs="Arial"/>
                  <w:i/>
                  <w:color w:val="000000"/>
                  <w:szCs w:val="20"/>
                </w:rPr>
              </m:ctrlPr>
            </m:sSubPr>
            <m:e>
              <m:r>
                <w:rPr>
                  <w:rFonts w:ascii="Cambria Math" w:eastAsia="Calibri" w:hAnsi="Cambria Math" w:cs="Arial"/>
                  <w:color w:val="000000"/>
                  <w:szCs w:val="20"/>
                </w:rPr>
                <m:t>ρ</m:t>
              </m:r>
            </m:e>
            <m:sub>
              <m:r>
                <w:rPr>
                  <w:rFonts w:ascii="Cambria Math" w:eastAsia="Calibri" w:hAnsi="Cambria Math" w:cs="Arial"/>
                  <w:color w:val="000000"/>
                  <w:szCs w:val="20"/>
                </w:rPr>
                <m:t>R</m:t>
              </m:r>
            </m:sub>
          </m:sSub>
          <m:r>
            <w:rPr>
              <w:rFonts w:ascii="Cambria Math" w:eastAsia="Calibri" w:hAnsi="Cambria Math" w:cs="Arial"/>
              <w:color w:val="000000"/>
              <w:szCs w:val="20"/>
            </w:rPr>
            <m:t>/</m:t>
          </m:r>
          <m:sSub>
            <m:sSubPr>
              <m:ctrlPr>
                <w:rPr>
                  <w:rFonts w:ascii="Cambria Math" w:eastAsia="Calibri" w:hAnsi="Cambria Math" w:cs="Arial"/>
                  <w:i/>
                  <w:color w:val="000000"/>
                  <w:szCs w:val="20"/>
                </w:rPr>
              </m:ctrlPr>
            </m:sSubPr>
            <m:e>
              <m:r>
                <w:rPr>
                  <w:rFonts w:ascii="Cambria Math" w:eastAsia="Calibri" w:hAnsi="Cambria Math" w:cs="Arial"/>
                  <w:color w:val="000000"/>
                  <w:szCs w:val="20"/>
                </w:rPr>
                <m:t>ρ</m:t>
              </m:r>
            </m:e>
            <m:sub>
              <m:r>
                <w:rPr>
                  <w:rFonts w:ascii="Cambria Math" w:eastAsia="Calibri" w:hAnsi="Cambria Math" w:cs="Arial"/>
                  <w:color w:val="000000"/>
                  <w:szCs w:val="20"/>
                </w:rPr>
                <m:t>L</m:t>
              </m:r>
            </m:sub>
          </m:sSub>
        </m:oMath>
      </m:oMathPara>
    </w:p>
    <w:p w:rsidR="001D0FFC" w:rsidRPr="00C903F8" w:rsidRDefault="001D0FFC" w:rsidP="00623DA7">
      <w:pPr>
        <w:pStyle w:val="Esann8chpar"/>
      </w:pPr>
      <w:r>
        <w:t>dove:</w:t>
      </w:r>
    </w:p>
    <w:p w:rsidR="001D0FFC" w:rsidRPr="00C903F8" w:rsidRDefault="00623DA7" w:rsidP="00623DA7">
      <w:pPr>
        <w:pStyle w:val="Esann8chpar"/>
        <w:tabs>
          <w:tab w:val="left" w:pos="1418"/>
        </w:tabs>
        <w:spacing w:before="60"/>
        <w:ind w:left="1843" w:hanging="992"/>
      </w:pPr>
      <m:oMath>
        <m:r>
          <w:rPr>
            <w:rFonts w:ascii="Cambria Math" w:hAnsi="Cambria Math"/>
          </w:rPr>
          <m:t>LL</m:t>
        </m:r>
      </m:oMath>
      <w:r>
        <w:tab/>
        <w:t>=</w:t>
      </w:r>
      <w:r>
        <w:tab/>
        <w:t>limite di carico, volume massimo ammissibile di liquido relativo al volume del serbatoio di GNL fino al quale è possibile riempire il serbatoio, espresso in percentuale;</w:t>
      </w:r>
    </w:p>
    <w:p w:rsidR="001D0FFC" w:rsidRPr="00C903F8" w:rsidRDefault="00623DA7" w:rsidP="00623DA7">
      <w:pPr>
        <w:pStyle w:val="Esann8chpar"/>
        <w:tabs>
          <w:tab w:val="left" w:pos="1418"/>
        </w:tabs>
        <w:spacing w:before="60"/>
        <w:ind w:left="1843" w:hanging="992"/>
      </w:pPr>
      <m:oMath>
        <m:r>
          <w:rPr>
            <w:rFonts w:ascii="Cambria Math" w:hAnsi="Cambria Math"/>
          </w:rPr>
          <m:t>FL</m:t>
        </m:r>
      </m:oMath>
      <w:r>
        <w:tab/>
        <w:t>=</w:t>
      </w:r>
      <w:r>
        <w:tab/>
        <w:t>limite di riempimento espresso in percentuale, nel caso specifico pari a 95 %;</w:t>
      </w:r>
    </w:p>
    <w:p w:rsidR="001D0FFC" w:rsidRPr="00C903F8" w:rsidRDefault="00624017" w:rsidP="00623DA7">
      <w:pPr>
        <w:pStyle w:val="Esann8chpar"/>
        <w:tabs>
          <w:tab w:val="left" w:pos="1418"/>
        </w:tabs>
        <w:spacing w:before="60"/>
        <w:ind w:left="1843" w:hanging="992"/>
      </w:pPr>
      <m:oMath>
        <m:sSub>
          <m:sSubPr>
            <m:ctrlPr>
              <w:rPr>
                <w:rFonts w:ascii="Cambria Math" w:hAnsi="Cambria Math"/>
                <w:i/>
              </w:rPr>
            </m:ctrlPr>
          </m:sSubPr>
          <m:e>
            <m:r>
              <w:rPr>
                <w:rFonts w:ascii="Cambria Math" w:hAnsi="Cambria Math"/>
              </w:rPr>
              <m:t>ρ</m:t>
            </m:r>
          </m:e>
          <m:sub>
            <m:r>
              <w:rPr>
                <w:rFonts w:ascii="Cambria Math" w:hAnsi="Cambria Math"/>
              </w:rPr>
              <m:t>R</m:t>
            </m:r>
          </m:sub>
        </m:sSub>
      </m:oMath>
      <w:r w:rsidR="00801F1F">
        <w:tab/>
        <w:t>=</w:t>
      </w:r>
      <w:r w:rsidR="00801F1F">
        <w:tab/>
        <w:t xml:space="preserve">densità relativa del combustibile alla temperatura di riferimento; </w:t>
      </w:r>
    </w:p>
    <w:p w:rsidR="001D0FFC" w:rsidRPr="00C903F8" w:rsidRDefault="00624017" w:rsidP="00623DA7">
      <w:pPr>
        <w:pStyle w:val="Esann8chpar"/>
        <w:tabs>
          <w:tab w:val="left" w:pos="1418"/>
        </w:tabs>
        <w:spacing w:before="60"/>
        <w:ind w:left="1843" w:hanging="992"/>
      </w:pPr>
      <m:oMath>
        <m:sSub>
          <m:sSubPr>
            <m:ctrlPr>
              <w:rPr>
                <w:rFonts w:ascii="Cambria Math" w:hAnsi="Cambria Math"/>
                <w:i/>
              </w:rPr>
            </m:ctrlPr>
          </m:sSubPr>
          <m:e>
            <m:r>
              <w:rPr>
                <w:rFonts w:ascii="Cambria Math" w:hAnsi="Cambria Math"/>
              </w:rPr>
              <m:t>ρ</m:t>
            </m:r>
          </m:e>
          <m:sub>
            <m:r>
              <w:rPr>
                <w:rFonts w:ascii="Cambria Math" w:hAnsi="Cambria Math"/>
              </w:rPr>
              <m:t>L</m:t>
            </m:r>
          </m:sub>
        </m:sSub>
      </m:oMath>
      <w:r w:rsidR="00801F1F">
        <w:tab/>
        <w:t>=</w:t>
      </w:r>
      <w:r w:rsidR="00801F1F">
        <w:tab/>
        <w:t>densità relativa del combustibile alla temperatura di carico.</w:t>
      </w:r>
    </w:p>
    <w:p w:rsidR="001D0FFC" w:rsidRPr="00C903F8" w:rsidRDefault="001D0FFC" w:rsidP="001D0FFC">
      <w:pPr>
        <w:pStyle w:val="Esann8ch"/>
      </w:pPr>
    </w:p>
    <w:p w:rsidR="001D0FFC" w:rsidRPr="00C903F8" w:rsidRDefault="001D0FFC" w:rsidP="001D0FFC">
      <w:pPr>
        <w:pStyle w:val="Esann8ch"/>
      </w:pPr>
      <w:r>
        <w:t>2.9.3</w:t>
      </w:r>
      <w:r>
        <w:tab/>
        <w:t>Per le imbarcazioni esposte ad altezze significative d'onda o movimenti significativi in ragione delle operazioni svolte, la curva limite di riempimento va adeguata di conseguenza, sulla base della valutazione dei rischi a norma del punto 1.3.</w:t>
      </w:r>
    </w:p>
    <w:p w:rsidR="001D0FFC" w:rsidRPr="00C903F8" w:rsidRDefault="001D0FFC" w:rsidP="001D0FFC">
      <w:pPr>
        <w:pStyle w:val="Esann8ch"/>
      </w:pPr>
    </w:p>
    <w:p w:rsidR="001D0FFC" w:rsidRPr="00C903F8" w:rsidRDefault="001D0FFC" w:rsidP="00623DA7">
      <w:pPr>
        <w:pStyle w:val="Esann8chgras"/>
      </w:pPr>
      <w:r>
        <w:t>2.10</w:t>
      </w:r>
      <w:r>
        <w:tab/>
        <w:t>Sistema di alimentazione del gas</w:t>
      </w:r>
    </w:p>
    <w:p w:rsidR="001D0FFC" w:rsidRPr="00C903F8" w:rsidRDefault="001D0FFC" w:rsidP="001D0FFC">
      <w:pPr>
        <w:pStyle w:val="Esann8ch"/>
      </w:pPr>
    </w:p>
    <w:p w:rsidR="001D0FFC" w:rsidRPr="00C903F8" w:rsidRDefault="001D0FFC" w:rsidP="001D0FFC">
      <w:pPr>
        <w:pStyle w:val="Esann8ch"/>
      </w:pPr>
      <w:r>
        <w:t>2.10.1</w:t>
      </w:r>
      <w:r>
        <w:tab/>
        <w:t>La disposizione del sistema di alimentazione del gas va configurata in maniera tale da ridurre al minimo le conseguenze di qualsiasi eventuale fuoriuscita di gas, garantendo al tempo stesso un accesso sicuro per l'esercizio e l'ispezione.</w:t>
      </w:r>
    </w:p>
    <w:p w:rsidR="001D0FFC" w:rsidRPr="00C903F8" w:rsidRDefault="001D0FFC" w:rsidP="001D0FFC">
      <w:pPr>
        <w:pStyle w:val="Esann8ch"/>
      </w:pPr>
    </w:p>
    <w:p w:rsidR="001D0FFC" w:rsidRPr="00C903F8" w:rsidRDefault="001D0FFC" w:rsidP="001D0FFC">
      <w:pPr>
        <w:pStyle w:val="Esann8ch"/>
      </w:pPr>
      <w:r>
        <w:t>2.10.2</w:t>
      </w:r>
      <w:r>
        <w:tab/>
        <w:t>Le parti del sistema di alimentazione del gas situate al di fuori della sala macchine sono progettate in maniera da garantire che il guasto di una barriera non possa portare a una perdita dal sistema verso la zona circostante, causando un pericolo immediato per le persone a bordo, l'ambiente o l'imbarcazione.</w:t>
      </w:r>
    </w:p>
    <w:p w:rsidR="001D0FFC" w:rsidRPr="00C903F8" w:rsidRDefault="001D0FFC" w:rsidP="001D0FFC">
      <w:pPr>
        <w:pStyle w:val="Esann8ch"/>
      </w:pPr>
    </w:p>
    <w:p w:rsidR="001D0FFC" w:rsidRPr="00C903F8" w:rsidRDefault="001D0FFC" w:rsidP="001D0FFC">
      <w:pPr>
        <w:pStyle w:val="Esann8ch"/>
      </w:pPr>
      <w:r>
        <w:t>2.10.3</w:t>
      </w:r>
      <w:r>
        <w:tab/>
        <w:t xml:space="preserve">Gli ingressi e le uscite dei serbatoi di GNL sono provvisti di valvole posizionate il più vicino possibile al serbatoio. </w:t>
      </w:r>
    </w:p>
    <w:p w:rsidR="001D0FFC" w:rsidRPr="00C903F8" w:rsidRDefault="001D0FFC" w:rsidP="001D0FFC">
      <w:pPr>
        <w:pStyle w:val="Esann8ch"/>
      </w:pPr>
    </w:p>
    <w:p w:rsidR="001D0FFC" w:rsidRPr="00C903F8" w:rsidRDefault="001D0FFC" w:rsidP="001D0FFC">
      <w:pPr>
        <w:pStyle w:val="Esann8ch"/>
      </w:pPr>
      <w:r>
        <w:t>2.10.4</w:t>
      </w:r>
      <w:r>
        <w:tab/>
        <w:t>Il sistema di alimentazione del gas di ciascun motore o gruppo di motori è dotato di una valvola principale di alimentazione del gas. Le valvole sono posizionate il più vicino possibile al sistema di preparazione del gas, ma in ogni caso al di fuori della sala macchine.</w:t>
      </w:r>
    </w:p>
    <w:p w:rsidR="001D0FFC" w:rsidRPr="00C903F8" w:rsidRDefault="001D0FFC" w:rsidP="001D0FFC">
      <w:pPr>
        <w:pStyle w:val="Esann8ch"/>
      </w:pPr>
    </w:p>
    <w:p w:rsidR="00D24BFE" w:rsidRPr="00C903F8" w:rsidRDefault="00D24BFE">
      <w:pPr>
        <w:autoSpaceDE/>
        <w:autoSpaceDN/>
        <w:ind w:left="0" w:firstLine="0"/>
        <w:jc w:val="left"/>
        <w:rPr>
          <w:rFonts w:eastAsia="Calibri" w:cs="Arial"/>
          <w:color w:val="000000"/>
          <w:szCs w:val="20"/>
        </w:rPr>
      </w:pPr>
      <w:r>
        <w:br w:type="page"/>
      </w:r>
    </w:p>
    <w:p w:rsidR="00D24BFE" w:rsidRPr="00C903F8" w:rsidRDefault="00D24BFE" w:rsidP="001D0FFC">
      <w:pPr>
        <w:pStyle w:val="Esann8ch"/>
      </w:pPr>
    </w:p>
    <w:p w:rsidR="001D0FFC" w:rsidRPr="00C903F8" w:rsidRDefault="001D0FFC" w:rsidP="001D0FFC">
      <w:pPr>
        <w:pStyle w:val="Esann8ch"/>
      </w:pPr>
      <w:r>
        <w:t>2.10.5</w:t>
      </w:r>
      <w:r>
        <w:tab/>
        <w:t xml:space="preserve">Deve essere possibile azionare la valvola principale di alimentazione del gas </w:t>
      </w:r>
    </w:p>
    <w:p w:rsidR="001D0FFC" w:rsidRPr="00C903F8" w:rsidRDefault="001D0FFC" w:rsidP="00623DA7">
      <w:pPr>
        <w:pStyle w:val="Esann8let"/>
      </w:pPr>
      <w:r>
        <w:t>a)</w:t>
      </w:r>
      <w:r>
        <w:tab/>
        <w:t xml:space="preserve">all'interno e all'esterno della sala macchine; </w:t>
      </w:r>
    </w:p>
    <w:p w:rsidR="001D0FFC" w:rsidRPr="00C903F8" w:rsidRDefault="001D0FFC" w:rsidP="00623DA7">
      <w:pPr>
        <w:pStyle w:val="Esann8let"/>
      </w:pPr>
      <w:r>
        <w:t>b)</w:t>
      </w:r>
      <w:r>
        <w:tab/>
        <w:t>dalla timoneria.</w:t>
      </w:r>
    </w:p>
    <w:p w:rsidR="001D0FFC" w:rsidRPr="00C903F8" w:rsidRDefault="001D0FFC" w:rsidP="001D0FFC">
      <w:pPr>
        <w:pStyle w:val="Esann8ch"/>
      </w:pPr>
    </w:p>
    <w:p w:rsidR="001D0FFC" w:rsidRPr="00C903F8" w:rsidRDefault="001D0FFC" w:rsidP="001D0FFC">
      <w:pPr>
        <w:pStyle w:val="Esann8ch"/>
      </w:pPr>
      <w:r>
        <w:t>2.10.6</w:t>
      </w:r>
      <w:r>
        <w:tab/>
        <w:t>Ogni utenza alimentata a gas è dotata di un assieme di valvole di doppio blocco e sfiato destinato a garantire l'isolamento sicuro del sistema di alimentazione del combustibile. Le due valvole di blocco sono del tipo a reazione in chiusura (</w:t>
      </w:r>
      <w:r>
        <w:rPr>
          <w:i/>
        </w:rPr>
        <w:t>fail-to-close</w:t>
      </w:r>
      <w:r>
        <w:t>), mentre la valvola di ventilazione è del tipo a reazione in apertura (</w:t>
      </w:r>
      <w:r>
        <w:rPr>
          <w:i/>
        </w:rPr>
        <w:t>fail-to-open</w:t>
      </w:r>
      <w:r>
        <w:t>).</w:t>
      </w:r>
    </w:p>
    <w:p w:rsidR="001D0FFC" w:rsidRPr="00C903F8" w:rsidRDefault="001D0FFC" w:rsidP="001D0FFC">
      <w:pPr>
        <w:pStyle w:val="Esann8ch"/>
      </w:pPr>
    </w:p>
    <w:p w:rsidR="001D0FFC" w:rsidRPr="00C903F8" w:rsidRDefault="001D0FFC" w:rsidP="001D0FFC">
      <w:pPr>
        <w:pStyle w:val="Esann8ch"/>
      </w:pPr>
      <w:r>
        <w:t>2.10.7</w:t>
      </w:r>
      <w:r>
        <w:tab/>
        <w:t>Per gli impianti a più motori, nei quali è prevista una valvola principale di alimentazione del gas separata per ciascun motore e per gli impianti a un motore unico, è possibile combinare la valvola principale di alimentazione del gas e l'assieme di valvole di doppio blocco e sfiato. Inoltre, una valvola di arresto dell'assieme di valvole di doppio blocco e sfiato deve poter essere azionata manualmente.</w:t>
      </w:r>
    </w:p>
    <w:p w:rsidR="001D0FFC" w:rsidRPr="00C903F8" w:rsidRDefault="001D0FFC" w:rsidP="00623DA7">
      <w:pPr>
        <w:pStyle w:val="Esann8ch"/>
      </w:pPr>
    </w:p>
    <w:p w:rsidR="001D0FFC" w:rsidRPr="00C903F8" w:rsidRDefault="001D0FFC" w:rsidP="00623DA7">
      <w:pPr>
        <w:pStyle w:val="Esann8chgras"/>
      </w:pPr>
      <w:r>
        <w:t>2.11</w:t>
      </w:r>
      <w:r>
        <w:tab/>
        <w:t>Sistema di scarico e arresto dell'alimentazione di gas</w:t>
      </w:r>
    </w:p>
    <w:p w:rsidR="001D0FFC" w:rsidRPr="00C903F8" w:rsidRDefault="001D0FFC" w:rsidP="001D0FFC">
      <w:pPr>
        <w:pStyle w:val="Esann8ch"/>
      </w:pPr>
    </w:p>
    <w:p w:rsidR="001D0FFC" w:rsidRPr="00C903F8" w:rsidRDefault="001D0FFC" w:rsidP="001D0FFC">
      <w:pPr>
        <w:pStyle w:val="Esann8ch"/>
      </w:pPr>
      <w:r>
        <w:t>2.11.1</w:t>
      </w:r>
      <w:r>
        <w:tab/>
        <w:t>Il sistema di scarico è configurato in maniera tale da mantenere l'accumulo di combustibile gassoso incombusto il più basso possibile.</w:t>
      </w:r>
    </w:p>
    <w:p w:rsidR="001D0FFC" w:rsidRPr="00C903F8" w:rsidRDefault="001D0FFC" w:rsidP="001D0FFC">
      <w:pPr>
        <w:pStyle w:val="Esann8ch"/>
      </w:pPr>
    </w:p>
    <w:p w:rsidR="001D0FFC" w:rsidRPr="00C903F8" w:rsidRDefault="001D0FFC" w:rsidP="001D0FFC">
      <w:pPr>
        <w:pStyle w:val="Esann8ch"/>
      </w:pPr>
      <w:r>
        <w:t>2.11.2</w:t>
      </w:r>
      <w:r>
        <w:tab/>
        <w:t>Fatto salvo il caso in cui siano progettati per resistere allo scenario peggiore di sovrapressione dovuta a perdite di gas in combustione, i componenti del motore o i sistemi che possono contenere una miscela infiammabile di gas e aria devono essere dotati di adeguati dispositivi di riduzione della sovrapressione.</w:t>
      </w:r>
    </w:p>
    <w:p w:rsidR="001D0FFC" w:rsidRPr="00C903F8" w:rsidRDefault="001D0FFC" w:rsidP="001D0FFC">
      <w:pPr>
        <w:pStyle w:val="Esann8ch"/>
      </w:pPr>
    </w:p>
    <w:p w:rsidR="001D0FFC" w:rsidRPr="00C903F8" w:rsidRDefault="001D0FFC" w:rsidP="001D0FFC">
      <w:pPr>
        <w:pStyle w:val="Esann8ch"/>
      </w:pPr>
      <w:r>
        <w:t>2.11.3</w:t>
      </w:r>
      <w:r>
        <w:tab/>
        <w:t>Se prima dell'arresto non si commuta l'alimentazione dal gas in gasolio, è necessario spurgare il sistema di alimentazione del gas dalla valvola principale di alimentazione del gas al motore e anche il sistema di scarico al fine di scaricare il gas residuo eventualmente presente.</w:t>
      </w:r>
    </w:p>
    <w:p w:rsidR="001D0FFC" w:rsidRPr="00C903F8" w:rsidRDefault="001D0FFC" w:rsidP="001D0FFC">
      <w:pPr>
        <w:pStyle w:val="Esann8ch"/>
      </w:pPr>
    </w:p>
    <w:p w:rsidR="001D0FFC" w:rsidRPr="00C903F8" w:rsidRDefault="001D0FFC" w:rsidP="001D0FFC">
      <w:pPr>
        <w:pStyle w:val="Esann8ch"/>
      </w:pPr>
      <w:r>
        <w:t>2.11.4</w:t>
      </w:r>
      <w:r>
        <w:tab/>
        <w:t xml:space="preserve">Occorre prevedere un mezzo per monitorare e rilevare un funzionamento errato del sistema di accensione, una cattiva combustione o un'accensione impropria che possono determinare la presenza di combustibile gassoso incombusto nel sistema di scarico durante l'esercizio. </w:t>
      </w:r>
    </w:p>
    <w:p w:rsidR="001D0FFC" w:rsidRPr="00C903F8" w:rsidRDefault="001D0FFC" w:rsidP="001D0FFC">
      <w:pPr>
        <w:pStyle w:val="Esann8ch"/>
      </w:pPr>
    </w:p>
    <w:p w:rsidR="001D0FFC" w:rsidRPr="00C903F8" w:rsidRDefault="001D0FFC" w:rsidP="001D0FFC">
      <w:pPr>
        <w:pStyle w:val="Esann8ch"/>
      </w:pPr>
      <w:r>
        <w:t>2.11.5</w:t>
      </w:r>
      <w:r>
        <w:tab/>
        <w:t>Se viene rilevato un funzionamento errato del sistema di accensione, una cattiva combustione o un'accensione impropria, il sistema di alimentazione del gas si arresta automaticamente.</w:t>
      </w:r>
    </w:p>
    <w:p w:rsidR="001D0FFC" w:rsidRPr="00C903F8" w:rsidRDefault="001D0FFC" w:rsidP="001D0FFC">
      <w:pPr>
        <w:pStyle w:val="Esann8ch"/>
      </w:pPr>
    </w:p>
    <w:p w:rsidR="001D0FFC" w:rsidRPr="00C903F8" w:rsidRDefault="001D0FFC" w:rsidP="001D0FFC">
      <w:pPr>
        <w:pStyle w:val="Esann8ch"/>
      </w:pPr>
      <w:r>
        <w:t>2.11.6</w:t>
      </w:r>
      <w:r>
        <w:tab/>
        <w:t>I tubi di scarico del gas o i motori a doppia alimentazione non vanno collegati ai tubi di scarico di altri motori o sistemi.</w:t>
      </w:r>
    </w:p>
    <w:p w:rsidR="001D0FFC" w:rsidRPr="00C903F8" w:rsidRDefault="001D0FFC" w:rsidP="001D0FFC">
      <w:pPr>
        <w:pStyle w:val="Esann8ch"/>
      </w:pPr>
    </w:p>
    <w:p w:rsidR="001D0FFC" w:rsidRPr="00C903F8" w:rsidRDefault="001D0FFC" w:rsidP="001D0FFC">
      <w:pPr>
        <w:pStyle w:val="Esann8ch"/>
      </w:pPr>
      <w:r>
        <w:t>2.11.7</w:t>
      </w:r>
      <w:r>
        <w:tab/>
        <w:t>In caso di arresto normale o di arresto di emergenza, il sistema di alimentazione del gas si deve arrestare al più tardi allo spegnimento della sorgente di accensione. Non deve essere possibile spegnere la sorgente di accensione senza prima o contemporaneamente chiudere l'alimentazione del gas a ciascun cilindro o al motore completo.</w:t>
      </w:r>
    </w:p>
    <w:p w:rsidR="001D0FFC" w:rsidRPr="00C903F8" w:rsidRDefault="001D0FFC" w:rsidP="001D0FFC">
      <w:pPr>
        <w:pStyle w:val="Esann8ch"/>
      </w:pPr>
    </w:p>
    <w:p w:rsidR="001D0FFC" w:rsidRPr="00C903F8" w:rsidRDefault="001D0FFC" w:rsidP="001D0FFC">
      <w:pPr>
        <w:pStyle w:val="Esann8ch"/>
      </w:pPr>
      <w:r>
        <w:t>2.11.8</w:t>
      </w:r>
      <w:r>
        <w:tab/>
        <w:t>In caso di spegnimento del sistema di alimentazione del gas in un motore a doppia alimentazione, il motore deve essere in grado di funzionare in maniera continua alimentato a gasolio senza interruzioni.</w:t>
      </w:r>
    </w:p>
    <w:p w:rsidR="001D0FFC" w:rsidRPr="00C903F8" w:rsidRDefault="001D0FFC" w:rsidP="001D0FFC">
      <w:pPr>
        <w:pStyle w:val="Esann8ch"/>
      </w:pPr>
    </w:p>
    <w:p w:rsidR="00623DA7" w:rsidRPr="00C903F8" w:rsidRDefault="00623DA7" w:rsidP="001D0FFC">
      <w:pPr>
        <w:pStyle w:val="Esann8ch"/>
      </w:pPr>
    </w:p>
    <w:p w:rsidR="00D24BFE" w:rsidRPr="00C903F8" w:rsidRDefault="00D24BFE">
      <w:pPr>
        <w:autoSpaceDE/>
        <w:autoSpaceDN/>
        <w:ind w:left="0" w:firstLine="0"/>
        <w:jc w:val="left"/>
        <w:rPr>
          <w:rFonts w:eastAsia="Calibri" w:cs="Arial"/>
          <w:color w:val="000000"/>
          <w:szCs w:val="20"/>
        </w:rPr>
      </w:pPr>
      <w:r>
        <w:br w:type="page"/>
      </w:r>
    </w:p>
    <w:p w:rsidR="00D24BFE" w:rsidRPr="00C903F8" w:rsidRDefault="00D24BFE" w:rsidP="001D0FFC">
      <w:pPr>
        <w:pStyle w:val="Esann8ch"/>
      </w:pPr>
    </w:p>
    <w:p w:rsidR="001D0FFC" w:rsidRPr="00C903F8" w:rsidRDefault="001D0FFC" w:rsidP="001D0FFC">
      <w:pPr>
        <w:pStyle w:val="Esann8titrechap"/>
      </w:pPr>
      <w:r>
        <w:t>Capo 3</w:t>
      </w:r>
    </w:p>
    <w:p w:rsidR="001D0FFC" w:rsidRPr="00C903F8" w:rsidRDefault="001D0FFC" w:rsidP="001D0FFC">
      <w:pPr>
        <w:pStyle w:val="Esann8titrechap"/>
      </w:pPr>
      <w:r>
        <w:t>Sicurezza antincendio</w:t>
      </w:r>
    </w:p>
    <w:p w:rsidR="001D0FFC" w:rsidRPr="00C903F8" w:rsidRDefault="001D0FFC" w:rsidP="001D0FFC">
      <w:pPr>
        <w:pStyle w:val="Esannch"/>
      </w:pPr>
    </w:p>
    <w:p w:rsidR="001D0FFC" w:rsidRPr="00C903F8" w:rsidRDefault="001D0FFC" w:rsidP="001D0FFC">
      <w:pPr>
        <w:pStyle w:val="Esann8chgras"/>
        <w:rPr>
          <w:rFonts w:eastAsia="Calibri"/>
        </w:rPr>
      </w:pPr>
      <w:r>
        <w:t>3.1</w:t>
      </w:r>
      <w:r>
        <w:tab/>
        <w:t>Aspetti generali</w:t>
      </w:r>
    </w:p>
    <w:p w:rsidR="001D0FFC" w:rsidRPr="00C903F8" w:rsidRDefault="001D0FFC" w:rsidP="001D0FFC">
      <w:pPr>
        <w:pStyle w:val="Esann8ch"/>
      </w:pPr>
    </w:p>
    <w:p w:rsidR="001D0FFC" w:rsidRPr="00C903F8" w:rsidRDefault="001D0FFC" w:rsidP="001D0FFC">
      <w:pPr>
        <w:pStyle w:val="Esann8ch"/>
      </w:pPr>
      <w:r>
        <w:t>3.1.1</w:t>
      </w:r>
      <w:r>
        <w:tab/>
        <w:t>Occorre attuare misure di rilevazione, protezione ed estinzione degli incendi appropriate per i pericoli individuati.</w:t>
      </w:r>
    </w:p>
    <w:p w:rsidR="001D0FFC" w:rsidRPr="00C903F8" w:rsidRDefault="001D0FFC" w:rsidP="001D0FFC">
      <w:pPr>
        <w:pStyle w:val="Esann8ch"/>
      </w:pPr>
    </w:p>
    <w:p w:rsidR="001D0FFC" w:rsidRPr="00C903F8" w:rsidRDefault="001D0FFC" w:rsidP="001D0FFC">
      <w:pPr>
        <w:pStyle w:val="Esann8ch"/>
      </w:pPr>
      <w:r>
        <w:t>3.1.2</w:t>
      </w:r>
      <w:r>
        <w:tab/>
        <w:t>Ai fini della protezione antincendio il sistema di preparazione del gas va considerato come una sala macchine.</w:t>
      </w:r>
    </w:p>
    <w:p w:rsidR="001D0FFC" w:rsidRPr="00C903F8" w:rsidRDefault="001D0FFC" w:rsidP="001D0FFC">
      <w:pPr>
        <w:pStyle w:val="Esann8ch"/>
      </w:pPr>
    </w:p>
    <w:p w:rsidR="001D0FFC" w:rsidRPr="00C903F8" w:rsidRDefault="001D0FFC" w:rsidP="00935328">
      <w:pPr>
        <w:pStyle w:val="Esann8chgras"/>
      </w:pPr>
      <w:r>
        <w:t>3.2</w:t>
      </w:r>
      <w:r>
        <w:tab/>
        <w:t>Sistema di allarme antincendio</w:t>
      </w:r>
    </w:p>
    <w:p w:rsidR="001D0FFC" w:rsidRPr="00C903F8" w:rsidRDefault="001D0FFC" w:rsidP="001D0FFC">
      <w:pPr>
        <w:pStyle w:val="Esann8ch"/>
      </w:pPr>
    </w:p>
    <w:p w:rsidR="001D0FFC" w:rsidRPr="00C903F8" w:rsidRDefault="001D0FFC" w:rsidP="001D0FFC">
      <w:pPr>
        <w:pStyle w:val="Esann8ch"/>
      </w:pPr>
      <w:r>
        <w:t>3.2.1</w:t>
      </w:r>
      <w:r>
        <w:tab/>
        <w:t xml:space="preserve">Per tutti i locali dell'impianto GNL nei quali non è possibile escludere il verificarsi di un incendio occorre installare un adeguato sistema di allarme antincendio fisso. </w:t>
      </w:r>
    </w:p>
    <w:p w:rsidR="001D0FFC" w:rsidRPr="00C903F8" w:rsidRDefault="001D0FFC" w:rsidP="001D0FFC">
      <w:pPr>
        <w:pStyle w:val="Esann8ch"/>
      </w:pPr>
    </w:p>
    <w:p w:rsidR="001D0FFC" w:rsidRPr="00C903F8" w:rsidRDefault="001D0FFC" w:rsidP="001D0FFC">
      <w:pPr>
        <w:pStyle w:val="Esann8ch"/>
      </w:pPr>
      <w:r>
        <w:t>3.2.2</w:t>
      </w:r>
      <w:r>
        <w:tab/>
        <w:t>I rivelatori di fumo non sono sufficienti per rilevare rapidamente un incendio.</w:t>
      </w:r>
    </w:p>
    <w:p w:rsidR="001D0FFC" w:rsidRPr="00C903F8" w:rsidRDefault="001D0FFC" w:rsidP="001D0FFC">
      <w:pPr>
        <w:pStyle w:val="Esann8ch"/>
      </w:pPr>
    </w:p>
    <w:p w:rsidR="001D0FFC" w:rsidRPr="00C903F8" w:rsidRDefault="001D0FFC" w:rsidP="001D0FFC">
      <w:pPr>
        <w:pStyle w:val="Esann8ch"/>
      </w:pPr>
      <w:r>
        <w:t>3.2.3</w:t>
      </w:r>
      <w:r>
        <w:tab/>
        <w:t>Il sistema di rilevamento antincendio dispone di mezzi per individuare ciascun rilevatore individualmente.</w:t>
      </w:r>
    </w:p>
    <w:p w:rsidR="001D0FFC" w:rsidRPr="00C903F8" w:rsidRDefault="001D0FFC" w:rsidP="001D0FFC">
      <w:pPr>
        <w:pStyle w:val="Esann8ch"/>
      </w:pPr>
    </w:p>
    <w:p w:rsidR="001D0FFC" w:rsidRPr="00C903F8" w:rsidRDefault="001D0FFC" w:rsidP="001D0FFC">
      <w:pPr>
        <w:pStyle w:val="Esann8ch"/>
      </w:pPr>
      <w:r>
        <w:t>3.2.4</w:t>
      </w:r>
      <w:r>
        <w:tab/>
        <w:t>Il sistema di sicurezza per il gas arresta automaticamente le parti pertinenti del sistema di alimentazione del gas nel momento in cui viene rilevato un incendio in locali contenenti impianti a gas.</w:t>
      </w:r>
    </w:p>
    <w:p w:rsidR="001D0FFC" w:rsidRPr="00C903F8" w:rsidRDefault="001D0FFC" w:rsidP="001D0FFC">
      <w:pPr>
        <w:pStyle w:val="Esann8ch"/>
      </w:pPr>
    </w:p>
    <w:p w:rsidR="001D0FFC" w:rsidRPr="00C903F8" w:rsidRDefault="001D0FFC" w:rsidP="00935328">
      <w:pPr>
        <w:pStyle w:val="Esann8chgras"/>
      </w:pPr>
      <w:r>
        <w:t>3.3</w:t>
      </w:r>
      <w:r>
        <w:tab/>
        <w:t xml:space="preserve">Protezione antincendio </w:t>
      </w:r>
    </w:p>
    <w:p w:rsidR="001D0FFC" w:rsidRPr="00C903F8" w:rsidRDefault="001D0FFC" w:rsidP="001D0FFC">
      <w:pPr>
        <w:pStyle w:val="Esann8ch"/>
      </w:pPr>
    </w:p>
    <w:p w:rsidR="001D0FFC" w:rsidRPr="00C903F8" w:rsidRDefault="00935328" w:rsidP="001D0FFC">
      <w:pPr>
        <w:pStyle w:val="Esann8ch"/>
      </w:pPr>
      <w:r>
        <w:t>3.3.1</w:t>
      </w:r>
      <w:r>
        <w:tab/>
        <w:t>Gli alloggi equipaggio, le zone passeggeri, le sale macchine e le vie di evacuazione sono schermati mediante paratie divisorie di tipo A60, laddove la distanza dai serbatoi di GNL e dalle stazioni di rifornimento situate sul ponte sia inferiore a 3,00 m.</w:t>
      </w:r>
    </w:p>
    <w:p w:rsidR="001D0FFC" w:rsidRPr="00C903F8" w:rsidRDefault="001D0FFC" w:rsidP="001D0FFC">
      <w:pPr>
        <w:pStyle w:val="Esann8ch"/>
      </w:pPr>
    </w:p>
    <w:p w:rsidR="001D0FFC" w:rsidRPr="00C903F8" w:rsidRDefault="001D0FFC" w:rsidP="001D0FFC">
      <w:pPr>
        <w:pStyle w:val="Esann8ch"/>
      </w:pPr>
      <w:r>
        <w:t>3.3.2</w:t>
      </w:r>
      <w:r>
        <w:tab/>
        <w:t>I confini dei locali dei serbatoi di GNL e delle condotte di ventilazione verso tali locali al di sotto del ponte di compartimentazione sono conformi al tipo A60. Tuttavia, se il locale è adiacente a serbatoi, spazi vuoti, sale macchine ausiliarie a rischio di incendio basso o nullo, spazi sanitari e simili, l'isolamento può essere conforme al tipo A0.</w:t>
      </w:r>
    </w:p>
    <w:p w:rsidR="001D0FFC" w:rsidRPr="00C903F8" w:rsidRDefault="001D0FFC" w:rsidP="001D0FFC">
      <w:pPr>
        <w:pStyle w:val="Esann8ch"/>
      </w:pPr>
    </w:p>
    <w:p w:rsidR="001D0FFC" w:rsidRPr="00C903F8" w:rsidRDefault="001D0FFC" w:rsidP="00935328">
      <w:pPr>
        <w:pStyle w:val="Esann8chgras"/>
      </w:pPr>
      <w:r>
        <w:t>3.4</w:t>
      </w:r>
      <w:r>
        <w:tab/>
        <w:t>Prevenzione degli incendi e raffreddamento</w:t>
      </w:r>
    </w:p>
    <w:p w:rsidR="001D0FFC" w:rsidRPr="00C903F8" w:rsidRDefault="001D0FFC" w:rsidP="001D0FFC">
      <w:pPr>
        <w:pStyle w:val="Esann8ch"/>
      </w:pPr>
    </w:p>
    <w:p w:rsidR="001D0FFC" w:rsidRPr="00C903F8" w:rsidRDefault="001D0FFC" w:rsidP="001D0FFC">
      <w:pPr>
        <w:pStyle w:val="Esann8ch"/>
      </w:pPr>
      <w:r>
        <w:t>3.4.1</w:t>
      </w:r>
      <w:r>
        <w:tab/>
        <w:t xml:space="preserve">Per il raffreddamento e la prevenzione di incendi su parti esposte del o dei serbatoi di GNL posti su un ponte scoperto è installato un sistema di estinzione ad acqua spruzzata. </w:t>
      </w:r>
    </w:p>
    <w:p w:rsidR="001D0FFC" w:rsidRPr="00C903F8" w:rsidRDefault="001D0FFC" w:rsidP="001D0FFC">
      <w:pPr>
        <w:pStyle w:val="Esann8ch"/>
      </w:pPr>
    </w:p>
    <w:p w:rsidR="001D0FFC" w:rsidRPr="00C903F8" w:rsidRDefault="001D0FFC" w:rsidP="001D0FFC">
      <w:pPr>
        <w:pStyle w:val="Esann8ch"/>
      </w:pPr>
      <w:r>
        <w:t>3.4.2</w:t>
      </w:r>
      <w:r>
        <w:tab/>
        <w:t>Se il sistema di estinzione ad acqua spruzzata fa parte dei sistemi antincendio di cui agli articoli 13.04 o 13.05, la capacità della pompa antincendio e la pressione di esercizio richieste devono essere sufficienti a garantire il funzionamento simultaneo tanto del numero richiesto di idranti e manichette quanto del sistema di estinzione ad acqua spruzzata. Il collegamento tra il sistema di estinzione ad acqua spruzzata e i sistemi antincendio di cui agli articoli 13.04 o 13.05 avviene attraverso una valvola di non ritorno a vite.</w:t>
      </w:r>
    </w:p>
    <w:p w:rsidR="001D0FFC" w:rsidRPr="00C903F8" w:rsidRDefault="001D0FFC" w:rsidP="001D0FFC">
      <w:pPr>
        <w:pStyle w:val="Esann8ch"/>
      </w:pPr>
    </w:p>
    <w:p w:rsidR="00D24BFE" w:rsidRPr="00C903F8" w:rsidRDefault="00D24BFE">
      <w:pPr>
        <w:autoSpaceDE/>
        <w:autoSpaceDN/>
        <w:ind w:left="0" w:firstLine="0"/>
        <w:jc w:val="left"/>
        <w:rPr>
          <w:rFonts w:eastAsia="Calibri" w:cs="Arial"/>
          <w:color w:val="000000"/>
          <w:szCs w:val="20"/>
        </w:rPr>
      </w:pPr>
      <w:r>
        <w:br w:type="page"/>
      </w:r>
    </w:p>
    <w:p w:rsidR="00D24BFE" w:rsidRPr="00C903F8" w:rsidRDefault="00D24BFE" w:rsidP="001D0FFC">
      <w:pPr>
        <w:pStyle w:val="Esann8ch"/>
      </w:pPr>
    </w:p>
    <w:p w:rsidR="001D0FFC" w:rsidRPr="00C903F8" w:rsidRDefault="001D0FFC" w:rsidP="001D0FFC">
      <w:pPr>
        <w:pStyle w:val="Esann8ch"/>
      </w:pPr>
      <w:r>
        <w:t>3.4.3</w:t>
      </w:r>
      <w:r>
        <w:tab/>
        <w:t>Se i sistemi antincendio di cui agli articoli 13.04 o 13.05 sono installati a bordo di un'imbarcazione sulla quale il serbatoio di GNL si trova sul ponte scoperto, nei sistemi antincendio occorre installare valvole di intercettazione per isolare le sezioni danneggiate dei sistemi antincendio. L'isolamento di una sezione dei sistemi antincendio non deve privare d'acqua la linea di fuoco davanti alla sezione isolata.</w:t>
      </w:r>
    </w:p>
    <w:p w:rsidR="001D0FFC" w:rsidRPr="00C903F8" w:rsidRDefault="001D0FFC" w:rsidP="001D0FFC">
      <w:pPr>
        <w:pStyle w:val="Esann8ch"/>
      </w:pPr>
    </w:p>
    <w:p w:rsidR="001D0FFC" w:rsidRPr="00C903F8" w:rsidRDefault="001D0FFC" w:rsidP="001D0FFC">
      <w:pPr>
        <w:pStyle w:val="Esann8ch"/>
      </w:pPr>
      <w:r>
        <w:t>3.4.4</w:t>
      </w:r>
      <w:r>
        <w:tab/>
        <w:t xml:space="preserve">Il sistema di estinzione ad acqua spruzzata fornisce copertura dei confini delle sovrastrutture, a meno che il serbatoio non si trovi a 3,00 m o più da tali confini. </w:t>
      </w:r>
    </w:p>
    <w:p w:rsidR="001D0FFC" w:rsidRPr="00C903F8" w:rsidRDefault="001D0FFC" w:rsidP="001D0FFC">
      <w:pPr>
        <w:pStyle w:val="Esann8ch"/>
      </w:pPr>
    </w:p>
    <w:p w:rsidR="001D0FFC" w:rsidRPr="00C903F8" w:rsidRDefault="001D0FFC" w:rsidP="001D0FFC">
      <w:pPr>
        <w:pStyle w:val="Esann8ch"/>
      </w:pPr>
      <w:r>
        <w:t>3.4.5</w:t>
      </w:r>
      <w:r>
        <w:tab/>
        <w:t>Il sistema di estinzione ad acqua spruzzata è progettato per coprire tutte le zone come sopra specificato con un tasso di applicazione di 10 l/min/m</w:t>
      </w:r>
      <w:r>
        <w:rPr>
          <w:vertAlign w:val="superscript"/>
        </w:rPr>
        <w:t>2</w:t>
      </w:r>
      <w:r>
        <w:t xml:space="preserve"> per le superfici proiettate orizzontali e 4 l/min/m</w:t>
      </w:r>
      <w:r>
        <w:rPr>
          <w:vertAlign w:val="superscript"/>
        </w:rPr>
        <w:t>2</w:t>
      </w:r>
      <w:r>
        <w:t xml:space="preserve"> per le superfici verticali.</w:t>
      </w:r>
    </w:p>
    <w:p w:rsidR="001D0FFC" w:rsidRPr="00C903F8" w:rsidRDefault="001D0FFC" w:rsidP="001D0FFC">
      <w:pPr>
        <w:pStyle w:val="Esann8ch"/>
      </w:pPr>
    </w:p>
    <w:p w:rsidR="001D0FFC" w:rsidRPr="00C903F8" w:rsidRDefault="001D0FFC" w:rsidP="001D0FFC">
      <w:pPr>
        <w:pStyle w:val="Esann8ch"/>
      </w:pPr>
      <w:r>
        <w:t>3.4.6</w:t>
      </w:r>
      <w:r>
        <w:tab/>
        <w:t xml:space="preserve">Il sistema di estinzione ad acqua spruzzata deve poter essere messo in funzione dalla timoneria e dal ponte. </w:t>
      </w:r>
    </w:p>
    <w:p w:rsidR="001D0FFC" w:rsidRPr="00C903F8" w:rsidRDefault="001D0FFC" w:rsidP="001D0FFC">
      <w:pPr>
        <w:pStyle w:val="Esann8ch"/>
      </w:pPr>
    </w:p>
    <w:p w:rsidR="001D0FFC" w:rsidRPr="00C903F8" w:rsidRDefault="001D0FFC" w:rsidP="001D0FFC">
      <w:pPr>
        <w:pStyle w:val="Esann8ch"/>
      </w:pPr>
      <w:r>
        <w:t>3.4.7</w:t>
      </w:r>
      <w:r>
        <w:tab/>
        <w:t>I boccalini sono disposti in maniera tale da garantire una distribuzione efficace dell'acqua in tutta la zona da proteggere.</w:t>
      </w:r>
    </w:p>
    <w:p w:rsidR="001D0FFC" w:rsidRPr="00C903F8" w:rsidRDefault="001D0FFC" w:rsidP="001D0FFC">
      <w:pPr>
        <w:pStyle w:val="Esann8ch"/>
      </w:pPr>
    </w:p>
    <w:p w:rsidR="001D0FFC" w:rsidRPr="00C903F8" w:rsidRDefault="001D0FFC" w:rsidP="00935328">
      <w:pPr>
        <w:pStyle w:val="Esann8chgras"/>
      </w:pPr>
      <w:r>
        <w:t>3.5</w:t>
      </w:r>
      <w:r>
        <w:tab/>
        <w:t>Mezzi di estinzione</w:t>
      </w:r>
    </w:p>
    <w:p w:rsidR="001D0FFC" w:rsidRPr="00C903F8" w:rsidRDefault="001D0FFC" w:rsidP="001D0FFC">
      <w:pPr>
        <w:pStyle w:val="Esann8ch"/>
      </w:pPr>
    </w:p>
    <w:p w:rsidR="001D0FFC" w:rsidRPr="00C903F8" w:rsidRDefault="001D0FFC" w:rsidP="001D0FFC">
      <w:pPr>
        <w:pStyle w:val="Esann8chpar"/>
      </w:pPr>
      <w:r>
        <w:t>Oltre ai requisiti di cui all'articolo 13.03, due ulteriori estintori portatili a polvere secca aventi una capacità di almeno 12 kg sono collocati vicino alla stazione di rifornimento. Gli estintori sono in grado di spegnere incendi di classe C.</w:t>
      </w:r>
    </w:p>
    <w:p w:rsidR="001D0FFC" w:rsidRPr="00C903F8" w:rsidRDefault="001D0FFC" w:rsidP="001D0FFC">
      <w:pPr>
        <w:pStyle w:val="Esann8ch"/>
      </w:pPr>
    </w:p>
    <w:p w:rsidR="001D0FFC" w:rsidRPr="00C903F8" w:rsidRDefault="001D0FFC" w:rsidP="001D0FFC">
      <w:pPr>
        <w:pStyle w:val="Esann8ch"/>
      </w:pPr>
    </w:p>
    <w:p w:rsidR="001D0FFC" w:rsidRPr="00C903F8" w:rsidRDefault="001D0FFC" w:rsidP="001D0FFC">
      <w:pPr>
        <w:pStyle w:val="Esann8titrechap"/>
        <w:rPr>
          <w:rFonts w:eastAsia="Calibri"/>
        </w:rPr>
      </w:pPr>
      <w:r>
        <w:t>Capo 4</w:t>
      </w:r>
    </w:p>
    <w:p w:rsidR="001D0FFC" w:rsidRPr="00C903F8" w:rsidRDefault="001D0FFC" w:rsidP="001D0FFC">
      <w:pPr>
        <w:pStyle w:val="Esann8titrechap"/>
      </w:pPr>
      <w:r>
        <w:t>Impianti elettrici</w:t>
      </w:r>
    </w:p>
    <w:p w:rsidR="001D0FFC" w:rsidRPr="00C903F8" w:rsidRDefault="001D0FFC" w:rsidP="001D0FFC">
      <w:pPr>
        <w:pStyle w:val="Esann8ch"/>
      </w:pPr>
    </w:p>
    <w:p w:rsidR="001D0FFC" w:rsidRPr="00C903F8" w:rsidRDefault="001D0FFC" w:rsidP="001D0FFC">
      <w:pPr>
        <w:pStyle w:val="Esann8ch"/>
      </w:pPr>
      <w:r>
        <w:t>4.1</w:t>
      </w:r>
      <w:r>
        <w:tab/>
        <w:t>Le apparecchiature per le zone pericolose sono di tipo appropriato in base alle zone nelle quali le stesse sono installate.</w:t>
      </w:r>
    </w:p>
    <w:p w:rsidR="001D0FFC" w:rsidRPr="00C903F8" w:rsidRDefault="001D0FFC" w:rsidP="001D0FFC">
      <w:pPr>
        <w:pStyle w:val="Esann8ch"/>
      </w:pPr>
    </w:p>
    <w:p w:rsidR="001D0FFC" w:rsidRPr="00C903F8" w:rsidRDefault="001D0FFC" w:rsidP="001D0FFC">
      <w:pPr>
        <w:pStyle w:val="Esann8ch"/>
      </w:pPr>
      <w:r>
        <w:t>4.2</w:t>
      </w:r>
      <w:r>
        <w:tab/>
        <w:t xml:space="preserve">I sistemi di generazione e distribuzione di energia elettrica e i relativi sistemi di controllo sono progettati in maniera tale da fare sì che un singolo guasto non comporti la fuoriuscita di gas. </w:t>
      </w:r>
    </w:p>
    <w:p w:rsidR="001D0FFC" w:rsidRPr="00C903F8" w:rsidRDefault="001D0FFC" w:rsidP="001D0FFC">
      <w:pPr>
        <w:pStyle w:val="Esann8ch"/>
      </w:pPr>
    </w:p>
    <w:p w:rsidR="001D0FFC" w:rsidRPr="00C903F8" w:rsidRDefault="001D0FFC" w:rsidP="001D0FFC">
      <w:pPr>
        <w:pStyle w:val="Esann8ch"/>
      </w:pPr>
      <w:r>
        <w:t>4.3</w:t>
      </w:r>
      <w:r>
        <w:tab/>
        <w:t>Il sistema di illuminazione in zone pericolose va suddiviso in almeno due circuiti derivati. Tutti gli interruttori e i dispositivi di protezione interrompono tutti i poli e le fasi e sono collocati in una zona non pericolosa.</w:t>
      </w:r>
    </w:p>
    <w:p w:rsidR="001D0FFC" w:rsidRPr="00C903F8" w:rsidRDefault="001D0FFC" w:rsidP="001D0FFC">
      <w:pPr>
        <w:pStyle w:val="Esann8ch"/>
      </w:pPr>
    </w:p>
    <w:p w:rsidR="001D0FFC" w:rsidRPr="00C903F8" w:rsidRDefault="001D0FFC" w:rsidP="001D0FFC">
      <w:pPr>
        <w:pStyle w:val="Esann8ch"/>
      </w:pPr>
      <w:r>
        <w:t>4.4</w:t>
      </w:r>
      <w:r>
        <w:tab/>
        <w:t>I motori delle pompe sommerse per il gas e i loro cavi di alimentazione possono essere installati nei sistemi di contenimento del GNL. Occorre adottare provvedimenti affinché venga generato un allarme in caso di basso livello di liquido e i motori vengano spenti automaticamente in caso di livello di liquido basso-basso. L'arresto automatico può essere eseguito in caso di rilevazione di bassa pressione di scarico della pompa, bassa corrente del motore o basso livello di liquido. Tale arresto genera un allarme acustico e visivo nella timoneria. I motori delle pompe per il gas devono poter essere isolati dalla loro alimentazione elettrica durante le operazioni di sfiato del gas.</w:t>
      </w:r>
    </w:p>
    <w:p w:rsidR="001D0FFC" w:rsidRPr="00C903F8" w:rsidRDefault="001D0FFC" w:rsidP="001D0FFC">
      <w:pPr>
        <w:pStyle w:val="Esann8ch"/>
        <w:rPr>
          <w:bCs/>
        </w:rPr>
      </w:pPr>
    </w:p>
    <w:p w:rsidR="001D0FFC" w:rsidRPr="00C903F8" w:rsidRDefault="001D0FFC" w:rsidP="001D0FFC">
      <w:pPr>
        <w:pStyle w:val="Esann8ch"/>
        <w:rPr>
          <w:bCs/>
        </w:rPr>
      </w:pPr>
    </w:p>
    <w:p w:rsidR="00D24BFE" w:rsidRPr="00C903F8" w:rsidRDefault="00D24BFE">
      <w:pPr>
        <w:autoSpaceDE/>
        <w:autoSpaceDN/>
        <w:ind w:left="0" w:firstLine="0"/>
        <w:jc w:val="left"/>
        <w:rPr>
          <w:rFonts w:eastAsia="Calibri" w:cs="Arial"/>
          <w:bCs/>
          <w:color w:val="000000"/>
          <w:szCs w:val="20"/>
        </w:rPr>
      </w:pPr>
      <w:r>
        <w:br w:type="page"/>
      </w:r>
    </w:p>
    <w:p w:rsidR="00D24BFE" w:rsidRPr="00C903F8" w:rsidRDefault="00D24BFE" w:rsidP="001D0FFC">
      <w:pPr>
        <w:pStyle w:val="Esann8ch"/>
        <w:rPr>
          <w:bCs/>
        </w:rPr>
      </w:pPr>
    </w:p>
    <w:p w:rsidR="001D0FFC" w:rsidRPr="00C903F8" w:rsidRDefault="001D0FFC" w:rsidP="001D0FFC">
      <w:pPr>
        <w:pStyle w:val="Esann8titrechap"/>
      </w:pPr>
      <w:r>
        <w:t>Capo 5</w:t>
      </w:r>
    </w:p>
    <w:p w:rsidR="001D0FFC" w:rsidRPr="00C903F8" w:rsidRDefault="001D0FFC" w:rsidP="001D0FFC">
      <w:pPr>
        <w:pStyle w:val="Esann8titrechap"/>
      </w:pPr>
      <w:r>
        <w:t>Sistemi di comando, controllo e sicurezza</w:t>
      </w:r>
    </w:p>
    <w:p w:rsidR="001D0FFC" w:rsidRPr="00C903F8" w:rsidRDefault="001D0FFC" w:rsidP="001D0FFC">
      <w:pPr>
        <w:pStyle w:val="Esann8ch"/>
      </w:pPr>
    </w:p>
    <w:p w:rsidR="001D0FFC" w:rsidRPr="00C903F8" w:rsidRDefault="001D0FFC" w:rsidP="00935328">
      <w:pPr>
        <w:pStyle w:val="Esann8chgras"/>
      </w:pPr>
      <w:r>
        <w:t>5.1</w:t>
      </w:r>
      <w:r>
        <w:tab/>
        <w:t>Aspetti generali</w:t>
      </w:r>
    </w:p>
    <w:p w:rsidR="001D0FFC" w:rsidRPr="00C903F8" w:rsidRDefault="001D0FFC" w:rsidP="001D0FFC">
      <w:pPr>
        <w:pStyle w:val="Esann8ch"/>
      </w:pPr>
    </w:p>
    <w:p w:rsidR="001D0FFC" w:rsidRPr="00C903F8" w:rsidRDefault="001D0FFC" w:rsidP="001D0FFC">
      <w:pPr>
        <w:pStyle w:val="Esann8ch"/>
      </w:pPr>
      <w:r>
        <w:t>5.1.1</w:t>
      </w:r>
      <w:r>
        <w:tab/>
        <w:t>Sono previsti idonei sistemi di comando, allarme, controllo e spegnimento atti a garantire un funzionamento sicuro e affidabile.</w:t>
      </w:r>
    </w:p>
    <w:p w:rsidR="001D0FFC" w:rsidRPr="00C903F8" w:rsidRDefault="001D0FFC" w:rsidP="001D0FFC">
      <w:pPr>
        <w:pStyle w:val="Esann8ch"/>
      </w:pPr>
    </w:p>
    <w:p w:rsidR="001D0FFC" w:rsidRPr="00C903F8" w:rsidRDefault="001D0FFC" w:rsidP="001D0FFC">
      <w:pPr>
        <w:pStyle w:val="Esann8ch"/>
      </w:pPr>
      <w:r>
        <w:t>5.1.2</w:t>
      </w:r>
      <w:r>
        <w:tab/>
        <w:t>Il sistema di alimentazione del gas è dotato di un proprio insieme di sistemi indipendenti di comando, controllo e sicurezza del gas. Tutti gli elementi di questi sistemi devono poter essere sottoposti a prove di funzionamento.</w:t>
      </w:r>
    </w:p>
    <w:p w:rsidR="001D0FFC" w:rsidRPr="00C903F8" w:rsidRDefault="001D0FFC" w:rsidP="001D0FFC">
      <w:pPr>
        <w:pStyle w:val="Esann8ch"/>
      </w:pPr>
    </w:p>
    <w:p w:rsidR="001D0FFC" w:rsidRPr="00C903F8" w:rsidRDefault="001D0FFC" w:rsidP="001D0FFC">
      <w:pPr>
        <w:pStyle w:val="Esann8ch"/>
      </w:pPr>
      <w:r>
        <w:t>5.1.3</w:t>
      </w:r>
      <w:r>
        <w:tab/>
        <w:t>Il sistema di sicurezza per il gas arresta automaticamente il sistema di alimentazione del gas in caso di guasto nei sistemi essenziali per la sicurezza e in condizioni di guasto che potrebbero svilupparsi in maniera troppo rapida per consentire un intervento manuale.</w:t>
      </w:r>
    </w:p>
    <w:p w:rsidR="001D0FFC" w:rsidRPr="00C903F8" w:rsidRDefault="001D0FFC" w:rsidP="001D0FFC">
      <w:pPr>
        <w:pStyle w:val="Esann8ch"/>
      </w:pPr>
    </w:p>
    <w:p w:rsidR="001D0FFC" w:rsidRPr="00C903F8" w:rsidRDefault="001D0FFC" w:rsidP="001D0FFC">
      <w:pPr>
        <w:pStyle w:val="Esann8ch"/>
      </w:pPr>
      <w:r>
        <w:t>5.1.4</w:t>
      </w:r>
      <w:r>
        <w:tab/>
        <w:t xml:space="preserve">Le funzioni di sicurezza sono disposte nel contesto di un sistema di sicurezza dedicato per il gas, indipendente dal sistema di comando del gas. </w:t>
      </w:r>
    </w:p>
    <w:p w:rsidR="001D0FFC" w:rsidRPr="00C903F8" w:rsidRDefault="001D0FFC" w:rsidP="001D0FFC">
      <w:pPr>
        <w:pStyle w:val="Esann8ch"/>
      </w:pPr>
    </w:p>
    <w:p w:rsidR="001D0FFC" w:rsidRPr="00C903F8" w:rsidRDefault="001D0FFC" w:rsidP="001D0FFC">
      <w:pPr>
        <w:pStyle w:val="Esann8ch"/>
      </w:pPr>
      <w:r>
        <w:t>5.1.5</w:t>
      </w:r>
      <w:r>
        <w:tab/>
        <w:t xml:space="preserve">Sono installati dispositivi di strumentazione tali da consentire una lettura locale e in remoto di parametri essenziali, laddove essi siano necessari per garantire un funzionamento sicuro dell'intero impianto GNL, compreso il rifornimento. </w:t>
      </w:r>
    </w:p>
    <w:p w:rsidR="001D0FFC" w:rsidRPr="00C903F8" w:rsidRDefault="001D0FFC" w:rsidP="001D0FFC">
      <w:pPr>
        <w:pStyle w:val="Esann8ch"/>
        <w:rPr>
          <w:b/>
          <w:bCs/>
        </w:rPr>
      </w:pPr>
    </w:p>
    <w:p w:rsidR="001D0FFC" w:rsidRPr="00C903F8" w:rsidRDefault="001D0FFC" w:rsidP="00935328">
      <w:pPr>
        <w:pStyle w:val="Esann8chgras"/>
      </w:pPr>
      <w:r>
        <w:t>5.2</w:t>
      </w:r>
      <w:r>
        <w:tab/>
        <w:t>Controllo del sistema di rifornimento di GNL e del sistema di contenimento del GNL</w:t>
      </w:r>
    </w:p>
    <w:p w:rsidR="001D0FFC" w:rsidRPr="00C903F8" w:rsidRDefault="001D0FFC" w:rsidP="001D0FFC">
      <w:pPr>
        <w:pStyle w:val="Esann8ch"/>
      </w:pPr>
    </w:p>
    <w:p w:rsidR="001D0FFC" w:rsidRPr="00C903F8" w:rsidRDefault="001D0FFC" w:rsidP="001D0FFC">
      <w:pPr>
        <w:pStyle w:val="Esann8ch"/>
      </w:pPr>
      <w:r>
        <w:t>5.2.1</w:t>
      </w:r>
      <w:r>
        <w:tab/>
        <w:t>Ogni serbatoio di GNL è dotato di:</w:t>
      </w:r>
    </w:p>
    <w:p w:rsidR="001D0FFC" w:rsidRPr="00C903F8" w:rsidRDefault="001D0FFC" w:rsidP="00935328">
      <w:pPr>
        <w:pStyle w:val="Esann8let"/>
      </w:pPr>
      <w:r>
        <w:t>a)</w:t>
      </w:r>
      <w:r>
        <w:tab/>
        <w:t>almeno due indicatori di livello del liquido, disposti in maniera tale da poter essere sottoposti a manutenzione durante l'esercizio;</w:t>
      </w:r>
    </w:p>
    <w:p w:rsidR="001D0FFC" w:rsidRPr="00C903F8" w:rsidRDefault="001D0FFC" w:rsidP="00935328">
      <w:pPr>
        <w:pStyle w:val="Esann8let"/>
      </w:pPr>
      <w:r>
        <w:t>b)</w:t>
      </w:r>
      <w:r>
        <w:tab/>
        <w:t>un indicatore di pressione in grado di indicare l'intero campo della pressione di esercizio e che riporta contrassegnata in maniera chiara la pressione massima di esercizio del serbatoio di GNL;</w:t>
      </w:r>
    </w:p>
    <w:p w:rsidR="001D0FFC" w:rsidRPr="00C903F8" w:rsidRDefault="001D0FFC" w:rsidP="00935328">
      <w:pPr>
        <w:pStyle w:val="Esann8let"/>
      </w:pPr>
      <w:r>
        <w:t>c)</w:t>
      </w:r>
      <w:r>
        <w:tab/>
        <w:t>un allarme di alto livello del liquido che funziona indipendentemente da altri indicatori di livello del liquido, il quale genera un allarme acustico e visivo quando viene attivato;</w:t>
      </w:r>
    </w:p>
    <w:p w:rsidR="001D0FFC" w:rsidRPr="00C903F8" w:rsidRDefault="001D0FFC" w:rsidP="00935328">
      <w:pPr>
        <w:pStyle w:val="Esann8let"/>
      </w:pPr>
      <w:r>
        <w:t>d)</w:t>
      </w:r>
      <w:r>
        <w:tab/>
        <w:t>un sensore aggiuntivo funzionante in maniera indipendente dall'allarme di livello alto del liquido, che aziona automaticamente la valvola principale di rifornimento del GNL in modo da evitare una eccessiva pressione del liquido nella tubolature per il rifornimento e da impedire che il serbatoio si riempia di liquido.</w:t>
      </w:r>
    </w:p>
    <w:p w:rsidR="001D0FFC" w:rsidRPr="00C903F8" w:rsidRDefault="001D0FFC" w:rsidP="001D0FFC">
      <w:pPr>
        <w:pStyle w:val="Esann8ch"/>
      </w:pPr>
    </w:p>
    <w:p w:rsidR="001D0FFC" w:rsidRPr="00C903F8" w:rsidRDefault="001D0FFC" w:rsidP="001D0FFC">
      <w:pPr>
        <w:pStyle w:val="Esann8ch"/>
      </w:pPr>
      <w:r>
        <w:t>5.2.2</w:t>
      </w:r>
      <w:r>
        <w:tab/>
        <w:t>Ogni linea di scarico delle pompe e ogni collegamento alla terraferma per gas in stato liquido e gassoso sono provvisti di almeno un indicatore locale di pressione. Nella linea di scarico delle pompe, l'indicatore è posizionato tra la pompa e la prima valvola. La pressione massima ammissibile o il valore di vuoto sono indicati su ciascun indicatore.</w:t>
      </w:r>
    </w:p>
    <w:p w:rsidR="001D0FFC" w:rsidRPr="00C903F8" w:rsidRDefault="001D0FFC" w:rsidP="001D0FFC">
      <w:pPr>
        <w:pStyle w:val="Esann8ch"/>
      </w:pPr>
    </w:p>
    <w:p w:rsidR="001D0FFC" w:rsidRPr="00C903F8" w:rsidRDefault="001D0FFC" w:rsidP="001D0FFC">
      <w:pPr>
        <w:pStyle w:val="Esann8ch"/>
      </w:pPr>
      <w:r>
        <w:t>5.2.3</w:t>
      </w:r>
      <w:r>
        <w:tab/>
        <w:t>Un allarme di alta pressione è previsto sul sistema di contenimento del GNL e sulla pompa. Se è richiesta una protezione contro il vuoto, occorre prevedere un allarme di bassa pressione.</w:t>
      </w:r>
    </w:p>
    <w:p w:rsidR="001D0FFC" w:rsidRPr="00C903F8" w:rsidRDefault="001D0FFC" w:rsidP="001D0FFC">
      <w:pPr>
        <w:pStyle w:val="Esann8ch"/>
      </w:pPr>
    </w:p>
    <w:p w:rsidR="00D24BFE" w:rsidRPr="00C903F8" w:rsidRDefault="00D24BFE">
      <w:pPr>
        <w:autoSpaceDE/>
        <w:autoSpaceDN/>
        <w:ind w:left="0" w:firstLine="0"/>
        <w:jc w:val="left"/>
        <w:rPr>
          <w:rFonts w:eastAsia="Calibri" w:cs="Arial"/>
          <w:color w:val="000000"/>
          <w:szCs w:val="20"/>
        </w:rPr>
      </w:pPr>
      <w:r>
        <w:br w:type="page"/>
      </w:r>
    </w:p>
    <w:p w:rsidR="00D24BFE" w:rsidRPr="00C903F8" w:rsidRDefault="00D24BFE" w:rsidP="001D0FFC">
      <w:pPr>
        <w:pStyle w:val="Esann8ch"/>
      </w:pPr>
    </w:p>
    <w:p w:rsidR="001D0FFC" w:rsidRPr="00C903F8" w:rsidRDefault="001D0FFC" w:rsidP="001D0FFC">
      <w:pPr>
        <w:pStyle w:val="Esann8ch"/>
      </w:pPr>
      <w:r>
        <w:t>5.2.4</w:t>
      </w:r>
      <w:r>
        <w:tab/>
        <w:t>Il comando del rifornimento deve essere possibile da una stazione di comando sicura distante dalla stazione di rifornimento. Presso tale stazione di comando si ha il controllo della pressione e del livello del serbatoio di GNL; nonché un'indicazione dell'allarme di troppo pieno, dell'allarme di alta e bassa pressione e di arresto automatico.</w:t>
      </w:r>
    </w:p>
    <w:p w:rsidR="00D24BFE" w:rsidRPr="00C903F8" w:rsidRDefault="00D24BFE" w:rsidP="001D0FFC">
      <w:pPr>
        <w:pStyle w:val="Esann8ch"/>
      </w:pPr>
    </w:p>
    <w:p w:rsidR="001D0FFC" w:rsidRPr="00C903F8" w:rsidRDefault="001D0FFC" w:rsidP="001D0FFC">
      <w:pPr>
        <w:pStyle w:val="Esann8ch"/>
      </w:pPr>
      <w:r>
        <w:t>5.2.5</w:t>
      </w:r>
      <w:r>
        <w:tab/>
        <w:t>Se la ventilazione nella condotta che racchiude le linee del rifornimento si arresta, viene attivato un allarme acustico e visivo presso la stazione di comando.</w:t>
      </w:r>
    </w:p>
    <w:p w:rsidR="001D0FFC" w:rsidRPr="00C903F8" w:rsidRDefault="001D0FFC" w:rsidP="001D0FFC">
      <w:pPr>
        <w:pStyle w:val="Esann8ch"/>
      </w:pPr>
    </w:p>
    <w:p w:rsidR="001D0FFC" w:rsidRPr="00C903F8" w:rsidRDefault="001D0FFC" w:rsidP="001D0FFC">
      <w:pPr>
        <w:pStyle w:val="Esann8ch"/>
      </w:pPr>
      <w:r>
        <w:t>5.2.6</w:t>
      </w:r>
      <w:r>
        <w:tab/>
        <w:t>Se viene rilevata la presenza di gas nella condotta che racchiude le tubolature per il rifornimento, viene attivato un allarme acustico e visivo e l'arresto di emergenza presso la stazione di comando.</w:t>
      </w:r>
    </w:p>
    <w:p w:rsidR="001D0FFC" w:rsidRPr="00C903F8" w:rsidRDefault="001D0FFC" w:rsidP="001D0FFC">
      <w:pPr>
        <w:pStyle w:val="Esann8ch"/>
      </w:pPr>
    </w:p>
    <w:p w:rsidR="001D0FFC" w:rsidRPr="00C903F8" w:rsidRDefault="001D0FFC" w:rsidP="001D0FFC">
      <w:pPr>
        <w:pStyle w:val="Esann8ch"/>
      </w:pPr>
      <w:r>
        <w:t xml:space="preserve">5.2.7 </w:t>
      </w:r>
      <w:r>
        <w:tab/>
        <w:t>In conformità con il manuale d'uso, a bordo, sono disponibili indumenti e dispositivi di protezione idonei per le operazioni di rifornimento.</w:t>
      </w:r>
    </w:p>
    <w:p w:rsidR="001D0FFC" w:rsidRPr="00C903F8" w:rsidRDefault="001D0FFC" w:rsidP="001D0FFC">
      <w:pPr>
        <w:pStyle w:val="Esann8ch"/>
      </w:pPr>
    </w:p>
    <w:p w:rsidR="001D0FFC" w:rsidRPr="00C903F8" w:rsidRDefault="001D0FFC" w:rsidP="001D0FFC">
      <w:pPr>
        <w:pStyle w:val="Esann8ch"/>
        <w:rPr>
          <w:b/>
          <w:bCs/>
        </w:rPr>
      </w:pPr>
      <w:r>
        <w:rPr>
          <w:b/>
        </w:rPr>
        <w:t>5.3</w:t>
      </w:r>
      <w:r>
        <w:tab/>
      </w:r>
      <w:r>
        <w:rPr>
          <w:b/>
        </w:rPr>
        <w:t>Controllo del funzionamento del motore</w:t>
      </w:r>
    </w:p>
    <w:p w:rsidR="001D0FFC" w:rsidRPr="00C903F8" w:rsidRDefault="001D0FFC" w:rsidP="001D0FFC">
      <w:pPr>
        <w:pStyle w:val="Esann8ch"/>
      </w:pPr>
    </w:p>
    <w:p w:rsidR="001D0FFC" w:rsidRPr="00C903F8" w:rsidRDefault="001D0FFC" w:rsidP="001D0FFC">
      <w:pPr>
        <w:pStyle w:val="Esann8ch"/>
      </w:pPr>
      <w:r>
        <w:t>5.3.1</w:t>
      </w:r>
      <w:r>
        <w:tab/>
        <w:t>Nella timoneria e nella sala macchine sono installati indicatori che segnalano:</w:t>
      </w:r>
    </w:p>
    <w:p w:rsidR="001D0FFC" w:rsidRPr="00C903F8" w:rsidRDefault="001D0FFC" w:rsidP="00935328">
      <w:pPr>
        <w:pStyle w:val="Esann8let"/>
      </w:pPr>
      <w:r>
        <w:t>a)</w:t>
      </w:r>
      <w:r>
        <w:tab/>
        <w:t>il funzionamento del motore in caso di motore alimentato esclusivamente a gas; o</w:t>
      </w:r>
    </w:p>
    <w:p w:rsidR="001D0FFC" w:rsidRPr="00C903F8" w:rsidRDefault="001D0FFC" w:rsidP="00935328">
      <w:pPr>
        <w:pStyle w:val="Esann8let"/>
      </w:pPr>
      <w:r>
        <w:t>b)</w:t>
      </w:r>
      <w:r>
        <w:tab/>
        <w:t>il funzionamento e modalità di funzionamento del motore nel caso di un motore a doppia alimentazione.</w:t>
      </w:r>
    </w:p>
    <w:p w:rsidR="001D0FFC" w:rsidRPr="00C903F8" w:rsidRDefault="001D0FFC" w:rsidP="001D0FFC">
      <w:pPr>
        <w:pStyle w:val="Esann8ch"/>
      </w:pPr>
    </w:p>
    <w:p w:rsidR="001D0FFC" w:rsidRPr="00C903F8" w:rsidRDefault="001D0FFC" w:rsidP="00935328">
      <w:pPr>
        <w:pStyle w:val="Esann8chgras"/>
      </w:pPr>
      <w:r>
        <w:t>5.4</w:t>
      </w:r>
      <w:r>
        <w:tab/>
        <w:t>Sistema di segnalazione dei gas</w:t>
      </w:r>
    </w:p>
    <w:p w:rsidR="001D0FFC" w:rsidRPr="00C903F8" w:rsidRDefault="001D0FFC" w:rsidP="001D0FFC">
      <w:pPr>
        <w:pStyle w:val="Esann8ch"/>
      </w:pPr>
    </w:p>
    <w:p w:rsidR="001D0FFC" w:rsidRPr="00C903F8" w:rsidRDefault="001D0FFC" w:rsidP="001D0FFC">
      <w:pPr>
        <w:pStyle w:val="Esann8ch"/>
      </w:pPr>
      <w:r>
        <w:t>5.4.1</w:t>
      </w:r>
      <w:r>
        <w:tab/>
        <w:t>Il sistema di segnalazione dei gas è progettato, installato e sottoposto a prove in conformità con una norma riconosciuta, quale ad esempio la norma europea EN 60079-29-1:2007.</w:t>
      </w:r>
    </w:p>
    <w:p w:rsidR="001D0FFC" w:rsidRPr="00C903F8" w:rsidRDefault="001D0FFC" w:rsidP="001D0FFC">
      <w:pPr>
        <w:pStyle w:val="Esann8ch"/>
      </w:pPr>
    </w:p>
    <w:p w:rsidR="001D0FFC" w:rsidRPr="00C903F8" w:rsidRDefault="001D0FFC" w:rsidP="001D0FFC">
      <w:pPr>
        <w:pStyle w:val="Esann8ch"/>
      </w:pPr>
      <w:r>
        <w:t>5.4.2</w:t>
      </w:r>
      <w:r>
        <w:tab/>
        <w:t>Rivelatori di gas fissi sono installati nei seguenti punti:</w:t>
      </w:r>
    </w:p>
    <w:p w:rsidR="001D0FFC" w:rsidRPr="00C903F8" w:rsidRDefault="001D0FFC" w:rsidP="00935328">
      <w:pPr>
        <w:pStyle w:val="Esann8let"/>
      </w:pPr>
      <w:r>
        <w:t>a)</w:t>
      </w:r>
      <w:r>
        <w:tab/>
        <w:t>zone di collegamento dei serbatoi, compresi i serbatoi per il combustibile, i raccordi e le prime valvole;</w:t>
      </w:r>
    </w:p>
    <w:p w:rsidR="001D0FFC" w:rsidRPr="00C903F8" w:rsidRDefault="001D0FFC" w:rsidP="00935328">
      <w:pPr>
        <w:pStyle w:val="Esann8let"/>
      </w:pPr>
      <w:r>
        <w:t>b)</w:t>
      </w:r>
      <w:r>
        <w:tab/>
        <w:t>condotte intorno alle tubolature del gas;</w:t>
      </w:r>
    </w:p>
    <w:p w:rsidR="001D0FFC" w:rsidRPr="00C903F8" w:rsidRDefault="001D0FFC" w:rsidP="00935328">
      <w:pPr>
        <w:pStyle w:val="Esann8let"/>
      </w:pPr>
      <w:r>
        <w:t>c)</w:t>
      </w:r>
      <w:r>
        <w:tab/>
        <w:t>sale macchine contenenti tubolature del gas, apparecchiature a gas o utenze alimentate a gas;</w:t>
      </w:r>
    </w:p>
    <w:p w:rsidR="001D0FFC" w:rsidRPr="00C903F8" w:rsidRDefault="001D0FFC" w:rsidP="00935328">
      <w:pPr>
        <w:pStyle w:val="Esann8let"/>
      </w:pPr>
      <w:r>
        <w:t>d)</w:t>
      </w:r>
      <w:r>
        <w:tab/>
        <w:t>il locale contenente il sistema di preparazione del gas;</w:t>
      </w:r>
    </w:p>
    <w:p w:rsidR="001D0FFC" w:rsidRPr="00C903F8" w:rsidRDefault="001D0FFC" w:rsidP="00935328">
      <w:pPr>
        <w:pStyle w:val="Esann8let"/>
      </w:pPr>
      <w:r>
        <w:t>e)</w:t>
      </w:r>
      <w:r>
        <w:tab/>
        <w:t>altri locali chiusi contenenti tubolature del gas o altre apparecchiature alimentate a gas senza condotte;</w:t>
      </w:r>
    </w:p>
    <w:p w:rsidR="001D0FFC" w:rsidRPr="00C903F8" w:rsidRDefault="001D0FFC" w:rsidP="00935328">
      <w:pPr>
        <w:pStyle w:val="Esann8let"/>
      </w:pPr>
      <w:r>
        <w:t>f)</w:t>
      </w:r>
      <w:r>
        <w:tab/>
        <w:t>altri locali chiusi o semichiusi nei quali i vapori di gas possono accumularsi, ivi compresi gli spazi tra barriere i locali serbatoi dei serbatoi di GNL indipendenti diversi da quelli di tipo C;</w:t>
      </w:r>
    </w:p>
    <w:p w:rsidR="001D0FFC" w:rsidRPr="00C903F8" w:rsidRDefault="001D0FFC" w:rsidP="00935328">
      <w:pPr>
        <w:pStyle w:val="Esann8let"/>
      </w:pPr>
      <w:r>
        <w:t>g)</w:t>
      </w:r>
      <w:r>
        <w:tab/>
        <w:t>camere di equilibrio; e</w:t>
      </w:r>
    </w:p>
    <w:p w:rsidR="001D0FFC" w:rsidRPr="00C903F8" w:rsidRDefault="001D0FFC" w:rsidP="00935328">
      <w:pPr>
        <w:pStyle w:val="Esann8let"/>
      </w:pPr>
      <w:r>
        <w:t>h)</w:t>
      </w:r>
      <w:r>
        <w:tab/>
        <w:t>ingressi di ventilazione verso locali nei quali possono accumularsi vapori di gas.</w:t>
      </w:r>
    </w:p>
    <w:p w:rsidR="001D0FFC" w:rsidRPr="00C903F8" w:rsidRDefault="001D0FFC" w:rsidP="001D0FFC">
      <w:pPr>
        <w:pStyle w:val="Esann8ch"/>
      </w:pPr>
    </w:p>
    <w:p w:rsidR="00D24BFE" w:rsidRPr="00C903F8" w:rsidRDefault="00D24BFE">
      <w:pPr>
        <w:autoSpaceDE/>
        <w:autoSpaceDN/>
        <w:ind w:left="0" w:firstLine="0"/>
        <w:jc w:val="left"/>
        <w:rPr>
          <w:rFonts w:eastAsia="Calibri" w:cs="Arial"/>
          <w:color w:val="000000"/>
          <w:szCs w:val="20"/>
        </w:rPr>
      </w:pPr>
      <w:r>
        <w:br w:type="page"/>
      </w:r>
    </w:p>
    <w:p w:rsidR="00D24BFE" w:rsidRPr="00C903F8" w:rsidRDefault="00D24BFE" w:rsidP="001D0FFC">
      <w:pPr>
        <w:pStyle w:val="Esann8ch"/>
      </w:pPr>
    </w:p>
    <w:p w:rsidR="001D0FFC" w:rsidRPr="00C903F8" w:rsidRDefault="001D0FFC" w:rsidP="001D0FFC">
      <w:pPr>
        <w:pStyle w:val="Esann8ch"/>
      </w:pPr>
      <w:r>
        <w:t xml:space="preserve">5.4.3 </w:t>
      </w:r>
      <w:r>
        <w:tab/>
        <w:t>In deroga al punto 5.4.2, i sensori fissi che rilevano la presenza di gas sulla base della differenza di pressione possono essere utilizzati per spazi fra barriere nelle tubolature a doppia parete.</w:t>
      </w:r>
    </w:p>
    <w:p w:rsidR="001D0FFC" w:rsidRPr="00C903F8" w:rsidRDefault="001D0FFC" w:rsidP="001D0FFC">
      <w:pPr>
        <w:pStyle w:val="Esann8ch"/>
      </w:pPr>
    </w:p>
    <w:p w:rsidR="001D0FFC" w:rsidRPr="00C903F8" w:rsidRDefault="001D0FFC" w:rsidP="001D0FFC">
      <w:pPr>
        <w:pStyle w:val="Esann8ch"/>
      </w:pPr>
      <w:r>
        <w:t>5.4.4</w:t>
      </w:r>
      <w:r>
        <w:tab/>
        <w:t>Il numero e la ridondanza dei rilevatori di gas in ciascun locale vanno definiti tenendo conto delle dimensioni, del layout e della ventilazione del locale.</w:t>
      </w:r>
    </w:p>
    <w:p w:rsidR="001D0FFC" w:rsidRPr="00C903F8" w:rsidRDefault="001D0FFC" w:rsidP="001D0FFC">
      <w:pPr>
        <w:pStyle w:val="Esann8ch"/>
      </w:pPr>
    </w:p>
    <w:p w:rsidR="001D0FFC" w:rsidRPr="00C903F8" w:rsidRDefault="001D0FFC" w:rsidP="001D0FFC">
      <w:pPr>
        <w:pStyle w:val="Esann8ch"/>
      </w:pPr>
      <w:r>
        <w:t>5.4.5</w:t>
      </w:r>
      <w:r>
        <w:tab/>
        <w:t xml:space="preserve">I rilevatori di gas fissi sono posizionati nei punti nei quali il gas può accumularsi e nelle uscite di ventilazione di tali locali. </w:t>
      </w:r>
    </w:p>
    <w:p w:rsidR="001D0FFC" w:rsidRPr="00C903F8" w:rsidRDefault="001D0FFC" w:rsidP="001D0FFC">
      <w:pPr>
        <w:pStyle w:val="Esann8ch"/>
      </w:pPr>
    </w:p>
    <w:p w:rsidR="001D0FFC" w:rsidRPr="00C903F8" w:rsidRDefault="001D0FFC" w:rsidP="001D0FFC">
      <w:pPr>
        <w:pStyle w:val="Esann8ch"/>
      </w:pPr>
      <w:r>
        <w:t xml:space="preserve">5.4.6 </w:t>
      </w:r>
      <w:r>
        <w:tab/>
        <w:t>Un allarme acustico e visivo viene attivato prima che la concentrazione di gas raggiunga il 20 % del limite inferiore di esplosività. Il sistema di sicurezza per il gas viene attivato al 40 % del limite inferiore di esplosività.</w:t>
      </w:r>
    </w:p>
    <w:p w:rsidR="001D0FFC" w:rsidRPr="00C903F8" w:rsidRDefault="001D0FFC" w:rsidP="001D0FFC">
      <w:pPr>
        <w:pStyle w:val="Esann8ch"/>
      </w:pPr>
    </w:p>
    <w:p w:rsidR="001D0FFC" w:rsidRPr="00C903F8" w:rsidRDefault="001D0FFC" w:rsidP="001D0FFC">
      <w:pPr>
        <w:pStyle w:val="Esann8ch"/>
      </w:pPr>
      <w:r>
        <w:t>5.4.7</w:t>
      </w:r>
      <w:r>
        <w:tab/>
        <w:t>Gli allarmi acustici e visivi provenienti dal sistema di segnalazione dei gas sono attivati nella timoneria.</w:t>
      </w:r>
    </w:p>
    <w:p w:rsidR="001D0FFC" w:rsidRPr="00C903F8" w:rsidRDefault="001D0FFC" w:rsidP="001D0FFC">
      <w:pPr>
        <w:pStyle w:val="Esann8ch"/>
      </w:pPr>
    </w:p>
    <w:p w:rsidR="001D0FFC" w:rsidRPr="00C903F8" w:rsidRDefault="001D0FFC" w:rsidP="00935328">
      <w:pPr>
        <w:pStyle w:val="Esann8chgras"/>
      </w:pPr>
      <w:r>
        <w:t>5.5</w:t>
      </w:r>
      <w:r>
        <w:tab/>
        <w:t>Funzioni di sicurezza dei sistemi di alimentazione del gas</w:t>
      </w:r>
    </w:p>
    <w:p w:rsidR="001D0FFC" w:rsidRPr="00C903F8" w:rsidRDefault="001D0FFC" w:rsidP="001D0FFC">
      <w:pPr>
        <w:pStyle w:val="Esann8ch"/>
      </w:pPr>
    </w:p>
    <w:p w:rsidR="001D0FFC" w:rsidRPr="00C903F8" w:rsidRDefault="001D0FFC" w:rsidP="001D0FFC">
      <w:pPr>
        <w:pStyle w:val="Esann8ch"/>
      </w:pPr>
      <w:r>
        <w:t>5.5.1</w:t>
      </w:r>
      <w:r>
        <w:tab/>
        <w:t>Se il sistema di alimentazione del gas viene spento in ragione dell'attivazione di una valvola automatica, non è possibile riattivarlo fino a quando non viene accertata la causa della disconnessione e non vengono intraprese le azioni necessarie. Le istruzioni a tale proposito vanno collocate in un punto ben visibile nella stazione di comando per le valvole di intercettazione nelle linee di alimentazione del gas.</w:t>
      </w:r>
    </w:p>
    <w:p w:rsidR="001D0FFC" w:rsidRPr="00C903F8" w:rsidRDefault="001D0FFC" w:rsidP="001D0FFC">
      <w:pPr>
        <w:pStyle w:val="Esann8ch"/>
      </w:pPr>
    </w:p>
    <w:p w:rsidR="001D0FFC" w:rsidRPr="00C903F8" w:rsidRDefault="001D0FFC" w:rsidP="001D0FFC">
      <w:pPr>
        <w:pStyle w:val="Esann8ch"/>
      </w:pPr>
      <w:r>
        <w:t>5.5.2</w:t>
      </w:r>
      <w:r>
        <w:tab/>
        <w:t>Se il sistema di alimentazione del gas viene spento a causa di una perdita di gas, non è possibile riattivarlo fino a quando non è stata rilevata la perdita e sono state intraprese le azioni necessarie. Le istruzioni a tale fine vanno collocate in un punto ben visibile nella sala macchine.</w:t>
      </w:r>
    </w:p>
    <w:p w:rsidR="001D0FFC" w:rsidRPr="00C903F8" w:rsidRDefault="001D0FFC" w:rsidP="001D0FFC">
      <w:pPr>
        <w:pStyle w:val="Esann8ch"/>
      </w:pPr>
    </w:p>
    <w:p w:rsidR="001D0FFC" w:rsidRPr="00C903F8" w:rsidRDefault="001D0FFC" w:rsidP="001D0FFC">
      <w:pPr>
        <w:pStyle w:val="Esann8ch"/>
      </w:pPr>
      <w:r>
        <w:t>5.5.3</w:t>
      </w:r>
      <w:r>
        <w:tab/>
        <w:t>Il sistema di alimentazione del gas è predisposto per l'arresto manuale di emergenza comandato a distanza dai seguenti punti, se del caso:</w:t>
      </w:r>
    </w:p>
    <w:p w:rsidR="001D0FFC" w:rsidRPr="00C903F8" w:rsidRDefault="001D0FFC" w:rsidP="001D0FFC">
      <w:pPr>
        <w:pStyle w:val="Esann8let"/>
      </w:pPr>
      <w:r>
        <w:t>a)</w:t>
      </w:r>
      <w:r>
        <w:tab/>
        <w:t>la timoneria;</w:t>
      </w:r>
    </w:p>
    <w:p w:rsidR="001D0FFC" w:rsidRPr="00C903F8" w:rsidRDefault="001D0FFC" w:rsidP="001D0FFC">
      <w:pPr>
        <w:pStyle w:val="Esann8let"/>
      </w:pPr>
      <w:r>
        <w:t>b)</w:t>
      </w:r>
      <w:r>
        <w:tab/>
        <w:t>la stazione di comando della stazione di rifornimento;</w:t>
      </w:r>
    </w:p>
    <w:p w:rsidR="001D0FFC" w:rsidRPr="00C903F8" w:rsidRDefault="001D0FFC" w:rsidP="001D0FFC">
      <w:pPr>
        <w:pStyle w:val="Esann8let"/>
      </w:pPr>
      <w:r>
        <w:t>c)</w:t>
      </w:r>
      <w:r>
        <w:tab/>
        <w:t>qualsiasi posizione costantemente presidiata.</w:t>
      </w:r>
    </w:p>
    <w:p w:rsidR="001D0FFC" w:rsidRPr="00C903F8" w:rsidRDefault="001D0FFC" w:rsidP="00ED22AF">
      <w:pPr>
        <w:pStyle w:val="Esann8ch"/>
      </w:pPr>
    </w:p>
    <w:p w:rsidR="006B78FD" w:rsidRPr="00C903F8" w:rsidRDefault="006B78FD" w:rsidP="009C13A9">
      <w:pPr>
        <w:spacing w:line="240" w:lineRule="atLeast"/>
        <w:ind w:left="0" w:firstLine="0"/>
        <w:rPr>
          <w:rFonts w:cs="Arial"/>
          <w:noProof/>
          <w:szCs w:val="20"/>
        </w:rPr>
      </w:pPr>
    </w:p>
    <w:p w:rsidR="006B78FD" w:rsidRPr="00C903F8" w:rsidRDefault="006B78FD" w:rsidP="009C13A9">
      <w:pPr>
        <w:spacing w:line="240" w:lineRule="atLeast"/>
        <w:ind w:left="0" w:firstLine="0"/>
        <w:rPr>
          <w:rFonts w:cs="Arial"/>
          <w:noProof/>
          <w:szCs w:val="20"/>
        </w:rPr>
      </w:pPr>
    </w:p>
    <w:p w:rsidR="006B78FD" w:rsidRPr="00C903F8" w:rsidRDefault="006B78FD" w:rsidP="009C13A9">
      <w:pPr>
        <w:spacing w:line="240" w:lineRule="atLeast"/>
        <w:ind w:left="0" w:firstLine="0"/>
        <w:rPr>
          <w:rFonts w:cs="Arial"/>
          <w:noProof/>
          <w:szCs w:val="20"/>
        </w:rPr>
        <w:sectPr w:rsidR="006B78FD" w:rsidRPr="00C903F8" w:rsidSect="00AC5CC1">
          <w:headerReference w:type="first" r:id="rId105"/>
          <w:footnotePr>
            <w:numRestart w:val="eachPage"/>
          </w:footnotePr>
          <w:pgSz w:w="11906" w:h="16838" w:code="9"/>
          <w:pgMar w:top="1418" w:right="1418" w:bottom="1418" w:left="1418" w:header="709" w:footer="709" w:gutter="0"/>
          <w:cols w:space="709"/>
          <w:titlePg/>
          <w:docGrid w:linePitch="272"/>
        </w:sectPr>
      </w:pPr>
    </w:p>
    <w:p w:rsidR="009C13A9" w:rsidRDefault="009C13A9" w:rsidP="009C13A9">
      <w:pPr>
        <w:spacing w:line="240" w:lineRule="atLeast"/>
        <w:ind w:left="0" w:firstLine="0"/>
        <w:rPr>
          <w:rFonts w:cs="Arial"/>
          <w:noProof/>
          <w:szCs w:val="20"/>
        </w:rPr>
      </w:pPr>
    </w:p>
    <w:p w:rsidR="004F47BB" w:rsidRPr="00C903F8" w:rsidRDefault="004F47BB" w:rsidP="009C13A9">
      <w:pPr>
        <w:spacing w:line="240" w:lineRule="atLeast"/>
        <w:ind w:left="0" w:firstLine="0"/>
        <w:rPr>
          <w:rFonts w:cs="Arial"/>
          <w:noProof/>
          <w:szCs w:val="20"/>
        </w:rPr>
      </w:pPr>
    </w:p>
    <w:p w:rsidR="001E2331" w:rsidRPr="00C903F8" w:rsidRDefault="001E2331" w:rsidP="00125490">
      <w:pPr>
        <w:pStyle w:val="ESch"/>
      </w:pPr>
    </w:p>
    <w:p w:rsidR="001B6FDF" w:rsidRPr="00C903F8" w:rsidRDefault="001B6FDF" w:rsidP="00125490">
      <w:pPr>
        <w:pStyle w:val="ESch"/>
      </w:pPr>
    </w:p>
    <w:p w:rsidR="004F47BB" w:rsidRDefault="004F47BB" w:rsidP="002908AA">
      <w:pPr>
        <w:pStyle w:val="ESgauche"/>
        <w:sectPr w:rsidR="004F47BB" w:rsidSect="00AC5CC1">
          <w:footnotePr>
            <w:numRestart w:val="eachPage"/>
          </w:footnotePr>
          <w:pgSz w:w="11906" w:h="16838" w:code="9"/>
          <w:pgMar w:top="1418" w:right="1418" w:bottom="1418" w:left="1418" w:header="709" w:footer="709" w:gutter="0"/>
          <w:cols w:space="709"/>
          <w:titlePg/>
          <w:docGrid w:linePitch="272"/>
        </w:sect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5B46C9"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4F47BB" w:rsidRDefault="004F47BB" w:rsidP="00C859BD">
      <w:pPr>
        <w:pStyle w:val="Es-Titreannexes"/>
      </w:pPr>
      <w:bookmarkStart w:id="724" w:name="_Toc491854345"/>
      <w:bookmarkStart w:id="725" w:name="_Toc535500294"/>
      <w:r>
        <w:t>Istruzioni per l'applicazione della norma tecnica</w:t>
      </w:r>
      <w:bookmarkEnd w:id="724"/>
      <w:bookmarkEnd w:id="725"/>
      <w:r>
        <w:t xml:space="preserve"> </w:t>
      </w:r>
    </w:p>
    <w:p w:rsidR="004F47BB" w:rsidRPr="004F47BB"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4F47BB"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4F47BB" w:rsidRDefault="004F47BB" w:rsidP="004F47BB">
      <w:pPr>
        <w:overflowPunct w:val="0"/>
        <w:adjustRightInd w:val="0"/>
        <w:spacing w:line="240" w:lineRule="exact"/>
        <w:ind w:left="0" w:firstLine="0"/>
        <w:jc w:val="center"/>
        <w:textAlignment w:val="baseline"/>
        <w:rPr>
          <w:rFonts w:eastAsia="Calibri"/>
          <w:b/>
          <w:i/>
          <w:sz w:val="22"/>
          <w:szCs w:val="22"/>
        </w:rPr>
      </w:pPr>
    </w:p>
    <w:p w:rsidR="004F47BB" w:rsidRPr="004F47BB" w:rsidRDefault="004F47BB" w:rsidP="004F47BB">
      <w:pPr>
        <w:spacing w:line="240" w:lineRule="atLeast"/>
        <w:ind w:left="567" w:hanging="567"/>
      </w:pPr>
    </w:p>
    <w:p w:rsidR="004F47BB" w:rsidRPr="004F47BB" w:rsidRDefault="004F47BB" w:rsidP="004F47BB">
      <w:pPr>
        <w:spacing w:line="240" w:lineRule="atLeast"/>
        <w:ind w:left="0" w:firstLine="0"/>
      </w:pPr>
      <w:r>
        <w:br w:type="page"/>
      </w:r>
    </w:p>
    <w:p w:rsidR="004F47BB" w:rsidRPr="004F47BB" w:rsidRDefault="004F47BB" w:rsidP="004F47BB">
      <w:pPr>
        <w:spacing w:line="240" w:lineRule="atLeast"/>
        <w:ind w:left="0" w:firstLine="0"/>
      </w:pPr>
    </w:p>
    <w:p w:rsidR="004F47BB" w:rsidRPr="004F47BB" w:rsidRDefault="004F47BB" w:rsidP="004F47BB">
      <w:pPr>
        <w:spacing w:line="240" w:lineRule="atLeast"/>
        <w:ind w:left="0" w:firstLine="0"/>
      </w:pPr>
    </w:p>
    <w:p w:rsidR="004F47BB" w:rsidRPr="004F47BB" w:rsidRDefault="004F47BB" w:rsidP="004F47BB">
      <w:pPr>
        <w:spacing w:line="240" w:lineRule="atLeast"/>
        <w:ind w:left="0" w:firstLine="0"/>
        <w:sectPr w:rsidR="004F47BB" w:rsidRPr="004F47BB" w:rsidSect="00D45887">
          <w:headerReference w:type="default" r:id="rId106"/>
          <w:footerReference w:type="default" r:id="rId107"/>
          <w:headerReference w:type="first" r:id="rId108"/>
          <w:footerReference w:type="first" r:id="rId109"/>
          <w:pgSz w:w="11907" w:h="16840" w:code="9"/>
          <w:pgMar w:top="1418" w:right="1418" w:bottom="1418" w:left="1418" w:header="680" w:footer="680" w:gutter="0"/>
          <w:pgNumType w:start="397"/>
          <w:cols w:space="720"/>
          <w:noEndnote/>
          <w:titlePg/>
        </w:sectPr>
      </w:pPr>
    </w:p>
    <w:p w:rsidR="004F47BB" w:rsidRPr="004F47BB" w:rsidRDefault="004F47BB" w:rsidP="00A84512">
      <w:pPr>
        <w:pStyle w:val="ES-Titre1"/>
      </w:pPr>
      <w:bookmarkStart w:id="726" w:name="_Toc405451503"/>
      <w:bookmarkStart w:id="727" w:name="_Toc491854346"/>
      <w:bookmarkStart w:id="728" w:name="_Toc535500295"/>
      <w:r>
        <w:lastRenderedPageBreak/>
        <w:t>PARTE I</w:t>
      </w:r>
      <w:r>
        <w:br/>
      </w:r>
      <w:bookmarkEnd w:id="726"/>
      <w:r>
        <w:t>REQUISITI GENERALI</w:t>
      </w:r>
      <w:bookmarkEnd w:id="727"/>
      <w:bookmarkEnd w:id="728"/>
    </w:p>
    <w:p w:rsidR="004F47BB" w:rsidRPr="004F47BB" w:rsidRDefault="004F47BB" w:rsidP="004F47BB">
      <w:pPr>
        <w:tabs>
          <w:tab w:val="left" w:pos="425"/>
        </w:tabs>
        <w:autoSpaceDE/>
        <w:autoSpaceDN/>
        <w:ind w:left="0" w:firstLine="0"/>
        <w:jc w:val="left"/>
      </w:pPr>
    </w:p>
    <w:p w:rsidR="004F47BB" w:rsidRPr="004F47BB" w:rsidRDefault="004F47BB" w:rsidP="00A84512">
      <w:pPr>
        <w:pStyle w:val="ES-Titre2ESI"/>
      </w:pPr>
      <w:bookmarkStart w:id="729" w:name="_Toc491854347"/>
      <w:bookmarkStart w:id="730" w:name="_Toc535500296"/>
      <w:r>
        <w:t>ESI-I-1</w:t>
      </w:r>
      <w:r>
        <w:br/>
        <w:t>Compilazione dei certificati di nave di navigazione interna</w:t>
      </w:r>
      <w:bookmarkEnd w:id="729"/>
      <w:bookmarkEnd w:id="730"/>
    </w:p>
    <w:p w:rsidR="004F47BB" w:rsidRPr="004F47BB" w:rsidRDefault="004F47BB" w:rsidP="004F47BB">
      <w:pPr>
        <w:tabs>
          <w:tab w:val="left" w:pos="284"/>
          <w:tab w:val="left" w:pos="567"/>
        </w:tabs>
        <w:autoSpaceDE/>
        <w:autoSpaceDN/>
        <w:ind w:left="284" w:hanging="284"/>
        <w:jc w:val="left"/>
      </w:pPr>
    </w:p>
    <w:p w:rsidR="004F47BB" w:rsidRPr="004F47BB" w:rsidRDefault="004F47BB" w:rsidP="004F47BB">
      <w:pPr>
        <w:spacing w:line="240" w:lineRule="atLeast"/>
        <w:ind w:left="567" w:hanging="567"/>
        <w:rPr>
          <w:rFonts w:cs="Arial"/>
          <w:b/>
          <w:noProof/>
          <w:color w:val="000000"/>
          <w:szCs w:val="20"/>
        </w:rPr>
      </w:pPr>
      <w:r>
        <w:rPr>
          <w:b/>
          <w:noProof/>
          <w:color w:val="000000"/>
        </w:rPr>
        <w:t>1.</w:t>
      </w:r>
      <w:r>
        <w:tab/>
      </w:r>
      <w:r>
        <w:rPr>
          <w:b/>
          <w:noProof/>
          <w:color w:val="000000"/>
        </w:rPr>
        <w:t>Aspetti generali</w:t>
      </w:r>
    </w:p>
    <w:p w:rsidR="004F47BB" w:rsidRPr="004F47BB" w:rsidRDefault="004F47BB" w:rsidP="004F47BB">
      <w:pPr>
        <w:spacing w:line="240" w:lineRule="atLeast"/>
        <w:ind w:left="567" w:hanging="567"/>
        <w:rPr>
          <w:rFonts w:cs="Arial"/>
          <w:b/>
          <w:noProof/>
          <w:color w:val="000000"/>
          <w:szCs w:val="20"/>
        </w:rPr>
      </w:pPr>
    </w:p>
    <w:p w:rsidR="004F47BB" w:rsidRPr="004F47BB" w:rsidRDefault="004F47BB" w:rsidP="004F47BB">
      <w:pPr>
        <w:spacing w:line="240" w:lineRule="atLeast"/>
        <w:ind w:left="567" w:hanging="567"/>
        <w:rPr>
          <w:rFonts w:cs="Arial"/>
          <w:b/>
          <w:noProof/>
          <w:color w:val="000000"/>
          <w:szCs w:val="20"/>
        </w:rPr>
      </w:pPr>
      <w:r>
        <w:rPr>
          <w:b/>
          <w:noProof/>
          <w:color w:val="000000"/>
        </w:rPr>
        <w:t>1.1</w:t>
      </w:r>
      <w:r>
        <w:tab/>
      </w:r>
      <w:r>
        <w:rPr>
          <w:b/>
          <w:noProof/>
          <w:color w:val="000000"/>
        </w:rPr>
        <w:t>Moduli</w:t>
      </w:r>
    </w:p>
    <w:p w:rsidR="004F47BB" w:rsidRPr="004F47BB" w:rsidRDefault="004F47BB" w:rsidP="004F47BB">
      <w:pPr>
        <w:spacing w:line="240" w:lineRule="atLeast"/>
        <w:ind w:left="567" w:hanging="567"/>
        <w:rPr>
          <w:rFonts w:cs="Arial"/>
          <w:b/>
          <w:noProof/>
          <w:color w:val="000000"/>
          <w:szCs w:val="20"/>
        </w:rPr>
      </w:pPr>
    </w:p>
    <w:p w:rsidR="004F47BB" w:rsidRPr="004F47BB" w:rsidRDefault="004F47BB" w:rsidP="004F47BB">
      <w:pPr>
        <w:spacing w:line="240" w:lineRule="atLeast"/>
        <w:ind w:left="567" w:firstLine="0"/>
        <w:rPr>
          <w:noProof/>
        </w:rPr>
      </w:pPr>
      <w:r>
        <w:t>Per la compilazione del certificato per la navigazione interna si devono utilizzare esclusivamente i moduli autorizzati dall'autorità competente. I moduli devono essere compilati su un solo lato.</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All'atto del rilascio di un nuovo certificato per la navigazione interna, si devono fornire tutte le pagine da 1 a 13, anche quelle che contengono rubriche non compilate.</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hanging="567"/>
        <w:rPr>
          <w:rFonts w:cs="Arial"/>
          <w:b/>
          <w:noProof/>
          <w:color w:val="000000"/>
          <w:szCs w:val="20"/>
        </w:rPr>
      </w:pPr>
      <w:r>
        <w:rPr>
          <w:b/>
          <w:noProof/>
          <w:color w:val="000000"/>
        </w:rPr>
        <w:t>1.2</w:t>
      </w:r>
      <w:r>
        <w:tab/>
      </w:r>
      <w:r>
        <w:rPr>
          <w:b/>
          <w:noProof/>
          <w:color w:val="000000"/>
        </w:rPr>
        <w:t>Metodo di compilazione</w:t>
      </w:r>
    </w:p>
    <w:p w:rsidR="004F47BB" w:rsidRPr="004F47BB" w:rsidRDefault="004F47BB" w:rsidP="004F47BB">
      <w:pPr>
        <w:spacing w:line="240" w:lineRule="atLeast"/>
        <w:ind w:left="567" w:hanging="567"/>
        <w:rPr>
          <w:rFonts w:cs="Arial"/>
          <w:b/>
          <w:noProof/>
          <w:color w:val="000000"/>
          <w:szCs w:val="20"/>
        </w:rPr>
      </w:pPr>
    </w:p>
    <w:p w:rsidR="004F47BB" w:rsidRPr="004F47BB" w:rsidRDefault="004F47BB" w:rsidP="004F47BB">
      <w:pPr>
        <w:spacing w:line="240" w:lineRule="atLeast"/>
        <w:ind w:left="567" w:firstLine="0"/>
        <w:rPr>
          <w:noProof/>
        </w:rPr>
      </w:pPr>
      <w:r>
        <w:t>Le indicazioni riportate nel certificato per la navigazione interna devono essere compilate a macchina per scrivere o al computer. Annotazioni manoscritte sono ammesse unicamente in casi eccezionali. I caratteri devono essere indelebili. Sono unicamente ammessi caratteri neri o blu. Le cancellazioni devono essere effettuate in rosso.</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hanging="567"/>
        <w:rPr>
          <w:rFonts w:cs="Arial"/>
          <w:b/>
          <w:noProof/>
          <w:color w:val="000000"/>
          <w:szCs w:val="20"/>
        </w:rPr>
      </w:pPr>
      <w:r>
        <w:rPr>
          <w:b/>
          <w:noProof/>
          <w:color w:val="000000"/>
        </w:rPr>
        <w:t>2.</w:t>
      </w:r>
      <w:r>
        <w:tab/>
      </w:r>
      <w:r>
        <w:rPr>
          <w:b/>
          <w:noProof/>
          <w:color w:val="000000"/>
        </w:rPr>
        <w:t>Rubriche</w:t>
      </w:r>
    </w:p>
    <w:p w:rsidR="004F47BB" w:rsidRPr="004F47BB" w:rsidRDefault="004F47BB" w:rsidP="004F47BB">
      <w:pPr>
        <w:spacing w:line="240" w:lineRule="atLeast"/>
        <w:ind w:left="567" w:hanging="567"/>
        <w:rPr>
          <w:rFonts w:cs="Arial"/>
          <w:b/>
          <w:noProof/>
          <w:color w:val="000000"/>
          <w:szCs w:val="20"/>
        </w:rPr>
      </w:pPr>
    </w:p>
    <w:p w:rsidR="004F47BB" w:rsidRPr="004F47BB" w:rsidRDefault="004F47BB" w:rsidP="004F47BB">
      <w:pPr>
        <w:spacing w:line="240" w:lineRule="atLeast"/>
        <w:ind w:left="567" w:hanging="567"/>
        <w:rPr>
          <w:rFonts w:cs="Arial"/>
          <w:b/>
          <w:noProof/>
          <w:color w:val="000000"/>
          <w:szCs w:val="20"/>
        </w:rPr>
      </w:pPr>
      <w:r>
        <w:rPr>
          <w:b/>
          <w:noProof/>
          <w:color w:val="000000"/>
        </w:rPr>
        <w:t>2.1</w:t>
      </w:r>
      <w:r>
        <w:tab/>
      </w:r>
      <w:r>
        <w:rPr>
          <w:b/>
          <w:noProof/>
          <w:color w:val="000000"/>
        </w:rPr>
        <w:t>Cancellazione delle alternative</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In caso di rubriche contrassegnate da un asterisco</w:t>
      </w:r>
      <w:r>
        <w:rPr>
          <w:noProof/>
          <w:vertAlign w:val="superscript"/>
        </w:rPr>
        <w:t>(*)</w:t>
      </w:r>
      <w:r>
        <w:t>, cancellare quelle non pertinenti.</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hanging="567"/>
        <w:rPr>
          <w:rFonts w:cs="Arial"/>
          <w:b/>
          <w:noProof/>
          <w:color w:val="000000"/>
          <w:szCs w:val="20"/>
        </w:rPr>
      </w:pPr>
      <w:r>
        <w:rPr>
          <w:b/>
          <w:noProof/>
          <w:color w:val="000000"/>
        </w:rPr>
        <w:t>2.2</w:t>
      </w:r>
      <w:r>
        <w:tab/>
      </w:r>
      <w:r>
        <w:rPr>
          <w:b/>
          <w:noProof/>
          <w:color w:val="000000"/>
        </w:rPr>
        <w:t>Rubriche non compilate</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Se una delle rubriche da 1 a 48 non può o non deve essere compilata, tracciare una linea che copra l'intero campo.</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hanging="567"/>
        <w:rPr>
          <w:rFonts w:cs="Arial"/>
          <w:b/>
          <w:noProof/>
          <w:color w:val="000000"/>
          <w:szCs w:val="20"/>
        </w:rPr>
      </w:pPr>
      <w:r>
        <w:rPr>
          <w:b/>
          <w:noProof/>
          <w:color w:val="000000"/>
        </w:rPr>
        <w:t>2.3</w:t>
      </w:r>
      <w:r>
        <w:tab/>
      </w:r>
      <w:r>
        <w:rPr>
          <w:b/>
          <w:noProof/>
          <w:color w:val="000000"/>
        </w:rPr>
        <w:t>Pagina finale del certificato per la navigazione interna</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Se non servono altre pagine dopo la pagina 13 (cfr. punto 3.2.3), cancellare la frase "Continua a pagina"</w:t>
      </w:r>
      <w:r>
        <w:rPr>
          <w:noProof/>
          <w:vertAlign w:val="superscript"/>
        </w:rPr>
        <w:footnoteReference w:customMarkFollows="1" w:id="77"/>
        <w:t>(*)</w:t>
      </w:r>
      <w:r>
        <w:t xml:space="preserve"> in calce a pagina 13.</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hanging="567"/>
        <w:rPr>
          <w:rFonts w:cs="Arial"/>
          <w:b/>
          <w:noProof/>
          <w:color w:val="000000"/>
          <w:szCs w:val="20"/>
        </w:rPr>
      </w:pPr>
      <w:r>
        <w:rPr>
          <w:b/>
          <w:noProof/>
          <w:color w:val="000000"/>
        </w:rPr>
        <w:t>2.4</w:t>
      </w:r>
      <w:r>
        <w:tab/>
      </w:r>
      <w:r>
        <w:rPr>
          <w:b/>
          <w:noProof/>
          <w:color w:val="000000"/>
        </w:rPr>
        <w:t>Modifiche</w:t>
      </w:r>
    </w:p>
    <w:p w:rsidR="004F47BB" w:rsidRPr="004F47BB" w:rsidRDefault="004F47BB" w:rsidP="004F47BB">
      <w:pPr>
        <w:spacing w:line="240" w:lineRule="atLeast"/>
        <w:ind w:left="567" w:hanging="567"/>
        <w:rPr>
          <w:rFonts w:cs="Arial"/>
          <w:b/>
          <w:noProof/>
          <w:color w:val="000000"/>
          <w:szCs w:val="20"/>
        </w:rPr>
      </w:pPr>
    </w:p>
    <w:p w:rsidR="004F47BB" w:rsidRPr="004F47BB" w:rsidRDefault="004F47BB" w:rsidP="004F47BB">
      <w:pPr>
        <w:spacing w:line="240" w:lineRule="atLeast"/>
        <w:ind w:left="567" w:hanging="567"/>
        <w:rPr>
          <w:rFonts w:cs="Arial"/>
          <w:b/>
          <w:noProof/>
          <w:color w:val="000000"/>
          <w:szCs w:val="20"/>
        </w:rPr>
      </w:pPr>
      <w:r>
        <w:rPr>
          <w:b/>
          <w:noProof/>
          <w:color w:val="000000"/>
        </w:rPr>
        <w:t>2.4.1</w:t>
      </w:r>
      <w:r>
        <w:tab/>
      </w:r>
      <w:r>
        <w:rPr>
          <w:b/>
          <w:noProof/>
          <w:color w:val="000000"/>
        </w:rPr>
        <w:t>Prima modifica manoscritta su una pagina</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Una pagina può essere modificata una sola volta; tuttavia, in tale occasione è possibile effettuare più modifiche contemporaneamente. Tracciare una linea rossa sugli elementi da modificare. Un'alternativa precedentemente cancellata (cfr. punto 2.1) o una rubrica precedentemente non compilata (cfr. punto 2.3) deve essere sottolineata in rosso. I nuovi elementi non devono essere riportati nel campo modificato, bensì sulla stessa pagina sotto "Modifica della rubrica", cancellando la riga "La presente pagina è stata sostituita".</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br w:type="page"/>
      </w:r>
    </w:p>
    <w:p w:rsidR="004F47BB" w:rsidRPr="004F47BB" w:rsidRDefault="004F47BB" w:rsidP="004F47BB">
      <w:pPr>
        <w:spacing w:line="240" w:lineRule="atLeast"/>
        <w:ind w:left="567" w:hanging="567"/>
        <w:rPr>
          <w:rFonts w:cs="Arial"/>
          <w:b/>
          <w:noProof/>
          <w:color w:val="000000"/>
          <w:szCs w:val="20"/>
        </w:rPr>
      </w:pPr>
      <w:r>
        <w:rPr>
          <w:b/>
          <w:noProof/>
          <w:color w:val="000000"/>
        </w:rPr>
        <w:lastRenderedPageBreak/>
        <w:t>2.4.2</w:t>
      </w:r>
      <w:r>
        <w:tab/>
      </w:r>
      <w:r>
        <w:rPr>
          <w:b/>
          <w:noProof/>
          <w:color w:val="000000"/>
        </w:rPr>
        <w:t>Ulteriori modifiche manoscritte su una pagina</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 xml:space="preserve">Per eseguire ulteriori modifiche, la pagina deve essere sostituita inserendo direttamente le nuove modifiche ed eventuali modifiche precedenti direttamente nelle rubriche corrispondenti. Nella sezione </w:t>
      </w:r>
      <w:r w:rsidR="00BF7908">
        <w:t>"</w:t>
      </w:r>
      <w:r>
        <w:t>Modifiche</w:t>
      </w:r>
      <w:r w:rsidR="00BF7908">
        <w:t>"</w:t>
      </w:r>
      <w:r>
        <w:t xml:space="preserve">, cancellare la riga </w:t>
      </w:r>
      <w:r w:rsidR="00BF7908">
        <w:t>"</w:t>
      </w:r>
      <w:r>
        <w:t>Modifiche alla/e voce/i</w:t>
      </w:r>
      <w:r w:rsidR="00BF7908">
        <w:t>"</w:t>
      </w:r>
      <w:r>
        <w:t>.</w:t>
      </w:r>
    </w:p>
    <w:p w:rsidR="004F47BB" w:rsidRPr="004F47BB" w:rsidRDefault="004F47BB" w:rsidP="004F47BB">
      <w:pPr>
        <w:spacing w:line="240" w:lineRule="atLeast"/>
        <w:ind w:left="567" w:firstLine="0"/>
        <w:rPr>
          <w:noProof/>
        </w:rPr>
      </w:pPr>
      <w:r>
        <w:t>La pagina sostituita deve essere trattenuta dalla commissione di ispezione che ha originariamente rilasciato il certificato per la navigazione interna.</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hanging="567"/>
        <w:rPr>
          <w:rFonts w:cs="Arial"/>
          <w:b/>
          <w:noProof/>
          <w:color w:val="000000"/>
          <w:szCs w:val="20"/>
        </w:rPr>
      </w:pPr>
      <w:r>
        <w:rPr>
          <w:b/>
          <w:noProof/>
          <w:color w:val="000000"/>
        </w:rPr>
        <w:t>2.4.3</w:t>
      </w:r>
      <w:r>
        <w:tab/>
      </w:r>
      <w:r>
        <w:rPr>
          <w:b/>
          <w:noProof/>
          <w:color w:val="000000"/>
        </w:rPr>
        <w:t>Modifiche mediante elaborazione elettronica dei dati</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 xml:space="preserve">In caso di modifiche mediante elaborazione elettronica dei dati, la pagina deve essere sostituita inserendo direttamente le nuove modifiche ed eventuali modifiche precedenti direttamente nelle voci corrispondenti. Nella sezione </w:t>
      </w:r>
      <w:r w:rsidR="00BF7908">
        <w:t>"</w:t>
      </w:r>
      <w:r>
        <w:t>Modifiche</w:t>
      </w:r>
      <w:r w:rsidR="00BF7908">
        <w:t>"</w:t>
      </w:r>
      <w:r>
        <w:t xml:space="preserve">, cancellare la riga </w:t>
      </w:r>
      <w:r w:rsidR="00BF7908">
        <w:t>"</w:t>
      </w:r>
      <w:r>
        <w:t>Modifiche alla/e voce/i</w:t>
      </w:r>
      <w:r w:rsidR="00BF7908">
        <w:t>"</w:t>
      </w:r>
      <w:r>
        <w:t>.</w:t>
      </w:r>
    </w:p>
    <w:p w:rsidR="004F47BB" w:rsidRPr="004F47BB" w:rsidRDefault="004F47BB" w:rsidP="004F47BB">
      <w:pPr>
        <w:spacing w:line="240" w:lineRule="atLeast"/>
        <w:ind w:left="567" w:firstLine="0"/>
        <w:rPr>
          <w:noProof/>
        </w:rPr>
      </w:pPr>
      <w:r>
        <w:t>La pagina sostituita deve essere trattenuta dalla commissione di ispezione che ha originariamente rilasciato il certificato per la navigazione interna.</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hanging="567"/>
        <w:rPr>
          <w:rFonts w:cs="Arial"/>
          <w:b/>
          <w:noProof/>
          <w:color w:val="000000"/>
          <w:szCs w:val="20"/>
        </w:rPr>
      </w:pPr>
      <w:r>
        <w:rPr>
          <w:b/>
          <w:noProof/>
          <w:color w:val="000000"/>
        </w:rPr>
        <w:t>2.5</w:t>
      </w:r>
      <w:r>
        <w:tab/>
      </w:r>
      <w:r>
        <w:rPr>
          <w:b/>
          <w:noProof/>
          <w:color w:val="000000"/>
        </w:rPr>
        <w:t>Correzioni sovrapposte</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Non è consentito sovrapporre correzioni o ulteriori elementi sulle voci o al loro interno.</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hanging="567"/>
        <w:rPr>
          <w:rFonts w:cs="Arial"/>
          <w:b/>
          <w:noProof/>
          <w:color w:val="000000"/>
          <w:szCs w:val="20"/>
        </w:rPr>
      </w:pPr>
      <w:r>
        <w:rPr>
          <w:b/>
          <w:noProof/>
          <w:color w:val="000000"/>
        </w:rPr>
        <w:t>3.</w:t>
      </w:r>
      <w:r>
        <w:tab/>
      </w:r>
      <w:r>
        <w:rPr>
          <w:b/>
          <w:noProof/>
          <w:color w:val="000000"/>
        </w:rPr>
        <w:t>Sostituzione e aggiunta di pagine</w:t>
      </w:r>
    </w:p>
    <w:p w:rsidR="004F47BB" w:rsidRPr="004F47BB" w:rsidRDefault="004F47BB" w:rsidP="004F47BB">
      <w:pPr>
        <w:spacing w:line="240" w:lineRule="atLeast"/>
        <w:ind w:left="567" w:hanging="567"/>
        <w:rPr>
          <w:rFonts w:cs="Arial"/>
          <w:b/>
          <w:noProof/>
          <w:color w:val="000000"/>
          <w:szCs w:val="20"/>
        </w:rPr>
      </w:pPr>
    </w:p>
    <w:p w:rsidR="004F47BB" w:rsidRPr="004F47BB" w:rsidRDefault="004F47BB" w:rsidP="004F47BB">
      <w:pPr>
        <w:spacing w:line="240" w:lineRule="atLeast"/>
        <w:ind w:left="567" w:hanging="567"/>
        <w:rPr>
          <w:rFonts w:cs="Arial"/>
          <w:b/>
          <w:noProof/>
          <w:color w:val="000000"/>
          <w:szCs w:val="20"/>
        </w:rPr>
      </w:pPr>
      <w:r>
        <w:rPr>
          <w:b/>
          <w:noProof/>
          <w:color w:val="000000"/>
        </w:rPr>
        <w:t>3.1</w:t>
      </w:r>
      <w:r>
        <w:tab/>
      </w:r>
      <w:r>
        <w:rPr>
          <w:b/>
          <w:noProof/>
          <w:color w:val="000000"/>
        </w:rPr>
        <w:t>Sostituzione di pagine</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La pagina 1 del certificato per la navigazione interna non deve mai essere sostituita. Per la sostituzione di altre pagine, si applicano le procedure descritte nel punto 2.4.2 o 2.4.3.</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hanging="567"/>
        <w:rPr>
          <w:rFonts w:cs="Arial"/>
          <w:b/>
          <w:noProof/>
          <w:color w:val="000000"/>
          <w:szCs w:val="20"/>
        </w:rPr>
      </w:pPr>
      <w:r>
        <w:rPr>
          <w:b/>
          <w:noProof/>
          <w:color w:val="000000"/>
        </w:rPr>
        <w:t>3.2</w:t>
      </w:r>
      <w:r>
        <w:tab/>
      </w:r>
      <w:r>
        <w:rPr>
          <w:b/>
          <w:noProof/>
          <w:color w:val="000000"/>
        </w:rPr>
        <w:t>Aggiunta di pagine</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Se la pagina 10, 12 o 13 del certificato per la navigazione interna non contengono spazio sufficiente per altre annotazioni è possibile accludervi altre pagine.</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hanging="567"/>
        <w:rPr>
          <w:rFonts w:cs="Arial"/>
          <w:b/>
          <w:noProof/>
          <w:color w:val="000000"/>
          <w:szCs w:val="20"/>
        </w:rPr>
      </w:pPr>
      <w:r>
        <w:rPr>
          <w:b/>
          <w:noProof/>
          <w:color w:val="000000"/>
        </w:rPr>
        <w:t>3.2.1</w:t>
      </w:r>
      <w:r>
        <w:tab/>
      </w:r>
      <w:r>
        <w:rPr>
          <w:b/>
          <w:noProof/>
          <w:color w:val="000000"/>
        </w:rPr>
        <w:t>Proroga/conferma della validità</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 xml:space="preserve">Se occorre un'ulteriore proroga dopo avere già prorogato il certificato sei volte, aggiungere la frase "Continua a pagina 10 bis" in calce alla pagina 10, contrassegnare un'altra pagina 10 come pagina 10 bis e inserirla dopo la pagina 10. Se occorre un'ulteriore proroga dopo avere già prorogato il certificato sei volte, aggiungere la frase </w:t>
      </w:r>
      <w:r w:rsidR="00BF7908">
        <w:t>"</w:t>
      </w:r>
      <w:r>
        <w:t>Continua a pagina 10 bis</w:t>
      </w:r>
      <w:r w:rsidR="00BF7908">
        <w:t>"</w:t>
      </w:r>
      <w:r>
        <w:t xml:space="preserve"> in calce alla pagina 10, contrassegnare un'altra pagina 10 come pagina 10 bis e inserirla dopo la pagina 10. In tal modo, è possibile proseguire la compilazione partendo dalla voce 49 all'inizio della pagina 10 bis. In calce alla pagina 10 bis, inserire la frase </w:t>
      </w:r>
      <w:r w:rsidR="00BF7908">
        <w:t>"</w:t>
      </w:r>
      <w:r>
        <w:t>Continua a pagina 11</w:t>
      </w:r>
      <w:r w:rsidR="00BF7908">
        <w:t>"</w:t>
      </w:r>
      <w:r>
        <w:t>.</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hanging="567"/>
        <w:rPr>
          <w:rFonts w:cs="Arial"/>
          <w:b/>
          <w:noProof/>
          <w:color w:val="000000"/>
          <w:szCs w:val="20"/>
        </w:rPr>
      </w:pPr>
      <w:r>
        <w:rPr>
          <w:b/>
          <w:noProof/>
          <w:color w:val="000000"/>
        </w:rPr>
        <w:t>3.2.2</w:t>
      </w:r>
      <w:r>
        <w:tab/>
      </w:r>
      <w:r>
        <w:rPr>
          <w:b/>
          <w:noProof/>
          <w:color w:val="000000"/>
        </w:rPr>
        <w:t>Proroga del certificato relativo all'impianto del gas liquefatto</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In tal caso, si applica una procedura analoga a quella descritta nel punto 3.2.1 inserendo una pagina 12 bis dopo la pagina 12.</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hanging="567"/>
        <w:rPr>
          <w:rFonts w:cs="Arial"/>
          <w:b/>
          <w:noProof/>
          <w:color w:val="000000"/>
          <w:szCs w:val="20"/>
        </w:rPr>
      </w:pPr>
      <w:r>
        <w:rPr>
          <w:b/>
          <w:noProof/>
          <w:color w:val="000000"/>
        </w:rPr>
        <w:t>3.2.3</w:t>
      </w:r>
      <w:r>
        <w:tab/>
      </w:r>
      <w:r>
        <w:rPr>
          <w:b/>
          <w:noProof/>
          <w:color w:val="000000"/>
        </w:rPr>
        <w:t>Allegato al certificato per la navigazione interna</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In calce alla pagina 13, cancellare in rosso la frase "Fine del certificato per la navigazione interna", sottolineare in rosso la frase cancellata "Segue a pagina"</w:t>
      </w:r>
      <w:r>
        <w:rPr>
          <w:noProof/>
          <w:vertAlign w:val="superscript"/>
        </w:rPr>
        <w:footnoteReference w:id="78"/>
      </w:r>
      <w:r>
        <w:t>, quindi aggiungervi la pagina numero 13 bis. Tale modifica deve recare un timbro ufficiale. Contrassegnare un'altra pagina 13 come pagina 13 bis e inserirla dopo la pagina 13. Alla pagina 13 bis si applicano in quanto compatibili le disposizioni dei punti 2.2 e 2.3.</w:t>
      </w:r>
    </w:p>
    <w:p w:rsidR="004F47BB" w:rsidRPr="004F47BB" w:rsidRDefault="004F47BB" w:rsidP="004F47BB">
      <w:pPr>
        <w:spacing w:line="240" w:lineRule="atLeast"/>
        <w:ind w:left="567" w:firstLine="0"/>
        <w:rPr>
          <w:noProof/>
        </w:rPr>
      </w:pPr>
      <w:r>
        <w:t>La stessa procedura vale per qualunque ulteriore allegato (pagine 13 ter, 13 quater, ecc.).</w:t>
      </w:r>
    </w:p>
    <w:p w:rsidR="004F47BB" w:rsidRPr="004F47BB" w:rsidRDefault="004F47BB" w:rsidP="004F47BB">
      <w:pPr>
        <w:spacing w:line="240" w:lineRule="atLeast"/>
        <w:ind w:left="567" w:firstLine="0"/>
        <w:rPr>
          <w:noProof/>
        </w:rPr>
      </w:pPr>
      <w:r>
        <w:br w:type="page"/>
      </w:r>
    </w:p>
    <w:p w:rsidR="004F47BB" w:rsidRPr="004F47BB" w:rsidRDefault="004F47BB" w:rsidP="004F47BB">
      <w:pPr>
        <w:spacing w:line="240" w:lineRule="atLeast"/>
        <w:ind w:left="567" w:hanging="567"/>
        <w:rPr>
          <w:rFonts w:cs="Arial"/>
          <w:b/>
          <w:noProof/>
          <w:color w:val="000000"/>
          <w:szCs w:val="20"/>
        </w:rPr>
      </w:pPr>
      <w:r>
        <w:rPr>
          <w:b/>
          <w:noProof/>
          <w:color w:val="000000"/>
        </w:rPr>
        <w:lastRenderedPageBreak/>
        <w:t>4.</w:t>
      </w:r>
      <w:r>
        <w:tab/>
      </w:r>
      <w:r>
        <w:rPr>
          <w:b/>
          <w:noProof/>
          <w:color w:val="000000"/>
        </w:rPr>
        <w:t>Spiegazione delle singole rubriche</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Nel prosieguo non si descrivono le rubriche perfettamente chiare, che non richiedono ulteriori spiegazioni.</w:t>
      </w:r>
    </w:p>
    <w:p w:rsidR="004F47BB" w:rsidRPr="004F47BB" w:rsidRDefault="004F47BB" w:rsidP="004F47BB">
      <w:pPr>
        <w:spacing w:line="240" w:lineRule="atLeast"/>
        <w:ind w:left="567" w:firstLine="0"/>
        <w:rPr>
          <w:noProof/>
        </w:rPr>
      </w:pPr>
    </w:p>
    <w:p w:rsidR="004F47BB" w:rsidRPr="004F47BB" w:rsidRDefault="004F47BB" w:rsidP="004F47BB">
      <w:pPr>
        <w:tabs>
          <w:tab w:val="left" w:pos="567"/>
          <w:tab w:val="left" w:pos="1418"/>
        </w:tabs>
        <w:autoSpaceDE/>
        <w:autoSpaceDN/>
        <w:spacing w:line="240" w:lineRule="atLeast"/>
        <w:ind w:left="1418" w:hanging="851"/>
        <w:rPr>
          <w:noProof/>
        </w:rPr>
      </w:pPr>
      <w:r>
        <w:t>2.</w:t>
      </w:r>
      <w:r>
        <w:tab/>
        <w:t>Ove del caso, inserire i termini definiti nell'articolo 1.01 dell'allegato II. Possono essere indicati altri tipi di nave utilizzando la loro designazione comunemente accettata.</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3.</w:t>
      </w:r>
      <w:r>
        <w:tab/>
        <w:t>Quando il certificato per la navigazione interna viene prorogato, si cancellano tanto la dicitura "numero ufficiale" quanto il numero corrispondente e, in caso di modifica, si inseriscono la dicitura "3. Numero unico europeo di identificazione delle navi" e il numero corrispondente.</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10.</w:t>
      </w:r>
      <w:r>
        <w:tab/>
        <w:t>Per quanto riguarda le navi con certificato dell'Unione di navigazione interna autorizzate a navigare sul Reno, vale a dire</w:t>
      </w:r>
    </w:p>
    <w:p w:rsidR="004F47BB" w:rsidRPr="004F47BB" w:rsidRDefault="004F47BB" w:rsidP="004F47BB">
      <w:pPr>
        <w:tabs>
          <w:tab w:val="left" w:pos="1843"/>
        </w:tabs>
        <w:autoSpaceDE/>
        <w:autoSpaceDN/>
        <w:spacing w:before="60" w:line="240" w:lineRule="atLeast"/>
        <w:ind w:left="1843"/>
        <w:rPr>
          <w:noProof/>
        </w:rPr>
      </w:pPr>
      <w:r>
        <w:t>a)</w:t>
      </w:r>
      <w:r>
        <w:tab/>
        <w:t>quelle pienamente conformi ai requisiti della presente norma, incluse le disposizioni transitorie per il capo 32; e</w:t>
      </w:r>
    </w:p>
    <w:p w:rsidR="004F47BB" w:rsidRPr="004F47BB" w:rsidRDefault="004F47BB" w:rsidP="004F47BB">
      <w:pPr>
        <w:tabs>
          <w:tab w:val="left" w:pos="1843"/>
        </w:tabs>
        <w:autoSpaceDE/>
        <w:autoSpaceDN/>
        <w:spacing w:before="60" w:line="240" w:lineRule="atLeast"/>
        <w:ind w:left="1843"/>
        <w:rPr>
          <w:noProof/>
        </w:rPr>
      </w:pPr>
      <w:r>
        <w:t>b)</w:t>
      </w:r>
      <w:r>
        <w:tab/>
        <w:t>quelle che non si avvalgono delle disposizioni transitorie del capo 33 o delle riduzioni previste per la zona 4,</w:t>
      </w:r>
    </w:p>
    <w:p w:rsidR="004F47BB" w:rsidRPr="004F47BB" w:rsidRDefault="004F47BB" w:rsidP="004F47BB">
      <w:pPr>
        <w:tabs>
          <w:tab w:val="left" w:pos="1843"/>
        </w:tabs>
        <w:autoSpaceDE/>
        <w:autoSpaceDN/>
        <w:spacing w:before="60" w:line="240" w:lineRule="atLeast"/>
        <w:ind w:left="1843"/>
        <w:rPr>
          <w:noProof/>
        </w:rPr>
      </w:pPr>
      <w:r>
        <w:t>viene aggiunto quanto segue al trattino "- sulle vie navigabili dell'Unione nella/e zona/e":</w:t>
      </w:r>
    </w:p>
    <w:p w:rsidR="004F47BB" w:rsidRPr="00762086" w:rsidRDefault="004F47BB" w:rsidP="004F47BB">
      <w:pPr>
        <w:tabs>
          <w:tab w:val="left" w:pos="1843"/>
        </w:tabs>
        <w:autoSpaceDE/>
        <w:autoSpaceDN/>
        <w:spacing w:before="60" w:line="240" w:lineRule="atLeast"/>
        <w:ind w:left="1843"/>
        <w:rPr>
          <w:noProof/>
          <w:lang w:val="pt-PT"/>
        </w:rPr>
      </w:pPr>
      <w:r w:rsidRPr="00762086">
        <w:rPr>
          <w:lang w:val="pt-PT"/>
        </w:rPr>
        <w:t>a)</w:t>
      </w:r>
      <w:r w:rsidRPr="00762086">
        <w:rPr>
          <w:lang w:val="pt-PT"/>
        </w:rPr>
        <w:tab/>
        <w:t xml:space="preserve">Reno; o </w:t>
      </w:r>
    </w:p>
    <w:p w:rsidR="004F47BB" w:rsidRPr="00762086" w:rsidRDefault="004F47BB" w:rsidP="004F47BB">
      <w:pPr>
        <w:tabs>
          <w:tab w:val="left" w:pos="1843"/>
        </w:tabs>
        <w:autoSpaceDE/>
        <w:autoSpaceDN/>
        <w:spacing w:before="60" w:line="240" w:lineRule="atLeast"/>
        <w:ind w:left="1843"/>
        <w:rPr>
          <w:noProof/>
          <w:lang w:val="pt-PT"/>
        </w:rPr>
      </w:pPr>
      <w:r w:rsidRPr="00762086">
        <w:rPr>
          <w:lang w:val="pt-PT"/>
        </w:rPr>
        <w:t>b)</w:t>
      </w:r>
      <w:r w:rsidRPr="00762086">
        <w:rPr>
          <w:lang w:val="pt-PT"/>
        </w:rPr>
        <w:tab/>
        <w:t>zona R.</w:t>
      </w:r>
    </w:p>
    <w:p w:rsidR="004F47BB" w:rsidRPr="00762086" w:rsidRDefault="004F47BB" w:rsidP="004F47BB">
      <w:pPr>
        <w:tabs>
          <w:tab w:val="left" w:pos="1843"/>
        </w:tabs>
        <w:autoSpaceDE/>
        <w:autoSpaceDN/>
        <w:spacing w:line="240" w:lineRule="atLeast"/>
        <w:ind w:left="1843"/>
        <w:rPr>
          <w:noProof/>
          <w:lang w:val="pt-PT"/>
        </w:rPr>
      </w:pPr>
    </w:p>
    <w:p w:rsidR="004F47BB" w:rsidRPr="004F47BB" w:rsidRDefault="004F47BB" w:rsidP="004F47BB">
      <w:pPr>
        <w:tabs>
          <w:tab w:val="left" w:pos="567"/>
          <w:tab w:val="left" w:pos="1418"/>
        </w:tabs>
        <w:autoSpaceDE/>
        <w:autoSpaceDN/>
        <w:spacing w:line="240" w:lineRule="atLeast"/>
        <w:ind w:left="1418" w:hanging="851"/>
      </w:pPr>
      <w:r>
        <w:t>12.</w:t>
      </w:r>
      <w:r>
        <w:tab/>
        <w:t>Quando il certificato per la navigazione interna viene prorogato, si cancella la dicitura "numero ufficiale" e, in caso di modifica, si inseriscono la dicitura "12. Numero unico europeo di identificazione delle navi" e il numero corrispondente.</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15.</w:t>
      </w:r>
      <w:r>
        <w:tab/>
        <w:t>Questa rubrica deve essere compilata unicamente nel caso di imbarcazioni per le quali almeno una delle proprietà 1.1 o 1.2 o 3 della rubrica 14 non sia cancellata, altrimenti cancellare l'intera tabella.</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15.1</w:t>
      </w:r>
      <w:r>
        <w:tab/>
        <w:t xml:space="preserve">Nella colonna </w:t>
      </w:r>
      <w:r w:rsidR="00BF7908">
        <w:t>"</w:t>
      </w:r>
      <w:r>
        <w:t>Schizzo della formazione</w:t>
      </w:r>
      <w:r w:rsidR="00BF7908">
        <w:t>"</w:t>
      </w:r>
      <w:r>
        <w:t xml:space="preserve"> della tabella, riportare uno o più numeri corrispondenti alle formazioni raffigurate. Barrare le righe non compilate.</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1418"/>
        </w:tabs>
        <w:autoSpaceDE/>
        <w:autoSpaceDN/>
        <w:spacing w:line="240" w:lineRule="atLeast"/>
        <w:ind w:left="1418" w:firstLine="0"/>
        <w:rPr>
          <w:noProof/>
        </w:rPr>
      </w:pPr>
      <w:r>
        <w:t xml:space="preserve">È inoltre possibile disegnare altre formazioni sotto </w:t>
      </w:r>
      <w:r w:rsidR="00BF7908">
        <w:t>"</w:t>
      </w:r>
      <w:r>
        <w:t>Altre formazioni</w:t>
      </w:r>
      <w:r w:rsidR="00BF7908">
        <w:t>"</w:t>
      </w:r>
      <w:r>
        <w:t xml:space="preserve"> contrassegnandole con i numeri 18, 19, 20, ecc.</w:t>
      </w:r>
    </w:p>
    <w:p w:rsidR="004F47BB" w:rsidRPr="004F47BB" w:rsidRDefault="004F47BB" w:rsidP="004F47BB">
      <w:pPr>
        <w:tabs>
          <w:tab w:val="left" w:pos="1418"/>
        </w:tabs>
        <w:autoSpaceDE/>
        <w:autoSpaceDN/>
        <w:spacing w:line="240" w:lineRule="atLeast"/>
        <w:ind w:left="1418" w:firstLine="0"/>
        <w:rPr>
          <w:noProof/>
        </w:rPr>
      </w:pPr>
    </w:p>
    <w:p w:rsidR="004F47BB" w:rsidRPr="004F47BB" w:rsidRDefault="004F47BB" w:rsidP="004F47BB">
      <w:pPr>
        <w:tabs>
          <w:tab w:val="left" w:pos="1418"/>
        </w:tabs>
        <w:autoSpaceDE/>
        <w:autoSpaceDN/>
        <w:spacing w:line="240" w:lineRule="atLeast"/>
        <w:ind w:left="1418" w:firstLine="0"/>
        <w:rPr>
          <w:noProof/>
        </w:rPr>
      </w:pPr>
      <w:r>
        <w:t xml:space="preserve">Se dalla proprietà "Idonea a spingere" del precedente certificato della nave non emerge chiaramente quali formazioni siano autorizzate, le informazioni riportate nel precedente certificato per la navigazione interna possono essere riportate nella rubrica 52. In tal caso, annotare nella riga 1 della tabella </w:t>
      </w:r>
      <w:r w:rsidR="00BF7908">
        <w:t>"</w:t>
      </w:r>
      <w:r>
        <w:t>Formazioni ammesse</w:t>
      </w:r>
      <w:r w:rsidR="00BF7908">
        <w:t>"</w:t>
      </w:r>
      <w:r>
        <w:t xml:space="preserve"> la frase </w:t>
      </w:r>
      <w:r w:rsidR="00BF7908">
        <w:t>"</w:t>
      </w:r>
      <w:r>
        <w:t>Cfr. rubrica 52</w:t>
      </w:r>
      <w:r w:rsidR="00BF7908">
        <w:t>"</w:t>
      </w:r>
      <w:r>
        <w:t>.</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15.2</w:t>
      </w:r>
      <w:r>
        <w:tab/>
        <w:t>Accoppiamenti</w:t>
      </w:r>
    </w:p>
    <w:p w:rsidR="004F47BB" w:rsidRPr="004F47BB" w:rsidRDefault="004F47BB" w:rsidP="004F47BB">
      <w:pPr>
        <w:tabs>
          <w:tab w:val="left" w:pos="1418"/>
        </w:tabs>
        <w:autoSpaceDE/>
        <w:autoSpaceDN/>
        <w:spacing w:line="240" w:lineRule="atLeast"/>
        <w:ind w:left="1418" w:firstLine="0"/>
        <w:rPr>
          <w:noProof/>
        </w:rPr>
      </w:pPr>
    </w:p>
    <w:p w:rsidR="004F47BB" w:rsidRPr="004F47BB" w:rsidRDefault="004F47BB" w:rsidP="004F47BB">
      <w:pPr>
        <w:tabs>
          <w:tab w:val="left" w:pos="1418"/>
        </w:tabs>
        <w:autoSpaceDE/>
        <w:autoSpaceDN/>
        <w:spacing w:line="240" w:lineRule="atLeast"/>
        <w:ind w:left="1418" w:firstLine="0"/>
        <w:rPr>
          <w:noProof/>
        </w:rPr>
      </w:pPr>
      <w:r>
        <w:t>Indicare unicamente i dettagli dell'accoppiamento tra l'imbarcazione adibita a spintore e la sezione spinta del convoglio.</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17-20.</w:t>
      </w:r>
      <w:r>
        <w:tab/>
        <w:t xml:space="preserve">Dettagli riportati nel certificato di stazza alle rubriche 17-19 (due decimali) e 20 (senza decimali). La lunghezza fuori tutto e la larghezza fuori tutto forniscono le dimensioni massime dell'imbarcazione comprese tutte le parti fisse sporgenti. La lunghezza </w:t>
      </w:r>
      <m:oMath>
        <m:r>
          <w:rPr>
            <w:rFonts w:ascii="Cambria Math" w:hAnsi="Cambria Math"/>
            <w:noProof/>
          </w:rPr>
          <m:t>L</m:t>
        </m:r>
      </m:oMath>
      <w:r>
        <w:t xml:space="preserve"> e la larghezza </w:t>
      </w:r>
      <m:oMath>
        <m:r>
          <w:rPr>
            <w:rFonts w:ascii="Cambria Math" w:hAnsi="Cambria Math"/>
            <w:noProof/>
          </w:rPr>
          <m:t>B</m:t>
        </m:r>
      </m:oMath>
      <w:r>
        <w:t xml:space="preserve"> indicano le massime dimensioni dello scafo (cfr. anche l'articolo 1.01 "Definizioni").</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br w:type="page"/>
      </w:r>
    </w:p>
    <w:p w:rsidR="004F47BB" w:rsidRPr="004F47BB" w:rsidRDefault="004F47BB" w:rsidP="004F47BB">
      <w:pPr>
        <w:tabs>
          <w:tab w:val="left" w:pos="567"/>
          <w:tab w:val="left" w:pos="1418"/>
        </w:tabs>
        <w:autoSpaceDE/>
        <w:autoSpaceDN/>
        <w:spacing w:line="240" w:lineRule="atLeast"/>
        <w:ind w:left="1418" w:hanging="851"/>
        <w:rPr>
          <w:noProof/>
        </w:rPr>
      </w:pPr>
      <w:r>
        <w:lastRenderedPageBreak/>
        <w:t>21.</w:t>
      </w:r>
      <w:r>
        <w:tab/>
        <w:t>Portata lorda in t per navi adibite al trasporto di merci secondo il certificato di stazza per il massimo pescaggio secondo la rubrica 19.</w:t>
      </w:r>
    </w:p>
    <w:p w:rsidR="004F47BB" w:rsidRPr="004F47BB" w:rsidRDefault="004F47BB" w:rsidP="004F47BB">
      <w:pPr>
        <w:tabs>
          <w:tab w:val="left" w:pos="1418"/>
        </w:tabs>
        <w:autoSpaceDE/>
        <w:autoSpaceDN/>
        <w:spacing w:line="240" w:lineRule="atLeast"/>
        <w:ind w:left="1418" w:firstLine="0"/>
        <w:rPr>
          <w:noProof/>
        </w:rPr>
      </w:pPr>
    </w:p>
    <w:p w:rsidR="004F47BB" w:rsidRPr="004F47BB" w:rsidRDefault="004F47BB" w:rsidP="004F47BB">
      <w:pPr>
        <w:tabs>
          <w:tab w:val="left" w:pos="1418"/>
        </w:tabs>
        <w:autoSpaceDE/>
        <w:autoSpaceDN/>
        <w:spacing w:line="240" w:lineRule="atLeast"/>
        <w:ind w:left="1418" w:firstLine="0"/>
        <w:rPr>
          <w:noProof/>
        </w:rPr>
      </w:pPr>
      <w:r>
        <w:t>Dislocamento in m</w:t>
      </w:r>
      <w:r>
        <w:rPr>
          <w:noProof/>
          <w:vertAlign w:val="superscript"/>
        </w:rPr>
        <w:t>3</w:t>
      </w:r>
      <w:r>
        <w:t xml:space="preserve"> per tutte le altre imbarcazioni. Se non è disponibile un certificato di stazza, calcolare il dislocamento dal prodotto tra il coefficiente di finezza totale e la lunghezza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t xml:space="preserve">, la larghezza </w:t>
      </w:r>
      <m:oMath>
        <m:sSub>
          <m:sSubPr>
            <m:ctrlPr>
              <w:rPr>
                <w:rFonts w:ascii="Cambria Math" w:hAnsi="Cambria Math" w:cs="Arial"/>
                <w:i/>
                <w:noProof/>
                <w:sz w:val="18"/>
                <w:szCs w:val="18"/>
              </w:rPr>
            </m:ctrlPr>
          </m:sSubPr>
          <m:e>
            <m:r>
              <w:rPr>
                <w:rFonts w:ascii="Cambria Math" w:hAnsi="Cambria Math" w:cs="Arial"/>
                <w:noProof/>
                <w:sz w:val="18"/>
                <w:szCs w:val="18"/>
              </w:rPr>
              <m:t>B</m:t>
            </m:r>
          </m:e>
          <m:sub>
            <m:r>
              <w:rPr>
                <w:rFonts w:ascii="Cambria Math" w:hAnsi="Cambria Math" w:cs="Arial"/>
                <w:noProof/>
                <w:sz w:val="18"/>
                <w:szCs w:val="18"/>
              </w:rPr>
              <m:t>WL</m:t>
            </m:r>
          </m:sub>
        </m:sSub>
      </m:oMath>
      <w:r>
        <w:t xml:space="preserve"> e il pescaggio medio alla massima immersione.</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23.</w:t>
      </w:r>
      <w:r>
        <w:tab/>
        <w:t>Numero di cuccette passeggeri disponibili (compresi letti pieghevoli e affini).</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24.</w:t>
      </w:r>
      <w:r>
        <w:tab/>
        <w:t>Considerare soltanto le paratie trasversali stagne che vanno da una murata all'altra della nave.</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26.</w:t>
      </w:r>
      <w:r>
        <w:tab/>
        <w:t>Ove del caso, utilizzare la seguente terminologia:</w:t>
      </w:r>
    </w:p>
    <w:p w:rsidR="004F47BB" w:rsidRPr="004F47BB" w:rsidRDefault="004F47BB" w:rsidP="004F47BB">
      <w:pPr>
        <w:tabs>
          <w:tab w:val="left" w:pos="1843"/>
        </w:tabs>
        <w:spacing w:before="60" w:line="240" w:lineRule="atLeast"/>
        <w:ind w:left="1843"/>
        <w:rPr>
          <w:noProof/>
        </w:rPr>
      </w:pPr>
      <w:r>
        <w:t>-</w:t>
      </w:r>
      <w:r>
        <w:tab/>
        <w:t>coperchi di boccaporto ad azionamento manuale,</w:t>
      </w:r>
    </w:p>
    <w:p w:rsidR="004F47BB" w:rsidRPr="004F47BB" w:rsidRDefault="004F47BB" w:rsidP="004F47BB">
      <w:pPr>
        <w:tabs>
          <w:tab w:val="left" w:pos="1843"/>
        </w:tabs>
        <w:spacing w:before="60" w:line="240" w:lineRule="atLeast"/>
        <w:ind w:left="1843"/>
        <w:rPr>
          <w:noProof/>
        </w:rPr>
      </w:pPr>
      <w:r>
        <w:t>-</w:t>
      </w:r>
      <w:r>
        <w:tab/>
        <w:t>coperchi di boccaporto avvolgibili ad azionamento manuale,</w:t>
      </w:r>
    </w:p>
    <w:p w:rsidR="004F47BB" w:rsidRPr="004F47BB" w:rsidRDefault="004F47BB" w:rsidP="004F47BB">
      <w:pPr>
        <w:tabs>
          <w:tab w:val="left" w:pos="1843"/>
        </w:tabs>
        <w:spacing w:before="60" w:line="240" w:lineRule="atLeast"/>
        <w:ind w:left="1843"/>
        <w:rPr>
          <w:noProof/>
        </w:rPr>
      </w:pPr>
      <w:r>
        <w:t>-</w:t>
      </w:r>
      <w:r>
        <w:tab/>
        <w:t>coperchi di boccaporto scorrevoli ad azionamento manuale,</w:t>
      </w:r>
    </w:p>
    <w:p w:rsidR="004F47BB" w:rsidRPr="004F47BB" w:rsidRDefault="004F47BB" w:rsidP="004F47BB">
      <w:pPr>
        <w:tabs>
          <w:tab w:val="left" w:pos="1843"/>
        </w:tabs>
        <w:spacing w:before="60" w:line="240" w:lineRule="atLeast"/>
        <w:ind w:left="1843"/>
        <w:rPr>
          <w:noProof/>
        </w:rPr>
      </w:pPr>
      <w:r>
        <w:t>-</w:t>
      </w:r>
      <w:r>
        <w:tab/>
        <w:t>coperchi di boccaporto scorrevoli ad azionamento meccanico,</w:t>
      </w:r>
    </w:p>
    <w:p w:rsidR="004F47BB" w:rsidRPr="004F47BB" w:rsidRDefault="004F47BB" w:rsidP="004F47BB">
      <w:pPr>
        <w:tabs>
          <w:tab w:val="left" w:pos="1843"/>
        </w:tabs>
        <w:spacing w:before="60" w:line="240" w:lineRule="atLeast"/>
        <w:ind w:left="1843"/>
        <w:rPr>
          <w:noProof/>
        </w:rPr>
      </w:pPr>
      <w:r>
        <w:t>-</w:t>
      </w:r>
      <w:r>
        <w:tab/>
        <w:t>coperchi di boccaporto ad azionamento meccanico.</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1418"/>
        </w:tabs>
        <w:autoSpaceDE/>
        <w:autoSpaceDN/>
        <w:spacing w:line="240" w:lineRule="atLeast"/>
        <w:ind w:left="1418" w:firstLine="0"/>
        <w:rPr>
          <w:noProof/>
        </w:rPr>
      </w:pPr>
      <w:r>
        <w:t>Altri tipi di coperchi di boccaporto possono essere immessi utilizzando la loro designazione comunemente accettata.</w:t>
      </w:r>
    </w:p>
    <w:p w:rsidR="004F47BB" w:rsidRPr="004F47BB" w:rsidRDefault="004F47BB" w:rsidP="004F47BB">
      <w:pPr>
        <w:tabs>
          <w:tab w:val="left" w:pos="1418"/>
        </w:tabs>
        <w:autoSpaceDE/>
        <w:autoSpaceDN/>
        <w:spacing w:line="240" w:lineRule="atLeast"/>
        <w:ind w:left="1418" w:firstLine="0"/>
        <w:rPr>
          <w:noProof/>
        </w:rPr>
      </w:pPr>
    </w:p>
    <w:p w:rsidR="004F47BB" w:rsidRPr="004F47BB" w:rsidRDefault="004F47BB" w:rsidP="004F47BB">
      <w:pPr>
        <w:tabs>
          <w:tab w:val="left" w:pos="1418"/>
        </w:tabs>
        <w:autoSpaceDE/>
        <w:autoSpaceDN/>
        <w:spacing w:line="240" w:lineRule="atLeast"/>
        <w:ind w:left="1418" w:firstLine="0"/>
        <w:rPr>
          <w:noProof/>
        </w:rPr>
      </w:pPr>
      <w:r>
        <w:t>Segnalare eventuali stive senza coperchi di boccaporto (ad esempio, nella rubrica 52).</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28.</w:t>
      </w:r>
      <w:r>
        <w:tab/>
        <w:t>Numero senza decimali.</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 xml:space="preserve">30, 31 </w:t>
      </w:r>
    </w:p>
    <w:p w:rsidR="004F47BB" w:rsidRPr="004F47BB" w:rsidRDefault="004F47BB" w:rsidP="004F47BB">
      <w:pPr>
        <w:tabs>
          <w:tab w:val="left" w:pos="567"/>
          <w:tab w:val="left" w:pos="1418"/>
        </w:tabs>
        <w:autoSpaceDE/>
        <w:autoSpaceDN/>
        <w:spacing w:line="240" w:lineRule="atLeast"/>
        <w:ind w:left="1418" w:hanging="851"/>
        <w:rPr>
          <w:noProof/>
        </w:rPr>
      </w:pPr>
      <w:r>
        <w:t>e 33.</w:t>
      </w:r>
      <w:r>
        <w:tab/>
        <w:t>Ogni alloggiamento per verricello conta come un verricello, indipendentemente da numero di ancore o cavi di traino a esso collegati.</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34.</w:t>
      </w:r>
      <w:r>
        <w:tab/>
        <w:t xml:space="preserve">Nella sezione </w:t>
      </w:r>
      <w:r w:rsidR="00BF7908">
        <w:t>"</w:t>
      </w:r>
      <w:r>
        <w:t>Altri impianti</w:t>
      </w:r>
      <w:r w:rsidR="00BF7908">
        <w:t>"</w:t>
      </w:r>
      <w:r>
        <w:t xml:space="preserve"> riportare i sistemi che non utilizzano pale del timone (ad esempio, sistemi elica-timone, sistemi a propulsori cicloidali, sistemi di timoni amovibili di prua).</w:t>
      </w:r>
    </w:p>
    <w:p w:rsidR="004F47BB" w:rsidRPr="004F47BB" w:rsidRDefault="004F47BB" w:rsidP="004F47BB">
      <w:pPr>
        <w:tabs>
          <w:tab w:val="left" w:pos="1418"/>
        </w:tabs>
        <w:autoSpaceDE/>
        <w:autoSpaceDN/>
        <w:spacing w:line="240" w:lineRule="atLeast"/>
        <w:ind w:left="1418" w:firstLine="0"/>
        <w:rPr>
          <w:noProof/>
        </w:rPr>
      </w:pPr>
      <w:r>
        <w:t>Specificare altresì eventuali motori ausiliari elettrici per comando manuale.</w:t>
      </w:r>
    </w:p>
    <w:p w:rsidR="004F47BB" w:rsidRPr="004F47BB" w:rsidRDefault="004F47BB" w:rsidP="004F47BB">
      <w:pPr>
        <w:tabs>
          <w:tab w:val="left" w:pos="1418"/>
        </w:tabs>
        <w:autoSpaceDE/>
        <w:autoSpaceDN/>
        <w:spacing w:line="240" w:lineRule="atLeast"/>
        <w:ind w:left="1418" w:firstLine="0"/>
        <w:rPr>
          <w:noProof/>
        </w:rPr>
      </w:pPr>
      <w:r>
        <w:t>Nel caso dei sistemi di timoni amovibili di prua, l'espressione "Comando a distanza" si riferisce unicamente ai controlli a distanza azionati dal posto di pilotaggio nella timoneria.</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35.</w:t>
      </w:r>
      <w:r>
        <w:tab/>
        <w:t>Indicare unicamente i valori teorici di cui all'articolo 8.08, paragrafi 2 e 3, all'articolo 19.01, paragrafo 1, lettera c), e all'articolo 19.08, paragrafo 5. Per le imbarcazioni le cui chiglie sono state impostate l'1.4.1976 o anteriormente a tale data, la prima sezione va compilata soltanto nel caso in cui le pompe di sentina vengano sostituite e nel caso in cui il certificato per la navigazione interna venga prorogato dopo l'1.1.2015. Per le imbarcazioni le cui chiglie sono state impostate il 31.12.1984 o anteriormente a tale data e che operano soltanto al di fuori dalla zona R, questa sezione può essere lasciata vuota.</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36.</w:t>
      </w:r>
      <w:r>
        <w:tab/>
        <w:t>Per maggiore chiarezza si può utilizzare uno schizzo.</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37.</w:t>
      </w:r>
      <w:r>
        <w:tab/>
        <w:t>Indicare unicamente i valori teorici senza la riduzione di cui all'articolo 13.01, paragrafi da 1 a 4.</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br w:type="page"/>
      </w:r>
    </w:p>
    <w:p w:rsidR="004F47BB" w:rsidRPr="004F47BB" w:rsidRDefault="004F47BB" w:rsidP="004F47BB">
      <w:pPr>
        <w:tabs>
          <w:tab w:val="left" w:pos="567"/>
          <w:tab w:val="left" w:pos="1418"/>
        </w:tabs>
        <w:autoSpaceDE/>
        <w:autoSpaceDN/>
        <w:spacing w:line="240" w:lineRule="atLeast"/>
        <w:ind w:left="1418" w:hanging="851"/>
        <w:rPr>
          <w:noProof/>
        </w:rPr>
      </w:pPr>
      <w:r>
        <w:lastRenderedPageBreak/>
        <w:t>38.</w:t>
      </w:r>
      <w:r>
        <w:tab/>
        <w:t>Indicare unicamente i valori minimi di lunghezza di cui all'articolo 13.01, paragrafo 10 e il carico di rottura minimo di cui all'articolo 13.01, paragrafo 11.</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 xml:space="preserve">39. </w:t>
      </w:r>
    </w:p>
    <w:p w:rsidR="004F47BB" w:rsidRPr="004F47BB" w:rsidRDefault="004F47BB" w:rsidP="004F47BB">
      <w:pPr>
        <w:tabs>
          <w:tab w:val="left" w:pos="567"/>
          <w:tab w:val="left" w:pos="1418"/>
        </w:tabs>
        <w:autoSpaceDE/>
        <w:autoSpaceDN/>
        <w:spacing w:line="240" w:lineRule="atLeast"/>
        <w:ind w:left="1418" w:hanging="851"/>
        <w:rPr>
          <w:noProof/>
        </w:rPr>
      </w:pPr>
      <w:r>
        <w:t>e 40.</w:t>
      </w:r>
      <w:r>
        <w:tab/>
        <w:t>Indicare unicamente i valori minimi di lunghezza e carico di rottura ricalcolati secondo l'articolo 13.02, paragrafo 3.</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42.</w:t>
      </w:r>
      <w:r>
        <w:tab/>
        <w:t>La commissione di ispezione può aggiungere altri elementi all'elenco delle dotazioni necessarie. Deve tuttavia motivarne la necessità ai fini della sicurezza della nave tenuto conto del tipo di nave specifico e della sua area operativa. Tali aggiunte devono essere riportate nella rubrica 52.</w:t>
      </w:r>
    </w:p>
    <w:p w:rsidR="004F47BB" w:rsidRPr="004F47BB" w:rsidRDefault="004F47BB" w:rsidP="004F47BB">
      <w:pPr>
        <w:tabs>
          <w:tab w:val="left" w:pos="1418"/>
        </w:tabs>
        <w:autoSpaceDE/>
        <w:autoSpaceDN/>
        <w:spacing w:line="240" w:lineRule="atLeast"/>
        <w:ind w:left="1418" w:firstLine="0"/>
        <w:rPr>
          <w:noProof/>
        </w:rPr>
      </w:pPr>
    </w:p>
    <w:p w:rsidR="004F47BB" w:rsidRPr="004F47BB" w:rsidRDefault="004F47BB" w:rsidP="004F47BB">
      <w:pPr>
        <w:tabs>
          <w:tab w:val="left" w:pos="1418"/>
        </w:tabs>
        <w:autoSpaceDE/>
        <w:autoSpaceDN/>
        <w:spacing w:line="240" w:lineRule="atLeast"/>
        <w:ind w:left="1418" w:firstLine="0"/>
        <w:rPr>
          <w:noProof/>
        </w:rPr>
      </w:pPr>
      <w:r>
        <w:t>Colonna sinistra, righe da 3 a 5: per le navi da passeggeri barrare la prima voce, mentre per tutti gli altri tipi di navi barrare la seconda. La lunghezza della passerella deve essere inserita se la commissione di ispezione ha consentito una lunghezza inferiore a quella prevista dall'articolo 13.02, paragrafo 3, lettera d) o dall'articolo 19.06, paragrafo 12.</w:t>
      </w:r>
    </w:p>
    <w:p w:rsidR="004F47BB" w:rsidRPr="004F47BB" w:rsidRDefault="004F47BB" w:rsidP="004F47BB">
      <w:pPr>
        <w:tabs>
          <w:tab w:val="left" w:pos="1418"/>
        </w:tabs>
        <w:autoSpaceDE/>
        <w:autoSpaceDN/>
        <w:spacing w:line="240" w:lineRule="atLeast"/>
        <w:ind w:left="1418" w:firstLine="0"/>
        <w:rPr>
          <w:noProof/>
        </w:rPr>
      </w:pPr>
    </w:p>
    <w:p w:rsidR="004F47BB" w:rsidRPr="004F47BB" w:rsidRDefault="004F47BB" w:rsidP="004F47BB">
      <w:pPr>
        <w:tabs>
          <w:tab w:val="left" w:pos="1418"/>
        </w:tabs>
        <w:autoSpaceDE/>
        <w:autoSpaceDN/>
        <w:spacing w:line="240" w:lineRule="atLeast"/>
        <w:ind w:left="1418" w:firstLine="0"/>
        <w:rPr>
          <w:noProof/>
        </w:rPr>
      </w:pPr>
      <w:r>
        <w:t>Colonna sinistra, riga 7: indicare qui il numero delle cassette di pronto soccorso prescritte dall'articolo 13.02, paragrafo 3, lettera f) e dall'articolo 19.08, paragrafo 9.</w:t>
      </w:r>
    </w:p>
    <w:p w:rsidR="004F47BB" w:rsidRPr="004F47BB" w:rsidRDefault="004F47BB" w:rsidP="004F47BB">
      <w:pPr>
        <w:tabs>
          <w:tab w:val="left" w:pos="1418"/>
        </w:tabs>
        <w:autoSpaceDE/>
        <w:autoSpaceDN/>
        <w:spacing w:line="240" w:lineRule="atLeast"/>
        <w:ind w:left="1418" w:firstLine="0"/>
        <w:rPr>
          <w:noProof/>
        </w:rPr>
      </w:pPr>
    </w:p>
    <w:p w:rsidR="004F47BB" w:rsidRPr="004F47BB" w:rsidRDefault="004F47BB" w:rsidP="004F47BB">
      <w:pPr>
        <w:tabs>
          <w:tab w:val="left" w:pos="1418"/>
        </w:tabs>
        <w:autoSpaceDE/>
        <w:autoSpaceDN/>
        <w:spacing w:line="240" w:lineRule="atLeast"/>
        <w:ind w:left="1418" w:firstLine="0"/>
        <w:rPr>
          <w:noProof/>
        </w:rPr>
      </w:pPr>
      <w:r>
        <w:t>Colonna sinistra, riga 11: indicare qui il numero dei recipienti resistenti al fuoco prescritti dall'articolo 13.02, paragrafo 2.</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43.</w:t>
      </w:r>
      <w:r>
        <w:tab/>
        <w:t>In questo punto non sono inclusi gli estintori portatili richiesti da altre norme di sicurezza, ad esempio un regolamento.</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adjustRightInd w:val="0"/>
        <w:ind w:left="1418" w:hanging="851"/>
        <w:rPr>
          <w:rFonts w:cs="Arial"/>
          <w:szCs w:val="20"/>
        </w:rPr>
      </w:pPr>
      <w:r>
        <w:t>44.</w:t>
      </w:r>
      <w:r>
        <w:tab/>
        <w:t>Riga 3: nei certificati di nave di navigazione interna che devono essere rinnovati anteriormente all'1.1.2025 (capo 33), barrare la rubrica "conformemente all'articolo 13.08, paragrafo 2" se a bordo non sono presenti giubbotti di salvataggio conformi a questa norma.</w:t>
      </w:r>
    </w:p>
    <w:p w:rsidR="004F47BB" w:rsidRPr="004F47BB" w:rsidRDefault="004F47BB" w:rsidP="004F47BB">
      <w:pPr>
        <w:adjustRightInd w:val="0"/>
        <w:ind w:left="1134" w:hanging="283"/>
        <w:rPr>
          <w:rFonts w:cs="Arial"/>
          <w:szCs w:val="20"/>
        </w:rPr>
      </w:pPr>
    </w:p>
    <w:p w:rsidR="004F47BB" w:rsidRPr="004F47BB" w:rsidRDefault="004F47BB" w:rsidP="004F47BB">
      <w:pPr>
        <w:adjustRightInd w:val="0"/>
        <w:ind w:left="1418" w:firstLine="0"/>
        <w:rPr>
          <w:rFonts w:cs="Arial"/>
          <w:szCs w:val="20"/>
        </w:rPr>
      </w:pPr>
      <w:r>
        <w:t xml:space="preserve">Riga 4: nei certificati di nave di navigazione interna che devono essere rinnovati posteriormente all'1.1.2015, o se a bordo è imbarcata una nuova lancia, oppure per imbarcazioni di nuova costruzione, cancellare i termini "dotata di un paio di remi, una </w:t>
      </w:r>
      <w:r>
        <w:rPr>
          <w:sz w:val="18"/>
        </w:rPr>
        <w:t>cima d'ormeggio</w:t>
      </w:r>
      <w:r>
        <w:t>, una sassola". Nei certificati di nave di navigazione interna che devono essere rinnovati posteriormente all'1.1.2030 (capo 33) e in assenza di una lancia conforme alla presente norma, cancellare i termini "conformemente alla norma EN 1914:2016". Nel certificato per la navigazione interna da rinnovare anteriormente all'1.9.2036, se è dimostrata la conformità alla norma EN 1994:1997, è possibile barrare "2016".</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46.</w:t>
      </w:r>
      <w:r>
        <w:tab/>
        <w:t>Di norma, non è possibile prevedere un funzionamento continuo se mancano cuccette o i livelli di rumore sono eccessivi.</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50.</w:t>
      </w:r>
      <w:r>
        <w:tab/>
        <w:t>L'esperto deve firmare unicamente se ha compilato personalmente la pagina 11.</w:t>
      </w:r>
    </w:p>
    <w:p w:rsidR="004F47BB" w:rsidRPr="004F47BB" w:rsidRDefault="004F47BB" w:rsidP="004F47BB">
      <w:pPr>
        <w:tabs>
          <w:tab w:val="left" w:pos="567"/>
          <w:tab w:val="left" w:pos="1418"/>
        </w:tabs>
        <w:autoSpaceDE/>
        <w:autoSpaceDN/>
        <w:spacing w:line="240" w:lineRule="atLeast"/>
        <w:ind w:left="1418" w:hanging="851"/>
        <w:rPr>
          <w:noProof/>
        </w:rPr>
      </w:pPr>
    </w:p>
    <w:p w:rsidR="004F47BB" w:rsidRPr="004F47BB" w:rsidRDefault="004F47BB" w:rsidP="004F47BB">
      <w:pPr>
        <w:tabs>
          <w:tab w:val="left" w:pos="567"/>
          <w:tab w:val="left" w:pos="1418"/>
        </w:tabs>
        <w:autoSpaceDE/>
        <w:autoSpaceDN/>
        <w:spacing w:line="240" w:lineRule="atLeast"/>
        <w:ind w:left="1418" w:hanging="851"/>
        <w:rPr>
          <w:noProof/>
        </w:rPr>
      </w:pPr>
      <w:r>
        <w:t>52.</w:t>
      </w:r>
      <w:r>
        <w:tab/>
        <w:t>In questa rubrica è possibile indicare ulteriori restrizioni, esenzioni e spiegazioni, o analoghe informazioni, riferite alle varie rubriche compilate.</w:t>
      </w:r>
    </w:p>
    <w:p w:rsidR="004F47BB" w:rsidRPr="004F47BB" w:rsidRDefault="004F47BB" w:rsidP="004F47BB">
      <w:pPr>
        <w:spacing w:line="240" w:lineRule="atLeast"/>
        <w:ind w:left="567" w:hanging="567"/>
        <w:rPr>
          <w:rFonts w:cs="Arial"/>
          <w:b/>
          <w:noProof/>
          <w:color w:val="000000"/>
          <w:szCs w:val="20"/>
        </w:rPr>
      </w:pPr>
    </w:p>
    <w:p w:rsidR="004F47BB" w:rsidRPr="004F47BB" w:rsidRDefault="004F47BB" w:rsidP="004F47BB">
      <w:pPr>
        <w:spacing w:line="240" w:lineRule="atLeast"/>
        <w:ind w:left="567" w:hanging="567"/>
        <w:rPr>
          <w:rFonts w:cs="Arial"/>
          <w:b/>
          <w:noProof/>
          <w:color w:val="000000"/>
          <w:szCs w:val="20"/>
        </w:rPr>
      </w:pPr>
      <w:r>
        <w:br w:type="page"/>
      </w:r>
    </w:p>
    <w:p w:rsidR="004F47BB" w:rsidRPr="004F47BB" w:rsidRDefault="004F47BB" w:rsidP="004F47BB">
      <w:pPr>
        <w:spacing w:line="240" w:lineRule="atLeast"/>
        <w:ind w:left="567" w:hanging="567"/>
        <w:rPr>
          <w:rFonts w:cs="Arial"/>
          <w:b/>
          <w:noProof/>
          <w:color w:val="000000"/>
          <w:szCs w:val="20"/>
        </w:rPr>
      </w:pPr>
      <w:r>
        <w:rPr>
          <w:b/>
          <w:noProof/>
          <w:color w:val="000000"/>
        </w:rPr>
        <w:lastRenderedPageBreak/>
        <w:t>5.</w:t>
      </w:r>
      <w:r>
        <w:tab/>
      </w:r>
      <w:r>
        <w:rPr>
          <w:b/>
          <w:noProof/>
          <w:color w:val="000000"/>
        </w:rPr>
        <w:t>Disposizioni transitorie per i certificati di nave di navigazione interna dell'Unione</w:t>
      </w:r>
    </w:p>
    <w:p w:rsidR="004F47BB" w:rsidRPr="004F47BB" w:rsidRDefault="004F47BB" w:rsidP="004F47BB">
      <w:pPr>
        <w:spacing w:line="240" w:lineRule="atLeast"/>
        <w:ind w:left="567" w:hanging="567"/>
        <w:rPr>
          <w:rFonts w:cs="Arial"/>
          <w:b/>
          <w:noProof/>
          <w:color w:val="000000"/>
          <w:szCs w:val="20"/>
        </w:rPr>
      </w:pPr>
    </w:p>
    <w:p w:rsidR="004F47BB" w:rsidRPr="004F47BB" w:rsidRDefault="004F47BB" w:rsidP="004F47BB">
      <w:pPr>
        <w:spacing w:line="240" w:lineRule="atLeast"/>
        <w:ind w:left="567" w:hanging="567"/>
        <w:rPr>
          <w:rFonts w:cs="Arial"/>
          <w:b/>
          <w:noProof/>
          <w:color w:val="000000"/>
          <w:szCs w:val="20"/>
        </w:rPr>
      </w:pPr>
      <w:r>
        <w:rPr>
          <w:b/>
          <w:noProof/>
          <w:color w:val="000000"/>
        </w:rPr>
        <w:t>5.1</w:t>
      </w:r>
      <w:r>
        <w:tab/>
      </w:r>
      <w:r>
        <w:rPr>
          <w:b/>
          <w:noProof/>
          <w:color w:val="000000"/>
        </w:rPr>
        <w:t>Certificati comunitari esistenti</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Fatta salva la proroga eccezionale di 6 mesi, non sono concesse ulteriori proroghe di certificati comunitari esistenti.</w:t>
      </w:r>
    </w:p>
    <w:p w:rsidR="004F47BB" w:rsidRPr="004F47BB" w:rsidRDefault="004F47BB" w:rsidP="004F47BB">
      <w:pPr>
        <w:spacing w:line="240" w:lineRule="atLeast"/>
        <w:ind w:left="567" w:hanging="567"/>
        <w:rPr>
          <w:rFonts w:cs="Arial"/>
          <w:b/>
          <w:noProof/>
          <w:color w:val="000000"/>
          <w:szCs w:val="20"/>
        </w:rPr>
      </w:pPr>
    </w:p>
    <w:p w:rsidR="004F47BB" w:rsidRPr="004F47BB" w:rsidRDefault="004F47BB" w:rsidP="004F47BB">
      <w:pPr>
        <w:spacing w:line="240" w:lineRule="atLeast"/>
        <w:ind w:left="567" w:hanging="567"/>
        <w:rPr>
          <w:rFonts w:cs="Arial"/>
          <w:b/>
          <w:noProof/>
          <w:color w:val="000000"/>
          <w:szCs w:val="20"/>
        </w:rPr>
      </w:pPr>
      <w:r>
        <w:rPr>
          <w:b/>
          <w:noProof/>
          <w:color w:val="000000"/>
        </w:rPr>
        <w:t>5.2</w:t>
      </w:r>
      <w:r>
        <w:tab/>
      </w:r>
      <w:r>
        <w:rPr>
          <w:b/>
          <w:noProof/>
          <w:color w:val="000000"/>
        </w:rPr>
        <w:t>Sostituzione dopo un'ispezione periodica</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Un tale certificato viene rilasciato dopo un'ispezione periodica di una nave che non disponga di un certificato per la navigazione interna dell'Unione conforme al modello di cui all'allegato 4.</w:t>
      </w:r>
    </w:p>
    <w:p w:rsidR="004F47BB" w:rsidRPr="004F47BB" w:rsidRDefault="004F47BB" w:rsidP="004F47BB">
      <w:pPr>
        <w:spacing w:line="240" w:lineRule="atLeast"/>
        <w:rPr>
          <w:rFonts w:ascii="Times New Roman" w:hAnsi="Times New Roman"/>
          <w:sz w:val="24"/>
        </w:rPr>
      </w:pPr>
    </w:p>
    <w:p w:rsidR="004F47BB" w:rsidRPr="004F47BB" w:rsidRDefault="004F47BB" w:rsidP="004F47BB">
      <w:pPr>
        <w:jc w:val="center"/>
        <w:rPr>
          <w:rFonts w:cs="Arial"/>
          <w:szCs w:val="20"/>
        </w:rPr>
      </w:pPr>
    </w:p>
    <w:p w:rsidR="004F47BB" w:rsidRPr="004F47BB" w:rsidRDefault="004F47BB" w:rsidP="004F47BB">
      <w:pPr>
        <w:jc w:val="center"/>
        <w:rPr>
          <w:rFonts w:cs="Arial"/>
          <w:szCs w:val="20"/>
        </w:rPr>
      </w:pPr>
    </w:p>
    <w:p w:rsidR="004F47BB" w:rsidRPr="004F47BB" w:rsidRDefault="004F47BB" w:rsidP="004F47BB">
      <w:pPr>
        <w:jc w:val="center"/>
        <w:rPr>
          <w:rFonts w:cs="Arial"/>
          <w:szCs w:val="20"/>
        </w:rPr>
      </w:pPr>
    </w:p>
    <w:p w:rsidR="004F47BB" w:rsidRPr="004F47BB" w:rsidRDefault="004F47BB" w:rsidP="004F47BB">
      <w:pPr>
        <w:jc w:val="center"/>
        <w:rPr>
          <w:rFonts w:cs="Arial"/>
          <w:szCs w:val="20"/>
        </w:rPr>
      </w:pPr>
    </w:p>
    <w:p w:rsidR="004F47BB" w:rsidRPr="004F47BB" w:rsidRDefault="004F47BB" w:rsidP="004F47BB">
      <w:pPr>
        <w:overflowPunct w:val="0"/>
        <w:adjustRightInd w:val="0"/>
        <w:spacing w:line="240" w:lineRule="exact"/>
        <w:ind w:left="0" w:firstLine="0"/>
        <w:textAlignment w:val="baseline"/>
        <w:rPr>
          <w:rFonts w:eastAsia="Calibri"/>
          <w:i/>
          <w:szCs w:val="20"/>
        </w:rPr>
        <w:sectPr w:rsidR="004F47BB" w:rsidRPr="004F47BB" w:rsidSect="00D45887">
          <w:headerReference w:type="default" r:id="rId110"/>
          <w:headerReference w:type="first" r:id="rId111"/>
          <w:footerReference w:type="first" r:id="rId112"/>
          <w:pgSz w:w="11907" w:h="16840" w:code="9"/>
          <w:pgMar w:top="1418" w:right="1418" w:bottom="1418" w:left="1418" w:header="680" w:footer="680" w:gutter="0"/>
          <w:cols w:space="720"/>
          <w:noEndnote/>
          <w:titlePg/>
        </w:sectPr>
      </w:pPr>
    </w:p>
    <w:p w:rsidR="004F47BB" w:rsidRPr="004F47BB" w:rsidRDefault="004F47BB" w:rsidP="00A84512">
      <w:pPr>
        <w:pStyle w:val="ES-Titre2ESI"/>
        <w:rPr>
          <w:snapToGrid w:val="0"/>
        </w:rPr>
      </w:pPr>
      <w:bookmarkStart w:id="731" w:name="_Toc491854348"/>
      <w:bookmarkStart w:id="732" w:name="_Toc535500297"/>
      <w:r>
        <w:lastRenderedPageBreak/>
        <w:t>ESI-I-2</w:t>
      </w:r>
      <w:r>
        <w:br/>
        <w:t>Esperti e persone competenti</w:t>
      </w:r>
      <w:bookmarkEnd w:id="731"/>
      <w:bookmarkEnd w:id="732"/>
    </w:p>
    <w:p w:rsidR="004F47BB" w:rsidRPr="004F47BB" w:rsidRDefault="004F47BB" w:rsidP="00A84512">
      <w:pPr>
        <w:pStyle w:val="ESch"/>
        <w:rPr>
          <w:snapToGrid w:val="0"/>
        </w:rPr>
      </w:pPr>
    </w:p>
    <w:p w:rsidR="004F47BB" w:rsidRPr="004F47BB" w:rsidRDefault="004F47BB" w:rsidP="004F47BB">
      <w:pPr>
        <w:suppressAutoHyphens/>
        <w:autoSpaceDE/>
        <w:autoSpaceDN/>
        <w:ind w:left="0" w:firstLine="0"/>
        <w:jc w:val="center"/>
        <w:rPr>
          <w:rFonts w:cs="Arial"/>
          <w:b/>
          <w:snapToGrid w:val="0"/>
        </w:rPr>
      </w:pPr>
      <w:r>
        <w:rPr>
          <w:b/>
          <w:noProof/>
          <w:snapToGrid w:val="0"/>
        </w:rPr>
        <w:t>(Articolo 1.01, 10.3 e 10.4)</w:t>
      </w:r>
    </w:p>
    <w:p w:rsidR="004F47BB" w:rsidRPr="004F47BB" w:rsidRDefault="004F47BB" w:rsidP="004F47BB">
      <w:pPr>
        <w:tabs>
          <w:tab w:val="left" w:pos="425"/>
        </w:tabs>
        <w:suppressAutoHyphens/>
        <w:autoSpaceDE/>
        <w:autoSpaceDN/>
        <w:spacing w:line="240" w:lineRule="atLeast"/>
        <w:rPr>
          <w:rFonts w:cs="Arial"/>
          <w:snapToGrid w:val="0"/>
        </w:rPr>
      </w:pPr>
    </w:p>
    <w:p w:rsidR="004F47BB" w:rsidRPr="004F47BB" w:rsidRDefault="004F47BB" w:rsidP="004F47BB">
      <w:pPr>
        <w:spacing w:line="240" w:lineRule="atLeast"/>
        <w:ind w:left="567" w:hanging="567"/>
        <w:rPr>
          <w:b/>
          <w:noProof/>
        </w:rPr>
      </w:pPr>
      <w:r>
        <w:rPr>
          <w:b/>
          <w:noProof/>
        </w:rPr>
        <w:t>Esperti</w:t>
      </w:r>
    </w:p>
    <w:p w:rsidR="004F47BB" w:rsidRPr="004F47BB" w:rsidRDefault="004F47BB" w:rsidP="004F47BB">
      <w:pPr>
        <w:spacing w:line="240" w:lineRule="atLeast"/>
        <w:ind w:left="0" w:firstLine="0"/>
        <w:rPr>
          <w:noProof/>
        </w:rPr>
      </w:pPr>
    </w:p>
    <w:p w:rsidR="004F47BB" w:rsidRPr="004F47BB" w:rsidRDefault="004F47BB" w:rsidP="004F47BB">
      <w:pPr>
        <w:spacing w:line="240" w:lineRule="atLeast"/>
        <w:ind w:left="0" w:firstLine="0"/>
        <w:rPr>
          <w:noProof/>
        </w:rPr>
      </w:pPr>
      <w:r>
        <w:t xml:space="preserve">Sono necessari degli esperti per eseguire i collaudi che comportano conoscenze specialistiche vuoi per la complessità dei sistemi vuoi per il livello di sicurezza richiesto. Tra i soggetti autorizzati ad eseguire tali collaudi figurano le seguenti persone o istituzioni: </w:t>
      </w:r>
    </w:p>
    <w:p w:rsidR="004F47BB" w:rsidRPr="004F47BB" w:rsidRDefault="004F47BB" w:rsidP="004F47BB">
      <w:pPr>
        <w:spacing w:before="60" w:line="240" w:lineRule="atLeast"/>
        <w:ind w:left="426" w:hanging="426"/>
        <w:rPr>
          <w:noProof/>
        </w:rPr>
      </w:pPr>
      <w:r>
        <w:t>-</w:t>
      </w:r>
      <w:r>
        <w:tab/>
        <w:t>gli organismi di classificazione che dispongono delle necessarie conoscenze interne o che hanno la responsabilità, in base all'autorizzazione ricevuta, di ricorrere a personale o istituzioni esterni e possiedono i sistemi di controllo della qualità necessari per selezionare tali persone o istituzioni;</w:t>
      </w:r>
    </w:p>
    <w:p w:rsidR="004F47BB" w:rsidRPr="004F47BB" w:rsidRDefault="004F47BB" w:rsidP="004F47BB">
      <w:pPr>
        <w:spacing w:before="60" w:line="240" w:lineRule="atLeast"/>
        <w:ind w:left="426" w:hanging="426"/>
        <w:rPr>
          <w:noProof/>
        </w:rPr>
      </w:pPr>
      <w:r>
        <w:t>-</w:t>
      </w:r>
      <w:r>
        <w:tab/>
        <w:t>i membri delle commissioni di ispezione o i dipendenti delle autorità pertinenti;</w:t>
      </w:r>
    </w:p>
    <w:p w:rsidR="004F47BB" w:rsidRPr="004F47BB" w:rsidRDefault="004F47BB" w:rsidP="004F47BB">
      <w:pPr>
        <w:spacing w:before="60" w:line="240" w:lineRule="atLeast"/>
        <w:ind w:left="426" w:hanging="426"/>
        <w:rPr>
          <w:noProof/>
        </w:rPr>
      </w:pPr>
      <w:r>
        <w:t>-</w:t>
      </w:r>
      <w:r>
        <w:tab/>
        <w:t>persone o istituzioni ufficialmente autorizzate in possesso delle conoscenze riconosciute ai fini della portata dell'autorizzazione nel settore pertinente, quando gli organismi di ispezione delle navi possono anche rilasciare tale autorizzazione nella loro capacità di agenzie pubbliche, idealmente sulla base di un sistema di garanzia della qualità. Si considera inoltre autorizzata una persona o un’istituzione che ha superato una procedura di selezione ufficiale che esamina in modo specifico il possesso delle conoscenze e dell’esperienza richieste.</w:t>
      </w:r>
    </w:p>
    <w:p w:rsidR="004F47BB" w:rsidRPr="004F47BB" w:rsidRDefault="004F47BB" w:rsidP="004F47BB">
      <w:pPr>
        <w:spacing w:line="240" w:lineRule="atLeast"/>
        <w:ind w:left="567" w:hanging="567"/>
        <w:rPr>
          <w:noProof/>
        </w:rPr>
      </w:pPr>
    </w:p>
    <w:p w:rsidR="004F47BB" w:rsidRPr="004F47BB" w:rsidRDefault="004F47BB" w:rsidP="004F47BB">
      <w:pPr>
        <w:tabs>
          <w:tab w:val="left" w:pos="1418"/>
        </w:tabs>
        <w:autoSpaceDE/>
        <w:autoSpaceDN/>
        <w:spacing w:line="240" w:lineRule="atLeast"/>
        <w:rPr>
          <w:rFonts w:cs="Arial"/>
          <w:b/>
          <w:color w:val="000000"/>
        </w:rPr>
      </w:pPr>
      <w:r>
        <w:rPr>
          <w:b/>
          <w:color w:val="000000"/>
        </w:rPr>
        <w:t>Esperto di imbarcazioni tradizionali</w:t>
      </w:r>
    </w:p>
    <w:p w:rsidR="004F47BB" w:rsidRPr="004F47BB" w:rsidRDefault="004F47BB" w:rsidP="004F47BB">
      <w:pPr>
        <w:spacing w:line="240" w:lineRule="atLeast"/>
        <w:ind w:left="567" w:hanging="567"/>
      </w:pPr>
    </w:p>
    <w:p w:rsidR="004F47BB" w:rsidRPr="004F47BB" w:rsidRDefault="004F47BB" w:rsidP="004F47BB">
      <w:pPr>
        <w:spacing w:line="240" w:lineRule="atLeast"/>
        <w:ind w:left="0" w:firstLine="0"/>
        <w:rPr>
          <w:noProof/>
        </w:rPr>
      </w:pPr>
      <w:r>
        <w:t>Una persona nominata dall'autorità competente o da un'istituzione autorizzata di uno Stato membro, che possiede conoscenze specifiche nel settore delle imbarcazioni tradizionali in ragione della sua formazione ed esperienza in materia e che ha familiarità con i requisiti tecnici e le norme pertinenti, anche del periodo dell'imbarcazione tradizionale.</w:t>
      </w:r>
    </w:p>
    <w:p w:rsidR="004F47BB" w:rsidRPr="004F47BB" w:rsidRDefault="004F47BB" w:rsidP="004F47BB">
      <w:pPr>
        <w:spacing w:line="240" w:lineRule="atLeast"/>
        <w:ind w:left="567" w:hanging="567"/>
        <w:rPr>
          <w:noProof/>
        </w:rPr>
      </w:pPr>
    </w:p>
    <w:p w:rsidR="004F47BB" w:rsidRPr="004F47BB" w:rsidRDefault="004F47BB" w:rsidP="004F47BB">
      <w:pPr>
        <w:spacing w:line="240" w:lineRule="atLeast"/>
        <w:ind w:left="567" w:hanging="567"/>
        <w:rPr>
          <w:b/>
          <w:noProof/>
        </w:rPr>
      </w:pPr>
      <w:r>
        <w:rPr>
          <w:b/>
          <w:noProof/>
        </w:rPr>
        <w:t>Persone competenti</w:t>
      </w:r>
    </w:p>
    <w:p w:rsidR="004F47BB" w:rsidRPr="004F47BB" w:rsidRDefault="004F47BB" w:rsidP="004F47BB">
      <w:pPr>
        <w:spacing w:line="240" w:lineRule="atLeast"/>
        <w:ind w:left="0" w:firstLine="0"/>
        <w:rPr>
          <w:noProof/>
        </w:rPr>
      </w:pPr>
    </w:p>
    <w:p w:rsidR="004F47BB" w:rsidRPr="004F47BB" w:rsidRDefault="004F47BB" w:rsidP="004F47BB">
      <w:pPr>
        <w:spacing w:line="240" w:lineRule="atLeast"/>
        <w:ind w:left="0" w:firstLine="0"/>
        <w:rPr>
          <w:noProof/>
        </w:rPr>
      </w:pPr>
      <w:r>
        <w:t>Sono necessarie delle persone competenti, ad esempio, per condurre ispezioni dirette e controlli del funzionamento periodici sugli impianti di sicurezza. I seguenti soggetti possono essere considerati persone competenti:</w:t>
      </w:r>
    </w:p>
    <w:p w:rsidR="004F47BB" w:rsidRPr="004F47BB" w:rsidRDefault="004F47BB" w:rsidP="004F47BB">
      <w:pPr>
        <w:spacing w:before="60" w:line="240" w:lineRule="atLeast"/>
        <w:ind w:left="426" w:hanging="426"/>
        <w:rPr>
          <w:noProof/>
        </w:rPr>
      </w:pPr>
      <w:r>
        <w:t>-</w:t>
      </w:r>
      <w:r>
        <w:tab/>
        <w:t>persone che, sulla base della loro formazione ed esperienza professionale, hanno conoscenze sufficienti per poter valutare situazioni e circostanze specifiche, ad esempio, comandanti, ufficiali di sicurezza delle compagnie di navigazione, membri dell'equipaggio con pertinente esperienza;</w:t>
      </w:r>
    </w:p>
    <w:p w:rsidR="004F47BB" w:rsidRPr="004F47BB" w:rsidRDefault="004F47BB" w:rsidP="004F47BB">
      <w:pPr>
        <w:spacing w:before="60" w:line="240" w:lineRule="atLeast"/>
        <w:ind w:left="426" w:hanging="426"/>
        <w:rPr>
          <w:noProof/>
        </w:rPr>
      </w:pPr>
      <w:r>
        <w:t>-</w:t>
      </w:r>
      <w:r>
        <w:tab/>
        <w:t>compagnie che hanno acquisito conoscenze specialistiche sufficienti sulla base del loro lavoro regolare, ad esempio cantieri o imprese di installazione;</w:t>
      </w:r>
    </w:p>
    <w:p w:rsidR="004F47BB" w:rsidRPr="004F47BB" w:rsidRDefault="004F47BB" w:rsidP="004F47BB">
      <w:pPr>
        <w:spacing w:before="60" w:line="240" w:lineRule="atLeast"/>
        <w:ind w:left="426" w:hanging="426"/>
        <w:rPr>
          <w:noProof/>
        </w:rPr>
      </w:pPr>
      <w:r>
        <w:t>-</w:t>
      </w:r>
      <w:r>
        <w:tab/>
        <w:t>costruttori di sistemi specifici (ad esempio sistemi antincendio, attrezzature di controllo).</w:t>
      </w:r>
    </w:p>
    <w:p w:rsidR="004F47BB" w:rsidRPr="004F47BB" w:rsidRDefault="004F47BB" w:rsidP="004F47BB">
      <w:pPr>
        <w:spacing w:line="240" w:lineRule="atLeast"/>
        <w:ind w:left="567" w:hanging="567"/>
        <w:rPr>
          <w:noProof/>
        </w:rPr>
      </w:pPr>
    </w:p>
    <w:p w:rsidR="004F47BB" w:rsidRPr="004F47BB" w:rsidRDefault="004F47BB" w:rsidP="004F47BB">
      <w:pPr>
        <w:spacing w:line="240" w:lineRule="atLeast"/>
        <w:ind w:left="567" w:hanging="567"/>
        <w:rPr>
          <w:b/>
          <w:noProof/>
        </w:rPr>
      </w:pPr>
      <w:r>
        <w:rPr>
          <w:b/>
          <w:noProof/>
        </w:rPr>
        <w:t>Terminologia</w:t>
      </w:r>
    </w:p>
    <w:p w:rsidR="004F47BB" w:rsidRPr="004F47BB" w:rsidRDefault="004F47BB" w:rsidP="004F47BB">
      <w:pPr>
        <w:spacing w:line="240" w:lineRule="atLeast"/>
        <w:ind w:left="567" w:hanging="567"/>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9"/>
        <w:gridCol w:w="1800"/>
        <w:gridCol w:w="1921"/>
        <w:gridCol w:w="1807"/>
      </w:tblGrid>
      <w:tr w:rsidR="004F47BB" w:rsidRPr="004F47BB" w:rsidTr="00D45887">
        <w:trPr>
          <w:jc w:val="center"/>
        </w:trPr>
        <w:tc>
          <w:tcPr>
            <w:tcW w:w="1859" w:type="dxa"/>
          </w:tcPr>
          <w:p w:rsidR="004F47BB" w:rsidRPr="004F47BB" w:rsidRDefault="004F47BB" w:rsidP="004F47BB">
            <w:pPr>
              <w:autoSpaceDE/>
              <w:autoSpaceDN/>
              <w:spacing w:before="120" w:after="120"/>
              <w:ind w:left="0" w:firstLine="0"/>
              <w:rPr>
                <w:rFonts w:cs="Arial"/>
                <w:noProof/>
                <w:sz w:val="18"/>
                <w:szCs w:val="20"/>
              </w:rPr>
            </w:pPr>
            <w:r>
              <w:rPr>
                <w:noProof/>
                <w:sz w:val="18"/>
              </w:rPr>
              <w:t>Tedesco</w:t>
            </w:r>
          </w:p>
        </w:tc>
        <w:tc>
          <w:tcPr>
            <w:tcW w:w="1800" w:type="dxa"/>
          </w:tcPr>
          <w:p w:rsidR="004F47BB" w:rsidRPr="004F47BB" w:rsidRDefault="004F47BB" w:rsidP="004F47BB">
            <w:pPr>
              <w:autoSpaceDE/>
              <w:autoSpaceDN/>
              <w:spacing w:before="120" w:after="120"/>
              <w:ind w:left="0" w:firstLine="0"/>
              <w:rPr>
                <w:rFonts w:cs="Arial"/>
                <w:noProof/>
                <w:sz w:val="18"/>
                <w:szCs w:val="20"/>
              </w:rPr>
            </w:pPr>
            <w:r>
              <w:rPr>
                <w:noProof/>
                <w:sz w:val="18"/>
              </w:rPr>
              <w:t>Inglese</w:t>
            </w:r>
          </w:p>
        </w:tc>
        <w:tc>
          <w:tcPr>
            <w:tcW w:w="1921" w:type="dxa"/>
          </w:tcPr>
          <w:p w:rsidR="004F47BB" w:rsidRPr="004F47BB" w:rsidRDefault="004F47BB" w:rsidP="004F47BB">
            <w:pPr>
              <w:autoSpaceDE/>
              <w:autoSpaceDN/>
              <w:spacing w:before="120" w:after="120"/>
              <w:ind w:left="0" w:firstLine="0"/>
              <w:rPr>
                <w:rFonts w:cs="Arial"/>
                <w:noProof/>
                <w:sz w:val="18"/>
                <w:szCs w:val="20"/>
              </w:rPr>
            </w:pPr>
            <w:r>
              <w:rPr>
                <w:noProof/>
                <w:sz w:val="18"/>
              </w:rPr>
              <w:t>Francese</w:t>
            </w:r>
          </w:p>
        </w:tc>
        <w:tc>
          <w:tcPr>
            <w:tcW w:w="1807" w:type="dxa"/>
          </w:tcPr>
          <w:p w:rsidR="004F47BB" w:rsidRPr="004F47BB" w:rsidRDefault="004F47BB" w:rsidP="004F47BB">
            <w:pPr>
              <w:autoSpaceDE/>
              <w:autoSpaceDN/>
              <w:spacing w:before="120" w:after="120"/>
              <w:ind w:left="0" w:firstLine="0"/>
              <w:rPr>
                <w:rFonts w:cs="Arial"/>
                <w:noProof/>
                <w:sz w:val="18"/>
                <w:szCs w:val="20"/>
              </w:rPr>
            </w:pPr>
            <w:r>
              <w:rPr>
                <w:noProof/>
                <w:sz w:val="18"/>
              </w:rPr>
              <w:t>Neerlandese</w:t>
            </w:r>
          </w:p>
        </w:tc>
      </w:tr>
      <w:tr w:rsidR="004F47BB" w:rsidRPr="004F47BB" w:rsidTr="00D45887">
        <w:trPr>
          <w:jc w:val="center"/>
        </w:trPr>
        <w:tc>
          <w:tcPr>
            <w:tcW w:w="1859" w:type="dxa"/>
          </w:tcPr>
          <w:p w:rsidR="004F47BB" w:rsidRPr="004F47BB" w:rsidRDefault="004F47BB" w:rsidP="004F47BB">
            <w:pPr>
              <w:autoSpaceDE/>
              <w:autoSpaceDN/>
              <w:spacing w:before="120" w:after="120"/>
              <w:ind w:left="0" w:firstLine="0"/>
              <w:rPr>
                <w:rFonts w:cs="Arial"/>
                <w:noProof/>
                <w:sz w:val="18"/>
                <w:szCs w:val="20"/>
              </w:rPr>
            </w:pPr>
            <w:r>
              <w:rPr>
                <w:noProof/>
                <w:sz w:val="18"/>
              </w:rPr>
              <w:t>Sachverständiger</w:t>
            </w:r>
          </w:p>
        </w:tc>
        <w:tc>
          <w:tcPr>
            <w:tcW w:w="1800" w:type="dxa"/>
          </w:tcPr>
          <w:p w:rsidR="004F47BB" w:rsidRPr="004F47BB" w:rsidRDefault="004F47BB" w:rsidP="004F47BB">
            <w:pPr>
              <w:autoSpaceDE/>
              <w:autoSpaceDN/>
              <w:spacing w:before="120" w:after="120"/>
              <w:ind w:left="0" w:firstLine="0"/>
              <w:rPr>
                <w:rFonts w:cs="Arial"/>
                <w:noProof/>
                <w:sz w:val="18"/>
                <w:szCs w:val="20"/>
              </w:rPr>
            </w:pPr>
            <w:r>
              <w:rPr>
                <w:noProof/>
                <w:sz w:val="18"/>
              </w:rPr>
              <w:t>expert</w:t>
            </w:r>
          </w:p>
        </w:tc>
        <w:tc>
          <w:tcPr>
            <w:tcW w:w="1921" w:type="dxa"/>
          </w:tcPr>
          <w:p w:rsidR="004F47BB" w:rsidRPr="004F47BB" w:rsidRDefault="004F47BB" w:rsidP="004F47BB">
            <w:pPr>
              <w:autoSpaceDE/>
              <w:autoSpaceDN/>
              <w:spacing w:before="120" w:after="120"/>
              <w:ind w:left="0" w:firstLine="0"/>
              <w:rPr>
                <w:rFonts w:cs="Arial"/>
                <w:noProof/>
                <w:sz w:val="18"/>
                <w:szCs w:val="20"/>
              </w:rPr>
            </w:pPr>
            <w:r>
              <w:rPr>
                <w:noProof/>
                <w:sz w:val="18"/>
              </w:rPr>
              <w:t>expert</w:t>
            </w:r>
          </w:p>
        </w:tc>
        <w:tc>
          <w:tcPr>
            <w:tcW w:w="1807" w:type="dxa"/>
          </w:tcPr>
          <w:p w:rsidR="004F47BB" w:rsidRPr="004F47BB" w:rsidRDefault="004F47BB" w:rsidP="004F47BB">
            <w:pPr>
              <w:autoSpaceDE/>
              <w:autoSpaceDN/>
              <w:spacing w:before="120" w:after="120"/>
              <w:ind w:left="0" w:firstLine="0"/>
              <w:rPr>
                <w:rFonts w:cs="Arial"/>
                <w:noProof/>
                <w:sz w:val="18"/>
                <w:szCs w:val="20"/>
              </w:rPr>
            </w:pPr>
            <w:r>
              <w:rPr>
                <w:noProof/>
                <w:sz w:val="18"/>
              </w:rPr>
              <w:t>erkend deskundige</w:t>
            </w:r>
          </w:p>
        </w:tc>
      </w:tr>
      <w:tr w:rsidR="004F47BB" w:rsidRPr="004F47BB" w:rsidTr="00D45887">
        <w:trPr>
          <w:jc w:val="center"/>
        </w:trPr>
        <w:tc>
          <w:tcPr>
            <w:tcW w:w="1859" w:type="dxa"/>
          </w:tcPr>
          <w:p w:rsidR="004F47BB" w:rsidRPr="004F47BB" w:rsidRDefault="004F47BB" w:rsidP="004F47BB">
            <w:pPr>
              <w:autoSpaceDE/>
              <w:autoSpaceDN/>
              <w:spacing w:before="120" w:after="120"/>
              <w:ind w:left="0" w:firstLine="0"/>
              <w:rPr>
                <w:rFonts w:cs="Arial"/>
                <w:noProof/>
                <w:sz w:val="18"/>
                <w:szCs w:val="20"/>
              </w:rPr>
            </w:pPr>
            <w:r>
              <w:rPr>
                <w:noProof/>
                <w:sz w:val="18"/>
              </w:rPr>
              <w:t>Sachkundiger</w:t>
            </w:r>
          </w:p>
        </w:tc>
        <w:tc>
          <w:tcPr>
            <w:tcW w:w="1800" w:type="dxa"/>
          </w:tcPr>
          <w:p w:rsidR="004F47BB" w:rsidRPr="004F47BB" w:rsidRDefault="004F47BB" w:rsidP="004F47BB">
            <w:pPr>
              <w:autoSpaceDE/>
              <w:autoSpaceDN/>
              <w:spacing w:before="120" w:after="120"/>
              <w:ind w:left="0" w:firstLine="0"/>
              <w:rPr>
                <w:rFonts w:cs="Arial"/>
                <w:noProof/>
                <w:sz w:val="18"/>
                <w:szCs w:val="20"/>
              </w:rPr>
            </w:pPr>
            <w:r>
              <w:rPr>
                <w:noProof/>
                <w:sz w:val="18"/>
              </w:rPr>
              <w:t>competent person</w:t>
            </w:r>
          </w:p>
        </w:tc>
        <w:tc>
          <w:tcPr>
            <w:tcW w:w="1921" w:type="dxa"/>
          </w:tcPr>
          <w:p w:rsidR="004F47BB" w:rsidRPr="004F47BB" w:rsidRDefault="004F47BB" w:rsidP="004F47BB">
            <w:pPr>
              <w:autoSpaceDE/>
              <w:autoSpaceDN/>
              <w:spacing w:before="120" w:after="120"/>
              <w:ind w:left="0" w:firstLine="0"/>
              <w:rPr>
                <w:rFonts w:cs="Arial"/>
                <w:noProof/>
                <w:sz w:val="18"/>
                <w:szCs w:val="20"/>
              </w:rPr>
            </w:pPr>
            <w:r>
              <w:rPr>
                <w:noProof/>
                <w:sz w:val="18"/>
              </w:rPr>
              <w:t>spécialiste</w:t>
            </w:r>
          </w:p>
        </w:tc>
        <w:tc>
          <w:tcPr>
            <w:tcW w:w="1807" w:type="dxa"/>
          </w:tcPr>
          <w:p w:rsidR="004F47BB" w:rsidRPr="004F47BB" w:rsidRDefault="004F47BB" w:rsidP="004F47BB">
            <w:pPr>
              <w:autoSpaceDE/>
              <w:autoSpaceDN/>
              <w:spacing w:before="120" w:after="120"/>
              <w:ind w:left="0" w:firstLine="0"/>
              <w:rPr>
                <w:rFonts w:cs="Arial"/>
                <w:noProof/>
                <w:sz w:val="18"/>
                <w:szCs w:val="20"/>
              </w:rPr>
            </w:pPr>
            <w:r>
              <w:rPr>
                <w:noProof/>
                <w:sz w:val="18"/>
              </w:rPr>
              <w:t>deskundige</w:t>
            </w:r>
          </w:p>
        </w:tc>
      </w:tr>
      <w:tr w:rsidR="004F47BB" w:rsidRPr="004F47BB" w:rsidTr="00D45887">
        <w:trPr>
          <w:jc w:val="center"/>
        </w:trPr>
        <w:tc>
          <w:tcPr>
            <w:tcW w:w="1859" w:type="dxa"/>
          </w:tcPr>
          <w:p w:rsidR="004F47BB" w:rsidRPr="004F47BB" w:rsidRDefault="004F47BB" w:rsidP="004F47BB">
            <w:pPr>
              <w:autoSpaceDE/>
              <w:autoSpaceDN/>
              <w:spacing w:before="120" w:after="120"/>
              <w:ind w:left="0" w:firstLine="0"/>
              <w:rPr>
                <w:rFonts w:cs="Arial"/>
                <w:noProof/>
                <w:sz w:val="18"/>
                <w:szCs w:val="20"/>
              </w:rPr>
            </w:pPr>
            <w:r>
              <w:rPr>
                <w:noProof/>
                <w:sz w:val="18"/>
              </w:rPr>
              <w:t>Fachfirma</w:t>
            </w:r>
          </w:p>
        </w:tc>
        <w:tc>
          <w:tcPr>
            <w:tcW w:w="1800" w:type="dxa"/>
          </w:tcPr>
          <w:p w:rsidR="004F47BB" w:rsidRPr="004F47BB" w:rsidRDefault="004F47BB" w:rsidP="004F47BB">
            <w:pPr>
              <w:autoSpaceDE/>
              <w:autoSpaceDN/>
              <w:spacing w:before="120" w:after="120"/>
              <w:ind w:left="0" w:firstLine="0"/>
              <w:rPr>
                <w:rFonts w:cs="Arial"/>
                <w:noProof/>
                <w:sz w:val="18"/>
                <w:szCs w:val="20"/>
              </w:rPr>
            </w:pPr>
            <w:r>
              <w:rPr>
                <w:noProof/>
                <w:sz w:val="18"/>
              </w:rPr>
              <w:t>competent firm</w:t>
            </w:r>
          </w:p>
        </w:tc>
        <w:tc>
          <w:tcPr>
            <w:tcW w:w="1921" w:type="dxa"/>
          </w:tcPr>
          <w:p w:rsidR="004F47BB" w:rsidRPr="004F47BB" w:rsidRDefault="004F47BB" w:rsidP="004F47BB">
            <w:pPr>
              <w:autoSpaceDE/>
              <w:autoSpaceDN/>
              <w:spacing w:before="120" w:after="120"/>
              <w:ind w:left="0" w:firstLine="0"/>
              <w:rPr>
                <w:rFonts w:cs="Arial"/>
                <w:noProof/>
                <w:sz w:val="18"/>
                <w:szCs w:val="20"/>
              </w:rPr>
            </w:pPr>
            <w:r>
              <w:rPr>
                <w:noProof/>
                <w:sz w:val="18"/>
              </w:rPr>
              <w:t>société spécialisée</w:t>
            </w:r>
          </w:p>
        </w:tc>
        <w:tc>
          <w:tcPr>
            <w:tcW w:w="1807" w:type="dxa"/>
          </w:tcPr>
          <w:p w:rsidR="004F47BB" w:rsidRPr="004F47BB" w:rsidRDefault="004F47BB" w:rsidP="004F47BB">
            <w:pPr>
              <w:autoSpaceDE/>
              <w:autoSpaceDN/>
              <w:spacing w:before="120" w:after="120"/>
              <w:ind w:left="0" w:firstLine="0"/>
              <w:rPr>
                <w:rFonts w:cs="Arial"/>
                <w:noProof/>
                <w:sz w:val="18"/>
                <w:szCs w:val="20"/>
              </w:rPr>
            </w:pPr>
            <w:r>
              <w:rPr>
                <w:noProof/>
                <w:sz w:val="18"/>
              </w:rPr>
              <w:t>deskundig bedrijf</w:t>
            </w:r>
          </w:p>
        </w:tc>
      </w:tr>
    </w:tbl>
    <w:p w:rsidR="004F47BB" w:rsidRPr="004F47BB" w:rsidRDefault="004F47BB" w:rsidP="004F47BB">
      <w:pPr>
        <w:spacing w:line="240" w:lineRule="atLeast"/>
        <w:ind w:left="567" w:hanging="567"/>
        <w:rPr>
          <w:noProof/>
        </w:rPr>
      </w:pPr>
    </w:p>
    <w:p w:rsidR="004F47BB" w:rsidRPr="004F47BB" w:rsidRDefault="004F47BB" w:rsidP="004F47BB">
      <w:pPr>
        <w:spacing w:line="240" w:lineRule="atLeast"/>
        <w:ind w:left="567" w:hanging="567"/>
        <w:rPr>
          <w:b/>
        </w:rPr>
      </w:pPr>
      <w:r>
        <w:br w:type="page"/>
      </w:r>
      <w:r>
        <w:rPr>
          <w:b/>
        </w:rPr>
        <w:lastRenderedPageBreak/>
        <w:t>Collaudi</w:t>
      </w:r>
    </w:p>
    <w:p w:rsidR="004F47BB" w:rsidRPr="004F47BB" w:rsidRDefault="004F47BB" w:rsidP="004F47BB">
      <w:pPr>
        <w:ind w:left="0" w:firstLine="0"/>
        <w:rPr>
          <w:noProof/>
          <w:sz w:val="12"/>
        </w:rPr>
      </w:pPr>
    </w:p>
    <w:p w:rsidR="004F47BB" w:rsidRPr="004F47BB" w:rsidRDefault="004F47BB" w:rsidP="004F47BB">
      <w:pPr>
        <w:spacing w:line="240" w:lineRule="atLeast"/>
        <w:ind w:left="0" w:firstLine="0"/>
        <w:rPr>
          <w:noProof/>
        </w:rPr>
      </w:pPr>
      <w:r>
        <w:t>La tabella che segue riassume il calendario dei collaudi, inclusa la frequenza e il tipo di ispettore richiesto per eseguirli. La presente tabella ha carattere esclusivamente informativo.</w:t>
      </w:r>
    </w:p>
    <w:p w:rsidR="004F47BB" w:rsidRPr="004F47BB" w:rsidRDefault="004F47BB" w:rsidP="004F47BB">
      <w:pPr>
        <w:ind w:left="0" w:firstLine="0"/>
        <w:rPr>
          <w:noProof/>
          <w:sz w:val="12"/>
        </w:rPr>
      </w:pPr>
    </w:p>
    <w:tbl>
      <w:tblPr>
        <w:tblW w:w="9118" w:type="dxa"/>
        <w:tblInd w:w="-10" w:type="dxa"/>
        <w:tblLayout w:type="fixed"/>
        <w:tblLook w:val="0000" w:firstRow="0" w:lastRow="0" w:firstColumn="0" w:lastColumn="0" w:noHBand="0" w:noVBand="0"/>
      </w:tblPr>
      <w:tblGrid>
        <w:gridCol w:w="1738"/>
        <w:gridCol w:w="3060"/>
        <w:gridCol w:w="2700"/>
        <w:gridCol w:w="1620"/>
      </w:tblGrid>
      <w:tr w:rsidR="004F47BB" w:rsidRPr="004F47BB" w:rsidTr="00D45887">
        <w:tc>
          <w:tcPr>
            <w:tcW w:w="1738" w:type="dxa"/>
            <w:tcBorders>
              <w:top w:val="single" w:sz="4" w:space="0" w:color="000000"/>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b/>
                <w:bCs/>
                <w:noProof/>
                <w:sz w:val="18"/>
                <w:szCs w:val="18"/>
              </w:rPr>
            </w:pPr>
            <w:r>
              <w:rPr>
                <w:b/>
                <w:noProof/>
                <w:sz w:val="18"/>
              </w:rPr>
              <w:t>Requisito</w:t>
            </w:r>
          </w:p>
        </w:tc>
        <w:tc>
          <w:tcPr>
            <w:tcW w:w="3060" w:type="dxa"/>
            <w:tcBorders>
              <w:top w:val="single" w:sz="4" w:space="0" w:color="000000"/>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b/>
                <w:bCs/>
                <w:noProof/>
                <w:sz w:val="18"/>
                <w:szCs w:val="18"/>
              </w:rPr>
            </w:pPr>
            <w:r>
              <w:rPr>
                <w:b/>
                <w:noProof/>
                <w:sz w:val="18"/>
              </w:rPr>
              <w:t>Oggetto</w:t>
            </w:r>
          </w:p>
        </w:tc>
        <w:tc>
          <w:tcPr>
            <w:tcW w:w="2700" w:type="dxa"/>
            <w:tcBorders>
              <w:top w:val="single" w:sz="4" w:space="0" w:color="000000"/>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b/>
                <w:bCs/>
                <w:noProof/>
                <w:sz w:val="18"/>
                <w:szCs w:val="18"/>
              </w:rPr>
            </w:pPr>
            <w:r>
              <w:rPr>
                <w:b/>
                <w:noProof/>
                <w:sz w:val="18"/>
              </w:rPr>
              <w:t>Intervallo massimo delle prove</w:t>
            </w: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b/>
                <w:bCs/>
                <w:noProof/>
                <w:sz w:val="18"/>
                <w:szCs w:val="18"/>
              </w:rPr>
            </w:pPr>
            <w:r>
              <w:rPr>
                <w:b/>
                <w:noProof/>
                <w:sz w:val="18"/>
              </w:rPr>
              <w:t>Ispettore</w:t>
            </w:r>
          </w:p>
        </w:tc>
      </w:tr>
      <w:tr w:rsidR="004F47BB" w:rsidRPr="004F47BB" w:rsidTr="00D45887">
        <w:tc>
          <w:tcPr>
            <w:tcW w:w="1738"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Articolo 6.03, paragrafo 5</w:t>
            </w:r>
          </w:p>
        </w:tc>
        <w:tc>
          <w:tcPr>
            <w:tcW w:w="306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Cilindri, pompe e motori idraulici</w:t>
            </w:r>
          </w:p>
        </w:tc>
        <w:tc>
          <w:tcPr>
            <w:tcW w:w="270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8 anni</w:t>
            </w:r>
          </w:p>
        </w:tc>
        <w:tc>
          <w:tcPr>
            <w:tcW w:w="1620" w:type="dxa"/>
            <w:tcBorders>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Impresa competente</w:t>
            </w:r>
          </w:p>
        </w:tc>
      </w:tr>
      <w:tr w:rsidR="004F47BB" w:rsidRPr="004F47BB" w:rsidTr="00D45887">
        <w:tc>
          <w:tcPr>
            <w:tcW w:w="1738"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Articolo 6.9, paragrafo 3</w:t>
            </w:r>
          </w:p>
        </w:tc>
        <w:tc>
          <w:tcPr>
            <w:tcW w:w="306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Sistema di controllo a motore</w:t>
            </w:r>
          </w:p>
        </w:tc>
        <w:tc>
          <w:tcPr>
            <w:tcW w:w="270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3 anni</w:t>
            </w:r>
          </w:p>
        </w:tc>
        <w:tc>
          <w:tcPr>
            <w:tcW w:w="1620" w:type="dxa"/>
            <w:tcBorders>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Persona competente</w:t>
            </w:r>
          </w:p>
        </w:tc>
      </w:tr>
      <w:tr w:rsidR="004F47BB" w:rsidRPr="004F47BB" w:rsidTr="00D45887">
        <w:tc>
          <w:tcPr>
            <w:tcW w:w="1738" w:type="dxa"/>
            <w:tcBorders>
              <w:left w:val="single" w:sz="4" w:space="0" w:color="000000"/>
              <w:bottom w:val="single" w:sz="4" w:space="0" w:color="000000"/>
            </w:tcBorders>
            <w:vAlign w:val="center"/>
          </w:tcPr>
          <w:p w:rsidR="004F47BB" w:rsidRPr="004F47BB" w:rsidRDefault="004F47BB" w:rsidP="004F47BB">
            <w:pPr>
              <w:spacing w:before="60" w:after="60" w:line="240" w:lineRule="atLeast"/>
              <w:jc w:val="center"/>
              <w:rPr>
                <w:rFonts w:cs="Arial"/>
                <w:sz w:val="18"/>
                <w:szCs w:val="18"/>
              </w:rPr>
            </w:pPr>
            <w:r>
              <w:rPr>
                <w:sz w:val="18"/>
              </w:rPr>
              <w:t>Articolo 7.12, paragrafo 11</w:t>
            </w:r>
          </w:p>
        </w:tc>
        <w:tc>
          <w:tcPr>
            <w:tcW w:w="3060" w:type="dxa"/>
            <w:tcBorders>
              <w:left w:val="single" w:sz="4" w:space="0" w:color="000000"/>
              <w:bottom w:val="single" w:sz="4" w:space="0" w:color="000000"/>
            </w:tcBorders>
            <w:vAlign w:val="center"/>
          </w:tcPr>
          <w:p w:rsidR="004F47BB" w:rsidRPr="004F47BB" w:rsidRDefault="004F47BB" w:rsidP="004F47BB">
            <w:pPr>
              <w:spacing w:before="60" w:after="60" w:line="240" w:lineRule="atLeast"/>
              <w:ind w:left="0" w:firstLine="0"/>
              <w:rPr>
                <w:rFonts w:cs="Arial"/>
                <w:sz w:val="18"/>
                <w:szCs w:val="18"/>
              </w:rPr>
            </w:pPr>
            <w:r>
              <w:rPr>
                <w:sz w:val="18"/>
              </w:rPr>
              <w:t>Timonerie elevabili e loro apparecchi</w:t>
            </w:r>
          </w:p>
        </w:tc>
        <w:tc>
          <w:tcPr>
            <w:tcW w:w="2700" w:type="dxa"/>
            <w:tcBorders>
              <w:left w:val="single" w:sz="4" w:space="0" w:color="000000"/>
              <w:bottom w:val="single" w:sz="4" w:space="0" w:color="000000"/>
            </w:tcBorders>
            <w:vAlign w:val="center"/>
          </w:tcPr>
          <w:p w:rsidR="004F47BB" w:rsidRPr="004F47BB" w:rsidRDefault="004F47BB" w:rsidP="004F47BB">
            <w:pPr>
              <w:spacing w:before="60" w:after="60" w:line="240" w:lineRule="atLeast"/>
              <w:jc w:val="center"/>
              <w:rPr>
                <w:rFonts w:cs="Arial"/>
                <w:sz w:val="18"/>
                <w:szCs w:val="18"/>
              </w:rPr>
            </w:pPr>
            <w:r>
              <w:rPr>
                <w:sz w:val="18"/>
              </w:rPr>
              <w:t>1 anno</w:t>
            </w:r>
          </w:p>
        </w:tc>
        <w:tc>
          <w:tcPr>
            <w:tcW w:w="1620" w:type="dxa"/>
            <w:tcBorders>
              <w:left w:val="single" w:sz="4" w:space="0" w:color="000000"/>
              <w:bottom w:val="single" w:sz="4" w:space="0" w:color="000000"/>
              <w:right w:val="single" w:sz="4" w:space="0" w:color="000000"/>
            </w:tcBorders>
            <w:vAlign w:val="center"/>
          </w:tcPr>
          <w:p w:rsidR="004F47BB" w:rsidRPr="004F47BB" w:rsidRDefault="004F47BB" w:rsidP="004F47BB">
            <w:pPr>
              <w:spacing w:before="60" w:after="60" w:line="240" w:lineRule="atLeast"/>
              <w:ind w:left="25" w:hanging="25"/>
              <w:jc w:val="center"/>
              <w:rPr>
                <w:rFonts w:cs="Arial"/>
                <w:sz w:val="18"/>
                <w:szCs w:val="18"/>
              </w:rPr>
            </w:pPr>
            <w:r>
              <w:rPr>
                <w:sz w:val="18"/>
              </w:rPr>
              <w:t>Persona competente</w:t>
            </w:r>
          </w:p>
        </w:tc>
      </w:tr>
      <w:tr w:rsidR="004F47BB" w:rsidRPr="004F47BB" w:rsidTr="00D45887">
        <w:tc>
          <w:tcPr>
            <w:tcW w:w="1738" w:type="dxa"/>
            <w:tcBorders>
              <w:left w:val="single" w:sz="4" w:space="0" w:color="000000"/>
              <w:bottom w:val="single" w:sz="4" w:space="0" w:color="000000"/>
            </w:tcBorders>
            <w:vAlign w:val="center"/>
          </w:tcPr>
          <w:p w:rsidR="004F47BB" w:rsidRPr="004F47BB" w:rsidRDefault="004F47BB" w:rsidP="004F47BB">
            <w:pPr>
              <w:spacing w:before="60" w:after="60" w:line="240" w:lineRule="atLeast"/>
              <w:jc w:val="center"/>
              <w:rPr>
                <w:rFonts w:cs="Arial"/>
                <w:sz w:val="18"/>
                <w:szCs w:val="18"/>
              </w:rPr>
            </w:pPr>
            <w:r>
              <w:rPr>
                <w:sz w:val="18"/>
              </w:rPr>
              <w:t>Articolo 7.12, paragrafo 12</w:t>
            </w:r>
          </w:p>
        </w:tc>
        <w:tc>
          <w:tcPr>
            <w:tcW w:w="3060" w:type="dxa"/>
            <w:tcBorders>
              <w:left w:val="single" w:sz="4" w:space="0" w:color="000000"/>
              <w:bottom w:val="single" w:sz="4" w:space="0" w:color="000000"/>
            </w:tcBorders>
            <w:vAlign w:val="center"/>
          </w:tcPr>
          <w:p w:rsidR="004F47BB" w:rsidRPr="004F47BB" w:rsidRDefault="004F47BB" w:rsidP="004F47BB">
            <w:pPr>
              <w:spacing w:before="60" w:after="60" w:line="240" w:lineRule="atLeast"/>
              <w:ind w:left="0" w:firstLine="0"/>
              <w:rPr>
                <w:rFonts w:cs="Arial"/>
                <w:sz w:val="18"/>
                <w:szCs w:val="18"/>
              </w:rPr>
            </w:pPr>
            <w:r>
              <w:rPr>
                <w:sz w:val="18"/>
              </w:rPr>
              <w:t>Timonerie elevabili e loro apparecchi</w:t>
            </w:r>
          </w:p>
        </w:tc>
        <w:tc>
          <w:tcPr>
            <w:tcW w:w="2700" w:type="dxa"/>
            <w:tcBorders>
              <w:left w:val="single" w:sz="4" w:space="0" w:color="000000"/>
              <w:bottom w:val="single" w:sz="4" w:space="0" w:color="000000"/>
            </w:tcBorders>
            <w:vAlign w:val="center"/>
          </w:tcPr>
          <w:p w:rsidR="004F47BB" w:rsidRPr="004F47BB" w:rsidRDefault="004F47BB" w:rsidP="004F47BB">
            <w:pPr>
              <w:spacing w:before="60" w:after="60" w:line="240" w:lineRule="atLeast"/>
              <w:jc w:val="center"/>
              <w:rPr>
                <w:rFonts w:cs="Arial"/>
                <w:sz w:val="18"/>
                <w:szCs w:val="18"/>
              </w:rPr>
            </w:pPr>
            <w:r>
              <w:rPr>
                <w:sz w:val="18"/>
              </w:rPr>
              <w:t>5 anni</w:t>
            </w:r>
          </w:p>
        </w:tc>
        <w:tc>
          <w:tcPr>
            <w:tcW w:w="1620" w:type="dxa"/>
            <w:tcBorders>
              <w:left w:val="single" w:sz="4" w:space="0" w:color="000000"/>
              <w:bottom w:val="single" w:sz="4" w:space="0" w:color="000000"/>
              <w:right w:val="single" w:sz="4" w:space="0" w:color="000000"/>
            </w:tcBorders>
            <w:vAlign w:val="center"/>
          </w:tcPr>
          <w:p w:rsidR="004F47BB" w:rsidRPr="004F47BB" w:rsidRDefault="004F47BB" w:rsidP="004F47BB">
            <w:pPr>
              <w:spacing w:before="60" w:after="60" w:line="240" w:lineRule="atLeast"/>
              <w:jc w:val="center"/>
              <w:rPr>
                <w:rFonts w:cs="Arial"/>
                <w:sz w:val="18"/>
                <w:szCs w:val="18"/>
              </w:rPr>
            </w:pPr>
            <w:r>
              <w:rPr>
                <w:sz w:val="18"/>
              </w:rPr>
              <w:t>Esperto</w:t>
            </w:r>
          </w:p>
        </w:tc>
      </w:tr>
      <w:tr w:rsidR="004F47BB" w:rsidRPr="004F47BB" w:rsidTr="00D45887">
        <w:trPr>
          <w:trHeight w:val="515"/>
        </w:trPr>
        <w:tc>
          <w:tcPr>
            <w:tcW w:w="1738"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Articolo 8.01, paragrafo 2</w:t>
            </w:r>
          </w:p>
        </w:tc>
        <w:tc>
          <w:tcPr>
            <w:tcW w:w="306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Recipienti a pressione</w:t>
            </w:r>
          </w:p>
        </w:tc>
        <w:tc>
          <w:tcPr>
            <w:tcW w:w="270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5 anni</w:t>
            </w:r>
          </w:p>
        </w:tc>
        <w:tc>
          <w:tcPr>
            <w:tcW w:w="1620" w:type="dxa"/>
            <w:tcBorders>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Esperto</w:t>
            </w:r>
          </w:p>
        </w:tc>
      </w:tr>
      <w:tr w:rsidR="004F47BB" w:rsidRPr="004F47BB" w:rsidTr="00D45887">
        <w:tc>
          <w:tcPr>
            <w:tcW w:w="1738"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Articolo 13.03, paragrafo 5</w:t>
            </w:r>
          </w:p>
        </w:tc>
        <w:tc>
          <w:tcPr>
            <w:tcW w:w="306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Estintori portatili</w:t>
            </w:r>
          </w:p>
        </w:tc>
        <w:tc>
          <w:tcPr>
            <w:tcW w:w="270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2 anni</w:t>
            </w:r>
          </w:p>
        </w:tc>
        <w:tc>
          <w:tcPr>
            <w:tcW w:w="1620" w:type="dxa"/>
            <w:tcBorders>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Persona competente</w:t>
            </w:r>
          </w:p>
        </w:tc>
      </w:tr>
      <w:tr w:rsidR="004F47BB" w:rsidRPr="004F47BB" w:rsidTr="00D45887">
        <w:tc>
          <w:tcPr>
            <w:tcW w:w="1738"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Articolo 13.04, paragrafo 6, lettere da a) a c)</w:t>
            </w:r>
          </w:p>
        </w:tc>
        <w:tc>
          <w:tcPr>
            <w:tcW w:w="306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Sistemi antincendio fissi</w:t>
            </w:r>
          </w:p>
        </w:tc>
        <w:tc>
          <w:tcPr>
            <w:tcW w:w="270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p>
        </w:tc>
        <w:tc>
          <w:tcPr>
            <w:tcW w:w="1620" w:type="dxa"/>
            <w:tcBorders>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Esperto</w:t>
            </w:r>
          </w:p>
        </w:tc>
      </w:tr>
      <w:tr w:rsidR="004F47BB" w:rsidRPr="00A0619C" w:rsidTr="00D45887">
        <w:tc>
          <w:tcPr>
            <w:tcW w:w="1738"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Articolo 13.04, paragrafo 6, lettera d)</w:t>
            </w:r>
          </w:p>
        </w:tc>
        <w:tc>
          <w:tcPr>
            <w:tcW w:w="306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Sistemi antincendio fissi</w:t>
            </w:r>
          </w:p>
        </w:tc>
        <w:tc>
          <w:tcPr>
            <w:tcW w:w="270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2 anni</w:t>
            </w:r>
          </w:p>
        </w:tc>
        <w:tc>
          <w:tcPr>
            <w:tcW w:w="1620" w:type="dxa"/>
            <w:tcBorders>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Persona o impresa competente</w:t>
            </w:r>
          </w:p>
        </w:tc>
      </w:tr>
      <w:tr w:rsidR="004F47BB" w:rsidRPr="004F47BB" w:rsidTr="00D45887">
        <w:tc>
          <w:tcPr>
            <w:tcW w:w="1738"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Articolo 13.05, paragrafo 9, lettera b, punti da aa) a cc)</w:t>
            </w:r>
          </w:p>
        </w:tc>
        <w:tc>
          <w:tcPr>
            <w:tcW w:w="306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Sistemi antincendio fissi</w:t>
            </w:r>
          </w:p>
        </w:tc>
        <w:tc>
          <w:tcPr>
            <w:tcW w:w="270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p>
        </w:tc>
        <w:tc>
          <w:tcPr>
            <w:tcW w:w="1620" w:type="dxa"/>
            <w:tcBorders>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Esperto</w:t>
            </w:r>
          </w:p>
        </w:tc>
      </w:tr>
      <w:tr w:rsidR="004F47BB" w:rsidRPr="00A0619C" w:rsidTr="00D45887">
        <w:tc>
          <w:tcPr>
            <w:tcW w:w="1738"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Articolo 13.05, paragrafo 9, lettera b), punto dd)</w:t>
            </w:r>
          </w:p>
        </w:tc>
        <w:tc>
          <w:tcPr>
            <w:tcW w:w="306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Sistemi antincendio fissi</w:t>
            </w:r>
          </w:p>
        </w:tc>
        <w:tc>
          <w:tcPr>
            <w:tcW w:w="270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2 anni</w:t>
            </w:r>
          </w:p>
        </w:tc>
        <w:tc>
          <w:tcPr>
            <w:tcW w:w="1620" w:type="dxa"/>
            <w:tcBorders>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Persona o impresa competente</w:t>
            </w:r>
          </w:p>
        </w:tc>
      </w:tr>
      <w:tr w:rsidR="004F47BB" w:rsidRPr="00A0619C" w:rsidTr="00D45887">
        <w:tc>
          <w:tcPr>
            <w:tcW w:w="1738"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Articolo 13.07, paragrafo 3</w:t>
            </w:r>
          </w:p>
        </w:tc>
        <w:tc>
          <w:tcPr>
            <w:tcW w:w="306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Lance di tipo zattere gonfiabili</w:t>
            </w:r>
          </w:p>
        </w:tc>
        <w:tc>
          <w:tcPr>
            <w:tcW w:w="270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Come specificato dal fabbricante</w:t>
            </w:r>
          </w:p>
        </w:tc>
        <w:tc>
          <w:tcPr>
            <w:tcW w:w="1620" w:type="dxa"/>
            <w:tcBorders>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p>
        </w:tc>
      </w:tr>
      <w:tr w:rsidR="004F47BB" w:rsidRPr="00A0619C" w:rsidTr="00D45887">
        <w:tc>
          <w:tcPr>
            <w:tcW w:w="1738"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Articolo 13.08, paragrafo 3</w:t>
            </w:r>
          </w:p>
        </w:tc>
        <w:tc>
          <w:tcPr>
            <w:tcW w:w="306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Giubbotti di salvataggio</w:t>
            </w:r>
          </w:p>
        </w:tc>
        <w:tc>
          <w:tcPr>
            <w:tcW w:w="270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Come specificato dal fabbricante</w:t>
            </w:r>
          </w:p>
        </w:tc>
        <w:tc>
          <w:tcPr>
            <w:tcW w:w="1620" w:type="dxa"/>
            <w:tcBorders>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p>
        </w:tc>
      </w:tr>
      <w:tr w:rsidR="004F47BB" w:rsidRPr="004F47BB" w:rsidTr="00D45887">
        <w:tc>
          <w:tcPr>
            <w:tcW w:w="1738"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Articolo 14.12, paragrafo 6</w:t>
            </w:r>
          </w:p>
        </w:tc>
        <w:tc>
          <w:tcPr>
            <w:tcW w:w="306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Gru</w:t>
            </w:r>
          </w:p>
        </w:tc>
        <w:tc>
          <w:tcPr>
            <w:tcW w:w="270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10 anni</w:t>
            </w:r>
          </w:p>
        </w:tc>
        <w:tc>
          <w:tcPr>
            <w:tcW w:w="1620" w:type="dxa"/>
            <w:tcBorders>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Esperto</w:t>
            </w:r>
          </w:p>
        </w:tc>
      </w:tr>
      <w:tr w:rsidR="004F47BB" w:rsidRPr="004F47BB" w:rsidTr="00D45887">
        <w:tc>
          <w:tcPr>
            <w:tcW w:w="1738"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Articolo 14.12, paragrafo 7</w:t>
            </w:r>
          </w:p>
        </w:tc>
        <w:tc>
          <w:tcPr>
            <w:tcW w:w="306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Gru</w:t>
            </w:r>
          </w:p>
        </w:tc>
        <w:tc>
          <w:tcPr>
            <w:tcW w:w="270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1 anno</w:t>
            </w:r>
          </w:p>
        </w:tc>
        <w:tc>
          <w:tcPr>
            <w:tcW w:w="1620" w:type="dxa"/>
            <w:tcBorders>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Persona competente</w:t>
            </w:r>
          </w:p>
        </w:tc>
      </w:tr>
      <w:tr w:rsidR="004F47BB" w:rsidRPr="004F47BB" w:rsidTr="00D45887">
        <w:tc>
          <w:tcPr>
            <w:tcW w:w="1738"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Articolo 17.13</w:t>
            </w:r>
          </w:p>
        </w:tc>
        <w:tc>
          <w:tcPr>
            <w:tcW w:w="306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Impianti a gas liquefatto</w:t>
            </w:r>
          </w:p>
        </w:tc>
        <w:tc>
          <w:tcPr>
            <w:tcW w:w="270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3 anni</w:t>
            </w:r>
          </w:p>
        </w:tc>
        <w:tc>
          <w:tcPr>
            <w:tcW w:w="1620" w:type="dxa"/>
            <w:tcBorders>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Esperto</w:t>
            </w:r>
          </w:p>
        </w:tc>
      </w:tr>
      <w:tr w:rsidR="004F47BB" w:rsidRPr="00A0619C" w:rsidTr="00D45887">
        <w:tc>
          <w:tcPr>
            <w:tcW w:w="1738"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Articolo 19.09, paragrafo 9</w:t>
            </w:r>
          </w:p>
        </w:tc>
        <w:tc>
          <w:tcPr>
            <w:tcW w:w="306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Mezzi di salvataggio</w:t>
            </w:r>
          </w:p>
        </w:tc>
        <w:tc>
          <w:tcPr>
            <w:tcW w:w="270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Come specificato dal fabbricante</w:t>
            </w:r>
          </w:p>
        </w:tc>
        <w:tc>
          <w:tcPr>
            <w:tcW w:w="1620" w:type="dxa"/>
            <w:tcBorders>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p>
        </w:tc>
      </w:tr>
      <w:tr w:rsidR="004F47BB" w:rsidRPr="00A0619C" w:rsidTr="00D45887">
        <w:tc>
          <w:tcPr>
            <w:tcW w:w="1738"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Articolo 19.10, paragrafo 9</w:t>
            </w:r>
          </w:p>
        </w:tc>
        <w:tc>
          <w:tcPr>
            <w:tcW w:w="306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Resistenza isolante, messa a terra</w:t>
            </w:r>
          </w:p>
        </w:tc>
        <w:tc>
          <w:tcPr>
            <w:tcW w:w="270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Prima che scada la validità del certificato per la navigazione interna</w:t>
            </w:r>
          </w:p>
        </w:tc>
        <w:tc>
          <w:tcPr>
            <w:tcW w:w="1620" w:type="dxa"/>
            <w:tcBorders>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p>
        </w:tc>
      </w:tr>
      <w:tr w:rsidR="004F47BB" w:rsidRPr="004F47BB" w:rsidTr="00D45887">
        <w:tc>
          <w:tcPr>
            <w:tcW w:w="1738" w:type="dxa"/>
            <w:tcBorders>
              <w:left w:val="single" w:sz="4" w:space="0" w:color="000000"/>
              <w:bottom w:val="single" w:sz="4" w:space="0" w:color="000000"/>
            </w:tcBorders>
            <w:vAlign w:val="center"/>
          </w:tcPr>
          <w:p w:rsidR="004F47BB" w:rsidRPr="004F47BB" w:rsidDel="008047E6" w:rsidRDefault="004F47BB" w:rsidP="004F47BB">
            <w:pPr>
              <w:autoSpaceDE/>
              <w:autoSpaceDN/>
              <w:snapToGrid w:val="0"/>
              <w:spacing w:line="240" w:lineRule="atLeast"/>
              <w:ind w:left="0" w:firstLine="0"/>
              <w:rPr>
                <w:rFonts w:cs="Arial"/>
                <w:noProof/>
                <w:sz w:val="18"/>
                <w:szCs w:val="18"/>
              </w:rPr>
            </w:pPr>
            <w:r>
              <w:rPr>
                <w:noProof/>
                <w:sz w:val="18"/>
              </w:rPr>
              <w:t>Istruzione ESI</w:t>
            </w:r>
            <w:r>
              <w:softHyphen/>
            </w:r>
            <w:r>
              <w:rPr>
                <w:noProof/>
                <w:sz w:val="18"/>
              </w:rPr>
              <w:t>II</w:t>
            </w:r>
            <w:r>
              <w:softHyphen/>
            </w:r>
            <w:r>
              <w:rPr>
                <w:noProof/>
                <w:sz w:val="18"/>
              </w:rPr>
              <w:t>13, sezione 3.1, lettere a) e b)</w:t>
            </w:r>
          </w:p>
        </w:tc>
        <w:tc>
          <w:tcPr>
            <w:tcW w:w="306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Sistemi di allarme antincendio</w:t>
            </w:r>
          </w:p>
        </w:tc>
        <w:tc>
          <w:tcPr>
            <w:tcW w:w="270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p>
        </w:tc>
        <w:tc>
          <w:tcPr>
            <w:tcW w:w="1620" w:type="dxa"/>
            <w:tcBorders>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Esperto</w:t>
            </w:r>
          </w:p>
        </w:tc>
      </w:tr>
      <w:tr w:rsidR="004F47BB" w:rsidRPr="004F47BB" w:rsidTr="00D45887">
        <w:tc>
          <w:tcPr>
            <w:tcW w:w="1738"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Istruzione ESI</w:t>
            </w:r>
            <w:r>
              <w:softHyphen/>
            </w:r>
            <w:r>
              <w:rPr>
                <w:noProof/>
                <w:sz w:val="18"/>
              </w:rPr>
              <w:t>II</w:t>
            </w:r>
            <w:r>
              <w:softHyphen/>
            </w:r>
            <w:r>
              <w:rPr>
                <w:noProof/>
                <w:sz w:val="18"/>
              </w:rPr>
              <w:t>13, sezione 3.1, lettera c)</w:t>
            </w:r>
          </w:p>
        </w:tc>
        <w:tc>
          <w:tcPr>
            <w:tcW w:w="306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Sistemi di allarme antincendio</w:t>
            </w:r>
          </w:p>
        </w:tc>
        <w:tc>
          <w:tcPr>
            <w:tcW w:w="2700" w:type="dxa"/>
            <w:tcBorders>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2 anni</w:t>
            </w:r>
          </w:p>
        </w:tc>
        <w:tc>
          <w:tcPr>
            <w:tcW w:w="1620" w:type="dxa"/>
            <w:tcBorders>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Esperto o persona competente</w:t>
            </w:r>
          </w:p>
        </w:tc>
      </w:tr>
      <w:tr w:rsidR="004F47BB" w:rsidRPr="004F47BB" w:rsidTr="00D45887">
        <w:tc>
          <w:tcPr>
            <w:tcW w:w="1738" w:type="dxa"/>
            <w:tcBorders>
              <w:top w:val="single" w:sz="4" w:space="0" w:color="000000"/>
              <w:left w:val="single" w:sz="4" w:space="0" w:color="000000"/>
              <w:bottom w:val="single" w:sz="4" w:space="0" w:color="000000"/>
            </w:tcBorders>
            <w:vAlign w:val="center"/>
          </w:tcPr>
          <w:p w:rsidR="004F47BB" w:rsidRPr="004F47BB" w:rsidDel="008047E6" w:rsidRDefault="004F47BB" w:rsidP="004F47BB">
            <w:pPr>
              <w:autoSpaceDE/>
              <w:autoSpaceDN/>
              <w:snapToGrid w:val="0"/>
              <w:spacing w:line="240" w:lineRule="atLeast"/>
              <w:ind w:left="0" w:firstLine="0"/>
              <w:rPr>
                <w:rFonts w:cs="Arial"/>
                <w:noProof/>
                <w:sz w:val="18"/>
                <w:szCs w:val="18"/>
              </w:rPr>
            </w:pPr>
            <w:r>
              <w:rPr>
                <w:noProof/>
                <w:sz w:val="18"/>
              </w:rPr>
              <w:t>Istruzione ESI</w:t>
            </w:r>
            <w:r>
              <w:softHyphen/>
            </w:r>
            <w:r>
              <w:rPr>
                <w:noProof/>
                <w:sz w:val="18"/>
              </w:rPr>
              <w:t>III</w:t>
            </w:r>
            <w:r>
              <w:softHyphen/>
            </w:r>
            <w:r>
              <w:rPr>
                <w:noProof/>
                <w:sz w:val="18"/>
              </w:rPr>
              <w:t>4, sezione 8.1, lettere a) e b)</w:t>
            </w:r>
          </w:p>
        </w:tc>
        <w:tc>
          <w:tcPr>
            <w:tcW w:w="3060" w:type="dxa"/>
            <w:tcBorders>
              <w:top w:val="single" w:sz="4" w:space="0" w:color="000000"/>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Sistemi di indicazioni di sicurezza</w:t>
            </w:r>
          </w:p>
        </w:tc>
        <w:tc>
          <w:tcPr>
            <w:tcW w:w="2700" w:type="dxa"/>
            <w:tcBorders>
              <w:top w:val="single" w:sz="4" w:space="0" w:color="000000"/>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Esperto</w:t>
            </w:r>
          </w:p>
        </w:tc>
      </w:tr>
      <w:tr w:rsidR="004F47BB" w:rsidRPr="004F47BB" w:rsidTr="00D45887">
        <w:tc>
          <w:tcPr>
            <w:tcW w:w="1738" w:type="dxa"/>
            <w:tcBorders>
              <w:top w:val="single" w:sz="4" w:space="0" w:color="000000"/>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Istruzione ESI</w:t>
            </w:r>
            <w:r>
              <w:softHyphen/>
            </w:r>
            <w:r>
              <w:rPr>
                <w:noProof/>
                <w:sz w:val="18"/>
              </w:rPr>
              <w:t>II</w:t>
            </w:r>
            <w:r>
              <w:softHyphen/>
            </w:r>
            <w:r>
              <w:rPr>
                <w:noProof/>
                <w:sz w:val="18"/>
              </w:rPr>
              <w:t xml:space="preserve">4, sezione 8.1, lettera </w:t>
            </w:r>
            <w:r>
              <w:rPr>
                <w:noProof/>
                <w:sz w:val="18"/>
              </w:rPr>
              <w:lastRenderedPageBreak/>
              <w:t xml:space="preserve">c) </w:t>
            </w:r>
          </w:p>
        </w:tc>
        <w:tc>
          <w:tcPr>
            <w:tcW w:w="3060" w:type="dxa"/>
            <w:tcBorders>
              <w:top w:val="single" w:sz="4" w:space="0" w:color="000000"/>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lastRenderedPageBreak/>
              <w:t>Sistemi di indicazioni di sicurezza</w:t>
            </w:r>
          </w:p>
        </w:tc>
        <w:tc>
          <w:tcPr>
            <w:tcW w:w="2700" w:type="dxa"/>
            <w:tcBorders>
              <w:top w:val="single" w:sz="4" w:space="0" w:color="000000"/>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5 anni</w:t>
            </w: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 xml:space="preserve">Esperto o persona </w:t>
            </w:r>
            <w:r>
              <w:rPr>
                <w:noProof/>
                <w:sz w:val="18"/>
              </w:rPr>
              <w:lastRenderedPageBreak/>
              <w:t>competente</w:t>
            </w:r>
          </w:p>
        </w:tc>
      </w:tr>
      <w:tr w:rsidR="004F47BB" w:rsidRPr="004F47BB" w:rsidTr="00D45887">
        <w:tc>
          <w:tcPr>
            <w:tcW w:w="1738" w:type="dxa"/>
            <w:tcBorders>
              <w:top w:val="single" w:sz="4" w:space="0" w:color="000000"/>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lastRenderedPageBreak/>
              <w:t>Istruzione ESI</w:t>
            </w:r>
            <w:r>
              <w:softHyphen/>
            </w:r>
            <w:r>
              <w:rPr>
                <w:noProof/>
                <w:sz w:val="18"/>
              </w:rPr>
              <w:t>III</w:t>
            </w:r>
            <w:r>
              <w:softHyphen/>
            </w:r>
            <w:r>
              <w:rPr>
                <w:noProof/>
                <w:sz w:val="18"/>
              </w:rPr>
              <w:t>5</w:t>
            </w:r>
          </w:p>
        </w:tc>
        <w:tc>
          <w:tcPr>
            <w:tcW w:w="3060" w:type="dxa"/>
            <w:tcBorders>
              <w:top w:val="single" w:sz="4" w:space="0" w:color="000000"/>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rPr>
                <w:rFonts w:cs="Arial"/>
                <w:noProof/>
                <w:sz w:val="18"/>
                <w:szCs w:val="18"/>
              </w:rPr>
            </w:pPr>
            <w:r>
              <w:rPr>
                <w:noProof/>
                <w:sz w:val="18"/>
              </w:rPr>
              <w:t xml:space="preserve">Sistemi di segnalazione dei gas </w:t>
            </w:r>
          </w:p>
        </w:tc>
        <w:tc>
          <w:tcPr>
            <w:tcW w:w="2700" w:type="dxa"/>
            <w:tcBorders>
              <w:top w:val="single" w:sz="4" w:space="0" w:color="000000"/>
              <w:left w:val="single" w:sz="4" w:space="0" w:color="000000"/>
              <w:bottom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Come specificato dal fabbricante</w:t>
            </w: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4F47BB" w:rsidRDefault="004F47BB" w:rsidP="004F47BB">
            <w:pPr>
              <w:autoSpaceDE/>
              <w:autoSpaceDN/>
              <w:snapToGrid w:val="0"/>
              <w:spacing w:line="240" w:lineRule="atLeast"/>
              <w:ind w:left="0" w:firstLine="0"/>
              <w:jc w:val="center"/>
              <w:rPr>
                <w:rFonts w:cs="Arial"/>
                <w:noProof/>
                <w:sz w:val="18"/>
                <w:szCs w:val="18"/>
              </w:rPr>
            </w:pPr>
            <w:r>
              <w:rPr>
                <w:noProof/>
                <w:sz w:val="18"/>
              </w:rPr>
              <w:t>Esperto o persona competente</w:t>
            </w:r>
          </w:p>
        </w:tc>
      </w:tr>
    </w:tbl>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sectPr w:rsidR="004F47BB" w:rsidRPr="004F47BB" w:rsidSect="00D45887">
          <w:footerReference w:type="first" r:id="rId113"/>
          <w:pgSz w:w="11907" w:h="16840" w:code="9"/>
          <w:pgMar w:top="1418" w:right="1418" w:bottom="1418" w:left="1418" w:header="680" w:footer="680" w:gutter="0"/>
          <w:cols w:space="720"/>
          <w:noEndnote/>
          <w:titlePg/>
        </w:sectPr>
      </w:pPr>
    </w:p>
    <w:p w:rsidR="004F47BB" w:rsidRPr="004F47BB" w:rsidRDefault="004F47BB" w:rsidP="00A84512">
      <w:pPr>
        <w:pStyle w:val="ES-Titre1"/>
      </w:pPr>
      <w:bookmarkStart w:id="733" w:name="_Toc491854349"/>
      <w:bookmarkStart w:id="734" w:name="_Toc535500298"/>
      <w:r>
        <w:lastRenderedPageBreak/>
        <w:t>PARTE II</w:t>
      </w:r>
      <w:r>
        <w:br/>
        <w:t>DISPOSIZIONI IN MATERIA DI COSTRUZIONE NAVALE, ALLESTIMENTO E ARMAMENTO</w:t>
      </w:r>
      <w:bookmarkEnd w:id="733"/>
      <w:bookmarkEnd w:id="734"/>
    </w:p>
    <w:p w:rsidR="004F47BB" w:rsidRPr="004F47BB" w:rsidRDefault="004F47BB" w:rsidP="004F47BB">
      <w:pPr>
        <w:spacing w:line="240" w:lineRule="atLeast"/>
        <w:ind w:left="567" w:hanging="567"/>
      </w:pPr>
    </w:p>
    <w:p w:rsidR="004F47BB" w:rsidRPr="004F47BB" w:rsidRDefault="004F47BB" w:rsidP="00A84512">
      <w:pPr>
        <w:pStyle w:val="ES-Titre2ESI"/>
      </w:pPr>
      <w:bookmarkStart w:id="735" w:name="_Toc491854350"/>
      <w:bookmarkStart w:id="736" w:name="_Toc535500299"/>
      <w:r>
        <w:t>ESI-II-1</w:t>
      </w:r>
      <w:r>
        <w:br/>
        <w:t>Spessore minimo dello scafo delle chiatte</w:t>
      </w:r>
      <w:bookmarkEnd w:id="735"/>
      <w:bookmarkEnd w:id="736"/>
    </w:p>
    <w:p w:rsidR="004F47BB" w:rsidRPr="004F47BB" w:rsidRDefault="004F47BB" w:rsidP="004F47BB">
      <w:pPr>
        <w:spacing w:line="240" w:lineRule="atLeast"/>
        <w:ind w:left="567" w:hanging="567"/>
      </w:pPr>
    </w:p>
    <w:p w:rsidR="004F47BB" w:rsidRPr="004F47BB" w:rsidRDefault="004F47BB" w:rsidP="004F47BB">
      <w:pPr>
        <w:tabs>
          <w:tab w:val="left" w:pos="284"/>
          <w:tab w:val="left" w:pos="567"/>
        </w:tabs>
        <w:overflowPunct w:val="0"/>
        <w:adjustRightInd w:val="0"/>
        <w:ind w:left="284" w:hanging="284"/>
        <w:jc w:val="center"/>
        <w:textAlignment w:val="baseline"/>
        <w:rPr>
          <w:b/>
          <w:szCs w:val="20"/>
        </w:rPr>
      </w:pPr>
      <w:r>
        <w:rPr>
          <w:b/>
        </w:rPr>
        <w:t>(Articolo 3.02, paragrafo 1)</w:t>
      </w:r>
    </w:p>
    <w:p w:rsidR="004F47BB" w:rsidRPr="004F47BB" w:rsidRDefault="004F47BB" w:rsidP="004F47BB">
      <w:pPr>
        <w:tabs>
          <w:tab w:val="left" w:pos="284"/>
          <w:tab w:val="left" w:pos="567"/>
        </w:tabs>
        <w:overflowPunct w:val="0"/>
        <w:adjustRightInd w:val="0"/>
        <w:ind w:left="284" w:hanging="284"/>
        <w:jc w:val="left"/>
        <w:textAlignment w:val="baseline"/>
        <w:rPr>
          <w:szCs w:val="20"/>
        </w:rPr>
      </w:pPr>
    </w:p>
    <w:p w:rsidR="004F47BB" w:rsidRPr="004F47BB" w:rsidRDefault="004F47BB" w:rsidP="004F47BB">
      <w:pPr>
        <w:spacing w:line="240" w:lineRule="atLeast"/>
        <w:ind w:left="0" w:firstLine="0"/>
        <w:rPr>
          <w:noProof/>
        </w:rPr>
      </w:pPr>
      <w:r>
        <w:t>Durante le ispezioni periodiche delle chiatte esclusivamente trainate, la commissione di ispezione può concedere lievi deroghe all'articolo 3.02, paragrafo 1, lettera b), per quel che riguarda lo spessore minimo del fasciame dello scafo. Lo scostamento non può essere superiore al 10 % e lo spessore minimo dello scafo non può essere inferiore 3 mm.</w:t>
      </w:r>
    </w:p>
    <w:p w:rsidR="004F47BB" w:rsidRPr="004F47BB" w:rsidRDefault="004F47BB" w:rsidP="004F47BB">
      <w:pPr>
        <w:spacing w:line="240" w:lineRule="atLeast"/>
        <w:ind w:left="0" w:firstLine="0"/>
        <w:rPr>
          <w:noProof/>
        </w:rPr>
      </w:pPr>
    </w:p>
    <w:p w:rsidR="004F47BB" w:rsidRPr="004F47BB" w:rsidRDefault="004F47BB" w:rsidP="004F47BB">
      <w:pPr>
        <w:spacing w:line="240" w:lineRule="atLeast"/>
        <w:ind w:left="0" w:firstLine="0"/>
        <w:rPr>
          <w:noProof/>
        </w:rPr>
      </w:pPr>
      <w:r>
        <w:t>Le deviazioni vanno riportate nel certificato per la navigazione interna.</w:t>
      </w:r>
    </w:p>
    <w:p w:rsidR="004F47BB" w:rsidRPr="004F47BB" w:rsidRDefault="004F47BB" w:rsidP="004F47BB">
      <w:pPr>
        <w:spacing w:line="240" w:lineRule="atLeast"/>
        <w:ind w:left="0" w:firstLine="0"/>
        <w:rPr>
          <w:noProof/>
        </w:rPr>
      </w:pPr>
    </w:p>
    <w:p w:rsidR="004F47BB" w:rsidRPr="004F47BB" w:rsidRDefault="004F47BB" w:rsidP="004F47BB">
      <w:pPr>
        <w:spacing w:line="240" w:lineRule="atLeast"/>
        <w:ind w:left="0" w:firstLine="0"/>
        <w:rPr>
          <w:noProof/>
        </w:rPr>
      </w:pPr>
      <w:r>
        <w:t>Per la rubrica 14 del certificato per la navigazione interna è applicabile unicamente la proprietà n. 6.2 "Trainato come imbarcazione senza potenza motrice propria".</w:t>
      </w:r>
    </w:p>
    <w:p w:rsidR="004F47BB" w:rsidRPr="004F47BB" w:rsidRDefault="004F47BB" w:rsidP="004F47BB">
      <w:pPr>
        <w:spacing w:line="240" w:lineRule="atLeast"/>
        <w:ind w:left="0" w:firstLine="0"/>
        <w:rPr>
          <w:noProof/>
        </w:rPr>
      </w:pPr>
    </w:p>
    <w:p w:rsidR="004F47BB" w:rsidRPr="004F47BB" w:rsidRDefault="004F47BB" w:rsidP="004F47BB">
      <w:pPr>
        <w:spacing w:line="240" w:lineRule="atLeast"/>
        <w:ind w:left="0" w:firstLine="0"/>
        <w:rPr>
          <w:noProof/>
        </w:rPr>
      </w:pPr>
      <w:r>
        <w:t>Le proprietà dal n. 1 al n. 5.3 e la proprietà n. 6.1 devono essere cancellate.</w:t>
      </w:r>
    </w:p>
    <w:p w:rsidR="004F47BB" w:rsidRPr="004F47BB" w:rsidRDefault="004F47BB" w:rsidP="004F47BB">
      <w:pPr>
        <w:spacing w:line="240" w:lineRule="atLeast"/>
        <w:ind w:left="0" w:firstLine="0"/>
        <w:rPr>
          <w:noProof/>
        </w:rPr>
      </w:pPr>
    </w:p>
    <w:p w:rsidR="004F47BB" w:rsidRPr="004F47BB" w:rsidRDefault="004F47BB" w:rsidP="004F47BB">
      <w:pPr>
        <w:spacing w:line="240" w:lineRule="atLeast"/>
        <w:ind w:left="0" w:firstLine="0"/>
        <w:rPr>
          <w:noProof/>
        </w:rPr>
      </w:pPr>
    </w:p>
    <w:p w:rsidR="004F47BB" w:rsidRPr="004F47BB" w:rsidRDefault="004F47BB" w:rsidP="004F47BB">
      <w:pPr>
        <w:spacing w:line="240" w:lineRule="atLeast"/>
        <w:ind w:left="567" w:hanging="567"/>
      </w:pPr>
      <w:r>
        <w:br w:type="page"/>
      </w:r>
    </w:p>
    <w:p w:rsidR="004F47BB" w:rsidRPr="004F47BB" w:rsidRDefault="004F47BB" w:rsidP="004F47BB">
      <w:pPr>
        <w:spacing w:line="240" w:lineRule="atLeast"/>
        <w:ind w:left="567" w:hanging="567"/>
      </w:pPr>
    </w:p>
    <w:p w:rsidR="004F47BB" w:rsidRDefault="004F47BB" w:rsidP="004F47BB">
      <w:pPr>
        <w:spacing w:line="240" w:lineRule="atLeast"/>
        <w:ind w:left="567" w:hanging="567"/>
      </w:pPr>
    </w:p>
    <w:p w:rsidR="005B46C9" w:rsidRDefault="005B46C9" w:rsidP="004F47BB">
      <w:pPr>
        <w:spacing w:line="240" w:lineRule="atLeast"/>
        <w:ind w:left="567" w:hanging="567"/>
      </w:pPr>
    </w:p>
    <w:p w:rsidR="005B46C9" w:rsidRPr="004F47BB" w:rsidRDefault="005B46C9" w:rsidP="004F47BB">
      <w:pPr>
        <w:spacing w:line="240" w:lineRule="atLeast"/>
        <w:ind w:left="567" w:hanging="567"/>
        <w:sectPr w:rsidR="005B46C9" w:rsidRPr="004F47BB" w:rsidSect="00D45887">
          <w:footerReference w:type="first" r:id="rId114"/>
          <w:pgSz w:w="11907" w:h="16840" w:code="9"/>
          <w:pgMar w:top="1418" w:right="1418" w:bottom="1418" w:left="1418" w:header="680" w:footer="680" w:gutter="0"/>
          <w:cols w:space="720"/>
          <w:noEndnote/>
          <w:titlePg/>
        </w:sectPr>
      </w:pPr>
    </w:p>
    <w:p w:rsidR="004F47BB" w:rsidRPr="004F47BB" w:rsidRDefault="004F47BB" w:rsidP="005B46C9">
      <w:pPr>
        <w:pStyle w:val="ES-Titre2ESI"/>
      </w:pPr>
      <w:bookmarkStart w:id="737" w:name="_Toc491854351"/>
      <w:bookmarkStart w:id="738" w:name="_Toc535500300"/>
      <w:r>
        <w:lastRenderedPageBreak/>
        <w:t>ESI-II-2</w:t>
      </w:r>
      <w:r>
        <w:br/>
        <w:t>Installazione di piastre di rinforzo sullo scafo</w:t>
      </w:r>
      <w:bookmarkEnd w:id="737"/>
      <w:bookmarkEnd w:id="738"/>
    </w:p>
    <w:p w:rsidR="004F47BB" w:rsidRPr="004F47BB" w:rsidRDefault="004F47BB" w:rsidP="004F47BB">
      <w:pPr>
        <w:spacing w:line="240" w:lineRule="atLeast"/>
        <w:ind w:left="567" w:hanging="567"/>
      </w:pPr>
    </w:p>
    <w:p w:rsidR="004F47BB" w:rsidRPr="004F47BB" w:rsidRDefault="004F47BB" w:rsidP="004F47BB">
      <w:pPr>
        <w:tabs>
          <w:tab w:val="left" w:pos="284"/>
          <w:tab w:val="left" w:pos="567"/>
        </w:tabs>
        <w:overflowPunct w:val="0"/>
        <w:adjustRightInd w:val="0"/>
        <w:spacing w:line="240" w:lineRule="atLeast"/>
        <w:ind w:left="0" w:firstLine="0"/>
        <w:jc w:val="center"/>
        <w:textAlignment w:val="baseline"/>
        <w:rPr>
          <w:rFonts w:eastAsia="Batang"/>
        </w:rPr>
      </w:pPr>
      <w:r>
        <w:rPr>
          <w:b/>
        </w:rPr>
        <w:t>[Articolo 3.02, paragrafo 1, e articolo 19.02, paragrafo 1, lettera d)]</w:t>
      </w:r>
    </w:p>
    <w:p w:rsidR="004F47BB" w:rsidRPr="004F47BB" w:rsidRDefault="004F47BB" w:rsidP="004F47BB">
      <w:pPr>
        <w:autoSpaceDE/>
        <w:autoSpaceDN/>
        <w:spacing w:line="240" w:lineRule="atLeast"/>
        <w:ind w:left="0" w:firstLine="0"/>
        <w:jc w:val="left"/>
        <w:rPr>
          <w:rFonts w:eastAsia="Batang"/>
        </w:rPr>
      </w:pPr>
    </w:p>
    <w:p w:rsidR="004F47BB" w:rsidRPr="004F47BB" w:rsidRDefault="004F47BB" w:rsidP="004F47BB">
      <w:pPr>
        <w:autoSpaceDE/>
        <w:autoSpaceDN/>
        <w:spacing w:line="240" w:lineRule="atLeast"/>
        <w:ind w:left="567" w:hanging="567"/>
        <w:rPr>
          <w:rFonts w:eastAsia="Batang"/>
          <w:b/>
          <w:bCs/>
        </w:rPr>
      </w:pPr>
      <w:r>
        <w:rPr>
          <w:b/>
        </w:rPr>
        <w:t>1.</w:t>
      </w:r>
      <w:r>
        <w:tab/>
      </w:r>
      <w:r>
        <w:rPr>
          <w:b/>
        </w:rPr>
        <w:t>Scopo dell'istruzione</w:t>
      </w:r>
    </w:p>
    <w:p w:rsidR="004F47BB" w:rsidRPr="004F47BB" w:rsidRDefault="004F47BB" w:rsidP="004F47BB">
      <w:pPr>
        <w:autoSpaceDE/>
        <w:autoSpaceDN/>
        <w:spacing w:line="240" w:lineRule="atLeast"/>
        <w:ind w:left="567" w:hanging="567"/>
        <w:rPr>
          <w:rFonts w:eastAsia="Batang"/>
          <w:b/>
          <w:bCs/>
        </w:rPr>
      </w:pPr>
    </w:p>
    <w:p w:rsidR="004F47BB" w:rsidRPr="004F47BB" w:rsidRDefault="004F47BB" w:rsidP="004F47BB">
      <w:pPr>
        <w:autoSpaceDE/>
        <w:autoSpaceDN/>
        <w:spacing w:line="240" w:lineRule="atLeast"/>
        <w:ind w:left="567" w:firstLine="0"/>
        <w:rPr>
          <w:rFonts w:eastAsia="Batang"/>
        </w:rPr>
      </w:pPr>
      <w:r>
        <w:t xml:space="preserve">Le presenti istruzioni sono state redatte per motivi di chiarezza in merito alle norme per il mantenimento della robustezza dello scafo (articolo 3.02, paragrafo 1) e per la sostituzione e la riparazione del fasciame dello scafo [articolo 3.02, paragrafo 1, lettera c), ultima frase, e articolo 19.02, paragrafo 1, lettera d)]. La presente istruzione si applica all'installazione di nuove piastre di rinforzo. </w:t>
      </w:r>
    </w:p>
    <w:p w:rsidR="004F47BB" w:rsidRPr="004F47BB" w:rsidRDefault="004F47BB" w:rsidP="004F47BB">
      <w:pPr>
        <w:autoSpaceDE/>
        <w:autoSpaceDN/>
        <w:spacing w:line="240" w:lineRule="atLeast"/>
        <w:ind w:left="0" w:firstLine="0"/>
        <w:jc w:val="left"/>
        <w:rPr>
          <w:rFonts w:eastAsia="Batang"/>
        </w:rPr>
      </w:pPr>
    </w:p>
    <w:p w:rsidR="004F47BB" w:rsidRPr="004F47BB" w:rsidRDefault="004F47BB" w:rsidP="004F47BB">
      <w:pPr>
        <w:autoSpaceDE/>
        <w:autoSpaceDN/>
        <w:spacing w:line="240" w:lineRule="atLeast"/>
        <w:ind w:left="567" w:hanging="567"/>
        <w:rPr>
          <w:rFonts w:eastAsia="Batang"/>
          <w:b/>
          <w:bCs/>
        </w:rPr>
      </w:pPr>
      <w:r>
        <w:rPr>
          <w:b/>
        </w:rPr>
        <w:t>2.</w:t>
      </w:r>
      <w:r>
        <w:tab/>
      </w:r>
      <w:r>
        <w:rPr>
          <w:b/>
        </w:rPr>
        <w:t>Aspetti principali</w:t>
      </w:r>
    </w:p>
    <w:p w:rsidR="004F47BB" w:rsidRPr="004F47BB" w:rsidRDefault="004F47BB" w:rsidP="004F47BB">
      <w:pPr>
        <w:autoSpaceDE/>
        <w:autoSpaceDN/>
        <w:spacing w:line="240" w:lineRule="atLeast"/>
        <w:ind w:left="0" w:firstLine="0"/>
        <w:jc w:val="left"/>
        <w:rPr>
          <w:rFonts w:eastAsia="Batang"/>
        </w:rPr>
      </w:pPr>
    </w:p>
    <w:p w:rsidR="004F47BB" w:rsidRPr="004F47BB" w:rsidRDefault="004F47BB" w:rsidP="004F47BB">
      <w:pPr>
        <w:autoSpaceDE/>
        <w:autoSpaceDN/>
        <w:spacing w:line="240" w:lineRule="atLeast"/>
        <w:ind w:left="567" w:firstLine="0"/>
        <w:jc w:val="left"/>
        <w:rPr>
          <w:rFonts w:eastAsia="Batang"/>
        </w:rPr>
      </w:pPr>
      <w:r>
        <w:t>Esistono due diversi tipi di piastre di rinforzo:</w:t>
      </w:r>
    </w:p>
    <w:p w:rsidR="004F47BB" w:rsidRPr="004F47BB" w:rsidRDefault="004F47BB" w:rsidP="004F47BB">
      <w:pPr>
        <w:autoSpaceDE/>
        <w:autoSpaceDN/>
        <w:spacing w:before="60" w:line="240" w:lineRule="atLeast"/>
        <w:ind w:left="993" w:hanging="426"/>
        <w:rPr>
          <w:rFonts w:eastAsia="Batang"/>
        </w:rPr>
      </w:pPr>
      <w:r>
        <w:t>1.</w:t>
      </w:r>
      <w:r>
        <w:tab/>
        <w:t>le piastre di rinforzo installate durante una nuova costruzione o una trasformazione in conformità alle buone pratiche della costruzione navale;</w:t>
      </w:r>
    </w:p>
    <w:p w:rsidR="004F47BB" w:rsidRPr="004F47BB" w:rsidRDefault="004F47BB" w:rsidP="004F47BB">
      <w:pPr>
        <w:autoSpaceDE/>
        <w:autoSpaceDN/>
        <w:spacing w:before="60" w:line="240" w:lineRule="atLeast"/>
        <w:ind w:left="993" w:hanging="426"/>
        <w:rPr>
          <w:rFonts w:eastAsia="Batang"/>
        </w:rPr>
      </w:pPr>
      <w:r>
        <w:t>2.</w:t>
      </w:r>
      <w:r>
        <w:tab/>
        <w:t>le piastre di rinforzo destinate a ritardare l'usura o il rinnovo del fasciame dello scafo. Di norma, il ricorso a tali piastre andrebbe evitato o si dovrebbero installare tali piastre soltanto in casi particolari.</w:t>
      </w:r>
    </w:p>
    <w:p w:rsidR="004F47BB" w:rsidRPr="004F47BB" w:rsidRDefault="004F47BB" w:rsidP="004F47BB">
      <w:pPr>
        <w:autoSpaceDE/>
        <w:autoSpaceDN/>
        <w:spacing w:line="240" w:lineRule="atLeast"/>
        <w:ind w:left="992"/>
        <w:rPr>
          <w:rFonts w:eastAsia="Batang"/>
        </w:rPr>
      </w:pPr>
    </w:p>
    <w:p w:rsidR="004F47BB" w:rsidRPr="004F47BB" w:rsidRDefault="004F47BB" w:rsidP="004F47BB">
      <w:pPr>
        <w:autoSpaceDE/>
        <w:autoSpaceDN/>
        <w:spacing w:line="240" w:lineRule="atLeast"/>
        <w:ind w:left="567" w:hanging="567"/>
        <w:rPr>
          <w:rFonts w:eastAsia="Batang"/>
          <w:b/>
          <w:bCs/>
        </w:rPr>
      </w:pPr>
      <w:r>
        <w:rPr>
          <w:b/>
        </w:rPr>
        <w:t>3.</w:t>
      </w:r>
      <w:r>
        <w:tab/>
      </w:r>
      <w:r>
        <w:rPr>
          <w:b/>
        </w:rPr>
        <w:t>Piastre di rinforzo installate durante una nuova costruzione o una trasformazione</w:t>
      </w:r>
    </w:p>
    <w:p w:rsidR="004F47BB" w:rsidRPr="004F47BB" w:rsidRDefault="004F47BB" w:rsidP="004F47BB">
      <w:pPr>
        <w:autoSpaceDE/>
        <w:autoSpaceDN/>
        <w:spacing w:line="240" w:lineRule="atLeast"/>
        <w:rPr>
          <w:rFonts w:eastAsia="Batang"/>
        </w:rPr>
      </w:pPr>
    </w:p>
    <w:p w:rsidR="004F47BB" w:rsidRPr="004F47BB" w:rsidRDefault="004F47BB" w:rsidP="004F47BB">
      <w:pPr>
        <w:autoSpaceDE/>
        <w:autoSpaceDN/>
        <w:spacing w:line="240" w:lineRule="atLeast"/>
        <w:ind w:left="567" w:hanging="567"/>
        <w:rPr>
          <w:rFonts w:eastAsia="Batang"/>
          <w:b/>
          <w:bCs/>
        </w:rPr>
      </w:pPr>
      <w:r>
        <w:rPr>
          <w:b/>
          <w:noProof/>
        </w:rPr>
        <w:t>3.1</w:t>
      </w:r>
      <w:r>
        <w:tab/>
      </w:r>
      <w:r>
        <w:rPr>
          <w:b/>
        </w:rPr>
        <w:t>Piastre di rinforzo installate durante una nuova costruzione</w:t>
      </w:r>
    </w:p>
    <w:p w:rsidR="004F47BB" w:rsidRPr="004F47BB" w:rsidRDefault="004F47BB" w:rsidP="004F47BB">
      <w:pPr>
        <w:autoSpaceDE/>
        <w:autoSpaceDN/>
        <w:spacing w:line="240" w:lineRule="atLeast"/>
        <w:ind w:left="0" w:firstLine="0"/>
        <w:rPr>
          <w:rFonts w:eastAsia="Batang"/>
          <w:b/>
        </w:rPr>
      </w:pPr>
    </w:p>
    <w:p w:rsidR="004F47BB" w:rsidRPr="004F47BB" w:rsidRDefault="004F47BB" w:rsidP="004F47BB">
      <w:pPr>
        <w:autoSpaceDE/>
        <w:autoSpaceDN/>
        <w:spacing w:line="240" w:lineRule="atLeast"/>
        <w:ind w:left="567" w:firstLine="0"/>
        <w:rPr>
          <w:rFonts w:eastAsia="Batang"/>
        </w:rPr>
      </w:pPr>
      <w:r>
        <w:t>Le piastre di rinforzo installate durante una nuova costruzione sono posizionate principalmente nei seguenti punti:</w:t>
      </w:r>
    </w:p>
    <w:p w:rsidR="004F47BB" w:rsidRPr="004F47BB" w:rsidRDefault="004F47BB" w:rsidP="004F47BB">
      <w:pPr>
        <w:autoSpaceDE/>
        <w:autoSpaceDN/>
        <w:spacing w:before="60" w:line="240" w:lineRule="atLeast"/>
        <w:ind w:left="993" w:hanging="426"/>
        <w:rPr>
          <w:rFonts w:eastAsia="Batang" w:cs="Arial"/>
        </w:rPr>
      </w:pPr>
      <w:r>
        <w:t>a)</w:t>
      </w:r>
      <w:r>
        <w:tab/>
        <w:t>piastre di rinforzo attorno alle aperture e alle penetrazioni sul fasciame dello scafo e del ponte (passi d'uomo, passaggi per tubi, ombrinali, ecc.);</w:t>
      </w:r>
    </w:p>
    <w:p w:rsidR="004F47BB" w:rsidRPr="004F47BB" w:rsidRDefault="004F47BB" w:rsidP="004F47BB">
      <w:pPr>
        <w:autoSpaceDE/>
        <w:autoSpaceDN/>
        <w:spacing w:before="60" w:line="240" w:lineRule="atLeast"/>
        <w:ind w:left="993" w:hanging="426"/>
        <w:rPr>
          <w:rFonts w:eastAsia="Batang" w:cs="Arial"/>
        </w:rPr>
      </w:pPr>
      <w:r>
        <w:t>b)</w:t>
      </w:r>
      <w:r>
        <w:tab/>
        <w:t>piastre agli angoli di boccaporti di grandi dimensioni;</w:t>
      </w:r>
    </w:p>
    <w:p w:rsidR="004F47BB" w:rsidRPr="004F47BB" w:rsidRDefault="004F47BB" w:rsidP="004F47BB">
      <w:pPr>
        <w:autoSpaceDE/>
        <w:autoSpaceDN/>
        <w:spacing w:before="60" w:line="240" w:lineRule="atLeast"/>
        <w:ind w:left="993" w:hanging="426"/>
        <w:rPr>
          <w:rFonts w:eastAsia="Batang" w:cs="Arial"/>
        </w:rPr>
      </w:pPr>
      <w:r>
        <w:t>c)</w:t>
      </w:r>
      <w:r>
        <w:tab/>
        <w:t>strisce di fasciame longitudinale a livello di insellatura superiore;</w:t>
      </w:r>
    </w:p>
    <w:p w:rsidR="004F47BB" w:rsidRPr="004F47BB" w:rsidRDefault="004F47BB" w:rsidP="004F47BB">
      <w:pPr>
        <w:autoSpaceDE/>
        <w:autoSpaceDN/>
        <w:spacing w:before="60" w:line="240" w:lineRule="atLeast"/>
        <w:ind w:left="993" w:hanging="426"/>
        <w:rPr>
          <w:rFonts w:eastAsia="Batang" w:cs="Arial"/>
        </w:rPr>
      </w:pPr>
      <w:r>
        <w:t>d)</w:t>
      </w:r>
      <w:r>
        <w:tab/>
        <w:t>strisce di fasciame destinate a fornire protezione contro l'usura a causa dell'abrasione del fasciame dello scafo (a prua e a poppa e possibilmente sul fasciame di sentina e sul fasciame laterale ad una certa altezza sopra al fondo);</w:t>
      </w:r>
    </w:p>
    <w:p w:rsidR="004F47BB" w:rsidRPr="004F47BB" w:rsidRDefault="004F47BB" w:rsidP="004F47BB">
      <w:pPr>
        <w:autoSpaceDE/>
        <w:autoSpaceDN/>
        <w:spacing w:before="60" w:line="240" w:lineRule="atLeast"/>
        <w:ind w:left="993" w:hanging="426"/>
        <w:rPr>
          <w:rFonts w:eastAsia="Batang" w:cs="Arial"/>
        </w:rPr>
      </w:pPr>
      <w:r>
        <w:t>e)</w:t>
      </w:r>
      <w:r>
        <w:tab/>
        <w:t>piastre di rinforzo in punti particolari della struttura sotto ad apparecchiature speciali (ad esempio: verricelli per le ancore, pompe, alberi, gru, argani, ancore, ecc.).</w:t>
      </w:r>
    </w:p>
    <w:p w:rsidR="004F47BB" w:rsidRPr="004F47BB" w:rsidRDefault="004F47BB" w:rsidP="004F47BB">
      <w:pPr>
        <w:tabs>
          <w:tab w:val="left" w:pos="360"/>
        </w:tabs>
        <w:autoSpaceDE/>
        <w:autoSpaceDN/>
        <w:spacing w:line="240" w:lineRule="atLeast"/>
        <w:ind w:left="0" w:firstLine="0"/>
        <w:jc w:val="left"/>
        <w:rPr>
          <w:rFonts w:eastAsia="Batang"/>
        </w:rPr>
      </w:pPr>
    </w:p>
    <w:p w:rsidR="004F47BB" w:rsidRPr="004F47BB" w:rsidRDefault="004F47BB" w:rsidP="004F47BB">
      <w:pPr>
        <w:autoSpaceDE/>
        <w:autoSpaceDN/>
        <w:spacing w:line="240" w:lineRule="atLeast"/>
        <w:ind w:left="567" w:hanging="567"/>
        <w:rPr>
          <w:rFonts w:eastAsia="Batang"/>
          <w:b/>
        </w:rPr>
      </w:pPr>
      <w:r>
        <w:rPr>
          <w:b/>
          <w:noProof/>
        </w:rPr>
        <w:t>3.2</w:t>
      </w:r>
      <w:r>
        <w:tab/>
      </w:r>
      <w:r>
        <w:rPr>
          <w:b/>
        </w:rPr>
        <w:t>Piastre di rinforzo installate nel contesto di una trasformazione</w:t>
      </w:r>
    </w:p>
    <w:p w:rsidR="004F47BB" w:rsidRPr="004F47BB" w:rsidRDefault="004F47BB" w:rsidP="004F47BB">
      <w:pPr>
        <w:tabs>
          <w:tab w:val="left" w:pos="360"/>
        </w:tabs>
        <w:autoSpaceDE/>
        <w:autoSpaceDN/>
        <w:spacing w:line="240" w:lineRule="atLeast"/>
        <w:ind w:left="0" w:firstLine="0"/>
        <w:jc w:val="left"/>
        <w:rPr>
          <w:rFonts w:eastAsia="Batang"/>
        </w:rPr>
      </w:pPr>
    </w:p>
    <w:p w:rsidR="004F47BB" w:rsidRPr="004F47BB" w:rsidRDefault="004F47BB" w:rsidP="004F47BB">
      <w:pPr>
        <w:autoSpaceDE/>
        <w:autoSpaceDN/>
        <w:spacing w:line="240" w:lineRule="atLeast"/>
        <w:ind w:left="567" w:firstLine="0"/>
        <w:rPr>
          <w:rFonts w:eastAsia="Batang"/>
        </w:rPr>
      </w:pPr>
      <w:r>
        <w:t>Se tali piastre di rinforzo vengono installate nel contesto di una trasformazione, possono essere montate soltanto su piastre che non hanno ancora raggiunto lo spessore minimo, dopo la trasformazione, e presentano una tolleranza rimanente alla corrosione di almeno 0,7 mm. Altrimenti, le piastre che devono sostenere le piastre di rinforzo devono essere preventivamente rinnovate.</w:t>
      </w:r>
    </w:p>
    <w:p w:rsidR="004F47BB" w:rsidRPr="004F47BB" w:rsidRDefault="004F47BB" w:rsidP="004F47BB">
      <w:pPr>
        <w:autoSpaceDE/>
        <w:autoSpaceDN/>
        <w:spacing w:line="240" w:lineRule="atLeast"/>
        <w:ind w:left="567" w:firstLine="0"/>
        <w:rPr>
          <w:rFonts w:eastAsia="Batang"/>
        </w:rPr>
      </w:pPr>
    </w:p>
    <w:p w:rsidR="004F47BB" w:rsidRPr="004F47BB" w:rsidRDefault="004F47BB" w:rsidP="004F47BB">
      <w:pPr>
        <w:autoSpaceDE/>
        <w:autoSpaceDN/>
        <w:spacing w:line="240" w:lineRule="atLeast"/>
        <w:ind w:left="567" w:firstLine="0"/>
        <w:rPr>
          <w:rFonts w:eastAsia="Batang"/>
        </w:rPr>
      </w:pPr>
      <w:r>
        <w:t>In particolare, le strisce di fasciame per il rinforzo dell'anguilla longitudinale dello scafo della nave in caso di allungamento devono estendersi almeno lungo l'intera lunghezza della sezione del carico, fatta eccezione per i casi in cui la giustificazione sia supportata da una nota di calcolo.</w:t>
      </w:r>
    </w:p>
    <w:p w:rsidR="004F47BB" w:rsidRPr="004F47BB" w:rsidRDefault="004F47BB" w:rsidP="004F47BB">
      <w:pPr>
        <w:autoSpaceDE/>
        <w:autoSpaceDN/>
        <w:spacing w:line="240" w:lineRule="atLeast"/>
        <w:ind w:left="0" w:firstLine="0"/>
        <w:rPr>
          <w:rFonts w:eastAsia="Batang"/>
        </w:rPr>
      </w:pPr>
      <w:r>
        <w:br w:type="page"/>
      </w:r>
    </w:p>
    <w:p w:rsidR="004F47BB" w:rsidRPr="004F47BB" w:rsidRDefault="004F47BB" w:rsidP="004F47BB">
      <w:pPr>
        <w:autoSpaceDE/>
        <w:autoSpaceDN/>
        <w:spacing w:line="240" w:lineRule="atLeast"/>
        <w:ind w:left="567" w:hanging="567"/>
        <w:rPr>
          <w:rFonts w:eastAsia="Batang"/>
          <w:b/>
        </w:rPr>
      </w:pPr>
      <w:r>
        <w:rPr>
          <w:b/>
        </w:rPr>
        <w:lastRenderedPageBreak/>
        <w:t>4.</w:t>
      </w:r>
      <w:r>
        <w:tab/>
      </w:r>
      <w:r>
        <w:rPr>
          <w:b/>
        </w:rPr>
        <w:t>Piastre di rinforzo destinate a ritardare l'usura o il rinnovo del fasciame dello scafo</w:t>
      </w:r>
    </w:p>
    <w:p w:rsidR="004F47BB" w:rsidRPr="004F47BB" w:rsidRDefault="004F47BB" w:rsidP="004F47BB">
      <w:pPr>
        <w:autoSpaceDE/>
        <w:autoSpaceDN/>
        <w:spacing w:line="240" w:lineRule="atLeast"/>
        <w:ind w:firstLine="0"/>
        <w:jc w:val="left"/>
        <w:rPr>
          <w:rFonts w:eastAsia="Batang"/>
        </w:rPr>
      </w:pPr>
    </w:p>
    <w:p w:rsidR="004F47BB" w:rsidRPr="004F47BB" w:rsidRDefault="004F47BB" w:rsidP="004F47BB">
      <w:pPr>
        <w:autoSpaceDE/>
        <w:autoSpaceDN/>
        <w:spacing w:line="240" w:lineRule="atLeast"/>
        <w:ind w:left="567" w:hanging="567"/>
        <w:rPr>
          <w:rFonts w:eastAsia="Batang"/>
          <w:b/>
          <w:bCs/>
          <w:noProof/>
        </w:rPr>
      </w:pPr>
      <w:r>
        <w:rPr>
          <w:b/>
          <w:noProof/>
        </w:rPr>
        <w:t>4.1</w:t>
      </w:r>
      <w:r>
        <w:tab/>
      </w:r>
      <w:r>
        <w:rPr>
          <w:b/>
          <w:noProof/>
        </w:rPr>
        <w:t>Punti nei quali è consentita l'installazione di piastre di rinforzo</w:t>
      </w:r>
    </w:p>
    <w:p w:rsidR="004F47BB" w:rsidRPr="004F47BB" w:rsidRDefault="004F47BB" w:rsidP="004F47BB">
      <w:pPr>
        <w:autoSpaceDE/>
        <w:autoSpaceDN/>
        <w:spacing w:line="240" w:lineRule="atLeast"/>
        <w:ind w:left="426" w:hanging="426"/>
        <w:jc w:val="left"/>
        <w:rPr>
          <w:rFonts w:eastAsia="Batang"/>
          <w:b/>
        </w:rPr>
      </w:pPr>
    </w:p>
    <w:p w:rsidR="004F47BB" w:rsidRPr="004F47BB" w:rsidRDefault="004F47BB" w:rsidP="004F47BB">
      <w:pPr>
        <w:autoSpaceDE/>
        <w:autoSpaceDN/>
        <w:spacing w:line="240" w:lineRule="atLeast"/>
        <w:ind w:left="567" w:firstLine="0"/>
        <w:jc w:val="left"/>
        <w:rPr>
          <w:rFonts w:eastAsia="Batang"/>
        </w:rPr>
      </w:pPr>
      <w:r>
        <w:t xml:space="preserve">Tali piastre </w:t>
      </w:r>
      <w:r>
        <w:rPr>
          <w:b/>
        </w:rPr>
        <w:t>possono essere installate</w:t>
      </w:r>
      <w:r>
        <w:t xml:space="preserve"> nei seguenti punti:</w:t>
      </w:r>
    </w:p>
    <w:p w:rsidR="004F47BB" w:rsidRPr="004F47BB" w:rsidRDefault="004F47BB" w:rsidP="004F47BB">
      <w:pPr>
        <w:autoSpaceDE/>
        <w:autoSpaceDN/>
        <w:spacing w:before="60" w:line="240" w:lineRule="atLeast"/>
        <w:ind w:left="993" w:hanging="426"/>
        <w:rPr>
          <w:rFonts w:eastAsia="Batang" w:cs="Arial"/>
        </w:rPr>
      </w:pPr>
      <w:r>
        <w:t>a)</w:t>
      </w:r>
      <w:r>
        <w:tab/>
        <w:t>in caso di danni (riparazione temporanea – validità come da certificato);</w:t>
      </w:r>
    </w:p>
    <w:p w:rsidR="004F47BB" w:rsidRPr="004F47BB" w:rsidRDefault="004F47BB" w:rsidP="004F47BB">
      <w:pPr>
        <w:autoSpaceDE/>
        <w:autoSpaceDN/>
        <w:spacing w:before="60" w:line="240" w:lineRule="atLeast"/>
        <w:ind w:left="993" w:hanging="426"/>
        <w:rPr>
          <w:rFonts w:eastAsia="Batang" w:cs="Arial"/>
        </w:rPr>
      </w:pPr>
      <w:r>
        <w:t>b)</w:t>
      </w:r>
      <w:r>
        <w:tab/>
        <w:t>in caso di corrosione per vaiolatura (</w:t>
      </w:r>
      <w:r>
        <w:rPr>
          <w:i/>
        </w:rPr>
        <w:t>pitting</w:t>
      </w:r>
      <w:r>
        <w:t>), eventualmente con perforazione, che non influisce sulla resistenza strutturale (ad esempio: sotto una sala macchine, in direzione dell'insellatura del vento/dell'acqua), eccetto in direzione del fasciame di fondo e di sentina nelle zone del carico;</w:t>
      </w:r>
    </w:p>
    <w:p w:rsidR="004F47BB" w:rsidRPr="004F47BB" w:rsidRDefault="004F47BB" w:rsidP="004F47BB">
      <w:pPr>
        <w:autoSpaceDE/>
        <w:autoSpaceDN/>
        <w:spacing w:before="60" w:line="240" w:lineRule="atLeast"/>
        <w:ind w:left="993" w:hanging="426"/>
        <w:rPr>
          <w:rFonts w:eastAsia="Batang" w:cs="Arial"/>
        </w:rPr>
      </w:pPr>
      <w:r>
        <w:t>c)</w:t>
      </w:r>
      <w:r>
        <w:tab/>
        <w:t>in caso di superfici esposte all'abrasione, al fine di interrompere l'usura del fasciame dello scafo (possono essere montate soltanto su piastre che non hanno ancora raggiunto lo spessore minimo);</w:t>
      </w:r>
    </w:p>
    <w:p w:rsidR="004F47BB" w:rsidRPr="004F47BB" w:rsidRDefault="004F47BB" w:rsidP="004F47BB">
      <w:pPr>
        <w:autoSpaceDE/>
        <w:autoSpaceDN/>
        <w:spacing w:before="60" w:line="240" w:lineRule="atLeast"/>
        <w:ind w:left="993" w:hanging="426"/>
        <w:rPr>
          <w:rFonts w:eastAsia="Batang" w:cs="Arial"/>
        </w:rPr>
      </w:pPr>
      <w:r>
        <w:t>d)</w:t>
      </w:r>
      <w:r>
        <w:tab/>
        <w:t>sul fasciame di sentina, l'applicazione di piastre di rinforzo sarà, preferibilmente, continua per almeno il 70 % della lunghezza della nave. In caso contrario, le piastre di rinforzo avranno una lunghezza minima e una distanza minima tra loro non inferiore a (2,5 + L/40) m o si estenderanno almeno per la lunghezza di tre volte la distanza fra le ordinate per le navi con L non superiore a 45 m. Le piastre di rinforzo si devono estendere quanto meno per la lunghezza del doppio della distanza fra le ordinate a prua e a poppa della zona interessata;</w:t>
      </w:r>
    </w:p>
    <w:p w:rsidR="004F47BB" w:rsidRPr="004F47BB" w:rsidRDefault="004F47BB" w:rsidP="004F47BB">
      <w:pPr>
        <w:autoSpaceDE/>
        <w:autoSpaceDN/>
        <w:spacing w:before="60" w:line="240" w:lineRule="atLeast"/>
        <w:ind w:left="993" w:hanging="426"/>
        <w:rPr>
          <w:rFonts w:eastAsia="Batang" w:cs="Arial"/>
        </w:rPr>
      </w:pPr>
      <w:r>
        <w:t>e)</w:t>
      </w:r>
      <w:r>
        <w:tab/>
        <w:t>sulle saldature rivettate per assicurarne la tenuta stagna all'acqua;</w:t>
      </w:r>
    </w:p>
    <w:p w:rsidR="004F47BB" w:rsidRPr="004F47BB" w:rsidRDefault="004F47BB" w:rsidP="004F47BB">
      <w:pPr>
        <w:autoSpaceDE/>
        <w:autoSpaceDN/>
        <w:spacing w:before="60" w:line="240" w:lineRule="atLeast"/>
        <w:ind w:left="993" w:hanging="426"/>
        <w:rPr>
          <w:rFonts w:eastAsia="Batang" w:cs="Arial"/>
        </w:rPr>
      </w:pPr>
      <w:r>
        <w:t>f)</w:t>
      </w:r>
      <w:r>
        <w:tab/>
        <w:t>a prua e a poppa di una zona di carico esterna di una nave.</w:t>
      </w:r>
    </w:p>
    <w:p w:rsidR="004F47BB" w:rsidRPr="004F47BB" w:rsidRDefault="004F47BB" w:rsidP="004F47BB">
      <w:pPr>
        <w:autoSpaceDE/>
        <w:autoSpaceDN/>
        <w:spacing w:line="240" w:lineRule="atLeast"/>
        <w:ind w:left="850"/>
        <w:rPr>
          <w:rFonts w:eastAsia="Batang"/>
        </w:rPr>
      </w:pPr>
    </w:p>
    <w:p w:rsidR="004F47BB" w:rsidRPr="004F47BB" w:rsidRDefault="004F47BB" w:rsidP="004F47BB">
      <w:pPr>
        <w:autoSpaceDE/>
        <w:autoSpaceDN/>
        <w:spacing w:line="240" w:lineRule="atLeast"/>
        <w:ind w:left="567" w:hanging="567"/>
        <w:rPr>
          <w:rFonts w:eastAsia="Batang"/>
          <w:b/>
          <w:bCs/>
          <w:noProof/>
        </w:rPr>
      </w:pPr>
      <w:r>
        <w:rPr>
          <w:b/>
          <w:noProof/>
        </w:rPr>
        <w:t>4.2</w:t>
      </w:r>
      <w:r>
        <w:tab/>
      </w:r>
      <w:r>
        <w:rPr>
          <w:b/>
          <w:noProof/>
        </w:rPr>
        <w:t>Punti nei quali non è consentita l'installazione di piastre di rinforzo</w:t>
      </w:r>
    </w:p>
    <w:p w:rsidR="004F47BB" w:rsidRPr="004F47BB" w:rsidRDefault="004F47BB" w:rsidP="004F47BB">
      <w:pPr>
        <w:autoSpaceDE/>
        <w:autoSpaceDN/>
        <w:spacing w:line="240" w:lineRule="atLeast"/>
        <w:ind w:left="0" w:firstLine="0"/>
        <w:rPr>
          <w:rFonts w:eastAsia="Batang"/>
        </w:rPr>
      </w:pPr>
    </w:p>
    <w:p w:rsidR="004F47BB" w:rsidRPr="004F47BB" w:rsidRDefault="004F47BB" w:rsidP="004F47BB">
      <w:pPr>
        <w:autoSpaceDE/>
        <w:autoSpaceDN/>
        <w:spacing w:line="240" w:lineRule="atLeast"/>
        <w:ind w:left="567" w:firstLine="0"/>
        <w:rPr>
          <w:rFonts w:eastAsia="Batang"/>
        </w:rPr>
      </w:pPr>
      <w:r>
        <w:t xml:space="preserve">Queste piastre </w:t>
      </w:r>
      <w:r>
        <w:rPr>
          <w:b/>
        </w:rPr>
        <w:t>non possono essere installate</w:t>
      </w:r>
      <w:r>
        <w:t xml:space="preserve"> nei seguenti punti:</w:t>
      </w:r>
    </w:p>
    <w:p w:rsidR="004F47BB" w:rsidRPr="004F47BB" w:rsidRDefault="004F47BB" w:rsidP="004F47BB">
      <w:pPr>
        <w:autoSpaceDE/>
        <w:autoSpaceDN/>
        <w:spacing w:before="60" w:line="240" w:lineRule="atLeast"/>
        <w:ind w:left="993" w:hanging="426"/>
        <w:rPr>
          <w:rFonts w:eastAsia="Batang" w:cs="Arial"/>
        </w:rPr>
      </w:pPr>
      <w:r>
        <w:t>a)</w:t>
      </w:r>
      <w:r>
        <w:tab/>
        <w:t>su fasciame il​cui spessore è inferiore allo spessore minimo ammissibile;</w:t>
      </w:r>
    </w:p>
    <w:p w:rsidR="004F47BB" w:rsidRPr="004F47BB" w:rsidRDefault="004F47BB" w:rsidP="004F47BB">
      <w:pPr>
        <w:autoSpaceDE/>
        <w:autoSpaceDN/>
        <w:spacing w:before="60" w:line="240" w:lineRule="atLeast"/>
        <w:ind w:left="993" w:hanging="426"/>
        <w:rPr>
          <w:rFonts w:eastAsia="Batang" w:cs="Arial"/>
        </w:rPr>
      </w:pPr>
      <w:r>
        <w:t>b)</w:t>
      </w:r>
      <w:r>
        <w:tab/>
        <w:t>su fori presenti nel fasciame a causa della corrosione su elementi che garantiscono la tenuta stagna all'acqua della nave;</w:t>
      </w:r>
    </w:p>
    <w:p w:rsidR="004F47BB" w:rsidRPr="004F47BB" w:rsidRDefault="004F47BB" w:rsidP="004F47BB">
      <w:pPr>
        <w:autoSpaceDE/>
        <w:autoSpaceDN/>
        <w:spacing w:before="60" w:line="240" w:lineRule="atLeast"/>
        <w:ind w:left="993" w:hanging="426"/>
        <w:rPr>
          <w:rFonts w:eastAsia="Batang" w:cs="Arial"/>
        </w:rPr>
      </w:pPr>
      <w:r>
        <w:t>c)</w:t>
      </w:r>
      <w:r>
        <w:tab/>
        <w:t>su zone di grandi dimensioni nella zona di carico;</w:t>
      </w:r>
    </w:p>
    <w:p w:rsidR="004F47BB" w:rsidRPr="004F47BB" w:rsidRDefault="004F47BB" w:rsidP="004F47BB">
      <w:pPr>
        <w:autoSpaceDE/>
        <w:autoSpaceDN/>
        <w:spacing w:before="60" w:line="240" w:lineRule="atLeast"/>
        <w:ind w:left="993" w:hanging="426"/>
        <w:rPr>
          <w:rFonts w:eastAsia="Batang" w:cs="Arial"/>
        </w:rPr>
      </w:pPr>
      <w:r>
        <w:t>d)</w:t>
      </w:r>
      <w:r>
        <w:tab/>
        <w:t>per coprire giunzioni di saldatura sovrapposte trasversali;</w:t>
      </w:r>
    </w:p>
    <w:p w:rsidR="004F47BB" w:rsidRPr="004F47BB" w:rsidRDefault="004F47BB" w:rsidP="004F47BB">
      <w:pPr>
        <w:autoSpaceDE/>
        <w:autoSpaceDN/>
        <w:spacing w:before="60" w:line="240" w:lineRule="atLeast"/>
        <w:ind w:left="993" w:hanging="426"/>
        <w:rPr>
          <w:rFonts w:eastAsia="Batang" w:cs="Arial"/>
        </w:rPr>
      </w:pPr>
      <w:r>
        <w:t>e)</w:t>
      </w:r>
      <w:r>
        <w:tab/>
        <w:t>sul fondo tra la paratia a prua della stiva di prua e la paratia a poppa della stiva di poppa;</w:t>
      </w:r>
    </w:p>
    <w:p w:rsidR="004F47BB" w:rsidRPr="004F47BB" w:rsidRDefault="004F47BB" w:rsidP="004F47BB">
      <w:pPr>
        <w:autoSpaceDE/>
        <w:autoSpaceDN/>
        <w:spacing w:before="60" w:line="240" w:lineRule="atLeast"/>
        <w:ind w:left="993" w:hanging="426"/>
        <w:rPr>
          <w:rFonts w:eastAsia="Batang" w:cs="Arial"/>
        </w:rPr>
      </w:pPr>
      <w:r>
        <w:t>f)</w:t>
      </w:r>
      <w:r>
        <w:tab/>
        <w:t>nella zona di carico delle motonavi-cisterna, delle bettoline-cisterna e delle chiatte-cisterna per il trasporto di merci pericolose conformemente all'ADN;</w:t>
      </w:r>
    </w:p>
    <w:p w:rsidR="004F47BB" w:rsidRPr="004F47BB" w:rsidRDefault="004F47BB" w:rsidP="004F47BB">
      <w:pPr>
        <w:autoSpaceDE/>
        <w:autoSpaceDN/>
        <w:spacing w:before="60" w:line="240" w:lineRule="atLeast"/>
        <w:ind w:left="993" w:hanging="426"/>
        <w:rPr>
          <w:rFonts w:eastAsia="Batang" w:cs="Arial"/>
        </w:rPr>
      </w:pPr>
      <w:r>
        <w:t>g)</w:t>
      </w:r>
      <w:r>
        <w:tab/>
        <w:t>sopra a serbatoi per combustibili contenenti prodotti infiammabili, fatta accezione per le zone di abrasione;</w:t>
      </w:r>
    </w:p>
    <w:p w:rsidR="004F47BB" w:rsidRPr="004F47BB" w:rsidRDefault="004F47BB" w:rsidP="004F47BB">
      <w:pPr>
        <w:autoSpaceDE/>
        <w:autoSpaceDN/>
        <w:spacing w:before="60" w:line="240" w:lineRule="atLeast"/>
        <w:ind w:left="993" w:hanging="426"/>
        <w:rPr>
          <w:rFonts w:eastAsia="Batang" w:cs="Arial"/>
        </w:rPr>
      </w:pPr>
      <w:r>
        <w:t>h)</w:t>
      </w:r>
      <w:r>
        <w:tab/>
        <w:t>su piastre o saldature che presentano fenomeni di deformazione o di fatica;</w:t>
      </w:r>
    </w:p>
    <w:p w:rsidR="004F47BB" w:rsidRPr="004F47BB" w:rsidRDefault="004F47BB" w:rsidP="004F47BB">
      <w:pPr>
        <w:autoSpaceDE/>
        <w:autoSpaceDN/>
        <w:spacing w:before="60" w:line="240" w:lineRule="atLeast"/>
        <w:ind w:left="993" w:hanging="426"/>
        <w:rPr>
          <w:rFonts w:eastAsia="Batang" w:cs="Arial"/>
        </w:rPr>
      </w:pPr>
      <w:r>
        <w:t>i)</w:t>
      </w:r>
      <w:r>
        <w:tab/>
        <w:t>su piastre di rinforzo esistenti.</w:t>
      </w:r>
    </w:p>
    <w:p w:rsidR="004F47BB" w:rsidRPr="004F47BB" w:rsidRDefault="004F47BB" w:rsidP="004F47BB">
      <w:pPr>
        <w:autoSpaceDE/>
        <w:autoSpaceDN/>
        <w:spacing w:line="240" w:lineRule="atLeast"/>
        <w:ind w:left="0" w:firstLine="0"/>
        <w:rPr>
          <w:rFonts w:eastAsia="Batang"/>
        </w:rPr>
      </w:pPr>
    </w:p>
    <w:p w:rsidR="004F47BB" w:rsidRPr="004F47BB" w:rsidRDefault="004F47BB" w:rsidP="004F47BB">
      <w:pPr>
        <w:autoSpaceDE/>
        <w:autoSpaceDN/>
        <w:spacing w:line="240" w:lineRule="atLeast"/>
        <w:ind w:left="567" w:hanging="567"/>
        <w:rPr>
          <w:rFonts w:eastAsia="Batang"/>
          <w:b/>
        </w:rPr>
      </w:pPr>
      <w:r>
        <w:rPr>
          <w:b/>
        </w:rPr>
        <w:t>5.</w:t>
      </w:r>
      <w:r>
        <w:tab/>
      </w:r>
      <w:r>
        <w:rPr>
          <w:b/>
        </w:rPr>
        <w:t>Installazione di piastre di rinforzo</w:t>
      </w:r>
    </w:p>
    <w:p w:rsidR="004F47BB" w:rsidRPr="004F47BB" w:rsidRDefault="004F47BB" w:rsidP="004F47BB">
      <w:pPr>
        <w:autoSpaceDE/>
        <w:autoSpaceDN/>
        <w:spacing w:before="60" w:line="240" w:lineRule="atLeast"/>
        <w:ind w:left="993" w:hanging="426"/>
        <w:rPr>
          <w:rFonts w:eastAsia="Batang" w:cs="Arial"/>
        </w:rPr>
      </w:pPr>
      <w:r>
        <w:t>a)</w:t>
      </w:r>
      <w:r>
        <w:tab/>
        <w:t>Le piastre di rinforzo devono essere installate e saldate in conformità alle buone pratiche della costruzione navale;</w:t>
      </w:r>
    </w:p>
    <w:p w:rsidR="004F47BB" w:rsidRPr="004F47BB" w:rsidRDefault="004F47BB" w:rsidP="004F47BB">
      <w:pPr>
        <w:autoSpaceDE/>
        <w:autoSpaceDN/>
        <w:spacing w:before="60" w:line="240" w:lineRule="atLeast"/>
        <w:ind w:left="993" w:hanging="426"/>
        <w:rPr>
          <w:rFonts w:eastAsia="Batang" w:cs="Arial"/>
        </w:rPr>
      </w:pPr>
      <w:r>
        <w:t>b)</w:t>
      </w:r>
      <w:r>
        <w:tab/>
        <w:t>le piastre di usura avranno una larghezza compresa tra 200 e 300 mm;</w:t>
      </w:r>
    </w:p>
    <w:p w:rsidR="004F47BB" w:rsidRPr="004F47BB" w:rsidRDefault="004F47BB" w:rsidP="004F47BB">
      <w:pPr>
        <w:autoSpaceDE/>
        <w:autoSpaceDN/>
        <w:spacing w:before="60" w:line="240" w:lineRule="atLeast"/>
        <w:ind w:left="993" w:hanging="426"/>
        <w:rPr>
          <w:rFonts w:eastAsia="Batang" w:cs="Arial"/>
        </w:rPr>
      </w:pPr>
      <w:r>
        <w:t>c)</w:t>
      </w:r>
      <w:r>
        <w:tab/>
        <w:t>le piastre di rinforzo dell'anguilla longitudinale dello scafo non devono avere una larghezza superiore a 600 mm;</w:t>
      </w:r>
    </w:p>
    <w:p w:rsidR="004F47BB" w:rsidRPr="004F47BB" w:rsidRDefault="004F47BB" w:rsidP="004F47BB">
      <w:pPr>
        <w:autoSpaceDE/>
        <w:autoSpaceDN/>
        <w:spacing w:before="60" w:line="240" w:lineRule="atLeast"/>
        <w:ind w:left="993" w:hanging="426"/>
        <w:rPr>
          <w:rFonts w:eastAsia="Batang" w:cs="Arial"/>
        </w:rPr>
      </w:pPr>
      <w:r>
        <w:t>d)</w:t>
      </w:r>
      <w:r>
        <w:tab/>
        <w:t>lo spessore delle piastre di rinforzo deve essere compreso tra 1 e 1,5 volte lo spessore della piastra sulla quale vengono montate;</w:t>
      </w:r>
    </w:p>
    <w:p w:rsidR="004F47BB" w:rsidRPr="004F47BB" w:rsidRDefault="004F47BB" w:rsidP="004F47BB">
      <w:pPr>
        <w:autoSpaceDE/>
        <w:autoSpaceDN/>
        <w:spacing w:before="60" w:line="240" w:lineRule="atLeast"/>
        <w:ind w:left="993" w:hanging="426"/>
        <w:rPr>
          <w:rFonts w:eastAsia="Batang" w:cs="Arial"/>
        </w:rPr>
      </w:pPr>
      <w:r>
        <w:t>e)</w:t>
      </w:r>
      <w:r>
        <w:tab/>
        <w:t>le piastre di rinforzo applicate per ritardare l'usura o la sostituzione del fasciame dello scafo devono essere sostituite, quando il loro spessore è inferiore a 3 mm.</w:t>
      </w:r>
    </w:p>
    <w:p w:rsidR="004F47BB" w:rsidRPr="004F47BB" w:rsidRDefault="004F47BB" w:rsidP="004F47BB">
      <w:pPr>
        <w:autoSpaceDE/>
        <w:autoSpaceDN/>
        <w:spacing w:line="240" w:lineRule="atLeast"/>
        <w:ind w:left="567" w:firstLine="0"/>
        <w:rPr>
          <w:rFonts w:eastAsia="Batang"/>
        </w:rPr>
      </w:pPr>
    </w:p>
    <w:p w:rsidR="004F47BB" w:rsidRPr="004F47BB" w:rsidRDefault="004F47BB" w:rsidP="004F47BB">
      <w:pPr>
        <w:autoSpaceDE/>
        <w:autoSpaceDN/>
        <w:spacing w:line="240" w:lineRule="atLeast"/>
        <w:ind w:left="567" w:firstLine="0"/>
        <w:rPr>
          <w:rFonts w:eastAsia="Batang"/>
        </w:rPr>
      </w:pPr>
      <w:r>
        <w:t xml:space="preserve">La presenza di piastre di rinforzo va annotata sul verbale delle misurazioni degli spessori. Quando si rinnova il certificato, le zone della nave nelle quali sono installate piastre di rinforzo </w:t>
      </w:r>
      <w:r>
        <w:lastRenderedPageBreak/>
        <w:t>devono essere esaminate attentamente al fine di stabilire se possono essere mantenute in tale stato.</w:t>
      </w:r>
    </w:p>
    <w:p w:rsidR="004F47BB" w:rsidRPr="004F47BB" w:rsidRDefault="004F47BB" w:rsidP="004F47BB">
      <w:pPr>
        <w:spacing w:line="240" w:lineRule="atLeast"/>
        <w:ind w:left="567" w:firstLine="0"/>
      </w:pP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sectPr w:rsidR="004F47BB" w:rsidRPr="004F47BB" w:rsidSect="00D45887">
          <w:pgSz w:w="11907" w:h="16840" w:code="9"/>
          <w:pgMar w:top="1418" w:right="1418" w:bottom="1418" w:left="1418" w:header="680" w:footer="680" w:gutter="0"/>
          <w:cols w:space="720"/>
          <w:noEndnote/>
          <w:titlePg/>
        </w:sectPr>
      </w:pPr>
    </w:p>
    <w:p w:rsidR="004F47BB" w:rsidRPr="004F47BB" w:rsidRDefault="004F47BB" w:rsidP="005B46C9">
      <w:pPr>
        <w:pStyle w:val="ES-Titre2ESI"/>
      </w:pPr>
      <w:bookmarkStart w:id="739" w:name="_Toc491854352"/>
      <w:bookmarkStart w:id="740" w:name="_Toc535500301"/>
      <w:r>
        <w:lastRenderedPageBreak/>
        <w:t>ESI-II-3</w:t>
      </w:r>
      <w:r>
        <w:br/>
        <w:t>Velocità minima prescritta in marcia avanti, capacità di arresto e capacità di navigare in marcia indietro</w:t>
      </w:r>
      <w:bookmarkEnd w:id="739"/>
      <w:bookmarkEnd w:id="740"/>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jc w:val="center"/>
        <w:rPr>
          <w:b/>
        </w:rPr>
      </w:pPr>
      <w:r>
        <w:rPr>
          <w:b/>
        </w:rPr>
        <w:t>(Articoli 5.06, 5.07 e 5.08</w:t>
      </w:r>
    </w:p>
    <w:p w:rsidR="004F47BB" w:rsidRPr="004F47BB" w:rsidRDefault="004F47BB" w:rsidP="004F47BB">
      <w:pPr>
        <w:spacing w:line="240" w:lineRule="atLeast"/>
        <w:ind w:left="567" w:hanging="567"/>
        <w:jc w:val="center"/>
        <w:rPr>
          <w:b/>
        </w:rPr>
      </w:pPr>
      <w:r>
        <w:rPr>
          <w:b/>
        </w:rPr>
        <w:t>in combinato disposto con l'articolo 5.02, paragrafo 1, l'articolo 5.03, paragrafo 1, l'articolo 5.04 e l'articolo 21.06)</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rPr>
          <w:rFonts w:cs="Arial"/>
          <w:b/>
          <w:color w:val="000000"/>
          <w:szCs w:val="20"/>
        </w:rPr>
      </w:pPr>
      <w:r>
        <w:rPr>
          <w:b/>
          <w:color w:val="000000"/>
        </w:rPr>
        <w:t>1.</w:t>
      </w:r>
      <w:r>
        <w:tab/>
      </w:r>
      <w:r>
        <w:rPr>
          <w:b/>
          <w:color w:val="000000"/>
        </w:rPr>
        <w:t>Velocità minima (in marcia avanti) prescritta secondo l'articolo 5.06</w:t>
      </w:r>
    </w:p>
    <w:p w:rsidR="004F47BB" w:rsidRPr="004F47BB" w:rsidRDefault="004F47BB" w:rsidP="004F47BB">
      <w:pPr>
        <w:tabs>
          <w:tab w:val="left" w:pos="567"/>
        </w:tabs>
        <w:overflowPunct w:val="0"/>
        <w:adjustRightInd w:val="0"/>
        <w:spacing w:line="240" w:lineRule="atLeast"/>
        <w:ind w:left="567" w:hanging="567"/>
        <w:jc w:val="left"/>
        <w:textAlignment w:val="baseline"/>
        <w:rPr>
          <w:szCs w:val="20"/>
        </w:rPr>
      </w:pPr>
    </w:p>
    <w:p w:rsidR="004F47BB" w:rsidRPr="004F47BB" w:rsidRDefault="004F47BB" w:rsidP="004F47BB">
      <w:pPr>
        <w:spacing w:line="240" w:lineRule="atLeast"/>
        <w:ind w:left="567" w:firstLine="0"/>
      </w:pPr>
      <w:r>
        <w:t>La velocità rispetto all'acqua è soddisfacente conformemente all'articolo 5.06, paragrafo 1, quando raggiunge almeno 13 km/h. Durante le prove, si devono rispettare le seguenti condizioni come nella prova di arresto:</w:t>
      </w:r>
    </w:p>
    <w:p w:rsidR="004F47BB" w:rsidRPr="004F47BB" w:rsidRDefault="004F47BB" w:rsidP="004F47BB">
      <w:pPr>
        <w:spacing w:before="60" w:line="240" w:lineRule="atLeast"/>
        <w:ind w:left="992"/>
        <w:rPr>
          <w:noProof/>
        </w:rPr>
      </w:pPr>
      <w:r>
        <w:t>a)</w:t>
      </w:r>
      <w:r>
        <w:tab/>
        <w:t>si deve rispettare il franco sottochiglia di cui al punto 2.1;</w:t>
      </w:r>
    </w:p>
    <w:p w:rsidR="004F47BB" w:rsidRPr="004F47BB" w:rsidRDefault="004F47BB" w:rsidP="004F47BB">
      <w:pPr>
        <w:spacing w:before="60" w:line="240" w:lineRule="atLeast"/>
        <w:ind w:left="992"/>
        <w:rPr>
          <w:noProof/>
        </w:rPr>
      </w:pPr>
      <w:r>
        <w:t>b)</w:t>
      </w:r>
      <w:r>
        <w:tab/>
        <w:t>si deve procedere alla misurazione, all'annotazione, alla registrazione e alla valutazione dei dati della prova in conformità alla procedura di cui all'allegato 1.</w:t>
      </w:r>
    </w:p>
    <w:p w:rsidR="004F47BB" w:rsidRPr="004F47BB" w:rsidRDefault="004F47BB" w:rsidP="004F47BB">
      <w:pPr>
        <w:tabs>
          <w:tab w:val="left" w:pos="567"/>
        </w:tabs>
        <w:overflowPunct w:val="0"/>
        <w:adjustRightInd w:val="0"/>
        <w:spacing w:line="240" w:lineRule="atLeast"/>
        <w:ind w:left="567" w:hanging="567"/>
        <w:jc w:val="left"/>
        <w:textAlignment w:val="baseline"/>
        <w:rPr>
          <w:szCs w:val="20"/>
        </w:rPr>
      </w:pPr>
    </w:p>
    <w:p w:rsidR="004F47BB" w:rsidRPr="004F47BB" w:rsidRDefault="004F47BB" w:rsidP="004F47BB">
      <w:pPr>
        <w:spacing w:line="240" w:lineRule="atLeast"/>
        <w:ind w:left="567" w:hanging="567"/>
        <w:rPr>
          <w:rFonts w:cs="Arial"/>
          <w:b/>
          <w:color w:val="000000"/>
          <w:szCs w:val="20"/>
        </w:rPr>
      </w:pPr>
      <w:r>
        <w:rPr>
          <w:b/>
          <w:color w:val="000000"/>
        </w:rPr>
        <w:t>2.</w:t>
      </w:r>
      <w:r>
        <w:tab/>
      </w:r>
      <w:r>
        <w:rPr>
          <w:b/>
          <w:color w:val="000000"/>
        </w:rPr>
        <w:t>Capacità di arresto e capacità di navigare marcia indietro prescritte secondo gli articoli 5.07 e 5.08</w:t>
      </w:r>
    </w:p>
    <w:p w:rsidR="004F47BB" w:rsidRPr="004F47BB" w:rsidRDefault="004F47BB" w:rsidP="004F47BB">
      <w:pPr>
        <w:tabs>
          <w:tab w:val="left" w:pos="567"/>
        </w:tabs>
        <w:overflowPunct w:val="0"/>
        <w:adjustRightInd w:val="0"/>
        <w:spacing w:line="240" w:lineRule="atLeast"/>
        <w:ind w:left="567" w:hanging="567"/>
        <w:jc w:val="left"/>
        <w:textAlignment w:val="baseline"/>
        <w:rPr>
          <w:szCs w:val="20"/>
        </w:rPr>
      </w:pPr>
    </w:p>
    <w:p w:rsidR="004F47BB" w:rsidRPr="004F47BB" w:rsidRDefault="004F47BB" w:rsidP="004F47BB">
      <w:pPr>
        <w:spacing w:line="240" w:lineRule="atLeast"/>
        <w:ind w:left="567" w:hanging="567"/>
        <w:rPr>
          <w:noProof/>
        </w:rPr>
      </w:pPr>
      <w:r>
        <w:t>2.1</w:t>
      </w:r>
      <w:r>
        <w:tab/>
        <w:t>Le navi e i convogli sono ritenuti in grado di fermarsi prua a valle in tempo utile conformemente all'articolo 5.07, paragrafo 1, quando tale capacità è dimostrata durante una prova di arresto rispetto alla riva prua a valle a una velocità iniziale rispetto all'acqua di 13 km/h con un franco sottochiglia pari almeno al 20 % del pescaggio, ma non inferiore a 0,50 m.</w:t>
      </w:r>
    </w:p>
    <w:p w:rsidR="004F47BB" w:rsidRPr="004F47BB" w:rsidRDefault="004F47BB" w:rsidP="004F47BB">
      <w:pPr>
        <w:spacing w:before="60" w:line="240" w:lineRule="atLeast"/>
        <w:ind w:left="992"/>
        <w:rPr>
          <w:noProof/>
        </w:rPr>
      </w:pPr>
      <w:r>
        <w:t>a)</w:t>
      </w:r>
      <w:r>
        <w:tab/>
        <w:t>In acqua corrente (velocità della corrente di 1,5 m/s), l'arresto rispetto all'acqua deve essere dimostrato su una distanza massima misurata rispetto alla riva di:</w:t>
      </w:r>
    </w:p>
    <w:p w:rsidR="004F47BB" w:rsidRPr="004F47BB" w:rsidRDefault="004F47BB" w:rsidP="004F47BB">
      <w:pPr>
        <w:spacing w:before="60" w:line="240" w:lineRule="atLeast"/>
        <w:ind w:left="992" w:firstLine="0"/>
        <w:rPr>
          <w:noProof/>
        </w:rPr>
      </w:pPr>
      <w:r>
        <w:t>550 m per navi e convogli di:</w:t>
      </w:r>
    </w:p>
    <w:p w:rsidR="004F47BB" w:rsidRPr="004F47BB" w:rsidRDefault="004F47BB" w:rsidP="004F47BB">
      <w:pPr>
        <w:spacing w:before="60" w:line="240" w:lineRule="atLeast"/>
        <w:ind w:left="1418" w:hanging="426"/>
        <w:rPr>
          <w:noProof/>
        </w:rPr>
      </w:pPr>
      <w:r>
        <w:t>-</w:t>
      </w:r>
      <w:r>
        <w:tab/>
        <w:t xml:space="preserve">lunghezza </w:t>
      </w:r>
      <m:oMath>
        <m:r>
          <w:rPr>
            <w:rFonts w:ascii="Cambria Math" w:hAnsi="Cambria Math"/>
            <w:noProof/>
          </w:rPr>
          <m:t>L &gt; 110 m</m:t>
        </m:r>
      </m:oMath>
      <w:r>
        <w:t xml:space="preserve"> o</w:t>
      </w:r>
    </w:p>
    <w:p w:rsidR="004F47BB" w:rsidRPr="004F47BB" w:rsidRDefault="004F47BB" w:rsidP="004F47BB">
      <w:pPr>
        <w:spacing w:before="60" w:line="240" w:lineRule="atLeast"/>
        <w:ind w:left="1418" w:hanging="426"/>
        <w:rPr>
          <w:noProof/>
        </w:rPr>
      </w:pPr>
      <w:r>
        <w:t>-</w:t>
      </w:r>
      <w:r>
        <w:tab/>
        <w:t xml:space="preserve">larghezza </w:t>
      </w:r>
      <m:oMath>
        <m:r>
          <w:rPr>
            <w:rFonts w:ascii="Cambria Math" w:hAnsi="Cambria Math"/>
            <w:noProof/>
          </w:rPr>
          <m:t>B &gt; 11,45 m</m:t>
        </m:r>
      </m:oMath>
      <w:r>
        <w:t>;</w:t>
      </w:r>
    </w:p>
    <w:p w:rsidR="004F47BB" w:rsidRPr="004F47BB" w:rsidRDefault="004F47BB" w:rsidP="004F47BB">
      <w:pPr>
        <w:spacing w:before="60" w:line="240" w:lineRule="atLeast"/>
        <w:ind w:left="992" w:firstLine="0"/>
        <w:rPr>
          <w:noProof/>
        </w:rPr>
      </w:pPr>
      <w:r>
        <w:t>oppure</w:t>
      </w:r>
    </w:p>
    <w:p w:rsidR="004F47BB" w:rsidRPr="004F47BB" w:rsidRDefault="004F47BB" w:rsidP="004F47BB">
      <w:pPr>
        <w:spacing w:before="60" w:line="240" w:lineRule="atLeast"/>
        <w:ind w:left="992" w:firstLine="0"/>
        <w:rPr>
          <w:noProof/>
        </w:rPr>
      </w:pPr>
      <w:r>
        <w:t>480 m per navi e convogli di:</w:t>
      </w:r>
    </w:p>
    <w:p w:rsidR="004F47BB" w:rsidRPr="004F47BB" w:rsidRDefault="004F47BB" w:rsidP="004F47BB">
      <w:pPr>
        <w:spacing w:before="60" w:line="240" w:lineRule="atLeast"/>
        <w:ind w:left="1418" w:hanging="426"/>
        <w:rPr>
          <w:noProof/>
        </w:rPr>
      </w:pPr>
      <w:r>
        <w:t>-</w:t>
      </w:r>
      <w:r>
        <w:tab/>
        <w:t xml:space="preserve">lunghezza </w:t>
      </w:r>
      <m:oMath>
        <m:r>
          <w:rPr>
            <w:rFonts w:ascii="Cambria Math" w:hAnsi="Cambria Math"/>
            <w:noProof/>
          </w:rPr>
          <m:t>L ≤ 110 m</m:t>
        </m:r>
      </m:oMath>
      <w:r>
        <w:t xml:space="preserve"> e</w:t>
      </w:r>
    </w:p>
    <w:p w:rsidR="004F47BB" w:rsidRPr="004F47BB" w:rsidRDefault="004F47BB" w:rsidP="004F47BB">
      <w:pPr>
        <w:spacing w:before="60" w:line="240" w:lineRule="atLeast"/>
        <w:ind w:left="1418" w:hanging="426"/>
        <w:rPr>
          <w:noProof/>
        </w:rPr>
      </w:pPr>
      <w:r>
        <w:t>-</w:t>
      </w:r>
      <w:r>
        <w:tab/>
        <w:t xml:space="preserve">larghezza </w:t>
      </w:r>
      <m:oMath>
        <m:r>
          <w:rPr>
            <w:rFonts w:ascii="Cambria Math" w:hAnsi="Cambria Math"/>
            <w:noProof/>
          </w:rPr>
          <m:t>B ≤ 11,45 m</m:t>
        </m:r>
      </m:oMath>
      <w:r>
        <w:t>.</w:t>
      </w:r>
    </w:p>
    <w:p w:rsidR="004F47BB" w:rsidRPr="004F47BB" w:rsidRDefault="004F47BB" w:rsidP="004F47BB">
      <w:pPr>
        <w:spacing w:before="60" w:line="240" w:lineRule="atLeast"/>
        <w:ind w:left="992" w:firstLine="0"/>
        <w:rPr>
          <w:noProof/>
        </w:rPr>
      </w:pPr>
      <w:r>
        <w:t>La manovra di arresto è conclusa quando si giunge a un arresto rispetto alla riva.</w:t>
      </w:r>
    </w:p>
    <w:p w:rsidR="004F47BB" w:rsidRPr="004F47BB" w:rsidRDefault="004F47BB" w:rsidP="004F47BB">
      <w:pPr>
        <w:spacing w:before="60" w:line="240" w:lineRule="atLeast"/>
        <w:ind w:left="992"/>
        <w:rPr>
          <w:noProof/>
        </w:rPr>
      </w:pPr>
      <w:r>
        <w:t>b)</w:t>
      </w:r>
      <w:r>
        <w:tab/>
        <w:t>In acqua stagnante (velocità della corrente inferiore a 0,2 m/s), l'arresto rispetto all'acqua deve essere dimostrato su una distanza massima misurata rispetto alla riva di:</w:t>
      </w:r>
    </w:p>
    <w:p w:rsidR="004F47BB" w:rsidRPr="004F47BB" w:rsidRDefault="004F47BB" w:rsidP="004F47BB">
      <w:pPr>
        <w:spacing w:before="60" w:line="240" w:lineRule="atLeast"/>
        <w:ind w:left="992" w:firstLine="0"/>
        <w:rPr>
          <w:noProof/>
        </w:rPr>
      </w:pPr>
      <w:r>
        <w:t>350 m per navi e convogli di:</w:t>
      </w:r>
    </w:p>
    <w:p w:rsidR="004F47BB" w:rsidRPr="004F47BB" w:rsidRDefault="004F47BB" w:rsidP="004F47BB">
      <w:pPr>
        <w:spacing w:before="60" w:line="240" w:lineRule="atLeast"/>
        <w:ind w:left="1418" w:hanging="426"/>
        <w:rPr>
          <w:noProof/>
        </w:rPr>
      </w:pPr>
      <w:r>
        <w:t>-</w:t>
      </w:r>
      <w:r>
        <w:tab/>
        <w:t xml:space="preserve">lunghezza </w:t>
      </w:r>
      <m:oMath>
        <m:r>
          <w:rPr>
            <w:rFonts w:ascii="Cambria Math" w:hAnsi="Cambria Math"/>
            <w:noProof/>
          </w:rPr>
          <m:t>L &gt; 110 m</m:t>
        </m:r>
      </m:oMath>
      <w:r>
        <w:t xml:space="preserve"> o</w:t>
      </w:r>
    </w:p>
    <w:p w:rsidR="004F47BB" w:rsidRPr="004F47BB" w:rsidRDefault="004F47BB" w:rsidP="004F47BB">
      <w:pPr>
        <w:spacing w:before="60" w:line="240" w:lineRule="atLeast"/>
        <w:ind w:left="1418" w:hanging="426"/>
        <w:rPr>
          <w:noProof/>
        </w:rPr>
      </w:pPr>
      <w:r>
        <w:t>-</w:t>
      </w:r>
      <w:r>
        <w:tab/>
        <w:t xml:space="preserve">larghezza </w:t>
      </w:r>
      <m:oMath>
        <m:r>
          <w:rPr>
            <w:rFonts w:ascii="Cambria Math" w:hAnsi="Cambria Math"/>
            <w:noProof/>
          </w:rPr>
          <m:t>B &gt; 11,45 m</m:t>
        </m:r>
      </m:oMath>
      <w:r>
        <w:t>;</w:t>
      </w:r>
    </w:p>
    <w:p w:rsidR="004F47BB" w:rsidRPr="004F47BB" w:rsidRDefault="004F47BB" w:rsidP="004F47BB">
      <w:pPr>
        <w:spacing w:before="60" w:line="240" w:lineRule="atLeast"/>
        <w:ind w:left="992" w:firstLine="0"/>
        <w:rPr>
          <w:noProof/>
        </w:rPr>
      </w:pPr>
      <w:r>
        <w:t>oppure</w:t>
      </w:r>
    </w:p>
    <w:p w:rsidR="004F47BB" w:rsidRPr="004F47BB" w:rsidRDefault="004F47BB" w:rsidP="004F47BB">
      <w:pPr>
        <w:spacing w:before="60" w:line="240" w:lineRule="atLeast"/>
        <w:ind w:left="992" w:firstLine="0"/>
        <w:rPr>
          <w:noProof/>
        </w:rPr>
      </w:pPr>
      <w:r>
        <w:t>305 m per navi e convogli di:</w:t>
      </w:r>
    </w:p>
    <w:p w:rsidR="004F47BB" w:rsidRPr="004F47BB" w:rsidRDefault="004F47BB" w:rsidP="004F47BB">
      <w:pPr>
        <w:spacing w:before="60" w:line="240" w:lineRule="atLeast"/>
        <w:ind w:left="1418" w:hanging="426"/>
        <w:rPr>
          <w:noProof/>
        </w:rPr>
      </w:pPr>
      <w:r>
        <w:t>-</w:t>
      </w:r>
      <w:r>
        <w:tab/>
        <w:t xml:space="preserve">lunghezza </w:t>
      </w:r>
      <m:oMath>
        <m:r>
          <w:rPr>
            <w:rFonts w:ascii="Cambria Math" w:hAnsi="Cambria Math"/>
            <w:noProof/>
          </w:rPr>
          <m:t xml:space="preserve">L ≤ 110 m </m:t>
        </m:r>
      </m:oMath>
      <w:r>
        <w:t>e</w:t>
      </w:r>
    </w:p>
    <w:p w:rsidR="004F47BB" w:rsidRPr="004F47BB" w:rsidRDefault="004F47BB" w:rsidP="004F47BB">
      <w:pPr>
        <w:spacing w:before="60" w:line="240" w:lineRule="atLeast"/>
        <w:ind w:left="1418" w:hanging="426"/>
        <w:rPr>
          <w:noProof/>
        </w:rPr>
      </w:pPr>
      <w:r>
        <w:t>-</w:t>
      </w:r>
      <w:r>
        <w:tab/>
        <w:t xml:space="preserve">larghezza </w:t>
      </w:r>
      <m:oMath>
        <m:r>
          <w:rPr>
            <w:rFonts w:ascii="Cambria Math" w:hAnsi="Cambria Math"/>
            <w:noProof/>
          </w:rPr>
          <m:t>B ≤ 11,45 m</m:t>
        </m:r>
      </m:oMath>
      <w:r>
        <w:t>.</w:t>
      </w:r>
    </w:p>
    <w:p w:rsidR="004F47BB" w:rsidRPr="004F47BB" w:rsidRDefault="004F47BB" w:rsidP="004F47BB">
      <w:pPr>
        <w:spacing w:before="60" w:line="240" w:lineRule="atLeast"/>
        <w:ind w:left="992" w:firstLine="0"/>
        <w:rPr>
          <w:noProof/>
        </w:rPr>
      </w:pPr>
      <w:r>
        <w:t>In acqua stagnante, si deve eseguire una prova per dimostrare che è possibile raggiungere una velocità non inferiore a 6,5 km/h navigando in marcia indietro.</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br w:type="page"/>
      </w:r>
    </w:p>
    <w:p w:rsidR="004F47BB" w:rsidRPr="004F47BB" w:rsidRDefault="004F47BB" w:rsidP="004F47BB">
      <w:pPr>
        <w:spacing w:line="240" w:lineRule="atLeast"/>
        <w:ind w:left="567" w:firstLine="0"/>
        <w:rPr>
          <w:noProof/>
        </w:rPr>
      </w:pPr>
      <w:r>
        <w:lastRenderedPageBreak/>
        <w:t>Le misurazioni, l'annotazione e la registrazione dei dati della prova di cui alla lettera a) o b) devono essere eseguite conformemente alla procedura riportata nell'allegato 1.</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Durante l'intera prova, la nave o il convoglio deve avere una manovrabilità adeguata.</w:t>
      </w:r>
    </w:p>
    <w:p w:rsidR="004F47BB" w:rsidRPr="004F47BB" w:rsidRDefault="004F47BB" w:rsidP="004F47BB">
      <w:pPr>
        <w:spacing w:line="240" w:lineRule="atLeast"/>
        <w:ind w:left="567" w:hanging="567"/>
        <w:rPr>
          <w:noProof/>
        </w:rPr>
      </w:pPr>
    </w:p>
    <w:p w:rsidR="004F47BB" w:rsidRPr="004F47BB" w:rsidRDefault="004F47BB" w:rsidP="004F47BB">
      <w:pPr>
        <w:spacing w:line="240" w:lineRule="atLeast"/>
        <w:ind w:left="567" w:hanging="567"/>
        <w:rPr>
          <w:noProof/>
        </w:rPr>
      </w:pPr>
      <w:r>
        <w:t>2.2</w:t>
      </w:r>
      <w:r>
        <w:tab/>
        <w:t>Conformemente all'articolo 5.04, durante la prova, le navi devono essere caricate, per quanto possibile, al 70-100 % della loro portata lorda. Tale condizione di carico deve essere valutata conformemente all'allegato 2. Se, all'atto della prova, la nave o il convoglio è caricato a meno del 70 %, il massimo dislocamento ammissibile in navigazione a valle deve essere stabilito in base al carico effettivo, a condizione che siano rispettati i valori limite di cui al punto 2.1.</w:t>
      </w:r>
    </w:p>
    <w:p w:rsidR="004F47BB" w:rsidRPr="004F47BB" w:rsidRDefault="004F47BB" w:rsidP="004F47BB">
      <w:pPr>
        <w:spacing w:line="240" w:lineRule="atLeast"/>
        <w:ind w:left="567" w:hanging="567"/>
        <w:rPr>
          <w:noProof/>
        </w:rPr>
      </w:pPr>
    </w:p>
    <w:p w:rsidR="004F47BB" w:rsidRPr="004F47BB" w:rsidRDefault="004F47BB" w:rsidP="004F47BB">
      <w:pPr>
        <w:spacing w:line="240" w:lineRule="atLeast"/>
        <w:ind w:left="567" w:hanging="567"/>
        <w:rPr>
          <w:noProof/>
        </w:rPr>
      </w:pPr>
      <w:r>
        <w:t>2.3</w:t>
      </w:r>
      <w:r>
        <w:tab/>
        <w:t>Se i valori effettivi della velocità iniziale e della velocità della corrente all'atto della prova non corrispondono alle condizioni indicate nel punto 2.1, i risultati ottenuti devono essere valutati secondo la procedura descritta nell'allegato 2.</w:t>
      </w:r>
    </w:p>
    <w:p w:rsidR="004F47BB" w:rsidRPr="004F47BB" w:rsidRDefault="004F47BB" w:rsidP="004F47BB">
      <w:pPr>
        <w:spacing w:line="240" w:lineRule="atLeast"/>
        <w:ind w:left="567" w:hanging="567"/>
        <w:rPr>
          <w:noProof/>
        </w:rPr>
      </w:pPr>
    </w:p>
    <w:p w:rsidR="004F47BB" w:rsidRPr="004F47BB" w:rsidRDefault="004F47BB" w:rsidP="004F47BB">
      <w:pPr>
        <w:spacing w:line="240" w:lineRule="atLeast"/>
        <w:ind w:left="567" w:firstLine="0"/>
        <w:rPr>
          <w:noProof/>
        </w:rPr>
      </w:pPr>
      <w:r>
        <w:t xml:space="preserve">Lo scostamento consentito rispetto alla velocità iniziale di 13 km/h non deve essere superiore a </w:t>
      </w:r>
      <w:r>
        <w:sym w:font="Symbol" w:char="F0B1"/>
      </w:r>
      <w:r>
        <w:t xml:space="preserve"> 1 km/h, mentre la velocità della corrente in acqua corrente deve essere compresa tra 1,3 e 2,2 m/s; in caso contrario, le prove devono essere ripetute.</w:t>
      </w:r>
    </w:p>
    <w:p w:rsidR="004F47BB" w:rsidRPr="004F47BB" w:rsidRDefault="004F47BB" w:rsidP="004F47BB">
      <w:pPr>
        <w:spacing w:line="240" w:lineRule="atLeast"/>
        <w:ind w:left="567" w:hanging="567"/>
        <w:rPr>
          <w:noProof/>
        </w:rPr>
      </w:pPr>
    </w:p>
    <w:p w:rsidR="004F47BB" w:rsidRPr="004F47BB" w:rsidRDefault="004F47BB" w:rsidP="004F47BB">
      <w:pPr>
        <w:spacing w:line="240" w:lineRule="atLeast"/>
        <w:ind w:left="567" w:hanging="567"/>
        <w:rPr>
          <w:noProof/>
        </w:rPr>
      </w:pPr>
      <w:r>
        <w:t>2.4</w:t>
      </w:r>
      <w:r>
        <w:tab/>
        <w:t>Il dislocamento massimo ammissibile o il corrispondente carico massimo o la sezione immersa massima per navi e convogli in navigazione a valle deve essere calcolato sulla base delle prove e riportato nel certificato per la navigazione interna.</w:t>
      </w:r>
    </w:p>
    <w:p w:rsidR="004F47BB" w:rsidRPr="004F47BB" w:rsidRDefault="004F47BB" w:rsidP="004F47BB">
      <w:pPr>
        <w:spacing w:line="240" w:lineRule="atLeast"/>
        <w:ind w:left="567" w:hanging="567"/>
        <w:jc w:val="center"/>
        <w:rPr>
          <w:noProof/>
        </w:rPr>
      </w:pPr>
    </w:p>
    <w:p w:rsidR="004F47BB" w:rsidRPr="004F47BB" w:rsidRDefault="004F47BB" w:rsidP="004F47BB">
      <w:pPr>
        <w:tabs>
          <w:tab w:val="left" w:pos="567"/>
        </w:tabs>
        <w:spacing w:line="240" w:lineRule="atLeast"/>
        <w:ind w:left="567" w:hanging="567"/>
      </w:pPr>
    </w:p>
    <w:p w:rsidR="004F47BB" w:rsidRPr="004F47BB" w:rsidRDefault="004F47BB" w:rsidP="004F47BB">
      <w:pPr>
        <w:spacing w:line="240" w:lineRule="atLeast"/>
        <w:ind w:left="567" w:hanging="567"/>
        <w:sectPr w:rsidR="004F47BB" w:rsidRPr="004F47BB" w:rsidSect="00D45887">
          <w:pgSz w:w="11907" w:h="16840" w:code="9"/>
          <w:pgMar w:top="1418" w:right="1418" w:bottom="1418" w:left="1418" w:header="680" w:footer="680" w:gutter="0"/>
          <w:cols w:space="720"/>
          <w:noEndnote/>
          <w:titlePg/>
        </w:sectPr>
      </w:pPr>
    </w:p>
    <w:p w:rsidR="004F47BB" w:rsidRPr="004F47BB" w:rsidRDefault="004F47BB" w:rsidP="004F47BB">
      <w:pPr>
        <w:spacing w:line="240" w:lineRule="atLeast"/>
        <w:ind w:left="567" w:hanging="567"/>
      </w:pPr>
    </w:p>
    <w:p w:rsidR="004F47BB" w:rsidRPr="004F47BB" w:rsidRDefault="004F47BB" w:rsidP="00C859BD">
      <w:pPr>
        <w:pStyle w:val="ES-Titre4"/>
      </w:pPr>
      <w:r>
        <w:t>Allegato 1 all'istruzione ESI-II-3</w:t>
      </w:r>
    </w:p>
    <w:p w:rsidR="004F47BB" w:rsidRPr="004F47BB" w:rsidRDefault="004F47BB" w:rsidP="00C859BD">
      <w:pPr>
        <w:pStyle w:val="ES-Titre4a"/>
      </w:pPr>
      <w:r>
        <w:t>Misurazione, annotazione e registrazione dei dati raccolti durante le prove della manovra di arresto</w:t>
      </w:r>
    </w:p>
    <w:p w:rsidR="004F47BB" w:rsidRPr="004F47BB" w:rsidRDefault="004F47BB" w:rsidP="004F47BB">
      <w:pPr>
        <w:tabs>
          <w:tab w:val="left" w:pos="454"/>
        </w:tabs>
        <w:overflowPunct w:val="0"/>
        <w:adjustRightInd w:val="0"/>
        <w:spacing w:line="240" w:lineRule="exact"/>
        <w:ind w:left="454" w:hanging="454"/>
        <w:textAlignment w:val="baseline"/>
        <w:rPr>
          <w:szCs w:val="20"/>
        </w:rPr>
      </w:pP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spacing w:line="240" w:lineRule="atLeast"/>
        <w:ind w:left="567" w:hanging="567"/>
        <w:rPr>
          <w:rFonts w:cs="Arial"/>
          <w:b/>
          <w:color w:val="000000"/>
          <w:szCs w:val="20"/>
        </w:rPr>
      </w:pPr>
      <w:r>
        <w:rPr>
          <w:b/>
          <w:color w:val="000000"/>
        </w:rPr>
        <w:t>1.</w:t>
      </w:r>
      <w:r>
        <w:tab/>
      </w:r>
      <w:r>
        <w:rPr>
          <w:b/>
          <w:color w:val="000000"/>
        </w:rPr>
        <w:t>Manovra di arresto</w:t>
      </w:r>
    </w:p>
    <w:p w:rsidR="004F47BB" w:rsidRPr="004F47BB" w:rsidRDefault="004F47BB" w:rsidP="004F47BB">
      <w:pPr>
        <w:spacing w:line="240" w:lineRule="atLeast"/>
        <w:ind w:left="567" w:firstLine="0"/>
      </w:pPr>
    </w:p>
    <w:p w:rsidR="004F47BB" w:rsidRPr="004F47BB" w:rsidRDefault="004F47BB" w:rsidP="004F47BB">
      <w:pPr>
        <w:spacing w:line="240" w:lineRule="atLeast"/>
        <w:ind w:left="567" w:firstLine="0"/>
        <w:rPr>
          <w:noProof/>
        </w:rPr>
      </w:pPr>
      <w:r>
        <w:t xml:space="preserve">Le navi e i convogli di cui al capo 5 devono essere sottoposti a una prova in acqua corrente o stagnante, in un'area di prova, per dimostrare di essere in grado di arrestarsi prua a valle con il proprio apparato propulsivo senza l'uso di ancore. Di norma, la manovra di arresto deve essere effettuata come da figura 1. Essa inizia con la nave che si muove a una velocità costante prossima, per quanto possibile, a 13 km/h rispetto all'acqua invertendo i motori da "marcia avanti" a "marcia indietro" (punto </w:t>
      </w:r>
      <m:oMath>
        <m:r>
          <w:rPr>
            <w:rFonts w:ascii="Cambria Math" w:hAnsi="Cambria Math"/>
            <w:noProof/>
          </w:rPr>
          <m:t>A</m:t>
        </m:r>
      </m:oMath>
      <w:r>
        <w:t xml:space="preserve"> del comando di "arresto") e termina quando la nave è ferma rispetto alla riva (punto </w:t>
      </w:r>
      <m:oMath>
        <m:r>
          <w:rPr>
            <w:rFonts w:ascii="Cambria Math" w:hAnsi="Cambria Math"/>
            <w:noProof/>
          </w:rPr>
          <m:t>E: v=0</m:t>
        </m:r>
      </m:oMath>
      <w:r>
        <w:t xml:space="preserve"> rispetto alla riva o punto </w:t>
      </w:r>
      <m:oMath>
        <m:r>
          <w:rPr>
            <w:rFonts w:ascii="Cambria Math" w:hAnsi="Cambria Math"/>
            <w:noProof/>
          </w:rPr>
          <m:t>D:=</m:t>
        </m:r>
      </m:oMath>
      <w:r>
        <w:t xml:space="preserve"> punto </w:t>
      </w:r>
      <m:oMath>
        <m:r>
          <w:rPr>
            <w:rFonts w:ascii="Cambria Math" w:hAnsi="Cambria Math"/>
            <w:noProof/>
          </w:rPr>
          <m:t>E: v=0</m:t>
        </m:r>
      </m:oMath>
      <w:r>
        <w:t xml:space="preserve"> rispetto all'acqua e rispetto alla riva se la manovra di arresto è eseguita in acqua stagnante).</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 xml:space="preserve">Quando le manovre di arresto sono effettuate in acqua corrente, si devono anche annotare la posizione e il momento dell'arresto rispetto all'acqua (la nave si sposta alla velocità della corrente; punto </w:t>
      </w:r>
      <m:oMath>
        <m:r>
          <w:rPr>
            <w:rFonts w:ascii="Cambria Math" w:hAnsi="Cambria Math"/>
            <w:noProof/>
          </w:rPr>
          <m:t>D: v=0</m:t>
        </m:r>
      </m:oMath>
      <w:r>
        <w:t xml:space="preserve"> rispetto all'acqua).</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I dati misurati devono essere annotati in un verbale analogo a quello riportato nello schema della tabella 1. Prima di effettuare la manovra di arresto, all'inizio del modulo occorre riportare i dati fissi.</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Se possibile, calcolare la velocità media della corrente (</w:t>
      </w:r>
      <m:oMath>
        <m:sSub>
          <m:sSubPr>
            <m:ctrlPr>
              <w:rPr>
                <w:rFonts w:ascii="Cambria Math" w:hAnsi="Cambria Math" w:cs="Arial"/>
                <w:i/>
                <w:szCs w:val="20"/>
              </w:rPr>
            </m:ctrlPr>
          </m:sSubPr>
          <m:e>
            <m:r>
              <w:rPr>
                <w:rFonts w:ascii="Cambria Math" w:hAnsi="Cambria Math" w:cs="Arial"/>
                <w:szCs w:val="20"/>
              </w:rPr>
              <m:t>v</m:t>
            </m:r>
          </m:e>
          <m:sub>
            <m:r>
              <w:rPr>
                <w:rFonts w:ascii="Cambria Math" w:hAnsi="Cambria Math" w:cs="Arial"/>
                <w:szCs w:val="20"/>
              </w:rPr>
              <m:t>STR</m:t>
            </m:r>
          </m:sub>
        </m:sSub>
      </m:oMath>
      <w:r>
        <w:t>) nel canale navigabile in base alla lettura di un indicatore di livello dell'acqua prestabilito, oppure misurando il movimento di un corpo galleggiante, e riportarla nel verbale.</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Di norma, per stabilire la velocità della nave rispetto all'acqua durante la manovra di arresto, è consentito l'uso di misuratori di corrente, a condizione che sia possibile registrare il movimento e annotare i dati richiesti nel rispetto della procedura prima descritta.</w:t>
      </w:r>
    </w:p>
    <w:p w:rsidR="004F47BB" w:rsidRPr="004F47BB" w:rsidRDefault="004F47BB" w:rsidP="004F47BB">
      <w:pPr>
        <w:spacing w:line="240" w:lineRule="atLeast"/>
        <w:ind w:left="567" w:firstLine="0"/>
      </w:pPr>
    </w:p>
    <w:p w:rsidR="004F47BB" w:rsidRPr="004F47BB" w:rsidRDefault="004F47BB" w:rsidP="004F47BB">
      <w:pPr>
        <w:spacing w:line="240" w:lineRule="atLeast"/>
        <w:ind w:left="567" w:hanging="567"/>
        <w:rPr>
          <w:rFonts w:cs="Arial"/>
          <w:b/>
          <w:color w:val="000000"/>
          <w:szCs w:val="20"/>
        </w:rPr>
      </w:pPr>
      <w:r>
        <w:rPr>
          <w:b/>
          <w:color w:val="000000"/>
        </w:rPr>
        <w:t>2.</w:t>
      </w:r>
      <w:r>
        <w:tab/>
      </w:r>
      <w:r>
        <w:rPr>
          <w:b/>
          <w:color w:val="000000"/>
        </w:rPr>
        <w:t>Registrazione dei dati misurati e loro annotazione nel verbale (tabella 1)</w:t>
      </w:r>
    </w:p>
    <w:p w:rsidR="004F47BB" w:rsidRPr="004F47BB" w:rsidRDefault="004F47BB" w:rsidP="004F47BB">
      <w:pPr>
        <w:tabs>
          <w:tab w:val="left" w:pos="567"/>
        </w:tabs>
        <w:overflowPunct w:val="0"/>
        <w:adjustRightInd w:val="0"/>
        <w:spacing w:line="240" w:lineRule="exact"/>
        <w:ind w:left="567" w:hanging="567"/>
        <w:textAlignment w:val="baseline"/>
        <w:rPr>
          <w:szCs w:val="20"/>
        </w:rPr>
      </w:pPr>
    </w:p>
    <w:p w:rsidR="004F47BB" w:rsidRPr="004F47BB" w:rsidRDefault="004F47BB" w:rsidP="004F47BB">
      <w:pPr>
        <w:spacing w:line="240" w:lineRule="atLeast"/>
        <w:ind w:left="567" w:firstLine="0"/>
        <w:rPr>
          <w:noProof/>
        </w:rPr>
      </w:pPr>
      <w:r>
        <w:t>Per la manovra di arresto, in primo luogo occorre stabilire la velocità iniziale rispetto all'acqua, calcolo che può essere effettuato misurando il tempo necessario per coprire la distanza tra due marcatori a terra. In acqua corrente, è necessario tenere conto della velocità media della corrente.</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 xml:space="preserve">La manovra di arresto inizia con il comando di "arresto" </w:t>
      </w:r>
      <m:oMath>
        <m:r>
          <w:rPr>
            <w:rFonts w:ascii="Cambria Math" w:hAnsi="Cambria Math"/>
            <w:noProof/>
          </w:rPr>
          <m:t>A</m:t>
        </m:r>
      </m:oMath>
      <w:r>
        <w:t>, impartito non appena si attraversa un marcatore a terra. L'attraversamento del marcatore a terra deve essere registrato perpendicolarmente all'asse della nave e annotato nel verbale. Analogamente si deve registrare l'attraversamento di tutti gli altri marcatori a terra durante la manovra di arresto annotando nel verbale ciascun marcatore (ad esempio riferimento chilometrico) e il momento dell'attraversamento.</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 xml:space="preserve">I valori misurati devono, se possibile, essere registrati a intervalli di 50 m. In ciascun caso, è necessario annotare il momento in cui si raggiungono i punti </w:t>
      </w:r>
      <m:oMath>
        <m:r>
          <w:rPr>
            <w:rFonts w:ascii="Cambria Math" w:hAnsi="Cambria Math"/>
            <w:noProof/>
          </w:rPr>
          <m:t>B</m:t>
        </m:r>
      </m:oMath>
      <w:r>
        <w:t xml:space="preserve"> e </w:t>
      </w:r>
      <m:oMath>
        <m:r>
          <w:rPr>
            <w:rFonts w:ascii="Cambria Math" w:hAnsi="Cambria Math"/>
            <w:noProof/>
          </w:rPr>
          <m:t>C</m:t>
        </m:r>
      </m:oMath>
      <w:r>
        <w:t xml:space="preserve"> - se possibile - nonché i punti </w:t>
      </w:r>
      <m:oMath>
        <m:r>
          <w:rPr>
            <w:rFonts w:ascii="Cambria Math" w:hAnsi="Cambria Math"/>
            <w:noProof/>
          </w:rPr>
          <m:t>D</m:t>
        </m:r>
      </m:oMath>
      <w:r>
        <w:t xml:space="preserve"> ed </w:t>
      </w:r>
      <m:oMath>
        <m:r>
          <w:rPr>
            <w:rFonts w:ascii="Cambria Math" w:hAnsi="Cambria Math"/>
            <w:noProof/>
          </w:rPr>
          <m:t>E</m:t>
        </m:r>
      </m:oMath>
      <w:r>
        <w:t>, stimandone le rispettive posizioni. Nel verbale non è indispensabile riportare i dati concernenti il regime del motore, sebbene sia opportuno farlo per permettere un controllo più accurato della velocità iniziale.</w:t>
      </w:r>
    </w:p>
    <w:p w:rsidR="004F47BB" w:rsidRPr="004F47BB" w:rsidRDefault="004F47BB" w:rsidP="004F47BB">
      <w:pPr>
        <w:spacing w:line="240" w:lineRule="atLeast"/>
        <w:ind w:left="567" w:firstLine="0"/>
        <w:rPr>
          <w:szCs w:val="20"/>
        </w:rPr>
      </w:pPr>
      <w:r>
        <w:br w:type="page"/>
      </w:r>
    </w:p>
    <w:p w:rsidR="004F47BB" w:rsidRPr="004F47BB" w:rsidRDefault="004F47BB" w:rsidP="004F47BB">
      <w:pPr>
        <w:spacing w:line="240" w:lineRule="atLeast"/>
        <w:ind w:left="567" w:hanging="567"/>
        <w:rPr>
          <w:rFonts w:cs="Arial"/>
          <w:b/>
          <w:color w:val="000000"/>
          <w:szCs w:val="20"/>
        </w:rPr>
      </w:pPr>
      <w:r>
        <w:rPr>
          <w:b/>
          <w:color w:val="000000"/>
        </w:rPr>
        <w:lastRenderedPageBreak/>
        <w:t>3.</w:t>
      </w:r>
      <w:r>
        <w:tab/>
      </w:r>
      <w:r>
        <w:rPr>
          <w:b/>
          <w:color w:val="000000"/>
        </w:rPr>
        <w:t>Descrizione della manovra di arresto</w:t>
      </w:r>
    </w:p>
    <w:p w:rsidR="004F47BB" w:rsidRPr="004F47BB" w:rsidRDefault="004F47BB" w:rsidP="004F47BB">
      <w:pPr>
        <w:tabs>
          <w:tab w:val="left" w:pos="567"/>
        </w:tabs>
        <w:overflowPunct w:val="0"/>
        <w:adjustRightInd w:val="0"/>
        <w:spacing w:line="240" w:lineRule="exact"/>
        <w:ind w:left="567" w:hanging="567"/>
        <w:textAlignment w:val="baseline"/>
        <w:rPr>
          <w:szCs w:val="20"/>
        </w:rPr>
      </w:pPr>
    </w:p>
    <w:p w:rsidR="004F47BB" w:rsidRPr="004F47BB" w:rsidRDefault="004F47BB" w:rsidP="004F47BB">
      <w:pPr>
        <w:spacing w:line="240" w:lineRule="atLeast"/>
        <w:ind w:left="567" w:firstLine="0"/>
      </w:pPr>
      <w:r>
        <w:t xml:space="preserve">La manovra di arresto di cui alla figura 1 deve essere presentata sotto forma di schema. In primo luogo, è necessario tracciare lo schema tempo/spazio usando le misure riportate nel verbale di prova e indicandovi i punti da </w:t>
      </w:r>
      <m:oMath>
        <m:r>
          <w:rPr>
            <w:rFonts w:ascii="Cambria Math" w:hAnsi="Cambria Math"/>
            <w:noProof/>
          </w:rPr>
          <m:t>A</m:t>
        </m:r>
      </m:oMath>
      <w:r>
        <w:t xml:space="preserve"> a </w:t>
      </w:r>
      <m:oMath>
        <m:r>
          <w:rPr>
            <w:rFonts w:ascii="Cambria Math" w:hAnsi="Cambria Math"/>
            <w:noProof/>
          </w:rPr>
          <m:t>E</m:t>
        </m:r>
      </m:oMath>
      <w:r>
        <w:t>. Dopodiché è possibile stabilire la velocità media tra due punti di misurazione e tracciare lo schema velocità/tempo.</w:t>
      </w:r>
    </w:p>
    <w:p w:rsidR="004F47BB" w:rsidRPr="004F47BB" w:rsidRDefault="004F47BB" w:rsidP="004F47BB">
      <w:pPr>
        <w:spacing w:line="240" w:lineRule="atLeast"/>
        <w:ind w:left="567" w:firstLine="0"/>
      </w:pPr>
    </w:p>
    <w:p w:rsidR="004F47BB" w:rsidRPr="004F47BB" w:rsidRDefault="004F47BB" w:rsidP="004F47BB">
      <w:pPr>
        <w:spacing w:line="240" w:lineRule="atLeast"/>
        <w:ind w:left="567" w:firstLine="0"/>
      </w:pPr>
      <w:r>
        <w:t>Tale operazione viene effettuata come segue (cfr. figura 1):</w:t>
      </w:r>
    </w:p>
    <w:p w:rsidR="004F47BB" w:rsidRPr="004F47BB" w:rsidRDefault="004F47BB" w:rsidP="004F47BB">
      <w:pPr>
        <w:spacing w:line="240" w:lineRule="atLeast"/>
        <w:ind w:left="567" w:firstLine="0"/>
      </w:pPr>
    </w:p>
    <w:p w:rsidR="004F47BB" w:rsidRPr="004F47BB" w:rsidRDefault="004F47BB" w:rsidP="004F47BB">
      <w:pPr>
        <w:spacing w:line="240" w:lineRule="atLeast"/>
        <w:ind w:left="567" w:firstLine="0"/>
      </w:pPr>
      <w:r>
        <w:t xml:space="preserve">calcolando il quoziente tra la differenza di posizione e la differenza di tempo </w:t>
      </w:r>
      <m:oMath>
        <m:r>
          <w:rPr>
            <w:rFonts w:ascii="Cambria Math" w:hAnsi="Cambria Math"/>
          </w:rPr>
          <m:t>Δs/Δt</m:t>
        </m:r>
      </m:oMath>
      <w:r>
        <w:t>, è possibile desumere la velocità media della nave per l'intervallo in questione.</w:t>
      </w:r>
    </w:p>
    <w:p w:rsidR="004F47BB" w:rsidRPr="004F47BB" w:rsidRDefault="004F47BB" w:rsidP="004F47BB">
      <w:pPr>
        <w:spacing w:line="240" w:lineRule="atLeast"/>
        <w:ind w:left="567" w:firstLine="0"/>
      </w:pPr>
    </w:p>
    <w:p w:rsidR="004F47BB" w:rsidRPr="00762086" w:rsidRDefault="004F47BB" w:rsidP="004F47BB">
      <w:pPr>
        <w:spacing w:line="240" w:lineRule="atLeast"/>
        <w:ind w:left="567" w:firstLine="0"/>
        <w:rPr>
          <w:lang w:val="pt-PT"/>
        </w:rPr>
      </w:pPr>
      <w:r w:rsidRPr="00762086">
        <w:rPr>
          <w:lang w:val="pt-PT"/>
        </w:rPr>
        <w:t>ad esempio:</w:t>
      </w:r>
    </w:p>
    <w:p w:rsidR="004F47BB" w:rsidRPr="00762086" w:rsidRDefault="004F47BB" w:rsidP="004F47BB">
      <w:pPr>
        <w:tabs>
          <w:tab w:val="left" w:pos="567"/>
        </w:tabs>
        <w:overflowPunct w:val="0"/>
        <w:adjustRightInd w:val="0"/>
        <w:spacing w:line="240" w:lineRule="exact"/>
        <w:ind w:left="567" w:hanging="567"/>
        <w:jc w:val="left"/>
        <w:textAlignment w:val="baseline"/>
        <w:rPr>
          <w:szCs w:val="20"/>
          <w:lang w:val="pt-PT"/>
        </w:rPr>
      </w:pPr>
    </w:p>
    <w:p w:rsidR="004F47BB" w:rsidRPr="00762086" w:rsidRDefault="004F47BB" w:rsidP="004F47BB">
      <w:pPr>
        <w:spacing w:line="240" w:lineRule="atLeast"/>
        <w:ind w:left="567" w:firstLine="0"/>
        <w:jc w:val="center"/>
        <w:rPr>
          <w:lang w:val="pt-PT"/>
        </w:rPr>
      </w:pPr>
      <m:oMath>
        <m:r>
          <w:rPr>
            <w:rFonts w:ascii="Cambria Math" w:hAnsi="Cambria Math"/>
            <w:i/>
          </w:rPr>
          <w:sym w:font="Symbol" w:char="F044"/>
        </m:r>
        <m:r>
          <w:rPr>
            <w:rFonts w:ascii="Cambria Math" w:hAnsi="Cambria Math"/>
          </w:rPr>
          <m:t>s</m:t>
        </m:r>
        <m:r>
          <w:rPr>
            <w:rFonts w:ascii="Cambria Math" w:hAnsi="Cambria Math"/>
            <w:lang w:val="pt-PT"/>
          </w:rPr>
          <m:t>/</m:t>
        </m:r>
        <m:r>
          <w:rPr>
            <w:rFonts w:ascii="Cambria Math" w:hAnsi="Cambria Math"/>
            <w:i/>
          </w:rPr>
          <w:sym w:font="Symbol" w:char="F044"/>
        </m:r>
        <m:r>
          <w:rPr>
            <w:rFonts w:ascii="Cambria Math" w:hAnsi="Cambria Math"/>
          </w:rPr>
          <m:t>t</m:t>
        </m:r>
      </m:oMath>
      <w:r w:rsidRPr="00762086">
        <w:rPr>
          <w:lang w:val="pt-PT"/>
        </w:rPr>
        <w:t xml:space="preserve"> = 50 m/10 s = 5,0 m/s = 18,0 km/h</w:t>
      </w:r>
    </w:p>
    <w:p w:rsidR="004F47BB" w:rsidRPr="00762086" w:rsidRDefault="004F47BB" w:rsidP="004F47BB">
      <w:pPr>
        <w:spacing w:line="240" w:lineRule="atLeast"/>
        <w:ind w:left="567" w:firstLine="0"/>
        <w:rPr>
          <w:lang w:val="pt-PT"/>
        </w:rPr>
      </w:pPr>
    </w:p>
    <w:p w:rsidR="004F47BB" w:rsidRPr="004F47BB" w:rsidRDefault="004F47BB" w:rsidP="004F47BB">
      <w:pPr>
        <w:spacing w:line="240" w:lineRule="atLeast"/>
        <w:ind w:left="567" w:firstLine="0"/>
      </w:pPr>
      <w:r>
        <w:t xml:space="preserve">Tale valore è riportato come velocità media nella posizione lungo l'asse delle ascisse corrispondente a 5 s. </w:t>
      </w:r>
    </w:p>
    <w:p w:rsidR="004F47BB" w:rsidRPr="004F47BB" w:rsidRDefault="004F47BB" w:rsidP="004F47BB">
      <w:pPr>
        <w:spacing w:line="240" w:lineRule="atLeast"/>
        <w:ind w:left="567" w:firstLine="0"/>
      </w:pPr>
    </w:p>
    <w:p w:rsidR="004F47BB" w:rsidRPr="00762086" w:rsidRDefault="004F47BB" w:rsidP="004F47BB">
      <w:pPr>
        <w:spacing w:line="240" w:lineRule="atLeast"/>
        <w:ind w:left="567" w:firstLine="0"/>
        <w:rPr>
          <w:lang w:val="pt-PT"/>
        </w:rPr>
      </w:pPr>
      <w:r>
        <w:t>Δ</w:t>
      </w:r>
      <w:r w:rsidRPr="00762086">
        <w:rPr>
          <w:lang w:val="pt-PT"/>
        </w:rPr>
        <w:t>s/</w:t>
      </w:r>
      <w:r>
        <w:t>Δ</w:t>
      </w:r>
      <w:r w:rsidRPr="00762086">
        <w:rPr>
          <w:lang w:val="pt-PT"/>
        </w:rPr>
        <w:t>t = 50 m/10 s = 5,0 m/s = 18,0 km/h</w:t>
      </w:r>
    </w:p>
    <w:p w:rsidR="004F47BB" w:rsidRPr="00762086" w:rsidRDefault="004F47BB" w:rsidP="004F47BB">
      <w:pPr>
        <w:spacing w:line="240" w:lineRule="atLeast"/>
        <w:ind w:left="567" w:firstLine="0"/>
        <w:rPr>
          <w:lang w:val="pt-PT"/>
        </w:rPr>
      </w:pPr>
    </w:p>
    <w:p w:rsidR="004F47BB" w:rsidRPr="004F47BB" w:rsidRDefault="004F47BB" w:rsidP="004F47BB">
      <w:pPr>
        <w:spacing w:line="240" w:lineRule="atLeast"/>
        <w:ind w:left="567" w:firstLine="0"/>
        <w:jc w:val="center"/>
      </w:pPr>
      <m:oMath>
        <m:r>
          <w:rPr>
            <w:rFonts w:ascii="Cambria Math" w:hAnsi="Cambria Math"/>
            <w:i/>
          </w:rPr>
          <w:sym w:font="Symbol" w:char="F044"/>
        </m:r>
        <m:r>
          <w:rPr>
            <w:rFonts w:ascii="Cambria Math" w:hAnsi="Cambria Math"/>
          </w:rPr>
          <m:t>s/</m:t>
        </m:r>
        <m:r>
          <w:rPr>
            <w:rFonts w:ascii="Cambria Math" w:hAnsi="Cambria Math"/>
            <w:i/>
          </w:rPr>
          <w:sym w:font="Symbol" w:char="F044"/>
        </m:r>
        <m:r>
          <w:rPr>
            <w:rFonts w:ascii="Cambria Math" w:hAnsi="Cambria Math"/>
          </w:rPr>
          <m:t>t</m:t>
        </m:r>
      </m:oMath>
      <w:r>
        <w:t xml:space="preserve"> = 45 m/10 s = 4,5 m/s = 16,2 km/h</w:t>
      </w:r>
    </w:p>
    <w:p w:rsidR="004F47BB" w:rsidRPr="004F47BB" w:rsidRDefault="004F47BB" w:rsidP="004F47BB">
      <w:pPr>
        <w:spacing w:line="240" w:lineRule="atLeast"/>
        <w:ind w:left="567" w:firstLine="0"/>
      </w:pPr>
    </w:p>
    <w:p w:rsidR="004F47BB" w:rsidRPr="004F47BB" w:rsidRDefault="004F47BB" w:rsidP="004F47BB">
      <w:pPr>
        <w:spacing w:line="240" w:lineRule="atLeast"/>
        <w:ind w:left="567" w:firstLine="0"/>
      </w:pPr>
      <w:r>
        <w:t xml:space="preserve">In corrispondenza del marcatore </w:t>
      </w:r>
      <m:oMath>
        <m:r>
          <w:rPr>
            <w:rFonts w:ascii="Cambria Math" w:hAnsi="Cambria Math"/>
          </w:rPr>
          <m:t>D</m:t>
        </m:r>
      </m:oMath>
      <w:r>
        <w:t>, la nave si è fermata rispetto all'acqua, ossia la velocità della corrente è pari circa a 5 km/h.</w:t>
      </w:r>
    </w:p>
    <w:p w:rsidR="004F47BB" w:rsidRPr="004F47BB" w:rsidRDefault="004F47BB" w:rsidP="004F47BB">
      <w:pPr>
        <w:tabs>
          <w:tab w:val="left" w:pos="567"/>
        </w:tabs>
        <w:overflowPunct w:val="0"/>
        <w:adjustRightInd w:val="0"/>
        <w:spacing w:line="240" w:lineRule="exact"/>
        <w:ind w:left="567" w:hanging="567"/>
        <w:textAlignment w:val="baseline"/>
        <w:rPr>
          <w:szCs w:val="20"/>
        </w:rPr>
      </w:pPr>
    </w:p>
    <w:p w:rsidR="004F47BB" w:rsidRPr="004F47BB" w:rsidRDefault="004F47BB" w:rsidP="004F47BB">
      <w:pPr>
        <w:overflowPunct w:val="0"/>
        <w:adjustRightInd w:val="0"/>
        <w:ind w:left="0" w:firstLine="0"/>
        <w:jc w:val="center"/>
        <w:textAlignment w:val="baseline"/>
        <w:rPr>
          <w:b/>
          <w:szCs w:val="20"/>
        </w:rPr>
      </w:pPr>
      <w:r>
        <w:br w:type="page"/>
      </w:r>
      <w:r>
        <w:rPr>
          <w:b/>
        </w:rPr>
        <w:lastRenderedPageBreak/>
        <w:t>Figura 1: Manovra di arresto</w:t>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center"/>
        <w:textAlignment w:val="baseline"/>
        <w:rPr>
          <w:rFonts w:ascii="Times New Roman" w:hAnsi="Times New Roman"/>
          <w:szCs w:val="20"/>
        </w:rPr>
      </w:pPr>
      <w:r>
        <w:rPr>
          <w:rFonts w:ascii="Times New Roman" w:hAnsi="Times New Roman"/>
          <w:noProof/>
          <w:szCs w:val="20"/>
          <w:lang w:val="en-GB" w:eastAsia="en-GB" w:bidi="ar-SA"/>
        </w:rPr>
        <w:drawing>
          <wp:inline distT="0" distB="0" distL="0" distR="0" wp14:anchorId="7D91C7E2" wp14:editId="5CAE3750">
            <wp:extent cx="5372100" cy="3533775"/>
            <wp:effectExtent l="0" t="0" r="0" b="9525"/>
            <wp:docPr id="298" name="Imag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372100" cy="3533775"/>
                    </a:xfrm>
                    <a:prstGeom prst="rect">
                      <a:avLst/>
                    </a:prstGeom>
                    <a:noFill/>
                    <a:ln>
                      <a:noFill/>
                    </a:ln>
                  </pic:spPr>
                </pic:pic>
              </a:graphicData>
            </a:graphic>
          </wp:inline>
        </w:drawing>
      </w:r>
    </w:p>
    <w:p w:rsidR="004F47BB" w:rsidRPr="004F47BB" w:rsidRDefault="004F47BB" w:rsidP="004F47BB">
      <w:pPr>
        <w:tabs>
          <w:tab w:val="left" w:pos="284"/>
        </w:tabs>
        <w:overflowPunct w:val="0"/>
        <w:adjustRightInd w:val="0"/>
        <w:spacing w:line="240" w:lineRule="exact"/>
        <w:ind w:left="284" w:hanging="284"/>
        <w:textAlignment w:val="baseline"/>
        <w:rPr>
          <w:szCs w:val="20"/>
        </w:rPr>
      </w:pPr>
    </w:p>
    <w:p w:rsidR="004F47BB" w:rsidRPr="004F47BB" w:rsidRDefault="004F47BB" w:rsidP="004F47BB">
      <w:pPr>
        <w:tabs>
          <w:tab w:val="left" w:pos="284"/>
        </w:tabs>
        <w:overflowPunct w:val="0"/>
        <w:adjustRightInd w:val="0"/>
        <w:spacing w:line="240" w:lineRule="exact"/>
        <w:ind w:left="284" w:hanging="284"/>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spacing w:line="240" w:lineRule="atLeast"/>
        <w:ind w:left="567" w:hanging="567"/>
        <w:rPr>
          <w:rFonts w:cs="Arial"/>
          <w:b/>
          <w:color w:val="000000"/>
          <w:szCs w:val="20"/>
        </w:rPr>
      </w:pPr>
      <w:r>
        <w:rPr>
          <w:b/>
          <w:color w:val="000000"/>
        </w:rPr>
        <w:t>Legenda della figura 1</w:t>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tabs>
          <w:tab w:val="left" w:pos="851"/>
          <w:tab w:val="left" w:pos="4820"/>
          <w:tab w:val="left" w:pos="5245"/>
        </w:tabs>
        <w:overflowPunct w:val="0"/>
        <w:adjustRightInd w:val="0"/>
        <w:spacing w:after="120" w:line="240" w:lineRule="exact"/>
        <w:ind w:left="0" w:firstLine="0"/>
        <w:jc w:val="left"/>
        <w:textAlignment w:val="baseline"/>
        <w:rPr>
          <w:szCs w:val="20"/>
        </w:rPr>
      </w:pPr>
      <m:oMath>
        <m:r>
          <w:rPr>
            <w:rFonts w:ascii="Cambria Math" w:hAnsi="Cambria Math"/>
            <w:szCs w:val="20"/>
          </w:rPr>
          <m:t>A</m:t>
        </m:r>
      </m:oMath>
      <w:r>
        <w:tab/>
        <w:t xml:space="preserve">Comando di </w:t>
      </w:r>
      <w:r w:rsidR="00BF7908">
        <w:t>"</w:t>
      </w:r>
      <w:r>
        <w:t>arresto</w:t>
      </w:r>
      <w:r w:rsidR="00BF7908">
        <w:t>"</w:t>
      </w:r>
      <w:r>
        <w:tab/>
      </w:r>
      <m:oMath>
        <m:r>
          <w:rPr>
            <w:rFonts w:ascii="Cambria Math" w:hAnsi="Cambria Math"/>
            <w:szCs w:val="20"/>
          </w:rPr>
          <m:t>v</m:t>
        </m:r>
      </m:oMath>
      <w:r>
        <w:tab/>
        <w:t>Velocità della nave</w:t>
      </w:r>
    </w:p>
    <w:p w:rsidR="004F47BB" w:rsidRPr="004F47BB" w:rsidRDefault="004F47BB" w:rsidP="004F47BB">
      <w:pPr>
        <w:tabs>
          <w:tab w:val="left" w:pos="851"/>
          <w:tab w:val="left" w:pos="4820"/>
          <w:tab w:val="left" w:pos="5245"/>
        </w:tabs>
        <w:overflowPunct w:val="0"/>
        <w:adjustRightInd w:val="0"/>
        <w:spacing w:after="120" w:line="240" w:lineRule="exact"/>
        <w:ind w:left="0" w:firstLine="0"/>
        <w:jc w:val="left"/>
        <w:textAlignment w:val="baseline"/>
        <w:rPr>
          <w:szCs w:val="20"/>
        </w:rPr>
      </w:pPr>
      <m:oMath>
        <m:r>
          <w:rPr>
            <w:rFonts w:ascii="Cambria Math" w:hAnsi="Cambria Math"/>
            <w:szCs w:val="20"/>
          </w:rPr>
          <m:t>B</m:t>
        </m:r>
      </m:oMath>
      <w:r>
        <w:tab/>
        <w:t>Elica ferma</w:t>
      </w:r>
      <w:r>
        <w:tab/>
      </w:r>
      <m:oMath>
        <m:r>
          <w:rPr>
            <w:rFonts w:ascii="Cambria Math" w:hAnsi="Cambria Math"/>
            <w:szCs w:val="20"/>
          </w:rPr>
          <m:t>v</m:t>
        </m:r>
        <m:r>
          <w:rPr>
            <w:rFonts w:ascii="Cambria Math" w:hAnsi="Cambria Math"/>
            <w:position w:val="-6"/>
            <w:sz w:val="16"/>
            <w:szCs w:val="20"/>
          </w:rPr>
          <m:t>L</m:t>
        </m:r>
      </m:oMath>
      <w:r>
        <w:tab/>
      </w:r>
      <m:oMath>
        <m:r>
          <w:rPr>
            <w:rFonts w:ascii="Cambria Math" w:hAnsi="Cambria Math"/>
            <w:szCs w:val="20"/>
          </w:rPr>
          <m:t>v</m:t>
        </m:r>
      </m:oMath>
      <w:r>
        <w:t xml:space="preserve"> rispetto alla riva</w:t>
      </w:r>
    </w:p>
    <w:p w:rsidR="004F47BB" w:rsidRPr="004F47BB" w:rsidRDefault="004F47BB" w:rsidP="004F47BB">
      <w:pPr>
        <w:tabs>
          <w:tab w:val="left" w:pos="851"/>
          <w:tab w:val="left" w:pos="4820"/>
          <w:tab w:val="left" w:pos="5245"/>
        </w:tabs>
        <w:overflowPunct w:val="0"/>
        <w:adjustRightInd w:val="0"/>
        <w:spacing w:after="120" w:line="240" w:lineRule="exact"/>
        <w:ind w:left="0" w:firstLine="0"/>
        <w:jc w:val="left"/>
        <w:textAlignment w:val="baseline"/>
        <w:rPr>
          <w:szCs w:val="20"/>
        </w:rPr>
      </w:pPr>
      <m:oMath>
        <m:r>
          <w:rPr>
            <w:rFonts w:ascii="Cambria Math" w:hAnsi="Cambria Math"/>
            <w:szCs w:val="20"/>
          </w:rPr>
          <m:t>C</m:t>
        </m:r>
      </m:oMath>
      <w:r>
        <w:tab/>
        <w:t>Elica invertita</w:t>
      </w:r>
      <w:r>
        <w:tab/>
      </w:r>
      <m:oMath>
        <m:r>
          <w:rPr>
            <w:rFonts w:ascii="Cambria Math" w:hAnsi="Cambria Math"/>
            <w:szCs w:val="20"/>
          </w:rPr>
          <m:t>s</m:t>
        </m:r>
      </m:oMath>
      <w:r>
        <w:t xml:space="preserve"> </w:t>
      </w:r>
      <w:r>
        <w:tab/>
        <w:t>Distanza coperta rispetto alla riva</w:t>
      </w:r>
    </w:p>
    <w:p w:rsidR="004F47BB" w:rsidRPr="004F47BB" w:rsidRDefault="004F47BB" w:rsidP="004F47BB">
      <w:pPr>
        <w:tabs>
          <w:tab w:val="left" w:pos="851"/>
          <w:tab w:val="left" w:pos="4820"/>
          <w:tab w:val="left" w:pos="5245"/>
        </w:tabs>
        <w:overflowPunct w:val="0"/>
        <w:adjustRightInd w:val="0"/>
        <w:spacing w:after="120" w:line="240" w:lineRule="exact"/>
        <w:ind w:left="0" w:firstLine="0"/>
        <w:jc w:val="left"/>
        <w:textAlignment w:val="baseline"/>
        <w:rPr>
          <w:szCs w:val="20"/>
        </w:rPr>
      </w:pPr>
      <m:oMath>
        <m:r>
          <w:rPr>
            <w:rFonts w:ascii="Cambria Math" w:hAnsi="Cambria Math"/>
            <w:szCs w:val="20"/>
          </w:rPr>
          <m:t>D</m:t>
        </m:r>
      </m:oMath>
      <w:r>
        <w:tab/>
      </w:r>
      <m:oMath>
        <m:r>
          <w:rPr>
            <w:rFonts w:ascii="Cambria Math" w:hAnsi="Cambria Math"/>
            <w:szCs w:val="20"/>
          </w:rPr>
          <m:t>v=0</m:t>
        </m:r>
      </m:oMath>
      <w:r>
        <w:t xml:space="preserve"> rispetto all'acqua</w:t>
      </w:r>
      <w:r>
        <w:tab/>
      </w:r>
      <m:oMath>
        <m:r>
          <w:rPr>
            <w:rFonts w:ascii="Cambria Math" w:hAnsi="Cambria Math"/>
            <w:szCs w:val="20"/>
          </w:rPr>
          <m:t>t</m:t>
        </m:r>
      </m:oMath>
      <w:r>
        <w:tab/>
        <w:t>Tempo misurato</w:t>
      </w:r>
    </w:p>
    <w:p w:rsidR="004F47BB" w:rsidRPr="004F47BB" w:rsidRDefault="004F47BB" w:rsidP="004F47BB">
      <w:pPr>
        <w:tabs>
          <w:tab w:val="left" w:pos="851"/>
          <w:tab w:val="left" w:pos="5103"/>
          <w:tab w:val="left" w:pos="5670"/>
        </w:tabs>
        <w:overflowPunct w:val="0"/>
        <w:adjustRightInd w:val="0"/>
        <w:spacing w:after="120" w:line="240" w:lineRule="exact"/>
        <w:ind w:left="0" w:firstLine="0"/>
        <w:jc w:val="left"/>
        <w:textAlignment w:val="baseline"/>
        <w:rPr>
          <w:szCs w:val="20"/>
        </w:rPr>
      </w:pPr>
      <m:oMath>
        <m:r>
          <w:rPr>
            <w:rFonts w:ascii="Cambria Math" w:hAnsi="Cambria Math"/>
            <w:szCs w:val="20"/>
          </w:rPr>
          <m:t>E</m:t>
        </m:r>
      </m:oMath>
      <w:r>
        <w:tab/>
      </w:r>
      <m:oMath>
        <m:r>
          <w:rPr>
            <w:rFonts w:ascii="Cambria Math" w:hAnsi="Cambria Math"/>
            <w:szCs w:val="20"/>
          </w:rPr>
          <m:t>v=0</m:t>
        </m:r>
      </m:oMath>
      <w:r>
        <w:t xml:space="preserve"> rispetto alla riva</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sectPr w:rsidR="004F47BB" w:rsidRPr="004F47BB" w:rsidSect="00D45887">
          <w:headerReference w:type="default" r:id="rId116"/>
          <w:headerReference w:type="first" r:id="rId117"/>
          <w:pgSz w:w="11907" w:h="16840" w:code="9"/>
          <w:pgMar w:top="1418" w:right="1418" w:bottom="1418" w:left="1418" w:header="680" w:footer="680" w:gutter="0"/>
          <w:cols w:space="720"/>
          <w:noEndnote/>
          <w:titlePg/>
        </w:sectPr>
      </w:pPr>
    </w:p>
    <w:p w:rsidR="004F47BB" w:rsidRPr="004F47BB" w:rsidRDefault="004F47BB" w:rsidP="004F47BB">
      <w:pPr>
        <w:tabs>
          <w:tab w:val="left" w:pos="4536"/>
          <w:tab w:val="left" w:pos="4896"/>
          <w:tab w:val="right" w:pos="5670"/>
          <w:tab w:val="left" w:pos="10632"/>
          <w:tab w:val="right" w:pos="11482"/>
          <w:tab w:val="left" w:leader="dot" w:pos="14459"/>
        </w:tabs>
        <w:overflowPunct w:val="0"/>
        <w:adjustRightInd w:val="0"/>
        <w:spacing w:line="240" w:lineRule="exact"/>
        <w:ind w:left="0" w:firstLine="0"/>
        <w:jc w:val="left"/>
        <w:textAlignment w:val="baseline"/>
        <w:rPr>
          <w:szCs w:val="20"/>
        </w:rPr>
      </w:pPr>
      <w:r>
        <w:lastRenderedPageBreak/>
        <w:t xml:space="preserve">Commissione </w:t>
      </w:r>
      <w:r>
        <w:tab/>
        <w:t>Tipo di nave</w:t>
      </w:r>
      <w:r>
        <w:tab/>
        <w:t>Area di prova:</w:t>
      </w:r>
      <w:r>
        <w:tab/>
      </w:r>
    </w:p>
    <w:p w:rsidR="004F47BB" w:rsidRPr="004F47BB" w:rsidRDefault="004F47BB" w:rsidP="004F47BB">
      <w:pPr>
        <w:tabs>
          <w:tab w:val="left" w:leader="dot" w:pos="3544"/>
          <w:tab w:val="left" w:pos="4536"/>
          <w:tab w:val="left" w:pos="4896"/>
          <w:tab w:val="right" w:pos="6237"/>
          <w:tab w:val="left" w:leader="dot" w:pos="9639"/>
          <w:tab w:val="left" w:pos="10632"/>
          <w:tab w:val="left" w:leader="dot" w:pos="14459"/>
        </w:tabs>
        <w:overflowPunct w:val="0"/>
        <w:adjustRightInd w:val="0"/>
        <w:spacing w:after="80" w:line="240" w:lineRule="exact"/>
        <w:ind w:left="0" w:firstLine="0"/>
        <w:jc w:val="left"/>
        <w:textAlignment w:val="baseline"/>
        <w:rPr>
          <w:szCs w:val="20"/>
        </w:rPr>
      </w:pPr>
      <w:r>
        <w:t xml:space="preserve">di ispezione: </w:t>
      </w:r>
      <w:r>
        <w:tab/>
      </w:r>
      <w:r>
        <w:tab/>
        <w:t xml:space="preserve">o convoglio: </w:t>
      </w:r>
      <w:r>
        <w:tab/>
      </w:r>
      <w:r>
        <w:tab/>
      </w:r>
      <w:r>
        <w:tab/>
        <w:t xml:space="preserve">Lettura dell'indicatore di livello dell'acqua [m]: </w:t>
      </w:r>
      <w:r>
        <w:tab/>
      </w:r>
    </w:p>
    <w:p w:rsidR="004F47BB" w:rsidRPr="004F47BB" w:rsidRDefault="004F47BB" w:rsidP="004F47BB">
      <w:pPr>
        <w:tabs>
          <w:tab w:val="left" w:leader="dot" w:pos="3544"/>
          <w:tab w:val="left" w:pos="4536"/>
          <w:tab w:val="left" w:pos="4896"/>
          <w:tab w:val="right" w:pos="6237"/>
          <w:tab w:val="left" w:leader="dot" w:pos="9639"/>
          <w:tab w:val="left" w:pos="10632"/>
          <w:tab w:val="right" w:pos="12333"/>
          <w:tab w:val="left" w:leader="dot" w:pos="14459"/>
        </w:tabs>
        <w:overflowPunct w:val="0"/>
        <w:adjustRightInd w:val="0"/>
        <w:spacing w:after="80" w:line="240" w:lineRule="exact"/>
        <w:ind w:left="0" w:firstLine="0"/>
        <w:jc w:val="left"/>
        <w:textAlignment w:val="baseline"/>
        <w:rPr>
          <w:szCs w:val="20"/>
        </w:rPr>
      </w:pPr>
      <w:r>
        <w:t xml:space="preserve">Data: </w:t>
      </w:r>
      <w:r>
        <w:tab/>
      </w:r>
      <w:r>
        <w:tab/>
      </w:r>
      <m:oMath>
        <m:r>
          <w:rPr>
            <w:rFonts w:ascii="Cambria Math" w:hAnsi="Cambria Math"/>
            <w:szCs w:val="20"/>
          </w:rPr>
          <m:t>L × B</m:t>
        </m:r>
      </m:oMath>
      <w:r>
        <w:t xml:space="preserve"> [m]:</w:t>
      </w:r>
      <w:r>
        <w:tab/>
        <w:t xml:space="preserve">: </w:t>
      </w:r>
      <w:r>
        <w:tab/>
      </w:r>
      <w:r>
        <w:tab/>
        <w:t>Profondità dell'acqua</w:t>
      </w:r>
      <w:r>
        <w:tab/>
        <w:t xml:space="preserve">[m]: </w:t>
      </w:r>
      <w:r>
        <w:tab/>
      </w:r>
    </w:p>
    <w:p w:rsidR="004F47BB" w:rsidRPr="004F47BB" w:rsidRDefault="004F47BB" w:rsidP="004F47BB">
      <w:pPr>
        <w:tabs>
          <w:tab w:val="left" w:leader="dot" w:pos="3544"/>
          <w:tab w:val="left" w:pos="4536"/>
          <w:tab w:val="left" w:pos="4896"/>
          <w:tab w:val="right" w:pos="6237"/>
          <w:tab w:val="left" w:leader="dot" w:pos="9639"/>
          <w:tab w:val="left" w:pos="10632"/>
          <w:tab w:val="right" w:pos="12333"/>
          <w:tab w:val="left" w:leader="dot" w:pos="14459"/>
        </w:tabs>
        <w:overflowPunct w:val="0"/>
        <w:adjustRightInd w:val="0"/>
        <w:spacing w:after="80" w:line="240" w:lineRule="exact"/>
        <w:ind w:left="0" w:firstLine="0"/>
        <w:jc w:val="left"/>
        <w:textAlignment w:val="baseline"/>
        <w:rPr>
          <w:szCs w:val="20"/>
        </w:rPr>
      </w:pPr>
      <w:r>
        <w:t xml:space="preserve">Nome: </w:t>
      </w:r>
      <w:r>
        <w:tab/>
      </w:r>
      <w:r>
        <w:tab/>
      </w:r>
      <m:oMath>
        <m:r>
          <w:rPr>
            <w:rFonts w:ascii="Cambria Math" w:hAnsi="Cambria Math"/>
            <w:szCs w:val="20"/>
          </w:rPr>
          <m:t>T</m:t>
        </m:r>
      </m:oMath>
      <w:r>
        <w:t xml:space="preserve"> durante la prova [m]:</w:t>
      </w:r>
      <w:r>
        <w:tab/>
        <w:t xml:space="preserve">: </w:t>
      </w:r>
      <w:r>
        <w:tab/>
      </w:r>
      <w:r>
        <w:tab/>
        <w:t>Gradiente</w:t>
      </w:r>
      <w:r>
        <w:tab/>
        <w:t xml:space="preserve">(m/km): </w:t>
      </w:r>
      <w:r>
        <w:tab/>
      </w:r>
    </w:p>
    <w:p w:rsidR="004F47BB" w:rsidRPr="00762086" w:rsidRDefault="004F47BB" w:rsidP="004F47BB">
      <w:pPr>
        <w:tabs>
          <w:tab w:val="left" w:pos="0"/>
          <w:tab w:val="left" w:leader="dot" w:pos="3544"/>
          <w:tab w:val="left" w:pos="4536"/>
          <w:tab w:val="right" w:pos="5670"/>
          <w:tab w:val="left" w:pos="10632"/>
          <w:tab w:val="right" w:pos="12333"/>
          <w:tab w:val="left" w:leader="dot" w:pos="14459"/>
        </w:tabs>
        <w:overflowPunct w:val="0"/>
        <w:adjustRightInd w:val="0"/>
        <w:spacing w:after="80" w:line="240" w:lineRule="exact"/>
        <w:ind w:left="0" w:firstLine="0"/>
        <w:jc w:val="left"/>
        <w:textAlignment w:val="baseline"/>
        <w:rPr>
          <w:szCs w:val="20"/>
          <w:lang w:val="pt-PT"/>
        </w:rPr>
      </w:pPr>
      <w:r w:rsidRPr="00762086">
        <w:rPr>
          <w:lang w:val="pt-PT"/>
        </w:rPr>
        <w:t xml:space="preserve">Prova n.: </w:t>
      </w:r>
      <w:r w:rsidRPr="00762086">
        <w:rPr>
          <w:lang w:val="pt-PT"/>
        </w:rPr>
        <w:tab/>
      </w:r>
      <w:r w:rsidRPr="00762086">
        <w:rPr>
          <w:lang w:val="pt-PT"/>
        </w:rPr>
        <w:tab/>
      </w:r>
      <w:r w:rsidRPr="00762086">
        <w:rPr>
          <w:lang w:val="pt-PT"/>
        </w:rPr>
        <w:tab/>
      </w:r>
      <w:r w:rsidRPr="00762086">
        <w:rPr>
          <w:lang w:val="pt-PT"/>
        </w:rPr>
        <w:tab/>
      </w:r>
      <m:oMath>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oMath>
      <w:r w:rsidRPr="00762086">
        <w:rPr>
          <w:lang w:val="pt-PT"/>
        </w:rPr>
        <w:tab/>
        <w:t xml:space="preserve">(km/h): </w:t>
      </w:r>
      <w:r w:rsidRPr="00762086">
        <w:rPr>
          <w:lang w:val="pt-PT"/>
        </w:rPr>
        <w:tab/>
      </w:r>
    </w:p>
    <w:p w:rsidR="004F47BB" w:rsidRPr="004F47BB" w:rsidRDefault="004F47BB" w:rsidP="004F47BB">
      <w:pPr>
        <w:tabs>
          <w:tab w:val="left" w:pos="3264"/>
          <w:tab w:val="left" w:pos="4536"/>
          <w:tab w:val="left" w:pos="4800"/>
          <w:tab w:val="right" w:pos="6237"/>
          <w:tab w:val="left" w:leader="dot" w:pos="9639"/>
          <w:tab w:val="left" w:pos="10632"/>
          <w:tab w:val="right" w:pos="12333"/>
          <w:tab w:val="left" w:leader="dot" w:pos="14459"/>
        </w:tabs>
        <w:overflowPunct w:val="0"/>
        <w:adjustRightInd w:val="0"/>
        <w:spacing w:after="80" w:line="240" w:lineRule="exact"/>
        <w:ind w:left="0" w:firstLine="0"/>
        <w:jc w:val="left"/>
        <w:textAlignment w:val="baseline"/>
        <w:rPr>
          <w:szCs w:val="20"/>
        </w:rPr>
      </w:pPr>
      <w:r w:rsidRPr="00762086">
        <w:rPr>
          <w:lang w:val="pt-PT"/>
        </w:rPr>
        <w:tab/>
      </w:r>
      <w:r w:rsidRPr="00762086">
        <w:rPr>
          <w:lang w:val="pt-PT"/>
        </w:rPr>
        <w:tab/>
      </w:r>
      <w:r>
        <w:t xml:space="preserve">Carico durante la prova [t]: </w:t>
      </w:r>
      <w:r>
        <w:tab/>
        <w:t xml:space="preserve">: </w:t>
      </w:r>
      <w:r>
        <w:tab/>
      </w:r>
      <w:r>
        <w:tab/>
        <w:t xml:space="preserve">(m/s): </w:t>
      </w:r>
      <w:r>
        <w:tab/>
      </w:r>
    </w:p>
    <w:p w:rsidR="004F47BB" w:rsidRPr="004F47BB" w:rsidRDefault="004F47BB" w:rsidP="004F47BB">
      <w:pPr>
        <w:tabs>
          <w:tab w:val="left" w:pos="0"/>
          <w:tab w:val="left" w:pos="4536"/>
          <w:tab w:val="left" w:pos="4800"/>
          <w:tab w:val="right" w:pos="5670"/>
          <w:tab w:val="left" w:leader="dot" w:pos="9639"/>
          <w:tab w:val="left" w:pos="10632"/>
          <w:tab w:val="right" w:pos="12333"/>
          <w:tab w:val="left" w:leader="dot" w:pos="14459"/>
        </w:tabs>
        <w:overflowPunct w:val="0"/>
        <w:adjustRightInd w:val="0"/>
        <w:spacing w:after="80" w:line="240" w:lineRule="exact"/>
        <w:ind w:left="0" w:firstLine="0"/>
        <w:jc w:val="left"/>
        <w:textAlignment w:val="baseline"/>
        <w:rPr>
          <w:szCs w:val="20"/>
        </w:rPr>
      </w:pPr>
      <w:r>
        <w:tab/>
        <w:t xml:space="preserve">% della portata lorda massima: </w:t>
      </w:r>
      <w:r>
        <w:tab/>
      </w:r>
      <w:r>
        <w:tab/>
        <w:t>Max.</w:t>
      </w:r>
    </w:p>
    <w:p w:rsidR="004F47BB" w:rsidRPr="004F47BB" w:rsidRDefault="004F47BB" w:rsidP="004F47BB">
      <w:pPr>
        <w:tabs>
          <w:tab w:val="left" w:pos="0"/>
          <w:tab w:val="left" w:pos="4536"/>
          <w:tab w:val="left" w:pos="4800"/>
          <w:tab w:val="right" w:pos="5670"/>
          <w:tab w:val="left" w:leader="dot" w:pos="9639"/>
          <w:tab w:val="left" w:pos="10632"/>
          <w:tab w:val="right" w:pos="12333"/>
          <w:tab w:val="left" w:leader="dot" w:pos="14459"/>
        </w:tabs>
        <w:overflowPunct w:val="0"/>
        <w:adjustRightInd w:val="0"/>
        <w:spacing w:after="80" w:line="240" w:lineRule="exact"/>
        <w:ind w:left="0" w:firstLine="0"/>
        <w:jc w:val="left"/>
        <w:textAlignment w:val="baseline"/>
        <w:rPr>
          <w:szCs w:val="20"/>
        </w:rPr>
      </w:pPr>
      <w:r>
        <w:tab/>
        <w:t xml:space="preserve">Potenza dei motori di propulsione </w:t>
      </w:r>
      <m:oMath>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oMath>
      <w:r>
        <w:t xml:space="preserve"> [kW] </w:t>
      </w:r>
      <w:r>
        <w:tab/>
      </w:r>
      <w:r>
        <w:tab/>
        <w:t>dislocamento</w:t>
      </w:r>
      <w:r>
        <w:tab/>
        <w:t>[m</w:t>
      </w:r>
      <w:r>
        <w:rPr>
          <w:sz w:val="16"/>
          <w:vertAlign w:val="superscript"/>
        </w:rPr>
        <w:t>3</w:t>
      </w:r>
      <w:r>
        <w:t xml:space="preserve">]: </w:t>
      </w:r>
      <w:r>
        <w:tab/>
      </w:r>
    </w:p>
    <w:p w:rsidR="004F47BB" w:rsidRPr="004F47BB" w:rsidRDefault="004F47BB" w:rsidP="004F47BB">
      <w:pPr>
        <w:tabs>
          <w:tab w:val="left" w:pos="0"/>
          <w:tab w:val="left" w:pos="4536"/>
          <w:tab w:val="left" w:pos="4800"/>
          <w:tab w:val="right" w:pos="5670"/>
          <w:tab w:val="left" w:leader="dot" w:pos="9639"/>
          <w:tab w:val="left" w:pos="10348"/>
          <w:tab w:val="right" w:pos="12049"/>
        </w:tabs>
        <w:overflowPunct w:val="0"/>
        <w:adjustRightInd w:val="0"/>
        <w:spacing w:line="240" w:lineRule="exact"/>
        <w:ind w:left="0" w:firstLine="0"/>
        <w:jc w:val="left"/>
        <w:textAlignment w:val="baseline"/>
        <w:rPr>
          <w:szCs w:val="20"/>
        </w:rPr>
      </w:pPr>
      <w:r>
        <w:tab/>
        <w:t xml:space="preserve">Sistema di propulsione secondo l'allegato 2, tabella 2: </w:t>
      </w:r>
      <w:r>
        <w:tab/>
      </w:r>
    </w:p>
    <w:p w:rsidR="004F47BB" w:rsidRPr="004F47BB" w:rsidRDefault="004F47BB" w:rsidP="004F47BB">
      <w:pPr>
        <w:tabs>
          <w:tab w:val="left" w:pos="284"/>
        </w:tabs>
        <w:overflowPunct w:val="0"/>
        <w:adjustRightInd w:val="0"/>
        <w:spacing w:before="100" w:after="60"/>
        <w:ind w:left="284" w:hanging="284"/>
        <w:jc w:val="center"/>
        <w:textAlignment w:val="baseline"/>
        <w:rPr>
          <w:szCs w:val="20"/>
        </w:rPr>
      </w:pPr>
      <w:r>
        <w:rPr>
          <w:b/>
        </w:rPr>
        <w:t>Tabella 1: Verbale della manovra di arresto</w:t>
      </w:r>
    </w:p>
    <w:tbl>
      <w:tblPr>
        <w:tblW w:w="0" w:type="auto"/>
        <w:jc w:val="center"/>
        <w:tblLayout w:type="fixed"/>
        <w:tblCellMar>
          <w:left w:w="0" w:type="dxa"/>
          <w:right w:w="0" w:type="dxa"/>
        </w:tblCellMar>
        <w:tblLook w:val="0000" w:firstRow="0" w:lastRow="0" w:firstColumn="0" w:lastColumn="0" w:noHBand="0" w:noVBand="0"/>
      </w:tblPr>
      <w:tblGrid>
        <w:gridCol w:w="1758"/>
        <w:gridCol w:w="1758"/>
        <w:gridCol w:w="1758"/>
        <w:gridCol w:w="1758"/>
        <w:gridCol w:w="1758"/>
        <w:gridCol w:w="1758"/>
        <w:gridCol w:w="2948"/>
      </w:tblGrid>
      <w:tr w:rsidR="004F47BB" w:rsidRPr="004F47BB" w:rsidTr="00D45887">
        <w:trPr>
          <w:jc w:val="center"/>
        </w:trPr>
        <w:tc>
          <w:tcPr>
            <w:tcW w:w="1758" w:type="dxa"/>
            <w:tcBorders>
              <w:top w:val="single" w:sz="6" w:space="0" w:color="auto"/>
              <w:left w:val="single" w:sz="6" w:space="0" w:color="auto"/>
              <w:bottom w:val="single" w:sz="6" w:space="0" w:color="auto"/>
              <w:right w:val="single" w:sz="6" w:space="0" w:color="auto"/>
            </w:tcBorders>
            <w:vAlign w:val="center"/>
          </w:tcPr>
          <w:p w:rsidR="004F47BB" w:rsidRPr="004F47BB" w:rsidRDefault="004F47BB" w:rsidP="004F47BB">
            <w:pPr>
              <w:tabs>
                <w:tab w:val="left" w:pos="284"/>
              </w:tabs>
              <w:overflowPunct w:val="0"/>
              <w:adjustRightInd w:val="0"/>
              <w:spacing w:before="40" w:after="40"/>
              <w:ind w:left="0" w:firstLine="0"/>
              <w:jc w:val="center"/>
              <w:textAlignment w:val="baseline"/>
              <w:rPr>
                <w:sz w:val="18"/>
                <w:szCs w:val="20"/>
              </w:rPr>
            </w:pPr>
            <w:r>
              <w:rPr>
                <w:sz w:val="18"/>
              </w:rPr>
              <w:t>POSIZIONE</w:t>
            </w:r>
            <w:r>
              <w:rPr>
                <w:sz w:val="18"/>
                <w:szCs w:val="20"/>
              </w:rPr>
              <w:br/>
            </w:r>
            <w:r>
              <w:rPr>
                <w:sz w:val="18"/>
              </w:rPr>
              <w:t>[fiume-km]</w:t>
            </w:r>
          </w:p>
        </w:tc>
        <w:tc>
          <w:tcPr>
            <w:tcW w:w="1758" w:type="dxa"/>
            <w:tcBorders>
              <w:top w:val="single" w:sz="6" w:space="0" w:color="auto"/>
              <w:left w:val="single" w:sz="6" w:space="0" w:color="auto"/>
              <w:bottom w:val="single" w:sz="6" w:space="0" w:color="auto"/>
              <w:right w:val="double" w:sz="12" w:space="0" w:color="auto"/>
            </w:tcBorders>
            <w:vAlign w:val="center"/>
          </w:tcPr>
          <w:p w:rsidR="004F47BB" w:rsidRPr="004F47BB" w:rsidRDefault="004F47BB" w:rsidP="004F47BB">
            <w:pPr>
              <w:tabs>
                <w:tab w:val="left" w:pos="284"/>
              </w:tabs>
              <w:overflowPunct w:val="0"/>
              <w:adjustRightInd w:val="0"/>
              <w:spacing w:before="40" w:after="40"/>
              <w:ind w:left="0" w:firstLine="0"/>
              <w:jc w:val="center"/>
              <w:textAlignment w:val="baseline"/>
              <w:rPr>
                <w:sz w:val="18"/>
                <w:szCs w:val="20"/>
              </w:rPr>
            </w:pPr>
            <w:r>
              <w:rPr>
                <w:sz w:val="18"/>
              </w:rPr>
              <w:t>TEMPO</w:t>
            </w:r>
            <w:r>
              <w:rPr>
                <w:sz w:val="18"/>
                <w:szCs w:val="20"/>
              </w:rPr>
              <w:br/>
            </w:r>
            <w:r>
              <w:rPr>
                <w:sz w:val="18"/>
              </w:rPr>
              <w:t>[sec.]</w:t>
            </w:r>
          </w:p>
        </w:tc>
        <w:tc>
          <w:tcPr>
            <w:tcW w:w="1758" w:type="dxa"/>
            <w:tcBorders>
              <w:top w:val="single" w:sz="6" w:space="0" w:color="auto"/>
              <w:left w:val="nil"/>
              <w:bottom w:val="single" w:sz="6" w:space="0" w:color="auto"/>
              <w:right w:val="single" w:sz="6" w:space="0" w:color="auto"/>
            </w:tcBorders>
            <w:vAlign w:val="center"/>
          </w:tcPr>
          <w:p w:rsidR="004F47BB" w:rsidRPr="004F47BB" w:rsidRDefault="004F47BB" w:rsidP="004F47BB">
            <w:pPr>
              <w:tabs>
                <w:tab w:val="left" w:pos="284"/>
              </w:tabs>
              <w:overflowPunct w:val="0"/>
              <w:adjustRightInd w:val="0"/>
              <w:spacing w:before="40" w:after="40"/>
              <w:ind w:left="0" w:firstLine="0"/>
              <w:jc w:val="center"/>
              <w:textAlignment w:val="baseline"/>
              <w:rPr>
                <w:sz w:val="18"/>
                <w:szCs w:val="20"/>
              </w:rPr>
            </w:pPr>
            <m:oMathPara>
              <m:oMath>
                <m:r>
                  <w:rPr>
                    <w:rFonts w:ascii="Cambria Math" w:hAnsi="Cambria Math"/>
                    <w:sz w:val="18"/>
                    <w:szCs w:val="20"/>
                  </w:rPr>
                  <m:t>∆s</m:t>
                </m:r>
                <m:r>
                  <m:rPr>
                    <m:sty m:val="p"/>
                  </m:rPr>
                  <w:rPr>
                    <w:rFonts w:ascii="Cambria Math" w:hAnsi="Cambria Math"/>
                    <w:sz w:val="18"/>
                    <w:szCs w:val="20"/>
                  </w:rPr>
                  <w:br/>
                </m:r>
              </m:oMath>
            </m:oMathPara>
            <w:r>
              <w:rPr>
                <w:sz w:val="18"/>
              </w:rPr>
              <w:t>[m]</w:t>
            </w:r>
          </w:p>
        </w:tc>
        <w:tc>
          <w:tcPr>
            <w:tcW w:w="1758" w:type="dxa"/>
            <w:tcBorders>
              <w:top w:val="single" w:sz="6" w:space="0" w:color="auto"/>
              <w:left w:val="single" w:sz="6" w:space="0" w:color="auto"/>
              <w:bottom w:val="single" w:sz="6" w:space="0" w:color="auto"/>
              <w:right w:val="single" w:sz="6" w:space="0" w:color="auto"/>
            </w:tcBorders>
            <w:vAlign w:val="center"/>
          </w:tcPr>
          <w:p w:rsidR="004F47BB" w:rsidRPr="004F47BB" w:rsidRDefault="004F47BB" w:rsidP="004F47BB">
            <w:pPr>
              <w:tabs>
                <w:tab w:val="left" w:pos="284"/>
              </w:tabs>
              <w:overflowPunct w:val="0"/>
              <w:adjustRightInd w:val="0"/>
              <w:spacing w:before="40" w:after="40"/>
              <w:ind w:left="0" w:firstLine="0"/>
              <w:jc w:val="center"/>
              <w:textAlignment w:val="baseline"/>
              <w:rPr>
                <w:sz w:val="18"/>
                <w:szCs w:val="20"/>
              </w:rPr>
            </w:pPr>
            <m:oMathPara>
              <m:oMath>
                <m:r>
                  <w:rPr>
                    <w:rFonts w:ascii="Cambria Math" w:hAnsi="Cambria Math"/>
                    <w:sz w:val="18"/>
                    <w:szCs w:val="20"/>
                  </w:rPr>
                  <m:t>∆t</m:t>
                </m:r>
                <m:r>
                  <m:rPr>
                    <m:sty m:val="p"/>
                  </m:rPr>
                  <w:rPr>
                    <w:rFonts w:ascii="Cambria Math" w:hAnsi="Cambria Math"/>
                    <w:sz w:val="18"/>
                    <w:szCs w:val="20"/>
                  </w:rPr>
                  <w:br/>
                </m:r>
              </m:oMath>
            </m:oMathPara>
            <w:r>
              <w:rPr>
                <w:sz w:val="18"/>
              </w:rPr>
              <w:t>[sec]</w:t>
            </w:r>
          </w:p>
        </w:tc>
        <w:tc>
          <w:tcPr>
            <w:tcW w:w="1758" w:type="dxa"/>
            <w:tcBorders>
              <w:top w:val="single" w:sz="6" w:space="0" w:color="auto"/>
              <w:left w:val="single" w:sz="6" w:space="0" w:color="auto"/>
              <w:bottom w:val="single" w:sz="6" w:space="0" w:color="auto"/>
              <w:right w:val="single" w:sz="6" w:space="0" w:color="auto"/>
            </w:tcBorders>
            <w:vAlign w:val="center"/>
          </w:tcPr>
          <w:p w:rsidR="004F47BB" w:rsidRPr="004F47BB" w:rsidRDefault="00624017" w:rsidP="004F47BB">
            <w:pPr>
              <w:tabs>
                <w:tab w:val="left" w:pos="284"/>
              </w:tabs>
              <w:overflowPunct w:val="0"/>
              <w:adjustRightInd w:val="0"/>
              <w:spacing w:before="40" w:after="40"/>
              <w:ind w:left="0" w:firstLine="0"/>
              <w:jc w:val="center"/>
              <w:textAlignment w:val="baseline"/>
              <w:rPr>
                <w:sz w:val="18"/>
                <w:szCs w:val="20"/>
              </w:rPr>
            </w:pPr>
            <m:oMathPara>
              <m:oMath>
                <m:sSub>
                  <m:sSubPr>
                    <m:ctrlPr>
                      <w:rPr>
                        <w:rFonts w:ascii="Cambria Math" w:hAnsi="Cambria Math"/>
                        <w:i/>
                        <w:sz w:val="18"/>
                        <w:szCs w:val="20"/>
                      </w:rPr>
                    </m:ctrlPr>
                  </m:sSubPr>
                  <m:e>
                    <m:r>
                      <w:rPr>
                        <w:rFonts w:ascii="Cambria Math" w:hAnsi="Cambria Math"/>
                        <w:sz w:val="18"/>
                        <w:szCs w:val="20"/>
                      </w:rPr>
                      <m:t>v</m:t>
                    </m:r>
                  </m:e>
                  <m:sub>
                    <m:r>
                      <w:rPr>
                        <w:rFonts w:ascii="Cambria Math" w:hAnsi="Cambria Math"/>
                        <w:sz w:val="18"/>
                        <w:szCs w:val="20"/>
                      </w:rPr>
                      <m:t>L</m:t>
                    </m:r>
                  </m:sub>
                </m:sSub>
                <m:r>
                  <m:rPr>
                    <m:sty m:val="p"/>
                  </m:rPr>
                  <w:rPr>
                    <w:rFonts w:ascii="Cambria Math" w:hAnsi="Cambria Math"/>
                    <w:sz w:val="18"/>
                    <w:szCs w:val="20"/>
                  </w:rPr>
                  <w:br/>
                </m:r>
              </m:oMath>
            </m:oMathPara>
            <w:r w:rsidR="00801F1F">
              <w:rPr>
                <w:sz w:val="18"/>
              </w:rPr>
              <w:t>(km/h)</w:t>
            </w:r>
          </w:p>
        </w:tc>
        <w:tc>
          <w:tcPr>
            <w:tcW w:w="1758" w:type="dxa"/>
            <w:tcBorders>
              <w:top w:val="single" w:sz="6" w:space="0" w:color="auto"/>
              <w:left w:val="single" w:sz="6" w:space="0" w:color="auto"/>
              <w:bottom w:val="single" w:sz="6" w:space="0" w:color="auto"/>
              <w:right w:val="single" w:sz="6" w:space="0" w:color="auto"/>
            </w:tcBorders>
            <w:vAlign w:val="center"/>
          </w:tcPr>
          <w:p w:rsidR="004F47BB" w:rsidRPr="004F47BB" w:rsidRDefault="004F47BB" w:rsidP="004F47BB">
            <w:pPr>
              <w:overflowPunct w:val="0"/>
              <w:adjustRightInd w:val="0"/>
              <w:spacing w:before="40" w:after="40"/>
              <w:ind w:left="0" w:firstLine="0"/>
              <w:jc w:val="center"/>
              <w:textAlignment w:val="baseline"/>
              <w:rPr>
                <w:sz w:val="18"/>
                <w:szCs w:val="20"/>
              </w:rPr>
            </w:pPr>
            <w:r>
              <w:rPr>
                <w:sz w:val="18"/>
              </w:rPr>
              <w:t>REGIME MOTORE</w:t>
            </w:r>
            <w:r>
              <w:rPr>
                <w:sz w:val="18"/>
                <w:szCs w:val="20"/>
              </w:rPr>
              <w:br/>
            </w:r>
            <m:oMathPara>
              <m:oMath>
                <m:r>
                  <w:rPr>
                    <w:rFonts w:ascii="Cambria Math" w:hAnsi="Cambria Math"/>
                    <w:sz w:val="18"/>
                    <w:szCs w:val="20"/>
                  </w:rPr>
                  <m:t>n</m:t>
                </m:r>
                <m:r>
                  <m:rPr>
                    <m:sty m:val="p"/>
                  </m:rPr>
                  <w:rPr>
                    <w:rFonts w:ascii="Cambria Math" w:hAnsi="Cambria Math"/>
                    <w:sz w:val="18"/>
                    <w:szCs w:val="20"/>
                  </w:rPr>
                  <w:br/>
                </m:r>
              </m:oMath>
            </m:oMathPara>
            <w:r>
              <w:rPr>
                <w:sz w:val="18"/>
              </w:rPr>
              <w:t>[min</w:t>
            </w:r>
            <w:r>
              <w:rPr>
                <w:sz w:val="18"/>
                <w:vertAlign w:val="superscript"/>
              </w:rPr>
              <w:t>-1</w:t>
            </w:r>
            <w:r>
              <w:rPr>
                <w:sz w:val="18"/>
              </w:rPr>
              <w:t>]</w:t>
            </w:r>
          </w:p>
        </w:tc>
        <w:tc>
          <w:tcPr>
            <w:tcW w:w="2948" w:type="dxa"/>
            <w:tcBorders>
              <w:top w:val="single" w:sz="6" w:space="0" w:color="auto"/>
              <w:left w:val="single" w:sz="6" w:space="0" w:color="auto"/>
              <w:bottom w:val="single" w:sz="6" w:space="0" w:color="auto"/>
              <w:right w:val="single" w:sz="6" w:space="0" w:color="auto"/>
            </w:tcBorders>
            <w:vAlign w:val="center"/>
          </w:tcPr>
          <w:p w:rsidR="004F47BB" w:rsidRPr="004F47BB" w:rsidRDefault="004F47BB" w:rsidP="004F47BB">
            <w:pPr>
              <w:tabs>
                <w:tab w:val="left" w:pos="284"/>
              </w:tabs>
              <w:overflowPunct w:val="0"/>
              <w:adjustRightInd w:val="0"/>
              <w:spacing w:before="40" w:after="40"/>
              <w:ind w:left="0" w:firstLine="0"/>
              <w:jc w:val="center"/>
              <w:textAlignment w:val="baseline"/>
              <w:rPr>
                <w:sz w:val="18"/>
                <w:szCs w:val="20"/>
              </w:rPr>
            </w:pPr>
            <w:r>
              <w:rPr>
                <w:sz w:val="18"/>
              </w:rPr>
              <w:t>OSSERVAZIONI</w:t>
            </w:r>
          </w:p>
        </w:tc>
      </w:tr>
      <w:tr w:rsidR="004F47BB" w:rsidRPr="004F47BB"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r>
      <w:tr w:rsidR="004F47BB" w:rsidRPr="004F47BB"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r>
      <w:tr w:rsidR="004F47BB" w:rsidRPr="004F47BB"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r>
      <w:tr w:rsidR="004F47BB" w:rsidRPr="004F47BB"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r>
      <w:tr w:rsidR="004F47BB" w:rsidRPr="004F47BB"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r>
      <w:tr w:rsidR="004F47BB" w:rsidRPr="004F47BB"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r>
      <w:tr w:rsidR="004F47BB" w:rsidRPr="004F47BB"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r>
      <w:tr w:rsidR="004F47BB" w:rsidRPr="004F47BB"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4F47BB" w:rsidRDefault="004F47BB" w:rsidP="004F47BB">
            <w:pPr>
              <w:tabs>
                <w:tab w:val="left" w:pos="284"/>
              </w:tabs>
              <w:overflowPunct w:val="0"/>
              <w:adjustRightInd w:val="0"/>
              <w:spacing w:before="120" w:after="120" w:line="240" w:lineRule="exact"/>
              <w:ind w:left="0" w:firstLine="0"/>
              <w:jc w:val="center"/>
              <w:textAlignment w:val="baseline"/>
              <w:rPr>
                <w:sz w:val="18"/>
                <w:szCs w:val="20"/>
              </w:rPr>
            </w:pPr>
          </w:p>
        </w:tc>
      </w:tr>
    </w:tbl>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sectPr w:rsidR="004F47BB" w:rsidRPr="004F47BB" w:rsidSect="00D45887">
          <w:headerReference w:type="first" r:id="rId118"/>
          <w:footerReference w:type="first" r:id="rId119"/>
          <w:pgSz w:w="16840" w:h="11907" w:orient="landscape" w:code="9"/>
          <w:pgMar w:top="1418" w:right="1418" w:bottom="1418" w:left="1418" w:header="680" w:footer="680" w:gutter="0"/>
          <w:cols w:space="720"/>
          <w:noEndnote/>
          <w:titlePg/>
          <w:docGrid w:linePitch="272"/>
        </w:sectPr>
      </w:pPr>
    </w:p>
    <w:p w:rsidR="004F47BB" w:rsidRPr="004F47BB" w:rsidRDefault="004F47BB" w:rsidP="00C859BD">
      <w:pPr>
        <w:pStyle w:val="ES-Titre4"/>
      </w:pPr>
      <w:r>
        <w:lastRenderedPageBreak/>
        <w:t>Allegato 2 all'istruzione ESI-II-3</w:t>
      </w:r>
    </w:p>
    <w:p w:rsidR="004F47BB" w:rsidRPr="004F47BB" w:rsidRDefault="004F47BB" w:rsidP="00C859BD">
      <w:pPr>
        <w:pStyle w:val="ES-Titre4a"/>
      </w:pPr>
      <w:r>
        <w:t>Valutazione dei risultati della manovra di arresto</w:t>
      </w: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spacing w:line="240" w:lineRule="atLeast"/>
        <w:ind w:left="567" w:hanging="567"/>
      </w:pPr>
      <w:r>
        <w:t>1.</w:t>
      </w:r>
      <w:r>
        <w:tab/>
        <w:t>Sulla base dei valori annotati, si verifica la conformità ai valori limite secondo l'allegato 1. Se le condizioni per la manovra di arresto si discostano notevolmente dalle normali condizioni o se vi sono dubbi circa il rispetto dei valori limite, è necessario valutare i risultati. A tal fine, per calcolare le manovre di arresto, è possibile applicare la procedura descritta di seguito.</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rPr>
          <w:noProof/>
        </w:rPr>
      </w:pPr>
      <w:r>
        <w:t>2.</w:t>
      </w:r>
      <w:r>
        <w:tab/>
        <w:t>Si stabiliscono le distanze di arresto teoriche in condizioni normali (</w:t>
      </w:r>
      <m:oMath>
        <m:sSub>
          <m:sSubPr>
            <m:ctrlPr>
              <w:rPr>
                <w:rFonts w:ascii="Cambria Math" w:hAnsi="Cambria Math"/>
                <w:i/>
                <w:noProof/>
              </w:rPr>
            </m:ctrlPr>
          </m:sSubPr>
          <m:e>
            <m:r>
              <w:rPr>
                <w:rFonts w:ascii="Cambria Math" w:hAnsi="Cambria Math"/>
                <w:noProof/>
              </w:rPr>
              <m:t>s</m:t>
            </m:r>
          </m:e>
          <m:sub>
            <m:r>
              <w:rPr>
                <w:rFonts w:ascii="Cambria Math" w:hAnsi="Cambria Math"/>
                <w:noProof/>
              </w:rPr>
              <m:t>SOLL</m:t>
            </m:r>
          </m:sub>
        </m:sSub>
      </m:oMath>
      <w:r>
        <w:t>) del punto 2.1 della presente istruzione e nelle condizioni della manovra di arresto (</w:t>
      </w:r>
      <m:oMath>
        <m:sSub>
          <m:sSubPr>
            <m:ctrlPr>
              <w:rPr>
                <w:rFonts w:ascii="Cambria Math" w:hAnsi="Cambria Math"/>
                <w:i/>
                <w:noProof/>
              </w:rPr>
            </m:ctrlPr>
          </m:sSubPr>
          <m:e>
            <m:r>
              <w:rPr>
                <w:rFonts w:ascii="Cambria Math" w:hAnsi="Cambria Math"/>
                <w:noProof/>
              </w:rPr>
              <m:t>s</m:t>
            </m:r>
          </m:e>
          <m:sub>
            <m:r>
              <w:rPr>
                <w:rFonts w:ascii="Cambria Math" w:hAnsi="Cambria Math"/>
                <w:noProof/>
              </w:rPr>
              <m:t>IST</m:t>
            </m:r>
          </m:sub>
        </m:sSub>
      </m:oMath>
      <w:r>
        <w:t>), raffrontandole poi con la distanza di arresto misurata (</w:t>
      </w:r>
      <m:oMath>
        <m:sSub>
          <m:sSubPr>
            <m:ctrlPr>
              <w:rPr>
                <w:rFonts w:ascii="Cambria Math" w:hAnsi="Cambria Math"/>
                <w:i/>
                <w:noProof/>
              </w:rPr>
            </m:ctrlPr>
          </m:sSubPr>
          <m:e>
            <m:r>
              <w:rPr>
                <w:rFonts w:ascii="Cambria Math" w:hAnsi="Cambria Math"/>
                <w:noProof/>
              </w:rPr>
              <m:t>s</m:t>
            </m:r>
          </m:e>
          <m:sub>
            <m:r>
              <w:rPr>
                <w:rFonts w:ascii="Cambria Math" w:hAnsi="Cambria Math"/>
                <w:noProof/>
              </w:rPr>
              <m:t>MESSUNG</m:t>
            </m:r>
          </m:sub>
        </m:sSub>
      </m:oMath>
      <w:r>
        <w:t>). La distanza di arresto rettificata della manovra di arresto rispetto a condizioni normali (</w:t>
      </w:r>
      <m:oMath>
        <m:sSub>
          <m:sSubPr>
            <m:ctrlPr>
              <w:rPr>
                <w:rFonts w:ascii="Cambria Math" w:hAnsi="Cambria Math"/>
                <w:i/>
                <w:noProof/>
              </w:rPr>
            </m:ctrlPr>
          </m:sSubPr>
          <m:e>
            <m:r>
              <w:rPr>
                <w:rFonts w:ascii="Cambria Math" w:hAnsi="Cambria Math"/>
                <w:noProof/>
              </w:rPr>
              <m:t>s</m:t>
            </m:r>
          </m:e>
          <m:sub>
            <m:r>
              <w:rPr>
                <w:rFonts w:ascii="Cambria Math" w:hAnsi="Cambria Math"/>
                <w:noProof/>
              </w:rPr>
              <m:t>NORM</m:t>
            </m:r>
          </m:sub>
        </m:sSub>
      </m:oMath>
      <w:r>
        <w:t>) è calcolata come segue:</w:t>
      </w:r>
    </w:p>
    <w:p w:rsidR="004F47BB" w:rsidRPr="004F47BB" w:rsidRDefault="004F47BB" w:rsidP="004F47BB">
      <w:pPr>
        <w:spacing w:line="240" w:lineRule="atLeast"/>
        <w:ind w:left="567" w:hanging="567"/>
        <w:rPr>
          <w:noProof/>
        </w:rPr>
      </w:pPr>
    </w:p>
    <w:p w:rsidR="004F47BB" w:rsidRPr="004F47BB" w:rsidRDefault="004F47BB" w:rsidP="004F47BB">
      <w:pPr>
        <w:spacing w:line="240" w:lineRule="atLeast"/>
        <w:ind w:left="1843" w:hanging="1276"/>
        <w:rPr>
          <w:noProof/>
        </w:rPr>
      </w:pPr>
      <w:r>
        <w:t>formula 2.1</w:t>
      </w:r>
      <w:r>
        <w:tab/>
      </w: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rPr>
          <m:t xml:space="preserve"> ≤limit value</m:t>
        </m:r>
      </m:oMath>
    </w:p>
    <w:p w:rsidR="004F47BB" w:rsidRPr="004F47BB" w:rsidRDefault="004F47BB" w:rsidP="004F47BB">
      <w:pPr>
        <w:spacing w:line="240" w:lineRule="atLeast"/>
        <w:ind w:left="567" w:hanging="567"/>
      </w:pPr>
    </w:p>
    <w:p w:rsidR="004F47BB" w:rsidRPr="004F47BB" w:rsidRDefault="004F47BB" w:rsidP="004F47BB">
      <w:pPr>
        <w:spacing w:line="240" w:lineRule="atLeast"/>
        <w:ind w:left="567" w:firstLine="0"/>
        <w:rPr>
          <w:szCs w:val="20"/>
        </w:rPr>
      </w:pPr>
      <w:r>
        <w:t>conformemente al punto 2.1, lettera a) o b), della presente istruzione.</w:t>
      </w:r>
    </w:p>
    <w:p w:rsidR="004F47BB" w:rsidRPr="004F47BB" w:rsidRDefault="004F47BB" w:rsidP="004F47BB">
      <w:pPr>
        <w:tabs>
          <w:tab w:val="left" w:pos="567"/>
          <w:tab w:val="center" w:pos="4678"/>
        </w:tabs>
        <w:overflowPunct w:val="0"/>
        <w:adjustRightInd w:val="0"/>
        <w:spacing w:line="240" w:lineRule="atLeast"/>
        <w:ind w:left="567" w:hanging="567"/>
        <w:textAlignment w:val="baseline"/>
        <w:rPr>
          <w:szCs w:val="20"/>
        </w:rPr>
      </w:pPr>
    </w:p>
    <w:p w:rsidR="004F47BB" w:rsidRPr="004F47BB" w:rsidRDefault="004F47BB" w:rsidP="004F47BB">
      <w:pPr>
        <w:spacing w:line="240" w:lineRule="atLeast"/>
        <w:ind w:left="567" w:firstLine="0"/>
      </w:pPr>
      <w:r>
        <w:t xml:space="preserve">Quando la manovra di arresto è stata effettuata con un carico pari al 70-100 % della portata lorda massima secondo il punto 2.2 della presente istruzione per calcolare </w:t>
      </w:r>
      <m:oMath>
        <m:sSub>
          <m:sSubPr>
            <m:ctrlPr>
              <w:rPr>
                <w:rFonts w:ascii="Cambria Math" w:hAnsi="Cambria Math"/>
                <w:i/>
                <w:noProof/>
              </w:rPr>
            </m:ctrlPr>
          </m:sSubPr>
          <m:e>
            <m:r>
              <w:rPr>
                <w:rFonts w:ascii="Cambria Math" w:hAnsi="Cambria Math"/>
                <w:noProof/>
              </w:rPr>
              <m:t>s</m:t>
            </m:r>
          </m:e>
          <m:sub>
            <m:r>
              <w:rPr>
                <w:rFonts w:ascii="Cambria Math" w:hAnsi="Cambria Math"/>
                <w:noProof/>
              </w:rPr>
              <m:t>NORM</m:t>
            </m:r>
          </m:sub>
        </m:sSub>
      </m:oMath>
      <w:r>
        <w:t xml:space="preserve">, ai fini del calcolo di </w:t>
      </w:r>
      <m:oMath>
        <m:sSub>
          <m:sSubPr>
            <m:ctrlPr>
              <w:rPr>
                <w:rFonts w:ascii="Cambria Math" w:hAnsi="Cambria Math"/>
                <w:i/>
                <w:noProof/>
              </w:rPr>
            </m:ctrlPr>
          </m:sSubPr>
          <m:e>
            <m:r>
              <w:rPr>
                <w:rFonts w:ascii="Cambria Math" w:hAnsi="Cambria Math"/>
                <w:noProof/>
              </w:rPr>
              <m:t>s</m:t>
            </m:r>
          </m:e>
          <m:sub>
            <m:r>
              <w:rPr>
                <w:rFonts w:ascii="Cambria Math" w:hAnsi="Cambria Math"/>
                <w:noProof/>
              </w:rPr>
              <m:t>SOLL</m:t>
            </m:r>
          </m:sub>
        </m:sSub>
      </m:oMath>
      <w:r>
        <w:t xml:space="preserve"> e </w:t>
      </w:r>
      <m:oMath>
        <m:sSub>
          <m:sSubPr>
            <m:ctrlPr>
              <w:rPr>
                <w:rFonts w:ascii="Cambria Math" w:hAnsi="Cambria Math"/>
                <w:i/>
                <w:noProof/>
              </w:rPr>
            </m:ctrlPr>
          </m:sSubPr>
          <m:e>
            <m:r>
              <w:rPr>
                <w:rFonts w:ascii="Cambria Math" w:hAnsi="Cambria Math"/>
                <w:noProof/>
              </w:rPr>
              <m:t>s</m:t>
            </m:r>
          </m:e>
          <m:sub>
            <m:r>
              <w:rPr>
                <w:rFonts w:ascii="Cambria Math" w:hAnsi="Cambria Math"/>
                <w:noProof/>
              </w:rPr>
              <m:t>IST</m:t>
            </m:r>
          </m:sub>
        </m:sSub>
      </m:oMath>
      <w:r>
        <w:t xml:space="preserve"> si utilizza il dislocamento (</w:t>
      </w:r>
      <m:oMath>
        <m:sSub>
          <m:sSubPr>
            <m:ctrlPr>
              <w:rPr>
                <w:rFonts w:ascii="Cambria Math" w:hAnsi="Cambria Math"/>
                <w:i/>
                <w:noProof/>
              </w:rPr>
            </m:ctrlPr>
          </m:sSubPr>
          <m:e>
            <m:r>
              <w:rPr>
                <w:rFonts w:ascii="Cambria Math" w:hAnsi="Cambria Math"/>
                <w:noProof/>
              </w:rPr>
              <m:t>D</m:t>
            </m:r>
          </m:e>
          <m:sub>
            <m:r>
              <w:rPr>
                <w:rFonts w:ascii="Cambria Math" w:hAnsi="Cambria Math"/>
                <w:noProof/>
              </w:rPr>
              <m:t>SOLL</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oMath>
      <w:r>
        <w:t>) corrispondente al carico all'atto della prova.</w:t>
      </w:r>
    </w:p>
    <w:p w:rsidR="004F47BB" w:rsidRPr="004F47BB" w:rsidRDefault="004F47BB" w:rsidP="004F47BB">
      <w:pPr>
        <w:spacing w:line="240" w:lineRule="atLeast"/>
        <w:ind w:left="567" w:firstLine="0"/>
      </w:pPr>
    </w:p>
    <w:p w:rsidR="004F47BB" w:rsidRPr="004F47BB" w:rsidRDefault="004F47BB" w:rsidP="004F47BB">
      <w:pPr>
        <w:spacing w:line="240" w:lineRule="atLeast"/>
        <w:ind w:left="567" w:firstLine="0"/>
      </w:pPr>
      <w:r>
        <w:t xml:space="preserve">Se, stabilendo </w:t>
      </w:r>
      <m:oMath>
        <m:sSub>
          <m:sSubPr>
            <m:ctrlPr>
              <w:rPr>
                <w:rFonts w:ascii="Cambria Math" w:hAnsi="Cambria Math"/>
                <w:i/>
                <w:noProof/>
              </w:rPr>
            </m:ctrlPr>
          </m:sSubPr>
          <m:e>
            <m:r>
              <w:rPr>
                <w:rFonts w:ascii="Cambria Math" w:hAnsi="Cambria Math"/>
                <w:noProof/>
              </w:rPr>
              <m:t>s</m:t>
            </m:r>
          </m:e>
          <m:sub>
            <m:r>
              <w:rPr>
                <w:rFonts w:ascii="Cambria Math" w:hAnsi="Cambria Math"/>
                <w:noProof/>
              </w:rPr>
              <m:t>NORM</m:t>
            </m:r>
          </m:sub>
        </m:sSub>
      </m:oMath>
      <w:r>
        <w:t xml:space="preserve"> secondo la formula 2.1, il valore limite in questione è superato o non raggiunto, il valore di </w:t>
      </w:r>
      <m:oMath>
        <m:sSub>
          <m:sSubPr>
            <m:ctrlPr>
              <w:rPr>
                <w:rFonts w:ascii="Cambria Math" w:hAnsi="Cambria Math"/>
                <w:i/>
                <w:noProof/>
              </w:rPr>
            </m:ctrlPr>
          </m:sSubPr>
          <m:e>
            <m:r>
              <w:rPr>
                <w:rFonts w:ascii="Cambria Math" w:hAnsi="Cambria Math"/>
                <w:noProof/>
              </w:rPr>
              <m:t>s</m:t>
            </m:r>
          </m:e>
          <m:sub>
            <m:r>
              <w:rPr>
                <w:rFonts w:ascii="Cambria Math" w:hAnsi="Cambria Math"/>
                <w:noProof/>
              </w:rPr>
              <m:t>SOLL</m:t>
            </m:r>
          </m:sub>
        </m:sSub>
      </m:oMath>
      <w:r>
        <w:t xml:space="preserve"> è ridotto o aumentato della variazione di </w:t>
      </w:r>
      <m:oMath>
        <m:sSub>
          <m:sSubPr>
            <m:ctrlPr>
              <w:rPr>
                <w:rFonts w:ascii="Cambria Math" w:hAnsi="Cambria Math"/>
                <w:i/>
                <w:noProof/>
              </w:rPr>
            </m:ctrlPr>
          </m:sSubPr>
          <m:e>
            <m:r>
              <w:rPr>
                <w:rFonts w:ascii="Cambria Math" w:hAnsi="Cambria Math"/>
                <w:noProof/>
              </w:rPr>
              <m:t>D</m:t>
            </m:r>
          </m:e>
          <m:sub>
            <m:r>
              <w:rPr>
                <w:rFonts w:ascii="Cambria Math" w:hAnsi="Cambria Math"/>
                <w:noProof/>
              </w:rPr>
              <m:t>SOLL</m:t>
            </m:r>
          </m:sub>
        </m:sSub>
      </m:oMath>
      <w:r>
        <w:t xml:space="preserve"> necessaria affinché il valore limite sia rispettato (</w:t>
      </w:r>
      <m:oMath>
        <m:sSub>
          <m:sSubPr>
            <m:ctrlPr>
              <w:rPr>
                <w:rFonts w:ascii="Cambria Math" w:hAnsi="Cambria Math"/>
                <w:i/>
                <w:noProof/>
              </w:rPr>
            </m:ctrlPr>
          </m:sSubPr>
          <m:e>
            <m:r>
              <w:rPr>
                <w:rFonts w:ascii="Cambria Math" w:hAnsi="Cambria Math"/>
                <w:noProof/>
              </w:rPr>
              <m:t>s</m:t>
            </m:r>
          </m:e>
          <m:sub>
            <m:r>
              <w:rPr>
                <w:rFonts w:ascii="Cambria Math" w:hAnsi="Cambria Math"/>
                <w:noProof/>
              </w:rPr>
              <m:t>NORM</m:t>
            </m:r>
          </m:sub>
        </m:sSub>
      </m:oMath>
      <w:r>
        <w:t xml:space="preserve"> = valore limite in questione). Il dislocamento massimo ammissibile in navigazione a valle è stabilito di conseguenza.</w:t>
      </w:r>
    </w:p>
    <w:p w:rsidR="004F47BB" w:rsidRPr="004F47BB" w:rsidRDefault="004F47BB" w:rsidP="004F47BB">
      <w:pPr>
        <w:overflowPunct w:val="0"/>
        <w:adjustRightInd w:val="0"/>
        <w:spacing w:line="240" w:lineRule="exact"/>
        <w:ind w:left="567" w:hanging="567"/>
        <w:textAlignment w:val="baseline"/>
        <w:rPr>
          <w:szCs w:val="20"/>
        </w:rPr>
      </w:pPr>
    </w:p>
    <w:p w:rsidR="004F47BB" w:rsidRPr="004F47BB" w:rsidRDefault="004F47BB" w:rsidP="004F47BB">
      <w:pPr>
        <w:spacing w:line="240" w:lineRule="atLeast"/>
        <w:ind w:left="567" w:hanging="567"/>
      </w:pPr>
      <w:r>
        <w:t>3.</w:t>
      </w:r>
      <w:r>
        <w:tab/>
        <w:t>Conformemente ai valori limite riportati nel punto 2.1, lettere a) e b), della presente istruzione si calcolano soltanto le distanze di arresto misurate</w:t>
      </w:r>
    </w:p>
    <w:p w:rsidR="004F47BB" w:rsidRPr="004F47BB" w:rsidRDefault="004F47BB" w:rsidP="004F47BB">
      <w:pPr>
        <w:spacing w:before="60" w:line="240" w:lineRule="atLeast"/>
        <w:ind w:left="992"/>
      </w:pPr>
      <w:r>
        <w:t>-</w:t>
      </w:r>
      <w:r>
        <w:tab/>
        <w:t xml:space="preserve">nella fase I ("marcia avanti" invertita in "marcia indietro"): </w:t>
      </w:r>
      <m:oMath>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oMath>
    </w:p>
    <w:p w:rsidR="004F47BB" w:rsidRPr="004F47BB" w:rsidRDefault="004F47BB" w:rsidP="004F47BB">
      <w:pPr>
        <w:spacing w:before="60" w:line="240" w:lineRule="atLeast"/>
        <w:ind w:left="567" w:firstLine="0"/>
      </w:pPr>
      <w:r>
        <w:t>e</w:t>
      </w:r>
    </w:p>
    <w:p w:rsidR="004F47BB" w:rsidRPr="004F47BB" w:rsidRDefault="004F47BB" w:rsidP="004F47BB">
      <w:pPr>
        <w:spacing w:before="60" w:line="240" w:lineRule="atLeast"/>
        <w:ind w:left="992"/>
        <w:rPr>
          <w:rFonts w:cs="Arial"/>
        </w:rPr>
      </w:pPr>
      <w:r>
        <w:t>-</w:t>
      </w:r>
      <w:r>
        <w:tab/>
        <w:t xml:space="preserve">nella fase II (fine dell'inversione fino all'arresto della nave rispetto all'acqua): </w:t>
      </w:r>
      <m:oMath>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oMath>
    </w:p>
    <w:p w:rsidR="004F47BB" w:rsidRPr="004F47BB" w:rsidRDefault="004F47BB" w:rsidP="004F47BB">
      <w:pPr>
        <w:tabs>
          <w:tab w:val="left" w:pos="567"/>
          <w:tab w:val="left" w:pos="4962"/>
        </w:tabs>
        <w:overflowPunct w:val="0"/>
        <w:adjustRightInd w:val="0"/>
        <w:spacing w:line="240" w:lineRule="exact"/>
        <w:ind w:left="567" w:hanging="567"/>
        <w:textAlignment w:val="baseline"/>
        <w:rPr>
          <w:szCs w:val="20"/>
        </w:rPr>
      </w:pPr>
    </w:p>
    <w:p w:rsidR="004F47BB" w:rsidRPr="004F47BB" w:rsidRDefault="004F47BB" w:rsidP="004F47BB">
      <w:pPr>
        <w:spacing w:line="240" w:lineRule="atLeast"/>
        <w:ind w:left="567" w:firstLine="0"/>
      </w:pPr>
      <w:r>
        <w:t>(cfr. figura 1). La distanza di arresto totale corrisponde a:</w:t>
      </w:r>
    </w:p>
    <w:p w:rsidR="004F47BB" w:rsidRPr="004F47BB" w:rsidRDefault="004F47BB" w:rsidP="004F47BB">
      <w:pPr>
        <w:overflowPunct w:val="0"/>
        <w:adjustRightInd w:val="0"/>
        <w:ind w:left="567" w:hanging="567"/>
        <w:jc w:val="left"/>
        <w:textAlignment w:val="baseline"/>
        <w:rPr>
          <w:szCs w:val="20"/>
        </w:rPr>
      </w:pPr>
    </w:p>
    <w:p w:rsidR="004F47BB" w:rsidRPr="004F47BB" w:rsidRDefault="004F47BB" w:rsidP="004F47BB">
      <w:pPr>
        <w:spacing w:line="240" w:lineRule="atLeast"/>
        <w:ind w:left="567" w:firstLine="0"/>
      </w:pPr>
      <w:r>
        <w:t>formula 3.1</w:t>
      </w:r>
      <w:r>
        <w:tab/>
      </w:r>
      <m:oMath>
        <m:sSub>
          <m:sSubPr>
            <m:ctrlPr>
              <w:rPr>
                <w:rFonts w:ascii="Cambria Math" w:hAnsi="Cambria Math"/>
                <w:i/>
              </w:rPr>
            </m:ctrlPr>
          </m:sSubPr>
          <m:e>
            <m:r>
              <w:rPr>
                <w:rFonts w:ascii="Cambria Math" w:hAnsi="Cambria Math"/>
              </w:rPr>
              <m:t>s</m:t>
            </m:r>
          </m:e>
          <m:sub>
            <m:r>
              <w:rPr>
                <w:rFonts w:ascii="Cambria Math" w:hAnsi="Cambria Math"/>
              </w:rPr>
              <m:t>GES</m:t>
            </m:r>
          </m:sub>
        </m:sSub>
        <m:r>
          <w:rPr>
            <w:rFonts w:ascii="Cambria Math" w:hAnsi="Cambria Math"/>
          </w:rPr>
          <m:t xml:space="preserve">= </m:t>
        </m:r>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 xml:space="preserve">+ </m:t>
        </m:r>
        <m:sSub>
          <m:sSubPr>
            <m:ctrlPr>
              <w:rPr>
                <w:rFonts w:ascii="Cambria Math" w:hAnsi="Cambria Math"/>
                <w:i/>
              </w:rPr>
            </m:ctrlPr>
          </m:sSubPr>
          <m:e>
            <m:r>
              <w:rPr>
                <w:rFonts w:ascii="Cambria Math" w:hAnsi="Cambria Math"/>
              </w:rPr>
              <m:t>s</m:t>
            </m:r>
          </m:e>
          <m:sub>
            <m:r>
              <w:rPr>
                <w:rFonts w:ascii="Cambria Math" w:hAnsi="Cambria Math"/>
              </w:rPr>
              <m:t>II</m:t>
            </m:r>
          </m:sub>
        </m:sSub>
      </m:oMath>
    </w:p>
    <w:p w:rsidR="004F47BB" w:rsidRPr="004F47BB" w:rsidRDefault="004F47BB" w:rsidP="004F47BB">
      <w:pPr>
        <w:overflowPunct w:val="0"/>
        <w:adjustRightInd w:val="0"/>
        <w:ind w:left="567" w:hanging="567"/>
        <w:jc w:val="left"/>
        <w:textAlignment w:val="baseline"/>
        <w:rPr>
          <w:szCs w:val="20"/>
        </w:rPr>
      </w:pPr>
    </w:p>
    <w:p w:rsidR="004F47BB" w:rsidRPr="004F47BB" w:rsidRDefault="004F47BB" w:rsidP="004F47BB">
      <w:pPr>
        <w:spacing w:line="240" w:lineRule="atLeast"/>
        <w:ind w:left="567" w:hanging="567"/>
      </w:pPr>
      <w:r>
        <w:t>4.</w:t>
      </w:r>
      <w:r>
        <w:tab/>
        <w:t>Le specifiche distanze di arresto si calcolano come segue:</w:t>
      </w:r>
    </w:p>
    <w:p w:rsidR="004F47BB" w:rsidRPr="004F47BB" w:rsidRDefault="004F47BB" w:rsidP="004F47BB">
      <w:pPr>
        <w:overflowPunct w:val="0"/>
        <w:adjustRightInd w:val="0"/>
        <w:spacing w:line="240" w:lineRule="exact"/>
        <w:ind w:left="567" w:hanging="567"/>
        <w:textAlignment w:val="baseline"/>
        <w:rPr>
          <w:szCs w:val="20"/>
        </w:rPr>
      </w:pPr>
    </w:p>
    <w:p w:rsidR="004F47BB" w:rsidRPr="004F47BB" w:rsidRDefault="004F47BB" w:rsidP="004F47BB">
      <w:pPr>
        <w:spacing w:line="240" w:lineRule="exact"/>
        <w:jc w:val="center"/>
        <w:rPr>
          <w:b/>
          <w:sz w:val="22"/>
          <w:szCs w:val="22"/>
        </w:rPr>
      </w:pPr>
      <w:r>
        <w:br w:type="page"/>
      </w:r>
    </w:p>
    <w:p w:rsidR="004F47BB" w:rsidRPr="004F47BB" w:rsidRDefault="004F47BB" w:rsidP="004F47BB">
      <w:pPr>
        <w:overflowPunct w:val="0"/>
        <w:adjustRightInd w:val="0"/>
        <w:spacing w:line="240" w:lineRule="exact"/>
        <w:ind w:left="0" w:firstLine="0"/>
        <w:jc w:val="center"/>
        <w:textAlignment w:val="baseline"/>
        <w:rPr>
          <w:b/>
          <w:sz w:val="22"/>
          <w:szCs w:val="22"/>
        </w:rPr>
      </w:pPr>
      <w:r>
        <w:rPr>
          <w:b/>
          <w:sz w:val="22"/>
        </w:rPr>
        <w:lastRenderedPageBreak/>
        <w:t>Calcolo della manovra di arresto</w:t>
      </w:r>
    </w:p>
    <w:p w:rsidR="004F47BB" w:rsidRPr="004F47BB" w:rsidRDefault="004F47BB" w:rsidP="004F47BB">
      <w:pPr>
        <w:overflowPunct w:val="0"/>
        <w:adjustRightInd w:val="0"/>
        <w:spacing w:line="240" w:lineRule="exact"/>
        <w:ind w:left="0" w:firstLine="0"/>
        <w:jc w:val="center"/>
        <w:textAlignment w:val="baseline"/>
        <w:rPr>
          <w:b/>
          <w:szCs w:val="20"/>
        </w:rPr>
      </w:pPr>
    </w:p>
    <w:p w:rsidR="004F47BB" w:rsidRPr="004F47BB" w:rsidRDefault="004F47BB" w:rsidP="004F47BB">
      <w:pPr>
        <w:overflowPunct w:val="0"/>
        <w:adjustRightInd w:val="0"/>
        <w:spacing w:line="240" w:lineRule="exact"/>
        <w:ind w:left="0" w:firstLine="0"/>
        <w:jc w:val="center"/>
        <w:textAlignment w:val="baseline"/>
        <w:rPr>
          <w:szCs w:val="20"/>
        </w:rPr>
      </w:pPr>
      <w:r>
        <w:rPr>
          <w:b/>
        </w:rPr>
        <w:t>Figura 2: Schema</w:t>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center"/>
        <w:textAlignment w:val="baseline"/>
        <w:rPr>
          <w:szCs w:val="20"/>
        </w:rPr>
      </w:pPr>
      <w:r>
        <w:rPr>
          <w:rFonts w:ascii="Times New Roman" w:hAnsi="Times New Roman"/>
          <w:noProof/>
          <w:szCs w:val="20"/>
          <w:lang w:val="en-GB" w:eastAsia="en-GB" w:bidi="ar-SA"/>
        </w:rPr>
        <w:drawing>
          <wp:inline distT="0" distB="0" distL="0" distR="0" wp14:anchorId="55531A76" wp14:editId="702AF96E">
            <wp:extent cx="4552950" cy="3124200"/>
            <wp:effectExtent l="0" t="0" r="0" b="0"/>
            <wp:docPr id="299" name="Imag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552950" cy="3124200"/>
                    </a:xfrm>
                    <a:prstGeom prst="rect">
                      <a:avLst/>
                    </a:prstGeom>
                    <a:solidFill>
                      <a:srgbClr val="FFFFFF"/>
                    </a:solidFill>
                    <a:ln>
                      <a:noFill/>
                    </a:ln>
                  </pic:spPr>
                </pic:pic>
              </a:graphicData>
            </a:graphic>
          </wp:inline>
        </w:drawing>
      </w:r>
    </w:p>
    <w:p w:rsidR="004F47BB" w:rsidRPr="004F47BB" w:rsidRDefault="004F47BB" w:rsidP="004F47BB">
      <w:pPr>
        <w:overflowPunct w:val="0"/>
        <w:adjustRightInd w:val="0"/>
        <w:spacing w:line="240" w:lineRule="exact"/>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spacing w:line="240" w:lineRule="exact"/>
        <w:ind w:left="0" w:firstLine="0"/>
        <w:jc w:val="left"/>
        <w:textAlignment w:val="baseline"/>
        <w:rPr>
          <w:szCs w:val="20"/>
        </w:rPr>
      </w:pPr>
      <w:r>
        <w:rPr>
          <w:b/>
        </w:rPr>
        <w:t>Formule di calcolo:</w:t>
      </w:r>
    </w:p>
    <w:p w:rsidR="004F47BB" w:rsidRPr="004F47BB" w:rsidRDefault="004F47BB" w:rsidP="004F47BB">
      <w:pPr>
        <w:tabs>
          <w:tab w:val="left" w:pos="5954"/>
        </w:tabs>
        <w:overflowPunct w:val="0"/>
        <w:adjustRightInd w:val="0"/>
        <w:ind w:left="0" w:firstLine="0"/>
        <w:jc w:val="left"/>
        <w:textAlignment w:val="baseline"/>
        <w:rPr>
          <w:szCs w:val="20"/>
        </w:rPr>
      </w:pPr>
      <w:r>
        <w:tab/>
        <w:t>con i seguenti coefficienti</w:t>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tabs>
          <w:tab w:val="left" w:pos="1134"/>
          <w:tab w:val="left" w:pos="1418"/>
          <w:tab w:val="left" w:pos="3119"/>
          <w:tab w:val="left" w:pos="5954"/>
          <w:tab w:val="left" w:pos="6379"/>
        </w:tabs>
        <w:overflowPunct w:val="0"/>
        <w:adjustRightInd w:val="0"/>
        <w:spacing w:line="240" w:lineRule="exact"/>
        <w:ind w:left="567" w:hanging="567"/>
        <w:jc w:val="left"/>
        <w:textAlignment w:val="baseline"/>
        <w:rPr>
          <w:szCs w:val="20"/>
        </w:rPr>
      </w:pPr>
      <w:r>
        <w:t>4.1</w:t>
      </w:r>
      <w:r>
        <w:tab/>
      </w: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I</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1</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t</m:t>
            </m:r>
          </m:e>
          <m:sub>
            <m:r>
              <w:rPr>
                <w:rFonts w:ascii="Cambria Math" w:hAnsi="Cambria Math"/>
                <w:szCs w:val="20"/>
              </w:rPr>
              <m:t>I</m:t>
            </m:r>
          </m:sub>
        </m:sSub>
      </m:oMath>
      <w:r>
        <w:tab/>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I</m:t>
            </m:r>
          </m:sub>
        </m:sSub>
        <m:r>
          <w:rPr>
            <w:rFonts w:ascii="Cambria Math" w:hAnsi="Cambria Math"/>
            <w:szCs w:val="20"/>
          </w:rPr>
          <m:t>≤20 s</m:t>
        </m:r>
      </m:oMath>
      <w:r>
        <w:tab/>
        <w:t>-</w:t>
      </w:r>
      <w:r>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1</m:t>
            </m:r>
          </m:sub>
        </m:sSub>
      </m:oMath>
      <w:r>
        <w:t xml:space="preserve"> secondo la tabella 1</w:t>
      </w:r>
    </w:p>
    <w:p w:rsidR="004F47BB" w:rsidRPr="004F47BB" w:rsidRDefault="004F47BB" w:rsidP="004F47BB">
      <w:pPr>
        <w:tabs>
          <w:tab w:val="left" w:pos="5954"/>
          <w:tab w:val="left" w:pos="6379"/>
          <w:tab w:val="left" w:pos="6663"/>
          <w:tab w:val="left" w:pos="6946"/>
        </w:tabs>
        <w:overflowPunct w:val="0"/>
        <w:adjustRightInd w:val="0"/>
        <w:ind w:left="0" w:firstLine="0"/>
        <w:jc w:val="left"/>
        <w:textAlignment w:val="baseline"/>
        <w:rPr>
          <w:szCs w:val="20"/>
        </w:rPr>
      </w:pPr>
    </w:p>
    <w:p w:rsidR="004F47BB" w:rsidRPr="004F47BB" w:rsidRDefault="004F47BB" w:rsidP="004F47BB">
      <w:pPr>
        <w:tabs>
          <w:tab w:val="left" w:pos="567"/>
          <w:tab w:val="left" w:pos="5954"/>
          <w:tab w:val="left" w:pos="6379"/>
        </w:tabs>
        <w:overflowPunct w:val="0"/>
        <w:adjustRightInd w:val="0"/>
        <w:spacing w:line="240" w:lineRule="atLeast"/>
        <w:ind w:left="567" w:hanging="567"/>
        <w:textAlignment w:val="baseline"/>
        <w:rPr>
          <w:szCs w:val="20"/>
        </w:rPr>
      </w:pPr>
      <w:r>
        <w:t>4.2</w:t>
      </w:r>
      <w:r>
        <w:tab/>
      </w: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II</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2</m:t>
            </m:r>
          </m:sub>
        </m:sSub>
        <m:r>
          <w:rPr>
            <w:rFonts w:ascii="Cambria Math" w:hAnsi="Cambria Math"/>
            <w:szCs w:val="20"/>
          </w:rPr>
          <m:t xml:space="preserve"> ∙ </m:t>
        </m:r>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e>
          <m:sub>
            <m:r>
              <w:rPr>
                <w:rFonts w:ascii="Cambria Math" w:hAnsi="Cambria Math"/>
                <w:szCs w:val="20"/>
              </w:rPr>
              <m:t>II</m:t>
            </m:r>
          </m:sub>
        </m:sSub>
        <m:r>
          <w:rPr>
            <w:rFonts w:ascii="Cambria Math" w:hAnsi="Cambria Math"/>
            <w:szCs w:val="20"/>
          </w:rPr>
          <m:t xml:space="preserve"> ∙ </m:t>
        </m:r>
        <m:f>
          <m:fPr>
            <m:ctrlPr>
              <w:rPr>
                <w:rFonts w:ascii="Cambria Math" w:hAnsi="Cambria Math"/>
                <w:i/>
                <w:szCs w:val="20"/>
              </w:rPr>
            </m:ctrlPr>
          </m:fPr>
          <m:num>
            <m:r>
              <w:rPr>
                <w:rFonts w:ascii="Cambria Math" w:hAnsi="Cambria Math"/>
                <w:szCs w:val="20"/>
              </w:rPr>
              <m:t>D ∙g</m:t>
            </m:r>
          </m:num>
          <m:den>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R</m:t>
                </m:r>
              </m:e>
              <m:sub>
                <m:r>
                  <w:rPr>
                    <w:rFonts w:ascii="Cambria Math" w:hAnsi="Cambria Math"/>
                    <w:szCs w:val="20"/>
                  </w:rPr>
                  <m:t>TmII</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R</m:t>
                </m:r>
              </m:e>
              <m:sub>
                <m:r>
                  <w:rPr>
                    <w:rFonts w:ascii="Cambria Math" w:hAnsi="Cambria Math"/>
                    <w:szCs w:val="20"/>
                  </w:rPr>
                  <m:t>G</m:t>
                </m:r>
              </m:sub>
            </m:sSub>
          </m:den>
        </m:f>
        <m:r>
          <w:rPr>
            <w:rFonts w:ascii="Cambria Math" w:hAnsi="Cambria Math"/>
            <w:szCs w:val="20"/>
          </w:rPr>
          <m:t xml:space="preserve">∙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r>
              <w:rPr>
                <w:rFonts w:ascii="Cambria Math" w:hAnsi="Cambria Math"/>
                <w:szCs w:val="20"/>
              </w:rPr>
              <m:t xml:space="preserve">+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num>
              <m:den>
                <m:sSub>
                  <m:sSubPr>
                    <m:ctrlPr>
                      <w:rPr>
                        <w:rFonts w:ascii="Cambria Math" w:hAnsi="Cambria Math"/>
                        <w:i/>
                        <w:szCs w:val="20"/>
                      </w:rPr>
                    </m:ctrlPr>
                  </m:sSubPr>
                  <m:e>
                    <m:r>
                      <w:rPr>
                        <w:rFonts w:ascii="Cambria Math" w:hAnsi="Cambria Math"/>
                        <w:szCs w:val="20"/>
                      </w:rPr>
                      <m:t>v</m:t>
                    </m:r>
                  </m:e>
                  <m:sub>
                    <m:r>
                      <w:rPr>
                        <w:rFonts w:ascii="Cambria Math" w:hAnsi="Cambria Math"/>
                        <w:szCs w:val="20"/>
                      </w:rPr>
                      <m:t>II</m:t>
                    </m:r>
                  </m:sub>
                </m:sSub>
              </m:den>
            </m:f>
          </m:e>
        </m:d>
      </m:oMath>
      <w:r>
        <w:tab/>
        <w:t>-</w:t>
      </w:r>
      <w:r>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2</m:t>
            </m:r>
          </m:sub>
        </m:sSub>
      </m:oMath>
      <w:r>
        <w:t xml:space="preserve">, </w:t>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oMath>
      <w:r>
        <w:t xml:space="preserve">, </w:t>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oMath>
      <w:r>
        <w:t xml:space="preserve"> secondo la tabella 1</w:t>
      </w:r>
    </w:p>
    <w:p w:rsidR="004F47BB" w:rsidRPr="004F47BB" w:rsidRDefault="004F47BB" w:rsidP="004F47BB">
      <w:pPr>
        <w:tabs>
          <w:tab w:val="left" w:pos="5954"/>
          <w:tab w:val="left" w:pos="6379"/>
        </w:tabs>
        <w:overflowPunct w:val="0"/>
        <w:adjustRightInd w:val="0"/>
        <w:ind w:left="0" w:firstLine="0"/>
        <w:jc w:val="left"/>
        <w:textAlignment w:val="baseline"/>
        <w:rPr>
          <w:szCs w:val="20"/>
        </w:rPr>
      </w:pPr>
    </w:p>
    <w:p w:rsidR="004F47BB" w:rsidRPr="004F47BB" w:rsidRDefault="004F47BB" w:rsidP="004F47BB">
      <w:pPr>
        <w:tabs>
          <w:tab w:val="left" w:pos="5954"/>
          <w:tab w:val="left" w:pos="6379"/>
        </w:tabs>
        <w:overflowPunct w:val="0"/>
        <w:adjustRightInd w:val="0"/>
        <w:ind w:left="0" w:firstLine="0"/>
        <w:jc w:val="left"/>
        <w:textAlignment w:val="baseline"/>
        <w:rPr>
          <w:szCs w:val="20"/>
        </w:rPr>
      </w:pPr>
    </w:p>
    <w:p w:rsidR="004F47BB" w:rsidRPr="004F47BB" w:rsidRDefault="004F47BB" w:rsidP="004F47BB">
      <w:pPr>
        <w:tabs>
          <w:tab w:val="left" w:pos="1134"/>
          <w:tab w:val="left" w:pos="1418"/>
          <w:tab w:val="left" w:pos="5954"/>
          <w:tab w:val="left" w:pos="6379"/>
        </w:tabs>
        <w:overflowPunct w:val="0"/>
        <w:adjustRightInd w:val="0"/>
        <w:spacing w:line="240" w:lineRule="atLeast"/>
        <w:ind w:left="567" w:hanging="567"/>
        <w:jc w:val="left"/>
        <w:textAlignment w:val="baseline"/>
        <w:rPr>
          <w:szCs w:val="20"/>
        </w:rPr>
      </w:pPr>
      <w:r>
        <w:t>4.3</w:t>
      </w:r>
      <w:r>
        <w:tab/>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TmII</m:t>
            </m:r>
          </m:sub>
        </m:sSub>
        <m:r>
          <w:rPr>
            <w:rFonts w:ascii="Cambria Math" w:hAnsi="Cambria Math"/>
            <w:szCs w:val="20"/>
          </w:rPr>
          <m:t xml:space="preserve">= </m:t>
        </m:r>
        <m:d>
          <m:dPr>
            <m:ctrlPr>
              <w:rPr>
                <w:rFonts w:ascii="Cambria Math" w:hAnsi="Cambria Math"/>
                <w:i/>
                <w:szCs w:val="20"/>
              </w:rPr>
            </m:ctrlPr>
          </m:dPr>
          <m:e>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R</m:t>
                    </m:r>
                  </m:e>
                  <m:sub>
                    <m:r>
                      <w:rPr>
                        <w:rFonts w:ascii="Cambria Math" w:hAnsi="Cambria Math"/>
                        <w:szCs w:val="20"/>
                      </w:rPr>
                      <m:t>T</m:t>
                    </m:r>
                  </m:sub>
                </m:sSub>
              </m:num>
              <m:den>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den>
            </m:f>
          </m:e>
        </m:d>
        <m:r>
          <w:rPr>
            <w:rFonts w:ascii="Cambria Math" w:hAnsi="Cambria Math"/>
            <w:szCs w:val="20"/>
          </w:rPr>
          <m:t xml:space="preserve"> ∙ </m:t>
        </m:r>
        <m:sSup>
          <m:sSupPr>
            <m:ctrlPr>
              <w:rPr>
                <w:rFonts w:ascii="Cambria Math" w:hAnsi="Cambria Math"/>
                <w:i/>
                <w:szCs w:val="20"/>
              </w:rPr>
            </m:ctrlPr>
          </m:sSup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k</m:t>
                    </m:r>
                  </m:e>
                  <m:sub>
                    <m:r>
                      <w:rPr>
                        <w:rFonts w:ascii="Cambria Math" w:hAnsi="Cambria Math"/>
                        <w:szCs w:val="20"/>
                      </w:rPr>
                      <m:t>7</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r>
                  <w:rPr>
                    <w:rFonts w:ascii="Cambria Math" w:hAnsi="Cambria Math"/>
                    <w:szCs w:val="20"/>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e>
                </m:d>
              </m:e>
            </m:d>
          </m:e>
          <m:sup>
            <m:r>
              <w:rPr>
                <w:rFonts w:ascii="Cambria Math" w:hAnsi="Cambria Math"/>
                <w:szCs w:val="20"/>
              </w:rPr>
              <m:t>2</m:t>
            </m:r>
          </m:sup>
        </m:sSup>
      </m:oMath>
      <w:r>
        <w:tab/>
        <w:t>-</w:t>
      </w:r>
      <w:r>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oMath>
      <w:r>
        <w:t xml:space="preserve">, </w:t>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7</m:t>
            </m:r>
          </m:sub>
        </m:sSub>
      </m:oMath>
      <w:r>
        <w:t xml:space="preserve"> </w:t>
      </w:r>
      <w:r>
        <w:rPr>
          <w:sz w:val="18"/>
        </w:rPr>
        <w:t>secondo la tabella 1</w:t>
      </w:r>
    </w:p>
    <w:p w:rsidR="004F47BB" w:rsidRPr="004F47BB" w:rsidRDefault="004F47BB" w:rsidP="004F47BB">
      <w:pPr>
        <w:tabs>
          <w:tab w:val="left" w:pos="5954"/>
          <w:tab w:val="left" w:pos="6379"/>
        </w:tabs>
        <w:overflowPunct w:val="0"/>
        <w:adjustRightInd w:val="0"/>
        <w:spacing w:line="240" w:lineRule="atLeast"/>
        <w:ind w:left="0" w:firstLine="0"/>
        <w:jc w:val="left"/>
        <w:textAlignment w:val="baseline"/>
        <w:rPr>
          <w:szCs w:val="20"/>
        </w:rPr>
      </w:pPr>
      <w:r>
        <w:tab/>
        <w:t>-</w:t>
      </w:r>
      <w:r>
        <w:tab/>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T</m:t>
            </m:r>
          </m:sub>
        </m:sSub>
        <m:r>
          <w:rPr>
            <w:rFonts w:ascii="Cambria Math" w:hAnsi="Cambria Math"/>
            <w:szCs w:val="20"/>
          </w:rPr>
          <m:t>/</m:t>
        </m:r>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oMath>
      <w:r>
        <w:t xml:space="preserve"> </w:t>
      </w:r>
      <w:r>
        <w:rPr>
          <w:sz w:val="18"/>
        </w:rPr>
        <w:t>secondo la tabella 3</w:t>
      </w:r>
    </w:p>
    <w:p w:rsidR="004F47BB" w:rsidRPr="004F47BB" w:rsidRDefault="004F47BB" w:rsidP="004F47BB">
      <w:pPr>
        <w:tabs>
          <w:tab w:val="left" w:pos="5954"/>
          <w:tab w:val="left" w:pos="6379"/>
          <w:tab w:val="left" w:pos="6663"/>
        </w:tabs>
        <w:overflowPunct w:val="0"/>
        <w:adjustRightInd w:val="0"/>
        <w:ind w:left="0" w:firstLine="0"/>
        <w:jc w:val="left"/>
        <w:textAlignment w:val="baseline"/>
        <w:rPr>
          <w:szCs w:val="20"/>
        </w:rPr>
      </w:pPr>
    </w:p>
    <w:p w:rsidR="004F47BB" w:rsidRPr="004F47BB" w:rsidRDefault="004F47BB" w:rsidP="004F47BB">
      <w:pPr>
        <w:tabs>
          <w:tab w:val="left" w:pos="1134"/>
          <w:tab w:val="left" w:pos="1418"/>
          <w:tab w:val="left" w:pos="5954"/>
          <w:tab w:val="left" w:pos="6379"/>
          <w:tab w:val="left" w:pos="6663"/>
        </w:tabs>
        <w:overflowPunct w:val="0"/>
        <w:adjustRightInd w:val="0"/>
        <w:spacing w:line="240" w:lineRule="atLeast"/>
        <w:ind w:left="567" w:hanging="567"/>
        <w:jc w:val="left"/>
        <w:textAlignment w:val="baseline"/>
        <w:rPr>
          <w:szCs w:val="20"/>
        </w:rPr>
      </w:pPr>
      <w:r>
        <w:t>4.4</w:t>
      </w:r>
      <w:r>
        <w:tab/>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G</m:t>
            </m:r>
          </m:sub>
        </m:sSub>
        <m:r>
          <w:rPr>
            <w:rFonts w:ascii="Cambria Math" w:hAnsi="Cambria Math"/>
            <w:szCs w:val="20"/>
          </w:rPr>
          <m:t xml:space="preserve">=i ∙D ∙ ρ ∙g ∙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-6</m:t>
            </m:r>
          </m:sup>
        </m:sSup>
      </m:oMath>
    </w:p>
    <w:p w:rsidR="004F47BB" w:rsidRPr="004F47BB" w:rsidRDefault="004F47BB" w:rsidP="004F47BB">
      <w:pPr>
        <w:tabs>
          <w:tab w:val="left" w:pos="5954"/>
          <w:tab w:val="left" w:pos="6379"/>
          <w:tab w:val="left" w:pos="6663"/>
        </w:tabs>
        <w:overflowPunct w:val="0"/>
        <w:adjustRightInd w:val="0"/>
        <w:spacing w:line="240" w:lineRule="atLeast"/>
        <w:ind w:left="0" w:firstLine="0"/>
        <w:jc w:val="left"/>
        <w:textAlignment w:val="baseline"/>
        <w:rPr>
          <w:szCs w:val="20"/>
        </w:rPr>
      </w:pPr>
    </w:p>
    <w:p w:rsidR="004F47BB" w:rsidRPr="004F47BB" w:rsidRDefault="004F47BB" w:rsidP="004F47BB">
      <w:pPr>
        <w:tabs>
          <w:tab w:val="left" w:pos="1134"/>
          <w:tab w:val="left" w:pos="1418"/>
          <w:tab w:val="left" w:pos="5954"/>
          <w:tab w:val="left" w:pos="6379"/>
        </w:tabs>
        <w:overflowPunct w:val="0"/>
        <w:adjustRightInd w:val="0"/>
        <w:spacing w:line="240" w:lineRule="atLeast"/>
        <w:ind w:left="567" w:hanging="567"/>
        <w:jc w:val="left"/>
        <w:textAlignment w:val="baseline"/>
        <w:rPr>
          <w:szCs w:val="20"/>
        </w:rPr>
      </w:pPr>
      <w:r>
        <w:t>4.5</w:t>
      </w:r>
      <w:r>
        <w:tab/>
      </w:r>
      <m:oMath>
        <m:sSub>
          <m:sSubPr>
            <m:ctrlPr>
              <w:rPr>
                <w:rFonts w:ascii="Cambria Math" w:hAnsi="Cambria Math"/>
                <w:i/>
                <w:szCs w:val="20"/>
              </w:rPr>
            </m:ctrlPr>
          </m:sSubPr>
          <m:e>
            <m:r>
              <w:rPr>
                <w:rFonts w:ascii="Cambria Math" w:hAnsi="Cambria Math"/>
                <w:szCs w:val="20"/>
              </w:rPr>
              <m:t>v</m:t>
            </m:r>
          </m:e>
          <m:sub>
            <m:r>
              <w:rPr>
                <w:rFonts w:ascii="Cambria Math" w:hAnsi="Cambria Math"/>
                <w:szCs w:val="20"/>
              </w:rPr>
              <m:t>II</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r>
          <w:rPr>
            <w:rFonts w:ascii="Cambria Math" w:hAnsi="Cambria Math"/>
            <w:szCs w:val="20"/>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e>
        </m:d>
      </m:oMath>
      <w:r>
        <w:tab/>
        <w:t>-</w:t>
      </w:r>
      <w:r>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oMath>
      <w:r>
        <w:t xml:space="preserve"> secondo la tabella 1</w:t>
      </w:r>
    </w:p>
    <w:p w:rsidR="004F47BB" w:rsidRPr="004F47BB" w:rsidRDefault="004F47BB" w:rsidP="004F47BB">
      <w:pPr>
        <w:tabs>
          <w:tab w:val="left" w:pos="426"/>
          <w:tab w:val="left" w:pos="5954"/>
          <w:tab w:val="left" w:pos="6379"/>
          <w:tab w:val="left" w:pos="6663"/>
        </w:tabs>
        <w:overflowPunct w:val="0"/>
        <w:adjustRightInd w:val="0"/>
        <w:spacing w:line="240" w:lineRule="atLeast"/>
        <w:ind w:left="426" w:hanging="426"/>
        <w:jc w:val="left"/>
        <w:textAlignment w:val="baseline"/>
        <w:rPr>
          <w:szCs w:val="20"/>
        </w:rPr>
      </w:pPr>
    </w:p>
    <w:p w:rsidR="004F47BB" w:rsidRPr="004F47BB" w:rsidRDefault="004F47BB" w:rsidP="004F47BB">
      <w:pPr>
        <w:tabs>
          <w:tab w:val="left" w:pos="1134"/>
          <w:tab w:val="left" w:pos="1418"/>
          <w:tab w:val="left" w:pos="5954"/>
          <w:tab w:val="left" w:pos="6379"/>
        </w:tabs>
        <w:overflowPunct w:val="0"/>
        <w:adjustRightInd w:val="0"/>
        <w:spacing w:line="240" w:lineRule="atLeast"/>
        <w:ind w:left="567" w:hanging="567"/>
        <w:jc w:val="left"/>
        <w:textAlignment w:val="baseline"/>
        <w:rPr>
          <w:szCs w:val="20"/>
        </w:rPr>
      </w:pPr>
      <w:r>
        <w:t>4.6</w:t>
      </w:r>
      <w:r>
        <w:tab/>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r>
          <w:rPr>
            <w:rFonts w:ascii="Cambria Math" w:hAnsi="Cambria Math"/>
            <w:szCs w:val="20"/>
          </w:rPr>
          <m:t xml:space="preserve">=f ∙ </m:t>
        </m:r>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oMath>
      <w:r>
        <w:tab/>
        <w:t>-</w:t>
      </w:r>
      <w:r>
        <w:tab/>
      </w:r>
      <m:oMath>
        <m:r>
          <w:rPr>
            <w:rFonts w:ascii="Cambria Math" w:hAnsi="Cambria Math"/>
            <w:szCs w:val="20"/>
          </w:rPr>
          <m:t>f</m:t>
        </m:r>
      </m:oMath>
      <w:r>
        <w:t xml:space="preserve"> secondo la tabella 2</w:t>
      </w:r>
    </w:p>
    <w:p w:rsidR="004F47BB" w:rsidRPr="004F47BB" w:rsidRDefault="004F47BB" w:rsidP="004F47BB">
      <w:pPr>
        <w:tabs>
          <w:tab w:val="left" w:pos="5954"/>
          <w:tab w:val="left" w:pos="6379"/>
          <w:tab w:val="left" w:pos="6663"/>
        </w:tabs>
        <w:overflowPunct w:val="0"/>
        <w:adjustRightInd w:val="0"/>
        <w:spacing w:line="240" w:lineRule="atLeast"/>
        <w:ind w:left="0" w:firstLine="0"/>
        <w:jc w:val="left"/>
        <w:textAlignment w:val="baseline"/>
        <w:rPr>
          <w:szCs w:val="20"/>
        </w:rPr>
      </w:pPr>
    </w:p>
    <w:p w:rsidR="004F47BB" w:rsidRPr="004F47BB" w:rsidRDefault="004F47BB" w:rsidP="004F47BB">
      <w:pPr>
        <w:tabs>
          <w:tab w:val="left" w:pos="5954"/>
          <w:tab w:val="left" w:pos="6379"/>
        </w:tabs>
        <w:overflowPunct w:val="0"/>
        <w:adjustRightInd w:val="0"/>
        <w:spacing w:line="240" w:lineRule="atLeast"/>
        <w:ind w:left="567" w:hanging="567"/>
        <w:jc w:val="left"/>
        <w:textAlignment w:val="baseline"/>
        <w:rPr>
          <w:szCs w:val="20"/>
        </w:rPr>
      </w:pPr>
      <w:r>
        <w:t>4.7</w:t>
      </w:r>
      <w:r>
        <w:tab/>
      </w:r>
      <m:oMath>
        <m:sSub>
          <m:sSubPr>
            <m:ctrlPr>
              <w:rPr>
                <w:rFonts w:ascii="Cambria Math" w:hAnsi="Cambria Math"/>
                <w:i/>
                <w:sz w:val="22"/>
                <w:szCs w:val="20"/>
              </w:rPr>
            </m:ctrlPr>
          </m:sSubPr>
          <m:e>
            <m:r>
              <w:rPr>
                <w:rFonts w:ascii="Cambria Math" w:hAnsi="Cambria Math"/>
                <w:sz w:val="22"/>
                <w:szCs w:val="20"/>
              </w:rPr>
              <m:t>t</m:t>
            </m:r>
          </m:e>
          <m:sub>
            <m:r>
              <w:rPr>
                <w:rFonts w:ascii="Cambria Math" w:hAnsi="Cambria Math"/>
                <w:sz w:val="22"/>
                <w:szCs w:val="20"/>
              </w:rPr>
              <m:t>II</m:t>
            </m:r>
          </m:sub>
        </m:sSub>
        <m:r>
          <w:rPr>
            <w:rFonts w:ascii="Cambria Math" w:hAnsi="Cambria Math"/>
            <w:sz w:val="22"/>
            <w:szCs w:val="20"/>
          </w:rPr>
          <m:t xml:space="preserve">= </m:t>
        </m:r>
        <m:f>
          <m:fPr>
            <m:ctrlPr>
              <w:rPr>
                <w:rFonts w:ascii="Cambria Math" w:hAnsi="Cambria Math"/>
                <w:i/>
                <w:sz w:val="22"/>
                <w:szCs w:val="20"/>
              </w:rPr>
            </m:ctrlPr>
          </m:fPr>
          <m:num>
            <m:sSub>
              <m:sSubPr>
                <m:ctrlPr>
                  <w:rPr>
                    <w:rFonts w:ascii="Cambria Math" w:hAnsi="Cambria Math"/>
                    <w:i/>
                    <w:sz w:val="22"/>
                    <w:szCs w:val="20"/>
                  </w:rPr>
                </m:ctrlPr>
              </m:sSubPr>
              <m:e>
                <m:r>
                  <w:rPr>
                    <w:rFonts w:ascii="Cambria Math" w:hAnsi="Cambria Math"/>
                    <w:sz w:val="22"/>
                    <w:szCs w:val="20"/>
                  </w:rPr>
                  <m:t>s</m:t>
                </m:r>
              </m:e>
              <m:sub>
                <m:r>
                  <w:rPr>
                    <w:rFonts w:ascii="Cambria Math" w:hAnsi="Cambria Math"/>
                    <w:sz w:val="22"/>
                    <w:szCs w:val="20"/>
                  </w:rPr>
                  <m:t>II</m:t>
                </m:r>
              </m:sub>
            </m:sSub>
          </m:num>
          <m:den>
            <m:sSub>
              <m:sSubPr>
                <m:ctrlPr>
                  <w:rPr>
                    <w:rFonts w:ascii="Cambria Math" w:hAnsi="Cambria Math"/>
                    <w:i/>
                    <w:sz w:val="22"/>
                    <w:szCs w:val="20"/>
                  </w:rPr>
                </m:ctrlPr>
              </m:sSubPr>
              <m:e>
                <m:r>
                  <w:rPr>
                    <w:rFonts w:ascii="Cambria Math" w:hAnsi="Cambria Math"/>
                    <w:sz w:val="22"/>
                    <w:szCs w:val="20"/>
                  </w:rPr>
                  <m:t>v</m:t>
                </m:r>
              </m:e>
              <m:sub>
                <m:r>
                  <w:rPr>
                    <w:rFonts w:ascii="Cambria Math" w:hAnsi="Cambria Math"/>
                    <w:sz w:val="22"/>
                    <w:szCs w:val="20"/>
                  </w:rPr>
                  <m:t>II</m:t>
                </m:r>
              </m:sub>
            </m:sSub>
            <m:r>
              <w:rPr>
                <w:rFonts w:ascii="Cambria Math" w:hAnsi="Cambria Math"/>
                <w:sz w:val="22"/>
                <w:szCs w:val="20"/>
              </w:rPr>
              <m:t xml:space="preserve"> ∙ </m:t>
            </m:r>
            <m:d>
              <m:dPr>
                <m:ctrlPr>
                  <w:rPr>
                    <w:rFonts w:ascii="Cambria Math" w:hAnsi="Cambria Math"/>
                    <w:i/>
                    <w:sz w:val="22"/>
                    <w:szCs w:val="20"/>
                  </w:rPr>
                </m:ctrlPr>
              </m:dPr>
              <m:e>
                <m:sSub>
                  <m:sSubPr>
                    <m:ctrlPr>
                      <w:rPr>
                        <w:rFonts w:ascii="Cambria Math" w:hAnsi="Cambria Math"/>
                        <w:i/>
                        <w:sz w:val="22"/>
                        <w:szCs w:val="20"/>
                      </w:rPr>
                    </m:ctrlPr>
                  </m:sSubPr>
                  <m:e>
                    <m:r>
                      <w:rPr>
                        <w:rFonts w:ascii="Cambria Math" w:hAnsi="Cambria Math"/>
                        <w:sz w:val="22"/>
                        <w:szCs w:val="20"/>
                      </w:rPr>
                      <m:t>k</m:t>
                    </m:r>
                  </m:e>
                  <m:sub>
                    <m:r>
                      <w:rPr>
                        <w:rFonts w:ascii="Cambria Math" w:hAnsi="Cambria Math"/>
                        <w:sz w:val="22"/>
                        <w:szCs w:val="20"/>
                      </w:rPr>
                      <m:t>4</m:t>
                    </m:r>
                  </m:sub>
                </m:sSub>
                <m:r>
                  <w:rPr>
                    <w:rFonts w:ascii="Cambria Math" w:hAnsi="Cambria Math"/>
                    <w:sz w:val="22"/>
                    <w:szCs w:val="20"/>
                  </w:rPr>
                  <m:t xml:space="preserve">+ </m:t>
                </m:r>
                <m:f>
                  <m:fPr>
                    <m:ctrlPr>
                      <w:rPr>
                        <w:rFonts w:ascii="Cambria Math" w:hAnsi="Cambria Math"/>
                        <w:i/>
                        <w:sz w:val="22"/>
                        <w:szCs w:val="20"/>
                      </w:rPr>
                    </m:ctrlPr>
                  </m:fPr>
                  <m:num>
                    <m:sSub>
                      <m:sSubPr>
                        <m:ctrlPr>
                          <w:rPr>
                            <w:rFonts w:ascii="Cambria Math" w:hAnsi="Cambria Math"/>
                            <w:i/>
                            <w:sz w:val="22"/>
                            <w:szCs w:val="20"/>
                          </w:rPr>
                        </m:ctrlPr>
                      </m:sSubPr>
                      <m:e>
                        <m:r>
                          <w:rPr>
                            <w:rFonts w:ascii="Cambria Math" w:hAnsi="Cambria Math"/>
                            <w:sz w:val="22"/>
                            <w:szCs w:val="20"/>
                          </w:rPr>
                          <m:t>v</m:t>
                        </m:r>
                      </m:e>
                      <m:sub>
                        <m:r>
                          <w:rPr>
                            <w:rFonts w:ascii="Cambria Math" w:hAnsi="Cambria Math"/>
                            <w:sz w:val="22"/>
                            <w:szCs w:val="20"/>
                          </w:rPr>
                          <m:t>STR</m:t>
                        </m:r>
                      </m:sub>
                    </m:sSub>
                  </m:num>
                  <m:den>
                    <m:sSub>
                      <m:sSubPr>
                        <m:ctrlPr>
                          <w:rPr>
                            <w:rFonts w:ascii="Cambria Math" w:hAnsi="Cambria Math"/>
                            <w:i/>
                            <w:sz w:val="22"/>
                            <w:szCs w:val="20"/>
                          </w:rPr>
                        </m:ctrlPr>
                      </m:sSubPr>
                      <m:e>
                        <m:r>
                          <w:rPr>
                            <w:rFonts w:ascii="Cambria Math" w:hAnsi="Cambria Math"/>
                            <w:sz w:val="22"/>
                            <w:szCs w:val="20"/>
                          </w:rPr>
                          <m:t>v</m:t>
                        </m:r>
                      </m:e>
                      <m:sub>
                        <m:r>
                          <w:rPr>
                            <w:rFonts w:ascii="Cambria Math" w:hAnsi="Cambria Math"/>
                            <w:sz w:val="22"/>
                            <w:szCs w:val="20"/>
                          </w:rPr>
                          <m:t>II</m:t>
                        </m:r>
                      </m:sub>
                    </m:sSub>
                  </m:den>
                </m:f>
              </m:e>
            </m:d>
          </m:den>
        </m:f>
      </m:oMath>
      <w:r>
        <w:tab/>
        <w:t>-</w:t>
      </w:r>
      <w:r>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oMath>
      <w:r>
        <w:t xml:space="preserve"> secondo la tabella 1</w:t>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r>
        <w:br w:type="page"/>
      </w:r>
    </w:p>
    <w:p w:rsidR="004F47BB" w:rsidRPr="004F47BB" w:rsidRDefault="004F47BB" w:rsidP="004F47BB">
      <w:pPr>
        <w:overflowPunct w:val="0"/>
        <w:adjustRightInd w:val="0"/>
        <w:ind w:left="0" w:firstLine="0"/>
        <w:jc w:val="left"/>
        <w:textAlignment w:val="baseline"/>
        <w:rPr>
          <w:szCs w:val="20"/>
        </w:rPr>
      </w:pPr>
      <w:r>
        <w:lastRenderedPageBreak/>
        <w:t>Nelle formule da 4.1 a 4.7:</w:t>
      </w:r>
    </w:p>
    <w:p w:rsidR="004F47BB" w:rsidRPr="004F47BB" w:rsidRDefault="004F47BB" w:rsidP="004F47BB">
      <w:pPr>
        <w:overflowPunct w:val="0"/>
        <w:adjustRightInd w:val="0"/>
        <w:ind w:left="0" w:firstLine="0"/>
        <w:jc w:val="left"/>
        <w:textAlignment w:val="baseline"/>
        <w:rPr>
          <w:szCs w:val="20"/>
        </w:rPr>
      </w:pPr>
    </w:p>
    <w:tbl>
      <w:tblPr>
        <w:tblW w:w="0" w:type="auto"/>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021"/>
        <w:gridCol w:w="6521"/>
        <w:gridCol w:w="1021"/>
      </w:tblGrid>
      <w:tr w:rsidR="004F47BB" w:rsidRPr="004F47BB" w:rsidTr="00D45887">
        <w:trPr>
          <w:jc w:val="center"/>
        </w:trPr>
        <w:tc>
          <w:tcPr>
            <w:tcW w:w="1021" w:type="dxa"/>
            <w:tcBorders>
              <w:top w:val="nil"/>
              <w:left w:val="nil"/>
              <w:bottom w:val="nil"/>
              <w:right w:val="nil"/>
            </w:tcBorders>
          </w:tcPr>
          <w:p w:rsidR="004F47BB" w:rsidRPr="004F47BB" w:rsidRDefault="00624017" w:rsidP="004F47BB">
            <w:pPr>
              <w:overflowPunct w:val="0"/>
              <w:adjustRightInd w:val="0"/>
              <w:spacing w:before="120" w:after="120"/>
              <w:ind w:left="113" w:right="113" w:firstLine="0"/>
              <w:jc w:val="left"/>
              <w:textAlignment w:val="baseline"/>
              <w:rPr>
                <w:szCs w:val="20"/>
              </w:rPr>
            </w:pPr>
            <m:oMathPara>
              <m:oMath>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oMath>
            </m:oMathPara>
          </w:p>
        </w:tc>
        <w:tc>
          <w:tcPr>
            <w:tcW w:w="65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Velocità rispetto alla riva all'inizio dell'inversione</w:t>
            </w:r>
          </w:p>
        </w:tc>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(m/s)</w:t>
            </w:r>
          </w:p>
        </w:tc>
      </w:tr>
      <w:tr w:rsidR="004F47BB" w:rsidRPr="004F47BB" w:rsidTr="00D45887">
        <w:trPr>
          <w:jc w:val="center"/>
        </w:trPr>
        <w:tc>
          <w:tcPr>
            <w:tcW w:w="1021" w:type="dxa"/>
            <w:tcBorders>
              <w:top w:val="nil"/>
              <w:left w:val="nil"/>
              <w:bottom w:val="nil"/>
              <w:right w:val="nil"/>
            </w:tcBorders>
          </w:tcPr>
          <w:p w:rsidR="004F47BB" w:rsidRPr="004F47BB" w:rsidRDefault="00624017" w:rsidP="004F47BB">
            <w:pPr>
              <w:overflowPunct w:val="0"/>
              <w:adjustRightInd w:val="0"/>
              <w:spacing w:before="120" w:after="120"/>
              <w:ind w:left="113" w:right="113" w:firstLine="0"/>
              <w:jc w:val="left"/>
              <w:textAlignment w:val="baseline"/>
              <w:rPr>
                <w:szCs w:val="20"/>
              </w:rPr>
            </w:pPr>
            <m:oMathPara>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I</m:t>
                    </m:r>
                  </m:sub>
                </m:sSub>
              </m:oMath>
            </m:oMathPara>
          </w:p>
        </w:tc>
        <w:tc>
          <w:tcPr>
            <w:tcW w:w="65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Tempo di inversione</w:t>
            </w:r>
          </w:p>
        </w:tc>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(s)</w:t>
            </w:r>
          </w:p>
        </w:tc>
      </w:tr>
      <w:tr w:rsidR="004F47BB" w:rsidRPr="004F47BB" w:rsidTr="00D45887">
        <w:trPr>
          <w:jc w:val="center"/>
        </w:trPr>
        <w:tc>
          <w:tcPr>
            <w:tcW w:w="1021" w:type="dxa"/>
            <w:tcBorders>
              <w:top w:val="nil"/>
              <w:left w:val="nil"/>
              <w:bottom w:val="nil"/>
              <w:right w:val="nil"/>
            </w:tcBorders>
          </w:tcPr>
          <w:p w:rsidR="004F47BB" w:rsidRPr="004F47BB" w:rsidRDefault="00624017" w:rsidP="004F47BB">
            <w:pPr>
              <w:overflowPunct w:val="0"/>
              <w:adjustRightInd w:val="0"/>
              <w:spacing w:before="120" w:after="120"/>
              <w:ind w:left="113" w:right="113" w:firstLine="0"/>
              <w:jc w:val="left"/>
              <w:textAlignment w:val="baseline"/>
              <w:rPr>
                <w:szCs w:val="20"/>
              </w:rPr>
            </w:pPr>
            <m:oMathPara>
              <m:oMath>
                <m:sSub>
                  <m:sSubPr>
                    <m:ctrlPr>
                      <w:rPr>
                        <w:rFonts w:ascii="Cambria Math" w:hAnsi="Cambria Math"/>
                        <w:i/>
                        <w:szCs w:val="20"/>
                      </w:rPr>
                    </m:ctrlPr>
                  </m:sSubPr>
                  <m:e>
                    <m:r>
                      <w:rPr>
                        <w:rFonts w:ascii="Cambria Math" w:hAnsi="Cambria Math"/>
                        <w:szCs w:val="20"/>
                      </w:rPr>
                      <m:t>v</m:t>
                    </m:r>
                  </m:e>
                  <m:sub>
                    <m:r>
                      <w:rPr>
                        <w:rFonts w:ascii="Cambria Math" w:hAnsi="Cambria Math"/>
                        <w:szCs w:val="20"/>
                      </w:rPr>
                      <m:t>II</m:t>
                    </m:r>
                  </m:sub>
                </m:sSub>
              </m:oMath>
            </m:oMathPara>
          </w:p>
        </w:tc>
        <w:tc>
          <w:tcPr>
            <w:tcW w:w="65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Velocità rispetto all'acqua alla fine dell'inversione</w:t>
            </w:r>
          </w:p>
        </w:tc>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(m/s)</w:t>
            </w:r>
          </w:p>
        </w:tc>
      </w:tr>
      <w:tr w:rsidR="004F47BB" w:rsidRPr="004F47BB" w:rsidTr="00D45887">
        <w:trPr>
          <w:jc w:val="center"/>
        </w:trPr>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m:oMathPara>
              <m:oMath>
                <m:r>
                  <w:rPr>
                    <w:rFonts w:ascii="Cambria Math" w:hAnsi="Cambria Math"/>
                    <w:szCs w:val="20"/>
                  </w:rPr>
                  <m:t>D</m:t>
                </m:r>
              </m:oMath>
            </m:oMathPara>
          </w:p>
        </w:tc>
        <w:tc>
          <w:tcPr>
            <w:tcW w:w="65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Dislocamento</w:t>
            </w:r>
          </w:p>
        </w:tc>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(m</w:t>
            </w:r>
            <w:r>
              <w:rPr>
                <w:position w:val="6"/>
                <w:sz w:val="16"/>
              </w:rPr>
              <w:t>3</w:t>
            </w:r>
            <w:r>
              <w:t>)</w:t>
            </w:r>
          </w:p>
        </w:tc>
      </w:tr>
      <w:tr w:rsidR="004F47BB" w:rsidRPr="004F47BB" w:rsidTr="00D45887">
        <w:trPr>
          <w:jc w:val="center"/>
        </w:trPr>
        <w:tc>
          <w:tcPr>
            <w:tcW w:w="1021" w:type="dxa"/>
            <w:tcBorders>
              <w:top w:val="nil"/>
              <w:left w:val="nil"/>
              <w:bottom w:val="nil"/>
              <w:right w:val="nil"/>
            </w:tcBorders>
          </w:tcPr>
          <w:p w:rsidR="004F47BB" w:rsidRPr="004F47BB" w:rsidRDefault="00624017" w:rsidP="004F47BB">
            <w:pPr>
              <w:overflowPunct w:val="0"/>
              <w:adjustRightInd w:val="0"/>
              <w:spacing w:before="120" w:after="120"/>
              <w:ind w:left="113" w:right="113" w:firstLine="0"/>
              <w:jc w:val="left"/>
              <w:textAlignment w:val="baseline"/>
              <w:rPr>
                <w:szCs w:val="20"/>
              </w:rPr>
            </w:pPr>
            <m:oMathPara>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oMath>
            </m:oMathPara>
          </w:p>
        </w:tc>
        <w:tc>
          <w:tcPr>
            <w:tcW w:w="65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Trazione sulla bitta in marcia indietro</w:t>
            </w:r>
          </w:p>
        </w:tc>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(kN)</w:t>
            </w:r>
          </w:p>
        </w:tc>
      </w:tr>
      <w:tr w:rsidR="004F47BB" w:rsidRPr="004F47BB" w:rsidTr="00D45887">
        <w:trPr>
          <w:jc w:val="center"/>
        </w:trPr>
        <w:tc>
          <w:tcPr>
            <w:tcW w:w="1021" w:type="dxa"/>
            <w:tcBorders>
              <w:top w:val="nil"/>
              <w:left w:val="nil"/>
              <w:bottom w:val="nil"/>
              <w:right w:val="nil"/>
            </w:tcBorders>
          </w:tcPr>
          <w:p w:rsidR="004F47BB" w:rsidRPr="004F47BB" w:rsidRDefault="00624017" w:rsidP="004F47BB">
            <w:pPr>
              <w:overflowPunct w:val="0"/>
              <w:adjustRightInd w:val="0"/>
              <w:spacing w:before="120" w:after="120"/>
              <w:ind w:left="113" w:right="113" w:firstLine="0"/>
              <w:jc w:val="left"/>
              <w:textAlignment w:val="baseline"/>
              <w:rPr>
                <w:szCs w:val="20"/>
              </w:rPr>
            </w:pPr>
            <m:oMathPara>
              <m:oMath>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oMath>
            </m:oMathPara>
          </w:p>
        </w:tc>
        <w:tc>
          <w:tcPr>
            <w:tcW w:w="65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Potenza del motore di propulsione</w:t>
            </w:r>
          </w:p>
        </w:tc>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(kW)</w:t>
            </w:r>
          </w:p>
        </w:tc>
      </w:tr>
      <w:tr w:rsidR="004F47BB" w:rsidRPr="004F47BB" w:rsidTr="00D45887">
        <w:trPr>
          <w:jc w:val="center"/>
        </w:trPr>
        <w:tc>
          <w:tcPr>
            <w:tcW w:w="1021" w:type="dxa"/>
            <w:tcBorders>
              <w:top w:val="nil"/>
              <w:left w:val="nil"/>
              <w:bottom w:val="nil"/>
              <w:right w:val="nil"/>
            </w:tcBorders>
          </w:tcPr>
          <w:p w:rsidR="004F47BB" w:rsidRPr="004F47BB" w:rsidRDefault="00624017" w:rsidP="004F47BB">
            <w:pPr>
              <w:overflowPunct w:val="0"/>
              <w:adjustRightInd w:val="0"/>
              <w:spacing w:before="120" w:after="120"/>
              <w:ind w:left="113" w:right="113" w:firstLine="0"/>
              <w:jc w:val="left"/>
              <w:textAlignment w:val="baseline"/>
              <w:rPr>
                <w:szCs w:val="20"/>
              </w:rPr>
            </w:pPr>
            <m:oMathPara>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TmII</m:t>
                    </m:r>
                  </m:sub>
                </m:sSub>
              </m:oMath>
            </m:oMathPara>
          </w:p>
        </w:tc>
        <w:tc>
          <w:tcPr>
            <w:tcW w:w="65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Resistenza media durante la fase II</w:t>
            </w:r>
          </w:p>
        </w:tc>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(kN)</w:t>
            </w:r>
          </w:p>
        </w:tc>
      </w:tr>
      <w:tr w:rsidR="004F47BB" w:rsidRPr="004F47BB" w:rsidTr="00D45887">
        <w:trPr>
          <w:jc w:val="center"/>
        </w:trPr>
        <w:tc>
          <w:tcPr>
            <w:tcW w:w="1021" w:type="dxa"/>
            <w:tcBorders>
              <w:top w:val="nil"/>
              <w:left w:val="nil"/>
              <w:bottom w:val="nil"/>
              <w:right w:val="nil"/>
            </w:tcBorders>
          </w:tcPr>
          <w:p w:rsidR="004F47BB" w:rsidRPr="004F47BB" w:rsidRDefault="00624017" w:rsidP="004F47BB">
            <w:pPr>
              <w:overflowPunct w:val="0"/>
              <w:adjustRightInd w:val="0"/>
              <w:spacing w:before="120" w:after="120"/>
              <w:ind w:left="113" w:right="113" w:firstLine="0"/>
              <w:jc w:val="left"/>
              <w:textAlignment w:val="baseline"/>
              <w:rPr>
                <w:szCs w:val="20"/>
              </w:rPr>
            </w:pPr>
            <m:oMathPara>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G</m:t>
                    </m:r>
                  </m:sub>
                </m:sSub>
              </m:oMath>
            </m:oMathPara>
          </w:p>
        </w:tc>
        <w:tc>
          <w:tcPr>
            <w:tcW w:w="65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Resistenza dovuta al gradiente</w:t>
            </w:r>
          </w:p>
        </w:tc>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(kN)</w:t>
            </w:r>
          </w:p>
        </w:tc>
      </w:tr>
      <w:tr w:rsidR="004F47BB" w:rsidRPr="004F47BB" w:rsidTr="00D45887">
        <w:trPr>
          <w:jc w:val="center"/>
        </w:trPr>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m:oMathPara>
              <m:oMath>
                <m:r>
                  <w:rPr>
                    <w:rFonts w:ascii="Cambria Math" w:hAnsi="Cambria Math"/>
                    <w:szCs w:val="20"/>
                  </w:rPr>
                  <m:t>i</m:t>
                </m:r>
              </m:oMath>
            </m:oMathPara>
          </w:p>
        </w:tc>
        <w:tc>
          <w:tcPr>
            <w:tcW w:w="65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Gradiente in m/km (se non noto, da assumersi pari a 0,16)</w:t>
            </w:r>
          </w:p>
        </w:tc>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(m/km)</w:t>
            </w:r>
          </w:p>
        </w:tc>
      </w:tr>
      <w:tr w:rsidR="004F47BB" w:rsidRPr="004F47BB" w:rsidTr="00D45887">
        <w:trPr>
          <w:jc w:val="center"/>
        </w:trPr>
        <w:tc>
          <w:tcPr>
            <w:tcW w:w="1021" w:type="dxa"/>
            <w:tcBorders>
              <w:top w:val="nil"/>
              <w:left w:val="nil"/>
              <w:bottom w:val="nil"/>
              <w:right w:val="nil"/>
            </w:tcBorders>
          </w:tcPr>
          <w:p w:rsidR="004F47BB" w:rsidRPr="004F47BB" w:rsidRDefault="00624017" w:rsidP="004F47BB">
            <w:pPr>
              <w:overflowPunct w:val="0"/>
              <w:adjustRightInd w:val="0"/>
              <w:spacing w:before="120" w:after="120"/>
              <w:ind w:left="113" w:right="113" w:firstLine="0"/>
              <w:jc w:val="left"/>
              <w:textAlignment w:val="baseline"/>
              <w:rPr>
                <w:szCs w:val="20"/>
              </w:rPr>
            </w:pPr>
            <m:oMathPara>
              <m:oMath>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oMath>
            </m:oMathPara>
          </w:p>
        </w:tc>
        <w:tc>
          <w:tcPr>
            <w:tcW w:w="65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Velocità media della corrente</w:t>
            </w:r>
          </w:p>
        </w:tc>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(m/s)</w:t>
            </w:r>
          </w:p>
        </w:tc>
      </w:tr>
      <w:tr w:rsidR="004F47BB" w:rsidRPr="004F47BB" w:rsidTr="00D45887">
        <w:trPr>
          <w:jc w:val="center"/>
        </w:trPr>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m:oMathPara>
              <m:oMath>
                <m:r>
                  <w:rPr>
                    <w:rFonts w:ascii="Cambria Math" w:hAnsi="Cambria Math"/>
                    <w:szCs w:val="20"/>
                  </w:rPr>
                  <m:t>g</m:t>
                </m:r>
              </m:oMath>
            </m:oMathPara>
          </w:p>
        </w:tc>
        <w:tc>
          <w:tcPr>
            <w:tcW w:w="65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Accelerazione dovuta alla gravità (9,81)</w:t>
            </w:r>
          </w:p>
        </w:tc>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(m/s</w:t>
            </w:r>
            <w:r>
              <w:rPr>
                <w:vertAlign w:val="superscript"/>
              </w:rPr>
              <w:t>2</w:t>
            </w:r>
            <w:r>
              <w:t>)</w:t>
            </w:r>
          </w:p>
        </w:tc>
      </w:tr>
      <w:tr w:rsidR="004F47BB" w:rsidRPr="004F47BB" w:rsidTr="00D45887">
        <w:trPr>
          <w:jc w:val="center"/>
        </w:trPr>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m:oMathPara>
              <m:oMath>
                <m:r>
                  <w:rPr>
                    <w:rFonts w:ascii="Cambria Math" w:hAnsi="Cambria Math"/>
                    <w:szCs w:val="20"/>
                  </w:rPr>
                  <m:t>ρ</m:t>
                </m:r>
              </m:oMath>
            </m:oMathPara>
          </w:p>
        </w:tc>
        <w:tc>
          <w:tcPr>
            <w:tcW w:w="65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 xml:space="preserve">Densità dell'acqua, </w:t>
            </w:r>
            <m:oMath>
              <m:r>
                <w:rPr>
                  <w:rFonts w:ascii="Cambria Math" w:hAnsi="Cambria Math"/>
                  <w:szCs w:val="20"/>
                </w:rPr>
                <m:t>ρ</m:t>
              </m:r>
            </m:oMath>
            <w:r>
              <w:t>dell'acqua dolce = 1 000</w:t>
            </w:r>
          </w:p>
        </w:tc>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(kg/m</w:t>
            </w:r>
            <w:r>
              <w:rPr>
                <w:position w:val="6"/>
                <w:sz w:val="16"/>
              </w:rPr>
              <w:t>3</w:t>
            </w:r>
            <w:r>
              <w:t>)</w:t>
            </w:r>
          </w:p>
        </w:tc>
      </w:tr>
      <w:tr w:rsidR="004F47BB" w:rsidRPr="004F47BB" w:rsidTr="00D45887">
        <w:trPr>
          <w:jc w:val="center"/>
        </w:trPr>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m:oMathPara>
              <m:oMath>
                <m:r>
                  <w:rPr>
                    <w:rFonts w:ascii="Cambria Math" w:hAnsi="Cambria Math"/>
                    <w:szCs w:val="20"/>
                  </w:rPr>
                  <m:t>T</m:t>
                </m:r>
              </m:oMath>
            </m:oMathPara>
          </w:p>
        </w:tc>
        <w:tc>
          <w:tcPr>
            <w:tcW w:w="65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Massimo pescaggio (della nave o del convoglio)</w:t>
            </w:r>
          </w:p>
        </w:tc>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(m)</w:t>
            </w:r>
          </w:p>
        </w:tc>
      </w:tr>
      <w:tr w:rsidR="004F47BB" w:rsidRPr="004F47BB" w:rsidTr="00D45887">
        <w:trPr>
          <w:jc w:val="center"/>
        </w:trPr>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m:oMathPara>
              <m:oMath>
                <m:r>
                  <w:rPr>
                    <w:rFonts w:ascii="Cambria Math" w:hAnsi="Cambria Math"/>
                    <w:szCs w:val="20"/>
                  </w:rPr>
                  <m:t>h</m:t>
                </m:r>
              </m:oMath>
            </m:oMathPara>
          </w:p>
        </w:tc>
        <w:tc>
          <w:tcPr>
            <w:tcW w:w="65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Profondità dell'acqua</w:t>
            </w:r>
          </w:p>
        </w:tc>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(m)</w:t>
            </w:r>
          </w:p>
        </w:tc>
      </w:tr>
      <w:tr w:rsidR="004F47BB" w:rsidRPr="004F47BB" w:rsidTr="00D45887">
        <w:trPr>
          <w:jc w:val="center"/>
        </w:trPr>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m:oMathPara>
              <m:oMath>
                <m:r>
                  <w:rPr>
                    <w:rFonts w:ascii="Cambria Math" w:hAnsi="Cambria Math"/>
                    <w:szCs w:val="20"/>
                  </w:rPr>
                  <m:t>B</m:t>
                </m:r>
              </m:oMath>
            </m:oMathPara>
          </w:p>
        </w:tc>
        <w:tc>
          <w:tcPr>
            <w:tcW w:w="65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Larghezza</w:t>
            </w:r>
          </w:p>
        </w:tc>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(m)</w:t>
            </w:r>
          </w:p>
        </w:tc>
      </w:tr>
      <w:tr w:rsidR="004F47BB" w:rsidRPr="004F47BB" w:rsidTr="00D45887">
        <w:trPr>
          <w:jc w:val="center"/>
        </w:trPr>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m:oMathPara>
              <m:oMath>
                <m:r>
                  <w:rPr>
                    <w:rFonts w:ascii="Cambria Math" w:hAnsi="Cambria Math"/>
                    <w:szCs w:val="20"/>
                  </w:rPr>
                  <m:t>L</m:t>
                </m:r>
              </m:oMath>
            </m:oMathPara>
          </w:p>
        </w:tc>
        <w:tc>
          <w:tcPr>
            <w:tcW w:w="65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Lunghezza</w:t>
            </w:r>
          </w:p>
        </w:tc>
        <w:tc>
          <w:tcPr>
            <w:tcW w:w="1021" w:type="dxa"/>
            <w:tcBorders>
              <w:top w:val="nil"/>
              <w:left w:val="nil"/>
              <w:bottom w:val="nil"/>
              <w:right w:val="nil"/>
            </w:tcBorders>
          </w:tcPr>
          <w:p w:rsidR="004F47BB" w:rsidRPr="004F47BB" w:rsidRDefault="004F47BB" w:rsidP="004F47BB">
            <w:pPr>
              <w:overflowPunct w:val="0"/>
              <w:adjustRightInd w:val="0"/>
              <w:spacing w:before="120" w:after="120"/>
              <w:ind w:left="113" w:right="113" w:firstLine="0"/>
              <w:jc w:val="left"/>
              <w:textAlignment w:val="baseline"/>
              <w:rPr>
                <w:szCs w:val="20"/>
              </w:rPr>
            </w:pPr>
            <w:r>
              <w:t>(m)</w:t>
            </w:r>
          </w:p>
        </w:tc>
      </w:tr>
    </w:tbl>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tabs>
          <w:tab w:val="left" w:pos="960"/>
          <w:tab w:val="left" w:pos="1344"/>
          <w:tab w:val="left" w:pos="7680"/>
        </w:tabs>
        <w:overflowPunct w:val="0"/>
        <w:adjustRightInd w:val="0"/>
        <w:spacing w:line="240" w:lineRule="exact"/>
        <w:ind w:left="0" w:firstLine="0"/>
        <w:jc w:val="left"/>
        <w:textAlignment w:val="baseline"/>
        <w:rPr>
          <w:szCs w:val="20"/>
        </w:rPr>
      </w:pPr>
    </w:p>
    <w:p w:rsidR="004F47BB" w:rsidRPr="004F47BB" w:rsidRDefault="004F47BB" w:rsidP="004F47BB">
      <w:pPr>
        <w:tabs>
          <w:tab w:val="left" w:pos="960"/>
          <w:tab w:val="left" w:pos="1344"/>
          <w:tab w:val="left" w:pos="7680"/>
        </w:tabs>
        <w:overflowPunct w:val="0"/>
        <w:adjustRightInd w:val="0"/>
        <w:spacing w:line="240" w:lineRule="exact"/>
        <w:ind w:left="0" w:firstLine="0"/>
        <w:textAlignment w:val="baseline"/>
        <w:rPr>
          <w:szCs w:val="20"/>
        </w:rPr>
      </w:pPr>
      <w:r>
        <w:br w:type="page"/>
      </w:r>
    </w:p>
    <w:p w:rsidR="004F47BB" w:rsidRPr="004F47BB" w:rsidRDefault="004F47BB" w:rsidP="004F47BB">
      <w:pPr>
        <w:spacing w:line="240" w:lineRule="atLeast"/>
        <w:ind w:left="567" w:firstLine="0"/>
      </w:pPr>
      <w:r>
        <w:lastRenderedPageBreak/>
        <w:t>I coefficienti per le formule 4.1, 4.2, 4.3, 4.4, 4.5, 4.6 e 4.7 possono essere desunti dalle tabelle di seguito.</w:t>
      </w:r>
    </w:p>
    <w:p w:rsidR="004F47BB" w:rsidRPr="004F47BB" w:rsidRDefault="004F47BB" w:rsidP="004F47BB">
      <w:pPr>
        <w:tabs>
          <w:tab w:val="left" w:pos="960"/>
          <w:tab w:val="left" w:pos="1344"/>
          <w:tab w:val="left" w:pos="7680"/>
        </w:tabs>
        <w:overflowPunct w:val="0"/>
        <w:adjustRightInd w:val="0"/>
        <w:spacing w:line="240" w:lineRule="exact"/>
        <w:ind w:left="0" w:firstLine="0"/>
        <w:jc w:val="left"/>
        <w:textAlignment w:val="baseline"/>
        <w:rPr>
          <w:szCs w:val="20"/>
        </w:rPr>
      </w:pPr>
    </w:p>
    <w:p w:rsidR="004F47BB" w:rsidRPr="004F47BB" w:rsidRDefault="004F47BB" w:rsidP="004F47BB">
      <w:pPr>
        <w:tabs>
          <w:tab w:val="left" w:pos="567"/>
        </w:tabs>
        <w:overflowPunct w:val="0"/>
        <w:adjustRightInd w:val="0"/>
        <w:spacing w:line="240" w:lineRule="atLeast"/>
        <w:ind w:left="567" w:firstLine="0"/>
        <w:textAlignment w:val="baseline"/>
        <w:rPr>
          <w:b/>
          <w:szCs w:val="20"/>
        </w:rPr>
      </w:pPr>
      <w:r>
        <w:rPr>
          <w:b/>
        </w:rPr>
        <w:t xml:space="preserve">Tabella 1: </w:t>
      </w:r>
      <m:oMath>
        <m:r>
          <w:rPr>
            <w:rFonts w:ascii="Cambria Math" w:hAnsi="Cambria Math"/>
            <w:szCs w:val="20"/>
          </w:rPr>
          <m:t>k</m:t>
        </m:r>
      </m:oMath>
      <w:r>
        <w:rPr>
          <w:b/>
        </w:rPr>
        <w:t xml:space="preserve"> fattori per:</w:t>
      </w:r>
    </w:p>
    <w:p w:rsidR="004F47BB" w:rsidRPr="004F47BB" w:rsidRDefault="004F47BB" w:rsidP="004F47BB">
      <w:pPr>
        <w:spacing w:before="60" w:line="240" w:lineRule="atLeast"/>
        <w:ind w:left="992"/>
      </w:pPr>
      <w:r>
        <w:t>a)</w:t>
      </w:r>
      <w:r>
        <w:tab/>
        <w:t>MOTONAVI e CONVOGLI a una fila;</w:t>
      </w:r>
    </w:p>
    <w:p w:rsidR="004F47BB" w:rsidRPr="004F47BB" w:rsidRDefault="004F47BB" w:rsidP="004F47BB">
      <w:pPr>
        <w:spacing w:before="60" w:line="240" w:lineRule="atLeast"/>
        <w:ind w:left="992"/>
      </w:pPr>
      <w:r>
        <w:t>b)</w:t>
      </w:r>
      <w:r>
        <w:tab/>
        <w:t>CONVOGLI affiancati a due file;</w:t>
      </w:r>
    </w:p>
    <w:p w:rsidR="004F47BB" w:rsidRPr="004F47BB" w:rsidRDefault="004F47BB" w:rsidP="004F47BB">
      <w:pPr>
        <w:spacing w:before="60" w:line="240" w:lineRule="atLeast"/>
        <w:ind w:left="992"/>
      </w:pPr>
      <w:r>
        <w:t>c)</w:t>
      </w:r>
      <w:r>
        <w:tab/>
        <w:t>CONVOGLI affiancati a tre file.</w:t>
      </w:r>
    </w:p>
    <w:p w:rsidR="004F47BB" w:rsidRPr="004F47BB" w:rsidRDefault="004F47BB" w:rsidP="004F47BB">
      <w:pPr>
        <w:overflowPunct w:val="0"/>
        <w:adjustRightInd w:val="0"/>
        <w:ind w:left="0" w:firstLine="0"/>
        <w:jc w:val="left"/>
        <w:textAlignment w:val="baseline"/>
        <w:rPr>
          <w:szCs w:val="20"/>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134"/>
        <w:gridCol w:w="1134"/>
        <w:gridCol w:w="1134"/>
        <w:gridCol w:w="1134"/>
        <w:gridCol w:w="1701"/>
      </w:tblGrid>
      <w:tr w:rsidR="004F47BB" w:rsidRPr="004F47BB" w:rsidTr="00D45887">
        <w:trPr>
          <w:jc w:val="center"/>
        </w:trPr>
        <w:tc>
          <w:tcPr>
            <w:tcW w:w="1134" w:type="dxa"/>
            <w:vAlign w:val="center"/>
          </w:tcPr>
          <w:p w:rsidR="004F47BB" w:rsidRPr="004F47BB"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firstLine="0"/>
              <w:jc w:val="left"/>
              <w:textAlignment w:val="baseline"/>
              <w:rPr>
                <w:sz w:val="18"/>
                <w:szCs w:val="18"/>
              </w:rPr>
            </w:pPr>
          </w:p>
        </w:tc>
        <w:tc>
          <w:tcPr>
            <w:tcW w:w="1134" w:type="dxa"/>
          </w:tcPr>
          <w:p w:rsidR="004F47BB" w:rsidRPr="004F47BB"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firstLine="0"/>
              <w:jc w:val="center"/>
              <w:textAlignment w:val="baseline"/>
              <w:rPr>
                <w:sz w:val="18"/>
                <w:szCs w:val="18"/>
              </w:rPr>
            </w:pPr>
            <w:r>
              <w:rPr>
                <w:sz w:val="18"/>
              </w:rPr>
              <w:t>a)</w:t>
            </w:r>
          </w:p>
        </w:tc>
        <w:tc>
          <w:tcPr>
            <w:tcW w:w="1134" w:type="dxa"/>
          </w:tcPr>
          <w:p w:rsidR="004F47BB" w:rsidRPr="004F47BB"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firstLine="0"/>
              <w:jc w:val="center"/>
              <w:textAlignment w:val="baseline"/>
              <w:rPr>
                <w:sz w:val="18"/>
                <w:szCs w:val="18"/>
              </w:rPr>
            </w:pPr>
            <w:r>
              <w:rPr>
                <w:sz w:val="18"/>
              </w:rPr>
              <w:t>b)</w:t>
            </w:r>
          </w:p>
        </w:tc>
        <w:tc>
          <w:tcPr>
            <w:tcW w:w="1134" w:type="dxa"/>
          </w:tcPr>
          <w:p w:rsidR="004F47BB" w:rsidRPr="004F47BB"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firstLine="0"/>
              <w:jc w:val="center"/>
              <w:textAlignment w:val="baseline"/>
              <w:rPr>
                <w:sz w:val="18"/>
                <w:szCs w:val="18"/>
              </w:rPr>
            </w:pPr>
            <w:r>
              <w:rPr>
                <w:sz w:val="18"/>
              </w:rPr>
              <w:t>c)</w:t>
            </w:r>
          </w:p>
        </w:tc>
        <w:tc>
          <w:tcPr>
            <w:tcW w:w="1701" w:type="dxa"/>
          </w:tcPr>
          <w:p w:rsidR="004F47BB" w:rsidRPr="004F47BB"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firstLine="0"/>
              <w:jc w:val="center"/>
              <w:textAlignment w:val="baseline"/>
              <w:rPr>
                <w:sz w:val="18"/>
                <w:szCs w:val="18"/>
              </w:rPr>
            </w:pPr>
            <w:r>
              <w:rPr>
                <w:sz w:val="18"/>
              </w:rPr>
              <w:t>Unità</w:t>
            </w:r>
          </w:p>
        </w:tc>
      </w:tr>
      <w:tr w:rsidR="004F47BB" w:rsidRPr="004F47BB" w:rsidTr="00D45887">
        <w:trPr>
          <w:jc w:val="center"/>
        </w:trPr>
        <w:tc>
          <w:tcPr>
            <w:tcW w:w="1134" w:type="dxa"/>
          </w:tcPr>
          <w:p w:rsidR="004F47BB" w:rsidRPr="004F47BB"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firstLine="0"/>
              <w:jc w:val="left"/>
              <w:textAlignment w:val="baseline"/>
              <w:rPr>
                <w:sz w:val="18"/>
                <w:szCs w:val="18"/>
              </w:rPr>
            </w:pPr>
          </w:p>
        </w:tc>
        <w:tc>
          <w:tcPr>
            <w:tcW w:w="1134" w:type="dxa"/>
          </w:tcPr>
          <w:p w:rsidR="004F47BB" w:rsidRPr="004F47BB"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firstLine="0"/>
              <w:jc w:val="left"/>
              <w:textAlignment w:val="baseline"/>
              <w:rPr>
                <w:sz w:val="18"/>
                <w:szCs w:val="18"/>
              </w:rPr>
            </w:pPr>
          </w:p>
        </w:tc>
        <w:tc>
          <w:tcPr>
            <w:tcW w:w="1134" w:type="dxa"/>
          </w:tcPr>
          <w:p w:rsidR="004F47BB" w:rsidRPr="004F47BB"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firstLine="0"/>
              <w:jc w:val="left"/>
              <w:textAlignment w:val="baseline"/>
              <w:rPr>
                <w:sz w:val="18"/>
                <w:szCs w:val="18"/>
              </w:rPr>
            </w:pPr>
          </w:p>
        </w:tc>
        <w:tc>
          <w:tcPr>
            <w:tcW w:w="1134" w:type="dxa"/>
          </w:tcPr>
          <w:p w:rsidR="004F47BB" w:rsidRPr="004F47BB"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firstLine="0"/>
              <w:jc w:val="left"/>
              <w:textAlignment w:val="baseline"/>
              <w:rPr>
                <w:sz w:val="18"/>
                <w:szCs w:val="18"/>
              </w:rPr>
            </w:pPr>
          </w:p>
        </w:tc>
        <w:tc>
          <w:tcPr>
            <w:tcW w:w="1701" w:type="dxa"/>
          </w:tcPr>
          <w:p w:rsidR="004F47BB" w:rsidRPr="004F47BB"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firstLine="0"/>
              <w:jc w:val="left"/>
              <w:textAlignment w:val="baseline"/>
              <w:rPr>
                <w:sz w:val="18"/>
                <w:szCs w:val="18"/>
              </w:rPr>
            </w:pPr>
          </w:p>
        </w:tc>
      </w:tr>
      <w:tr w:rsidR="004F47BB" w:rsidRPr="004F47BB" w:rsidTr="00D45887">
        <w:trPr>
          <w:jc w:val="center"/>
        </w:trPr>
        <w:tc>
          <w:tcPr>
            <w:tcW w:w="1134" w:type="dxa"/>
          </w:tcPr>
          <w:p w:rsidR="004F47BB" w:rsidRPr="004F47BB" w:rsidRDefault="00624017" w:rsidP="004F47BB">
            <w:pPr>
              <w:tabs>
                <w:tab w:val="left" w:pos="288"/>
                <w:tab w:val="left" w:pos="1800"/>
                <w:tab w:val="left" w:pos="2880"/>
                <w:tab w:val="left" w:pos="3816"/>
                <w:tab w:val="left" w:pos="5112"/>
              </w:tabs>
              <w:overflowPunct w:val="0"/>
              <w:adjustRightInd w:val="0"/>
              <w:spacing w:before="60" w:after="60" w:line="240" w:lineRule="atLeast"/>
              <w:ind w:left="113" w:right="113" w:firstLine="0"/>
              <w:jc w:val="left"/>
              <w:textAlignment w:val="baseline"/>
              <w:rPr>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1</m:t>
                    </m:r>
                  </m:sub>
                </m:sSub>
              </m:oMath>
            </m:oMathPara>
          </w:p>
        </w:tc>
        <w:tc>
          <w:tcPr>
            <w:tcW w:w="1134" w:type="dxa"/>
          </w:tcPr>
          <w:p w:rsidR="004F47BB" w:rsidRPr="004F47BB" w:rsidRDefault="004F47BB" w:rsidP="004F47BB">
            <w:pPr>
              <w:tabs>
                <w:tab w:val="decimal" w:pos="454"/>
              </w:tabs>
              <w:overflowPunct w:val="0"/>
              <w:adjustRightInd w:val="0"/>
              <w:spacing w:before="60" w:after="60" w:line="240" w:lineRule="atLeast"/>
              <w:ind w:left="113" w:right="113" w:firstLine="0"/>
              <w:jc w:val="left"/>
              <w:textAlignment w:val="baseline"/>
              <w:rPr>
                <w:sz w:val="18"/>
                <w:szCs w:val="18"/>
              </w:rPr>
            </w:pPr>
            <w:r>
              <w:rPr>
                <w:sz w:val="18"/>
              </w:rPr>
              <w:t>0,95</w:t>
            </w:r>
          </w:p>
        </w:tc>
        <w:tc>
          <w:tcPr>
            <w:tcW w:w="1134" w:type="dxa"/>
          </w:tcPr>
          <w:p w:rsidR="004F47BB" w:rsidRPr="004F47BB" w:rsidRDefault="004F47BB" w:rsidP="004F47BB">
            <w:pPr>
              <w:tabs>
                <w:tab w:val="decimal" w:pos="454"/>
              </w:tabs>
              <w:overflowPunct w:val="0"/>
              <w:adjustRightInd w:val="0"/>
              <w:spacing w:before="60" w:after="60" w:line="240" w:lineRule="atLeast"/>
              <w:ind w:left="113" w:right="113" w:firstLine="0"/>
              <w:jc w:val="left"/>
              <w:textAlignment w:val="baseline"/>
              <w:rPr>
                <w:sz w:val="18"/>
                <w:szCs w:val="18"/>
              </w:rPr>
            </w:pPr>
            <w:r>
              <w:rPr>
                <w:sz w:val="18"/>
              </w:rPr>
              <w:t>0,95</w:t>
            </w:r>
          </w:p>
        </w:tc>
        <w:tc>
          <w:tcPr>
            <w:tcW w:w="1134" w:type="dxa"/>
          </w:tcPr>
          <w:p w:rsidR="004F47BB" w:rsidRPr="004F47BB" w:rsidRDefault="004F47BB" w:rsidP="004F47BB">
            <w:pPr>
              <w:tabs>
                <w:tab w:val="decimal" w:pos="454"/>
              </w:tabs>
              <w:overflowPunct w:val="0"/>
              <w:adjustRightInd w:val="0"/>
              <w:spacing w:before="60" w:after="60" w:line="240" w:lineRule="atLeast"/>
              <w:ind w:left="113" w:right="113" w:firstLine="0"/>
              <w:jc w:val="left"/>
              <w:textAlignment w:val="baseline"/>
              <w:rPr>
                <w:sz w:val="18"/>
                <w:szCs w:val="18"/>
              </w:rPr>
            </w:pPr>
            <w:r>
              <w:rPr>
                <w:sz w:val="18"/>
              </w:rPr>
              <w:t>0,95</w:t>
            </w:r>
          </w:p>
        </w:tc>
        <w:tc>
          <w:tcPr>
            <w:tcW w:w="1701" w:type="dxa"/>
          </w:tcPr>
          <w:p w:rsidR="004F47BB" w:rsidRPr="004F47BB"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firstLine="0"/>
              <w:jc w:val="center"/>
              <w:textAlignment w:val="baseline"/>
              <w:rPr>
                <w:sz w:val="18"/>
                <w:szCs w:val="18"/>
              </w:rPr>
            </w:pPr>
            <w:r>
              <w:rPr>
                <w:sz w:val="18"/>
              </w:rPr>
              <w:t>-</w:t>
            </w:r>
          </w:p>
        </w:tc>
      </w:tr>
      <w:tr w:rsidR="004F47BB" w:rsidRPr="004F47BB" w:rsidTr="00D45887">
        <w:trPr>
          <w:jc w:val="center"/>
        </w:trPr>
        <w:tc>
          <w:tcPr>
            <w:tcW w:w="1134" w:type="dxa"/>
          </w:tcPr>
          <w:p w:rsidR="004F47BB" w:rsidRPr="004F47BB" w:rsidRDefault="00624017" w:rsidP="004F47BB">
            <w:pPr>
              <w:tabs>
                <w:tab w:val="left" w:pos="288"/>
                <w:tab w:val="left" w:pos="1800"/>
                <w:tab w:val="left" w:pos="2880"/>
                <w:tab w:val="left" w:pos="3816"/>
                <w:tab w:val="left" w:pos="5112"/>
              </w:tabs>
              <w:overflowPunct w:val="0"/>
              <w:adjustRightInd w:val="0"/>
              <w:spacing w:before="60" w:after="60" w:line="240" w:lineRule="atLeast"/>
              <w:ind w:left="113" w:right="113" w:firstLine="0"/>
              <w:jc w:val="left"/>
              <w:textAlignment w:val="baseline"/>
              <w:rPr>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2</m:t>
                    </m:r>
                  </m:sub>
                </m:sSub>
              </m:oMath>
            </m:oMathPara>
          </w:p>
        </w:tc>
        <w:tc>
          <w:tcPr>
            <w:tcW w:w="1134" w:type="dxa"/>
          </w:tcPr>
          <w:p w:rsidR="004F47BB" w:rsidRPr="004F47BB" w:rsidRDefault="004F47BB" w:rsidP="004F47BB">
            <w:pPr>
              <w:tabs>
                <w:tab w:val="decimal" w:pos="454"/>
              </w:tabs>
              <w:overflowPunct w:val="0"/>
              <w:adjustRightInd w:val="0"/>
              <w:spacing w:before="60" w:after="60" w:line="240" w:lineRule="atLeast"/>
              <w:ind w:left="113" w:right="113" w:firstLine="0"/>
              <w:jc w:val="left"/>
              <w:textAlignment w:val="baseline"/>
              <w:rPr>
                <w:sz w:val="18"/>
                <w:szCs w:val="18"/>
              </w:rPr>
            </w:pPr>
            <w:r>
              <w:rPr>
                <w:sz w:val="18"/>
              </w:rPr>
              <w:t>0,115</w:t>
            </w:r>
          </w:p>
        </w:tc>
        <w:tc>
          <w:tcPr>
            <w:tcW w:w="1134" w:type="dxa"/>
          </w:tcPr>
          <w:p w:rsidR="004F47BB" w:rsidRPr="004F47BB" w:rsidRDefault="004F47BB" w:rsidP="004F47BB">
            <w:pPr>
              <w:tabs>
                <w:tab w:val="decimal" w:pos="454"/>
              </w:tabs>
              <w:overflowPunct w:val="0"/>
              <w:adjustRightInd w:val="0"/>
              <w:spacing w:before="60" w:after="60" w:line="240" w:lineRule="atLeast"/>
              <w:ind w:left="113" w:right="113" w:firstLine="0"/>
              <w:jc w:val="left"/>
              <w:textAlignment w:val="baseline"/>
              <w:rPr>
                <w:sz w:val="18"/>
                <w:szCs w:val="18"/>
              </w:rPr>
            </w:pPr>
            <w:r>
              <w:rPr>
                <w:sz w:val="18"/>
              </w:rPr>
              <w:t>0,120</w:t>
            </w:r>
          </w:p>
        </w:tc>
        <w:tc>
          <w:tcPr>
            <w:tcW w:w="1134" w:type="dxa"/>
          </w:tcPr>
          <w:p w:rsidR="004F47BB" w:rsidRPr="004F47BB" w:rsidRDefault="004F47BB" w:rsidP="004F47BB">
            <w:pPr>
              <w:tabs>
                <w:tab w:val="decimal" w:pos="454"/>
              </w:tabs>
              <w:overflowPunct w:val="0"/>
              <w:adjustRightInd w:val="0"/>
              <w:spacing w:before="60" w:after="60" w:line="240" w:lineRule="atLeast"/>
              <w:ind w:left="113" w:right="113" w:firstLine="0"/>
              <w:jc w:val="left"/>
              <w:textAlignment w:val="baseline"/>
              <w:rPr>
                <w:sz w:val="18"/>
                <w:szCs w:val="18"/>
              </w:rPr>
            </w:pPr>
            <w:r>
              <w:rPr>
                <w:sz w:val="18"/>
              </w:rPr>
              <w:t>0,125</w:t>
            </w:r>
          </w:p>
        </w:tc>
        <w:tc>
          <w:tcPr>
            <w:tcW w:w="1701" w:type="dxa"/>
          </w:tcPr>
          <w:p w:rsidR="004F47BB" w:rsidRPr="004F47BB" w:rsidRDefault="00624017" w:rsidP="004F47BB">
            <w:pPr>
              <w:tabs>
                <w:tab w:val="left" w:pos="567"/>
                <w:tab w:val="left" w:pos="1800"/>
                <w:tab w:val="left" w:pos="2880"/>
                <w:tab w:val="left" w:pos="3816"/>
                <w:tab w:val="left" w:pos="5112"/>
              </w:tabs>
              <w:overflowPunct w:val="0"/>
              <w:adjustRightInd w:val="0"/>
              <w:spacing w:before="60" w:after="60" w:line="240" w:lineRule="atLeast"/>
              <w:ind w:left="113" w:right="113" w:firstLine="0"/>
              <w:jc w:val="left"/>
              <w:textAlignment w:val="baseline"/>
              <w:rPr>
                <w:sz w:val="18"/>
                <w:szCs w:val="18"/>
              </w:rPr>
            </w:pPr>
            <m:oMathPara>
              <m:oMath>
                <m:f>
                  <m:fPr>
                    <m:ctrlPr>
                      <w:rPr>
                        <w:rFonts w:ascii="Cambria Math" w:hAnsi="Cambria Math"/>
                        <w:i/>
                        <w:sz w:val="18"/>
                        <w:szCs w:val="18"/>
                      </w:rPr>
                    </m:ctrlPr>
                  </m:fPr>
                  <m:num>
                    <m:sSub>
                      <m:sSubPr>
                        <m:ctrlPr>
                          <w:rPr>
                            <w:rFonts w:ascii="Cambria Math" w:hAnsi="Cambria Math"/>
                            <w:i/>
                            <w:sz w:val="18"/>
                            <w:szCs w:val="18"/>
                          </w:rPr>
                        </m:ctrlPr>
                      </m:sSubPr>
                      <m:e>
                        <m:r>
                          <w:rPr>
                            <w:rFonts w:ascii="Cambria Math" w:hAnsi="Cambria Math"/>
                            <w:sz w:val="18"/>
                            <w:szCs w:val="18"/>
                          </w:rPr>
                          <m:t>k</m:t>
                        </m:r>
                      </m:e>
                      <m:sub>
                        <m:r>
                          <w:rPr>
                            <w:rFonts w:ascii="Cambria Math" w:hAnsi="Cambria Math"/>
                            <w:sz w:val="18"/>
                            <w:szCs w:val="18"/>
                          </w:rPr>
                          <m:t>g</m:t>
                        </m:r>
                      </m:sub>
                    </m:sSub>
                    <m:r>
                      <w:rPr>
                        <w:rFonts w:ascii="Cambria Math" w:hAnsi="Cambria Math"/>
                        <w:sz w:val="18"/>
                        <w:szCs w:val="18"/>
                      </w:rPr>
                      <m:t xml:space="preserve"> ∙ </m:t>
                    </m:r>
                    <m:sSup>
                      <m:sSupPr>
                        <m:ctrlPr>
                          <w:rPr>
                            <w:rFonts w:ascii="Cambria Math" w:hAnsi="Cambria Math"/>
                            <w:i/>
                            <w:sz w:val="18"/>
                            <w:szCs w:val="18"/>
                          </w:rPr>
                        </m:ctrlPr>
                      </m:sSupPr>
                      <m:e>
                        <m:r>
                          <w:rPr>
                            <w:rFonts w:ascii="Cambria Math" w:hAnsi="Cambria Math"/>
                            <w:sz w:val="18"/>
                            <w:szCs w:val="18"/>
                          </w:rPr>
                          <m:t>s</m:t>
                        </m:r>
                      </m:e>
                      <m:sup>
                        <m:r>
                          <w:rPr>
                            <w:rFonts w:ascii="Cambria Math" w:hAnsi="Cambria Math"/>
                            <w:sz w:val="18"/>
                            <w:szCs w:val="18"/>
                          </w:rPr>
                          <m:t>2</m:t>
                        </m:r>
                      </m:sup>
                    </m:sSup>
                  </m:num>
                  <m:den>
                    <m:sSup>
                      <m:sSupPr>
                        <m:ctrlPr>
                          <w:rPr>
                            <w:rFonts w:ascii="Cambria Math" w:hAnsi="Cambria Math"/>
                            <w:i/>
                            <w:sz w:val="18"/>
                            <w:szCs w:val="18"/>
                          </w:rPr>
                        </m:ctrlPr>
                      </m:sSupPr>
                      <m:e>
                        <m:r>
                          <w:rPr>
                            <w:rFonts w:ascii="Cambria Math" w:hAnsi="Cambria Math"/>
                            <w:sz w:val="18"/>
                            <w:szCs w:val="18"/>
                          </w:rPr>
                          <m:t>m</m:t>
                        </m:r>
                      </m:e>
                      <m:sup>
                        <m:r>
                          <w:rPr>
                            <w:rFonts w:ascii="Cambria Math" w:hAnsi="Cambria Math"/>
                            <w:sz w:val="18"/>
                            <w:szCs w:val="18"/>
                          </w:rPr>
                          <m:t>4</m:t>
                        </m:r>
                      </m:sup>
                    </m:sSup>
                  </m:den>
                </m:f>
              </m:oMath>
            </m:oMathPara>
          </w:p>
        </w:tc>
      </w:tr>
      <w:tr w:rsidR="004F47BB" w:rsidRPr="004F47BB" w:rsidTr="00D45887">
        <w:trPr>
          <w:jc w:val="center"/>
        </w:trPr>
        <w:tc>
          <w:tcPr>
            <w:tcW w:w="1134" w:type="dxa"/>
          </w:tcPr>
          <w:p w:rsidR="004F47BB" w:rsidRPr="004F47BB" w:rsidRDefault="00624017" w:rsidP="004F47BB">
            <w:pPr>
              <w:tabs>
                <w:tab w:val="left" w:pos="288"/>
                <w:tab w:val="left" w:pos="1800"/>
                <w:tab w:val="left" w:pos="2880"/>
                <w:tab w:val="left" w:pos="3816"/>
                <w:tab w:val="left" w:pos="5112"/>
              </w:tabs>
              <w:overflowPunct w:val="0"/>
              <w:adjustRightInd w:val="0"/>
              <w:spacing w:before="60" w:after="60" w:line="240" w:lineRule="atLeast"/>
              <w:ind w:left="113" w:right="113" w:firstLine="0"/>
              <w:jc w:val="left"/>
              <w:textAlignment w:val="baseline"/>
              <w:rPr>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oMath>
            </m:oMathPara>
          </w:p>
        </w:tc>
        <w:tc>
          <w:tcPr>
            <w:tcW w:w="1134" w:type="dxa"/>
          </w:tcPr>
          <w:p w:rsidR="004F47BB" w:rsidRPr="004F47BB" w:rsidRDefault="004F47BB" w:rsidP="004F47BB">
            <w:pPr>
              <w:tabs>
                <w:tab w:val="decimal" w:pos="454"/>
              </w:tabs>
              <w:overflowPunct w:val="0"/>
              <w:adjustRightInd w:val="0"/>
              <w:spacing w:before="60" w:after="60" w:line="240" w:lineRule="atLeast"/>
              <w:ind w:left="113" w:right="113" w:firstLine="0"/>
              <w:jc w:val="left"/>
              <w:textAlignment w:val="baseline"/>
              <w:rPr>
                <w:sz w:val="18"/>
                <w:szCs w:val="18"/>
              </w:rPr>
            </w:pPr>
            <w:r>
              <w:rPr>
                <w:sz w:val="18"/>
              </w:rPr>
              <w:t>1,20</w:t>
            </w:r>
          </w:p>
        </w:tc>
        <w:tc>
          <w:tcPr>
            <w:tcW w:w="1134" w:type="dxa"/>
          </w:tcPr>
          <w:p w:rsidR="004F47BB" w:rsidRPr="004F47BB" w:rsidRDefault="004F47BB" w:rsidP="004F47BB">
            <w:pPr>
              <w:tabs>
                <w:tab w:val="decimal" w:pos="454"/>
              </w:tabs>
              <w:overflowPunct w:val="0"/>
              <w:adjustRightInd w:val="0"/>
              <w:spacing w:before="60" w:after="60" w:line="240" w:lineRule="atLeast"/>
              <w:ind w:left="113" w:right="113" w:firstLine="0"/>
              <w:jc w:val="left"/>
              <w:textAlignment w:val="baseline"/>
              <w:rPr>
                <w:sz w:val="18"/>
                <w:szCs w:val="18"/>
              </w:rPr>
            </w:pPr>
            <w:r>
              <w:rPr>
                <w:sz w:val="18"/>
              </w:rPr>
              <w:t>1,15</w:t>
            </w:r>
          </w:p>
        </w:tc>
        <w:tc>
          <w:tcPr>
            <w:tcW w:w="1134" w:type="dxa"/>
          </w:tcPr>
          <w:p w:rsidR="004F47BB" w:rsidRPr="004F47BB" w:rsidRDefault="004F47BB" w:rsidP="004F47BB">
            <w:pPr>
              <w:tabs>
                <w:tab w:val="decimal" w:pos="454"/>
              </w:tabs>
              <w:overflowPunct w:val="0"/>
              <w:adjustRightInd w:val="0"/>
              <w:spacing w:before="60" w:after="60" w:line="240" w:lineRule="atLeast"/>
              <w:ind w:left="113" w:right="113" w:firstLine="0"/>
              <w:jc w:val="left"/>
              <w:textAlignment w:val="baseline"/>
              <w:rPr>
                <w:sz w:val="18"/>
                <w:szCs w:val="18"/>
              </w:rPr>
            </w:pPr>
            <w:r>
              <w:rPr>
                <w:sz w:val="18"/>
              </w:rPr>
              <w:t>1,10</w:t>
            </w:r>
          </w:p>
        </w:tc>
        <w:tc>
          <w:tcPr>
            <w:tcW w:w="1701" w:type="dxa"/>
          </w:tcPr>
          <w:p w:rsidR="004F47BB" w:rsidRPr="004F47BB"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firstLine="0"/>
              <w:jc w:val="center"/>
              <w:textAlignment w:val="baseline"/>
              <w:rPr>
                <w:sz w:val="18"/>
                <w:szCs w:val="18"/>
              </w:rPr>
            </w:pPr>
            <w:r>
              <w:rPr>
                <w:sz w:val="18"/>
              </w:rPr>
              <w:t>-</w:t>
            </w:r>
          </w:p>
        </w:tc>
      </w:tr>
      <w:tr w:rsidR="004F47BB" w:rsidRPr="004F47BB" w:rsidTr="00D45887">
        <w:trPr>
          <w:jc w:val="center"/>
        </w:trPr>
        <w:tc>
          <w:tcPr>
            <w:tcW w:w="1134" w:type="dxa"/>
          </w:tcPr>
          <w:p w:rsidR="004F47BB" w:rsidRPr="004F47BB" w:rsidRDefault="00624017" w:rsidP="004F47BB">
            <w:pPr>
              <w:tabs>
                <w:tab w:val="left" w:pos="288"/>
                <w:tab w:val="left" w:pos="1800"/>
                <w:tab w:val="left" w:pos="2880"/>
                <w:tab w:val="left" w:pos="3816"/>
                <w:tab w:val="left" w:pos="5112"/>
              </w:tabs>
              <w:overflowPunct w:val="0"/>
              <w:adjustRightInd w:val="0"/>
              <w:spacing w:before="60" w:after="60" w:line="240" w:lineRule="atLeast"/>
              <w:ind w:left="113" w:right="113" w:firstLine="0"/>
              <w:jc w:val="left"/>
              <w:textAlignment w:val="baseline"/>
              <w:rPr>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oMath>
            </m:oMathPara>
          </w:p>
        </w:tc>
        <w:tc>
          <w:tcPr>
            <w:tcW w:w="1134" w:type="dxa"/>
          </w:tcPr>
          <w:p w:rsidR="004F47BB" w:rsidRPr="004F47BB" w:rsidRDefault="004F47BB" w:rsidP="004F47BB">
            <w:pPr>
              <w:tabs>
                <w:tab w:val="decimal" w:pos="454"/>
              </w:tabs>
              <w:overflowPunct w:val="0"/>
              <w:adjustRightInd w:val="0"/>
              <w:spacing w:before="60" w:after="60" w:line="240" w:lineRule="atLeast"/>
              <w:ind w:left="113" w:right="113" w:firstLine="0"/>
              <w:jc w:val="left"/>
              <w:textAlignment w:val="baseline"/>
              <w:rPr>
                <w:sz w:val="18"/>
                <w:szCs w:val="18"/>
              </w:rPr>
            </w:pPr>
            <w:r>
              <w:rPr>
                <w:sz w:val="18"/>
              </w:rPr>
              <w:t>0,48</w:t>
            </w:r>
          </w:p>
        </w:tc>
        <w:tc>
          <w:tcPr>
            <w:tcW w:w="1134" w:type="dxa"/>
          </w:tcPr>
          <w:p w:rsidR="004F47BB" w:rsidRPr="004F47BB" w:rsidRDefault="004F47BB" w:rsidP="004F47BB">
            <w:pPr>
              <w:tabs>
                <w:tab w:val="decimal" w:pos="454"/>
              </w:tabs>
              <w:overflowPunct w:val="0"/>
              <w:adjustRightInd w:val="0"/>
              <w:spacing w:before="60" w:after="60" w:line="240" w:lineRule="atLeast"/>
              <w:ind w:left="113" w:right="113" w:firstLine="0"/>
              <w:jc w:val="left"/>
              <w:textAlignment w:val="baseline"/>
              <w:rPr>
                <w:sz w:val="18"/>
                <w:szCs w:val="18"/>
              </w:rPr>
            </w:pPr>
            <w:r>
              <w:rPr>
                <w:sz w:val="18"/>
              </w:rPr>
              <w:t>0,48</w:t>
            </w:r>
          </w:p>
        </w:tc>
        <w:tc>
          <w:tcPr>
            <w:tcW w:w="1134" w:type="dxa"/>
          </w:tcPr>
          <w:p w:rsidR="004F47BB" w:rsidRPr="004F47BB" w:rsidRDefault="004F47BB" w:rsidP="004F47BB">
            <w:pPr>
              <w:tabs>
                <w:tab w:val="decimal" w:pos="454"/>
              </w:tabs>
              <w:overflowPunct w:val="0"/>
              <w:adjustRightInd w:val="0"/>
              <w:spacing w:before="60" w:after="60" w:line="240" w:lineRule="atLeast"/>
              <w:ind w:left="113" w:right="113" w:firstLine="0"/>
              <w:jc w:val="left"/>
              <w:textAlignment w:val="baseline"/>
              <w:rPr>
                <w:sz w:val="18"/>
                <w:szCs w:val="18"/>
              </w:rPr>
            </w:pPr>
            <w:r>
              <w:rPr>
                <w:sz w:val="18"/>
              </w:rPr>
              <w:t>0,48</w:t>
            </w:r>
          </w:p>
        </w:tc>
        <w:tc>
          <w:tcPr>
            <w:tcW w:w="1701" w:type="dxa"/>
          </w:tcPr>
          <w:p w:rsidR="004F47BB" w:rsidRPr="004F47BB"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firstLine="0"/>
              <w:jc w:val="center"/>
              <w:textAlignment w:val="baseline"/>
              <w:rPr>
                <w:sz w:val="18"/>
                <w:szCs w:val="18"/>
              </w:rPr>
            </w:pPr>
            <w:r>
              <w:rPr>
                <w:sz w:val="18"/>
              </w:rPr>
              <w:t>-</w:t>
            </w:r>
          </w:p>
        </w:tc>
      </w:tr>
      <w:tr w:rsidR="004F47BB" w:rsidRPr="004F47BB" w:rsidTr="00D45887">
        <w:trPr>
          <w:jc w:val="center"/>
        </w:trPr>
        <w:tc>
          <w:tcPr>
            <w:tcW w:w="1134" w:type="dxa"/>
          </w:tcPr>
          <w:p w:rsidR="004F47BB" w:rsidRPr="004F47BB" w:rsidRDefault="00624017" w:rsidP="004F47BB">
            <w:pPr>
              <w:tabs>
                <w:tab w:val="left" w:pos="288"/>
                <w:tab w:val="left" w:pos="1800"/>
                <w:tab w:val="left" w:pos="2880"/>
                <w:tab w:val="left" w:pos="3816"/>
                <w:tab w:val="left" w:pos="5112"/>
              </w:tabs>
              <w:overflowPunct w:val="0"/>
              <w:adjustRightInd w:val="0"/>
              <w:spacing w:before="60" w:after="60" w:line="240" w:lineRule="atLeast"/>
              <w:ind w:left="113" w:right="113" w:firstLine="0"/>
              <w:jc w:val="left"/>
              <w:textAlignment w:val="baseline"/>
              <w:rPr>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oMath>
            </m:oMathPara>
          </w:p>
        </w:tc>
        <w:tc>
          <w:tcPr>
            <w:tcW w:w="1134" w:type="dxa"/>
          </w:tcPr>
          <w:p w:rsidR="004F47BB" w:rsidRPr="004F47BB" w:rsidRDefault="004F47BB" w:rsidP="004F47BB">
            <w:pPr>
              <w:tabs>
                <w:tab w:val="decimal" w:pos="454"/>
              </w:tabs>
              <w:overflowPunct w:val="0"/>
              <w:adjustRightInd w:val="0"/>
              <w:spacing w:before="60" w:after="60" w:line="240" w:lineRule="atLeast"/>
              <w:ind w:left="113" w:right="113" w:firstLine="0"/>
              <w:jc w:val="left"/>
              <w:textAlignment w:val="baseline"/>
              <w:rPr>
                <w:sz w:val="18"/>
                <w:szCs w:val="18"/>
              </w:rPr>
            </w:pPr>
            <w:r>
              <w:rPr>
                <w:sz w:val="18"/>
              </w:rPr>
              <w:t>0,90</w:t>
            </w:r>
          </w:p>
        </w:tc>
        <w:tc>
          <w:tcPr>
            <w:tcW w:w="1134" w:type="dxa"/>
          </w:tcPr>
          <w:p w:rsidR="004F47BB" w:rsidRPr="004F47BB" w:rsidRDefault="004F47BB" w:rsidP="004F47BB">
            <w:pPr>
              <w:tabs>
                <w:tab w:val="decimal" w:pos="454"/>
              </w:tabs>
              <w:overflowPunct w:val="0"/>
              <w:adjustRightInd w:val="0"/>
              <w:spacing w:before="60" w:after="60" w:line="240" w:lineRule="atLeast"/>
              <w:ind w:left="113" w:right="113" w:firstLine="0"/>
              <w:jc w:val="left"/>
              <w:textAlignment w:val="baseline"/>
              <w:rPr>
                <w:sz w:val="18"/>
                <w:szCs w:val="18"/>
              </w:rPr>
            </w:pPr>
            <w:r>
              <w:rPr>
                <w:sz w:val="18"/>
              </w:rPr>
              <w:t>0,85</w:t>
            </w:r>
          </w:p>
        </w:tc>
        <w:tc>
          <w:tcPr>
            <w:tcW w:w="1134" w:type="dxa"/>
          </w:tcPr>
          <w:p w:rsidR="004F47BB" w:rsidRPr="004F47BB" w:rsidRDefault="004F47BB" w:rsidP="004F47BB">
            <w:pPr>
              <w:tabs>
                <w:tab w:val="decimal" w:pos="454"/>
              </w:tabs>
              <w:overflowPunct w:val="0"/>
              <w:adjustRightInd w:val="0"/>
              <w:spacing w:before="60" w:after="60" w:line="240" w:lineRule="atLeast"/>
              <w:ind w:left="113" w:right="113" w:firstLine="0"/>
              <w:jc w:val="left"/>
              <w:textAlignment w:val="baseline"/>
              <w:rPr>
                <w:sz w:val="18"/>
                <w:szCs w:val="18"/>
              </w:rPr>
            </w:pPr>
            <w:r>
              <w:rPr>
                <w:sz w:val="18"/>
              </w:rPr>
              <w:t>0,80</w:t>
            </w:r>
          </w:p>
        </w:tc>
        <w:tc>
          <w:tcPr>
            <w:tcW w:w="1701" w:type="dxa"/>
          </w:tcPr>
          <w:p w:rsidR="004F47BB" w:rsidRPr="004F47BB"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firstLine="0"/>
              <w:jc w:val="center"/>
              <w:textAlignment w:val="baseline"/>
              <w:rPr>
                <w:sz w:val="18"/>
                <w:szCs w:val="18"/>
              </w:rPr>
            </w:pPr>
            <w:r>
              <w:rPr>
                <w:sz w:val="18"/>
              </w:rPr>
              <w:t>-</w:t>
            </w:r>
          </w:p>
        </w:tc>
      </w:tr>
      <w:tr w:rsidR="004F47BB" w:rsidRPr="004F47BB" w:rsidTr="00D45887">
        <w:trPr>
          <w:jc w:val="center"/>
        </w:trPr>
        <w:tc>
          <w:tcPr>
            <w:tcW w:w="1134" w:type="dxa"/>
          </w:tcPr>
          <w:p w:rsidR="004F47BB" w:rsidRPr="004F47BB" w:rsidRDefault="00624017" w:rsidP="004F47BB">
            <w:pPr>
              <w:tabs>
                <w:tab w:val="left" w:pos="288"/>
                <w:tab w:val="left" w:pos="1800"/>
                <w:tab w:val="left" w:pos="2880"/>
                <w:tab w:val="left" w:pos="3816"/>
                <w:tab w:val="left" w:pos="5112"/>
              </w:tabs>
              <w:overflowPunct w:val="0"/>
              <w:adjustRightInd w:val="0"/>
              <w:spacing w:before="60" w:after="60" w:line="240" w:lineRule="atLeast"/>
              <w:ind w:left="113" w:right="113" w:firstLine="0"/>
              <w:jc w:val="left"/>
              <w:textAlignment w:val="baseline"/>
              <w:rPr>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7</m:t>
                    </m:r>
                  </m:sub>
                </m:sSub>
              </m:oMath>
            </m:oMathPara>
          </w:p>
        </w:tc>
        <w:tc>
          <w:tcPr>
            <w:tcW w:w="1134" w:type="dxa"/>
          </w:tcPr>
          <w:p w:rsidR="004F47BB" w:rsidRPr="004F47BB" w:rsidRDefault="004F47BB" w:rsidP="004F47BB">
            <w:pPr>
              <w:tabs>
                <w:tab w:val="decimal" w:pos="454"/>
              </w:tabs>
              <w:overflowPunct w:val="0"/>
              <w:adjustRightInd w:val="0"/>
              <w:spacing w:before="60" w:after="60" w:line="240" w:lineRule="atLeast"/>
              <w:ind w:left="113" w:right="113" w:firstLine="0"/>
              <w:jc w:val="left"/>
              <w:textAlignment w:val="baseline"/>
              <w:rPr>
                <w:sz w:val="18"/>
                <w:szCs w:val="18"/>
              </w:rPr>
            </w:pPr>
            <w:r>
              <w:rPr>
                <w:sz w:val="18"/>
              </w:rPr>
              <w:t>0,58</w:t>
            </w:r>
          </w:p>
        </w:tc>
        <w:tc>
          <w:tcPr>
            <w:tcW w:w="1134" w:type="dxa"/>
          </w:tcPr>
          <w:p w:rsidR="004F47BB" w:rsidRPr="004F47BB" w:rsidRDefault="004F47BB" w:rsidP="004F47BB">
            <w:pPr>
              <w:tabs>
                <w:tab w:val="decimal" w:pos="454"/>
              </w:tabs>
              <w:overflowPunct w:val="0"/>
              <w:adjustRightInd w:val="0"/>
              <w:spacing w:before="60" w:after="60" w:line="240" w:lineRule="atLeast"/>
              <w:ind w:left="113" w:right="113" w:firstLine="0"/>
              <w:jc w:val="left"/>
              <w:textAlignment w:val="baseline"/>
              <w:rPr>
                <w:sz w:val="18"/>
                <w:szCs w:val="18"/>
              </w:rPr>
            </w:pPr>
            <w:r>
              <w:rPr>
                <w:sz w:val="18"/>
              </w:rPr>
              <w:t>0,55</w:t>
            </w:r>
          </w:p>
        </w:tc>
        <w:tc>
          <w:tcPr>
            <w:tcW w:w="1134" w:type="dxa"/>
          </w:tcPr>
          <w:p w:rsidR="004F47BB" w:rsidRPr="004F47BB" w:rsidRDefault="004F47BB" w:rsidP="004F47BB">
            <w:pPr>
              <w:tabs>
                <w:tab w:val="decimal" w:pos="454"/>
              </w:tabs>
              <w:overflowPunct w:val="0"/>
              <w:adjustRightInd w:val="0"/>
              <w:spacing w:before="60" w:after="60" w:line="240" w:lineRule="atLeast"/>
              <w:ind w:left="113" w:right="113" w:firstLine="0"/>
              <w:jc w:val="left"/>
              <w:textAlignment w:val="baseline"/>
              <w:rPr>
                <w:sz w:val="18"/>
                <w:szCs w:val="18"/>
              </w:rPr>
            </w:pPr>
            <w:r>
              <w:rPr>
                <w:sz w:val="18"/>
              </w:rPr>
              <w:t>0,52</w:t>
            </w:r>
          </w:p>
        </w:tc>
        <w:tc>
          <w:tcPr>
            <w:tcW w:w="1701" w:type="dxa"/>
          </w:tcPr>
          <w:p w:rsidR="004F47BB" w:rsidRPr="004F47BB"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firstLine="0"/>
              <w:jc w:val="center"/>
              <w:textAlignment w:val="baseline"/>
              <w:rPr>
                <w:sz w:val="18"/>
                <w:szCs w:val="18"/>
              </w:rPr>
            </w:pPr>
            <w:r>
              <w:rPr>
                <w:sz w:val="18"/>
              </w:rPr>
              <w:t>-</w:t>
            </w:r>
          </w:p>
        </w:tc>
      </w:tr>
    </w:tbl>
    <w:p w:rsidR="004F47BB" w:rsidRPr="004F47BB" w:rsidRDefault="004F47BB" w:rsidP="004F47BB">
      <w:pPr>
        <w:tabs>
          <w:tab w:val="left" w:pos="960"/>
          <w:tab w:val="left" w:pos="1344"/>
          <w:tab w:val="left" w:pos="7680"/>
        </w:tabs>
        <w:overflowPunct w:val="0"/>
        <w:adjustRightInd w:val="0"/>
        <w:spacing w:line="240" w:lineRule="exact"/>
        <w:ind w:left="0" w:firstLine="0"/>
        <w:jc w:val="left"/>
        <w:textAlignment w:val="baseline"/>
        <w:rPr>
          <w:szCs w:val="20"/>
        </w:rPr>
      </w:pPr>
    </w:p>
    <w:p w:rsidR="004F47BB" w:rsidRPr="004F47BB" w:rsidRDefault="004F47BB" w:rsidP="004F47BB">
      <w:pPr>
        <w:tabs>
          <w:tab w:val="left" w:pos="960"/>
          <w:tab w:val="left" w:pos="1344"/>
          <w:tab w:val="left" w:pos="7680"/>
        </w:tabs>
        <w:overflowPunct w:val="0"/>
        <w:adjustRightInd w:val="0"/>
        <w:spacing w:line="240" w:lineRule="exact"/>
        <w:ind w:left="0" w:firstLine="0"/>
        <w:jc w:val="left"/>
        <w:textAlignment w:val="baseline"/>
        <w:rPr>
          <w:szCs w:val="20"/>
        </w:rPr>
      </w:pPr>
    </w:p>
    <w:p w:rsidR="004F47BB" w:rsidRPr="004F47BB" w:rsidRDefault="004F47BB" w:rsidP="004F47BB">
      <w:pPr>
        <w:tabs>
          <w:tab w:val="left" w:pos="567"/>
        </w:tabs>
        <w:overflowPunct w:val="0"/>
        <w:adjustRightInd w:val="0"/>
        <w:spacing w:line="240" w:lineRule="atLeast"/>
        <w:ind w:left="567" w:firstLine="0"/>
        <w:textAlignment w:val="baseline"/>
        <w:rPr>
          <w:b/>
          <w:bCs/>
          <w:szCs w:val="20"/>
        </w:rPr>
      </w:pPr>
      <w:r>
        <w:rPr>
          <w:b/>
        </w:rPr>
        <w:t xml:space="preserve">Tabella 2: coefficiente </w:t>
      </w:r>
      <m:oMath>
        <m:r>
          <m:rPr>
            <m:sty m:val="bi"/>
          </m:rPr>
          <w:rPr>
            <w:rFonts w:ascii="Cambria Math" w:hAnsi="Cambria Math"/>
            <w:szCs w:val="20"/>
          </w:rPr>
          <m:t>f</m:t>
        </m:r>
      </m:oMath>
      <w:r>
        <w:rPr>
          <w:b/>
        </w:rPr>
        <w:t xml:space="preserve"> per il rapporto tra la trazione della bitta in marcia indietro e la potenza di motori di propulsione</w:t>
      </w:r>
    </w:p>
    <w:p w:rsidR="004F47BB" w:rsidRPr="004F47BB" w:rsidRDefault="004F47BB" w:rsidP="004F47BB">
      <w:pPr>
        <w:tabs>
          <w:tab w:val="left" w:pos="960"/>
          <w:tab w:val="left" w:pos="1344"/>
          <w:tab w:val="left" w:pos="7680"/>
        </w:tabs>
        <w:overflowPunct w:val="0"/>
        <w:adjustRightInd w:val="0"/>
        <w:spacing w:line="240" w:lineRule="exact"/>
        <w:ind w:left="0" w:firstLine="0"/>
        <w:jc w:val="left"/>
        <w:textAlignment w:val="baseline"/>
        <w:rPr>
          <w:szCs w:val="20"/>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649"/>
        <w:gridCol w:w="1247"/>
        <w:gridCol w:w="1247"/>
      </w:tblGrid>
      <w:tr w:rsidR="004F47BB" w:rsidRPr="004F47BB" w:rsidTr="00D45887">
        <w:trPr>
          <w:jc w:val="center"/>
        </w:trPr>
        <w:tc>
          <w:tcPr>
            <w:tcW w:w="4649" w:type="dxa"/>
          </w:tcPr>
          <w:p w:rsidR="004F47BB" w:rsidRPr="004F47BB" w:rsidRDefault="004F47BB" w:rsidP="004F47BB">
            <w:pPr>
              <w:overflowPunct w:val="0"/>
              <w:adjustRightInd w:val="0"/>
              <w:spacing w:before="60" w:after="60" w:line="240" w:lineRule="exact"/>
              <w:ind w:left="113" w:right="113" w:firstLine="0"/>
              <w:jc w:val="center"/>
              <w:textAlignment w:val="baseline"/>
              <w:rPr>
                <w:sz w:val="18"/>
                <w:szCs w:val="18"/>
              </w:rPr>
            </w:pPr>
            <w:r>
              <w:rPr>
                <w:sz w:val="18"/>
              </w:rPr>
              <w:t>Sistema di propulsione</w:t>
            </w:r>
          </w:p>
        </w:tc>
        <w:tc>
          <w:tcPr>
            <w:tcW w:w="1247" w:type="dxa"/>
          </w:tcPr>
          <w:p w:rsidR="004F47BB" w:rsidRPr="004F47BB" w:rsidRDefault="004F47BB" w:rsidP="004F47BB">
            <w:pPr>
              <w:tabs>
                <w:tab w:val="left" w:pos="567"/>
              </w:tabs>
              <w:overflowPunct w:val="0"/>
              <w:adjustRightInd w:val="0"/>
              <w:spacing w:before="60" w:after="60" w:line="240" w:lineRule="exact"/>
              <w:ind w:left="113" w:right="113" w:firstLine="0"/>
              <w:jc w:val="center"/>
              <w:textAlignment w:val="baseline"/>
              <w:rPr>
                <w:sz w:val="18"/>
                <w:szCs w:val="18"/>
              </w:rPr>
            </w:pPr>
            <m:oMathPara>
              <m:oMath>
                <m:r>
                  <w:rPr>
                    <w:rFonts w:ascii="Cambria Math" w:hAnsi="Cambria Math"/>
                    <w:sz w:val="18"/>
                    <w:szCs w:val="18"/>
                  </w:rPr>
                  <m:t>f</m:t>
                </m:r>
              </m:oMath>
            </m:oMathPara>
          </w:p>
        </w:tc>
        <w:tc>
          <w:tcPr>
            <w:tcW w:w="1247" w:type="dxa"/>
          </w:tcPr>
          <w:p w:rsidR="004F47BB" w:rsidRPr="004F47BB" w:rsidRDefault="004F47BB" w:rsidP="004F47BB">
            <w:pPr>
              <w:overflowPunct w:val="0"/>
              <w:adjustRightInd w:val="0"/>
              <w:spacing w:before="60" w:after="60" w:line="240" w:lineRule="exact"/>
              <w:ind w:left="113" w:right="113" w:firstLine="0"/>
              <w:jc w:val="center"/>
              <w:textAlignment w:val="baseline"/>
              <w:rPr>
                <w:sz w:val="18"/>
                <w:szCs w:val="18"/>
              </w:rPr>
            </w:pPr>
            <w:r>
              <w:rPr>
                <w:sz w:val="18"/>
              </w:rPr>
              <w:t>Unità</w:t>
            </w:r>
          </w:p>
        </w:tc>
      </w:tr>
      <w:tr w:rsidR="004F47BB" w:rsidRPr="004F47BB" w:rsidTr="00D45887">
        <w:trPr>
          <w:jc w:val="center"/>
        </w:trPr>
        <w:tc>
          <w:tcPr>
            <w:tcW w:w="4649" w:type="dxa"/>
          </w:tcPr>
          <w:p w:rsidR="004F47BB" w:rsidRPr="004F47BB" w:rsidRDefault="004F47BB" w:rsidP="004F47BB">
            <w:pPr>
              <w:overflowPunct w:val="0"/>
              <w:adjustRightInd w:val="0"/>
              <w:spacing w:before="60" w:after="60" w:line="240" w:lineRule="exact"/>
              <w:ind w:left="113" w:right="113" w:firstLine="0"/>
              <w:textAlignment w:val="baseline"/>
              <w:rPr>
                <w:sz w:val="18"/>
                <w:szCs w:val="18"/>
              </w:rPr>
            </w:pPr>
            <w:r>
              <w:rPr>
                <w:sz w:val="18"/>
              </w:rPr>
              <w:t>Ugelli moderni con bordo posteriore smussato</w:t>
            </w:r>
          </w:p>
        </w:tc>
        <w:tc>
          <w:tcPr>
            <w:tcW w:w="1247" w:type="dxa"/>
          </w:tcPr>
          <w:p w:rsidR="004F47BB" w:rsidRPr="004F47BB" w:rsidRDefault="004F47BB" w:rsidP="004F47BB">
            <w:pPr>
              <w:tabs>
                <w:tab w:val="decimal" w:pos="454"/>
              </w:tabs>
              <w:overflowPunct w:val="0"/>
              <w:adjustRightInd w:val="0"/>
              <w:spacing w:before="60" w:after="60" w:line="240" w:lineRule="exact"/>
              <w:ind w:left="113" w:right="113" w:firstLine="0"/>
              <w:jc w:val="left"/>
              <w:textAlignment w:val="baseline"/>
              <w:rPr>
                <w:sz w:val="18"/>
                <w:szCs w:val="18"/>
              </w:rPr>
            </w:pPr>
            <w:r>
              <w:rPr>
                <w:sz w:val="18"/>
              </w:rPr>
              <w:t>0,118</w:t>
            </w:r>
          </w:p>
        </w:tc>
        <w:tc>
          <w:tcPr>
            <w:tcW w:w="1247" w:type="dxa"/>
          </w:tcPr>
          <w:p w:rsidR="004F47BB" w:rsidRPr="004F47BB" w:rsidRDefault="004F47BB" w:rsidP="004F47BB">
            <w:pPr>
              <w:overflowPunct w:val="0"/>
              <w:adjustRightInd w:val="0"/>
              <w:spacing w:before="60" w:after="60" w:line="240" w:lineRule="exact"/>
              <w:ind w:left="113" w:right="113" w:firstLine="0"/>
              <w:jc w:val="center"/>
              <w:textAlignment w:val="baseline"/>
              <w:rPr>
                <w:sz w:val="18"/>
                <w:szCs w:val="18"/>
              </w:rPr>
            </w:pPr>
            <w:r>
              <w:rPr>
                <w:sz w:val="18"/>
              </w:rPr>
              <w:t>kN/kW</w:t>
            </w:r>
          </w:p>
        </w:tc>
      </w:tr>
      <w:tr w:rsidR="004F47BB" w:rsidRPr="004F47BB" w:rsidTr="00D45887">
        <w:trPr>
          <w:jc w:val="center"/>
        </w:trPr>
        <w:tc>
          <w:tcPr>
            <w:tcW w:w="4649" w:type="dxa"/>
          </w:tcPr>
          <w:p w:rsidR="004F47BB" w:rsidRPr="004F47BB" w:rsidRDefault="004F47BB" w:rsidP="004F47BB">
            <w:pPr>
              <w:overflowPunct w:val="0"/>
              <w:adjustRightInd w:val="0"/>
              <w:spacing w:before="60" w:after="60" w:line="240" w:lineRule="exact"/>
              <w:ind w:left="113" w:right="113" w:firstLine="0"/>
              <w:textAlignment w:val="baseline"/>
              <w:rPr>
                <w:sz w:val="18"/>
                <w:szCs w:val="18"/>
              </w:rPr>
            </w:pPr>
            <w:r>
              <w:rPr>
                <w:sz w:val="18"/>
              </w:rPr>
              <w:t>Ugelli vecchi con bordo posteriore a spigolo</w:t>
            </w:r>
          </w:p>
        </w:tc>
        <w:tc>
          <w:tcPr>
            <w:tcW w:w="1247" w:type="dxa"/>
          </w:tcPr>
          <w:p w:rsidR="004F47BB" w:rsidRPr="004F47BB" w:rsidRDefault="004F47BB" w:rsidP="004F47BB">
            <w:pPr>
              <w:tabs>
                <w:tab w:val="decimal" w:pos="454"/>
              </w:tabs>
              <w:overflowPunct w:val="0"/>
              <w:adjustRightInd w:val="0"/>
              <w:spacing w:before="60" w:after="60" w:line="240" w:lineRule="exact"/>
              <w:ind w:left="113" w:right="113" w:firstLine="0"/>
              <w:jc w:val="left"/>
              <w:textAlignment w:val="baseline"/>
              <w:rPr>
                <w:sz w:val="18"/>
                <w:szCs w:val="18"/>
              </w:rPr>
            </w:pPr>
            <w:r>
              <w:rPr>
                <w:sz w:val="18"/>
              </w:rPr>
              <w:t>0,112</w:t>
            </w:r>
          </w:p>
        </w:tc>
        <w:tc>
          <w:tcPr>
            <w:tcW w:w="1247" w:type="dxa"/>
          </w:tcPr>
          <w:p w:rsidR="004F47BB" w:rsidRPr="004F47BB" w:rsidRDefault="004F47BB" w:rsidP="004F47BB">
            <w:pPr>
              <w:overflowPunct w:val="0"/>
              <w:adjustRightInd w:val="0"/>
              <w:spacing w:before="60" w:after="60" w:line="240" w:lineRule="exact"/>
              <w:ind w:left="113" w:right="113" w:firstLine="0"/>
              <w:jc w:val="center"/>
              <w:textAlignment w:val="baseline"/>
              <w:rPr>
                <w:sz w:val="18"/>
                <w:szCs w:val="18"/>
              </w:rPr>
            </w:pPr>
            <w:r>
              <w:rPr>
                <w:sz w:val="18"/>
              </w:rPr>
              <w:t>kN/kW</w:t>
            </w:r>
          </w:p>
        </w:tc>
      </w:tr>
      <w:tr w:rsidR="004F47BB" w:rsidRPr="004F47BB" w:rsidTr="00D45887">
        <w:trPr>
          <w:jc w:val="center"/>
        </w:trPr>
        <w:tc>
          <w:tcPr>
            <w:tcW w:w="4649" w:type="dxa"/>
          </w:tcPr>
          <w:p w:rsidR="004F47BB" w:rsidRPr="004F47BB" w:rsidRDefault="004F47BB" w:rsidP="004F47BB">
            <w:pPr>
              <w:overflowPunct w:val="0"/>
              <w:adjustRightInd w:val="0"/>
              <w:spacing w:before="60" w:after="60" w:line="240" w:lineRule="exact"/>
              <w:ind w:left="113" w:right="113" w:firstLine="0"/>
              <w:textAlignment w:val="baseline"/>
              <w:rPr>
                <w:sz w:val="18"/>
                <w:szCs w:val="18"/>
              </w:rPr>
            </w:pPr>
            <w:r>
              <w:rPr>
                <w:sz w:val="18"/>
              </w:rPr>
              <w:t>Eliche senza ugelli</w:t>
            </w:r>
          </w:p>
        </w:tc>
        <w:tc>
          <w:tcPr>
            <w:tcW w:w="1247" w:type="dxa"/>
          </w:tcPr>
          <w:p w:rsidR="004F47BB" w:rsidRPr="004F47BB" w:rsidRDefault="004F47BB" w:rsidP="004F47BB">
            <w:pPr>
              <w:tabs>
                <w:tab w:val="decimal" w:pos="454"/>
              </w:tabs>
              <w:overflowPunct w:val="0"/>
              <w:adjustRightInd w:val="0"/>
              <w:spacing w:before="60" w:after="60" w:line="240" w:lineRule="exact"/>
              <w:ind w:left="113" w:right="113" w:firstLine="0"/>
              <w:jc w:val="left"/>
              <w:textAlignment w:val="baseline"/>
              <w:rPr>
                <w:sz w:val="18"/>
                <w:szCs w:val="18"/>
              </w:rPr>
            </w:pPr>
            <w:r>
              <w:rPr>
                <w:sz w:val="18"/>
              </w:rPr>
              <w:t>0,096</w:t>
            </w:r>
          </w:p>
        </w:tc>
        <w:tc>
          <w:tcPr>
            <w:tcW w:w="1247" w:type="dxa"/>
          </w:tcPr>
          <w:p w:rsidR="004F47BB" w:rsidRPr="004F47BB" w:rsidRDefault="004F47BB" w:rsidP="004F47BB">
            <w:pPr>
              <w:overflowPunct w:val="0"/>
              <w:adjustRightInd w:val="0"/>
              <w:spacing w:before="60" w:after="60" w:line="240" w:lineRule="exact"/>
              <w:ind w:left="113" w:right="113" w:firstLine="0"/>
              <w:jc w:val="center"/>
              <w:textAlignment w:val="baseline"/>
              <w:rPr>
                <w:sz w:val="18"/>
                <w:szCs w:val="18"/>
              </w:rPr>
            </w:pPr>
            <w:r>
              <w:rPr>
                <w:sz w:val="18"/>
              </w:rPr>
              <w:t>kN/kW</w:t>
            </w:r>
          </w:p>
        </w:tc>
      </w:tr>
      <w:tr w:rsidR="004F47BB" w:rsidRPr="004F47BB" w:rsidTr="00D45887">
        <w:trPr>
          <w:jc w:val="center"/>
        </w:trPr>
        <w:tc>
          <w:tcPr>
            <w:tcW w:w="4649" w:type="dxa"/>
          </w:tcPr>
          <w:p w:rsidR="004F47BB" w:rsidRPr="004F47BB" w:rsidRDefault="004F47BB" w:rsidP="004F47BB">
            <w:pPr>
              <w:overflowPunct w:val="0"/>
              <w:adjustRightInd w:val="0"/>
              <w:spacing w:before="60" w:after="60" w:line="240" w:lineRule="exact"/>
              <w:ind w:left="113" w:right="113" w:firstLine="0"/>
              <w:textAlignment w:val="baseline"/>
              <w:rPr>
                <w:sz w:val="18"/>
                <w:szCs w:val="18"/>
              </w:rPr>
            </w:pPr>
            <w:r>
              <w:rPr>
                <w:sz w:val="18"/>
              </w:rPr>
              <w:t>Eliche orientabili con ugelli (di norma bordo posteriore a spigolo)</w:t>
            </w:r>
          </w:p>
        </w:tc>
        <w:tc>
          <w:tcPr>
            <w:tcW w:w="1247" w:type="dxa"/>
          </w:tcPr>
          <w:p w:rsidR="004F47BB" w:rsidRPr="004F47BB" w:rsidRDefault="004F47BB" w:rsidP="004F47BB">
            <w:pPr>
              <w:tabs>
                <w:tab w:val="decimal" w:pos="454"/>
              </w:tabs>
              <w:overflowPunct w:val="0"/>
              <w:adjustRightInd w:val="0"/>
              <w:spacing w:before="180" w:after="60" w:line="240" w:lineRule="exact"/>
              <w:ind w:left="113" w:right="113" w:firstLine="0"/>
              <w:jc w:val="left"/>
              <w:textAlignment w:val="baseline"/>
              <w:rPr>
                <w:sz w:val="18"/>
                <w:szCs w:val="18"/>
              </w:rPr>
            </w:pPr>
            <w:r>
              <w:rPr>
                <w:sz w:val="18"/>
              </w:rPr>
              <w:t>0,157</w:t>
            </w:r>
          </w:p>
        </w:tc>
        <w:tc>
          <w:tcPr>
            <w:tcW w:w="1247" w:type="dxa"/>
          </w:tcPr>
          <w:p w:rsidR="004F47BB" w:rsidRPr="004F47BB" w:rsidRDefault="004F47BB" w:rsidP="004F47BB">
            <w:pPr>
              <w:overflowPunct w:val="0"/>
              <w:adjustRightInd w:val="0"/>
              <w:spacing w:before="180" w:after="60" w:line="240" w:lineRule="exact"/>
              <w:ind w:left="113" w:right="113" w:firstLine="0"/>
              <w:jc w:val="center"/>
              <w:textAlignment w:val="baseline"/>
              <w:rPr>
                <w:sz w:val="18"/>
                <w:szCs w:val="18"/>
              </w:rPr>
            </w:pPr>
            <w:r>
              <w:rPr>
                <w:sz w:val="18"/>
              </w:rPr>
              <w:t>kN/kW</w:t>
            </w:r>
          </w:p>
        </w:tc>
      </w:tr>
      <w:tr w:rsidR="004F47BB" w:rsidRPr="004F47BB" w:rsidTr="00D45887">
        <w:trPr>
          <w:jc w:val="center"/>
        </w:trPr>
        <w:tc>
          <w:tcPr>
            <w:tcW w:w="4649" w:type="dxa"/>
          </w:tcPr>
          <w:p w:rsidR="004F47BB" w:rsidRPr="004F47BB" w:rsidRDefault="004F47BB" w:rsidP="004F47BB">
            <w:pPr>
              <w:overflowPunct w:val="0"/>
              <w:adjustRightInd w:val="0"/>
              <w:spacing w:before="60" w:after="60" w:line="240" w:lineRule="exact"/>
              <w:ind w:left="113" w:right="113" w:firstLine="0"/>
              <w:textAlignment w:val="baseline"/>
              <w:rPr>
                <w:sz w:val="18"/>
                <w:szCs w:val="18"/>
              </w:rPr>
            </w:pPr>
            <w:r>
              <w:rPr>
                <w:sz w:val="18"/>
              </w:rPr>
              <w:t>Eliche orientabili senza ugelli</w:t>
            </w:r>
          </w:p>
        </w:tc>
        <w:tc>
          <w:tcPr>
            <w:tcW w:w="1247" w:type="dxa"/>
          </w:tcPr>
          <w:p w:rsidR="004F47BB" w:rsidRPr="004F47BB" w:rsidRDefault="004F47BB" w:rsidP="004F47BB">
            <w:pPr>
              <w:tabs>
                <w:tab w:val="decimal" w:pos="454"/>
              </w:tabs>
              <w:overflowPunct w:val="0"/>
              <w:adjustRightInd w:val="0"/>
              <w:spacing w:before="60" w:after="60" w:line="240" w:lineRule="exact"/>
              <w:ind w:left="113" w:right="113" w:firstLine="0"/>
              <w:jc w:val="left"/>
              <w:textAlignment w:val="baseline"/>
              <w:rPr>
                <w:sz w:val="18"/>
                <w:szCs w:val="18"/>
              </w:rPr>
            </w:pPr>
            <w:r>
              <w:rPr>
                <w:sz w:val="18"/>
              </w:rPr>
              <w:t>0,113</w:t>
            </w:r>
          </w:p>
        </w:tc>
        <w:tc>
          <w:tcPr>
            <w:tcW w:w="1247" w:type="dxa"/>
          </w:tcPr>
          <w:p w:rsidR="004F47BB" w:rsidRPr="004F47BB" w:rsidRDefault="004F47BB" w:rsidP="004F47BB">
            <w:pPr>
              <w:overflowPunct w:val="0"/>
              <w:adjustRightInd w:val="0"/>
              <w:spacing w:before="60" w:after="60" w:line="240" w:lineRule="exact"/>
              <w:ind w:left="113" w:right="113" w:firstLine="0"/>
              <w:jc w:val="center"/>
              <w:textAlignment w:val="baseline"/>
              <w:rPr>
                <w:sz w:val="18"/>
                <w:szCs w:val="18"/>
              </w:rPr>
            </w:pPr>
            <w:r>
              <w:rPr>
                <w:sz w:val="18"/>
              </w:rPr>
              <w:t>kN/kW</w:t>
            </w:r>
          </w:p>
        </w:tc>
      </w:tr>
    </w:tbl>
    <w:p w:rsidR="004F47BB" w:rsidRPr="004F47BB" w:rsidRDefault="004F47BB" w:rsidP="004F47BB">
      <w:pPr>
        <w:tabs>
          <w:tab w:val="left" w:pos="504"/>
          <w:tab w:val="left" w:pos="1344"/>
          <w:tab w:val="left" w:pos="3384"/>
          <w:tab w:val="left" w:pos="6264"/>
          <w:tab w:val="left" w:pos="7416"/>
        </w:tabs>
        <w:overflowPunct w:val="0"/>
        <w:adjustRightInd w:val="0"/>
        <w:spacing w:line="240" w:lineRule="exact"/>
        <w:ind w:left="0" w:firstLine="0"/>
        <w:jc w:val="left"/>
        <w:textAlignment w:val="baseline"/>
        <w:rPr>
          <w:szCs w:val="20"/>
        </w:rPr>
      </w:pPr>
    </w:p>
    <w:p w:rsidR="004F47BB" w:rsidRPr="004F47BB" w:rsidRDefault="004F47BB" w:rsidP="004F47BB">
      <w:pPr>
        <w:tabs>
          <w:tab w:val="left" w:pos="960"/>
          <w:tab w:val="left" w:pos="1344"/>
          <w:tab w:val="left" w:pos="7680"/>
        </w:tabs>
        <w:overflowPunct w:val="0"/>
        <w:adjustRightInd w:val="0"/>
        <w:spacing w:line="240" w:lineRule="exact"/>
        <w:ind w:left="0" w:firstLine="0"/>
        <w:jc w:val="left"/>
        <w:textAlignment w:val="baseline"/>
        <w:rPr>
          <w:szCs w:val="20"/>
        </w:rPr>
      </w:pPr>
    </w:p>
    <w:p w:rsidR="004F47BB" w:rsidRPr="004F47BB" w:rsidRDefault="004F47BB" w:rsidP="004F47BB">
      <w:pPr>
        <w:tabs>
          <w:tab w:val="left" w:pos="960"/>
          <w:tab w:val="left" w:pos="1344"/>
          <w:tab w:val="left" w:pos="7680"/>
        </w:tabs>
        <w:overflowPunct w:val="0"/>
        <w:adjustRightInd w:val="0"/>
        <w:spacing w:line="240" w:lineRule="exact"/>
        <w:ind w:left="0" w:firstLine="0"/>
        <w:jc w:val="left"/>
        <w:textAlignment w:val="baseline"/>
        <w:rPr>
          <w:szCs w:val="20"/>
        </w:rPr>
      </w:pPr>
    </w:p>
    <w:p w:rsidR="004F47BB" w:rsidRPr="004F47BB" w:rsidRDefault="004F47BB" w:rsidP="004F47BB">
      <w:pPr>
        <w:tabs>
          <w:tab w:val="left" w:pos="960"/>
          <w:tab w:val="left" w:pos="1344"/>
          <w:tab w:val="left" w:pos="7680"/>
        </w:tabs>
        <w:overflowPunct w:val="0"/>
        <w:adjustRightInd w:val="0"/>
        <w:spacing w:line="240" w:lineRule="exact"/>
        <w:ind w:left="0" w:firstLine="0"/>
        <w:jc w:val="center"/>
        <w:textAlignment w:val="baseline"/>
        <w:rPr>
          <w:szCs w:val="20"/>
        </w:rPr>
      </w:pPr>
      <w:r>
        <w:br w:type="page"/>
      </w:r>
    </w:p>
    <w:p w:rsidR="004F47BB" w:rsidRPr="004F47BB" w:rsidRDefault="004F47BB" w:rsidP="004F47BB">
      <w:pPr>
        <w:tabs>
          <w:tab w:val="left" w:pos="284"/>
        </w:tabs>
        <w:overflowPunct w:val="0"/>
        <w:adjustRightInd w:val="0"/>
        <w:spacing w:line="240" w:lineRule="atLeast"/>
        <w:ind w:left="567" w:firstLine="0"/>
        <w:textAlignment w:val="baseline"/>
        <w:rPr>
          <w:szCs w:val="20"/>
        </w:rPr>
      </w:pPr>
      <w:r>
        <w:rPr>
          <w:b/>
        </w:rPr>
        <w:lastRenderedPageBreak/>
        <w:t xml:space="preserve">Tabella 3: diagramma relativo al calcolo della resistenza per determinare il valore di </w:t>
      </w:r>
      <m:oMath>
        <m:sSub>
          <m:sSubPr>
            <m:ctrlPr>
              <w:rPr>
                <w:rFonts w:ascii="Cambria Math" w:hAnsi="Cambria Math"/>
                <w:i/>
                <w:noProof/>
              </w:rPr>
            </m:ctrlPr>
          </m:sSubPr>
          <m:e>
            <m:r>
              <w:rPr>
                <w:rFonts w:ascii="Cambria Math" w:hAnsi="Cambria Math"/>
                <w:noProof/>
              </w:rPr>
              <m:t>R</m:t>
            </m:r>
          </m:e>
          <m:sub>
            <m:r>
              <w:rPr>
                <w:rFonts w:ascii="Cambria Math" w:hAnsi="Cambria Math"/>
                <w:noProof/>
              </w:rPr>
              <m:t>T</m:t>
            </m:r>
          </m:sub>
        </m:sSub>
        <m:r>
          <w:rPr>
            <w:rFonts w:ascii="Cambria Math" w:hAnsi="Cambria Math"/>
            <w:noProof/>
          </w:rPr>
          <m:t>/</m:t>
        </m:r>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oMath>
      <w:r>
        <w:rPr>
          <w:b/>
        </w:rPr>
        <w:t xml:space="preserve"> in relazione a </w:t>
      </w:r>
      <m:oMath>
        <m:sSup>
          <m:sSupPr>
            <m:ctrlPr>
              <w:rPr>
                <w:rFonts w:ascii="Cambria Math" w:hAnsi="Cambria Math"/>
                <w:i/>
                <w:noProof/>
              </w:rPr>
            </m:ctrlPr>
          </m:sSupPr>
          <m:e>
            <m:r>
              <w:rPr>
                <w:rFonts w:ascii="Cambria Math" w:hAnsi="Cambria Math"/>
                <w:noProof/>
              </w:rPr>
              <m:t>D</m:t>
            </m:r>
          </m:e>
          <m:sup>
            <m:r>
              <w:rPr>
                <w:rFonts w:ascii="Cambria Math" w:hAnsi="Cambria Math"/>
                <w:noProof/>
              </w:rPr>
              <m:t>1/3</m:t>
            </m:r>
          </m:sup>
        </m:sSup>
        <m:r>
          <w:rPr>
            <w:rFonts w:ascii="Cambria Math" w:hAnsi="Cambria Math"/>
            <w:noProof/>
          </w:rPr>
          <m:t xml:space="preserve"> </m:t>
        </m:r>
        <m:d>
          <m:dPr>
            <m:begChr m:val="["/>
            <m:endChr m:val="]"/>
            <m:ctrlPr>
              <w:rPr>
                <w:rFonts w:ascii="Cambria Math" w:hAnsi="Cambria Math"/>
                <w:i/>
                <w:noProof/>
              </w:rPr>
            </m:ctrlPr>
          </m:dPr>
          <m:e>
            <m:r>
              <w:rPr>
                <w:rFonts w:ascii="Cambria Math" w:hAnsi="Cambria Math"/>
                <w:noProof/>
              </w:rPr>
              <m:t>B+2T</m:t>
            </m:r>
          </m:e>
        </m:d>
      </m:oMath>
      <w:r>
        <w:rPr>
          <w:b/>
        </w:rPr>
        <w:t>:</w:t>
      </w:r>
    </w:p>
    <w:p w:rsidR="004F47BB" w:rsidRPr="004F47BB" w:rsidRDefault="004F47BB" w:rsidP="004F47BB">
      <w:pPr>
        <w:framePr w:hSpace="141" w:wrap="around" w:vAnchor="text" w:hAnchor="page" w:x="2380" w:y="426"/>
        <w:overflowPunct w:val="0"/>
        <w:adjustRightInd w:val="0"/>
        <w:ind w:left="0" w:firstLine="0"/>
        <w:jc w:val="left"/>
        <w:textAlignment w:val="baseline"/>
        <w:rPr>
          <w:rFonts w:ascii="Times New Roman" w:hAnsi="Times New Roman"/>
          <w:szCs w:val="20"/>
        </w:rPr>
      </w:pPr>
      <w:r>
        <w:rPr>
          <w:rFonts w:ascii="Times New Roman" w:hAnsi="Times New Roman"/>
          <w:noProof/>
          <w:szCs w:val="20"/>
          <w:lang w:val="en-GB" w:eastAsia="en-GB" w:bidi="ar-SA"/>
        </w:rPr>
        <w:drawing>
          <wp:inline distT="0" distB="0" distL="0" distR="0" wp14:anchorId="3BAFE5A0" wp14:editId="6608FDEB">
            <wp:extent cx="4686300" cy="6819900"/>
            <wp:effectExtent l="0" t="0" r="0" b="0"/>
            <wp:docPr id="300" name="Imag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686300" cy="6819900"/>
                    </a:xfrm>
                    <a:prstGeom prst="rect">
                      <a:avLst/>
                    </a:prstGeom>
                    <a:noFill/>
                    <a:ln>
                      <a:noFill/>
                    </a:ln>
                  </pic:spPr>
                </pic:pic>
              </a:graphicData>
            </a:graphic>
          </wp:inline>
        </w:drawing>
      </w:r>
    </w:p>
    <w:p w:rsidR="004F47BB" w:rsidRPr="004F47BB" w:rsidRDefault="00624017" w:rsidP="004F47BB">
      <w:pPr>
        <w:framePr w:w="628" w:h="391" w:hSpace="141" w:wrap="around" w:vAnchor="text" w:hAnchor="page" w:x="1780" w:y="471"/>
        <w:overflowPunct w:val="0"/>
        <w:adjustRightInd w:val="0"/>
        <w:ind w:left="0" w:firstLine="0"/>
        <w:jc w:val="left"/>
        <w:textAlignment w:val="baseline"/>
        <w:rPr>
          <w:rFonts w:ascii="Times New Roman" w:hAnsi="Times New Roman"/>
          <w:szCs w:val="20"/>
        </w:rPr>
      </w:pPr>
      <m:oMathPara>
        <m:oMath>
          <m:sSub>
            <m:sSubPr>
              <m:ctrlPr>
                <w:rPr>
                  <w:rFonts w:ascii="Cambria Math" w:hAnsi="Cambria Math"/>
                  <w:i/>
                  <w:noProof/>
                </w:rPr>
              </m:ctrlPr>
            </m:sSubPr>
            <m:e>
              <m:r>
                <w:rPr>
                  <w:rFonts w:ascii="Cambria Math" w:hAnsi="Cambria Math"/>
                  <w:noProof/>
                </w:rPr>
                <m:t>R</m:t>
              </m:r>
            </m:e>
            <m:sub>
              <m:r>
                <w:rPr>
                  <w:rFonts w:ascii="Cambria Math" w:hAnsi="Cambria Math"/>
                  <w:noProof/>
                </w:rPr>
                <m:t>T</m:t>
              </m:r>
            </m:sub>
          </m:sSub>
          <m:r>
            <w:rPr>
              <w:rFonts w:ascii="Cambria Math" w:hAnsi="Cambria Math"/>
              <w:noProof/>
            </w:rPr>
            <m:t>/</m:t>
          </m:r>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oMath>
      </m:oMathPara>
    </w:p>
    <w:p w:rsidR="004F47BB" w:rsidRPr="004F47BB" w:rsidRDefault="004F47BB" w:rsidP="004F47BB">
      <w:pPr>
        <w:tabs>
          <w:tab w:val="left" w:pos="960"/>
          <w:tab w:val="left" w:pos="1344"/>
          <w:tab w:val="left" w:pos="7680"/>
        </w:tabs>
        <w:overflowPunct w:val="0"/>
        <w:adjustRightInd w:val="0"/>
        <w:spacing w:line="240" w:lineRule="atLeast"/>
        <w:ind w:left="0" w:firstLine="0"/>
        <w:jc w:val="left"/>
        <w:textAlignment w:val="baseline"/>
        <w:rPr>
          <w:szCs w:val="20"/>
        </w:rPr>
      </w:pPr>
      <w:r>
        <w:rPr>
          <w:rFonts w:ascii="Times New Roman" w:hAnsi="Times New Roman"/>
          <w:noProof/>
          <w:szCs w:val="20"/>
          <w:lang w:val="en-GB" w:eastAsia="en-GB" w:bidi="ar-SA"/>
        </w:rPr>
        <mc:AlternateContent>
          <mc:Choice Requires="wps">
            <w:drawing>
              <wp:anchor distT="0" distB="0" distL="114300" distR="114300" simplePos="0" relativeHeight="251685888" behindDoc="1" locked="0" layoutInCell="1" allowOverlap="1" wp14:anchorId="02021590" wp14:editId="2501EC16">
                <wp:simplePos x="0" y="0"/>
                <wp:positionH relativeFrom="column">
                  <wp:posOffset>-304165</wp:posOffset>
                </wp:positionH>
                <wp:positionV relativeFrom="paragraph">
                  <wp:posOffset>851535</wp:posOffset>
                </wp:positionV>
                <wp:extent cx="1009015" cy="517525"/>
                <wp:effectExtent l="0" t="0" r="0" b="0"/>
                <wp:wrapNone/>
                <wp:docPr id="76"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015" cy="517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D30EF5" w:rsidRDefault="00624017" w:rsidP="004F47BB">
                            <w:pPr>
                              <w:tabs>
                                <w:tab w:val="left" w:pos="960"/>
                                <w:tab w:val="left" w:pos="1344"/>
                                <w:tab w:val="left" w:pos="7680"/>
                              </w:tabs>
                              <w:overflowPunct w:val="0"/>
                              <w:adjustRightInd w:val="0"/>
                              <w:spacing w:line="240" w:lineRule="atLeast"/>
                              <w:ind w:left="0" w:firstLine="0"/>
                              <w:jc w:val="left"/>
                              <w:textAlignment w:val="baseline"/>
                            </w:pPr>
                            <m:oMathPara>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r>
                                          <w:rPr>
                                            <w:rFonts w:ascii="Cambria Math" w:hAnsi="Cambria Math"/>
                                            <w:szCs w:val="20"/>
                                          </w:rPr>
                                          <m:t xml:space="preserve"> </m:t>
                                        </m:r>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2" o:spid="_x0000_s1043" type="#_x0000_t202" style="position:absolute;margin-left:-23.95pt;margin-top:67.05pt;width:79.45pt;height:40.7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" stroked="f">
                <v:textbox>
                  <w:txbxContent>
                    <w:p w:rsidR="00801F1F" w:rsidRPr="00D30EF5" w:rsidRDefault="00624017" w:rsidP="004F47BB">
                      <w:pPr>
                        <w:tabs>
                          <w:tab w:val="left" w:pos="960"/>
                          <w:tab w:val="left" w:pos="1344"/>
                          <w:tab w:val="left" w:pos="7680"/>
                        </w:tabs>
                        <w:overflowPunct w:val="0"/>
                        <w:adjustRightInd w:val="0"/>
                        <w:spacing w:line="240" w:lineRule="atLeast"/>
                        <w:ind w:left="0" w:firstLine="0"/>
                        <w:jc w:val="left"/>
                        <w:textAlignment w:val="baseline"/>
                      </w:pPr>
                      <m:oMathPara>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r>
                                    <w:rPr>
                                      <w:rFonts w:ascii="Cambria Math" w:hAnsi="Cambria Math"/>
                                      <w:szCs w:val="20"/>
                                    </w:rPr>
                                    <m:t xml:space="preserve"> </m:t>
                                  </m:r>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m:oMathPara>
                    </w:p>
                  </w:txbxContent>
                </v:textbox>
              </v:shape>
            </w:pict>
          </mc:Fallback>
        </mc:AlternateContent>
      </w:r>
    </w:p>
    <w:p w:rsidR="004F47BB" w:rsidRPr="004F47BB" w:rsidRDefault="004F47BB" w:rsidP="004F47BB">
      <w:pPr>
        <w:tabs>
          <w:tab w:val="left" w:pos="0"/>
          <w:tab w:val="left" w:pos="8080"/>
        </w:tabs>
        <w:overflowPunct w:val="0"/>
        <w:adjustRightInd w:val="0"/>
        <w:spacing w:line="240" w:lineRule="exact"/>
        <w:ind w:left="0" w:firstLine="0"/>
        <w:textAlignment w:val="baseline"/>
        <w:rPr>
          <w:szCs w:val="20"/>
        </w:rPr>
      </w:pPr>
      <w:r>
        <w:tab/>
      </w:r>
    </w:p>
    <w:p w:rsidR="004F47BB" w:rsidRPr="004F47BB" w:rsidRDefault="004F47BB" w:rsidP="004F47BB">
      <w:pPr>
        <w:tabs>
          <w:tab w:val="left" w:pos="0"/>
          <w:tab w:val="left" w:pos="6946"/>
        </w:tabs>
        <w:overflowPunct w:val="0"/>
        <w:adjustRightInd w:val="0"/>
        <w:spacing w:line="240" w:lineRule="exact"/>
        <w:ind w:left="0" w:firstLine="0"/>
        <w:textAlignment w:val="baseline"/>
        <w:rPr>
          <w:szCs w:val="20"/>
        </w:rPr>
      </w:pPr>
    </w:p>
    <w:p w:rsidR="004F47BB" w:rsidRPr="004F47BB" w:rsidRDefault="004F47BB" w:rsidP="004F47BB">
      <w:pPr>
        <w:tabs>
          <w:tab w:val="left" w:pos="0"/>
          <w:tab w:val="left" w:pos="6946"/>
        </w:tabs>
        <w:overflowPunct w:val="0"/>
        <w:adjustRightInd w:val="0"/>
        <w:spacing w:line="240" w:lineRule="exact"/>
        <w:ind w:left="0" w:firstLine="0"/>
        <w:textAlignment w:val="baseline"/>
        <w:rPr>
          <w:szCs w:val="20"/>
        </w:rPr>
      </w:pPr>
      <w:r>
        <w:tab/>
      </w:r>
      <m:oMath>
        <m:sSup>
          <m:sSupPr>
            <m:ctrlPr>
              <w:rPr>
                <w:rFonts w:ascii="Cambria Math" w:hAnsi="Cambria Math"/>
                <w:i/>
                <w:noProof/>
              </w:rPr>
            </m:ctrlPr>
          </m:sSupPr>
          <m:e>
            <m:r>
              <w:rPr>
                <w:rFonts w:ascii="Cambria Math" w:hAnsi="Cambria Math"/>
                <w:noProof/>
              </w:rPr>
              <m:t>D</m:t>
            </m:r>
          </m:e>
          <m:sup>
            <m:r>
              <w:rPr>
                <w:rFonts w:ascii="Cambria Math" w:hAnsi="Cambria Math"/>
                <w:noProof/>
              </w:rPr>
              <m:t>1/3</m:t>
            </m:r>
          </m:sup>
        </m:sSup>
        <m:r>
          <w:rPr>
            <w:rFonts w:ascii="Cambria Math" w:hAnsi="Cambria Math"/>
            <w:noProof/>
          </w:rPr>
          <m:t xml:space="preserve"> </m:t>
        </m:r>
        <m:d>
          <m:dPr>
            <m:begChr m:val="["/>
            <m:endChr m:val="]"/>
            <m:ctrlPr>
              <w:rPr>
                <w:rFonts w:ascii="Cambria Math" w:hAnsi="Cambria Math"/>
                <w:i/>
                <w:noProof/>
              </w:rPr>
            </m:ctrlPr>
          </m:dPr>
          <m:e>
            <m:r>
              <w:rPr>
                <w:rFonts w:ascii="Cambria Math" w:hAnsi="Cambria Math"/>
                <w:noProof/>
              </w:rPr>
              <m:t>B+2T</m:t>
            </m:r>
          </m:e>
        </m:d>
      </m:oMath>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sectPr w:rsidR="004F47BB" w:rsidRPr="004F47BB" w:rsidSect="00D45887">
          <w:headerReference w:type="default" r:id="rId122"/>
          <w:headerReference w:type="first" r:id="rId123"/>
          <w:footerReference w:type="first" r:id="rId124"/>
          <w:pgSz w:w="11907" w:h="16840" w:code="9"/>
          <w:pgMar w:top="1418" w:right="1418" w:bottom="1418" w:left="1418" w:header="680" w:footer="680" w:gutter="0"/>
          <w:cols w:space="720"/>
          <w:noEndnote/>
          <w:titlePg/>
        </w:sectPr>
      </w:pPr>
    </w:p>
    <w:p w:rsidR="004F47BB" w:rsidRPr="004F47BB" w:rsidRDefault="004F47BB" w:rsidP="004F47BB">
      <w:pPr>
        <w:spacing w:line="240" w:lineRule="atLeast"/>
        <w:ind w:left="567" w:hanging="567"/>
      </w:pPr>
    </w:p>
    <w:p w:rsidR="004F47BB" w:rsidRPr="004F47BB" w:rsidRDefault="004F47BB" w:rsidP="00C859BD">
      <w:pPr>
        <w:pStyle w:val="ES-Titre4"/>
      </w:pPr>
      <w:r>
        <w:t>Appendice all'allegato 2 all'istruzione ESI-II-3</w:t>
      </w:r>
    </w:p>
    <w:p w:rsidR="004F47BB" w:rsidRPr="004F47BB" w:rsidRDefault="004F47BB" w:rsidP="00C859BD">
      <w:pPr>
        <w:pStyle w:val="ES-Titre4a"/>
      </w:pPr>
      <w:r>
        <w:t xml:space="preserve">Esempi di applicazione dell'allegato 2 </w:t>
      </w:r>
      <w:r>
        <w:br/>
        <w:t>(Valutazione dei risultati della manovra di arresto)</w:t>
      </w:r>
    </w:p>
    <w:p w:rsidR="004F47BB" w:rsidRPr="004F47BB" w:rsidRDefault="004F47BB" w:rsidP="004F47BB">
      <w:pPr>
        <w:tabs>
          <w:tab w:val="left" w:pos="960"/>
          <w:tab w:val="left" w:pos="1344"/>
          <w:tab w:val="left" w:pos="7680"/>
        </w:tabs>
        <w:overflowPunct w:val="0"/>
        <w:adjustRightInd w:val="0"/>
        <w:spacing w:line="240" w:lineRule="exact"/>
        <w:ind w:left="0" w:firstLine="0"/>
        <w:jc w:val="center"/>
        <w:textAlignment w:val="baseline"/>
        <w:rPr>
          <w:b/>
          <w:sz w:val="22"/>
          <w:szCs w:val="20"/>
        </w:rPr>
      </w:pPr>
    </w:p>
    <w:p w:rsidR="004F47BB" w:rsidRPr="00C859BD" w:rsidRDefault="004F47BB" w:rsidP="005B46C9">
      <w:pPr>
        <w:pStyle w:val="ES-Titre4prESIexple"/>
      </w:pPr>
      <w:r>
        <w:t>Esempio I</w:t>
      </w:r>
    </w:p>
    <w:p w:rsidR="004F47BB" w:rsidRPr="004F47BB" w:rsidRDefault="004F47BB" w:rsidP="004F47BB">
      <w:pPr>
        <w:tabs>
          <w:tab w:val="left" w:pos="960"/>
          <w:tab w:val="left" w:pos="1344"/>
          <w:tab w:val="left" w:pos="7680"/>
        </w:tabs>
        <w:overflowPunct w:val="0"/>
        <w:adjustRightInd w:val="0"/>
        <w:spacing w:line="240" w:lineRule="exact"/>
        <w:ind w:left="0" w:firstLine="0"/>
        <w:jc w:val="left"/>
        <w:textAlignment w:val="baseline"/>
        <w:rPr>
          <w:szCs w:val="20"/>
        </w:rPr>
      </w:pPr>
    </w:p>
    <w:p w:rsidR="004F47BB" w:rsidRPr="004F47BB" w:rsidRDefault="004F47BB" w:rsidP="004F47BB">
      <w:pPr>
        <w:tabs>
          <w:tab w:val="left" w:pos="960"/>
          <w:tab w:val="left" w:pos="1344"/>
          <w:tab w:val="left" w:pos="7680"/>
        </w:tabs>
        <w:overflowPunct w:val="0"/>
        <w:adjustRightInd w:val="0"/>
        <w:spacing w:line="240" w:lineRule="exact"/>
        <w:ind w:left="0" w:firstLine="0"/>
        <w:jc w:val="left"/>
        <w:textAlignment w:val="baseline"/>
        <w:rPr>
          <w:szCs w:val="20"/>
        </w:rPr>
      </w:pPr>
    </w:p>
    <w:p w:rsidR="004F47BB" w:rsidRPr="004F47BB" w:rsidRDefault="004F47BB" w:rsidP="004F47BB">
      <w:pPr>
        <w:spacing w:line="240" w:lineRule="atLeast"/>
        <w:ind w:left="567" w:hanging="567"/>
        <w:rPr>
          <w:rFonts w:cs="Arial"/>
          <w:b/>
          <w:color w:val="000000"/>
          <w:szCs w:val="20"/>
        </w:rPr>
      </w:pPr>
      <w:r>
        <w:rPr>
          <w:b/>
          <w:color w:val="000000"/>
        </w:rPr>
        <w:t>1.</w:t>
      </w:r>
      <w:r>
        <w:tab/>
      </w:r>
      <w:r>
        <w:rPr>
          <w:b/>
          <w:color w:val="000000"/>
        </w:rPr>
        <w:t>Dati della nave e del convoglio</w:t>
      </w:r>
    </w:p>
    <w:p w:rsidR="004F47BB" w:rsidRPr="004F47BB" w:rsidRDefault="004F47BB" w:rsidP="004F47BB">
      <w:pPr>
        <w:tabs>
          <w:tab w:val="left" w:pos="284"/>
        </w:tabs>
        <w:overflowPunct w:val="0"/>
        <w:adjustRightInd w:val="0"/>
        <w:ind w:left="284" w:hanging="284"/>
        <w:jc w:val="left"/>
        <w:textAlignment w:val="baseline"/>
        <w:rPr>
          <w:szCs w:val="20"/>
        </w:rPr>
      </w:pPr>
    </w:p>
    <w:p w:rsidR="004F47BB" w:rsidRPr="004F47BB" w:rsidRDefault="004F47BB" w:rsidP="004F47BB">
      <w:pPr>
        <w:spacing w:line="240" w:lineRule="atLeast"/>
        <w:ind w:left="567" w:firstLine="0"/>
      </w:pPr>
      <w:r>
        <w:t>Formazione: normale motonave con bettolina (Europa IIa) affiancata al traverso</w:t>
      </w:r>
    </w:p>
    <w:p w:rsidR="004F47BB" w:rsidRPr="004F47BB" w:rsidRDefault="004F47BB" w:rsidP="004F47BB">
      <w:pPr>
        <w:tabs>
          <w:tab w:val="left" w:pos="960"/>
          <w:tab w:val="left" w:pos="1344"/>
          <w:tab w:val="left" w:pos="7680"/>
        </w:tabs>
        <w:overflowPunct w:val="0"/>
        <w:adjustRightInd w:val="0"/>
        <w:spacing w:line="240" w:lineRule="exact"/>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tbl>
      <w:tblPr>
        <w:tblW w:w="0" w:type="auto"/>
        <w:tblInd w:w="2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61"/>
        <w:gridCol w:w="1361"/>
        <w:gridCol w:w="1361"/>
        <w:gridCol w:w="1361"/>
        <w:gridCol w:w="1361"/>
        <w:gridCol w:w="1361"/>
        <w:gridCol w:w="1361"/>
      </w:tblGrid>
      <w:tr w:rsidR="004F47BB" w:rsidRPr="004F47BB" w:rsidTr="00D45887">
        <w:tc>
          <w:tcPr>
            <w:tcW w:w="1361" w:type="dxa"/>
          </w:tcPr>
          <w:p w:rsidR="004F47BB" w:rsidRPr="004F47BB" w:rsidRDefault="004F47BB" w:rsidP="004F47BB">
            <w:pPr>
              <w:overflowPunct w:val="0"/>
              <w:adjustRightInd w:val="0"/>
              <w:spacing w:before="80" w:after="80"/>
              <w:ind w:left="0" w:firstLine="0"/>
              <w:jc w:val="center"/>
              <w:textAlignment w:val="baseline"/>
              <w:rPr>
                <w:sz w:val="18"/>
                <w:szCs w:val="18"/>
              </w:rPr>
            </w:pPr>
          </w:p>
        </w:tc>
        <w:tc>
          <w:tcPr>
            <w:tcW w:w="1361" w:type="dxa"/>
          </w:tcPr>
          <w:p w:rsidR="004F47BB" w:rsidRPr="004F47BB" w:rsidRDefault="004F47BB" w:rsidP="004F47BB">
            <w:pPr>
              <w:overflowPunct w:val="0"/>
              <w:adjustRightInd w:val="0"/>
              <w:spacing w:before="80" w:after="80"/>
              <w:ind w:left="0" w:firstLine="0"/>
              <w:jc w:val="center"/>
              <w:textAlignment w:val="baseline"/>
              <w:rPr>
                <w:sz w:val="18"/>
                <w:szCs w:val="18"/>
              </w:rPr>
            </w:pPr>
            <m:oMath>
              <m:r>
                <w:rPr>
                  <w:rFonts w:ascii="Cambria Math" w:hAnsi="Cambria Math"/>
                  <w:sz w:val="18"/>
                  <w:szCs w:val="18"/>
                </w:rPr>
                <m:t>L</m:t>
              </m:r>
            </m:oMath>
            <w:r>
              <w:rPr>
                <w:sz w:val="18"/>
              </w:rPr>
              <w:t xml:space="preserve"> [m]</w:t>
            </w:r>
          </w:p>
        </w:tc>
        <w:tc>
          <w:tcPr>
            <w:tcW w:w="1361" w:type="dxa"/>
          </w:tcPr>
          <w:p w:rsidR="004F47BB" w:rsidRPr="004F47BB" w:rsidRDefault="004F47BB" w:rsidP="004F47BB">
            <w:pPr>
              <w:overflowPunct w:val="0"/>
              <w:adjustRightInd w:val="0"/>
              <w:spacing w:before="80" w:after="80"/>
              <w:ind w:left="0" w:firstLine="0"/>
              <w:jc w:val="center"/>
              <w:textAlignment w:val="baseline"/>
              <w:rPr>
                <w:sz w:val="18"/>
                <w:szCs w:val="18"/>
              </w:rPr>
            </w:pPr>
            <m:oMath>
              <m:r>
                <w:rPr>
                  <w:rFonts w:ascii="Cambria Math" w:hAnsi="Cambria Math"/>
                  <w:sz w:val="18"/>
                  <w:szCs w:val="18"/>
                </w:rPr>
                <m:t>B</m:t>
              </m:r>
            </m:oMath>
            <w:r>
              <w:rPr>
                <w:sz w:val="18"/>
              </w:rPr>
              <w:t xml:space="preserve"> [m]</w:t>
            </w:r>
          </w:p>
        </w:tc>
        <w:tc>
          <w:tcPr>
            <w:tcW w:w="1361" w:type="dxa"/>
          </w:tcPr>
          <w:p w:rsidR="004F47BB" w:rsidRPr="004F47BB" w:rsidRDefault="004F47BB" w:rsidP="004F47BB">
            <w:pPr>
              <w:overflowPunct w:val="0"/>
              <w:adjustRightInd w:val="0"/>
              <w:spacing w:before="80" w:after="80"/>
              <w:ind w:left="0" w:firstLine="0"/>
              <w:jc w:val="center"/>
              <w:textAlignment w:val="baseline"/>
              <w:rPr>
                <w:sz w:val="18"/>
                <w:szCs w:val="18"/>
              </w:rPr>
            </w:pPr>
            <m:oMath>
              <m:r>
                <w:rPr>
                  <w:rFonts w:ascii="Cambria Math" w:hAnsi="Cambria Math"/>
                  <w:sz w:val="18"/>
                  <w:szCs w:val="18"/>
                </w:rPr>
                <m:t>T</m:t>
              </m:r>
              <m:r>
                <w:rPr>
                  <w:rFonts w:ascii="Cambria Math" w:hAnsi="Cambria Math"/>
                  <w:position w:val="-6"/>
                  <w:sz w:val="16"/>
                  <w:szCs w:val="18"/>
                </w:rPr>
                <m:t>max</m:t>
              </m:r>
            </m:oMath>
            <w:r>
              <w:rPr>
                <w:sz w:val="18"/>
              </w:rPr>
              <w:t xml:space="preserve"> [m]</w:t>
            </w:r>
          </w:p>
        </w:tc>
        <w:tc>
          <w:tcPr>
            <w:tcW w:w="1361" w:type="dxa"/>
          </w:tcPr>
          <w:p w:rsidR="004F47BB" w:rsidRPr="004F47BB" w:rsidRDefault="004F47BB" w:rsidP="004F47BB">
            <w:pPr>
              <w:overflowPunct w:val="0"/>
              <w:adjustRightInd w:val="0"/>
              <w:spacing w:before="80" w:after="80"/>
              <w:ind w:left="0" w:firstLine="0"/>
              <w:jc w:val="center"/>
              <w:textAlignment w:val="baseline"/>
              <w:rPr>
                <w:sz w:val="18"/>
                <w:szCs w:val="18"/>
              </w:rPr>
            </w:pPr>
            <m:oMath>
              <m:r>
                <w:rPr>
                  <w:rFonts w:ascii="Cambria Math" w:hAnsi="Cambria Math"/>
                  <w:szCs w:val="20"/>
                </w:rPr>
                <m:t>Tgf</m:t>
              </m:r>
              <m:r>
                <w:rPr>
                  <w:rFonts w:ascii="Cambria Math" w:hAnsi="Cambria Math"/>
                  <w:position w:val="6"/>
                  <w:sz w:val="18"/>
                  <w:szCs w:val="18"/>
                </w:rPr>
                <m:t>*</m:t>
              </m:r>
              <m:r>
                <w:rPr>
                  <w:rFonts w:ascii="Cambria Math" w:hAnsi="Cambria Math"/>
                  <w:position w:val="-6"/>
                  <w:sz w:val="16"/>
                  <w:szCs w:val="18"/>
                </w:rPr>
                <m:t>max</m:t>
              </m:r>
            </m:oMath>
            <w:r>
              <w:rPr>
                <w:sz w:val="18"/>
              </w:rPr>
              <w:t xml:space="preserve"> [t]</w:t>
            </w:r>
          </w:p>
        </w:tc>
        <w:tc>
          <w:tcPr>
            <w:tcW w:w="1361" w:type="dxa"/>
          </w:tcPr>
          <w:p w:rsidR="004F47BB" w:rsidRPr="004F47BB" w:rsidRDefault="004F47BB" w:rsidP="004F47BB">
            <w:pPr>
              <w:overflowPunct w:val="0"/>
              <w:adjustRightInd w:val="0"/>
              <w:spacing w:before="80" w:after="80"/>
              <w:ind w:left="0" w:firstLine="0"/>
              <w:jc w:val="center"/>
              <w:textAlignment w:val="baseline"/>
              <w:rPr>
                <w:sz w:val="18"/>
                <w:szCs w:val="18"/>
              </w:rPr>
            </w:pPr>
            <m:oMath>
              <m:r>
                <w:rPr>
                  <w:rFonts w:ascii="Cambria Math" w:hAnsi="Cambria Math"/>
                  <w:sz w:val="18"/>
                  <w:szCs w:val="18"/>
                </w:rPr>
                <m:t>D</m:t>
              </m:r>
              <m:r>
                <w:rPr>
                  <w:rFonts w:ascii="Cambria Math" w:hAnsi="Cambria Math"/>
                  <w:position w:val="-6"/>
                  <w:sz w:val="16"/>
                  <w:szCs w:val="18"/>
                </w:rPr>
                <m:t>max</m:t>
              </m:r>
            </m:oMath>
            <w:r>
              <w:rPr>
                <w:sz w:val="18"/>
              </w:rPr>
              <w:t xml:space="preserve"> [m</w:t>
            </w:r>
            <w:r>
              <w:rPr>
                <w:position w:val="6"/>
                <w:sz w:val="16"/>
              </w:rPr>
              <w:t>3</w:t>
            </w:r>
            <w:r>
              <w:rPr>
                <w:sz w:val="18"/>
              </w:rPr>
              <w:t>]</w:t>
            </w:r>
          </w:p>
        </w:tc>
        <w:tc>
          <w:tcPr>
            <w:tcW w:w="1361" w:type="dxa"/>
          </w:tcPr>
          <w:p w:rsidR="004F47BB" w:rsidRPr="004F47BB" w:rsidRDefault="004F47BB" w:rsidP="004F47BB">
            <w:pPr>
              <w:overflowPunct w:val="0"/>
              <w:adjustRightInd w:val="0"/>
              <w:spacing w:before="80" w:after="80"/>
              <w:ind w:left="0" w:firstLine="0"/>
              <w:jc w:val="center"/>
              <w:textAlignment w:val="baseline"/>
              <w:rPr>
                <w:sz w:val="18"/>
                <w:szCs w:val="18"/>
              </w:rPr>
            </w:pPr>
            <m:oMath>
              <m:r>
                <w:rPr>
                  <w:rFonts w:ascii="Cambria Math" w:hAnsi="Cambria Math"/>
                  <w:sz w:val="18"/>
                  <w:szCs w:val="18"/>
                </w:rPr>
                <m:t>P</m:t>
              </m:r>
              <m:r>
                <w:rPr>
                  <w:rFonts w:ascii="Cambria Math" w:hAnsi="Cambria Math"/>
                  <w:position w:val="-6"/>
                  <w:sz w:val="16"/>
                  <w:szCs w:val="18"/>
                </w:rPr>
                <m:t>B</m:t>
              </m:r>
            </m:oMath>
            <w:r>
              <w:rPr>
                <w:sz w:val="18"/>
              </w:rPr>
              <w:t xml:space="preserve"> [kW]</w:t>
            </w:r>
          </w:p>
        </w:tc>
      </w:tr>
      <w:tr w:rsidR="004F47BB" w:rsidRPr="004F47BB" w:rsidTr="00D45887">
        <w:tc>
          <w:tcPr>
            <w:tcW w:w="1361" w:type="dxa"/>
          </w:tcPr>
          <w:p w:rsidR="004F47BB" w:rsidRPr="004F47BB" w:rsidRDefault="004F47BB" w:rsidP="004F47BB">
            <w:pPr>
              <w:overflowPunct w:val="0"/>
              <w:adjustRightInd w:val="0"/>
              <w:spacing w:before="80" w:after="80"/>
              <w:ind w:left="0" w:firstLine="0"/>
              <w:jc w:val="center"/>
              <w:textAlignment w:val="baseline"/>
              <w:rPr>
                <w:sz w:val="18"/>
                <w:szCs w:val="18"/>
              </w:rPr>
            </w:pPr>
            <w:r>
              <w:rPr>
                <w:sz w:val="18"/>
              </w:rPr>
              <w:t>Motonave</w:t>
            </w:r>
          </w:p>
        </w:tc>
        <w:tc>
          <w:tcPr>
            <w:tcW w:w="1361" w:type="dxa"/>
          </w:tcPr>
          <w:p w:rsidR="004F47BB" w:rsidRPr="004F47BB" w:rsidRDefault="004F47BB" w:rsidP="004F47BB">
            <w:pPr>
              <w:tabs>
                <w:tab w:val="decimal" w:pos="709"/>
              </w:tabs>
              <w:overflowPunct w:val="0"/>
              <w:adjustRightInd w:val="0"/>
              <w:spacing w:before="80" w:after="80"/>
              <w:ind w:left="113" w:right="113" w:firstLine="0"/>
              <w:textAlignment w:val="baseline"/>
              <w:rPr>
                <w:sz w:val="18"/>
                <w:szCs w:val="18"/>
              </w:rPr>
            </w:pPr>
            <w:r>
              <w:rPr>
                <w:sz w:val="18"/>
              </w:rPr>
              <w:t>110</w:t>
            </w:r>
          </w:p>
        </w:tc>
        <w:tc>
          <w:tcPr>
            <w:tcW w:w="1361" w:type="dxa"/>
          </w:tcPr>
          <w:p w:rsidR="004F47BB" w:rsidRPr="004F47BB" w:rsidRDefault="004F47BB" w:rsidP="004F47BB">
            <w:pPr>
              <w:tabs>
                <w:tab w:val="decimal" w:pos="708"/>
              </w:tabs>
              <w:overflowPunct w:val="0"/>
              <w:adjustRightInd w:val="0"/>
              <w:spacing w:before="80" w:after="80"/>
              <w:ind w:left="113" w:right="113" w:firstLine="0"/>
              <w:textAlignment w:val="baseline"/>
              <w:rPr>
                <w:sz w:val="18"/>
                <w:szCs w:val="18"/>
              </w:rPr>
            </w:pPr>
            <w:r>
              <w:rPr>
                <w:sz w:val="18"/>
              </w:rPr>
              <w:t>11,4</w:t>
            </w:r>
          </w:p>
        </w:tc>
        <w:tc>
          <w:tcPr>
            <w:tcW w:w="1361" w:type="dxa"/>
          </w:tcPr>
          <w:p w:rsidR="004F47BB" w:rsidRPr="004F47BB" w:rsidRDefault="004F47BB" w:rsidP="004F47BB">
            <w:pPr>
              <w:tabs>
                <w:tab w:val="decimal" w:pos="737"/>
              </w:tabs>
              <w:overflowPunct w:val="0"/>
              <w:adjustRightInd w:val="0"/>
              <w:spacing w:before="80" w:after="80"/>
              <w:ind w:left="113" w:right="113" w:firstLine="0"/>
              <w:textAlignment w:val="baseline"/>
              <w:rPr>
                <w:sz w:val="18"/>
                <w:szCs w:val="18"/>
              </w:rPr>
            </w:pPr>
            <w:r>
              <w:rPr>
                <w:sz w:val="18"/>
              </w:rPr>
              <w:t>3,5</w:t>
            </w:r>
          </w:p>
        </w:tc>
        <w:tc>
          <w:tcPr>
            <w:tcW w:w="1361" w:type="dxa"/>
          </w:tcPr>
          <w:p w:rsidR="004F47BB" w:rsidRPr="004F47BB" w:rsidRDefault="004F47BB" w:rsidP="004F47BB">
            <w:pPr>
              <w:tabs>
                <w:tab w:val="decimal" w:pos="849"/>
              </w:tabs>
              <w:overflowPunct w:val="0"/>
              <w:adjustRightInd w:val="0"/>
              <w:spacing w:before="80" w:after="80"/>
              <w:ind w:left="113" w:right="113" w:firstLine="0"/>
              <w:textAlignment w:val="baseline"/>
              <w:rPr>
                <w:sz w:val="18"/>
                <w:szCs w:val="18"/>
              </w:rPr>
            </w:pPr>
            <w:r>
              <w:rPr>
                <w:sz w:val="18"/>
              </w:rPr>
              <w:t>2 900</w:t>
            </w:r>
          </w:p>
        </w:tc>
        <w:tc>
          <w:tcPr>
            <w:tcW w:w="1361" w:type="dxa"/>
          </w:tcPr>
          <w:p w:rsidR="004F47BB" w:rsidRPr="004F47BB" w:rsidRDefault="004F47BB" w:rsidP="004F47BB">
            <w:pPr>
              <w:tabs>
                <w:tab w:val="decimal" w:pos="990"/>
              </w:tabs>
              <w:overflowPunct w:val="0"/>
              <w:adjustRightInd w:val="0"/>
              <w:spacing w:before="80" w:after="80"/>
              <w:ind w:left="113" w:right="113" w:firstLine="0"/>
              <w:textAlignment w:val="baseline"/>
              <w:rPr>
                <w:sz w:val="18"/>
                <w:szCs w:val="18"/>
              </w:rPr>
            </w:pPr>
            <w:r>
              <w:rPr>
                <w:sz w:val="18"/>
              </w:rPr>
              <w:t>3 731</w:t>
            </w:r>
          </w:p>
        </w:tc>
        <w:tc>
          <w:tcPr>
            <w:tcW w:w="1361" w:type="dxa"/>
          </w:tcPr>
          <w:p w:rsidR="004F47BB" w:rsidRPr="004F47BB" w:rsidRDefault="004F47BB" w:rsidP="004F47BB">
            <w:pPr>
              <w:tabs>
                <w:tab w:val="decimal" w:pos="848"/>
              </w:tabs>
              <w:overflowPunct w:val="0"/>
              <w:adjustRightInd w:val="0"/>
              <w:spacing w:before="80" w:after="80"/>
              <w:ind w:left="113" w:right="113" w:firstLine="0"/>
              <w:textAlignment w:val="baseline"/>
              <w:rPr>
                <w:sz w:val="18"/>
                <w:szCs w:val="18"/>
              </w:rPr>
            </w:pPr>
            <w:r>
              <w:rPr>
                <w:sz w:val="18"/>
              </w:rPr>
              <w:t>1 500</w:t>
            </w:r>
          </w:p>
        </w:tc>
      </w:tr>
      <w:tr w:rsidR="004F47BB" w:rsidRPr="004F47BB" w:rsidTr="00D45887">
        <w:tc>
          <w:tcPr>
            <w:tcW w:w="1361" w:type="dxa"/>
          </w:tcPr>
          <w:p w:rsidR="004F47BB" w:rsidRPr="004F47BB" w:rsidRDefault="004F47BB" w:rsidP="004F47BB">
            <w:pPr>
              <w:overflowPunct w:val="0"/>
              <w:adjustRightInd w:val="0"/>
              <w:spacing w:before="80" w:after="80"/>
              <w:ind w:left="0" w:firstLine="0"/>
              <w:jc w:val="center"/>
              <w:textAlignment w:val="baseline"/>
              <w:rPr>
                <w:sz w:val="18"/>
                <w:szCs w:val="18"/>
              </w:rPr>
            </w:pPr>
            <w:r>
              <w:rPr>
                <w:sz w:val="18"/>
              </w:rPr>
              <w:t>Bettolina</w:t>
            </w:r>
          </w:p>
        </w:tc>
        <w:tc>
          <w:tcPr>
            <w:tcW w:w="1361" w:type="dxa"/>
          </w:tcPr>
          <w:p w:rsidR="004F47BB" w:rsidRPr="004F47BB" w:rsidRDefault="004F47BB" w:rsidP="004F47BB">
            <w:pPr>
              <w:tabs>
                <w:tab w:val="decimal" w:pos="709"/>
              </w:tabs>
              <w:overflowPunct w:val="0"/>
              <w:adjustRightInd w:val="0"/>
              <w:spacing w:before="80" w:after="80"/>
              <w:ind w:left="113" w:right="113" w:firstLine="0"/>
              <w:textAlignment w:val="baseline"/>
              <w:rPr>
                <w:sz w:val="18"/>
                <w:szCs w:val="18"/>
              </w:rPr>
            </w:pPr>
            <w:r>
              <w:rPr>
                <w:sz w:val="18"/>
              </w:rPr>
              <w:t>76,5</w:t>
            </w:r>
          </w:p>
        </w:tc>
        <w:tc>
          <w:tcPr>
            <w:tcW w:w="1361" w:type="dxa"/>
          </w:tcPr>
          <w:p w:rsidR="004F47BB" w:rsidRPr="004F47BB" w:rsidRDefault="004F47BB" w:rsidP="004F47BB">
            <w:pPr>
              <w:tabs>
                <w:tab w:val="decimal" w:pos="708"/>
              </w:tabs>
              <w:overflowPunct w:val="0"/>
              <w:adjustRightInd w:val="0"/>
              <w:spacing w:before="80" w:after="80"/>
              <w:ind w:left="113" w:right="113" w:firstLine="0"/>
              <w:textAlignment w:val="baseline"/>
              <w:rPr>
                <w:sz w:val="18"/>
                <w:szCs w:val="18"/>
              </w:rPr>
            </w:pPr>
            <w:r>
              <w:rPr>
                <w:sz w:val="18"/>
              </w:rPr>
              <w:t>11,4</w:t>
            </w:r>
          </w:p>
        </w:tc>
        <w:tc>
          <w:tcPr>
            <w:tcW w:w="1361" w:type="dxa"/>
          </w:tcPr>
          <w:p w:rsidR="004F47BB" w:rsidRPr="004F47BB" w:rsidRDefault="004F47BB" w:rsidP="004F47BB">
            <w:pPr>
              <w:tabs>
                <w:tab w:val="decimal" w:pos="737"/>
              </w:tabs>
              <w:overflowPunct w:val="0"/>
              <w:adjustRightInd w:val="0"/>
              <w:spacing w:before="80" w:after="80"/>
              <w:ind w:left="113" w:right="113" w:firstLine="0"/>
              <w:textAlignment w:val="baseline"/>
              <w:rPr>
                <w:sz w:val="18"/>
                <w:szCs w:val="18"/>
              </w:rPr>
            </w:pPr>
            <w:r>
              <w:rPr>
                <w:sz w:val="18"/>
              </w:rPr>
              <w:t>3,7</w:t>
            </w:r>
          </w:p>
        </w:tc>
        <w:tc>
          <w:tcPr>
            <w:tcW w:w="1361" w:type="dxa"/>
          </w:tcPr>
          <w:p w:rsidR="004F47BB" w:rsidRPr="004F47BB" w:rsidRDefault="004F47BB" w:rsidP="004F47BB">
            <w:pPr>
              <w:tabs>
                <w:tab w:val="decimal" w:pos="849"/>
              </w:tabs>
              <w:overflowPunct w:val="0"/>
              <w:adjustRightInd w:val="0"/>
              <w:spacing w:before="80" w:after="80"/>
              <w:ind w:left="113" w:right="113" w:firstLine="0"/>
              <w:textAlignment w:val="baseline"/>
              <w:rPr>
                <w:sz w:val="18"/>
                <w:szCs w:val="18"/>
              </w:rPr>
            </w:pPr>
            <w:r>
              <w:rPr>
                <w:sz w:val="18"/>
              </w:rPr>
              <w:t>2 600</w:t>
            </w:r>
          </w:p>
        </w:tc>
        <w:tc>
          <w:tcPr>
            <w:tcW w:w="1361" w:type="dxa"/>
          </w:tcPr>
          <w:p w:rsidR="004F47BB" w:rsidRPr="004F47BB" w:rsidRDefault="004F47BB" w:rsidP="004F47BB">
            <w:pPr>
              <w:tabs>
                <w:tab w:val="decimal" w:pos="990"/>
              </w:tabs>
              <w:overflowPunct w:val="0"/>
              <w:adjustRightInd w:val="0"/>
              <w:spacing w:before="80" w:after="80"/>
              <w:ind w:left="113" w:right="113" w:firstLine="0"/>
              <w:textAlignment w:val="baseline"/>
              <w:rPr>
                <w:sz w:val="18"/>
                <w:szCs w:val="18"/>
              </w:rPr>
            </w:pPr>
            <w:r>
              <w:rPr>
                <w:sz w:val="18"/>
              </w:rPr>
              <w:t>2 743</w:t>
            </w:r>
          </w:p>
        </w:tc>
        <w:tc>
          <w:tcPr>
            <w:tcW w:w="1361" w:type="dxa"/>
          </w:tcPr>
          <w:p w:rsidR="004F47BB" w:rsidRPr="004F47BB" w:rsidRDefault="004F47BB" w:rsidP="004F47BB">
            <w:pPr>
              <w:tabs>
                <w:tab w:val="decimal" w:pos="198"/>
              </w:tabs>
              <w:overflowPunct w:val="0"/>
              <w:adjustRightInd w:val="0"/>
              <w:spacing w:before="80" w:after="80"/>
              <w:ind w:left="113" w:right="113" w:firstLine="0"/>
              <w:jc w:val="center"/>
              <w:textAlignment w:val="baseline"/>
              <w:rPr>
                <w:sz w:val="18"/>
                <w:szCs w:val="18"/>
              </w:rPr>
            </w:pPr>
            <w:r>
              <w:rPr>
                <w:sz w:val="18"/>
              </w:rPr>
              <w:t>-</w:t>
            </w:r>
          </w:p>
        </w:tc>
      </w:tr>
      <w:tr w:rsidR="004F47BB" w:rsidRPr="004F47BB" w:rsidTr="00D45887">
        <w:tc>
          <w:tcPr>
            <w:tcW w:w="1361" w:type="dxa"/>
          </w:tcPr>
          <w:p w:rsidR="004F47BB" w:rsidRPr="004F47BB" w:rsidRDefault="004F47BB" w:rsidP="004F47BB">
            <w:pPr>
              <w:overflowPunct w:val="0"/>
              <w:adjustRightInd w:val="0"/>
              <w:spacing w:before="80" w:after="80"/>
              <w:ind w:left="0" w:firstLine="0"/>
              <w:jc w:val="center"/>
              <w:textAlignment w:val="baseline"/>
              <w:rPr>
                <w:sz w:val="18"/>
                <w:szCs w:val="18"/>
              </w:rPr>
            </w:pPr>
            <w:r>
              <w:rPr>
                <w:sz w:val="18"/>
              </w:rPr>
              <w:t>Convoglio</w:t>
            </w:r>
          </w:p>
        </w:tc>
        <w:tc>
          <w:tcPr>
            <w:tcW w:w="1361" w:type="dxa"/>
          </w:tcPr>
          <w:p w:rsidR="004F47BB" w:rsidRPr="004F47BB" w:rsidRDefault="004F47BB" w:rsidP="004F47BB">
            <w:pPr>
              <w:tabs>
                <w:tab w:val="decimal" w:pos="709"/>
              </w:tabs>
              <w:overflowPunct w:val="0"/>
              <w:adjustRightInd w:val="0"/>
              <w:spacing w:before="80" w:after="80"/>
              <w:ind w:left="113" w:right="113" w:firstLine="0"/>
              <w:textAlignment w:val="baseline"/>
              <w:rPr>
                <w:sz w:val="18"/>
                <w:szCs w:val="18"/>
              </w:rPr>
            </w:pPr>
            <w:r>
              <w:rPr>
                <w:sz w:val="18"/>
              </w:rPr>
              <w:t>110</w:t>
            </w:r>
          </w:p>
        </w:tc>
        <w:tc>
          <w:tcPr>
            <w:tcW w:w="1361" w:type="dxa"/>
          </w:tcPr>
          <w:p w:rsidR="004F47BB" w:rsidRPr="004F47BB" w:rsidRDefault="004F47BB" w:rsidP="004F47BB">
            <w:pPr>
              <w:tabs>
                <w:tab w:val="decimal" w:pos="708"/>
              </w:tabs>
              <w:overflowPunct w:val="0"/>
              <w:adjustRightInd w:val="0"/>
              <w:spacing w:before="80" w:after="80"/>
              <w:ind w:left="113" w:right="113" w:firstLine="0"/>
              <w:textAlignment w:val="baseline"/>
              <w:rPr>
                <w:sz w:val="18"/>
                <w:szCs w:val="18"/>
              </w:rPr>
            </w:pPr>
            <w:r>
              <w:rPr>
                <w:sz w:val="18"/>
              </w:rPr>
              <w:t>22,8</w:t>
            </w:r>
          </w:p>
        </w:tc>
        <w:tc>
          <w:tcPr>
            <w:tcW w:w="1361" w:type="dxa"/>
          </w:tcPr>
          <w:p w:rsidR="004F47BB" w:rsidRPr="004F47BB" w:rsidRDefault="004F47BB" w:rsidP="004F47BB">
            <w:pPr>
              <w:tabs>
                <w:tab w:val="decimal" w:pos="737"/>
              </w:tabs>
              <w:overflowPunct w:val="0"/>
              <w:adjustRightInd w:val="0"/>
              <w:spacing w:before="80" w:after="80"/>
              <w:ind w:left="113" w:right="113" w:firstLine="0"/>
              <w:textAlignment w:val="baseline"/>
              <w:rPr>
                <w:sz w:val="18"/>
                <w:szCs w:val="18"/>
              </w:rPr>
            </w:pPr>
            <w:r>
              <w:rPr>
                <w:sz w:val="18"/>
              </w:rPr>
              <w:t>3,7</w:t>
            </w:r>
          </w:p>
        </w:tc>
        <w:tc>
          <w:tcPr>
            <w:tcW w:w="1361" w:type="dxa"/>
          </w:tcPr>
          <w:p w:rsidR="004F47BB" w:rsidRPr="004F47BB" w:rsidRDefault="004F47BB" w:rsidP="004F47BB">
            <w:pPr>
              <w:tabs>
                <w:tab w:val="decimal" w:pos="849"/>
              </w:tabs>
              <w:overflowPunct w:val="0"/>
              <w:adjustRightInd w:val="0"/>
              <w:spacing w:before="80" w:after="80"/>
              <w:ind w:left="113" w:right="113" w:firstLine="0"/>
              <w:textAlignment w:val="baseline"/>
              <w:rPr>
                <w:sz w:val="18"/>
                <w:szCs w:val="18"/>
              </w:rPr>
            </w:pPr>
            <w:r>
              <w:rPr>
                <w:sz w:val="18"/>
              </w:rPr>
              <w:t>5 500</w:t>
            </w:r>
          </w:p>
        </w:tc>
        <w:tc>
          <w:tcPr>
            <w:tcW w:w="1361" w:type="dxa"/>
          </w:tcPr>
          <w:p w:rsidR="004F47BB" w:rsidRPr="004F47BB" w:rsidRDefault="004F47BB" w:rsidP="004F47BB">
            <w:pPr>
              <w:tabs>
                <w:tab w:val="decimal" w:pos="990"/>
              </w:tabs>
              <w:overflowPunct w:val="0"/>
              <w:adjustRightInd w:val="0"/>
              <w:spacing w:before="80" w:after="80"/>
              <w:ind w:left="113" w:right="113" w:firstLine="0"/>
              <w:textAlignment w:val="baseline"/>
              <w:rPr>
                <w:sz w:val="18"/>
                <w:szCs w:val="18"/>
              </w:rPr>
            </w:pPr>
            <w:r>
              <w:rPr>
                <w:sz w:val="18"/>
              </w:rPr>
              <w:t>6 474</w:t>
            </w:r>
          </w:p>
        </w:tc>
        <w:tc>
          <w:tcPr>
            <w:tcW w:w="1361" w:type="dxa"/>
          </w:tcPr>
          <w:p w:rsidR="004F47BB" w:rsidRPr="004F47BB" w:rsidRDefault="004F47BB" w:rsidP="004F47BB">
            <w:pPr>
              <w:tabs>
                <w:tab w:val="decimal" w:pos="848"/>
              </w:tabs>
              <w:overflowPunct w:val="0"/>
              <w:adjustRightInd w:val="0"/>
              <w:spacing w:before="80" w:after="80"/>
              <w:ind w:left="113" w:right="113" w:firstLine="0"/>
              <w:textAlignment w:val="baseline"/>
              <w:rPr>
                <w:sz w:val="18"/>
                <w:szCs w:val="18"/>
              </w:rPr>
            </w:pPr>
            <w:r>
              <w:rPr>
                <w:sz w:val="18"/>
              </w:rPr>
              <w:t>1 500</w:t>
            </w:r>
          </w:p>
        </w:tc>
      </w:tr>
    </w:tbl>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tabs>
          <w:tab w:val="left" w:pos="960"/>
          <w:tab w:val="left" w:pos="1344"/>
          <w:tab w:val="left" w:pos="7680"/>
        </w:tabs>
        <w:overflowPunct w:val="0"/>
        <w:adjustRightInd w:val="0"/>
        <w:spacing w:line="240" w:lineRule="exact"/>
        <w:ind w:left="0" w:firstLine="0"/>
        <w:jc w:val="left"/>
        <w:textAlignment w:val="baseline"/>
        <w:rPr>
          <w:szCs w:val="20"/>
        </w:rPr>
      </w:pPr>
    </w:p>
    <w:p w:rsidR="004F47BB" w:rsidRPr="004F47BB" w:rsidRDefault="004F47BB" w:rsidP="004F47BB">
      <w:pPr>
        <w:tabs>
          <w:tab w:val="left" w:pos="960"/>
          <w:tab w:val="left" w:pos="1344"/>
          <w:tab w:val="left" w:pos="7680"/>
        </w:tabs>
        <w:overflowPunct w:val="0"/>
        <w:adjustRightInd w:val="0"/>
        <w:spacing w:line="240" w:lineRule="exact"/>
        <w:ind w:left="567" w:hanging="567"/>
        <w:jc w:val="left"/>
        <w:textAlignment w:val="baseline"/>
        <w:rPr>
          <w:szCs w:val="20"/>
        </w:rPr>
      </w:pPr>
      <w:r>
        <w:tab/>
        <w:t>Sistema di propulsione della motonave: boccalini moderni con bordo posteriore smussato</w:t>
      </w:r>
    </w:p>
    <w:p w:rsidR="004F47BB" w:rsidRPr="004F47BB" w:rsidRDefault="004F47BB" w:rsidP="004F47BB">
      <w:pPr>
        <w:tabs>
          <w:tab w:val="left" w:pos="960"/>
          <w:tab w:val="left" w:pos="1344"/>
          <w:tab w:val="left" w:pos="7680"/>
        </w:tabs>
        <w:overflowPunct w:val="0"/>
        <w:adjustRightInd w:val="0"/>
        <w:spacing w:line="240" w:lineRule="exact"/>
        <w:ind w:left="567" w:hanging="567"/>
        <w:jc w:val="left"/>
        <w:textAlignment w:val="baseline"/>
        <w:rPr>
          <w:szCs w:val="20"/>
        </w:rPr>
      </w:pPr>
    </w:p>
    <w:p w:rsidR="004F47BB" w:rsidRPr="004F47BB" w:rsidRDefault="004F47BB" w:rsidP="004F47BB">
      <w:pPr>
        <w:tabs>
          <w:tab w:val="left" w:pos="960"/>
          <w:tab w:val="left" w:pos="1344"/>
          <w:tab w:val="left" w:pos="7680"/>
        </w:tabs>
        <w:overflowPunct w:val="0"/>
        <w:adjustRightInd w:val="0"/>
        <w:spacing w:line="240" w:lineRule="exact"/>
        <w:ind w:left="567" w:hanging="567"/>
        <w:jc w:val="left"/>
        <w:textAlignment w:val="baseline"/>
        <w:rPr>
          <w:szCs w:val="20"/>
        </w:rPr>
      </w:pPr>
      <w:r>
        <w:tab/>
        <w:t xml:space="preserve">* </w:t>
      </w:r>
      <m:oMath>
        <m:r>
          <w:rPr>
            <w:rFonts w:ascii="Cambria Math" w:hAnsi="Cambria Math"/>
            <w:szCs w:val="20"/>
          </w:rPr>
          <m:t>Tgf</m:t>
        </m:r>
      </m:oMath>
      <w:r>
        <w:t xml:space="preserve"> = portata lorda.</w:t>
      </w:r>
    </w:p>
    <w:p w:rsidR="004F47BB" w:rsidRPr="004F47BB" w:rsidRDefault="004F47BB" w:rsidP="004F47BB">
      <w:pPr>
        <w:tabs>
          <w:tab w:val="left" w:pos="960"/>
          <w:tab w:val="left" w:pos="1344"/>
          <w:tab w:val="left" w:pos="7680"/>
        </w:tabs>
        <w:overflowPunct w:val="0"/>
        <w:adjustRightInd w:val="0"/>
        <w:spacing w:line="240" w:lineRule="exact"/>
        <w:ind w:left="0" w:firstLine="0"/>
        <w:jc w:val="left"/>
        <w:textAlignment w:val="baseline"/>
        <w:rPr>
          <w:szCs w:val="20"/>
        </w:rPr>
      </w:pPr>
    </w:p>
    <w:p w:rsidR="004F47BB" w:rsidRPr="004F47BB" w:rsidRDefault="004F47BB" w:rsidP="004F47BB">
      <w:pPr>
        <w:tabs>
          <w:tab w:val="left" w:pos="960"/>
          <w:tab w:val="left" w:pos="1344"/>
          <w:tab w:val="left" w:pos="7680"/>
        </w:tabs>
        <w:overflowPunct w:val="0"/>
        <w:adjustRightInd w:val="0"/>
        <w:spacing w:line="240" w:lineRule="exact"/>
        <w:ind w:left="0" w:firstLine="0"/>
        <w:jc w:val="left"/>
        <w:textAlignment w:val="baseline"/>
        <w:rPr>
          <w:szCs w:val="20"/>
        </w:rPr>
      </w:pPr>
    </w:p>
    <w:p w:rsidR="004F47BB" w:rsidRPr="004F47BB" w:rsidRDefault="004F47BB" w:rsidP="004F47BB">
      <w:pPr>
        <w:tabs>
          <w:tab w:val="left" w:pos="960"/>
          <w:tab w:val="left" w:pos="1344"/>
          <w:tab w:val="left" w:pos="7680"/>
        </w:tabs>
        <w:overflowPunct w:val="0"/>
        <w:adjustRightInd w:val="0"/>
        <w:spacing w:line="240" w:lineRule="exact"/>
        <w:ind w:left="0" w:firstLine="0"/>
        <w:jc w:val="left"/>
        <w:textAlignment w:val="baseline"/>
        <w:rPr>
          <w:szCs w:val="20"/>
        </w:rPr>
      </w:pPr>
    </w:p>
    <w:p w:rsidR="004F47BB" w:rsidRPr="004F47BB" w:rsidRDefault="004F47BB" w:rsidP="004F47BB">
      <w:pPr>
        <w:spacing w:line="240" w:lineRule="atLeast"/>
        <w:ind w:left="567" w:hanging="567"/>
        <w:rPr>
          <w:rFonts w:cs="Arial"/>
          <w:b/>
          <w:color w:val="000000"/>
          <w:szCs w:val="20"/>
        </w:rPr>
      </w:pPr>
      <w:r>
        <w:rPr>
          <w:b/>
          <w:color w:val="000000"/>
        </w:rPr>
        <w:t>2.</w:t>
      </w:r>
      <w:r>
        <w:tab/>
      </w:r>
      <w:r>
        <w:rPr>
          <w:b/>
          <w:color w:val="000000"/>
        </w:rPr>
        <w:t>Valori misurati durante la manovra di arresto</w:t>
      </w:r>
    </w:p>
    <w:p w:rsidR="004F47BB" w:rsidRPr="004F47BB" w:rsidRDefault="004F47BB" w:rsidP="004F47BB">
      <w:pPr>
        <w:overflowPunct w:val="0"/>
        <w:adjustRightInd w:val="0"/>
        <w:ind w:left="567" w:hanging="567"/>
        <w:jc w:val="left"/>
        <w:textAlignment w:val="baseline"/>
        <w:rPr>
          <w:szCs w:val="20"/>
        </w:rPr>
      </w:pPr>
    </w:p>
    <w:p w:rsidR="004F47BB" w:rsidRPr="004F47BB" w:rsidRDefault="004F47BB" w:rsidP="004F47BB">
      <w:pPr>
        <w:overflowPunct w:val="0"/>
        <w:adjustRightInd w:val="0"/>
        <w:ind w:left="567" w:hanging="567"/>
        <w:jc w:val="left"/>
        <w:textAlignment w:val="baseline"/>
        <w:rPr>
          <w:szCs w:val="20"/>
        </w:rPr>
      </w:pPr>
    </w:p>
    <w:p w:rsidR="004F47BB" w:rsidRPr="004F47BB" w:rsidRDefault="004F47BB" w:rsidP="004F47BB">
      <w:pPr>
        <w:tabs>
          <w:tab w:val="left" w:pos="5387"/>
          <w:tab w:val="left" w:pos="6379"/>
          <w:tab w:val="left" w:pos="6663"/>
          <w:tab w:val="left" w:pos="7513"/>
        </w:tabs>
        <w:overflowPunct w:val="0"/>
        <w:adjustRightInd w:val="0"/>
        <w:spacing w:line="240" w:lineRule="atLeast"/>
        <w:ind w:left="567" w:hanging="567"/>
        <w:jc w:val="left"/>
        <w:textAlignment w:val="baseline"/>
        <w:rPr>
          <w:szCs w:val="20"/>
        </w:rPr>
      </w:pPr>
      <w:r>
        <w:tab/>
        <w:t>Velocità della corrente:</w:t>
      </w:r>
      <w:r>
        <w:tab/>
      </w:r>
      <m:oMath>
        <m:sSub>
          <m:sSubPr>
            <m:ctrlPr>
              <w:rPr>
                <w:rFonts w:ascii="Cambria Math" w:hAnsi="Cambria Math"/>
                <w:i/>
                <w:szCs w:val="20"/>
              </w:rPr>
            </m:ctrlPr>
          </m:sSub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e>
          <m:sub>
            <m:r>
              <w:rPr>
                <w:rFonts w:ascii="Cambria Math" w:hAnsi="Cambria Math"/>
                <w:szCs w:val="20"/>
              </w:rPr>
              <m:t>IST</m:t>
            </m:r>
          </m:sub>
        </m:sSub>
      </m:oMath>
      <w:r>
        <w:tab/>
        <w:t>=</w:t>
      </w:r>
      <w:r>
        <w:tab/>
        <w:t>1,4 m/s</w:t>
      </w:r>
      <w:r>
        <w:tab/>
      </w:r>
      <w:r>
        <w:rPr>
          <w:szCs w:val="20"/>
        </w:rPr>
        <w:sym w:font="Symbol" w:char="F0BB"/>
      </w:r>
      <w:r>
        <w:t xml:space="preserve"> 5,1 km/h;</w:t>
      </w:r>
    </w:p>
    <w:p w:rsidR="004F47BB" w:rsidRPr="004F47BB" w:rsidRDefault="004F47BB" w:rsidP="004F47BB">
      <w:pPr>
        <w:tabs>
          <w:tab w:val="left" w:pos="5387"/>
          <w:tab w:val="left" w:pos="6379"/>
          <w:tab w:val="left" w:pos="6663"/>
          <w:tab w:val="left" w:pos="7513"/>
        </w:tabs>
        <w:overflowPunct w:val="0"/>
        <w:adjustRightInd w:val="0"/>
        <w:spacing w:line="240" w:lineRule="exact"/>
        <w:ind w:left="567" w:hanging="567"/>
        <w:jc w:val="left"/>
        <w:textAlignment w:val="baseline"/>
        <w:rPr>
          <w:szCs w:val="20"/>
        </w:rPr>
      </w:pPr>
    </w:p>
    <w:p w:rsidR="004F47BB" w:rsidRPr="004F47BB" w:rsidRDefault="004F47BB" w:rsidP="004F47BB">
      <w:pPr>
        <w:tabs>
          <w:tab w:val="left" w:pos="5387"/>
          <w:tab w:val="left" w:pos="6379"/>
          <w:tab w:val="left" w:pos="6663"/>
          <w:tab w:val="left" w:pos="7513"/>
        </w:tabs>
        <w:overflowPunct w:val="0"/>
        <w:adjustRightInd w:val="0"/>
        <w:spacing w:line="240" w:lineRule="atLeast"/>
        <w:ind w:left="567" w:hanging="567"/>
        <w:jc w:val="left"/>
        <w:textAlignment w:val="baseline"/>
        <w:rPr>
          <w:szCs w:val="20"/>
        </w:rPr>
      </w:pPr>
      <w:r>
        <w:tab/>
        <w:t xml:space="preserve">Velocità della nave (rispetto all'acqua): </w:t>
      </w:r>
      <w:r>
        <w:tab/>
      </w:r>
      <m:oMath>
        <m:sSub>
          <m:sSubPr>
            <m:ctrlPr>
              <w:rPr>
                <w:rFonts w:ascii="Cambria Math" w:hAnsi="Cambria Math"/>
                <w:i/>
                <w:szCs w:val="20"/>
              </w:rPr>
            </m:ctrlPr>
          </m:sSub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S</m:t>
                </m:r>
              </m:sub>
            </m:sSub>
          </m:e>
          <m:sub>
            <m:r>
              <w:rPr>
                <w:rFonts w:ascii="Cambria Math" w:hAnsi="Cambria Math"/>
                <w:szCs w:val="20"/>
              </w:rPr>
              <m:t>IST</m:t>
            </m:r>
          </m:sub>
        </m:sSub>
      </m:oMath>
      <w:r>
        <w:tab/>
        <w:t>=</w:t>
      </w:r>
      <w:r>
        <w:tab/>
        <w:t>3,5 m/s</w:t>
      </w:r>
      <w:r>
        <w:tab/>
      </w:r>
      <w:r>
        <w:rPr>
          <w:szCs w:val="20"/>
        </w:rPr>
        <w:sym w:font="Symbol" w:char="F0BB"/>
      </w:r>
      <w:r>
        <w:t xml:space="preserve"> 12,5 km/h;</w:t>
      </w:r>
    </w:p>
    <w:p w:rsidR="004F47BB" w:rsidRPr="004F47BB" w:rsidRDefault="004F47BB" w:rsidP="004F47BB">
      <w:pPr>
        <w:tabs>
          <w:tab w:val="left" w:pos="5387"/>
          <w:tab w:val="left" w:pos="6379"/>
          <w:tab w:val="left" w:pos="6663"/>
          <w:tab w:val="left" w:pos="7513"/>
        </w:tabs>
        <w:overflowPunct w:val="0"/>
        <w:adjustRightInd w:val="0"/>
        <w:spacing w:line="240" w:lineRule="atLeast"/>
        <w:ind w:left="567" w:hanging="567"/>
        <w:jc w:val="left"/>
        <w:textAlignment w:val="baseline"/>
        <w:rPr>
          <w:szCs w:val="20"/>
        </w:rPr>
      </w:pPr>
    </w:p>
    <w:p w:rsidR="004F47BB" w:rsidRPr="004F47BB" w:rsidRDefault="004F47BB" w:rsidP="004F47BB">
      <w:pPr>
        <w:tabs>
          <w:tab w:val="left" w:pos="5387"/>
          <w:tab w:val="left" w:pos="6379"/>
          <w:tab w:val="left" w:pos="6663"/>
          <w:tab w:val="left" w:pos="7513"/>
        </w:tabs>
        <w:overflowPunct w:val="0"/>
        <w:adjustRightInd w:val="0"/>
        <w:spacing w:line="240" w:lineRule="atLeast"/>
        <w:ind w:left="567" w:hanging="567"/>
        <w:jc w:val="left"/>
        <w:textAlignment w:val="baseline"/>
        <w:rPr>
          <w:szCs w:val="20"/>
        </w:rPr>
      </w:pPr>
      <w:r>
        <w:tab/>
        <w:t>Velocità della nave (rispetto alla riva):</w:t>
      </w:r>
      <w:r>
        <w:tab/>
      </w:r>
      <m:oMath>
        <m:sSub>
          <m:sSubPr>
            <m:ctrlPr>
              <w:rPr>
                <w:rFonts w:ascii="Cambria Math" w:hAnsi="Cambria Math"/>
                <w:i/>
                <w:szCs w:val="20"/>
              </w:rPr>
            </m:ctrlPr>
          </m:sSub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e>
          <m:sub>
            <m:r>
              <w:rPr>
                <w:rFonts w:ascii="Cambria Math" w:hAnsi="Cambria Math"/>
                <w:szCs w:val="20"/>
              </w:rPr>
              <m:t>IST</m:t>
            </m:r>
          </m:sub>
        </m:sSub>
      </m:oMath>
      <w:r>
        <w:t xml:space="preserve"> </w:t>
      </w:r>
      <w:r>
        <w:tab/>
        <w:t>=</w:t>
      </w:r>
      <w:r>
        <w:tab/>
        <w:t>4,9 m/s</w:t>
      </w:r>
      <w:r>
        <w:tab/>
      </w:r>
      <w:r>
        <w:rPr>
          <w:szCs w:val="20"/>
        </w:rPr>
        <w:sym w:font="Symbol" w:char="F0BB"/>
      </w:r>
      <w:r>
        <w:t xml:space="preserve"> 17,6 km/h;</w:t>
      </w:r>
    </w:p>
    <w:p w:rsidR="004F47BB" w:rsidRPr="004F47BB" w:rsidRDefault="004F47BB" w:rsidP="004F47BB">
      <w:pPr>
        <w:tabs>
          <w:tab w:val="left" w:pos="5387"/>
          <w:tab w:val="left" w:pos="6379"/>
          <w:tab w:val="left" w:pos="6663"/>
          <w:tab w:val="left" w:pos="7513"/>
        </w:tabs>
        <w:overflowPunct w:val="0"/>
        <w:adjustRightInd w:val="0"/>
        <w:spacing w:line="240" w:lineRule="atLeast"/>
        <w:ind w:left="567" w:hanging="567"/>
        <w:jc w:val="left"/>
        <w:textAlignment w:val="baseline"/>
        <w:rPr>
          <w:szCs w:val="20"/>
        </w:rPr>
      </w:pPr>
    </w:p>
    <w:p w:rsidR="004F47BB" w:rsidRPr="004F47BB" w:rsidRDefault="004F47BB" w:rsidP="004F47BB">
      <w:pPr>
        <w:tabs>
          <w:tab w:val="left" w:pos="5387"/>
          <w:tab w:val="left" w:pos="6379"/>
          <w:tab w:val="left" w:pos="6663"/>
          <w:tab w:val="left" w:pos="7513"/>
        </w:tabs>
        <w:overflowPunct w:val="0"/>
        <w:adjustRightInd w:val="0"/>
        <w:spacing w:line="240" w:lineRule="atLeast"/>
        <w:ind w:left="567" w:hanging="567"/>
        <w:jc w:val="left"/>
        <w:textAlignment w:val="baseline"/>
        <w:rPr>
          <w:szCs w:val="20"/>
        </w:rPr>
      </w:pPr>
      <w:r>
        <w:tab/>
        <w:t xml:space="preserve">Tempo di inversione (misurato) (dal punto </w:t>
      </w:r>
      <m:oMath>
        <m:r>
          <w:rPr>
            <w:rFonts w:ascii="Cambria Math" w:hAnsi="Cambria Math"/>
            <w:szCs w:val="20"/>
          </w:rPr>
          <m:t>A</m:t>
        </m:r>
      </m:oMath>
      <w:r>
        <w:t xml:space="preserve"> al punto </w:t>
      </w:r>
      <m:oMath>
        <m:r>
          <w:rPr>
            <w:rFonts w:ascii="Cambria Math" w:hAnsi="Cambria Math"/>
            <w:szCs w:val="20"/>
          </w:rPr>
          <m:t>C</m:t>
        </m:r>
      </m:oMath>
      <w:r>
        <w:t>):</w:t>
      </w:r>
      <w:r>
        <w:tab/>
      </w:r>
      <m:oMath>
        <m:r>
          <w:rPr>
            <w:rFonts w:ascii="Cambria Math" w:hAnsi="Cambria Math"/>
            <w:szCs w:val="20"/>
          </w:rPr>
          <m:t>t</m:t>
        </m:r>
        <m:r>
          <w:rPr>
            <w:rFonts w:ascii="Cambria Math" w:hAnsi="Cambria Math"/>
            <w:position w:val="-6"/>
            <w:sz w:val="16"/>
            <w:szCs w:val="20"/>
          </w:rPr>
          <m:t>I</m:t>
        </m:r>
      </m:oMath>
      <w:r>
        <w:t xml:space="preserve"> </w:t>
      </w:r>
      <w:r>
        <w:tab/>
        <w:t>=</w:t>
      </w:r>
      <w:r>
        <w:tab/>
        <w:t>16 s;</w:t>
      </w:r>
    </w:p>
    <w:p w:rsidR="004F47BB" w:rsidRPr="004F47BB" w:rsidRDefault="004F47BB" w:rsidP="004F47BB">
      <w:pPr>
        <w:tabs>
          <w:tab w:val="left" w:pos="5387"/>
          <w:tab w:val="left" w:pos="6379"/>
          <w:tab w:val="left" w:pos="6663"/>
          <w:tab w:val="left" w:pos="7513"/>
        </w:tabs>
        <w:overflowPunct w:val="0"/>
        <w:adjustRightInd w:val="0"/>
        <w:ind w:left="567" w:hanging="567"/>
        <w:jc w:val="left"/>
        <w:textAlignment w:val="baseline"/>
        <w:rPr>
          <w:szCs w:val="20"/>
        </w:rPr>
      </w:pPr>
    </w:p>
    <w:p w:rsidR="004F47BB" w:rsidRPr="004F47BB" w:rsidRDefault="004F47BB" w:rsidP="004F47BB">
      <w:pPr>
        <w:tabs>
          <w:tab w:val="left" w:pos="5529"/>
          <w:tab w:val="left" w:pos="6521"/>
          <w:tab w:val="left" w:pos="6804"/>
          <w:tab w:val="left" w:pos="8364"/>
        </w:tabs>
        <w:overflowPunct w:val="0"/>
        <w:adjustRightInd w:val="0"/>
        <w:spacing w:line="240" w:lineRule="atLeast"/>
        <w:ind w:left="567" w:hanging="567"/>
        <w:jc w:val="left"/>
        <w:textAlignment w:val="baseline"/>
        <w:rPr>
          <w:szCs w:val="20"/>
        </w:rPr>
      </w:pPr>
      <w:r>
        <w:tab/>
        <w:t xml:space="preserve">Distanza di arresto rispetto all'acqua (dal punto </w:t>
      </w:r>
      <m:oMath>
        <m:r>
          <w:rPr>
            <w:rFonts w:ascii="Cambria Math" w:hAnsi="Cambria Math"/>
            <w:szCs w:val="20"/>
          </w:rPr>
          <m:t>A</m:t>
        </m:r>
      </m:oMath>
      <w:r>
        <w:t xml:space="preserve"> al punto </w:t>
      </w:r>
      <m:oMath>
        <m:r>
          <w:rPr>
            <w:rFonts w:ascii="Cambria Math" w:hAnsi="Cambria Math"/>
            <w:szCs w:val="20"/>
          </w:rPr>
          <m:t>D</m:t>
        </m:r>
      </m:oMath>
      <w:r>
        <w:t>):</w:t>
      </w:r>
      <w:r>
        <w:tab/>
      </w:r>
      <m:oMath>
        <m:r>
          <w:rPr>
            <w:rFonts w:ascii="Cambria Math" w:hAnsi="Cambria Math"/>
            <w:szCs w:val="20"/>
          </w:rPr>
          <m:t>s</m:t>
        </m:r>
        <m:r>
          <w:rPr>
            <w:rFonts w:ascii="Cambria Math" w:hAnsi="Cambria Math"/>
            <w:position w:val="-6"/>
            <w:sz w:val="16"/>
            <w:szCs w:val="20"/>
          </w:rPr>
          <m:t>MESSUNG</m:t>
        </m:r>
      </m:oMath>
      <w:r>
        <w:t xml:space="preserve"> </w:t>
      </w:r>
      <w:r>
        <w:tab/>
        <w:t>=</w:t>
      </w:r>
      <w:r>
        <w:tab/>
        <w:t>340 m;</w:t>
      </w:r>
    </w:p>
    <w:p w:rsidR="004F47BB" w:rsidRPr="004F47BB" w:rsidRDefault="004F47BB" w:rsidP="004F47BB">
      <w:pPr>
        <w:tabs>
          <w:tab w:val="left" w:pos="5387"/>
          <w:tab w:val="left" w:pos="6379"/>
          <w:tab w:val="left" w:pos="6663"/>
          <w:tab w:val="left" w:pos="7513"/>
        </w:tabs>
        <w:overflowPunct w:val="0"/>
        <w:adjustRightInd w:val="0"/>
        <w:spacing w:line="240" w:lineRule="atLeast"/>
        <w:ind w:left="567" w:hanging="567"/>
        <w:jc w:val="left"/>
        <w:textAlignment w:val="baseline"/>
        <w:rPr>
          <w:szCs w:val="20"/>
        </w:rPr>
      </w:pPr>
    </w:p>
    <w:p w:rsidR="004F47BB" w:rsidRPr="004F47BB" w:rsidRDefault="004F47BB" w:rsidP="004F47BB">
      <w:pPr>
        <w:tabs>
          <w:tab w:val="left" w:pos="5387"/>
          <w:tab w:val="left" w:pos="6379"/>
          <w:tab w:val="left" w:pos="6663"/>
          <w:tab w:val="left" w:pos="7513"/>
        </w:tabs>
        <w:overflowPunct w:val="0"/>
        <w:adjustRightInd w:val="0"/>
        <w:spacing w:line="240" w:lineRule="atLeast"/>
        <w:ind w:left="567" w:hanging="567"/>
        <w:jc w:val="left"/>
        <w:textAlignment w:val="baseline"/>
        <w:rPr>
          <w:szCs w:val="20"/>
        </w:rPr>
      </w:pPr>
      <w:r>
        <w:tab/>
        <w:t>Condizione di carico (eventualmente stimato):</w:t>
      </w:r>
      <w:r>
        <w:tab/>
      </w:r>
      <m:oMath>
        <m:r>
          <w:rPr>
            <w:rFonts w:ascii="Cambria Math" w:hAnsi="Cambria Math"/>
            <w:szCs w:val="20"/>
          </w:rPr>
          <m:t>D</m:t>
        </m:r>
        <m:r>
          <w:rPr>
            <w:rFonts w:ascii="Cambria Math" w:hAnsi="Cambria Math"/>
            <w:position w:val="-6"/>
            <w:sz w:val="16"/>
            <w:szCs w:val="20"/>
          </w:rPr>
          <m:t>IST</m:t>
        </m:r>
      </m:oMath>
      <w:r>
        <w:t xml:space="preserve"> </w:t>
      </w:r>
      <w:r>
        <w:tab/>
        <w:t>=</w:t>
      </w:r>
      <w:r>
        <w:tab/>
        <w:t>5 179 m</w:t>
      </w:r>
      <w:r>
        <w:rPr>
          <w:vertAlign w:val="superscript"/>
        </w:rPr>
        <w:t>3</w:t>
      </w:r>
      <w:r>
        <w:tab/>
      </w:r>
      <w:r>
        <w:rPr>
          <w:szCs w:val="20"/>
        </w:rPr>
        <w:sym w:font="Symbol" w:char="F0BB"/>
      </w:r>
      <w:r>
        <w:t xml:space="preserve"> 0,8 </w:t>
      </w:r>
      <m:oMath>
        <m:sSub>
          <m:sSubPr>
            <m:ctrlPr>
              <w:rPr>
                <w:rFonts w:ascii="Cambria Math" w:hAnsi="Cambria Math"/>
                <w:i/>
                <w:szCs w:val="20"/>
              </w:rPr>
            </m:ctrlPr>
          </m:sSubPr>
          <m:e>
            <m:r>
              <w:rPr>
                <w:rFonts w:ascii="Cambria Math" w:hAnsi="Cambria Math"/>
                <w:szCs w:val="20"/>
              </w:rPr>
              <m:t>D</m:t>
            </m:r>
          </m:e>
          <m:sub>
            <m:r>
              <w:rPr>
                <w:rFonts w:ascii="Cambria Math" w:hAnsi="Cambria Math"/>
                <w:szCs w:val="20"/>
              </w:rPr>
              <m:t>max</m:t>
            </m:r>
          </m:sub>
        </m:sSub>
      </m:oMath>
    </w:p>
    <w:p w:rsidR="004F47BB" w:rsidRPr="004F47BB" w:rsidRDefault="004F47BB" w:rsidP="004F47BB">
      <w:pPr>
        <w:tabs>
          <w:tab w:val="left" w:pos="5387"/>
          <w:tab w:val="left" w:pos="6379"/>
          <w:tab w:val="left" w:pos="6663"/>
          <w:tab w:val="left" w:pos="7230"/>
          <w:tab w:val="left" w:pos="7513"/>
        </w:tabs>
        <w:overflowPunct w:val="0"/>
        <w:adjustRightInd w:val="0"/>
        <w:spacing w:line="240" w:lineRule="atLeast"/>
        <w:ind w:left="567" w:hanging="567"/>
        <w:jc w:val="left"/>
        <w:textAlignment w:val="baseline"/>
        <w:rPr>
          <w:szCs w:val="20"/>
        </w:rPr>
      </w:pPr>
    </w:p>
    <w:p w:rsidR="004F47BB" w:rsidRPr="004F47BB" w:rsidRDefault="004F47BB" w:rsidP="004F47BB">
      <w:pPr>
        <w:tabs>
          <w:tab w:val="left" w:pos="5387"/>
          <w:tab w:val="left" w:pos="6379"/>
          <w:tab w:val="left" w:pos="6663"/>
          <w:tab w:val="left" w:pos="7513"/>
        </w:tabs>
        <w:overflowPunct w:val="0"/>
        <w:adjustRightInd w:val="0"/>
        <w:spacing w:line="240" w:lineRule="atLeast"/>
        <w:ind w:left="567" w:hanging="567"/>
        <w:jc w:val="left"/>
        <w:textAlignment w:val="baseline"/>
        <w:rPr>
          <w:szCs w:val="20"/>
        </w:rPr>
      </w:pPr>
      <w:r>
        <w:tab/>
        <w:t>Pescaggio effettivo del convoglio:</w:t>
      </w:r>
      <w:r>
        <w:tab/>
      </w:r>
      <m:oMath>
        <m:r>
          <w:rPr>
            <w:rFonts w:ascii="Cambria Math" w:hAnsi="Cambria Math"/>
            <w:szCs w:val="20"/>
          </w:rPr>
          <m:t>T</m:t>
        </m:r>
        <m:r>
          <w:rPr>
            <w:rFonts w:ascii="Cambria Math" w:hAnsi="Cambria Math"/>
            <w:position w:val="-6"/>
            <w:sz w:val="16"/>
            <w:szCs w:val="20"/>
          </w:rPr>
          <m:t>IST</m:t>
        </m:r>
      </m:oMath>
      <w:r>
        <w:tab/>
        <w:t>=</w:t>
      </w:r>
      <w:r>
        <w:tab/>
        <w:t>2,96 m</w:t>
      </w:r>
      <w:r>
        <w:tab/>
      </w:r>
      <w:r>
        <w:rPr>
          <w:szCs w:val="20"/>
        </w:rPr>
        <w:sym w:font="Symbol" w:char="F0BB"/>
      </w:r>
      <w:r>
        <w:t xml:space="preserve"> 0,8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max</m:t>
            </m:r>
          </m:sub>
        </m:sSub>
      </m:oMath>
    </w:p>
    <w:p w:rsidR="004F47BB" w:rsidRPr="004F47BB" w:rsidRDefault="004F47BB" w:rsidP="004F47BB">
      <w:pPr>
        <w:overflowPunct w:val="0"/>
        <w:adjustRightInd w:val="0"/>
        <w:spacing w:line="240" w:lineRule="exact"/>
        <w:ind w:left="567" w:hanging="567"/>
        <w:jc w:val="left"/>
        <w:textAlignment w:val="baseline"/>
        <w:rPr>
          <w:szCs w:val="20"/>
        </w:rPr>
      </w:pPr>
    </w:p>
    <w:p w:rsidR="004F47BB" w:rsidRPr="004F47BB" w:rsidRDefault="004F47BB" w:rsidP="004F47BB">
      <w:pPr>
        <w:overflowPunct w:val="0"/>
        <w:adjustRightInd w:val="0"/>
        <w:ind w:left="567" w:hanging="567"/>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r>
        <w:br w:type="page"/>
      </w:r>
    </w:p>
    <w:p w:rsidR="004F47BB" w:rsidRPr="004F47BB" w:rsidRDefault="004F47BB" w:rsidP="004F47BB">
      <w:pPr>
        <w:spacing w:line="240" w:lineRule="atLeast"/>
        <w:ind w:left="567" w:hanging="567"/>
        <w:rPr>
          <w:rFonts w:cs="Arial"/>
          <w:color w:val="000000"/>
          <w:szCs w:val="20"/>
        </w:rPr>
      </w:pPr>
      <w:r>
        <w:rPr>
          <w:b/>
          <w:color w:val="000000"/>
        </w:rPr>
        <w:lastRenderedPageBreak/>
        <w:t>3.</w:t>
      </w:r>
      <w:r>
        <w:tab/>
      </w:r>
      <w:r>
        <w:rPr>
          <w:b/>
          <w:noProof/>
          <w:color w:val="000000"/>
        </w:rPr>
        <w:t xml:space="preserve">Valore limite secondo il punto 2.1, lettera a) o b), da raffrontare con </w:t>
      </w:r>
      <m:oMath>
        <m:sSub>
          <m:sSubPr>
            <m:ctrlPr>
              <w:rPr>
                <w:rFonts w:ascii="Cambria Math" w:hAnsi="Cambria Math"/>
                <w:i/>
                <w:noProof/>
              </w:rPr>
            </m:ctrlPr>
          </m:sSubPr>
          <m:e>
            <m:r>
              <m:rPr>
                <m:sty m:val="bi"/>
              </m:rPr>
              <w:rPr>
                <w:rFonts w:ascii="Cambria Math" w:hAnsi="Cambria Math" w:cs="Arial"/>
                <w:noProof/>
                <w:color w:val="000000"/>
                <w:szCs w:val="20"/>
              </w:rPr>
              <m:t>s</m:t>
            </m:r>
          </m:e>
          <m:sub>
            <m:r>
              <m:rPr>
                <m:sty m:val="bi"/>
              </m:rPr>
              <w:rPr>
                <w:rFonts w:ascii="Cambria Math" w:hAnsi="Cambria Math" w:cs="Arial"/>
                <w:noProof/>
                <w:color w:val="000000"/>
                <w:szCs w:val="20"/>
              </w:rPr>
              <m:t>NORM</m:t>
            </m:r>
          </m:sub>
        </m:sSub>
      </m:oMath>
    </w:p>
    <w:p w:rsidR="004F47BB" w:rsidRPr="004F47BB" w:rsidRDefault="004F47BB" w:rsidP="004F47BB">
      <w:pPr>
        <w:tabs>
          <w:tab w:val="left" w:pos="567"/>
        </w:tabs>
        <w:overflowPunct w:val="0"/>
        <w:adjustRightInd w:val="0"/>
        <w:ind w:left="284" w:hanging="284"/>
        <w:textAlignment w:val="baseline"/>
        <w:rPr>
          <w:szCs w:val="20"/>
        </w:rPr>
      </w:pPr>
    </w:p>
    <w:p w:rsidR="004F47BB" w:rsidRPr="004F47BB" w:rsidRDefault="004F47BB" w:rsidP="004F47BB">
      <w:pPr>
        <w:overflowPunct w:val="0"/>
        <w:adjustRightInd w:val="0"/>
        <w:spacing w:line="240" w:lineRule="exact"/>
        <w:ind w:left="567" w:firstLine="0"/>
        <w:textAlignment w:val="baseline"/>
        <w:rPr>
          <w:szCs w:val="20"/>
        </w:rPr>
      </w:pPr>
      <w:r>
        <w:t xml:space="preserve">Posto che </w:t>
      </w:r>
      <m:oMath>
        <m:r>
          <w:rPr>
            <w:rFonts w:ascii="Cambria Math" w:hAnsi="Cambria Math"/>
            <w:szCs w:val="20"/>
          </w:rPr>
          <m:t>B &gt; 11,45 m</m:t>
        </m:r>
      </m:oMath>
      <w:r>
        <w:t xml:space="preserve"> e posto che il convoglio è in acqua corrente, al convoglio in questione si applica il seguente valore, conformemente al punto 2.1, lettera a):</w:t>
      </w:r>
    </w:p>
    <w:p w:rsidR="004F47BB" w:rsidRPr="004F47BB" w:rsidRDefault="004F47BB" w:rsidP="004F47BB">
      <w:pPr>
        <w:tabs>
          <w:tab w:val="left" w:pos="567"/>
        </w:tabs>
        <w:overflowPunct w:val="0"/>
        <w:adjustRightInd w:val="0"/>
        <w:ind w:left="284" w:hanging="284"/>
        <w:textAlignment w:val="baseline"/>
        <w:rPr>
          <w:szCs w:val="20"/>
        </w:rPr>
      </w:pPr>
    </w:p>
    <w:p w:rsidR="004F47BB" w:rsidRPr="004F47BB" w:rsidRDefault="004F47BB" w:rsidP="004F47BB">
      <w:pPr>
        <w:tabs>
          <w:tab w:val="left" w:pos="567"/>
          <w:tab w:val="left" w:pos="3402"/>
        </w:tabs>
        <w:overflowPunct w:val="0"/>
        <w:adjustRightInd w:val="0"/>
        <w:spacing w:line="240" w:lineRule="atLeast"/>
        <w:ind w:left="567" w:firstLine="0"/>
        <w:textAlignment w:val="baseline"/>
        <w:rPr>
          <w:szCs w:val="20"/>
        </w:rPr>
      </w:pPr>
      <m:oMathPara>
        <m:oMath>
          <m:r>
            <w:rPr>
              <w:rFonts w:ascii="Cambria Math" w:hAnsi="Cambria Math"/>
              <w:szCs w:val="20"/>
            </w:rPr>
            <m:t>s</m:t>
          </m:r>
          <m:r>
            <w:rPr>
              <w:rFonts w:ascii="Cambria Math" w:hAnsi="Cambria Math"/>
              <w:position w:val="-6"/>
              <w:sz w:val="16"/>
              <w:szCs w:val="20"/>
            </w:rPr>
            <m:t>NORM</m:t>
          </m:r>
          <m:r>
            <w:rPr>
              <w:rFonts w:ascii="Cambria Math" w:hAnsi="Cambria Math"/>
              <w:szCs w:val="20"/>
            </w:rPr>
            <m:t xml:space="preserve"> </m:t>
          </m:r>
          <m:r>
            <w:rPr>
              <w:rFonts w:ascii="Cambria Math" w:hAnsi="Cambria Math"/>
              <w:i/>
              <w:szCs w:val="20"/>
            </w:rPr>
            <w:sym w:font="Symbol" w:char="F0A3"/>
          </m:r>
          <m:r>
            <w:rPr>
              <w:rFonts w:ascii="Cambria Math" w:hAnsi="Cambria Math"/>
              <w:szCs w:val="20"/>
            </w:rPr>
            <m:t xml:space="preserve"> 550 m</m:t>
          </m:r>
        </m:oMath>
      </m:oMathPara>
    </w:p>
    <w:p w:rsidR="004F47BB" w:rsidRPr="004F47BB" w:rsidRDefault="004F47BB" w:rsidP="004F47BB">
      <w:pPr>
        <w:tabs>
          <w:tab w:val="left" w:pos="454"/>
          <w:tab w:val="left" w:pos="567"/>
        </w:tabs>
        <w:overflowPunct w:val="0"/>
        <w:adjustRightInd w:val="0"/>
        <w:spacing w:line="240" w:lineRule="exact"/>
        <w:ind w:left="284" w:hanging="284"/>
        <w:textAlignment w:val="baseline"/>
        <w:rPr>
          <w:szCs w:val="20"/>
        </w:rPr>
      </w:pPr>
    </w:p>
    <w:p w:rsidR="004F47BB" w:rsidRPr="004F47BB" w:rsidRDefault="004F47BB" w:rsidP="004F47BB">
      <w:pPr>
        <w:spacing w:line="240" w:lineRule="atLeast"/>
        <w:ind w:left="567" w:hanging="567"/>
        <w:rPr>
          <w:rFonts w:cs="Arial"/>
          <w:b/>
          <w:color w:val="000000"/>
          <w:szCs w:val="20"/>
        </w:rPr>
      </w:pPr>
      <w:r>
        <w:rPr>
          <w:b/>
          <w:color w:val="000000"/>
        </w:rPr>
        <w:t>4.</w:t>
      </w:r>
      <w:r>
        <w:tab/>
      </w:r>
      <w:r>
        <w:rPr>
          <w:b/>
          <w:color w:val="000000"/>
        </w:rPr>
        <w:t>Calcolo della distanza di arresto rettificata rispetto a condizioni normali</w:t>
      </w:r>
    </w:p>
    <w:p w:rsidR="004F47BB" w:rsidRPr="004F47BB" w:rsidRDefault="004F47BB" w:rsidP="004F47BB">
      <w:pPr>
        <w:tabs>
          <w:tab w:val="left" w:pos="284"/>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567"/>
        </w:tabs>
        <w:overflowPunct w:val="0"/>
        <w:adjustRightInd w:val="0"/>
        <w:spacing w:line="240" w:lineRule="exact"/>
        <w:ind w:left="992"/>
        <w:jc w:val="left"/>
        <w:textAlignment w:val="baseline"/>
        <w:rPr>
          <w:szCs w:val="20"/>
        </w:rPr>
      </w:pPr>
      <w:r>
        <w:t>-</w:t>
      </w:r>
      <w:r>
        <w:tab/>
        <w:t xml:space="preserve">Valore </w:t>
      </w:r>
      <w:r>
        <w:rPr>
          <w:b/>
        </w:rPr>
        <w:t xml:space="preserve">misurato </w:t>
      </w:r>
      <w:r>
        <w:t>secondo l'allegato 1 (cfr. paragrafo 2)</w:t>
      </w:r>
    </w:p>
    <w:p w:rsidR="004F47BB" w:rsidRPr="004F47BB" w:rsidRDefault="004F47BB" w:rsidP="004F47BB">
      <w:pPr>
        <w:tabs>
          <w:tab w:val="left" w:pos="284"/>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454"/>
          <w:tab w:val="left" w:pos="3402"/>
        </w:tabs>
        <w:overflowPunct w:val="0"/>
        <w:adjustRightInd w:val="0"/>
        <w:spacing w:line="240" w:lineRule="atLeast"/>
        <w:ind w:left="454" w:hanging="454"/>
        <w:textAlignment w:val="baseline"/>
        <w:rPr>
          <w:szCs w:val="20"/>
        </w:rPr>
      </w:pPr>
      <w:r>
        <w:tab/>
      </w:r>
      <w:r>
        <w:tab/>
      </w:r>
      <m:oMath>
        <m:r>
          <w:rPr>
            <w:rFonts w:ascii="Cambria Math" w:hAnsi="Cambria Math"/>
            <w:szCs w:val="20"/>
          </w:rPr>
          <m:t>s</m:t>
        </m:r>
        <m:r>
          <w:rPr>
            <w:rFonts w:ascii="Cambria Math" w:hAnsi="Cambria Math"/>
            <w:position w:val="-6"/>
            <w:sz w:val="16"/>
            <w:szCs w:val="20"/>
          </w:rPr>
          <m:t>MESSUNG</m:t>
        </m:r>
        <m:r>
          <w:rPr>
            <w:rFonts w:ascii="Cambria Math" w:hAnsi="Cambria Math"/>
            <w:szCs w:val="20"/>
          </w:rPr>
          <m:t xml:space="preserve"> = 340 m</m:t>
        </m:r>
      </m:oMath>
    </w:p>
    <w:p w:rsidR="004F47BB" w:rsidRPr="004F47BB" w:rsidRDefault="004F47BB" w:rsidP="004F47BB">
      <w:pPr>
        <w:tabs>
          <w:tab w:val="left" w:pos="284"/>
          <w:tab w:val="left" w:pos="567"/>
        </w:tabs>
        <w:overflowPunct w:val="0"/>
        <w:adjustRightInd w:val="0"/>
        <w:spacing w:line="240" w:lineRule="atLeast"/>
        <w:ind w:left="992"/>
        <w:jc w:val="left"/>
        <w:textAlignment w:val="baseline"/>
        <w:rPr>
          <w:b/>
          <w:szCs w:val="20"/>
        </w:rPr>
      </w:pPr>
      <w:r>
        <w:rPr>
          <w:b/>
        </w:rPr>
        <w:t>-</w:t>
      </w:r>
      <w:r>
        <w:tab/>
      </w:r>
      <w:r>
        <w:rPr>
          <w:b/>
        </w:rPr>
        <w:t>da calcolare:</w:t>
      </w: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624017" w:rsidP="004F47BB">
      <w:pPr>
        <w:tabs>
          <w:tab w:val="left" w:pos="3402"/>
        </w:tabs>
        <w:overflowPunct w:val="0"/>
        <w:adjustRightInd w:val="0"/>
        <w:spacing w:line="240" w:lineRule="exact"/>
        <w:ind w:left="1417"/>
        <w:jc w:val="left"/>
        <w:textAlignment w:val="baseline"/>
        <w:rPr>
          <w:szCs w:val="20"/>
        </w:rPr>
      </w:pPr>
      <m:oMath>
        <m:sSub>
          <m:sSubPr>
            <m:ctrlPr>
              <w:rPr>
                <w:rFonts w:ascii="Cambria Math" w:hAnsi="Cambria Math"/>
                <w:i/>
                <w:noProof/>
              </w:rPr>
            </m:ctrlPr>
          </m:sSubPr>
          <m:e>
            <m:r>
              <w:rPr>
                <w:rFonts w:ascii="Cambria Math" w:hAnsi="Cambria Math"/>
                <w:noProof/>
              </w:rPr>
              <m:t>s</m:t>
            </m:r>
          </m:e>
          <m:sub>
            <m:r>
              <w:rPr>
                <w:rFonts w:ascii="Cambria Math" w:hAnsi="Cambria Math"/>
                <w:noProof/>
              </w:rPr>
              <m:t>IST</m:t>
            </m:r>
          </m:sub>
        </m:sSub>
      </m:oMath>
      <w:r w:rsidR="00801F1F">
        <w:t xml:space="preserve"> come somma di</w:t>
      </w:r>
    </w:p>
    <w:p w:rsidR="004F47BB" w:rsidRPr="004F47BB" w:rsidRDefault="004F47BB" w:rsidP="004F47BB">
      <w:pPr>
        <w:tabs>
          <w:tab w:val="left" w:pos="567"/>
          <w:tab w:val="left" w:pos="3402"/>
        </w:tabs>
        <w:overflowPunct w:val="0"/>
        <w:adjustRightInd w:val="0"/>
        <w:spacing w:line="240" w:lineRule="exact"/>
        <w:ind w:left="1417"/>
        <w:jc w:val="left"/>
        <w:textAlignment w:val="baseline"/>
        <w:rPr>
          <w:szCs w:val="20"/>
        </w:rPr>
      </w:pPr>
    </w:p>
    <w:p w:rsidR="004F47BB" w:rsidRPr="004F47BB" w:rsidRDefault="00624017" w:rsidP="004F47BB">
      <w:pPr>
        <w:tabs>
          <w:tab w:val="left" w:pos="3402"/>
        </w:tabs>
        <w:overflowPunct w:val="0"/>
        <w:adjustRightInd w:val="0"/>
        <w:spacing w:line="240" w:lineRule="atLeast"/>
        <w:ind w:left="3402" w:hanging="2410"/>
        <w:jc w:val="left"/>
        <w:textAlignment w:val="baseline"/>
        <w:rPr>
          <w:szCs w:val="20"/>
        </w:rPr>
      </w:p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oMath>
      <w:r w:rsidR="00801F1F">
        <w:tab/>
        <w:t xml:space="preserve">(secondo la formula 4.1 dell'allegato 2 con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L</m:t>
                </m:r>
              </m:sub>
            </m:sSub>
          </m:e>
          <m:sub>
            <m:r>
              <w:rPr>
                <w:rFonts w:ascii="Cambria Math" w:hAnsi="Cambria Math"/>
                <w:noProof/>
              </w:rPr>
              <m:t>IST</m:t>
            </m:r>
          </m:sub>
        </m:sSub>
      </m:oMath>
      <w:r w:rsidR="00801F1F">
        <w:t>)</w:t>
      </w:r>
    </w:p>
    <w:p w:rsidR="004F47BB" w:rsidRPr="004F47BB" w:rsidRDefault="004F47BB" w:rsidP="004F47BB">
      <w:pPr>
        <w:tabs>
          <w:tab w:val="left" w:pos="567"/>
          <w:tab w:val="left" w:pos="3402"/>
          <w:tab w:val="left" w:pos="3544"/>
        </w:tabs>
        <w:overflowPunct w:val="0"/>
        <w:adjustRightInd w:val="0"/>
        <w:spacing w:line="240" w:lineRule="atLeast"/>
        <w:ind w:left="1417"/>
        <w:jc w:val="left"/>
        <w:textAlignment w:val="baseline"/>
        <w:rPr>
          <w:szCs w:val="20"/>
        </w:rPr>
      </w:pPr>
    </w:p>
    <w:p w:rsidR="004F47BB" w:rsidRPr="004F47BB" w:rsidRDefault="004F47BB" w:rsidP="004F47BB">
      <w:pPr>
        <w:tabs>
          <w:tab w:val="left" w:pos="3402"/>
        </w:tabs>
        <w:overflowPunct w:val="0"/>
        <w:adjustRightInd w:val="0"/>
        <w:spacing w:line="240" w:lineRule="atLeast"/>
        <w:ind w:left="3402" w:hanging="2410"/>
        <w:textAlignment w:val="baseline"/>
        <w:rPr>
          <w:szCs w:val="20"/>
        </w:rPr>
      </w:pPr>
      <w:r>
        <w:t xml:space="preserve">e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r>
        <w:tab/>
        <w:t xml:space="preserve">(secondo le formule 4.2, 4.3, 4.4, 4.5 e 4.6 dell'allegato 2 con velocità effettive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II</m:t>
                </m:r>
              </m:sub>
            </m:sSub>
          </m:e>
          <m:sub>
            <m:r>
              <w:rPr>
                <w:rFonts w:ascii="Cambria Math" w:hAnsi="Cambria Math"/>
                <w:noProof/>
              </w:rPr>
              <m:t>IST</m:t>
            </m:r>
          </m:sub>
        </m:sSub>
      </m:oMath>
      <w:r>
        <w:t xml:space="preserve">,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STR</m:t>
                </m:r>
              </m:sub>
            </m:sSub>
          </m:e>
          <m:sub>
            <m:r>
              <w:rPr>
                <w:rFonts w:ascii="Cambria Math" w:hAnsi="Cambria Math"/>
                <w:noProof/>
              </w:rPr>
              <m:t>IST</m:t>
            </m:r>
          </m:sub>
        </m:sSub>
      </m:oMath>
      <w:r>
        <w:t xml:space="preserve">, </w:t>
      </w:r>
      <m:oMath>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oMath>
      <w:r>
        <w:t>)</w:t>
      </w:r>
    </w:p>
    <w:p w:rsidR="004F47BB" w:rsidRPr="004F47BB" w:rsidRDefault="004F47BB" w:rsidP="004F47BB">
      <w:pPr>
        <w:tabs>
          <w:tab w:val="left" w:pos="454"/>
          <w:tab w:val="left" w:pos="3402"/>
        </w:tabs>
        <w:overflowPunct w:val="0"/>
        <w:adjustRightInd w:val="0"/>
        <w:spacing w:line="240" w:lineRule="atLeast"/>
        <w:ind w:left="1417"/>
        <w:jc w:val="left"/>
        <w:textAlignment w:val="baseline"/>
        <w:rPr>
          <w:szCs w:val="20"/>
        </w:rPr>
      </w:pPr>
    </w:p>
    <w:p w:rsidR="004F47BB" w:rsidRPr="004F47BB" w:rsidRDefault="00624017" w:rsidP="004F47BB">
      <w:pPr>
        <w:tabs>
          <w:tab w:val="left" w:pos="567"/>
          <w:tab w:val="left" w:pos="3402"/>
        </w:tabs>
        <w:overflowPunct w:val="0"/>
        <w:adjustRightInd w:val="0"/>
        <w:spacing w:line="240" w:lineRule="atLeast"/>
        <w:ind w:left="1417"/>
        <w:jc w:val="left"/>
        <w:textAlignment w:val="baseline"/>
        <w:rPr>
          <w:szCs w:val="20"/>
        </w:rPr>
      </w:pPr>
      <m:oMath>
        <m:sSub>
          <m:sSubPr>
            <m:ctrlPr>
              <w:rPr>
                <w:rFonts w:ascii="Cambria Math" w:hAnsi="Cambria Math"/>
                <w:i/>
                <w:noProof/>
              </w:rPr>
            </m:ctrlPr>
          </m:sSubPr>
          <m:e>
            <m:r>
              <w:rPr>
                <w:rFonts w:ascii="Cambria Math" w:hAnsi="Cambria Math"/>
                <w:noProof/>
              </w:rPr>
              <m:t>s</m:t>
            </m:r>
          </m:e>
          <m:sub>
            <m:r>
              <w:rPr>
                <w:rFonts w:ascii="Cambria Math" w:hAnsi="Cambria Math"/>
                <w:noProof/>
              </w:rPr>
              <m:t>SOLL</m:t>
            </m:r>
          </m:sub>
        </m:sSub>
      </m:oMath>
      <w:r w:rsidR="00801F1F">
        <w:t xml:space="preserve"> come somma di</w:t>
      </w:r>
    </w:p>
    <w:p w:rsidR="004F47BB" w:rsidRPr="004F47BB" w:rsidRDefault="004F47BB" w:rsidP="004F47BB">
      <w:pPr>
        <w:tabs>
          <w:tab w:val="left" w:pos="567"/>
          <w:tab w:val="left" w:pos="3402"/>
        </w:tabs>
        <w:overflowPunct w:val="0"/>
        <w:adjustRightInd w:val="0"/>
        <w:spacing w:line="240" w:lineRule="atLeast"/>
        <w:ind w:left="1417"/>
        <w:jc w:val="left"/>
        <w:textAlignment w:val="baseline"/>
        <w:rPr>
          <w:szCs w:val="20"/>
        </w:rPr>
      </w:pPr>
    </w:p>
    <w:p w:rsidR="004F47BB" w:rsidRPr="004F47BB" w:rsidRDefault="00624017" w:rsidP="004F47BB">
      <w:pPr>
        <w:tabs>
          <w:tab w:val="left" w:pos="567"/>
          <w:tab w:val="left" w:pos="3402"/>
          <w:tab w:val="left" w:pos="3544"/>
        </w:tabs>
        <w:overflowPunct w:val="0"/>
        <w:adjustRightInd w:val="0"/>
        <w:spacing w:line="240" w:lineRule="atLeast"/>
        <w:ind w:left="1417"/>
        <w:jc w:val="left"/>
        <w:textAlignment w:val="baseline"/>
        <w:rPr>
          <w:szCs w:val="20"/>
        </w:rPr>
      </w:p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SOLL</m:t>
            </m:r>
          </m:sub>
        </m:sSub>
      </m:oMath>
      <w:r w:rsidR="00801F1F">
        <w:t xml:space="preserve"> </w:t>
      </w:r>
      <w:r w:rsidR="00801F1F">
        <w:tab/>
        <w:t xml:space="preserve">(secondo la formula 4.1 dell'allegato 2 con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L</m:t>
                </m:r>
              </m:sub>
            </m:sSub>
          </m:e>
          <m:sub>
            <m:r>
              <w:rPr>
                <w:rFonts w:ascii="Cambria Math" w:hAnsi="Cambria Math"/>
                <w:noProof/>
              </w:rPr>
              <m:t>SOLL</m:t>
            </m:r>
          </m:sub>
        </m:sSub>
      </m:oMath>
      <w:r w:rsidR="00801F1F">
        <w:t>)</w:t>
      </w:r>
    </w:p>
    <w:p w:rsidR="004F47BB" w:rsidRPr="004F47BB" w:rsidRDefault="004F47BB" w:rsidP="004F47BB">
      <w:pPr>
        <w:tabs>
          <w:tab w:val="left" w:pos="567"/>
          <w:tab w:val="left" w:pos="3402"/>
        </w:tabs>
        <w:overflowPunct w:val="0"/>
        <w:adjustRightInd w:val="0"/>
        <w:spacing w:line="240" w:lineRule="atLeast"/>
        <w:ind w:left="1417"/>
        <w:jc w:val="left"/>
        <w:textAlignment w:val="baseline"/>
        <w:rPr>
          <w:szCs w:val="20"/>
        </w:rPr>
      </w:pPr>
    </w:p>
    <w:p w:rsidR="004F47BB" w:rsidRPr="004F47BB" w:rsidRDefault="00624017" w:rsidP="004F47BB">
      <w:pPr>
        <w:tabs>
          <w:tab w:val="left" w:pos="567"/>
          <w:tab w:val="left" w:pos="3402"/>
          <w:tab w:val="left" w:pos="3544"/>
        </w:tabs>
        <w:overflowPunct w:val="0"/>
        <w:adjustRightInd w:val="0"/>
        <w:spacing w:line="240" w:lineRule="atLeast"/>
        <w:ind w:left="3402" w:hanging="2410"/>
        <w:textAlignment w:val="baseline"/>
        <w:rPr>
          <w:szCs w:val="20"/>
        </w:rPr>
      </w:p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SOLL</m:t>
            </m:r>
          </m:sub>
        </m:sSub>
      </m:oMath>
      <w:r w:rsidR="00801F1F">
        <w:tab/>
        <w:t xml:space="preserve">[secondo le formule da 4.2 a 4.6 dell'allegato 2 con le velocità di riferimento conformemente al punto 2.1 dell'istruzione e tenuto conto che la condizione di carico è superiore al 70 % della portata lorda (≈ 80 %): </w:t>
      </w:r>
      <m:oMath>
        <m:sSub>
          <m:sSubPr>
            <m:ctrlPr>
              <w:rPr>
                <w:rFonts w:ascii="Cambria Math" w:hAnsi="Cambria Math"/>
                <w:i/>
                <w:noProof/>
              </w:rPr>
            </m:ctrlPr>
          </m:sSubPr>
          <m:e>
            <m:r>
              <w:rPr>
                <w:rFonts w:ascii="Cambria Math" w:hAnsi="Cambria Math"/>
                <w:noProof/>
              </w:rPr>
              <m:t>D</m:t>
            </m:r>
          </m:e>
          <m:sub>
            <m:r>
              <w:rPr>
                <w:rFonts w:ascii="Cambria Math" w:hAnsi="Cambria Math"/>
                <w:noProof/>
              </w:rPr>
              <m:t>SOLL</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oMath>
      <w:r w:rsidR="00801F1F">
        <w:t xml:space="preserve"> e </w:t>
      </w:r>
      <m:oMath>
        <m:sSub>
          <m:sSubPr>
            <m:ctrlPr>
              <w:rPr>
                <w:rFonts w:ascii="Cambria Math" w:hAnsi="Cambria Math"/>
                <w:i/>
                <w:noProof/>
              </w:rPr>
            </m:ctrlPr>
          </m:sSubPr>
          <m:e>
            <m:r>
              <w:rPr>
                <w:rFonts w:ascii="Cambria Math" w:hAnsi="Cambria Math"/>
                <w:noProof/>
              </w:rPr>
              <m:t>T</m:t>
            </m:r>
          </m:e>
          <m:sub>
            <m:r>
              <w:rPr>
                <w:rFonts w:ascii="Cambria Math" w:hAnsi="Cambria Math"/>
                <w:noProof/>
              </w:rPr>
              <m:t>SOLL</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T</m:t>
            </m:r>
          </m:e>
          <m:sub>
            <m:r>
              <w:rPr>
                <w:rFonts w:ascii="Cambria Math" w:hAnsi="Cambria Math"/>
                <w:noProof/>
              </w:rPr>
              <m:t>IST</m:t>
            </m:r>
          </m:sub>
        </m:sSub>
      </m:oMath>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284"/>
        </w:tabs>
        <w:overflowPunct w:val="0"/>
        <w:adjustRightInd w:val="0"/>
        <w:spacing w:line="240" w:lineRule="exact"/>
        <w:ind w:left="992"/>
        <w:jc w:val="left"/>
        <w:textAlignment w:val="baseline"/>
        <w:rPr>
          <w:szCs w:val="20"/>
        </w:rPr>
      </w:pPr>
      <w:r>
        <w:t>-</w:t>
      </w:r>
      <w:r>
        <w:tab/>
      </w:r>
      <w:r>
        <w:rPr>
          <w:b/>
        </w:rPr>
        <w:t>da verificare:</w:t>
      </w: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624017" w:rsidP="004F47BB">
      <w:pPr>
        <w:tabs>
          <w:tab w:val="left" w:pos="454"/>
        </w:tabs>
        <w:overflowPunct w:val="0"/>
        <w:adjustRightInd w:val="0"/>
        <w:spacing w:line="240" w:lineRule="atLeast"/>
        <w:ind w:left="454" w:hanging="454"/>
        <w:jc w:val="left"/>
        <w:textAlignment w:val="baseline"/>
        <w:rPr>
          <w:szCs w:val="20"/>
        </w:rPr>
      </w:pPr>
      <m:oMathPara>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rPr>
            <m:t xml:space="preserve"> ≤550 m</m:t>
          </m:r>
        </m:oMath>
      </m:oMathPara>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spacing w:line="240" w:lineRule="atLeast"/>
        <w:ind w:left="567" w:hanging="567"/>
        <w:rPr>
          <w:rFonts w:cs="Arial"/>
          <w:b/>
          <w:color w:val="000000"/>
          <w:szCs w:val="20"/>
        </w:rPr>
      </w:pPr>
      <w:r>
        <w:br w:type="page"/>
      </w:r>
      <w:r>
        <w:rPr>
          <w:b/>
          <w:color w:val="000000"/>
        </w:rPr>
        <w:lastRenderedPageBreak/>
        <w:t>4.1</w:t>
      </w:r>
      <w:r>
        <w:tab/>
      </w:r>
      <w:r>
        <w:rPr>
          <w:b/>
          <w:color w:val="000000"/>
        </w:rPr>
        <w:t>Coefficienti di calcolo desunti dall'allegato 2</w:t>
      </w:r>
    </w:p>
    <w:p w:rsidR="004F47BB" w:rsidRPr="004F47BB" w:rsidRDefault="004F47BB" w:rsidP="004F47BB">
      <w:pPr>
        <w:tabs>
          <w:tab w:val="left" w:pos="0"/>
        </w:tabs>
        <w:overflowPunct w:val="0"/>
        <w:adjustRightInd w:val="0"/>
        <w:spacing w:line="240" w:lineRule="exact"/>
        <w:ind w:left="567" w:firstLine="0"/>
        <w:jc w:val="left"/>
        <w:textAlignment w:val="baseline"/>
        <w:rPr>
          <w:szCs w:val="20"/>
        </w:rPr>
      </w:pPr>
    </w:p>
    <w:p w:rsidR="004F47BB" w:rsidRPr="004F47BB" w:rsidRDefault="004F47BB" w:rsidP="004F47BB">
      <w:pPr>
        <w:overflowPunct w:val="0"/>
        <w:adjustRightInd w:val="0"/>
        <w:spacing w:line="240" w:lineRule="exact"/>
        <w:ind w:left="567" w:firstLine="0"/>
        <w:jc w:val="left"/>
        <w:textAlignment w:val="baseline"/>
        <w:rPr>
          <w:szCs w:val="20"/>
        </w:rPr>
      </w:pPr>
      <w:r>
        <w:t>Tabella 1</w:t>
      </w:r>
    </w:p>
    <w:p w:rsidR="004F47BB" w:rsidRPr="004F47BB" w:rsidRDefault="004F47BB" w:rsidP="004F47BB">
      <w:pPr>
        <w:tabs>
          <w:tab w:val="left" w:pos="0"/>
        </w:tabs>
        <w:overflowPunct w:val="0"/>
        <w:adjustRightInd w:val="0"/>
        <w:spacing w:line="240" w:lineRule="exact"/>
        <w:ind w:left="567" w:firstLine="0"/>
        <w:jc w:val="left"/>
        <w:textAlignment w:val="baseline"/>
        <w:rPr>
          <w:szCs w:val="20"/>
        </w:rPr>
      </w:pPr>
    </w:p>
    <w:p w:rsidR="004F47BB" w:rsidRPr="004F47BB" w:rsidRDefault="004F47BB" w:rsidP="004F47BB">
      <w:pPr>
        <w:tabs>
          <w:tab w:val="left" w:pos="2694"/>
          <w:tab w:val="left" w:pos="3119"/>
          <w:tab w:val="left" w:pos="3544"/>
        </w:tabs>
        <w:overflowPunct w:val="0"/>
        <w:adjustRightInd w:val="0"/>
        <w:spacing w:line="240" w:lineRule="atLeast"/>
        <w:ind w:left="567" w:firstLine="0"/>
        <w:jc w:val="left"/>
        <w:textAlignment w:val="baseline"/>
        <w:rPr>
          <w:szCs w:val="20"/>
        </w:rPr>
      </w:pPr>
      <w:r>
        <w:t xml:space="preserve">per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oMath>
      <w:r>
        <w:t xml:space="preserve"> e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SOLL</m:t>
            </m:r>
          </m:sub>
        </m:sSub>
      </m:oMath>
      <w:r>
        <w:t xml:space="preserve"> </w:t>
      </w:r>
      <w:r>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1</m:t>
            </m:r>
          </m:sub>
        </m:sSub>
        <m:r>
          <w:rPr>
            <w:rFonts w:ascii="Cambria Math" w:hAnsi="Cambria Math"/>
            <w:szCs w:val="20"/>
          </w:rPr>
          <m:t xml:space="preserve"> </m:t>
        </m:r>
      </m:oMath>
      <w:r>
        <w:tab/>
        <w:t>=</w:t>
      </w:r>
      <w:r>
        <w:tab/>
        <w:t>0,95</w:t>
      </w:r>
    </w:p>
    <w:p w:rsidR="004F47BB" w:rsidRPr="004F47BB" w:rsidRDefault="004F47BB" w:rsidP="004F47BB">
      <w:pPr>
        <w:overflowPunct w:val="0"/>
        <w:adjustRightInd w:val="0"/>
        <w:spacing w:line="240" w:lineRule="atLeast"/>
        <w:ind w:left="567" w:firstLine="0"/>
        <w:jc w:val="left"/>
        <w:textAlignment w:val="baseline"/>
        <w:rPr>
          <w:szCs w:val="20"/>
        </w:rPr>
      </w:pPr>
    </w:p>
    <w:p w:rsidR="004F47BB" w:rsidRPr="004F47BB" w:rsidRDefault="004F47BB" w:rsidP="004F47BB">
      <w:pPr>
        <w:tabs>
          <w:tab w:val="left" w:pos="851"/>
          <w:tab w:val="left" w:pos="2127"/>
          <w:tab w:val="left" w:pos="4111"/>
        </w:tabs>
        <w:overflowPunct w:val="0"/>
        <w:adjustRightInd w:val="0"/>
        <w:spacing w:line="240" w:lineRule="atLeast"/>
        <w:ind w:left="567" w:firstLine="0"/>
        <w:jc w:val="left"/>
        <w:textAlignment w:val="baseline"/>
        <w:rPr>
          <w:szCs w:val="20"/>
        </w:rPr>
      </w:pPr>
      <w:r>
        <w:t xml:space="preserve">per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r>
        <w:t xml:space="preserve"> e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SOLL</m:t>
            </m:r>
          </m:sub>
        </m:sSub>
      </m:oMath>
    </w:p>
    <w:p w:rsidR="004F47BB" w:rsidRPr="004F47BB" w:rsidRDefault="00624017" w:rsidP="004F47BB">
      <w:pPr>
        <w:tabs>
          <w:tab w:val="left" w:pos="284"/>
          <w:tab w:val="left" w:pos="2552"/>
          <w:tab w:val="left" w:pos="3119"/>
          <w:tab w:val="left" w:pos="3544"/>
          <w:tab w:val="left" w:pos="4395"/>
          <w:tab w:val="left" w:pos="7371"/>
        </w:tabs>
        <w:overflowPunct w:val="0"/>
        <w:adjustRightInd w:val="0"/>
        <w:spacing w:line="240" w:lineRule="exact"/>
        <w:ind w:left="2693" w:firstLine="0"/>
        <w:jc w:val="left"/>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2</m:t>
            </m:r>
          </m:sub>
        </m:sSub>
      </m:oMath>
      <w:r w:rsidR="00801F1F">
        <w:tab/>
        <w:t>=</w:t>
      </w:r>
      <w:r w:rsidR="00801F1F">
        <w:tab/>
        <w:t>0,12</w:t>
      </w:r>
    </w:p>
    <w:p w:rsidR="004F47BB" w:rsidRPr="004F47BB" w:rsidRDefault="00624017" w:rsidP="004F47BB">
      <w:pPr>
        <w:tabs>
          <w:tab w:val="left" w:pos="284"/>
          <w:tab w:val="left" w:pos="2552"/>
          <w:tab w:val="left" w:pos="3119"/>
          <w:tab w:val="left" w:pos="3544"/>
          <w:tab w:val="left" w:pos="4395"/>
          <w:tab w:val="left" w:pos="7371"/>
        </w:tabs>
        <w:overflowPunct w:val="0"/>
        <w:adjustRightInd w:val="0"/>
        <w:spacing w:line="240" w:lineRule="exact"/>
        <w:ind w:left="2693" w:firstLine="0"/>
        <w:jc w:val="left"/>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oMath>
      <w:r w:rsidR="00801F1F">
        <w:tab/>
        <w:t>=</w:t>
      </w:r>
      <w:r w:rsidR="00801F1F">
        <w:tab/>
        <w:t>1,15</w:t>
      </w:r>
    </w:p>
    <w:p w:rsidR="004F47BB" w:rsidRPr="004F47BB" w:rsidRDefault="00624017" w:rsidP="004F47BB">
      <w:pPr>
        <w:tabs>
          <w:tab w:val="left" w:pos="284"/>
          <w:tab w:val="left" w:pos="2552"/>
          <w:tab w:val="left" w:pos="3119"/>
          <w:tab w:val="left" w:pos="3544"/>
          <w:tab w:val="left" w:pos="4395"/>
          <w:tab w:val="left" w:pos="7371"/>
        </w:tabs>
        <w:overflowPunct w:val="0"/>
        <w:adjustRightInd w:val="0"/>
        <w:spacing w:line="240" w:lineRule="exact"/>
        <w:ind w:left="2693" w:firstLine="0"/>
        <w:jc w:val="left"/>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oMath>
      <w:r w:rsidR="00801F1F">
        <w:tab/>
        <w:t>=</w:t>
      </w:r>
      <w:r w:rsidR="00801F1F">
        <w:tab/>
        <w:t>0,48</w:t>
      </w:r>
    </w:p>
    <w:p w:rsidR="004F47BB" w:rsidRPr="004F47BB" w:rsidRDefault="00624017" w:rsidP="004F47BB">
      <w:pPr>
        <w:tabs>
          <w:tab w:val="left" w:pos="284"/>
          <w:tab w:val="left" w:pos="2552"/>
          <w:tab w:val="left" w:pos="3119"/>
          <w:tab w:val="left" w:pos="3544"/>
          <w:tab w:val="left" w:pos="4395"/>
          <w:tab w:val="left" w:pos="7371"/>
        </w:tabs>
        <w:overflowPunct w:val="0"/>
        <w:adjustRightInd w:val="0"/>
        <w:spacing w:line="240" w:lineRule="exact"/>
        <w:ind w:left="2693" w:firstLine="0"/>
        <w:jc w:val="left"/>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oMath>
      <w:r w:rsidR="00801F1F">
        <w:tab/>
        <w:t>=</w:t>
      </w:r>
      <w:r w:rsidR="00801F1F">
        <w:tab/>
        <w:t>0,85</w:t>
      </w:r>
    </w:p>
    <w:p w:rsidR="004F47BB" w:rsidRPr="004F47BB" w:rsidRDefault="00624017" w:rsidP="004F47BB">
      <w:pPr>
        <w:tabs>
          <w:tab w:val="left" w:pos="284"/>
          <w:tab w:val="left" w:pos="2552"/>
          <w:tab w:val="left" w:pos="3119"/>
          <w:tab w:val="left" w:pos="3544"/>
          <w:tab w:val="left" w:pos="4395"/>
          <w:tab w:val="left" w:pos="7371"/>
        </w:tabs>
        <w:overflowPunct w:val="0"/>
        <w:adjustRightInd w:val="0"/>
        <w:spacing w:line="240" w:lineRule="exact"/>
        <w:ind w:left="2693" w:firstLine="0"/>
        <w:jc w:val="left"/>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7</m:t>
            </m:r>
          </m:sub>
        </m:sSub>
      </m:oMath>
      <w:r w:rsidR="00801F1F">
        <w:tab/>
        <w:t>=</w:t>
      </w:r>
      <w:r w:rsidR="00801F1F">
        <w:tab/>
        <w:t>0,55</w:t>
      </w:r>
    </w:p>
    <w:p w:rsidR="004F47BB" w:rsidRPr="004F47BB" w:rsidRDefault="004F47BB" w:rsidP="004F47BB">
      <w:pPr>
        <w:tabs>
          <w:tab w:val="left" w:pos="0"/>
        </w:tabs>
        <w:overflowPunct w:val="0"/>
        <w:adjustRightInd w:val="0"/>
        <w:spacing w:line="240" w:lineRule="exact"/>
        <w:ind w:left="567" w:firstLine="0"/>
        <w:jc w:val="left"/>
        <w:textAlignment w:val="baseline"/>
        <w:rPr>
          <w:szCs w:val="20"/>
        </w:rPr>
      </w:pPr>
    </w:p>
    <w:p w:rsidR="004F47BB" w:rsidRPr="004F47BB" w:rsidRDefault="004F47BB" w:rsidP="004F47BB">
      <w:pPr>
        <w:overflowPunct w:val="0"/>
        <w:adjustRightInd w:val="0"/>
        <w:spacing w:line="240" w:lineRule="exact"/>
        <w:ind w:left="567" w:firstLine="0"/>
        <w:jc w:val="left"/>
        <w:textAlignment w:val="baseline"/>
        <w:rPr>
          <w:szCs w:val="20"/>
        </w:rPr>
      </w:pPr>
      <w:r>
        <w:t>Tabella 2 (per ugelli moderni con bordo posteriore smussato)</w:t>
      </w:r>
    </w:p>
    <w:p w:rsidR="004F47BB" w:rsidRPr="004F47BB" w:rsidRDefault="004F47BB" w:rsidP="004F47BB">
      <w:pPr>
        <w:tabs>
          <w:tab w:val="left" w:pos="0"/>
        </w:tabs>
        <w:overflowPunct w:val="0"/>
        <w:adjustRightInd w:val="0"/>
        <w:spacing w:line="240" w:lineRule="exact"/>
        <w:ind w:left="567" w:firstLine="0"/>
        <w:jc w:val="left"/>
        <w:textAlignment w:val="baseline"/>
        <w:rPr>
          <w:szCs w:val="20"/>
        </w:rPr>
      </w:pPr>
    </w:p>
    <w:p w:rsidR="004F47BB" w:rsidRPr="004F47BB" w:rsidRDefault="004F47BB" w:rsidP="004F47BB">
      <w:pPr>
        <w:overflowPunct w:val="0"/>
        <w:adjustRightInd w:val="0"/>
        <w:spacing w:line="240" w:lineRule="exact"/>
        <w:ind w:left="567" w:firstLine="0"/>
        <w:jc w:val="left"/>
        <w:textAlignment w:val="baseline"/>
        <w:rPr>
          <w:szCs w:val="20"/>
        </w:rPr>
      </w:pPr>
      <m:oMath>
        <m:r>
          <w:rPr>
            <w:rFonts w:ascii="Cambria Math" w:hAnsi="Cambria Math"/>
            <w:szCs w:val="20"/>
          </w:rPr>
          <m:t>f</m:t>
        </m:r>
      </m:oMath>
      <w:r>
        <w:t xml:space="preserve"> = 0,118</w:t>
      </w:r>
    </w:p>
    <w:p w:rsidR="004F47BB" w:rsidRPr="004F47BB" w:rsidRDefault="004F47BB" w:rsidP="004F47BB">
      <w:pPr>
        <w:tabs>
          <w:tab w:val="left" w:pos="0"/>
        </w:tabs>
        <w:overflowPunct w:val="0"/>
        <w:adjustRightInd w:val="0"/>
        <w:spacing w:line="240" w:lineRule="exact"/>
        <w:ind w:left="567" w:firstLine="0"/>
        <w:jc w:val="left"/>
        <w:textAlignment w:val="baseline"/>
        <w:rPr>
          <w:szCs w:val="20"/>
        </w:rPr>
      </w:pPr>
    </w:p>
    <w:p w:rsidR="004F47BB" w:rsidRPr="004F47BB" w:rsidRDefault="004F47BB" w:rsidP="004F47BB">
      <w:pPr>
        <w:tabs>
          <w:tab w:val="left" w:pos="0"/>
        </w:tabs>
        <w:overflowPunct w:val="0"/>
        <w:adjustRightInd w:val="0"/>
        <w:spacing w:line="240" w:lineRule="exact"/>
        <w:ind w:left="567" w:firstLine="0"/>
        <w:jc w:val="left"/>
        <w:textAlignment w:val="baseline"/>
        <w:rPr>
          <w:szCs w:val="20"/>
        </w:rPr>
      </w:pPr>
    </w:p>
    <w:p w:rsidR="004F47BB" w:rsidRPr="004F47BB" w:rsidRDefault="004F47BB" w:rsidP="004F47BB">
      <w:pPr>
        <w:spacing w:line="240" w:lineRule="atLeast"/>
        <w:ind w:left="567" w:hanging="567"/>
        <w:rPr>
          <w:rFonts w:cs="Arial"/>
          <w:b/>
          <w:color w:val="000000"/>
          <w:szCs w:val="20"/>
        </w:rPr>
      </w:pPr>
      <w:r>
        <w:rPr>
          <w:b/>
          <w:color w:val="000000"/>
        </w:rPr>
        <w:t>4.2</w:t>
      </w:r>
      <w:r>
        <w:tab/>
      </w:r>
      <w:r>
        <w:rPr>
          <w:b/>
          <w:noProof/>
          <w:color w:val="000000"/>
        </w:rPr>
        <w:t xml:space="preserve">calcolo di </w:t>
      </w:r>
      <m:oMath>
        <m:sSub>
          <m:sSubPr>
            <m:ctrlPr>
              <w:rPr>
                <w:rFonts w:ascii="Cambria Math" w:hAnsi="Cambria Math"/>
                <w:i/>
                <w:noProof/>
              </w:rPr>
            </m:ctrlPr>
          </m:sSubPr>
          <m:e>
            <m:r>
              <m:rPr>
                <m:sty m:val="bi"/>
              </m:rPr>
              <w:rPr>
                <w:rFonts w:ascii="Cambria Math" w:hAnsi="Cambria Math" w:cs="Arial"/>
                <w:noProof/>
                <w:color w:val="000000"/>
                <w:szCs w:val="20"/>
              </w:rPr>
              <m:t>s</m:t>
            </m:r>
          </m:e>
          <m:sub>
            <m:r>
              <m:rPr>
                <m:sty m:val="bi"/>
              </m:rPr>
              <w:rPr>
                <w:rFonts w:ascii="Cambria Math" w:hAnsi="Cambria Math" w:cs="Arial"/>
                <w:noProof/>
                <w:color w:val="000000"/>
                <w:szCs w:val="20"/>
              </w:rPr>
              <m:t>IST</m:t>
            </m:r>
          </m:sub>
        </m:sSub>
      </m:oMath>
    </w:p>
    <w:p w:rsidR="004F47BB" w:rsidRPr="004F47BB" w:rsidRDefault="004F47BB" w:rsidP="004F47BB">
      <w:pPr>
        <w:tabs>
          <w:tab w:val="left" w:pos="992"/>
        </w:tabs>
        <w:overflowPunct w:val="0"/>
        <w:adjustRightInd w:val="0"/>
        <w:spacing w:line="240" w:lineRule="atLeast"/>
        <w:ind w:left="992"/>
        <w:textAlignment w:val="baseline"/>
        <w:rPr>
          <w:szCs w:val="20"/>
        </w:rPr>
      </w:pPr>
    </w:p>
    <w:p w:rsidR="004F47BB" w:rsidRPr="004F47BB" w:rsidRDefault="004F47BB" w:rsidP="004F47BB">
      <w:pPr>
        <w:tabs>
          <w:tab w:val="left" w:pos="992"/>
        </w:tabs>
        <w:overflowPunct w:val="0"/>
        <w:adjustRightInd w:val="0"/>
        <w:spacing w:line="240" w:lineRule="atLeast"/>
        <w:ind w:left="992"/>
        <w:textAlignment w:val="baseline"/>
        <w:rPr>
          <w:szCs w:val="20"/>
        </w:rPr>
      </w:pPr>
      <w:r>
        <w:t>a)</w:t>
      </w:r>
      <w:r>
        <w:tab/>
      </w:r>
      <m:oMath>
        <m:sSub>
          <m:sSubPr>
            <m:ctrlPr>
              <w:rPr>
                <w:rFonts w:ascii="Cambria Math" w:hAnsi="Cambria Math" w:cs="Arial"/>
                <w:szCs w:val="20"/>
              </w:rPr>
            </m:ctrlPr>
          </m:sSubPr>
          <m:e>
            <m:sSub>
              <m:sSubPr>
                <m:ctrlPr>
                  <w:rPr>
                    <w:rFonts w:ascii="Cambria Math" w:hAnsi="Cambria Math" w:cs="Arial"/>
                    <w:szCs w:val="20"/>
                  </w:rPr>
                </m:ctrlPr>
              </m:sSubPr>
              <m:e>
                <m:r>
                  <m:rPr>
                    <m:sty m:val="p"/>
                  </m:rPr>
                  <w:rPr>
                    <w:rFonts w:ascii="Cambria Math" w:hAnsi="Cambria Math" w:cs="Arial"/>
                    <w:szCs w:val="20"/>
                  </w:rPr>
                  <m:t>s</m:t>
                </m:r>
              </m:e>
              <m:sub>
                <m:r>
                  <m:rPr>
                    <m:sty m:val="p"/>
                  </m:rPr>
                  <w:rPr>
                    <w:rFonts w:ascii="Cambria Math" w:hAnsi="Cambria Math" w:cs="Arial"/>
                    <w:szCs w:val="20"/>
                  </w:rPr>
                  <m:t>I</m:t>
                </m:r>
              </m:sub>
            </m:sSub>
          </m:e>
          <m:sub>
            <m:r>
              <m:rPr>
                <m:sty m:val="p"/>
              </m:rPr>
              <w:rPr>
                <w:rFonts w:ascii="Cambria Math" w:hAnsi="Cambria Math" w:cs="Arial"/>
                <w:szCs w:val="20"/>
              </w:rPr>
              <m:t>IST</m:t>
            </m:r>
          </m:sub>
        </m:sSub>
      </m:oMath>
      <w:r>
        <w:t xml:space="preserve"> con i valori misurati durante la manovra di arresto (formula 4.1)</w:t>
      </w:r>
    </w:p>
    <w:p w:rsidR="004F47BB" w:rsidRPr="004F47BB" w:rsidRDefault="00624017" w:rsidP="004F47BB">
      <w:pPr>
        <w:tabs>
          <w:tab w:val="left" w:pos="992"/>
          <w:tab w:val="left" w:pos="1560"/>
          <w:tab w:val="left" w:pos="1985"/>
        </w:tabs>
        <w:overflowPunct w:val="0"/>
        <w:adjustRightInd w:val="0"/>
        <w:spacing w:before="60" w:line="240" w:lineRule="atLeast"/>
        <w:ind w:left="992" w:firstLine="1"/>
        <w:textAlignment w:val="baseline"/>
        <w:rPr>
          <w:szCs w:val="20"/>
        </w:rPr>
      </w:p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k</m:t>
            </m:r>
          </m:e>
          <m:sub>
            <m:r>
              <w:rPr>
                <w:rFonts w:ascii="Cambria Math" w:hAnsi="Cambria Math"/>
                <w:noProof/>
              </w:rPr>
              <m:t>1</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L</m:t>
                </m:r>
              </m:e>
              <m:sub>
                <m:r>
                  <w:rPr>
                    <w:rFonts w:ascii="Cambria Math" w:hAnsi="Cambria Math"/>
                    <w:noProof/>
                  </w:rPr>
                  <m:t>IST</m:t>
                </m:r>
              </m:sub>
            </m:sSub>
            <m:r>
              <w:rPr>
                <w:rFonts w:ascii="Cambria Math" w:hAnsi="Cambria Math"/>
                <w:noProof/>
              </w:rPr>
              <m:t xml:space="preserve"> </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t</m:t>
            </m:r>
          </m:e>
          <m:sub>
            <m:sSub>
              <m:sSubPr>
                <m:ctrlPr>
                  <w:rPr>
                    <w:rFonts w:ascii="Cambria Math" w:hAnsi="Cambria Math"/>
                    <w:i/>
                    <w:noProof/>
                  </w:rPr>
                </m:ctrlPr>
              </m:sSubPr>
              <m:e>
                <m:r>
                  <w:rPr>
                    <w:rFonts w:ascii="Cambria Math" w:hAnsi="Cambria Math"/>
                    <w:noProof/>
                  </w:rPr>
                  <m:t>I</m:t>
                </m:r>
              </m:e>
              <m:sub>
                <m:r>
                  <w:rPr>
                    <w:rFonts w:ascii="Cambria Math" w:hAnsi="Cambria Math"/>
                    <w:noProof/>
                  </w:rPr>
                  <m:t>IST</m:t>
                </m:r>
              </m:sub>
            </m:sSub>
          </m:sub>
        </m:sSub>
      </m:oMath>
      <w:r w:rsidR="00801F1F">
        <w:t xml:space="preserve"> </w:t>
      </w:r>
    </w:p>
    <w:p w:rsidR="004F47BB" w:rsidRPr="004F47BB" w:rsidRDefault="00624017" w:rsidP="004F47BB">
      <w:pPr>
        <w:tabs>
          <w:tab w:val="left" w:pos="992"/>
          <w:tab w:val="left" w:pos="1560"/>
          <w:tab w:val="left" w:pos="1985"/>
        </w:tabs>
        <w:overflowPunct w:val="0"/>
        <w:adjustRightInd w:val="0"/>
        <w:spacing w:before="60" w:line="240" w:lineRule="atLeast"/>
        <w:ind w:left="992" w:firstLine="1"/>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r>
            <w:rPr>
              <w:rFonts w:ascii="Cambria Math" w:hAnsi="Cambria Math"/>
              <w:noProof/>
            </w:rPr>
            <m:t>=0,95 ∙4,9 ∙16=74,5 m</m:t>
          </m:r>
        </m:oMath>
      </m:oMathPara>
    </w:p>
    <w:p w:rsidR="004F47BB" w:rsidRPr="004F47BB" w:rsidRDefault="004F47BB" w:rsidP="004F47BB">
      <w:pPr>
        <w:tabs>
          <w:tab w:val="left" w:pos="992"/>
        </w:tabs>
        <w:overflowPunct w:val="0"/>
        <w:adjustRightInd w:val="0"/>
        <w:spacing w:line="240" w:lineRule="atLeast"/>
        <w:ind w:left="992"/>
        <w:textAlignment w:val="baseline"/>
        <w:rPr>
          <w:szCs w:val="20"/>
        </w:rPr>
      </w:pPr>
    </w:p>
    <w:p w:rsidR="004F47BB" w:rsidRPr="004F47BB" w:rsidRDefault="004F47BB" w:rsidP="004F47BB">
      <w:pPr>
        <w:tabs>
          <w:tab w:val="left" w:pos="992"/>
        </w:tabs>
        <w:overflowPunct w:val="0"/>
        <w:adjustRightInd w:val="0"/>
        <w:spacing w:line="240" w:lineRule="atLeast"/>
        <w:ind w:left="992"/>
        <w:textAlignment w:val="baseline"/>
        <w:rPr>
          <w:szCs w:val="20"/>
        </w:rPr>
      </w:pPr>
      <w:r>
        <w:t>b)</w:t>
      </w:r>
      <w:r>
        <w:tab/>
        <w:t xml:space="preserve">formula per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p>
    <w:p w:rsidR="004F47BB" w:rsidRPr="004F47BB" w:rsidRDefault="00624017" w:rsidP="004F47BB">
      <w:pPr>
        <w:tabs>
          <w:tab w:val="left" w:pos="992"/>
          <w:tab w:val="left" w:pos="1560"/>
          <w:tab w:val="left" w:pos="1985"/>
        </w:tabs>
        <w:overflowPunct w:val="0"/>
        <w:adjustRightInd w:val="0"/>
        <w:spacing w:before="60" w:line="240" w:lineRule="atLeast"/>
        <w:ind w:left="992" w:firstLine="1"/>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k</m:t>
              </m:r>
            </m:e>
            <m:sub>
              <m:r>
                <w:rPr>
                  <w:rFonts w:ascii="Cambria Math" w:hAnsi="Cambria Math"/>
                  <w:noProof/>
                </w:rPr>
                <m:t>2</m:t>
              </m:r>
            </m:sub>
          </m:sSub>
          <m:r>
            <w:rPr>
              <w:rFonts w:ascii="Cambria Math" w:hAnsi="Cambria Math"/>
              <w:noProof/>
            </w:rPr>
            <m:t xml:space="preserve"> ∙ </m:t>
          </m:r>
          <m:sSub>
            <m:sSubPr>
              <m:ctrlPr>
                <w:rPr>
                  <w:rFonts w:ascii="Cambria Math" w:hAnsi="Cambria Math"/>
                  <w:i/>
                  <w:noProof/>
                </w:rPr>
              </m:ctrlPr>
            </m:sSubPr>
            <m:e>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e>
            <m:sub>
              <m:sSub>
                <m:sSubPr>
                  <m:ctrlPr>
                    <w:rPr>
                      <w:rFonts w:ascii="Cambria Math" w:hAnsi="Cambria Math"/>
                      <w:i/>
                      <w:noProof/>
                    </w:rPr>
                  </m:ctrlPr>
                </m:sSubPr>
                <m:e>
                  <m:r>
                    <w:rPr>
                      <w:rFonts w:ascii="Cambria Math" w:hAnsi="Cambria Math"/>
                      <w:noProof/>
                    </w:rPr>
                    <m:t>II</m:t>
                  </m:r>
                </m:e>
                <m:sub>
                  <m:r>
                    <w:rPr>
                      <w:rFonts w:ascii="Cambria Math" w:hAnsi="Cambria Math"/>
                      <w:noProof/>
                    </w:rPr>
                    <m:t>IST</m:t>
                  </m:r>
                </m:sub>
              </m:sSub>
              <m:r>
                <w:rPr>
                  <w:rFonts w:ascii="Cambria Math" w:hAnsi="Cambria Math"/>
                  <w:noProof/>
                </w:rPr>
                <m:t xml:space="preserve"> </m:t>
              </m:r>
            </m:sub>
          </m:sSub>
          <m:r>
            <w:rPr>
              <w:rFonts w:ascii="Cambria Math" w:hAnsi="Cambria Math"/>
              <w:noProof/>
            </w:rPr>
            <m:t xml:space="preserve"> ∙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r>
                <w:rPr>
                  <w:rFonts w:ascii="Cambria Math" w:hAnsi="Cambria Math"/>
                  <w:noProof/>
                </w:rPr>
                <m:t xml:space="preserve"> ∙g</m:t>
              </m:r>
            </m:num>
            <m:den>
              <m:sSub>
                <m:sSubPr>
                  <m:ctrlPr>
                    <w:rPr>
                      <w:rFonts w:ascii="Cambria Math" w:hAnsi="Cambria Math"/>
                      <w:i/>
                      <w:noProof/>
                    </w:rPr>
                  </m:ctrlPr>
                </m:sSubPr>
                <m:e>
                  <m:r>
                    <w:rPr>
                      <w:rFonts w:ascii="Cambria Math" w:hAnsi="Cambria Math"/>
                      <w:noProof/>
                    </w:rPr>
                    <m:t>k</m:t>
                  </m:r>
                </m:e>
                <m:sub>
                  <m:r>
                    <w:rPr>
                      <w:rFonts w:ascii="Cambria Math" w:hAnsi="Cambria Math"/>
                      <w:noProof/>
                    </w:rPr>
                    <m:t>3</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F</m:t>
                  </m:r>
                </m:e>
                <m:sub>
                  <m:r>
                    <w:rPr>
                      <w:rFonts w:ascii="Cambria Math" w:hAnsi="Cambria Math"/>
                      <w:noProof/>
                    </w:rPr>
                    <m:t>POR</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R</m:t>
                  </m:r>
                </m:e>
                <m:sub>
                  <m:sSub>
                    <m:sSubPr>
                      <m:ctrlPr>
                        <w:rPr>
                          <w:rFonts w:ascii="Cambria Math" w:hAnsi="Cambria Math"/>
                          <w:i/>
                          <w:noProof/>
                        </w:rPr>
                      </m:ctrlPr>
                    </m:sSubPr>
                    <m:e>
                      <m:r>
                        <w:rPr>
                          <w:rFonts w:ascii="Cambria Math" w:hAnsi="Cambria Math"/>
                          <w:noProof/>
                        </w:rPr>
                        <m:t>TmII</m:t>
                      </m:r>
                    </m:e>
                    <m:sub>
                      <m:r>
                        <w:rPr>
                          <w:rFonts w:ascii="Cambria Math" w:hAnsi="Cambria Math"/>
                          <w:noProof/>
                        </w:rPr>
                        <m:t>IST</m:t>
                      </m:r>
                    </m:sub>
                  </m:sSub>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R</m:t>
                  </m:r>
                </m:e>
                <m:sub>
                  <m:r>
                    <w:rPr>
                      <w:rFonts w:ascii="Cambria Math" w:hAnsi="Cambria Math"/>
                      <w:noProof/>
                    </w:rPr>
                    <m:t>G</m:t>
                  </m:r>
                </m:sub>
              </m:sSub>
            </m:den>
          </m:f>
          <m:r>
            <w:rPr>
              <w:rFonts w:ascii="Cambria Math" w:hAnsi="Cambria Math"/>
              <w:noProof/>
            </w:rPr>
            <m:t xml:space="preserve"> ∙ </m:t>
          </m:r>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k</m:t>
                  </m:r>
                </m:e>
                <m:sub>
                  <m:r>
                    <w:rPr>
                      <w:rFonts w:ascii="Cambria Math" w:hAnsi="Cambria Math"/>
                      <w:noProof/>
                    </w:rPr>
                    <m:t>4</m:t>
                  </m:r>
                </m:sub>
              </m:sSub>
              <m:r>
                <w:rPr>
                  <w:rFonts w:ascii="Cambria Math" w:hAnsi="Cambria Math"/>
                  <w:noProof/>
                </w:rPr>
                <m:t xml:space="preserve"> +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IST</m:t>
                          </m:r>
                        </m:sub>
                      </m:sSub>
                    </m:sub>
                  </m:sSub>
                </m:num>
                <m:den>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II</m:t>
                          </m:r>
                        </m:e>
                        <m:sub>
                          <m:r>
                            <w:rPr>
                              <w:rFonts w:ascii="Cambria Math" w:hAnsi="Cambria Math"/>
                              <w:noProof/>
                            </w:rPr>
                            <m:t>IST</m:t>
                          </m:r>
                        </m:sub>
                      </m:sSub>
                    </m:sub>
                  </m:sSub>
                </m:den>
              </m:f>
            </m:e>
          </m:d>
        </m:oMath>
      </m:oMathPara>
    </w:p>
    <w:p w:rsidR="004F47BB" w:rsidRPr="004F47BB" w:rsidRDefault="004F47BB" w:rsidP="004F47BB">
      <w:pPr>
        <w:tabs>
          <w:tab w:val="left" w:pos="284"/>
        </w:tabs>
        <w:overflowPunct w:val="0"/>
        <w:adjustRightInd w:val="0"/>
        <w:spacing w:line="240" w:lineRule="atLeast"/>
        <w:ind w:left="284" w:hanging="284"/>
        <w:jc w:val="left"/>
        <w:textAlignment w:val="baseline"/>
        <w:rPr>
          <w:szCs w:val="20"/>
        </w:rPr>
      </w:pPr>
    </w:p>
    <w:p w:rsidR="004F47BB" w:rsidRPr="004F47BB" w:rsidRDefault="004F47BB" w:rsidP="004F47BB">
      <w:pPr>
        <w:tabs>
          <w:tab w:val="left" w:pos="992"/>
        </w:tabs>
        <w:overflowPunct w:val="0"/>
        <w:adjustRightInd w:val="0"/>
        <w:spacing w:line="240" w:lineRule="atLeast"/>
        <w:ind w:left="992"/>
        <w:jc w:val="left"/>
        <w:textAlignment w:val="baseline"/>
        <w:rPr>
          <w:szCs w:val="20"/>
        </w:rPr>
      </w:pPr>
      <w:r>
        <w:t>c)</w:t>
      </w:r>
      <w:r>
        <w:tab/>
        <w:t xml:space="preserve">calcolo di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IST</m:t>
            </m:r>
          </m:sub>
        </m:sSub>
      </m:oMath>
      <w:r>
        <w:t xml:space="preserve"> secondo la tabella 3 e la formula 4.3 dell'allegato 2</w:t>
      </w:r>
    </w:p>
    <w:p w:rsidR="004F47BB" w:rsidRPr="004F47BB" w:rsidRDefault="00624017" w:rsidP="004F47BB">
      <w:pPr>
        <w:tabs>
          <w:tab w:val="left" w:pos="992"/>
        </w:tabs>
        <w:overflowPunct w:val="0"/>
        <w:adjustRightInd w:val="0"/>
        <w:spacing w:before="120" w:line="240" w:lineRule="atLeast"/>
        <w:ind w:left="992" w:firstLine="1"/>
        <w:textAlignment w:val="baseline"/>
        <w:rPr>
          <w:szCs w:val="20"/>
        </w:rPr>
      </w:pPr>
      <m:oMathPara>
        <m:oMathParaPr>
          <m:jc m:val="left"/>
        </m:oMathParaPr>
        <m:oMath>
          <m:sSup>
            <m:sSupPr>
              <m:ctrlPr>
                <w:rPr>
                  <w:rFonts w:ascii="Cambria Math" w:hAnsi="Cambria Math"/>
                  <w:i/>
                  <w:szCs w:val="20"/>
                </w:rPr>
              </m:ctrlPr>
            </m:sSup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e>
            <m:sup>
              <m:r>
                <w:rPr>
                  <w:rFonts w:ascii="Cambria Math" w:hAnsi="Cambria Math"/>
                  <w:szCs w:val="20"/>
                </w:rPr>
                <m:t>1/3</m:t>
              </m:r>
            </m:sup>
          </m:sSup>
          <m:r>
            <w:rPr>
              <w:rFonts w:ascii="Cambria Math" w:hAnsi="Cambria Math"/>
              <w:szCs w:val="20"/>
            </w:rPr>
            <m:t xml:space="preserve">= </m:t>
          </m:r>
          <m:sSup>
            <m:sSupPr>
              <m:ctrlPr>
                <w:rPr>
                  <w:rFonts w:ascii="Cambria Math" w:hAnsi="Cambria Math"/>
                  <w:i/>
                  <w:szCs w:val="20"/>
                </w:rPr>
              </m:ctrlPr>
            </m:sSupPr>
            <m:e>
              <m:r>
                <w:rPr>
                  <w:rFonts w:ascii="Cambria Math" w:hAnsi="Cambria Math"/>
                  <w:szCs w:val="20"/>
                </w:rPr>
                <m:t>5179</m:t>
              </m:r>
            </m:e>
            <m:sup>
              <m:r>
                <w:rPr>
                  <w:rFonts w:ascii="Cambria Math" w:hAnsi="Cambria Math"/>
                  <w:szCs w:val="20"/>
                </w:rPr>
                <m:t>1/3</m:t>
              </m:r>
            </m:sup>
          </m:sSup>
          <m:r>
            <w:rPr>
              <w:rFonts w:ascii="Cambria Math" w:hAnsi="Cambria Math"/>
              <w:szCs w:val="20"/>
            </w:rPr>
            <m:t xml:space="preserve">=17,3 </m:t>
          </m:r>
          <m:d>
            <m:dPr>
              <m:begChr m:val="["/>
              <m:endChr m:val="]"/>
              <m:ctrlPr>
                <w:rPr>
                  <w:rFonts w:ascii="Cambria Math" w:hAnsi="Cambria Math"/>
                  <w:i/>
                  <w:szCs w:val="20"/>
                </w:rPr>
              </m:ctrlPr>
            </m:dPr>
            <m:e>
              <m:r>
                <w:rPr>
                  <w:rFonts w:ascii="Cambria Math" w:hAnsi="Cambria Math"/>
                  <w:szCs w:val="20"/>
                </w:rPr>
                <m:t>m</m:t>
              </m:r>
            </m:e>
          </m:d>
        </m:oMath>
      </m:oMathPara>
    </w:p>
    <w:p w:rsidR="004F47BB" w:rsidRPr="004F47BB" w:rsidRDefault="00624017" w:rsidP="004F47BB">
      <w:pPr>
        <w:tabs>
          <w:tab w:val="left" w:pos="992"/>
        </w:tabs>
        <w:overflowPunct w:val="0"/>
        <w:adjustRightInd w:val="0"/>
        <w:spacing w:before="120" w:line="240" w:lineRule="atLeast"/>
        <w:ind w:left="992" w:firstLine="1"/>
        <w:textAlignment w:val="baseline"/>
        <w:rPr>
          <w:szCs w:val="20"/>
        </w:rPr>
      </w:pPr>
      <m:oMathPara>
        <m:oMathParaPr>
          <m:jc m:val="left"/>
        </m:oMathParaPr>
        <m:oMath>
          <m:sSup>
            <m:sSupPr>
              <m:ctrlPr>
                <w:rPr>
                  <w:rFonts w:ascii="Cambria Math" w:hAnsi="Cambria Math"/>
                  <w:i/>
                  <w:szCs w:val="20"/>
                </w:rPr>
              </m:ctrlPr>
            </m:sSup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e>
            <m:sup>
              <m:r>
                <w:rPr>
                  <w:rFonts w:ascii="Cambria Math" w:hAnsi="Cambria Math"/>
                  <w:szCs w:val="20"/>
                </w:rPr>
                <m:t>1/3</m:t>
              </m:r>
            </m:sup>
          </m:sSup>
          <m:r>
            <w:rPr>
              <w:rFonts w:ascii="Cambria Math" w:hAnsi="Cambria Math"/>
              <w:szCs w:val="20"/>
            </w:rPr>
            <m:t xml:space="preserve">∙ </m:t>
          </m:r>
          <m:d>
            <m:dPr>
              <m:ctrlPr>
                <w:rPr>
                  <w:rFonts w:ascii="Cambria Math" w:hAnsi="Cambria Math"/>
                  <w:i/>
                  <w:szCs w:val="20"/>
                </w:rPr>
              </m:ctrlPr>
            </m:dPr>
            <m:e>
              <m:r>
                <w:rPr>
                  <w:rFonts w:ascii="Cambria Math" w:hAnsi="Cambria Math"/>
                  <w:szCs w:val="20"/>
                </w:rPr>
                <m:t xml:space="preserve">B+2 ∙ </m:t>
              </m:r>
              <m:sSub>
                <m:sSubPr>
                  <m:ctrlPr>
                    <w:rPr>
                      <w:rFonts w:ascii="Cambria Math" w:hAnsi="Cambria Math"/>
                      <w:i/>
                      <w:szCs w:val="20"/>
                    </w:rPr>
                  </m:ctrlPr>
                </m:sSubPr>
                <m:e>
                  <m:r>
                    <w:rPr>
                      <w:rFonts w:ascii="Cambria Math" w:hAnsi="Cambria Math"/>
                      <w:szCs w:val="20"/>
                    </w:rPr>
                    <m:t>T</m:t>
                  </m:r>
                </m:e>
                <m:sub>
                  <m:r>
                    <w:rPr>
                      <w:rFonts w:ascii="Cambria Math" w:hAnsi="Cambria Math"/>
                      <w:szCs w:val="20"/>
                    </w:rPr>
                    <m:t>IST</m:t>
                  </m:r>
                </m:sub>
              </m:sSub>
            </m:e>
          </m:d>
          <m:r>
            <w:rPr>
              <w:rFonts w:ascii="Cambria Math" w:hAnsi="Cambria Math"/>
              <w:szCs w:val="20"/>
            </w:rPr>
            <m:t xml:space="preserve">=17,3 ∙ </m:t>
          </m:r>
          <m:d>
            <m:dPr>
              <m:ctrlPr>
                <w:rPr>
                  <w:rFonts w:ascii="Cambria Math" w:hAnsi="Cambria Math"/>
                  <w:i/>
                  <w:szCs w:val="20"/>
                </w:rPr>
              </m:ctrlPr>
            </m:dPr>
            <m:e>
              <m:r>
                <w:rPr>
                  <w:rFonts w:ascii="Cambria Math" w:hAnsi="Cambria Math"/>
                  <w:szCs w:val="20"/>
                </w:rPr>
                <m:t>22,8+5,92</m:t>
              </m:r>
            </m:e>
          </m:d>
          <m:r>
            <w:rPr>
              <w:rFonts w:ascii="Cambria Math" w:hAnsi="Cambria Math"/>
              <w:szCs w:val="20"/>
            </w:rPr>
            <m:t xml:space="preserve">=496,8 </m:t>
          </m:r>
          <m:d>
            <m:dPr>
              <m:begChr m:val="["/>
              <m:endChr m:val="]"/>
              <m:ctrlPr>
                <w:rPr>
                  <w:rFonts w:ascii="Cambria Math" w:hAnsi="Cambria Math"/>
                  <w:i/>
                  <w:szCs w:val="20"/>
                </w:rPr>
              </m:ctrlPr>
            </m:dPr>
            <m:e>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e>
          </m:d>
        </m:oMath>
      </m:oMathPara>
    </w:p>
    <w:p w:rsidR="004F47BB" w:rsidRPr="004F47BB" w:rsidRDefault="004F47BB" w:rsidP="004F47BB">
      <w:pPr>
        <w:tabs>
          <w:tab w:val="left" w:pos="284"/>
        </w:tabs>
        <w:overflowPunct w:val="0"/>
        <w:adjustRightInd w:val="0"/>
        <w:spacing w:line="240" w:lineRule="exact"/>
        <w:ind w:left="1276" w:hanging="284"/>
        <w:jc w:val="left"/>
        <w:textAlignment w:val="baseline"/>
        <w:rPr>
          <w:szCs w:val="20"/>
        </w:rPr>
      </w:pPr>
    </w:p>
    <w:p w:rsidR="004F47BB" w:rsidRPr="004F47BB" w:rsidRDefault="004F47BB" w:rsidP="004F47BB">
      <w:pPr>
        <w:tabs>
          <w:tab w:val="left" w:pos="284"/>
          <w:tab w:val="left" w:pos="3119"/>
          <w:tab w:val="left" w:pos="4678"/>
        </w:tabs>
        <w:overflowPunct w:val="0"/>
        <w:adjustRightInd w:val="0"/>
        <w:spacing w:line="240" w:lineRule="atLeast"/>
        <w:ind w:left="1276" w:hanging="284"/>
        <w:jc w:val="left"/>
        <w:textAlignment w:val="baseline"/>
        <w:rPr>
          <w:szCs w:val="20"/>
        </w:rPr>
      </w:pPr>
      <w:r>
        <w:t>secondo la tabella 3</w:t>
      </w:r>
      <w:r>
        <w:tab/>
      </w:r>
      <m:oMath>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R</m:t>
                </m:r>
              </m:e>
              <m:sub>
                <m:r>
                  <w:rPr>
                    <w:rFonts w:ascii="Cambria Math" w:hAnsi="Cambria Math"/>
                    <w:szCs w:val="20"/>
                  </w:rPr>
                  <m:t>T</m:t>
                </m:r>
              </m:sub>
            </m:sSub>
          </m:num>
          <m:den>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den>
        </m:f>
        <m:r>
          <w:rPr>
            <w:rFonts w:ascii="Cambria Math" w:hAnsi="Cambria Math"/>
            <w:szCs w:val="20"/>
          </w:rPr>
          <m:t xml:space="preserve">=10,8 </m:t>
        </m:r>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w:p>
    <w:p w:rsidR="004F47BB" w:rsidRPr="004F47BB" w:rsidRDefault="004F47BB" w:rsidP="004F47BB">
      <w:pPr>
        <w:tabs>
          <w:tab w:val="left" w:pos="992"/>
        </w:tabs>
        <w:overflowPunct w:val="0"/>
        <w:adjustRightInd w:val="0"/>
        <w:spacing w:line="240" w:lineRule="atLeast"/>
        <w:ind w:left="992" w:firstLine="1"/>
        <w:textAlignment w:val="baseline"/>
      </w:pPr>
    </w:p>
    <w:p w:rsidR="004F47BB" w:rsidRPr="004F47BB" w:rsidRDefault="00624017" w:rsidP="004F47BB">
      <w:pPr>
        <w:tabs>
          <w:tab w:val="left" w:pos="992"/>
        </w:tabs>
        <w:overflowPunct w:val="0"/>
        <w:adjustRightInd w:val="0"/>
        <w:spacing w:line="240" w:lineRule="atLeast"/>
        <w:ind w:left="992" w:firstLine="1"/>
        <w:textAlignment w:val="baseline"/>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L</m:t>
                  </m:r>
                </m:sub>
              </m:sSub>
            </m:e>
            <m:sub>
              <m:r>
                <w:rPr>
                  <w:rFonts w:ascii="Cambria Math" w:hAnsi="Cambria Math"/>
                  <w:noProof/>
                </w:rPr>
                <m:t>IST</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IST</m:t>
                  </m:r>
                </m:sub>
              </m:sSub>
            </m:sub>
          </m:sSub>
          <m:r>
            <w:rPr>
              <w:rFonts w:ascii="Cambria Math" w:hAnsi="Cambria Math"/>
              <w:noProof/>
            </w:rPr>
            <m:t>=4,9-1,4=3,5 m/s</m:t>
          </m:r>
        </m:oMath>
      </m:oMathPara>
    </w:p>
    <w:p w:rsidR="004F47BB" w:rsidRPr="004F47BB" w:rsidRDefault="004F47BB" w:rsidP="004F47BB">
      <w:pPr>
        <w:tabs>
          <w:tab w:val="left" w:pos="992"/>
        </w:tabs>
        <w:overflowPunct w:val="0"/>
        <w:adjustRightInd w:val="0"/>
        <w:spacing w:line="240" w:lineRule="atLeast"/>
        <w:ind w:left="992" w:firstLine="1"/>
        <w:textAlignment w:val="baseline"/>
      </w:pPr>
    </w:p>
    <w:p w:rsidR="004F47BB" w:rsidRPr="004F47BB" w:rsidRDefault="00624017" w:rsidP="004F47BB">
      <w:pPr>
        <w:tabs>
          <w:tab w:val="left" w:pos="992"/>
        </w:tabs>
        <w:overflowPunct w:val="0"/>
        <w:adjustRightInd w:val="0"/>
        <w:spacing w:line="240" w:lineRule="atLeast"/>
        <w:ind w:left="992" w:firstLine="1"/>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IST</m:t>
              </m:r>
            </m:sub>
          </m:sSub>
          <m:r>
            <w:rPr>
              <w:rFonts w:ascii="Cambria Math" w:hAnsi="Cambria Math"/>
              <w:noProof/>
            </w:rPr>
            <m:t xml:space="preserve">=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R</m:t>
                  </m:r>
                </m:e>
                <m:sub>
                  <m:r>
                    <w:rPr>
                      <w:rFonts w:ascii="Cambria Math" w:hAnsi="Cambria Math"/>
                      <w:noProof/>
                    </w:rPr>
                    <m:t>T</m:t>
                  </m:r>
                </m:sub>
              </m:sSub>
            </m:num>
            <m:den>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den>
          </m:f>
          <m:r>
            <w:rPr>
              <w:rFonts w:ascii="Cambria Math" w:hAnsi="Cambria Math"/>
              <w:noProof/>
            </w:rPr>
            <m:t xml:space="preserve"> ∙ </m:t>
          </m:r>
          <m:sSup>
            <m:sSupPr>
              <m:ctrlPr>
                <w:rPr>
                  <w:rFonts w:ascii="Cambria Math" w:hAnsi="Cambria Math"/>
                  <w:i/>
                  <w:noProof/>
                </w:rPr>
              </m:ctrlPr>
            </m:sSupPr>
            <m:e>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k</m:t>
                      </m:r>
                    </m:e>
                    <m:sub>
                      <m:r>
                        <w:rPr>
                          <w:rFonts w:ascii="Cambria Math" w:hAnsi="Cambria Math"/>
                          <w:noProof/>
                        </w:rPr>
                        <m:t>7</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k</m:t>
                      </m:r>
                    </m:e>
                    <m:sub>
                      <m:r>
                        <w:rPr>
                          <w:rFonts w:ascii="Cambria Math" w:hAnsi="Cambria Math"/>
                          <w:noProof/>
                        </w:rPr>
                        <m:t>6</m:t>
                      </m:r>
                    </m:sub>
                  </m:sSub>
                  <m:r>
                    <w:rPr>
                      <w:rFonts w:ascii="Cambria Math" w:hAnsi="Cambria Math"/>
                      <w:noProof/>
                    </w:rPr>
                    <m:t xml:space="preserve"> ∙ </m:t>
                  </m:r>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L</m:t>
                              </m:r>
                            </m:e>
                            <m:sub>
                              <m:r>
                                <w:rPr>
                                  <w:rFonts w:ascii="Cambria Math" w:hAnsi="Cambria Math"/>
                                  <w:noProof/>
                                </w:rPr>
                                <m:t>IST</m:t>
                              </m:r>
                            </m:sub>
                          </m:sSub>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IST</m:t>
                              </m:r>
                            </m:sub>
                          </m:sSub>
                        </m:sub>
                      </m:sSub>
                    </m:e>
                  </m:d>
                </m:e>
              </m:d>
            </m:e>
            <m:sup>
              <m:r>
                <w:rPr>
                  <w:rFonts w:ascii="Cambria Math" w:hAnsi="Cambria Math"/>
                  <w:noProof/>
                </w:rPr>
                <m:t>2</m:t>
              </m:r>
            </m:sup>
          </m:sSup>
          <m:r>
            <w:rPr>
              <w:rFonts w:ascii="Cambria Math" w:hAnsi="Cambria Math"/>
              <w:noProof/>
            </w:rPr>
            <m:t xml:space="preserve">= 10,8 ∙ </m:t>
          </m:r>
          <m:sSup>
            <m:sSupPr>
              <m:ctrlPr>
                <w:rPr>
                  <w:rFonts w:ascii="Cambria Math" w:hAnsi="Cambria Math"/>
                  <w:i/>
                  <w:noProof/>
                </w:rPr>
              </m:ctrlPr>
            </m:sSupPr>
            <m:e>
              <m:d>
                <m:dPr>
                  <m:ctrlPr>
                    <w:rPr>
                      <w:rFonts w:ascii="Cambria Math" w:hAnsi="Cambria Math"/>
                      <w:i/>
                      <w:noProof/>
                    </w:rPr>
                  </m:ctrlPr>
                </m:dPr>
                <m:e>
                  <m:r>
                    <w:rPr>
                      <w:rFonts w:ascii="Cambria Math" w:hAnsi="Cambria Math"/>
                      <w:noProof/>
                    </w:rPr>
                    <m:t>0,55 ∙0,85 ∙3,5</m:t>
                  </m:r>
                </m:e>
              </m:d>
            </m:e>
            <m:sup>
              <m:r>
                <w:rPr>
                  <w:rFonts w:ascii="Cambria Math" w:hAnsi="Cambria Math"/>
                  <w:noProof/>
                </w:rPr>
                <m:t>2</m:t>
              </m:r>
            </m:sup>
          </m:sSup>
          <m:r>
            <w:rPr>
              <w:rFonts w:ascii="Cambria Math" w:hAnsi="Cambria Math"/>
              <w:noProof/>
            </w:rPr>
            <m:t>=</m:t>
          </m:r>
          <m:r>
            <m:rPr>
              <m:sty m:val="bi"/>
            </m:rPr>
            <w:rPr>
              <w:rFonts w:ascii="Cambria Math" w:hAnsi="Cambria Math"/>
              <w:noProof/>
            </w:rPr>
            <m:t xml:space="preserve">28,8 </m:t>
          </m:r>
          <m:d>
            <m:dPr>
              <m:begChr m:val="["/>
              <m:endChr m:val="]"/>
              <m:ctrlPr>
                <w:rPr>
                  <w:rFonts w:ascii="Cambria Math" w:hAnsi="Cambria Math"/>
                  <w:b/>
                  <w:i/>
                  <w:noProof/>
                </w:rPr>
              </m:ctrlPr>
            </m:dPr>
            <m:e>
              <m:r>
                <m:rPr>
                  <m:sty m:val="bi"/>
                </m:rPr>
                <w:rPr>
                  <w:rFonts w:ascii="Cambria Math" w:hAnsi="Cambria Math"/>
                  <w:noProof/>
                </w:rPr>
                <m:t>kN</m:t>
              </m:r>
            </m:e>
          </m:d>
        </m:oMath>
      </m:oMathPara>
    </w:p>
    <w:p w:rsidR="004F47BB" w:rsidRPr="004F47BB" w:rsidRDefault="004F47BB" w:rsidP="004F47BB">
      <w:pPr>
        <w:tabs>
          <w:tab w:val="left" w:pos="284"/>
          <w:tab w:val="left" w:pos="454"/>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284"/>
          <w:tab w:val="left" w:pos="454"/>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284"/>
          <w:tab w:val="left" w:pos="454"/>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284"/>
          <w:tab w:val="left" w:pos="454"/>
        </w:tabs>
        <w:overflowPunct w:val="0"/>
        <w:adjustRightInd w:val="0"/>
        <w:spacing w:line="240" w:lineRule="exact"/>
        <w:ind w:left="284" w:hanging="284"/>
        <w:jc w:val="left"/>
        <w:textAlignment w:val="baseline"/>
        <w:rPr>
          <w:szCs w:val="20"/>
        </w:rPr>
      </w:pPr>
      <w:r>
        <w:br w:type="page"/>
      </w:r>
    </w:p>
    <w:p w:rsidR="004F47BB" w:rsidRPr="004F47BB" w:rsidRDefault="004F47BB" w:rsidP="004F47BB">
      <w:pPr>
        <w:tabs>
          <w:tab w:val="left" w:pos="992"/>
        </w:tabs>
        <w:overflowPunct w:val="0"/>
        <w:adjustRightInd w:val="0"/>
        <w:spacing w:line="240" w:lineRule="atLeast"/>
        <w:ind w:left="992"/>
        <w:textAlignment w:val="baseline"/>
        <w:rPr>
          <w:szCs w:val="20"/>
        </w:rPr>
      </w:pPr>
      <w:r>
        <w:lastRenderedPageBreak/>
        <w:t>d)</w:t>
      </w:r>
      <w:r>
        <w:tab/>
        <w:t xml:space="preserve">calcolo della resistenza al gradiente </w:t>
      </w:r>
      <m:oMath>
        <m:sSub>
          <m:sSubPr>
            <m:ctrlPr>
              <w:rPr>
                <w:rFonts w:ascii="Cambria Math" w:hAnsi="Cambria Math"/>
                <w:i/>
                <w:sz w:val="16"/>
                <w:szCs w:val="20"/>
              </w:rPr>
            </m:ctrlPr>
          </m:sSubPr>
          <m:e>
            <m:r>
              <w:rPr>
                <w:rFonts w:ascii="Cambria Math" w:hAnsi="Cambria Math"/>
                <w:sz w:val="16"/>
                <w:szCs w:val="20"/>
              </w:rPr>
              <m:t>R</m:t>
            </m:r>
          </m:e>
          <m:sub>
            <m:r>
              <w:rPr>
                <w:rFonts w:ascii="Cambria Math" w:hAnsi="Cambria Math"/>
                <w:sz w:val="16"/>
                <w:szCs w:val="20"/>
              </w:rPr>
              <m:t>G</m:t>
            </m:r>
          </m:sub>
        </m:sSub>
      </m:oMath>
      <w:r>
        <w:t xml:space="preserve"> secondo la formula 4.4</w:t>
      </w:r>
    </w:p>
    <w:p w:rsidR="004F47BB" w:rsidRPr="004F47BB" w:rsidRDefault="004F47BB" w:rsidP="004F47BB">
      <w:pPr>
        <w:tabs>
          <w:tab w:val="left" w:pos="992"/>
        </w:tabs>
        <w:overflowPunct w:val="0"/>
        <w:adjustRightInd w:val="0"/>
        <w:spacing w:line="240" w:lineRule="atLeast"/>
        <w:ind w:left="992"/>
        <w:textAlignment w:val="baseline"/>
        <w:rPr>
          <w:szCs w:val="20"/>
        </w:rPr>
      </w:pPr>
    </w:p>
    <w:p w:rsidR="004F47BB" w:rsidRPr="004F47BB" w:rsidRDefault="00624017" w:rsidP="004F47BB">
      <w:pPr>
        <w:overflowPunct w:val="0"/>
        <w:adjustRightInd w:val="0"/>
        <w:spacing w:line="240" w:lineRule="atLeast"/>
        <w:ind w:left="993" w:hanging="1"/>
        <w:jc w:val="left"/>
        <w:textAlignment w:val="baseline"/>
        <w:rPr>
          <w:szCs w:val="20"/>
        </w:rPr>
      </w:pPr>
      <m:oMathPara>
        <m:oMathParaPr>
          <m:jc m:val="left"/>
        </m:oMathParaPr>
        <m:oMath>
          <m:sSub>
            <m:sSubPr>
              <m:ctrlPr>
                <w:rPr>
                  <w:rFonts w:ascii="Cambria Math" w:hAnsi="Cambria Math"/>
                  <w:i/>
                  <w:sz w:val="16"/>
                  <w:szCs w:val="20"/>
                </w:rPr>
              </m:ctrlPr>
            </m:sSubPr>
            <m:e>
              <m:r>
                <w:rPr>
                  <w:rFonts w:ascii="Cambria Math" w:hAnsi="Cambria Math"/>
                  <w:sz w:val="16"/>
                  <w:szCs w:val="20"/>
                </w:rPr>
                <m:t>R</m:t>
              </m:r>
            </m:e>
            <m:sub>
              <m:r>
                <w:rPr>
                  <w:rFonts w:ascii="Cambria Math" w:hAnsi="Cambria Math"/>
                  <w:sz w:val="16"/>
                  <w:szCs w:val="20"/>
                </w:rPr>
                <m:t>G</m:t>
              </m:r>
            </m:sub>
          </m:sSub>
          <m:r>
            <w:rPr>
              <w:rFonts w:ascii="Cambria Math" w:hAnsi="Cambria Math"/>
              <w:sz w:val="16"/>
              <w:szCs w:val="20"/>
            </w:rPr>
            <m:t xml:space="preserve"> </m:t>
          </m:r>
          <m:r>
            <w:rPr>
              <w:rFonts w:ascii="Cambria Math" w:hAnsi="Cambria Math"/>
              <w:szCs w:val="20"/>
            </w:rPr>
            <m:t xml:space="preserve">=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-6</m:t>
              </m:r>
            </m:sup>
          </m:sSup>
          <m:r>
            <w:rPr>
              <w:rFonts w:ascii="Cambria Math" w:hAnsi="Cambria Math"/>
              <w:szCs w:val="20"/>
            </w:rPr>
            <m:t xml:space="preserve"> ∙ </m:t>
          </m:r>
          <m:d>
            <m:dPr>
              <m:ctrlPr>
                <w:rPr>
                  <w:rFonts w:ascii="Cambria Math" w:hAnsi="Cambria Math"/>
                  <w:i/>
                  <w:szCs w:val="20"/>
                </w:rPr>
              </m:ctrlPr>
            </m:dPr>
            <m:e>
              <m:r>
                <w:rPr>
                  <w:rFonts w:ascii="Cambria Math" w:hAnsi="Cambria Math"/>
                  <w:szCs w:val="20"/>
                </w:rPr>
                <m:t xml:space="preserve">0,16 ∙ </m:t>
              </m:r>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r>
                <w:rPr>
                  <w:rFonts w:ascii="Cambria Math" w:hAnsi="Cambria Math"/>
                  <w:szCs w:val="20"/>
                </w:rPr>
                <m:t xml:space="preserve"> ∙ ρ ∙g</m:t>
              </m:r>
            </m:e>
          </m:d>
          <m:r>
            <w:rPr>
              <w:rFonts w:ascii="Cambria Math" w:hAnsi="Cambria Math"/>
              <w:szCs w:val="20"/>
            </w:rPr>
            <m:t>=</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-6</m:t>
              </m:r>
            </m:sup>
          </m:sSup>
          <m:r>
            <w:rPr>
              <w:rFonts w:ascii="Cambria Math" w:hAnsi="Cambria Math"/>
              <w:szCs w:val="20"/>
            </w:rPr>
            <m:t xml:space="preserve"> ∙(0,16 ∙</m:t>
          </m:r>
          <m:r>
            <m:rPr>
              <m:sty m:val="bi"/>
            </m:rPr>
            <w:rPr>
              <w:rFonts w:ascii="Cambria Math" w:hAnsi="Cambria Math"/>
              <w:position w:val="6"/>
              <w:szCs w:val="20"/>
            </w:rPr>
            <m:t xml:space="preserve"> </m:t>
          </m:r>
          <m:r>
            <w:rPr>
              <w:rFonts w:ascii="Cambria Math" w:hAnsi="Cambria Math"/>
              <w:szCs w:val="20"/>
            </w:rPr>
            <m:t xml:space="preserve">5179 ∙ 1000 ∙ 9,81)= </m:t>
          </m:r>
          <m:r>
            <m:rPr>
              <m:sty m:val="bi"/>
            </m:rPr>
            <w:rPr>
              <w:rFonts w:ascii="Cambria Math" w:hAnsi="Cambria Math"/>
              <w:szCs w:val="20"/>
              <w:u w:val="single"/>
            </w:rPr>
            <m:t>8,13</m:t>
          </m:r>
          <m:r>
            <m:rPr>
              <m:sty m:val="bi"/>
            </m:rPr>
            <w:rPr>
              <w:rFonts w:ascii="Cambria Math" w:hAnsi="Cambria Math"/>
              <w:szCs w:val="20"/>
            </w:rPr>
            <m:t xml:space="preserve"> [kN]</m:t>
          </m:r>
        </m:oMath>
      </m:oMathPara>
    </w:p>
    <w:p w:rsidR="004F47BB" w:rsidRPr="004F47BB" w:rsidRDefault="004F47BB" w:rsidP="004F47BB">
      <w:pPr>
        <w:tabs>
          <w:tab w:val="left" w:pos="284"/>
          <w:tab w:val="left" w:pos="454"/>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992"/>
        </w:tabs>
        <w:overflowPunct w:val="0"/>
        <w:adjustRightInd w:val="0"/>
        <w:spacing w:line="240" w:lineRule="atLeast"/>
        <w:ind w:left="992"/>
        <w:textAlignment w:val="baseline"/>
        <w:rPr>
          <w:szCs w:val="20"/>
        </w:rPr>
      </w:pPr>
      <w:r>
        <w:t>e)</w:t>
      </w:r>
      <w:r>
        <w:tab/>
        <w:t xml:space="preserve">calcolo di </w:t>
      </w: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oMath>
      <w:r>
        <w:t xml:space="preserve"> secondo la formula 4.5</w:t>
      </w:r>
    </w:p>
    <w:p w:rsidR="004F47BB" w:rsidRPr="004F47BB" w:rsidRDefault="004F47BB" w:rsidP="004F47BB">
      <w:pPr>
        <w:overflowPunct w:val="0"/>
        <w:adjustRightInd w:val="0"/>
        <w:spacing w:line="240" w:lineRule="atLeast"/>
        <w:ind w:left="992" w:firstLine="0"/>
        <w:jc w:val="left"/>
        <w:textAlignment w:val="baseline"/>
        <w:rPr>
          <w:szCs w:val="20"/>
        </w:rPr>
      </w:pPr>
    </w:p>
    <w:p w:rsidR="004F47BB" w:rsidRPr="004F47BB" w:rsidRDefault="00624017" w:rsidP="004F47BB">
      <w:pPr>
        <w:overflowPunct w:val="0"/>
        <w:adjustRightInd w:val="0"/>
        <w:spacing w:line="240" w:lineRule="atLeast"/>
        <w:ind w:left="992" w:firstLine="0"/>
        <w:jc w:val="left"/>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r>
            <w:rPr>
              <w:rFonts w:ascii="Cambria Math" w:hAnsi="Cambria Math"/>
              <w:szCs w:val="20"/>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IST</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IST</m:t>
                      </m:r>
                    </m:sub>
                  </m:sSub>
                </m:sub>
              </m:sSub>
            </m:e>
          </m:d>
          <m:r>
            <w:rPr>
              <w:rFonts w:ascii="Cambria Math" w:hAnsi="Cambria Math"/>
              <w:szCs w:val="20"/>
            </w:rPr>
            <m:t xml:space="preserve">= </m:t>
          </m:r>
          <m:d>
            <m:dPr>
              <m:ctrlPr>
                <w:rPr>
                  <w:rFonts w:ascii="Cambria Math" w:hAnsi="Cambria Math"/>
                  <w:i/>
                  <w:szCs w:val="20"/>
                </w:rPr>
              </m:ctrlPr>
            </m:dPr>
            <m:e>
              <m:r>
                <w:rPr>
                  <w:rFonts w:ascii="Cambria Math" w:hAnsi="Cambria Math"/>
                  <w:szCs w:val="20"/>
                </w:rPr>
                <m:t>0,85 ∙3,5</m:t>
              </m:r>
            </m:e>
          </m:d>
          <m:r>
            <w:rPr>
              <w:rFonts w:ascii="Cambria Math" w:hAnsi="Cambria Math"/>
              <w:szCs w:val="20"/>
            </w:rPr>
            <m:t xml:space="preserve">=2,97 </m:t>
          </m:r>
          <m:d>
            <m:dPr>
              <m:begChr m:val="["/>
              <m:endChr m:val="]"/>
              <m:ctrlPr>
                <w:rPr>
                  <w:rFonts w:ascii="Cambria Math" w:hAnsi="Cambria Math"/>
                  <w:i/>
                  <w:szCs w:val="20"/>
                </w:rPr>
              </m:ctrlPr>
            </m:dPr>
            <m:e>
              <m:r>
                <w:rPr>
                  <w:rFonts w:ascii="Cambria Math" w:hAnsi="Cambria Math"/>
                  <w:szCs w:val="20"/>
                </w:rPr>
                <m:t>m/s</m:t>
              </m:r>
            </m:e>
          </m:d>
        </m:oMath>
      </m:oMathPara>
    </w:p>
    <w:p w:rsidR="004F47BB" w:rsidRPr="004F47BB" w:rsidRDefault="004F47BB" w:rsidP="004F47BB">
      <w:pPr>
        <w:overflowPunct w:val="0"/>
        <w:adjustRightInd w:val="0"/>
        <w:spacing w:line="240" w:lineRule="exact"/>
        <w:ind w:left="993" w:firstLine="0"/>
        <w:jc w:val="left"/>
        <w:textAlignment w:val="baseline"/>
        <w:rPr>
          <w:szCs w:val="20"/>
        </w:rPr>
      </w:pPr>
    </w:p>
    <w:p w:rsidR="004F47BB" w:rsidRPr="004F47BB" w:rsidRDefault="00624017" w:rsidP="004F47BB">
      <w:pPr>
        <w:overflowPunct w:val="0"/>
        <w:adjustRightInd w:val="0"/>
        <w:spacing w:line="240" w:lineRule="atLeast"/>
        <w:ind w:left="993" w:hanging="1"/>
        <w:jc w:val="left"/>
        <w:textAlignment w:val="baseline"/>
        <w:rPr>
          <w:szCs w:val="20"/>
        </w:rPr>
      </w:pPr>
      <m:oMathPara>
        <m:oMathParaPr>
          <m:jc m:val="left"/>
        </m:oMathParaPr>
        <m:oMath>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 xml:space="preserve">=8,85 </m:t>
          </m:r>
          <m:sSup>
            <m:sSupPr>
              <m:ctrlPr>
                <w:rPr>
                  <w:rFonts w:ascii="Cambria Math" w:hAnsi="Cambria Math"/>
                  <w:i/>
                  <w:szCs w:val="20"/>
                </w:rPr>
              </m:ctrlPr>
            </m:sSupPr>
            <m:e>
              <m:d>
                <m:dPr>
                  <m:begChr m:val="["/>
                  <m:endChr m:val="]"/>
                  <m:ctrlPr>
                    <w:rPr>
                      <w:rFonts w:ascii="Cambria Math" w:hAnsi="Cambria Math"/>
                      <w:i/>
                      <w:szCs w:val="20"/>
                    </w:rPr>
                  </m:ctrlPr>
                </m:dPr>
                <m:e>
                  <m:r>
                    <w:rPr>
                      <w:rFonts w:ascii="Cambria Math" w:hAnsi="Cambria Math"/>
                      <w:szCs w:val="20"/>
                    </w:rPr>
                    <m:t>m/s</m:t>
                  </m:r>
                </m:e>
              </m:d>
            </m:e>
            <m:sup>
              <m:r>
                <w:rPr>
                  <w:rFonts w:ascii="Cambria Math" w:hAnsi="Cambria Math"/>
                  <w:szCs w:val="20"/>
                </w:rPr>
                <m:t>2</m:t>
              </m:r>
            </m:sup>
          </m:sSup>
        </m:oMath>
      </m:oMathPara>
    </w:p>
    <w:p w:rsidR="004F47BB" w:rsidRPr="004F47BB" w:rsidRDefault="004F47BB" w:rsidP="004F47BB">
      <w:pPr>
        <w:tabs>
          <w:tab w:val="left" w:pos="1418"/>
        </w:tabs>
        <w:overflowPunct w:val="0"/>
        <w:adjustRightInd w:val="0"/>
        <w:spacing w:line="240" w:lineRule="atLeast"/>
        <w:ind w:left="1417"/>
        <w:jc w:val="left"/>
        <w:textAlignment w:val="baseline"/>
        <w:rPr>
          <w:szCs w:val="20"/>
        </w:rPr>
      </w:pPr>
    </w:p>
    <w:p w:rsidR="004F47BB" w:rsidRPr="004F47BB" w:rsidRDefault="004F47BB" w:rsidP="004F47BB">
      <w:pPr>
        <w:tabs>
          <w:tab w:val="left" w:pos="992"/>
        </w:tabs>
        <w:overflowPunct w:val="0"/>
        <w:adjustRightInd w:val="0"/>
        <w:spacing w:line="240" w:lineRule="atLeast"/>
        <w:ind w:left="992"/>
        <w:textAlignment w:val="baseline"/>
        <w:rPr>
          <w:szCs w:val="20"/>
        </w:rPr>
      </w:pPr>
      <w:r>
        <w:t>f)</w:t>
      </w:r>
      <w:r>
        <w:tab/>
        <w:t xml:space="preserve">calcolo di </w:t>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oMath>
      <w:r>
        <w:t xml:space="preserve"> secondo la formula 4.6 e la tabella 2</w:t>
      </w:r>
    </w:p>
    <w:p w:rsidR="004F47BB" w:rsidRPr="004F47BB" w:rsidRDefault="004F47BB" w:rsidP="004F47BB">
      <w:pPr>
        <w:tabs>
          <w:tab w:val="left" w:pos="284"/>
          <w:tab w:val="left" w:pos="454"/>
        </w:tabs>
        <w:overflowPunct w:val="0"/>
        <w:adjustRightInd w:val="0"/>
        <w:spacing w:line="240" w:lineRule="exact"/>
        <w:ind w:left="284" w:hanging="284"/>
        <w:jc w:val="left"/>
        <w:textAlignment w:val="baseline"/>
        <w:rPr>
          <w:szCs w:val="20"/>
        </w:rPr>
      </w:pPr>
    </w:p>
    <w:p w:rsidR="004F47BB" w:rsidRPr="004F47BB" w:rsidRDefault="00624017" w:rsidP="004F47BB">
      <w:pPr>
        <w:overflowPunct w:val="0"/>
        <w:adjustRightInd w:val="0"/>
        <w:spacing w:line="240" w:lineRule="atLeast"/>
        <w:ind w:left="992" w:firstLine="0"/>
        <w:jc w:val="left"/>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r>
            <w:rPr>
              <w:rFonts w:ascii="Cambria Math" w:hAnsi="Cambria Math"/>
              <w:szCs w:val="20"/>
            </w:rPr>
            <m:t>=0,118 ∙1500=</m:t>
          </m:r>
          <m:r>
            <m:rPr>
              <m:sty m:val="bi"/>
            </m:rPr>
            <w:rPr>
              <w:rFonts w:ascii="Cambria Math" w:hAnsi="Cambria Math"/>
              <w:szCs w:val="20"/>
            </w:rPr>
            <m:t xml:space="preserve">177 </m:t>
          </m:r>
          <m:d>
            <m:dPr>
              <m:begChr m:val="["/>
              <m:endChr m:val="]"/>
              <m:ctrlPr>
                <w:rPr>
                  <w:rFonts w:ascii="Cambria Math" w:hAnsi="Cambria Math"/>
                  <w:b/>
                  <w:i/>
                  <w:szCs w:val="20"/>
                </w:rPr>
              </m:ctrlPr>
            </m:dPr>
            <m:e>
              <m:r>
                <m:rPr>
                  <m:sty m:val="bi"/>
                </m:rPr>
                <w:rPr>
                  <w:rFonts w:ascii="Cambria Math" w:hAnsi="Cambria Math"/>
                  <w:szCs w:val="20"/>
                </w:rPr>
                <m:t>kN</m:t>
              </m:r>
            </m:e>
          </m:d>
        </m:oMath>
      </m:oMathPara>
    </w:p>
    <w:p w:rsidR="004F47BB" w:rsidRPr="004F47BB" w:rsidRDefault="004F47BB" w:rsidP="004F47BB">
      <w:pPr>
        <w:tabs>
          <w:tab w:val="left" w:pos="284"/>
          <w:tab w:val="left" w:pos="454"/>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992"/>
        </w:tabs>
        <w:overflowPunct w:val="0"/>
        <w:adjustRightInd w:val="0"/>
        <w:spacing w:line="240" w:lineRule="atLeast"/>
        <w:ind w:left="992"/>
        <w:textAlignment w:val="baseline"/>
        <w:rPr>
          <w:szCs w:val="20"/>
        </w:rPr>
      </w:pPr>
      <w:r>
        <w:t>g)</w:t>
      </w:r>
      <w:r>
        <w:tab/>
        <w:t xml:space="preserve">calcolo di </w:t>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oMath>
      <w:r>
        <w:t xml:space="preserve"> usando la formula b) e i risultati di c), d), e) e f)</w:t>
      </w:r>
    </w:p>
    <w:p w:rsidR="004F47BB" w:rsidRPr="004F47BB" w:rsidRDefault="004F47BB" w:rsidP="004F47BB">
      <w:pPr>
        <w:tabs>
          <w:tab w:val="left" w:pos="992"/>
        </w:tabs>
        <w:overflowPunct w:val="0"/>
        <w:adjustRightInd w:val="0"/>
        <w:spacing w:line="240" w:lineRule="atLeast"/>
        <w:ind w:left="992"/>
        <w:textAlignment w:val="baseline"/>
        <w:rPr>
          <w:szCs w:val="20"/>
        </w:rPr>
      </w:pPr>
    </w:p>
    <w:p w:rsidR="004F47BB" w:rsidRPr="004F47BB" w:rsidRDefault="00624017" w:rsidP="004F47BB">
      <w:pPr>
        <w:tabs>
          <w:tab w:val="left" w:pos="992"/>
        </w:tabs>
        <w:overflowPunct w:val="0"/>
        <w:adjustRightInd w:val="0"/>
        <w:spacing w:line="240" w:lineRule="atLeast"/>
        <w:ind w:left="992" w:firstLine="1"/>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 xml:space="preserve">= </m:t>
          </m:r>
          <m:f>
            <m:fPr>
              <m:ctrlPr>
                <w:rPr>
                  <w:rFonts w:ascii="Cambria Math" w:hAnsi="Cambria Math"/>
                  <w:i/>
                  <w:szCs w:val="20"/>
                </w:rPr>
              </m:ctrlPr>
            </m:fPr>
            <m:num>
              <m:r>
                <w:rPr>
                  <w:rFonts w:ascii="Cambria Math" w:hAnsi="Cambria Math"/>
                  <w:szCs w:val="20"/>
                </w:rPr>
                <m:t xml:space="preserve">0,12 ∙8,85 ∙9,81 ∙ </m:t>
              </m:r>
              <m:d>
                <m:dPr>
                  <m:ctrlPr>
                    <w:rPr>
                      <w:rFonts w:ascii="Cambria Math" w:hAnsi="Cambria Math"/>
                      <w:i/>
                      <w:szCs w:val="20"/>
                    </w:rPr>
                  </m:ctrlPr>
                </m:dPr>
                <m:e>
                  <m:r>
                    <w:rPr>
                      <w:rFonts w:ascii="Cambria Math" w:hAnsi="Cambria Math"/>
                      <w:szCs w:val="20"/>
                    </w:rPr>
                    <m:t xml:space="preserve">0,48+ </m:t>
                  </m:r>
                  <m:f>
                    <m:fPr>
                      <m:ctrlPr>
                        <w:rPr>
                          <w:rFonts w:ascii="Cambria Math" w:hAnsi="Cambria Math"/>
                          <w:i/>
                          <w:szCs w:val="20"/>
                        </w:rPr>
                      </m:ctrlPr>
                    </m:fPr>
                    <m:num>
                      <m:r>
                        <w:rPr>
                          <w:rFonts w:ascii="Cambria Math" w:hAnsi="Cambria Math"/>
                          <w:szCs w:val="20"/>
                        </w:rPr>
                        <m:t>1,4</m:t>
                      </m:r>
                    </m:num>
                    <m:den>
                      <m:r>
                        <w:rPr>
                          <w:rFonts w:ascii="Cambria Math" w:hAnsi="Cambria Math"/>
                          <w:szCs w:val="20"/>
                        </w:rPr>
                        <m:t>2,97</m:t>
                      </m:r>
                    </m:den>
                  </m:f>
                </m:e>
              </m:d>
            </m:num>
            <m:den>
              <m:r>
                <w:rPr>
                  <w:rFonts w:ascii="Cambria Math" w:hAnsi="Cambria Math"/>
                  <w:szCs w:val="20"/>
                </w:rPr>
                <m:t>1,15 ∙177+28,8-8,13</m:t>
              </m:r>
            </m:den>
          </m:f>
          <m:r>
            <w:rPr>
              <w:rFonts w:ascii="Cambria Math" w:hAnsi="Cambria Math"/>
              <w:szCs w:val="20"/>
            </w:rPr>
            <m:t xml:space="preserve"> ∙ 5179</m:t>
          </m:r>
        </m:oMath>
      </m:oMathPara>
    </w:p>
    <w:p w:rsidR="004F47BB" w:rsidRPr="004F47BB" w:rsidRDefault="004F47BB" w:rsidP="004F47BB">
      <w:pPr>
        <w:tabs>
          <w:tab w:val="left" w:pos="992"/>
        </w:tabs>
        <w:overflowPunct w:val="0"/>
        <w:adjustRightInd w:val="0"/>
        <w:spacing w:line="240" w:lineRule="atLeast"/>
        <w:ind w:left="992"/>
        <w:textAlignment w:val="baseline"/>
        <w:rPr>
          <w:szCs w:val="20"/>
        </w:rPr>
      </w:pPr>
    </w:p>
    <w:p w:rsidR="004F47BB" w:rsidRPr="004F47BB" w:rsidRDefault="00624017" w:rsidP="004F47BB">
      <w:pPr>
        <w:tabs>
          <w:tab w:val="left" w:pos="992"/>
        </w:tabs>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m:t>
          </m:r>
          <m:r>
            <m:rPr>
              <m:sty m:val="bi"/>
            </m:rPr>
            <w:rPr>
              <w:rFonts w:ascii="Cambria Math" w:hAnsi="Cambria Math"/>
              <w:szCs w:val="20"/>
            </w:rPr>
            <m:t>228,9 m</m:t>
          </m:r>
        </m:oMath>
      </m:oMathPara>
    </w:p>
    <w:p w:rsidR="004F47BB" w:rsidRPr="004F47BB" w:rsidRDefault="004F47BB" w:rsidP="004F47BB">
      <w:pPr>
        <w:tabs>
          <w:tab w:val="left" w:pos="992"/>
        </w:tabs>
        <w:overflowPunct w:val="0"/>
        <w:adjustRightInd w:val="0"/>
        <w:spacing w:line="240" w:lineRule="atLeast"/>
        <w:ind w:left="992"/>
        <w:textAlignment w:val="baseline"/>
        <w:rPr>
          <w:szCs w:val="20"/>
        </w:rPr>
      </w:pPr>
    </w:p>
    <w:p w:rsidR="004F47BB" w:rsidRPr="004F47BB" w:rsidRDefault="004F47BB" w:rsidP="004F47BB">
      <w:pPr>
        <w:tabs>
          <w:tab w:val="left" w:pos="992"/>
        </w:tabs>
        <w:overflowPunct w:val="0"/>
        <w:adjustRightInd w:val="0"/>
        <w:spacing w:line="240" w:lineRule="atLeast"/>
        <w:ind w:left="992"/>
        <w:textAlignment w:val="baseline"/>
        <w:rPr>
          <w:szCs w:val="20"/>
        </w:rPr>
      </w:pPr>
      <w:r>
        <w:t>h)</w:t>
      </w:r>
      <w:r>
        <w:tab/>
        <w:t>calcolo della distanza totale secondo la formula 3.1</w:t>
      </w:r>
    </w:p>
    <w:p w:rsidR="004F47BB" w:rsidRPr="004F47BB" w:rsidRDefault="004F47BB" w:rsidP="004F47BB">
      <w:pPr>
        <w:tabs>
          <w:tab w:val="left" w:pos="992"/>
        </w:tabs>
        <w:overflowPunct w:val="0"/>
        <w:adjustRightInd w:val="0"/>
        <w:spacing w:line="240" w:lineRule="atLeast"/>
        <w:ind w:left="992"/>
        <w:textAlignment w:val="baseline"/>
        <w:rPr>
          <w:szCs w:val="20"/>
        </w:rPr>
      </w:pPr>
    </w:p>
    <w:p w:rsidR="004F47BB" w:rsidRPr="004F47BB" w:rsidRDefault="00624017" w:rsidP="004F47BB">
      <w:pPr>
        <w:tabs>
          <w:tab w:val="left" w:pos="992"/>
        </w:tabs>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IST</m:t>
                  </m:r>
                </m:sub>
              </m:sSub>
            </m:sub>
          </m:sSub>
          <m:r>
            <w:rPr>
              <w:rFonts w:ascii="Cambria Math" w:hAnsi="Cambria Math"/>
              <w:szCs w:val="20"/>
            </w:rPr>
            <m:t>=74,51+228,9=</m:t>
          </m:r>
          <m:r>
            <m:rPr>
              <m:sty m:val="bi"/>
            </m:rPr>
            <w:rPr>
              <w:rFonts w:ascii="Cambria Math" w:hAnsi="Cambria Math"/>
              <w:szCs w:val="20"/>
            </w:rPr>
            <m:t>303,4 m</m:t>
          </m:r>
        </m:oMath>
      </m:oMathPara>
    </w:p>
    <w:p w:rsidR="004F47BB" w:rsidRPr="004F47BB" w:rsidRDefault="004F47BB" w:rsidP="004F47BB">
      <w:pPr>
        <w:overflowPunct w:val="0"/>
        <w:adjustRightInd w:val="0"/>
        <w:spacing w:line="240" w:lineRule="exact"/>
        <w:ind w:leftChars="283" w:left="567" w:hanging="1"/>
        <w:jc w:val="left"/>
        <w:textAlignment w:val="baseline"/>
        <w:rPr>
          <w:szCs w:val="20"/>
        </w:rPr>
      </w:pPr>
    </w:p>
    <w:p w:rsidR="004F47BB" w:rsidRPr="004F47BB" w:rsidRDefault="004F47BB" w:rsidP="004F47BB">
      <w:pPr>
        <w:tabs>
          <w:tab w:val="left" w:pos="454"/>
        </w:tabs>
        <w:overflowPunct w:val="0"/>
        <w:adjustRightInd w:val="0"/>
        <w:spacing w:line="240" w:lineRule="exact"/>
        <w:ind w:left="567" w:firstLine="0"/>
        <w:jc w:val="left"/>
        <w:textAlignment w:val="baseline"/>
        <w:rPr>
          <w:szCs w:val="20"/>
        </w:rPr>
      </w:pPr>
      <w:r>
        <w:rPr>
          <w:b/>
        </w:rPr>
        <w:t>Annotazione</w:t>
      </w:r>
    </w:p>
    <w:p w:rsidR="004F47BB" w:rsidRPr="004F47BB" w:rsidRDefault="004F47BB" w:rsidP="004F47BB">
      <w:pPr>
        <w:tabs>
          <w:tab w:val="left" w:pos="454"/>
        </w:tabs>
        <w:overflowPunct w:val="0"/>
        <w:adjustRightInd w:val="0"/>
        <w:spacing w:line="240" w:lineRule="exact"/>
        <w:ind w:left="567" w:firstLine="0"/>
        <w:jc w:val="left"/>
        <w:textAlignment w:val="baseline"/>
        <w:rPr>
          <w:szCs w:val="20"/>
        </w:rPr>
      </w:pPr>
    </w:p>
    <w:p w:rsidR="004F47BB" w:rsidRPr="004F47BB" w:rsidRDefault="004F47BB" w:rsidP="004F47BB">
      <w:pPr>
        <w:tabs>
          <w:tab w:val="left" w:pos="567"/>
        </w:tabs>
        <w:overflowPunct w:val="0"/>
        <w:adjustRightInd w:val="0"/>
        <w:spacing w:line="240" w:lineRule="atLeast"/>
        <w:ind w:left="567" w:firstLine="0"/>
        <w:textAlignment w:val="baseline"/>
        <w:rPr>
          <w:szCs w:val="20"/>
        </w:rPr>
      </w:pPr>
      <w:r>
        <w:rPr>
          <w:i/>
          <w:noProof/>
        </w:rPr>
        <w:t>Nota:</w:t>
      </w:r>
      <w:r>
        <w:t xml:space="preserve"> il termine (</w:t>
      </w:r>
      <m:oMath>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R</m:t>
            </m:r>
          </m:e>
          <m:sub>
            <m:r>
              <w:rPr>
                <w:rFonts w:ascii="Cambria Math" w:hAnsi="Cambria Math"/>
                <w:noProof/>
              </w:rPr>
              <m:t>G</m:t>
            </m:r>
          </m:sub>
        </m:sSub>
      </m:oMath>
      <w:r>
        <w:t xml:space="preserve">), che è una funzione di </w:t>
      </w:r>
      <m:oMath>
        <m:r>
          <w:rPr>
            <w:rFonts w:ascii="Cambria Math" w:hAnsi="Cambria Math"/>
            <w:noProof/>
          </w:rPr>
          <m:t>D</m:t>
        </m:r>
      </m:oMath>
      <w:r>
        <w:t xml:space="preserve">, con un valore effettivo di 20,67 kN è ovviamente relativamente piccolo rispetto a </w:t>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oMath>
      <w:r>
        <w:t xml:space="preserve"> con un valore effettivo di 203,55 kN, quindi a fini di semplificazione, </w:t>
      </w: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II</m:t>
            </m:r>
          </m:sub>
        </m:sSub>
      </m:oMath>
      <w:r>
        <w:t xml:space="preserve"> può essere considerato proporzionale a </w:t>
      </w:r>
      <m:oMath>
        <m:r>
          <w:rPr>
            <w:rFonts w:ascii="Cambria Math" w:hAnsi="Cambria Math"/>
            <w:noProof/>
          </w:rPr>
          <m:t>D</m:t>
        </m:r>
      </m:oMath>
      <w:r>
        <w:t xml:space="preserve">, cioè </w:t>
      </w: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II</m:t>
            </m:r>
          </m:sub>
        </m:sSub>
        <m:r>
          <w:rPr>
            <w:rFonts w:ascii="Cambria Math" w:hAnsi="Cambria Math"/>
            <w:szCs w:val="20"/>
          </w:rPr>
          <m:t>=Const ∙ D</m:t>
        </m:r>
      </m:oMath>
      <w:r>
        <w:t>.</w:t>
      </w:r>
    </w:p>
    <w:p w:rsidR="004F47BB" w:rsidRPr="004F47BB" w:rsidRDefault="004F47BB" w:rsidP="004F47BB">
      <w:pPr>
        <w:tabs>
          <w:tab w:val="left" w:pos="454"/>
        </w:tabs>
        <w:overflowPunct w:val="0"/>
        <w:adjustRightInd w:val="0"/>
        <w:spacing w:line="240" w:lineRule="exact"/>
        <w:ind w:leftChars="567" w:left="1588" w:hanging="454"/>
        <w:jc w:val="left"/>
        <w:textAlignment w:val="baseline"/>
        <w:rPr>
          <w:szCs w:val="20"/>
        </w:rPr>
      </w:pPr>
      <w:r>
        <w:br w:type="page"/>
      </w: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spacing w:line="240" w:lineRule="atLeast"/>
        <w:ind w:left="567" w:hanging="567"/>
        <w:rPr>
          <w:rFonts w:cs="Arial"/>
          <w:b/>
          <w:color w:val="000000"/>
          <w:szCs w:val="20"/>
        </w:rPr>
      </w:pPr>
      <w:r>
        <w:rPr>
          <w:b/>
          <w:color w:val="000000"/>
        </w:rPr>
        <w:t>4.3</w:t>
      </w:r>
      <w:r>
        <w:tab/>
      </w:r>
      <w:r>
        <w:rPr>
          <w:b/>
          <w:noProof/>
          <w:color w:val="000000"/>
        </w:rPr>
        <w:t xml:space="preserve">calcolo di </w:t>
      </w:r>
      <m:oMath>
        <m:sSub>
          <m:sSubPr>
            <m:ctrlPr>
              <w:rPr>
                <w:rFonts w:ascii="Cambria Math" w:hAnsi="Cambria Math"/>
                <w:i/>
                <w:noProof/>
              </w:rPr>
            </m:ctrlPr>
          </m:sSubPr>
          <m:e>
            <m:r>
              <m:rPr>
                <m:sty m:val="bi"/>
              </m:rPr>
              <w:rPr>
                <w:rFonts w:ascii="Cambria Math" w:hAnsi="Cambria Math" w:cs="Arial"/>
                <w:noProof/>
                <w:color w:val="000000"/>
                <w:szCs w:val="20"/>
              </w:rPr>
              <m:t>s</m:t>
            </m:r>
          </m:e>
          <m:sub>
            <m:r>
              <m:rPr>
                <m:sty m:val="bi"/>
              </m:rPr>
              <w:rPr>
                <w:rFonts w:ascii="Cambria Math" w:hAnsi="Cambria Math" w:cs="Arial"/>
                <w:noProof/>
                <w:color w:val="000000"/>
                <w:szCs w:val="20"/>
              </w:rPr>
              <m:t>SOLL</m:t>
            </m:r>
          </m:sub>
        </m:sSub>
      </m:oMath>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567"/>
        </w:tabs>
        <w:overflowPunct w:val="0"/>
        <w:adjustRightInd w:val="0"/>
        <w:spacing w:line="240" w:lineRule="atLeast"/>
        <w:ind w:left="567" w:firstLine="0"/>
        <w:textAlignment w:val="baseline"/>
        <w:rPr>
          <w:szCs w:val="20"/>
        </w:rPr>
      </w:pPr>
      <w:r>
        <w:t>Valori iniziali</w:t>
      </w:r>
    </w:p>
    <w:p w:rsidR="004F47BB" w:rsidRPr="004F47BB" w:rsidRDefault="004F47BB" w:rsidP="004F47BB">
      <w:pPr>
        <w:tabs>
          <w:tab w:val="left" w:pos="567"/>
        </w:tabs>
        <w:overflowPunct w:val="0"/>
        <w:adjustRightInd w:val="0"/>
        <w:spacing w:line="240" w:lineRule="atLeast"/>
        <w:ind w:left="567" w:firstLine="0"/>
        <w:textAlignment w:val="baseline"/>
        <w:rPr>
          <w:szCs w:val="20"/>
        </w:rPr>
      </w:pPr>
    </w:p>
    <w:p w:rsidR="004F47BB" w:rsidRPr="004F47BB" w:rsidRDefault="00624017" w:rsidP="004F47BB">
      <w:pPr>
        <w:tabs>
          <w:tab w:val="left" w:pos="567"/>
          <w:tab w:val="left" w:pos="4962"/>
        </w:tabs>
        <w:overflowPunct w:val="0"/>
        <w:adjustRightInd w:val="0"/>
        <w:spacing w:line="240" w:lineRule="atLeast"/>
        <w:ind w:left="567" w:firstLine="0"/>
        <w:textAlignment w:val="baseline"/>
        <w:rPr>
          <w:szCs w:val="20"/>
        </w:rPr>
      </w:p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r>
          <w:rPr>
            <w:rFonts w:ascii="Cambria Math" w:hAnsi="Cambria Math"/>
            <w:szCs w:val="20"/>
          </w:rPr>
          <m:t>=1,5 m/s ≈ 5,4 km/h</m:t>
        </m:r>
      </m:oMath>
      <w:r w:rsidR="00801F1F">
        <w:tab/>
      </w:r>
      <m:oMath>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oMath>
      <w:r w:rsidR="00801F1F">
        <w:t xml:space="preserve"> = </w:t>
      </w:r>
      <m:oMath>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r>
          <w:rPr>
            <w:rFonts w:ascii="Cambria Math" w:hAnsi="Cambria Math"/>
            <w:szCs w:val="20"/>
          </w:rPr>
          <m:t xml:space="preserve">=5179 </m:t>
        </m:r>
        <m:sSup>
          <m:sSupPr>
            <m:ctrlPr>
              <w:rPr>
                <w:rFonts w:ascii="Cambria Math" w:hAnsi="Cambria Math"/>
                <w:i/>
                <w:szCs w:val="20"/>
              </w:rPr>
            </m:ctrlPr>
          </m:sSupPr>
          <m:e>
            <m:r>
              <w:rPr>
                <w:rFonts w:ascii="Cambria Math" w:hAnsi="Cambria Math"/>
                <w:szCs w:val="20"/>
              </w:rPr>
              <m:t>m</m:t>
            </m:r>
          </m:e>
          <m:sup>
            <m:r>
              <w:rPr>
                <w:rFonts w:ascii="Cambria Math" w:hAnsi="Cambria Math"/>
                <w:szCs w:val="20"/>
              </w:rPr>
              <m:t>3</m:t>
            </m:r>
          </m:sup>
        </m:sSup>
      </m:oMath>
    </w:p>
    <w:p w:rsidR="004F47BB" w:rsidRPr="004F47BB" w:rsidRDefault="004F47BB" w:rsidP="004F47BB">
      <w:pPr>
        <w:tabs>
          <w:tab w:val="left" w:pos="567"/>
        </w:tabs>
        <w:overflowPunct w:val="0"/>
        <w:adjustRightInd w:val="0"/>
        <w:spacing w:line="240" w:lineRule="atLeast"/>
        <w:ind w:left="567" w:firstLine="0"/>
        <w:textAlignment w:val="baseline"/>
        <w:rPr>
          <w:szCs w:val="20"/>
        </w:rPr>
      </w:pPr>
    </w:p>
    <w:p w:rsidR="004F47BB" w:rsidRPr="004F47BB" w:rsidRDefault="00624017" w:rsidP="004F47BB">
      <w:pPr>
        <w:tabs>
          <w:tab w:val="left" w:pos="567"/>
          <w:tab w:val="left" w:pos="4962"/>
        </w:tabs>
        <w:overflowPunct w:val="0"/>
        <w:adjustRightInd w:val="0"/>
        <w:spacing w:line="240" w:lineRule="atLeast"/>
        <w:ind w:left="567" w:firstLine="0"/>
        <w:textAlignment w:val="baseline"/>
        <w:rPr>
          <w:szCs w:val="20"/>
        </w:rPr>
      </w:p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sub>
        </m:sSub>
        <m:r>
          <w:rPr>
            <w:rFonts w:ascii="Cambria Math" w:hAnsi="Cambria Math"/>
            <w:szCs w:val="20"/>
          </w:rPr>
          <m:t>=3,6 m/s ≈ 13 km/h</m:t>
        </m:r>
      </m:oMath>
      <w:r w:rsidR="00801F1F">
        <w:tab/>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SOLL</m:t>
            </m:r>
          </m:sub>
        </m:sSub>
      </m:oMath>
      <w:r w:rsidR="00801F1F">
        <w:t xml:space="preserve"> =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IST</m:t>
            </m:r>
          </m:sub>
        </m:sSub>
        <m:r>
          <w:rPr>
            <w:rFonts w:ascii="Cambria Math" w:hAnsi="Cambria Math"/>
            <w:szCs w:val="20"/>
          </w:rPr>
          <m:t>=2,96 m</m:t>
        </m:r>
      </m:oMath>
    </w:p>
    <w:p w:rsidR="004F47BB" w:rsidRPr="004F47BB" w:rsidRDefault="004F47BB" w:rsidP="004F47BB">
      <w:pPr>
        <w:tabs>
          <w:tab w:val="left" w:pos="567"/>
        </w:tabs>
        <w:overflowPunct w:val="0"/>
        <w:adjustRightInd w:val="0"/>
        <w:spacing w:line="240" w:lineRule="atLeast"/>
        <w:ind w:left="567" w:firstLine="0"/>
        <w:textAlignment w:val="baseline"/>
        <w:rPr>
          <w:szCs w:val="20"/>
        </w:rPr>
      </w:pPr>
    </w:p>
    <w:p w:rsidR="004F47BB" w:rsidRPr="004F47BB" w:rsidRDefault="00624017" w:rsidP="004F47BB">
      <w:pPr>
        <w:tabs>
          <w:tab w:val="left" w:pos="567"/>
        </w:tabs>
        <w:overflowPunct w:val="0"/>
        <w:adjustRightInd w:val="0"/>
        <w:spacing w:line="240" w:lineRule="atLeast"/>
        <w:ind w:left="567" w:firstLine="0"/>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rPr>
            <m:t>=5,1 m/s ≈ 18,4 km/h</m:t>
          </m:r>
        </m:oMath>
      </m:oMathPara>
    </w:p>
    <w:p w:rsidR="004F47BB" w:rsidRPr="004F47BB" w:rsidRDefault="004F47BB"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firstLine="0"/>
        <w:textAlignment w:val="baseline"/>
        <w:rPr>
          <w:szCs w:val="20"/>
        </w:rPr>
      </w:pPr>
    </w:p>
    <w:p w:rsidR="004F47BB" w:rsidRPr="00762086" w:rsidRDefault="004F47BB" w:rsidP="004F47BB">
      <w:pPr>
        <w:tabs>
          <w:tab w:val="left" w:pos="992"/>
          <w:tab w:val="left" w:pos="1843"/>
          <w:tab w:val="left" w:pos="2127"/>
        </w:tabs>
        <w:overflowPunct w:val="0"/>
        <w:adjustRightInd w:val="0"/>
        <w:spacing w:line="240" w:lineRule="atLeast"/>
        <w:ind w:left="992"/>
        <w:textAlignment w:val="baseline"/>
        <w:rPr>
          <w:szCs w:val="20"/>
          <w:lang w:val="pt-PT"/>
        </w:rPr>
      </w:pPr>
      <w:r w:rsidRPr="00762086">
        <w:rPr>
          <w:lang w:val="pt-PT"/>
        </w:rPr>
        <w:t>a)</w:t>
      </w:r>
      <w:r w:rsidRPr="00762086">
        <w:rPr>
          <w:lang w:val="pt-PT"/>
        </w:rPr>
        <w:tab/>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lang w:val="pt-PT"/>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pt-PT"/>
              </w:rPr>
              <m:t>1</m:t>
            </m:r>
          </m:sub>
        </m:sSub>
        <m:r>
          <w:rPr>
            <w:rFonts w:ascii="Cambria Math" w:hAnsi="Cambria Math"/>
            <w:szCs w:val="20"/>
            <w:lang w:val="pt-PT"/>
          </w:rPr>
          <m:t xml:space="preserve"> ∙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lang w:val="pt-PT"/>
          </w:rPr>
          <m:t xml:space="preserve"> ∙ </m:t>
        </m:r>
        <m:sSub>
          <m:sSubPr>
            <m:ctrlPr>
              <w:rPr>
                <w:rFonts w:ascii="Cambria Math" w:hAnsi="Cambria Math"/>
                <w:i/>
                <w:szCs w:val="20"/>
              </w:rPr>
            </m:ctrlPr>
          </m:sSubPr>
          <m:e>
            <m:r>
              <w:rPr>
                <w:rFonts w:ascii="Cambria Math" w:hAnsi="Cambria Math"/>
                <w:szCs w:val="20"/>
              </w:rPr>
              <m:t>t</m:t>
            </m:r>
          </m:e>
          <m:sub>
            <m:r>
              <w:rPr>
                <w:rFonts w:ascii="Cambria Math" w:hAnsi="Cambria Math"/>
                <w:szCs w:val="20"/>
              </w:rPr>
              <m:t>I</m:t>
            </m:r>
          </m:sub>
        </m:sSub>
      </m:oMath>
    </w:p>
    <w:p w:rsidR="004F47BB" w:rsidRPr="00762086" w:rsidRDefault="004F47BB" w:rsidP="004F47BB">
      <w:pPr>
        <w:tabs>
          <w:tab w:val="left" w:pos="992"/>
          <w:tab w:val="left" w:pos="1843"/>
          <w:tab w:val="left" w:pos="2127"/>
        </w:tabs>
        <w:overflowPunct w:val="0"/>
        <w:adjustRightInd w:val="0"/>
        <w:spacing w:line="240" w:lineRule="atLeast"/>
        <w:ind w:left="992"/>
        <w:textAlignment w:val="baseline"/>
        <w:rPr>
          <w:szCs w:val="20"/>
          <w:lang w:val="pt-PT"/>
        </w:rPr>
      </w:pPr>
    </w:p>
    <w:p w:rsidR="004F47BB" w:rsidRPr="004F47BB" w:rsidRDefault="00624017" w:rsidP="004F47BB">
      <w:pPr>
        <w:tabs>
          <w:tab w:val="left" w:pos="992"/>
          <w:tab w:val="left" w:pos="1843"/>
          <w:tab w:val="left" w:pos="2127"/>
        </w:tabs>
        <w:overflowPunct w:val="0"/>
        <w:adjustRightInd w:val="0"/>
        <w:spacing w:line="240" w:lineRule="atLeast"/>
        <w:ind w:left="992" w:firstLine="1"/>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=0,95 ∙5,1 ∙16=</m:t>
          </m:r>
          <m:r>
            <m:rPr>
              <m:sty m:val="bi"/>
            </m:rPr>
            <w:rPr>
              <w:rFonts w:ascii="Cambria Math" w:hAnsi="Cambria Math"/>
              <w:szCs w:val="20"/>
            </w:rPr>
            <m:t>77,50 m</m:t>
          </m:r>
        </m:oMath>
      </m:oMathPara>
    </w:p>
    <w:p w:rsidR="004F47BB" w:rsidRPr="004F47BB" w:rsidRDefault="004F47BB" w:rsidP="004F47BB">
      <w:pPr>
        <w:tabs>
          <w:tab w:val="left" w:pos="284"/>
          <w:tab w:val="left" w:pos="851"/>
          <w:tab w:val="left" w:pos="1134"/>
          <w:tab w:val="left" w:pos="1843"/>
          <w:tab w:val="left" w:pos="2268"/>
          <w:tab w:val="left" w:pos="3261"/>
        </w:tabs>
        <w:overflowPunct w:val="0"/>
        <w:adjustRightInd w:val="0"/>
        <w:spacing w:line="240" w:lineRule="exact"/>
        <w:ind w:left="284" w:hanging="284"/>
        <w:jc w:val="left"/>
        <w:textAlignment w:val="baseline"/>
        <w:rPr>
          <w:szCs w:val="20"/>
        </w:rPr>
      </w:pPr>
    </w:p>
    <w:p w:rsidR="004F47BB" w:rsidRPr="00762086" w:rsidRDefault="004F47BB" w:rsidP="004F47BB">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pl-PL"/>
        </w:rPr>
      </w:pPr>
      <w:r w:rsidRPr="00762086">
        <w:rPr>
          <w:lang w:val="pl-PL"/>
        </w:rPr>
        <w:t>b)</w:t>
      </w:r>
      <w:r w:rsidRPr="00762086">
        <w:rPr>
          <w:lang w:val="pl-PL"/>
        </w:rPr>
        <w:tab/>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lang w:val="pl-PL"/>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pl-PL"/>
              </w:rPr>
              <m:t>2</m:t>
            </m:r>
          </m:sub>
        </m:sSub>
        <m:r>
          <w:rPr>
            <w:rFonts w:ascii="Cambria Math" w:hAnsi="Cambria Math"/>
            <w:szCs w:val="20"/>
            <w:lang w:val="pl-PL"/>
          </w:rPr>
          <m:t xml:space="preserve"> ∙ </m:t>
        </m:r>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lang w:val="pl-PL"/>
                  </w:rPr>
                  <m:t>2</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lang w:val="pl-PL"/>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r>
              <w:rPr>
                <w:rFonts w:ascii="Cambria Math" w:hAnsi="Cambria Math"/>
                <w:szCs w:val="20"/>
                <w:lang w:val="pl-PL"/>
              </w:rPr>
              <m:t xml:space="preserve"> ∙ </m:t>
            </m:r>
            <m:r>
              <w:rPr>
                <w:rFonts w:ascii="Cambria Math" w:hAnsi="Cambria Math"/>
                <w:szCs w:val="20"/>
              </w:rPr>
              <m:t>g</m:t>
            </m:r>
          </m:num>
          <m:den>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pl-PL"/>
                  </w:rPr>
                  <m:t>3</m:t>
                </m:r>
              </m:sub>
            </m:sSub>
            <m:r>
              <w:rPr>
                <w:rFonts w:ascii="Cambria Math" w:hAnsi="Cambria Math"/>
                <w:szCs w:val="20"/>
                <w:lang w:val="pl-PL"/>
              </w:rPr>
              <m:t xml:space="preserve"> ∙ </m:t>
            </m:r>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r>
              <w:rPr>
                <w:rFonts w:ascii="Cambria Math" w:hAnsi="Cambria Math"/>
                <w:szCs w:val="20"/>
                <w:lang w:val="pl-PL"/>
              </w:rPr>
              <m:t xml:space="preserve">+ </m:t>
            </m:r>
            <m:sSub>
              <m:sSubPr>
                <m:ctrlPr>
                  <w:rPr>
                    <w:rFonts w:ascii="Cambria Math" w:hAnsi="Cambria Math"/>
                    <w:i/>
                    <w:szCs w:val="20"/>
                  </w:rPr>
                </m:ctrlPr>
              </m:sSubPr>
              <m:e>
                <m:r>
                  <w:rPr>
                    <w:rFonts w:ascii="Cambria Math" w:hAnsi="Cambria Math"/>
                    <w:szCs w:val="20"/>
                  </w:rPr>
                  <m:t>R</m:t>
                </m:r>
              </m:e>
              <m:sub>
                <m:sSub>
                  <m:sSubPr>
                    <m:ctrlPr>
                      <w:rPr>
                        <w:rFonts w:ascii="Cambria Math" w:hAnsi="Cambria Math"/>
                        <w:i/>
                        <w:szCs w:val="20"/>
                      </w:rPr>
                    </m:ctrlPr>
                  </m:sSubPr>
                  <m:e>
                    <m:r>
                      <w:rPr>
                        <w:rFonts w:ascii="Cambria Math" w:hAnsi="Cambria Math"/>
                        <w:szCs w:val="20"/>
                      </w:rPr>
                      <m:t>TmII</m:t>
                    </m:r>
                  </m:e>
                  <m:sub>
                    <m:r>
                      <w:rPr>
                        <w:rFonts w:ascii="Cambria Math" w:hAnsi="Cambria Math"/>
                        <w:szCs w:val="20"/>
                      </w:rPr>
                      <m:t>SOLL</m:t>
                    </m:r>
                  </m:sub>
                </m:sSub>
              </m:sub>
            </m:sSub>
            <m:r>
              <w:rPr>
                <w:rFonts w:ascii="Cambria Math" w:hAnsi="Cambria Math"/>
                <w:szCs w:val="20"/>
                <w:lang w:val="pl-PL"/>
              </w:rPr>
              <m:t xml:space="preserve">- </m:t>
            </m:r>
            <m:sSub>
              <m:sSubPr>
                <m:ctrlPr>
                  <w:rPr>
                    <w:rFonts w:ascii="Cambria Math" w:hAnsi="Cambria Math"/>
                    <w:i/>
                    <w:szCs w:val="20"/>
                  </w:rPr>
                </m:ctrlPr>
              </m:sSubPr>
              <m:e>
                <m:r>
                  <w:rPr>
                    <w:rFonts w:ascii="Cambria Math" w:hAnsi="Cambria Math"/>
                    <w:szCs w:val="20"/>
                  </w:rPr>
                  <m:t>R</m:t>
                </m:r>
              </m:e>
              <m:sub>
                <m:r>
                  <w:rPr>
                    <w:rFonts w:ascii="Cambria Math" w:hAnsi="Cambria Math"/>
                    <w:szCs w:val="20"/>
                  </w:rPr>
                  <m:t>G</m:t>
                </m:r>
              </m:sub>
            </m:sSub>
          </m:den>
        </m:f>
        <m:r>
          <w:rPr>
            <w:rFonts w:ascii="Cambria Math" w:hAnsi="Cambria Math"/>
            <w:szCs w:val="20"/>
            <w:lang w:val="pl-PL"/>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pl-PL"/>
                  </w:rPr>
                  <m:t>4</m:t>
                </m:r>
              </m:sub>
            </m:sSub>
            <m:r>
              <w:rPr>
                <w:rFonts w:ascii="Cambria Math" w:hAnsi="Cambria Math"/>
                <w:szCs w:val="20"/>
                <w:lang w:val="pl-PL"/>
              </w:rPr>
              <m:t xml:space="preserve">+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num>
              <m:den>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den>
            </m:f>
          </m:e>
        </m:d>
      </m:oMath>
    </w:p>
    <w:p w:rsidR="004F47BB" w:rsidRPr="00762086" w:rsidRDefault="004F47BB" w:rsidP="004F47BB">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pl-PL"/>
        </w:rPr>
      </w:pPr>
    </w:p>
    <w:p w:rsidR="004F47BB" w:rsidRPr="004F47BB" w:rsidRDefault="004F47BB" w:rsidP="004F47BB">
      <w:pPr>
        <w:tabs>
          <w:tab w:val="left" w:pos="992"/>
        </w:tabs>
        <w:overflowPunct w:val="0"/>
        <w:adjustRightInd w:val="0"/>
        <w:spacing w:before="60" w:line="240" w:lineRule="atLeast"/>
        <w:ind w:left="992"/>
        <w:textAlignment w:val="baseline"/>
        <w:rPr>
          <w:szCs w:val="20"/>
        </w:rPr>
      </w:pPr>
      <w:r>
        <w:t>c)</w:t>
      </w:r>
      <w:r>
        <w:tab/>
        <w:t xml:space="preserve">calcolo di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SOLL</m:t>
            </m:r>
          </m:sub>
        </m:sSub>
      </m:oMath>
    </w:p>
    <w:p w:rsidR="004F47BB" w:rsidRPr="004F47BB" w:rsidRDefault="004F47BB" w:rsidP="004F47BB">
      <w:pPr>
        <w:overflowPunct w:val="0"/>
        <w:adjustRightInd w:val="0"/>
        <w:spacing w:line="240" w:lineRule="atLeast"/>
        <w:ind w:left="993" w:firstLine="0"/>
        <w:jc w:val="left"/>
        <w:textAlignment w:val="baseline"/>
        <w:rPr>
          <w:szCs w:val="20"/>
        </w:rPr>
      </w:pPr>
    </w:p>
    <w:p w:rsidR="004F47BB" w:rsidRPr="004F47BB" w:rsidRDefault="00624017" w:rsidP="004F47BB">
      <w:pPr>
        <w:overflowPunct w:val="0"/>
        <w:adjustRightInd w:val="0"/>
        <w:spacing w:line="240" w:lineRule="atLeast"/>
        <w:ind w:left="993" w:firstLine="0"/>
        <w:jc w:val="left"/>
        <w:textAlignment w:val="baseline"/>
        <w:rPr>
          <w:szCs w:val="20"/>
        </w:rPr>
      </w:pPr>
      <m:oMath>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R</m:t>
                </m:r>
              </m:e>
              <m:sub>
                <m:r>
                  <w:rPr>
                    <w:rFonts w:ascii="Cambria Math" w:hAnsi="Cambria Math"/>
                    <w:szCs w:val="20"/>
                  </w:rPr>
                  <m:t>T</m:t>
                </m:r>
              </m:sub>
            </m:sSub>
          </m:num>
          <m:den>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den>
        </m:f>
        <m:r>
          <w:rPr>
            <w:rFonts w:ascii="Cambria Math" w:hAnsi="Cambria Math"/>
            <w:szCs w:val="20"/>
          </w:rPr>
          <m:t xml:space="preserve">=10,8 </m:t>
        </m:r>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w:r w:rsidR="00801F1F">
        <w:tab/>
        <w:t xml:space="preserve">come nel punto 4.2, perché </w:t>
      </w:r>
      <m:oMath>
        <m:r>
          <w:rPr>
            <w:rFonts w:ascii="Cambria Math" w:hAnsi="Cambria Math"/>
            <w:szCs w:val="20"/>
          </w:rPr>
          <m:t>B</m:t>
        </m:r>
      </m:oMath>
      <w:r w:rsidR="00801F1F">
        <w:t xml:space="preserve">, </w:t>
      </w:r>
      <m:oMath>
        <m:r>
          <w:rPr>
            <w:rFonts w:ascii="Cambria Math" w:hAnsi="Cambria Math"/>
            <w:szCs w:val="20"/>
          </w:rPr>
          <m:t>D</m:t>
        </m:r>
      </m:oMath>
      <w:r w:rsidR="00801F1F">
        <w:t xml:space="preserve"> e </w:t>
      </w:r>
      <m:oMath>
        <m:r>
          <w:rPr>
            <w:rFonts w:ascii="Cambria Math" w:hAnsi="Cambria Math"/>
            <w:szCs w:val="20"/>
          </w:rPr>
          <m:t>T</m:t>
        </m:r>
      </m:oMath>
      <w:r w:rsidR="00801F1F">
        <w:t xml:space="preserve"> sono invariati.</w:t>
      </w:r>
    </w:p>
    <w:p w:rsidR="004F47BB" w:rsidRPr="004F47BB" w:rsidRDefault="004F47BB" w:rsidP="004F47BB">
      <w:pPr>
        <w:overflowPunct w:val="0"/>
        <w:adjustRightInd w:val="0"/>
        <w:spacing w:line="240" w:lineRule="exact"/>
        <w:ind w:left="0" w:firstLine="0"/>
        <w:jc w:val="left"/>
        <w:textAlignment w:val="baseline"/>
        <w:rPr>
          <w:szCs w:val="20"/>
        </w:rPr>
      </w:pPr>
    </w:p>
    <w:p w:rsidR="004F47BB" w:rsidRPr="004F47BB" w:rsidRDefault="00624017" w:rsidP="004F47BB">
      <w:pPr>
        <w:overflowPunct w:val="0"/>
        <w:adjustRightInd w:val="0"/>
        <w:spacing w:line="240" w:lineRule="atLeast"/>
        <w:ind w:left="992" w:firstLine="0"/>
        <w:jc w:val="left"/>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r>
            <w:rPr>
              <w:rFonts w:ascii="Cambria Math" w:hAnsi="Cambria Math"/>
              <w:szCs w:val="20"/>
            </w:rPr>
            <m:t xml:space="preserve">=3,6 </m:t>
          </m:r>
          <m:d>
            <m:dPr>
              <m:begChr m:val="["/>
              <m:endChr m:val="]"/>
              <m:ctrlPr>
                <w:rPr>
                  <w:rFonts w:ascii="Cambria Math" w:hAnsi="Cambria Math"/>
                  <w:i/>
                  <w:szCs w:val="20"/>
                </w:rPr>
              </m:ctrlPr>
            </m:dPr>
            <m:e>
              <m:r>
                <w:rPr>
                  <w:rFonts w:ascii="Cambria Math" w:hAnsi="Cambria Math"/>
                  <w:szCs w:val="20"/>
                </w:rPr>
                <m:t>m/s</m:t>
              </m:r>
            </m:e>
          </m:d>
        </m:oMath>
      </m:oMathPara>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624017" w:rsidP="004F47BB">
      <w:pPr>
        <w:overflowPunct w:val="0"/>
        <w:adjustRightInd w:val="0"/>
        <w:spacing w:line="240" w:lineRule="atLeast"/>
        <w:ind w:left="851" w:firstLine="0"/>
        <w:jc w:val="left"/>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SOLL</m:t>
              </m:r>
            </m:sub>
          </m:sSub>
          <m:r>
            <w:rPr>
              <w:rFonts w:ascii="Cambria Math" w:hAnsi="Cambria Math"/>
              <w:noProof/>
            </w:rPr>
            <m:t xml:space="preserve">=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R</m:t>
                  </m:r>
                </m:e>
                <m:sub>
                  <m:r>
                    <w:rPr>
                      <w:rFonts w:ascii="Cambria Math" w:hAnsi="Cambria Math"/>
                      <w:noProof/>
                    </w:rPr>
                    <m:t>T</m:t>
                  </m:r>
                </m:sub>
              </m:sSub>
            </m:num>
            <m:den>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den>
          </m:f>
          <m:r>
            <w:rPr>
              <w:rFonts w:ascii="Cambria Math" w:hAnsi="Cambria Math"/>
              <w:noProof/>
            </w:rPr>
            <m:t xml:space="preserve"> ∙ </m:t>
          </m:r>
          <m:sSup>
            <m:sSupPr>
              <m:ctrlPr>
                <w:rPr>
                  <w:rFonts w:ascii="Cambria Math" w:hAnsi="Cambria Math"/>
                  <w:i/>
                  <w:noProof/>
                </w:rPr>
              </m:ctrlPr>
            </m:sSupPr>
            <m:e>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k</m:t>
                      </m:r>
                    </m:e>
                    <m:sub>
                      <m:r>
                        <w:rPr>
                          <w:rFonts w:ascii="Cambria Math" w:hAnsi="Cambria Math"/>
                          <w:noProof/>
                        </w:rPr>
                        <m:t>7</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k</m:t>
                      </m:r>
                    </m:e>
                    <m:sub>
                      <m:r>
                        <w:rPr>
                          <w:rFonts w:ascii="Cambria Math" w:hAnsi="Cambria Math"/>
                          <w:noProof/>
                        </w:rPr>
                        <m:t>6</m:t>
                      </m:r>
                    </m:sub>
                  </m:sSub>
                  <m:r>
                    <w:rPr>
                      <w:rFonts w:ascii="Cambria Math" w:hAnsi="Cambria Math"/>
                      <w:noProof/>
                    </w:rPr>
                    <m:t xml:space="preserve"> ∙ </m:t>
                  </m:r>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L</m:t>
                              </m:r>
                            </m:e>
                            <m:sub>
                              <m:r>
                                <w:rPr>
                                  <w:rFonts w:ascii="Cambria Math" w:hAnsi="Cambria Math"/>
                                  <w:noProof/>
                                </w:rPr>
                                <m:t>SOLL</m:t>
                              </m:r>
                            </m:sub>
                          </m:sSub>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SOLL</m:t>
                              </m:r>
                            </m:sub>
                          </m:sSub>
                        </m:sub>
                      </m:sSub>
                    </m:e>
                  </m:d>
                </m:e>
              </m:d>
            </m:e>
            <m:sup>
              <m:r>
                <w:rPr>
                  <w:rFonts w:ascii="Cambria Math" w:hAnsi="Cambria Math"/>
                  <w:noProof/>
                </w:rPr>
                <m:t>2</m:t>
              </m:r>
            </m:sup>
          </m:sSup>
          <m:r>
            <w:rPr>
              <w:rFonts w:ascii="Cambria Math" w:hAnsi="Cambria Math"/>
              <w:noProof/>
            </w:rPr>
            <m:t xml:space="preserve">=10,8 ∙ </m:t>
          </m:r>
          <m:sSup>
            <m:sSupPr>
              <m:ctrlPr>
                <w:rPr>
                  <w:rFonts w:ascii="Cambria Math" w:hAnsi="Cambria Math"/>
                  <w:i/>
                  <w:noProof/>
                </w:rPr>
              </m:ctrlPr>
            </m:sSupPr>
            <m:e>
              <m:d>
                <m:dPr>
                  <m:ctrlPr>
                    <w:rPr>
                      <w:rFonts w:ascii="Cambria Math" w:hAnsi="Cambria Math"/>
                      <w:i/>
                      <w:noProof/>
                    </w:rPr>
                  </m:ctrlPr>
                </m:dPr>
                <m:e>
                  <m:r>
                    <w:rPr>
                      <w:rFonts w:ascii="Cambria Math" w:hAnsi="Cambria Math"/>
                      <w:noProof/>
                    </w:rPr>
                    <m:t>0,55 ∙0,85 ∙3,6</m:t>
                  </m:r>
                </m:e>
              </m:d>
            </m:e>
            <m:sup>
              <m:r>
                <w:rPr>
                  <w:rFonts w:ascii="Cambria Math" w:hAnsi="Cambria Math"/>
                  <w:noProof/>
                </w:rPr>
                <m:t>2</m:t>
              </m:r>
            </m:sup>
          </m:sSup>
          <m:r>
            <w:rPr>
              <w:rFonts w:ascii="Cambria Math" w:hAnsi="Cambria Math"/>
              <w:noProof/>
            </w:rPr>
            <m:t>=</m:t>
          </m:r>
          <m:r>
            <m:rPr>
              <m:sty m:val="bi"/>
            </m:rPr>
            <w:rPr>
              <w:rFonts w:ascii="Cambria Math" w:hAnsi="Cambria Math"/>
              <w:noProof/>
            </w:rPr>
            <m:t xml:space="preserve">30,99 </m:t>
          </m:r>
          <m:d>
            <m:dPr>
              <m:begChr m:val="["/>
              <m:endChr m:val="]"/>
              <m:ctrlPr>
                <w:rPr>
                  <w:rFonts w:ascii="Cambria Math" w:hAnsi="Cambria Math"/>
                  <w:b/>
                  <w:i/>
                  <w:noProof/>
                </w:rPr>
              </m:ctrlPr>
            </m:dPr>
            <m:e>
              <m:r>
                <m:rPr>
                  <m:sty m:val="bi"/>
                </m:rPr>
                <w:rPr>
                  <w:rFonts w:ascii="Cambria Math" w:hAnsi="Cambria Math"/>
                  <w:noProof/>
                </w:rPr>
                <m:t>kN</m:t>
              </m:r>
            </m:e>
          </m:d>
        </m:oMath>
      </m:oMathPara>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992"/>
        </w:tabs>
        <w:overflowPunct w:val="0"/>
        <w:adjustRightInd w:val="0"/>
        <w:spacing w:before="60" w:line="240" w:lineRule="atLeast"/>
        <w:ind w:left="992"/>
        <w:textAlignment w:val="baseline"/>
        <w:rPr>
          <w:szCs w:val="20"/>
        </w:rPr>
      </w:pPr>
      <w:r>
        <w:t>d)</w:t>
      </w:r>
      <w:r>
        <w:tab/>
        <w:t xml:space="preserve">resistenza dovuta al gradiente </w:t>
      </w:r>
      <m:oMath>
        <m:sSub>
          <m:sSubPr>
            <m:ctrlPr>
              <w:rPr>
                <w:rFonts w:ascii="Cambria Math" w:hAnsi="Cambria Math"/>
                <w:i/>
                <w:noProof/>
              </w:rPr>
            </m:ctrlPr>
          </m:sSubPr>
          <m:e>
            <m:r>
              <w:rPr>
                <w:rFonts w:ascii="Cambria Math" w:hAnsi="Cambria Math"/>
                <w:noProof/>
              </w:rPr>
              <m:t>R</m:t>
            </m:r>
          </m:e>
          <m:sub>
            <m:r>
              <w:rPr>
                <w:rFonts w:ascii="Cambria Math" w:hAnsi="Cambria Math"/>
                <w:noProof/>
              </w:rPr>
              <m:t>G</m:t>
            </m:r>
          </m:sub>
        </m:sSub>
      </m:oMath>
      <w:r>
        <w:t xml:space="preserve"> come nel punto 4.2</w:t>
      </w:r>
    </w:p>
    <w:p w:rsidR="004F47BB" w:rsidRPr="004F47BB" w:rsidRDefault="004F47BB" w:rsidP="004F47BB">
      <w:pPr>
        <w:tabs>
          <w:tab w:val="left" w:pos="992"/>
        </w:tabs>
        <w:overflowPunct w:val="0"/>
        <w:adjustRightInd w:val="0"/>
        <w:spacing w:line="240" w:lineRule="atLeast"/>
        <w:ind w:left="992"/>
        <w:textAlignment w:val="baseline"/>
        <w:rPr>
          <w:szCs w:val="20"/>
        </w:rPr>
      </w:pPr>
    </w:p>
    <w:p w:rsidR="004F47BB" w:rsidRPr="004F47BB" w:rsidRDefault="004F47BB" w:rsidP="004F47BB">
      <w:pPr>
        <w:tabs>
          <w:tab w:val="left" w:pos="992"/>
        </w:tabs>
        <w:overflowPunct w:val="0"/>
        <w:adjustRightInd w:val="0"/>
        <w:spacing w:before="60" w:line="240" w:lineRule="atLeast"/>
        <w:ind w:left="992"/>
        <w:textAlignment w:val="baseline"/>
        <w:rPr>
          <w:szCs w:val="20"/>
        </w:rPr>
      </w:pPr>
      <w:r>
        <w:t>e)</w:t>
      </w:r>
      <w:r>
        <w:tab/>
        <w:t xml:space="preserve">calcolo di </w:t>
      </w: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oMath>
    </w:p>
    <w:p w:rsidR="004F47BB" w:rsidRPr="004F47BB" w:rsidRDefault="004F47BB" w:rsidP="004F47BB">
      <w:pPr>
        <w:tabs>
          <w:tab w:val="left" w:pos="454"/>
        </w:tabs>
        <w:overflowPunct w:val="0"/>
        <w:adjustRightInd w:val="0"/>
        <w:spacing w:line="240" w:lineRule="atLeast"/>
        <w:ind w:left="454" w:firstLine="539"/>
        <w:jc w:val="left"/>
        <w:textAlignment w:val="baseline"/>
        <w:rPr>
          <w:szCs w:val="20"/>
        </w:rPr>
      </w:pPr>
    </w:p>
    <w:p w:rsidR="004F47BB" w:rsidRPr="004F47BB" w:rsidRDefault="00624017" w:rsidP="004F47BB">
      <w:pPr>
        <w:overflowPunct w:val="0"/>
        <w:adjustRightInd w:val="0"/>
        <w:spacing w:line="240" w:lineRule="atLeast"/>
        <w:ind w:left="993" w:firstLine="0"/>
        <w:jc w:val="left"/>
        <w:textAlignment w:val="baseline"/>
        <w:rPr>
          <w:szCs w:val="20"/>
        </w:rPr>
      </w:pPr>
      <m:oMathPara>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r>
            <w:rPr>
              <w:rFonts w:ascii="Cambria Math" w:hAnsi="Cambria Math"/>
              <w:szCs w:val="20"/>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e>
          </m:d>
          <m:r>
            <w:rPr>
              <w:rFonts w:ascii="Cambria Math" w:hAnsi="Cambria Math"/>
              <w:szCs w:val="20"/>
            </w:rPr>
            <m:t>=0,85 ∙3,6=</m:t>
          </m:r>
          <m:r>
            <m:rPr>
              <m:sty m:val="bi"/>
            </m:rPr>
            <w:rPr>
              <w:rFonts w:ascii="Cambria Math" w:hAnsi="Cambria Math"/>
              <w:szCs w:val="20"/>
            </w:rPr>
            <m:t>3,06</m:t>
          </m:r>
          <m:r>
            <w:rPr>
              <w:rFonts w:ascii="Cambria Math" w:hAnsi="Cambria Math"/>
              <w:szCs w:val="20"/>
            </w:rPr>
            <m:t xml:space="preserve"> </m:t>
          </m:r>
          <m:d>
            <m:dPr>
              <m:begChr m:val="["/>
              <m:endChr m:val="]"/>
              <m:ctrlPr>
                <w:rPr>
                  <w:rFonts w:ascii="Cambria Math" w:hAnsi="Cambria Math"/>
                  <w:i/>
                  <w:szCs w:val="20"/>
                </w:rPr>
              </m:ctrlPr>
            </m:dPr>
            <m:e>
              <m:r>
                <w:rPr>
                  <w:rFonts w:ascii="Cambria Math" w:hAnsi="Cambria Math"/>
                  <w:szCs w:val="20"/>
                </w:rPr>
                <m:t>m/s</m:t>
              </m:r>
            </m:e>
          </m:d>
          <m:r>
            <w:rPr>
              <w:rFonts w:ascii="Cambria Math" w:hAnsi="Cambria Math"/>
              <w:szCs w:val="20"/>
            </w:rPr>
            <m:t>,</m:t>
          </m:r>
          <m:r>
            <m:rPr>
              <m:sty m:val="p"/>
            </m:rPr>
            <w:rPr>
              <w:rFonts w:ascii="Cambria Math" w:hAnsi="Cambria Math"/>
            </w:rPr>
            <m:t xml:space="preserve"> </m:t>
          </m:r>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 xml:space="preserve">=9,36 </m:t>
          </m:r>
          <m:sSup>
            <m:sSupPr>
              <m:ctrlPr>
                <w:rPr>
                  <w:rFonts w:ascii="Cambria Math" w:hAnsi="Cambria Math"/>
                  <w:i/>
                  <w:szCs w:val="20"/>
                </w:rPr>
              </m:ctrlPr>
            </m:sSupPr>
            <m:e>
              <m:d>
                <m:dPr>
                  <m:begChr m:val="["/>
                  <m:endChr m:val="]"/>
                  <m:ctrlPr>
                    <w:rPr>
                      <w:rFonts w:ascii="Cambria Math" w:hAnsi="Cambria Math"/>
                      <w:i/>
                      <w:szCs w:val="20"/>
                    </w:rPr>
                  </m:ctrlPr>
                </m:dPr>
                <m:e>
                  <m:r>
                    <w:rPr>
                      <w:rFonts w:ascii="Cambria Math" w:hAnsi="Cambria Math"/>
                      <w:szCs w:val="20"/>
                    </w:rPr>
                    <m:t>m/s</m:t>
                  </m:r>
                </m:e>
              </m:d>
            </m:e>
            <m:sup>
              <m:r>
                <w:rPr>
                  <w:rFonts w:ascii="Cambria Math" w:hAnsi="Cambria Math"/>
                  <w:szCs w:val="20"/>
                </w:rPr>
                <m:t>2</m:t>
              </m:r>
            </m:sup>
          </m:sSup>
        </m:oMath>
      </m:oMathPara>
    </w:p>
    <w:p w:rsidR="004F47BB" w:rsidRPr="004F47BB" w:rsidRDefault="004F47BB" w:rsidP="004F47BB">
      <w:pPr>
        <w:tabs>
          <w:tab w:val="left" w:pos="0"/>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992"/>
        </w:tabs>
        <w:overflowPunct w:val="0"/>
        <w:adjustRightInd w:val="0"/>
        <w:spacing w:before="60" w:line="240" w:lineRule="atLeast"/>
        <w:ind w:left="992"/>
        <w:textAlignment w:val="baseline"/>
        <w:rPr>
          <w:szCs w:val="20"/>
        </w:rPr>
      </w:pPr>
      <w:r>
        <w:t>f)</w:t>
      </w:r>
      <w:r>
        <w:tab/>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oMath>
      <w:r>
        <w:t xml:space="preserve"> come nel punto 4.2.</w:t>
      </w: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284"/>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992"/>
        </w:tabs>
        <w:overflowPunct w:val="0"/>
        <w:adjustRightInd w:val="0"/>
        <w:spacing w:line="240" w:lineRule="atLeast"/>
        <w:ind w:left="992"/>
        <w:textAlignment w:val="baseline"/>
        <w:rPr>
          <w:szCs w:val="20"/>
        </w:rPr>
      </w:pPr>
      <w:r>
        <w:br w:type="page"/>
      </w:r>
    </w:p>
    <w:p w:rsidR="004F47BB" w:rsidRPr="004F47BB" w:rsidRDefault="004F47BB" w:rsidP="004F47BB">
      <w:pPr>
        <w:tabs>
          <w:tab w:val="left" w:pos="992"/>
        </w:tabs>
        <w:overflowPunct w:val="0"/>
        <w:adjustRightInd w:val="0"/>
        <w:spacing w:before="60" w:line="240" w:lineRule="atLeast"/>
        <w:ind w:left="992"/>
        <w:textAlignment w:val="baseline"/>
        <w:rPr>
          <w:szCs w:val="20"/>
        </w:rPr>
      </w:pPr>
      <w:r>
        <w:lastRenderedPageBreak/>
        <w:t>g)</w:t>
      </w:r>
      <w:r>
        <w:tab/>
        <w:t xml:space="preserve">calcolo di </w:t>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oMath>
      <w:r>
        <w:t xml:space="preserve"> usando la formula b) e i risultati da c) a f)</w:t>
      </w:r>
    </w:p>
    <w:p w:rsidR="004F47BB" w:rsidRPr="004F47BB" w:rsidRDefault="004F47BB" w:rsidP="004F47BB">
      <w:pPr>
        <w:overflowPunct w:val="0"/>
        <w:adjustRightInd w:val="0"/>
        <w:spacing w:line="240" w:lineRule="exact"/>
        <w:ind w:left="993" w:firstLine="0"/>
        <w:jc w:val="left"/>
        <w:textAlignment w:val="baseline"/>
        <w:rPr>
          <w:szCs w:val="20"/>
        </w:rPr>
      </w:pPr>
    </w:p>
    <w:p w:rsidR="004F47BB" w:rsidRPr="004F47BB" w:rsidRDefault="00624017" w:rsidP="004F47BB">
      <w:pPr>
        <w:overflowPunct w:val="0"/>
        <w:adjustRightInd w:val="0"/>
        <w:spacing w:line="240" w:lineRule="atLeast"/>
        <w:ind w:left="992" w:firstLine="0"/>
        <w:jc w:val="left"/>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 xml:space="preserve">= </m:t>
          </m:r>
          <m:f>
            <m:fPr>
              <m:ctrlPr>
                <w:rPr>
                  <w:rFonts w:ascii="Cambria Math" w:hAnsi="Cambria Math"/>
                  <w:i/>
                  <w:szCs w:val="20"/>
                </w:rPr>
              </m:ctrlPr>
            </m:fPr>
            <m:num>
              <m:r>
                <w:rPr>
                  <w:rFonts w:ascii="Cambria Math" w:hAnsi="Cambria Math"/>
                  <w:szCs w:val="20"/>
                </w:rPr>
                <m:t xml:space="preserve">0,12 ∙9,36 ∙9,81 ∙ </m:t>
              </m:r>
              <m:d>
                <m:dPr>
                  <m:ctrlPr>
                    <w:rPr>
                      <w:rFonts w:ascii="Cambria Math" w:hAnsi="Cambria Math"/>
                      <w:i/>
                      <w:szCs w:val="20"/>
                    </w:rPr>
                  </m:ctrlPr>
                </m:dPr>
                <m:e>
                  <m:r>
                    <w:rPr>
                      <w:rFonts w:ascii="Cambria Math" w:hAnsi="Cambria Math"/>
                      <w:szCs w:val="20"/>
                    </w:rPr>
                    <m:t xml:space="preserve">0,48+ </m:t>
                  </m:r>
                  <m:f>
                    <m:fPr>
                      <m:ctrlPr>
                        <w:rPr>
                          <w:rFonts w:ascii="Cambria Math" w:hAnsi="Cambria Math"/>
                          <w:i/>
                          <w:szCs w:val="20"/>
                        </w:rPr>
                      </m:ctrlPr>
                    </m:fPr>
                    <m:num>
                      <m:r>
                        <w:rPr>
                          <w:rFonts w:ascii="Cambria Math" w:hAnsi="Cambria Math"/>
                          <w:szCs w:val="20"/>
                        </w:rPr>
                        <m:t>1,5</m:t>
                      </m:r>
                    </m:num>
                    <m:den>
                      <m:r>
                        <w:rPr>
                          <w:rFonts w:ascii="Cambria Math" w:hAnsi="Cambria Math"/>
                          <w:szCs w:val="20"/>
                        </w:rPr>
                        <m:t>3,06</m:t>
                      </m:r>
                    </m:den>
                  </m:f>
                </m:e>
              </m:d>
            </m:num>
            <m:den>
              <m:r>
                <w:rPr>
                  <w:rFonts w:ascii="Cambria Math" w:hAnsi="Cambria Math"/>
                  <w:szCs w:val="20"/>
                </w:rPr>
                <m:t>1,15 ∙177+30,99-8,13</m:t>
              </m:r>
            </m:den>
          </m:f>
          <m:r>
            <w:rPr>
              <w:rFonts w:ascii="Cambria Math" w:hAnsi="Cambria Math"/>
              <w:szCs w:val="20"/>
            </w:rPr>
            <m:t xml:space="preserve"> ∙5179</m:t>
          </m:r>
        </m:oMath>
      </m:oMathPara>
    </w:p>
    <w:p w:rsidR="004F47BB" w:rsidRPr="004F47BB" w:rsidRDefault="004F47BB" w:rsidP="004F47BB">
      <w:pPr>
        <w:tabs>
          <w:tab w:val="left" w:pos="454"/>
        </w:tabs>
        <w:overflowPunct w:val="0"/>
        <w:adjustRightInd w:val="0"/>
        <w:spacing w:line="240" w:lineRule="atLeast"/>
        <w:ind w:left="454" w:hanging="454"/>
        <w:jc w:val="left"/>
        <w:textAlignment w:val="baseline"/>
        <w:rPr>
          <w:szCs w:val="20"/>
        </w:rPr>
      </w:pPr>
      <w:r>
        <w:rPr>
          <w:noProof/>
          <w:szCs w:val="20"/>
          <w:lang w:val="en-GB" w:eastAsia="en-GB" w:bidi="ar-SA"/>
        </w:rPr>
        <mc:AlternateContent>
          <mc:Choice Requires="wps">
            <w:drawing>
              <wp:anchor distT="0" distB="0" distL="114300" distR="114300" simplePos="0" relativeHeight="251686912" behindDoc="0" locked="0" layoutInCell="1" allowOverlap="1" wp14:anchorId="55CAD95E" wp14:editId="6201BFAA">
                <wp:simplePos x="0" y="0"/>
                <wp:positionH relativeFrom="column">
                  <wp:posOffset>898221</wp:posOffset>
                </wp:positionH>
                <wp:positionV relativeFrom="paragraph">
                  <wp:posOffset>138430</wp:posOffset>
                </wp:positionV>
                <wp:extent cx="90807" cy="413785"/>
                <wp:effectExtent l="0" t="8890" r="14605" b="14605"/>
                <wp:wrapNone/>
                <wp:docPr id="155" name="AutoShape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90807" cy="413785"/>
                        </a:xfrm>
                        <a:prstGeom prst="rightBrace">
                          <a:avLst>
                            <a:gd name="adj1" fmla="val 4195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type xmlns:o="urn:schemas-microsoft-com:office:office" xmlns:v="urn:schemas-microsoft-com:vml" id="_x0000_t88" coordsize="21600,21600" filled="f" o:spt="88" adj="1800,10800" path="m,qx10800@0l10800@2qy21600@11,10800@3l10800@1qy,21600e">
                <v:formulas>
                  <v:f eqn="val #0"/>
                  <v:f eqn="sum 21600 0 #0"/>
                  <v:f eqn="sum #1 0 #0"/>
                  <v:f eqn="sum #1 #0 0"/>
                  <v:f eqn="prod #0 9598 32768"/>
                  <v:f eqn="sum 21600 0 @4"/>
                  <v:f eqn="sum 21600 0 #1"/>
                  <v:f eqn="min #1 @6"/>
                  <v:f eqn="prod @7 1 2"/>
                  <v:f eqn="prod #0 2 1"/>
                  <v:f eqn="sum 21600 0 @9"/>
                  <v:f eqn="val #1"/>
                </v:formulas>
                <v:path textboxrect="0,@4,7637,@5" arrowok="t" o:connecttype="custom" o:connectlocs="0,0;21600,@11;0,21600"/>
                <v:handles>
                  <v:h position="center,#0" yrange="0,@8"/>
                  <v:h position="bottomRight,#1" yrange="@9,@10"/>
                </v:handles>
              </v:shapetype>
              <v:shape xmlns:o="urn:schemas-microsoft-com:office:office" xmlns:v="urn:schemas-microsoft-com:vml" id="AutoShape 127" style="position:absolute;margin-left:70.75pt;margin-top:10.9pt;width:7.15pt;height:32.6pt;rotation:9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88" adj="19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"/>
            </w:pict>
          </mc:Fallback>
        </mc:AlternateContent>
      </w:r>
    </w:p>
    <w:p w:rsidR="004F47BB" w:rsidRPr="004F47BB" w:rsidRDefault="004F47BB" w:rsidP="004F47BB">
      <w:pPr>
        <w:overflowPunct w:val="0"/>
        <w:adjustRightInd w:val="0"/>
        <w:spacing w:line="240" w:lineRule="exact"/>
        <w:ind w:left="993" w:firstLine="0"/>
        <w:jc w:val="left"/>
        <w:textAlignment w:val="baseline"/>
        <w:rPr>
          <w:szCs w:val="20"/>
        </w:rPr>
      </w:pPr>
      <m:oMathPara>
        <m:oMathParaPr>
          <m:jc m:val="left"/>
        </m:oMathParaPr>
        <m:oMath>
          <m:r>
            <w:rPr>
              <w:rFonts w:ascii="Cambria Math" w:hAnsi="Cambria Math"/>
              <w:szCs w:val="20"/>
            </w:rPr>
            <m:t>=0,0472 ∙5179=</m:t>
          </m:r>
          <m:r>
            <m:rPr>
              <m:sty m:val="bi"/>
            </m:rPr>
            <w:rPr>
              <w:rFonts w:ascii="Cambria Math" w:hAnsi="Cambria Math"/>
              <w:szCs w:val="20"/>
            </w:rPr>
            <m:t>244,5 m</m:t>
          </m:r>
        </m:oMath>
      </m:oMathPara>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624017" w:rsidP="004F47BB">
      <w:pPr>
        <w:overflowPunct w:val="0"/>
        <w:adjustRightInd w:val="0"/>
        <w:spacing w:line="240" w:lineRule="atLeast"/>
        <w:ind w:left="993" w:hanging="1"/>
        <w:jc w:val="left"/>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Const</m:t>
              </m:r>
            </m:e>
            <m:sub>
              <m:r>
                <w:rPr>
                  <w:rFonts w:ascii="Cambria Math" w:hAnsi="Cambria Math"/>
                  <w:szCs w:val="20"/>
                </w:rPr>
                <m:t>SOLL</m:t>
              </m:r>
            </m:sub>
          </m:sSub>
        </m:oMath>
      </m:oMathPara>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992"/>
        </w:tabs>
        <w:overflowPunct w:val="0"/>
        <w:adjustRightInd w:val="0"/>
        <w:spacing w:before="60" w:line="240" w:lineRule="atLeast"/>
        <w:ind w:left="992"/>
        <w:textAlignment w:val="baseline"/>
        <w:rPr>
          <w:szCs w:val="20"/>
        </w:rPr>
      </w:pPr>
      <w:r>
        <w:t>h)</w:t>
      </w:r>
      <w:r>
        <w:tab/>
        <w:t>calcolo della distanza totale</w:t>
      </w:r>
    </w:p>
    <w:p w:rsidR="004F47BB" w:rsidRPr="004F47BB" w:rsidRDefault="004F47BB" w:rsidP="004F47BB">
      <w:pPr>
        <w:tabs>
          <w:tab w:val="left" w:pos="992"/>
        </w:tabs>
        <w:overflowPunct w:val="0"/>
        <w:adjustRightInd w:val="0"/>
        <w:spacing w:line="240" w:lineRule="atLeast"/>
        <w:ind w:left="992"/>
        <w:textAlignment w:val="baseline"/>
        <w:rPr>
          <w:szCs w:val="20"/>
        </w:rPr>
      </w:pPr>
    </w:p>
    <w:p w:rsidR="004F47BB" w:rsidRPr="004F47BB" w:rsidRDefault="00624017" w:rsidP="004F47BB">
      <w:pPr>
        <w:tabs>
          <w:tab w:val="left" w:pos="992"/>
        </w:tabs>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b/>
                  <w:i/>
                  <w:szCs w:val="20"/>
                </w:rPr>
              </m:ctrlPr>
            </m:sSubPr>
            <m:e>
              <m:r>
                <m:rPr>
                  <m:sty m:val="bi"/>
                </m:rPr>
                <w:rPr>
                  <w:rFonts w:ascii="Cambria Math" w:hAnsi="Cambria Math"/>
                  <w:szCs w:val="20"/>
                </w:rPr>
                <m:t>s</m:t>
              </m:r>
            </m:e>
            <m:sub>
              <m:r>
                <m:rPr>
                  <m:sty m:val="bi"/>
                </m:rPr>
                <w:rPr>
                  <w:rFonts w:ascii="Cambria Math" w:hAnsi="Cambria Math"/>
                  <w:szCs w:val="20"/>
                </w:rPr>
                <m:t>SOLL</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=77,5+244,5=</m:t>
          </m:r>
          <m:r>
            <m:rPr>
              <m:sty m:val="bi"/>
            </m:rPr>
            <w:rPr>
              <w:rFonts w:ascii="Cambria Math" w:hAnsi="Cambria Math"/>
              <w:szCs w:val="20"/>
            </w:rPr>
            <m:t>322 m</m:t>
          </m:r>
        </m:oMath>
      </m:oMathPara>
    </w:p>
    <w:p w:rsidR="004F47BB" w:rsidRPr="004F47BB" w:rsidRDefault="004F47BB" w:rsidP="004F47BB">
      <w:pPr>
        <w:overflowPunct w:val="0"/>
        <w:adjustRightInd w:val="0"/>
        <w:spacing w:line="240" w:lineRule="exact"/>
        <w:ind w:left="567" w:hanging="567"/>
        <w:jc w:val="left"/>
        <w:textAlignment w:val="baseline"/>
        <w:rPr>
          <w:position w:val="6"/>
          <w:szCs w:val="20"/>
        </w:rPr>
      </w:pPr>
    </w:p>
    <w:p w:rsidR="004F47BB" w:rsidRPr="004F47BB" w:rsidRDefault="004F47BB" w:rsidP="004F47BB">
      <w:pPr>
        <w:spacing w:line="240" w:lineRule="atLeast"/>
        <w:ind w:left="567" w:hanging="567"/>
        <w:rPr>
          <w:rFonts w:cs="Arial"/>
          <w:b/>
          <w:color w:val="000000"/>
          <w:szCs w:val="20"/>
        </w:rPr>
      </w:pPr>
      <w:r>
        <w:rPr>
          <w:b/>
          <w:color w:val="000000"/>
        </w:rPr>
        <w:t>4.4</w:t>
      </w:r>
      <w:r>
        <w:tab/>
      </w:r>
      <w:r>
        <w:rPr>
          <w:b/>
          <w:color w:val="000000"/>
        </w:rPr>
        <w:t xml:space="preserve">Verifica del rispetto della distanza di arresto consentita in condizioni normali </w:t>
      </w:r>
      <m:oMath>
        <m:sSub>
          <m:sSubPr>
            <m:ctrlPr>
              <w:rPr>
                <w:rFonts w:ascii="Cambria Math" w:hAnsi="Cambria Math" w:cs="Arial"/>
                <w:b/>
                <w:i/>
                <w:color w:val="000000"/>
                <w:szCs w:val="20"/>
              </w:rPr>
            </m:ctrlPr>
          </m:sSubPr>
          <m:e>
            <m:r>
              <m:rPr>
                <m:sty m:val="bi"/>
              </m:rPr>
              <w:rPr>
                <w:rFonts w:ascii="Cambria Math" w:hAnsi="Cambria Math" w:cs="Arial"/>
                <w:color w:val="000000"/>
                <w:szCs w:val="20"/>
              </w:rPr>
              <m:t>s</m:t>
            </m:r>
          </m:e>
          <m:sub>
            <m:r>
              <m:rPr>
                <m:sty m:val="bi"/>
              </m:rPr>
              <w:rPr>
                <w:rFonts w:ascii="Cambria Math" w:hAnsi="Cambria Math" w:cs="Arial"/>
                <w:color w:val="000000"/>
                <w:szCs w:val="20"/>
              </w:rPr>
              <m:t>NORM</m:t>
            </m:r>
          </m:sub>
        </m:sSub>
      </m:oMath>
      <w:r>
        <w:rPr>
          <w:b/>
          <w:color w:val="000000"/>
        </w:rPr>
        <w:t xml:space="preserve"> </w:t>
      </w: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567"/>
        </w:tabs>
        <w:overflowPunct w:val="0"/>
        <w:adjustRightInd w:val="0"/>
        <w:spacing w:line="240" w:lineRule="atLeast"/>
        <w:ind w:left="567" w:firstLine="0"/>
        <w:textAlignment w:val="baseline"/>
        <w:rPr>
          <w:szCs w:val="20"/>
        </w:rPr>
      </w:pPr>
      <w:r>
        <w:t>secondo la formula 2.1 dell'allegato 2</w:t>
      </w: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624017" w:rsidP="004F47BB">
      <w:pPr>
        <w:overflowPunct w:val="0"/>
        <w:adjustRightInd w:val="0"/>
        <w:spacing w:line="240" w:lineRule="atLeast"/>
        <w:ind w:left="567" w:firstLine="0"/>
        <w:jc w:val="left"/>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rPr>
            <m:t xml:space="preserve">=340 ∙ </m:t>
          </m:r>
          <m:f>
            <m:fPr>
              <m:ctrlPr>
                <w:rPr>
                  <w:rFonts w:ascii="Cambria Math" w:hAnsi="Cambria Math"/>
                  <w:i/>
                  <w:szCs w:val="20"/>
                </w:rPr>
              </m:ctrlPr>
            </m:fPr>
            <m:num>
              <m:r>
                <w:rPr>
                  <w:rFonts w:ascii="Cambria Math" w:hAnsi="Cambria Math"/>
                  <w:szCs w:val="20"/>
                </w:rPr>
                <m:t>322</m:t>
              </m:r>
            </m:num>
            <m:den>
              <m:r>
                <w:rPr>
                  <w:rFonts w:ascii="Cambria Math" w:hAnsi="Cambria Math"/>
                  <w:szCs w:val="20"/>
                </w:rPr>
                <m:t>303,4</m:t>
              </m:r>
            </m:den>
          </m:f>
          <m:r>
            <w:rPr>
              <w:rFonts w:ascii="Cambria Math" w:hAnsi="Cambria Math"/>
              <w:szCs w:val="20"/>
            </w:rPr>
            <m:t>=</m:t>
          </m:r>
          <m:r>
            <m:rPr>
              <m:sty m:val="bi"/>
            </m:rPr>
            <w:rPr>
              <w:rFonts w:ascii="Cambria Math" w:hAnsi="Cambria Math"/>
              <w:szCs w:val="20"/>
            </w:rPr>
            <m:t>360,8 m &lt;550 m</m:t>
          </m:r>
        </m:oMath>
      </m:oMathPara>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567"/>
        </w:tabs>
        <w:overflowPunct w:val="0"/>
        <w:adjustRightInd w:val="0"/>
        <w:spacing w:line="240" w:lineRule="atLeast"/>
        <w:ind w:left="1134" w:hanging="567"/>
        <w:textAlignment w:val="baseline"/>
        <w:rPr>
          <w:b/>
          <w:bCs/>
          <w:szCs w:val="20"/>
        </w:rPr>
      </w:pPr>
      <w:r>
        <w:rPr>
          <w:b/>
        </w:rPr>
        <w:t>Conclusione</w:t>
      </w: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567"/>
        </w:tabs>
        <w:overflowPunct w:val="0"/>
        <w:adjustRightInd w:val="0"/>
        <w:spacing w:line="240" w:lineRule="atLeast"/>
        <w:ind w:left="567" w:firstLine="0"/>
        <w:textAlignment w:val="baseline"/>
        <w:rPr>
          <w:szCs w:val="20"/>
        </w:rPr>
      </w:pPr>
      <w:r>
        <w:t>Il valore limite ammissibile è ben lungi dall'essere raggiunto, ossia</w:t>
      </w:r>
    </w:p>
    <w:p w:rsidR="004F47BB" w:rsidRPr="004F47BB" w:rsidRDefault="004F47BB" w:rsidP="004F47BB">
      <w:pPr>
        <w:tabs>
          <w:tab w:val="left" w:pos="992"/>
        </w:tabs>
        <w:overflowPunct w:val="0"/>
        <w:adjustRightInd w:val="0"/>
        <w:spacing w:before="60" w:line="240" w:lineRule="atLeast"/>
        <w:ind w:left="992"/>
        <w:textAlignment w:val="baseline"/>
        <w:rPr>
          <w:szCs w:val="20"/>
        </w:rPr>
      </w:pPr>
      <w:r>
        <w:t>-</w:t>
      </w:r>
      <w:r>
        <w:tab/>
        <w:t>per la condizione di carico effettiva, è possibile l'ammissione alla navigazione a valle (</w:t>
      </w:r>
      <m:oMath>
        <m:r>
          <w:rPr>
            <w:rFonts w:ascii="Cambria Math" w:hAnsi="Cambria Math"/>
            <w:szCs w:val="20"/>
          </w:rPr>
          <m:t xml:space="preserve">0,8 ∙ </m:t>
        </m:r>
        <m:sSub>
          <m:sSubPr>
            <m:ctrlPr>
              <w:rPr>
                <w:rFonts w:ascii="Cambria Math" w:hAnsi="Cambria Math"/>
                <w:i/>
                <w:szCs w:val="20"/>
              </w:rPr>
            </m:ctrlPr>
          </m:sSubPr>
          <m:e>
            <m:r>
              <w:rPr>
                <w:rFonts w:ascii="Cambria Math" w:hAnsi="Cambria Math"/>
                <w:szCs w:val="20"/>
              </w:rPr>
              <m:t>D</m:t>
            </m:r>
          </m:e>
          <m:sub>
            <m:r>
              <w:rPr>
                <w:rFonts w:ascii="Cambria Math" w:hAnsi="Cambria Math"/>
                <w:szCs w:val="20"/>
              </w:rPr>
              <m:t>max</m:t>
            </m:r>
          </m:sub>
        </m:sSub>
      </m:oMath>
      <w:r>
        <w:t>);</w:t>
      </w:r>
    </w:p>
    <w:p w:rsidR="004F47BB" w:rsidRPr="004F47BB" w:rsidRDefault="004F47BB" w:rsidP="004F47BB">
      <w:pPr>
        <w:tabs>
          <w:tab w:val="left" w:pos="992"/>
        </w:tabs>
        <w:overflowPunct w:val="0"/>
        <w:adjustRightInd w:val="0"/>
        <w:spacing w:before="60" w:line="240" w:lineRule="atLeast"/>
        <w:ind w:left="992"/>
        <w:textAlignment w:val="baseline"/>
        <w:rPr>
          <w:szCs w:val="20"/>
        </w:rPr>
      </w:pPr>
      <w:r>
        <w:t>-</w:t>
      </w:r>
      <w:r>
        <w:tab/>
        <w:t>è possibile una condizione di carico superiore, calcolabile secondo il punto 5.</w:t>
      </w: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r>
        <w:br w:type="page"/>
      </w:r>
    </w:p>
    <w:p w:rsidR="004F47BB" w:rsidRPr="004F47BB" w:rsidRDefault="004F47BB" w:rsidP="004F47BB">
      <w:pPr>
        <w:spacing w:line="240" w:lineRule="atLeast"/>
        <w:ind w:left="567" w:hanging="567"/>
        <w:rPr>
          <w:rFonts w:cs="Arial"/>
          <w:b/>
          <w:color w:val="000000"/>
          <w:szCs w:val="20"/>
        </w:rPr>
      </w:pPr>
      <w:r>
        <w:rPr>
          <w:b/>
          <w:color w:val="000000"/>
        </w:rPr>
        <w:lastRenderedPageBreak/>
        <w:t>5.</w:t>
      </w:r>
      <w:r>
        <w:tab/>
      </w:r>
      <w:r>
        <w:rPr>
          <w:b/>
          <w:color w:val="000000"/>
        </w:rPr>
        <w:t xml:space="preserve">Possibile aumento di </w:t>
      </w:r>
      <m:oMath>
        <m:sSub>
          <m:sSubPr>
            <m:ctrlPr>
              <w:rPr>
                <w:rFonts w:ascii="Cambria Math" w:hAnsi="Cambria Math" w:cs="Arial"/>
                <w:b/>
                <w:i/>
                <w:color w:val="000000"/>
                <w:szCs w:val="20"/>
              </w:rPr>
            </m:ctrlPr>
          </m:sSubPr>
          <m:e>
            <m:r>
              <m:rPr>
                <m:sty m:val="bi"/>
              </m:rPr>
              <w:rPr>
                <w:rFonts w:ascii="Cambria Math" w:hAnsi="Cambria Math" w:cs="Arial"/>
                <w:color w:val="000000"/>
                <w:szCs w:val="20"/>
              </w:rPr>
              <m:t>D</m:t>
            </m:r>
          </m:e>
          <m:sub>
            <m:r>
              <m:rPr>
                <m:sty m:val="bi"/>
              </m:rPr>
              <w:rPr>
                <w:rFonts w:ascii="Cambria Math" w:hAnsi="Cambria Math" w:cs="Arial"/>
                <w:color w:val="000000"/>
                <w:szCs w:val="20"/>
              </w:rPr>
              <m:t>IST</m:t>
            </m:r>
          </m:sub>
        </m:sSub>
      </m:oMath>
      <w:r>
        <w:rPr>
          <w:b/>
          <w:color w:val="000000"/>
        </w:rPr>
        <w:t xml:space="preserve"> in navigazione a valle</w:t>
      </w: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624017" w:rsidP="004F47BB">
      <w:pPr>
        <w:overflowPunct w:val="0"/>
        <w:adjustRightInd w:val="0"/>
        <w:spacing w:line="240" w:lineRule="atLeast"/>
        <w:ind w:left="567" w:firstLine="0"/>
        <w:jc w:val="left"/>
        <w:textAlignment w:val="baseline"/>
        <w:rPr>
          <w:szCs w:val="20"/>
        </w:rPr>
      </w:pPr>
      <m:oMathPara>
        <m:oMathParaPr>
          <m:jc m:val="left"/>
        </m:oMathParaPr>
        <m:oMath>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e>
              </m:d>
            </m:e>
            <m:sub>
              <m:r>
                <w:rPr>
                  <w:rFonts w:ascii="Cambria Math" w:hAnsi="Cambria Math"/>
                  <w:szCs w:val="20"/>
                </w:rPr>
                <m:t>Limite</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e>
                  </m:d>
                </m:e>
                <m:sub>
                  <m:r>
                    <w:rPr>
                      <w:rFonts w:ascii="Cambria Math" w:hAnsi="Cambria Math"/>
                      <w:szCs w:val="20"/>
                    </w:rPr>
                    <m:t>Limite</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rPr>
            <m:t>=550 m</m:t>
          </m:r>
        </m:oMath>
      </m:oMathPara>
    </w:p>
    <w:p w:rsidR="004F47BB" w:rsidRPr="004F47BB" w:rsidRDefault="004F47BB" w:rsidP="004F47BB">
      <w:pPr>
        <w:tabs>
          <w:tab w:val="left" w:pos="454"/>
        </w:tabs>
        <w:overflowPunct w:val="0"/>
        <w:adjustRightInd w:val="0"/>
        <w:spacing w:line="240" w:lineRule="atLeast"/>
        <w:ind w:left="454" w:hanging="454"/>
        <w:jc w:val="left"/>
        <w:textAlignment w:val="baseline"/>
        <w:rPr>
          <w:szCs w:val="20"/>
        </w:rPr>
      </w:pPr>
    </w:p>
    <w:p w:rsidR="004F47BB" w:rsidRPr="004F47BB" w:rsidRDefault="00624017" w:rsidP="004F47BB">
      <w:pPr>
        <w:overflowPunct w:val="0"/>
        <w:adjustRightInd w:val="0"/>
        <w:spacing w:line="240" w:lineRule="atLeast"/>
        <w:ind w:left="567" w:firstLine="0"/>
        <w:jc w:val="left"/>
        <w:textAlignment w:val="baseline"/>
        <w:rPr>
          <w:szCs w:val="20"/>
        </w:rPr>
      </w:pPr>
      <m:oMathPara>
        <m:oMathParaPr>
          <m:jc m:val="left"/>
        </m:oMathParaPr>
        <m:oMath>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e>
              </m:d>
            </m:e>
            <m:sub>
              <m:r>
                <w:rPr>
                  <w:rFonts w:ascii="Cambria Math" w:hAnsi="Cambria Math"/>
                  <w:szCs w:val="20"/>
                </w:rPr>
                <m:t>Limite</m:t>
              </m:r>
            </m:sub>
          </m:sSub>
          <m:r>
            <w:rPr>
              <w:rFonts w:ascii="Cambria Math" w:hAnsi="Cambria Math"/>
              <w:szCs w:val="20"/>
            </w:rPr>
            <m:t xml:space="preserve">=550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den>
          </m:f>
          <m:r>
            <w:rPr>
              <w:rFonts w:ascii="Cambria Math" w:hAnsi="Cambria Math"/>
              <w:szCs w:val="20"/>
            </w:rPr>
            <m:t xml:space="preserve">=550 ∙ </m:t>
          </m:r>
          <m:f>
            <m:fPr>
              <m:ctrlPr>
                <w:rPr>
                  <w:rFonts w:ascii="Cambria Math" w:hAnsi="Cambria Math"/>
                  <w:i/>
                  <w:szCs w:val="20"/>
                </w:rPr>
              </m:ctrlPr>
            </m:fPr>
            <m:num>
              <m:r>
                <w:rPr>
                  <w:rFonts w:ascii="Cambria Math" w:hAnsi="Cambria Math"/>
                  <w:szCs w:val="20"/>
                </w:rPr>
                <m:t>303,4</m:t>
              </m:r>
            </m:num>
            <m:den>
              <m:r>
                <w:rPr>
                  <w:rFonts w:ascii="Cambria Math" w:hAnsi="Cambria Math"/>
                  <w:szCs w:val="20"/>
                </w:rPr>
                <m:t>340</m:t>
              </m:r>
            </m:den>
          </m:f>
          <m:r>
            <w:rPr>
              <w:rFonts w:ascii="Cambria Math" w:hAnsi="Cambria Math"/>
              <w:szCs w:val="20"/>
            </w:rPr>
            <m:t>=490,8 m</m:t>
          </m:r>
        </m:oMath>
      </m:oMathPara>
    </w:p>
    <w:p w:rsidR="004F47BB" w:rsidRPr="004F47BB" w:rsidRDefault="004F47BB" w:rsidP="004F47BB">
      <w:pPr>
        <w:tabs>
          <w:tab w:val="left" w:pos="454"/>
        </w:tabs>
        <w:overflowPunct w:val="0"/>
        <w:adjustRightInd w:val="0"/>
        <w:spacing w:line="240" w:lineRule="atLeast"/>
        <w:ind w:left="454" w:hanging="454"/>
        <w:jc w:val="left"/>
        <w:textAlignment w:val="baseline"/>
        <w:rPr>
          <w:szCs w:val="20"/>
        </w:rPr>
      </w:pPr>
    </w:p>
    <w:p w:rsidR="004F47BB" w:rsidRPr="004F47BB" w:rsidRDefault="004F47BB" w:rsidP="004F47BB">
      <w:pPr>
        <w:tabs>
          <w:tab w:val="left" w:pos="567"/>
          <w:tab w:val="left" w:pos="2127"/>
          <w:tab w:val="left" w:pos="2410"/>
        </w:tabs>
        <w:overflowPunct w:val="0"/>
        <w:adjustRightInd w:val="0"/>
        <w:spacing w:line="240" w:lineRule="atLeast"/>
        <w:ind w:left="567" w:hanging="567"/>
        <w:jc w:val="left"/>
        <w:textAlignment w:val="baseline"/>
        <w:rPr>
          <w:szCs w:val="20"/>
        </w:rPr>
      </w:pPr>
      <w:r>
        <w:tab/>
        <w:t xml:space="preserve">Con </w:t>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m:t>
        </m:r>
        <m:sSub>
          <m:sSubPr>
            <m:ctrlPr>
              <w:rPr>
                <w:rFonts w:ascii="Cambria Math" w:hAnsi="Cambria Math"/>
                <w:i/>
                <w:szCs w:val="20"/>
              </w:rPr>
            </m:ctrlPr>
          </m:sSubPr>
          <m:e>
            <m:r>
              <w:rPr>
                <w:rFonts w:ascii="Cambria Math" w:hAnsi="Cambria Math"/>
                <w:szCs w:val="20"/>
              </w:rPr>
              <m:t>Const</m:t>
            </m:r>
          </m:e>
          <m:sub>
            <m:r>
              <w:rPr>
                <w:rFonts w:ascii="Cambria Math" w:hAnsi="Cambria Math"/>
                <w:szCs w:val="20"/>
              </w:rPr>
              <m:t>SOLL</m:t>
            </m:r>
          </m:sub>
        </m:sSub>
        <m:r>
          <w:rPr>
            <w:rFonts w:ascii="Cambria Math" w:hAnsi="Cambria Math"/>
            <w:szCs w:val="20"/>
          </w:rPr>
          <m:t xml:space="preserve"> ∙D</m:t>
        </m:r>
      </m:oMath>
      <w:r>
        <w:t xml:space="preserve"> secondo la nota di cui al punto 4.2:</w:t>
      </w:r>
    </w:p>
    <w:p w:rsidR="004F47BB" w:rsidRPr="004F47BB" w:rsidRDefault="004F47BB" w:rsidP="004F47BB">
      <w:pPr>
        <w:tabs>
          <w:tab w:val="left" w:pos="454"/>
        </w:tabs>
        <w:overflowPunct w:val="0"/>
        <w:adjustRightInd w:val="0"/>
        <w:spacing w:line="240" w:lineRule="atLeast"/>
        <w:ind w:left="454" w:hanging="454"/>
        <w:jc w:val="left"/>
        <w:textAlignment w:val="baseline"/>
        <w:rPr>
          <w:szCs w:val="20"/>
        </w:rPr>
      </w:pPr>
    </w:p>
    <w:p w:rsidR="004F47BB" w:rsidRPr="004F47BB" w:rsidRDefault="00624017" w:rsidP="004F47BB">
      <w:pPr>
        <w:overflowPunct w:val="0"/>
        <w:adjustRightInd w:val="0"/>
        <w:spacing w:line="240" w:lineRule="atLeast"/>
        <w:ind w:left="567" w:firstLine="0"/>
        <w:jc w:val="left"/>
        <w:textAlignment w:val="baseline"/>
        <w:rPr>
          <w:szCs w:val="20"/>
        </w:rPr>
      </w:pPr>
      <m:oMathPara>
        <m:oMathParaPr>
          <m:jc m:val="left"/>
        </m:oMathParaPr>
        <m:oMath>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e>
              </m:d>
            </m:e>
            <m:sub>
              <m:r>
                <w:rPr>
                  <w:rFonts w:ascii="Cambria Math" w:hAnsi="Cambria Math"/>
                  <w:szCs w:val="20"/>
                </w:rPr>
                <m:t>Limite</m:t>
              </m:r>
            </m:sub>
          </m:sSub>
          <m:r>
            <w:rPr>
              <w:rFonts w:ascii="Cambria Math" w:hAnsi="Cambria Math"/>
              <w:szCs w:val="20"/>
            </w:rPr>
            <m:t xml:space="preserve">= </m:t>
          </m:r>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e>
              </m:d>
            </m:e>
            <m:sub>
              <m:r>
                <w:rPr>
                  <w:rFonts w:ascii="Cambria Math" w:hAnsi="Cambria Math"/>
                  <w:szCs w:val="20"/>
                </w:rPr>
                <m:t>Limite</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 xml:space="preserve">+0,0472 ∙ </m:t>
          </m:r>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e>
              </m:d>
            </m:e>
            <m:sub>
              <m:r>
                <w:rPr>
                  <w:rFonts w:ascii="Cambria Math" w:hAnsi="Cambria Math"/>
                  <w:szCs w:val="20"/>
                </w:rPr>
                <m:t>Limite</m:t>
              </m:r>
            </m:sub>
          </m:sSub>
        </m:oMath>
      </m:oMathPara>
    </w:p>
    <w:p w:rsidR="004F47BB" w:rsidRPr="004F47BB" w:rsidRDefault="004F47BB" w:rsidP="004F47BB">
      <w:pPr>
        <w:tabs>
          <w:tab w:val="left" w:pos="454"/>
        </w:tabs>
        <w:overflowPunct w:val="0"/>
        <w:adjustRightInd w:val="0"/>
        <w:spacing w:line="240" w:lineRule="atLeast"/>
        <w:ind w:left="454" w:hanging="454"/>
        <w:jc w:val="left"/>
        <w:textAlignment w:val="baseline"/>
        <w:rPr>
          <w:position w:val="6"/>
          <w:szCs w:val="20"/>
        </w:rPr>
      </w:pPr>
    </w:p>
    <w:p w:rsidR="004F47BB" w:rsidRPr="004F47BB" w:rsidRDefault="004F47BB" w:rsidP="004F47BB">
      <w:pPr>
        <w:tabs>
          <w:tab w:val="left" w:pos="567"/>
        </w:tabs>
        <w:overflowPunct w:val="0"/>
        <w:adjustRightInd w:val="0"/>
        <w:spacing w:line="240" w:lineRule="atLeast"/>
        <w:ind w:left="567" w:hanging="567"/>
        <w:jc w:val="left"/>
        <w:textAlignment w:val="baseline"/>
        <w:rPr>
          <w:szCs w:val="20"/>
        </w:rPr>
      </w:pPr>
      <w:r>
        <w:tab/>
        <w:t>Da cui</w:t>
      </w:r>
    </w:p>
    <w:p w:rsidR="004F47BB" w:rsidRPr="004F47BB" w:rsidRDefault="004F47BB" w:rsidP="004F47BB">
      <w:pPr>
        <w:overflowPunct w:val="0"/>
        <w:adjustRightInd w:val="0"/>
        <w:spacing w:line="240" w:lineRule="atLeast"/>
        <w:ind w:left="567" w:firstLine="0"/>
        <w:jc w:val="left"/>
        <w:textAlignment w:val="baseline"/>
        <w:rPr>
          <w:szCs w:val="20"/>
        </w:rPr>
      </w:pPr>
    </w:p>
    <w:p w:rsidR="004F47BB" w:rsidRPr="004F47BB" w:rsidRDefault="00624017" w:rsidP="004F47BB">
      <w:pPr>
        <w:overflowPunct w:val="0"/>
        <w:adjustRightInd w:val="0"/>
        <w:spacing w:line="240" w:lineRule="atLeast"/>
        <w:ind w:left="567" w:firstLine="0"/>
        <w:jc w:val="left"/>
        <w:textAlignment w:val="baseline"/>
        <w:rPr>
          <w:szCs w:val="20"/>
        </w:rPr>
      </w:pPr>
      <m:oMathPara>
        <m:oMathParaPr>
          <m:jc m:val="left"/>
        </m:oMathParaPr>
        <m:oMath>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e>
              </m:d>
            </m:e>
            <m:sub>
              <m:r>
                <w:rPr>
                  <w:rFonts w:ascii="Cambria Math" w:hAnsi="Cambria Math"/>
                  <w:szCs w:val="20"/>
                </w:rPr>
                <m:t>Limite</m:t>
              </m:r>
            </m:sub>
          </m:sSub>
          <m:r>
            <w:rPr>
              <w:rFonts w:ascii="Cambria Math" w:hAnsi="Cambria Math"/>
              <w:szCs w:val="20"/>
            </w:rPr>
            <m:t xml:space="preserve">= </m:t>
          </m:r>
          <m:f>
            <m:fPr>
              <m:ctrlPr>
                <w:rPr>
                  <w:rFonts w:ascii="Cambria Math" w:hAnsi="Cambria Math"/>
                  <w:i/>
                  <w:szCs w:val="20"/>
                </w:rPr>
              </m:ctrlPr>
            </m:fPr>
            <m:num>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e>
                  </m:d>
                </m:e>
                <m:sub>
                  <m:r>
                    <w:rPr>
                      <w:rFonts w:ascii="Cambria Math" w:hAnsi="Cambria Math"/>
                      <w:szCs w:val="20"/>
                    </w:rPr>
                    <m:t>Limite</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num>
            <m:den>
              <m:r>
                <w:rPr>
                  <w:rFonts w:ascii="Cambria Math" w:hAnsi="Cambria Math"/>
                  <w:szCs w:val="20"/>
                </w:rPr>
                <m:t>0,0472</m:t>
              </m:r>
            </m:den>
          </m:f>
          <m:r>
            <w:rPr>
              <w:rFonts w:ascii="Cambria Math" w:hAnsi="Cambria Math"/>
              <w:szCs w:val="20"/>
            </w:rPr>
            <m:t xml:space="preserve">= </m:t>
          </m:r>
          <m:f>
            <m:fPr>
              <m:ctrlPr>
                <w:rPr>
                  <w:rFonts w:ascii="Cambria Math" w:hAnsi="Cambria Math"/>
                  <w:i/>
                  <w:szCs w:val="20"/>
                </w:rPr>
              </m:ctrlPr>
            </m:fPr>
            <m:num>
              <m:r>
                <w:rPr>
                  <w:rFonts w:ascii="Cambria Math" w:hAnsi="Cambria Math"/>
                  <w:szCs w:val="20"/>
                </w:rPr>
                <m:t>490,8-77,5</m:t>
              </m:r>
            </m:num>
            <m:den>
              <m:r>
                <w:rPr>
                  <w:rFonts w:ascii="Cambria Math" w:hAnsi="Cambria Math"/>
                  <w:szCs w:val="20"/>
                </w:rPr>
                <m:t>0,0472</m:t>
              </m:r>
            </m:den>
          </m:f>
          <m:r>
            <w:rPr>
              <w:rFonts w:ascii="Cambria Math" w:hAnsi="Cambria Math"/>
              <w:szCs w:val="20"/>
            </w:rPr>
            <m:t>=</m:t>
          </m:r>
          <m:r>
            <m:rPr>
              <m:sty m:val="bi"/>
            </m:rPr>
            <w:rPr>
              <w:rFonts w:ascii="Cambria Math" w:hAnsi="Cambria Math"/>
              <w:szCs w:val="20"/>
            </w:rPr>
            <m:t xml:space="preserve">8756 </m:t>
          </m:r>
          <m:sSup>
            <m:sSupPr>
              <m:ctrlPr>
                <w:rPr>
                  <w:rFonts w:ascii="Cambria Math" w:hAnsi="Cambria Math"/>
                  <w:b/>
                  <w:i/>
                  <w:szCs w:val="20"/>
                </w:rPr>
              </m:ctrlPr>
            </m:sSupPr>
            <m:e>
              <m:r>
                <m:rPr>
                  <m:sty m:val="bi"/>
                </m:rPr>
                <w:rPr>
                  <w:rFonts w:ascii="Cambria Math" w:hAnsi="Cambria Math"/>
                  <w:szCs w:val="20"/>
                </w:rPr>
                <m:t>m</m:t>
              </m:r>
            </m:e>
            <m:sup>
              <m:r>
                <m:rPr>
                  <m:sty m:val="bi"/>
                </m:rPr>
                <w:rPr>
                  <w:rFonts w:ascii="Cambria Math" w:hAnsi="Cambria Math"/>
                  <w:szCs w:val="20"/>
                </w:rPr>
                <m:t>3</m:t>
              </m:r>
            </m:sup>
          </m:sSup>
        </m:oMath>
      </m:oMathPara>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567"/>
        </w:tabs>
        <w:overflowPunct w:val="0"/>
        <w:adjustRightInd w:val="0"/>
        <w:spacing w:line="240" w:lineRule="exact"/>
        <w:ind w:left="567" w:hanging="567"/>
        <w:jc w:val="left"/>
        <w:textAlignment w:val="baseline"/>
        <w:rPr>
          <w:szCs w:val="20"/>
        </w:rPr>
      </w:pPr>
      <w:r>
        <w:tab/>
      </w:r>
      <w:r>
        <w:rPr>
          <w:b/>
        </w:rPr>
        <w:t>ne consegue che</w:t>
      </w:r>
      <w:r>
        <w:t>:</w:t>
      </w:r>
    </w:p>
    <w:p w:rsidR="004F47BB" w:rsidRPr="004F47BB" w:rsidRDefault="004F47BB" w:rsidP="004F47BB">
      <w:pPr>
        <w:tabs>
          <w:tab w:val="left" w:pos="567"/>
        </w:tabs>
        <w:overflowPunct w:val="0"/>
        <w:adjustRightInd w:val="0"/>
        <w:spacing w:line="240" w:lineRule="exact"/>
        <w:ind w:left="567" w:hanging="567"/>
        <w:jc w:val="left"/>
        <w:textAlignment w:val="baseline"/>
        <w:rPr>
          <w:szCs w:val="20"/>
        </w:rPr>
      </w:pPr>
    </w:p>
    <w:p w:rsidR="004F47BB" w:rsidRPr="004F47BB" w:rsidRDefault="004F47BB" w:rsidP="004F47BB">
      <w:pPr>
        <w:spacing w:line="240" w:lineRule="atLeast"/>
        <w:ind w:left="567" w:firstLine="0"/>
      </w:pPr>
      <w:r>
        <w:t xml:space="preserve">essendo </w:t>
      </w:r>
      <m:oMath>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e>
            </m:d>
          </m:e>
          <m:sub>
            <m:r>
              <w:rPr>
                <w:rFonts w:ascii="Cambria Math" w:hAnsi="Cambria Math"/>
                <w:szCs w:val="20"/>
              </w:rPr>
              <m:t>Limite</m:t>
            </m:r>
          </m:sub>
        </m:sSub>
        <m:r>
          <w:rPr>
            <w:rFonts w:ascii="Cambria Math" w:hAnsi="Cambria Math"/>
            <w:szCs w:val="20"/>
          </w:rPr>
          <m:t xml:space="preserve">&gt; </m:t>
        </m:r>
        <m:sSub>
          <m:sSubPr>
            <m:ctrlPr>
              <w:rPr>
                <w:rFonts w:ascii="Cambria Math" w:hAnsi="Cambria Math"/>
                <w:i/>
                <w:szCs w:val="20"/>
              </w:rPr>
            </m:ctrlPr>
          </m:sSubPr>
          <m:e>
            <m:r>
              <w:rPr>
                <w:rFonts w:ascii="Cambria Math" w:hAnsi="Cambria Math"/>
                <w:szCs w:val="20"/>
              </w:rPr>
              <m:t>D</m:t>
            </m:r>
          </m:e>
          <m:sub>
            <m:r>
              <w:rPr>
                <w:rFonts w:ascii="Cambria Math" w:hAnsi="Cambria Math"/>
                <w:szCs w:val="20"/>
              </w:rPr>
              <m:t>max</m:t>
            </m:r>
          </m:sub>
        </m:sSub>
        <m:r>
          <w:rPr>
            <w:rFonts w:ascii="Cambria Math" w:hAnsi="Cambria Math"/>
            <w:szCs w:val="20"/>
          </w:rPr>
          <m:t xml:space="preserve"> </m:t>
        </m:r>
        <m:d>
          <m:dPr>
            <m:ctrlPr>
              <w:rPr>
                <w:rFonts w:ascii="Cambria Math" w:hAnsi="Cambria Math"/>
                <w:i/>
                <w:szCs w:val="20"/>
              </w:rPr>
            </m:ctrlPr>
          </m:dPr>
          <m:e>
            <m:r>
              <w:rPr>
                <w:rFonts w:ascii="Cambria Math" w:hAnsi="Cambria Math"/>
                <w:szCs w:val="20"/>
              </w:rPr>
              <m:t>8756 &gt;6474</m:t>
            </m:r>
          </m:e>
        </m:d>
      </m:oMath>
      <w:r>
        <w:t xml:space="preserve"> la formazione in questione (cfr. punto 1) è </w:t>
      </w:r>
      <w:r>
        <w:rPr>
          <w:noProof/>
          <w:u w:val="single"/>
        </w:rPr>
        <w:t>autorizzata a navigare a valle a pieno carico.</w:t>
      </w:r>
    </w:p>
    <w:p w:rsidR="004F47BB" w:rsidRPr="004F47BB" w:rsidRDefault="004F47BB" w:rsidP="004F47BB">
      <w:pPr>
        <w:tabs>
          <w:tab w:val="left" w:pos="454"/>
        </w:tabs>
        <w:overflowPunct w:val="0"/>
        <w:adjustRightInd w:val="0"/>
        <w:spacing w:line="240" w:lineRule="atLeast"/>
        <w:ind w:left="454" w:hanging="454"/>
        <w:jc w:val="left"/>
        <w:textAlignment w:val="baseline"/>
        <w:rPr>
          <w:szCs w:val="20"/>
        </w:rPr>
      </w:pPr>
    </w:p>
    <w:p w:rsidR="004F47BB" w:rsidRPr="004F47BB" w:rsidRDefault="004F47BB" w:rsidP="004F47BB">
      <w:pPr>
        <w:tabs>
          <w:tab w:val="left" w:pos="454"/>
        </w:tabs>
        <w:overflowPunct w:val="0"/>
        <w:adjustRightInd w:val="0"/>
        <w:spacing w:line="240" w:lineRule="atLeast"/>
        <w:ind w:left="454" w:hanging="454"/>
        <w:jc w:val="left"/>
        <w:textAlignment w:val="baseline"/>
        <w:rPr>
          <w:szCs w:val="20"/>
        </w:rPr>
      </w:pPr>
    </w:p>
    <w:p w:rsidR="004F47BB" w:rsidRPr="004F47BB" w:rsidRDefault="004F47BB" w:rsidP="004F47BB">
      <w:pPr>
        <w:spacing w:line="240" w:lineRule="atLeast"/>
        <w:ind w:left="567" w:hanging="567"/>
        <w:sectPr w:rsidR="004F47BB" w:rsidRPr="004F47BB" w:rsidSect="00D45887">
          <w:headerReference w:type="default" r:id="rId125"/>
          <w:headerReference w:type="first" r:id="rId126"/>
          <w:pgSz w:w="11907" w:h="16840" w:code="9"/>
          <w:pgMar w:top="1418" w:right="1418" w:bottom="1418" w:left="1418" w:header="680" w:footer="680" w:gutter="0"/>
          <w:cols w:space="720"/>
          <w:noEndnote/>
          <w:titlePg/>
        </w:sectPr>
      </w:pPr>
    </w:p>
    <w:p w:rsidR="004F47BB" w:rsidRPr="00C859BD" w:rsidRDefault="004F47BB" w:rsidP="005B46C9">
      <w:pPr>
        <w:pStyle w:val="ES-Titre4prESIexple"/>
      </w:pPr>
      <w:r>
        <w:lastRenderedPageBreak/>
        <w:t>Esempio II</w:t>
      </w:r>
    </w:p>
    <w:p w:rsidR="004F47BB" w:rsidRPr="004F47BB" w:rsidRDefault="004F47BB" w:rsidP="004F47BB">
      <w:pPr>
        <w:spacing w:line="240" w:lineRule="atLeast"/>
        <w:ind w:left="567" w:hanging="567"/>
      </w:pPr>
    </w:p>
    <w:p w:rsidR="004F47BB" w:rsidRPr="004F47BB" w:rsidRDefault="004F47BB" w:rsidP="004F47BB">
      <w:pPr>
        <w:tabs>
          <w:tab w:val="left" w:pos="567"/>
        </w:tabs>
        <w:overflowPunct w:val="0"/>
        <w:adjustRightInd w:val="0"/>
        <w:spacing w:line="240" w:lineRule="exact"/>
        <w:ind w:left="567" w:hanging="567"/>
        <w:textAlignment w:val="baseline"/>
        <w:rPr>
          <w:b/>
          <w:szCs w:val="20"/>
        </w:rPr>
      </w:pPr>
      <w:r>
        <w:rPr>
          <w:b/>
        </w:rPr>
        <w:t>1.</w:t>
      </w:r>
      <w:r>
        <w:tab/>
      </w:r>
      <w:r>
        <w:rPr>
          <w:b/>
        </w:rPr>
        <w:t>Dati della nave e del convoglio</w:t>
      </w: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567"/>
          <w:tab w:val="left" w:pos="1843"/>
        </w:tabs>
        <w:overflowPunct w:val="0"/>
        <w:adjustRightInd w:val="0"/>
        <w:spacing w:line="240" w:lineRule="atLeast"/>
        <w:ind w:left="567" w:firstLine="0"/>
        <w:textAlignment w:val="baseline"/>
        <w:rPr>
          <w:szCs w:val="20"/>
        </w:rPr>
      </w:pPr>
      <w:r>
        <w:t>Formazione: grande motonave preposta alla propulsione di</w:t>
      </w:r>
    </w:p>
    <w:p w:rsidR="004F47BB" w:rsidRPr="004F47BB" w:rsidRDefault="004F47BB" w:rsidP="004F47BB">
      <w:pPr>
        <w:tabs>
          <w:tab w:val="left" w:pos="567"/>
          <w:tab w:val="left" w:pos="1843"/>
        </w:tabs>
        <w:overflowPunct w:val="0"/>
        <w:adjustRightInd w:val="0"/>
        <w:spacing w:line="240" w:lineRule="atLeast"/>
        <w:ind w:left="567" w:firstLine="0"/>
        <w:textAlignment w:val="baseline"/>
        <w:rPr>
          <w:szCs w:val="20"/>
        </w:rPr>
      </w:pPr>
      <w:r>
        <w:t>2 bettoline accoppiate a prua e</w:t>
      </w:r>
    </w:p>
    <w:p w:rsidR="004F47BB" w:rsidRPr="004F47BB" w:rsidRDefault="004F47BB" w:rsidP="004F47BB">
      <w:pPr>
        <w:tabs>
          <w:tab w:val="left" w:pos="567"/>
          <w:tab w:val="left" w:pos="1843"/>
        </w:tabs>
        <w:overflowPunct w:val="0"/>
        <w:adjustRightInd w:val="0"/>
        <w:spacing w:line="240" w:lineRule="atLeast"/>
        <w:ind w:left="567" w:firstLine="0"/>
        <w:textAlignment w:val="baseline"/>
        <w:rPr>
          <w:szCs w:val="20"/>
        </w:rPr>
      </w:pPr>
      <w:r>
        <w:t>1 bettolina affiancata.</w:t>
      </w:r>
    </w:p>
    <w:p w:rsidR="004F47BB" w:rsidRPr="004F47BB" w:rsidRDefault="004F47BB" w:rsidP="004F47BB">
      <w:pPr>
        <w:overflowPunct w:val="0"/>
        <w:adjustRightInd w:val="0"/>
        <w:ind w:left="0" w:firstLine="0"/>
        <w:jc w:val="left"/>
        <w:textAlignment w:val="baseline"/>
        <w:rPr>
          <w:szCs w:val="20"/>
        </w:rPr>
      </w:pPr>
    </w:p>
    <w:tbl>
      <w:tblPr>
        <w:tblW w:w="9527" w:type="dxa"/>
        <w:tblInd w:w="2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61"/>
        <w:gridCol w:w="1361"/>
        <w:gridCol w:w="1361"/>
        <w:gridCol w:w="1361"/>
        <w:gridCol w:w="1361"/>
        <w:gridCol w:w="1361"/>
        <w:gridCol w:w="1361"/>
      </w:tblGrid>
      <w:tr w:rsidR="004F47BB" w:rsidRPr="004F47BB" w:rsidTr="00D45887">
        <w:tc>
          <w:tcPr>
            <w:tcW w:w="1361" w:type="dxa"/>
          </w:tcPr>
          <w:p w:rsidR="004F47BB" w:rsidRPr="004F47BB" w:rsidRDefault="004F47BB" w:rsidP="004F47BB">
            <w:pPr>
              <w:overflowPunct w:val="0"/>
              <w:adjustRightInd w:val="0"/>
              <w:spacing w:before="80" w:after="80"/>
              <w:ind w:left="0" w:firstLine="0"/>
              <w:jc w:val="center"/>
              <w:textAlignment w:val="baseline"/>
              <w:rPr>
                <w:sz w:val="18"/>
                <w:szCs w:val="18"/>
              </w:rPr>
            </w:pPr>
          </w:p>
        </w:tc>
        <w:tc>
          <w:tcPr>
            <w:tcW w:w="1361" w:type="dxa"/>
          </w:tcPr>
          <w:p w:rsidR="004F47BB" w:rsidRPr="004F47BB" w:rsidRDefault="004F47BB" w:rsidP="004F47BB">
            <w:pPr>
              <w:overflowPunct w:val="0"/>
              <w:adjustRightInd w:val="0"/>
              <w:spacing w:before="80" w:after="80"/>
              <w:ind w:left="0" w:firstLine="0"/>
              <w:jc w:val="center"/>
              <w:textAlignment w:val="baseline"/>
              <w:rPr>
                <w:sz w:val="18"/>
                <w:szCs w:val="18"/>
              </w:rPr>
            </w:pPr>
            <m:oMath>
              <m:r>
                <w:rPr>
                  <w:rFonts w:ascii="Cambria Math" w:hAnsi="Cambria Math"/>
                  <w:sz w:val="18"/>
                  <w:szCs w:val="18"/>
                </w:rPr>
                <m:t>L</m:t>
              </m:r>
            </m:oMath>
            <w:r>
              <w:rPr>
                <w:sz w:val="18"/>
              </w:rPr>
              <w:t xml:space="preserve"> [m]</w:t>
            </w:r>
          </w:p>
        </w:tc>
        <w:tc>
          <w:tcPr>
            <w:tcW w:w="1361" w:type="dxa"/>
          </w:tcPr>
          <w:p w:rsidR="004F47BB" w:rsidRPr="004F47BB" w:rsidRDefault="004F47BB" w:rsidP="004F47BB">
            <w:pPr>
              <w:overflowPunct w:val="0"/>
              <w:adjustRightInd w:val="0"/>
              <w:spacing w:before="80" w:after="80"/>
              <w:ind w:left="0" w:firstLine="0"/>
              <w:jc w:val="center"/>
              <w:textAlignment w:val="baseline"/>
              <w:rPr>
                <w:sz w:val="18"/>
                <w:szCs w:val="18"/>
              </w:rPr>
            </w:pPr>
            <m:oMath>
              <m:r>
                <w:rPr>
                  <w:rFonts w:ascii="Cambria Math" w:hAnsi="Cambria Math"/>
                  <w:sz w:val="18"/>
                  <w:szCs w:val="18"/>
                </w:rPr>
                <m:t>B</m:t>
              </m:r>
            </m:oMath>
            <w:r>
              <w:rPr>
                <w:sz w:val="18"/>
              </w:rPr>
              <w:t xml:space="preserve"> [m]</w:t>
            </w:r>
          </w:p>
        </w:tc>
        <w:tc>
          <w:tcPr>
            <w:tcW w:w="1361" w:type="dxa"/>
          </w:tcPr>
          <w:p w:rsidR="004F47BB" w:rsidRPr="004F47BB" w:rsidRDefault="004F47BB" w:rsidP="004F47BB">
            <w:pPr>
              <w:overflowPunct w:val="0"/>
              <w:adjustRightInd w:val="0"/>
              <w:spacing w:before="80" w:after="80"/>
              <w:ind w:left="0" w:firstLine="0"/>
              <w:jc w:val="center"/>
              <w:textAlignment w:val="baseline"/>
              <w:rPr>
                <w:sz w:val="18"/>
                <w:szCs w:val="18"/>
              </w:rPr>
            </w:pPr>
            <m:oMath>
              <m:r>
                <w:rPr>
                  <w:rFonts w:ascii="Cambria Math" w:hAnsi="Cambria Math"/>
                  <w:sz w:val="18"/>
                  <w:szCs w:val="18"/>
                </w:rPr>
                <m:t>T</m:t>
              </m:r>
              <m:r>
                <w:rPr>
                  <w:rFonts w:ascii="Cambria Math" w:hAnsi="Cambria Math"/>
                  <w:position w:val="-6"/>
                  <w:sz w:val="16"/>
                  <w:szCs w:val="18"/>
                </w:rPr>
                <m:t>max</m:t>
              </m:r>
            </m:oMath>
            <w:r>
              <w:rPr>
                <w:sz w:val="18"/>
              </w:rPr>
              <w:t xml:space="preserve"> [m]</w:t>
            </w:r>
          </w:p>
        </w:tc>
        <w:tc>
          <w:tcPr>
            <w:tcW w:w="1361" w:type="dxa"/>
          </w:tcPr>
          <w:p w:rsidR="004F47BB" w:rsidRPr="004F47BB" w:rsidRDefault="004F47BB" w:rsidP="004F47BB">
            <w:pPr>
              <w:overflowPunct w:val="0"/>
              <w:adjustRightInd w:val="0"/>
              <w:spacing w:before="80" w:after="80"/>
              <w:ind w:left="0" w:firstLine="0"/>
              <w:jc w:val="center"/>
              <w:textAlignment w:val="baseline"/>
              <w:rPr>
                <w:sz w:val="18"/>
                <w:szCs w:val="18"/>
              </w:rPr>
            </w:pPr>
            <m:oMath>
              <m:r>
                <w:rPr>
                  <w:rFonts w:ascii="Cambria Math" w:hAnsi="Cambria Math"/>
                  <w:szCs w:val="20"/>
                </w:rPr>
                <m:t>Tgf</m:t>
              </m:r>
              <m:r>
                <w:rPr>
                  <w:rFonts w:ascii="Cambria Math" w:hAnsi="Cambria Math"/>
                  <w:position w:val="6"/>
                  <w:sz w:val="18"/>
                  <w:szCs w:val="18"/>
                </w:rPr>
                <m:t>*</m:t>
              </m:r>
              <m:r>
                <w:rPr>
                  <w:rFonts w:ascii="Cambria Math" w:hAnsi="Cambria Math"/>
                  <w:position w:val="-6"/>
                  <w:sz w:val="16"/>
                  <w:szCs w:val="18"/>
                </w:rPr>
                <m:t>max</m:t>
              </m:r>
            </m:oMath>
            <w:r>
              <w:rPr>
                <w:sz w:val="18"/>
              </w:rPr>
              <w:t xml:space="preserve"> [t]</w:t>
            </w:r>
          </w:p>
        </w:tc>
        <w:tc>
          <w:tcPr>
            <w:tcW w:w="1361" w:type="dxa"/>
          </w:tcPr>
          <w:p w:rsidR="004F47BB" w:rsidRPr="004F47BB" w:rsidRDefault="004F47BB" w:rsidP="004F47BB">
            <w:pPr>
              <w:overflowPunct w:val="0"/>
              <w:adjustRightInd w:val="0"/>
              <w:spacing w:before="80" w:after="80"/>
              <w:ind w:left="0" w:firstLine="0"/>
              <w:jc w:val="center"/>
              <w:textAlignment w:val="baseline"/>
              <w:rPr>
                <w:sz w:val="18"/>
                <w:szCs w:val="18"/>
              </w:rPr>
            </w:pPr>
            <m:oMath>
              <m:r>
                <w:rPr>
                  <w:rFonts w:ascii="Cambria Math" w:hAnsi="Cambria Math"/>
                  <w:sz w:val="18"/>
                  <w:szCs w:val="18"/>
                </w:rPr>
                <m:t>D</m:t>
              </m:r>
              <m:r>
                <w:rPr>
                  <w:rFonts w:ascii="Cambria Math" w:hAnsi="Cambria Math"/>
                  <w:position w:val="-6"/>
                  <w:sz w:val="16"/>
                  <w:szCs w:val="18"/>
                </w:rPr>
                <m:t>max</m:t>
              </m:r>
            </m:oMath>
            <w:r>
              <w:rPr>
                <w:sz w:val="18"/>
              </w:rPr>
              <w:t xml:space="preserve"> [m</w:t>
            </w:r>
            <w:r>
              <w:rPr>
                <w:position w:val="6"/>
                <w:sz w:val="16"/>
              </w:rPr>
              <w:t>3</w:t>
            </w:r>
            <w:r>
              <w:rPr>
                <w:sz w:val="18"/>
              </w:rPr>
              <w:t>]</w:t>
            </w:r>
          </w:p>
        </w:tc>
        <w:tc>
          <w:tcPr>
            <w:tcW w:w="1361" w:type="dxa"/>
          </w:tcPr>
          <w:p w:rsidR="004F47BB" w:rsidRPr="004F47BB" w:rsidRDefault="004F47BB" w:rsidP="004F47BB">
            <w:pPr>
              <w:overflowPunct w:val="0"/>
              <w:adjustRightInd w:val="0"/>
              <w:spacing w:before="80" w:after="80"/>
              <w:ind w:left="0" w:firstLine="0"/>
              <w:jc w:val="center"/>
              <w:textAlignment w:val="baseline"/>
              <w:rPr>
                <w:sz w:val="18"/>
                <w:szCs w:val="18"/>
              </w:rPr>
            </w:pPr>
            <w:r>
              <w:rPr>
                <w:sz w:val="18"/>
              </w:rPr>
              <w:t>P</w:t>
            </w:r>
            <w:r>
              <w:rPr>
                <w:position w:val="-6"/>
                <w:sz w:val="16"/>
              </w:rPr>
              <w:t>B</w:t>
            </w:r>
            <w:r>
              <w:rPr>
                <w:sz w:val="18"/>
              </w:rPr>
              <w:t xml:space="preserve"> [kW]</w:t>
            </w:r>
          </w:p>
        </w:tc>
      </w:tr>
      <w:tr w:rsidR="004F47BB" w:rsidRPr="004F47BB" w:rsidTr="00D45887">
        <w:tc>
          <w:tcPr>
            <w:tcW w:w="1361" w:type="dxa"/>
          </w:tcPr>
          <w:p w:rsidR="004F47BB" w:rsidRPr="004F47BB" w:rsidRDefault="004F47BB" w:rsidP="004F47BB">
            <w:pPr>
              <w:overflowPunct w:val="0"/>
              <w:adjustRightInd w:val="0"/>
              <w:spacing w:before="80" w:after="80"/>
              <w:ind w:left="57" w:firstLine="0"/>
              <w:textAlignment w:val="baseline"/>
              <w:rPr>
                <w:sz w:val="18"/>
                <w:szCs w:val="18"/>
              </w:rPr>
            </w:pPr>
            <w:r>
              <w:rPr>
                <w:sz w:val="18"/>
              </w:rPr>
              <w:t>Motonave</w:t>
            </w:r>
          </w:p>
        </w:tc>
        <w:tc>
          <w:tcPr>
            <w:tcW w:w="1361" w:type="dxa"/>
          </w:tcPr>
          <w:p w:rsidR="004F47BB" w:rsidRPr="004F47BB" w:rsidRDefault="004F47BB" w:rsidP="004F47BB">
            <w:pPr>
              <w:tabs>
                <w:tab w:val="decimal" w:pos="709"/>
              </w:tabs>
              <w:overflowPunct w:val="0"/>
              <w:adjustRightInd w:val="0"/>
              <w:spacing w:before="80" w:after="80"/>
              <w:ind w:left="113" w:right="113" w:firstLine="0"/>
              <w:textAlignment w:val="baseline"/>
              <w:rPr>
                <w:sz w:val="18"/>
                <w:szCs w:val="18"/>
              </w:rPr>
            </w:pPr>
            <w:r>
              <w:rPr>
                <w:sz w:val="18"/>
              </w:rPr>
              <w:t>110</w:t>
            </w:r>
          </w:p>
        </w:tc>
        <w:tc>
          <w:tcPr>
            <w:tcW w:w="1361" w:type="dxa"/>
          </w:tcPr>
          <w:p w:rsidR="004F47BB" w:rsidRPr="004F47BB" w:rsidRDefault="004F47BB" w:rsidP="004F47BB">
            <w:pPr>
              <w:tabs>
                <w:tab w:val="decimal" w:pos="708"/>
              </w:tabs>
              <w:overflowPunct w:val="0"/>
              <w:adjustRightInd w:val="0"/>
              <w:spacing w:before="80" w:after="80"/>
              <w:ind w:left="113" w:right="113" w:firstLine="0"/>
              <w:textAlignment w:val="baseline"/>
              <w:rPr>
                <w:sz w:val="18"/>
                <w:szCs w:val="18"/>
              </w:rPr>
            </w:pPr>
            <w:r>
              <w:rPr>
                <w:sz w:val="18"/>
              </w:rPr>
              <w:t>11,4</w:t>
            </w:r>
          </w:p>
        </w:tc>
        <w:tc>
          <w:tcPr>
            <w:tcW w:w="1361" w:type="dxa"/>
          </w:tcPr>
          <w:p w:rsidR="004F47BB" w:rsidRPr="004F47BB" w:rsidRDefault="004F47BB" w:rsidP="004F47BB">
            <w:pPr>
              <w:tabs>
                <w:tab w:val="decimal" w:pos="737"/>
              </w:tabs>
              <w:overflowPunct w:val="0"/>
              <w:adjustRightInd w:val="0"/>
              <w:spacing w:before="80" w:after="80"/>
              <w:ind w:left="113" w:right="113" w:firstLine="0"/>
              <w:textAlignment w:val="baseline"/>
              <w:rPr>
                <w:sz w:val="18"/>
                <w:szCs w:val="18"/>
              </w:rPr>
            </w:pPr>
            <w:r>
              <w:rPr>
                <w:sz w:val="18"/>
              </w:rPr>
              <w:t>3,5</w:t>
            </w:r>
          </w:p>
        </w:tc>
        <w:tc>
          <w:tcPr>
            <w:tcW w:w="1361" w:type="dxa"/>
          </w:tcPr>
          <w:p w:rsidR="004F47BB" w:rsidRPr="004F47BB" w:rsidRDefault="004F47BB" w:rsidP="004F47BB">
            <w:pPr>
              <w:tabs>
                <w:tab w:val="decimal" w:pos="849"/>
              </w:tabs>
              <w:overflowPunct w:val="0"/>
              <w:adjustRightInd w:val="0"/>
              <w:spacing w:before="80" w:after="80"/>
              <w:ind w:left="113" w:right="113" w:firstLine="0"/>
              <w:textAlignment w:val="baseline"/>
              <w:rPr>
                <w:sz w:val="18"/>
                <w:szCs w:val="18"/>
              </w:rPr>
            </w:pPr>
            <w:r>
              <w:rPr>
                <w:sz w:val="18"/>
              </w:rPr>
              <w:t>2 900</w:t>
            </w:r>
          </w:p>
        </w:tc>
        <w:tc>
          <w:tcPr>
            <w:tcW w:w="1361" w:type="dxa"/>
          </w:tcPr>
          <w:p w:rsidR="004F47BB" w:rsidRPr="004F47BB" w:rsidRDefault="004F47BB" w:rsidP="004F47BB">
            <w:pPr>
              <w:tabs>
                <w:tab w:val="decimal" w:pos="990"/>
              </w:tabs>
              <w:overflowPunct w:val="0"/>
              <w:adjustRightInd w:val="0"/>
              <w:spacing w:before="80" w:after="80"/>
              <w:ind w:left="113" w:right="113" w:firstLine="0"/>
              <w:textAlignment w:val="baseline"/>
              <w:rPr>
                <w:sz w:val="18"/>
                <w:szCs w:val="18"/>
              </w:rPr>
            </w:pPr>
            <w:r>
              <w:rPr>
                <w:sz w:val="18"/>
              </w:rPr>
              <w:t>3 731</w:t>
            </w:r>
          </w:p>
        </w:tc>
        <w:tc>
          <w:tcPr>
            <w:tcW w:w="1361" w:type="dxa"/>
          </w:tcPr>
          <w:p w:rsidR="004F47BB" w:rsidRPr="004F47BB" w:rsidRDefault="004F47BB" w:rsidP="004F47BB">
            <w:pPr>
              <w:tabs>
                <w:tab w:val="decimal" w:pos="848"/>
              </w:tabs>
              <w:overflowPunct w:val="0"/>
              <w:adjustRightInd w:val="0"/>
              <w:spacing w:before="80" w:after="80"/>
              <w:ind w:left="113" w:right="113" w:firstLine="0"/>
              <w:textAlignment w:val="baseline"/>
              <w:rPr>
                <w:sz w:val="18"/>
                <w:szCs w:val="18"/>
              </w:rPr>
            </w:pPr>
            <w:r>
              <w:rPr>
                <w:sz w:val="18"/>
              </w:rPr>
              <w:t>1 500</w:t>
            </w:r>
          </w:p>
        </w:tc>
      </w:tr>
      <w:tr w:rsidR="004F47BB" w:rsidRPr="004F47BB" w:rsidTr="00D45887">
        <w:tc>
          <w:tcPr>
            <w:tcW w:w="1361" w:type="dxa"/>
          </w:tcPr>
          <w:p w:rsidR="004F47BB" w:rsidRPr="004F47BB" w:rsidRDefault="004F47BB" w:rsidP="004F47BB">
            <w:pPr>
              <w:overflowPunct w:val="0"/>
              <w:adjustRightInd w:val="0"/>
              <w:spacing w:before="80" w:after="80"/>
              <w:ind w:left="57" w:firstLine="0"/>
              <w:textAlignment w:val="baseline"/>
              <w:rPr>
                <w:sz w:val="18"/>
                <w:szCs w:val="18"/>
              </w:rPr>
            </w:pPr>
            <w:r>
              <w:rPr>
                <w:sz w:val="18"/>
              </w:rPr>
              <w:t>Ogni bettolina</w:t>
            </w:r>
          </w:p>
        </w:tc>
        <w:tc>
          <w:tcPr>
            <w:tcW w:w="1361" w:type="dxa"/>
          </w:tcPr>
          <w:p w:rsidR="004F47BB" w:rsidRPr="004F47BB" w:rsidRDefault="004F47BB" w:rsidP="004F47BB">
            <w:pPr>
              <w:tabs>
                <w:tab w:val="decimal" w:pos="709"/>
              </w:tabs>
              <w:overflowPunct w:val="0"/>
              <w:adjustRightInd w:val="0"/>
              <w:spacing w:before="80" w:after="80"/>
              <w:ind w:left="113" w:right="113" w:firstLine="0"/>
              <w:textAlignment w:val="baseline"/>
              <w:rPr>
                <w:sz w:val="18"/>
                <w:szCs w:val="18"/>
              </w:rPr>
            </w:pPr>
            <w:r>
              <w:rPr>
                <w:sz w:val="18"/>
              </w:rPr>
              <w:t>76,5</w:t>
            </w:r>
          </w:p>
        </w:tc>
        <w:tc>
          <w:tcPr>
            <w:tcW w:w="1361" w:type="dxa"/>
          </w:tcPr>
          <w:p w:rsidR="004F47BB" w:rsidRPr="004F47BB" w:rsidRDefault="004F47BB" w:rsidP="004F47BB">
            <w:pPr>
              <w:tabs>
                <w:tab w:val="decimal" w:pos="708"/>
              </w:tabs>
              <w:overflowPunct w:val="0"/>
              <w:adjustRightInd w:val="0"/>
              <w:spacing w:before="80" w:after="80"/>
              <w:ind w:left="113" w:right="113" w:firstLine="0"/>
              <w:textAlignment w:val="baseline"/>
              <w:rPr>
                <w:sz w:val="18"/>
                <w:szCs w:val="18"/>
              </w:rPr>
            </w:pPr>
            <w:r>
              <w:rPr>
                <w:sz w:val="18"/>
              </w:rPr>
              <w:t>11,4</w:t>
            </w:r>
          </w:p>
        </w:tc>
        <w:tc>
          <w:tcPr>
            <w:tcW w:w="1361" w:type="dxa"/>
          </w:tcPr>
          <w:p w:rsidR="004F47BB" w:rsidRPr="004F47BB" w:rsidRDefault="004F47BB" w:rsidP="004F47BB">
            <w:pPr>
              <w:tabs>
                <w:tab w:val="decimal" w:pos="737"/>
              </w:tabs>
              <w:overflowPunct w:val="0"/>
              <w:adjustRightInd w:val="0"/>
              <w:spacing w:before="80" w:after="80"/>
              <w:ind w:left="113" w:right="113" w:firstLine="0"/>
              <w:textAlignment w:val="baseline"/>
              <w:rPr>
                <w:sz w:val="18"/>
                <w:szCs w:val="18"/>
              </w:rPr>
            </w:pPr>
            <w:r>
              <w:rPr>
                <w:sz w:val="18"/>
              </w:rPr>
              <w:t>3,7</w:t>
            </w:r>
          </w:p>
        </w:tc>
        <w:tc>
          <w:tcPr>
            <w:tcW w:w="1361" w:type="dxa"/>
          </w:tcPr>
          <w:p w:rsidR="004F47BB" w:rsidRPr="004F47BB" w:rsidRDefault="004F47BB" w:rsidP="004F47BB">
            <w:pPr>
              <w:tabs>
                <w:tab w:val="decimal" w:pos="849"/>
              </w:tabs>
              <w:overflowPunct w:val="0"/>
              <w:adjustRightInd w:val="0"/>
              <w:spacing w:before="80" w:after="80"/>
              <w:ind w:left="113" w:right="113" w:firstLine="0"/>
              <w:textAlignment w:val="baseline"/>
              <w:rPr>
                <w:sz w:val="18"/>
                <w:szCs w:val="18"/>
              </w:rPr>
            </w:pPr>
            <w:r>
              <w:rPr>
                <w:sz w:val="18"/>
              </w:rPr>
              <w:t>2 600</w:t>
            </w:r>
          </w:p>
        </w:tc>
        <w:tc>
          <w:tcPr>
            <w:tcW w:w="1361" w:type="dxa"/>
          </w:tcPr>
          <w:p w:rsidR="004F47BB" w:rsidRPr="004F47BB" w:rsidRDefault="004F47BB" w:rsidP="004F47BB">
            <w:pPr>
              <w:tabs>
                <w:tab w:val="decimal" w:pos="990"/>
              </w:tabs>
              <w:overflowPunct w:val="0"/>
              <w:adjustRightInd w:val="0"/>
              <w:spacing w:before="80" w:after="80"/>
              <w:ind w:left="113" w:right="113" w:firstLine="0"/>
              <w:textAlignment w:val="baseline"/>
              <w:rPr>
                <w:sz w:val="18"/>
                <w:szCs w:val="18"/>
              </w:rPr>
            </w:pPr>
            <w:r>
              <w:rPr>
                <w:sz w:val="18"/>
              </w:rPr>
              <w:t>2 743</w:t>
            </w:r>
          </w:p>
        </w:tc>
        <w:tc>
          <w:tcPr>
            <w:tcW w:w="1361" w:type="dxa"/>
          </w:tcPr>
          <w:p w:rsidR="004F47BB" w:rsidRPr="004F47BB" w:rsidRDefault="004F47BB" w:rsidP="004F47BB">
            <w:pPr>
              <w:tabs>
                <w:tab w:val="decimal" w:pos="198"/>
              </w:tabs>
              <w:overflowPunct w:val="0"/>
              <w:adjustRightInd w:val="0"/>
              <w:spacing w:before="80" w:after="80"/>
              <w:ind w:left="113" w:right="113" w:firstLine="0"/>
              <w:jc w:val="center"/>
              <w:textAlignment w:val="baseline"/>
              <w:rPr>
                <w:sz w:val="18"/>
                <w:szCs w:val="18"/>
              </w:rPr>
            </w:pPr>
            <w:r>
              <w:rPr>
                <w:sz w:val="18"/>
              </w:rPr>
              <w:t>-</w:t>
            </w:r>
          </w:p>
        </w:tc>
      </w:tr>
      <w:tr w:rsidR="004F47BB" w:rsidRPr="004F47BB" w:rsidTr="00D45887">
        <w:tc>
          <w:tcPr>
            <w:tcW w:w="1361" w:type="dxa"/>
          </w:tcPr>
          <w:p w:rsidR="004F47BB" w:rsidRPr="004F47BB" w:rsidRDefault="004F47BB" w:rsidP="004F47BB">
            <w:pPr>
              <w:overflowPunct w:val="0"/>
              <w:adjustRightInd w:val="0"/>
              <w:spacing w:before="80" w:after="80"/>
              <w:ind w:left="57" w:firstLine="0"/>
              <w:textAlignment w:val="baseline"/>
              <w:rPr>
                <w:sz w:val="18"/>
                <w:szCs w:val="18"/>
              </w:rPr>
            </w:pPr>
            <w:r>
              <w:rPr>
                <w:sz w:val="18"/>
              </w:rPr>
              <w:t>Convoglio</w:t>
            </w:r>
          </w:p>
        </w:tc>
        <w:tc>
          <w:tcPr>
            <w:tcW w:w="1361" w:type="dxa"/>
          </w:tcPr>
          <w:p w:rsidR="004F47BB" w:rsidRPr="004F47BB" w:rsidRDefault="004F47BB" w:rsidP="004F47BB">
            <w:pPr>
              <w:tabs>
                <w:tab w:val="decimal" w:pos="709"/>
              </w:tabs>
              <w:overflowPunct w:val="0"/>
              <w:adjustRightInd w:val="0"/>
              <w:spacing w:before="80" w:after="80"/>
              <w:ind w:left="113" w:right="113" w:firstLine="0"/>
              <w:textAlignment w:val="baseline"/>
              <w:rPr>
                <w:sz w:val="18"/>
                <w:szCs w:val="18"/>
              </w:rPr>
            </w:pPr>
            <w:r>
              <w:rPr>
                <w:sz w:val="18"/>
              </w:rPr>
              <w:t>186,5</w:t>
            </w:r>
          </w:p>
        </w:tc>
        <w:tc>
          <w:tcPr>
            <w:tcW w:w="1361" w:type="dxa"/>
          </w:tcPr>
          <w:p w:rsidR="004F47BB" w:rsidRPr="004F47BB" w:rsidRDefault="004F47BB" w:rsidP="004F47BB">
            <w:pPr>
              <w:tabs>
                <w:tab w:val="decimal" w:pos="708"/>
              </w:tabs>
              <w:overflowPunct w:val="0"/>
              <w:adjustRightInd w:val="0"/>
              <w:spacing w:before="80" w:after="80"/>
              <w:ind w:left="113" w:right="113" w:firstLine="0"/>
              <w:textAlignment w:val="baseline"/>
              <w:rPr>
                <w:sz w:val="18"/>
                <w:szCs w:val="18"/>
              </w:rPr>
            </w:pPr>
            <w:r>
              <w:rPr>
                <w:sz w:val="18"/>
              </w:rPr>
              <w:t>22,8</w:t>
            </w:r>
          </w:p>
        </w:tc>
        <w:tc>
          <w:tcPr>
            <w:tcW w:w="1361" w:type="dxa"/>
          </w:tcPr>
          <w:p w:rsidR="004F47BB" w:rsidRPr="004F47BB" w:rsidRDefault="004F47BB" w:rsidP="004F47BB">
            <w:pPr>
              <w:tabs>
                <w:tab w:val="decimal" w:pos="737"/>
              </w:tabs>
              <w:overflowPunct w:val="0"/>
              <w:adjustRightInd w:val="0"/>
              <w:spacing w:before="80" w:after="80"/>
              <w:ind w:left="113" w:right="113" w:firstLine="0"/>
              <w:textAlignment w:val="baseline"/>
              <w:rPr>
                <w:sz w:val="18"/>
                <w:szCs w:val="18"/>
              </w:rPr>
            </w:pPr>
            <w:r>
              <w:rPr>
                <w:sz w:val="18"/>
              </w:rPr>
              <w:t>3,7</w:t>
            </w:r>
          </w:p>
        </w:tc>
        <w:tc>
          <w:tcPr>
            <w:tcW w:w="1361" w:type="dxa"/>
          </w:tcPr>
          <w:p w:rsidR="004F47BB" w:rsidRPr="004F47BB" w:rsidRDefault="004F47BB" w:rsidP="004F47BB">
            <w:pPr>
              <w:tabs>
                <w:tab w:val="decimal" w:pos="849"/>
              </w:tabs>
              <w:overflowPunct w:val="0"/>
              <w:adjustRightInd w:val="0"/>
              <w:spacing w:before="80" w:after="80"/>
              <w:ind w:left="113" w:right="113" w:firstLine="0"/>
              <w:textAlignment w:val="baseline"/>
              <w:rPr>
                <w:sz w:val="18"/>
                <w:szCs w:val="18"/>
              </w:rPr>
            </w:pPr>
            <w:r>
              <w:rPr>
                <w:sz w:val="18"/>
              </w:rPr>
              <w:t>10 700</w:t>
            </w:r>
          </w:p>
        </w:tc>
        <w:tc>
          <w:tcPr>
            <w:tcW w:w="1361" w:type="dxa"/>
          </w:tcPr>
          <w:p w:rsidR="004F47BB" w:rsidRPr="004F47BB" w:rsidRDefault="004F47BB" w:rsidP="004F47BB">
            <w:pPr>
              <w:tabs>
                <w:tab w:val="decimal" w:pos="990"/>
              </w:tabs>
              <w:overflowPunct w:val="0"/>
              <w:adjustRightInd w:val="0"/>
              <w:spacing w:before="80" w:after="80"/>
              <w:ind w:left="113" w:right="113" w:firstLine="0"/>
              <w:textAlignment w:val="baseline"/>
              <w:rPr>
                <w:sz w:val="18"/>
                <w:szCs w:val="18"/>
              </w:rPr>
            </w:pPr>
            <w:r>
              <w:rPr>
                <w:sz w:val="18"/>
              </w:rPr>
              <w:t>11 960</w:t>
            </w:r>
          </w:p>
        </w:tc>
        <w:tc>
          <w:tcPr>
            <w:tcW w:w="1361" w:type="dxa"/>
          </w:tcPr>
          <w:p w:rsidR="004F47BB" w:rsidRPr="004F47BB" w:rsidRDefault="004F47BB" w:rsidP="004F47BB">
            <w:pPr>
              <w:tabs>
                <w:tab w:val="decimal" w:pos="848"/>
              </w:tabs>
              <w:overflowPunct w:val="0"/>
              <w:adjustRightInd w:val="0"/>
              <w:spacing w:before="80" w:after="80"/>
              <w:ind w:left="113" w:right="113" w:firstLine="0"/>
              <w:textAlignment w:val="baseline"/>
              <w:rPr>
                <w:sz w:val="18"/>
                <w:szCs w:val="18"/>
              </w:rPr>
            </w:pPr>
            <w:r>
              <w:rPr>
                <w:sz w:val="18"/>
              </w:rPr>
              <w:t>1 500</w:t>
            </w:r>
          </w:p>
        </w:tc>
      </w:tr>
    </w:tbl>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tabs>
          <w:tab w:val="left" w:pos="960"/>
          <w:tab w:val="left" w:pos="1344"/>
          <w:tab w:val="left" w:pos="7680"/>
        </w:tabs>
        <w:overflowPunct w:val="0"/>
        <w:adjustRightInd w:val="0"/>
        <w:spacing w:line="240" w:lineRule="exact"/>
        <w:ind w:left="567" w:firstLine="0"/>
        <w:jc w:val="left"/>
        <w:textAlignment w:val="baseline"/>
        <w:rPr>
          <w:szCs w:val="20"/>
        </w:rPr>
      </w:pPr>
      <w:r>
        <w:t>Sistema di propulsione della nave a motore: boccalini moderni con bordo posteriore smussato.</w:t>
      </w:r>
    </w:p>
    <w:p w:rsidR="004F47BB" w:rsidRPr="004F47BB" w:rsidRDefault="004F47BB" w:rsidP="004F47BB">
      <w:pPr>
        <w:tabs>
          <w:tab w:val="left" w:pos="960"/>
          <w:tab w:val="left" w:pos="1344"/>
          <w:tab w:val="left" w:pos="7680"/>
        </w:tabs>
        <w:overflowPunct w:val="0"/>
        <w:adjustRightInd w:val="0"/>
        <w:spacing w:line="240" w:lineRule="exact"/>
        <w:ind w:left="567" w:firstLine="0"/>
        <w:jc w:val="left"/>
        <w:textAlignment w:val="baseline"/>
        <w:rPr>
          <w:position w:val="6"/>
          <w:szCs w:val="20"/>
        </w:rPr>
      </w:pPr>
    </w:p>
    <w:p w:rsidR="004F47BB" w:rsidRPr="004F47BB" w:rsidRDefault="004F47BB" w:rsidP="004F47BB">
      <w:pPr>
        <w:tabs>
          <w:tab w:val="left" w:pos="960"/>
          <w:tab w:val="left" w:pos="1344"/>
          <w:tab w:val="left" w:pos="7680"/>
        </w:tabs>
        <w:overflowPunct w:val="0"/>
        <w:adjustRightInd w:val="0"/>
        <w:spacing w:line="240" w:lineRule="exact"/>
        <w:ind w:left="567" w:firstLine="0"/>
        <w:jc w:val="left"/>
        <w:textAlignment w:val="baseline"/>
        <w:rPr>
          <w:szCs w:val="20"/>
        </w:rPr>
      </w:pPr>
      <w:r>
        <w:t>*</w:t>
      </w:r>
      <w:r w:rsidR="00A16690">
        <w:t xml:space="preserve"> </w:t>
      </w:r>
      <m:oMath>
        <m:r>
          <w:rPr>
            <w:rFonts w:ascii="Cambria Math" w:hAnsi="Cambria Math"/>
            <w:szCs w:val="20"/>
          </w:rPr>
          <m:t>Tgf</m:t>
        </m:r>
      </m:oMath>
      <w:r>
        <w:t xml:space="preserve"> = portata lorda</w:t>
      </w:r>
    </w:p>
    <w:p w:rsidR="004F47BB" w:rsidRPr="004F47BB" w:rsidRDefault="004F47BB" w:rsidP="004F47BB">
      <w:pPr>
        <w:tabs>
          <w:tab w:val="left" w:pos="960"/>
          <w:tab w:val="left" w:pos="1344"/>
          <w:tab w:val="left" w:pos="7680"/>
        </w:tabs>
        <w:overflowPunct w:val="0"/>
        <w:adjustRightInd w:val="0"/>
        <w:spacing w:line="240" w:lineRule="exact"/>
        <w:ind w:left="0" w:firstLine="0"/>
        <w:jc w:val="left"/>
        <w:textAlignment w:val="baseline"/>
        <w:rPr>
          <w:szCs w:val="20"/>
        </w:rPr>
      </w:pPr>
    </w:p>
    <w:p w:rsidR="004F47BB" w:rsidRPr="004F47BB" w:rsidRDefault="004F47BB" w:rsidP="004F47BB">
      <w:pPr>
        <w:spacing w:line="240" w:lineRule="atLeast"/>
        <w:ind w:left="567" w:hanging="567"/>
        <w:rPr>
          <w:rFonts w:cs="Arial"/>
          <w:b/>
          <w:color w:val="000000"/>
          <w:szCs w:val="20"/>
        </w:rPr>
      </w:pPr>
      <w:r>
        <w:rPr>
          <w:b/>
          <w:color w:val="000000"/>
        </w:rPr>
        <w:t>2.</w:t>
      </w:r>
      <w:r>
        <w:tab/>
      </w:r>
      <w:r>
        <w:rPr>
          <w:b/>
          <w:color w:val="000000"/>
        </w:rPr>
        <w:t>Valori misurati durante la manovra di arresto</w:t>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tabs>
          <w:tab w:val="left" w:pos="5387"/>
          <w:tab w:val="left" w:pos="6379"/>
          <w:tab w:val="left" w:pos="6663"/>
          <w:tab w:val="left" w:pos="7513"/>
        </w:tabs>
        <w:overflowPunct w:val="0"/>
        <w:adjustRightInd w:val="0"/>
        <w:spacing w:line="240" w:lineRule="atLeast"/>
        <w:ind w:left="567" w:firstLine="0"/>
        <w:jc w:val="left"/>
        <w:textAlignment w:val="baseline"/>
        <w:rPr>
          <w:szCs w:val="20"/>
        </w:rPr>
      </w:pPr>
      <w:r>
        <w:t>Velocità della corrente:</w:t>
      </w:r>
      <w:r>
        <w:tab/>
      </w:r>
      <m:oMath>
        <m:sSub>
          <m:sSubPr>
            <m:ctrlPr>
              <w:rPr>
                <w:rFonts w:ascii="Cambria Math" w:hAnsi="Cambria Math"/>
                <w:i/>
                <w:szCs w:val="20"/>
              </w:rPr>
            </m:ctrlPr>
          </m:sSub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e>
          <m:sub>
            <m:r>
              <w:rPr>
                <w:rFonts w:ascii="Cambria Math" w:hAnsi="Cambria Math"/>
                <w:szCs w:val="20"/>
              </w:rPr>
              <m:t>IST</m:t>
            </m:r>
          </m:sub>
        </m:sSub>
      </m:oMath>
      <w:r>
        <w:tab/>
        <w:t>=</w:t>
      </w:r>
      <w:r>
        <w:tab/>
        <w:t>1,4 m/s</w:t>
      </w:r>
      <w:r>
        <w:tab/>
      </w:r>
      <w:r>
        <w:rPr>
          <w:szCs w:val="20"/>
        </w:rPr>
        <w:sym w:font="Symbol" w:char="F0BB"/>
      </w:r>
      <w:r>
        <w:t xml:space="preserve"> 5,1 km/h;</w:t>
      </w:r>
    </w:p>
    <w:p w:rsidR="004F47BB" w:rsidRPr="004F47BB" w:rsidRDefault="004F47BB" w:rsidP="004F47BB">
      <w:pPr>
        <w:tabs>
          <w:tab w:val="left" w:pos="5387"/>
          <w:tab w:val="left" w:pos="6379"/>
          <w:tab w:val="left" w:pos="6663"/>
          <w:tab w:val="left" w:pos="7513"/>
        </w:tabs>
        <w:overflowPunct w:val="0"/>
        <w:adjustRightInd w:val="0"/>
        <w:spacing w:line="240" w:lineRule="atLeast"/>
        <w:ind w:left="567" w:firstLine="0"/>
        <w:jc w:val="left"/>
        <w:textAlignment w:val="baseline"/>
        <w:rPr>
          <w:szCs w:val="20"/>
        </w:rPr>
      </w:pPr>
    </w:p>
    <w:p w:rsidR="004F47BB" w:rsidRPr="004F47BB" w:rsidRDefault="004F47BB" w:rsidP="004F47BB">
      <w:pPr>
        <w:tabs>
          <w:tab w:val="left" w:pos="5387"/>
          <w:tab w:val="left" w:pos="6379"/>
          <w:tab w:val="left" w:pos="6663"/>
          <w:tab w:val="left" w:pos="7513"/>
        </w:tabs>
        <w:overflowPunct w:val="0"/>
        <w:adjustRightInd w:val="0"/>
        <w:spacing w:line="240" w:lineRule="atLeast"/>
        <w:ind w:left="567" w:firstLine="0"/>
        <w:jc w:val="left"/>
        <w:textAlignment w:val="baseline"/>
        <w:rPr>
          <w:szCs w:val="20"/>
        </w:rPr>
      </w:pPr>
      <w:r>
        <w:t xml:space="preserve">Velocità della nave (rispetto all'acqua): </w:t>
      </w:r>
      <w:r>
        <w:tab/>
      </w:r>
      <m:oMath>
        <m:sSub>
          <m:sSubPr>
            <m:ctrlPr>
              <w:rPr>
                <w:rFonts w:ascii="Cambria Math" w:hAnsi="Cambria Math"/>
                <w:i/>
                <w:szCs w:val="20"/>
              </w:rPr>
            </m:ctrlPr>
          </m:sSub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S</m:t>
                </m:r>
              </m:sub>
            </m:sSub>
          </m:e>
          <m:sub>
            <m:r>
              <w:rPr>
                <w:rFonts w:ascii="Cambria Math" w:hAnsi="Cambria Math"/>
                <w:szCs w:val="20"/>
              </w:rPr>
              <m:t>IST</m:t>
            </m:r>
          </m:sub>
        </m:sSub>
      </m:oMath>
      <w:r>
        <w:tab/>
        <w:t>=</w:t>
      </w:r>
      <w:r>
        <w:tab/>
        <w:t>3,5 m/s</w:t>
      </w:r>
      <w:r>
        <w:tab/>
      </w:r>
      <w:r>
        <w:rPr>
          <w:szCs w:val="20"/>
        </w:rPr>
        <w:sym w:font="Symbol" w:char="F0BB"/>
      </w:r>
      <w:r>
        <w:t xml:space="preserve"> 12,5 km/h;</w:t>
      </w:r>
    </w:p>
    <w:p w:rsidR="004F47BB" w:rsidRPr="004F47BB" w:rsidRDefault="004F47BB" w:rsidP="004F47BB">
      <w:pPr>
        <w:tabs>
          <w:tab w:val="left" w:pos="5387"/>
          <w:tab w:val="left" w:pos="6379"/>
          <w:tab w:val="left" w:pos="6663"/>
          <w:tab w:val="left" w:pos="7513"/>
        </w:tabs>
        <w:overflowPunct w:val="0"/>
        <w:adjustRightInd w:val="0"/>
        <w:spacing w:line="240" w:lineRule="atLeast"/>
        <w:ind w:left="567" w:firstLine="0"/>
        <w:jc w:val="left"/>
        <w:textAlignment w:val="baseline"/>
        <w:rPr>
          <w:szCs w:val="20"/>
        </w:rPr>
      </w:pPr>
    </w:p>
    <w:p w:rsidR="004F47BB" w:rsidRPr="004F47BB" w:rsidRDefault="004F47BB" w:rsidP="004F47BB">
      <w:pPr>
        <w:tabs>
          <w:tab w:val="left" w:pos="5387"/>
          <w:tab w:val="left" w:pos="6379"/>
          <w:tab w:val="left" w:pos="6663"/>
          <w:tab w:val="left" w:pos="7513"/>
        </w:tabs>
        <w:overflowPunct w:val="0"/>
        <w:adjustRightInd w:val="0"/>
        <w:spacing w:line="240" w:lineRule="atLeast"/>
        <w:ind w:left="567" w:firstLine="0"/>
        <w:jc w:val="left"/>
        <w:textAlignment w:val="baseline"/>
        <w:rPr>
          <w:szCs w:val="20"/>
        </w:rPr>
      </w:pPr>
      <w:r>
        <w:t>Velocità della nave (rispetto alla riva):</w:t>
      </w:r>
      <w:r>
        <w:tab/>
      </w:r>
      <m:oMath>
        <m:sSub>
          <m:sSubPr>
            <m:ctrlPr>
              <w:rPr>
                <w:rFonts w:ascii="Cambria Math" w:hAnsi="Cambria Math"/>
                <w:i/>
                <w:szCs w:val="20"/>
              </w:rPr>
            </m:ctrlPr>
          </m:sSub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e>
          <m:sub>
            <m:r>
              <w:rPr>
                <w:rFonts w:ascii="Cambria Math" w:hAnsi="Cambria Math"/>
                <w:szCs w:val="20"/>
              </w:rPr>
              <m:t>IST</m:t>
            </m:r>
          </m:sub>
        </m:sSub>
      </m:oMath>
      <w:r>
        <w:tab/>
        <w:t>=</w:t>
      </w:r>
      <w:r>
        <w:tab/>
        <w:t>4,9 m/s</w:t>
      </w:r>
      <w:r>
        <w:tab/>
      </w:r>
      <w:r>
        <w:rPr>
          <w:szCs w:val="20"/>
        </w:rPr>
        <w:sym w:font="Symbol" w:char="F0BB"/>
      </w:r>
      <w:r>
        <w:t xml:space="preserve"> 17,6 km/h;</w:t>
      </w:r>
    </w:p>
    <w:p w:rsidR="004F47BB" w:rsidRPr="004F47BB" w:rsidRDefault="004F47BB" w:rsidP="004F47BB">
      <w:pPr>
        <w:tabs>
          <w:tab w:val="left" w:pos="5387"/>
          <w:tab w:val="left" w:pos="6379"/>
          <w:tab w:val="left" w:pos="6663"/>
          <w:tab w:val="left" w:pos="7513"/>
        </w:tabs>
        <w:overflowPunct w:val="0"/>
        <w:adjustRightInd w:val="0"/>
        <w:spacing w:line="240" w:lineRule="atLeast"/>
        <w:ind w:left="567" w:firstLine="0"/>
        <w:jc w:val="left"/>
        <w:textAlignment w:val="baseline"/>
        <w:rPr>
          <w:szCs w:val="20"/>
        </w:rPr>
      </w:pPr>
    </w:p>
    <w:p w:rsidR="004F47BB" w:rsidRPr="004F47BB" w:rsidRDefault="004F47BB" w:rsidP="004F47BB">
      <w:pPr>
        <w:tabs>
          <w:tab w:val="left" w:pos="5387"/>
          <w:tab w:val="left" w:pos="6379"/>
          <w:tab w:val="left" w:pos="6663"/>
          <w:tab w:val="left" w:pos="7513"/>
        </w:tabs>
        <w:overflowPunct w:val="0"/>
        <w:adjustRightInd w:val="0"/>
        <w:spacing w:line="240" w:lineRule="atLeast"/>
        <w:ind w:left="567" w:firstLine="0"/>
        <w:jc w:val="left"/>
        <w:textAlignment w:val="baseline"/>
        <w:rPr>
          <w:szCs w:val="20"/>
        </w:rPr>
      </w:pPr>
      <w:r>
        <w:t xml:space="preserve">Tempo di inversione (misurato) (dal punto </w:t>
      </w:r>
      <m:oMath>
        <m:r>
          <w:rPr>
            <w:rFonts w:ascii="Cambria Math" w:hAnsi="Cambria Math"/>
            <w:szCs w:val="20"/>
          </w:rPr>
          <m:t>A</m:t>
        </m:r>
      </m:oMath>
      <w:r>
        <w:t xml:space="preserve"> al punto </w:t>
      </w:r>
      <m:oMath>
        <m:r>
          <w:rPr>
            <w:rFonts w:ascii="Cambria Math" w:hAnsi="Cambria Math"/>
            <w:szCs w:val="20"/>
          </w:rPr>
          <m:t>C</m:t>
        </m:r>
      </m:oMath>
      <w:r>
        <w:t>):</w:t>
      </w:r>
      <w:r>
        <w:tab/>
      </w:r>
      <m:oMath>
        <m:r>
          <w:rPr>
            <w:rFonts w:ascii="Cambria Math" w:hAnsi="Cambria Math"/>
            <w:szCs w:val="20"/>
          </w:rPr>
          <m:t>t</m:t>
        </m:r>
        <m:r>
          <w:rPr>
            <w:rFonts w:ascii="Cambria Math" w:hAnsi="Cambria Math"/>
            <w:position w:val="-6"/>
            <w:sz w:val="16"/>
            <w:szCs w:val="20"/>
          </w:rPr>
          <m:t>I</m:t>
        </m:r>
      </m:oMath>
      <w:r>
        <w:tab/>
        <w:t>=</w:t>
      </w:r>
      <w:r>
        <w:tab/>
        <w:t>16 s;</w:t>
      </w:r>
    </w:p>
    <w:p w:rsidR="004F47BB" w:rsidRPr="004F47BB" w:rsidRDefault="004F47BB" w:rsidP="004F47BB">
      <w:pPr>
        <w:tabs>
          <w:tab w:val="left" w:pos="5387"/>
          <w:tab w:val="left" w:pos="6379"/>
          <w:tab w:val="left" w:pos="6663"/>
          <w:tab w:val="left" w:pos="7513"/>
        </w:tabs>
        <w:overflowPunct w:val="0"/>
        <w:adjustRightInd w:val="0"/>
        <w:spacing w:line="240" w:lineRule="atLeast"/>
        <w:ind w:left="567" w:firstLine="0"/>
        <w:jc w:val="left"/>
        <w:textAlignment w:val="baseline"/>
        <w:rPr>
          <w:szCs w:val="20"/>
        </w:rPr>
      </w:pPr>
    </w:p>
    <w:p w:rsidR="004F47BB" w:rsidRPr="004F47BB" w:rsidRDefault="004F47BB" w:rsidP="004F47BB">
      <w:pPr>
        <w:tabs>
          <w:tab w:val="left" w:pos="5387"/>
          <w:tab w:val="left" w:pos="6379"/>
          <w:tab w:val="left" w:pos="6663"/>
          <w:tab w:val="left" w:pos="7513"/>
        </w:tabs>
        <w:overflowPunct w:val="0"/>
        <w:adjustRightInd w:val="0"/>
        <w:spacing w:line="240" w:lineRule="atLeast"/>
        <w:ind w:left="567" w:firstLine="0"/>
        <w:jc w:val="left"/>
        <w:textAlignment w:val="baseline"/>
        <w:rPr>
          <w:szCs w:val="20"/>
        </w:rPr>
      </w:pPr>
      <w:r>
        <w:t xml:space="preserve">Distanza di arresto rispetto all'acqua (dal punto </w:t>
      </w:r>
      <m:oMath>
        <m:r>
          <w:rPr>
            <w:rFonts w:ascii="Cambria Math" w:hAnsi="Cambria Math"/>
            <w:szCs w:val="20"/>
          </w:rPr>
          <m:t>A</m:t>
        </m:r>
      </m:oMath>
      <w:r>
        <w:t xml:space="preserve"> al punto </w:t>
      </w:r>
      <m:oMath>
        <m:r>
          <w:rPr>
            <w:rFonts w:ascii="Cambria Math" w:hAnsi="Cambria Math"/>
            <w:szCs w:val="20"/>
          </w:rPr>
          <m:t>D</m:t>
        </m:r>
      </m:oMath>
      <w:r>
        <w:t>):</w:t>
      </w:r>
      <w:r>
        <w:tab/>
      </w:r>
      <m:oMath>
        <m:r>
          <w:rPr>
            <w:rFonts w:ascii="Cambria Math" w:hAnsi="Cambria Math"/>
            <w:szCs w:val="20"/>
          </w:rPr>
          <m:t>s</m:t>
        </m:r>
        <m:r>
          <w:rPr>
            <w:rFonts w:ascii="Cambria Math" w:hAnsi="Cambria Math"/>
            <w:position w:val="-6"/>
            <w:sz w:val="16"/>
            <w:szCs w:val="20"/>
          </w:rPr>
          <m:t>MESSUNG</m:t>
        </m:r>
      </m:oMath>
      <w:r>
        <w:tab/>
        <w:t>=</w:t>
      </w:r>
      <w:r>
        <w:tab/>
        <w:t>580 m;</w:t>
      </w:r>
    </w:p>
    <w:p w:rsidR="004F47BB" w:rsidRPr="004F47BB" w:rsidRDefault="004F47BB" w:rsidP="004F47BB">
      <w:pPr>
        <w:tabs>
          <w:tab w:val="left" w:pos="5387"/>
          <w:tab w:val="left" w:pos="6379"/>
          <w:tab w:val="left" w:pos="6663"/>
          <w:tab w:val="left" w:pos="7513"/>
        </w:tabs>
        <w:overflowPunct w:val="0"/>
        <w:adjustRightInd w:val="0"/>
        <w:spacing w:line="240" w:lineRule="atLeast"/>
        <w:ind w:left="567" w:firstLine="0"/>
        <w:jc w:val="left"/>
        <w:textAlignment w:val="baseline"/>
        <w:rPr>
          <w:szCs w:val="20"/>
        </w:rPr>
      </w:pPr>
    </w:p>
    <w:p w:rsidR="004F47BB" w:rsidRPr="004F47BB" w:rsidRDefault="004F47BB" w:rsidP="004F47BB">
      <w:pPr>
        <w:tabs>
          <w:tab w:val="left" w:pos="5387"/>
          <w:tab w:val="left" w:pos="6379"/>
          <w:tab w:val="left" w:pos="6663"/>
          <w:tab w:val="left" w:pos="7513"/>
        </w:tabs>
        <w:overflowPunct w:val="0"/>
        <w:adjustRightInd w:val="0"/>
        <w:spacing w:line="240" w:lineRule="atLeast"/>
        <w:ind w:left="567" w:firstLine="0"/>
        <w:jc w:val="left"/>
        <w:textAlignment w:val="baseline"/>
        <w:rPr>
          <w:szCs w:val="20"/>
        </w:rPr>
      </w:pPr>
      <w:r>
        <w:t xml:space="preserve">Condizione di carico (eventualmente stimato): </w:t>
      </w:r>
      <w:r>
        <w:tab/>
      </w:r>
      <m:oMath>
        <m:r>
          <w:rPr>
            <w:rFonts w:ascii="Cambria Math" w:hAnsi="Cambria Math"/>
            <w:szCs w:val="20"/>
          </w:rPr>
          <m:t>D</m:t>
        </m:r>
        <m:r>
          <w:rPr>
            <w:rFonts w:ascii="Cambria Math" w:hAnsi="Cambria Math"/>
            <w:position w:val="-6"/>
            <w:sz w:val="16"/>
            <w:szCs w:val="20"/>
          </w:rPr>
          <m:t>IST</m:t>
        </m:r>
      </m:oMath>
      <w:r>
        <w:tab/>
        <w:t>=</w:t>
      </w:r>
      <w:r>
        <w:tab/>
        <w:t>9 568 m</w:t>
      </w:r>
      <w:r>
        <w:rPr>
          <w:position w:val="6"/>
          <w:sz w:val="16"/>
          <w:vertAlign w:val="superscript"/>
        </w:rPr>
        <w:t>3</w:t>
      </w:r>
      <w:r>
        <w:tab/>
      </w:r>
      <w:r>
        <w:rPr>
          <w:szCs w:val="20"/>
        </w:rPr>
        <w:sym w:font="Symbol" w:char="F0BB"/>
      </w:r>
      <w:r>
        <w:t xml:space="preserve"> 0,8 </w:t>
      </w:r>
      <m:oMath>
        <m:sSub>
          <m:sSubPr>
            <m:ctrlPr>
              <w:rPr>
                <w:rFonts w:ascii="Cambria Math" w:hAnsi="Cambria Math"/>
                <w:i/>
                <w:szCs w:val="20"/>
              </w:rPr>
            </m:ctrlPr>
          </m:sSubPr>
          <m:e>
            <m:r>
              <w:rPr>
                <w:rFonts w:ascii="Cambria Math" w:hAnsi="Cambria Math"/>
                <w:szCs w:val="20"/>
              </w:rPr>
              <m:t>D</m:t>
            </m:r>
          </m:e>
          <m:sub>
            <m:r>
              <w:rPr>
                <w:rFonts w:ascii="Cambria Math" w:hAnsi="Cambria Math"/>
                <w:szCs w:val="20"/>
              </w:rPr>
              <m:t>max</m:t>
            </m:r>
          </m:sub>
        </m:sSub>
      </m:oMath>
    </w:p>
    <w:p w:rsidR="004F47BB" w:rsidRPr="004F47BB" w:rsidRDefault="004F47BB" w:rsidP="004F47BB">
      <w:pPr>
        <w:tabs>
          <w:tab w:val="left" w:pos="5387"/>
          <w:tab w:val="left" w:pos="6379"/>
          <w:tab w:val="left" w:pos="6663"/>
          <w:tab w:val="left" w:pos="7230"/>
          <w:tab w:val="left" w:pos="7513"/>
        </w:tabs>
        <w:overflowPunct w:val="0"/>
        <w:adjustRightInd w:val="0"/>
        <w:spacing w:line="240" w:lineRule="atLeast"/>
        <w:ind w:left="567" w:firstLine="0"/>
        <w:jc w:val="left"/>
        <w:textAlignment w:val="baseline"/>
        <w:rPr>
          <w:szCs w:val="20"/>
        </w:rPr>
      </w:pPr>
    </w:p>
    <w:p w:rsidR="004F47BB" w:rsidRPr="004F47BB" w:rsidRDefault="004F47BB" w:rsidP="004F47BB">
      <w:pPr>
        <w:tabs>
          <w:tab w:val="left" w:pos="5387"/>
          <w:tab w:val="left" w:pos="6379"/>
          <w:tab w:val="left" w:pos="6663"/>
          <w:tab w:val="left" w:pos="7513"/>
        </w:tabs>
        <w:overflowPunct w:val="0"/>
        <w:adjustRightInd w:val="0"/>
        <w:spacing w:line="240" w:lineRule="atLeast"/>
        <w:ind w:left="567" w:firstLine="0"/>
        <w:jc w:val="left"/>
        <w:textAlignment w:val="baseline"/>
        <w:rPr>
          <w:szCs w:val="20"/>
        </w:rPr>
      </w:pPr>
      <w:r>
        <w:t>Pescaggio effettivo del convoglio:</w:t>
      </w:r>
      <w:r>
        <w:tab/>
      </w:r>
      <m:oMath>
        <m:r>
          <w:rPr>
            <w:rFonts w:ascii="Cambria Math" w:hAnsi="Cambria Math"/>
            <w:szCs w:val="20"/>
          </w:rPr>
          <m:t>T</m:t>
        </m:r>
        <m:r>
          <w:rPr>
            <w:rFonts w:ascii="Cambria Math" w:hAnsi="Cambria Math"/>
            <w:position w:val="-6"/>
            <w:sz w:val="16"/>
            <w:szCs w:val="20"/>
          </w:rPr>
          <m:t>IST</m:t>
        </m:r>
      </m:oMath>
      <w:r>
        <w:tab/>
        <w:t>=</w:t>
      </w:r>
      <w:r>
        <w:tab/>
        <w:t>2,96 m</w:t>
      </w:r>
      <w:r>
        <w:tab/>
      </w:r>
      <w:r>
        <w:rPr>
          <w:szCs w:val="20"/>
        </w:rPr>
        <w:sym w:font="Symbol" w:char="F0BB"/>
      </w:r>
      <w:r>
        <w:t xml:space="preserve"> 0,8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max</m:t>
            </m:r>
          </m:sub>
        </m:sSub>
      </m:oMath>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spacing w:line="240" w:lineRule="atLeast"/>
        <w:ind w:left="567" w:hanging="567"/>
        <w:rPr>
          <w:rFonts w:cs="Arial"/>
          <w:b/>
          <w:color w:val="000000"/>
          <w:szCs w:val="20"/>
        </w:rPr>
      </w:pPr>
      <w:r>
        <w:rPr>
          <w:b/>
          <w:color w:val="000000"/>
        </w:rPr>
        <w:t>3.</w:t>
      </w:r>
      <w:r>
        <w:tab/>
      </w:r>
      <w:r>
        <w:rPr>
          <w:b/>
          <w:color w:val="000000"/>
        </w:rPr>
        <w:t xml:space="preserve">Valore limite secondo il punto 2.1, lettera a) o b), dell'istruzione con </w:t>
      </w:r>
      <m:oMath>
        <m:sSub>
          <m:sSubPr>
            <m:ctrlPr>
              <w:rPr>
                <w:rFonts w:ascii="Cambria Math" w:hAnsi="Cambria Math"/>
                <w:i/>
                <w:noProof/>
              </w:rPr>
            </m:ctrlPr>
          </m:sSubPr>
          <m:e>
            <m:r>
              <m:rPr>
                <m:sty m:val="bi"/>
              </m:rPr>
              <w:rPr>
                <w:rFonts w:ascii="Cambria Math" w:hAnsi="Cambria Math" w:cs="Arial"/>
                <w:noProof/>
                <w:color w:val="000000"/>
                <w:szCs w:val="20"/>
              </w:rPr>
              <m:t>s</m:t>
            </m:r>
          </m:e>
          <m:sub>
            <m:r>
              <m:rPr>
                <m:sty m:val="bi"/>
              </m:rPr>
              <w:rPr>
                <w:rFonts w:ascii="Cambria Math" w:hAnsi="Cambria Math" w:cs="Arial"/>
                <w:noProof/>
                <w:color w:val="000000"/>
                <w:szCs w:val="20"/>
              </w:rPr>
              <m:t>NORM</m:t>
            </m:r>
          </m:sub>
        </m:sSub>
      </m:oMath>
    </w:p>
    <w:p w:rsidR="004F47BB" w:rsidRPr="004F47BB" w:rsidRDefault="004F47BB" w:rsidP="004F47BB">
      <w:pPr>
        <w:tabs>
          <w:tab w:val="left" w:pos="567"/>
        </w:tabs>
        <w:overflowPunct w:val="0"/>
        <w:adjustRightInd w:val="0"/>
        <w:ind w:left="567" w:hanging="567"/>
        <w:textAlignment w:val="baseline"/>
        <w:rPr>
          <w:szCs w:val="20"/>
        </w:rPr>
      </w:pPr>
    </w:p>
    <w:p w:rsidR="004F47BB" w:rsidRPr="004F47BB" w:rsidRDefault="004F47BB" w:rsidP="004F47BB">
      <w:pPr>
        <w:overflowPunct w:val="0"/>
        <w:adjustRightInd w:val="0"/>
        <w:spacing w:line="240" w:lineRule="exact"/>
        <w:ind w:left="567" w:firstLine="0"/>
        <w:textAlignment w:val="baseline"/>
        <w:rPr>
          <w:szCs w:val="20"/>
        </w:rPr>
      </w:pPr>
      <w:r>
        <w:t xml:space="preserve">Posto che </w:t>
      </w:r>
      <m:oMath>
        <m:r>
          <w:rPr>
            <w:rFonts w:ascii="Cambria Math" w:hAnsi="Cambria Math"/>
            <w:szCs w:val="20"/>
          </w:rPr>
          <m:t>B &gt; 11,45 m</m:t>
        </m:r>
      </m:oMath>
      <w:r>
        <w:t xml:space="preserve"> e posto che il convoglio è in acqua corrente, per il convoglio in questione, secondo il punto 2.1, lettera a) si applica:</w:t>
      </w:r>
    </w:p>
    <w:p w:rsidR="004F47BB" w:rsidRPr="004F47BB" w:rsidRDefault="004F47BB" w:rsidP="004F47BB">
      <w:pPr>
        <w:tabs>
          <w:tab w:val="left" w:pos="567"/>
        </w:tabs>
        <w:overflowPunct w:val="0"/>
        <w:adjustRightInd w:val="0"/>
        <w:ind w:left="567" w:hanging="567"/>
        <w:textAlignment w:val="baseline"/>
        <w:rPr>
          <w:szCs w:val="20"/>
        </w:rPr>
      </w:pPr>
    </w:p>
    <w:p w:rsidR="004F47BB" w:rsidRPr="004F47BB" w:rsidRDefault="004F47BB" w:rsidP="004F47BB">
      <w:pPr>
        <w:tabs>
          <w:tab w:val="left" w:pos="567"/>
          <w:tab w:val="left" w:pos="3402"/>
        </w:tabs>
        <w:overflowPunct w:val="0"/>
        <w:adjustRightInd w:val="0"/>
        <w:spacing w:line="240" w:lineRule="atLeast"/>
        <w:ind w:left="567" w:firstLine="0"/>
        <w:textAlignment w:val="baseline"/>
        <w:rPr>
          <w:szCs w:val="20"/>
        </w:rPr>
      </w:pPr>
      <m:oMathPara>
        <m:oMath>
          <m:r>
            <w:rPr>
              <w:rFonts w:ascii="Cambria Math" w:hAnsi="Cambria Math"/>
              <w:szCs w:val="20"/>
            </w:rPr>
            <m:t>s</m:t>
          </m:r>
          <m:r>
            <w:rPr>
              <w:rFonts w:ascii="Cambria Math" w:hAnsi="Cambria Math"/>
              <w:position w:val="-6"/>
              <w:sz w:val="16"/>
              <w:szCs w:val="20"/>
            </w:rPr>
            <m:t>NORM</m:t>
          </m:r>
          <m:r>
            <w:rPr>
              <w:rFonts w:ascii="Cambria Math" w:hAnsi="Cambria Math"/>
              <w:szCs w:val="20"/>
            </w:rPr>
            <m:t xml:space="preserve"> </m:t>
          </m:r>
          <m:r>
            <w:rPr>
              <w:rFonts w:ascii="Cambria Math" w:hAnsi="Cambria Math"/>
              <w:i/>
              <w:szCs w:val="20"/>
            </w:rPr>
            <w:sym w:font="Symbol" w:char="F0A3"/>
          </m:r>
          <m:r>
            <w:rPr>
              <w:rFonts w:ascii="Cambria Math" w:hAnsi="Cambria Math"/>
              <w:szCs w:val="20"/>
            </w:rPr>
            <m:t xml:space="preserve"> 550 m</m:t>
          </m:r>
        </m:oMath>
      </m:oMathPara>
    </w:p>
    <w:p w:rsidR="004F47BB" w:rsidRPr="004F47BB" w:rsidRDefault="004F47BB" w:rsidP="004F47BB">
      <w:pPr>
        <w:tabs>
          <w:tab w:val="left" w:pos="454"/>
          <w:tab w:val="left" w:pos="567"/>
        </w:tabs>
        <w:overflowPunct w:val="0"/>
        <w:adjustRightInd w:val="0"/>
        <w:spacing w:line="240" w:lineRule="exact"/>
        <w:ind w:left="567" w:hanging="567"/>
        <w:textAlignment w:val="baseline"/>
        <w:rPr>
          <w:szCs w:val="20"/>
        </w:rPr>
      </w:pPr>
    </w:p>
    <w:p w:rsidR="004F47BB" w:rsidRPr="004F47BB" w:rsidRDefault="004F47BB" w:rsidP="004F47BB">
      <w:pPr>
        <w:tabs>
          <w:tab w:val="left" w:pos="454"/>
          <w:tab w:val="left" w:pos="567"/>
        </w:tabs>
        <w:overflowPunct w:val="0"/>
        <w:adjustRightInd w:val="0"/>
        <w:spacing w:line="240" w:lineRule="exact"/>
        <w:ind w:left="567" w:hanging="567"/>
        <w:textAlignment w:val="baseline"/>
        <w:rPr>
          <w:szCs w:val="20"/>
        </w:rPr>
      </w:pPr>
      <w:r>
        <w:br w:type="page"/>
      </w:r>
    </w:p>
    <w:p w:rsidR="004F47BB" w:rsidRPr="004F47BB" w:rsidRDefault="004F47BB" w:rsidP="004F47BB">
      <w:pPr>
        <w:spacing w:line="240" w:lineRule="atLeast"/>
        <w:ind w:left="567" w:hanging="567"/>
        <w:rPr>
          <w:rFonts w:cs="Arial"/>
          <w:b/>
          <w:color w:val="000000"/>
          <w:szCs w:val="20"/>
        </w:rPr>
      </w:pPr>
      <w:r>
        <w:rPr>
          <w:b/>
          <w:color w:val="000000"/>
        </w:rPr>
        <w:lastRenderedPageBreak/>
        <w:t>4.</w:t>
      </w:r>
      <w:r>
        <w:tab/>
      </w:r>
      <w:r>
        <w:rPr>
          <w:b/>
          <w:color w:val="000000"/>
        </w:rPr>
        <w:t>Calcolo della distanza di arresto rettificata rispetto a condizioni normali</w:t>
      </w:r>
    </w:p>
    <w:p w:rsidR="004F47BB" w:rsidRPr="004F47BB" w:rsidRDefault="004F47BB" w:rsidP="004F47BB">
      <w:pPr>
        <w:overflowPunct w:val="0"/>
        <w:adjustRightInd w:val="0"/>
        <w:spacing w:line="240" w:lineRule="exact"/>
        <w:ind w:left="567" w:hanging="567"/>
        <w:jc w:val="left"/>
        <w:textAlignment w:val="baseline"/>
        <w:rPr>
          <w:szCs w:val="20"/>
        </w:rPr>
      </w:pPr>
    </w:p>
    <w:p w:rsidR="004F47BB" w:rsidRPr="004F47BB" w:rsidRDefault="004F47BB" w:rsidP="004F47BB">
      <w:pPr>
        <w:tabs>
          <w:tab w:val="left" w:pos="567"/>
        </w:tabs>
        <w:overflowPunct w:val="0"/>
        <w:adjustRightInd w:val="0"/>
        <w:spacing w:line="240" w:lineRule="exact"/>
        <w:ind w:left="992"/>
        <w:jc w:val="left"/>
        <w:textAlignment w:val="baseline"/>
        <w:rPr>
          <w:szCs w:val="20"/>
        </w:rPr>
      </w:pPr>
      <w:r>
        <w:t>-</w:t>
      </w:r>
      <w:r>
        <w:tab/>
      </w:r>
      <w:r>
        <w:rPr>
          <w:b/>
        </w:rPr>
        <w:t>Valore misurato</w:t>
      </w:r>
      <w:r>
        <w:t>:</w:t>
      </w:r>
    </w:p>
    <w:p w:rsidR="004F47BB" w:rsidRPr="004F47BB" w:rsidRDefault="004F47BB" w:rsidP="004F47BB">
      <w:pPr>
        <w:tabs>
          <w:tab w:val="left" w:pos="284"/>
        </w:tabs>
        <w:overflowPunct w:val="0"/>
        <w:adjustRightInd w:val="0"/>
        <w:spacing w:line="240" w:lineRule="exact"/>
        <w:ind w:left="992"/>
        <w:jc w:val="left"/>
        <w:textAlignment w:val="baseline"/>
        <w:rPr>
          <w:szCs w:val="20"/>
        </w:rPr>
      </w:pPr>
    </w:p>
    <w:p w:rsidR="004F47BB" w:rsidRPr="004F47BB" w:rsidRDefault="004F47BB" w:rsidP="004F47BB">
      <w:pPr>
        <w:tabs>
          <w:tab w:val="left" w:pos="454"/>
          <w:tab w:val="left" w:pos="3402"/>
        </w:tabs>
        <w:overflowPunct w:val="0"/>
        <w:adjustRightInd w:val="0"/>
        <w:spacing w:line="240" w:lineRule="exact"/>
        <w:ind w:left="992"/>
        <w:textAlignment w:val="baseline"/>
        <w:rPr>
          <w:szCs w:val="20"/>
        </w:rPr>
      </w:pPr>
      <m:oMathPara>
        <m:oMath>
          <m:r>
            <w:rPr>
              <w:rFonts w:ascii="Cambria Math" w:hAnsi="Cambria Math"/>
              <w:szCs w:val="20"/>
            </w:rPr>
            <m:t>s</m:t>
          </m:r>
          <m:r>
            <w:rPr>
              <w:rFonts w:ascii="Cambria Math" w:hAnsi="Cambria Math"/>
              <w:position w:val="-6"/>
              <w:sz w:val="16"/>
              <w:szCs w:val="20"/>
            </w:rPr>
            <m:t>MESSUNG</m:t>
          </m:r>
          <m:r>
            <w:rPr>
              <w:rFonts w:ascii="Cambria Math" w:hAnsi="Cambria Math"/>
              <w:szCs w:val="20"/>
            </w:rPr>
            <m:t xml:space="preserve"> = 580 m</m:t>
          </m:r>
        </m:oMath>
      </m:oMathPara>
    </w:p>
    <w:p w:rsidR="004F47BB" w:rsidRPr="004F47BB" w:rsidRDefault="004F47BB" w:rsidP="004F47BB">
      <w:pPr>
        <w:tabs>
          <w:tab w:val="left" w:pos="454"/>
        </w:tabs>
        <w:overflowPunct w:val="0"/>
        <w:adjustRightInd w:val="0"/>
        <w:spacing w:line="240" w:lineRule="exact"/>
        <w:ind w:left="992"/>
        <w:jc w:val="left"/>
        <w:textAlignment w:val="baseline"/>
        <w:rPr>
          <w:szCs w:val="20"/>
        </w:rPr>
      </w:pPr>
    </w:p>
    <w:p w:rsidR="004F47BB" w:rsidRPr="004F47BB" w:rsidRDefault="004F47BB" w:rsidP="004F47BB">
      <w:pPr>
        <w:tabs>
          <w:tab w:val="left" w:pos="284"/>
          <w:tab w:val="left" w:pos="567"/>
        </w:tabs>
        <w:overflowPunct w:val="0"/>
        <w:adjustRightInd w:val="0"/>
        <w:spacing w:line="240" w:lineRule="exact"/>
        <w:ind w:left="992"/>
        <w:jc w:val="left"/>
        <w:textAlignment w:val="baseline"/>
        <w:rPr>
          <w:b/>
          <w:szCs w:val="20"/>
        </w:rPr>
      </w:pPr>
      <w:r>
        <w:rPr>
          <w:b/>
        </w:rPr>
        <w:t>-</w:t>
      </w:r>
      <w:r>
        <w:tab/>
      </w:r>
      <w:r>
        <w:rPr>
          <w:b/>
        </w:rPr>
        <w:t>Da calcolare:</w:t>
      </w:r>
    </w:p>
    <w:p w:rsidR="004F47BB" w:rsidRPr="004F47BB" w:rsidRDefault="004F47BB" w:rsidP="004F47BB">
      <w:pPr>
        <w:tabs>
          <w:tab w:val="left" w:pos="567"/>
        </w:tabs>
        <w:overflowPunct w:val="0"/>
        <w:adjustRightInd w:val="0"/>
        <w:spacing w:line="240" w:lineRule="exact"/>
        <w:ind w:left="992"/>
        <w:jc w:val="left"/>
        <w:textAlignment w:val="baseline"/>
        <w:rPr>
          <w:szCs w:val="20"/>
        </w:rPr>
      </w:pPr>
    </w:p>
    <w:p w:rsidR="004F47BB" w:rsidRPr="004F47BB" w:rsidRDefault="00624017" w:rsidP="004F47BB">
      <w:pPr>
        <w:tabs>
          <w:tab w:val="left" w:pos="567"/>
          <w:tab w:val="left" w:pos="1276"/>
          <w:tab w:val="left" w:pos="4111"/>
        </w:tabs>
        <w:overflowPunct w:val="0"/>
        <w:adjustRightInd w:val="0"/>
        <w:spacing w:line="240" w:lineRule="atLeast"/>
        <w:ind w:left="3402" w:hanging="2410"/>
        <w:jc w:val="left"/>
        <w:textAlignment w:val="baseline"/>
        <w:rPr>
          <w:szCs w:val="20"/>
        </w:rPr>
      </w:pPr>
      <m:oMath>
        <m:sSub>
          <m:sSubPr>
            <m:ctrlPr>
              <w:rPr>
                <w:rFonts w:ascii="Cambria Math" w:hAnsi="Cambria Math"/>
                <w:i/>
                <w:noProof/>
              </w:rPr>
            </m:ctrlPr>
          </m:sSubPr>
          <m:e>
            <m:r>
              <w:rPr>
                <w:rFonts w:ascii="Cambria Math" w:hAnsi="Cambria Math"/>
                <w:noProof/>
              </w:rPr>
              <m:t>s</m:t>
            </m:r>
          </m:e>
          <m:sub>
            <m:r>
              <w:rPr>
                <w:rFonts w:ascii="Cambria Math" w:hAnsi="Cambria Math"/>
                <w:noProof/>
              </w:rPr>
              <m:t>IST</m:t>
            </m:r>
          </m:sub>
        </m:sSub>
      </m:oMath>
      <w:r w:rsidR="00801F1F">
        <w:t xml:space="preserve"> come somma di</w:t>
      </w:r>
    </w:p>
    <w:p w:rsidR="004F47BB" w:rsidRPr="004F47BB" w:rsidRDefault="004F47BB" w:rsidP="004F47BB">
      <w:pPr>
        <w:tabs>
          <w:tab w:val="left" w:pos="567"/>
          <w:tab w:val="left" w:pos="1276"/>
          <w:tab w:val="left" w:pos="4111"/>
        </w:tabs>
        <w:overflowPunct w:val="0"/>
        <w:adjustRightInd w:val="0"/>
        <w:spacing w:line="240" w:lineRule="atLeast"/>
        <w:ind w:left="3402" w:hanging="2410"/>
        <w:jc w:val="left"/>
        <w:textAlignment w:val="baseline"/>
        <w:rPr>
          <w:szCs w:val="20"/>
        </w:rPr>
      </w:pPr>
    </w:p>
    <w:p w:rsidR="004F47BB" w:rsidRPr="004F47BB" w:rsidRDefault="00624017" w:rsidP="004F47BB">
      <w:pPr>
        <w:tabs>
          <w:tab w:val="left" w:pos="567"/>
          <w:tab w:val="left" w:pos="4111"/>
        </w:tabs>
        <w:overflowPunct w:val="0"/>
        <w:adjustRightInd w:val="0"/>
        <w:spacing w:line="240" w:lineRule="atLeast"/>
        <w:ind w:left="3402" w:hanging="2410"/>
        <w:jc w:val="left"/>
        <w:textAlignment w:val="baseline"/>
        <w:rPr>
          <w:szCs w:val="20"/>
        </w:rPr>
      </w:p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oMath>
      <w:r w:rsidR="00801F1F">
        <w:t xml:space="preserve"> </w:t>
      </w:r>
      <w:r w:rsidR="00801F1F">
        <w:tab/>
        <w:t xml:space="preserve">(secondo la formula 4.1 dell'allegato 2 con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L</m:t>
                </m:r>
              </m:sub>
            </m:sSub>
          </m:e>
          <m:sub>
            <m:r>
              <w:rPr>
                <w:rFonts w:ascii="Cambria Math" w:hAnsi="Cambria Math"/>
                <w:noProof/>
              </w:rPr>
              <m:t>IST</m:t>
            </m:r>
          </m:sub>
        </m:sSub>
      </m:oMath>
      <w:r w:rsidR="00801F1F">
        <w:t>)</w:t>
      </w:r>
    </w:p>
    <w:p w:rsidR="004F47BB" w:rsidRPr="004F47BB" w:rsidRDefault="004F47BB" w:rsidP="004F47BB">
      <w:pPr>
        <w:tabs>
          <w:tab w:val="left" w:pos="567"/>
          <w:tab w:val="left" w:pos="1276"/>
          <w:tab w:val="left" w:pos="4111"/>
        </w:tabs>
        <w:overflowPunct w:val="0"/>
        <w:adjustRightInd w:val="0"/>
        <w:spacing w:line="240" w:lineRule="atLeast"/>
        <w:ind w:left="3402" w:hanging="2410"/>
        <w:jc w:val="left"/>
        <w:textAlignment w:val="baseline"/>
        <w:rPr>
          <w:szCs w:val="20"/>
        </w:rPr>
      </w:pPr>
    </w:p>
    <w:p w:rsidR="004F47BB" w:rsidRPr="004F47BB" w:rsidRDefault="004F47BB" w:rsidP="004F47BB">
      <w:pPr>
        <w:tabs>
          <w:tab w:val="left" w:pos="567"/>
          <w:tab w:val="left" w:pos="1276"/>
          <w:tab w:val="left" w:pos="4111"/>
        </w:tabs>
        <w:overflowPunct w:val="0"/>
        <w:adjustRightInd w:val="0"/>
        <w:spacing w:line="240" w:lineRule="atLeast"/>
        <w:ind w:left="3402" w:hanging="2410"/>
        <w:textAlignment w:val="baseline"/>
        <w:rPr>
          <w:szCs w:val="20"/>
        </w:rPr>
      </w:pPr>
      <w:r>
        <w:t xml:space="preserve">e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r>
        <w:tab/>
        <w:t xml:space="preserve">[secondo le formule 4.2, 4.3, 4.4, 4.5 e 4.6 dell'allegato 2 con velocità effettive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L</m:t>
                </m:r>
              </m:sub>
            </m:sSub>
          </m:e>
          <m:sub>
            <m:r>
              <w:rPr>
                <w:rFonts w:ascii="Cambria Math" w:hAnsi="Cambria Math"/>
                <w:noProof/>
              </w:rPr>
              <m:t>IST</m:t>
            </m:r>
          </m:sub>
        </m:sSub>
      </m:oMath>
      <w:r>
        <w:t xml:space="preserve"> (cfr. punto 2 precedente) e </w:t>
      </w:r>
      <m:oMath>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oMath>
      <w:r>
        <w:t>]</w:t>
      </w:r>
    </w:p>
    <w:p w:rsidR="004F47BB" w:rsidRPr="004F47BB" w:rsidRDefault="004F47BB" w:rsidP="004F47BB">
      <w:pPr>
        <w:tabs>
          <w:tab w:val="left" w:pos="454"/>
        </w:tabs>
        <w:overflowPunct w:val="0"/>
        <w:adjustRightInd w:val="0"/>
        <w:spacing w:line="240" w:lineRule="atLeast"/>
        <w:ind w:left="3402" w:hanging="2410"/>
        <w:jc w:val="left"/>
        <w:textAlignment w:val="baseline"/>
        <w:rPr>
          <w:szCs w:val="20"/>
        </w:rPr>
      </w:pPr>
    </w:p>
    <w:p w:rsidR="004F47BB" w:rsidRPr="004F47BB" w:rsidRDefault="00624017" w:rsidP="004F47BB">
      <w:pPr>
        <w:tabs>
          <w:tab w:val="left" w:pos="567"/>
          <w:tab w:val="left" w:pos="1560"/>
          <w:tab w:val="left" w:pos="4111"/>
        </w:tabs>
        <w:overflowPunct w:val="0"/>
        <w:adjustRightInd w:val="0"/>
        <w:spacing w:line="240" w:lineRule="atLeast"/>
        <w:ind w:left="3402" w:hanging="2410"/>
        <w:textAlignment w:val="baseline"/>
        <w:rPr>
          <w:szCs w:val="20"/>
        </w:rPr>
      </w:pPr>
      <m:oMath>
        <m:sSub>
          <m:sSubPr>
            <m:ctrlPr>
              <w:rPr>
                <w:rFonts w:ascii="Cambria Math" w:hAnsi="Cambria Math"/>
                <w:i/>
                <w:noProof/>
              </w:rPr>
            </m:ctrlPr>
          </m:sSubPr>
          <m:e>
            <m:r>
              <w:rPr>
                <w:rFonts w:ascii="Cambria Math" w:hAnsi="Cambria Math"/>
                <w:noProof/>
              </w:rPr>
              <m:t>s</m:t>
            </m:r>
          </m:e>
          <m:sub>
            <m:r>
              <w:rPr>
                <w:rFonts w:ascii="Cambria Math" w:hAnsi="Cambria Math"/>
                <w:noProof/>
              </w:rPr>
              <m:t>SOLL</m:t>
            </m:r>
          </m:sub>
        </m:sSub>
      </m:oMath>
      <w:r w:rsidR="00801F1F">
        <w:t>:</w:t>
      </w:r>
      <w:r w:rsidR="00801F1F">
        <w:tab/>
        <w:t xml:space="preserve">somma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SOLL</m:t>
            </m:r>
          </m:sub>
        </m:sSub>
        <m:r>
          <w:rPr>
            <w:rFonts w:ascii="Cambria Math" w:hAnsi="Cambria Math"/>
          </w:rPr>
          <m:t xml:space="preserve">+ </m:t>
        </m:r>
        <m:sSub>
          <m:sSubPr>
            <m:ctrlPr>
              <w:rPr>
                <w:rFonts w:ascii="Cambria Math" w:hAnsi="Cambria Math"/>
                <w:i/>
              </w:rPr>
            </m:ctrlPr>
          </m:sSubPr>
          <m:e>
            <m:r>
              <w:rPr>
                <w:rFonts w:ascii="Cambria Math" w:hAnsi="Cambria Math"/>
              </w:rPr>
              <m:t>s</m:t>
            </m:r>
          </m:e>
          <m:sub>
            <m:sSub>
              <m:sSubPr>
                <m:ctrlPr>
                  <w:rPr>
                    <w:rFonts w:ascii="Cambria Math" w:hAnsi="Cambria Math"/>
                    <w:i/>
                  </w:rPr>
                </m:ctrlPr>
              </m:sSubPr>
              <m:e>
                <m:r>
                  <w:rPr>
                    <w:rFonts w:ascii="Cambria Math" w:hAnsi="Cambria Math"/>
                  </w:rPr>
                  <m:t>II</m:t>
                </m:r>
              </m:e>
              <m:sub>
                <m:r>
                  <w:rPr>
                    <w:rFonts w:ascii="Cambria Math" w:hAnsi="Cambria Math"/>
                  </w:rPr>
                  <m:t>SOLL</m:t>
                </m:r>
              </m:sub>
            </m:sSub>
          </m:sub>
        </m:sSub>
      </m:oMath>
      <w:r w:rsidR="00801F1F">
        <w:tab/>
        <w:t>(secondo le formule da 4.1 a 4.6 dell'appendice 2 con velocità di riferimento e conformemente all'allegato 2, posto che la condizione di carico &gt; 70 % della portata lorda massima,</w:t>
      </w:r>
    </w:p>
    <w:p w:rsidR="004F47BB" w:rsidRPr="004F47BB" w:rsidRDefault="004F47BB" w:rsidP="004F47BB">
      <w:pPr>
        <w:tabs>
          <w:tab w:val="left" w:pos="567"/>
          <w:tab w:val="left" w:pos="4111"/>
        </w:tabs>
        <w:overflowPunct w:val="0"/>
        <w:adjustRightInd w:val="0"/>
        <w:spacing w:line="240" w:lineRule="atLeast"/>
        <w:ind w:left="3402" w:hanging="2410"/>
        <w:jc w:val="left"/>
        <w:textAlignment w:val="baseline"/>
        <w:rPr>
          <w:szCs w:val="20"/>
        </w:rPr>
      </w:pPr>
      <w:r>
        <w:tab/>
        <w:t xml:space="preserve">dove </w:t>
      </w:r>
      <m:oMath>
        <m:sSub>
          <m:sSubPr>
            <m:ctrlPr>
              <w:rPr>
                <w:rFonts w:ascii="Cambria Math" w:hAnsi="Cambria Math"/>
                <w:i/>
                <w:noProof/>
              </w:rPr>
            </m:ctrlPr>
          </m:sSubPr>
          <m:e>
            <m:r>
              <w:rPr>
                <w:rFonts w:ascii="Cambria Math" w:hAnsi="Cambria Math"/>
                <w:noProof/>
              </w:rPr>
              <m:t>D</m:t>
            </m:r>
          </m:e>
          <m:sub>
            <m:r>
              <w:rPr>
                <w:rFonts w:ascii="Cambria Math" w:hAnsi="Cambria Math"/>
                <w:noProof/>
              </w:rPr>
              <m:t>SOLL</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oMath>
      <w:r>
        <w:t xml:space="preserve"> e </w:t>
      </w:r>
      <m:oMath>
        <m:sSub>
          <m:sSubPr>
            <m:ctrlPr>
              <w:rPr>
                <w:rFonts w:ascii="Cambria Math" w:hAnsi="Cambria Math"/>
                <w:i/>
                <w:noProof/>
              </w:rPr>
            </m:ctrlPr>
          </m:sSubPr>
          <m:e>
            <m:r>
              <w:rPr>
                <w:rFonts w:ascii="Cambria Math" w:hAnsi="Cambria Math"/>
                <w:noProof/>
              </w:rPr>
              <m:t>T</m:t>
            </m:r>
          </m:e>
          <m:sub>
            <m:r>
              <w:rPr>
                <w:rFonts w:ascii="Cambria Math" w:hAnsi="Cambria Math"/>
                <w:noProof/>
              </w:rPr>
              <m:t>SOLL</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T</m:t>
            </m:r>
          </m:e>
          <m:sub>
            <m:r>
              <w:rPr>
                <w:rFonts w:ascii="Cambria Math" w:hAnsi="Cambria Math"/>
                <w:noProof/>
              </w:rPr>
              <m:t>IST</m:t>
            </m:r>
          </m:sub>
        </m:sSub>
      </m:oMath>
      <w:r>
        <w:t>)</w:t>
      </w:r>
    </w:p>
    <w:p w:rsidR="004F47BB" w:rsidRPr="004F47BB" w:rsidRDefault="004F47BB" w:rsidP="004F47BB">
      <w:pPr>
        <w:tabs>
          <w:tab w:val="left" w:pos="454"/>
        </w:tabs>
        <w:overflowPunct w:val="0"/>
        <w:adjustRightInd w:val="0"/>
        <w:spacing w:line="240" w:lineRule="atLeast"/>
        <w:ind w:left="454" w:hanging="454"/>
        <w:jc w:val="left"/>
        <w:textAlignment w:val="baseline"/>
        <w:rPr>
          <w:szCs w:val="20"/>
        </w:rPr>
      </w:pPr>
    </w:p>
    <w:p w:rsidR="004F47BB" w:rsidRPr="004F47BB" w:rsidRDefault="004F47BB" w:rsidP="004F47BB">
      <w:pPr>
        <w:tabs>
          <w:tab w:val="left" w:pos="284"/>
        </w:tabs>
        <w:overflowPunct w:val="0"/>
        <w:adjustRightInd w:val="0"/>
        <w:spacing w:line="240" w:lineRule="atLeast"/>
        <w:ind w:left="992"/>
        <w:jc w:val="left"/>
        <w:textAlignment w:val="baseline"/>
        <w:rPr>
          <w:szCs w:val="20"/>
        </w:rPr>
      </w:pPr>
      <w:r>
        <w:t>-</w:t>
      </w:r>
      <w:r>
        <w:tab/>
      </w:r>
      <w:r>
        <w:rPr>
          <w:b/>
        </w:rPr>
        <w:t>da verificare:</w:t>
      </w:r>
    </w:p>
    <w:p w:rsidR="004F47BB" w:rsidRPr="004F47BB" w:rsidRDefault="004F47BB" w:rsidP="004F47BB">
      <w:pPr>
        <w:tabs>
          <w:tab w:val="left" w:pos="454"/>
        </w:tabs>
        <w:overflowPunct w:val="0"/>
        <w:adjustRightInd w:val="0"/>
        <w:spacing w:line="240" w:lineRule="atLeast"/>
        <w:ind w:left="454" w:hanging="454"/>
        <w:jc w:val="left"/>
        <w:textAlignment w:val="baseline"/>
        <w:rPr>
          <w:szCs w:val="20"/>
        </w:rPr>
      </w:pPr>
    </w:p>
    <w:p w:rsidR="004F47BB" w:rsidRPr="004F47BB" w:rsidRDefault="00624017" w:rsidP="004F47BB">
      <w:pPr>
        <w:tabs>
          <w:tab w:val="left" w:pos="454"/>
        </w:tabs>
        <w:overflowPunct w:val="0"/>
        <w:adjustRightInd w:val="0"/>
        <w:spacing w:line="240" w:lineRule="atLeast"/>
        <w:ind w:left="454" w:hanging="454"/>
        <w:jc w:val="center"/>
        <w:textAlignment w:val="baseline"/>
        <w:rPr>
          <w:szCs w:val="20"/>
        </w:rPr>
      </w:pP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rPr>
          <m:t xml:space="preserve"> ≤550 m</m:t>
        </m:r>
      </m:oMath>
      <w:r w:rsidR="00801F1F">
        <w:t xml:space="preserve"> altrimenti</w:t>
      </w:r>
    </w:p>
    <w:p w:rsidR="004F47BB" w:rsidRPr="004F47BB" w:rsidRDefault="004F47BB" w:rsidP="004F47BB">
      <w:pPr>
        <w:tabs>
          <w:tab w:val="left" w:pos="454"/>
          <w:tab w:val="center" w:pos="3828"/>
        </w:tabs>
        <w:overflowPunct w:val="0"/>
        <w:adjustRightInd w:val="0"/>
        <w:spacing w:line="240" w:lineRule="atLeast"/>
        <w:ind w:left="454" w:hanging="454"/>
        <w:jc w:val="left"/>
        <w:textAlignment w:val="baseline"/>
        <w:rPr>
          <w:szCs w:val="20"/>
        </w:rPr>
      </w:pPr>
    </w:p>
    <w:p w:rsidR="004F47BB" w:rsidRPr="004F47BB" w:rsidRDefault="004F47BB" w:rsidP="004F47BB">
      <w:pPr>
        <w:tabs>
          <w:tab w:val="left" w:pos="284"/>
        </w:tabs>
        <w:overflowPunct w:val="0"/>
        <w:adjustRightInd w:val="0"/>
        <w:spacing w:line="240" w:lineRule="atLeast"/>
        <w:ind w:left="992"/>
        <w:jc w:val="left"/>
        <w:textAlignment w:val="baseline"/>
        <w:rPr>
          <w:b/>
          <w:szCs w:val="20"/>
        </w:rPr>
      </w:pPr>
      <w:r>
        <w:rPr>
          <w:b/>
        </w:rPr>
        <w:t>-</w:t>
      </w:r>
      <w:r>
        <w:tab/>
      </w:r>
      <w:r>
        <w:rPr>
          <w:b/>
        </w:rPr>
        <w:t>calcolare:</w:t>
      </w:r>
    </w:p>
    <w:p w:rsidR="004F47BB" w:rsidRPr="004F47BB" w:rsidRDefault="004F47BB" w:rsidP="004F47BB">
      <w:pPr>
        <w:tabs>
          <w:tab w:val="left" w:pos="454"/>
        </w:tabs>
        <w:overflowPunct w:val="0"/>
        <w:adjustRightInd w:val="0"/>
        <w:spacing w:line="240" w:lineRule="atLeast"/>
        <w:ind w:left="454" w:hanging="454"/>
        <w:jc w:val="left"/>
        <w:textAlignment w:val="baseline"/>
        <w:rPr>
          <w:szCs w:val="20"/>
        </w:rPr>
      </w:pPr>
    </w:p>
    <w:p w:rsidR="004F47BB" w:rsidRPr="004F47BB" w:rsidRDefault="00624017" w:rsidP="004F47BB">
      <w:pPr>
        <w:tabs>
          <w:tab w:val="left" w:pos="454"/>
          <w:tab w:val="left" w:pos="1418"/>
          <w:tab w:val="left" w:pos="1843"/>
        </w:tabs>
        <w:overflowPunct w:val="0"/>
        <w:adjustRightInd w:val="0"/>
        <w:spacing w:line="240" w:lineRule="atLeast"/>
        <w:ind w:left="992" w:firstLine="0"/>
        <w:jc w:val="left"/>
        <w:textAlignment w:val="baseline"/>
        <w:rPr>
          <w:szCs w:val="20"/>
        </w:rPr>
      </w:pPr>
      <m:oMath>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s</m:t>
                </m:r>
              </m:e>
              <m:sup>
                <m:r>
                  <w:rPr>
                    <w:rFonts w:ascii="Cambria Math" w:hAnsi="Cambria Math"/>
                    <w:szCs w:val="20"/>
                  </w:rPr>
                  <m:t>*</m:t>
                </m:r>
              </m:sup>
            </m:sSup>
          </m:e>
          <m:sub>
            <m:r>
              <w:rPr>
                <w:rFonts w:ascii="Cambria Math" w:hAnsi="Cambria Math"/>
                <w:szCs w:val="20"/>
              </w:rPr>
              <m:t>NORM</m:t>
            </m:r>
          </m:sub>
        </m:sSub>
      </m:oMath>
      <w:r w:rsidR="00801F1F">
        <w:tab/>
        <w:t>=</w:t>
      </w:r>
      <w:r w:rsidR="00801F1F">
        <w:tab/>
        <w:t xml:space="preserve">550 m riducendo </w:t>
      </w:r>
      <m:oMath>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oMath>
      <w:r w:rsidR="00801F1F">
        <w:t xml:space="preserve"> a </w:t>
      </w:r>
      <m:oMath>
        <m:sSup>
          <m:sSupPr>
            <m:ctrlPr>
              <w:rPr>
                <w:rFonts w:ascii="Cambria Math" w:hAnsi="Cambria Math"/>
                <w:i/>
                <w:szCs w:val="20"/>
              </w:rPr>
            </m:ctrlPr>
          </m:sSupPr>
          <m:e>
            <m:r>
              <w:rPr>
                <w:rFonts w:ascii="Cambria Math" w:hAnsi="Cambria Math"/>
                <w:szCs w:val="20"/>
              </w:rPr>
              <m:t>D</m:t>
            </m:r>
          </m:e>
          <m:sup>
            <m:r>
              <w:rPr>
                <w:rFonts w:ascii="Cambria Math" w:hAnsi="Cambria Math"/>
                <w:szCs w:val="20"/>
              </w:rPr>
              <m:t>*</m:t>
            </m:r>
          </m:sup>
        </m:sSup>
      </m:oMath>
      <w:r w:rsidR="00801F1F">
        <w:t>.</w:t>
      </w:r>
    </w:p>
    <w:p w:rsidR="004F47BB" w:rsidRPr="004F47BB" w:rsidRDefault="004F47BB" w:rsidP="004F47BB">
      <w:pPr>
        <w:tabs>
          <w:tab w:val="left" w:pos="454"/>
        </w:tabs>
        <w:overflowPunct w:val="0"/>
        <w:adjustRightInd w:val="0"/>
        <w:spacing w:line="240" w:lineRule="atLeast"/>
        <w:ind w:left="454" w:hanging="454"/>
        <w:jc w:val="left"/>
        <w:textAlignment w:val="baseline"/>
        <w:rPr>
          <w:szCs w:val="20"/>
        </w:rPr>
      </w:pPr>
    </w:p>
    <w:p w:rsidR="004F47BB" w:rsidRPr="004F47BB" w:rsidRDefault="004F47BB" w:rsidP="004F47BB">
      <w:pPr>
        <w:tabs>
          <w:tab w:val="left" w:pos="454"/>
        </w:tabs>
        <w:overflowPunct w:val="0"/>
        <w:adjustRightInd w:val="0"/>
        <w:spacing w:line="240" w:lineRule="atLeast"/>
        <w:ind w:left="454" w:hanging="454"/>
        <w:jc w:val="left"/>
        <w:textAlignment w:val="baseline"/>
        <w:rPr>
          <w:szCs w:val="20"/>
        </w:rPr>
      </w:pPr>
    </w:p>
    <w:p w:rsidR="004F47BB" w:rsidRPr="004F47BB" w:rsidRDefault="004F47BB" w:rsidP="004F47BB">
      <w:pPr>
        <w:spacing w:line="240" w:lineRule="atLeast"/>
        <w:ind w:left="567" w:hanging="567"/>
        <w:rPr>
          <w:rFonts w:cs="Arial"/>
          <w:b/>
          <w:color w:val="000000"/>
          <w:szCs w:val="20"/>
        </w:rPr>
      </w:pPr>
      <w:r>
        <w:rPr>
          <w:b/>
          <w:color w:val="000000"/>
        </w:rPr>
        <w:t>4.1</w:t>
      </w:r>
      <w:r>
        <w:tab/>
      </w:r>
      <w:r>
        <w:rPr>
          <w:b/>
          <w:color w:val="000000"/>
        </w:rPr>
        <w:t>Coefficienti di calcolo desunti dall'allegato 2</w:t>
      </w:r>
    </w:p>
    <w:p w:rsidR="004F47BB" w:rsidRPr="004F47BB" w:rsidRDefault="004F47BB" w:rsidP="004F47BB">
      <w:pPr>
        <w:tabs>
          <w:tab w:val="left" w:pos="284"/>
          <w:tab w:val="left" w:pos="567"/>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567"/>
        </w:tabs>
        <w:overflowPunct w:val="0"/>
        <w:adjustRightInd w:val="0"/>
        <w:spacing w:line="240" w:lineRule="atLeast"/>
        <w:ind w:left="567" w:firstLine="0"/>
        <w:textAlignment w:val="baseline"/>
        <w:rPr>
          <w:szCs w:val="20"/>
        </w:rPr>
      </w:pPr>
      <w:r>
        <w:t>Tabella 1</w:t>
      </w:r>
    </w:p>
    <w:p w:rsidR="004F47BB" w:rsidRPr="004F47BB" w:rsidRDefault="004F47BB" w:rsidP="004F47BB">
      <w:pPr>
        <w:tabs>
          <w:tab w:val="left" w:pos="0"/>
          <w:tab w:val="left" w:pos="284"/>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567"/>
          <w:tab w:val="left" w:pos="2694"/>
          <w:tab w:val="left" w:pos="3119"/>
          <w:tab w:val="left" w:pos="3544"/>
        </w:tabs>
        <w:overflowPunct w:val="0"/>
        <w:adjustRightInd w:val="0"/>
        <w:spacing w:line="240" w:lineRule="atLeast"/>
        <w:ind w:left="567" w:firstLine="0"/>
        <w:textAlignment w:val="baseline"/>
        <w:rPr>
          <w:szCs w:val="20"/>
        </w:rPr>
      </w:pPr>
      <w:r>
        <w:t xml:space="preserve">per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oMath>
      <w:r>
        <w:t xml:space="preserve"> e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SOLL</m:t>
            </m:r>
          </m:sub>
        </m:sSub>
      </m:oMath>
      <w:r>
        <w:t xml:space="preserve"> </w:t>
      </w:r>
      <w:r>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1</m:t>
            </m:r>
          </m:sub>
        </m:sSub>
      </m:oMath>
      <w:r>
        <w:tab/>
        <w:t>=</w:t>
      </w:r>
      <w:r>
        <w:tab/>
        <w:t>0,95</w:t>
      </w:r>
    </w:p>
    <w:p w:rsidR="004F47BB" w:rsidRPr="004F47BB" w:rsidRDefault="004F47BB" w:rsidP="004F47BB">
      <w:pPr>
        <w:tabs>
          <w:tab w:val="left" w:pos="567"/>
        </w:tabs>
        <w:overflowPunct w:val="0"/>
        <w:adjustRightInd w:val="0"/>
        <w:spacing w:line="240" w:lineRule="atLeast"/>
        <w:ind w:left="567" w:firstLine="0"/>
        <w:textAlignment w:val="baseline"/>
        <w:rPr>
          <w:szCs w:val="20"/>
        </w:rPr>
      </w:pPr>
    </w:p>
    <w:p w:rsidR="004F47BB" w:rsidRPr="004F47BB" w:rsidRDefault="004F47BB" w:rsidP="004F47BB">
      <w:pPr>
        <w:tabs>
          <w:tab w:val="left" w:pos="567"/>
        </w:tabs>
        <w:overflowPunct w:val="0"/>
        <w:adjustRightInd w:val="0"/>
        <w:spacing w:line="240" w:lineRule="atLeast"/>
        <w:ind w:left="567" w:firstLine="0"/>
        <w:textAlignment w:val="baseline"/>
        <w:rPr>
          <w:szCs w:val="20"/>
        </w:rPr>
      </w:pPr>
      <w:r>
        <w:t xml:space="preserve">per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r>
        <w:t xml:space="preserve"> e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SOLL</m:t>
            </m:r>
          </m:sub>
        </m:sSub>
      </m:oMath>
    </w:p>
    <w:p w:rsidR="004F47BB" w:rsidRPr="004F47BB" w:rsidRDefault="00624017" w:rsidP="004F47BB">
      <w:pPr>
        <w:tabs>
          <w:tab w:val="left" w:pos="2694"/>
          <w:tab w:val="left" w:pos="3119"/>
          <w:tab w:val="left" w:pos="3544"/>
        </w:tabs>
        <w:overflowPunct w:val="0"/>
        <w:adjustRightInd w:val="0"/>
        <w:spacing w:line="240" w:lineRule="atLeast"/>
        <w:ind w:left="2694" w:firstLine="0"/>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2</m:t>
            </m:r>
          </m:sub>
        </m:sSub>
      </m:oMath>
      <w:r w:rsidR="00801F1F">
        <w:tab/>
        <w:t>=</w:t>
      </w:r>
      <w:r w:rsidR="00801F1F">
        <w:tab/>
        <w:t>0,12</w:t>
      </w:r>
    </w:p>
    <w:p w:rsidR="004F47BB" w:rsidRPr="004F47BB" w:rsidRDefault="00624017" w:rsidP="004F47BB">
      <w:pPr>
        <w:tabs>
          <w:tab w:val="left" w:pos="2694"/>
          <w:tab w:val="left" w:pos="3119"/>
          <w:tab w:val="left" w:pos="3544"/>
        </w:tabs>
        <w:overflowPunct w:val="0"/>
        <w:adjustRightInd w:val="0"/>
        <w:spacing w:line="240" w:lineRule="atLeast"/>
        <w:ind w:left="2694" w:firstLine="0"/>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oMath>
      <w:r w:rsidR="00801F1F">
        <w:tab/>
        <w:t>=</w:t>
      </w:r>
      <w:r w:rsidR="00801F1F">
        <w:tab/>
        <w:t>1,15</w:t>
      </w:r>
    </w:p>
    <w:p w:rsidR="004F47BB" w:rsidRPr="004F47BB" w:rsidRDefault="00624017" w:rsidP="004F47BB">
      <w:pPr>
        <w:tabs>
          <w:tab w:val="left" w:pos="2694"/>
          <w:tab w:val="left" w:pos="3119"/>
          <w:tab w:val="left" w:pos="3544"/>
        </w:tabs>
        <w:overflowPunct w:val="0"/>
        <w:adjustRightInd w:val="0"/>
        <w:spacing w:line="240" w:lineRule="atLeast"/>
        <w:ind w:left="2694" w:firstLine="0"/>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oMath>
      <w:r w:rsidR="00801F1F">
        <w:tab/>
        <w:t>=</w:t>
      </w:r>
      <w:r w:rsidR="00801F1F">
        <w:tab/>
        <w:t>0,48</w:t>
      </w:r>
    </w:p>
    <w:p w:rsidR="004F47BB" w:rsidRPr="004F47BB" w:rsidRDefault="00624017" w:rsidP="004F47BB">
      <w:pPr>
        <w:tabs>
          <w:tab w:val="left" w:pos="2694"/>
          <w:tab w:val="left" w:pos="3119"/>
          <w:tab w:val="left" w:pos="3544"/>
        </w:tabs>
        <w:overflowPunct w:val="0"/>
        <w:adjustRightInd w:val="0"/>
        <w:spacing w:line="240" w:lineRule="atLeast"/>
        <w:ind w:left="2694" w:firstLine="0"/>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oMath>
      <w:r w:rsidR="00801F1F">
        <w:tab/>
        <w:t>=</w:t>
      </w:r>
      <w:r w:rsidR="00801F1F">
        <w:tab/>
        <w:t>0,85</w:t>
      </w:r>
    </w:p>
    <w:p w:rsidR="004F47BB" w:rsidRPr="004F47BB" w:rsidRDefault="00624017" w:rsidP="004F47BB">
      <w:pPr>
        <w:tabs>
          <w:tab w:val="left" w:pos="2694"/>
          <w:tab w:val="left" w:pos="3119"/>
          <w:tab w:val="left" w:pos="3544"/>
        </w:tabs>
        <w:overflowPunct w:val="0"/>
        <w:adjustRightInd w:val="0"/>
        <w:spacing w:line="240" w:lineRule="atLeast"/>
        <w:ind w:left="2694" w:firstLine="0"/>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7</m:t>
            </m:r>
          </m:sub>
        </m:sSub>
      </m:oMath>
      <w:r w:rsidR="00801F1F">
        <w:tab/>
        <w:t>=</w:t>
      </w:r>
      <w:r w:rsidR="00801F1F">
        <w:tab/>
        <w:t>0,55</w:t>
      </w: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567"/>
        </w:tabs>
        <w:overflowPunct w:val="0"/>
        <w:adjustRightInd w:val="0"/>
        <w:spacing w:line="240" w:lineRule="atLeast"/>
        <w:ind w:left="567" w:firstLine="0"/>
        <w:textAlignment w:val="baseline"/>
        <w:rPr>
          <w:szCs w:val="20"/>
        </w:rPr>
      </w:pPr>
      <w:r>
        <w:t>Tabella 2 (per ugelli moderni con bordo posteriore smussato)</w:t>
      </w:r>
    </w:p>
    <w:p w:rsidR="004F47BB" w:rsidRPr="004F47BB" w:rsidRDefault="004F47BB" w:rsidP="004F47BB">
      <w:pPr>
        <w:tabs>
          <w:tab w:val="left" w:pos="567"/>
        </w:tabs>
        <w:overflowPunct w:val="0"/>
        <w:adjustRightInd w:val="0"/>
        <w:spacing w:line="240" w:lineRule="atLeast"/>
        <w:ind w:left="567" w:firstLine="0"/>
        <w:textAlignment w:val="baseline"/>
        <w:rPr>
          <w:szCs w:val="20"/>
        </w:rPr>
      </w:pPr>
    </w:p>
    <w:p w:rsidR="004F47BB" w:rsidRPr="004F47BB" w:rsidRDefault="004F47BB" w:rsidP="004F47BB">
      <w:pPr>
        <w:tabs>
          <w:tab w:val="left" w:pos="567"/>
        </w:tabs>
        <w:overflowPunct w:val="0"/>
        <w:adjustRightInd w:val="0"/>
        <w:spacing w:line="240" w:lineRule="atLeast"/>
        <w:ind w:left="567" w:firstLine="0"/>
        <w:textAlignment w:val="baseline"/>
        <w:rPr>
          <w:szCs w:val="20"/>
        </w:rPr>
      </w:pPr>
      <m:oMath>
        <m:r>
          <w:rPr>
            <w:rFonts w:ascii="Cambria Math" w:hAnsi="Cambria Math"/>
            <w:szCs w:val="20"/>
          </w:rPr>
          <m:t>f</m:t>
        </m:r>
      </m:oMath>
      <w:r>
        <w:t xml:space="preserve"> = 0,118</w:t>
      </w: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r>
        <w:br w:type="page"/>
      </w:r>
    </w:p>
    <w:p w:rsidR="004F47BB" w:rsidRPr="004F47BB" w:rsidRDefault="004F47BB" w:rsidP="004F47BB">
      <w:pPr>
        <w:spacing w:line="240" w:lineRule="atLeast"/>
        <w:ind w:left="567" w:hanging="567"/>
        <w:rPr>
          <w:rFonts w:cs="Arial"/>
          <w:b/>
          <w:color w:val="000000"/>
          <w:szCs w:val="20"/>
        </w:rPr>
      </w:pPr>
      <w:r>
        <w:rPr>
          <w:b/>
          <w:color w:val="000000"/>
        </w:rPr>
        <w:lastRenderedPageBreak/>
        <w:t>4.2</w:t>
      </w:r>
      <w:r>
        <w:tab/>
      </w:r>
      <w:r>
        <w:rPr>
          <w:b/>
          <w:color w:val="000000"/>
        </w:rPr>
        <w:t xml:space="preserve">calcolo di </w:t>
      </w:r>
      <m:oMath>
        <m:sSub>
          <m:sSubPr>
            <m:ctrlPr>
              <w:rPr>
                <w:rFonts w:ascii="Cambria Math" w:hAnsi="Cambria Math" w:cs="Arial"/>
                <w:b/>
                <w:i/>
                <w:noProof/>
                <w:color w:val="000000"/>
                <w:szCs w:val="20"/>
              </w:rPr>
            </m:ctrlPr>
          </m:sSubPr>
          <m:e>
            <m:r>
              <m:rPr>
                <m:sty m:val="bi"/>
              </m:rPr>
              <w:rPr>
                <w:rFonts w:ascii="Cambria Math" w:hAnsi="Cambria Math" w:cs="Arial"/>
                <w:noProof/>
                <w:color w:val="000000"/>
                <w:szCs w:val="20"/>
              </w:rPr>
              <m:t>s</m:t>
            </m:r>
          </m:e>
          <m:sub>
            <m:r>
              <m:rPr>
                <m:sty m:val="bi"/>
              </m:rPr>
              <w:rPr>
                <w:rFonts w:ascii="Cambria Math" w:hAnsi="Cambria Math" w:cs="Arial"/>
                <w:noProof/>
                <w:color w:val="000000"/>
                <w:szCs w:val="20"/>
              </w:rPr>
              <m:t>IST</m:t>
            </m:r>
          </m:sub>
        </m:sSub>
      </m:oMath>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992"/>
        </w:tabs>
        <w:overflowPunct w:val="0"/>
        <w:adjustRightInd w:val="0"/>
        <w:spacing w:line="240" w:lineRule="atLeast"/>
        <w:ind w:left="992"/>
        <w:textAlignment w:val="baseline"/>
        <w:rPr>
          <w:szCs w:val="20"/>
        </w:rPr>
      </w:pPr>
      <w:r>
        <w:t>a)</w:t>
      </w:r>
      <w:r>
        <w:tab/>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r>
        <w:t xml:space="preserve"> usando i valori misurati durante le manovre di arresto</w:t>
      </w:r>
    </w:p>
    <w:p w:rsidR="004F47BB" w:rsidRPr="004F47BB" w:rsidRDefault="004F47BB" w:rsidP="004F47BB">
      <w:pPr>
        <w:tabs>
          <w:tab w:val="left" w:pos="284"/>
          <w:tab w:val="left" w:pos="851"/>
          <w:tab w:val="left" w:pos="1134"/>
          <w:tab w:val="left" w:pos="3261"/>
        </w:tabs>
        <w:overflowPunct w:val="0"/>
        <w:adjustRightInd w:val="0"/>
        <w:spacing w:line="240" w:lineRule="exact"/>
        <w:ind w:left="284" w:hanging="284"/>
        <w:jc w:val="left"/>
        <w:textAlignment w:val="baseline"/>
        <w:rPr>
          <w:szCs w:val="20"/>
        </w:rPr>
      </w:pPr>
    </w:p>
    <w:p w:rsidR="004F47BB" w:rsidRPr="004F47BB" w:rsidRDefault="00624017" w:rsidP="004F47BB">
      <w:pPr>
        <w:overflowPunct w:val="0"/>
        <w:adjustRightInd w:val="0"/>
        <w:spacing w:line="240" w:lineRule="atLeast"/>
        <w:ind w:left="993" w:firstLine="0"/>
        <w:jc w:val="left"/>
        <w:textAlignment w:val="baseline"/>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k</m:t>
              </m:r>
            </m:e>
            <m:sub>
              <m:r>
                <w:rPr>
                  <w:rFonts w:ascii="Cambria Math" w:hAnsi="Cambria Math"/>
                  <w:noProof/>
                </w:rPr>
                <m:t>1</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L</m:t>
                  </m:r>
                </m:e>
                <m:sub>
                  <m:r>
                    <w:rPr>
                      <w:rFonts w:ascii="Cambria Math" w:hAnsi="Cambria Math"/>
                      <w:noProof/>
                    </w:rPr>
                    <m:t>IST</m:t>
                  </m:r>
                </m:sub>
              </m:sSub>
              <m:r>
                <w:rPr>
                  <w:rFonts w:ascii="Cambria Math" w:hAnsi="Cambria Math"/>
                  <w:noProof/>
                </w:rPr>
                <m:t xml:space="preserve"> </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t</m:t>
              </m:r>
            </m:e>
            <m:sub>
              <m:sSub>
                <m:sSubPr>
                  <m:ctrlPr>
                    <w:rPr>
                      <w:rFonts w:ascii="Cambria Math" w:hAnsi="Cambria Math"/>
                      <w:i/>
                      <w:noProof/>
                    </w:rPr>
                  </m:ctrlPr>
                </m:sSubPr>
                <m:e>
                  <m:r>
                    <w:rPr>
                      <w:rFonts w:ascii="Cambria Math" w:hAnsi="Cambria Math"/>
                      <w:noProof/>
                    </w:rPr>
                    <m:t>I</m:t>
                  </m:r>
                </m:e>
                <m:sub>
                  <m:r>
                    <w:rPr>
                      <w:rFonts w:ascii="Cambria Math" w:hAnsi="Cambria Math"/>
                      <w:noProof/>
                    </w:rPr>
                    <m:t>IST</m:t>
                  </m:r>
                </m:sub>
              </m:sSub>
            </m:sub>
          </m:sSub>
        </m:oMath>
      </m:oMathPara>
    </w:p>
    <w:p w:rsidR="004F47BB" w:rsidRPr="004F47BB" w:rsidRDefault="00624017" w:rsidP="004F47BB">
      <w:pPr>
        <w:tabs>
          <w:tab w:val="left" w:pos="992"/>
          <w:tab w:val="left" w:pos="1560"/>
          <w:tab w:val="left" w:pos="1985"/>
        </w:tabs>
        <w:overflowPunct w:val="0"/>
        <w:adjustRightInd w:val="0"/>
        <w:spacing w:before="60" w:line="240" w:lineRule="atLeast"/>
        <w:ind w:left="992" w:firstLine="1"/>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r>
            <w:rPr>
              <w:rFonts w:ascii="Cambria Math" w:hAnsi="Cambria Math"/>
              <w:noProof/>
            </w:rPr>
            <m:t>=0,95 ∙4,8 ∙16=73 m</m:t>
          </m:r>
        </m:oMath>
      </m:oMathPara>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992"/>
        </w:tabs>
        <w:overflowPunct w:val="0"/>
        <w:adjustRightInd w:val="0"/>
        <w:spacing w:line="240" w:lineRule="atLeast"/>
        <w:ind w:left="992"/>
        <w:textAlignment w:val="baseline"/>
        <w:rPr>
          <w:szCs w:val="20"/>
        </w:rPr>
      </w:pPr>
      <w:r>
        <w:t>b)</w:t>
      </w:r>
      <w:r>
        <w:tab/>
        <w:t xml:space="preserve">formula per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p>
    <w:p w:rsidR="004F47BB" w:rsidRPr="004F47BB" w:rsidRDefault="00624017" w:rsidP="004F47BB">
      <w:pPr>
        <w:tabs>
          <w:tab w:val="left" w:pos="992"/>
          <w:tab w:val="left" w:pos="1560"/>
          <w:tab w:val="left" w:pos="1985"/>
        </w:tabs>
        <w:overflowPunct w:val="0"/>
        <w:adjustRightInd w:val="0"/>
        <w:spacing w:before="60" w:line="240" w:lineRule="atLeast"/>
        <w:ind w:left="992" w:firstLine="1"/>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k</m:t>
              </m:r>
            </m:e>
            <m:sub>
              <m:r>
                <w:rPr>
                  <w:rFonts w:ascii="Cambria Math" w:hAnsi="Cambria Math"/>
                  <w:noProof/>
                </w:rPr>
                <m:t>2</m:t>
              </m:r>
            </m:sub>
          </m:sSub>
          <m:r>
            <w:rPr>
              <w:rFonts w:ascii="Cambria Math" w:hAnsi="Cambria Math"/>
              <w:noProof/>
            </w:rPr>
            <m:t xml:space="preserve"> ∙ </m:t>
          </m:r>
          <m:sSub>
            <m:sSubPr>
              <m:ctrlPr>
                <w:rPr>
                  <w:rFonts w:ascii="Cambria Math" w:hAnsi="Cambria Math"/>
                  <w:i/>
                  <w:noProof/>
                </w:rPr>
              </m:ctrlPr>
            </m:sSubPr>
            <m:e>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e>
            <m:sub>
              <m:sSub>
                <m:sSubPr>
                  <m:ctrlPr>
                    <w:rPr>
                      <w:rFonts w:ascii="Cambria Math" w:hAnsi="Cambria Math"/>
                      <w:i/>
                      <w:noProof/>
                    </w:rPr>
                  </m:ctrlPr>
                </m:sSubPr>
                <m:e>
                  <m:r>
                    <w:rPr>
                      <w:rFonts w:ascii="Cambria Math" w:hAnsi="Cambria Math"/>
                      <w:noProof/>
                    </w:rPr>
                    <m:t>II</m:t>
                  </m:r>
                </m:e>
                <m:sub>
                  <m:r>
                    <w:rPr>
                      <w:rFonts w:ascii="Cambria Math" w:hAnsi="Cambria Math"/>
                      <w:noProof/>
                    </w:rPr>
                    <m:t>IST</m:t>
                  </m:r>
                </m:sub>
              </m:sSub>
              <m:r>
                <w:rPr>
                  <w:rFonts w:ascii="Cambria Math" w:hAnsi="Cambria Math"/>
                  <w:noProof/>
                </w:rPr>
                <m:t xml:space="preserve"> </m:t>
              </m:r>
            </m:sub>
          </m:sSub>
          <m:r>
            <w:rPr>
              <w:rFonts w:ascii="Cambria Math" w:hAnsi="Cambria Math"/>
              <w:noProof/>
            </w:rPr>
            <m:t xml:space="preserve"> ∙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r>
                <w:rPr>
                  <w:rFonts w:ascii="Cambria Math" w:hAnsi="Cambria Math"/>
                  <w:noProof/>
                </w:rPr>
                <m:t xml:space="preserve"> ∙g</m:t>
              </m:r>
            </m:num>
            <m:den>
              <m:sSub>
                <m:sSubPr>
                  <m:ctrlPr>
                    <w:rPr>
                      <w:rFonts w:ascii="Cambria Math" w:hAnsi="Cambria Math"/>
                      <w:i/>
                      <w:noProof/>
                    </w:rPr>
                  </m:ctrlPr>
                </m:sSubPr>
                <m:e>
                  <m:r>
                    <w:rPr>
                      <w:rFonts w:ascii="Cambria Math" w:hAnsi="Cambria Math"/>
                      <w:noProof/>
                    </w:rPr>
                    <m:t>k</m:t>
                  </m:r>
                </m:e>
                <m:sub>
                  <m:r>
                    <w:rPr>
                      <w:rFonts w:ascii="Cambria Math" w:hAnsi="Cambria Math"/>
                      <w:noProof/>
                    </w:rPr>
                    <m:t>3</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F</m:t>
                  </m:r>
                </m:e>
                <m:sub>
                  <m:r>
                    <w:rPr>
                      <w:rFonts w:ascii="Cambria Math" w:hAnsi="Cambria Math"/>
                      <w:noProof/>
                    </w:rPr>
                    <m:t>POR</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R</m:t>
                  </m:r>
                </m:e>
                <m:sub>
                  <m:sSub>
                    <m:sSubPr>
                      <m:ctrlPr>
                        <w:rPr>
                          <w:rFonts w:ascii="Cambria Math" w:hAnsi="Cambria Math"/>
                          <w:i/>
                          <w:noProof/>
                        </w:rPr>
                      </m:ctrlPr>
                    </m:sSubPr>
                    <m:e>
                      <m:r>
                        <w:rPr>
                          <w:rFonts w:ascii="Cambria Math" w:hAnsi="Cambria Math"/>
                          <w:noProof/>
                        </w:rPr>
                        <m:t>TmII</m:t>
                      </m:r>
                    </m:e>
                    <m:sub>
                      <m:r>
                        <w:rPr>
                          <w:rFonts w:ascii="Cambria Math" w:hAnsi="Cambria Math"/>
                          <w:noProof/>
                        </w:rPr>
                        <m:t>IST</m:t>
                      </m:r>
                    </m:sub>
                  </m:sSub>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R</m:t>
                  </m:r>
                </m:e>
                <m:sub>
                  <m:r>
                    <w:rPr>
                      <w:rFonts w:ascii="Cambria Math" w:hAnsi="Cambria Math"/>
                      <w:noProof/>
                    </w:rPr>
                    <m:t>G</m:t>
                  </m:r>
                </m:sub>
              </m:sSub>
            </m:den>
          </m:f>
          <m:r>
            <w:rPr>
              <w:rFonts w:ascii="Cambria Math" w:hAnsi="Cambria Math"/>
              <w:noProof/>
            </w:rPr>
            <m:t xml:space="preserve"> ∙ </m:t>
          </m:r>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k</m:t>
                  </m:r>
                </m:e>
                <m:sub>
                  <m:r>
                    <w:rPr>
                      <w:rFonts w:ascii="Cambria Math" w:hAnsi="Cambria Math"/>
                      <w:noProof/>
                    </w:rPr>
                    <m:t>4</m:t>
                  </m:r>
                </m:sub>
              </m:sSub>
              <m:r>
                <w:rPr>
                  <w:rFonts w:ascii="Cambria Math" w:hAnsi="Cambria Math"/>
                  <w:noProof/>
                </w:rPr>
                <m:t xml:space="preserve"> +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IST</m:t>
                          </m:r>
                        </m:sub>
                      </m:sSub>
                    </m:sub>
                  </m:sSub>
                </m:num>
                <m:den>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II</m:t>
                          </m:r>
                        </m:e>
                        <m:sub>
                          <m:r>
                            <w:rPr>
                              <w:rFonts w:ascii="Cambria Math" w:hAnsi="Cambria Math"/>
                              <w:noProof/>
                            </w:rPr>
                            <m:t>IST</m:t>
                          </m:r>
                        </m:sub>
                      </m:sSub>
                    </m:sub>
                  </m:sSub>
                </m:den>
              </m:f>
            </m:e>
          </m:d>
        </m:oMath>
      </m:oMathPara>
    </w:p>
    <w:p w:rsidR="004F47BB" w:rsidRPr="004F47BB" w:rsidRDefault="004F47BB" w:rsidP="004F47BB">
      <w:pPr>
        <w:tabs>
          <w:tab w:val="left" w:pos="284"/>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992"/>
        </w:tabs>
        <w:overflowPunct w:val="0"/>
        <w:adjustRightInd w:val="0"/>
        <w:spacing w:line="240" w:lineRule="atLeast"/>
        <w:ind w:left="992"/>
        <w:textAlignment w:val="baseline"/>
        <w:rPr>
          <w:szCs w:val="20"/>
        </w:rPr>
      </w:pPr>
      <w:r>
        <w:t>c)</w:t>
      </w:r>
      <w:r>
        <w:tab/>
        <w:t xml:space="preserve">calcolo di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IST</m:t>
            </m:r>
          </m:sub>
        </m:sSub>
      </m:oMath>
      <w:r>
        <w:t xml:space="preserve"> secondo la tabella 3 e la formula 4.3 dell'allegato 2</w:t>
      </w:r>
    </w:p>
    <w:p w:rsidR="004F47BB" w:rsidRPr="004F47BB" w:rsidRDefault="00624017" w:rsidP="004F47BB">
      <w:pPr>
        <w:tabs>
          <w:tab w:val="left" w:pos="992"/>
        </w:tabs>
        <w:overflowPunct w:val="0"/>
        <w:adjustRightInd w:val="0"/>
        <w:spacing w:before="120" w:line="240" w:lineRule="atLeast"/>
        <w:ind w:left="992" w:firstLine="1"/>
        <w:textAlignment w:val="baseline"/>
        <w:rPr>
          <w:szCs w:val="20"/>
        </w:rPr>
      </w:pPr>
      <m:oMathPara>
        <m:oMathParaPr>
          <m:jc m:val="left"/>
        </m:oMathParaPr>
        <m:oMath>
          <m:sSup>
            <m:sSupPr>
              <m:ctrlPr>
                <w:rPr>
                  <w:rFonts w:ascii="Cambria Math" w:hAnsi="Cambria Math"/>
                  <w:i/>
                  <w:szCs w:val="20"/>
                </w:rPr>
              </m:ctrlPr>
            </m:sSup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e>
            <m:sup>
              <m:r>
                <w:rPr>
                  <w:rFonts w:ascii="Cambria Math" w:hAnsi="Cambria Math"/>
                  <w:szCs w:val="20"/>
                </w:rPr>
                <m:t>1/3</m:t>
              </m:r>
            </m:sup>
          </m:sSup>
          <m:r>
            <w:rPr>
              <w:rFonts w:ascii="Cambria Math" w:hAnsi="Cambria Math"/>
              <w:szCs w:val="20"/>
            </w:rPr>
            <m:t xml:space="preserve">= </m:t>
          </m:r>
          <m:sSup>
            <m:sSupPr>
              <m:ctrlPr>
                <w:rPr>
                  <w:rFonts w:ascii="Cambria Math" w:hAnsi="Cambria Math"/>
                  <w:i/>
                  <w:szCs w:val="20"/>
                </w:rPr>
              </m:ctrlPr>
            </m:sSupPr>
            <m:e>
              <m:r>
                <w:rPr>
                  <w:rFonts w:ascii="Cambria Math" w:hAnsi="Cambria Math"/>
                  <w:szCs w:val="20"/>
                </w:rPr>
                <m:t>9568</m:t>
              </m:r>
            </m:e>
            <m:sup>
              <m:r>
                <w:rPr>
                  <w:rFonts w:ascii="Cambria Math" w:hAnsi="Cambria Math"/>
                  <w:szCs w:val="20"/>
                </w:rPr>
                <m:t>1/3</m:t>
              </m:r>
            </m:sup>
          </m:sSup>
          <m:r>
            <w:rPr>
              <w:rFonts w:ascii="Cambria Math" w:hAnsi="Cambria Math"/>
              <w:szCs w:val="20"/>
            </w:rPr>
            <m:t xml:space="preserve">=21,2 </m:t>
          </m:r>
          <m:d>
            <m:dPr>
              <m:begChr m:val="["/>
              <m:endChr m:val="]"/>
              <m:ctrlPr>
                <w:rPr>
                  <w:rFonts w:ascii="Cambria Math" w:hAnsi="Cambria Math"/>
                  <w:i/>
                  <w:szCs w:val="20"/>
                </w:rPr>
              </m:ctrlPr>
            </m:dPr>
            <m:e>
              <m:r>
                <w:rPr>
                  <w:rFonts w:ascii="Cambria Math" w:hAnsi="Cambria Math"/>
                  <w:szCs w:val="20"/>
                </w:rPr>
                <m:t>m</m:t>
              </m:r>
            </m:e>
          </m:d>
        </m:oMath>
      </m:oMathPara>
    </w:p>
    <w:p w:rsidR="004F47BB" w:rsidRPr="004F47BB" w:rsidRDefault="00624017" w:rsidP="004F47BB">
      <w:pPr>
        <w:tabs>
          <w:tab w:val="left" w:pos="992"/>
        </w:tabs>
        <w:overflowPunct w:val="0"/>
        <w:adjustRightInd w:val="0"/>
        <w:spacing w:before="120" w:line="240" w:lineRule="atLeast"/>
        <w:ind w:left="992" w:firstLine="1"/>
        <w:textAlignment w:val="baseline"/>
        <w:rPr>
          <w:szCs w:val="20"/>
        </w:rPr>
      </w:pPr>
      <m:oMathPara>
        <m:oMathParaPr>
          <m:jc m:val="left"/>
        </m:oMathParaPr>
        <m:oMath>
          <m:sSup>
            <m:sSupPr>
              <m:ctrlPr>
                <w:rPr>
                  <w:rFonts w:ascii="Cambria Math" w:hAnsi="Cambria Math"/>
                  <w:i/>
                  <w:szCs w:val="20"/>
                </w:rPr>
              </m:ctrlPr>
            </m:sSup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e>
            <m:sup>
              <m:r>
                <w:rPr>
                  <w:rFonts w:ascii="Cambria Math" w:hAnsi="Cambria Math"/>
                  <w:szCs w:val="20"/>
                </w:rPr>
                <m:t>1/3</m:t>
              </m:r>
            </m:sup>
          </m:sSup>
          <m:r>
            <w:rPr>
              <w:rFonts w:ascii="Cambria Math" w:hAnsi="Cambria Math"/>
              <w:szCs w:val="20"/>
            </w:rPr>
            <m:t xml:space="preserve">∙ </m:t>
          </m:r>
          <m:d>
            <m:dPr>
              <m:ctrlPr>
                <w:rPr>
                  <w:rFonts w:ascii="Cambria Math" w:hAnsi="Cambria Math"/>
                  <w:i/>
                  <w:szCs w:val="20"/>
                </w:rPr>
              </m:ctrlPr>
            </m:dPr>
            <m:e>
              <m:r>
                <w:rPr>
                  <w:rFonts w:ascii="Cambria Math" w:hAnsi="Cambria Math"/>
                  <w:szCs w:val="20"/>
                </w:rPr>
                <m:t xml:space="preserve">B+2 ∙ </m:t>
              </m:r>
              <m:sSub>
                <m:sSubPr>
                  <m:ctrlPr>
                    <w:rPr>
                      <w:rFonts w:ascii="Cambria Math" w:hAnsi="Cambria Math"/>
                      <w:i/>
                      <w:szCs w:val="20"/>
                    </w:rPr>
                  </m:ctrlPr>
                </m:sSubPr>
                <m:e>
                  <m:r>
                    <w:rPr>
                      <w:rFonts w:ascii="Cambria Math" w:hAnsi="Cambria Math"/>
                      <w:szCs w:val="20"/>
                    </w:rPr>
                    <m:t>T</m:t>
                  </m:r>
                </m:e>
                <m:sub>
                  <m:r>
                    <w:rPr>
                      <w:rFonts w:ascii="Cambria Math" w:hAnsi="Cambria Math"/>
                      <w:szCs w:val="20"/>
                    </w:rPr>
                    <m:t>IST</m:t>
                  </m:r>
                </m:sub>
              </m:sSub>
            </m:e>
          </m:d>
          <m:r>
            <w:rPr>
              <w:rFonts w:ascii="Cambria Math" w:hAnsi="Cambria Math"/>
              <w:szCs w:val="20"/>
            </w:rPr>
            <m:t xml:space="preserve">=21,2 ∙ </m:t>
          </m:r>
          <m:d>
            <m:dPr>
              <m:ctrlPr>
                <w:rPr>
                  <w:rFonts w:ascii="Cambria Math" w:hAnsi="Cambria Math"/>
                  <w:i/>
                  <w:szCs w:val="20"/>
                </w:rPr>
              </m:ctrlPr>
            </m:dPr>
            <m:e>
              <m:r>
                <w:rPr>
                  <w:rFonts w:ascii="Cambria Math" w:hAnsi="Cambria Math"/>
                  <w:szCs w:val="20"/>
                </w:rPr>
                <m:t>22,8+5,92</m:t>
              </m:r>
            </m:e>
          </m:d>
          <m:r>
            <w:rPr>
              <w:rFonts w:ascii="Cambria Math" w:hAnsi="Cambria Math"/>
              <w:szCs w:val="20"/>
            </w:rPr>
            <m:t xml:space="preserve">=609 </m:t>
          </m:r>
          <m:d>
            <m:dPr>
              <m:begChr m:val="["/>
              <m:endChr m:val="]"/>
              <m:ctrlPr>
                <w:rPr>
                  <w:rFonts w:ascii="Cambria Math" w:hAnsi="Cambria Math"/>
                  <w:i/>
                  <w:szCs w:val="20"/>
                </w:rPr>
              </m:ctrlPr>
            </m:dPr>
            <m:e>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e>
          </m:d>
        </m:oMath>
      </m:oMathPara>
    </w:p>
    <w:p w:rsidR="004F47BB" w:rsidRPr="004F47BB" w:rsidRDefault="004F47BB" w:rsidP="004F47BB">
      <w:pPr>
        <w:tabs>
          <w:tab w:val="left" w:pos="992"/>
          <w:tab w:val="center" w:pos="2552"/>
          <w:tab w:val="left" w:pos="3119"/>
          <w:tab w:val="left" w:pos="3544"/>
          <w:tab w:val="center" w:pos="4536"/>
        </w:tabs>
        <w:overflowPunct w:val="0"/>
        <w:adjustRightInd w:val="0"/>
        <w:spacing w:line="240" w:lineRule="atLeast"/>
        <w:ind w:left="992" w:firstLine="1"/>
        <w:textAlignment w:val="baseline"/>
        <w:rPr>
          <w:szCs w:val="20"/>
        </w:rPr>
      </w:pPr>
    </w:p>
    <w:p w:rsidR="004F47BB" w:rsidRPr="004F47BB" w:rsidRDefault="004F47BB" w:rsidP="004F47BB">
      <w:pPr>
        <w:tabs>
          <w:tab w:val="left" w:pos="992"/>
          <w:tab w:val="left" w:pos="2410"/>
        </w:tabs>
        <w:overflowPunct w:val="0"/>
        <w:adjustRightInd w:val="0"/>
        <w:spacing w:line="240" w:lineRule="atLeast"/>
        <w:ind w:left="992" w:firstLine="0"/>
        <w:textAlignment w:val="baseline"/>
        <w:rPr>
          <w:szCs w:val="20"/>
        </w:rPr>
      </w:pPr>
      <w:r>
        <w:t>dalla tabella 3</w:t>
      </w:r>
      <w:r>
        <w:tab/>
      </w:r>
      <m:oMath>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R</m:t>
                </m:r>
              </m:e>
              <m:sub>
                <m:r>
                  <w:rPr>
                    <w:rFonts w:ascii="Cambria Math" w:hAnsi="Cambria Math"/>
                    <w:szCs w:val="20"/>
                  </w:rPr>
                  <m:t>T</m:t>
                </m:r>
              </m:sub>
            </m:sSub>
          </m:num>
          <m:den>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den>
        </m:f>
        <m:r>
          <w:rPr>
            <w:rFonts w:ascii="Cambria Math" w:hAnsi="Cambria Math"/>
            <w:szCs w:val="20"/>
          </w:rPr>
          <m:t xml:space="preserve">=14 </m:t>
        </m:r>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w:p>
    <w:p w:rsidR="004F47BB" w:rsidRPr="004F47BB" w:rsidRDefault="004F47BB" w:rsidP="004F47BB">
      <w:pPr>
        <w:tabs>
          <w:tab w:val="left" w:pos="992"/>
          <w:tab w:val="center" w:pos="2552"/>
          <w:tab w:val="left" w:pos="3119"/>
          <w:tab w:val="left" w:pos="3544"/>
          <w:tab w:val="center" w:pos="4536"/>
        </w:tabs>
        <w:overflowPunct w:val="0"/>
        <w:adjustRightInd w:val="0"/>
        <w:spacing w:line="240" w:lineRule="atLeast"/>
        <w:ind w:left="992" w:firstLine="0"/>
        <w:textAlignment w:val="baseline"/>
        <w:rPr>
          <w:szCs w:val="20"/>
        </w:rPr>
      </w:pPr>
    </w:p>
    <w:p w:rsidR="004F47BB" w:rsidRPr="004F47BB" w:rsidRDefault="00624017" w:rsidP="004F47BB">
      <w:pPr>
        <w:tabs>
          <w:tab w:val="left" w:pos="992"/>
        </w:tabs>
        <w:overflowPunct w:val="0"/>
        <w:adjustRightInd w:val="0"/>
        <w:spacing w:line="240" w:lineRule="atLeast"/>
        <w:ind w:left="992" w:firstLine="1"/>
        <w:textAlignment w:val="baseline"/>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L</m:t>
                  </m:r>
                </m:sub>
              </m:sSub>
            </m:e>
            <m:sub>
              <m:r>
                <w:rPr>
                  <w:rFonts w:ascii="Cambria Math" w:hAnsi="Cambria Math"/>
                  <w:noProof/>
                </w:rPr>
                <m:t>IST</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IST</m:t>
                  </m:r>
                </m:sub>
              </m:sSub>
            </m:sub>
          </m:sSub>
          <m:r>
            <w:rPr>
              <w:rFonts w:ascii="Cambria Math" w:hAnsi="Cambria Math"/>
              <w:noProof/>
            </w:rPr>
            <m:t>=4,8-1,4=3,4 m/s</m:t>
          </m:r>
        </m:oMath>
      </m:oMathPara>
    </w:p>
    <w:p w:rsidR="004F47BB" w:rsidRPr="004F47BB" w:rsidRDefault="004F47BB" w:rsidP="004F47BB">
      <w:pPr>
        <w:tabs>
          <w:tab w:val="left" w:pos="992"/>
          <w:tab w:val="center" w:pos="2552"/>
          <w:tab w:val="left" w:pos="3119"/>
          <w:tab w:val="left" w:pos="3544"/>
          <w:tab w:val="center" w:pos="4536"/>
        </w:tabs>
        <w:overflowPunct w:val="0"/>
        <w:adjustRightInd w:val="0"/>
        <w:spacing w:line="240" w:lineRule="atLeast"/>
        <w:ind w:left="992" w:firstLine="0"/>
        <w:textAlignment w:val="baseline"/>
        <w:rPr>
          <w:szCs w:val="20"/>
        </w:rPr>
      </w:pPr>
    </w:p>
    <w:p w:rsidR="004F47BB" w:rsidRPr="004F47BB" w:rsidRDefault="00624017" w:rsidP="004F47BB">
      <w:pPr>
        <w:tabs>
          <w:tab w:val="left" w:pos="992"/>
        </w:tabs>
        <w:overflowPunct w:val="0"/>
        <w:adjustRightInd w:val="0"/>
        <w:spacing w:line="240" w:lineRule="atLeast"/>
        <w:ind w:left="992" w:firstLine="1"/>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IST</m:t>
              </m:r>
            </m:sub>
          </m:sSub>
          <m:r>
            <w:rPr>
              <w:rFonts w:ascii="Cambria Math" w:hAnsi="Cambria Math"/>
              <w:noProof/>
            </w:rPr>
            <m:t xml:space="preserve">=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R</m:t>
                  </m:r>
                </m:e>
                <m:sub>
                  <m:r>
                    <w:rPr>
                      <w:rFonts w:ascii="Cambria Math" w:hAnsi="Cambria Math"/>
                      <w:noProof/>
                    </w:rPr>
                    <m:t>T</m:t>
                  </m:r>
                </m:sub>
              </m:sSub>
            </m:num>
            <m:den>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den>
          </m:f>
          <m:r>
            <w:rPr>
              <w:rFonts w:ascii="Cambria Math" w:hAnsi="Cambria Math"/>
              <w:noProof/>
            </w:rPr>
            <m:t xml:space="preserve"> ∙ </m:t>
          </m:r>
          <m:sSup>
            <m:sSupPr>
              <m:ctrlPr>
                <w:rPr>
                  <w:rFonts w:ascii="Cambria Math" w:hAnsi="Cambria Math"/>
                  <w:i/>
                  <w:noProof/>
                </w:rPr>
              </m:ctrlPr>
            </m:sSupPr>
            <m:e>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k</m:t>
                      </m:r>
                    </m:e>
                    <m:sub>
                      <m:r>
                        <w:rPr>
                          <w:rFonts w:ascii="Cambria Math" w:hAnsi="Cambria Math"/>
                          <w:noProof/>
                        </w:rPr>
                        <m:t>7</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k</m:t>
                      </m:r>
                    </m:e>
                    <m:sub>
                      <m:r>
                        <w:rPr>
                          <w:rFonts w:ascii="Cambria Math" w:hAnsi="Cambria Math"/>
                          <w:noProof/>
                        </w:rPr>
                        <m:t>6</m:t>
                      </m:r>
                    </m:sub>
                  </m:sSub>
                  <m:r>
                    <w:rPr>
                      <w:rFonts w:ascii="Cambria Math" w:hAnsi="Cambria Math"/>
                      <w:noProof/>
                    </w:rPr>
                    <m:t xml:space="preserve"> ∙ </m:t>
                  </m:r>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L</m:t>
                              </m:r>
                            </m:e>
                            <m:sub>
                              <m:r>
                                <w:rPr>
                                  <w:rFonts w:ascii="Cambria Math" w:hAnsi="Cambria Math"/>
                                  <w:noProof/>
                                </w:rPr>
                                <m:t>IST</m:t>
                              </m:r>
                            </m:sub>
                          </m:sSub>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IST</m:t>
                              </m:r>
                            </m:sub>
                          </m:sSub>
                        </m:sub>
                      </m:sSub>
                    </m:e>
                  </m:d>
                </m:e>
              </m:d>
            </m:e>
            <m:sup>
              <m:r>
                <w:rPr>
                  <w:rFonts w:ascii="Cambria Math" w:hAnsi="Cambria Math"/>
                  <w:noProof/>
                </w:rPr>
                <m:t>2</m:t>
              </m:r>
            </m:sup>
          </m:sSup>
          <m:r>
            <w:rPr>
              <w:rFonts w:ascii="Cambria Math" w:hAnsi="Cambria Math"/>
              <w:noProof/>
            </w:rPr>
            <m:t xml:space="preserve">= 14 ∙ </m:t>
          </m:r>
          <m:sSup>
            <m:sSupPr>
              <m:ctrlPr>
                <w:rPr>
                  <w:rFonts w:ascii="Cambria Math" w:hAnsi="Cambria Math"/>
                  <w:i/>
                  <w:noProof/>
                </w:rPr>
              </m:ctrlPr>
            </m:sSupPr>
            <m:e>
              <m:d>
                <m:dPr>
                  <m:ctrlPr>
                    <w:rPr>
                      <w:rFonts w:ascii="Cambria Math" w:hAnsi="Cambria Math"/>
                      <w:i/>
                      <w:noProof/>
                    </w:rPr>
                  </m:ctrlPr>
                </m:dPr>
                <m:e>
                  <m:r>
                    <w:rPr>
                      <w:rFonts w:ascii="Cambria Math" w:hAnsi="Cambria Math"/>
                      <w:noProof/>
                    </w:rPr>
                    <m:t>0,55 ∙0,85 ∙3,4</m:t>
                  </m:r>
                </m:e>
              </m:d>
            </m:e>
            <m:sup>
              <m:r>
                <w:rPr>
                  <w:rFonts w:ascii="Cambria Math" w:hAnsi="Cambria Math"/>
                  <w:noProof/>
                </w:rPr>
                <m:t>2</m:t>
              </m:r>
            </m:sup>
          </m:sSup>
          <m:r>
            <w:rPr>
              <w:rFonts w:ascii="Cambria Math" w:hAnsi="Cambria Math"/>
              <w:noProof/>
            </w:rPr>
            <m:t>=</m:t>
          </m:r>
          <m:r>
            <m:rPr>
              <m:sty m:val="bi"/>
            </m:rPr>
            <w:rPr>
              <w:rFonts w:ascii="Cambria Math" w:hAnsi="Cambria Math"/>
              <w:noProof/>
            </w:rPr>
            <m:t xml:space="preserve">35,4 </m:t>
          </m:r>
          <m:d>
            <m:dPr>
              <m:begChr m:val="["/>
              <m:endChr m:val="]"/>
              <m:ctrlPr>
                <w:rPr>
                  <w:rFonts w:ascii="Cambria Math" w:hAnsi="Cambria Math"/>
                  <w:b/>
                  <w:i/>
                  <w:noProof/>
                </w:rPr>
              </m:ctrlPr>
            </m:dPr>
            <m:e>
              <m:r>
                <m:rPr>
                  <m:sty m:val="bi"/>
                </m:rPr>
                <w:rPr>
                  <w:rFonts w:ascii="Cambria Math" w:hAnsi="Cambria Math"/>
                  <w:noProof/>
                </w:rPr>
                <m:t>kN</m:t>
              </m:r>
            </m:e>
          </m:d>
        </m:oMath>
      </m:oMathPara>
    </w:p>
    <w:p w:rsidR="004F47BB" w:rsidRPr="004F47BB" w:rsidRDefault="004F47BB" w:rsidP="004F47BB">
      <w:pPr>
        <w:tabs>
          <w:tab w:val="left" w:pos="284"/>
          <w:tab w:val="left" w:pos="454"/>
        </w:tabs>
        <w:overflowPunct w:val="0"/>
        <w:adjustRightInd w:val="0"/>
        <w:spacing w:line="240" w:lineRule="atLeast"/>
        <w:ind w:left="284" w:hanging="284"/>
        <w:jc w:val="left"/>
        <w:textAlignment w:val="baseline"/>
        <w:rPr>
          <w:szCs w:val="20"/>
        </w:rPr>
      </w:pPr>
    </w:p>
    <w:p w:rsidR="004F47BB" w:rsidRPr="004F47BB" w:rsidRDefault="004F47BB" w:rsidP="004F47BB">
      <w:pPr>
        <w:tabs>
          <w:tab w:val="left" w:pos="284"/>
          <w:tab w:val="left" w:pos="454"/>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992"/>
        </w:tabs>
        <w:overflowPunct w:val="0"/>
        <w:adjustRightInd w:val="0"/>
        <w:spacing w:line="240" w:lineRule="atLeast"/>
        <w:ind w:left="992"/>
        <w:textAlignment w:val="baseline"/>
        <w:rPr>
          <w:szCs w:val="20"/>
        </w:rPr>
      </w:pPr>
      <w:r>
        <w:t>d)</w:t>
      </w:r>
      <w:r>
        <w:tab/>
        <w:t xml:space="preserve">calcolo della resistenza al gradiente </w:t>
      </w:r>
      <m:oMath>
        <m:sSub>
          <m:sSubPr>
            <m:ctrlPr>
              <w:rPr>
                <w:rFonts w:ascii="Cambria Math" w:hAnsi="Cambria Math"/>
                <w:i/>
                <w:sz w:val="16"/>
                <w:szCs w:val="20"/>
              </w:rPr>
            </m:ctrlPr>
          </m:sSubPr>
          <m:e>
            <m:r>
              <w:rPr>
                <w:rFonts w:ascii="Cambria Math" w:hAnsi="Cambria Math"/>
                <w:sz w:val="16"/>
                <w:szCs w:val="20"/>
              </w:rPr>
              <m:t>R</m:t>
            </m:r>
          </m:e>
          <m:sub>
            <m:r>
              <w:rPr>
                <w:rFonts w:ascii="Cambria Math" w:hAnsi="Cambria Math"/>
                <w:sz w:val="16"/>
                <w:szCs w:val="20"/>
              </w:rPr>
              <m:t>G</m:t>
            </m:r>
          </m:sub>
        </m:sSub>
      </m:oMath>
      <w:r>
        <w:t xml:space="preserve"> secondo la formula 4.4 dell'allegato 2</w:t>
      </w:r>
    </w:p>
    <w:p w:rsidR="004F47BB" w:rsidRPr="004F47BB" w:rsidRDefault="004F47BB" w:rsidP="004F47BB">
      <w:pPr>
        <w:tabs>
          <w:tab w:val="left" w:pos="284"/>
          <w:tab w:val="left" w:pos="454"/>
        </w:tabs>
        <w:overflowPunct w:val="0"/>
        <w:adjustRightInd w:val="0"/>
        <w:spacing w:line="240" w:lineRule="exact"/>
        <w:ind w:left="284" w:hanging="284"/>
        <w:jc w:val="left"/>
        <w:textAlignment w:val="baseline"/>
        <w:rPr>
          <w:szCs w:val="20"/>
        </w:rPr>
      </w:pPr>
    </w:p>
    <w:p w:rsidR="004F47BB" w:rsidRPr="004F47BB" w:rsidRDefault="00624017" w:rsidP="004F47BB">
      <w:pPr>
        <w:overflowPunct w:val="0"/>
        <w:adjustRightInd w:val="0"/>
        <w:spacing w:line="240" w:lineRule="atLeast"/>
        <w:ind w:left="993" w:hanging="1"/>
        <w:jc w:val="left"/>
        <w:textAlignment w:val="baseline"/>
        <w:rPr>
          <w:szCs w:val="20"/>
        </w:rPr>
      </w:pPr>
      <m:oMathPara>
        <m:oMathParaPr>
          <m:jc m:val="left"/>
        </m:oMathParaPr>
        <m:oMath>
          <m:sSub>
            <m:sSubPr>
              <m:ctrlPr>
                <w:rPr>
                  <w:rFonts w:ascii="Cambria Math" w:hAnsi="Cambria Math"/>
                  <w:i/>
                  <w:sz w:val="16"/>
                  <w:szCs w:val="20"/>
                </w:rPr>
              </m:ctrlPr>
            </m:sSubPr>
            <m:e>
              <m:r>
                <w:rPr>
                  <w:rFonts w:ascii="Cambria Math" w:hAnsi="Cambria Math"/>
                  <w:sz w:val="16"/>
                  <w:szCs w:val="20"/>
                </w:rPr>
                <m:t>R</m:t>
              </m:r>
            </m:e>
            <m:sub>
              <m:r>
                <w:rPr>
                  <w:rFonts w:ascii="Cambria Math" w:hAnsi="Cambria Math"/>
                  <w:sz w:val="16"/>
                  <w:szCs w:val="20"/>
                </w:rPr>
                <m:t>G</m:t>
              </m:r>
            </m:sub>
          </m:sSub>
          <m:r>
            <w:rPr>
              <w:rFonts w:ascii="Cambria Math" w:hAnsi="Cambria Math"/>
              <w:sz w:val="16"/>
              <w:szCs w:val="20"/>
            </w:rPr>
            <m:t xml:space="preserve"> </m:t>
          </m:r>
          <m:r>
            <w:rPr>
              <w:rFonts w:ascii="Cambria Math" w:hAnsi="Cambria Math"/>
              <w:szCs w:val="20"/>
            </w:rPr>
            <m:t xml:space="preserve">=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-6</m:t>
              </m:r>
            </m:sup>
          </m:sSup>
          <m:r>
            <w:rPr>
              <w:rFonts w:ascii="Cambria Math" w:hAnsi="Cambria Math"/>
              <w:szCs w:val="20"/>
            </w:rPr>
            <m:t xml:space="preserve"> ∙ </m:t>
          </m:r>
          <m:d>
            <m:dPr>
              <m:ctrlPr>
                <w:rPr>
                  <w:rFonts w:ascii="Cambria Math" w:hAnsi="Cambria Math"/>
                  <w:i/>
                  <w:szCs w:val="20"/>
                </w:rPr>
              </m:ctrlPr>
            </m:dPr>
            <m:e>
              <m:r>
                <w:rPr>
                  <w:rFonts w:ascii="Cambria Math" w:hAnsi="Cambria Math"/>
                  <w:szCs w:val="20"/>
                </w:rPr>
                <m:t xml:space="preserve">0,16 ∙ </m:t>
              </m:r>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r>
                <w:rPr>
                  <w:rFonts w:ascii="Cambria Math" w:hAnsi="Cambria Math"/>
                  <w:szCs w:val="20"/>
                </w:rPr>
                <m:t xml:space="preserve"> ∙ ρ ∙g</m:t>
              </m:r>
            </m:e>
          </m:d>
          <m:r>
            <w:rPr>
              <w:rFonts w:ascii="Cambria Math" w:hAnsi="Cambria Math"/>
              <w:szCs w:val="20"/>
            </w:rPr>
            <m:t>=</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-6</m:t>
              </m:r>
            </m:sup>
          </m:sSup>
          <m:r>
            <w:rPr>
              <w:rFonts w:ascii="Cambria Math" w:hAnsi="Cambria Math"/>
              <w:szCs w:val="20"/>
            </w:rPr>
            <m:t xml:space="preserve"> ∙</m:t>
          </m:r>
          <m:d>
            <m:dPr>
              <m:ctrlPr>
                <w:rPr>
                  <w:rFonts w:ascii="Cambria Math" w:hAnsi="Cambria Math"/>
                  <w:i/>
                  <w:szCs w:val="20"/>
                </w:rPr>
              </m:ctrlPr>
            </m:dPr>
            <m:e>
              <m:r>
                <w:rPr>
                  <w:rFonts w:ascii="Cambria Math" w:hAnsi="Cambria Math"/>
                  <w:szCs w:val="20"/>
                </w:rPr>
                <m:t>0,16 ∙</m:t>
              </m:r>
              <m:r>
                <m:rPr>
                  <m:sty m:val="bi"/>
                </m:rPr>
                <w:rPr>
                  <w:rFonts w:ascii="Cambria Math" w:hAnsi="Cambria Math"/>
                  <w:position w:val="6"/>
                  <w:szCs w:val="20"/>
                </w:rPr>
                <m:t xml:space="preserve"> </m:t>
              </m:r>
              <m:r>
                <w:rPr>
                  <w:rFonts w:ascii="Cambria Math" w:hAnsi="Cambria Math"/>
                  <w:szCs w:val="20"/>
                </w:rPr>
                <m:t>9568 ∙ 1000 ∙ 9,81</m:t>
              </m:r>
            </m:e>
          </m:d>
          <m:r>
            <w:rPr>
              <w:rFonts w:ascii="Cambria Math" w:hAnsi="Cambria Math"/>
              <w:szCs w:val="20"/>
            </w:rPr>
            <m:t xml:space="preserve">= </m:t>
          </m:r>
          <m:r>
            <m:rPr>
              <m:sty m:val="bi"/>
            </m:rPr>
            <w:rPr>
              <w:rFonts w:ascii="Cambria Math" w:hAnsi="Cambria Math"/>
              <w:szCs w:val="20"/>
              <w:u w:val="single"/>
            </w:rPr>
            <m:t>15,02</m:t>
          </m:r>
          <m:r>
            <m:rPr>
              <m:sty m:val="bi"/>
            </m:rPr>
            <w:rPr>
              <w:rFonts w:ascii="Cambria Math" w:hAnsi="Cambria Math"/>
              <w:szCs w:val="20"/>
            </w:rPr>
            <m:t xml:space="preserve"> [kN]</m:t>
          </m:r>
        </m:oMath>
      </m:oMathPara>
    </w:p>
    <w:p w:rsidR="004F47BB" w:rsidRPr="004F47BB" w:rsidRDefault="004F47BB" w:rsidP="004F47BB">
      <w:pPr>
        <w:tabs>
          <w:tab w:val="left" w:pos="284"/>
          <w:tab w:val="left" w:pos="454"/>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284"/>
          <w:tab w:val="left" w:pos="454"/>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992"/>
        </w:tabs>
        <w:overflowPunct w:val="0"/>
        <w:adjustRightInd w:val="0"/>
        <w:spacing w:line="240" w:lineRule="atLeast"/>
        <w:ind w:left="992"/>
        <w:textAlignment w:val="baseline"/>
        <w:rPr>
          <w:szCs w:val="20"/>
        </w:rPr>
      </w:pPr>
      <w:r>
        <w:t>e)</w:t>
      </w:r>
      <w:r>
        <w:tab/>
        <w:t xml:space="preserve">calcolo di </w:t>
      </w: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oMath>
      <w:r>
        <w:t xml:space="preserve"> secondo la formula 4.5 dell'allegato 2</w:t>
      </w:r>
    </w:p>
    <w:p w:rsidR="004F47BB" w:rsidRPr="004F47BB" w:rsidRDefault="004F47BB" w:rsidP="004F47BB">
      <w:pPr>
        <w:tabs>
          <w:tab w:val="left" w:pos="284"/>
          <w:tab w:val="left" w:pos="454"/>
        </w:tabs>
        <w:overflowPunct w:val="0"/>
        <w:adjustRightInd w:val="0"/>
        <w:spacing w:line="240" w:lineRule="exact"/>
        <w:ind w:left="284" w:hanging="284"/>
        <w:jc w:val="left"/>
        <w:textAlignment w:val="baseline"/>
        <w:rPr>
          <w:szCs w:val="20"/>
        </w:rPr>
      </w:pPr>
    </w:p>
    <w:p w:rsidR="004F47BB" w:rsidRPr="004F47BB" w:rsidRDefault="00624017" w:rsidP="004F47BB">
      <w:pPr>
        <w:overflowPunct w:val="0"/>
        <w:adjustRightInd w:val="0"/>
        <w:spacing w:line="240" w:lineRule="atLeast"/>
        <w:ind w:left="992" w:firstLine="0"/>
        <w:jc w:val="left"/>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r>
            <w:rPr>
              <w:rFonts w:ascii="Cambria Math" w:hAnsi="Cambria Math"/>
              <w:szCs w:val="20"/>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IST</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IST</m:t>
                      </m:r>
                    </m:sub>
                  </m:sSub>
                </m:sub>
              </m:sSub>
            </m:e>
          </m:d>
          <m:r>
            <w:rPr>
              <w:rFonts w:ascii="Cambria Math" w:hAnsi="Cambria Math"/>
              <w:szCs w:val="20"/>
            </w:rPr>
            <m:t xml:space="preserve">= 2,89 </m:t>
          </m:r>
          <m:d>
            <m:dPr>
              <m:begChr m:val="["/>
              <m:endChr m:val="]"/>
              <m:ctrlPr>
                <w:rPr>
                  <w:rFonts w:ascii="Cambria Math" w:hAnsi="Cambria Math"/>
                  <w:i/>
                  <w:szCs w:val="20"/>
                </w:rPr>
              </m:ctrlPr>
            </m:dPr>
            <m:e>
              <m:r>
                <w:rPr>
                  <w:rFonts w:ascii="Cambria Math" w:hAnsi="Cambria Math"/>
                  <w:szCs w:val="20"/>
                </w:rPr>
                <m:t>m/s</m:t>
              </m:r>
            </m:e>
          </m:d>
        </m:oMath>
      </m:oMathPara>
    </w:p>
    <w:p w:rsidR="004F47BB" w:rsidRPr="004F47BB" w:rsidRDefault="004F47BB" w:rsidP="004F47BB">
      <w:pPr>
        <w:tabs>
          <w:tab w:val="left" w:pos="284"/>
          <w:tab w:val="left" w:pos="454"/>
        </w:tabs>
        <w:overflowPunct w:val="0"/>
        <w:adjustRightInd w:val="0"/>
        <w:spacing w:line="240" w:lineRule="exact"/>
        <w:ind w:left="284" w:hanging="284"/>
        <w:jc w:val="left"/>
        <w:textAlignment w:val="baseline"/>
        <w:rPr>
          <w:szCs w:val="20"/>
        </w:rPr>
      </w:pPr>
    </w:p>
    <w:p w:rsidR="004F47BB" w:rsidRPr="004F47BB" w:rsidRDefault="00624017" w:rsidP="004F47BB">
      <w:pPr>
        <w:overflowPunct w:val="0"/>
        <w:adjustRightInd w:val="0"/>
        <w:spacing w:line="240" w:lineRule="atLeast"/>
        <w:ind w:left="993" w:hanging="1"/>
        <w:jc w:val="left"/>
        <w:textAlignment w:val="baseline"/>
        <w:rPr>
          <w:szCs w:val="20"/>
        </w:rPr>
      </w:pPr>
      <m:oMathPara>
        <m:oMathParaPr>
          <m:jc m:val="left"/>
        </m:oMathParaPr>
        <m:oMath>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 xml:space="preserve">=8,35 </m:t>
          </m:r>
          <m:sSup>
            <m:sSupPr>
              <m:ctrlPr>
                <w:rPr>
                  <w:rFonts w:ascii="Cambria Math" w:hAnsi="Cambria Math"/>
                  <w:i/>
                  <w:szCs w:val="20"/>
                </w:rPr>
              </m:ctrlPr>
            </m:sSupPr>
            <m:e>
              <m:d>
                <m:dPr>
                  <m:begChr m:val="["/>
                  <m:endChr m:val="]"/>
                  <m:ctrlPr>
                    <w:rPr>
                      <w:rFonts w:ascii="Cambria Math" w:hAnsi="Cambria Math"/>
                      <w:i/>
                      <w:szCs w:val="20"/>
                    </w:rPr>
                  </m:ctrlPr>
                </m:dPr>
                <m:e>
                  <m:r>
                    <w:rPr>
                      <w:rFonts w:ascii="Cambria Math" w:hAnsi="Cambria Math"/>
                      <w:szCs w:val="20"/>
                    </w:rPr>
                    <m:t>m/s</m:t>
                  </m:r>
                </m:e>
              </m:d>
            </m:e>
            <m:sup>
              <m:r>
                <w:rPr>
                  <w:rFonts w:ascii="Cambria Math" w:hAnsi="Cambria Math"/>
                  <w:szCs w:val="20"/>
                </w:rPr>
                <m:t>2</m:t>
              </m:r>
            </m:sup>
          </m:sSup>
        </m:oMath>
      </m:oMathPara>
    </w:p>
    <w:p w:rsidR="004F47BB" w:rsidRPr="004F47BB" w:rsidRDefault="004F47BB" w:rsidP="004F47BB">
      <w:pPr>
        <w:tabs>
          <w:tab w:val="left" w:pos="284"/>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284"/>
          <w:tab w:val="left" w:pos="454"/>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284"/>
          <w:tab w:val="left" w:pos="454"/>
        </w:tabs>
        <w:overflowPunct w:val="0"/>
        <w:adjustRightInd w:val="0"/>
        <w:spacing w:line="240" w:lineRule="exact"/>
        <w:ind w:left="284" w:hanging="284"/>
        <w:jc w:val="left"/>
        <w:textAlignment w:val="baseline"/>
        <w:rPr>
          <w:szCs w:val="20"/>
        </w:rPr>
      </w:pPr>
      <w:r>
        <w:br w:type="page"/>
      </w:r>
    </w:p>
    <w:p w:rsidR="004F47BB" w:rsidRPr="004F47BB" w:rsidRDefault="004F47BB" w:rsidP="004F47BB">
      <w:pPr>
        <w:tabs>
          <w:tab w:val="left" w:pos="992"/>
        </w:tabs>
        <w:overflowPunct w:val="0"/>
        <w:adjustRightInd w:val="0"/>
        <w:spacing w:line="240" w:lineRule="atLeast"/>
        <w:ind w:left="992"/>
        <w:textAlignment w:val="baseline"/>
        <w:rPr>
          <w:szCs w:val="20"/>
        </w:rPr>
      </w:pPr>
      <w:r>
        <w:lastRenderedPageBreak/>
        <w:t>f)</w:t>
      </w:r>
      <w:r>
        <w:tab/>
        <w:t xml:space="preserve">calcolo di </w:t>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oMath>
      <w:r>
        <w:t xml:space="preserve"> secondo la formula 4.6 e la tabella 2</w:t>
      </w:r>
    </w:p>
    <w:p w:rsidR="004F47BB" w:rsidRPr="004F47BB" w:rsidRDefault="004F47BB" w:rsidP="004F47BB">
      <w:pPr>
        <w:tabs>
          <w:tab w:val="left" w:pos="284"/>
          <w:tab w:val="left" w:pos="454"/>
        </w:tabs>
        <w:overflowPunct w:val="0"/>
        <w:adjustRightInd w:val="0"/>
        <w:spacing w:line="240" w:lineRule="exact"/>
        <w:ind w:left="284" w:hanging="284"/>
        <w:jc w:val="left"/>
        <w:textAlignment w:val="baseline"/>
        <w:rPr>
          <w:szCs w:val="20"/>
        </w:rPr>
      </w:pPr>
    </w:p>
    <w:p w:rsidR="004F47BB" w:rsidRPr="004F47BB" w:rsidRDefault="00624017" w:rsidP="004F47BB">
      <w:pPr>
        <w:overflowPunct w:val="0"/>
        <w:adjustRightInd w:val="0"/>
        <w:spacing w:line="240" w:lineRule="atLeast"/>
        <w:ind w:left="992" w:firstLine="0"/>
        <w:jc w:val="left"/>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r>
            <w:rPr>
              <w:rFonts w:ascii="Cambria Math" w:hAnsi="Cambria Math"/>
              <w:szCs w:val="20"/>
            </w:rPr>
            <m:t>=0,118 ∙1500=</m:t>
          </m:r>
          <m:r>
            <m:rPr>
              <m:sty m:val="bi"/>
            </m:rPr>
            <w:rPr>
              <w:rFonts w:ascii="Cambria Math" w:hAnsi="Cambria Math"/>
              <w:szCs w:val="20"/>
            </w:rPr>
            <m:t xml:space="preserve">177 </m:t>
          </m:r>
          <m:d>
            <m:dPr>
              <m:begChr m:val="["/>
              <m:endChr m:val="]"/>
              <m:ctrlPr>
                <w:rPr>
                  <w:rFonts w:ascii="Cambria Math" w:hAnsi="Cambria Math"/>
                  <w:b/>
                  <w:i/>
                  <w:szCs w:val="20"/>
                </w:rPr>
              </m:ctrlPr>
            </m:dPr>
            <m:e>
              <m:r>
                <m:rPr>
                  <m:sty m:val="bi"/>
                </m:rPr>
                <w:rPr>
                  <w:rFonts w:ascii="Cambria Math" w:hAnsi="Cambria Math"/>
                  <w:szCs w:val="20"/>
                </w:rPr>
                <m:t>kN</m:t>
              </m:r>
            </m:e>
          </m:d>
        </m:oMath>
      </m:oMathPara>
    </w:p>
    <w:p w:rsidR="004F47BB" w:rsidRPr="004F47BB" w:rsidRDefault="004F47BB" w:rsidP="004F47BB">
      <w:pPr>
        <w:tabs>
          <w:tab w:val="left" w:pos="284"/>
          <w:tab w:val="left" w:pos="454"/>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992"/>
        </w:tabs>
        <w:overflowPunct w:val="0"/>
        <w:adjustRightInd w:val="0"/>
        <w:spacing w:line="240" w:lineRule="atLeast"/>
        <w:ind w:left="992"/>
        <w:textAlignment w:val="baseline"/>
        <w:rPr>
          <w:szCs w:val="20"/>
        </w:rPr>
      </w:pPr>
      <w:r>
        <w:t>g)</w:t>
      </w:r>
      <w:r>
        <w:tab/>
        <w:t xml:space="preserve">calcolo di </w:t>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oMath>
      <w:r>
        <w:t xml:space="preserve"> usando la formula b) e i risultati di c), d), e) e f) </w:t>
      </w:r>
    </w:p>
    <w:p w:rsidR="004F47BB" w:rsidRPr="004F47BB" w:rsidRDefault="004F47BB" w:rsidP="004F47BB">
      <w:pPr>
        <w:tabs>
          <w:tab w:val="left" w:pos="284"/>
          <w:tab w:val="left" w:pos="454"/>
        </w:tabs>
        <w:overflowPunct w:val="0"/>
        <w:adjustRightInd w:val="0"/>
        <w:spacing w:line="240" w:lineRule="exact"/>
        <w:ind w:left="284" w:hanging="284"/>
        <w:jc w:val="left"/>
        <w:textAlignment w:val="baseline"/>
        <w:rPr>
          <w:szCs w:val="20"/>
        </w:rPr>
      </w:pPr>
    </w:p>
    <w:p w:rsidR="004F47BB" w:rsidRPr="004F47BB" w:rsidRDefault="00624017" w:rsidP="004F47BB">
      <w:pPr>
        <w:tabs>
          <w:tab w:val="left" w:pos="992"/>
        </w:tabs>
        <w:overflowPunct w:val="0"/>
        <w:adjustRightInd w:val="0"/>
        <w:spacing w:line="240" w:lineRule="atLeast"/>
        <w:ind w:left="992" w:firstLine="1"/>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 xml:space="preserve">= </m:t>
          </m:r>
          <m:f>
            <m:fPr>
              <m:ctrlPr>
                <w:rPr>
                  <w:rFonts w:ascii="Cambria Math" w:hAnsi="Cambria Math"/>
                  <w:i/>
                  <w:szCs w:val="20"/>
                </w:rPr>
              </m:ctrlPr>
            </m:fPr>
            <m:num>
              <m:r>
                <w:rPr>
                  <w:rFonts w:ascii="Cambria Math" w:hAnsi="Cambria Math"/>
                  <w:szCs w:val="20"/>
                </w:rPr>
                <m:t xml:space="preserve">0,12 ∙8,35 ∙9,81 ∙ </m:t>
              </m:r>
              <m:d>
                <m:dPr>
                  <m:ctrlPr>
                    <w:rPr>
                      <w:rFonts w:ascii="Cambria Math" w:hAnsi="Cambria Math"/>
                      <w:i/>
                      <w:szCs w:val="20"/>
                    </w:rPr>
                  </m:ctrlPr>
                </m:dPr>
                <m:e>
                  <m:r>
                    <w:rPr>
                      <w:rFonts w:ascii="Cambria Math" w:hAnsi="Cambria Math"/>
                      <w:szCs w:val="20"/>
                    </w:rPr>
                    <m:t xml:space="preserve">0,48+ </m:t>
                  </m:r>
                  <m:f>
                    <m:fPr>
                      <m:ctrlPr>
                        <w:rPr>
                          <w:rFonts w:ascii="Cambria Math" w:hAnsi="Cambria Math"/>
                          <w:i/>
                          <w:szCs w:val="20"/>
                        </w:rPr>
                      </m:ctrlPr>
                    </m:fPr>
                    <m:num>
                      <m:r>
                        <w:rPr>
                          <w:rFonts w:ascii="Cambria Math" w:hAnsi="Cambria Math"/>
                          <w:szCs w:val="20"/>
                        </w:rPr>
                        <m:t>1,4</m:t>
                      </m:r>
                    </m:num>
                    <m:den>
                      <m:r>
                        <w:rPr>
                          <w:rFonts w:ascii="Cambria Math" w:hAnsi="Cambria Math"/>
                          <w:szCs w:val="20"/>
                        </w:rPr>
                        <m:t>2,89</m:t>
                      </m:r>
                    </m:den>
                  </m:f>
                </m:e>
              </m:d>
            </m:num>
            <m:den>
              <m:r>
                <w:rPr>
                  <w:rFonts w:ascii="Cambria Math" w:hAnsi="Cambria Math"/>
                  <w:szCs w:val="20"/>
                </w:rPr>
                <m:t>1,15 ∙177+35,4-15,02</m:t>
              </m:r>
            </m:den>
          </m:f>
          <m:r>
            <w:rPr>
              <w:rFonts w:ascii="Cambria Math" w:hAnsi="Cambria Math"/>
              <w:szCs w:val="20"/>
            </w:rPr>
            <m:t xml:space="preserve"> ∙ 9568</m:t>
          </m:r>
        </m:oMath>
      </m:oMathPara>
    </w:p>
    <w:p w:rsidR="004F47BB" w:rsidRPr="004F47BB" w:rsidRDefault="004F47BB" w:rsidP="004F47BB">
      <w:pPr>
        <w:tabs>
          <w:tab w:val="left" w:pos="1418"/>
        </w:tabs>
        <w:overflowPunct w:val="0"/>
        <w:adjustRightInd w:val="0"/>
        <w:spacing w:line="240" w:lineRule="atLeast"/>
        <w:ind w:left="1417"/>
        <w:jc w:val="left"/>
        <w:textAlignment w:val="baseline"/>
        <w:rPr>
          <w:szCs w:val="20"/>
        </w:rPr>
      </w:pPr>
    </w:p>
    <w:p w:rsidR="004F47BB" w:rsidRPr="004F47BB" w:rsidRDefault="00624017" w:rsidP="004F47BB">
      <w:pPr>
        <w:tabs>
          <w:tab w:val="left" w:pos="992"/>
        </w:tabs>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m:t>
          </m:r>
          <m:r>
            <m:rPr>
              <m:sty m:val="bi"/>
            </m:rPr>
            <w:rPr>
              <w:rFonts w:ascii="Cambria Math" w:hAnsi="Cambria Math"/>
              <w:szCs w:val="20"/>
            </w:rPr>
            <m:t>402 m</m:t>
          </m:r>
        </m:oMath>
      </m:oMathPara>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992"/>
        </w:tabs>
        <w:overflowPunct w:val="0"/>
        <w:adjustRightInd w:val="0"/>
        <w:spacing w:line="240" w:lineRule="atLeast"/>
        <w:ind w:left="992"/>
        <w:textAlignment w:val="baseline"/>
        <w:rPr>
          <w:szCs w:val="20"/>
        </w:rPr>
      </w:pPr>
      <w:r>
        <w:t>h)</w:t>
      </w:r>
      <w:r>
        <w:tab/>
        <w:t>calcolo della distanza totale secondo la formula 3.1</w:t>
      </w:r>
    </w:p>
    <w:p w:rsidR="004F47BB" w:rsidRPr="004F47BB" w:rsidRDefault="004F47BB" w:rsidP="004F47BB">
      <w:pPr>
        <w:tabs>
          <w:tab w:val="left" w:pos="284"/>
        </w:tabs>
        <w:overflowPunct w:val="0"/>
        <w:adjustRightInd w:val="0"/>
        <w:spacing w:line="240" w:lineRule="exact"/>
        <w:ind w:left="284" w:hanging="284"/>
        <w:jc w:val="left"/>
        <w:textAlignment w:val="baseline"/>
        <w:rPr>
          <w:szCs w:val="20"/>
        </w:rPr>
      </w:pPr>
    </w:p>
    <w:p w:rsidR="004F47BB" w:rsidRPr="004F47BB" w:rsidRDefault="00624017" w:rsidP="004F47BB">
      <w:pPr>
        <w:tabs>
          <w:tab w:val="left" w:pos="992"/>
        </w:tabs>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IST</m:t>
                  </m:r>
                </m:sub>
              </m:sSub>
            </m:sub>
          </m:sSub>
          <m:r>
            <w:rPr>
              <w:rFonts w:ascii="Cambria Math" w:hAnsi="Cambria Math"/>
              <w:szCs w:val="20"/>
            </w:rPr>
            <m:t>=73+402=</m:t>
          </m:r>
          <m:r>
            <m:rPr>
              <m:sty m:val="bi"/>
            </m:rPr>
            <w:rPr>
              <w:rFonts w:ascii="Cambria Math" w:hAnsi="Cambria Math"/>
              <w:szCs w:val="20"/>
            </w:rPr>
            <m:t>475 m</m:t>
          </m:r>
        </m:oMath>
      </m:oMathPara>
    </w:p>
    <w:p w:rsidR="004F47BB" w:rsidRPr="004F47BB" w:rsidRDefault="004F47BB" w:rsidP="004F47BB">
      <w:pPr>
        <w:tabs>
          <w:tab w:val="left" w:pos="284"/>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567"/>
        </w:tabs>
        <w:overflowPunct w:val="0"/>
        <w:adjustRightInd w:val="0"/>
        <w:spacing w:line="240" w:lineRule="atLeast"/>
        <w:ind w:left="567" w:hanging="567"/>
        <w:textAlignment w:val="baseline"/>
        <w:rPr>
          <w:b/>
          <w:bCs/>
          <w:position w:val="6"/>
          <w:szCs w:val="20"/>
        </w:rPr>
      </w:pPr>
      <w:r>
        <w:rPr>
          <w:b/>
        </w:rPr>
        <w:t>4.3</w:t>
      </w:r>
      <w:r>
        <w:tab/>
      </w:r>
      <w:r>
        <w:rPr>
          <w:b/>
        </w:rPr>
        <w:t xml:space="preserve">calcolo di </w:t>
      </w:r>
      <m:oMath>
        <m:sSub>
          <m:sSubPr>
            <m:ctrlPr>
              <w:rPr>
                <w:rFonts w:ascii="Cambria Math" w:hAnsi="Cambria Math"/>
                <w:i/>
                <w:noProof/>
              </w:rPr>
            </m:ctrlPr>
          </m:sSubPr>
          <m:e>
            <m:r>
              <w:rPr>
                <w:rFonts w:ascii="Cambria Math" w:hAnsi="Cambria Math"/>
                <w:noProof/>
              </w:rPr>
              <m:t>s</m:t>
            </m:r>
          </m:e>
          <m:sub>
            <m:r>
              <w:rPr>
                <w:rFonts w:ascii="Cambria Math" w:hAnsi="Cambria Math"/>
                <w:noProof/>
              </w:rPr>
              <m:t>SOLL</m:t>
            </m:r>
          </m:sub>
        </m:sSub>
      </m:oMath>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567"/>
        </w:tabs>
        <w:overflowPunct w:val="0"/>
        <w:adjustRightInd w:val="0"/>
        <w:spacing w:line="240" w:lineRule="atLeast"/>
        <w:ind w:left="567" w:firstLine="0"/>
        <w:textAlignment w:val="baseline"/>
        <w:rPr>
          <w:szCs w:val="20"/>
        </w:rPr>
      </w:pPr>
      <w:r>
        <w:t xml:space="preserve">Valori iniziali </w:t>
      </w:r>
    </w:p>
    <w:p w:rsidR="004F47BB" w:rsidRPr="004F47BB" w:rsidRDefault="004F47BB" w:rsidP="004F47BB">
      <w:pPr>
        <w:tabs>
          <w:tab w:val="left" w:pos="284"/>
        </w:tabs>
        <w:overflowPunct w:val="0"/>
        <w:adjustRightInd w:val="0"/>
        <w:spacing w:line="240" w:lineRule="exact"/>
        <w:ind w:left="284" w:hanging="284"/>
        <w:jc w:val="left"/>
        <w:textAlignment w:val="baseline"/>
        <w:rPr>
          <w:szCs w:val="20"/>
        </w:rPr>
      </w:pPr>
    </w:p>
    <w:p w:rsidR="004F47BB" w:rsidRPr="004F47BB" w:rsidRDefault="00624017"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firstLine="0"/>
        <w:textAlignment w:val="baseline"/>
        <w:rPr>
          <w:szCs w:val="20"/>
        </w:rPr>
      </w:p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r>
          <w:rPr>
            <w:rFonts w:ascii="Cambria Math" w:hAnsi="Cambria Math"/>
            <w:szCs w:val="20"/>
          </w:rPr>
          <m:t>=1,5 m/s ≈ 5,4 km/h</m:t>
        </m:r>
      </m:oMath>
      <w:r w:rsidR="00801F1F">
        <w:tab/>
      </w:r>
      <m:oMath>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oMath>
      <w:r w:rsidR="00801F1F">
        <w:t xml:space="preserve"> = </w:t>
      </w:r>
      <m:oMath>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r>
          <w:rPr>
            <w:rFonts w:ascii="Cambria Math" w:hAnsi="Cambria Math"/>
            <w:szCs w:val="20"/>
          </w:rPr>
          <m:t xml:space="preserve">=9568 </m:t>
        </m:r>
        <m:sSup>
          <m:sSupPr>
            <m:ctrlPr>
              <w:rPr>
                <w:rFonts w:ascii="Cambria Math" w:hAnsi="Cambria Math"/>
                <w:i/>
                <w:szCs w:val="20"/>
              </w:rPr>
            </m:ctrlPr>
          </m:sSupPr>
          <m:e>
            <m:r>
              <w:rPr>
                <w:rFonts w:ascii="Cambria Math" w:hAnsi="Cambria Math"/>
                <w:szCs w:val="20"/>
              </w:rPr>
              <m:t>m</m:t>
            </m:r>
          </m:e>
          <m:sup>
            <m:r>
              <w:rPr>
                <w:rFonts w:ascii="Cambria Math" w:hAnsi="Cambria Math"/>
                <w:szCs w:val="20"/>
              </w:rPr>
              <m:t>3</m:t>
            </m:r>
          </m:sup>
        </m:sSup>
      </m:oMath>
    </w:p>
    <w:p w:rsidR="004F47BB" w:rsidRPr="004F47BB" w:rsidRDefault="004F47BB" w:rsidP="004F47BB">
      <w:pPr>
        <w:tabs>
          <w:tab w:val="left" w:pos="284"/>
          <w:tab w:val="left" w:pos="1418"/>
          <w:tab w:val="left" w:pos="2552"/>
        </w:tabs>
        <w:overflowPunct w:val="0"/>
        <w:adjustRightInd w:val="0"/>
        <w:spacing w:line="240" w:lineRule="exact"/>
        <w:ind w:left="0" w:firstLine="0"/>
        <w:jc w:val="left"/>
        <w:textAlignment w:val="baseline"/>
        <w:rPr>
          <w:szCs w:val="20"/>
        </w:rPr>
      </w:pPr>
    </w:p>
    <w:p w:rsidR="004F47BB" w:rsidRPr="004F47BB" w:rsidRDefault="00624017"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firstLine="0"/>
        <w:textAlignment w:val="baseline"/>
        <w:rPr>
          <w:szCs w:val="20"/>
        </w:rPr>
      </w:p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sub>
        </m:sSub>
        <m:r>
          <w:rPr>
            <w:rFonts w:ascii="Cambria Math" w:hAnsi="Cambria Math"/>
            <w:szCs w:val="20"/>
          </w:rPr>
          <m:t>=3,6 m/s ≈ 13 km/h</m:t>
        </m:r>
      </m:oMath>
      <w:r w:rsidR="00801F1F">
        <w:tab/>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SOLL</m:t>
            </m:r>
          </m:sub>
        </m:sSub>
      </m:oMath>
      <w:r w:rsidR="00801F1F">
        <w:t xml:space="preserve"> =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IST</m:t>
            </m:r>
          </m:sub>
        </m:sSub>
        <m:r>
          <w:rPr>
            <w:rFonts w:ascii="Cambria Math" w:hAnsi="Cambria Math"/>
            <w:szCs w:val="20"/>
          </w:rPr>
          <m:t>=2,96 m</m:t>
        </m:r>
      </m:oMath>
    </w:p>
    <w:p w:rsidR="004F47BB" w:rsidRPr="004F47BB" w:rsidRDefault="004F47BB"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firstLine="0"/>
        <w:textAlignment w:val="baseline"/>
        <w:rPr>
          <w:szCs w:val="20"/>
        </w:rPr>
      </w:pPr>
    </w:p>
    <w:p w:rsidR="004F47BB" w:rsidRPr="004F47BB" w:rsidRDefault="00624017" w:rsidP="004F47BB">
      <w:pPr>
        <w:tabs>
          <w:tab w:val="left" w:pos="567"/>
        </w:tabs>
        <w:overflowPunct w:val="0"/>
        <w:adjustRightInd w:val="0"/>
        <w:spacing w:line="240" w:lineRule="atLeast"/>
        <w:ind w:left="567" w:firstLine="0"/>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rPr>
            <m:t>=5,1 m/s ≈ 18,4 km/h</m:t>
          </m:r>
        </m:oMath>
      </m:oMathPara>
    </w:p>
    <w:p w:rsidR="004F47BB" w:rsidRPr="004F47BB" w:rsidRDefault="004F47BB"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firstLine="0"/>
        <w:textAlignment w:val="baseline"/>
        <w:rPr>
          <w:szCs w:val="20"/>
        </w:rPr>
      </w:pPr>
    </w:p>
    <w:p w:rsidR="004F47BB" w:rsidRPr="00762086" w:rsidRDefault="004F47BB" w:rsidP="004F47BB">
      <w:pPr>
        <w:tabs>
          <w:tab w:val="left" w:pos="992"/>
          <w:tab w:val="left" w:pos="1843"/>
          <w:tab w:val="left" w:pos="2127"/>
        </w:tabs>
        <w:overflowPunct w:val="0"/>
        <w:adjustRightInd w:val="0"/>
        <w:spacing w:line="240" w:lineRule="atLeast"/>
        <w:ind w:left="992"/>
        <w:textAlignment w:val="baseline"/>
        <w:rPr>
          <w:szCs w:val="20"/>
          <w:lang w:val="pt-PT"/>
        </w:rPr>
      </w:pPr>
      <w:r w:rsidRPr="00762086">
        <w:rPr>
          <w:lang w:val="pt-PT"/>
        </w:rPr>
        <w:t>a)</w:t>
      </w:r>
      <w:r w:rsidRPr="00762086">
        <w:rPr>
          <w:lang w:val="pt-PT"/>
        </w:rPr>
        <w:tab/>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lang w:val="pt-PT"/>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pt-PT"/>
              </w:rPr>
              <m:t>1</m:t>
            </m:r>
          </m:sub>
        </m:sSub>
        <m:r>
          <w:rPr>
            <w:rFonts w:ascii="Cambria Math" w:hAnsi="Cambria Math"/>
            <w:szCs w:val="20"/>
            <w:lang w:val="pt-PT"/>
          </w:rPr>
          <m:t xml:space="preserve"> ∙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lang w:val="pt-PT"/>
          </w:rPr>
          <m:t xml:space="preserve"> ∙ </m:t>
        </m:r>
        <m:sSub>
          <m:sSubPr>
            <m:ctrlPr>
              <w:rPr>
                <w:rFonts w:ascii="Cambria Math" w:hAnsi="Cambria Math"/>
                <w:i/>
                <w:szCs w:val="20"/>
              </w:rPr>
            </m:ctrlPr>
          </m:sSubPr>
          <m:e>
            <m:r>
              <w:rPr>
                <w:rFonts w:ascii="Cambria Math" w:hAnsi="Cambria Math"/>
                <w:szCs w:val="20"/>
              </w:rPr>
              <m:t>t</m:t>
            </m:r>
          </m:e>
          <m:sub>
            <m:r>
              <w:rPr>
                <w:rFonts w:ascii="Cambria Math" w:hAnsi="Cambria Math"/>
                <w:szCs w:val="20"/>
              </w:rPr>
              <m:t>I</m:t>
            </m:r>
          </m:sub>
        </m:sSub>
      </m:oMath>
    </w:p>
    <w:p w:rsidR="004F47BB" w:rsidRPr="00762086" w:rsidRDefault="004F47BB" w:rsidP="004F47BB">
      <w:pPr>
        <w:tabs>
          <w:tab w:val="left" w:pos="284"/>
          <w:tab w:val="left" w:pos="851"/>
          <w:tab w:val="left" w:pos="1134"/>
          <w:tab w:val="left" w:pos="3261"/>
        </w:tabs>
        <w:overflowPunct w:val="0"/>
        <w:adjustRightInd w:val="0"/>
        <w:spacing w:line="240" w:lineRule="exact"/>
        <w:ind w:left="284" w:hanging="284"/>
        <w:jc w:val="left"/>
        <w:textAlignment w:val="baseline"/>
        <w:rPr>
          <w:szCs w:val="20"/>
          <w:lang w:val="pt-PT"/>
        </w:rPr>
      </w:pPr>
    </w:p>
    <w:p w:rsidR="004F47BB" w:rsidRPr="004F47BB" w:rsidRDefault="00624017" w:rsidP="004F47BB">
      <w:pPr>
        <w:tabs>
          <w:tab w:val="left" w:pos="992"/>
          <w:tab w:val="left" w:pos="1843"/>
          <w:tab w:val="left" w:pos="2127"/>
        </w:tabs>
        <w:overflowPunct w:val="0"/>
        <w:adjustRightInd w:val="0"/>
        <w:spacing w:line="240" w:lineRule="atLeast"/>
        <w:ind w:left="992" w:firstLine="1"/>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=0,95 ∙5,1 ∙16=</m:t>
          </m:r>
          <m:r>
            <m:rPr>
              <m:sty m:val="bi"/>
            </m:rPr>
            <w:rPr>
              <w:rFonts w:ascii="Cambria Math" w:hAnsi="Cambria Math"/>
              <w:szCs w:val="20"/>
            </w:rPr>
            <m:t>77,50 m</m:t>
          </m:r>
        </m:oMath>
      </m:oMathPara>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762086" w:rsidRDefault="004F47BB" w:rsidP="004F47BB">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pl-PL"/>
        </w:rPr>
      </w:pPr>
      <w:r w:rsidRPr="00762086">
        <w:rPr>
          <w:lang w:val="pl-PL"/>
        </w:rPr>
        <w:t>b)</w:t>
      </w:r>
      <w:r w:rsidRPr="00762086">
        <w:rPr>
          <w:lang w:val="pl-PL"/>
        </w:rPr>
        <w:tab/>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lang w:val="pl-PL"/>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pl-PL"/>
              </w:rPr>
              <m:t>2</m:t>
            </m:r>
          </m:sub>
        </m:sSub>
        <m:r>
          <w:rPr>
            <w:rFonts w:ascii="Cambria Math" w:hAnsi="Cambria Math"/>
            <w:szCs w:val="20"/>
            <w:lang w:val="pl-PL"/>
          </w:rPr>
          <m:t xml:space="preserve"> ∙ </m:t>
        </m:r>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lang w:val="pl-PL"/>
                  </w:rPr>
                  <m:t>2</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lang w:val="pl-PL"/>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r>
              <w:rPr>
                <w:rFonts w:ascii="Cambria Math" w:hAnsi="Cambria Math"/>
                <w:szCs w:val="20"/>
                <w:lang w:val="pl-PL"/>
              </w:rPr>
              <m:t xml:space="preserve"> ∙ </m:t>
            </m:r>
            <m:r>
              <w:rPr>
                <w:rFonts w:ascii="Cambria Math" w:hAnsi="Cambria Math"/>
                <w:szCs w:val="20"/>
              </w:rPr>
              <m:t>g</m:t>
            </m:r>
          </m:num>
          <m:den>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pl-PL"/>
                  </w:rPr>
                  <m:t>3</m:t>
                </m:r>
              </m:sub>
            </m:sSub>
            <m:r>
              <w:rPr>
                <w:rFonts w:ascii="Cambria Math" w:hAnsi="Cambria Math"/>
                <w:szCs w:val="20"/>
                <w:lang w:val="pl-PL"/>
              </w:rPr>
              <m:t xml:space="preserve"> ∙ </m:t>
            </m:r>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r>
              <w:rPr>
                <w:rFonts w:ascii="Cambria Math" w:hAnsi="Cambria Math"/>
                <w:szCs w:val="20"/>
                <w:lang w:val="pl-PL"/>
              </w:rPr>
              <m:t xml:space="preserve">+ </m:t>
            </m:r>
            <m:sSub>
              <m:sSubPr>
                <m:ctrlPr>
                  <w:rPr>
                    <w:rFonts w:ascii="Cambria Math" w:hAnsi="Cambria Math"/>
                    <w:i/>
                    <w:szCs w:val="20"/>
                  </w:rPr>
                </m:ctrlPr>
              </m:sSubPr>
              <m:e>
                <m:r>
                  <w:rPr>
                    <w:rFonts w:ascii="Cambria Math" w:hAnsi="Cambria Math"/>
                    <w:szCs w:val="20"/>
                  </w:rPr>
                  <m:t>R</m:t>
                </m:r>
              </m:e>
              <m:sub>
                <m:sSub>
                  <m:sSubPr>
                    <m:ctrlPr>
                      <w:rPr>
                        <w:rFonts w:ascii="Cambria Math" w:hAnsi="Cambria Math"/>
                        <w:i/>
                        <w:szCs w:val="20"/>
                      </w:rPr>
                    </m:ctrlPr>
                  </m:sSubPr>
                  <m:e>
                    <m:r>
                      <w:rPr>
                        <w:rFonts w:ascii="Cambria Math" w:hAnsi="Cambria Math"/>
                        <w:szCs w:val="20"/>
                      </w:rPr>
                      <m:t>TmII</m:t>
                    </m:r>
                  </m:e>
                  <m:sub>
                    <m:r>
                      <w:rPr>
                        <w:rFonts w:ascii="Cambria Math" w:hAnsi="Cambria Math"/>
                        <w:szCs w:val="20"/>
                      </w:rPr>
                      <m:t>SOLL</m:t>
                    </m:r>
                  </m:sub>
                </m:sSub>
              </m:sub>
            </m:sSub>
            <m:r>
              <w:rPr>
                <w:rFonts w:ascii="Cambria Math" w:hAnsi="Cambria Math"/>
                <w:szCs w:val="20"/>
                <w:lang w:val="pl-PL"/>
              </w:rPr>
              <m:t xml:space="preserve">- </m:t>
            </m:r>
            <m:sSub>
              <m:sSubPr>
                <m:ctrlPr>
                  <w:rPr>
                    <w:rFonts w:ascii="Cambria Math" w:hAnsi="Cambria Math"/>
                    <w:i/>
                    <w:szCs w:val="20"/>
                  </w:rPr>
                </m:ctrlPr>
              </m:sSubPr>
              <m:e>
                <m:r>
                  <w:rPr>
                    <w:rFonts w:ascii="Cambria Math" w:hAnsi="Cambria Math"/>
                    <w:szCs w:val="20"/>
                  </w:rPr>
                  <m:t>R</m:t>
                </m:r>
              </m:e>
              <m:sub>
                <m:r>
                  <w:rPr>
                    <w:rFonts w:ascii="Cambria Math" w:hAnsi="Cambria Math"/>
                    <w:szCs w:val="20"/>
                  </w:rPr>
                  <m:t>G</m:t>
                </m:r>
              </m:sub>
            </m:sSub>
          </m:den>
        </m:f>
        <m:r>
          <w:rPr>
            <w:rFonts w:ascii="Cambria Math" w:hAnsi="Cambria Math"/>
            <w:szCs w:val="20"/>
            <w:lang w:val="pl-PL"/>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pl-PL"/>
                  </w:rPr>
                  <m:t>4</m:t>
                </m:r>
              </m:sub>
            </m:sSub>
            <m:r>
              <w:rPr>
                <w:rFonts w:ascii="Cambria Math" w:hAnsi="Cambria Math"/>
                <w:szCs w:val="20"/>
                <w:lang w:val="pl-PL"/>
              </w:rPr>
              <m:t xml:space="preserve">+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num>
              <m:den>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den>
            </m:f>
          </m:e>
        </m:d>
      </m:oMath>
    </w:p>
    <w:p w:rsidR="004F47BB" w:rsidRPr="00762086" w:rsidRDefault="004F47BB" w:rsidP="004F47BB">
      <w:pPr>
        <w:tabs>
          <w:tab w:val="left" w:pos="284"/>
        </w:tabs>
        <w:overflowPunct w:val="0"/>
        <w:adjustRightInd w:val="0"/>
        <w:spacing w:line="240" w:lineRule="exact"/>
        <w:ind w:left="284" w:hanging="284"/>
        <w:jc w:val="left"/>
        <w:textAlignment w:val="baseline"/>
        <w:rPr>
          <w:szCs w:val="20"/>
          <w:lang w:val="pl-PL"/>
        </w:rPr>
      </w:pPr>
    </w:p>
    <w:p w:rsidR="004F47BB" w:rsidRPr="00762086" w:rsidRDefault="004F47BB" w:rsidP="004F47BB">
      <w:pPr>
        <w:tabs>
          <w:tab w:val="left" w:pos="284"/>
        </w:tabs>
        <w:overflowPunct w:val="0"/>
        <w:adjustRightInd w:val="0"/>
        <w:spacing w:line="240" w:lineRule="exact"/>
        <w:ind w:left="284" w:hanging="284"/>
        <w:jc w:val="left"/>
        <w:textAlignment w:val="baseline"/>
        <w:rPr>
          <w:szCs w:val="20"/>
          <w:lang w:val="pl-PL"/>
        </w:rPr>
      </w:pPr>
    </w:p>
    <w:p w:rsidR="004F47BB" w:rsidRPr="00762086" w:rsidRDefault="004F47BB" w:rsidP="004F47BB">
      <w:pPr>
        <w:tabs>
          <w:tab w:val="left" w:pos="284"/>
        </w:tabs>
        <w:overflowPunct w:val="0"/>
        <w:adjustRightInd w:val="0"/>
        <w:spacing w:line="240" w:lineRule="exact"/>
        <w:ind w:left="284" w:hanging="284"/>
        <w:jc w:val="left"/>
        <w:textAlignment w:val="baseline"/>
        <w:rPr>
          <w:szCs w:val="20"/>
          <w:lang w:val="pl-PL"/>
        </w:rPr>
      </w:pPr>
      <w:r w:rsidRPr="00762086">
        <w:rPr>
          <w:lang w:val="pl-PL"/>
        </w:rPr>
        <w:br w:type="page"/>
      </w:r>
    </w:p>
    <w:p w:rsidR="004F47BB" w:rsidRPr="004F47BB" w:rsidRDefault="004F47BB" w:rsidP="004F47BB">
      <w:pPr>
        <w:tabs>
          <w:tab w:val="left" w:pos="992"/>
        </w:tabs>
        <w:overflowPunct w:val="0"/>
        <w:adjustRightInd w:val="0"/>
        <w:spacing w:before="60" w:line="240" w:lineRule="atLeast"/>
        <w:ind w:left="992"/>
        <w:textAlignment w:val="baseline"/>
        <w:rPr>
          <w:szCs w:val="20"/>
        </w:rPr>
      </w:pPr>
      <w:r>
        <w:lastRenderedPageBreak/>
        <w:t>c)</w:t>
      </w:r>
      <w:r>
        <w:tab/>
        <w:t xml:space="preserve">calcolo di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SOLL</m:t>
            </m:r>
          </m:sub>
        </m:sSub>
      </m:oMath>
    </w:p>
    <w:p w:rsidR="004F47BB" w:rsidRPr="004F47BB" w:rsidRDefault="004F47BB" w:rsidP="004F47BB">
      <w:pPr>
        <w:tabs>
          <w:tab w:val="left" w:pos="284"/>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3686"/>
        </w:tabs>
        <w:overflowPunct w:val="0"/>
        <w:adjustRightInd w:val="0"/>
        <w:spacing w:line="240" w:lineRule="atLeast"/>
        <w:ind w:left="993" w:hanging="1"/>
        <w:jc w:val="left"/>
        <w:textAlignment w:val="baseline"/>
        <w:rPr>
          <w:szCs w:val="20"/>
        </w:rPr>
      </w:pPr>
      <w:r>
        <w:tab/>
      </w:r>
      <m:oMath>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R</m:t>
                </m:r>
              </m:e>
              <m:sub>
                <m:r>
                  <w:rPr>
                    <w:rFonts w:ascii="Cambria Math" w:hAnsi="Cambria Math"/>
                    <w:szCs w:val="20"/>
                  </w:rPr>
                  <m:t>T</m:t>
                </m:r>
              </m:sub>
            </m:sSub>
          </m:num>
          <m:den>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den>
        </m:f>
        <m:r>
          <w:rPr>
            <w:rFonts w:ascii="Cambria Math" w:hAnsi="Cambria Math"/>
            <w:szCs w:val="20"/>
          </w:rPr>
          <m:t xml:space="preserve">=14,0 </m:t>
        </m:r>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w:r>
        <w:tab/>
        <w:t xml:space="preserve">come nel punto 4.2, perché </w:t>
      </w:r>
      <m:oMath>
        <m:r>
          <w:rPr>
            <w:rFonts w:ascii="Cambria Math" w:hAnsi="Cambria Math"/>
            <w:szCs w:val="20"/>
          </w:rPr>
          <m:t>B</m:t>
        </m:r>
      </m:oMath>
      <w:r>
        <w:t xml:space="preserve">, </w:t>
      </w:r>
      <m:oMath>
        <m:r>
          <w:rPr>
            <w:rFonts w:ascii="Cambria Math" w:hAnsi="Cambria Math"/>
            <w:szCs w:val="20"/>
          </w:rPr>
          <m:t>D</m:t>
        </m:r>
      </m:oMath>
      <w:r>
        <w:t xml:space="preserve"> e </w:t>
      </w:r>
      <m:oMath>
        <m:r>
          <w:rPr>
            <w:rFonts w:ascii="Cambria Math" w:hAnsi="Cambria Math"/>
            <w:szCs w:val="20"/>
          </w:rPr>
          <m:t>T</m:t>
        </m:r>
      </m:oMath>
      <w:r>
        <w:t xml:space="preserve"> sono invariati</w:t>
      </w:r>
    </w:p>
    <w:p w:rsidR="004F47BB" w:rsidRPr="004F47BB" w:rsidRDefault="004F47BB" w:rsidP="004F47BB">
      <w:pPr>
        <w:tabs>
          <w:tab w:val="center" w:pos="3119"/>
        </w:tabs>
        <w:overflowPunct w:val="0"/>
        <w:adjustRightInd w:val="0"/>
        <w:spacing w:line="240" w:lineRule="exact"/>
        <w:ind w:left="0" w:firstLine="0"/>
        <w:jc w:val="left"/>
        <w:textAlignment w:val="baseline"/>
        <w:rPr>
          <w:szCs w:val="20"/>
        </w:rPr>
      </w:pPr>
    </w:p>
    <w:p w:rsidR="004F47BB" w:rsidRPr="004F47BB" w:rsidRDefault="00624017" w:rsidP="004F47BB">
      <w:pPr>
        <w:overflowPunct w:val="0"/>
        <w:adjustRightInd w:val="0"/>
        <w:spacing w:line="240" w:lineRule="atLeast"/>
        <w:ind w:left="992" w:firstLine="0"/>
        <w:jc w:val="left"/>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r>
            <w:rPr>
              <w:rFonts w:ascii="Cambria Math" w:hAnsi="Cambria Math"/>
              <w:szCs w:val="20"/>
            </w:rPr>
            <m:t xml:space="preserve">=3,6 </m:t>
          </m:r>
          <m:d>
            <m:dPr>
              <m:begChr m:val="["/>
              <m:endChr m:val="]"/>
              <m:ctrlPr>
                <w:rPr>
                  <w:rFonts w:ascii="Cambria Math" w:hAnsi="Cambria Math"/>
                  <w:i/>
                  <w:szCs w:val="20"/>
                </w:rPr>
              </m:ctrlPr>
            </m:dPr>
            <m:e>
              <m:r>
                <w:rPr>
                  <w:rFonts w:ascii="Cambria Math" w:hAnsi="Cambria Math"/>
                  <w:szCs w:val="20"/>
                </w:rPr>
                <m:t>m/s</m:t>
              </m:r>
            </m:e>
          </m:d>
        </m:oMath>
      </m:oMathPara>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624017" w:rsidP="004F47BB">
      <w:pPr>
        <w:overflowPunct w:val="0"/>
        <w:adjustRightInd w:val="0"/>
        <w:spacing w:line="240" w:lineRule="atLeast"/>
        <w:ind w:left="993" w:firstLine="0"/>
        <w:jc w:val="left"/>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SOLL</m:t>
              </m:r>
            </m:sub>
          </m:sSub>
          <m:r>
            <w:rPr>
              <w:rFonts w:ascii="Cambria Math" w:hAnsi="Cambria Math"/>
              <w:noProof/>
            </w:rPr>
            <m:t xml:space="preserve">= 14,0 ∙ </m:t>
          </m:r>
          <m:sSup>
            <m:sSupPr>
              <m:ctrlPr>
                <w:rPr>
                  <w:rFonts w:ascii="Cambria Math" w:hAnsi="Cambria Math"/>
                  <w:i/>
                  <w:noProof/>
                </w:rPr>
              </m:ctrlPr>
            </m:sSupPr>
            <m:e>
              <m:d>
                <m:dPr>
                  <m:ctrlPr>
                    <w:rPr>
                      <w:rFonts w:ascii="Cambria Math" w:hAnsi="Cambria Math"/>
                      <w:i/>
                      <w:noProof/>
                    </w:rPr>
                  </m:ctrlPr>
                </m:dPr>
                <m:e>
                  <m:r>
                    <w:rPr>
                      <w:rFonts w:ascii="Cambria Math" w:hAnsi="Cambria Math"/>
                      <w:noProof/>
                    </w:rPr>
                    <m:t>0,55 ∙0,85 ∙3,6</m:t>
                  </m:r>
                </m:e>
              </m:d>
            </m:e>
            <m:sup>
              <m:r>
                <w:rPr>
                  <w:rFonts w:ascii="Cambria Math" w:hAnsi="Cambria Math"/>
                  <w:noProof/>
                </w:rPr>
                <m:t>2</m:t>
              </m:r>
            </m:sup>
          </m:sSup>
          <m:r>
            <w:rPr>
              <w:rFonts w:ascii="Cambria Math" w:hAnsi="Cambria Math"/>
              <w:noProof/>
            </w:rPr>
            <m:t>=</m:t>
          </m:r>
          <m:r>
            <m:rPr>
              <m:sty m:val="bi"/>
            </m:rPr>
            <w:rPr>
              <w:rFonts w:ascii="Cambria Math" w:hAnsi="Cambria Math"/>
              <w:noProof/>
            </w:rPr>
            <m:t xml:space="preserve">39,6 </m:t>
          </m:r>
          <m:d>
            <m:dPr>
              <m:begChr m:val="["/>
              <m:endChr m:val="]"/>
              <m:ctrlPr>
                <w:rPr>
                  <w:rFonts w:ascii="Cambria Math" w:hAnsi="Cambria Math"/>
                  <w:b/>
                  <w:i/>
                  <w:noProof/>
                </w:rPr>
              </m:ctrlPr>
            </m:dPr>
            <m:e>
              <m:r>
                <m:rPr>
                  <m:sty m:val="bi"/>
                </m:rPr>
                <w:rPr>
                  <w:rFonts w:ascii="Cambria Math" w:hAnsi="Cambria Math"/>
                  <w:noProof/>
                </w:rPr>
                <m:t>kN</m:t>
              </m:r>
            </m:e>
          </m:d>
        </m:oMath>
      </m:oMathPara>
    </w:p>
    <w:p w:rsidR="004F47BB" w:rsidRPr="004F47BB" w:rsidRDefault="004F47BB" w:rsidP="004F47BB">
      <w:pPr>
        <w:tabs>
          <w:tab w:val="left" w:pos="454"/>
          <w:tab w:val="left" w:pos="1418"/>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992"/>
        </w:tabs>
        <w:overflowPunct w:val="0"/>
        <w:adjustRightInd w:val="0"/>
        <w:spacing w:before="60" w:line="240" w:lineRule="atLeast"/>
        <w:ind w:left="992"/>
        <w:textAlignment w:val="baseline"/>
        <w:rPr>
          <w:szCs w:val="20"/>
        </w:rPr>
      </w:pPr>
      <w:r>
        <w:t>d)</w:t>
      </w:r>
      <w:r>
        <w:tab/>
        <w:t xml:space="preserve">resistenza dovuta al gradiente </w:t>
      </w:r>
      <m:oMath>
        <m:sSub>
          <m:sSubPr>
            <m:ctrlPr>
              <w:rPr>
                <w:rFonts w:ascii="Cambria Math" w:hAnsi="Cambria Math"/>
                <w:i/>
                <w:noProof/>
              </w:rPr>
            </m:ctrlPr>
          </m:sSubPr>
          <m:e>
            <m:r>
              <w:rPr>
                <w:rFonts w:ascii="Cambria Math" w:hAnsi="Cambria Math"/>
                <w:noProof/>
              </w:rPr>
              <m:t>R</m:t>
            </m:r>
          </m:e>
          <m:sub>
            <m:r>
              <w:rPr>
                <w:rFonts w:ascii="Cambria Math" w:hAnsi="Cambria Math"/>
                <w:noProof/>
              </w:rPr>
              <m:t>G</m:t>
            </m:r>
          </m:sub>
        </m:sSub>
      </m:oMath>
      <w:r>
        <w:t xml:space="preserve"> come nel punto 4.2</w:t>
      </w:r>
    </w:p>
    <w:p w:rsidR="004F47BB" w:rsidRPr="004F47BB" w:rsidRDefault="004F47BB" w:rsidP="004F47BB">
      <w:pPr>
        <w:tabs>
          <w:tab w:val="left" w:pos="284"/>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992"/>
        </w:tabs>
        <w:overflowPunct w:val="0"/>
        <w:adjustRightInd w:val="0"/>
        <w:spacing w:before="60" w:line="240" w:lineRule="atLeast"/>
        <w:ind w:left="992"/>
        <w:textAlignment w:val="baseline"/>
        <w:rPr>
          <w:szCs w:val="20"/>
        </w:rPr>
      </w:pPr>
      <w:r>
        <w:t>e)</w:t>
      </w:r>
      <w:r>
        <w:tab/>
        <w:t xml:space="preserve">calcolo di </w:t>
      </w: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oMath>
    </w:p>
    <w:p w:rsidR="004F47BB" w:rsidRPr="004F47BB" w:rsidRDefault="004F47BB" w:rsidP="004F47BB">
      <w:pPr>
        <w:tabs>
          <w:tab w:val="left" w:pos="284"/>
        </w:tabs>
        <w:overflowPunct w:val="0"/>
        <w:adjustRightInd w:val="0"/>
        <w:spacing w:line="240" w:lineRule="exact"/>
        <w:ind w:left="284" w:hanging="284"/>
        <w:jc w:val="left"/>
        <w:textAlignment w:val="baseline"/>
        <w:rPr>
          <w:szCs w:val="20"/>
        </w:rPr>
      </w:pPr>
    </w:p>
    <w:p w:rsidR="004F47BB" w:rsidRPr="004F47BB" w:rsidRDefault="00624017" w:rsidP="004F47BB">
      <w:pPr>
        <w:tabs>
          <w:tab w:val="left" w:pos="993"/>
        </w:tabs>
        <w:overflowPunct w:val="0"/>
        <w:adjustRightInd w:val="0"/>
        <w:spacing w:line="240" w:lineRule="atLeast"/>
        <w:ind w:left="993" w:firstLine="0"/>
        <w:jc w:val="left"/>
        <w:textAlignment w:val="baseline"/>
        <w:rPr>
          <w:szCs w:val="20"/>
        </w:rPr>
      </w:p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 0,85 ∙3,6=</m:t>
        </m:r>
        <m:r>
          <m:rPr>
            <m:sty m:val="bi"/>
          </m:rPr>
          <w:rPr>
            <w:rFonts w:ascii="Cambria Math" w:hAnsi="Cambria Math"/>
            <w:szCs w:val="20"/>
          </w:rPr>
          <m:t>3,06</m:t>
        </m:r>
        <m:r>
          <w:rPr>
            <w:rFonts w:ascii="Cambria Math" w:hAnsi="Cambria Math"/>
            <w:szCs w:val="20"/>
          </w:rPr>
          <m:t xml:space="preserve"> </m:t>
        </m:r>
        <m:d>
          <m:dPr>
            <m:begChr m:val="["/>
            <m:endChr m:val="]"/>
            <m:ctrlPr>
              <w:rPr>
                <w:rFonts w:ascii="Cambria Math" w:hAnsi="Cambria Math"/>
                <w:i/>
                <w:szCs w:val="20"/>
              </w:rPr>
            </m:ctrlPr>
          </m:dPr>
          <m:e>
            <m:r>
              <w:rPr>
                <w:rFonts w:ascii="Cambria Math" w:hAnsi="Cambria Math"/>
                <w:szCs w:val="20"/>
              </w:rPr>
              <m:t>m/s</m:t>
            </m:r>
          </m:e>
        </m:d>
      </m:oMath>
      <w:r w:rsidR="00801F1F">
        <w:t xml:space="preserve">, </w:t>
      </w:r>
      <m:oMath>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 xml:space="preserve">=9,36 </m:t>
        </m:r>
        <m:sSup>
          <m:sSupPr>
            <m:ctrlPr>
              <w:rPr>
                <w:rFonts w:ascii="Cambria Math" w:hAnsi="Cambria Math"/>
                <w:i/>
                <w:szCs w:val="20"/>
              </w:rPr>
            </m:ctrlPr>
          </m:sSupPr>
          <m:e>
            <m:d>
              <m:dPr>
                <m:begChr m:val="["/>
                <m:endChr m:val="]"/>
                <m:ctrlPr>
                  <w:rPr>
                    <w:rFonts w:ascii="Cambria Math" w:hAnsi="Cambria Math"/>
                    <w:i/>
                    <w:szCs w:val="20"/>
                  </w:rPr>
                </m:ctrlPr>
              </m:dPr>
              <m:e>
                <m:r>
                  <w:rPr>
                    <w:rFonts w:ascii="Cambria Math" w:hAnsi="Cambria Math"/>
                    <w:szCs w:val="20"/>
                  </w:rPr>
                  <m:t>m/s</m:t>
                </m:r>
              </m:e>
            </m:d>
          </m:e>
          <m:sup>
            <m:r>
              <w:rPr>
                <w:rFonts w:ascii="Cambria Math" w:hAnsi="Cambria Math"/>
                <w:szCs w:val="20"/>
              </w:rPr>
              <m:t>2</m:t>
            </m:r>
          </m:sup>
        </m:sSup>
      </m:oMath>
    </w:p>
    <w:p w:rsidR="004F47BB" w:rsidRPr="004F47BB" w:rsidRDefault="004F47BB" w:rsidP="004F47BB">
      <w:pPr>
        <w:tabs>
          <w:tab w:val="left" w:pos="0"/>
        </w:tabs>
        <w:overflowPunct w:val="0"/>
        <w:adjustRightInd w:val="0"/>
        <w:spacing w:line="240" w:lineRule="atLeast"/>
        <w:ind w:left="454" w:hanging="454"/>
        <w:jc w:val="left"/>
        <w:textAlignment w:val="baseline"/>
        <w:rPr>
          <w:szCs w:val="20"/>
        </w:rPr>
      </w:pPr>
    </w:p>
    <w:p w:rsidR="004F47BB" w:rsidRPr="004F47BB" w:rsidRDefault="004F47BB" w:rsidP="004F47BB">
      <w:pPr>
        <w:tabs>
          <w:tab w:val="left" w:pos="992"/>
        </w:tabs>
        <w:overflowPunct w:val="0"/>
        <w:adjustRightInd w:val="0"/>
        <w:spacing w:before="60" w:line="240" w:lineRule="atLeast"/>
        <w:ind w:left="992"/>
        <w:textAlignment w:val="baseline"/>
        <w:rPr>
          <w:szCs w:val="20"/>
        </w:rPr>
      </w:pPr>
      <w:r>
        <w:t>f)</w:t>
      </w:r>
      <w:r>
        <w:tab/>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oMath>
      <w:r w:rsidR="00A16690">
        <w:rPr>
          <w:position w:val="-6"/>
          <w:sz w:val="16"/>
        </w:rPr>
        <w:t xml:space="preserve"> </w:t>
      </w:r>
      <w:r>
        <w:t>come nel punto 4.2</w:t>
      </w:r>
    </w:p>
    <w:p w:rsidR="004F47BB" w:rsidRPr="004F47BB" w:rsidRDefault="004F47BB" w:rsidP="004F47BB">
      <w:pPr>
        <w:tabs>
          <w:tab w:val="left" w:pos="284"/>
        </w:tabs>
        <w:overflowPunct w:val="0"/>
        <w:adjustRightInd w:val="0"/>
        <w:spacing w:line="240" w:lineRule="exact"/>
        <w:ind w:left="284" w:hanging="284"/>
        <w:jc w:val="left"/>
        <w:textAlignment w:val="baseline"/>
        <w:rPr>
          <w:szCs w:val="20"/>
        </w:rPr>
      </w:pPr>
    </w:p>
    <w:p w:rsidR="004F47BB" w:rsidRPr="004F47BB" w:rsidRDefault="004F47BB" w:rsidP="004F47BB">
      <w:pPr>
        <w:tabs>
          <w:tab w:val="left" w:pos="992"/>
        </w:tabs>
        <w:overflowPunct w:val="0"/>
        <w:adjustRightInd w:val="0"/>
        <w:spacing w:before="60" w:line="240" w:lineRule="atLeast"/>
        <w:ind w:left="992"/>
        <w:textAlignment w:val="baseline"/>
        <w:rPr>
          <w:szCs w:val="20"/>
        </w:rPr>
      </w:pPr>
      <w:r>
        <w:t>g)</w:t>
      </w:r>
      <w:r>
        <w:tab/>
        <w:t xml:space="preserve">calcolo di </w:t>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oMath>
      <w:r>
        <w:t xml:space="preserve"> usando la formula b) e i risultati da c) a f)</w:t>
      </w:r>
    </w:p>
    <w:p w:rsidR="004F47BB" w:rsidRPr="004F47BB" w:rsidRDefault="004F47BB" w:rsidP="004F47BB">
      <w:pPr>
        <w:tabs>
          <w:tab w:val="left" w:pos="284"/>
        </w:tabs>
        <w:overflowPunct w:val="0"/>
        <w:adjustRightInd w:val="0"/>
        <w:spacing w:line="240" w:lineRule="exact"/>
        <w:ind w:left="284" w:hanging="284"/>
        <w:jc w:val="left"/>
        <w:textAlignment w:val="baseline"/>
        <w:rPr>
          <w:szCs w:val="20"/>
        </w:rPr>
      </w:pPr>
    </w:p>
    <w:p w:rsidR="004F47BB" w:rsidRPr="004F47BB" w:rsidRDefault="00624017" w:rsidP="004F47BB">
      <w:pPr>
        <w:overflowPunct w:val="0"/>
        <w:adjustRightInd w:val="0"/>
        <w:spacing w:line="240" w:lineRule="atLeast"/>
        <w:ind w:left="992" w:firstLine="0"/>
        <w:jc w:val="left"/>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 xml:space="preserve">= </m:t>
          </m:r>
          <m:f>
            <m:fPr>
              <m:ctrlPr>
                <w:rPr>
                  <w:rFonts w:ascii="Cambria Math" w:hAnsi="Cambria Math"/>
                  <w:i/>
                  <w:szCs w:val="20"/>
                </w:rPr>
              </m:ctrlPr>
            </m:fPr>
            <m:num>
              <m:r>
                <w:rPr>
                  <w:rFonts w:ascii="Cambria Math" w:hAnsi="Cambria Math"/>
                  <w:szCs w:val="20"/>
                </w:rPr>
                <m:t xml:space="preserve">0,12 ∙9,36 ∙9,81 ∙ </m:t>
              </m:r>
              <m:d>
                <m:dPr>
                  <m:ctrlPr>
                    <w:rPr>
                      <w:rFonts w:ascii="Cambria Math" w:hAnsi="Cambria Math"/>
                      <w:i/>
                      <w:szCs w:val="20"/>
                    </w:rPr>
                  </m:ctrlPr>
                </m:dPr>
                <m:e>
                  <m:r>
                    <w:rPr>
                      <w:rFonts w:ascii="Cambria Math" w:hAnsi="Cambria Math"/>
                      <w:szCs w:val="20"/>
                    </w:rPr>
                    <m:t xml:space="preserve">0,48+ </m:t>
                  </m:r>
                  <m:f>
                    <m:fPr>
                      <m:ctrlPr>
                        <w:rPr>
                          <w:rFonts w:ascii="Cambria Math" w:hAnsi="Cambria Math"/>
                          <w:i/>
                          <w:szCs w:val="20"/>
                        </w:rPr>
                      </m:ctrlPr>
                    </m:fPr>
                    <m:num>
                      <m:r>
                        <w:rPr>
                          <w:rFonts w:ascii="Cambria Math" w:hAnsi="Cambria Math"/>
                          <w:szCs w:val="20"/>
                        </w:rPr>
                        <m:t>1,5</m:t>
                      </m:r>
                    </m:num>
                    <m:den>
                      <m:r>
                        <w:rPr>
                          <w:rFonts w:ascii="Cambria Math" w:hAnsi="Cambria Math"/>
                          <w:szCs w:val="20"/>
                        </w:rPr>
                        <m:t>3,06</m:t>
                      </m:r>
                    </m:den>
                  </m:f>
                </m:e>
              </m:d>
            </m:num>
            <m:den>
              <m:r>
                <w:rPr>
                  <w:rFonts w:ascii="Cambria Math" w:hAnsi="Cambria Math"/>
                  <w:szCs w:val="20"/>
                </w:rPr>
                <m:t>1,15 ∙177+39,6-15,02</m:t>
              </m:r>
            </m:den>
          </m:f>
          <m:r>
            <w:rPr>
              <w:rFonts w:ascii="Cambria Math" w:hAnsi="Cambria Math"/>
              <w:szCs w:val="20"/>
            </w:rPr>
            <m:t xml:space="preserve"> ∙9568</m:t>
          </m:r>
        </m:oMath>
      </m:oMathPara>
    </w:p>
    <w:p w:rsidR="004F47BB" w:rsidRPr="004F47BB" w:rsidRDefault="004F47BB" w:rsidP="004F47BB">
      <w:pPr>
        <w:tabs>
          <w:tab w:val="left" w:pos="993"/>
          <w:tab w:val="left" w:pos="1701"/>
          <w:tab w:val="left" w:pos="2127"/>
        </w:tabs>
        <w:overflowPunct w:val="0"/>
        <w:adjustRightInd w:val="0"/>
        <w:spacing w:line="240" w:lineRule="exact"/>
        <w:ind w:left="993" w:firstLine="0"/>
        <w:jc w:val="left"/>
        <w:textAlignment w:val="baseline"/>
        <w:rPr>
          <w:szCs w:val="20"/>
        </w:rPr>
      </w:pPr>
      <w:r>
        <w:rPr>
          <w:noProof/>
          <w:szCs w:val="20"/>
          <w:lang w:val="en-GB" w:eastAsia="en-GB" w:bidi="ar-SA"/>
        </w:rPr>
        <mc:AlternateContent>
          <mc:Choice Requires="wps">
            <w:drawing>
              <wp:anchor distT="0" distB="0" distL="114300" distR="114300" simplePos="0" relativeHeight="251687936" behindDoc="0" locked="0" layoutInCell="1" allowOverlap="1" wp14:anchorId="7822D8C3" wp14:editId="6BE2A247">
                <wp:simplePos x="0" y="0"/>
                <wp:positionH relativeFrom="column">
                  <wp:posOffset>958850</wp:posOffset>
                </wp:positionH>
                <wp:positionV relativeFrom="paragraph">
                  <wp:posOffset>124460</wp:posOffset>
                </wp:positionV>
                <wp:extent cx="90805" cy="457200"/>
                <wp:effectExtent l="7303" t="0" r="11747" b="11748"/>
                <wp:wrapNone/>
                <wp:docPr id="293" name="AutoShape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90805" cy="457200"/>
                        </a:xfrm>
                        <a:prstGeom prst="rightBrace">
                          <a:avLst>
                            <a:gd name="adj1" fmla="val 4195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xmlns:o="urn:schemas-microsoft-com:office:office" xmlns:v="urn:schemas-microsoft-com:vml" id="AutoShape 140" style="position:absolute;margin-left:75.5pt;margin-top:9.8pt;width:7.15pt;height:36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"/>
            </w:pict>
          </mc:Fallback>
        </mc:AlternateContent>
      </w:r>
    </w:p>
    <w:p w:rsidR="004F47BB" w:rsidRPr="004F47BB" w:rsidRDefault="004F47BB" w:rsidP="004F47BB">
      <w:pPr>
        <w:overflowPunct w:val="0"/>
        <w:adjustRightInd w:val="0"/>
        <w:spacing w:line="240" w:lineRule="exact"/>
        <w:ind w:left="993" w:firstLine="0"/>
        <w:jc w:val="left"/>
        <w:textAlignment w:val="baseline"/>
        <w:rPr>
          <w:szCs w:val="20"/>
        </w:rPr>
      </w:pPr>
      <m:oMathPara>
        <m:oMathParaPr>
          <m:jc m:val="left"/>
        </m:oMathParaPr>
        <m:oMath>
          <m:r>
            <w:rPr>
              <w:rFonts w:ascii="Cambria Math" w:hAnsi="Cambria Math"/>
              <w:szCs w:val="20"/>
            </w:rPr>
            <m:t>=0,04684 ∙9568=</m:t>
          </m:r>
          <m:r>
            <m:rPr>
              <m:sty m:val="bi"/>
            </m:rPr>
            <w:rPr>
              <w:rFonts w:ascii="Cambria Math" w:hAnsi="Cambria Math"/>
              <w:szCs w:val="20"/>
            </w:rPr>
            <m:t>448 m</m:t>
          </m:r>
        </m:oMath>
      </m:oMathPara>
    </w:p>
    <w:p w:rsidR="004F47BB" w:rsidRPr="004F47BB" w:rsidRDefault="004F47BB" w:rsidP="004F47BB">
      <w:pPr>
        <w:tabs>
          <w:tab w:val="left" w:pos="993"/>
          <w:tab w:val="left" w:pos="1701"/>
          <w:tab w:val="left" w:pos="2127"/>
        </w:tabs>
        <w:overflowPunct w:val="0"/>
        <w:adjustRightInd w:val="0"/>
        <w:spacing w:line="240" w:lineRule="exact"/>
        <w:ind w:left="993" w:firstLine="0"/>
        <w:jc w:val="left"/>
        <w:textAlignment w:val="baseline"/>
        <w:rPr>
          <w:szCs w:val="20"/>
        </w:rPr>
      </w:pPr>
    </w:p>
    <w:p w:rsidR="004F47BB" w:rsidRPr="004F47BB" w:rsidRDefault="00624017" w:rsidP="004F47BB">
      <w:pPr>
        <w:overflowPunct w:val="0"/>
        <w:adjustRightInd w:val="0"/>
        <w:spacing w:line="240" w:lineRule="atLeast"/>
        <w:ind w:left="993" w:hanging="1"/>
        <w:jc w:val="left"/>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Const</m:t>
              </m:r>
            </m:e>
            <m:sub>
              <m:r>
                <w:rPr>
                  <w:rFonts w:ascii="Cambria Math" w:hAnsi="Cambria Math"/>
                  <w:szCs w:val="20"/>
                </w:rPr>
                <m:t>SOLL</m:t>
              </m:r>
            </m:sub>
          </m:sSub>
        </m:oMath>
      </m:oMathPara>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992"/>
        </w:tabs>
        <w:overflowPunct w:val="0"/>
        <w:adjustRightInd w:val="0"/>
        <w:spacing w:line="240" w:lineRule="atLeast"/>
        <w:ind w:left="992"/>
        <w:textAlignment w:val="baseline"/>
        <w:rPr>
          <w:szCs w:val="20"/>
        </w:rPr>
      </w:pPr>
      <w:r>
        <w:t>h)</w:t>
      </w:r>
      <w:r>
        <w:tab/>
        <w:t>calcolo della distanza totale</w:t>
      </w:r>
    </w:p>
    <w:p w:rsidR="004F47BB" w:rsidRPr="004F47BB" w:rsidRDefault="004F47BB" w:rsidP="004F47BB">
      <w:pPr>
        <w:tabs>
          <w:tab w:val="left" w:pos="284"/>
        </w:tabs>
        <w:overflowPunct w:val="0"/>
        <w:adjustRightInd w:val="0"/>
        <w:spacing w:line="240" w:lineRule="exact"/>
        <w:ind w:left="284" w:hanging="284"/>
        <w:jc w:val="left"/>
        <w:textAlignment w:val="baseline"/>
        <w:rPr>
          <w:szCs w:val="20"/>
        </w:rPr>
      </w:pPr>
    </w:p>
    <w:p w:rsidR="004F47BB" w:rsidRPr="004F47BB" w:rsidRDefault="00624017" w:rsidP="004F47BB">
      <w:pPr>
        <w:tabs>
          <w:tab w:val="left" w:pos="992"/>
        </w:tabs>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b/>
                  <w:i/>
                  <w:szCs w:val="20"/>
                </w:rPr>
              </m:ctrlPr>
            </m:sSubPr>
            <m:e>
              <m:r>
                <m:rPr>
                  <m:sty m:val="bi"/>
                </m:rPr>
                <w:rPr>
                  <w:rFonts w:ascii="Cambria Math" w:hAnsi="Cambria Math"/>
                  <w:szCs w:val="20"/>
                </w:rPr>
                <m:t>s</m:t>
              </m:r>
            </m:e>
            <m:sub>
              <m:r>
                <m:rPr>
                  <m:sty m:val="bi"/>
                </m:rPr>
                <w:rPr>
                  <w:rFonts w:ascii="Cambria Math" w:hAnsi="Cambria Math"/>
                  <w:szCs w:val="20"/>
                </w:rPr>
                <m:t>SOLL</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=77,5+448=</m:t>
          </m:r>
          <m:r>
            <m:rPr>
              <m:sty m:val="bi"/>
            </m:rPr>
            <w:rPr>
              <w:rFonts w:ascii="Cambria Math" w:hAnsi="Cambria Math"/>
              <w:szCs w:val="20"/>
            </w:rPr>
            <m:t>525,5 m</m:t>
          </m:r>
        </m:oMath>
      </m:oMathPara>
    </w:p>
    <w:p w:rsidR="004F47BB" w:rsidRPr="004F47BB" w:rsidRDefault="004F47BB" w:rsidP="004F47BB">
      <w:pPr>
        <w:tabs>
          <w:tab w:val="left" w:pos="454"/>
        </w:tabs>
        <w:overflowPunct w:val="0"/>
        <w:adjustRightInd w:val="0"/>
        <w:spacing w:line="240" w:lineRule="atLeast"/>
        <w:ind w:left="454" w:hanging="454"/>
        <w:jc w:val="left"/>
        <w:textAlignment w:val="baseline"/>
        <w:rPr>
          <w:position w:val="6"/>
          <w:szCs w:val="20"/>
        </w:rPr>
      </w:pPr>
    </w:p>
    <w:p w:rsidR="004F47BB" w:rsidRPr="004F47BB" w:rsidRDefault="004F47BB" w:rsidP="004F47BB">
      <w:pPr>
        <w:tabs>
          <w:tab w:val="left" w:pos="567"/>
        </w:tabs>
        <w:overflowPunct w:val="0"/>
        <w:adjustRightInd w:val="0"/>
        <w:spacing w:line="240" w:lineRule="atLeast"/>
        <w:ind w:left="567" w:hanging="567"/>
        <w:textAlignment w:val="baseline"/>
        <w:rPr>
          <w:b/>
          <w:bCs/>
          <w:position w:val="6"/>
          <w:szCs w:val="20"/>
        </w:rPr>
      </w:pPr>
      <w:r>
        <w:rPr>
          <w:b/>
        </w:rPr>
        <w:t>4.4</w:t>
      </w:r>
      <w:r>
        <w:tab/>
      </w:r>
      <w:r>
        <w:rPr>
          <w:b/>
        </w:rPr>
        <w:t>Verifica del rispetto della distanza di arresto consentita in condizioni normali</w:t>
      </w:r>
      <w:r>
        <w:rPr>
          <w:b/>
          <w:u w:val="single"/>
        </w:rPr>
        <w:t xml:space="preserve"> </w:t>
      </w:r>
      <m:oMath>
        <m:sSub>
          <m:sSubPr>
            <m:ctrlPr>
              <w:rPr>
                <w:rFonts w:ascii="Cambria Math" w:hAnsi="Cambria Math" w:cs="Arial"/>
                <w:b/>
                <w:i/>
                <w:color w:val="000000"/>
                <w:szCs w:val="20"/>
              </w:rPr>
            </m:ctrlPr>
          </m:sSubPr>
          <m:e>
            <m:r>
              <m:rPr>
                <m:sty m:val="bi"/>
              </m:rPr>
              <w:rPr>
                <w:rFonts w:ascii="Cambria Math" w:hAnsi="Cambria Math" w:cs="Arial"/>
                <w:color w:val="000000"/>
                <w:szCs w:val="20"/>
              </w:rPr>
              <m:t>s</m:t>
            </m:r>
          </m:e>
          <m:sub>
            <m:r>
              <m:rPr>
                <m:sty m:val="bi"/>
              </m:rPr>
              <w:rPr>
                <w:rFonts w:ascii="Cambria Math" w:hAnsi="Cambria Math" w:cs="Arial"/>
                <w:color w:val="000000"/>
                <w:szCs w:val="20"/>
              </w:rPr>
              <m:t>NORM</m:t>
            </m:r>
          </m:sub>
        </m:sSub>
      </m:oMath>
    </w:p>
    <w:p w:rsidR="004F47BB" w:rsidRPr="004F47BB" w:rsidRDefault="004F47BB" w:rsidP="004F47BB">
      <w:pPr>
        <w:tabs>
          <w:tab w:val="left" w:pos="454"/>
        </w:tabs>
        <w:overflowPunct w:val="0"/>
        <w:adjustRightInd w:val="0"/>
        <w:spacing w:line="240" w:lineRule="exact"/>
        <w:ind w:left="454" w:hanging="454"/>
        <w:jc w:val="left"/>
        <w:textAlignment w:val="baseline"/>
        <w:rPr>
          <w:b/>
          <w:szCs w:val="20"/>
        </w:rPr>
      </w:pPr>
    </w:p>
    <w:p w:rsidR="004F47BB" w:rsidRPr="004F47BB" w:rsidRDefault="004F47BB" w:rsidP="004F47BB">
      <w:pPr>
        <w:overflowPunct w:val="0"/>
        <w:adjustRightInd w:val="0"/>
        <w:spacing w:line="240" w:lineRule="exact"/>
        <w:ind w:left="567" w:firstLine="0"/>
        <w:jc w:val="left"/>
        <w:textAlignment w:val="baseline"/>
        <w:rPr>
          <w:szCs w:val="20"/>
        </w:rPr>
      </w:pPr>
      <w:r>
        <w:t>secondo la formula 2.1 dell'allegato 2</w:t>
      </w: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624017" w:rsidP="004F47BB">
      <w:pPr>
        <w:overflowPunct w:val="0"/>
        <w:adjustRightInd w:val="0"/>
        <w:spacing w:line="240" w:lineRule="atLeast"/>
        <w:ind w:left="567" w:firstLine="0"/>
        <w:jc w:val="left"/>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rPr>
            <m:t xml:space="preserve">=580 ∙ </m:t>
          </m:r>
          <m:f>
            <m:fPr>
              <m:ctrlPr>
                <w:rPr>
                  <w:rFonts w:ascii="Cambria Math" w:hAnsi="Cambria Math"/>
                  <w:i/>
                  <w:szCs w:val="20"/>
                </w:rPr>
              </m:ctrlPr>
            </m:fPr>
            <m:num>
              <m:r>
                <w:rPr>
                  <w:rFonts w:ascii="Cambria Math" w:hAnsi="Cambria Math"/>
                  <w:szCs w:val="20"/>
                </w:rPr>
                <m:t>525,5</m:t>
              </m:r>
            </m:num>
            <m:den>
              <m:r>
                <w:rPr>
                  <w:rFonts w:ascii="Cambria Math" w:hAnsi="Cambria Math"/>
                  <w:szCs w:val="20"/>
                </w:rPr>
                <m:t>475</m:t>
              </m:r>
            </m:den>
          </m:f>
          <m:r>
            <w:rPr>
              <w:rFonts w:ascii="Cambria Math" w:hAnsi="Cambria Math"/>
              <w:szCs w:val="20"/>
            </w:rPr>
            <m:t>=</m:t>
          </m:r>
          <m:r>
            <m:rPr>
              <m:sty m:val="bi"/>
            </m:rPr>
            <w:rPr>
              <w:rFonts w:ascii="Cambria Math" w:hAnsi="Cambria Math"/>
              <w:szCs w:val="20"/>
            </w:rPr>
            <m:t>641 m &gt;550 m</m:t>
          </m:r>
        </m:oMath>
      </m:oMathPara>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r>
        <w:br w:type="page"/>
      </w:r>
    </w:p>
    <w:p w:rsidR="004F47BB" w:rsidRPr="004F47BB" w:rsidRDefault="004F47BB" w:rsidP="004F47BB">
      <w:pPr>
        <w:overflowPunct w:val="0"/>
        <w:adjustRightInd w:val="0"/>
        <w:spacing w:line="240" w:lineRule="exact"/>
        <w:ind w:left="567" w:firstLine="0"/>
        <w:textAlignment w:val="baseline"/>
        <w:rPr>
          <w:szCs w:val="20"/>
        </w:rPr>
      </w:pPr>
      <w:r>
        <w:rPr>
          <w:b/>
        </w:rPr>
        <w:lastRenderedPageBreak/>
        <w:t>Conclusione</w:t>
      </w:r>
      <w:r>
        <w:t>:</w:t>
      </w: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overflowPunct w:val="0"/>
        <w:adjustRightInd w:val="0"/>
        <w:spacing w:line="240" w:lineRule="exact"/>
        <w:ind w:left="567" w:firstLine="0"/>
        <w:textAlignment w:val="baseline"/>
        <w:rPr>
          <w:szCs w:val="20"/>
        </w:rPr>
      </w:pPr>
      <w:r>
        <w:t>il valore limite è stato chiaramente superato; è dunque possibile l'ammissione alla navigazione a valle unicamente con una limitazione di carico. Tale limitazione di carico può essere stabilita conformemente al punto 5 di seguito.</w:t>
      </w:r>
    </w:p>
    <w:p w:rsidR="004F47BB" w:rsidRPr="004F47BB" w:rsidRDefault="004F47BB" w:rsidP="004F47BB">
      <w:pPr>
        <w:tabs>
          <w:tab w:val="left" w:pos="454"/>
        </w:tabs>
        <w:overflowPunct w:val="0"/>
        <w:adjustRightInd w:val="0"/>
        <w:spacing w:line="240" w:lineRule="exact"/>
        <w:ind w:left="454" w:hanging="454"/>
        <w:jc w:val="left"/>
        <w:textAlignment w:val="baseline"/>
        <w:rPr>
          <w:szCs w:val="20"/>
        </w:rPr>
      </w:pPr>
    </w:p>
    <w:p w:rsidR="004F47BB" w:rsidRPr="004F47BB" w:rsidRDefault="004F47BB" w:rsidP="004F47BB">
      <w:pPr>
        <w:tabs>
          <w:tab w:val="left" w:pos="567"/>
        </w:tabs>
        <w:overflowPunct w:val="0"/>
        <w:adjustRightInd w:val="0"/>
        <w:spacing w:line="240" w:lineRule="exact"/>
        <w:ind w:left="567" w:hanging="567"/>
        <w:jc w:val="left"/>
        <w:textAlignment w:val="baseline"/>
        <w:rPr>
          <w:b/>
          <w:szCs w:val="20"/>
        </w:rPr>
      </w:pPr>
      <w:r>
        <w:rPr>
          <w:b/>
        </w:rPr>
        <w:t>5.</w:t>
      </w:r>
      <w:r>
        <w:tab/>
      </w:r>
      <m:oMath>
        <m:sSup>
          <m:sSupPr>
            <m:ctrlPr>
              <w:rPr>
                <w:rFonts w:ascii="Cambria Math" w:hAnsi="Cambria Math"/>
                <w:b/>
                <w:i/>
                <w:szCs w:val="20"/>
              </w:rPr>
            </m:ctrlPr>
          </m:sSupPr>
          <m:e>
            <m:r>
              <m:rPr>
                <m:sty m:val="bi"/>
              </m:rPr>
              <w:rPr>
                <w:rFonts w:ascii="Cambria Math" w:hAnsi="Cambria Math"/>
                <w:szCs w:val="20"/>
              </w:rPr>
              <m:t>D</m:t>
            </m:r>
          </m:e>
          <m:sup>
            <m:r>
              <m:rPr>
                <m:sty m:val="bi"/>
              </m:rPr>
              <w:rPr>
                <w:rFonts w:ascii="Cambria Math" w:hAnsi="Cambria Math"/>
                <w:szCs w:val="20"/>
              </w:rPr>
              <m:t>*</m:t>
            </m:r>
          </m:sup>
        </m:sSup>
      </m:oMath>
      <w:r>
        <w:rPr>
          <w:b/>
        </w:rPr>
        <w:t xml:space="preserve"> ammissibile in navigazione a valle </w:t>
      </w:r>
    </w:p>
    <w:p w:rsidR="004F47BB" w:rsidRPr="004F47BB" w:rsidRDefault="004F47BB" w:rsidP="004F47BB">
      <w:pPr>
        <w:tabs>
          <w:tab w:val="left" w:pos="284"/>
        </w:tabs>
        <w:overflowPunct w:val="0"/>
        <w:adjustRightInd w:val="0"/>
        <w:spacing w:line="240" w:lineRule="exact"/>
        <w:ind w:left="454" w:hanging="454"/>
        <w:jc w:val="left"/>
        <w:textAlignment w:val="baseline"/>
        <w:rPr>
          <w:szCs w:val="20"/>
        </w:rPr>
      </w:pPr>
    </w:p>
    <w:p w:rsidR="004F47BB" w:rsidRPr="004F47BB" w:rsidRDefault="004F47BB" w:rsidP="004F47BB">
      <w:pPr>
        <w:overflowPunct w:val="0"/>
        <w:adjustRightInd w:val="0"/>
        <w:spacing w:line="240" w:lineRule="exact"/>
        <w:ind w:left="567" w:firstLine="0"/>
        <w:jc w:val="left"/>
        <w:textAlignment w:val="baseline"/>
        <w:rPr>
          <w:szCs w:val="20"/>
        </w:rPr>
      </w:pPr>
      <w:r>
        <w:t>secondo la formula 2.1 dell'allegato 2</w:t>
      </w:r>
    </w:p>
    <w:p w:rsidR="004F47BB" w:rsidRPr="004F47BB" w:rsidRDefault="004F47BB" w:rsidP="004F47BB">
      <w:pPr>
        <w:tabs>
          <w:tab w:val="left" w:pos="284"/>
        </w:tabs>
        <w:overflowPunct w:val="0"/>
        <w:adjustRightInd w:val="0"/>
        <w:spacing w:line="240" w:lineRule="exact"/>
        <w:ind w:left="454" w:hanging="454"/>
        <w:jc w:val="left"/>
        <w:textAlignment w:val="baseline"/>
        <w:rPr>
          <w:szCs w:val="20"/>
        </w:rPr>
      </w:pPr>
    </w:p>
    <w:p w:rsidR="004F47BB" w:rsidRPr="004F47BB" w:rsidRDefault="00624017" w:rsidP="004F47BB">
      <w:pPr>
        <w:overflowPunct w:val="0"/>
        <w:adjustRightInd w:val="0"/>
        <w:spacing w:line="240" w:lineRule="atLeast"/>
        <w:ind w:left="567" w:firstLine="0"/>
        <w:jc w:val="left"/>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s</m:t>
                      </m:r>
                    </m:e>
                    <m:sup>
                      <m:r>
                        <w:rPr>
                          <w:rFonts w:ascii="Cambria Math" w:hAnsi="Cambria Math"/>
                          <w:szCs w:val="20"/>
                        </w:rPr>
                        <m:t>*</m:t>
                      </m:r>
                    </m:sup>
                  </m:sSup>
                </m:e>
                <m:sub>
                  <m:r>
                    <w:rPr>
                      <w:rFonts w:ascii="Cambria Math" w:hAnsi="Cambria Math"/>
                      <w:szCs w:val="20"/>
                    </w:rPr>
                    <m:t>SOLL</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rPr>
            <m:t>=550 m</m:t>
          </m:r>
        </m:oMath>
      </m:oMathPara>
    </w:p>
    <w:p w:rsidR="004F47BB" w:rsidRPr="004F47BB" w:rsidRDefault="004F47BB" w:rsidP="004F47BB">
      <w:pPr>
        <w:tabs>
          <w:tab w:val="left" w:pos="284"/>
        </w:tabs>
        <w:overflowPunct w:val="0"/>
        <w:adjustRightInd w:val="0"/>
        <w:spacing w:line="240" w:lineRule="exact"/>
        <w:ind w:left="454" w:hanging="454"/>
        <w:jc w:val="left"/>
        <w:textAlignment w:val="baseline"/>
        <w:rPr>
          <w:szCs w:val="20"/>
        </w:rPr>
      </w:pPr>
    </w:p>
    <w:p w:rsidR="004F47BB" w:rsidRPr="004F47BB" w:rsidRDefault="004F47BB" w:rsidP="004F47BB">
      <w:pPr>
        <w:overflowPunct w:val="0"/>
        <w:adjustRightInd w:val="0"/>
        <w:spacing w:line="240" w:lineRule="exact"/>
        <w:ind w:left="567" w:firstLine="0"/>
        <w:jc w:val="left"/>
        <w:textAlignment w:val="baseline"/>
        <w:rPr>
          <w:szCs w:val="20"/>
        </w:rPr>
      </w:pPr>
      <w:r>
        <w:t>da cui:</w:t>
      </w:r>
    </w:p>
    <w:p w:rsidR="004F47BB" w:rsidRPr="004F47BB" w:rsidRDefault="004F47BB" w:rsidP="004F47BB">
      <w:pPr>
        <w:tabs>
          <w:tab w:val="left" w:pos="284"/>
        </w:tabs>
        <w:overflowPunct w:val="0"/>
        <w:adjustRightInd w:val="0"/>
        <w:spacing w:line="240" w:lineRule="exact"/>
        <w:ind w:left="454" w:hanging="454"/>
        <w:jc w:val="left"/>
        <w:textAlignment w:val="baseline"/>
        <w:rPr>
          <w:szCs w:val="20"/>
        </w:rPr>
      </w:pPr>
    </w:p>
    <w:p w:rsidR="004F47BB" w:rsidRPr="004F47BB" w:rsidRDefault="00624017" w:rsidP="004F47BB">
      <w:pPr>
        <w:overflowPunct w:val="0"/>
        <w:adjustRightInd w:val="0"/>
        <w:spacing w:line="240" w:lineRule="atLeast"/>
        <w:ind w:left="567" w:firstLine="0"/>
        <w:jc w:val="left"/>
        <w:textAlignment w:val="baseline"/>
        <w:rPr>
          <w:szCs w:val="20"/>
        </w:rPr>
      </w:pPr>
      <m:oMathPara>
        <m:oMathParaPr>
          <m:jc m:val="left"/>
        </m:oMathParaPr>
        <m:oMath>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s</m:t>
                  </m:r>
                </m:e>
                <m:sup>
                  <m:r>
                    <w:rPr>
                      <w:rFonts w:ascii="Cambria Math" w:hAnsi="Cambria Math"/>
                      <w:szCs w:val="20"/>
                    </w:rPr>
                    <m:t>*</m:t>
                  </m:r>
                </m:sup>
              </m:sSup>
            </m:e>
            <m:sub>
              <m:r>
                <w:rPr>
                  <w:rFonts w:ascii="Cambria Math" w:hAnsi="Cambria Math"/>
                  <w:szCs w:val="20"/>
                </w:rPr>
                <m:t>SOLL</m:t>
              </m:r>
            </m:sub>
          </m:sSub>
          <m:r>
            <w:rPr>
              <w:rFonts w:ascii="Cambria Math" w:hAnsi="Cambria Math"/>
              <w:szCs w:val="20"/>
            </w:rPr>
            <m:t xml:space="preserve">=550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den>
          </m:f>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s</m:t>
                  </m:r>
                </m:e>
                <m:sup>
                  <m:r>
                    <w:rPr>
                      <w:rFonts w:ascii="Cambria Math" w:hAnsi="Cambria Math"/>
                      <w:szCs w:val="20"/>
                    </w:rPr>
                    <m:t>*</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oMath>
      </m:oMathPara>
    </w:p>
    <w:p w:rsidR="004F47BB" w:rsidRPr="004F47BB" w:rsidRDefault="004F47BB" w:rsidP="004F47BB">
      <w:pPr>
        <w:tabs>
          <w:tab w:val="left" w:pos="284"/>
          <w:tab w:val="left" w:pos="8647"/>
        </w:tabs>
        <w:overflowPunct w:val="0"/>
        <w:adjustRightInd w:val="0"/>
        <w:spacing w:line="240" w:lineRule="exact"/>
        <w:ind w:left="454" w:hanging="454"/>
        <w:jc w:val="left"/>
        <w:textAlignment w:val="baseline"/>
        <w:rPr>
          <w:szCs w:val="20"/>
        </w:rPr>
      </w:pPr>
    </w:p>
    <w:p w:rsidR="004F47BB" w:rsidRPr="004F47BB" w:rsidRDefault="00624017" w:rsidP="004F47BB">
      <w:pPr>
        <w:tabs>
          <w:tab w:val="left" w:pos="567"/>
        </w:tabs>
        <w:overflowPunct w:val="0"/>
        <w:adjustRightInd w:val="0"/>
        <w:spacing w:line="240" w:lineRule="atLeast"/>
        <w:ind w:left="567" w:firstLine="0"/>
        <w:jc w:val="left"/>
        <w:textAlignment w:val="baseline"/>
        <w:rPr>
          <w:szCs w:val="20"/>
        </w:rPr>
      </w:pPr>
      <m:oMathPara>
        <m:oMathParaPr>
          <m:jc m:val="left"/>
        </m:oMathParaPr>
        <m:oMath>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s</m:t>
                  </m:r>
                </m:e>
                <m:sup>
                  <m:r>
                    <w:rPr>
                      <w:rFonts w:ascii="Cambria Math" w:hAnsi="Cambria Math"/>
                      <w:szCs w:val="20"/>
                    </w:rPr>
                    <m:t>*</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m:t>
          </m:r>
          <m:sSub>
            <m:sSubPr>
              <m:ctrlPr>
                <w:rPr>
                  <w:rFonts w:ascii="Cambria Math" w:hAnsi="Cambria Math"/>
                  <w:i/>
                  <w:szCs w:val="20"/>
                </w:rPr>
              </m:ctrlPr>
            </m:sSubPr>
            <m:e>
              <m:r>
                <w:rPr>
                  <w:rFonts w:ascii="Cambria Math" w:hAnsi="Cambria Math"/>
                  <w:szCs w:val="20"/>
                </w:rPr>
                <m:t>Const</m:t>
              </m:r>
            </m:e>
            <m:sub>
              <m:r>
                <w:rPr>
                  <w:rFonts w:ascii="Cambria Math" w:hAnsi="Cambria Math"/>
                  <w:szCs w:val="20"/>
                </w:rPr>
                <m:t>SOLL</m:t>
              </m:r>
            </m:sub>
          </m:sSub>
          <m:r>
            <w:rPr>
              <w:rFonts w:ascii="Cambria Math" w:hAnsi="Cambria Math"/>
              <w:szCs w:val="20"/>
            </w:rPr>
            <m:t xml:space="preserve"> ∙ </m:t>
          </m:r>
          <m:sSup>
            <m:sSupPr>
              <m:ctrlPr>
                <w:rPr>
                  <w:rFonts w:ascii="Cambria Math" w:hAnsi="Cambria Math"/>
                  <w:i/>
                  <w:szCs w:val="20"/>
                </w:rPr>
              </m:ctrlPr>
            </m:sSupPr>
            <m:e>
              <m:r>
                <w:rPr>
                  <w:rFonts w:ascii="Cambria Math" w:hAnsi="Cambria Math"/>
                  <w:szCs w:val="20"/>
                </w:rPr>
                <m:t>D</m:t>
              </m:r>
            </m:e>
            <m:sup>
              <m:r>
                <w:rPr>
                  <w:rFonts w:ascii="Cambria Math" w:hAnsi="Cambria Math"/>
                  <w:szCs w:val="20"/>
                </w:rPr>
                <m:t>*</m:t>
              </m:r>
            </m:sup>
          </m:sSup>
          <m:r>
            <w:rPr>
              <w:rFonts w:ascii="Cambria Math" w:hAnsi="Cambria Math"/>
              <w:szCs w:val="20"/>
            </w:rPr>
            <m:t xml:space="preserve">=0,04684 ∙ </m:t>
          </m:r>
          <m:sSup>
            <m:sSupPr>
              <m:ctrlPr>
                <w:rPr>
                  <w:rFonts w:ascii="Cambria Math" w:hAnsi="Cambria Math"/>
                  <w:i/>
                  <w:szCs w:val="20"/>
                </w:rPr>
              </m:ctrlPr>
            </m:sSupPr>
            <m:e>
              <m:r>
                <w:rPr>
                  <w:rFonts w:ascii="Cambria Math" w:hAnsi="Cambria Math"/>
                  <w:szCs w:val="20"/>
                </w:rPr>
                <m:t>D</m:t>
              </m:r>
            </m:e>
            <m:sup>
              <m:r>
                <w:rPr>
                  <w:rFonts w:ascii="Cambria Math" w:hAnsi="Cambria Math"/>
                  <w:szCs w:val="20"/>
                </w:rPr>
                <m:t>*</m:t>
              </m:r>
            </m:sup>
          </m:sSup>
        </m:oMath>
      </m:oMathPara>
    </w:p>
    <w:p w:rsidR="004F47BB" w:rsidRPr="004F47BB" w:rsidRDefault="004F47BB" w:rsidP="004F47BB">
      <w:pPr>
        <w:tabs>
          <w:tab w:val="left" w:pos="1843"/>
        </w:tabs>
        <w:overflowPunct w:val="0"/>
        <w:adjustRightInd w:val="0"/>
        <w:spacing w:line="240" w:lineRule="atLeast"/>
        <w:ind w:left="454" w:hanging="454"/>
        <w:jc w:val="left"/>
        <w:textAlignment w:val="baseline"/>
        <w:rPr>
          <w:szCs w:val="20"/>
        </w:rPr>
      </w:pPr>
    </w:p>
    <w:p w:rsidR="004F47BB" w:rsidRPr="004F47BB" w:rsidRDefault="00624017" w:rsidP="004F47BB">
      <w:pPr>
        <w:tabs>
          <w:tab w:val="left" w:pos="567"/>
        </w:tabs>
        <w:overflowPunct w:val="0"/>
        <w:adjustRightInd w:val="0"/>
        <w:spacing w:line="240" w:lineRule="atLeast"/>
        <w:ind w:left="567" w:firstLine="0"/>
        <w:jc w:val="left"/>
        <w:textAlignment w:val="baseline"/>
        <w:rPr>
          <w:szCs w:val="20"/>
        </w:rPr>
      </w:pPr>
      <m:oMathPara>
        <m:oMathParaPr>
          <m:jc m:val="left"/>
        </m:oMathParaPr>
        <m:oMath>
          <m:sSup>
            <m:sSupPr>
              <m:ctrlPr>
                <w:rPr>
                  <w:rFonts w:ascii="Cambria Math" w:hAnsi="Cambria Math"/>
                  <w:i/>
                  <w:szCs w:val="20"/>
                </w:rPr>
              </m:ctrlPr>
            </m:sSupPr>
            <m:e>
              <m:r>
                <w:rPr>
                  <w:rFonts w:ascii="Cambria Math" w:hAnsi="Cambria Math"/>
                  <w:szCs w:val="20"/>
                </w:rPr>
                <m:t>D</m:t>
              </m:r>
            </m:e>
            <m:sup>
              <m:r>
                <w:rPr>
                  <w:rFonts w:ascii="Cambria Math" w:hAnsi="Cambria Math"/>
                  <w:szCs w:val="20"/>
                </w:rPr>
                <m:t>*</m:t>
              </m:r>
            </m:sup>
          </m:sSup>
          <m:r>
            <w:rPr>
              <w:rFonts w:ascii="Cambria Math" w:hAnsi="Cambria Math"/>
              <w:szCs w:val="20"/>
            </w:rPr>
            <m:t xml:space="preserve">= </m:t>
          </m:r>
          <m:f>
            <m:fPr>
              <m:ctrlPr>
                <w:rPr>
                  <w:rFonts w:ascii="Cambria Math" w:hAnsi="Cambria Math"/>
                  <w:i/>
                  <w:szCs w:val="20"/>
                </w:rPr>
              </m:ctrlPr>
            </m:fPr>
            <m:num>
              <m:r>
                <w:rPr>
                  <w:rFonts w:ascii="Cambria Math" w:hAnsi="Cambria Math"/>
                  <w:szCs w:val="20"/>
                </w:rPr>
                <m:t xml:space="preserve">550 ∙ </m:t>
              </m:r>
              <m:f>
                <m:fPr>
                  <m:ctrlPr>
                    <w:rPr>
                      <w:rFonts w:ascii="Cambria Math" w:hAnsi="Cambria Math"/>
                      <w:i/>
                      <w:szCs w:val="20"/>
                    </w:rPr>
                  </m:ctrlPr>
                </m:fPr>
                <m:num>
                  <m:r>
                    <w:rPr>
                      <w:rFonts w:ascii="Cambria Math" w:hAnsi="Cambria Math"/>
                      <w:szCs w:val="20"/>
                    </w:rPr>
                    <m:t>475</m:t>
                  </m:r>
                </m:num>
                <m:den>
                  <m:r>
                    <w:rPr>
                      <w:rFonts w:ascii="Cambria Math" w:hAnsi="Cambria Math"/>
                      <w:szCs w:val="20"/>
                    </w:rPr>
                    <m:t>580</m:t>
                  </m:r>
                </m:den>
              </m:f>
              <m:r>
                <w:rPr>
                  <w:rFonts w:ascii="Cambria Math" w:hAnsi="Cambria Math"/>
                  <w:szCs w:val="20"/>
                </w:rPr>
                <m:t>-77,5</m:t>
              </m:r>
            </m:num>
            <m:den>
              <m:r>
                <w:rPr>
                  <w:rFonts w:ascii="Cambria Math" w:hAnsi="Cambria Math"/>
                  <w:szCs w:val="20"/>
                </w:rPr>
                <m:t>0,04684</m:t>
              </m:r>
            </m:den>
          </m:f>
          <m:r>
            <w:rPr>
              <w:rFonts w:ascii="Cambria Math" w:hAnsi="Cambria Math"/>
              <w:szCs w:val="20"/>
            </w:rPr>
            <m:t xml:space="preserve">=7950 </m:t>
          </m:r>
          <m:d>
            <m:dPr>
              <m:begChr m:val="["/>
              <m:endChr m:val="]"/>
              <m:ctrlPr>
                <w:rPr>
                  <w:rFonts w:ascii="Cambria Math" w:hAnsi="Cambria Math"/>
                  <w:i/>
                  <w:szCs w:val="20"/>
                </w:rPr>
              </m:ctrlPr>
            </m:dPr>
            <m:e>
              <m:sSup>
                <m:sSupPr>
                  <m:ctrlPr>
                    <w:rPr>
                      <w:rFonts w:ascii="Cambria Math" w:hAnsi="Cambria Math"/>
                      <w:i/>
                      <w:szCs w:val="20"/>
                    </w:rPr>
                  </m:ctrlPr>
                </m:sSupPr>
                <m:e>
                  <m:r>
                    <w:rPr>
                      <w:rFonts w:ascii="Cambria Math" w:hAnsi="Cambria Math"/>
                      <w:szCs w:val="20"/>
                    </w:rPr>
                    <m:t>m</m:t>
                  </m:r>
                </m:e>
                <m:sup>
                  <m:r>
                    <w:rPr>
                      <w:rFonts w:ascii="Cambria Math" w:hAnsi="Cambria Math"/>
                      <w:szCs w:val="20"/>
                    </w:rPr>
                    <m:t>3</m:t>
                  </m:r>
                </m:sup>
              </m:sSup>
            </m:e>
          </m:d>
        </m:oMath>
      </m:oMathPara>
    </w:p>
    <w:p w:rsidR="004F47BB" w:rsidRPr="004F47BB" w:rsidRDefault="004F47BB" w:rsidP="004F47BB">
      <w:pPr>
        <w:tabs>
          <w:tab w:val="left" w:pos="284"/>
        </w:tabs>
        <w:overflowPunct w:val="0"/>
        <w:adjustRightInd w:val="0"/>
        <w:spacing w:line="240" w:lineRule="exact"/>
        <w:ind w:left="0" w:firstLine="0"/>
        <w:jc w:val="left"/>
        <w:textAlignment w:val="baseline"/>
        <w:rPr>
          <w:szCs w:val="20"/>
        </w:rPr>
      </w:pPr>
    </w:p>
    <w:p w:rsidR="004F47BB" w:rsidRPr="004F47BB" w:rsidRDefault="004F47BB" w:rsidP="004F47BB">
      <w:pPr>
        <w:tabs>
          <w:tab w:val="left" w:pos="284"/>
        </w:tabs>
        <w:overflowPunct w:val="0"/>
        <w:adjustRightInd w:val="0"/>
        <w:spacing w:line="240" w:lineRule="exact"/>
        <w:ind w:left="567" w:firstLine="0"/>
        <w:jc w:val="left"/>
        <w:textAlignment w:val="baseline"/>
        <w:rPr>
          <w:b/>
          <w:szCs w:val="20"/>
        </w:rPr>
      </w:pPr>
      <w:r>
        <w:rPr>
          <w:b/>
        </w:rPr>
        <w:t>Conseguenza:</w:t>
      </w:r>
    </w:p>
    <w:p w:rsidR="004F47BB" w:rsidRPr="004F47BB" w:rsidRDefault="004F47BB" w:rsidP="004F47BB">
      <w:pPr>
        <w:tabs>
          <w:tab w:val="left" w:pos="284"/>
        </w:tabs>
        <w:overflowPunct w:val="0"/>
        <w:adjustRightInd w:val="0"/>
        <w:spacing w:line="240" w:lineRule="exact"/>
        <w:ind w:left="454" w:hanging="454"/>
        <w:jc w:val="left"/>
        <w:textAlignment w:val="baseline"/>
        <w:rPr>
          <w:szCs w:val="20"/>
        </w:rPr>
      </w:pPr>
    </w:p>
    <w:p w:rsidR="004F47BB" w:rsidRPr="004F47BB" w:rsidRDefault="004F47BB" w:rsidP="004F47BB">
      <w:pPr>
        <w:overflowPunct w:val="0"/>
        <w:adjustRightInd w:val="0"/>
        <w:spacing w:line="240" w:lineRule="exact"/>
        <w:ind w:left="567" w:firstLine="0"/>
        <w:textAlignment w:val="baseline"/>
        <w:rPr>
          <w:szCs w:val="20"/>
        </w:rPr>
      </w:pPr>
      <w:r>
        <w:t xml:space="preserve">posto che in navigazione a valle il dislocamento ammissibile </w:t>
      </w:r>
      <m:oMath>
        <m:sSup>
          <m:sSupPr>
            <m:ctrlPr>
              <w:rPr>
                <w:rFonts w:ascii="Cambria Math" w:hAnsi="Cambria Math"/>
                <w:i/>
                <w:szCs w:val="20"/>
              </w:rPr>
            </m:ctrlPr>
          </m:sSupPr>
          <m:e>
            <m:r>
              <w:rPr>
                <w:rFonts w:ascii="Cambria Math" w:hAnsi="Cambria Math"/>
                <w:szCs w:val="20"/>
              </w:rPr>
              <m:t>D</m:t>
            </m:r>
          </m:e>
          <m:sup>
            <m:r>
              <w:rPr>
                <w:rFonts w:ascii="Cambria Math" w:hAnsi="Cambria Math"/>
                <w:szCs w:val="20"/>
              </w:rPr>
              <m:t>*</m:t>
            </m:r>
          </m:sup>
        </m:sSup>
      </m:oMath>
      <w:r>
        <w:t xml:space="preserve"> è soltanto 7950 m</w:t>
      </w:r>
      <w:r>
        <w:rPr>
          <w:vertAlign w:val="superscript"/>
        </w:rPr>
        <w:t>3</w:t>
      </w:r>
      <w:r>
        <w:t xml:space="preserve"> (indicativamente)</w:t>
      </w:r>
    </w:p>
    <w:p w:rsidR="004F47BB" w:rsidRPr="004F47BB" w:rsidRDefault="004F47BB" w:rsidP="004F47BB">
      <w:pPr>
        <w:overflowPunct w:val="0"/>
        <w:adjustRightInd w:val="0"/>
        <w:spacing w:line="240" w:lineRule="atLeast"/>
        <w:ind w:left="567" w:firstLine="0"/>
        <w:textAlignment w:val="baseline"/>
        <w:rPr>
          <w:szCs w:val="20"/>
        </w:rPr>
      </w:pPr>
    </w:p>
    <w:p w:rsidR="004F47BB" w:rsidRPr="004F47BB" w:rsidRDefault="00624017" w:rsidP="004F47BB">
      <w:pPr>
        <w:overflowPunct w:val="0"/>
        <w:adjustRightInd w:val="0"/>
        <w:spacing w:line="240" w:lineRule="atLeast"/>
        <w:ind w:left="567" w:firstLine="0"/>
        <w:textAlignment w:val="baseline"/>
        <w:rPr>
          <w:szCs w:val="20"/>
        </w:rPr>
      </w:pPr>
      <m:oMathPara>
        <m:oMathParaPr>
          <m:jc m:val="left"/>
        </m:oMathParaPr>
        <m:oMath>
          <m:f>
            <m:fPr>
              <m:ctrlPr>
                <w:rPr>
                  <w:rFonts w:ascii="Cambria Math" w:hAnsi="Cambria Math"/>
                  <w:i/>
                  <w:szCs w:val="20"/>
                </w:rPr>
              </m:ctrlPr>
            </m:fPr>
            <m:num>
              <m:r>
                <w:rPr>
                  <w:rFonts w:ascii="Cambria Math" w:hAnsi="Cambria Math"/>
                  <w:szCs w:val="20"/>
                </w:rPr>
                <m:t>zul. Tgf</m:t>
              </m:r>
            </m:num>
            <m:den>
              <m:func>
                <m:funcPr>
                  <m:ctrlPr>
                    <w:rPr>
                      <w:rFonts w:ascii="Cambria Math" w:hAnsi="Cambria Math"/>
                      <w:i/>
                      <w:szCs w:val="20"/>
                    </w:rPr>
                  </m:ctrlPr>
                </m:funcPr>
                <m:fName>
                  <m:r>
                    <m:rPr>
                      <m:sty m:val="p"/>
                    </m:rPr>
                    <w:rPr>
                      <w:rFonts w:ascii="Cambria Math" w:hAnsi="Cambria Math"/>
                      <w:szCs w:val="20"/>
                    </w:rPr>
                    <m:t>max</m:t>
                  </m:r>
                </m:fName>
                <m:e>
                  <m:r>
                    <w:rPr>
                      <w:rFonts w:ascii="Cambria Math" w:hAnsi="Cambria Math"/>
                      <w:szCs w:val="20"/>
                    </w:rPr>
                    <m:t>. Tgf</m:t>
                  </m:r>
                </m:e>
              </m:func>
            </m:den>
          </m:f>
          <m:r>
            <w:rPr>
              <w:rFonts w:ascii="Cambria Math" w:hAnsi="Cambria Math"/>
              <w:szCs w:val="20"/>
            </w:rPr>
            <m:t xml:space="preserve">= </m:t>
          </m:r>
          <m:f>
            <m:fPr>
              <m:ctrlPr>
                <w:rPr>
                  <w:rFonts w:ascii="Cambria Math" w:hAnsi="Cambria Math"/>
                  <w:i/>
                  <w:szCs w:val="20"/>
                </w:rPr>
              </m:ctrlPr>
            </m:fPr>
            <m:num>
              <m:sSup>
                <m:sSupPr>
                  <m:ctrlPr>
                    <w:rPr>
                      <w:rFonts w:ascii="Cambria Math" w:hAnsi="Cambria Math"/>
                      <w:i/>
                      <w:szCs w:val="20"/>
                    </w:rPr>
                  </m:ctrlPr>
                </m:sSupPr>
                <m:e>
                  <m:r>
                    <w:rPr>
                      <w:rFonts w:ascii="Cambria Math" w:hAnsi="Cambria Math"/>
                      <w:szCs w:val="20"/>
                    </w:rPr>
                    <m:t>D</m:t>
                  </m:r>
                </m:e>
                <m:sup>
                  <m:r>
                    <w:rPr>
                      <w:rFonts w:ascii="Cambria Math" w:hAnsi="Cambria Math"/>
                      <w:szCs w:val="20"/>
                    </w:rPr>
                    <m:t>*</m:t>
                  </m:r>
                </m:sup>
              </m:sSup>
            </m:num>
            <m:den>
              <m:sSub>
                <m:sSubPr>
                  <m:ctrlPr>
                    <w:rPr>
                      <w:rFonts w:ascii="Cambria Math" w:hAnsi="Cambria Math"/>
                      <w:i/>
                      <w:szCs w:val="20"/>
                    </w:rPr>
                  </m:ctrlPr>
                </m:sSubPr>
                <m:e>
                  <m:r>
                    <w:rPr>
                      <w:rFonts w:ascii="Cambria Math" w:hAnsi="Cambria Math"/>
                      <w:szCs w:val="20"/>
                    </w:rPr>
                    <m:t>D</m:t>
                  </m:r>
                </m:e>
                <m:sub>
                  <m:r>
                    <w:rPr>
                      <w:rFonts w:ascii="Cambria Math" w:hAnsi="Cambria Math"/>
                      <w:szCs w:val="20"/>
                    </w:rPr>
                    <m:t>max</m:t>
                  </m:r>
                </m:sub>
              </m:sSub>
            </m:den>
          </m:f>
          <m:r>
            <w:rPr>
              <w:rFonts w:ascii="Cambria Math" w:hAnsi="Cambria Math"/>
              <w:szCs w:val="20"/>
            </w:rPr>
            <m:t xml:space="preserve">= </m:t>
          </m:r>
          <m:f>
            <m:fPr>
              <m:ctrlPr>
                <w:rPr>
                  <w:rFonts w:ascii="Cambria Math" w:hAnsi="Cambria Math"/>
                  <w:i/>
                  <w:szCs w:val="20"/>
                </w:rPr>
              </m:ctrlPr>
            </m:fPr>
            <m:num>
              <m:r>
                <w:rPr>
                  <w:rFonts w:ascii="Cambria Math" w:hAnsi="Cambria Math"/>
                  <w:szCs w:val="20"/>
                </w:rPr>
                <m:t>7950</m:t>
              </m:r>
            </m:num>
            <m:den>
              <m:r>
                <w:rPr>
                  <w:rFonts w:ascii="Cambria Math" w:hAnsi="Cambria Math"/>
                  <w:szCs w:val="20"/>
                </w:rPr>
                <m:t>11960</m:t>
              </m:r>
            </m:den>
          </m:f>
          <m:r>
            <w:rPr>
              <w:rFonts w:ascii="Cambria Math" w:hAnsi="Cambria Math"/>
              <w:szCs w:val="20"/>
            </w:rPr>
            <m:t>=0,66</m:t>
          </m:r>
        </m:oMath>
      </m:oMathPara>
    </w:p>
    <w:p w:rsidR="004F47BB" w:rsidRPr="004F47BB" w:rsidRDefault="004F47BB" w:rsidP="004F47BB">
      <w:pPr>
        <w:overflowPunct w:val="0"/>
        <w:adjustRightInd w:val="0"/>
        <w:spacing w:line="240" w:lineRule="atLeast"/>
        <w:ind w:left="567" w:firstLine="0"/>
        <w:textAlignment w:val="baseline"/>
        <w:rPr>
          <w:szCs w:val="20"/>
        </w:rPr>
      </w:pPr>
    </w:p>
    <w:p w:rsidR="004F47BB" w:rsidRPr="004F47BB" w:rsidRDefault="004F47BB" w:rsidP="004F47BB">
      <w:pPr>
        <w:tabs>
          <w:tab w:val="left" w:pos="284"/>
        </w:tabs>
        <w:overflowPunct w:val="0"/>
        <w:adjustRightInd w:val="0"/>
        <w:spacing w:line="240" w:lineRule="exact"/>
        <w:ind w:left="0" w:firstLine="0"/>
        <w:jc w:val="left"/>
        <w:textAlignment w:val="baseline"/>
        <w:rPr>
          <w:szCs w:val="20"/>
        </w:rPr>
      </w:pPr>
    </w:p>
    <w:p w:rsidR="004F47BB" w:rsidRPr="004F47BB" w:rsidRDefault="004F47BB" w:rsidP="004F47BB">
      <w:pPr>
        <w:tabs>
          <w:tab w:val="left" w:pos="284"/>
        </w:tabs>
        <w:overflowPunct w:val="0"/>
        <w:adjustRightInd w:val="0"/>
        <w:spacing w:line="240" w:lineRule="atLeast"/>
        <w:ind w:left="567" w:firstLine="0"/>
        <w:jc w:val="left"/>
        <w:textAlignment w:val="baseline"/>
        <w:rPr>
          <w:szCs w:val="20"/>
        </w:rPr>
      </w:pPr>
      <w:r>
        <w:t>la portata lorda consentita in questa formazione è (cfr. punto 1):</w:t>
      </w:r>
    </w:p>
    <w:p w:rsidR="004F47BB" w:rsidRPr="004F47BB" w:rsidRDefault="004F47BB" w:rsidP="004F47BB">
      <w:pPr>
        <w:tabs>
          <w:tab w:val="left" w:pos="284"/>
        </w:tabs>
        <w:overflowPunct w:val="0"/>
        <w:adjustRightInd w:val="0"/>
        <w:spacing w:line="240" w:lineRule="atLeast"/>
        <w:ind w:left="567" w:firstLine="0"/>
        <w:jc w:val="left"/>
        <w:textAlignment w:val="baseline"/>
        <w:rPr>
          <w:szCs w:val="20"/>
        </w:rPr>
      </w:pPr>
    </w:p>
    <w:p w:rsidR="004F47BB" w:rsidRPr="004F47BB" w:rsidRDefault="004F47BB" w:rsidP="004F47BB">
      <w:pPr>
        <w:tabs>
          <w:tab w:val="left" w:pos="284"/>
        </w:tabs>
        <w:overflowPunct w:val="0"/>
        <w:adjustRightInd w:val="0"/>
        <w:spacing w:line="240" w:lineRule="atLeast"/>
        <w:ind w:left="567" w:firstLine="0"/>
        <w:jc w:val="left"/>
        <w:textAlignment w:val="baseline"/>
        <w:rPr>
          <w:szCs w:val="20"/>
        </w:rPr>
      </w:pPr>
      <m:oMathPara>
        <m:oMathParaPr>
          <m:jc m:val="left"/>
        </m:oMathParaPr>
        <m:oMath>
          <m:r>
            <w:rPr>
              <w:rFonts w:ascii="Cambria Math" w:hAnsi="Cambria Math"/>
              <w:szCs w:val="20"/>
            </w:rPr>
            <m:t>0,66 ∙10700=</m:t>
          </m:r>
          <m:r>
            <m:rPr>
              <m:sty m:val="bi"/>
            </m:rPr>
            <w:rPr>
              <w:rFonts w:ascii="Cambria Math" w:hAnsi="Cambria Math"/>
              <w:szCs w:val="20"/>
            </w:rPr>
            <m:t>7112 t</m:t>
          </m:r>
        </m:oMath>
      </m:oMathPara>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sectPr w:rsidR="004F47BB" w:rsidRPr="004F47BB" w:rsidSect="00D45887">
          <w:headerReference w:type="first" r:id="rId127"/>
          <w:pgSz w:w="11907" w:h="16840" w:code="9"/>
          <w:pgMar w:top="1418" w:right="1418" w:bottom="1418" w:left="1418" w:header="680" w:footer="680" w:gutter="0"/>
          <w:cols w:space="720"/>
          <w:noEndnote/>
          <w:titlePg/>
        </w:sectPr>
      </w:pPr>
    </w:p>
    <w:p w:rsidR="004F47BB" w:rsidRPr="004F47BB" w:rsidRDefault="004F47BB" w:rsidP="005B46C9">
      <w:pPr>
        <w:pStyle w:val="ESch"/>
      </w:pPr>
    </w:p>
    <w:p w:rsidR="004F47BB" w:rsidRPr="004F47BB" w:rsidRDefault="004F47BB" w:rsidP="005B46C9">
      <w:pPr>
        <w:pStyle w:val="ES-Titre2ESI"/>
      </w:pPr>
      <w:bookmarkStart w:id="741" w:name="_Toc491854353"/>
      <w:bookmarkStart w:id="742" w:name="_Toc535500302"/>
      <w:r>
        <w:t>ESI-II-4</w:t>
      </w:r>
      <w:r>
        <w:br/>
        <w:t>Capacità di manovra di evasione e la capacità di virata</w:t>
      </w:r>
      <w:bookmarkEnd w:id="741"/>
      <w:bookmarkEnd w:id="742"/>
    </w:p>
    <w:p w:rsidR="004F47BB" w:rsidRPr="004F47BB" w:rsidRDefault="004F47BB" w:rsidP="004F47BB">
      <w:pPr>
        <w:overflowPunct w:val="0"/>
        <w:adjustRightInd w:val="0"/>
        <w:ind w:left="0" w:firstLine="0"/>
        <w:jc w:val="center"/>
        <w:textAlignment w:val="baseline"/>
        <w:rPr>
          <w:szCs w:val="20"/>
        </w:rPr>
      </w:pPr>
    </w:p>
    <w:p w:rsidR="004F47BB" w:rsidRPr="004F47BB" w:rsidRDefault="004F47BB" w:rsidP="004F47BB">
      <w:pPr>
        <w:tabs>
          <w:tab w:val="center" w:pos="4666"/>
        </w:tabs>
        <w:overflowPunct w:val="0"/>
        <w:adjustRightInd w:val="0"/>
        <w:ind w:left="0" w:firstLine="0"/>
        <w:jc w:val="center"/>
        <w:textAlignment w:val="baseline"/>
        <w:rPr>
          <w:b/>
          <w:szCs w:val="20"/>
        </w:rPr>
      </w:pPr>
      <w:r>
        <w:rPr>
          <w:b/>
        </w:rPr>
        <w:t>(Articolo 5.09 e articolo 5.10 in combinato disposto con l'articolo 5.02, paragrafo 1, l'articolo 5.03, paragrafo 1, l'articolo 5.04 e l'articolo 21.06)</w:t>
      </w:r>
    </w:p>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ind w:left="0" w:firstLine="0"/>
        <w:jc w:val="left"/>
        <w:textAlignment w:val="baseline"/>
        <w:rPr>
          <w:b/>
          <w:szCs w:val="20"/>
        </w:rPr>
      </w:pPr>
    </w:p>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ind w:left="0" w:firstLine="0"/>
        <w:jc w:val="left"/>
        <w:textAlignment w:val="baseline"/>
        <w:rPr>
          <w:b/>
          <w:szCs w:val="20"/>
        </w:rPr>
      </w:pPr>
    </w:p>
    <w:p w:rsidR="004F47BB" w:rsidRPr="004F47BB" w:rsidRDefault="004F47BB" w:rsidP="004F47BB">
      <w:pPr>
        <w:tabs>
          <w:tab w:val="left" w:pos="567"/>
        </w:tabs>
        <w:overflowPunct w:val="0"/>
        <w:adjustRightInd w:val="0"/>
        <w:ind w:left="567" w:hanging="567"/>
        <w:jc w:val="left"/>
        <w:textAlignment w:val="baseline"/>
        <w:rPr>
          <w:b/>
          <w:szCs w:val="20"/>
        </w:rPr>
      </w:pPr>
      <w:r>
        <w:rPr>
          <w:b/>
        </w:rPr>
        <w:t>1.</w:t>
      </w:r>
      <w:r>
        <w:tab/>
      </w:r>
      <w:r>
        <w:rPr>
          <w:b/>
        </w:rPr>
        <w:t>Condizioni generali e condizioni estreme di funzionamento concernenti la prova di manovra di evasione</w:t>
      </w:r>
    </w:p>
    <w:p w:rsidR="004F47BB" w:rsidRPr="004F47BB" w:rsidRDefault="004F47BB" w:rsidP="004F47BB">
      <w:pPr>
        <w:tabs>
          <w:tab w:val="left" w:pos="426"/>
        </w:tabs>
        <w:overflowPunct w:val="0"/>
        <w:adjustRightInd w:val="0"/>
        <w:ind w:left="426" w:hanging="426"/>
        <w:jc w:val="left"/>
        <w:textAlignment w:val="baseline"/>
        <w:rPr>
          <w:szCs w:val="20"/>
        </w:rPr>
      </w:pPr>
    </w:p>
    <w:p w:rsidR="004F47BB" w:rsidRPr="004F47BB" w:rsidRDefault="004F47BB" w:rsidP="004F47BB">
      <w:pPr>
        <w:spacing w:line="240" w:lineRule="atLeast"/>
        <w:ind w:left="567" w:hanging="567"/>
      </w:pPr>
      <w:r>
        <w:t>1.1</w:t>
      </w:r>
      <w:r>
        <w:tab/>
        <w:t>Conformemente all'articolo 5.09, le navi e i convogli devono essere in grado di effettuare una schivata in tempo utile e la capacità di schivare è provata effettuando manovre di schivata in una zona di prova di cui all'articolo 5.03. Tale capacità deve essere dimostrata effettuando manovre di schivata a tribordo e babordo simulate sulla base di valori prescritti con le quali, per specifiche velocità di virata della nave, virando con il timone e riportandolo gradualmente al centro, si deve rispettare un determinato limite temporale.</w:t>
      </w:r>
    </w:p>
    <w:p w:rsidR="004F47BB" w:rsidRPr="004F47BB" w:rsidRDefault="004F47BB" w:rsidP="004F47BB">
      <w:pPr>
        <w:tabs>
          <w:tab w:val="left" w:pos="426"/>
        </w:tabs>
        <w:overflowPunct w:val="0"/>
        <w:adjustRightInd w:val="0"/>
        <w:ind w:left="426" w:hanging="426"/>
        <w:textAlignment w:val="baseline"/>
        <w:rPr>
          <w:szCs w:val="20"/>
        </w:rPr>
      </w:pPr>
    </w:p>
    <w:p w:rsidR="004F47BB" w:rsidRPr="004F47BB" w:rsidRDefault="004F47BB" w:rsidP="004F47BB">
      <w:pPr>
        <w:spacing w:line="240" w:lineRule="atLeast"/>
        <w:ind w:left="567" w:firstLine="0"/>
      </w:pPr>
      <w:r>
        <w:t>Durante le prove, i requisiti della sezione 2 devono essere rispettati mantenendo un franco sottochiglia pari almeno al 20 % del pescaggio, e comunque non inferiore a 0,50 m.</w:t>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tabs>
          <w:tab w:val="left" w:pos="567"/>
        </w:tabs>
        <w:overflowPunct w:val="0"/>
        <w:adjustRightInd w:val="0"/>
        <w:ind w:left="567" w:hanging="567"/>
        <w:jc w:val="left"/>
        <w:textAlignment w:val="baseline"/>
        <w:rPr>
          <w:b/>
          <w:szCs w:val="20"/>
        </w:rPr>
      </w:pPr>
      <w:r>
        <w:rPr>
          <w:b/>
        </w:rPr>
        <w:t>2.</w:t>
      </w:r>
      <w:r>
        <w:tab/>
      </w:r>
      <w:r>
        <w:rPr>
          <w:b/>
        </w:rPr>
        <w:t>Procedura per la prova di manovra di evasione e annotazione dei dati</w:t>
      </w:r>
    </w:p>
    <w:p w:rsidR="004F47BB" w:rsidRPr="004F47BB" w:rsidRDefault="004F47BB" w:rsidP="004F47BB">
      <w:pPr>
        <w:spacing w:line="240" w:lineRule="atLeast"/>
        <w:ind w:left="567" w:firstLine="0"/>
      </w:pPr>
      <w:r>
        <w:t>(schema nell'allegato 1)</w:t>
      </w:r>
    </w:p>
    <w:p w:rsidR="004F47BB" w:rsidRPr="004F47BB" w:rsidRDefault="004F47BB" w:rsidP="004F47BB">
      <w:pPr>
        <w:tabs>
          <w:tab w:val="left" w:pos="426"/>
        </w:tabs>
        <w:overflowPunct w:val="0"/>
        <w:adjustRightInd w:val="0"/>
        <w:ind w:left="426" w:hanging="426"/>
        <w:jc w:val="left"/>
        <w:textAlignment w:val="baseline"/>
        <w:rPr>
          <w:szCs w:val="20"/>
        </w:rPr>
      </w:pPr>
    </w:p>
    <w:p w:rsidR="004F47BB" w:rsidRPr="004F47BB" w:rsidRDefault="004F47BB" w:rsidP="004F47BB">
      <w:pPr>
        <w:tabs>
          <w:tab w:val="left" w:pos="567"/>
        </w:tabs>
        <w:overflowPunct w:val="0"/>
        <w:adjustRightInd w:val="0"/>
        <w:ind w:left="567" w:hanging="567"/>
        <w:textAlignment w:val="baseline"/>
        <w:rPr>
          <w:szCs w:val="20"/>
        </w:rPr>
      </w:pPr>
      <w:r>
        <w:t>2.1</w:t>
      </w:r>
      <w:r>
        <w:tab/>
        <w:t>La manovra di evasione deve essere effettuata come segue:</w:t>
      </w:r>
    </w:p>
    <w:p w:rsidR="004F47BB" w:rsidRPr="004F47BB" w:rsidRDefault="004F47BB" w:rsidP="004F47BB">
      <w:pPr>
        <w:tabs>
          <w:tab w:val="left" w:pos="426"/>
        </w:tabs>
        <w:overflowPunct w:val="0"/>
        <w:adjustRightInd w:val="0"/>
        <w:ind w:left="426" w:hanging="426"/>
        <w:jc w:val="left"/>
        <w:textAlignment w:val="baseline"/>
        <w:rPr>
          <w:szCs w:val="20"/>
        </w:rPr>
      </w:pPr>
    </w:p>
    <w:p w:rsidR="004F47BB" w:rsidRPr="004F47BB" w:rsidRDefault="004F47BB" w:rsidP="004F47BB">
      <w:pPr>
        <w:tabs>
          <w:tab w:val="left" w:pos="567"/>
        </w:tabs>
        <w:overflowPunct w:val="0"/>
        <w:adjustRightInd w:val="0"/>
        <w:ind w:left="567" w:hanging="567"/>
        <w:textAlignment w:val="baseline"/>
        <w:rPr>
          <w:szCs w:val="20"/>
        </w:rPr>
      </w:pPr>
      <w:r>
        <w:tab/>
        <w:t xml:space="preserve">con la nave o il convoglio in navigazione a una velocità costante </w:t>
      </w:r>
      <m:oMath>
        <m:r>
          <w:rPr>
            <w:rFonts w:ascii="Cambria Math" w:hAnsi="Cambria Math" w:cs="Arial"/>
            <w:szCs w:val="20"/>
          </w:rPr>
          <m:t>V</m:t>
        </m:r>
        <m:r>
          <w:rPr>
            <w:rFonts w:ascii="Cambria Math" w:hAnsi="Cambria Math" w:cs="Arial"/>
            <w:szCs w:val="20"/>
            <w:vertAlign w:val="subscript"/>
          </w:rPr>
          <m:t>o</m:t>
        </m:r>
      </m:oMath>
      <w:r>
        <w:t xml:space="preserve"> = 13 km/h rispetto all'acqua, all'inizio della manovra (tempo </w:t>
      </w:r>
      <m:oMath>
        <m:sSub>
          <m:sSubPr>
            <m:ctrlPr>
              <w:rPr>
                <w:rFonts w:ascii="Cambria Math" w:hAnsi="Cambria Math" w:cs="Arial"/>
                <w:i/>
                <w:szCs w:val="20"/>
              </w:rPr>
            </m:ctrlPr>
          </m:sSubPr>
          <m:e>
            <m:r>
              <w:rPr>
                <w:rFonts w:ascii="Cambria Math" w:hAnsi="Cambria Math" w:cs="Arial"/>
                <w:szCs w:val="20"/>
              </w:rPr>
              <m:t>t</m:t>
            </m:r>
          </m:e>
          <m:sub>
            <m:r>
              <w:rPr>
                <w:rFonts w:ascii="Cambria Math" w:hAnsi="Cambria Math" w:cs="Arial"/>
                <w:szCs w:val="20"/>
              </w:rPr>
              <m:t>0</m:t>
            </m:r>
          </m:sub>
        </m:sSub>
      </m:oMath>
      <w:r>
        <w:t xml:space="preserve"> = 0 s, velocità di virata </w:t>
      </w:r>
      <m:oMath>
        <m:r>
          <w:rPr>
            <w:rFonts w:ascii="Cambria Math" w:hAnsi="Cambria Math"/>
            <w:szCs w:val="20"/>
          </w:rPr>
          <m:t>r</m:t>
        </m:r>
      </m:oMath>
      <w:r>
        <w:t xml:space="preserve"> = 0°/min, angolo del timone </w:t>
      </w:r>
      <m:oMath>
        <m:sSub>
          <m:sSubPr>
            <m:ctrlPr>
              <w:rPr>
                <w:rFonts w:ascii="Cambria Math" w:hAnsi="Cambria Math"/>
                <w:i/>
                <w:szCs w:val="20"/>
              </w:rPr>
            </m:ctrlPr>
          </m:sSubPr>
          <m:e>
            <m:r>
              <w:rPr>
                <w:rFonts w:ascii="Cambria Math" w:hAnsi="Cambria Math"/>
                <w:szCs w:val="20"/>
              </w:rPr>
              <m:t>δ</m:t>
            </m:r>
          </m:e>
          <m:sub>
            <m:r>
              <w:rPr>
                <w:rFonts w:ascii="Cambria Math" w:hAnsi="Cambria Math"/>
                <w:szCs w:val="20"/>
              </w:rPr>
              <m:t>0</m:t>
            </m:r>
          </m:sub>
        </m:sSub>
      </m:oMath>
      <w:r>
        <w:t xml:space="preserve"> = 0°, velocità del motore mantenuta costante), per intraprendere l'azione di evasione si vira con il timone a babordo o tribordo. A tal fine, è necessario portare il timone su un angolo di </w:t>
      </w:r>
      <m:oMath>
        <m:r>
          <w:rPr>
            <w:rFonts w:ascii="Cambria Math" w:hAnsi="Cambria Math"/>
            <w:szCs w:val="20"/>
          </w:rPr>
          <m:t>δ</m:t>
        </m:r>
      </m:oMath>
      <w:r>
        <w:t xml:space="preserve">, o l'unità di governo su un angolo di </w:t>
      </w:r>
      <m:oMath>
        <m:sSub>
          <m:sSubPr>
            <m:ctrlPr>
              <w:rPr>
                <w:rFonts w:ascii="Cambria Math" w:hAnsi="Cambria Math"/>
                <w:i/>
                <w:szCs w:val="20"/>
              </w:rPr>
            </m:ctrlPr>
          </m:sSubPr>
          <m:e>
            <m:r>
              <w:rPr>
                <w:rFonts w:ascii="Cambria Math" w:hAnsi="Cambria Math"/>
                <w:szCs w:val="20"/>
              </w:rPr>
              <m:t>δ</m:t>
            </m:r>
          </m:e>
          <m:sub>
            <m:r>
              <w:rPr>
                <w:rFonts w:ascii="Cambria Math" w:hAnsi="Cambria Math"/>
                <w:szCs w:val="20"/>
              </w:rPr>
              <m:t>a</m:t>
            </m:r>
          </m:sub>
        </m:sSub>
      </m:oMath>
      <w:r>
        <w:t xml:space="preserve"> in caso di dispositivo di governo attivo, seguendo le indicazioni fornite nel punto 2.3. Dopodiché si deve mantenere l'angolo del timone </w:t>
      </w:r>
      <m:oMath>
        <m:r>
          <w:rPr>
            <w:rFonts w:ascii="Cambria Math" w:hAnsi="Cambria Math"/>
            <w:szCs w:val="20"/>
          </w:rPr>
          <m:t>δ</m:t>
        </m:r>
      </m:oMath>
      <w:r>
        <w:t xml:space="preserve"> (ad esempio, 20° a tribordo) finché si raggiunge il valore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1</m:t>
            </m:r>
          </m:sub>
        </m:sSub>
      </m:oMath>
      <w:r>
        <w:t xml:space="preserve"> della velocità di virata di cui al punto 2.2 per le corrispondenti dimensioni della nave o del convoglio. Una volta raggiunta la velocità di virata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1</m:t>
            </m:r>
          </m:sub>
        </m:sSub>
      </m:oMath>
      <w:r>
        <w:t xml:space="preserve">, si annota il tempo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1</m:t>
            </m:r>
          </m:sub>
        </m:sSub>
      </m:oMath>
      <w:r>
        <w:t xml:space="preserve"> e si porta il timone sullo stesso angolo dal lato opposto (ad esempio, 20° a babordo) in maniera tale da interrompere la virata in corso e iniziare la virata in direzione opposta, riducendo in tal modo la velocità di virata a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2</m:t>
            </m:r>
          </m:sub>
        </m:sSub>
      </m:oMath>
      <w:r>
        <w:t xml:space="preserve"> = 0 e permettendole di aumentare nuovamente fino al valore indicato al punto 2.2. Una volta raggiunta la velocità di virata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2</m:t>
            </m:r>
          </m:sub>
        </m:sSub>
      </m:oMath>
      <w:r>
        <w:t xml:space="preserve"> = 0, si annota il tempo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2</m:t>
            </m:r>
          </m:sub>
        </m:sSub>
      </m:oMath>
      <w:r>
        <w:t xml:space="preserve">. Una volta raggiunta la velocità di virata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3</m:t>
            </m:r>
          </m:sub>
        </m:sSub>
      </m:oMath>
      <w:r>
        <w:t xml:space="preserve"> indicata al punto 2.2, si porta il timone in direzione opposta secondo lo stesso angolo </w:t>
      </w:r>
      <m:oMath>
        <m:r>
          <w:rPr>
            <w:rFonts w:ascii="Cambria Math" w:hAnsi="Cambria Math"/>
            <w:szCs w:val="20"/>
          </w:rPr>
          <m:t>δ</m:t>
        </m:r>
      </m:oMath>
      <w:r>
        <w:t xml:space="preserve"> in maniera tale da interrompere il movimento di virata. Si annota il tempo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3</m:t>
            </m:r>
          </m:sub>
        </m:sSub>
      </m:oMath>
      <w:r>
        <w:t xml:space="preserve">. Una volta raggiunta la velocità di virata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4</m:t>
            </m:r>
          </m:sub>
        </m:sSub>
      </m:oMath>
      <w:r>
        <w:t xml:space="preserve"> = 0, si annota il tempo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t xml:space="preserve"> e si riporta la nave o il convoglio sulla rotta originaria.</w:t>
      </w:r>
    </w:p>
    <w:p w:rsidR="004F47BB" w:rsidRPr="004F47BB" w:rsidRDefault="004F47BB" w:rsidP="004F47BB">
      <w:pPr>
        <w:overflowPunct w:val="0"/>
        <w:adjustRightInd w:val="0"/>
        <w:ind w:left="0" w:firstLine="0"/>
        <w:textAlignment w:val="baseline"/>
        <w:rPr>
          <w:szCs w:val="20"/>
        </w:rPr>
      </w:pPr>
    </w:p>
    <w:p w:rsidR="004F47BB" w:rsidRPr="004F47BB" w:rsidRDefault="004F47BB" w:rsidP="004F47BB">
      <w:pPr>
        <w:overflowPunct w:val="0"/>
        <w:adjustRightInd w:val="0"/>
        <w:ind w:left="0" w:firstLine="0"/>
        <w:textAlignment w:val="baseline"/>
        <w:rPr>
          <w:szCs w:val="20"/>
        </w:rPr>
      </w:pPr>
      <w:r>
        <w:br w:type="page"/>
      </w:r>
    </w:p>
    <w:p w:rsidR="004F47BB" w:rsidRPr="004F47BB" w:rsidRDefault="004F47BB" w:rsidP="004F47BB">
      <w:pPr>
        <w:tabs>
          <w:tab w:val="left" w:pos="567"/>
        </w:tabs>
        <w:overflowPunct w:val="0"/>
        <w:adjustRightInd w:val="0"/>
        <w:ind w:left="567" w:hanging="567"/>
        <w:textAlignment w:val="baseline"/>
        <w:rPr>
          <w:szCs w:val="20"/>
        </w:rPr>
      </w:pPr>
      <w:r>
        <w:lastRenderedPageBreak/>
        <w:t>2.2</w:t>
      </w:r>
      <w:r>
        <w:tab/>
        <w:t xml:space="preserve">Per raggiungere la velocità di virata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4</m:t>
            </m:r>
          </m:sub>
        </m:sSub>
      </m:oMath>
      <w:r>
        <w:t xml:space="preserve">, a seconda delle dimensioni delle navi o dei convogli e con una profondità dell'acqua di </w:t>
      </w:r>
      <m:oMath>
        <m:r>
          <w:rPr>
            <w:rFonts w:ascii="Cambria Math" w:hAnsi="Cambria Math"/>
            <w:szCs w:val="20"/>
          </w:rPr>
          <m:t>h</m:t>
        </m:r>
      </m:oMath>
      <w:r>
        <w:t>:</w:t>
      </w:r>
    </w:p>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ind w:left="0" w:firstLine="0"/>
        <w:jc w:val="left"/>
        <w:textAlignment w:val="baseline"/>
        <w:rPr>
          <w:szCs w:val="20"/>
        </w:rPr>
      </w:pPr>
    </w:p>
    <w:tbl>
      <w:tblPr>
        <w:tblW w:w="998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40"/>
        <w:gridCol w:w="4139"/>
        <w:gridCol w:w="964"/>
        <w:gridCol w:w="964"/>
        <w:gridCol w:w="1191"/>
        <w:gridCol w:w="1191"/>
        <w:gridCol w:w="1191"/>
      </w:tblGrid>
      <w:tr w:rsidR="004F47BB" w:rsidRPr="00A0619C" w:rsidTr="00D45887">
        <w:trPr>
          <w:jc w:val="center"/>
        </w:trPr>
        <w:tc>
          <w:tcPr>
            <w:tcW w:w="340" w:type="dxa"/>
            <w:tcBorders>
              <w:top w:val="single" w:sz="6" w:space="0" w:color="auto"/>
              <w:left w:val="single" w:sz="6" w:space="0" w:color="auto"/>
              <w:bottom w:val="nil"/>
            </w:tcBorders>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20"/>
              </w:rPr>
            </w:pPr>
          </w:p>
        </w:tc>
        <w:tc>
          <w:tcPr>
            <w:tcW w:w="4139" w:type="dxa"/>
            <w:tcBorders>
              <w:top w:val="single" w:sz="6" w:space="0" w:color="auto"/>
              <w:bottom w:val="nil"/>
            </w:tcBorders>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20"/>
              </w:rPr>
            </w:pPr>
            <w:r>
              <w:rPr>
                <w:sz w:val="18"/>
              </w:rPr>
              <w:t>Dimensioni delle navi o dei convogli</w:t>
            </w:r>
            <w:r>
              <w:rPr>
                <w:sz w:val="18"/>
                <w:szCs w:val="20"/>
              </w:rPr>
              <w:br/>
            </w:r>
            <m:oMath>
              <m:r>
                <w:rPr>
                  <w:rFonts w:ascii="Cambria Math" w:hAnsi="Cambria Math"/>
                  <w:sz w:val="18"/>
                  <w:szCs w:val="20"/>
                </w:rPr>
                <m:t>L</m:t>
              </m:r>
            </m:oMath>
            <w:r>
              <w:rPr>
                <w:sz w:val="18"/>
              </w:rPr>
              <w:t xml:space="preserve"> x </w:t>
            </w:r>
            <m:oMath>
              <m:r>
                <w:rPr>
                  <w:rFonts w:ascii="Cambria Math" w:hAnsi="Cambria Math"/>
                  <w:sz w:val="18"/>
                  <w:szCs w:val="20"/>
                </w:rPr>
                <m:t>B</m:t>
              </m:r>
            </m:oMath>
          </w:p>
        </w:tc>
        <w:tc>
          <w:tcPr>
            <w:tcW w:w="1928" w:type="dxa"/>
            <w:gridSpan w:val="2"/>
            <w:tcBorders>
              <w:top w:val="single" w:sz="6" w:space="0" w:color="auto"/>
            </w:tcBorders>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20"/>
              </w:rPr>
            </w:pPr>
            <w:r>
              <w:rPr>
                <w:sz w:val="18"/>
              </w:rPr>
              <w:t>Velocità di virata richiesta</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1</m:t>
                  </m:r>
                </m:sub>
              </m:sSub>
            </m:oMath>
            <w:r>
              <w:t xml:space="preserve"> </w:t>
            </w:r>
            <w:r>
              <w:rPr>
                <w:sz w:val="18"/>
              </w:rPr>
              <w:t xml:space="preserve">=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3</m:t>
                  </m:r>
                </m:sub>
              </m:sSub>
            </m:oMath>
            <w:r>
              <w:t xml:space="preserve"> </w:t>
            </w:r>
            <w:r>
              <w:rPr>
                <w:sz w:val="18"/>
              </w:rPr>
              <w:t>[°/min]</w:t>
            </w:r>
          </w:p>
        </w:tc>
        <w:tc>
          <w:tcPr>
            <w:tcW w:w="3573" w:type="dxa"/>
            <w:gridSpan w:val="3"/>
            <w:tcBorders>
              <w:top w:val="single" w:sz="6" w:space="0" w:color="auto"/>
              <w:right w:val="single" w:sz="6" w:space="0" w:color="auto"/>
            </w:tcBorders>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20"/>
              </w:rPr>
            </w:pPr>
            <w:r>
              <w:rPr>
                <w:sz w:val="18"/>
              </w:rPr>
              <w:t xml:space="preserve">Valori limite per il tempo </w:t>
            </w:r>
            <m:oMath>
              <m:sSub>
                <m:sSubPr>
                  <m:ctrlPr>
                    <w:rPr>
                      <w:rFonts w:ascii="Cambria Math" w:hAnsi="Cambria Math"/>
                      <w:i/>
                      <w:sz w:val="18"/>
                      <w:szCs w:val="20"/>
                    </w:rPr>
                  </m:ctrlPr>
                </m:sSubPr>
                <m:e>
                  <m:r>
                    <w:rPr>
                      <w:rFonts w:ascii="Cambria Math" w:hAnsi="Cambria Math"/>
                      <w:sz w:val="18"/>
                      <w:szCs w:val="20"/>
                    </w:rPr>
                    <m:t>t</m:t>
                  </m:r>
                </m:e>
                <m:sub>
                  <m:r>
                    <w:rPr>
                      <w:rFonts w:ascii="Cambria Math" w:hAnsi="Cambria Math"/>
                      <w:sz w:val="18"/>
                      <w:szCs w:val="20"/>
                    </w:rPr>
                    <m:t>4</m:t>
                  </m:r>
                </m:sub>
              </m:sSub>
            </m:oMath>
            <w:r>
              <w:rPr>
                <w:sz w:val="18"/>
              </w:rPr>
              <w:t xml:space="preserve"> (s) in acque poco profonde </w:t>
            </w:r>
            <w:r>
              <w:rPr>
                <w:sz w:val="18"/>
                <w:szCs w:val="20"/>
              </w:rPr>
              <w:br/>
            </w:r>
            <w:r>
              <w:rPr>
                <w:sz w:val="18"/>
              </w:rPr>
              <w:t>e profonde</w:t>
            </w:r>
          </w:p>
        </w:tc>
      </w:tr>
      <w:tr w:rsidR="004F47BB" w:rsidRPr="004F47BB" w:rsidTr="00D45887">
        <w:trPr>
          <w:jc w:val="center"/>
        </w:trPr>
        <w:tc>
          <w:tcPr>
            <w:tcW w:w="340" w:type="dxa"/>
            <w:tcBorders>
              <w:top w:val="nil"/>
              <w:left w:val="single" w:sz="6" w:space="0" w:color="auto"/>
              <w:bottom w:val="single" w:sz="6" w:space="0" w:color="auto"/>
            </w:tcBorders>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Cs w:val="20"/>
              </w:rPr>
            </w:pPr>
          </w:p>
        </w:tc>
        <w:tc>
          <w:tcPr>
            <w:tcW w:w="4139" w:type="dxa"/>
            <w:tcBorders>
              <w:top w:val="nil"/>
              <w:bottom w:val="single" w:sz="6" w:space="0" w:color="auto"/>
            </w:tcBorders>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Cs w:val="20"/>
              </w:rPr>
            </w:pPr>
          </w:p>
        </w:tc>
        <w:tc>
          <w:tcPr>
            <w:tcW w:w="964" w:type="dxa"/>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20"/>
              </w:rPr>
            </w:pPr>
            <m:oMath>
              <m:r>
                <w:rPr>
                  <w:rFonts w:ascii="Cambria Math" w:hAnsi="Cambria Math"/>
                  <w:i/>
                  <w:sz w:val="18"/>
                  <w:szCs w:val="20"/>
                </w:rPr>
                <w:sym w:font="Symbol" w:char="F064"/>
              </m:r>
            </m:oMath>
            <w:r>
              <w:rPr>
                <w:sz w:val="18"/>
              </w:rPr>
              <w:t xml:space="preserve"> = 20°</w:t>
            </w:r>
          </w:p>
        </w:tc>
        <w:tc>
          <w:tcPr>
            <w:tcW w:w="964" w:type="dxa"/>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20"/>
              </w:rPr>
            </w:pPr>
            <m:oMath>
              <m:r>
                <w:rPr>
                  <w:rFonts w:ascii="Cambria Math" w:hAnsi="Cambria Math"/>
                  <w:i/>
                  <w:sz w:val="18"/>
                  <w:szCs w:val="20"/>
                </w:rPr>
                <w:sym w:font="Symbol" w:char="F064"/>
              </m:r>
            </m:oMath>
            <w:r>
              <w:rPr>
                <w:sz w:val="18"/>
              </w:rPr>
              <w:t xml:space="preserve"> = 45°</w:t>
            </w:r>
          </w:p>
        </w:tc>
        <w:tc>
          <w:tcPr>
            <w:tcW w:w="1191" w:type="dxa"/>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20"/>
              </w:rPr>
            </w:pPr>
            <w:r>
              <w:rPr>
                <w:sz w:val="18"/>
              </w:rPr>
              <w:t xml:space="preserve">1,2 </w:t>
            </w:r>
            <w:r>
              <w:rPr>
                <w:sz w:val="18"/>
                <w:szCs w:val="20"/>
              </w:rPr>
              <w:sym w:font="Symbol" w:char="F0A3"/>
            </w:r>
            <w:r>
              <w:rPr>
                <w:sz w:val="18"/>
              </w:rPr>
              <w:t xml:space="preserve"> h/T </w:t>
            </w:r>
            <w:r>
              <w:rPr>
                <w:sz w:val="18"/>
                <w:szCs w:val="20"/>
              </w:rPr>
              <w:sym w:font="Symbol" w:char="F0A3"/>
            </w:r>
            <w:r>
              <w:rPr>
                <w:sz w:val="18"/>
              </w:rPr>
              <w:t xml:space="preserve"> 1,4</w:t>
            </w:r>
          </w:p>
        </w:tc>
        <w:tc>
          <w:tcPr>
            <w:tcW w:w="1191" w:type="dxa"/>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20"/>
              </w:rPr>
            </w:pPr>
            <w:r>
              <w:rPr>
                <w:sz w:val="18"/>
              </w:rPr>
              <w:t xml:space="preserve">1,4 &lt; h/T </w:t>
            </w:r>
            <w:r>
              <w:rPr>
                <w:sz w:val="18"/>
                <w:szCs w:val="20"/>
              </w:rPr>
              <w:sym w:font="Symbol" w:char="F0A3"/>
            </w:r>
            <w:r>
              <w:rPr>
                <w:sz w:val="18"/>
              </w:rPr>
              <w:t xml:space="preserve"> 2</w:t>
            </w:r>
          </w:p>
        </w:tc>
        <w:tc>
          <w:tcPr>
            <w:tcW w:w="1191" w:type="dxa"/>
            <w:tcBorders>
              <w:bottom w:val="nil"/>
              <w:right w:val="single" w:sz="6" w:space="0" w:color="auto"/>
            </w:tcBorders>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20"/>
              </w:rPr>
            </w:pPr>
            <w:r>
              <w:rPr>
                <w:sz w:val="18"/>
              </w:rPr>
              <w:t>h/T &gt; 2</w:t>
            </w:r>
          </w:p>
        </w:tc>
      </w:tr>
      <w:tr w:rsidR="004F47BB" w:rsidRPr="004F47BB" w:rsidTr="00D45887">
        <w:trPr>
          <w:jc w:val="center"/>
        </w:trPr>
        <w:tc>
          <w:tcPr>
            <w:tcW w:w="340" w:type="dxa"/>
            <w:tcBorders>
              <w:top w:val="nil"/>
              <w:left w:val="single" w:sz="6" w:space="0" w:color="auto"/>
            </w:tcBorders>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1</w:t>
            </w:r>
          </w:p>
        </w:tc>
        <w:tc>
          <w:tcPr>
            <w:tcW w:w="4139" w:type="dxa"/>
            <w:tcBorders>
              <w:top w:val="nil"/>
            </w:tcBorders>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firstLine="0"/>
              <w:textAlignment w:val="baseline"/>
              <w:rPr>
                <w:sz w:val="18"/>
                <w:szCs w:val="20"/>
              </w:rPr>
            </w:pPr>
            <w:r>
              <w:rPr>
                <w:sz w:val="18"/>
              </w:rPr>
              <w:t>Tutte le motonavi; convogli a una fila ≤ 110 × 11,45</w:t>
            </w:r>
          </w:p>
        </w:tc>
        <w:tc>
          <w:tcPr>
            <w:tcW w:w="964" w:type="dxa"/>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20°/min</w:t>
            </w:r>
          </w:p>
        </w:tc>
        <w:tc>
          <w:tcPr>
            <w:tcW w:w="964" w:type="dxa"/>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28°/min</w:t>
            </w:r>
          </w:p>
        </w:tc>
        <w:tc>
          <w:tcPr>
            <w:tcW w:w="1191" w:type="dxa"/>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150 s</w:t>
            </w:r>
          </w:p>
        </w:tc>
        <w:tc>
          <w:tcPr>
            <w:tcW w:w="1191" w:type="dxa"/>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110 s</w:t>
            </w:r>
          </w:p>
        </w:tc>
        <w:tc>
          <w:tcPr>
            <w:tcW w:w="1191" w:type="dxa"/>
            <w:tcBorders>
              <w:top w:val="single" w:sz="6" w:space="0" w:color="auto"/>
              <w:bottom w:val="nil"/>
              <w:right w:val="single" w:sz="6" w:space="0" w:color="auto"/>
            </w:tcBorders>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110 s</w:t>
            </w:r>
          </w:p>
        </w:tc>
      </w:tr>
      <w:tr w:rsidR="004F47BB" w:rsidRPr="004F47BB" w:rsidTr="00D45887">
        <w:trPr>
          <w:jc w:val="center"/>
        </w:trPr>
        <w:tc>
          <w:tcPr>
            <w:tcW w:w="340" w:type="dxa"/>
            <w:tcBorders>
              <w:left w:val="single" w:sz="6" w:space="0" w:color="auto"/>
            </w:tcBorders>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2</w:t>
            </w:r>
          </w:p>
        </w:tc>
        <w:tc>
          <w:tcPr>
            <w:tcW w:w="4139" w:type="dxa"/>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firstLine="0"/>
              <w:textAlignment w:val="baseline"/>
              <w:rPr>
                <w:sz w:val="18"/>
                <w:szCs w:val="20"/>
              </w:rPr>
            </w:pPr>
            <w:r>
              <w:rPr>
                <w:sz w:val="18"/>
              </w:rPr>
              <w:t>Convogli a una fila fino a 193 × 11.45 o convogli affiancati a due file fino a 110 × 22,90</w:t>
            </w:r>
          </w:p>
        </w:tc>
        <w:tc>
          <w:tcPr>
            <w:tcW w:w="964" w:type="dxa"/>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12°/min</w:t>
            </w:r>
          </w:p>
        </w:tc>
        <w:tc>
          <w:tcPr>
            <w:tcW w:w="964" w:type="dxa"/>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18°/min</w:t>
            </w:r>
          </w:p>
        </w:tc>
        <w:tc>
          <w:tcPr>
            <w:tcW w:w="1191" w:type="dxa"/>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180 s</w:t>
            </w:r>
          </w:p>
        </w:tc>
        <w:tc>
          <w:tcPr>
            <w:tcW w:w="1191" w:type="dxa"/>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130 s</w:t>
            </w:r>
          </w:p>
        </w:tc>
        <w:tc>
          <w:tcPr>
            <w:tcW w:w="1191" w:type="dxa"/>
            <w:tcBorders>
              <w:top w:val="single" w:sz="6" w:space="0" w:color="auto"/>
              <w:bottom w:val="single" w:sz="6" w:space="0" w:color="auto"/>
              <w:right w:val="single" w:sz="6" w:space="0" w:color="auto"/>
            </w:tcBorders>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110 s</w:t>
            </w:r>
          </w:p>
        </w:tc>
      </w:tr>
      <w:tr w:rsidR="004F47BB" w:rsidRPr="004F47BB" w:rsidTr="00D45887">
        <w:trPr>
          <w:jc w:val="center"/>
        </w:trPr>
        <w:tc>
          <w:tcPr>
            <w:tcW w:w="340" w:type="dxa"/>
            <w:tcBorders>
              <w:left w:val="single" w:sz="6" w:space="0" w:color="auto"/>
            </w:tcBorders>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3</w:t>
            </w:r>
          </w:p>
        </w:tc>
        <w:tc>
          <w:tcPr>
            <w:tcW w:w="4139" w:type="dxa"/>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firstLine="0"/>
              <w:textAlignment w:val="baseline"/>
              <w:rPr>
                <w:sz w:val="18"/>
                <w:szCs w:val="20"/>
              </w:rPr>
            </w:pPr>
            <w:r>
              <w:rPr>
                <w:sz w:val="18"/>
              </w:rPr>
              <w:t>Convogli affiancati a due file ≤ 193 × 22,90</w:t>
            </w:r>
          </w:p>
        </w:tc>
        <w:tc>
          <w:tcPr>
            <w:tcW w:w="964" w:type="dxa"/>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8°/min</w:t>
            </w:r>
          </w:p>
        </w:tc>
        <w:tc>
          <w:tcPr>
            <w:tcW w:w="964" w:type="dxa"/>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12°/min</w:t>
            </w:r>
          </w:p>
        </w:tc>
        <w:tc>
          <w:tcPr>
            <w:tcW w:w="1191" w:type="dxa"/>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180 s</w:t>
            </w:r>
          </w:p>
        </w:tc>
        <w:tc>
          <w:tcPr>
            <w:tcW w:w="1191" w:type="dxa"/>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130 s</w:t>
            </w:r>
          </w:p>
        </w:tc>
        <w:tc>
          <w:tcPr>
            <w:tcW w:w="1191" w:type="dxa"/>
            <w:tcBorders>
              <w:top w:val="single" w:sz="6" w:space="0" w:color="auto"/>
              <w:bottom w:val="single" w:sz="6" w:space="0" w:color="auto"/>
              <w:right w:val="single" w:sz="6" w:space="0" w:color="auto"/>
            </w:tcBorders>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110 s</w:t>
            </w:r>
          </w:p>
        </w:tc>
      </w:tr>
      <w:tr w:rsidR="004F47BB" w:rsidRPr="004F47BB" w:rsidTr="00D45887">
        <w:trPr>
          <w:jc w:val="center"/>
        </w:trPr>
        <w:tc>
          <w:tcPr>
            <w:tcW w:w="340" w:type="dxa"/>
            <w:tcBorders>
              <w:left w:val="single" w:sz="6" w:space="0" w:color="auto"/>
            </w:tcBorders>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4</w:t>
            </w:r>
          </w:p>
        </w:tc>
        <w:tc>
          <w:tcPr>
            <w:tcW w:w="4139" w:type="dxa"/>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firstLine="0"/>
              <w:textAlignment w:val="baseline"/>
              <w:rPr>
                <w:sz w:val="18"/>
                <w:szCs w:val="20"/>
              </w:rPr>
            </w:pPr>
            <w:r>
              <w:rPr>
                <w:sz w:val="18"/>
              </w:rPr>
              <w:t>Convogli affiancati a due file fino a 270 × 22,90 o convogli affiancati a tre file fino a 193 × 34,35</w:t>
            </w:r>
          </w:p>
        </w:tc>
        <w:tc>
          <w:tcPr>
            <w:tcW w:w="964" w:type="dxa"/>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6°/min</w:t>
            </w:r>
          </w:p>
        </w:tc>
        <w:tc>
          <w:tcPr>
            <w:tcW w:w="964" w:type="dxa"/>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8°/min</w:t>
            </w:r>
          </w:p>
        </w:tc>
        <w:tc>
          <w:tcPr>
            <w:tcW w:w="1191" w:type="dxa"/>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w:t>
            </w:r>
          </w:p>
        </w:tc>
        <w:tc>
          <w:tcPr>
            <w:tcW w:w="1191" w:type="dxa"/>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w:t>
            </w:r>
          </w:p>
        </w:tc>
        <w:tc>
          <w:tcPr>
            <w:tcW w:w="1191" w:type="dxa"/>
            <w:tcBorders>
              <w:top w:val="nil"/>
              <w:bottom w:val="nil"/>
              <w:right w:val="single" w:sz="6" w:space="0" w:color="auto"/>
            </w:tcBorders>
            <w:vAlign w:val="center"/>
          </w:tcPr>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0" w:firstLine="0"/>
              <w:jc w:val="center"/>
              <w:textAlignment w:val="baseline"/>
              <w:rPr>
                <w:sz w:val="18"/>
                <w:szCs w:val="18"/>
              </w:rPr>
            </w:pPr>
            <w:r>
              <w:rPr>
                <w:sz w:val="18"/>
              </w:rPr>
              <w:t>*)</w:t>
            </w:r>
          </w:p>
        </w:tc>
      </w:tr>
      <w:tr w:rsidR="004F47BB" w:rsidRPr="00A0619C" w:rsidTr="00D45887">
        <w:trPr>
          <w:jc w:val="center"/>
        </w:trPr>
        <w:tc>
          <w:tcPr>
            <w:tcW w:w="9980" w:type="dxa"/>
            <w:gridSpan w:val="7"/>
            <w:tcBorders>
              <w:left w:val="single" w:sz="6" w:space="0" w:color="auto"/>
              <w:bottom w:val="single" w:sz="6" w:space="0" w:color="auto"/>
              <w:right w:val="single" w:sz="6" w:space="0" w:color="auto"/>
            </w:tcBorders>
            <w:vAlign w:val="center"/>
          </w:tcPr>
          <w:p w:rsidR="004F47BB" w:rsidRPr="004F47BB" w:rsidRDefault="004F47BB" w:rsidP="004F47BB">
            <w:pPr>
              <w:tabs>
                <w:tab w:val="left" w:pos="-1440"/>
                <w:tab w:val="left" w:pos="-576"/>
                <w:tab w:val="left" w:pos="-432"/>
                <w:tab w:val="left" w:pos="426"/>
              </w:tabs>
              <w:overflowPunct w:val="0"/>
              <w:adjustRightInd w:val="0"/>
              <w:spacing w:before="40" w:after="40" w:line="240" w:lineRule="atLeast"/>
              <w:ind w:left="0" w:firstLine="0"/>
              <w:jc w:val="left"/>
              <w:textAlignment w:val="baseline"/>
              <w:rPr>
                <w:szCs w:val="20"/>
              </w:rPr>
            </w:pPr>
            <w:r>
              <w:tab/>
            </w:r>
            <w:r>
              <w:rPr>
                <w:sz w:val="16"/>
              </w:rPr>
              <w:t>*)</w:t>
            </w:r>
            <w:r>
              <w:tab/>
            </w:r>
            <w:r>
              <w:rPr>
                <w:sz w:val="16"/>
              </w:rPr>
              <w:t>Conformemente alla decisione dell'esperto nautico.</w:t>
            </w:r>
          </w:p>
        </w:tc>
      </w:tr>
    </w:tbl>
    <w:p w:rsidR="004F47BB" w:rsidRPr="004F47BB"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ind w:left="0" w:firstLine="0"/>
        <w:jc w:val="left"/>
        <w:textAlignment w:val="baseline"/>
        <w:rPr>
          <w:szCs w:val="20"/>
        </w:rPr>
      </w:pPr>
    </w:p>
    <w:p w:rsidR="004F47BB" w:rsidRPr="004F47BB" w:rsidRDefault="004F47BB" w:rsidP="004F47BB">
      <w:pPr>
        <w:spacing w:line="240" w:lineRule="atLeast"/>
        <w:ind w:left="567" w:firstLine="0"/>
        <w:rPr>
          <w:szCs w:val="20"/>
        </w:rPr>
      </w:pPr>
      <w:r>
        <w:t xml:space="preserve">I tempi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1</m:t>
            </m:r>
          </m:sub>
        </m:sSub>
      </m:oMath>
      <w:r>
        <w:t xml:space="preserve">,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2</m:t>
            </m:r>
          </m:sub>
        </m:sSub>
      </m:oMath>
      <w:r>
        <w:t xml:space="preserve">,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3</m:t>
            </m:r>
          </m:sub>
        </m:sSub>
      </m:oMath>
      <w:r>
        <w:t xml:space="preserve"> e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t xml:space="preserve"> necessari per raggiungere le velocità di virata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1</m:t>
            </m:r>
          </m:sub>
        </m:sSub>
      </m:oMath>
      <w:r>
        <w:t xml:space="preserve">,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2</m:t>
            </m:r>
          </m:sub>
        </m:sSub>
      </m:oMath>
      <w:r>
        <w:t xml:space="preserve">,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3</m:t>
            </m:r>
          </m:sub>
        </m:sSub>
      </m:oMath>
      <w:r>
        <w:t xml:space="preserve"> e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4</m:t>
            </m:r>
          </m:sub>
        </m:sSub>
      </m:oMath>
      <w:r>
        <w:t xml:space="preserve"> devono essere registrati nel verbale di misurazione riportato nell'allegato 2. I valori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t xml:space="preserve"> non devono superare i limiti indicati nella tabella.</w:t>
      </w:r>
    </w:p>
    <w:p w:rsidR="004F47BB" w:rsidRPr="004F47BB" w:rsidRDefault="004F47BB" w:rsidP="004F47BB">
      <w:pPr>
        <w:overflowPunct w:val="0"/>
        <w:adjustRightInd w:val="0"/>
        <w:ind w:left="567" w:hanging="567"/>
        <w:jc w:val="left"/>
        <w:textAlignment w:val="baseline"/>
        <w:rPr>
          <w:szCs w:val="20"/>
        </w:rPr>
      </w:pPr>
    </w:p>
    <w:p w:rsidR="004F47BB" w:rsidRPr="004F47BB" w:rsidRDefault="004F47BB" w:rsidP="004F47BB">
      <w:pPr>
        <w:spacing w:line="240" w:lineRule="atLeast"/>
        <w:ind w:left="567" w:hanging="567"/>
      </w:pPr>
      <w:r>
        <w:t>2.3</w:t>
      </w:r>
      <w:r>
        <w:tab/>
        <w:t>Si devono effettuare almeno quattro manovre di evasione e segnatamente:</w:t>
      </w:r>
    </w:p>
    <w:p w:rsidR="004F47BB" w:rsidRPr="004F47BB" w:rsidRDefault="004F47BB" w:rsidP="004F47BB">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rPr>
      </w:pPr>
      <w:r>
        <w:t>-</w:t>
      </w:r>
      <w:r>
        <w:tab/>
      </w:r>
      <w:r>
        <w:tab/>
        <w:t>una a tribordo con un angolo del timone</w:t>
      </w:r>
      <w:r>
        <w:tab/>
      </w:r>
      <m:oMath>
        <m:r>
          <w:rPr>
            <w:rFonts w:ascii="Cambria Math" w:hAnsi="Cambria Math"/>
            <w:i/>
            <w:szCs w:val="20"/>
          </w:rPr>
          <w:sym w:font="Symbol" w:char="F064"/>
        </m:r>
      </m:oMath>
      <w:r>
        <w:tab/>
        <w:t>=</w:t>
      </w:r>
      <w:r>
        <w:tab/>
        <w:t xml:space="preserve">20°; </w:t>
      </w:r>
    </w:p>
    <w:p w:rsidR="004F47BB" w:rsidRPr="004F47BB" w:rsidRDefault="004F47BB" w:rsidP="004F47BB">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rPr>
      </w:pPr>
      <w:r>
        <w:t>-</w:t>
      </w:r>
      <w:r>
        <w:tab/>
        <w:t>una a babordo con un angolo del timone</w:t>
      </w:r>
      <w:r>
        <w:tab/>
      </w:r>
      <m:oMath>
        <m:r>
          <w:rPr>
            <w:rFonts w:ascii="Cambria Math" w:hAnsi="Cambria Math"/>
            <w:i/>
            <w:szCs w:val="20"/>
          </w:rPr>
          <w:sym w:font="Symbol" w:char="F064"/>
        </m:r>
      </m:oMath>
      <w:r>
        <w:tab/>
        <w:t>=</w:t>
      </w:r>
      <w:r>
        <w:tab/>
        <w:t>20°;</w:t>
      </w:r>
    </w:p>
    <w:p w:rsidR="004F47BB" w:rsidRPr="004F47BB" w:rsidRDefault="004F47BB" w:rsidP="004F47BB">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rPr>
      </w:pPr>
      <w:r>
        <w:t>-</w:t>
      </w:r>
      <w:r>
        <w:tab/>
        <w:t>una a tribordo con un angolo del timone</w:t>
      </w:r>
      <w:r>
        <w:tab/>
      </w:r>
      <m:oMath>
        <m:r>
          <w:rPr>
            <w:rFonts w:ascii="Cambria Math" w:hAnsi="Cambria Math"/>
            <w:i/>
            <w:szCs w:val="20"/>
          </w:rPr>
          <w:sym w:font="Symbol" w:char="F064"/>
        </m:r>
      </m:oMath>
      <w:r>
        <w:tab/>
        <w:t>=</w:t>
      </w:r>
      <w:r>
        <w:tab/>
        <w:t>45°;</w:t>
      </w:r>
    </w:p>
    <w:p w:rsidR="004F47BB" w:rsidRPr="004F47BB" w:rsidRDefault="004F47BB" w:rsidP="004F47BB">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rPr>
      </w:pPr>
      <w:r>
        <w:t>-</w:t>
      </w:r>
      <w:r>
        <w:tab/>
        <w:t>una a babordo con un angolo del timone</w:t>
      </w:r>
      <w:r>
        <w:tab/>
      </w:r>
      <m:oMath>
        <m:r>
          <w:rPr>
            <w:rFonts w:ascii="Cambria Math" w:hAnsi="Cambria Math"/>
            <w:i/>
            <w:szCs w:val="20"/>
          </w:rPr>
          <w:sym w:font="Symbol" w:char="F064"/>
        </m:r>
      </m:oMath>
      <w:r>
        <w:tab/>
        <w:t>=</w:t>
      </w:r>
      <w:r>
        <w:tab/>
        <w:t>45°.</w:t>
      </w:r>
    </w:p>
    <w:p w:rsidR="004F47BB" w:rsidRPr="004F47BB" w:rsidRDefault="004F47BB" w:rsidP="004F47BB">
      <w:pPr>
        <w:overflowPunct w:val="0"/>
        <w:adjustRightInd w:val="0"/>
        <w:ind w:left="0" w:firstLine="0"/>
        <w:textAlignment w:val="baseline"/>
        <w:rPr>
          <w:szCs w:val="20"/>
        </w:rPr>
      </w:pPr>
    </w:p>
    <w:p w:rsidR="004F47BB" w:rsidRPr="004F47BB" w:rsidRDefault="004F47BB" w:rsidP="004F47BB">
      <w:pPr>
        <w:spacing w:line="240" w:lineRule="atLeast"/>
        <w:ind w:left="567" w:firstLine="0"/>
      </w:pPr>
      <w:r>
        <w:t xml:space="preserve">Se necessario (ad esempio in caso di incertezza in merito ai valori misurati o di manovre insoddisfacenti), le manovre evasive devono essere ripetute. Le velocità di virata riportate nel punto 2.2 e i limiti temporali devono essere rispettati. In caso di dispositivi di governo attivi o tipi speciali di timone, è possibile scegliere una posizione </w:t>
      </w:r>
      <m:oMath>
        <m:sSub>
          <m:sSubPr>
            <m:ctrlPr>
              <w:rPr>
                <w:rFonts w:ascii="Cambria Math" w:hAnsi="Cambria Math"/>
                <w:i/>
                <w:szCs w:val="20"/>
              </w:rPr>
            </m:ctrlPr>
          </m:sSubPr>
          <m:e>
            <m:r>
              <w:rPr>
                <w:rFonts w:ascii="Cambria Math" w:hAnsi="Cambria Math"/>
                <w:szCs w:val="20"/>
              </w:rPr>
              <m:t>δ</m:t>
            </m:r>
          </m:e>
          <m:sub>
            <m:r>
              <w:rPr>
                <w:rFonts w:ascii="Cambria Math" w:hAnsi="Cambria Math"/>
                <w:szCs w:val="20"/>
              </w:rPr>
              <m:t>a</m:t>
            </m:r>
          </m:sub>
        </m:sSub>
      </m:oMath>
      <w:r>
        <w:t xml:space="preserve"> dell'unità di governo o un angolo del timone </w:t>
      </w:r>
      <m:oMath>
        <m:sSub>
          <m:sSubPr>
            <m:ctrlPr>
              <w:rPr>
                <w:rFonts w:ascii="Cambria Math" w:hAnsi="Cambria Math"/>
                <w:i/>
                <w:szCs w:val="20"/>
              </w:rPr>
            </m:ctrlPr>
          </m:sSubPr>
          <m:e>
            <m:r>
              <w:rPr>
                <w:rFonts w:ascii="Cambria Math" w:hAnsi="Cambria Math"/>
                <w:szCs w:val="20"/>
              </w:rPr>
              <m:t>δ</m:t>
            </m:r>
          </m:e>
          <m:sub>
            <m:r>
              <w:rPr>
                <w:rFonts w:ascii="Cambria Math" w:hAnsi="Cambria Math"/>
                <w:szCs w:val="20"/>
              </w:rPr>
              <m:t>a</m:t>
            </m:r>
          </m:sub>
        </m:sSub>
      </m:oMath>
      <w:r>
        <w:t xml:space="preserve"> diverso da </w:t>
      </w:r>
      <m:oMath>
        <m:r>
          <w:rPr>
            <w:rFonts w:ascii="Cambria Math" w:hAnsi="Cambria Math"/>
            <w:noProof/>
          </w:rPr>
          <m:t>δ</m:t>
        </m:r>
      </m:oMath>
      <w:r>
        <w:t xml:space="preserve"> = 20° e </w:t>
      </w:r>
      <m:oMath>
        <m:r>
          <w:rPr>
            <w:rFonts w:ascii="Cambria Math" w:hAnsi="Cambria Math"/>
            <w:noProof/>
          </w:rPr>
          <m:t>δ</m:t>
        </m:r>
      </m:oMath>
      <w:r>
        <w:t xml:space="preserve"> = 45°, a seconda della valutazione dell'esperto e del tipo di apparato di governo.</w:t>
      </w:r>
    </w:p>
    <w:p w:rsidR="004F47BB" w:rsidRPr="004F47BB" w:rsidRDefault="004F47BB" w:rsidP="004F47BB">
      <w:pPr>
        <w:tabs>
          <w:tab w:val="left" w:pos="567"/>
        </w:tabs>
        <w:overflowPunct w:val="0"/>
        <w:adjustRightInd w:val="0"/>
        <w:ind w:left="567" w:hanging="567"/>
        <w:jc w:val="left"/>
        <w:textAlignment w:val="baseline"/>
        <w:rPr>
          <w:szCs w:val="20"/>
        </w:rPr>
      </w:pPr>
    </w:p>
    <w:p w:rsidR="004F47BB" w:rsidRPr="004F47BB" w:rsidRDefault="004F47BB" w:rsidP="004F47BB">
      <w:pPr>
        <w:spacing w:line="240" w:lineRule="atLeast"/>
        <w:ind w:left="567" w:hanging="567"/>
        <w:rPr>
          <w:szCs w:val="20"/>
        </w:rPr>
      </w:pPr>
      <w:r>
        <w:t>2.4</w:t>
      </w:r>
      <w:r>
        <w:tab/>
        <w:t>Per stabilire la velocità di virata, a bordo deve essere presente un indicatore della velocità di accostata conforme all'articolo 7.06, paragrafo 1.</w:t>
      </w:r>
    </w:p>
    <w:p w:rsidR="004F47BB" w:rsidRPr="004F47BB" w:rsidRDefault="004F47BB" w:rsidP="004F47BB">
      <w:pPr>
        <w:tabs>
          <w:tab w:val="left" w:pos="567"/>
        </w:tabs>
        <w:overflowPunct w:val="0"/>
        <w:adjustRightInd w:val="0"/>
        <w:ind w:left="567" w:hanging="567"/>
        <w:jc w:val="left"/>
        <w:textAlignment w:val="baseline"/>
        <w:rPr>
          <w:szCs w:val="20"/>
        </w:rPr>
      </w:pPr>
    </w:p>
    <w:p w:rsidR="004F47BB" w:rsidRPr="004F47BB" w:rsidRDefault="004F47BB" w:rsidP="004F47BB">
      <w:pPr>
        <w:spacing w:line="240" w:lineRule="atLeast"/>
        <w:ind w:left="567" w:hanging="567"/>
      </w:pPr>
      <w:r>
        <w:t>2.5</w:t>
      </w:r>
      <w:r>
        <w:tab/>
        <w:t>Conformemente all'articolo 5.04, il carico durante la manovra di evasione deve essere compreso tra il 70 % e il 100 % della portata lorda massima. Se la prova è eseguita con un carico inferiore, l'approvazione della navigazione a valle e a monte si limita a tale carico.</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firstLine="0"/>
      </w:pPr>
      <w:r>
        <w:t>La procedura per le manovre di evasione e i termini impiegati sono riportati in uno schema contenuto nell'allegato 1.</w:t>
      </w:r>
    </w:p>
    <w:p w:rsidR="004F47BB" w:rsidRPr="004F47BB" w:rsidRDefault="004F47BB" w:rsidP="004F47BB">
      <w:pPr>
        <w:tabs>
          <w:tab w:val="left" w:pos="567"/>
        </w:tabs>
        <w:overflowPunct w:val="0"/>
        <w:adjustRightInd w:val="0"/>
        <w:ind w:left="567" w:hanging="567"/>
        <w:textAlignment w:val="baseline"/>
        <w:rPr>
          <w:szCs w:val="20"/>
        </w:rPr>
      </w:pPr>
    </w:p>
    <w:p w:rsidR="004F47BB" w:rsidRPr="004F47BB" w:rsidRDefault="004F47BB" w:rsidP="004F47BB">
      <w:pPr>
        <w:tabs>
          <w:tab w:val="left" w:pos="567"/>
        </w:tabs>
        <w:overflowPunct w:val="0"/>
        <w:adjustRightInd w:val="0"/>
        <w:ind w:left="567" w:hanging="567"/>
        <w:jc w:val="left"/>
        <w:textAlignment w:val="baseline"/>
        <w:rPr>
          <w:b/>
          <w:szCs w:val="20"/>
        </w:rPr>
      </w:pPr>
      <w:r>
        <w:rPr>
          <w:b/>
        </w:rPr>
        <w:t>3.</w:t>
      </w:r>
      <w:r>
        <w:tab/>
      </w:r>
      <w:r>
        <w:rPr>
          <w:b/>
        </w:rPr>
        <w:t>Capacità di virata</w:t>
      </w:r>
    </w:p>
    <w:p w:rsidR="004F47BB" w:rsidRPr="004F47BB" w:rsidRDefault="004F47BB" w:rsidP="004F47BB">
      <w:pPr>
        <w:tabs>
          <w:tab w:val="left" w:pos="567"/>
        </w:tabs>
        <w:overflowPunct w:val="0"/>
        <w:adjustRightInd w:val="0"/>
        <w:ind w:left="567" w:hanging="567"/>
        <w:jc w:val="left"/>
        <w:textAlignment w:val="baseline"/>
        <w:rPr>
          <w:szCs w:val="20"/>
        </w:rPr>
      </w:pPr>
    </w:p>
    <w:p w:rsidR="004F47BB" w:rsidRPr="004F47BB" w:rsidRDefault="004F47BB" w:rsidP="004F47BB">
      <w:pPr>
        <w:spacing w:line="240" w:lineRule="atLeast"/>
        <w:ind w:left="567" w:firstLine="0"/>
      </w:pPr>
      <w:r>
        <w:t>La capacità di virata di navi e convogli con lunghezza (</w:t>
      </w:r>
      <m:oMath>
        <m:r>
          <w:rPr>
            <w:rFonts w:ascii="Cambria Math" w:hAnsi="Cambria Math"/>
          </w:rPr>
          <m:t>L</m:t>
        </m:r>
      </m:oMath>
      <w:r>
        <w:t>) non superiore a 86 m e larghezza (</w:t>
      </w:r>
      <m:oMath>
        <m:r>
          <w:rPr>
            <w:rFonts w:ascii="Cambria Math" w:hAnsi="Cambria Math"/>
          </w:rPr>
          <m:t>B</m:t>
        </m:r>
      </m:oMath>
      <w:r>
        <w:t>) non superiore a 22,90 m è ritenuta sufficiente a norma dell'articolo 5.10 in combinato disposto con l'articolo 5.02, paragrafo 1, quando, durante una manovra di virata a monte con una velocità iniziale rispetto all'acqua di 13 km/h, si rispettano i valori limite per l'arresto prua a valle di cui all'istruzione ESI-II-3. Le condizioni di franco sottochiglia di cui alla sezione 1.1 devono essere rispettate.</w:t>
      </w:r>
    </w:p>
    <w:p w:rsidR="004F47BB" w:rsidRPr="004F47BB" w:rsidRDefault="004F47BB" w:rsidP="004F47BB">
      <w:pPr>
        <w:tabs>
          <w:tab w:val="left" w:pos="426"/>
        </w:tabs>
        <w:overflowPunct w:val="0"/>
        <w:adjustRightInd w:val="0"/>
        <w:ind w:left="426" w:hanging="426"/>
        <w:jc w:val="left"/>
        <w:textAlignment w:val="baseline"/>
        <w:rPr>
          <w:szCs w:val="20"/>
        </w:rPr>
      </w:pPr>
      <w:r>
        <w:br w:type="page"/>
      </w:r>
    </w:p>
    <w:p w:rsidR="004F47BB" w:rsidRPr="004F47BB" w:rsidRDefault="004F47BB" w:rsidP="004F47BB">
      <w:pPr>
        <w:spacing w:line="240" w:lineRule="atLeast"/>
        <w:ind w:left="567" w:hanging="567"/>
        <w:rPr>
          <w:rFonts w:cs="Arial"/>
          <w:b/>
          <w:color w:val="000000"/>
          <w:szCs w:val="20"/>
        </w:rPr>
      </w:pPr>
      <w:r>
        <w:rPr>
          <w:b/>
          <w:color w:val="000000"/>
        </w:rPr>
        <w:lastRenderedPageBreak/>
        <w:t>4.</w:t>
      </w:r>
      <w:r>
        <w:tab/>
      </w:r>
      <w:r>
        <w:rPr>
          <w:b/>
          <w:color w:val="000000"/>
        </w:rPr>
        <w:t>Altri requisiti</w:t>
      </w:r>
    </w:p>
    <w:p w:rsidR="004F47BB" w:rsidRPr="004F47BB" w:rsidRDefault="004F47BB" w:rsidP="004F47BB">
      <w:pPr>
        <w:tabs>
          <w:tab w:val="left" w:pos="426"/>
        </w:tabs>
        <w:overflowPunct w:val="0"/>
        <w:adjustRightInd w:val="0"/>
        <w:ind w:left="426" w:hanging="426"/>
        <w:jc w:val="left"/>
        <w:textAlignment w:val="baseline"/>
        <w:rPr>
          <w:szCs w:val="20"/>
        </w:rPr>
      </w:pPr>
    </w:p>
    <w:p w:rsidR="004F47BB" w:rsidRPr="004F47BB" w:rsidRDefault="004F47BB" w:rsidP="004F47BB">
      <w:pPr>
        <w:spacing w:line="240" w:lineRule="atLeast"/>
        <w:ind w:left="567" w:hanging="567"/>
      </w:pPr>
      <w:r>
        <w:t>4.1</w:t>
      </w:r>
      <w:r>
        <w:tab/>
        <w:t>Fermi restando i punti da 1 a 3, si devono rispettare i seguenti requisiti:</w:t>
      </w:r>
    </w:p>
    <w:p w:rsidR="004F47BB" w:rsidRPr="004F47BB" w:rsidRDefault="004F47BB" w:rsidP="004F47BB">
      <w:pPr>
        <w:spacing w:before="60" w:line="240" w:lineRule="atLeast"/>
        <w:ind w:left="992"/>
      </w:pPr>
      <w:r>
        <w:t>a)</w:t>
      </w:r>
      <w:r>
        <w:tab/>
        <w:t>in caso di apparati di governo a comando manuale, un singolo giro della ruota deve corrispondere a un angolo del timone di almeno 3°;</w:t>
      </w:r>
    </w:p>
    <w:p w:rsidR="004F47BB" w:rsidRPr="004F47BB" w:rsidRDefault="004F47BB" w:rsidP="004F47BB">
      <w:pPr>
        <w:spacing w:before="60" w:line="240" w:lineRule="atLeast"/>
        <w:ind w:left="992"/>
      </w:pPr>
      <w:r>
        <w:t>b)</w:t>
      </w:r>
      <w:r>
        <w:tab/>
        <w:t>in caso di apparati di governo motorizzati, quando il timone è alla massima immersione, deve essere possibile raggiungere una velocità angolare media di 4°/s per l'intero raggio di rotazione del timone.</w:t>
      </w:r>
    </w:p>
    <w:p w:rsidR="004F47BB" w:rsidRPr="004F47BB" w:rsidRDefault="004F47BB" w:rsidP="004F47BB">
      <w:pPr>
        <w:spacing w:before="60" w:line="240" w:lineRule="atLeast"/>
        <w:ind w:left="992" w:firstLine="0"/>
      </w:pPr>
      <w:r>
        <w:t>Tale requisito deve essere anche controllato con la nave alla massima velocità spostando il timone da 35° a babordo a 35° a tribordo. Si deve inoltre verificare se il timone mantiene la posizione dell'angolo massimo alla massima potenza propulsiva. Tale disposizione si applica, in quanto compatibile, agli apparati di governo attivi e ai tipi speciali di timone.</w:t>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spacing w:line="240" w:lineRule="atLeast"/>
        <w:ind w:left="567" w:hanging="567"/>
      </w:pPr>
      <w:r>
        <w:t>4.2</w:t>
      </w:r>
      <w:r>
        <w:tab/>
        <w:t>Se è necessaria una dotazione aggiuntiva di cui all'articolo 5.05 per raggiungere le capacità di manovra richieste, questa deve essere conforme ai requisiti del capo 6 e nella rubrica 52 del certificato per la navigazione interna occorre riportare i seguenti dettagli:</w:t>
      </w:r>
    </w:p>
    <w:p w:rsidR="004F47BB" w:rsidRPr="004F47BB" w:rsidRDefault="004F47BB" w:rsidP="004F47BB">
      <w:pPr>
        <w:tabs>
          <w:tab w:val="left" w:pos="567"/>
        </w:tabs>
        <w:overflowPunct w:val="0"/>
        <w:adjustRightInd w:val="0"/>
        <w:ind w:left="567" w:hanging="567"/>
        <w:textAlignment w:val="baseline"/>
        <w:rPr>
          <w:szCs w:val="20"/>
        </w:rPr>
      </w:pPr>
    </w:p>
    <w:p w:rsidR="004F47BB" w:rsidRPr="004F47BB" w:rsidRDefault="004F47BB" w:rsidP="004F47BB">
      <w:pPr>
        <w:spacing w:line="240" w:lineRule="atLeast"/>
        <w:ind w:left="567" w:firstLine="0"/>
      </w:pPr>
      <w:r>
        <w:t>"Per rispettare i requisiti di manovrabilità di cui al capo 5, è*/sono* necessari timoni laterali</w:t>
      </w:r>
      <w:r>
        <w:rPr>
          <w:vertAlign w:val="superscript"/>
        </w:rPr>
        <w:footnoteReference w:customMarkFollows="1" w:id="79"/>
        <w:t>*)</w:t>
      </w:r>
      <w:r>
        <w:t>/apparati di governo di prua*/ altra dotazione* di cui alla rubrica 34.</w:t>
      </w:r>
    </w:p>
    <w:p w:rsidR="004F47BB" w:rsidRPr="004F47BB" w:rsidRDefault="004F47BB" w:rsidP="004F47BB">
      <w:pPr>
        <w:spacing w:line="240" w:lineRule="atLeast"/>
        <w:ind w:left="0" w:firstLine="0"/>
      </w:pPr>
    </w:p>
    <w:p w:rsidR="004F47BB" w:rsidRPr="004F47BB" w:rsidRDefault="004F47BB" w:rsidP="004F47BB">
      <w:pPr>
        <w:spacing w:line="240" w:lineRule="atLeast"/>
        <w:ind w:left="567" w:hanging="567"/>
        <w:rPr>
          <w:rFonts w:cs="Arial"/>
          <w:b/>
          <w:color w:val="000000"/>
          <w:szCs w:val="20"/>
        </w:rPr>
      </w:pPr>
      <w:r>
        <w:rPr>
          <w:b/>
          <w:color w:val="000000"/>
        </w:rPr>
        <w:t>5.</w:t>
      </w:r>
      <w:r>
        <w:tab/>
      </w:r>
      <w:r>
        <w:rPr>
          <w:b/>
          <w:color w:val="000000"/>
        </w:rPr>
        <w:t>Annotazione dei dati e verbali</w:t>
      </w:r>
    </w:p>
    <w:p w:rsidR="004F47BB" w:rsidRPr="004F47BB" w:rsidRDefault="004F47BB" w:rsidP="004F47BB">
      <w:pPr>
        <w:tabs>
          <w:tab w:val="left" w:pos="567"/>
        </w:tabs>
        <w:overflowPunct w:val="0"/>
        <w:adjustRightInd w:val="0"/>
        <w:ind w:left="567" w:hanging="567"/>
        <w:textAlignment w:val="baseline"/>
        <w:rPr>
          <w:szCs w:val="20"/>
        </w:rPr>
      </w:pPr>
    </w:p>
    <w:p w:rsidR="004F47BB" w:rsidRPr="004F47BB" w:rsidRDefault="004F47BB" w:rsidP="004F47BB">
      <w:pPr>
        <w:spacing w:line="240" w:lineRule="atLeast"/>
        <w:ind w:left="567" w:firstLine="0"/>
      </w:pPr>
      <w:r>
        <w:t>Le misurazioni, la compilazione dei verbali e l'annotazione dei dati devono avvenire secondo la procedura descritta nell'allegato 2.</w:t>
      </w:r>
    </w:p>
    <w:p w:rsidR="004F47BB" w:rsidRPr="004F47BB" w:rsidRDefault="004F47BB" w:rsidP="004F47BB">
      <w:pPr>
        <w:overflowPunct w:val="0"/>
        <w:adjustRightInd w:val="0"/>
        <w:ind w:left="0" w:firstLine="0"/>
        <w:textAlignment w:val="baseline"/>
        <w:rPr>
          <w:szCs w:val="20"/>
        </w:rPr>
      </w:pPr>
    </w:p>
    <w:p w:rsidR="004F47BB" w:rsidRPr="004F47BB" w:rsidRDefault="004F47BB" w:rsidP="004F47BB">
      <w:pPr>
        <w:overflowPunct w:val="0"/>
        <w:adjustRightInd w:val="0"/>
        <w:ind w:left="0" w:firstLine="0"/>
        <w:textAlignment w:val="baseline"/>
        <w:rPr>
          <w:szCs w:val="20"/>
        </w:rPr>
      </w:pPr>
    </w:p>
    <w:p w:rsidR="004F47BB" w:rsidRPr="004F47BB" w:rsidRDefault="004F47BB" w:rsidP="004F47BB">
      <w:pPr>
        <w:overflowPunct w:val="0"/>
        <w:adjustRightInd w:val="0"/>
        <w:ind w:left="0" w:firstLine="0"/>
        <w:textAlignment w:val="baseline"/>
        <w:rPr>
          <w:szCs w:val="20"/>
        </w:rPr>
        <w:sectPr w:rsidR="004F47BB" w:rsidRPr="004F47BB" w:rsidSect="00D45887">
          <w:headerReference w:type="default" r:id="rId128"/>
          <w:headerReference w:type="first" r:id="rId129"/>
          <w:pgSz w:w="11907" w:h="16840" w:code="9"/>
          <w:pgMar w:top="1418" w:right="1418" w:bottom="1418" w:left="1418" w:header="680" w:footer="680" w:gutter="0"/>
          <w:cols w:space="720"/>
          <w:noEndnote/>
          <w:titlePg/>
        </w:sectPr>
      </w:pPr>
    </w:p>
    <w:p w:rsidR="004F47BB" w:rsidRPr="004F47BB" w:rsidRDefault="004F47BB" w:rsidP="004F47BB">
      <w:pPr>
        <w:overflowPunct w:val="0"/>
        <w:adjustRightInd w:val="0"/>
        <w:ind w:left="0" w:firstLine="0"/>
        <w:textAlignment w:val="baseline"/>
        <w:rPr>
          <w:szCs w:val="20"/>
        </w:rPr>
      </w:pPr>
    </w:p>
    <w:p w:rsidR="004F47BB" w:rsidRPr="004F47BB" w:rsidRDefault="004F47BB" w:rsidP="005716BB">
      <w:pPr>
        <w:pStyle w:val="ES-Titre4"/>
      </w:pPr>
      <w:r>
        <w:t>Allegato 1 all'istruzione ESI-II-4</w:t>
      </w:r>
    </w:p>
    <w:p w:rsidR="004F47BB" w:rsidRPr="004F47BB" w:rsidRDefault="004F47BB" w:rsidP="005716BB">
      <w:pPr>
        <w:pStyle w:val="ES-Titre4a"/>
      </w:pPr>
      <w:r>
        <w:t>Schema della manovra di evasione</w:t>
      </w:r>
    </w:p>
    <w:p w:rsidR="004F47BB" w:rsidRPr="004F47BB" w:rsidRDefault="004F47BB" w:rsidP="004F47BB">
      <w:pPr>
        <w:overflowPunct w:val="0"/>
        <w:adjustRightInd w:val="0"/>
        <w:ind w:left="0" w:firstLine="0"/>
        <w:textAlignment w:val="baseline"/>
        <w:rPr>
          <w:szCs w:val="20"/>
        </w:rPr>
      </w:pPr>
    </w:p>
    <w:p w:rsidR="004F47BB" w:rsidRPr="004F47BB" w:rsidRDefault="004F47BB" w:rsidP="004F47BB">
      <w:pPr>
        <w:overflowPunct w:val="0"/>
        <w:adjustRightInd w:val="0"/>
        <w:ind w:left="0" w:firstLine="0"/>
        <w:textAlignment w:val="baseline"/>
        <w:rPr>
          <w:szCs w:val="20"/>
        </w:rPr>
      </w:pPr>
    </w:p>
    <w:p w:rsidR="004F47BB" w:rsidRPr="004F47BB" w:rsidRDefault="004F47BB" w:rsidP="004F47BB">
      <w:pPr>
        <w:overflowPunct w:val="0"/>
        <w:adjustRightInd w:val="0"/>
        <w:ind w:left="0" w:firstLine="0"/>
        <w:jc w:val="center"/>
        <w:textAlignment w:val="baseline"/>
        <w:rPr>
          <w:szCs w:val="20"/>
        </w:rPr>
      </w:pPr>
      <w:r>
        <w:rPr>
          <w:noProof/>
          <w:szCs w:val="20"/>
          <w:lang w:val="en-GB" w:eastAsia="en-GB" w:bidi="ar-SA"/>
        </w:rPr>
        <w:drawing>
          <wp:inline distT="0" distB="0" distL="0" distR="0" wp14:anchorId="70787E24" wp14:editId="598C3120">
            <wp:extent cx="5286375" cy="2943225"/>
            <wp:effectExtent l="0" t="0" r="9525" b="9525"/>
            <wp:docPr id="301" name="Imag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286375" cy="2943225"/>
                    </a:xfrm>
                    <a:prstGeom prst="rect">
                      <a:avLst/>
                    </a:prstGeom>
                    <a:noFill/>
                    <a:ln>
                      <a:noFill/>
                    </a:ln>
                  </pic:spPr>
                </pic:pic>
              </a:graphicData>
            </a:graphic>
          </wp:inline>
        </w:drawing>
      </w:r>
    </w:p>
    <w:p w:rsidR="004F47BB" w:rsidRPr="004F47BB" w:rsidRDefault="004F47BB" w:rsidP="004F47BB">
      <w:pPr>
        <w:overflowPunct w:val="0"/>
        <w:adjustRightInd w:val="0"/>
        <w:ind w:left="0" w:firstLine="0"/>
        <w:textAlignment w:val="baseline"/>
        <w:rPr>
          <w:szCs w:val="20"/>
        </w:rPr>
      </w:pPr>
    </w:p>
    <w:p w:rsidR="004F47BB" w:rsidRPr="004F47BB" w:rsidRDefault="004F47BB" w:rsidP="004F47BB">
      <w:pPr>
        <w:overflowPunct w:val="0"/>
        <w:adjustRightInd w:val="0"/>
        <w:ind w:left="0" w:firstLine="0"/>
        <w:textAlignment w:val="baseline"/>
        <w:rPr>
          <w:szCs w:val="20"/>
        </w:rPr>
      </w:pPr>
    </w:p>
    <w:p w:rsidR="004F47BB" w:rsidRPr="004F47BB" w:rsidRDefault="00624017" w:rsidP="004F47BB">
      <w:pPr>
        <w:tabs>
          <w:tab w:val="left" w:pos="993"/>
          <w:tab w:val="left" w:pos="1418"/>
        </w:tabs>
        <w:overflowPunct w:val="0"/>
        <w:adjustRightInd w:val="0"/>
        <w:ind w:left="567" w:firstLine="0"/>
        <w:textAlignment w:val="baseline"/>
        <w:rPr>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0</m:t>
            </m:r>
          </m:sub>
        </m:sSub>
      </m:oMath>
      <w:r w:rsidR="00801F1F">
        <w:tab/>
        <w:t>=</w:t>
      </w:r>
      <w:r w:rsidR="00801F1F">
        <w:tab/>
        <w:t>Inizio della manovra di evasione</w:t>
      </w:r>
    </w:p>
    <w:p w:rsidR="004F47BB" w:rsidRPr="004F47BB" w:rsidRDefault="00624017" w:rsidP="004F47BB">
      <w:pPr>
        <w:tabs>
          <w:tab w:val="left" w:pos="993"/>
          <w:tab w:val="left" w:pos="1418"/>
        </w:tabs>
        <w:overflowPunct w:val="0"/>
        <w:adjustRightInd w:val="0"/>
        <w:spacing w:before="60"/>
        <w:ind w:left="567" w:firstLine="0"/>
        <w:textAlignment w:val="baseline"/>
        <w:rPr>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1</m:t>
            </m:r>
          </m:sub>
        </m:sSub>
      </m:oMath>
      <w:r w:rsidR="00801F1F">
        <w:tab/>
        <w:t>=</w:t>
      </w:r>
      <w:r w:rsidR="00801F1F">
        <w:tab/>
        <w:t xml:space="preserve">Tempo per raggiungere la velocità di virata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1</m:t>
            </m:r>
          </m:sub>
        </m:sSub>
      </m:oMath>
    </w:p>
    <w:p w:rsidR="004F47BB" w:rsidRPr="004F47BB" w:rsidRDefault="00624017" w:rsidP="004F47BB">
      <w:pPr>
        <w:tabs>
          <w:tab w:val="left" w:pos="993"/>
          <w:tab w:val="left" w:pos="1418"/>
        </w:tabs>
        <w:overflowPunct w:val="0"/>
        <w:adjustRightInd w:val="0"/>
        <w:spacing w:before="60"/>
        <w:ind w:left="567" w:firstLine="0"/>
        <w:textAlignment w:val="baseline"/>
        <w:rPr>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2</m:t>
            </m:r>
          </m:sub>
        </m:sSub>
      </m:oMath>
      <w:r w:rsidR="00801F1F">
        <w:tab/>
        <w:t>=</w:t>
      </w:r>
      <w:r w:rsidR="00801F1F">
        <w:tab/>
        <w:t xml:space="preserve">Tempo per raggiungere la velocità di virata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2</m:t>
            </m:r>
          </m:sub>
        </m:sSub>
      </m:oMath>
      <w:r w:rsidR="00801F1F">
        <w:t xml:space="preserve"> = 0</w:t>
      </w:r>
    </w:p>
    <w:p w:rsidR="004F47BB" w:rsidRPr="004F47BB" w:rsidRDefault="00624017" w:rsidP="004F47BB">
      <w:pPr>
        <w:tabs>
          <w:tab w:val="left" w:pos="993"/>
          <w:tab w:val="left" w:pos="1418"/>
        </w:tabs>
        <w:overflowPunct w:val="0"/>
        <w:adjustRightInd w:val="0"/>
        <w:spacing w:before="60"/>
        <w:ind w:left="567" w:firstLine="0"/>
        <w:textAlignment w:val="baseline"/>
        <w:rPr>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3</m:t>
            </m:r>
          </m:sub>
        </m:sSub>
      </m:oMath>
      <w:r w:rsidR="00801F1F">
        <w:tab/>
        <w:t>=</w:t>
      </w:r>
      <w:r w:rsidR="00801F1F">
        <w:tab/>
        <w:t xml:space="preserve">Tempo per raggiungere la velocità di virata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3</m:t>
            </m:r>
          </m:sub>
        </m:sSub>
      </m:oMath>
    </w:p>
    <w:p w:rsidR="004F47BB" w:rsidRPr="004F47BB" w:rsidRDefault="00624017" w:rsidP="004F47BB">
      <w:pPr>
        <w:tabs>
          <w:tab w:val="left" w:pos="993"/>
          <w:tab w:val="left" w:pos="1418"/>
        </w:tabs>
        <w:overflowPunct w:val="0"/>
        <w:adjustRightInd w:val="0"/>
        <w:spacing w:before="60"/>
        <w:ind w:left="567" w:firstLine="0"/>
        <w:textAlignment w:val="baseline"/>
        <w:rPr>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sidR="00801F1F">
        <w:tab/>
        <w:t>=</w:t>
      </w:r>
      <w:r w:rsidR="00801F1F">
        <w:tab/>
        <w:t xml:space="preserve">Tempo per raggiungere la velocità di virata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4</m:t>
            </m:r>
          </m:sub>
        </m:sSub>
      </m:oMath>
      <w:r w:rsidR="00801F1F">
        <w:t xml:space="preserve"> = 0 (fine della manovra di evasione)</w:t>
      </w:r>
    </w:p>
    <w:p w:rsidR="004F47BB" w:rsidRPr="004F47BB" w:rsidRDefault="004F47BB" w:rsidP="004F47BB">
      <w:pPr>
        <w:tabs>
          <w:tab w:val="left" w:pos="993"/>
          <w:tab w:val="left" w:pos="1418"/>
        </w:tabs>
        <w:overflowPunct w:val="0"/>
        <w:adjustRightInd w:val="0"/>
        <w:spacing w:before="60"/>
        <w:ind w:left="567" w:firstLine="0"/>
        <w:textAlignment w:val="baseline"/>
        <w:rPr>
          <w:szCs w:val="20"/>
        </w:rPr>
      </w:pPr>
      <m:oMath>
        <m:r>
          <w:rPr>
            <w:rFonts w:ascii="Cambria Math" w:hAnsi="Cambria Math"/>
            <w:i/>
            <w:szCs w:val="20"/>
          </w:rPr>
          <w:sym w:font="Symbol" w:char="F064"/>
        </m:r>
      </m:oMath>
      <w:r>
        <w:tab/>
        <w:t>=</w:t>
      </w:r>
      <w:r>
        <w:tab/>
        <w:t>Angolo del timone [°]</w:t>
      </w:r>
    </w:p>
    <w:p w:rsidR="004F47BB" w:rsidRPr="004F47BB" w:rsidRDefault="004F47BB" w:rsidP="004F47BB">
      <w:pPr>
        <w:tabs>
          <w:tab w:val="left" w:pos="993"/>
          <w:tab w:val="left" w:pos="1418"/>
        </w:tabs>
        <w:overflowPunct w:val="0"/>
        <w:adjustRightInd w:val="0"/>
        <w:spacing w:before="60"/>
        <w:ind w:left="567" w:firstLine="0"/>
        <w:textAlignment w:val="baseline"/>
        <w:rPr>
          <w:szCs w:val="20"/>
        </w:rPr>
      </w:pPr>
      <m:oMath>
        <m:r>
          <w:rPr>
            <w:rFonts w:ascii="Cambria Math" w:hAnsi="Cambria Math"/>
            <w:szCs w:val="20"/>
          </w:rPr>
          <m:t>r</m:t>
        </m:r>
      </m:oMath>
      <w:r>
        <w:tab/>
        <w:t>=</w:t>
      </w:r>
      <w:r>
        <w:tab/>
        <w:t>Velocità di virata [°/min]</w:t>
      </w:r>
    </w:p>
    <w:p w:rsidR="004F47BB" w:rsidRPr="004F47BB" w:rsidRDefault="004F47BB" w:rsidP="004F47BB">
      <w:pPr>
        <w:tabs>
          <w:tab w:val="left" w:pos="284"/>
          <w:tab w:val="left" w:pos="709"/>
          <w:tab w:val="left" w:pos="993"/>
        </w:tabs>
        <w:overflowPunct w:val="0"/>
        <w:adjustRightInd w:val="0"/>
        <w:ind w:left="0" w:firstLine="0"/>
        <w:textAlignment w:val="baseline"/>
        <w:rPr>
          <w:szCs w:val="20"/>
        </w:rPr>
      </w:pPr>
    </w:p>
    <w:p w:rsidR="004F47BB" w:rsidRPr="004F47BB" w:rsidRDefault="004F47BB" w:rsidP="004F47BB">
      <w:pPr>
        <w:tabs>
          <w:tab w:val="left" w:pos="284"/>
          <w:tab w:val="left" w:pos="709"/>
          <w:tab w:val="left" w:pos="993"/>
        </w:tabs>
        <w:overflowPunct w:val="0"/>
        <w:adjustRightInd w:val="0"/>
        <w:ind w:left="0" w:firstLine="0"/>
        <w:textAlignment w:val="baseline"/>
        <w:rPr>
          <w:szCs w:val="20"/>
        </w:rPr>
      </w:pPr>
    </w:p>
    <w:p w:rsidR="004F47BB" w:rsidRPr="004F47BB" w:rsidRDefault="004F47BB" w:rsidP="004F47BB">
      <w:pPr>
        <w:tabs>
          <w:tab w:val="left" w:pos="284"/>
          <w:tab w:val="left" w:pos="709"/>
          <w:tab w:val="left" w:pos="993"/>
        </w:tabs>
        <w:overflowPunct w:val="0"/>
        <w:adjustRightInd w:val="0"/>
        <w:ind w:left="0" w:firstLine="0"/>
        <w:textAlignment w:val="baseline"/>
        <w:rPr>
          <w:szCs w:val="20"/>
        </w:rPr>
      </w:pPr>
    </w:p>
    <w:p w:rsidR="004F47BB" w:rsidRPr="004F47BB" w:rsidRDefault="004F47BB" w:rsidP="004F47BB">
      <w:pPr>
        <w:tabs>
          <w:tab w:val="left" w:pos="284"/>
          <w:tab w:val="left" w:pos="709"/>
          <w:tab w:val="left" w:pos="993"/>
        </w:tabs>
        <w:overflowPunct w:val="0"/>
        <w:adjustRightInd w:val="0"/>
        <w:ind w:left="0" w:firstLine="0"/>
        <w:textAlignment w:val="baseline"/>
        <w:rPr>
          <w:szCs w:val="20"/>
        </w:rPr>
        <w:sectPr w:rsidR="004F47BB" w:rsidRPr="004F47BB" w:rsidSect="00D45887">
          <w:headerReference w:type="default" r:id="rId131"/>
          <w:footerReference w:type="default" r:id="rId132"/>
          <w:headerReference w:type="first" r:id="rId133"/>
          <w:footerReference w:type="first" r:id="rId134"/>
          <w:pgSz w:w="11907" w:h="16840" w:code="9"/>
          <w:pgMar w:top="1418" w:right="1418" w:bottom="1418" w:left="1418" w:header="680" w:footer="680" w:gutter="0"/>
          <w:cols w:space="720"/>
          <w:noEndnote/>
          <w:titlePg/>
        </w:sectPr>
      </w:pPr>
    </w:p>
    <w:p w:rsidR="004F47BB" w:rsidRPr="004F47BB" w:rsidRDefault="004F47BB" w:rsidP="005716BB">
      <w:pPr>
        <w:pStyle w:val="ES-Titre4"/>
      </w:pPr>
      <w:r>
        <w:lastRenderedPageBreak/>
        <w:t>Allegato 2 all'istruzione ESI-II-4</w:t>
      </w:r>
    </w:p>
    <w:p w:rsidR="004F47BB" w:rsidRPr="004F47BB" w:rsidRDefault="004F47BB" w:rsidP="005716BB">
      <w:pPr>
        <w:pStyle w:val="ES-Titre4a"/>
      </w:pPr>
      <w:r>
        <w:t>Verbale della manovra di evasione e della capacità di virata</w:t>
      </w:r>
    </w:p>
    <w:p w:rsidR="004F47BB" w:rsidRPr="004F47BB" w:rsidRDefault="004F47BB" w:rsidP="004F47BB">
      <w:pPr>
        <w:tabs>
          <w:tab w:val="left" w:pos="284"/>
          <w:tab w:val="left" w:pos="709"/>
          <w:tab w:val="left" w:pos="993"/>
        </w:tabs>
        <w:overflowPunct w:val="0"/>
        <w:adjustRightInd w:val="0"/>
        <w:ind w:left="0" w:firstLine="0"/>
        <w:textAlignment w:val="baseline"/>
        <w:rPr>
          <w:szCs w:val="20"/>
        </w:rPr>
      </w:pPr>
    </w:p>
    <w:p w:rsidR="004F47BB" w:rsidRPr="004F47BB" w:rsidRDefault="004F47BB" w:rsidP="004F47BB">
      <w:pPr>
        <w:tabs>
          <w:tab w:val="left" w:pos="284"/>
          <w:tab w:val="left" w:leader="dot" w:pos="9072"/>
        </w:tabs>
        <w:overflowPunct w:val="0"/>
        <w:adjustRightInd w:val="0"/>
        <w:spacing w:after="120"/>
        <w:ind w:left="0" w:firstLine="0"/>
        <w:textAlignment w:val="baseline"/>
        <w:rPr>
          <w:szCs w:val="20"/>
        </w:rPr>
      </w:pPr>
      <w:r>
        <w:t xml:space="preserve">Commissione di ispezione: </w:t>
      </w:r>
      <w:r>
        <w:tab/>
      </w:r>
    </w:p>
    <w:p w:rsidR="004F47BB" w:rsidRPr="004F47BB" w:rsidRDefault="004F47BB" w:rsidP="004F47BB">
      <w:pPr>
        <w:tabs>
          <w:tab w:val="left" w:pos="284"/>
          <w:tab w:val="left" w:leader="dot" w:pos="9072"/>
        </w:tabs>
        <w:overflowPunct w:val="0"/>
        <w:adjustRightInd w:val="0"/>
        <w:spacing w:after="120"/>
        <w:ind w:left="0" w:firstLine="0"/>
        <w:textAlignment w:val="baseline"/>
        <w:rPr>
          <w:szCs w:val="20"/>
        </w:rPr>
      </w:pPr>
      <w:r>
        <w:t xml:space="preserve">Data: </w:t>
      </w:r>
      <w:r>
        <w:tab/>
      </w:r>
    </w:p>
    <w:p w:rsidR="004F47BB" w:rsidRPr="004F47BB" w:rsidRDefault="004F47BB" w:rsidP="004F47BB">
      <w:pPr>
        <w:tabs>
          <w:tab w:val="left" w:pos="284"/>
          <w:tab w:val="left" w:leader="dot" w:pos="9072"/>
        </w:tabs>
        <w:overflowPunct w:val="0"/>
        <w:adjustRightInd w:val="0"/>
        <w:ind w:left="0" w:firstLine="0"/>
        <w:textAlignment w:val="baseline"/>
        <w:rPr>
          <w:szCs w:val="20"/>
        </w:rPr>
      </w:pPr>
      <w:r>
        <w:t xml:space="preserve">Nome: </w:t>
      </w:r>
      <w:r>
        <w:tab/>
      </w:r>
    </w:p>
    <w:p w:rsidR="004F47BB" w:rsidRPr="004F47BB" w:rsidRDefault="004F47BB" w:rsidP="004F47BB">
      <w:pPr>
        <w:tabs>
          <w:tab w:val="left" w:pos="284"/>
          <w:tab w:val="left" w:leader="dot" w:pos="9072"/>
        </w:tabs>
        <w:overflowPunct w:val="0"/>
        <w:adjustRightInd w:val="0"/>
        <w:ind w:left="0" w:firstLine="0"/>
        <w:textAlignment w:val="baseline"/>
        <w:rPr>
          <w:szCs w:val="20"/>
        </w:rPr>
      </w:pPr>
    </w:p>
    <w:p w:rsidR="004F47BB" w:rsidRPr="004F47BB" w:rsidRDefault="004F47BB" w:rsidP="004F47BB">
      <w:pPr>
        <w:tabs>
          <w:tab w:val="left" w:pos="284"/>
          <w:tab w:val="left" w:leader="dot" w:pos="9072"/>
        </w:tabs>
        <w:overflowPunct w:val="0"/>
        <w:adjustRightInd w:val="0"/>
        <w:spacing w:after="120"/>
        <w:ind w:left="0" w:firstLine="0"/>
        <w:textAlignment w:val="baseline"/>
        <w:rPr>
          <w:szCs w:val="20"/>
        </w:rPr>
      </w:pPr>
      <w:r>
        <w:t xml:space="preserve">Nome dell'imbarcazione: </w:t>
      </w:r>
      <w:r>
        <w:tab/>
      </w:r>
    </w:p>
    <w:p w:rsidR="004F47BB" w:rsidRPr="004F47BB" w:rsidRDefault="004F47BB" w:rsidP="004F47BB">
      <w:pPr>
        <w:tabs>
          <w:tab w:val="left" w:pos="284"/>
          <w:tab w:val="left" w:leader="dot" w:pos="9072"/>
        </w:tabs>
        <w:overflowPunct w:val="0"/>
        <w:adjustRightInd w:val="0"/>
        <w:ind w:left="0" w:firstLine="0"/>
        <w:textAlignment w:val="baseline"/>
        <w:rPr>
          <w:szCs w:val="20"/>
        </w:rPr>
      </w:pPr>
      <w:r>
        <w:t xml:space="preserve">Proprietario: </w:t>
      </w:r>
      <w:r>
        <w:tab/>
      </w:r>
    </w:p>
    <w:p w:rsidR="004F47BB" w:rsidRPr="004F47BB" w:rsidRDefault="004F47BB" w:rsidP="004F47BB">
      <w:pPr>
        <w:tabs>
          <w:tab w:val="left" w:pos="284"/>
          <w:tab w:val="left" w:leader="dot" w:pos="9072"/>
        </w:tabs>
        <w:overflowPunct w:val="0"/>
        <w:adjustRightInd w:val="0"/>
        <w:ind w:left="0" w:firstLine="0"/>
        <w:textAlignment w:val="baseline"/>
        <w:rPr>
          <w:szCs w:val="20"/>
        </w:rPr>
      </w:pPr>
    </w:p>
    <w:p w:rsidR="004F47BB" w:rsidRPr="004F47BB" w:rsidRDefault="004F47BB" w:rsidP="004F47BB">
      <w:pPr>
        <w:tabs>
          <w:tab w:val="left" w:pos="284"/>
          <w:tab w:val="left" w:pos="5103"/>
          <w:tab w:val="left" w:leader="dot" w:pos="9072"/>
        </w:tabs>
        <w:overflowPunct w:val="0"/>
        <w:adjustRightInd w:val="0"/>
        <w:spacing w:after="120"/>
        <w:ind w:left="0" w:firstLine="0"/>
        <w:textAlignment w:val="baseline"/>
        <w:rPr>
          <w:szCs w:val="20"/>
        </w:rPr>
      </w:pPr>
      <w:r>
        <w:t>Tipo di imbarcazione</w:t>
      </w:r>
      <w:r>
        <w:tab/>
        <w:t xml:space="preserve">Area di prova: </w:t>
      </w:r>
      <w:r>
        <w:tab/>
      </w:r>
    </w:p>
    <w:p w:rsidR="004F47BB" w:rsidRPr="004F47BB" w:rsidRDefault="004F47BB" w:rsidP="004F47BB">
      <w:pPr>
        <w:tabs>
          <w:tab w:val="left" w:pos="284"/>
          <w:tab w:val="left" w:leader="dot" w:pos="4536"/>
          <w:tab w:val="left" w:pos="5103"/>
          <w:tab w:val="left" w:leader="dot" w:pos="9072"/>
        </w:tabs>
        <w:overflowPunct w:val="0"/>
        <w:adjustRightInd w:val="0"/>
        <w:spacing w:after="120"/>
        <w:ind w:left="0" w:firstLine="0"/>
        <w:textAlignment w:val="baseline"/>
        <w:rPr>
          <w:szCs w:val="20"/>
        </w:rPr>
      </w:pPr>
      <w:r>
        <w:t xml:space="preserve">o convoglio: </w:t>
      </w:r>
      <w:r>
        <w:tab/>
      </w:r>
      <w:r>
        <w:tab/>
        <w:t xml:space="preserve">Livello dell'acqua corrispondente [m]: </w:t>
      </w:r>
      <w:r>
        <w:tab/>
      </w:r>
    </w:p>
    <w:p w:rsidR="004F47BB" w:rsidRPr="004F47BB" w:rsidRDefault="004F47BB" w:rsidP="004F47BB">
      <w:pPr>
        <w:tabs>
          <w:tab w:val="left" w:pos="284"/>
          <w:tab w:val="left" w:leader="dot" w:pos="4536"/>
          <w:tab w:val="left" w:pos="5103"/>
          <w:tab w:val="left" w:leader="dot" w:pos="9072"/>
        </w:tabs>
        <w:overflowPunct w:val="0"/>
        <w:adjustRightInd w:val="0"/>
        <w:spacing w:after="120"/>
        <w:ind w:left="0" w:firstLine="0"/>
        <w:textAlignment w:val="baseline"/>
        <w:rPr>
          <w:szCs w:val="20"/>
        </w:rPr>
      </w:pPr>
      <m:oMath>
        <m:r>
          <w:rPr>
            <w:rFonts w:ascii="Cambria Math" w:hAnsi="Cambria Math"/>
            <w:szCs w:val="20"/>
          </w:rPr>
          <m:t>L</m:t>
        </m:r>
      </m:oMath>
      <w:r>
        <w:t xml:space="preserve"> x </w:t>
      </w:r>
      <m:oMath>
        <m:r>
          <w:rPr>
            <w:rFonts w:ascii="Cambria Math" w:hAnsi="Cambria Math"/>
            <w:szCs w:val="20"/>
          </w:rPr>
          <m:t>B</m:t>
        </m:r>
      </m:oMath>
      <w:r>
        <w:t xml:space="preserve"> [m x m]: </w:t>
      </w:r>
      <w:r>
        <w:tab/>
      </w:r>
      <w:r>
        <w:tab/>
        <w:t xml:space="preserve">Profondità dell'acqua </w:t>
      </w:r>
      <m:oMath>
        <m:r>
          <w:rPr>
            <w:rFonts w:ascii="Cambria Math" w:hAnsi="Cambria Math"/>
            <w:szCs w:val="20"/>
          </w:rPr>
          <m:t>h</m:t>
        </m:r>
      </m:oMath>
      <w:r>
        <w:t xml:space="preserve"> [m]: </w:t>
      </w:r>
      <w:r>
        <w:tab/>
      </w:r>
    </w:p>
    <w:p w:rsidR="004F47BB" w:rsidRPr="004F47BB" w:rsidRDefault="004F47BB" w:rsidP="004F47BB">
      <w:pPr>
        <w:tabs>
          <w:tab w:val="left" w:pos="284"/>
          <w:tab w:val="left" w:leader="dot" w:pos="4536"/>
          <w:tab w:val="left" w:pos="5103"/>
          <w:tab w:val="left" w:leader="dot" w:pos="9072"/>
        </w:tabs>
        <w:overflowPunct w:val="0"/>
        <w:adjustRightInd w:val="0"/>
        <w:ind w:left="0" w:firstLine="0"/>
        <w:textAlignment w:val="baseline"/>
        <w:rPr>
          <w:szCs w:val="20"/>
        </w:rPr>
      </w:pPr>
      <m:oMath>
        <m:r>
          <w:rPr>
            <w:rFonts w:ascii="Cambria Math" w:hAnsi="Cambria Math"/>
            <w:szCs w:val="20"/>
          </w:rPr>
          <m:t>T</m:t>
        </m:r>
      </m:oMath>
      <w:r>
        <w:t xml:space="preserve"> durante la prova</w:t>
      </w:r>
      <w:r>
        <w:rPr>
          <w:sz w:val="22"/>
        </w:rPr>
        <w:t xml:space="preserve"> </w:t>
      </w:r>
      <w:r>
        <w:t xml:space="preserve">[m]: </w:t>
      </w:r>
      <w:r>
        <w:tab/>
      </w:r>
      <w:r>
        <w:tab/>
      </w:r>
      <m:oMath>
        <m:r>
          <w:rPr>
            <w:rFonts w:ascii="Cambria Math" w:hAnsi="Cambria Math"/>
            <w:szCs w:val="20"/>
          </w:rPr>
          <m:t>h/T</m:t>
        </m:r>
      </m:oMath>
      <w:r>
        <w:t xml:space="preserve"> : </w:t>
      </w:r>
      <w:r>
        <w:tab/>
      </w:r>
    </w:p>
    <w:p w:rsidR="004F47BB" w:rsidRPr="004F47BB" w:rsidRDefault="004F47BB" w:rsidP="004F47BB">
      <w:pPr>
        <w:tabs>
          <w:tab w:val="left" w:pos="5103"/>
          <w:tab w:val="left" w:leader="dot" w:pos="9072"/>
        </w:tabs>
        <w:overflowPunct w:val="0"/>
        <w:adjustRightInd w:val="0"/>
        <w:spacing w:before="120"/>
        <w:ind w:left="0" w:firstLine="0"/>
        <w:textAlignment w:val="baseline"/>
        <w:rPr>
          <w:szCs w:val="20"/>
        </w:rPr>
      </w:pPr>
      <w:r>
        <w:tab/>
        <w:t xml:space="preserve">Velocità della corrente [m/s]: </w:t>
      </w:r>
      <w:r>
        <w:tab/>
      </w:r>
    </w:p>
    <w:p w:rsidR="004F47BB" w:rsidRPr="004F47BB" w:rsidRDefault="004F47BB" w:rsidP="004F47BB">
      <w:pPr>
        <w:tabs>
          <w:tab w:val="left" w:pos="284"/>
          <w:tab w:val="left" w:leader="dot" w:pos="4536"/>
          <w:tab w:val="left" w:pos="5103"/>
          <w:tab w:val="left" w:leader="dot" w:pos="9072"/>
        </w:tabs>
        <w:overflowPunct w:val="0"/>
        <w:adjustRightInd w:val="0"/>
        <w:ind w:left="0" w:firstLine="0"/>
        <w:textAlignment w:val="baseline"/>
        <w:rPr>
          <w:szCs w:val="20"/>
        </w:rPr>
      </w:pPr>
    </w:p>
    <w:p w:rsidR="004F47BB" w:rsidRPr="004F47BB" w:rsidRDefault="004F47BB" w:rsidP="004F47BB">
      <w:pPr>
        <w:tabs>
          <w:tab w:val="left" w:pos="284"/>
          <w:tab w:val="left" w:pos="5103"/>
          <w:tab w:val="left" w:leader="dot" w:pos="9072"/>
        </w:tabs>
        <w:overflowPunct w:val="0"/>
        <w:adjustRightInd w:val="0"/>
        <w:ind w:left="0" w:firstLine="0"/>
        <w:textAlignment w:val="baseline"/>
        <w:rPr>
          <w:szCs w:val="20"/>
        </w:rPr>
      </w:pPr>
      <w:r>
        <w:t>Carico</w:t>
      </w:r>
      <w:r>
        <w:tab/>
        <w:t>% della portata</w:t>
      </w:r>
    </w:p>
    <w:p w:rsidR="004F47BB" w:rsidRPr="004F47BB" w:rsidRDefault="004F47BB" w:rsidP="004F47BB">
      <w:pPr>
        <w:tabs>
          <w:tab w:val="left" w:pos="284"/>
          <w:tab w:val="left" w:leader="dot" w:pos="4536"/>
          <w:tab w:val="left" w:pos="5103"/>
          <w:tab w:val="left" w:leader="dot" w:pos="9072"/>
        </w:tabs>
        <w:overflowPunct w:val="0"/>
        <w:adjustRightInd w:val="0"/>
        <w:ind w:left="0" w:firstLine="0"/>
        <w:textAlignment w:val="baseline"/>
        <w:rPr>
          <w:szCs w:val="20"/>
        </w:rPr>
      </w:pPr>
      <w:r>
        <w:t xml:space="preserve">(durante la prova) [t]: </w:t>
      </w:r>
      <w:r>
        <w:tab/>
      </w:r>
      <w:r>
        <w:tab/>
        <w:t xml:space="preserve">lorda massima: </w:t>
      </w:r>
      <w:r>
        <w:tab/>
      </w:r>
    </w:p>
    <w:p w:rsidR="004F47BB" w:rsidRPr="004F47BB" w:rsidRDefault="004F47BB" w:rsidP="004F47BB">
      <w:pPr>
        <w:tabs>
          <w:tab w:val="left" w:pos="284"/>
          <w:tab w:val="left" w:leader="dot" w:pos="4536"/>
          <w:tab w:val="left" w:pos="5103"/>
          <w:tab w:val="left" w:leader="dot" w:pos="9072"/>
        </w:tabs>
        <w:overflowPunct w:val="0"/>
        <w:adjustRightInd w:val="0"/>
        <w:ind w:left="0" w:firstLine="0"/>
        <w:textAlignment w:val="baseline"/>
        <w:rPr>
          <w:szCs w:val="20"/>
        </w:rPr>
      </w:pPr>
    </w:p>
    <w:p w:rsidR="004F47BB" w:rsidRPr="004F47BB" w:rsidRDefault="004F47BB" w:rsidP="004F47BB">
      <w:pPr>
        <w:tabs>
          <w:tab w:val="left" w:pos="284"/>
          <w:tab w:val="left" w:leader="dot" w:pos="4536"/>
          <w:tab w:val="left" w:pos="5103"/>
          <w:tab w:val="left" w:leader="dot" w:pos="9072"/>
        </w:tabs>
        <w:overflowPunct w:val="0"/>
        <w:adjustRightInd w:val="0"/>
        <w:spacing w:after="80"/>
        <w:ind w:left="0" w:firstLine="0"/>
        <w:textAlignment w:val="baseline"/>
        <w:rPr>
          <w:szCs w:val="20"/>
        </w:rPr>
      </w:pPr>
      <w:r>
        <w:t>Indicatore di accostata</w:t>
      </w:r>
    </w:p>
    <w:p w:rsidR="004F47BB" w:rsidRPr="004F47BB" w:rsidRDefault="004F47BB" w:rsidP="004F47BB">
      <w:pPr>
        <w:tabs>
          <w:tab w:val="left" w:pos="284"/>
          <w:tab w:val="left" w:leader="dot" w:pos="9072"/>
        </w:tabs>
        <w:overflowPunct w:val="0"/>
        <w:adjustRightInd w:val="0"/>
        <w:ind w:left="0" w:firstLine="0"/>
        <w:textAlignment w:val="baseline"/>
        <w:rPr>
          <w:szCs w:val="20"/>
        </w:rPr>
      </w:pPr>
      <w:r>
        <w:t xml:space="preserve">Tipo: </w:t>
      </w:r>
      <w:r>
        <w:tab/>
      </w:r>
    </w:p>
    <w:p w:rsidR="004F47BB" w:rsidRPr="004F47BB" w:rsidRDefault="004F47BB" w:rsidP="004F47BB">
      <w:pPr>
        <w:tabs>
          <w:tab w:val="left" w:pos="284"/>
          <w:tab w:val="left" w:leader="dot" w:pos="9072"/>
        </w:tabs>
        <w:overflowPunct w:val="0"/>
        <w:adjustRightInd w:val="0"/>
        <w:ind w:left="0" w:firstLine="0"/>
        <w:textAlignment w:val="baseline"/>
        <w:rPr>
          <w:szCs w:val="20"/>
        </w:rPr>
      </w:pPr>
    </w:p>
    <w:p w:rsidR="004F47BB" w:rsidRPr="004F47BB" w:rsidRDefault="004F47BB" w:rsidP="004F47BB">
      <w:pPr>
        <w:tabs>
          <w:tab w:val="left" w:pos="284"/>
          <w:tab w:val="left" w:leader="dot" w:pos="9072"/>
        </w:tabs>
        <w:overflowPunct w:val="0"/>
        <w:adjustRightInd w:val="0"/>
        <w:ind w:left="0" w:firstLine="0"/>
        <w:textAlignment w:val="baseline"/>
        <w:rPr>
          <w:szCs w:val="20"/>
        </w:rPr>
      </w:pPr>
      <w:r>
        <w:t>Tipo di costruzione del timone: costruzione normale/costruzione speciale</w:t>
      </w:r>
      <w:r>
        <w:rPr>
          <w:vertAlign w:val="superscript"/>
        </w:rPr>
        <w:footnoteReference w:customMarkFollows="1" w:id="80"/>
        <w:t>*)</w:t>
      </w:r>
    </w:p>
    <w:p w:rsidR="004F47BB" w:rsidRPr="004F47BB" w:rsidRDefault="004F47BB" w:rsidP="004F47BB">
      <w:pPr>
        <w:tabs>
          <w:tab w:val="left" w:pos="284"/>
          <w:tab w:val="left" w:leader="dot" w:pos="9072"/>
        </w:tabs>
        <w:overflowPunct w:val="0"/>
        <w:adjustRightInd w:val="0"/>
        <w:ind w:left="0" w:firstLine="0"/>
        <w:textAlignment w:val="baseline"/>
        <w:rPr>
          <w:szCs w:val="20"/>
        </w:rPr>
      </w:pPr>
      <w:r>
        <w:t>Apparato di governo attivo: sì/no *)</w:t>
      </w:r>
    </w:p>
    <w:p w:rsidR="004F47BB" w:rsidRPr="004F47BB" w:rsidRDefault="004F47BB" w:rsidP="004F47BB">
      <w:pPr>
        <w:tabs>
          <w:tab w:val="left" w:pos="284"/>
          <w:tab w:val="left" w:leader="dot" w:pos="9072"/>
        </w:tabs>
        <w:overflowPunct w:val="0"/>
        <w:adjustRightInd w:val="0"/>
        <w:ind w:left="0" w:firstLine="0"/>
        <w:textAlignment w:val="baseline"/>
        <w:rPr>
          <w:szCs w:val="20"/>
        </w:rPr>
      </w:pPr>
    </w:p>
    <w:p w:rsidR="004F47BB" w:rsidRPr="004F47BB" w:rsidRDefault="004F47BB" w:rsidP="004F47BB">
      <w:pPr>
        <w:tabs>
          <w:tab w:val="left" w:pos="284"/>
          <w:tab w:val="left" w:leader="dot" w:pos="9072"/>
        </w:tabs>
        <w:overflowPunct w:val="0"/>
        <w:adjustRightInd w:val="0"/>
        <w:ind w:left="0" w:firstLine="0"/>
        <w:textAlignment w:val="baseline"/>
        <w:rPr>
          <w:szCs w:val="20"/>
        </w:rPr>
      </w:pPr>
      <w:r>
        <w:t>Risultati delle manovre di evasione:</w:t>
      </w:r>
    </w:p>
    <w:p w:rsidR="004F47BB" w:rsidRPr="004F47BB" w:rsidRDefault="004F47BB" w:rsidP="004F47BB">
      <w:pPr>
        <w:tabs>
          <w:tab w:val="left" w:pos="284"/>
          <w:tab w:val="left" w:leader="dot" w:pos="4536"/>
          <w:tab w:val="left" w:pos="5103"/>
          <w:tab w:val="left" w:leader="dot" w:pos="9072"/>
        </w:tabs>
        <w:overflowPunct w:val="0"/>
        <w:adjustRightInd w:val="0"/>
        <w:ind w:left="0" w:firstLine="0"/>
        <w:textAlignment w:val="baseline"/>
        <w:rPr>
          <w:szCs w:val="20"/>
        </w:rPr>
      </w:pPr>
    </w:p>
    <w:tbl>
      <w:tblPr>
        <w:tblW w:w="0" w:type="auto"/>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1417"/>
        <w:gridCol w:w="1417"/>
        <w:gridCol w:w="1417"/>
        <w:gridCol w:w="1419"/>
        <w:gridCol w:w="2268"/>
      </w:tblGrid>
      <w:tr w:rsidR="004F47BB" w:rsidRPr="004F47BB" w:rsidTr="00D45887">
        <w:tc>
          <w:tcPr>
            <w:tcW w:w="1418" w:type="dxa"/>
            <w:tcBorders>
              <w:top w:val="single" w:sz="6" w:space="0" w:color="auto"/>
              <w:left w:val="single" w:sz="6" w:space="0" w:color="auto"/>
              <w:bottom w:val="nil"/>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r>
              <w:rPr>
                <w:sz w:val="18"/>
              </w:rPr>
              <w:t xml:space="preserve">Tempo da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1</m:t>
                  </m:r>
                </m:sub>
              </m:sSub>
            </m:oMath>
            <w:r>
              <w:rPr>
                <w:sz w:val="18"/>
              </w:rPr>
              <w:t xml:space="preserve"> a t</w:t>
            </w:r>
            <w:r>
              <w:rPr>
                <w:sz w:val="18"/>
                <w:vertAlign w:val="subscript"/>
              </w:rPr>
              <w:t>4</w:t>
            </w:r>
            <w:r>
              <w:rPr>
                <w:sz w:val="18"/>
              </w:rPr>
              <w:t xml:space="preserve"> necessario </w:t>
            </w:r>
          </w:p>
        </w:tc>
        <w:tc>
          <w:tcPr>
            <w:tcW w:w="5670" w:type="dxa"/>
            <w:gridSpan w:val="4"/>
            <w:tcBorders>
              <w:top w:val="single" w:sz="6" w:space="0" w:color="auto"/>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r>
              <w:rPr>
                <w:sz w:val="18"/>
              </w:rPr>
              <w:t xml:space="preserve">Angolo del timone </w:t>
            </w:r>
            <w:r>
              <w:rPr>
                <w:sz w:val="18"/>
                <w:szCs w:val="20"/>
              </w:rPr>
              <w:sym w:font="Symbol" w:char="F064"/>
            </w:r>
            <w:r>
              <w:rPr>
                <w:sz w:val="18"/>
              </w:rPr>
              <w:t xml:space="preserve"> o </w:t>
            </w:r>
            <m:oMath>
              <m:sSub>
                <m:sSubPr>
                  <m:ctrlPr>
                    <w:rPr>
                      <w:rFonts w:ascii="Cambria Math" w:hAnsi="Cambria Math"/>
                      <w:i/>
                      <w:sz w:val="18"/>
                      <w:szCs w:val="20"/>
                    </w:rPr>
                  </m:ctrlPr>
                </m:sSubPr>
                <m:e>
                  <m:r>
                    <w:rPr>
                      <w:rFonts w:ascii="Cambria Math" w:hAnsi="Cambria Math"/>
                      <w:sz w:val="18"/>
                      <w:szCs w:val="20"/>
                    </w:rPr>
                    <m:t>δ</m:t>
                  </m:r>
                </m:e>
                <m:sub>
                  <m:r>
                    <w:rPr>
                      <w:rFonts w:ascii="Cambria Math" w:hAnsi="Cambria Math"/>
                      <w:sz w:val="18"/>
                      <w:szCs w:val="20"/>
                    </w:rPr>
                    <m:t>a</m:t>
                  </m:r>
                </m:sub>
              </m:sSub>
            </m:oMath>
            <w:r>
              <w:rPr>
                <w:sz w:val="18"/>
              </w:rPr>
              <w:t xml:space="preserve"> *) dal quale inizia la manovra di evasione </w:t>
            </w: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1</m:t>
                  </m:r>
                </m:sub>
              </m:sSub>
            </m:oMath>
            <w:r>
              <w:rPr>
                <w:sz w:val="18"/>
              </w:rPr>
              <w:t xml:space="preserve"> = </w:t>
            </w: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3</m:t>
                  </m:r>
                </m:sub>
              </m:sSub>
            </m:oMath>
          </w:p>
        </w:tc>
        <w:tc>
          <w:tcPr>
            <w:tcW w:w="2268" w:type="dxa"/>
            <w:tcBorders>
              <w:top w:val="single" w:sz="6" w:space="0" w:color="auto"/>
              <w:bottom w:val="nil"/>
              <w:right w:val="single" w:sz="6" w:space="0" w:color="auto"/>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r>
              <w:rPr>
                <w:sz w:val="18"/>
              </w:rPr>
              <w:t>Osservazioni</w:t>
            </w:r>
          </w:p>
        </w:tc>
      </w:tr>
      <w:tr w:rsidR="004F47BB" w:rsidRPr="004F47BB" w:rsidTr="00D45887">
        <w:tc>
          <w:tcPr>
            <w:tcW w:w="1418" w:type="dxa"/>
            <w:tcBorders>
              <w:top w:val="nil"/>
              <w:left w:val="single" w:sz="6" w:space="0" w:color="auto"/>
              <w:bottom w:val="nil"/>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r>
              <w:rPr>
                <w:sz w:val="18"/>
              </w:rPr>
              <w:t>per la manovra di evasione</w:t>
            </w:r>
          </w:p>
        </w:tc>
        <w:tc>
          <w:tcPr>
            <w:tcW w:w="1417" w:type="dxa"/>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m:oMath>
              <m:r>
                <w:rPr>
                  <w:rFonts w:ascii="Cambria Math" w:hAnsi="Cambria Math"/>
                  <w:i/>
                  <w:sz w:val="18"/>
                  <w:szCs w:val="20"/>
                </w:rPr>
                <w:sym w:font="Symbol" w:char="F064"/>
              </m:r>
            </m:oMath>
            <w:r>
              <w:rPr>
                <w:sz w:val="18"/>
              </w:rPr>
              <w:t xml:space="preserve"> = 20° TB*)</w:t>
            </w:r>
            <w:r>
              <w:rPr>
                <w:sz w:val="18"/>
                <w:szCs w:val="20"/>
              </w:rPr>
              <w:br/>
            </w:r>
            <m:oMath>
              <m:sSub>
                <m:sSubPr>
                  <m:ctrlPr>
                    <w:rPr>
                      <w:rFonts w:ascii="Cambria Math" w:hAnsi="Cambria Math"/>
                      <w:i/>
                      <w:sz w:val="18"/>
                      <w:szCs w:val="20"/>
                    </w:rPr>
                  </m:ctrlPr>
                </m:sSubPr>
                <m:e>
                  <m:r>
                    <w:rPr>
                      <w:rFonts w:ascii="Cambria Math" w:hAnsi="Cambria Math"/>
                      <w:sz w:val="18"/>
                      <w:szCs w:val="20"/>
                    </w:rPr>
                    <m:t>δ</m:t>
                  </m:r>
                </m:e>
                <m:sub>
                  <m:r>
                    <w:rPr>
                      <w:rFonts w:ascii="Cambria Math" w:hAnsi="Cambria Math"/>
                      <w:sz w:val="18"/>
                      <w:szCs w:val="20"/>
                    </w:rPr>
                    <m:t>a</m:t>
                  </m:r>
                </m:sub>
              </m:sSub>
            </m:oMath>
            <w:r>
              <w:rPr>
                <w:sz w:val="18"/>
              </w:rPr>
              <w:t xml:space="preserve"> = .... TB*)</w:t>
            </w:r>
          </w:p>
        </w:tc>
        <w:tc>
          <w:tcPr>
            <w:tcW w:w="1417" w:type="dxa"/>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m:oMath>
              <m:r>
                <w:rPr>
                  <w:rFonts w:ascii="Cambria Math" w:hAnsi="Cambria Math"/>
                  <w:i/>
                  <w:sz w:val="18"/>
                  <w:szCs w:val="20"/>
                </w:rPr>
                <w:sym w:font="Symbol" w:char="F064"/>
              </m:r>
            </m:oMath>
            <w:r>
              <w:rPr>
                <w:sz w:val="18"/>
              </w:rPr>
              <w:t xml:space="preserve"> = 20° BB*)</w:t>
            </w:r>
            <w:r>
              <w:rPr>
                <w:sz w:val="18"/>
                <w:szCs w:val="20"/>
              </w:rPr>
              <w:br/>
            </w:r>
            <m:oMath>
              <m:sSub>
                <m:sSubPr>
                  <m:ctrlPr>
                    <w:rPr>
                      <w:rFonts w:ascii="Cambria Math" w:hAnsi="Cambria Math"/>
                      <w:i/>
                      <w:sz w:val="18"/>
                      <w:szCs w:val="20"/>
                    </w:rPr>
                  </m:ctrlPr>
                </m:sSubPr>
                <m:e>
                  <m:r>
                    <w:rPr>
                      <w:rFonts w:ascii="Cambria Math" w:hAnsi="Cambria Math"/>
                      <w:sz w:val="18"/>
                      <w:szCs w:val="20"/>
                    </w:rPr>
                    <m:t>δ</m:t>
                  </m:r>
                </m:e>
                <m:sub>
                  <m:r>
                    <w:rPr>
                      <w:rFonts w:ascii="Cambria Math" w:hAnsi="Cambria Math"/>
                      <w:sz w:val="18"/>
                      <w:szCs w:val="20"/>
                    </w:rPr>
                    <m:t>a</m:t>
                  </m:r>
                </m:sub>
              </m:sSub>
            </m:oMath>
            <w:r>
              <w:rPr>
                <w:sz w:val="18"/>
              </w:rPr>
              <w:t xml:space="preserve"> = .... BB*)</w:t>
            </w:r>
          </w:p>
        </w:tc>
        <w:tc>
          <w:tcPr>
            <w:tcW w:w="1417" w:type="dxa"/>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m:oMath>
              <m:r>
                <w:rPr>
                  <w:rFonts w:ascii="Cambria Math" w:hAnsi="Cambria Math"/>
                  <w:i/>
                  <w:sz w:val="18"/>
                  <w:szCs w:val="20"/>
                </w:rPr>
                <w:sym w:font="Symbol" w:char="F064"/>
              </m:r>
            </m:oMath>
            <w:r>
              <w:rPr>
                <w:sz w:val="18"/>
              </w:rPr>
              <w:t xml:space="preserve"> = 45° TB*)</w:t>
            </w:r>
            <w:r>
              <w:rPr>
                <w:sz w:val="18"/>
                <w:szCs w:val="20"/>
              </w:rPr>
              <w:br/>
            </w:r>
            <m:oMath>
              <m:sSub>
                <m:sSubPr>
                  <m:ctrlPr>
                    <w:rPr>
                      <w:rFonts w:ascii="Cambria Math" w:hAnsi="Cambria Math"/>
                      <w:i/>
                      <w:sz w:val="18"/>
                      <w:szCs w:val="20"/>
                    </w:rPr>
                  </m:ctrlPr>
                </m:sSubPr>
                <m:e>
                  <m:r>
                    <w:rPr>
                      <w:rFonts w:ascii="Cambria Math" w:hAnsi="Cambria Math"/>
                      <w:sz w:val="18"/>
                      <w:szCs w:val="20"/>
                    </w:rPr>
                    <m:t>δ</m:t>
                  </m:r>
                </m:e>
                <m:sub>
                  <m:r>
                    <w:rPr>
                      <w:rFonts w:ascii="Cambria Math" w:hAnsi="Cambria Math"/>
                      <w:sz w:val="18"/>
                      <w:szCs w:val="20"/>
                    </w:rPr>
                    <m:t>a</m:t>
                  </m:r>
                </m:sub>
              </m:sSub>
            </m:oMath>
            <w:r>
              <w:rPr>
                <w:sz w:val="18"/>
              </w:rPr>
              <w:t xml:space="preserve"> = ..... TB*)</w:t>
            </w:r>
          </w:p>
        </w:tc>
        <w:tc>
          <w:tcPr>
            <w:tcW w:w="1417" w:type="dxa"/>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m:oMath>
              <m:r>
                <w:rPr>
                  <w:rFonts w:ascii="Cambria Math" w:hAnsi="Cambria Math"/>
                  <w:i/>
                  <w:sz w:val="18"/>
                  <w:szCs w:val="20"/>
                </w:rPr>
                <w:sym w:font="Symbol" w:char="F064"/>
              </m:r>
            </m:oMath>
            <w:r>
              <w:rPr>
                <w:sz w:val="18"/>
              </w:rPr>
              <w:t xml:space="preserve"> = 45° BB*)</w:t>
            </w:r>
            <w:r>
              <w:rPr>
                <w:sz w:val="18"/>
                <w:szCs w:val="20"/>
              </w:rPr>
              <w:br/>
            </w:r>
            <m:oMath>
              <m:sSub>
                <m:sSubPr>
                  <m:ctrlPr>
                    <w:rPr>
                      <w:rFonts w:ascii="Cambria Math" w:hAnsi="Cambria Math"/>
                      <w:i/>
                      <w:sz w:val="18"/>
                      <w:szCs w:val="20"/>
                    </w:rPr>
                  </m:ctrlPr>
                </m:sSubPr>
                <m:e>
                  <m:r>
                    <w:rPr>
                      <w:rFonts w:ascii="Cambria Math" w:hAnsi="Cambria Math"/>
                      <w:sz w:val="18"/>
                      <w:szCs w:val="20"/>
                    </w:rPr>
                    <m:t>δ</m:t>
                  </m:r>
                </m:e>
                <m:sub>
                  <m:r>
                    <w:rPr>
                      <w:rFonts w:ascii="Cambria Math" w:hAnsi="Cambria Math"/>
                      <w:sz w:val="18"/>
                      <w:szCs w:val="20"/>
                    </w:rPr>
                    <m:t>a</m:t>
                  </m:r>
                </m:sub>
              </m:sSub>
            </m:oMath>
            <w:r>
              <w:rPr>
                <w:sz w:val="18"/>
              </w:rPr>
              <w:t xml:space="preserve"> = .... BB*)</w:t>
            </w:r>
          </w:p>
        </w:tc>
        <w:tc>
          <w:tcPr>
            <w:tcW w:w="2268" w:type="dxa"/>
            <w:tcBorders>
              <w:top w:val="nil"/>
              <w:bottom w:val="single" w:sz="6" w:space="0" w:color="auto"/>
              <w:right w:val="single" w:sz="6" w:space="0" w:color="auto"/>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r>
      <w:tr w:rsidR="004F47BB" w:rsidRPr="004F47BB" w:rsidTr="00D45887">
        <w:tc>
          <w:tcPr>
            <w:tcW w:w="1418" w:type="dxa"/>
            <w:tcBorders>
              <w:top w:val="nil"/>
              <w:left w:val="single" w:sz="6" w:space="0" w:color="auto"/>
              <w:bottom w:val="single" w:sz="6" w:space="0" w:color="auto"/>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c>
          <w:tcPr>
            <w:tcW w:w="2834" w:type="dxa"/>
            <w:gridSpan w:val="2"/>
            <w:vAlign w:val="center"/>
          </w:tcPr>
          <w:p w:rsidR="004F47BB" w:rsidRPr="004F47BB" w:rsidRDefault="00624017" w:rsidP="004F47BB">
            <w:pPr>
              <w:tabs>
                <w:tab w:val="left" w:pos="284"/>
                <w:tab w:val="left" w:pos="709"/>
                <w:tab w:val="left" w:pos="993"/>
              </w:tabs>
              <w:overflowPunct w:val="0"/>
              <w:adjustRightInd w:val="0"/>
              <w:spacing w:before="40" w:after="40"/>
              <w:ind w:left="0" w:firstLine="0"/>
              <w:jc w:val="center"/>
              <w:textAlignment w:val="baseline"/>
              <w:rPr>
                <w:sz w:val="18"/>
                <w:szCs w:val="20"/>
              </w:rPr>
            </w:pP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1</m:t>
                  </m:r>
                </m:sub>
              </m:sSub>
            </m:oMath>
            <w:r w:rsidR="00801F1F">
              <w:rPr>
                <w:sz w:val="18"/>
              </w:rPr>
              <w:t xml:space="preserve"> = </w:t>
            </w: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3</m:t>
                  </m:r>
                </m:sub>
              </m:sSub>
            </m:oMath>
            <w:r w:rsidR="00801F1F">
              <w:rPr>
                <w:sz w:val="18"/>
              </w:rPr>
              <w:t xml:space="preserve"> = ........ °/min</w:t>
            </w:r>
          </w:p>
        </w:tc>
        <w:tc>
          <w:tcPr>
            <w:tcW w:w="2834" w:type="dxa"/>
            <w:gridSpan w:val="2"/>
            <w:vAlign w:val="center"/>
          </w:tcPr>
          <w:p w:rsidR="004F47BB" w:rsidRPr="004F47BB" w:rsidRDefault="00624017" w:rsidP="004F47BB">
            <w:pPr>
              <w:tabs>
                <w:tab w:val="left" w:pos="284"/>
                <w:tab w:val="left" w:pos="709"/>
                <w:tab w:val="left" w:pos="993"/>
              </w:tabs>
              <w:overflowPunct w:val="0"/>
              <w:adjustRightInd w:val="0"/>
              <w:spacing w:before="40" w:after="40"/>
              <w:ind w:left="0" w:firstLine="0"/>
              <w:jc w:val="center"/>
              <w:textAlignment w:val="baseline"/>
              <w:rPr>
                <w:sz w:val="18"/>
                <w:szCs w:val="20"/>
              </w:rPr>
            </w:pP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1</m:t>
                  </m:r>
                </m:sub>
              </m:sSub>
            </m:oMath>
            <w:r w:rsidR="00801F1F">
              <w:rPr>
                <w:sz w:val="16"/>
              </w:rPr>
              <w:t xml:space="preserve"> </w:t>
            </w:r>
            <w:r w:rsidR="00801F1F">
              <w:rPr>
                <w:sz w:val="18"/>
              </w:rPr>
              <w:t xml:space="preserve">= </w:t>
            </w: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3</m:t>
                  </m:r>
                </m:sub>
              </m:sSub>
            </m:oMath>
            <w:r w:rsidR="00801F1F">
              <w:rPr>
                <w:sz w:val="18"/>
              </w:rPr>
              <w:t xml:space="preserve"> = ........ °/min</w:t>
            </w:r>
          </w:p>
        </w:tc>
        <w:tc>
          <w:tcPr>
            <w:tcW w:w="2268" w:type="dxa"/>
            <w:tcBorders>
              <w:top w:val="nil"/>
              <w:bottom w:val="single" w:sz="6" w:space="0" w:color="auto"/>
              <w:right w:val="single" w:sz="6" w:space="0" w:color="auto"/>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r>
      <w:tr w:rsidR="004F47BB" w:rsidRPr="004F47BB" w:rsidTr="00D45887">
        <w:tc>
          <w:tcPr>
            <w:tcW w:w="1418" w:type="dxa"/>
            <w:tcBorders>
              <w:top w:val="nil"/>
              <w:left w:val="single" w:sz="6" w:space="0" w:color="auto"/>
            </w:tcBorders>
            <w:vAlign w:val="center"/>
          </w:tcPr>
          <w:p w:rsidR="004F47BB" w:rsidRPr="004F47BB" w:rsidRDefault="00624017" w:rsidP="004F47BB">
            <w:pPr>
              <w:tabs>
                <w:tab w:val="left" w:pos="284"/>
                <w:tab w:val="left" w:pos="709"/>
                <w:tab w:val="left" w:pos="993"/>
              </w:tabs>
              <w:overflowPunct w:val="0"/>
              <w:adjustRightInd w:val="0"/>
              <w:spacing w:before="40" w:after="40"/>
              <w:ind w:left="0" w:firstLine="0"/>
              <w:jc w:val="center"/>
              <w:textAlignment w:val="baseline"/>
              <w:rPr>
                <w:sz w:val="18"/>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1</m:t>
                  </m:r>
                </m:sub>
              </m:sSub>
            </m:oMath>
            <w:r w:rsidR="00801F1F">
              <w:rPr>
                <w:sz w:val="18"/>
              </w:rPr>
              <w:t xml:space="preserve"> [s]</w:t>
            </w:r>
          </w:p>
        </w:tc>
        <w:tc>
          <w:tcPr>
            <w:tcW w:w="1417" w:type="dxa"/>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c>
          <w:tcPr>
            <w:tcW w:w="1417" w:type="dxa"/>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c>
          <w:tcPr>
            <w:tcW w:w="1417" w:type="dxa"/>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c>
          <w:tcPr>
            <w:tcW w:w="1417" w:type="dxa"/>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c>
          <w:tcPr>
            <w:tcW w:w="2268" w:type="dxa"/>
            <w:tcBorders>
              <w:top w:val="nil"/>
              <w:right w:val="single" w:sz="6" w:space="0" w:color="auto"/>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r>
      <w:tr w:rsidR="004F47BB" w:rsidRPr="004F47BB" w:rsidTr="00D45887">
        <w:tc>
          <w:tcPr>
            <w:tcW w:w="1418" w:type="dxa"/>
            <w:tcBorders>
              <w:left w:val="single" w:sz="6" w:space="0" w:color="auto"/>
            </w:tcBorders>
            <w:vAlign w:val="center"/>
          </w:tcPr>
          <w:p w:rsidR="004F47BB" w:rsidRPr="004F47BB" w:rsidRDefault="00624017" w:rsidP="004F47BB">
            <w:pPr>
              <w:tabs>
                <w:tab w:val="left" w:pos="284"/>
                <w:tab w:val="left" w:pos="709"/>
                <w:tab w:val="left" w:pos="993"/>
              </w:tabs>
              <w:overflowPunct w:val="0"/>
              <w:adjustRightInd w:val="0"/>
              <w:spacing w:before="40" w:after="40"/>
              <w:ind w:left="0" w:firstLine="0"/>
              <w:jc w:val="center"/>
              <w:textAlignment w:val="baseline"/>
              <w:rPr>
                <w:sz w:val="18"/>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2</m:t>
                  </m:r>
                </m:sub>
              </m:sSub>
            </m:oMath>
            <w:r w:rsidR="00801F1F">
              <w:rPr>
                <w:sz w:val="18"/>
              </w:rPr>
              <w:t xml:space="preserve"> [s]</w:t>
            </w:r>
          </w:p>
        </w:tc>
        <w:tc>
          <w:tcPr>
            <w:tcW w:w="1417" w:type="dxa"/>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c>
          <w:tcPr>
            <w:tcW w:w="1417" w:type="dxa"/>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c>
          <w:tcPr>
            <w:tcW w:w="1417" w:type="dxa"/>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c>
          <w:tcPr>
            <w:tcW w:w="1417" w:type="dxa"/>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c>
          <w:tcPr>
            <w:tcW w:w="2268" w:type="dxa"/>
            <w:tcBorders>
              <w:right w:val="single" w:sz="6" w:space="0" w:color="auto"/>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r>
      <w:tr w:rsidR="004F47BB" w:rsidRPr="004F47BB" w:rsidTr="00D45887">
        <w:tc>
          <w:tcPr>
            <w:tcW w:w="1418" w:type="dxa"/>
            <w:tcBorders>
              <w:left w:val="single" w:sz="6" w:space="0" w:color="auto"/>
              <w:bottom w:val="nil"/>
            </w:tcBorders>
            <w:vAlign w:val="center"/>
          </w:tcPr>
          <w:p w:rsidR="004F47BB" w:rsidRPr="004F47BB" w:rsidRDefault="00624017" w:rsidP="004F47BB">
            <w:pPr>
              <w:tabs>
                <w:tab w:val="left" w:pos="284"/>
                <w:tab w:val="left" w:pos="709"/>
                <w:tab w:val="left" w:pos="993"/>
              </w:tabs>
              <w:overflowPunct w:val="0"/>
              <w:adjustRightInd w:val="0"/>
              <w:spacing w:before="40" w:after="40"/>
              <w:ind w:left="0" w:firstLine="0"/>
              <w:jc w:val="center"/>
              <w:textAlignment w:val="baseline"/>
              <w:rPr>
                <w:sz w:val="18"/>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3</m:t>
                  </m:r>
                </m:sub>
              </m:sSub>
            </m:oMath>
            <w:r w:rsidR="00801F1F">
              <w:rPr>
                <w:sz w:val="18"/>
              </w:rPr>
              <w:t xml:space="preserve"> [s]</w:t>
            </w:r>
          </w:p>
        </w:tc>
        <w:tc>
          <w:tcPr>
            <w:tcW w:w="1417" w:type="dxa"/>
            <w:tcBorders>
              <w:bottom w:val="nil"/>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c>
          <w:tcPr>
            <w:tcW w:w="1417" w:type="dxa"/>
            <w:tcBorders>
              <w:bottom w:val="nil"/>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c>
          <w:tcPr>
            <w:tcW w:w="1417" w:type="dxa"/>
            <w:tcBorders>
              <w:bottom w:val="nil"/>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c>
          <w:tcPr>
            <w:tcW w:w="1417" w:type="dxa"/>
            <w:tcBorders>
              <w:bottom w:val="nil"/>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c>
          <w:tcPr>
            <w:tcW w:w="2268" w:type="dxa"/>
            <w:tcBorders>
              <w:bottom w:val="nil"/>
              <w:right w:val="single" w:sz="6" w:space="0" w:color="auto"/>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r>
      <w:tr w:rsidR="004F47BB" w:rsidRPr="004F47BB" w:rsidTr="00D45887">
        <w:tc>
          <w:tcPr>
            <w:tcW w:w="1418" w:type="dxa"/>
            <w:tcBorders>
              <w:top w:val="double" w:sz="6" w:space="0" w:color="auto"/>
              <w:left w:val="single" w:sz="6" w:space="0" w:color="auto"/>
              <w:bottom w:val="single" w:sz="6" w:space="0" w:color="auto"/>
            </w:tcBorders>
            <w:vAlign w:val="center"/>
          </w:tcPr>
          <w:p w:rsidR="004F47BB" w:rsidRPr="004F47BB" w:rsidRDefault="00624017" w:rsidP="004F47BB">
            <w:pPr>
              <w:tabs>
                <w:tab w:val="left" w:pos="284"/>
                <w:tab w:val="left" w:pos="709"/>
                <w:tab w:val="left" w:pos="993"/>
              </w:tabs>
              <w:overflowPunct w:val="0"/>
              <w:adjustRightInd w:val="0"/>
              <w:spacing w:before="40" w:after="40"/>
              <w:ind w:left="0" w:firstLine="0"/>
              <w:jc w:val="center"/>
              <w:textAlignment w:val="baseline"/>
              <w:rPr>
                <w:sz w:val="18"/>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sidR="00801F1F">
              <w:rPr>
                <w:sz w:val="18"/>
              </w:rPr>
              <w:t xml:space="preserve"> [s]</w:t>
            </w:r>
          </w:p>
        </w:tc>
        <w:tc>
          <w:tcPr>
            <w:tcW w:w="1417" w:type="dxa"/>
            <w:tcBorders>
              <w:top w:val="double" w:sz="6" w:space="0" w:color="auto"/>
              <w:bottom w:val="single" w:sz="6" w:space="0" w:color="auto"/>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c>
          <w:tcPr>
            <w:tcW w:w="1417" w:type="dxa"/>
            <w:tcBorders>
              <w:top w:val="double" w:sz="6" w:space="0" w:color="auto"/>
              <w:bottom w:val="single" w:sz="6" w:space="0" w:color="auto"/>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c>
          <w:tcPr>
            <w:tcW w:w="1417" w:type="dxa"/>
            <w:tcBorders>
              <w:top w:val="double" w:sz="6" w:space="0" w:color="auto"/>
              <w:bottom w:val="single" w:sz="6" w:space="0" w:color="auto"/>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c>
          <w:tcPr>
            <w:tcW w:w="1417" w:type="dxa"/>
            <w:tcBorders>
              <w:top w:val="double" w:sz="6" w:space="0" w:color="auto"/>
              <w:bottom w:val="single" w:sz="6" w:space="0" w:color="auto"/>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c>
          <w:tcPr>
            <w:tcW w:w="2268" w:type="dxa"/>
            <w:tcBorders>
              <w:top w:val="double" w:sz="6" w:space="0" w:color="auto"/>
              <w:bottom w:val="single" w:sz="6" w:space="0" w:color="auto"/>
              <w:right w:val="single" w:sz="6" w:space="0" w:color="auto"/>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p>
        </w:tc>
      </w:tr>
      <w:tr w:rsidR="004F47BB" w:rsidRPr="004F47BB" w:rsidTr="00D45887">
        <w:tc>
          <w:tcPr>
            <w:tcW w:w="1418" w:type="dxa"/>
            <w:tcBorders>
              <w:top w:val="double" w:sz="6" w:space="0" w:color="auto"/>
              <w:left w:val="single" w:sz="6" w:space="0" w:color="auto"/>
              <w:bottom w:val="single" w:sz="6" w:space="0" w:color="auto"/>
              <w:right w:val="single" w:sz="6" w:space="0" w:color="auto"/>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r>
              <w:rPr>
                <w:sz w:val="18"/>
              </w:rPr>
              <w:t xml:space="preserve">Valore limite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Pr>
                <w:sz w:val="18"/>
              </w:rPr>
              <w:t xml:space="preserve"> secondo 2.2</w:t>
            </w:r>
          </w:p>
        </w:tc>
        <w:tc>
          <w:tcPr>
            <w:tcW w:w="7936" w:type="dxa"/>
            <w:gridSpan w:val="5"/>
            <w:tcBorders>
              <w:top w:val="double" w:sz="6" w:space="0" w:color="auto"/>
              <w:left w:val="single" w:sz="6" w:space="0" w:color="auto"/>
              <w:bottom w:val="single" w:sz="6" w:space="0" w:color="auto"/>
              <w:right w:val="single" w:sz="6" w:space="0" w:color="auto"/>
            </w:tcBorders>
            <w:vAlign w:val="center"/>
          </w:tcPr>
          <w:p w:rsidR="004F47BB" w:rsidRPr="004F47BB" w:rsidRDefault="004F47BB" w:rsidP="004F47BB">
            <w:pPr>
              <w:tabs>
                <w:tab w:val="left" w:pos="284"/>
                <w:tab w:val="left" w:pos="709"/>
                <w:tab w:val="left" w:pos="993"/>
              </w:tabs>
              <w:overflowPunct w:val="0"/>
              <w:adjustRightInd w:val="0"/>
              <w:spacing w:before="40" w:after="40"/>
              <w:ind w:left="0" w:firstLine="0"/>
              <w:jc w:val="center"/>
              <w:textAlignment w:val="baseline"/>
              <w:rPr>
                <w:sz w:val="18"/>
                <w:szCs w:val="20"/>
              </w:rPr>
            </w:pPr>
            <w:r>
              <w:rPr>
                <w:sz w:val="18"/>
              </w:rPr>
              <w:t xml:space="preserve">Valore limite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Pr>
                <w:sz w:val="18"/>
              </w:rPr>
              <w:t xml:space="preserve"> = ....................... [s]</w:t>
            </w:r>
          </w:p>
        </w:tc>
      </w:tr>
    </w:tbl>
    <w:p w:rsidR="004F47BB" w:rsidRPr="004F47BB" w:rsidRDefault="004F47BB" w:rsidP="004F47BB">
      <w:pPr>
        <w:overflowPunct w:val="0"/>
        <w:adjustRightInd w:val="0"/>
        <w:ind w:left="0" w:firstLine="0"/>
        <w:textAlignment w:val="baseline"/>
        <w:rPr>
          <w:szCs w:val="20"/>
        </w:rPr>
      </w:pPr>
    </w:p>
    <w:p w:rsidR="004F47BB" w:rsidRPr="004F47BB" w:rsidRDefault="004F47BB" w:rsidP="004F47BB">
      <w:pPr>
        <w:overflowPunct w:val="0"/>
        <w:adjustRightInd w:val="0"/>
        <w:spacing w:after="120"/>
        <w:ind w:left="0" w:firstLine="0"/>
        <w:textAlignment w:val="baseline"/>
        <w:rPr>
          <w:szCs w:val="20"/>
        </w:rPr>
      </w:pPr>
      <w:r>
        <w:rPr>
          <w:b/>
        </w:rPr>
        <w:t>Capacità di virata *)</w:t>
      </w:r>
    </w:p>
    <w:p w:rsidR="004F47BB" w:rsidRPr="004F47BB" w:rsidRDefault="004F47BB" w:rsidP="004F47BB">
      <w:pPr>
        <w:tabs>
          <w:tab w:val="left" w:pos="4678"/>
          <w:tab w:val="left" w:leader="dot" w:pos="6804"/>
        </w:tabs>
        <w:overflowPunct w:val="0"/>
        <w:adjustRightInd w:val="0"/>
        <w:spacing w:after="120"/>
        <w:ind w:left="0" w:firstLine="0"/>
        <w:textAlignment w:val="baseline"/>
        <w:rPr>
          <w:szCs w:val="20"/>
        </w:rPr>
      </w:pPr>
      <w:r>
        <w:t>Posizione geografica all'inizio della manovra di virata:</w:t>
      </w:r>
      <w:r>
        <w:tab/>
        <w:t xml:space="preserve">km </w:t>
      </w:r>
      <w:r>
        <w:tab/>
        <w:t xml:space="preserve"> </w:t>
      </w:r>
    </w:p>
    <w:p w:rsidR="004F47BB" w:rsidRPr="004F47BB" w:rsidRDefault="004F47BB" w:rsidP="004F47BB">
      <w:pPr>
        <w:tabs>
          <w:tab w:val="left" w:pos="4678"/>
          <w:tab w:val="left" w:leader="dot" w:pos="6804"/>
        </w:tabs>
        <w:overflowPunct w:val="0"/>
        <w:adjustRightInd w:val="0"/>
        <w:ind w:left="0" w:firstLine="0"/>
        <w:textAlignment w:val="baseline"/>
        <w:rPr>
          <w:szCs w:val="20"/>
        </w:rPr>
      </w:pPr>
      <w:r>
        <w:t>Posizione geografica alla fine della manovra di virata</w:t>
      </w:r>
      <w:r>
        <w:tab/>
        <w:t xml:space="preserve">km </w:t>
      </w:r>
      <w:r>
        <w:tab/>
        <w:t xml:space="preserve"> </w:t>
      </w:r>
    </w:p>
    <w:p w:rsidR="004F47BB" w:rsidRPr="004F47BB" w:rsidRDefault="004F47BB" w:rsidP="004F47BB">
      <w:pPr>
        <w:tabs>
          <w:tab w:val="left" w:leader="dot" w:pos="6804"/>
        </w:tabs>
        <w:overflowPunct w:val="0"/>
        <w:adjustRightInd w:val="0"/>
        <w:ind w:left="0" w:firstLine="0"/>
        <w:textAlignment w:val="baseline"/>
        <w:rPr>
          <w:szCs w:val="20"/>
        </w:rPr>
      </w:pPr>
    </w:p>
    <w:p w:rsidR="004F47BB" w:rsidRPr="004F47BB" w:rsidRDefault="004F47BB" w:rsidP="004F47BB">
      <w:pPr>
        <w:tabs>
          <w:tab w:val="left" w:leader="dot" w:pos="6804"/>
        </w:tabs>
        <w:overflowPunct w:val="0"/>
        <w:adjustRightInd w:val="0"/>
        <w:spacing w:after="80"/>
        <w:ind w:left="0" w:firstLine="0"/>
        <w:textAlignment w:val="baseline"/>
        <w:rPr>
          <w:szCs w:val="20"/>
        </w:rPr>
      </w:pPr>
      <w:r>
        <w:rPr>
          <w:b/>
        </w:rPr>
        <w:t>Apparato di governo</w:t>
      </w:r>
    </w:p>
    <w:p w:rsidR="004F47BB" w:rsidRPr="004F47BB" w:rsidRDefault="004F47BB" w:rsidP="004F47BB">
      <w:pPr>
        <w:tabs>
          <w:tab w:val="left" w:pos="6804"/>
          <w:tab w:val="left" w:leader="dot" w:pos="8647"/>
        </w:tabs>
        <w:overflowPunct w:val="0"/>
        <w:adjustRightInd w:val="0"/>
        <w:spacing w:after="120"/>
        <w:ind w:left="0" w:firstLine="0"/>
        <w:textAlignment w:val="baseline"/>
        <w:rPr>
          <w:szCs w:val="20"/>
        </w:rPr>
      </w:pPr>
      <w:r>
        <w:t>Tipo di azionamento: manuale/motorizzato *):</w:t>
      </w:r>
    </w:p>
    <w:p w:rsidR="004F47BB" w:rsidRPr="004F47BB" w:rsidRDefault="004F47BB" w:rsidP="004F47BB">
      <w:pPr>
        <w:tabs>
          <w:tab w:val="left" w:pos="6804"/>
          <w:tab w:val="left" w:leader="dot" w:pos="8647"/>
        </w:tabs>
        <w:overflowPunct w:val="0"/>
        <w:adjustRightInd w:val="0"/>
        <w:spacing w:after="120"/>
        <w:ind w:left="0" w:firstLine="0"/>
        <w:textAlignment w:val="baseline"/>
        <w:rPr>
          <w:szCs w:val="20"/>
        </w:rPr>
      </w:pPr>
      <w:r>
        <w:t>Angolo del timone per ogni giro della ruota *):</w:t>
      </w:r>
      <w:r>
        <w:tab/>
      </w:r>
      <w:r>
        <w:tab/>
        <w:t xml:space="preserve"> °</w:t>
      </w:r>
    </w:p>
    <w:p w:rsidR="004F47BB" w:rsidRPr="004F47BB" w:rsidRDefault="004F47BB" w:rsidP="004F47BB">
      <w:pPr>
        <w:tabs>
          <w:tab w:val="left" w:pos="6804"/>
          <w:tab w:val="left" w:leader="dot" w:pos="8647"/>
        </w:tabs>
        <w:overflowPunct w:val="0"/>
        <w:adjustRightInd w:val="0"/>
        <w:spacing w:after="120"/>
        <w:ind w:left="0" w:firstLine="0"/>
        <w:textAlignment w:val="baseline"/>
        <w:rPr>
          <w:szCs w:val="20"/>
        </w:rPr>
      </w:pPr>
      <w:r>
        <w:t>Velocità angolare del timone per l'intero raggio di rotazione *):</w:t>
      </w:r>
      <w:r>
        <w:tab/>
      </w:r>
      <w:r>
        <w:tab/>
        <w:t xml:space="preserve"> °/s</w:t>
      </w:r>
    </w:p>
    <w:p w:rsidR="004F47BB" w:rsidRPr="004F47BB" w:rsidRDefault="004F47BB" w:rsidP="004F47BB">
      <w:pPr>
        <w:tabs>
          <w:tab w:val="left" w:pos="6804"/>
          <w:tab w:val="left" w:leader="dot" w:pos="8647"/>
        </w:tabs>
        <w:overflowPunct w:val="0"/>
        <w:adjustRightInd w:val="0"/>
        <w:ind w:left="0" w:firstLine="0"/>
        <w:textAlignment w:val="baseline"/>
        <w:rPr>
          <w:szCs w:val="20"/>
        </w:rPr>
      </w:pPr>
      <w:r>
        <w:t>Velocità angolare del timone da 35° a babordo a 35° a tribordo: *)</w:t>
      </w:r>
      <w:r>
        <w:tab/>
      </w:r>
      <w:r>
        <w:tab/>
        <w:t xml:space="preserve"> °/s</w:t>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sectPr w:rsidR="004F47BB" w:rsidRPr="004F47BB" w:rsidSect="00D45887">
          <w:headerReference w:type="default" r:id="rId135"/>
          <w:footerReference w:type="default" r:id="rId136"/>
          <w:headerReference w:type="first" r:id="rId137"/>
          <w:footerReference w:type="first" r:id="rId138"/>
          <w:footnotePr>
            <w:numRestart w:val="eachPage"/>
          </w:footnotePr>
          <w:pgSz w:w="11907" w:h="16840" w:code="9"/>
          <w:pgMar w:top="1418" w:right="1418" w:bottom="1418" w:left="1418" w:header="680" w:footer="680" w:gutter="0"/>
          <w:cols w:space="720"/>
          <w:docGrid w:linePitch="326"/>
        </w:sectPr>
      </w:pPr>
    </w:p>
    <w:p w:rsidR="004F47BB" w:rsidRPr="00C859BD" w:rsidRDefault="004F47BB" w:rsidP="005B46C9">
      <w:pPr>
        <w:pStyle w:val="ES-Titre2ESI"/>
      </w:pPr>
      <w:bookmarkStart w:id="743" w:name="_Toc491854354"/>
      <w:bookmarkStart w:id="744" w:name="_Toc535500303"/>
      <w:r>
        <w:lastRenderedPageBreak/>
        <w:t>ESI-II-5</w:t>
      </w:r>
      <w:r>
        <w:br/>
        <w:t>Misurazione del rumore</w:t>
      </w:r>
      <w:bookmarkEnd w:id="743"/>
      <w:bookmarkEnd w:id="744"/>
    </w:p>
    <w:p w:rsidR="004F47BB" w:rsidRPr="004F47BB" w:rsidRDefault="004F47BB" w:rsidP="004F47BB">
      <w:pPr>
        <w:autoSpaceDE/>
        <w:autoSpaceDN/>
        <w:ind w:left="0" w:firstLine="0"/>
        <w:jc w:val="center"/>
        <w:rPr>
          <w:rFonts w:cs="Arial"/>
          <w:b/>
          <w:bCs/>
          <w:szCs w:val="20"/>
        </w:rPr>
      </w:pPr>
    </w:p>
    <w:p w:rsidR="004F47BB" w:rsidRPr="004F47BB" w:rsidRDefault="004F47BB" w:rsidP="004F47BB">
      <w:pPr>
        <w:autoSpaceDE/>
        <w:autoSpaceDN/>
        <w:ind w:left="426" w:firstLine="0"/>
        <w:jc w:val="center"/>
        <w:rPr>
          <w:rFonts w:cs="Arial"/>
          <w:b/>
          <w:bCs/>
          <w:szCs w:val="20"/>
        </w:rPr>
      </w:pPr>
      <w:r>
        <w:rPr>
          <w:b/>
        </w:rPr>
        <w:t>(Articolo 3.04, paragrafo 7, articolo 7.01, paragrafo 2, articolo 7.03, paragrafo 6, articolo 7.09, paragrafo 3, articolo 8.8, articolo 14.09, paragrafo 3, articolo 15.02, paragrafo 5, articolo 22.02, paragrafo 3, lettera b), e articolo 22.03, paragrafo 1)</w:t>
      </w:r>
    </w:p>
    <w:p w:rsidR="004F47BB" w:rsidRPr="004F47BB" w:rsidRDefault="004F47BB" w:rsidP="004F47BB">
      <w:pPr>
        <w:autoSpaceDE/>
        <w:autoSpaceDN/>
        <w:ind w:left="0" w:firstLine="0"/>
        <w:rPr>
          <w:rFonts w:cs="Arial"/>
          <w:szCs w:val="20"/>
        </w:rPr>
      </w:pPr>
    </w:p>
    <w:p w:rsidR="004F47BB" w:rsidRPr="004F47BB" w:rsidRDefault="004F47BB" w:rsidP="004F47BB">
      <w:pPr>
        <w:spacing w:line="240" w:lineRule="atLeast"/>
        <w:ind w:left="567" w:hanging="567"/>
        <w:rPr>
          <w:rFonts w:cs="Arial"/>
          <w:b/>
          <w:color w:val="000000"/>
          <w:szCs w:val="20"/>
        </w:rPr>
      </w:pPr>
      <w:r>
        <w:rPr>
          <w:b/>
          <w:color w:val="000000"/>
        </w:rPr>
        <w:t>1.</w:t>
      </w:r>
      <w:r>
        <w:tab/>
      </w:r>
      <w:r>
        <w:rPr>
          <w:b/>
          <w:color w:val="000000"/>
        </w:rPr>
        <w:t>Aspetti generali</w:t>
      </w:r>
    </w:p>
    <w:p w:rsidR="004F47BB" w:rsidRPr="004F47BB" w:rsidRDefault="004F47BB" w:rsidP="004F47BB">
      <w:pPr>
        <w:tabs>
          <w:tab w:val="left" w:pos="426"/>
          <w:tab w:val="left" w:pos="1021"/>
        </w:tabs>
        <w:autoSpaceDE/>
        <w:autoSpaceDN/>
        <w:ind w:left="426" w:hanging="426"/>
        <w:rPr>
          <w:rFonts w:cs="Arial"/>
          <w:snapToGrid w:val="0"/>
          <w:szCs w:val="20"/>
        </w:rPr>
      </w:pPr>
    </w:p>
    <w:p w:rsidR="004F47BB" w:rsidRPr="004F47BB" w:rsidRDefault="004F47BB" w:rsidP="004F47BB">
      <w:pPr>
        <w:spacing w:line="240" w:lineRule="atLeast"/>
        <w:ind w:left="567" w:firstLine="0"/>
        <w:rPr>
          <w:snapToGrid w:val="0"/>
        </w:rPr>
      </w:pPr>
      <w:r>
        <w:t>Per controllare i livelli di pressione acustica massimi di cui alla norma, è necessario stabilire i valori da misurare, le procedure di misurazione e le condizioni per la registrazione quantitativa riproducibile dei livelli di pressione acustica conformemente ai punti 2 e 3.</w:t>
      </w:r>
    </w:p>
    <w:p w:rsidR="004F47BB" w:rsidRPr="004F47BB" w:rsidRDefault="004F47BB" w:rsidP="004F47BB">
      <w:pPr>
        <w:tabs>
          <w:tab w:val="left" w:pos="426"/>
        </w:tabs>
        <w:autoSpaceDE/>
        <w:autoSpaceDN/>
        <w:ind w:left="426" w:hanging="426"/>
        <w:rPr>
          <w:rFonts w:cs="Arial"/>
          <w:szCs w:val="20"/>
        </w:rPr>
      </w:pPr>
    </w:p>
    <w:p w:rsidR="004F47BB" w:rsidRPr="004F47BB" w:rsidRDefault="004F47BB" w:rsidP="004F47BB">
      <w:pPr>
        <w:spacing w:line="240" w:lineRule="atLeast"/>
        <w:ind w:left="567" w:hanging="567"/>
        <w:rPr>
          <w:rFonts w:cs="Arial"/>
          <w:b/>
          <w:color w:val="000000"/>
          <w:szCs w:val="20"/>
        </w:rPr>
      </w:pPr>
      <w:r>
        <w:rPr>
          <w:b/>
          <w:color w:val="000000"/>
        </w:rPr>
        <w:t>2.</w:t>
      </w:r>
      <w:r>
        <w:tab/>
      </w:r>
      <w:r>
        <w:rPr>
          <w:b/>
          <w:color w:val="000000"/>
        </w:rPr>
        <w:t>Strumenti di misurazione</w:t>
      </w:r>
    </w:p>
    <w:p w:rsidR="004F47BB" w:rsidRPr="004F47BB" w:rsidRDefault="004F47BB" w:rsidP="004F47BB">
      <w:pPr>
        <w:spacing w:line="240" w:lineRule="atLeast"/>
        <w:ind w:left="567" w:firstLine="0"/>
        <w:rPr>
          <w:snapToGrid w:val="0"/>
        </w:rPr>
      </w:pPr>
    </w:p>
    <w:p w:rsidR="004F47BB" w:rsidRPr="004F47BB" w:rsidRDefault="004F47BB" w:rsidP="004F47BB">
      <w:pPr>
        <w:spacing w:line="240" w:lineRule="atLeast"/>
        <w:ind w:left="567" w:firstLine="0"/>
        <w:rPr>
          <w:noProof/>
        </w:rPr>
      </w:pPr>
      <w:r>
        <w:t>Lo strumento di misurazione deve essere conforme ai requisiti della classe 1 secondo la norma europea EN 61672</w:t>
      </w:r>
      <w:r>
        <w:softHyphen/>
        <w:t>1:2003.</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szCs w:val="20"/>
        </w:rPr>
      </w:pPr>
      <w:r>
        <w:t>Prima e dopo ogni serie di misurazioni, disporre un calibratore di classe 1 secondo la norma EN 60942:2003 sul microfono per calibrare il sistema di misurazione. La conformità del calibratore ai requisiti della norma europea EN 60942:2003 deve essere controllata una volta all'anno. La conformità dell'apparecchiatura di misurazione ai requisiti della norma EN 61672-1:2003 deve essere controllata ogni due anni.</w:t>
      </w:r>
    </w:p>
    <w:p w:rsidR="004F47BB" w:rsidRPr="004F47BB" w:rsidRDefault="004F47BB" w:rsidP="004F47BB">
      <w:pPr>
        <w:spacing w:line="240" w:lineRule="atLeast"/>
        <w:ind w:left="567" w:firstLine="0"/>
      </w:pPr>
    </w:p>
    <w:p w:rsidR="004F47BB" w:rsidRPr="004F47BB" w:rsidRDefault="004F47BB" w:rsidP="004F47BB">
      <w:pPr>
        <w:spacing w:line="240" w:lineRule="atLeast"/>
        <w:ind w:left="567" w:hanging="567"/>
        <w:rPr>
          <w:rFonts w:cs="Arial"/>
          <w:b/>
          <w:color w:val="000000"/>
          <w:szCs w:val="20"/>
        </w:rPr>
      </w:pPr>
      <w:r>
        <w:rPr>
          <w:b/>
          <w:color w:val="000000"/>
        </w:rPr>
        <w:t>3.</w:t>
      </w:r>
      <w:r>
        <w:tab/>
      </w:r>
      <w:r>
        <w:rPr>
          <w:b/>
          <w:color w:val="000000"/>
        </w:rPr>
        <w:t>Misurazione del rumore</w:t>
      </w:r>
    </w:p>
    <w:p w:rsidR="004F47BB" w:rsidRPr="004F47BB" w:rsidRDefault="004F47BB" w:rsidP="004F47BB">
      <w:pPr>
        <w:tabs>
          <w:tab w:val="left" w:pos="426"/>
        </w:tabs>
        <w:autoSpaceDE/>
        <w:autoSpaceDN/>
        <w:rPr>
          <w:rFonts w:cs="Arial"/>
          <w:szCs w:val="20"/>
        </w:rPr>
      </w:pPr>
    </w:p>
    <w:p w:rsidR="004F47BB" w:rsidRPr="004F47BB" w:rsidRDefault="004F47BB" w:rsidP="004F47BB">
      <w:pPr>
        <w:spacing w:line="240" w:lineRule="atLeast"/>
        <w:ind w:left="567" w:hanging="567"/>
      </w:pPr>
      <w:r>
        <w:t>3.1</w:t>
      </w:r>
      <w:r>
        <w:tab/>
        <w:t>A bordo dell'imbarcazione</w:t>
      </w:r>
    </w:p>
    <w:p w:rsidR="004F47BB" w:rsidRPr="004F47BB" w:rsidRDefault="004F47BB" w:rsidP="004F47BB">
      <w:pPr>
        <w:spacing w:line="240" w:lineRule="atLeast"/>
        <w:ind w:left="567" w:firstLine="0"/>
      </w:pPr>
    </w:p>
    <w:p w:rsidR="004F47BB" w:rsidRPr="004F47BB" w:rsidRDefault="004F47BB" w:rsidP="004F47BB">
      <w:pPr>
        <w:spacing w:line="240" w:lineRule="atLeast"/>
        <w:ind w:left="567" w:firstLine="0"/>
      </w:pPr>
      <w:r>
        <w:t>Le misurazioni devono essere eseguite conformemente alle sezioni da 5 a 8 della norma internazionale ISO 2923:2003 misurando unicamente i livelli di pressione acustica ponderati (A).</w:t>
      </w:r>
    </w:p>
    <w:p w:rsidR="004F47BB" w:rsidRPr="004F47BB" w:rsidRDefault="004F47BB" w:rsidP="004F47BB">
      <w:pPr>
        <w:spacing w:line="240" w:lineRule="atLeast"/>
        <w:ind w:left="567" w:firstLine="0"/>
        <w:rPr>
          <w:snapToGrid w:val="0"/>
        </w:rPr>
      </w:pPr>
    </w:p>
    <w:p w:rsidR="004F47BB" w:rsidRPr="004F47BB" w:rsidRDefault="004F47BB" w:rsidP="004F47BB">
      <w:pPr>
        <w:spacing w:line="240" w:lineRule="atLeast"/>
        <w:ind w:left="567" w:hanging="567"/>
      </w:pPr>
      <w:r>
        <w:t>3.2</w:t>
      </w:r>
      <w:r>
        <w:tab/>
        <w:t>Rumore aereo emesso dall'imbarcazione</w:t>
      </w:r>
    </w:p>
    <w:p w:rsidR="004F47BB" w:rsidRPr="004F47BB" w:rsidRDefault="004F47BB" w:rsidP="004F47BB">
      <w:pPr>
        <w:spacing w:line="240" w:lineRule="atLeast"/>
        <w:ind w:left="567" w:firstLine="0"/>
        <w:rPr>
          <w:snapToGrid w:val="0"/>
        </w:rPr>
      </w:pPr>
    </w:p>
    <w:p w:rsidR="004F47BB" w:rsidRPr="004F47BB" w:rsidRDefault="004F47BB" w:rsidP="004F47BB">
      <w:pPr>
        <w:spacing w:line="240" w:lineRule="atLeast"/>
        <w:ind w:left="567" w:firstLine="0"/>
        <w:rPr>
          <w:snapToGrid w:val="0"/>
        </w:rPr>
      </w:pPr>
      <w:r>
        <w:t>Le emissioni di rumore generate dalle imbarcazioni lungo le vie navigabili interne e nei porti sono calcolate mediante misurazioni eseguite secondo le sezioni da 7 a 11 della norma europea EN ISO 22922:2013. Durante le misurazioni, porte e finestre delle sale macchine devono essere chiuse.</w:t>
      </w:r>
    </w:p>
    <w:p w:rsidR="004F47BB" w:rsidRPr="004F47BB" w:rsidRDefault="004F47BB" w:rsidP="004F47BB">
      <w:pPr>
        <w:spacing w:line="240" w:lineRule="atLeast"/>
        <w:ind w:left="567" w:firstLine="0"/>
      </w:pPr>
    </w:p>
    <w:p w:rsidR="004F47BB" w:rsidRPr="004F47BB" w:rsidRDefault="004F47BB" w:rsidP="004F47BB">
      <w:pPr>
        <w:spacing w:line="240" w:lineRule="atLeast"/>
        <w:ind w:left="567" w:hanging="567"/>
        <w:rPr>
          <w:rFonts w:cs="Arial"/>
          <w:b/>
          <w:color w:val="000000"/>
          <w:szCs w:val="20"/>
        </w:rPr>
      </w:pPr>
      <w:r>
        <w:rPr>
          <w:b/>
          <w:color w:val="000000"/>
        </w:rPr>
        <w:t>4.</w:t>
      </w:r>
      <w:r>
        <w:tab/>
      </w:r>
      <w:r>
        <w:rPr>
          <w:b/>
          <w:color w:val="000000"/>
        </w:rPr>
        <w:t>Documentazione</w:t>
      </w:r>
    </w:p>
    <w:p w:rsidR="004F47BB" w:rsidRPr="004F47BB" w:rsidRDefault="004F47BB" w:rsidP="004F47BB">
      <w:pPr>
        <w:spacing w:line="240" w:lineRule="atLeast"/>
        <w:ind w:left="567" w:firstLine="0"/>
      </w:pPr>
    </w:p>
    <w:p w:rsidR="004F47BB" w:rsidRPr="004F47BB" w:rsidRDefault="004F47BB" w:rsidP="004F47BB">
      <w:pPr>
        <w:spacing w:line="240" w:lineRule="atLeast"/>
        <w:ind w:left="567" w:firstLine="0"/>
      </w:pPr>
      <w:r>
        <w:t xml:space="preserve">Le misurazioni devono essere annotate utilizzando il </w:t>
      </w:r>
      <w:r w:rsidR="00BF7908">
        <w:t>"</w:t>
      </w:r>
      <w:r>
        <w:t>verbale di misurazione del rumore</w:t>
      </w:r>
      <w:r w:rsidR="00BF7908">
        <w:t>"</w:t>
      </w:r>
      <w:r>
        <w:t xml:space="preserve"> (allegato).</w:t>
      </w:r>
    </w:p>
    <w:p w:rsidR="004F47BB" w:rsidRPr="004F47BB" w:rsidRDefault="004F47BB" w:rsidP="004F47BB">
      <w:pPr>
        <w:spacing w:line="240" w:lineRule="atLeast"/>
        <w:ind w:left="567" w:firstLine="0"/>
      </w:pPr>
    </w:p>
    <w:p w:rsidR="004F47BB" w:rsidRPr="004F47BB" w:rsidRDefault="004F47BB" w:rsidP="004F47BB">
      <w:pPr>
        <w:autoSpaceDE/>
        <w:autoSpaceDN/>
        <w:spacing w:before="120" w:after="120"/>
        <w:ind w:left="709" w:firstLine="0"/>
        <w:jc w:val="center"/>
        <w:rPr>
          <w:rFonts w:cs="Arial"/>
          <w:b/>
          <w:bCs/>
          <w:sz w:val="22"/>
          <w:szCs w:val="22"/>
        </w:rPr>
      </w:pPr>
      <w:r>
        <w:br w:type="page"/>
      </w:r>
      <w:r>
        <w:rPr>
          <w:b/>
          <w:sz w:val="22"/>
        </w:rPr>
        <w:lastRenderedPageBreak/>
        <w:t>Verbale di misurazione del rumore</w:t>
      </w:r>
    </w:p>
    <w:p w:rsidR="004F47BB" w:rsidRPr="004F47BB" w:rsidRDefault="004F47BB" w:rsidP="004F47BB">
      <w:pPr>
        <w:tabs>
          <w:tab w:val="left" w:pos="2127"/>
        </w:tabs>
        <w:autoSpaceDE/>
        <w:autoSpaceDN/>
        <w:spacing w:after="40"/>
        <w:ind w:left="2127" w:hanging="284"/>
        <w:rPr>
          <w:rFonts w:cs="Arial"/>
          <w:szCs w:val="20"/>
        </w:rPr>
      </w:pPr>
      <w:r>
        <w:rPr>
          <w:b/>
        </w:rPr>
        <w:t>-</w:t>
      </w:r>
      <w:r>
        <w:tab/>
      </w:r>
      <w:r>
        <w:rPr>
          <w:b/>
        </w:rPr>
        <w:t>A bordo dell'imbarcazione conformemente alla norma internazionale ISO 2923:2003</w:t>
      </w:r>
    </w:p>
    <w:p w:rsidR="004F47BB" w:rsidRPr="004F47BB" w:rsidRDefault="004F47BB" w:rsidP="004F47BB">
      <w:pPr>
        <w:tabs>
          <w:tab w:val="left" w:pos="851"/>
          <w:tab w:val="left" w:pos="2127"/>
        </w:tabs>
        <w:autoSpaceDE/>
        <w:autoSpaceDN/>
        <w:ind w:left="2127" w:hanging="284"/>
        <w:rPr>
          <w:rFonts w:cs="Arial"/>
          <w:szCs w:val="20"/>
        </w:rPr>
      </w:pPr>
      <w:r>
        <w:rPr>
          <w:b/>
        </w:rPr>
        <w:t>-</w:t>
      </w:r>
      <w:r>
        <w:tab/>
      </w:r>
      <w:r>
        <w:rPr>
          <w:b/>
        </w:rPr>
        <w:t>Rumore aereo emesso dall'imbarcazione conformemente alla norma europea EN ISO 2922:2013</w:t>
      </w:r>
      <w:r>
        <w:rPr>
          <w:vertAlign w:val="superscript"/>
        </w:rPr>
        <w:t>*)</w:t>
      </w:r>
    </w:p>
    <w:p w:rsidR="004F47BB" w:rsidRPr="004F47BB" w:rsidRDefault="004F47BB" w:rsidP="004F47BB">
      <w:pPr>
        <w:autoSpaceDE/>
        <w:autoSpaceDN/>
        <w:spacing w:before="60"/>
        <w:ind w:left="709" w:firstLine="0"/>
        <w:rPr>
          <w:rFonts w:cs="Arial"/>
          <w:szCs w:val="20"/>
        </w:rPr>
      </w:pPr>
    </w:p>
    <w:p w:rsidR="004F47BB" w:rsidRPr="004F47BB" w:rsidRDefault="004F47BB" w:rsidP="004F47BB">
      <w:pPr>
        <w:spacing w:line="240" w:lineRule="atLeast"/>
        <w:ind w:left="567" w:hanging="567"/>
        <w:rPr>
          <w:rFonts w:cs="Arial"/>
          <w:b/>
          <w:color w:val="000000"/>
          <w:szCs w:val="20"/>
        </w:rPr>
      </w:pPr>
      <w:r>
        <w:rPr>
          <w:b/>
          <w:color w:val="000000"/>
        </w:rPr>
        <w:t>A</w:t>
      </w:r>
      <w:r>
        <w:tab/>
      </w:r>
      <w:r>
        <w:rPr>
          <w:b/>
          <w:color w:val="000000"/>
        </w:rPr>
        <w:t>Dati dell'imbarcazione</w:t>
      </w:r>
    </w:p>
    <w:p w:rsidR="004F47BB" w:rsidRPr="004F47BB" w:rsidRDefault="004F47BB" w:rsidP="004F47BB">
      <w:pPr>
        <w:tabs>
          <w:tab w:val="left" w:pos="567"/>
          <w:tab w:val="left" w:pos="709"/>
          <w:tab w:val="left" w:leader="dot" w:pos="9072"/>
        </w:tabs>
        <w:autoSpaceDE/>
        <w:autoSpaceDN/>
        <w:spacing w:before="120"/>
        <w:ind w:left="567" w:hanging="567"/>
        <w:rPr>
          <w:rFonts w:cs="Arial"/>
          <w:snapToGrid w:val="0"/>
          <w:szCs w:val="20"/>
        </w:rPr>
      </w:pPr>
      <w:r>
        <w:t>1.</w:t>
      </w:r>
      <w:r>
        <w:tab/>
        <w:t xml:space="preserve">Tipo e nome dell'imbarcazione: </w:t>
      </w:r>
      <w:r>
        <w:tab/>
      </w:r>
    </w:p>
    <w:p w:rsidR="004F47BB" w:rsidRPr="004F47BB" w:rsidRDefault="004F47BB" w:rsidP="004F47BB">
      <w:pPr>
        <w:tabs>
          <w:tab w:val="left" w:pos="567"/>
          <w:tab w:val="left" w:pos="709"/>
          <w:tab w:val="left" w:leader="dot" w:pos="9072"/>
        </w:tabs>
        <w:autoSpaceDE/>
        <w:autoSpaceDN/>
        <w:spacing w:before="120"/>
        <w:ind w:left="567" w:hanging="567"/>
        <w:rPr>
          <w:rFonts w:cs="Arial"/>
          <w:snapToGrid w:val="0"/>
          <w:szCs w:val="20"/>
        </w:rPr>
      </w:pPr>
      <w:r>
        <w:tab/>
        <w:t xml:space="preserve">Numero unico europeo di identificazione delle navi: </w:t>
      </w:r>
      <w:r>
        <w:tab/>
      </w:r>
    </w:p>
    <w:p w:rsidR="004F47BB" w:rsidRPr="004F47BB" w:rsidRDefault="004F47BB" w:rsidP="004F47BB">
      <w:pPr>
        <w:tabs>
          <w:tab w:val="left" w:pos="567"/>
          <w:tab w:val="left" w:pos="709"/>
          <w:tab w:val="left" w:leader="dot" w:pos="9072"/>
        </w:tabs>
        <w:autoSpaceDE/>
        <w:autoSpaceDN/>
        <w:spacing w:before="120"/>
        <w:ind w:left="567" w:hanging="567"/>
        <w:rPr>
          <w:rFonts w:cs="Arial"/>
          <w:szCs w:val="20"/>
        </w:rPr>
      </w:pPr>
      <w:r>
        <w:t>2.</w:t>
      </w:r>
      <w:r>
        <w:tab/>
        <w:t xml:space="preserve">Proprietario: </w:t>
      </w:r>
      <w:r>
        <w:tab/>
      </w:r>
    </w:p>
    <w:p w:rsidR="004F47BB" w:rsidRPr="004F47BB" w:rsidRDefault="004F47BB" w:rsidP="004F47BB">
      <w:pPr>
        <w:widowControl w:val="0"/>
        <w:tabs>
          <w:tab w:val="left" w:pos="567"/>
          <w:tab w:val="left" w:leader="dot" w:pos="9072"/>
        </w:tabs>
        <w:autoSpaceDE/>
        <w:autoSpaceDN/>
        <w:spacing w:before="120"/>
        <w:ind w:left="567" w:hanging="567"/>
        <w:jc w:val="left"/>
        <w:rPr>
          <w:rFonts w:cs="Arial"/>
          <w:snapToGrid w:val="0"/>
          <w:szCs w:val="20"/>
        </w:rPr>
      </w:pPr>
      <w:r>
        <w:tab/>
      </w:r>
      <w:r>
        <w:tab/>
      </w:r>
    </w:p>
    <w:p w:rsidR="004F47BB" w:rsidRPr="004F47BB" w:rsidRDefault="004F47BB" w:rsidP="004F47BB">
      <w:pPr>
        <w:widowControl w:val="0"/>
        <w:tabs>
          <w:tab w:val="left" w:pos="567"/>
        </w:tabs>
        <w:autoSpaceDE/>
        <w:autoSpaceDN/>
        <w:spacing w:before="120"/>
        <w:ind w:left="567" w:hanging="567"/>
        <w:jc w:val="left"/>
        <w:rPr>
          <w:rFonts w:cs="Arial"/>
          <w:snapToGrid w:val="0"/>
          <w:szCs w:val="20"/>
        </w:rPr>
      </w:pPr>
      <w:r>
        <w:t>3.</w:t>
      </w:r>
      <w:r>
        <w:tab/>
        <w:t>Sistema di propulsione principale</w:t>
      </w:r>
    </w:p>
    <w:p w:rsidR="004F47BB" w:rsidRPr="004F47BB" w:rsidRDefault="004F47BB" w:rsidP="004F47BB">
      <w:pPr>
        <w:tabs>
          <w:tab w:val="left" w:pos="567"/>
        </w:tabs>
        <w:autoSpaceDE/>
        <w:autoSpaceDN/>
        <w:spacing w:before="120"/>
        <w:ind w:left="567" w:hanging="567"/>
        <w:rPr>
          <w:rFonts w:cs="Arial"/>
          <w:szCs w:val="20"/>
        </w:rPr>
      </w:pPr>
      <w:r>
        <w:t>3.1</w:t>
      </w:r>
      <w:r>
        <w:tab/>
        <w:t>Motori principali</w:t>
      </w:r>
    </w:p>
    <w:p w:rsidR="004F47BB" w:rsidRPr="004F47BB" w:rsidRDefault="004F47BB" w:rsidP="004F47BB">
      <w:pPr>
        <w:autoSpaceDE/>
        <w:autoSpaceDN/>
        <w:spacing w:before="120"/>
        <w:ind w:left="0" w:firstLine="0"/>
        <w:rPr>
          <w:rFonts w:cs="Arial"/>
          <w:szCs w:val="20"/>
        </w:rPr>
      </w:pPr>
    </w:p>
    <w:tbl>
      <w:tblPr>
        <w:tblW w:w="9198"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1"/>
        <w:gridCol w:w="2555"/>
        <w:gridCol w:w="1022"/>
        <w:gridCol w:w="1022"/>
        <w:gridCol w:w="1022"/>
        <w:gridCol w:w="1022"/>
        <w:gridCol w:w="1022"/>
        <w:gridCol w:w="1022"/>
      </w:tblGrid>
      <w:tr w:rsidR="004F47BB" w:rsidRPr="004F47BB" w:rsidTr="00D45887">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Numero</w:t>
            </w:r>
          </w:p>
        </w:tc>
        <w:tc>
          <w:tcPr>
            <w:tcW w:w="2555"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widowControl w:val="0"/>
              <w:autoSpaceDE/>
              <w:autoSpaceDN/>
              <w:spacing w:before="60"/>
              <w:ind w:left="0" w:firstLine="0"/>
              <w:jc w:val="center"/>
              <w:rPr>
                <w:rFonts w:cs="Arial"/>
                <w:snapToGrid w:val="0"/>
                <w:sz w:val="16"/>
                <w:szCs w:val="16"/>
              </w:rPr>
            </w:pPr>
            <w:r>
              <w:rPr>
                <w:snapToGrid w:val="0"/>
                <w:sz w:val="16"/>
              </w:rPr>
              <w:t>Fabbricante</w:t>
            </w:r>
          </w:p>
        </w:tc>
        <w:tc>
          <w:tcPr>
            <w:tcW w:w="102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Tipo</w:t>
            </w:r>
          </w:p>
        </w:tc>
        <w:tc>
          <w:tcPr>
            <w:tcW w:w="102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Anno di costruzione</w:t>
            </w:r>
          </w:p>
        </w:tc>
        <w:tc>
          <w:tcPr>
            <w:tcW w:w="102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 xml:space="preserve">Potenza (kW) </w:t>
            </w:r>
          </w:p>
        </w:tc>
        <w:tc>
          <w:tcPr>
            <w:tcW w:w="102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 xml:space="preserve">Regime del motore </w:t>
            </w:r>
            <w:r>
              <w:rPr>
                <w:rFonts w:cs="Arial"/>
                <w:sz w:val="16"/>
                <w:szCs w:val="16"/>
              </w:rPr>
              <w:br/>
            </w:r>
            <w:r>
              <w:rPr>
                <w:sz w:val="16"/>
              </w:rPr>
              <w:t>(min</w:t>
            </w:r>
            <w:r>
              <w:rPr>
                <w:sz w:val="16"/>
                <w:vertAlign w:val="superscript"/>
              </w:rPr>
              <w:t>-1</w:t>
            </w:r>
            <w:r>
              <w:rPr>
                <w:sz w:val="16"/>
              </w:rPr>
              <w:t>)</w:t>
            </w:r>
          </w:p>
        </w:tc>
        <w:tc>
          <w:tcPr>
            <w:tcW w:w="102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Due tempi/quattro tempi</w:t>
            </w:r>
          </w:p>
        </w:tc>
        <w:tc>
          <w:tcPr>
            <w:tcW w:w="102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Turbo-compresso</w:t>
            </w:r>
            <w:r>
              <w:rPr>
                <w:rFonts w:cs="Arial"/>
                <w:sz w:val="16"/>
                <w:szCs w:val="16"/>
              </w:rPr>
              <w:br/>
            </w:r>
            <w:r>
              <w:rPr>
                <w:sz w:val="16"/>
              </w:rPr>
              <w:t>sì/no</w:t>
            </w:r>
          </w:p>
        </w:tc>
      </w:tr>
      <w:tr w:rsidR="004F47BB" w:rsidRPr="004F47BB" w:rsidTr="00D45887">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widowControl w:val="0"/>
              <w:autoSpaceDE/>
              <w:autoSpaceDN/>
              <w:spacing w:before="60"/>
              <w:ind w:left="0" w:firstLine="0"/>
              <w:jc w:val="center"/>
              <w:rPr>
                <w:rFonts w:cs="Arial"/>
                <w:snapToGrid w:val="0"/>
                <w:sz w:val="16"/>
                <w:szCs w:val="20"/>
              </w:rPr>
            </w:pPr>
            <w:r>
              <w:rPr>
                <w:snapToGrid w:val="0"/>
                <w:sz w:val="16"/>
              </w:rPr>
              <w:t>1</w:t>
            </w:r>
          </w:p>
        </w:tc>
        <w:tc>
          <w:tcPr>
            <w:tcW w:w="2555"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r>
      <w:tr w:rsidR="004F47BB" w:rsidRPr="004F47BB" w:rsidTr="00D45887">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2</w:t>
            </w:r>
          </w:p>
        </w:tc>
        <w:tc>
          <w:tcPr>
            <w:tcW w:w="2555"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r>
    </w:tbl>
    <w:p w:rsidR="004F47BB" w:rsidRPr="004F47BB" w:rsidRDefault="004F47BB" w:rsidP="004F47BB">
      <w:pPr>
        <w:widowControl w:val="0"/>
        <w:tabs>
          <w:tab w:val="left" w:pos="567"/>
        </w:tabs>
        <w:autoSpaceDE/>
        <w:autoSpaceDN/>
        <w:spacing w:before="120"/>
        <w:ind w:left="567" w:hanging="567"/>
        <w:jc w:val="left"/>
        <w:rPr>
          <w:rFonts w:cs="Arial"/>
          <w:snapToGrid w:val="0"/>
          <w:szCs w:val="20"/>
        </w:rPr>
      </w:pPr>
      <w:r>
        <w:t>3.2</w:t>
      </w:r>
      <w:r>
        <w:tab/>
        <w:t>Trasmissione</w:t>
      </w:r>
    </w:p>
    <w:p w:rsidR="004F47BB" w:rsidRPr="004F47BB" w:rsidRDefault="004F47BB" w:rsidP="004F47BB">
      <w:pPr>
        <w:tabs>
          <w:tab w:val="left" w:pos="567"/>
          <w:tab w:val="left" w:leader="dot" w:pos="3686"/>
          <w:tab w:val="left" w:pos="3828"/>
          <w:tab w:val="left" w:leader="dot" w:pos="6379"/>
          <w:tab w:val="left" w:pos="6521"/>
          <w:tab w:val="left" w:leader="dot" w:pos="9072"/>
        </w:tabs>
        <w:autoSpaceDE/>
        <w:autoSpaceDN/>
        <w:spacing w:before="120"/>
        <w:ind w:left="567" w:firstLine="0"/>
        <w:rPr>
          <w:rFonts w:cs="Arial"/>
          <w:szCs w:val="20"/>
        </w:rPr>
      </w:pPr>
      <w:r>
        <w:t xml:space="preserve">Costruttore: </w:t>
      </w:r>
      <w:r>
        <w:tab/>
      </w:r>
      <w:r>
        <w:tab/>
        <w:t xml:space="preserve">Tipo: </w:t>
      </w:r>
      <w:r>
        <w:tab/>
      </w:r>
      <w:r>
        <w:tab/>
        <w:t>Demoltiplicazione: 1</w:t>
      </w:r>
      <w:r>
        <w:tab/>
      </w:r>
    </w:p>
    <w:p w:rsidR="004F47BB" w:rsidRPr="004F47BB" w:rsidRDefault="004F47BB" w:rsidP="004F47BB">
      <w:pPr>
        <w:widowControl w:val="0"/>
        <w:tabs>
          <w:tab w:val="left" w:pos="567"/>
        </w:tabs>
        <w:autoSpaceDE/>
        <w:autoSpaceDN/>
        <w:spacing w:before="120"/>
        <w:ind w:left="567" w:hanging="567"/>
        <w:jc w:val="left"/>
        <w:rPr>
          <w:rFonts w:cs="Arial"/>
          <w:snapToGrid w:val="0"/>
          <w:szCs w:val="20"/>
        </w:rPr>
      </w:pPr>
      <w:r>
        <w:t>3.3</w:t>
      </w:r>
      <w:r>
        <w:tab/>
        <w:t>Eliche</w:t>
      </w:r>
    </w:p>
    <w:p w:rsidR="004F47BB" w:rsidRPr="004F47BB" w:rsidRDefault="004F47BB" w:rsidP="004F47BB">
      <w:pPr>
        <w:tabs>
          <w:tab w:val="left" w:pos="567"/>
          <w:tab w:val="left" w:leader="dot" w:pos="1985"/>
          <w:tab w:val="left" w:pos="2127"/>
          <w:tab w:val="left" w:leader="dot" w:pos="4395"/>
          <w:tab w:val="left" w:pos="4536"/>
          <w:tab w:val="left" w:leader="dot" w:pos="6379"/>
          <w:tab w:val="left" w:pos="6521"/>
          <w:tab w:val="left" w:pos="7230"/>
        </w:tabs>
        <w:autoSpaceDE/>
        <w:autoSpaceDN/>
        <w:spacing w:before="120"/>
        <w:ind w:left="567" w:firstLine="0"/>
        <w:rPr>
          <w:rFonts w:cs="Arial"/>
          <w:szCs w:val="20"/>
        </w:rPr>
      </w:pPr>
      <w:r>
        <w:t xml:space="preserve">Numero: </w:t>
      </w:r>
      <w:r>
        <w:tab/>
      </w:r>
      <w:r>
        <w:tab/>
        <w:t xml:space="preserve">Numero di pale: </w:t>
      </w:r>
      <w:r>
        <w:tab/>
      </w:r>
      <w:r>
        <w:tab/>
        <w:t xml:space="preserve">Diametro: </w:t>
      </w:r>
      <w:r>
        <w:tab/>
      </w:r>
      <w:r>
        <w:tab/>
        <w:t xml:space="preserve">mm </w:t>
      </w:r>
      <w:r>
        <w:tab/>
        <w:t>Boccalino: sì/no</w:t>
      </w:r>
      <w:r>
        <w:rPr>
          <w:vertAlign w:val="superscript"/>
        </w:rPr>
        <w:footnoteReference w:customMarkFollows="1" w:id="81"/>
        <w:t>*)</w:t>
      </w:r>
    </w:p>
    <w:p w:rsidR="004F47BB" w:rsidRPr="004F47BB" w:rsidRDefault="004F47BB" w:rsidP="004F47BB">
      <w:pPr>
        <w:widowControl w:val="0"/>
        <w:tabs>
          <w:tab w:val="left" w:pos="567"/>
        </w:tabs>
        <w:autoSpaceDE/>
        <w:autoSpaceDN/>
        <w:spacing w:before="120"/>
        <w:ind w:left="567" w:hanging="567"/>
        <w:jc w:val="left"/>
        <w:rPr>
          <w:rFonts w:cs="Arial"/>
          <w:snapToGrid w:val="0"/>
          <w:szCs w:val="20"/>
        </w:rPr>
      </w:pPr>
      <w:r>
        <w:t>3.4</w:t>
      </w:r>
      <w:r>
        <w:tab/>
        <w:t>Apparato di governo</w:t>
      </w:r>
    </w:p>
    <w:p w:rsidR="004F47BB" w:rsidRPr="004F47BB" w:rsidRDefault="004F47BB" w:rsidP="004F47BB">
      <w:pPr>
        <w:tabs>
          <w:tab w:val="left" w:pos="567"/>
          <w:tab w:val="left" w:leader="dot" w:pos="9072"/>
        </w:tabs>
        <w:autoSpaceDE/>
        <w:autoSpaceDN/>
        <w:spacing w:before="120"/>
        <w:ind w:left="567" w:firstLine="0"/>
        <w:rPr>
          <w:rFonts w:cs="Arial"/>
          <w:szCs w:val="20"/>
        </w:rPr>
      </w:pPr>
      <w:r>
        <w:t xml:space="preserve">Tipo: </w:t>
      </w:r>
      <w:r>
        <w:tab/>
      </w:r>
    </w:p>
    <w:p w:rsidR="004F47BB" w:rsidRPr="004F47BB" w:rsidRDefault="004F47BB" w:rsidP="004F47BB">
      <w:pPr>
        <w:tabs>
          <w:tab w:val="left" w:pos="567"/>
        </w:tabs>
        <w:autoSpaceDE/>
        <w:autoSpaceDN/>
        <w:spacing w:before="120"/>
        <w:ind w:left="567" w:hanging="567"/>
        <w:rPr>
          <w:rFonts w:cs="Arial"/>
          <w:szCs w:val="20"/>
        </w:rPr>
      </w:pPr>
      <w:r>
        <w:t>4.</w:t>
      </w:r>
      <w:r>
        <w:tab/>
        <w:t>Macchine ausiliarie:</w:t>
      </w:r>
    </w:p>
    <w:p w:rsidR="004F47BB" w:rsidRPr="004F47BB" w:rsidRDefault="004F47BB" w:rsidP="004F47BB">
      <w:pPr>
        <w:autoSpaceDE/>
        <w:autoSpaceDN/>
        <w:ind w:left="0" w:firstLine="0"/>
        <w:rPr>
          <w:rFonts w:cs="Arial"/>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34"/>
        <w:gridCol w:w="1599"/>
        <w:gridCol w:w="1277"/>
        <w:gridCol w:w="998"/>
        <w:gridCol w:w="1006"/>
        <w:gridCol w:w="1199"/>
        <w:gridCol w:w="1079"/>
      </w:tblGrid>
      <w:tr w:rsidR="004F47BB" w:rsidRPr="004F47BB"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Numero</w:t>
            </w:r>
          </w:p>
        </w:tc>
        <w:tc>
          <w:tcPr>
            <w:tcW w:w="159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Propulsione di</w:t>
            </w:r>
          </w:p>
        </w:tc>
        <w:tc>
          <w:tcPr>
            <w:tcW w:w="1277"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Fabbricante</w:t>
            </w:r>
          </w:p>
        </w:tc>
        <w:tc>
          <w:tcPr>
            <w:tcW w:w="998"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Tipo</w:t>
            </w:r>
          </w:p>
        </w:tc>
        <w:tc>
          <w:tcPr>
            <w:tcW w:w="1006"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Anno di costruzione</w:t>
            </w:r>
          </w:p>
        </w:tc>
        <w:tc>
          <w:tcPr>
            <w:tcW w:w="119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Potenza (kW)</w:t>
            </w:r>
          </w:p>
        </w:tc>
        <w:tc>
          <w:tcPr>
            <w:tcW w:w="107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Regime del motore (min</w:t>
            </w:r>
            <w:r>
              <w:rPr>
                <w:sz w:val="16"/>
                <w:vertAlign w:val="superscript"/>
              </w:rPr>
              <w:t>-1</w:t>
            </w:r>
            <w:r>
              <w:rPr>
                <w:sz w:val="16"/>
              </w:rPr>
              <w:t>)</w:t>
            </w:r>
          </w:p>
        </w:tc>
      </w:tr>
      <w:tr w:rsidR="004F47BB" w:rsidRPr="004F47BB"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vAlign w:val="center"/>
          </w:tcPr>
          <w:p w:rsidR="004F47BB" w:rsidRPr="004F47BB" w:rsidRDefault="004F47BB" w:rsidP="004F47BB">
            <w:pPr>
              <w:widowControl w:val="0"/>
              <w:autoSpaceDE/>
              <w:autoSpaceDN/>
              <w:spacing w:before="60"/>
              <w:ind w:left="0" w:firstLine="0"/>
              <w:jc w:val="center"/>
              <w:rPr>
                <w:rFonts w:cs="Arial"/>
                <w:snapToGrid w:val="0"/>
                <w:sz w:val="16"/>
                <w:szCs w:val="16"/>
              </w:rPr>
            </w:pPr>
            <w:r>
              <w:rPr>
                <w:snapToGrid w:val="0"/>
                <w:sz w:val="16"/>
              </w:rPr>
              <w:t>1</w:t>
            </w:r>
          </w:p>
        </w:tc>
        <w:tc>
          <w:tcPr>
            <w:tcW w:w="159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277"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998"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06"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19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7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r>
      <w:tr w:rsidR="004F47BB" w:rsidRPr="004F47BB"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2</w:t>
            </w:r>
          </w:p>
        </w:tc>
        <w:tc>
          <w:tcPr>
            <w:tcW w:w="159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277"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998"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06"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19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7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r>
      <w:tr w:rsidR="004F47BB" w:rsidRPr="004F47BB"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3</w:t>
            </w:r>
          </w:p>
        </w:tc>
        <w:tc>
          <w:tcPr>
            <w:tcW w:w="159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277"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998"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06"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19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7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r>
      <w:tr w:rsidR="004F47BB" w:rsidRPr="004F47BB"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4</w:t>
            </w:r>
          </w:p>
        </w:tc>
        <w:tc>
          <w:tcPr>
            <w:tcW w:w="159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277"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998"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06"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19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7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r>
      <w:tr w:rsidR="004F47BB" w:rsidRPr="004F47BB"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5</w:t>
            </w:r>
          </w:p>
        </w:tc>
        <w:tc>
          <w:tcPr>
            <w:tcW w:w="159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277"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998"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06"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19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c>
          <w:tcPr>
            <w:tcW w:w="107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rPr>
            </w:pPr>
          </w:p>
        </w:tc>
      </w:tr>
    </w:tbl>
    <w:p w:rsidR="004F47BB" w:rsidRPr="004F47BB" w:rsidRDefault="004F47BB" w:rsidP="004F47BB">
      <w:pPr>
        <w:autoSpaceDE/>
        <w:autoSpaceDN/>
        <w:ind w:left="1418" w:firstLine="0"/>
        <w:rPr>
          <w:rFonts w:cs="Arial"/>
          <w:sz w:val="16"/>
          <w:szCs w:val="16"/>
        </w:rPr>
      </w:pPr>
    </w:p>
    <w:p w:rsidR="004F47BB" w:rsidRPr="004F47BB" w:rsidRDefault="004F47BB" w:rsidP="004F47BB">
      <w:pPr>
        <w:tabs>
          <w:tab w:val="left" w:pos="567"/>
          <w:tab w:val="left" w:leader="dot" w:pos="9072"/>
        </w:tabs>
        <w:autoSpaceDE/>
        <w:autoSpaceDN/>
        <w:ind w:left="567" w:hanging="567"/>
        <w:rPr>
          <w:rFonts w:cs="Arial"/>
          <w:szCs w:val="20"/>
        </w:rPr>
      </w:pPr>
      <w:r>
        <w:t>5.</w:t>
      </w:r>
      <w:r>
        <w:tab/>
        <w:t xml:space="preserve">Misure di riduzione del rumore attuate: </w:t>
      </w:r>
      <w:r>
        <w:tab/>
      </w:r>
    </w:p>
    <w:p w:rsidR="004F47BB" w:rsidRPr="004F47BB" w:rsidRDefault="004F47BB" w:rsidP="004F47BB">
      <w:pPr>
        <w:tabs>
          <w:tab w:val="left" w:leader="dot" w:pos="9072"/>
        </w:tabs>
        <w:autoSpaceDE/>
        <w:autoSpaceDN/>
        <w:spacing w:before="120"/>
        <w:ind w:left="567" w:firstLine="0"/>
        <w:rPr>
          <w:rFonts w:cs="Arial"/>
          <w:szCs w:val="20"/>
        </w:rPr>
      </w:pPr>
      <w:r>
        <w:tab/>
      </w:r>
    </w:p>
    <w:p w:rsidR="004F47BB" w:rsidRPr="004F47BB" w:rsidRDefault="004F47BB" w:rsidP="004F47BB">
      <w:pPr>
        <w:tabs>
          <w:tab w:val="left" w:leader="dot" w:pos="9072"/>
        </w:tabs>
        <w:autoSpaceDE/>
        <w:autoSpaceDN/>
        <w:spacing w:before="120"/>
        <w:ind w:left="567" w:firstLine="0"/>
        <w:rPr>
          <w:rFonts w:cs="Arial"/>
          <w:szCs w:val="20"/>
        </w:rPr>
      </w:pPr>
      <w:r>
        <w:tab/>
      </w:r>
    </w:p>
    <w:p w:rsidR="004F47BB" w:rsidRPr="004F47BB" w:rsidRDefault="004F47BB" w:rsidP="004F47BB">
      <w:pPr>
        <w:tabs>
          <w:tab w:val="left" w:pos="567"/>
          <w:tab w:val="left" w:leader="dot" w:pos="9072"/>
        </w:tabs>
        <w:autoSpaceDE/>
        <w:autoSpaceDN/>
        <w:spacing w:before="120"/>
        <w:ind w:left="567" w:hanging="567"/>
        <w:rPr>
          <w:rFonts w:cs="Arial"/>
          <w:szCs w:val="20"/>
        </w:rPr>
      </w:pPr>
      <w:r>
        <w:t>6.</w:t>
      </w:r>
      <w:r>
        <w:tab/>
        <w:t xml:space="preserve">Osservazioni: </w:t>
      </w:r>
      <w:r>
        <w:tab/>
      </w:r>
    </w:p>
    <w:p w:rsidR="004F47BB" w:rsidRPr="004F47BB" w:rsidRDefault="004F47BB" w:rsidP="004F47BB">
      <w:pPr>
        <w:tabs>
          <w:tab w:val="left" w:leader="dot" w:pos="9072"/>
        </w:tabs>
        <w:autoSpaceDE/>
        <w:autoSpaceDN/>
        <w:spacing w:before="120"/>
        <w:ind w:left="567" w:firstLine="0"/>
        <w:rPr>
          <w:rFonts w:cs="Arial"/>
          <w:szCs w:val="20"/>
        </w:rPr>
      </w:pPr>
      <w:r>
        <w:tab/>
      </w:r>
    </w:p>
    <w:p w:rsidR="004F47BB" w:rsidRPr="004F47BB" w:rsidRDefault="004F47BB" w:rsidP="004F47BB">
      <w:pPr>
        <w:tabs>
          <w:tab w:val="left" w:leader="dot" w:pos="9072"/>
        </w:tabs>
        <w:autoSpaceDE/>
        <w:autoSpaceDN/>
        <w:spacing w:before="120"/>
        <w:ind w:left="567" w:firstLine="0"/>
        <w:rPr>
          <w:rFonts w:cs="Arial"/>
          <w:szCs w:val="20"/>
        </w:rPr>
      </w:pPr>
      <w:r>
        <w:tab/>
      </w:r>
    </w:p>
    <w:p w:rsidR="004F47BB" w:rsidRPr="004F47BB" w:rsidRDefault="004F47BB" w:rsidP="004F47BB">
      <w:pPr>
        <w:tabs>
          <w:tab w:val="left" w:leader="dot" w:pos="9072"/>
        </w:tabs>
        <w:autoSpaceDE/>
        <w:autoSpaceDN/>
        <w:ind w:left="720" w:firstLine="0"/>
        <w:rPr>
          <w:rFonts w:cs="Arial"/>
          <w:szCs w:val="20"/>
        </w:rPr>
      </w:pPr>
    </w:p>
    <w:p w:rsidR="004F47BB" w:rsidRPr="004F47BB" w:rsidRDefault="004F47BB" w:rsidP="004F47BB">
      <w:pPr>
        <w:autoSpaceDE/>
        <w:autoSpaceDN/>
        <w:spacing w:before="60"/>
        <w:ind w:left="0" w:firstLine="0"/>
        <w:rPr>
          <w:rFonts w:cs="Arial"/>
          <w:szCs w:val="20"/>
        </w:rPr>
      </w:pPr>
      <w:r>
        <w:br w:type="page"/>
      </w:r>
    </w:p>
    <w:p w:rsidR="004F47BB" w:rsidRPr="004F47BB" w:rsidRDefault="004F47BB" w:rsidP="004F47BB">
      <w:pPr>
        <w:tabs>
          <w:tab w:val="left" w:pos="567"/>
        </w:tabs>
        <w:autoSpaceDE/>
        <w:autoSpaceDN/>
        <w:ind w:left="567" w:hanging="567"/>
        <w:rPr>
          <w:b/>
        </w:rPr>
      </w:pPr>
      <w:r>
        <w:rPr>
          <w:b/>
        </w:rPr>
        <w:lastRenderedPageBreak/>
        <w:t>B</w:t>
      </w:r>
      <w:r>
        <w:tab/>
      </w:r>
      <w:r>
        <w:rPr>
          <w:b/>
        </w:rPr>
        <w:t>Strumenti di misurazione impiegati</w:t>
      </w:r>
    </w:p>
    <w:p w:rsidR="004F47BB" w:rsidRPr="004F47BB" w:rsidRDefault="004F47BB" w:rsidP="004F47BB">
      <w:pPr>
        <w:widowControl w:val="0"/>
        <w:tabs>
          <w:tab w:val="left" w:pos="567"/>
          <w:tab w:val="left" w:pos="709"/>
        </w:tabs>
        <w:autoSpaceDE/>
        <w:autoSpaceDN/>
        <w:spacing w:before="120"/>
        <w:ind w:left="567" w:hanging="567"/>
        <w:jc w:val="left"/>
        <w:rPr>
          <w:rFonts w:cs="Arial"/>
          <w:snapToGrid w:val="0"/>
          <w:szCs w:val="20"/>
        </w:rPr>
      </w:pPr>
      <w:r>
        <w:t>1.</w:t>
      </w:r>
      <w:r>
        <w:tab/>
        <w:t>Misuratore del livello di pressione acustica</w:t>
      </w:r>
    </w:p>
    <w:p w:rsidR="004F47BB" w:rsidRPr="004F47BB" w:rsidRDefault="004F47BB" w:rsidP="004F47BB">
      <w:pPr>
        <w:tabs>
          <w:tab w:val="left" w:pos="567"/>
          <w:tab w:val="left" w:leader="dot" w:pos="4678"/>
          <w:tab w:val="left" w:pos="4962"/>
          <w:tab w:val="left" w:leader="dot" w:pos="6663"/>
          <w:tab w:val="left" w:pos="6804"/>
          <w:tab w:val="left" w:leader="dot" w:pos="9072"/>
        </w:tabs>
        <w:autoSpaceDE/>
        <w:autoSpaceDN/>
        <w:spacing w:before="120"/>
        <w:ind w:left="567" w:firstLine="0"/>
        <w:rPr>
          <w:rFonts w:cs="Arial"/>
          <w:szCs w:val="20"/>
        </w:rPr>
      </w:pPr>
      <w:r>
        <w:t>Costruttore:</w:t>
      </w:r>
      <w:r>
        <w:tab/>
      </w:r>
      <w:r>
        <w:tab/>
        <w:t xml:space="preserve">Tipo: </w:t>
      </w:r>
      <w:r>
        <w:tab/>
      </w:r>
      <w:r>
        <w:tab/>
        <w:t xml:space="preserve">Ultimo controllo: </w:t>
      </w:r>
      <w:r>
        <w:tab/>
      </w:r>
    </w:p>
    <w:p w:rsidR="004F47BB" w:rsidRPr="004F47BB" w:rsidRDefault="004F47BB" w:rsidP="004F47BB">
      <w:pPr>
        <w:widowControl w:val="0"/>
        <w:tabs>
          <w:tab w:val="left" w:pos="567"/>
          <w:tab w:val="left" w:pos="709"/>
        </w:tabs>
        <w:autoSpaceDE/>
        <w:autoSpaceDN/>
        <w:spacing w:before="120"/>
        <w:ind w:left="567" w:hanging="567"/>
        <w:jc w:val="left"/>
        <w:rPr>
          <w:rFonts w:cs="Arial"/>
          <w:snapToGrid w:val="0"/>
          <w:szCs w:val="20"/>
        </w:rPr>
      </w:pPr>
      <w:r>
        <w:t>2.</w:t>
      </w:r>
      <w:r>
        <w:tab/>
        <w:t>Analizzatore di bande di ottava/terzo di ottava</w:t>
      </w:r>
    </w:p>
    <w:p w:rsidR="004F47BB" w:rsidRPr="004F47BB" w:rsidRDefault="004F47BB" w:rsidP="004F47BB">
      <w:pPr>
        <w:tabs>
          <w:tab w:val="left" w:pos="567"/>
          <w:tab w:val="left" w:leader="dot" w:pos="4678"/>
          <w:tab w:val="left" w:pos="4962"/>
          <w:tab w:val="left" w:leader="dot" w:pos="6663"/>
          <w:tab w:val="left" w:pos="6804"/>
          <w:tab w:val="left" w:leader="dot" w:pos="9072"/>
        </w:tabs>
        <w:autoSpaceDE/>
        <w:autoSpaceDN/>
        <w:spacing w:before="120"/>
        <w:ind w:left="567" w:firstLine="0"/>
        <w:rPr>
          <w:rFonts w:cs="Arial"/>
          <w:szCs w:val="20"/>
        </w:rPr>
      </w:pPr>
      <w:r>
        <w:t xml:space="preserve">Costruttore: </w:t>
      </w:r>
      <w:r>
        <w:tab/>
      </w:r>
      <w:r>
        <w:tab/>
        <w:t xml:space="preserve">Tipo: </w:t>
      </w:r>
      <w:r>
        <w:tab/>
      </w:r>
      <w:r>
        <w:tab/>
        <w:t xml:space="preserve">Ultimo controllo: </w:t>
      </w:r>
      <w:r>
        <w:tab/>
      </w:r>
    </w:p>
    <w:p w:rsidR="004F47BB" w:rsidRPr="004F47BB" w:rsidRDefault="004F47BB" w:rsidP="004F47BB">
      <w:pPr>
        <w:tabs>
          <w:tab w:val="left" w:pos="567"/>
          <w:tab w:val="left" w:pos="709"/>
          <w:tab w:val="left" w:leader="dot" w:pos="5245"/>
          <w:tab w:val="left" w:pos="5529"/>
          <w:tab w:val="left" w:leader="dot" w:pos="7230"/>
          <w:tab w:val="left" w:pos="7371"/>
          <w:tab w:val="left" w:leader="dot" w:pos="9356"/>
        </w:tabs>
        <w:autoSpaceDE/>
        <w:autoSpaceDN/>
        <w:spacing w:before="120"/>
        <w:ind w:left="567" w:hanging="567"/>
        <w:jc w:val="left"/>
        <w:rPr>
          <w:rFonts w:cs="Arial"/>
          <w:snapToGrid w:val="0"/>
          <w:szCs w:val="20"/>
        </w:rPr>
      </w:pPr>
      <w:r>
        <w:t>3.</w:t>
      </w:r>
      <w:r>
        <w:tab/>
        <w:t>Calibratore</w:t>
      </w:r>
    </w:p>
    <w:p w:rsidR="004F47BB" w:rsidRPr="004F47BB" w:rsidRDefault="004F47BB" w:rsidP="004F47BB">
      <w:pPr>
        <w:tabs>
          <w:tab w:val="left" w:pos="567"/>
          <w:tab w:val="left" w:leader="dot" w:pos="4678"/>
          <w:tab w:val="left" w:pos="4962"/>
          <w:tab w:val="left" w:leader="dot" w:pos="6663"/>
          <w:tab w:val="left" w:pos="6804"/>
          <w:tab w:val="left" w:leader="dot" w:pos="9072"/>
        </w:tabs>
        <w:autoSpaceDE/>
        <w:autoSpaceDN/>
        <w:spacing w:before="120"/>
        <w:ind w:left="567" w:firstLine="0"/>
        <w:rPr>
          <w:rFonts w:cs="Arial"/>
          <w:szCs w:val="20"/>
        </w:rPr>
      </w:pPr>
      <w:r>
        <w:t xml:space="preserve">Costruttore: </w:t>
      </w:r>
      <w:r>
        <w:tab/>
      </w:r>
      <w:r>
        <w:tab/>
        <w:t xml:space="preserve">Tipo: </w:t>
      </w:r>
      <w:r>
        <w:tab/>
      </w:r>
      <w:r>
        <w:tab/>
        <w:t xml:space="preserve">Ultimo controllo: </w:t>
      </w:r>
      <w:r>
        <w:tab/>
      </w:r>
    </w:p>
    <w:p w:rsidR="004F47BB" w:rsidRPr="004F47BB" w:rsidRDefault="004F47BB" w:rsidP="004F47BB">
      <w:pPr>
        <w:tabs>
          <w:tab w:val="left" w:pos="567"/>
        </w:tabs>
        <w:autoSpaceDE/>
        <w:autoSpaceDN/>
        <w:spacing w:before="120"/>
        <w:ind w:left="567" w:hanging="567"/>
        <w:rPr>
          <w:rFonts w:cs="Arial"/>
          <w:szCs w:val="20"/>
        </w:rPr>
      </w:pPr>
      <w:r>
        <w:t>4.</w:t>
      </w:r>
      <w:r>
        <w:tab/>
        <w:t>Accessori</w:t>
      </w:r>
    </w:p>
    <w:p w:rsidR="004F47BB" w:rsidRPr="004F47BB" w:rsidRDefault="004F47BB" w:rsidP="004F47BB">
      <w:pPr>
        <w:tabs>
          <w:tab w:val="left" w:pos="567"/>
          <w:tab w:val="left" w:leader="dot" w:pos="9072"/>
        </w:tabs>
        <w:autoSpaceDE/>
        <w:autoSpaceDN/>
        <w:spacing w:before="120"/>
        <w:ind w:left="567" w:firstLine="0"/>
        <w:rPr>
          <w:rFonts w:cs="Arial"/>
          <w:szCs w:val="20"/>
        </w:rPr>
      </w:pPr>
      <w:r>
        <w:tab/>
      </w:r>
    </w:p>
    <w:p w:rsidR="004F47BB" w:rsidRPr="004F47BB" w:rsidRDefault="004F47BB" w:rsidP="004F47BB">
      <w:pPr>
        <w:tabs>
          <w:tab w:val="left" w:pos="567"/>
          <w:tab w:val="left" w:pos="709"/>
          <w:tab w:val="left" w:leader="dot" w:pos="9072"/>
        </w:tabs>
        <w:autoSpaceDE/>
        <w:autoSpaceDN/>
        <w:spacing w:before="120"/>
        <w:ind w:left="567" w:hanging="567"/>
        <w:rPr>
          <w:rFonts w:cs="Arial"/>
          <w:szCs w:val="20"/>
        </w:rPr>
      </w:pPr>
      <w:r>
        <w:t>5.</w:t>
      </w:r>
      <w:r>
        <w:tab/>
        <w:t xml:space="preserve">Osservazioni: </w:t>
      </w:r>
      <w:r>
        <w:tab/>
      </w:r>
    </w:p>
    <w:p w:rsidR="004F47BB" w:rsidRPr="004F47BB" w:rsidRDefault="004F47BB" w:rsidP="004F47BB">
      <w:pPr>
        <w:tabs>
          <w:tab w:val="left" w:pos="567"/>
          <w:tab w:val="left" w:leader="dot" w:pos="9072"/>
        </w:tabs>
        <w:autoSpaceDE/>
        <w:autoSpaceDN/>
        <w:spacing w:before="120"/>
        <w:ind w:left="567" w:firstLine="0"/>
        <w:rPr>
          <w:rFonts w:cs="Arial"/>
          <w:szCs w:val="20"/>
        </w:rPr>
      </w:pPr>
      <w:r>
        <w:tab/>
      </w:r>
    </w:p>
    <w:p w:rsidR="004F47BB" w:rsidRPr="004F47BB" w:rsidRDefault="004F47BB" w:rsidP="004F47BB">
      <w:pPr>
        <w:tabs>
          <w:tab w:val="left" w:pos="567"/>
          <w:tab w:val="left" w:leader="dot" w:pos="9072"/>
        </w:tabs>
        <w:autoSpaceDE/>
        <w:autoSpaceDN/>
        <w:spacing w:before="120"/>
        <w:ind w:left="567" w:firstLine="0"/>
        <w:rPr>
          <w:rFonts w:cs="Arial"/>
          <w:szCs w:val="20"/>
        </w:rPr>
      </w:pPr>
      <w:r>
        <w:tab/>
      </w:r>
    </w:p>
    <w:p w:rsidR="004F47BB" w:rsidRPr="004F47BB" w:rsidRDefault="004F47BB" w:rsidP="004F47BB">
      <w:pPr>
        <w:tabs>
          <w:tab w:val="left" w:pos="567"/>
        </w:tabs>
        <w:autoSpaceDE/>
        <w:autoSpaceDN/>
        <w:spacing w:before="60"/>
        <w:ind w:left="567" w:hanging="567"/>
        <w:rPr>
          <w:rFonts w:cs="Arial"/>
          <w:szCs w:val="20"/>
        </w:rPr>
      </w:pPr>
    </w:p>
    <w:p w:rsidR="004F47BB" w:rsidRPr="004F47BB" w:rsidRDefault="004F47BB" w:rsidP="004F47BB">
      <w:pPr>
        <w:tabs>
          <w:tab w:val="left" w:pos="567"/>
        </w:tabs>
        <w:autoSpaceDE/>
        <w:autoSpaceDN/>
        <w:ind w:left="567" w:hanging="567"/>
        <w:rPr>
          <w:b/>
        </w:rPr>
      </w:pPr>
      <w:r>
        <w:rPr>
          <w:b/>
        </w:rPr>
        <w:t>C</w:t>
      </w:r>
      <w:r>
        <w:tab/>
      </w:r>
      <w:r>
        <w:rPr>
          <w:b/>
        </w:rPr>
        <w:t>Condizioni di misurazione — Imbarcazione</w:t>
      </w:r>
    </w:p>
    <w:p w:rsidR="004F47BB" w:rsidRPr="004F47BB" w:rsidRDefault="004F47BB" w:rsidP="004F47BB">
      <w:pPr>
        <w:tabs>
          <w:tab w:val="left" w:pos="567"/>
          <w:tab w:val="left" w:pos="709"/>
          <w:tab w:val="left" w:leader="dot" w:pos="9072"/>
        </w:tabs>
        <w:autoSpaceDE/>
        <w:autoSpaceDN/>
        <w:spacing w:before="120"/>
        <w:ind w:left="567" w:hanging="567"/>
        <w:rPr>
          <w:rFonts w:cs="Arial"/>
          <w:szCs w:val="20"/>
        </w:rPr>
      </w:pPr>
      <w:r>
        <w:t>1.</w:t>
      </w:r>
      <w:r>
        <w:tab/>
        <w:t xml:space="preserve">Formazione durante le misurazioni: </w:t>
      </w:r>
      <w:r>
        <w:tab/>
      </w:r>
    </w:p>
    <w:p w:rsidR="004F47BB" w:rsidRPr="004F47BB" w:rsidRDefault="004F47BB" w:rsidP="004F47BB">
      <w:pPr>
        <w:tabs>
          <w:tab w:val="left" w:pos="567"/>
          <w:tab w:val="left" w:pos="709"/>
          <w:tab w:val="left" w:leader="dot" w:pos="4820"/>
          <w:tab w:val="left" w:pos="4962"/>
        </w:tabs>
        <w:autoSpaceDE/>
        <w:autoSpaceDN/>
        <w:spacing w:before="120"/>
        <w:ind w:left="567" w:hanging="567"/>
        <w:rPr>
          <w:rFonts w:cs="Arial"/>
          <w:szCs w:val="20"/>
        </w:rPr>
      </w:pPr>
      <w:r>
        <w:t>2.</w:t>
      </w:r>
      <w:r>
        <w:tab/>
        <w:t xml:space="preserve">Carico/dislocamento: </w:t>
      </w:r>
      <w:r>
        <w:tab/>
      </w:r>
      <w:r>
        <w:tab/>
        <w:t xml:space="preserve">t/m³ </w:t>
      </w:r>
      <w:r>
        <w:rPr>
          <w:vertAlign w:val="superscript"/>
        </w:rPr>
        <w:t>*)</w:t>
      </w:r>
      <w:r>
        <w:t xml:space="preserve"> (approssimativamente … % del valore massimo)</w:t>
      </w:r>
    </w:p>
    <w:p w:rsidR="004F47BB" w:rsidRPr="004F47BB" w:rsidRDefault="004F47BB" w:rsidP="004F47BB">
      <w:pPr>
        <w:tabs>
          <w:tab w:val="left" w:pos="567"/>
          <w:tab w:val="left" w:pos="709"/>
          <w:tab w:val="left" w:leader="dot" w:pos="4820"/>
          <w:tab w:val="left" w:pos="4962"/>
        </w:tabs>
        <w:autoSpaceDE/>
        <w:autoSpaceDN/>
        <w:spacing w:before="120"/>
        <w:ind w:left="567" w:hanging="567"/>
        <w:rPr>
          <w:rFonts w:cs="Arial"/>
          <w:szCs w:val="20"/>
        </w:rPr>
      </w:pPr>
      <w:r>
        <w:t>3.</w:t>
      </w:r>
      <w:r>
        <w:tab/>
        <w:t>Regime del motore principale:</w:t>
      </w:r>
      <w:r>
        <w:tab/>
      </w:r>
      <w:r>
        <w:tab/>
        <w:t>min</w:t>
      </w:r>
      <w:r>
        <w:rPr>
          <w:vertAlign w:val="superscript"/>
        </w:rPr>
        <w:t>-1</w:t>
      </w:r>
      <w:r>
        <w:t xml:space="preserve"> (approssimativamente … % del valore massimo)</w:t>
      </w:r>
    </w:p>
    <w:p w:rsidR="004F47BB" w:rsidRPr="004F47BB" w:rsidRDefault="004F47BB" w:rsidP="004F47BB">
      <w:pPr>
        <w:widowControl w:val="0"/>
        <w:tabs>
          <w:tab w:val="left" w:pos="567"/>
          <w:tab w:val="left" w:pos="709"/>
          <w:tab w:val="left" w:leader="dot" w:pos="5103"/>
          <w:tab w:val="left" w:pos="5670"/>
        </w:tabs>
        <w:autoSpaceDE/>
        <w:autoSpaceDN/>
        <w:spacing w:before="120"/>
        <w:ind w:left="567" w:hanging="567"/>
        <w:jc w:val="left"/>
        <w:rPr>
          <w:rFonts w:cs="Arial"/>
          <w:snapToGrid w:val="0"/>
          <w:szCs w:val="20"/>
        </w:rPr>
      </w:pPr>
      <w:r>
        <w:t>4.</w:t>
      </w:r>
      <w:r>
        <w:tab/>
        <w:t xml:space="preserve">Macchine ausiliarie in servizio n. </w:t>
      </w:r>
      <w:r>
        <w:tab/>
      </w:r>
    </w:p>
    <w:p w:rsidR="004F47BB" w:rsidRPr="004F47BB" w:rsidRDefault="004F47BB" w:rsidP="004F47BB">
      <w:pPr>
        <w:tabs>
          <w:tab w:val="left" w:pos="567"/>
          <w:tab w:val="left" w:pos="709"/>
          <w:tab w:val="left" w:leader="dot" w:pos="9072"/>
        </w:tabs>
        <w:autoSpaceDE/>
        <w:autoSpaceDN/>
        <w:spacing w:before="120"/>
        <w:ind w:left="567" w:hanging="567"/>
        <w:rPr>
          <w:rFonts w:cs="Arial"/>
          <w:szCs w:val="20"/>
        </w:rPr>
      </w:pPr>
      <w:r>
        <w:t>5.</w:t>
      </w:r>
      <w:r>
        <w:tab/>
        <w:t xml:space="preserve">Osservazioni: </w:t>
      </w:r>
      <w:r>
        <w:tab/>
      </w:r>
    </w:p>
    <w:p w:rsidR="004F47BB" w:rsidRPr="004F47BB" w:rsidRDefault="004F47BB" w:rsidP="004F47BB">
      <w:pPr>
        <w:tabs>
          <w:tab w:val="left" w:pos="567"/>
          <w:tab w:val="left" w:leader="dot" w:pos="9072"/>
        </w:tabs>
        <w:autoSpaceDE/>
        <w:autoSpaceDN/>
        <w:spacing w:before="60"/>
        <w:ind w:left="567" w:firstLine="0"/>
        <w:rPr>
          <w:rFonts w:cs="Arial"/>
          <w:szCs w:val="20"/>
        </w:rPr>
      </w:pPr>
      <w:r>
        <w:tab/>
      </w:r>
    </w:p>
    <w:p w:rsidR="004F47BB" w:rsidRPr="004F47BB" w:rsidRDefault="004F47BB" w:rsidP="004F47BB">
      <w:pPr>
        <w:tabs>
          <w:tab w:val="left" w:pos="567"/>
          <w:tab w:val="left" w:leader="dot" w:pos="9072"/>
        </w:tabs>
        <w:autoSpaceDE/>
        <w:autoSpaceDN/>
        <w:spacing w:before="60"/>
        <w:ind w:left="567" w:firstLine="0"/>
        <w:rPr>
          <w:rFonts w:cs="Arial"/>
          <w:szCs w:val="20"/>
        </w:rPr>
      </w:pPr>
      <w:r>
        <w:tab/>
      </w:r>
    </w:p>
    <w:p w:rsidR="004F47BB" w:rsidRPr="004F47BB" w:rsidRDefault="004F47BB" w:rsidP="004F47BB">
      <w:pPr>
        <w:tabs>
          <w:tab w:val="left" w:pos="567"/>
        </w:tabs>
        <w:autoSpaceDE/>
        <w:autoSpaceDN/>
        <w:ind w:left="567" w:hanging="567"/>
        <w:rPr>
          <w:b/>
        </w:rPr>
      </w:pPr>
    </w:p>
    <w:p w:rsidR="004F47BB" w:rsidRPr="004F47BB" w:rsidRDefault="004F47BB" w:rsidP="004F47BB">
      <w:pPr>
        <w:tabs>
          <w:tab w:val="left" w:pos="567"/>
        </w:tabs>
        <w:autoSpaceDE/>
        <w:autoSpaceDN/>
        <w:ind w:left="567" w:hanging="567"/>
        <w:rPr>
          <w:b/>
        </w:rPr>
      </w:pPr>
      <w:r>
        <w:rPr>
          <w:b/>
        </w:rPr>
        <w:t>D</w:t>
      </w:r>
      <w:r>
        <w:tab/>
      </w:r>
      <w:r>
        <w:rPr>
          <w:b/>
        </w:rPr>
        <w:t>Condizioni di misurazione — Ambiente circostante</w:t>
      </w:r>
    </w:p>
    <w:p w:rsidR="004F47BB" w:rsidRPr="004F47BB" w:rsidRDefault="004F47BB" w:rsidP="004F47BB">
      <w:pPr>
        <w:tabs>
          <w:tab w:val="left" w:pos="567"/>
          <w:tab w:val="left" w:pos="709"/>
          <w:tab w:val="left" w:leader="dot" w:pos="6663"/>
        </w:tabs>
        <w:autoSpaceDE/>
        <w:autoSpaceDN/>
        <w:spacing w:before="120"/>
        <w:ind w:left="567" w:hanging="567"/>
        <w:rPr>
          <w:rFonts w:cs="Arial"/>
          <w:szCs w:val="20"/>
        </w:rPr>
      </w:pPr>
      <w:r>
        <w:t>1.</w:t>
      </w:r>
      <w:r>
        <w:tab/>
        <w:t xml:space="preserve">Area di misurazione: </w:t>
      </w:r>
      <w:r>
        <w:tab/>
        <w:t xml:space="preserve"> a valle/a monte</w:t>
      </w:r>
      <w:r>
        <w:rPr>
          <w:vertAlign w:val="superscript"/>
        </w:rPr>
        <w:footnoteReference w:id="82"/>
      </w:r>
    </w:p>
    <w:p w:rsidR="004F47BB" w:rsidRPr="004F47BB" w:rsidRDefault="004F47BB" w:rsidP="004F47BB">
      <w:pPr>
        <w:tabs>
          <w:tab w:val="left" w:pos="567"/>
          <w:tab w:val="left" w:pos="709"/>
          <w:tab w:val="left" w:leader="dot" w:pos="3686"/>
          <w:tab w:val="left" w:pos="4111"/>
          <w:tab w:val="left" w:leader="dot" w:pos="7088"/>
          <w:tab w:val="left" w:pos="7230"/>
          <w:tab w:val="left" w:leader="dot" w:pos="8505"/>
        </w:tabs>
        <w:autoSpaceDE/>
        <w:autoSpaceDN/>
        <w:spacing w:before="120"/>
        <w:ind w:left="567" w:hanging="567"/>
        <w:rPr>
          <w:rFonts w:cs="Arial"/>
          <w:szCs w:val="20"/>
        </w:rPr>
      </w:pPr>
      <w:r>
        <w:t>2.</w:t>
      </w:r>
      <w:r>
        <w:tab/>
        <w:t xml:space="preserve">Profondità dell'acqua: </w:t>
      </w:r>
      <w:r>
        <w:tab/>
        <w:t xml:space="preserve"> m </w:t>
      </w:r>
      <w:r>
        <w:tab/>
        <w:t xml:space="preserve">(livello dell'acqua corrispondente </w:t>
      </w:r>
      <w:r>
        <w:tab/>
      </w:r>
      <w:r>
        <w:tab/>
        <w:t xml:space="preserve">= </w:t>
      </w:r>
      <w:r>
        <w:tab/>
        <w:t xml:space="preserve"> m)</w:t>
      </w:r>
    </w:p>
    <w:p w:rsidR="004F47BB" w:rsidRPr="004F47BB" w:rsidRDefault="004F47BB" w:rsidP="004F47BB">
      <w:pPr>
        <w:widowControl w:val="0"/>
        <w:tabs>
          <w:tab w:val="left" w:pos="567"/>
          <w:tab w:val="left" w:pos="709"/>
          <w:tab w:val="left" w:leader="dot" w:pos="4678"/>
          <w:tab w:val="left" w:pos="4820"/>
          <w:tab w:val="left" w:leader="dot" w:pos="6521"/>
          <w:tab w:val="left" w:pos="6663"/>
          <w:tab w:val="left" w:pos="6946"/>
          <w:tab w:val="left" w:leader="dot" w:pos="8647"/>
        </w:tabs>
        <w:autoSpaceDE/>
        <w:autoSpaceDN/>
        <w:spacing w:before="120"/>
        <w:ind w:left="567" w:hanging="567"/>
        <w:jc w:val="left"/>
        <w:rPr>
          <w:rFonts w:cs="Arial"/>
          <w:snapToGrid w:val="0"/>
          <w:szCs w:val="20"/>
        </w:rPr>
      </w:pPr>
      <w:r>
        <w:t>3.</w:t>
      </w:r>
      <w:r>
        <w:tab/>
        <w:t>Condizioni atmosferiche:</w:t>
      </w:r>
      <w:r>
        <w:tab/>
      </w:r>
      <w:r>
        <w:tab/>
        <w:t>Temperatura:</w:t>
      </w:r>
      <w:r>
        <w:tab/>
        <w:t>°C</w:t>
      </w:r>
      <w:r>
        <w:tab/>
        <w:t>Forza del vento:</w:t>
      </w:r>
      <w:r>
        <w:tab/>
        <w:t xml:space="preserve"> BF</w:t>
      </w:r>
    </w:p>
    <w:p w:rsidR="004F47BB" w:rsidRPr="004F47BB" w:rsidRDefault="004F47BB" w:rsidP="004F47BB">
      <w:pPr>
        <w:tabs>
          <w:tab w:val="left" w:pos="567"/>
          <w:tab w:val="left" w:pos="709"/>
          <w:tab w:val="left" w:leader="dot" w:pos="9072"/>
        </w:tabs>
        <w:autoSpaceDE/>
        <w:autoSpaceDN/>
        <w:spacing w:before="120"/>
        <w:ind w:left="567" w:hanging="567"/>
        <w:rPr>
          <w:rFonts w:cs="Arial"/>
          <w:szCs w:val="20"/>
        </w:rPr>
      </w:pPr>
      <w:r>
        <w:t>4.</w:t>
      </w:r>
      <w:r>
        <w:tab/>
        <w:t>Interferenza di rumore esterno: sì/no</w:t>
      </w:r>
      <w:r>
        <w:rPr>
          <w:vertAlign w:val="superscript"/>
        </w:rPr>
        <w:t>*)</w:t>
      </w:r>
      <w:r>
        <w:t xml:space="preserve">, in caso affermativo, specificare: </w:t>
      </w:r>
      <w:r>
        <w:tab/>
      </w:r>
    </w:p>
    <w:p w:rsidR="004F47BB" w:rsidRPr="004F47BB" w:rsidRDefault="004F47BB" w:rsidP="004F47BB">
      <w:pPr>
        <w:tabs>
          <w:tab w:val="left" w:pos="567"/>
          <w:tab w:val="left" w:pos="709"/>
          <w:tab w:val="left" w:pos="1418"/>
          <w:tab w:val="left" w:leader="dot" w:pos="9072"/>
        </w:tabs>
        <w:autoSpaceDE/>
        <w:autoSpaceDN/>
        <w:spacing w:before="120"/>
        <w:ind w:left="567" w:hanging="567"/>
        <w:rPr>
          <w:rFonts w:cs="Arial"/>
          <w:szCs w:val="20"/>
        </w:rPr>
      </w:pPr>
      <w:r>
        <w:t>5.</w:t>
      </w:r>
      <w:r>
        <w:tab/>
        <w:t xml:space="preserve">Osservazioni: </w:t>
      </w:r>
      <w:r>
        <w:tab/>
      </w:r>
    </w:p>
    <w:p w:rsidR="004F47BB" w:rsidRPr="004F47BB" w:rsidRDefault="004F47BB" w:rsidP="004F47BB">
      <w:pPr>
        <w:tabs>
          <w:tab w:val="left" w:pos="567"/>
          <w:tab w:val="left" w:leader="dot" w:pos="9072"/>
        </w:tabs>
        <w:autoSpaceDE/>
        <w:autoSpaceDN/>
        <w:spacing w:before="120"/>
        <w:ind w:left="567" w:firstLine="0"/>
        <w:rPr>
          <w:rFonts w:cs="Arial"/>
          <w:szCs w:val="20"/>
        </w:rPr>
      </w:pPr>
      <w:r>
        <w:tab/>
      </w:r>
    </w:p>
    <w:p w:rsidR="004F47BB" w:rsidRPr="004F47BB" w:rsidRDefault="004F47BB" w:rsidP="004F47BB">
      <w:pPr>
        <w:tabs>
          <w:tab w:val="left" w:pos="567"/>
          <w:tab w:val="left" w:leader="dot" w:pos="9072"/>
        </w:tabs>
        <w:autoSpaceDE/>
        <w:autoSpaceDN/>
        <w:spacing w:before="120"/>
        <w:ind w:left="567" w:firstLine="0"/>
        <w:rPr>
          <w:rFonts w:cs="Arial"/>
          <w:szCs w:val="20"/>
        </w:rPr>
      </w:pPr>
      <w:r>
        <w:tab/>
      </w:r>
    </w:p>
    <w:p w:rsidR="004F47BB" w:rsidRPr="004F47BB" w:rsidRDefault="004F47BB" w:rsidP="004F47BB">
      <w:pPr>
        <w:tabs>
          <w:tab w:val="left" w:pos="567"/>
        </w:tabs>
        <w:autoSpaceDE/>
        <w:autoSpaceDN/>
        <w:ind w:left="567" w:hanging="567"/>
        <w:rPr>
          <w:b/>
        </w:rPr>
      </w:pPr>
    </w:p>
    <w:p w:rsidR="004F47BB" w:rsidRPr="004F47BB" w:rsidRDefault="004F47BB" w:rsidP="004F47BB">
      <w:pPr>
        <w:tabs>
          <w:tab w:val="left" w:pos="567"/>
        </w:tabs>
        <w:autoSpaceDE/>
        <w:autoSpaceDN/>
        <w:ind w:left="567" w:hanging="567"/>
        <w:rPr>
          <w:b/>
        </w:rPr>
      </w:pPr>
      <w:r>
        <w:rPr>
          <w:b/>
        </w:rPr>
        <w:t>E</w:t>
      </w:r>
      <w:r>
        <w:tab/>
      </w:r>
      <w:r>
        <w:rPr>
          <w:b/>
        </w:rPr>
        <w:t>Registrazione della misurazione</w:t>
      </w:r>
    </w:p>
    <w:p w:rsidR="004F47BB" w:rsidRPr="004F47BB" w:rsidRDefault="004F47BB" w:rsidP="004F47BB">
      <w:pPr>
        <w:tabs>
          <w:tab w:val="left" w:pos="567"/>
          <w:tab w:val="left" w:pos="709"/>
          <w:tab w:val="left" w:pos="1418"/>
          <w:tab w:val="left" w:leader="dot" w:pos="9072"/>
        </w:tabs>
        <w:overflowPunct w:val="0"/>
        <w:adjustRightInd w:val="0"/>
        <w:spacing w:before="120"/>
        <w:ind w:left="567" w:hanging="567"/>
        <w:textAlignment w:val="baseline"/>
        <w:rPr>
          <w:rFonts w:cs="Arial"/>
          <w:snapToGrid w:val="0"/>
          <w:szCs w:val="20"/>
        </w:rPr>
      </w:pPr>
      <w:r>
        <w:t>1.</w:t>
      </w:r>
      <w:r>
        <w:tab/>
        <w:t xml:space="preserve">Misurazione eseguita da: </w:t>
      </w:r>
      <w:r>
        <w:tab/>
      </w:r>
    </w:p>
    <w:p w:rsidR="004F47BB" w:rsidRPr="004F47BB" w:rsidRDefault="004F47BB" w:rsidP="004F47BB">
      <w:pPr>
        <w:tabs>
          <w:tab w:val="left" w:pos="567"/>
          <w:tab w:val="left" w:pos="709"/>
          <w:tab w:val="left" w:leader="dot" w:pos="2268"/>
        </w:tabs>
        <w:autoSpaceDE/>
        <w:autoSpaceDN/>
        <w:spacing w:before="120"/>
        <w:ind w:left="567" w:hanging="567"/>
        <w:rPr>
          <w:rFonts w:cs="Arial"/>
          <w:szCs w:val="20"/>
        </w:rPr>
      </w:pPr>
      <w:r>
        <w:t>2.</w:t>
      </w:r>
      <w:r>
        <w:tab/>
        <w:t xml:space="preserve">Data: </w:t>
      </w:r>
      <w:r>
        <w:tab/>
      </w:r>
    </w:p>
    <w:p w:rsidR="004F47BB" w:rsidRPr="004F47BB" w:rsidRDefault="004F47BB" w:rsidP="004F47BB">
      <w:pPr>
        <w:tabs>
          <w:tab w:val="left" w:pos="567"/>
          <w:tab w:val="left" w:pos="709"/>
          <w:tab w:val="left" w:pos="1418"/>
          <w:tab w:val="left" w:leader="dot" w:pos="9072"/>
        </w:tabs>
        <w:overflowPunct w:val="0"/>
        <w:adjustRightInd w:val="0"/>
        <w:spacing w:before="120"/>
        <w:ind w:left="567" w:hanging="567"/>
        <w:textAlignment w:val="baseline"/>
        <w:rPr>
          <w:rFonts w:cs="Arial"/>
          <w:snapToGrid w:val="0"/>
          <w:szCs w:val="20"/>
        </w:rPr>
      </w:pPr>
      <w:r>
        <w:t>3.</w:t>
      </w:r>
      <w:r>
        <w:tab/>
        <w:t xml:space="preserve">Osservazioni: </w:t>
      </w:r>
      <w:r>
        <w:tab/>
      </w:r>
    </w:p>
    <w:p w:rsidR="004F47BB" w:rsidRPr="004F47BB" w:rsidRDefault="004F47BB" w:rsidP="004F47BB">
      <w:pPr>
        <w:tabs>
          <w:tab w:val="left" w:pos="567"/>
          <w:tab w:val="left" w:leader="dot" w:pos="9072"/>
        </w:tabs>
        <w:autoSpaceDE/>
        <w:autoSpaceDN/>
        <w:spacing w:before="120"/>
        <w:ind w:left="567" w:firstLine="0"/>
        <w:rPr>
          <w:rFonts w:cs="Arial"/>
          <w:szCs w:val="20"/>
        </w:rPr>
      </w:pPr>
      <w:r>
        <w:tab/>
      </w:r>
    </w:p>
    <w:p w:rsidR="004F47BB" w:rsidRPr="004F47BB" w:rsidRDefault="004F47BB" w:rsidP="004F47BB">
      <w:pPr>
        <w:tabs>
          <w:tab w:val="left" w:pos="567"/>
          <w:tab w:val="left" w:leader="dot" w:pos="9072"/>
        </w:tabs>
        <w:autoSpaceDE/>
        <w:autoSpaceDN/>
        <w:spacing w:before="120"/>
        <w:ind w:left="567" w:firstLine="0"/>
        <w:rPr>
          <w:rFonts w:cs="Arial"/>
          <w:szCs w:val="20"/>
        </w:rPr>
      </w:pPr>
      <w:r>
        <w:tab/>
      </w:r>
    </w:p>
    <w:p w:rsidR="004F47BB" w:rsidRPr="004F47BB" w:rsidRDefault="004F47BB" w:rsidP="004F47BB">
      <w:pPr>
        <w:tabs>
          <w:tab w:val="left" w:pos="567"/>
          <w:tab w:val="left" w:pos="709"/>
          <w:tab w:val="left" w:pos="1418"/>
          <w:tab w:val="left" w:leader="dot" w:pos="4111"/>
        </w:tabs>
        <w:overflowPunct w:val="0"/>
        <w:adjustRightInd w:val="0"/>
        <w:spacing w:before="120"/>
        <w:ind w:left="567" w:hanging="567"/>
        <w:textAlignment w:val="baseline"/>
        <w:rPr>
          <w:rFonts w:cs="Arial"/>
          <w:snapToGrid w:val="0"/>
          <w:szCs w:val="20"/>
        </w:rPr>
      </w:pPr>
      <w:r>
        <w:t>4.</w:t>
      </w:r>
      <w:r>
        <w:tab/>
        <w:t xml:space="preserve">Firma: </w:t>
      </w:r>
      <w:r>
        <w:tab/>
      </w:r>
    </w:p>
    <w:p w:rsidR="004F47BB" w:rsidRPr="004F47BB" w:rsidRDefault="004F47BB" w:rsidP="004F47BB">
      <w:pPr>
        <w:tabs>
          <w:tab w:val="left" w:pos="567"/>
        </w:tabs>
        <w:autoSpaceDE/>
        <w:autoSpaceDN/>
        <w:spacing w:before="120"/>
        <w:ind w:left="567" w:hanging="567"/>
        <w:rPr>
          <w:rFonts w:cs="Arial"/>
          <w:szCs w:val="20"/>
        </w:rPr>
      </w:pPr>
    </w:p>
    <w:p w:rsidR="004F47BB" w:rsidRPr="004F47BB" w:rsidRDefault="004F47BB" w:rsidP="004F47BB">
      <w:pPr>
        <w:tabs>
          <w:tab w:val="left" w:pos="567"/>
        </w:tabs>
        <w:autoSpaceDE/>
        <w:autoSpaceDN/>
        <w:spacing w:before="60"/>
        <w:ind w:left="567" w:hanging="567"/>
        <w:rPr>
          <w:rFonts w:cs="Arial"/>
          <w:szCs w:val="20"/>
        </w:rPr>
      </w:pPr>
      <w:r>
        <w:br w:type="page"/>
      </w:r>
      <w:r>
        <w:rPr>
          <w:b/>
        </w:rPr>
        <w:lastRenderedPageBreak/>
        <w:t>F.1</w:t>
      </w:r>
      <w:r>
        <w:tab/>
      </w:r>
      <w:r>
        <w:rPr>
          <w:b/>
        </w:rPr>
        <w:t>Risultati della misurazione</w:t>
      </w:r>
    </w:p>
    <w:p w:rsidR="004F47BB" w:rsidRPr="004F47BB" w:rsidRDefault="004F47BB" w:rsidP="004F47BB">
      <w:pPr>
        <w:tabs>
          <w:tab w:val="left" w:pos="567"/>
          <w:tab w:val="left" w:pos="1418"/>
        </w:tabs>
        <w:autoSpaceDE/>
        <w:autoSpaceDN/>
        <w:spacing w:before="60"/>
        <w:ind w:left="567" w:firstLine="0"/>
        <w:rPr>
          <w:rFonts w:cs="Arial"/>
          <w:b/>
          <w:bCs/>
          <w:szCs w:val="20"/>
        </w:rPr>
      </w:pPr>
      <w:r>
        <w:rPr>
          <w:b/>
        </w:rPr>
        <w:t>Misurazione del rumore a bordo dell'imbarcazione</w:t>
      </w:r>
    </w:p>
    <w:p w:rsidR="004F47BB" w:rsidRPr="004F47BB" w:rsidRDefault="004F47BB" w:rsidP="004F47BB">
      <w:pPr>
        <w:tabs>
          <w:tab w:val="left" w:pos="567"/>
          <w:tab w:val="left" w:pos="1418"/>
        </w:tabs>
        <w:autoSpaceDE/>
        <w:autoSpaceDN/>
        <w:spacing w:before="60"/>
        <w:ind w:left="567" w:firstLine="0"/>
        <w:rPr>
          <w:rFonts w:cs="Arial"/>
          <w:b/>
          <w:bCs/>
          <w:szCs w:val="20"/>
        </w:rPr>
      </w:pP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7"/>
        <w:gridCol w:w="2438"/>
        <w:gridCol w:w="706"/>
        <w:gridCol w:w="630"/>
        <w:gridCol w:w="708"/>
        <w:gridCol w:w="709"/>
        <w:gridCol w:w="680"/>
        <w:gridCol w:w="2211"/>
      </w:tblGrid>
      <w:tr w:rsidR="004F47BB" w:rsidRPr="004F47BB" w:rsidTr="00D45887">
        <w:tc>
          <w:tcPr>
            <w:tcW w:w="397" w:type="dxa"/>
            <w:vMerge w:val="restart"/>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0"/>
              </w:rPr>
              <w:t>Nume-ro</w:t>
            </w:r>
          </w:p>
        </w:tc>
        <w:tc>
          <w:tcPr>
            <w:tcW w:w="2438" w:type="dxa"/>
            <w:vMerge w:val="restart"/>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Punto di misurazione</w:t>
            </w:r>
          </w:p>
        </w:tc>
        <w:tc>
          <w:tcPr>
            <w:tcW w:w="1336" w:type="dxa"/>
            <w:gridSpan w:val="2"/>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Porte</w:t>
            </w:r>
          </w:p>
        </w:tc>
        <w:tc>
          <w:tcPr>
            <w:tcW w:w="1417" w:type="dxa"/>
            <w:gridSpan w:val="2"/>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Finestre</w:t>
            </w:r>
          </w:p>
        </w:tc>
        <w:tc>
          <w:tcPr>
            <w:tcW w:w="680" w:type="dxa"/>
            <w:vMerge w:val="restart"/>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Valore misurato in dB(A)</w:t>
            </w:r>
          </w:p>
        </w:tc>
        <w:tc>
          <w:tcPr>
            <w:tcW w:w="2211" w:type="dxa"/>
            <w:vMerge w:val="restart"/>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Osservazioni</w:t>
            </w:r>
          </w:p>
        </w:tc>
      </w:tr>
      <w:tr w:rsidR="004F47BB" w:rsidRPr="004F47BB" w:rsidTr="00D45887">
        <w:trPr>
          <w:trHeight w:val="573"/>
        </w:trPr>
        <w:tc>
          <w:tcPr>
            <w:tcW w:w="397" w:type="dxa"/>
            <w:vMerge/>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2438" w:type="dxa"/>
            <w:vMerge/>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706"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aperte</w:t>
            </w:r>
          </w:p>
        </w:tc>
        <w:tc>
          <w:tcPr>
            <w:tcW w:w="630"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chiuse</w:t>
            </w:r>
          </w:p>
        </w:tc>
        <w:tc>
          <w:tcPr>
            <w:tcW w:w="708"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aperte</w:t>
            </w:r>
          </w:p>
        </w:tc>
        <w:tc>
          <w:tcPr>
            <w:tcW w:w="70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chiuse</w:t>
            </w:r>
          </w:p>
        </w:tc>
        <w:tc>
          <w:tcPr>
            <w:tcW w:w="680" w:type="dxa"/>
            <w:vMerge/>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2211" w:type="dxa"/>
            <w:vMerge/>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r>
      <w:tr w:rsidR="004F47BB" w:rsidRPr="004F47BB" w:rsidTr="00D45887">
        <w:trPr>
          <w:trHeight w:val="397"/>
        </w:trPr>
        <w:tc>
          <w:tcPr>
            <w:tcW w:w="397"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2438"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706"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630"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708"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70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2211"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r>
      <w:tr w:rsidR="004F47BB" w:rsidRPr="004F47BB" w:rsidTr="00D45887">
        <w:trPr>
          <w:trHeight w:val="397"/>
        </w:trPr>
        <w:tc>
          <w:tcPr>
            <w:tcW w:w="397"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2438"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706"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630"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708"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70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2211"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r>
      <w:tr w:rsidR="004F47BB" w:rsidRPr="004F47BB" w:rsidTr="00D45887">
        <w:trPr>
          <w:trHeight w:val="397"/>
        </w:trPr>
        <w:tc>
          <w:tcPr>
            <w:tcW w:w="397"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2438"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706"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630"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708"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709"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c>
          <w:tcPr>
            <w:tcW w:w="2211"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rPr>
                <w:rFonts w:cs="Arial"/>
                <w:sz w:val="16"/>
                <w:szCs w:val="16"/>
              </w:rPr>
            </w:pPr>
          </w:p>
        </w:tc>
      </w:tr>
    </w:tbl>
    <w:p w:rsidR="004F47BB" w:rsidRPr="004F47BB" w:rsidRDefault="004F47BB" w:rsidP="004F47BB">
      <w:pPr>
        <w:autoSpaceDE/>
        <w:autoSpaceDN/>
        <w:spacing w:before="60"/>
        <w:ind w:left="709" w:firstLine="0"/>
        <w:rPr>
          <w:rFonts w:cs="Arial"/>
          <w:b/>
          <w:bCs/>
          <w:szCs w:val="22"/>
        </w:rPr>
      </w:pPr>
    </w:p>
    <w:p w:rsidR="004F47BB" w:rsidRPr="004F47BB" w:rsidRDefault="004F47BB" w:rsidP="004F47BB">
      <w:pPr>
        <w:autoSpaceDE/>
        <w:autoSpaceDN/>
        <w:spacing w:before="60"/>
        <w:ind w:left="709" w:firstLine="0"/>
        <w:rPr>
          <w:rFonts w:cs="Arial"/>
          <w:b/>
          <w:bCs/>
          <w:szCs w:val="20"/>
        </w:rPr>
      </w:pPr>
    </w:p>
    <w:p w:rsidR="004F47BB" w:rsidRPr="004F47BB" w:rsidRDefault="004F47BB" w:rsidP="004F47BB">
      <w:pPr>
        <w:tabs>
          <w:tab w:val="left" w:pos="567"/>
        </w:tabs>
        <w:autoSpaceDE/>
        <w:autoSpaceDN/>
        <w:spacing w:before="60"/>
        <w:ind w:left="567" w:hanging="567"/>
        <w:rPr>
          <w:rFonts w:cs="Arial"/>
          <w:b/>
          <w:bCs/>
          <w:szCs w:val="20"/>
        </w:rPr>
      </w:pPr>
      <w:r>
        <w:rPr>
          <w:b/>
        </w:rPr>
        <w:t>F.2</w:t>
      </w:r>
      <w:r>
        <w:tab/>
      </w:r>
      <w:r>
        <w:rPr>
          <w:b/>
        </w:rPr>
        <w:t>Risultati della misurazione</w:t>
      </w:r>
    </w:p>
    <w:p w:rsidR="004F47BB" w:rsidRPr="004F47BB" w:rsidRDefault="004F47BB" w:rsidP="004F47BB">
      <w:pPr>
        <w:tabs>
          <w:tab w:val="left" w:pos="567"/>
          <w:tab w:val="left" w:pos="1418"/>
        </w:tabs>
        <w:autoSpaceDE/>
        <w:autoSpaceDN/>
        <w:spacing w:before="60"/>
        <w:ind w:left="567" w:firstLine="0"/>
        <w:rPr>
          <w:rFonts w:cs="Arial"/>
          <w:b/>
          <w:bCs/>
          <w:szCs w:val="20"/>
        </w:rPr>
      </w:pPr>
      <w:r>
        <w:rPr>
          <w:b/>
        </w:rPr>
        <w:t>Misurazione del rumore aereo emesso dall'imbarcazione</w:t>
      </w:r>
    </w:p>
    <w:p w:rsidR="004F47BB" w:rsidRPr="004F47BB" w:rsidRDefault="004F47BB" w:rsidP="004F47BB">
      <w:pPr>
        <w:tabs>
          <w:tab w:val="left" w:pos="567"/>
          <w:tab w:val="left" w:pos="1418"/>
        </w:tabs>
        <w:autoSpaceDE/>
        <w:autoSpaceDN/>
        <w:spacing w:before="60"/>
        <w:ind w:left="567" w:firstLine="0"/>
        <w:rPr>
          <w:rFonts w:cs="Arial"/>
          <w:b/>
          <w:bCs/>
          <w:szCs w:val="20"/>
        </w:rPr>
      </w:pPr>
    </w:p>
    <w:tbl>
      <w:tblPr>
        <w:tblW w:w="0" w:type="auto"/>
        <w:tblInd w:w="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3"/>
        <w:gridCol w:w="3123"/>
        <w:gridCol w:w="1134"/>
        <w:gridCol w:w="3742"/>
      </w:tblGrid>
      <w:tr w:rsidR="004F47BB" w:rsidRPr="004F47BB" w:rsidTr="00D45887">
        <w:trPr>
          <w:trHeight w:val="207"/>
        </w:trPr>
        <w:tc>
          <w:tcPr>
            <w:tcW w:w="563" w:type="dxa"/>
            <w:vMerge w:val="restart"/>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Nume-ro</w:t>
            </w:r>
          </w:p>
        </w:tc>
        <w:tc>
          <w:tcPr>
            <w:tcW w:w="3123" w:type="dxa"/>
            <w:vMerge w:val="restart"/>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Punto di misurazione</w:t>
            </w:r>
          </w:p>
        </w:tc>
        <w:tc>
          <w:tcPr>
            <w:tcW w:w="1134" w:type="dxa"/>
            <w:vMerge w:val="restart"/>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Valori misurati in dB(A)</w:t>
            </w:r>
          </w:p>
        </w:tc>
        <w:tc>
          <w:tcPr>
            <w:tcW w:w="3742" w:type="dxa"/>
            <w:vMerge w:val="restart"/>
            <w:tcBorders>
              <w:top w:val="single" w:sz="4" w:space="0" w:color="auto"/>
              <w:left w:val="single" w:sz="4" w:space="0" w:color="auto"/>
              <w:bottom w:val="single" w:sz="4" w:space="0" w:color="auto"/>
              <w:right w:val="single" w:sz="4" w:space="0" w:color="auto"/>
            </w:tcBorders>
          </w:tcPr>
          <w:p w:rsidR="004F47BB" w:rsidRPr="004F47BB" w:rsidRDefault="004F47BB" w:rsidP="004F47BB">
            <w:pPr>
              <w:autoSpaceDE/>
              <w:autoSpaceDN/>
              <w:spacing w:before="60"/>
              <w:ind w:left="0" w:firstLine="0"/>
              <w:jc w:val="center"/>
              <w:rPr>
                <w:rFonts w:cs="Arial"/>
                <w:sz w:val="16"/>
                <w:szCs w:val="16"/>
              </w:rPr>
            </w:pPr>
            <w:r>
              <w:rPr>
                <w:sz w:val="16"/>
              </w:rPr>
              <w:t>Osservazioni</w:t>
            </w:r>
          </w:p>
        </w:tc>
      </w:tr>
      <w:tr w:rsidR="004F47BB" w:rsidRPr="004F47BB" w:rsidTr="00D45887">
        <w:trPr>
          <w:trHeight w:val="267"/>
        </w:trPr>
        <w:tc>
          <w:tcPr>
            <w:tcW w:w="563" w:type="dxa"/>
            <w:vMerge/>
            <w:tcBorders>
              <w:top w:val="single" w:sz="4" w:space="0" w:color="auto"/>
              <w:left w:val="single" w:sz="4" w:space="0" w:color="auto"/>
              <w:bottom w:val="single" w:sz="4" w:space="0" w:color="auto"/>
              <w:right w:val="single" w:sz="4" w:space="0" w:color="auto"/>
            </w:tcBorders>
          </w:tcPr>
          <w:p w:rsidR="004F47BB" w:rsidRPr="004F47BB" w:rsidRDefault="004F47BB" w:rsidP="004F47BB">
            <w:pPr>
              <w:tabs>
                <w:tab w:val="left" w:pos="1418"/>
              </w:tabs>
              <w:autoSpaceDE/>
              <w:autoSpaceDN/>
              <w:spacing w:before="60"/>
              <w:ind w:left="0" w:firstLine="0"/>
              <w:rPr>
                <w:rFonts w:cs="Arial"/>
                <w:sz w:val="16"/>
                <w:szCs w:val="16"/>
              </w:rPr>
            </w:pPr>
          </w:p>
        </w:tc>
        <w:tc>
          <w:tcPr>
            <w:tcW w:w="3123" w:type="dxa"/>
            <w:vMerge/>
            <w:tcBorders>
              <w:top w:val="single" w:sz="4" w:space="0" w:color="auto"/>
              <w:left w:val="single" w:sz="4" w:space="0" w:color="auto"/>
              <w:bottom w:val="single" w:sz="4" w:space="0" w:color="auto"/>
              <w:right w:val="single" w:sz="4" w:space="0" w:color="auto"/>
            </w:tcBorders>
          </w:tcPr>
          <w:p w:rsidR="004F47BB" w:rsidRPr="004F47BB" w:rsidRDefault="004F47BB" w:rsidP="004F47BB">
            <w:pPr>
              <w:tabs>
                <w:tab w:val="left" w:pos="1418"/>
              </w:tabs>
              <w:autoSpaceDE/>
              <w:autoSpaceDN/>
              <w:spacing w:before="60"/>
              <w:ind w:left="0" w:firstLine="0"/>
              <w:rPr>
                <w:rFonts w:cs="Arial"/>
                <w:sz w:val="16"/>
                <w:szCs w:val="16"/>
              </w:rPr>
            </w:pPr>
          </w:p>
        </w:tc>
        <w:tc>
          <w:tcPr>
            <w:tcW w:w="1134" w:type="dxa"/>
            <w:vMerge/>
            <w:tcBorders>
              <w:top w:val="single" w:sz="4" w:space="0" w:color="auto"/>
              <w:left w:val="single" w:sz="4" w:space="0" w:color="auto"/>
              <w:bottom w:val="single" w:sz="4" w:space="0" w:color="auto"/>
              <w:right w:val="single" w:sz="4" w:space="0" w:color="auto"/>
            </w:tcBorders>
          </w:tcPr>
          <w:p w:rsidR="004F47BB" w:rsidRPr="004F47BB" w:rsidRDefault="004F47BB" w:rsidP="004F47BB">
            <w:pPr>
              <w:tabs>
                <w:tab w:val="left" w:pos="1418"/>
              </w:tabs>
              <w:autoSpaceDE/>
              <w:autoSpaceDN/>
              <w:spacing w:before="60"/>
              <w:ind w:left="0" w:firstLine="0"/>
              <w:jc w:val="center"/>
              <w:rPr>
                <w:rFonts w:cs="Arial"/>
                <w:sz w:val="16"/>
                <w:szCs w:val="16"/>
              </w:rPr>
            </w:pPr>
          </w:p>
        </w:tc>
        <w:tc>
          <w:tcPr>
            <w:tcW w:w="3742" w:type="dxa"/>
            <w:vMerge/>
            <w:tcBorders>
              <w:top w:val="single" w:sz="4" w:space="0" w:color="auto"/>
              <w:left w:val="single" w:sz="4" w:space="0" w:color="auto"/>
              <w:bottom w:val="single" w:sz="4" w:space="0" w:color="auto"/>
              <w:right w:val="single" w:sz="4" w:space="0" w:color="auto"/>
            </w:tcBorders>
          </w:tcPr>
          <w:p w:rsidR="004F47BB" w:rsidRPr="004F47BB" w:rsidRDefault="004F47BB" w:rsidP="004F47BB">
            <w:pPr>
              <w:tabs>
                <w:tab w:val="left" w:pos="1418"/>
              </w:tabs>
              <w:autoSpaceDE/>
              <w:autoSpaceDN/>
              <w:spacing w:before="60"/>
              <w:ind w:left="0" w:firstLine="0"/>
              <w:rPr>
                <w:rFonts w:cs="Arial"/>
                <w:sz w:val="16"/>
                <w:szCs w:val="16"/>
              </w:rPr>
            </w:pPr>
          </w:p>
        </w:tc>
      </w:tr>
      <w:tr w:rsidR="004F47BB" w:rsidRPr="004F47BB" w:rsidTr="00D45887">
        <w:trPr>
          <w:trHeight w:val="397"/>
        </w:trPr>
        <w:tc>
          <w:tcPr>
            <w:tcW w:w="563"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tabs>
                <w:tab w:val="left" w:pos="1418"/>
              </w:tabs>
              <w:autoSpaceDE/>
              <w:autoSpaceDN/>
              <w:spacing w:before="60"/>
              <w:ind w:left="0" w:firstLine="0"/>
              <w:rPr>
                <w:rFonts w:cs="Arial"/>
                <w:sz w:val="16"/>
                <w:szCs w:val="16"/>
              </w:rPr>
            </w:pPr>
          </w:p>
        </w:tc>
        <w:tc>
          <w:tcPr>
            <w:tcW w:w="3123"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tabs>
                <w:tab w:val="left" w:pos="1418"/>
              </w:tabs>
              <w:autoSpaceDE/>
              <w:autoSpaceDN/>
              <w:spacing w:before="60"/>
              <w:ind w:left="0" w:firstLine="0"/>
              <w:rPr>
                <w:rFonts w:cs="Arial"/>
                <w:sz w:val="16"/>
                <w:szCs w:val="16"/>
              </w:rPr>
            </w:pPr>
          </w:p>
        </w:tc>
        <w:tc>
          <w:tcPr>
            <w:tcW w:w="1134"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tabs>
                <w:tab w:val="left" w:pos="1418"/>
              </w:tabs>
              <w:autoSpaceDE/>
              <w:autoSpaceDN/>
              <w:spacing w:before="60"/>
              <w:ind w:left="0" w:firstLine="0"/>
              <w:jc w:val="center"/>
              <w:rPr>
                <w:rFonts w:cs="Arial"/>
                <w:sz w:val="16"/>
                <w:szCs w:val="16"/>
              </w:rPr>
            </w:pPr>
          </w:p>
        </w:tc>
        <w:tc>
          <w:tcPr>
            <w:tcW w:w="374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tabs>
                <w:tab w:val="left" w:pos="1418"/>
              </w:tabs>
              <w:autoSpaceDE/>
              <w:autoSpaceDN/>
              <w:spacing w:before="60"/>
              <w:ind w:left="0" w:firstLine="0"/>
              <w:rPr>
                <w:rFonts w:cs="Arial"/>
                <w:sz w:val="16"/>
                <w:szCs w:val="16"/>
              </w:rPr>
            </w:pPr>
          </w:p>
        </w:tc>
      </w:tr>
      <w:tr w:rsidR="004F47BB" w:rsidRPr="004F47BB" w:rsidTr="00D45887">
        <w:trPr>
          <w:trHeight w:val="397"/>
        </w:trPr>
        <w:tc>
          <w:tcPr>
            <w:tcW w:w="563"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tabs>
                <w:tab w:val="left" w:pos="1418"/>
              </w:tabs>
              <w:autoSpaceDE/>
              <w:autoSpaceDN/>
              <w:spacing w:before="60"/>
              <w:ind w:left="0" w:firstLine="0"/>
              <w:rPr>
                <w:rFonts w:cs="Arial"/>
                <w:sz w:val="16"/>
                <w:szCs w:val="16"/>
              </w:rPr>
            </w:pPr>
          </w:p>
        </w:tc>
        <w:tc>
          <w:tcPr>
            <w:tcW w:w="3123"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tabs>
                <w:tab w:val="left" w:pos="1418"/>
              </w:tabs>
              <w:autoSpaceDE/>
              <w:autoSpaceDN/>
              <w:spacing w:before="60"/>
              <w:ind w:left="0" w:firstLine="0"/>
              <w:rPr>
                <w:rFonts w:cs="Arial"/>
                <w:sz w:val="16"/>
                <w:szCs w:val="16"/>
              </w:rPr>
            </w:pPr>
          </w:p>
        </w:tc>
        <w:tc>
          <w:tcPr>
            <w:tcW w:w="1134"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tabs>
                <w:tab w:val="left" w:pos="1418"/>
              </w:tabs>
              <w:autoSpaceDE/>
              <w:autoSpaceDN/>
              <w:spacing w:before="60"/>
              <w:ind w:left="0" w:firstLine="0"/>
              <w:jc w:val="center"/>
              <w:rPr>
                <w:rFonts w:cs="Arial"/>
                <w:sz w:val="16"/>
                <w:szCs w:val="16"/>
              </w:rPr>
            </w:pPr>
          </w:p>
        </w:tc>
        <w:tc>
          <w:tcPr>
            <w:tcW w:w="374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tabs>
                <w:tab w:val="left" w:pos="1418"/>
              </w:tabs>
              <w:autoSpaceDE/>
              <w:autoSpaceDN/>
              <w:spacing w:before="60"/>
              <w:ind w:left="0" w:firstLine="0"/>
              <w:rPr>
                <w:rFonts w:cs="Arial"/>
                <w:sz w:val="16"/>
                <w:szCs w:val="16"/>
              </w:rPr>
            </w:pPr>
          </w:p>
        </w:tc>
      </w:tr>
      <w:tr w:rsidR="004F47BB" w:rsidRPr="004F47BB" w:rsidTr="00D45887">
        <w:trPr>
          <w:trHeight w:val="397"/>
        </w:trPr>
        <w:tc>
          <w:tcPr>
            <w:tcW w:w="563"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tabs>
                <w:tab w:val="left" w:pos="1418"/>
              </w:tabs>
              <w:autoSpaceDE/>
              <w:autoSpaceDN/>
              <w:spacing w:before="60"/>
              <w:ind w:left="0" w:firstLine="0"/>
              <w:rPr>
                <w:rFonts w:cs="Arial"/>
                <w:sz w:val="16"/>
                <w:szCs w:val="16"/>
              </w:rPr>
            </w:pPr>
          </w:p>
        </w:tc>
        <w:tc>
          <w:tcPr>
            <w:tcW w:w="3123"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tabs>
                <w:tab w:val="left" w:pos="1418"/>
              </w:tabs>
              <w:autoSpaceDE/>
              <w:autoSpaceDN/>
              <w:spacing w:before="60"/>
              <w:ind w:left="0" w:firstLine="0"/>
              <w:rPr>
                <w:rFonts w:cs="Arial"/>
                <w:sz w:val="16"/>
                <w:szCs w:val="16"/>
              </w:rPr>
            </w:pPr>
          </w:p>
        </w:tc>
        <w:tc>
          <w:tcPr>
            <w:tcW w:w="1134"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tabs>
                <w:tab w:val="left" w:pos="1418"/>
              </w:tabs>
              <w:autoSpaceDE/>
              <w:autoSpaceDN/>
              <w:spacing w:before="60"/>
              <w:ind w:left="0" w:firstLine="0"/>
              <w:jc w:val="center"/>
              <w:rPr>
                <w:rFonts w:cs="Arial"/>
                <w:sz w:val="16"/>
                <w:szCs w:val="16"/>
              </w:rPr>
            </w:pPr>
          </w:p>
        </w:tc>
        <w:tc>
          <w:tcPr>
            <w:tcW w:w="3742" w:type="dxa"/>
            <w:tcBorders>
              <w:top w:val="single" w:sz="4" w:space="0" w:color="auto"/>
              <w:left w:val="single" w:sz="4" w:space="0" w:color="auto"/>
              <w:bottom w:val="single" w:sz="4" w:space="0" w:color="auto"/>
              <w:right w:val="single" w:sz="4" w:space="0" w:color="auto"/>
            </w:tcBorders>
          </w:tcPr>
          <w:p w:rsidR="004F47BB" w:rsidRPr="004F47BB" w:rsidRDefault="004F47BB" w:rsidP="004F47BB">
            <w:pPr>
              <w:tabs>
                <w:tab w:val="left" w:pos="1418"/>
              </w:tabs>
              <w:autoSpaceDE/>
              <w:autoSpaceDN/>
              <w:spacing w:before="60"/>
              <w:ind w:left="0" w:firstLine="0"/>
              <w:rPr>
                <w:rFonts w:cs="Arial"/>
                <w:sz w:val="16"/>
                <w:szCs w:val="16"/>
              </w:rPr>
            </w:pPr>
          </w:p>
        </w:tc>
      </w:tr>
    </w:tbl>
    <w:p w:rsidR="004F47BB" w:rsidRPr="004F47BB" w:rsidRDefault="004F47BB" w:rsidP="004F47BB">
      <w:pPr>
        <w:tabs>
          <w:tab w:val="left" w:pos="1418"/>
        </w:tabs>
        <w:autoSpaceDE/>
        <w:autoSpaceDN/>
        <w:spacing w:before="60"/>
        <w:ind w:left="0" w:firstLine="0"/>
        <w:rPr>
          <w:rFonts w:cs="Arial"/>
          <w:szCs w:val="22"/>
        </w:rPr>
      </w:pPr>
    </w:p>
    <w:p w:rsidR="004F47BB" w:rsidRDefault="004F47BB" w:rsidP="004F47BB">
      <w:pPr>
        <w:tabs>
          <w:tab w:val="left" w:pos="284"/>
        </w:tabs>
        <w:autoSpaceDE/>
        <w:autoSpaceDN/>
        <w:ind w:left="0" w:firstLine="0"/>
        <w:rPr>
          <w:rFonts w:cs="Arial"/>
        </w:rPr>
      </w:pPr>
    </w:p>
    <w:p w:rsidR="005B46C9" w:rsidRDefault="005B46C9" w:rsidP="004F47BB">
      <w:pPr>
        <w:tabs>
          <w:tab w:val="left" w:pos="284"/>
        </w:tabs>
        <w:autoSpaceDE/>
        <w:autoSpaceDN/>
        <w:ind w:left="0" w:firstLine="0"/>
        <w:rPr>
          <w:rFonts w:cs="Arial"/>
        </w:rPr>
        <w:sectPr w:rsidR="005B46C9" w:rsidSect="00D45887">
          <w:headerReference w:type="default" r:id="rId139"/>
          <w:footnotePr>
            <w:numRestart w:val="eachPage"/>
          </w:footnotePr>
          <w:pgSz w:w="11907" w:h="16840" w:code="9"/>
          <w:pgMar w:top="1418" w:right="1418" w:bottom="1418" w:left="1418" w:header="680" w:footer="680" w:gutter="0"/>
          <w:cols w:space="720"/>
          <w:docGrid w:linePitch="326"/>
        </w:sectPr>
      </w:pPr>
    </w:p>
    <w:p w:rsidR="004F47BB" w:rsidRPr="004F47BB" w:rsidRDefault="004F47BB" w:rsidP="005B46C9">
      <w:pPr>
        <w:pStyle w:val="ES-Titre2ESI"/>
      </w:pPr>
      <w:bookmarkStart w:id="745" w:name="_Toc491854355"/>
      <w:bookmarkStart w:id="746" w:name="_Toc535500304"/>
      <w:r>
        <w:lastRenderedPageBreak/>
        <w:t>ESI-II-6</w:t>
      </w:r>
      <w:r>
        <w:br/>
        <w:t>Mezzi ausiliari adeguati per osservare la zona di non visibilità</w:t>
      </w:r>
      <w:bookmarkEnd w:id="745"/>
      <w:bookmarkEnd w:id="746"/>
    </w:p>
    <w:p w:rsidR="004F47BB" w:rsidRPr="004F47BB" w:rsidRDefault="004F47BB" w:rsidP="005B46C9">
      <w:pPr>
        <w:pStyle w:val="ESch"/>
      </w:pPr>
    </w:p>
    <w:p w:rsidR="004F47BB" w:rsidRPr="004F47BB" w:rsidRDefault="004F47BB" w:rsidP="004F47BB">
      <w:pPr>
        <w:tabs>
          <w:tab w:val="center" w:pos="4513"/>
        </w:tabs>
        <w:overflowPunct w:val="0"/>
        <w:adjustRightInd w:val="0"/>
        <w:ind w:left="0" w:firstLine="0"/>
        <w:jc w:val="center"/>
        <w:textAlignment w:val="baseline"/>
        <w:rPr>
          <w:b/>
          <w:szCs w:val="20"/>
        </w:rPr>
      </w:pPr>
      <w:r>
        <w:rPr>
          <w:b/>
        </w:rPr>
        <w:t>(Articolo 7.02)</w:t>
      </w:r>
    </w:p>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ind w:left="0" w:firstLine="0"/>
        <w:textAlignment w:val="baseline"/>
        <w:rPr>
          <w:szCs w:val="20"/>
        </w:rPr>
      </w:pPr>
    </w:p>
    <w:p w:rsidR="004F47BB" w:rsidRPr="004F47BB" w:rsidRDefault="004F47BB" w:rsidP="004F47BB">
      <w:pPr>
        <w:widowControl w:val="0"/>
        <w:autoSpaceDE/>
        <w:autoSpaceDN/>
        <w:spacing w:line="240" w:lineRule="atLeast"/>
        <w:ind w:left="567" w:hanging="567"/>
        <w:rPr>
          <w:rFonts w:cs="Arial"/>
          <w:b/>
          <w:szCs w:val="20"/>
        </w:rPr>
      </w:pPr>
      <w:r>
        <w:rPr>
          <w:b/>
        </w:rPr>
        <w:t>1.</w:t>
      </w:r>
      <w:r>
        <w:tab/>
      </w:r>
      <w:r>
        <w:rPr>
          <w:b/>
        </w:rPr>
        <w:t>Introduzione</w:t>
      </w:r>
    </w:p>
    <w:p w:rsidR="004F47BB" w:rsidRPr="004F47BB" w:rsidRDefault="004F47BB" w:rsidP="004F47BB">
      <w:pPr>
        <w:widowControl w:val="0"/>
        <w:autoSpaceDE/>
        <w:autoSpaceDN/>
        <w:spacing w:line="240" w:lineRule="atLeast"/>
        <w:ind w:left="0" w:firstLine="0"/>
        <w:rPr>
          <w:rFonts w:cs="Arial"/>
          <w:szCs w:val="20"/>
        </w:rPr>
      </w:pPr>
    </w:p>
    <w:p w:rsidR="004F47BB" w:rsidRPr="004F47BB" w:rsidRDefault="004F47BB" w:rsidP="004F47BB">
      <w:pPr>
        <w:widowControl w:val="0"/>
        <w:autoSpaceDE/>
        <w:autoSpaceDN/>
        <w:spacing w:line="240" w:lineRule="atLeast"/>
        <w:ind w:left="567" w:firstLine="0"/>
        <w:rPr>
          <w:rFonts w:cs="Arial"/>
          <w:szCs w:val="20"/>
        </w:rPr>
      </w:pPr>
      <w:r>
        <w:t>Per una serie di motivi, in ragione della costruzione della nave o del carico, la visuale libera a 360° dalla timoneria è inevitabilmente limitata in maggiore o minore misura. Le restrizioni riguardano i settori nel piano orizzontale (angolo dell'azimut tra 0° e 360° rispetto all'asse anteriore della nave e nel piano verticale (angolo di elevazione tra -90° e +90°, rispetto al piano orizzontale a livello dell'altezza dell'occhio del timoniere).</w:t>
      </w:r>
    </w:p>
    <w:p w:rsidR="004F47BB" w:rsidRPr="004F47BB" w:rsidRDefault="004F47BB" w:rsidP="004F47BB">
      <w:pPr>
        <w:widowControl w:val="0"/>
        <w:autoSpaceDE/>
        <w:autoSpaceDN/>
        <w:spacing w:line="240" w:lineRule="atLeast"/>
        <w:ind w:left="567" w:firstLine="0"/>
        <w:rPr>
          <w:rFonts w:cs="Arial"/>
          <w:szCs w:val="20"/>
        </w:rPr>
      </w:pPr>
      <w:r>
        <w:t>A seconda che vi siano persone in fase di imbarco o sbarco, che la nave stia attraccando o salpando, che sia in fase di manovra o in navigazione, il timoniere deve poter vedere i diversi settori del suo campo di visuale. Ad esempio, prima di mollare gli ormeggi è importante essere in grado di verificare se vi è qualcuno sul ponte laterale o se l'area immediatamente a poppavia è sgombra. Durante la navigazione una maggiore priorità è accordata alla possibilità di vedere la zona davanti all'imbarcazione in considerazione del rapido cambiamento della posizione dell'imbarcazione durante la navigazione in marcia avanti.</w:t>
      </w:r>
    </w:p>
    <w:p w:rsidR="004F47BB" w:rsidRPr="004F47BB" w:rsidRDefault="004F47BB" w:rsidP="004F47BB">
      <w:pPr>
        <w:widowControl w:val="0"/>
        <w:autoSpaceDE/>
        <w:autoSpaceDN/>
        <w:spacing w:line="240" w:lineRule="atLeast"/>
        <w:ind w:left="0" w:firstLine="0"/>
        <w:rPr>
          <w:rFonts w:cs="Arial"/>
          <w:szCs w:val="20"/>
        </w:rPr>
      </w:pPr>
    </w:p>
    <w:p w:rsidR="004F47BB" w:rsidRPr="004F47BB" w:rsidRDefault="004F47BB" w:rsidP="004F47BB">
      <w:pPr>
        <w:widowControl w:val="0"/>
        <w:autoSpaceDE/>
        <w:autoSpaceDN/>
        <w:spacing w:line="240" w:lineRule="atLeast"/>
        <w:ind w:left="567" w:firstLine="0"/>
        <w:rPr>
          <w:rFonts w:cs="Arial"/>
          <w:szCs w:val="20"/>
        </w:rPr>
      </w:pPr>
      <w:r>
        <w:t>Dispositivi tecnici ausiliari consentono di disporre di una visuale indiretta su settori che non possono essere visti direttamente. Sebbene molte delle loro capacità superino quelle dell'occhio umano, tali dispositivi non costituiscono un sostituto completo di una visuale diretta. Tuttavia, a volte vengono impiegati anche come dispositivi supplementari in settori che possono essere visti direttamente.</w:t>
      </w:r>
    </w:p>
    <w:p w:rsidR="004F47BB" w:rsidRPr="004F47BB" w:rsidRDefault="004F47BB" w:rsidP="004F47BB">
      <w:pPr>
        <w:widowControl w:val="0"/>
        <w:autoSpaceDE/>
        <w:autoSpaceDN/>
        <w:spacing w:line="240" w:lineRule="atLeast"/>
        <w:ind w:left="567" w:firstLine="0"/>
        <w:rPr>
          <w:rFonts w:cs="Arial"/>
          <w:szCs w:val="20"/>
        </w:rPr>
      </w:pPr>
    </w:p>
    <w:p w:rsidR="004F47BB" w:rsidRPr="004F47BB" w:rsidRDefault="004F47BB" w:rsidP="004F47BB">
      <w:pPr>
        <w:widowControl w:val="0"/>
        <w:autoSpaceDE/>
        <w:autoSpaceDN/>
        <w:spacing w:line="240" w:lineRule="atLeast"/>
        <w:ind w:left="567" w:firstLine="0"/>
        <w:rPr>
          <w:rFonts w:cs="Arial"/>
          <w:szCs w:val="20"/>
        </w:rPr>
      </w:pPr>
      <w:r>
        <w:t>Per quanto riguarda le informazioni richieste sulle zona di non visibilità, occorre distinguere se l'informazione di interesse è meramente la presenza o meno di un oggetto, le sue caratteristiche visive (sagoma, colore) o la sua identità, oppure se è importante dal punto di vista della navigazione per determinare la distanza, la rotta e la velocità di un oggetto. Tale domanda influenza la selezione del tipo di dispositivi tecnici ausiliari.</w:t>
      </w:r>
    </w:p>
    <w:p w:rsidR="004F47BB" w:rsidRPr="004F47BB" w:rsidRDefault="004F47BB" w:rsidP="004F47BB">
      <w:pPr>
        <w:widowControl w:val="0"/>
        <w:autoSpaceDE/>
        <w:autoSpaceDN/>
        <w:spacing w:line="240" w:lineRule="atLeast"/>
        <w:ind w:left="0" w:firstLine="0"/>
        <w:rPr>
          <w:rFonts w:cs="Arial"/>
          <w:szCs w:val="20"/>
        </w:rPr>
      </w:pPr>
    </w:p>
    <w:p w:rsidR="004F47BB" w:rsidRPr="004F47BB" w:rsidRDefault="004F47BB" w:rsidP="004F47BB">
      <w:pPr>
        <w:widowControl w:val="0"/>
        <w:autoSpaceDE/>
        <w:autoSpaceDN/>
        <w:spacing w:line="240" w:lineRule="atLeast"/>
        <w:ind w:left="567" w:firstLine="0"/>
        <w:rPr>
          <w:rFonts w:cs="Arial"/>
          <w:szCs w:val="20"/>
        </w:rPr>
      </w:pPr>
      <w:r>
        <w:t>Dati i costi di acquisto e installazione inferiori, le prestazioni superiori, la versatilità e il potenziale di personalizzazione dei sistemi video rispetto ai periscopi, questi ultimi vengono eliminati come dispositivi tecnici ausiliari.</w:t>
      </w:r>
    </w:p>
    <w:p w:rsidR="004F47BB" w:rsidRPr="004F47BB" w:rsidRDefault="004F47BB" w:rsidP="004F47BB">
      <w:pPr>
        <w:widowControl w:val="0"/>
        <w:autoSpaceDE/>
        <w:autoSpaceDN/>
        <w:spacing w:line="240" w:lineRule="atLeast"/>
        <w:ind w:left="0" w:firstLine="0"/>
        <w:rPr>
          <w:rFonts w:cs="Arial"/>
          <w:szCs w:val="20"/>
        </w:rPr>
      </w:pPr>
    </w:p>
    <w:p w:rsidR="004F47BB" w:rsidRPr="004F47BB" w:rsidRDefault="004F47BB" w:rsidP="004F47BB">
      <w:pPr>
        <w:widowControl w:val="0"/>
        <w:autoSpaceDE/>
        <w:autoSpaceDN/>
        <w:spacing w:line="240" w:lineRule="atLeast"/>
        <w:ind w:left="567" w:hanging="567"/>
        <w:rPr>
          <w:rFonts w:cs="Arial"/>
          <w:b/>
          <w:szCs w:val="20"/>
        </w:rPr>
      </w:pPr>
      <w:r>
        <w:rPr>
          <w:b/>
        </w:rPr>
        <w:t>2.</w:t>
      </w:r>
      <w:r>
        <w:tab/>
      </w:r>
      <w:r>
        <w:rPr>
          <w:b/>
        </w:rPr>
        <w:t>Panoramica dei dispositivi ausiliari appropriati</w:t>
      </w:r>
    </w:p>
    <w:p w:rsidR="004F47BB" w:rsidRPr="004F47BB" w:rsidRDefault="004F47BB" w:rsidP="004F47BB">
      <w:pPr>
        <w:widowControl w:val="0"/>
        <w:autoSpaceDE/>
        <w:autoSpaceDN/>
        <w:spacing w:line="240" w:lineRule="atLeast"/>
        <w:ind w:left="0" w:firstLine="0"/>
        <w:rPr>
          <w:rFonts w:cs="Arial"/>
          <w:szCs w:val="20"/>
        </w:rPr>
      </w:pPr>
    </w:p>
    <w:p w:rsidR="004F47BB" w:rsidRPr="004F47BB" w:rsidRDefault="004F47BB" w:rsidP="004F47BB">
      <w:pPr>
        <w:widowControl w:val="0"/>
        <w:autoSpaceDE/>
        <w:autoSpaceDN/>
        <w:spacing w:line="240" w:lineRule="atLeast"/>
        <w:ind w:left="567" w:firstLine="0"/>
        <w:rPr>
          <w:rFonts w:cs="Arial"/>
          <w:szCs w:val="20"/>
        </w:rPr>
      </w:pPr>
      <w:r>
        <w:t xml:space="preserve">I seguenti dispositivi ausiliari sono fondamentalmente adatti all'osservazione di zone di non visibilità: </w:t>
      </w:r>
    </w:p>
    <w:p w:rsidR="004F47BB" w:rsidRPr="004F47BB" w:rsidRDefault="004F47BB" w:rsidP="004F47BB">
      <w:pPr>
        <w:widowControl w:val="0"/>
        <w:autoSpaceDE/>
        <w:autoSpaceDN/>
        <w:spacing w:before="60" w:line="240" w:lineRule="atLeast"/>
        <w:ind w:left="992"/>
        <w:rPr>
          <w:rFonts w:cs="Arial"/>
          <w:szCs w:val="20"/>
        </w:rPr>
      </w:pPr>
      <w:r>
        <w:t>-</w:t>
      </w:r>
      <w:r>
        <w:tab/>
        <w:t>specchi;</w:t>
      </w:r>
    </w:p>
    <w:p w:rsidR="004F47BB" w:rsidRPr="004F47BB" w:rsidRDefault="004F47BB" w:rsidP="004F47BB">
      <w:pPr>
        <w:widowControl w:val="0"/>
        <w:autoSpaceDE/>
        <w:autoSpaceDN/>
        <w:spacing w:before="60" w:line="240" w:lineRule="atLeast"/>
        <w:ind w:left="992"/>
        <w:rPr>
          <w:rFonts w:cs="Arial"/>
          <w:szCs w:val="20"/>
        </w:rPr>
      </w:pPr>
      <w:r>
        <w:t>-</w:t>
      </w:r>
      <w:r>
        <w:tab/>
        <w:t>sistemi video; e</w:t>
      </w:r>
    </w:p>
    <w:p w:rsidR="004F47BB" w:rsidRPr="004F47BB" w:rsidRDefault="004F47BB" w:rsidP="004F47BB">
      <w:pPr>
        <w:widowControl w:val="0"/>
        <w:autoSpaceDE/>
        <w:autoSpaceDN/>
        <w:spacing w:before="60" w:line="240" w:lineRule="atLeast"/>
        <w:ind w:left="992"/>
        <w:rPr>
          <w:rFonts w:cs="Arial"/>
          <w:szCs w:val="20"/>
        </w:rPr>
      </w:pPr>
      <w:r>
        <w:t>-</w:t>
      </w:r>
      <w:r>
        <w:tab/>
        <w:t>sistemi radar.</w:t>
      </w:r>
    </w:p>
    <w:p w:rsidR="004F47BB" w:rsidRPr="004F47BB" w:rsidRDefault="004F47BB" w:rsidP="004F47BB">
      <w:pPr>
        <w:widowControl w:val="0"/>
        <w:autoSpaceDE/>
        <w:autoSpaceDN/>
        <w:spacing w:line="240" w:lineRule="atLeast"/>
        <w:ind w:left="567" w:hanging="27"/>
        <w:rPr>
          <w:rFonts w:cs="Arial"/>
          <w:b/>
          <w:bCs/>
          <w:szCs w:val="20"/>
        </w:rPr>
      </w:pPr>
    </w:p>
    <w:p w:rsidR="004F47BB" w:rsidRPr="004F47BB" w:rsidRDefault="004F47BB" w:rsidP="004F47BB">
      <w:pPr>
        <w:widowControl w:val="0"/>
        <w:autoSpaceDE/>
        <w:autoSpaceDN/>
        <w:spacing w:line="240" w:lineRule="atLeast"/>
        <w:ind w:left="567" w:firstLine="0"/>
        <w:rPr>
          <w:rFonts w:cs="Arial"/>
          <w:szCs w:val="20"/>
        </w:rPr>
      </w:pPr>
      <w:r>
        <w:t>I dispositivi ausiliari che soddisfano la parte 4 della presente istruzione amministrativa sono adatti per l'osservazione di zona di non visibilità purché rispettino le specifiche condizioni d'uso. La commissione di ispezione consentirà l'impiego di altri dispositivi ausiliari soltanto qualora ritenga che offrano un grado di sicurezza paragonabile.</w:t>
      </w:r>
    </w:p>
    <w:p w:rsidR="004F47BB" w:rsidRPr="004F47BB" w:rsidRDefault="004F47BB" w:rsidP="004F47BB">
      <w:pPr>
        <w:widowControl w:val="0"/>
        <w:autoSpaceDE/>
        <w:autoSpaceDN/>
        <w:spacing w:line="240" w:lineRule="atLeast"/>
        <w:ind w:left="567" w:firstLine="0"/>
        <w:jc w:val="left"/>
        <w:rPr>
          <w:rFonts w:cs="Arial"/>
          <w:szCs w:val="20"/>
        </w:rPr>
      </w:pPr>
    </w:p>
    <w:p w:rsidR="004F47BB" w:rsidRPr="004F47BB" w:rsidRDefault="004F47BB" w:rsidP="004F47BB">
      <w:pPr>
        <w:widowControl w:val="0"/>
        <w:autoSpaceDE/>
        <w:autoSpaceDN/>
        <w:spacing w:line="240" w:lineRule="atLeast"/>
        <w:ind w:left="0" w:firstLine="0"/>
        <w:rPr>
          <w:rFonts w:cs="Arial"/>
          <w:b/>
          <w:bCs/>
          <w:szCs w:val="20"/>
        </w:rPr>
      </w:pPr>
    </w:p>
    <w:p w:rsidR="004F47BB" w:rsidRPr="004F47BB" w:rsidRDefault="004F47BB" w:rsidP="004F47BB">
      <w:pPr>
        <w:autoSpaceDE/>
        <w:autoSpaceDN/>
        <w:ind w:left="0" w:firstLine="0"/>
        <w:jc w:val="left"/>
        <w:rPr>
          <w:b/>
          <w:szCs w:val="20"/>
        </w:rPr>
      </w:pPr>
      <w:r>
        <w:br w:type="page"/>
      </w:r>
    </w:p>
    <w:p w:rsidR="004F47BB" w:rsidRPr="004F47BB" w:rsidRDefault="004F47BB" w:rsidP="004F47BB">
      <w:pPr>
        <w:widowControl w:val="0"/>
        <w:autoSpaceDE/>
        <w:autoSpaceDN/>
        <w:spacing w:line="250" w:lineRule="atLeast"/>
        <w:ind w:left="567" w:hanging="567"/>
        <w:rPr>
          <w:b/>
          <w:szCs w:val="20"/>
        </w:rPr>
      </w:pPr>
    </w:p>
    <w:p w:rsidR="004F47BB" w:rsidRPr="004F47BB" w:rsidRDefault="004F47BB" w:rsidP="004F47BB">
      <w:pPr>
        <w:widowControl w:val="0"/>
        <w:autoSpaceDE/>
        <w:autoSpaceDN/>
        <w:spacing w:line="250" w:lineRule="atLeast"/>
        <w:ind w:left="567" w:hanging="567"/>
        <w:rPr>
          <w:rFonts w:cs="Arial"/>
          <w:b/>
          <w:bCs/>
          <w:szCs w:val="20"/>
        </w:rPr>
      </w:pPr>
      <w:r>
        <w:rPr>
          <w:b/>
        </w:rPr>
        <w:t>3.</w:t>
      </w:r>
      <w:r>
        <w:tab/>
      </w:r>
      <w:r>
        <w:rPr>
          <w:b/>
        </w:rPr>
        <w:t>Caratteristiche dei dispositivi tecnici ausiliari</w:t>
      </w:r>
    </w:p>
    <w:p w:rsidR="004F47BB" w:rsidRPr="004F47BB" w:rsidRDefault="004F47BB" w:rsidP="004F47BB">
      <w:pPr>
        <w:widowControl w:val="0"/>
        <w:autoSpaceDE/>
        <w:autoSpaceDN/>
        <w:spacing w:line="250" w:lineRule="atLeast"/>
        <w:ind w:left="567" w:hanging="567"/>
        <w:rPr>
          <w:rFonts w:cs="Arial"/>
          <w:b/>
          <w:bCs/>
          <w:szCs w:val="20"/>
        </w:rPr>
      </w:pPr>
    </w:p>
    <w:p w:rsidR="004F47BB" w:rsidRPr="004F47BB" w:rsidRDefault="004F47BB" w:rsidP="004F47BB">
      <w:pPr>
        <w:widowControl w:val="0"/>
        <w:autoSpaceDE/>
        <w:autoSpaceDN/>
        <w:spacing w:line="250" w:lineRule="atLeast"/>
        <w:ind w:left="567" w:hanging="567"/>
        <w:rPr>
          <w:rFonts w:cs="Arial"/>
          <w:b/>
          <w:bCs/>
          <w:szCs w:val="20"/>
        </w:rPr>
      </w:pPr>
      <w:r>
        <w:rPr>
          <w:b/>
        </w:rPr>
        <w:t>3.1</w:t>
      </w:r>
      <w:r>
        <w:tab/>
      </w:r>
      <w:r>
        <w:rPr>
          <w:b/>
        </w:rPr>
        <w:t>Caratteristiche degli specchi</w:t>
      </w:r>
    </w:p>
    <w:p w:rsidR="004F47BB" w:rsidRPr="004F47BB" w:rsidRDefault="004F47BB" w:rsidP="004F47BB">
      <w:pPr>
        <w:widowControl w:val="0"/>
        <w:autoSpaceDE/>
        <w:autoSpaceDN/>
        <w:spacing w:line="250" w:lineRule="atLeast"/>
        <w:ind w:left="0" w:firstLine="0"/>
        <w:rPr>
          <w:rFonts w:cs="Arial"/>
          <w:b/>
          <w:szCs w:val="20"/>
        </w:rPr>
      </w:pPr>
    </w:p>
    <w:p w:rsidR="004F47BB" w:rsidRPr="004F47BB" w:rsidRDefault="004F47BB" w:rsidP="004F47BB">
      <w:pPr>
        <w:widowControl w:val="0"/>
        <w:autoSpaceDE/>
        <w:autoSpaceDN/>
        <w:spacing w:line="250" w:lineRule="atLeast"/>
        <w:ind w:left="567" w:firstLine="0"/>
        <w:rPr>
          <w:rFonts w:cs="Arial"/>
          <w:szCs w:val="20"/>
        </w:rPr>
      </w:pPr>
      <w:r>
        <w:t xml:space="preserve">In linea di principio, gli specchi fungono contemporaneamente da sensori e sistemi di visualizzazione. Riflettono la luce incidente secondo la legge: "angolo di incidenza = angolo di riflessione" e consentono l'osservazione indiretta del settore desiderato deviando il campo visivo del timoniere. Sono utilizzati principalmente per la visualizzazione delle zone dei ponti laterali. </w:t>
      </w:r>
    </w:p>
    <w:p w:rsidR="004F47BB" w:rsidRPr="004F47BB" w:rsidRDefault="004F47BB" w:rsidP="004F47BB">
      <w:pPr>
        <w:widowControl w:val="0"/>
        <w:autoSpaceDE/>
        <w:autoSpaceDN/>
        <w:spacing w:line="250" w:lineRule="atLeast"/>
        <w:ind w:left="567" w:firstLine="0"/>
        <w:rPr>
          <w:rFonts w:cs="Arial"/>
          <w:szCs w:val="20"/>
        </w:rPr>
      </w:pPr>
    </w:p>
    <w:p w:rsidR="004F47BB" w:rsidRPr="004F47BB" w:rsidRDefault="004F47BB" w:rsidP="004F47BB">
      <w:pPr>
        <w:widowControl w:val="0"/>
        <w:autoSpaceDE/>
        <w:autoSpaceDN/>
        <w:spacing w:line="250" w:lineRule="atLeast"/>
        <w:ind w:left="567" w:firstLine="0"/>
        <w:rPr>
          <w:rFonts w:cs="Arial"/>
          <w:szCs w:val="20"/>
        </w:rPr>
      </w:pPr>
      <w:r>
        <w:t>Ricorrendo a specchi piani l'angolo al centro del campo visivo rimane invariato; gli specchi convessi invece lo aumentano. Gli specchi non funzionano al buio e possono abbagliare se colpiti dalla luce diretta del sole.</w:t>
      </w:r>
    </w:p>
    <w:p w:rsidR="004F47BB" w:rsidRPr="004F47BB" w:rsidRDefault="004F47BB" w:rsidP="004F47BB">
      <w:pPr>
        <w:widowControl w:val="0"/>
        <w:autoSpaceDE/>
        <w:autoSpaceDN/>
        <w:spacing w:line="250" w:lineRule="atLeast"/>
        <w:ind w:left="567" w:firstLine="0"/>
        <w:rPr>
          <w:rFonts w:cs="Arial"/>
          <w:szCs w:val="20"/>
        </w:rPr>
      </w:pPr>
    </w:p>
    <w:p w:rsidR="004F47BB" w:rsidRPr="004F47BB" w:rsidRDefault="004F47BB" w:rsidP="004F47BB">
      <w:pPr>
        <w:widowControl w:val="0"/>
        <w:autoSpaceDE/>
        <w:autoSpaceDN/>
        <w:spacing w:line="250" w:lineRule="atLeast"/>
        <w:ind w:left="567" w:firstLine="0"/>
        <w:rPr>
          <w:rFonts w:cs="Arial"/>
          <w:szCs w:val="20"/>
        </w:rPr>
      </w:pPr>
      <w:r>
        <w:t>In generale, gli specchi utilizzati per la navigazione interna sono prodotti di serie progettati per autobus e mezzi pesanti, le cui caratteristiche sono adatte ai fini della navigazione.</w:t>
      </w:r>
    </w:p>
    <w:p w:rsidR="004F47BB" w:rsidRPr="004F47BB" w:rsidRDefault="004F47BB" w:rsidP="004F47BB">
      <w:pPr>
        <w:widowControl w:val="0"/>
        <w:autoSpaceDE/>
        <w:autoSpaceDN/>
        <w:spacing w:line="250" w:lineRule="atLeast"/>
        <w:ind w:left="567" w:firstLine="0"/>
        <w:rPr>
          <w:rFonts w:cs="Arial"/>
          <w:szCs w:val="20"/>
        </w:rPr>
      </w:pPr>
      <w:r>
        <w:t>In condizioni ideali (alta qualità, assenza di incrostazioni), la risoluzione di un'immagine fornita da uno specchio è limitata dalla risoluzione dell'occhio dell'osservatore.</w:t>
      </w:r>
    </w:p>
    <w:p w:rsidR="004F47BB" w:rsidRPr="004F47BB" w:rsidRDefault="004F47BB" w:rsidP="004F47BB">
      <w:pPr>
        <w:widowControl w:val="0"/>
        <w:autoSpaceDE/>
        <w:autoSpaceDN/>
        <w:spacing w:line="250" w:lineRule="atLeast"/>
        <w:ind w:left="0" w:firstLine="0"/>
        <w:rPr>
          <w:rFonts w:cs="Arial"/>
          <w:szCs w:val="20"/>
        </w:rPr>
      </w:pPr>
    </w:p>
    <w:p w:rsidR="004F47BB" w:rsidRPr="004F47BB" w:rsidRDefault="004F47BB" w:rsidP="004F47BB">
      <w:pPr>
        <w:widowControl w:val="0"/>
        <w:tabs>
          <w:tab w:val="left" w:pos="540"/>
        </w:tabs>
        <w:autoSpaceDE/>
        <w:autoSpaceDN/>
        <w:spacing w:line="250" w:lineRule="atLeast"/>
        <w:ind w:left="0" w:firstLine="0"/>
        <w:rPr>
          <w:rFonts w:cs="Arial"/>
          <w:b/>
          <w:szCs w:val="20"/>
        </w:rPr>
      </w:pPr>
      <w:r>
        <w:rPr>
          <w:b/>
        </w:rPr>
        <w:t>3.2</w:t>
      </w:r>
      <w:r>
        <w:tab/>
      </w:r>
      <w:r>
        <w:rPr>
          <w:b/>
        </w:rPr>
        <w:t>Caratteristiche dei sistemi video</w:t>
      </w:r>
    </w:p>
    <w:p w:rsidR="004F47BB" w:rsidRPr="004F47BB" w:rsidRDefault="004F47BB" w:rsidP="004F47BB">
      <w:pPr>
        <w:widowControl w:val="0"/>
        <w:autoSpaceDE/>
        <w:autoSpaceDN/>
        <w:spacing w:line="250" w:lineRule="atLeast"/>
        <w:ind w:left="0" w:firstLine="0"/>
        <w:rPr>
          <w:rFonts w:cs="Arial"/>
          <w:b/>
          <w:szCs w:val="20"/>
        </w:rPr>
      </w:pPr>
    </w:p>
    <w:p w:rsidR="004F47BB" w:rsidRPr="004F47BB" w:rsidRDefault="004F47BB" w:rsidP="004F47BB">
      <w:pPr>
        <w:widowControl w:val="0"/>
        <w:autoSpaceDE/>
        <w:autoSpaceDN/>
        <w:spacing w:line="250" w:lineRule="atLeast"/>
        <w:ind w:left="567" w:firstLine="0"/>
        <w:rPr>
          <w:rFonts w:cs="Arial"/>
          <w:szCs w:val="20"/>
        </w:rPr>
      </w:pPr>
      <w:r>
        <w:t xml:space="preserve">Grazie all'elevata frequenza di ripetizione, i sistemi video forniscono un'immagine corrente dell'ambiente così come la vedrebbe un osservatore che si trovasse nel punto in cui è posizionata la telecamera. Includono una videocamera che funge da sensore di immagine e uno schermo </w:t>
      </w:r>
      <w:r>
        <w:rPr>
          <w:i/>
        </w:rPr>
        <w:t>raster</w:t>
      </w:r>
      <w:r>
        <w:t xml:space="preserve"> per la visualizzazione dell'immagine registrata (schermo video).</w:t>
      </w:r>
    </w:p>
    <w:p w:rsidR="004F47BB" w:rsidRPr="004F47BB" w:rsidRDefault="004F47BB" w:rsidP="004F47BB">
      <w:pPr>
        <w:widowControl w:val="0"/>
        <w:autoSpaceDE/>
        <w:autoSpaceDN/>
        <w:spacing w:line="250" w:lineRule="atLeast"/>
        <w:ind w:left="567" w:firstLine="0"/>
        <w:rPr>
          <w:rFonts w:cs="Arial"/>
          <w:szCs w:val="20"/>
        </w:rPr>
      </w:pPr>
    </w:p>
    <w:p w:rsidR="004F47BB" w:rsidRPr="004F47BB" w:rsidRDefault="004F47BB" w:rsidP="004F47BB">
      <w:pPr>
        <w:widowControl w:val="0"/>
        <w:autoSpaceDE/>
        <w:autoSpaceDN/>
        <w:spacing w:line="250" w:lineRule="atLeast"/>
        <w:ind w:left="567" w:firstLine="0"/>
        <w:rPr>
          <w:rFonts w:cs="Arial"/>
          <w:szCs w:val="20"/>
        </w:rPr>
      </w:pPr>
      <w:r>
        <w:t>Per la trasmissione del segnale tra la telecamera e lo schermo è sufficiente un semplice collegamento elettrico. Tramite il cavo di trasmissione del segnale è possibile fornire anche l'alimentazione.</w:t>
      </w:r>
    </w:p>
    <w:p w:rsidR="004F47BB" w:rsidRPr="004F47BB" w:rsidRDefault="004F47BB" w:rsidP="004F47BB">
      <w:pPr>
        <w:widowControl w:val="0"/>
        <w:autoSpaceDE/>
        <w:autoSpaceDN/>
        <w:spacing w:line="250" w:lineRule="atLeast"/>
        <w:ind w:left="567" w:firstLine="0"/>
        <w:rPr>
          <w:rFonts w:cs="Arial"/>
          <w:szCs w:val="20"/>
        </w:rPr>
      </w:pPr>
    </w:p>
    <w:p w:rsidR="004F47BB" w:rsidRPr="004F47BB" w:rsidRDefault="004F47BB" w:rsidP="004F47BB">
      <w:pPr>
        <w:widowControl w:val="0"/>
        <w:autoSpaceDE/>
        <w:autoSpaceDN/>
        <w:spacing w:line="250" w:lineRule="atLeast"/>
        <w:ind w:left="567" w:firstLine="0"/>
        <w:rPr>
          <w:rFonts w:cs="Arial"/>
          <w:szCs w:val="20"/>
        </w:rPr>
      </w:pPr>
      <w:r>
        <w:t>Le telecamere possono funzionare con una lunghezza focale fissa o variabile (zoom) e possono essere installate in posizione fissa o su una testa orientabile e inclinabile.</w:t>
      </w:r>
    </w:p>
    <w:p w:rsidR="004F47BB" w:rsidRPr="004F47BB" w:rsidRDefault="004F47BB" w:rsidP="004F47BB">
      <w:pPr>
        <w:widowControl w:val="0"/>
        <w:autoSpaceDE/>
        <w:autoSpaceDN/>
        <w:spacing w:line="250" w:lineRule="atLeast"/>
        <w:ind w:left="567" w:firstLine="0"/>
        <w:rPr>
          <w:rFonts w:cs="Arial"/>
          <w:szCs w:val="20"/>
        </w:rPr>
      </w:pPr>
    </w:p>
    <w:p w:rsidR="004F47BB" w:rsidRPr="004F47BB" w:rsidRDefault="004F47BB" w:rsidP="004F47BB">
      <w:pPr>
        <w:widowControl w:val="0"/>
        <w:autoSpaceDE/>
        <w:autoSpaceDN/>
        <w:spacing w:line="250" w:lineRule="atLeast"/>
        <w:ind w:left="567" w:firstLine="0"/>
        <w:rPr>
          <w:rFonts w:cs="Arial"/>
          <w:szCs w:val="20"/>
        </w:rPr>
      </w:pPr>
      <w:r>
        <w:t>Le immagini ottenute dalle telecamere (obiettivo singolo) vengono acquisite e visualizzate centralmente su schermi come se fossero percepite dall'occhio umano. Una delle principali debolezze della prospettiva centrale è l'impossibilità di determinare il campo delle immagini visualizzate. Questo effetto è molto evidente con le immagini acquisite utilizzando teleobiettivi (lunghezza focale lunga).</w:t>
      </w:r>
    </w:p>
    <w:p w:rsidR="004F47BB" w:rsidRPr="004F47BB" w:rsidRDefault="004F47BB" w:rsidP="004F47BB">
      <w:pPr>
        <w:widowControl w:val="0"/>
        <w:autoSpaceDE/>
        <w:autoSpaceDN/>
        <w:spacing w:line="250" w:lineRule="atLeast"/>
        <w:ind w:left="567" w:firstLine="0"/>
        <w:rPr>
          <w:rFonts w:cs="Arial"/>
          <w:szCs w:val="20"/>
        </w:rPr>
      </w:pPr>
    </w:p>
    <w:p w:rsidR="004F47BB" w:rsidRPr="004F47BB" w:rsidRDefault="004F47BB" w:rsidP="004F47BB">
      <w:pPr>
        <w:widowControl w:val="0"/>
        <w:autoSpaceDE/>
        <w:autoSpaceDN/>
        <w:spacing w:line="250" w:lineRule="atLeast"/>
        <w:ind w:left="567" w:firstLine="0"/>
        <w:rPr>
          <w:rFonts w:cs="Arial"/>
          <w:szCs w:val="20"/>
        </w:rPr>
      </w:pPr>
      <w:r>
        <w:t>Questo è il motivo per cui è necessario adeguare opportunamente la direzione di visualizzazione e il campo di osservazione all'uso richiesto.</w:t>
      </w:r>
    </w:p>
    <w:p w:rsidR="004F47BB" w:rsidRPr="004F47BB" w:rsidRDefault="004F47BB" w:rsidP="004F47BB">
      <w:pPr>
        <w:widowControl w:val="0"/>
        <w:autoSpaceDE/>
        <w:autoSpaceDN/>
        <w:spacing w:line="250" w:lineRule="atLeast"/>
        <w:ind w:left="567" w:firstLine="0"/>
        <w:rPr>
          <w:rFonts w:cs="Arial"/>
          <w:szCs w:val="20"/>
        </w:rPr>
      </w:pPr>
    </w:p>
    <w:p w:rsidR="004F47BB" w:rsidRPr="004F47BB" w:rsidRDefault="004F47BB" w:rsidP="004F47BB">
      <w:pPr>
        <w:widowControl w:val="0"/>
        <w:autoSpaceDE/>
        <w:autoSpaceDN/>
        <w:spacing w:line="250" w:lineRule="atLeast"/>
        <w:ind w:left="567" w:firstLine="0"/>
        <w:rPr>
          <w:rFonts w:cs="Arial"/>
          <w:szCs w:val="20"/>
        </w:rPr>
      </w:pPr>
      <w:r>
        <w:t>I sistemi video dipendono dalla presenza di una bassa luminosità ambientale. Forti riflessi sulla superficie dell'acqua e la luce diretta del sole possono rendere l'immagine inutilizzabile.</w:t>
      </w:r>
    </w:p>
    <w:p w:rsidR="004F47BB" w:rsidRPr="004F47BB" w:rsidRDefault="004F47BB" w:rsidP="004F47BB">
      <w:pPr>
        <w:widowControl w:val="0"/>
        <w:autoSpaceDE/>
        <w:autoSpaceDN/>
        <w:spacing w:line="250" w:lineRule="atLeast"/>
        <w:ind w:left="567" w:firstLine="0"/>
        <w:rPr>
          <w:rFonts w:cs="Arial"/>
          <w:szCs w:val="20"/>
        </w:rPr>
      </w:pPr>
    </w:p>
    <w:p w:rsidR="004F47BB" w:rsidRPr="004F47BB" w:rsidRDefault="004F47BB" w:rsidP="004F47BB">
      <w:pPr>
        <w:widowControl w:val="0"/>
        <w:autoSpaceDE/>
        <w:autoSpaceDN/>
        <w:spacing w:line="250" w:lineRule="atLeast"/>
        <w:ind w:left="567" w:firstLine="0"/>
        <w:rPr>
          <w:rFonts w:cs="Arial"/>
          <w:szCs w:val="20"/>
        </w:rPr>
      </w:pPr>
      <w:r>
        <w:t>Le caratteristiche tecniche dello schermo (dimensioni dell'immagine, risoluzione, luminosità) dipendono dall'uso richiesto.</w:t>
      </w:r>
    </w:p>
    <w:p w:rsidR="004F47BB" w:rsidRPr="004F47BB" w:rsidRDefault="004F47BB" w:rsidP="004F47BB">
      <w:pPr>
        <w:widowControl w:val="0"/>
        <w:autoSpaceDE/>
        <w:autoSpaceDN/>
        <w:spacing w:line="250" w:lineRule="atLeast"/>
        <w:ind w:left="567" w:firstLine="0"/>
        <w:rPr>
          <w:rFonts w:cs="Arial"/>
          <w:szCs w:val="20"/>
        </w:rPr>
      </w:pPr>
    </w:p>
    <w:p w:rsidR="004F47BB" w:rsidRPr="004F47BB" w:rsidRDefault="004F47BB" w:rsidP="004F47BB">
      <w:pPr>
        <w:widowControl w:val="0"/>
        <w:autoSpaceDE/>
        <w:autoSpaceDN/>
        <w:spacing w:line="250" w:lineRule="atLeast"/>
        <w:ind w:left="567" w:firstLine="0"/>
        <w:rPr>
          <w:rFonts w:cs="Arial"/>
          <w:szCs w:val="20"/>
        </w:rPr>
      </w:pPr>
      <w:r>
        <w:t>La risoluzione dell'immagine è determinata dal numero di pixel del sensore di immagine presente nella telecamera e dal numero di pixel (e dalla larghezza di banda del segnale video) dello schermo. Anche un buon sistema video commerciale non equivale del tutto alla massima risoluzione dell'occhio umano.</w:t>
      </w:r>
    </w:p>
    <w:p w:rsidR="004F47BB" w:rsidRPr="004F47BB" w:rsidRDefault="004F47BB" w:rsidP="004F47BB">
      <w:pPr>
        <w:widowControl w:val="0"/>
        <w:autoSpaceDE/>
        <w:autoSpaceDN/>
        <w:spacing w:line="250" w:lineRule="atLeast"/>
        <w:ind w:left="0" w:firstLine="0"/>
        <w:rPr>
          <w:rFonts w:cs="Arial"/>
          <w:szCs w:val="20"/>
        </w:rPr>
      </w:pPr>
    </w:p>
    <w:p w:rsidR="004F47BB" w:rsidRPr="004F47BB" w:rsidRDefault="004F47BB" w:rsidP="004F47BB">
      <w:pPr>
        <w:widowControl w:val="0"/>
        <w:tabs>
          <w:tab w:val="left" w:pos="540"/>
        </w:tabs>
        <w:autoSpaceDE/>
        <w:autoSpaceDN/>
        <w:spacing w:line="250" w:lineRule="atLeast"/>
        <w:ind w:left="0" w:firstLine="0"/>
        <w:rPr>
          <w:rFonts w:cs="Arial"/>
          <w:b/>
          <w:szCs w:val="20"/>
        </w:rPr>
      </w:pPr>
    </w:p>
    <w:p w:rsidR="004F47BB" w:rsidRPr="004F47BB" w:rsidRDefault="004F47BB" w:rsidP="004F47BB">
      <w:pPr>
        <w:autoSpaceDE/>
        <w:autoSpaceDN/>
        <w:ind w:left="0" w:firstLine="0"/>
        <w:jc w:val="left"/>
        <w:rPr>
          <w:b/>
          <w:szCs w:val="20"/>
        </w:rPr>
      </w:pPr>
      <w:r>
        <w:br w:type="page"/>
      </w:r>
    </w:p>
    <w:p w:rsidR="004F47BB" w:rsidRPr="004F47BB" w:rsidRDefault="004F47BB" w:rsidP="004F47BB">
      <w:pPr>
        <w:widowControl w:val="0"/>
        <w:tabs>
          <w:tab w:val="left" w:pos="540"/>
        </w:tabs>
        <w:autoSpaceDE/>
        <w:autoSpaceDN/>
        <w:spacing w:line="240" w:lineRule="atLeast"/>
        <w:ind w:left="0" w:firstLine="0"/>
        <w:rPr>
          <w:rFonts w:cs="Arial"/>
          <w:b/>
          <w:szCs w:val="20"/>
        </w:rPr>
      </w:pPr>
      <w:r>
        <w:rPr>
          <w:b/>
        </w:rPr>
        <w:lastRenderedPageBreak/>
        <w:t>3.3</w:t>
      </w:r>
      <w:r>
        <w:tab/>
      </w:r>
      <w:r>
        <w:rPr>
          <w:b/>
        </w:rPr>
        <w:t>Caratteristiche dei sistemi radar</w:t>
      </w:r>
    </w:p>
    <w:p w:rsidR="004F47BB" w:rsidRPr="004F47BB" w:rsidRDefault="004F47BB" w:rsidP="004F47BB">
      <w:pPr>
        <w:widowControl w:val="0"/>
        <w:autoSpaceDE/>
        <w:autoSpaceDN/>
        <w:spacing w:line="240" w:lineRule="atLeast"/>
        <w:ind w:left="0" w:firstLine="567"/>
        <w:rPr>
          <w:rFonts w:cs="Arial"/>
          <w:b/>
          <w:szCs w:val="20"/>
        </w:rPr>
      </w:pPr>
    </w:p>
    <w:p w:rsidR="004F47BB" w:rsidRPr="004F47BB" w:rsidRDefault="004F47BB" w:rsidP="004F47BB">
      <w:pPr>
        <w:widowControl w:val="0"/>
        <w:autoSpaceDE/>
        <w:autoSpaceDN/>
        <w:spacing w:line="240" w:lineRule="atLeast"/>
        <w:ind w:left="567" w:firstLine="0"/>
        <w:rPr>
          <w:rFonts w:cs="Arial"/>
          <w:szCs w:val="20"/>
        </w:rPr>
      </w:pPr>
      <w:r>
        <w:t>I sistemi radar sono dotati di un sensore (un'antenna girevole provvista di trasmettitore e ricevitore) e di un dispositivo di visualizzazione. Il sensore utilizza un'antenna che ruota orizzontalmente per "illuminare" settori radiali ristretti con impulsi a microonde, acquisisce gli echi restituiti da oggetti riflettenti e quindi li visualizza su uno schermo che ne indica la distanza e la rotta. In questo modo viene creata un'immagine in scala dell'ambiente rispetto alla direzione della nave. Tale immagine consente di individuare oggetti entro un raggio di 15 m e più con una risoluzione di circa 5 m, nonché la loro rotta con un'approssimazione pari a circa 0,5°.</w:t>
      </w:r>
    </w:p>
    <w:p w:rsidR="004F47BB" w:rsidRPr="004F47BB" w:rsidRDefault="004F47BB" w:rsidP="004F47BB">
      <w:pPr>
        <w:widowControl w:val="0"/>
        <w:autoSpaceDE/>
        <w:autoSpaceDN/>
        <w:spacing w:line="240" w:lineRule="atLeast"/>
        <w:ind w:left="567" w:firstLine="0"/>
        <w:rPr>
          <w:rFonts w:cs="Arial"/>
          <w:szCs w:val="20"/>
        </w:rPr>
      </w:pPr>
    </w:p>
    <w:p w:rsidR="004F47BB" w:rsidRPr="004F47BB" w:rsidRDefault="004F47BB" w:rsidP="004F47BB">
      <w:pPr>
        <w:widowControl w:val="0"/>
        <w:autoSpaceDE/>
        <w:autoSpaceDN/>
        <w:spacing w:line="240" w:lineRule="atLeast"/>
        <w:ind w:left="567" w:firstLine="0"/>
        <w:rPr>
          <w:rFonts w:cs="Arial"/>
          <w:szCs w:val="20"/>
        </w:rPr>
      </w:pPr>
      <w:r>
        <w:t>Poiché gli impulsi radar funzionano sfruttando i propri impulsi di trasmissione, a differenza degli altri dispositivi tecnici ausiliari di cui sopra, non dipendono dall'esistenza di una determinata luminosità ambientale.</w:t>
      </w:r>
    </w:p>
    <w:p w:rsidR="004F47BB" w:rsidRPr="004F47BB" w:rsidRDefault="004F47BB" w:rsidP="004F47BB">
      <w:pPr>
        <w:widowControl w:val="0"/>
        <w:autoSpaceDE/>
        <w:autoSpaceDN/>
        <w:spacing w:line="240" w:lineRule="atLeast"/>
        <w:ind w:left="567" w:firstLine="0"/>
        <w:rPr>
          <w:rFonts w:cs="Arial"/>
          <w:szCs w:val="20"/>
        </w:rPr>
      </w:pPr>
    </w:p>
    <w:p w:rsidR="004F47BB" w:rsidRPr="004F47BB" w:rsidRDefault="004F47BB" w:rsidP="004F47BB">
      <w:pPr>
        <w:widowControl w:val="0"/>
        <w:autoSpaceDE/>
        <w:autoSpaceDN/>
        <w:spacing w:line="240" w:lineRule="atLeast"/>
        <w:ind w:left="567" w:firstLine="0"/>
        <w:rPr>
          <w:rFonts w:cs="Arial"/>
          <w:szCs w:val="20"/>
        </w:rPr>
      </w:pPr>
      <w:r>
        <w:t xml:space="preserve">Tuttavia, possono soltanto rilevare e determinare la posizione di oggetti riflettenti e generare un'immagine dell'ambiente che assomiglia a una mappa, raffigurante fedelmente la direzione e la distanza. I sistemi radar non sono inoltre in grado di rilevare e visualizzare dettagli dell'oggetto che ne renderebbero possibile l'identificazione. </w:t>
      </w:r>
    </w:p>
    <w:p w:rsidR="004F47BB" w:rsidRPr="004F47BB" w:rsidRDefault="004F47BB" w:rsidP="004F47BB">
      <w:pPr>
        <w:widowControl w:val="0"/>
        <w:autoSpaceDE/>
        <w:autoSpaceDN/>
        <w:spacing w:line="240" w:lineRule="atLeast"/>
        <w:ind w:left="567" w:hanging="567"/>
        <w:rPr>
          <w:rFonts w:cs="Arial"/>
          <w:b/>
          <w:szCs w:val="20"/>
        </w:rPr>
      </w:pPr>
    </w:p>
    <w:p w:rsidR="004F47BB" w:rsidRPr="004F47BB" w:rsidRDefault="004F47BB" w:rsidP="004F47BB">
      <w:pPr>
        <w:widowControl w:val="0"/>
        <w:autoSpaceDE/>
        <w:autoSpaceDN/>
        <w:spacing w:line="240" w:lineRule="atLeast"/>
        <w:ind w:left="567" w:hanging="567"/>
        <w:rPr>
          <w:rFonts w:cs="Arial"/>
          <w:b/>
          <w:szCs w:val="20"/>
        </w:rPr>
      </w:pPr>
      <w:r>
        <w:rPr>
          <w:b/>
        </w:rPr>
        <w:t>4.</w:t>
      </w:r>
      <w:r>
        <w:tab/>
      </w:r>
      <w:r>
        <w:rPr>
          <w:b/>
        </w:rPr>
        <w:t>Mezzi ausiliari adeguati per osservare la zona di non visibilità</w:t>
      </w:r>
    </w:p>
    <w:p w:rsidR="004F47BB" w:rsidRPr="004F47BB" w:rsidRDefault="004F47BB" w:rsidP="004F47BB">
      <w:pPr>
        <w:widowControl w:val="0"/>
        <w:autoSpaceDE/>
        <w:autoSpaceDN/>
        <w:spacing w:line="240" w:lineRule="atLeast"/>
        <w:ind w:left="0" w:firstLine="0"/>
        <w:rPr>
          <w:rFonts w:cs="Arial"/>
          <w:szCs w:val="20"/>
        </w:rPr>
      </w:pPr>
    </w:p>
    <w:p w:rsidR="004F47BB" w:rsidRPr="004F47BB" w:rsidRDefault="004F47BB" w:rsidP="004F47BB">
      <w:pPr>
        <w:widowControl w:val="0"/>
        <w:autoSpaceDE/>
        <w:autoSpaceDN/>
        <w:spacing w:line="240" w:lineRule="atLeast"/>
        <w:ind w:left="567" w:hanging="567"/>
        <w:rPr>
          <w:rFonts w:cs="Arial"/>
          <w:b/>
          <w:szCs w:val="20"/>
        </w:rPr>
      </w:pPr>
      <w:r>
        <w:rPr>
          <w:b/>
        </w:rPr>
        <w:t>4.1</w:t>
      </w:r>
      <w:r>
        <w:tab/>
      </w:r>
      <w:r>
        <w:rPr>
          <w:b/>
        </w:rPr>
        <w:t>Specchi</w:t>
      </w:r>
    </w:p>
    <w:p w:rsidR="004F47BB" w:rsidRPr="004F47BB" w:rsidRDefault="004F47BB" w:rsidP="004F47BB">
      <w:pPr>
        <w:widowControl w:val="0"/>
        <w:autoSpaceDE/>
        <w:autoSpaceDN/>
        <w:spacing w:before="60" w:line="240" w:lineRule="atLeast"/>
        <w:ind w:left="992"/>
        <w:rPr>
          <w:rFonts w:cs="Arial"/>
          <w:szCs w:val="20"/>
        </w:rPr>
      </w:pPr>
      <w:r>
        <w:t>1.</w:t>
      </w:r>
      <w:r>
        <w:tab/>
        <w:t>Forma</w:t>
      </w:r>
    </w:p>
    <w:p w:rsidR="004F47BB" w:rsidRPr="004F47BB" w:rsidRDefault="004F47BB" w:rsidP="004F47BB">
      <w:pPr>
        <w:widowControl w:val="0"/>
        <w:autoSpaceDE/>
        <w:autoSpaceDN/>
        <w:spacing w:line="240" w:lineRule="atLeast"/>
        <w:ind w:left="992" w:firstLine="0"/>
        <w:rPr>
          <w:rFonts w:cs="Arial"/>
          <w:szCs w:val="20"/>
        </w:rPr>
      </w:pPr>
      <w:r>
        <w:t xml:space="preserve">La forma dello specchio dipende dalla forma della zona da osservare. Specchi rettangolari si prestano all'osservazione dei ponti laterali. </w:t>
      </w:r>
    </w:p>
    <w:p w:rsidR="004F47BB" w:rsidRPr="004F47BB" w:rsidRDefault="004F47BB" w:rsidP="004F47BB">
      <w:pPr>
        <w:widowControl w:val="0"/>
        <w:autoSpaceDE/>
        <w:autoSpaceDN/>
        <w:spacing w:before="60" w:line="240" w:lineRule="atLeast"/>
        <w:ind w:left="992"/>
        <w:rPr>
          <w:rFonts w:cs="Arial"/>
          <w:szCs w:val="20"/>
        </w:rPr>
      </w:pPr>
      <w:r>
        <w:t>2.</w:t>
      </w:r>
      <w:r>
        <w:tab/>
        <w:t>Dimensione</w:t>
      </w:r>
    </w:p>
    <w:p w:rsidR="004F47BB" w:rsidRPr="004F47BB" w:rsidRDefault="004F47BB" w:rsidP="004F47BB">
      <w:pPr>
        <w:widowControl w:val="0"/>
        <w:autoSpaceDE/>
        <w:autoSpaceDN/>
        <w:spacing w:line="240" w:lineRule="atLeast"/>
        <w:ind w:left="992" w:firstLine="0"/>
        <w:rPr>
          <w:rFonts w:cs="Arial"/>
          <w:szCs w:val="20"/>
        </w:rPr>
      </w:pPr>
      <w:r>
        <w:t>L'area della superficie dello specchio dipende dalla larghezza del settore che si desidera osservare e dalla distanza tra il timoniere e lo specchio.</w:t>
      </w:r>
    </w:p>
    <w:p w:rsidR="004F47BB" w:rsidRPr="004F47BB" w:rsidRDefault="004F47BB" w:rsidP="004F47BB">
      <w:pPr>
        <w:widowControl w:val="0"/>
        <w:autoSpaceDE/>
        <w:autoSpaceDN/>
        <w:spacing w:before="60" w:line="240" w:lineRule="atLeast"/>
        <w:ind w:left="992"/>
        <w:rPr>
          <w:rFonts w:cs="Arial"/>
          <w:szCs w:val="20"/>
        </w:rPr>
      </w:pPr>
      <w:r>
        <w:t>3.</w:t>
      </w:r>
      <w:r>
        <w:tab/>
        <w:t>Qualità</w:t>
      </w:r>
    </w:p>
    <w:p w:rsidR="004F47BB" w:rsidRPr="004F47BB" w:rsidRDefault="004F47BB" w:rsidP="004F47BB">
      <w:pPr>
        <w:widowControl w:val="0"/>
        <w:autoSpaceDE/>
        <w:autoSpaceDN/>
        <w:spacing w:line="240" w:lineRule="atLeast"/>
        <w:ind w:left="992" w:firstLine="0"/>
        <w:rPr>
          <w:rFonts w:cs="Arial"/>
          <w:szCs w:val="20"/>
        </w:rPr>
      </w:pPr>
      <w:r>
        <w:t>Si devono utilizzare prodotti di serie collaudati e provati come quelli impiegati per i veicoli stradali (mezzi pesanti, autobus).</w:t>
      </w:r>
    </w:p>
    <w:p w:rsidR="004F47BB" w:rsidRPr="004F47BB" w:rsidRDefault="004F47BB" w:rsidP="004F47BB">
      <w:pPr>
        <w:widowControl w:val="0"/>
        <w:autoSpaceDE/>
        <w:autoSpaceDN/>
        <w:spacing w:before="60" w:line="240" w:lineRule="atLeast"/>
        <w:ind w:left="992"/>
        <w:rPr>
          <w:rFonts w:cs="Arial"/>
          <w:szCs w:val="20"/>
        </w:rPr>
      </w:pPr>
      <w:r>
        <w:t>4.</w:t>
      </w:r>
      <w:r>
        <w:tab/>
        <w:t>Curvatura</w:t>
      </w:r>
    </w:p>
    <w:p w:rsidR="004F47BB" w:rsidRPr="004F47BB" w:rsidRDefault="004F47BB" w:rsidP="004F47BB">
      <w:pPr>
        <w:widowControl w:val="0"/>
        <w:autoSpaceDE/>
        <w:autoSpaceDN/>
        <w:spacing w:line="240" w:lineRule="atLeast"/>
        <w:ind w:left="992" w:firstLine="0"/>
        <w:rPr>
          <w:rFonts w:cs="Arial"/>
          <w:szCs w:val="20"/>
        </w:rPr>
      </w:pPr>
      <w:r>
        <w:t>Si devono utilizzare specchi piani e non quelli curvi. Laddove ritenuto utile, si possono impiegare anche specchi leggermente curvi.</w:t>
      </w:r>
    </w:p>
    <w:p w:rsidR="004F47BB" w:rsidRPr="004F47BB" w:rsidRDefault="004F47BB" w:rsidP="004F47BB">
      <w:pPr>
        <w:widowControl w:val="0"/>
        <w:autoSpaceDE/>
        <w:autoSpaceDN/>
        <w:spacing w:before="60" w:line="240" w:lineRule="atLeast"/>
        <w:ind w:left="992"/>
        <w:rPr>
          <w:rFonts w:cs="Arial"/>
          <w:szCs w:val="20"/>
        </w:rPr>
      </w:pPr>
      <w:r>
        <w:t>5.</w:t>
      </w:r>
      <w:r>
        <w:tab/>
        <w:t>Staffa di montaggio</w:t>
      </w:r>
    </w:p>
    <w:p w:rsidR="004F47BB" w:rsidRPr="004F47BB" w:rsidRDefault="004F47BB" w:rsidP="004F47BB">
      <w:pPr>
        <w:widowControl w:val="0"/>
        <w:autoSpaceDE/>
        <w:autoSpaceDN/>
        <w:spacing w:line="240" w:lineRule="atLeast"/>
        <w:ind w:left="992" w:firstLine="0"/>
        <w:rPr>
          <w:rFonts w:cs="Arial"/>
          <w:szCs w:val="20"/>
        </w:rPr>
      </w:pPr>
      <w:r>
        <w:t>La staffa di montaggio deve garantire che lo specchio rimanga in una posizione fissa e rigida (senza vibrazioni).</w:t>
      </w:r>
    </w:p>
    <w:p w:rsidR="004F47BB" w:rsidRPr="004F47BB" w:rsidRDefault="004F47BB" w:rsidP="004F47BB">
      <w:pPr>
        <w:widowControl w:val="0"/>
        <w:autoSpaceDE/>
        <w:autoSpaceDN/>
        <w:spacing w:before="60" w:line="240" w:lineRule="atLeast"/>
        <w:ind w:left="992"/>
        <w:rPr>
          <w:rFonts w:cs="Arial"/>
          <w:szCs w:val="20"/>
        </w:rPr>
      </w:pPr>
      <w:r>
        <w:t>6.</w:t>
      </w:r>
      <w:r>
        <w:tab/>
        <w:t>Protezione contro la pioggia</w:t>
      </w:r>
    </w:p>
    <w:p w:rsidR="004F47BB" w:rsidRPr="004F47BB" w:rsidRDefault="004F47BB" w:rsidP="004F47BB">
      <w:pPr>
        <w:widowControl w:val="0"/>
        <w:autoSpaceDE/>
        <w:autoSpaceDN/>
        <w:spacing w:line="240" w:lineRule="atLeast"/>
        <w:ind w:left="992" w:firstLine="0"/>
        <w:rPr>
          <w:rFonts w:cs="Arial"/>
          <w:szCs w:val="20"/>
        </w:rPr>
      </w:pPr>
      <w:r>
        <w:t>Lo specchio va montato in modo tale da proteggerlo dalla pioggia.</w:t>
      </w:r>
    </w:p>
    <w:p w:rsidR="004F47BB" w:rsidRPr="004F47BB" w:rsidRDefault="004F47BB" w:rsidP="004F47BB">
      <w:pPr>
        <w:widowControl w:val="0"/>
        <w:autoSpaceDE/>
        <w:autoSpaceDN/>
        <w:spacing w:before="60" w:line="240" w:lineRule="atLeast"/>
        <w:ind w:left="992"/>
        <w:rPr>
          <w:rFonts w:cs="Arial"/>
          <w:szCs w:val="20"/>
        </w:rPr>
      </w:pPr>
      <w:r>
        <w:t>7.</w:t>
      </w:r>
      <w:r>
        <w:tab/>
        <w:t>Protezione antigelo</w:t>
      </w:r>
    </w:p>
    <w:p w:rsidR="004F47BB" w:rsidRPr="004F47BB" w:rsidRDefault="004F47BB" w:rsidP="004F47BB">
      <w:pPr>
        <w:widowControl w:val="0"/>
        <w:autoSpaceDE/>
        <w:autoSpaceDN/>
        <w:spacing w:line="240" w:lineRule="atLeast"/>
        <w:ind w:left="992" w:firstLine="0"/>
        <w:rPr>
          <w:rFonts w:cs="Arial"/>
          <w:szCs w:val="20"/>
        </w:rPr>
      </w:pPr>
      <w:r>
        <w:t>Evitare l'accumulo di brina sullo specchio.</w:t>
      </w:r>
    </w:p>
    <w:p w:rsidR="004F47BB" w:rsidRPr="004F47BB" w:rsidRDefault="004F47BB" w:rsidP="004F47BB">
      <w:pPr>
        <w:widowControl w:val="0"/>
        <w:autoSpaceDE/>
        <w:autoSpaceDN/>
        <w:spacing w:before="60" w:line="240" w:lineRule="atLeast"/>
        <w:ind w:left="992"/>
        <w:rPr>
          <w:rFonts w:cs="Arial"/>
          <w:szCs w:val="20"/>
        </w:rPr>
      </w:pPr>
      <w:r>
        <w:t>8.</w:t>
      </w:r>
      <w:r>
        <w:tab/>
        <w:t>Posizione di installazione</w:t>
      </w:r>
    </w:p>
    <w:p w:rsidR="004F47BB" w:rsidRPr="004F47BB" w:rsidRDefault="004F47BB" w:rsidP="004F47BB">
      <w:pPr>
        <w:widowControl w:val="0"/>
        <w:autoSpaceDE/>
        <w:autoSpaceDN/>
        <w:spacing w:line="240" w:lineRule="atLeast"/>
        <w:ind w:left="992" w:firstLine="0"/>
        <w:rPr>
          <w:rFonts w:cs="Arial"/>
          <w:szCs w:val="20"/>
        </w:rPr>
      </w:pPr>
      <w:r>
        <w:t xml:space="preserve">Il timoniere deve poter utilizzare lo specchio senza lasciare la sua posizione; deve essere sufficiente che egli dia un'occhiata o giri la testa verso lo specchio. Questo è il motivo per cui i bordi superiori delle paratie esterne (e anche le porte esterne) della timoniera sono punti particolarmente adatti al fissaggio di specchi. Il timoniere deve avere una visuale libera dello specchio. </w:t>
      </w:r>
    </w:p>
    <w:p w:rsidR="004F47BB" w:rsidRPr="004F47BB" w:rsidRDefault="004F47BB" w:rsidP="004F47BB">
      <w:pPr>
        <w:widowControl w:val="0"/>
        <w:autoSpaceDE/>
        <w:autoSpaceDN/>
        <w:spacing w:before="60" w:line="240" w:lineRule="atLeast"/>
        <w:ind w:left="992"/>
        <w:rPr>
          <w:rFonts w:cs="Arial"/>
          <w:szCs w:val="20"/>
        </w:rPr>
      </w:pPr>
      <w:r>
        <w:t>9.</w:t>
      </w:r>
      <w:r>
        <w:tab/>
        <w:t>Regolazione</w:t>
      </w:r>
    </w:p>
    <w:p w:rsidR="004F47BB" w:rsidRPr="004F47BB" w:rsidRDefault="004F47BB" w:rsidP="004F47BB">
      <w:pPr>
        <w:widowControl w:val="0"/>
        <w:autoSpaceDE/>
        <w:autoSpaceDN/>
        <w:spacing w:line="240" w:lineRule="atLeast"/>
        <w:ind w:left="992" w:firstLine="0"/>
        <w:rPr>
          <w:rFonts w:cs="Arial"/>
          <w:szCs w:val="20"/>
        </w:rPr>
      </w:pPr>
      <w:r>
        <w:t>La direzione delle parti della nave raffigurate (bordi, passerelle) deve corrispondere nella massima misura possibile alla realtà.</w:t>
      </w:r>
    </w:p>
    <w:p w:rsidR="004F47BB" w:rsidRPr="004F47BB" w:rsidRDefault="004F47BB" w:rsidP="004F47BB">
      <w:pPr>
        <w:widowControl w:val="0"/>
        <w:autoSpaceDE/>
        <w:autoSpaceDN/>
        <w:spacing w:line="240" w:lineRule="atLeast"/>
        <w:ind w:left="0" w:firstLine="0"/>
        <w:rPr>
          <w:rFonts w:cs="Arial"/>
          <w:szCs w:val="20"/>
        </w:rPr>
      </w:pPr>
    </w:p>
    <w:p w:rsidR="004F47BB" w:rsidRPr="004F47BB" w:rsidRDefault="004F47BB" w:rsidP="004F47BB">
      <w:pPr>
        <w:widowControl w:val="0"/>
        <w:autoSpaceDE/>
        <w:autoSpaceDN/>
        <w:spacing w:line="240" w:lineRule="atLeast"/>
        <w:ind w:left="567" w:hanging="567"/>
        <w:rPr>
          <w:rFonts w:cs="Arial"/>
          <w:b/>
          <w:szCs w:val="20"/>
        </w:rPr>
      </w:pPr>
      <w:r>
        <w:br w:type="page"/>
      </w:r>
      <w:r>
        <w:rPr>
          <w:b/>
        </w:rPr>
        <w:lastRenderedPageBreak/>
        <w:t>4.2</w:t>
      </w:r>
      <w:r>
        <w:tab/>
      </w:r>
      <w:r>
        <w:rPr>
          <w:b/>
        </w:rPr>
        <w:t>Sistemi video</w:t>
      </w:r>
    </w:p>
    <w:p w:rsidR="004F47BB" w:rsidRPr="004F47BB" w:rsidRDefault="004F47BB" w:rsidP="004F47BB">
      <w:pPr>
        <w:widowControl w:val="0"/>
        <w:autoSpaceDE/>
        <w:autoSpaceDN/>
        <w:spacing w:line="240" w:lineRule="atLeast"/>
        <w:ind w:left="567" w:hanging="567"/>
        <w:rPr>
          <w:rFonts w:cs="Arial"/>
          <w:b/>
          <w:szCs w:val="20"/>
        </w:rPr>
      </w:pPr>
    </w:p>
    <w:p w:rsidR="004F47BB" w:rsidRPr="004F47BB" w:rsidRDefault="004F47BB" w:rsidP="004F47BB">
      <w:pPr>
        <w:widowControl w:val="0"/>
        <w:autoSpaceDE/>
        <w:autoSpaceDN/>
        <w:spacing w:line="240" w:lineRule="atLeast"/>
        <w:ind w:left="567" w:hanging="567"/>
        <w:rPr>
          <w:rFonts w:cs="Arial"/>
          <w:b/>
          <w:szCs w:val="20"/>
        </w:rPr>
      </w:pPr>
      <w:r>
        <w:rPr>
          <w:b/>
        </w:rPr>
        <w:t>4.2.1</w:t>
      </w:r>
      <w:r>
        <w:tab/>
      </w:r>
      <w:r>
        <w:rPr>
          <w:b/>
        </w:rPr>
        <w:t>Telecamere</w:t>
      </w:r>
    </w:p>
    <w:p w:rsidR="004F47BB" w:rsidRPr="004F47BB" w:rsidRDefault="004F47BB" w:rsidP="004F47BB">
      <w:pPr>
        <w:widowControl w:val="0"/>
        <w:autoSpaceDE/>
        <w:autoSpaceDN/>
        <w:spacing w:before="60" w:line="240" w:lineRule="atLeast"/>
        <w:ind w:left="992"/>
        <w:rPr>
          <w:rFonts w:cs="Arial"/>
          <w:szCs w:val="20"/>
        </w:rPr>
      </w:pPr>
      <w:r>
        <w:t>1.</w:t>
      </w:r>
      <w:r>
        <w:tab/>
        <w:t>Tipo di telecamere</w:t>
      </w:r>
    </w:p>
    <w:p w:rsidR="004F47BB" w:rsidRPr="004F47BB" w:rsidRDefault="004F47BB" w:rsidP="004F47BB">
      <w:pPr>
        <w:widowControl w:val="0"/>
        <w:autoSpaceDE/>
        <w:autoSpaceDN/>
        <w:spacing w:line="240" w:lineRule="atLeast"/>
        <w:ind w:left="992" w:firstLine="0"/>
        <w:rPr>
          <w:rFonts w:cs="Arial"/>
          <w:szCs w:val="20"/>
        </w:rPr>
      </w:pPr>
      <w:r>
        <w:t xml:space="preserve">Si tratta di videocamere a colori a scansione </w:t>
      </w:r>
      <w:r>
        <w:rPr>
          <w:i/>
        </w:rPr>
        <w:t>raster</w:t>
      </w:r>
      <w:r>
        <w:t xml:space="preserve"> con commutazione automatica in bianco e nero, con formato immagine, ad esempio 4:3 ("orizzontale"), appropriato al monitor in uso.</w:t>
      </w:r>
    </w:p>
    <w:p w:rsidR="004F47BB" w:rsidRPr="004F47BB" w:rsidRDefault="004F47BB" w:rsidP="004F47BB">
      <w:pPr>
        <w:widowControl w:val="0"/>
        <w:autoSpaceDE/>
        <w:autoSpaceDN/>
        <w:spacing w:before="60" w:line="240" w:lineRule="atLeast"/>
        <w:ind w:left="992"/>
        <w:rPr>
          <w:rFonts w:cs="Arial"/>
          <w:szCs w:val="20"/>
        </w:rPr>
      </w:pPr>
      <w:r>
        <w:t>2.</w:t>
      </w:r>
      <w:r>
        <w:tab/>
        <w:t>Risoluzione</w:t>
      </w:r>
    </w:p>
    <w:p w:rsidR="004F47BB" w:rsidRPr="004F47BB" w:rsidRDefault="004F47BB" w:rsidP="004F47BB">
      <w:pPr>
        <w:widowControl w:val="0"/>
        <w:autoSpaceDE/>
        <w:autoSpaceDN/>
        <w:spacing w:line="240" w:lineRule="atLeast"/>
        <w:ind w:left="992" w:firstLine="0"/>
        <w:rPr>
          <w:rFonts w:cs="Arial"/>
          <w:szCs w:val="20"/>
        </w:rPr>
      </w:pPr>
      <w:r>
        <w:t>Deve essere fornita una risoluzione parimenti buona tanto sull'asse orizzontale quanto su quello verticale, preferibilmente con almeno 576 pixel sul bordo stretto dell'immagine e pixel quadrati.</w:t>
      </w:r>
    </w:p>
    <w:p w:rsidR="004F47BB" w:rsidRPr="004F47BB" w:rsidRDefault="004F47BB" w:rsidP="004F47BB">
      <w:pPr>
        <w:widowControl w:val="0"/>
        <w:autoSpaceDE/>
        <w:autoSpaceDN/>
        <w:spacing w:before="60" w:line="240" w:lineRule="atLeast"/>
        <w:ind w:left="992"/>
        <w:rPr>
          <w:rFonts w:cs="Arial"/>
          <w:szCs w:val="20"/>
        </w:rPr>
      </w:pPr>
      <w:r>
        <w:t>3.</w:t>
      </w:r>
      <w:r>
        <w:tab/>
        <w:t>Sensibilità alla luce</w:t>
      </w:r>
    </w:p>
    <w:p w:rsidR="004F47BB" w:rsidRPr="004F47BB" w:rsidRDefault="004F47BB" w:rsidP="004F47BB">
      <w:pPr>
        <w:widowControl w:val="0"/>
        <w:autoSpaceDE/>
        <w:autoSpaceDN/>
        <w:spacing w:line="240" w:lineRule="atLeast"/>
        <w:ind w:left="992" w:firstLine="0"/>
        <w:rPr>
          <w:rFonts w:cs="Arial"/>
          <w:szCs w:val="20"/>
        </w:rPr>
      </w:pPr>
      <w:r>
        <w:t>0,6 Lux in modalità colore, 0,1 Lux in modalità bianco e nero (in conformità alla norma EN 61146-1 con obbiettivo corrispondente senza integrazione dell'immagine).</w:t>
      </w:r>
    </w:p>
    <w:p w:rsidR="004F47BB" w:rsidRPr="004F47BB" w:rsidRDefault="004F47BB" w:rsidP="004F47BB">
      <w:pPr>
        <w:widowControl w:val="0"/>
        <w:autoSpaceDE/>
        <w:autoSpaceDN/>
        <w:spacing w:before="60" w:line="240" w:lineRule="atLeast"/>
        <w:ind w:left="992"/>
        <w:rPr>
          <w:rFonts w:cs="Arial"/>
          <w:szCs w:val="20"/>
        </w:rPr>
      </w:pPr>
      <w:r>
        <w:t>4.</w:t>
      </w:r>
      <w:r>
        <w:tab/>
        <w:t>Frequenza di ripetizione dell'immagine</w:t>
      </w:r>
    </w:p>
    <w:p w:rsidR="004F47BB" w:rsidRPr="004F47BB" w:rsidRDefault="004F47BB" w:rsidP="004F47BB">
      <w:pPr>
        <w:widowControl w:val="0"/>
        <w:autoSpaceDE/>
        <w:autoSpaceDN/>
        <w:spacing w:line="240" w:lineRule="atLeast"/>
        <w:ind w:left="992" w:firstLine="0"/>
        <w:rPr>
          <w:rFonts w:cs="Arial"/>
          <w:szCs w:val="20"/>
        </w:rPr>
      </w:pPr>
      <w:r>
        <w:t>Frequenza di ripetizione dell'immagine pari a 25 immagini/s o superiore.</w:t>
      </w:r>
    </w:p>
    <w:p w:rsidR="004F47BB" w:rsidRPr="004F47BB" w:rsidRDefault="004F47BB" w:rsidP="004F47BB">
      <w:pPr>
        <w:widowControl w:val="0"/>
        <w:autoSpaceDE/>
        <w:autoSpaceDN/>
        <w:spacing w:before="60" w:line="240" w:lineRule="atLeast"/>
        <w:ind w:left="992"/>
        <w:rPr>
          <w:rFonts w:cs="Arial"/>
          <w:szCs w:val="20"/>
        </w:rPr>
      </w:pPr>
      <w:r>
        <w:t>5.</w:t>
      </w:r>
      <w:r>
        <w:tab/>
        <w:t>Angolo di visione</w:t>
      </w:r>
    </w:p>
    <w:p w:rsidR="004F47BB" w:rsidRPr="004F47BB" w:rsidRDefault="004F47BB" w:rsidP="004F47BB">
      <w:pPr>
        <w:widowControl w:val="0"/>
        <w:autoSpaceDE/>
        <w:autoSpaceDN/>
        <w:spacing w:line="240" w:lineRule="atLeast"/>
        <w:ind w:left="992" w:firstLine="0"/>
        <w:rPr>
          <w:rFonts w:cs="Arial"/>
          <w:szCs w:val="20"/>
        </w:rPr>
      </w:pPr>
      <w:r>
        <w:t>L'angolo di visione della telecamera viene determinato selezionando la lunghezza focale appropriata. Al fine di evitare di irritare ulteriormente l'utente con una prospettiva innaturale, si consiglia di allineare l'angolo di visione a quello dell'occhio umano (circa da 30° a 45°). L'angolo di visione orizzontale non dovrebbe quindi essere inferiore a 30°.</w:t>
      </w:r>
    </w:p>
    <w:p w:rsidR="004F47BB" w:rsidRPr="004F47BB" w:rsidRDefault="004F47BB" w:rsidP="004F47BB">
      <w:pPr>
        <w:widowControl w:val="0"/>
        <w:autoSpaceDE/>
        <w:autoSpaceDN/>
        <w:spacing w:before="60" w:line="240" w:lineRule="atLeast"/>
        <w:ind w:left="992"/>
        <w:rPr>
          <w:rFonts w:cs="Arial"/>
          <w:szCs w:val="20"/>
        </w:rPr>
      </w:pPr>
      <w:r>
        <w:t>6.</w:t>
      </w:r>
      <w:r>
        <w:tab/>
        <w:t>Lenti zoom e meccanismi di orientamento</w:t>
      </w:r>
    </w:p>
    <w:p w:rsidR="004F47BB" w:rsidRPr="004F47BB" w:rsidRDefault="004F47BB" w:rsidP="004F47BB">
      <w:pPr>
        <w:widowControl w:val="0"/>
        <w:autoSpaceDE/>
        <w:autoSpaceDN/>
        <w:spacing w:line="240" w:lineRule="atLeast"/>
        <w:ind w:left="992" w:firstLine="0"/>
        <w:rPr>
          <w:rFonts w:cs="Arial"/>
          <w:szCs w:val="20"/>
        </w:rPr>
      </w:pPr>
      <w:r>
        <w:t>Quando si utilizzano telecamere dotate di zoom od orientamento per facilitare la visione in avanti, è necessario assicurare che vi sia un'impostazione di base per la lunghezza focale ottimale e l'orientamento del puntamento in avanti che è possibile ottenere premendo un pulsante.</w:t>
      </w:r>
    </w:p>
    <w:p w:rsidR="004F47BB" w:rsidRPr="004F47BB" w:rsidRDefault="004F47BB" w:rsidP="004F47BB">
      <w:pPr>
        <w:widowControl w:val="0"/>
        <w:autoSpaceDE/>
        <w:autoSpaceDN/>
        <w:spacing w:before="60" w:line="240" w:lineRule="atLeast"/>
        <w:ind w:left="992"/>
        <w:rPr>
          <w:rFonts w:cs="Arial"/>
          <w:szCs w:val="20"/>
        </w:rPr>
      </w:pPr>
      <w:r>
        <w:t>7.</w:t>
      </w:r>
      <w:r>
        <w:tab/>
        <w:t>Posizione della telecamera</w:t>
      </w:r>
    </w:p>
    <w:p w:rsidR="004F47BB" w:rsidRPr="004F47BB" w:rsidRDefault="004F47BB" w:rsidP="004F47BB">
      <w:pPr>
        <w:widowControl w:val="0"/>
        <w:autoSpaceDE/>
        <w:autoSpaceDN/>
        <w:spacing w:line="240" w:lineRule="atLeast"/>
        <w:ind w:left="992" w:firstLine="0"/>
        <w:rPr>
          <w:rFonts w:cs="Arial"/>
          <w:szCs w:val="20"/>
        </w:rPr>
      </w:pPr>
      <w:r>
        <w:t>La posizione della telecamera dipende dalla zona da osservare.</w:t>
      </w:r>
    </w:p>
    <w:p w:rsidR="004F47BB" w:rsidRPr="004F47BB" w:rsidRDefault="004F47BB" w:rsidP="004F47BB">
      <w:pPr>
        <w:widowControl w:val="0"/>
        <w:autoSpaceDE/>
        <w:autoSpaceDN/>
        <w:spacing w:before="60" w:line="240" w:lineRule="atLeast"/>
        <w:ind w:left="992"/>
        <w:rPr>
          <w:rFonts w:cs="Arial"/>
          <w:szCs w:val="20"/>
        </w:rPr>
      </w:pPr>
      <w:r>
        <w:t>8.</w:t>
      </w:r>
      <w:r>
        <w:tab/>
        <w:t>Montaggio della telecamera</w:t>
      </w:r>
    </w:p>
    <w:p w:rsidR="004F47BB" w:rsidRPr="004F47BB" w:rsidRDefault="004F47BB" w:rsidP="004F47BB">
      <w:pPr>
        <w:widowControl w:val="0"/>
        <w:autoSpaceDE/>
        <w:autoSpaceDN/>
        <w:spacing w:line="240" w:lineRule="atLeast"/>
        <w:ind w:left="992" w:firstLine="0"/>
        <w:rPr>
          <w:rFonts w:cs="Arial"/>
          <w:szCs w:val="20"/>
        </w:rPr>
      </w:pPr>
      <w:r>
        <w:t>La staffa di montaggio deve garantire che la telecamera rimanga in una posizione fissa e rigida (senza vibrazioni). La staffa di montaggio può altresì comprendere un involucro protettivo riscaldato.</w:t>
      </w:r>
    </w:p>
    <w:p w:rsidR="004F47BB" w:rsidRPr="004F47BB" w:rsidRDefault="004F47BB" w:rsidP="004F47BB">
      <w:pPr>
        <w:widowControl w:val="0"/>
        <w:autoSpaceDE/>
        <w:autoSpaceDN/>
        <w:spacing w:line="240" w:lineRule="atLeast"/>
        <w:ind w:left="0" w:firstLine="0"/>
        <w:jc w:val="left"/>
        <w:rPr>
          <w:rFonts w:cs="Arial"/>
          <w:szCs w:val="20"/>
        </w:rPr>
      </w:pPr>
    </w:p>
    <w:p w:rsidR="004F47BB" w:rsidRPr="004F47BB" w:rsidRDefault="004F47BB" w:rsidP="004F47BB">
      <w:pPr>
        <w:widowControl w:val="0"/>
        <w:autoSpaceDE/>
        <w:autoSpaceDN/>
        <w:spacing w:line="240" w:lineRule="atLeast"/>
        <w:ind w:left="567" w:hanging="567"/>
        <w:rPr>
          <w:rFonts w:cs="Arial"/>
          <w:b/>
          <w:szCs w:val="20"/>
        </w:rPr>
      </w:pPr>
      <w:r>
        <w:rPr>
          <w:b/>
        </w:rPr>
        <w:t>4.2.2</w:t>
      </w:r>
      <w:r>
        <w:tab/>
      </w:r>
      <w:r>
        <w:rPr>
          <w:b/>
        </w:rPr>
        <w:t>Schermo</w:t>
      </w:r>
    </w:p>
    <w:p w:rsidR="004F47BB" w:rsidRPr="004F47BB" w:rsidRDefault="004F47BB" w:rsidP="004F47BB">
      <w:pPr>
        <w:widowControl w:val="0"/>
        <w:autoSpaceDE/>
        <w:autoSpaceDN/>
        <w:spacing w:before="60" w:line="240" w:lineRule="atLeast"/>
        <w:ind w:left="992"/>
        <w:rPr>
          <w:rFonts w:cs="Arial"/>
          <w:szCs w:val="20"/>
        </w:rPr>
      </w:pPr>
      <w:r>
        <w:t>1.</w:t>
      </w:r>
      <w:r>
        <w:tab/>
        <w:t>Tipo di schermo</w:t>
      </w:r>
    </w:p>
    <w:p w:rsidR="004F47BB" w:rsidRPr="004F47BB" w:rsidRDefault="004F47BB" w:rsidP="004F47BB">
      <w:pPr>
        <w:widowControl w:val="0"/>
        <w:autoSpaceDE/>
        <w:autoSpaceDN/>
        <w:spacing w:line="240" w:lineRule="atLeast"/>
        <w:ind w:left="992" w:firstLine="0"/>
        <w:rPr>
          <w:rFonts w:cs="Arial"/>
          <w:szCs w:val="20"/>
        </w:rPr>
      </w:pPr>
      <w:r>
        <w:t xml:space="preserve">Schermo </w:t>
      </w:r>
      <w:r>
        <w:rPr>
          <w:i/>
        </w:rPr>
        <w:t>raster</w:t>
      </w:r>
      <w:r>
        <w:t xml:space="preserve"> (preferibilmente schermo piatto TFT) con diagonale dello schermo minima paria a 30 cm.</w:t>
      </w:r>
    </w:p>
    <w:p w:rsidR="004F47BB" w:rsidRPr="004F47BB" w:rsidRDefault="004F47BB" w:rsidP="004F47BB">
      <w:pPr>
        <w:widowControl w:val="0"/>
        <w:autoSpaceDE/>
        <w:autoSpaceDN/>
        <w:spacing w:before="60" w:line="240" w:lineRule="atLeast"/>
        <w:ind w:left="992"/>
        <w:rPr>
          <w:rFonts w:cs="Arial"/>
          <w:szCs w:val="20"/>
        </w:rPr>
      </w:pPr>
      <w:r>
        <w:t>2.</w:t>
      </w:r>
      <w:r>
        <w:tab/>
        <w:t>Posizione dello schermo</w:t>
      </w:r>
    </w:p>
    <w:p w:rsidR="004F47BB" w:rsidRPr="004F47BB" w:rsidRDefault="004F47BB" w:rsidP="004F47BB">
      <w:pPr>
        <w:widowControl w:val="0"/>
        <w:autoSpaceDE/>
        <w:autoSpaceDN/>
        <w:spacing w:before="60" w:line="240" w:lineRule="atLeast"/>
        <w:ind w:left="1417"/>
        <w:rPr>
          <w:rFonts w:cs="Arial"/>
          <w:szCs w:val="20"/>
        </w:rPr>
      </w:pPr>
      <w:r>
        <w:t>a)</w:t>
      </w:r>
      <w:r>
        <w:tab/>
        <w:t xml:space="preserve">Tutti gli schermi che visualizzano immagini provenienti da telecamere prevalentemente rivolte in avanti devono trovarsi all'interno del campo di visuale del timoniere affinché questi possa vederli senza muovere eccessivamente la testa. Devono essere collocati lateralmente in maniera corrispondente alle telecamere (tribordo, centro nave, babordo). </w:t>
      </w:r>
    </w:p>
    <w:p w:rsidR="004F47BB" w:rsidRPr="004F47BB" w:rsidRDefault="004F47BB" w:rsidP="004F47BB">
      <w:pPr>
        <w:widowControl w:val="0"/>
        <w:autoSpaceDE/>
        <w:autoSpaceDN/>
        <w:spacing w:before="60" w:line="240" w:lineRule="atLeast"/>
        <w:ind w:left="1417"/>
        <w:rPr>
          <w:rFonts w:cs="Arial"/>
          <w:szCs w:val="20"/>
        </w:rPr>
      </w:pPr>
      <w:r>
        <w:t>b)</w:t>
      </w:r>
      <w:r>
        <w:tab/>
        <w:t xml:space="preserve">Gli schermi corrispondenti alle telecamere puntate verso poppa possono altresì, ad esempio, essere collocati in un secondo banco, centralmente e sul lato corretto, sotto o sopra gli schermi di cui sopra. La visualizzazione dell'immagine è quindi coerente con quella degli specchi. Se queste immagini sono richieste soltanto durante le operazioni di attracco o di salpamento, è utile posizionare tali schermi sulla paratia della timoneria, poiché in tal caso il timoniere guarda verso poppa o di gira durante l'esecuzione di tali manovre. Di conseguenza, le immagini non corrispondono più all'immagine dello specchio. </w:t>
      </w:r>
    </w:p>
    <w:p w:rsidR="004F47BB" w:rsidRPr="004F47BB" w:rsidRDefault="004F47BB" w:rsidP="004F47BB">
      <w:pPr>
        <w:widowControl w:val="0"/>
        <w:autoSpaceDE/>
        <w:autoSpaceDN/>
        <w:spacing w:before="60" w:line="240" w:lineRule="atLeast"/>
        <w:ind w:left="992"/>
        <w:rPr>
          <w:rFonts w:cs="Arial"/>
          <w:szCs w:val="20"/>
        </w:rPr>
      </w:pPr>
      <w:r>
        <w:t>3.</w:t>
      </w:r>
      <w:r>
        <w:tab/>
        <w:t>Uso di schermi diversi</w:t>
      </w:r>
    </w:p>
    <w:p w:rsidR="004F47BB" w:rsidRPr="004F47BB" w:rsidRDefault="004F47BB" w:rsidP="004F47BB">
      <w:pPr>
        <w:widowControl w:val="0"/>
        <w:autoSpaceDE/>
        <w:autoSpaceDN/>
        <w:spacing w:line="240" w:lineRule="atLeast"/>
        <w:ind w:left="992" w:firstLine="0"/>
        <w:rPr>
          <w:rFonts w:cs="Arial"/>
          <w:szCs w:val="20"/>
        </w:rPr>
      </w:pPr>
      <w:r>
        <w:t>L'uso di un unico schermo per visualizzare una serie di immagini acquisite dalle telecamere (contemporaneamente dividendo lo schermo in due o più zone o passando in sequenza alla telecamera successiva) non è appropriato quando si guarda in avanti.</w:t>
      </w:r>
    </w:p>
    <w:p w:rsidR="004F47BB" w:rsidRPr="004F47BB" w:rsidRDefault="004F47BB" w:rsidP="004F47BB">
      <w:pPr>
        <w:widowControl w:val="0"/>
        <w:autoSpaceDE/>
        <w:autoSpaceDN/>
        <w:spacing w:before="60" w:line="240" w:lineRule="atLeast"/>
        <w:ind w:left="992"/>
        <w:rPr>
          <w:rFonts w:cs="Arial"/>
          <w:szCs w:val="20"/>
        </w:rPr>
      </w:pPr>
      <w:r>
        <w:lastRenderedPageBreak/>
        <w:t>4.</w:t>
      </w:r>
      <w:r>
        <w:tab/>
        <w:t>Risoluzione</w:t>
      </w:r>
    </w:p>
    <w:p w:rsidR="004F47BB" w:rsidRPr="004F47BB" w:rsidRDefault="004F47BB" w:rsidP="004F47BB">
      <w:pPr>
        <w:widowControl w:val="0"/>
        <w:autoSpaceDE/>
        <w:autoSpaceDN/>
        <w:spacing w:line="240" w:lineRule="atLeast"/>
        <w:ind w:left="992" w:firstLine="0"/>
        <w:rPr>
          <w:rFonts w:cs="Arial"/>
          <w:szCs w:val="20"/>
        </w:rPr>
      </w:pPr>
      <w:r>
        <w:t>Almeno pari a 800 x 600 pixel.</w:t>
      </w:r>
    </w:p>
    <w:p w:rsidR="004F47BB" w:rsidRPr="004F47BB" w:rsidRDefault="004F47BB" w:rsidP="004F47BB">
      <w:pPr>
        <w:autoSpaceDE/>
        <w:autoSpaceDN/>
        <w:ind w:left="0" w:firstLine="0"/>
        <w:jc w:val="left"/>
        <w:rPr>
          <w:szCs w:val="20"/>
        </w:rPr>
      </w:pPr>
      <w:r>
        <w:br w:type="page"/>
      </w:r>
    </w:p>
    <w:p w:rsidR="004F47BB" w:rsidRPr="004F47BB" w:rsidRDefault="004F47BB" w:rsidP="004F47BB">
      <w:pPr>
        <w:widowControl w:val="0"/>
        <w:autoSpaceDE/>
        <w:autoSpaceDN/>
        <w:spacing w:before="60" w:line="240" w:lineRule="atLeast"/>
        <w:ind w:left="992"/>
        <w:rPr>
          <w:rFonts w:cs="Arial"/>
          <w:szCs w:val="20"/>
        </w:rPr>
      </w:pPr>
      <w:r>
        <w:lastRenderedPageBreak/>
        <w:t>5.</w:t>
      </w:r>
      <w:r>
        <w:tab/>
        <w:t>Luminosità</w:t>
      </w:r>
    </w:p>
    <w:p w:rsidR="004F47BB" w:rsidRPr="004F47BB" w:rsidRDefault="004F47BB" w:rsidP="004F47BB">
      <w:pPr>
        <w:widowControl w:val="0"/>
        <w:autoSpaceDE/>
        <w:autoSpaceDN/>
        <w:spacing w:line="240" w:lineRule="atLeast"/>
        <w:ind w:left="992" w:firstLine="0"/>
        <w:rPr>
          <w:rFonts w:cs="Arial"/>
          <w:szCs w:val="20"/>
        </w:rPr>
      </w:pPr>
      <w:r>
        <w:t xml:space="preserve">Luminosità minima: FG ≤ 15 cd/m²; BG ≤ 5 cd/m². Luminosità massima VG ≥ 5 000 cd/m² </w:t>
      </w:r>
      <w:r>
        <w:rPr>
          <w:rFonts w:ascii="Times New Roman" w:hAnsi="Times New Roman"/>
          <w:szCs w:val="20"/>
        </w:rPr>
        <w:br/>
      </w:r>
      <w:r>
        <w:t>(FG = primo piano; BG = sfondo).</w:t>
      </w:r>
    </w:p>
    <w:p w:rsidR="004F47BB" w:rsidRPr="004F47BB" w:rsidRDefault="004F47BB" w:rsidP="004F47BB">
      <w:pPr>
        <w:widowControl w:val="0"/>
        <w:autoSpaceDE/>
        <w:autoSpaceDN/>
        <w:spacing w:line="240" w:lineRule="atLeast"/>
        <w:ind w:left="0" w:firstLine="0"/>
        <w:rPr>
          <w:rFonts w:cs="Arial"/>
          <w:szCs w:val="20"/>
        </w:rPr>
      </w:pPr>
    </w:p>
    <w:p w:rsidR="004F47BB" w:rsidRPr="004F47BB" w:rsidRDefault="004F47BB" w:rsidP="004F47BB">
      <w:pPr>
        <w:widowControl w:val="0"/>
        <w:autoSpaceDE/>
        <w:autoSpaceDN/>
        <w:spacing w:line="240" w:lineRule="atLeast"/>
        <w:ind w:left="567" w:hanging="567"/>
        <w:rPr>
          <w:rFonts w:cs="Arial"/>
          <w:b/>
          <w:szCs w:val="20"/>
        </w:rPr>
      </w:pPr>
      <w:r>
        <w:rPr>
          <w:b/>
        </w:rPr>
        <w:t>4.3</w:t>
      </w:r>
      <w:r>
        <w:tab/>
      </w:r>
      <w:r>
        <w:rPr>
          <w:b/>
        </w:rPr>
        <w:t>Sistemi radar</w:t>
      </w:r>
    </w:p>
    <w:p w:rsidR="004F47BB" w:rsidRPr="004F47BB" w:rsidRDefault="004F47BB" w:rsidP="004F47BB">
      <w:pPr>
        <w:widowControl w:val="0"/>
        <w:autoSpaceDE/>
        <w:autoSpaceDN/>
        <w:spacing w:before="60" w:line="240" w:lineRule="atLeast"/>
        <w:ind w:left="992"/>
        <w:rPr>
          <w:rFonts w:cs="Arial"/>
          <w:szCs w:val="20"/>
        </w:rPr>
      </w:pPr>
      <w:r>
        <w:t>1.</w:t>
      </w:r>
      <w:r>
        <w:tab/>
        <w:t>Sistemi radar</w:t>
      </w:r>
    </w:p>
    <w:p w:rsidR="004F47BB" w:rsidRPr="004F47BB" w:rsidRDefault="004F47BB" w:rsidP="004F47BB">
      <w:pPr>
        <w:widowControl w:val="0"/>
        <w:autoSpaceDE/>
        <w:autoSpaceDN/>
        <w:spacing w:line="240" w:lineRule="atLeast"/>
        <w:ind w:left="992" w:firstLine="0"/>
        <w:rPr>
          <w:rFonts w:cs="Arial"/>
          <w:szCs w:val="20"/>
        </w:rPr>
      </w:pPr>
      <w:r>
        <w:t>Oltre ai requisiti minimi e alle condizioni di prova per gli impianti radar di navigazione nella navigazione interna (ES-TRIN, allegato 5, sezione I), il sistema radar deve soddisfare i seguenti requisiti.</w:t>
      </w:r>
    </w:p>
    <w:p w:rsidR="004F47BB" w:rsidRPr="004F47BB" w:rsidRDefault="004F47BB" w:rsidP="004F47BB">
      <w:pPr>
        <w:widowControl w:val="0"/>
        <w:autoSpaceDE/>
        <w:autoSpaceDN/>
        <w:spacing w:before="60" w:line="240" w:lineRule="atLeast"/>
        <w:ind w:left="992"/>
        <w:rPr>
          <w:rFonts w:cs="Arial"/>
          <w:szCs w:val="20"/>
        </w:rPr>
      </w:pPr>
      <w:r>
        <w:t>2.</w:t>
      </w:r>
      <w:r>
        <w:tab/>
        <w:t>Lunghezza dell'antenna</w:t>
      </w:r>
    </w:p>
    <w:p w:rsidR="004F47BB" w:rsidRPr="004F47BB" w:rsidRDefault="004F47BB" w:rsidP="004F47BB">
      <w:pPr>
        <w:widowControl w:val="0"/>
        <w:autoSpaceDE/>
        <w:autoSpaceDN/>
        <w:spacing w:line="240" w:lineRule="atLeast"/>
        <w:ind w:left="992" w:firstLine="0"/>
        <w:rPr>
          <w:rFonts w:cs="Arial"/>
          <w:szCs w:val="20"/>
        </w:rPr>
      </w:pPr>
      <w:r>
        <w:t>Almeno 1,80 m.</w:t>
      </w:r>
    </w:p>
    <w:p w:rsidR="004F47BB" w:rsidRPr="004F47BB" w:rsidRDefault="004F47BB" w:rsidP="004F47BB">
      <w:pPr>
        <w:widowControl w:val="0"/>
        <w:autoSpaceDE/>
        <w:autoSpaceDN/>
        <w:spacing w:before="60" w:line="240" w:lineRule="atLeast"/>
        <w:ind w:left="992"/>
        <w:rPr>
          <w:rFonts w:cs="Arial"/>
          <w:szCs w:val="20"/>
        </w:rPr>
      </w:pPr>
      <w:r>
        <w:t>3.</w:t>
      </w:r>
      <w:r>
        <w:tab/>
        <w:t>Risoluzione a corto raggio</w:t>
      </w:r>
    </w:p>
    <w:p w:rsidR="004F47BB" w:rsidRPr="004F47BB" w:rsidRDefault="004F47BB" w:rsidP="004F47BB">
      <w:pPr>
        <w:widowControl w:val="0"/>
        <w:autoSpaceDE/>
        <w:autoSpaceDN/>
        <w:spacing w:line="240" w:lineRule="atLeast"/>
        <w:ind w:left="992" w:firstLine="0"/>
        <w:rPr>
          <w:rFonts w:cs="Arial"/>
          <w:szCs w:val="20"/>
        </w:rPr>
      </w:pPr>
      <w:r>
        <w:t>≤ 15 m.</w:t>
      </w:r>
    </w:p>
    <w:p w:rsidR="004F47BB" w:rsidRPr="004F47BB" w:rsidRDefault="004F47BB" w:rsidP="004F47BB">
      <w:pPr>
        <w:widowControl w:val="0"/>
        <w:autoSpaceDE/>
        <w:autoSpaceDN/>
        <w:spacing w:before="60" w:line="240" w:lineRule="atLeast"/>
        <w:ind w:left="992"/>
        <w:rPr>
          <w:rFonts w:cs="Arial"/>
          <w:szCs w:val="20"/>
        </w:rPr>
      </w:pPr>
      <w:r>
        <w:t>4.</w:t>
      </w:r>
      <w:r>
        <w:tab/>
        <w:t>Risoluzione radiale</w:t>
      </w:r>
    </w:p>
    <w:p w:rsidR="004F47BB" w:rsidRPr="004F47BB" w:rsidRDefault="004F47BB" w:rsidP="004F47BB">
      <w:pPr>
        <w:widowControl w:val="0"/>
        <w:autoSpaceDE/>
        <w:autoSpaceDN/>
        <w:spacing w:line="240" w:lineRule="atLeast"/>
        <w:ind w:left="992" w:firstLine="0"/>
        <w:rPr>
          <w:rFonts w:cs="Arial"/>
          <w:szCs w:val="20"/>
        </w:rPr>
      </w:pPr>
      <w:r>
        <w:t>Durata dell'impulso ≤ 5 m; separazione degli impulsi ≤ 15 m.</w:t>
      </w:r>
    </w:p>
    <w:p w:rsidR="004F47BB" w:rsidRPr="004F47BB" w:rsidRDefault="004F47BB" w:rsidP="004F47BB">
      <w:pPr>
        <w:widowControl w:val="0"/>
        <w:autoSpaceDE/>
        <w:autoSpaceDN/>
        <w:spacing w:before="60" w:line="240" w:lineRule="atLeast"/>
        <w:ind w:left="992"/>
        <w:rPr>
          <w:rFonts w:cs="Arial"/>
          <w:szCs w:val="20"/>
        </w:rPr>
      </w:pPr>
      <w:r>
        <w:t>5.</w:t>
      </w:r>
      <w:r>
        <w:tab/>
        <w:t>Risoluzione azimutale</w:t>
      </w:r>
    </w:p>
    <w:p w:rsidR="004F47BB" w:rsidRPr="004F47BB" w:rsidRDefault="004F47BB" w:rsidP="004F47BB">
      <w:pPr>
        <w:widowControl w:val="0"/>
        <w:autoSpaceDE/>
        <w:autoSpaceDN/>
        <w:spacing w:line="240" w:lineRule="atLeast"/>
        <w:ind w:left="992" w:firstLine="0"/>
        <w:rPr>
          <w:rFonts w:cs="Arial"/>
          <w:szCs w:val="20"/>
        </w:rPr>
      </w:pPr>
      <w:r>
        <w:t>≤ 1,2 °.</w:t>
      </w:r>
    </w:p>
    <w:p w:rsidR="004F47BB" w:rsidRPr="004F47BB" w:rsidRDefault="004F47BB" w:rsidP="004F47BB">
      <w:pPr>
        <w:widowControl w:val="0"/>
        <w:autoSpaceDE/>
        <w:autoSpaceDN/>
        <w:spacing w:before="60" w:line="240" w:lineRule="atLeast"/>
        <w:ind w:left="992"/>
        <w:rPr>
          <w:rFonts w:cs="Arial"/>
          <w:szCs w:val="20"/>
        </w:rPr>
      </w:pPr>
      <w:r>
        <w:t>6.</w:t>
      </w:r>
      <w:r>
        <w:tab/>
        <w:t>Altezza dell'antenna</w:t>
      </w:r>
    </w:p>
    <w:p w:rsidR="004F47BB" w:rsidRPr="004F47BB" w:rsidRDefault="004F47BB" w:rsidP="004F47BB">
      <w:pPr>
        <w:widowControl w:val="0"/>
        <w:autoSpaceDE/>
        <w:autoSpaceDN/>
        <w:spacing w:line="240" w:lineRule="atLeast"/>
        <w:ind w:left="992" w:firstLine="0"/>
        <w:rPr>
          <w:rFonts w:cs="Arial"/>
          <w:szCs w:val="20"/>
        </w:rPr>
      </w:pPr>
      <w:r>
        <w:t>L'altezza dell'antenna dipende dall'altezza e dal carico dell'imbarcazione. L'antenna deve essere posizionata ad almeno 3 m sopra l'altezza del ponte per evitare incidenti causati dalla rotazione dell'antenna.</w:t>
      </w:r>
    </w:p>
    <w:p w:rsidR="004F47BB" w:rsidRPr="004F47BB" w:rsidRDefault="004F47BB" w:rsidP="004F47BB">
      <w:pPr>
        <w:widowControl w:val="0"/>
        <w:autoSpaceDE/>
        <w:autoSpaceDN/>
        <w:spacing w:before="60" w:line="240" w:lineRule="atLeast"/>
        <w:ind w:left="992"/>
        <w:rPr>
          <w:rFonts w:cs="Arial"/>
          <w:szCs w:val="20"/>
        </w:rPr>
      </w:pPr>
      <w:r>
        <w:t>7.</w:t>
      </w:r>
      <w:r>
        <w:tab/>
        <w:t>Tipo di schermo</w:t>
      </w:r>
    </w:p>
    <w:p w:rsidR="004F47BB" w:rsidRPr="004F47BB" w:rsidRDefault="004F47BB" w:rsidP="004F47BB">
      <w:pPr>
        <w:widowControl w:val="0"/>
        <w:autoSpaceDE/>
        <w:autoSpaceDN/>
        <w:spacing w:line="240" w:lineRule="atLeast"/>
        <w:ind w:left="992" w:firstLine="0"/>
        <w:rPr>
          <w:rFonts w:cs="Arial"/>
          <w:szCs w:val="20"/>
        </w:rPr>
      </w:pPr>
      <w:r>
        <w:t xml:space="preserve">È necessario utilizzare un monitor a schermo piatto TFT in formato verticale. </w:t>
      </w:r>
    </w:p>
    <w:p w:rsidR="004F47BB" w:rsidRPr="004F47BB" w:rsidRDefault="004F47BB" w:rsidP="004F47BB">
      <w:pPr>
        <w:widowControl w:val="0"/>
        <w:autoSpaceDE/>
        <w:autoSpaceDN/>
        <w:spacing w:before="60" w:line="240" w:lineRule="atLeast"/>
        <w:ind w:left="992"/>
        <w:rPr>
          <w:rFonts w:cs="Arial"/>
          <w:szCs w:val="20"/>
        </w:rPr>
      </w:pPr>
      <w:r>
        <w:t>8.</w:t>
      </w:r>
      <w:r>
        <w:tab/>
        <w:t>Dimensioni dell'immagine</w:t>
      </w:r>
    </w:p>
    <w:p w:rsidR="004F47BB" w:rsidRPr="004F47BB" w:rsidRDefault="004F47BB" w:rsidP="004F47BB">
      <w:pPr>
        <w:widowControl w:val="0"/>
        <w:autoSpaceDE/>
        <w:autoSpaceDN/>
        <w:spacing w:line="240" w:lineRule="atLeast"/>
        <w:ind w:left="992" w:firstLine="0"/>
        <w:rPr>
          <w:rFonts w:cs="Arial"/>
          <w:szCs w:val="20"/>
        </w:rPr>
      </w:pPr>
      <w:r>
        <w:t>La lunghezza del lato più corto dello schermo deve essere di almeno pari a 270 mm.</w:t>
      </w:r>
    </w:p>
    <w:p w:rsidR="004F47BB" w:rsidRPr="004F47BB" w:rsidRDefault="004F47BB" w:rsidP="004F47BB">
      <w:pPr>
        <w:widowControl w:val="0"/>
        <w:autoSpaceDE/>
        <w:autoSpaceDN/>
        <w:spacing w:before="60" w:line="240" w:lineRule="atLeast"/>
        <w:ind w:left="992"/>
        <w:rPr>
          <w:rFonts w:cs="Arial"/>
          <w:szCs w:val="20"/>
        </w:rPr>
      </w:pPr>
      <w:r>
        <w:t>9.</w:t>
      </w:r>
      <w:r>
        <w:tab/>
        <w:t>Risoluzione</w:t>
      </w:r>
    </w:p>
    <w:p w:rsidR="004F47BB" w:rsidRPr="004F47BB" w:rsidRDefault="004F47BB" w:rsidP="004F47BB">
      <w:pPr>
        <w:widowControl w:val="0"/>
        <w:autoSpaceDE/>
        <w:autoSpaceDN/>
        <w:spacing w:line="240" w:lineRule="atLeast"/>
        <w:ind w:left="992" w:firstLine="0"/>
        <w:rPr>
          <w:rFonts w:cs="Arial"/>
          <w:szCs w:val="20"/>
        </w:rPr>
      </w:pPr>
      <w:r>
        <w:t>La risoluzione dello schermo deve essere identica in entrambe le direzioni e i pixel devono essere quadrati. Il lato stretto deve avere almeno 1024 pixel (in genere 1024 x 1280 pixel).</w:t>
      </w:r>
    </w:p>
    <w:p w:rsidR="004F47BB" w:rsidRPr="004F47BB" w:rsidRDefault="004F47BB" w:rsidP="004F47BB">
      <w:pPr>
        <w:widowControl w:val="0"/>
        <w:autoSpaceDE/>
        <w:autoSpaceDN/>
        <w:spacing w:before="60" w:line="240" w:lineRule="atLeast"/>
        <w:ind w:left="992"/>
        <w:rPr>
          <w:rFonts w:cs="Arial"/>
          <w:szCs w:val="20"/>
        </w:rPr>
      </w:pPr>
      <w:r>
        <w:t>10.</w:t>
      </w:r>
      <w:r>
        <w:tab/>
        <w:t>Luminosità</w:t>
      </w:r>
    </w:p>
    <w:p w:rsidR="004F47BB" w:rsidRPr="004F47BB" w:rsidRDefault="004F47BB" w:rsidP="004F47BB">
      <w:pPr>
        <w:widowControl w:val="0"/>
        <w:autoSpaceDE/>
        <w:autoSpaceDN/>
        <w:spacing w:line="240" w:lineRule="atLeast"/>
        <w:ind w:left="992" w:firstLine="0"/>
        <w:rPr>
          <w:rFonts w:cs="Arial"/>
          <w:szCs w:val="20"/>
        </w:rPr>
      </w:pPr>
      <w:r>
        <w:t>Luminosità minima: FG ≤ 15 cd/m²; BG ≤ 5 cd/m².</w:t>
      </w:r>
    </w:p>
    <w:p w:rsidR="004F47BB" w:rsidRPr="004F47BB" w:rsidRDefault="004F47BB" w:rsidP="004F47BB">
      <w:pPr>
        <w:widowControl w:val="0"/>
        <w:autoSpaceDE/>
        <w:autoSpaceDN/>
        <w:spacing w:before="60" w:line="240" w:lineRule="atLeast"/>
        <w:ind w:left="992"/>
        <w:rPr>
          <w:rFonts w:cs="Arial"/>
          <w:szCs w:val="20"/>
        </w:rPr>
      </w:pPr>
      <w:r>
        <w:t>11.</w:t>
      </w:r>
      <w:r>
        <w:tab/>
        <w:t>Posizione/funzionamento dello schermo</w:t>
      </w:r>
    </w:p>
    <w:p w:rsidR="004F47BB" w:rsidRPr="004F47BB" w:rsidRDefault="004F47BB" w:rsidP="004F47BB">
      <w:pPr>
        <w:spacing w:line="240" w:lineRule="atLeast"/>
        <w:ind w:left="993" w:firstLine="0"/>
        <w:rPr>
          <w:noProof/>
        </w:rPr>
      </w:pPr>
      <w:r>
        <w:t>Lo schermo radar e i suoi comandi devono essere installati conformemente ai requisiti per l'installazione alle prove di funzionamento per gli impianti radar di navigazione e gli indicatori della velocità di accostata nella navigazione interna (ES-TRIN, allegato 5, sezione III, articolo 5).</w:t>
      </w:r>
    </w:p>
    <w:p w:rsidR="004F47BB" w:rsidRPr="004F47BB" w:rsidRDefault="004F47BB" w:rsidP="004F47BB">
      <w:pPr>
        <w:spacing w:line="240" w:lineRule="atLeast"/>
        <w:ind w:left="0" w:firstLine="0"/>
        <w:jc w:val="center"/>
        <w:rPr>
          <w:noProof/>
        </w:rPr>
      </w:pPr>
    </w:p>
    <w:p w:rsidR="004F47BB" w:rsidRPr="004F47BB" w:rsidRDefault="004F47BB" w:rsidP="004F47BB">
      <w:pPr>
        <w:spacing w:line="240" w:lineRule="atLeast"/>
        <w:ind w:left="0" w:firstLine="0"/>
        <w:jc w:val="center"/>
        <w:rPr>
          <w:noProof/>
        </w:rPr>
      </w:pPr>
      <w:r>
        <w:br w:type="page"/>
      </w:r>
    </w:p>
    <w:p w:rsidR="004F47BB" w:rsidRPr="004F47BB" w:rsidRDefault="004F47BB" w:rsidP="004F47BB">
      <w:pPr>
        <w:spacing w:line="240" w:lineRule="atLeast"/>
        <w:ind w:left="0" w:firstLine="0"/>
        <w:jc w:val="center"/>
        <w:rPr>
          <w:noProof/>
        </w:rPr>
      </w:pPr>
    </w:p>
    <w:p w:rsidR="004F47BB" w:rsidRPr="004F47BB" w:rsidRDefault="004F47BB" w:rsidP="004F47BB">
      <w:pPr>
        <w:spacing w:line="240" w:lineRule="atLeast"/>
        <w:ind w:left="0" w:firstLine="0"/>
        <w:jc w:val="center"/>
        <w:rPr>
          <w:noProof/>
        </w:rPr>
      </w:pPr>
    </w:p>
    <w:p w:rsidR="004F47BB" w:rsidRPr="004F47BB" w:rsidRDefault="004F47BB" w:rsidP="004F47BB">
      <w:pPr>
        <w:spacing w:line="240" w:lineRule="atLeast"/>
        <w:ind w:left="0" w:firstLine="0"/>
        <w:jc w:val="center"/>
        <w:rPr>
          <w:noProof/>
        </w:rPr>
      </w:pPr>
    </w:p>
    <w:p w:rsidR="004F47BB" w:rsidRPr="004F47BB" w:rsidRDefault="004F47BB" w:rsidP="004F47BB">
      <w:pPr>
        <w:spacing w:line="240" w:lineRule="atLeast"/>
        <w:ind w:left="0" w:firstLine="0"/>
        <w:jc w:val="center"/>
        <w:rPr>
          <w:noProof/>
        </w:rPr>
      </w:pPr>
    </w:p>
    <w:p w:rsidR="004F47BB" w:rsidRPr="004F47BB" w:rsidRDefault="004F47BB" w:rsidP="004F47BB">
      <w:pPr>
        <w:overflowPunct w:val="0"/>
        <w:adjustRightInd w:val="0"/>
        <w:ind w:left="0" w:firstLine="0"/>
        <w:jc w:val="left"/>
        <w:textAlignment w:val="baseline"/>
        <w:rPr>
          <w:szCs w:val="20"/>
        </w:rPr>
        <w:sectPr w:rsidR="004F47BB" w:rsidRPr="004F47BB" w:rsidSect="00D45887">
          <w:footnotePr>
            <w:numRestart w:val="eachPage"/>
          </w:footnotePr>
          <w:pgSz w:w="11907" w:h="16840" w:code="9"/>
          <w:pgMar w:top="1418" w:right="1418" w:bottom="1418" w:left="1418" w:header="680" w:footer="680" w:gutter="0"/>
          <w:cols w:space="720"/>
          <w:docGrid w:linePitch="326"/>
        </w:sectPr>
      </w:pPr>
    </w:p>
    <w:p w:rsidR="004F47BB" w:rsidRPr="004F47BB" w:rsidRDefault="004F47BB" w:rsidP="005B46C9">
      <w:pPr>
        <w:pStyle w:val="ES-Titre2ESI"/>
      </w:pPr>
      <w:bookmarkStart w:id="747" w:name="_Toc491854356"/>
      <w:bookmarkStart w:id="748" w:name="_Toc535500305"/>
      <w:r>
        <w:lastRenderedPageBreak/>
        <w:t>ESI-II-7</w:t>
      </w:r>
      <w:r>
        <w:br/>
        <w:t>Impianti di raccolta degli oli usati</w:t>
      </w:r>
      <w:bookmarkEnd w:id="747"/>
      <w:bookmarkEnd w:id="748"/>
    </w:p>
    <w:p w:rsidR="004F47BB" w:rsidRPr="004F47BB" w:rsidRDefault="004F47BB" w:rsidP="004F47BB">
      <w:pPr>
        <w:tabs>
          <w:tab w:val="center" w:pos="4513"/>
        </w:tabs>
        <w:overflowPunct w:val="0"/>
        <w:adjustRightInd w:val="0"/>
        <w:ind w:left="0" w:firstLine="0"/>
        <w:jc w:val="center"/>
        <w:textAlignment w:val="baseline"/>
        <w:rPr>
          <w:b/>
          <w:szCs w:val="20"/>
        </w:rPr>
      </w:pPr>
    </w:p>
    <w:p w:rsidR="004F47BB" w:rsidRPr="004F47BB" w:rsidRDefault="004F47BB" w:rsidP="004F47BB">
      <w:pPr>
        <w:tabs>
          <w:tab w:val="center" w:pos="4513"/>
        </w:tabs>
        <w:overflowPunct w:val="0"/>
        <w:adjustRightInd w:val="0"/>
        <w:ind w:left="0" w:firstLine="0"/>
        <w:jc w:val="center"/>
        <w:textAlignment w:val="baseline"/>
        <w:rPr>
          <w:b/>
          <w:szCs w:val="20"/>
        </w:rPr>
      </w:pPr>
      <w:r>
        <w:rPr>
          <w:b/>
        </w:rPr>
        <w:t>(Articolo 8.09)</w:t>
      </w:r>
    </w:p>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ind w:left="0" w:firstLine="0"/>
        <w:textAlignment w:val="baseline"/>
        <w:rPr>
          <w:szCs w:val="20"/>
        </w:rPr>
      </w:pPr>
    </w:p>
    <w:p w:rsidR="004F47BB" w:rsidRPr="004F47BB" w:rsidRDefault="004F47BB" w:rsidP="004F47BB">
      <w:pPr>
        <w:spacing w:line="240" w:lineRule="atLeast"/>
        <w:ind w:left="0" w:firstLine="0"/>
        <w:rPr>
          <w:noProof/>
        </w:rPr>
      </w:pPr>
      <w:r>
        <w:t>Le navi esistenti di cui all'articolo 32.02, paragrafo 1, i cui impianti fissi di esaurimento della sentina e separatori statici di olio sono stati rimossi dalle loro sale macchine, non soddisfano più l'articolo 5.07 del RVIR in vigore al 31.12.1994.</w:t>
      </w:r>
    </w:p>
    <w:p w:rsidR="004F47BB" w:rsidRPr="004F47BB" w:rsidRDefault="004F47BB" w:rsidP="004F47BB">
      <w:pPr>
        <w:spacing w:line="240" w:lineRule="atLeast"/>
        <w:ind w:left="0" w:firstLine="0"/>
        <w:rPr>
          <w:noProof/>
        </w:rPr>
      </w:pPr>
    </w:p>
    <w:p w:rsidR="004F47BB" w:rsidRPr="004F47BB" w:rsidRDefault="004F47BB" w:rsidP="004F47BB">
      <w:pPr>
        <w:spacing w:line="240" w:lineRule="atLeast"/>
        <w:ind w:left="0" w:firstLine="0"/>
        <w:rPr>
          <w:noProof/>
        </w:rPr>
      </w:pPr>
      <w:r>
        <w:t>Conformemente alle disposizioni transitorie, tali navi devono essere dotate di un serbatoio di raccolta degli oli usati di cui all'articolo 8.09, paragrafo 2, ad eccezione dei casi di cui all'articolo 8.09, paragrafo 3.</w:t>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r>
        <w:br w:type="page"/>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sectPr w:rsidR="004F47BB" w:rsidRPr="004F47BB" w:rsidSect="00D45887">
          <w:footnotePr>
            <w:numRestart w:val="eachPage"/>
          </w:footnotePr>
          <w:pgSz w:w="11907" w:h="16840" w:code="9"/>
          <w:pgMar w:top="1418" w:right="1418" w:bottom="1418" w:left="1418" w:header="680" w:footer="680" w:gutter="0"/>
          <w:cols w:space="720"/>
          <w:docGrid w:linePitch="326"/>
        </w:sectPr>
      </w:pPr>
    </w:p>
    <w:p w:rsidR="004F47BB" w:rsidRPr="004F47BB" w:rsidRDefault="004F47BB" w:rsidP="005B46C9">
      <w:pPr>
        <w:pStyle w:val="ES-Titre2ESI"/>
        <w:rPr>
          <w:snapToGrid w:val="0"/>
        </w:rPr>
      </w:pPr>
      <w:bookmarkStart w:id="749" w:name="_Toc491854357"/>
      <w:bookmarkStart w:id="750" w:name="_Toc535500306"/>
      <w:r>
        <w:lastRenderedPageBreak/>
        <w:t>ESI-II-8</w:t>
      </w:r>
      <w:r>
        <w:br/>
        <w:t>(Senza oggetto)</w:t>
      </w:r>
      <w:bookmarkEnd w:id="749"/>
      <w:bookmarkEnd w:id="750"/>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spacing w:line="240" w:lineRule="atLeast"/>
        <w:rPr>
          <w:rFonts w:cs="Arial"/>
          <w:color w:val="000000"/>
        </w:rPr>
      </w:pPr>
    </w:p>
    <w:p w:rsidR="004F47BB" w:rsidRPr="004F47BB" w:rsidRDefault="004F47BB" w:rsidP="004F47BB">
      <w:pPr>
        <w:autoSpaceDE/>
        <w:autoSpaceDN/>
        <w:ind w:left="0" w:firstLine="0"/>
        <w:jc w:val="left"/>
        <w:rPr>
          <w:rFonts w:cs="Arial"/>
          <w:color w:val="000000"/>
        </w:rPr>
      </w:pPr>
      <w:r>
        <w:br w:type="page"/>
      </w:r>
    </w:p>
    <w:p w:rsidR="004F47BB" w:rsidRPr="004F47BB" w:rsidRDefault="004F47BB" w:rsidP="004F47BB">
      <w:pPr>
        <w:spacing w:line="240" w:lineRule="atLeast"/>
        <w:rPr>
          <w:rFonts w:cs="Arial"/>
          <w:color w:val="000000"/>
        </w:rPr>
      </w:pPr>
    </w:p>
    <w:p w:rsidR="004F47BB" w:rsidRPr="004F47BB" w:rsidRDefault="004F47BB" w:rsidP="004F47BB">
      <w:pPr>
        <w:spacing w:line="240" w:lineRule="atLeast"/>
        <w:rPr>
          <w:rFonts w:cs="Arial"/>
          <w:color w:val="000000"/>
        </w:rPr>
      </w:pPr>
    </w:p>
    <w:p w:rsidR="004F47BB" w:rsidRPr="004F47BB" w:rsidRDefault="004F47BB" w:rsidP="004F47BB">
      <w:pPr>
        <w:spacing w:line="240" w:lineRule="atLeast"/>
        <w:rPr>
          <w:rFonts w:cs="Arial"/>
          <w:color w:val="000000"/>
        </w:rPr>
      </w:pPr>
    </w:p>
    <w:p w:rsidR="004F47BB" w:rsidRPr="004F47BB" w:rsidRDefault="004F47BB" w:rsidP="004F47BB">
      <w:pPr>
        <w:spacing w:line="240" w:lineRule="atLeast"/>
        <w:rPr>
          <w:rFonts w:cs="Arial"/>
          <w:color w:val="000000"/>
        </w:rPr>
      </w:pPr>
    </w:p>
    <w:p w:rsidR="004F47BB" w:rsidRPr="004F47BB" w:rsidRDefault="004F47BB" w:rsidP="004F47BB">
      <w:pPr>
        <w:spacing w:line="240" w:lineRule="atLeast"/>
        <w:rPr>
          <w:rFonts w:cs="Arial"/>
          <w:color w:val="000000"/>
          <w:szCs w:val="20"/>
        </w:rPr>
        <w:sectPr w:rsidR="004F47BB" w:rsidRPr="004F47BB" w:rsidSect="00D45887">
          <w:footnotePr>
            <w:numRestart w:val="eachPage"/>
          </w:footnotePr>
          <w:pgSz w:w="11907" w:h="16840" w:code="9"/>
          <w:pgMar w:top="1418" w:right="1418" w:bottom="1418" w:left="1418" w:header="680" w:footer="680" w:gutter="0"/>
          <w:cols w:space="720"/>
          <w:docGrid w:linePitch="326"/>
        </w:sectPr>
      </w:pPr>
    </w:p>
    <w:p w:rsidR="004F47BB" w:rsidRPr="004F47BB" w:rsidRDefault="004F47BB" w:rsidP="003F3DE1">
      <w:pPr>
        <w:pStyle w:val="ES-Titre2ESI"/>
      </w:pPr>
      <w:bookmarkStart w:id="751" w:name="_Toc491854358"/>
      <w:bookmarkStart w:id="752" w:name="_Toc535500307"/>
      <w:r>
        <w:lastRenderedPageBreak/>
        <w:t>ESI-II-9</w:t>
      </w:r>
      <w:r>
        <w:br/>
        <w:t>Ancore speciali a massa ridotta</w:t>
      </w:r>
      <w:bookmarkEnd w:id="751"/>
      <w:bookmarkEnd w:id="752"/>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tabs>
          <w:tab w:val="left" w:pos="284"/>
          <w:tab w:val="left" w:pos="567"/>
        </w:tabs>
        <w:overflowPunct w:val="0"/>
        <w:adjustRightInd w:val="0"/>
        <w:ind w:left="0" w:firstLine="0"/>
        <w:jc w:val="center"/>
        <w:textAlignment w:val="baseline"/>
        <w:rPr>
          <w:szCs w:val="20"/>
        </w:rPr>
      </w:pPr>
      <w:r>
        <w:rPr>
          <w:b/>
        </w:rPr>
        <w:t>(Articolo 13.01, paragrafo 5)</w:t>
      </w:r>
    </w:p>
    <w:p w:rsidR="004F47BB" w:rsidRPr="004F47BB" w:rsidRDefault="004F47BB" w:rsidP="004F47BB">
      <w:pPr>
        <w:tabs>
          <w:tab w:val="left" w:pos="284"/>
          <w:tab w:val="left" w:pos="567"/>
        </w:tabs>
        <w:overflowPunct w:val="0"/>
        <w:adjustRightInd w:val="0"/>
        <w:ind w:left="0" w:firstLine="0"/>
        <w:textAlignment w:val="baseline"/>
        <w:rPr>
          <w:szCs w:val="20"/>
        </w:rPr>
      </w:pPr>
    </w:p>
    <w:p w:rsidR="004F47BB" w:rsidRPr="004F47BB" w:rsidRDefault="004F47BB" w:rsidP="004F47BB">
      <w:pPr>
        <w:tabs>
          <w:tab w:val="left" w:pos="284"/>
          <w:tab w:val="left" w:pos="567"/>
        </w:tabs>
        <w:overflowPunct w:val="0"/>
        <w:adjustRightInd w:val="0"/>
        <w:ind w:left="284" w:hanging="284"/>
        <w:textAlignment w:val="baseline"/>
        <w:rPr>
          <w:b/>
          <w:szCs w:val="20"/>
        </w:rPr>
      </w:pPr>
      <w:r>
        <w:rPr>
          <w:b/>
        </w:rPr>
        <w:t>Sezione 1</w:t>
      </w:r>
    </w:p>
    <w:p w:rsidR="004F47BB" w:rsidRPr="004F47BB" w:rsidRDefault="004F47BB" w:rsidP="004F47BB">
      <w:pPr>
        <w:tabs>
          <w:tab w:val="left" w:pos="284"/>
          <w:tab w:val="left" w:pos="567"/>
        </w:tabs>
        <w:overflowPunct w:val="0"/>
        <w:adjustRightInd w:val="0"/>
        <w:ind w:left="284" w:hanging="284"/>
        <w:textAlignment w:val="baseline"/>
        <w:rPr>
          <w:b/>
          <w:szCs w:val="20"/>
        </w:rPr>
      </w:pPr>
    </w:p>
    <w:p w:rsidR="004F47BB" w:rsidRPr="004F47BB" w:rsidRDefault="004F47BB" w:rsidP="004F47BB">
      <w:pPr>
        <w:tabs>
          <w:tab w:val="left" w:pos="284"/>
          <w:tab w:val="left" w:pos="567"/>
        </w:tabs>
        <w:overflowPunct w:val="0"/>
        <w:adjustRightInd w:val="0"/>
        <w:ind w:left="284" w:hanging="284"/>
        <w:textAlignment w:val="baseline"/>
        <w:rPr>
          <w:szCs w:val="20"/>
        </w:rPr>
      </w:pPr>
      <w:r>
        <w:rPr>
          <w:b/>
        </w:rPr>
        <w:t>Ancore speciali autorizzate</w:t>
      </w:r>
    </w:p>
    <w:p w:rsidR="004F47BB" w:rsidRPr="004F47BB" w:rsidRDefault="004F47BB" w:rsidP="004F47BB">
      <w:pPr>
        <w:tabs>
          <w:tab w:val="left" w:pos="284"/>
          <w:tab w:val="left" w:pos="567"/>
        </w:tabs>
        <w:overflowPunct w:val="0"/>
        <w:adjustRightInd w:val="0"/>
        <w:ind w:left="284" w:hanging="284"/>
        <w:textAlignment w:val="baseline"/>
        <w:rPr>
          <w:szCs w:val="20"/>
        </w:rPr>
      </w:pPr>
    </w:p>
    <w:p w:rsidR="004F47BB" w:rsidRPr="004F47BB" w:rsidRDefault="004F47BB" w:rsidP="004F47BB">
      <w:pPr>
        <w:tabs>
          <w:tab w:val="left" w:pos="0"/>
          <w:tab w:val="left" w:pos="567"/>
        </w:tabs>
        <w:overflowPunct w:val="0"/>
        <w:adjustRightInd w:val="0"/>
        <w:ind w:left="0" w:firstLine="0"/>
        <w:textAlignment w:val="baseline"/>
        <w:rPr>
          <w:szCs w:val="20"/>
        </w:rPr>
      </w:pPr>
      <w:r>
        <w:t>Nella tabella che segue sono riportate le ancore speciali a massa ridotta autorizzate dalle autorità competenti a norma dell'articolo 13.01, paragrafo 5.</w:t>
      </w:r>
    </w:p>
    <w:p w:rsidR="004F47BB" w:rsidRPr="004F47BB" w:rsidRDefault="004F47BB" w:rsidP="004F47BB">
      <w:pPr>
        <w:tabs>
          <w:tab w:val="left" w:pos="284"/>
          <w:tab w:val="left" w:pos="567"/>
        </w:tabs>
        <w:overflowPunct w:val="0"/>
        <w:adjustRightInd w:val="0"/>
        <w:ind w:left="284" w:hanging="284"/>
        <w:textAlignment w:val="baseline"/>
        <w:rPr>
          <w:szCs w:val="20"/>
        </w:rPr>
      </w:pPr>
    </w:p>
    <w:tbl>
      <w:tblPr>
        <w:tblW w:w="0" w:type="auto"/>
        <w:jc w:val="center"/>
        <w:tblLayout w:type="fixed"/>
        <w:tblCellMar>
          <w:left w:w="0" w:type="dxa"/>
          <w:right w:w="0" w:type="dxa"/>
        </w:tblCellMar>
        <w:tblLook w:val="0000" w:firstRow="0" w:lastRow="0" w:firstColumn="0" w:lastColumn="0" w:noHBand="0" w:noVBand="0"/>
      </w:tblPr>
      <w:tblGrid>
        <w:gridCol w:w="2948"/>
        <w:gridCol w:w="2778"/>
        <w:gridCol w:w="2552"/>
      </w:tblGrid>
      <w:tr w:rsidR="004F47BB" w:rsidRPr="004F47BB" w:rsidTr="00D45887">
        <w:trPr>
          <w:jc w:val="center"/>
        </w:trPr>
        <w:tc>
          <w:tcPr>
            <w:tcW w:w="2948" w:type="dxa"/>
            <w:tcBorders>
              <w:top w:val="single" w:sz="6" w:space="0" w:color="auto"/>
              <w:left w:val="single" w:sz="6" w:space="0" w:color="auto"/>
              <w:bottom w:val="nil"/>
              <w:right w:val="nil"/>
            </w:tcBorders>
            <w:vAlign w:val="center"/>
          </w:tcPr>
          <w:p w:rsidR="004F47BB" w:rsidRPr="004F47BB" w:rsidRDefault="004F47BB" w:rsidP="004F47BB">
            <w:pPr>
              <w:tabs>
                <w:tab w:val="center" w:pos="1464"/>
              </w:tabs>
              <w:overflowPunct w:val="0"/>
              <w:adjustRightInd w:val="0"/>
              <w:spacing w:before="100" w:after="100" w:line="240" w:lineRule="atLeast"/>
              <w:ind w:left="0" w:firstLine="0"/>
              <w:jc w:val="center"/>
              <w:textAlignment w:val="baseline"/>
              <w:rPr>
                <w:sz w:val="18"/>
                <w:szCs w:val="20"/>
              </w:rPr>
            </w:pPr>
            <w:r>
              <w:rPr>
                <w:sz w:val="18"/>
              </w:rPr>
              <w:t>Numero di ancora</w:t>
            </w:r>
          </w:p>
        </w:tc>
        <w:tc>
          <w:tcPr>
            <w:tcW w:w="2778" w:type="dxa"/>
            <w:tcBorders>
              <w:top w:val="single" w:sz="6" w:space="0" w:color="auto"/>
              <w:left w:val="single" w:sz="6" w:space="0" w:color="auto"/>
              <w:bottom w:val="nil"/>
              <w:right w:val="nil"/>
            </w:tcBorders>
            <w:vAlign w:val="center"/>
          </w:tcPr>
          <w:p w:rsidR="004F47BB" w:rsidRPr="004F47BB" w:rsidRDefault="004F47BB" w:rsidP="004F47BB">
            <w:pPr>
              <w:tabs>
                <w:tab w:val="center" w:pos="1445"/>
              </w:tabs>
              <w:overflowPunct w:val="0"/>
              <w:adjustRightInd w:val="0"/>
              <w:spacing w:before="100" w:after="100" w:line="240" w:lineRule="atLeast"/>
              <w:ind w:left="0" w:firstLine="0"/>
              <w:jc w:val="center"/>
              <w:textAlignment w:val="baseline"/>
              <w:rPr>
                <w:sz w:val="18"/>
                <w:szCs w:val="20"/>
              </w:rPr>
            </w:pPr>
            <w:r>
              <w:rPr>
                <w:sz w:val="18"/>
              </w:rPr>
              <w:t>Riduzione autorizzata della massa dell'ancora (%)</w:t>
            </w:r>
          </w:p>
        </w:tc>
        <w:tc>
          <w:tcPr>
            <w:tcW w:w="2552" w:type="dxa"/>
            <w:tcBorders>
              <w:top w:val="single" w:sz="6" w:space="0" w:color="auto"/>
              <w:left w:val="single" w:sz="6" w:space="0" w:color="auto"/>
              <w:bottom w:val="nil"/>
              <w:right w:val="single" w:sz="6" w:space="0" w:color="auto"/>
            </w:tcBorders>
            <w:vAlign w:val="center"/>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ind w:left="0" w:firstLine="0"/>
              <w:jc w:val="center"/>
              <w:textAlignment w:val="baseline"/>
              <w:rPr>
                <w:sz w:val="18"/>
                <w:szCs w:val="20"/>
              </w:rPr>
            </w:pPr>
            <w:r>
              <w:rPr>
                <w:sz w:val="18"/>
              </w:rPr>
              <w:t>Autorità competente</w:t>
            </w:r>
          </w:p>
        </w:tc>
      </w:tr>
      <w:tr w:rsidR="004F47BB" w:rsidRPr="004F47BB" w:rsidTr="00D45887">
        <w:trPr>
          <w:jc w:val="center"/>
        </w:trPr>
        <w:tc>
          <w:tcPr>
            <w:tcW w:w="2948" w:type="dxa"/>
            <w:tcBorders>
              <w:top w:val="single" w:sz="6" w:space="0" w:color="auto"/>
              <w:left w:val="single" w:sz="6" w:space="0" w:color="auto"/>
              <w:bottom w:val="nil"/>
              <w:right w:val="nil"/>
            </w:tcBorders>
            <w:vAlign w:val="center"/>
          </w:tcPr>
          <w:p w:rsidR="004F47BB" w:rsidRPr="004F47BB" w:rsidRDefault="004F47BB" w:rsidP="004F47BB">
            <w:pPr>
              <w:overflowPunct w:val="0"/>
              <w:adjustRightInd w:val="0"/>
              <w:spacing w:before="100" w:after="100" w:line="240" w:lineRule="atLeast"/>
              <w:ind w:left="538" w:right="113"/>
              <w:jc w:val="left"/>
              <w:textAlignment w:val="baseline"/>
              <w:rPr>
                <w:sz w:val="18"/>
                <w:szCs w:val="20"/>
              </w:rPr>
            </w:pPr>
            <w:r>
              <w:rPr>
                <w:sz w:val="18"/>
              </w:rPr>
              <w:t>1.</w:t>
            </w:r>
            <w:r>
              <w:tab/>
            </w:r>
            <w:r>
              <w:rPr>
                <w:noProof/>
                <w:sz w:val="18"/>
              </w:rPr>
              <w:t>HA-DU</w:t>
            </w:r>
          </w:p>
        </w:tc>
        <w:tc>
          <w:tcPr>
            <w:tcW w:w="2778" w:type="dxa"/>
            <w:tcBorders>
              <w:top w:val="single" w:sz="6" w:space="0" w:color="auto"/>
              <w:left w:val="single" w:sz="6" w:space="0" w:color="auto"/>
              <w:bottom w:val="nil"/>
              <w:right w:val="nil"/>
            </w:tcBorders>
            <w:vAlign w:val="center"/>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ind w:left="0" w:firstLine="0"/>
              <w:jc w:val="center"/>
              <w:textAlignment w:val="baseline"/>
              <w:rPr>
                <w:sz w:val="18"/>
                <w:szCs w:val="20"/>
              </w:rPr>
            </w:pPr>
            <w:r>
              <w:rPr>
                <w:sz w:val="18"/>
              </w:rPr>
              <w:t>30 %</w:t>
            </w:r>
          </w:p>
        </w:tc>
        <w:tc>
          <w:tcPr>
            <w:tcW w:w="2552" w:type="dxa"/>
            <w:tcBorders>
              <w:top w:val="single" w:sz="6" w:space="0" w:color="auto"/>
              <w:left w:val="single" w:sz="6" w:space="0" w:color="auto"/>
              <w:bottom w:val="nil"/>
              <w:right w:val="single" w:sz="6" w:space="0" w:color="auto"/>
            </w:tcBorders>
            <w:vAlign w:val="center"/>
          </w:tcPr>
          <w:p w:rsidR="004F47BB" w:rsidRPr="004F47BB" w:rsidRDefault="004F47BB" w:rsidP="004F47BB">
            <w:pPr>
              <w:spacing w:before="100" w:after="100" w:line="240" w:lineRule="atLeast"/>
              <w:ind w:left="516" w:right="113" w:hanging="403"/>
              <w:jc w:val="center"/>
              <w:rPr>
                <w:noProof/>
                <w:sz w:val="18"/>
              </w:rPr>
            </w:pPr>
            <w:r>
              <w:rPr>
                <w:noProof/>
                <w:sz w:val="18"/>
              </w:rPr>
              <w:t xml:space="preserve">Germania </w:t>
            </w:r>
          </w:p>
        </w:tc>
      </w:tr>
      <w:tr w:rsidR="004F47BB" w:rsidRPr="004F47BB" w:rsidTr="00D45887">
        <w:trPr>
          <w:jc w:val="center"/>
        </w:trPr>
        <w:tc>
          <w:tcPr>
            <w:tcW w:w="2948" w:type="dxa"/>
            <w:tcBorders>
              <w:top w:val="single" w:sz="6" w:space="0" w:color="auto"/>
              <w:left w:val="single" w:sz="6" w:space="0" w:color="auto"/>
              <w:bottom w:val="nil"/>
              <w:right w:val="nil"/>
            </w:tcBorders>
            <w:vAlign w:val="center"/>
          </w:tcPr>
          <w:p w:rsidR="004F47BB" w:rsidRPr="004F47BB" w:rsidRDefault="004F47BB" w:rsidP="004F47BB">
            <w:pPr>
              <w:overflowPunct w:val="0"/>
              <w:adjustRightInd w:val="0"/>
              <w:spacing w:before="100" w:after="100" w:line="240" w:lineRule="atLeast"/>
              <w:ind w:left="538" w:right="113"/>
              <w:jc w:val="left"/>
              <w:textAlignment w:val="baseline"/>
              <w:rPr>
                <w:sz w:val="18"/>
                <w:szCs w:val="20"/>
              </w:rPr>
            </w:pPr>
            <w:r>
              <w:rPr>
                <w:sz w:val="18"/>
              </w:rPr>
              <w:t>2.</w:t>
            </w:r>
            <w:r>
              <w:tab/>
            </w:r>
            <w:r>
              <w:rPr>
                <w:noProof/>
                <w:sz w:val="18"/>
              </w:rPr>
              <w:t>D'Hone Spezial</w:t>
            </w:r>
          </w:p>
        </w:tc>
        <w:tc>
          <w:tcPr>
            <w:tcW w:w="2778" w:type="dxa"/>
            <w:tcBorders>
              <w:top w:val="single" w:sz="6" w:space="0" w:color="auto"/>
              <w:left w:val="single" w:sz="6" w:space="0" w:color="auto"/>
              <w:bottom w:val="nil"/>
              <w:right w:val="nil"/>
            </w:tcBorders>
            <w:vAlign w:val="center"/>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ind w:left="0" w:firstLine="0"/>
              <w:jc w:val="center"/>
              <w:textAlignment w:val="baseline"/>
              <w:rPr>
                <w:sz w:val="18"/>
                <w:szCs w:val="20"/>
              </w:rPr>
            </w:pPr>
            <w:r>
              <w:rPr>
                <w:sz w:val="18"/>
              </w:rPr>
              <w:t>30 %</w:t>
            </w:r>
          </w:p>
        </w:tc>
        <w:tc>
          <w:tcPr>
            <w:tcW w:w="2552" w:type="dxa"/>
            <w:tcBorders>
              <w:top w:val="single" w:sz="6" w:space="0" w:color="auto"/>
              <w:left w:val="single" w:sz="6" w:space="0" w:color="auto"/>
              <w:bottom w:val="nil"/>
              <w:right w:val="single" w:sz="6" w:space="0" w:color="auto"/>
            </w:tcBorders>
            <w:vAlign w:val="center"/>
          </w:tcPr>
          <w:p w:rsidR="004F47BB" w:rsidRPr="004F47BB" w:rsidRDefault="004F47BB" w:rsidP="004F47BB">
            <w:pPr>
              <w:spacing w:before="100" w:after="100" w:line="240" w:lineRule="atLeast"/>
              <w:ind w:left="516" w:right="113" w:hanging="403"/>
              <w:jc w:val="center"/>
              <w:rPr>
                <w:noProof/>
                <w:sz w:val="18"/>
              </w:rPr>
            </w:pPr>
            <w:r>
              <w:rPr>
                <w:noProof/>
                <w:sz w:val="18"/>
              </w:rPr>
              <w:t xml:space="preserve">Germania </w:t>
            </w:r>
          </w:p>
        </w:tc>
      </w:tr>
      <w:tr w:rsidR="004F47BB" w:rsidRPr="004F47BB" w:rsidTr="00D45887">
        <w:trPr>
          <w:jc w:val="center"/>
        </w:trPr>
        <w:tc>
          <w:tcPr>
            <w:tcW w:w="2948" w:type="dxa"/>
            <w:tcBorders>
              <w:top w:val="single" w:sz="6" w:space="0" w:color="auto"/>
              <w:left w:val="single" w:sz="6" w:space="0" w:color="auto"/>
              <w:bottom w:val="nil"/>
              <w:right w:val="nil"/>
            </w:tcBorders>
            <w:vAlign w:val="center"/>
          </w:tcPr>
          <w:p w:rsidR="004F47BB" w:rsidRPr="004F47BB" w:rsidRDefault="004F47BB" w:rsidP="004F47BB">
            <w:pPr>
              <w:overflowPunct w:val="0"/>
              <w:adjustRightInd w:val="0"/>
              <w:spacing w:before="100" w:after="100" w:line="240" w:lineRule="atLeast"/>
              <w:ind w:left="538" w:right="113"/>
              <w:jc w:val="left"/>
              <w:textAlignment w:val="baseline"/>
              <w:rPr>
                <w:sz w:val="18"/>
                <w:szCs w:val="20"/>
              </w:rPr>
            </w:pPr>
            <w:r>
              <w:rPr>
                <w:sz w:val="18"/>
              </w:rPr>
              <w:t>3.</w:t>
            </w:r>
            <w:r>
              <w:tab/>
            </w:r>
            <w:r>
              <w:rPr>
                <w:noProof/>
                <w:sz w:val="18"/>
              </w:rPr>
              <w:t>Pool 1 (cava)</w:t>
            </w:r>
          </w:p>
        </w:tc>
        <w:tc>
          <w:tcPr>
            <w:tcW w:w="2778" w:type="dxa"/>
            <w:tcBorders>
              <w:top w:val="single" w:sz="6" w:space="0" w:color="auto"/>
              <w:left w:val="single" w:sz="6" w:space="0" w:color="auto"/>
              <w:bottom w:val="nil"/>
              <w:right w:val="nil"/>
            </w:tcBorders>
            <w:vAlign w:val="center"/>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ind w:left="0" w:firstLine="0"/>
              <w:jc w:val="center"/>
              <w:textAlignment w:val="baseline"/>
              <w:rPr>
                <w:sz w:val="18"/>
                <w:szCs w:val="20"/>
              </w:rPr>
            </w:pPr>
            <w:r>
              <w:rPr>
                <w:sz w:val="18"/>
              </w:rPr>
              <w:t>35 %</w:t>
            </w:r>
          </w:p>
        </w:tc>
        <w:tc>
          <w:tcPr>
            <w:tcW w:w="2552" w:type="dxa"/>
            <w:tcBorders>
              <w:top w:val="single" w:sz="6" w:space="0" w:color="auto"/>
              <w:left w:val="single" w:sz="6" w:space="0" w:color="auto"/>
              <w:bottom w:val="nil"/>
              <w:right w:val="single" w:sz="6" w:space="0" w:color="auto"/>
            </w:tcBorders>
            <w:vAlign w:val="center"/>
          </w:tcPr>
          <w:p w:rsidR="004F47BB" w:rsidRPr="004F47BB" w:rsidRDefault="004F47BB" w:rsidP="004F47BB">
            <w:pPr>
              <w:spacing w:before="100" w:after="100" w:line="240" w:lineRule="atLeast"/>
              <w:ind w:left="516" w:right="113" w:hanging="403"/>
              <w:jc w:val="center"/>
              <w:rPr>
                <w:noProof/>
                <w:sz w:val="18"/>
              </w:rPr>
            </w:pPr>
            <w:r>
              <w:rPr>
                <w:noProof/>
                <w:sz w:val="18"/>
              </w:rPr>
              <w:t xml:space="preserve">Germania </w:t>
            </w:r>
          </w:p>
        </w:tc>
      </w:tr>
      <w:tr w:rsidR="004F47BB" w:rsidRPr="004F47BB" w:rsidTr="00D45887">
        <w:trPr>
          <w:jc w:val="center"/>
        </w:trPr>
        <w:tc>
          <w:tcPr>
            <w:tcW w:w="2948" w:type="dxa"/>
            <w:tcBorders>
              <w:top w:val="single" w:sz="6" w:space="0" w:color="auto"/>
              <w:left w:val="single" w:sz="6" w:space="0" w:color="auto"/>
              <w:bottom w:val="nil"/>
              <w:right w:val="nil"/>
            </w:tcBorders>
            <w:vAlign w:val="center"/>
          </w:tcPr>
          <w:p w:rsidR="004F47BB" w:rsidRPr="004F47BB" w:rsidRDefault="004F47BB" w:rsidP="004F47BB">
            <w:pPr>
              <w:overflowPunct w:val="0"/>
              <w:adjustRightInd w:val="0"/>
              <w:spacing w:before="100" w:after="100" w:line="240" w:lineRule="atLeast"/>
              <w:ind w:left="538" w:right="113"/>
              <w:jc w:val="left"/>
              <w:textAlignment w:val="baseline"/>
              <w:rPr>
                <w:sz w:val="18"/>
                <w:szCs w:val="20"/>
              </w:rPr>
            </w:pPr>
            <w:r>
              <w:rPr>
                <w:sz w:val="18"/>
              </w:rPr>
              <w:t>4.</w:t>
            </w:r>
            <w:r>
              <w:tab/>
            </w:r>
            <w:r>
              <w:rPr>
                <w:noProof/>
                <w:sz w:val="18"/>
              </w:rPr>
              <w:t>Pool 2 (piena)</w:t>
            </w:r>
          </w:p>
        </w:tc>
        <w:tc>
          <w:tcPr>
            <w:tcW w:w="2778" w:type="dxa"/>
            <w:tcBorders>
              <w:top w:val="single" w:sz="6" w:space="0" w:color="auto"/>
              <w:left w:val="single" w:sz="6" w:space="0" w:color="auto"/>
              <w:bottom w:val="nil"/>
              <w:right w:val="nil"/>
            </w:tcBorders>
            <w:vAlign w:val="center"/>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ind w:left="0" w:firstLine="0"/>
              <w:jc w:val="center"/>
              <w:textAlignment w:val="baseline"/>
              <w:rPr>
                <w:sz w:val="18"/>
                <w:szCs w:val="20"/>
              </w:rPr>
            </w:pPr>
            <w:r>
              <w:rPr>
                <w:sz w:val="18"/>
              </w:rPr>
              <w:t>40 %</w:t>
            </w:r>
          </w:p>
        </w:tc>
        <w:tc>
          <w:tcPr>
            <w:tcW w:w="2552" w:type="dxa"/>
            <w:tcBorders>
              <w:top w:val="single" w:sz="6" w:space="0" w:color="auto"/>
              <w:left w:val="single" w:sz="6" w:space="0" w:color="auto"/>
              <w:bottom w:val="nil"/>
              <w:right w:val="single" w:sz="6" w:space="0" w:color="auto"/>
            </w:tcBorders>
            <w:vAlign w:val="center"/>
          </w:tcPr>
          <w:p w:rsidR="004F47BB" w:rsidRPr="004F47BB" w:rsidRDefault="004F47BB" w:rsidP="004F47BB">
            <w:pPr>
              <w:spacing w:before="100" w:after="100" w:line="240" w:lineRule="atLeast"/>
              <w:ind w:left="516" w:right="113" w:hanging="403"/>
              <w:jc w:val="center"/>
              <w:rPr>
                <w:noProof/>
                <w:sz w:val="18"/>
              </w:rPr>
            </w:pPr>
            <w:r>
              <w:rPr>
                <w:noProof/>
                <w:sz w:val="18"/>
              </w:rPr>
              <w:t xml:space="preserve">Germania </w:t>
            </w:r>
          </w:p>
        </w:tc>
      </w:tr>
      <w:tr w:rsidR="004F47BB" w:rsidRPr="004F47BB" w:rsidTr="00D45887">
        <w:trPr>
          <w:jc w:val="center"/>
        </w:trPr>
        <w:tc>
          <w:tcPr>
            <w:tcW w:w="2948" w:type="dxa"/>
            <w:tcBorders>
              <w:top w:val="single" w:sz="6" w:space="0" w:color="auto"/>
              <w:left w:val="single" w:sz="6" w:space="0" w:color="auto"/>
              <w:bottom w:val="nil"/>
              <w:right w:val="nil"/>
            </w:tcBorders>
            <w:vAlign w:val="center"/>
          </w:tcPr>
          <w:p w:rsidR="004F47BB" w:rsidRPr="004F47BB" w:rsidRDefault="004F47BB" w:rsidP="004F47BB">
            <w:pPr>
              <w:overflowPunct w:val="0"/>
              <w:adjustRightInd w:val="0"/>
              <w:spacing w:before="100" w:after="100" w:line="240" w:lineRule="atLeast"/>
              <w:ind w:left="538" w:right="113"/>
              <w:jc w:val="left"/>
              <w:textAlignment w:val="baseline"/>
              <w:rPr>
                <w:sz w:val="18"/>
                <w:szCs w:val="20"/>
              </w:rPr>
            </w:pPr>
            <w:r>
              <w:rPr>
                <w:sz w:val="18"/>
              </w:rPr>
              <w:t>5.</w:t>
            </w:r>
            <w:r>
              <w:tab/>
            </w:r>
            <w:r>
              <w:rPr>
                <w:noProof/>
                <w:sz w:val="18"/>
              </w:rPr>
              <w:t>De Biesbosch-Danforth</w:t>
            </w:r>
          </w:p>
        </w:tc>
        <w:tc>
          <w:tcPr>
            <w:tcW w:w="2778" w:type="dxa"/>
            <w:tcBorders>
              <w:top w:val="single" w:sz="6" w:space="0" w:color="auto"/>
              <w:left w:val="single" w:sz="6" w:space="0" w:color="auto"/>
              <w:bottom w:val="nil"/>
              <w:right w:val="nil"/>
            </w:tcBorders>
            <w:vAlign w:val="center"/>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ind w:left="0" w:firstLine="0"/>
              <w:jc w:val="center"/>
              <w:textAlignment w:val="baseline"/>
              <w:rPr>
                <w:sz w:val="18"/>
                <w:szCs w:val="20"/>
              </w:rPr>
            </w:pPr>
            <w:r>
              <w:rPr>
                <w:sz w:val="18"/>
              </w:rPr>
              <w:t>50 %</w:t>
            </w:r>
          </w:p>
        </w:tc>
        <w:tc>
          <w:tcPr>
            <w:tcW w:w="2552" w:type="dxa"/>
            <w:tcBorders>
              <w:top w:val="single" w:sz="6" w:space="0" w:color="auto"/>
              <w:left w:val="single" w:sz="6" w:space="0" w:color="auto"/>
              <w:bottom w:val="nil"/>
              <w:right w:val="single" w:sz="6" w:space="0" w:color="auto"/>
            </w:tcBorders>
            <w:vAlign w:val="center"/>
          </w:tcPr>
          <w:p w:rsidR="004F47BB" w:rsidRPr="004F47BB" w:rsidRDefault="004F47BB" w:rsidP="004F47BB">
            <w:pPr>
              <w:spacing w:before="100" w:after="100" w:line="240" w:lineRule="atLeast"/>
              <w:ind w:left="516" w:right="113" w:hanging="403"/>
              <w:jc w:val="center"/>
              <w:rPr>
                <w:noProof/>
                <w:sz w:val="18"/>
              </w:rPr>
            </w:pPr>
            <w:r>
              <w:rPr>
                <w:noProof/>
                <w:sz w:val="18"/>
              </w:rPr>
              <w:t xml:space="preserve">Germania </w:t>
            </w:r>
          </w:p>
        </w:tc>
      </w:tr>
      <w:tr w:rsidR="004F47BB" w:rsidRPr="004F47BB" w:rsidTr="00D45887">
        <w:trPr>
          <w:jc w:val="center"/>
        </w:trPr>
        <w:tc>
          <w:tcPr>
            <w:tcW w:w="2948" w:type="dxa"/>
            <w:tcBorders>
              <w:top w:val="single" w:sz="6" w:space="0" w:color="auto"/>
              <w:left w:val="single" w:sz="6" w:space="0" w:color="auto"/>
              <w:bottom w:val="nil"/>
              <w:right w:val="nil"/>
            </w:tcBorders>
            <w:vAlign w:val="center"/>
          </w:tcPr>
          <w:p w:rsidR="004F47BB" w:rsidRPr="004F47BB" w:rsidRDefault="004F47BB" w:rsidP="004F47BB">
            <w:pPr>
              <w:overflowPunct w:val="0"/>
              <w:adjustRightInd w:val="0"/>
              <w:spacing w:before="100" w:after="100" w:line="240" w:lineRule="atLeast"/>
              <w:ind w:left="538" w:right="113"/>
              <w:jc w:val="left"/>
              <w:textAlignment w:val="baseline"/>
              <w:rPr>
                <w:sz w:val="18"/>
                <w:szCs w:val="20"/>
              </w:rPr>
            </w:pPr>
            <w:r>
              <w:rPr>
                <w:sz w:val="18"/>
              </w:rPr>
              <w:t>6.</w:t>
            </w:r>
            <w:r>
              <w:tab/>
            </w:r>
            <w:r>
              <w:rPr>
                <w:noProof/>
                <w:sz w:val="18"/>
              </w:rPr>
              <w:t>Vicinay-Danforth</w:t>
            </w:r>
          </w:p>
        </w:tc>
        <w:tc>
          <w:tcPr>
            <w:tcW w:w="2778" w:type="dxa"/>
            <w:tcBorders>
              <w:top w:val="single" w:sz="6" w:space="0" w:color="auto"/>
              <w:left w:val="single" w:sz="6" w:space="0" w:color="auto"/>
              <w:bottom w:val="nil"/>
              <w:right w:val="nil"/>
            </w:tcBorders>
            <w:vAlign w:val="center"/>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ind w:left="0" w:firstLine="0"/>
              <w:jc w:val="center"/>
              <w:textAlignment w:val="baseline"/>
              <w:rPr>
                <w:sz w:val="18"/>
                <w:szCs w:val="20"/>
              </w:rPr>
            </w:pPr>
            <w:r>
              <w:rPr>
                <w:sz w:val="18"/>
              </w:rPr>
              <w:t>50 %</w:t>
            </w:r>
          </w:p>
        </w:tc>
        <w:tc>
          <w:tcPr>
            <w:tcW w:w="2552" w:type="dxa"/>
            <w:tcBorders>
              <w:top w:val="single" w:sz="6" w:space="0" w:color="auto"/>
              <w:left w:val="single" w:sz="6" w:space="0" w:color="auto"/>
              <w:bottom w:val="nil"/>
              <w:right w:val="single" w:sz="6" w:space="0" w:color="auto"/>
            </w:tcBorders>
            <w:vAlign w:val="center"/>
          </w:tcPr>
          <w:p w:rsidR="004F47BB" w:rsidRPr="004F47BB" w:rsidRDefault="004F47BB" w:rsidP="004F47BB">
            <w:pPr>
              <w:spacing w:before="100" w:after="100" w:line="240" w:lineRule="atLeast"/>
              <w:ind w:left="516" w:right="113" w:hanging="403"/>
              <w:jc w:val="center"/>
              <w:rPr>
                <w:noProof/>
                <w:sz w:val="18"/>
              </w:rPr>
            </w:pPr>
            <w:r>
              <w:rPr>
                <w:noProof/>
                <w:sz w:val="18"/>
              </w:rPr>
              <w:t xml:space="preserve">Francia </w:t>
            </w:r>
          </w:p>
        </w:tc>
      </w:tr>
      <w:tr w:rsidR="004F47BB" w:rsidRPr="004F47BB" w:rsidTr="00D45887">
        <w:trPr>
          <w:jc w:val="center"/>
        </w:trPr>
        <w:tc>
          <w:tcPr>
            <w:tcW w:w="2948" w:type="dxa"/>
            <w:tcBorders>
              <w:top w:val="single" w:sz="6" w:space="0" w:color="auto"/>
              <w:left w:val="single" w:sz="6" w:space="0" w:color="auto"/>
              <w:bottom w:val="nil"/>
              <w:right w:val="nil"/>
            </w:tcBorders>
            <w:vAlign w:val="center"/>
          </w:tcPr>
          <w:p w:rsidR="004F47BB" w:rsidRPr="004F47BB" w:rsidRDefault="004F47BB" w:rsidP="004F47BB">
            <w:pPr>
              <w:overflowPunct w:val="0"/>
              <w:adjustRightInd w:val="0"/>
              <w:spacing w:before="100" w:after="100" w:line="240" w:lineRule="atLeast"/>
              <w:ind w:left="538" w:right="113"/>
              <w:jc w:val="left"/>
              <w:textAlignment w:val="baseline"/>
              <w:rPr>
                <w:sz w:val="18"/>
                <w:szCs w:val="20"/>
              </w:rPr>
            </w:pPr>
            <w:r>
              <w:rPr>
                <w:sz w:val="18"/>
              </w:rPr>
              <w:t>7.</w:t>
            </w:r>
            <w:r>
              <w:tab/>
            </w:r>
            <w:r>
              <w:rPr>
                <w:noProof/>
                <w:sz w:val="18"/>
              </w:rPr>
              <w:t>Vicinay AC 14</w:t>
            </w:r>
          </w:p>
        </w:tc>
        <w:tc>
          <w:tcPr>
            <w:tcW w:w="2778" w:type="dxa"/>
            <w:tcBorders>
              <w:top w:val="single" w:sz="6" w:space="0" w:color="auto"/>
              <w:left w:val="single" w:sz="6" w:space="0" w:color="auto"/>
              <w:bottom w:val="nil"/>
              <w:right w:val="nil"/>
            </w:tcBorders>
            <w:vAlign w:val="center"/>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ind w:left="0" w:firstLine="0"/>
              <w:jc w:val="center"/>
              <w:textAlignment w:val="baseline"/>
              <w:rPr>
                <w:sz w:val="18"/>
                <w:szCs w:val="20"/>
              </w:rPr>
            </w:pPr>
            <w:r>
              <w:rPr>
                <w:sz w:val="18"/>
              </w:rPr>
              <w:t>25 %</w:t>
            </w:r>
          </w:p>
        </w:tc>
        <w:tc>
          <w:tcPr>
            <w:tcW w:w="2552" w:type="dxa"/>
            <w:tcBorders>
              <w:top w:val="single" w:sz="6" w:space="0" w:color="auto"/>
              <w:left w:val="single" w:sz="6" w:space="0" w:color="auto"/>
              <w:bottom w:val="nil"/>
              <w:right w:val="single" w:sz="6" w:space="0" w:color="auto"/>
            </w:tcBorders>
            <w:vAlign w:val="center"/>
          </w:tcPr>
          <w:p w:rsidR="004F47BB" w:rsidRPr="004F47BB" w:rsidRDefault="004F47BB" w:rsidP="004F47BB">
            <w:pPr>
              <w:spacing w:before="100" w:after="100" w:line="240" w:lineRule="atLeast"/>
              <w:ind w:left="516" w:right="113" w:hanging="403"/>
              <w:jc w:val="center"/>
              <w:rPr>
                <w:noProof/>
                <w:sz w:val="18"/>
              </w:rPr>
            </w:pPr>
            <w:r>
              <w:rPr>
                <w:noProof/>
                <w:sz w:val="18"/>
              </w:rPr>
              <w:t>Francia</w:t>
            </w:r>
          </w:p>
        </w:tc>
      </w:tr>
      <w:tr w:rsidR="004F47BB" w:rsidRPr="004F47BB" w:rsidTr="00D45887">
        <w:trPr>
          <w:jc w:val="center"/>
        </w:trPr>
        <w:tc>
          <w:tcPr>
            <w:tcW w:w="2948" w:type="dxa"/>
            <w:tcBorders>
              <w:top w:val="single" w:sz="6" w:space="0" w:color="auto"/>
              <w:left w:val="single" w:sz="6" w:space="0" w:color="auto"/>
              <w:bottom w:val="nil"/>
              <w:right w:val="nil"/>
            </w:tcBorders>
            <w:vAlign w:val="center"/>
          </w:tcPr>
          <w:p w:rsidR="004F47BB" w:rsidRPr="004F47BB" w:rsidRDefault="004F47BB" w:rsidP="004F47BB">
            <w:pPr>
              <w:overflowPunct w:val="0"/>
              <w:adjustRightInd w:val="0"/>
              <w:spacing w:before="100" w:after="100" w:line="240" w:lineRule="atLeast"/>
              <w:ind w:left="538" w:right="113"/>
              <w:jc w:val="left"/>
              <w:textAlignment w:val="baseline"/>
              <w:rPr>
                <w:sz w:val="18"/>
                <w:szCs w:val="20"/>
              </w:rPr>
            </w:pPr>
            <w:r>
              <w:rPr>
                <w:sz w:val="18"/>
              </w:rPr>
              <w:t>8.</w:t>
            </w:r>
            <w:r>
              <w:tab/>
            </w:r>
            <w:r>
              <w:rPr>
                <w:noProof/>
                <w:sz w:val="18"/>
              </w:rPr>
              <w:t>Vicinay tipo 1</w:t>
            </w:r>
          </w:p>
        </w:tc>
        <w:tc>
          <w:tcPr>
            <w:tcW w:w="2778" w:type="dxa"/>
            <w:tcBorders>
              <w:top w:val="single" w:sz="6" w:space="0" w:color="auto"/>
              <w:left w:val="single" w:sz="6" w:space="0" w:color="auto"/>
              <w:bottom w:val="nil"/>
              <w:right w:val="nil"/>
            </w:tcBorders>
            <w:vAlign w:val="center"/>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ind w:left="0" w:firstLine="0"/>
              <w:jc w:val="center"/>
              <w:textAlignment w:val="baseline"/>
              <w:rPr>
                <w:sz w:val="18"/>
                <w:szCs w:val="20"/>
              </w:rPr>
            </w:pPr>
            <w:r>
              <w:rPr>
                <w:sz w:val="18"/>
              </w:rPr>
              <w:t>45 %</w:t>
            </w:r>
          </w:p>
        </w:tc>
        <w:tc>
          <w:tcPr>
            <w:tcW w:w="2552" w:type="dxa"/>
            <w:tcBorders>
              <w:top w:val="single" w:sz="6" w:space="0" w:color="auto"/>
              <w:left w:val="single" w:sz="6" w:space="0" w:color="auto"/>
              <w:bottom w:val="nil"/>
              <w:right w:val="single" w:sz="6" w:space="0" w:color="auto"/>
            </w:tcBorders>
            <w:vAlign w:val="center"/>
          </w:tcPr>
          <w:p w:rsidR="004F47BB" w:rsidRPr="004F47BB" w:rsidRDefault="004F47BB" w:rsidP="004F47BB">
            <w:pPr>
              <w:spacing w:before="100" w:after="100" w:line="240" w:lineRule="atLeast"/>
              <w:ind w:left="516" w:right="113" w:hanging="403"/>
              <w:jc w:val="center"/>
              <w:rPr>
                <w:noProof/>
                <w:sz w:val="18"/>
              </w:rPr>
            </w:pPr>
            <w:r>
              <w:rPr>
                <w:noProof/>
                <w:sz w:val="18"/>
              </w:rPr>
              <w:t>Francia</w:t>
            </w:r>
          </w:p>
        </w:tc>
      </w:tr>
      <w:tr w:rsidR="004F47BB" w:rsidRPr="004F47BB" w:rsidTr="00D45887">
        <w:trPr>
          <w:jc w:val="center"/>
        </w:trPr>
        <w:tc>
          <w:tcPr>
            <w:tcW w:w="2948" w:type="dxa"/>
            <w:tcBorders>
              <w:top w:val="single" w:sz="6" w:space="0" w:color="auto"/>
              <w:left w:val="single" w:sz="6" w:space="0" w:color="auto"/>
              <w:bottom w:val="nil"/>
              <w:right w:val="nil"/>
            </w:tcBorders>
            <w:vAlign w:val="center"/>
          </w:tcPr>
          <w:p w:rsidR="004F47BB" w:rsidRPr="004F47BB" w:rsidRDefault="004F47BB" w:rsidP="004F47BB">
            <w:pPr>
              <w:overflowPunct w:val="0"/>
              <w:adjustRightInd w:val="0"/>
              <w:spacing w:before="100" w:after="100" w:line="240" w:lineRule="atLeast"/>
              <w:ind w:left="538" w:right="113"/>
              <w:jc w:val="left"/>
              <w:textAlignment w:val="baseline"/>
              <w:rPr>
                <w:sz w:val="18"/>
                <w:szCs w:val="20"/>
              </w:rPr>
            </w:pPr>
            <w:r>
              <w:rPr>
                <w:sz w:val="18"/>
              </w:rPr>
              <w:t>9.</w:t>
            </w:r>
            <w:r>
              <w:tab/>
            </w:r>
            <w:r>
              <w:rPr>
                <w:noProof/>
                <w:sz w:val="18"/>
              </w:rPr>
              <w:t>Vicinay tipo 2</w:t>
            </w:r>
          </w:p>
        </w:tc>
        <w:tc>
          <w:tcPr>
            <w:tcW w:w="2778" w:type="dxa"/>
            <w:tcBorders>
              <w:top w:val="single" w:sz="6" w:space="0" w:color="auto"/>
              <w:left w:val="single" w:sz="6" w:space="0" w:color="auto"/>
              <w:bottom w:val="nil"/>
              <w:right w:val="nil"/>
            </w:tcBorders>
            <w:vAlign w:val="center"/>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ind w:left="0" w:firstLine="0"/>
              <w:jc w:val="center"/>
              <w:textAlignment w:val="baseline"/>
              <w:rPr>
                <w:sz w:val="18"/>
                <w:szCs w:val="20"/>
              </w:rPr>
            </w:pPr>
            <w:r>
              <w:rPr>
                <w:sz w:val="18"/>
              </w:rPr>
              <w:t>45 %</w:t>
            </w:r>
          </w:p>
        </w:tc>
        <w:tc>
          <w:tcPr>
            <w:tcW w:w="2552" w:type="dxa"/>
            <w:tcBorders>
              <w:top w:val="single" w:sz="6" w:space="0" w:color="auto"/>
              <w:left w:val="single" w:sz="6" w:space="0" w:color="auto"/>
              <w:bottom w:val="nil"/>
              <w:right w:val="single" w:sz="6" w:space="0" w:color="auto"/>
            </w:tcBorders>
            <w:vAlign w:val="center"/>
          </w:tcPr>
          <w:p w:rsidR="004F47BB" w:rsidRPr="004F47BB" w:rsidRDefault="004F47BB" w:rsidP="004F47BB">
            <w:pPr>
              <w:spacing w:before="100" w:after="100" w:line="240" w:lineRule="atLeast"/>
              <w:ind w:left="516" w:right="113" w:hanging="403"/>
              <w:jc w:val="center"/>
              <w:rPr>
                <w:noProof/>
                <w:sz w:val="18"/>
              </w:rPr>
            </w:pPr>
            <w:r>
              <w:rPr>
                <w:noProof/>
                <w:sz w:val="18"/>
              </w:rPr>
              <w:t>Francia</w:t>
            </w:r>
          </w:p>
        </w:tc>
      </w:tr>
      <w:tr w:rsidR="004F47BB" w:rsidRPr="004F47BB" w:rsidTr="00D45887">
        <w:trPr>
          <w:jc w:val="center"/>
        </w:trPr>
        <w:tc>
          <w:tcPr>
            <w:tcW w:w="2948" w:type="dxa"/>
            <w:tcBorders>
              <w:top w:val="single" w:sz="6" w:space="0" w:color="auto"/>
              <w:left w:val="single" w:sz="6" w:space="0" w:color="auto"/>
              <w:bottom w:val="nil"/>
              <w:right w:val="nil"/>
            </w:tcBorders>
            <w:vAlign w:val="center"/>
          </w:tcPr>
          <w:p w:rsidR="004F47BB" w:rsidRPr="004F47BB" w:rsidRDefault="004F47BB" w:rsidP="004F47BB">
            <w:pPr>
              <w:overflowPunct w:val="0"/>
              <w:adjustRightInd w:val="0"/>
              <w:spacing w:before="100" w:after="100" w:line="240" w:lineRule="atLeast"/>
              <w:ind w:left="539" w:right="113" w:hanging="482"/>
              <w:jc w:val="left"/>
              <w:textAlignment w:val="baseline"/>
              <w:rPr>
                <w:sz w:val="18"/>
                <w:szCs w:val="20"/>
              </w:rPr>
            </w:pPr>
            <w:r>
              <w:rPr>
                <w:sz w:val="18"/>
              </w:rPr>
              <w:t>10.</w:t>
            </w:r>
            <w:r>
              <w:tab/>
            </w:r>
            <w:r>
              <w:rPr>
                <w:noProof/>
                <w:sz w:val="18"/>
              </w:rPr>
              <w:t>Vicinay tipo 3</w:t>
            </w:r>
          </w:p>
        </w:tc>
        <w:tc>
          <w:tcPr>
            <w:tcW w:w="2778" w:type="dxa"/>
            <w:tcBorders>
              <w:top w:val="single" w:sz="6" w:space="0" w:color="auto"/>
              <w:left w:val="single" w:sz="6" w:space="0" w:color="auto"/>
              <w:bottom w:val="nil"/>
              <w:right w:val="nil"/>
            </w:tcBorders>
            <w:vAlign w:val="center"/>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ind w:left="0" w:firstLine="0"/>
              <w:jc w:val="center"/>
              <w:textAlignment w:val="baseline"/>
              <w:rPr>
                <w:sz w:val="18"/>
                <w:szCs w:val="20"/>
              </w:rPr>
            </w:pPr>
            <w:r>
              <w:rPr>
                <w:sz w:val="18"/>
              </w:rPr>
              <w:t>40 %</w:t>
            </w:r>
          </w:p>
        </w:tc>
        <w:tc>
          <w:tcPr>
            <w:tcW w:w="2552" w:type="dxa"/>
            <w:tcBorders>
              <w:top w:val="single" w:sz="6" w:space="0" w:color="auto"/>
              <w:left w:val="single" w:sz="6" w:space="0" w:color="auto"/>
              <w:bottom w:val="nil"/>
              <w:right w:val="single" w:sz="6" w:space="0" w:color="auto"/>
            </w:tcBorders>
            <w:vAlign w:val="center"/>
          </w:tcPr>
          <w:p w:rsidR="004F47BB" w:rsidRPr="004F47BB" w:rsidRDefault="004F47BB" w:rsidP="004F47BB">
            <w:pPr>
              <w:spacing w:before="100" w:after="100" w:line="240" w:lineRule="atLeast"/>
              <w:ind w:left="516" w:right="113" w:hanging="403"/>
              <w:jc w:val="center"/>
              <w:rPr>
                <w:noProof/>
                <w:sz w:val="18"/>
              </w:rPr>
            </w:pPr>
            <w:r>
              <w:rPr>
                <w:noProof/>
                <w:sz w:val="18"/>
              </w:rPr>
              <w:t>Francia</w:t>
            </w:r>
          </w:p>
        </w:tc>
      </w:tr>
      <w:tr w:rsidR="004F47BB" w:rsidRPr="004F47BB" w:rsidTr="00D45887">
        <w:trPr>
          <w:jc w:val="center"/>
        </w:trPr>
        <w:tc>
          <w:tcPr>
            <w:tcW w:w="2948" w:type="dxa"/>
            <w:tcBorders>
              <w:top w:val="single" w:sz="6" w:space="0" w:color="auto"/>
              <w:left w:val="single" w:sz="6" w:space="0" w:color="auto"/>
              <w:bottom w:val="nil"/>
              <w:right w:val="nil"/>
            </w:tcBorders>
            <w:vAlign w:val="center"/>
          </w:tcPr>
          <w:p w:rsidR="004F47BB" w:rsidRPr="004F47BB" w:rsidRDefault="004F47BB" w:rsidP="004F47BB">
            <w:pPr>
              <w:overflowPunct w:val="0"/>
              <w:adjustRightInd w:val="0"/>
              <w:spacing w:before="100" w:after="100" w:line="240" w:lineRule="atLeast"/>
              <w:ind w:left="539" w:right="113" w:hanging="482"/>
              <w:jc w:val="left"/>
              <w:textAlignment w:val="baseline"/>
              <w:rPr>
                <w:sz w:val="18"/>
                <w:szCs w:val="20"/>
              </w:rPr>
            </w:pPr>
            <w:r>
              <w:rPr>
                <w:sz w:val="18"/>
              </w:rPr>
              <w:t>11.</w:t>
            </w:r>
            <w:r>
              <w:tab/>
            </w:r>
            <w:r>
              <w:rPr>
                <w:noProof/>
                <w:sz w:val="18"/>
              </w:rPr>
              <w:t>Stockes</w:t>
            </w:r>
          </w:p>
        </w:tc>
        <w:tc>
          <w:tcPr>
            <w:tcW w:w="2778" w:type="dxa"/>
            <w:tcBorders>
              <w:top w:val="single" w:sz="6" w:space="0" w:color="auto"/>
              <w:left w:val="single" w:sz="6" w:space="0" w:color="auto"/>
              <w:bottom w:val="nil"/>
              <w:right w:val="nil"/>
            </w:tcBorders>
            <w:vAlign w:val="center"/>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ind w:left="0" w:firstLine="0"/>
              <w:jc w:val="center"/>
              <w:textAlignment w:val="baseline"/>
              <w:rPr>
                <w:sz w:val="18"/>
                <w:szCs w:val="20"/>
              </w:rPr>
            </w:pPr>
            <w:r>
              <w:rPr>
                <w:sz w:val="18"/>
              </w:rPr>
              <w:t>35 %</w:t>
            </w:r>
          </w:p>
        </w:tc>
        <w:tc>
          <w:tcPr>
            <w:tcW w:w="2552" w:type="dxa"/>
            <w:tcBorders>
              <w:top w:val="single" w:sz="6" w:space="0" w:color="auto"/>
              <w:left w:val="single" w:sz="6" w:space="0" w:color="auto"/>
              <w:bottom w:val="nil"/>
              <w:right w:val="single" w:sz="6" w:space="0" w:color="auto"/>
            </w:tcBorders>
            <w:vAlign w:val="center"/>
          </w:tcPr>
          <w:p w:rsidR="004F47BB" w:rsidRPr="004F47BB" w:rsidRDefault="004F47BB" w:rsidP="004F47BB">
            <w:pPr>
              <w:spacing w:before="100" w:after="100" w:line="240" w:lineRule="atLeast"/>
              <w:ind w:left="516" w:right="113" w:hanging="403"/>
              <w:jc w:val="center"/>
              <w:rPr>
                <w:noProof/>
                <w:sz w:val="18"/>
              </w:rPr>
            </w:pPr>
            <w:r>
              <w:rPr>
                <w:noProof/>
                <w:sz w:val="18"/>
              </w:rPr>
              <w:t>Francia</w:t>
            </w:r>
          </w:p>
        </w:tc>
      </w:tr>
      <w:tr w:rsidR="004F47BB" w:rsidRPr="004F47BB" w:rsidTr="00D45887">
        <w:trPr>
          <w:jc w:val="center"/>
        </w:trPr>
        <w:tc>
          <w:tcPr>
            <w:tcW w:w="2948" w:type="dxa"/>
            <w:tcBorders>
              <w:top w:val="single" w:sz="6" w:space="0" w:color="auto"/>
              <w:left w:val="single" w:sz="6" w:space="0" w:color="auto"/>
              <w:bottom w:val="single" w:sz="4" w:space="0" w:color="auto"/>
              <w:right w:val="nil"/>
            </w:tcBorders>
            <w:vAlign w:val="center"/>
          </w:tcPr>
          <w:p w:rsidR="004F47BB" w:rsidRPr="004F47BB" w:rsidRDefault="004F47BB" w:rsidP="004F47BB">
            <w:pPr>
              <w:overflowPunct w:val="0"/>
              <w:adjustRightInd w:val="0"/>
              <w:spacing w:before="100" w:after="100" w:line="240" w:lineRule="atLeast"/>
              <w:ind w:left="539" w:right="113" w:hanging="482"/>
              <w:jc w:val="left"/>
              <w:textAlignment w:val="baseline"/>
              <w:rPr>
                <w:sz w:val="18"/>
                <w:szCs w:val="20"/>
              </w:rPr>
            </w:pPr>
            <w:r>
              <w:rPr>
                <w:sz w:val="18"/>
              </w:rPr>
              <w:t>12.</w:t>
            </w:r>
            <w:r>
              <w:tab/>
            </w:r>
            <w:r>
              <w:rPr>
                <w:noProof/>
                <w:sz w:val="18"/>
              </w:rPr>
              <w:t>D'Hone-Danforth</w:t>
            </w:r>
          </w:p>
        </w:tc>
        <w:tc>
          <w:tcPr>
            <w:tcW w:w="2778" w:type="dxa"/>
            <w:tcBorders>
              <w:top w:val="single" w:sz="6" w:space="0" w:color="auto"/>
              <w:left w:val="single" w:sz="6" w:space="0" w:color="auto"/>
              <w:bottom w:val="single" w:sz="4" w:space="0" w:color="auto"/>
              <w:right w:val="nil"/>
            </w:tcBorders>
            <w:vAlign w:val="center"/>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ind w:left="0" w:firstLine="0"/>
              <w:jc w:val="center"/>
              <w:textAlignment w:val="baseline"/>
              <w:rPr>
                <w:sz w:val="18"/>
                <w:szCs w:val="20"/>
              </w:rPr>
            </w:pPr>
            <w:r>
              <w:rPr>
                <w:sz w:val="18"/>
              </w:rPr>
              <w:t>50 %</w:t>
            </w:r>
          </w:p>
        </w:tc>
        <w:tc>
          <w:tcPr>
            <w:tcW w:w="2552" w:type="dxa"/>
            <w:tcBorders>
              <w:top w:val="single" w:sz="6" w:space="0" w:color="auto"/>
              <w:left w:val="single" w:sz="6" w:space="0" w:color="auto"/>
              <w:bottom w:val="single" w:sz="4" w:space="0" w:color="auto"/>
              <w:right w:val="single" w:sz="6" w:space="0" w:color="auto"/>
            </w:tcBorders>
            <w:vAlign w:val="center"/>
          </w:tcPr>
          <w:p w:rsidR="004F47BB" w:rsidRPr="004F47BB" w:rsidRDefault="004F47BB" w:rsidP="004F47BB">
            <w:pPr>
              <w:spacing w:before="100" w:after="100" w:line="240" w:lineRule="atLeast"/>
              <w:ind w:left="516" w:right="113" w:hanging="403"/>
              <w:jc w:val="center"/>
              <w:rPr>
                <w:noProof/>
                <w:sz w:val="18"/>
              </w:rPr>
            </w:pPr>
            <w:r>
              <w:rPr>
                <w:noProof/>
                <w:sz w:val="18"/>
              </w:rPr>
              <w:t xml:space="preserve">Germania </w:t>
            </w:r>
          </w:p>
        </w:tc>
      </w:tr>
      <w:tr w:rsidR="004F47BB" w:rsidRPr="004F47BB"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4F47BB" w:rsidRDefault="004F47BB" w:rsidP="004F47BB">
            <w:pPr>
              <w:overflowPunct w:val="0"/>
              <w:adjustRightInd w:val="0"/>
              <w:spacing w:before="100" w:after="100" w:line="240" w:lineRule="atLeast"/>
              <w:ind w:left="539" w:right="113" w:hanging="482"/>
              <w:jc w:val="left"/>
              <w:textAlignment w:val="baseline"/>
              <w:rPr>
                <w:sz w:val="18"/>
                <w:szCs w:val="20"/>
              </w:rPr>
            </w:pPr>
            <w:r>
              <w:rPr>
                <w:sz w:val="18"/>
              </w:rPr>
              <w:t>13.</w:t>
            </w:r>
            <w:r>
              <w:tab/>
            </w:r>
            <w:r>
              <w:rPr>
                <w:noProof/>
                <w:sz w:val="18"/>
              </w:rPr>
              <w:t>Ancora Schmitt high holding</w:t>
            </w:r>
          </w:p>
        </w:tc>
        <w:tc>
          <w:tcPr>
            <w:tcW w:w="2778" w:type="dxa"/>
            <w:tcBorders>
              <w:top w:val="single" w:sz="4" w:space="0" w:color="auto"/>
              <w:left w:val="single" w:sz="6" w:space="0" w:color="auto"/>
              <w:bottom w:val="single" w:sz="6" w:space="0" w:color="auto"/>
              <w:right w:val="nil"/>
            </w:tcBorders>
            <w:vAlign w:val="center"/>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ind w:left="0" w:firstLine="0"/>
              <w:jc w:val="center"/>
              <w:textAlignment w:val="baseline"/>
              <w:rPr>
                <w:sz w:val="18"/>
                <w:szCs w:val="20"/>
              </w:rPr>
            </w:pPr>
            <w:r>
              <w:rPr>
                <w:sz w:val="18"/>
              </w:rPr>
              <w:t>40 %</w:t>
            </w:r>
          </w:p>
        </w:tc>
        <w:tc>
          <w:tcPr>
            <w:tcW w:w="2552" w:type="dxa"/>
            <w:tcBorders>
              <w:top w:val="single" w:sz="4" w:space="0" w:color="auto"/>
              <w:left w:val="single" w:sz="6" w:space="0" w:color="auto"/>
              <w:bottom w:val="single" w:sz="6" w:space="0" w:color="auto"/>
              <w:right w:val="single" w:sz="6" w:space="0" w:color="auto"/>
            </w:tcBorders>
            <w:vAlign w:val="center"/>
          </w:tcPr>
          <w:p w:rsidR="004F47BB" w:rsidRPr="004F47BB" w:rsidRDefault="004F47BB" w:rsidP="004F47BB">
            <w:pPr>
              <w:spacing w:before="100" w:after="100" w:line="240" w:lineRule="atLeast"/>
              <w:ind w:left="516" w:right="113" w:hanging="403"/>
              <w:jc w:val="center"/>
              <w:rPr>
                <w:noProof/>
                <w:sz w:val="18"/>
              </w:rPr>
            </w:pPr>
            <w:r>
              <w:rPr>
                <w:noProof/>
                <w:sz w:val="18"/>
              </w:rPr>
              <w:t>Paesi Bassi</w:t>
            </w:r>
          </w:p>
        </w:tc>
      </w:tr>
      <w:tr w:rsidR="004F47BB" w:rsidRPr="004F47BB"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762086" w:rsidRDefault="004F47BB" w:rsidP="004F47BB">
            <w:pPr>
              <w:overflowPunct w:val="0"/>
              <w:adjustRightInd w:val="0"/>
              <w:spacing w:before="100" w:after="100" w:line="240" w:lineRule="atLeast"/>
              <w:ind w:left="539" w:right="113" w:hanging="482"/>
              <w:jc w:val="left"/>
              <w:textAlignment w:val="baseline"/>
              <w:rPr>
                <w:sz w:val="18"/>
                <w:szCs w:val="20"/>
                <w:lang w:val="en-GB"/>
              </w:rPr>
            </w:pPr>
            <w:r w:rsidRPr="00762086">
              <w:rPr>
                <w:sz w:val="18"/>
                <w:lang w:val="en-GB"/>
              </w:rPr>
              <w:t>14.</w:t>
            </w:r>
            <w:r w:rsidRPr="00762086">
              <w:rPr>
                <w:lang w:val="en-GB"/>
              </w:rPr>
              <w:tab/>
            </w:r>
            <w:r w:rsidRPr="00762086">
              <w:rPr>
                <w:noProof/>
                <w:sz w:val="18"/>
                <w:lang w:val="en-GB"/>
              </w:rPr>
              <w:t>Ancora SHI high holding, tipo ST (standard)</w:t>
            </w:r>
          </w:p>
        </w:tc>
        <w:tc>
          <w:tcPr>
            <w:tcW w:w="2778" w:type="dxa"/>
            <w:tcBorders>
              <w:top w:val="single" w:sz="4" w:space="0" w:color="auto"/>
              <w:left w:val="single" w:sz="6" w:space="0" w:color="auto"/>
              <w:bottom w:val="single" w:sz="6" w:space="0" w:color="auto"/>
              <w:right w:val="nil"/>
            </w:tcBorders>
            <w:vAlign w:val="center"/>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ind w:left="0" w:firstLine="0"/>
              <w:jc w:val="center"/>
              <w:textAlignment w:val="baseline"/>
              <w:rPr>
                <w:sz w:val="18"/>
                <w:szCs w:val="20"/>
              </w:rPr>
            </w:pPr>
            <w:r>
              <w:rPr>
                <w:sz w:val="18"/>
              </w:rPr>
              <w:t>30 %</w:t>
            </w:r>
          </w:p>
        </w:tc>
        <w:tc>
          <w:tcPr>
            <w:tcW w:w="2552" w:type="dxa"/>
            <w:tcBorders>
              <w:top w:val="single" w:sz="4" w:space="0" w:color="auto"/>
              <w:left w:val="single" w:sz="6" w:space="0" w:color="auto"/>
              <w:bottom w:val="single" w:sz="6" w:space="0" w:color="auto"/>
              <w:right w:val="single" w:sz="6" w:space="0" w:color="auto"/>
            </w:tcBorders>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rPr>
            </w:pPr>
            <w:r>
              <w:rPr>
                <w:noProof/>
                <w:sz w:val="18"/>
              </w:rPr>
              <w:t xml:space="preserve">Paesi Bassi </w:t>
            </w:r>
          </w:p>
        </w:tc>
      </w:tr>
      <w:tr w:rsidR="004F47BB" w:rsidRPr="004F47BB"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4F47BB" w:rsidRDefault="004F47BB" w:rsidP="004F47BB">
            <w:pPr>
              <w:overflowPunct w:val="0"/>
              <w:adjustRightInd w:val="0"/>
              <w:spacing w:before="100" w:after="100"/>
              <w:ind w:left="539" w:right="113" w:hanging="482"/>
              <w:jc w:val="left"/>
              <w:textAlignment w:val="baseline"/>
              <w:rPr>
                <w:sz w:val="18"/>
                <w:szCs w:val="20"/>
              </w:rPr>
            </w:pPr>
            <w:r>
              <w:rPr>
                <w:sz w:val="18"/>
              </w:rPr>
              <w:t>15.</w:t>
            </w:r>
            <w:r>
              <w:tab/>
            </w:r>
            <w:r>
              <w:rPr>
                <w:noProof/>
                <w:sz w:val="18"/>
              </w:rPr>
              <w:t>Ancora SHI high holding, tipo FB (pienamente bilanciata)</w:t>
            </w:r>
          </w:p>
        </w:tc>
        <w:tc>
          <w:tcPr>
            <w:tcW w:w="2778" w:type="dxa"/>
            <w:tcBorders>
              <w:top w:val="single" w:sz="4" w:space="0" w:color="auto"/>
              <w:left w:val="single" w:sz="6" w:space="0" w:color="auto"/>
              <w:bottom w:val="single" w:sz="6" w:space="0" w:color="auto"/>
              <w:right w:val="nil"/>
            </w:tcBorders>
            <w:vAlign w:val="center"/>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ind w:left="0" w:firstLine="0"/>
              <w:jc w:val="center"/>
              <w:textAlignment w:val="baseline"/>
              <w:rPr>
                <w:sz w:val="18"/>
                <w:szCs w:val="20"/>
              </w:rPr>
            </w:pPr>
            <w:r>
              <w:rPr>
                <w:sz w:val="18"/>
              </w:rPr>
              <w:t>30 %</w:t>
            </w:r>
          </w:p>
        </w:tc>
        <w:tc>
          <w:tcPr>
            <w:tcW w:w="2552" w:type="dxa"/>
            <w:tcBorders>
              <w:top w:val="single" w:sz="4" w:space="0" w:color="auto"/>
              <w:left w:val="single" w:sz="6" w:space="0" w:color="auto"/>
              <w:bottom w:val="single" w:sz="6" w:space="0" w:color="auto"/>
              <w:right w:val="single" w:sz="6" w:space="0" w:color="auto"/>
            </w:tcBorders>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rPr>
            </w:pPr>
            <w:r>
              <w:rPr>
                <w:noProof/>
                <w:sz w:val="18"/>
              </w:rPr>
              <w:t xml:space="preserve">Paesi Bassi </w:t>
            </w:r>
          </w:p>
        </w:tc>
      </w:tr>
      <w:tr w:rsidR="004F47BB" w:rsidRPr="004F47BB" w:rsidTr="00D45887">
        <w:trPr>
          <w:jc w:val="center"/>
        </w:trPr>
        <w:tc>
          <w:tcPr>
            <w:tcW w:w="2948" w:type="dxa"/>
            <w:tcBorders>
              <w:top w:val="single" w:sz="4" w:space="0" w:color="auto"/>
              <w:left w:val="single" w:sz="6" w:space="0" w:color="auto"/>
              <w:bottom w:val="single" w:sz="4" w:space="0" w:color="auto"/>
              <w:right w:val="nil"/>
            </w:tcBorders>
            <w:vAlign w:val="center"/>
          </w:tcPr>
          <w:p w:rsidR="004F47BB" w:rsidRPr="004F47BB" w:rsidRDefault="004F47BB" w:rsidP="004F47BB">
            <w:pPr>
              <w:overflowPunct w:val="0"/>
              <w:adjustRightInd w:val="0"/>
              <w:spacing w:before="100" w:after="100"/>
              <w:ind w:left="539" w:right="113" w:hanging="482"/>
              <w:jc w:val="left"/>
              <w:textAlignment w:val="baseline"/>
              <w:rPr>
                <w:sz w:val="18"/>
                <w:szCs w:val="20"/>
              </w:rPr>
            </w:pPr>
            <w:r>
              <w:rPr>
                <w:sz w:val="18"/>
              </w:rPr>
              <w:t>16.</w:t>
            </w:r>
            <w:r>
              <w:tab/>
            </w:r>
            <w:r>
              <w:rPr>
                <w:noProof/>
                <w:sz w:val="18"/>
              </w:rPr>
              <w:t>Ancora Klinsmann</w:t>
            </w:r>
          </w:p>
        </w:tc>
        <w:tc>
          <w:tcPr>
            <w:tcW w:w="2778" w:type="dxa"/>
            <w:tcBorders>
              <w:top w:val="single" w:sz="4" w:space="0" w:color="auto"/>
              <w:left w:val="single" w:sz="6" w:space="0" w:color="auto"/>
              <w:bottom w:val="single" w:sz="4" w:space="0" w:color="auto"/>
              <w:right w:val="nil"/>
            </w:tcBorders>
            <w:vAlign w:val="center"/>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ind w:left="0" w:firstLine="0"/>
              <w:jc w:val="center"/>
              <w:textAlignment w:val="baseline"/>
              <w:rPr>
                <w:sz w:val="18"/>
                <w:szCs w:val="20"/>
              </w:rPr>
            </w:pPr>
            <w:r>
              <w:rPr>
                <w:sz w:val="18"/>
              </w:rPr>
              <w:t>30 %</w:t>
            </w:r>
          </w:p>
        </w:tc>
        <w:tc>
          <w:tcPr>
            <w:tcW w:w="2552" w:type="dxa"/>
            <w:tcBorders>
              <w:top w:val="single" w:sz="4" w:space="0" w:color="auto"/>
              <w:left w:val="single" w:sz="6" w:space="0" w:color="auto"/>
              <w:bottom w:val="single" w:sz="4" w:space="0" w:color="auto"/>
              <w:right w:val="single" w:sz="6" w:space="0" w:color="auto"/>
            </w:tcBorders>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rPr>
            </w:pPr>
            <w:r>
              <w:rPr>
                <w:noProof/>
                <w:sz w:val="18"/>
              </w:rPr>
              <w:t xml:space="preserve">Paesi Bassi </w:t>
            </w:r>
          </w:p>
        </w:tc>
      </w:tr>
      <w:tr w:rsidR="004F47BB" w:rsidRPr="004F47BB"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4F47BB" w:rsidRDefault="004F47BB" w:rsidP="004F47BB">
            <w:pPr>
              <w:overflowPunct w:val="0"/>
              <w:adjustRightInd w:val="0"/>
              <w:spacing w:before="100" w:after="100"/>
              <w:ind w:left="539" w:right="113" w:hanging="482"/>
              <w:jc w:val="left"/>
              <w:textAlignment w:val="baseline"/>
              <w:rPr>
                <w:sz w:val="18"/>
                <w:szCs w:val="20"/>
              </w:rPr>
            </w:pPr>
            <w:r>
              <w:rPr>
                <w:sz w:val="18"/>
              </w:rPr>
              <w:t>17.</w:t>
            </w:r>
            <w:r>
              <w:tab/>
            </w:r>
            <w:r>
              <w:rPr>
                <w:noProof/>
                <w:sz w:val="18"/>
              </w:rPr>
              <w:t>Ancora HA-DU-POWER</w:t>
            </w:r>
          </w:p>
        </w:tc>
        <w:tc>
          <w:tcPr>
            <w:tcW w:w="2778" w:type="dxa"/>
            <w:tcBorders>
              <w:top w:val="single" w:sz="4" w:space="0" w:color="auto"/>
              <w:left w:val="single" w:sz="6" w:space="0" w:color="auto"/>
              <w:bottom w:val="single" w:sz="6" w:space="0" w:color="auto"/>
              <w:right w:val="nil"/>
            </w:tcBorders>
            <w:vAlign w:val="center"/>
          </w:tcPr>
          <w:p w:rsidR="004F47BB" w:rsidRPr="004F47BB"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ind w:left="0" w:firstLine="0"/>
              <w:jc w:val="center"/>
              <w:textAlignment w:val="baseline"/>
              <w:rPr>
                <w:sz w:val="18"/>
                <w:szCs w:val="20"/>
              </w:rPr>
            </w:pPr>
            <w:r>
              <w:rPr>
                <w:sz w:val="18"/>
              </w:rPr>
              <w:t>50 %</w:t>
            </w:r>
          </w:p>
        </w:tc>
        <w:tc>
          <w:tcPr>
            <w:tcW w:w="2552" w:type="dxa"/>
            <w:tcBorders>
              <w:top w:val="single" w:sz="4" w:space="0" w:color="auto"/>
              <w:left w:val="single" w:sz="6" w:space="0" w:color="auto"/>
              <w:bottom w:val="single" w:sz="6" w:space="0" w:color="auto"/>
              <w:right w:val="single" w:sz="6" w:space="0" w:color="auto"/>
            </w:tcBorders>
            <w:vAlign w:val="center"/>
          </w:tcPr>
          <w:p w:rsidR="004F47BB" w:rsidRPr="004F47BB" w:rsidRDefault="004F47BB" w:rsidP="004F47BB">
            <w:pPr>
              <w:spacing w:before="100" w:after="100" w:line="240" w:lineRule="atLeast"/>
              <w:ind w:left="516" w:right="113" w:hanging="403"/>
              <w:jc w:val="center"/>
              <w:rPr>
                <w:noProof/>
                <w:sz w:val="18"/>
              </w:rPr>
            </w:pPr>
            <w:r>
              <w:rPr>
                <w:noProof/>
                <w:sz w:val="18"/>
              </w:rPr>
              <w:t xml:space="preserve">Germania </w:t>
            </w:r>
          </w:p>
        </w:tc>
      </w:tr>
    </w:tbl>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rPr>
          <w:b/>
          <w:szCs w:val="20"/>
        </w:rPr>
      </w:pPr>
      <w:r>
        <w:br w:type="page"/>
      </w:r>
      <w:r>
        <w:rPr>
          <w:b/>
        </w:rPr>
        <w:lastRenderedPageBreak/>
        <w:t>Sezione 2</w:t>
      </w:r>
    </w:p>
    <w:p w:rsidR="004F47BB" w:rsidRPr="004F47BB" w:rsidRDefault="004F47BB" w:rsidP="004F47BB">
      <w:pPr>
        <w:overflowPunct w:val="0"/>
        <w:adjustRightInd w:val="0"/>
        <w:ind w:left="0" w:firstLine="0"/>
        <w:textAlignment w:val="baseline"/>
        <w:rPr>
          <w:b/>
          <w:szCs w:val="20"/>
        </w:rPr>
      </w:pPr>
    </w:p>
    <w:p w:rsidR="004F47BB" w:rsidRPr="004F47BB" w:rsidRDefault="004F47BB" w:rsidP="004F47BB">
      <w:pPr>
        <w:overflowPunct w:val="0"/>
        <w:adjustRightInd w:val="0"/>
        <w:ind w:left="0" w:firstLine="0"/>
        <w:textAlignment w:val="baseline"/>
        <w:rPr>
          <w:b/>
          <w:szCs w:val="20"/>
        </w:rPr>
      </w:pPr>
    </w:p>
    <w:p w:rsidR="004F47BB" w:rsidRPr="004F47BB" w:rsidRDefault="004F47BB" w:rsidP="004F47BB">
      <w:pPr>
        <w:overflowPunct w:val="0"/>
        <w:adjustRightInd w:val="0"/>
        <w:ind w:left="0" w:firstLine="0"/>
        <w:jc w:val="center"/>
        <w:textAlignment w:val="baseline"/>
        <w:rPr>
          <w:b/>
          <w:sz w:val="22"/>
          <w:szCs w:val="20"/>
        </w:rPr>
      </w:pPr>
      <w:r>
        <w:rPr>
          <w:b/>
          <w:sz w:val="22"/>
        </w:rPr>
        <w:t>Procedure di autorizzazione e di prova di ancore speciali a massa ridotta</w:t>
      </w:r>
    </w:p>
    <w:p w:rsidR="004F47BB" w:rsidRPr="004F47BB" w:rsidRDefault="004F47BB" w:rsidP="004F47BB">
      <w:pPr>
        <w:overflowPunct w:val="0"/>
        <w:adjustRightInd w:val="0"/>
        <w:ind w:left="0" w:firstLine="0"/>
        <w:jc w:val="center"/>
        <w:textAlignment w:val="baseline"/>
        <w:rPr>
          <w:b/>
          <w:sz w:val="22"/>
          <w:szCs w:val="20"/>
        </w:rPr>
      </w:pPr>
    </w:p>
    <w:p w:rsidR="004F47BB" w:rsidRPr="004F47BB" w:rsidRDefault="004F47BB" w:rsidP="004F47BB">
      <w:pPr>
        <w:overflowPunct w:val="0"/>
        <w:adjustRightInd w:val="0"/>
        <w:ind w:left="0" w:firstLine="0"/>
        <w:jc w:val="center"/>
        <w:textAlignment w:val="baseline"/>
        <w:rPr>
          <w:b/>
          <w:szCs w:val="20"/>
        </w:rPr>
      </w:pPr>
      <w:r>
        <w:rPr>
          <w:b/>
        </w:rPr>
        <w:t xml:space="preserve">Riduzione dei valori di massa dell'ancora stabilita </w:t>
      </w:r>
    </w:p>
    <w:p w:rsidR="004F47BB" w:rsidRPr="004F47BB" w:rsidRDefault="004F47BB" w:rsidP="004F47BB">
      <w:pPr>
        <w:overflowPunct w:val="0"/>
        <w:adjustRightInd w:val="0"/>
        <w:ind w:left="0" w:firstLine="0"/>
        <w:jc w:val="center"/>
        <w:textAlignment w:val="baseline"/>
        <w:rPr>
          <w:szCs w:val="20"/>
        </w:rPr>
      </w:pPr>
      <w:r>
        <w:rPr>
          <w:b/>
        </w:rPr>
        <w:t xml:space="preserve">conformemente all'articolo 13.01, paragrafi da 1 a 4 </w:t>
      </w:r>
    </w:p>
    <w:p w:rsidR="004F47BB" w:rsidRPr="004F47BB" w:rsidRDefault="004F47BB" w:rsidP="004F47BB">
      <w:pPr>
        <w:overflowPunct w:val="0"/>
        <w:adjustRightInd w:val="0"/>
        <w:ind w:left="0" w:firstLine="0"/>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spacing w:line="240" w:lineRule="atLeast"/>
        <w:ind w:left="567" w:hanging="567"/>
        <w:jc w:val="left"/>
        <w:textAlignment w:val="baseline"/>
        <w:rPr>
          <w:szCs w:val="20"/>
        </w:rPr>
      </w:pPr>
      <w:r>
        <w:rPr>
          <w:b/>
        </w:rPr>
        <w:t>1.</w:t>
      </w:r>
      <w:r>
        <w:tab/>
      </w:r>
      <w:r>
        <w:rPr>
          <w:b/>
        </w:rPr>
        <w:t>Capo 1 — Procedura di autorizzazione</w:t>
      </w:r>
    </w:p>
    <w:p w:rsidR="004F47BB" w:rsidRPr="004F47BB" w:rsidRDefault="004F47BB" w:rsidP="004F47BB">
      <w:pPr>
        <w:overflowPunct w:val="0"/>
        <w:adjustRightInd w:val="0"/>
        <w:spacing w:line="240" w:lineRule="atLeast"/>
        <w:ind w:left="567" w:hanging="567"/>
        <w:jc w:val="left"/>
        <w:textAlignment w:val="baseline"/>
        <w:rPr>
          <w:szCs w:val="20"/>
        </w:rPr>
      </w:pPr>
    </w:p>
    <w:p w:rsidR="004F47BB" w:rsidRPr="004F47BB" w:rsidRDefault="004F47BB" w:rsidP="004F47BB">
      <w:pPr>
        <w:overflowPunct w:val="0"/>
        <w:adjustRightInd w:val="0"/>
        <w:spacing w:line="240" w:lineRule="atLeast"/>
        <w:ind w:left="567" w:hanging="567"/>
        <w:textAlignment w:val="baseline"/>
        <w:rPr>
          <w:szCs w:val="20"/>
        </w:rPr>
      </w:pPr>
      <w:r>
        <w:rPr>
          <w:b/>
        </w:rPr>
        <w:t>1.1</w:t>
      </w:r>
      <w:r>
        <w:tab/>
        <w:t>Le ancore speciali a massa ridotta di cui all'articolo 13.01, paragrafo 5, devono essere autorizzate dalle autorità competenti. L'autorità competente stabilisce la riduzione autorizzata della massa dell'ancora per le ancore speciali secondo la procedura descritta più avanti.</w:t>
      </w:r>
    </w:p>
    <w:p w:rsidR="004F47BB" w:rsidRPr="004F47BB" w:rsidRDefault="004F47BB" w:rsidP="004F47BB">
      <w:pPr>
        <w:overflowPunct w:val="0"/>
        <w:adjustRightInd w:val="0"/>
        <w:spacing w:line="240" w:lineRule="atLeast"/>
        <w:ind w:left="567" w:hanging="567"/>
        <w:textAlignment w:val="baseline"/>
        <w:rPr>
          <w:szCs w:val="20"/>
        </w:rPr>
      </w:pPr>
    </w:p>
    <w:p w:rsidR="004F47BB" w:rsidRPr="004F47BB" w:rsidRDefault="004F47BB" w:rsidP="004F47BB">
      <w:pPr>
        <w:overflowPunct w:val="0"/>
        <w:adjustRightInd w:val="0"/>
        <w:spacing w:line="240" w:lineRule="atLeast"/>
        <w:ind w:left="567" w:hanging="567"/>
        <w:textAlignment w:val="baseline"/>
        <w:rPr>
          <w:szCs w:val="20"/>
        </w:rPr>
      </w:pPr>
      <w:r>
        <w:rPr>
          <w:b/>
        </w:rPr>
        <w:t>1.2</w:t>
      </w:r>
      <w:r>
        <w:tab/>
        <w:t>L'autorizzazione come ancora speciale è possibile soltanto se la riduzione della massa dell'ancora stabilita è almeno del 15 %.</w:t>
      </w:r>
    </w:p>
    <w:p w:rsidR="004F47BB" w:rsidRPr="004F47BB" w:rsidRDefault="004F47BB" w:rsidP="004F47BB">
      <w:pPr>
        <w:overflowPunct w:val="0"/>
        <w:adjustRightInd w:val="0"/>
        <w:spacing w:line="240" w:lineRule="atLeast"/>
        <w:ind w:left="567" w:hanging="567"/>
        <w:textAlignment w:val="baseline"/>
        <w:rPr>
          <w:szCs w:val="20"/>
        </w:rPr>
      </w:pPr>
    </w:p>
    <w:p w:rsidR="004F47BB" w:rsidRPr="004F47BB" w:rsidRDefault="004F47BB" w:rsidP="004F47BB">
      <w:pPr>
        <w:overflowPunct w:val="0"/>
        <w:adjustRightInd w:val="0"/>
        <w:spacing w:line="240" w:lineRule="atLeast"/>
        <w:ind w:left="567" w:hanging="567"/>
        <w:textAlignment w:val="baseline"/>
        <w:rPr>
          <w:szCs w:val="20"/>
        </w:rPr>
      </w:pPr>
      <w:r>
        <w:rPr>
          <w:b/>
        </w:rPr>
        <w:t>1.3</w:t>
      </w:r>
      <w:r>
        <w:tab/>
        <w:t>Le domande di autorizzazione di un'ancora speciale di cui al punto 1.1 devono essere presentate all'autorità competente di uno Stato membro. Ogni domanda deve essere corredata di dieci copie dei seguenti documenti:</w:t>
      </w:r>
    </w:p>
    <w:p w:rsidR="004F47BB" w:rsidRPr="004F47BB" w:rsidRDefault="004F47BB" w:rsidP="004F47BB">
      <w:pPr>
        <w:tabs>
          <w:tab w:val="left" w:pos="992"/>
        </w:tabs>
        <w:overflowPunct w:val="0"/>
        <w:adjustRightInd w:val="0"/>
        <w:spacing w:before="60" w:line="240" w:lineRule="atLeast"/>
        <w:ind w:left="992"/>
        <w:textAlignment w:val="baseline"/>
        <w:rPr>
          <w:szCs w:val="20"/>
        </w:rPr>
      </w:pPr>
      <w:r>
        <w:t>a)</w:t>
      </w:r>
      <w:r>
        <w:tab/>
        <w:t>indicazione delle dimensioni e della massa dell'ancora speciale, fornendo le dimensioni principali e la designazione del tipo di ogni misura di ancora disponibile;</w:t>
      </w:r>
    </w:p>
    <w:p w:rsidR="004F47BB" w:rsidRPr="004F47BB" w:rsidRDefault="004F47BB" w:rsidP="004F47BB">
      <w:pPr>
        <w:tabs>
          <w:tab w:val="left" w:pos="992"/>
        </w:tabs>
        <w:overflowPunct w:val="0"/>
        <w:adjustRightInd w:val="0"/>
        <w:spacing w:before="60" w:line="240" w:lineRule="atLeast"/>
        <w:ind w:left="992"/>
        <w:textAlignment w:val="baseline"/>
        <w:rPr>
          <w:szCs w:val="20"/>
        </w:rPr>
      </w:pPr>
      <w:r>
        <w:t>b)</w:t>
      </w:r>
      <w:r>
        <w:tab/>
        <w:t xml:space="preserve">schema della forza frenante per l'ancora di riferimento </w:t>
      </w:r>
      <m:oMath>
        <m:r>
          <w:rPr>
            <w:rFonts w:ascii="Cambria Math" w:hAnsi="Cambria Math"/>
            <w:szCs w:val="20"/>
          </w:rPr>
          <m:t>A</m:t>
        </m:r>
      </m:oMath>
      <w:r>
        <w:t xml:space="preserve"> (conformemente al punto 2.2) e l'ancora speciale </w:t>
      </w:r>
      <m:oMath>
        <m:r>
          <w:rPr>
            <w:rFonts w:ascii="Cambria Math" w:hAnsi="Cambria Math"/>
            <w:szCs w:val="20"/>
          </w:rPr>
          <m:t>B</m:t>
        </m:r>
      </m:oMath>
      <w:r>
        <w:t xml:space="preserve"> da autorizzare predisposto e valutato da un'istituzione designata dall'autorità competente.</w:t>
      </w:r>
    </w:p>
    <w:p w:rsidR="004F47BB" w:rsidRPr="004F47BB" w:rsidRDefault="004F47BB" w:rsidP="004F47BB">
      <w:pPr>
        <w:overflowPunct w:val="0"/>
        <w:adjustRightInd w:val="0"/>
        <w:spacing w:line="240" w:lineRule="atLeast"/>
        <w:ind w:left="567" w:hanging="567"/>
        <w:textAlignment w:val="baseline"/>
        <w:rPr>
          <w:szCs w:val="20"/>
        </w:rPr>
      </w:pPr>
    </w:p>
    <w:p w:rsidR="004F47BB" w:rsidRPr="004F47BB" w:rsidRDefault="004F47BB" w:rsidP="004F47BB">
      <w:pPr>
        <w:overflowPunct w:val="0"/>
        <w:adjustRightInd w:val="0"/>
        <w:spacing w:line="240" w:lineRule="atLeast"/>
        <w:ind w:left="567" w:hanging="567"/>
        <w:textAlignment w:val="baseline"/>
        <w:rPr>
          <w:szCs w:val="20"/>
        </w:rPr>
      </w:pPr>
      <w:r>
        <w:rPr>
          <w:b/>
        </w:rPr>
        <w:t>1.4</w:t>
      </w:r>
      <w:r>
        <w:tab/>
        <w:t xml:space="preserve">L'autorità competente notifica al CESNI qualunque domanda di riduzione della massa di un'ancora che ritiene di autorizzare dopo aver eseguito le debite prove. </w:t>
      </w:r>
    </w:p>
    <w:p w:rsidR="004F47BB" w:rsidRPr="004F47BB" w:rsidRDefault="004F47BB" w:rsidP="004F47BB">
      <w:pPr>
        <w:overflowPunct w:val="0"/>
        <w:adjustRightInd w:val="0"/>
        <w:spacing w:line="240" w:lineRule="atLeast"/>
        <w:ind w:left="567" w:hanging="567"/>
        <w:textAlignment w:val="baseline"/>
        <w:rPr>
          <w:szCs w:val="20"/>
        </w:rPr>
      </w:pPr>
    </w:p>
    <w:p w:rsidR="004F47BB" w:rsidRPr="004F47BB" w:rsidRDefault="004F47BB" w:rsidP="004F47BB">
      <w:pPr>
        <w:overflowPunct w:val="0"/>
        <w:adjustRightInd w:val="0"/>
        <w:spacing w:line="240" w:lineRule="atLeast"/>
        <w:ind w:left="567" w:hanging="567"/>
        <w:textAlignment w:val="baseline"/>
        <w:rPr>
          <w:szCs w:val="20"/>
        </w:rPr>
      </w:pPr>
    </w:p>
    <w:p w:rsidR="004F47BB" w:rsidRPr="004F47BB" w:rsidRDefault="004F47BB" w:rsidP="004F47BB">
      <w:pPr>
        <w:overflowPunct w:val="0"/>
        <w:adjustRightInd w:val="0"/>
        <w:spacing w:line="240" w:lineRule="atLeast"/>
        <w:ind w:left="567" w:hanging="567"/>
        <w:textAlignment w:val="baseline"/>
        <w:rPr>
          <w:b/>
          <w:szCs w:val="20"/>
        </w:rPr>
      </w:pPr>
      <w:r>
        <w:rPr>
          <w:b/>
        </w:rPr>
        <w:t>2.</w:t>
      </w:r>
      <w:r>
        <w:tab/>
      </w:r>
      <w:r>
        <w:rPr>
          <w:b/>
        </w:rPr>
        <w:t>Capo 2 — Procedura di prova</w:t>
      </w:r>
    </w:p>
    <w:p w:rsidR="004F47BB" w:rsidRPr="004F47BB" w:rsidRDefault="004F47BB" w:rsidP="004F47BB">
      <w:pPr>
        <w:overflowPunct w:val="0"/>
        <w:adjustRightInd w:val="0"/>
        <w:spacing w:line="240" w:lineRule="atLeast"/>
        <w:ind w:left="567" w:hanging="567"/>
        <w:textAlignment w:val="baseline"/>
        <w:rPr>
          <w:b/>
          <w:szCs w:val="20"/>
        </w:rPr>
      </w:pPr>
    </w:p>
    <w:p w:rsidR="004F47BB" w:rsidRPr="004F47BB" w:rsidRDefault="004F47BB" w:rsidP="004F47BB">
      <w:pPr>
        <w:overflowPunct w:val="0"/>
        <w:adjustRightInd w:val="0"/>
        <w:spacing w:line="240" w:lineRule="atLeast"/>
        <w:ind w:left="567" w:hanging="567"/>
        <w:textAlignment w:val="baseline"/>
        <w:rPr>
          <w:szCs w:val="20"/>
        </w:rPr>
      </w:pPr>
      <w:r>
        <w:rPr>
          <w:b/>
        </w:rPr>
        <w:t>2.1</w:t>
      </w:r>
      <w:r>
        <w:tab/>
        <w:t xml:space="preserve">Gli schemi della forza frenante di cui al punto 1.3 devono rappresentare la forza frenante in funzione della velocità per l'ancora di riferimento </w:t>
      </w:r>
      <m:oMath>
        <m:r>
          <w:rPr>
            <w:rFonts w:ascii="Cambria Math" w:hAnsi="Cambria Math"/>
            <w:szCs w:val="20"/>
          </w:rPr>
          <m:t>A</m:t>
        </m:r>
      </m:oMath>
      <w:r>
        <w:t xml:space="preserve"> e l'ancora speciale </w:t>
      </w:r>
      <m:oMath>
        <m:r>
          <w:rPr>
            <w:rFonts w:ascii="Cambria Math" w:hAnsi="Cambria Math"/>
            <w:szCs w:val="20"/>
          </w:rPr>
          <m:t>B</m:t>
        </m:r>
      </m:oMath>
      <w:r>
        <w:t xml:space="preserve"> da autorizzare sulla base di prove eseguite conformemente ai punti da 2.2 a 2.5 di seguito. L'allegato 1 riporta una possibile prova della forza frenante.</w:t>
      </w:r>
    </w:p>
    <w:p w:rsidR="004F47BB" w:rsidRPr="004F47BB" w:rsidRDefault="004F47BB" w:rsidP="004F47BB">
      <w:pPr>
        <w:overflowPunct w:val="0"/>
        <w:adjustRightInd w:val="0"/>
        <w:spacing w:line="240" w:lineRule="atLeast"/>
        <w:ind w:left="567" w:hanging="567"/>
        <w:textAlignment w:val="baseline"/>
        <w:rPr>
          <w:szCs w:val="20"/>
        </w:rPr>
      </w:pPr>
    </w:p>
    <w:p w:rsidR="004F47BB" w:rsidRPr="004F47BB" w:rsidRDefault="004F47BB" w:rsidP="004F47BB">
      <w:pPr>
        <w:overflowPunct w:val="0"/>
        <w:adjustRightInd w:val="0"/>
        <w:spacing w:line="240" w:lineRule="atLeast"/>
        <w:ind w:left="567" w:hanging="567"/>
        <w:textAlignment w:val="baseline"/>
        <w:rPr>
          <w:szCs w:val="20"/>
        </w:rPr>
      </w:pPr>
    </w:p>
    <w:p w:rsidR="004F47BB" w:rsidRPr="004F47BB" w:rsidRDefault="004F47BB" w:rsidP="004F47BB">
      <w:pPr>
        <w:overflowPunct w:val="0"/>
        <w:adjustRightInd w:val="0"/>
        <w:spacing w:line="240" w:lineRule="atLeast"/>
        <w:ind w:left="567" w:hanging="567"/>
        <w:textAlignment w:val="baseline"/>
        <w:rPr>
          <w:szCs w:val="20"/>
        </w:rPr>
      </w:pPr>
      <w:r>
        <w:br w:type="page"/>
      </w:r>
    </w:p>
    <w:p w:rsidR="004F47BB" w:rsidRPr="004F47BB" w:rsidRDefault="004F47BB" w:rsidP="004F47BB">
      <w:pPr>
        <w:overflowPunct w:val="0"/>
        <w:adjustRightInd w:val="0"/>
        <w:spacing w:line="240" w:lineRule="atLeast"/>
        <w:ind w:left="567" w:hanging="567"/>
        <w:textAlignment w:val="baseline"/>
        <w:rPr>
          <w:szCs w:val="20"/>
        </w:rPr>
      </w:pPr>
      <w:r>
        <w:rPr>
          <w:b/>
        </w:rPr>
        <w:lastRenderedPageBreak/>
        <w:t>2.2</w:t>
      </w:r>
      <w:r>
        <w:tab/>
        <w:t xml:space="preserve">L'ancora di riferimento </w:t>
      </w:r>
      <m:oMath>
        <m:r>
          <w:rPr>
            <w:rFonts w:ascii="Cambria Math" w:hAnsi="Cambria Math"/>
            <w:szCs w:val="20"/>
          </w:rPr>
          <m:t>A</m:t>
        </m:r>
      </m:oMath>
      <w:r>
        <w:t xml:space="preserve"> impiegata nelle prove deve essere un'ancora senza ceppi pieghevole convenzionale corrispondente allo schizzo e ai dettagli riportati più avanti con una massa di almeno 400 kg.</w:t>
      </w:r>
    </w:p>
    <w:p w:rsidR="004F47BB" w:rsidRPr="004F47BB" w:rsidRDefault="004F47BB" w:rsidP="004F47BB">
      <w:pPr>
        <w:overflowPunct w:val="0"/>
        <w:adjustRightInd w:val="0"/>
        <w:ind w:left="426" w:hanging="426"/>
        <w:textAlignment w:val="baseline"/>
        <w:rPr>
          <w:szCs w:val="20"/>
        </w:rPr>
      </w:pPr>
    </w:p>
    <w:p w:rsidR="004F47BB" w:rsidRPr="004F47BB" w:rsidRDefault="004F47BB" w:rsidP="004F47BB">
      <w:pPr>
        <w:overflowPunct w:val="0"/>
        <w:adjustRightInd w:val="0"/>
        <w:ind w:left="426" w:hanging="426"/>
        <w:textAlignment w:val="baseline"/>
        <w:rPr>
          <w:szCs w:val="20"/>
        </w:rPr>
      </w:pPr>
      <w:r>
        <w:rPr>
          <w:noProof/>
          <w:sz w:val="16"/>
          <w:szCs w:val="16"/>
          <w:lang w:val="en-GB" w:eastAsia="en-GB" w:bidi="ar-SA"/>
        </w:rPr>
        <w:drawing>
          <wp:inline distT="0" distB="0" distL="0" distR="0" wp14:anchorId="60CC25E2" wp14:editId="12D637C8">
            <wp:extent cx="5962650" cy="2971800"/>
            <wp:effectExtent l="0" t="0" r="0" b="0"/>
            <wp:docPr id="302" name="Imag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962650" cy="2971800"/>
                    </a:xfrm>
                    <a:prstGeom prst="rect">
                      <a:avLst/>
                    </a:prstGeom>
                    <a:solidFill>
                      <a:srgbClr val="FFFFFF"/>
                    </a:solidFill>
                    <a:ln>
                      <a:noFill/>
                    </a:ln>
                  </pic:spPr>
                </pic:pic>
              </a:graphicData>
            </a:graphic>
          </wp:inline>
        </w:drawing>
      </w:r>
    </w:p>
    <w:p w:rsidR="004F47BB" w:rsidRPr="004F47BB" w:rsidRDefault="004F47BB" w:rsidP="004F47BB">
      <w:pPr>
        <w:overflowPunct w:val="0"/>
        <w:adjustRightInd w:val="0"/>
        <w:ind w:left="426" w:hanging="426"/>
        <w:textAlignment w:val="baseline"/>
        <w:rPr>
          <w:szCs w:val="20"/>
        </w:rPr>
      </w:pPr>
    </w:p>
    <w:p w:rsidR="004F47BB" w:rsidRPr="004F47BB" w:rsidRDefault="004F47BB" w:rsidP="004F47BB">
      <w:pPr>
        <w:overflowPunct w:val="0"/>
        <w:adjustRightInd w:val="0"/>
        <w:ind w:left="567" w:hanging="567"/>
        <w:textAlignment w:val="baseline"/>
        <w:rPr>
          <w:szCs w:val="20"/>
        </w:rPr>
      </w:pPr>
      <w:r>
        <w:tab/>
        <w:t>Alle dimensioni e alla massa indicate si applica una tolleranza del ±5 %. Tuttavia, l'area di ogni patta deve essere almeno di 0,15 m</w:t>
      </w:r>
      <w:r>
        <w:rPr>
          <w:vertAlign w:val="superscript"/>
        </w:rPr>
        <w:t>2</w:t>
      </w:r>
      <w:r>
        <w:t>.</w:t>
      </w:r>
    </w:p>
    <w:p w:rsidR="004F47BB" w:rsidRPr="004F47BB" w:rsidRDefault="004F47BB" w:rsidP="004F47BB">
      <w:pPr>
        <w:overflowPunct w:val="0"/>
        <w:adjustRightInd w:val="0"/>
        <w:ind w:left="567" w:hanging="567"/>
        <w:textAlignment w:val="baseline"/>
        <w:rPr>
          <w:szCs w:val="20"/>
        </w:rPr>
      </w:pPr>
    </w:p>
    <w:p w:rsidR="004F47BB" w:rsidRPr="004F47BB" w:rsidRDefault="004F47BB" w:rsidP="004F47BB">
      <w:pPr>
        <w:overflowPunct w:val="0"/>
        <w:adjustRightInd w:val="0"/>
        <w:ind w:left="567" w:hanging="567"/>
        <w:textAlignment w:val="baseline"/>
        <w:rPr>
          <w:szCs w:val="20"/>
        </w:rPr>
      </w:pPr>
      <w:r>
        <w:rPr>
          <w:b/>
        </w:rPr>
        <w:t>2.3</w:t>
      </w:r>
      <w:r>
        <w:tab/>
        <w:t xml:space="preserve">La massa dell'ancora speciale B impiegata nelle prove non deve discostarsi di più del 10 % dalla massa dell'ancora di riferimento </w:t>
      </w:r>
      <m:oMath>
        <m:r>
          <w:rPr>
            <w:rFonts w:ascii="Cambria Math" w:hAnsi="Cambria Math"/>
            <w:szCs w:val="20"/>
          </w:rPr>
          <m:t>A</m:t>
        </m:r>
      </m:oMath>
      <w:r>
        <w:t>. Se le tolleranze sono maggiori, le forze devono essere ricalcolate proporzionalmente alla massa.</w:t>
      </w:r>
    </w:p>
    <w:p w:rsidR="004F47BB" w:rsidRPr="004F47BB" w:rsidRDefault="004F47BB" w:rsidP="004F47BB">
      <w:pPr>
        <w:overflowPunct w:val="0"/>
        <w:adjustRightInd w:val="0"/>
        <w:ind w:left="567" w:hanging="567"/>
        <w:textAlignment w:val="baseline"/>
        <w:rPr>
          <w:szCs w:val="20"/>
        </w:rPr>
      </w:pPr>
    </w:p>
    <w:p w:rsidR="004F47BB" w:rsidRPr="004F47BB" w:rsidRDefault="004F47BB" w:rsidP="004F47BB">
      <w:pPr>
        <w:overflowPunct w:val="0"/>
        <w:adjustRightInd w:val="0"/>
        <w:ind w:left="567" w:hanging="567"/>
        <w:textAlignment w:val="baseline"/>
        <w:rPr>
          <w:szCs w:val="20"/>
        </w:rPr>
      </w:pPr>
      <w:r>
        <w:rPr>
          <w:b/>
        </w:rPr>
        <w:t>2.4</w:t>
      </w:r>
      <w:r>
        <w:tab/>
        <w:t>Gli schemi della forza frenante devono riportare una rappresentazione lineare della velocità (</w:t>
      </w:r>
      <m:oMath>
        <m:r>
          <w:rPr>
            <w:rFonts w:ascii="Cambria Math" w:hAnsi="Cambria Math"/>
            <w:szCs w:val="20"/>
          </w:rPr>
          <m:t>v</m:t>
        </m:r>
      </m:oMath>
      <w:r>
        <w:t xml:space="preserve">) da 0 a 5 km/h (velocità al suolo). A tal fine, si devono eseguire tre prove a monte per l'ancora di riferimento </w:t>
      </w:r>
      <m:oMath>
        <m:r>
          <w:rPr>
            <w:rFonts w:ascii="Cambria Math" w:hAnsi="Cambria Math"/>
            <w:szCs w:val="20"/>
          </w:rPr>
          <m:t>A</m:t>
        </m:r>
      </m:oMath>
      <w:r>
        <w:t xml:space="preserve"> e l'ancora speciale </w:t>
      </w:r>
      <m:oMath>
        <m:r>
          <w:rPr>
            <w:rFonts w:ascii="Cambria Math" w:hAnsi="Cambria Math"/>
            <w:szCs w:val="20"/>
          </w:rPr>
          <m:t>B</m:t>
        </m:r>
      </m:oMath>
      <w:r>
        <w:t>B alternandole su ciascuno dei due tratti di fiume individuati dall'autorità competente, uno con pietrisco grosso e l'altro con sabbia fine. Sul Reno, il tratto dal 401 al 402 km può fungere da tratto di riferimento per le prove con pietrisco grosso, mentre quello dal 480 al 481 km per le prove con sabbia fine.</w:t>
      </w:r>
    </w:p>
    <w:p w:rsidR="004F47BB" w:rsidRPr="004F47BB" w:rsidRDefault="004F47BB" w:rsidP="004F47BB">
      <w:pPr>
        <w:overflowPunct w:val="0"/>
        <w:adjustRightInd w:val="0"/>
        <w:ind w:left="567" w:hanging="567"/>
        <w:textAlignment w:val="baseline"/>
        <w:rPr>
          <w:szCs w:val="20"/>
        </w:rPr>
      </w:pPr>
    </w:p>
    <w:p w:rsidR="004F47BB" w:rsidRPr="004F47BB" w:rsidRDefault="004F47BB" w:rsidP="004F47BB">
      <w:pPr>
        <w:overflowPunct w:val="0"/>
        <w:adjustRightInd w:val="0"/>
        <w:ind w:left="567" w:hanging="567"/>
        <w:textAlignment w:val="baseline"/>
        <w:rPr>
          <w:szCs w:val="20"/>
        </w:rPr>
      </w:pPr>
      <w:r>
        <w:rPr>
          <w:b/>
        </w:rPr>
        <w:t>2.5</w:t>
      </w:r>
      <w:r>
        <w:tab/>
        <w:t>In ogni prova, l'ancora da verificare deve essere trainata con un cavo a trefoli in acciaio la cui lunghezza tra i punti di collegamento sull'ancora e sull'imbarcazione o il dispositivo trainante pari al decuplo dell'altezza del punto di collegamento sull'imbarcazione al di sopra del terreno di ancoraggio.</w:t>
      </w:r>
    </w:p>
    <w:p w:rsidR="004F47BB" w:rsidRPr="004F47BB" w:rsidRDefault="004F47BB" w:rsidP="004F47BB">
      <w:pPr>
        <w:overflowPunct w:val="0"/>
        <w:adjustRightInd w:val="0"/>
        <w:ind w:left="567" w:hanging="567"/>
        <w:textAlignment w:val="baseline"/>
        <w:rPr>
          <w:szCs w:val="20"/>
        </w:rPr>
      </w:pPr>
    </w:p>
    <w:p w:rsidR="004F47BB" w:rsidRPr="004F47BB" w:rsidRDefault="004F47BB" w:rsidP="004F47BB">
      <w:pPr>
        <w:overflowPunct w:val="0"/>
        <w:adjustRightInd w:val="0"/>
        <w:ind w:left="567" w:hanging="567"/>
        <w:textAlignment w:val="baseline"/>
        <w:rPr>
          <w:szCs w:val="20"/>
        </w:rPr>
      </w:pPr>
      <w:r>
        <w:br w:type="page"/>
      </w:r>
    </w:p>
    <w:p w:rsidR="004F47BB" w:rsidRPr="004F47BB" w:rsidRDefault="004F47BB" w:rsidP="004F47BB">
      <w:pPr>
        <w:overflowPunct w:val="0"/>
        <w:adjustRightInd w:val="0"/>
        <w:ind w:left="567" w:hanging="567"/>
        <w:textAlignment w:val="baseline"/>
        <w:rPr>
          <w:szCs w:val="20"/>
        </w:rPr>
      </w:pPr>
      <w:r>
        <w:rPr>
          <w:b/>
        </w:rPr>
        <w:lastRenderedPageBreak/>
        <w:t>2.6</w:t>
      </w:r>
      <w:r>
        <w:tab/>
        <w:t>La percentuale di riduzione della massa dell'ancora si calcola con la seguente formula:</w:t>
      </w:r>
    </w:p>
    <w:p w:rsidR="004F47BB" w:rsidRPr="004F47BB" w:rsidRDefault="004F47BB" w:rsidP="004F47BB">
      <w:pPr>
        <w:tabs>
          <w:tab w:val="left" w:pos="567"/>
        </w:tabs>
        <w:overflowPunct w:val="0"/>
        <w:adjustRightInd w:val="0"/>
        <w:ind w:left="567" w:hanging="567"/>
        <w:textAlignment w:val="baseline"/>
        <w:rPr>
          <w:szCs w:val="20"/>
        </w:rPr>
      </w:pPr>
    </w:p>
    <w:p w:rsidR="004F47BB" w:rsidRPr="004F47BB" w:rsidRDefault="004F47BB" w:rsidP="004F47BB">
      <w:pPr>
        <w:tabs>
          <w:tab w:val="left" w:pos="567"/>
        </w:tabs>
        <w:overflowPunct w:val="0"/>
        <w:adjustRightInd w:val="0"/>
        <w:ind w:left="284" w:hanging="426"/>
        <w:textAlignment w:val="baseline"/>
        <w:rPr>
          <w:szCs w:val="20"/>
        </w:rPr>
      </w:pPr>
      <m:oMathPara>
        <m:oMath>
          <m:r>
            <w:rPr>
              <w:rFonts w:ascii="Cambria Math" w:hAnsi="Cambria Math"/>
              <w:szCs w:val="20"/>
            </w:rPr>
            <m:t xml:space="preserve">r=75 ∙ </m:t>
          </m:r>
          <m:d>
            <m:dPr>
              <m:ctrlPr>
                <w:rPr>
                  <w:rFonts w:ascii="Cambria Math" w:hAnsi="Cambria Math"/>
                  <w:i/>
                  <w:szCs w:val="20"/>
                </w:rPr>
              </m:ctrlPr>
            </m:dPr>
            <m:e>
              <m:r>
                <w:rPr>
                  <w:rFonts w:ascii="Cambria Math" w:hAnsi="Cambria Math"/>
                  <w:szCs w:val="20"/>
                </w:rPr>
                <m:t xml:space="preserve">1-0,5 </m:t>
              </m:r>
              <m:f>
                <m:fPr>
                  <m:ctrlPr>
                    <w:rPr>
                      <w:rFonts w:ascii="Cambria Math" w:hAnsi="Cambria Math"/>
                      <w:i/>
                      <w:szCs w:val="20"/>
                    </w:rPr>
                  </m:ctrlPr>
                </m:fPr>
                <m:num>
                  <m:r>
                    <w:rPr>
                      <w:rFonts w:ascii="Cambria Math" w:hAnsi="Cambria Math"/>
                      <w:szCs w:val="20"/>
                    </w:rPr>
                    <m:t>PB</m:t>
                  </m:r>
                </m:num>
                <m:den>
                  <m:r>
                    <w:rPr>
                      <w:rFonts w:ascii="Cambria Math" w:hAnsi="Cambria Math"/>
                      <w:szCs w:val="20"/>
                    </w:rPr>
                    <m:t>PA</m:t>
                  </m:r>
                </m:den>
              </m:f>
              <m:r>
                <w:rPr>
                  <w:rFonts w:ascii="Cambria Math" w:hAnsi="Cambria Math"/>
                  <w:szCs w:val="20"/>
                </w:rPr>
                <m:t xml:space="preserve"> </m:t>
              </m:r>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FA</m:t>
                      </m:r>
                    </m:num>
                    <m:den>
                      <m:r>
                        <w:rPr>
                          <w:rFonts w:ascii="Cambria Math" w:hAnsi="Cambria Math"/>
                          <w:szCs w:val="20"/>
                        </w:rPr>
                        <m:t>FB</m:t>
                      </m:r>
                    </m:den>
                  </m:f>
                  <m:r>
                    <w:rPr>
                      <w:rFonts w:ascii="Cambria Math" w:hAnsi="Cambria Math"/>
                      <w:szCs w:val="20"/>
                    </w:rPr>
                    <m:t xml:space="preserve">+ </m:t>
                  </m:r>
                  <m:f>
                    <m:fPr>
                      <m:ctrlPr>
                        <w:rPr>
                          <w:rFonts w:ascii="Cambria Math" w:hAnsi="Cambria Math"/>
                          <w:i/>
                          <w:szCs w:val="20"/>
                        </w:rPr>
                      </m:ctrlPr>
                    </m:fPr>
                    <m:num>
                      <m:r>
                        <w:rPr>
                          <w:rFonts w:ascii="Cambria Math" w:hAnsi="Cambria Math"/>
                          <w:szCs w:val="20"/>
                        </w:rPr>
                        <m:t>AA</m:t>
                      </m:r>
                    </m:num>
                    <m:den>
                      <m:r>
                        <w:rPr>
                          <w:rFonts w:ascii="Cambria Math" w:hAnsi="Cambria Math"/>
                          <w:szCs w:val="20"/>
                        </w:rPr>
                        <m:t>AB</m:t>
                      </m:r>
                    </m:den>
                  </m:f>
                </m:e>
              </m:d>
            </m:e>
          </m:d>
          <m:r>
            <w:rPr>
              <w:rFonts w:ascii="Cambria Math" w:hAnsi="Cambria Math"/>
              <w:szCs w:val="20"/>
            </w:rPr>
            <m:t xml:space="preserve"> </m:t>
          </m:r>
          <m:d>
            <m:dPr>
              <m:begChr m:val="["/>
              <m:endChr m:val="]"/>
              <m:ctrlPr>
                <w:rPr>
                  <w:rFonts w:ascii="Cambria Math" w:hAnsi="Cambria Math"/>
                  <w:i/>
                  <w:szCs w:val="20"/>
                </w:rPr>
              </m:ctrlPr>
            </m:dPr>
            <m:e>
              <m:r>
                <w:rPr>
                  <w:rFonts w:ascii="Cambria Math" w:hAnsi="Cambria Math"/>
                  <w:szCs w:val="20"/>
                </w:rPr>
                <m:t>%</m:t>
              </m:r>
            </m:e>
          </m:d>
        </m:oMath>
      </m:oMathPara>
    </w:p>
    <w:p w:rsidR="004F47BB" w:rsidRPr="004F47BB" w:rsidRDefault="004F47BB" w:rsidP="004F47BB">
      <w:pPr>
        <w:tabs>
          <w:tab w:val="left" w:pos="567"/>
        </w:tabs>
        <w:overflowPunct w:val="0"/>
        <w:adjustRightInd w:val="0"/>
        <w:ind w:left="284" w:hanging="426"/>
        <w:textAlignment w:val="baseline"/>
        <w:rPr>
          <w:szCs w:val="20"/>
        </w:rPr>
      </w:pPr>
    </w:p>
    <w:p w:rsidR="004F47BB" w:rsidRPr="004F47BB" w:rsidRDefault="004F47BB" w:rsidP="004F47BB">
      <w:pPr>
        <w:tabs>
          <w:tab w:val="left" w:pos="567"/>
        </w:tabs>
        <w:overflowPunct w:val="0"/>
        <w:adjustRightInd w:val="0"/>
        <w:ind w:left="567" w:firstLine="0"/>
        <w:textAlignment w:val="baseline"/>
        <w:rPr>
          <w:szCs w:val="20"/>
        </w:rPr>
      </w:pPr>
      <w:r>
        <w:t>dove</w:t>
      </w:r>
    </w:p>
    <w:p w:rsidR="004F47BB" w:rsidRPr="004F47BB" w:rsidRDefault="004F47BB" w:rsidP="004F47BB">
      <w:pPr>
        <w:tabs>
          <w:tab w:val="left" w:pos="567"/>
        </w:tabs>
        <w:overflowPunct w:val="0"/>
        <w:adjustRightInd w:val="0"/>
        <w:ind w:left="567" w:firstLine="0"/>
        <w:textAlignment w:val="baseline"/>
        <w:rPr>
          <w:szCs w:val="20"/>
        </w:rPr>
      </w:pPr>
    </w:p>
    <w:p w:rsidR="004F47BB" w:rsidRPr="004F47BB" w:rsidRDefault="004F47BB" w:rsidP="004F47BB">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r</m:t>
        </m:r>
      </m:oMath>
      <w:r>
        <w:tab/>
        <w:t>=</w:t>
      </w:r>
      <w:r>
        <w:tab/>
        <w:t xml:space="preserve">è la percentuale di riduzione della massa dell'ancora speciale </w:t>
      </w:r>
      <m:oMath>
        <m:r>
          <w:rPr>
            <w:rFonts w:ascii="Cambria Math" w:hAnsi="Cambria Math"/>
            <w:szCs w:val="20"/>
          </w:rPr>
          <m:t>B</m:t>
        </m:r>
      </m:oMath>
      <w:r>
        <w:t xml:space="preserve"> rispetto all'ancora di riferimento </w:t>
      </w:r>
      <m:oMath>
        <m:r>
          <w:rPr>
            <w:rFonts w:ascii="Cambria Math" w:hAnsi="Cambria Math"/>
            <w:szCs w:val="20"/>
          </w:rPr>
          <m:t>A</m:t>
        </m:r>
      </m:oMath>
      <w:r>
        <w:t>;</w:t>
      </w:r>
    </w:p>
    <w:p w:rsidR="004F47BB" w:rsidRPr="004F47BB" w:rsidRDefault="004F47BB" w:rsidP="004F47BB">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PA</m:t>
        </m:r>
      </m:oMath>
      <w:r>
        <w:tab/>
        <w:t>=</w:t>
      </w:r>
      <w:r>
        <w:tab/>
        <w:t xml:space="preserve">è la massa dell'ancora di riferimento </w:t>
      </w:r>
      <m:oMath>
        <m:r>
          <w:rPr>
            <w:rFonts w:ascii="Cambria Math" w:hAnsi="Cambria Math"/>
            <w:szCs w:val="20"/>
          </w:rPr>
          <m:t>A</m:t>
        </m:r>
      </m:oMath>
      <w:r>
        <w:t>;</w:t>
      </w:r>
    </w:p>
    <w:p w:rsidR="004F47BB" w:rsidRPr="004F47BB" w:rsidRDefault="004F47BB" w:rsidP="004F47BB">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PB</m:t>
        </m:r>
      </m:oMath>
      <w:r>
        <w:tab/>
        <w:t>=</w:t>
      </w:r>
      <w:r>
        <w:tab/>
        <w:t xml:space="preserve">è la massa dell'ancora speciale </w:t>
      </w:r>
      <m:oMath>
        <m:r>
          <w:rPr>
            <w:rFonts w:ascii="Cambria Math" w:hAnsi="Cambria Math"/>
            <w:szCs w:val="20"/>
          </w:rPr>
          <m:t>B</m:t>
        </m:r>
      </m:oMath>
      <w:r>
        <w:t>;</w:t>
      </w:r>
    </w:p>
    <w:p w:rsidR="004F47BB" w:rsidRPr="004F47BB" w:rsidRDefault="004F47BB" w:rsidP="004F47BB">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FA</m:t>
        </m:r>
      </m:oMath>
      <w:r>
        <w:tab/>
        <w:t>=</w:t>
      </w:r>
      <w:r>
        <w:tab/>
        <w:t xml:space="preserve">è la tenuta dell'ancora di riferimento </w:t>
      </w:r>
      <m:oMath>
        <m:r>
          <w:rPr>
            <w:rFonts w:ascii="Cambria Math" w:hAnsi="Cambria Math"/>
            <w:szCs w:val="20"/>
          </w:rPr>
          <m:t>A</m:t>
        </m:r>
      </m:oMath>
      <w:r>
        <w:t xml:space="preserve"> per </w:t>
      </w:r>
      <m:oMath>
        <m:r>
          <w:rPr>
            <w:rFonts w:ascii="Cambria Math" w:hAnsi="Cambria Math"/>
            <w:szCs w:val="20"/>
          </w:rPr>
          <m:t>v</m:t>
        </m:r>
      </m:oMath>
      <w:r>
        <w:t xml:space="preserve"> = 0,5 km/h;</w:t>
      </w:r>
    </w:p>
    <w:p w:rsidR="004F47BB" w:rsidRPr="004F47BB" w:rsidRDefault="004F47BB" w:rsidP="004F47BB">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FB</m:t>
        </m:r>
      </m:oMath>
      <w:r>
        <w:tab/>
        <w:t>=</w:t>
      </w:r>
      <w:r>
        <w:tab/>
        <w:t xml:space="preserve">è la tenuta dell'ancora speciale </w:t>
      </w:r>
      <m:oMath>
        <m:r>
          <w:rPr>
            <w:rFonts w:ascii="Cambria Math" w:hAnsi="Cambria Math"/>
            <w:szCs w:val="20"/>
          </w:rPr>
          <m:t>B</m:t>
        </m:r>
      </m:oMath>
      <w:r>
        <w:t xml:space="preserve"> per </w:t>
      </w:r>
      <m:oMath>
        <m:r>
          <w:rPr>
            <w:rFonts w:ascii="Cambria Math" w:hAnsi="Cambria Math"/>
            <w:szCs w:val="20"/>
          </w:rPr>
          <m:t>v</m:t>
        </m:r>
      </m:oMath>
      <w:r>
        <w:t xml:space="preserve"> = 0,5 km/h;</w:t>
      </w:r>
    </w:p>
    <w:p w:rsidR="004F47BB" w:rsidRPr="004F47BB" w:rsidRDefault="004F47BB" w:rsidP="004F47BB">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AA</m:t>
        </m:r>
      </m:oMath>
      <w:r>
        <w:tab/>
        <w:t>=</w:t>
      </w:r>
      <w:r>
        <w:tab/>
        <w:t>è l'area nello schema della forza frenante definita:</w:t>
      </w:r>
    </w:p>
    <w:p w:rsidR="004F47BB" w:rsidRPr="004F47BB" w:rsidRDefault="004F47BB" w:rsidP="004F47BB">
      <w:pPr>
        <w:tabs>
          <w:tab w:val="left" w:pos="1985"/>
        </w:tabs>
        <w:overflowPunct w:val="0"/>
        <w:adjustRightInd w:val="0"/>
        <w:spacing w:before="60"/>
        <w:ind w:left="1984"/>
        <w:textAlignment w:val="baseline"/>
        <w:rPr>
          <w:szCs w:val="20"/>
        </w:rPr>
      </w:pPr>
      <w:r>
        <w:t>-</w:t>
      </w:r>
      <w:r>
        <w:tab/>
        <w:t xml:space="preserve">dalla parallela all'asse y per </w:t>
      </w:r>
      <m:oMath>
        <m:r>
          <w:rPr>
            <w:rFonts w:ascii="Cambria Math" w:hAnsi="Cambria Math"/>
            <w:szCs w:val="20"/>
          </w:rPr>
          <m:t>v</m:t>
        </m:r>
      </m:oMath>
      <w:r>
        <w:t xml:space="preserve"> = 0;</w:t>
      </w:r>
    </w:p>
    <w:p w:rsidR="004F47BB" w:rsidRPr="004F47BB" w:rsidRDefault="004F47BB" w:rsidP="004F47BB">
      <w:pPr>
        <w:tabs>
          <w:tab w:val="left" w:pos="1985"/>
        </w:tabs>
        <w:overflowPunct w:val="0"/>
        <w:adjustRightInd w:val="0"/>
        <w:spacing w:before="60"/>
        <w:ind w:left="1984"/>
        <w:textAlignment w:val="baseline"/>
        <w:rPr>
          <w:szCs w:val="20"/>
        </w:rPr>
      </w:pPr>
      <w:r>
        <w:t>-</w:t>
      </w:r>
      <w:r>
        <w:tab/>
        <w:t xml:space="preserve">dalla parallela all'asse y per </w:t>
      </w:r>
      <m:oMath>
        <m:r>
          <w:rPr>
            <w:rFonts w:ascii="Cambria Math" w:hAnsi="Cambria Math"/>
            <w:szCs w:val="20"/>
          </w:rPr>
          <m:t>v</m:t>
        </m:r>
      </m:oMath>
      <w:r>
        <w:t xml:space="preserve"> = 5 km/h;</w:t>
      </w:r>
    </w:p>
    <w:p w:rsidR="004F47BB" w:rsidRPr="004F47BB" w:rsidRDefault="004F47BB" w:rsidP="004F47BB">
      <w:pPr>
        <w:tabs>
          <w:tab w:val="left" w:pos="1985"/>
        </w:tabs>
        <w:overflowPunct w:val="0"/>
        <w:adjustRightInd w:val="0"/>
        <w:spacing w:before="60"/>
        <w:ind w:left="1984"/>
        <w:textAlignment w:val="baseline"/>
        <w:rPr>
          <w:szCs w:val="20"/>
        </w:rPr>
      </w:pPr>
      <w:r>
        <w:t>-</w:t>
      </w:r>
      <w:r>
        <w:tab/>
        <w:t xml:space="preserve">dalla parallela all'asse x per una tenuta </w:t>
      </w:r>
      <m:oMath>
        <m:r>
          <w:rPr>
            <w:rFonts w:ascii="Cambria Math" w:hAnsi="Cambria Math"/>
            <w:szCs w:val="20"/>
          </w:rPr>
          <m:t>F</m:t>
        </m:r>
      </m:oMath>
      <w:r>
        <w:t xml:space="preserve"> = 0;</w:t>
      </w:r>
    </w:p>
    <w:p w:rsidR="004F47BB" w:rsidRPr="004F47BB" w:rsidRDefault="004F47BB" w:rsidP="004F47BB">
      <w:pPr>
        <w:tabs>
          <w:tab w:val="left" w:pos="1985"/>
        </w:tabs>
        <w:overflowPunct w:val="0"/>
        <w:adjustRightInd w:val="0"/>
        <w:spacing w:before="60"/>
        <w:ind w:left="1984"/>
        <w:textAlignment w:val="baseline"/>
        <w:rPr>
          <w:szCs w:val="20"/>
        </w:rPr>
      </w:pPr>
      <w:r>
        <w:t>-</w:t>
      </w:r>
      <w:r>
        <w:tab/>
        <w:t xml:space="preserve">dalla curva della forza frenante per l'ancora di riferimento </w:t>
      </w:r>
      <m:oMath>
        <m:r>
          <w:rPr>
            <w:rFonts w:ascii="Cambria Math" w:hAnsi="Cambria Math"/>
            <w:szCs w:val="20"/>
          </w:rPr>
          <m:t>A</m:t>
        </m:r>
      </m:oMath>
      <w:r>
        <w:t>.</w:t>
      </w:r>
    </w:p>
    <w:p w:rsidR="004F47BB" w:rsidRPr="004F47BB" w:rsidRDefault="004F47BB" w:rsidP="004F47BB">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AB</m:t>
        </m:r>
      </m:oMath>
      <w:r>
        <w:tab/>
        <w:t>=</w:t>
      </w:r>
      <w:r>
        <w:tab/>
        <w:t xml:space="preserve">stessa definizione di </w:t>
      </w:r>
      <m:oMath>
        <m:r>
          <w:rPr>
            <w:rFonts w:ascii="Cambria Math" w:hAnsi="Cambria Math"/>
            <w:szCs w:val="20"/>
          </w:rPr>
          <m:t>AA</m:t>
        </m:r>
      </m:oMath>
      <w:r>
        <w:t xml:space="preserve">, salvo il fatto che si utilizza la curva della forza frenante per l'ancora speciale </w:t>
      </w:r>
      <m:oMath>
        <m:r>
          <w:rPr>
            <w:rFonts w:ascii="Cambria Math" w:hAnsi="Cambria Math"/>
            <w:szCs w:val="20"/>
          </w:rPr>
          <m:t>B</m:t>
        </m:r>
      </m:oMath>
      <w:r>
        <w:t>.</w:t>
      </w:r>
    </w:p>
    <w:p w:rsidR="004F47BB" w:rsidRPr="004F47BB" w:rsidRDefault="004F47BB" w:rsidP="004F47BB">
      <w:pPr>
        <w:tabs>
          <w:tab w:val="left" w:pos="284"/>
        </w:tabs>
        <w:overflowPunct w:val="0"/>
        <w:adjustRightInd w:val="0"/>
        <w:ind w:left="0" w:firstLine="0"/>
        <w:textAlignment w:val="baseline"/>
        <w:rPr>
          <w:szCs w:val="20"/>
        </w:rPr>
      </w:pPr>
    </w:p>
    <w:p w:rsidR="004F47BB" w:rsidRPr="004F47BB" w:rsidRDefault="004F47BB" w:rsidP="004F47BB">
      <w:pPr>
        <w:tabs>
          <w:tab w:val="left" w:pos="284"/>
        </w:tabs>
        <w:overflowPunct w:val="0"/>
        <w:adjustRightInd w:val="0"/>
        <w:ind w:left="0" w:firstLine="0"/>
        <w:textAlignment w:val="baseline"/>
        <w:rPr>
          <w:szCs w:val="20"/>
        </w:rPr>
      </w:pPr>
    </w:p>
    <w:p w:rsidR="004F47BB" w:rsidRPr="004F47BB" w:rsidRDefault="004F47BB" w:rsidP="004F47BB">
      <w:pPr>
        <w:tabs>
          <w:tab w:val="left" w:pos="284"/>
        </w:tabs>
        <w:overflowPunct w:val="0"/>
        <w:adjustRightInd w:val="0"/>
        <w:ind w:left="0" w:firstLine="0"/>
        <w:jc w:val="center"/>
        <w:textAlignment w:val="baseline"/>
        <w:rPr>
          <w:b/>
          <w:szCs w:val="20"/>
        </w:rPr>
      </w:pPr>
      <w:r>
        <w:rPr>
          <w:b/>
        </w:rPr>
        <w:t>Modello di schema della forza frenante</w:t>
      </w:r>
    </w:p>
    <w:p w:rsidR="004F47BB" w:rsidRPr="004F47BB" w:rsidRDefault="004F47BB" w:rsidP="004F47BB">
      <w:pPr>
        <w:tabs>
          <w:tab w:val="left" w:pos="284"/>
        </w:tabs>
        <w:overflowPunct w:val="0"/>
        <w:adjustRightInd w:val="0"/>
        <w:ind w:left="0" w:firstLine="0"/>
        <w:jc w:val="center"/>
        <w:textAlignment w:val="baseline"/>
        <w:rPr>
          <w:b/>
          <w:szCs w:val="20"/>
        </w:rPr>
      </w:pPr>
      <w:r>
        <w:rPr>
          <w:b/>
        </w:rPr>
        <w:t xml:space="preserve">(calcolo delle aree </w:t>
      </w:r>
      <m:oMath>
        <m:r>
          <m:rPr>
            <m:sty m:val="bi"/>
          </m:rPr>
          <w:rPr>
            <w:rFonts w:ascii="Cambria Math" w:hAnsi="Cambria Math"/>
            <w:szCs w:val="20"/>
          </w:rPr>
          <m:t>AA</m:t>
        </m:r>
      </m:oMath>
      <w:r>
        <w:rPr>
          <w:b/>
        </w:rPr>
        <w:t xml:space="preserve"> e</w:t>
      </w:r>
      <w:r w:rsidR="00A16690">
        <w:rPr>
          <w:b/>
        </w:rPr>
        <w:t xml:space="preserve"> </w:t>
      </w:r>
      <m:oMath>
        <m:r>
          <m:rPr>
            <m:sty m:val="bi"/>
          </m:rPr>
          <w:rPr>
            <w:rFonts w:ascii="Cambria Math" w:hAnsi="Cambria Math"/>
            <w:szCs w:val="20"/>
          </w:rPr>
          <m:t>AB</m:t>
        </m:r>
      </m:oMath>
      <w:r>
        <w:rPr>
          <w:b/>
        </w:rPr>
        <w:t>)</w:t>
      </w:r>
    </w:p>
    <w:p w:rsidR="004F47BB" w:rsidRPr="004F47BB" w:rsidRDefault="004F47BB" w:rsidP="004F47BB">
      <w:pPr>
        <w:tabs>
          <w:tab w:val="left" w:pos="284"/>
        </w:tabs>
        <w:overflowPunct w:val="0"/>
        <w:adjustRightInd w:val="0"/>
        <w:ind w:left="1134" w:hanging="1276"/>
        <w:jc w:val="center"/>
        <w:textAlignment w:val="baseline"/>
        <w:rPr>
          <w:noProof/>
          <w:szCs w:val="20"/>
        </w:rPr>
      </w:pPr>
      <w:r>
        <w:rPr>
          <w:rFonts w:cs="Arial"/>
          <w:noProof/>
          <w:szCs w:val="20"/>
          <w:lang w:val="en-GB" w:eastAsia="en-GB" w:bidi="ar-SA"/>
        </w:rPr>
        <w:drawing>
          <wp:anchor distT="0" distB="0" distL="114300" distR="114300" simplePos="0" relativeHeight="251694080" behindDoc="0" locked="0" layoutInCell="1" allowOverlap="1" wp14:anchorId="3F269D9E" wp14:editId="47798573">
            <wp:simplePos x="0" y="0"/>
            <wp:positionH relativeFrom="column">
              <wp:posOffset>533400</wp:posOffset>
            </wp:positionH>
            <wp:positionV relativeFrom="paragraph">
              <wp:posOffset>213360</wp:posOffset>
            </wp:positionV>
            <wp:extent cx="5114290" cy="2333625"/>
            <wp:effectExtent l="0" t="0" r="0" b="9525"/>
            <wp:wrapTopAndBottom/>
            <wp:docPr id="303" name="Imag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114290" cy="2333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F47BB" w:rsidRPr="004F47BB" w:rsidRDefault="004F47BB" w:rsidP="004F47BB">
      <w:pPr>
        <w:tabs>
          <w:tab w:val="left" w:pos="284"/>
        </w:tabs>
        <w:overflowPunct w:val="0"/>
        <w:adjustRightInd w:val="0"/>
        <w:ind w:left="1134" w:hanging="1276"/>
        <w:jc w:val="center"/>
        <w:textAlignment w:val="baseline"/>
        <w:rPr>
          <w:szCs w:val="20"/>
        </w:rPr>
      </w:pPr>
    </w:p>
    <w:p w:rsidR="004F47BB" w:rsidRPr="004F47BB" w:rsidRDefault="004F47BB" w:rsidP="004F47BB">
      <w:pPr>
        <w:tabs>
          <w:tab w:val="left" w:pos="284"/>
        </w:tabs>
        <w:overflowPunct w:val="0"/>
        <w:adjustRightInd w:val="0"/>
        <w:ind w:left="1134" w:hanging="1276"/>
        <w:textAlignment w:val="baseline"/>
        <w:rPr>
          <w:szCs w:val="20"/>
        </w:rPr>
      </w:pPr>
    </w:p>
    <w:p w:rsidR="004F47BB" w:rsidRPr="004F47BB" w:rsidRDefault="004F47BB" w:rsidP="004F47BB">
      <w:pPr>
        <w:tabs>
          <w:tab w:val="left" w:pos="567"/>
        </w:tabs>
        <w:overflowPunct w:val="0"/>
        <w:adjustRightInd w:val="0"/>
        <w:ind w:left="567" w:hanging="567"/>
        <w:textAlignment w:val="baseline"/>
        <w:rPr>
          <w:szCs w:val="20"/>
        </w:rPr>
      </w:pPr>
      <w:r>
        <w:rPr>
          <w:b/>
        </w:rPr>
        <w:t>2.7</w:t>
      </w:r>
      <w:r>
        <w:tab/>
        <w:t xml:space="preserve">La percentuale accettabile è la media di sei valori di </w:t>
      </w:r>
      <m:oMath>
        <m:r>
          <w:rPr>
            <w:rFonts w:ascii="Cambria Math" w:hAnsi="Cambria Math"/>
            <w:szCs w:val="20"/>
          </w:rPr>
          <m:t>r</m:t>
        </m:r>
      </m:oMath>
      <w:r>
        <w:t xml:space="preserve"> calcolati secondo il punto 2.6.</w:t>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sectPr w:rsidR="004F47BB" w:rsidRPr="004F47BB" w:rsidSect="00D45887">
          <w:footnotePr>
            <w:numRestart w:val="eachPage"/>
          </w:footnotePr>
          <w:pgSz w:w="11907" w:h="16840" w:code="9"/>
          <w:pgMar w:top="1418" w:right="1418" w:bottom="1418" w:left="1418" w:header="680" w:footer="680" w:gutter="0"/>
          <w:cols w:space="720"/>
          <w:docGrid w:linePitch="326"/>
        </w:sectPr>
      </w:pPr>
    </w:p>
    <w:p w:rsidR="004F47BB" w:rsidRPr="004F47BB" w:rsidRDefault="004F47BB" w:rsidP="005716BB">
      <w:pPr>
        <w:pStyle w:val="ES-Titre4"/>
      </w:pPr>
      <w:r>
        <w:lastRenderedPageBreak/>
        <w:t>Allegato 1 all'istruzione ESI-II-9</w:t>
      </w:r>
    </w:p>
    <w:p w:rsidR="004F47BB" w:rsidRPr="004F47BB" w:rsidRDefault="004F47BB" w:rsidP="005716BB">
      <w:pPr>
        <w:pStyle w:val="ES-Titre4a"/>
      </w:pPr>
      <w:r>
        <w:t>Esempio di metodo di prova di un'ancora con convoglio spinto a una fila in due parti</w:t>
      </w:r>
    </w:p>
    <w:p w:rsidR="004F47BB" w:rsidRPr="004F47BB" w:rsidRDefault="004F47BB" w:rsidP="004F47BB">
      <w:pPr>
        <w:tabs>
          <w:tab w:val="left" w:pos="284"/>
          <w:tab w:val="left" w:pos="567"/>
        </w:tabs>
        <w:overflowPunct w:val="0"/>
        <w:adjustRightInd w:val="0"/>
        <w:ind w:left="284" w:hanging="426"/>
        <w:textAlignment w:val="baseline"/>
        <w:rPr>
          <w:szCs w:val="20"/>
        </w:rPr>
      </w:pPr>
    </w:p>
    <w:p w:rsidR="004F47BB" w:rsidRPr="004F47BB" w:rsidRDefault="004F47BB" w:rsidP="004F47BB">
      <w:pPr>
        <w:tabs>
          <w:tab w:val="left" w:pos="284"/>
          <w:tab w:val="left" w:pos="567"/>
        </w:tabs>
        <w:overflowPunct w:val="0"/>
        <w:adjustRightInd w:val="0"/>
        <w:ind w:left="284" w:hanging="426"/>
        <w:textAlignment w:val="baseline"/>
        <w:rPr>
          <w:szCs w:val="20"/>
        </w:rPr>
      </w:pPr>
    </w:p>
    <w:p w:rsidR="004F47BB" w:rsidRPr="004F47BB" w:rsidRDefault="004F47BB" w:rsidP="004F47BB">
      <w:pPr>
        <w:tabs>
          <w:tab w:val="left" w:pos="567"/>
        </w:tabs>
        <w:overflowPunct w:val="0"/>
        <w:adjustRightInd w:val="0"/>
        <w:ind w:left="284" w:hanging="426"/>
        <w:textAlignment w:val="baseline"/>
        <w:rPr>
          <w:szCs w:val="20"/>
        </w:rPr>
      </w:pPr>
    </w:p>
    <w:p w:rsidR="004F47BB" w:rsidRPr="004F47BB" w:rsidRDefault="004F47BB" w:rsidP="004F47BB">
      <w:pPr>
        <w:tabs>
          <w:tab w:val="left" w:pos="567"/>
        </w:tabs>
        <w:overflowPunct w:val="0"/>
        <w:adjustRightInd w:val="0"/>
        <w:ind w:left="284" w:hanging="426"/>
        <w:textAlignment w:val="baseline"/>
        <w:rPr>
          <w:szCs w:val="20"/>
        </w:rPr>
      </w:pPr>
    </w:p>
    <w:tbl>
      <w:tblPr>
        <w:tblW w:w="0" w:type="auto"/>
        <w:jc w:val="center"/>
        <w:tblLayout w:type="fixed"/>
        <w:tblLook w:val="0000" w:firstRow="0" w:lastRow="0" w:firstColumn="0" w:lastColumn="0" w:noHBand="0" w:noVBand="0"/>
      </w:tblPr>
      <w:tblGrid>
        <w:gridCol w:w="1240"/>
        <w:gridCol w:w="1268"/>
        <w:gridCol w:w="293"/>
        <w:gridCol w:w="945"/>
        <w:gridCol w:w="529"/>
        <w:gridCol w:w="765"/>
        <w:gridCol w:w="69"/>
        <w:gridCol w:w="752"/>
        <w:gridCol w:w="1476"/>
        <w:gridCol w:w="483"/>
        <w:gridCol w:w="998"/>
        <w:gridCol w:w="1082"/>
      </w:tblGrid>
      <w:tr w:rsidR="004F47BB" w:rsidRPr="004F47BB" w:rsidTr="00D45887">
        <w:trPr>
          <w:jc w:val="center"/>
        </w:trPr>
        <w:tc>
          <w:tcPr>
            <w:tcW w:w="2801" w:type="dxa"/>
            <w:gridSpan w:val="3"/>
          </w:tcPr>
          <w:p w:rsidR="004F47BB" w:rsidRPr="004F47BB" w:rsidRDefault="004F47BB" w:rsidP="004F47BB">
            <w:pPr>
              <w:suppressAutoHyphens/>
              <w:autoSpaceDE/>
              <w:autoSpaceDN/>
              <w:snapToGrid w:val="0"/>
              <w:spacing w:before="120" w:after="120"/>
              <w:ind w:left="0" w:firstLine="0"/>
              <w:rPr>
                <w:rFonts w:cs="Arial"/>
                <w:sz w:val="18"/>
                <w:szCs w:val="18"/>
              </w:rPr>
            </w:pPr>
            <w:r>
              <w:rPr>
                <w:sz w:val="18"/>
              </w:rPr>
              <w:t>Spintore</w:t>
            </w:r>
          </w:p>
        </w:tc>
        <w:tc>
          <w:tcPr>
            <w:tcW w:w="1474" w:type="dxa"/>
            <w:gridSpan w:val="2"/>
          </w:tcPr>
          <w:p w:rsidR="004F47BB" w:rsidRPr="004F47BB" w:rsidRDefault="004F47BB" w:rsidP="004F47BB">
            <w:pPr>
              <w:suppressAutoHyphens/>
              <w:autoSpaceDE/>
              <w:autoSpaceDN/>
              <w:snapToGrid w:val="0"/>
              <w:spacing w:before="120" w:after="120"/>
              <w:ind w:left="0" w:firstLine="0"/>
              <w:rPr>
                <w:rFonts w:cs="Arial"/>
                <w:sz w:val="18"/>
                <w:szCs w:val="18"/>
              </w:rPr>
            </w:pPr>
            <w:r>
              <w:rPr>
                <w:sz w:val="18"/>
              </w:rPr>
              <w:t>Seconda bettolina</w:t>
            </w:r>
          </w:p>
        </w:tc>
        <w:tc>
          <w:tcPr>
            <w:tcW w:w="1586" w:type="dxa"/>
            <w:gridSpan w:val="3"/>
          </w:tcPr>
          <w:p w:rsidR="004F47BB" w:rsidRPr="004F47BB" w:rsidRDefault="004F47BB" w:rsidP="004F47BB">
            <w:pPr>
              <w:suppressAutoHyphens/>
              <w:autoSpaceDE/>
              <w:autoSpaceDN/>
              <w:snapToGrid w:val="0"/>
              <w:spacing w:before="120" w:after="120"/>
              <w:ind w:left="0" w:firstLine="0"/>
              <w:rPr>
                <w:rFonts w:cs="Arial"/>
                <w:sz w:val="18"/>
                <w:szCs w:val="18"/>
              </w:rPr>
            </w:pPr>
          </w:p>
        </w:tc>
        <w:tc>
          <w:tcPr>
            <w:tcW w:w="1476" w:type="dxa"/>
          </w:tcPr>
          <w:p w:rsidR="004F47BB" w:rsidRPr="004F47BB" w:rsidRDefault="004F47BB" w:rsidP="004F47BB">
            <w:pPr>
              <w:suppressAutoHyphens/>
              <w:autoSpaceDE/>
              <w:autoSpaceDN/>
              <w:snapToGrid w:val="0"/>
              <w:spacing w:before="120" w:after="120"/>
              <w:ind w:left="0" w:firstLine="0"/>
              <w:rPr>
                <w:rFonts w:cs="Arial"/>
                <w:sz w:val="18"/>
                <w:szCs w:val="18"/>
              </w:rPr>
            </w:pPr>
          </w:p>
        </w:tc>
        <w:tc>
          <w:tcPr>
            <w:tcW w:w="1481" w:type="dxa"/>
            <w:gridSpan w:val="2"/>
          </w:tcPr>
          <w:p w:rsidR="004F47BB" w:rsidRPr="004F47BB" w:rsidRDefault="004F47BB" w:rsidP="004F47BB">
            <w:pPr>
              <w:suppressAutoHyphens/>
              <w:autoSpaceDE/>
              <w:autoSpaceDN/>
              <w:snapToGrid w:val="0"/>
              <w:spacing w:before="120" w:after="120"/>
              <w:ind w:left="0" w:firstLine="0"/>
              <w:rPr>
                <w:rFonts w:cs="Arial"/>
                <w:sz w:val="18"/>
                <w:szCs w:val="18"/>
              </w:rPr>
            </w:pPr>
            <w:r>
              <w:rPr>
                <w:sz w:val="18"/>
              </w:rPr>
              <w:t>Prima bettolina</w:t>
            </w:r>
          </w:p>
        </w:tc>
        <w:tc>
          <w:tcPr>
            <w:tcW w:w="1082" w:type="dxa"/>
          </w:tcPr>
          <w:p w:rsidR="004F47BB" w:rsidRPr="004F47BB" w:rsidRDefault="004F47BB" w:rsidP="004F47BB">
            <w:pPr>
              <w:suppressAutoHyphens/>
              <w:autoSpaceDE/>
              <w:autoSpaceDN/>
              <w:snapToGrid w:val="0"/>
              <w:spacing w:before="120" w:after="120"/>
              <w:ind w:left="0" w:firstLine="0"/>
              <w:rPr>
                <w:rFonts w:cs="Arial"/>
                <w:sz w:val="18"/>
                <w:szCs w:val="18"/>
              </w:rPr>
            </w:pPr>
          </w:p>
        </w:tc>
      </w:tr>
      <w:tr w:rsidR="004F47BB" w:rsidRPr="004F47BB" w:rsidTr="00D45887">
        <w:trPr>
          <w:jc w:val="center"/>
        </w:trPr>
        <w:tc>
          <w:tcPr>
            <w:tcW w:w="9900" w:type="dxa"/>
            <w:gridSpan w:val="12"/>
          </w:tcPr>
          <w:p w:rsidR="004F47BB" w:rsidRPr="004F47BB" w:rsidRDefault="004F47BB" w:rsidP="004F47BB">
            <w:pPr>
              <w:suppressAutoHyphens/>
              <w:autoSpaceDE/>
              <w:autoSpaceDN/>
              <w:snapToGrid w:val="0"/>
              <w:ind w:left="0" w:firstLine="0"/>
              <w:rPr>
                <w:rFonts w:ascii="Times New Roman" w:hAnsi="Times New Roman"/>
                <w:sz w:val="2"/>
                <w:szCs w:val="2"/>
              </w:rPr>
            </w:pPr>
            <w:r>
              <w:rPr>
                <w:rFonts w:ascii="Times New Roman" w:hAnsi="Times New Roman"/>
                <w:noProof/>
                <w:sz w:val="24"/>
                <w:lang w:val="en-GB" w:eastAsia="en-GB" w:bidi="ar-SA"/>
              </w:rPr>
              <w:drawing>
                <wp:anchor distT="0" distB="0" distL="114935" distR="114935" simplePos="0" relativeHeight="251688960" behindDoc="0" locked="0" layoutInCell="1" allowOverlap="1" wp14:anchorId="1C015875" wp14:editId="7AAB4582">
                  <wp:simplePos x="0" y="0"/>
                  <wp:positionH relativeFrom="column">
                    <wp:posOffset>-70485</wp:posOffset>
                  </wp:positionH>
                  <wp:positionV relativeFrom="paragraph">
                    <wp:posOffset>-1298575</wp:posOffset>
                  </wp:positionV>
                  <wp:extent cx="6282690" cy="1290320"/>
                  <wp:effectExtent l="0" t="0" r="3810" b="5080"/>
                  <wp:wrapTopAndBottom/>
                  <wp:docPr id="304" name="Imag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6282690" cy="12903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tc>
      </w:tr>
      <w:tr w:rsidR="004F47BB" w:rsidRPr="004F47BB" w:rsidTr="00D45887">
        <w:trPr>
          <w:jc w:val="center"/>
        </w:trPr>
        <w:tc>
          <w:tcPr>
            <w:tcW w:w="1240" w:type="dxa"/>
          </w:tcPr>
          <w:p w:rsidR="004F47BB" w:rsidRPr="004F47BB" w:rsidRDefault="004F47BB" w:rsidP="004F47BB">
            <w:pPr>
              <w:suppressAutoHyphens/>
              <w:autoSpaceDE/>
              <w:autoSpaceDN/>
              <w:snapToGrid w:val="0"/>
              <w:spacing w:before="120" w:after="120"/>
              <w:ind w:left="0" w:firstLine="0"/>
              <w:jc w:val="center"/>
              <w:rPr>
                <w:rFonts w:cs="Arial"/>
                <w:sz w:val="18"/>
                <w:szCs w:val="18"/>
              </w:rPr>
            </w:pPr>
            <w:r>
              <w:rPr>
                <w:sz w:val="18"/>
              </w:rPr>
              <w:t>Ancora</w:t>
            </w:r>
          </w:p>
        </w:tc>
        <w:tc>
          <w:tcPr>
            <w:tcW w:w="1268" w:type="dxa"/>
          </w:tcPr>
          <w:p w:rsidR="004F47BB" w:rsidRPr="004F47BB" w:rsidRDefault="004F47BB" w:rsidP="004F47BB">
            <w:pPr>
              <w:suppressAutoHyphens/>
              <w:autoSpaceDE/>
              <w:autoSpaceDN/>
              <w:snapToGrid w:val="0"/>
              <w:spacing w:before="120" w:after="120"/>
              <w:ind w:left="0" w:firstLine="0"/>
              <w:jc w:val="center"/>
              <w:rPr>
                <w:rFonts w:cs="Arial"/>
                <w:sz w:val="18"/>
                <w:szCs w:val="18"/>
              </w:rPr>
            </w:pPr>
            <w:r>
              <w:rPr>
                <w:sz w:val="18"/>
              </w:rPr>
              <w:t>Gru</w:t>
            </w:r>
          </w:p>
        </w:tc>
        <w:tc>
          <w:tcPr>
            <w:tcW w:w="1238" w:type="dxa"/>
            <w:gridSpan w:val="2"/>
          </w:tcPr>
          <w:p w:rsidR="004F47BB" w:rsidRPr="004F47BB" w:rsidRDefault="004F47BB" w:rsidP="004F47BB">
            <w:pPr>
              <w:suppressAutoHyphens/>
              <w:autoSpaceDE/>
              <w:autoSpaceDN/>
              <w:snapToGrid w:val="0"/>
              <w:spacing w:before="120" w:after="120"/>
              <w:ind w:left="0" w:firstLine="0"/>
              <w:jc w:val="center"/>
              <w:rPr>
                <w:rFonts w:cs="Arial"/>
                <w:sz w:val="18"/>
                <w:szCs w:val="18"/>
              </w:rPr>
            </w:pPr>
            <w:r>
              <w:rPr>
                <w:sz w:val="18"/>
              </w:rPr>
              <w:t>Cavo</w:t>
            </w:r>
          </w:p>
        </w:tc>
        <w:tc>
          <w:tcPr>
            <w:tcW w:w="1363" w:type="dxa"/>
            <w:gridSpan w:val="3"/>
          </w:tcPr>
          <w:p w:rsidR="004F47BB" w:rsidRPr="004F47BB" w:rsidRDefault="004F47BB" w:rsidP="004F47BB">
            <w:pPr>
              <w:suppressAutoHyphens/>
              <w:autoSpaceDE/>
              <w:autoSpaceDN/>
              <w:snapToGrid w:val="0"/>
              <w:spacing w:before="120" w:after="120"/>
              <w:ind w:left="0" w:firstLine="0"/>
              <w:jc w:val="center"/>
              <w:rPr>
                <w:rFonts w:cs="Arial"/>
                <w:sz w:val="18"/>
                <w:szCs w:val="18"/>
              </w:rPr>
            </w:pPr>
            <w:r>
              <w:rPr>
                <w:sz w:val="18"/>
              </w:rPr>
              <w:t>Linea di traino</w:t>
            </w:r>
          </w:p>
        </w:tc>
        <w:tc>
          <w:tcPr>
            <w:tcW w:w="2711" w:type="dxa"/>
            <w:gridSpan w:val="3"/>
          </w:tcPr>
          <w:p w:rsidR="004F47BB" w:rsidRPr="004F47BB" w:rsidRDefault="004F47BB" w:rsidP="004F47BB">
            <w:pPr>
              <w:suppressAutoHyphens/>
              <w:autoSpaceDE/>
              <w:autoSpaceDN/>
              <w:snapToGrid w:val="0"/>
              <w:spacing w:before="120" w:after="120"/>
              <w:ind w:left="0" w:firstLine="0"/>
              <w:jc w:val="center"/>
              <w:rPr>
                <w:rFonts w:cs="Arial"/>
                <w:sz w:val="18"/>
                <w:szCs w:val="18"/>
              </w:rPr>
            </w:pPr>
            <w:r>
              <w:rPr>
                <w:sz w:val="18"/>
              </w:rPr>
              <w:t>Dinamometro per la forza di trazione</w:t>
            </w:r>
          </w:p>
        </w:tc>
        <w:tc>
          <w:tcPr>
            <w:tcW w:w="2080" w:type="dxa"/>
            <w:gridSpan w:val="2"/>
          </w:tcPr>
          <w:p w:rsidR="004F47BB" w:rsidRPr="004F47BB" w:rsidRDefault="004F47BB" w:rsidP="004F47BB">
            <w:pPr>
              <w:suppressAutoHyphens/>
              <w:autoSpaceDE/>
              <w:autoSpaceDN/>
              <w:snapToGrid w:val="0"/>
              <w:spacing w:before="120" w:after="120"/>
              <w:ind w:left="0" w:firstLine="0"/>
              <w:jc w:val="center"/>
              <w:rPr>
                <w:rFonts w:cs="Arial"/>
                <w:sz w:val="18"/>
                <w:szCs w:val="18"/>
              </w:rPr>
            </w:pPr>
            <w:r>
              <w:rPr>
                <w:sz w:val="18"/>
              </w:rPr>
              <w:t>Ancoraggio</w:t>
            </w:r>
          </w:p>
        </w:tc>
      </w:tr>
      <w:tr w:rsidR="004F47BB" w:rsidRPr="004F47BB" w:rsidTr="00D45887">
        <w:trPr>
          <w:jc w:val="center"/>
        </w:trPr>
        <w:tc>
          <w:tcPr>
            <w:tcW w:w="1240" w:type="dxa"/>
          </w:tcPr>
          <w:p w:rsidR="004F47BB" w:rsidRPr="004F47BB" w:rsidRDefault="004F47BB" w:rsidP="004F47BB">
            <w:pPr>
              <w:suppressAutoHyphens/>
              <w:autoSpaceDE/>
              <w:autoSpaceDN/>
              <w:snapToGrid w:val="0"/>
              <w:spacing w:before="120" w:after="120"/>
              <w:ind w:left="0" w:firstLine="0"/>
              <w:jc w:val="center"/>
              <w:rPr>
                <w:rFonts w:cs="Arial"/>
                <w:sz w:val="18"/>
                <w:szCs w:val="18"/>
              </w:rPr>
            </w:pPr>
            <w:r>
              <w:rPr>
                <w:sz w:val="18"/>
              </w:rPr>
              <w:t>500 kg</w:t>
            </w:r>
          </w:p>
        </w:tc>
        <w:tc>
          <w:tcPr>
            <w:tcW w:w="1268" w:type="dxa"/>
          </w:tcPr>
          <w:p w:rsidR="004F47BB" w:rsidRPr="004F47BB" w:rsidRDefault="004F47BB" w:rsidP="004F47BB">
            <w:pPr>
              <w:suppressAutoHyphens/>
              <w:autoSpaceDE/>
              <w:autoSpaceDN/>
              <w:snapToGrid w:val="0"/>
              <w:spacing w:before="120" w:after="120"/>
              <w:ind w:left="0" w:firstLine="0"/>
              <w:jc w:val="center"/>
              <w:rPr>
                <w:rFonts w:cs="Arial"/>
                <w:sz w:val="18"/>
                <w:szCs w:val="18"/>
              </w:rPr>
            </w:pPr>
            <w:r>
              <w:rPr>
                <w:sz w:val="18"/>
              </w:rPr>
              <w:t>750 kg</w:t>
            </w:r>
          </w:p>
        </w:tc>
        <w:tc>
          <w:tcPr>
            <w:tcW w:w="1238" w:type="dxa"/>
            <w:gridSpan w:val="2"/>
          </w:tcPr>
          <w:p w:rsidR="004F47BB" w:rsidRPr="004F47BB" w:rsidRDefault="004F47BB" w:rsidP="004F47BB">
            <w:pPr>
              <w:suppressAutoHyphens/>
              <w:autoSpaceDE/>
              <w:autoSpaceDN/>
              <w:snapToGrid w:val="0"/>
              <w:spacing w:before="120" w:after="120"/>
              <w:ind w:left="0" w:firstLine="0"/>
              <w:jc w:val="center"/>
              <w:rPr>
                <w:rFonts w:ascii="Symbol" w:hAnsi="Symbol"/>
                <w:sz w:val="18"/>
                <w:szCs w:val="18"/>
              </w:rPr>
            </w:pPr>
            <w:r>
              <w:rPr>
                <w:sz w:val="18"/>
              </w:rPr>
              <w:t>12 mm</w:t>
            </w:r>
            <w:r>
              <w:rPr>
                <w:rFonts w:ascii="Times New Roman" w:hAnsi="Times New Roman"/>
                <w:sz w:val="18"/>
              </w:rPr>
              <w:t xml:space="preserve"> </w:t>
            </w:r>
          </w:p>
        </w:tc>
        <w:tc>
          <w:tcPr>
            <w:tcW w:w="1363" w:type="dxa"/>
            <w:gridSpan w:val="3"/>
          </w:tcPr>
          <w:p w:rsidR="004F47BB" w:rsidRPr="004F47BB" w:rsidRDefault="004F47BB" w:rsidP="004F47BB">
            <w:pPr>
              <w:suppressAutoHyphens/>
              <w:autoSpaceDE/>
              <w:autoSpaceDN/>
              <w:snapToGrid w:val="0"/>
              <w:spacing w:before="120" w:after="120"/>
              <w:ind w:left="0" w:firstLine="0"/>
              <w:jc w:val="center"/>
              <w:rPr>
                <w:rFonts w:ascii="Symbol" w:hAnsi="Symbol"/>
                <w:sz w:val="18"/>
                <w:szCs w:val="18"/>
              </w:rPr>
            </w:pPr>
            <w:r>
              <w:rPr>
                <w:sz w:val="18"/>
              </w:rPr>
              <w:t>24 mm</w:t>
            </w:r>
            <w:r>
              <w:rPr>
                <w:rFonts w:ascii="Times New Roman" w:hAnsi="Times New Roman"/>
                <w:sz w:val="18"/>
              </w:rPr>
              <w:t xml:space="preserve"> </w:t>
            </w:r>
          </w:p>
        </w:tc>
        <w:tc>
          <w:tcPr>
            <w:tcW w:w="2711" w:type="dxa"/>
            <w:gridSpan w:val="3"/>
          </w:tcPr>
          <w:p w:rsidR="004F47BB" w:rsidRPr="004F47BB" w:rsidRDefault="004F47BB" w:rsidP="004F47BB">
            <w:pPr>
              <w:suppressAutoHyphens/>
              <w:autoSpaceDE/>
              <w:autoSpaceDN/>
              <w:snapToGrid w:val="0"/>
              <w:spacing w:before="120" w:after="120"/>
              <w:ind w:left="0" w:firstLine="0"/>
              <w:jc w:val="center"/>
              <w:rPr>
                <w:rFonts w:ascii="Symbol" w:hAnsi="Symbol" w:cs="Arial"/>
                <w:sz w:val="18"/>
                <w:szCs w:val="18"/>
              </w:rPr>
            </w:pPr>
            <w:r>
              <w:rPr>
                <w:sz w:val="18"/>
              </w:rPr>
              <w:t>20 t</w:t>
            </w:r>
          </w:p>
        </w:tc>
        <w:tc>
          <w:tcPr>
            <w:tcW w:w="2080" w:type="dxa"/>
            <w:gridSpan w:val="2"/>
          </w:tcPr>
          <w:p w:rsidR="004F47BB" w:rsidRPr="004F47BB" w:rsidRDefault="004F47BB" w:rsidP="004F47BB">
            <w:pPr>
              <w:suppressAutoHyphens/>
              <w:autoSpaceDE/>
              <w:autoSpaceDN/>
              <w:snapToGrid w:val="0"/>
              <w:spacing w:before="120" w:after="120"/>
              <w:ind w:left="0" w:firstLine="0"/>
              <w:jc w:val="center"/>
              <w:rPr>
                <w:rFonts w:cs="Arial"/>
                <w:sz w:val="18"/>
                <w:szCs w:val="18"/>
              </w:rPr>
            </w:pPr>
            <w:r>
              <w:rPr>
                <w:sz w:val="18"/>
              </w:rPr>
              <w:t>sabbia/pietrisco</w:t>
            </w:r>
          </w:p>
        </w:tc>
      </w:tr>
      <w:tr w:rsidR="004F47BB" w:rsidRPr="004F47BB" w:rsidTr="00D45887">
        <w:trPr>
          <w:jc w:val="center"/>
        </w:trPr>
        <w:tc>
          <w:tcPr>
            <w:tcW w:w="5040" w:type="dxa"/>
            <w:gridSpan w:val="6"/>
          </w:tcPr>
          <w:p w:rsidR="004F47BB" w:rsidRPr="004F47BB" w:rsidRDefault="004F47BB" w:rsidP="004F47BB">
            <w:pPr>
              <w:suppressAutoHyphens/>
              <w:autoSpaceDE/>
              <w:autoSpaceDN/>
              <w:snapToGrid w:val="0"/>
              <w:spacing w:before="120" w:after="120"/>
              <w:ind w:left="0" w:firstLine="0"/>
              <w:jc w:val="center"/>
              <w:rPr>
                <w:rFonts w:ascii="Times New Roman" w:hAnsi="Times New Roman" w:cs="Arial"/>
                <w:sz w:val="18"/>
                <w:szCs w:val="18"/>
              </w:rPr>
            </w:pPr>
            <w:r>
              <w:rPr>
                <w:sz w:val="18"/>
              </w:rPr>
              <w:t>Velocità di traino: 0</w:t>
            </w:r>
            <w:r w:rsidR="00A16690">
              <w:rPr>
                <w:rFonts w:ascii="Times New Roman" w:hAnsi="Times New Roman"/>
                <w:sz w:val="18"/>
              </w:rPr>
              <w:t xml:space="preserve"> </w:t>
            </w:r>
            <w:r>
              <w:rPr>
                <w:sz w:val="18"/>
              </w:rPr>
              <w:t>5 km/h</w:t>
            </w:r>
          </w:p>
        </w:tc>
        <w:tc>
          <w:tcPr>
            <w:tcW w:w="4860" w:type="dxa"/>
            <w:gridSpan w:val="6"/>
          </w:tcPr>
          <w:p w:rsidR="004F47BB" w:rsidRPr="004F47BB" w:rsidRDefault="004F47BB" w:rsidP="004F47BB">
            <w:pPr>
              <w:suppressAutoHyphens/>
              <w:autoSpaceDE/>
              <w:autoSpaceDN/>
              <w:snapToGrid w:val="0"/>
              <w:spacing w:before="120" w:after="120"/>
              <w:ind w:left="0" w:firstLine="0"/>
              <w:jc w:val="center"/>
              <w:rPr>
                <w:rFonts w:ascii="Times New Roman" w:hAnsi="Times New Roman" w:cs="Arial"/>
                <w:sz w:val="18"/>
                <w:szCs w:val="18"/>
              </w:rPr>
            </w:pPr>
            <w:r>
              <w:rPr>
                <w:sz w:val="18"/>
              </w:rPr>
              <w:t>Angolo di inclinazione della linea di traino</w:t>
            </w:r>
            <w:r w:rsidR="00A16690">
              <w:rPr>
                <w:sz w:val="18"/>
              </w:rPr>
              <w:t xml:space="preserve"> </w:t>
            </w:r>
            <w:r>
              <w:rPr>
                <w:sz w:val="18"/>
              </w:rPr>
              <w:t>1:10</w:t>
            </w:r>
          </w:p>
        </w:tc>
      </w:tr>
    </w:tbl>
    <w:p w:rsidR="004F47BB" w:rsidRPr="004F47BB" w:rsidRDefault="004F47BB" w:rsidP="004F47BB">
      <w:pPr>
        <w:tabs>
          <w:tab w:val="left" w:pos="567"/>
        </w:tabs>
        <w:overflowPunct w:val="0"/>
        <w:adjustRightInd w:val="0"/>
        <w:ind w:left="284" w:hanging="426"/>
        <w:textAlignment w:val="baseline"/>
        <w:rPr>
          <w:szCs w:val="20"/>
        </w:rPr>
      </w:pPr>
    </w:p>
    <w:p w:rsidR="004F47BB" w:rsidRPr="004F47BB" w:rsidRDefault="004F47BB" w:rsidP="004F47BB">
      <w:pPr>
        <w:tabs>
          <w:tab w:val="left" w:pos="567"/>
        </w:tabs>
        <w:overflowPunct w:val="0"/>
        <w:adjustRightInd w:val="0"/>
        <w:ind w:left="284" w:hanging="426"/>
        <w:jc w:val="center"/>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r>
        <w:br w:type="page"/>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sectPr w:rsidR="004F47BB" w:rsidRPr="004F47BB" w:rsidSect="00D45887">
          <w:headerReference w:type="default" r:id="rId143"/>
          <w:footerReference w:type="default" r:id="rId144"/>
          <w:footnotePr>
            <w:numRestart w:val="eachPage"/>
          </w:footnotePr>
          <w:pgSz w:w="16840" w:h="11907" w:orient="landscape" w:code="9"/>
          <w:pgMar w:top="1418" w:right="1418" w:bottom="1418" w:left="1418" w:header="680" w:footer="680" w:gutter="0"/>
          <w:cols w:space="720"/>
          <w:docGrid w:linePitch="326"/>
        </w:sectPr>
      </w:pPr>
    </w:p>
    <w:p w:rsidR="004F47BB" w:rsidRPr="004F47BB" w:rsidRDefault="004F47BB" w:rsidP="003F3DE1">
      <w:pPr>
        <w:pStyle w:val="ES-Titre2ESI"/>
      </w:pPr>
      <w:bookmarkStart w:id="753" w:name="_Toc491854359"/>
      <w:bookmarkStart w:id="754" w:name="_Toc535500308"/>
      <w:r>
        <w:lastRenderedPageBreak/>
        <w:t>ESI-II-10</w:t>
      </w:r>
      <w:r>
        <w:br/>
        <w:t>Impianti automatici pressurizzati a sprinkler alimentati ad acqua</w:t>
      </w:r>
      <w:bookmarkEnd w:id="753"/>
      <w:bookmarkEnd w:id="754"/>
    </w:p>
    <w:p w:rsidR="004F47BB" w:rsidRPr="004F47BB" w:rsidRDefault="004F47BB" w:rsidP="004F47BB">
      <w:pPr>
        <w:autoSpaceDE/>
        <w:autoSpaceDN/>
        <w:ind w:left="0" w:firstLine="0"/>
        <w:jc w:val="center"/>
        <w:rPr>
          <w:rFonts w:cs="Arial"/>
          <w:b/>
          <w:bCs/>
        </w:rPr>
      </w:pPr>
    </w:p>
    <w:p w:rsidR="004F47BB" w:rsidRPr="004F47BB" w:rsidRDefault="004F47BB" w:rsidP="004F47BB">
      <w:pPr>
        <w:autoSpaceDE/>
        <w:autoSpaceDN/>
        <w:ind w:left="0" w:firstLine="0"/>
        <w:jc w:val="center"/>
        <w:rPr>
          <w:rFonts w:cs="Arial"/>
          <w:b/>
          <w:bCs/>
        </w:rPr>
      </w:pPr>
      <w:r>
        <w:rPr>
          <w:b/>
          <w:noProof/>
        </w:rPr>
        <w:t>(Articolo 13.04, paragrafi 1 e 4)</w:t>
      </w:r>
    </w:p>
    <w:p w:rsidR="004F47BB" w:rsidRPr="004F47BB" w:rsidRDefault="004F47BB" w:rsidP="004F47BB">
      <w:pPr>
        <w:autoSpaceDE/>
        <w:autoSpaceDN/>
        <w:ind w:left="0" w:firstLine="0"/>
        <w:jc w:val="left"/>
        <w:rPr>
          <w:rFonts w:cs="Arial"/>
        </w:rPr>
      </w:pPr>
    </w:p>
    <w:p w:rsidR="004F47BB" w:rsidRPr="004F47BB" w:rsidRDefault="004F47BB" w:rsidP="004F47BB">
      <w:pPr>
        <w:spacing w:line="240" w:lineRule="atLeast"/>
        <w:ind w:left="0" w:firstLine="0"/>
        <w:rPr>
          <w:noProof/>
        </w:rPr>
      </w:pPr>
      <w:r>
        <w:t xml:space="preserve">Per essere idonei, gli impianti automatici pressurizzati a </w:t>
      </w:r>
      <w:r>
        <w:rPr>
          <w:i/>
        </w:rPr>
        <w:t>sprinkler</w:t>
      </w:r>
      <w:r>
        <w:t xml:space="preserve"> alimentati ad acqua di cui all'articolo 13.04, paragrafi 1 e 4, devono rispettare i seguenti requisiti:</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1.</w:t>
      </w:r>
      <w:r>
        <w:tab/>
        <w:t>un impianto automatico pressurizzato a sprinkler alimentato ad acqua deve essere pronto a entrare in servizio in qualunque momento quando a bordo sono presenti persone. Per azionarne il funzionamento, non deve essere necessario alcun intervento da parte dei membri dell'equipaggio;</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2.</w:t>
      </w:r>
      <w:r>
        <w:tab/>
        <w:t xml:space="preserve">l'impianto deve essere mantenuto sempre alla pressione richiesta. Le condutture devono sempre essere piene di acqua fino ai boccalini per la nebulizzazione. L'impianto deve disporre di un'alimentazione di acqua continua. Impurità nocive al funzionamento dell'impianto non devono potervi penetrare. Per il monitoraggio e il controllo del sistema è necessario installare idonei strumenti di visualizzazione e sistemi di prova (ad esempio, manometri, indicatori del livello dell'acqua dei serbatoi in pressione, condutture di prova delle pompe); Gli impianti pressurizzati a </w:t>
      </w:r>
      <w:r>
        <w:rPr>
          <w:i/>
        </w:rPr>
        <w:t>sprinkler</w:t>
      </w:r>
      <w:r>
        <w:t xml:space="preserve"> alimentati ad acqua situati nelle celle frigorifere e nei locali congelatori non devono essere riempiti permanentemente di acqua. Tali locali possono essere protetti con </w:t>
      </w:r>
      <w:r>
        <w:rPr>
          <w:i/>
        </w:rPr>
        <w:t>sprinkler</w:t>
      </w:r>
      <w:r>
        <w:t xml:space="preserve"> a secco;</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3.</w:t>
      </w:r>
      <w:r>
        <w:tab/>
        <w:t>la pompa per l'alimentazione dell'acqua ai boccalini per la nebulizzazione deve essere attivata automaticamente da un calo di pressione impianto. La pompa deve essere dimensionata in maniera tale da poter fornire costantemente un'alimentazione di acqua sufficiente alla pressione richiesta se si attivano contemporaneamente tutti i boccalini per la nebulizzazione necessari per coprire l'area del locale più grande da proteggere. La pompa deve alimentare unicamente l'impianto automatico pressurizzato a sprinkler alimentato ad acqua. In caso di guasto della pompa, deve essere possibile fornire ai boccalini per la nebulizzazione un'alimentazione di acqua sufficiente utilizzando un'altra pompa presente a bordo;</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4.</w:t>
      </w:r>
      <w:r>
        <w:tab/>
        <w:t>l'impianto deve essere suddiviso in sezioni, ciascuna con non più di 50 boccalini per la nebulizzazione; la commissione di ispezione può autorizzare un numero maggiore di boccalini per la nebulizzazione previa adeguata corroborazione, in particolare un calcolo idraulico;</w:t>
      </w:r>
    </w:p>
    <w:p w:rsidR="004F47BB" w:rsidRPr="004F47BB" w:rsidRDefault="004F47BB" w:rsidP="004F47BB">
      <w:pPr>
        <w:spacing w:line="240" w:lineRule="atLeast"/>
        <w:ind w:left="567" w:hanging="567"/>
        <w:rPr>
          <w:noProof/>
        </w:rPr>
      </w:pPr>
    </w:p>
    <w:p w:rsidR="004F47BB" w:rsidRPr="004F47BB" w:rsidRDefault="004F47BB" w:rsidP="004F47BB">
      <w:pPr>
        <w:spacing w:line="240" w:lineRule="atLeast"/>
        <w:ind w:left="567" w:hanging="567"/>
      </w:pPr>
      <w:r>
        <w:t>5.</w:t>
      </w:r>
      <w:r>
        <w:tab/>
        <w:t>il numero e la disposizione dei boccalini deve garantire una distribuzione efficace dell'acqua nei locali da proteggere;</w:t>
      </w:r>
    </w:p>
    <w:p w:rsidR="004F47BB" w:rsidRPr="004F47BB" w:rsidRDefault="004F47BB" w:rsidP="004F47BB">
      <w:pPr>
        <w:spacing w:line="240" w:lineRule="atLeast"/>
        <w:ind w:left="567" w:hanging="567"/>
        <w:rPr>
          <w:noProof/>
        </w:rPr>
      </w:pPr>
    </w:p>
    <w:p w:rsidR="004F47BB" w:rsidRPr="004F47BB" w:rsidRDefault="004F47BB" w:rsidP="004F47BB">
      <w:pPr>
        <w:spacing w:line="240" w:lineRule="atLeast"/>
        <w:ind w:left="567" w:hanging="567"/>
        <w:rPr>
          <w:noProof/>
        </w:rPr>
      </w:pPr>
      <w:r>
        <w:t>6.</w:t>
      </w:r>
      <w:r>
        <w:tab/>
        <w:t>i boccalini per la nebulizzazione devono attivarsi a una temperatura compresa tra 68 °C e 79 °C; nelle zone delle cucine a una temperatura massima di 93 °C e nelle saune a una temperatura massima di 141 °C;</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7.</w:t>
      </w:r>
      <w:r>
        <w:tab/>
        <w:t>l'installazione di componenti dell'impianto automatico pressurizzato a sprinkler alimentato ad acqua all'interno dei locali da proteggere deve limitarsi al minimo necessario. Nelle sale macchine principali non si deve installare alcun componente dell'impianto;</w:t>
      </w:r>
    </w:p>
    <w:p w:rsidR="004F47BB" w:rsidRPr="004F47BB" w:rsidRDefault="004F47BB" w:rsidP="004F47BB">
      <w:pPr>
        <w:spacing w:line="240" w:lineRule="atLeast"/>
        <w:ind w:left="567" w:hanging="567"/>
        <w:rPr>
          <w:noProof/>
        </w:rPr>
      </w:pPr>
    </w:p>
    <w:p w:rsidR="004F47BB" w:rsidRPr="004F47BB" w:rsidRDefault="004F47BB" w:rsidP="004F47BB">
      <w:pPr>
        <w:spacing w:line="240" w:lineRule="atLeast"/>
        <w:ind w:left="567" w:hanging="567"/>
        <w:rPr>
          <w:noProof/>
        </w:rPr>
      </w:pPr>
      <w:r>
        <w:t>8.</w:t>
      </w:r>
      <w:r>
        <w:tab/>
        <w:t>in uno o più punti idonei, si devono predisporre indicatori visivi e acustici, di cui almeno uno costantemente presidiato, che visualizzino l'attivazione dell'impianto automatico pressurizzato a sprinkler alimentato ad acqua per ogni sezione;</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9.</w:t>
      </w:r>
      <w:r>
        <w:tab/>
        <w:t>l'alimentazione elettrica dell'impianto automatico pressurizzato a sprinkler alimentato ad acqua deve essere fornita da due fonti di energia indipendenti da non installare nello stesso punto. Ogni fonte di energia deve essere in grado di alimentare l'intero impianto senza alcuna assistenza;</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br w:type="page"/>
      </w:r>
    </w:p>
    <w:p w:rsidR="004F47BB" w:rsidRPr="004F47BB" w:rsidRDefault="004F47BB" w:rsidP="004F47BB">
      <w:pPr>
        <w:spacing w:line="240" w:lineRule="atLeast"/>
        <w:ind w:left="567" w:hanging="567"/>
      </w:pPr>
      <w:r>
        <w:lastRenderedPageBreak/>
        <w:t>10.</w:t>
      </w:r>
      <w:r>
        <w:tab/>
        <w:t>alla commissione di ispezione viene sottoposto un piano di installazione dell'impianto automatico pressurizzato a sprinkler alimentato ad acqua affinché lo esamini prima di procedere all'installazione. Il piano deve indicare i tipi e i dati prestazionali delle macchine e delle apparecchiature impiegate. Un'installazione verificata e certificata da una società di classificazione approvata che sia conforme almeno ai requisiti di cui sopra può essere autorizzata senza ulteriori prove;</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rPr>
          <w:noProof/>
        </w:rPr>
      </w:pPr>
      <w:r>
        <w:t>11.</w:t>
      </w:r>
      <w:r>
        <w:tab/>
        <w:t xml:space="preserve">la presenza di un impianto automatico pressurizzato a </w:t>
      </w:r>
      <w:r>
        <w:rPr>
          <w:i/>
        </w:rPr>
        <w:t>sprinkler</w:t>
      </w:r>
      <w:r>
        <w:t xml:space="preserve"> alimentato ad acqua deve essere menzionata nel certificato per la navigazione interna nella rubrica 43.</w:t>
      </w:r>
    </w:p>
    <w:p w:rsidR="004F47BB" w:rsidRPr="004F47BB" w:rsidRDefault="004F47BB" w:rsidP="004F47BB">
      <w:pPr>
        <w:spacing w:line="240" w:lineRule="atLeast"/>
        <w:ind w:left="567" w:hanging="567"/>
        <w:rPr>
          <w:noProof/>
        </w:rPr>
      </w:pPr>
    </w:p>
    <w:p w:rsidR="004F47BB" w:rsidRPr="004F47BB" w:rsidRDefault="004F47BB" w:rsidP="004F47BB">
      <w:pPr>
        <w:spacing w:line="240" w:lineRule="atLeast"/>
        <w:ind w:left="567" w:hanging="567"/>
        <w:rPr>
          <w:noProof/>
        </w:rPr>
      </w:pPr>
    </w:p>
    <w:p w:rsidR="004F47BB" w:rsidRPr="004F47BB" w:rsidRDefault="004F47BB" w:rsidP="004F47BB">
      <w:pPr>
        <w:spacing w:line="240" w:lineRule="atLeast"/>
        <w:ind w:left="567" w:hanging="567"/>
        <w:rPr>
          <w:noProof/>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sectPr w:rsidR="004F47BB" w:rsidRPr="004F47BB" w:rsidSect="00D45887">
          <w:headerReference w:type="default" r:id="rId145"/>
          <w:footerReference w:type="default" r:id="rId146"/>
          <w:footnotePr>
            <w:numRestart w:val="eachPage"/>
          </w:footnotePr>
          <w:pgSz w:w="11907" w:h="16840" w:code="9"/>
          <w:pgMar w:top="1418" w:right="1418" w:bottom="1418" w:left="1418" w:header="680" w:footer="680" w:gutter="0"/>
          <w:cols w:space="720"/>
          <w:docGrid w:linePitch="326"/>
        </w:sectPr>
      </w:pPr>
    </w:p>
    <w:p w:rsidR="004F47BB" w:rsidRPr="004F47BB" w:rsidRDefault="004F47BB" w:rsidP="003F3DE1">
      <w:pPr>
        <w:pStyle w:val="ES-Titre2ESI"/>
      </w:pPr>
      <w:bookmarkStart w:id="755" w:name="_Toc491854360"/>
      <w:bookmarkStart w:id="756" w:name="_Toc535500309"/>
      <w:r>
        <w:lastRenderedPageBreak/>
        <w:t>ESI-II-11</w:t>
      </w:r>
      <w:r>
        <w:br/>
        <w:t>Prosecuzione del percorso con mezzi propri della nave</w:t>
      </w:r>
      <w:bookmarkEnd w:id="755"/>
      <w:bookmarkEnd w:id="756"/>
    </w:p>
    <w:p w:rsidR="004F47BB" w:rsidRPr="004F47BB" w:rsidRDefault="004F47BB" w:rsidP="004F47BB">
      <w:pPr>
        <w:tabs>
          <w:tab w:val="center" w:pos="4513"/>
        </w:tabs>
        <w:overflowPunct w:val="0"/>
        <w:adjustRightInd w:val="0"/>
        <w:ind w:left="0" w:firstLine="0"/>
        <w:jc w:val="center"/>
        <w:textAlignment w:val="baseline"/>
        <w:rPr>
          <w:rFonts w:cs="Arial"/>
          <w:b/>
          <w:szCs w:val="20"/>
        </w:rPr>
      </w:pPr>
    </w:p>
    <w:p w:rsidR="004F47BB" w:rsidRPr="004F47BB" w:rsidRDefault="004F47BB" w:rsidP="004F47BB">
      <w:pPr>
        <w:tabs>
          <w:tab w:val="center" w:pos="4513"/>
        </w:tabs>
        <w:overflowPunct w:val="0"/>
        <w:adjustRightInd w:val="0"/>
        <w:ind w:left="0" w:firstLine="0"/>
        <w:jc w:val="center"/>
        <w:textAlignment w:val="baseline"/>
        <w:rPr>
          <w:rFonts w:cs="Arial"/>
          <w:b/>
          <w:szCs w:val="20"/>
        </w:rPr>
      </w:pPr>
      <w:r>
        <w:rPr>
          <w:b/>
        </w:rPr>
        <w:t>[Articolo 13.05, paragrafo 2, lettera a), articolo 19.07, paragrafo 1, articolo 28.04, paragrafo 1, lettera a)]</w:t>
      </w:r>
    </w:p>
    <w:p w:rsidR="004F47BB" w:rsidRPr="004F47BB" w:rsidRDefault="004F47BB" w:rsidP="004F47BB">
      <w:pPr>
        <w:tabs>
          <w:tab w:val="left" w:pos="567"/>
        </w:tabs>
        <w:overflowPunct w:val="0"/>
        <w:adjustRightInd w:val="0"/>
        <w:spacing w:line="240" w:lineRule="atLeast"/>
        <w:ind w:left="567" w:hanging="567"/>
        <w:textAlignment w:val="baseline"/>
        <w:rPr>
          <w:rFonts w:cs="Arial"/>
          <w:szCs w:val="20"/>
        </w:rPr>
      </w:pPr>
    </w:p>
    <w:p w:rsidR="004F47BB" w:rsidRPr="004F47BB" w:rsidRDefault="004F47BB" w:rsidP="004F47BB">
      <w:pPr>
        <w:spacing w:line="240" w:lineRule="atLeast"/>
        <w:ind w:left="567" w:hanging="567"/>
        <w:rPr>
          <w:rFonts w:cs="Arial"/>
          <w:b/>
          <w:color w:val="000000"/>
          <w:szCs w:val="20"/>
        </w:rPr>
      </w:pPr>
      <w:r>
        <w:rPr>
          <w:b/>
          <w:color w:val="000000"/>
        </w:rPr>
        <w:t>1.</w:t>
      </w:r>
      <w:r>
        <w:tab/>
      </w:r>
      <w:r>
        <w:rPr>
          <w:b/>
          <w:color w:val="000000"/>
        </w:rPr>
        <w:t>Requisiti per la prosecuzione del percorso della nave</w:t>
      </w:r>
    </w:p>
    <w:p w:rsidR="004F47BB" w:rsidRPr="004F47BB" w:rsidRDefault="004F47BB" w:rsidP="004F47BB">
      <w:pPr>
        <w:tabs>
          <w:tab w:val="left" w:pos="567"/>
        </w:tabs>
        <w:overflowPunct w:val="0"/>
        <w:adjustRightInd w:val="0"/>
        <w:spacing w:line="240" w:lineRule="atLeast"/>
        <w:ind w:left="567" w:hanging="567"/>
        <w:textAlignment w:val="baseline"/>
        <w:rPr>
          <w:rFonts w:cs="Arial"/>
          <w:szCs w:val="20"/>
        </w:rPr>
      </w:pPr>
    </w:p>
    <w:p w:rsidR="004F47BB" w:rsidRPr="004F47BB" w:rsidRDefault="004F47BB" w:rsidP="004F47BB">
      <w:pPr>
        <w:spacing w:line="240" w:lineRule="atLeast"/>
        <w:ind w:left="567" w:firstLine="0"/>
      </w:pPr>
      <w:r>
        <w:t>La prosecuzione del percorso con mezzi propri della nave di cui all'articolo 13.05, paragrafo 2, lettera a), all'articolo 19.07, paragrafo 1, e all'articolo 28.04, paragrafo 1, lettera a), è ritenuta sufficiente se, usando l'elica di prua, la nave o la formazione spostata dalla nave raggiunge una velocità di 6,5 km/h rispetto all'acqua ed è possibile indurre e mantenere un'accostata di 20°/min procedendo a una velocità di 6,5 km/h rispetto all'acqua.</w:t>
      </w:r>
    </w:p>
    <w:p w:rsidR="004F47BB" w:rsidRPr="004F47BB" w:rsidRDefault="004F47BB" w:rsidP="004F47BB">
      <w:pPr>
        <w:tabs>
          <w:tab w:val="left" w:pos="567"/>
        </w:tabs>
        <w:overflowPunct w:val="0"/>
        <w:adjustRightInd w:val="0"/>
        <w:spacing w:line="240" w:lineRule="atLeast"/>
        <w:ind w:left="567" w:hanging="567"/>
        <w:textAlignment w:val="baseline"/>
        <w:rPr>
          <w:rFonts w:cs="Arial"/>
          <w:szCs w:val="20"/>
        </w:rPr>
      </w:pPr>
    </w:p>
    <w:p w:rsidR="004F47BB" w:rsidRPr="004F47BB" w:rsidRDefault="004F47BB" w:rsidP="004F47BB">
      <w:pPr>
        <w:spacing w:line="240" w:lineRule="atLeast"/>
        <w:ind w:left="567" w:hanging="567"/>
        <w:rPr>
          <w:rFonts w:cs="Arial"/>
          <w:b/>
          <w:color w:val="000000"/>
          <w:szCs w:val="20"/>
        </w:rPr>
      </w:pPr>
      <w:r>
        <w:rPr>
          <w:b/>
          <w:color w:val="000000"/>
        </w:rPr>
        <w:t>2.</w:t>
      </w:r>
      <w:r>
        <w:tab/>
      </w:r>
      <w:r>
        <w:rPr>
          <w:b/>
          <w:color w:val="000000"/>
        </w:rPr>
        <w:t>Prove di navigazione</w:t>
      </w:r>
    </w:p>
    <w:p w:rsidR="004F47BB" w:rsidRPr="004F47BB" w:rsidRDefault="004F47BB" w:rsidP="004F47BB">
      <w:pPr>
        <w:tabs>
          <w:tab w:val="left" w:pos="567"/>
        </w:tabs>
        <w:overflowPunct w:val="0"/>
        <w:adjustRightInd w:val="0"/>
        <w:spacing w:line="240" w:lineRule="atLeast"/>
        <w:ind w:left="567" w:hanging="567"/>
        <w:textAlignment w:val="baseline"/>
        <w:rPr>
          <w:rFonts w:cs="Arial"/>
          <w:szCs w:val="20"/>
        </w:rPr>
      </w:pPr>
    </w:p>
    <w:p w:rsidR="004F47BB" w:rsidRPr="004F47BB" w:rsidRDefault="004F47BB" w:rsidP="004F47BB">
      <w:pPr>
        <w:spacing w:line="240" w:lineRule="atLeast"/>
        <w:ind w:left="567" w:firstLine="0"/>
      </w:pPr>
      <w:r>
        <w:t>All'atto della verifica dei requisiti minimi devono essere rispettate le disposizioni degli articoli 5.03 e 5.04.</w:t>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r>
        <w:br w:type="page"/>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sectPr w:rsidR="004F47BB" w:rsidRPr="004F47BB" w:rsidSect="00D45887">
          <w:headerReference w:type="default" r:id="rId147"/>
          <w:footnotePr>
            <w:numRestart w:val="eachPage"/>
          </w:footnotePr>
          <w:pgSz w:w="11907" w:h="16840" w:code="9"/>
          <w:pgMar w:top="1418" w:right="1418" w:bottom="1418" w:left="1418" w:header="680" w:footer="680" w:gutter="0"/>
          <w:cols w:space="720"/>
          <w:docGrid w:linePitch="326"/>
        </w:sectPr>
      </w:pPr>
    </w:p>
    <w:p w:rsidR="004F47BB" w:rsidRPr="004F47BB" w:rsidRDefault="004F47BB" w:rsidP="003F3DE1">
      <w:pPr>
        <w:pStyle w:val="ES-Titre2ESI"/>
        <w:rPr>
          <w:szCs w:val="22"/>
        </w:rPr>
      </w:pPr>
      <w:bookmarkStart w:id="757" w:name="_Toc491854361"/>
      <w:bookmarkStart w:id="758" w:name="_Toc535500310"/>
      <w:r>
        <w:lastRenderedPageBreak/>
        <w:t>ESI-II-12</w:t>
      </w:r>
      <w:r>
        <w:br/>
        <w:t>Idoneo sistema di allarme antincendio</w:t>
      </w:r>
      <w:bookmarkEnd w:id="757"/>
      <w:bookmarkEnd w:id="758"/>
    </w:p>
    <w:p w:rsidR="004F47BB" w:rsidRPr="004F47BB" w:rsidRDefault="004F47BB" w:rsidP="004F47BB">
      <w:pPr>
        <w:autoSpaceDE/>
        <w:autoSpaceDN/>
        <w:ind w:left="0" w:firstLine="0"/>
        <w:jc w:val="center"/>
        <w:rPr>
          <w:rFonts w:cs="Arial"/>
          <w:b/>
          <w:bCs/>
        </w:rPr>
      </w:pPr>
    </w:p>
    <w:p w:rsidR="004F47BB" w:rsidRPr="004F47BB" w:rsidRDefault="004F47BB" w:rsidP="004F47BB">
      <w:pPr>
        <w:tabs>
          <w:tab w:val="left" w:pos="426"/>
          <w:tab w:val="left" w:pos="709"/>
        </w:tabs>
        <w:autoSpaceDE/>
        <w:autoSpaceDN/>
        <w:spacing w:line="240" w:lineRule="atLeast"/>
        <w:ind w:left="709" w:hanging="709"/>
        <w:jc w:val="center"/>
        <w:rPr>
          <w:b/>
          <w:bCs/>
          <w:szCs w:val="20"/>
        </w:rPr>
      </w:pPr>
      <w:r>
        <w:rPr>
          <w:b/>
          <w:noProof/>
        </w:rPr>
        <w:t>(Articolo 13.05, paragrafo 3, articolo 19.11, paragrafo 18, articolo 29.10, paragrafo 1)</w:t>
      </w:r>
    </w:p>
    <w:p w:rsidR="004F47BB" w:rsidRPr="004F47BB" w:rsidRDefault="004F47BB" w:rsidP="004F47BB">
      <w:pPr>
        <w:tabs>
          <w:tab w:val="left" w:pos="426"/>
          <w:tab w:val="left" w:pos="709"/>
        </w:tabs>
        <w:autoSpaceDE/>
        <w:autoSpaceDN/>
        <w:spacing w:line="240" w:lineRule="atLeast"/>
        <w:ind w:left="709" w:hanging="709"/>
        <w:rPr>
          <w:szCs w:val="20"/>
        </w:rPr>
      </w:pPr>
    </w:p>
    <w:p w:rsidR="004F47BB" w:rsidRPr="004F47BB" w:rsidRDefault="004F47BB" w:rsidP="004F47BB">
      <w:pPr>
        <w:tabs>
          <w:tab w:val="left" w:pos="426"/>
          <w:tab w:val="left" w:pos="709"/>
        </w:tabs>
        <w:autoSpaceDE/>
        <w:autoSpaceDN/>
        <w:spacing w:line="240" w:lineRule="atLeast"/>
        <w:ind w:left="0" w:firstLine="0"/>
        <w:rPr>
          <w:szCs w:val="20"/>
        </w:rPr>
      </w:pPr>
      <w:r>
        <w:t>(Articolo 10.03 ter, paragrafo 3, articolo 15.11, paragrafo 17, articolo 22 ter.11, paragrafo 1, dell'allegato II) I sistemi di allarmi antincendio sono ritenuti idonei se soddisfano le seguenti condizioni.</w:t>
      </w:r>
    </w:p>
    <w:p w:rsidR="004F47BB" w:rsidRPr="004F47BB" w:rsidRDefault="004F47BB" w:rsidP="004F47BB">
      <w:pPr>
        <w:tabs>
          <w:tab w:val="left" w:pos="426"/>
          <w:tab w:val="left" w:pos="709"/>
        </w:tabs>
        <w:autoSpaceDE/>
        <w:autoSpaceDN/>
        <w:spacing w:line="240" w:lineRule="atLeast"/>
        <w:ind w:left="709" w:hanging="709"/>
        <w:rPr>
          <w:szCs w:val="20"/>
        </w:rPr>
      </w:pPr>
    </w:p>
    <w:p w:rsidR="004F47BB" w:rsidRPr="004F47BB" w:rsidRDefault="004F47BB" w:rsidP="004F47BB">
      <w:pPr>
        <w:tabs>
          <w:tab w:val="num" w:pos="709"/>
        </w:tabs>
        <w:autoSpaceDE/>
        <w:autoSpaceDN/>
        <w:spacing w:line="240" w:lineRule="atLeast"/>
        <w:ind w:left="709" w:hanging="709"/>
        <w:rPr>
          <w:b/>
          <w:bCs/>
          <w:szCs w:val="20"/>
        </w:rPr>
      </w:pPr>
      <w:r>
        <w:rPr>
          <w:b/>
        </w:rPr>
        <w:t>0.</w:t>
      </w:r>
      <w:r>
        <w:tab/>
      </w:r>
      <w:r>
        <w:rPr>
          <w:b/>
          <w:noProof/>
        </w:rPr>
        <w:t>Componenti</w:t>
      </w:r>
    </w:p>
    <w:p w:rsidR="004F47BB" w:rsidRPr="004F47BB" w:rsidRDefault="004F47BB" w:rsidP="004F47BB">
      <w:pPr>
        <w:tabs>
          <w:tab w:val="num" w:pos="709"/>
        </w:tabs>
        <w:autoSpaceDE/>
        <w:autoSpaceDN/>
        <w:spacing w:line="240" w:lineRule="atLeast"/>
        <w:ind w:left="709" w:hanging="709"/>
        <w:rPr>
          <w:szCs w:val="20"/>
        </w:rPr>
      </w:pPr>
    </w:p>
    <w:p w:rsidR="004F47BB" w:rsidRPr="004F47BB" w:rsidRDefault="004F47BB" w:rsidP="004F47BB">
      <w:pPr>
        <w:tabs>
          <w:tab w:val="num" w:pos="709"/>
        </w:tabs>
        <w:autoSpaceDE/>
        <w:autoSpaceDN/>
        <w:spacing w:line="240" w:lineRule="atLeast"/>
        <w:ind w:left="709" w:hanging="709"/>
        <w:rPr>
          <w:szCs w:val="20"/>
        </w:rPr>
      </w:pPr>
      <w:r>
        <w:t>0.1</w:t>
      </w:r>
      <w:r>
        <w:tab/>
        <w:t>I sistemi di allarme antincendio sono costituiti da:</w:t>
      </w:r>
    </w:p>
    <w:p w:rsidR="004F47BB" w:rsidRPr="004F47BB" w:rsidRDefault="004F47BB" w:rsidP="004F47BB">
      <w:pPr>
        <w:tabs>
          <w:tab w:val="num" w:pos="1134"/>
        </w:tabs>
        <w:autoSpaceDE/>
        <w:autoSpaceDN/>
        <w:spacing w:before="60" w:line="240" w:lineRule="atLeast"/>
        <w:ind w:left="1134"/>
        <w:rPr>
          <w:szCs w:val="20"/>
        </w:rPr>
      </w:pPr>
      <w:r>
        <w:t>a)</w:t>
      </w:r>
      <w:r>
        <w:tab/>
        <w:t>sistema di rilevamento antincendio;</w:t>
      </w:r>
    </w:p>
    <w:p w:rsidR="004F47BB" w:rsidRPr="004F47BB" w:rsidRDefault="004F47BB" w:rsidP="004F47BB">
      <w:pPr>
        <w:tabs>
          <w:tab w:val="num" w:pos="1134"/>
        </w:tabs>
        <w:autoSpaceDE/>
        <w:autoSpaceDN/>
        <w:spacing w:before="60" w:line="240" w:lineRule="atLeast"/>
        <w:ind w:left="1134"/>
        <w:rPr>
          <w:szCs w:val="20"/>
        </w:rPr>
      </w:pPr>
      <w:r>
        <w:t>b)</w:t>
      </w:r>
      <w:r>
        <w:tab/>
        <w:t>sistema di segnalazione antincendio;</w:t>
      </w:r>
    </w:p>
    <w:p w:rsidR="004F47BB" w:rsidRPr="004F47BB" w:rsidRDefault="004F47BB" w:rsidP="004F47BB">
      <w:pPr>
        <w:tabs>
          <w:tab w:val="num" w:pos="1134"/>
        </w:tabs>
        <w:autoSpaceDE/>
        <w:autoSpaceDN/>
        <w:spacing w:before="60" w:line="240" w:lineRule="atLeast"/>
        <w:ind w:left="1134"/>
        <w:rPr>
          <w:szCs w:val="20"/>
        </w:rPr>
      </w:pPr>
      <w:r>
        <w:t>c)</w:t>
      </w:r>
      <w:r>
        <w:tab/>
        <w:t>quadro comandi;</w:t>
      </w:r>
    </w:p>
    <w:p w:rsidR="004F47BB" w:rsidRPr="004F47BB" w:rsidRDefault="004F47BB" w:rsidP="004F47BB">
      <w:pPr>
        <w:tabs>
          <w:tab w:val="num" w:pos="709"/>
        </w:tabs>
        <w:autoSpaceDE/>
        <w:autoSpaceDN/>
        <w:spacing w:before="60" w:line="240" w:lineRule="atLeast"/>
        <w:ind w:left="709" w:firstLine="0"/>
        <w:rPr>
          <w:noProof/>
          <w:szCs w:val="20"/>
        </w:rPr>
      </w:pPr>
      <w:r>
        <w:t>e alimentazione esterna.</w:t>
      </w:r>
    </w:p>
    <w:p w:rsidR="004F47BB" w:rsidRPr="004F47BB" w:rsidRDefault="004F47BB" w:rsidP="004F47BB">
      <w:pPr>
        <w:tabs>
          <w:tab w:val="num" w:pos="709"/>
        </w:tabs>
        <w:autoSpaceDE/>
        <w:autoSpaceDN/>
        <w:spacing w:line="240" w:lineRule="atLeast"/>
        <w:ind w:left="709" w:hanging="709"/>
        <w:rPr>
          <w:szCs w:val="20"/>
        </w:rPr>
      </w:pPr>
    </w:p>
    <w:p w:rsidR="004F47BB" w:rsidRPr="004F47BB" w:rsidRDefault="004F47BB" w:rsidP="004F47BB">
      <w:pPr>
        <w:tabs>
          <w:tab w:val="num" w:pos="709"/>
        </w:tabs>
        <w:autoSpaceDE/>
        <w:autoSpaceDN/>
        <w:spacing w:line="240" w:lineRule="atLeast"/>
        <w:ind w:left="709" w:hanging="709"/>
        <w:rPr>
          <w:szCs w:val="20"/>
        </w:rPr>
      </w:pPr>
      <w:r>
        <w:t>0.2</w:t>
      </w:r>
      <w:r>
        <w:tab/>
        <w:t>Il sistema di rilevamento antincendio può essere diviso in una o più zone di rilevamento antincendio.</w:t>
      </w:r>
    </w:p>
    <w:p w:rsidR="004F47BB" w:rsidRPr="004F47BB" w:rsidRDefault="004F47BB" w:rsidP="004F47BB">
      <w:pPr>
        <w:tabs>
          <w:tab w:val="num" w:pos="709"/>
        </w:tabs>
        <w:autoSpaceDE/>
        <w:autoSpaceDN/>
        <w:spacing w:line="240" w:lineRule="atLeast"/>
        <w:ind w:left="709" w:hanging="709"/>
        <w:rPr>
          <w:szCs w:val="20"/>
        </w:rPr>
      </w:pPr>
    </w:p>
    <w:p w:rsidR="004F47BB" w:rsidRPr="004F47BB" w:rsidRDefault="004F47BB" w:rsidP="004F47BB">
      <w:pPr>
        <w:tabs>
          <w:tab w:val="num" w:pos="709"/>
        </w:tabs>
        <w:autoSpaceDE/>
        <w:autoSpaceDN/>
        <w:spacing w:line="240" w:lineRule="atLeast"/>
        <w:ind w:left="709" w:hanging="709"/>
        <w:rPr>
          <w:szCs w:val="20"/>
        </w:rPr>
      </w:pPr>
      <w:r>
        <w:t>0.3</w:t>
      </w:r>
      <w:r>
        <w:tab/>
        <w:t>Il sistema di segnalazione antincendio può disporre di uno o più dispositivi di segnalazione.</w:t>
      </w:r>
    </w:p>
    <w:p w:rsidR="004F47BB" w:rsidRPr="004F47BB" w:rsidRDefault="004F47BB" w:rsidP="004F47BB">
      <w:pPr>
        <w:tabs>
          <w:tab w:val="num" w:pos="709"/>
        </w:tabs>
        <w:autoSpaceDE/>
        <w:autoSpaceDN/>
        <w:spacing w:line="240" w:lineRule="atLeast"/>
        <w:ind w:left="709" w:hanging="709"/>
        <w:rPr>
          <w:szCs w:val="20"/>
        </w:rPr>
      </w:pPr>
    </w:p>
    <w:p w:rsidR="004F47BB" w:rsidRPr="004F47BB" w:rsidRDefault="004F47BB" w:rsidP="004F47BB">
      <w:pPr>
        <w:tabs>
          <w:tab w:val="num" w:pos="709"/>
        </w:tabs>
        <w:autoSpaceDE/>
        <w:autoSpaceDN/>
        <w:spacing w:line="240" w:lineRule="atLeast"/>
        <w:ind w:left="709" w:hanging="709"/>
        <w:rPr>
          <w:szCs w:val="20"/>
        </w:rPr>
      </w:pPr>
      <w:r>
        <w:t>0.4</w:t>
      </w:r>
      <w:r>
        <w:tab/>
        <w:t>Il pannello di controllo è l'unità di comando centrale del sistema di allarme antincendio e comprende anche parti del sistema di segnalazione antincendio (ossia un dispositivo indicatore).</w:t>
      </w:r>
    </w:p>
    <w:p w:rsidR="004F47BB" w:rsidRPr="004F47BB" w:rsidRDefault="004F47BB" w:rsidP="004F47BB">
      <w:pPr>
        <w:tabs>
          <w:tab w:val="num" w:pos="709"/>
        </w:tabs>
        <w:autoSpaceDE/>
        <w:autoSpaceDN/>
        <w:spacing w:line="240" w:lineRule="atLeast"/>
        <w:ind w:left="709" w:hanging="709"/>
        <w:rPr>
          <w:szCs w:val="20"/>
        </w:rPr>
      </w:pPr>
    </w:p>
    <w:p w:rsidR="004F47BB" w:rsidRPr="004F47BB" w:rsidRDefault="004F47BB" w:rsidP="004F47BB">
      <w:pPr>
        <w:tabs>
          <w:tab w:val="num" w:pos="709"/>
        </w:tabs>
        <w:autoSpaceDE/>
        <w:autoSpaceDN/>
        <w:spacing w:line="240" w:lineRule="atLeast"/>
        <w:ind w:left="709" w:hanging="709"/>
        <w:rPr>
          <w:szCs w:val="20"/>
        </w:rPr>
      </w:pPr>
      <w:r>
        <w:t>0.5</w:t>
      </w:r>
      <w:r>
        <w:tab/>
        <w:t>Una zona di rilevamento antincendio può disporre di uno o più rilevatori antincendio.</w:t>
      </w:r>
    </w:p>
    <w:p w:rsidR="004F47BB" w:rsidRPr="004F47BB" w:rsidRDefault="004F47BB" w:rsidP="004F47BB">
      <w:pPr>
        <w:tabs>
          <w:tab w:val="num" w:pos="709"/>
        </w:tabs>
        <w:autoSpaceDE/>
        <w:autoSpaceDN/>
        <w:spacing w:line="240" w:lineRule="atLeast"/>
        <w:ind w:left="709" w:hanging="709"/>
        <w:rPr>
          <w:szCs w:val="20"/>
        </w:rPr>
      </w:pPr>
    </w:p>
    <w:p w:rsidR="004F47BB" w:rsidRPr="004F47BB" w:rsidRDefault="004F47BB" w:rsidP="004F47BB">
      <w:pPr>
        <w:tabs>
          <w:tab w:val="num" w:pos="709"/>
        </w:tabs>
        <w:autoSpaceDE/>
        <w:autoSpaceDN/>
        <w:spacing w:line="240" w:lineRule="atLeast"/>
        <w:ind w:left="709" w:hanging="709"/>
        <w:rPr>
          <w:szCs w:val="20"/>
        </w:rPr>
      </w:pPr>
      <w:r>
        <w:t>0.6</w:t>
      </w:r>
      <w:r>
        <w:tab/>
        <w:t>I rilevatori antincendio possono essere</w:t>
      </w:r>
    </w:p>
    <w:p w:rsidR="004F47BB" w:rsidRPr="004F47BB" w:rsidRDefault="004F47BB" w:rsidP="004F47BB">
      <w:pPr>
        <w:tabs>
          <w:tab w:val="num" w:pos="1134"/>
        </w:tabs>
        <w:autoSpaceDE/>
        <w:autoSpaceDN/>
        <w:spacing w:before="60" w:line="240" w:lineRule="atLeast"/>
        <w:ind w:left="1134"/>
        <w:rPr>
          <w:szCs w:val="20"/>
        </w:rPr>
      </w:pPr>
      <w:r>
        <w:t>a)</w:t>
      </w:r>
      <w:r>
        <w:tab/>
        <w:t>rilevatori di calore;</w:t>
      </w:r>
    </w:p>
    <w:p w:rsidR="004F47BB" w:rsidRPr="004F47BB" w:rsidRDefault="004F47BB" w:rsidP="004F47BB">
      <w:pPr>
        <w:tabs>
          <w:tab w:val="num" w:pos="1134"/>
        </w:tabs>
        <w:autoSpaceDE/>
        <w:autoSpaceDN/>
        <w:spacing w:before="60" w:line="240" w:lineRule="atLeast"/>
        <w:ind w:left="1134"/>
        <w:rPr>
          <w:szCs w:val="20"/>
        </w:rPr>
      </w:pPr>
      <w:r>
        <w:t>b)</w:t>
      </w:r>
      <w:r>
        <w:tab/>
        <w:t>rilevatori di fumo;</w:t>
      </w:r>
    </w:p>
    <w:p w:rsidR="004F47BB" w:rsidRPr="004F47BB" w:rsidRDefault="004F47BB" w:rsidP="004F47BB">
      <w:pPr>
        <w:tabs>
          <w:tab w:val="num" w:pos="1134"/>
        </w:tabs>
        <w:autoSpaceDE/>
        <w:autoSpaceDN/>
        <w:spacing w:before="60" w:line="240" w:lineRule="atLeast"/>
        <w:ind w:left="1134"/>
        <w:rPr>
          <w:szCs w:val="20"/>
        </w:rPr>
      </w:pPr>
      <w:r>
        <w:t>c)</w:t>
      </w:r>
      <w:r>
        <w:tab/>
        <w:t>rilevatori di ioni;</w:t>
      </w:r>
    </w:p>
    <w:p w:rsidR="004F47BB" w:rsidRPr="004F47BB" w:rsidRDefault="004F47BB" w:rsidP="004F47BB">
      <w:pPr>
        <w:tabs>
          <w:tab w:val="num" w:pos="1134"/>
        </w:tabs>
        <w:autoSpaceDE/>
        <w:autoSpaceDN/>
        <w:spacing w:before="60" w:line="240" w:lineRule="atLeast"/>
        <w:ind w:left="1134"/>
        <w:rPr>
          <w:szCs w:val="20"/>
        </w:rPr>
      </w:pPr>
      <w:r>
        <w:t>d)</w:t>
      </w:r>
      <w:r>
        <w:tab/>
        <w:t>rilevatori di fiamme;</w:t>
      </w:r>
    </w:p>
    <w:p w:rsidR="004F47BB" w:rsidRPr="004F47BB" w:rsidRDefault="004F47BB" w:rsidP="004F47BB">
      <w:pPr>
        <w:tabs>
          <w:tab w:val="num" w:pos="1134"/>
        </w:tabs>
        <w:autoSpaceDE/>
        <w:autoSpaceDN/>
        <w:spacing w:before="60" w:line="240" w:lineRule="atLeast"/>
        <w:ind w:left="1134"/>
        <w:rPr>
          <w:szCs w:val="20"/>
        </w:rPr>
      </w:pPr>
      <w:r>
        <w:t>e)</w:t>
      </w:r>
      <w:r>
        <w:tab/>
        <w:t>rilevatori misti [rilevatori antincendio che abbinano due o più rilevatori di cui alle lettere da a) a d)].</w:t>
      </w:r>
    </w:p>
    <w:p w:rsidR="004F47BB" w:rsidRPr="004F47BB" w:rsidRDefault="004F47BB" w:rsidP="004F47BB">
      <w:pPr>
        <w:tabs>
          <w:tab w:val="num" w:pos="709"/>
        </w:tabs>
        <w:autoSpaceDE/>
        <w:autoSpaceDN/>
        <w:spacing w:line="240" w:lineRule="atLeast"/>
        <w:ind w:left="709" w:hanging="709"/>
        <w:rPr>
          <w:szCs w:val="20"/>
        </w:rPr>
      </w:pPr>
    </w:p>
    <w:p w:rsidR="004F47BB" w:rsidRPr="004F47BB" w:rsidRDefault="004F47BB" w:rsidP="004F47BB">
      <w:pPr>
        <w:tabs>
          <w:tab w:val="num" w:pos="709"/>
        </w:tabs>
        <w:autoSpaceDE/>
        <w:autoSpaceDN/>
        <w:spacing w:line="240" w:lineRule="atLeast"/>
        <w:ind w:left="709" w:firstLine="0"/>
        <w:rPr>
          <w:szCs w:val="20"/>
        </w:rPr>
      </w:pPr>
      <w:r>
        <w:t>La commissione di ispezione può approvare rilevatori antincendio che reagiscano ad altri fattori segnalando lo scoppio di un incendio, purché non siano meno sensibili dei rilevatori di cui alle lettere da a) a e).</w:t>
      </w:r>
    </w:p>
    <w:p w:rsidR="004F47BB" w:rsidRPr="004F47BB" w:rsidRDefault="004F47BB" w:rsidP="004F47BB">
      <w:pPr>
        <w:tabs>
          <w:tab w:val="num" w:pos="709"/>
        </w:tabs>
        <w:autoSpaceDE/>
        <w:autoSpaceDN/>
        <w:spacing w:line="240" w:lineRule="atLeast"/>
        <w:ind w:left="709" w:hanging="709"/>
        <w:rPr>
          <w:szCs w:val="20"/>
        </w:rPr>
      </w:pPr>
    </w:p>
    <w:p w:rsidR="004F47BB" w:rsidRPr="004F47BB" w:rsidRDefault="004F47BB" w:rsidP="004F47BB">
      <w:pPr>
        <w:tabs>
          <w:tab w:val="num" w:pos="709"/>
        </w:tabs>
        <w:autoSpaceDE/>
        <w:autoSpaceDN/>
        <w:spacing w:line="240" w:lineRule="atLeast"/>
        <w:ind w:left="0" w:firstLine="0"/>
        <w:rPr>
          <w:szCs w:val="20"/>
        </w:rPr>
      </w:pPr>
      <w:r>
        <w:t>0.7</w:t>
      </w:r>
      <w:r>
        <w:tab/>
        <w:t>I rilevatori antincendio possono essere installati:</w:t>
      </w:r>
    </w:p>
    <w:p w:rsidR="004F47BB" w:rsidRPr="004F47BB" w:rsidRDefault="004F47BB" w:rsidP="004F47BB">
      <w:pPr>
        <w:tabs>
          <w:tab w:val="num" w:pos="1134"/>
        </w:tabs>
        <w:autoSpaceDE/>
        <w:autoSpaceDN/>
        <w:spacing w:before="60" w:line="240" w:lineRule="atLeast"/>
        <w:ind w:left="1134"/>
        <w:rPr>
          <w:szCs w:val="20"/>
        </w:rPr>
      </w:pPr>
      <w:r>
        <w:t>a)</w:t>
      </w:r>
      <w:r>
        <w:tab/>
        <w:t>con o</w:t>
      </w:r>
    </w:p>
    <w:p w:rsidR="004F47BB" w:rsidRPr="004F47BB" w:rsidRDefault="004F47BB" w:rsidP="004F47BB">
      <w:pPr>
        <w:tabs>
          <w:tab w:val="num" w:pos="1134"/>
        </w:tabs>
        <w:autoSpaceDE/>
        <w:autoSpaceDN/>
        <w:spacing w:before="60" w:line="240" w:lineRule="atLeast"/>
        <w:ind w:left="1134"/>
        <w:rPr>
          <w:szCs w:val="20"/>
        </w:rPr>
      </w:pPr>
      <w:r>
        <w:t>b)</w:t>
      </w:r>
      <w:r>
        <w:tab/>
        <w:t>senza</w:t>
      </w:r>
    </w:p>
    <w:p w:rsidR="004F47BB" w:rsidRPr="004F47BB" w:rsidRDefault="004F47BB" w:rsidP="004F47BB">
      <w:pPr>
        <w:tabs>
          <w:tab w:val="num" w:pos="709"/>
        </w:tabs>
        <w:autoSpaceDE/>
        <w:autoSpaceDN/>
        <w:spacing w:before="60" w:line="240" w:lineRule="atLeast"/>
        <w:ind w:left="709" w:firstLine="0"/>
        <w:rPr>
          <w:noProof/>
          <w:szCs w:val="20"/>
        </w:rPr>
      </w:pPr>
      <w:r>
        <w:t>identificazione individuale.</w:t>
      </w:r>
    </w:p>
    <w:p w:rsidR="004F47BB" w:rsidRPr="004F47BB" w:rsidRDefault="004F47BB" w:rsidP="004F47BB">
      <w:pPr>
        <w:tabs>
          <w:tab w:val="left" w:pos="426"/>
          <w:tab w:val="left" w:pos="709"/>
        </w:tabs>
        <w:autoSpaceDE/>
        <w:autoSpaceDN/>
        <w:spacing w:line="240" w:lineRule="atLeast"/>
        <w:ind w:left="709" w:hanging="709"/>
        <w:rPr>
          <w:szCs w:val="20"/>
        </w:rPr>
      </w:pPr>
    </w:p>
    <w:p w:rsidR="004F47BB" w:rsidRPr="004F47BB" w:rsidRDefault="004F47BB" w:rsidP="004F47BB">
      <w:pPr>
        <w:tabs>
          <w:tab w:val="left" w:pos="426"/>
          <w:tab w:val="left" w:pos="709"/>
        </w:tabs>
        <w:autoSpaceDE/>
        <w:autoSpaceDN/>
        <w:spacing w:line="240" w:lineRule="atLeast"/>
        <w:ind w:left="709" w:hanging="709"/>
        <w:rPr>
          <w:szCs w:val="20"/>
        </w:rPr>
      </w:pPr>
      <w:r>
        <w:br w:type="page"/>
      </w:r>
    </w:p>
    <w:p w:rsidR="004F47BB" w:rsidRPr="004F47BB" w:rsidRDefault="004F47BB" w:rsidP="004F47BB">
      <w:pPr>
        <w:tabs>
          <w:tab w:val="left" w:pos="709"/>
        </w:tabs>
        <w:autoSpaceDE/>
        <w:autoSpaceDN/>
        <w:spacing w:line="240" w:lineRule="atLeast"/>
        <w:ind w:left="709" w:hanging="709"/>
        <w:rPr>
          <w:szCs w:val="20"/>
        </w:rPr>
      </w:pPr>
      <w:r>
        <w:rPr>
          <w:b/>
        </w:rPr>
        <w:lastRenderedPageBreak/>
        <w:t>1.</w:t>
      </w:r>
      <w:r>
        <w:tab/>
      </w:r>
      <w:r>
        <w:rPr>
          <w:b/>
          <w:noProof/>
        </w:rPr>
        <w:t>Requisiti di costruzione</w:t>
      </w:r>
    </w:p>
    <w:p w:rsidR="004F47BB" w:rsidRPr="004F47BB" w:rsidRDefault="004F47BB" w:rsidP="004F47BB">
      <w:pPr>
        <w:tabs>
          <w:tab w:val="left" w:pos="709"/>
        </w:tabs>
        <w:autoSpaceDE/>
        <w:autoSpaceDN/>
        <w:spacing w:line="240" w:lineRule="atLeast"/>
        <w:ind w:left="709" w:hanging="709"/>
        <w:rPr>
          <w:szCs w:val="20"/>
        </w:rPr>
      </w:pPr>
    </w:p>
    <w:p w:rsidR="004F47BB" w:rsidRPr="004F47BB" w:rsidRDefault="004F47BB" w:rsidP="004F47BB">
      <w:pPr>
        <w:tabs>
          <w:tab w:val="left" w:pos="709"/>
        </w:tabs>
        <w:autoSpaceDE/>
        <w:autoSpaceDN/>
        <w:spacing w:line="240" w:lineRule="atLeast"/>
        <w:ind w:left="709" w:hanging="709"/>
        <w:rPr>
          <w:szCs w:val="20"/>
        </w:rPr>
      </w:pPr>
      <w:r>
        <w:t>1.1</w:t>
      </w:r>
      <w:r>
        <w:tab/>
        <w:t>Aspetti generali</w:t>
      </w:r>
    </w:p>
    <w:p w:rsidR="004F47BB" w:rsidRPr="004F47BB" w:rsidRDefault="004F47BB" w:rsidP="004F47BB">
      <w:pPr>
        <w:tabs>
          <w:tab w:val="left" w:pos="426"/>
          <w:tab w:val="left" w:pos="709"/>
        </w:tabs>
        <w:autoSpaceDE/>
        <w:autoSpaceDN/>
        <w:spacing w:line="240" w:lineRule="atLeast"/>
        <w:ind w:left="0" w:firstLine="0"/>
        <w:rPr>
          <w:szCs w:val="20"/>
        </w:rPr>
      </w:pPr>
    </w:p>
    <w:p w:rsidR="004F47BB" w:rsidRPr="004F47BB" w:rsidRDefault="004F47BB" w:rsidP="004F47BB">
      <w:pPr>
        <w:tabs>
          <w:tab w:val="left" w:pos="426"/>
          <w:tab w:val="left" w:pos="709"/>
        </w:tabs>
        <w:autoSpaceDE/>
        <w:autoSpaceDN/>
        <w:spacing w:line="240" w:lineRule="atLeast"/>
        <w:ind w:left="709" w:hanging="709"/>
        <w:rPr>
          <w:szCs w:val="20"/>
        </w:rPr>
      </w:pPr>
      <w:r>
        <w:t>1.1.1</w:t>
      </w:r>
      <w:r>
        <w:tab/>
        <w:t>I sistemi di allarme antincendio obbligatori devono essere sempre funzionanti.</w:t>
      </w:r>
    </w:p>
    <w:p w:rsidR="004F47BB" w:rsidRPr="004F47BB" w:rsidRDefault="004F47BB" w:rsidP="004F47BB">
      <w:pPr>
        <w:tabs>
          <w:tab w:val="left" w:pos="426"/>
          <w:tab w:val="left" w:pos="709"/>
        </w:tabs>
        <w:autoSpaceDE/>
        <w:autoSpaceDN/>
        <w:spacing w:line="240" w:lineRule="atLeast"/>
        <w:ind w:left="709" w:hanging="709"/>
        <w:rPr>
          <w:szCs w:val="20"/>
        </w:rPr>
      </w:pPr>
    </w:p>
    <w:p w:rsidR="004F47BB" w:rsidRPr="004F47BB" w:rsidRDefault="004F47BB" w:rsidP="004F47BB">
      <w:pPr>
        <w:tabs>
          <w:tab w:val="left" w:pos="426"/>
          <w:tab w:val="left" w:pos="709"/>
        </w:tabs>
        <w:autoSpaceDE/>
        <w:autoSpaceDN/>
        <w:spacing w:after="80" w:line="240" w:lineRule="atLeast"/>
        <w:ind w:left="709" w:hanging="709"/>
        <w:rPr>
          <w:szCs w:val="20"/>
        </w:rPr>
      </w:pPr>
      <w:r>
        <w:t>1.1.2</w:t>
      </w:r>
      <w:r>
        <w:tab/>
        <w:t>I rilevatori antincendio di cui al punto 2.2 devono essere automatici. È possibile installare ulteriori rilevatori antincendio azionati manualmente.</w:t>
      </w:r>
    </w:p>
    <w:p w:rsidR="004F47BB" w:rsidRPr="004F47BB" w:rsidRDefault="004F47BB" w:rsidP="004F47BB">
      <w:pPr>
        <w:tabs>
          <w:tab w:val="left" w:pos="709"/>
        </w:tabs>
        <w:autoSpaceDE/>
        <w:autoSpaceDN/>
        <w:spacing w:line="240" w:lineRule="atLeast"/>
        <w:ind w:left="709" w:hanging="709"/>
        <w:rPr>
          <w:szCs w:val="20"/>
        </w:rPr>
      </w:pPr>
      <w:r>
        <w:t>1.1.3</w:t>
      </w:r>
      <w:r>
        <w:tab/>
        <w:t>Il sistema e i suoi componenti devono essere in grado di sopportare oscillazioni e picchi di tensione, variazioni della temperatura ambiente, vibrazioni, umidità, urti, impatti e corrosione che comunemente si verificano sulle navi.</w:t>
      </w:r>
    </w:p>
    <w:p w:rsidR="004F47BB" w:rsidRPr="004F47BB" w:rsidRDefault="004F47BB" w:rsidP="004F47BB">
      <w:pPr>
        <w:tabs>
          <w:tab w:val="left" w:pos="426"/>
          <w:tab w:val="left" w:pos="709"/>
        </w:tabs>
        <w:autoSpaceDE/>
        <w:autoSpaceDN/>
        <w:spacing w:line="240" w:lineRule="atLeast"/>
        <w:ind w:left="0" w:firstLine="0"/>
        <w:rPr>
          <w:szCs w:val="20"/>
        </w:rPr>
      </w:pPr>
    </w:p>
    <w:p w:rsidR="004F47BB" w:rsidRPr="004F47BB" w:rsidRDefault="004F47BB" w:rsidP="004F47BB">
      <w:pPr>
        <w:tabs>
          <w:tab w:val="num" w:pos="709"/>
        </w:tabs>
        <w:autoSpaceDE/>
        <w:autoSpaceDN/>
        <w:spacing w:after="80" w:line="240" w:lineRule="atLeast"/>
        <w:ind w:left="709" w:hanging="709"/>
        <w:rPr>
          <w:b/>
          <w:bCs/>
          <w:szCs w:val="20"/>
        </w:rPr>
      </w:pPr>
      <w:r>
        <w:rPr>
          <w:b/>
          <w:noProof/>
        </w:rPr>
        <w:t>1.2</w:t>
      </w:r>
      <w:r>
        <w:tab/>
      </w:r>
      <w:r>
        <w:rPr>
          <w:b/>
          <w:noProof/>
        </w:rPr>
        <w:t>Alimentazione di energia</w:t>
      </w:r>
    </w:p>
    <w:p w:rsidR="004F47BB" w:rsidRPr="004F47BB" w:rsidRDefault="004F47BB" w:rsidP="004F47BB">
      <w:pPr>
        <w:tabs>
          <w:tab w:val="left" w:pos="709"/>
        </w:tabs>
        <w:autoSpaceDE/>
        <w:autoSpaceDN/>
        <w:spacing w:after="80" w:line="240" w:lineRule="atLeast"/>
        <w:ind w:left="709" w:hanging="709"/>
        <w:rPr>
          <w:szCs w:val="20"/>
        </w:rPr>
      </w:pPr>
      <w:r>
        <w:t>1.2.1</w:t>
      </w:r>
      <w:r>
        <w:tab/>
        <w:t>Le fonti di energia e i circuiti elettrici necessari per il funzionamento del sistema di allarme antincendio devono essere autocontrollati. Qualunque guasto si verifichi deve attivare un segnale di allarme visivo e acustico sul quadro comandi distinguibile da un segnale di allarme antincendio.</w:t>
      </w:r>
    </w:p>
    <w:p w:rsidR="004F47BB" w:rsidRPr="004F47BB" w:rsidRDefault="004F47BB" w:rsidP="004F47BB">
      <w:pPr>
        <w:tabs>
          <w:tab w:val="left" w:pos="709"/>
        </w:tabs>
        <w:autoSpaceDE/>
        <w:autoSpaceDN/>
        <w:spacing w:line="240" w:lineRule="atLeast"/>
        <w:ind w:left="709" w:hanging="709"/>
        <w:rPr>
          <w:szCs w:val="20"/>
        </w:rPr>
      </w:pPr>
      <w:r>
        <w:t>1.2.2</w:t>
      </w:r>
      <w:r>
        <w:tab/>
        <w:t xml:space="preserve">Si devono prevedere almeno due fonti di alimentazione per la parte elettrica dell'impianto di allarme antincendio, di cui una deve essere un impianto di alimentazione di emergenza (ossia una fonte di alimentazione di emergenza con quadro di emergenza). A tal fine, occorre prevedere due alimentazioni distinte collegate a un interruttore automatico in prossimità del quadro comandi del sistema di allarme antincendio o al suo interno. Sui battelli per escursioni giornaliere fino a 25 m </w:t>
      </w:r>
      <m:oMath>
        <m:sSub>
          <m:sSubPr>
            <m:ctrlPr>
              <w:rPr>
                <w:rFonts w:ascii="Cambria Math" w:hAnsi="Cambria Math"/>
                <w:i/>
                <w:noProof/>
                <w:szCs w:val="20"/>
              </w:rPr>
            </m:ctrlPr>
          </m:sSubPr>
          <m:e>
            <m:r>
              <w:rPr>
                <w:rFonts w:ascii="Cambria Math" w:hAnsi="Cambria Math"/>
                <w:noProof/>
                <w:szCs w:val="20"/>
              </w:rPr>
              <m:t>L</m:t>
            </m:r>
          </m:e>
          <m:sub>
            <m:r>
              <w:rPr>
                <w:rFonts w:ascii="Cambria Math" w:hAnsi="Cambria Math"/>
                <w:noProof/>
                <w:szCs w:val="20"/>
              </w:rPr>
              <m:t>WL</m:t>
            </m:r>
          </m:sub>
        </m:sSub>
      </m:oMath>
      <w:r>
        <w:t xml:space="preserve"> e sulle motonavi, è sufficiente un'alimentazione di emergenza distinta.</w:t>
      </w:r>
    </w:p>
    <w:p w:rsidR="004F47BB" w:rsidRPr="004F47BB" w:rsidRDefault="004F47BB" w:rsidP="004F47BB">
      <w:pPr>
        <w:tabs>
          <w:tab w:val="left" w:pos="709"/>
        </w:tabs>
        <w:autoSpaceDE/>
        <w:autoSpaceDN/>
        <w:spacing w:line="240" w:lineRule="atLeast"/>
        <w:ind w:left="426" w:hanging="426"/>
        <w:rPr>
          <w:szCs w:val="20"/>
        </w:rPr>
      </w:pPr>
    </w:p>
    <w:p w:rsidR="004F47BB" w:rsidRPr="004F47BB" w:rsidRDefault="004F47BB" w:rsidP="004F47BB">
      <w:pPr>
        <w:tabs>
          <w:tab w:val="num" w:pos="709"/>
        </w:tabs>
        <w:autoSpaceDE/>
        <w:autoSpaceDN/>
        <w:spacing w:line="240" w:lineRule="atLeast"/>
        <w:ind w:left="709" w:hanging="709"/>
        <w:rPr>
          <w:b/>
          <w:bCs/>
          <w:szCs w:val="20"/>
        </w:rPr>
      </w:pPr>
      <w:r>
        <w:rPr>
          <w:b/>
          <w:noProof/>
        </w:rPr>
        <w:t>1.3</w:t>
      </w:r>
      <w:r>
        <w:tab/>
      </w:r>
      <w:r>
        <w:rPr>
          <w:b/>
          <w:noProof/>
        </w:rPr>
        <w:t>Sistema di rilevamento antincendio</w:t>
      </w:r>
    </w:p>
    <w:p w:rsidR="004F47BB" w:rsidRPr="004F47BB" w:rsidRDefault="004F47BB" w:rsidP="004F47BB">
      <w:pPr>
        <w:tabs>
          <w:tab w:val="left" w:pos="709"/>
        </w:tabs>
        <w:autoSpaceDE/>
        <w:autoSpaceDN/>
        <w:spacing w:before="140" w:line="240" w:lineRule="atLeast"/>
        <w:ind w:left="709" w:hanging="709"/>
        <w:rPr>
          <w:szCs w:val="20"/>
        </w:rPr>
      </w:pPr>
      <w:r>
        <w:t>1.3.1</w:t>
      </w:r>
      <w:r>
        <w:tab/>
        <w:t>I rilevatori antincendio devono essere raggruppati in zone di rilevamento antincendio.</w:t>
      </w:r>
    </w:p>
    <w:p w:rsidR="004F47BB" w:rsidRPr="004F47BB" w:rsidRDefault="004F47BB" w:rsidP="004F47BB">
      <w:pPr>
        <w:tabs>
          <w:tab w:val="left" w:pos="709"/>
        </w:tabs>
        <w:autoSpaceDE/>
        <w:autoSpaceDN/>
        <w:spacing w:before="140" w:line="240" w:lineRule="atLeast"/>
        <w:ind w:left="709" w:hanging="709"/>
        <w:rPr>
          <w:szCs w:val="20"/>
        </w:rPr>
      </w:pPr>
      <w:r>
        <w:t>1.3.2</w:t>
      </w:r>
      <w:r>
        <w:tab/>
        <w:t>I sistemi di rilevamento antincendio non devono essere usati per altri scopi. In deroga, la chiusura delle porte di cui all'articolo 19.11, paragrafo 9, e funzioni analoghe possono essere attivate e segnalate dal quadro comandi.</w:t>
      </w:r>
    </w:p>
    <w:p w:rsidR="004F47BB" w:rsidRPr="004F47BB" w:rsidRDefault="004F47BB" w:rsidP="004F47BB">
      <w:pPr>
        <w:tabs>
          <w:tab w:val="left" w:pos="426"/>
          <w:tab w:val="left" w:pos="709"/>
        </w:tabs>
        <w:autoSpaceDE/>
        <w:autoSpaceDN/>
        <w:spacing w:line="240" w:lineRule="atLeast"/>
        <w:ind w:left="709" w:hanging="568"/>
        <w:rPr>
          <w:szCs w:val="20"/>
        </w:rPr>
      </w:pPr>
    </w:p>
    <w:p w:rsidR="004F47BB" w:rsidRPr="004F47BB" w:rsidRDefault="004F47BB" w:rsidP="004F47BB">
      <w:pPr>
        <w:tabs>
          <w:tab w:val="left" w:pos="709"/>
        </w:tabs>
        <w:autoSpaceDE/>
        <w:autoSpaceDN/>
        <w:spacing w:line="240" w:lineRule="atLeast"/>
        <w:ind w:left="709" w:hanging="709"/>
        <w:rPr>
          <w:szCs w:val="20"/>
        </w:rPr>
      </w:pPr>
      <w:r>
        <w:t>1.3.3</w:t>
      </w:r>
      <w:r>
        <w:tab/>
        <w:t>I sistemi di rilevamento antincendio devono essere progettati in maniera che il primo allarme antincendio segnalato non impedisca ad altri rilevatori di fare scattare un allarme antincendio.</w:t>
      </w:r>
    </w:p>
    <w:p w:rsidR="004F47BB" w:rsidRPr="004F47BB" w:rsidRDefault="004F47BB" w:rsidP="004F47BB">
      <w:pPr>
        <w:tabs>
          <w:tab w:val="left" w:pos="709"/>
        </w:tabs>
        <w:autoSpaceDE/>
        <w:autoSpaceDN/>
        <w:spacing w:line="240" w:lineRule="atLeast"/>
        <w:ind w:left="0" w:firstLine="0"/>
        <w:rPr>
          <w:szCs w:val="20"/>
        </w:rPr>
      </w:pPr>
    </w:p>
    <w:p w:rsidR="004F47BB" w:rsidRPr="004F47BB" w:rsidRDefault="004F47BB" w:rsidP="004F47BB">
      <w:pPr>
        <w:tabs>
          <w:tab w:val="num" w:pos="709"/>
        </w:tabs>
        <w:autoSpaceDE/>
        <w:autoSpaceDN/>
        <w:spacing w:line="240" w:lineRule="atLeast"/>
        <w:ind w:left="0" w:firstLine="0"/>
        <w:rPr>
          <w:b/>
          <w:bCs/>
          <w:szCs w:val="20"/>
        </w:rPr>
      </w:pPr>
      <w:r>
        <w:rPr>
          <w:b/>
          <w:noProof/>
        </w:rPr>
        <w:t>1.4</w:t>
      </w:r>
      <w:r>
        <w:tab/>
      </w:r>
      <w:r>
        <w:rPr>
          <w:b/>
          <w:noProof/>
        </w:rPr>
        <w:t>Zone di rilevamento antincendio</w:t>
      </w:r>
    </w:p>
    <w:p w:rsidR="004F47BB" w:rsidRPr="004F47BB" w:rsidRDefault="004F47BB" w:rsidP="004F47BB">
      <w:pPr>
        <w:tabs>
          <w:tab w:val="left" w:pos="709"/>
        </w:tabs>
        <w:autoSpaceDE/>
        <w:autoSpaceDN/>
        <w:spacing w:line="240" w:lineRule="atLeast"/>
        <w:ind w:left="0" w:firstLine="0"/>
        <w:rPr>
          <w:szCs w:val="20"/>
        </w:rPr>
      </w:pPr>
    </w:p>
    <w:p w:rsidR="004F47BB" w:rsidRPr="004F47BB" w:rsidRDefault="004F47BB" w:rsidP="004F47BB">
      <w:pPr>
        <w:tabs>
          <w:tab w:val="left" w:pos="709"/>
        </w:tabs>
        <w:autoSpaceDE/>
        <w:autoSpaceDN/>
        <w:spacing w:line="240" w:lineRule="atLeast"/>
        <w:ind w:left="709" w:hanging="709"/>
        <w:rPr>
          <w:szCs w:val="20"/>
        </w:rPr>
      </w:pPr>
      <w:r>
        <w:t>1.4.1</w:t>
      </w:r>
      <w:r>
        <w:tab/>
        <w:t>Nel caso in cui i rilevatori antincendio non possano essere identificati individualmente a distanza, una zona di rilevamento antincendio non deve sorvegliare più di un ponte. Ciò non vale per una zona di rilevamento antincendio che sorvegli vani scale completamente circondati da pareti.</w:t>
      </w:r>
    </w:p>
    <w:p w:rsidR="004F47BB" w:rsidRPr="004F47BB" w:rsidRDefault="004F47BB" w:rsidP="004F47BB">
      <w:pPr>
        <w:tabs>
          <w:tab w:val="left" w:pos="709"/>
        </w:tabs>
        <w:autoSpaceDE/>
        <w:autoSpaceDN/>
        <w:spacing w:line="240" w:lineRule="atLeast"/>
        <w:ind w:left="709" w:hanging="709"/>
        <w:rPr>
          <w:szCs w:val="20"/>
        </w:rPr>
      </w:pPr>
    </w:p>
    <w:p w:rsidR="004F47BB" w:rsidRPr="004F47BB" w:rsidRDefault="004F47BB" w:rsidP="004F47BB">
      <w:pPr>
        <w:tabs>
          <w:tab w:val="left" w:pos="709"/>
        </w:tabs>
        <w:autoSpaceDE/>
        <w:autoSpaceDN/>
        <w:spacing w:line="240" w:lineRule="atLeast"/>
        <w:ind w:left="709" w:firstLine="0"/>
        <w:rPr>
          <w:szCs w:val="20"/>
        </w:rPr>
      </w:pPr>
      <w:r>
        <w:t>Per evitare ritardi nel rilevamento del focolaio dell'incendio, il numero di spazi chiusi compresi in ogni zona di rilevamento antincendio deve essere limitato. Una zona di rilevamento antincendio non deve contenere più di cinquanta spazi chiusi.</w:t>
      </w:r>
    </w:p>
    <w:p w:rsidR="004F47BB" w:rsidRPr="004F47BB" w:rsidRDefault="004F47BB" w:rsidP="004F47BB">
      <w:pPr>
        <w:tabs>
          <w:tab w:val="left" w:pos="709"/>
        </w:tabs>
        <w:autoSpaceDE/>
        <w:autoSpaceDN/>
        <w:spacing w:line="240" w:lineRule="atLeast"/>
        <w:ind w:left="709" w:firstLine="0"/>
        <w:rPr>
          <w:szCs w:val="20"/>
        </w:rPr>
      </w:pPr>
    </w:p>
    <w:p w:rsidR="004F47BB" w:rsidRPr="004F47BB" w:rsidRDefault="004F47BB" w:rsidP="004F47BB">
      <w:pPr>
        <w:tabs>
          <w:tab w:val="left" w:pos="709"/>
        </w:tabs>
        <w:autoSpaceDE/>
        <w:autoSpaceDN/>
        <w:spacing w:line="240" w:lineRule="atLeast"/>
        <w:ind w:left="709" w:firstLine="0"/>
        <w:rPr>
          <w:szCs w:val="20"/>
        </w:rPr>
      </w:pPr>
      <w:r>
        <w:br w:type="page"/>
      </w:r>
    </w:p>
    <w:p w:rsidR="004F47BB" w:rsidRPr="004F47BB" w:rsidRDefault="004F47BB" w:rsidP="004F47BB">
      <w:pPr>
        <w:tabs>
          <w:tab w:val="left" w:pos="709"/>
        </w:tabs>
        <w:autoSpaceDE/>
        <w:autoSpaceDN/>
        <w:spacing w:line="240" w:lineRule="atLeast"/>
        <w:ind w:left="709" w:firstLine="0"/>
        <w:rPr>
          <w:szCs w:val="20"/>
        </w:rPr>
      </w:pPr>
      <w:r>
        <w:lastRenderedPageBreak/>
        <w:t>Ove il sistema di rilevamento antincendio preveda l'identificazione a distanza dei singoli rilevatori antincendio, le zone di rilevamento antincendio possono sorvegliare diversi ponti e qualunque numero di spazi chiusi.</w:t>
      </w:r>
    </w:p>
    <w:p w:rsidR="004F47BB" w:rsidRPr="004F47BB" w:rsidRDefault="004F47BB" w:rsidP="004F47BB">
      <w:pPr>
        <w:tabs>
          <w:tab w:val="left" w:pos="709"/>
        </w:tabs>
        <w:autoSpaceDE/>
        <w:autoSpaceDN/>
        <w:spacing w:line="240" w:lineRule="atLeast"/>
        <w:ind w:left="709" w:firstLine="0"/>
        <w:rPr>
          <w:szCs w:val="20"/>
        </w:rPr>
      </w:pPr>
    </w:p>
    <w:p w:rsidR="004F47BB" w:rsidRPr="004F47BB" w:rsidRDefault="004F47BB" w:rsidP="004F47BB">
      <w:pPr>
        <w:tabs>
          <w:tab w:val="left" w:pos="709"/>
        </w:tabs>
        <w:autoSpaceDE/>
        <w:autoSpaceDN/>
        <w:spacing w:line="240" w:lineRule="atLeast"/>
        <w:ind w:left="709" w:hanging="709"/>
        <w:rPr>
          <w:szCs w:val="20"/>
        </w:rPr>
      </w:pPr>
      <w:r>
        <w:t>1.4.2</w:t>
      </w:r>
      <w:r>
        <w:tab/>
        <w:t>Sulle navi passeggeri non provviste di sistema di rilevamento antincendio con identificazione a distanza dei singoli rilevatori antincendio, una zona di rilevamento antincendio non deve coprire più di una zona definita in base all'articolo 19.11, paragrafo 11. L'attivazione di un rilevatore antincendio in una singola cabina di detta zona di rilevamento antincendio deve fare scattare un allarme visivo e acustico nella zona di passaggio all'esterno della cabina in questione.</w:t>
      </w:r>
    </w:p>
    <w:p w:rsidR="004F47BB" w:rsidRPr="004F47BB" w:rsidRDefault="004F47BB" w:rsidP="004F47BB">
      <w:pPr>
        <w:tabs>
          <w:tab w:val="left" w:pos="426"/>
          <w:tab w:val="left" w:pos="709"/>
        </w:tabs>
        <w:autoSpaceDE/>
        <w:autoSpaceDN/>
        <w:spacing w:line="240" w:lineRule="atLeast"/>
        <w:ind w:left="709" w:hanging="568"/>
        <w:rPr>
          <w:szCs w:val="20"/>
        </w:rPr>
      </w:pPr>
    </w:p>
    <w:p w:rsidR="004F47BB" w:rsidRPr="004F47BB" w:rsidRDefault="004F47BB" w:rsidP="004F47BB">
      <w:pPr>
        <w:tabs>
          <w:tab w:val="left" w:pos="709"/>
        </w:tabs>
        <w:autoSpaceDE/>
        <w:autoSpaceDN/>
        <w:spacing w:line="240" w:lineRule="atLeast"/>
        <w:ind w:left="709" w:hanging="709"/>
        <w:rPr>
          <w:szCs w:val="20"/>
        </w:rPr>
      </w:pPr>
      <w:r>
        <w:t>1.4.3</w:t>
      </w:r>
      <w:r>
        <w:tab/>
        <w:t>Cucine, sale macchine e locali caldaia devono costituire zone di rilevamento antincendio distinte.</w:t>
      </w:r>
    </w:p>
    <w:p w:rsidR="004F47BB" w:rsidRPr="004F47BB" w:rsidRDefault="004F47BB" w:rsidP="004F47BB">
      <w:pPr>
        <w:tabs>
          <w:tab w:val="left" w:pos="426"/>
          <w:tab w:val="left" w:pos="709"/>
        </w:tabs>
        <w:autoSpaceDE/>
        <w:autoSpaceDN/>
        <w:spacing w:line="240" w:lineRule="atLeast"/>
        <w:ind w:left="-142" w:firstLine="0"/>
        <w:rPr>
          <w:szCs w:val="20"/>
        </w:rPr>
      </w:pPr>
    </w:p>
    <w:p w:rsidR="004F47BB" w:rsidRPr="004F47BB" w:rsidRDefault="004F47BB" w:rsidP="004F47BB">
      <w:pPr>
        <w:tabs>
          <w:tab w:val="left" w:pos="709"/>
        </w:tabs>
        <w:autoSpaceDE/>
        <w:autoSpaceDN/>
        <w:spacing w:line="240" w:lineRule="atLeast"/>
        <w:ind w:left="0" w:firstLine="0"/>
        <w:rPr>
          <w:b/>
          <w:bCs/>
          <w:szCs w:val="20"/>
        </w:rPr>
      </w:pPr>
      <w:r>
        <w:rPr>
          <w:b/>
        </w:rPr>
        <w:t>1.5</w:t>
      </w:r>
      <w:r>
        <w:tab/>
      </w:r>
      <w:r>
        <w:rPr>
          <w:b/>
        </w:rPr>
        <w:t>Rilevatori antincendio</w:t>
      </w:r>
    </w:p>
    <w:p w:rsidR="004F47BB" w:rsidRPr="004F47BB" w:rsidRDefault="004F47BB" w:rsidP="004F47BB">
      <w:pPr>
        <w:tabs>
          <w:tab w:val="left" w:pos="426"/>
          <w:tab w:val="left" w:pos="709"/>
        </w:tabs>
        <w:autoSpaceDE/>
        <w:autoSpaceDN/>
        <w:spacing w:line="240" w:lineRule="atLeast"/>
        <w:ind w:left="0" w:firstLine="0"/>
        <w:rPr>
          <w:szCs w:val="20"/>
        </w:rPr>
      </w:pPr>
    </w:p>
    <w:p w:rsidR="004F47BB" w:rsidRPr="004F47BB" w:rsidRDefault="004F47BB" w:rsidP="004F47BB">
      <w:pPr>
        <w:tabs>
          <w:tab w:val="left" w:pos="709"/>
        </w:tabs>
        <w:autoSpaceDE/>
        <w:autoSpaceDN/>
        <w:spacing w:line="240" w:lineRule="atLeast"/>
        <w:ind w:left="709" w:hanging="709"/>
        <w:rPr>
          <w:szCs w:val="20"/>
        </w:rPr>
      </w:pPr>
      <w:r>
        <w:t>1.5.1</w:t>
      </w:r>
      <w:r>
        <w:tab/>
        <w:t>Come rilevatori antincendio si possono usare unicamente rilevatori di calore, fumo o ioni. Altri tipi di rilevatori possono essere impiegati soltanto come rilevatori aggiuntivi.</w:t>
      </w:r>
    </w:p>
    <w:p w:rsidR="004F47BB" w:rsidRPr="004F47BB" w:rsidRDefault="004F47BB" w:rsidP="004F47BB">
      <w:pPr>
        <w:tabs>
          <w:tab w:val="left" w:pos="709"/>
        </w:tabs>
        <w:autoSpaceDE/>
        <w:autoSpaceDN/>
        <w:spacing w:line="240" w:lineRule="atLeast"/>
        <w:ind w:left="0" w:firstLine="0"/>
        <w:rPr>
          <w:szCs w:val="20"/>
        </w:rPr>
      </w:pPr>
    </w:p>
    <w:p w:rsidR="004F47BB" w:rsidRPr="004F47BB" w:rsidRDefault="004F47BB" w:rsidP="004F47BB">
      <w:pPr>
        <w:tabs>
          <w:tab w:val="left" w:pos="709"/>
        </w:tabs>
        <w:autoSpaceDE/>
        <w:autoSpaceDN/>
        <w:spacing w:line="240" w:lineRule="atLeast"/>
        <w:ind w:left="709" w:hanging="709"/>
        <w:rPr>
          <w:szCs w:val="20"/>
        </w:rPr>
      </w:pPr>
      <w:r>
        <w:t>1.5.2</w:t>
      </w:r>
      <w:r>
        <w:tab/>
        <w:t>I rilevatori antincendio devono essere di tipo omologato.</w:t>
      </w:r>
    </w:p>
    <w:p w:rsidR="004F47BB" w:rsidRPr="004F47BB" w:rsidRDefault="004F47BB" w:rsidP="004F47BB">
      <w:pPr>
        <w:tabs>
          <w:tab w:val="left" w:pos="426"/>
          <w:tab w:val="left" w:pos="709"/>
        </w:tabs>
        <w:autoSpaceDE/>
        <w:autoSpaceDN/>
        <w:spacing w:line="240" w:lineRule="atLeast"/>
        <w:ind w:left="426" w:hanging="568"/>
        <w:rPr>
          <w:szCs w:val="20"/>
        </w:rPr>
      </w:pPr>
    </w:p>
    <w:p w:rsidR="004F47BB" w:rsidRPr="004F47BB" w:rsidRDefault="004F47BB" w:rsidP="004F47BB">
      <w:pPr>
        <w:tabs>
          <w:tab w:val="left" w:pos="709"/>
        </w:tabs>
        <w:autoSpaceDE/>
        <w:autoSpaceDN/>
        <w:spacing w:line="240" w:lineRule="atLeast"/>
        <w:ind w:left="709" w:hanging="709"/>
        <w:rPr>
          <w:szCs w:val="20"/>
        </w:rPr>
      </w:pPr>
      <w:r>
        <w:t>1.5.3</w:t>
      </w:r>
      <w:r>
        <w:tab/>
        <w:t>Tutti i rilevatori antincendio automatici devono essere progettati in maniera tale da poter essere verificati per accertarsi che funzionino in maniera corretta e rimessi in esercizio senza dover sostituire alcun componente.</w:t>
      </w:r>
    </w:p>
    <w:p w:rsidR="004F47BB" w:rsidRPr="004F47BB" w:rsidRDefault="004F47BB" w:rsidP="004F47BB">
      <w:pPr>
        <w:tabs>
          <w:tab w:val="left" w:pos="426"/>
          <w:tab w:val="left" w:pos="709"/>
        </w:tabs>
        <w:autoSpaceDE/>
        <w:autoSpaceDN/>
        <w:spacing w:line="240" w:lineRule="atLeast"/>
        <w:ind w:left="-142" w:firstLine="709"/>
        <w:rPr>
          <w:szCs w:val="20"/>
        </w:rPr>
      </w:pPr>
    </w:p>
    <w:p w:rsidR="004F47BB" w:rsidRPr="004F47BB" w:rsidRDefault="004F47BB" w:rsidP="004F47BB">
      <w:pPr>
        <w:tabs>
          <w:tab w:val="left" w:pos="709"/>
        </w:tabs>
        <w:autoSpaceDE/>
        <w:autoSpaceDN/>
        <w:spacing w:line="240" w:lineRule="atLeast"/>
        <w:ind w:left="709" w:hanging="709"/>
        <w:rPr>
          <w:szCs w:val="20"/>
        </w:rPr>
      </w:pPr>
      <w:r>
        <w:t>1.5.4</w:t>
      </w:r>
      <w:r>
        <w:tab/>
        <w:t>I rilevatori di fumo devono essere impostati in maniera tale da reagire a una riduzione della visibilità al metro causata da fumo dal 2 % al 12,5 %. I rilevatori di fumo installati in cucine, sale macchine e locali caldaia devono reagire entro limiti di sensibilità rispondenti ai requisiti della commissione di ispezione tali da evitare una loro sensibilità eccessiva o insufficiente.</w:t>
      </w:r>
    </w:p>
    <w:p w:rsidR="004F47BB" w:rsidRPr="004F47BB" w:rsidRDefault="004F47BB" w:rsidP="004F47BB">
      <w:pPr>
        <w:tabs>
          <w:tab w:val="left" w:pos="426"/>
          <w:tab w:val="left" w:pos="709"/>
        </w:tabs>
        <w:autoSpaceDE/>
        <w:autoSpaceDN/>
        <w:spacing w:line="240" w:lineRule="atLeast"/>
        <w:ind w:left="426" w:hanging="426"/>
        <w:rPr>
          <w:szCs w:val="20"/>
        </w:rPr>
      </w:pPr>
    </w:p>
    <w:p w:rsidR="004F47BB" w:rsidRPr="004F47BB" w:rsidRDefault="004F47BB" w:rsidP="004F47BB">
      <w:pPr>
        <w:tabs>
          <w:tab w:val="left" w:pos="709"/>
        </w:tabs>
        <w:autoSpaceDE/>
        <w:autoSpaceDN/>
        <w:spacing w:after="120" w:line="240" w:lineRule="atLeast"/>
        <w:ind w:left="709" w:hanging="719"/>
        <w:rPr>
          <w:szCs w:val="20"/>
        </w:rPr>
      </w:pPr>
      <w:r>
        <w:t>1.5.5</w:t>
      </w:r>
      <w:r>
        <w:tab/>
        <w:t>I rilevatori di calore devono essere impostati in maniera che, in presenza di aumenti di temperatura inferiori a 1 °C/min, reagiscano a temperature comprese tra 54 °C e 78 °C.</w:t>
      </w:r>
    </w:p>
    <w:p w:rsidR="004F47BB" w:rsidRPr="004F47BB" w:rsidRDefault="004F47BB" w:rsidP="004F47BB">
      <w:pPr>
        <w:tabs>
          <w:tab w:val="left" w:pos="709"/>
        </w:tabs>
        <w:autoSpaceDE/>
        <w:autoSpaceDN/>
        <w:spacing w:line="240" w:lineRule="atLeast"/>
        <w:ind w:left="709" w:firstLine="0"/>
        <w:rPr>
          <w:szCs w:val="20"/>
        </w:rPr>
      </w:pPr>
      <w:r>
        <w:t>Con aumenti di temperatura superiori, il rilevatore di temperatura deve reagire entro limiti di temperatura tali da evitare una sua sensibilità eccessiva o insufficiente.</w:t>
      </w:r>
    </w:p>
    <w:p w:rsidR="004F47BB" w:rsidRPr="004F47BB" w:rsidRDefault="004F47BB" w:rsidP="004F47BB">
      <w:pPr>
        <w:tabs>
          <w:tab w:val="left" w:pos="426"/>
          <w:tab w:val="left" w:pos="709"/>
        </w:tabs>
        <w:autoSpaceDE/>
        <w:autoSpaceDN/>
        <w:spacing w:line="240" w:lineRule="atLeast"/>
        <w:ind w:left="426" w:hanging="426"/>
        <w:rPr>
          <w:szCs w:val="20"/>
        </w:rPr>
      </w:pPr>
    </w:p>
    <w:p w:rsidR="004F47BB" w:rsidRPr="004F47BB" w:rsidRDefault="004F47BB" w:rsidP="004F47BB">
      <w:pPr>
        <w:tabs>
          <w:tab w:val="left" w:pos="709"/>
        </w:tabs>
        <w:autoSpaceDE/>
        <w:autoSpaceDN/>
        <w:spacing w:line="240" w:lineRule="atLeast"/>
        <w:ind w:left="709" w:hanging="709"/>
        <w:rPr>
          <w:szCs w:val="20"/>
        </w:rPr>
      </w:pPr>
      <w:r>
        <w:t>1.5.6</w:t>
      </w:r>
      <w:r>
        <w:tab/>
        <w:t>Con il consenso della commissione di ispezione, la temperatura di esercizio ammissibile dei rilevatori di temperatura può essere portata a 30 °C al di sopra della temperatura massima nella parte superiore delle sale macchine e dei locali caldaia.</w:t>
      </w:r>
    </w:p>
    <w:p w:rsidR="004F47BB" w:rsidRPr="004F47BB" w:rsidRDefault="004F47BB" w:rsidP="004F47BB">
      <w:pPr>
        <w:tabs>
          <w:tab w:val="left" w:pos="426"/>
          <w:tab w:val="left" w:pos="709"/>
        </w:tabs>
        <w:autoSpaceDE/>
        <w:autoSpaceDN/>
        <w:spacing w:line="240" w:lineRule="atLeast"/>
        <w:ind w:left="709" w:hanging="709"/>
        <w:rPr>
          <w:szCs w:val="20"/>
        </w:rPr>
      </w:pPr>
    </w:p>
    <w:p w:rsidR="004F47BB" w:rsidRPr="004F47BB" w:rsidRDefault="004F47BB" w:rsidP="004F47BB">
      <w:pPr>
        <w:tabs>
          <w:tab w:val="left" w:pos="709"/>
        </w:tabs>
        <w:autoSpaceDE/>
        <w:autoSpaceDN/>
        <w:spacing w:line="240" w:lineRule="atLeast"/>
        <w:ind w:left="709" w:hanging="719"/>
        <w:rPr>
          <w:szCs w:val="20"/>
        </w:rPr>
      </w:pPr>
      <w:r>
        <w:t>1.5.7</w:t>
      </w:r>
      <w:r>
        <w:tab/>
        <w:t>La sensibilità dei rilevatori di fiamme deve essere tale da rilevare fiamme su uno sfondo illuminato. I rilevatori di fiamme devono essere altresì provvisti di un sistema di identificazione dei falsi allarmi.</w:t>
      </w:r>
    </w:p>
    <w:p w:rsidR="004F47BB" w:rsidRPr="004F47BB" w:rsidRDefault="004F47BB" w:rsidP="004F47BB">
      <w:pPr>
        <w:tabs>
          <w:tab w:val="left" w:pos="709"/>
        </w:tabs>
        <w:autoSpaceDE/>
        <w:autoSpaceDN/>
        <w:spacing w:line="240" w:lineRule="atLeast"/>
        <w:ind w:left="-10" w:firstLine="0"/>
        <w:rPr>
          <w:szCs w:val="20"/>
        </w:rPr>
      </w:pPr>
    </w:p>
    <w:p w:rsidR="004F47BB" w:rsidRPr="004F47BB" w:rsidRDefault="004F47BB" w:rsidP="004F47BB">
      <w:pPr>
        <w:tabs>
          <w:tab w:val="left" w:pos="709"/>
        </w:tabs>
        <w:autoSpaceDE/>
        <w:autoSpaceDN/>
        <w:spacing w:line="240" w:lineRule="atLeast"/>
        <w:ind w:left="-10" w:firstLine="0"/>
        <w:rPr>
          <w:szCs w:val="20"/>
        </w:rPr>
      </w:pPr>
      <w:r>
        <w:br w:type="page"/>
      </w:r>
    </w:p>
    <w:p w:rsidR="004F47BB" w:rsidRPr="004F47BB" w:rsidRDefault="004F47BB" w:rsidP="004F47BB">
      <w:pPr>
        <w:tabs>
          <w:tab w:val="left" w:pos="709"/>
        </w:tabs>
        <w:autoSpaceDE/>
        <w:autoSpaceDN/>
        <w:spacing w:line="240" w:lineRule="atLeast"/>
        <w:ind w:left="709" w:hanging="709"/>
        <w:rPr>
          <w:b/>
          <w:bCs/>
          <w:szCs w:val="20"/>
        </w:rPr>
      </w:pPr>
      <w:r>
        <w:rPr>
          <w:b/>
          <w:noProof/>
        </w:rPr>
        <w:lastRenderedPageBreak/>
        <w:t>1.6</w:t>
      </w:r>
      <w:r>
        <w:tab/>
      </w:r>
      <w:r>
        <w:rPr>
          <w:b/>
          <w:noProof/>
        </w:rPr>
        <w:t>Sistema di rilevamento antincendio e quadro comandi</w:t>
      </w:r>
    </w:p>
    <w:p w:rsidR="004F47BB" w:rsidRPr="004F47BB" w:rsidRDefault="004F47BB" w:rsidP="004F47BB">
      <w:pPr>
        <w:tabs>
          <w:tab w:val="left" w:pos="709"/>
        </w:tabs>
        <w:autoSpaceDE/>
        <w:autoSpaceDN/>
        <w:spacing w:line="240" w:lineRule="atLeast"/>
        <w:ind w:left="709" w:hanging="709"/>
        <w:rPr>
          <w:szCs w:val="20"/>
        </w:rPr>
      </w:pPr>
    </w:p>
    <w:p w:rsidR="004F47BB" w:rsidRPr="004F47BB" w:rsidRDefault="004F47BB" w:rsidP="004F47BB">
      <w:pPr>
        <w:tabs>
          <w:tab w:val="left" w:pos="709"/>
        </w:tabs>
        <w:autoSpaceDE/>
        <w:autoSpaceDN/>
        <w:spacing w:line="240" w:lineRule="atLeast"/>
        <w:ind w:left="709" w:hanging="709"/>
        <w:rPr>
          <w:szCs w:val="20"/>
        </w:rPr>
      </w:pPr>
      <w:r>
        <w:t>1.6.1</w:t>
      </w:r>
      <w:r>
        <w:tab/>
        <w:t>L'attivazione di un rilevatore antincendio deve fare scattare un segnale di allarme antincendio visivo e acustico in corrispondenza del quadro comandi e dei dispositivi di segnalazione.</w:t>
      </w:r>
    </w:p>
    <w:p w:rsidR="004F47BB" w:rsidRPr="004F47BB" w:rsidRDefault="004F47BB" w:rsidP="004F47BB">
      <w:pPr>
        <w:tabs>
          <w:tab w:val="left" w:pos="709"/>
        </w:tabs>
        <w:autoSpaceDE/>
        <w:autoSpaceDN/>
        <w:spacing w:line="240" w:lineRule="atLeast"/>
        <w:ind w:left="709" w:hanging="709"/>
        <w:rPr>
          <w:szCs w:val="20"/>
        </w:rPr>
      </w:pPr>
    </w:p>
    <w:p w:rsidR="004F47BB" w:rsidRPr="004F47BB" w:rsidRDefault="004F47BB" w:rsidP="004F47BB">
      <w:pPr>
        <w:tabs>
          <w:tab w:val="left" w:pos="709"/>
        </w:tabs>
        <w:autoSpaceDE/>
        <w:autoSpaceDN/>
        <w:spacing w:line="240" w:lineRule="atLeast"/>
        <w:ind w:left="709" w:hanging="709"/>
        <w:rPr>
          <w:szCs w:val="20"/>
        </w:rPr>
      </w:pPr>
      <w:r>
        <w:t>1.6.2</w:t>
      </w:r>
      <w:r>
        <w:tab/>
        <w:t>Il quadro comandi e i dispositivi di segnalazione devono essere posizionati in punti costantemente presidiati dall'equipaggio o dal personale di bordo. Un segnalatore deve essere disposto in corrispondenza del posto di pilotaggio.</w:t>
      </w:r>
    </w:p>
    <w:p w:rsidR="004F47BB" w:rsidRPr="004F47BB" w:rsidRDefault="004F47BB" w:rsidP="004F47BB">
      <w:pPr>
        <w:tabs>
          <w:tab w:val="left" w:pos="709"/>
        </w:tabs>
        <w:autoSpaceDE/>
        <w:autoSpaceDN/>
        <w:spacing w:line="240" w:lineRule="atLeast"/>
        <w:ind w:left="709" w:hanging="709"/>
        <w:rPr>
          <w:szCs w:val="20"/>
        </w:rPr>
      </w:pPr>
    </w:p>
    <w:p w:rsidR="004F47BB" w:rsidRPr="004F47BB" w:rsidRDefault="004F47BB" w:rsidP="004F47BB">
      <w:pPr>
        <w:tabs>
          <w:tab w:val="left" w:pos="709"/>
        </w:tabs>
        <w:autoSpaceDE/>
        <w:autoSpaceDN/>
        <w:spacing w:line="240" w:lineRule="atLeast"/>
        <w:ind w:left="709" w:hanging="709"/>
        <w:rPr>
          <w:szCs w:val="20"/>
        </w:rPr>
      </w:pPr>
      <w:r>
        <w:t>1.6.3</w:t>
      </w:r>
      <w:r>
        <w:tab/>
        <w:t>I dispositivi di segnalazione devono indicare almeno la zona di rilevamento antincendio in cui si è attivato un rilevatore antincendio.</w:t>
      </w:r>
    </w:p>
    <w:p w:rsidR="004F47BB" w:rsidRPr="004F47BB" w:rsidRDefault="004F47BB" w:rsidP="004F47BB">
      <w:pPr>
        <w:tabs>
          <w:tab w:val="left" w:pos="709"/>
        </w:tabs>
        <w:autoSpaceDE/>
        <w:autoSpaceDN/>
        <w:spacing w:line="240" w:lineRule="atLeast"/>
        <w:ind w:left="709" w:hanging="709"/>
        <w:rPr>
          <w:szCs w:val="20"/>
        </w:rPr>
      </w:pPr>
    </w:p>
    <w:p w:rsidR="004F47BB" w:rsidRPr="004F47BB" w:rsidRDefault="004F47BB" w:rsidP="004F47BB">
      <w:pPr>
        <w:tabs>
          <w:tab w:val="left" w:pos="709"/>
        </w:tabs>
        <w:autoSpaceDE/>
        <w:autoSpaceDN/>
        <w:spacing w:line="240" w:lineRule="atLeast"/>
        <w:ind w:left="709" w:hanging="709"/>
        <w:rPr>
          <w:szCs w:val="20"/>
        </w:rPr>
      </w:pPr>
      <w:r>
        <w:t>1.6.4</w:t>
      </w:r>
      <w:r>
        <w:tab/>
        <w:t>In prossimità di un dispositivo di segnalazione o su di esso devono essere riportate informazioni chiare in merito alle zone sorvegliate e all'ubicazione delle zone di rilevamento antincendio.</w:t>
      </w:r>
    </w:p>
    <w:p w:rsidR="004F47BB" w:rsidRPr="004F47BB" w:rsidRDefault="004F47BB" w:rsidP="004F47BB">
      <w:pPr>
        <w:tabs>
          <w:tab w:val="left" w:pos="426"/>
          <w:tab w:val="left" w:pos="709"/>
        </w:tabs>
        <w:autoSpaceDE/>
        <w:autoSpaceDN/>
        <w:spacing w:line="240" w:lineRule="atLeast"/>
        <w:ind w:left="426" w:hanging="568"/>
        <w:rPr>
          <w:szCs w:val="20"/>
        </w:rPr>
      </w:pPr>
    </w:p>
    <w:p w:rsidR="004F47BB" w:rsidRPr="004F47BB" w:rsidRDefault="004F47BB" w:rsidP="004F47BB">
      <w:pPr>
        <w:tabs>
          <w:tab w:val="left" w:pos="709"/>
        </w:tabs>
        <w:autoSpaceDE/>
        <w:autoSpaceDN/>
        <w:spacing w:line="240" w:lineRule="atLeast"/>
        <w:ind w:left="709" w:hanging="709"/>
        <w:rPr>
          <w:szCs w:val="20"/>
        </w:rPr>
      </w:pPr>
      <w:r>
        <w:rPr>
          <w:b/>
        </w:rPr>
        <w:t>2.</w:t>
      </w:r>
      <w:r>
        <w:tab/>
      </w:r>
      <w:r>
        <w:rPr>
          <w:b/>
          <w:noProof/>
        </w:rPr>
        <w:t>Requisiti di installazione</w:t>
      </w:r>
    </w:p>
    <w:p w:rsidR="004F47BB" w:rsidRPr="004F47BB" w:rsidRDefault="004F47BB" w:rsidP="004F47BB">
      <w:pPr>
        <w:tabs>
          <w:tab w:val="left" w:pos="426"/>
          <w:tab w:val="left" w:pos="709"/>
        </w:tabs>
        <w:autoSpaceDE/>
        <w:autoSpaceDN/>
        <w:spacing w:line="240" w:lineRule="atLeast"/>
        <w:ind w:left="426" w:hanging="568"/>
        <w:rPr>
          <w:szCs w:val="20"/>
        </w:rPr>
      </w:pPr>
    </w:p>
    <w:p w:rsidR="004F47BB" w:rsidRPr="004F47BB" w:rsidRDefault="004F47BB" w:rsidP="004F47BB">
      <w:pPr>
        <w:tabs>
          <w:tab w:val="left" w:pos="709"/>
        </w:tabs>
        <w:autoSpaceDE/>
        <w:autoSpaceDN/>
        <w:spacing w:line="240" w:lineRule="atLeast"/>
        <w:ind w:left="709" w:hanging="709"/>
        <w:rPr>
          <w:szCs w:val="20"/>
        </w:rPr>
      </w:pPr>
      <w:r>
        <w:t>2.1</w:t>
      </w:r>
      <w:r>
        <w:tab/>
        <w:t>I rilevatori antincendio devono essere installati in maniera tale da garantire il miglior funzionamento possibile del sistema. Evitare installazioni in prossimità di anguille, pozzetti di ventilazione o altri punti in cui correnti di aria potrebbero incidere negativamente sul funzionamento del sistema, come anche punti in cui sono probabili impatti o danni meccanici.</w:t>
      </w:r>
    </w:p>
    <w:p w:rsidR="004F47BB" w:rsidRPr="004F47BB" w:rsidRDefault="004F47BB" w:rsidP="004F47BB">
      <w:pPr>
        <w:tabs>
          <w:tab w:val="left" w:pos="426"/>
          <w:tab w:val="left" w:pos="709"/>
        </w:tabs>
        <w:autoSpaceDE/>
        <w:autoSpaceDN/>
        <w:spacing w:line="240" w:lineRule="atLeast"/>
        <w:ind w:left="426" w:hanging="710"/>
        <w:rPr>
          <w:szCs w:val="20"/>
        </w:rPr>
      </w:pPr>
    </w:p>
    <w:p w:rsidR="004F47BB" w:rsidRPr="004F47BB" w:rsidRDefault="004F47BB" w:rsidP="004F47BB">
      <w:pPr>
        <w:tabs>
          <w:tab w:val="left" w:pos="709"/>
        </w:tabs>
        <w:autoSpaceDE/>
        <w:autoSpaceDN/>
        <w:spacing w:line="240" w:lineRule="atLeast"/>
        <w:ind w:left="709" w:hanging="709"/>
        <w:rPr>
          <w:szCs w:val="20"/>
        </w:rPr>
      </w:pPr>
      <w:r>
        <w:t>2.2</w:t>
      </w:r>
      <w:r>
        <w:tab/>
        <w:t>Di norma, i rilevatori antincendio installati a soffitto devono trovarsi ad almeno 0,5 m dalle paratie. La distanza massima tra i rilevatori antincendio e le paratie deve essere conforme alla tabella di seguito:</w:t>
      </w:r>
    </w:p>
    <w:p w:rsidR="004F47BB" w:rsidRPr="004F47BB" w:rsidRDefault="004F47BB" w:rsidP="004F47BB">
      <w:pPr>
        <w:tabs>
          <w:tab w:val="left" w:pos="426"/>
          <w:tab w:val="left" w:pos="709"/>
        </w:tabs>
        <w:autoSpaceDE/>
        <w:autoSpaceDN/>
        <w:spacing w:line="240" w:lineRule="atLeast"/>
        <w:ind w:left="709" w:hanging="709"/>
        <w:rPr>
          <w:szCs w:val="20"/>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2041"/>
        <w:gridCol w:w="2041"/>
        <w:gridCol w:w="2041"/>
      </w:tblGrid>
      <w:tr w:rsidR="004F47BB" w:rsidRPr="00A0619C" w:rsidTr="00D45887">
        <w:trPr>
          <w:jc w:val="center"/>
        </w:trPr>
        <w:tc>
          <w:tcPr>
            <w:tcW w:w="1418" w:type="dxa"/>
          </w:tcPr>
          <w:p w:rsidR="004F47BB" w:rsidRPr="004F47BB" w:rsidRDefault="004F47BB" w:rsidP="004F47BB">
            <w:pPr>
              <w:tabs>
                <w:tab w:val="left" w:pos="426"/>
                <w:tab w:val="left" w:pos="709"/>
              </w:tabs>
              <w:autoSpaceDE/>
              <w:autoSpaceDN/>
              <w:spacing w:before="60" w:after="60" w:line="240" w:lineRule="atLeast"/>
              <w:ind w:left="0" w:firstLine="0"/>
              <w:jc w:val="center"/>
              <w:rPr>
                <w:noProof/>
                <w:sz w:val="18"/>
                <w:szCs w:val="18"/>
              </w:rPr>
            </w:pPr>
            <w:r>
              <w:rPr>
                <w:noProof/>
                <w:sz w:val="18"/>
              </w:rPr>
              <w:t>Tipo di rilevatore antincendio</w:t>
            </w:r>
          </w:p>
        </w:tc>
        <w:tc>
          <w:tcPr>
            <w:tcW w:w="2041" w:type="dxa"/>
          </w:tcPr>
          <w:p w:rsidR="004F47BB" w:rsidRPr="004F47BB" w:rsidRDefault="004F47BB" w:rsidP="004F47BB">
            <w:pPr>
              <w:tabs>
                <w:tab w:val="left" w:pos="426"/>
                <w:tab w:val="left" w:pos="709"/>
              </w:tabs>
              <w:autoSpaceDE/>
              <w:autoSpaceDN/>
              <w:spacing w:before="60" w:after="60" w:line="240" w:lineRule="atLeast"/>
              <w:ind w:left="0" w:firstLine="0"/>
              <w:jc w:val="center"/>
              <w:rPr>
                <w:noProof/>
                <w:sz w:val="18"/>
                <w:szCs w:val="18"/>
              </w:rPr>
            </w:pPr>
            <w:r>
              <w:rPr>
                <w:noProof/>
                <w:sz w:val="18"/>
              </w:rPr>
              <w:t>Massima superficie a pavimento per rilevatore antincendio</w:t>
            </w:r>
          </w:p>
        </w:tc>
        <w:tc>
          <w:tcPr>
            <w:tcW w:w="2041" w:type="dxa"/>
          </w:tcPr>
          <w:p w:rsidR="004F47BB" w:rsidRPr="004F47BB" w:rsidRDefault="004F47BB" w:rsidP="004F47BB">
            <w:pPr>
              <w:tabs>
                <w:tab w:val="left" w:pos="426"/>
                <w:tab w:val="left" w:pos="709"/>
              </w:tabs>
              <w:autoSpaceDE/>
              <w:autoSpaceDN/>
              <w:spacing w:before="60" w:after="60" w:line="240" w:lineRule="atLeast"/>
              <w:ind w:left="0" w:firstLine="0"/>
              <w:jc w:val="center"/>
              <w:rPr>
                <w:noProof/>
                <w:sz w:val="18"/>
                <w:szCs w:val="18"/>
              </w:rPr>
            </w:pPr>
            <w:r>
              <w:rPr>
                <w:noProof/>
                <w:sz w:val="18"/>
              </w:rPr>
              <w:t>Massima distanza tra rilevatori antincendio</w:t>
            </w:r>
          </w:p>
        </w:tc>
        <w:tc>
          <w:tcPr>
            <w:tcW w:w="2041" w:type="dxa"/>
          </w:tcPr>
          <w:p w:rsidR="004F47BB" w:rsidRPr="004F47BB" w:rsidRDefault="004F47BB" w:rsidP="004F47BB">
            <w:pPr>
              <w:tabs>
                <w:tab w:val="left" w:pos="426"/>
                <w:tab w:val="left" w:pos="709"/>
              </w:tabs>
              <w:autoSpaceDE/>
              <w:autoSpaceDN/>
              <w:spacing w:before="60" w:after="60" w:line="240" w:lineRule="atLeast"/>
              <w:ind w:left="0" w:firstLine="0"/>
              <w:jc w:val="center"/>
              <w:rPr>
                <w:noProof/>
                <w:sz w:val="18"/>
                <w:szCs w:val="18"/>
              </w:rPr>
            </w:pPr>
            <w:r>
              <w:rPr>
                <w:noProof/>
                <w:sz w:val="18"/>
              </w:rPr>
              <w:t>Massima distanza tra rilevatori antincendio e paratie</w:t>
            </w:r>
          </w:p>
        </w:tc>
      </w:tr>
      <w:tr w:rsidR="004F47BB" w:rsidRPr="004F47BB" w:rsidTr="00D45887">
        <w:trPr>
          <w:jc w:val="center"/>
        </w:trPr>
        <w:tc>
          <w:tcPr>
            <w:tcW w:w="1418" w:type="dxa"/>
            <w:vAlign w:val="center"/>
          </w:tcPr>
          <w:p w:rsidR="004F47BB" w:rsidRPr="004F47BB" w:rsidRDefault="004F47BB" w:rsidP="004F47BB">
            <w:pPr>
              <w:tabs>
                <w:tab w:val="left" w:pos="426"/>
                <w:tab w:val="left" w:pos="709"/>
              </w:tabs>
              <w:autoSpaceDE/>
              <w:autoSpaceDN/>
              <w:spacing w:before="60" w:after="60" w:line="240" w:lineRule="atLeast"/>
              <w:ind w:left="709" w:hanging="709"/>
              <w:jc w:val="center"/>
              <w:rPr>
                <w:sz w:val="18"/>
                <w:szCs w:val="18"/>
              </w:rPr>
            </w:pPr>
            <w:r>
              <w:rPr>
                <w:noProof/>
                <w:sz w:val="18"/>
              </w:rPr>
              <w:t>Calore</w:t>
            </w:r>
          </w:p>
        </w:tc>
        <w:tc>
          <w:tcPr>
            <w:tcW w:w="2041" w:type="dxa"/>
            <w:vAlign w:val="center"/>
          </w:tcPr>
          <w:p w:rsidR="004F47BB" w:rsidRPr="004F47BB" w:rsidRDefault="004F47BB" w:rsidP="004F47BB">
            <w:pPr>
              <w:tabs>
                <w:tab w:val="left" w:pos="426"/>
                <w:tab w:val="left" w:pos="709"/>
              </w:tabs>
              <w:autoSpaceDE/>
              <w:autoSpaceDN/>
              <w:spacing w:before="60" w:after="60" w:line="240" w:lineRule="atLeast"/>
              <w:ind w:left="709" w:hanging="709"/>
              <w:jc w:val="center"/>
              <w:rPr>
                <w:sz w:val="18"/>
                <w:szCs w:val="18"/>
              </w:rPr>
            </w:pPr>
            <w:r>
              <w:rPr>
                <w:noProof/>
                <w:sz w:val="18"/>
              </w:rPr>
              <w:t>37 m</w:t>
            </w:r>
            <w:r>
              <w:rPr>
                <w:noProof/>
                <w:position w:val="6"/>
                <w:sz w:val="14"/>
                <w:vertAlign w:val="superscript"/>
              </w:rPr>
              <w:t>2</w:t>
            </w:r>
          </w:p>
        </w:tc>
        <w:tc>
          <w:tcPr>
            <w:tcW w:w="2041" w:type="dxa"/>
            <w:vAlign w:val="center"/>
          </w:tcPr>
          <w:p w:rsidR="004F47BB" w:rsidRPr="004F47BB" w:rsidRDefault="004F47BB" w:rsidP="004F47BB">
            <w:pPr>
              <w:tabs>
                <w:tab w:val="left" w:pos="426"/>
                <w:tab w:val="left" w:pos="709"/>
              </w:tabs>
              <w:autoSpaceDE/>
              <w:autoSpaceDN/>
              <w:spacing w:before="60" w:after="60" w:line="240" w:lineRule="atLeast"/>
              <w:ind w:left="709" w:hanging="709"/>
              <w:jc w:val="center"/>
              <w:rPr>
                <w:sz w:val="18"/>
                <w:szCs w:val="18"/>
              </w:rPr>
            </w:pPr>
            <w:r>
              <w:rPr>
                <w:noProof/>
                <w:sz w:val="18"/>
              </w:rPr>
              <w:t>9 m</w:t>
            </w:r>
          </w:p>
        </w:tc>
        <w:tc>
          <w:tcPr>
            <w:tcW w:w="2041" w:type="dxa"/>
            <w:vAlign w:val="center"/>
          </w:tcPr>
          <w:p w:rsidR="004F47BB" w:rsidRPr="004F47BB" w:rsidRDefault="004F47BB" w:rsidP="004F47BB">
            <w:pPr>
              <w:tabs>
                <w:tab w:val="left" w:pos="426"/>
                <w:tab w:val="left" w:pos="709"/>
              </w:tabs>
              <w:autoSpaceDE/>
              <w:autoSpaceDN/>
              <w:spacing w:before="60" w:after="60" w:line="240" w:lineRule="atLeast"/>
              <w:ind w:left="709" w:hanging="709"/>
              <w:jc w:val="center"/>
              <w:rPr>
                <w:sz w:val="18"/>
                <w:szCs w:val="18"/>
              </w:rPr>
            </w:pPr>
            <w:r>
              <w:rPr>
                <w:noProof/>
                <w:sz w:val="18"/>
              </w:rPr>
              <w:t>4,5 m</w:t>
            </w:r>
          </w:p>
        </w:tc>
      </w:tr>
      <w:tr w:rsidR="004F47BB" w:rsidRPr="004F47BB" w:rsidTr="00D45887">
        <w:trPr>
          <w:jc w:val="center"/>
        </w:trPr>
        <w:tc>
          <w:tcPr>
            <w:tcW w:w="1418" w:type="dxa"/>
            <w:vAlign w:val="center"/>
          </w:tcPr>
          <w:p w:rsidR="004F47BB" w:rsidRPr="004F47BB" w:rsidRDefault="004F47BB" w:rsidP="004F47BB">
            <w:pPr>
              <w:tabs>
                <w:tab w:val="left" w:pos="426"/>
                <w:tab w:val="left" w:pos="709"/>
              </w:tabs>
              <w:autoSpaceDE/>
              <w:autoSpaceDN/>
              <w:spacing w:before="60" w:after="60" w:line="240" w:lineRule="atLeast"/>
              <w:ind w:left="709" w:hanging="709"/>
              <w:jc w:val="center"/>
              <w:rPr>
                <w:sz w:val="18"/>
                <w:szCs w:val="18"/>
              </w:rPr>
            </w:pPr>
            <w:r>
              <w:rPr>
                <w:noProof/>
                <w:sz w:val="18"/>
              </w:rPr>
              <w:t>Fumo</w:t>
            </w:r>
          </w:p>
        </w:tc>
        <w:tc>
          <w:tcPr>
            <w:tcW w:w="2041" w:type="dxa"/>
            <w:vAlign w:val="center"/>
          </w:tcPr>
          <w:p w:rsidR="004F47BB" w:rsidRPr="004F47BB" w:rsidRDefault="004F47BB" w:rsidP="004F47BB">
            <w:pPr>
              <w:tabs>
                <w:tab w:val="left" w:pos="426"/>
                <w:tab w:val="left" w:pos="709"/>
              </w:tabs>
              <w:autoSpaceDE/>
              <w:autoSpaceDN/>
              <w:spacing w:before="60" w:after="60" w:line="240" w:lineRule="atLeast"/>
              <w:ind w:left="709" w:hanging="709"/>
              <w:jc w:val="center"/>
              <w:rPr>
                <w:sz w:val="18"/>
                <w:szCs w:val="18"/>
              </w:rPr>
            </w:pPr>
            <w:r>
              <w:rPr>
                <w:noProof/>
                <w:sz w:val="18"/>
              </w:rPr>
              <w:t>74 m</w:t>
            </w:r>
            <w:r>
              <w:rPr>
                <w:noProof/>
                <w:position w:val="6"/>
                <w:sz w:val="14"/>
                <w:vertAlign w:val="superscript"/>
              </w:rPr>
              <w:t>2</w:t>
            </w:r>
          </w:p>
        </w:tc>
        <w:tc>
          <w:tcPr>
            <w:tcW w:w="2041" w:type="dxa"/>
            <w:vAlign w:val="center"/>
          </w:tcPr>
          <w:p w:rsidR="004F47BB" w:rsidRPr="004F47BB" w:rsidRDefault="004F47BB" w:rsidP="004F47BB">
            <w:pPr>
              <w:tabs>
                <w:tab w:val="left" w:pos="426"/>
                <w:tab w:val="left" w:pos="709"/>
              </w:tabs>
              <w:autoSpaceDE/>
              <w:autoSpaceDN/>
              <w:spacing w:before="60" w:after="60" w:line="240" w:lineRule="atLeast"/>
              <w:ind w:left="709" w:hanging="709"/>
              <w:jc w:val="center"/>
              <w:rPr>
                <w:sz w:val="18"/>
                <w:szCs w:val="18"/>
              </w:rPr>
            </w:pPr>
            <w:r>
              <w:rPr>
                <w:noProof/>
                <w:sz w:val="18"/>
              </w:rPr>
              <w:t>11 m</w:t>
            </w:r>
          </w:p>
        </w:tc>
        <w:tc>
          <w:tcPr>
            <w:tcW w:w="2041" w:type="dxa"/>
            <w:vAlign w:val="center"/>
          </w:tcPr>
          <w:p w:rsidR="004F47BB" w:rsidRPr="004F47BB" w:rsidRDefault="004F47BB" w:rsidP="004F47BB">
            <w:pPr>
              <w:tabs>
                <w:tab w:val="left" w:pos="426"/>
                <w:tab w:val="left" w:pos="709"/>
              </w:tabs>
              <w:autoSpaceDE/>
              <w:autoSpaceDN/>
              <w:spacing w:before="60" w:after="60" w:line="240" w:lineRule="atLeast"/>
              <w:ind w:left="709" w:hanging="709"/>
              <w:jc w:val="center"/>
              <w:rPr>
                <w:sz w:val="18"/>
                <w:szCs w:val="18"/>
              </w:rPr>
            </w:pPr>
            <w:r>
              <w:rPr>
                <w:noProof/>
                <w:sz w:val="18"/>
              </w:rPr>
              <w:t>5,5 m</w:t>
            </w:r>
          </w:p>
        </w:tc>
      </w:tr>
    </w:tbl>
    <w:p w:rsidR="004F47BB" w:rsidRPr="004F47BB" w:rsidRDefault="004F47BB" w:rsidP="004F47BB">
      <w:pPr>
        <w:tabs>
          <w:tab w:val="left" w:pos="426"/>
          <w:tab w:val="left" w:pos="709"/>
        </w:tabs>
        <w:autoSpaceDE/>
        <w:autoSpaceDN/>
        <w:spacing w:line="240" w:lineRule="atLeast"/>
        <w:ind w:left="709" w:hanging="709"/>
        <w:rPr>
          <w:szCs w:val="20"/>
        </w:rPr>
      </w:pPr>
    </w:p>
    <w:p w:rsidR="004F47BB" w:rsidRPr="004F47BB" w:rsidRDefault="004F47BB" w:rsidP="004F47BB">
      <w:pPr>
        <w:tabs>
          <w:tab w:val="left" w:pos="709"/>
        </w:tabs>
        <w:autoSpaceDE/>
        <w:autoSpaceDN/>
        <w:spacing w:line="240" w:lineRule="atLeast"/>
        <w:ind w:left="709" w:firstLine="0"/>
        <w:rPr>
          <w:szCs w:val="20"/>
        </w:rPr>
      </w:pPr>
      <w:r>
        <w:t>La commissione di ispezione può stabilire o approvare altre distanze sulla base di prove che dimostrino le caratteristiche dei rilevatori.</w:t>
      </w:r>
    </w:p>
    <w:p w:rsidR="004F47BB" w:rsidRPr="004F47BB" w:rsidRDefault="004F47BB" w:rsidP="004F47BB">
      <w:pPr>
        <w:tabs>
          <w:tab w:val="left" w:pos="426"/>
          <w:tab w:val="left" w:pos="709"/>
        </w:tabs>
        <w:autoSpaceDE/>
        <w:autoSpaceDN/>
        <w:spacing w:line="240" w:lineRule="atLeast"/>
        <w:ind w:left="709" w:hanging="709"/>
        <w:rPr>
          <w:szCs w:val="20"/>
        </w:rPr>
      </w:pPr>
    </w:p>
    <w:p w:rsidR="004F47BB" w:rsidRPr="004F47BB" w:rsidRDefault="004F47BB" w:rsidP="004F47BB">
      <w:pPr>
        <w:tabs>
          <w:tab w:val="left" w:pos="709"/>
        </w:tabs>
        <w:autoSpaceDE/>
        <w:autoSpaceDN/>
        <w:spacing w:line="240" w:lineRule="atLeast"/>
        <w:ind w:left="709" w:hanging="709"/>
        <w:rPr>
          <w:szCs w:val="20"/>
        </w:rPr>
      </w:pPr>
      <w:r>
        <w:t>2.3</w:t>
      </w:r>
      <w:r>
        <w:tab/>
        <w:t>La posa di cavi elettrici dal sistema di allarme antincendio attraverso le sale macchine e i locali caldaia o altre zone ad alto rischio di incendio non è consentita, a meno che ciò non sia necessario per il rilevamento antincendio in dette zone o il collegamento alla corrispondente alimentazione.</w:t>
      </w:r>
    </w:p>
    <w:p w:rsidR="004F47BB" w:rsidRPr="004F47BB" w:rsidRDefault="004F47BB" w:rsidP="004F47BB">
      <w:pPr>
        <w:tabs>
          <w:tab w:val="left" w:pos="426"/>
          <w:tab w:val="left" w:pos="709"/>
        </w:tabs>
        <w:autoSpaceDE/>
        <w:autoSpaceDN/>
        <w:spacing w:line="240" w:lineRule="atLeast"/>
        <w:ind w:left="709" w:hanging="709"/>
        <w:rPr>
          <w:b/>
          <w:bCs/>
          <w:szCs w:val="20"/>
        </w:rPr>
      </w:pPr>
    </w:p>
    <w:p w:rsidR="004F47BB" w:rsidRPr="004F47BB" w:rsidRDefault="004F47BB" w:rsidP="004F47BB">
      <w:pPr>
        <w:tabs>
          <w:tab w:val="left" w:pos="426"/>
          <w:tab w:val="left" w:pos="709"/>
        </w:tabs>
        <w:autoSpaceDE/>
        <w:autoSpaceDN/>
        <w:spacing w:line="240" w:lineRule="atLeast"/>
        <w:ind w:left="709" w:hanging="709"/>
        <w:rPr>
          <w:b/>
          <w:bCs/>
          <w:szCs w:val="20"/>
        </w:rPr>
      </w:pPr>
      <w:r>
        <w:br w:type="page"/>
      </w:r>
    </w:p>
    <w:p w:rsidR="004F47BB" w:rsidRPr="004F47BB" w:rsidRDefault="004F47BB" w:rsidP="004F47BB">
      <w:pPr>
        <w:tabs>
          <w:tab w:val="left" w:pos="709"/>
        </w:tabs>
        <w:autoSpaceDE/>
        <w:autoSpaceDN/>
        <w:spacing w:line="240" w:lineRule="atLeast"/>
        <w:ind w:left="709" w:hanging="709"/>
        <w:rPr>
          <w:b/>
          <w:bCs/>
          <w:szCs w:val="20"/>
        </w:rPr>
      </w:pPr>
      <w:r>
        <w:rPr>
          <w:b/>
        </w:rPr>
        <w:lastRenderedPageBreak/>
        <w:t>3.</w:t>
      </w:r>
      <w:r>
        <w:tab/>
      </w:r>
      <w:r>
        <w:rPr>
          <w:b/>
        </w:rPr>
        <w:t>Collaudo</w:t>
      </w:r>
    </w:p>
    <w:p w:rsidR="004F47BB" w:rsidRPr="004F47BB" w:rsidRDefault="004F47BB" w:rsidP="004F47BB">
      <w:pPr>
        <w:tabs>
          <w:tab w:val="left" w:pos="1559"/>
        </w:tabs>
        <w:autoSpaceDE/>
        <w:autoSpaceDN/>
        <w:spacing w:line="240" w:lineRule="atLeast"/>
        <w:ind w:left="1560" w:hanging="709"/>
        <w:rPr>
          <w:szCs w:val="20"/>
        </w:rPr>
      </w:pPr>
    </w:p>
    <w:p w:rsidR="004F47BB" w:rsidRPr="004F47BB" w:rsidRDefault="004F47BB" w:rsidP="004F47BB">
      <w:pPr>
        <w:tabs>
          <w:tab w:val="left" w:pos="709"/>
        </w:tabs>
        <w:autoSpaceDE/>
        <w:autoSpaceDN/>
        <w:spacing w:line="240" w:lineRule="atLeast"/>
        <w:ind w:left="709" w:hanging="709"/>
        <w:rPr>
          <w:szCs w:val="20"/>
        </w:rPr>
      </w:pPr>
      <w:r>
        <w:t>3.1</w:t>
      </w:r>
      <w:r>
        <w:tab/>
        <w:t>I sistemi di allarme antincendio devono essere controllati da un esperto:</w:t>
      </w:r>
    </w:p>
    <w:p w:rsidR="004F47BB" w:rsidRPr="004F47BB" w:rsidRDefault="004F47BB" w:rsidP="004F47BB">
      <w:pPr>
        <w:autoSpaceDE/>
        <w:autoSpaceDN/>
        <w:spacing w:before="60" w:line="240" w:lineRule="atLeast"/>
        <w:ind w:left="1134"/>
        <w:rPr>
          <w:szCs w:val="20"/>
        </w:rPr>
      </w:pPr>
      <w:r>
        <w:t>a)</w:t>
      </w:r>
      <w:r>
        <w:tab/>
        <w:t>prima di essere messi in servizio per la prima volta;</w:t>
      </w:r>
    </w:p>
    <w:p w:rsidR="004F47BB" w:rsidRPr="004F47BB" w:rsidRDefault="004F47BB" w:rsidP="004F47BB">
      <w:pPr>
        <w:autoSpaceDE/>
        <w:autoSpaceDN/>
        <w:spacing w:before="60" w:line="240" w:lineRule="atLeast"/>
        <w:ind w:left="1134"/>
        <w:rPr>
          <w:szCs w:val="20"/>
        </w:rPr>
      </w:pPr>
      <w:r>
        <w:t>b)</w:t>
      </w:r>
      <w:r>
        <w:tab/>
        <w:t>prima di essere reimmessi in servizio dopo una modifica o una riparazione importante; e</w:t>
      </w:r>
    </w:p>
    <w:p w:rsidR="004F47BB" w:rsidRPr="004F47BB" w:rsidRDefault="004F47BB" w:rsidP="004F47BB">
      <w:pPr>
        <w:autoSpaceDE/>
        <w:autoSpaceDN/>
        <w:spacing w:before="60" w:line="240" w:lineRule="atLeast"/>
        <w:ind w:left="1134"/>
        <w:rPr>
          <w:szCs w:val="20"/>
        </w:rPr>
      </w:pPr>
      <w:r>
        <w:t>c)</w:t>
      </w:r>
      <w:r>
        <w:tab/>
        <w:t>periodicamente, almeno ogni due anni.</w:t>
      </w:r>
    </w:p>
    <w:p w:rsidR="004F47BB" w:rsidRPr="004F47BB" w:rsidRDefault="004F47BB" w:rsidP="004F47BB">
      <w:pPr>
        <w:tabs>
          <w:tab w:val="left" w:pos="709"/>
        </w:tabs>
        <w:autoSpaceDE/>
        <w:autoSpaceDN/>
        <w:spacing w:before="60" w:line="240" w:lineRule="atLeast"/>
        <w:ind w:left="709" w:firstLine="0"/>
        <w:rPr>
          <w:szCs w:val="20"/>
        </w:rPr>
      </w:pPr>
      <w:r>
        <w:t>Nel caso delle sale macchine e dei locali caldaie tali controlli devono essere effettuati in diverse condizioni di esercizio delle macchine e in condizioni di ventilazione varianti. Le ispezioni di cui alla sottosezione c) supra possono anche essere effettuate da una persona competente di un’impresa specializzata nei sistemi antincendio.</w:t>
      </w:r>
    </w:p>
    <w:p w:rsidR="004F47BB" w:rsidRPr="004F47BB" w:rsidRDefault="004F47BB" w:rsidP="004F47BB">
      <w:pPr>
        <w:tabs>
          <w:tab w:val="left" w:pos="709"/>
        </w:tabs>
        <w:autoSpaceDE/>
        <w:autoSpaceDN/>
        <w:spacing w:line="240" w:lineRule="atLeast"/>
        <w:ind w:left="709" w:hanging="709"/>
        <w:rPr>
          <w:szCs w:val="20"/>
        </w:rPr>
      </w:pPr>
    </w:p>
    <w:p w:rsidR="004F47BB" w:rsidRPr="004F47BB" w:rsidRDefault="004F47BB" w:rsidP="004F47BB">
      <w:pPr>
        <w:tabs>
          <w:tab w:val="left" w:pos="709"/>
        </w:tabs>
        <w:autoSpaceDE/>
        <w:autoSpaceDN/>
        <w:spacing w:line="240" w:lineRule="atLeast"/>
        <w:ind w:left="709" w:hanging="709"/>
        <w:rPr>
          <w:szCs w:val="20"/>
        </w:rPr>
      </w:pPr>
      <w:r>
        <w:t>3.2</w:t>
      </w:r>
      <w:r>
        <w:tab/>
        <w:t>La persona competente o l'esperto che ha effettuato il controllo redige e firma un attestato di ispezione che ne reca la data.</w:t>
      </w:r>
    </w:p>
    <w:p w:rsidR="004F47BB" w:rsidRPr="004F47BB" w:rsidRDefault="004F47BB" w:rsidP="004F47BB">
      <w:pPr>
        <w:tabs>
          <w:tab w:val="left" w:pos="709"/>
        </w:tabs>
        <w:autoSpaceDE/>
        <w:autoSpaceDN/>
        <w:ind w:left="709" w:hanging="709"/>
        <w:rPr>
          <w:rFonts w:cs="Arial"/>
          <w:noProof/>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r>
        <w:br w:type="page"/>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sectPr w:rsidR="004F47BB" w:rsidRPr="004F47BB" w:rsidSect="00D45887">
          <w:footnotePr>
            <w:numRestart w:val="eachPage"/>
          </w:footnotePr>
          <w:pgSz w:w="11907" w:h="16840" w:code="9"/>
          <w:pgMar w:top="1418" w:right="1418" w:bottom="1418" w:left="1418" w:header="680" w:footer="680" w:gutter="0"/>
          <w:cols w:space="720"/>
          <w:docGrid w:linePitch="326"/>
        </w:sectPr>
      </w:pPr>
    </w:p>
    <w:p w:rsidR="004F47BB" w:rsidRPr="004F47BB" w:rsidRDefault="004F47BB" w:rsidP="003F3DE1">
      <w:pPr>
        <w:pStyle w:val="ES-Titre2ESI"/>
      </w:pPr>
      <w:bookmarkStart w:id="759" w:name="_Toc491854362"/>
      <w:bookmarkStart w:id="760" w:name="_Toc535500311"/>
      <w:r>
        <w:lastRenderedPageBreak/>
        <w:t>ESI-II-13</w:t>
      </w:r>
      <w:r>
        <w:br/>
        <w:t>(Senza oggetto)</w:t>
      </w:r>
      <w:bookmarkEnd w:id="759"/>
      <w:bookmarkEnd w:id="760"/>
    </w:p>
    <w:p w:rsidR="004F47BB" w:rsidRDefault="004F47BB" w:rsidP="004F47BB">
      <w:pPr>
        <w:overflowPunct w:val="0"/>
        <w:adjustRightInd w:val="0"/>
        <w:ind w:left="0" w:firstLine="0"/>
        <w:jc w:val="left"/>
        <w:textAlignment w:val="baseline"/>
        <w:rPr>
          <w:szCs w:val="20"/>
        </w:rPr>
      </w:pPr>
    </w:p>
    <w:p w:rsidR="00562D2E" w:rsidRDefault="00562D2E"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r>
        <w:br w:type="page"/>
      </w:r>
    </w:p>
    <w:p w:rsidR="004F47BB" w:rsidRDefault="004F47BB" w:rsidP="004F47BB">
      <w:pPr>
        <w:overflowPunct w:val="0"/>
        <w:adjustRightInd w:val="0"/>
        <w:ind w:left="0" w:firstLine="0"/>
        <w:jc w:val="left"/>
        <w:textAlignment w:val="baseline"/>
        <w:rPr>
          <w:szCs w:val="20"/>
        </w:rPr>
      </w:pPr>
    </w:p>
    <w:p w:rsidR="004C02DF" w:rsidRPr="004F47BB" w:rsidRDefault="004C02DF"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sectPr w:rsidR="004F47BB" w:rsidRPr="004F47BB" w:rsidSect="00D45887">
          <w:footnotePr>
            <w:numRestart w:val="eachPage"/>
          </w:footnotePr>
          <w:pgSz w:w="11907" w:h="16840" w:code="9"/>
          <w:pgMar w:top="1418" w:right="1418" w:bottom="1418" w:left="1418" w:header="680" w:footer="680" w:gutter="0"/>
          <w:cols w:space="720"/>
          <w:docGrid w:linePitch="326"/>
        </w:sectPr>
      </w:pPr>
    </w:p>
    <w:p w:rsidR="004F47BB" w:rsidRPr="004F47BB" w:rsidRDefault="004F47BB" w:rsidP="00A84512">
      <w:pPr>
        <w:pStyle w:val="ES-Titre1"/>
      </w:pPr>
      <w:bookmarkStart w:id="761" w:name="_Toc491854363"/>
      <w:bookmarkStart w:id="762" w:name="_Toc535500312"/>
      <w:r>
        <w:lastRenderedPageBreak/>
        <w:t>PARTE III</w:t>
      </w:r>
      <w:r>
        <w:br/>
        <w:t>DISPOSIZIONI PARTICOLARI</w:t>
      </w:r>
      <w:bookmarkEnd w:id="761"/>
      <w:bookmarkEnd w:id="762"/>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A84512">
      <w:pPr>
        <w:pStyle w:val="ES-Titre2ESI"/>
        <w:rPr>
          <w:szCs w:val="20"/>
        </w:rPr>
      </w:pPr>
      <w:bookmarkStart w:id="763" w:name="_Toc491854364"/>
      <w:bookmarkStart w:id="764" w:name="_Toc535500313"/>
      <w:r>
        <w:t>ESI-III-1</w:t>
      </w:r>
      <w:r>
        <w:br/>
        <w:t>Applicazione dei requisiti di cui al capo 19</w:t>
      </w:r>
      <w:bookmarkEnd w:id="763"/>
      <w:bookmarkEnd w:id="764"/>
    </w:p>
    <w:p w:rsidR="004F47BB" w:rsidRPr="004F47BB" w:rsidRDefault="004F47BB" w:rsidP="004F47BB">
      <w:pPr>
        <w:overflowPunct w:val="0"/>
        <w:adjustRightInd w:val="0"/>
        <w:ind w:left="1843"/>
        <w:jc w:val="left"/>
        <w:textAlignment w:val="baseline"/>
        <w:rPr>
          <w:b/>
          <w:bCs/>
          <w:i/>
          <w:noProof/>
          <w:sz w:val="24"/>
        </w:rPr>
      </w:pPr>
      <w:r>
        <w:rPr>
          <w:b/>
          <w:i/>
          <w:sz w:val="24"/>
        </w:rPr>
        <w:t>-</w:t>
      </w:r>
      <w:r>
        <w:tab/>
      </w:r>
      <w:r>
        <w:rPr>
          <w:b/>
          <w:i/>
          <w:noProof/>
          <w:sz w:val="24"/>
        </w:rPr>
        <w:t>Suddivisioni locali</w:t>
      </w:r>
    </w:p>
    <w:p w:rsidR="004F47BB" w:rsidRPr="004F47BB" w:rsidRDefault="004F47BB" w:rsidP="004F47BB">
      <w:pPr>
        <w:overflowPunct w:val="0"/>
        <w:adjustRightInd w:val="0"/>
        <w:ind w:left="1843"/>
        <w:jc w:val="left"/>
        <w:textAlignment w:val="baseline"/>
        <w:rPr>
          <w:b/>
          <w:i/>
          <w:sz w:val="24"/>
          <w:szCs w:val="20"/>
        </w:rPr>
      </w:pPr>
      <w:r>
        <w:rPr>
          <w:b/>
          <w:i/>
          <w:noProof/>
          <w:sz w:val="24"/>
        </w:rPr>
        <w:t>-</w:t>
      </w:r>
      <w:r>
        <w:tab/>
      </w:r>
      <w:r>
        <w:rPr>
          <w:b/>
          <w:i/>
          <w:noProof/>
          <w:sz w:val="24"/>
        </w:rPr>
        <w:t>Disposizioni transitorie per recinzioni costituite</w:t>
      </w:r>
      <w:r>
        <w:t xml:space="preserve"> </w:t>
      </w:r>
      <w:r>
        <w:rPr>
          <w:b/>
          <w:i/>
          <w:noProof/>
          <w:sz w:val="24"/>
        </w:rPr>
        <w:t>da tendoni o installazioni mobili simili</w:t>
      </w:r>
    </w:p>
    <w:p w:rsidR="004F47BB" w:rsidRPr="004F47BB" w:rsidRDefault="004F47BB" w:rsidP="004F47BB">
      <w:pPr>
        <w:spacing w:line="240" w:lineRule="atLeast"/>
        <w:ind w:left="567" w:hanging="567"/>
      </w:pPr>
    </w:p>
    <w:p w:rsidR="004F47BB" w:rsidRPr="004F47BB" w:rsidRDefault="004F47BB" w:rsidP="004F47BB">
      <w:pPr>
        <w:suppressAutoHyphens/>
        <w:autoSpaceDE/>
        <w:autoSpaceDN/>
        <w:spacing w:line="240" w:lineRule="atLeast"/>
        <w:ind w:left="0" w:firstLine="0"/>
        <w:jc w:val="center"/>
        <w:rPr>
          <w:rFonts w:cs="Arial"/>
          <w:b/>
        </w:rPr>
      </w:pPr>
      <w:r>
        <w:rPr>
          <w:b/>
          <w:noProof/>
        </w:rPr>
        <w:t xml:space="preserve">(Articolo 19.02, paragrafo 5, articolo 19.03, paragrafo 5) </w:t>
      </w:r>
    </w:p>
    <w:p w:rsidR="004F47BB" w:rsidRPr="004F47BB" w:rsidRDefault="004F47BB" w:rsidP="004F47BB">
      <w:pPr>
        <w:suppressAutoHyphens/>
        <w:autoSpaceDE/>
        <w:autoSpaceDN/>
        <w:ind w:left="0" w:firstLine="0"/>
        <w:rPr>
          <w:rFonts w:cs="Arial"/>
          <w:szCs w:val="20"/>
        </w:rPr>
      </w:pPr>
    </w:p>
    <w:p w:rsidR="004F47BB" w:rsidRPr="004F47BB" w:rsidRDefault="004F47BB" w:rsidP="004F47BB">
      <w:pPr>
        <w:spacing w:line="240" w:lineRule="atLeast"/>
        <w:ind w:left="567" w:hanging="567"/>
        <w:rPr>
          <w:rFonts w:cs="Arial"/>
          <w:b/>
          <w:color w:val="000000"/>
          <w:szCs w:val="20"/>
        </w:rPr>
      </w:pPr>
      <w:r>
        <w:rPr>
          <w:b/>
          <w:color w:val="000000"/>
        </w:rPr>
        <w:t>1.</w:t>
      </w:r>
      <w:r>
        <w:tab/>
      </w:r>
      <w:r>
        <w:rPr>
          <w:b/>
          <w:noProof/>
          <w:color w:val="000000"/>
        </w:rPr>
        <w:t>Suddivisioni dei locali (articolo 19.02, paragrafo 5)</w:t>
      </w:r>
    </w:p>
    <w:p w:rsidR="004F47BB" w:rsidRPr="004F47BB" w:rsidRDefault="004F47BB" w:rsidP="004F47BB">
      <w:pPr>
        <w:suppressAutoHyphens/>
        <w:autoSpaceDE/>
        <w:autoSpaceDN/>
        <w:spacing w:line="240" w:lineRule="atLeast"/>
        <w:rPr>
          <w:rFonts w:cs="Arial"/>
          <w:szCs w:val="20"/>
        </w:rPr>
      </w:pPr>
    </w:p>
    <w:p w:rsidR="004F47BB" w:rsidRPr="004F47BB" w:rsidRDefault="004F47BB" w:rsidP="004F47BB">
      <w:pPr>
        <w:spacing w:line="240" w:lineRule="atLeast"/>
        <w:ind w:left="567" w:firstLine="0"/>
      </w:pPr>
      <w:r>
        <w:t>A norma dell'articolo 19.02, paragrafo 5, è concepibile che le suddivisioni a tenuta stagna dei locali, come cisterne a doppio fondo suddivise trasversalmente di lunghezza superiore alla lunghezza del danno da prendere in esame, non vengano incluse nella valutazione. In questo caso potrebbe non essere possibile tener conto della suddivisione trasversale se non viene estesa fino al ponte di compartimentazione. Questo potrebbe portare a suddivisioni inadeguate delle paratie.</w:t>
      </w:r>
    </w:p>
    <w:p w:rsidR="004F47BB" w:rsidRPr="004F47BB" w:rsidRDefault="004F47BB" w:rsidP="004F47BB">
      <w:pPr>
        <w:suppressAutoHyphens/>
        <w:autoSpaceDE/>
        <w:autoSpaceDN/>
        <w:spacing w:line="240" w:lineRule="atLeast"/>
        <w:ind w:left="357" w:firstLine="0"/>
        <w:rPr>
          <w:rFonts w:cs="Arial"/>
          <w:b/>
        </w:rPr>
      </w:pPr>
    </w:p>
    <w:p w:rsidR="004F47BB" w:rsidRPr="004F47BB" w:rsidRDefault="00624017" w:rsidP="004F47BB">
      <w:pPr>
        <w:suppressAutoHyphens/>
        <w:autoSpaceDE/>
        <w:autoSpaceDN/>
        <w:spacing w:line="240" w:lineRule="atLeast"/>
        <w:ind w:left="357" w:firstLine="0"/>
        <w:rPr>
          <w:rFonts w:cs="Arial"/>
          <w:b/>
        </w:rPr>
      </w:pPr>
      <w:r>
        <w:rPr>
          <w:rFonts w:cs="Arial"/>
          <w:b/>
          <w:noProof/>
        </w:rPr>
      </w:r>
      <w:r>
        <w:rPr>
          <w:rFonts w:cs="Arial"/>
          <w:b/>
          <w:noProof/>
        </w:rPr>
        <w:pict>
          <v:group id="_x0000_s1026" editas="canvas" style="width:387pt;height:162pt;mso-position-horizontal-relative:char;mso-position-vertical-relative:line" coordorigin="2198,3570" coordsize="6192,2592">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2198;top:3570;width:6192;height:2592" o:preferrelative="f">
              <v:fill o:detectmouseclick="t"/>
              <v:path o:extrusionok="t" o:connecttype="none"/>
              <o:lock v:ext="edit" text="t"/>
            </v:shape>
            <v:line id="_x0000_s1028" style="position:absolute" from="3062,5442" to="8102,5442" strokeweight="1.5pt"/>
            <v:line id="_x0000_s1029" style="position:absolute" from="3062,5154" to="8102,5154" strokeweight="1.5pt"/>
            <v:line id="_x0000_s1030" style="position:absolute;flip:y" from="3494,4002" to="3494,5442" strokeweight="1.5pt"/>
            <v:line id="_x0000_s1031" style="position:absolute;flip:y" from="7238,4002" to="7238,5442" strokeweight="1.5pt"/>
            <v:line id="_x0000_s1032" style="position:absolute" from="3062,4002" to="8102,4003" strokeweight="1.5pt"/>
            <v:line id="_x0000_s1033" style="position:absolute;flip:y" from="4790,5154" to="4790,5442" strokeweight="1.5pt"/>
            <v:line id="_x0000_s1034" style="position:absolute;flip:y" from="3494,5154" to="4790,5442">
              <v:stroke dashstyle="dash"/>
            </v:line>
            <v:line id="_x0000_s1035" style="position:absolute" from="3494,5154" to="4790,5442">
              <v:stroke dashstyle="dash"/>
            </v:line>
            <v:line id="_x0000_s1036" style="position:absolute;flip:x y" from="4790,5154" to="7238,5442">
              <v:stroke dashstyle="dash"/>
            </v:line>
            <v:line id="_x0000_s1037" style="position:absolute;flip:y" from="4790,5154" to="7238,5442">
              <v:stroke dashstyle="dash"/>
            </v:line>
            <v:line id="_x0000_s1038" style="position:absolute" from="3494,5586" to="4790,5586">
              <v:stroke startarrow="block" endarrow="block"/>
            </v:lin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9" type="#_x0000_t136" style="position:absolute;left:3782;top:5730;width:1116;height:180" fillcolor="black">
              <v:shadow color="#868686"/>
              <v:textpath style="font-family:&quot;Arial&quot;;font-size:9pt;v-text-kern:t" trim="t" fitpath="t" string="&amp;gt; lunghezza del danno"/>
            </v:shape>
            <v:line id="_x0000_s1040" style="position:absolute;flip:y" from="4790,4002" to="4790,5154" strokecolor="#969696" strokeweight="1.5pt"/>
            <v:shape id="_x0000_s1041" type="#_x0000_t136" style="position:absolute;left:4934;top:4578;width:1752;height:180" fillcolor="#969696" stroked="f" strokecolor="#969696">
              <v:shadow color="#868686"/>
              <v:textpath style="font-family:&quot;Arial&quot;;font-size:9pt;font-weight:bold;v-text-kern:t" trim="t" fitpath="t" string="previsto dall&amp;amp;apos;articolo 19.02, paragrafo 5"/>
            </v:shape>
            <v:shape id="_x0000_s1042" type="#_x0000_t136" style="position:absolute;left:5222;top:3714;width:972;height:180" fillcolor="black">
              <v:shadow color="#868686"/>
              <v:textpath style="font-family:&quot;Arial&quot;;font-size:9pt;v-text-kern:t" trim="t" fitpath="t" string="Ponte di compartimentazione"/>
            </v:shape>
            <w10:wrap type="none"/>
            <w10:anchorlock/>
          </v:group>
        </w:pict>
      </w:r>
    </w:p>
    <w:p w:rsidR="004F47BB" w:rsidRPr="004F47BB" w:rsidRDefault="004F47BB" w:rsidP="004F47BB">
      <w:pPr>
        <w:spacing w:line="240" w:lineRule="atLeast"/>
        <w:ind w:left="567" w:firstLine="0"/>
        <w:rPr>
          <w:rFonts w:cs="Arial"/>
          <w:b/>
          <w:noProof/>
          <w:color w:val="000000"/>
          <w:szCs w:val="20"/>
        </w:rPr>
      </w:pPr>
      <w:r>
        <w:rPr>
          <w:b/>
          <w:noProof/>
          <w:color w:val="000000"/>
        </w:rPr>
        <w:t>Interpretazione del requisito</w:t>
      </w:r>
    </w:p>
    <w:p w:rsidR="004F47BB" w:rsidRPr="004F47BB" w:rsidRDefault="004F47BB" w:rsidP="004F47BB">
      <w:pPr>
        <w:spacing w:line="240" w:lineRule="atLeast"/>
        <w:ind w:left="567" w:firstLine="0"/>
      </w:pPr>
    </w:p>
    <w:p w:rsidR="004F47BB" w:rsidRPr="004F47BB" w:rsidRDefault="004F47BB" w:rsidP="004F47BB">
      <w:pPr>
        <w:spacing w:line="240" w:lineRule="atLeast"/>
        <w:ind w:left="567" w:firstLine="0"/>
      </w:pPr>
      <w:r>
        <w:t>Se un compartimento a tenuta stagna all'acqua è più lungo di quanto prevede l'articolo 19.03, paragrafo 9, e contiene suddivisioni locali che formano sottocompartimenti a tenuta stagna, tra i quali può essere contenuta la lunghezza minima del danno, se ne può tener conto nel calcolo della stabilità in avaria.</w:t>
      </w:r>
    </w:p>
    <w:p w:rsidR="004F47BB" w:rsidRPr="004F47BB" w:rsidRDefault="004F47BB" w:rsidP="004F47BB">
      <w:pPr>
        <w:tabs>
          <w:tab w:val="left" w:pos="425"/>
        </w:tabs>
        <w:suppressAutoHyphens/>
        <w:autoSpaceDE/>
        <w:autoSpaceDN/>
        <w:spacing w:line="240" w:lineRule="atLeast"/>
        <w:rPr>
          <w:rFonts w:cs="Arial"/>
          <w:szCs w:val="20"/>
        </w:rPr>
      </w:pPr>
    </w:p>
    <w:p w:rsidR="004F47BB" w:rsidRPr="004F47BB" w:rsidRDefault="004F47BB" w:rsidP="004F47BB">
      <w:pPr>
        <w:spacing w:line="240" w:lineRule="atLeast"/>
        <w:ind w:left="567" w:hanging="567"/>
        <w:rPr>
          <w:rFonts w:cs="Arial"/>
          <w:b/>
          <w:color w:val="000000"/>
          <w:szCs w:val="20"/>
        </w:rPr>
      </w:pPr>
      <w:r>
        <w:rPr>
          <w:b/>
          <w:color w:val="000000"/>
        </w:rPr>
        <w:t>2.</w:t>
      </w:r>
      <w:r>
        <w:tab/>
      </w:r>
      <w:r>
        <w:rPr>
          <w:b/>
          <w:noProof/>
          <w:color w:val="000000"/>
        </w:rPr>
        <w:t>Disposizioni transitorie relative a spazi chiusi costituiti da tende o installazioni mobili simili rispetto alla stabilità (articolo 19.03, paragrafo 5)</w:t>
      </w:r>
    </w:p>
    <w:p w:rsidR="004F47BB" w:rsidRPr="004F47BB" w:rsidRDefault="004F47BB" w:rsidP="004F47BB">
      <w:pPr>
        <w:spacing w:line="240" w:lineRule="atLeast"/>
        <w:ind w:left="567" w:firstLine="0"/>
      </w:pPr>
    </w:p>
    <w:p w:rsidR="004F47BB" w:rsidRPr="004F47BB" w:rsidRDefault="004F47BB" w:rsidP="004F47BB">
      <w:pPr>
        <w:spacing w:line="240" w:lineRule="atLeast"/>
        <w:ind w:left="567" w:firstLine="0"/>
      </w:pPr>
      <w:r>
        <w:t>Gli spazi chiusi costituiti da tende o installazioni mobili simili possono provocare problemi alla stabilità della nave in quanto, se di dimensioni sufficienti per farlo, influenzano il momento di sbandamento dovuto alla pressione del vento.</w:t>
      </w:r>
    </w:p>
    <w:p w:rsidR="004F47BB" w:rsidRPr="004F47BB" w:rsidRDefault="004F47BB" w:rsidP="004F47BB">
      <w:pPr>
        <w:tabs>
          <w:tab w:val="left" w:pos="425"/>
        </w:tabs>
        <w:suppressAutoHyphens/>
        <w:autoSpaceDE/>
        <w:autoSpaceDN/>
        <w:spacing w:line="240" w:lineRule="atLeast"/>
        <w:rPr>
          <w:rFonts w:cs="Arial"/>
        </w:rPr>
      </w:pPr>
    </w:p>
    <w:p w:rsidR="004F47BB" w:rsidRPr="004F47BB" w:rsidRDefault="004F47BB" w:rsidP="004F47BB">
      <w:pPr>
        <w:tabs>
          <w:tab w:val="left" w:pos="425"/>
        </w:tabs>
        <w:suppressAutoHyphens/>
        <w:autoSpaceDE/>
        <w:autoSpaceDN/>
        <w:spacing w:line="240" w:lineRule="atLeast"/>
        <w:rPr>
          <w:rFonts w:cs="Arial"/>
        </w:rPr>
      </w:pPr>
      <w:r>
        <w:br w:type="page"/>
      </w:r>
    </w:p>
    <w:p w:rsidR="004F47BB" w:rsidRPr="004F47BB" w:rsidRDefault="004F47BB" w:rsidP="004F47BB">
      <w:pPr>
        <w:spacing w:line="240" w:lineRule="atLeast"/>
        <w:ind w:left="567" w:firstLine="0"/>
        <w:rPr>
          <w:rFonts w:cs="Arial"/>
          <w:b/>
          <w:noProof/>
          <w:color w:val="000000"/>
          <w:szCs w:val="20"/>
        </w:rPr>
      </w:pPr>
      <w:r>
        <w:rPr>
          <w:b/>
          <w:noProof/>
          <w:color w:val="000000"/>
        </w:rPr>
        <w:lastRenderedPageBreak/>
        <w:t>Interpretazione del requisito</w:t>
      </w:r>
    </w:p>
    <w:p w:rsidR="004F47BB" w:rsidRPr="004F47BB" w:rsidRDefault="004F47BB" w:rsidP="004F47BB">
      <w:pPr>
        <w:suppressAutoHyphens/>
        <w:autoSpaceDE/>
        <w:autoSpaceDN/>
        <w:spacing w:line="240" w:lineRule="atLeast"/>
        <w:ind w:left="0" w:firstLine="0"/>
        <w:rPr>
          <w:rFonts w:cs="Arial"/>
        </w:rPr>
      </w:pPr>
    </w:p>
    <w:p w:rsidR="004F47BB" w:rsidRPr="004F47BB" w:rsidRDefault="004F47BB" w:rsidP="004F47BB">
      <w:pPr>
        <w:spacing w:line="240" w:lineRule="atLeast"/>
        <w:ind w:left="567" w:firstLine="0"/>
      </w:pPr>
      <w:r>
        <w:t xml:space="preserve">Nel caso di navi passeggeri per le quali è stato rilasciato un certificato navale la prima volta anteriormente al 1° gennaio 2006 conformemente al RVIR, o per le quali viene invocato l'articolo 32.05, paragrafo 2, seconda frase, dopo l'erezione di una recinzione costituita da tendoni o installazioni mobili simili, è necessario procedere ad un nuovo calcolo di stabilità in conformità dell'articolo 19.04 della presente norma, nella misura in cui il piano laterale </w:t>
      </w:r>
      <m:oMath>
        <m:sSub>
          <m:sSubPr>
            <m:ctrlPr>
              <w:rPr>
                <w:rFonts w:ascii="Cambria Math" w:hAnsi="Cambria Math"/>
                <w:i/>
                <w:noProof/>
              </w:rPr>
            </m:ctrlPr>
          </m:sSubPr>
          <m:e>
            <m:r>
              <w:rPr>
                <w:rFonts w:ascii="Cambria Math" w:hAnsi="Cambria Math"/>
                <w:noProof/>
              </w:rPr>
              <m:t>A</m:t>
            </m:r>
          </m:e>
          <m:sub>
            <m:r>
              <w:rPr>
                <w:rFonts w:ascii="Cambria Math" w:hAnsi="Cambria Math"/>
                <w:noProof/>
              </w:rPr>
              <m:t>wz</m:t>
            </m:r>
          </m:sub>
        </m:sSub>
      </m:oMath>
      <w:r>
        <w:t xml:space="preserve"> supera il 5 % del piano laterale totale </w:t>
      </w:r>
      <m:oMath>
        <m:sSub>
          <m:sSubPr>
            <m:ctrlPr>
              <w:rPr>
                <w:rFonts w:ascii="Cambria Math" w:hAnsi="Cambria Math"/>
                <w:i/>
                <w:noProof/>
              </w:rPr>
            </m:ctrlPr>
          </m:sSubPr>
          <m:e>
            <m:r>
              <w:rPr>
                <w:rFonts w:ascii="Cambria Math" w:hAnsi="Cambria Math"/>
                <w:noProof/>
              </w:rPr>
              <m:t>A</m:t>
            </m:r>
          </m:e>
          <m:sub>
            <m:r>
              <w:rPr>
                <w:rFonts w:ascii="Cambria Math" w:hAnsi="Cambria Math"/>
                <w:noProof/>
              </w:rPr>
              <m:t>w</m:t>
            </m:r>
          </m:sub>
        </m:sSub>
      </m:oMath>
      <w:r>
        <w:t xml:space="preserve"> di cui bisogna tener conto in ogni caso.</w:t>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sectPr w:rsidR="004F47BB" w:rsidRPr="004F47BB" w:rsidSect="00D45887">
          <w:footnotePr>
            <w:numRestart w:val="eachPage"/>
          </w:footnotePr>
          <w:pgSz w:w="11907" w:h="16840" w:code="9"/>
          <w:pgMar w:top="1418" w:right="1418" w:bottom="1418" w:left="1418" w:header="680" w:footer="680" w:gutter="0"/>
          <w:cols w:space="720"/>
          <w:docGrid w:linePitch="326"/>
        </w:sectPr>
      </w:pPr>
    </w:p>
    <w:p w:rsidR="004F47BB" w:rsidRPr="004F47BB" w:rsidRDefault="004F47BB" w:rsidP="003F3DE1">
      <w:pPr>
        <w:pStyle w:val="ES-Titre2ESI"/>
      </w:pPr>
      <w:bookmarkStart w:id="765" w:name="_Toc491854365"/>
      <w:bookmarkStart w:id="766" w:name="_Toc535500314"/>
      <w:r>
        <w:lastRenderedPageBreak/>
        <w:t>ESI-III-2</w:t>
      </w:r>
      <w:r>
        <w:br/>
        <w:t>Specifiche esigenze di sicurezza delle persone a mobilità ridotta</w:t>
      </w:r>
      <w:bookmarkEnd w:id="765"/>
      <w:bookmarkEnd w:id="766"/>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center"/>
        <w:textAlignment w:val="baseline"/>
        <w:rPr>
          <w:rFonts w:cs="Arial"/>
          <w:b/>
          <w:bCs/>
          <w:snapToGrid w:val="0"/>
          <w:szCs w:val="20"/>
        </w:rPr>
      </w:pPr>
      <w:r>
        <w:rPr>
          <w:b/>
          <w:noProof/>
          <w:snapToGrid w:val="0"/>
        </w:rPr>
        <w:t>(Articolo 1.01, paragrafo 12, punto 2; articolo 19.01, paragrafo 4; articolo 19.06, paragrafi 3-5, 9, 10, 13 e 17; articolo 19.08, paragrafo 3; articolo 19.10, paragrafo 3; articolo 19.13, paragrafi 1-4)</w:t>
      </w:r>
    </w:p>
    <w:p w:rsidR="004F47BB" w:rsidRPr="004F47BB" w:rsidRDefault="004F47BB" w:rsidP="004F47BB">
      <w:pPr>
        <w:autoSpaceDE/>
        <w:autoSpaceDN/>
        <w:ind w:left="567" w:hanging="567"/>
        <w:rPr>
          <w:rFonts w:cs="Arial"/>
          <w:snapToGrid w:val="0"/>
          <w:szCs w:val="20"/>
        </w:rPr>
      </w:pPr>
    </w:p>
    <w:p w:rsidR="004F47BB" w:rsidRPr="004F47BB" w:rsidRDefault="004F47BB" w:rsidP="004F47BB">
      <w:pPr>
        <w:spacing w:line="240" w:lineRule="atLeast"/>
        <w:ind w:left="567" w:hanging="567"/>
        <w:rPr>
          <w:rFonts w:cs="Arial"/>
          <w:b/>
          <w:snapToGrid w:val="0"/>
          <w:color w:val="000000"/>
          <w:szCs w:val="20"/>
        </w:rPr>
      </w:pPr>
      <w:r>
        <w:rPr>
          <w:b/>
          <w:snapToGrid w:val="0"/>
          <w:color w:val="000000"/>
        </w:rPr>
        <w:t>1.</w:t>
      </w:r>
      <w:r>
        <w:tab/>
      </w:r>
      <w:r>
        <w:rPr>
          <w:b/>
          <w:noProof/>
          <w:snapToGrid w:val="0"/>
          <w:color w:val="000000"/>
        </w:rPr>
        <w:t>Introduzione</w:t>
      </w:r>
    </w:p>
    <w:p w:rsidR="004F47BB" w:rsidRPr="004F47BB" w:rsidRDefault="004F47BB" w:rsidP="004F47BB">
      <w:pPr>
        <w:spacing w:line="240" w:lineRule="atLeast"/>
        <w:ind w:left="567" w:hanging="567"/>
        <w:rPr>
          <w:snapToGrid w:val="0"/>
        </w:rPr>
      </w:pPr>
    </w:p>
    <w:p w:rsidR="004F47BB" w:rsidRPr="004F47BB" w:rsidRDefault="004F47BB" w:rsidP="004F47BB">
      <w:pPr>
        <w:spacing w:line="240" w:lineRule="atLeast"/>
        <w:ind w:left="567" w:firstLine="0"/>
        <w:rPr>
          <w:snapToGrid w:val="0"/>
        </w:rPr>
      </w:pPr>
      <w:r>
        <w:t>Le persone a mobilità ridotta hanno esigenze di sicurezza superiori a quelle di altri passeggeri. Queste esigenze sono prese in considerazione dai requisiti del capo 19, meglio illustrati nel prosieguo.</w:t>
      </w:r>
    </w:p>
    <w:p w:rsidR="004F47BB" w:rsidRPr="004F47BB" w:rsidRDefault="004F47BB" w:rsidP="004F47BB">
      <w:pPr>
        <w:spacing w:line="240" w:lineRule="atLeast"/>
        <w:ind w:left="567" w:firstLine="0"/>
        <w:rPr>
          <w:snapToGrid w:val="0"/>
        </w:rPr>
      </w:pPr>
    </w:p>
    <w:p w:rsidR="004F47BB" w:rsidRPr="004F47BB" w:rsidRDefault="004F47BB" w:rsidP="004F47BB">
      <w:pPr>
        <w:spacing w:line="240" w:lineRule="atLeast"/>
        <w:ind w:left="567" w:firstLine="0"/>
        <w:rPr>
          <w:snapToGrid w:val="0"/>
        </w:rPr>
      </w:pPr>
      <w:r>
        <w:t>I requisiti del capo 15 mirano a garantire che le persone a mobilità ridotta possano stare e muoversi in maniera sicura a bordo delle navi. Inoltre, in caso di emergenza, a tali persone va garantito il medesimo livello di sicurezza degli altri passeggeri.</w:t>
      </w:r>
    </w:p>
    <w:p w:rsidR="004F47BB" w:rsidRPr="004F47BB" w:rsidRDefault="004F47BB" w:rsidP="004F47BB">
      <w:pPr>
        <w:spacing w:line="240" w:lineRule="atLeast"/>
        <w:ind w:left="567" w:firstLine="0"/>
        <w:rPr>
          <w:snapToGrid w:val="0"/>
        </w:rPr>
      </w:pPr>
    </w:p>
    <w:p w:rsidR="004F47BB" w:rsidRPr="004F47BB" w:rsidRDefault="004F47BB" w:rsidP="004F47BB">
      <w:pPr>
        <w:spacing w:line="240" w:lineRule="atLeast"/>
        <w:ind w:left="567" w:firstLine="0"/>
        <w:rPr>
          <w:snapToGrid w:val="0"/>
        </w:rPr>
      </w:pPr>
      <w:r>
        <w:t xml:space="preserve">Non è necessario che tutte le zone destinate ai passeggeri rispondano alle specifiche esigenze di sicurezza delle persone a mobilità ridotta. I suddetti requisiti, pertanto, valgono unicamente per talune zone. Alle persone con mobilità ridotta deve tuttavia essere data la possibilità di prendere conoscenza delle zone predisposte per la loro sicurezza in modo da poter organizzare di conseguenza la loro permanenza a bordo. Spetta al proprietario della nave mettere a disposizione le zone corrispondenti, renderle note e segnalarle alle persone a mobilità ridotta. </w:t>
      </w:r>
    </w:p>
    <w:p w:rsidR="004F47BB" w:rsidRPr="004F47BB" w:rsidRDefault="004F47BB" w:rsidP="004F47BB">
      <w:pPr>
        <w:spacing w:line="240" w:lineRule="atLeast"/>
        <w:ind w:left="567" w:firstLine="0"/>
        <w:rPr>
          <w:snapToGrid w:val="0"/>
        </w:rPr>
      </w:pPr>
    </w:p>
    <w:p w:rsidR="004F47BB" w:rsidRPr="004F47BB" w:rsidRDefault="005A25B4" w:rsidP="004F47BB">
      <w:pPr>
        <w:spacing w:line="240" w:lineRule="atLeast"/>
        <w:ind w:left="567" w:firstLine="0"/>
        <w:rPr>
          <w:snapToGrid w:val="0"/>
        </w:rPr>
      </w:pPr>
      <w:r>
        <w:t>Le disposizioni concernenti le persone a mobilità ridotta si richiamano alla:</w:t>
      </w:r>
    </w:p>
    <w:p w:rsidR="004F47BB" w:rsidRPr="004F47BB" w:rsidRDefault="004F47BB" w:rsidP="004F47BB">
      <w:pPr>
        <w:tabs>
          <w:tab w:val="left" w:pos="992"/>
        </w:tabs>
        <w:autoSpaceDE/>
        <w:autoSpaceDN/>
        <w:spacing w:before="60" w:line="240" w:lineRule="atLeast"/>
        <w:ind w:left="992"/>
        <w:rPr>
          <w:rFonts w:cs="Arial"/>
          <w:snapToGrid w:val="0"/>
          <w:szCs w:val="20"/>
        </w:rPr>
      </w:pPr>
      <w:r>
        <w:rPr>
          <w:rFonts w:cs="Arial"/>
          <w:snapToGrid w:val="0"/>
          <w:szCs w:val="20"/>
          <w:shd w:val="clear" w:color="auto" w:fill="FFFFFF"/>
        </w:rPr>
        <w:sym w:font="Symbol" w:char="F0B7"/>
      </w:r>
      <w:r>
        <w:tab/>
        <w:t>direttiva 2009/45/CE</w:t>
      </w:r>
      <w:r>
        <w:rPr>
          <w:noProof/>
          <w:vertAlign w:val="superscript"/>
        </w:rPr>
        <w:footnoteReference w:id="83"/>
      </w:r>
      <w:r>
        <w:t>; e</w:t>
      </w:r>
    </w:p>
    <w:p w:rsidR="004F47BB" w:rsidRPr="004F47BB" w:rsidRDefault="004F47BB" w:rsidP="004F47BB">
      <w:pPr>
        <w:tabs>
          <w:tab w:val="left" w:pos="992"/>
        </w:tabs>
        <w:autoSpaceDE/>
        <w:autoSpaceDN/>
        <w:spacing w:before="60" w:line="240" w:lineRule="atLeast"/>
        <w:ind w:left="992"/>
        <w:rPr>
          <w:rFonts w:cs="Arial"/>
          <w:snapToGrid w:val="0"/>
          <w:szCs w:val="20"/>
        </w:rPr>
      </w:pPr>
      <w:r>
        <w:rPr>
          <w:rFonts w:cs="Arial"/>
          <w:snapToGrid w:val="0"/>
          <w:szCs w:val="20"/>
          <w:shd w:val="clear" w:color="auto" w:fill="FFFFFF"/>
        </w:rPr>
        <w:sym w:font="Symbol" w:char="F0B7"/>
      </w:r>
      <w:r>
        <w:tab/>
        <w:t>guida per l'adeguamento delle navi passeggeri adibite alla navigazione interna alle persone con disabilità conformemente alla risoluzione n. 69 dell'UNECE</w:t>
      </w:r>
      <w:r>
        <w:rPr>
          <w:noProof/>
          <w:vertAlign w:val="superscript"/>
        </w:rPr>
        <w:footnoteReference w:id="84"/>
      </w:r>
      <w:r>
        <w:t>.</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spacing w:line="240" w:lineRule="atLeast"/>
        <w:ind w:left="567" w:firstLine="0"/>
        <w:rPr>
          <w:bCs/>
          <w:snapToGrid w:val="0"/>
        </w:rPr>
      </w:pPr>
      <w:r>
        <w:t>La definizione dell'espressione "persone a mobilità ridotta" utilizzata nella presente norma ricalca a grandi linee quella contenuta nella direttiva e la maggior parte dei requisiti tecnici si basa sulla guida di cui sopra. Pertanto, in caso di dubbio, per prendere decisioni è possibile fare riferimento a entrambe. Nel complesso, i requisiti della direttiva e della guida vanno oltre quelli della presente norma.</w:t>
      </w:r>
    </w:p>
    <w:p w:rsidR="004F47BB" w:rsidRPr="004F47BB" w:rsidRDefault="004F47BB" w:rsidP="004F47BB">
      <w:pPr>
        <w:spacing w:line="240" w:lineRule="atLeast"/>
        <w:ind w:left="567" w:firstLine="0"/>
        <w:rPr>
          <w:bCs/>
          <w:snapToGrid w:val="0"/>
        </w:rPr>
      </w:pPr>
    </w:p>
    <w:p w:rsidR="004F47BB" w:rsidRPr="004F47BB" w:rsidRDefault="004F47BB" w:rsidP="004F47BB">
      <w:pPr>
        <w:spacing w:line="240" w:lineRule="atLeast"/>
        <w:ind w:left="567" w:firstLine="0"/>
        <w:rPr>
          <w:snapToGrid w:val="0"/>
        </w:rPr>
      </w:pPr>
      <w:r>
        <w:t>I requisiti della norma non riguardano i posti di ormeggio e installazioni simili che sono soggetti a disposizioni nazionali.</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spacing w:line="240" w:lineRule="atLeast"/>
        <w:ind w:left="567" w:hanging="567"/>
        <w:rPr>
          <w:rFonts w:cs="Arial"/>
          <w:b/>
          <w:snapToGrid w:val="0"/>
          <w:color w:val="000000"/>
          <w:szCs w:val="20"/>
        </w:rPr>
      </w:pPr>
      <w:r>
        <w:rPr>
          <w:b/>
          <w:snapToGrid w:val="0"/>
          <w:color w:val="000000"/>
        </w:rPr>
        <w:t>2.</w:t>
      </w:r>
      <w:r>
        <w:tab/>
      </w:r>
      <w:r>
        <w:rPr>
          <w:b/>
          <w:noProof/>
          <w:snapToGrid w:val="0"/>
          <w:color w:val="000000"/>
        </w:rPr>
        <w:t>Articolo 1.01, paragrafo 12, punto 2 – Definizione di "persone a mobilità ridotta"</w:t>
      </w:r>
    </w:p>
    <w:p w:rsidR="004F47BB" w:rsidRPr="004F47BB" w:rsidRDefault="004F47BB" w:rsidP="004F47BB">
      <w:pPr>
        <w:tabs>
          <w:tab w:val="left" w:pos="567"/>
        </w:tabs>
        <w:autoSpaceDE/>
        <w:autoSpaceDN/>
        <w:spacing w:line="240" w:lineRule="atLeast"/>
        <w:ind w:left="567" w:hanging="567"/>
        <w:rPr>
          <w:rFonts w:cs="Arial"/>
          <w:b/>
          <w:bCs/>
          <w:snapToGrid w:val="0"/>
          <w:szCs w:val="20"/>
        </w:rPr>
      </w:pPr>
    </w:p>
    <w:p w:rsidR="004F47BB" w:rsidRPr="004F47BB" w:rsidRDefault="004F47BB" w:rsidP="004F47BB">
      <w:pPr>
        <w:tabs>
          <w:tab w:val="left" w:pos="567"/>
        </w:tabs>
        <w:autoSpaceDE/>
        <w:autoSpaceDN/>
        <w:spacing w:line="240" w:lineRule="atLeast"/>
        <w:ind w:left="567" w:hanging="567"/>
        <w:rPr>
          <w:rFonts w:cs="Arial"/>
          <w:snapToGrid w:val="0"/>
          <w:szCs w:val="20"/>
        </w:rPr>
      </w:pPr>
      <w:r>
        <w:tab/>
        <w:t xml:space="preserve">Per </w:t>
      </w:r>
      <w:r w:rsidR="00BF7908">
        <w:t>"</w:t>
      </w:r>
      <w:r>
        <w:t>persone a mobilità ridotta</w:t>
      </w:r>
      <w:r w:rsidR="00BF7908">
        <w:t>"</w:t>
      </w:r>
      <w:r>
        <w:t xml:space="preserve"> si intende chiunque, a causa di menomazioni fisiche, non sia in grado di muoversi o distinguere l'ambiente circostante come gli altri passeggeri. Tale definizione comprende persone con menomazioni della vista e dell'udito, nonché persone che accompagnano bambini in passeggini o persone trasportate. Tuttavia, ai fini delle presenti disposizioni, le persone a mobilità ridotta non comprendono soggetti affetti da disturbi psichici.</w:t>
      </w:r>
    </w:p>
    <w:p w:rsidR="004F47BB" w:rsidRPr="004F47BB" w:rsidRDefault="004F47BB" w:rsidP="004F47BB">
      <w:pPr>
        <w:tabs>
          <w:tab w:val="left" w:pos="567"/>
        </w:tabs>
        <w:autoSpaceDE/>
        <w:autoSpaceDN/>
        <w:spacing w:line="240" w:lineRule="atLeast"/>
        <w:ind w:left="567" w:hanging="567"/>
        <w:rPr>
          <w:rFonts w:cs="Arial"/>
          <w:b/>
          <w:bCs/>
          <w:snapToGrid w:val="0"/>
          <w:szCs w:val="20"/>
        </w:rPr>
      </w:pPr>
      <w:r>
        <w:br w:type="page"/>
      </w:r>
    </w:p>
    <w:p w:rsidR="004F47BB" w:rsidRPr="004F47BB" w:rsidRDefault="004F47BB" w:rsidP="004F47BB">
      <w:pPr>
        <w:spacing w:line="240" w:lineRule="atLeast"/>
        <w:ind w:left="567" w:hanging="567"/>
        <w:rPr>
          <w:rFonts w:cs="Arial"/>
          <w:b/>
          <w:snapToGrid w:val="0"/>
          <w:color w:val="000000"/>
          <w:szCs w:val="20"/>
        </w:rPr>
      </w:pPr>
      <w:r>
        <w:rPr>
          <w:b/>
          <w:snapToGrid w:val="0"/>
          <w:color w:val="000000"/>
        </w:rPr>
        <w:lastRenderedPageBreak/>
        <w:t>3.</w:t>
      </w:r>
      <w:r>
        <w:tab/>
      </w:r>
      <w:r>
        <w:rPr>
          <w:b/>
          <w:snapToGrid w:val="0"/>
          <w:color w:val="000000"/>
        </w:rPr>
        <w:t xml:space="preserve">Articolo 19.15, paragrafo 4 — Zone destinate all'uso da parte di persone a mobilità ridotta </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spacing w:line="240" w:lineRule="atLeast"/>
        <w:ind w:left="567" w:firstLine="0"/>
        <w:rPr>
          <w:snapToGrid w:val="0"/>
        </w:rPr>
      </w:pPr>
      <w:r>
        <w:t>Le zone destinate all'uso da parte di persone a mobilità ridotta vanno, nel caso più semplice, dalla zona di ingresso ai luoghi da quali avviene un'evacuazione in caso di emergenza. Esse devono includere:</w:t>
      </w:r>
    </w:p>
    <w:p w:rsidR="004F47BB" w:rsidRPr="004F47BB" w:rsidRDefault="004F47BB" w:rsidP="004F47BB">
      <w:pPr>
        <w:tabs>
          <w:tab w:val="left" w:pos="992"/>
        </w:tabs>
        <w:autoSpaceDE/>
        <w:autoSpaceDN/>
        <w:spacing w:before="60" w:line="240" w:lineRule="atLeast"/>
        <w:ind w:left="992"/>
        <w:rPr>
          <w:rFonts w:cs="Arial"/>
          <w:snapToGrid w:val="0"/>
          <w:szCs w:val="20"/>
        </w:rPr>
      </w:pPr>
      <w:r>
        <w:rPr>
          <w:rFonts w:cs="Arial"/>
          <w:snapToGrid w:val="0"/>
          <w:szCs w:val="20"/>
          <w:shd w:val="clear" w:color="auto" w:fill="FFFFFF"/>
        </w:rPr>
        <w:sym w:font="Symbol" w:char="F0B7"/>
      </w:r>
      <w:r>
        <w:tab/>
        <w:t>un luogo dove sono sistemati o vengono consegnati i mezzi di salvataggio in caso di emergenza;</w:t>
      </w:r>
    </w:p>
    <w:p w:rsidR="004F47BB" w:rsidRPr="004F47BB" w:rsidRDefault="004F47BB" w:rsidP="004F47BB">
      <w:pPr>
        <w:tabs>
          <w:tab w:val="left" w:pos="992"/>
        </w:tabs>
        <w:autoSpaceDE/>
        <w:autoSpaceDN/>
        <w:spacing w:before="60" w:line="240" w:lineRule="atLeast"/>
        <w:ind w:left="992"/>
        <w:rPr>
          <w:rFonts w:cs="Arial"/>
          <w:snapToGrid w:val="0"/>
          <w:szCs w:val="20"/>
        </w:rPr>
      </w:pPr>
      <w:r>
        <w:rPr>
          <w:rFonts w:cs="Arial"/>
          <w:snapToGrid w:val="0"/>
          <w:szCs w:val="20"/>
          <w:shd w:val="clear" w:color="auto" w:fill="FFFFFF"/>
        </w:rPr>
        <w:sym w:font="Symbol" w:char="F0B7"/>
      </w:r>
      <w:r>
        <w:tab/>
        <w:t>posti a sedere;</w:t>
      </w:r>
    </w:p>
    <w:p w:rsidR="004F47BB" w:rsidRPr="004F47BB" w:rsidRDefault="004F47BB" w:rsidP="004F47BB">
      <w:pPr>
        <w:tabs>
          <w:tab w:val="left" w:pos="992"/>
        </w:tabs>
        <w:autoSpaceDE/>
        <w:autoSpaceDN/>
        <w:spacing w:before="60" w:line="240" w:lineRule="atLeast"/>
        <w:ind w:left="992"/>
        <w:rPr>
          <w:rFonts w:cs="Arial"/>
          <w:snapToGrid w:val="0"/>
          <w:szCs w:val="20"/>
        </w:rPr>
      </w:pPr>
      <w:r>
        <w:rPr>
          <w:rFonts w:cs="Arial"/>
          <w:snapToGrid w:val="0"/>
          <w:szCs w:val="20"/>
          <w:shd w:val="clear" w:color="auto" w:fill="FFFFFF"/>
        </w:rPr>
        <w:sym w:font="Symbol" w:char="F0B7"/>
      </w:r>
      <w:r>
        <w:tab/>
        <w:t>un servizio igienico opportunamente adeguato (cfr. punto 10 della presente istruzione); e</w:t>
      </w:r>
    </w:p>
    <w:p w:rsidR="004F47BB" w:rsidRPr="004F47BB" w:rsidRDefault="004F47BB" w:rsidP="004F47BB">
      <w:pPr>
        <w:tabs>
          <w:tab w:val="left" w:pos="992"/>
        </w:tabs>
        <w:autoSpaceDE/>
        <w:autoSpaceDN/>
        <w:spacing w:before="60" w:line="240" w:lineRule="atLeast"/>
        <w:ind w:left="992"/>
        <w:rPr>
          <w:rFonts w:cs="Arial"/>
          <w:snapToGrid w:val="0"/>
          <w:szCs w:val="20"/>
        </w:rPr>
      </w:pPr>
      <w:r>
        <w:rPr>
          <w:rFonts w:cs="Arial"/>
          <w:snapToGrid w:val="0"/>
          <w:szCs w:val="20"/>
          <w:shd w:val="clear" w:color="auto" w:fill="FFFFFF"/>
        </w:rPr>
        <w:sym w:font="Symbol" w:char="F0B7"/>
      </w:r>
      <w:r>
        <w:tab/>
        <w:t>corridoi di collegamento.</w:t>
      </w:r>
    </w:p>
    <w:p w:rsidR="004F47BB" w:rsidRPr="004F47BB" w:rsidRDefault="004F47BB" w:rsidP="004F47BB">
      <w:pPr>
        <w:tabs>
          <w:tab w:val="left" w:pos="425"/>
        </w:tabs>
        <w:autoSpaceDE/>
        <w:autoSpaceDN/>
        <w:spacing w:line="240" w:lineRule="atLeast"/>
        <w:rPr>
          <w:rFonts w:cs="Arial"/>
          <w:snapToGrid w:val="0"/>
          <w:szCs w:val="20"/>
        </w:rPr>
      </w:pPr>
    </w:p>
    <w:p w:rsidR="004F47BB" w:rsidRPr="004F47BB" w:rsidRDefault="004F47BB" w:rsidP="004F47BB">
      <w:pPr>
        <w:spacing w:line="240" w:lineRule="atLeast"/>
        <w:ind w:left="567" w:firstLine="0"/>
        <w:rPr>
          <w:snapToGrid w:val="0"/>
        </w:rPr>
      </w:pPr>
      <w:r>
        <w:t>Il numero di posti a sedere deve grossomodo corrispondere al numero di persone a mobilità ridotta che, per un lungo periodo, risultano contemporaneamente a bordo con maggiore frequenza. Il numero deve essere calcolato dal proprietario della nave in base all'esperienza, in quanto tale elemento esula dalle conoscenze dell'autorità competente.</w:t>
      </w:r>
    </w:p>
    <w:p w:rsidR="004F47BB" w:rsidRPr="004F47BB" w:rsidRDefault="004F47BB" w:rsidP="004F47BB">
      <w:pPr>
        <w:spacing w:line="240" w:lineRule="atLeast"/>
        <w:ind w:left="567" w:firstLine="0"/>
        <w:rPr>
          <w:snapToGrid w:val="0"/>
        </w:rPr>
      </w:pPr>
    </w:p>
    <w:p w:rsidR="004F47BB" w:rsidRPr="004F47BB" w:rsidRDefault="004F47BB" w:rsidP="004F47BB">
      <w:pPr>
        <w:spacing w:line="240" w:lineRule="atLeast"/>
        <w:ind w:left="567" w:firstLine="0"/>
        <w:rPr>
          <w:snapToGrid w:val="0"/>
        </w:rPr>
      </w:pPr>
      <w:r>
        <w:t>Sulle navi con cabine occorre anche prestare attenzione ai corridoi che collegano le cabine utilizzate da persone a mobilità ridotta. Spetta al proprietario stabilire il numero delle cabine come pure il numero di posti a sedere. Eccettuata la larghezza delle porte, la configurazione delle cabine non è soggetta a prescrizioni particolari. Spetta al proprietario adottare le ulteriori soluzioni eventualmente necessarie.</w:t>
      </w:r>
    </w:p>
    <w:p w:rsidR="004F47BB" w:rsidRPr="004F47BB" w:rsidRDefault="004F47BB" w:rsidP="004F47BB">
      <w:pPr>
        <w:spacing w:line="240" w:lineRule="atLeast"/>
        <w:ind w:left="567" w:firstLine="0"/>
        <w:rPr>
          <w:snapToGrid w:val="0"/>
        </w:rPr>
      </w:pPr>
    </w:p>
    <w:p w:rsidR="004F47BB" w:rsidRPr="004F47BB" w:rsidRDefault="004F47BB" w:rsidP="004F47BB">
      <w:pPr>
        <w:tabs>
          <w:tab w:val="left" w:pos="567"/>
        </w:tabs>
        <w:autoSpaceDE/>
        <w:autoSpaceDN/>
        <w:spacing w:line="240" w:lineRule="atLeast"/>
        <w:ind w:left="567" w:hanging="567"/>
        <w:rPr>
          <w:rFonts w:cs="Arial"/>
          <w:b/>
          <w:bCs/>
          <w:snapToGrid w:val="0"/>
          <w:szCs w:val="20"/>
        </w:rPr>
      </w:pPr>
    </w:p>
    <w:p w:rsidR="004F47BB" w:rsidRPr="004F47BB" w:rsidRDefault="004F47BB" w:rsidP="004F47BB">
      <w:pPr>
        <w:spacing w:line="240" w:lineRule="atLeast"/>
        <w:ind w:left="567" w:hanging="567"/>
        <w:rPr>
          <w:rFonts w:cs="Arial"/>
          <w:b/>
          <w:snapToGrid w:val="0"/>
          <w:color w:val="000000"/>
          <w:szCs w:val="20"/>
        </w:rPr>
      </w:pPr>
      <w:r>
        <w:rPr>
          <w:b/>
          <w:snapToGrid w:val="0"/>
          <w:color w:val="000000"/>
        </w:rPr>
        <w:t>4.</w:t>
      </w:r>
      <w:r>
        <w:tab/>
      </w:r>
      <w:r>
        <w:rPr>
          <w:b/>
          <w:noProof/>
          <w:snapToGrid w:val="0"/>
          <w:color w:val="000000"/>
        </w:rPr>
        <w:t>Articolo 19.06, paragrafo 3, lettera g) — Uscite dei locali</w:t>
      </w:r>
    </w:p>
    <w:p w:rsidR="004F47BB" w:rsidRPr="004F47BB" w:rsidRDefault="004F47BB" w:rsidP="004F47BB">
      <w:pPr>
        <w:tabs>
          <w:tab w:val="left" w:pos="567"/>
        </w:tabs>
        <w:autoSpaceDE/>
        <w:autoSpaceDN/>
        <w:spacing w:line="240" w:lineRule="atLeast"/>
        <w:ind w:left="567" w:hanging="567"/>
        <w:rPr>
          <w:rFonts w:cs="Arial"/>
          <w:b/>
          <w:bCs/>
          <w:snapToGrid w:val="0"/>
          <w:szCs w:val="20"/>
        </w:rPr>
      </w:pPr>
    </w:p>
    <w:p w:rsidR="004F47BB" w:rsidRPr="004F47BB" w:rsidRDefault="004F47BB" w:rsidP="004F47BB">
      <w:pPr>
        <w:spacing w:line="240" w:lineRule="atLeast"/>
        <w:ind w:left="567" w:firstLine="0"/>
        <w:rPr>
          <w:snapToGrid w:val="0"/>
        </w:rPr>
      </w:pPr>
      <w:r>
        <w:t>Per quanto concerne i requisiti relativi alla larghezza di corridoi di collegamento, uscite e aperture in impavesate o parapetti destinati all'uso di persone a mobilità ridotta o generalmente usati per l'imbarco o lo sbarco di persone a mobilità ridotta, occorre tenere presenti i passeggini e il fatto che tali persone possono dipendere da vari tipi di sedie a rotelle o ausili per la deambulazione. In caso di uscite o aperture per l'imbarco e lo sbarco è anche necessario considerare lo spazio supplementare necessario per l'eventuale personale incaricato di assistere tali persone.</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spacing w:line="240" w:lineRule="atLeast"/>
        <w:ind w:left="567" w:hanging="567"/>
        <w:rPr>
          <w:rFonts w:cs="Arial"/>
          <w:b/>
          <w:snapToGrid w:val="0"/>
          <w:color w:val="000000"/>
          <w:szCs w:val="20"/>
        </w:rPr>
      </w:pPr>
      <w:r>
        <w:rPr>
          <w:b/>
          <w:snapToGrid w:val="0"/>
          <w:color w:val="000000"/>
        </w:rPr>
        <w:t>5.</w:t>
      </w:r>
      <w:r>
        <w:tab/>
      </w:r>
      <w:r>
        <w:rPr>
          <w:b/>
          <w:noProof/>
          <w:snapToGrid w:val="0"/>
          <w:color w:val="000000"/>
        </w:rPr>
        <w:t>Articolo 19.06, paragrafo 4, lettera d) — Porte</w:t>
      </w:r>
    </w:p>
    <w:p w:rsidR="004F47BB" w:rsidRPr="004F47BB" w:rsidRDefault="004F47BB" w:rsidP="004F47BB">
      <w:pPr>
        <w:tabs>
          <w:tab w:val="left" w:pos="567"/>
        </w:tabs>
        <w:autoSpaceDE/>
        <w:autoSpaceDN/>
        <w:spacing w:line="240" w:lineRule="atLeast"/>
        <w:ind w:left="567" w:hanging="567"/>
        <w:rPr>
          <w:rFonts w:cs="Arial"/>
          <w:b/>
          <w:bCs/>
          <w:snapToGrid w:val="0"/>
          <w:szCs w:val="20"/>
        </w:rPr>
      </w:pPr>
    </w:p>
    <w:p w:rsidR="004F47BB" w:rsidRPr="004F47BB" w:rsidRDefault="004F47BB" w:rsidP="004F47BB">
      <w:pPr>
        <w:spacing w:line="240" w:lineRule="atLeast"/>
        <w:ind w:left="567" w:firstLine="0"/>
        <w:rPr>
          <w:snapToGrid w:val="0"/>
        </w:rPr>
      </w:pPr>
      <w:r>
        <w:t>I requisiti concernenti la configurazione della zona circostante le porte destinate all'uso da parte di persone a mobilità ridotta sono intesi a garantire che le persone dipendenti, ad esempio, da ausili per la deambulazione possano aprire tali porte in maniera sicura.</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spacing w:line="240" w:lineRule="atLeast"/>
        <w:ind w:left="567" w:hanging="567"/>
        <w:rPr>
          <w:rFonts w:cs="Arial"/>
          <w:b/>
          <w:snapToGrid w:val="0"/>
          <w:color w:val="000000"/>
          <w:szCs w:val="20"/>
        </w:rPr>
      </w:pPr>
      <w:r>
        <w:rPr>
          <w:b/>
          <w:snapToGrid w:val="0"/>
          <w:color w:val="000000"/>
        </w:rPr>
        <w:t>6.</w:t>
      </w:r>
      <w:r>
        <w:tab/>
      </w:r>
      <w:r>
        <w:rPr>
          <w:b/>
          <w:noProof/>
          <w:snapToGrid w:val="0"/>
          <w:color w:val="000000"/>
        </w:rPr>
        <w:t>Articolo 19.06, paragrafo 5, lettera c) — Corridoi di collegamento</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spacing w:line="240" w:lineRule="atLeast"/>
        <w:ind w:left="567" w:firstLine="0"/>
        <w:rPr>
          <w:snapToGrid w:val="0"/>
        </w:rPr>
      </w:pPr>
      <w:r>
        <w:t>Consultare il punto 4 della presente istruzione.</w:t>
      </w:r>
    </w:p>
    <w:p w:rsidR="004F47BB" w:rsidRPr="004F47BB" w:rsidRDefault="004F47BB" w:rsidP="004F47BB">
      <w:pPr>
        <w:tabs>
          <w:tab w:val="left" w:pos="567"/>
        </w:tabs>
        <w:autoSpaceDE/>
        <w:autoSpaceDN/>
        <w:spacing w:line="240" w:lineRule="atLeast"/>
        <w:ind w:left="567" w:hanging="567"/>
        <w:rPr>
          <w:rFonts w:cs="Arial"/>
          <w:b/>
          <w:bCs/>
          <w:snapToGrid w:val="0"/>
          <w:szCs w:val="20"/>
        </w:rPr>
      </w:pPr>
    </w:p>
    <w:p w:rsidR="004F47BB" w:rsidRPr="004F47BB" w:rsidRDefault="004F47BB" w:rsidP="004F47BB">
      <w:pPr>
        <w:spacing w:line="240" w:lineRule="atLeast"/>
        <w:ind w:left="567" w:hanging="567"/>
        <w:rPr>
          <w:rFonts w:cs="Arial"/>
          <w:b/>
          <w:snapToGrid w:val="0"/>
          <w:color w:val="000000"/>
          <w:szCs w:val="20"/>
        </w:rPr>
      </w:pPr>
      <w:r>
        <w:rPr>
          <w:b/>
          <w:snapToGrid w:val="0"/>
          <w:color w:val="000000"/>
        </w:rPr>
        <w:t>7.</w:t>
      </w:r>
      <w:r>
        <w:tab/>
      </w:r>
      <w:r>
        <w:rPr>
          <w:b/>
          <w:noProof/>
          <w:snapToGrid w:val="0"/>
          <w:color w:val="000000"/>
        </w:rPr>
        <w:t>Articolo 19.06, paragrafo 9 — Scale e ascensori</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spacing w:line="240" w:lineRule="atLeast"/>
        <w:ind w:left="567" w:firstLine="0"/>
        <w:rPr>
          <w:snapToGrid w:val="0"/>
        </w:rPr>
      </w:pPr>
      <w:r>
        <w:t>I requisiti concernenti la configurazione delle scale devono, oltre alla possibile mobilità ridotta, tenere conto anche delle menomazioni della vista.</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tabs>
          <w:tab w:val="left" w:pos="567"/>
        </w:tabs>
        <w:autoSpaceDE/>
        <w:autoSpaceDN/>
        <w:spacing w:line="240" w:lineRule="atLeast"/>
        <w:ind w:left="567" w:hanging="567"/>
        <w:rPr>
          <w:rFonts w:cs="Arial"/>
          <w:snapToGrid w:val="0"/>
          <w:szCs w:val="20"/>
        </w:rPr>
      </w:pPr>
      <w:r>
        <w:br w:type="page"/>
      </w:r>
    </w:p>
    <w:p w:rsidR="004F47BB" w:rsidRPr="004F47BB" w:rsidRDefault="004F47BB" w:rsidP="004F47BB">
      <w:pPr>
        <w:tabs>
          <w:tab w:val="left" w:pos="567"/>
        </w:tabs>
        <w:autoSpaceDE/>
        <w:autoSpaceDN/>
        <w:spacing w:line="240" w:lineRule="atLeast"/>
        <w:ind w:left="567" w:hanging="567"/>
        <w:rPr>
          <w:rFonts w:cs="Arial"/>
          <w:b/>
          <w:bCs/>
          <w:snapToGrid w:val="0"/>
          <w:szCs w:val="20"/>
        </w:rPr>
      </w:pPr>
      <w:r>
        <w:rPr>
          <w:b/>
          <w:snapToGrid w:val="0"/>
        </w:rPr>
        <w:lastRenderedPageBreak/>
        <w:t>8.</w:t>
      </w:r>
      <w:r>
        <w:tab/>
      </w:r>
      <w:r>
        <w:rPr>
          <w:b/>
          <w:noProof/>
          <w:snapToGrid w:val="0"/>
        </w:rPr>
        <w:t>Articolo 19.06, paragrafo 10, lettere a) e b) — Impavesate e parapetti</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spacing w:line="240" w:lineRule="atLeast"/>
        <w:ind w:left="567" w:firstLine="0"/>
        <w:rPr>
          <w:snapToGrid w:val="0"/>
        </w:rPr>
      </w:pPr>
      <w:r>
        <w:t>I requisiti relativi a impavesate e parapetti di ponti destinati all'uso da parte di persone a mobilità ridotta devono prevedere un'altezza maggiore in quanto è più probabile che tali persone possano perdere l'equilibrio o non essere in grado di reggersi autonomamente.</w:t>
      </w:r>
    </w:p>
    <w:p w:rsidR="004F47BB" w:rsidRPr="004F47BB" w:rsidRDefault="004F47BB" w:rsidP="004F47BB">
      <w:pPr>
        <w:spacing w:line="240" w:lineRule="atLeast"/>
        <w:ind w:left="567" w:firstLine="0"/>
        <w:rPr>
          <w:snapToGrid w:val="0"/>
        </w:rPr>
      </w:pPr>
    </w:p>
    <w:p w:rsidR="004F47BB" w:rsidRPr="004F47BB" w:rsidRDefault="004F47BB" w:rsidP="004F47BB">
      <w:pPr>
        <w:spacing w:line="240" w:lineRule="atLeast"/>
        <w:ind w:left="567" w:firstLine="0"/>
        <w:rPr>
          <w:snapToGrid w:val="0"/>
        </w:rPr>
      </w:pPr>
      <w:r>
        <w:t>Consultare anche il punto 4 della presente istruzione.</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tabs>
          <w:tab w:val="left" w:pos="567"/>
        </w:tabs>
        <w:autoSpaceDE/>
        <w:autoSpaceDN/>
        <w:spacing w:line="240" w:lineRule="atLeast"/>
        <w:ind w:left="567" w:hanging="567"/>
        <w:rPr>
          <w:rFonts w:cs="Arial"/>
          <w:b/>
          <w:bCs/>
          <w:snapToGrid w:val="0"/>
          <w:szCs w:val="20"/>
        </w:rPr>
      </w:pPr>
      <w:r>
        <w:rPr>
          <w:b/>
          <w:snapToGrid w:val="0"/>
        </w:rPr>
        <w:t>9.</w:t>
      </w:r>
      <w:r>
        <w:tab/>
      </w:r>
      <w:r>
        <w:rPr>
          <w:b/>
          <w:noProof/>
          <w:snapToGrid w:val="0"/>
        </w:rPr>
        <w:t>Articolo 19.06(13) — Zone di passaggio</w:t>
      </w:r>
    </w:p>
    <w:p w:rsidR="004F47BB" w:rsidRPr="004F47BB" w:rsidRDefault="004F47BB" w:rsidP="004F47BB">
      <w:pPr>
        <w:tabs>
          <w:tab w:val="left" w:pos="567"/>
        </w:tabs>
        <w:autoSpaceDE/>
        <w:autoSpaceDN/>
        <w:spacing w:line="240" w:lineRule="atLeast"/>
        <w:ind w:left="567" w:hanging="567"/>
        <w:rPr>
          <w:rFonts w:cs="Arial"/>
          <w:b/>
          <w:bCs/>
          <w:snapToGrid w:val="0"/>
          <w:szCs w:val="20"/>
        </w:rPr>
      </w:pPr>
    </w:p>
    <w:p w:rsidR="004F47BB" w:rsidRPr="004F47BB" w:rsidRDefault="004F47BB" w:rsidP="004F47BB">
      <w:pPr>
        <w:spacing w:line="240" w:lineRule="atLeast"/>
        <w:ind w:left="567" w:firstLine="0"/>
        <w:rPr>
          <w:snapToGrid w:val="0"/>
        </w:rPr>
      </w:pPr>
      <w:r>
        <w:t>Per vari motivi, le persone a mobilità ridotta devono appoggiarsi o reggersi più di frequente, ragion per cui nelle zone di passaggio destinate all'uso da parte di persone a mobilità ridotta le pareti devono essere provviste di corrimano a un'altezza appropriata.</w:t>
      </w:r>
    </w:p>
    <w:p w:rsidR="004F47BB" w:rsidRPr="004F47BB" w:rsidRDefault="004F47BB" w:rsidP="004F47BB">
      <w:pPr>
        <w:spacing w:line="240" w:lineRule="atLeast"/>
        <w:ind w:left="567" w:firstLine="0"/>
        <w:rPr>
          <w:snapToGrid w:val="0"/>
        </w:rPr>
      </w:pPr>
    </w:p>
    <w:p w:rsidR="004F47BB" w:rsidRPr="004F47BB" w:rsidRDefault="004F47BB" w:rsidP="004F47BB">
      <w:pPr>
        <w:spacing w:line="240" w:lineRule="atLeast"/>
        <w:ind w:left="567" w:firstLine="0"/>
        <w:rPr>
          <w:snapToGrid w:val="0"/>
        </w:rPr>
      </w:pPr>
      <w:r>
        <w:t>Consultare anche il punto 4 della presente istruzione.</w:t>
      </w:r>
    </w:p>
    <w:p w:rsidR="004F47BB" w:rsidRPr="004F47BB" w:rsidRDefault="004F47BB" w:rsidP="004F47BB">
      <w:pPr>
        <w:spacing w:line="240" w:lineRule="atLeast"/>
        <w:ind w:left="567" w:firstLine="0"/>
        <w:rPr>
          <w:snapToGrid w:val="0"/>
        </w:rPr>
      </w:pPr>
    </w:p>
    <w:p w:rsidR="004F47BB" w:rsidRPr="004F47BB" w:rsidRDefault="004F47BB" w:rsidP="004F47BB">
      <w:pPr>
        <w:tabs>
          <w:tab w:val="left" w:pos="567"/>
        </w:tabs>
        <w:autoSpaceDE/>
        <w:autoSpaceDN/>
        <w:spacing w:line="240" w:lineRule="atLeast"/>
        <w:ind w:left="567" w:hanging="567"/>
        <w:rPr>
          <w:rFonts w:cs="Arial"/>
          <w:b/>
          <w:bCs/>
          <w:snapToGrid w:val="0"/>
          <w:szCs w:val="20"/>
        </w:rPr>
      </w:pPr>
      <w:r>
        <w:rPr>
          <w:b/>
          <w:snapToGrid w:val="0"/>
        </w:rPr>
        <w:t>10.</w:t>
      </w:r>
      <w:r>
        <w:tab/>
      </w:r>
      <w:r>
        <w:rPr>
          <w:b/>
          <w:noProof/>
          <w:snapToGrid w:val="0"/>
        </w:rPr>
        <w:t>Articolo 19.06, paragrafo 17 — Servizi igienici</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spacing w:line="240" w:lineRule="atLeast"/>
        <w:ind w:left="567" w:firstLine="0"/>
        <w:rPr>
          <w:snapToGrid w:val="0"/>
        </w:rPr>
      </w:pPr>
      <w:r>
        <w:t>Le persone a mobilità ridotta devono anche essere in grado di stare e muoversi con sicurezza nei servizi igienici. Pertanto, almeno un servizio igienico deve essere adeguato di conseguenza.</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tabs>
          <w:tab w:val="left" w:pos="567"/>
        </w:tabs>
        <w:autoSpaceDE/>
        <w:autoSpaceDN/>
        <w:spacing w:line="240" w:lineRule="atLeast"/>
        <w:ind w:left="567" w:hanging="567"/>
        <w:rPr>
          <w:rFonts w:cs="Arial"/>
          <w:b/>
          <w:bCs/>
          <w:snapToGrid w:val="0"/>
          <w:szCs w:val="20"/>
        </w:rPr>
      </w:pPr>
      <w:r>
        <w:rPr>
          <w:b/>
          <w:snapToGrid w:val="0"/>
        </w:rPr>
        <w:t>11.</w:t>
      </w:r>
      <w:r>
        <w:tab/>
      </w:r>
      <w:r>
        <w:rPr>
          <w:b/>
          <w:noProof/>
          <w:snapToGrid w:val="0"/>
        </w:rPr>
        <w:t>Articolo 19.08, paragrafo 3, lettere a) e b) — Sistema di allarme</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spacing w:line="240" w:lineRule="atLeast"/>
        <w:ind w:left="567" w:firstLine="0"/>
        <w:rPr>
          <w:snapToGrid w:val="0"/>
        </w:rPr>
      </w:pPr>
      <w:r>
        <w:t>Vi sono maggiori probabilità che le persone a mobilità ridotta si trovino in situazioni in cui dipendono dall'aiuto di altri. Nei locali in cui, di norma, non possono essere viste da membri dell'equipaggio, personale di bordo o passeggeri, è necessario prevedere la possibilità di fare scattare un allarme. Ciò vale per i servizi igienici destinati all'uso da parte di persone a mobilità ridotta.</w:t>
      </w:r>
    </w:p>
    <w:p w:rsidR="004F47BB" w:rsidRPr="004F47BB" w:rsidRDefault="004F47BB" w:rsidP="004F47BB">
      <w:pPr>
        <w:spacing w:line="240" w:lineRule="atLeast"/>
        <w:ind w:left="567" w:firstLine="0"/>
        <w:rPr>
          <w:snapToGrid w:val="0"/>
        </w:rPr>
      </w:pPr>
    </w:p>
    <w:p w:rsidR="004F47BB" w:rsidRPr="004F47BB" w:rsidRDefault="004F47BB" w:rsidP="004F47BB">
      <w:pPr>
        <w:spacing w:line="240" w:lineRule="atLeast"/>
        <w:ind w:left="567" w:firstLine="0"/>
        <w:rPr>
          <w:snapToGrid w:val="0"/>
        </w:rPr>
      </w:pPr>
      <w:r>
        <w:t xml:space="preserve">Le persone a mobilità ridotta comprendono le persone con menomazioni della vista o dell'udito. Di conseguenza, perlomeno nelle zone destinate ad essere utilizzate da persone a mobilità ridotta, il sistema di allarme dei passeggeri deve prevedere idonei allarmi visivi e acustici. </w:t>
      </w:r>
    </w:p>
    <w:p w:rsidR="004F47BB" w:rsidRPr="004F47BB" w:rsidRDefault="004F47BB" w:rsidP="004F47BB">
      <w:pPr>
        <w:tabs>
          <w:tab w:val="left" w:pos="567"/>
        </w:tabs>
        <w:autoSpaceDE/>
        <w:autoSpaceDN/>
        <w:spacing w:line="240" w:lineRule="atLeast"/>
        <w:ind w:left="567" w:hanging="567"/>
        <w:rPr>
          <w:rFonts w:cs="Arial"/>
          <w:b/>
          <w:bCs/>
          <w:snapToGrid w:val="0"/>
          <w:szCs w:val="20"/>
        </w:rPr>
      </w:pPr>
    </w:p>
    <w:p w:rsidR="004F47BB" w:rsidRPr="004F47BB" w:rsidRDefault="004F47BB" w:rsidP="004F47BB">
      <w:pPr>
        <w:tabs>
          <w:tab w:val="left" w:pos="567"/>
        </w:tabs>
        <w:autoSpaceDE/>
        <w:autoSpaceDN/>
        <w:spacing w:line="240" w:lineRule="atLeast"/>
        <w:ind w:left="567" w:hanging="567"/>
        <w:rPr>
          <w:rFonts w:cs="Arial"/>
          <w:snapToGrid w:val="0"/>
          <w:szCs w:val="20"/>
        </w:rPr>
      </w:pPr>
      <w:r>
        <w:rPr>
          <w:b/>
          <w:snapToGrid w:val="0"/>
        </w:rPr>
        <w:t>12.</w:t>
      </w:r>
      <w:r>
        <w:tab/>
      </w:r>
      <w:r>
        <w:rPr>
          <w:b/>
          <w:noProof/>
          <w:snapToGrid w:val="0"/>
        </w:rPr>
        <w:t>Articolo 19.10, paragrafo 3, lettera d) — Illuminazione sufficiente</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spacing w:line="240" w:lineRule="atLeast"/>
        <w:ind w:left="567" w:firstLine="0"/>
        <w:rPr>
          <w:snapToGrid w:val="0"/>
        </w:rPr>
      </w:pPr>
      <w:r>
        <w:t>Le persone a mobilità ridotta comprendono anche le persone con menomazioni visive. Nelle zone destinate ad essere utilizzate da persone a mobilità ridotta è dunque essenziale un'illuminazione sufficiente, che deve soddisfare requisiti superiori rispetto all'illuminazione delle altre zone destinate ai passeggeri.</w:t>
      </w:r>
    </w:p>
    <w:p w:rsidR="004F47BB" w:rsidRPr="004F47BB" w:rsidRDefault="004F47BB" w:rsidP="004F47BB">
      <w:pPr>
        <w:tabs>
          <w:tab w:val="left" w:pos="567"/>
        </w:tabs>
        <w:autoSpaceDE/>
        <w:autoSpaceDN/>
        <w:spacing w:line="240" w:lineRule="atLeast"/>
        <w:ind w:left="567" w:hanging="567"/>
        <w:rPr>
          <w:rFonts w:cs="Arial"/>
          <w:b/>
          <w:bCs/>
          <w:snapToGrid w:val="0"/>
          <w:szCs w:val="20"/>
        </w:rPr>
      </w:pPr>
    </w:p>
    <w:p w:rsidR="004F47BB" w:rsidRPr="004F47BB" w:rsidRDefault="004F47BB" w:rsidP="004F47BB">
      <w:pPr>
        <w:tabs>
          <w:tab w:val="left" w:pos="567"/>
        </w:tabs>
        <w:autoSpaceDE/>
        <w:autoSpaceDN/>
        <w:spacing w:line="240" w:lineRule="atLeast"/>
        <w:ind w:left="567" w:hanging="567"/>
        <w:rPr>
          <w:rFonts w:cs="Arial"/>
          <w:b/>
          <w:bCs/>
          <w:snapToGrid w:val="0"/>
          <w:szCs w:val="20"/>
        </w:rPr>
      </w:pPr>
      <w:r>
        <w:rPr>
          <w:b/>
          <w:snapToGrid w:val="0"/>
        </w:rPr>
        <w:t>13.</w:t>
      </w:r>
      <w:r>
        <w:tab/>
      </w:r>
      <w:r>
        <w:rPr>
          <w:b/>
          <w:noProof/>
          <w:snapToGrid w:val="0"/>
        </w:rPr>
        <w:t>Articolo 19.13, paragrafo 1 — Ruolo di appello</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spacing w:line="240" w:lineRule="atLeast"/>
        <w:ind w:left="567" w:firstLine="0"/>
        <w:rPr>
          <w:snapToGrid w:val="0"/>
        </w:rPr>
      </w:pPr>
      <w:r>
        <w:t>Le specifiche misure di sicurezza necessarie per le persone a mobilità ridotta da includere nel ruolo di appello devono tenere conto sia dell'eventualità della mobilità ridotta che delle menomazioni della vista o dell'udito. Per tali persone, oltre alle misure da adottare in caso di emergenza, occorre anche considerare le misure da applicare in condizioni normali.</w:t>
      </w:r>
    </w:p>
    <w:p w:rsidR="004F47BB" w:rsidRPr="004F47BB" w:rsidRDefault="004F47BB" w:rsidP="004F47BB">
      <w:pPr>
        <w:tabs>
          <w:tab w:val="left" w:pos="567"/>
        </w:tabs>
        <w:autoSpaceDE/>
        <w:autoSpaceDN/>
        <w:spacing w:line="240" w:lineRule="atLeast"/>
        <w:ind w:left="567" w:hanging="567"/>
        <w:rPr>
          <w:rFonts w:cs="Arial"/>
          <w:b/>
          <w:bCs/>
          <w:snapToGrid w:val="0"/>
          <w:szCs w:val="20"/>
        </w:rPr>
      </w:pPr>
    </w:p>
    <w:p w:rsidR="004F47BB" w:rsidRPr="004F47BB" w:rsidRDefault="004F47BB" w:rsidP="004F47BB">
      <w:pPr>
        <w:tabs>
          <w:tab w:val="left" w:pos="567"/>
        </w:tabs>
        <w:autoSpaceDE/>
        <w:autoSpaceDN/>
        <w:spacing w:line="240" w:lineRule="atLeast"/>
        <w:ind w:left="567" w:hanging="567"/>
        <w:rPr>
          <w:rFonts w:cs="Arial"/>
          <w:b/>
          <w:bCs/>
          <w:snapToGrid w:val="0"/>
          <w:szCs w:val="20"/>
        </w:rPr>
      </w:pPr>
      <w:r>
        <w:br w:type="page"/>
      </w:r>
    </w:p>
    <w:p w:rsidR="004F47BB" w:rsidRPr="004F47BB" w:rsidRDefault="004F47BB" w:rsidP="004F47BB">
      <w:pPr>
        <w:tabs>
          <w:tab w:val="left" w:pos="567"/>
        </w:tabs>
        <w:autoSpaceDE/>
        <w:autoSpaceDN/>
        <w:spacing w:line="240" w:lineRule="atLeast"/>
        <w:ind w:left="567" w:hanging="567"/>
        <w:rPr>
          <w:rFonts w:cs="Arial"/>
          <w:b/>
          <w:bCs/>
          <w:snapToGrid w:val="0"/>
          <w:szCs w:val="20"/>
        </w:rPr>
      </w:pPr>
      <w:r>
        <w:rPr>
          <w:b/>
          <w:snapToGrid w:val="0"/>
        </w:rPr>
        <w:lastRenderedPageBreak/>
        <w:t>14.</w:t>
      </w:r>
      <w:r>
        <w:tab/>
      </w:r>
      <w:r>
        <w:rPr>
          <w:b/>
          <w:noProof/>
          <w:snapToGrid w:val="0"/>
        </w:rPr>
        <w:t>Articolo 19.13, paragrafo 2 — Piano di emergenza</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spacing w:line="240" w:lineRule="atLeast"/>
        <w:ind w:left="567" w:firstLine="0"/>
        <w:rPr>
          <w:snapToGrid w:val="0"/>
        </w:rPr>
      </w:pPr>
      <w:r>
        <w:t>Le zone di cui al punto 3 della presente istruzione devono essere contrassegnate.</w:t>
      </w:r>
    </w:p>
    <w:p w:rsidR="004F47BB" w:rsidRPr="004F47BB" w:rsidRDefault="004F47BB" w:rsidP="004F47BB">
      <w:pPr>
        <w:tabs>
          <w:tab w:val="left" w:pos="567"/>
        </w:tabs>
        <w:autoSpaceDE/>
        <w:autoSpaceDN/>
        <w:spacing w:line="240" w:lineRule="atLeast"/>
        <w:ind w:left="567" w:hanging="567"/>
        <w:rPr>
          <w:rFonts w:cs="Arial"/>
          <w:b/>
          <w:bCs/>
          <w:snapToGrid w:val="0"/>
          <w:szCs w:val="20"/>
        </w:rPr>
      </w:pPr>
    </w:p>
    <w:p w:rsidR="004F47BB" w:rsidRPr="004F47BB" w:rsidRDefault="004F47BB" w:rsidP="004F47BB">
      <w:pPr>
        <w:tabs>
          <w:tab w:val="left" w:pos="567"/>
        </w:tabs>
        <w:autoSpaceDE/>
        <w:autoSpaceDN/>
        <w:spacing w:line="240" w:lineRule="atLeast"/>
        <w:ind w:left="567" w:hanging="567"/>
        <w:rPr>
          <w:rFonts w:cs="Arial"/>
          <w:b/>
          <w:bCs/>
          <w:snapToGrid w:val="0"/>
          <w:szCs w:val="20"/>
        </w:rPr>
      </w:pPr>
      <w:r>
        <w:rPr>
          <w:b/>
          <w:snapToGrid w:val="0"/>
        </w:rPr>
        <w:t>15.</w:t>
      </w:r>
      <w:r>
        <w:tab/>
      </w:r>
      <w:r>
        <w:rPr>
          <w:b/>
          <w:noProof/>
          <w:snapToGrid w:val="0"/>
        </w:rPr>
        <w:t>Articolo 19.13, paragrafo 3, lettera b) — Affissione del ruolo di appello e del piano di emergenza</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spacing w:line="240" w:lineRule="atLeast"/>
        <w:ind w:left="567" w:firstLine="0"/>
        <w:rPr>
          <w:snapToGrid w:val="0"/>
        </w:rPr>
      </w:pPr>
      <w:r>
        <w:t>Almeno le copie del ruolo di appello e del piano di emergenza affissi nelle zone destinate all'uso da parte di persone a mobilità ridotta devono essere tali da risultare, ove possibile, leggibili anche da persone con menomazioni della vista. Tale obiettivo può essere conseguito, ad esempio, usando in maniera appropriata contrasto e dimensione dei caratteri.</w:t>
      </w:r>
    </w:p>
    <w:p w:rsidR="004F47BB" w:rsidRPr="004F47BB" w:rsidRDefault="004F47BB" w:rsidP="004F47BB">
      <w:pPr>
        <w:spacing w:line="240" w:lineRule="atLeast"/>
        <w:ind w:left="567" w:firstLine="0"/>
        <w:rPr>
          <w:snapToGrid w:val="0"/>
        </w:rPr>
      </w:pPr>
    </w:p>
    <w:p w:rsidR="004F47BB" w:rsidRPr="004F47BB" w:rsidRDefault="004F47BB" w:rsidP="004F47BB">
      <w:pPr>
        <w:spacing w:line="240" w:lineRule="atLeast"/>
        <w:ind w:left="567" w:firstLine="0"/>
        <w:rPr>
          <w:snapToGrid w:val="0"/>
        </w:rPr>
      </w:pPr>
      <w:r>
        <w:t>Inoltre, i piani devono essere affissi a un'altezza tale da consentire anche agli utenti in sedia a rotelle di leggerli.</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tabs>
          <w:tab w:val="left" w:pos="567"/>
        </w:tabs>
        <w:autoSpaceDE/>
        <w:autoSpaceDN/>
        <w:spacing w:line="240" w:lineRule="atLeast"/>
        <w:ind w:left="567" w:hanging="567"/>
        <w:rPr>
          <w:rFonts w:cs="Arial"/>
          <w:b/>
          <w:bCs/>
          <w:snapToGrid w:val="0"/>
          <w:szCs w:val="20"/>
        </w:rPr>
      </w:pPr>
      <w:r>
        <w:rPr>
          <w:b/>
          <w:snapToGrid w:val="0"/>
        </w:rPr>
        <w:t>16.</w:t>
      </w:r>
      <w:r>
        <w:tab/>
      </w:r>
      <w:r>
        <w:rPr>
          <w:b/>
          <w:noProof/>
          <w:snapToGrid w:val="0"/>
        </w:rPr>
        <w:t>Articolo 19.13, paragrafo 4 — Codice di comportamento per i passeggeri</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spacing w:line="240" w:lineRule="atLeast"/>
        <w:ind w:left="567" w:firstLine="0"/>
        <w:rPr>
          <w:snapToGrid w:val="0"/>
        </w:rPr>
      </w:pPr>
      <w:r>
        <w:t>Il punto 15 della presente istruzione vale anche per i codice di comportamento dei passeggeri.</w:t>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sectPr w:rsidR="004F47BB" w:rsidRPr="004F47BB" w:rsidSect="00D45887">
          <w:footnotePr>
            <w:numRestart w:val="eachPage"/>
          </w:footnotePr>
          <w:pgSz w:w="11907" w:h="16840" w:code="9"/>
          <w:pgMar w:top="1418" w:right="1418" w:bottom="1418" w:left="1418" w:header="680" w:footer="680" w:gutter="0"/>
          <w:cols w:space="720"/>
          <w:docGrid w:linePitch="326"/>
        </w:sectPr>
      </w:pPr>
    </w:p>
    <w:p w:rsidR="004F47BB" w:rsidRPr="004F47BB" w:rsidRDefault="004F47BB" w:rsidP="00330FC4">
      <w:pPr>
        <w:pStyle w:val="ES-Titre2ESI"/>
        <w:rPr>
          <w:szCs w:val="20"/>
        </w:rPr>
      </w:pPr>
      <w:bookmarkStart w:id="767" w:name="_Toc491854366"/>
      <w:bookmarkStart w:id="768" w:name="_Toc535500315"/>
      <w:r>
        <w:lastRenderedPageBreak/>
        <w:t>ESI-III-3</w:t>
      </w:r>
      <w:r>
        <w:br/>
        <w:t>Resistenza delle finestre stagne</w:t>
      </w:r>
      <w:bookmarkEnd w:id="767"/>
      <w:bookmarkEnd w:id="768"/>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center"/>
        <w:textAlignment w:val="baseline"/>
        <w:rPr>
          <w:b/>
          <w:szCs w:val="20"/>
        </w:rPr>
      </w:pPr>
      <w:r>
        <w:rPr>
          <w:b/>
        </w:rPr>
        <w:t>(Articolo 19.02, paragrafo 16)</w:t>
      </w:r>
    </w:p>
    <w:p w:rsidR="004F47BB" w:rsidRPr="004F47BB" w:rsidRDefault="004F47BB" w:rsidP="004F47BB">
      <w:pPr>
        <w:overflowPunct w:val="0"/>
        <w:adjustRightInd w:val="0"/>
        <w:ind w:left="0" w:firstLine="0"/>
        <w:textAlignment w:val="baseline"/>
        <w:rPr>
          <w:szCs w:val="20"/>
        </w:rPr>
      </w:pPr>
    </w:p>
    <w:p w:rsidR="004F47BB" w:rsidRPr="004F47BB" w:rsidRDefault="004F47BB" w:rsidP="004F47BB">
      <w:pPr>
        <w:spacing w:line="240" w:lineRule="atLeast"/>
        <w:ind w:left="567" w:hanging="567"/>
        <w:rPr>
          <w:rFonts w:cs="Arial"/>
          <w:b/>
          <w:color w:val="000000"/>
          <w:szCs w:val="20"/>
        </w:rPr>
      </w:pPr>
      <w:r>
        <w:rPr>
          <w:b/>
          <w:color w:val="000000"/>
        </w:rPr>
        <w:t>1.</w:t>
      </w:r>
      <w:r>
        <w:tab/>
      </w:r>
      <w:r>
        <w:rPr>
          <w:b/>
          <w:color w:val="000000"/>
        </w:rPr>
        <w:t>Aspetti generali</w:t>
      </w:r>
    </w:p>
    <w:p w:rsidR="004F47BB" w:rsidRPr="004F47BB" w:rsidRDefault="004F47BB" w:rsidP="004F47BB">
      <w:pPr>
        <w:tabs>
          <w:tab w:val="left" w:pos="567"/>
        </w:tabs>
        <w:overflowPunct w:val="0"/>
        <w:adjustRightInd w:val="0"/>
        <w:spacing w:line="240" w:lineRule="atLeast"/>
        <w:ind w:left="567" w:hanging="567"/>
        <w:textAlignment w:val="baseline"/>
        <w:rPr>
          <w:szCs w:val="20"/>
        </w:rPr>
      </w:pPr>
    </w:p>
    <w:p w:rsidR="004F47BB" w:rsidRPr="004F47BB" w:rsidRDefault="004F47BB" w:rsidP="004F47BB">
      <w:pPr>
        <w:spacing w:line="240" w:lineRule="atLeast"/>
        <w:ind w:left="567" w:firstLine="0"/>
      </w:pPr>
      <w:r>
        <w:t>Secondo l'articolo 19.02, paragrafo 16, le finestre stagne all'acqua possono essere situate al di sotto della linea limite, purché siano perfettamente a tenuta, non possano essere aperte, siano sufficientemente resistenti e siano conformi all'articolo 19.06, paragrafo 14.</w:t>
      </w:r>
    </w:p>
    <w:p w:rsidR="004F47BB" w:rsidRPr="004F47BB" w:rsidRDefault="004F47BB" w:rsidP="004F47BB">
      <w:pPr>
        <w:tabs>
          <w:tab w:val="left" w:pos="567"/>
        </w:tabs>
        <w:overflowPunct w:val="0"/>
        <w:adjustRightInd w:val="0"/>
        <w:spacing w:line="240" w:lineRule="atLeast"/>
        <w:ind w:left="567" w:hanging="567"/>
        <w:textAlignment w:val="baseline"/>
        <w:rPr>
          <w:szCs w:val="20"/>
        </w:rPr>
      </w:pPr>
    </w:p>
    <w:p w:rsidR="004F47BB" w:rsidRPr="004F47BB" w:rsidRDefault="004F47BB" w:rsidP="004F47BB">
      <w:pPr>
        <w:spacing w:line="240" w:lineRule="atLeast"/>
        <w:ind w:left="567" w:hanging="567"/>
        <w:rPr>
          <w:rFonts w:cs="Arial"/>
          <w:b/>
          <w:color w:val="000000"/>
          <w:szCs w:val="20"/>
        </w:rPr>
      </w:pPr>
      <w:r>
        <w:rPr>
          <w:b/>
          <w:color w:val="000000"/>
        </w:rPr>
        <w:t>2.</w:t>
      </w:r>
      <w:r>
        <w:tab/>
      </w:r>
      <w:r>
        <w:rPr>
          <w:b/>
          <w:color w:val="000000"/>
        </w:rPr>
        <w:t>Costruzione delle finestre stagne</w:t>
      </w:r>
    </w:p>
    <w:p w:rsidR="004F47BB" w:rsidRPr="004F47BB" w:rsidRDefault="004F47BB" w:rsidP="004F47BB">
      <w:pPr>
        <w:tabs>
          <w:tab w:val="left" w:pos="567"/>
        </w:tabs>
        <w:overflowPunct w:val="0"/>
        <w:adjustRightInd w:val="0"/>
        <w:spacing w:line="240" w:lineRule="atLeast"/>
        <w:ind w:left="567" w:hanging="567"/>
        <w:textAlignment w:val="baseline"/>
        <w:rPr>
          <w:szCs w:val="20"/>
        </w:rPr>
      </w:pPr>
    </w:p>
    <w:p w:rsidR="004F47BB" w:rsidRPr="004F47BB" w:rsidRDefault="004F47BB" w:rsidP="004F47BB">
      <w:pPr>
        <w:spacing w:line="240" w:lineRule="atLeast"/>
        <w:ind w:left="567" w:firstLine="0"/>
      </w:pPr>
      <w:r>
        <w:t>I requisiti di cui all'articolo 19.02, paragrafo 16, si reputano soddisfatti se la struttura delle finestre stagne all'acqua è conforme alle seguenti disposizioni.</w:t>
      </w:r>
    </w:p>
    <w:p w:rsidR="004F47BB" w:rsidRPr="004F47BB" w:rsidRDefault="004F47BB" w:rsidP="004F47BB">
      <w:pPr>
        <w:tabs>
          <w:tab w:val="left" w:pos="425"/>
        </w:tabs>
        <w:overflowPunct w:val="0"/>
        <w:adjustRightInd w:val="0"/>
        <w:textAlignment w:val="baseline"/>
        <w:rPr>
          <w:szCs w:val="20"/>
        </w:rPr>
      </w:pPr>
    </w:p>
    <w:p w:rsidR="004F47BB" w:rsidRPr="004F47BB" w:rsidRDefault="004F47BB" w:rsidP="004F47BB">
      <w:pPr>
        <w:spacing w:line="240" w:lineRule="atLeast"/>
        <w:ind w:left="567" w:hanging="567"/>
      </w:pPr>
      <w:r>
        <w:t>2.1</w:t>
      </w:r>
      <w:r>
        <w:tab/>
        <w:t xml:space="preserve">È necessario che si usi unicamente vetro temperato conforme alla norma </w:t>
      </w:r>
      <w:r>
        <w:rPr>
          <w:rFonts w:ascii="ArialMT" w:hAnsi="ArialMT"/>
        </w:rPr>
        <w:t>internazionale</w:t>
      </w:r>
    </w:p>
    <w:p w:rsidR="004F47BB" w:rsidRPr="004F47BB" w:rsidRDefault="004F47BB" w:rsidP="004F47BB">
      <w:pPr>
        <w:spacing w:line="240" w:lineRule="atLeast"/>
        <w:ind w:left="567" w:firstLine="0"/>
      </w:pPr>
      <w:r>
        <w:t xml:space="preserve">ISO 614:2012. </w:t>
      </w:r>
    </w:p>
    <w:p w:rsidR="004F47BB" w:rsidRPr="004F47BB" w:rsidRDefault="004F47BB" w:rsidP="004F47BB">
      <w:pPr>
        <w:spacing w:line="240" w:lineRule="atLeast"/>
        <w:ind w:left="567" w:firstLine="0"/>
      </w:pPr>
      <w:r>
        <w:t>.</w:t>
      </w:r>
    </w:p>
    <w:p w:rsidR="004F47BB" w:rsidRPr="004F47BB" w:rsidRDefault="004F47BB" w:rsidP="004F47BB">
      <w:pPr>
        <w:tabs>
          <w:tab w:val="left" w:pos="992"/>
        </w:tabs>
        <w:overflowPunct w:val="0"/>
        <w:adjustRightInd w:val="0"/>
        <w:spacing w:line="240" w:lineRule="atLeast"/>
        <w:ind w:left="567" w:hanging="567"/>
        <w:textAlignment w:val="baseline"/>
        <w:rPr>
          <w:szCs w:val="20"/>
        </w:rPr>
      </w:pPr>
    </w:p>
    <w:p w:rsidR="004F47BB" w:rsidRPr="004F47BB" w:rsidRDefault="004F47BB" w:rsidP="004F47BB">
      <w:pPr>
        <w:spacing w:line="240" w:lineRule="atLeast"/>
        <w:ind w:left="567" w:hanging="567"/>
      </w:pPr>
      <w:r>
        <w:t>2.2</w:t>
      </w:r>
      <w:r>
        <w:tab/>
        <w:t xml:space="preserve">Le finestre rotonde devono essere conformi alla norma </w:t>
      </w:r>
      <w:r>
        <w:rPr>
          <w:rFonts w:ascii="ArialMT" w:hAnsi="ArialMT"/>
        </w:rPr>
        <w:t>internazionale</w:t>
      </w:r>
    </w:p>
    <w:p w:rsidR="004F47BB" w:rsidRPr="004F47BB" w:rsidRDefault="004F47BB" w:rsidP="004F47BB">
      <w:pPr>
        <w:spacing w:line="240" w:lineRule="atLeast"/>
        <w:ind w:left="567" w:firstLine="0"/>
      </w:pPr>
      <w:r>
        <w:t xml:space="preserve">ISO 1751:2012, </w:t>
      </w:r>
    </w:p>
    <w:p w:rsidR="004F47BB" w:rsidRPr="004F47BB" w:rsidRDefault="004F47BB" w:rsidP="004F47BB">
      <w:pPr>
        <w:spacing w:line="240" w:lineRule="atLeast"/>
        <w:ind w:left="567" w:firstLine="0"/>
      </w:pPr>
      <w:r>
        <w:t xml:space="preserve">serie B: finestre per servizio mediamente pesante. </w:t>
      </w:r>
    </w:p>
    <w:p w:rsidR="004F47BB" w:rsidRPr="004F47BB" w:rsidRDefault="004F47BB" w:rsidP="004F47BB">
      <w:pPr>
        <w:spacing w:line="240" w:lineRule="atLeast"/>
        <w:ind w:left="567" w:firstLine="0"/>
      </w:pPr>
      <w:r>
        <w:t>Tipo: non apribili.</w:t>
      </w:r>
    </w:p>
    <w:p w:rsidR="004F47BB" w:rsidRPr="004F47BB" w:rsidRDefault="004F47BB" w:rsidP="004F47BB">
      <w:pPr>
        <w:tabs>
          <w:tab w:val="left" w:pos="992"/>
        </w:tabs>
        <w:overflowPunct w:val="0"/>
        <w:adjustRightInd w:val="0"/>
        <w:spacing w:line="240" w:lineRule="atLeast"/>
        <w:ind w:left="567" w:hanging="567"/>
        <w:textAlignment w:val="baseline"/>
        <w:rPr>
          <w:szCs w:val="20"/>
        </w:rPr>
      </w:pPr>
    </w:p>
    <w:p w:rsidR="004F47BB" w:rsidRPr="004F47BB" w:rsidRDefault="004F47BB" w:rsidP="004F47BB">
      <w:pPr>
        <w:spacing w:line="240" w:lineRule="atLeast"/>
        <w:ind w:left="567" w:hanging="567"/>
      </w:pPr>
      <w:r>
        <w:t>2.3</w:t>
      </w:r>
      <w:r>
        <w:tab/>
        <w:t xml:space="preserve">Le finestre angolari devono essere conformi alla norma </w:t>
      </w:r>
      <w:r>
        <w:rPr>
          <w:rFonts w:ascii="ArialMT" w:hAnsi="ArialMT"/>
        </w:rPr>
        <w:t>internazionale</w:t>
      </w:r>
    </w:p>
    <w:p w:rsidR="004F47BB" w:rsidRPr="004F47BB" w:rsidRDefault="004F47BB" w:rsidP="004F47BB">
      <w:pPr>
        <w:spacing w:line="240" w:lineRule="atLeast"/>
        <w:ind w:left="567" w:firstLine="0"/>
      </w:pPr>
      <w:r>
        <w:t xml:space="preserve">ISO 3903:2012, </w:t>
      </w:r>
    </w:p>
    <w:p w:rsidR="004F47BB" w:rsidRPr="004F47BB" w:rsidRDefault="004F47BB" w:rsidP="004F47BB">
      <w:pPr>
        <w:spacing w:line="240" w:lineRule="atLeast"/>
        <w:ind w:left="567" w:firstLine="0"/>
      </w:pPr>
      <w:r>
        <w:t xml:space="preserve">serie E: finestre per servizio pesante. </w:t>
      </w:r>
    </w:p>
    <w:p w:rsidR="004F47BB" w:rsidRPr="004F47BB" w:rsidRDefault="004F47BB" w:rsidP="004F47BB">
      <w:pPr>
        <w:spacing w:line="240" w:lineRule="atLeast"/>
        <w:ind w:left="567" w:firstLine="0"/>
      </w:pPr>
      <w:r>
        <w:t>Tipo: non apribili.</w:t>
      </w:r>
    </w:p>
    <w:p w:rsidR="004F47BB" w:rsidRPr="004F47BB" w:rsidRDefault="004F47BB" w:rsidP="004F47BB">
      <w:pPr>
        <w:tabs>
          <w:tab w:val="left" w:pos="992"/>
        </w:tabs>
        <w:overflowPunct w:val="0"/>
        <w:adjustRightInd w:val="0"/>
        <w:spacing w:line="240" w:lineRule="atLeast"/>
        <w:ind w:left="567" w:hanging="567"/>
        <w:textAlignment w:val="baseline"/>
        <w:rPr>
          <w:szCs w:val="20"/>
        </w:rPr>
      </w:pPr>
    </w:p>
    <w:p w:rsidR="004F47BB" w:rsidRPr="004F47BB" w:rsidRDefault="004F47BB" w:rsidP="004F47BB">
      <w:pPr>
        <w:spacing w:line="240" w:lineRule="atLeast"/>
        <w:ind w:left="567" w:hanging="567"/>
      </w:pPr>
      <w:r>
        <w:t>2.4</w:t>
      </w:r>
      <w:r>
        <w:tab/>
        <w:t>Finestre conformi alla norma ISO possono essere sostituite da finestre la cui costruzione sia almeno equivalente ai requisiti dei punti da 2.1 a 2.3.</w:t>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r>
        <w:br w:type="page"/>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sectPr w:rsidR="004F47BB" w:rsidRPr="004F47BB" w:rsidSect="00D45887">
          <w:footnotePr>
            <w:numRestart w:val="eachPage"/>
          </w:footnotePr>
          <w:pgSz w:w="11907" w:h="16840" w:code="9"/>
          <w:pgMar w:top="1418" w:right="1418" w:bottom="1418" w:left="1418" w:header="680" w:footer="680" w:gutter="0"/>
          <w:cols w:space="720"/>
          <w:docGrid w:linePitch="326"/>
        </w:sectPr>
      </w:pPr>
    </w:p>
    <w:p w:rsidR="004F47BB" w:rsidRPr="004F47BB" w:rsidRDefault="004F47BB" w:rsidP="00330FC4">
      <w:pPr>
        <w:pStyle w:val="ES-Titre2ESI"/>
        <w:rPr>
          <w:szCs w:val="20"/>
        </w:rPr>
      </w:pPr>
      <w:bookmarkStart w:id="769" w:name="_Toc491854367"/>
      <w:bookmarkStart w:id="770" w:name="_Toc535500316"/>
      <w:r>
        <w:lastRenderedPageBreak/>
        <w:t>ESI-III-4</w:t>
      </w:r>
      <w:r>
        <w:br/>
        <w:t>Sistema di indicazioni di sicurezza</w:t>
      </w:r>
      <w:bookmarkEnd w:id="769"/>
      <w:bookmarkEnd w:id="770"/>
      <w:r>
        <w:t xml:space="preserve"> </w:t>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adjustRightInd w:val="0"/>
        <w:spacing w:line="240" w:lineRule="atLeast"/>
        <w:ind w:left="0" w:firstLine="0"/>
        <w:jc w:val="center"/>
        <w:rPr>
          <w:rFonts w:cs="Arial"/>
          <w:b/>
          <w:szCs w:val="20"/>
        </w:rPr>
      </w:pPr>
      <w:r>
        <w:rPr>
          <w:b/>
        </w:rPr>
        <w:t>[Articolo 19.06, paragrafo 7; articolo 29.09, lettera d)]</w:t>
      </w:r>
    </w:p>
    <w:p w:rsidR="004F47BB" w:rsidRPr="004F47BB" w:rsidRDefault="004F47BB" w:rsidP="004F47BB">
      <w:pPr>
        <w:tabs>
          <w:tab w:val="left" w:pos="425"/>
        </w:tabs>
        <w:autoSpaceDE/>
        <w:autoSpaceDN/>
        <w:spacing w:line="240" w:lineRule="atLeast"/>
        <w:jc w:val="left"/>
        <w:rPr>
          <w:rFonts w:cs="Arial"/>
        </w:rPr>
      </w:pPr>
    </w:p>
    <w:p w:rsidR="004F47BB" w:rsidRPr="004F47BB" w:rsidRDefault="004F47BB" w:rsidP="004F47BB">
      <w:pPr>
        <w:spacing w:line="240" w:lineRule="atLeast"/>
        <w:ind w:left="567" w:hanging="567"/>
        <w:rPr>
          <w:rFonts w:cs="Arial"/>
          <w:b/>
          <w:color w:val="000000"/>
          <w:szCs w:val="20"/>
        </w:rPr>
      </w:pPr>
      <w:r>
        <w:rPr>
          <w:b/>
          <w:color w:val="000000"/>
        </w:rPr>
        <w:t>1.</w:t>
      </w:r>
      <w:r>
        <w:tab/>
      </w:r>
      <w:r>
        <w:rPr>
          <w:b/>
          <w:color w:val="000000"/>
        </w:rPr>
        <w:t>Aspetti generali</w:t>
      </w:r>
    </w:p>
    <w:p w:rsidR="004F47BB" w:rsidRPr="004F47BB" w:rsidRDefault="004F47BB" w:rsidP="004F47BB">
      <w:pPr>
        <w:tabs>
          <w:tab w:val="left" w:pos="425"/>
        </w:tabs>
        <w:autoSpaceDE/>
        <w:autoSpaceDN/>
        <w:spacing w:line="240" w:lineRule="atLeast"/>
        <w:rPr>
          <w:rFonts w:cs="Arial"/>
        </w:rPr>
      </w:pPr>
    </w:p>
    <w:p w:rsidR="004F47BB" w:rsidRPr="004F47BB" w:rsidRDefault="004F47BB" w:rsidP="004F47BB">
      <w:pPr>
        <w:spacing w:line="240" w:lineRule="atLeast"/>
        <w:ind w:left="567" w:hanging="567"/>
        <w:rPr>
          <w:snapToGrid w:val="0"/>
        </w:rPr>
      </w:pPr>
      <w:r>
        <w:t>1.1</w:t>
      </w:r>
      <w:r>
        <w:tab/>
        <w:t>Secondo le disposizioni di cui sopra, le navi passeggeri e le navi ad alta velocità devono prevedere idonei sistemi di indicazioni per identificare chiaramente le vie di evacuazione e le uscite di sicurezza quando la normale illuminazione di emergenza è meno efficiente a causa della presenza di fumo. Tali sistemi di indicazioni devono essere realizzati sotto forma di illuminazione per l'istradamento (LLL). La presente istruzione riguarda l'approvazione, la posa e la manutenzione di tali sistemi di indicazioni.</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1.2</w:t>
      </w:r>
      <w:r>
        <w:tab/>
        <w:t>Oltre all'illuminazione di emergenza prevista dall'articolo 19.10, paragrafo 3, le vie di evacuazione, ivi comprese scale, uscite e uscite di sicurezza devono essere contrassegnate da un'illuminazione per l'istradamento (LLL) per tutta la via di evacuazione, specialmente in corrispondenza di angoli e intersezioni.</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1.3</w:t>
      </w:r>
      <w:r>
        <w:tab/>
        <w:t>L'impianto LLL deve funzionare per almeno 30 minuti dopo la sua attivazione.</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1.4</w:t>
      </w:r>
      <w:r>
        <w:tab/>
        <w:t>I componenti per l'impianto LLL non devono essere né radioattivi né tossici.</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1.5</w:t>
      </w:r>
      <w:r>
        <w:tab/>
        <w:t>Le istruzioni relative all'impianto LLL devono essere riportate insieme al piano di sicurezza conformemente all'articolo 19.13, paragrafo 2, e in ogni cabina.</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rPr>
          <w:rFonts w:cs="Arial"/>
          <w:b/>
          <w:color w:val="000000"/>
          <w:szCs w:val="20"/>
        </w:rPr>
      </w:pPr>
      <w:r>
        <w:rPr>
          <w:b/>
          <w:color w:val="000000"/>
        </w:rPr>
        <w:t>2.</w:t>
      </w:r>
      <w:r>
        <w:tab/>
      </w:r>
      <w:r>
        <w:rPr>
          <w:b/>
          <w:color w:val="000000"/>
        </w:rPr>
        <w:t>Definizioni</w:t>
      </w:r>
    </w:p>
    <w:p w:rsidR="004F47BB" w:rsidRPr="004F47BB" w:rsidRDefault="004F47BB" w:rsidP="004F47BB">
      <w:pPr>
        <w:tabs>
          <w:tab w:val="left" w:pos="425"/>
        </w:tabs>
        <w:autoSpaceDE/>
        <w:autoSpaceDN/>
        <w:spacing w:line="240" w:lineRule="atLeast"/>
        <w:rPr>
          <w:rFonts w:cs="Arial"/>
        </w:rPr>
      </w:pPr>
    </w:p>
    <w:p w:rsidR="004F47BB" w:rsidRPr="004F47BB" w:rsidRDefault="004F47BB" w:rsidP="004F47BB">
      <w:pPr>
        <w:spacing w:line="240" w:lineRule="atLeast"/>
        <w:ind w:left="567" w:hanging="567"/>
      </w:pPr>
      <w:r>
        <w:t>2.1</w:t>
      </w:r>
      <w:r>
        <w:tab/>
        <w:t>Impianto di illuminazione per l'istradamento (LLL) — Illuminazione elettrica o indicatori fotoluminescenti lungo le vie di evacuazione tali da garantire che tutte queste vie siano facilmente identificabili.</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2.2</w:t>
      </w:r>
      <w:r>
        <w:tab/>
        <w:t>Impianto fotoluminescente (PL) — Impianto LLL che utilizza materiale PL. Il materiale fotoluminescente contiene una sostanza chimica (ad esempio, solfuro di zinco) che ha la proprietà di immagazzinare energia quando viene illuminata da una luce visibile. Il materiale PL emette luce che diventa visibile quando la fonte di luce ambiente è meno efficiente. Senza fonte di energia per ricaricarlo, il materiale PL cede l'energia immagazzinata per un certo lasso di tempo con luminescenza decrescente.</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2.3</w:t>
      </w:r>
      <w:r>
        <w:tab/>
        <w:t>Impianto elettrico (EP) — Impianto LLL che, per funzionare, ha bisogno di elettricità come, ad esempio, gli impianti che utilizzano lampadine incandescenti, diodi a emissione di luce, lampade o strisce elettroluminescenti, lampade elettrofluorescenti, ecc.</w:t>
      </w:r>
    </w:p>
    <w:p w:rsidR="004F47BB" w:rsidRPr="004F47BB" w:rsidRDefault="004F47BB" w:rsidP="004F47BB">
      <w:pPr>
        <w:tabs>
          <w:tab w:val="left" w:pos="425"/>
        </w:tabs>
        <w:autoSpaceDE/>
        <w:autoSpaceDN/>
        <w:spacing w:line="240" w:lineRule="atLeast"/>
        <w:rPr>
          <w:rFonts w:cs="Arial"/>
        </w:rPr>
      </w:pPr>
    </w:p>
    <w:p w:rsidR="004F47BB" w:rsidRPr="004F47BB" w:rsidRDefault="004F47BB" w:rsidP="004F47BB">
      <w:pPr>
        <w:tabs>
          <w:tab w:val="left" w:pos="425"/>
        </w:tabs>
        <w:autoSpaceDE/>
        <w:autoSpaceDN/>
        <w:spacing w:line="240" w:lineRule="atLeast"/>
        <w:rPr>
          <w:rFonts w:cs="Arial"/>
        </w:rPr>
      </w:pPr>
      <w:r>
        <w:br w:type="page"/>
      </w:r>
    </w:p>
    <w:p w:rsidR="004F47BB" w:rsidRPr="004F47BB" w:rsidRDefault="004F47BB" w:rsidP="004F47BB">
      <w:pPr>
        <w:tabs>
          <w:tab w:val="left" w:pos="567"/>
        </w:tabs>
        <w:autoSpaceDE/>
        <w:autoSpaceDN/>
        <w:spacing w:line="240" w:lineRule="atLeast"/>
        <w:ind w:left="567" w:hanging="567"/>
        <w:rPr>
          <w:rFonts w:cs="Arial"/>
          <w:b/>
        </w:rPr>
      </w:pPr>
      <w:r>
        <w:rPr>
          <w:b/>
        </w:rPr>
        <w:lastRenderedPageBreak/>
        <w:t>3.</w:t>
      </w:r>
      <w:r>
        <w:tab/>
      </w:r>
      <w:r>
        <w:rPr>
          <w:b/>
        </w:rPr>
        <w:t>Zone di passaggio e scale</w:t>
      </w:r>
    </w:p>
    <w:p w:rsidR="004F47BB" w:rsidRPr="004F47BB" w:rsidRDefault="004F47BB" w:rsidP="004F47BB">
      <w:pPr>
        <w:tabs>
          <w:tab w:val="left" w:pos="425"/>
        </w:tabs>
        <w:autoSpaceDE/>
        <w:autoSpaceDN/>
        <w:spacing w:line="240" w:lineRule="atLeast"/>
        <w:rPr>
          <w:rFonts w:cs="Arial"/>
        </w:rPr>
      </w:pPr>
    </w:p>
    <w:p w:rsidR="004F47BB" w:rsidRPr="004F47BB" w:rsidRDefault="004F47BB" w:rsidP="004F47BB">
      <w:pPr>
        <w:tabs>
          <w:tab w:val="left" w:pos="567"/>
        </w:tabs>
        <w:autoSpaceDE/>
        <w:autoSpaceDN/>
        <w:spacing w:line="240" w:lineRule="atLeast"/>
        <w:ind w:left="567" w:hanging="567"/>
        <w:rPr>
          <w:rFonts w:cs="Arial"/>
        </w:rPr>
      </w:pPr>
      <w:r>
        <w:t>3.1</w:t>
      </w:r>
      <w:r>
        <w:tab/>
        <w:t>In tutte le zone di passaggio l'illuminazione LLL deve essere continua, tranne quando sono interrotte da corridoi e porte di cabine, per assicurare una delimitazione visibile lungo la via di evacuazione. Sono anche accettabili impianti LLL conformi a una norma internazionale che prevedano una delimitazione visibile pur non essendo continui. L'impianto LLL deve essere installato almeno su un lato del corridoio a parete a non più di 0,3 m dal pavimento, oppure a pavimento a non più di 0,15 m dalla parete. Nei corridoi larghi più di due metri, l'impianto LLL deve essere installato su ambedue i lati.</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szCs w:val="20"/>
        </w:rPr>
      </w:pPr>
      <w:r>
        <w:t>3.2</w:t>
      </w:r>
      <w:r>
        <w:tab/>
        <w:t>Nei corridoi ciechi l'impianto LLL deve prevedere frecce disposte a intervalli non superiori a 1 m, oppure indicatori di direzione equivalenti, che indichino la direzione della via di evacuazione.</w:t>
      </w:r>
    </w:p>
    <w:p w:rsidR="004F47BB" w:rsidRPr="004F47BB" w:rsidRDefault="004F47BB" w:rsidP="004F47BB">
      <w:pPr>
        <w:tabs>
          <w:tab w:val="left" w:pos="567"/>
        </w:tabs>
        <w:autoSpaceDE/>
        <w:autoSpaceDN/>
        <w:spacing w:line="240" w:lineRule="atLeast"/>
        <w:ind w:left="567" w:hanging="567"/>
        <w:rPr>
          <w:rFonts w:cs="Arial"/>
          <w:szCs w:val="20"/>
        </w:rPr>
      </w:pPr>
    </w:p>
    <w:p w:rsidR="004F47BB" w:rsidRPr="004F47BB" w:rsidRDefault="004F47BB" w:rsidP="004F47BB">
      <w:pPr>
        <w:tabs>
          <w:tab w:val="left" w:pos="567"/>
        </w:tabs>
        <w:autoSpaceDE/>
        <w:autoSpaceDN/>
        <w:spacing w:line="240" w:lineRule="atLeast"/>
        <w:ind w:left="567" w:hanging="567"/>
        <w:rPr>
          <w:rFonts w:cs="Arial"/>
          <w:iCs/>
          <w:szCs w:val="20"/>
        </w:rPr>
      </w:pPr>
      <w:r>
        <w:t>3.3</w:t>
      </w:r>
      <w:r>
        <w:tab/>
        <w:t>In tutte le sale l'impianto LLL deve essere installato su almeno un lato non più di 0,3 m al di sopra degli scalini, rendendo la posizione di ogni scalino prontamente identificabile a chiunque stia in piedi al di sopra o al di sotto dello scalino in questione. L'illuminazione per l'istradamento deve essere installata su ambedue i lati se la larghezza delle scale è pari o superiore a due metri. In ogni rampa di scale la parte superiore e inferiore devono essere identificate per segnalare che non vi sono più scalini.</w:t>
      </w:r>
    </w:p>
    <w:p w:rsidR="004F47BB" w:rsidRPr="004F47BB" w:rsidRDefault="004F47BB" w:rsidP="004F47BB">
      <w:pPr>
        <w:tabs>
          <w:tab w:val="left" w:pos="567"/>
        </w:tabs>
        <w:autoSpaceDE/>
        <w:autoSpaceDN/>
        <w:spacing w:line="240" w:lineRule="atLeast"/>
        <w:ind w:left="567" w:hanging="567"/>
        <w:rPr>
          <w:rFonts w:cs="Arial"/>
          <w:i/>
          <w:iCs/>
          <w:szCs w:val="20"/>
        </w:rPr>
      </w:pPr>
    </w:p>
    <w:p w:rsidR="004F47BB" w:rsidRPr="004F47BB" w:rsidRDefault="004F47BB" w:rsidP="004F47BB">
      <w:pPr>
        <w:tabs>
          <w:tab w:val="left" w:pos="567"/>
        </w:tabs>
        <w:autoSpaceDE/>
        <w:autoSpaceDN/>
        <w:spacing w:line="240" w:lineRule="atLeast"/>
        <w:ind w:left="567" w:hanging="567"/>
        <w:rPr>
          <w:rFonts w:cs="Arial"/>
          <w:b/>
        </w:rPr>
      </w:pPr>
      <w:r>
        <w:rPr>
          <w:b/>
        </w:rPr>
        <w:t>4.</w:t>
      </w:r>
      <w:r>
        <w:tab/>
      </w:r>
      <w:r>
        <w:rPr>
          <w:b/>
        </w:rPr>
        <w:t>Porte</w:t>
      </w:r>
    </w:p>
    <w:p w:rsidR="004F47BB" w:rsidRPr="004F47BB" w:rsidRDefault="004F47BB" w:rsidP="004F47BB">
      <w:pPr>
        <w:tabs>
          <w:tab w:val="left" w:pos="425"/>
        </w:tabs>
        <w:autoSpaceDE/>
        <w:autoSpaceDN/>
        <w:spacing w:line="240" w:lineRule="atLeast"/>
        <w:rPr>
          <w:rFonts w:cs="Arial"/>
        </w:rPr>
      </w:pPr>
    </w:p>
    <w:p w:rsidR="004F47BB" w:rsidRPr="004F47BB" w:rsidRDefault="004F47BB" w:rsidP="004F47BB">
      <w:pPr>
        <w:tabs>
          <w:tab w:val="left" w:pos="567"/>
        </w:tabs>
        <w:autoSpaceDE/>
        <w:autoSpaceDN/>
        <w:spacing w:line="240" w:lineRule="atLeast"/>
        <w:ind w:left="567" w:hanging="567"/>
        <w:rPr>
          <w:rFonts w:cs="Arial"/>
        </w:rPr>
      </w:pPr>
      <w:r>
        <w:t>4.1</w:t>
      </w:r>
      <w:r>
        <w:tab/>
        <w:t>L'illuminazione per l'istradamento deve condurre alla maniglia della porta di uscita. Per evitare confusione, nessuna altra porta deve essere contrassegnata in modo analogo.</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4.2</w:t>
      </w:r>
      <w:r>
        <w:tab/>
        <w:t>Laddove sono previste porte scorrevoli nelle pareti divisorie di cui all'articolo 19.11, paragrafo 2, e nelle paratie di cui all'articolo 19.02, paragrafo 5, si deve indicare la direzione di apertura.</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b/>
        </w:rPr>
      </w:pPr>
      <w:r>
        <w:rPr>
          <w:b/>
        </w:rPr>
        <w:t>5.</w:t>
      </w:r>
      <w:r>
        <w:tab/>
      </w:r>
      <w:r>
        <w:rPr>
          <w:b/>
        </w:rPr>
        <w:t>Segnali e indicazioni</w:t>
      </w:r>
    </w:p>
    <w:p w:rsidR="004F47BB" w:rsidRPr="004F47BB" w:rsidRDefault="004F47BB" w:rsidP="004F47BB">
      <w:pPr>
        <w:tabs>
          <w:tab w:val="left" w:pos="425"/>
        </w:tabs>
        <w:autoSpaceDE/>
        <w:autoSpaceDN/>
        <w:spacing w:line="240" w:lineRule="atLeast"/>
        <w:rPr>
          <w:rFonts w:cs="Arial"/>
        </w:rPr>
      </w:pPr>
    </w:p>
    <w:p w:rsidR="004F47BB" w:rsidRPr="004F47BB" w:rsidRDefault="004F47BB" w:rsidP="004F47BB">
      <w:pPr>
        <w:tabs>
          <w:tab w:val="left" w:pos="567"/>
        </w:tabs>
        <w:autoSpaceDE/>
        <w:autoSpaceDN/>
        <w:spacing w:line="240" w:lineRule="atLeast"/>
        <w:ind w:left="567" w:hanging="567"/>
        <w:rPr>
          <w:rFonts w:cs="Arial"/>
        </w:rPr>
      </w:pPr>
      <w:r>
        <w:t>5.1</w:t>
      </w:r>
      <w:r>
        <w:tab/>
        <w:t>Tutti i segnali delle vie di evacuazione devono essere in materiale fotoluminescente o contrassegnati da illuminazione elettrica. Le dimensioni di tali segnali e indicazioni devono essere commisurati al resto dell'impianto LLL.</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5.2</w:t>
      </w:r>
      <w:r>
        <w:tab/>
        <w:t>In corrispondenza di tutte le uscite, è necessario prevedere segnali di uscita con illuminazione per l'istradamento. I segnali devono essere disposti entro la zona prescritta dal lato delle porte di uscita dove è posizionata la maniglia.</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 xml:space="preserve">5.3 </w:t>
      </w:r>
      <w:r>
        <w:tab/>
        <w:t>Tutti i segnali devono essere contrastanti rispetto al colore dello sfondo (parete o pavimento) sul quale sono installati.</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5.4</w:t>
      </w:r>
      <w:r>
        <w:tab/>
        <w:t>Per l'illuminazione LLL, si devono utilizzare simboli standardizzati [ad esempio, quelli descritti nella decisione A.760(18) dell'OMI].</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b/>
        </w:rPr>
      </w:pPr>
      <w:r>
        <w:rPr>
          <w:b/>
        </w:rPr>
        <w:t>6.</w:t>
      </w:r>
      <w:r>
        <w:tab/>
      </w:r>
      <w:r>
        <w:rPr>
          <w:b/>
        </w:rPr>
        <w:t>Impianti fotoluminescenti</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6.1</w:t>
      </w:r>
      <w:r>
        <w:tab/>
        <w:t>Le strisce PL devono essere larghe almeno 0,075 m. Si possono tuttavia usare strisce più strette se la loro luminescenza viene proporzionalmente aumentata per compensare la riduzione di larghezza.</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6.2</w:t>
      </w:r>
      <w:r>
        <w:tab/>
        <w:t>I materiali fotoluminescenti devono assicurare almeno 15 mcd/m</w:t>
      </w:r>
      <w:r>
        <w:rPr>
          <w:noProof/>
          <w:vertAlign w:val="superscript"/>
        </w:rPr>
        <w:t>2</w:t>
      </w:r>
      <w:r>
        <w:t xml:space="preserve"> misurati 10 minuti dopo l'eliminazione di tutte le fonti di illuminazione esterne. A quel punto, l'impianto deve continuare a fornire valori di luminescenza maggiori di 2 mcd/m</w:t>
      </w:r>
      <w:r>
        <w:rPr>
          <w:noProof/>
          <w:vertAlign w:val="superscript"/>
        </w:rPr>
        <w:t>2</w:t>
      </w:r>
      <w:r>
        <w:t xml:space="preserve"> per 20 minuti.</w:t>
      </w:r>
    </w:p>
    <w:p w:rsidR="004F47BB" w:rsidRPr="004F47BB" w:rsidRDefault="004F47BB" w:rsidP="004F47BB">
      <w:pPr>
        <w:tabs>
          <w:tab w:val="left" w:pos="567"/>
        </w:tabs>
        <w:autoSpaceDE/>
        <w:autoSpaceDN/>
        <w:spacing w:line="240" w:lineRule="atLeast"/>
        <w:ind w:left="567" w:hanging="567"/>
        <w:rPr>
          <w:rFonts w:cs="Arial"/>
        </w:rPr>
      </w:pPr>
      <w:r>
        <w:br w:type="page"/>
      </w:r>
    </w:p>
    <w:p w:rsidR="004F47BB" w:rsidRPr="004F47BB" w:rsidRDefault="004F47BB" w:rsidP="004F47BB">
      <w:pPr>
        <w:tabs>
          <w:tab w:val="left" w:pos="567"/>
        </w:tabs>
        <w:autoSpaceDE/>
        <w:autoSpaceDN/>
        <w:spacing w:line="240" w:lineRule="atLeast"/>
        <w:ind w:left="567" w:hanging="567"/>
        <w:rPr>
          <w:rFonts w:cs="Arial"/>
        </w:rPr>
      </w:pPr>
      <w:r>
        <w:lastRenderedPageBreak/>
        <w:t>6.3</w:t>
      </w:r>
      <w:r>
        <w:tab/>
        <w:t>A qualunque materiale dell'impianto PL si deve garantire almeno il livello minimo di luce ambiente necessario per caricarlo affinché risponda ai suddetti requisiti di luminescenza.</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b/>
        </w:rPr>
      </w:pPr>
      <w:r>
        <w:rPr>
          <w:b/>
        </w:rPr>
        <w:t>7.</w:t>
      </w:r>
      <w:r>
        <w:tab/>
      </w:r>
      <w:r>
        <w:rPr>
          <w:b/>
        </w:rPr>
        <w:t>Impianti elettrici</w:t>
      </w:r>
    </w:p>
    <w:p w:rsidR="004F47BB" w:rsidRPr="004F47BB" w:rsidRDefault="004F47BB" w:rsidP="004F47BB">
      <w:pPr>
        <w:tabs>
          <w:tab w:val="left" w:pos="567"/>
        </w:tabs>
        <w:autoSpaceDE/>
        <w:autoSpaceDN/>
        <w:spacing w:line="240" w:lineRule="atLeast"/>
        <w:ind w:left="567" w:hanging="567"/>
        <w:rPr>
          <w:rFonts w:cs="Arial"/>
          <w:b/>
        </w:rPr>
      </w:pPr>
    </w:p>
    <w:p w:rsidR="004F47BB" w:rsidRPr="004F47BB" w:rsidRDefault="004F47BB" w:rsidP="004F47BB">
      <w:pPr>
        <w:tabs>
          <w:tab w:val="left" w:pos="567"/>
        </w:tabs>
        <w:autoSpaceDE/>
        <w:autoSpaceDN/>
        <w:spacing w:line="240" w:lineRule="atLeast"/>
        <w:ind w:left="567" w:hanging="567"/>
        <w:rPr>
          <w:rFonts w:cs="Arial"/>
        </w:rPr>
      </w:pPr>
      <w:r>
        <w:t>7.1</w:t>
      </w:r>
      <w:r>
        <w:tab/>
        <w:t>Gli impianti elettrici devono essere collegati al quadro di emergenza di cui all'articolo 19.10, paragrafo 4, in maniera tale da essere alimentati dalla fonte principale di corrente elettrica in condizioni normali, ma anche dalla fonte di alimentazione di emergenza quando quest'ultima è in funzione. Ai fini del dimensionamento della capacità della fonte di alimentazione di emergenza, gli impianti EP devono essere inclusi nell'elenco delle utenze di emergenza.</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7.2</w:t>
      </w:r>
      <w:r>
        <w:tab/>
        <w:t>Gli impianti elettrici devono accendersi automaticamente o essere attivabili mediante un'unica operazione dal posto di pilotaggio.</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7.3</w:t>
      </w:r>
      <w:r>
        <w:tab/>
        <w:t xml:space="preserve">Nei casi in cui sono installati impianti elettrici, valgono le seguenti norme di luminescenza: </w:t>
      </w:r>
    </w:p>
    <w:p w:rsidR="004F47BB" w:rsidRPr="004F47BB" w:rsidRDefault="004F47BB" w:rsidP="004F47BB">
      <w:pPr>
        <w:tabs>
          <w:tab w:val="left" w:pos="567"/>
          <w:tab w:val="left" w:pos="992"/>
        </w:tabs>
        <w:autoSpaceDE/>
        <w:autoSpaceDN/>
        <w:spacing w:before="60" w:line="240" w:lineRule="atLeast"/>
        <w:ind w:left="992"/>
        <w:rPr>
          <w:rFonts w:cs="Arial"/>
        </w:rPr>
      </w:pPr>
      <w:r>
        <w:t>1.</w:t>
      </w:r>
      <w:r>
        <w:tab/>
        <w:t>le parti attive degli impianti elettrici devono avere una luminescenza minima di 10 cd/m</w:t>
      </w:r>
      <w:r>
        <w:rPr>
          <w:noProof/>
          <w:vertAlign w:val="superscript"/>
        </w:rPr>
        <w:t>2</w:t>
      </w:r>
      <w:r>
        <w:t>;</w:t>
      </w:r>
    </w:p>
    <w:p w:rsidR="004F47BB" w:rsidRPr="004F47BB" w:rsidRDefault="004F47BB" w:rsidP="004F47BB">
      <w:pPr>
        <w:tabs>
          <w:tab w:val="left" w:pos="567"/>
          <w:tab w:val="left" w:pos="992"/>
        </w:tabs>
        <w:autoSpaceDE/>
        <w:autoSpaceDN/>
        <w:spacing w:before="60" w:line="240" w:lineRule="atLeast"/>
        <w:ind w:left="992"/>
        <w:rPr>
          <w:rFonts w:cs="Arial"/>
        </w:rPr>
      </w:pPr>
      <w:r>
        <w:t>2.</w:t>
      </w:r>
      <w:r>
        <w:tab/>
        <w:t>le sorgenti puntiformi delle mini-lampade incandescenti devono assicurare almeno un'intensità sferica media di 150 mcd con una distanza di non più di 0,1 m tra le lampade;</w:t>
      </w:r>
    </w:p>
    <w:p w:rsidR="004F47BB" w:rsidRPr="004F47BB" w:rsidRDefault="004F47BB" w:rsidP="004F47BB">
      <w:pPr>
        <w:tabs>
          <w:tab w:val="left" w:pos="567"/>
          <w:tab w:val="left" w:pos="992"/>
        </w:tabs>
        <w:autoSpaceDE/>
        <w:autoSpaceDN/>
        <w:spacing w:before="60" w:line="240" w:lineRule="atLeast"/>
        <w:ind w:left="992"/>
        <w:rPr>
          <w:rFonts w:cs="Arial"/>
        </w:rPr>
      </w:pPr>
      <w:r>
        <w:t>3.</w:t>
      </w:r>
      <w:r>
        <w:tab/>
        <w:t>le sorgenti puntiformi degli impianti con diodi a emissione di luce devono avere un'intensità di picco minima di 35 mcd. L'angolo del cono di metà intensità deve essere appropriato alle probabili direzioni di avvicinamento e visualizzazione. La distanza tra le lampade non deve essere superiore a 0,3 m; e</w:t>
      </w:r>
    </w:p>
    <w:p w:rsidR="004F47BB" w:rsidRPr="004F47BB" w:rsidRDefault="004F47BB" w:rsidP="004F47BB">
      <w:pPr>
        <w:tabs>
          <w:tab w:val="left" w:pos="567"/>
          <w:tab w:val="left" w:pos="992"/>
        </w:tabs>
        <w:autoSpaceDE/>
        <w:autoSpaceDN/>
        <w:spacing w:before="60" w:line="240" w:lineRule="atLeast"/>
        <w:ind w:left="992"/>
        <w:rPr>
          <w:rFonts w:cs="Arial"/>
        </w:rPr>
      </w:pPr>
      <w:r>
        <w:t>4.</w:t>
      </w:r>
      <w:r>
        <w:tab/>
        <w:t>in caso di impianti fotoluminescenti, questi devono funzionare per 30 minuti dal momento in cui viene a mancare la fonte di alimentazione principale alla quale devono essere collegati a norma del paragrafo 7.1.</w:t>
      </w:r>
    </w:p>
    <w:p w:rsidR="004F47BB" w:rsidRPr="004F47BB" w:rsidRDefault="004F47BB" w:rsidP="004F47BB">
      <w:pPr>
        <w:tabs>
          <w:tab w:val="left" w:pos="425"/>
        </w:tabs>
        <w:autoSpaceDE/>
        <w:autoSpaceDN/>
        <w:spacing w:line="240" w:lineRule="atLeast"/>
        <w:rPr>
          <w:rFonts w:cs="Arial"/>
        </w:rPr>
      </w:pPr>
    </w:p>
    <w:p w:rsidR="004F47BB" w:rsidRPr="004F47BB" w:rsidRDefault="004F47BB" w:rsidP="004F47BB">
      <w:pPr>
        <w:tabs>
          <w:tab w:val="left" w:pos="567"/>
        </w:tabs>
        <w:autoSpaceDE/>
        <w:autoSpaceDN/>
        <w:spacing w:line="240" w:lineRule="atLeast"/>
        <w:ind w:left="567" w:hanging="567"/>
        <w:rPr>
          <w:rFonts w:cs="Arial"/>
        </w:rPr>
      </w:pPr>
      <w:r>
        <w:t>7.4</w:t>
      </w:r>
      <w:r>
        <w:tab/>
        <w:t>Tutti gli impianti EP devono essere configurati in maniera che il guasto di qualunque punto luce, striscia illuminante o batteria non renda l'indicazione non funzionante.</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7.5</w:t>
      </w:r>
      <w:r>
        <w:tab/>
        <w:t>Gli impianti elettrici devono essere conformi ai requisiti dell'articolo 10.19 per quanto concerne prove di calore e vibrazioni. In deroga all'articolo 10.19, paragrafo 2, lettera c), la prova di calore può essere condotta a una temperatura ambiente di riferimento di 40 °C.</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7.6</w:t>
      </w:r>
      <w:r>
        <w:tab/>
        <w:t>Gli impianti elettrici devono rispettare i requisiti di compatibilità elettromagnetica di cui all'articolo 10.20.</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7.7</w:t>
      </w:r>
      <w:r>
        <w:tab/>
        <w:t>Gli impianti elettrici devono assicurare una protezione minima IP 55 secondo la norma europea IEC 60529:2014.</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br w:type="page"/>
      </w:r>
    </w:p>
    <w:p w:rsidR="004F47BB" w:rsidRPr="004F47BB" w:rsidRDefault="004F47BB" w:rsidP="004F47BB">
      <w:pPr>
        <w:tabs>
          <w:tab w:val="left" w:pos="567"/>
        </w:tabs>
        <w:autoSpaceDE/>
        <w:autoSpaceDN/>
        <w:spacing w:line="240" w:lineRule="atLeast"/>
        <w:ind w:left="567" w:hanging="567"/>
        <w:rPr>
          <w:rFonts w:cs="Arial"/>
          <w:b/>
        </w:rPr>
      </w:pPr>
      <w:r>
        <w:rPr>
          <w:b/>
        </w:rPr>
        <w:lastRenderedPageBreak/>
        <w:t>8.</w:t>
      </w:r>
      <w:r>
        <w:tab/>
      </w:r>
      <w:r>
        <w:rPr>
          <w:b/>
        </w:rPr>
        <w:t>Collaudo</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8.1</w:t>
      </w:r>
      <w:r>
        <w:tab/>
        <w:t>La luminescenza degli impianti LLL deve essere verificata da un esperto</w:t>
      </w:r>
    </w:p>
    <w:p w:rsidR="004F47BB" w:rsidRPr="004F47BB" w:rsidRDefault="004F47BB" w:rsidP="004F47BB">
      <w:pPr>
        <w:tabs>
          <w:tab w:val="left" w:pos="567"/>
        </w:tabs>
        <w:autoSpaceDE/>
        <w:autoSpaceDN/>
        <w:spacing w:before="60" w:line="240" w:lineRule="atLeast"/>
        <w:ind w:left="992"/>
        <w:rPr>
          <w:rFonts w:cs="Arial"/>
        </w:rPr>
      </w:pPr>
      <w:r>
        <w:t>a)</w:t>
      </w:r>
      <w:r>
        <w:tab/>
        <w:t>prima di essere messi in servizio per la prima volta;</w:t>
      </w:r>
    </w:p>
    <w:p w:rsidR="004F47BB" w:rsidRPr="004F47BB" w:rsidRDefault="004F47BB" w:rsidP="004F47BB">
      <w:pPr>
        <w:tabs>
          <w:tab w:val="left" w:pos="567"/>
        </w:tabs>
        <w:autoSpaceDE/>
        <w:autoSpaceDN/>
        <w:spacing w:before="60" w:line="240" w:lineRule="atLeast"/>
        <w:ind w:left="992"/>
        <w:rPr>
          <w:rFonts w:cs="Arial"/>
        </w:rPr>
      </w:pPr>
      <w:r>
        <w:t>b)</w:t>
      </w:r>
      <w:r>
        <w:tab/>
        <w:t>prima di essere reimmessi in servizio dopo una modifica o una riparazione importante; e</w:t>
      </w:r>
    </w:p>
    <w:p w:rsidR="004F47BB" w:rsidRPr="004F47BB" w:rsidRDefault="004F47BB" w:rsidP="004F47BB">
      <w:pPr>
        <w:tabs>
          <w:tab w:val="left" w:pos="567"/>
        </w:tabs>
        <w:autoSpaceDE/>
        <w:autoSpaceDN/>
        <w:spacing w:before="60" w:line="240" w:lineRule="atLeast"/>
        <w:ind w:left="992"/>
        <w:rPr>
          <w:rFonts w:cs="Arial"/>
        </w:rPr>
      </w:pPr>
      <w:r>
        <w:t>c)</w:t>
      </w:r>
      <w:r>
        <w:tab/>
        <w:t>periodicamente, almeno ogni cinque anni.</w:t>
      </w:r>
    </w:p>
    <w:p w:rsidR="004F47BB" w:rsidRPr="004F47BB" w:rsidRDefault="004F47BB" w:rsidP="004F47BB">
      <w:pPr>
        <w:tabs>
          <w:tab w:val="left" w:pos="567"/>
        </w:tabs>
        <w:autoSpaceDE/>
        <w:autoSpaceDN/>
        <w:spacing w:before="60" w:line="240" w:lineRule="atLeast"/>
        <w:ind w:left="567" w:firstLine="0"/>
        <w:rPr>
          <w:rFonts w:cs="Arial"/>
        </w:rPr>
      </w:pPr>
      <w:r>
        <w:t>Le ispezioni di cui alla sottosezione c) supra possono essere effettuate anche da una persona competente formata nei sistemi di indicazioni di sicurezza.</w:t>
      </w:r>
    </w:p>
    <w:p w:rsidR="004F47BB" w:rsidRPr="004F47BB" w:rsidRDefault="004F47BB" w:rsidP="004F47BB">
      <w:pPr>
        <w:tabs>
          <w:tab w:val="left" w:pos="567"/>
        </w:tabs>
        <w:autoSpaceDE/>
        <w:autoSpaceDN/>
        <w:spacing w:before="60"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8.2</w:t>
      </w:r>
      <w:r>
        <w:tab/>
        <w:t>La persona competente o l’esperto che ha effettuato il controllo redige e firma un attestato di ispezione che ne reca la data.</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8.3</w:t>
      </w:r>
      <w:r>
        <w:tab/>
        <w:t>Se, dopo una sola misurazione, la luminescenza non raggiunge i requisiti di cui alla presente istruzione, le misurazioni devono essere eseguite almeno in dieci punti equidistanti. Se più del 30 % delle misurazioni non soddisfa i requisiti della presente istruzione, i sistemi di indicazioni di sicurezza devono essere sostituiti. Se una percentuale compresa tra il 20 % e il 30 % delle misurazioni non soddisfa i requisiti della presente istruzione, i sistemi di indicazioni di sicurezza devono essere nuovamente controllati entro un anno.</w:t>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sectPr w:rsidR="004F47BB" w:rsidRPr="004F47BB" w:rsidSect="00D45887">
          <w:footnotePr>
            <w:numRestart w:val="eachPage"/>
          </w:footnotePr>
          <w:pgSz w:w="11907" w:h="16840" w:code="9"/>
          <w:pgMar w:top="1418" w:right="1418" w:bottom="1418" w:left="1418" w:header="680" w:footer="680" w:gutter="0"/>
          <w:cols w:space="720"/>
          <w:docGrid w:linePitch="326"/>
        </w:sectPr>
      </w:pPr>
    </w:p>
    <w:p w:rsidR="004F47BB" w:rsidRPr="004F47BB" w:rsidRDefault="004F47BB" w:rsidP="00330FC4">
      <w:pPr>
        <w:pStyle w:val="ES-Titre2ESI"/>
        <w:rPr>
          <w:szCs w:val="20"/>
        </w:rPr>
      </w:pPr>
      <w:bookmarkStart w:id="771" w:name="_Toc491854368"/>
      <w:bookmarkStart w:id="772" w:name="_Toc535500317"/>
      <w:r>
        <w:lastRenderedPageBreak/>
        <w:t>ESI-III-5</w:t>
      </w:r>
      <w:r>
        <w:br/>
        <w:t>Idoneo sistema di segnalazione dei gas</w:t>
      </w:r>
      <w:bookmarkEnd w:id="771"/>
      <w:bookmarkEnd w:id="772"/>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center"/>
        <w:rPr>
          <w:b/>
        </w:rPr>
      </w:pPr>
      <w:r>
        <w:rPr>
          <w:b/>
          <w:noProof/>
        </w:rPr>
        <w:t>(Articolo 19.15, paragrafo 8)</w:t>
      </w:r>
    </w:p>
    <w:p w:rsidR="004F47BB" w:rsidRPr="004F47BB" w:rsidRDefault="004F47BB" w:rsidP="004F47BB">
      <w:pPr>
        <w:overflowPunct w:val="0"/>
        <w:adjustRightInd w:val="0"/>
        <w:ind w:left="0" w:firstLine="0"/>
      </w:pPr>
    </w:p>
    <w:p w:rsidR="004F47BB" w:rsidRPr="004F47BB" w:rsidRDefault="004F47BB" w:rsidP="004F47BB">
      <w:pPr>
        <w:tabs>
          <w:tab w:val="left" w:pos="709"/>
        </w:tabs>
        <w:overflowPunct w:val="0"/>
        <w:adjustRightInd w:val="0"/>
        <w:spacing w:line="240" w:lineRule="atLeast"/>
        <w:ind w:left="709" w:hanging="709"/>
      </w:pPr>
      <w:r>
        <w:t>1.</w:t>
      </w:r>
      <w:r>
        <w:tab/>
        <w:t>Conformemente all'articolo 32.02, paragrafo 2, e all'articolo 32.05, paragrafo 5 [rispettivamente disposizioni transitorie riferite all'articolo 19.01, paragrafo 2, lettera e)], gli impianti a gas liquefatto per scopi domestici a bordo di navi da passeggeri esistenti sono utilizzabili unicamente fino al primo rinnovo del certificato per la navigazione interna dopo il 1° gennaio 2045, a condizione che sia presente un idoneo sistema di segnalazione dei gas conformemente all'articolo 19.15, paragrafo 8. Secondo l'articolo 19.15, paragrafo 9, gli impianti a gas liquefatto per scopi domestici potranno, in futuro, anche essere installati a bordo di navi passeggeri messe in esercizio per la prima volta e la cui lunghezza non superi 45 m, sempre che contemporaneamente sia installato un siffatto sistema di segnalazione.</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2.</w:t>
      </w:r>
      <w:r>
        <w:tab/>
        <w:t>A norma dell'articolo 32.02, paragrafo 2, e dell'articolo 32.05, paragrafo 5 (rispettivamente disposizioni transitorie riferite all'articolo 19.15, paragrafo 8), tale sistema di segnalazione dei gas deve essere installato al primo rinnovo del certificato di cui al paragrafo 17.15.</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3.</w:t>
      </w:r>
      <w:r>
        <w:tab/>
        <w:t>Il sistema di segnalazione dei gas è costituito da sensori, apparecchiature e tubi ed è ritenuto idoneo se risponde almeno ai seguenti requisiti obbligatori:</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3.1</w:t>
      </w:r>
      <w:r>
        <w:tab/>
        <w:t>Requisiti relativi al sistema (sensori, apparecchiature, tubi):</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noProof/>
          <w:snapToGrid w:val="0"/>
        </w:rPr>
      </w:pPr>
      <w:r>
        <w:t>3.1.1</w:t>
      </w:r>
      <w:r>
        <w:tab/>
        <w:t>La segnalazione dei gas deve scattare almeno quando si raggiunge o si supera uno dei seguenti valori:</w:t>
      </w:r>
    </w:p>
    <w:p w:rsidR="004F47BB" w:rsidRPr="004F47BB" w:rsidRDefault="004F47BB" w:rsidP="004F47BB">
      <w:pPr>
        <w:tabs>
          <w:tab w:val="left" w:pos="1134"/>
        </w:tabs>
        <w:overflowPunct w:val="0"/>
        <w:adjustRightInd w:val="0"/>
        <w:spacing w:before="60" w:line="240" w:lineRule="atLeast"/>
        <w:ind w:left="1134"/>
        <w:rPr>
          <w:noProof/>
          <w:snapToGrid w:val="0"/>
        </w:rPr>
      </w:pPr>
      <w:r>
        <w:t>a)</w:t>
      </w:r>
      <w:r>
        <w:tab/>
        <w:t>10 % del limite minimo di esplosione (LEL) di una miscela propano-aria; e</w:t>
      </w:r>
    </w:p>
    <w:p w:rsidR="004F47BB" w:rsidRPr="004F47BB" w:rsidRDefault="004F47BB" w:rsidP="004F47BB">
      <w:pPr>
        <w:tabs>
          <w:tab w:val="left" w:pos="1134"/>
        </w:tabs>
        <w:overflowPunct w:val="0"/>
        <w:adjustRightInd w:val="0"/>
        <w:spacing w:before="60" w:line="240" w:lineRule="atLeast"/>
        <w:ind w:left="1134"/>
        <w:rPr>
          <w:noProof/>
          <w:snapToGrid w:val="0"/>
        </w:rPr>
      </w:pPr>
      <w:r>
        <w:t>b)</w:t>
      </w:r>
      <w:r>
        <w:tab/>
        <w:t>30 ppm di CO (monossido di carbonio).</w:t>
      </w:r>
    </w:p>
    <w:p w:rsidR="004F47BB" w:rsidRPr="004F47BB" w:rsidRDefault="004F47BB" w:rsidP="004F47BB">
      <w:pPr>
        <w:tabs>
          <w:tab w:val="left" w:pos="709"/>
        </w:tabs>
        <w:overflowPunct w:val="0"/>
        <w:adjustRightInd w:val="0"/>
        <w:spacing w:line="240" w:lineRule="atLeast"/>
        <w:ind w:left="709" w:hanging="709"/>
        <w:rPr>
          <w:noProof/>
          <w:snapToGrid w:val="0"/>
        </w:rPr>
      </w:pPr>
    </w:p>
    <w:p w:rsidR="004F47BB" w:rsidRPr="004F47BB" w:rsidRDefault="004F47BB" w:rsidP="004F47BB">
      <w:pPr>
        <w:overflowPunct w:val="0"/>
        <w:adjustRightInd w:val="0"/>
        <w:ind w:left="709" w:hanging="709"/>
        <w:rPr>
          <w:rFonts w:cs="Arial"/>
          <w:szCs w:val="20"/>
        </w:rPr>
      </w:pPr>
      <w:r>
        <w:t>3.1.2</w:t>
      </w:r>
      <w:r>
        <w:tab/>
        <w:t>Il tempo di attivazione dell'allarme per l'intero sistema non deve superare 20 s.</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3.1.3</w:t>
      </w:r>
      <w:r>
        <w:tab/>
        <w:t>Le soglie di cui ai punti 3.1.1 e 3.1.2 non devono essere regolabili.</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3.1.4</w:t>
      </w:r>
      <w:r>
        <w:tab/>
        <w:t>La produzione di gas di prova deve essere progettata in maniera tale da garantire il rilevamento di qualunque interruzione od ostruzione. Qualunque falsificazione dovuta a immissione di aria o perdita di gas di prova a causa di una fuoriuscita deve essere evitata o rilevata e segnalata.</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3.1.5</w:t>
      </w:r>
      <w:r>
        <w:tab/>
        <w:t>Il sistema deve essere progettato per temperature comprese tra -10 °C e 40 °C e un'umidità dell'aria compresa tra il 20 % e il 100 %.</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3.1.6</w:t>
      </w:r>
      <w:r>
        <w:tab/>
        <w:t>Il sistema di segnalazione dei gas deve essere autocontrollato. Deve inoltre essere impossibile spegnere il sistema senza autorizzazione.</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3.1.7</w:t>
      </w:r>
      <w:r>
        <w:tab/>
        <w:t>Il sistema di segnalazione dei gas alimentato dalla rete elettrica di bordo deve prevedere un'alimentazione di riserva in caso di interruzione dell'alimentazione principale. Le apparecchiature a batteria devono essere provviste di un dispositivo di segnalazione che indichi il calo della tensione della batteria.</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br w:type="page"/>
      </w:r>
    </w:p>
    <w:p w:rsidR="004F47BB" w:rsidRPr="004F47BB" w:rsidRDefault="004F47BB" w:rsidP="004F47BB">
      <w:pPr>
        <w:tabs>
          <w:tab w:val="left" w:pos="709"/>
        </w:tabs>
        <w:overflowPunct w:val="0"/>
        <w:adjustRightInd w:val="0"/>
        <w:spacing w:line="240" w:lineRule="atLeast"/>
        <w:ind w:left="709" w:hanging="709"/>
        <w:rPr>
          <w:snapToGrid w:val="0"/>
        </w:rPr>
      </w:pPr>
      <w:r>
        <w:lastRenderedPageBreak/>
        <w:t>3.2</w:t>
      </w:r>
      <w:r>
        <w:tab/>
        <w:t>Requisiti relativi al sistema:</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3.2.1</w:t>
      </w:r>
      <w:r>
        <w:tab/>
        <w:t>Il sistema deve essere costituito da un'unità di valutazione e visualizzazione.</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3.2.2</w:t>
      </w:r>
      <w:r>
        <w:tab/>
        <w:t>L'allarme indicante che le soglie di cui al punto 3.1.1, lettere a) e b), sono state raggiunte o superate deve essere dato otticamente e acusticamente sia nel locale sorvegliato che nella timoneria o in corrispondenza di qualunque altra postazione costantemente presidiata. L'allarme deve essere chiaramente visibile e udibile anche in condizioni di esercizio con il massimo livello di rumore. L'allarme, inoltre, deve essere chiaramente distinguibile da qualunque altro segnale acustico e ottico nel locale da proteggere. L'allarme acustico deve essere chiaramente udibile anche con le porte di collegamento chiuse in corrispondenza degli ingressi o dei locali confinanti.</w:t>
      </w:r>
    </w:p>
    <w:p w:rsidR="004F47BB" w:rsidRPr="004F47BB" w:rsidRDefault="004F47BB" w:rsidP="004F47BB">
      <w:pPr>
        <w:tabs>
          <w:tab w:val="left" w:pos="709"/>
        </w:tabs>
        <w:overflowPunct w:val="0"/>
        <w:adjustRightInd w:val="0"/>
        <w:spacing w:line="240" w:lineRule="atLeast"/>
        <w:ind w:left="709" w:hanging="709"/>
        <w:rPr>
          <w:snapToGrid w:val="0"/>
        </w:rPr>
      </w:pPr>
      <w:r>
        <w:tab/>
        <w:t xml:space="preserve">L'allarme acustico può essere tacitabile dopo l'attivazione, mentre l'allarme deve essere annullabile unicamente se i valori scendono nuovamente al di sotto delle soglie indicate nel punto 3.1.1; </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noProof/>
          <w:snapToGrid w:val="0"/>
        </w:rPr>
      </w:pPr>
      <w:r>
        <w:t>3.2.3</w:t>
      </w:r>
      <w:r>
        <w:tab/>
        <w:t>deve essere possibile rilevare separatamente e attribuire chiaramente le segnalazioni indicanti che le soglie di cui al punto 3.1.1, lettere a) e b), sono state raggiunte o superate.</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3.2.4</w:t>
      </w:r>
      <w:r>
        <w:tab/>
        <w:t>Se le apparecchiature sono in uno stato particolare (avviamento, guasto, calibratura, parametrizzazione, manutenzione, ecc.), tale stato deve essere riportato. Il guasto dell'intero sistema o di uno dei suoi componenti deve essere indicato da un allarme analogo a quello descritto nel punto 3.2.2. L'allarme acustico può essere tacitabile dopo l'attivazione, mentre l'allarme ottico deve essere eliminabile soltanto nel caso in cui il guasto sia stato risolto.</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3.2.5</w:t>
      </w:r>
      <w:r>
        <w:tab/>
        <w:t>Qualora possano essere prodotti diversi rapporti (soglie, stato particolare), deve anche essere possibile distinguerli l'uno dall'altro e attribuirli chiaramente. Ove del caso, deve essere visualizzato un segnale cumulativo indicante che non è possibile produrre tutti i rapporti. In tal caso, i rapporti devono essere prodotti in ordine di priorità, partendo da quello più importante ai fini della sicurezza. Deve inoltre essere possibile visualizzare i rapporti che non possono essere prodotti premendo un pulsante. L'ordine di priorità deve risultare evidente dalla documentazione dell'apparecchiatura.</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noProof/>
          <w:snapToGrid w:val="0"/>
        </w:rPr>
      </w:pPr>
      <w:r>
        <w:t>3.2.6</w:t>
      </w:r>
      <w:r>
        <w:tab/>
        <w:t>Il sistema deve essere progettato in maniera tale che non siano possibili interferenze non autorizzate.</w:t>
      </w:r>
    </w:p>
    <w:p w:rsidR="004F47BB" w:rsidRPr="004F47BB" w:rsidRDefault="004F47BB" w:rsidP="004F47BB">
      <w:pPr>
        <w:tabs>
          <w:tab w:val="left" w:pos="709"/>
        </w:tabs>
        <w:overflowPunct w:val="0"/>
        <w:adjustRightInd w:val="0"/>
        <w:spacing w:line="240" w:lineRule="atLeast"/>
        <w:ind w:left="709" w:hanging="709"/>
        <w:rPr>
          <w:noProof/>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3.2.7</w:t>
      </w:r>
      <w:r>
        <w:tab/>
        <w:t>In tutti i casi in cui si utilizzano sistemi di rilevamento e allarme, l'unità di controllo degli allarmi e il pannello di segnalazione devono essere disposti e azionabili dall'esterno degli spazi contenenti impianti di stoccaggio e consumo dei gas.</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3.3</w:t>
      </w:r>
      <w:r>
        <w:tab/>
        <w:t>Requisiti relativi ai sensori/dispositivi di campionamento:</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3.3.1</w:t>
      </w:r>
      <w:r>
        <w:tab/>
        <w:t>In ogni locale contenente impianti di consumo, in prossimità di tali apparecchiature occorre prevedere sensori del sistema di segnalazione dei gas. I sensori/dispositivi di campionamento devono essere installati in maniera tale che l'accumulo di gas sia rilevato prima di raggiungere le soglie di cui al punto 3.1.1. La configurazione e l'installazione dei sensori devono essere documentate. La scelta delle posizioni deve essere confermata dal fabbricante o dall'impresa specializzata che installa il sistema. I tubi dei dispositivi di campionamento devono essere i più corti possibile.</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3.3.2</w:t>
      </w:r>
      <w:r>
        <w:tab/>
        <w:t>I sensori devono essere facilmente accessibili per consentirne la regolare calibratura e manutenzione, nonché i controlli di sicurezza.</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3.4</w:t>
      </w:r>
      <w:r>
        <w:tab/>
        <w:t>Requisiti relativi all'installazione:</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3.4.1</w:t>
      </w:r>
      <w:r>
        <w:tab/>
        <w:t>L'intero sistema di segnalazione dei gas deve essere installato da un'impresa specializzata.</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br w:type="page"/>
      </w:r>
    </w:p>
    <w:p w:rsidR="004F47BB" w:rsidRPr="004F47BB" w:rsidRDefault="004F47BB" w:rsidP="004F47BB">
      <w:pPr>
        <w:tabs>
          <w:tab w:val="left" w:pos="709"/>
        </w:tabs>
        <w:overflowPunct w:val="0"/>
        <w:adjustRightInd w:val="0"/>
        <w:spacing w:line="240" w:lineRule="atLeast"/>
        <w:ind w:left="709" w:hanging="709"/>
        <w:rPr>
          <w:noProof/>
          <w:snapToGrid w:val="0"/>
        </w:rPr>
      </w:pPr>
      <w:r>
        <w:lastRenderedPageBreak/>
        <w:t>3.4.2</w:t>
      </w:r>
      <w:r>
        <w:tab/>
        <w:t>Per l'installazione, occorre tenere presenti i seguenti aspetti:</w:t>
      </w:r>
    </w:p>
    <w:p w:rsidR="004F47BB" w:rsidRPr="004F47BB" w:rsidRDefault="004F47BB" w:rsidP="004F47BB">
      <w:pPr>
        <w:tabs>
          <w:tab w:val="left" w:pos="1134"/>
        </w:tabs>
        <w:overflowPunct w:val="0"/>
        <w:adjustRightInd w:val="0"/>
        <w:spacing w:before="60" w:line="240" w:lineRule="atLeast"/>
        <w:ind w:left="1134"/>
        <w:rPr>
          <w:noProof/>
          <w:snapToGrid w:val="0"/>
        </w:rPr>
      </w:pPr>
      <w:r>
        <w:t>a)</w:t>
      </w:r>
      <w:r>
        <w:tab/>
        <w:t>impianti di ventilazione locali;</w:t>
      </w:r>
    </w:p>
    <w:p w:rsidR="004F47BB" w:rsidRPr="004F47BB" w:rsidRDefault="004F47BB" w:rsidP="004F47BB">
      <w:pPr>
        <w:tabs>
          <w:tab w:val="left" w:pos="1134"/>
        </w:tabs>
        <w:overflowPunct w:val="0"/>
        <w:adjustRightInd w:val="0"/>
        <w:spacing w:before="60" w:line="240" w:lineRule="atLeast"/>
        <w:ind w:left="1134"/>
        <w:rPr>
          <w:noProof/>
          <w:snapToGrid w:val="0"/>
        </w:rPr>
      </w:pPr>
      <w:r>
        <w:t>b)</w:t>
      </w:r>
      <w:r>
        <w:tab/>
        <w:t>elementi strutturali (disposizione di pareti, paratie divisorie, ecc.) che agevolano o complicano l'accumulo di gas; e</w:t>
      </w:r>
    </w:p>
    <w:p w:rsidR="004F47BB" w:rsidRPr="004F47BB" w:rsidRDefault="004F47BB" w:rsidP="004F47BB">
      <w:pPr>
        <w:tabs>
          <w:tab w:val="left" w:pos="1134"/>
        </w:tabs>
        <w:overflowPunct w:val="0"/>
        <w:adjustRightInd w:val="0"/>
        <w:spacing w:before="60" w:line="240" w:lineRule="atLeast"/>
        <w:ind w:left="1134"/>
        <w:rPr>
          <w:noProof/>
          <w:snapToGrid w:val="0"/>
        </w:rPr>
      </w:pPr>
      <w:r>
        <w:t>c)</w:t>
      </w:r>
      <w:r>
        <w:tab/>
        <w:t>prevenzione di effetti avversi dovuti a danni meccanici, acqua o danni da calore.</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3.4.3</w:t>
      </w:r>
      <w:r>
        <w:tab/>
        <w:t>Tutti i tubi dei dispositivi di campionamento devono essere disposti in maniera tale da rendere impossibile la formazione di condensa.</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3.4.4</w:t>
      </w:r>
      <w:r>
        <w:tab/>
        <w:t>L'installazione deve essere eseguita in modo tale da rendere impossibile qualunque manomissione non autorizzata.</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4.</w:t>
      </w:r>
      <w:r>
        <w:tab/>
        <w:t>Taratura e ispezione dei rilevatori di fughe di gas, sostituzione di parti con durata di funzionamento limitata.</w:t>
      </w:r>
    </w:p>
    <w:p w:rsidR="004F47BB" w:rsidRPr="004F47BB" w:rsidRDefault="004F47BB" w:rsidP="004F47BB">
      <w:pPr>
        <w:overflowPunct w:val="0"/>
        <w:adjustRightInd w:val="0"/>
        <w:spacing w:line="240" w:lineRule="atLeast"/>
        <w:ind w:left="0" w:firstLine="0"/>
        <w:rPr>
          <w:b/>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4.1</w:t>
      </w:r>
      <w:r>
        <w:tab/>
        <w:t>I rilevatori di fughe di gas devono essere tarati e ispezionati da un esperto o da una persona competente secondo le indicazioni del fabbricante:</w:t>
      </w:r>
    </w:p>
    <w:p w:rsidR="004F47BB" w:rsidRPr="004F47BB" w:rsidRDefault="004F47BB" w:rsidP="004F47BB">
      <w:pPr>
        <w:tabs>
          <w:tab w:val="left" w:pos="1134"/>
        </w:tabs>
        <w:overflowPunct w:val="0"/>
        <w:adjustRightInd w:val="0"/>
        <w:spacing w:before="60" w:line="240" w:lineRule="atLeast"/>
        <w:ind w:left="1134"/>
        <w:rPr>
          <w:noProof/>
          <w:snapToGrid w:val="0"/>
        </w:rPr>
      </w:pPr>
      <w:r>
        <w:t>a)</w:t>
      </w:r>
      <w:r>
        <w:tab/>
        <w:t>prima di essere messi in servizio per la prima volta;</w:t>
      </w:r>
    </w:p>
    <w:p w:rsidR="004F47BB" w:rsidRPr="004F47BB" w:rsidRDefault="004F47BB" w:rsidP="004F47BB">
      <w:pPr>
        <w:tabs>
          <w:tab w:val="left" w:pos="1134"/>
        </w:tabs>
        <w:overflowPunct w:val="0"/>
        <w:adjustRightInd w:val="0"/>
        <w:spacing w:before="60" w:line="240" w:lineRule="atLeast"/>
        <w:ind w:left="1134"/>
        <w:rPr>
          <w:noProof/>
          <w:snapToGrid w:val="0"/>
        </w:rPr>
      </w:pPr>
      <w:r>
        <w:t>b)</w:t>
      </w:r>
      <w:r>
        <w:tab/>
        <w:t>prima di essere reimmessi in servizio dopo una modifica o una riparazione importante; e</w:t>
      </w:r>
    </w:p>
    <w:p w:rsidR="004F47BB" w:rsidRPr="004F47BB" w:rsidRDefault="004F47BB" w:rsidP="004F47BB">
      <w:pPr>
        <w:tabs>
          <w:tab w:val="left" w:pos="1134"/>
        </w:tabs>
        <w:overflowPunct w:val="0"/>
        <w:adjustRightInd w:val="0"/>
        <w:spacing w:before="60" w:line="240" w:lineRule="atLeast"/>
        <w:ind w:left="1134"/>
        <w:rPr>
          <w:noProof/>
          <w:snapToGrid w:val="0"/>
        </w:rPr>
      </w:pPr>
      <w:r>
        <w:t>c)</w:t>
      </w:r>
      <w:r>
        <w:tab/>
        <w:t>periodicamente.</w:t>
      </w:r>
    </w:p>
    <w:p w:rsidR="004F47BB" w:rsidRPr="004F47BB" w:rsidRDefault="004F47BB" w:rsidP="004F47BB">
      <w:pPr>
        <w:tabs>
          <w:tab w:val="left" w:pos="1134"/>
        </w:tabs>
        <w:overflowPunct w:val="0"/>
        <w:adjustRightInd w:val="0"/>
        <w:spacing w:before="60" w:line="240" w:lineRule="atLeast"/>
        <w:ind w:left="709" w:firstLine="0"/>
        <w:rPr>
          <w:noProof/>
          <w:snapToGrid w:val="0"/>
        </w:rPr>
      </w:pPr>
      <w:r>
        <w:t>La persona competente o l’esperto che ha effettuato la taratura e il controllo redige e firma un attestato di ispezione che ne reca la data.</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4.2</w:t>
      </w:r>
      <w:r>
        <w:tab/>
        <w:t>Le parti dei sistemi di segnalazione dei gas che hanno una durata di funzionamento limitata devono essere sostituite prima della scadenza della durata di funzionamento specificata.</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5</w:t>
      </w:r>
      <w:r>
        <w:tab/>
        <w:t>Marcatura:</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noProof/>
          <w:snapToGrid w:val="0"/>
        </w:rPr>
      </w:pPr>
      <w:r>
        <w:t>5.1</w:t>
      </w:r>
      <w:r>
        <w:tab/>
        <w:t>Tutte le apparecchiature devono riportare almeno le seguenti informazioni in forma chiaramente leggibile e indelebile:</w:t>
      </w:r>
    </w:p>
    <w:p w:rsidR="004F47BB" w:rsidRPr="004F47BB" w:rsidRDefault="004F47BB" w:rsidP="004F47BB">
      <w:pPr>
        <w:tabs>
          <w:tab w:val="left" w:pos="1134"/>
        </w:tabs>
        <w:overflowPunct w:val="0"/>
        <w:adjustRightInd w:val="0"/>
        <w:spacing w:before="60" w:line="240" w:lineRule="atLeast"/>
        <w:ind w:left="1134"/>
        <w:rPr>
          <w:noProof/>
          <w:snapToGrid w:val="0"/>
        </w:rPr>
      </w:pPr>
      <w:r>
        <w:t>a)</w:t>
      </w:r>
      <w:r>
        <w:tab/>
        <w:t>nome del costruttore e suo indirizzo;</w:t>
      </w:r>
    </w:p>
    <w:p w:rsidR="004F47BB" w:rsidRPr="004F47BB" w:rsidRDefault="004F47BB" w:rsidP="004F47BB">
      <w:pPr>
        <w:tabs>
          <w:tab w:val="left" w:pos="1134"/>
        </w:tabs>
        <w:overflowPunct w:val="0"/>
        <w:adjustRightInd w:val="0"/>
        <w:spacing w:before="60" w:line="240" w:lineRule="atLeast"/>
        <w:ind w:left="1134"/>
        <w:rPr>
          <w:noProof/>
          <w:snapToGrid w:val="0"/>
        </w:rPr>
      </w:pPr>
      <w:r>
        <w:t>b)</w:t>
      </w:r>
      <w:r>
        <w:tab/>
        <w:t>marcatura prevista dalla legge;</w:t>
      </w:r>
    </w:p>
    <w:p w:rsidR="004F47BB" w:rsidRPr="004F47BB" w:rsidRDefault="004F47BB" w:rsidP="004F47BB">
      <w:pPr>
        <w:tabs>
          <w:tab w:val="left" w:pos="1134"/>
        </w:tabs>
        <w:overflowPunct w:val="0"/>
        <w:adjustRightInd w:val="0"/>
        <w:spacing w:before="60" w:line="240" w:lineRule="atLeast"/>
        <w:ind w:left="1134"/>
        <w:rPr>
          <w:noProof/>
          <w:snapToGrid w:val="0"/>
        </w:rPr>
      </w:pPr>
      <w:r>
        <w:t>c)</w:t>
      </w:r>
      <w:r>
        <w:tab/>
        <w:t>designazione della serie e del tipo;</w:t>
      </w:r>
    </w:p>
    <w:p w:rsidR="004F47BB" w:rsidRPr="004F47BB" w:rsidRDefault="004F47BB" w:rsidP="004F47BB">
      <w:pPr>
        <w:tabs>
          <w:tab w:val="left" w:pos="1134"/>
        </w:tabs>
        <w:overflowPunct w:val="0"/>
        <w:adjustRightInd w:val="0"/>
        <w:spacing w:before="60" w:line="240" w:lineRule="atLeast"/>
        <w:ind w:left="1134"/>
        <w:rPr>
          <w:noProof/>
          <w:snapToGrid w:val="0"/>
        </w:rPr>
      </w:pPr>
      <w:r>
        <w:t>d)</w:t>
      </w:r>
      <w:r>
        <w:tab/>
        <w:t>se possibile, numero di serie;</w:t>
      </w:r>
    </w:p>
    <w:p w:rsidR="004F47BB" w:rsidRPr="004F47BB" w:rsidRDefault="004F47BB" w:rsidP="004F47BB">
      <w:pPr>
        <w:tabs>
          <w:tab w:val="left" w:pos="1134"/>
        </w:tabs>
        <w:overflowPunct w:val="0"/>
        <w:adjustRightInd w:val="0"/>
        <w:spacing w:before="60" w:line="240" w:lineRule="atLeast"/>
        <w:ind w:left="1134"/>
        <w:rPr>
          <w:noProof/>
          <w:snapToGrid w:val="0"/>
        </w:rPr>
      </w:pPr>
      <w:r>
        <w:t>e)</w:t>
      </w:r>
      <w:r>
        <w:tab/>
        <w:t>ove del caso, eventuali raccomandazioni indispensabili per l'uso sicuro; e</w:t>
      </w:r>
    </w:p>
    <w:p w:rsidR="004F47BB" w:rsidRPr="004F47BB" w:rsidRDefault="004F47BB" w:rsidP="004F47BB">
      <w:pPr>
        <w:tabs>
          <w:tab w:val="left" w:pos="1134"/>
        </w:tabs>
        <w:overflowPunct w:val="0"/>
        <w:adjustRightInd w:val="0"/>
        <w:spacing w:before="60" w:line="240" w:lineRule="atLeast"/>
        <w:ind w:left="1134"/>
        <w:rPr>
          <w:noProof/>
          <w:snapToGrid w:val="0"/>
        </w:rPr>
      </w:pPr>
      <w:r>
        <w:t>f)</w:t>
      </w:r>
      <w:r>
        <w:tab/>
        <w:t>per ogni sensore, indicazione del gas di calibratura.</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t>5.2</w:t>
      </w:r>
      <w:r>
        <w:tab/>
        <w:t>I componenti del sistema di segnalazione dei gas con durata limitata devono essere chiaramente contrassegnati in quanto tali.</w:t>
      </w:r>
    </w:p>
    <w:p w:rsidR="004F47BB" w:rsidRPr="004F47BB" w:rsidRDefault="004F47BB" w:rsidP="004F47BB">
      <w:pPr>
        <w:tabs>
          <w:tab w:val="left" w:pos="709"/>
        </w:tabs>
        <w:overflowPunct w:val="0"/>
        <w:adjustRightInd w:val="0"/>
        <w:spacing w:line="240" w:lineRule="atLeast"/>
        <w:ind w:left="709" w:hanging="709"/>
        <w:rPr>
          <w:snapToGrid w:val="0"/>
        </w:rPr>
      </w:pPr>
    </w:p>
    <w:p w:rsidR="004F47BB" w:rsidRPr="004F47BB" w:rsidRDefault="004F47BB" w:rsidP="004F47BB">
      <w:pPr>
        <w:tabs>
          <w:tab w:val="left" w:pos="709"/>
        </w:tabs>
        <w:overflowPunct w:val="0"/>
        <w:adjustRightInd w:val="0"/>
        <w:spacing w:line="240" w:lineRule="atLeast"/>
        <w:ind w:left="709" w:hanging="709"/>
        <w:rPr>
          <w:snapToGrid w:val="0"/>
        </w:rPr>
      </w:pPr>
      <w:r>
        <w:br w:type="page"/>
      </w:r>
    </w:p>
    <w:p w:rsidR="004F47BB" w:rsidRPr="004F47BB" w:rsidRDefault="004F47BB" w:rsidP="004F47BB">
      <w:pPr>
        <w:tabs>
          <w:tab w:val="left" w:pos="709"/>
        </w:tabs>
        <w:overflowPunct w:val="0"/>
        <w:adjustRightInd w:val="0"/>
        <w:spacing w:line="240" w:lineRule="atLeast"/>
        <w:ind w:left="709" w:hanging="709"/>
        <w:rPr>
          <w:snapToGrid w:val="0"/>
        </w:rPr>
      </w:pPr>
      <w:r>
        <w:lastRenderedPageBreak/>
        <w:t>6.</w:t>
      </w:r>
      <w:r>
        <w:tab/>
        <w:t>Dettagli del fabbricante concernenti il sistema di segnalazione dei gas:</w:t>
      </w:r>
    </w:p>
    <w:p w:rsidR="004F47BB" w:rsidRPr="004F47BB" w:rsidRDefault="004F47BB" w:rsidP="004F47BB">
      <w:pPr>
        <w:tabs>
          <w:tab w:val="left" w:pos="1134"/>
        </w:tabs>
        <w:overflowPunct w:val="0"/>
        <w:adjustRightInd w:val="0"/>
        <w:spacing w:before="60" w:line="240" w:lineRule="atLeast"/>
        <w:ind w:left="1134"/>
        <w:rPr>
          <w:noProof/>
          <w:snapToGrid w:val="0"/>
        </w:rPr>
      </w:pPr>
      <w:r>
        <w:t>a)</w:t>
      </w:r>
      <w:r>
        <w:tab/>
        <w:t>istruzioni complete, disegni e schemi relativi al funzionamento sicuro e corretto, nonché all'installazione, all'avviamento e alla manutenzione del sistema di segnalazione dei gas;</w:t>
      </w:r>
    </w:p>
    <w:p w:rsidR="004F47BB" w:rsidRPr="004F47BB" w:rsidRDefault="004F47BB" w:rsidP="004F47BB">
      <w:pPr>
        <w:tabs>
          <w:tab w:val="left" w:pos="1134"/>
        </w:tabs>
        <w:overflowPunct w:val="0"/>
        <w:adjustRightInd w:val="0"/>
        <w:spacing w:before="60" w:line="240" w:lineRule="atLeast"/>
        <w:ind w:left="1134"/>
        <w:rPr>
          <w:noProof/>
          <w:snapToGrid w:val="0"/>
        </w:rPr>
      </w:pPr>
      <w:r>
        <w:t>b)</w:t>
      </w:r>
      <w:r>
        <w:tab/>
        <w:t>istruzioni di funzionamento contenenti almeno:</w:t>
      </w:r>
    </w:p>
    <w:p w:rsidR="004F47BB" w:rsidRPr="004F47BB" w:rsidRDefault="004F47BB" w:rsidP="004F47BB">
      <w:pPr>
        <w:tabs>
          <w:tab w:val="left" w:pos="1134"/>
        </w:tabs>
        <w:overflowPunct w:val="0"/>
        <w:adjustRightInd w:val="0"/>
        <w:spacing w:before="60" w:line="240" w:lineRule="atLeast"/>
        <w:ind w:left="1559"/>
        <w:rPr>
          <w:noProof/>
          <w:snapToGrid w:val="0"/>
        </w:rPr>
      </w:pPr>
      <w:r>
        <w:t>aa)</w:t>
      </w:r>
      <w:r>
        <w:tab/>
        <w:t>misure da adottare in caso di segnalazione di errore o allarme;</w:t>
      </w:r>
    </w:p>
    <w:p w:rsidR="004F47BB" w:rsidRPr="004F47BB" w:rsidRDefault="004F47BB" w:rsidP="004F47BB">
      <w:pPr>
        <w:tabs>
          <w:tab w:val="left" w:pos="1134"/>
        </w:tabs>
        <w:overflowPunct w:val="0"/>
        <w:adjustRightInd w:val="0"/>
        <w:spacing w:before="60" w:line="240" w:lineRule="atLeast"/>
        <w:ind w:left="1559"/>
        <w:rPr>
          <w:noProof/>
          <w:snapToGrid w:val="0"/>
        </w:rPr>
      </w:pPr>
      <w:r>
        <w:t>bb)</w:t>
      </w:r>
      <w:r>
        <w:tab/>
        <w:t>misure di sicurezza da adottare in caso di indisponibilità (ad esempio, calibratura, ispezione, interruzione); e</w:t>
      </w:r>
    </w:p>
    <w:p w:rsidR="004F47BB" w:rsidRPr="004F47BB" w:rsidRDefault="004F47BB" w:rsidP="004F47BB">
      <w:pPr>
        <w:tabs>
          <w:tab w:val="left" w:pos="1134"/>
        </w:tabs>
        <w:overflowPunct w:val="0"/>
        <w:adjustRightInd w:val="0"/>
        <w:spacing w:before="60" w:line="240" w:lineRule="atLeast"/>
        <w:ind w:left="1559"/>
        <w:rPr>
          <w:noProof/>
          <w:snapToGrid w:val="0"/>
        </w:rPr>
      </w:pPr>
      <w:r>
        <w:t>cc)</w:t>
      </w:r>
      <w:r>
        <w:tab/>
        <w:t>responsabili dell'installazione e della manutenzione;</w:t>
      </w:r>
    </w:p>
    <w:p w:rsidR="004F47BB" w:rsidRPr="004F47BB" w:rsidRDefault="004F47BB" w:rsidP="004F47BB">
      <w:pPr>
        <w:tabs>
          <w:tab w:val="left" w:pos="1134"/>
        </w:tabs>
        <w:overflowPunct w:val="0"/>
        <w:adjustRightInd w:val="0"/>
        <w:spacing w:before="60" w:line="240" w:lineRule="atLeast"/>
        <w:ind w:left="1134"/>
        <w:rPr>
          <w:noProof/>
          <w:snapToGrid w:val="0"/>
        </w:rPr>
      </w:pPr>
      <w:r>
        <w:t>c)</w:t>
      </w:r>
      <w:r>
        <w:tab/>
        <w:t>istruzioni per la calibratura prima dell'avviamento e per la calibratura di routine, tra cui frequenze da rispettare;</w:t>
      </w:r>
    </w:p>
    <w:p w:rsidR="004F47BB" w:rsidRPr="004F47BB" w:rsidRDefault="004F47BB" w:rsidP="004F47BB">
      <w:pPr>
        <w:tabs>
          <w:tab w:val="left" w:pos="1134"/>
        </w:tabs>
        <w:overflowPunct w:val="0"/>
        <w:adjustRightInd w:val="0"/>
        <w:spacing w:before="60" w:line="240" w:lineRule="atLeast"/>
        <w:ind w:left="1134"/>
        <w:rPr>
          <w:noProof/>
          <w:snapToGrid w:val="0"/>
        </w:rPr>
      </w:pPr>
      <w:r>
        <w:t>d)</w:t>
      </w:r>
      <w:r>
        <w:tab/>
        <w:t>tensione di alimentazione;</w:t>
      </w:r>
    </w:p>
    <w:p w:rsidR="004F47BB" w:rsidRPr="004F47BB" w:rsidRDefault="004F47BB" w:rsidP="004F47BB">
      <w:pPr>
        <w:tabs>
          <w:tab w:val="left" w:pos="1134"/>
        </w:tabs>
        <w:overflowPunct w:val="0"/>
        <w:adjustRightInd w:val="0"/>
        <w:spacing w:before="60" w:line="240" w:lineRule="atLeast"/>
        <w:ind w:left="1134"/>
        <w:rPr>
          <w:noProof/>
          <w:snapToGrid w:val="0"/>
        </w:rPr>
      </w:pPr>
      <w:r>
        <w:t>e)</w:t>
      </w:r>
      <w:r>
        <w:tab/>
        <w:t>tipo e significato degli allarmi e delle indicazioni visualizzate (ad esempio, stato particolare);</w:t>
      </w:r>
    </w:p>
    <w:p w:rsidR="004F47BB" w:rsidRPr="004F47BB" w:rsidRDefault="004F47BB" w:rsidP="004F47BB">
      <w:pPr>
        <w:tabs>
          <w:tab w:val="left" w:pos="1134"/>
        </w:tabs>
        <w:overflowPunct w:val="0"/>
        <w:adjustRightInd w:val="0"/>
        <w:spacing w:before="60" w:line="240" w:lineRule="atLeast"/>
        <w:ind w:left="1134"/>
        <w:rPr>
          <w:noProof/>
          <w:snapToGrid w:val="0"/>
        </w:rPr>
      </w:pPr>
      <w:r>
        <w:t>f)</w:t>
      </w:r>
      <w:r>
        <w:tab/>
        <w:t>informazioni concernenti il rilevamento di difficoltà di esercizio, inconvenienti ed eliminazione degli errori;</w:t>
      </w:r>
    </w:p>
    <w:p w:rsidR="004F47BB" w:rsidRPr="004F47BB" w:rsidRDefault="004F47BB" w:rsidP="004F47BB">
      <w:pPr>
        <w:tabs>
          <w:tab w:val="left" w:pos="1134"/>
        </w:tabs>
        <w:overflowPunct w:val="0"/>
        <w:adjustRightInd w:val="0"/>
        <w:spacing w:before="60" w:line="240" w:lineRule="atLeast"/>
        <w:ind w:left="1134"/>
        <w:rPr>
          <w:noProof/>
          <w:snapToGrid w:val="0"/>
        </w:rPr>
      </w:pPr>
      <w:r>
        <w:t>g)</w:t>
      </w:r>
      <w:r>
        <w:tab/>
        <w:t>tipo e portata della sostituzione di componenti con durata limitata; e</w:t>
      </w:r>
    </w:p>
    <w:p w:rsidR="004F47BB" w:rsidRPr="004F47BB" w:rsidRDefault="004F47BB" w:rsidP="004F47BB">
      <w:pPr>
        <w:tabs>
          <w:tab w:val="left" w:pos="1134"/>
        </w:tabs>
        <w:overflowPunct w:val="0"/>
        <w:adjustRightInd w:val="0"/>
        <w:spacing w:before="60" w:line="240" w:lineRule="atLeast"/>
        <w:ind w:left="1134"/>
        <w:rPr>
          <w:noProof/>
          <w:snapToGrid w:val="0"/>
        </w:rPr>
      </w:pPr>
      <w:r>
        <w:t>h)</w:t>
      </w:r>
      <w:r>
        <w:tab/>
        <w:t>tipo, portata e frequenza delle ispezioni.</w:t>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sectPr w:rsidR="004F47BB" w:rsidRPr="004F47BB" w:rsidSect="00D45887">
          <w:footnotePr>
            <w:numRestart w:val="eachPage"/>
          </w:footnotePr>
          <w:pgSz w:w="11907" w:h="16840" w:code="9"/>
          <w:pgMar w:top="1418" w:right="1418" w:bottom="1418" w:left="1418" w:header="680" w:footer="680" w:gutter="0"/>
          <w:cols w:space="720"/>
          <w:docGrid w:linePitch="326"/>
        </w:sectPr>
      </w:pPr>
    </w:p>
    <w:p w:rsidR="004F47BB" w:rsidRPr="004F47BB" w:rsidRDefault="004F47BB" w:rsidP="00330FC4">
      <w:pPr>
        <w:pStyle w:val="ES-Titre2ESI"/>
        <w:rPr>
          <w:szCs w:val="20"/>
        </w:rPr>
      </w:pPr>
      <w:bookmarkStart w:id="773" w:name="_Toc491854369"/>
      <w:bookmarkStart w:id="774" w:name="_Toc535500318"/>
      <w:r>
        <w:lastRenderedPageBreak/>
        <w:t>ESI-III-6</w:t>
      </w:r>
      <w:r>
        <w:br/>
        <w:t>Sistemi di accoppiamento e mezzi di accoppiamento per l'imbarcazione che spinge o è spinta in un insieme rigido</w:t>
      </w:r>
      <w:bookmarkEnd w:id="773"/>
      <w:bookmarkEnd w:id="774"/>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center"/>
        <w:textAlignment w:val="baseline"/>
        <w:rPr>
          <w:b/>
          <w:szCs w:val="20"/>
        </w:rPr>
      </w:pPr>
      <w:r>
        <w:rPr>
          <w:b/>
        </w:rPr>
        <w:t>(Articoli 21.01, 21.02, 21.06, 21.07)</w:t>
      </w:r>
    </w:p>
    <w:p w:rsidR="004F47BB" w:rsidRPr="004F47BB" w:rsidRDefault="004F47BB" w:rsidP="004F47BB">
      <w:pPr>
        <w:overflowPunct w:val="0"/>
        <w:adjustRightInd w:val="0"/>
        <w:ind w:left="0" w:firstLine="0"/>
        <w:jc w:val="center"/>
        <w:textAlignment w:val="baseline"/>
        <w:rPr>
          <w:szCs w:val="20"/>
        </w:rPr>
      </w:pPr>
    </w:p>
    <w:p w:rsidR="004F47BB" w:rsidRPr="004F47BB" w:rsidRDefault="004F47BB" w:rsidP="004F47BB">
      <w:pPr>
        <w:overflowPunct w:val="0"/>
        <w:adjustRightInd w:val="0"/>
        <w:ind w:left="0" w:firstLine="0"/>
        <w:textAlignment w:val="baseline"/>
        <w:rPr>
          <w:szCs w:val="20"/>
        </w:rPr>
      </w:pPr>
      <w:r>
        <w:t>Oltre ai requisiti del capo 21, si osservano le corrispondenti disposizioni delle norme di sicurezza della navigazione in vigore negli Stati membri.</w:t>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tabs>
          <w:tab w:val="left" w:pos="709"/>
        </w:tabs>
        <w:overflowPunct w:val="0"/>
        <w:adjustRightInd w:val="0"/>
        <w:ind w:left="709" w:hanging="709"/>
        <w:textAlignment w:val="baseline"/>
        <w:rPr>
          <w:b/>
          <w:szCs w:val="20"/>
        </w:rPr>
      </w:pPr>
      <w:r>
        <w:rPr>
          <w:b/>
        </w:rPr>
        <w:t>1.</w:t>
      </w:r>
      <w:r>
        <w:tab/>
      </w:r>
      <w:r>
        <w:rPr>
          <w:b/>
        </w:rPr>
        <w:t>Requisiti generali</w:t>
      </w:r>
    </w:p>
    <w:p w:rsidR="004F47BB" w:rsidRPr="004F47BB" w:rsidRDefault="004F47BB" w:rsidP="004F47BB">
      <w:pPr>
        <w:tabs>
          <w:tab w:val="left" w:pos="709"/>
        </w:tabs>
        <w:overflowPunct w:val="0"/>
        <w:adjustRightInd w:val="0"/>
        <w:ind w:left="709" w:hanging="709"/>
        <w:textAlignment w:val="baseline"/>
        <w:rPr>
          <w:szCs w:val="20"/>
        </w:rPr>
      </w:pPr>
    </w:p>
    <w:p w:rsidR="004F47BB" w:rsidRPr="004F47BB" w:rsidRDefault="004F47BB" w:rsidP="004F47BB">
      <w:pPr>
        <w:tabs>
          <w:tab w:val="left" w:pos="709"/>
        </w:tabs>
        <w:overflowPunct w:val="0"/>
        <w:adjustRightInd w:val="0"/>
        <w:ind w:left="709" w:hanging="709"/>
        <w:textAlignment w:val="baseline"/>
        <w:rPr>
          <w:szCs w:val="20"/>
        </w:rPr>
      </w:pPr>
      <w:r>
        <w:t>1.1</w:t>
      </w:r>
      <w:r>
        <w:tab/>
        <w:t>Ogni sistema di accoppiamento deve garantire l'accoppiamento rigido di tutte le imbarcazioni di un convoglio. Ciò significa che nelle condizioni di esercizio previste il dispositivo di accoppiamento deve impedire il movimento longitudinale o trasversale tra le navi in maniera che l'insieme possa considerarsi una "unità nautica".</w:t>
      </w:r>
    </w:p>
    <w:p w:rsidR="004F47BB" w:rsidRPr="004F47BB" w:rsidRDefault="004F47BB" w:rsidP="004F47BB">
      <w:pPr>
        <w:tabs>
          <w:tab w:val="left" w:pos="709"/>
        </w:tabs>
        <w:overflowPunct w:val="0"/>
        <w:adjustRightInd w:val="0"/>
        <w:ind w:left="709" w:hanging="709"/>
        <w:textAlignment w:val="baseline"/>
        <w:rPr>
          <w:szCs w:val="20"/>
        </w:rPr>
      </w:pPr>
    </w:p>
    <w:p w:rsidR="004F47BB" w:rsidRPr="004F47BB" w:rsidRDefault="004F47BB" w:rsidP="004F47BB">
      <w:pPr>
        <w:tabs>
          <w:tab w:val="left" w:pos="709"/>
        </w:tabs>
        <w:overflowPunct w:val="0"/>
        <w:adjustRightInd w:val="0"/>
        <w:ind w:left="709" w:hanging="709"/>
        <w:textAlignment w:val="baseline"/>
        <w:rPr>
          <w:szCs w:val="20"/>
        </w:rPr>
      </w:pPr>
      <w:r>
        <w:t>1.2</w:t>
      </w:r>
      <w:r>
        <w:tab/>
        <w:t>Il sistema di accoppiamento e i suoi componenti devono essere sicuri e facili da utilizzare, consentendo di accoppiare rapidamente l'imbarcazione senza mettere a repentaglio l'incolumità del personale.</w:t>
      </w:r>
    </w:p>
    <w:p w:rsidR="004F47BB" w:rsidRPr="004F47BB" w:rsidRDefault="004F47BB" w:rsidP="004F47BB">
      <w:pPr>
        <w:tabs>
          <w:tab w:val="left" w:pos="709"/>
        </w:tabs>
        <w:overflowPunct w:val="0"/>
        <w:adjustRightInd w:val="0"/>
        <w:ind w:left="709" w:hanging="709"/>
        <w:textAlignment w:val="baseline"/>
        <w:rPr>
          <w:szCs w:val="20"/>
        </w:rPr>
      </w:pPr>
    </w:p>
    <w:p w:rsidR="004F47BB" w:rsidRPr="004F47BB" w:rsidRDefault="004F47BB" w:rsidP="004F47BB">
      <w:pPr>
        <w:tabs>
          <w:tab w:val="left" w:pos="709"/>
        </w:tabs>
        <w:overflowPunct w:val="0"/>
        <w:adjustRightInd w:val="0"/>
        <w:ind w:left="709" w:hanging="709"/>
        <w:textAlignment w:val="baseline"/>
        <w:rPr>
          <w:szCs w:val="20"/>
        </w:rPr>
      </w:pPr>
      <w:r>
        <w:t>1.3</w:t>
      </w:r>
      <w:r>
        <w:tab/>
        <w:t>Il sistema di accoppiamento e i suoi componenti devono assorbire adeguatamente e trasmettere in maniera sicura alla struttura della nave le forze derivanti dalle condizioni di esercizio previste.</w:t>
      </w:r>
    </w:p>
    <w:p w:rsidR="004F47BB" w:rsidRPr="004F47BB" w:rsidRDefault="004F47BB" w:rsidP="004F47BB">
      <w:pPr>
        <w:tabs>
          <w:tab w:val="left" w:pos="709"/>
        </w:tabs>
        <w:overflowPunct w:val="0"/>
        <w:adjustRightInd w:val="0"/>
        <w:ind w:left="709" w:hanging="709"/>
        <w:textAlignment w:val="baseline"/>
        <w:rPr>
          <w:szCs w:val="20"/>
        </w:rPr>
      </w:pPr>
    </w:p>
    <w:p w:rsidR="004F47BB" w:rsidRPr="004F47BB" w:rsidRDefault="004F47BB" w:rsidP="004F47BB">
      <w:pPr>
        <w:tabs>
          <w:tab w:val="left" w:pos="709"/>
        </w:tabs>
        <w:overflowPunct w:val="0"/>
        <w:adjustRightInd w:val="0"/>
        <w:ind w:left="709" w:hanging="709"/>
        <w:textAlignment w:val="baseline"/>
        <w:rPr>
          <w:szCs w:val="20"/>
        </w:rPr>
      </w:pPr>
      <w:r>
        <w:t>1.4</w:t>
      </w:r>
      <w:r>
        <w:tab/>
        <w:t>Deve essere disponibile un numero sufficiente di punti di accoppiamento.</w:t>
      </w:r>
    </w:p>
    <w:p w:rsidR="004F47BB" w:rsidRPr="004F47BB" w:rsidRDefault="004F47BB" w:rsidP="004F47BB">
      <w:pPr>
        <w:tabs>
          <w:tab w:val="left" w:pos="709"/>
        </w:tabs>
        <w:overflowPunct w:val="0"/>
        <w:adjustRightInd w:val="0"/>
        <w:ind w:left="709" w:hanging="709"/>
        <w:textAlignment w:val="baseline"/>
        <w:rPr>
          <w:szCs w:val="20"/>
        </w:rPr>
      </w:pPr>
    </w:p>
    <w:p w:rsidR="004F47BB" w:rsidRPr="004F47BB" w:rsidRDefault="004F47BB" w:rsidP="004F47BB">
      <w:pPr>
        <w:tabs>
          <w:tab w:val="left" w:pos="709"/>
        </w:tabs>
        <w:overflowPunct w:val="0"/>
        <w:adjustRightInd w:val="0"/>
        <w:ind w:left="709" w:hanging="709"/>
        <w:textAlignment w:val="baseline"/>
        <w:rPr>
          <w:b/>
          <w:szCs w:val="20"/>
        </w:rPr>
      </w:pPr>
      <w:r>
        <w:rPr>
          <w:b/>
        </w:rPr>
        <w:t>2.</w:t>
      </w:r>
      <w:r>
        <w:tab/>
      </w:r>
      <w:r>
        <w:rPr>
          <w:b/>
        </w:rPr>
        <w:t>Forze di accoppiamento e dimensionamento dei dispositivi di accoppiamento</w:t>
      </w:r>
    </w:p>
    <w:p w:rsidR="004F47BB" w:rsidRPr="004F47BB" w:rsidRDefault="004F47BB" w:rsidP="004F47BB">
      <w:pPr>
        <w:tabs>
          <w:tab w:val="left" w:pos="709"/>
        </w:tabs>
        <w:overflowPunct w:val="0"/>
        <w:adjustRightInd w:val="0"/>
        <w:ind w:left="709" w:hanging="709"/>
        <w:textAlignment w:val="baseline"/>
        <w:rPr>
          <w:szCs w:val="20"/>
        </w:rPr>
      </w:pPr>
    </w:p>
    <w:p w:rsidR="004F47BB" w:rsidRPr="004F47BB" w:rsidRDefault="004F47BB" w:rsidP="004F47BB">
      <w:pPr>
        <w:tabs>
          <w:tab w:val="left" w:pos="709"/>
        </w:tabs>
        <w:overflowPunct w:val="0"/>
        <w:adjustRightInd w:val="0"/>
        <w:ind w:left="709" w:hanging="709"/>
        <w:textAlignment w:val="baseline"/>
        <w:rPr>
          <w:szCs w:val="20"/>
        </w:rPr>
      </w:pPr>
      <w:r>
        <w:tab/>
        <w:t>I dispositivi di accoppiamento di convogli e formazioni di navi da autorizzare devono essere dimensionati in maniera tale da garantire livelli di sicurezza sufficienti. Tale condizione si reputa soddisfatta se le forze di accoppiamento calcolate secondo i punti 2.1, 2.2 e 2.3 sono assunte quali resistenza alla trazione per il dimensionamento dei componenti di accoppiamento longitudinali.</w:t>
      </w:r>
    </w:p>
    <w:p w:rsidR="004F47BB" w:rsidRPr="004F47BB" w:rsidRDefault="004F47BB" w:rsidP="004F47BB">
      <w:pPr>
        <w:tabs>
          <w:tab w:val="left" w:pos="709"/>
        </w:tabs>
        <w:overflowPunct w:val="0"/>
        <w:adjustRightInd w:val="0"/>
        <w:ind w:left="709" w:hanging="709"/>
        <w:textAlignment w:val="baseline"/>
        <w:rPr>
          <w:szCs w:val="20"/>
        </w:rPr>
      </w:pPr>
    </w:p>
    <w:p w:rsidR="004F47BB" w:rsidRPr="004F47BB" w:rsidRDefault="004F47BB" w:rsidP="004F47BB">
      <w:pPr>
        <w:tabs>
          <w:tab w:val="left" w:pos="709"/>
        </w:tabs>
        <w:overflowPunct w:val="0"/>
        <w:adjustRightInd w:val="0"/>
        <w:ind w:left="709" w:hanging="709"/>
        <w:textAlignment w:val="baseline"/>
        <w:rPr>
          <w:szCs w:val="20"/>
        </w:rPr>
      </w:pPr>
      <w:r>
        <w:t>2.1</w:t>
      </w:r>
      <w:r>
        <w:tab/>
        <w:t>Punti di accoppiamento tra spintore e bettoline spinte o altre imbarcazioni:</w:t>
      </w:r>
    </w:p>
    <w:p w:rsidR="004F47BB" w:rsidRPr="004F47BB" w:rsidRDefault="004F47BB" w:rsidP="004F47BB">
      <w:pPr>
        <w:tabs>
          <w:tab w:val="left" w:pos="709"/>
        </w:tabs>
        <w:overflowPunct w:val="0"/>
        <w:adjustRightInd w:val="0"/>
        <w:ind w:left="709" w:hanging="709"/>
        <w:textAlignment w:val="baseline"/>
        <w:rPr>
          <w:szCs w:val="20"/>
        </w:rPr>
      </w:pPr>
    </w:p>
    <w:p w:rsidR="004F47BB" w:rsidRPr="004F47BB" w:rsidRDefault="00624017" w:rsidP="004F47BB">
      <w:pPr>
        <w:tabs>
          <w:tab w:val="left" w:pos="709"/>
        </w:tabs>
        <w:overflowPunct w:val="0"/>
        <w:adjustRightInd w:val="0"/>
        <w:ind w:left="709" w:hanging="709"/>
        <w:textAlignment w:val="baseline"/>
        <w:rPr>
          <w:szCs w:val="20"/>
        </w:rPr>
      </w:pPr>
      <m:oMathPara>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SB</m:t>
              </m:r>
            </m:sub>
          </m:sSub>
          <m:r>
            <w:rPr>
              <w:rFonts w:ascii="Cambria Math" w:hAnsi="Cambria Math"/>
              <w:szCs w:val="20"/>
            </w:rPr>
            <m:t xml:space="preserve">=270∙ </m:t>
          </m:r>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L</m:t>
                  </m:r>
                </m:e>
                <m:sub>
                  <m:r>
                    <w:rPr>
                      <w:rFonts w:ascii="Cambria Math" w:hAnsi="Cambria Math"/>
                      <w:szCs w:val="20"/>
                    </w:rPr>
                    <m:t>S</m:t>
                  </m:r>
                </m:sub>
              </m:sSub>
            </m:num>
            <m:den>
              <m:sSub>
                <m:sSubPr>
                  <m:ctrlPr>
                    <w:rPr>
                      <w:rFonts w:ascii="Cambria Math" w:hAnsi="Cambria Math"/>
                      <w:i/>
                      <w:szCs w:val="20"/>
                    </w:rPr>
                  </m:ctrlPr>
                </m:sSubPr>
                <m:e>
                  <m:r>
                    <w:rPr>
                      <w:rFonts w:ascii="Cambria Math" w:hAnsi="Cambria Math"/>
                      <w:szCs w:val="20"/>
                    </w:rPr>
                    <m:t>B</m:t>
                  </m:r>
                </m:e>
                <m:sub>
                  <m:r>
                    <w:rPr>
                      <w:rFonts w:ascii="Cambria Math" w:hAnsi="Cambria Math"/>
                      <w:szCs w:val="20"/>
                    </w:rPr>
                    <m:t>S</m:t>
                  </m:r>
                </m:sub>
              </m:sSub>
            </m:den>
          </m:f>
          <m:r>
            <w:rPr>
              <w:rFonts w:ascii="Cambria Math" w:hAnsi="Cambria Math"/>
              <w:szCs w:val="20"/>
            </w:rPr>
            <m:t xml:space="preserve"> ∙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-3</m:t>
              </m:r>
            </m:sup>
          </m:sSup>
          <m:r>
            <w:rPr>
              <w:rFonts w:ascii="Cambria Math" w:hAnsi="Cambria Math"/>
              <w:szCs w:val="20"/>
            </w:rPr>
            <m:t xml:space="preserve"> </m:t>
          </m:r>
          <m:d>
            <m:dPr>
              <m:begChr m:val="["/>
              <m:endChr m:val="]"/>
              <m:ctrlPr>
                <w:rPr>
                  <w:rFonts w:ascii="Cambria Math" w:hAnsi="Cambria Math"/>
                  <w:i/>
                  <w:szCs w:val="20"/>
                </w:rPr>
              </m:ctrlPr>
            </m:dPr>
            <m:e>
              <m:r>
                <w:rPr>
                  <w:rFonts w:ascii="Cambria Math" w:hAnsi="Cambria Math"/>
                  <w:szCs w:val="20"/>
                </w:rPr>
                <m:t>kN</m:t>
              </m:r>
            </m:e>
          </m:d>
        </m:oMath>
      </m:oMathPara>
    </w:p>
    <w:p w:rsidR="004F47BB" w:rsidRPr="004F47BB" w:rsidRDefault="004F47BB" w:rsidP="004F47BB">
      <w:pPr>
        <w:tabs>
          <w:tab w:val="left" w:pos="284"/>
          <w:tab w:val="left" w:pos="454"/>
          <w:tab w:val="left" w:pos="567"/>
        </w:tabs>
        <w:overflowPunct w:val="0"/>
        <w:adjustRightInd w:val="0"/>
        <w:ind w:left="284" w:hanging="284"/>
        <w:textAlignment w:val="baseline"/>
        <w:rPr>
          <w:szCs w:val="20"/>
        </w:rPr>
      </w:pPr>
    </w:p>
    <w:p w:rsidR="004F47BB" w:rsidRPr="004F47BB" w:rsidRDefault="004F47BB" w:rsidP="004F47BB">
      <w:pPr>
        <w:tabs>
          <w:tab w:val="left" w:pos="709"/>
        </w:tabs>
        <w:overflowPunct w:val="0"/>
        <w:adjustRightInd w:val="0"/>
        <w:ind w:left="709" w:hanging="709"/>
        <w:textAlignment w:val="baseline"/>
        <w:rPr>
          <w:szCs w:val="20"/>
        </w:rPr>
      </w:pPr>
      <w:r>
        <w:t>2.2</w:t>
      </w:r>
      <w:r>
        <w:tab/>
        <w:t>Punti di accoppiamento tra motonave adibita a spintore e imbarcazione spinta</w:t>
      </w:r>
    </w:p>
    <w:p w:rsidR="004F47BB" w:rsidRPr="004F47BB" w:rsidRDefault="004F47BB" w:rsidP="004F47BB">
      <w:pPr>
        <w:tabs>
          <w:tab w:val="left" w:pos="284"/>
          <w:tab w:val="left" w:pos="454"/>
          <w:tab w:val="left" w:pos="567"/>
        </w:tabs>
        <w:overflowPunct w:val="0"/>
        <w:adjustRightInd w:val="0"/>
        <w:ind w:left="284" w:hanging="284"/>
        <w:textAlignment w:val="baseline"/>
        <w:rPr>
          <w:szCs w:val="20"/>
        </w:rPr>
      </w:pPr>
    </w:p>
    <w:p w:rsidR="004F47BB" w:rsidRPr="004F47BB" w:rsidRDefault="00624017" w:rsidP="004F47BB">
      <w:pPr>
        <w:tabs>
          <w:tab w:val="left" w:pos="709"/>
        </w:tabs>
        <w:overflowPunct w:val="0"/>
        <w:adjustRightInd w:val="0"/>
        <w:ind w:left="709" w:hanging="709"/>
        <w:textAlignment w:val="baseline"/>
        <w:rPr>
          <w:szCs w:val="20"/>
        </w:rPr>
      </w:pPr>
      <m:oMathPara>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SF</m:t>
              </m:r>
            </m:sub>
          </m:sSub>
          <m:r>
            <w:rPr>
              <w:rFonts w:ascii="Cambria Math" w:hAnsi="Cambria Math"/>
              <w:szCs w:val="20"/>
            </w:rPr>
            <m:t xml:space="preserve">=80∙ </m:t>
          </m:r>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L</m:t>
                  </m:r>
                </m:e>
                <m:sub>
                  <m:r>
                    <w:rPr>
                      <w:rFonts w:ascii="Cambria Math" w:hAnsi="Cambria Math"/>
                      <w:szCs w:val="20"/>
                    </w:rPr>
                    <m:t>S</m:t>
                  </m:r>
                </m:sub>
              </m:sSub>
            </m:num>
            <m:den>
              <m:sSub>
                <m:sSubPr>
                  <m:ctrlPr>
                    <w:rPr>
                      <w:rFonts w:ascii="Cambria Math" w:hAnsi="Cambria Math"/>
                      <w:i/>
                      <w:szCs w:val="20"/>
                    </w:rPr>
                  </m:ctrlPr>
                </m:sSubPr>
                <m:e>
                  <m:r>
                    <w:rPr>
                      <w:rFonts w:ascii="Cambria Math" w:hAnsi="Cambria Math"/>
                      <w:szCs w:val="20"/>
                    </w:rPr>
                    <m:t>h</m:t>
                  </m:r>
                </m:e>
                <m:sub>
                  <m:r>
                    <w:rPr>
                      <w:rFonts w:ascii="Cambria Math" w:hAnsi="Cambria Math"/>
                      <w:szCs w:val="20"/>
                    </w:rPr>
                    <m:t>K</m:t>
                  </m:r>
                </m:sub>
              </m:sSub>
            </m:den>
          </m:f>
          <m:r>
            <w:rPr>
              <w:rFonts w:ascii="Cambria Math" w:hAnsi="Cambria Math"/>
              <w:szCs w:val="20"/>
            </w:rPr>
            <m:t xml:space="preserve"> ∙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-3</m:t>
              </m:r>
            </m:sup>
          </m:sSup>
          <m:r>
            <w:rPr>
              <w:rFonts w:ascii="Cambria Math" w:hAnsi="Cambria Math"/>
              <w:szCs w:val="20"/>
            </w:rPr>
            <m:t xml:space="preserve"> </m:t>
          </m:r>
          <m:d>
            <m:dPr>
              <m:begChr m:val="["/>
              <m:endChr m:val="]"/>
              <m:ctrlPr>
                <w:rPr>
                  <w:rFonts w:ascii="Cambria Math" w:hAnsi="Cambria Math"/>
                  <w:i/>
                  <w:szCs w:val="20"/>
                </w:rPr>
              </m:ctrlPr>
            </m:dPr>
            <m:e>
              <m:r>
                <w:rPr>
                  <w:rFonts w:ascii="Cambria Math" w:hAnsi="Cambria Math"/>
                  <w:szCs w:val="20"/>
                </w:rPr>
                <m:t>kN</m:t>
              </m:r>
            </m:e>
          </m:d>
        </m:oMath>
      </m:oMathPara>
    </w:p>
    <w:p w:rsidR="004F47BB" w:rsidRPr="004F47BB" w:rsidRDefault="004F47BB" w:rsidP="004F47BB">
      <w:pPr>
        <w:tabs>
          <w:tab w:val="left" w:pos="284"/>
          <w:tab w:val="left" w:pos="454"/>
          <w:tab w:val="left" w:pos="567"/>
        </w:tabs>
        <w:overflowPunct w:val="0"/>
        <w:adjustRightInd w:val="0"/>
        <w:ind w:left="284" w:hanging="284"/>
        <w:textAlignment w:val="baseline"/>
        <w:rPr>
          <w:szCs w:val="20"/>
        </w:rPr>
      </w:pPr>
    </w:p>
    <w:p w:rsidR="004F47BB" w:rsidRPr="004F47BB" w:rsidRDefault="004F47BB" w:rsidP="004F47BB">
      <w:pPr>
        <w:tabs>
          <w:tab w:val="left" w:pos="709"/>
        </w:tabs>
        <w:overflowPunct w:val="0"/>
        <w:adjustRightInd w:val="0"/>
        <w:ind w:left="709" w:hanging="709"/>
        <w:textAlignment w:val="baseline"/>
        <w:rPr>
          <w:szCs w:val="20"/>
        </w:rPr>
      </w:pPr>
      <w:r>
        <w:t>2.3</w:t>
      </w:r>
      <w:r>
        <w:tab/>
        <w:t>Punti di accoppiamento tra imbarcazioni spinte</w:t>
      </w:r>
    </w:p>
    <w:p w:rsidR="004F47BB" w:rsidRPr="004F47BB" w:rsidRDefault="004F47BB" w:rsidP="004F47BB">
      <w:pPr>
        <w:tabs>
          <w:tab w:val="left" w:pos="284"/>
          <w:tab w:val="left" w:pos="454"/>
          <w:tab w:val="left" w:pos="567"/>
        </w:tabs>
        <w:overflowPunct w:val="0"/>
        <w:adjustRightInd w:val="0"/>
        <w:ind w:left="284" w:hanging="284"/>
        <w:textAlignment w:val="baseline"/>
        <w:rPr>
          <w:szCs w:val="20"/>
        </w:rPr>
      </w:pPr>
    </w:p>
    <w:p w:rsidR="004F47BB" w:rsidRPr="004F47BB" w:rsidRDefault="00624017" w:rsidP="004F47BB">
      <w:pPr>
        <w:tabs>
          <w:tab w:val="left" w:pos="709"/>
        </w:tabs>
        <w:overflowPunct w:val="0"/>
        <w:adjustRightInd w:val="0"/>
        <w:ind w:left="709" w:hanging="709"/>
        <w:textAlignment w:val="baseline"/>
        <w:rPr>
          <w:szCs w:val="20"/>
        </w:rPr>
      </w:pPr>
      <m:oMathPara>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SL</m:t>
              </m:r>
            </m:sub>
          </m:sSub>
          <m:r>
            <w:rPr>
              <w:rFonts w:ascii="Cambria Math" w:hAnsi="Cambria Math"/>
              <w:szCs w:val="20"/>
            </w:rPr>
            <m:t xml:space="preserve">=80∙ </m:t>
          </m:r>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L'</m:t>
                  </m:r>
                </m:e>
                <m:sub>
                  <m:r>
                    <w:rPr>
                      <w:rFonts w:ascii="Cambria Math" w:hAnsi="Cambria Math"/>
                      <w:szCs w:val="20"/>
                    </w:rPr>
                    <m:t>S</m:t>
                  </m:r>
                </m:sub>
              </m:sSub>
            </m:num>
            <m:den>
              <m:sSub>
                <m:sSubPr>
                  <m:ctrlPr>
                    <w:rPr>
                      <w:rFonts w:ascii="Cambria Math" w:hAnsi="Cambria Math"/>
                      <w:i/>
                      <w:szCs w:val="20"/>
                    </w:rPr>
                  </m:ctrlPr>
                </m:sSubPr>
                <m:e>
                  <m:r>
                    <w:rPr>
                      <w:rFonts w:ascii="Cambria Math" w:hAnsi="Cambria Math"/>
                      <w:szCs w:val="20"/>
                    </w:rPr>
                    <m:t>h'</m:t>
                  </m:r>
                </m:e>
                <m:sub>
                  <m:r>
                    <w:rPr>
                      <w:rFonts w:ascii="Cambria Math" w:hAnsi="Cambria Math"/>
                      <w:szCs w:val="20"/>
                    </w:rPr>
                    <m:t>K</m:t>
                  </m:r>
                </m:sub>
              </m:sSub>
            </m:den>
          </m:f>
          <m:r>
            <w:rPr>
              <w:rFonts w:ascii="Cambria Math" w:hAnsi="Cambria Math"/>
              <w:szCs w:val="20"/>
            </w:rPr>
            <m:t xml:space="preserve"> ∙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-3</m:t>
              </m:r>
            </m:sup>
          </m:sSup>
          <m:r>
            <w:rPr>
              <w:rFonts w:ascii="Cambria Math" w:hAnsi="Cambria Math"/>
              <w:szCs w:val="20"/>
            </w:rPr>
            <m:t xml:space="preserve"> </m:t>
          </m:r>
          <m:d>
            <m:dPr>
              <m:begChr m:val="["/>
              <m:endChr m:val="]"/>
              <m:ctrlPr>
                <w:rPr>
                  <w:rFonts w:ascii="Cambria Math" w:hAnsi="Cambria Math"/>
                  <w:i/>
                  <w:szCs w:val="20"/>
                </w:rPr>
              </m:ctrlPr>
            </m:dPr>
            <m:e>
              <m:r>
                <w:rPr>
                  <w:rFonts w:ascii="Cambria Math" w:hAnsi="Cambria Math"/>
                  <w:szCs w:val="20"/>
                </w:rPr>
                <m:t>kN</m:t>
              </m:r>
            </m:e>
          </m:d>
        </m:oMath>
      </m:oMathPara>
    </w:p>
    <w:p w:rsidR="004F47BB" w:rsidRPr="004F47BB" w:rsidRDefault="004F47BB" w:rsidP="004F47BB">
      <w:pPr>
        <w:tabs>
          <w:tab w:val="left" w:pos="284"/>
          <w:tab w:val="left" w:pos="454"/>
          <w:tab w:val="left" w:pos="567"/>
        </w:tabs>
        <w:overflowPunct w:val="0"/>
        <w:adjustRightInd w:val="0"/>
        <w:ind w:left="284" w:hanging="284"/>
        <w:textAlignment w:val="baseline"/>
        <w:rPr>
          <w:szCs w:val="20"/>
        </w:rPr>
      </w:pPr>
    </w:p>
    <w:p w:rsidR="004F47BB" w:rsidRPr="004F47BB" w:rsidRDefault="004F47BB" w:rsidP="004F47BB">
      <w:pPr>
        <w:tabs>
          <w:tab w:val="left" w:pos="284"/>
          <w:tab w:val="left" w:pos="454"/>
          <w:tab w:val="left" w:pos="567"/>
        </w:tabs>
        <w:overflowPunct w:val="0"/>
        <w:adjustRightInd w:val="0"/>
        <w:ind w:left="709" w:firstLine="0"/>
        <w:textAlignment w:val="baseline"/>
        <w:rPr>
          <w:szCs w:val="20"/>
        </w:rPr>
      </w:pPr>
      <w:r>
        <w:br w:type="page"/>
      </w:r>
    </w:p>
    <w:p w:rsidR="004F47BB" w:rsidRPr="004F47BB" w:rsidRDefault="004F47BB" w:rsidP="004F47BB">
      <w:pPr>
        <w:tabs>
          <w:tab w:val="left" w:pos="284"/>
          <w:tab w:val="left" w:pos="454"/>
          <w:tab w:val="left" w:pos="567"/>
        </w:tabs>
        <w:overflowPunct w:val="0"/>
        <w:adjustRightInd w:val="0"/>
        <w:ind w:left="709" w:firstLine="0"/>
        <w:textAlignment w:val="baseline"/>
        <w:rPr>
          <w:szCs w:val="20"/>
        </w:rPr>
      </w:pPr>
      <w:r>
        <w:lastRenderedPageBreak/>
        <w:t>Un valore di 1 200 kN è ritenuto sufficiente per la massima forza di accoppiamento di un'imbarcazione adibita a spintore nel punto di accoppiamento tra la prima imbarcazione spinta e l'imbarcazione accoppiata a proravia, anche se la formula di cui al punto 2.3 produce un valore superiore.</w:t>
      </w:r>
    </w:p>
    <w:p w:rsidR="004F47BB" w:rsidRPr="004F47BB" w:rsidRDefault="004F47BB" w:rsidP="004F47BB">
      <w:pPr>
        <w:tabs>
          <w:tab w:val="left" w:pos="284"/>
          <w:tab w:val="left" w:pos="454"/>
          <w:tab w:val="left" w:pos="567"/>
        </w:tabs>
        <w:overflowPunct w:val="0"/>
        <w:adjustRightInd w:val="0"/>
        <w:ind w:left="709" w:firstLine="0"/>
        <w:textAlignment w:val="baseline"/>
        <w:rPr>
          <w:szCs w:val="20"/>
        </w:rPr>
      </w:pPr>
    </w:p>
    <w:p w:rsidR="004F47BB" w:rsidRPr="004F47BB" w:rsidRDefault="004F47BB" w:rsidP="004F47BB">
      <w:pPr>
        <w:tabs>
          <w:tab w:val="left" w:pos="284"/>
          <w:tab w:val="left" w:pos="454"/>
          <w:tab w:val="left" w:pos="567"/>
        </w:tabs>
        <w:overflowPunct w:val="0"/>
        <w:adjustRightInd w:val="0"/>
        <w:ind w:left="709" w:firstLine="0"/>
        <w:textAlignment w:val="baseline"/>
        <w:rPr>
          <w:szCs w:val="20"/>
        </w:rPr>
      </w:pPr>
      <w:r>
        <w:t>Per i punti di accoppiamento di tutti gli altri collegamenti longitudinali tra le imbarcazioni spinte, il dimensionamento dei dispositivi di accoppiamento deve basarsi sulla forza di accoppiamento calcolata secondo la formula di cui al punto 2.3.</w:t>
      </w:r>
    </w:p>
    <w:p w:rsidR="004F47BB" w:rsidRPr="004F47BB" w:rsidRDefault="004F47BB" w:rsidP="004F47BB">
      <w:pPr>
        <w:tabs>
          <w:tab w:val="left" w:pos="284"/>
          <w:tab w:val="left" w:pos="454"/>
          <w:tab w:val="left" w:pos="567"/>
        </w:tabs>
        <w:overflowPunct w:val="0"/>
        <w:adjustRightInd w:val="0"/>
        <w:ind w:left="284" w:hanging="284"/>
        <w:textAlignment w:val="baseline"/>
        <w:rPr>
          <w:szCs w:val="20"/>
        </w:rPr>
      </w:pPr>
    </w:p>
    <w:p w:rsidR="004F47BB" w:rsidRPr="004F47BB" w:rsidRDefault="004F47BB" w:rsidP="004F47BB">
      <w:pPr>
        <w:tabs>
          <w:tab w:val="left" w:pos="284"/>
          <w:tab w:val="left" w:pos="454"/>
          <w:tab w:val="left" w:pos="567"/>
        </w:tabs>
        <w:overflowPunct w:val="0"/>
        <w:adjustRightInd w:val="0"/>
        <w:ind w:left="284" w:hanging="284"/>
        <w:textAlignment w:val="baseline"/>
        <w:rPr>
          <w:szCs w:val="20"/>
        </w:rPr>
      </w:pPr>
      <w:r>
        <w:rPr>
          <w:noProof/>
          <w:szCs w:val="20"/>
          <w:lang w:val="en-GB" w:eastAsia="en-GB" w:bidi="ar-SA"/>
        </w:rPr>
        <mc:AlternateContent>
          <mc:Choice Requires="wps">
            <w:drawing>
              <wp:anchor distT="0" distB="0" distL="114300" distR="114300" simplePos="0" relativeHeight="251693056" behindDoc="0" locked="0" layoutInCell="1" allowOverlap="1" wp14:anchorId="4EEB6F67" wp14:editId="391DA519">
                <wp:simplePos x="0" y="0"/>
                <wp:positionH relativeFrom="column">
                  <wp:posOffset>3760470</wp:posOffset>
                </wp:positionH>
                <wp:positionV relativeFrom="paragraph">
                  <wp:posOffset>5767070</wp:posOffset>
                </wp:positionV>
                <wp:extent cx="981710" cy="208280"/>
                <wp:effectExtent l="0" t="0" r="0" b="0"/>
                <wp:wrapNone/>
                <wp:docPr id="29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2A7EC3" w:rsidRDefault="00801F1F" w:rsidP="004F47BB">
                            <w:pPr>
                              <w:rPr>
                                <w:sz w:val="16"/>
                              </w:rPr>
                            </w:pPr>
                            <w:r>
                              <w:rPr>
                                <w:sz w:val="16"/>
                              </w:rPr>
                              <w:t>imbarcazione spinta</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Zone de texte 2" o:spid="_x0000_s1044" type="#_x0000_t202" style="position:absolute;left:0;text-align:left;margin-left:296.1pt;margin-top:454.1pt;width:77.3pt;height:16.4pt;z-index:2516930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" stroked="f">
                <v:textbox style="mso-fit-shape-to-text:t">
                  <w:txbxContent>
                    <w:p w:rsidR="00801F1F" w:rsidRPr="002A7EC3" w:rsidRDefault="00801F1F" w:rsidP="004F47BB">
                      <w:pPr>
                        <w:rPr>
                          <w:sz w:val="16"/>
                        </w:rPr>
                      </w:pPr>
                      <w:r>
                        <w:rPr>
                          <w:sz w:val="16"/>
                        </w:rPr>
                        <w:t>imbarcazione spinta</w:t>
                      </w:r>
                    </w:p>
                  </w:txbxContent>
                </v:textbox>
              </v:shape>
            </w:pict>
          </mc:Fallback>
        </mc:AlternateContent>
      </w:r>
      <w:r>
        <w:rPr>
          <w:noProof/>
          <w:szCs w:val="20"/>
          <w:lang w:val="en-GB" w:eastAsia="en-GB" w:bidi="ar-SA"/>
        </w:rPr>
        <mc:AlternateContent>
          <mc:Choice Requires="wps">
            <w:drawing>
              <wp:anchor distT="0" distB="0" distL="114300" distR="114300" simplePos="0" relativeHeight="251692032" behindDoc="0" locked="0" layoutInCell="1" allowOverlap="1" wp14:anchorId="41539263" wp14:editId="3E23C5CB">
                <wp:simplePos x="0" y="0"/>
                <wp:positionH relativeFrom="column">
                  <wp:posOffset>1445895</wp:posOffset>
                </wp:positionH>
                <wp:positionV relativeFrom="paragraph">
                  <wp:posOffset>5786120</wp:posOffset>
                </wp:positionV>
                <wp:extent cx="981710" cy="208280"/>
                <wp:effectExtent l="0" t="0" r="0" b="0"/>
                <wp:wrapNone/>
                <wp:docPr id="29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2A7EC3" w:rsidRDefault="00801F1F" w:rsidP="004F47BB">
                            <w:pPr>
                              <w:rPr>
                                <w:sz w:val="16"/>
                              </w:rPr>
                            </w:pPr>
                            <w:r>
                              <w:rPr>
                                <w:sz w:val="16"/>
                              </w:rPr>
                              <w:t>imbarcazione adibita a spintore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5" type="#_x0000_t202" style="position:absolute;left:0;text-align:left;margin-left:113.85pt;margin-top:455.6pt;width:77.3pt;height:16.4pt;z-index:2516920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" stroked="f">
                <v:textbox style="mso-fit-shape-to-text:t">
                  <w:txbxContent>
                    <w:p w:rsidR="00801F1F" w:rsidRPr="002A7EC3" w:rsidRDefault="00801F1F" w:rsidP="004F47BB">
                      <w:pPr>
                        <w:rPr>
                          <w:sz w:val="16"/>
                        </w:rPr>
                      </w:pPr>
                      <w:r>
                        <w:rPr>
                          <w:sz w:val="16"/>
                        </w:rPr>
                        <w:t>imbarcazione adibita a spintore</w:t>
                      </w:r>
                    </w:p>
                  </w:txbxContent>
                </v:textbox>
              </v:shape>
            </w:pict>
          </mc:Fallback>
        </mc:AlternateContent>
      </w:r>
      <w:r>
        <w:rPr>
          <w:noProof/>
          <w:szCs w:val="20"/>
          <w:lang w:val="en-GB" w:eastAsia="en-GB" w:bidi="ar-SA"/>
        </w:rPr>
        <mc:AlternateContent>
          <mc:Choice Requires="wps">
            <w:drawing>
              <wp:anchor distT="0" distB="0" distL="114300" distR="114300" simplePos="0" relativeHeight="251691008" behindDoc="0" locked="0" layoutInCell="1" allowOverlap="1" wp14:anchorId="7D67D0D0" wp14:editId="12C2B420">
                <wp:simplePos x="0" y="0"/>
                <wp:positionH relativeFrom="column">
                  <wp:posOffset>3760470</wp:posOffset>
                </wp:positionH>
                <wp:positionV relativeFrom="paragraph">
                  <wp:posOffset>4319270</wp:posOffset>
                </wp:positionV>
                <wp:extent cx="981710" cy="208280"/>
                <wp:effectExtent l="0" t="0" r="0" b="0"/>
                <wp:wrapNone/>
                <wp:docPr id="29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2A7EC3" w:rsidRDefault="00801F1F" w:rsidP="004F47BB">
                            <w:pPr>
                              <w:rPr>
                                <w:sz w:val="16"/>
                              </w:rPr>
                            </w:pPr>
                            <w:r>
                              <w:rPr>
                                <w:sz w:val="16"/>
                              </w:rPr>
                              <w:t>imbarcazione spinta</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6" type="#_x0000_t202" style="position:absolute;left:0;text-align:left;margin-left:296.1pt;margin-top:340.1pt;width:77.3pt;height:16.4pt;z-index:2516910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" stroked="f">
                <v:textbox style="mso-fit-shape-to-text:t">
                  <w:txbxContent>
                    <w:p w:rsidR="00801F1F" w:rsidRPr="002A7EC3" w:rsidRDefault="00801F1F" w:rsidP="004F47BB">
                      <w:pPr>
                        <w:rPr>
                          <w:sz w:val="16"/>
                        </w:rPr>
                      </w:pPr>
                      <w:r>
                        <w:rPr>
                          <w:sz w:val="16"/>
                        </w:rPr>
                        <w:t>imbarcazione spinta</w:t>
                      </w:r>
                    </w:p>
                  </w:txbxContent>
                </v:textbox>
              </v:shape>
            </w:pict>
          </mc:Fallback>
        </mc:AlternateContent>
      </w:r>
      <w:r>
        <w:rPr>
          <w:noProof/>
          <w:lang w:val="en-GB" w:eastAsia="en-GB" w:bidi="ar-SA"/>
        </w:rPr>
        <mc:AlternateContent>
          <mc:Choice Requires="wps">
            <w:drawing>
              <wp:anchor distT="0" distB="0" distL="114300" distR="114300" simplePos="0" relativeHeight="251689984" behindDoc="0" locked="0" layoutInCell="1" allowOverlap="1" wp14:anchorId="5284ED24" wp14:editId="508A5CC9">
                <wp:simplePos x="0" y="0"/>
                <wp:positionH relativeFrom="column">
                  <wp:posOffset>1455420</wp:posOffset>
                </wp:positionH>
                <wp:positionV relativeFrom="paragraph">
                  <wp:posOffset>4319270</wp:posOffset>
                </wp:positionV>
                <wp:extent cx="981710" cy="208280"/>
                <wp:effectExtent l="0" t="0" r="0" b="0"/>
                <wp:wrapNone/>
                <wp:docPr id="29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1F1F" w:rsidRPr="002A7EC3" w:rsidRDefault="00801F1F" w:rsidP="004F47BB">
                            <w:pPr>
                              <w:rPr>
                                <w:sz w:val="16"/>
                              </w:rPr>
                            </w:pPr>
                            <w:r>
                              <w:rPr>
                                <w:sz w:val="16"/>
                              </w:rPr>
                              <w:t>imbarcazione adibita a spintore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7" type="#_x0000_t202" style="position:absolute;left:0;text-align:left;margin-left:114.6pt;margin-top:340.1pt;width:77.3pt;height:16.4pt;z-index:2516899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" stroked="f">
                <v:textbox style="mso-fit-shape-to-text:t">
                  <w:txbxContent>
                    <w:p w:rsidR="00801F1F" w:rsidRPr="002A7EC3" w:rsidRDefault="00801F1F" w:rsidP="004F47BB">
                      <w:pPr>
                        <w:rPr>
                          <w:sz w:val="16"/>
                        </w:rPr>
                      </w:pPr>
                      <w:r>
                        <w:rPr>
                          <w:sz w:val="16"/>
                        </w:rPr>
                        <w:t>imbarcazione adibita a spintore</w:t>
                      </w:r>
                    </w:p>
                  </w:txbxContent>
                </v:textbox>
              </v:shape>
            </w:pict>
          </mc:Fallback>
        </mc:AlternateContent>
      </w:r>
      <w:r>
        <w:rPr>
          <w:rFonts w:ascii="Times New Roman" w:hAnsi="Times New Roman"/>
          <w:noProof/>
          <w:szCs w:val="20"/>
          <w:lang w:val="en-GB" w:eastAsia="en-GB" w:bidi="ar-SA"/>
        </w:rPr>
        <w:drawing>
          <wp:inline distT="0" distB="0" distL="0" distR="0" wp14:anchorId="67167BA2" wp14:editId="6491F647">
            <wp:extent cx="5219700" cy="7000875"/>
            <wp:effectExtent l="0" t="0" r="0" b="9525"/>
            <wp:docPr id="305" name="Imag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219700" cy="7000875"/>
                    </a:xfrm>
                    <a:prstGeom prst="rect">
                      <a:avLst/>
                    </a:prstGeom>
                    <a:solidFill>
                      <a:srgbClr val="FFFFFF"/>
                    </a:solidFill>
                    <a:ln>
                      <a:noFill/>
                    </a:ln>
                  </pic:spPr>
                </pic:pic>
              </a:graphicData>
            </a:graphic>
          </wp:inline>
        </w:drawing>
      </w:r>
    </w:p>
    <w:p w:rsidR="004F47BB" w:rsidRPr="004F47BB" w:rsidRDefault="004F47BB" w:rsidP="004F47BB">
      <w:pPr>
        <w:tabs>
          <w:tab w:val="left" w:pos="284"/>
          <w:tab w:val="left" w:pos="454"/>
          <w:tab w:val="left" w:pos="567"/>
        </w:tabs>
        <w:overflowPunct w:val="0"/>
        <w:adjustRightInd w:val="0"/>
        <w:ind w:left="284" w:hanging="284"/>
        <w:textAlignment w:val="baseline"/>
        <w:rPr>
          <w:szCs w:val="20"/>
        </w:rPr>
      </w:pPr>
    </w:p>
    <w:p w:rsidR="004F47BB" w:rsidRPr="004F47BB" w:rsidRDefault="004F47BB" w:rsidP="004F47BB">
      <w:pPr>
        <w:tabs>
          <w:tab w:val="left" w:pos="284"/>
          <w:tab w:val="left" w:pos="454"/>
          <w:tab w:val="left" w:pos="567"/>
        </w:tabs>
        <w:overflowPunct w:val="0"/>
        <w:adjustRightInd w:val="0"/>
        <w:ind w:left="284" w:hanging="284"/>
        <w:textAlignment w:val="baseline"/>
        <w:rPr>
          <w:szCs w:val="20"/>
        </w:rPr>
      </w:pPr>
      <w:r>
        <w:br w:type="page"/>
      </w:r>
    </w:p>
    <w:p w:rsidR="004F47BB" w:rsidRPr="004F47BB" w:rsidRDefault="004F47BB" w:rsidP="004F47BB">
      <w:pPr>
        <w:overflowPunct w:val="0"/>
        <w:adjustRightInd w:val="0"/>
        <w:ind w:left="709" w:firstLine="0"/>
        <w:textAlignment w:val="baseline"/>
        <w:rPr>
          <w:szCs w:val="20"/>
        </w:rPr>
      </w:pPr>
      <w:r>
        <w:lastRenderedPageBreak/>
        <w:t>dove:</w:t>
      </w:r>
    </w:p>
    <w:p w:rsidR="004F47BB" w:rsidRPr="004F47BB" w:rsidRDefault="004F47BB" w:rsidP="004F47BB">
      <w:pPr>
        <w:tabs>
          <w:tab w:val="left" w:pos="284"/>
          <w:tab w:val="left" w:pos="454"/>
          <w:tab w:val="left" w:pos="567"/>
        </w:tabs>
        <w:overflowPunct w:val="0"/>
        <w:adjustRightInd w:val="0"/>
        <w:ind w:left="284" w:hanging="284"/>
        <w:textAlignment w:val="baseline"/>
        <w:rPr>
          <w:szCs w:val="20"/>
        </w:rPr>
      </w:pPr>
    </w:p>
    <w:p w:rsidR="004F47BB" w:rsidRPr="004F47BB" w:rsidRDefault="00624017" w:rsidP="004F47BB">
      <w:pPr>
        <w:tabs>
          <w:tab w:val="left" w:pos="284"/>
          <w:tab w:val="left" w:pos="2127"/>
          <w:tab w:val="left" w:pos="2977"/>
        </w:tabs>
        <w:overflowPunct w:val="0"/>
        <w:adjustRightInd w:val="0"/>
        <w:ind w:left="2977" w:hanging="2268"/>
        <w:textAlignment w:val="baseline"/>
        <w:rPr>
          <w:szCs w:val="20"/>
        </w:rPr>
      </w:pP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SB</m:t>
            </m:r>
          </m:sub>
        </m:sSub>
      </m:oMath>
      <w:r w:rsidR="00801F1F">
        <w:t xml:space="preserve">, </w:t>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SF</m:t>
            </m:r>
          </m:sub>
        </m:sSub>
      </m:oMath>
      <w:r w:rsidR="00801F1F">
        <w:t xml:space="preserve">, </w:t>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SL</m:t>
            </m:r>
          </m:sub>
        </m:sSub>
      </m:oMath>
      <w:r w:rsidR="00801F1F">
        <w:tab/>
        <w:t>[kN]</w:t>
      </w:r>
      <w:r w:rsidR="00801F1F">
        <w:tab/>
        <w:t>Forza di accoppiamento del collegamento longitudinale;</w:t>
      </w:r>
    </w:p>
    <w:p w:rsidR="004F47BB" w:rsidRPr="004F47BB" w:rsidRDefault="004F47BB" w:rsidP="004F47BB">
      <w:pPr>
        <w:tabs>
          <w:tab w:val="left" w:pos="284"/>
          <w:tab w:val="left" w:pos="2127"/>
          <w:tab w:val="left" w:pos="2977"/>
        </w:tabs>
        <w:overflowPunct w:val="0"/>
        <w:adjustRightInd w:val="0"/>
        <w:ind w:left="2977" w:hanging="2268"/>
        <w:textAlignment w:val="baseline"/>
        <w:rPr>
          <w:szCs w:val="20"/>
        </w:rPr>
      </w:pPr>
    </w:p>
    <w:p w:rsidR="004F47BB" w:rsidRPr="004F47BB" w:rsidRDefault="00624017" w:rsidP="004F47BB">
      <w:pPr>
        <w:tabs>
          <w:tab w:val="left" w:pos="284"/>
          <w:tab w:val="left" w:pos="2127"/>
          <w:tab w:val="left" w:pos="2977"/>
        </w:tabs>
        <w:overflowPunct w:val="0"/>
        <w:adjustRightInd w:val="0"/>
        <w:ind w:left="2977" w:hanging="2268"/>
        <w:textAlignment w:val="baseline"/>
        <w:rPr>
          <w:szCs w:val="20"/>
        </w:rPr>
      </w:pPr>
      <m:oMath>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oMath>
      <w:r w:rsidR="00801F1F">
        <w:tab/>
        <w:t>[kW]</w:t>
      </w:r>
      <w:r w:rsidR="00801F1F">
        <w:tab/>
        <w:t>Potenza installata del motore di propulsione;</w:t>
      </w:r>
    </w:p>
    <w:p w:rsidR="004F47BB" w:rsidRPr="004F47BB" w:rsidRDefault="004F47BB" w:rsidP="004F47BB">
      <w:pPr>
        <w:tabs>
          <w:tab w:val="left" w:pos="284"/>
          <w:tab w:val="left" w:pos="2127"/>
          <w:tab w:val="left" w:pos="2977"/>
        </w:tabs>
        <w:overflowPunct w:val="0"/>
        <w:adjustRightInd w:val="0"/>
        <w:ind w:left="2977" w:hanging="2268"/>
        <w:textAlignment w:val="baseline"/>
        <w:rPr>
          <w:szCs w:val="20"/>
        </w:rPr>
      </w:pPr>
    </w:p>
    <w:p w:rsidR="004F47BB" w:rsidRPr="004F47BB" w:rsidRDefault="00624017" w:rsidP="004F47BB">
      <w:pPr>
        <w:tabs>
          <w:tab w:val="left" w:pos="284"/>
          <w:tab w:val="left" w:pos="2127"/>
          <w:tab w:val="left" w:pos="2977"/>
        </w:tabs>
        <w:overflowPunct w:val="0"/>
        <w:adjustRightInd w:val="0"/>
        <w:ind w:left="2977" w:hanging="2268"/>
        <w:textAlignment w:val="baseline"/>
        <w:rPr>
          <w:szCs w:val="20"/>
        </w:rPr>
      </w:pPr>
      <m:oMath>
        <m:sSub>
          <m:sSubPr>
            <m:ctrlPr>
              <w:rPr>
                <w:rFonts w:ascii="Cambria Math" w:hAnsi="Cambria Math"/>
                <w:i/>
                <w:szCs w:val="20"/>
              </w:rPr>
            </m:ctrlPr>
          </m:sSubPr>
          <m:e>
            <m:r>
              <w:rPr>
                <w:rFonts w:ascii="Cambria Math" w:hAnsi="Cambria Math"/>
                <w:szCs w:val="20"/>
              </w:rPr>
              <m:t>L</m:t>
            </m:r>
          </m:e>
          <m:sub>
            <m:r>
              <w:rPr>
                <w:rFonts w:ascii="Cambria Math" w:hAnsi="Cambria Math"/>
                <w:szCs w:val="20"/>
              </w:rPr>
              <m:t>S</m:t>
            </m:r>
          </m:sub>
        </m:sSub>
      </m:oMath>
      <w:r w:rsidR="00801F1F">
        <w:tab/>
        <w:t>[m]</w:t>
      </w:r>
      <w:r w:rsidR="00801F1F">
        <w:tab/>
        <w:t>Distanza dalla poppa dello spintore o dell'imbarcazione adibita a spintore al punto di accoppiamento;</w:t>
      </w:r>
    </w:p>
    <w:p w:rsidR="004F47BB" w:rsidRPr="004F47BB" w:rsidRDefault="004F47BB" w:rsidP="004F47BB">
      <w:pPr>
        <w:tabs>
          <w:tab w:val="left" w:pos="284"/>
          <w:tab w:val="left" w:pos="2127"/>
          <w:tab w:val="left" w:pos="2977"/>
        </w:tabs>
        <w:overflowPunct w:val="0"/>
        <w:adjustRightInd w:val="0"/>
        <w:ind w:left="2977" w:hanging="2268"/>
        <w:textAlignment w:val="baseline"/>
        <w:rPr>
          <w:szCs w:val="20"/>
        </w:rPr>
      </w:pPr>
    </w:p>
    <w:p w:rsidR="004F47BB" w:rsidRPr="004F47BB" w:rsidRDefault="00624017" w:rsidP="004F47BB">
      <w:pPr>
        <w:tabs>
          <w:tab w:val="left" w:pos="284"/>
          <w:tab w:val="left" w:pos="2127"/>
          <w:tab w:val="left" w:pos="2977"/>
        </w:tabs>
        <w:overflowPunct w:val="0"/>
        <w:adjustRightInd w:val="0"/>
        <w:ind w:left="2977" w:hanging="2268"/>
        <w:textAlignment w:val="baseline"/>
        <w:rPr>
          <w:szCs w:val="20"/>
        </w:rPr>
      </w:pPr>
      <m:oMath>
        <m:sSub>
          <m:sSubPr>
            <m:ctrlPr>
              <w:rPr>
                <w:rFonts w:ascii="Cambria Math" w:hAnsi="Cambria Math"/>
                <w:i/>
                <w:szCs w:val="20"/>
              </w:rPr>
            </m:ctrlPr>
          </m:sSubPr>
          <m:e>
            <m:r>
              <w:rPr>
                <w:rFonts w:ascii="Cambria Math" w:hAnsi="Cambria Math"/>
                <w:szCs w:val="20"/>
              </w:rPr>
              <m:t>L'</m:t>
            </m:r>
          </m:e>
          <m:sub>
            <m:r>
              <w:rPr>
                <w:rFonts w:ascii="Cambria Math" w:hAnsi="Cambria Math"/>
                <w:szCs w:val="20"/>
              </w:rPr>
              <m:t>S</m:t>
            </m:r>
          </m:sub>
        </m:sSub>
      </m:oMath>
      <w:r w:rsidR="00801F1F">
        <w:tab/>
        <w:t>[m]</w:t>
      </w:r>
      <w:r w:rsidR="00801F1F">
        <w:tab/>
        <w:t>Distanza dalla poppa dell'imbarcazione adibita a spintore al punto di accoppiamento tra la prima imbarcazione spinta e l'imbarcazione accoppiata a proravia;</w:t>
      </w:r>
    </w:p>
    <w:p w:rsidR="004F47BB" w:rsidRPr="004F47BB" w:rsidRDefault="004F47BB" w:rsidP="004F47BB">
      <w:pPr>
        <w:tabs>
          <w:tab w:val="left" w:pos="284"/>
          <w:tab w:val="left" w:pos="2127"/>
          <w:tab w:val="left" w:pos="2977"/>
        </w:tabs>
        <w:overflowPunct w:val="0"/>
        <w:adjustRightInd w:val="0"/>
        <w:ind w:left="2977" w:hanging="2268"/>
        <w:textAlignment w:val="baseline"/>
        <w:rPr>
          <w:szCs w:val="20"/>
        </w:rPr>
      </w:pPr>
    </w:p>
    <w:p w:rsidR="004F47BB" w:rsidRPr="004F47BB" w:rsidRDefault="00624017" w:rsidP="004F47BB">
      <w:pPr>
        <w:tabs>
          <w:tab w:val="left" w:pos="284"/>
          <w:tab w:val="left" w:pos="2127"/>
          <w:tab w:val="left" w:pos="2977"/>
        </w:tabs>
        <w:overflowPunct w:val="0"/>
        <w:adjustRightInd w:val="0"/>
        <w:ind w:left="2977" w:hanging="2268"/>
        <w:textAlignment w:val="baseline"/>
        <w:rPr>
          <w:szCs w:val="20"/>
        </w:rPr>
      </w:pPr>
      <m:oMath>
        <m:sSub>
          <m:sSubPr>
            <m:ctrlPr>
              <w:rPr>
                <w:rFonts w:ascii="Cambria Math" w:hAnsi="Cambria Math"/>
                <w:i/>
                <w:szCs w:val="20"/>
              </w:rPr>
            </m:ctrlPr>
          </m:sSubPr>
          <m:e>
            <m:r>
              <w:rPr>
                <w:rFonts w:ascii="Cambria Math" w:hAnsi="Cambria Math"/>
                <w:szCs w:val="20"/>
              </w:rPr>
              <m:t>h</m:t>
            </m:r>
          </m:e>
          <m:sub>
            <m:r>
              <w:rPr>
                <w:rFonts w:ascii="Cambria Math" w:hAnsi="Cambria Math"/>
                <w:szCs w:val="20"/>
              </w:rPr>
              <m:t>K</m:t>
            </m:r>
          </m:sub>
        </m:sSub>
      </m:oMath>
      <w:r w:rsidR="00801F1F">
        <w:t xml:space="preserve">, </w:t>
      </w:r>
      <m:oMath>
        <m:sSub>
          <m:sSubPr>
            <m:ctrlPr>
              <w:rPr>
                <w:rFonts w:ascii="Cambria Math" w:hAnsi="Cambria Math"/>
                <w:i/>
                <w:szCs w:val="20"/>
              </w:rPr>
            </m:ctrlPr>
          </m:sSubPr>
          <m:e>
            <m:r>
              <w:rPr>
                <w:rFonts w:ascii="Cambria Math" w:hAnsi="Cambria Math"/>
                <w:szCs w:val="20"/>
              </w:rPr>
              <m:t>h'</m:t>
            </m:r>
          </m:e>
          <m:sub>
            <m:r>
              <w:rPr>
                <w:rFonts w:ascii="Cambria Math" w:hAnsi="Cambria Math"/>
                <w:szCs w:val="20"/>
              </w:rPr>
              <m:t>K</m:t>
            </m:r>
          </m:sub>
        </m:sSub>
      </m:oMath>
      <w:r w:rsidR="00801F1F">
        <w:tab/>
        <w:t>[m]</w:t>
      </w:r>
      <w:r w:rsidR="00801F1F">
        <w:tab/>
        <w:t>Braccio di leva rispettivo del collegamento longitudinale;</w:t>
      </w:r>
    </w:p>
    <w:p w:rsidR="004F47BB" w:rsidRPr="004F47BB" w:rsidRDefault="004F47BB" w:rsidP="004F47BB">
      <w:pPr>
        <w:tabs>
          <w:tab w:val="left" w:pos="284"/>
          <w:tab w:val="left" w:pos="2127"/>
          <w:tab w:val="left" w:pos="2977"/>
        </w:tabs>
        <w:overflowPunct w:val="0"/>
        <w:adjustRightInd w:val="0"/>
        <w:ind w:left="2977" w:hanging="2268"/>
        <w:textAlignment w:val="baseline"/>
        <w:rPr>
          <w:szCs w:val="20"/>
        </w:rPr>
      </w:pPr>
    </w:p>
    <w:p w:rsidR="004F47BB" w:rsidRPr="004F47BB" w:rsidRDefault="00624017" w:rsidP="004F47BB">
      <w:pPr>
        <w:tabs>
          <w:tab w:val="left" w:pos="284"/>
          <w:tab w:val="left" w:pos="2127"/>
          <w:tab w:val="left" w:pos="2977"/>
        </w:tabs>
        <w:overflowPunct w:val="0"/>
        <w:adjustRightInd w:val="0"/>
        <w:ind w:left="2977" w:hanging="2268"/>
        <w:textAlignment w:val="baseline"/>
        <w:rPr>
          <w:szCs w:val="20"/>
        </w:rPr>
      </w:pPr>
      <m:oMath>
        <m:sSub>
          <m:sSubPr>
            <m:ctrlPr>
              <w:rPr>
                <w:rFonts w:ascii="Cambria Math" w:hAnsi="Cambria Math"/>
                <w:i/>
                <w:szCs w:val="20"/>
              </w:rPr>
            </m:ctrlPr>
          </m:sSubPr>
          <m:e>
            <m:r>
              <w:rPr>
                <w:rFonts w:ascii="Cambria Math" w:hAnsi="Cambria Math"/>
                <w:szCs w:val="20"/>
              </w:rPr>
              <m:t>B</m:t>
            </m:r>
          </m:e>
          <m:sub>
            <m:r>
              <w:rPr>
                <w:rFonts w:ascii="Cambria Math" w:hAnsi="Cambria Math"/>
                <w:szCs w:val="20"/>
              </w:rPr>
              <m:t>S</m:t>
            </m:r>
          </m:sub>
        </m:sSub>
      </m:oMath>
      <w:r w:rsidR="00801F1F">
        <w:tab/>
        <w:t>[m]</w:t>
      </w:r>
      <w:r w:rsidR="00801F1F">
        <w:tab/>
        <w:t>Larghezza dell'imbarcazione adibita a spintore;</w:t>
      </w:r>
    </w:p>
    <w:p w:rsidR="004F47BB" w:rsidRPr="004F47BB" w:rsidRDefault="004F47BB" w:rsidP="004F47BB">
      <w:pPr>
        <w:tabs>
          <w:tab w:val="left" w:pos="284"/>
          <w:tab w:val="left" w:pos="2127"/>
          <w:tab w:val="left" w:pos="2977"/>
        </w:tabs>
        <w:overflowPunct w:val="0"/>
        <w:adjustRightInd w:val="0"/>
        <w:ind w:left="2977" w:hanging="2268"/>
        <w:textAlignment w:val="baseline"/>
        <w:rPr>
          <w:szCs w:val="20"/>
        </w:rPr>
      </w:pPr>
    </w:p>
    <w:p w:rsidR="004F47BB" w:rsidRPr="004F47BB" w:rsidRDefault="004F47BB" w:rsidP="004F47BB">
      <w:pPr>
        <w:tabs>
          <w:tab w:val="left" w:pos="284"/>
          <w:tab w:val="left" w:pos="2127"/>
          <w:tab w:val="left" w:pos="2977"/>
        </w:tabs>
        <w:overflowPunct w:val="0"/>
        <w:adjustRightInd w:val="0"/>
        <w:ind w:left="2977" w:hanging="2268"/>
        <w:textAlignment w:val="baseline"/>
        <w:rPr>
          <w:szCs w:val="20"/>
        </w:rPr>
      </w:pPr>
    </w:p>
    <w:p w:rsidR="004F47BB" w:rsidRPr="004F47BB" w:rsidRDefault="004F47BB" w:rsidP="004F47BB">
      <w:pPr>
        <w:tabs>
          <w:tab w:val="left" w:pos="0"/>
          <w:tab w:val="left" w:pos="284"/>
          <w:tab w:val="left" w:pos="2127"/>
          <w:tab w:val="left" w:pos="2977"/>
        </w:tabs>
        <w:overflowPunct w:val="0"/>
        <w:adjustRightInd w:val="0"/>
        <w:ind w:left="2977" w:hanging="2268"/>
        <w:textAlignment w:val="baseline"/>
        <w:rPr>
          <w:szCs w:val="20"/>
        </w:rPr>
      </w:pPr>
      <w:r>
        <w:t>270 e 80</w:t>
      </w:r>
      <w:r>
        <w:tab/>
      </w:r>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kN</m:t>
                </m:r>
              </m:num>
              <m:den>
                <m:r>
                  <w:rPr>
                    <w:rFonts w:ascii="Cambria Math" w:hAnsi="Cambria Math"/>
                    <w:szCs w:val="20"/>
                  </w:rPr>
                  <m:t>kW</m:t>
                </m:r>
              </m:den>
            </m:f>
          </m:e>
        </m:d>
      </m:oMath>
      <w:r>
        <w:tab/>
        <w:t>valori calcolati empiricamente per la conversione della potenza installata in spinta garantendo, nel contempo, livelli di sicurezza adeguati.</w:t>
      </w:r>
    </w:p>
    <w:p w:rsidR="004F47BB" w:rsidRPr="004F47BB" w:rsidRDefault="004F47BB" w:rsidP="004F47BB">
      <w:pPr>
        <w:tabs>
          <w:tab w:val="left" w:pos="1985"/>
          <w:tab w:val="left" w:pos="2835"/>
        </w:tabs>
        <w:overflowPunct w:val="0"/>
        <w:adjustRightInd w:val="0"/>
        <w:ind w:left="0" w:firstLine="0"/>
        <w:textAlignment w:val="baseline"/>
        <w:rPr>
          <w:szCs w:val="20"/>
        </w:rPr>
      </w:pPr>
    </w:p>
    <w:p w:rsidR="004F47BB" w:rsidRPr="004F47BB" w:rsidRDefault="004F47BB" w:rsidP="004F47BB">
      <w:pPr>
        <w:tabs>
          <w:tab w:val="left" w:pos="680"/>
        </w:tabs>
        <w:overflowPunct w:val="0"/>
        <w:adjustRightInd w:val="0"/>
        <w:ind w:left="680" w:hanging="680"/>
        <w:textAlignment w:val="baseline"/>
        <w:rPr>
          <w:szCs w:val="20"/>
        </w:rPr>
      </w:pPr>
      <w:r>
        <w:t>2.4.1</w:t>
      </w:r>
      <w:r>
        <w:tab/>
        <w:t>Per l'accoppiamento longitudinale della singola imbarcazione, si devono utilizzare almeno due punti di accoppiamento. Ogni punto di accoppiamento deve essere dimensionato per la forza di accoppiamento calcolata secondo il punto 2.1, 2.2 o 2.3. Se si usano componenti di accoppiamento rigidi, è possibile autorizzare un unico punto di accoppiamento, purché tale punto garantisca il collegamento sicuro dell'imbarcazione.</w:t>
      </w:r>
    </w:p>
    <w:p w:rsidR="004F47BB" w:rsidRPr="004F47BB" w:rsidRDefault="004F47BB" w:rsidP="004F47BB">
      <w:pPr>
        <w:tabs>
          <w:tab w:val="left" w:pos="680"/>
        </w:tabs>
        <w:overflowPunct w:val="0"/>
        <w:adjustRightInd w:val="0"/>
        <w:ind w:left="680" w:hanging="680"/>
        <w:textAlignment w:val="baseline"/>
        <w:rPr>
          <w:szCs w:val="20"/>
        </w:rPr>
      </w:pPr>
    </w:p>
    <w:p w:rsidR="004F47BB" w:rsidRPr="004F47BB" w:rsidRDefault="004F47BB" w:rsidP="004F47BB">
      <w:pPr>
        <w:tabs>
          <w:tab w:val="left" w:pos="680"/>
        </w:tabs>
        <w:overflowPunct w:val="0"/>
        <w:adjustRightInd w:val="0"/>
        <w:ind w:left="680" w:hanging="680"/>
        <w:textAlignment w:val="baseline"/>
        <w:rPr>
          <w:szCs w:val="20"/>
        </w:rPr>
      </w:pPr>
      <w:r>
        <w:tab/>
        <w:t>La resistenza alla trazione dei cavi deve essere selezionata in base al numero di giri previsto. Nel punto di accoppiamento non si devono eseguire più di tre giri. I cavi devono essere scelti in base all'uso previsto.</w:t>
      </w:r>
    </w:p>
    <w:p w:rsidR="004F47BB" w:rsidRPr="004F47BB" w:rsidRDefault="004F47BB" w:rsidP="004F47BB">
      <w:pPr>
        <w:tabs>
          <w:tab w:val="left" w:pos="680"/>
        </w:tabs>
        <w:overflowPunct w:val="0"/>
        <w:adjustRightInd w:val="0"/>
        <w:ind w:left="680" w:hanging="680"/>
        <w:textAlignment w:val="baseline"/>
        <w:rPr>
          <w:szCs w:val="20"/>
        </w:rPr>
      </w:pPr>
    </w:p>
    <w:p w:rsidR="004F47BB" w:rsidRPr="004F47BB" w:rsidRDefault="004F47BB" w:rsidP="004F47BB">
      <w:pPr>
        <w:tabs>
          <w:tab w:val="left" w:pos="680"/>
        </w:tabs>
        <w:overflowPunct w:val="0"/>
        <w:adjustRightInd w:val="0"/>
        <w:ind w:left="680" w:hanging="680"/>
        <w:textAlignment w:val="baseline"/>
        <w:rPr>
          <w:szCs w:val="20"/>
        </w:rPr>
      </w:pPr>
      <w:r>
        <w:t>2.4.2</w:t>
      </w:r>
      <w:r>
        <w:tab/>
        <w:t>In caso di spintori con un'unica bettolina spinta, per calcolare la forza di accoppiamento è possibile usare la formula riportata nel punto 2.2, sempre che tali spintori siano stati autorizzati a provvedere alla propulsione di varie bettoline.</w:t>
      </w:r>
    </w:p>
    <w:p w:rsidR="004F47BB" w:rsidRPr="004F47BB" w:rsidRDefault="004F47BB" w:rsidP="004F47BB">
      <w:pPr>
        <w:tabs>
          <w:tab w:val="left" w:pos="680"/>
        </w:tabs>
        <w:overflowPunct w:val="0"/>
        <w:adjustRightInd w:val="0"/>
        <w:ind w:left="680" w:hanging="680"/>
        <w:textAlignment w:val="baseline"/>
        <w:rPr>
          <w:szCs w:val="20"/>
        </w:rPr>
      </w:pPr>
    </w:p>
    <w:p w:rsidR="004F47BB" w:rsidRPr="004F47BB" w:rsidRDefault="004F47BB" w:rsidP="004F47BB">
      <w:pPr>
        <w:tabs>
          <w:tab w:val="left" w:pos="680"/>
        </w:tabs>
        <w:overflowPunct w:val="0"/>
        <w:adjustRightInd w:val="0"/>
        <w:ind w:left="680" w:hanging="680"/>
        <w:textAlignment w:val="baseline"/>
        <w:rPr>
          <w:szCs w:val="20"/>
        </w:rPr>
      </w:pPr>
      <w:r>
        <w:t>2.4.3</w:t>
      </w:r>
      <w:r>
        <w:tab/>
        <w:t>Devono essere disponibili bitte o dispositivi equivalenti in numero sufficiente e in grado di assorbire le forze di accoppiamento generate.</w:t>
      </w:r>
    </w:p>
    <w:p w:rsidR="004F47BB" w:rsidRPr="004F47BB" w:rsidRDefault="004F47BB" w:rsidP="004F47BB">
      <w:pPr>
        <w:tabs>
          <w:tab w:val="left" w:pos="680"/>
        </w:tabs>
        <w:overflowPunct w:val="0"/>
        <w:adjustRightInd w:val="0"/>
        <w:ind w:left="680" w:hanging="680"/>
        <w:textAlignment w:val="baseline"/>
        <w:rPr>
          <w:szCs w:val="20"/>
        </w:rPr>
      </w:pPr>
    </w:p>
    <w:p w:rsidR="004F47BB" w:rsidRPr="004F47BB" w:rsidRDefault="004F47BB" w:rsidP="004F47BB">
      <w:pPr>
        <w:tabs>
          <w:tab w:val="left" w:pos="680"/>
        </w:tabs>
        <w:overflowPunct w:val="0"/>
        <w:adjustRightInd w:val="0"/>
        <w:ind w:left="680" w:hanging="680"/>
        <w:textAlignment w:val="baseline"/>
        <w:rPr>
          <w:b/>
          <w:szCs w:val="20"/>
        </w:rPr>
      </w:pPr>
      <w:r>
        <w:rPr>
          <w:b/>
        </w:rPr>
        <w:t>3.</w:t>
      </w:r>
      <w:r>
        <w:tab/>
      </w:r>
      <w:r>
        <w:rPr>
          <w:b/>
        </w:rPr>
        <w:t>Requisiti particolari per accoppiamenti articolati</w:t>
      </w:r>
    </w:p>
    <w:p w:rsidR="004F47BB" w:rsidRPr="004F47BB" w:rsidRDefault="004F47BB" w:rsidP="004F47BB">
      <w:pPr>
        <w:tabs>
          <w:tab w:val="left" w:pos="680"/>
        </w:tabs>
        <w:overflowPunct w:val="0"/>
        <w:adjustRightInd w:val="0"/>
        <w:ind w:left="680" w:hanging="680"/>
        <w:textAlignment w:val="baseline"/>
        <w:rPr>
          <w:szCs w:val="20"/>
        </w:rPr>
      </w:pPr>
    </w:p>
    <w:p w:rsidR="004F47BB" w:rsidRPr="004F47BB" w:rsidRDefault="004F47BB" w:rsidP="004F47BB">
      <w:pPr>
        <w:tabs>
          <w:tab w:val="left" w:pos="680"/>
        </w:tabs>
        <w:overflowPunct w:val="0"/>
        <w:adjustRightInd w:val="0"/>
        <w:ind w:left="680" w:hanging="680"/>
        <w:textAlignment w:val="baseline"/>
        <w:rPr>
          <w:szCs w:val="20"/>
        </w:rPr>
      </w:pPr>
      <w:r>
        <w:tab/>
        <w:t>Gli accoppiamenti articolati devono essere progettati in maniera tale da garantire un accoppiamento rigido tra le imbarcazioni. Il rispetto dei requisiti del capo 5 deve essere verificato con prove di navigazione utilizzando un convoglio rigido conforme all'articolo 21.06.</w:t>
      </w:r>
    </w:p>
    <w:p w:rsidR="004F47BB" w:rsidRPr="004F47BB" w:rsidRDefault="004F47BB" w:rsidP="004F47BB">
      <w:pPr>
        <w:tabs>
          <w:tab w:val="left" w:pos="680"/>
        </w:tabs>
        <w:overflowPunct w:val="0"/>
        <w:adjustRightInd w:val="0"/>
        <w:ind w:left="680" w:hanging="680"/>
        <w:textAlignment w:val="baseline"/>
        <w:rPr>
          <w:szCs w:val="20"/>
        </w:rPr>
      </w:pPr>
    </w:p>
    <w:p w:rsidR="004F47BB" w:rsidRPr="004F47BB" w:rsidRDefault="004F47BB" w:rsidP="004F47BB">
      <w:pPr>
        <w:tabs>
          <w:tab w:val="left" w:pos="680"/>
        </w:tabs>
        <w:overflowPunct w:val="0"/>
        <w:adjustRightInd w:val="0"/>
        <w:ind w:left="680" w:hanging="680"/>
        <w:textAlignment w:val="baseline"/>
        <w:rPr>
          <w:szCs w:val="20"/>
        </w:rPr>
      </w:pPr>
      <w:r>
        <w:tab/>
        <w:t>Il dispositivo di azionamento dell'accoppiamento articolato deve assicurare un ritorno soddisfacente dalla posizione articolata. Si applicano, in quanto compatibili, i requisiti di cui agli articoli da 6.02 a 6.04, ragion per cui quando si impiega un'unità di azionamento devono essere disponibili una seconda unità di azionamento indipendente e una fonte di alimentazione da utilizzare in caso di guasto.</w:t>
      </w:r>
    </w:p>
    <w:p w:rsidR="004F47BB" w:rsidRPr="004F47BB" w:rsidRDefault="004F47BB" w:rsidP="004F47BB">
      <w:pPr>
        <w:tabs>
          <w:tab w:val="left" w:pos="680"/>
        </w:tabs>
        <w:overflowPunct w:val="0"/>
        <w:adjustRightInd w:val="0"/>
        <w:ind w:left="680" w:hanging="680"/>
        <w:textAlignment w:val="baseline"/>
        <w:rPr>
          <w:szCs w:val="20"/>
        </w:rPr>
      </w:pPr>
    </w:p>
    <w:p w:rsidR="004F47BB" w:rsidRPr="004F47BB" w:rsidRDefault="004F47BB" w:rsidP="004F47BB">
      <w:pPr>
        <w:tabs>
          <w:tab w:val="left" w:pos="680"/>
        </w:tabs>
        <w:overflowPunct w:val="0"/>
        <w:adjustRightInd w:val="0"/>
        <w:ind w:left="680" w:hanging="680"/>
        <w:textAlignment w:val="baseline"/>
        <w:rPr>
          <w:szCs w:val="20"/>
        </w:rPr>
      </w:pPr>
      <w:r>
        <w:tab/>
        <w:t>Deve essere possibile azionare e monitorare l'accoppiamento articolato (perlomeno il suo movimento articolato) dalla timoneria. Si applicano, in quanto compatibili, i requisiti di cui agli articoli 7.03 e 7.05.</w:t>
      </w:r>
    </w:p>
    <w:p w:rsidR="004F47BB" w:rsidRPr="004F47BB" w:rsidRDefault="004F47BB" w:rsidP="004F47BB">
      <w:pPr>
        <w:tabs>
          <w:tab w:val="left" w:pos="680"/>
        </w:tabs>
        <w:overflowPunct w:val="0"/>
        <w:adjustRightInd w:val="0"/>
        <w:ind w:left="680" w:hanging="680"/>
        <w:textAlignment w:val="baseline"/>
        <w:rPr>
          <w:szCs w:val="20"/>
        </w:rPr>
      </w:pPr>
      <w:r>
        <w:br w:type="page"/>
      </w:r>
    </w:p>
    <w:p w:rsidR="004F47BB" w:rsidRPr="004F47BB" w:rsidRDefault="004F47BB" w:rsidP="004F47BB">
      <w:pPr>
        <w:tabs>
          <w:tab w:val="left" w:pos="680"/>
        </w:tabs>
        <w:overflowPunct w:val="0"/>
        <w:adjustRightInd w:val="0"/>
        <w:ind w:left="680" w:hanging="680"/>
        <w:textAlignment w:val="baseline"/>
        <w:rPr>
          <w:szCs w:val="20"/>
        </w:rPr>
      </w:pPr>
    </w:p>
    <w:p w:rsidR="004F47BB" w:rsidRPr="004F47BB" w:rsidRDefault="004F47BB" w:rsidP="004F47BB">
      <w:pPr>
        <w:tabs>
          <w:tab w:val="left" w:pos="680"/>
        </w:tabs>
        <w:overflowPunct w:val="0"/>
        <w:adjustRightInd w:val="0"/>
        <w:ind w:left="680" w:hanging="680"/>
        <w:textAlignment w:val="baseline"/>
        <w:rPr>
          <w:szCs w:val="20"/>
        </w:rPr>
      </w:pPr>
    </w:p>
    <w:p w:rsidR="004F47BB" w:rsidRPr="004F47BB" w:rsidRDefault="004F47BB" w:rsidP="004F47BB">
      <w:pPr>
        <w:tabs>
          <w:tab w:val="left" w:pos="680"/>
        </w:tabs>
        <w:overflowPunct w:val="0"/>
        <w:adjustRightInd w:val="0"/>
        <w:ind w:left="680" w:hanging="680"/>
        <w:textAlignment w:val="baseline"/>
        <w:rPr>
          <w:szCs w:val="20"/>
        </w:rPr>
      </w:pPr>
    </w:p>
    <w:p w:rsidR="004F47BB" w:rsidRPr="004F47BB" w:rsidRDefault="004F47BB" w:rsidP="004F47BB">
      <w:pPr>
        <w:tabs>
          <w:tab w:val="left" w:pos="680"/>
        </w:tabs>
        <w:overflowPunct w:val="0"/>
        <w:adjustRightInd w:val="0"/>
        <w:ind w:left="680" w:hanging="680"/>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spacing w:line="240" w:lineRule="atLeast"/>
        <w:ind w:left="0" w:firstLine="0"/>
        <w:jc w:val="center"/>
        <w:textAlignment w:val="baseline"/>
        <w:rPr>
          <w:rFonts w:eastAsia="Calibri" w:cs="Arial"/>
          <w:b/>
          <w:i/>
          <w:caps/>
          <w:sz w:val="24"/>
          <w:szCs w:val="20"/>
        </w:rPr>
        <w:sectPr w:rsidR="004F47BB" w:rsidRPr="004F47BB" w:rsidSect="00D45887">
          <w:footnotePr>
            <w:numRestart w:val="eachPage"/>
          </w:footnotePr>
          <w:pgSz w:w="11907" w:h="16840" w:code="9"/>
          <w:pgMar w:top="1418" w:right="1418" w:bottom="1418" w:left="1418" w:header="680" w:footer="680" w:gutter="0"/>
          <w:cols w:space="720"/>
          <w:docGrid w:linePitch="326"/>
        </w:sectPr>
      </w:pPr>
    </w:p>
    <w:p w:rsidR="004F47BB" w:rsidRPr="004F47BB" w:rsidRDefault="004F47BB" w:rsidP="00330FC4">
      <w:pPr>
        <w:pStyle w:val="ES-Titre2ESI"/>
        <w:rPr>
          <w:szCs w:val="20"/>
        </w:rPr>
      </w:pPr>
      <w:bookmarkStart w:id="775" w:name="_Toc491854370"/>
      <w:bookmarkStart w:id="776" w:name="_Toc535500319"/>
      <w:r>
        <w:lastRenderedPageBreak/>
        <w:t>ESI-III-7</w:t>
      </w:r>
      <w:r>
        <w:br/>
        <w:t>Serbatoi per il combustibile su galleggianti</w:t>
      </w:r>
      <w:bookmarkEnd w:id="775"/>
      <w:bookmarkEnd w:id="776"/>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tabs>
          <w:tab w:val="left" w:pos="284"/>
          <w:tab w:val="left" w:pos="567"/>
        </w:tabs>
        <w:overflowPunct w:val="0"/>
        <w:adjustRightInd w:val="0"/>
        <w:ind w:left="284" w:hanging="284"/>
        <w:jc w:val="center"/>
        <w:textAlignment w:val="baseline"/>
        <w:rPr>
          <w:b/>
          <w:szCs w:val="20"/>
        </w:rPr>
      </w:pPr>
      <w:r>
        <w:rPr>
          <w:b/>
        </w:rPr>
        <w:t>[Articolo 8.05, paragrafo 1, e articolo 22.02, paragrafo 1, lettera d)]</w:t>
      </w:r>
    </w:p>
    <w:p w:rsidR="004F47BB" w:rsidRPr="004F47BB" w:rsidRDefault="004F47BB" w:rsidP="004F47BB">
      <w:pPr>
        <w:tabs>
          <w:tab w:val="left" w:pos="284"/>
          <w:tab w:val="left" w:pos="567"/>
        </w:tabs>
        <w:overflowPunct w:val="0"/>
        <w:adjustRightInd w:val="0"/>
        <w:ind w:left="284" w:hanging="284"/>
        <w:jc w:val="left"/>
        <w:textAlignment w:val="baseline"/>
        <w:rPr>
          <w:szCs w:val="20"/>
        </w:rPr>
      </w:pPr>
    </w:p>
    <w:p w:rsidR="004F47BB" w:rsidRPr="004F47BB" w:rsidRDefault="004F47BB" w:rsidP="004F47BB">
      <w:pPr>
        <w:spacing w:line="240" w:lineRule="atLeast"/>
        <w:ind w:left="0" w:firstLine="0"/>
        <w:rPr>
          <w:noProof/>
        </w:rPr>
      </w:pPr>
      <w:r>
        <w:t>Conformemente all'articolo 8.05, paragrafo 1, i serbatoi per il combustibile devono essere parte integrante dello scafo ed essere solidamente fissati a esso.</w:t>
      </w:r>
    </w:p>
    <w:p w:rsidR="004F47BB" w:rsidRPr="004F47BB" w:rsidRDefault="004F47BB" w:rsidP="004F47BB">
      <w:pPr>
        <w:spacing w:line="240" w:lineRule="atLeast"/>
        <w:ind w:left="0" w:firstLine="0"/>
        <w:rPr>
          <w:noProof/>
        </w:rPr>
      </w:pPr>
    </w:p>
    <w:p w:rsidR="004F47BB" w:rsidRPr="004F47BB" w:rsidRDefault="004F47BB" w:rsidP="004F47BB">
      <w:pPr>
        <w:spacing w:line="240" w:lineRule="atLeast"/>
        <w:ind w:left="0" w:firstLine="0"/>
        <w:rPr>
          <w:noProof/>
        </w:rPr>
      </w:pPr>
      <w:r>
        <w:t>I serbatoi per il combustibile di motori di impianti adibiti a lavori su galleggianti non devono invece essere parte integrante dello scafo né essere solidamente fissati a esso. Si possono usare serbatoi mobili, purché siano rispettate le seguenti condizioni:</w:t>
      </w:r>
    </w:p>
    <w:p w:rsidR="004F47BB" w:rsidRPr="004F47BB" w:rsidRDefault="004F47BB" w:rsidP="004F47BB">
      <w:pPr>
        <w:tabs>
          <w:tab w:val="left" w:pos="0"/>
          <w:tab w:val="left" w:pos="454"/>
          <w:tab w:val="left" w:pos="567"/>
          <w:tab w:val="left" w:pos="851"/>
        </w:tabs>
        <w:overflowPunct w:val="0"/>
        <w:adjustRightInd w:val="0"/>
        <w:ind w:left="454" w:hanging="454"/>
        <w:textAlignment w:val="baseline"/>
        <w:rPr>
          <w:szCs w:val="20"/>
        </w:rPr>
      </w:pPr>
    </w:p>
    <w:p w:rsidR="004F47BB" w:rsidRPr="004F47BB" w:rsidRDefault="004F47BB" w:rsidP="004F47BB">
      <w:pPr>
        <w:spacing w:line="240" w:lineRule="atLeast"/>
        <w:ind w:left="567" w:hanging="567"/>
      </w:pPr>
      <w:r>
        <w:t>1.</w:t>
      </w:r>
      <w:r>
        <w:tab/>
        <w:t>la capacità di tali serbatoi non deve superare 1000 litri;</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2.</w:t>
      </w:r>
      <w:r>
        <w:tab/>
        <w:t>deve essere possibile fissare i serbatoi in maniera sufficientemente solida e metterli a terra;</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3.</w:t>
      </w:r>
      <w:r>
        <w:tab/>
        <w:t>i serbatoi devono essere realizzati in acciaio con uno spessore di parete sufficiente e devono essere installati in un raccoglitore di gocciolamento progettato in maniera tale evitare la fuoriuscita di combustibile che possa contaminare le vie navigabili. Il raccoglitore di gocciolamento può essere omesso se si utilizzano serbatoi a doppia parete con protezione dalle perdite o sistema di segnalazione delle fuoriuscite, riempiti unicamente attraverso una valvola di mandata automatica. Le disposizioni di cui al punto 3 si reputano soddisfatte se la costruzione di un serbatoio è stata certificata e approvata secondo le norme di uno Stato membro.</w:t>
      </w:r>
    </w:p>
    <w:p w:rsidR="004F47BB" w:rsidRPr="004F47BB" w:rsidRDefault="004F47BB" w:rsidP="004F47BB">
      <w:pPr>
        <w:tabs>
          <w:tab w:val="left" w:pos="567"/>
          <w:tab w:val="left" w:pos="851"/>
          <w:tab w:val="left" w:pos="1701"/>
          <w:tab w:val="left" w:pos="7088"/>
        </w:tabs>
        <w:overflowPunct w:val="0"/>
        <w:adjustRightInd w:val="0"/>
        <w:spacing w:line="240" w:lineRule="atLeast"/>
        <w:textAlignment w:val="baseline"/>
        <w:rPr>
          <w:szCs w:val="20"/>
        </w:rPr>
      </w:pPr>
    </w:p>
    <w:p w:rsidR="004F47BB" w:rsidRPr="004F47BB" w:rsidRDefault="004F47BB" w:rsidP="004F47BB">
      <w:pPr>
        <w:spacing w:line="240" w:lineRule="atLeast"/>
        <w:ind w:left="0" w:firstLine="0"/>
        <w:rPr>
          <w:noProof/>
        </w:rPr>
      </w:pPr>
      <w:r>
        <w:t>Nel certificato per la navigazione interna occorre compilare una rubrica opportuna.</w:t>
      </w:r>
    </w:p>
    <w:p w:rsidR="004F47BB" w:rsidRPr="004F47BB" w:rsidRDefault="004F47BB" w:rsidP="004F47BB">
      <w:pPr>
        <w:tabs>
          <w:tab w:val="left" w:pos="0"/>
          <w:tab w:val="left" w:pos="567"/>
          <w:tab w:val="left" w:pos="851"/>
          <w:tab w:val="left" w:pos="1701"/>
          <w:tab w:val="left" w:pos="7088"/>
        </w:tabs>
        <w:overflowPunct w:val="0"/>
        <w:adjustRightInd w:val="0"/>
        <w:ind w:left="567" w:hanging="567"/>
        <w:jc w:val="left"/>
        <w:textAlignment w:val="baseline"/>
        <w:rPr>
          <w:szCs w:val="20"/>
        </w:rPr>
      </w:pPr>
    </w:p>
    <w:p w:rsidR="004F47BB" w:rsidRPr="004F47BB" w:rsidRDefault="004F47BB" w:rsidP="004F47BB">
      <w:pPr>
        <w:tabs>
          <w:tab w:val="left" w:pos="0"/>
          <w:tab w:val="left" w:pos="567"/>
          <w:tab w:val="left" w:pos="851"/>
          <w:tab w:val="left" w:pos="1701"/>
          <w:tab w:val="left" w:pos="7088"/>
        </w:tabs>
        <w:overflowPunct w:val="0"/>
        <w:adjustRightInd w:val="0"/>
        <w:ind w:left="567" w:hanging="567"/>
        <w:jc w:val="left"/>
        <w:textAlignment w:val="baseline"/>
        <w:rPr>
          <w:szCs w:val="20"/>
        </w:rPr>
      </w:pPr>
      <w:r>
        <w:br w:type="page"/>
      </w:r>
    </w:p>
    <w:p w:rsidR="004F47BB" w:rsidRPr="004F47BB" w:rsidRDefault="004F47BB" w:rsidP="004F47BB">
      <w:pPr>
        <w:tabs>
          <w:tab w:val="left" w:pos="0"/>
          <w:tab w:val="left" w:pos="567"/>
          <w:tab w:val="left" w:pos="851"/>
          <w:tab w:val="left" w:pos="1701"/>
          <w:tab w:val="left" w:pos="7088"/>
        </w:tabs>
        <w:overflowPunct w:val="0"/>
        <w:adjustRightInd w:val="0"/>
        <w:ind w:left="567" w:hanging="567"/>
        <w:jc w:val="left"/>
        <w:textAlignment w:val="baseline"/>
        <w:rPr>
          <w:szCs w:val="20"/>
        </w:rPr>
      </w:pPr>
    </w:p>
    <w:p w:rsidR="004F47BB" w:rsidRPr="004F47BB" w:rsidRDefault="004F47BB" w:rsidP="004F47BB">
      <w:pPr>
        <w:tabs>
          <w:tab w:val="left" w:pos="0"/>
          <w:tab w:val="left" w:pos="567"/>
          <w:tab w:val="left" w:pos="851"/>
          <w:tab w:val="left" w:pos="1701"/>
          <w:tab w:val="left" w:pos="7088"/>
        </w:tabs>
        <w:overflowPunct w:val="0"/>
        <w:adjustRightInd w:val="0"/>
        <w:ind w:left="567" w:hanging="567"/>
        <w:jc w:val="left"/>
        <w:textAlignment w:val="baseline"/>
        <w:rPr>
          <w:szCs w:val="20"/>
        </w:rPr>
      </w:pPr>
    </w:p>
    <w:p w:rsidR="004F47BB" w:rsidRPr="004F47BB" w:rsidRDefault="004F47BB" w:rsidP="004F47BB">
      <w:pPr>
        <w:tabs>
          <w:tab w:val="left" w:pos="0"/>
          <w:tab w:val="left" w:pos="567"/>
          <w:tab w:val="left" w:pos="851"/>
          <w:tab w:val="left" w:pos="1701"/>
          <w:tab w:val="left" w:pos="7088"/>
        </w:tabs>
        <w:overflowPunct w:val="0"/>
        <w:adjustRightInd w:val="0"/>
        <w:ind w:left="567" w:hanging="567"/>
        <w:jc w:val="left"/>
        <w:textAlignment w:val="baseline"/>
        <w:rPr>
          <w:szCs w:val="20"/>
        </w:rPr>
      </w:pPr>
    </w:p>
    <w:p w:rsidR="004F47BB" w:rsidRPr="004F47BB" w:rsidRDefault="004F47BB" w:rsidP="004F47BB">
      <w:pPr>
        <w:tabs>
          <w:tab w:val="left" w:pos="0"/>
          <w:tab w:val="left" w:pos="567"/>
          <w:tab w:val="left" w:pos="851"/>
          <w:tab w:val="left" w:pos="1701"/>
          <w:tab w:val="left" w:pos="7088"/>
        </w:tabs>
        <w:overflowPunct w:val="0"/>
        <w:adjustRightInd w:val="0"/>
        <w:ind w:left="567" w:hanging="567"/>
        <w:jc w:val="left"/>
        <w:textAlignment w:val="baseline"/>
        <w:rPr>
          <w:szCs w:val="20"/>
        </w:rPr>
      </w:pPr>
    </w:p>
    <w:p w:rsidR="004F47BB" w:rsidRPr="004F47BB" w:rsidRDefault="004F47BB" w:rsidP="004F47BB">
      <w:pPr>
        <w:tabs>
          <w:tab w:val="left" w:pos="0"/>
          <w:tab w:val="left" w:pos="567"/>
          <w:tab w:val="left" w:pos="851"/>
          <w:tab w:val="left" w:pos="1701"/>
          <w:tab w:val="left" w:pos="7088"/>
        </w:tabs>
        <w:overflowPunct w:val="0"/>
        <w:adjustRightInd w:val="0"/>
        <w:ind w:left="567" w:hanging="567"/>
        <w:jc w:val="left"/>
        <w:textAlignment w:val="baseline"/>
        <w:rPr>
          <w:szCs w:val="20"/>
        </w:rPr>
      </w:pPr>
    </w:p>
    <w:p w:rsidR="004F47BB" w:rsidRPr="004F47BB" w:rsidRDefault="004F47BB" w:rsidP="004F47BB">
      <w:pPr>
        <w:tabs>
          <w:tab w:val="left" w:pos="0"/>
          <w:tab w:val="left" w:pos="567"/>
          <w:tab w:val="left" w:pos="851"/>
          <w:tab w:val="left" w:pos="1701"/>
          <w:tab w:val="left" w:pos="7088"/>
        </w:tabs>
        <w:overflowPunct w:val="0"/>
        <w:adjustRightInd w:val="0"/>
        <w:ind w:left="567" w:hanging="567"/>
        <w:jc w:val="left"/>
        <w:textAlignment w:val="baseline"/>
        <w:rPr>
          <w:szCs w:val="20"/>
        </w:rPr>
        <w:sectPr w:rsidR="004F47BB" w:rsidRPr="004F47BB" w:rsidSect="00D45887">
          <w:footnotePr>
            <w:numRestart w:val="eachPage"/>
          </w:footnotePr>
          <w:pgSz w:w="11907" w:h="16840" w:code="9"/>
          <w:pgMar w:top="1418" w:right="1418" w:bottom="1418" w:left="1418" w:header="680" w:footer="680" w:gutter="0"/>
          <w:cols w:space="720"/>
          <w:docGrid w:linePitch="326"/>
        </w:sectPr>
      </w:pPr>
    </w:p>
    <w:p w:rsidR="004F47BB" w:rsidRPr="004F47BB" w:rsidRDefault="004F47BB" w:rsidP="00330FC4">
      <w:pPr>
        <w:pStyle w:val="ES-Titre2ESI"/>
        <w:rPr>
          <w:noProof/>
        </w:rPr>
      </w:pPr>
      <w:bookmarkStart w:id="777" w:name="_Toc491854371"/>
      <w:bookmarkStart w:id="778" w:name="_Toc535500320"/>
      <w:r>
        <w:lastRenderedPageBreak/>
        <w:t>ESI-III-8</w:t>
      </w:r>
      <w:r>
        <w:br/>
        <w:t>Imbarcazioni da diporto</w:t>
      </w:r>
      <w:bookmarkEnd w:id="777"/>
      <w:bookmarkEnd w:id="778"/>
    </w:p>
    <w:p w:rsidR="004F47BB" w:rsidRPr="004F47BB" w:rsidRDefault="004F47BB" w:rsidP="004F47BB">
      <w:pPr>
        <w:spacing w:line="240" w:lineRule="atLeast"/>
        <w:ind w:left="567" w:hanging="567"/>
        <w:rPr>
          <w:noProof/>
        </w:rPr>
      </w:pPr>
    </w:p>
    <w:p w:rsidR="004F47BB" w:rsidRPr="004F47BB" w:rsidRDefault="004F47BB" w:rsidP="004F47BB">
      <w:pPr>
        <w:spacing w:line="240" w:lineRule="atLeast"/>
        <w:ind w:left="0" w:firstLine="0"/>
        <w:jc w:val="center"/>
        <w:rPr>
          <w:b/>
          <w:noProof/>
        </w:rPr>
      </w:pPr>
      <w:r>
        <w:rPr>
          <w:b/>
          <w:noProof/>
        </w:rPr>
        <w:t>(Articolo 26.01, paragrafo 2, in combinato disposto con l'articolo 7.02, l'articolo 8.05, paragrafo 5, l'articolo 8.08, paragrafo 2 e l'articolo 8.10)</w:t>
      </w:r>
    </w:p>
    <w:p w:rsidR="004F47BB" w:rsidRPr="004F47BB" w:rsidRDefault="004F47BB" w:rsidP="004F47BB">
      <w:pPr>
        <w:spacing w:line="240" w:lineRule="atLeast"/>
        <w:ind w:left="567" w:hanging="567"/>
        <w:rPr>
          <w:rFonts w:cs="Arial"/>
          <w:b/>
          <w:noProof/>
          <w:color w:val="000000"/>
          <w:szCs w:val="20"/>
        </w:rPr>
      </w:pPr>
    </w:p>
    <w:p w:rsidR="004F47BB" w:rsidRPr="004F47BB" w:rsidRDefault="004F47BB" w:rsidP="004F47BB">
      <w:pPr>
        <w:spacing w:line="240" w:lineRule="atLeast"/>
        <w:ind w:left="567" w:hanging="567"/>
        <w:rPr>
          <w:rFonts w:cs="Arial"/>
          <w:b/>
          <w:noProof/>
          <w:color w:val="000000"/>
          <w:szCs w:val="20"/>
        </w:rPr>
      </w:pPr>
      <w:r>
        <w:rPr>
          <w:b/>
          <w:noProof/>
          <w:color w:val="000000"/>
        </w:rPr>
        <w:t>1.</w:t>
      </w:r>
      <w:r>
        <w:tab/>
      </w:r>
      <w:r>
        <w:rPr>
          <w:b/>
          <w:noProof/>
          <w:color w:val="000000"/>
        </w:rPr>
        <w:t>Aspetti generali</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Le imbarcazioni da diporto fino a 24 metri di lunghezza, immesse sul mercato, devono conformarsi ai requisiti della direttiva 2013/53/UE. A norma dell'articolo 3 in combinato disposto con l'articolo 2 della presente direttiva, le imbarcazioni da diporto di 20 metri o più di lunghezza devono avere un certificato per la navigazione interna che ne attesti la conformità ai requisiti tecnici della presente norma. Dato che andrebbe evitata la doppia ispezione o certificazione per determinate attrezzature, sistemazioni e installazioni di imbarcazioni da diporto di nuova costruzione che potrebbe derivare da alcune disposizioni dell'articolo 26.01 della norma, la presente istruzione contiene informazioni su quei requisiti elencati all'articolo 26.01 che sono già sufficientemente disciplinati dalla direttiva 2013/53/UE.</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hanging="567"/>
        <w:rPr>
          <w:rFonts w:cs="Arial"/>
          <w:b/>
          <w:noProof/>
          <w:color w:val="000000"/>
          <w:szCs w:val="20"/>
        </w:rPr>
      </w:pPr>
      <w:r>
        <w:rPr>
          <w:b/>
          <w:noProof/>
          <w:color w:val="000000"/>
        </w:rPr>
        <w:t>2.</w:t>
      </w:r>
      <w:r>
        <w:tab/>
      </w:r>
      <w:r>
        <w:rPr>
          <w:b/>
          <w:noProof/>
          <w:color w:val="000000"/>
        </w:rPr>
        <w:t>Requisiti dell'articolo 26.01 che sono già disciplinati dalla direttiva 2013/53/UE</w:t>
      </w:r>
    </w:p>
    <w:p w:rsidR="004F47BB" w:rsidRPr="004F47BB" w:rsidRDefault="004F47BB" w:rsidP="004F47BB">
      <w:pPr>
        <w:spacing w:line="240" w:lineRule="atLeast"/>
        <w:ind w:left="567" w:firstLine="0"/>
        <w:rPr>
          <w:noProof/>
        </w:rPr>
      </w:pPr>
    </w:p>
    <w:p w:rsidR="004F47BB" w:rsidRPr="004F47BB" w:rsidRDefault="004F47BB" w:rsidP="004F47BB">
      <w:pPr>
        <w:spacing w:line="240" w:lineRule="atLeast"/>
        <w:ind w:left="567" w:firstLine="0"/>
        <w:rPr>
          <w:noProof/>
        </w:rPr>
      </w:pPr>
      <w:r>
        <w:t>Per le imbarcazioni da diporto soggette alla direttiva 2013/53/UE la commissione di ispezione, per quanto riguarda il rilascio del certificato per la navigazione interna (ispezione iniziale) non prevede un'ulteriore ispezione o certificazione dei seguenti requisiti dell'articolo 26.01, paragrafo 2, a condizione che l'imbarcazione presentata all'ispezione sia stata immessa sul mercato non più di 3 anni prima della data di presentazione alla commissione di ispezione e non siano state apportate modifiche, mentre la dichiarazione di conformità fa riferimento alle seguenti norme armonizzate o a norme equivalenti:</w:t>
      </w:r>
    </w:p>
    <w:p w:rsidR="004F47BB" w:rsidRPr="004F47BB" w:rsidRDefault="004F47BB" w:rsidP="004F47BB">
      <w:pPr>
        <w:tabs>
          <w:tab w:val="left" w:pos="4253"/>
        </w:tabs>
        <w:spacing w:before="60" w:line="240" w:lineRule="atLeast"/>
        <w:ind w:left="2127" w:hanging="1560"/>
        <w:rPr>
          <w:noProof/>
        </w:rPr>
      </w:pPr>
      <w:r>
        <w:t>articolo 7.02:</w:t>
      </w:r>
      <w:r>
        <w:tab/>
        <w:t>EN ISO 11591:2000,</w:t>
      </w:r>
      <w:r>
        <w:tab/>
        <w:t>(Visuale libera);</w:t>
      </w:r>
    </w:p>
    <w:p w:rsidR="004F47BB" w:rsidRPr="004F47BB" w:rsidRDefault="004F47BB" w:rsidP="004F47BB">
      <w:pPr>
        <w:tabs>
          <w:tab w:val="left" w:pos="4253"/>
        </w:tabs>
        <w:spacing w:before="60" w:line="240" w:lineRule="atLeast"/>
        <w:ind w:left="2127" w:hanging="1560"/>
        <w:rPr>
          <w:noProof/>
        </w:rPr>
      </w:pPr>
      <w:r>
        <w:t>articolo 8.05(5):</w:t>
      </w:r>
      <w:r>
        <w:tab/>
        <w:t>EN ISO 10088:2013,</w:t>
      </w:r>
      <w:r>
        <w:tab/>
        <w:t>(Serbatoi e tubolature per il combustibile);</w:t>
      </w:r>
    </w:p>
    <w:p w:rsidR="004F47BB" w:rsidRPr="004F47BB" w:rsidRDefault="004F47BB" w:rsidP="004F47BB">
      <w:pPr>
        <w:tabs>
          <w:tab w:val="left" w:pos="4253"/>
        </w:tabs>
        <w:spacing w:before="60" w:line="240" w:lineRule="atLeast"/>
        <w:ind w:left="2127" w:hanging="1560"/>
        <w:rPr>
          <w:noProof/>
        </w:rPr>
      </w:pPr>
      <w:r>
        <w:t>articolo 8.08, paragrafo 2:</w:t>
      </w:r>
      <w:r>
        <w:tab/>
        <w:t>EN ISO 15083:2003,</w:t>
      </w:r>
      <w:r>
        <w:tab/>
        <w:t>(Pompe di sentina);</w:t>
      </w:r>
    </w:p>
    <w:p w:rsidR="004F47BB" w:rsidRPr="00A0619C" w:rsidRDefault="004F47BB" w:rsidP="004F47BB">
      <w:pPr>
        <w:tabs>
          <w:tab w:val="left" w:pos="4253"/>
        </w:tabs>
        <w:spacing w:before="60" w:line="240" w:lineRule="atLeast"/>
        <w:ind w:left="2127" w:hanging="1560"/>
        <w:rPr>
          <w:noProof/>
        </w:rPr>
      </w:pPr>
      <w:r>
        <w:t>articolo 8.10:</w:t>
      </w:r>
      <w:r>
        <w:tab/>
        <w:t>EN ISO 14509-1:2008 ed EN ISO 14509-3:2009, (Emissioni di rumore).</w:t>
      </w:r>
    </w:p>
    <w:p w:rsidR="004F47BB" w:rsidRPr="00A0619C" w:rsidRDefault="004F47BB" w:rsidP="004F47BB">
      <w:pPr>
        <w:spacing w:line="240" w:lineRule="atLeast"/>
        <w:ind w:left="567" w:hanging="567"/>
      </w:pPr>
      <w:r>
        <w:t xml:space="preserve"> </w:t>
      </w:r>
    </w:p>
    <w:p w:rsidR="004F47BB" w:rsidRPr="00A0619C" w:rsidRDefault="004F47BB" w:rsidP="004F47BB">
      <w:pPr>
        <w:spacing w:line="240" w:lineRule="atLeast"/>
        <w:ind w:left="567" w:hanging="567"/>
      </w:pPr>
      <w:r>
        <w:br w:type="page"/>
      </w:r>
    </w:p>
    <w:p w:rsidR="004F47BB" w:rsidRPr="00A0619C" w:rsidRDefault="004F47BB" w:rsidP="004F47BB">
      <w:pPr>
        <w:spacing w:line="240" w:lineRule="atLeast"/>
        <w:ind w:left="567" w:hanging="567"/>
      </w:pPr>
    </w:p>
    <w:p w:rsidR="004F47BB" w:rsidRPr="00A0619C" w:rsidRDefault="004F47BB" w:rsidP="004F47BB">
      <w:pPr>
        <w:spacing w:line="240" w:lineRule="atLeast"/>
        <w:ind w:left="567" w:hanging="567"/>
      </w:pPr>
    </w:p>
    <w:p w:rsidR="004F47BB" w:rsidRPr="00A0619C" w:rsidRDefault="004F47BB" w:rsidP="004F47BB">
      <w:pPr>
        <w:tabs>
          <w:tab w:val="left" w:pos="0"/>
          <w:tab w:val="left" w:pos="567"/>
          <w:tab w:val="left" w:pos="851"/>
          <w:tab w:val="left" w:pos="1701"/>
          <w:tab w:val="left" w:pos="7088"/>
        </w:tabs>
        <w:overflowPunct w:val="0"/>
        <w:adjustRightInd w:val="0"/>
        <w:ind w:left="567" w:hanging="567"/>
        <w:jc w:val="left"/>
        <w:textAlignment w:val="baseline"/>
        <w:rPr>
          <w:szCs w:val="20"/>
        </w:rPr>
      </w:pPr>
    </w:p>
    <w:p w:rsidR="004F47BB" w:rsidRPr="00A0619C" w:rsidRDefault="004F47BB" w:rsidP="004F47BB">
      <w:pPr>
        <w:tabs>
          <w:tab w:val="left" w:pos="0"/>
          <w:tab w:val="left" w:pos="567"/>
          <w:tab w:val="left" w:pos="851"/>
          <w:tab w:val="left" w:pos="1701"/>
          <w:tab w:val="left" w:pos="7088"/>
        </w:tabs>
        <w:overflowPunct w:val="0"/>
        <w:adjustRightInd w:val="0"/>
        <w:ind w:left="567" w:hanging="567"/>
        <w:jc w:val="left"/>
        <w:textAlignment w:val="baseline"/>
        <w:rPr>
          <w:szCs w:val="20"/>
        </w:rPr>
        <w:sectPr w:rsidR="004F47BB" w:rsidRPr="00A0619C" w:rsidSect="00D45887">
          <w:footnotePr>
            <w:numRestart w:val="eachPage"/>
          </w:footnotePr>
          <w:pgSz w:w="11907" w:h="16840" w:code="9"/>
          <w:pgMar w:top="1418" w:right="1418" w:bottom="1418" w:left="1418" w:header="680" w:footer="680" w:gutter="0"/>
          <w:cols w:space="720"/>
          <w:docGrid w:linePitch="326"/>
        </w:sectPr>
      </w:pPr>
    </w:p>
    <w:p w:rsidR="004F47BB" w:rsidRPr="004F47BB" w:rsidRDefault="004F47BB" w:rsidP="00330FC4">
      <w:pPr>
        <w:pStyle w:val="ES-Titre2ESI"/>
        <w:rPr>
          <w:szCs w:val="20"/>
        </w:rPr>
      </w:pPr>
      <w:bookmarkStart w:id="779" w:name="_Toc491854372"/>
      <w:bookmarkStart w:id="780" w:name="_Toc535500321"/>
      <w:r>
        <w:lastRenderedPageBreak/>
        <w:t>ESI-III-9</w:t>
      </w:r>
      <w:r>
        <w:br/>
        <w:t>Prova di galleggiabilità, assetto e stabilità delle parti separate della nave</w:t>
      </w:r>
      <w:bookmarkEnd w:id="779"/>
      <w:bookmarkEnd w:id="780"/>
    </w:p>
    <w:p w:rsidR="004F47BB" w:rsidRPr="004F47BB" w:rsidRDefault="004F47BB" w:rsidP="004F47BB">
      <w:pPr>
        <w:tabs>
          <w:tab w:val="left" w:pos="0"/>
          <w:tab w:val="left" w:pos="567"/>
          <w:tab w:val="left" w:pos="851"/>
          <w:tab w:val="left" w:pos="1701"/>
          <w:tab w:val="left" w:pos="7088"/>
        </w:tabs>
        <w:overflowPunct w:val="0"/>
        <w:adjustRightInd w:val="0"/>
        <w:ind w:left="567" w:hanging="567"/>
        <w:jc w:val="left"/>
        <w:textAlignment w:val="baseline"/>
        <w:rPr>
          <w:szCs w:val="20"/>
        </w:rPr>
      </w:pPr>
    </w:p>
    <w:p w:rsidR="004F47BB" w:rsidRPr="004F47BB" w:rsidRDefault="004F47BB" w:rsidP="004F47BB">
      <w:pPr>
        <w:autoSpaceDE/>
        <w:autoSpaceDN/>
        <w:ind w:left="0" w:firstLine="0"/>
        <w:jc w:val="center"/>
        <w:rPr>
          <w:rFonts w:cs="Arial"/>
          <w:b/>
          <w:bCs/>
        </w:rPr>
      </w:pPr>
      <w:r>
        <w:rPr>
          <w:b/>
          <w:noProof/>
        </w:rPr>
        <w:t>(Articolo 28.04, in combinato disposto con l'articolo 27.02 e l'articolo 27.03)</w:t>
      </w:r>
    </w:p>
    <w:p w:rsidR="004F47BB" w:rsidRPr="004F47BB" w:rsidRDefault="004F47BB" w:rsidP="004F47BB">
      <w:pPr>
        <w:autoSpaceDE/>
        <w:autoSpaceDN/>
        <w:ind w:left="0" w:firstLine="0"/>
        <w:jc w:val="left"/>
        <w:rPr>
          <w:rFonts w:cs="Arial"/>
        </w:rPr>
      </w:pPr>
    </w:p>
    <w:p w:rsidR="004F47BB" w:rsidRPr="004F47BB" w:rsidRDefault="004F47BB" w:rsidP="004F47BB">
      <w:pPr>
        <w:spacing w:line="240" w:lineRule="atLeast"/>
        <w:ind w:left="567" w:hanging="567"/>
        <w:rPr>
          <w:strike/>
        </w:rPr>
      </w:pPr>
      <w:r>
        <w:t>1.</w:t>
      </w:r>
      <w:r>
        <w:tab/>
        <w:t>Quando si verificano la galleggiabilità, l'assetto e la stabilità delle parti della nave separate secondo l'articolo 28.04, paragrafo 2, lettera a), si presuppone che ambedue le parti siano state prima parzialmente o completamente scaricate oppure che i container sporgenti oltre la mastra del boccaporto siano stati opportunamente protetti per evitare che scivolino.</w:t>
      </w:r>
    </w:p>
    <w:p w:rsidR="004F47BB" w:rsidRPr="004F47BB" w:rsidRDefault="004F47BB" w:rsidP="004F47BB">
      <w:pPr>
        <w:spacing w:line="240" w:lineRule="atLeast"/>
        <w:ind w:left="567" w:hanging="567"/>
        <w:rPr>
          <w:strike/>
          <w:szCs w:val="20"/>
        </w:rPr>
      </w:pPr>
    </w:p>
    <w:p w:rsidR="004F47BB" w:rsidRPr="004F47BB" w:rsidRDefault="004F47BB" w:rsidP="004F47BB">
      <w:pPr>
        <w:spacing w:line="240" w:lineRule="atLeast"/>
        <w:ind w:left="567" w:hanging="567"/>
      </w:pPr>
      <w:r>
        <w:t>2.</w:t>
      </w:r>
      <w:r>
        <w:tab/>
        <w:t>Pertanto, quando si calcola la stabilità di cui all'articolo 27.03 (Condizioni limite e modalità di calcolo per la dimostrazione della stabilità in caso di trasporto di container fissi), per ciascuna delle due parti devono risultare rispettati i seguenti requisiti:</w:t>
      </w:r>
    </w:p>
    <w:p w:rsidR="004F47BB" w:rsidRPr="004F47BB" w:rsidRDefault="004F47BB" w:rsidP="004F47BB">
      <w:pPr>
        <w:tabs>
          <w:tab w:val="left" w:pos="567"/>
        </w:tabs>
        <w:autoSpaceDE/>
        <w:autoSpaceDN/>
        <w:spacing w:before="60" w:line="240" w:lineRule="atLeast"/>
        <w:ind w:left="992"/>
        <w:rPr>
          <w:rFonts w:cs="Arial"/>
        </w:rPr>
      </w:pPr>
      <w:r>
        <w:rPr>
          <w:rFonts w:cs="Arial"/>
          <w:noProof/>
        </w:rPr>
        <w:sym w:font="Symbol" w:char="F0B7"/>
      </w:r>
      <w:r>
        <w:tab/>
        <w:t xml:space="preserve">l'altezza metacentrica </w:t>
      </w:r>
      <m:oMath>
        <m:acc>
          <m:accPr>
            <m:chr m:val="̅"/>
            <m:ctrlPr>
              <w:rPr>
                <w:rFonts w:ascii="Cambria Math" w:hAnsi="Cambria Math"/>
                <w:i/>
              </w:rPr>
            </m:ctrlPr>
          </m:accPr>
          <m:e>
            <m:r>
              <w:rPr>
                <w:rFonts w:ascii="Cambria Math" w:hAnsi="Cambria Math"/>
              </w:rPr>
              <m:t>MG</m:t>
            </m:r>
          </m:e>
        </m:acc>
      </m:oMath>
      <w:r>
        <w:t xml:space="preserve"> non è inferiore a 0,50 m;</w:t>
      </w:r>
    </w:p>
    <w:p w:rsidR="004F47BB" w:rsidRPr="004F47BB" w:rsidRDefault="004F47BB" w:rsidP="004F47BB">
      <w:pPr>
        <w:tabs>
          <w:tab w:val="left" w:pos="567"/>
        </w:tabs>
        <w:autoSpaceDE/>
        <w:autoSpaceDN/>
        <w:spacing w:before="60" w:line="240" w:lineRule="atLeast"/>
        <w:ind w:left="992"/>
        <w:rPr>
          <w:rFonts w:cs="Arial"/>
        </w:rPr>
      </w:pPr>
      <w:r>
        <w:rPr>
          <w:rFonts w:cs="Arial"/>
          <w:noProof/>
        </w:rPr>
        <w:sym w:font="Symbol" w:char="F0B7"/>
      </w:r>
      <w:r>
        <w:tab/>
        <w:t>distanza di sicurezza residua di 100 mm;</w:t>
      </w:r>
    </w:p>
    <w:p w:rsidR="004F47BB" w:rsidRPr="004F47BB" w:rsidRDefault="004F47BB" w:rsidP="004F47BB">
      <w:pPr>
        <w:tabs>
          <w:tab w:val="left" w:pos="567"/>
        </w:tabs>
        <w:autoSpaceDE/>
        <w:autoSpaceDN/>
        <w:spacing w:before="60" w:line="240" w:lineRule="atLeast"/>
        <w:ind w:left="992"/>
        <w:rPr>
          <w:rFonts w:cs="Arial"/>
        </w:rPr>
      </w:pPr>
      <w:r>
        <w:rPr>
          <w:rFonts w:cs="Arial"/>
          <w:noProof/>
        </w:rPr>
        <w:sym w:font="Symbol" w:char="F0B7"/>
      </w:r>
      <w:r>
        <w:tab/>
        <w:t>velocità pari a 7 km/h;</w:t>
      </w:r>
    </w:p>
    <w:p w:rsidR="004F47BB" w:rsidRPr="004F47BB" w:rsidRDefault="004F47BB" w:rsidP="004F47BB">
      <w:pPr>
        <w:tabs>
          <w:tab w:val="left" w:pos="567"/>
        </w:tabs>
        <w:autoSpaceDE/>
        <w:autoSpaceDN/>
        <w:spacing w:before="60" w:line="240" w:lineRule="atLeast"/>
        <w:ind w:left="992"/>
        <w:rPr>
          <w:rFonts w:cs="Arial"/>
          <w:strike/>
          <w:szCs w:val="20"/>
        </w:rPr>
      </w:pPr>
      <w:r>
        <w:rPr>
          <w:rFonts w:cs="Arial"/>
          <w:noProof/>
          <w:szCs w:val="20"/>
        </w:rPr>
        <w:sym w:font="Symbol" w:char="F0B7"/>
      </w:r>
      <w:r>
        <w:tab/>
        <w:t>pressione del vento pari a 0,01 t/m</w:t>
      </w:r>
      <w:r>
        <w:rPr>
          <w:noProof/>
          <w:vertAlign w:val="superscript"/>
        </w:rPr>
        <w:t>2</w:t>
      </w:r>
      <w:r>
        <w:t>.</w:t>
      </w:r>
    </w:p>
    <w:p w:rsidR="004F47BB" w:rsidRPr="004F47BB" w:rsidRDefault="004F47BB" w:rsidP="004F47BB">
      <w:pPr>
        <w:tabs>
          <w:tab w:val="left" w:pos="567"/>
        </w:tabs>
        <w:autoSpaceDE/>
        <w:autoSpaceDN/>
        <w:spacing w:line="240" w:lineRule="atLeast"/>
        <w:ind w:left="567" w:hanging="567"/>
        <w:rPr>
          <w:rFonts w:cs="Arial"/>
          <w:szCs w:val="20"/>
        </w:rPr>
      </w:pPr>
    </w:p>
    <w:p w:rsidR="004F47BB" w:rsidRPr="004F47BB" w:rsidRDefault="004F47BB" w:rsidP="004F47BB">
      <w:pPr>
        <w:spacing w:line="240" w:lineRule="atLeast"/>
        <w:ind w:left="567" w:hanging="567"/>
      </w:pPr>
      <w:r>
        <w:t>3.</w:t>
      </w:r>
      <w:r>
        <w:tab/>
        <w:t>Per le parti della nave separate secondo l'articolo 28.04, paragrafo 2, l'angolo di sbandamento (≤ 5°) non deve essere necessariamente rispettato poiché tale angolo, derivante dal coefficiente di attrito, è stato stabilito per container non fissi.</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firstLine="0"/>
      </w:pPr>
      <w:r>
        <w:t>Il braccio inclinante che risulta dalle superfici libere di liquidi deve essere tenuto presente secondo la formula riportata nell'articolo 27.02, paragrafo 1, lettera e).</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4.</w:t>
      </w:r>
      <w:r>
        <w:tab/>
        <w:t>Si considerano soddisfatti anche i requisiti di cui ai punti 2 e 3 se, per ciascuna delle due parti, sono rispettati i requisiti di stabilità enunciati alla sezione 9.1.0.95.2 del regolamento ADN.</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5.</w:t>
      </w:r>
      <w:r>
        <w:tab/>
        <w:t>La dimostrazione della stabilità delle parti separate della nave può essere basata sul presupposto che esse siano caricate in maniera omogenea perché, qualora ciò non si verifichi già, tale risultato può essere ottenuto comunque prima della separazione, oppure perché la nave verrà notevolmente scaricata.</w:t>
      </w:r>
    </w:p>
    <w:p w:rsidR="004F47BB" w:rsidRPr="004F47BB" w:rsidRDefault="004F47BB" w:rsidP="004F47BB">
      <w:pPr>
        <w:tabs>
          <w:tab w:val="left" w:pos="0"/>
          <w:tab w:val="left" w:pos="567"/>
          <w:tab w:val="left" w:pos="851"/>
          <w:tab w:val="left" w:pos="1701"/>
          <w:tab w:val="left" w:pos="7088"/>
        </w:tabs>
        <w:overflowPunct w:val="0"/>
        <w:adjustRightInd w:val="0"/>
        <w:ind w:left="567" w:hanging="567"/>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r>
        <w:br w:type="page"/>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sectPr w:rsidR="004F47BB" w:rsidRPr="004F47BB" w:rsidSect="00D45887">
          <w:footnotePr>
            <w:numRestart w:val="eachPage"/>
          </w:footnotePr>
          <w:pgSz w:w="11907" w:h="16840" w:code="9"/>
          <w:pgMar w:top="1418" w:right="1418" w:bottom="1418" w:left="1418" w:header="680" w:footer="680" w:gutter="0"/>
          <w:cols w:space="720"/>
          <w:docGrid w:linePitch="326"/>
        </w:sectPr>
      </w:pPr>
    </w:p>
    <w:p w:rsidR="004F47BB" w:rsidRPr="004F47BB" w:rsidRDefault="004F47BB" w:rsidP="00330FC4">
      <w:pPr>
        <w:pStyle w:val="ES-Titre2ESI"/>
        <w:rPr>
          <w:szCs w:val="20"/>
        </w:rPr>
      </w:pPr>
      <w:bookmarkStart w:id="781" w:name="_Toc491854373"/>
      <w:bookmarkStart w:id="782" w:name="_Toc535500322"/>
      <w:r>
        <w:lastRenderedPageBreak/>
        <w:t>ESI-III-10</w:t>
      </w:r>
      <w:r>
        <w:br/>
        <w:t>Dotazioni di armamento delle navi che devono essere impiegate secondo le norme S1 o S2</w:t>
      </w:r>
      <w:bookmarkEnd w:id="781"/>
      <w:bookmarkEnd w:id="782"/>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autoSpaceDE/>
        <w:autoSpaceDN/>
        <w:ind w:left="0" w:firstLine="0"/>
        <w:jc w:val="center"/>
        <w:rPr>
          <w:rFonts w:cs="Arial"/>
          <w:b/>
          <w:bCs/>
          <w:snapToGrid w:val="0"/>
          <w:szCs w:val="20"/>
        </w:rPr>
      </w:pPr>
      <w:r>
        <w:rPr>
          <w:b/>
          <w:noProof/>
          <w:snapToGrid w:val="0"/>
        </w:rPr>
        <w:t>(Articoli 31.01, 31.02 e 31.03)</w:t>
      </w:r>
    </w:p>
    <w:p w:rsidR="004F47BB" w:rsidRPr="004F47BB" w:rsidRDefault="004F47BB" w:rsidP="004F47BB">
      <w:pPr>
        <w:tabs>
          <w:tab w:val="left" w:pos="567"/>
        </w:tabs>
        <w:autoSpaceDE/>
        <w:autoSpaceDN/>
        <w:ind w:left="567" w:hanging="567"/>
        <w:rPr>
          <w:rFonts w:cs="Arial"/>
          <w:snapToGrid w:val="0"/>
          <w:szCs w:val="20"/>
        </w:rPr>
      </w:pPr>
    </w:p>
    <w:p w:rsidR="004F47BB" w:rsidRPr="004F47BB" w:rsidRDefault="004F47BB" w:rsidP="004F47BB">
      <w:pPr>
        <w:spacing w:line="240" w:lineRule="atLeast"/>
        <w:ind w:left="567" w:hanging="567"/>
        <w:rPr>
          <w:rFonts w:cs="Arial"/>
          <w:b/>
          <w:color w:val="000000"/>
          <w:szCs w:val="20"/>
        </w:rPr>
      </w:pPr>
      <w:r>
        <w:rPr>
          <w:b/>
          <w:color w:val="000000"/>
        </w:rPr>
        <w:t>1.</w:t>
      </w:r>
      <w:r>
        <w:tab/>
      </w:r>
      <w:r>
        <w:rPr>
          <w:b/>
          <w:color w:val="000000"/>
        </w:rPr>
        <w:t>Introduzione generale</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spacing w:line="240" w:lineRule="atLeast"/>
        <w:ind w:left="567" w:firstLine="0"/>
      </w:pPr>
      <w:r>
        <w:t>Conformemente all'articolo 31.01, le navi destinate a essere impiegate secondo le norme S1 e S2 devono conformarsi alle disposizioni del capo 31. La commissione di ispezione deve confermare nel certificato per la navigazione interna che la nave rispetta tali disposizioni.</w:t>
      </w:r>
    </w:p>
    <w:p w:rsidR="004F47BB" w:rsidRPr="004F47BB" w:rsidRDefault="004F47BB" w:rsidP="004F47BB">
      <w:pPr>
        <w:spacing w:line="240" w:lineRule="atLeast"/>
        <w:ind w:left="567" w:firstLine="0"/>
        <w:rPr>
          <w:snapToGrid w:val="0"/>
        </w:rPr>
      </w:pPr>
    </w:p>
    <w:p w:rsidR="004F47BB" w:rsidRPr="004F47BB" w:rsidRDefault="004F47BB" w:rsidP="004F47BB">
      <w:pPr>
        <w:spacing w:line="240" w:lineRule="atLeast"/>
        <w:ind w:left="567" w:firstLine="0"/>
        <w:rPr>
          <w:snapToGrid w:val="0"/>
        </w:rPr>
      </w:pPr>
      <w:r>
        <w:t xml:space="preserve">Tali disposizioni sono requisiti integrativi concernenti le dotazioni di armamento che si applicano in aggiunta ai requisiti che una nave è tenuta a rispettare per il rilascio del certificato per la navigazione interna. Nella presente istruzione si chiariscono le disposizioni del capo 31 che si prestano a interpretazioni divergenti. </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autoSpaceDE/>
        <w:autoSpaceDN/>
        <w:spacing w:line="240" w:lineRule="atLeast"/>
        <w:ind w:left="567" w:hanging="567"/>
        <w:rPr>
          <w:b/>
        </w:rPr>
      </w:pPr>
      <w:r>
        <w:rPr>
          <w:b/>
        </w:rPr>
        <w:t>2.</w:t>
      </w:r>
      <w:r>
        <w:tab/>
      </w:r>
      <w:r>
        <w:rPr>
          <w:b/>
        </w:rPr>
        <w:t>Articolo 31.02 – Norma S1</w:t>
      </w:r>
    </w:p>
    <w:p w:rsidR="004F47BB" w:rsidRPr="004F47BB" w:rsidRDefault="004F47BB" w:rsidP="004F47BB">
      <w:pPr>
        <w:autoSpaceDE/>
        <w:autoSpaceDN/>
        <w:spacing w:line="240" w:lineRule="atLeast"/>
        <w:ind w:left="567" w:hanging="567"/>
        <w:rPr>
          <w:b/>
        </w:rPr>
      </w:pPr>
    </w:p>
    <w:p w:rsidR="004F47BB" w:rsidRPr="004F47BB" w:rsidRDefault="004F47BB" w:rsidP="004F47BB">
      <w:pPr>
        <w:autoSpaceDE/>
        <w:autoSpaceDN/>
        <w:spacing w:line="240" w:lineRule="atLeast"/>
        <w:ind w:left="567" w:hanging="567"/>
        <w:rPr>
          <w:b/>
        </w:rPr>
      </w:pPr>
      <w:r>
        <w:rPr>
          <w:b/>
        </w:rPr>
        <w:t>2.1</w:t>
      </w:r>
      <w:r>
        <w:tab/>
      </w:r>
      <w:r>
        <w:rPr>
          <w:b/>
        </w:rPr>
        <w:t>Paragrafo 1 — Allestimento del sistema di propulsione</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ab/>
        <w:t>Se una nave è munita di motore principale a inversione diretta, l'impianto di aria compressa necessario per invertire la direzione di spinta deve:</w:t>
      </w:r>
    </w:p>
    <w:p w:rsidR="004F47BB" w:rsidRPr="004F47BB" w:rsidRDefault="004F47BB" w:rsidP="004F47BB">
      <w:pPr>
        <w:tabs>
          <w:tab w:val="left" w:pos="992"/>
        </w:tabs>
        <w:autoSpaceDE/>
        <w:autoSpaceDN/>
        <w:spacing w:before="60" w:line="240" w:lineRule="atLeast"/>
        <w:ind w:left="992"/>
        <w:rPr>
          <w:rFonts w:cs="Arial"/>
        </w:rPr>
      </w:pPr>
      <w:r>
        <w:t>a)</w:t>
      </w:r>
      <w:r>
        <w:tab/>
        <w:t>essere mantenuto costantemente sotto pressione da un compressore a regolazione automatica; oppure</w:t>
      </w:r>
    </w:p>
    <w:p w:rsidR="004F47BB" w:rsidRPr="004F47BB" w:rsidRDefault="004F47BB" w:rsidP="004F47BB">
      <w:pPr>
        <w:tabs>
          <w:tab w:val="left" w:pos="992"/>
        </w:tabs>
        <w:autoSpaceDE/>
        <w:autoSpaceDN/>
        <w:spacing w:before="60" w:line="240" w:lineRule="atLeast"/>
        <w:ind w:left="992"/>
        <w:rPr>
          <w:rFonts w:cs="Arial"/>
        </w:rPr>
      </w:pPr>
      <w:r>
        <w:t>b)</w:t>
      </w:r>
      <w:r>
        <w:tab/>
        <w:t>quando scatta un allarme nella timoneria, essere messo sotto pressione da un motore ausiliario avviabile dal posto di pilotaggio. Se il motore ausiliario ha un proprio serbatoio per il combustibile, conformemente all'articolo 8.05, paragrafo 13, è necessario che sia previsto un dispositivo di segnalazione nella timoneria che indichi se il livello di riempimento non è sufficiente a garantire un ulteriore funzionamento sicuro.</w:t>
      </w:r>
    </w:p>
    <w:p w:rsidR="004F47BB" w:rsidRPr="004F47BB" w:rsidRDefault="004F47BB" w:rsidP="004F47BB">
      <w:pPr>
        <w:autoSpaceDE/>
        <w:autoSpaceDN/>
        <w:spacing w:line="240" w:lineRule="atLeast"/>
        <w:ind w:left="567" w:hanging="567"/>
        <w:rPr>
          <w:b/>
        </w:rPr>
      </w:pPr>
    </w:p>
    <w:p w:rsidR="004F47BB" w:rsidRPr="004F47BB" w:rsidRDefault="004F47BB" w:rsidP="004F47BB">
      <w:pPr>
        <w:autoSpaceDE/>
        <w:autoSpaceDN/>
        <w:spacing w:line="240" w:lineRule="atLeast"/>
        <w:ind w:left="567" w:hanging="567"/>
        <w:rPr>
          <w:b/>
        </w:rPr>
      </w:pPr>
      <w:r>
        <w:rPr>
          <w:b/>
        </w:rPr>
        <w:t>2.2</w:t>
      </w:r>
      <w:r>
        <w:tab/>
      </w:r>
      <w:r>
        <w:rPr>
          <w:b/>
        </w:rPr>
        <w:t>Paragrafo 2 –Livelli della sentina nella sala macchine principale</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ab/>
        <w:t>Se occorre un apparato di governo della prua per rispettare i requisiti di manovra del capo 5, il locale contenente l'apparato di governo della prua è considerato una sala macchine principale.</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autoSpaceDE/>
        <w:autoSpaceDN/>
        <w:spacing w:line="240" w:lineRule="atLeast"/>
        <w:ind w:left="567" w:hanging="567"/>
        <w:rPr>
          <w:b/>
        </w:rPr>
      </w:pPr>
      <w:r>
        <w:rPr>
          <w:b/>
        </w:rPr>
        <w:t>2.3</w:t>
      </w:r>
      <w:r>
        <w:tab/>
      </w:r>
      <w:r>
        <w:rPr>
          <w:b/>
        </w:rPr>
        <w:t>3 Paragrafo – Rifornimento automatico di combustibile</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2.3.1</w:t>
      </w:r>
      <w:r>
        <w:tab/>
        <w:t>Se il sistema di propulsione prevede un serbatoio di consumo giornaliero:</w:t>
      </w:r>
    </w:p>
    <w:p w:rsidR="004F47BB" w:rsidRPr="004F47BB" w:rsidRDefault="004F47BB" w:rsidP="004F47BB">
      <w:pPr>
        <w:tabs>
          <w:tab w:val="left" w:pos="993"/>
        </w:tabs>
        <w:autoSpaceDE/>
        <w:autoSpaceDN/>
        <w:spacing w:before="60" w:line="240" w:lineRule="atLeast"/>
        <w:ind w:left="992"/>
        <w:rPr>
          <w:rFonts w:cs="Arial"/>
        </w:rPr>
      </w:pPr>
      <w:r>
        <w:t>a)</w:t>
      </w:r>
      <w:r>
        <w:tab/>
        <w:t>il suo contenuto deve essere sufficiente a garantire un periodo di funzionamento del sistema di propulsione di 24 ore, presupponendo un consumo di 0,25 litri per kW all'ora;</w:t>
      </w:r>
    </w:p>
    <w:p w:rsidR="004F47BB" w:rsidRPr="004F47BB" w:rsidRDefault="004F47BB" w:rsidP="004F47BB">
      <w:pPr>
        <w:tabs>
          <w:tab w:val="left" w:pos="993"/>
        </w:tabs>
        <w:autoSpaceDE/>
        <w:autoSpaceDN/>
        <w:spacing w:before="60" w:line="240" w:lineRule="atLeast"/>
        <w:ind w:left="992"/>
        <w:rPr>
          <w:rFonts w:cs="Arial"/>
        </w:rPr>
      </w:pPr>
      <w:r>
        <w:t>b)</w:t>
      </w:r>
      <w:r>
        <w:tab/>
        <w:t>la pompa di alimentazione del combustibile per il rabbocco del serbatoio di consumo giornaliero deve funzionare di continuo; oppure</w:t>
      </w:r>
    </w:p>
    <w:p w:rsidR="004F47BB" w:rsidRPr="004F47BB" w:rsidRDefault="004F47BB" w:rsidP="004F47BB">
      <w:pPr>
        <w:tabs>
          <w:tab w:val="left" w:pos="993"/>
        </w:tabs>
        <w:autoSpaceDE/>
        <w:autoSpaceDN/>
        <w:spacing w:before="60" w:line="240" w:lineRule="atLeast"/>
        <w:ind w:left="992"/>
        <w:rPr>
          <w:rFonts w:cs="Arial"/>
        </w:rPr>
      </w:pPr>
      <w:r>
        <w:t>c)</w:t>
      </w:r>
      <w:r>
        <w:tab/>
        <w:t>la pompa di alimentazione del carburante deve essere munita di:</w:t>
      </w:r>
    </w:p>
    <w:p w:rsidR="004F47BB" w:rsidRPr="004F47BB" w:rsidRDefault="004F47BB" w:rsidP="004F47BB">
      <w:pPr>
        <w:tabs>
          <w:tab w:val="left" w:pos="1418"/>
        </w:tabs>
        <w:autoSpaceDE/>
        <w:autoSpaceDN/>
        <w:spacing w:before="60" w:line="240" w:lineRule="atLeast"/>
        <w:ind w:left="1418"/>
        <w:rPr>
          <w:rFonts w:cs="Arial"/>
        </w:rPr>
      </w:pPr>
      <w:r>
        <w:rPr>
          <w:rFonts w:cs="Arial"/>
        </w:rPr>
        <w:sym w:font="Symbol" w:char="F0B7"/>
      </w:r>
      <w:r>
        <w:tab/>
        <w:t>un interruttore che attivi automaticamente la pompa di alimentazione del combustibile quando il serbatoio di consumo giornaliero raggiunge un livello basso prestabilito; e</w:t>
      </w:r>
    </w:p>
    <w:p w:rsidR="004F47BB" w:rsidRPr="004F47BB" w:rsidRDefault="004F47BB" w:rsidP="004F47BB">
      <w:pPr>
        <w:widowControl w:val="0"/>
        <w:tabs>
          <w:tab w:val="left" w:pos="426"/>
          <w:tab w:val="left" w:pos="1418"/>
        </w:tabs>
        <w:overflowPunct w:val="0"/>
        <w:adjustRightInd w:val="0"/>
        <w:spacing w:before="60" w:line="240" w:lineRule="atLeast"/>
        <w:ind w:left="1418"/>
        <w:textAlignment w:val="baseline"/>
        <w:rPr>
          <w:rFonts w:cs="Arial"/>
          <w:snapToGrid w:val="0"/>
        </w:rPr>
      </w:pPr>
      <w:r>
        <w:rPr>
          <w:rFonts w:cs="Arial"/>
          <w:snapToGrid w:val="0"/>
        </w:rPr>
        <w:sym w:font="Symbol" w:char="F0B7"/>
      </w:r>
      <w:r>
        <w:tab/>
        <w:t>un interruttore che disattivi automaticamente la pompa di alimentazione del combustibile quando il serbatoio di consumo giornaliero è pieno.</w:t>
      </w:r>
    </w:p>
    <w:p w:rsidR="004F47BB" w:rsidRPr="004F47BB" w:rsidRDefault="004F47BB" w:rsidP="004F47BB">
      <w:pPr>
        <w:tabs>
          <w:tab w:val="left" w:pos="567"/>
        </w:tabs>
        <w:autoSpaceDE/>
        <w:autoSpaceDN/>
        <w:spacing w:line="240" w:lineRule="atLeast"/>
        <w:ind w:left="567" w:hanging="567"/>
        <w:rPr>
          <w:rFonts w:cs="Arial"/>
        </w:rPr>
      </w:pPr>
      <w:r>
        <w:br w:type="page"/>
      </w:r>
    </w:p>
    <w:p w:rsidR="004F47BB" w:rsidRPr="004F47BB" w:rsidRDefault="004F47BB" w:rsidP="004F47BB">
      <w:pPr>
        <w:tabs>
          <w:tab w:val="left" w:pos="567"/>
        </w:tabs>
        <w:autoSpaceDE/>
        <w:autoSpaceDN/>
        <w:spacing w:line="240" w:lineRule="atLeast"/>
        <w:ind w:left="567" w:hanging="567"/>
        <w:rPr>
          <w:rFonts w:cs="Arial"/>
        </w:rPr>
      </w:pPr>
      <w:r>
        <w:lastRenderedPageBreak/>
        <w:t>2.3.2</w:t>
      </w:r>
      <w:r>
        <w:tab/>
        <w:t>Il serbatoio di consumo giornaliero deve disporre di un dispositivo di allarme di livello conforme ai requisiti dell'articolo 8.05, paragrafo 13.</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rPr>
          <w:b/>
        </w:rPr>
        <w:t>2.4.</w:t>
      </w:r>
      <w:r>
        <w:tab/>
      </w:r>
      <w:r>
        <w:rPr>
          <w:b/>
        </w:rPr>
        <w:t>Paragrafo 4 – Nessuno sforzo particolare richiesto per manovrare l'apparato di governo</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firstLine="0"/>
        <w:rPr>
          <w:rFonts w:cs="Arial"/>
        </w:rPr>
      </w:pPr>
      <w:r>
        <w:t>Gli apparati di governo ad azionamento idraulico soddisfano tale requisito. Gli apparati di governo ad azionamento manuale non devono richiedere una forza superiore a 160 N per essere manovrati.</w:t>
      </w:r>
    </w:p>
    <w:p w:rsidR="004F47BB" w:rsidRPr="004F47BB" w:rsidRDefault="004F47BB" w:rsidP="004F47BB">
      <w:pPr>
        <w:tabs>
          <w:tab w:val="left" w:pos="567"/>
        </w:tabs>
        <w:autoSpaceDE/>
        <w:autoSpaceDN/>
        <w:spacing w:line="240" w:lineRule="atLeast"/>
        <w:ind w:left="567" w:firstLine="0"/>
        <w:rPr>
          <w:rFonts w:cs="Arial"/>
        </w:rPr>
      </w:pPr>
    </w:p>
    <w:p w:rsidR="004F47BB" w:rsidRPr="004F47BB" w:rsidRDefault="004F47BB" w:rsidP="004F47BB">
      <w:pPr>
        <w:tabs>
          <w:tab w:val="left" w:pos="567"/>
        </w:tabs>
        <w:autoSpaceDE/>
        <w:autoSpaceDN/>
        <w:spacing w:line="240" w:lineRule="atLeast"/>
        <w:ind w:left="567" w:hanging="567"/>
        <w:rPr>
          <w:rFonts w:cs="Arial"/>
          <w:b/>
          <w:bCs/>
        </w:rPr>
      </w:pPr>
      <w:r>
        <w:rPr>
          <w:b/>
        </w:rPr>
        <w:t>2.5</w:t>
      </w:r>
      <w:r>
        <w:tab/>
      </w:r>
      <w:r>
        <w:rPr>
          <w:b/>
        </w:rPr>
        <w:t>Paragrafo 5 – Segnali visivi e acustici necessari in navigazione</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ab/>
        <w:t>I segnali visivi non comprendono cilindri, sfere, coni o doppi coni prescritti dalle disposizioni nazionali o internazionali di sicurezza della navigazione.</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b/>
          <w:bCs/>
        </w:rPr>
      </w:pPr>
      <w:r>
        <w:rPr>
          <w:b/>
        </w:rPr>
        <w:t>2.6</w:t>
      </w:r>
      <w:r>
        <w:tab/>
      </w:r>
      <w:r>
        <w:rPr>
          <w:b/>
        </w:rPr>
        <w:t>Paragrafo 6 – Comunicazione diretta e comunicazione con la sala macchine</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2.6.1</w:t>
      </w:r>
      <w:r>
        <w:tab/>
        <w:t>La comunicazione diretta si reputa assicurata se:</w:t>
      </w:r>
    </w:p>
    <w:p w:rsidR="004F47BB" w:rsidRPr="004F47BB" w:rsidRDefault="004F47BB" w:rsidP="004F47BB">
      <w:pPr>
        <w:tabs>
          <w:tab w:val="left" w:pos="993"/>
        </w:tabs>
        <w:autoSpaceDE/>
        <w:autoSpaceDN/>
        <w:spacing w:before="60" w:line="240" w:lineRule="atLeast"/>
        <w:ind w:left="992"/>
        <w:rPr>
          <w:rFonts w:cs="Arial"/>
        </w:rPr>
      </w:pPr>
      <w:r>
        <w:t>a)</w:t>
      </w:r>
      <w:r>
        <w:tab/>
        <w:t>è possibile un contatto visivo diretto tra la timoneria e i posti di comando di verricelli e bitte a prua o poppa della nave e, inoltre, se la distanza tra la timoneria e tali posti di comando non supera 35 m; e</w:t>
      </w:r>
    </w:p>
    <w:p w:rsidR="004F47BB" w:rsidRPr="004F47BB" w:rsidRDefault="004F47BB" w:rsidP="004F47BB">
      <w:pPr>
        <w:tabs>
          <w:tab w:val="left" w:pos="993"/>
        </w:tabs>
        <w:autoSpaceDE/>
        <w:autoSpaceDN/>
        <w:spacing w:before="60" w:line="240" w:lineRule="atLeast"/>
        <w:ind w:left="992"/>
        <w:rPr>
          <w:rFonts w:cs="Arial"/>
        </w:rPr>
      </w:pPr>
      <w:r>
        <w:t>b)</w:t>
      </w:r>
      <w:r>
        <w:tab/>
        <w:t>gli alloggi sono direttamente accessibili dalla timoneria.</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2.6.2</w:t>
      </w:r>
      <w:r>
        <w:tab/>
        <w:t>La comunicazione con la sala macchine si reputa assicurata se il segnale di cui all'articolo 7.09, paragrafo 3, seconda frase, è azionabile indipendentemente dall'interruttore di cui all'articolo 7.09, paragrafo 2.</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b/>
          <w:bCs/>
        </w:rPr>
      </w:pPr>
      <w:r>
        <w:rPr>
          <w:b/>
        </w:rPr>
        <w:t>2.7</w:t>
      </w:r>
      <w:r>
        <w:tab/>
      </w:r>
      <w:r>
        <w:rPr>
          <w:b/>
        </w:rPr>
        <w:t>Paragrafo 7 – Manovelle e analoghi mezzi di azionamento rotanti</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spacing w:line="240" w:lineRule="atLeast"/>
        <w:ind w:left="567" w:firstLine="0"/>
      </w:pPr>
      <w:r>
        <w:t xml:space="preserve">Nella presente voce rientrano: </w:t>
      </w:r>
    </w:p>
    <w:p w:rsidR="004F47BB" w:rsidRPr="004F47BB" w:rsidRDefault="004F47BB" w:rsidP="004F47BB">
      <w:pPr>
        <w:tabs>
          <w:tab w:val="left" w:pos="992"/>
        </w:tabs>
        <w:autoSpaceDE/>
        <w:autoSpaceDN/>
        <w:spacing w:before="60" w:line="240" w:lineRule="atLeast"/>
        <w:ind w:left="992"/>
        <w:rPr>
          <w:rFonts w:cs="Arial"/>
        </w:rPr>
      </w:pPr>
      <w:r>
        <w:t>a)</w:t>
      </w:r>
      <w:r>
        <w:tab/>
        <w:t>verricelli per ancore ad azionamento manuale (si considera che la massima forza necessaria sia quella di un'ancora a pennello);</w:t>
      </w:r>
    </w:p>
    <w:p w:rsidR="004F47BB" w:rsidRPr="004F47BB" w:rsidRDefault="004F47BB" w:rsidP="004F47BB">
      <w:pPr>
        <w:tabs>
          <w:tab w:val="left" w:pos="992"/>
        </w:tabs>
        <w:autoSpaceDE/>
        <w:autoSpaceDN/>
        <w:spacing w:before="60" w:line="240" w:lineRule="atLeast"/>
        <w:ind w:left="992"/>
        <w:rPr>
          <w:rFonts w:cs="Arial"/>
        </w:rPr>
      </w:pPr>
      <w:r>
        <w:t>b)</w:t>
      </w:r>
      <w:r>
        <w:tab/>
        <w:t>manovelle per il sollevamento di boccaporti;</w:t>
      </w:r>
    </w:p>
    <w:p w:rsidR="004F47BB" w:rsidRPr="004F47BB" w:rsidRDefault="004F47BB" w:rsidP="004F47BB">
      <w:pPr>
        <w:tabs>
          <w:tab w:val="left" w:pos="992"/>
        </w:tabs>
        <w:autoSpaceDE/>
        <w:autoSpaceDN/>
        <w:spacing w:before="60" w:line="240" w:lineRule="atLeast"/>
        <w:ind w:left="992"/>
        <w:rPr>
          <w:rFonts w:cs="Arial"/>
        </w:rPr>
      </w:pPr>
      <w:r>
        <w:t>c)</w:t>
      </w:r>
      <w:r>
        <w:tab/>
        <w:t>manovelle su verricelli di alberi e fumaioli.</w:t>
      </w:r>
    </w:p>
    <w:p w:rsidR="004F47BB" w:rsidRPr="004F47BB" w:rsidRDefault="004F47BB" w:rsidP="004F47BB">
      <w:pPr>
        <w:tabs>
          <w:tab w:val="left" w:pos="851"/>
        </w:tabs>
        <w:autoSpaceDE/>
        <w:autoSpaceDN/>
        <w:spacing w:line="240" w:lineRule="atLeast"/>
        <w:ind w:left="851" w:hanging="284"/>
        <w:rPr>
          <w:rFonts w:cs="Arial"/>
        </w:rPr>
      </w:pPr>
    </w:p>
    <w:p w:rsidR="004F47BB" w:rsidRPr="004F47BB" w:rsidRDefault="004F47BB" w:rsidP="004F47BB">
      <w:pPr>
        <w:spacing w:line="240" w:lineRule="atLeast"/>
        <w:ind w:left="567" w:firstLine="0"/>
        <w:rPr>
          <w:snapToGrid w:val="0"/>
        </w:rPr>
      </w:pPr>
      <w:r>
        <w:t>Non vi rientrano invece:</w:t>
      </w:r>
    </w:p>
    <w:p w:rsidR="004F47BB" w:rsidRPr="004F47BB" w:rsidRDefault="004F47BB" w:rsidP="004F47BB">
      <w:pPr>
        <w:tabs>
          <w:tab w:val="left" w:pos="992"/>
        </w:tabs>
        <w:autoSpaceDE/>
        <w:autoSpaceDN/>
        <w:spacing w:before="60" w:line="240" w:lineRule="atLeast"/>
        <w:ind w:left="992"/>
        <w:rPr>
          <w:rFonts w:cs="Arial"/>
        </w:rPr>
      </w:pPr>
      <w:r>
        <w:t>a)</w:t>
      </w:r>
      <w:r>
        <w:tab/>
        <w:t>verricelli di ormeggio e accoppiamento;</w:t>
      </w:r>
    </w:p>
    <w:p w:rsidR="004F47BB" w:rsidRPr="004F47BB" w:rsidRDefault="004F47BB" w:rsidP="004F47BB">
      <w:pPr>
        <w:tabs>
          <w:tab w:val="left" w:pos="992"/>
        </w:tabs>
        <w:autoSpaceDE/>
        <w:autoSpaceDN/>
        <w:spacing w:before="60" w:line="240" w:lineRule="atLeast"/>
        <w:ind w:left="992"/>
        <w:rPr>
          <w:rFonts w:cs="Arial"/>
        </w:rPr>
      </w:pPr>
      <w:r>
        <w:t>b)</w:t>
      </w:r>
      <w:r>
        <w:tab/>
        <w:t>manovelle su gru, a meno che non siano destinate alle lance.</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b/>
          <w:bCs/>
        </w:rPr>
      </w:pPr>
      <w:r>
        <w:rPr>
          <w:b/>
        </w:rPr>
        <w:t>2.8</w:t>
      </w:r>
      <w:r>
        <w:tab/>
      </w:r>
      <w:r>
        <w:rPr>
          <w:b/>
        </w:rPr>
        <w:t>Paragrafo 10 – Disposizione ergonomica</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spacing w:line="240" w:lineRule="atLeast"/>
        <w:ind w:left="567" w:firstLine="0"/>
        <w:rPr>
          <w:snapToGrid w:val="0"/>
        </w:rPr>
      </w:pPr>
      <w:r>
        <w:t>Le disposizioni si reputano soddisfatte se:</w:t>
      </w:r>
    </w:p>
    <w:p w:rsidR="004F47BB" w:rsidRPr="004F47BB" w:rsidRDefault="004F47BB" w:rsidP="004F47BB">
      <w:pPr>
        <w:tabs>
          <w:tab w:val="left" w:pos="993"/>
        </w:tabs>
        <w:autoSpaceDE/>
        <w:autoSpaceDN/>
        <w:spacing w:before="60" w:line="240" w:lineRule="atLeast"/>
        <w:ind w:left="993" w:hanging="426"/>
        <w:rPr>
          <w:rFonts w:cs="Arial"/>
        </w:rPr>
      </w:pPr>
      <w:r>
        <w:t>a)</w:t>
      </w:r>
      <w:r>
        <w:tab/>
        <w:t>la timoneria è disposta secondo la norma europea EN 1864:2008; o</w:t>
      </w:r>
    </w:p>
    <w:p w:rsidR="004F47BB" w:rsidRPr="004F47BB" w:rsidRDefault="004F47BB" w:rsidP="004F47BB">
      <w:pPr>
        <w:tabs>
          <w:tab w:val="left" w:pos="993"/>
        </w:tabs>
        <w:autoSpaceDE/>
        <w:autoSpaceDN/>
        <w:spacing w:before="60" w:line="240" w:lineRule="atLeast"/>
        <w:ind w:left="993" w:hanging="426"/>
        <w:rPr>
          <w:rFonts w:cs="Arial"/>
        </w:rPr>
      </w:pPr>
      <w:r>
        <w:t>b)</w:t>
      </w:r>
      <w:r>
        <w:tab/>
        <w:t>la timoneria è progettata per la navigazione radar da parte una sola persona; o</w:t>
      </w:r>
    </w:p>
    <w:p w:rsidR="004F47BB" w:rsidRPr="004F47BB" w:rsidRDefault="004F47BB" w:rsidP="004F47BB">
      <w:pPr>
        <w:tabs>
          <w:tab w:val="left" w:pos="993"/>
        </w:tabs>
        <w:autoSpaceDE/>
        <w:autoSpaceDN/>
        <w:spacing w:before="60" w:line="240" w:lineRule="atLeast"/>
        <w:ind w:left="993" w:hanging="426"/>
        <w:rPr>
          <w:rFonts w:cs="Arial"/>
        </w:rPr>
      </w:pPr>
      <w:r>
        <w:t>c)</w:t>
      </w:r>
      <w:r>
        <w:tab/>
        <w:t>la timoneria soddisfa i seguenti requisiti:</w:t>
      </w:r>
    </w:p>
    <w:p w:rsidR="004F47BB" w:rsidRPr="004F47BB" w:rsidRDefault="004F47BB" w:rsidP="004F47BB">
      <w:pPr>
        <w:widowControl w:val="0"/>
        <w:tabs>
          <w:tab w:val="left" w:pos="1418"/>
        </w:tabs>
        <w:overflowPunct w:val="0"/>
        <w:adjustRightInd w:val="0"/>
        <w:spacing w:before="60" w:line="240" w:lineRule="atLeast"/>
        <w:ind w:left="1418"/>
        <w:textAlignment w:val="baseline"/>
        <w:rPr>
          <w:rFonts w:cs="Arial"/>
          <w:snapToGrid w:val="0"/>
        </w:rPr>
      </w:pPr>
      <w:r>
        <w:t>aa)</w:t>
      </w:r>
      <w:r>
        <w:tab/>
        <w:t>gli organi di comando e gli strumenti di controllo sono disposti nel campo di visuale prodiero ed entro un arco non superiore a 180° (90° a tribordo e 90° a babordo), compresi pavimento e soffitto. Essi devono risultare chiaramente leggibili e visibili dalla normale postazione del timoniere;</w:t>
      </w:r>
    </w:p>
    <w:p w:rsidR="004F47BB" w:rsidRPr="004F47BB" w:rsidRDefault="004F47BB" w:rsidP="004F47BB">
      <w:pPr>
        <w:widowControl w:val="0"/>
        <w:tabs>
          <w:tab w:val="left" w:pos="1418"/>
        </w:tabs>
        <w:overflowPunct w:val="0"/>
        <w:adjustRightInd w:val="0"/>
        <w:spacing w:line="240" w:lineRule="atLeast"/>
        <w:ind w:left="1418"/>
        <w:textAlignment w:val="baseline"/>
        <w:rPr>
          <w:rFonts w:cs="Arial"/>
          <w:snapToGrid w:val="0"/>
        </w:rPr>
      </w:pPr>
      <w:r>
        <w:br w:type="page"/>
      </w:r>
    </w:p>
    <w:p w:rsidR="004F47BB" w:rsidRPr="004F47BB" w:rsidRDefault="004F47BB" w:rsidP="004F47BB">
      <w:pPr>
        <w:widowControl w:val="0"/>
        <w:tabs>
          <w:tab w:val="left" w:pos="1418"/>
        </w:tabs>
        <w:overflowPunct w:val="0"/>
        <w:adjustRightInd w:val="0"/>
        <w:spacing w:line="240" w:lineRule="atLeast"/>
        <w:ind w:left="1417"/>
        <w:textAlignment w:val="baseline"/>
        <w:rPr>
          <w:rFonts w:cs="Arial"/>
          <w:snapToGrid w:val="0"/>
        </w:rPr>
      </w:pPr>
      <w:r>
        <w:lastRenderedPageBreak/>
        <w:t>bb)</w:t>
      </w:r>
      <w:r>
        <w:tab/>
        <w:t>i principali organi di comando quali la ruota o la barra, i comandi del motore, i comandi radio, nonché i comandi dei segnali acustici e dei segnali di allarme e manovra prescritti dalle disposizioni di sicurezza della navigazione nazionali o internazionali, a seconda dei casi, devono essere disposti in maniera tale che la distanza tra i comandi a tribordo e quelli a babordo non sia superiore a 3 m. Il timoniere deve essere in grado di azionare i motori senza lasciare i comandi dell'apparato di governo e restando sempre in grado di azionare gli altri comandi come il sistema radio, i comandi dei segnali acustici e i segnali di allarme e manovra richiesti dalle norme di sicurezza della navigazione nazionali o internazionali, a seconda dei casi;</w:t>
      </w:r>
    </w:p>
    <w:p w:rsidR="004F47BB" w:rsidRPr="004F47BB" w:rsidRDefault="004F47BB" w:rsidP="004F47BB">
      <w:pPr>
        <w:widowControl w:val="0"/>
        <w:tabs>
          <w:tab w:val="left" w:pos="1418"/>
        </w:tabs>
        <w:overflowPunct w:val="0"/>
        <w:adjustRightInd w:val="0"/>
        <w:spacing w:before="60" w:line="240" w:lineRule="atLeast"/>
        <w:ind w:left="1417"/>
        <w:textAlignment w:val="baseline"/>
        <w:rPr>
          <w:rFonts w:cs="Arial"/>
          <w:snapToGrid w:val="0"/>
        </w:rPr>
      </w:pPr>
      <w:r>
        <w:t>cc)</w:t>
      </w:r>
      <w:r>
        <w:tab/>
        <w:t>i segnali di allarme e manovra prescritti dalle norme di sicurezza della navigazione nazionali o internazionali, a seconda dei casi, sono azionati elettricamente, pneumaticamente, idraulicamente o meccanicamente. In deroga, essi possono essere azionati con tirante, ma unicamente se in tal modo è garantito un funzionamento sicuro dal posto di pilotaggio.</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b/>
          <w:bCs/>
        </w:rPr>
      </w:pPr>
      <w:r>
        <w:rPr>
          <w:b/>
        </w:rPr>
        <w:t>3.</w:t>
      </w:r>
      <w:r>
        <w:tab/>
      </w:r>
      <w:r>
        <w:rPr>
          <w:b/>
        </w:rPr>
        <w:t>Articolo 31.03 – Norma S2</w:t>
      </w:r>
    </w:p>
    <w:p w:rsidR="004F47BB" w:rsidRPr="004F47BB" w:rsidRDefault="004F47BB" w:rsidP="004F47BB">
      <w:pPr>
        <w:tabs>
          <w:tab w:val="left" w:pos="567"/>
        </w:tabs>
        <w:autoSpaceDE/>
        <w:autoSpaceDN/>
        <w:spacing w:line="240" w:lineRule="atLeast"/>
        <w:ind w:left="567" w:hanging="567"/>
        <w:rPr>
          <w:rFonts w:cs="Arial"/>
          <w:b/>
          <w:bCs/>
        </w:rPr>
      </w:pPr>
    </w:p>
    <w:p w:rsidR="004F47BB" w:rsidRPr="004F47BB" w:rsidRDefault="004F47BB" w:rsidP="004F47BB">
      <w:pPr>
        <w:tabs>
          <w:tab w:val="left" w:pos="567"/>
          <w:tab w:val="right" w:pos="9071"/>
        </w:tabs>
        <w:autoSpaceDE/>
        <w:autoSpaceDN/>
        <w:spacing w:line="240" w:lineRule="atLeast"/>
        <w:ind w:left="567" w:hanging="567"/>
        <w:rPr>
          <w:rFonts w:cs="Arial"/>
          <w:b/>
          <w:bCs/>
        </w:rPr>
      </w:pPr>
      <w:r>
        <w:rPr>
          <w:b/>
        </w:rPr>
        <w:t>3.1</w:t>
      </w:r>
      <w:r>
        <w:tab/>
      </w:r>
      <w:r>
        <w:rPr>
          <w:b/>
        </w:rPr>
        <w:t>Paragrafo 1 – Motonavi che navigano separatamente</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spacing w:line="240" w:lineRule="atLeast"/>
        <w:ind w:left="567" w:firstLine="0"/>
        <w:rPr>
          <w:snapToGrid w:val="0"/>
        </w:rPr>
      </w:pPr>
      <w:r>
        <w:t>Le motonavi che, secondo il certificato per la navigazione interna, sono anche idonee a essere adibite a spintore, ma che:</w:t>
      </w:r>
    </w:p>
    <w:p w:rsidR="004F47BB" w:rsidRPr="004F47BB" w:rsidRDefault="004F47BB" w:rsidP="004F47BB">
      <w:pPr>
        <w:tabs>
          <w:tab w:val="left" w:pos="993"/>
        </w:tabs>
        <w:autoSpaceDE/>
        <w:autoSpaceDN/>
        <w:spacing w:before="60" w:line="240" w:lineRule="atLeast"/>
        <w:ind w:left="993" w:hanging="426"/>
        <w:rPr>
          <w:rFonts w:cs="Arial"/>
        </w:rPr>
      </w:pPr>
      <w:r>
        <w:t>a)</w:t>
      </w:r>
      <w:r>
        <w:tab/>
        <w:t>non dispongono di verricelli idraulici o elettrici per l'accoppiamento; oppure</w:t>
      </w:r>
    </w:p>
    <w:p w:rsidR="004F47BB" w:rsidRPr="004F47BB" w:rsidRDefault="004F47BB" w:rsidP="004F47BB">
      <w:pPr>
        <w:tabs>
          <w:tab w:val="left" w:pos="993"/>
        </w:tabs>
        <w:autoSpaceDE/>
        <w:autoSpaceDN/>
        <w:spacing w:before="60" w:line="240" w:lineRule="atLeast"/>
        <w:ind w:left="992"/>
        <w:rPr>
          <w:rFonts w:cs="Arial"/>
        </w:rPr>
      </w:pPr>
      <w:r>
        <w:t>b)</w:t>
      </w:r>
      <w:r>
        <w:tab/>
        <w:t>i cui verricelli idraulici o elettrici per l'accoppiamento non rispondono ai requisiti del punto 3.3 della presente istruzione;</w:t>
      </w:r>
    </w:p>
    <w:p w:rsidR="004F47BB" w:rsidRPr="004F47BB" w:rsidRDefault="004F47BB" w:rsidP="004F47BB">
      <w:pPr>
        <w:tabs>
          <w:tab w:val="left" w:pos="567"/>
        </w:tabs>
        <w:autoSpaceDE/>
        <w:autoSpaceDN/>
        <w:spacing w:before="60" w:line="240" w:lineRule="atLeast"/>
        <w:ind w:left="567" w:hanging="567"/>
        <w:rPr>
          <w:rFonts w:cs="Arial"/>
          <w:snapToGrid w:val="0"/>
          <w:szCs w:val="20"/>
        </w:rPr>
      </w:pPr>
      <w:r>
        <w:tab/>
        <w:t>devono essere considerate rientranti nella norma S2 soltanto come motonavi che navigano separatamente. Alla rubrica 47 del certificato per la navigazione interna occorre riportare la frase "La norma S2 non si applica alla motonave quando è adibita a spintore".</w:t>
      </w:r>
    </w:p>
    <w:p w:rsidR="004F47BB" w:rsidRPr="004F47BB" w:rsidRDefault="004F47BB" w:rsidP="004F47BB">
      <w:pPr>
        <w:tabs>
          <w:tab w:val="left" w:pos="567"/>
        </w:tabs>
        <w:autoSpaceDE/>
        <w:autoSpaceDN/>
        <w:spacing w:line="240" w:lineRule="atLeast"/>
        <w:ind w:left="567" w:hanging="567"/>
        <w:rPr>
          <w:rFonts w:cs="Arial"/>
          <w:b/>
          <w:bCs/>
        </w:rPr>
      </w:pPr>
    </w:p>
    <w:p w:rsidR="004F47BB" w:rsidRPr="004F47BB" w:rsidRDefault="004F47BB" w:rsidP="004F47BB">
      <w:pPr>
        <w:tabs>
          <w:tab w:val="left" w:pos="567"/>
        </w:tabs>
        <w:autoSpaceDE/>
        <w:autoSpaceDN/>
        <w:spacing w:line="240" w:lineRule="atLeast"/>
        <w:ind w:left="567" w:hanging="567"/>
        <w:rPr>
          <w:rFonts w:cs="Arial"/>
          <w:b/>
          <w:bCs/>
        </w:rPr>
      </w:pPr>
      <w:r>
        <w:rPr>
          <w:b/>
        </w:rPr>
        <w:t>3.2</w:t>
      </w:r>
      <w:r>
        <w:tab/>
      </w:r>
      <w:r>
        <w:rPr>
          <w:b/>
        </w:rPr>
        <w:t>Paragrafo 3 – Convogli spinti</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after="120" w:line="240" w:lineRule="atLeast"/>
        <w:ind w:left="567" w:hanging="567"/>
        <w:rPr>
          <w:rFonts w:cs="Arial"/>
          <w:snapToGrid w:val="0"/>
          <w:szCs w:val="20"/>
        </w:rPr>
      </w:pPr>
      <w:r>
        <w:tab/>
        <w:t>Le motonavi che, secondo il loro certificato per la navigazione interna, sono idonee a essere adibite a spintore e sono provviste di verricelli idraulici o elettrici per l'accoppiamento che rispondono ai requisiti del punto 3.3 della presente istruzione, ma non dispongono di una propria elica di prua devono essere considerate rientranti nella norma S2 soltanto come motonavi adibite a spingere un convoglio. Alla rubrica 47 del certificato per la navigazione interna occorre riportare la frase "La norma S2 non si applica alla motonave quando naviga separatamente".</w:t>
      </w:r>
    </w:p>
    <w:p w:rsidR="004F47BB" w:rsidRPr="004F47BB" w:rsidRDefault="004F47BB" w:rsidP="004F47BB">
      <w:pPr>
        <w:tabs>
          <w:tab w:val="left" w:pos="567"/>
        </w:tabs>
        <w:autoSpaceDE/>
        <w:autoSpaceDN/>
        <w:spacing w:line="240" w:lineRule="atLeast"/>
        <w:ind w:left="567" w:hanging="567"/>
        <w:rPr>
          <w:rFonts w:cs="Arial"/>
          <w:b/>
          <w:bCs/>
        </w:rPr>
      </w:pPr>
    </w:p>
    <w:p w:rsidR="004F47BB" w:rsidRPr="004F47BB" w:rsidRDefault="004F47BB" w:rsidP="004F47BB">
      <w:pPr>
        <w:tabs>
          <w:tab w:val="left" w:pos="567"/>
        </w:tabs>
        <w:autoSpaceDE/>
        <w:autoSpaceDN/>
        <w:spacing w:line="240" w:lineRule="atLeast"/>
        <w:ind w:left="567" w:hanging="567"/>
        <w:rPr>
          <w:rFonts w:cs="Arial"/>
          <w:b/>
          <w:bCs/>
        </w:rPr>
      </w:pPr>
      <w:r>
        <w:rPr>
          <w:b/>
        </w:rPr>
        <w:t>3.3</w:t>
      </w:r>
      <w:r>
        <w:tab/>
      </w:r>
      <w:r>
        <w:rPr>
          <w:b/>
        </w:rPr>
        <w:t>Paragrafo 3, prima frase, e paragrafo 4, lettera d), prima frase — Verricelli speciali o dispositivi equivalenti per la messa in tensione di cavi (dispositivi di accoppiamento)</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ab/>
        <w:t>I prescritti dispositivi di accoppiamento rappresentano la dotazione minima specificata nell'articolo 21.01, paragrafo 2, che, conformemente ai punti 2.1 e 2.2 dell'istruzione ESI-III-6 (collegamenti longitudinali), serve ad assorbire le forze di accoppiamento, e devono soddisfare i seguenti requisiti:</w:t>
      </w:r>
    </w:p>
    <w:p w:rsidR="004F47BB" w:rsidRPr="004F47BB" w:rsidRDefault="004F47BB" w:rsidP="004F47BB">
      <w:pPr>
        <w:tabs>
          <w:tab w:val="left" w:pos="993"/>
        </w:tabs>
        <w:autoSpaceDE/>
        <w:autoSpaceDN/>
        <w:spacing w:before="60" w:line="240" w:lineRule="atLeast"/>
        <w:ind w:left="993" w:hanging="426"/>
        <w:rPr>
          <w:rFonts w:cs="Arial"/>
        </w:rPr>
      </w:pPr>
      <w:r>
        <w:t>a)</w:t>
      </w:r>
      <w:r>
        <w:tab/>
        <w:t>il dispositivo deve assicurare la forza di messa in tensione necessaria per l'accoppiamento unicamente con mezzi meccanici;</w:t>
      </w:r>
    </w:p>
    <w:p w:rsidR="004F47BB" w:rsidRPr="004F47BB" w:rsidRDefault="004F47BB" w:rsidP="004F47BB">
      <w:pPr>
        <w:tabs>
          <w:tab w:val="left" w:pos="993"/>
        </w:tabs>
        <w:autoSpaceDE/>
        <w:autoSpaceDN/>
        <w:spacing w:before="60" w:line="240" w:lineRule="atLeast"/>
        <w:ind w:left="992"/>
        <w:rPr>
          <w:rFonts w:cs="Arial"/>
        </w:rPr>
      </w:pPr>
      <w:r>
        <w:t>b)</w:t>
      </w:r>
      <w:r>
        <w:tab/>
        <w:t>i comandi del dispositivo devono essere disposti sul dispositivo stesso. In deroga, è consentito il comando a distanza a condizione che:</w:t>
      </w:r>
    </w:p>
    <w:p w:rsidR="004F47BB" w:rsidRPr="004F47BB" w:rsidRDefault="004F47BB" w:rsidP="004F47BB">
      <w:pPr>
        <w:tabs>
          <w:tab w:val="left" w:pos="1418"/>
        </w:tabs>
        <w:autoSpaceDE/>
        <w:autoSpaceDN/>
        <w:spacing w:before="60" w:line="240" w:lineRule="atLeast"/>
        <w:ind w:left="1418"/>
        <w:rPr>
          <w:rFonts w:cs="Arial"/>
        </w:rPr>
      </w:pPr>
      <w:r>
        <w:rPr>
          <w:rFonts w:cs="Arial"/>
        </w:rPr>
        <w:sym w:font="Symbol" w:char="F0B7"/>
      </w:r>
      <w:r>
        <w:tab/>
        <w:t>la persona che manovra il dispositivo abbia una visuale diretta senza ostacoli del dispositivo dal posto di comando;</w:t>
      </w:r>
    </w:p>
    <w:p w:rsidR="004F47BB" w:rsidRPr="004F47BB" w:rsidRDefault="004F47BB" w:rsidP="004F47BB">
      <w:pPr>
        <w:tabs>
          <w:tab w:val="left" w:pos="1418"/>
        </w:tabs>
        <w:autoSpaceDE/>
        <w:autoSpaceDN/>
        <w:spacing w:before="60" w:line="240" w:lineRule="atLeast"/>
        <w:ind w:left="1418"/>
        <w:rPr>
          <w:rFonts w:cs="Arial"/>
        </w:rPr>
      </w:pPr>
      <w:r>
        <w:br w:type="page"/>
      </w:r>
      <w:r>
        <w:rPr>
          <w:rFonts w:cs="Arial"/>
        </w:rPr>
        <w:lastRenderedPageBreak/>
        <w:sym w:font="Symbol" w:char="F0B7"/>
      </w:r>
      <w:r>
        <w:tab/>
        <w:t>sia previsto un dispositivo in corrispondenza del posto di comando che ne impedisca l'azionamento involontario;</w:t>
      </w:r>
    </w:p>
    <w:p w:rsidR="004F47BB" w:rsidRPr="004F47BB" w:rsidRDefault="004F47BB" w:rsidP="004F47BB">
      <w:pPr>
        <w:tabs>
          <w:tab w:val="left" w:pos="1418"/>
        </w:tabs>
        <w:autoSpaceDE/>
        <w:autoSpaceDN/>
        <w:spacing w:before="60" w:line="240" w:lineRule="atLeast"/>
        <w:ind w:left="1418"/>
        <w:rPr>
          <w:rFonts w:cs="Arial"/>
        </w:rPr>
      </w:pPr>
      <w:r>
        <w:rPr>
          <w:rFonts w:cs="Arial"/>
        </w:rPr>
        <w:sym w:font="Symbol" w:char="F0B7"/>
      </w:r>
      <w:r>
        <w:tab/>
        <w:t>il dispositivo preveda un arresto di emergenza;</w:t>
      </w:r>
    </w:p>
    <w:p w:rsidR="004F47BB" w:rsidRPr="004F47BB" w:rsidRDefault="004F47BB" w:rsidP="004F47BB">
      <w:pPr>
        <w:tabs>
          <w:tab w:val="left" w:pos="993"/>
        </w:tabs>
        <w:autoSpaceDE/>
        <w:autoSpaceDN/>
        <w:spacing w:before="60" w:line="240" w:lineRule="atLeast"/>
        <w:ind w:left="992"/>
        <w:rPr>
          <w:rFonts w:cs="Arial"/>
        </w:rPr>
      </w:pPr>
      <w:r>
        <w:t>c)</w:t>
      </w:r>
      <w:r>
        <w:tab/>
        <w:t>il dispositivo deve prevedere un dispositivo frenante che agisca immediatamente se si rilasciano i comandi o manca la forza motrice;</w:t>
      </w:r>
    </w:p>
    <w:p w:rsidR="004F47BB" w:rsidRPr="004F47BB" w:rsidRDefault="004F47BB" w:rsidP="004F47BB">
      <w:pPr>
        <w:tabs>
          <w:tab w:val="left" w:pos="993"/>
        </w:tabs>
        <w:autoSpaceDE/>
        <w:autoSpaceDN/>
        <w:spacing w:before="60" w:line="240" w:lineRule="atLeast"/>
        <w:ind w:left="992"/>
        <w:rPr>
          <w:rFonts w:cs="Arial"/>
        </w:rPr>
      </w:pPr>
      <w:r>
        <w:t>d)</w:t>
      </w:r>
      <w:r>
        <w:tab/>
        <w:t>deve essere possibile rilasciare manualmente il cavo di accoppiamento se manca la forza motrice.</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b/>
          <w:bCs/>
        </w:rPr>
      </w:pPr>
      <w:r>
        <w:rPr>
          <w:b/>
        </w:rPr>
        <w:t>3.4</w:t>
      </w:r>
      <w:r>
        <w:tab/>
      </w:r>
      <w:r>
        <w:rPr>
          <w:b/>
        </w:rPr>
        <w:t>Paragrafo 3, seconda frase, e paragrafo 4, lettera d), seconda frase — Azionamento dell'elica di prua</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tabs>
          <w:tab w:val="left" w:pos="567"/>
        </w:tabs>
        <w:autoSpaceDE/>
        <w:autoSpaceDN/>
        <w:spacing w:line="240" w:lineRule="atLeast"/>
        <w:ind w:left="567" w:hanging="567"/>
        <w:rPr>
          <w:rFonts w:cs="Arial"/>
        </w:rPr>
      </w:pPr>
      <w:r>
        <w:tab/>
        <w:t>Il comando di azionamento dell'elica di prua deve essere installato in maniera permanente nella timoneria. Devono essere rispettati i requisiti dell'articolo 7.04, paragrafo 8. I cavi elettrici per l'azionamento dell'elica di prua devono essere installati in maniera permanente fino alla sezione di prua dello spintore o della motonave adibita a spintore.</w:t>
      </w:r>
    </w:p>
    <w:p w:rsidR="004F47BB" w:rsidRPr="004F47BB" w:rsidRDefault="004F47BB" w:rsidP="004F47BB">
      <w:pPr>
        <w:tabs>
          <w:tab w:val="left" w:pos="567"/>
        </w:tabs>
        <w:autoSpaceDE/>
        <w:autoSpaceDN/>
        <w:spacing w:line="240" w:lineRule="atLeast"/>
        <w:ind w:left="567" w:hanging="567"/>
        <w:rPr>
          <w:rFonts w:cs="Arial"/>
          <w:snapToGrid w:val="0"/>
          <w:szCs w:val="20"/>
        </w:rPr>
      </w:pPr>
    </w:p>
    <w:p w:rsidR="004F47BB" w:rsidRPr="004F47BB" w:rsidRDefault="004F47BB" w:rsidP="004F47BB">
      <w:pPr>
        <w:tabs>
          <w:tab w:val="left" w:pos="567"/>
        </w:tabs>
        <w:autoSpaceDE/>
        <w:autoSpaceDN/>
        <w:spacing w:line="240" w:lineRule="atLeast"/>
        <w:ind w:left="567" w:hanging="567"/>
        <w:rPr>
          <w:rFonts w:cs="Arial"/>
          <w:b/>
          <w:bCs/>
        </w:rPr>
      </w:pPr>
      <w:r>
        <w:rPr>
          <w:b/>
        </w:rPr>
        <w:t>3.5</w:t>
      </w:r>
      <w:r>
        <w:tab/>
      </w:r>
      <w:r>
        <w:rPr>
          <w:b/>
        </w:rPr>
        <w:t>Paragrafo 4 – Manovrabilità equivalente</w:t>
      </w:r>
    </w:p>
    <w:p w:rsidR="004F47BB" w:rsidRPr="004F47BB" w:rsidRDefault="004F47BB" w:rsidP="004F47BB">
      <w:pPr>
        <w:tabs>
          <w:tab w:val="left" w:pos="567"/>
        </w:tabs>
        <w:autoSpaceDE/>
        <w:autoSpaceDN/>
        <w:spacing w:line="240" w:lineRule="atLeast"/>
        <w:ind w:left="567" w:hanging="567"/>
        <w:rPr>
          <w:rFonts w:cs="Arial"/>
        </w:rPr>
      </w:pPr>
    </w:p>
    <w:p w:rsidR="004F47BB" w:rsidRPr="004F47BB" w:rsidRDefault="004F47BB" w:rsidP="004F47BB">
      <w:pPr>
        <w:autoSpaceDE/>
        <w:autoSpaceDN/>
        <w:spacing w:line="240" w:lineRule="atLeast"/>
        <w:ind w:left="567" w:firstLine="0"/>
        <w:rPr>
          <w:rFonts w:cs="Arial"/>
        </w:rPr>
      </w:pPr>
      <w:r>
        <w:t>Una manovrabilità equivalente è garantita da un sistema di propulsione costituito da</w:t>
      </w:r>
    </w:p>
    <w:p w:rsidR="004F47BB" w:rsidRPr="004F47BB" w:rsidRDefault="004F47BB" w:rsidP="004F47BB">
      <w:pPr>
        <w:tabs>
          <w:tab w:val="left" w:pos="993"/>
        </w:tabs>
        <w:autoSpaceDE/>
        <w:autoSpaceDN/>
        <w:spacing w:before="60" w:line="240" w:lineRule="atLeast"/>
        <w:ind w:left="992"/>
        <w:rPr>
          <w:rFonts w:cs="Arial"/>
        </w:rPr>
      </w:pPr>
      <w:r>
        <w:t>a)</w:t>
      </w:r>
      <w:r>
        <w:tab/>
        <w:t>più eliche e almeno due sistemi di propulsione indipendenti con potenza analoga;</w:t>
      </w:r>
    </w:p>
    <w:p w:rsidR="004F47BB" w:rsidRPr="004F47BB" w:rsidRDefault="004F47BB" w:rsidP="004F47BB">
      <w:pPr>
        <w:tabs>
          <w:tab w:val="left" w:pos="993"/>
        </w:tabs>
        <w:autoSpaceDE/>
        <w:autoSpaceDN/>
        <w:spacing w:before="60" w:line="240" w:lineRule="atLeast"/>
        <w:ind w:left="992"/>
        <w:rPr>
          <w:rFonts w:cs="Arial"/>
        </w:rPr>
      </w:pPr>
      <w:r>
        <w:t>b)</w:t>
      </w:r>
      <w:r>
        <w:tab/>
        <w:t>almeno un propulsore cicloidale;</w:t>
      </w:r>
    </w:p>
    <w:p w:rsidR="004F47BB" w:rsidRPr="004F47BB" w:rsidRDefault="004F47BB" w:rsidP="004F47BB">
      <w:pPr>
        <w:tabs>
          <w:tab w:val="left" w:pos="993"/>
        </w:tabs>
        <w:autoSpaceDE/>
        <w:autoSpaceDN/>
        <w:spacing w:before="60" w:line="240" w:lineRule="atLeast"/>
        <w:ind w:left="992"/>
        <w:rPr>
          <w:rFonts w:cs="Arial"/>
        </w:rPr>
      </w:pPr>
      <w:r>
        <w:t>c)</w:t>
      </w:r>
      <w:r>
        <w:tab/>
        <w:t>almeno un'elica orientabile; oppure</w:t>
      </w:r>
    </w:p>
    <w:p w:rsidR="004F47BB" w:rsidRPr="004F47BB" w:rsidRDefault="004F47BB" w:rsidP="004F47BB">
      <w:pPr>
        <w:tabs>
          <w:tab w:val="left" w:pos="993"/>
        </w:tabs>
        <w:autoSpaceDE/>
        <w:autoSpaceDN/>
        <w:spacing w:before="60" w:line="240" w:lineRule="atLeast"/>
        <w:ind w:left="992"/>
        <w:rPr>
          <w:rFonts w:cs="Arial"/>
        </w:rPr>
      </w:pPr>
      <w:r>
        <w:t>d)</w:t>
      </w:r>
      <w:r>
        <w:tab/>
        <w:t>almeno un sistema di propulsione a idrogetto a 360°.</w:t>
      </w: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ind w:left="0" w:firstLine="0"/>
        <w:jc w:val="left"/>
        <w:textAlignment w:val="baseline"/>
        <w:rPr>
          <w:szCs w:val="20"/>
        </w:rPr>
        <w:sectPr w:rsidR="004F47BB" w:rsidRPr="004F47BB" w:rsidSect="00D45887">
          <w:footnotePr>
            <w:numRestart w:val="eachPage"/>
          </w:footnotePr>
          <w:pgSz w:w="11907" w:h="16840" w:code="9"/>
          <w:pgMar w:top="1418" w:right="1418" w:bottom="1418" w:left="1418" w:header="680" w:footer="680" w:gutter="0"/>
          <w:cols w:space="720"/>
          <w:docGrid w:linePitch="326"/>
        </w:sectPr>
      </w:pPr>
    </w:p>
    <w:p w:rsidR="004F47BB" w:rsidRPr="004F47BB" w:rsidRDefault="004F47BB" w:rsidP="00A84512">
      <w:pPr>
        <w:pStyle w:val="ES-Titre1"/>
      </w:pPr>
      <w:bookmarkStart w:id="783" w:name="_Toc491854374"/>
      <w:bookmarkStart w:id="784" w:name="_Toc535500323"/>
      <w:r>
        <w:lastRenderedPageBreak/>
        <w:t>PARTE IV</w:t>
      </w:r>
      <w:r>
        <w:br/>
        <w:t>DISPOSIZIONI TRANSITORIE</w:t>
      </w:r>
      <w:bookmarkEnd w:id="783"/>
      <w:bookmarkEnd w:id="784"/>
    </w:p>
    <w:p w:rsidR="004F47BB" w:rsidRPr="004F47BB" w:rsidRDefault="004F47BB" w:rsidP="004F47BB">
      <w:pPr>
        <w:tabs>
          <w:tab w:val="left" w:pos="425"/>
        </w:tabs>
        <w:autoSpaceDE/>
        <w:autoSpaceDN/>
        <w:ind w:left="0" w:firstLine="0"/>
        <w:jc w:val="left"/>
      </w:pPr>
    </w:p>
    <w:p w:rsidR="004F47BB" w:rsidRPr="004F47BB" w:rsidRDefault="004F47BB" w:rsidP="00A84512">
      <w:pPr>
        <w:pStyle w:val="ES-Titre2ESI"/>
      </w:pPr>
      <w:bookmarkStart w:id="785" w:name="_Toc491854375"/>
      <w:bookmarkStart w:id="786" w:name="_Toc535500324"/>
      <w:r>
        <w:t>ESI-IV-1</w:t>
      </w:r>
      <w:r>
        <w:br/>
        <w:t>Applicazione di disposizioni transitorie</w:t>
      </w:r>
      <w:bookmarkEnd w:id="785"/>
      <w:bookmarkEnd w:id="786"/>
    </w:p>
    <w:p w:rsidR="004F47BB" w:rsidRPr="004F47BB" w:rsidRDefault="004F47BB" w:rsidP="004F47BB">
      <w:pPr>
        <w:overflowPunct w:val="0"/>
        <w:adjustRightInd w:val="0"/>
        <w:ind w:left="0" w:firstLine="0"/>
        <w:jc w:val="left"/>
        <w:textAlignment w:val="baseline"/>
        <w:rPr>
          <w:szCs w:val="20"/>
        </w:rPr>
      </w:pPr>
    </w:p>
    <w:p w:rsidR="004F47BB" w:rsidRPr="004F47BB" w:rsidRDefault="004F47BB" w:rsidP="004F47BB">
      <w:pPr>
        <w:overflowPunct w:val="0"/>
        <w:adjustRightInd w:val="0"/>
        <w:spacing w:line="240" w:lineRule="atLeast"/>
        <w:ind w:left="0" w:firstLine="0"/>
        <w:jc w:val="center"/>
        <w:rPr>
          <w:rFonts w:cs="Arial"/>
          <w:b/>
          <w:szCs w:val="20"/>
        </w:rPr>
      </w:pPr>
      <w:r>
        <w:rPr>
          <w:b/>
        </w:rPr>
        <w:t>(Capi da 19 a 30, capo 32 e capo 33)</w:t>
      </w:r>
    </w:p>
    <w:p w:rsidR="004F47BB" w:rsidRPr="004F47BB" w:rsidRDefault="004F47BB" w:rsidP="004F47BB">
      <w:pPr>
        <w:tabs>
          <w:tab w:val="left" w:pos="709"/>
        </w:tabs>
        <w:autoSpaceDE/>
        <w:autoSpaceDN/>
        <w:spacing w:line="240" w:lineRule="atLeast"/>
        <w:ind w:left="709" w:hanging="709"/>
        <w:rPr>
          <w:rFonts w:cs="Arial"/>
          <w:b/>
          <w:bCs/>
          <w:szCs w:val="20"/>
        </w:rPr>
      </w:pPr>
    </w:p>
    <w:p w:rsidR="004F47BB" w:rsidRPr="004F47BB" w:rsidRDefault="004F47BB" w:rsidP="004F47BB">
      <w:pPr>
        <w:spacing w:line="240" w:lineRule="atLeast"/>
        <w:ind w:left="567" w:hanging="567"/>
        <w:rPr>
          <w:rFonts w:cs="Arial"/>
          <w:b/>
          <w:color w:val="000000"/>
          <w:szCs w:val="20"/>
        </w:rPr>
      </w:pPr>
      <w:r>
        <w:rPr>
          <w:b/>
          <w:color w:val="000000"/>
        </w:rPr>
        <w:t>1.</w:t>
      </w:r>
      <w:r>
        <w:tab/>
      </w:r>
      <w:r>
        <w:rPr>
          <w:b/>
          <w:color w:val="000000"/>
        </w:rPr>
        <w:t>Applicazione di disposizioni transitorie nell'unire parti di imbarcazioni</w:t>
      </w:r>
    </w:p>
    <w:p w:rsidR="004F47BB" w:rsidRPr="004F47BB" w:rsidRDefault="004F47BB" w:rsidP="004F47BB">
      <w:pPr>
        <w:spacing w:line="240" w:lineRule="atLeast"/>
        <w:ind w:left="567" w:hanging="567"/>
        <w:rPr>
          <w:rFonts w:cs="Arial"/>
          <w:b/>
          <w:color w:val="000000"/>
          <w:szCs w:val="20"/>
        </w:rPr>
      </w:pPr>
    </w:p>
    <w:p w:rsidR="004F47BB" w:rsidRPr="004F47BB" w:rsidRDefault="004F47BB" w:rsidP="004F47BB">
      <w:pPr>
        <w:spacing w:line="240" w:lineRule="atLeast"/>
        <w:ind w:left="567" w:hanging="567"/>
        <w:rPr>
          <w:rFonts w:cs="Arial"/>
          <w:b/>
          <w:color w:val="000000"/>
          <w:szCs w:val="20"/>
        </w:rPr>
      </w:pPr>
      <w:r>
        <w:rPr>
          <w:b/>
          <w:color w:val="000000"/>
        </w:rPr>
        <w:t>1.1</w:t>
      </w:r>
      <w:r>
        <w:tab/>
      </w:r>
      <w:r>
        <w:rPr>
          <w:b/>
          <w:color w:val="000000"/>
        </w:rPr>
        <w:t>Principi</w:t>
      </w:r>
    </w:p>
    <w:p w:rsidR="004F47BB" w:rsidRPr="004F47BB" w:rsidRDefault="004F47BB" w:rsidP="004F47BB">
      <w:pPr>
        <w:spacing w:line="240" w:lineRule="atLeast"/>
        <w:ind w:left="567" w:hanging="567"/>
        <w:rPr>
          <w:rFonts w:cs="Arial"/>
          <w:b/>
          <w:color w:val="000000"/>
          <w:szCs w:val="20"/>
        </w:rPr>
      </w:pPr>
    </w:p>
    <w:p w:rsidR="004F47BB" w:rsidRPr="004F47BB" w:rsidRDefault="004F47BB" w:rsidP="004F47BB">
      <w:pPr>
        <w:spacing w:line="240" w:lineRule="atLeast"/>
        <w:ind w:left="567" w:firstLine="0"/>
      </w:pPr>
      <w:r>
        <w:t>Quando vengono unite parti di navi diverse, la protezione dello status quo viene concessa solo alle parti che appartengono alla nave che conserva il certificato per la navigazione interna. Le disposizioni transitorie, quindi, possono essere invocate solo per tali parti. Le altre parti verranno trattate come una nave di nuova costruzione.</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rPr>
          <w:rFonts w:cs="Arial"/>
          <w:b/>
          <w:color w:val="000000"/>
          <w:szCs w:val="20"/>
        </w:rPr>
      </w:pPr>
      <w:r>
        <w:rPr>
          <w:b/>
          <w:color w:val="000000"/>
        </w:rPr>
        <w:t>1.2</w:t>
      </w:r>
      <w:r>
        <w:tab/>
      </w:r>
      <w:r>
        <w:rPr>
          <w:b/>
          <w:color w:val="000000"/>
        </w:rPr>
        <w:t>Applicazione delle disposizioni transitorie nei dettagli</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1.2.1</w:t>
      </w:r>
      <w:r>
        <w:tab/>
        <w:t>Quando vengono unite parti di navi diverse, le disposizioni transitorie possono essere invocate solo per quelle parti che appartengono alla nave che conserva il certificato per la navigazione interna.</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1.2.2</w:t>
      </w:r>
      <w:r>
        <w:tab/>
        <w:t>Le parti che non appartengono alla nave che conserva il proprio certificato navale verranno trattate come un’imbarcazione di nuova costruzione.</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1.2.3</w:t>
      </w:r>
      <w:r>
        <w:tab/>
        <w:t>Dopo che ad una nave è stata aggiunta una parte di un'altra nave, la prima riceve il numero ENI dell'imbarcazione, che conserva il suo certificato per la navigazione interna come l'imbarcazione trasformata.</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1.2.4</w:t>
      </w:r>
      <w:r>
        <w:tab/>
        <w:t>Quando viene mantenuto un certificato per la navigazione interna già esistente dell'Unione o viene rilasciato un nuovo certificato per la navigazione interna per un'imbarcazione che ha subito una trasformazione, viene aggiunto al certificato per la navigazione interna l'anno di costruzione della parte più vecchia dell'imbarcazione.</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1.2.5</w:t>
      </w:r>
      <w:r>
        <w:tab/>
        <w:t>Se ad un’imbarcazione viene aggiunta una nuova sezione di prua, anche il motore per l’elica di prua installato nella sezione anteriore deve soddisfare i requisiti in vigore.</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1.2.6</w:t>
      </w:r>
      <w:r>
        <w:tab/>
        <w:t>Se ad una nave viene aggiunta una nuova sezione di poppa, anche i motori installati nella sezione di poppa devono soddisfare i requisiti in vigore.</w:t>
      </w:r>
    </w:p>
    <w:p w:rsidR="004F47BB" w:rsidRPr="004F47BB" w:rsidRDefault="004F47BB" w:rsidP="004F47BB">
      <w:pPr>
        <w:spacing w:line="240" w:lineRule="atLeast"/>
        <w:ind w:left="567" w:hanging="567"/>
        <w:rPr>
          <w:b/>
          <w:bCs/>
        </w:rPr>
      </w:pPr>
    </w:p>
    <w:p w:rsidR="004F47BB" w:rsidRPr="004F47BB" w:rsidRDefault="004F47BB" w:rsidP="004F47BB">
      <w:pPr>
        <w:spacing w:line="240" w:lineRule="atLeast"/>
        <w:ind w:left="567" w:hanging="567"/>
        <w:rPr>
          <w:rFonts w:cs="Arial"/>
          <w:b/>
          <w:color w:val="000000"/>
          <w:szCs w:val="20"/>
        </w:rPr>
      </w:pPr>
      <w:r>
        <w:rPr>
          <w:b/>
          <w:color w:val="000000"/>
        </w:rPr>
        <w:t>1.3</w:t>
      </w:r>
      <w:r>
        <w:tab/>
      </w:r>
      <w:r>
        <w:rPr>
          <w:b/>
          <w:color w:val="000000"/>
        </w:rPr>
        <w:t xml:space="preserve">Esempi </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1.3.1</w:t>
      </w:r>
      <w:r>
        <w:tab/>
        <w:t>Viene costruita una nave partendo da due navi più vecchie (nave 1 anno di costruzione 1968; nave 2 anno di costruzione 1972). Viene utilizzata l'intera nave 1 tranne la sezione di prua; viene utilizzata la sezione di prua della nave 2. La nave così costruita riceve il certificato per la navigazione interna della nave 1. La sezione di prua della nave così costruita deve ora essere dotata tra l'altro di alloggiamenti per le ancore.</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br w:type="page"/>
      </w:r>
    </w:p>
    <w:p w:rsidR="004F47BB" w:rsidRPr="004F47BB" w:rsidRDefault="004F47BB" w:rsidP="004F47BB">
      <w:pPr>
        <w:spacing w:line="240" w:lineRule="atLeast"/>
        <w:ind w:left="567" w:hanging="567"/>
      </w:pPr>
      <w:r>
        <w:lastRenderedPageBreak/>
        <w:t>1.3.2</w:t>
      </w:r>
      <w:r>
        <w:tab/>
        <w:t>Viene costruita una nave partendo da due navi più vecchie (nave 1 anno di costruzione 1975; nave 2 anno di costruzione 1958, componente più vecchio 1952). Viene utilizzata l'intera nave 1 tranne la sezione di prua; viene utilizzata la sezione di prua della nave 2. La nave così costruita riceve il certificato per la navigazione interna della nave 1. La sezione di prua della nave così costruita deve ora essere dotata tra l'altro di alloggiamenti per le ancore. Il componente più vecchio della nave 2 originale, con anno di costruzione 1952, viene aggiunto al certificato per la navigazione interna.</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rPr>
          <w:b/>
          <w:bCs/>
        </w:rPr>
      </w:pPr>
      <w:r>
        <w:t>1.3.3</w:t>
      </w:r>
      <w:r>
        <w:tab/>
        <w:t>La sezione di poppa di una nave il cui anno di costruzione è il 2001 è aggiunta ad una nave il cui anno di costruzione è il 1988. Il motore della nave il cui anno di costruzione è il 1988 deve restare nella nave. In questo caso il motore deve essere omologato. Il motore dovrebbe essere omologato anche se si trattasse del motore presente nella sezione di poppa del 2001.</w:t>
      </w:r>
    </w:p>
    <w:p w:rsidR="004F47BB" w:rsidRPr="004F47BB" w:rsidRDefault="004F47BB" w:rsidP="004F47BB">
      <w:pPr>
        <w:spacing w:line="240" w:lineRule="atLeast"/>
        <w:ind w:left="567" w:hanging="567"/>
        <w:rPr>
          <w:b/>
          <w:bCs/>
        </w:rPr>
      </w:pPr>
    </w:p>
    <w:p w:rsidR="004F47BB" w:rsidRPr="004F47BB" w:rsidRDefault="004F47BB" w:rsidP="004F47BB">
      <w:pPr>
        <w:spacing w:line="240" w:lineRule="atLeast"/>
        <w:ind w:left="567" w:hanging="567"/>
        <w:rPr>
          <w:rFonts w:cs="Arial"/>
          <w:b/>
          <w:color w:val="000000"/>
          <w:szCs w:val="20"/>
        </w:rPr>
      </w:pPr>
      <w:r>
        <w:rPr>
          <w:b/>
          <w:color w:val="000000"/>
        </w:rPr>
        <w:t>2.</w:t>
      </w:r>
      <w:r>
        <w:tab/>
      </w:r>
      <w:r>
        <w:rPr>
          <w:b/>
          <w:color w:val="000000"/>
        </w:rPr>
        <w:t>Applicazione di disposizioni transitorie nel caso di un cambiamento nel tipo di imbarcazione (destinazione d'uso dell'imbarcazione)</w:t>
      </w:r>
    </w:p>
    <w:p w:rsidR="004F47BB" w:rsidRPr="004F47BB" w:rsidRDefault="004F47BB" w:rsidP="004F47BB">
      <w:pPr>
        <w:spacing w:line="240" w:lineRule="atLeast"/>
        <w:ind w:left="567" w:hanging="567"/>
        <w:rPr>
          <w:rFonts w:cs="Arial"/>
          <w:b/>
          <w:color w:val="000000"/>
          <w:szCs w:val="20"/>
        </w:rPr>
      </w:pPr>
    </w:p>
    <w:p w:rsidR="004F47BB" w:rsidRPr="004F47BB" w:rsidRDefault="004F47BB" w:rsidP="004F47BB">
      <w:pPr>
        <w:spacing w:line="240" w:lineRule="atLeast"/>
        <w:ind w:left="567" w:hanging="567"/>
        <w:rPr>
          <w:rFonts w:cs="Arial"/>
          <w:b/>
          <w:color w:val="000000"/>
          <w:szCs w:val="20"/>
        </w:rPr>
      </w:pPr>
      <w:r>
        <w:rPr>
          <w:b/>
          <w:color w:val="000000"/>
        </w:rPr>
        <w:t>2.1</w:t>
      </w:r>
      <w:r>
        <w:tab/>
      </w:r>
      <w:r>
        <w:rPr>
          <w:b/>
          <w:color w:val="000000"/>
        </w:rPr>
        <w:t>Principi</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2.1.1</w:t>
      </w:r>
      <w:r>
        <w:tab/>
      </w:r>
      <w:r>
        <w:rPr>
          <w:color w:val="000000"/>
        </w:rPr>
        <w:t>In qualsiasi decisione sull'applicazione di disposizioni transitorie nel caso di modifica del tipo di imbarcazione (tipo della nave; destinazione d'uso della nave), per quanto riguarda la presente norma le considerazioni di sicurezza sono essenziali.</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2.1.2</w:t>
      </w:r>
      <w:r>
        <w:tab/>
        <w:t>Si è in presenza di una modifica nel tipo dell'imbarcazione se i requisiti di sicurezza che si applicano al nuovo tipo di imbarcazione sono diversi da quelli previsti per il vecchio tipo; è quanto avviene se le disposizioni speciali dei capi da 19 a 30 della presente norma sono applicabili al nuovo tipo mentre non lo erano nel caso del vecchio tipo.</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2.1.3</w:t>
      </w:r>
      <w:r>
        <w:tab/>
        <w:t>Nel caso di una modifica nel tipo dell'imbarcazione, tutte le disposizioni speciali e tutti i requisiti specifici a questo tipo di imbarcazione devono essere pienamente rispettati; le disposizioni transitorie non possono essere invocate per questi requisiti. Questo si applica alle parti che sono prese dall’imbarcazione esistente e sono soggette a tali requisiti speciali.</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2.1.4</w:t>
      </w:r>
      <w:r>
        <w:tab/>
        <w:t>La trasformazione di una nave cisterna in una nave da carico secco non costituisce una modifica nel tipo di imbarcazione definita al punto 2.1.2.</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2.1.5</w:t>
      </w:r>
      <w:r>
        <w:tab/>
        <w:t>Nel caso della trasformazione di una nave cabinata in un battello per escursioni giornaliere, tutte le nuove parti devono soddisfare pienamente i requisiti vigenti.</w:t>
      </w:r>
    </w:p>
    <w:p w:rsidR="004F47BB" w:rsidRPr="004F47BB" w:rsidRDefault="004F47BB" w:rsidP="004F47BB">
      <w:pPr>
        <w:spacing w:line="240" w:lineRule="atLeast"/>
        <w:ind w:left="567" w:hanging="567"/>
        <w:rPr>
          <w:b/>
          <w:bCs/>
        </w:rPr>
      </w:pPr>
    </w:p>
    <w:p w:rsidR="004F47BB" w:rsidRPr="004F47BB" w:rsidRDefault="004F47BB" w:rsidP="004F47BB">
      <w:pPr>
        <w:spacing w:line="240" w:lineRule="atLeast"/>
        <w:ind w:left="567" w:hanging="567"/>
        <w:rPr>
          <w:rFonts w:cs="Arial"/>
          <w:b/>
          <w:color w:val="000000"/>
          <w:szCs w:val="20"/>
        </w:rPr>
      </w:pPr>
      <w:r>
        <w:rPr>
          <w:b/>
          <w:color w:val="000000"/>
        </w:rPr>
        <w:t>2.2</w:t>
      </w:r>
      <w:r>
        <w:tab/>
      </w:r>
      <w:r>
        <w:rPr>
          <w:b/>
          <w:color w:val="000000"/>
        </w:rPr>
        <w:t>Applicazione delle disposizioni transitorie nei dettagli</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2.2.1</w:t>
      </w:r>
      <w:r>
        <w:tab/>
        <w:t>L'articolo 32.02, paragrafo 2 (N.S.T.), risp. l'articolo 33.02, paragrafo 2, si applica alle parti dell'imbarcazione che vengono rinnovate; di conseguenza parti nuove dell'imbarcazione non possono essere soggette alle disposizioni transitorie.</w:t>
      </w:r>
    </w:p>
    <w:p w:rsidR="004F47BB" w:rsidRPr="004F47BB" w:rsidRDefault="004F47BB" w:rsidP="004F47BB">
      <w:pPr>
        <w:spacing w:line="240" w:lineRule="atLeast"/>
        <w:ind w:left="567" w:hanging="567"/>
        <w:rPr>
          <w:color w:val="000000"/>
        </w:rPr>
      </w:pPr>
    </w:p>
    <w:p w:rsidR="004F47BB" w:rsidRPr="004F47BB" w:rsidRDefault="004F47BB" w:rsidP="004F47BB">
      <w:pPr>
        <w:spacing w:line="240" w:lineRule="atLeast"/>
        <w:ind w:left="567" w:hanging="567"/>
        <w:rPr>
          <w:color w:val="000000"/>
        </w:rPr>
      </w:pPr>
      <w:r>
        <w:rPr>
          <w:color w:val="000000"/>
        </w:rPr>
        <w:t>2.2.2</w:t>
      </w:r>
      <w:r>
        <w:tab/>
      </w:r>
      <w:r>
        <w:rPr>
          <w:color w:val="000000"/>
        </w:rPr>
        <w:t>Per le parti dell’imbarcazione che non sono trasformate, continuano ad essere applicabili le disposizioni transitorie tranne le parti di cui al punto 2.1.3, seconda frase.</w:t>
      </w:r>
    </w:p>
    <w:p w:rsidR="004F47BB" w:rsidRPr="004F47BB" w:rsidRDefault="004F47BB" w:rsidP="004F47BB">
      <w:pPr>
        <w:spacing w:line="240" w:lineRule="atLeast"/>
        <w:ind w:left="567" w:hanging="567"/>
        <w:rPr>
          <w:color w:val="000000"/>
        </w:rPr>
      </w:pPr>
    </w:p>
    <w:p w:rsidR="004F47BB" w:rsidRPr="004F47BB" w:rsidRDefault="004F47BB" w:rsidP="004F47BB">
      <w:pPr>
        <w:spacing w:line="240" w:lineRule="atLeast"/>
        <w:ind w:left="567" w:hanging="567"/>
        <w:rPr>
          <w:color w:val="000000"/>
        </w:rPr>
      </w:pPr>
      <w:r>
        <w:rPr>
          <w:color w:val="000000"/>
        </w:rPr>
        <w:t>2.2.3</w:t>
      </w:r>
      <w:r>
        <w:tab/>
      </w:r>
      <w:r>
        <w:rPr>
          <w:color w:val="000000"/>
        </w:rPr>
        <w:t>Se sono modificate le dimensioni della nave, non si applicano più le disposizioni transitorie a quelle parti dell’imbarcazione che sono connesse a tale modifica (ad esempio paratia di collisione, bordo libero e ancora).</w:t>
      </w:r>
    </w:p>
    <w:p w:rsidR="004F47BB" w:rsidRPr="004F47BB" w:rsidRDefault="004F47BB" w:rsidP="004F47BB">
      <w:pPr>
        <w:spacing w:line="240" w:lineRule="atLeast"/>
        <w:ind w:left="567" w:hanging="567"/>
        <w:rPr>
          <w:color w:val="000000"/>
        </w:rPr>
      </w:pPr>
    </w:p>
    <w:p w:rsidR="004F47BB" w:rsidRPr="004F47BB" w:rsidRDefault="004F47BB" w:rsidP="004F47BB">
      <w:pPr>
        <w:spacing w:line="240" w:lineRule="atLeast"/>
        <w:ind w:left="567" w:hanging="567"/>
      </w:pPr>
      <w:r>
        <w:br w:type="page"/>
      </w:r>
    </w:p>
    <w:p w:rsidR="004F47BB" w:rsidRPr="004F47BB" w:rsidRDefault="004F47BB" w:rsidP="004F47BB">
      <w:pPr>
        <w:spacing w:line="240" w:lineRule="atLeast"/>
        <w:ind w:left="567" w:hanging="567"/>
      </w:pPr>
      <w:r>
        <w:lastRenderedPageBreak/>
        <w:t>2.2.4</w:t>
      </w:r>
      <w:r>
        <w:tab/>
        <w:t>Nel caso di una modifica nel tipo dell'imbarcazione, si applicano i requisiti speciali applicabili solo al nuovo tipo di imbarcazione. Tutte le parti ed elementi degli equipaggiamenti che sono interessati dalla trasformazione dell'imbarcazione devono soddisfare i requisiti vigenti previsti alle parti II e III della presente norma.</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2.2.5</w:t>
      </w:r>
      <w:r>
        <w:tab/>
        <w:t>All'imbarcazione viene rilasciato un certificato per la navigazione interna nuovo o modificato e viene inserita una nota ai campi 7 e 8 del certificato sia della costruzione originale che della trasformazione.</w:t>
      </w:r>
    </w:p>
    <w:p w:rsidR="004F47BB" w:rsidRPr="004F47BB" w:rsidRDefault="004F47BB" w:rsidP="004F47BB">
      <w:pPr>
        <w:spacing w:line="240" w:lineRule="atLeast"/>
        <w:ind w:left="567" w:hanging="567"/>
        <w:rPr>
          <w:b/>
          <w:bCs/>
        </w:rPr>
      </w:pPr>
    </w:p>
    <w:p w:rsidR="004F47BB" w:rsidRPr="004F47BB" w:rsidRDefault="004F47BB" w:rsidP="004F47BB">
      <w:pPr>
        <w:spacing w:line="240" w:lineRule="atLeast"/>
        <w:ind w:left="567" w:hanging="567"/>
        <w:rPr>
          <w:rFonts w:cs="Arial"/>
          <w:b/>
          <w:color w:val="000000"/>
          <w:szCs w:val="20"/>
        </w:rPr>
      </w:pPr>
      <w:r>
        <w:rPr>
          <w:b/>
          <w:color w:val="000000"/>
        </w:rPr>
        <w:t>2.3</w:t>
      </w:r>
      <w:r>
        <w:tab/>
      </w:r>
      <w:r>
        <w:rPr>
          <w:b/>
          <w:color w:val="000000"/>
        </w:rPr>
        <w:t xml:space="preserve">Esempi </w:t>
      </w:r>
    </w:p>
    <w:p w:rsidR="004F47BB" w:rsidRPr="004F47BB" w:rsidRDefault="004F47BB" w:rsidP="004F47BB">
      <w:pPr>
        <w:tabs>
          <w:tab w:val="left" w:pos="1134"/>
        </w:tabs>
        <w:autoSpaceDE/>
        <w:autoSpaceDN/>
        <w:spacing w:line="240" w:lineRule="atLeast"/>
        <w:ind w:left="1134" w:hanging="709"/>
        <w:rPr>
          <w:rFonts w:cs="Arial"/>
          <w:szCs w:val="20"/>
        </w:rPr>
      </w:pPr>
    </w:p>
    <w:p w:rsidR="004F47BB" w:rsidRPr="004F47BB" w:rsidRDefault="004F47BB" w:rsidP="004F47BB">
      <w:pPr>
        <w:spacing w:line="240" w:lineRule="atLeast"/>
        <w:ind w:left="567" w:hanging="567"/>
      </w:pPr>
      <w:r>
        <w:t>2.3.1</w:t>
      </w:r>
      <w:r>
        <w:tab/>
        <w:t>Una nave da carico (anno di costruzione 1996) viene trasformata in nave passeggeri. Si applica quindi il capo 19 della presente norma all'intera nave, senza invocare le disposizioni transitorie. Se la sezione di prua non è modificata secondo i piani di trasformazione o a norma del capo 19, non è necessario che la nave presenti degli alloggiamenti delle ancore a norma dell'articolo 3.03.</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2.3.2</w:t>
      </w:r>
      <w:r>
        <w:tab/>
        <w:t>Un rimorchiatore (anno di costruzione 1970) viene trasformato in uno spintore. La trasformazione materiale consiste unicamente nel modificare le attrezzature del ponte e installare un dispositivo di spinta. Restano applicabili tutte le disposizioni transitorie per una nave del 1970, tranne per i capi 5, 7 (in parte), l'articolo 13.01 e l'articolo 21.01.</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2.3.3</w:t>
      </w:r>
      <w:r>
        <w:tab/>
        <w:t>Una motonave cisterna (anno di costruzione 1970) viene trasformata in uno spintore. La trasformazione materiale consiste nel separare la sezione di prua da quella di carico, nonché nel modificare le attrezzature del ponte e installare un dispositivo di spinta. Restano applicabili tutte le disposizioni transitorie per una nave del 1970, tranne per quanto riguarda le disposizioni dei capi 5, 7 (in parte), l'articolo 13.01 e l'articolo 21.01.</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2.3.4</w:t>
      </w:r>
      <w:r>
        <w:tab/>
        <w:t>Una motonave cisterna è trasformata in una motonave per trasporto merci. La motonave per trasporto merci deve soddisfare i requisiti vigenti in materia di sicurezza del posto di lavoro, in particolare quelli di cui all'articolo 14.04 del capo 14 della presente norma.</w:t>
      </w:r>
    </w:p>
    <w:p w:rsidR="004F47BB" w:rsidRPr="004F47BB" w:rsidRDefault="004F47BB" w:rsidP="004F47BB">
      <w:pPr>
        <w:spacing w:line="240" w:lineRule="atLeast"/>
        <w:ind w:left="567" w:hanging="567"/>
        <w:rPr>
          <w:rFonts w:cs="Arial"/>
          <w:b/>
          <w:color w:val="000000"/>
          <w:szCs w:val="20"/>
        </w:rPr>
      </w:pPr>
    </w:p>
    <w:p w:rsidR="004F47BB" w:rsidRPr="004F47BB" w:rsidRDefault="004F47BB" w:rsidP="004F47BB">
      <w:pPr>
        <w:spacing w:line="240" w:lineRule="atLeast"/>
        <w:ind w:left="567" w:hanging="567"/>
        <w:rPr>
          <w:rFonts w:cs="Arial"/>
          <w:b/>
          <w:color w:val="000000"/>
          <w:szCs w:val="20"/>
        </w:rPr>
      </w:pPr>
      <w:r>
        <w:rPr>
          <w:b/>
          <w:color w:val="000000"/>
        </w:rPr>
        <w:t>3.</w:t>
      </w:r>
      <w:r>
        <w:tab/>
      </w:r>
      <w:r>
        <w:rPr>
          <w:b/>
          <w:color w:val="000000"/>
        </w:rPr>
        <w:t>Applicazione di disposizioni transitorie nel caso di trasformazione di navi da passeggeri</w:t>
      </w:r>
    </w:p>
    <w:p w:rsidR="004F47BB" w:rsidRPr="004F47BB" w:rsidRDefault="004F47BB" w:rsidP="004F47BB">
      <w:pPr>
        <w:spacing w:line="240" w:lineRule="atLeast"/>
        <w:ind w:left="567" w:hanging="567"/>
        <w:rPr>
          <w:rFonts w:cs="Arial"/>
          <w:b/>
          <w:color w:val="000000"/>
          <w:szCs w:val="20"/>
        </w:rPr>
      </w:pPr>
    </w:p>
    <w:p w:rsidR="004F47BB" w:rsidRPr="004F47BB" w:rsidRDefault="004F47BB" w:rsidP="004F47BB">
      <w:pPr>
        <w:spacing w:line="240" w:lineRule="atLeast"/>
        <w:ind w:left="567" w:hanging="567"/>
        <w:rPr>
          <w:rFonts w:cs="Arial"/>
          <w:b/>
          <w:color w:val="000000"/>
          <w:szCs w:val="20"/>
        </w:rPr>
      </w:pPr>
      <w:r>
        <w:rPr>
          <w:b/>
          <w:color w:val="000000"/>
        </w:rPr>
        <w:t>3.1</w:t>
      </w:r>
      <w:r>
        <w:tab/>
      </w:r>
      <w:r>
        <w:rPr>
          <w:b/>
          <w:color w:val="000000"/>
        </w:rPr>
        <w:t>Applicazione delle disposizioni transitorie</w:t>
      </w:r>
    </w:p>
    <w:p w:rsidR="004F47BB" w:rsidRPr="004F47BB" w:rsidRDefault="004F47BB" w:rsidP="004F47BB">
      <w:pPr>
        <w:tabs>
          <w:tab w:val="left" w:pos="1134"/>
        </w:tabs>
        <w:autoSpaceDE/>
        <w:autoSpaceDN/>
        <w:spacing w:line="240" w:lineRule="atLeast"/>
        <w:ind w:left="1134" w:hanging="709"/>
        <w:rPr>
          <w:rFonts w:cs="Arial"/>
          <w:color w:val="000000"/>
          <w:szCs w:val="20"/>
        </w:rPr>
      </w:pPr>
    </w:p>
    <w:p w:rsidR="004F47BB" w:rsidRPr="004F47BB" w:rsidRDefault="004F47BB" w:rsidP="004F47BB">
      <w:pPr>
        <w:spacing w:line="240" w:lineRule="atLeast"/>
        <w:ind w:left="567" w:hanging="567"/>
      </w:pPr>
      <w:r>
        <w:t>3.1.1</w:t>
      </w:r>
      <w:r>
        <w:tab/>
        <w:t>Le misure di trasformazione che si rendono necessarie per conformarsi ai requisiti del capo 19, indipendentemente da quando vengono eseguite, non costituiscono una trasformazione "C" ai sensi dell'articolo 32.02, paragrafo 2, dell'articolo 32.03, paragrafo 1 o dell'articolo 32.05, paragrafo 5, rispettivamente articolo 33.02, articolo 33.03, della presente norma.</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3.1.2</w:t>
      </w:r>
      <w:r>
        <w:tab/>
        <w:t>Nel caso della trasformazione di una nave cabinata in un battello per escursioni giornaliere, tutte le nuove parti devono soddisfare pienamente i requisiti vigenti.</w:t>
      </w:r>
    </w:p>
    <w:p w:rsidR="004F47BB" w:rsidRPr="004F47BB" w:rsidRDefault="004F47BB" w:rsidP="004F47BB">
      <w:pPr>
        <w:spacing w:line="240" w:lineRule="atLeast"/>
        <w:ind w:left="567" w:hanging="567"/>
        <w:rPr>
          <w:rFonts w:cs="Arial"/>
          <w:b/>
          <w:color w:val="000000"/>
          <w:szCs w:val="20"/>
        </w:rPr>
      </w:pPr>
    </w:p>
    <w:p w:rsidR="004F47BB" w:rsidRPr="004F47BB" w:rsidRDefault="004F47BB" w:rsidP="004F47BB">
      <w:pPr>
        <w:spacing w:line="240" w:lineRule="atLeast"/>
        <w:ind w:left="567" w:hanging="567"/>
        <w:rPr>
          <w:rFonts w:cs="Arial"/>
          <w:b/>
          <w:color w:val="000000"/>
          <w:szCs w:val="20"/>
        </w:rPr>
      </w:pPr>
      <w:r>
        <w:rPr>
          <w:b/>
          <w:color w:val="000000"/>
        </w:rPr>
        <w:t>3.2</w:t>
      </w:r>
      <w:r>
        <w:tab/>
      </w:r>
      <w:r>
        <w:rPr>
          <w:b/>
          <w:color w:val="000000"/>
        </w:rPr>
        <w:t xml:space="preserve">Esempi </w:t>
      </w:r>
    </w:p>
    <w:p w:rsidR="004F47BB" w:rsidRPr="004F47BB" w:rsidRDefault="004F47BB" w:rsidP="004F47BB">
      <w:pPr>
        <w:tabs>
          <w:tab w:val="left" w:pos="1134"/>
        </w:tabs>
        <w:autoSpaceDE/>
        <w:autoSpaceDN/>
        <w:spacing w:line="240" w:lineRule="atLeast"/>
        <w:ind w:left="1134" w:hanging="709"/>
        <w:rPr>
          <w:rFonts w:cs="Arial"/>
          <w:color w:val="000000"/>
          <w:szCs w:val="20"/>
        </w:rPr>
      </w:pPr>
    </w:p>
    <w:p w:rsidR="004F47BB" w:rsidRPr="004F47BB" w:rsidRDefault="004F47BB" w:rsidP="004F47BB">
      <w:pPr>
        <w:spacing w:line="240" w:lineRule="atLeast"/>
        <w:ind w:left="567" w:hanging="567"/>
      </w:pPr>
      <w:r>
        <w:t>3.2.1</w:t>
      </w:r>
      <w:r>
        <w:tab/>
        <w:t>Una nave passeggeri (anno di costruzione 1995) deve avere un secondo sistema di propulsione indipendente installato al più tardi entro il 1° gennaio 2015. Se non sono effettuate altre trasformazioni intenzionali su una nave passeggeri, non è necessario eseguire un calcolo di stabilità in conformità dei nuovi requisiti, ma se vi è la necessità oggettiva di farlo, un calcolo di stabilità può essere effettuato in conformità dei requisiti di stabilità originali del RVIR o di uno Stato membro.</w:t>
      </w:r>
    </w:p>
    <w:p w:rsidR="004F47BB" w:rsidRPr="004F47BB" w:rsidRDefault="004F47BB" w:rsidP="004F47BB">
      <w:pPr>
        <w:tabs>
          <w:tab w:val="left" w:pos="1134"/>
        </w:tabs>
        <w:autoSpaceDE/>
        <w:autoSpaceDN/>
        <w:spacing w:line="240" w:lineRule="atLeast"/>
        <w:ind w:left="1134" w:hanging="709"/>
        <w:rPr>
          <w:rFonts w:cs="Arial"/>
          <w:color w:val="000000"/>
          <w:szCs w:val="20"/>
        </w:rPr>
      </w:pPr>
      <w:r>
        <w:br w:type="page"/>
      </w:r>
    </w:p>
    <w:p w:rsidR="004F47BB" w:rsidRPr="004F47BB" w:rsidRDefault="004F47BB" w:rsidP="004F47BB">
      <w:pPr>
        <w:spacing w:line="240" w:lineRule="atLeast"/>
        <w:ind w:left="567" w:hanging="567"/>
      </w:pPr>
      <w:r>
        <w:lastRenderedPageBreak/>
        <w:t>3.2.2</w:t>
      </w:r>
      <w:r>
        <w:tab/>
        <w:t>Una nave da passeggeri (anno di costruzione 1994, certificato per la navigazione interna rinnovato l'ultima volta nel 2012) verrà allungata di 10 metri nel 2016. Inoltre, tale imbarcazione dovrà ricevere un secondo sistema di propulsione indipendente. Si renderà anche necessario un nuovo calcolo di stabilità, che dovrà essere eseguito a norma del capo 19 per la compartimentazione 1 e la compartimentazione 2.</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r>
        <w:t>3.2.3</w:t>
      </w:r>
      <w:r>
        <w:tab/>
        <w:t>Una nave passeggeri (anno di costruzione 1988) riceve un sistema di propulsione più potente incluse le eliche. Si tratta di una trasformazione così importante da rendere necessario un calcolo di stabilità. Esso deve essere eseguito in conformità ai requisiti in vigore.</w:t>
      </w:r>
    </w:p>
    <w:p w:rsidR="004F47BB" w:rsidRPr="004F47BB" w:rsidRDefault="004F47BB" w:rsidP="004F47BB">
      <w:pPr>
        <w:spacing w:line="240" w:lineRule="atLeast"/>
        <w:ind w:left="567" w:hanging="567"/>
      </w:pPr>
    </w:p>
    <w:p w:rsidR="004F47BB" w:rsidRPr="004F47BB" w:rsidRDefault="004F47BB" w:rsidP="004F47BB">
      <w:pPr>
        <w:spacing w:line="240" w:lineRule="atLeast"/>
        <w:ind w:left="567" w:hanging="567"/>
      </w:pPr>
    </w:p>
    <w:p w:rsidR="004F47BB" w:rsidRPr="004F47BB" w:rsidRDefault="004F47BB" w:rsidP="004F47BB">
      <w:pPr>
        <w:widowControl w:val="0"/>
        <w:overflowPunct w:val="0"/>
        <w:adjustRightInd w:val="0"/>
        <w:spacing w:line="240" w:lineRule="atLeast"/>
        <w:ind w:left="0" w:firstLine="0"/>
        <w:textAlignment w:val="baseline"/>
        <w:rPr>
          <w:rFonts w:cs="Arial"/>
          <w:snapToGrid w:val="0"/>
          <w:szCs w:val="20"/>
        </w:rPr>
      </w:pPr>
    </w:p>
    <w:p w:rsidR="004F47BB" w:rsidRPr="004F47BB" w:rsidRDefault="004F47BB" w:rsidP="004F47BB">
      <w:pPr>
        <w:spacing w:line="240" w:lineRule="atLeast"/>
        <w:ind w:left="567" w:hanging="567"/>
      </w:pPr>
    </w:p>
    <w:p w:rsidR="004F47BB" w:rsidRPr="004F47BB" w:rsidRDefault="004F47BB" w:rsidP="004F47BB">
      <w:pPr>
        <w:overflowPunct w:val="0"/>
        <w:adjustRightInd w:val="0"/>
        <w:ind w:left="0" w:firstLine="0"/>
        <w:jc w:val="left"/>
        <w:textAlignment w:val="baseline"/>
        <w:rPr>
          <w:rFonts w:cs="Arial"/>
          <w:szCs w:val="20"/>
        </w:rPr>
      </w:pPr>
    </w:p>
    <w:p w:rsidR="004F47BB" w:rsidRPr="004F47BB" w:rsidRDefault="004F47BB" w:rsidP="004F47BB">
      <w:pPr>
        <w:spacing w:line="240" w:lineRule="atLeast"/>
        <w:ind w:left="0" w:firstLine="0"/>
        <w:rPr>
          <w:rFonts w:cs="Arial"/>
          <w:noProof/>
          <w:szCs w:val="20"/>
        </w:rPr>
      </w:pPr>
    </w:p>
    <w:p w:rsidR="004F47BB" w:rsidRPr="004F47BB" w:rsidRDefault="004F47BB" w:rsidP="004F47BB">
      <w:pPr>
        <w:tabs>
          <w:tab w:val="center" w:pos="7797"/>
        </w:tabs>
        <w:ind w:right="288"/>
      </w:pPr>
    </w:p>
    <w:p w:rsidR="002908AA" w:rsidRDefault="002908AA" w:rsidP="002908AA">
      <w:pPr>
        <w:pStyle w:val="ESgauche"/>
      </w:pPr>
    </w:p>
    <w:p w:rsidR="004F47BB" w:rsidRDefault="004F47BB" w:rsidP="002908AA">
      <w:pPr>
        <w:pStyle w:val="ESgauche"/>
      </w:pPr>
    </w:p>
    <w:p w:rsidR="004F47BB" w:rsidRPr="001B543F" w:rsidRDefault="004F47BB" w:rsidP="002908AA">
      <w:pPr>
        <w:pStyle w:val="ESgauche"/>
      </w:pPr>
    </w:p>
    <w:p w:rsidR="002908AA" w:rsidRPr="001B543F" w:rsidRDefault="002908AA" w:rsidP="00973DAA">
      <w:pPr>
        <w:pStyle w:val="ESch"/>
      </w:pPr>
    </w:p>
    <w:sectPr w:rsidR="002908AA" w:rsidRPr="001B543F" w:rsidSect="00AC5CC1">
      <w:headerReference w:type="first" r:id="rId149"/>
      <w:footnotePr>
        <w:numRestart w:val="eachPage"/>
      </w:footnotePr>
      <w:pgSz w:w="11906" w:h="16838" w:code="9"/>
      <w:pgMar w:top="1418" w:right="1418" w:bottom="1418" w:left="1418" w:header="709" w:footer="709" w:gutter="0"/>
      <w:cols w:space="709"/>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01F1F" w:rsidRDefault="00801F1F">
      <w:r>
        <w:separator/>
      </w:r>
    </w:p>
  </w:endnote>
  <w:endnote w:type="continuationSeparator" w:id="0">
    <w:p w:rsidR="00801F1F" w:rsidRDefault="00801F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Arial Gras">
    <w:panose1 w:val="00000000000000000000"/>
    <w:charset w:val="00"/>
    <w:family w:val="roman"/>
    <w:notTrueType/>
    <w:pitch w:val="default"/>
  </w:font>
  <w:font w:name="CG Times">
    <w:panose1 w:val="00000000000000000000"/>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G Times (W1)">
    <w:altName w:val="Times New Roman"/>
    <w:charset w:val="00"/>
    <w:family w:val="roman"/>
    <w:pitch w:val="variable"/>
  </w:font>
  <w:font w:name="Times">
    <w:panose1 w:val="02020603050405020304"/>
    <w:charset w:val="00"/>
    <w:family w:val="roman"/>
    <w:pitch w:val="variable"/>
    <w:sig w:usb0="E0002EFF" w:usb1="C000785B" w:usb2="00000009" w:usb3="00000000" w:csb0="000001FF" w:csb1="00000000"/>
  </w:font>
  <w:font w:name="Liberation Sans">
    <w:altName w:val="Arial"/>
    <w:charset w:val="00"/>
    <w:family w:val="swiss"/>
    <w:pitch w:val="default"/>
  </w:font>
  <w:font w:name="Lucida Sans Unicode">
    <w:panose1 w:val="020B0602030504020204"/>
    <w:charset w:val="00"/>
    <w:family w:val="swiss"/>
    <w:pitch w:val="variable"/>
    <w:sig w:usb0="80000AFF" w:usb1="0000396B" w:usb2="00000000" w:usb3="00000000" w:csb0="000000BF" w:csb1="00000000"/>
  </w:font>
  <w:font w:name="EU 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 w:name="ArialMT">
    <w:panose1 w:val="00000000000000000000"/>
    <w:charset w:val="00"/>
    <w:family w:val="swiss"/>
    <w:notTrueType/>
    <w:pitch w:val="default"/>
    <w:sig w:usb0="00000003" w:usb1="00000000" w:usb2="00000000" w:usb3="00000000" w:csb0="00000001" w:csb1="00000000"/>
  </w:font>
  <w:font w:name="TimesNewRoman">
    <w:altName w:val="Arial Unicode MS"/>
    <w:panose1 w:val="00000000000000000000"/>
    <w:charset w:val="80"/>
    <w:family w:val="auto"/>
    <w:notTrueType/>
    <w:pitch w:val="default"/>
    <w:sig w:usb0="00000000" w:usb1="08070000" w:usb2="00000010" w:usb3="00000000" w:csb0="0002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E1027C">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ii</w:t>
    </w:r>
    <w:r w:rsidRPr="006B1D78">
      <w:rPr>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2C44F2">
    <w:pPr>
      <w:widowControl w:val="0"/>
      <w:pBdr>
        <w:top w:val="single" w:sz="6" w:space="1" w:color="auto"/>
      </w:pBdr>
      <w:tabs>
        <w:tab w:val="right" w:pos="9000"/>
      </w:tabs>
      <w:autoSpaceDE/>
      <w:autoSpaceDN/>
      <w:spacing w:line="240" w:lineRule="atLeast"/>
      <w:rPr>
        <w:sz w:val="16"/>
        <w:szCs w:val="16"/>
      </w:rPr>
    </w:pPr>
    <w:r>
      <w:rPr>
        <w:sz w:val="16"/>
      </w:rPr>
      <w:t>Edizione 2017/1</w:t>
    </w: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C4D54">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59</w:t>
    </w:r>
    <w:r w:rsidRPr="006B1D78">
      <w:rPr>
        <w:sz w:val="16"/>
        <w:szCs w:val="16"/>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EF4E24">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28</w:t>
    </w:r>
    <w:r w:rsidRPr="006B1D78">
      <w:rPr>
        <w:sz w:val="16"/>
        <w:szCs w:val="16"/>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A30C54" w:rsidRDefault="00801F1F" w:rsidP="001E2331">
    <w:pPr>
      <w:widowControl w:val="0"/>
      <w:pBdr>
        <w:top w:val="single" w:sz="6" w:space="1" w:color="auto"/>
      </w:pBdr>
      <w:tabs>
        <w:tab w:val="right" w:pos="13892"/>
      </w:tabs>
      <w:autoSpaceDE/>
      <w:autoSpaceDN/>
      <w:spacing w:line="240" w:lineRule="atLeast"/>
      <w:rPr>
        <w:sz w:val="16"/>
        <w:szCs w:val="16"/>
      </w:rPr>
    </w:pPr>
    <w:r>
      <w:rPr>
        <w:sz w:val="16"/>
      </w:rPr>
      <w:t>Edizione 2017/1</w:t>
    </w:r>
    <w:r>
      <w:tab/>
    </w:r>
    <w:r>
      <w:rPr>
        <w:sz w:val="16"/>
      </w:rPr>
      <w:t xml:space="preserve">Pagina </w:t>
    </w:r>
    <w:r w:rsidRPr="00A30C54">
      <w:rPr>
        <w:sz w:val="16"/>
        <w:szCs w:val="16"/>
      </w:rPr>
      <w:fldChar w:fldCharType="begin"/>
    </w:r>
    <w:r w:rsidRPr="00A30C54">
      <w:rPr>
        <w:sz w:val="16"/>
        <w:szCs w:val="16"/>
      </w:rPr>
      <w:instrText xml:space="preserve"> PAGE </w:instrText>
    </w:r>
    <w:r w:rsidRPr="00A30C54">
      <w:rPr>
        <w:sz w:val="16"/>
        <w:szCs w:val="16"/>
      </w:rPr>
      <w:fldChar w:fldCharType="separate"/>
    </w:r>
    <w:r w:rsidR="00624017">
      <w:rPr>
        <w:noProof/>
        <w:sz w:val="16"/>
        <w:szCs w:val="16"/>
      </w:rPr>
      <w:t>288</w:t>
    </w:r>
    <w:r w:rsidRPr="00A30C54">
      <w:rPr>
        <w:sz w:val="16"/>
        <w:szCs w:val="16"/>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A30C54" w:rsidRDefault="00801F1F" w:rsidP="001E2331">
    <w:pPr>
      <w:widowControl w:val="0"/>
      <w:pBdr>
        <w:top w:val="single" w:sz="6" w:space="1" w:color="auto"/>
      </w:pBdr>
      <w:tabs>
        <w:tab w:val="right" w:pos="13892"/>
      </w:tabs>
      <w:autoSpaceDE/>
      <w:autoSpaceDN/>
      <w:spacing w:line="240" w:lineRule="atLeast"/>
      <w:rPr>
        <w:sz w:val="16"/>
        <w:szCs w:val="16"/>
      </w:rPr>
    </w:pPr>
    <w:r>
      <w:rPr>
        <w:sz w:val="16"/>
      </w:rPr>
      <w:t>Edizione 2017/1</w:t>
    </w:r>
    <w:r>
      <w:tab/>
    </w:r>
    <w:r>
      <w:rPr>
        <w:sz w:val="16"/>
      </w:rPr>
      <w:t xml:space="preserve">Pagina </w:t>
    </w:r>
    <w:r w:rsidRPr="00A30C54">
      <w:rPr>
        <w:sz w:val="16"/>
        <w:szCs w:val="16"/>
      </w:rPr>
      <w:fldChar w:fldCharType="begin"/>
    </w:r>
    <w:r w:rsidRPr="00A30C54">
      <w:rPr>
        <w:sz w:val="16"/>
        <w:szCs w:val="16"/>
      </w:rPr>
      <w:instrText xml:space="preserve"> PAGE </w:instrText>
    </w:r>
    <w:r w:rsidRPr="00A30C54">
      <w:rPr>
        <w:sz w:val="16"/>
        <w:szCs w:val="16"/>
      </w:rPr>
      <w:fldChar w:fldCharType="separate"/>
    </w:r>
    <w:r w:rsidR="00624017">
      <w:rPr>
        <w:noProof/>
        <w:sz w:val="16"/>
        <w:szCs w:val="16"/>
      </w:rPr>
      <w:t>262</w:t>
    </w:r>
    <w:r w:rsidRPr="00A30C54">
      <w:rPr>
        <w:sz w:val="16"/>
        <w:szCs w:val="16"/>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B405CE">
    <w:pPr>
      <w:widowControl w:val="0"/>
      <w:pBdr>
        <w:top w:val="single" w:sz="6" w:space="1" w:color="auto"/>
      </w:pBdr>
      <w:tabs>
        <w:tab w:val="right" w:pos="13892"/>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264</w:t>
    </w:r>
    <w:r w:rsidRPr="006B1D78">
      <w:rPr>
        <w:sz w:val="16"/>
        <w:szCs w:val="16"/>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C4D54">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290</w:t>
    </w:r>
    <w:r w:rsidRPr="006B1D78">
      <w:rPr>
        <w:sz w:val="16"/>
        <w:szCs w:val="16"/>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EF4E24">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289</w:t>
    </w:r>
    <w:r w:rsidRPr="006B1D78">
      <w:rPr>
        <w:sz w:val="16"/>
        <w:szCs w:val="16"/>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9C13A9">
    <w:pPr>
      <w:widowControl w:val="0"/>
      <w:pBdr>
        <w:top w:val="single" w:sz="6" w:space="1" w:color="auto"/>
      </w:pBdr>
      <w:tabs>
        <w:tab w:val="right" w:pos="9072"/>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294</w:t>
    </w:r>
    <w:r w:rsidRPr="006B1D78">
      <w:rPr>
        <w:sz w:val="16"/>
        <w:szCs w:val="16"/>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C4D54">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297</w:t>
    </w:r>
    <w:r w:rsidRPr="006B1D78">
      <w:rPr>
        <w:sz w:val="16"/>
        <w:szCs w:val="16"/>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9C13A9">
    <w:pPr>
      <w:widowControl w:val="0"/>
      <w:pBdr>
        <w:top w:val="single" w:sz="6" w:space="1" w:color="auto"/>
      </w:pBdr>
      <w:tabs>
        <w:tab w:val="right" w:pos="9072"/>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318</w:t>
    </w:r>
    <w:r w:rsidRPr="006B1D78">
      <w:rPr>
        <w:sz w:val="16"/>
        <w:szCs w:val="16"/>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1865DF">
    <w:pPr>
      <w:widowControl w:val="0"/>
      <w:pBdr>
        <w:top w:val="single" w:sz="6" w:space="1" w:color="auto"/>
      </w:pBdr>
      <w:tabs>
        <w:tab w:val="right" w:pos="14034"/>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321</w:t>
    </w:r>
    <w:r w:rsidRPr="006B1D78">
      <w:rPr>
        <w:sz w:val="16"/>
        <w:szCs w:val="16"/>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9C13A9">
    <w:pPr>
      <w:widowControl w:val="0"/>
      <w:pBdr>
        <w:top w:val="single" w:sz="6" w:space="1" w:color="auto"/>
      </w:pBdr>
      <w:tabs>
        <w:tab w:val="right" w:pos="9072"/>
      </w:tabs>
      <w:autoSpaceDE/>
      <w:autoSpaceDN/>
      <w:spacing w:line="240" w:lineRule="atLeast"/>
      <w:rPr>
        <w:sz w:val="16"/>
        <w:szCs w:val="16"/>
      </w:rPr>
    </w:pPr>
    <w:r>
      <w:rPr>
        <w:sz w:val="16"/>
      </w:rPr>
      <w:t>Edizione 1.0 – Settembre 2014</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23</w:t>
    </w:r>
    <w:r w:rsidRPr="006B1D78">
      <w:rPr>
        <w:sz w:val="16"/>
        <w:szCs w:val="16"/>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C4D54">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327</w:t>
    </w:r>
    <w:r w:rsidRPr="006B1D78">
      <w:rPr>
        <w:sz w:val="16"/>
        <w:szCs w:val="16"/>
      </w:rP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C4D54">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355</w:t>
    </w:r>
    <w:r w:rsidRPr="006B1D78">
      <w:rPr>
        <w:sz w:val="16"/>
        <w:szCs w:val="16"/>
      </w:rPr>
      <w:fldChar w:fldCharType="end"/>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C4D54">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359</w:t>
    </w:r>
    <w:r w:rsidRPr="006B1D78">
      <w:rPr>
        <w:sz w:val="16"/>
        <w:szCs w:val="16"/>
      </w:rP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C4D54">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373</w:t>
    </w:r>
    <w:r w:rsidRPr="006B1D78">
      <w:rPr>
        <w:sz w:val="16"/>
        <w:szCs w:val="16"/>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9C13A9">
    <w:pPr>
      <w:widowControl w:val="0"/>
      <w:pBdr>
        <w:top w:val="single" w:sz="6" w:space="1" w:color="auto"/>
      </w:pBdr>
      <w:tabs>
        <w:tab w:val="right" w:pos="13892"/>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375</w:t>
    </w:r>
    <w:r w:rsidRPr="006B1D78">
      <w:rPr>
        <w:sz w:val="16"/>
        <w:szCs w:val="16"/>
      </w:rPr>
      <w:fldChar w:fldCharType="end"/>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9C13A9">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377</w:t>
    </w:r>
    <w:r w:rsidRPr="006B1D78">
      <w:rPr>
        <w:sz w:val="16"/>
        <w:szCs w:val="16"/>
      </w:rPr>
      <w:fldChar w:fldCharType="end"/>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9C13A9">
    <w:pPr>
      <w:widowControl w:val="0"/>
      <w:pBdr>
        <w:top w:val="single" w:sz="6" w:space="1" w:color="auto"/>
      </w:pBdr>
      <w:tabs>
        <w:tab w:val="right" w:pos="13892"/>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379</w:t>
    </w:r>
    <w:r w:rsidRPr="006B1D78">
      <w:rPr>
        <w:sz w:val="16"/>
        <w:szCs w:val="16"/>
      </w:rPr>
      <w:fldChar w:fldCharType="end"/>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9C13A9">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383</w:t>
    </w:r>
    <w:r w:rsidRPr="006B1D78">
      <w:rPr>
        <w:sz w:val="16"/>
        <w:szCs w:val="16"/>
      </w:rPr>
      <w:fldChar w:fldCharType="end"/>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9C13A9">
    <w:pPr>
      <w:widowControl w:val="0"/>
      <w:pBdr>
        <w:top w:val="single" w:sz="6" w:space="1" w:color="auto"/>
      </w:pBdr>
      <w:tabs>
        <w:tab w:val="right" w:pos="9000"/>
      </w:tabs>
      <w:autoSpaceDE/>
      <w:autoSpaceDN/>
      <w:spacing w:line="240" w:lineRule="atLeast"/>
      <w:rPr>
        <w:sz w:val="16"/>
        <w:szCs w:val="16"/>
      </w:rPr>
    </w:pPr>
    <w:r>
      <w:rPr>
        <w:sz w:val="16"/>
      </w:rPr>
      <w:t>Edizione 1.0 – Settembre 2014</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95</w:t>
    </w:r>
    <w:r w:rsidRPr="006B1D78">
      <w:rPr>
        <w:sz w:val="16"/>
        <w:szCs w:val="16"/>
      </w:rPr>
      <w:fldChar w:fldCharType="end"/>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C4D54">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412</w:t>
    </w:r>
    <w:r w:rsidRPr="006B1D78">
      <w:rPr>
        <w:sz w:val="16"/>
        <w:szCs w:val="16"/>
      </w:rPr>
      <w:fldChar w:fldCharType="end"/>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EF4E24">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413</w:t>
    </w:r>
    <w:r w:rsidRPr="006B1D78">
      <w:rPr>
        <w:sz w:val="16"/>
        <w:szCs w:val="16"/>
      </w:rPr>
      <w:fldChar w:fldCharType="end"/>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45887">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439</w:t>
    </w:r>
    <w:r w:rsidRPr="006B1D78">
      <w:rPr>
        <w:sz w:val="16"/>
        <w:szCs w:val="16"/>
      </w:rPr>
      <w:fldChar w:fldCharType="end"/>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45887">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397</w:t>
    </w:r>
    <w:r w:rsidRPr="006B1D78">
      <w:rPr>
        <w:sz w:val="16"/>
        <w:szCs w:val="16"/>
      </w:rPr>
      <w:fldChar w:fldCharType="end"/>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45887">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399</w:t>
    </w:r>
    <w:r w:rsidRPr="006B1D78">
      <w:rPr>
        <w:sz w:val="16"/>
        <w:szCs w:val="16"/>
      </w:rPr>
      <w:fldChar w:fldCharType="end"/>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45887">
    <w:pPr>
      <w:widowControl w:val="0"/>
      <w:pBdr>
        <w:top w:val="single" w:sz="6" w:space="0"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405</w:t>
    </w:r>
    <w:r w:rsidRPr="006B1D78">
      <w:rPr>
        <w:sz w:val="16"/>
        <w:szCs w:val="16"/>
      </w:rPr>
      <w:fldChar w:fldCharType="end"/>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45887">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415</w:t>
    </w:r>
    <w:r w:rsidRPr="006B1D78">
      <w:rPr>
        <w:sz w:val="16"/>
        <w:szCs w:val="16"/>
      </w:rPr>
      <w:fldChar w:fldCharType="end"/>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45887">
    <w:pPr>
      <w:widowControl w:val="0"/>
      <w:pBdr>
        <w:top w:val="single" w:sz="6" w:space="1" w:color="auto"/>
      </w:pBdr>
      <w:tabs>
        <w:tab w:val="right" w:pos="14034"/>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418</w:t>
    </w:r>
    <w:r w:rsidRPr="006B1D78">
      <w:rPr>
        <w:sz w:val="16"/>
        <w:szCs w:val="16"/>
      </w:rPr>
      <w:fldChar w:fldCharType="end"/>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45887">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437</w:t>
    </w:r>
    <w:r w:rsidRPr="006B1D78">
      <w:rPr>
        <w:sz w:val="16"/>
        <w:szCs w:val="16"/>
      </w:rPr>
      <w:fldChar w:fldCharType="end"/>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45887">
    <w:pPr>
      <w:widowControl w:val="0"/>
      <w:pBdr>
        <w:top w:val="single" w:sz="6" w:space="1" w:color="auto"/>
      </w:pBdr>
      <w:tabs>
        <w:tab w:val="right" w:pos="9000"/>
      </w:tabs>
      <w:autoSpaceDE/>
      <w:autoSpaceDN/>
      <w:spacing w:line="240" w:lineRule="atLeast"/>
      <w:rPr>
        <w:sz w:val="16"/>
        <w:szCs w:val="16"/>
      </w:rPr>
    </w:pPr>
    <w:r>
      <w:rPr>
        <w:sz w:val="16"/>
      </w:rPr>
      <w:t>Edizione 1.1 – Dicembre 2014</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43</w:t>
    </w:r>
    <w:r w:rsidRPr="006B1D78">
      <w:rPr>
        <w:sz w:val="16"/>
        <w:szCs w:val="16"/>
      </w:rPr>
      <w:fldChar w:fldCharType="end"/>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D45887">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440</w:t>
    </w:r>
    <w:r w:rsidRPr="006B1D78">
      <w:rPr>
        <w:sz w:val="16"/>
        <w:szCs w:val="16"/>
      </w:rPr>
      <w:fldChar w:fldCharType="end"/>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6B1D78" w:rsidRDefault="00801F1F" w:rsidP="00D45887">
    <w:pPr>
      <w:widowControl w:val="0"/>
      <w:pBdr>
        <w:top w:val="single" w:sz="6" w:space="1" w:color="auto"/>
      </w:pBdr>
      <w:tabs>
        <w:tab w:val="right" w:pos="9072"/>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624017">
      <w:rPr>
        <w:noProof/>
        <w:sz w:val="16"/>
        <w:szCs w:val="16"/>
      </w:rPr>
      <w:t>461</w:t>
    </w:r>
    <w:r w:rsidRPr="006B1D78">
      <w:rPr>
        <w:sz w:val="16"/>
        <w:szCs w:val="16"/>
      </w:rPr>
      <w:fldChar w:fldCharType="end"/>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B8070E" w:rsidRDefault="00801F1F" w:rsidP="00EF4E24">
    <w:pPr>
      <w:widowControl w:val="0"/>
      <w:pBdr>
        <w:top w:val="single" w:sz="6" w:space="1" w:color="auto"/>
      </w:pBdr>
      <w:tabs>
        <w:tab w:val="right" w:pos="9000"/>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624017">
      <w:rPr>
        <w:noProof/>
        <w:sz w:val="16"/>
        <w:szCs w:val="16"/>
      </w:rPr>
      <w:t>506</w:t>
    </w:r>
    <w:r w:rsidRPr="006B1D78">
      <w:rPr>
        <w:sz w:val="16"/>
        <w:szCs w:val="16"/>
      </w:rPr>
      <w:fldChar w:fldCharType="end"/>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6B1D78" w:rsidRDefault="00801F1F" w:rsidP="00D45887">
    <w:pPr>
      <w:widowControl w:val="0"/>
      <w:pBdr>
        <w:top w:val="single" w:sz="6" w:space="1" w:color="auto"/>
      </w:pBdr>
      <w:tabs>
        <w:tab w:val="right" w:pos="14034"/>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624017">
      <w:rPr>
        <w:noProof/>
        <w:sz w:val="16"/>
        <w:szCs w:val="16"/>
      </w:rPr>
      <w:t>463</w:t>
    </w:r>
    <w:r w:rsidRPr="006B1D78">
      <w:rPr>
        <w:sz w:val="16"/>
        <w:szCs w:val="16"/>
      </w:rPr>
      <w:fldChar w:fldCharType="end"/>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6B1D78" w:rsidRDefault="00801F1F" w:rsidP="00D45887">
    <w:pPr>
      <w:widowControl w:val="0"/>
      <w:pBdr>
        <w:top w:val="single" w:sz="6" w:space="1" w:color="auto"/>
      </w:pBdr>
      <w:tabs>
        <w:tab w:val="right" w:pos="9072"/>
      </w:tabs>
      <w:autoSpaceDE/>
      <w:autoSpaceDN/>
      <w:spacing w:line="240" w:lineRule="atLeast"/>
      <w:rPr>
        <w:sz w:val="16"/>
        <w:szCs w:val="16"/>
      </w:rPr>
    </w:pPr>
    <w:r>
      <w:rPr>
        <w:sz w:val="16"/>
      </w:rPr>
      <w:t>Edizione 2017/1</w:t>
    </w:r>
    <w:r>
      <w:tab/>
    </w:r>
    <w:r>
      <w:rPr>
        <w:sz w:val="16"/>
      </w:rPr>
      <w:t xml:space="preserve">Pagina </w:t>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624017">
      <w:rPr>
        <w:noProof/>
        <w:sz w:val="16"/>
        <w:szCs w:val="16"/>
      </w:rPr>
      <w:t>509</w:t>
    </w:r>
    <w:r w:rsidRPr="006B1D78">
      <w:rPr>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01F1F" w:rsidRDefault="00801F1F">
      <w:r>
        <w:separator/>
      </w:r>
    </w:p>
  </w:footnote>
  <w:footnote w:type="continuationSeparator" w:id="0">
    <w:p w:rsidR="00801F1F" w:rsidRDefault="00801F1F">
      <w:r>
        <w:continuationSeparator/>
      </w:r>
    </w:p>
  </w:footnote>
  <w:footnote w:id="1">
    <w:p w:rsidR="00801F1F" w:rsidRPr="00762086" w:rsidRDefault="00801F1F" w:rsidP="00881510">
      <w:pPr>
        <w:pStyle w:val="FootnoteText"/>
        <w:ind w:left="284" w:hanging="284"/>
        <w:rPr>
          <w:sz w:val="16"/>
          <w:szCs w:val="16"/>
        </w:rPr>
      </w:pPr>
      <w:r>
        <w:rPr>
          <w:rStyle w:val="FootnoteReference"/>
          <w:sz w:val="16"/>
        </w:rPr>
        <w:footnoteRef/>
      </w:r>
      <w:r>
        <w:rPr>
          <w:sz w:val="16"/>
        </w:rPr>
        <w:t xml:space="preserve"> </w:t>
      </w:r>
      <w:r>
        <w:tab/>
      </w:r>
      <w:r>
        <w:rPr>
          <w:sz w:val="16"/>
        </w:rPr>
        <w:t xml:space="preserve">MSC.307(88) adottata il 3 dicembre 2010 - </w:t>
      </w:r>
      <w:r>
        <w:rPr>
          <w:i/>
          <w:sz w:val="16"/>
        </w:rPr>
        <w:t>International Code for Application of Fire Test Procedures</w:t>
      </w:r>
      <w:r>
        <w:rPr>
          <w:sz w:val="16"/>
        </w:rPr>
        <w:t xml:space="preserve"> (Codice internazionale per l'applicazione delle procedure per le prove antincendio).</w:t>
      </w:r>
    </w:p>
  </w:footnote>
  <w:footnote w:id="2">
    <w:p w:rsidR="00801F1F" w:rsidRPr="00762086" w:rsidRDefault="00801F1F" w:rsidP="00881510">
      <w:pPr>
        <w:pStyle w:val="FootnoteText"/>
        <w:spacing w:before="20" w:line="220" w:lineRule="atLeast"/>
        <w:ind w:left="284" w:hanging="284"/>
        <w:rPr>
          <w:rFonts w:cs="Arial"/>
          <w:sz w:val="16"/>
          <w:szCs w:val="16"/>
        </w:rPr>
      </w:pPr>
      <w:r>
        <w:rPr>
          <w:rStyle w:val="FootnoteReference"/>
          <w:sz w:val="16"/>
        </w:rPr>
        <w:footnoteRef/>
      </w:r>
      <w:r>
        <w:rPr>
          <w:sz w:val="16"/>
          <w:vertAlign w:val="superscript"/>
        </w:rPr>
        <w:t xml:space="preserve"> </w:t>
      </w:r>
      <w:r>
        <w:tab/>
      </w:r>
      <w:r>
        <w:rPr>
          <w:i/>
          <w:sz w:val="16"/>
        </w:rPr>
        <w:t>Vessel Tracking and Tracing Standard for Inland Navigation standard</w:t>
      </w:r>
      <w:r>
        <w:rPr>
          <w:sz w:val="16"/>
        </w:rPr>
        <w:t xml:space="preserve"> (Norma sulla localizzazione e il monitoraggio di natanti per navigazione interna), edizione 1.2; risoluzione CCNR 2013-I-23 del 29 maggio 2013.</w:t>
      </w:r>
    </w:p>
  </w:footnote>
  <w:footnote w:id="3">
    <w:p w:rsidR="00801F1F" w:rsidRPr="00762086" w:rsidRDefault="00801F1F" w:rsidP="00881510">
      <w:pPr>
        <w:pStyle w:val="FootnoteText"/>
        <w:spacing w:before="20" w:line="220" w:lineRule="atLeast"/>
        <w:ind w:left="284" w:hanging="284"/>
        <w:rPr>
          <w:sz w:val="16"/>
          <w:szCs w:val="16"/>
        </w:rPr>
      </w:pPr>
      <w:r>
        <w:rPr>
          <w:rStyle w:val="FootnoteReference"/>
          <w:sz w:val="16"/>
        </w:rPr>
        <w:footnoteRef/>
      </w:r>
      <w:r>
        <w:rPr>
          <w:sz w:val="16"/>
          <w:vertAlign w:val="superscript"/>
        </w:rPr>
        <w:t xml:space="preserve"> </w:t>
      </w:r>
      <w:r>
        <w:tab/>
      </w:r>
      <w:r>
        <w:rPr>
          <w:sz w:val="16"/>
        </w:rPr>
        <w:t>Regolamento di esecuzione (UE) n. 689/2012 della Commissione, del 27 luglio 2012, relativo alla modifica del regolamento (CE) n. 415/2007 relativo alle specifiche tecniche per i sistemi di localizzazione e monitoraggio dei natanti di cui all'articolo 5 della direttiva 2005/44/CE del Parlamento europeo e del Consiglio relativa ai servizi armonizzati d'informazione fluviale (RIS) sulle vie navigabili interne della Comunità (GU L 202 del 28.7.2012).</w:t>
      </w:r>
    </w:p>
  </w:footnote>
  <w:footnote w:id="4">
    <w:p w:rsidR="00801F1F" w:rsidRPr="00762086" w:rsidRDefault="00801F1F" w:rsidP="00881510">
      <w:pPr>
        <w:pStyle w:val="FootnoteText"/>
        <w:spacing w:before="20" w:line="220" w:lineRule="atLeast"/>
        <w:ind w:left="284" w:hanging="284"/>
        <w:rPr>
          <w:rFonts w:cs="Arial"/>
          <w:sz w:val="16"/>
          <w:szCs w:val="16"/>
        </w:rPr>
      </w:pPr>
      <w:r>
        <w:rPr>
          <w:rStyle w:val="FootnoteReference"/>
          <w:sz w:val="16"/>
        </w:rPr>
        <w:footnoteRef/>
      </w:r>
      <w:r>
        <w:rPr>
          <w:sz w:val="16"/>
          <w:vertAlign w:val="superscript"/>
        </w:rPr>
        <w:t xml:space="preserve"> </w:t>
      </w:r>
      <w:r>
        <w:tab/>
      </w:r>
      <w:r>
        <w:rPr>
          <w:sz w:val="16"/>
        </w:rPr>
        <w:t>Sistema di visualizzazione delle carte nautiche elettroniche e di informazione per la navigazione interna (sistema ECDIS interno), edizione 2.3; risoluzione CCNR 2012-II-20 del 29 novembre 2012.</w:t>
      </w:r>
    </w:p>
  </w:footnote>
  <w:footnote w:id="5">
    <w:p w:rsidR="00801F1F" w:rsidRPr="00762086" w:rsidRDefault="00801F1F" w:rsidP="00881510">
      <w:pPr>
        <w:pStyle w:val="FootnoteText"/>
        <w:spacing w:before="40" w:line="220" w:lineRule="atLeast"/>
        <w:ind w:left="284" w:hanging="284"/>
        <w:rPr>
          <w:rFonts w:cs="Arial"/>
          <w:sz w:val="16"/>
          <w:szCs w:val="16"/>
        </w:rPr>
      </w:pPr>
      <w:r>
        <w:rPr>
          <w:rStyle w:val="FootnoteReference"/>
          <w:sz w:val="16"/>
        </w:rPr>
        <w:footnoteRef/>
      </w:r>
      <w:r>
        <w:rPr>
          <w:sz w:val="16"/>
          <w:vertAlign w:val="superscript"/>
        </w:rPr>
        <w:t xml:space="preserve"> </w:t>
      </w:r>
      <w:r>
        <w:tab/>
      </w:r>
      <w:r>
        <w:rPr>
          <w:sz w:val="16"/>
        </w:rPr>
        <w:t>Regolamento di esecuzione (UE) n. 909/2013 della Commissione, del 10 settembre 2013 , relativo alle specifiche tecniche per il sistema di visualizzazione delle carte nautiche elettroniche e di informazione per la navigazione interna (sistema ECDIS interno) di cui alla direttiva 2005/44/CE del Parlamento europeo e del Consiglio (GU L 258 del 28.9.2013).</w:t>
      </w:r>
    </w:p>
  </w:footnote>
  <w:footnote w:id="6">
    <w:p w:rsidR="00801F1F" w:rsidRPr="00762086" w:rsidRDefault="00801F1F" w:rsidP="00FA4437">
      <w:pPr>
        <w:pStyle w:val="FootnoteText"/>
        <w:spacing w:before="40" w:line="220" w:lineRule="atLeast"/>
        <w:ind w:left="284" w:hanging="284"/>
        <w:rPr>
          <w:rFonts w:cs="Arial"/>
          <w:sz w:val="16"/>
          <w:szCs w:val="16"/>
          <w:highlight w:val="lightGray"/>
        </w:rPr>
      </w:pPr>
      <w:r>
        <w:rPr>
          <w:rStyle w:val="FootnoteReference"/>
          <w:sz w:val="16"/>
        </w:rPr>
        <w:footnoteRef/>
      </w:r>
      <w:r>
        <w:rPr>
          <w:sz w:val="16"/>
          <w:vertAlign w:val="superscript"/>
        </w:rPr>
        <w:t xml:space="preserve"> </w:t>
      </w:r>
      <w:r>
        <w:tab/>
      </w:r>
      <w:r>
        <w:rPr>
          <w:sz w:val="16"/>
        </w:rPr>
        <w:t>norma di prova per AIS interno, edizione 2.0; risoluzione del CESNI 2017-II-2 del 6 luglio 2017.</w:t>
      </w:r>
    </w:p>
  </w:footnote>
  <w:footnote w:id="7">
    <w:p w:rsidR="00801F1F" w:rsidRPr="00762086" w:rsidRDefault="00801F1F" w:rsidP="00DD67C0">
      <w:pPr>
        <w:pStyle w:val="FootnoteText"/>
        <w:spacing w:before="40"/>
        <w:ind w:left="284" w:hanging="284"/>
        <w:rPr>
          <w:rFonts w:cs="Arial"/>
          <w:sz w:val="16"/>
          <w:szCs w:val="16"/>
        </w:rPr>
      </w:pPr>
      <w:r>
        <w:rPr>
          <w:rStyle w:val="FootnoteReference"/>
          <w:sz w:val="16"/>
        </w:rPr>
        <w:footnoteRef/>
      </w:r>
      <w:r>
        <w:rPr>
          <w:sz w:val="16"/>
        </w:rPr>
        <w:t xml:space="preserve"> </w:t>
      </w:r>
      <w:r>
        <w:tab/>
      </w:r>
      <w:r>
        <w:rPr>
          <w:sz w:val="16"/>
        </w:rPr>
        <w:t>Direttiva 2014/90/UE del Parlamento europeo e del Consiglio, del 23 luglio 2014 , sull'equipaggiamento marittimo e che abroga la direttiva 96/98/CE del Consiglio (GU L 257 del 28.8.2014).</w:t>
      </w:r>
    </w:p>
  </w:footnote>
  <w:footnote w:id="8">
    <w:p w:rsidR="00801F1F" w:rsidRPr="00762086" w:rsidRDefault="00801F1F" w:rsidP="002B6B2C">
      <w:pPr>
        <w:pStyle w:val="FootnoteText"/>
        <w:ind w:left="284" w:hanging="284"/>
      </w:pPr>
      <w:r>
        <w:rPr>
          <w:rStyle w:val="FootnoteReference"/>
        </w:rPr>
        <w:footnoteRef/>
      </w:r>
      <w:r>
        <w:tab/>
      </w:r>
      <w:hyperlink r:id="rId1" w:history="1">
        <w:r>
          <w:rPr>
            <w:color w:val="000000"/>
            <w:sz w:val="16"/>
          </w:rPr>
          <w:t>Regolamento (UE) 2016/1628 del Parlamento europeo e del Consiglio, del 14 settembre 2016, relativo alle prescrizioni in materia di limiti di emissione di inquinanti gassosi e particolato inquinante e di omologazione per i motori a combustione interna destinati alle macchine mobili non stradali, e che modifica i regolamenti (UE) n. 1024/2012 e (UE) n. 167/2013 e modifica e abroga la direttiva 97/68/CE</w:t>
        </w:r>
      </w:hyperlink>
      <w:r>
        <w:rPr>
          <w:color w:val="444444"/>
          <w:sz w:val="16"/>
        </w:rPr>
        <w:t xml:space="preserve"> </w:t>
      </w:r>
      <w:r>
        <w:rPr>
          <w:sz w:val="16"/>
        </w:rPr>
        <w:t>(GU L 252 del 16.9.2016).</w:t>
      </w:r>
    </w:p>
  </w:footnote>
  <w:footnote w:id="9">
    <w:p w:rsidR="00801F1F" w:rsidRPr="00762086" w:rsidRDefault="00801F1F" w:rsidP="000E1F46">
      <w:pPr>
        <w:pStyle w:val="FootnoteText"/>
        <w:ind w:left="284" w:hanging="284"/>
      </w:pPr>
      <w:r>
        <w:rPr>
          <w:rStyle w:val="FootnoteReference"/>
        </w:rPr>
        <w:footnoteRef/>
      </w:r>
      <w:r>
        <w:t xml:space="preserve"> </w:t>
      </w:r>
      <w:r>
        <w:tab/>
      </w:r>
      <w:r>
        <w:rPr>
          <w:sz w:val="16"/>
        </w:rPr>
        <w:t xml:space="preserve">Risoluzione IMO A.800 (19) adottata il 23 novembre 1995 - </w:t>
      </w:r>
      <w:r>
        <w:rPr>
          <w:i/>
          <w:sz w:val="16"/>
        </w:rPr>
        <w:t>Revised Guidelines for Approval of Sprinkler Systems Equivalent to that referred to in SOLAS Regulation II-2/12</w:t>
      </w:r>
      <w:r>
        <w:rPr>
          <w:sz w:val="16"/>
        </w:rPr>
        <w:t xml:space="preserve"> [Linee guida rivedute per l'omologazione di impianti pressurizzati a </w:t>
      </w:r>
      <w:r>
        <w:rPr>
          <w:i/>
          <w:sz w:val="16"/>
        </w:rPr>
        <w:t>sprinkler</w:t>
      </w:r>
      <w:r>
        <w:rPr>
          <w:sz w:val="16"/>
        </w:rPr>
        <w:t xml:space="preserve"> equivalenti a quelli di cui al regolamento SOLAS II-2/12].</w:t>
      </w:r>
    </w:p>
  </w:footnote>
  <w:footnote w:id="10">
    <w:p w:rsidR="00801F1F" w:rsidRPr="00762086" w:rsidRDefault="00801F1F" w:rsidP="00C44D3C">
      <w:pPr>
        <w:pStyle w:val="FootnoteText"/>
        <w:ind w:left="284" w:hanging="284"/>
        <w:rPr>
          <w:rFonts w:cs="Arial"/>
          <w:sz w:val="16"/>
          <w:szCs w:val="16"/>
        </w:rPr>
      </w:pPr>
      <w:r>
        <w:rPr>
          <w:rStyle w:val="FootnoteReference"/>
          <w:sz w:val="16"/>
        </w:rPr>
        <w:footnoteRef/>
      </w:r>
      <w:r>
        <w:rPr>
          <w:sz w:val="16"/>
        </w:rPr>
        <w:t xml:space="preserve"> </w:t>
      </w:r>
      <w:r>
        <w:tab/>
      </w:r>
      <w:r>
        <w:rPr>
          <w:sz w:val="16"/>
        </w:rPr>
        <w:t xml:space="preserve">Circolare MSC/Circ. 1165 – </w:t>
      </w:r>
      <w:r>
        <w:rPr>
          <w:i/>
          <w:sz w:val="16"/>
        </w:rPr>
        <w:t>Revised guidelines for the approval of equivalent water-based fire-extinguishing systems for machinery spaces and cargo pump-rooms</w:t>
      </w:r>
      <w:r>
        <w:rPr>
          <w:sz w:val="16"/>
        </w:rPr>
        <w:t xml:space="preserve"> [Linee guida rivedute per l'omologazione di sistemi antincendio a base d'acqua equivalenti per locali macchine e locali pompe su navi mercantili] – adottata il 10 giugno 2005 e modificata dalle circolari MSC/Circ.1269, MSC/Circ.1386 e MSC/Circ.1385.</w:t>
      </w:r>
    </w:p>
  </w:footnote>
  <w:footnote w:id="11">
    <w:p w:rsidR="00801F1F" w:rsidRPr="00762086" w:rsidRDefault="00801F1F" w:rsidP="000E1F46">
      <w:pPr>
        <w:pStyle w:val="FootnoteText"/>
        <w:ind w:left="284" w:hanging="284"/>
      </w:pPr>
      <w:r>
        <w:rPr>
          <w:rStyle w:val="FootnoteReference"/>
        </w:rPr>
        <w:footnoteRef/>
      </w:r>
      <w:r>
        <w:t xml:space="preserve"> </w:t>
      </w:r>
      <w:r>
        <w:tab/>
      </w:r>
      <w:r>
        <w:rPr>
          <w:sz w:val="16"/>
        </w:rPr>
        <w:t xml:space="preserve">Risoluzione IMO A.266 (VIII) adottata il 20 novembre 1973 - </w:t>
      </w:r>
      <w:r>
        <w:rPr>
          <w:i/>
          <w:sz w:val="16"/>
        </w:rPr>
        <w:t>Recommendation on a Standard Method for Establishing Compliance with the Requirements for Cross-Flooding Arrangements in Passenger Ships</w:t>
      </w:r>
      <w:r>
        <w:rPr>
          <w:sz w:val="16"/>
        </w:rPr>
        <w:t xml:space="preserve"> [Raccomandazione su un metodo standard per stabilire la conformità ai requisiti per i dispositivi di bilanciamento trasversale nelle navi da passeggeri].</w:t>
      </w:r>
    </w:p>
  </w:footnote>
  <w:footnote w:id="12">
    <w:p w:rsidR="00801F1F" w:rsidRPr="00762086" w:rsidRDefault="00801F1F" w:rsidP="003D2554">
      <w:pPr>
        <w:pStyle w:val="FootnoteText"/>
        <w:ind w:left="284" w:hanging="284"/>
        <w:rPr>
          <w:sz w:val="16"/>
          <w:szCs w:val="16"/>
        </w:rPr>
      </w:pPr>
      <w:r>
        <w:rPr>
          <w:rStyle w:val="FootnoteReference"/>
          <w:sz w:val="16"/>
        </w:rPr>
        <w:footnoteRef/>
      </w:r>
      <w:r>
        <w:tab/>
      </w:r>
      <w:r>
        <w:rPr>
          <w:sz w:val="16"/>
        </w:rPr>
        <w:t>Distanza dalla crocetta al ponte.</w:t>
      </w:r>
    </w:p>
  </w:footnote>
  <w:footnote w:id="13">
    <w:p w:rsidR="00801F1F" w:rsidRPr="00762086" w:rsidRDefault="00801F1F" w:rsidP="000323C7">
      <w:pPr>
        <w:pStyle w:val="FootnoteText"/>
        <w:ind w:left="284" w:hanging="284"/>
      </w:pPr>
      <w:r>
        <w:rPr>
          <w:rStyle w:val="FootnoteReference"/>
          <w:sz w:val="16"/>
        </w:rPr>
        <w:footnoteRef/>
      </w:r>
      <w:r>
        <w:t xml:space="preserve"> </w:t>
      </w:r>
      <w:r>
        <w:tab/>
      </w:r>
      <w:r>
        <w:rPr>
          <w:sz w:val="16"/>
        </w:rPr>
        <w:t>Lunghezza complessiva dell'alberetto, esclusa la testa.</w:t>
      </w:r>
    </w:p>
  </w:footnote>
  <w:footnote w:id="14">
    <w:p w:rsidR="00801F1F" w:rsidRPr="00762086" w:rsidRDefault="00801F1F" w:rsidP="003D2554">
      <w:pPr>
        <w:pStyle w:val="FootnoteText"/>
        <w:ind w:left="284" w:hanging="284"/>
        <w:rPr>
          <w:sz w:val="16"/>
          <w:szCs w:val="16"/>
        </w:rPr>
      </w:pPr>
      <w:r>
        <w:rPr>
          <w:rStyle w:val="FootnoteReference"/>
          <w:sz w:val="16"/>
        </w:rPr>
        <w:footnoteRef/>
      </w:r>
      <w:r>
        <w:tab/>
      </w:r>
      <w:r>
        <w:rPr>
          <w:sz w:val="16"/>
        </w:rPr>
        <w:t>Diametro dell'alberetto all'altezza dell'attrezzatura di testa.</w:t>
      </w:r>
    </w:p>
  </w:footnote>
  <w:footnote w:id="15">
    <w:p w:rsidR="00801F1F" w:rsidRPr="00762086" w:rsidRDefault="00801F1F" w:rsidP="00A90B64">
      <w:pPr>
        <w:pStyle w:val="FootnoteText"/>
        <w:ind w:left="284" w:hanging="284"/>
        <w:rPr>
          <w:sz w:val="16"/>
          <w:szCs w:val="16"/>
        </w:rPr>
      </w:pPr>
      <w:r>
        <w:rPr>
          <w:rStyle w:val="FootnoteReference"/>
          <w:sz w:val="16"/>
        </w:rPr>
        <w:footnoteRef/>
      </w:r>
      <w:r>
        <w:tab/>
      </w:r>
      <w:r>
        <w:rPr>
          <w:sz w:val="16"/>
        </w:rPr>
        <w:t>Lunghezza complessiva del bompresso.</w:t>
      </w:r>
    </w:p>
  </w:footnote>
  <w:footnote w:id="16">
    <w:p w:rsidR="00801F1F" w:rsidRPr="00762086" w:rsidRDefault="00801F1F" w:rsidP="00A90B64">
      <w:pPr>
        <w:pStyle w:val="FootnoteText"/>
        <w:ind w:left="284" w:hanging="284"/>
        <w:rPr>
          <w:sz w:val="16"/>
          <w:szCs w:val="16"/>
        </w:rPr>
      </w:pPr>
      <w:r>
        <w:rPr>
          <w:rStyle w:val="FootnoteReference"/>
          <w:sz w:val="16"/>
        </w:rPr>
        <w:footnoteRef/>
      </w:r>
      <w:r>
        <w:tab/>
      </w:r>
      <w:r>
        <w:rPr>
          <w:sz w:val="16"/>
        </w:rPr>
        <w:t>Lunghezza complessiva dell'asta di fiocco.</w:t>
      </w:r>
    </w:p>
  </w:footnote>
  <w:footnote w:id="17">
    <w:p w:rsidR="00801F1F" w:rsidRPr="00762086" w:rsidRDefault="00801F1F" w:rsidP="00A90B64">
      <w:pPr>
        <w:pStyle w:val="FootnoteText"/>
        <w:ind w:left="284" w:hanging="284"/>
        <w:rPr>
          <w:sz w:val="16"/>
          <w:szCs w:val="16"/>
        </w:rPr>
      </w:pPr>
      <w:r>
        <w:rPr>
          <w:rStyle w:val="FootnoteReference"/>
          <w:sz w:val="16"/>
        </w:rPr>
        <w:footnoteRef/>
      </w:r>
      <w:r>
        <w:tab/>
      </w:r>
      <w:r>
        <w:rPr>
          <w:sz w:val="16"/>
        </w:rPr>
        <w:t>Lunghezza complessiva del boma di maestra.</w:t>
      </w:r>
    </w:p>
  </w:footnote>
  <w:footnote w:id="18">
    <w:p w:rsidR="00801F1F" w:rsidRPr="00762086" w:rsidRDefault="00801F1F" w:rsidP="00A90B64">
      <w:pPr>
        <w:pStyle w:val="FootnoteText"/>
        <w:ind w:left="284" w:hanging="284"/>
        <w:rPr>
          <w:sz w:val="16"/>
          <w:szCs w:val="16"/>
        </w:rPr>
      </w:pPr>
      <w:r>
        <w:rPr>
          <w:rStyle w:val="FootnoteReference"/>
          <w:sz w:val="16"/>
        </w:rPr>
        <w:footnoteRef/>
      </w:r>
      <w:r>
        <w:tab/>
      </w:r>
      <w:r>
        <w:rPr>
          <w:sz w:val="16"/>
        </w:rPr>
        <w:t>Lunghezza complessiva del picco.</w:t>
      </w:r>
    </w:p>
  </w:footnote>
  <w:footnote w:id="19">
    <w:p w:rsidR="00801F1F" w:rsidRPr="00762086" w:rsidRDefault="00801F1F" w:rsidP="003D2554">
      <w:pPr>
        <w:pStyle w:val="FootnoteText"/>
        <w:ind w:left="284" w:hanging="284"/>
        <w:rPr>
          <w:sz w:val="16"/>
          <w:szCs w:val="16"/>
        </w:rPr>
      </w:pPr>
      <w:r>
        <w:rPr>
          <w:rStyle w:val="FootnoteReference"/>
          <w:sz w:val="16"/>
        </w:rPr>
        <w:footnoteRef/>
      </w:r>
      <w:r>
        <w:tab/>
      </w:r>
      <w:r>
        <w:rPr>
          <w:sz w:val="16"/>
        </w:rPr>
        <w:t>Distanza fra testa dell'albero o crocetta e ponte.</w:t>
      </w:r>
    </w:p>
  </w:footnote>
  <w:footnote w:id="20">
    <w:p w:rsidR="00801F1F" w:rsidRPr="00762086" w:rsidRDefault="00801F1F" w:rsidP="003D2554">
      <w:pPr>
        <w:pStyle w:val="FootnoteText"/>
        <w:ind w:left="284" w:hanging="284"/>
        <w:rPr>
          <w:sz w:val="16"/>
          <w:szCs w:val="16"/>
        </w:rPr>
      </w:pPr>
      <w:r>
        <w:rPr>
          <w:rStyle w:val="FootnoteReference"/>
          <w:sz w:val="16"/>
        </w:rPr>
        <w:footnoteRef/>
      </w:r>
      <w:r>
        <w:tab/>
      </w:r>
      <w:r>
        <w:rPr>
          <w:sz w:val="16"/>
        </w:rPr>
        <w:t>Distanza fra testa dell'albero o crocetta e ponte.</w:t>
      </w:r>
    </w:p>
  </w:footnote>
  <w:footnote w:id="21">
    <w:p w:rsidR="00801F1F" w:rsidRPr="00762086" w:rsidRDefault="00801F1F" w:rsidP="00C919D5">
      <w:pPr>
        <w:pStyle w:val="FootnoteText"/>
        <w:ind w:left="284" w:hanging="284"/>
        <w:rPr>
          <w:sz w:val="16"/>
          <w:szCs w:val="16"/>
        </w:rPr>
      </w:pPr>
      <w:r>
        <w:rPr>
          <w:rStyle w:val="FootnoteReference"/>
          <w:sz w:val="16"/>
        </w:rPr>
        <w:footnoteRef/>
      </w:r>
      <w:r>
        <w:tab/>
      </w:r>
      <w:r>
        <w:rPr>
          <w:sz w:val="16"/>
        </w:rPr>
        <w:t>Direttiva 2006/42/CE del Parlamento europeo e del Consiglio, del 17 maggio 2006 , relativa alle macchine e che modifica la direttiva 95/16/CE (GU L 157 del 9.6.2006).</w:t>
      </w:r>
    </w:p>
  </w:footnote>
  <w:footnote w:id="22">
    <w:p w:rsidR="00801F1F" w:rsidRPr="00762086" w:rsidRDefault="00801F1F" w:rsidP="00A867CE">
      <w:pPr>
        <w:pStyle w:val="FootnoteText"/>
        <w:ind w:left="284" w:hanging="284"/>
        <w:rPr>
          <w:sz w:val="16"/>
          <w:szCs w:val="16"/>
        </w:rPr>
      </w:pPr>
      <w:r>
        <w:rPr>
          <w:rStyle w:val="FootnoteReference"/>
        </w:rPr>
        <w:footnoteRef/>
      </w:r>
      <w:r>
        <w:t xml:space="preserve"> </w:t>
      </w:r>
      <w:r>
        <w:tab/>
      </w:r>
      <w:r>
        <w:rPr>
          <w:sz w:val="16"/>
        </w:rPr>
        <w:t>Direttiva 2013/53/UE del Parlamento europeo e del Consiglio, del 20 novembre 2013, relativa alle imbarcazioni da diporto e alle moto d'acqua e che abroga la direttiva 94/25/CE (GU L 354 del 28.12.2013).</w:t>
      </w:r>
    </w:p>
  </w:footnote>
  <w:footnote w:id="23">
    <w:p w:rsidR="00801F1F" w:rsidRPr="00762086" w:rsidRDefault="00801F1F" w:rsidP="0007393A">
      <w:pPr>
        <w:pStyle w:val="FootnoteText"/>
        <w:ind w:left="284" w:hanging="284"/>
        <w:rPr>
          <w:sz w:val="16"/>
          <w:szCs w:val="16"/>
        </w:rPr>
      </w:pPr>
      <w:r>
        <w:rPr>
          <w:rStyle w:val="FootnoteReference"/>
        </w:rPr>
        <w:t>*</w:t>
      </w:r>
      <w:r>
        <w:t xml:space="preserve"> </w:t>
      </w:r>
      <w:r>
        <w:tab/>
      </w:r>
      <w:r>
        <w:rPr>
          <w:sz w:val="16"/>
        </w:rPr>
        <w:t>Le sezioni di stiva con superfici libere esposte all'acqua risultano dalla compartimentazione longitudinale e/o trasversale stagna all'acqua che forma sezioni indipendenti.</w:t>
      </w:r>
    </w:p>
  </w:footnote>
  <w:footnote w:id="24">
    <w:p w:rsidR="00801F1F" w:rsidRPr="00762086" w:rsidRDefault="00801F1F" w:rsidP="000E1F46">
      <w:pPr>
        <w:pStyle w:val="FootnoteText"/>
        <w:ind w:left="284" w:hanging="284"/>
      </w:pPr>
      <w:r>
        <w:rPr>
          <w:rStyle w:val="FootnoteReference"/>
        </w:rPr>
        <w:footnoteRef/>
      </w:r>
      <w:r>
        <w:t xml:space="preserve"> </w:t>
      </w:r>
      <w:r>
        <w:tab/>
      </w:r>
      <w:r>
        <w:rPr>
          <w:sz w:val="16"/>
        </w:rPr>
        <w:t xml:space="preserve">MSC.267(85) adottata il 4 dicembre 2008 - </w:t>
      </w:r>
      <w:r>
        <w:rPr>
          <w:i/>
          <w:sz w:val="16"/>
        </w:rPr>
        <w:t>International Code on Intact Stability</w:t>
      </w:r>
      <w:r>
        <w:rPr>
          <w:sz w:val="16"/>
        </w:rPr>
        <w:t xml:space="preserve"> [Codice internazionale di stabilità a nave integra].</w:t>
      </w:r>
    </w:p>
  </w:footnote>
  <w:footnote w:id="25">
    <w:p w:rsidR="00801F1F" w:rsidRPr="00762086" w:rsidRDefault="00801F1F" w:rsidP="00B90A00">
      <w:pPr>
        <w:pStyle w:val="FootnoteText"/>
        <w:spacing w:before="20"/>
        <w:ind w:left="284" w:hanging="284"/>
        <w:rPr>
          <w:rFonts w:cs="Arial"/>
          <w:sz w:val="16"/>
          <w:szCs w:val="16"/>
        </w:rPr>
      </w:pPr>
      <w:r>
        <w:rPr>
          <w:rStyle w:val="FootnoteReference"/>
        </w:rPr>
        <w:footnoteRef/>
      </w:r>
      <w:r>
        <w:t xml:space="preserve"> </w:t>
      </w:r>
      <w:r>
        <w:tab/>
      </w:r>
      <w:r>
        <w:rPr>
          <w:sz w:val="16"/>
        </w:rPr>
        <w:t>Direttiva 2006/87/CE del Parlamento europeo e del Consiglio, del 12 dicembre 2006, che fissa i requisiti tecnici per le navi della navigazione interna e che abroga la direttiva 82/714/CEE del Consiglio (GU L 389 del 30.12.2006).</w:t>
      </w:r>
    </w:p>
  </w:footnote>
  <w:footnote w:id="26">
    <w:p w:rsidR="00801F1F" w:rsidRPr="00762086" w:rsidRDefault="00801F1F" w:rsidP="00E113D0">
      <w:pPr>
        <w:pStyle w:val="FootnoteText"/>
        <w:spacing w:before="40"/>
        <w:ind w:left="284" w:hanging="284"/>
        <w:rPr>
          <w:rFonts w:cs="Arial"/>
          <w:sz w:val="16"/>
          <w:szCs w:val="16"/>
        </w:rPr>
      </w:pPr>
      <w:r>
        <w:rPr>
          <w:rStyle w:val="FootnoteReference"/>
          <w:sz w:val="16"/>
        </w:rPr>
        <w:footnoteRef/>
      </w:r>
      <w:r>
        <w:rPr>
          <w:sz w:val="16"/>
        </w:rPr>
        <w:t xml:space="preserve"> </w:t>
      </w:r>
      <w:r>
        <w:tab/>
      </w:r>
      <w:r>
        <w:rPr>
          <w:sz w:val="16"/>
        </w:rPr>
        <w:t>La disposizione transitoria applicabile all'articolo 8.10, paragrafo 3, è un requisito temporaneo, applicabile fino al 31 dicembre 2019. La seguente disposizione transitoria era in vigore prima del 1° dicembre 2014: "</w:t>
      </w:r>
      <w:r>
        <w:rPr>
          <w:i/>
          <w:sz w:val="16"/>
        </w:rPr>
        <w:t>8.10 par. 3 | Limite di emissione di 65 dB(A) per le navi in stazionamento | N.S.T., al più tardi alla data di rinnovo del certificato per la navigazione interna posteriormente all'1.1.2015</w:t>
      </w:r>
      <w:r>
        <w:rPr>
          <w:sz w:val="16"/>
        </w:rPr>
        <w:t>".</w:t>
      </w:r>
    </w:p>
  </w:footnote>
  <w:footnote w:id="27">
    <w:p w:rsidR="00801F1F" w:rsidRPr="00762086" w:rsidRDefault="00801F1F" w:rsidP="00E113D0">
      <w:pPr>
        <w:pStyle w:val="FootnoteText"/>
        <w:spacing w:before="40"/>
        <w:ind w:left="284" w:hanging="284"/>
      </w:pPr>
      <w:r>
        <w:rPr>
          <w:rStyle w:val="FootnoteReference"/>
          <w:sz w:val="16"/>
        </w:rPr>
        <w:footnoteRef/>
      </w:r>
      <w:r>
        <w:rPr>
          <w:sz w:val="16"/>
        </w:rPr>
        <w:t xml:space="preserve"> </w:t>
      </w:r>
      <w:r>
        <w:tab/>
      </w:r>
      <w:r>
        <w:rPr>
          <w:sz w:val="16"/>
        </w:rPr>
        <w:t>La disposizione transitoria applicabile all'articolo 13.07 è un requisito temporaneo, applicabile fino al 31 dicembre 2019. La seguente disposizione transitoria era in vigore prima del 1° dicembre 2014: "</w:t>
      </w:r>
      <w:r>
        <w:rPr>
          <w:i/>
          <w:sz w:val="16"/>
        </w:rPr>
        <w:t>13.07 / Applicazione della norma europeo alle lance / N.S.T., al più tardi alla data del rinnovo del certificato per la navigazione interna posteriormente all'1.1.2015".</w:t>
      </w:r>
    </w:p>
  </w:footnote>
  <w:footnote w:id="28">
    <w:p w:rsidR="00801F1F" w:rsidRPr="00762086" w:rsidRDefault="00801F1F" w:rsidP="002D3F17">
      <w:pPr>
        <w:pStyle w:val="FootnoteText"/>
        <w:ind w:left="284" w:hanging="284"/>
        <w:rPr>
          <w:sz w:val="16"/>
          <w:szCs w:val="16"/>
        </w:rPr>
      </w:pPr>
      <w:r>
        <w:rPr>
          <w:rStyle w:val="FootnoteReference"/>
        </w:rPr>
        <w:footnoteRef/>
      </w:r>
      <w:r>
        <w:t xml:space="preserve"> </w:t>
      </w:r>
      <w:r>
        <w:tab/>
      </w:r>
      <w:r>
        <w:rPr>
          <w:sz w:val="16"/>
        </w:rPr>
        <w:t>Tuttavia, al più tardi alla data del rinnovo del certificato per la navigazione interna posteriormente all'1.1.2015, l'imbarcazione deve soddisfare i seguenti requisiti:</w:t>
      </w:r>
    </w:p>
    <w:p w:rsidR="00801F1F" w:rsidRPr="00762086" w:rsidRDefault="00801F1F" w:rsidP="00C5514F">
      <w:pPr>
        <w:pStyle w:val="FootnoteText"/>
        <w:spacing w:before="40"/>
        <w:ind w:left="568" w:hanging="284"/>
        <w:rPr>
          <w:rFonts w:cs="Arial"/>
          <w:sz w:val="16"/>
          <w:szCs w:val="16"/>
        </w:rPr>
      </w:pPr>
      <w:r>
        <w:rPr>
          <w:sz w:val="16"/>
        </w:rPr>
        <w:t>-</w:t>
      </w:r>
      <w:r>
        <w:tab/>
      </w:r>
      <w:r>
        <w:rPr>
          <w:sz w:val="16"/>
        </w:rPr>
        <w:t xml:space="preserve">i bordi esterni dei ponti, nonché i posti di lavoro che presentano un rischio di caduta da più di 1 m, sono provvisti di impavesate o di mastre di un'altezza minima di 0,70 m o di un parapetto continuo in conformità alla norma europea EN 711:1995, che prevede un corrimano, un listone all'altezza delle ginocchia e un guardapiedi; </w:t>
      </w:r>
    </w:p>
    <w:p w:rsidR="00801F1F" w:rsidRPr="00762086" w:rsidRDefault="00801F1F" w:rsidP="00C5514F">
      <w:pPr>
        <w:pStyle w:val="FootnoteText"/>
        <w:spacing w:before="40"/>
        <w:ind w:left="568" w:hanging="284"/>
        <w:rPr>
          <w:rFonts w:cs="Arial"/>
          <w:sz w:val="16"/>
          <w:szCs w:val="16"/>
        </w:rPr>
      </w:pPr>
      <w:r>
        <w:rPr>
          <w:sz w:val="16"/>
        </w:rPr>
        <w:t>-</w:t>
      </w:r>
      <w:r>
        <w:tab/>
      </w:r>
      <w:r>
        <w:rPr>
          <w:sz w:val="16"/>
        </w:rPr>
        <w:t>i ponti laterali sono dotati di guardapiedi e corrimano continuo fissato alla mastra. I corrimano in corrispondenza della mastra non sono necessari quando i ponti laterali sono dotati di parapetto fisso dal lato mare.</w:t>
      </w:r>
    </w:p>
  </w:footnote>
  <w:footnote w:id="29">
    <w:p w:rsidR="00801F1F" w:rsidRPr="00762086" w:rsidRDefault="00801F1F" w:rsidP="001E2331">
      <w:pPr>
        <w:pStyle w:val="FootnoteText"/>
        <w:ind w:left="284" w:hanging="284"/>
        <w:rPr>
          <w:rFonts w:cs="Arial"/>
          <w:sz w:val="16"/>
          <w:szCs w:val="16"/>
        </w:rPr>
      </w:pPr>
      <w:r>
        <w:rPr>
          <w:rStyle w:val="FootnoteReference"/>
        </w:rPr>
        <w:footnoteRef/>
      </w:r>
      <w:r>
        <w:tab/>
      </w:r>
      <w:r>
        <w:rPr>
          <w:sz w:val="16"/>
        </w:rPr>
        <w:t>Per le navi la cui chiglia è stata impostata dopo il 31.12.1994 e per le navi in servizio, la prescrizione si applica alle seguenti condizioni.</w:t>
      </w:r>
    </w:p>
    <w:p w:rsidR="00801F1F" w:rsidRPr="00762086" w:rsidRDefault="00801F1F" w:rsidP="001E2331">
      <w:pPr>
        <w:pStyle w:val="FootnoteText"/>
        <w:spacing w:before="40"/>
        <w:ind w:left="284" w:firstLine="0"/>
        <w:rPr>
          <w:rFonts w:cs="Arial"/>
          <w:sz w:val="16"/>
          <w:szCs w:val="16"/>
        </w:rPr>
      </w:pPr>
      <w:r>
        <w:rPr>
          <w:sz w:val="16"/>
        </w:rPr>
        <w:t>Se l'intera zona della stiva deve essere sostituita, occorre soddisfare le prescrizioni di cui all'articolo 14.04. In caso di modifiche che interessano l'intera lunghezza della zona del ponte laterale e la modifica dell'ampiezza libera del ponte laterale,</w:t>
      </w:r>
    </w:p>
    <w:p w:rsidR="00801F1F" w:rsidRPr="00762086" w:rsidRDefault="00801F1F" w:rsidP="001E2331">
      <w:pPr>
        <w:pStyle w:val="FootnoteText"/>
        <w:tabs>
          <w:tab w:val="left" w:pos="567"/>
        </w:tabs>
        <w:spacing w:before="40"/>
        <w:ind w:left="567" w:hanging="283"/>
        <w:rPr>
          <w:rFonts w:cs="Arial"/>
          <w:sz w:val="16"/>
          <w:szCs w:val="16"/>
        </w:rPr>
      </w:pPr>
      <w:r>
        <w:rPr>
          <w:sz w:val="16"/>
        </w:rPr>
        <w:t>a)</w:t>
      </w:r>
      <w:r>
        <w:tab/>
      </w:r>
      <w:r>
        <w:rPr>
          <w:sz w:val="16"/>
        </w:rPr>
        <w:t>occorre rispettare l'articolo 14.04 quando è necessario ridurre l'ampiezza libera del ponte laterale fino a un'altezza di 0,90 m, disponibile prima della modifica;</w:t>
      </w:r>
    </w:p>
    <w:p w:rsidR="00801F1F" w:rsidRPr="00762086" w:rsidRDefault="00801F1F" w:rsidP="0063563D">
      <w:pPr>
        <w:ind w:left="567" w:hanging="283"/>
      </w:pPr>
      <w:r>
        <w:rPr>
          <w:sz w:val="16"/>
        </w:rPr>
        <w:t>b)</w:t>
      </w:r>
      <w:r>
        <w:tab/>
      </w:r>
      <w:r>
        <w:rPr>
          <w:sz w:val="16"/>
        </w:rPr>
        <w:t>l'ampiezza libera del ponte laterale fino a un'altezza di 0,90 m o l'ampiezza libera del ponte oltre tale altezza, disponibili prima della modifica, non devono essere ridotte, se le loro dimensioni sono inferiori a quelle specificate nell'articolo 14.04.</w:t>
      </w:r>
    </w:p>
  </w:footnote>
  <w:footnote w:id="30">
    <w:p w:rsidR="00801F1F" w:rsidRPr="00762086" w:rsidRDefault="00801F1F" w:rsidP="0029395D">
      <w:pPr>
        <w:pStyle w:val="FootnoteText"/>
        <w:ind w:left="284" w:hanging="284"/>
        <w:rPr>
          <w:rFonts w:cs="Arial"/>
          <w:sz w:val="16"/>
          <w:szCs w:val="16"/>
        </w:rPr>
      </w:pPr>
      <w:r>
        <w:rPr>
          <w:rStyle w:val="FootnoteReference"/>
          <w:sz w:val="16"/>
        </w:rPr>
        <w:footnoteRef/>
      </w:r>
      <w:r>
        <w:tab/>
      </w:r>
      <w:r>
        <w:rPr>
          <w:sz w:val="16"/>
        </w:rPr>
        <w:t>La disposizione transitoria applicabile all'articolo 19.06 paragrafo 6, lettera c) è un requisito temporaneo, applicabile fino al 31 dicembre 2019. La seguente disposizione transitoria era in vigore prima del 1° dicembre 2014: "</w:t>
      </w:r>
      <w:r>
        <w:rPr>
          <w:i/>
          <w:color w:val="000000"/>
          <w:sz w:val="16"/>
        </w:rPr>
        <w:t>19.06, paragrafo 6, lettera c)</w:t>
      </w:r>
      <w:r>
        <w:rPr>
          <w:i/>
          <w:sz w:val="16"/>
        </w:rPr>
        <w:t xml:space="preserve"> / Divieto di vie di evacuazione attraverso le cucine / N.S.T., al più tardi alla data di rinnovo del certificato per la navigazione interna posteriormente all'1.1.2015".</w:t>
      </w:r>
    </w:p>
  </w:footnote>
  <w:footnote w:id="31">
    <w:p w:rsidR="00801F1F" w:rsidRPr="00762086" w:rsidRDefault="00801F1F" w:rsidP="0029395D">
      <w:pPr>
        <w:pStyle w:val="FootnoteText"/>
        <w:spacing w:before="40"/>
        <w:ind w:left="284" w:hanging="284"/>
        <w:rPr>
          <w:rFonts w:cs="Arial"/>
          <w:sz w:val="16"/>
          <w:szCs w:val="16"/>
        </w:rPr>
      </w:pPr>
      <w:r>
        <w:rPr>
          <w:rStyle w:val="FootnoteReference"/>
          <w:sz w:val="16"/>
        </w:rPr>
        <w:footnoteRef/>
      </w:r>
      <w:r>
        <w:rPr>
          <w:sz w:val="16"/>
        </w:rPr>
        <w:t xml:space="preserve"> </w:t>
      </w:r>
      <w:r>
        <w:tab/>
      </w:r>
      <w:r>
        <w:rPr>
          <w:sz w:val="16"/>
        </w:rPr>
        <w:t>La disposizione transitoria applicabile all'articolo 19.07 è un requisito temporaneo, applicabile fino al 31 dicembre 2019. La seguente disposizione transitoria era in vigore prima del 1° dicembre 2014: "</w:t>
      </w:r>
      <w:r>
        <w:rPr>
          <w:i/>
          <w:color w:val="000000"/>
          <w:sz w:val="16"/>
        </w:rPr>
        <w:t>19.07</w:t>
      </w:r>
      <w:r>
        <w:rPr>
          <w:i/>
          <w:sz w:val="16"/>
        </w:rPr>
        <w:t xml:space="preserve"> / Requisiti concernenti il sistema di propulsione / N.S.T., al più tardi alla data di rinnovo del certificato per la navigazione interna posteriormente all'1.1.2015".</w:t>
      </w:r>
    </w:p>
  </w:footnote>
  <w:footnote w:id="32">
    <w:p w:rsidR="00801F1F" w:rsidRPr="00762086" w:rsidRDefault="00801F1F" w:rsidP="0044336D">
      <w:pPr>
        <w:pStyle w:val="FootnoteText"/>
        <w:spacing w:before="40"/>
        <w:ind w:left="284" w:hanging="284"/>
      </w:pPr>
      <w:r>
        <w:rPr>
          <w:rStyle w:val="FootnoteReference"/>
          <w:sz w:val="16"/>
        </w:rPr>
        <w:footnoteRef/>
      </w:r>
      <w:r>
        <w:rPr>
          <w:sz w:val="16"/>
        </w:rPr>
        <w:t xml:space="preserve"> </w:t>
      </w:r>
      <w:r>
        <w:tab/>
      </w:r>
      <w:r>
        <w:rPr>
          <w:sz w:val="16"/>
        </w:rPr>
        <w:t>La disposizione transitoria applicabile all'articolo 19.08, paragrafo 3, è un requisito temporaneo, applicabile fino al 31 dicembre 2019. La seguente disposizione transitoria era in vigore prima del 1° dicembre 2014: "</w:t>
      </w:r>
      <w:r>
        <w:rPr>
          <w:i/>
          <w:color w:val="000000"/>
          <w:sz w:val="16"/>
        </w:rPr>
        <w:t>19.08, paragrafo 3 /</w:t>
      </w:r>
      <w:r>
        <w:rPr>
          <w:i/>
          <w:sz w:val="16"/>
        </w:rPr>
        <w:t xml:space="preserve"> Requisiti del sistema di allarme / N.S.T., al più tardi alla data di rinnovo del certificato per la navigazione interna posteriormente all'1.1.2015"</w:t>
      </w:r>
      <w:r>
        <w:rPr>
          <w:sz w:val="16"/>
        </w:rPr>
        <w:t xml:space="preserve"> e </w:t>
      </w:r>
      <w:r>
        <w:rPr>
          <w:i/>
          <w:color w:val="000000"/>
          <w:sz w:val="16"/>
        </w:rPr>
        <w:t>"19.08, paragrafo 3, lettera c) /</w:t>
      </w:r>
      <w:r>
        <w:rPr>
          <w:i/>
          <w:sz w:val="16"/>
        </w:rPr>
        <w:t xml:space="preserve"> Impianto d'allarme che permetta al personale di comando della nave di dare l'allarme all'equipaggio e al personale di bordo / Per le navi da crociera, si applica il regolamento N.S.T., al più tardi alla data di rinnovo del certificato per la navigazione interna posteriormente all'1.1.2007".</w:t>
      </w:r>
    </w:p>
  </w:footnote>
  <w:footnote w:id="33">
    <w:p w:rsidR="00801F1F" w:rsidRPr="00762086" w:rsidRDefault="00801F1F" w:rsidP="0044336D">
      <w:pPr>
        <w:pStyle w:val="FootnoteText"/>
        <w:spacing w:before="40"/>
        <w:ind w:left="284" w:hanging="284"/>
        <w:rPr>
          <w:sz w:val="16"/>
          <w:szCs w:val="16"/>
        </w:rPr>
      </w:pPr>
      <w:r>
        <w:rPr>
          <w:rStyle w:val="FootnoteReference"/>
          <w:sz w:val="16"/>
        </w:rPr>
        <w:footnoteRef/>
      </w:r>
      <w:r>
        <w:rPr>
          <w:sz w:val="16"/>
        </w:rPr>
        <w:t xml:space="preserve"> </w:t>
      </w:r>
      <w:r>
        <w:tab/>
      </w:r>
      <w:r>
        <w:rPr>
          <w:sz w:val="16"/>
        </w:rPr>
        <w:t xml:space="preserve">MSC.61(67) adottata il 5 dicembre 1996 - </w:t>
      </w:r>
      <w:r>
        <w:rPr>
          <w:i/>
          <w:sz w:val="16"/>
        </w:rPr>
        <w:t>International Code for Application of Fire Test Procedures</w:t>
      </w:r>
      <w:r>
        <w:rPr>
          <w:sz w:val="16"/>
        </w:rPr>
        <w:t xml:space="preserve"> [Codice internazionale per l'applicazione delle procedure per le prove antincendio].</w:t>
      </w:r>
    </w:p>
  </w:footnote>
  <w:footnote w:id="34">
    <w:p w:rsidR="00801F1F" w:rsidRPr="00762086" w:rsidRDefault="00801F1F" w:rsidP="000E732C">
      <w:pPr>
        <w:pStyle w:val="FootnoteText"/>
        <w:spacing w:before="40"/>
        <w:ind w:left="284" w:hanging="284"/>
        <w:rPr>
          <w:rFonts w:cs="Arial"/>
          <w:sz w:val="16"/>
          <w:szCs w:val="16"/>
        </w:rPr>
      </w:pPr>
      <w:r>
        <w:rPr>
          <w:rStyle w:val="FootnoteReference"/>
          <w:sz w:val="16"/>
        </w:rPr>
        <w:footnoteRef/>
      </w:r>
      <w:r>
        <w:tab/>
      </w:r>
      <w:r>
        <w:rPr>
          <w:sz w:val="16"/>
        </w:rPr>
        <w:t>La disposizione transitoria applicabile all'articolo 3.04, paragrafo 7, è un requisito temporaneo, applicabile fino al 31 dicembre 2019. La seguente disposizione transitoria era in vigore prima del 1° dicembre 2014: "</w:t>
      </w:r>
      <w:r>
        <w:rPr>
          <w:i/>
          <w:sz w:val="16"/>
        </w:rPr>
        <w:t>3.04, paragrafo 7 / Massimo livello di pressione acustica ammissibile / S.T., al più tardi alla data del rinnovo del certificato per la navigazione interna posteriormente all'1.1.2015".</w:t>
      </w:r>
    </w:p>
  </w:footnote>
  <w:footnote w:id="35">
    <w:p w:rsidR="00801F1F" w:rsidRPr="00762086" w:rsidRDefault="00801F1F" w:rsidP="000E732C">
      <w:pPr>
        <w:pStyle w:val="FootnoteText"/>
        <w:spacing w:before="40"/>
        <w:ind w:left="284" w:hanging="284"/>
        <w:rPr>
          <w:rFonts w:cs="Arial"/>
          <w:sz w:val="16"/>
          <w:szCs w:val="16"/>
        </w:rPr>
      </w:pPr>
      <w:r>
        <w:rPr>
          <w:rStyle w:val="FootnoteReference"/>
          <w:sz w:val="16"/>
        </w:rPr>
        <w:footnoteRef/>
      </w:r>
      <w:r>
        <w:tab/>
      </w:r>
      <w:r>
        <w:rPr>
          <w:sz w:val="16"/>
        </w:rPr>
        <w:t>La disposizione transitoria applicabile all'articolo 7.01, paragrafo 2, è un requisito temporaneo, applicabile fino al 31 dicembre 2019. La seguente disposizione transitoria era in vigore prima del 1° dicembre 2014: "</w:t>
      </w:r>
      <w:r>
        <w:rPr>
          <w:i/>
          <w:sz w:val="16"/>
        </w:rPr>
        <w:t>7.01, paragrafo 2 / Livello della pressione acustica del rumore prodotto dalla nave / S.T., al più tardi alla data di rinnovo del certificato per la navigazione interna posteriormente all'1.1.2015</w:t>
      </w:r>
      <w:r>
        <w:rPr>
          <w:sz w:val="16"/>
        </w:rPr>
        <w:t>".</w:t>
      </w:r>
    </w:p>
  </w:footnote>
  <w:footnote w:id="36">
    <w:p w:rsidR="00801F1F" w:rsidRPr="00762086" w:rsidRDefault="00801F1F" w:rsidP="000E732C">
      <w:pPr>
        <w:pStyle w:val="FootnoteText"/>
        <w:spacing w:before="40"/>
        <w:ind w:left="284" w:hanging="284"/>
        <w:rPr>
          <w:rFonts w:cs="Arial"/>
          <w:sz w:val="16"/>
          <w:szCs w:val="16"/>
        </w:rPr>
      </w:pPr>
      <w:r>
        <w:rPr>
          <w:rStyle w:val="FootnoteReference"/>
          <w:sz w:val="16"/>
        </w:rPr>
        <w:footnoteRef/>
      </w:r>
      <w:r>
        <w:tab/>
      </w:r>
      <w:r>
        <w:rPr>
          <w:sz w:val="16"/>
        </w:rPr>
        <w:t>La disposizione transitoria applicabile all'articolo 8.10, paragrafo 2, è un requisito temporaneo, applicabile fino al 31 dicembre 2019. La seguente disposizione transitoria era in vigore prima del 1° dicembre 2014: "</w:t>
      </w:r>
      <w:r>
        <w:rPr>
          <w:i/>
          <w:sz w:val="16"/>
        </w:rPr>
        <w:t>8.10, paragrafo 2 / Rumore prodotto dalla nave in navigazione / S.T., al più tardi alla data di rinnovo del certificato per la navigazione interna posteriormente all'1.1.2015</w:t>
      </w:r>
      <w:r>
        <w:rPr>
          <w:sz w:val="16"/>
        </w:rPr>
        <w:t>".</w:t>
      </w:r>
    </w:p>
  </w:footnote>
  <w:footnote w:id="37">
    <w:p w:rsidR="00801F1F" w:rsidRPr="00762086" w:rsidRDefault="00801F1F" w:rsidP="000E732C">
      <w:pPr>
        <w:pStyle w:val="FootnoteText"/>
        <w:spacing w:before="40"/>
        <w:ind w:left="284" w:hanging="284"/>
        <w:rPr>
          <w:rFonts w:cs="Arial"/>
          <w:sz w:val="16"/>
          <w:szCs w:val="16"/>
        </w:rPr>
      </w:pPr>
      <w:r>
        <w:rPr>
          <w:rStyle w:val="FootnoteReference"/>
          <w:sz w:val="16"/>
        </w:rPr>
        <w:footnoteRef/>
      </w:r>
      <w:r>
        <w:rPr>
          <w:sz w:val="16"/>
        </w:rPr>
        <w:t xml:space="preserve"> </w:t>
      </w:r>
      <w:r>
        <w:tab/>
      </w:r>
      <w:r>
        <w:rPr>
          <w:sz w:val="16"/>
        </w:rPr>
        <w:t>La disposizione transitoria applicabile all'articolo 10.01 è un requisito temporaneo, applicabile fino al 31 dicembre 2019. La seguente disposizione transitoria era in vigore prima del 1° dicembre 2014: "</w:t>
      </w:r>
      <w:r>
        <w:rPr>
          <w:i/>
          <w:sz w:val="16"/>
        </w:rPr>
        <w:t>10.01 / Requisiti degli impianti elettrici / S.T., al più tardi alla data del rinnovo del certificato per la navigazione interna posteriormente all'1.1.2015".</w:t>
      </w:r>
    </w:p>
  </w:footnote>
  <w:footnote w:id="38">
    <w:p w:rsidR="00801F1F" w:rsidRPr="00762086" w:rsidRDefault="00801F1F" w:rsidP="000E732C">
      <w:pPr>
        <w:pStyle w:val="FootnoteText"/>
        <w:spacing w:before="40"/>
        <w:ind w:left="284" w:hanging="284"/>
      </w:pPr>
      <w:r>
        <w:rPr>
          <w:rStyle w:val="FootnoteReference"/>
          <w:sz w:val="16"/>
        </w:rPr>
        <w:footnoteRef/>
      </w:r>
      <w:r>
        <w:tab/>
      </w:r>
      <w:r>
        <w:rPr>
          <w:sz w:val="16"/>
        </w:rPr>
        <w:t xml:space="preserve">La disposizione transitoria applicabile all'articolo 15.02, paragrafo 5, è un requisito temporaneo, applicabile fino al 31 dicembre 2019. La seguente disposizione transitoria era in vigore prima del 1° dicembre 2014: </w:t>
      </w:r>
      <w:r>
        <w:rPr>
          <w:i/>
          <w:sz w:val="16"/>
        </w:rPr>
        <w:t>"15.02, paragrafo 5 / Rumori e vibrazioni negli alloggi / Rinnovo del certificato per la navigazione interna posteriormente all'1.1.2015".</w:t>
      </w:r>
    </w:p>
  </w:footnote>
  <w:footnote w:id="39">
    <w:p w:rsidR="00801F1F" w:rsidRPr="00762086" w:rsidRDefault="00801F1F" w:rsidP="00B90A00">
      <w:pPr>
        <w:pStyle w:val="FootnoteText"/>
        <w:ind w:left="284" w:hanging="284"/>
        <w:rPr>
          <w:rFonts w:cs="Arial"/>
          <w:sz w:val="16"/>
          <w:szCs w:val="16"/>
        </w:rPr>
      </w:pPr>
      <w:r>
        <w:rPr>
          <w:rStyle w:val="FootnoteReference"/>
        </w:rPr>
        <w:footnoteRef/>
      </w:r>
      <w:r>
        <w:t xml:space="preserve"> </w:t>
      </w:r>
      <w:r>
        <w:tab/>
      </w:r>
      <w:r>
        <w:rPr>
          <w:sz w:val="16"/>
        </w:rPr>
        <w:t>Direttiva 2006/87/CE del Parlamento europeo e del Consiglio, del 12 dicembre 2006, che fissa i requisiti tecnici per le navi della navigazione interna e che abroga la direttiva 82/714/CEE del Consiglio (GU L 389 del 30.12.2006).</w:t>
      </w:r>
    </w:p>
  </w:footnote>
  <w:footnote w:id="40">
    <w:p w:rsidR="00801F1F" w:rsidRPr="00762086" w:rsidRDefault="00801F1F" w:rsidP="0059704F">
      <w:pPr>
        <w:shd w:val="clear" w:color="auto" w:fill="FFFFFF"/>
        <w:tabs>
          <w:tab w:val="left" w:pos="284"/>
        </w:tabs>
        <w:ind w:left="567" w:hanging="567"/>
        <w:rPr>
          <w:rFonts w:cs="Arial"/>
          <w:sz w:val="16"/>
          <w:szCs w:val="16"/>
        </w:rPr>
      </w:pPr>
      <w:r>
        <w:rPr>
          <w:rStyle w:val="FootnoteReference"/>
          <w:sz w:val="16"/>
        </w:rPr>
        <w:footnoteRef/>
      </w:r>
      <w:r>
        <w:rPr>
          <w:sz w:val="16"/>
        </w:rPr>
        <w:t xml:space="preserve"> </w:t>
      </w:r>
      <w:r>
        <w:tab/>
      </w:r>
      <w:r>
        <w:rPr>
          <w:sz w:val="16"/>
        </w:rPr>
        <w:t>a)</w:t>
      </w:r>
      <w:r>
        <w:tab/>
      </w:r>
      <w:r>
        <w:rPr>
          <w:sz w:val="16"/>
        </w:rPr>
        <w:t>Gli impianti di estinzione a CO</w:t>
      </w:r>
      <w:r>
        <w:rPr>
          <w:sz w:val="16"/>
          <w:vertAlign w:val="subscript"/>
        </w:rPr>
        <w:t>2</w:t>
      </w:r>
      <w:r>
        <w:rPr>
          <w:sz w:val="16"/>
        </w:rPr>
        <w:t xml:space="preserve"> installati tra il 1° gennaio 1995 e il 31 marzo 2003 continuano ad essere accettati fino al rinnovo del certificato per la navigazione interna successivamente all'1.1.2035 a condizione che siano conformi all'articolo 10.03, paragrafo 5, della versione del 31 marzo 2002 del regolamento di ispezione delle navi sul Reno.</w:t>
      </w:r>
    </w:p>
    <w:p w:rsidR="00801F1F" w:rsidRPr="00762086" w:rsidRDefault="00801F1F" w:rsidP="0059704F">
      <w:pPr>
        <w:shd w:val="clear" w:color="auto" w:fill="FFFFFF"/>
        <w:tabs>
          <w:tab w:val="left" w:pos="284"/>
        </w:tabs>
        <w:ind w:left="567" w:hanging="283"/>
        <w:rPr>
          <w:rFonts w:cs="Arial"/>
          <w:sz w:val="16"/>
          <w:szCs w:val="16"/>
        </w:rPr>
      </w:pPr>
      <w:r>
        <w:rPr>
          <w:sz w:val="16"/>
        </w:rPr>
        <w:t>b)</w:t>
      </w:r>
      <w:r>
        <w:tab/>
      </w:r>
      <w:r>
        <w:rPr>
          <w:sz w:val="16"/>
        </w:rPr>
        <w:t>Le raccomandazioni della Commissione centrale per la navigazione sul Reno concernenti l'articolo 10.03, paragrafo 5, contenute nella versione del 31 marzo 2002 del regolamento di ispezione delle navi sul Reno, emesse tra il 1° gennaio 1995 e il 31 marzo 2002 restano valide fino al rinnovo del certificato per la navigazione interna successivamente all'1.1.2035.</w:t>
      </w:r>
    </w:p>
    <w:p w:rsidR="00801F1F" w:rsidRPr="00762086" w:rsidRDefault="00801F1F" w:rsidP="0059704F">
      <w:pPr>
        <w:pStyle w:val="FootnoteText"/>
        <w:tabs>
          <w:tab w:val="left" w:pos="284"/>
        </w:tabs>
        <w:ind w:left="567" w:hanging="283"/>
        <w:rPr>
          <w:rFonts w:cs="Arial"/>
        </w:rPr>
      </w:pPr>
      <w:r>
        <w:rPr>
          <w:sz w:val="16"/>
        </w:rPr>
        <w:t>c)</w:t>
      </w:r>
      <w:r>
        <w:tab/>
      </w:r>
      <w:r>
        <w:rPr>
          <w:sz w:val="16"/>
        </w:rPr>
        <w:t>L'articolo 13.05, paragrafo 2, lettera a), si applica soltanto agli impianti a bordo di navi la cui chiglia è stata impostata successivamente al 1° ottobre 1992 e fino al rinnovo del certificato per la navigazione interna dopo l'1.1.2035.</w:t>
      </w:r>
    </w:p>
  </w:footnote>
  <w:footnote w:id="41">
    <w:p w:rsidR="00801F1F" w:rsidRPr="00762086" w:rsidRDefault="00801F1F" w:rsidP="000E732C">
      <w:pPr>
        <w:pStyle w:val="FootnoteText"/>
        <w:ind w:left="284" w:hanging="284"/>
      </w:pPr>
      <w:r>
        <w:rPr>
          <w:rStyle w:val="FootnoteReference"/>
          <w:sz w:val="16"/>
        </w:rPr>
        <w:footnoteRef/>
      </w:r>
      <w:r>
        <w:rPr>
          <w:sz w:val="16"/>
        </w:rPr>
        <w:t xml:space="preserve"> </w:t>
      </w:r>
      <w:r>
        <w:tab/>
      </w:r>
      <w:r>
        <w:rPr>
          <w:sz w:val="16"/>
        </w:rPr>
        <w:t>La disposizione transitoria applicabile all'articolo 13.07 è un requisito temporaneo, applicabile fino al 31 dicembre 2019. La seguente disposizione transitoria era in vigore prima del 1° dicembre 2014: "</w:t>
      </w:r>
      <w:r>
        <w:rPr>
          <w:i/>
          <w:sz w:val="16"/>
        </w:rPr>
        <w:t>13.07 / Applicazione della norma europeo alle lance / N.S.T., al più tardi alla data del rinnovo del certificato per la navigazione interna posteriormente all'1.1.2015/1.10.2003".</w:t>
      </w:r>
    </w:p>
  </w:footnote>
  <w:footnote w:id="42">
    <w:p w:rsidR="00801F1F" w:rsidRPr="00762086" w:rsidRDefault="00801F1F" w:rsidP="006F55F5">
      <w:pPr>
        <w:pStyle w:val="FootnoteText"/>
        <w:ind w:left="284" w:hanging="284"/>
        <w:rPr>
          <w:rFonts w:cs="Arial"/>
          <w:sz w:val="16"/>
          <w:szCs w:val="16"/>
        </w:rPr>
      </w:pPr>
      <w:r>
        <w:rPr>
          <w:rStyle w:val="FootnoteReference"/>
          <w:sz w:val="16"/>
        </w:rPr>
        <w:footnoteRef/>
      </w:r>
      <w:r>
        <w:tab/>
      </w:r>
      <w:r>
        <w:rPr>
          <w:sz w:val="16"/>
        </w:rPr>
        <w:t>La disposizione transitoria applicabile all'articolo 19.06 paragrafo 6, lettera c) è un requisito temporaneo, applicabile fino al 31 dicembre 2019. La seguente disposizione transitoria era in vigore prima del 1° dicembre 2014: "</w:t>
      </w:r>
      <w:r>
        <w:rPr>
          <w:i/>
          <w:color w:val="000000"/>
          <w:sz w:val="16"/>
        </w:rPr>
        <w:t>19.06, paragrafo 6, lettera c)</w:t>
      </w:r>
      <w:r>
        <w:rPr>
          <w:i/>
          <w:sz w:val="16"/>
        </w:rPr>
        <w:t xml:space="preserve"> / Divieto di vie di evacuazione attraverso le cucine / N.S.T., al più tardi dopo il primo rinnovo del certificato per la navigazione interna posteriormente all'1.1.2015/1.1.2006".</w:t>
      </w:r>
    </w:p>
  </w:footnote>
  <w:footnote w:id="43">
    <w:p w:rsidR="00801F1F" w:rsidRPr="00762086" w:rsidRDefault="00801F1F" w:rsidP="006F55F5">
      <w:pPr>
        <w:pStyle w:val="FootnoteText"/>
        <w:spacing w:before="40"/>
        <w:ind w:left="284" w:hanging="284"/>
        <w:rPr>
          <w:rFonts w:cs="Arial"/>
          <w:sz w:val="16"/>
          <w:szCs w:val="16"/>
        </w:rPr>
      </w:pPr>
      <w:r>
        <w:rPr>
          <w:rStyle w:val="FootnoteReference"/>
          <w:sz w:val="16"/>
        </w:rPr>
        <w:footnoteRef/>
      </w:r>
      <w:r>
        <w:rPr>
          <w:sz w:val="16"/>
        </w:rPr>
        <w:t xml:space="preserve"> </w:t>
      </w:r>
      <w:r>
        <w:tab/>
      </w:r>
      <w:r>
        <w:rPr>
          <w:sz w:val="16"/>
        </w:rPr>
        <w:t>La disposizione transitoria applicabile all'articolo 19.07 è un requisito temporaneo, applicabile fino al 31 dicembre 2019. La seguente disposizione transitoria era in vigore prima del 1° dicembre 2014: "</w:t>
      </w:r>
      <w:r>
        <w:rPr>
          <w:i/>
          <w:color w:val="000000"/>
          <w:sz w:val="16"/>
        </w:rPr>
        <w:t>19.07</w:t>
      </w:r>
      <w:r>
        <w:rPr>
          <w:i/>
          <w:sz w:val="16"/>
        </w:rPr>
        <w:t xml:space="preserve"> / Requisiti concernenti il sistema di propulsione / N.S.T., al più tardi alla data di rinnovo del certificato per la navigazione interna posteriormente all'1.1.2015/1.1.2006".</w:t>
      </w:r>
    </w:p>
  </w:footnote>
  <w:footnote w:id="44">
    <w:p w:rsidR="00801F1F" w:rsidRPr="00762086" w:rsidRDefault="00801F1F" w:rsidP="006F55F5">
      <w:pPr>
        <w:pStyle w:val="FootnoteText"/>
        <w:spacing w:before="40"/>
        <w:ind w:left="284" w:hanging="284"/>
      </w:pPr>
      <w:r>
        <w:rPr>
          <w:rStyle w:val="FootnoteReference"/>
          <w:sz w:val="16"/>
        </w:rPr>
        <w:footnoteRef/>
      </w:r>
      <w:r>
        <w:rPr>
          <w:sz w:val="16"/>
        </w:rPr>
        <w:t xml:space="preserve"> </w:t>
      </w:r>
      <w:r>
        <w:tab/>
      </w:r>
      <w:r>
        <w:rPr>
          <w:sz w:val="16"/>
        </w:rPr>
        <w:t>La disposizione transitoria applicabile all'articolo 19.08, paragrafo 3, è un requisito temporaneo, applicabile fino al 31 dicembre 2019. La seguente disposizione transitoria era in vigore prima del 1° dicembre 2014: "</w:t>
      </w:r>
      <w:r>
        <w:rPr>
          <w:i/>
          <w:color w:val="000000"/>
          <w:sz w:val="16"/>
        </w:rPr>
        <w:t>19.08, paragrafo 3 /</w:t>
      </w:r>
      <w:r>
        <w:rPr>
          <w:i/>
          <w:sz w:val="16"/>
        </w:rPr>
        <w:t xml:space="preserve"> Requisiti del sistema di allarme / N.S.T., al più tardi alla data di rinnovo del certificato per la navigazione interna posteriormente all'1.1.2015/1.1.2006"</w:t>
      </w:r>
      <w:r>
        <w:rPr>
          <w:sz w:val="16"/>
        </w:rPr>
        <w:t xml:space="preserve"> e </w:t>
      </w:r>
      <w:r>
        <w:rPr>
          <w:i/>
          <w:color w:val="000000"/>
          <w:sz w:val="16"/>
        </w:rPr>
        <w:t>"19.08, paragrafo 3, lettera c) /</w:t>
      </w:r>
      <w:r>
        <w:rPr>
          <w:i/>
          <w:sz w:val="16"/>
        </w:rPr>
        <w:t xml:space="preserve"> Impianto d'allarme che permetta al personale di comando della nave di dare l'allarme all'equipaggio e al personale di bordo / Per le navi da crociera, si applica il regolamento N.S.T., al più tardi alla data di rinnovo del certificato per la navigazione interna posteriormente all'1.1.2007/1.1.2006".</w:t>
      </w:r>
    </w:p>
  </w:footnote>
  <w:footnote w:id="45">
    <w:p w:rsidR="00801F1F" w:rsidRPr="00762086" w:rsidRDefault="00801F1F" w:rsidP="00AA5614">
      <w:pPr>
        <w:pStyle w:val="FootnoteText"/>
        <w:spacing w:before="40"/>
        <w:ind w:left="284" w:hanging="284"/>
      </w:pPr>
      <w:r>
        <w:rPr>
          <w:rStyle w:val="FootnoteReference"/>
          <w:sz w:val="16"/>
        </w:rPr>
        <w:footnoteRef/>
      </w:r>
      <w:r>
        <w:rPr>
          <w:sz w:val="16"/>
        </w:rPr>
        <w:t xml:space="preserve"> </w:t>
      </w:r>
      <w:r>
        <w:tab/>
      </w:r>
      <w:r>
        <w:rPr>
          <w:sz w:val="16"/>
        </w:rPr>
        <w:t xml:space="preserve">MSC.61(67) adottata il 5 dicembre 1996 - </w:t>
      </w:r>
      <w:r>
        <w:rPr>
          <w:i/>
          <w:sz w:val="16"/>
        </w:rPr>
        <w:t>International Code for Application of Fire Test Procedures</w:t>
      </w:r>
      <w:r>
        <w:rPr>
          <w:sz w:val="16"/>
        </w:rPr>
        <w:t xml:space="preserve"> [Codice internazionale per l'applicazione delle procedure per le prove antincendio].</w:t>
      </w:r>
    </w:p>
  </w:footnote>
  <w:footnote w:id="46">
    <w:p w:rsidR="00801F1F" w:rsidRPr="00762086" w:rsidRDefault="00801F1F" w:rsidP="002D3F17">
      <w:pPr>
        <w:pStyle w:val="FootnoteText"/>
        <w:ind w:left="284" w:hanging="284"/>
        <w:rPr>
          <w:sz w:val="16"/>
          <w:szCs w:val="16"/>
        </w:rPr>
      </w:pPr>
      <w:r>
        <w:rPr>
          <w:rStyle w:val="FootnoteReference"/>
        </w:rPr>
        <w:footnoteRef/>
      </w:r>
      <w:r>
        <w:t xml:space="preserve"> </w:t>
      </w:r>
      <w:r>
        <w:tab/>
      </w:r>
      <w:r>
        <w:rPr>
          <w:sz w:val="16"/>
        </w:rPr>
        <w:t>Tuttavia, al più tardi alla data del rinnovo del certificato per la navigazione interna posteriormente all'1.1.2015, l'imbarcazione deve soddisfare i seguenti requisiti:</w:t>
      </w:r>
    </w:p>
    <w:p w:rsidR="00801F1F" w:rsidRPr="00762086" w:rsidRDefault="00801F1F" w:rsidP="00C5514F">
      <w:pPr>
        <w:pStyle w:val="FootnoteText"/>
        <w:spacing w:before="40"/>
        <w:ind w:left="568" w:hanging="284"/>
        <w:rPr>
          <w:rFonts w:cs="Arial"/>
          <w:sz w:val="16"/>
          <w:szCs w:val="16"/>
        </w:rPr>
      </w:pPr>
      <w:r>
        <w:rPr>
          <w:sz w:val="16"/>
        </w:rPr>
        <w:t>-</w:t>
      </w:r>
      <w:r>
        <w:tab/>
      </w:r>
      <w:r>
        <w:rPr>
          <w:sz w:val="16"/>
        </w:rPr>
        <w:t xml:space="preserve">i bordi esterni dei ponti, nonché i posti di lavoro che presentano un rischio di caduta da più di 1 m, sono provvisti di impavesate o di mastre di un'altezza minima di 0,70 m o di un parapetto continuo in conformità alla norma europea EN 711:1995, che prevede un corrimano, un listone all'altezza delle ginocchia e un guardapiedi; </w:t>
      </w:r>
    </w:p>
    <w:p w:rsidR="00801F1F" w:rsidRPr="00762086" w:rsidRDefault="00801F1F" w:rsidP="00C5514F">
      <w:pPr>
        <w:pStyle w:val="FootnoteText"/>
        <w:spacing w:before="40"/>
        <w:ind w:left="568" w:hanging="284"/>
        <w:rPr>
          <w:rFonts w:cs="Arial"/>
          <w:sz w:val="16"/>
          <w:szCs w:val="16"/>
        </w:rPr>
      </w:pPr>
      <w:r>
        <w:rPr>
          <w:sz w:val="16"/>
        </w:rPr>
        <w:t>-</w:t>
      </w:r>
      <w:r>
        <w:tab/>
      </w:r>
      <w:r>
        <w:rPr>
          <w:sz w:val="16"/>
        </w:rPr>
        <w:t>i ponti laterali sono dotati di guardapiedi e corrimano continuo fissato alla mastra. I corrimano in corrispondenza della mastra non sono necessari quando i ponti laterali sono dotati di parapetto fisso dal lato mare.</w:t>
      </w:r>
    </w:p>
  </w:footnote>
  <w:footnote w:id="47">
    <w:p w:rsidR="00801F1F" w:rsidRPr="00762086" w:rsidRDefault="00801F1F" w:rsidP="001E2331">
      <w:pPr>
        <w:pStyle w:val="FootnoteText"/>
        <w:ind w:left="284" w:hanging="284"/>
        <w:rPr>
          <w:rFonts w:cs="Arial"/>
          <w:sz w:val="16"/>
          <w:szCs w:val="16"/>
        </w:rPr>
      </w:pPr>
      <w:r>
        <w:rPr>
          <w:rStyle w:val="FootnoteReference"/>
        </w:rPr>
        <w:footnoteRef/>
      </w:r>
      <w:r>
        <w:tab/>
      </w:r>
      <w:r>
        <w:rPr>
          <w:sz w:val="16"/>
        </w:rPr>
        <w:t>Per le navi la cui chiglia è stata impostata dopo il 31.12.1994 e per le navi in servizio, la prescrizione si applica alle seguenti condizioni.</w:t>
      </w:r>
    </w:p>
    <w:p w:rsidR="00801F1F" w:rsidRPr="00762086" w:rsidRDefault="00801F1F" w:rsidP="001E2331">
      <w:pPr>
        <w:pStyle w:val="FootnoteText"/>
        <w:spacing w:before="40"/>
        <w:ind w:left="284" w:firstLine="0"/>
        <w:rPr>
          <w:rFonts w:cs="Arial"/>
          <w:sz w:val="16"/>
          <w:szCs w:val="16"/>
        </w:rPr>
      </w:pPr>
      <w:r>
        <w:rPr>
          <w:sz w:val="16"/>
        </w:rPr>
        <w:t>Se l'intera zona della stiva deve essere sostituita, occorre soddisfare le prescrizioni di cui all'articolo 14.04. In caso di modifiche che interessano l'intera lunghezza della zona del ponte laterale e la modifica dell'ampiezza libera del ponte laterale,</w:t>
      </w:r>
    </w:p>
    <w:p w:rsidR="00801F1F" w:rsidRPr="00762086" w:rsidRDefault="00801F1F" w:rsidP="001E2331">
      <w:pPr>
        <w:pStyle w:val="FootnoteText"/>
        <w:tabs>
          <w:tab w:val="left" w:pos="567"/>
        </w:tabs>
        <w:spacing w:before="40"/>
        <w:ind w:left="567" w:hanging="283"/>
        <w:rPr>
          <w:rFonts w:cs="Arial"/>
          <w:sz w:val="16"/>
          <w:szCs w:val="16"/>
        </w:rPr>
      </w:pPr>
      <w:r>
        <w:rPr>
          <w:sz w:val="16"/>
        </w:rPr>
        <w:t>a)</w:t>
      </w:r>
      <w:r>
        <w:tab/>
      </w:r>
      <w:r>
        <w:rPr>
          <w:sz w:val="16"/>
        </w:rPr>
        <w:t>occorre rispettare l'articolo 14.04 quando è necessario ridurre l'ampiezza libera del ponte laterale fino a un'altezza di 0,90 m, disponibile prima della modifica;</w:t>
      </w:r>
    </w:p>
    <w:p w:rsidR="00801F1F" w:rsidRPr="00762086" w:rsidRDefault="00801F1F" w:rsidP="0063563D">
      <w:pPr>
        <w:ind w:left="567" w:hanging="283"/>
      </w:pPr>
      <w:r>
        <w:rPr>
          <w:sz w:val="16"/>
        </w:rPr>
        <w:t>b)</w:t>
      </w:r>
      <w:r>
        <w:tab/>
      </w:r>
      <w:r>
        <w:rPr>
          <w:sz w:val="16"/>
        </w:rPr>
        <w:t>l'ampiezza libera del ponte laterale fino a un'altezza di 0,90 m o l'ampiezza libera del ponte oltre tale altezza, disponibili prima della modifica, non devono essere ridotte, se le loro dimensioni sono inferiori a quelle specificate nell'articolo 14.04.</w:t>
      </w:r>
    </w:p>
  </w:footnote>
  <w:footnote w:id="48">
    <w:p w:rsidR="00801F1F" w:rsidRPr="00762086" w:rsidRDefault="00801F1F" w:rsidP="00AA5614">
      <w:pPr>
        <w:pStyle w:val="FootnoteText"/>
        <w:ind w:left="284" w:hanging="284"/>
        <w:rPr>
          <w:sz w:val="16"/>
          <w:szCs w:val="16"/>
        </w:rPr>
      </w:pPr>
      <w:r>
        <w:rPr>
          <w:rStyle w:val="FootnoteReference"/>
        </w:rPr>
        <w:footnoteRef/>
      </w:r>
      <w:r>
        <w:rPr>
          <w:sz w:val="16"/>
        </w:rPr>
        <w:t xml:space="preserve"> </w:t>
      </w:r>
      <w:r>
        <w:tab/>
      </w:r>
      <w:r>
        <w:rPr>
          <w:sz w:val="16"/>
        </w:rPr>
        <w:t xml:space="preserve">MSC.61(67) adottata il 5 dicembre 1996 - </w:t>
      </w:r>
      <w:r>
        <w:rPr>
          <w:i/>
          <w:sz w:val="16"/>
        </w:rPr>
        <w:t>International Code for Application of Fire Test Procedures</w:t>
      </w:r>
      <w:r>
        <w:rPr>
          <w:sz w:val="16"/>
        </w:rPr>
        <w:t xml:space="preserve"> [Codice internazionale per l'applicazione delle procedure per le prove antincendio].</w:t>
      </w:r>
    </w:p>
  </w:footnote>
  <w:footnote w:id="49">
    <w:p w:rsidR="00801F1F" w:rsidRPr="00762086" w:rsidRDefault="00801F1F" w:rsidP="009C13A9">
      <w:pPr>
        <w:pStyle w:val="FootnoteText"/>
        <w:spacing w:line="180" w:lineRule="exact"/>
        <w:ind w:left="284" w:hanging="284"/>
        <w:rPr>
          <w:rFonts w:cs="Arial"/>
          <w:sz w:val="16"/>
          <w:szCs w:val="16"/>
        </w:rPr>
      </w:pPr>
      <w:r>
        <w:rPr>
          <w:rStyle w:val="FootnoteReference"/>
          <w:sz w:val="16"/>
        </w:rPr>
        <w:footnoteRef/>
      </w:r>
      <w:r>
        <w:rPr>
          <w:sz w:val="16"/>
        </w:rPr>
        <w:t xml:space="preserve"> </w:t>
      </w:r>
      <w:r>
        <w:tab/>
      </w:r>
      <w:r>
        <w:rPr>
          <w:sz w:val="16"/>
        </w:rPr>
        <w:t>Il certificato di ispezione per il Reno farà riferimento a: battelliere, battelliere sostituito da un responsabile dei motori; regimi di esercizio A1, A2 e B.</w:t>
      </w:r>
    </w:p>
  </w:footnote>
  <w:footnote w:id="50">
    <w:p w:rsidR="00801F1F" w:rsidRPr="00762086" w:rsidRDefault="00801F1F" w:rsidP="009C13A9">
      <w:pPr>
        <w:pStyle w:val="FootnoteText"/>
        <w:spacing w:line="180" w:lineRule="exact"/>
        <w:ind w:left="284" w:hanging="284"/>
        <w:rPr>
          <w:rFonts w:cs="Arial"/>
          <w:sz w:val="16"/>
          <w:szCs w:val="16"/>
        </w:rPr>
      </w:pPr>
      <w:r>
        <w:rPr>
          <w:rStyle w:val="FootnoteReference"/>
          <w:sz w:val="16"/>
        </w:rPr>
        <w:footnoteRef/>
      </w:r>
      <w:r>
        <w:rPr>
          <w:sz w:val="16"/>
        </w:rPr>
        <w:t xml:space="preserve"> </w:t>
      </w:r>
      <w:r>
        <w:tab/>
      </w:r>
      <w:r>
        <w:rPr>
          <w:sz w:val="16"/>
        </w:rPr>
        <w:t>Il certificato di ispezione per il Reno farà riferimento a: conduttore, timoniere, battelliere esperto, battelliere, apprendista, responsabile dei motori, tecnico: regimi di esercizio A1, A2 e B.</w:t>
      </w:r>
    </w:p>
  </w:footnote>
  <w:footnote w:id="51">
    <w:p w:rsidR="00801F1F" w:rsidRPr="00762086" w:rsidRDefault="00801F1F" w:rsidP="00857FC2">
      <w:pPr>
        <w:ind w:left="284" w:hanging="284"/>
      </w:pPr>
      <w:r>
        <w:rPr>
          <w:rStyle w:val="FootnoteReference"/>
        </w:rPr>
        <w:footnoteRef/>
      </w:r>
      <w:r>
        <w:t xml:space="preserve"> </w:t>
      </w:r>
      <w:r>
        <w:tab/>
      </w:r>
      <w:r>
        <w:rPr>
          <w:spacing w:val="-2"/>
          <w:sz w:val="16"/>
        </w:rPr>
        <w:t>Il certificato di ispezione per il Reno farà riferimento a: battelliere, battelliere sostituito da un responsabile dei motori; regimi di esercizio A1, A2 e B.</w:t>
      </w:r>
    </w:p>
  </w:footnote>
  <w:footnote w:id="52">
    <w:p w:rsidR="00801F1F" w:rsidRPr="00762086" w:rsidRDefault="00801F1F" w:rsidP="001077F3">
      <w:pPr>
        <w:pStyle w:val="FootnoteText"/>
        <w:ind w:left="284" w:hanging="284"/>
        <w:rPr>
          <w:sz w:val="16"/>
          <w:szCs w:val="16"/>
        </w:rPr>
      </w:pPr>
      <w:r>
        <w:rPr>
          <w:rStyle w:val="FootnoteReference"/>
        </w:rPr>
        <w:footnoteRef/>
      </w:r>
      <w:r>
        <w:t xml:space="preserve"> </w:t>
      </w:r>
      <w:r>
        <w:tab/>
      </w:r>
      <w:r>
        <w:rPr>
          <w:sz w:val="16"/>
        </w:rPr>
        <w:t>Direttiva 2014/53/UE del Parlamento europeo e del Consiglio, del 16 aprile 2014, concernente l'armonizzazione delle legislazioni degli Stati membri relative alla messa a disposizione sul mercato di apparecchiature radio e che abroga la direttiva 1999/5/CE (GU L 153 del 22.5.2014).</w:t>
      </w:r>
    </w:p>
  </w:footnote>
  <w:footnote w:id="53">
    <w:p w:rsidR="00801F1F" w:rsidRPr="00762086" w:rsidRDefault="00801F1F" w:rsidP="001077F3">
      <w:pPr>
        <w:pStyle w:val="FootnoteText"/>
        <w:ind w:left="284" w:hanging="284"/>
        <w:rPr>
          <w:sz w:val="16"/>
          <w:szCs w:val="16"/>
        </w:rPr>
      </w:pPr>
      <w:r>
        <w:rPr>
          <w:rStyle w:val="FootnoteReference"/>
        </w:rPr>
        <w:footnoteRef/>
      </w:r>
      <w:r>
        <w:t xml:space="preserve"> </w:t>
      </w:r>
      <w:r>
        <w:tab/>
      </w:r>
      <w:r>
        <w:rPr>
          <w:sz w:val="16"/>
        </w:rPr>
        <w:t>Direttiva 2014/30/UE del Parlamento europeo e del Consiglio, del 26 febbraio 2014, concernente l'armonizzazione delle legislazioni degli Stati membri relative alla compatibilità elettromagnetica (GU L 96 del 29.3.2014).</w:t>
      </w:r>
    </w:p>
  </w:footnote>
  <w:footnote w:id="54">
    <w:p w:rsidR="00801F1F" w:rsidRPr="00762086" w:rsidRDefault="00801F1F" w:rsidP="001077F3">
      <w:pPr>
        <w:pStyle w:val="FootnoteText"/>
        <w:spacing w:line="240" w:lineRule="atLeast"/>
        <w:ind w:left="284" w:hanging="284"/>
        <w:rPr>
          <w:rFonts w:cs="Arial"/>
        </w:rPr>
      </w:pPr>
      <w:r>
        <w:rPr>
          <w:rStyle w:val="FootnoteReference"/>
        </w:rPr>
        <w:footnoteRef/>
      </w:r>
      <w:r>
        <w:t xml:space="preserve"> </w:t>
      </w:r>
      <w:r>
        <w:tab/>
      </w:r>
      <w:r>
        <w:rPr>
          <w:sz w:val="16"/>
        </w:rPr>
        <w:t xml:space="preserve">MSC.112 (73) adottata il 1° dicembre 2000 - </w:t>
      </w:r>
      <w:r>
        <w:rPr>
          <w:i/>
          <w:sz w:val="16"/>
        </w:rPr>
        <w:t>Revised Performance Standards for Shipborne Global Positioning System (GPS) Receiver Equipment</w:t>
      </w:r>
      <w:r>
        <w:rPr>
          <w:sz w:val="16"/>
        </w:rPr>
        <w:t xml:space="preserve"> [Norme riviste sulle prestazioni per l'apparecchiatura ricevente del sistema di posizionamento globale (GPS) a bordo di imbarcazioni].</w:t>
      </w:r>
    </w:p>
  </w:footnote>
  <w:footnote w:id="55">
    <w:p w:rsidR="00801F1F" w:rsidRPr="00762086" w:rsidRDefault="00801F1F" w:rsidP="001077F3">
      <w:pPr>
        <w:pStyle w:val="FootnoteText"/>
        <w:spacing w:line="240" w:lineRule="atLeast"/>
        <w:ind w:left="284" w:hanging="284"/>
        <w:rPr>
          <w:rFonts w:cs="Arial"/>
        </w:rPr>
      </w:pPr>
      <w:r>
        <w:rPr>
          <w:rStyle w:val="FootnoteReference"/>
        </w:rPr>
        <w:footnoteRef/>
      </w:r>
      <w:r>
        <w:rPr>
          <w:vertAlign w:val="superscript"/>
        </w:rPr>
        <w:t xml:space="preserve"> </w:t>
      </w:r>
      <w:r>
        <w:tab/>
      </w:r>
      <w:r>
        <w:rPr>
          <w:sz w:val="16"/>
        </w:rPr>
        <w:t xml:space="preserve">MSC.112 (73) adottata il 1° dicembre 2000 - </w:t>
      </w:r>
      <w:r>
        <w:rPr>
          <w:i/>
          <w:sz w:val="16"/>
        </w:rPr>
        <w:t>Revised Performance Standards for Shipborne DGPS and DGLONASS Maritime Radio Beacon Receiver Equipment</w:t>
      </w:r>
      <w:r>
        <w:rPr>
          <w:sz w:val="16"/>
        </w:rPr>
        <w:t xml:space="preserve"> [Norme riviste sulle prestazioni per l'apparecchiatura ricevente del sistema di radiofaro marittimo DGPS e DGLONASS a bordo di imbarcazioni].</w:t>
      </w:r>
    </w:p>
  </w:footnote>
  <w:footnote w:id="56">
    <w:p w:rsidR="00801F1F" w:rsidRPr="00762086" w:rsidRDefault="00801F1F" w:rsidP="001077F3">
      <w:pPr>
        <w:pStyle w:val="FootnoteText"/>
        <w:spacing w:line="240" w:lineRule="atLeast"/>
        <w:ind w:left="284" w:hanging="284"/>
        <w:rPr>
          <w:rFonts w:cs="Arial"/>
        </w:rPr>
      </w:pPr>
      <w:r>
        <w:rPr>
          <w:rStyle w:val="FootnoteReference"/>
        </w:rPr>
        <w:footnoteRef/>
      </w:r>
      <w:r>
        <w:t xml:space="preserve"> </w:t>
      </w:r>
      <w:r>
        <w:tab/>
      </w:r>
      <w:r>
        <w:rPr>
          <w:sz w:val="16"/>
        </w:rPr>
        <w:t xml:space="preserve">MSC.233 (82) adottata il 5 dicembre 2006 - </w:t>
      </w:r>
      <w:r>
        <w:rPr>
          <w:i/>
          <w:sz w:val="16"/>
        </w:rPr>
        <w:t>Performance Standards for Shipborne Galileo Receiver Equipment</w:t>
      </w:r>
      <w:r>
        <w:rPr>
          <w:sz w:val="16"/>
        </w:rPr>
        <w:t xml:space="preserve"> [Norme sulle prestazioni per l'apparecchiatura ricevente Galileo a bordo di imbarcazioni].</w:t>
      </w:r>
    </w:p>
  </w:footnote>
  <w:footnote w:id="57">
    <w:p w:rsidR="00801F1F" w:rsidRPr="00762086" w:rsidRDefault="00801F1F" w:rsidP="001077F3">
      <w:pPr>
        <w:pStyle w:val="FootnoteText"/>
        <w:spacing w:line="240" w:lineRule="atLeast"/>
        <w:ind w:left="284" w:hanging="284"/>
      </w:pPr>
      <w:r>
        <w:rPr>
          <w:rStyle w:val="FootnoteReference"/>
        </w:rPr>
        <w:footnoteRef/>
      </w:r>
      <w:r>
        <w:rPr>
          <w:vertAlign w:val="superscript"/>
        </w:rPr>
        <w:t xml:space="preserve"> </w:t>
      </w:r>
      <w:r>
        <w:tab/>
      </w:r>
      <w:r>
        <w:rPr>
          <w:sz w:val="16"/>
        </w:rPr>
        <w:t xml:space="preserve">MSC.116 (73) adottata il 1° dicembre 2000 - </w:t>
      </w:r>
      <w:r>
        <w:rPr>
          <w:i/>
          <w:sz w:val="16"/>
        </w:rPr>
        <w:t>Performance Standards for marine transmitting heading devices (THDs)</w:t>
      </w:r>
      <w:r>
        <w:rPr>
          <w:sz w:val="16"/>
        </w:rPr>
        <w:t xml:space="preserve"> [Norme sulle prestazioni per i dispositivi marittimi di rotta trasmittenti (THD)].</w:t>
      </w:r>
    </w:p>
  </w:footnote>
  <w:footnote w:id="58">
    <w:p w:rsidR="00801F1F" w:rsidRPr="00762086" w:rsidRDefault="00801F1F" w:rsidP="001077F3">
      <w:pPr>
        <w:pStyle w:val="FootnoteText"/>
        <w:ind w:left="284" w:hanging="284"/>
        <w:rPr>
          <w:rFonts w:cs="Arial"/>
        </w:rPr>
      </w:pPr>
      <w:r>
        <w:rPr>
          <w:rStyle w:val="FootnoteReference"/>
        </w:rPr>
        <w:footnoteRef/>
      </w:r>
      <w:r>
        <w:t xml:space="preserve"> </w:t>
      </w:r>
      <w:r>
        <w:tab/>
      </w:r>
      <w:r>
        <w:rPr>
          <w:sz w:val="16"/>
        </w:rPr>
        <w:t xml:space="preserve">MSC.112 (73) adottata il 1° dicembre 2000 - </w:t>
      </w:r>
      <w:r>
        <w:rPr>
          <w:i/>
          <w:sz w:val="16"/>
        </w:rPr>
        <w:t>Revised Performance Standards for Shipborne Global Positioning System (GPS) Receiver Equipment</w:t>
      </w:r>
      <w:r>
        <w:rPr>
          <w:sz w:val="16"/>
        </w:rPr>
        <w:t xml:space="preserve"> [Norme riviste sulle prestazioni per l'apparecchiatura ricevente del sistema di posizionamento globale (GPS) a bordo di imbarcazioni].</w:t>
      </w:r>
    </w:p>
  </w:footnote>
  <w:footnote w:id="59">
    <w:p w:rsidR="00801F1F" w:rsidRPr="00762086" w:rsidRDefault="00801F1F" w:rsidP="001077F3">
      <w:pPr>
        <w:pStyle w:val="FootnoteText"/>
        <w:ind w:left="284" w:hanging="284"/>
        <w:rPr>
          <w:rFonts w:cs="Arial"/>
        </w:rPr>
      </w:pPr>
      <w:r>
        <w:rPr>
          <w:rStyle w:val="FootnoteReference"/>
        </w:rPr>
        <w:footnoteRef/>
      </w:r>
      <w:r>
        <w:rPr>
          <w:vertAlign w:val="superscript"/>
        </w:rPr>
        <w:t xml:space="preserve"> </w:t>
      </w:r>
      <w:r>
        <w:tab/>
      </w:r>
      <w:r>
        <w:rPr>
          <w:sz w:val="16"/>
        </w:rPr>
        <w:t xml:space="preserve">MSC.112 (73) adottata il 1° dicembre 2000 - </w:t>
      </w:r>
      <w:r>
        <w:rPr>
          <w:i/>
          <w:sz w:val="16"/>
        </w:rPr>
        <w:t>Revised Performance Standards for Shipborne DGPS and DGLONASS Maritime Radio Beacon Receiver Equipment</w:t>
      </w:r>
      <w:r>
        <w:rPr>
          <w:sz w:val="16"/>
        </w:rPr>
        <w:t xml:space="preserve"> [Norme riviste sulle prestazioni per l'apparecchiatura ricevente del sistema di radiofaro marittimo DGPS e DGLONASS a bordo di imbarcazioni].</w:t>
      </w:r>
    </w:p>
  </w:footnote>
  <w:footnote w:id="60">
    <w:p w:rsidR="00801F1F" w:rsidRPr="00762086" w:rsidRDefault="00801F1F" w:rsidP="001077F3">
      <w:pPr>
        <w:pStyle w:val="FootnoteText"/>
        <w:ind w:left="284" w:hanging="284"/>
        <w:rPr>
          <w:rFonts w:cs="Arial"/>
        </w:rPr>
      </w:pPr>
      <w:r>
        <w:rPr>
          <w:rStyle w:val="FootnoteReference"/>
        </w:rPr>
        <w:footnoteRef/>
      </w:r>
      <w:r>
        <w:t xml:space="preserve"> </w:t>
      </w:r>
      <w:r>
        <w:tab/>
      </w:r>
      <w:r>
        <w:rPr>
          <w:sz w:val="16"/>
        </w:rPr>
        <w:t xml:space="preserve">MSC.233 (82) adottata il 5 dicembre 2006 - </w:t>
      </w:r>
      <w:r>
        <w:rPr>
          <w:i/>
          <w:sz w:val="16"/>
        </w:rPr>
        <w:t>Performance Standards for Shipborne Galileo Receiver Equipment</w:t>
      </w:r>
      <w:r>
        <w:rPr>
          <w:sz w:val="16"/>
        </w:rPr>
        <w:t xml:space="preserve"> [Norme sulle prestazioni per l'apparecchiatura ricevente Galileo a bordo di imbarcazioni].</w:t>
      </w:r>
    </w:p>
  </w:footnote>
  <w:footnote w:id="61">
    <w:p w:rsidR="00801F1F" w:rsidRPr="00762086" w:rsidRDefault="00801F1F" w:rsidP="001077F3">
      <w:pPr>
        <w:pStyle w:val="FootnoteText"/>
        <w:ind w:left="284" w:hanging="284"/>
      </w:pPr>
      <w:r>
        <w:rPr>
          <w:rStyle w:val="FootnoteReference"/>
        </w:rPr>
        <w:footnoteRef/>
      </w:r>
      <w:r>
        <w:rPr>
          <w:vertAlign w:val="superscript"/>
        </w:rPr>
        <w:t xml:space="preserve"> </w:t>
      </w:r>
      <w:r>
        <w:tab/>
      </w:r>
      <w:r>
        <w:rPr>
          <w:sz w:val="16"/>
        </w:rPr>
        <w:t xml:space="preserve">MSC.116 (73) adottata il 1° dicembre 2000 - </w:t>
      </w:r>
      <w:r>
        <w:rPr>
          <w:i/>
          <w:sz w:val="16"/>
        </w:rPr>
        <w:t>Performance Standards for marine transmitting heading devices (THDs)</w:t>
      </w:r>
      <w:r>
        <w:rPr>
          <w:sz w:val="16"/>
        </w:rPr>
        <w:t xml:space="preserve"> [Norme sulle prestazioni per i dispositivi marittimi di rotta trasmittenti (THD)].</w:t>
      </w:r>
    </w:p>
  </w:footnote>
  <w:footnote w:id="62">
    <w:p w:rsidR="00801F1F" w:rsidRPr="00762086" w:rsidRDefault="00801F1F" w:rsidP="001705E4">
      <w:pPr>
        <w:pStyle w:val="FootnoteText"/>
        <w:ind w:left="284" w:hanging="284"/>
        <w:rPr>
          <w:sz w:val="16"/>
          <w:szCs w:val="16"/>
        </w:rPr>
      </w:pPr>
      <w:r>
        <w:rPr>
          <w:rStyle w:val="FootnoteReference"/>
        </w:rPr>
        <w:footnoteRef/>
      </w:r>
      <w:r>
        <w:t xml:space="preserve"> </w:t>
      </w:r>
      <w:r>
        <w:tab/>
      </w:r>
      <w:r>
        <w:rPr>
          <w:sz w:val="16"/>
        </w:rPr>
        <w:t>Barrare la casella che interessa.</w:t>
      </w:r>
    </w:p>
    <w:p w:rsidR="00801F1F" w:rsidRPr="00762086" w:rsidRDefault="00801F1F" w:rsidP="001705E4">
      <w:pPr>
        <w:pStyle w:val="FootnoteText"/>
        <w:ind w:left="284" w:hanging="284"/>
      </w:pPr>
    </w:p>
  </w:footnote>
  <w:footnote w:id="63">
    <w:p w:rsidR="00801F1F" w:rsidRPr="00762086" w:rsidRDefault="00801F1F" w:rsidP="00422169">
      <w:pPr>
        <w:ind w:left="284" w:hanging="284"/>
        <w:rPr>
          <w:sz w:val="18"/>
        </w:rPr>
      </w:pPr>
      <w:r>
        <w:rPr>
          <w:rStyle w:val="FootnoteReference"/>
        </w:rPr>
        <w:footnoteRef/>
      </w:r>
      <w:r>
        <w:t xml:space="preserve"> </w:t>
      </w:r>
      <w:r>
        <w:tab/>
      </w:r>
      <w:r>
        <w:rPr>
          <w:sz w:val="16"/>
        </w:rPr>
        <w:t>Numero di riferimento della scheda informativa assegnato dall'autorità competente.</w:t>
      </w:r>
    </w:p>
  </w:footnote>
  <w:footnote w:id="64">
    <w:p w:rsidR="00801F1F" w:rsidRPr="00762086" w:rsidRDefault="00801F1F" w:rsidP="009C13A9">
      <w:pPr>
        <w:pStyle w:val="FootnoteText"/>
        <w:ind w:left="284" w:hanging="284"/>
        <w:rPr>
          <w:sz w:val="16"/>
          <w:szCs w:val="16"/>
        </w:rPr>
      </w:pPr>
      <w:r>
        <w:rPr>
          <w:rStyle w:val="FootnoteReference"/>
          <w:sz w:val="16"/>
        </w:rPr>
        <w:footnoteRef/>
      </w:r>
      <w:r>
        <w:rPr>
          <w:sz w:val="16"/>
        </w:rPr>
        <w:t xml:space="preserve"> </w:t>
      </w:r>
      <w:r>
        <w:tab/>
      </w:r>
      <w:r>
        <w:rPr>
          <w:sz w:val="16"/>
        </w:rPr>
        <w:t>Fasi operative</w:t>
      </w:r>
    </w:p>
    <w:p w:rsidR="00801F1F" w:rsidRPr="00762086" w:rsidRDefault="00801F1F" w:rsidP="009C13A9">
      <w:pPr>
        <w:pStyle w:val="FootnoteText"/>
        <w:ind w:left="284" w:firstLine="0"/>
        <w:rPr>
          <w:sz w:val="16"/>
          <w:szCs w:val="16"/>
        </w:rPr>
      </w:pPr>
      <w:r>
        <w:rPr>
          <w:sz w:val="16"/>
        </w:rPr>
        <w:t>Ai fini delle prove sono definite le seguenti fasi operative:</w:t>
      </w:r>
    </w:p>
    <w:p w:rsidR="00801F1F" w:rsidRPr="00762086" w:rsidRDefault="00801F1F" w:rsidP="009C13A9">
      <w:pPr>
        <w:pStyle w:val="FootnoteText"/>
        <w:ind w:left="709"/>
        <w:rPr>
          <w:sz w:val="16"/>
          <w:szCs w:val="16"/>
        </w:rPr>
      </w:pPr>
      <w:r>
        <w:rPr>
          <w:sz w:val="16"/>
        </w:rPr>
        <w:t>a)</w:t>
      </w:r>
      <w:r>
        <w:tab/>
      </w:r>
      <w:r>
        <w:rPr>
          <w:sz w:val="16"/>
        </w:rPr>
        <w:t xml:space="preserve">Operatività in stand-by, quando l’impianto di depurazione di bordo è in funzione ma non ha trattato acque reflue per più di un giorno. Un impianto di depurazione di bordo può essere in stand-by quando, ad esempio, la nave passeggeri non è in servizio per un lungo periodo ed è all’ormeggio. </w:t>
      </w:r>
    </w:p>
    <w:p w:rsidR="00801F1F" w:rsidRPr="00762086" w:rsidRDefault="00801F1F" w:rsidP="009C13A9">
      <w:pPr>
        <w:pStyle w:val="FootnoteText"/>
        <w:ind w:left="709"/>
        <w:rPr>
          <w:sz w:val="16"/>
          <w:szCs w:val="16"/>
        </w:rPr>
      </w:pPr>
      <w:r>
        <w:rPr>
          <w:sz w:val="16"/>
        </w:rPr>
        <w:t>b)</w:t>
      </w:r>
      <w:r>
        <w:tab/>
      </w:r>
      <w:r>
        <w:rPr>
          <w:sz w:val="16"/>
        </w:rPr>
        <w:t>Operatività di emergenza, quando sottoinsiemi individuali di un impianto di depurazione di bordo presentano anomalie che non consentono di trattare le acque reflue come previsto.</w:t>
      </w:r>
    </w:p>
    <w:p w:rsidR="00801F1F" w:rsidRPr="00762086" w:rsidRDefault="00801F1F" w:rsidP="009C13A9">
      <w:pPr>
        <w:pStyle w:val="FootnoteText"/>
        <w:ind w:left="709"/>
        <w:rPr>
          <w:sz w:val="16"/>
          <w:szCs w:val="16"/>
        </w:rPr>
      </w:pPr>
      <w:r>
        <w:rPr>
          <w:sz w:val="16"/>
        </w:rPr>
        <w:t>c)</w:t>
      </w:r>
      <w:r>
        <w:tab/>
      </w:r>
      <w:r>
        <w:rPr>
          <w:sz w:val="16"/>
        </w:rPr>
        <w:t>Modalità spegnimento, arresto e riavvio, quando un impianto di depurazione di bordo è messo fuori servizio per un periodo prolungato (ormeggio invernale) e l'alimentazione è disattivata o quando l'impianto di depurazione di bordo è riavviato all'inizio della stagione.</w:t>
      </w:r>
    </w:p>
    <w:p w:rsidR="00801F1F" w:rsidRPr="00762086" w:rsidRDefault="00801F1F" w:rsidP="009C13A9">
      <w:pPr>
        <w:pStyle w:val="FootnoteText"/>
        <w:rPr>
          <w:sz w:val="14"/>
        </w:rPr>
      </w:pPr>
    </w:p>
  </w:footnote>
  <w:footnote w:id="65">
    <w:p w:rsidR="00801F1F" w:rsidRPr="00762086" w:rsidRDefault="00801F1F" w:rsidP="00684B1D">
      <w:pPr>
        <w:pStyle w:val="FootnoteText"/>
        <w:ind w:left="284" w:hanging="284"/>
      </w:pPr>
      <w:r>
        <w:rPr>
          <w:rStyle w:val="FootnoteReference"/>
        </w:rPr>
        <w:footnoteRef/>
      </w:r>
      <w:r>
        <w:t xml:space="preserve"> </w:t>
      </w:r>
      <w:r>
        <w:tab/>
      </w:r>
      <w:r>
        <w:rPr>
          <w:sz w:val="16"/>
        </w:rPr>
        <w:t>Specificare l'opzione appropriata.</w:t>
      </w:r>
    </w:p>
  </w:footnote>
  <w:footnote w:id="66">
    <w:p w:rsidR="00801F1F" w:rsidRPr="00762086" w:rsidRDefault="00801F1F" w:rsidP="009C13A9">
      <w:pPr>
        <w:pStyle w:val="FootnoteText"/>
        <w:ind w:left="284" w:hanging="284"/>
        <w:rPr>
          <w:sz w:val="16"/>
          <w:szCs w:val="16"/>
        </w:rPr>
      </w:pPr>
      <w:r>
        <w:rPr>
          <w:rStyle w:val="FootnoteReference"/>
        </w:rPr>
        <w:footnoteRef/>
      </w:r>
      <w:r>
        <w:tab/>
      </w:r>
      <w:r>
        <w:rPr>
          <w:sz w:val="16"/>
        </w:rPr>
        <w:t>Indicare la casella appropriata.</w:t>
      </w:r>
    </w:p>
  </w:footnote>
  <w:footnote w:id="67">
    <w:p w:rsidR="00801F1F" w:rsidRPr="00762086" w:rsidRDefault="00801F1F" w:rsidP="009C13A9">
      <w:pPr>
        <w:pStyle w:val="FootnoteText"/>
        <w:ind w:left="284" w:hanging="284"/>
        <w:rPr>
          <w:sz w:val="16"/>
        </w:rPr>
      </w:pPr>
      <w:r>
        <w:rPr>
          <w:rStyle w:val="FootnoteReference"/>
        </w:rPr>
        <w:footnoteRef/>
      </w:r>
      <w:r>
        <w:tab/>
      </w:r>
      <w:r>
        <w:rPr>
          <w:sz w:val="16"/>
        </w:rPr>
        <w:t>Quando le prove sono eseguite dall'autorità competente indicare "non pertinente".</w:t>
      </w:r>
    </w:p>
  </w:footnote>
  <w:footnote w:id="68">
    <w:p w:rsidR="00801F1F" w:rsidRPr="00762086" w:rsidRDefault="00801F1F" w:rsidP="009C13A9">
      <w:pPr>
        <w:pStyle w:val="FootnoteText"/>
        <w:ind w:left="284" w:hanging="284"/>
        <w:rPr>
          <w:sz w:val="16"/>
        </w:rPr>
      </w:pPr>
      <w:r>
        <w:rPr>
          <w:rStyle w:val="FootnoteReference"/>
        </w:rPr>
        <w:footnoteRef/>
      </w:r>
      <w:r>
        <w:tab/>
      </w:r>
      <w:r>
        <w:rPr>
          <w:sz w:val="16"/>
        </w:rPr>
        <w:t>Indicare la casella appropriata.</w:t>
      </w:r>
    </w:p>
  </w:footnote>
  <w:footnote w:id="69">
    <w:p w:rsidR="00801F1F" w:rsidRPr="00762086" w:rsidRDefault="00801F1F" w:rsidP="009C13A9">
      <w:pPr>
        <w:pStyle w:val="FootnoteText"/>
        <w:ind w:left="284" w:hanging="284"/>
        <w:rPr>
          <w:sz w:val="16"/>
        </w:rPr>
      </w:pPr>
      <w:r>
        <w:rPr>
          <w:rStyle w:val="FootnoteReference"/>
        </w:rPr>
        <w:footnoteRef/>
      </w:r>
      <w:r>
        <w:tab/>
      </w:r>
      <w:r>
        <w:rPr>
          <w:sz w:val="16"/>
        </w:rPr>
        <w:t>Nel caso di più cicli di prove indicare ogni ciclo.</w:t>
      </w:r>
    </w:p>
  </w:footnote>
  <w:footnote w:id="70">
    <w:p w:rsidR="00801F1F" w:rsidRPr="00762086" w:rsidRDefault="00801F1F" w:rsidP="00BE2EE8">
      <w:pPr>
        <w:pStyle w:val="FootnoteText"/>
        <w:ind w:left="284" w:hanging="284"/>
      </w:pPr>
      <w:r>
        <w:rPr>
          <w:rStyle w:val="FootnoteReference"/>
        </w:rPr>
        <w:footnoteRef/>
      </w:r>
      <w:r>
        <w:t xml:space="preserve"> </w:t>
      </w:r>
      <w:r>
        <w:tab/>
      </w:r>
      <w:r>
        <w:rPr>
          <w:sz w:val="16"/>
        </w:rPr>
        <w:t>Conformemente al certificato di omologazione</w:t>
      </w:r>
    </w:p>
  </w:footnote>
  <w:footnote w:id="71">
    <w:p w:rsidR="00801F1F" w:rsidRPr="00762086" w:rsidRDefault="00801F1F" w:rsidP="00BE2EE8">
      <w:pPr>
        <w:pStyle w:val="FootnoteText"/>
        <w:ind w:left="284" w:hanging="284"/>
      </w:pPr>
      <w:r>
        <w:rPr>
          <w:rStyle w:val="FootnoteReference"/>
        </w:rPr>
        <w:footnoteRef/>
      </w:r>
      <w:r>
        <w:t xml:space="preserve"> </w:t>
      </w:r>
      <w:r>
        <w:tab/>
      </w:r>
      <w:r>
        <w:rPr>
          <w:sz w:val="16"/>
        </w:rPr>
        <w:t>Specificare l'opzione appropriata.</w:t>
      </w:r>
    </w:p>
  </w:footnote>
  <w:footnote w:id="72">
    <w:p w:rsidR="00801F1F" w:rsidRPr="00762086" w:rsidRDefault="00801F1F" w:rsidP="009C13A9">
      <w:pPr>
        <w:pStyle w:val="FootnoteText"/>
        <w:ind w:left="284" w:hanging="284"/>
        <w:rPr>
          <w:sz w:val="16"/>
          <w:szCs w:val="16"/>
        </w:rPr>
      </w:pPr>
      <w:r>
        <w:rPr>
          <w:rStyle w:val="FootnoteReference"/>
        </w:rPr>
        <w:footnoteRef/>
      </w:r>
      <w:r>
        <w:tab/>
      </w:r>
      <w:r>
        <w:rPr>
          <w:sz w:val="16"/>
        </w:rPr>
        <w:t>Da inserire da chi effettua la prova.</w:t>
      </w:r>
    </w:p>
  </w:footnote>
  <w:footnote w:id="73">
    <w:p w:rsidR="00801F1F" w:rsidRPr="00762086" w:rsidRDefault="00801F1F" w:rsidP="009C13A9">
      <w:pPr>
        <w:pStyle w:val="FootnoteText"/>
        <w:ind w:left="284" w:hanging="284"/>
        <w:rPr>
          <w:sz w:val="16"/>
          <w:szCs w:val="16"/>
        </w:rPr>
      </w:pPr>
      <w:r>
        <w:rPr>
          <w:rStyle w:val="FootnoteReference"/>
        </w:rPr>
        <w:footnoteRef/>
      </w:r>
      <w:r>
        <w:tab/>
      </w:r>
      <w:r>
        <w:rPr>
          <w:sz w:val="16"/>
        </w:rPr>
        <w:t>Indicare la casella appropriata.</w:t>
      </w:r>
    </w:p>
  </w:footnote>
  <w:footnote w:id="74">
    <w:p w:rsidR="00801F1F" w:rsidRPr="00762086" w:rsidRDefault="00801F1F" w:rsidP="009C13A9">
      <w:pPr>
        <w:pStyle w:val="FootnoteText"/>
        <w:ind w:left="284" w:hanging="284"/>
      </w:pPr>
      <w:r>
        <w:rPr>
          <w:rStyle w:val="FootnoteReference"/>
        </w:rPr>
        <w:footnoteRef/>
      </w:r>
      <w:r>
        <w:t xml:space="preserve"> </w:t>
      </w:r>
      <w:r>
        <w:tab/>
      </w:r>
      <w:r>
        <w:rPr>
          <w:sz w:val="16"/>
        </w:rPr>
        <w:t>Indicare la casella appropriata.</w:t>
      </w:r>
    </w:p>
  </w:footnote>
  <w:footnote w:id="75">
    <w:p w:rsidR="00801F1F" w:rsidRPr="00762086" w:rsidRDefault="00801F1F" w:rsidP="009C13A9">
      <w:pPr>
        <w:pStyle w:val="FootnoteText"/>
        <w:ind w:left="284" w:hanging="284"/>
        <w:rPr>
          <w:sz w:val="18"/>
          <w:szCs w:val="18"/>
        </w:rPr>
      </w:pPr>
      <w:r>
        <w:rPr>
          <w:sz w:val="18"/>
          <w:vertAlign w:val="superscript"/>
        </w:rPr>
        <w:t>(</w:t>
      </w:r>
      <w:r>
        <w:rPr>
          <w:rStyle w:val="Caractresdenotedebasdepage"/>
          <w:sz w:val="18"/>
        </w:rPr>
        <w:footnoteRef/>
      </w:r>
      <w:r>
        <w:rPr>
          <w:sz w:val="18"/>
          <w:vertAlign w:val="superscript"/>
        </w:rPr>
        <w:t>).</w:t>
      </w:r>
      <w:r>
        <w:tab/>
      </w:r>
      <w:r>
        <w:rPr>
          <w:sz w:val="16"/>
        </w:rPr>
        <w:t>Il TOC verrà monitorato a partire dalla fase II dei valori massimi di cui alla tabella 2 dell'articolo 18.01, paragrafo 2.</w:t>
      </w:r>
    </w:p>
  </w:footnote>
  <w:footnote w:id="76">
    <w:p w:rsidR="00801F1F" w:rsidRPr="00762086" w:rsidRDefault="00801F1F" w:rsidP="009C13A9">
      <w:pPr>
        <w:pStyle w:val="FootnoteText"/>
        <w:ind w:left="284" w:hanging="284"/>
        <w:rPr>
          <w:sz w:val="16"/>
          <w:szCs w:val="18"/>
        </w:rPr>
      </w:pPr>
      <w:r>
        <w:rPr>
          <w:sz w:val="18"/>
          <w:vertAlign w:val="superscript"/>
        </w:rPr>
        <w:t>(</w:t>
      </w:r>
      <w:r>
        <w:rPr>
          <w:rStyle w:val="Caractresdenotedebasdepage"/>
          <w:sz w:val="18"/>
        </w:rPr>
        <w:footnoteRef/>
      </w:r>
      <w:r>
        <w:rPr>
          <w:sz w:val="18"/>
          <w:vertAlign w:val="superscript"/>
        </w:rPr>
        <w:t>).</w:t>
      </w:r>
      <w:r>
        <w:tab/>
      </w:r>
      <w:r>
        <w:rPr>
          <w:sz w:val="16"/>
        </w:rPr>
        <w:t>Il TOC verrà monitorato a partire dalla fase II dei valori massimi di cui alla tabella 2 dell'articolo 18.01, paragrafo 2.</w:t>
      </w:r>
    </w:p>
  </w:footnote>
  <w:footnote w:id="77">
    <w:p w:rsidR="00801F1F" w:rsidRPr="00762086" w:rsidRDefault="00801F1F" w:rsidP="004F47BB">
      <w:pPr>
        <w:pStyle w:val="FootnoteText"/>
        <w:ind w:left="284" w:hanging="284"/>
      </w:pPr>
      <w:r>
        <w:rPr>
          <w:rStyle w:val="FootnoteReference"/>
        </w:rPr>
        <w:t>(*)</w:t>
      </w:r>
      <w:r>
        <w:t xml:space="preserve"> </w:t>
      </w:r>
      <w:r>
        <w:tab/>
      </w:r>
      <w:r>
        <w:rPr>
          <w:sz w:val="16"/>
        </w:rPr>
        <w:t>Cancellare le voci non pertinenti.</w:t>
      </w:r>
    </w:p>
  </w:footnote>
  <w:footnote w:id="78">
    <w:p w:rsidR="00801F1F" w:rsidRPr="00762086" w:rsidRDefault="00801F1F" w:rsidP="004F47BB">
      <w:pPr>
        <w:pStyle w:val="FootnoteText"/>
        <w:ind w:left="284" w:hanging="284"/>
        <w:rPr>
          <w:sz w:val="16"/>
        </w:rPr>
      </w:pPr>
      <w:r>
        <w:rPr>
          <w:rStyle w:val="FootnoteReference"/>
        </w:rPr>
        <w:footnoteRef/>
      </w:r>
      <w:r>
        <w:tab/>
      </w:r>
      <w:r>
        <w:rPr>
          <w:sz w:val="16"/>
        </w:rPr>
        <w:t>Cancellare le voci non pertinenti.</w:t>
      </w:r>
    </w:p>
  </w:footnote>
  <w:footnote w:id="79">
    <w:p w:rsidR="00801F1F" w:rsidRPr="00762086" w:rsidRDefault="00801F1F" w:rsidP="004F47BB">
      <w:pPr>
        <w:pStyle w:val="FootnoteText"/>
        <w:tabs>
          <w:tab w:val="left" w:pos="284"/>
        </w:tabs>
      </w:pPr>
      <w:r>
        <w:rPr>
          <w:rStyle w:val="FootnoteReference"/>
        </w:rPr>
        <w:t>*)</w:t>
      </w:r>
      <w:r>
        <w:t xml:space="preserve"> </w:t>
      </w:r>
      <w:r>
        <w:tab/>
      </w:r>
      <w:r>
        <w:rPr>
          <w:sz w:val="16"/>
        </w:rPr>
        <w:t>Cancellare le voci non pertinenti.</w:t>
      </w:r>
    </w:p>
  </w:footnote>
  <w:footnote w:id="80">
    <w:p w:rsidR="00801F1F" w:rsidRPr="00762086" w:rsidRDefault="00801F1F" w:rsidP="004F47BB">
      <w:pPr>
        <w:pStyle w:val="FootnoteText"/>
        <w:tabs>
          <w:tab w:val="left" w:pos="284"/>
        </w:tabs>
      </w:pPr>
      <w:r>
        <w:rPr>
          <w:rStyle w:val="FootnoteReference"/>
        </w:rPr>
        <w:t>*)</w:t>
      </w:r>
      <w:r>
        <w:t xml:space="preserve"> </w:t>
      </w:r>
      <w:r>
        <w:tab/>
      </w:r>
      <w:r>
        <w:rPr>
          <w:sz w:val="16"/>
        </w:rPr>
        <w:t>Cancellare le voci non pertinenti.</w:t>
      </w:r>
    </w:p>
  </w:footnote>
  <w:footnote w:id="81">
    <w:p w:rsidR="00801F1F" w:rsidRPr="00762086" w:rsidRDefault="00801F1F" w:rsidP="004F47BB">
      <w:pPr>
        <w:pStyle w:val="FootnoteText"/>
        <w:ind w:left="284" w:hanging="284"/>
      </w:pPr>
      <w:r>
        <w:rPr>
          <w:rStyle w:val="FootnoteReference"/>
        </w:rPr>
        <w:t>*)</w:t>
      </w:r>
      <w:r>
        <w:t xml:space="preserve"> </w:t>
      </w:r>
      <w:r>
        <w:tab/>
      </w:r>
      <w:r>
        <w:rPr>
          <w:sz w:val="16"/>
        </w:rPr>
        <w:t>Cancellare le voci non pertinenti.</w:t>
      </w:r>
    </w:p>
  </w:footnote>
  <w:footnote w:id="82">
    <w:p w:rsidR="00801F1F" w:rsidRPr="00762086" w:rsidRDefault="00801F1F" w:rsidP="004F47BB">
      <w:pPr>
        <w:pStyle w:val="FootnoteText"/>
        <w:tabs>
          <w:tab w:val="left" w:pos="284"/>
        </w:tabs>
      </w:pPr>
      <w:r>
        <w:rPr>
          <w:rStyle w:val="FootnoteReference"/>
        </w:rPr>
        <w:footnoteRef/>
      </w:r>
      <w:r>
        <w:t xml:space="preserve"> </w:t>
      </w:r>
      <w:r>
        <w:tab/>
      </w:r>
      <w:r>
        <w:rPr>
          <w:sz w:val="16"/>
        </w:rPr>
        <w:t>Cancellare le voci non pertinenti.</w:t>
      </w:r>
    </w:p>
  </w:footnote>
  <w:footnote w:id="83">
    <w:p w:rsidR="00801F1F" w:rsidRPr="00762086" w:rsidRDefault="00801F1F" w:rsidP="005A25B4">
      <w:pPr>
        <w:pStyle w:val="FootnoteText"/>
        <w:ind w:left="284" w:hanging="284"/>
        <w:rPr>
          <w:rFonts w:cs="Arial"/>
          <w:sz w:val="16"/>
          <w:szCs w:val="16"/>
        </w:rPr>
      </w:pPr>
      <w:r>
        <w:rPr>
          <w:rStyle w:val="FootnoteReference"/>
          <w:sz w:val="18"/>
        </w:rPr>
        <w:footnoteRef/>
      </w:r>
      <w:r>
        <w:rPr>
          <w:sz w:val="18"/>
        </w:rPr>
        <w:t xml:space="preserve"> </w:t>
      </w:r>
      <w:r>
        <w:tab/>
      </w:r>
      <w:r>
        <w:rPr>
          <w:sz w:val="16"/>
        </w:rPr>
        <w:t>Direttiva 2009/45/CE del Parlamento europeo e del Consiglio, del 6 maggio 2009 , relativa alle disposizioni e norme di sicurezza per le navi da passeggeri (GU L 163 del 25.6.2009).</w:t>
      </w:r>
    </w:p>
  </w:footnote>
  <w:footnote w:id="84">
    <w:p w:rsidR="00801F1F" w:rsidRPr="00762086" w:rsidRDefault="00801F1F" w:rsidP="005A25B4">
      <w:pPr>
        <w:pStyle w:val="FootnoteText"/>
        <w:ind w:left="284" w:hanging="284"/>
        <w:rPr>
          <w:rFonts w:cs="Arial"/>
          <w:sz w:val="16"/>
          <w:szCs w:val="16"/>
        </w:rPr>
      </w:pPr>
      <w:r>
        <w:rPr>
          <w:rStyle w:val="FootnoteReference"/>
          <w:sz w:val="18"/>
        </w:rPr>
        <w:footnoteRef/>
      </w:r>
      <w:r>
        <w:rPr>
          <w:sz w:val="18"/>
        </w:rPr>
        <w:t xml:space="preserve"> </w:t>
      </w:r>
      <w:r>
        <w:tab/>
      </w:r>
      <w:r>
        <w:rPr>
          <w:i/>
          <w:sz w:val="16"/>
        </w:rPr>
        <w:t>Guidelines for passenger vessels also suited for carrying persons with reduced mobility</w:t>
      </w:r>
      <w:r>
        <w:rPr>
          <w:sz w:val="16"/>
        </w:rPr>
        <w:t xml:space="preserve"> (Linee guida per le navi da passeggeri adatte anche al trasporto di persone a mobilità ridotta) - Commissione economica per l'Europa delle Nazioni Unite, Comitato per i trasporti interni, gruppo di lavoro sul trasporto per vie navigabili interne - adottate il 15 ottobre 2010.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26A59" w:rsidRDefault="00801F1F" w:rsidP="00226A59">
    <w:pPr>
      <w:widowControl w:val="0"/>
      <w:autoSpaceDE/>
      <w:autoSpaceDN/>
      <w:rPr>
        <w:sz w:val="16"/>
        <w:szCs w:val="16"/>
      </w:rPr>
    </w:pPr>
    <w:r>
      <w:rPr>
        <w:sz w:val="16"/>
      </w:rPr>
      <w:t>Comitato europeo per l'elaborazione di norme per la navigazione interna (CESNI)</w:t>
    </w:r>
  </w:p>
  <w:p w:rsidR="00801F1F" w:rsidRPr="00226A59" w:rsidRDefault="00801F1F" w:rsidP="00226A59">
    <w:pPr>
      <w:widowControl w:val="0"/>
      <w:pBdr>
        <w:bottom w:val="single" w:sz="6" w:space="1" w:color="auto"/>
      </w:pBdr>
      <w:tabs>
        <w:tab w:val="right" w:pos="9070"/>
        <w:tab w:val="right" w:pos="14034"/>
      </w:tabs>
      <w:autoSpaceDE/>
      <w:autoSpaceDN/>
      <w:rPr>
        <w:sz w:val="16"/>
        <w:szCs w:val="16"/>
      </w:rPr>
    </w:pPr>
    <w:r>
      <w:rPr>
        <w:sz w:val="16"/>
      </w:rPr>
      <w:t xml:space="preserve">Norma europea che fissa i requisiti tecnici </w:t>
    </w:r>
  </w:p>
  <w:p w:rsidR="00801F1F" w:rsidRPr="00226A59" w:rsidRDefault="00801F1F" w:rsidP="00226A59">
    <w:pPr>
      <w:widowControl w:val="0"/>
      <w:pBdr>
        <w:bottom w:val="single" w:sz="6" w:space="1" w:color="auto"/>
      </w:pBdr>
      <w:tabs>
        <w:tab w:val="right" w:pos="9070"/>
        <w:tab w:val="right" w:pos="14034"/>
      </w:tabs>
      <w:autoSpaceDE/>
      <w:autoSpaceDN/>
      <w:rPr>
        <w:sz w:val="16"/>
        <w:szCs w:val="16"/>
      </w:rPr>
    </w:pPr>
    <w:r>
      <w:rPr>
        <w:sz w:val="16"/>
      </w:rPr>
      <w:t>per le navi della navigazione interna (ES-TRIN)</w:t>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26A59" w:rsidRDefault="00801F1F" w:rsidP="00226A59">
    <w:pPr>
      <w:widowControl w:val="0"/>
      <w:autoSpaceDE/>
      <w:autoSpaceDN/>
      <w:rPr>
        <w:sz w:val="16"/>
        <w:szCs w:val="16"/>
      </w:rPr>
    </w:pPr>
    <w:r>
      <w:rPr>
        <w:sz w:val="16"/>
      </w:rPr>
      <w:t>Comitato europeo per l'elaborazione di norme per la navigazione interna (CESNI)</w:t>
    </w:r>
  </w:p>
  <w:p w:rsidR="00801F1F" w:rsidRPr="00226A59" w:rsidRDefault="00801F1F" w:rsidP="00226A59">
    <w:pPr>
      <w:widowControl w:val="0"/>
      <w:pBdr>
        <w:bottom w:val="single" w:sz="6" w:space="1" w:color="auto"/>
      </w:pBdr>
      <w:tabs>
        <w:tab w:val="right" w:pos="9070"/>
        <w:tab w:val="right" w:pos="14034"/>
      </w:tabs>
      <w:autoSpaceDE/>
      <w:autoSpaceDN/>
      <w:rPr>
        <w:sz w:val="16"/>
        <w:szCs w:val="16"/>
      </w:rPr>
    </w:pPr>
    <w:r>
      <w:rPr>
        <w:sz w:val="16"/>
      </w:rPr>
      <w:t>Norma europea che fissa i requisiti tecnici</w:t>
    </w:r>
  </w:p>
  <w:p w:rsidR="00801F1F" w:rsidRPr="00B60D5F" w:rsidRDefault="00801F1F" w:rsidP="00226A59">
    <w:pPr>
      <w:widowControl w:val="0"/>
      <w:pBdr>
        <w:bottom w:val="single" w:sz="6" w:space="1" w:color="auto"/>
      </w:pBdr>
      <w:tabs>
        <w:tab w:val="right" w:pos="9070"/>
        <w:tab w:val="right" w:pos="14034"/>
      </w:tabs>
      <w:autoSpaceDE/>
      <w:autoSpaceDN/>
      <w:rPr>
        <w:sz w:val="16"/>
        <w:szCs w:val="16"/>
      </w:rPr>
    </w:pPr>
    <w:r>
      <w:rPr>
        <w:sz w:val="16"/>
      </w:rPr>
      <w:t>per le navi della navigazione interna (ES-TRIN)</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26A59" w:rsidRDefault="00801F1F" w:rsidP="00226A59">
    <w:pPr>
      <w:widowControl w:val="0"/>
      <w:autoSpaceDE/>
      <w:autoSpaceDN/>
      <w:rPr>
        <w:sz w:val="16"/>
        <w:szCs w:val="16"/>
      </w:rPr>
    </w:pPr>
    <w:r>
      <w:rPr>
        <w:sz w:val="16"/>
      </w:rPr>
      <w:t>Comitato europeo per l'elaborazione di norme per la navigazione interna (CESNI)</w:t>
    </w:r>
  </w:p>
  <w:p w:rsidR="00801F1F" w:rsidRPr="00226A59" w:rsidRDefault="00801F1F" w:rsidP="00226A59">
    <w:pPr>
      <w:widowControl w:val="0"/>
      <w:pBdr>
        <w:bottom w:val="single" w:sz="6" w:space="1" w:color="auto"/>
      </w:pBdr>
      <w:tabs>
        <w:tab w:val="right" w:pos="9070"/>
        <w:tab w:val="right" w:pos="14034"/>
      </w:tabs>
      <w:autoSpaceDE/>
      <w:autoSpaceDN/>
      <w:rPr>
        <w:sz w:val="16"/>
        <w:szCs w:val="16"/>
      </w:rPr>
    </w:pPr>
    <w:r>
      <w:rPr>
        <w:sz w:val="16"/>
      </w:rPr>
      <w:t xml:space="preserve">Norma europea che fissa i requisiti tecnici </w:t>
    </w:r>
  </w:p>
  <w:p w:rsidR="00801F1F" w:rsidRPr="00DE4417" w:rsidRDefault="00801F1F" w:rsidP="00226A59">
    <w:pPr>
      <w:widowControl w:val="0"/>
      <w:pBdr>
        <w:bottom w:val="single" w:sz="6" w:space="1" w:color="auto"/>
      </w:pBdr>
      <w:tabs>
        <w:tab w:val="right" w:pos="9070"/>
        <w:tab w:val="right" w:pos="14034"/>
      </w:tabs>
      <w:autoSpaceDE/>
      <w:autoSpaceDN/>
      <w:rPr>
        <w:sz w:val="16"/>
        <w:szCs w:val="16"/>
      </w:rPr>
    </w:pPr>
    <w:r>
      <w:rPr>
        <w:sz w:val="16"/>
      </w:rPr>
      <w:t>per le navi della navigazione interna (ES-TRIN)</w:t>
    </w:r>
    <w:r>
      <w:tab/>
    </w:r>
    <w:r>
      <w:rPr>
        <w:sz w:val="16"/>
      </w:rPr>
      <w:t>Sommario</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26A59" w:rsidRDefault="00801F1F" w:rsidP="00226A59">
    <w:pPr>
      <w:widowControl w:val="0"/>
      <w:autoSpaceDE/>
      <w:autoSpaceDN/>
      <w:rPr>
        <w:sz w:val="16"/>
        <w:szCs w:val="16"/>
      </w:rPr>
    </w:pPr>
    <w:r>
      <w:rPr>
        <w:sz w:val="16"/>
      </w:rPr>
      <w:t>Comitato europeo per l'elaborazione di norme per la navigazione interna (CESNI)</w:t>
    </w:r>
  </w:p>
  <w:p w:rsidR="00801F1F" w:rsidRPr="00226A59" w:rsidRDefault="00801F1F" w:rsidP="00226A59">
    <w:pPr>
      <w:widowControl w:val="0"/>
      <w:pBdr>
        <w:bottom w:val="single" w:sz="6" w:space="1" w:color="auto"/>
      </w:pBdr>
      <w:tabs>
        <w:tab w:val="right" w:pos="9070"/>
        <w:tab w:val="right" w:pos="14034"/>
      </w:tabs>
      <w:autoSpaceDE/>
      <w:autoSpaceDN/>
      <w:rPr>
        <w:sz w:val="16"/>
        <w:szCs w:val="16"/>
      </w:rPr>
    </w:pPr>
    <w:r>
      <w:rPr>
        <w:sz w:val="16"/>
      </w:rPr>
      <w:t xml:space="preserve">Norma europea che fissa i requisiti tecnici </w:t>
    </w:r>
  </w:p>
  <w:p w:rsidR="00801F1F" w:rsidRPr="00226A59" w:rsidRDefault="00801F1F" w:rsidP="00226A59">
    <w:pPr>
      <w:widowControl w:val="0"/>
      <w:pBdr>
        <w:bottom w:val="single" w:sz="6" w:space="1" w:color="auto"/>
      </w:pBdr>
      <w:tabs>
        <w:tab w:val="right" w:pos="9070"/>
      </w:tabs>
      <w:autoSpaceDE/>
      <w:autoSpaceDN/>
      <w:rPr>
        <w:sz w:val="16"/>
        <w:szCs w:val="16"/>
      </w:rPr>
    </w:pPr>
    <w:r>
      <w:rPr>
        <w:sz w:val="16"/>
      </w:rPr>
      <w:t>per le navi della navigazione interna (ES-TRIN)</w:t>
    </w:r>
    <w:r>
      <w:tab/>
    </w:r>
    <w:r>
      <w:rPr>
        <w:sz w:val="16"/>
      </w:rPr>
      <w:t>Sommario</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CA2865" w:rsidRDefault="00801F1F" w:rsidP="004B2505">
    <w:pPr>
      <w:widowControl w:val="0"/>
      <w:pBdr>
        <w:bottom w:val="single" w:sz="4" w:space="1" w:color="auto"/>
      </w:pBdr>
      <w:tabs>
        <w:tab w:val="right" w:pos="9072"/>
      </w:tabs>
      <w:autoSpaceDE/>
      <w:autoSpaceDN/>
      <w:ind w:left="0" w:firstLine="0"/>
      <w:jc w:val="right"/>
      <w:rPr>
        <w:sz w:val="16"/>
        <w:szCs w:val="16"/>
      </w:rPr>
    </w:pPr>
    <w:r>
      <w:rPr>
        <w:sz w:val="16"/>
      </w:rPr>
      <w:t>ES-TRIN</w:t>
    </w:r>
    <w:r>
      <w:tab/>
    </w:r>
    <w:fldSimple w:instr=" STYLEREF  ES-Titre2  \* MERGEFORMAT ">
      <w:r w:rsidR="00624017" w:rsidRPr="00624017">
        <w:rPr>
          <w:noProof/>
          <w:sz w:val="16"/>
          <w:szCs w:val="16"/>
        </w:rPr>
        <w:t>Capo 2</w:t>
      </w:r>
      <w:r w:rsidR="00624017" w:rsidRPr="00624017">
        <w:rPr>
          <w:noProof/>
          <w:sz w:val="16"/>
          <w:szCs w:val="16"/>
        </w:rPr>
        <w:br/>
        <w:t>Procedura</w:t>
      </w:r>
    </w:fldSimple>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9A1D30" w:rsidRDefault="00801F1F" w:rsidP="0010389F">
    <w:pPr>
      <w:pStyle w:val="Header"/>
      <w:pBdr>
        <w:bottom w:val="single" w:sz="4" w:space="1" w:color="auto"/>
      </w:pBdr>
      <w:tabs>
        <w:tab w:val="clear" w:pos="8306"/>
        <w:tab w:val="right" w:pos="9072"/>
      </w:tabs>
      <w:rPr>
        <w:sz w:val="16"/>
        <w:szCs w:val="16"/>
      </w:rPr>
    </w:pPr>
    <w:r>
      <w:rPr>
        <w:sz w:val="16"/>
      </w:rPr>
      <w:t>ES-TRIN</w:t>
    </w:r>
    <w:r>
      <w:tab/>
    </w:r>
    <w:r>
      <w:rPr>
        <w:sz w:val="16"/>
      </w:rPr>
      <w:t>Capo 1</w:t>
    </w:r>
  </w:p>
  <w:p w:rsidR="00801F1F" w:rsidRPr="009A1D30" w:rsidRDefault="00801F1F" w:rsidP="0010389F">
    <w:pPr>
      <w:pStyle w:val="Header"/>
      <w:pBdr>
        <w:bottom w:val="single" w:sz="4" w:space="1" w:color="auto"/>
      </w:pBdr>
      <w:jc w:val="right"/>
      <w:rPr>
        <w:sz w:val="16"/>
        <w:szCs w:val="16"/>
      </w:rPr>
    </w:pPr>
    <w:r>
      <w:rPr>
        <w:sz w:val="16"/>
      </w:rPr>
      <w:t>Aspetti generali</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7957F9" w:rsidRDefault="00801F1F" w:rsidP="004B2505">
    <w:pPr>
      <w:widowControl w:val="0"/>
      <w:pBdr>
        <w:bottom w:val="single" w:sz="4" w:space="1" w:color="auto"/>
      </w:pBdr>
      <w:tabs>
        <w:tab w:val="right" w:pos="9072"/>
      </w:tabs>
      <w:autoSpaceDE/>
      <w:autoSpaceDN/>
      <w:ind w:left="0" w:firstLine="0"/>
      <w:jc w:val="right"/>
      <w:rPr>
        <w:rFonts w:cs="Arial"/>
        <w:sz w:val="16"/>
        <w:szCs w:val="16"/>
      </w:rPr>
    </w:pPr>
    <w:r>
      <w:rPr>
        <w:sz w:val="16"/>
      </w:rPr>
      <w:t>ES-TRIN</w:t>
    </w:r>
    <w:r>
      <w:tab/>
    </w:r>
    <w:r w:rsidRPr="007957F9">
      <w:rPr>
        <w:sz w:val="16"/>
        <w:szCs w:val="16"/>
      </w:rPr>
      <w:fldChar w:fldCharType="begin"/>
    </w:r>
    <w:r w:rsidRPr="007957F9">
      <w:rPr>
        <w:sz w:val="16"/>
        <w:szCs w:val="16"/>
      </w:rPr>
      <w:instrText xml:space="preserve"> STYLEREF  ES-Titre2  \* MERGEFORMAT </w:instrText>
    </w:r>
    <w:r w:rsidRPr="007957F9">
      <w:rPr>
        <w:sz w:val="16"/>
        <w:szCs w:val="16"/>
      </w:rPr>
      <w:fldChar w:fldCharType="separate"/>
    </w:r>
    <w:r w:rsidR="00624017" w:rsidRPr="00624017">
      <w:rPr>
        <w:rFonts w:cs="Arial"/>
        <w:noProof/>
        <w:sz w:val="16"/>
        <w:szCs w:val="16"/>
      </w:rPr>
      <w:t>Capo 10</w:t>
    </w:r>
    <w:r w:rsidR="00624017" w:rsidRPr="00624017">
      <w:rPr>
        <w:rFonts w:cs="Arial"/>
        <w:noProof/>
        <w:sz w:val="16"/>
        <w:szCs w:val="16"/>
      </w:rPr>
      <w:br/>
    </w:r>
    <w:r w:rsidR="00624017">
      <w:rPr>
        <w:noProof/>
        <w:sz w:val="16"/>
        <w:szCs w:val="16"/>
      </w:rPr>
      <w:t>Impianti e apparecchi elettrici</w:t>
    </w:r>
    <w:r w:rsidRPr="007957F9">
      <w:rPr>
        <w:rFonts w:cs="Arial"/>
        <w:noProof/>
        <w:sz w:val="16"/>
        <w:szCs w:val="16"/>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D71B1A" w:rsidRDefault="00801F1F" w:rsidP="00D71B1A">
    <w:pPr>
      <w:widowControl w:val="0"/>
      <w:pBdr>
        <w:bottom w:val="single" w:sz="6" w:space="1" w:color="auto"/>
      </w:pBdr>
      <w:tabs>
        <w:tab w:val="left" w:pos="8250"/>
        <w:tab w:val="right" w:pos="9070"/>
      </w:tabs>
      <w:autoSpaceDE/>
      <w:autoSpaceDN/>
      <w:rPr>
        <w:sz w:val="16"/>
        <w:szCs w:val="16"/>
      </w:rPr>
    </w:pPr>
    <w:r>
      <w:rPr>
        <w:sz w:val="16"/>
      </w:rPr>
      <w:t>ES-TRIN</w:t>
    </w:r>
    <w:r>
      <w:tab/>
    </w:r>
    <w:r>
      <w:rPr>
        <w:sz w:val="16"/>
      </w:rPr>
      <w:t>Capo 3</w:t>
    </w:r>
  </w:p>
  <w:p w:rsidR="00801F1F" w:rsidRPr="00D71B1A" w:rsidRDefault="00801F1F" w:rsidP="00AE58CD">
    <w:pPr>
      <w:widowControl w:val="0"/>
      <w:pBdr>
        <w:bottom w:val="single" w:sz="6" w:space="1" w:color="auto"/>
      </w:pBdr>
      <w:tabs>
        <w:tab w:val="right" w:pos="9070"/>
      </w:tabs>
      <w:autoSpaceDE/>
      <w:autoSpaceDN/>
      <w:jc w:val="right"/>
      <w:rPr>
        <w:sz w:val="16"/>
        <w:szCs w:val="16"/>
      </w:rPr>
    </w:pPr>
    <w:r>
      <w:rPr>
        <w:sz w:val="16"/>
      </w:rPr>
      <w:t>Requisiti in materia di costruzione navale</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C62373" w:rsidRDefault="00801F1F" w:rsidP="00C62373">
    <w:pPr>
      <w:widowControl w:val="0"/>
      <w:pBdr>
        <w:bottom w:val="single" w:sz="4" w:space="1" w:color="auto"/>
      </w:pBdr>
      <w:tabs>
        <w:tab w:val="right" w:pos="9072"/>
      </w:tabs>
      <w:autoSpaceDE/>
      <w:autoSpaceDN/>
      <w:ind w:left="0" w:firstLine="0"/>
      <w:jc w:val="right"/>
      <w:rPr>
        <w:rFonts w:cs="Arial"/>
        <w:noProof/>
        <w:sz w:val="16"/>
        <w:szCs w:val="16"/>
      </w:rPr>
    </w:pPr>
    <w:r>
      <w:rPr>
        <w:sz w:val="16"/>
      </w:rPr>
      <w:t>ES-TRIN</w:t>
    </w:r>
    <w:r>
      <w:tab/>
    </w:r>
    <w:r>
      <w:rPr>
        <w:rFonts w:cs="Arial"/>
        <w:noProof/>
        <w:sz w:val="16"/>
        <w:szCs w:val="16"/>
      </w:rPr>
      <w:fldChar w:fldCharType="begin"/>
    </w:r>
    <w:r w:rsidRPr="00F46C3C">
      <w:rPr>
        <w:rFonts w:cs="Arial"/>
        <w:noProof/>
        <w:sz w:val="16"/>
        <w:szCs w:val="16"/>
      </w:rPr>
      <w:instrText xml:space="preserve"> STYLEREF  ES-Titre2  \* MERGEFORMAT </w:instrText>
    </w:r>
    <w:r>
      <w:rPr>
        <w:rFonts w:cs="Arial"/>
        <w:noProof/>
        <w:sz w:val="16"/>
        <w:szCs w:val="16"/>
      </w:rPr>
      <w:fldChar w:fldCharType="separate"/>
    </w:r>
    <w:r w:rsidR="00624017">
      <w:rPr>
        <w:rFonts w:cs="Arial"/>
        <w:noProof/>
        <w:sz w:val="16"/>
        <w:szCs w:val="16"/>
      </w:rPr>
      <w:t>Capo 6</w:t>
    </w:r>
    <w:r w:rsidR="00624017">
      <w:rPr>
        <w:rFonts w:cs="Arial"/>
        <w:noProof/>
        <w:sz w:val="16"/>
        <w:szCs w:val="16"/>
      </w:rPr>
      <w:br/>
      <w:t>Apparato di governo</w:t>
    </w:r>
    <w:r>
      <w:rPr>
        <w:rFonts w:cs="Arial"/>
        <w:noProof/>
        <w:sz w:val="16"/>
        <w:szCs w:val="16"/>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C20E00" w:rsidRDefault="00801F1F" w:rsidP="00DD1033">
    <w:pPr>
      <w:widowControl w:val="0"/>
      <w:pBdr>
        <w:bottom w:val="single" w:sz="6" w:space="1" w:color="auto"/>
      </w:pBdr>
      <w:tabs>
        <w:tab w:val="right" w:pos="14034"/>
      </w:tabs>
      <w:autoSpaceDE/>
      <w:autoSpaceDN/>
      <w:jc w:val="right"/>
      <w:rPr>
        <w:sz w:val="16"/>
        <w:szCs w:val="16"/>
      </w:rPr>
    </w:pPr>
    <w:r>
      <w:rPr>
        <w:sz w:val="16"/>
      </w:rPr>
      <w:t>ES-TRIN</w:t>
    </w:r>
    <w:r>
      <w:tab/>
    </w:r>
    <w:r w:rsidRPr="00C20E00">
      <w:rPr>
        <w:sz w:val="16"/>
        <w:szCs w:val="16"/>
      </w:rPr>
      <w:fldChar w:fldCharType="begin"/>
    </w:r>
    <w:r w:rsidRPr="00C20E00">
      <w:rPr>
        <w:sz w:val="16"/>
        <w:szCs w:val="16"/>
      </w:rPr>
      <w:instrText xml:space="preserve"> STYLEREF  ES-Titre2  \* MERGEFORMAT </w:instrText>
    </w:r>
    <w:r w:rsidRPr="00C20E00">
      <w:rPr>
        <w:sz w:val="16"/>
        <w:szCs w:val="16"/>
      </w:rPr>
      <w:fldChar w:fldCharType="separate"/>
    </w:r>
    <w:r w:rsidR="00624017">
      <w:rPr>
        <w:noProof/>
        <w:sz w:val="16"/>
        <w:szCs w:val="16"/>
      </w:rPr>
      <w:t>Capo 32</w:t>
    </w:r>
    <w:r w:rsidR="00624017">
      <w:rPr>
        <w:noProof/>
        <w:sz w:val="16"/>
        <w:szCs w:val="16"/>
      </w:rPr>
      <w:br/>
      <w:t>Disposizioni transitorie per le imbarcazioni che navigano sul Reno (zona R)</w:t>
    </w:r>
    <w:r w:rsidRPr="00C20E00">
      <w:rPr>
        <w:noProof/>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624017">
      <w:rPr>
        <w:noProof/>
        <w:sz w:val="16"/>
        <w:szCs w:val="16"/>
      </w:rPr>
      <w:t>Articolo 32.02</w:t>
    </w:r>
    <w:r>
      <w:rPr>
        <w:sz w:val="16"/>
        <w:szCs w:val="16"/>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C859BD" w:rsidRDefault="00801F1F" w:rsidP="001E2331">
    <w:pPr>
      <w:widowControl w:val="0"/>
      <w:pBdr>
        <w:bottom w:val="single" w:sz="6" w:space="1" w:color="auto"/>
      </w:pBdr>
      <w:tabs>
        <w:tab w:val="right" w:pos="14034"/>
      </w:tabs>
      <w:autoSpaceDE/>
      <w:autoSpaceDN/>
      <w:rPr>
        <w:sz w:val="16"/>
        <w:szCs w:val="16"/>
      </w:rPr>
    </w:pPr>
    <w:r>
      <w:rPr>
        <w:sz w:val="16"/>
      </w:rPr>
      <w:t>ES-TRIN</w:t>
    </w:r>
    <w:r>
      <w:tab/>
    </w:r>
    <w:r>
      <w:rPr>
        <w:sz w:val="16"/>
      </w:rPr>
      <w:t>Capo 32</w:t>
    </w:r>
  </w:p>
  <w:p w:rsidR="00801F1F" w:rsidRPr="00AE58CD" w:rsidRDefault="00801F1F" w:rsidP="001E2331">
    <w:pPr>
      <w:widowControl w:val="0"/>
      <w:pBdr>
        <w:bottom w:val="single" w:sz="6" w:space="1" w:color="auto"/>
      </w:pBdr>
      <w:tabs>
        <w:tab w:val="right" w:pos="9070"/>
      </w:tabs>
      <w:autoSpaceDE/>
      <w:autoSpaceDN/>
      <w:jc w:val="right"/>
      <w:rPr>
        <w:sz w:val="16"/>
        <w:szCs w:val="16"/>
      </w:rPr>
    </w:pPr>
    <w:r>
      <w:rPr>
        <w:sz w:val="16"/>
      </w:rPr>
      <w:t>Disposizioni transitorie per le imbarcazioni che navigano sul Reno (zona R) -</w:t>
    </w:r>
    <w:r>
      <w:rPr>
        <w:sz w:val="16"/>
        <w:szCs w:val="16"/>
      </w:rPr>
      <w:fldChar w:fldCharType="begin"/>
    </w:r>
    <w:r>
      <w:rPr>
        <w:sz w:val="16"/>
        <w:szCs w:val="16"/>
      </w:rPr>
      <w:instrText xml:space="preserve"> STYLEREF  ES-Titre3_pr_chap32  \* MERGEFORMAT </w:instrText>
    </w:r>
    <w:r>
      <w:rPr>
        <w:sz w:val="16"/>
        <w:szCs w:val="16"/>
      </w:rPr>
      <w:fldChar w:fldCharType="separate"/>
    </w:r>
    <w:r w:rsidR="00624017">
      <w:rPr>
        <w:noProof/>
        <w:sz w:val="16"/>
        <w:szCs w:val="16"/>
      </w:rPr>
      <w:t>Articolo 32.01</w:t>
    </w:r>
    <w:r>
      <w:rPr>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624017">
      <w:rPr>
        <w:noProof/>
        <w:sz w:val="16"/>
        <w:szCs w:val="16"/>
      </w:rPr>
      <w:t>Articolo 32.02</w:t>
    </w:r>
    <w:r>
      <w:rPr>
        <w:sz w:val="16"/>
        <w:szCs w:val="16"/>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DD1033" w:rsidRDefault="00801F1F" w:rsidP="00DD1033">
    <w:pPr>
      <w:widowControl w:val="0"/>
      <w:pBdr>
        <w:bottom w:val="single" w:sz="6" w:space="1" w:color="auto"/>
      </w:pBdr>
      <w:tabs>
        <w:tab w:val="right" w:pos="14034"/>
      </w:tabs>
      <w:autoSpaceDE/>
      <w:autoSpaceDN/>
      <w:jc w:val="right"/>
      <w:rPr>
        <w:sz w:val="16"/>
        <w:szCs w:val="16"/>
      </w:rPr>
    </w:pPr>
    <w:r>
      <w:rPr>
        <w:sz w:val="16"/>
      </w:rPr>
      <w:t>ES-TRIN</w:t>
    </w:r>
    <w:r>
      <w:tab/>
    </w:r>
    <w:fldSimple w:instr=" STYLEREF  ES-Titre2  \* MERGEFORMAT ">
      <w:r w:rsidR="00624017" w:rsidRPr="00624017">
        <w:rPr>
          <w:noProof/>
          <w:sz w:val="16"/>
          <w:szCs w:val="16"/>
        </w:rPr>
        <w:t>Capo 32</w:t>
      </w:r>
      <w:r w:rsidR="00624017" w:rsidRPr="00624017">
        <w:rPr>
          <w:noProof/>
          <w:sz w:val="16"/>
          <w:szCs w:val="16"/>
        </w:rPr>
        <w:br/>
        <w:t xml:space="preserve">Disposizioni transitorie per le imbarcazioni che navigano sul Reno (zona </w:t>
      </w:r>
      <w:r w:rsidR="00624017">
        <w:rPr>
          <w:noProof/>
        </w:rPr>
        <w:t>R)</w:t>
      </w:r>
    </w:fldSimple>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624017">
      <w:rPr>
        <w:noProof/>
        <w:sz w:val="16"/>
        <w:szCs w:val="16"/>
      </w:rPr>
      <w:t>Articolo 32.05</w:t>
    </w:r>
    <w:r>
      <w:rPr>
        <w:sz w:val="16"/>
        <w:szCs w:val="16"/>
      </w:rPr>
      <w:fldChar w:fldCharType="end"/>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AE58CD" w:rsidRDefault="00801F1F" w:rsidP="001E2331">
    <w:pPr>
      <w:widowControl w:val="0"/>
      <w:pBdr>
        <w:bottom w:val="single" w:sz="6" w:space="1" w:color="auto"/>
      </w:pBdr>
      <w:tabs>
        <w:tab w:val="right" w:pos="14034"/>
      </w:tabs>
      <w:autoSpaceDE/>
      <w:autoSpaceDN/>
      <w:rPr>
        <w:sz w:val="16"/>
        <w:szCs w:val="16"/>
      </w:rPr>
    </w:pPr>
    <w:r>
      <w:rPr>
        <w:sz w:val="16"/>
      </w:rPr>
      <w:t>ES-TRIN</w:t>
    </w:r>
    <w:r>
      <w:tab/>
    </w:r>
    <w:r>
      <w:rPr>
        <w:sz w:val="16"/>
      </w:rPr>
      <w:t>Capo 32</w:t>
    </w:r>
  </w:p>
  <w:p w:rsidR="00801F1F" w:rsidRPr="00AE58CD" w:rsidRDefault="00801F1F" w:rsidP="001E2331">
    <w:pPr>
      <w:widowControl w:val="0"/>
      <w:pBdr>
        <w:bottom w:val="single" w:sz="6" w:space="1" w:color="auto"/>
      </w:pBdr>
      <w:tabs>
        <w:tab w:val="right" w:pos="9070"/>
      </w:tabs>
      <w:autoSpaceDE/>
      <w:autoSpaceDN/>
      <w:jc w:val="right"/>
      <w:rPr>
        <w:sz w:val="16"/>
        <w:szCs w:val="16"/>
      </w:rPr>
    </w:pPr>
    <w:r>
      <w:rPr>
        <w:sz w:val="16"/>
      </w:rPr>
      <w:t xml:space="preserve">Disposizioni transitorie per le imbarcazioni che navigano sul Reno (zona R) - </w:t>
    </w:r>
    <w:r>
      <w:rPr>
        <w:sz w:val="16"/>
        <w:szCs w:val="16"/>
      </w:rPr>
      <w:fldChar w:fldCharType="begin"/>
    </w:r>
    <w:r>
      <w:rPr>
        <w:sz w:val="16"/>
        <w:szCs w:val="16"/>
      </w:rPr>
      <w:instrText xml:space="preserve"> STYLEREF  ES-Titre3  \* MERGEFORMAT </w:instrText>
    </w:r>
    <w:r>
      <w:rPr>
        <w:sz w:val="16"/>
        <w:szCs w:val="16"/>
      </w:rPr>
      <w:fldChar w:fldCharType="separate"/>
    </w:r>
    <w:r w:rsidR="00624017">
      <w:rPr>
        <w:noProof/>
        <w:sz w:val="16"/>
        <w:szCs w:val="16"/>
      </w:rPr>
      <w:t>Articolo 32,03</w:t>
    </w:r>
    <w:r>
      <w:rPr>
        <w:sz w:val="16"/>
        <w:szCs w:val="16"/>
      </w:rPr>
      <w:fldChar w:fldCharType="end"/>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DD1033" w:rsidRDefault="00801F1F" w:rsidP="00DD1033">
    <w:pPr>
      <w:widowControl w:val="0"/>
      <w:pBdr>
        <w:bottom w:val="single" w:sz="6" w:space="1" w:color="auto"/>
      </w:pBdr>
      <w:tabs>
        <w:tab w:val="right" w:pos="14034"/>
      </w:tabs>
      <w:autoSpaceDE/>
      <w:autoSpaceDN/>
      <w:jc w:val="right"/>
      <w:rPr>
        <w:sz w:val="16"/>
        <w:szCs w:val="16"/>
      </w:rPr>
    </w:pPr>
    <w:r>
      <w:rPr>
        <w:sz w:val="16"/>
      </w:rPr>
      <w:t>ES-TRIN</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624017">
      <w:rPr>
        <w:noProof/>
        <w:sz w:val="16"/>
        <w:szCs w:val="16"/>
      </w:rPr>
      <w:t>Capo 33</w:t>
    </w:r>
    <w:r w:rsidR="00624017">
      <w:rPr>
        <w:noProof/>
        <w:sz w:val="16"/>
        <w:szCs w:val="16"/>
      </w:rPr>
      <w:br/>
      <w:t>Disposizioni transitorie per le imbarcazioni che navigano esclusivamente su vie navigabili al di fuori del Reno (zona R)</w:t>
    </w:r>
    <w:r w:rsidRPr="00F46C3C">
      <w:rPr>
        <w:noProof/>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624017">
      <w:rPr>
        <w:noProof/>
        <w:sz w:val="16"/>
        <w:szCs w:val="16"/>
      </w:rPr>
      <w:t>Articolo 33.03</w:t>
    </w:r>
    <w:r>
      <w:rPr>
        <w:sz w:val="16"/>
        <w:szCs w:val="16"/>
      </w:rPr>
      <w:fldChar w:fldCharType="end"/>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C20E00" w:rsidRDefault="00801F1F" w:rsidP="008E26B9">
    <w:pPr>
      <w:widowControl w:val="0"/>
      <w:pBdr>
        <w:bottom w:val="single" w:sz="6" w:space="1" w:color="auto"/>
      </w:pBdr>
      <w:tabs>
        <w:tab w:val="right" w:pos="14034"/>
      </w:tabs>
      <w:autoSpaceDE/>
      <w:autoSpaceDN/>
      <w:jc w:val="right"/>
      <w:rPr>
        <w:sz w:val="16"/>
        <w:szCs w:val="16"/>
      </w:rPr>
    </w:pPr>
    <w:r>
      <w:rPr>
        <w:sz w:val="16"/>
      </w:rPr>
      <w:t>ES-TRIN</w:t>
    </w:r>
    <w:r>
      <w:tab/>
    </w:r>
    <w:r w:rsidRPr="00C20E00">
      <w:rPr>
        <w:sz w:val="16"/>
        <w:szCs w:val="16"/>
      </w:rPr>
      <w:fldChar w:fldCharType="begin"/>
    </w:r>
    <w:r w:rsidRPr="009C40EF">
      <w:rPr>
        <w:sz w:val="16"/>
        <w:szCs w:val="16"/>
      </w:rPr>
      <w:instrText xml:space="preserve"> STYLEREF  ES-Titre2  \* MERGEFORMAT </w:instrText>
    </w:r>
    <w:r w:rsidRPr="00C20E00">
      <w:rPr>
        <w:sz w:val="16"/>
        <w:szCs w:val="16"/>
      </w:rPr>
      <w:fldChar w:fldCharType="separate"/>
    </w:r>
    <w:r w:rsidR="00624017">
      <w:rPr>
        <w:noProof/>
        <w:sz w:val="16"/>
        <w:szCs w:val="16"/>
      </w:rPr>
      <w:t>Capo 33</w:t>
    </w:r>
    <w:r w:rsidR="00624017">
      <w:rPr>
        <w:noProof/>
        <w:sz w:val="16"/>
        <w:szCs w:val="16"/>
      </w:rPr>
      <w:br/>
      <w:t>Disposizioni transitorie per le imbarcazioni che navigano esclusivamente su vie navigabili al di fuori del Reno (zona R)</w:t>
    </w:r>
    <w:r w:rsidRPr="00C20E00">
      <w:rPr>
        <w:noProof/>
        <w:sz w:val="16"/>
        <w:szCs w:val="16"/>
      </w:rPr>
      <w:fldChar w:fldCharType="end"/>
    </w:r>
    <w:r>
      <w:rPr>
        <w:sz w:val="16"/>
      </w:rPr>
      <w:t xml:space="preserve"> -</w:t>
    </w:r>
    <w:r>
      <w:rPr>
        <w:sz w:val="16"/>
        <w:szCs w:val="16"/>
      </w:rPr>
      <w:fldChar w:fldCharType="begin"/>
    </w:r>
    <w:r>
      <w:rPr>
        <w:sz w:val="16"/>
        <w:szCs w:val="16"/>
      </w:rPr>
      <w:instrText xml:space="preserve"> STYLEREF  ES-Titre3_pr_chap32  \* MERGEFORMAT </w:instrText>
    </w:r>
    <w:r>
      <w:rPr>
        <w:sz w:val="16"/>
        <w:szCs w:val="16"/>
      </w:rPr>
      <w:fldChar w:fldCharType="separate"/>
    </w:r>
    <w:r w:rsidR="00624017">
      <w:rPr>
        <w:noProof/>
        <w:sz w:val="16"/>
        <w:szCs w:val="16"/>
      </w:rPr>
      <w:t>Articolo 33.01</w:t>
    </w:r>
    <w:r>
      <w:rPr>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624017">
      <w:rPr>
        <w:noProof/>
        <w:sz w:val="16"/>
        <w:szCs w:val="16"/>
      </w:rPr>
      <w:t>Articolo 33.02</w:t>
    </w:r>
    <w:r>
      <w:rPr>
        <w:sz w:val="16"/>
        <w:szCs w:val="16"/>
      </w:rPr>
      <w:fldChar w:fldCharType="end"/>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C62373" w:rsidRDefault="00801F1F" w:rsidP="008446C0">
    <w:pPr>
      <w:widowControl w:val="0"/>
      <w:pBdr>
        <w:bottom w:val="single" w:sz="4" w:space="1" w:color="auto"/>
      </w:pBdr>
      <w:tabs>
        <w:tab w:val="right" w:pos="13892"/>
      </w:tabs>
      <w:autoSpaceDE/>
      <w:autoSpaceDN/>
      <w:ind w:left="0" w:firstLine="0"/>
      <w:jc w:val="right"/>
      <w:rPr>
        <w:rFonts w:cs="Arial"/>
        <w:sz w:val="16"/>
        <w:szCs w:val="16"/>
      </w:rPr>
    </w:pPr>
    <w:r>
      <w:rPr>
        <w:sz w:val="16"/>
      </w:rPr>
      <w:t>ES-TRIN</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624017" w:rsidRPr="00624017">
      <w:rPr>
        <w:rFonts w:cs="Arial"/>
        <w:noProof/>
        <w:sz w:val="16"/>
        <w:szCs w:val="16"/>
      </w:rPr>
      <w:t>Capo 33</w:t>
    </w:r>
    <w:r w:rsidR="00624017" w:rsidRPr="00624017">
      <w:rPr>
        <w:rFonts w:cs="Arial"/>
        <w:noProof/>
        <w:sz w:val="16"/>
        <w:szCs w:val="16"/>
      </w:rPr>
      <w:br/>
      <w:t>Disposizioni transitorie per le imbarcazioni che navigano esclusivamente su vie navigabili al</w:t>
    </w:r>
    <w:r w:rsidR="00624017">
      <w:rPr>
        <w:noProof/>
        <w:sz w:val="16"/>
        <w:szCs w:val="16"/>
      </w:rPr>
      <w:t xml:space="preserve"> di fuori del Reno (zona R)</w:t>
    </w:r>
    <w:r w:rsidRPr="00F46C3C">
      <w:rPr>
        <w:rFonts w:cs="Arial"/>
        <w:noProof/>
        <w:sz w:val="16"/>
        <w:szCs w:val="16"/>
      </w:rPr>
      <w:fldChar w:fldCharType="end"/>
    </w:r>
    <w:r>
      <w:rPr>
        <w:sz w:val="16"/>
      </w:rPr>
      <w:t xml:space="preserve"> - </w:t>
    </w:r>
    <w:r>
      <w:rPr>
        <w:rFonts w:cs="Arial"/>
        <w:sz w:val="16"/>
        <w:szCs w:val="16"/>
      </w:rPr>
      <w:fldChar w:fldCharType="begin"/>
    </w:r>
    <w:r>
      <w:rPr>
        <w:rFonts w:cs="Arial"/>
        <w:sz w:val="16"/>
        <w:szCs w:val="16"/>
      </w:rPr>
      <w:instrText xml:space="preserve"> STYLEREF  ES-Titre3  \* MERGEFORMAT </w:instrText>
    </w:r>
    <w:r>
      <w:rPr>
        <w:rFonts w:cs="Arial"/>
        <w:sz w:val="16"/>
        <w:szCs w:val="16"/>
      </w:rPr>
      <w:fldChar w:fldCharType="separate"/>
    </w:r>
    <w:r w:rsidR="00624017">
      <w:rPr>
        <w:rFonts w:cs="Arial"/>
        <w:noProof/>
        <w:sz w:val="16"/>
        <w:szCs w:val="16"/>
      </w:rPr>
      <w:t>Articolo 33.02</w:t>
    </w:r>
    <w:r>
      <w:rPr>
        <w:rFonts w:cs="Arial"/>
        <w:sz w:val="16"/>
        <w:szCs w:val="16"/>
      </w:rPr>
      <w:fldChar w:fldCharType="end"/>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rsidP="001E2331">
    <w:pPr>
      <w:widowControl w:val="0"/>
      <w:pBdr>
        <w:bottom w:val="single" w:sz="6" w:space="1" w:color="auto"/>
      </w:pBdr>
      <w:tabs>
        <w:tab w:val="right" w:pos="9072"/>
      </w:tabs>
      <w:autoSpaceDE/>
      <w:autoSpaceDN/>
      <w:ind w:left="0" w:firstLine="0"/>
      <w:jc w:val="right"/>
      <w:rPr>
        <w:sz w:val="16"/>
        <w:szCs w:val="16"/>
      </w:rPr>
    </w:pPr>
    <w:r>
      <w:rPr>
        <w:sz w:val="16"/>
      </w:rPr>
      <w:t xml:space="preserve">ES-TRIN </w:t>
    </w:r>
    <w:r>
      <w:tab/>
    </w:r>
    <w:fldSimple w:instr=" STYLEREF  Es-Titre_annexes  \* MERGEFORMAT ">
      <w:r w:rsidR="00624017" w:rsidRPr="00624017">
        <w:rPr>
          <w:noProof/>
          <w:sz w:val="16"/>
          <w:szCs w:val="16"/>
        </w:rPr>
        <w:t>Allegati alla norma</w:t>
      </w:r>
      <w:r w:rsidR="00624017">
        <w:rPr>
          <w:noProof/>
        </w:rPr>
        <w:t xml:space="preserve"> europea</w:t>
      </w:r>
    </w:fldSimple>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rsidP="001E2331">
    <w:pPr>
      <w:widowControl w:val="0"/>
      <w:pBdr>
        <w:bottom w:val="single" w:sz="6" w:space="1" w:color="auto"/>
      </w:pBdr>
      <w:tabs>
        <w:tab w:val="right" w:pos="9072"/>
      </w:tabs>
      <w:autoSpaceDE/>
      <w:autoSpaceDN/>
      <w:ind w:left="0" w:firstLine="0"/>
      <w:jc w:val="right"/>
      <w:rPr>
        <w:sz w:val="16"/>
        <w:szCs w:val="16"/>
      </w:rPr>
    </w:pPr>
    <w:r>
      <w:rPr>
        <w:sz w:val="16"/>
      </w:rPr>
      <w:t xml:space="preserve">ES-TRIN </w:t>
    </w:r>
    <w:r>
      <w:tab/>
    </w:r>
    <w:fldSimple w:instr=" STYLEREF  Es-Titre_annexes  \* MERGEFORMAT ">
      <w:r w:rsidR="00624017" w:rsidRPr="00624017">
        <w:rPr>
          <w:noProof/>
          <w:sz w:val="16"/>
          <w:szCs w:val="16"/>
        </w:rPr>
        <w:t>Allegati alla norma</w:t>
      </w:r>
      <w:r w:rsidR="00624017">
        <w:rPr>
          <w:noProof/>
        </w:rPr>
        <w:t xml:space="preserve"> europea</w:t>
      </w:r>
    </w:fldSimple>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FD13C1" w:rsidRDefault="00801F1F" w:rsidP="009C13A9">
    <w:pPr>
      <w:widowControl w:val="0"/>
      <w:pBdr>
        <w:bottom w:val="single" w:sz="6" w:space="1" w:color="auto"/>
      </w:pBdr>
      <w:tabs>
        <w:tab w:val="right" w:pos="9072"/>
      </w:tabs>
      <w:autoSpaceDE/>
      <w:autoSpaceDN/>
      <w:ind w:left="0" w:firstLine="0"/>
      <w:jc w:val="right"/>
      <w:rPr>
        <w:sz w:val="16"/>
        <w:szCs w:val="16"/>
      </w:rPr>
    </w:pPr>
    <w:r>
      <w:rPr>
        <w:sz w:val="16"/>
      </w:rPr>
      <w:t xml:space="preserve">ES-TRIN </w:t>
    </w:r>
    <w:r>
      <w:tab/>
    </w:r>
    <w:r w:rsidRPr="00FD13C1">
      <w:rPr>
        <w:sz w:val="16"/>
        <w:szCs w:val="16"/>
      </w:rPr>
      <w:fldChar w:fldCharType="begin"/>
    </w:r>
    <w:r w:rsidRPr="00FD13C1">
      <w:rPr>
        <w:sz w:val="16"/>
        <w:szCs w:val="16"/>
      </w:rPr>
      <w:instrText xml:space="preserve"> STYLEREF  ES-Titre2 \l  \* MERGEFORMAT </w:instrText>
    </w:r>
    <w:r w:rsidRPr="00FD13C1">
      <w:rPr>
        <w:sz w:val="16"/>
        <w:szCs w:val="16"/>
      </w:rPr>
      <w:fldChar w:fldCharType="separate"/>
    </w:r>
    <w:r w:rsidR="00624017">
      <w:rPr>
        <w:noProof/>
        <w:sz w:val="16"/>
        <w:szCs w:val="16"/>
      </w:rPr>
      <w:t>Allegato 2</w:t>
    </w:r>
    <w:r w:rsidR="00624017">
      <w:rPr>
        <w:noProof/>
        <w:sz w:val="16"/>
        <w:szCs w:val="16"/>
      </w:rPr>
      <w:br/>
      <w:t>Dati per l'identificazione di una nave</w:t>
    </w:r>
    <w:r w:rsidRPr="00FD13C1">
      <w:rPr>
        <w:noProof/>
        <w:sz w:val="16"/>
        <w:szCs w:val="16"/>
      </w:rPr>
      <w:fldChar w:fldCharType="end"/>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762086" w:rsidRDefault="00801F1F" w:rsidP="009C13A9">
    <w:pPr>
      <w:widowControl w:val="0"/>
      <w:pBdr>
        <w:bottom w:val="single" w:sz="6" w:space="1" w:color="auto"/>
      </w:pBdr>
      <w:tabs>
        <w:tab w:val="right" w:pos="9070"/>
      </w:tabs>
      <w:autoSpaceDE/>
      <w:autoSpaceDN/>
      <w:ind w:left="3600" w:hanging="3600"/>
      <w:rPr>
        <w:sz w:val="16"/>
        <w:szCs w:val="16"/>
        <w:lang w:val="en-GB"/>
      </w:rPr>
    </w:pPr>
    <w:r w:rsidRPr="00762086">
      <w:rPr>
        <w:sz w:val="16"/>
        <w:lang w:val="en-GB"/>
      </w:rPr>
      <w:t>ES-TRIN</w:t>
    </w:r>
    <w:r w:rsidRPr="00762086">
      <w:rPr>
        <w:lang w:val="en-GB"/>
      </w:rPr>
      <w:tab/>
    </w:r>
    <w:r w:rsidRPr="00762086">
      <w:rPr>
        <w:lang w:val="en-GB"/>
      </w:rPr>
      <w:tab/>
    </w:r>
    <w:r>
      <w:fldChar w:fldCharType="begin"/>
    </w:r>
    <w:r w:rsidRPr="00762086">
      <w:rPr>
        <w:lang w:val="en-GB"/>
      </w:rPr>
      <w:instrText xml:space="preserve"> STYLEREF  ES-Titre2 \l  \* MERGEFORMAT </w:instrText>
    </w:r>
    <w:r>
      <w:fldChar w:fldCharType="separate"/>
    </w:r>
    <w:r w:rsidRPr="00762086">
      <w:rPr>
        <w:noProof/>
        <w:sz w:val="16"/>
        <w:szCs w:val="16"/>
        <w:lang w:val="en-GB"/>
      </w:rPr>
      <w:t>Chapter 33</w:t>
    </w:r>
    <w:r w:rsidRPr="00762086">
      <w:rPr>
        <w:noProof/>
        <w:sz w:val="16"/>
        <w:szCs w:val="16"/>
        <w:lang w:val="en-GB"/>
      </w:rPr>
      <w:br/>
      <w:t>Transitional provisions for craft operating exclusively on waterways outside the Rhine (</w:t>
    </w:r>
    <w:r w:rsidRPr="00762086">
      <w:rPr>
        <w:noProof/>
        <w:lang w:val="en-GB"/>
      </w:rPr>
      <w:t>Zone R)</w:t>
    </w:r>
    <w:r>
      <w:rPr>
        <w:noProof/>
        <w:sz w:val="16"/>
        <w:szCs w:val="16"/>
      </w:rPr>
      <w:fldChar w:fldCharType="end"/>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777D8" w:rsidRDefault="00801F1F" w:rsidP="009C13A9">
    <w:pPr>
      <w:widowControl w:val="0"/>
      <w:pBdr>
        <w:bottom w:val="single" w:sz="6" w:space="1" w:color="auto"/>
      </w:pBdr>
      <w:tabs>
        <w:tab w:val="right" w:pos="9072"/>
      </w:tabs>
      <w:autoSpaceDE/>
      <w:autoSpaceDN/>
      <w:ind w:left="0" w:firstLine="0"/>
      <w:jc w:val="right"/>
      <w:rPr>
        <w:sz w:val="16"/>
        <w:szCs w:val="16"/>
      </w:rPr>
    </w:pPr>
    <w:r>
      <w:rPr>
        <w:sz w:val="16"/>
      </w:rPr>
      <w:t xml:space="preserve">ES-TRIN </w:t>
    </w:r>
    <w:r>
      <w:tab/>
    </w:r>
    <w:r>
      <w:fldChar w:fldCharType="begin"/>
    </w:r>
    <w:r w:rsidRPr="00101CB2">
      <w:instrText xml:space="preserve"> STYLEREF  ES-Titre2 \l  \* MERGEFORMAT </w:instrText>
    </w:r>
    <w:r>
      <w:fldChar w:fldCharType="separate"/>
    </w:r>
    <w:r w:rsidR="00624017" w:rsidRPr="00624017">
      <w:rPr>
        <w:noProof/>
        <w:sz w:val="16"/>
        <w:szCs w:val="16"/>
      </w:rPr>
      <w:t>Allegato 3</w:t>
    </w:r>
    <w:r w:rsidR="00624017" w:rsidRPr="00624017">
      <w:rPr>
        <w:noProof/>
        <w:sz w:val="16"/>
        <w:szCs w:val="16"/>
      </w:rPr>
      <w:br/>
      <w:t>Modelli di certificati di nave di navigazione</w:t>
    </w:r>
    <w:r w:rsidR="00624017">
      <w:rPr>
        <w:noProof/>
      </w:rPr>
      <w:t xml:space="preserve"> interna e modello di registro di tali certificati</w:t>
    </w:r>
    <w:r>
      <w:rPr>
        <w:noProof/>
        <w:sz w:val="16"/>
        <w:szCs w:val="16"/>
      </w:rPr>
      <w:fldChar w:fldCharType="end"/>
    </w:r>
  </w:p>
  <w:p w:rsidR="00801F1F" w:rsidRPr="00D229DB" w:rsidRDefault="00801F1F" w:rsidP="009C13A9">
    <w:pPr>
      <w:widowControl w:val="0"/>
      <w:pBdr>
        <w:bottom w:val="single" w:sz="6" w:space="1" w:color="auto"/>
      </w:pBdr>
      <w:tabs>
        <w:tab w:val="right" w:pos="9072"/>
      </w:tabs>
      <w:autoSpaceDE/>
      <w:autoSpaceDN/>
      <w:ind w:left="0" w:firstLine="0"/>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624017">
      <w:rPr>
        <w:noProof/>
        <w:sz w:val="16"/>
        <w:szCs w:val="16"/>
      </w:rPr>
      <w:t>Sezione I</w:t>
    </w:r>
    <w:r>
      <w:rPr>
        <w:sz w:val="16"/>
        <w:szCs w:val="16"/>
      </w:rPr>
      <w:fldChar w:fldCharType="end"/>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6B7368" w:rsidRDefault="00801F1F" w:rsidP="009C13A9">
    <w:pPr>
      <w:widowControl w:val="0"/>
      <w:pBdr>
        <w:bottom w:val="single" w:sz="6" w:space="1" w:color="auto"/>
      </w:pBdr>
      <w:tabs>
        <w:tab w:val="right" w:pos="9072"/>
      </w:tabs>
      <w:autoSpaceDE/>
      <w:autoSpaceDN/>
      <w:ind w:left="0" w:firstLine="0"/>
      <w:jc w:val="right"/>
      <w:rPr>
        <w:sz w:val="16"/>
        <w:szCs w:val="16"/>
      </w:rPr>
    </w:pPr>
    <w:r>
      <w:rPr>
        <w:sz w:val="16"/>
      </w:rPr>
      <w:t xml:space="preserve">ES-TRIN </w:t>
    </w:r>
    <w:r>
      <w:tab/>
    </w:r>
    <w:r w:rsidRPr="006B7368">
      <w:rPr>
        <w:sz w:val="16"/>
        <w:szCs w:val="16"/>
      </w:rPr>
      <w:fldChar w:fldCharType="begin"/>
    </w:r>
    <w:r w:rsidRPr="006B7368">
      <w:rPr>
        <w:sz w:val="16"/>
        <w:szCs w:val="16"/>
      </w:rPr>
      <w:instrText xml:space="preserve"> STYLEREF  ES-Titre2 \l  \* MERGEFORMAT </w:instrText>
    </w:r>
    <w:r w:rsidRPr="006B7368">
      <w:rPr>
        <w:sz w:val="16"/>
        <w:szCs w:val="16"/>
      </w:rPr>
      <w:fldChar w:fldCharType="separate"/>
    </w:r>
    <w:r w:rsidR="00624017">
      <w:rPr>
        <w:noProof/>
        <w:sz w:val="16"/>
        <w:szCs w:val="16"/>
      </w:rPr>
      <w:t>Allegato 3</w:t>
    </w:r>
    <w:r w:rsidR="00624017">
      <w:rPr>
        <w:noProof/>
        <w:sz w:val="16"/>
        <w:szCs w:val="16"/>
      </w:rPr>
      <w:br/>
      <w:t>Modelli di certificati di nave di navigazione interna e modello di registro di tali certificati</w:t>
    </w:r>
    <w:r w:rsidRPr="006B7368">
      <w:rPr>
        <w:noProof/>
        <w:sz w:val="16"/>
        <w:szCs w:val="16"/>
      </w:rPr>
      <w:fldChar w:fldCharType="end"/>
    </w:r>
  </w:p>
  <w:p w:rsidR="00801F1F" w:rsidRPr="002352BD" w:rsidRDefault="00801F1F" w:rsidP="009C13A9">
    <w:pPr>
      <w:widowControl w:val="0"/>
      <w:pBdr>
        <w:bottom w:val="single" w:sz="6" w:space="1" w:color="auto"/>
      </w:pBdr>
      <w:tabs>
        <w:tab w:val="right" w:pos="9072"/>
      </w:tabs>
      <w:autoSpaceDE/>
      <w:autoSpaceDN/>
      <w:ind w:left="0" w:firstLine="0"/>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624017">
      <w:rPr>
        <w:noProof/>
        <w:sz w:val="16"/>
        <w:szCs w:val="16"/>
      </w:rPr>
      <w:t>Sezione VI</w:t>
    </w:r>
    <w:r>
      <w:rPr>
        <w:sz w:val="16"/>
        <w:szCs w:val="16"/>
      </w:rPr>
      <w:fldChar w:fldCharType="end"/>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352BD" w:rsidRDefault="00801F1F" w:rsidP="009C13A9">
    <w:pPr>
      <w:widowControl w:val="0"/>
      <w:pBdr>
        <w:bottom w:val="single" w:sz="6" w:space="1" w:color="auto"/>
      </w:pBdr>
      <w:tabs>
        <w:tab w:val="right" w:pos="9072"/>
      </w:tabs>
      <w:autoSpaceDE/>
      <w:autoSpaceDN/>
      <w:jc w:val="right"/>
      <w:rPr>
        <w:sz w:val="16"/>
        <w:szCs w:val="16"/>
      </w:rPr>
    </w:pPr>
    <w:r>
      <w:rPr>
        <w:sz w:val="16"/>
      </w:rPr>
      <w:t xml:space="preserve">ES-TRIN </w:t>
    </w:r>
    <w:r>
      <w:tab/>
    </w:r>
    <w:r>
      <w:fldChar w:fldCharType="begin"/>
    </w:r>
    <w:r w:rsidRPr="00101CB2">
      <w:instrText xml:space="preserve"> STYLEREF  ES-Titre2  \* MERGEFORMAT </w:instrText>
    </w:r>
    <w:r>
      <w:fldChar w:fldCharType="separate"/>
    </w:r>
    <w:r w:rsidR="00624017" w:rsidRPr="00624017">
      <w:rPr>
        <w:noProof/>
        <w:sz w:val="16"/>
        <w:szCs w:val="16"/>
      </w:rPr>
      <w:t>Allegato 3</w:t>
    </w:r>
    <w:r w:rsidR="00624017" w:rsidRPr="00624017">
      <w:rPr>
        <w:noProof/>
        <w:sz w:val="16"/>
        <w:szCs w:val="16"/>
      </w:rPr>
      <w:br/>
      <w:t>Modelli di certificati di</w:t>
    </w:r>
    <w:r w:rsidR="00624017">
      <w:rPr>
        <w:noProof/>
      </w:rPr>
      <w:t xml:space="preserve"> nave di navigazione interna e modello di registro di tali certificati</w:t>
    </w:r>
    <w:r>
      <w:rPr>
        <w:noProof/>
        <w:sz w:val="16"/>
        <w:szCs w:val="16"/>
      </w:rPr>
      <w:fldChar w:fldCharType="end"/>
    </w:r>
  </w:p>
  <w:p w:rsidR="00801F1F" w:rsidRDefault="00801F1F" w:rsidP="009C13A9">
    <w:pPr>
      <w:widowControl w:val="0"/>
      <w:pBdr>
        <w:bottom w:val="single" w:sz="6" w:space="1" w:color="auto"/>
      </w:pBdr>
      <w:tabs>
        <w:tab w:val="right" w:pos="9072"/>
      </w:tabs>
      <w:autoSpaceDE/>
      <w:autoSpaceDN/>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624017">
      <w:rPr>
        <w:noProof/>
        <w:sz w:val="16"/>
        <w:szCs w:val="16"/>
      </w:rPr>
      <w:t>Sezione VI</w:t>
    </w:r>
    <w:r>
      <w:rPr>
        <w:sz w:val="16"/>
        <w:szCs w:val="16"/>
      </w:rPr>
      <w:fldChar w:fldCharType="end"/>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42206B" w:rsidRDefault="00801F1F" w:rsidP="009C13A9">
    <w:pPr>
      <w:widowControl w:val="0"/>
      <w:pBdr>
        <w:bottom w:val="single" w:sz="6" w:space="1" w:color="auto"/>
      </w:pBdr>
      <w:tabs>
        <w:tab w:val="right" w:pos="9072"/>
      </w:tabs>
      <w:autoSpaceDE/>
      <w:autoSpaceDN/>
      <w:jc w:val="right"/>
      <w:rPr>
        <w:sz w:val="16"/>
        <w:szCs w:val="16"/>
      </w:rPr>
    </w:pPr>
    <w:r>
      <w:rPr>
        <w:sz w:val="16"/>
      </w:rPr>
      <w:t xml:space="preserve">ES-TRIN </w:t>
    </w:r>
    <w:r>
      <w:tab/>
    </w:r>
    <w:r w:rsidRPr="0042206B">
      <w:rPr>
        <w:sz w:val="16"/>
        <w:szCs w:val="16"/>
      </w:rPr>
      <w:fldChar w:fldCharType="begin"/>
    </w:r>
    <w:r w:rsidRPr="0042206B">
      <w:rPr>
        <w:sz w:val="16"/>
        <w:szCs w:val="16"/>
      </w:rPr>
      <w:instrText xml:space="preserve"> STYLEREF  ES-Titre2  \* MERGEFORMAT </w:instrText>
    </w:r>
    <w:r w:rsidRPr="0042206B">
      <w:rPr>
        <w:sz w:val="16"/>
        <w:szCs w:val="16"/>
      </w:rPr>
      <w:fldChar w:fldCharType="separate"/>
    </w:r>
    <w:r w:rsidR="00624017">
      <w:rPr>
        <w:noProof/>
        <w:sz w:val="16"/>
        <w:szCs w:val="16"/>
      </w:rPr>
      <w:t>Allegato 5</w:t>
    </w:r>
    <w:r w:rsidR="00624017">
      <w:rPr>
        <w:noProof/>
        <w:sz w:val="16"/>
        <w:szCs w:val="16"/>
      </w:rPr>
      <w:br/>
      <w:t>Impianti di informazione e di navigazione</w:t>
    </w:r>
    <w:r w:rsidRPr="0042206B">
      <w:rPr>
        <w:noProof/>
        <w:sz w:val="16"/>
        <w:szCs w:val="16"/>
      </w:rPr>
      <w:fldChar w:fldCharType="end"/>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352BD" w:rsidRDefault="00801F1F" w:rsidP="009C13A9">
    <w:pPr>
      <w:widowControl w:val="0"/>
      <w:pBdr>
        <w:bottom w:val="single" w:sz="6" w:space="1" w:color="auto"/>
      </w:pBdr>
      <w:tabs>
        <w:tab w:val="right" w:pos="9072"/>
      </w:tabs>
      <w:autoSpaceDE/>
      <w:autoSpaceDN/>
      <w:jc w:val="right"/>
      <w:rPr>
        <w:sz w:val="16"/>
        <w:szCs w:val="16"/>
      </w:rPr>
    </w:pPr>
    <w:r>
      <w:rPr>
        <w:sz w:val="16"/>
      </w:rPr>
      <w:t xml:space="preserve">ES-TRIN </w:t>
    </w:r>
    <w:r>
      <w:tab/>
    </w:r>
    <w:r>
      <w:fldChar w:fldCharType="begin"/>
    </w:r>
    <w:r w:rsidRPr="00101CB2">
      <w:instrText xml:space="preserve"> STYLEREF  ES-Titre2  \* MERGEFORMAT </w:instrText>
    </w:r>
    <w:r>
      <w:fldChar w:fldCharType="separate"/>
    </w:r>
    <w:r w:rsidR="00624017" w:rsidRPr="00624017">
      <w:rPr>
        <w:noProof/>
        <w:sz w:val="16"/>
        <w:szCs w:val="16"/>
      </w:rPr>
      <w:t>Allegato 5</w:t>
    </w:r>
    <w:r w:rsidR="00624017" w:rsidRPr="00624017">
      <w:rPr>
        <w:noProof/>
        <w:sz w:val="16"/>
        <w:szCs w:val="16"/>
      </w:rPr>
      <w:br/>
      <w:t>Impianti di informazione e</w:t>
    </w:r>
    <w:r w:rsidR="00624017">
      <w:rPr>
        <w:noProof/>
      </w:rPr>
      <w:t xml:space="preserve"> di navigazione</w:t>
    </w:r>
    <w:r>
      <w:rPr>
        <w:noProof/>
        <w:sz w:val="16"/>
        <w:szCs w:val="16"/>
      </w:rPr>
      <w:fldChar w:fldCharType="end"/>
    </w:r>
  </w:p>
  <w:p w:rsidR="00801F1F" w:rsidRDefault="00801F1F" w:rsidP="009C13A9">
    <w:pPr>
      <w:widowControl w:val="0"/>
      <w:pBdr>
        <w:bottom w:val="single" w:sz="6" w:space="1" w:color="auto"/>
      </w:pBdr>
      <w:tabs>
        <w:tab w:val="right" w:pos="9072"/>
      </w:tabs>
      <w:autoSpaceDE/>
      <w:autoSpaceDN/>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624017">
      <w:rPr>
        <w:noProof/>
        <w:sz w:val="16"/>
        <w:szCs w:val="16"/>
      </w:rPr>
      <w:t>Sezione VI</w:t>
    </w:r>
    <w:r>
      <w:rPr>
        <w:sz w:val="16"/>
        <w:szCs w:val="16"/>
      </w:rPr>
      <w:fldChar w:fldCharType="end"/>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C859BD" w:rsidRDefault="00801F1F" w:rsidP="00652F98">
    <w:pPr>
      <w:widowControl w:val="0"/>
      <w:pBdr>
        <w:bottom w:val="single" w:sz="6" w:space="1" w:color="auto"/>
      </w:pBdr>
      <w:tabs>
        <w:tab w:val="right" w:pos="9072"/>
      </w:tabs>
      <w:autoSpaceDE/>
      <w:autoSpaceDN/>
      <w:ind w:left="0" w:firstLine="0"/>
      <w:jc w:val="right"/>
      <w:rPr>
        <w:sz w:val="16"/>
        <w:szCs w:val="16"/>
      </w:rPr>
    </w:pPr>
    <w:r>
      <w:rPr>
        <w:sz w:val="16"/>
      </w:rPr>
      <w:t xml:space="preserve">ES-TRIN </w:t>
    </w:r>
    <w:r>
      <w:tab/>
    </w:r>
    <w:r w:rsidRPr="00C859BD">
      <w:rPr>
        <w:sz w:val="16"/>
        <w:szCs w:val="16"/>
      </w:rPr>
      <w:fldChar w:fldCharType="begin"/>
    </w:r>
    <w:r w:rsidRPr="00C859BD">
      <w:rPr>
        <w:sz w:val="16"/>
        <w:szCs w:val="16"/>
      </w:rPr>
      <w:instrText xml:space="preserve"> STYLEREF  ES-Titre2  \* MERGEFORMAT </w:instrText>
    </w:r>
    <w:r w:rsidRPr="00C859BD">
      <w:rPr>
        <w:sz w:val="16"/>
        <w:szCs w:val="16"/>
      </w:rPr>
      <w:fldChar w:fldCharType="separate"/>
    </w:r>
    <w:r w:rsidR="00624017">
      <w:rPr>
        <w:noProof/>
        <w:sz w:val="16"/>
        <w:szCs w:val="16"/>
      </w:rPr>
      <w:t>Allegato 6</w:t>
    </w:r>
    <w:r w:rsidR="00624017">
      <w:rPr>
        <w:noProof/>
        <w:sz w:val="16"/>
        <w:szCs w:val="16"/>
      </w:rPr>
      <w:br/>
      <w:t>Protocollo dei parametri del motore</w:t>
    </w:r>
    <w:r w:rsidRPr="00C859BD">
      <w:rPr>
        <w:noProof/>
        <w:sz w:val="16"/>
        <w:szCs w:val="16"/>
      </w:rPr>
      <w:fldChar w:fldCharType="end"/>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42206B" w:rsidRDefault="00801F1F" w:rsidP="009C13A9">
    <w:pPr>
      <w:widowControl w:val="0"/>
      <w:pBdr>
        <w:bottom w:val="single" w:sz="6" w:space="1" w:color="auto"/>
      </w:pBdr>
      <w:tabs>
        <w:tab w:val="right" w:pos="9072"/>
      </w:tabs>
      <w:autoSpaceDE/>
      <w:autoSpaceDN/>
      <w:jc w:val="right"/>
      <w:rPr>
        <w:sz w:val="16"/>
        <w:szCs w:val="16"/>
      </w:rPr>
    </w:pPr>
    <w:r>
      <w:rPr>
        <w:sz w:val="16"/>
      </w:rPr>
      <w:t xml:space="preserve">ES-TRIN </w:t>
    </w:r>
    <w:r>
      <w:tab/>
    </w:r>
    <w:r w:rsidRPr="0042206B">
      <w:rPr>
        <w:sz w:val="16"/>
        <w:szCs w:val="16"/>
      </w:rPr>
      <w:fldChar w:fldCharType="begin"/>
    </w:r>
    <w:r w:rsidRPr="0042206B">
      <w:rPr>
        <w:sz w:val="16"/>
        <w:szCs w:val="16"/>
      </w:rPr>
      <w:instrText xml:space="preserve"> STYLEREF  ES-Titre2  \* MERGEFORMAT </w:instrText>
    </w:r>
    <w:r w:rsidRPr="0042206B">
      <w:rPr>
        <w:sz w:val="16"/>
        <w:szCs w:val="16"/>
      </w:rPr>
      <w:fldChar w:fldCharType="separate"/>
    </w:r>
    <w:r w:rsidR="00624017">
      <w:rPr>
        <w:noProof/>
        <w:sz w:val="16"/>
        <w:szCs w:val="16"/>
      </w:rPr>
      <w:t>Allegato 7</w:t>
    </w:r>
    <w:r w:rsidR="00624017">
      <w:rPr>
        <w:noProof/>
        <w:sz w:val="16"/>
        <w:szCs w:val="16"/>
      </w:rPr>
      <w:br/>
      <w:t>Impianti di depurazione di bordo</w:t>
    </w:r>
    <w:r w:rsidRPr="0042206B">
      <w:rPr>
        <w:noProof/>
        <w:sz w:val="16"/>
        <w:szCs w:val="16"/>
      </w:rPr>
      <w:fldChar w:fldCharType="end"/>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352BD" w:rsidRDefault="00801F1F" w:rsidP="009C13A9">
    <w:pPr>
      <w:widowControl w:val="0"/>
      <w:pBdr>
        <w:bottom w:val="single" w:sz="6" w:space="1" w:color="auto"/>
      </w:pBdr>
      <w:tabs>
        <w:tab w:val="right" w:pos="9072"/>
      </w:tabs>
      <w:autoSpaceDE/>
      <w:autoSpaceDN/>
      <w:jc w:val="right"/>
      <w:rPr>
        <w:sz w:val="16"/>
        <w:szCs w:val="16"/>
      </w:rPr>
    </w:pPr>
    <w:r>
      <w:rPr>
        <w:sz w:val="16"/>
      </w:rPr>
      <w:t xml:space="preserve">ES-TRIN </w:t>
    </w:r>
    <w:r>
      <w:tab/>
    </w:r>
    <w:r>
      <w:fldChar w:fldCharType="begin"/>
    </w:r>
    <w:r w:rsidRPr="00101CB2">
      <w:instrText xml:space="preserve"> STYLEREF  ES-Titre2  \* MERGEFORMAT </w:instrText>
    </w:r>
    <w:r>
      <w:fldChar w:fldCharType="separate"/>
    </w:r>
    <w:r w:rsidR="00624017" w:rsidRPr="00624017">
      <w:rPr>
        <w:noProof/>
        <w:sz w:val="16"/>
        <w:szCs w:val="16"/>
      </w:rPr>
      <w:t>Allegato 7</w:t>
    </w:r>
    <w:r w:rsidR="00624017" w:rsidRPr="00624017">
      <w:rPr>
        <w:noProof/>
        <w:sz w:val="16"/>
        <w:szCs w:val="16"/>
      </w:rPr>
      <w:br/>
      <w:t>Impianti di depurazione di</w:t>
    </w:r>
    <w:r w:rsidR="00624017">
      <w:rPr>
        <w:noProof/>
      </w:rPr>
      <w:t xml:space="preserve"> bordo</w:t>
    </w:r>
    <w:r>
      <w:rPr>
        <w:noProof/>
        <w:sz w:val="16"/>
        <w:szCs w:val="16"/>
      </w:rPr>
      <w:fldChar w:fldCharType="end"/>
    </w:r>
  </w:p>
  <w:p w:rsidR="00801F1F" w:rsidRDefault="00801F1F" w:rsidP="009C13A9">
    <w:pPr>
      <w:widowControl w:val="0"/>
      <w:pBdr>
        <w:bottom w:val="single" w:sz="6" w:space="1" w:color="auto"/>
      </w:pBdr>
      <w:tabs>
        <w:tab w:val="right" w:pos="9072"/>
      </w:tabs>
      <w:autoSpaceDE/>
      <w:autoSpaceDN/>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624017">
      <w:rPr>
        <w:noProof/>
        <w:sz w:val="16"/>
        <w:szCs w:val="16"/>
      </w:rPr>
      <w:t>Sezione IV</w:t>
    </w:r>
    <w:r>
      <w:rPr>
        <w:sz w:val="16"/>
        <w:szCs w:val="16"/>
      </w:rPr>
      <w:fldChar w:fldCharType="end"/>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352BD" w:rsidRDefault="00801F1F" w:rsidP="009C13A9">
    <w:pPr>
      <w:widowControl w:val="0"/>
      <w:pBdr>
        <w:bottom w:val="single" w:sz="6" w:space="1" w:color="auto"/>
      </w:pBdr>
      <w:tabs>
        <w:tab w:val="right" w:pos="14033"/>
      </w:tabs>
      <w:autoSpaceDE/>
      <w:autoSpaceDN/>
      <w:jc w:val="right"/>
      <w:rPr>
        <w:sz w:val="16"/>
        <w:szCs w:val="16"/>
      </w:rPr>
    </w:pPr>
    <w:r>
      <w:rPr>
        <w:sz w:val="16"/>
      </w:rPr>
      <w:t xml:space="preserve">ES-TRIN </w:t>
    </w:r>
    <w:r>
      <w:tab/>
    </w:r>
    <w:r>
      <w:fldChar w:fldCharType="begin"/>
    </w:r>
    <w:r w:rsidRPr="00101CB2">
      <w:instrText xml:space="preserve"> STYLEREF  ES-Titre2  \* MERGEFORMAT </w:instrText>
    </w:r>
    <w:r>
      <w:fldChar w:fldCharType="separate"/>
    </w:r>
    <w:r w:rsidR="00624017" w:rsidRPr="00624017">
      <w:rPr>
        <w:noProof/>
        <w:sz w:val="16"/>
        <w:szCs w:val="16"/>
      </w:rPr>
      <w:t>Allegato 7</w:t>
    </w:r>
    <w:r w:rsidR="00624017" w:rsidRPr="00624017">
      <w:rPr>
        <w:noProof/>
        <w:sz w:val="16"/>
        <w:szCs w:val="16"/>
      </w:rPr>
      <w:br/>
      <w:t>Impianti di depurazione di</w:t>
    </w:r>
    <w:r w:rsidR="00624017">
      <w:rPr>
        <w:noProof/>
      </w:rPr>
      <w:t xml:space="preserve"> bordo</w:t>
    </w:r>
    <w:r>
      <w:rPr>
        <w:noProof/>
        <w:sz w:val="16"/>
        <w:szCs w:val="16"/>
      </w:rPr>
      <w:fldChar w:fldCharType="end"/>
    </w:r>
  </w:p>
  <w:p w:rsidR="00801F1F" w:rsidRDefault="00801F1F" w:rsidP="009C13A9">
    <w:pPr>
      <w:widowControl w:val="0"/>
      <w:pBdr>
        <w:bottom w:val="single" w:sz="6" w:space="1" w:color="auto"/>
      </w:pBdr>
      <w:tabs>
        <w:tab w:val="right" w:pos="14033"/>
      </w:tabs>
      <w:autoSpaceDE/>
      <w:autoSpaceDN/>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624017">
      <w:rPr>
        <w:noProof/>
        <w:sz w:val="16"/>
        <w:szCs w:val="16"/>
      </w:rPr>
      <w:t>Sezione V</w:t>
    </w:r>
    <w:r>
      <w:rPr>
        <w:sz w:val="16"/>
        <w:szCs w:val="16"/>
      </w:rPr>
      <w:fldChar w:fldCharType="end"/>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352BD" w:rsidRDefault="00801F1F" w:rsidP="009C13A9">
    <w:pPr>
      <w:widowControl w:val="0"/>
      <w:pBdr>
        <w:bottom w:val="single" w:sz="6" w:space="1" w:color="auto"/>
      </w:pBdr>
      <w:tabs>
        <w:tab w:val="right" w:pos="9072"/>
      </w:tabs>
      <w:autoSpaceDE/>
      <w:autoSpaceDN/>
      <w:jc w:val="right"/>
      <w:rPr>
        <w:sz w:val="16"/>
        <w:szCs w:val="16"/>
      </w:rPr>
    </w:pPr>
    <w:r>
      <w:rPr>
        <w:sz w:val="16"/>
      </w:rPr>
      <w:t xml:space="preserve">ES-TRIN </w:t>
    </w:r>
    <w:r>
      <w:tab/>
    </w:r>
    <w:r>
      <w:fldChar w:fldCharType="begin"/>
    </w:r>
    <w:r w:rsidRPr="00101CB2">
      <w:instrText xml:space="preserve"> STYLEREF  ES-Titre2  \* MERGEFORMAT </w:instrText>
    </w:r>
    <w:r>
      <w:fldChar w:fldCharType="separate"/>
    </w:r>
    <w:r w:rsidR="00624017" w:rsidRPr="00624017">
      <w:rPr>
        <w:noProof/>
        <w:sz w:val="16"/>
        <w:szCs w:val="16"/>
      </w:rPr>
      <w:t>Allegato 7</w:t>
    </w:r>
    <w:r w:rsidR="00624017" w:rsidRPr="00624017">
      <w:rPr>
        <w:noProof/>
        <w:sz w:val="16"/>
        <w:szCs w:val="16"/>
      </w:rPr>
      <w:br/>
      <w:t>Impianti di depurazione di</w:t>
    </w:r>
    <w:r w:rsidR="00624017">
      <w:rPr>
        <w:noProof/>
      </w:rPr>
      <w:t xml:space="preserve"> bordo</w:t>
    </w:r>
    <w:r>
      <w:rPr>
        <w:noProof/>
        <w:sz w:val="16"/>
        <w:szCs w:val="16"/>
      </w:rPr>
      <w:fldChar w:fldCharType="end"/>
    </w:r>
  </w:p>
  <w:p w:rsidR="00801F1F" w:rsidRDefault="00801F1F" w:rsidP="009C13A9">
    <w:pPr>
      <w:widowControl w:val="0"/>
      <w:pBdr>
        <w:bottom w:val="single" w:sz="6" w:space="1" w:color="auto"/>
      </w:pBdr>
      <w:tabs>
        <w:tab w:val="right" w:pos="9072"/>
      </w:tabs>
      <w:autoSpaceDE/>
      <w:autoSpaceDN/>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624017">
      <w:rPr>
        <w:noProof/>
        <w:sz w:val="16"/>
        <w:szCs w:val="16"/>
      </w:rPr>
      <w:t>Sezione VI</w:t>
    </w:r>
    <w:r>
      <w:rPr>
        <w:sz w:val="16"/>
        <w:szCs w:val="16"/>
      </w:rPr>
      <w:fldChar w:fldCharType="end"/>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2352BD" w:rsidRDefault="00801F1F" w:rsidP="009C13A9">
    <w:pPr>
      <w:widowControl w:val="0"/>
      <w:pBdr>
        <w:bottom w:val="single" w:sz="6" w:space="1" w:color="auto"/>
      </w:pBdr>
      <w:tabs>
        <w:tab w:val="right" w:pos="14033"/>
      </w:tabs>
      <w:autoSpaceDE/>
      <w:autoSpaceDN/>
      <w:jc w:val="right"/>
      <w:rPr>
        <w:sz w:val="16"/>
        <w:szCs w:val="16"/>
      </w:rPr>
    </w:pPr>
    <w:r>
      <w:rPr>
        <w:sz w:val="16"/>
      </w:rPr>
      <w:t xml:space="preserve">ES-TRIN </w:t>
    </w:r>
    <w:r>
      <w:tab/>
    </w:r>
    <w:r>
      <w:fldChar w:fldCharType="begin"/>
    </w:r>
    <w:r w:rsidRPr="00101CB2">
      <w:instrText xml:space="preserve"> STYLEREF  ES-Titre2  \* MERGEFORMAT </w:instrText>
    </w:r>
    <w:r>
      <w:fldChar w:fldCharType="separate"/>
    </w:r>
    <w:r w:rsidR="00624017" w:rsidRPr="00624017">
      <w:rPr>
        <w:noProof/>
        <w:sz w:val="16"/>
        <w:szCs w:val="16"/>
      </w:rPr>
      <w:t>Allegato 7</w:t>
    </w:r>
    <w:r w:rsidR="00624017" w:rsidRPr="00624017">
      <w:rPr>
        <w:noProof/>
        <w:sz w:val="16"/>
        <w:szCs w:val="16"/>
      </w:rPr>
      <w:br/>
      <w:t>Impianti di depurazione di</w:t>
    </w:r>
    <w:r w:rsidR="00624017">
      <w:rPr>
        <w:noProof/>
      </w:rPr>
      <w:t xml:space="preserve"> bordo</w:t>
    </w:r>
    <w:r>
      <w:rPr>
        <w:noProof/>
        <w:sz w:val="16"/>
        <w:szCs w:val="16"/>
      </w:rPr>
      <w:fldChar w:fldCharType="end"/>
    </w:r>
  </w:p>
  <w:p w:rsidR="00801F1F" w:rsidRDefault="00801F1F" w:rsidP="009C13A9">
    <w:pPr>
      <w:widowControl w:val="0"/>
      <w:pBdr>
        <w:bottom w:val="single" w:sz="6" w:space="1" w:color="auto"/>
      </w:pBdr>
      <w:tabs>
        <w:tab w:val="right" w:pos="14033"/>
      </w:tabs>
      <w:autoSpaceDE/>
      <w:autoSpaceDN/>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624017">
      <w:rPr>
        <w:noProof/>
        <w:sz w:val="16"/>
        <w:szCs w:val="16"/>
      </w:rPr>
      <w:t>Sezione VII</w:t>
    </w:r>
    <w:r>
      <w:rPr>
        <w:sz w:val="16"/>
        <w:szCs w:val="16"/>
      </w:rPr>
      <w:fldChar w:fldCharType="end"/>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Default="00801F1F"/>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C23950" w:rsidRDefault="00801F1F" w:rsidP="009C13A9">
    <w:pPr>
      <w:widowControl w:val="0"/>
      <w:pBdr>
        <w:bottom w:val="single" w:sz="6" w:space="1" w:color="auto"/>
      </w:pBdr>
      <w:tabs>
        <w:tab w:val="right" w:pos="9072"/>
      </w:tabs>
      <w:autoSpaceDE/>
      <w:autoSpaceDN/>
      <w:jc w:val="right"/>
      <w:rPr>
        <w:sz w:val="16"/>
        <w:szCs w:val="16"/>
      </w:rPr>
    </w:pPr>
    <w:r>
      <w:rPr>
        <w:sz w:val="16"/>
      </w:rPr>
      <w:t xml:space="preserve">ES-TRIN </w:t>
    </w:r>
    <w:r>
      <w:tab/>
    </w:r>
    <w:r>
      <w:fldChar w:fldCharType="begin"/>
    </w:r>
    <w:r w:rsidRPr="00101CB2">
      <w:instrText xml:space="preserve"> STYLEREF  ES-Titre2  \* MERGEFORMAT </w:instrText>
    </w:r>
    <w:r>
      <w:fldChar w:fldCharType="separate"/>
    </w:r>
    <w:r w:rsidR="00624017" w:rsidRPr="00624017">
      <w:rPr>
        <w:noProof/>
        <w:sz w:val="16"/>
        <w:szCs w:val="16"/>
      </w:rPr>
      <w:t>Allegato 7</w:t>
    </w:r>
    <w:r w:rsidR="00624017" w:rsidRPr="00624017">
      <w:rPr>
        <w:noProof/>
        <w:sz w:val="16"/>
        <w:szCs w:val="16"/>
      </w:rPr>
      <w:br/>
      <w:t>Impianti di depurazione di</w:t>
    </w:r>
    <w:r w:rsidR="00624017">
      <w:rPr>
        <w:noProof/>
      </w:rPr>
      <w:t xml:space="preserve"> bordo</w:t>
    </w:r>
    <w:r>
      <w:rPr>
        <w:noProof/>
        <w:sz w:val="16"/>
        <w:szCs w:val="16"/>
      </w:rPr>
      <w:fldChar w:fldCharType="end"/>
    </w:r>
  </w:p>
  <w:p w:rsidR="00801F1F" w:rsidRDefault="00801F1F" w:rsidP="009C13A9">
    <w:pPr>
      <w:widowControl w:val="0"/>
      <w:pBdr>
        <w:bottom w:val="single" w:sz="6" w:space="1" w:color="auto"/>
      </w:pBdr>
      <w:tabs>
        <w:tab w:val="right" w:pos="9072"/>
      </w:tabs>
      <w:autoSpaceDE/>
      <w:autoSpaceDN/>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624017">
      <w:rPr>
        <w:noProof/>
        <w:sz w:val="16"/>
        <w:szCs w:val="16"/>
      </w:rPr>
      <w:t>Sezione VIII</w:t>
    </w:r>
    <w:r>
      <w:rPr>
        <w:sz w:val="16"/>
        <w:szCs w:val="16"/>
      </w:rPr>
      <w:fldChar w:fldCharType="end"/>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762086" w:rsidRDefault="00801F1F" w:rsidP="009C13A9">
    <w:pPr>
      <w:widowControl w:val="0"/>
      <w:pBdr>
        <w:bottom w:val="single" w:sz="6" w:space="1" w:color="auto"/>
      </w:pBdr>
      <w:tabs>
        <w:tab w:val="right" w:pos="9072"/>
      </w:tabs>
      <w:autoSpaceDE/>
      <w:autoSpaceDN/>
      <w:jc w:val="right"/>
      <w:rPr>
        <w:sz w:val="16"/>
        <w:szCs w:val="16"/>
        <w:lang w:val="en-GB"/>
      </w:rPr>
    </w:pPr>
    <w:r w:rsidRPr="00762086">
      <w:rPr>
        <w:sz w:val="16"/>
        <w:lang w:val="en-GB"/>
      </w:rPr>
      <w:t xml:space="preserve">ES-TRIN </w:t>
    </w:r>
    <w:r w:rsidRPr="00762086">
      <w:rPr>
        <w:lang w:val="en-GB"/>
      </w:rPr>
      <w:tab/>
    </w:r>
    <w:r>
      <w:fldChar w:fldCharType="begin"/>
    </w:r>
    <w:r w:rsidRPr="00762086">
      <w:rPr>
        <w:lang w:val="en-GB"/>
      </w:rPr>
      <w:instrText xml:space="preserve"> STYLEREF  ES-Titre2  \* MERGEFORMAT </w:instrText>
    </w:r>
    <w:r>
      <w:fldChar w:fldCharType="separate"/>
    </w:r>
    <w:r w:rsidRPr="00762086">
      <w:rPr>
        <w:noProof/>
        <w:sz w:val="16"/>
        <w:szCs w:val="16"/>
        <w:lang w:val="en-GB"/>
      </w:rPr>
      <w:t>Annex 7</w:t>
    </w:r>
    <w:r w:rsidRPr="00762086">
      <w:rPr>
        <w:noProof/>
        <w:sz w:val="16"/>
        <w:szCs w:val="16"/>
        <w:lang w:val="en-GB"/>
      </w:rPr>
      <w:br/>
      <w:t>On-board sewage treatment plants</w:t>
    </w:r>
    <w:r>
      <w:rPr>
        <w:noProof/>
        <w:sz w:val="16"/>
        <w:szCs w:val="16"/>
      </w:rPr>
      <w:fldChar w:fldCharType="end"/>
    </w:r>
  </w:p>
  <w:p w:rsidR="00801F1F" w:rsidRDefault="00624017" w:rsidP="009C13A9">
    <w:pPr>
      <w:widowControl w:val="0"/>
      <w:pBdr>
        <w:bottom w:val="single" w:sz="6" w:space="1" w:color="auto"/>
      </w:pBdr>
      <w:tabs>
        <w:tab w:val="right" w:pos="9072"/>
      </w:tabs>
      <w:autoSpaceDE/>
      <w:autoSpaceDN/>
      <w:jc w:val="right"/>
      <w:rPr>
        <w:sz w:val="16"/>
        <w:szCs w:val="16"/>
      </w:rPr>
    </w:pPr>
    <w:r>
      <w:fldChar w:fldCharType="begin"/>
    </w:r>
    <w:r>
      <w:instrText xml:space="preserve"> STYLEREF  "ES-Titre 3"  \* MERGEFORMAT </w:instrText>
    </w:r>
    <w:r>
      <w:fldChar w:fldCharType="separate"/>
    </w:r>
    <w:r w:rsidR="00801F1F">
      <w:rPr>
        <w:b/>
        <w:bCs/>
        <w:noProof/>
      </w:rPr>
      <w:t>Erreur ! Utilisez l'onglet Accueil pour appliquer ES-Titre 3 au texte que vous souhaitez faire apparaître ici.</w:t>
    </w:r>
    <w:r>
      <w:rPr>
        <w:b/>
        <w:bCs/>
        <w:noProof/>
      </w:rPr>
      <w:fldChar w:fldCharType="end"/>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F46C3C" w:rsidRDefault="00801F1F" w:rsidP="001E2331">
    <w:pPr>
      <w:widowControl w:val="0"/>
      <w:pBdr>
        <w:bottom w:val="single" w:sz="6" w:space="1" w:color="auto"/>
      </w:pBdr>
      <w:tabs>
        <w:tab w:val="right" w:pos="9072"/>
      </w:tabs>
      <w:autoSpaceDE/>
      <w:autoSpaceDN/>
      <w:ind w:left="0" w:firstLine="0"/>
      <w:jc w:val="right"/>
      <w:rPr>
        <w:sz w:val="16"/>
        <w:szCs w:val="16"/>
      </w:rPr>
    </w:pPr>
    <w:r>
      <w:rPr>
        <w:sz w:val="16"/>
      </w:rPr>
      <w:t xml:space="preserve">ES-TRIN </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624017">
      <w:rPr>
        <w:noProof/>
        <w:sz w:val="16"/>
        <w:szCs w:val="16"/>
      </w:rPr>
      <w:t>Allegato 8</w:t>
    </w:r>
    <w:r w:rsidR="00624017">
      <w:rPr>
        <w:noProof/>
        <w:sz w:val="16"/>
        <w:szCs w:val="16"/>
      </w:rPr>
      <w:br/>
      <w:t>Disposizioni supplementari applicabili alle imbarcazioni alimentate</w:t>
    </w:r>
    <w:r w:rsidR="00624017">
      <w:rPr>
        <w:noProof/>
        <w:sz w:val="16"/>
        <w:szCs w:val="16"/>
      </w:rPr>
      <w:br/>
      <w:t>con combustibili aventi un punto di infiammabilità pari o inferiore a 55  C</w:t>
    </w:r>
    <w:r w:rsidRPr="00F46C3C">
      <w:rPr>
        <w:noProof/>
        <w:sz w:val="16"/>
        <w:szCs w:val="16"/>
      </w:rPr>
      <w:fldChar w:fldCharType="end"/>
    </w:r>
  </w:p>
  <w:p w:rsidR="00801F1F" w:rsidRDefault="00801F1F" w:rsidP="001E2331">
    <w:pPr>
      <w:widowControl w:val="0"/>
      <w:pBdr>
        <w:bottom w:val="single" w:sz="6" w:space="1" w:color="auto"/>
      </w:pBdr>
      <w:tabs>
        <w:tab w:val="right" w:pos="9072"/>
      </w:tabs>
      <w:autoSpaceDE/>
      <w:autoSpaceDN/>
      <w:ind w:left="0" w:firstLine="0"/>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624017">
      <w:rPr>
        <w:noProof/>
        <w:sz w:val="16"/>
        <w:szCs w:val="16"/>
      </w:rPr>
      <w:t>Sezione I</w:t>
    </w:r>
    <w:r>
      <w:rPr>
        <w:sz w:val="16"/>
        <w:szCs w:val="16"/>
      </w:rPr>
      <w:fldChar w:fldCharType="end"/>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395A9E" w:rsidRDefault="00801F1F" w:rsidP="001E2331">
    <w:pPr>
      <w:widowControl w:val="0"/>
      <w:pBdr>
        <w:bottom w:val="single" w:sz="6" w:space="1" w:color="auto"/>
      </w:pBdr>
      <w:tabs>
        <w:tab w:val="right" w:pos="9072"/>
      </w:tabs>
      <w:autoSpaceDE/>
      <w:autoSpaceDN/>
      <w:ind w:left="0" w:firstLine="0"/>
      <w:jc w:val="right"/>
      <w:rPr>
        <w:sz w:val="16"/>
        <w:szCs w:val="16"/>
      </w:rPr>
    </w:pPr>
    <w:r>
      <w:rPr>
        <w:sz w:val="16"/>
      </w:rPr>
      <w:t xml:space="preserve">ES-TRIN </w:t>
    </w:r>
    <w:r>
      <w:tab/>
    </w:r>
    <w:r>
      <w:fldChar w:fldCharType="begin"/>
    </w:r>
    <w:r w:rsidRPr="00101CB2">
      <w:instrText xml:space="preserve"> STYLEREF  ES-Titre2  \* MERGEFORMAT </w:instrText>
    </w:r>
    <w:r>
      <w:fldChar w:fldCharType="separate"/>
    </w:r>
    <w:r w:rsidR="00624017" w:rsidRPr="00624017">
      <w:rPr>
        <w:noProof/>
        <w:sz w:val="16"/>
        <w:szCs w:val="16"/>
      </w:rPr>
      <w:t>Allegato 7</w:t>
    </w:r>
    <w:r w:rsidR="00624017" w:rsidRPr="00624017">
      <w:rPr>
        <w:noProof/>
        <w:sz w:val="16"/>
        <w:szCs w:val="16"/>
      </w:rPr>
      <w:br/>
      <w:t>Impianti di depurazione di</w:t>
    </w:r>
    <w:r w:rsidR="00624017">
      <w:rPr>
        <w:noProof/>
      </w:rPr>
      <w:t xml:space="preserve"> bordo</w:t>
    </w:r>
    <w:r>
      <w:rPr>
        <w:noProof/>
        <w:sz w:val="16"/>
        <w:szCs w:val="16"/>
      </w:rPr>
      <w:fldChar w:fldCharType="end"/>
    </w:r>
  </w:p>
  <w:p w:rsidR="00801F1F" w:rsidRDefault="00801F1F" w:rsidP="001E2331">
    <w:pPr>
      <w:widowControl w:val="0"/>
      <w:pBdr>
        <w:bottom w:val="single" w:sz="6" w:space="1" w:color="auto"/>
      </w:pBdr>
      <w:tabs>
        <w:tab w:val="right" w:pos="9072"/>
      </w:tabs>
      <w:autoSpaceDE/>
      <w:autoSpaceDN/>
      <w:ind w:left="0" w:firstLine="0"/>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624017">
      <w:rPr>
        <w:noProof/>
        <w:sz w:val="16"/>
        <w:szCs w:val="16"/>
      </w:rPr>
      <w:t>Sezione IX</w:t>
    </w:r>
    <w:r>
      <w:rPr>
        <w:sz w:val="16"/>
        <w:szCs w:val="16"/>
      </w:rPr>
      <w:fldChar w:fldCharType="end"/>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F46C3C" w:rsidRDefault="00801F1F" w:rsidP="001E2331">
    <w:pPr>
      <w:widowControl w:val="0"/>
      <w:pBdr>
        <w:bottom w:val="single" w:sz="6" w:space="1" w:color="auto"/>
      </w:pBdr>
      <w:tabs>
        <w:tab w:val="right" w:pos="9072"/>
      </w:tabs>
      <w:autoSpaceDE/>
      <w:autoSpaceDN/>
      <w:ind w:left="0" w:firstLine="0"/>
      <w:jc w:val="right"/>
      <w:rPr>
        <w:sz w:val="16"/>
        <w:szCs w:val="16"/>
      </w:rPr>
    </w:pPr>
    <w:r>
      <w:rPr>
        <w:sz w:val="16"/>
      </w:rPr>
      <w:t xml:space="preserve">ES-TRIN </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624017">
      <w:rPr>
        <w:noProof/>
        <w:sz w:val="16"/>
        <w:szCs w:val="16"/>
      </w:rPr>
      <w:t>Allegato 8</w:t>
    </w:r>
    <w:r w:rsidR="00624017">
      <w:rPr>
        <w:noProof/>
        <w:sz w:val="16"/>
        <w:szCs w:val="16"/>
      </w:rPr>
      <w:br/>
      <w:t>Disposizioni supplementari applicabili alle imbarcazioni alimentate</w:t>
    </w:r>
    <w:r w:rsidR="00624017">
      <w:rPr>
        <w:noProof/>
        <w:sz w:val="16"/>
        <w:szCs w:val="16"/>
      </w:rPr>
      <w:br/>
      <w:t>con combustibili aventi un punto di infiammabilità pari o inferiore a 55  C</w:t>
    </w:r>
    <w:r w:rsidRPr="00F46C3C">
      <w:rPr>
        <w:noProof/>
        <w:sz w:val="16"/>
        <w:szCs w:val="16"/>
      </w:rPr>
      <w:fldChar w:fldCharType="end"/>
    </w:r>
    <w:r>
      <w:rPr>
        <w:noProof/>
        <w:sz w:val="16"/>
      </w:rPr>
      <w:t xml:space="preserve"> - </w:t>
    </w:r>
    <w:r>
      <w:rPr>
        <w:noProof/>
        <w:sz w:val="16"/>
        <w:szCs w:val="16"/>
      </w:rPr>
      <w:fldChar w:fldCharType="begin"/>
    </w:r>
    <w:r>
      <w:rPr>
        <w:noProof/>
        <w:sz w:val="16"/>
        <w:szCs w:val="16"/>
      </w:rPr>
      <w:instrText xml:space="preserve"> STYLEREF  ES-Titre3  \* MERGEFORMAT </w:instrText>
    </w:r>
    <w:r>
      <w:rPr>
        <w:noProof/>
        <w:sz w:val="16"/>
        <w:szCs w:val="16"/>
      </w:rPr>
      <w:fldChar w:fldCharType="separate"/>
    </w:r>
    <w:r w:rsidR="00624017">
      <w:rPr>
        <w:noProof/>
        <w:sz w:val="16"/>
        <w:szCs w:val="16"/>
      </w:rPr>
      <w:t>Sezione I</w:t>
    </w:r>
    <w:r>
      <w:rPr>
        <w:noProof/>
        <w:sz w:val="16"/>
        <w:szCs w:val="16"/>
      </w:rPr>
      <w:fldChar w:fldCharType="end"/>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767CBB" w:rsidRDefault="00801F1F" w:rsidP="00D45887">
    <w:pPr>
      <w:widowControl w:val="0"/>
      <w:pBdr>
        <w:bottom w:val="single" w:sz="6" w:space="1" w:color="auto"/>
      </w:pBdr>
      <w:tabs>
        <w:tab w:val="right" w:pos="9072"/>
      </w:tabs>
      <w:autoSpaceDE/>
      <w:autoSpaceDN/>
      <w:ind w:left="0" w:firstLine="0"/>
      <w:jc w:val="right"/>
      <w:rPr>
        <w:sz w:val="16"/>
        <w:szCs w:val="16"/>
      </w:rPr>
    </w:pPr>
    <w:r>
      <w:rPr>
        <w:sz w:val="16"/>
      </w:rPr>
      <w:t xml:space="preserve">ES-TRIN </w:t>
    </w:r>
    <w:r>
      <w:tab/>
    </w:r>
    <w:r>
      <w:rPr>
        <w:sz w:val="16"/>
        <w:szCs w:val="16"/>
      </w:rPr>
      <w:fldChar w:fldCharType="begin"/>
    </w:r>
    <w:r w:rsidRPr="00767CBB">
      <w:rPr>
        <w:sz w:val="16"/>
        <w:szCs w:val="16"/>
      </w:rPr>
      <w:instrText xml:space="preserve"> STYLEREF  Es-Titre_annexes  \* MERGEFORMAT </w:instrText>
    </w:r>
    <w:r>
      <w:rPr>
        <w:sz w:val="16"/>
        <w:szCs w:val="16"/>
      </w:rPr>
      <w:fldChar w:fldCharType="separate"/>
    </w:r>
    <w:r w:rsidR="00624017">
      <w:rPr>
        <w:noProof/>
        <w:sz w:val="16"/>
        <w:szCs w:val="16"/>
      </w:rPr>
      <w:t>Istruzioni per l'applicazione della norma tecnica</w:t>
    </w:r>
    <w:r>
      <w:rPr>
        <w:sz w:val="16"/>
        <w:szCs w:val="16"/>
      </w:rPr>
      <w:fldChar w:fldCharType="end"/>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767CBB" w:rsidRDefault="00801F1F" w:rsidP="00D45887">
    <w:pPr>
      <w:widowControl w:val="0"/>
      <w:pBdr>
        <w:bottom w:val="single" w:sz="6" w:space="1" w:color="auto"/>
      </w:pBdr>
      <w:tabs>
        <w:tab w:val="right" w:pos="9072"/>
      </w:tabs>
      <w:autoSpaceDE/>
      <w:autoSpaceDN/>
      <w:ind w:left="0" w:firstLine="0"/>
      <w:jc w:val="right"/>
      <w:rPr>
        <w:sz w:val="16"/>
        <w:szCs w:val="16"/>
      </w:rPr>
    </w:pPr>
    <w:r>
      <w:rPr>
        <w:sz w:val="16"/>
      </w:rPr>
      <w:t xml:space="preserve">ES-TRIN </w:t>
    </w:r>
    <w:r>
      <w:tab/>
    </w:r>
    <w:r>
      <w:rPr>
        <w:sz w:val="16"/>
        <w:szCs w:val="16"/>
      </w:rPr>
      <w:fldChar w:fldCharType="begin"/>
    </w:r>
    <w:r w:rsidRPr="00767CBB">
      <w:rPr>
        <w:sz w:val="16"/>
        <w:szCs w:val="16"/>
      </w:rPr>
      <w:instrText xml:space="preserve"> STYLEREF  Es-Titre_annexes  \* MERGEFORMAT </w:instrText>
    </w:r>
    <w:r>
      <w:rPr>
        <w:sz w:val="16"/>
        <w:szCs w:val="16"/>
      </w:rPr>
      <w:fldChar w:fldCharType="separate"/>
    </w:r>
    <w:r w:rsidR="00624017">
      <w:rPr>
        <w:noProof/>
        <w:sz w:val="16"/>
        <w:szCs w:val="16"/>
      </w:rPr>
      <w:t>Istruzioni per l'applicazione della norma tecnica</w:t>
    </w:r>
    <w:r>
      <w:rPr>
        <w:sz w:val="16"/>
        <w:szCs w:val="16"/>
      </w:rPr>
      <w:fldChar w:fldCharType="end"/>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sidRPr="00A84512">
      <w:rPr>
        <w:sz w:val="16"/>
        <w:szCs w:val="16"/>
      </w:rPr>
      <w:fldChar w:fldCharType="begin"/>
    </w:r>
    <w:r w:rsidRPr="00A84512">
      <w:rPr>
        <w:sz w:val="16"/>
        <w:szCs w:val="16"/>
      </w:rPr>
      <w:instrText xml:space="preserve"> STYLEREF  ES-Titre2_ESI  \* MERGEFORMAT </w:instrText>
    </w:r>
    <w:r w:rsidRPr="00A84512">
      <w:rPr>
        <w:sz w:val="16"/>
        <w:szCs w:val="16"/>
      </w:rPr>
      <w:fldChar w:fldCharType="separate"/>
    </w:r>
    <w:r w:rsidR="00624017" w:rsidRPr="00624017">
      <w:rPr>
        <w:bCs/>
        <w:noProof/>
        <w:sz w:val="16"/>
        <w:szCs w:val="16"/>
      </w:rPr>
      <w:t>ESI-II-3</w:t>
    </w:r>
    <w:r w:rsidR="00624017" w:rsidRPr="00624017">
      <w:rPr>
        <w:bCs/>
        <w:noProof/>
        <w:sz w:val="16"/>
        <w:szCs w:val="16"/>
      </w:rPr>
      <w:br/>
      <w:t>Velocità minima prescritta in</w:t>
    </w:r>
    <w:r w:rsidR="00624017">
      <w:rPr>
        <w:noProof/>
        <w:sz w:val="16"/>
        <w:szCs w:val="16"/>
      </w:rPr>
      <w:t xml:space="preserve"> marcia avanti, capacità di arresto e capacità di navigare in marcia indietro</w:t>
    </w:r>
    <w:r w:rsidRPr="00A84512">
      <w:rPr>
        <w:sz w:val="16"/>
        <w:szCs w:val="16"/>
      </w:rPr>
      <w:fldChar w:fldCharType="end"/>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A84512" w:rsidRDefault="00801F1F"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sidRPr="00A84512">
      <w:rPr>
        <w:sz w:val="16"/>
        <w:szCs w:val="16"/>
      </w:rPr>
      <w:fldChar w:fldCharType="begin"/>
    </w:r>
    <w:r w:rsidRPr="00A84512">
      <w:rPr>
        <w:sz w:val="16"/>
        <w:szCs w:val="16"/>
      </w:rPr>
      <w:instrText xml:space="preserve"> STYLEREF  ES-Titre2_ESI  \* MERGEFORMAT </w:instrText>
    </w:r>
    <w:r w:rsidRPr="00A84512">
      <w:rPr>
        <w:sz w:val="16"/>
        <w:szCs w:val="16"/>
      </w:rPr>
      <w:fldChar w:fldCharType="separate"/>
    </w:r>
    <w:r w:rsidR="00624017" w:rsidRPr="00624017">
      <w:rPr>
        <w:bCs/>
        <w:noProof/>
        <w:sz w:val="16"/>
        <w:szCs w:val="16"/>
      </w:rPr>
      <w:t>ESI-II-3</w:t>
    </w:r>
    <w:r w:rsidR="00624017" w:rsidRPr="00624017">
      <w:rPr>
        <w:bCs/>
        <w:noProof/>
        <w:sz w:val="16"/>
        <w:szCs w:val="16"/>
      </w:rPr>
      <w:br/>
      <w:t>Velocità minima prescritta in</w:t>
    </w:r>
    <w:r w:rsidR="00624017">
      <w:rPr>
        <w:noProof/>
        <w:sz w:val="16"/>
        <w:szCs w:val="16"/>
      </w:rPr>
      <w:t xml:space="preserve"> marcia avanti, capacità di arresto e capacità di navigare in marcia indietro</w:t>
    </w:r>
    <w:r w:rsidRPr="00A84512">
      <w:rPr>
        <w:sz w:val="16"/>
        <w:szCs w:val="16"/>
      </w:rPr>
      <w:fldChar w:fldCharType="end"/>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624017" w:rsidRPr="00624017">
      <w:rPr>
        <w:bCs/>
        <w:noProof/>
        <w:sz w:val="16"/>
        <w:szCs w:val="16"/>
      </w:rPr>
      <w:t>ESI-II-3</w:t>
    </w:r>
    <w:r w:rsidR="00624017" w:rsidRPr="00624017">
      <w:rPr>
        <w:bCs/>
        <w:noProof/>
        <w:sz w:val="16"/>
        <w:szCs w:val="16"/>
      </w:rPr>
      <w:br/>
      <w:t xml:space="preserve">Velocità minima prescritta in </w:t>
    </w:r>
    <w:r w:rsidR="00624017" w:rsidRPr="00624017">
      <w:rPr>
        <w:b/>
        <w:bCs/>
        <w:noProof/>
        <w:sz w:val="16"/>
        <w:szCs w:val="16"/>
      </w:rPr>
      <w:t>marcia</w:t>
    </w:r>
    <w:r w:rsidR="00624017">
      <w:rPr>
        <w:noProof/>
        <w:sz w:val="16"/>
        <w:szCs w:val="16"/>
      </w:rPr>
      <w:t xml:space="preserve"> avanti, capacità di arresto e capacità di navigare in marcia indietro</w:t>
    </w:r>
    <w:r>
      <w:rPr>
        <w:sz w:val="16"/>
        <w:szCs w:val="16"/>
      </w:rPr>
      <w:fldChar w:fldCharType="end"/>
    </w:r>
    <w:r>
      <w:rPr>
        <w:sz w:val="16"/>
      </w:rPr>
      <w:t xml:space="preserve"> -</w:t>
    </w:r>
  </w:p>
  <w:p w:rsidR="00801F1F" w:rsidRPr="004F47BB" w:rsidRDefault="00801F1F" w:rsidP="00D45887">
    <w:pPr>
      <w:widowControl w:val="0"/>
      <w:pBdr>
        <w:bottom w:val="single" w:sz="6" w:space="1" w:color="auto"/>
      </w:pBdr>
      <w:tabs>
        <w:tab w:val="right" w:pos="9072"/>
      </w:tabs>
      <w:autoSpaceDE/>
      <w:autoSpaceDN/>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624017">
      <w:rPr>
        <w:noProof/>
        <w:sz w:val="16"/>
        <w:szCs w:val="16"/>
      </w:rPr>
      <w:t>Allegato 1 all'istruzione ESI-II-3</w:t>
    </w:r>
    <w:r>
      <w:rPr>
        <w:sz w:val="16"/>
        <w:szCs w:val="16"/>
      </w:rPr>
      <w:fldChar w:fldCharType="end"/>
    </w: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624017" w:rsidRPr="00624017">
      <w:rPr>
        <w:bCs/>
        <w:noProof/>
        <w:sz w:val="16"/>
        <w:szCs w:val="16"/>
      </w:rPr>
      <w:t>ESI-II-3</w:t>
    </w:r>
    <w:r w:rsidR="00624017" w:rsidRPr="00624017">
      <w:rPr>
        <w:bCs/>
        <w:noProof/>
        <w:sz w:val="16"/>
        <w:szCs w:val="16"/>
      </w:rPr>
      <w:br/>
      <w:t>Velocità minima prescritta in marcia</w:t>
    </w:r>
    <w:r w:rsidR="00624017">
      <w:rPr>
        <w:noProof/>
        <w:sz w:val="16"/>
        <w:szCs w:val="16"/>
      </w:rPr>
      <w:t xml:space="preserve"> avanti, capacità di arresto e capacità di navigare in marcia indietro</w:t>
    </w:r>
    <w:r>
      <w:rPr>
        <w:sz w:val="16"/>
        <w:szCs w:val="16"/>
      </w:rPr>
      <w:fldChar w:fldCharType="end"/>
    </w:r>
    <w:r>
      <w:rPr>
        <w:sz w:val="16"/>
      </w:rPr>
      <w:t xml:space="preserve"> -</w:t>
    </w:r>
  </w:p>
  <w:p w:rsidR="00801F1F" w:rsidRPr="004F47BB" w:rsidRDefault="00801F1F" w:rsidP="00D45887">
    <w:pPr>
      <w:widowControl w:val="0"/>
      <w:pBdr>
        <w:bottom w:val="single" w:sz="6" w:space="1" w:color="auto"/>
      </w:pBdr>
      <w:tabs>
        <w:tab w:val="right" w:pos="9072"/>
      </w:tabs>
      <w:autoSpaceDE/>
      <w:autoSpaceDN/>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624017">
      <w:rPr>
        <w:noProof/>
        <w:sz w:val="16"/>
        <w:szCs w:val="16"/>
      </w:rPr>
      <w:t>Allegato 1 all'istruzione ESI-II-3</w:t>
    </w:r>
    <w:r>
      <w:rPr>
        <w:sz w:val="16"/>
        <w:szCs w:val="16"/>
      </w:rPr>
      <w:fldChar w:fldCharType="end"/>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5B46C9">
    <w:pPr>
      <w:widowControl w:val="0"/>
      <w:pBdr>
        <w:bottom w:val="single" w:sz="6" w:space="1" w:color="auto"/>
      </w:pBdr>
      <w:tabs>
        <w:tab w:val="right" w:pos="13892"/>
      </w:tabs>
      <w:autoSpaceDE/>
      <w:autoSpaceDN/>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624017" w:rsidRPr="00624017">
      <w:rPr>
        <w:bCs/>
        <w:noProof/>
        <w:sz w:val="16"/>
        <w:szCs w:val="16"/>
      </w:rPr>
      <w:t>ESI-II-3</w:t>
    </w:r>
    <w:r w:rsidR="00624017" w:rsidRPr="00624017">
      <w:rPr>
        <w:bCs/>
        <w:noProof/>
        <w:sz w:val="16"/>
        <w:szCs w:val="16"/>
      </w:rPr>
      <w:br/>
      <w:t>Velocità minima prescritta in marcia</w:t>
    </w:r>
    <w:r w:rsidR="00624017">
      <w:rPr>
        <w:noProof/>
        <w:sz w:val="16"/>
        <w:szCs w:val="16"/>
      </w:rPr>
      <w:t xml:space="preserve"> avanti, capacità di arresto e capacità di navigare in marcia indietro</w:t>
    </w:r>
    <w:r>
      <w:rPr>
        <w:sz w:val="16"/>
        <w:szCs w:val="16"/>
      </w:rPr>
      <w:fldChar w:fldCharType="end"/>
    </w:r>
    <w:r>
      <w:rPr>
        <w:sz w:val="16"/>
      </w:rPr>
      <w:t xml:space="preserve"> -</w:t>
    </w:r>
  </w:p>
  <w:p w:rsidR="00801F1F" w:rsidRPr="004F47BB" w:rsidRDefault="00801F1F" w:rsidP="00D45887">
    <w:pPr>
      <w:widowControl w:val="0"/>
      <w:pBdr>
        <w:bottom w:val="single" w:sz="6" w:space="1" w:color="auto"/>
      </w:pBdr>
      <w:tabs>
        <w:tab w:val="right" w:pos="9072"/>
      </w:tabs>
      <w:autoSpaceDE/>
      <w:autoSpaceDN/>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624017">
      <w:rPr>
        <w:noProof/>
        <w:sz w:val="16"/>
        <w:szCs w:val="16"/>
      </w:rPr>
      <w:t>Allegato 1 all'istruzione ESI-II-3</w:t>
    </w:r>
    <w:r>
      <w:rPr>
        <w:sz w:val="16"/>
        <w:szCs w:val="16"/>
      </w:rPr>
      <w:fldChar w:fldCharType="end"/>
    </w: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sidRPr="00CD0739">
      <w:rPr>
        <w:sz w:val="16"/>
        <w:szCs w:val="16"/>
      </w:rPr>
      <w:fldChar w:fldCharType="begin"/>
    </w:r>
    <w:r w:rsidRPr="005B46C9">
      <w:rPr>
        <w:sz w:val="16"/>
        <w:szCs w:val="16"/>
      </w:rPr>
      <w:instrText xml:space="preserve"> STYLEREF  ES-Titre2_ESI  \* MERGEFORMAT </w:instrText>
    </w:r>
    <w:r w:rsidRPr="00CD0739">
      <w:rPr>
        <w:sz w:val="16"/>
        <w:szCs w:val="16"/>
      </w:rPr>
      <w:fldChar w:fldCharType="separate"/>
    </w:r>
    <w:r w:rsidR="00624017" w:rsidRPr="00624017">
      <w:rPr>
        <w:bCs/>
        <w:noProof/>
        <w:sz w:val="16"/>
        <w:szCs w:val="16"/>
      </w:rPr>
      <w:t>ESI-II-3</w:t>
    </w:r>
    <w:r w:rsidR="00624017" w:rsidRPr="00624017">
      <w:rPr>
        <w:bCs/>
        <w:noProof/>
        <w:sz w:val="16"/>
        <w:szCs w:val="16"/>
      </w:rPr>
      <w:br/>
      <w:t>Velocità minima prescritta in marcia</w:t>
    </w:r>
    <w:r w:rsidR="00624017">
      <w:rPr>
        <w:noProof/>
        <w:sz w:val="16"/>
        <w:szCs w:val="16"/>
      </w:rPr>
      <w:t xml:space="preserve"> avanti, capacità di arresto e capacità di navigare in marcia indietro</w:t>
    </w:r>
    <w:r w:rsidRPr="00CD0739">
      <w:rPr>
        <w:sz w:val="16"/>
        <w:szCs w:val="16"/>
      </w:rPr>
      <w:fldChar w:fldCharType="end"/>
    </w:r>
    <w:r>
      <w:rPr>
        <w:sz w:val="16"/>
      </w:rPr>
      <w:t xml:space="preserve"> –</w:t>
    </w:r>
  </w:p>
  <w:p w:rsidR="00801F1F" w:rsidRPr="004F47BB" w:rsidRDefault="00801F1F" w:rsidP="00D45887">
    <w:pPr>
      <w:widowControl w:val="0"/>
      <w:pBdr>
        <w:bottom w:val="single" w:sz="6" w:space="1" w:color="auto"/>
      </w:pBdr>
      <w:tabs>
        <w:tab w:val="right" w:pos="9072"/>
      </w:tabs>
      <w:autoSpaceDE/>
      <w:autoSpaceDN/>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624017">
      <w:rPr>
        <w:noProof/>
        <w:sz w:val="16"/>
        <w:szCs w:val="16"/>
      </w:rPr>
      <w:t>Allegato 2 all'istruzione ESI-II-3</w:t>
    </w:r>
    <w:r>
      <w:rPr>
        <w:sz w:val="16"/>
        <w:szCs w:val="16"/>
      </w:rPr>
      <w:fldChar w:fldCharType="end"/>
    </w: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624017" w:rsidRPr="00624017">
      <w:rPr>
        <w:bCs/>
        <w:noProof/>
        <w:sz w:val="16"/>
        <w:szCs w:val="16"/>
      </w:rPr>
      <w:t>ESI-II-3</w:t>
    </w:r>
    <w:r w:rsidR="00624017" w:rsidRPr="00624017">
      <w:rPr>
        <w:bCs/>
        <w:noProof/>
        <w:sz w:val="16"/>
        <w:szCs w:val="16"/>
      </w:rPr>
      <w:br/>
      <w:t>Velocità minima prescritta in marcia</w:t>
    </w:r>
    <w:r w:rsidR="00624017">
      <w:rPr>
        <w:noProof/>
        <w:sz w:val="16"/>
        <w:szCs w:val="16"/>
      </w:rPr>
      <w:t xml:space="preserve"> avanti, capacità di arresto e capacità di navigare in marcia indietro</w:t>
    </w:r>
    <w:r>
      <w:rPr>
        <w:sz w:val="16"/>
        <w:szCs w:val="16"/>
      </w:rPr>
      <w:fldChar w:fldCharType="end"/>
    </w:r>
    <w:r>
      <w:rPr>
        <w:sz w:val="16"/>
      </w:rPr>
      <w:t xml:space="preserve"> -</w:t>
    </w:r>
  </w:p>
  <w:p w:rsidR="00801F1F" w:rsidRPr="004F47BB" w:rsidRDefault="00801F1F" w:rsidP="00D45887">
    <w:pPr>
      <w:widowControl w:val="0"/>
      <w:pBdr>
        <w:bottom w:val="single" w:sz="6" w:space="1" w:color="auto"/>
      </w:pBdr>
      <w:tabs>
        <w:tab w:val="right" w:pos="9072"/>
      </w:tabs>
      <w:autoSpaceDE/>
      <w:autoSpaceDN/>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624017">
      <w:rPr>
        <w:noProof/>
        <w:sz w:val="16"/>
        <w:szCs w:val="16"/>
      </w:rPr>
      <w:t>Allegato 2 all'istruzione ESI-II-3</w:t>
    </w:r>
    <w:r>
      <w:rPr>
        <w:sz w:val="16"/>
        <w:szCs w:val="16"/>
      </w:rPr>
      <w:fldChar w:fldCharType="end"/>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624017" w:rsidRPr="00624017">
      <w:rPr>
        <w:bCs/>
        <w:noProof/>
        <w:sz w:val="16"/>
        <w:szCs w:val="16"/>
      </w:rPr>
      <w:t>ESI-II-3</w:t>
    </w:r>
    <w:r w:rsidR="00624017" w:rsidRPr="00624017">
      <w:rPr>
        <w:bCs/>
        <w:noProof/>
        <w:sz w:val="16"/>
        <w:szCs w:val="16"/>
      </w:rPr>
      <w:br/>
      <w:t>Velocità minima prescritta in marcia</w:t>
    </w:r>
    <w:r w:rsidR="00624017">
      <w:rPr>
        <w:noProof/>
        <w:sz w:val="16"/>
        <w:szCs w:val="16"/>
      </w:rPr>
      <w:t xml:space="preserve"> avanti, capacità di arresto e capacità di navigare in marcia indietro</w:t>
    </w:r>
    <w:r>
      <w:rPr>
        <w:sz w:val="16"/>
        <w:szCs w:val="16"/>
      </w:rPr>
      <w:fldChar w:fldCharType="end"/>
    </w:r>
    <w:r>
      <w:rPr>
        <w:sz w:val="16"/>
      </w:rPr>
      <w:t xml:space="preserve"> – </w:t>
    </w:r>
  </w:p>
  <w:p w:rsidR="00801F1F" w:rsidRPr="009E63BD" w:rsidRDefault="00801F1F" w:rsidP="00D45887">
    <w:pPr>
      <w:widowControl w:val="0"/>
      <w:pBdr>
        <w:bottom w:val="single" w:sz="6" w:space="1" w:color="auto"/>
      </w:pBdr>
      <w:tabs>
        <w:tab w:val="right" w:pos="9072"/>
      </w:tabs>
      <w:autoSpaceDE/>
      <w:autoSpaceDN/>
      <w:jc w:val="right"/>
      <w:rPr>
        <w:sz w:val="16"/>
        <w:szCs w:val="16"/>
      </w:rPr>
    </w:pPr>
    <w:r>
      <w:rPr>
        <w:sz w:val="16"/>
        <w:szCs w:val="16"/>
      </w:rPr>
      <w:fldChar w:fldCharType="begin"/>
    </w:r>
    <w:r w:rsidRPr="009E63BD">
      <w:rPr>
        <w:sz w:val="16"/>
        <w:szCs w:val="16"/>
      </w:rPr>
      <w:instrText xml:space="preserve"> STYLEREF  ES-Titre4  \* MERGEFORMAT </w:instrText>
    </w:r>
    <w:r>
      <w:rPr>
        <w:sz w:val="16"/>
        <w:szCs w:val="16"/>
      </w:rPr>
      <w:fldChar w:fldCharType="separate"/>
    </w:r>
    <w:r w:rsidR="00624017">
      <w:rPr>
        <w:noProof/>
        <w:sz w:val="16"/>
        <w:szCs w:val="16"/>
      </w:rPr>
      <w:t>Appendice all'allegato 2 all'istruzione ESI-II-3</w:t>
    </w:r>
    <w:r>
      <w:rPr>
        <w:sz w:val="16"/>
        <w:szCs w:val="16"/>
      </w:rPr>
      <w:fldChar w:fldCharType="end"/>
    </w:r>
    <w:r>
      <w:rPr>
        <w:sz w:val="16"/>
      </w:rPr>
      <w:t xml:space="preserve"> - </w:t>
    </w:r>
    <w:r>
      <w:rPr>
        <w:sz w:val="16"/>
        <w:szCs w:val="16"/>
      </w:rPr>
      <w:fldChar w:fldCharType="begin"/>
    </w:r>
    <w:r w:rsidRPr="009E63BD">
      <w:rPr>
        <w:sz w:val="16"/>
        <w:szCs w:val="16"/>
      </w:rPr>
      <w:instrText xml:space="preserve"> STYLEREF  ES-Titre4_pr_ESI_exple  \* MERGEFORMAT </w:instrText>
    </w:r>
    <w:r>
      <w:rPr>
        <w:sz w:val="16"/>
        <w:szCs w:val="16"/>
      </w:rPr>
      <w:fldChar w:fldCharType="separate"/>
    </w:r>
    <w:r w:rsidR="00624017">
      <w:rPr>
        <w:noProof/>
        <w:sz w:val="16"/>
        <w:szCs w:val="16"/>
      </w:rPr>
      <w:t>Esempio II</w:t>
    </w:r>
    <w:r>
      <w:rPr>
        <w:sz w:val="16"/>
        <w:szCs w:val="16"/>
      </w:rPr>
      <w:fldChar w:fldCharType="end"/>
    </w: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624017" w:rsidRPr="00624017">
      <w:rPr>
        <w:bCs/>
        <w:noProof/>
        <w:sz w:val="16"/>
        <w:szCs w:val="16"/>
      </w:rPr>
      <w:t>ESI-II-3</w:t>
    </w:r>
    <w:r w:rsidR="00624017" w:rsidRPr="00624017">
      <w:rPr>
        <w:bCs/>
        <w:noProof/>
        <w:sz w:val="16"/>
        <w:szCs w:val="16"/>
      </w:rPr>
      <w:br/>
      <w:t>Velocità minima prescritta in marcia</w:t>
    </w:r>
    <w:r w:rsidR="00624017">
      <w:rPr>
        <w:noProof/>
        <w:sz w:val="16"/>
        <w:szCs w:val="16"/>
      </w:rPr>
      <w:t xml:space="preserve"> avanti, capacità di arresto e capacità di navigare in marcia indietro</w:t>
    </w:r>
    <w:r>
      <w:rPr>
        <w:sz w:val="16"/>
        <w:szCs w:val="16"/>
      </w:rPr>
      <w:fldChar w:fldCharType="end"/>
    </w:r>
    <w:r>
      <w:rPr>
        <w:sz w:val="16"/>
      </w:rPr>
      <w:t xml:space="preserve"> -</w:t>
    </w:r>
  </w:p>
  <w:p w:rsidR="00801F1F" w:rsidRPr="00E846E9" w:rsidRDefault="00801F1F" w:rsidP="00D45887">
    <w:pPr>
      <w:widowControl w:val="0"/>
      <w:pBdr>
        <w:bottom w:val="single" w:sz="6" w:space="1" w:color="auto"/>
      </w:pBdr>
      <w:tabs>
        <w:tab w:val="right" w:pos="9072"/>
      </w:tabs>
      <w:autoSpaceDE/>
      <w:autoSpaceDN/>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624017">
      <w:rPr>
        <w:noProof/>
        <w:sz w:val="16"/>
        <w:szCs w:val="16"/>
      </w:rPr>
      <w:t>Appendice all'allegato 2 all'istruzione ESI-II-3</w:t>
    </w:r>
    <w:r>
      <w:rPr>
        <w:sz w:val="16"/>
        <w:szCs w:val="16"/>
      </w:rPr>
      <w:fldChar w:fldCharType="end"/>
    </w:r>
    <w:r>
      <w:rPr>
        <w:sz w:val="16"/>
      </w:rPr>
      <w:t>–</w:t>
    </w:r>
    <w:r>
      <w:rPr>
        <w:sz w:val="16"/>
        <w:szCs w:val="16"/>
      </w:rPr>
      <w:fldChar w:fldCharType="begin"/>
    </w:r>
    <w:r>
      <w:rPr>
        <w:sz w:val="16"/>
        <w:szCs w:val="16"/>
      </w:rPr>
      <w:instrText xml:space="preserve"> STYLEREF  ES-Titre4_pr_ESI_exple  \* MERGEFORMAT </w:instrText>
    </w:r>
    <w:r>
      <w:rPr>
        <w:sz w:val="16"/>
        <w:szCs w:val="16"/>
      </w:rPr>
      <w:fldChar w:fldCharType="separate"/>
    </w:r>
    <w:r w:rsidR="00624017">
      <w:rPr>
        <w:noProof/>
        <w:sz w:val="16"/>
        <w:szCs w:val="16"/>
      </w:rPr>
      <w:t>Esempio I</w:t>
    </w:r>
    <w:r>
      <w:rPr>
        <w:sz w:val="16"/>
        <w:szCs w:val="16"/>
      </w:rPr>
      <w:fldChar w:fldCharType="end"/>
    </w: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624017" w:rsidRPr="00624017">
      <w:rPr>
        <w:bCs/>
        <w:noProof/>
        <w:sz w:val="16"/>
        <w:szCs w:val="16"/>
      </w:rPr>
      <w:t>ESI-II-3</w:t>
    </w:r>
    <w:r w:rsidR="00624017" w:rsidRPr="00624017">
      <w:rPr>
        <w:bCs/>
        <w:noProof/>
        <w:sz w:val="16"/>
        <w:szCs w:val="16"/>
      </w:rPr>
      <w:br/>
      <w:t>Velocità minima prescritta in marcia</w:t>
    </w:r>
    <w:r w:rsidR="00624017">
      <w:rPr>
        <w:noProof/>
        <w:sz w:val="16"/>
        <w:szCs w:val="16"/>
      </w:rPr>
      <w:t xml:space="preserve"> avanti, capacità di arresto e capacità di navigare in marcia indietro</w:t>
    </w:r>
    <w:r>
      <w:rPr>
        <w:sz w:val="16"/>
        <w:szCs w:val="16"/>
      </w:rPr>
      <w:fldChar w:fldCharType="end"/>
    </w:r>
    <w:r>
      <w:rPr>
        <w:sz w:val="16"/>
      </w:rPr>
      <w:t xml:space="preserve"> – </w:t>
    </w:r>
  </w:p>
  <w:p w:rsidR="00801F1F" w:rsidRPr="006B7368" w:rsidRDefault="00801F1F" w:rsidP="00D45887">
    <w:pPr>
      <w:widowControl w:val="0"/>
      <w:pBdr>
        <w:bottom w:val="single" w:sz="6" w:space="1" w:color="auto"/>
      </w:pBdr>
      <w:tabs>
        <w:tab w:val="right" w:pos="9072"/>
      </w:tabs>
      <w:autoSpaceDE/>
      <w:autoSpaceDN/>
      <w:jc w:val="right"/>
      <w:rPr>
        <w:sz w:val="16"/>
        <w:szCs w:val="16"/>
      </w:rPr>
    </w:pPr>
    <w:r>
      <w:rPr>
        <w:sz w:val="16"/>
        <w:szCs w:val="16"/>
      </w:rPr>
      <w:fldChar w:fldCharType="begin"/>
    </w:r>
    <w:r w:rsidRPr="006B7368">
      <w:rPr>
        <w:sz w:val="16"/>
        <w:szCs w:val="16"/>
      </w:rPr>
      <w:instrText xml:space="preserve"> STYLEREF  ES-Titre4  \* MERGEFORMAT </w:instrText>
    </w:r>
    <w:r>
      <w:rPr>
        <w:sz w:val="16"/>
        <w:szCs w:val="16"/>
      </w:rPr>
      <w:fldChar w:fldCharType="separate"/>
    </w:r>
    <w:r w:rsidR="00624017">
      <w:rPr>
        <w:noProof/>
        <w:sz w:val="16"/>
        <w:szCs w:val="16"/>
      </w:rPr>
      <w:t>Appendice all'allegato 2 all'istruzione ESI-II-3</w:t>
    </w:r>
    <w:r>
      <w:rPr>
        <w:sz w:val="16"/>
        <w:szCs w:val="16"/>
      </w:rPr>
      <w:fldChar w:fldCharType="end"/>
    </w:r>
    <w:r>
      <w:rPr>
        <w:sz w:val="16"/>
      </w:rPr>
      <w:t xml:space="preserve"> - </w:t>
    </w:r>
    <w:r>
      <w:rPr>
        <w:sz w:val="16"/>
        <w:szCs w:val="16"/>
      </w:rPr>
      <w:fldChar w:fldCharType="begin"/>
    </w:r>
    <w:r w:rsidRPr="006B7368">
      <w:rPr>
        <w:sz w:val="16"/>
        <w:szCs w:val="16"/>
      </w:rPr>
      <w:instrText xml:space="preserve"> STYLEREF  ES-Titre4_pr_ESI_exple  \* MERGEFORMAT </w:instrText>
    </w:r>
    <w:r>
      <w:rPr>
        <w:sz w:val="16"/>
        <w:szCs w:val="16"/>
      </w:rPr>
      <w:fldChar w:fldCharType="separate"/>
    </w:r>
    <w:r w:rsidR="00624017">
      <w:rPr>
        <w:noProof/>
        <w:sz w:val="16"/>
        <w:szCs w:val="16"/>
      </w:rPr>
      <w:t>Esempio II</w:t>
    </w:r>
    <w:r>
      <w:rPr>
        <w:sz w:val="16"/>
        <w:szCs w:val="16"/>
      </w:rPr>
      <w:fldChar w:fldCharType="end"/>
    </w: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9025E1" w:rsidRDefault="00801F1F"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624017" w:rsidRPr="00624017">
      <w:rPr>
        <w:bCs/>
        <w:noProof/>
        <w:sz w:val="16"/>
        <w:szCs w:val="16"/>
      </w:rPr>
      <w:t>ESI-II-4</w:t>
    </w:r>
    <w:r w:rsidR="00624017" w:rsidRPr="00624017">
      <w:rPr>
        <w:bCs/>
        <w:noProof/>
        <w:sz w:val="16"/>
        <w:szCs w:val="16"/>
      </w:rPr>
      <w:br/>
      <w:t>Capacità di manovra di evasione</w:t>
    </w:r>
    <w:r w:rsidR="00624017">
      <w:rPr>
        <w:noProof/>
        <w:sz w:val="16"/>
        <w:szCs w:val="16"/>
      </w:rPr>
      <w:t xml:space="preserve"> e la capacità di virata</w:t>
    </w:r>
    <w:r w:rsidRPr="005B46C9">
      <w:rPr>
        <w:sz w:val="16"/>
        <w:szCs w:val="16"/>
      </w:rPr>
      <w:fldChar w:fldCharType="end"/>
    </w: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624017" w:rsidRPr="00624017">
      <w:rPr>
        <w:bCs/>
        <w:noProof/>
        <w:sz w:val="16"/>
        <w:szCs w:val="16"/>
      </w:rPr>
      <w:t>ESI-II-4</w:t>
    </w:r>
    <w:r w:rsidR="00624017" w:rsidRPr="00624017">
      <w:rPr>
        <w:bCs/>
        <w:noProof/>
        <w:sz w:val="16"/>
        <w:szCs w:val="16"/>
      </w:rPr>
      <w:br/>
      <w:t>Capacità di manovra di evasione</w:t>
    </w:r>
    <w:r w:rsidR="00624017">
      <w:rPr>
        <w:noProof/>
        <w:sz w:val="16"/>
        <w:szCs w:val="16"/>
      </w:rPr>
      <w:t xml:space="preserve"> e la capacità di virata</w:t>
    </w:r>
    <w:r w:rsidRPr="005B46C9">
      <w:rPr>
        <w:sz w:val="16"/>
        <w:szCs w:val="16"/>
      </w:rPr>
      <w:fldChar w:fldCharType="end"/>
    </w: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762086" w:rsidRDefault="00801F1F" w:rsidP="00D45887">
    <w:pPr>
      <w:widowControl w:val="0"/>
      <w:pBdr>
        <w:bottom w:val="single" w:sz="6" w:space="1" w:color="auto"/>
      </w:pBdr>
      <w:tabs>
        <w:tab w:val="right" w:pos="9072"/>
      </w:tabs>
      <w:autoSpaceDE/>
      <w:autoSpaceDN/>
      <w:jc w:val="right"/>
      <w:rPr>
        <w:sz w:val="16"/>
        <w:szCs w:val="16"/>
        <w:lang w:val="en-GB"/>
      </w:rPr>
    </w:pPr>
    <w:r w:rsidRPr="00762086">
      <w:rPr>
        <w:sz w:val="16"/>
        <w:lang w:val="en-GB"/>
      </w:rPr>
      <w:t xml:space="preserve">ES-TRIN </w:t>
    </w:r>
    <w:r w:rsidRPr="00762086">
      <w:rPr>
        <w:lang w:val="en-GB"/>
      </w:rPr>
      <w:tab/>
    </w:r>
    <w:r>
      <w:rPr>
        <w:sz w:val="16"/>
        <w:szCs w:val="16"/>
      </w:rPr>
      <w:fldChar w:fldCharType="begin"/>
    </w:r>
    <w:r w:rsidRPr="00762086">
      <w:rPr>
        <w:sz w:val="16"/>
        <w:szCs w:val="16"/>
        <w:lang w:val="en-GB"/>
      </w:rPr>
      <w:instrText xml:space="preserve"> STYLEREF  ES-Titre2  \* MERGEFORMAT </w:instrText>
    </w:r>
    <w:r>
      <w:rPr>
        <w:sz w:val="16"/>
        <w:szCs w:val="16"/>
      </w:rPr>
      <w:fldChar w:fldCharType="separate"/>
    </w:r>
    <w:r w:rsidRPr="00762086">
      <w:rPr>
        <w:noProof/>
        <w:sz w:val="16"/>
        <w:szCs w:val="16"/>
        <w:lang w:val="en-GB"/>
      </w:rPr>
      <w:t>Annex 8</w:t>
    </w:r>
    <w:r w:rsidRPr="00762086">
      <w:rPr>
        <w:noProof/>
        <w:sz w:val="16"/>
        <w:szCs w:val="16"/>
        <w:lang w:val="en-GB"/>
      </w:rPr>
      <w:br/>
      <w:t>Supplementary provisions applicable to craft operating</w:t>
    </w:r>
    <w:r w:rsidRPr="00762086">
      <w:rPr>
        <w:noProof/>
        <w:sz w:val="16"/>
        <w:szCs w:val="16"/>
        <w:lang w:val="en-GB"/>
      </w:rPr>
      <w:br/>
      <w:t>on fuels with a flashpoint equal to or lower than 55</w:t>
    </w:r>
    <w:r w:rsidR="00A16690">
      <w:rPr>
        <w:noProof/>
        <w:sz w:val="16"/>
        <w:szCs w:val="16"/>
        <w:lang w:val="en-GB"/>
      </w:rPr>
      <w:t xml:space="preserve"> </w:t>
    </w:r>
    <w:r w:rsidRPr="00762086">
      <w:rPr>
        <w:noProof/>
        <w:sz w:val="16"/>
        <w:szCs w:val="16"/>
        <w:lang w:val="en-GB"/>
      </w:rPr>
      <w:t>C</w:t>
    </w:r>
    <w:r>
      <w:rPr>
        <w:sz w:val="16"/>
        <w:szCs w:val="16"/>
      </w:rPr>
      <w:fldChar w:fldCharType="end"/>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624017" w:rsidRPr="00624017">
      <w:rPr>
        <w:bCs/>
        <w:noProof/>
        <w:sz w:val="16"/>
        <w:szCs w:val="16"/>
      </w:rPr>
      <w:t>ESI-II-4</w:t>
    </w:r>
    <w:r w:rsidR="00624017" w:rsidRPr="00624017">
      <w:rPr>
        <w:bCs/>
        <w:noProof/>
        <w:sz w:val="16"/>
        <w:szCs w:val="16"/>
      </w:rPr>
      <w:br/>
      <w:t>Capacità di manovra di evasione</w:t>
    </w:r>
    <w:r w:rsidR="00624017">
      <w:rPr>
        <w:noProof/>
        <w:sz w:val="16"/>
        <w:szCs w:val="16"/>
      </w:rPr>
      <w:t xml:space="preserve"> e la capacità di virata</w:t>
    </w:r>
    <w:r w:rsidRPr="005B46C9">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624017">
      <w:rPr>
        <w:noProof/>
        <w:sz w:val="16"/>
        <w:szCs w:val="16"/>
      </w:rPr>
      <w:t>Allegato 1 all'istruzione ESI-II-4</w:t>
    </w:r>
    <w:r>
      <w:rPr>
        <w:sz w:val="16"/>
        <w:szCs w:val="16"/>
      </w:rPr>
      <w:fldChar w:fldCharType="end"/>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5B46C9" w:rsidRDefault="00801F1F"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624017" w:rsidRPr="00624017">
      <w:rPr>
        <w:bCs/>
        <w:noProof/>
        <w:sz w:val="16"/>
        <w:szCs w:val="16"/>
      </w:rPr>
      <w:t>ESI-II-4</w:t>
    </w:r>
    <w:r w:rsidR="00624017" w:rsidRPr="00624017">
      <w:rPr>
        <w:bCs/>
        <w:noProof/>
        <w:sz w:val="16"/>
        <w:szCs w:val="16"/>
      </w:rPr>
      <w:br/>
      <w:t>Capacità di manovra di evasione</w:t>
    </w:r>
    <w:r w:rsidR="00624017">
      <w:rPr>
        <w:noProof/>
        <w:sz w:val="16"/>
        <w:szCs w:val="16"/>
      </w:rPr>
      <w:t xml:space="preserve"> e la capacità di virata</w:t>
    </w:r>
    <w:r w:rsidRPr="005B46C9">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624017">
      <w:rPr>
        <w:noProof/>
        <w:sz w:val="16"/>
        <w:szCs w:val="16"/>
      </w:rPr>
      <w:t>Allegato 2 all'istruzione ESI-II-4</w:t>
    </w:r>
    <w:r>
      <w:rPr>
        <w:sz w:val="16"/>
        <w:szCs w:val="16"/>
      </w:rPr>
      <w:fldChar w:fldCharType="end"/>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762086" w:rsidRDefault="00801F1F" w:rsidP="00D45887">
    <w:pPr>
      <w:widowControl w:val="0"/>
      <w:pBdr>
        <w:bottom w:val="single" w:sz="6" w:space="1" w:color="auto"/>
      </w:pBdr>
      <w:tabs>
        <w:tab w:val="right" w:pos="9070"/>
      </w:tabs>
      <w:autoSpaceDE/>
      <w:autoSpaceDN/>
      <w:jc w:val="right"/>
      <w:rPr>
        <w:sz w:val="16"/>
        <w:szCs w:val="16"/>
        <w:lang w:val="en-GB"/>
      </w:rPr>
    </w:pPr>
    <w:r w:rsidRPr="00762086">
      <w:rPr>
        <w:sz w:val="16"/>
        <w:lang w:val="en-GB"/>
      </w:rPr>
      <w:t>ES-TRIN</w:t>
    </w:r>
    <w:r w:rsidRPr="00762086">
      <w:rPr>
        <w:lang w:val="en-GB"/>
      </w:rPr>
      <w:tab/>
    </w:r>
    <w:r>
      <w:rPr>
        <w:sz w:val="16"/>
        <w:szCs w:val="16"/>
      </w:rPr>
      <w:fldChar w:fldCharType="begin"/>
    </w:r>
    <w:r w:rsidRPr="00762086">
      <w:rPr>
        <w:sz w:val="16"/>
        <w:szCs w:val="16"/>
        <w:lang w:val="en-GB"/>
      </w:rPr>
      <w:instrText xml:space="preserve"> STYLEREF  ES-Titre2  \* MERGEFORMAT </w:instrText>
    </w:r>
    <w:r>
      <w:rPr>
        <w:sz w:val="16"/>
        <w:szCs w:val="16"/>
      </w:rPr>
      <w:fldChar w:fldCharType="separate"/>
    </w:r>
    <w:r w:rsidRPr="00762086">
      <w:rPr>
        <w:noProof/>
        <w:sz w:val="16"/>
        <w:szCs w:val="16"/>
        <w:lang w:val="en-GB"/>
      </w:rPr>
      <w:t>Annex 8</w:t>
    </w:r>
    <w:r w:rsidRPr="00762086">
      <w:rPr>
        <w:noProof/>
        <w:sz w:val="16"/>
        <w:szCs w:val="16"/>
        <w:lang w:val="en-GB"/>
      </w:rPr>
      <w:br/>
      <w:t>Supplementary provisions applicable to craft operating</w:t>
    </w:r>
    <w:r w:rsidRPr="00762086">
      <w:rPr>
        <w:noProof/>
        <w:sz w:val="16"/>
        <w:szCs w:val="16"/>
        <w:lang w:val="en-GB"/>
      </w:rPr>
      <w:br/>
      <w:t>on fuels with a flashpoint equal to or lower than 55</w:t>
    </w:r>
    <w:r w:rsidR="00A16690">
      <w:rPr>
        <w:noProof/>
        <w:sz w:val="16"/>
        <w:szCs w:val="16"/>
        <w:lang w:val="en-GB"/>
      </w:rPr>
      <w:t xml:space="preserve"> </w:t>
    </w:r>
    <w:r w:rsidRPr="00762086">
      <w:rPr>
        <w:noProof/>
        <w:sz w:val="16"/>
        <w:szCs w:val="16"/>
        <w:lang w:val="en-GB"/>
      </w:rPr>
      <w:t>C</w:t>
    </w:r>
    <w:r>
      <w:rPr>
        <w:sz w:val="16"/>
        <w:szCs w:val="16"/>
      </w:rPr>
      <w:fldChar w:fldCharType="end"/>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C30168" w:rsidRDefault="00801F1F"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624017">
      <w:rPr>
        <w:noProof/>
        <w:sz w:val="16"/>
        <w:szCs w:val="16"/>
      </w:rPr>
      <w:t>ESI-II-9</w:t>
    </w:r>
    <w:r w:rsidR="00624017">
      <w:rPr>
        <w:noProof/>
        <w:sz w:val="16"/>
        <w:szCs w:val="16"/>
      </w:rPr>
      <w:br/>
      <w:t>Ancore speciali a massa ridotta</w:t>
    </w:r>
    <w:r>
      <w:rPr>
        <w:sz w:val="16"/>
        <w:szCs w:val="16"/>
      </w:rPr>
      <w:fldChar w:fldCharType="end"/>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9025E1" w:rsidRDefault="00801F1F" w:rsidP="00D45887">
    <w:pPr>
      <w:widowControl w:val="0"/>
      <w:pBdr>
        <w:bottom w:val="single" w:sz="6" w:space="1" w:color="auto"/>
      </w:pBdr>
      <w:tabs>
        <w:tab w:val="right" w:pos="13892"/>
      </w:tabs>
      <w:autoSpaceDE/>
      <w:autoSpaceDN/>
      <w:ind w:left="0" w:firstLine="0"/>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624017">
      <w:rPr>
        <w:noProof/>
        <w:sz w:val="16"/>
        <w:szCs w:val="16"/>
      </w:rPr>
      <w:t>ESI-II-9</w:t>
    </w:r>
    <w:r w:rsidR="00624017">
      <w:rPr>
        <w:noProof/>
        <w:sz w:val="16"/>
        <w:szCs w:val="16"/>
      </w:rPr>
      <w:br/>
      <w:t>Ancore speciali a massa ridotta</w:t>
    </w:r>
    <w:r>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624017">
      <w:rPr>
        <w:noProof/>
        <w:sz w:val="16"/>
        <w:szCs w:val="16"/>
      </w:rPr>
      <w:t>Allegato 1 all'istruzione ESI-II-9</w:t>
    </w:r>
    <w:r>
      <w:rPr>
        <w:sz w:val="16"/>
        <w:szCs w:val="16"/>
      </w:rPr>
      <w:fldChar w:fldCharType="end"/>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9025E1" w:rsidRDefault="00801F1F"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624017">
      <w:rPr>
        <w:noProof/>
        <w:sz w:val="16"/>
        <w:szCs w:val="16"/>
      </w:rPr>
      <w:t>ESI-II-10</w:t>
    </w:r>
    <w:r w:rsidR="00624017">
      <w:rPr>
        <w:noProof/>
        <w:sz w:val="16"/>
        <w:szCs w:val="16"/>
      </w:rPr>
      <w:br/>
      <w:t>Impianti automatici pressurizzati a sprinkler alimentati ad acqua</w:t>
    </w:r>
    <w:r>
      <w:rPr>
        <w:sz w:val="16"/>
        <w:szCs w:val="16"/>
      </w:rPr>
      <w:fldChar w:fldCharType="end"/>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C64DB8" w:rsidRDefault="00801F1F"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Pr>
        <w:sz w:val="16"/>
        <w:szCs w:val="16"/>
      </w:rPr>
      <w:fldChar w:fldCharType="begin"/>
    </w:r>
    <w:r>
      <w:rPr>
        <w:sz w:val="16"/>
        <w:szCs w:val="16"/>
      </w:rPr>
      <w:instrText xml:space="preserve"> STYLEREF  ES-Titre2_ESI  \* MERGEFORMAT </w:instrText>
    </w:r>
    <w:r>
      <w:rPr>
        <w:sz w:val="16"/>
        <w:szCs w:val="16"/>
      </w:rPr>
      <w:fldChar w:fldCharType="separate"/>
    </w:r>
    <w:r w:rsidR="00624017">
      <w:rPr>
        <w:noProof/>
        <w:sz w:val="16"/>
        <w:szCs w:val="16"/>
      </w:rPr>
      <w:t>ESI-IV-1</w:t>
    </w:r>
    <w:r w:rsidR="00624017">
      <w:rPr>
        <w:noProof/>
        <w:sz w:val="16"/>
        <w:szCs w:val="16"/>
      </w:rPr>
      <w:br/>
      <w:t>Applicazione di disposizioni transitorie</w:t>
    </w:r>
    <w:r>
      <w:rPr>
        <w:sz w:val="16"/>
        <w:szCs w:val="16"/>
      </w:rPr>
      <w:fldChar w:fldCharType="end"/>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1F" w:rsidRPr="009025E1" w:rsidRDefault="00801F1F" w:rsidP="00D45887">
    <w:pPr>
      <w:widowControl w:val="0"/>
      <w:pBdr>
        <w:bottom w:val="single" w:sz="6" w:space="1" w:color="auto"/>
      </w:pBdr>
      <w:tabs>
        <w:tab w:val="right" w:pos="9070"/>
      </w:tabs>
      <w:autoSpaceDE/>
      <w:autoSpaceDN/>
      <w:jc w:val="right"/>
      <w:rPr>
        <w:sz w:val="16"/>
        <w:szCs w:val="16"/>
      </w:rPr>
    </w:pPr>
    <w:r>
      <w:rPr>
        <w:sz w:val="16"/>
      </w:rPr>
      <w:t>ES-TRIN</w:t>
    </w:r>
    <w:r>
      <w:tab/>
    </w:r>
    <w:r>
      <w:rPr>
        <w:sz w:val="16"/>
        <w:szCs w:val="16"/>
      </w:rPr>
      <w:fldChar w:fldCharType="begin"/>
    </w:r>
    <w:r>
      <w:rPr>
        <w:sz w:val="16"/>
        <w:szCs w:val="16"/>
      </w:rPr>
      <w:instrText xml:space="preserve"> STYLEREF  ES-Titre2_ESI  \* MERGEFORMAT </w:instrText>
    </w:r>
    <w:r>
      <w:rPr>
        <w:sz w:val="16"/>
        <w:szCs w:val="16"/>
      </w:rPr>
      <w:fldChar w:fldCharType="separate"/>
    </w:r>
    <w:r w:rsidR="00624017">
      <w:rPr>
        <w:noProof/>
        <w:sz w:val="16"/>
        <w:szCs w:val="16"/>
      </w:rPr>
      <w:t>ESI-IV-1</w:t>
    </w:r>
    <w:r w:rsidR="00624017">
      <w:rPr>
        <w:noProof/>
        <w:sz w:val="16"/>
        <w:szCs w:val="16"/>
      </w:rPr>
      <w:br/>
      <w:t>Applicazione di disposizioni transitorie</w:t>
    </w:r>
    <w:r>
      <w:rPr>
        <w:sz w:val="16"/>
        <w:szCs w:val="16"/>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bullet"/>
      <w:lvlText w:val="-"/>
      <w:lvlJc w:val="left"/>
      <w:pPr>
        <w:tabs>
          <w:tab w:val="num" w:pos="1416"/>
        </w:tabs>
        <w:ind w:left="1416" w:hanging="708"/>
      </w:pPr>
      <w:rPr>
        <w:rFonts w:ascii="Times New Roman" w:hAnsi="Times New Roman" w:cs="Times New Roman"/>
      </w:rPr>
    </w:lvl>
  </w:abstractNum>
  <w:abstractNum w:abstractNumId="1">
    <w:nsid w:val="00000004"/>
    <w:multiLevelType w:val="multilevel"/>
    <w:tmpl w:val="00000004"/>
    <w:name w:val="WW8Num4"/>
    <w:lvl w:ilvl="0">
      <w:start w:val="2"/>
      <w:numFmt w:val="decimal"/>
      <w:pStyle w:val="jeveux"/>
      <w:lvlText w:val="%1."/>
      <w:lvlJc w:val="left"/>
      <w:pPr>
        <w:tabs>
          <w:tab w:val="num" w:pos="794"/>
        </w:tabs>
        <w:ind w:left="720" w:hanging="692"/>
      </w:pPr>
    </w:lvl>
    <w:lvl w:ilvl="1">
      <w:start w:val="9"/>
      <w:numFmt w:val="bullet"/>
      <w:lvlText w:val="-"/>
      <w:lvlJc w:val="left"/>
      <w:pPr>
        <w:tabs>
          <w:tab w:val="num" w:pos="794"/>
        </w:tabs>
        <w:ind w:left="1440" w:hanging="1412"/>
      </w:pPr>
      <w:rPr>
        <w:rFonts w:ascii="Times New Roman" w:hAnsi="Times New Roman" w:cs="Times New Roman"/>
      </w:rPr>
    </w:lvl>
    <w:lvl w:ilvl="2">
      <w:start w:val="1"/>
      <w:numFmt w:val="lowerRoman"/>
      <w:lvlText w:val="%3."/>
      <w:lvlJc w:val="left"/>
      <w:pPr>
        <w:tabs>
          <w:tab w:val="num" w:pos="794"/>
        </w:tabs>
        <w:ind w:left="2160" w:hanging="2132"/>
      </w:pPr>
    </w:lvl>
    <w:lvl w:ilvl="3">
      <w:start w:val="1"/>
      <w:numFmt w:val="decimal"/>
      <w:lvlText w:val="%4."/>
      <w:lvlJc w:val="left"/>
      <w:pPr>
        <w:tabs>
          <w:tab w:val="num" w:pos="794"/>
        </w:tabs>
        <w:ind w:left="2880" w:hanging="2852"/>
      </w:pPr>
    </w:lvl>
    <w:lvl w:ilvl="4">
      <w:start w:val="1"/>
      <w:numFmt w:val="lowerLetter"/>
      <w:lvlText w:val="%5."/>
      <w:lvlJc w:val="left"/>
      <w:pPr>
        <w:tabs>
          <w:tab w:val="num" w:pos="794"/>
        </w:tabs>
        <w:ind w:left="3600" w:hanging="3572"/>
      </w:pPr>
    </w:lvl>
    <w:lvl w:ilvl="5">
      <w:start w:val="1"/>
      <w:numFmt w:val="lowerRoman"/>
      <w:lvlText w:val="%6."/>
      <w:lvlJc w:val="left"/>
      <w:pPr>
        <w:tabs>
          <w:tab w:val="num" w:pos="794"/>
        </w:tabs>
        <w:ind w:left="4320" w:hanging="4292"/>
      </w:pPr>
    </w:lvl>
    <w:lvl w:ilvl="6">
      <w:start w:val="1"/>
      <w:numFmt w:val="decimal"/>
      <w:lvlText w:val="%7."/>
      <w:lvlJc w:val="left"/>
      <w:pPr>
        <w:tabs>
          <w:tab w:val="num" w:pos="794"/>
        </w:tabs>
        <w:ind w:left="5040" w:hanging="5012"/>
      </w:pPr>
    </w:lvl>
    <w:lvl w:ilvl="7">
      <w:start w:val="1"/>
      <w:numFmt w:val="lowerLetter"/>
      <w:lvlText w:val="%8."/>
      <w:lvlJc w:val="left"/>
      <w:pPr>
        <w:tabs>
          <w:tab w:val="num" w:pos="794"/>
        </w:tabs>
        <w:ind w:left="5760" w:hanging="5732"/>
      </w:pPr>
    </w:lvl>
    <w:lvl w:ilvl="8">
      <w:start w:val="1"/>
      <w:numFmt w:val="lowerRoman"/>
      <w:lvlText w:val="%9."/>
      <w:lvlJc w:val="left"/>
      <w:pPr>
        <w:tabs>
          <w:tab w:val="num" w:pos="794"/>
        </w:tabs>
        <w:ind w:left="6480" w:hanging="6452"/>
      </w:pPr>
    </w:lvl>
  </w:abstractNum>
  <w:abstractNum w:abstractNumId="2">
    <w:nsid w:val="0AFD4894"/>
    <w:multiLevelType w:val="singleLevel"/>
    <w:tmpl w:val="FAC02758"/>
    <w:name w:val="Tiret 0"/>
    <w:lvl w:ilvl="0">
      <w:start w:val="1"/>
      <w:numFmt w:val="bullet"/>
      <w:lvlRestart w:val="0"/>
      <w:lvlText w:val="–"/>
      <w:lvlJc w:val="left"/>
      <w:pPr>
        <w:tabs>
          <w:tab w:val="num" w:pos="850"/>
        </w:tabs>
        <w:ind w:left="850" w:hanging="850"/>
      </w:pPr>
    </w:lvl>
  </w:abstractNum>
  <w:abstractNum w:abstractNumId="3">
    <w:nsid w:val="137A65C0"/>
    <w:multiLevelType w:val="hybridMultilevel"/>
    <w:tmpl w:val="95C29EC0"/>
    <w:lvl w:ilvl="0" w:tplc="D292A33A">
      <w:numFmt w:val="bullet"/>
      <w:lvlText w:val=""/>
      <w:lvlJc w:val="left"/>
      <w:pPr>
        <w:ind w:left="720" w:hanging="360"/>
      </w:pPr>
      <w:rPr>
        <w:rFonts w:ascii="Symbol" w:eastAsia="Times New Roman" w:hAnsi="Symbol" w:cs="Arial" w:hint="default"/>
        <w:sz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20A057E8"/>
    <w:multiLevelType w:val="hybridMultilevel"/>
    <w:tmpl w:val="97A87118"/>
    <w:lvl w:ilvl="0" w:tplc="C61CCFA6">
      <w:start w:val="1"/>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3633AA5"/>
    <w:multiLevelType w:val="singleLevel"/>
    <w:tmpl w:val="43740D98"/>
    <w:name w:val="Bullet 2"/>
    <w:lvl w:ilvl="0">
      <w:start w:val="1"/>
      <w:numFmt w:val="bullet"/>
      <w:lvlRestart w:val="0"/>
      <w:pStyle w:val="Bullet2"/>
      <w:lvlText w:val=""/>
      <w:lvlJc w:val="left"/>
      <w:pPr>
        <w:tabs>
          <w:tab w:val="num" w:pos="1984"/>
        </w:tabs>
        <w:ind w:left="1984" w:hanging="567"/>
      </w:pPr>
      <w:rPr>
        <w:rFonts w:ascii="Symbol" w:hAnsi="Symbol" w:hint="default"/>
      </w:rPr>
    </w:lvl>
  </w:abstractNum>
  <w:abstractNum w:abstractNumId="6">
    <w:nsid w:val="274F3331"/>
    <w:multiLevelType w:val="hybridMultilevel"/>
    <w:tmpl w:val="4B6CC5B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2DA1323F"/>
    <w:multiLevelType w:val="hybridMultilevel"/>
    <w:tmpl w:val="424A924C"/>
    <w:lvl w:ilvl="0" w:tplc="FFFFFFFF">
      <w:start w:val="14"/>
      <w:numFmt w:val="bullet"/>
      <w:lvlText w:val="-"/>
      <w:lvlJc w:val="left"/>
      <w:pPr>
        <w:ind w:left="720" w:hanging="360"/>
      </w:pPr>
      <w:rPr>
        <w:rFonts w:ascii="Arial" w:eastAsia="Times New Roman" w:hAnsi="Aria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8">
    <w:nsid w:val="375E5176"/>
    <w:multiLevelType w:val="hybridMultilevel"/>
    <w:tmpl w:val="06228422"/>
    <w:lvl w:ilvl="0" w:tplc="F3F6B24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D5233CE"/>
    <w:multiLevelType w:val="hybridMultilevel"/>
    <w:tmpl w:val="77BC0B34"/>
    <w:lvl w:ilvl="0" w:tplc="50424CEC">
      <w:start w:val="11"/>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F8043E9"/>
    <w:multiLevelType w:val="hybridMultilevel"/>
    <w:tmpl w:val="CBCA938C"/>
    <w:lvl w:ilvl="0" w:tplc="25A807C0">
      <w:start w:val="1"/>
      <w:numFmt w:val="decimal"/>
      <w:lvlText w:val="%1."/>
      <w:lvlJc w:val="left"/>
      <w:pPr>
        <w:ind w:left="930" w:hanging="57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40665587"/>
    <w:multiLevelType w:val="hybridMultilevel"/>
    <w:tmpl w:val="ABDA506A"/>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4321140B"/>
    <w:multiLevelType w:val="singleLevel"/>
    <w:tmpl w:val="9F38A1E6"/>
    <w:lvl w:ilvl="0">
      <w:start w:val="1"/>
      <w:numFmt w:val="decimal"/>
      <w:pStyle w:val="Considrant"/>
      <w:lvlText w:val="(%1)"/>
      <w:lvlJc w:val="left"/>
      <w:pPr>
        <w:tabs>
          <w:tab w:val="num" w:pos="709"/>
        </w:tabs>
        <w:ind w:left="709" w:hanging="709"/>
      </w:pPr>
    </w:lvl>
  </w:abstractNum>
  <w:abstractNum w:abstractNumId="13">
    <w:nsid w:val="53564CCD"/>
    <w:multiLevelType w:val="multilevel"/>
    <w:tmpl w:val="DAEE582E"/>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5CBB3924"/>
    <w:multiLevelType w:val="multilevel"/>
    <w:tmpl w:val="7F4CFBBA"/>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6FFF5257"/>
    <w:multiLevelType w:val="singleLevel"/>
    <w:tmpl w:val="659A5DB2"/>
    <w:name w:val="Bullet 0"/>
    <w:lvl w:ilvl="0">
      <w:start w:val="1"/>
      <w:numFmt w:val="bullet"/>
      <w:lvlRestart w:val="0"/>
      <w:pStyle w:val="Bullet0"/>
      <w:lvlText w:val=""/>
      <w:lvlJc w:val="left"/>
      <w:pPr>
        <w:tabs>
          <w:tab w:val="num" w:pos="850"/>
        </w:tabs>
        <w:ind w:left="850" w:hanging="850"/>
      </w:pPr>
      <w:rPr>
        <w:rFonts w:ascii="Symbol" w:hAnsi="Symbol" w:hint="default"/>
      </w:rPr>
    </w:lvl>
  </w:abstractNum>
  <w:abstractNum w:abstractNumId="16">
    <w:nsid w:val="762A79C9"/>
    <w:multiLevelType w:val="hybridMultilevel"/>
    <w:tmpl w:val="0A4E9D96"/>
    <w:lvl w:ilvl="0" w:tplc="9BBCF40C">
      <w:start w:val="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784B2BA1"/>
    <w:multiLevelType w:val="singleLevel"/>
    <w:tmpl w:val="17AC9850"/>
    <w:name w:val="Bullet 1"/>
    <w:lvl w:ilvl="0">
      <w:start w:val="1"/>
      <w:numFmt w:val="lowerLetter"/>
      <w:lvlRestart w:val="0"/>
      <w:pStyle w:val="Bullet1"/>
      <w:lvlText w:val="%1)"/>
      <w:lvlJc w:val="left"/>
      <w:pPr>
        <w:tabs>
          <w:tab w:val="num" w:pos="1417"/>
        </w:tabs>
        <w:ind w:left="1417" w:hanging="567"/>
      </w:pPr>
      <w:rPr>
        <w:rFonts w:ascii="Times New Roman" w:eastAsia="Times New Roman" w:hAnsi="Times New Roman" w:cs="Times New Roman"/>
      </w:rPr>
    </w:lvl>
  </w:abstractNum>
  <w:abstractNum w:abstractNumId="18">
    <w:nsid w:val="7A61200C"/>
    <w:multiLevelType w:val="multilevel"/>
    <w:tmpl w:val="CC7C38C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nsid w:val="7C7C61AB"/>
    <w:multiLevelType w:val="multilevel"/>
    <w:tmpl w:val="3F04EE72"/>
    <w:name w:val="0,5280224"/>
    <w:lvl w:ilvl="0">
      <w:start w:val="1"/>
      <w:numFmt w:val="decimal"/>
      <w:lvlRestart w:val="0"/>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4"/>
  </w:num>
  <w:num w:numId="2">
    <w:abstractNumId w:val="13"/>
  </w:num>
  <w:num w:numId="3">
    <w:abstractNumId w:val="12"/>
  </w:num>
  <w:num w:numId="4">
    <w:abstractNumId w:val="15"/>
  </w:num>
  <w:num w:numId="5">
    <w:abstractNumId w:val="17"/>
  </w:num>
  <w:num w:numId="6">
    <w:abstractNumId w:val="5"/>
  </w:num>
  <w:num w:numId="7">
    <w:abstractNumId w:val="9"/>
  </w:num>
  <w:num w:numId="8">
    <w:abstractNumId w:val="4"/>
  </w:num>
  <w:num w:numId="9">
    <w:abstractNumId w:val="1"/>
  </w:num>
  <w:num w:numId="10">
    <w:abstractNumId w:val="18"/>
  </w:num>
  <w:num w:numId="11">
    <w:abstractNumId w:val="3"/>
  </w:num>
  <w:num w:numId="12">
    <w:abstractNumId w:val="6"/>
  </w:num>
  <w:num w:numId="13">
    <w:abstractNumId w:val="16"/>
  </w:num>
  <w:num w:numId="14">
    <w:abstractNumId w:val="8"/>
  </w:num>
  <w:num w:numId="15">
    <w:abstractNumId w:val="11"/>
  </w:num>
  <w:num w:numId="16">
    <w:abstractNumId w:val="7"/>
  </w:num>
  <w:num w:numId="17">
    <w:abstractNumId w:val="10"/>
  </w:num>
  <w:num w:numId="18">
    <w:abstractNumId w:val="0"/>
  </w:num>
  <w:num w:numId="19">
    <w:abstractNumId w:val="19"/>
  </w:num>
  <w:num w:numId="2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zoom w:percent="90"/>
  <w:embedSystemFonts/>
  <w:attachedTemplate r:id="rId1"/>
  <w:doNotTrackFormatting/>
  <w:defaultTabStop w:val="720"/>
  <w:hyphenationZone w:val="425"/>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hdrShapeDefaults>
    <o:shapedefaults v:ext="edit" spidmax="408577"/>
  </w:hdrShapeDefaults>
  <w:footnotePr>
    <w:numRestart w:val="eachPage"/>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QCStatus" w:val="Red"/>
    <w:docVar w:name="LW_DocType" w:val="COM"/>
  </w:docVars>
  <w:rsids>
    <w:rsidRoot w:val="00612D96"/>
    <w:rsid w:val="000009AC"/>
    <w:rsid w:val="00001079"/>
    <w:rsid w:val="00001650"/>
    <w:rsid w:val="00002CF3"/>
    <w:rsid w:val="00003903"/>
    <w:rsid w:val="00006207"/>
    <w:rsid w:val="00007D56"/>
    <w:rsid w:val="00011E41"/>
    <w:rsid w:val="00014931"/>
    <w:rsid w:val="00014FF4"/>
    <w:rsid w:val="000153B3"/>
    <w:rsid w:val="00016542"/>
    <w:rsid w:val="00016B72"/>
    <w:rsid w:val="00017B11"/>
    <w:rsid w:val="00017C69"/>
    <w:rsid w:val="00020374"/>
    <w:rsid w:val="00020D02"/>
    <w:rsid w:val="000222E9"/>
    <w:rsid w:val="000225FB"/>
    <w:rsid w:val="000228A4"/>
    <w:rsid w:val="00022DFD"/>
    <w:rsid w:val="0002366B"/>
    <w:rsid w:val="000236CB"/>
    <w:rsid w:val="00025E87"/>
    <w:rsid w:val="000265D0"/>
    <w:rsid w:val="00031119"/>
    <w:rsid w:val="000323C7"/>
    <w:rsid w:val="000323F4"/>
    <w:rsid w:val="00033E56"/>
    <w:rsid w:val="00034331"/>
    <w:rsid w:val="00034977"/>
    <w:rsid w:val="00034CAA"/>
    <w:rsid w:val="00035837"/>
    <w:rsid w:val="0003592A"/>
    <w:rsid w:val="00035FE4"/>
    <w:rsid w:val="000403EC"/>
    <w:rsid w:val="000403F6"/>
    <w:rsid w:val="000418C9"/>
    <w:rsid w:val="00043377"/>
    <w:rsid w:val="00044E4F"/>
    <w:rsid w:val="00051641"/>
    <w:rsid w:val="000525EE"/>
    <w:rsid w:val="000526B5"/>
    <w:rsid w:val="000532D6"/>
    <w:rsid w:val="000536A6"/>
    <w:rsid w:val="000544E4"/>
    <w:rsid w:val="00054791"/>
    <w:rsid w:val="0005522B"/>
    <w:rsid w:val="00055419"/>
    <w:rsid w:val="000562CE"/>
    <w:rsid w:val="00056313"/>
    <w:rsid w:val="0005658E"/>
    <w:rsid w:val="00057037"/>
    <w:rsid w:val="0006083D"/>
    <w:rsid w:val="00060F09"/>
    <w:rsid w:val="00061B86"/>
    <w:rsid w:val="00063D84"/>
    <w:rsid w:val="00064BFC"/>
    <w:rsid w:val="00065064"/>
    <w:rsid w:val="00065CEE"/>
    <w:rsid w:val="00066459"/>
    <w:rsid w:val="000672C2"/>
    <w:rsid w:val="0006780B"/>
    <w:rsid w:val="00067BB9"/>
    <w:rsid w:val="00071AAC"/>
    <w:rsid w:val="00072882"/>
    <w:rsid w:val="0007393A"/>
    <w:rsid w:val="00074639"/>
    <w:rsid w:val="00074C87"/>
    <w:rsid w:val="00074E15"/>
    <w:rsid w:val="00077A58"/>
    <w:rsid w:val="00077A7F"/>
    <w:rsid w:val="000804D1"/>
    <w:rsid w:val="00080F6D"/>
    <w:rsid w:val="000813F1"/>
    <w:rsid w:val="00083340"/>
    <w:rsid w:val="00083603"/>
    <w:rsid w:val="00086CF5"/>
    <w:rsid w:val="00090862"/>
    <w:rsid w:val="00090EDC"/>
    <w:rsid w:val="0009266E"/>
    <w:rsid w:val="000928CC"/>
    <w:rsid w:val="00092AD1"/>
    <w:rsid w:val="00092FA7"/>
    <w:rsid w:val="00095462"/>
    <w:rsid w:val="0009596F"/>
    <w:rsid w:val="000A105C"/>
    <w:rsid w:val="000A13AD"/>
    <w:rsid w:val="000A15B3"/>
    <w:rsid w:val="000A1609"/>
    <w:rsid w:val="000A290B"/>
    <w:rsid w:val="000A2F1D"/>
    <w:rsid w:val="000A2F7F"/>
    <w:rsid w:val="000A399F"/>
    <w:rsid w:val="000A3F57"/>
    <w:rsid w:val="000A52E4"/>
    <w:rsid w:val="000A7601"/>
    <w:rsid w:val="000B2B59"/>
    <w:rsid w:val="000B35AC"/>
    <w:rsid w:val="000B4123"/>
    <w:rsid w:val="000B44A5"/>
    <w:rsid w:val="000B4982"/>
    <w:rsid w:val="000B4A23"/>
    <w:rsid w:val="000B4F66"/>
    <w:rsid w:val="000B60B9"/>
    <w:rsid w:val="000B68E7"/>
    <w:rsid w:val="000C0499"/>
    <w:rsid w:val="000C0B7A"/>
    <w:rsid w:val="000C1DB3"/>
    <w:rsid w:val="000C41E0"/>
    <w:rsid w:val="000C6892"/>
    <w:rsid w:val="000D0F00"/>
    <w:rsid w:val="000D24E1"/>
    <w:rsid w:val="000D2654"/>
    <w:rsid w:val="000D3267"/>
    <w:rsid w:val="000D326E"/>
    <w:rsid w:val="000D3586"/>
    <w:rsid w:val="000D44AE"/>
    <w:rsid w:val="000D613C"/>
    <w:rsid w:val="000D7607"/>
    <w:rsid w:val="000E1628"/>
    <w:rsid w:val="000E1B99"/>
    <w:rsid w:val="000E1F46"/>
    <w:rsid w:val="000E2CDC"/>
    <w:rsid w:val="000E30BB"/>
    <w:rsid w:val="000E49C3"/>
    <w:rsid w:val="000E4A73"/>
    <w:rsid w:val="000E5F8A"/>
    <w:rsid w:val="000E732C"/>
    <w:rsid w:val="000E7E11"/>
    <w:rsid w:val="000F09D4"/>
    <w:rsid w:val="000F1B69"/>
    <w:rsid w:val="000F215E"/>
    <w:rsid w:val="000F3425"/>
    <w:rsid w:val="000F3AFD"/>
    <w:rsid w:val="000F41DF"/>
    <w:rsid w:val="000F42F5"/>
    <w:rsid w:val="000F53DA"/>
    <w:rsid w:val="000F600A"/>
    <w:rsid w:val="000F6553"/>
    <w:rsid w:val="000F7006"/>
    <w:rsid w:val="00100EF1"/>
    <w:rsid w:val="00101CB2"/>
    <w:rsid w:val="00101D20"/>
    <w:rsid w:val="0010389F"/>
    <w:rsid w:val="0010666B"/>
    <w:rsid w:val="00106E92"/>
    <w:rsid w:val="001077F3"/>
    <w:rsid w:val="00107B2C"/>
    <w:rsid w:val="001107BF"/>
    <w:rsid w:val="001108EB"/>
    <w:rsid w:val="00110BC9"/>
    <w:rsid w:val="00111867"/>
    <w:rsid w:val="00113730"/>
    <w:rsid w:val="00116526"/>
    <w:rsid w:val="001171AE"/>
    <w:rsid w:val="001179E7"/>
    <w:rsid w:val="00117BDC"/>
    <w:rsid w:val="0012395A"/>
    <w:rsid w:val="001243C3"/>
    <w:rsid w:val="00124738"/>
    <w:rsid w:val="00124817"/>
    <w:rsid w:val="00124E9C"/>
    <w:rsid w:val="00125490"/>
    <w:rsid w:val="001257FE"/>
    <w:rsid w:val="001267B1"/>
    <w:rsid w:val="0012747B"/>
    <w:rsid w:val="0012781A"/>
    <w:rsid w:val="001317E7"/>
    <w:rsid w:val="00133108"/>
    <w:rsid w:val="00133F19"/>
    <w:rsid w:val="00135E26"/>
    <w:rsid w:val="001363D1"/>
    <w:rsid w:val="00136542"/>
    <w:rsid w:val="00136BFD"/>
    <w:rsid w:val="00137A45"/>
    <w:rsid w:val="00140690"/>
    <w:rsid w:val="00141B17"/>
    <w:rsid w:val="001427DF"/>
    <w:rsid w:val="0014563E"/>
    <w:rsid w:val="00145B96"/>
    <w:rsid w:val="001469B0"/>
    <w:rsid w:val="00147283"/>
    <w:rsid w:val="001476EC"/>
    <w:rsid w:val="00151656"/>
    <w:rsid w:val="00151AEA"/>
    <w:rsid w:val="00153AB4"/>
    <w:rsid w:val="001542BC"/>
    <w:rsid w:val="00154B30"/>
    <w:rsid w:val="00155AB8"/>
    <w:rsid w:val="00155D5C"/>
    <w:rsid w:val="00156207"/>
    <w:rsid w:val="00157062"/>
    <w:rsid w:val="001575C2"/>
    <w:rsid w:val="0016074C"/>
    <w:rsid w:val="00160E19"/>
    <w:rsid w:val="001610C7"/>
    <w:rsid w:val="00161AB6"/>
    <w:rsid w:val="00161BF6"/>
    <w:rsid w:val="0016282C"/>
    <w:rsid w:val="0016317F"/>
    <w:rsid w:val="0016337E"/>
    <w:rsid w:val="00163956"/>
    <w:rsid w:val="001640EF"/>
    <w:rsid w:val="00165024"/>
    <w:rsid w:val="00165F82"/>
    <w:rsid w:val="001662DB"/>
    <w:rsid w:val="00166C9D"/>
    <w:rsid w:val="00166DDA"/>
    <w:rsid w:val="0016731B"/>
    <w:rsid w:val="0016750C"/>
    <w:rsid w:val="001705E4"/>
    <w:rsid w:val="0017082D"/>
    <w:rsid w:val="00171478"/>
    <w:rsid w:val="00172F8E"/>
    <w:rsid w:val="001749C4"/>
    <w:rsid w:val="0017546E"/>
    <w:rsid w:val="00176095"/>
    <w:rsid w:val="0017630F"/>
    <w:rsid w:val="0017699E"/>
    <w:rsid w:val="00176B5A"/>
    <w:rsid w:val="00177969"/>
    <w:rsid w:val="00177CE4"/>
    <w:rsid w:val="001807CA"/>
    <w:rsid w:val="00181116"/>
    <w:rsid w:val="00181BB6"/>
    <w:rsid w:val="0018270B"/>
    <w:rsid w:val="0018359A"/>
    <w:rsid w:val="00183609"/>
    <w:rsid w:val="00183D1F"/>
    <w:rsid w:val="001851F8"/>
    <w:rsid w:val="001853EE"/>
    <w:rsid w:val="001856B5"/>
    <w:rsid w:val="001865DF"/>
    <w:rsid w:val="00190746"/>
    <w:rsid w:val="00190B8A"/>
    <w:rsid w:val="00191DB0"/>
    <w:rsid w:val="00192ED9"/>
    <w:rsid w:val="00194498"/>
    <w:rsid w:val="001958C0"/>
    <w:rsid w:val="00195D93"/>
    <w:rsid w:val="001964F8"/>
    <w:rsid w:val="00196FBC"/>
    <w:rsid w:val="00197723"/>
    <w:rsid w:val="00197F7A"/>
    <w:rsid w:val="001A16CD"/>
    <w:rsid w:val="001A19C2"/>
    <w:rsid w:val="001A409D"/>
    <w:rsid w:val="001A583E"/>
    <w:rsid w:val="001A6B1D"/>
    <w:rsid w:val="001A723F"/>
    <w:rsid w:val="001A7DAB"/>
    <w:rsid w:val="001B09F1"/>
    <w:rsid w:val="001B1AA7"/>
    <w:rsid w:val="001B2673"/>
    <w:rsid w:val="001B4203"/>
    <w:rsid w:val="001B4DBC"/>
    <w:rsid w:val="001B500F"/>
    <w:rsid w:val="001B543F"/>
    <w:rsid w:val="001B5ABA"/>
    <w:rsid w:val="001B62AD"/>
    <w:rsid w:val="001B6FDF"/>
    <w:rsid w:val="001B7F10"/>
    <w:rsid w:val="001C1441"/>
    <w:rsid w:val="001C15FF"/>
    <w:rsid w:val="001C29FD"/>
    <w:rsid w:val="001C46BB"/>
    <w:rsid w:val="001C47D9"/>
    <w:rsid w:val="001C4EBD"/>
    <w:rsid w:val="001C4EBE"/>
    <w:rsid w:val="001C566A"/>
    <w:rsid w:val="001C5E10"/>
    <w:rsid w:val="001C7F2E"/>
    <w:rsid w:val="001D0FFC"/>
    <w:rsid w:val="001D190F"/>
    <w:rsid w:val="001D2AF7"/>
    <w:rsid w:val="001D2DFD"/>
    <w:rsid w:val="001D61F0"/>
    <w:rsid w:val="001D67AA"/>
    <w:rsid w:val="001D6819"/>
    <w:rsid w:val="001D71AA"/>
    <w:rsid w:val="001E1E3E"/>
    <w:rsid w:val="001E2331"/>
    <w:rsid w:val="001E24E0"/>
    <w:rsid w:val="001E2A58"/>
    <w:rsid w:val="001E33AF"/>
    <w:rsid w:val="001E4DDC"/>
    <w:rsid w:val="001E571A"/>
    <w:rsid w:val="001E577F"/>
    <w:rsid w:val="001E59A4"/>
    <w:rsid w:val="001E6F07"/>
    <w:rsid w:val="001E7C77"/>
    <w:rsid w:val="001F02E6"/>
    <w:rsid w:val="001F14D0"/>
    <w:rsid w:val="001F173C"/>
    <w:rsid w:val="001F199D"/>
    <w:rsid w:val="001F1A9D"/>
    <w:rsid w:val="001F1AC2"/>
    <w:rsid w:val="001F1CE5"/>
    <w:rsid w:val="001F4463"/>
    <w:rsid w:val="001F4766"/>
    <w:rsid w:val="001F7283"/>
    <w:rsid w:val="002004C3"/>
    <w:rsid w:val="00200817"/>
    <w:rsid w:val="00201BA8"/>
    <w:rsid w:val="00202533"/>
    <w:rsid w:val="002025EC"/>
    <w:rsid w:val="00203319"/>
    <w:rsid w:val="00203A7C"/>
    <w:rsid w:val="002043D6"/>
    <w:rsid w:val="00204E05"/>
    <w:rsid w:val="002052A6"/>
    <w:rsid w:val="00210A11"/>
    <w:rsid w:val="00211AAA"/>
    <w:rsid w:val="0021540A"/>
    <w:rsid w:val="0021687F"/>
    <w:rsid w:val="00216BFB"/>
    <w:rsid w:val="00217AA8"/>
    <w:rsid w:val="00220FB5"/>
    <w:rsid w:val="00221291"/>
    <w:rsid w:val="00222FDC"/>
    <w:rsid w:val="002233AD"/>
    <w:rsid w:val="00223F08"/>
    <w:rsid w:val="00225A33"/>
    <w:rsid w:val="00226293"/>
    <w:rsid w:val="00226336"/>
    <w:rsid w:val="00226353"/>
    <w:rsid w:val="00226A59"/>
    <w:rsid w:val="0022701F"/>
    <w:rsid w:val="00230288"/>
    <w:rsid w:val="00230625"/>
    <w:rsid w:val="00234B95"/>
    <w:rsid w:val="0023703A"/>
    <w:rsid w:val="0023707F"/>
    <w:rsid w:val="00237080"/>
    <w:rsid w:val="002404BE"/>
    <w:rsid w:val="00241CDC"/>
    <w:rsid w:val="002424B9"/>
    <w:rsid w:val="00242D8C"/>
    <w:rsid w:val="00242E51"/>
    <w:rsid w:val="002433BB"/>
    <w:rsid w:val="00243762"/>
    <w:rsid w:val="00243A81"/>
    <w:rsid w:val="00245091"/>
    <w:rsid w:val="00246883"/>
    <w:rsid w:val="002470D6"/>
    <w:rsid w:val="002506E7"/>
    <w:rsid w:val="00250DD7"/>
    <w:rsid w:val="00251454"/>
    <w:rsid w:val="0025243A"/>
    <w:rsid w:val="00253FD8"/>
    <w:rsid w:val="00254134"/>
    <w:rsid w:val="00256F6F"/>
    <w:rsid w:val="00257F0E"/>
    <w:rsid w:val="00260F40"/>
    <w:rsid w:val="002614C4"/>
    <w:rsid w:val="00261847"/>
    <w:rsid w:val="00262467"/>
    <w:rsid w:val="00263BAB"/>
    <w:rsid w:val="002647C0"/>
    <w:rsid w:val="0026577D"/>
    <w:rsid w:val="00266522"/>
    <w:rsid w:val="00270FEE"/>
    <w:rsid w:val="0027136B"/>
    <w:rsid w:val="00271B3E"/>
    <w:rsid w:val="00271E61"/>
    <w:rsid w:val="002722AA"/>
    <w:rsid w:val="002723EF"/>
    <w:rsid w:val="00274DBA"/>
    <w:rsid w:val="00274EE8"/>
    <w:rsid w:val="00275065"/>
    <w:rsid w:val="00275ADD"/>
    <w:rsid w:val="00275FCF"/>
    <w:rsid w:val="00276993"/>
    <w:rsid w:val="00277E12"/>
    <w:rsid w:val="00277E63"/>
    <w:rsid w:val="002808E4"/>
    <w:rsid w:val="002816B8"/>
    <w:rsid w:val="002828C5"/>
    <w:rsid w:val="00283317"/>
    <w:rsid w:val="002836CA"/>
    <w:rsid w:val="00283723"/>
    <w:rsid w:val="00283BC6"/>
    <w:rsid w:val="00283D5F"/>
    <w:rsid w:val="00283E41"/>
    <w:rsid w:val="00284D7D"/>
    <w:rsid w:val="00286D03"/>
    <w:rsid w:val="00290108"/>
    <w:rsid w:val="00290368"/>
    <w:rsid w:val="002908AA"/>
    <w:rsid w:val="00291A42"/>
    <w:rsid w:val="00292101"/>
    <w:rsid w:val="00293067"/>
    <w:rsid w:val="002938DE"/>
    <w:rsid w:val="0029395D"/>
    <w:rsid w:val="00293D2C"/>
    <w:rsid w:val="0029453D"/>
    <w:rsid w:val="0029618E"/>
    <w:rsid w:val="002A0558"/>
    <w:rsid w:val="002A2E8E"/>
    <w:rsid w:val="002A3799"/>
    <w:rsid w:val="002A434E"/>
    <w:rsid w:val="002A46AD"/>
    <w:rsid w:val="002A624E"/>
    <w:rsid w:val="002A6D89"/>
    <w:rsid w:val="002A778C"/>
    <w:rsid w:val="002A7BC6"/>
    <w:rsid w:val="002B1925"/>
    <w:rsid w:val="002B1E93"/>
    <w:rsid w:val="002B22A4"/>
    <w:rsid w:val="002B2F9A"/>
    <w:rsid w:val="002B3AE0"/>
    <w:rsid w:val="002B4577"/>
    <w:rsid w:val="002B6B2C"/>
    <w:rsid w:val="002B715D"/>
    <w:rsid w:val="002C0BA5"/>
    <w:rsid w:val="002C0EB8"/>
    <w:rsid w:val="002C0F5F"/>
    <w:rsid w:val="002C32DD"/>
    <w:rsid w:val="002C3798"/>
    <w:rsid w:val="002C3FF7"/>
    <w:rsid w:val="002C44F2"/>
    <w:rsid w:val="002C527C"/>
    <w:rsid w:val="002C64B3"/>
    <w:rsid w:val="002D0F03"/>
    <w:rsid w:val="002D1826"/>
    <w:rsid w:val="002D2D76"/>
    <w:rsid w:val="002D3A91"/>
    <w:rsid w:val="002D3F17"/>
    <w:rsid w:val="002D46BA"/>
    <w:rsid w:val="002D4B83"/>
    <w:rsid w:val="002D4CEF"/>
    <w:rsid w:val="002D6150"/>
    <w:rsid w:val="002D7949"/>
    <w:rsid w:val="002E100D"/>
    <w:rsid w:val="002E24E2"/>
    <w:rsid w:val="002E3EAE"/>
    <w:rsid w:val="002E50EF"/>
    <w:rsid w:val="002E6352"/>
    <w:rsid w:val="002E65C8"/>
    <w:rsid w:val="002E6F15"/>
    <w:rsid w:val="002E752A"/>
    <w:rsid w:val="002E78A3"/>
    <w:rsid w:val="002F426E"/>
    <w:rsid w:val="002F5184"/>
    <w:rsid w:val="002F5DD8"/>
    <w:rsid w:val="002F6118"/>
    <w:rsid w:val="002F6788"/>
    <w:rsid w:val="0030176A"/>
    <w:rsid w:val="00302C3E"/>
    <w:rsid w:val="003032D6"/>
    <w:rsid w:val="00305C85"/>
    <w:rsid w:val="00305CA8"/>
    <w:rsid w:val="003062AF"/>
    <w:rsid w:val="00310312"/>
    <w:rsid w:val="00311A98"/>
    <w:rsid w:val="003122DE"/>
    <w:rsid w:val="00312819"/>
    <w:rsid w:val="00312D29"/>
    <w:rsid w:val="00312E1A"/>
    <w:rsid w:val="00313B91"/>
    <w:rsid w:val="0031453E"/>
    <w:rsid w:val="00314706"/>
    <w:rsid w:val="0031552A"/>
    <w:rsid w:val="00316CE7"/>
    <w:rsid w:val="00320866"/>
    <w:rsid w:val="00320B64"/>
    <w:rsid w:val="00320EDC"/>
    <w:rsid w:val="003216FC"/>
    <w:rsid w:val="00321E38"/>
    <w:rsid w:val="003230FD"/>
    <w:rsid w:val="003232B5"/>
    <w:rsid w:val="00324388"/>
    <w:rsid w:val="00325D34"/>
    <w:rsid w:val="00326518"/>
    <w:rsid w:val="00326590"/>
    <w:rsid w:val="00327A49"/>
    <w:rsid w:val="0033095A"/>
    <w:rsid w:val="00330D4B"/>
    <w:rsid w:val="00330FC4"/>
    <w:rsid w:val="00332197"/>
    <w:rsid w:val="00333A30"/>
    <w:rsid w:val="0033732B"/>
    <w:rsid w:val="00337F85"/>
    <w:rsid w:val="0034036D"/>
    <w:rsid w:val="0034064A"/>
    <w:rsid w:val="00340C95"/>
    <w:rsid w:val="00340F35"/>
    <w:rsid w:val="00342E23"/>
    <w:rsid w:val="00343FC4"/>
    <w:rsid w:val="00344E11"/>
    <w:rsid w:val="003462BA"/>
    <w:rsid w:val="0034719E"/>
    <w:rsid w:val="003501F9"/>
    <w:rsid w:val="00350277"/>
    <w:rsid w:val="00350554"/>
    <w:rsid w:val="0035095C"/>
    <w:rsid w:val="0035236A"/>
    <w:rsid w:val="00354286"/>
    <w:rsid w:val="00354D10"/>
    <w:rsid w:val="003552BC"/>
    <w:rsid w:val="00355EBF"/>
    <w:rsid w:val="00356281"/>
    <w:rsid w:val="00357056"/>
    <w:rsid w:val="003604EF"/>
    <w:rsid w:val="00360C91"/>
    <w:rsid w:val="00360D41"/>
    <w:rsid w:val="00360E7D"/>
    <w:rsid w:val="00363591"/>
    <w:rsid w:val="00363895"/>
    <w:rsid w:val="00363D0C"/>
    <w:rsid w:val="00363D4F"/>
    <w:rsid w:val="00364496"/>
    <w:rsid w:val="00364497"/>
    <w:rsid w:val="00367B28"/>
    <w:rsid w:val="003712DE"/>
    <w:rsid w:val="00372479"/>
    <w:rsid w:val="0037277F"/>
    <w:rsid w:val="00373D7A"/>
    <w:rsid w:val="00374BB2"/>
    <w:rsid w:val="00375641"/>
    <w:rsid w:val="003765F8"/>
    <w:rsid w:val="00377B97"/>
    <w:rsid w:val="00380358"/>
    <w:rsid w:val="00380DE8"/>
    <w:rsid w:val="00382B0C"/>
    <w:rsid w:val="00383DE0"/>
    <w:rsid w:val="00384DFB"/>
    <w:rsid w:val="003854B9"/>
    <w:rsid w:val="003872C5"/>
    <w:rsid w:val="00390107"/>
    <w:rsid w:val="0039092B"/>
    <w:rsid w:val="003915AC"/>
    <w:rsid w:val="00391A9D"/>
    <w:rsid w:val="00392C41"/>
    <w:rsid w:val="00392DAE"/>
    <w:rsid w:val="00392E68"/>
    <w:rsid w:val="003930DB"/>
    <w:rsid w:val="00393255"/>
    <w:rsid w:val="00393E27"/>
    <w:rsid w:val="00394AE4"/>
    <w:rsid w:val="00395A9E"/>
    <w:rsid w:val="00396448"/>
    <w:rsid w:val="003968E4"/>
    <w:rsid w:val="003971A3"/>
    <w:rsid w:val="0039774B"/>
    <w:rsid w:val="00397B3B"/>
    <w:rsid w:val="00397B6A"/>
    <w:rsid w:val="00397C6F"/>
    <w:rsid w:val="003A01A0"/>
    <w:rsid w:val="003A3ED2"/>
    <w:rsid w:val="003A44F2"/>
    <w:rsid w:val="003A47CF"/>
    <w:rsid w:val="003A635F"/>
    <w:rsid w:val="003A6400"/>
    <w:rsid w:val="003A6543"/>
    <w:rsid w:val="003A66B6"/>
    <w:rsid w:val="003B0440"/>
    <w:rsid w:val="003B0801"/>
    <w:rsid w:val="003B3A1A"/>
    <w:rsid w:val="003B7663"/>
    <w:rsid w:val="003B7C0C"/>
    <w:rsid w:val="003C13A6"/>
    <w:rsid w:val="003C34F5"/>
    <w:rsid w:val="003C7766"/>
    <w:rsid w:val="003D0163"/>
    <w:rsid w:val="003D0171"/>
    <w:rsid w:val="003D2554"/>
    <w:rsid w:val="003D29D8"/>
    <w:rsid w:val="003D2D08"/>
    <w:rsid w:val="003D2E2F"/>
    <w:rsid w:val="003D32C2"/>
    <w:rsid w:val="003D3AAC"/>
    <w:rsid w:val="003D4399"/>
    <w:rsid w:val="003D4DBF"/>
    <w:rsid w:val="003D5828"/>
    <w:rsid w:val="003D632C"/>
    <w:rsid w:val="003D6C19"/>
    <w:rsid w:val="003D6C36"/>
    <w:rsid w:val="003D7271"/>
    <w:rsid w:val="003D7B4A"/>
    <w:rsid w:val="003E0735"/>
    <w:rsid w:val="003E15C0"/>
    <w:rsid w:val="003E245C"/>
    <w:rsid w:val="003E3E06"/>
    <w:rsid w:val="003E4FF5"/>
    <w:rsid w:val="003E54E3"/>
    <w:rsid w:val="003E5D67"/>
    <w:rsid w:val="003E6750"/>
    <w:rsid w:val="003E6AE7"/>
    <w:rsid w:val="003E7493"/>
    <w:rsid w:val="003F06B0"/>
    <w:rsid w:val="003F0FEF"/>
    <w:rsid w:val="003F11EC"/>
    <w:rsid w:val="003F1736"/>
    <w:rsid w:val="003F1CB4"/>
    <w:rsid w:val="003F2595"/>
    <w:rsid w:val="003F30FB"/>
    <w:rsid w:val="003F3DE1"/>
    <w:rsid w:val="003F4728"/>
    <w:rsid w:val="003F4F82"/>
    <w:rsid w:val="003F558E"/>
    <w:rsid w:val="003F5E4D"/>
    <w:rsid w:val="003F616C"/>
    <w:rsid w:val="004004C5"/>
    <w:rsid w:val="00401300"/>
    <w:rsid w:val="00402237"/>
    <w:rsid w:val="00404915"/>
    <w:rsid w:val="00404D6F"/>
    <w:rsid w:val="004055EA"/>
    <w:rsid w:val="00405894"/>
    <w:rsid w:val="004060E5"/>
    <w:rsid w:val="00406EDB"/>
    <w:rsid w:val="004076F6"/>
    <w:rsid w:val="00410582"/>
    <w:rsid w:val="00410C5D"/>
    <w:rsid w:val="00411A7D"/>
    <w:rsid w:val="004133CD"/>
    <w:rsid w:val="00413EA1"/>
    <w:rsid w:val="0041418C"/>
    <w:rsid w:val="00414479"/>
    <w:rsid w:val="004151B7"/>
    <w:rsid w:val="00415ECE"/>
    <w:rsid w:val="004171D0"/>
    <w:rsid w:val="00417419"/>
    <w:rsid w:val="0042206B"/>
    <w:rsid w:val="00422169"/>
    <w:rsid w:val="00424CE8"/>
    <w:rsid w:val="004262AC"/>
    <w:rsid w:val="004271FC"/>
    <w:rsid w:val="00430B47"/>
    <w:rsid w:val="00431542"/>
    <w:rsid w:val="00431553"/>
    <w:rsid w:val="004316CC"/>
    <w:rsid w:val="00433D99"/>
    <w:rsid w:val="00434691"/>
    <w:rsid w:val="00434B2A"/>
    <w:rsid w:val="00436033"/>
    <w:rsid w:val="00436930"/>
    <w:rsid w:val="00436EAF"/>
    <w:rsid w:val="00437A24"/>
    <w:rsid w:val="004405C3"/>
    <w:rsid w:val="00441E77"/>
    <w:rsid w:val="0044336D"/>
    <w:rsid w:val="0044416E"/>
    <w:rsid w:val="004446A0"/>
    <w:rsid w:val="0044624D"/>
    <w:rsid w:val="00447377"/>
    <w:rsid w:val="00450DA2"/>
    <w:rsid w:val="00451B55"/>
    <w:rsid w:val="00451D26"/>
    <w:rsid w:val="0045354D"/>
    <w:rsid w:val="004535B7"/>
    <w:rsid w:val="00454061"/>
    <w:rsid w:val="00455657"/>
    <w:rsid w:val="00460742"/>
    <w:rsid w:val="00461781"/>
    <w:rsid w:val="0046196E"/>
    <w:rsid w:val="00464998"/>
    <w:rsid w:val="0046569B"/>
    <w:rsid w:val="00465BBB"/>
    <w:rsid w:val="004678C0"/>
    <w:rsid w:val="004706D2"/>
    <w:rsid w:val="004734B5"/>
    <w:rsid w:val="00475311"/>
    <w:rsid w:val="00480E5E"/>
    <w:rsid w:val="00481591"/>
    <w:rsid w:val="00481A0E"/>
    <w:rsid w:val="004859E8"/>
    <w:rsid w:val="00486A70"/>
    <w:rsid w:val="00486EE9"/>
    <w:rsid w:val="00487BDA"/>
    <w:rsid w:val="00491AE4"/>
    <w:rsid w:val="00492239"/>
    <w:rsid w:val="004923DB"/>
    <w:rsid w:val="00493339"/>
    <w:rsid w:val="00493D4C"/>
    <w:rsid w:val="00495307"/>
    <w:rsid w:val="00495E37"/>
    <w:rsid w:val="00496E97"/>
    <w:rsid w:val="00496E9B"/>
    <w:rsid w:val="00497622"/>
    <w:rsid w:val="00497A37"/>
    <w:rsid w:val="004A0B6A"/>
    <w:rsid w:val="004A2F59"/>
    <w:rsid w:val="004A33BD"/>
    <w:rsid w:val="004A35FF"/>
    <w:rsid w:val="004A3862"/>
    <w:rsid w:val="004A6AD8"/>
    <w:rsid w:val="004A75F7"/>
    <w:rsid w:val="004A76B4"/>
    <w:rsid w:val="004B107C"/>
    <w:rsid w:val="004B1399"/>
    <w:rsid w:val="004B2505"/>
    <w:rsid w:val="004B26E2"/>
    <w:rsid w:val="004B5897"/>
    <w:rsid w:val="004B62D6"/>
    <w:rsid w:val="004B6F54"/>
    <w:rsid w:val="004B73D1"/>
    <w:rsid w:val="004B7750"/>
    <w:rsid w:val="004C02DF"/>
    <w:rsid w:val="004C123A"/>
    <w:rsid w:val="004C209B"/>
    <w:rsid w:val="004C2C5D"/>
    <w:rsid w:val="004C32BE"/>
    <w:rsid w:val="004C3399"/>
    <w:rsid w:val="004C4825"/>
    <w:rsid w:val="004C6446"/>
    <w:rsid w:val="004D1500"/>
    <w:rsid w:val="004D15B0"/>
    <w:rsid w:val="004D1B5D"/>
    <w:rsid w:val="004D26B9"/>
    <w:rsid w:val="004D2B3E"/>
    <w:rsid w:val="004D2C3E"/>
    <w:rsid w:val="004D3A30"/>
    <w:rsid w:val="004D4299"/>
    <w:rsid w:val="004D440A"/>
    <w:rsid w:val="004D727A"/>
    <w:rsid w:val="004E04FD"/>
    <w:rsid w:val="004E1AD0"/>
    <w:rsid w:val="004E2C9F"/>
    <w:rsid w:val="004E389F"/>
    <w:rsid w:val="004E3A15"/>
    <w:rsid w:val="004E3A98"/>
    <w:rsid w:val="004E499A"/>
    <w:rsid w:val="004E6822"/>
    <w:rsid w:val="004F0FED"/>
    <w:rsid w:val="004F13FC"/>
    <w:rsid w:val="004F159E"/>
    <w:rsid w:val="004F47BB"/>
    <w:rsid w:val="004F5E7B"/>
    <w:rsid w:val="004F634C"/>
    <w:rsid w:val="004F7EC9"/>
    <w:rsid w:val="00500018"/>
    <w:rsid w:val="005034E6"/>
    <w:rsid w:val="005038C1"/>
    <w:rsid w:val="00505D66"/>
    <w:rsid w:val="0050629F"/>
    <w:rsid w:val="00511351"/>
    <w:rsid w:val="00511BF6"/>
    <w:rsid w:val="005123FE"/>
    <w:rsid w:val="005128B5"/>
    <w:rsid w:val="0051422F"/>
    <w:rsid w:val="005144F5"/>
    <w:rsid w:val="0051525C"/>
    <w:rsid w:val="005157A0"/>
    <w:rsid w:val="00521221"/>
    <w:rsid w:val="00522B8C"/>
    <w:rsid w:val="00530062"/>
    <w:rsid w:val="005306C4"/>
    <w:rsid w:val="00533048"/>
    <w:rsid w:val="00533929"/>
    <w:rsid w:val="005344DA"/>
    <w:rsid w:val="00535E7C"/>
    <w:rsid w:val="005373DE"/>
    <w:rsid w:val="00537DD3"/>
    <w:rsid w:val="00540178"/>
    <w:rsid w:val="0054038A"/>
    <w:rsid w:val="00540EF2"/>
    <w:rsid w:val="0054153F"/>
    <w:rsid w:val="00541EB6"/>
    <w:rsid w:val="005420AD"/>
    <w:rsid w:val="00542260"/>
    <w:rsid w:val="00543E74"/>
    <w:rsid w:val="00544563"/>
    <w:rsid w:val="00546775"/>
    <w:rsid w:val="00546ED7"/>
    <w:rsid w:val="005475FE"/>
    <w:rsid w:val="00547F83"/>
    <w:rsid w:val="00550E01"/>
    <w:rsid w:val="00551E44"/>
    <w:rsid w:val="00552318"/>
    <w:rsid w:val="00553616"/>
    <w:rsid w:val="00554C94"/>
    <w:rsid w:val="00555661"/>
    <w:rsid w:val="00557306"/>
    <w:rsid w:val="00560299"/>
    <w:rsid w:val="0056114C"/>
    <w:rsid w:val="005612D9"/>
    <w:rsid w:val="00561878"/>
    <w:rsid w:val="00561953"/>
    <w:rsid w:val="0056242B"/>
    <w:rsid w:val="005625CE"/>
    <w:rsid w:val="00562D2E"/>
    <w:rsid w:val="0056385B"/>
    <w:rsid w:val="005645A5"/>
    <w:rsid w:val="00564EFE"/>
    <w:rsid w:val="005662C0"/>
    <w:rsid w:val="00567453"/>
    <w:rsid w:val="00570639"/>
    <w:rsid w:val="00570A92"/>
    <w:rsid w:val="005714D9"/>
    <w:rsid w:val="005716BB"/>
    <w:rsid w:val="00572BD3"/>
    <w:rsid w:val="00573261"/>
    <w:rsid w:val="005737CD"/>
    <w:rsid w:val="005739AB"/>
    <w:rsid w:val="00574385"/>
    <w:rsid w:val="00574D04"/>
    <w:rsid w:val="00576124"/>
    <w:rsid w:val="0057768B"/>
    <w:rsid w:val="005777D8"/>
    <w:rsid w:val="00577ECC"/>
    <w:rsid w:val="005833A6"/>
    <w:rsid w:val="005849A9"/>
    <w:rsid w:val="005852BA"/>
    <w:rsid w:val="0058606C"/>
    <w:rsid w:val="005901F3"/>
    <w:rsid w:val="00590CC7"/>
    <w:rsid w:val="00591E2F"/>
    <w:rsid w:val="005924FC"/>
    <w:rsid w:val="00594D75"/>
    <w:rsid w:val="00595AD9"/>
    <w:rsid w:val="00595EEB"/>
    <w:rsid w:val="0059704F"/>
    <w:rsid w:val="00597218"/>
    <w:rsid w:val="00597427"/>
    <w:rsid w:val="005A10B1"/>
    <w:rsid w:val="005A1994"/>
    <w:rsid w:val="005A25B4"/>
    <w:rsid w:val="005A3B52"/>
    <w:rsid w:val="005A3E0D"/>
    <w:rsid w:val="005A3F3C"/>
    <w:rsid w:val="005A3FE1"/>
    <w:rsid w:val="005A4E3E"/>
    <w:rsid w:val="005A6C74"/>
    <w:rsid w:val="005A78A5"/>
    <w:rsid w:val="005B0563"/>
    <w:rsid w:val="005B0967"/>
    <w:rsid w:val="005B0BB8"/>
    <w:rsid w:val="005B1B49"/>
    <w:rsid w:val="005B1BE0"/>
    <w:rsid w:val="005B2022"/>
    <w:rsid w:val="005B2F7E"/>
    <w:rsid w:val="005B46C9"/>
    <w:rsid w:val="005B594A"/>
    <w:rsid w:val="005B59CC"/>
    <w:rsid w:val="005B6102"/>
    <w:rsid w:val="005B6108"/>
    <w:rsid w:val="005B697A"/>
    <w:rsid w:val="005B79A9"/>
    <w:rsid w:val="005C1A91"/>
    <w:rsid w:val="005C1DF0"/>
    <w:rsid w:val="005C2A80"/>
    <w:rsid w:val="005C3492"/>
    <w:rsid w:val="005C3F09"/>
    <w:rsid w:val="005C5181"/>
    <w:rsid w:val="005C69BE"/>
    <w:rsid w:val="005C7859"/>
    <w:rsid w:val="005C7DB3"/>
    <w:rsid w:val="005D13EF"/>
    <w:rsid w:val="005D6684"/>
    <w:rsid w:val="005E15D4"/>
    <w:rsid w:val="005E285C"/>
    <w:rsid w:val="005E31C6"/>
    <w:rsid w:val="005E325D"/>
    <w:rsid w:val="005E4B2A"/>
    <w:rsid w:val="005E4CF8"/>
    <w:rsid w:val="005E4D81"/>
    <w:rsid w:val="005E5D49"/>
    <w:rsid w:val="005E7B71"/>
    <w:rsid w:val="005E7B83"/>
    <w:rsid w:val="005E7FBB"/>
    <w:rsid w:val="005F0AA2"/>
    <w:rsid w:val="005F2D46"/>
    <w:rsid w:val="005F5F39"/>
    <w:rsid w:val="005F6042"/>
    <w:rsid w:val="0060057A"/>
    <w:rsid w:val="00600BEE"/>
    <w:rsid w:val="00600FBC"/>
    <w:rsid w:val="00601459"/>
    <w:rsid w:val="00601723"/>
    <w:rsid w:val="0060175E"/>
    <w:rsid w:val="0060199F"/>
    <w:rsid w:val="006025D0"/>
    <w:rsid w:val="0060301E"/>
    <w:rsid w:val="006045A6"/>
    <w:rsid w:val="006058B1"/>
    <w:rsid w:val="00605BA5"/>
    <w:rsid w:val="00611BF5"/>
    <w:rsid w:val="00611E1B"/>
    <w:rsid w:val="00612D96"/>
    <w:rsid w:val="00613092"/>
    <w:rsid w:val="00613599"/>
    <w:rsid w:val="006136F0"/>
    <w:rsid w:val="006137DC"/>
    <w:rsid w:val="00615071"/>
    <w:rsid w:val="00615E63"/>
    <w:rsid w:val="006161E9"/>
    <w:rsid w:val="00620783"/>
    <w:rsid w:val="00620A37"/>
    <w:rsid w:val="00620CE7"/>
    <w:rsid w:val="00622329"/>
    <w:rsid w:val="00623DA7"/>
    <w:rsid w:val="00624017"/>
    <w:rsid w:val="0062583C"/>
    <w:rsid w:val="00626316"/>
    <w:rsid w:val="006316A9"/>
    <w:rsid w:val="006327E3"/>
    <w:rsid w:val="006329B6"/>
    <w:rsid w:val="00633C91"/>
    <w:rsid w:val="00633CC5"/>
    <w:rsid w:val="0063454C"/>
    <w:rsid w:val="0063563D"/>
    <w:rsid w:val="006371F5"/>
    <w:rsid w:val="00637424"/>
    <w:rsid w:val="00637A28"/>
    <w:rsid w:val="00640E02"/>
    <w:rsid w:val="0064343D"/>
    <w:rsid w:val="006435E7"/>
    <w:rsid w:val="00643C51"/>
    <w:rsid w:val="00647244"/>
    <w:rsid w:val="00647B13"/>
    <w:rsid w:val="006506DE"/>
    <w:rsid w:val="00650FA6"/>
    <w:rsid w:val="00651EFD"/>
    <w:rsid w:val="00652389"/>
    <w:rsid w:val="00652561"/>
    <w:rsid w:val="00652F98"/>
    <w:rsid w:val="00655841"/>
    <w:rsid w:val="00655F84"/>
    <w:rsid w:val="006560F0"/>
    <w:rsid w:val="00660718"/>
    <w:rsid w:val="00661999"/>
    <w:rsid w:val="00663421"/>
    <w:rsid w:val="0066397A"/>
    <w:rsid w:val="00665E41"/>
    <w:rsid w:val="00666810"/>
    <w:rsid w:val="00666A95"/>
    <w:rsid w:val="00666CE2"/>
    <w:rsid w:val="00666FAB"/>
    <w:rsid w:val="00670DA2"/>
    <w:rsid w:val="00671520"/>
    <w:rsid w:val="00672DB1"/>
    <w:rsid w:val="006753AE"/>
    <w:rsid w:val="0067550D"/>
    <w:rsid w:val="00675651"/>
    <w:rsid w:val="006757B1"/>
    <w:rsid w:val="00676205"/>
    <w:rsid w:val="00676E87"/>
    <w:rsid w:val="00676F45"/>
    <w:rsid w:val="00677052"/>
    <w:rsid w:val="006777B9"/>
    <w:rsid w:val="00680C50"/>
    <w:rsid w:val="00681851"/>
    <w:rsid w:val="0068347D"/>
    <w:rsid w:val="0068402B"/>
    <w:rsid w:val="00684B1D"/>
    <w:rsid w:val="00684D07"/>
    <w:rsid w:val="00685350"/>
    <w:rsid w:val="00687B32"/>
    <w:rsid w:val="00690BD5"/>
    <w:rsid w:val="006919F7"/>
    <w:rsid w:val="006934E2"/>
    <w:rsid w:val="00694E6B"/>
    <w:rsid w:val="006953F9"/>
    <w:rsid w:val="006971A7"/>
    <w:rsid w:val="006A0231"/>
    <w:rsid w:val="006A1046"/>
    <w:rsid w:val="006A364B"/>
    <w:rsid w:val="006A4701"/>
    <w:rsid w:val="006A4BCB"/>
    <w:rsid w:val="006A5083"/>
    <w:rsid w:val="006A5337"/>
    <w:rsid w:val="006A5CDC"/>
    <w:rsid w:val="006A6A3E"/>
    <w:rsid w:val="006A6DF3"/>
    <w:rsid w:val="006A72C4"/>
    <w:rsid w:val="006B0330"/>
    <w:rsid w:val="006B0963"/>
    <w:rsid w:val="006B1D78"/>
    <w:rsid w:val="006B3499"/>
    <w:rsid w:val="006B3771"/>
    <w:rsid w:val="006B5BE0"/>
    <w:rsid w:val="006B6215"/>
    <w:rsid w:val="006B7368"/>
    <w:rsid w:val="006B754E"/>
    <w:rsid w:val="006B78FD"/>
    <w:rsid w:val="006C043E"/>
    <w:rsid w:val="006C0C67"/>
    <w:rsid w:val="006C0C6B"/>
    <w:rsid w:val="006C1428"/>
    <w:rsid w:val="006C1A8C"/>
    <w:rsid w:val="006C6A9E"/>
    <w:rsid w:val="006C7BF8"/>
    <w:rsid w:val="006D01EA"/>
    <w:rsid w:val="006D1BF5"/>
    <w:rsid w:val="006D32EE"/>
    <w:rsid w:val="006D37CC"/>
    <w:rsid w:val="006D5A2D"/>
    <w:rsid w:val="006D617E"/>
    <w:rsid w:val="006D6907"/>
    <w:rsid w:val="006E0BD7"/>
    <w:rsid w:val="006E12A3"/>
    <w:rsid w:val="006E2B32"/>
    <w:rsid w:val="006E472A"/>
    <w:rsid w:val="006E6F5E"/>
    <w:rsid w:val="006E6FB5"/>
    <w:rsid w:val="006E79EB"/>
    <w:rsid w:val="006F1CB2"/>
    <w:rsid w:val="006F2A90"/>
    <w:rsid w:val="006F3490"/>
    <w:rsid w:val="006F3EE0"/>
    <w:rsid w:val="006F454C"/>
    <w:rsid w:val="006F45C2"/>
    <w:rsid w:val="006F46CE"/>
    <w:rsid w:val="006F55F5"/>
    <w:rsid w:val="00700D97"/>
    <w:rsid w:val="00701289"/>
    <w:rsid w:val="00701407"/>
    <w:rsid w:val="0070366C"/>
    <w:rsid w:val="00703E84"/>
    <w:rsid w:val="00703EC3"/>
    <w:rsid w:val="00704BED"/>
    <w:rsid w:val="00705506"/>
    <w:rsid w:val="007105A9"/>
    <w:rsid w:val="0071452F"/>
    <w:rsid w:val="007146BE"/>
    <w:rsid w:val="007161AA"/>
    <w:rsid w:val="00716655"/>
    <w:rsid w:val="007168AF"/>
    <w:rsid w:val="00716BAB"/>
    <w:rsid w:val="00716DF3"/>
    <w:rsid w:val="0071721E"/>
    <w:rsid w:val="007209AB"/>
    <w:rsid w:val="00720A75"/>
    <w:rsid w:val="007233FE"/>
    <w:rsid w:val="0072529F"/>
    <w:rsid w:val="0072538D"/>
    <w:rsid w:val="00725CA7"/>
    <w:rsid w:val="00725CFD"/>
    <w:rsid w:val="00725D4A"/>
    <w:rsid w:val="007261E0"/>
    <w:rsid w:val="00726252"/>
    <w:rsid w:val="007272E6"/>
    <w:rsid w:val="00727539"/>
    <w:rsid w:val="00727AB6"/>
    <w:rsid w:val="007304B2"/>
    <w:rsid w:val="007319C6"/>
    <w:rsid w:val="00731C25"/>
    <w:rsid w:val="00731F17"/>
    <w:rsid w:val="00731F7D"/>
    <w:rsid w:val="00732D8B"/>
    <w:rsid w:val="00733121"/>
    <w:rsid w:val="007331B9"/>
    <w:rsid w:val="00734E85"/>
    <w:rsid w:val="00736797"/>
    <w:rsid w:val="00740060"/>
    <w:rsid w:val="00740370"/>
    <w:rsid w:val="007406CD"/>
    <w:rsid w:val="007407E1"/>
    <w:rsid w:val="00744CAC"/>
    <w:rsid w:val="00745362"/>
    <w:rsid w:val="00745DD2"/>
    <w:rsid w:val="007502D9"/>
    <w:rsid w:val="00750B56"/>
    <w:rsid w:val="00751A5B"/>
    <w:rsid w:val="00751C8D"/>
    <w:rsid w:val="007527F6"/>
    <w:rsid w:val="00752E3A"/>
    <w:rsid w:val="0075351F"/>
    <w:rsid w:val="00754A0C"/>
    <w:rsid w:val="0075615D"/>
    <w:rsid w:val="00756D4B"/>
    <w:rsid w:val="0075795F"/>
    <w:rsid w:val="00757CA5"/>
    <w:rsid w:val="00757DD1"/>
    <w:rsid w:val="00762086"/>
    <w:rsid w:val="0076247E"/>
    <w:rsid w:val="00763ADA"/>
    <w:rsid w:val="00765C6B"/>
    <w:rsid w:val="007670C0"/>
    <w:rsid w:val="00767591"/>
    <w:rsid w:val="00767E47"/>
    <w:rsid w:val="00770BDD"/>
    <w:rsid w:val="007711D6"/>
    <w:rsid w:val="007715DE"/>
    <w:rsid w:val="00771FEA"/>
    <w:rsid w:val="007720D9"/>
    <w:rsid w:val="00772341"/>
    <w:rsid w:val="007724B5"/>
    <w:rsid w:val="0077255B"/>
    <w:rsid w:val="00773703"/>
    <w:rsid w:val="00776215"/>
    <w:rsid w:val="0077688D"/>
    <w:rsid w:val="00777BB9"/>
    <w:rsid w:val="00780CD7"/>
    <w:rsid w:val="0078121C"/>
    <w:rsid w:val="007828F7"/>
    <w:rsid w:val="00785862"/>
    <w:rsid w:val="00785C25"/>
    <w:rsid w:val="007873EA"/>
    <w:rsid w:val="007874ED"/>
    <w:rsid w:val="00790B09"/>
    <w:rsid w:val="00790FAC"/>
    <w:rsid w:val="00791104"/>
    <w:rsid w:val="00793782"/>
    <w:rsid w:val="007937E9"/>
    <w:rsid w:val="00794C91"/>
    <w:rsid w:val="007957F9"/>
    <w:rsid w:val="00795953"/>
    <w:rsid w:val="007A07BC"/>
    <w:rsid w:val="007A1B68"/>
    <w:rsid w:val="007A22A9"/>
    <w:rsid w:val="007A3786"/>
    <w:rsid w:val="007A4F84"/>
    <w:rsid w:val="007A54F0"/>
    <w:rsid w:val="007A75B1"/>
    <w:rsid w:val="007A7CC3"/>
    <w:rsid w:val="007B4A3D"/>
    <w:rsid w:val="007B4EE9"/>
    <w:rsid w:val="007B50A6"/>
    <w:rsid w:val="007B5186"/>
    <w:rsid w:val="007B5B9D"/>
    <w:rsid w:val="007B6BC4"/>
    <w:rsid w:val="007C1DAC"/>
    <w:rsid w:val="007C20B4"/>
    <w:rsid w:val="007C381E"/>
    <w:rsid w:val="007C39F8"/>
    <w:rsid w:val="007C3DA3"/>
    <w:rsid w:val="007C7C40"/>
    <w:rsid w:val="007C7F1D"/>
    <w:rsid w:val="007D2255"/>
    <w:rsid w:val="007D2961"/>
    <w:rsid w:val="007D2A57"/>
    <w:rsid w:val="007D30F6"/>
    <w:rsid w:val="007D3F2F"/>
    <w:rsid w:val="007D4191"/>
    <w:rsid w:val="007E0A8B"/>
    <w:rsid w:val="007E11B9"/>
    <w:rsid w:val="007E1288"/>
    <w:rsid w:val="007E1D94"/>
    <w:rsid w:val="007E2368"/>
    <w:rsid w:val="007E2A1F"/>
    <w:rsid w:val="007E2E18"/>
    <w:rsid w:val="007E2EA9"/>
    <w:rsid w:val="007E3C4A"/>
    <w:rsid w:val="007E4031"/>
    <w:rsid w:val="007E5F4E"/>
    <w:rsid w:val="007E5FD5"/>
    <w:rsid w:val="007E6DEB"/>
    <w:rsid w:val="007E73DF"/>
    <w:rsid w:val="007F01CB"/>
    <w:rsid w:val="007F15F5"/>
    <w:rsid w:val="007F2627"/>
    <w:rsid w:val="007F3C26"/>
    <w:rsid w:val="007F3ED6"/>
    <w:rsid w:val="007F43E9"/>
    <w:rsid w:val="007F6CB7"/>
    <w:rsid w:val="008002BA"/>
    <w:rsid w:val="008011FF"/>
    <w:rsid w:val="00801D26"/>
    <w:rsid w:val="00801F1F"/>
    <w:rsid w:val="008029BC"/>
    <w:rsid w:val="00803B00"/>
    <w:rsid w:val="008041DE"/>
    <w:rsid w:val="00804611"/>
    <w:rsid w:val="00810360"/>
    <w:rsid w:val="00811428"/>
    <w:rsid w:val="0081172D"/>
    <w:rsid w:val="00813060"/>
    <w:rsid w:val="00814AF4"/>
    <w:rsid w:val="00815AA4"/>
    <w:rsid w:val="00816AA6"/>
    <w:rsid w:val="008204A2"/>
    <w:rsid w:val="00820E6F"/>
    <w:rsid w:val="00821291"/>
    <w:rsid w:val="0082144D"/>
    <w:rsid w:val="00822C1C"/>
    <w:rsid w:val="008230FC"/>
    <w:rsid w:val="00823792"/>
    <w:rsid w:val="00824063"/>
    <w:rsid w:val="0082441A"/>
    <w:rsid w:val="00826B65"/>
    <w:rsid w:val="00826BEA"/>
    <w:rsid w:val="00830A4C"/>
    <w:rsid w:val="00830FC3"/>
    <w:rsid w:val="00831E50"/>
    <w:rsid w:val="008336A2"/>
    <w:rsid w:val="00833FB2"/>
    <w:rsid w:val="008355EA"/>
    <w:rsid w:val="008373D8"/>
    <w:rsid w:val="00837421"/>
    <w:rsid w:val="00837508"/>
    <w:rsid w:val="00840579"/>
    <w:rsid w:val="008415E3"/>
    <w:rsid w:val="0084166A"/>
    <w:rsid w:val="00841719"/>
    <w:rsid w:val="008418DC"/>
    <w:rsid w:val="00843010"/>
    <w:rsid w:val="008433CF"/>
    <w:rsid w:val="00843DE4"/>
    <w:rsid w:val="00843FFC"/>
    <w:rsid w:val="008446C0"/>
    <w:rsid w:val="00844E91"/>
    <w:rsid w:val="00845644"/>
    <w:rsid w:val="008456D8"/>
    <w:rsid w:val="00847826"/>
    <w:rsid w:val="00850AFF"/>
    <w:rsid w:val="00851A17"/>
    <w:rsid w:val="008525B2"/>
    <w:rsid w:val="00853731"/>
    <w:rsid w:val="0085414C"/>
    <w:rsid w:val="00857FC2"/>
    <w:rsid w:val="008612A9"/>
    <w:rsid w:val="008632BC"/>
    <w:rsid w:val="0086493E"/>
    <w:rsid w:val="00865CF5"/>
    <w:rsid w:val="0087027F"/>
    <w:rsid w:val="0087516F"/>
    <w:rsid w:val="00875A5A"/>
    <w:rsid w:val="008761B8"/>
    <w:rsid w:val="008761D9"/>
    <w:rsid w:val="008776B5"/>
    <w:rsid w:val="00877ACC"/>
    <w:rsid w:val="00877D5D"/>
    <w:rsid w:val="00880D4D"/>
    <w:rsid w:val="00881510"/>
    <w:rsid w:val="00884328"/>
    <w:rsid w:val="0088585A"/>
    <w:rsid w:val="00886F89"/>
    <w:rsid w:val="008872E2"/>
    <w:rsid w:val="00887B58"/>
    <w:rsid w:val="0089015B"/>
    <w:rsid w:val="00891292"/>
    <w:rsid w:val="0089219A"/>
    <w:rsid w:val="00893D5B"/>
    <w:rsid w:val="008941C5"/>
    <w:rsid w:val="00894579"/>
    <w:rsid w:val="00894C4D"/>
    <w:rsid w:val="008968E9"/>
    <w:rsid w:val="008A0873"/>
    <w:rsid w:val="008A12E7"/>
    <w:rsid w:val="008A1C93"/>
    <w:rsid w:val="008A2D08"/>
    <w:rsid w:val="008A3163"/>
    <w:rsid w:val="008A3881"/>
    <w:rsid w:val="008A407A"/>
    <w:rsid w:val="008A4941"/>
    <w:rsid w:val="008A5402"/>
    <w:rsid w:val="008A5ADA"/>
    <w:rsid w:val="008A6837"/>
    <w:rsid w:val="008A7C86"/>
    <w:rsid w:val="008B09D7"/>
    <w:rsid w:val="008B1036"/>
    <w:rsid w:val="008B1EFB"/>
    <w:rsid w:val="008B32A7"/>
    <w:rsid w:val="008B398D"/>
    <w:rsid w:val="008B4AC1"/>
    <w:rsid w:val="008B57A8"/>
    <w:rsid w:val="008B75F9"/>
    <w:rsid w:val="008B7A80"/>
    <w:rsid w:val="008C0D48"/>
    <w:rsid w:val="008C2125"/>
    <w:rsid w:val="008C2B5C"/>
    <w:rsid w:val="008C2B7E"/>
    <w:rsid w:val="008C2C15"/>
    <w:rsid w:val="008C3BC2"/>
    <w:rsid w:val="008C3FE7"/>
    <w:rsid w:val="008C6F28"/>
    <w:rsid w:val="008D121C"/>
    <w:rsid w:val="008D134C"/>
    <w:rsid w:val="008D24FF"/>
    <w:rsid w:val="008D2608"/>
    <w:rsid w:val="008D2F29"/>
    <w:rsid w:val="008D2FD5"/>
    <w:rsid w:val="008D5508"/>
    <w:rsid w:val="008D5C11"/>
    <w:rsid w:val="008D5C65"/>
    <w:rsid w:val="008D7EA6"/>
    <w:rsid w:val="008E00AD"/>
    <w:rsid w:val="008E03B4"/>
    <w:rsid w:val="008E24ED"/>
    <w:rsid w:val="008E26B9"/>
    <w:rsid w:val="008E51B7"/>
    <w:rsid w:val="008E5D74"/>
    <w:rsid w:val="008E6308"/>
    <w:rsid w:val="008E7459"/>
    <w:rsid w:val="008E7AC7"/>
    <w:rsid w:val="008F109E"/>
    <w:rsid w:val="008F13FA"/>
    <w:rsid w:val="008F19E2"/>
    <w:rsid w:val="008F1AD2"/>
    <w:rsid w:val="008F1C00"/>
    <w:rsid w:val="008F266D"/>
    <w:rsid w:val="008F2A25"/>
    <w:rsid w:val="008F3331"/>
    <w:rsid w:val="008F4ECC"/>
    <w:rsid w:val="008F61AD"/>
    <w:rsid w:val="008F61C4"/>
    <w:rsid w:val="008F6CE0"/>
    <w:rsid w:val="008F7396"/>
    <w:rsid w:val="008F79A4"/>
    <w:rsid w:val="008F7E38"/>
    <w:rsid w:val="0090137B"/>
    <w:rsid w:val="00901928"/>
    <w:rsid w:val="00901A3D"/>
    <w:rsid w:val="00901D19"/>
    <w:rsid w:val="00902C47"/>
    <w:rsid w:val="00902FF6"/>
    <w:rsid w:val="00903243"/>
    <w:rsid w:val="009037F9"/>
    <w:rsid w:val="00903AFC"/>
    <w:rsid w:val="00903B0F"/>
    <w:rsid w:val="009058C5"/>
    <w:rsid w:val="009068C8"/>
    <w:rsid w:val="009069D6"/>
    <w:rsid w:val="0090753B"/>
    <w:rsid w:val="00910878"/>
    <w:rsid w:val="0091173E"/>
    <w:rsid w:val="00911763"/>
    <w:rsid w:val="00911CA4"/>
    <w:rsid w:val="00914055"/>
    <w:rsid w:val="0091718D"/>
    <w:rsid w:val="00917628"/>
    <w:rsid w:val="00924267"/>
    <w:rsid w:val="00925755"/>
    <w:rsid w:val="009258CC"/>
    <w:rsid w:val="00925D41"/>
    <w:rsid w:val="0092687B"/>
    <w:rsid w:val="00927089"/>
    <w:rsid w:val="00930803"/>
    <w:rsid w:val="0093091E"/>
    <w:rsid w:val="00930A86"/>
    <w:rsid w:val="00931546"/>
    <w:rsid w:val="009315AF"/>
    <w:rsid w:val="009336F5"/>
    <w:rsid w:val="00934A8A"/>
    <w:rsid w:val="00935328"/>
    <w:rsid w:val="0093727C"/>
    <w:rsid w:val="00937D25"/>
    <w:rsid w:val="00937FBE"/>
    <w:rsid w:val="00940616"/>
    <w:rsid w:val="009413B2"/>
    <w:rsid w:val="0094200F"/>
    <w:rsid w:val="00943724"/>
    <w:rsid w:val="00943EAD"/>
    <w:rsid w:val="00944893"/>
    <w:rsid w:val="009448A3"/>
    <w:rsid w:val="0094532F"/>
    <w:rsid w:val="00946CF6"/>
    <w:rsid w:val="00947639"/>
    <w:rsid w:val="00947C5D"/>
    <w:rsid w:val="0095069D"/>
    <w:rsid w:val="009528A2"/>
    <w:rsid w:val="009538C7"/>
    <w:rsid w:val="00953E89"/>
    <w:rsid w:val="00954259"/>
    <w:rsid w:val="00955727"/>
    <w:rsid w:val="009614D4"/>
    <w:rsid w:val="009615E1"/>
    <w:rsid w:val="009616BC"/>
    <w:rsid w:val="00961889"/>
    <w:rsid w:val="0096207F"/>
    <w:rsid w:val="009622D2"/>
    <w:rsid w:val="00962A6A"/>
    <w:rsid w:val="009635C7"/>
    <w:rsid w:val="00963883"/>
    <w:rsid w:val="00963DA5"/>
    <w:rsid w:val="009667A5"/>
    <w:rsid w:val="00966FCF"/>
    <w:rsid w:val="00967046"/>
    <w:rsid w:val="009675EE"/>
    <w:rsid w:val="00971243"/>
    <w:rsid w:val="009732A1"/>
    <w:rsid w:val="00973DAA"/>
    <w:rsid w:val="0097552D"/>
    <w:rsid w:val="00975DEB"/>
    <w:rsid w:val="0097624C"/>
    <w:rsid w:val="00976343"/>
    <w:rsid w:val="009774A3"/>
    <w:rsid w:val="00977812"/>
    <w:rsid w:val="009805F2"/>
    <w:rsid w:val="00980973"/>
    <w:rsid w:val="00980F0D"/>
    <w:rsid w:val="0098261A"/>
    <w:rsid w:val="009827B2"/>
    <w:rsid w:val="00984930"/>
    <w:rsid w:val="00986505"/>
    <w:rsid w:val="00986EBC"/>
    <w:rsid w:val="009870AF"/>
    <w:rsid w:val="009879C7"/>
    <w:rsid w:val="009942A5"/>
    <w:rsid w:val="00994EB3"/>
    <w:rsid w:val="00995717"/>
    <w:rsid w:val="00995B32"/>
    <w:rsid w:val="00995D3E"/>
    <w:rsid w:val="00996A5E"/>
    <w:rsid w:val="00996AC9"/>
    <w:rsid w:val="00996AD3"/>
    <w:rsid w:val="00997C0D"/>
    <w:rsid w:val="009A04A8"/>
    <w:rsid w:val="009A1D30"/>
    <w:rsid w:val="009A2117"/>
    <w:rsid w:val="009A25DA"/>
    <w:rsid w:val="009A3584"/>
    <w:rsid w:val="009A42BD"/>
    <w:rsid w:val="009A4333"/>
    <w:rsid w:val="009A4813"/>
    <w:rsid w:val="009A5D0A"/>
    <w:rsid w:val="009A628D"/>
    <w:rsid w:val="009A62D1"/>
    <w:rsid w:val="009B3495"/>
    <w:rsid w:val="009B46F3"/>
    <w:rsid w:val="009C0D3E"/>
    <w:rsid w:val="009C13A9"/>
    <w:rsid w:val="009C2468"/>
    <w:rsid w:val="009C2B58"/>
    <w:rsid w:val="009C3666"/>
    <w:rsid w:val="009C3A41"/>
    <w:rsid w:val="009C40EF"/>
    <w:rsid w:val="009C48EE"/>
    <w:rsid w:val="009C6A75"/>
    <w:rsid w:val="009C732E"/>
    <w:rsid w:val="009C7A31"/>
    <w:rsid w:val="009D025E"/>
    <w:rsid w:val="009D157A"/>
    <w:rsid w:val="009D1E89"/>
    <w:rsid w:val="009D3C72"/>
    <w:rsid w:val="009D3F76"/>
    <w:rsid w:val="009D7055"/>
    <w:rsid w:val="009E183E"/>
    <w:rsid w:val="009E1A19"/>
    <w:rsid w:val="009E2139"/>
    <w:rsid w:val="009E319F"/>
    <w:rsid w:val="009E363E"/>
    <w:rsid w:val="009E470B"/>
    <w:rsid w:val="009E63BD"/>
    <w:rsid w:val="009E6EE8"/>
    <w:rsid w:val="009E7498"/>
    <w:rsid w:val="009F0C0C"/>
    <w:rsid w:val="009F1809"/>
    <w:rsid w:val="009F1B50"/>
    <w:rsid w:val="009F1B54"/>
    <w:rsid w:val="009F1B9A"/>
    <w:rsid w:val="009F29CE"/>
    <w:rsid w:val="009F3675"/>
    <w:rsid w:val="009F398B"/>
    <w:rsid w:val="009F3E19"/>
    <w:rsid w:val="009F4DEA"/>
    <w:rsid w:val="009F4F31"/>
    <w:rsid w:val="009F52D9"/>
    <w:rsid w:val="009F642E"/>
    <w:rsid w:val="009F7329"/>
    <w:rsid w:val="00A00E58"/>
    <w:rsid w:val="00A012BC"/>
    <w:rsid w:val="00A01308"/>
    <w:rsid w:val="00A014D4"/>
    <w:rsid w:val="00A01DB8"/>
    <w:rsid w:val="00A02D3E"/>
    <w:rsid w:val="00A02E28"/>
    <w:rsid w:val="00A040C6"/>
    <w:rsid w:val="00A04850"/>
    <w:rsid w:val="00A0619C"/>
    <w:rsid w:val="00A06CEC"/>
    <w:rsid w:val="00A07DE6"/>
    <w:rsid w:val="00A104E3"/>
    <w:rsid w:val="00A11759"/>
    <w:rsid w:val="00A12356"/>
    <w:rsid w:val="00A14A3A"/>
    <w:rsid w:val="00A14F7B"/>
    <w:rsid w:val="00A151FE"/>
    <w:rsid w:val="00A15D4D"/>
    <w:rsid w:val="00A16690"/>
    <w:rsid w:val="00A16748"/>
    <w:rsid w:val="00A167FC"/>
    <w:rsid w:val="00A174D5"/>
    <w:rsid w:val="00A17B2A"/>
    <w:rsid w:val="00A20258"/>
    <w:rsid w:val="00A2046F"/>
    <w:rsid w:val="00A2073E"/>
    <w:rsid w:val="00A21D74"/>
    <w:rsid w:val="00A22998"/>
    <w:rsid w:val="00A23DA0"/>
    <w:rsid w:val="00A240BC"/>
    <w:rsid w:val="00A2468B"/>
    <w:rsid w:val="00A24E4C"/>
    <w:rsid w:val="00A25015"/>
    <w:rsid w:val="00A26CDA"/>
    <w:rsid w:val="00A26ED8"/>
    <w:rsid w:val="00A31C24"/>
    <w:rsid w:val="00A31E1B"/>
    <w:rsid w:val="00A33E33"/>
    <w:rsid w:val="00A358D5"/>
    <w:rsid w:val="00A35901"/>
    <w:rsid w:val="00A35CE6"/>
    <w:rsid w:val="00A35D13"/>
    <w:rsid w:val="00A377FA"/>
    <w:rsid w:val="00A379E7"/>
    <w:rsid w:val="00A40841"/>
    <w:rsid w:val="00A4153D"/>
    <w:rsid w:val="00A4271F"/>
    <w:rsid w:val="00A43F3C"/>
    <w:rsid w:val="00A44AC2"/>
    <w:rsid w:val="00A455C7"/>
    <w:rsid w:val="00A45A5D"/>
    <w:rsid w:val="00A46FFC"/>
    <w:rsid w:val="00A5038C"/>
    <w:rsid w:val="00A50F11"/>
    <w:rsid w:val="00A52415"/>
    <w:rsid w:val="00A525C5"/>
    <w:rsid w:val="00A5301C"/>
    <w:rsid w:val="00A5358D"/>
    <w:rsid w:val="00A535DE"/>
    <w:rsid w:val="00A53A13"/>
    <w:rsid w:val="00A547C6"/>
    <w:rsid w:val="00A54EF9"/>
    <w:rsid w:val="00A56366"/>
    <w:rsid w:val="00A56F16"/>
    <w:rsid w:val="00A57982"/>
    <w:rsid w:val="00A60727"/>
    <w:rsid w:val="00A60E37"/>
    <w:rsid w:val="00A610BD"/>
    <w:rsid w:val="00A61699"/>
    <w:rsid w:val="00A6196F"/>
    <w:rsid w:val="00A646F2"/>
    <w:rsid w:val="00A6484E"/>
    <w:rsid w:val="00A64FDC"/>
    <w:rsid w:val="00A6678B"/>
    <w:rsid w:val="00A667BC"/>
    <w:rsid w:val="00A669D0"/>
    <w:rsid w:val="00A66FB3"/>
    <w:rsid w:val="00A71E4D"/>
    <w:rsid w:val="00A71FF0"/>
    <w:rsid w:val="00A727D8"/>
    <w:rsid w:val="00A746FA"/>
    <w:rsid w:val="00A74B09"/>
    <w:rsid w:val="00A74BA8"/>
    <w:rsid w:val="00A76137"/>
    <w:rsid w:val="00A764BB"/>
    <w:rsid w:val="00A77DA6"/>
    <w:rsid w:val="00A8005B"/>
    <w:rsid w:val="00A83A54"/>
    <w:rsid w:val="00A84512"/>
    <w:rsid w:val="00A8532D"/>
    <w:rsid w:val="00A85C3D"/>
    <w:rsid w:val="00A86379"/>
    <w:rsid w:val="00A867CE"/>
    <w:rsid w:val="00A90B64"/>
    <w:rsid w:val="00A90F88"/>
    <w:rsid w:val="00A91702"/>
    <w:rsid w:val="00A936D2"/>
    <w:rsid w:val="00A938EB"/>
    <w:rsid w:val="00A94102"/>
    <w:rsid w:val="00A9523F"/>
    <w:rsid w:val="00A953D4"/>
    <w:rsid w:val="00A95D65"/>
    <w:rsid w:val="00A9660C"/>
    <w:rsid w:val="00A970F9"/>
    <w:rsid w:val="00A9727A"/>
    <w:rsid w:val="00AA0C8A"/>
    <w:rsid w:val="00AA2D9E"/>
    <w:rsid w:val="00AA3519"/>
    <w:rsid w:val="00AA4542"/>
    <w:rsid w:val="00AA5614"/>
    <w:rsid w:val="00AA5633"/>
    <w:rsid w:val="00AA6581"/>
    <w:rsid w:val="00AA6660"/>
    <w:rsid w:val="00AA6D97"/>
    <w:rsid w:val="00AB0F3C"/>
    <w:rsid w:val="00AB18EA"/>
    <w:rsid w:val="00AB1EBE"/>
    <w:rsid w:val="00AB2265"/>
    <w:rsid w:val="00AB2748"/>
    <w:rsid w:val="00AB2818"/>
    <w:rsid w:val="00AB3847"/>
    <w:rsid w:val="00AB38CE"/>
    <w:rsid w:val="00AB4321"/>
    <w:rsid w:val="00AB5CA0"/>
    <w:rsid w:val="00AB6D23"/>
    <w:rsid w:val="00AC00ED"/>
    <w:rsid w:val="00AC2B23"/>
    <w:rsid w:val="00AC39F0"/>
    <w:rsid w:val="00AC3F9A"/>
    <w:rsid w:val="00AC5510"/>
    <w:rsid w:val="00AC5CC1"/>
    <w:rsid w:val="00AC658E"/>
    <w:rsid w:val="00AC6621"/>
    <w:rsid w:val="00AD0020"/>
    <w:rsid w:val="00AD0736"/>
    <w:rsid w:val="00AD0A30"/>
    <w:rsid w:val="00AD0BF7"/>
    <w:rsid w:val="00AD0DF4"/>
    <w:rsid w:val="00AD176C"/>
    <w:rsid w:val="00AD18F9"/>
    <w:rsid w:val="00AD249E"/>
    <w:rsid w:val="00AD352C"/>
    <w:rsid w:val="00AD3773"/>
    <w:rsid w:val="00AD3E75"/>
    <w:rsid w:val="00AD5D50"/>
    <w:rsid w:val="00AD768F"/>
    <w:rsid w:val="00AD76BF"/>
    <w:rsid w:val="00AE0DE6"/>
    <w:rsid w:val="00AE2BF1"/>
    <w:rsid w:val="00AE3640"/>
    <w:rsid w:val="00AE3F86"/>
    <w:rsid w:val="00AE4667"/>
    <w:rsid w:val="00AE4E9D"/>
    <w:rsid w:val="00AE58CD"/>
    <w:rsid w:val="00AE65C4"/>
    <w:rsid w:val="00AE6FFC"/>
    <w:rsid w:val="00AE7B53"/>
    <w:rsid w:val="00AF03FB"/>
    <w:rsid w:val="00AF0659"/>
    <w:rsid w:val="00AF190A"/>
    <w:rsid w:val="00AF353E"/>
    <w:rsid w:val="00AF4AE5"/>
    <w:rsid w:val="00AF4C79"/>
    <w:rsid w:val="00AF5985"/>
    <w:rsid w:val="00B006DB"/>
    <w:rsid w:val="00B012F3"/>
    <w:rsid w:val="00B021F4"/>
    <w:rsid w:val="00B0223D"/>
    <w:rsid w:val="00B02D51"/>
    <w:rsid w:val="00B030F8"/>
    <w:rsid w:val="00B0363E"/>
    <w:rsid w:val="00B04264"/>
    <w:rsid w:val="00B04291"/>
    <w:rsid w:val="00B04711"/>
    <w:rsid w:val="00B0625C"/>
    <w:rsid w:val="00B065DF"/>
    <w:rsid w:val="00B0682F"/>
    <w:rsid w:val="00B079AF"/>
    <w:rsid w:val="00B1298D"/>
    <w:rsid w:val="00B1384D"/>
    <w:rsid w:val="00B15090"/>
    <w:rsid w:val="00B15951"/>
    <w:rsid w:val="00B16341"/>
    <w:rsid w:val="00B165F6"/>
    <w:rsid w:val="00B165F7"/>
    <w:rsid w:val="00B17374"/>
    <w:rsid w:val="00B17F06"/>
    <w:rsid w:val="00B238CB"/>
    <w:rsid w:val="00B239F2"/>
    <w:rsid w:val="00B24980"/>
    <w:rsid w:val="00B2613D"/>
    <w:rsid w:val="00B267B5"/>
    <w:rsid w:val="00B2696E"/>
    <w:rsid w:val="00B27DE2"/>
    <w:rsid w:val="00B307EF"/>
    <w:rsid w:val="00B3156B"/>
    <w:rsid w:val="00B3315E"/>
    <w:rsid w:val="00B33A01"/>
    <w:rsid w:val="00B33A41"/>
    <w:rsid w:val="00B35C66"/>
    <w:rsid w:val="00B405CE"/>
    <w:rsid w:val="00B413A5"/>
    <w:rsid w:val="00B41586"/>
    <w:rsid w:val="00B430B9"/>
    <w:rsid w:val="00B4337C"/>
    <w:rsid w:val="00B45E42"/>
    <w:rsid w:val="00B50368"/>
    <w:rsid w:val="00B51484"/>
    <w:rsid w:val="00B51D33"/>
    <w:rsid w:val="00B534F4"/>
    <w:rsid w:val="00B54011"/>
    <w:rsid w:val="00B54C65"/>
    <w:rsid w:val="00B563E6"/>
    <w:rsid w:val="00B56EBB"/>
    <w:rsid w:val="00B56F4C"/>
    <w:rsid w:val="00B570E3"/>
    <w:rsid w:val="00B5757A"/>
    <w:rsid w:val="00B57D82"/>
    <w:rsid w:val="00B6033F"/>
    <w:rsid w:val="00B60D03"/>
    <w:rsid w:val="00B60D5F"/>
    <w:rsid w:val="00B61A40"/>
    <w:rsid w:val="00B628FA"/>
    <w:rsid w:val="00B6381D"/>
    <w:rsid w:val="00B6459E"/>
    <w:rsid w:val="00B65E04"/>
    <w:rsid w:val="00B66648"/>
    <w:rsid w:val="00B66E8F"/>
    <w:rsid w:val="00B6729C"/>
    <w:rsid w:val="00B70293"/>
    <w:rsid w:val="00B70FC2"/>
    <w:rsid w:val="00B722AB"/>
    <w:rsid w:val="00B72823"/>
    <w:rsid w:val="00B73D19"/>
    <w:rsid w:val="00B74390"/>
    <w:rsid w:val="00B75A70"/>
    <w:rsid w:val="00B760BB"/>
    <w:rsid w:val="00B761F2"/>
    <w:rsid w:val="00B769C2"/>
    <w:rsid w:val="00B8070E"/>
    <w:rsid w:val="00B80F57"/>
    <w:rsid w:val="00B814B8"/>
    <w:rsid w:val="00B81C6D"/>
    <w:rsid w:val="00B82B38"/>
    <w:rsid w:val="00B82C8E"/>
    <w:rsid w:val="00B82F01"/>
    <w:rsid w:val="00B86957"/>
    <w:rsid w:val="00B9093D"/>
    <w:rsid w:val="00B909CF"/>
    <w:rsid w:val="00B90A00"/>
    <w:rsid w:val="00B92309"/>
    <w:rsid w:val="00B92395"/>
    <w:rsid w:val="00B93114"/>
    <w:rsid w:val="00B95396"/>
    <w:rsid w:val="00B956B5"/>
    <w:rsid w:val="00B9641A"/>
    <w:rsid w:val="00BA0485"/>
    <w:rsid w:val="00BA0670"/>
    <w:rsid w:val="00BA095D"/>
    <w:rsid w:val="00BA1181"/>
    <w:rsid w:val="00BA2A05"/>
    <w:rsid w:val="00BA60E9"/>
    <w:rsid w:val="00BA6806"/>
    <w:rsid w:val="00BB1E7F"/>
    <w:rsid w:val="00BB2312"/>
    <w:rsid w:val="00BB3A91"/>
    <w:rsid w:val="00BB3D8E"/>
    <w:rsid w:val="00BB70D1"/>
    <w:rsid w:val="00BB7B04"/>
    <w:rsid w:val="00BB7C3F"/>
    <w:rsid w:val="00BC0C4F"/>
    <w:rsid w:val="00BC4D9C"/>
    <w:rsid w:val="00BC63D4"/>
    <w:rsid w:val="00BC7661"/>
    <w:rsid w:val="00BD3403"/>
    <w:rsid w:val="00BD3872"/>
    <w:rsid w:val="00BD4F1D"/>
    <w:rsid w:val="00BE2487"/>
    <w:rsid w:val="00BE2EE8"/>
    <w:rsid w:val="00BE4DE6"/>
    <w:rsid w:val="00BE7CE4"/>
    <w:rsid w:val="00BF049A"/>
    <w:rsid w:val="00BF0D6E"/>
    <w:rsid w:val="00BF3595"/>
    <w:rsid w:val="00BF43F6"/>
    <w:rsid w:val="00BF58F6"/>
    <w:rsid w:val="00BF5E65"/>
    <w:rsid w:val="00BF6FF9"/>
    <w:rsid w:val="00BF7908"/>
    <w:rsid w:val="00BF7CC1"/>
    <w:rsid w:val="00BF7ECB"/>
    <w:rsid w:val="00C00B6D"/>
    <w:rsid w:val="00C01A86"/>
    <w:rsid w:val="00C01A94"/>
    <w:rsid w:val="00C036E3"/>
    <w:rsid w:val="00C0534F"/>
    <w:rsid w:val="00C05B51"/>
    <w:rsid w:val="00C05BD4"/>
    <w:rsid w:val="00C05CA2"/>
    <w:rsid w:val="00C07595"/>
    <w:rsid w:val="00C076AB"/>
    <w:rsid w:val="00C1044D"/>
    <w:rsid w:val="00C13278"/>
    <w:rsid w:val="00C14847"/>
    <w:rsid w:val="00C1490B"/>
    <w:rsid w:val="00C1740E"/>
    <w:rsid w:val="00C209A2"/>
    <w:rsid w:val="00C20E00"/>
    <w:rsid w:val="00C213FE"/>
    <w:rsid w:val="00C22BDF"/>
    <w:rsid w:val="00C22E94"/>
    <w:rsid w:val="00C22EEA"/>
    <w:rsid w:val="00C24D40"/>
    <w:rsid w:val="00C253AA"/>
    <w:rsid w:val="00C26BCA"/>
    <w:rsid w:val="00C26EBD"/>
    <w:rsid w:val="00C34F3E"/>
    <w:rsid w:val="00C36F08"/>
    <w:rsid w:val="00C40483"/>
    <w:rsid w:val="00C408A4"/>
    <w:rsid w:val="00C413F3"/>
    <w:rsid w:val="00C41535"/>
    <w:rsid w:val="00C421C8"/>
    <w:rsid w:val="00C42516"/>
    <w:rsid w:val="00C44D3C"/>
    <w:rsid w:val="00C45ABB"/>
    <w:rsid w:val="00C50120"/>
    <w:rsid w:val="00C509E3"/>
    <w:rsid w:val="00C50DA9"/>
    <w:rsid w:val="00C50E46"/>
    <w:rsid w:val="00C5222B"/>
    <w:rsid w:val="00C5225E"/>
    <w:rsid w:val="00C52DCC"/>
    <w:rsid w:val="00C5514F"/>
    <w:rsid w:val="00C551C2"/>
    <w:rsid w:val="00C55ACE"/>
    <w:rsid w:val="00C6177E"/>
    <w:rsid w:val="00C61B17"/>
    <w:rsid w:val="00C62043"/>
    <w:rsid w:val="00C62373"/>
    <w:rsid w:val="00C62508"/>
    <w:rsid w:val="00C62D50"/>
    <w:rsid w:val="00C67B25"/>
    <w:rsid w:val="00C7029E"/>
    <w:rsid w:val="00C712D1"/>
    <w:rsid w:val="00C713F3"/>
    <w:rsid w:val="00C73999"/>
    <w:rsid w:val="00C77CDB"/>
    <w:rsid w:val="00C81966"/>
    <w:rsid w:val="00C825ED"/>
    <w:rsid w:val="00C83149"/>
    <w:rsid w:val="00C8379C"/>
    <w:rsid w:val="00C84555"/>
    <w:rsid w:val="00C859BD"/>
    <w:rsid w:val="00C85C55"/>
    <w:rsid w:val="00C8674F"/>
    <w:rsid w:val="00C903F8"/>
    <w:rsid w:val="00C919D5"/>
    <w:rsid w:val="00C92875"/>
    <w:rsid w:val="00C92BD2"/>
    <w:rsid w:val="00C973E6"/>
    <w:rsid w:val="00CA1BCB"/>
    <w:rsid w:val="00CA2865"/>
    <w:rsid w:val="00CA40AB"/>
    <w:rsid w:val="00CA6E56"/>
    <w:rsid w:val="00CA7493"/>
    <w:rsid w:val="00CA7A6A"/>
    <w:rsid w:val="00CB03D0"/>
    <w:rsid w:val="00CB1C9C"/>
    <w:rsid w:val="00CB2AB9"/>
    <w:rsid w:val="00CB331B"/>
    <w:rsid w:val="00CB42C8"/>
    <w:rsid w:val="00CB4403"/>
    <w:rsid w:val="00CB46B8"/>
    <w:rsid w:val="00CB6B47"/>
    <w:rsid w:val="00CB6F16"/>
    <w:rsid w:val="00CC1FBB"/>
    <w:rsid w:val="00CC355E"/>
    <w:rsid w:val="00CC3810"/>
    <w:rsid w:val="00CC5991"/>
    <w:rsid w:val="00CC63E4"/>
    <w:rsid w:val="00CC6BC0"/>
    <w:rsid w:val="00CD00A1"/>
    <w:rsid w:val="00CD00A7"/>
    <w:rsid w:val="00CD1CE4"/>
    <w:rsid w:val="00CD247D"/>
    <w:rsid w:val="00CD2A33"/>
    <w:rsid w:val="00CD35C5"/>
    <w:rsid w:val="00CD383A"/>
    <w:rsid w:val="00CD5388"/>
    <w:rsid w:val="00CD654F"/>
    <w:rsid w:val="00CE138A"/>
    <w:rsid w:val="00CE1CF7"/>
    <w:rsid w:val="00CE26A4"/>
    <w:rsid w:val="00CE2A05"/>
    <w:rsid w:val="00CE2B61"/>
    <w:rsid w:val="00CE3053"/>
    <w:rsid w:val="00CE374D"/>
    <w:rsid w:val="00CE39BD"/>
    <w:rsid w:val="00CE3DCA"/>
    <w:rsid w:val="00CE3F9F"/>
    <w:rsid w:val="00CE405E"/>
    <w:rsid w:val="00CE452F"/>
    <w:rsid w:val="00CE497A"/>
    <w:rsid w:val="00CF24C2"/>
    <w:rsid w:val="00CF2764"/>
    <w:rsid w:val="00CF356B"/>
    <w:rsid w:val="00CF42AA"/>
    <w:rsid w:val="00CF4561"/>
    <w:rsid w:val="00CF4770"/>
    <w:rsid w:val="00CF4CA9"/>
    <w:rsid w:val="00CF5E0F"/>
    <w:rsid w:val="00CF6849"/>
    <w:rsid w:val="00CF6BAA"/>
    <w:rsid w:val="00CF6DA5"/>
    <w:rsid w:val="00D03A68"/>
    <w:rsid w:val="00D043A7"/>
    <w:rsid w:val="00D052FA"/>
    <w:rsid w:val="00D1009D"/>
    <w:rsid w:val="00D101D1"/>
    <w:rsid w:val="00D11A51"/>
    <w:rsid w:val="00D13599"/>
    <w:rsid w:val="00D1381D"/>
    <w:rsid w:val="00D14634"/>
    <w:rsid w:val="00D15054"/>
    <w:rsid w:val="00D170C0"/>
    <w:rsid w:val="00D17D4D"/>
    <w:rsid w:val="00D20B98"/>
    <w:rsid w:val="00D2125E"/>
    <w:rsid w:val="00D21324"/>
    <w:rsid w:val="00D229DB"/>
    <w:rsid w:val="00D2321E"/>
    <w:rsid w:val="00D24A21"/>
    <w:rsid w:val="00D24BFE"/>
    <w:rsid w:val="00D255D3"/>
    <w:rsid w:val="00D2598D"/>
    <w:rsid w:val="00D2603A"/>
    <w:rsid w:val="00D275BC"/>
    <w:rsid w:val="00D302B4"/>
    <w:rsid w:val="00D30332"/>
    <w:rsid w:val="00D30C93"/>
    <w:rsid w:val="00D321F1"/>
    <w:rsid w:val="00D329B3"/>
    <w:rsid w:val="00D33F1C"/>
    <w:rsid w:val="00D34747"/>
    <w:rsid w:val="00D376CF"/>
    <w:rsid w:val="00D429D9"/>
    <w:rsid w:val="00D45887"/>
    <w:rsid w:val="00D46600"/>
    <w:rsid w:val="00D47C81"/>
    <w:rsid w:val="00D5230C"/>
    <w:rsid w:val="00D52D51"/>
    <w:rsid w:val="00D52D91"/>
    <w:rsid w:val="00D5367C"/>
    <w:rsid w:val="00D542D3"/>
    <w:rsid w:val="00D55E4A"/>
    <w:rsid w:val="00D5731E"/>
    <w:rsid w:val="00D639C2"/>
    <w:rsid w:val="00D64000"/>
    <w:rsid w:val="00D6489E"/>
    <w:rsid w:val="00D653B7"/>
    <w:rsid w:val="00D66948"/>
    <w:rsid w:val="00D71B1A"/>
    <w:rsid w:val="00D740C8"/>
    <w:rsid w:val="00D74433"/>
    <w:rsid w:val="00D750D4"/>
    <w:rsid w:val="00D80B34"/>
    <w:rsid w:val="00D81C05"/>
    <w:rsid w:val="00D81FCA"/>
    <w:rsid w:val="00D83801"/>
    <w:rsid w:val="00D84823"/>
    <w:rsid w:val="00D857F8"/>
    <w:rsid w:val="00D858AA"/>
    <w:rsid w:val="00D85981"/>
    <w:rsid w:val="00D85F67"/>
    <w:rsid w:val="00D86408"/>
    <w:rsid w:val="00D87E14"/>
    <w:rsid w:val="00D90C81"/>
    <w:rsid w:val="00D93FF7"/>
    <w:rsid w:val="00D94043"/>
    <w:rsid w:val="00D94C10"/>
    <w:rsid w:val="00D95E4A"/>
    <w:rsid w:val="00D96486"/>
    <w:rsid w:val="00DA0D55"/>
    <w:rsid w:val="00DA132B"/>
    <w:rsid w:val="00DA19EF"/>
    <w:rsid w:val="00DA2B2D"/>
    <w:rsid w:val="00DA3E23"/>
    <w:rsid w:val="00DA4114"/>
    <w:rsid w:val="00DA47A0"/>
    <w:rsid w:val="00DA53FD"/>
    <w:rsid w:val="00DA5DCE"/>
    <w:rsid w:val="00DA647E"/>
    <w:rsid w:val="00DA7C23"/>
    <w:rsid w:val="00DB01FA"/>
    <w:rsid w:val="00DB089C"/>
    <w:rsid w:val="00DB0A19"/>
    <w:rsid w:val="00DB3812"/>
    <w:rsid w:val="00DB419A"/>
    <w:rsid w:val="00DB447C"/>
    <w:rsid w:val="00DB5653"/>
    <w:rsid w:val="00DB6111"/>
    <w:rsid w:val="00DB6EC2"/>
    <w:rsid w:val="00DB7EFD"/>
    <w:rsid w:val="00DC065B"/>
    <w:rsid w:val="00DC11E8"/>
    <w:rsid w:val="00DC3959"/>
    <w:rsid w:val="00DC4D54"/>
    <w:rsid w:val="00DC50ED"/>
    <w:rsid w:val="00DC64E2"/>
    <w:rsid w:val="00DC7384"/>
    <w:rsid w:val="00DD1033"/>
    <w:rsid w:val="00DD1826"/>
    <w:rsid w:val="00DD2FE8"/>
    <w:rsid w:val="00DD3260"/>
    <w:rsid w:val="00DD3335"/>
    <w:rsid w:val="00DD4D9C"/>
    <w:rsid w:val="00DD58BC"/>
    <w:rsid w:val="00DD67C0"/>
    <w:rsid w:val="00DD67E3"/>
    <w:rsid w:val="00DD7924"/>
    <w:rsid w:val="00DD7C92"/>
    <w:rsid w:val="00DE01A2"/>
    <w:rsid w:val="00DE21D8"/>
    <w:rsid w:val="00DE2419"/>
    <w:rsid w:val="00DE404B"/>
    <w:rsid w:val="00DE4362"/>
    <w:rsid w:val="00DE4417"/>
    <w:rsid w:val="00DE454B"/>
    <w:rsid w:val="00DE524A"/>
    <w:rsid w:val="00DE66D2"/>
    <w:rsid w:val="00DE69C7"/>
    <w:rsid w:val="00DF02F2"/>
    <w:rsid w:val="00DF0694"/>
    <w:rsid w:val="00DF0B9E"/>
    <w:rsid w:val="00DF19D3"/>
    <w:rsid w:val="00DF2560"/>
    <w:rsid w:val="00DF5C3B"/>
    <w:rsid w:val="00DF6200"/>
    <w:rsid w:val="00DF6838"/>
    <w:rsid w:val="00E0003E"/>
    <w:rsid w:val="00E000F9"/>
    <w:rsid w:val="00E004CF"/>
    <w:rsid w:val="00E0050D"/>
    <w:rsid w:val="00E00F5E"/>
    <w:rsid w:val="00E01453"/>
    <w:rsid w:val="00E02548"/>
    <w:rsid w:val="00E02B7F"/>
    <w:rsid w:val="00E0338E"/>
    <w:rsid w:val="00E04086"/>
    <w:rsid w:val="00E04714"/>
    <w:rsid w:val="00E1027C"/>
    <w:rsid w:val="00E1060C"/>
    <w:rsid w:val="00E113D0"/>
    <w:rsid w:val="00E11F4C"/>
    <w:rsid w:val="00E1635F"/>
    <w:rsid w:val="00E17E0C"/>
    <w:rsid w:val="00E17E96"/>
    <w:rsid w:val="00E22349"/>
    <w:rsid w:val="00E223C8"/>
    <w:rsid w:val="00E23CED"/>
    <w:rsid w:val="00E24808"/>
    <w:rsid w:val="00E24BA6"/>
    <w:rsid w:val="00E24BFD"/>
    <w:rsid w:val="00E26B8F"/>
    <w:rsid w:val="00E30D59"/>
    <w:rsid w:val="00E3172D"/>
    <w:rsid w:val="00E31A5D"/>
    <w:rsid w:val="00E31D91"/>
    <w:rsid w:val="00E31E3E"/>
    <w:rsid w:val="00E32E30"/>
    <w:rsid w:val="00E35772"/>
    <w:rsid w:val="00E357FD"/>
    <w:rsid w:val="00E3601E"/>
    <w:rsid w:val="00E36B0E"/>
    <w:rsid w:val="00E370BE"/>
    <w:rsid w:val="00E41D8E"/>
    <w:rsid w:val="00E43E4C"/>
    <w:rsid w:val="00E44793"/>
    <w:rsid w:val="00E45F42"/>
    <w:rsid w:val="00E46F58"/>
    <w:rsid w:val="00E47CBC"/>
    <w:rsid w:val="00E5028E"/>
    <w:rsid w:val="00E51316"/>
    <w:rsid w:val="00E52B0E"/>
    <w:rsid w:val="00E53EE2"/>
    <w:rsid w:val="00E54523"/>
    <w:rsid w:val="00E54654"/>
    <w:rsid w:val="00E5665A"/>
    <w:rsid w:val="00E56841"/>
    <w:rsid w:val="00E56A84"/>
    <w:rsid w:val="00E60D45"/>
    <w:rsid w:val="00E61447"/>
    <w:rsid w:val="00E6144D"/>
    <w:rsid w:val="00E61C17"/>
    <w:rsid w:val="00E61D20"/>
    <w:rsid w:val="00E630F7"/>
    <w:rsid w:val="00E64406"/>
    <w:rsid w:val="00E65F26"/>
    <w:rsid w:val="00E66500"/>
    <w:rsid w:val="00E66C5C"/>
    <w:rsid w:val="00E67DA4"/>
    <w:rsid w:val="00E75A70"/>
    <w:rsid w:val="00E767BB"/>
    <w:rsid w:val="00E777ED"/>
    <w:rsid w:val="00E77F1F"/>
    <w:rsid w:val="00E834CD"/>
    <w:rsid w:val="00E836FE"/>
    <w:rsid w:val="00E846E9"/>
    <w:rsid w:val="00E852A7"/>
    <w:rsid w:val="00E865A1"/>
    <w:rsid w:val="00E86B69"/>
    <w:rsid w:val="00E87BD8"/>
    <w:rsid w:val="00E90895"/>
    <w:rsid w:val="00E91938"/>
    <w:rsid w:val="00E9195A"/>
    <w:rsid w:val="00E92F73"/>
    <w:rsid w:val="00E959CB"/>
    <w:rsid w:val="00E9735B"/>
    <w:rsid w:val="00E976ED"/>
    <w:rsid w:val="00EA03BA"/>
    <w:rsid w:val="00EA1478"/>
    <w:rsid w:val="00EA2183"/>
    <w:rsid w:val="00EA62EB"/>
    <w:rsid w:val="00EA770F"/>
    <w:rsid w:val="00EB3292"/>
    <w:rsid w:val="00EB36FC"/>
    <w:rsid w:val="00EB50AB"/>
    <w:rsid w:val="00EB56AC"/>
    <w:rsid w:val="00EB5848"/>
    <w:rsid w:val="00EB6D1A"/>
    <w:rsid w:val="00EB78D3"/>
    <w:rsid w:val="00EB7F5F"/>
    <w:rsid w:val="00EC07E8"/>
    <w:rsid w:val="00EC0A82"/>
    <w:rsid w:val="00EC0E7D"/>
    <w:rsid w:val="00EC1301"/>
    <w:rsid w:val="00EC2B81"/>
    <w:rsid w:val="00EC68C9"/>
    <w:rsid w:val="00ED0C30"/>
    <w:rsid w:val="00ED1418"/>
    <w:rsid w:val="00ED1CB3"/>
    <w:rsid w:val="00ED1EFF"/>
    <w:rsid w:val="00ED22AF"/>
    <w:rsid w:val="00ED26E0"/>
    <w:rsid w:val="00ED26ED"/>
    <w:rsid w:val="00ED2F51"/>
    <w:rsid w:val="00ED32CF"/>
    <w:rsid w:val="00ED3ED8"/>
    <w:rsid w:val="00ED4701"/>
    <w:rsid w:val="00ED4C15"/>
    <w:rsid w:val="00ED7069"/>
    <w:rsid w:val="00EE0BE4"/>
    <w:rsid w:val="00EE1038"/>
    <w:rsid w:val="00EE2CD3"/>
    <w:rsid w:val="00EE3555"/>
    <w:rsid w:val="00EE4183"/>
    <w:rsid w:val="00EE4E3D"/>
    <w:rsid w:val="00EE5AAD"/>
    <w:rsid w:val="00EE658F"/>
    <w:rsid w:val="00EE69C0"/>
    <w:rsid w:val="00EE7E64"/>
    <w:rsid w:val="00EF09D4"/>
    <w:rsid w:val="00EF2D8E"/>
    <w:rsid w:val="00EF2F61"/>
    <w:rsid w:val="00EF32EE"/>
    <w:rsid w:val="00EF34B7"/>
    <w:rsid w:val="00EF49C3"/>
    <w:rsid w:val="00EF4E24"/>
    <w:rsid w:val="00F01F72"/>
    <w:rsid w:val="00F02F7A"/>
    <w:rsid w:val="00F0412C"/>
    <w:rsid w:val="00F0431F"/>
    <w:rsid w:val="00F04611"/>
    <w:rsid w:val="00F0492F"/>
    <w:rsid w:val="00F04CAF"/>
    <w:rsid w:val="00F06174"/>
    <w:rsid w:val="00F11663"/>
    <w:rsid w:val="00F11EA9"/>
    <w:rsid w:val="00F12269"/>
    <w:rsid w:val="00F1380E"/>
    <w:rsid w:val="00F13BF9"/>
    <w:rsid w:val="00F14E8B"/>
    <w:rsid w:val="00F15337"/>
    <w:rsid w:val="00F15601"/>
    <w:rsid w:val="00F164D6"/>
    <w:rsid w:val="00F22A09"/>
    <w:rsid w:val="00F244EB"/>
    <w:rsid w:val="00F25585"/>
    <w:rsid w:val="00F26734"/>
    <w:rsid w:val="00F30085"/>
    <w:rsid w:val="00F33226"/>
    <w:rsid w:val="00F33F55"/>
    <w:rsid w:val="00F35B3D"/>
    <w:rsid w:val="00F36844"/>
    <w:rsid w:val="00F37017"/>
    <w:rsid w:val="00F40BDA"/>
    <w:rsid w:val="00F41CBD"/>
    <w:rsid w:val="00F421ED"/>
    <w:rsid w:val="00F424D4"/>
    <w:rsid w:val="00F44F66"/>
    <w:rsid w:val="00F451B9"/>
    <w:rsid w:val="00F452A9"/>
    <w:rsid w:val="00F46634"/>
    <w:rsid w:val="00F46772"/>
    <w:rsid w:val="00F46C3C"/>
    <w:rsid w:val="00F47726"/>
    <w:rsid w:val="00F50AA4"/>
    <w:rsid w:val="00F50FB5"/>
    <w:rsid w:val="00F51060"/>
    <w:rsid w:val="00F51304"/>
    <w:rsid w:val="00F5473D"/>
    <w:rsid w:val="00F548A5"/>
    <w:rsid w:val="00F551E2"/>
    <w:rsid w:val="00F55D2A"/>
    <w:rsid w:val="00F601C0"/>
    <w:rsid w:val="00F611DE"/>
    <w:rsid w:val="00F6236E"/>
    <w:rsid w:val="00F62C54"/>
    <w:rsid w:val="00F6371D"/>
    <w:rsid w:val="00F64273"/>
    <w:rsid w:val="00F645F6"/>
    <w:rsid w:val="00F64DF2"/>
    <w:rsid w:val="00F65D96"/>
    <w:rsid w:val="00F66147"/>
    <w:rsid w:val="00F6695F"/>
    <w:rsid w:val="00F670A2"/>
    <w:rsid w:val="00F67253"/>
    <w:rsid w:val="00F67D58"/>
    <w:rsid w:val="00F71051"/>
    <w:rsid w:val="00F71681"/>
    <w:rsid w:val="00F716DC"/>
    <w:rsid w:val="00F72ACC"/>
    <w:rsid w:val="00F73EE2"/>
    <w:rsid w:val="00F742D5"/>
    <w:rsid w:val="00F7449C"/>
    <w:rsid w:val="00F759D4"/>
    <w:rsid w:val="00F76783"/>
    <w:rsid w:val="00F76D36"/>
    <w:rsid w:val="00F7713D"/>
    <w:rsid w:val="00F77872"/>
    <w:rsid w:val="00F83422"/>
    <w:rsid w:val="00F83FA6"/>
    <w:rsid w:val="00F84244"/>
    <w:rsid w:val="00F84742"/>
    <w:rsid w:val="00F87682"/>
    <w:rsid w:val="00F90F15"/>
    <w:rsid w:val="00F9107C"/>
    <w:rsid w:val="00F91288"/>
    <w:rsid w:val="00F91AFF"/>
    <w:rsid w:val="00F92563"/>
    <w:rsid w:val="00F935C7"/>
    <w:rsid w:val="00F9422E"/>
    <w:rsid w:val="00F9609C"/>
    <w:rsid w:val="00F9734D"/>
    <w:rsid w:val="00FA096B"/>
    <w:rsid w:val="00FA1840"/>
    <w:rsid w:val="00FA2A5B"/>
    <w:rsid w:val="00FA2BFC"/>
    <w:rsid w:val="00FA4437"/>
    <w:rsid w:val="00FA47C1"/>
    <w:rsid w:val="00FA4ADC"/>
    <w:rsid w:val="00FA4C58"/>
    <w:rsid w:val="00FA4DE2"/>
    <w:rsid w:val="00FA5168"/>
    <w:rsid w:val="00FA61F4"/>
    <w:rsid w:val="00FB0A98"/>
    <w:rsid w:val="00FB0DBF"/>
    <w:rsid w:val="00FB16BC"/>
    <w:rsid w:val="00FB3089"/>
    <w:rsid w:val="00FB4201"/>
    <w:rsid w:val="00FB55E9"/>
    <w:rsid w:val="00FB64C5"/>
    <w:rsid w:val="00FC00FF"/>
    <w:rsid w:val="00FC013F"/>
    <w:rsid w:val="00FC0393"/>
    <w:rsid w:val="00FC0ED4"/>
    <w:rsid w:val="00FC2E1B"/>
    <w:rsid w:val="00FC3016"/>
    <w:rsid w:val="00FC3759"/>
    <w:rsid w:val="00FC52C1"/>
    <w:rsid w:val="00FC574B"/>
    <w:rsid w:val="00FC5BBF"/>
    <w:rsid w:val="00FC5FF6"/>
    <w:rsid w:val="00FC64E2"/>
    <w:rsid w:val="00FC6C7F"/>
    <w:rsid w:val="00FC746F"/>
    <w:rsid w:val="00FD13C1"/>
    <w:rsid w:val="00FD1E75"/>
    <w:rsid w:val="00FD55F0"/>
    <w:rsid w:val="00FD5887"/>
    <w:rsid w:val="00FD6754"/>
    <w:rsid w:val="00FD7D54"/>
    <w:rsid w:val="00FE10D2"/>
    <w:rsid w:val="00FE3EAB"/>
    <w:rsid w:val="00FE3FE9"/>
    <w:rsid w:val="00FE4BA1"/>
    <w:rsid w:val="00FE79CB"/>
    <w:rsid w:val="00FE7BE7"/>
    <w:rsid w:val="00FE7D73"/>
    <w:rsid w:val="00FF03A3"/>
    <w:rsid w:val="00FF0E37"/>
    <w:rsid w:val="00FF18B9"/>
    <w:rsid w:val="00FF4813"/>
    <w:rsid w:val="00FF4A81"/>
    <w:rsid w:val="00FF5044"/>
    <w:rsid w:val="00FF6A33"/>
    <w:rsid w:val="00FF7340"/>
    <w:rsid w:val="00FF786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85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it-IT" w:eastAsia="it-IT" w:bidi="it-IT"/>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header" w:uiPriority="0"/>
    <w:lsdException w:name="footer" w:uiPriority="0"/>
    <w:lsdException w:name="caption" w:semiHidden="0" w:qFormat="1"/>
    <w:lsdException w:name="footnote reference" w:uiPriority="0" w:qFormat="1"/>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Title" w:semiHidden="0" w:uiPriority="0" w:unhideWhenUsed="0" w:qFormat="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qFormat="1"/>
  </w:latentStyles>
  <w:style w:type="paragraph" w:default="1" w:styleId="Normal">
    <w:name w:val="Normal"/>
    <w:qFormat/>
    <w:rsid w:val="00F84244"/>
    <w:pPr>
      <w:autoSpaceDE w:val="0"/>
      <w:autoSpaceDN w:val="0"/>
      <w:ind w:left="425" w:hanging="425"/>
      <w:jc w:val="both"/>
    </w:pPr>
    <w:rPr>
      <w:rFonts w:ascii="Arial" w:hAnsi="Arial"/>
      <w:szCs w:val="24"/>
    </w:rPr>
  </w:style>
  <w:style w:type="paragraph" w:styleId="Heading1">
    <w:name w:val="heading 1"/>
    <w:basedOn w:val="Normal"/>
    <w:next w:val="Text1"/>
    <w:link w:val="Heading1Char"/>
    <w:qFormat/>
    <w:rsid w:val="00475311"/>
    <w:pPr>
      <w:keepNext/>
      <w:numPr>
        <w:numId w:val="1"/>
      </w:numPr>
      <w:spacing w:before="360"/>
      <w:outlineLvl w:val="0"/>
    </w:pPr>
    <w:rPr>
      <w:rFonts w:ascii="Cambria" w:hAnsi="Cambria"/>
      <w:b/>
      <w:bCs/>
      <w:kern w:val="32"/>
      <w:sz w:val="32"/>
      <w:szCs w:val="32"/>
    </w:rPr>
  </w:style>
  <w:style w:type="paragraph" w:styleId="Heading2">
    <w:name w:val="heading 2"/>
    <w:basedOn w:val="Normal"/>
    <w:next w:val="Text2"/>
    <w:link w:val="Heading2Char"/>
    <w:qFormat/>
    <w:rsid w:val="00475311"/>
    <w:pPr>
      <w:keepNext/>
      <w:numPr>
        <w:ilvl w:val="1"/>
        <w:numId w:val="1"/>
      </w:numPr>
      <w:outlineLvl w:val="1"/>
    </w:pPr>
    <w:rPr>
      <w:rFonts w:ascii="Cambria" w:hAnsi="Cambria"/>
      <w:b/>
      <w:bCs/>
      <w:i/>
      <w:iCs/>
      <w:sz w:val="28"/>
      <w:szCs w:val="28"/>
    </w:rPr>
  </w:style>
  <w:style w:type="paragraph" w:styleId="Heading3">
    <w:name w:val="heading 3"/>
    <w:basedOn w:val="Normal"/>
    <w:next w:val="Text3"/>
    <w:link w:val="Heading3Char"/>
    <w:qFormat/>
    <w:rsid w:val="00475311"/>
    <w:pPr>
      <w:keepNext/>
      <w:numPr>
        <w:ilvl w:val="2"/>
        <w:numId w:val="1"/>
      </w:numPr>
      <w:outlineLvl w:val="2"/>
    </w:pPr>
    <w:rPr>
      <w:rFonts w:ascii="Cambria" w:hAnsi="Cambria"/>
      <w:b/>
      <w:bCs/>
      <w:sz w:val="26"/>
      <w:szCs w:val="26"/>
    </w:rPr>
  </w:style>
  <w:style w:type="paragraph" w:styleId="Heading4">
    <w:name w:val="heading 4"/>
    <w:basedOn w:val="Normal"/>
    <w:next w:val="Text4"/>
    <w:link w:val="Heading4Char"/>
    <w:qFormat/>
    <w:rsid w:val="00475311"/>
    <w:pPr>
      <w:keepNext/>
      <w:numPr>
        <w:ilvl w:val="3"/>
        <w:numId w:val="1"/>
      </w:numPr>
      <w:outlineLvl w:val="3"/>
    </w:pPr>
    <w:rPr>
      <w:rFonts w:ascii="Calibri" w:hAnsi="Calibri"/>
      <w:b/>
      <w:bCs/>
      <w:sz w:val="28"/>
      <w:szCs w:val="28"/>
    </w:rPr>
  </w:style>
  <w:style w:type="paragraph" w:styleId="Heading5">
    <w:name w:val="heading 5"/>
    <w:basedOn w:val="Normal"/>
    <w:next w:val="Normal"/>
    <w:link w:val="Heading5Char"/>
    <w:qFormat/>
    <w:rsid w:val="00475311"/>
    <w:p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475311"/>
    <w:pPr>
      <w:spacing w:before="240" w:after="60"/>
      <w:outlineLvl w:val="5"/>
    </w:pPr>
    <w:rPr>
      <w:rFonts w:ascii="Calibri" w:hAnsi="Calibri"/>
      <w:b/>
      <w:bCs/>
      <w:szCs w:val="20"/>
    </w:rPr>
  </w:style>
  <w:style w:type="paragraph" w:styleId="Heading7">
    <w:name w:val="heading 7"/>
    <w:basedOn w:val="Normal"/>
    <w:next w:val="Normal"/>
    <w:link w:val="Heading7Char"/>
    <w:qFormat/>
    <w:rsid w:val="00475311"/>
    <w:pPr>
      <w:spacing w:before="240" w:after="60"/>
      <w:outlineLvl w:val="6"/>
    </w:pPr>
    <w:rPr>
      <w:rFonts w:ascii="Calibri" w:hAnsi="Calibri"/>
    </w:rPr>
  </w:style>
  <w:style w:type="paragraph" w:styleId="Heading8">
    <w:name w:val="heading 8"/>
    <w:basedOn w:val="Normal"/>
    <w:next w:val="Normal"/>
    <w:link w:val="Heading8Char"/>
    <w:qFormat/>
    <w:rsid w:val="00475311"/>
    <w:pPr>
      <w:spacing w:before="240" w:after="60"/>
      <w:outlineLvl w:val="7"/>
    </w:pPr>
    <w:rPr>
      <w:rFonts w:ascii="Calibri" w:hAnsi="Calibri"/>
      <w:i/>
      <w:iCs/>
    </w:rPr>
  </w:style>
  <w:style w:type="paragraph" w:styleId="Heading9">
    <w:name w:val="heading 9"/>
    <w:basedOn w:val="Normal"/>
    <w:next w:val="Normal"/>
    <w:link w:val="Heading9Char"/>
    <w:qFormat/>
    <w:rsid w:val="00475311"/>
    <w:pPr>
      <w:spacing w:before="240" w:after="60"/>
      <w:outlineLvl w:val="8"/>
    </w:pPr>
    <w:rPr>
      <w:rFonts w:ascii="Cambria" w:hAnsi="Cambria"/>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75311"/>
    <w:rPr>
      <w:rFonts w:ascii="Cambria" w:hAnsi="Cambria"/>
      <w:b/>
      <w:bCs/>
      <w:kern w:val="32"/>
      <w:sz w:val="32"/>
      <w:szCs w:val="32"/>
    </w:rPr>
  </w:style>
  <w:style w:type="character" w:customStyle="1" w:styleId="Heading2Char">
    <w:name w:val="Heading 2 Char"/>
    <w:link w:val="Heading2"/>
    <w:rsid w:val="00475311"/>
    <w:rPr>
      <w:rFonts w:ascii="Cambria" w:hAnsi="Cambria"/>
      <w:b/>
      <w:bCs/>
      <w:i/>
      <w:iCs/>
      <w:sz w:val="28"/>
      <w:szCs w:val="28"/>
    </w:rPr>
  </w:style>
  <w:style w:type="character" w:customStyle="1" w:styleId="Heading3Char">
    <w:name w:val="Heading 3 Char"/>
    <w:link w:val="Heading3"/>
    <w:rsid w:val="00475311"/>
    <w:rPr>
      <w:rFonts w:ascii="Cambria" w:hAnsi="Cambria"/>
      <w:b/>
      <w:bCs/>
      <w:sz w:val="26"/>
      <w:szCs w:val="26"/>
    </w:rPr>
  </w:style>
  <w:style w:type="character" w:customStyle="1" w:styleId="Heading4Char">
    <w:name w:val="Heading 4 Char"/>
    <w:link w:val="Heading4"/>
    <w:rsid w:val="00475311"/>
    <w:rPr>
      <w:b/>
      <w:bCs/>
      <w:sz w:val="28"/>
      <w:szCs w:val="28"/>
    </w:rPr>
  </w:style>
  <w:style w:type="character" w:customStyle="1" w:styleId="Heading5Char">
    <w:name w:val="Heading 5 Char"/>
    <w:link w:val="Heading5"/>
    <w:uiPriority w:val="9"/>
    <w:rsid w:val="00475311"/>
    <w:rPr>
      <w:b/>
      <w:bCs/>
      <w:i/>
      <w:iCs/>
      <w:sz w:val="26"/>
      <w:szCs w:val="26"/>
    </w:rPr>
  </w:style>
  <w:style w:type="character" w:customStyle="1" w:styleId="Heading6Char">
    <w:name w:val="Heading 6 Char"/>
    <w:link w:val="Heading6"/>
    <w:uiPriority w:val="9"/>
    <w:rsid w:val="00475311"/>
    <w:rPr>
      <w:b/>
      <w:bCs/>
    </w:rPr>
  </w:style>
  <w:style w:type="character" w:customStyle="1" w:styleId="Heading7Char">
    <w:name w:val="Heading 7 Char"/>
    <w:link w:val="Heading7"/>
    <w:uiPriority w:val="9"/>
    <w:rsid w:val="00475311"/>
    <w:rPr>
      <w:sz w:val="24"/>
      <w:szCs w:val="24"/>
    </w:rPr>
  </w:style>
  <w:style w:type="character" w:customStyle="1" w:styleId="Heading8Char">
    <w:name w:val="Heading 8 Char"/>
    <w:link w:val="Heading8"/>
    <w:uiPriority w:val="9"/>
    <w:rsid w:val="00475311"/>
    <w:rPr>
      <w:i/>
      <w:iCs/>
      <w:sz w:val="24"/>
      <w:szCs w:val="24"/>
    </w:rPr>
  </w:style>
  <w:style w:type="character" w:customStyle="1" w:styleId="Heading9Char">
    <w:name w:val="Heading 9 Char"/>
    <w:link w:val="Heading9"/>
    <w:uiPriority w:val="9"/>
    <w:rsid w:val="00475311"/>
    <w:rPr>
      <w:rFonts w:ascii="Cambria" w:eastAsia="Times New Roman" w:hAnsi="Cambria" w:cs="Times New Roman"/>
    </w:rPr>
  </w:style>
  <w:style w:type="paragraph" w:customStyle="1" w:styleId="Text1">
    <w:name w:val="Text 1"/>
    <w:basedOn w:val="Normal"/>
    <w:rsid w:val="00475311"/>
    <w:pPr>
      <w:ind w:left="851"/>
    </w:pPr>
  </w:style>
  <w:style w:type="paragraph" w:customStyle="1" w:styleId="Text2">
    <w:name w:val="Text 2"/>
    <w:basedOn w:val="Normal"/>
    <w:uiPriority w:val="99"/>
    <w:rsid w:val="00475311"/>
    <w:pPr>
      <w:ind w:left="851"/>
    </w:pPr>
  </w:style>
  <w:style w:type="paragraph" w:customStyle="1" w:styleId="Text3">
    <w:name w:val="Text 3"/>
    <w:basedOn w:val="Normal"/>
    <w:uiPriority w:val="99"/>
    <w:rsid w:val="00475311"/>
    <w:pPr>
      <w:ind w:left="851"/>
    </w:pPr>
  </w:style>
  <w:style w:type="paragraph" w:customStyle="1" w:styleId="Text4">
    <w:name w:val="Text 4"/>
    <w:basedOn w:val="Normal"/>
    <w:uiPriority w:val="99"/>
    <w:rsid w:val="00475311"/>
    <w:pPr>
      <w:ind w:left="851"/>
    </w:pPr>
  </w:style>
  <w:style w:type="paragraph" w:customStyle="1" w:styleId="Annexetitreacte">
    <w:name w:val="Annexe titre (acte)"/>
    <w:basedOn w:val="Normal"/>
    <w:next w:val="Normal"/>
    <w:rsid w:val="00475311"/>
    <w:pPr>
      <w:jc w:val="center"/>
    </w:pPr>
    <w:rPr>
      <w:b/>
      <w:bCs/>
      <w:u w:val="single"/>
    </w:rPr>
  </w:style>
  <w:style w:type="paragraph" w:customStyle="1" w:styleId="Annexetitreexposglobal">
    <w:name w:val="Annexe titre (exposé global)"/>
    <w:basedOn w:val="Normal"/>
    <w:next w:val="Normal"/>
    <w:uiPriority w:val="99"/>
    <w:rsid w:val="00475311"/>
    <w:pPr>
      <w:jc w:val="center"/>
    </w:pPr>
    <w:rPr>
      <w:b/>
      <w:bCs/>
      <w:u w:val="single"/>
    </w:rPr>
  </w:style>
  <w:style w:type="paragraph" w:customStyle="1" w:styleId="Annexetitreexpos">
    <w:name w:val="Annexe titre (exposé)"/>
    <w:basedOn w:val="Normal"/>
    <w:next w:val="Normal"/>
    <w:uiPriority w:val="99"/>
    <w:rsid w:val="00475311"/>
    <w:pPr>
      <w:jc w:val="center"/>
    </w:pPr>
    <w:rPr>
      <w:b/>
      <w:bCs/>
      <w:u w:val="single"/>
    </w:rPr>
  </w:style>
  <w:style w:type="paragraph" w:customStyle="1" w:styleId="Annexetitrefichefinacte">
    <w:name w:val="Annexe titre (fiche fin. acte)"/>
    <w:basedOn w:val="Normal"/>
    <w:next w:val="Normal"/>
    <w:uiPriority w:val="99"/>
    <w:rsid w:val="00475311"/>
    <w:pPr>
      <w:jc w:val="center"/>
    </w:pPr>
    <w:rPr>
      <w:b/>
      <w:bCs/>
      <w:u w:val="single"/>
    </w:rPr>
  </w:style>
  <w:style w:type="paragraph" w:customStyle="1" w:styleId="Annexetitrefichefinglobale">
    <w:name w:val="Annexe titre (fiche fin. globale)"/>
    <w:basedOn w:val="Normal"/>
    <w:next w:val="Normal"/>
    <w:uiPriority w:val="99"/>
    <w:rsid w:val="00475311"/>
    <w:pPr>
      <w:jc w:val="center"/>
    </w:pPr>
    <w:rPr>
      <w:b/>
      <w:bCs/>
      <w:u w:val="single"/>
    </w:rPr>
  </w:style>
  <w:style w:type="paragraph" w:customStyle="1" w:styleId="Annexetitreglobale">
    <w:name w:val="Annexe titre (globale)"/>
    <w:basedOn w:val="Normal"/>
    <w:next w:val="Normal"/>
    <w:uiPriority w:val="99"/>
    <w:rsid w:val="00475311"/>
    <w:pPr>
      <w:jc w:val="center"/>
    </w:pPr>
    <w:rPr>
      <w:b/>
      <w:bCs/>
      <w:u w:val="single"/>
    </w:rPr>
  </w:style>
  <w:style w:type="paragraph" w:customStyle="1" w:styleId="Applicationdirecte">
    <w:name w:val="Application directe"/>
    <w:basedOn w:val="Normal"/>
    <w:next w:val="Fait"/>
    <w:uiPriority w:val="99"/>
    <w:rsid w:val="00475311"/>
    <w:pPr>
      <w:spacing w:before="480"/>
    </w:pPr>
  </w:style>
  <w:style w:type="paragraph" w:customStyle="1" w:styleId="Fait">
    <w:name w:val="Fait à"/>
    <w:basedOn w:val="Normal"/>
    <w:next w:val="Institutionquisigne"/>
    <w:uiPriority w:val="99"/>
    <w:rsid w:val="00475311"/>
    <w:pPr>
      <w:keepNext/>
    </w:pPr>
  </w:style>
  <w:style w:type="paragraph" w:customStyle="1" w:styleId="Institutionquisigne">
    <w:name w:val="Institution qui signe"/>
    <w:basedOn w:val="Normal"/>
    <w:next w:val="Personnequisigne"/>
    <w:uiPriority w:val="99"/>
    <w:rsid w:val="00475311"/>
    <w:pPr>
      <w:keepNext/>
      <w:tabs>
        <w:tab w:val="left" w:pos="4253"/>
      </w:tabs>
      <w:spacing w:before="720"/>
    </w:pPr>
    <w:rPr>
      <w:i/>
      <w:iCs/>
    </w:rPr>
  </w:style>
  <w:style w:type="paragraph" w:customStyle="1" w:styleId="Personnequisigne">
    <w:name w:val="Personne qui signe"/>
    <w:basedOn w:val="Normal"/>
    <w:next w:val="Institutionquisigne"/>
    <w:uiPriority w:val="99"/>
    <w:rsid w:val="00475311"/>
    <w:pPr>
      <w:tabs>
        <w:tab w:val="left" w:pos="4253"/>
      </w:tabs>
      <w:jc w:val="left"/>
    </w:pPr>
    <w:rPr>
      <w:i/>
      <w:iCs/>
    </w:rPr>
  </w:style>
  <w:style w:type="paragraph" w:styleId="Caption">
    <w:name w:val="caption"/>
    <w:basedOn w:val="Normal"/>
    <w:next w:val="Normal"/>
    <w:uiPriority w:val="99"/>
    <w:qFormat/>
    <w:rsid w:val="00475311"/>
    <w:rPr>
      <w:b/>
      <w:bCs/>
    </w:rPr>
  </w:style>
  <w:style w:type="paragraph" w:customStyle="1" w:styleId="ChapterTitle">
    <w:name w:val="ChapterTitle"/>
    <w:basedOn w:val="Normal"/>
    <w:next w:val="Normal"/>
    <w:uiPriority w:val="99"/>
    <w:rsid w:val="00475311"/>
    <w:pPr>
      <w:keepNext/>
      <w:spacing w:after="360"/>
      <w:jc w:val="center"/>
    </w:pPr>
    <w:rPr>
      <w:b/>
      <w:bCs/>
      <w:sz w:val="32"/>
      <w:szCs w:val="32"/>
    </w:rPr>
  </w:style>
  <w:style w:type="character" w:styleId="CommentReference">
    <w:name w:val="annotation reference"/>
    <w:uiPriority w:val="99"/>
    <w:rsid w:val="00475311"/>
    <w:rPr>
      <w:sz w:val="16"/>
      <w:szCs w:val="16"/>
    </w:rPr>
  </w:style>
  <w:style w:type="paragraph" w:styleId="CommentText">
    <w:name w:val="annotation text"/>
    <w:basedOn w:val="Normal"/>
    <w:link w:val="CommentTextChar"/>
    <w:uiPriority w:val="99"/>
    <w:rsid w:val="00475311"/>
    <w:rPr>
      <w:szCs w:val="20"/>
    </w:rPr>
  </w:style>
  <w:style w:type="character" w:customStyle="1" w:styleId="CommentTextChar">
    <w:name w:val="Comment Text Char"/>
    <w:link w:val="CommentText"/>
    <w:uiPriority w:val="99"/>
    <w:rsid w:val="00475311"/>
    <w:rPr>
      <w:rFonts w:ascii="Times New Roman" w:hAnsi="Times New Roman" w:cs="Times New Roman"/>
      <w:sz w:val="20"/>
      <w:szCs w:val="20"/>
    </w:rPr>
  </w:style>
  <w:style w:type="paragraph" w:customStyle="1" w:styleId="Confidence">
    <w:name w:val="Confidence"/>
    <w:basedOn w:val="Normal"/>
    <w:next w:val="Normal"/>
    <w:uiPriority w:val="99"/>
    <w:rsid w:val="00475311"/>
    <w:pPr>
      <w:spacing w:before="360"/>
      <w:jc w:val="center"/>
    </w:pPr>
  </w:style>
  <w:style w:type="paragraph" w:customStyle="1" w:styleId="Corrigendum">
    <w:name w:val="Corrigendum"/>
    <w:basedOn w:val="Normal"/>
    <w:next w:val="Normal"/>
    <w:uiPriority w:val="99"/>
    <w:rsid w:val="00475311"/>
    <w:pPr>
      <w:spacing w:after="240"/>
      <w:jc w:val="left"/>
    </w:pPr>
  </w:style>
  <w:style w:type="paragraph" w:customStyle="1" w:styleId="Emission">
    <w:name w:val="Emission"/>
    <w:basedOn w:val="Normal"/>
    <w:next w:val="Rfrenceinstitutionelle"/>
    <w:uiPriority w:val="99"/>
    <w:rsid w:val="00475311"/>
    <w:pPr>
      <w:ind w:left="5103"/>
      <w:jc w:val="left"/>
    </w:pPr>
  </w:style>
  <w:style w:type="paragraph" w:customStyle="1" w:styleId="Rfrenceinstitutionelle">
    <w:name w:val="Référence institutionelle"/>
    <w:basedOn w:val="Normal"/>
    <w:next w:val="Statut"/>
    <w:uiPriority w:val="99"/>
    <w:rsid w:val="00475311"/>
    <w:pPr>
      <w:spacing w:after="240"/>
      <w:ind w:left="5103"/>
      <w:jc w:val="left"/>
    </w:pPr>
  </w:style>
  <w:style w:type="paragraph" w:customStyle="1" w:styleId="Statut">
    <w:name w:val="Statut"/>
    <w:basedOn w:val="Normal"/>
    <w:next w:val="Typedudocument"/>
    <w:uiPriority w:val="99"/>
    <w:rsid w:val="00475311"/>
    <w:pPr>
      <w:spacing w:before="360"/>
      <w:jc w:val="center"/>
    </w:pPr>
  </w:style>
  <w:style w:type="paragraph" w:customStyle="1" w:styleId="Typedudocument">
    <w:name w:val="Type du document"/>
    <w:basedOn w:val="Normal"/>
    <w:next w:val="Datedadoption"/>
    <w:uiPriority w:val="99"/>
    <w:rsid w:val="00475311"/>
    <w:pPr>
      <w:spacing w:before="360"/>
      <w:jc w:val="center"/>
    </w:pPr>
    <w:rPr>
      <w:b/>
      <w:bCs/>
    </w:rPr>
  </w:style>
  <w:style w:type="paragraph" w:customStyle="1" w:styleId="Datedadoption">
    <w:name w:val="Date d'adoption"/>
    <w:basedOn w:val="Normal"/>
    <w:next w:val="Titreobjet"/>
    <w:uiPriority w:val="99"/>
    <w:rsid w:val="00475311"/>
    <w:pPr>
      <w:spacing w:before="360"/>
      <w:jc w:val="center"/>
    </w:pPr>
    <w:rPr>
      <w:b/>
      <w:bCs/>
    </w:rPr>
  </w:style>
  <w:style w:type="paragraph" w:customStyle="1" w:styleId="Titreobjet">
    <w:name w:val="Titre objet"/>
    <w:basedOn w:val="Normal"/>
    <w:next w:val="Sous-titreobjet"/>
    <w:uiPriority w:val="99"/>
    <w:rsid w:val="00475311"/>
    <w:pPr>
      <w:spacing w:before="360" w:after="360"/>
      <w:jc w:val="center"/>
    </w:pPr>
    <w:rPr>
      <w:b/>
      <w:bCs/>
    </w:rPr>
  </w:style>
  <w:style w:type="paragraph" w:customStyle="1" w:styleId="Sous-titreobjet">
    <w:name w:val="Sous-titre objet"/>
    <w:basedOn w:val="Titreobjet"/>
    <w:uiPriority w:val="99"/>
    <w:rsid w:val="00475311"/>
    <w:pPr>
      <w:spacing w:before="0" w:after="0"/>
    </w:pPr>
  </w:style>
  <w:style w:type="paragraph" w:customStyle="1" w:styleId="Exposdesmotifstitre">
    <w:name w:val="Exposé des motifs titre"/>
    <w:basedOn w:val="Normal"/>
    <w:next w:val="Normal"/>
    <w:uiPriority w:val="99"/>
    <w:rsid w:val="00475311"/>
    <w:pPr>
      <w:jc w:val="center"/>
    </w:pPr>
    <w:rPr>
      <w:b/>
      <w:bCs/>
      <w:u w:val="single"/>
    </w:rPr>
  </w:style>
  <w:style w:type="paragraph" w:customStyle="1" w:styleId="Exposdesmotifstitreglobal">
    <w:name w:val="Exposé des motifs titre (global)"/>
    <w:basedOn w:val="Normal"/>
    <w:next w:val="Normal"/>
    <w:uiPriority w:val="99"/>
    <w:rsid w:val="00475311"/>
    <w:pPr>
      <w:jc w:val="center"/>
    </w:pPr>
    <w:rPr>
      <w:b/>
      <w:bCs/>
      <w:u w:val="single"/>
    </w:rPr>
  </w:style>
  <w:style w:type="paragraph" w:customStyle="1" w:styleId="FichedimpactPMEtitre">
    <w:name w:val="Fiche d'impact PME titre"/>
    <w:basedOn w:val="Normal"/>
    <w:next w:val="Normal"/>
    <w:uiPriority w:val="99"/>
    <w:rsid w:val="00475311"/>
    <w:pPr>
      <w:jc w:val="center"/>
    </w:pPr>
    <w:rPr>
      <w:b/>
      <w:bCs/>
    </w:rPr>
  </w:style>
  <w:style w:type="paragraph" w:customStyle="1" w:styleId="Fichefinanciretextetable">
    <w:name w:val="Fiche financière texte (table)"/>
    <w:basedOn w:val="Normal"/>
    <w:uiPriority w:val="99"/>
    <w:rsid w:val="00475311"/>
    <w:pPr>
      <w:jc w:val="left"/>
    </w:pPr>
    <w:rPr>
      <w:szCs w:val="20"/>
    </w:rPr>
  </w:style>
  <w:style w:type="paragraph" w:customStyle="1" w:styleId="Fichefinanciretitre">
    <w:name w:val="Fiche financière titre"/>
    <w:basedOn w:val="Normal"/>
    <w:next w:val="Normal"/>
    <w:uiPriority w:val="99"/>
    <w:rsid w:val="00475311"/>
    <w:pPr>
      <w:jc w:val="center"/>
    </w:pPr>
    <w:rPr>
      <w:b/>
      <w:bCs/>
      <w:u w:val="single"/>
    </w:rPr>
  </w:style>
  <w:style w:type="paragraph" w:customStyle="1" w:styleId="Fichefinanciretitreactetable">
    <w:name w:val="Fiche financière titre (acte table)"/>
    <w:basedOn w:val="Normal"/>
    <w:next w:val="Normal"/>
    <w:uiPriority w:val="99"/>
    <w:rsid w:val="00475311"/>
    <w:pPr>
      <w:jc w:val="center"/>
    </w:pPr>
    <w:rPr>
      <w:b/>
      <w:bCs/>
      <w:sz w:val="40"/>
      <w:szCs w:val="40"/>
    </w:rPr>
  </w:style>
  <w:style w:type="paragraph" w:customStyle="1" w:styleId="Fichefinanciretitreacte">
    <w:name w:val="Fiche financière titre (acte)"/>
    <w:basedOn w:val="Normal"/>
    <w:next w:val="Normal"/>
    <w:uiPriority w:val="99"/>
    <w:rsid w:val="00475311"/>
    <w:pPr>
      <w:jc w:val="center"/>
    </w:pPr>
    <w:rPr>
      <w:b/>
      <w:bCs/>
      <w:u w:val="single"/>
    </w:rPr>
  </w:style>
  <w:style w:type="paragraph" w:customStyle="1" w:styleId="Fichefinanciretitretable">
    <w:name w:val="Fiche financière titre (table)"/>
    <w:basedOn w:val="Normal"/>
    <w:uiPriority w:val="99"/>
    <w:rsid w:val="00475311"/>
    <w:pPr>
      <w:jc w:val="center"/>
    </w:pPr>
    <w:rPr>
      <w:b/>
      <w:bCs/>
      <w:sz w:val="40"/>
      <w:szCs w:val="40"/>
    </w:rPr>
  </w:style>
  <w:style w:type="paragraph" w:styleId="Footer">
    <w:name w:val="footer"/>
    <w:basedOn w:val="Normal"/>
    <w:link w:val="FooterChar"/>
    <w:rsid w:val="00475311"/>
    <w:pPr>
      <w:tabs>
        <w:tab w:val="center" w:pos="4536"/>
        <w:tab w:val="right" w:pos="9072"/>
      </w:tabs>
      <w:spacing w:before="360"/>
      <w:jc w:val="left"/>
    </w:pPr>
  </w:style>
  <w:style w:type="character" w:customStyle="1" w:styleId="FooterChar">
    <w:name w:val="Footer Char"/>
    <w:link w:val="Footer"/>
    <w:rsid w:val="00475311"/>
    <w:rPr>
      <w:rFonts w:ascii="Times New Roman" w:hAnsi="Times New Roman" w:cs="Times New Roman"/>
      <w:sz w:val="24"/>
      <w:szCs w:val="24"/>
    </w:rPr>
  </w:style>
  <w:style w:type="character" w:styleId="FootnoteReference">
    <w:name w:val="footnote reference"/>
    <w:qFormat/>
    <w:rsid w:val="00475311"/>
    <w:rPr>
      <w:vertAlign w:val="superscript"/>
    </w:rPr>
  </w:style>
  <w:style w:type="paragraph" w:styleId="FootnoteText">
    <w:name w:val="footnote text"/>
    <w:aliases w:val="Fußnotentext Zchn,Car Car Car Zchn,Car Car Car Car Car Car Car Car Car Zchn, Car Car Car Zchn, Car Car Car Car Car Car Car Car Car Zchn, Car Car Car, Car Car Car Car Car Car Car Car Car,Car Car Car,Car Car Car Car Car Car Car Car Car"/>
    <w:basedOn w:val="Normal"/>
    <w:link w:val="FootnoteTextChar"/>
    <w:qFormat/>
    <w:rsid w:val="00475311"/>
    <w:rPr>
      <w:szCs w:val="20"/>
    </w:rPr>
  </w:style>
  <w:style w:type="character" w:customStyle="1" w:styleId="FootnoteTextChar">
    <w:name w:val="Footnote Text Char"/>
    <w:aliases w:val="Fußnotentext Zchn Char,Car Car Car Zchn Char,Car Car Car Car Car Car Car Car Car Zchn Char, Car Car Car Zchn Char, Car Car Car Car Car Car Car Car Car Zchn Char, Car Car Car Char, Car Car Car Car Car Car Car Car Car Char"/>
    <w:link w:val="FootnoteText"/>
    <w:rsid w:val="00475311"/>
    <w:rPr>
      <w:rFonts w:ascii="Times New Roman" w:hAnsi="Times New Roman" w:cs="Times New Roman"/>
      <w:sz w:val="20"/>
      <w:szCs w:val="20"/>
    </w:rPr>
  </w:style>
  <w:style w:type="paragraph" w:customStyle="1" w:styleId="Formuledadoption">
    <w:name w:val="Formule d'adoption"/>
    <w:basedOn w:val="Normal"/>
    <w:next w:val="Titrearticle"/>
    <w:uiPriority w:val="99"/>
    <w:rsid w:val="00475311"/>
    <w:pPr>
      <w:keepNext/>
    </w:pPr>
  </w:style>
  <w:style w:type="paragraph" w:customStyle="1" w:styleId="Titrearticle">
    <w:name w:val="Titre article"/>
    <w:basedOn w:val="Normal"/>
    <w:next w:val="Normal"/>
    <w:rsid w:val="00475311"/>
    <w:pPr>
      <w:keepNext/>
      <w:spacing w:before="360"/>
      <w:jc w:val="center"/>
    </w:pPr>
    <w:rPr>
      <w:i/>
      <w:iCs/>
    </w:rPr>
  </w:style>
  <w:style w:type="paragraph" w:styleId="Header">
    <w:name w:val="header"/>
    <w:aliases w:val="numéro de page"/>
    <w:basedOn w:val="Normal"/>
    <w:link w:val="HeaderChar"/>
    <w:rsid w:val="00475311"/>
    <w:pPr>
      <w:tabs>
        <w:tab w:val="right" w:pos="8306"/>
      </w:tabs>
    </w:pPr>
  </w:style>
  <w:style w:type="character" w:customStyle="1" w:styleId="HeaderChar">
    <w:name w:val="Header Char"/>
    <w:aliases w:val="numéro de page Char"/>
    <w:link w:val="Header"/>
    <w:rsid w:val="00475311"/>
    <w:rPr>
      <w:rFonts w:ascii="Times New Roman" w:hAnsi="Times New Roman" w:cs="Times New Roman"/>
      <w:sz w:val="24"/>
      <w:szCs w:val="24"/>
    </w:rPr>
  </w:style>
  <w:style w:type="paragraph" w:customStyle="1" w:styleId="Institutionquiagit">
    <w:name w:val="Institution qui agit"/>
    <w:basedOn w:val="Normal"/>
    <w:next w:val="Normal"/>
    <w:uiPriority w:val="99"/>
    <w:rsid w:val="00475311"/>
    <w:pPr>
      <w:keepNext/>
      <w:spacing w:before="600"/>
    </w:pPr>
  </w:style>
  <w:style w:type="paragraph" w:customStyle="1" w:styleId="Langue">
    <w:name w:val="Langue"/>
    <w:basedOn w:val="Normal"/>
    <w:next w:val="Rfrenceinterne"/>
    <w:uiPriority w:val="99"/>
    <w:rsid w:val="00475311"/>
    <w:pPr>
      <w:spacing w:after="600"/>
      <w:jc w:val="center"/>
    </w:pPr>
    <w:rPr>
      <w:b/>
      <w:bCs/>
      <w:caps/>
    </w:rPr>
  </w:style>
  <w:style w:type="paragraph" w:customStyle="1" w:styleId="Rfrenceinterne">
    <w:name w:val="Référence interne"/>
    <w:basedOn w:val="Normal"/>
    <w:next w:val="Nomdelinstitution"/>
    <w:uiPriority w:val="99"/>
    <w:rsid w:val="00475311"/>
    <w:pPr>
      <w:spacing w:after="600"/>
      <w:jc w:val="center"/>
    </w:pPr>
    <w:rPr>
      <w:b/>
      <w:bCs/>
    </w:rPr>
  </w:style>
  <w:style w:type="paragraph" w:customStyle="1" w:styleId="Nomdelinstitution">
    <w:name w:val="Nom de l'institution"/>
    <w:basedOn w:val="Normal"/>
    <w:next w:val="Emission"/>
    <w:uiPriority w:val="99"/>
    <w:rsid w:val="00475311"/>
    <w:pPr>
      <w:jc w:val="left"/>
    </w:pPr>
    <w:rPr>
      <w:rFonts w:cs="Arial"/>
    </w:rPr>
  </w:style>
  <w:style w:type="paragraph" w:customStyle="1" w:styleId="Langueoriginale">
    <w:name w:val="Langue originale"/>
    <w:basedOn w:val="Normal"/>
    <w:next w:val="Phrasefinale"/>
    <w:uiPriority w:val="99"/>
    <w:rsid w:val="00475311"/>
    <w:pPr>
      <w:spacing w:before="360"/>
      <w:jc w:val="center"/>
    </w:pPr>
    <w:rPr>
      <w:caps/>
    </w:rPr>
  </w:style>
  <w:style w:type="paragraph" w:customStyle="1" w:styleId="Phrasefinale">
    <w:name w:val="Phrase finale"/>
    <w:basedOn w:val="Normal"/>
    <w:next w:val="Normal"/>
    <w:uiPriority w:val="99"/>
    <w:rsid w:val="00475311"/>
    <w:pPr>
      <w:spacing w:before="360"/>
      <w:jc w:val="center"/>
    </w:pPr>
  </w:style>
  <w:style w:type="paragraph" w:customStyle="1" w:styleId="ManualHeading1">
    <w:name w:val="Manual Heading 1"/>
    <w:basedOn w:val="Heading1"/>
    <w:next w:val="Text1"/>
    <w:uiPriority w:val="99"/>
    <w:rsid w:val="00475311"/>
    <w:pPr>
      <w:tabs>
        <w:tab w:val="clear" w:pos="850"/>
        <w:tab w:val="num" w:pos="851"/>
      </w:tabs>
      <w:ind w:left="851" w:hanging="851"/>
    </w:pPr>
  </w:style>
  <w:style w:type="paragraph" w:customStyle="1" w:styleId="ManualHeading2">
    <w:name w:val="Manual Heading 2"/>
    <w:basedOn w:val="Heading2"/>
    <w:next w:val="Text2"/>
    <w:uiPriority w:val="99"/>
    <w:rsid w:val="00475311"/>
    <w:pPr>
      <w:tabs>
        <w:tab w:val="clear" w:pos="850"/>
        <w:tab w:val="num" w:pos="851"/>
      </w:tabs>
      <w:ind w:left="851" w:hanging="851"/>
    </w:pPr>
  </w:style>
  <w:style w:type="paragraph" w:customStyle="1" w:styleId="ManualHeading3">
    <w:name w:val="Manual Heading 3"/>
    <w:basedOn w:val="Heading3"/>
    <w:next w:val="Text3"/>
    <w:uiPriority w:val="99"/>
    <w:rsid w:val="00475311"/>
    <w:pPr>
      <w:tabs>
        <w:tab w:val="clear" w:pos="850"/>
        <w:tab w:val="num" w:pos="851"/>
      </w:tabs>
    </w:pPr>
  </w:style>
  <w:style w:type="paragraph" w:customStyle="1" w:styleId="ManualHeading4">
    <w:name w:val="Manual Heading 4"/>
    <w:basedOn w:val="Heading4"/>
    <w:next w:val="Text4"/>
    <w:uiPriority w:val="99"/>
    <w:rsid w:val="00475311"/>
    <w:pPr>
      <w:tabs>
        <w:tab w:val="clear" w:pos="850"/>
        <w:tab w:val="num" w:pos="851"/>
      </w:tabs>
    </w:pPr>
  </w:style>
  <w:style w:type="paragraph" w:customStyle="1" w:styleId="ManualNumPar1">
    <w:name w:val="Manual NumPar 1"/>
    <w:basedOn w:val="Normal"/>
    <w:next w:val="Text1"/>
    <w:rsid w:val="00475311"/>
    <w:pPr>
      <w:ind w:left="851" w:hanging="851"/>
    </w:pPr>
  </w:style>
  <w:style w:type="paragraph" w:customStyle="1" w:styleId="ManualNumPar2">
    <w:name w:val="Manual NumPar 2"/>
    <w:basedOn w:val="Normal"/>
    <w:next w:val="Text2"/>
    <w:uiPriority w:val="99"/>
    <w:rsid w:val="00475311"/>
    <w:pPr>
      <w:ind w:left="851" w:hanging="851"/>
    </w:pPr>
  </w:style>
  <w:style w:type="paragraph" w:customStyle="1" w:styleId="ManualNumPar3">
    <w:name w:val="Manual NumPar 3"/>
    <w:basedOn w:val="Normal"/>
    <w:next w:val="Text3"/>
    <w:uiPriority w:val="99"/>
    <w:rsid w:val="00475311"/>
    <w:pPr>
      <w:ind w:left="851" w:hanging="851"/>
    </w:pPr>
  </w:style>
  <w:style w:type="paragraph" w:customStyle="1" w:styleId="ManualNumPar4">
    <w:name w:val="Manual NumPar 4"/>
    <w:basedOn w:val="Normal"/>
    <w:next w:val="Text4"/>
    <w:uiPriority w:val="99"/>
    <w:rsid w:val="00475311"/>
    <w:pPr>
      <w:ind w:left="851" w:hanging="851"/>
    </w:pPr>
  </w:style>
  <w:style w:type="character" w:customStyle="1" w:styleId="Marker">
    <w:name w:val="Marker"/>
    <w:uiPriority w:val="99"/>
    <w:rsid w:val="00475311"/>
    <w:rPr>
      <w:color w:val="0000FF"/>
    </w:rPr>
  </w:style>
  <w:style w:type="paragraph" w:customStyle="1" w:styleId="NormalCentered">
    <w:name w:val="Normal Centered"/>
    <w:basedOn w:val="Normal"/>
    <w:rsid w:val="00475311"/>
    <w:pPr>
      <w:jc w:val="center"/>
    </w:pPr>
  </w:style>
  <w:style w:type="paragraph" w:customStyle="1" w:styleId="NormalLeft">
    <w:name w:val="Normal Left"/>
    <w:basedOn w:val="Normal"/>
    <w:rsid w:val="00475311"/>
    <w:pPr>
      <w:jc w:val="left"/>
    </w:pPr>
  </w:style>
  <w:style w:type="paragraph" w:customStyle="1" w:styleId="NormalRight">
    <w:name w:val="Normal Right"/>
    <w:basedOn w:val="Normal"/>
    <w:uiPriority w:val="99"/>
    <w:rsid w:val="00475311"/>
    <w:pPr>
      <w:jc w:val="right"/>
    </w:pPr>
  </w:style>
  <w:style w:type="paragraph" w:customStyle="1" w:styleId="NumPar1">
    <w:name w:val="NumPar 1"/>
    <w:basedOn w:val="Normal"/>
    <w:next w:val="Text1"/>
    <w:rsid w:val="00475311"/>
    <w:pPr>
      <w:numPr>
        <w:numId w:val="2"/>
      </w:numPr>
    </w:pPr>
  </w:style>
  <w:style w:type="paragraph" w:customStyle="1" w:styleId="NumPar2">
    <w:name w:val="NumPar 2"/>
    <w:basedOn w:val="Normal"/>
    <w:next w:val="Text2"/>
    <w:rsid w:val="00475311"/>
    <w:pPr>
      <w:numPr>
        <w:ilvl w:val="1"/>
        <w:numId w:val="2"/>
      </w:numPr>
    </w:pPr>
  </w:style>
  <w:style w:type="paragraph" w:customStyle="1" w:styleId="NumPar3">
    <w:name w:val="NumPar 3"/>
    <w:basedOn w:val="Normal"/>
    <w:next w:val="Text3"/>
    <w:rsid w:val="00475311"/>
    <w:pPr>
      <w:numPr>
        <w:ilvl w:val="2"/>
        <w:numId w:val="2"/>
      </w:numPr>
    </w:pPr>
  </w:style>
  <w:style w:type="paragraph" w:customStyle="1" w:styleId="NumPar4">
    <w:name w:val="NumPar 4"/>
    <w:basedOn w:val="Normal"/>
    <w:next w:val="Text4"/>
    <w:rsid w:val="00475311"/>
    <w:pPr>
      <w:numPr>
        <w:ilvl w:val="3"/>
        <w:numId w:val="2"/>
      </w:numPr>
    </w:pPr>
  </w:style>
  <w:style w:type="paragraph" w:customStyle="1" w:styleId="Objetexterne">
    <w:name w:val="Objet externe"/>
    <w:basedOn w:val="Normal"/>
    <w:next w:val="Normal"/>
    <w:uiPriority w:val="99"/>
    <w:rsid w:val="00475311"/>
    <w:rPr>
      <w:i/>
      <w:iCs/>
      <w:caps/>
    </w:rPr>
  </w:style>
  <w:style w:type="character" w:styleId="PageNumber">
    <w:name w:val="page number"/>
    <w:rsid w:val="00475311"/>
  </w:style>
  <w:style w:type="paragraph" w:customStyle="1" w:styleId="PartTitle">
    <w:name w:val="PartTitle"/>
    <w:basedOn w:val="Normal"/>
    <w:next w:val="ChapterTitle"/>
    <w:uiPriority w:val="99"/>
    <w:rsid w:val="00475311"/>
    <w:pPr>
      <w:keepNext/>
      <w:pageBreakBefore/>
      <w:spacing w:after="360"/>
      <w:jc w:val="center"/>
    </w:pPr>
    <w:rPr>
      <w:b/>
      <w:bCs/>
      <w:sz w:val="36"/>
      <w:szCs w:val="36"/>
    </w:rPr>
  </w:style>
  <w:style w:type="paragraph" w:customStyle="1" w:styleId="Point0">
    <w:name w:val="Point 0"/>
    <w:basedOn w:val="Normal"/>
    <w:uiPriority w:val="99"/>
    <w:rsid w:val="00475311"/>
    <w:pPr>
      <w:ind w:left="851" w:hanging="851"/>
    </w:pPr>
  </w:style>
  <w:style w:type="paragraph" w:customStyle="1" w:styleId="Point1">
    <w:name w:val="Point 1"/>
    <w:basedOn w:val="Normal"/>
    <w:rsid w:val="00475311"/>
    <w:pPr>
      <w:ind w:left="1418" w:hanging="567"/>
    </w:pPr>
  </w:style>
  <w:style w:type="paragraph" w:customStyle="1" w:styleId="Point2">
    <w:name w:val="Point 2"/>
    <w:basedOn w:val="Normal"/>
    <w:uiPriority w:val="99"/>
    <w:rsid w:val="00475311"/>
    <w:pPr>
      <w:ind w:left="1985" w:hanging="567"/>
    </w:pPr>
  </w:style>
  <w:style w:type="paragraph" w:customStyle="1" w:styleId="Point3">
    <w:name w:val="Point 3"/>
    <w:basedOn w:val="Normal"/>
    <w:uiPriority w:val="99"/>
    <w:rsid w:val="00475311"/>
    <w:pPr>
      <w:ind w:left="2552" w:hanging="567"/>
    </w:pPr>
  </w:style>
  <w:style w:type="paragraph" w:customStyle="1" w:styleId="Point4">
    <w:name w:val="Point 4"/>
    <w:basedOn w:val="Normal"/>
    <w:uiPriority w:val="99"/>
    <w:rsid w:val="00475311"/>
    <w:pPr>
      <w:ind w:left="3119" w:hanging="567"/>
    </w:pPr>
  </w:style>
  <w:style w:type="paragraph" w:customStyle="1" w:styleId="PointDouble0">
    <w:name w:val="PointDouble 0"/>
    <w:basedOn w:val="Normal"/>
    <w:uiPriority w:val="99"/>
    <w:rsid w:val="00475311"/>
    <w:pPr>
      <w:tabs>
        <w:tab w:val="left" w:pos="851"/>
      </w:tabs>
      <w:ind w:left="1418" w:hanging="1418"/>
    </w:pPr>
  </w:style>
  <w:style w:type="paragraph" w:customStyle="1" w:styleId="PointDouble1">
    <w:name w:val="PointDouble 1"/>
    <w:basedOn w:val="Normal"/>
    <w:uiPriority w:val="99"/>
    <w:rsid w:val="00475311"/>
    <w:pPr>
      <w:tabs>
        <w:tab w:val="left" w:pos="1418"/>
      </w:tabs>
      <w:ind w:left="1985" w:hanging="1134"/>
    </w:pPr>
  </w:style>
  <w:style w:type="paragraph" w:customStyle="1" w:styleId="PointDouble2">
    <w:name w:val="PointDouble 2"/>
    <w:basedOn w:val="Normal"/>
    <w:uiPriority w:val="99"/>
    <w:rsid w:val="00475311"/>
    <w:pPr>
      <w:tabs>
        <w:tab w:val="left" w:pos="1985"/>
      </w:tabs>
      <w:ind w:left="2552" w:hanging="1134"/>
    </w:pPr>
  </w:style>
  <w:style w:type="paragraph" w:customStyle="1" w:styleId="PointDouble3">
    <w:name w:val="PointDouble 3"/>
    <w:basedOn w:val="Normal"/>
    <w:uiPriority w:val="99"/>
    <w:rsid w:val="00475311"/>
    <w:pPr>
      <w:tabs>
        <w:tab w:val="left" w:pos="2552"/>
      </w:tabs>
      <w:ind w:left="3119" w:hanging="1134"/>
    </w:pPr>
  </w:style>
  <w:style w:type="paragraph" w:customStyle="1" w:styleId="PointDouble4">
    <w:name w:val="PointDouble 4"/>
    <w:basedOn w:val="Normal"/>
    <w:uiPriority w:val="99"/>
    <w:rsid w:val="00475311"/>
    <w:pPr>
      <w:tabs>
        <w:tab w:val="left" w:pos="3119"/>
      </w:tabs>
      <w:ind w:left="3686" w:hanging="1134"/>
    </w:pPr>
  </w:style>
  <w:style w:type="paragraph" w:customStyle="1" w:styleId="PointTriple0">
    <w:name w:val="PointTriple 0"/>
    <w:basedOn w:val="Normal"/>
    <w:uiPriority w:val="99"/>
    <w:rsid w:val="00475311"/>
    <w:pPr>
      <w:tabs>
        <w:tab w:val="left" w:pos="851"/>
        <w:tab w:val="left" w:pos="1418"/>
      </w:tabs>
      <w:ind w:left="1985" w:hanging="1985"/>
    </w:pPr>
  </w:style>
  <w:style w:type="paragraph" w:customStyle="1" w:styleId="PointTriple1">
    <w:name w:val="PointTriple 1"/>
    <w:basedOn w:val="Normal"/>
    <w:uiPriority w:val="99"/>
    <w:rsid w:val="00475311"/>
    <w:pPr>
      <w:tabs>
        <w:tab w:val="left" w:pos="1418"/>
        <w:tab w:val="left" w:pos="1985"/>
      </w:tabs>
      <w:ind w:left="2552" w:hanging="1701"/>
    </w:pPr>
  </w:style>
  <w:style w:type="paragraph" w:customStyle="1" w:styleId="PointTriple2">
    <w:name w:val="PointTriple 2"/>
    <w:basedOn w:val="Normal"/>
    <w:uiPriority w:val="99"/>
    <w:rsid w:val="00475311"/>
    <w:pPr>
      <w:tabs>
        <w:tab w:val="left" w:pos="1985"/>
        <w:tab w:val="left" w:pos="2552"/>
      </w:tabs>
      <w:ind w:left="3119" w:hanging="1701"/>
    </w:pPr>
  </w:style>
  <w:style w:type="paragraph" w:customStyle="1" w:styleId="PointTriple3">
    <w:name w:val="PointTriple 3"/>
    <w:basedOn w:val="Normal"/>
    <w:uiPriority w:val="99"/>
    <w:rsid w:val="00475311"/>
    <w:pPr>
      <w:tabs>
        <w:tab w:val="left" w:pos="2552"/>
        <w:tab w:val="left" w:pos="3119"/>
      </w:tabs>
      <w:ind w:left="3686" w:hanging="1701"/>
    </w:pPr>
  </w:style>
  <w:style w:type="paragraph" w:customStyle="1" w:styleId="PointTriple4">
    <w:name w:val="PointTriple 4"/>
    <w:basedOn w:val="Normal"/>
    <w:uiPriority w:val="99"/>
    <w:rsid w:val="00475311"/>
    <w:pPr>
      <w:tabs>
        <w:tab w:val="left" w:pos="3119"/>
        <w:tab w:val="left" w:pos="3686"/>
      </w:tabs>
      <w:ind w:left="4253" w:hanging="1701"/>
    </w:pPr>
  </w:style>
  <w:style w:type="paragraph" w:customStyle="1" w:styleId="Prliminairetitre">
    <w:name w:val="Préliminaire titre"/>
    <w:basedOn w:val="Normal"/>
    <w:next w:val="Normal"/>
    <w:uiPriority w:val="99"/>
    <w:rsid w:val="00475311"/>
    <w:pPr>
      <w:spacing w:before="360" w:after="360"/>
      <w:jc w:val="center"/>
    </w:pPr>
    <w:rPr>
      <w:b/>
      <w:bCs/>
    </w:rPr>
  </w:style>
  <w:style w:type="paragraph" w:customStyle="1" w:styleId="Prliminairetype">
    <w:name w:val="Préliminaire type"/>
    <w:basedOn w:val="Normal"/>
    <w:next w:val="Normal"/>
    <w:uiPriority w:val="99"/>
    <w:rsid w:val="00475311"/>
    <w:pPr>
      <w:spacing w:before="360"/>
      <w:jc w:val="center"/>
    </w:pPr>
    <w:rPr>
      <w:b/>
      <w:bCs/>
    </w:rPr>
  </w:style>
  <w:style w:type="paragraph" w:customStyle="1" w:styleId="QuotedNumPar">
    <w:name w:val="Quoted NumPar"/>
    <w:basedOn w:val="Normal"/>
    <w:uiPriority w:val="99"/>
    <w:rsid w:val="00475311"/>
    <w:pPr>
      <w:ind w:left="1418" w:hanging="567"/>
    </w:pPr>
  </w:style>
  <w:style w:type="paragraph" w:customStyle="1" w:styleId="QuotedText">
    <w:name w:val="Quoted Text"/>
    <w:basedOn w:val="Normal"/>
    <w:uiPriority w:val="99"/>
    <w:rsid w:val="00475311"/>
    <w:pPr>
      <w:ind w:left="1418"/>
    </w:pPr>
  </w:style>
  <w:style w:type="paragraph" w:customStyle="1" w:styleId="Rfrenceinterinstitutionelle">
    <w:name w:val="Référence interinstitutionelle"/>
    <w:basedOn w:val="Normal"/>
    <w:next w:val="Statut"/>
    <w:uiPriority w:val="99"/>
    <w:rsid w:val="00475311"/>
    <w:pPr>
      <w:ind w:left="5103"/>
      <w:jc w:val="left"/>
    </w:pPr>
  </w:style>
  <w:style w:type="paragraph" w:customStyle="1" w:styleId="SectionTitle">
    <w:name w:val="SectionTitle"/>
    <w:basedOn w:val="Normal"/>
    <w:next w:val="Heading1"/>
    <w:uiPriority w:val="99"/>
    <w:rsid w:val="00475311"/>
    <w:pPr>
      <w:keepNext/>
      <w:spacing w:after="360"/>
      <w:jc w:val="center"/>
    </w:pPr>
    <w:rPr>
      <w:b/>
      <w:bCs/>
      <w:smallCaps/>
      <w:sz w:val="28"/>
      <w:szCs w:val="28"/>
    </w:rPr>
  </w:style>
  <w:style w:type="paragraph" w:customStyle="1" w:styleId="TableTitle">
    <w:name w:val="Table Title"/>
    <w:basedOn w:val="Normal"/>
    <w:next w:val="Normal"/>
    <w:uiPriority w:val="99"/>
    <w:rsid w:val="00475311"/>
    <w:pPr>
      <w:jc w:val="center"/>
    </w:pPr>
    <w:rPr>
      <w:b/>
      <w:bCs/>
    </w:rPr>
  </w:style>
  <w:style w:type="paragraph" w:customStyle="1" w:styleId="Tiret0">
    <w:name w:val="Tiret 0"/>
    <w:basedOn w:val="Point0"/>
    <w:uiPriority w:val="99"/>
    <w:rsid w:val="00475311"/>
  </w:style>
  <w:style w:type="paragraph" w:customStyle="1" w:styleId="Tiret1">
    <w:name w:val="Tiret 1"/>
    <w:basedOn w:val="Point1"/>
    <w:uiPriority w:val="99"/>
    <w:rsid w:val="00475311"/>
  </w:style>
  <w:style w:type="paragraph" w:customStyle="1" w:styleId="Tiret2">
    <w:name w:val="Tiret 2"/>
    <w:basedOn w:val="Point2"/>
    <w:uiPriority w:val="99"/>
    <w:rsid w:val="00475311"/>
  </w:style>
  <w:style w:type="paragraph" w:customStyle="1" w:styleId="Tiret3">
    <w:name w:val="Tiret 3"/>
    <w:basedOn w:val="Point3"/>
    <w:uiPriority w:val="99"/>
    <w:rsid w:val="00475311"/>
  </w:style>
  <w:style w:type="paragraph" w:customStyle="1" w:styleId="Tiret4">
    <w:name w:val="Tiret 4"/>
    <w:basedOn w:val="Point4"/>
    <w:uiPriority w:val="99"/>
    <w:rsid w:val="00475311"/>
  </w:style>
  <w:style w:type="paragraph" w:styleId="TOAHeading">
    <w:name w:val="toa heading"/>
    <w:basedOn w:val="Normal"/>
    <w:next w:val="Normal"/>
    <w:uiPriority w:val="99"/>
    <w:rsid w:val="00475311"/>
    <w:rPr>
      <w:rFonts w:cs="Arial"/>
      <w:b/>
      <w:bCs/>
    </w:rPr>
  </w:style>
  <w:style w:type="paragraph" w:styleId="TOC1">
    <w:name w:val="toc 1"/>
    <w:next w:val="Normal"/>
    <w:uiPriority w:val="39"/>
    <w:qFormat/>
    <w:rsid w:val="00FC3016"/>
    <w:pPr>
      <w:tabs>
        <w:tab w:val="right" w:leader="dot" w:pos="9072"/>
      </w:tabs>
      <w:spacing w:before="200" w:after="100"/>
      <w:ind w:left="-142" w:right="567" w:hanging="142"/>
      <w:jc w:val="both"/>
    </w:pPr>
    <w:rPr>
      <w:rFonts w:ascii="Arial" w:hAnsi="Arial"/>
      <w:b/>
      <w:bCs/>
      <w:caps/>
    </w:rPr>
  </w:style>
  <w:style w:type="paragraph" w:styleId="TOC2">
    <w:name w:val="toc 2"/>
    <w:next w:val="Normal"/>
    <w:uiPriority w:val="39"/>
    <w:qFormat/>
    <w:rsid w:val="00FC3016"/>
    <w:pPr>
      <w:spacing w:before="100"/>
      <w:ind w:left="85" w:right="567" w:hanging="142"/>
      <w:jc w:val="both"/>
    </w:pPr>
    <w:rPr>
      <w:rFonts w:ascii="Arial" w:hAnsi="Arial"/>
      <w:smallCaps/>
    </w:rPr>
  </w:style>
  <w:style w:type="paragraph" w:styleId="TOC3">
    <w:name w:val="toc 3"/>
    <w:next w:val="Normal"/>
    <w:uiPriority w:val="39"/>
    <w:qFormat/>
    <w:rsid w:val="00FC3016"/>
    <w:pPr>
      <w:tabs>
        <w:tab w:val="right" w:leader="dot" w:pos="9072"/>
      </w:tabs>
      <w:ind w:left="142" w:right="567" w:hanging="142"/>
      <w:jc w:val="both"/>
    </w:pPr>
    <w:rPr>
      <w:rFonts w:ascii="Arial" w:hAnsi="Arial"/>
      <w:i/>
      <w:iCs/>
    </w:rPr>
  </w:style>
  <w:style w:type="paragraph" w:styleId="TOC4">
    <w:name w:val="toc 4"/>
    <w:basedOn w:val="Normal"/>
    <w:next w:val="Normal"/>
    <w:uiPriority w:val="39"/>
    <w:rsid w:val="00980F0D"/>
    <w:pPr>
      <w:ind w:left="600"/>
      <w:jc w:val="left"/>
    </w:pPr>
    <w:rPr>
      <w:szCs w:val="18"/>
    </w:rPr>
  </w:style>
  <w:style w:type="paragraph" w:styleId="TOC5">
    <w:name w:val="toc 5"/>
    <w:basedOn w:val="Normal"/>
    <w:next w:val="Normal"/>
    <w:uiPriority w:val="39"/>
    <w:rsid w:val="00475311"/>
    <w:pPr>
      <w:ind w:left="800"/>
      <w:jc w:val="left"/>
    </w:pPr>
    <w:rPr>
      <w:rFonts w:ascii="Calibri" w:hAnsi="Calibri"/>
      <w:sz w:val="18"/>
      <w:szCs w:val="18"/>
    </w:rPr>
  </w:style>
  <w:style w:type="paragraph" w:styleId="TOC6">
    <w:name w:val="toc 6"/>
    <w:basedOn w:val="Normal"/>
    <w:next w:val="Normal"/>
    <w:uiPriority w:val="39"/>
    <w:rsid w:val="00475311"/>
    <w:pPr>
      <w:ind w:left="1000"/>
      <w:jc w:val="left"/>
    </w:pPr>
    <w:rPr>
      <w:rFonts w:ascii="Calibri" w:hAnsi="Calibri"/>
      <w:sz w:val="18"/>
      <w:szCs w:val="18"/>
    </w:rPr>
  </w:style>
  <w:style w:type="paragraph" w:styleId="TOC7">
    <w:name w:val="toc 7"/>
    <w:basedOn w:val="Normal"/>
    <w:next w:val="Normal"/>
    <w:uiPriority w:val="39"/>
    <w:rsid w:val="00475311"/>
    <w:pPr>
      <w:ind w:left="1200"/>
      <w:jc w:val="left"/>
    </w:pPr>
    <w:rPr>
      <w:rFonts w:ascii="Calibri" w:hAnsi="Calibri"/>
      <w:sz w:val="18"/>
      <w:szCs w:val="18"/>
    </w:rPr>
  </w:style>
  <w:style w:type="paragraph" w:styleId="TOC8">
    <w:name w:val="toc 8"/>
    <w:basedOn w:val="Normal"/>
    <w:next w:val="Normal"/>
    <w:uiPriority w:val="39"/>
    <w:rsid w:val="00475311"/>
    <w:pPr>
      <w:ind w:left="1400"/>
      <w:jc w:val="left"/>
    </w:pPr>
    <w:rPr>
      <w:rFonts w:ascii="Calibri" w:hAnsi="Calibri"/>
      <w:sz w:val="18"/>
      <w:szCs w:val="18"/>
    </w:rPr>
  </w:style>
  <w:style w:type="paragraph" w:styleId="TOC9">
    <w:name w:val="toc 9"/>
    <w:basedOn w:val="Normal"/>
    <w:next w:val="Normal"/>
    <w:uiPriority w:val="39"/>
    <w:rsid w:val="00475311"/>
    <w:pPr>
      <w:ind w:left="1600"/>
      <w:jc w:val="left"/>
    </w:pPr>
    <w:rPr>
      <w:rFonts w:ascii="Calibri" w:hAnsi="Calibri"/>
      <w:sz w:val="18"/>
      <w:szCs w:val="18"/>
    </w:rPr>
  </w:style>
  <w:style w:type="paragraph" w:styleId="TOCHeading">
    <w:name w:val="TOC Heading"/>
    <w:basedOn w:val="Normal"/>
    <w:next w:val="Normal"/>
    <w:uiPriority w:val="39"/>
    <w:qFormat/>
    <w:rsid w:val="00475311"/>
    <w:pPr>
      <w:spacing w:after="240"/>
      <w:jc w:val="center"/>
    </w:pPr>
    <w:rPr>
      <w:b/>
      <w:bCs/>
      <w:sz w:val="28"/>
      <w:szCs w:val="28"/>
    </w:rPr>
  </w:style>
  <w:style w:type="paragraph" w:customStyle="1" w:styleId="Considrant">
    <w:name w:val="Considérant"/>
    <w:basedOn w:val="Normal"/>
    <w:rsid w:val="00475311"/>
    <w:pPr>
      <w:numPr>
        <w:numId w:val="3"/>
      </w:numPr>
    </w:pPr>
  </w:style>
  <w:style w:type="paragraph" w:customStyle="1" w:styleId="Confidentialit">
    <w:name w:val="Confidentialité"/>
    <w:basedOn w:val="Normal"/>
    <w:next w:val="Statut"/>
    <w:uiPriority w:val="99"/>
    <w:rsid w:val="00475311"/>
    <w:pPr>
      <w:spacing w:before="240" w:after="240"/>
      <w:ind w:left="5103"/>
    </w:pPr>
    <w:rPr>
      <w:u w:val="single"/>
    </w:rPr>
  </w:style>
  <w:style w:type="paragraph" w:customStyle="1" w:styleId="ManualConsidrant">
    <w:name w:val="Manual Considérant"/>
    <w:basedOn w:val="Normal"/>
    <w:uiPriority w:val="99"/>
    <w:rsid w:val="00475311"/>
    <w:pPr>
      <w:ind w:left="709" w:hanging="709"/>
    </w:pPr>
  </w:style>
  <w:style w:type="paragraph" w:customStyle="1" w:styleId="FooterLandscape">
    <w:name w:val="FooterLandscape"/>
    <w:basedOn w:val="Footer"/>
    <w:uiPriority w:val="99"/>
    <w:rsid w:val="00475311"/>
    <w:pPr>
      <w:tabs>
        <w:tab w:val="clear" w:pos="4536"/>
        <w:tab w:val="clear" w:pos="9072"/>
        <w:tab w:val="center" w:pos="7002"/>
        <w:tab w:val="right" w:pos="14005"/>
      </w:tabs>
    </w:pPr>
  </w:style>
  <w:style w:type="paragraph" w:customStyle="1" w:styleId="Titredumodificateur">
    <w:name w:val="Titre du modificateur"/>
    <w:basedOn w:val="Normal"/>
    <w:next w:val="Annexetitrefichefinacte"/>
    <w:uiPriority w:val="99"/>
    <w:rsid w:val="00475311"/>
    <w:pPr>
      <w:spacing w:before="240" w:after="60"/>
      <w:jc w:val="left"/>
    </w:pPr>
    <w:rPr>
      <w:b/>
      <w:bCs/>
    </w:rPr>
  </w:style>
  <w:style w:type="paragraph" w:customStyle="1" w:styleId="Referencedumodificateur">
    <w:name w:val="Reference du modificateur"/>
    <w:basedOn w:val="Normal"/>
    <w:next w:val="Annexetitrefichefinglobale"/>
    <w:uiPriority w:val="99"/>
    <w:rsid w:val="00475311"/>
    <w:pPr>
      <w:jc w:val="left"/>
    </w:pPr>
  </w:style>
  <w:style w:type="character" w:styleId="Hyperlink">
    <w:name w:val="Hyperlink"/>
    <w:uiPriority w:val="99"/>
    <w:unhideWhenUsed/>
    <w:rsid w:val="00225A33"/>
    <w:rPr>
      <w:b/>
      <w:bCs/>
      <w:color w:val="002579"/>
      <w:u w:val="single"/>
    </w:rPr>
  </w:style>
  <w:style w:type="paragraph" w:styleId="BodyText">
    <w:name w:val="Body Text"/>
    <w:basedOn w:val="Normal"/>
    <w:link w:val="BodyTextChar"/>
    <w:rsid w:val="00225A33"/>
    <w:pPr>
      <w:keepNext/>
      <w:tabs>
        <w:tab w:val="left" w:pos="709"/>
      </w:tabs>
      <w:autoSpaceDE/>
      <w:autoSpaceDN/>
      <w:spacing w:line="360" w:lineRule="auto"/>
      <w:jc w:val="left"/>
    </w:pPr>
  </w:style>
  <w:style w:type="character" w:customStyle="1" w:styleId="BodyTextChar">
    <w:name w:val="Body Text Char"/>
    <w:link w:val="BodyText"/>
    <w:rsid w:val="00225A33"/>
    <w:rPr>
      <w:rFonts w:ascii="Arial" w:hAnsi="Arial"/>
      <w:szCs w:val="24"/>
      <w:lang w:val="it-IT" w:eastAsia="it-IT"/>
    </w:rPr>
  </w:style>
  <w:style w:type="paragraph" w:styleId="CommentSubject">
    <w:name w:val="annotation subject"/>
    <w:basedOn w:val="CommentText"/>
    <w:next w:val="CommentText"/>
    <w:link w:val="CommentSubjectChar"/>
    <w:unhideWhenUsed/>
    <w:rsid w:val="00034CAA"/>
    <w:rPr>
      <w:b/>
      <w:bCs/>
    </w:rPr>
  </w:style>
  <w:style w:type="character" w:customStyle="1" w:styleId="CommentSubjectChar">
    <w:name w:val="Comment Subject Char"/>
    <w:link w:val="CommentSubject"/>
    <w:rsid w:val="00034CAA"/>
    <w:rPr>
      <w:rFonts w:ascii="Times New Roman" w:hAnsi="Times New Roman" w:cs="Times New Roman"/>
      <w:b/>
      <w:bCs/>
      <w:sz w:val="20"/>
      <w:szCs w:val="20"/>
    </w:rPr>
  </w:style>
  <w:style w:type="paragraph" w:styleId="Revision">
    <w:name w:val="Revision"/>
    <w:hidden/>
    <w:uiPriority w:val="99"/>
    <w:semiHidden/>
    <w:rsid w:val="00034CAA"/>
    <w:rPr>
      <w:rFonts w:ascii="Times New Roman" w:hAnsi="Times New Roman"/>
      <w:sz w:val="24"/>
      <w:szCs w:val="24"/>
    </w:rPr>
  </w:style>
  <w:style w:type="paragraph" w:styleId="BalloonText">
    <w:name w:val="Balloon Text"/>
    <w:basedOn w:val="Normal"/>
    <w:link w:val="BalloonTextChar"/>
    <w:unhideWhenUsed/>
    <w:rsid w:val="00034CAA"/>
    <w:rPr>
      <w:rFonts w:ascii="Tahoma" w:hAnsi="Tahoma"/>
      <w:sz w:val="16"/>
      <w:szCs w:val="16"/>
    </w:rPr>
  </w:style>
  <w:style w:type="character" w:customStyle="1" w:styleId="BalloonTextChar">
    <w:name w:val="Balloon Text Char"/>
    <w:link w:val="BalloonText"/>
    <w:rsid w:val="00034CAA"/>
    <w:rPr>
      <w:rFonts w:ascii="Tahoma" w:hAnsi="Tahoma" w:cs="Tahoma"/>
      <w:sz w:val="16"/>
      <w:szCs w:val="16"/>
    </w:rPr>
  </w:style>
  <w:style w:type="paragraph" w:styleId="BodyText3">
    <w:name w:val="Body Text 3"/>
    <w:basedOn w:val="Normal"/>
    <w:link w:val="BodyText3Char"/>
    <w:unhideWhenUsed/>
    <w:rsid w:val="00B5757A"/>
    <w:rPr>
      <w:sz w:val="16"/>
      <w:szCs w:val="16"/>
    </w:rPr>
  </w:style>
  <w:style w:type="character" w:customStyle="1" w:styleId="BodyText3Char">
    <w:name w:val="Body Text 3 Char"/>
    <w:link w:val="BodyText3"/>
    <w:uiPriority w:val="99"/>
    <w:rsid w:val="00B5757A"/>
    <w:rPr>
      <w:rFonts w:ascii="Times New Roman" w:hAnsi="Times New Roman"/>
      <w:sz w:val="16"/>
      <w:szCs w:val="16"/>
    </w:rPr>
  </w:style>
  <w:style w:type="paragraph" w:styleId="BodyTextIndent3">
    <w:name w:val="Body Text Indent 3"/>
    <w:basedOn w:val="Normal"/>
    <w:link w:val="BodyTextIndent3Char"/>
    <w:unhideWhenUsed/>
    <w:rsid w:val="00364497"/>
    <w:pPr>
      <w:ind w:left="283"/>
    </w:pPr>
    <w:rPr>
      <w:sz w:val="16"/>
      <w:szCs w:val="16"/>
    </w:rPr>
  </w:style>
  <w:style w:type="character" w:customStyle="1" w:styleId="BodyTextIndent3Char">
    <w:name w:val="Body Text Indent 3 Char"/>
    <w:link w:val="BodyTextIndent3"/>
    <w:uiPriority w:val="99"/>
    <w:rsid w:val="00364497"/>
    <w:rPr>
      <w:rFonts w:ascii="Times New Roman" w:hAnsi="Times New Roman"/>
      <w:sz w:val="16"/>
      <w:szCs w:val="16"/>
    </w:rPr>
  </w:style>
  <w:style w:type="paragraph" w:styleId="ListParagraph">
    <w:name w:val="List Paragraph"/>
    <w:basedOn w:val="Normal"/>
    <w:uiPriority w:val="34"/>
    <w:qFormat/>
    <w:rsid w:val="00F0492F"/>
    <w:pPr>
      <w:autoSpaceDE/>
      <w:autoSpaceDN/>
      <w:ind w:left="720"/>
      <w:jc w:val="left"/>
    </w:pPr>
    <w:rPr>
      <w:rFonts w:ascii="Calibri" w:eastAsia="Calibri" w:hAnsi="Calibri" w:cs="Calibri"/>
      <w:sz w:val="22"/>
      <w:szCs w:val="22"/>
    </w:rPr>
  </w:style>
  <w:style w:type="paragraph" w:customStyle="1" w:styleId="ES-intro">
    <w:name w:val="ES-intro"/>
    <w:basedOn w:val="Normal"/>
    <w:link w:val="ES-introCar"/>
    <w:qFormat/>
    <w:rsid w:val="00465BBB"/>
    <w:pPr>
      <w:overflowPunct w:val="0"/>
      <w:adjustRightInd w:val="0"/>
      <w:spacing w:line="360" w:lineRule="auto"/>
      <w:textAlignment w:val="baseline"/>
    </w:pPr>
    <w:rPr>
      <w:rFonts w:eastAsia="Calibri"/>
      <w:szCs w:val="20"/>
    </w:rPr>
  </w:style>
  <w:style w:type="character" w:customStyle="1" w:styleId="ES-introCar">
    <w:name w:val="ES-intro Car"/>
    <w:link w:val="ES-intro"/>
    <w:rsid w:val="00465BBB"/>
    <w:rPr>
      <w:rFonts w:ascii="Arial" w:eastAsia="Calibri" w:hAnsi="Arial"/>
      <w:lang w:val="it-IT" w:eastAsia="it-IT"/>
    </w:rPr>
  </w:style>
  <w:style w:type="paragraph" w:customStyle="1" w:styleId="ES-Titre1">
    <w:name w:val="ES-Titre1"/>
    <w:basedOn w:val="Normal"/>
    <w:link w:val="ES-Titre1Car"/>
    <w:qFormat/>
    <w:rsid w:val="00A84512"/>
    <w:pPr>
      <w:overflowPunct w:val="0"/>
      <w:adjustRightInd w:val="0"/>
      <w:spacing w:line="240" w:lineRule="atLeast"/>
      <w:ind w:left="0" w:firstLine="0"/>
      <w:jc w:val="center"/>
      <w:textAlignment w:val="baseline"/>
    </w:pPr>
    <w:rPr>
      <w:rFonts w:eastAsia="Calibri" w:cs="Arial"/>
      <w:b/>
      <w:color w:val="000000"/>
      <w:sz w:val="28"/>
      <w:szCs w:val="32"/>
    </w:rPr>
  </w:style>
  <w:style w:type="paragraph" w:customStyle="1" w:styleId="ES-Titre2">
    <w:name w:val="ES-Titre2"/>
    <w:basedOn w:val="Normal"/>
    <w:link w:val="ES-Titre2Car"/>
    <w:qFormat/>
    <w:rsid w:val="009C13A9"/>
    <w:pPr>
      <w:pageBreakBefore/>
      <w:overflowPunct w:val="0"/>
      <w:adjustRightInd w:val="0"/>
      <w:spacing w:line="240" w:lineRule="atLeast"/>
      <w:ind w:left="0" w:firstLine="0"/>
      <w:jc w:val="center"/>
      <w:textAlignment w:val="baseline"/>
    </w:pPr>
    <w:rPr>
      <w:rFonts w:eastAsia="Calibri" w:cs="Arial"/>
      <w:b/>
      <w:i/>
      <w:caps/>
      <w:sz w:val="24"/>
      <w:szCs w:val="28"/>
    </w:rPr>
  </w:style>
  <w:style w:type="character" w:customStyle="1" w:styleId="ES-Titre1Car">
    <w:name w:val="ES-Titre1 Car"/>
    <w:link w:val="ES-Titre1"/>
    <w:rsid w:val="00A84512"/>
    <w:rPr>
      <w:rFonts w:ascii="Arial" w:eastAsia="Calibri" w:hAnsi="Arial" w:cs="Arial"/>
      <w:b/>
      <w:color w:val="000000"/>
      <w:sz w:val="28"/>
      <w:szCs w:val="32"/>
      <w:lang w:val="it-IT" w:eastAsia="it-IT"/>
    </w:rPr>
  </w:style>
  <w:style w:type="paragraph" w:customStyle="1" w:styleId="ES-Titre3">
    <w:name w:val="ES-Titre3"/>
    <w:basedOn w:val="Normal"/>
    <w:link w:val="ES-Titre3Car"/>
    <w:qFormat/>
    <w:rsid w:val="00944893"/>
    <w:pPr>
      <w:overflowPunct w:val="0"/>
      <w:adjustRightInd w:val="0"/>
      <w:spacing w:line="240" w:lineRule="exact"/>
      <w:ind w:left="0" w:firstLine="0"/>
      <w:jc w:val="center"/>
      <w:textAlignment w:val="baseline"/>
    </w:pPr>
    <w:rPr>
      <w:rFonts w:eastAsia="Calibri"/>
      <w:b/>
      <w:sz w:val="22"/>
      <w:szCs w:val="22"/>
    </w:rPr>
  </w:style>
  <w:style w:type="character" w:customStyle="1" w:styleId="ES-Titre2Car">
    <w:name w:val="ES-Titre2 Car"/>
    <w:link w:val="ES-Titre2"/>
    <w:rsid w:val="009C13A9"/>
    <w:rPr>
      <w:rFonts w:ascii="Arial" w:eastAsia="Calibri" w:hAnsi="Arial" w:cs="Arial"/>
      <w:b/>
      <w:i/>
      <w:caps/>
      <w:sz w:val="24"/>
      <w:szCs w:val="28"/>
      <w:lang w:val="it-IT" w:eastAsia="it-IT"/>
    </w:rPr>
  </w:style>
  <w:style w:type="character" w:customStyle="1" w:styleId="ES-Titre3Car">
    <w:name w:val="ES-Titre3 Car"/>
    <w:link w:val="ES-Titre3"/>
    <w:rsid w:val="00944893"/>
    <w:rPr>
      <w:rFonts w:ascii="Arial" w:eastAsia="Calibri" w:hAnsi="Arial"/>
      <w:b/>
      <w:sz w:val="22"/>
      <w:szCs w:val="22"/>
      <w:lang w:eastAsia="it-IT"/>
    </w:rPr>
  </w:style>
  <w:style w:type="paragraph" w:customStyle="1" w:styleId="TNR1">
    <w:name w:val="TNR1"/>
    <w:basedOn w:val="Normal"/>
    <w:rsid w:val="00A06CEC"/>
    <w:pPr>
      <w:tabs>
        <w:tab w:val="left" w:pos="284"/>
        <w:tab w:val="left" w:pos="454"/>
        <w:tab w:val="left" w:pos="680"/>
        <w:tab w:val="left" w:pos="907"/>
      </w:tabs>
      <w:overflowPunct w:val="0"/>
      <w:adjustRightInd w:val="0"/>
      <w:ind w:left="0" w:hanging="284"/>
      <w:textAlignment w:val="baseline"/>
    </w:pPr>
    <w:rPr>
      <w:rFonts w:ascii="Times New Roman" w:hAnsi="Times New Roman"/>
      <w:sz w:val="24"/>
      <w:szCs w:val="20"/>
    </w:rPr>
  </w:style>
  <w:style w:type="paragraph" w:customStyle="1" w:styleId="N1">
    <w:name w:val="N1"/>
    <w:basedOn w:val="Normal"/>
    <w:rsid w:val="00A06CEC"/>
    <w:pPr>
      <w:tabs>
        <w:tab w:val="left" w:pos="284"/>
        <w:tab w:val="left" w:pos="454"/>
        <w:tab w:val="left" w:pos="680"/>
      </w:tabs>
      <w:overflowPunct w:val="0"/>
      <w:adjustRightInd w:val="0"/>
      <w:spacing w:line="240" w:lineRule="exact"/>
      <w:ind w:left="0" w:hanging="284"/>
      <w:textAlignment w:val="baseline"/>
    </w:pPr>
    <w:rPr>
      <w:rFonts w:ascii="Times New Roman" w:hAnsi="Times New Roman"/>
      <w:sz w:val="24"/>
      <w:szCs w:val="20"/>
    </w:rPr>
  </w:style>
  <w:style w:type="paragraph" w:customStyle="1" w:styleId="EStiret">
    <w:name w:val="ES_tiret"/>
    <w:basedOn w:val="Normal"/>
    <w:qFormat/>
    <w:rsid w:val="00E65F26"/>
    <w:pPr>
      <w:spacing w:before="60" w:line="240" w:lineRule="atLeast"/>
      <w:ind w:left="1417"/>
    </w:pPr>
    <w:rPr>
      <w:noProof/>
      <w:snapToGrid w:val="0"/>
      <w:color w:val="000000"/>
    </w:rPr>
  </w:style>
  <w:style w:type="paragraph" w:customStyle="1" w:styleId="TNRA">
    <w:name w:val="TNRA"/>
    <w:basedOn w:val="TNR1"/>
    <w:rsid w:val="000B4F66"/>
    <w:pPr>
      <w:ind w:left="284"/>
    </w:pPr>
  </w:style>
  <w:style w:type="numbering" w:customStyle="1" w:styleId="Aucuneliste1">
    <w:name w:val="Aucune liste1"/>
    <w:next w:val="NoList"/>
    <w:semiHidden/>
    <w:unhideWhenUsed/>
    <w:rsid w:val="00973DAA"/>
  </w:style>
  <w:style w:type="paragraph" w:styleId="BodyTextIndent">
    <w:name w:val="Body Text Indent"/>
    <w:basedOn w:val="Normal"/>
    <w:link w:val="BodyTextIndentChar"/>
    <w:unhideWhenUsed/>
    <w:rsid w:val="00F51060"/>
    <w:pPr>
      <w:spacing w:after="120"/>
      <w:ind w:left="283"/>
    </w:pPr>
  </w:style>
  <w:style w:type="character" w:customStyle="1" w:styleId="BodyTextIndentChar">
    <w:name w:val="Body Text Indent Char"/>
    <w:link w:val="BodyTextIndent"/>
    <w:uiPriority w:val="99"/>
    <w:rsid w:val="00F51060"/>
    <w:rPr>
      <w:rFonts w:ascii="Arial" w:hAnsi="Arial"/>
      <w:szCs w:val="24"/>
    </w:rPr>
  </w:style>
  <w:style w:type="paragraph" w:customStyle="1" w:styleId="Retraitcorpsdetexte22">
    <w:name w:val="Retrait corps de texte 22"/>
    <w:basedOn w:val="Normal"/>
    <w:rsid w:val="00B73D19"/>
    <w:pPr>
      <w:widowControl w:val="0"/>
      <w:tabs>
        <w:tab w:val="left" w:pos="709"/>
      </w:tabs>
      <w:suppressAutoHyphens/>
      <w:autoSpaceDE/>
      <w:autoSpaceDN/>
      <w:spacing w:line="240" w:lineRule="atLeast"/>
      <w:ind w:left="426" w:firstLine="0"/>
      <w:jc w:val="left"/>
    </w:pPr>
    <w:rPr>
      <w:rFonts w:cs="Arial"/>
      <w:szCs w:val="20"/>
    </w:rPr>
  </w:style>
  <w:style w:type="table" w:styleId="TableGrid">
    <w:name w:val="Table Grid"/>
    <w:basedOn w:val="TableNormal"/>
    <w:uiPriority w:val="59"/>
    <w:rsid w:val="000833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1rp">
    <w:name w:val="T1_rp"/>
    <w:basedOn w:val="Normal"/>
    <w:rsid w:val="00226A59"/>
    <w:pPr>
      <w:widowControl w:val="0"/>
      <w:tabs>
        <w:tab w:val="left" w:pos="567"/>
      </w:tabs>
      <w:adjustRightInd w:val="0"/>
      <w:spacing w:line="240" w:lineRule="atLeast"/>
      <w:ind w:left="567" w:hanging="567"/>
    </w:pPr>
    <w:rPr>
      <w:rFonts w:ascii="Times New Roman" w:eastAsia="Batang" w:hAnsi="Times New Roman" w:cs="Arial"/>
      <w:sz w:val="24"/>
      <w:szCs w:val="20"/>
    </w:rPr>
  </w:style>
  <w:style w:type="paragraph" w:customStyle="1" w:styleId="ESchgras">
    <w:name w:val="ES_ch_gras"/>
    <w:basedOn w:val="Normal"/>
    <w:qFormat/>
    <w:rsid w:val="00151656"/>
    <w:pPr>
      <w:spacing w:line="240" w:lineRule="atLeast"/>
      <w:ind w:left="567" w:hanging="567"/>
    </w:pPr>
    <w:rPr>
      <w:rFonts w:cs="Arial"/>
      <w:b/>
      <w:color w:val="000000"/>
      <w:szCs w:val="20"/>
    </w:rPr>
  </w:style>
  <w:style w:type="paragraph" w:customStyle="1" w:styleId="ESch">
    <w:name w:val="ES_ch"/>
    <w:basedOn w:val="Normal"/>
    <w:qFormat/>
    <w:rsid w:val="00AE4E9D"/>
    <w:pPr>
      <w:spacing w:line="240" w:lineRule="atLeast"/>
      <w:ind w:left="567" w:hanging="567"/>
    </w:pPr>
  </w:style>
  <w:style w:type="paragraph" w:customStyle="1" w:styleId="ESlet">
    <w:name w:val="ES_let"/>
    <w:basedOn w:val="Normal"/>
    <w:qFormat/>
    <w:rsid w:val="00511BF6"/>
    <w:pPr>
      <w:spacing w:before="60" w:line="240" w:lineRule="atLeast"/>
      <w:ind w:left="992"/>
    </w:pPr>
  </w:style>
  <w:style w:type="paragraph" w:customStyle="1" w:styleId="ESletpar">
    <w:name w:val="ES_let_par"/>
    <w:basedOn w:val="Normal"/>
    <w:qFormat/>
    <w:rsid w:val="009058C5"/>
    <w:pPr>
      <w:spacing w:before="60" w:line="240" w:lineRule="atLeast"/>
      <w:ind w:left="992" w:firstLine="0"/>
    </w:pPr>
  </w:style>
  <w:style w:type="paragraph" w:customStyle="1" w:styleId="ESchpar">
    <w:name w:val="ES_ch_par"/>
    <w:basedOn w:val="Normal"/>
    <w:qFormat/>
    <w:rsid w:val="00321E38"/>
    <w:pPr>
      <w:spacing w:line="240" w:lineRule="atLeast"/>
      <w:ind w:left="567" w:firstLine="0"/>
    </w:pPr>
  </w:style>
  <w:style w:type="paragraph" w:customStyle="1" w:styleId="ESgauche">
    <w:name w:val="ES_gauche"/>
    <w:basedOn w:val="Normal"/>
    <w:qFormat/>
    <w:rsid w:val="00111867"/>
    <w:pPr>
      <w:spacing w:line="240" w:lineRule="atLeast"/>
      <w:ind w:left="0" w:firstLine="0"/>
    </w:pPr>
    <w:rPr>
      <w:noProof/>
    </w:rPr>
  </w:style>
  <w:style w:type="paragraph" w:customStyle="1" w:styleId="ESletgauche">
    <w:name w:val="ES_let_gauche"/>
    <w:basedOn w:val="ESch"/>
    <w:qFormat/>
    <w:rsid w:val="001F173C"/>
    <w:pPr>
      <w:spacing w:before="60"/>
    </w:pPr>
  </w:style>
  <w:style w:type="paragraph" w:customStyle="1" w:styleId="ESletlong">
    <w:name w:val="ES_let_long"/>
    <w:basedOn w:val="ESlet"/>
    <w:qFormat/>
    <w:rsid w:val="00BD4F1D"/>
    <w:pPr>
      <w:spacing w:before="0"/>
    </w:pPr>
  </w:style>
  <w:style w:type="table" w:customStyle="1" w:styleId="Grilledutableau1">
    <w:name w:val="Grille du tableau1"/>
    <w:basedOn w:val="TableNormal"/>
    <w:next w:val="TableGrid"/>
    <w:uiPriority w:val="59"/>
    <w:rsid w:val="00973DAA"/>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Marker">
    <w:name w:val="CR Marker"/>
    <w:uiPriority w:val="99"/>
    <w:rsid w:val="00973DAA"/>
    <w:rPr>
      <w:rFonts w:ascii="Wingdings" w:hAnsi="Wingdings" w:cs="Wingdings"/>
    </w:rPr>
  </w:style>
  <w:style w:type="character" w:customStyle="1" w:styleId="CRRefNum">
    <w:name w:val="CR RefNum"/>
    <w:uiPriority w:val="99"/>
    <w:rsid w:val="00973DAA"/>
    <w:rPr>
      <w:vertAlign w:val="subscript"/>
    </w:rPr>
  </w:style>
  <w:style w:type="paragraph" w:customStyle="1" w:styleId="CRSeparator">
    <w:name w:val="CR Separator"/>
    <w:basedOn w:val="Normal"/>
    <w:next w:val="Normal"/>
    <w:uiPriority w:val="99"/>
    <w:rsid w:val="00973DAA"/>
    <w:pPr>
      <w:keepNext/>
      <w:pBdr>
        <w:top w:val="single" w:sz="4" w:space="1" w:color="auto"/>
      </w:pBdr>
      <w:ind w:left="0" w:firstLine="0"/>
    </w:pPr>
    <w:rPr>
      <w:rFonts w:ascii="Times New Roman" w:hAnsi="Times New Roman"/>
      <w:sz w:val="24"/>
    </w:rPr>
  </w:style>
  <w:style w:type="paragraph" w:customStyle="1" w:styleId="CM1">
    <w:name w:val="CM1"/>
    <w:basedOn w:val="Normal"/>
    <w:next w:val="Normal"/>
    <w:uiPriority w:val="99"/>
    <w:rsid w:val="00973DAA"/>
    <w:pPr>
      <w:adjustRightInd w:val="0"/>
      <w:ind w:left="0" w:firstLine="0"/>
      <w:jc w:val="left"/>
    </w:pPr>
    <w:rPr>
      <w:rFonts w:ascii="Times New Roman" w:eastAsia="Calibri" w:hAnsi="Times New Roman"/>
      <w:sz w:val="24"/>
    </w:rPr>
  </w:style>
  <w:style w:type="paragraph" w:customStyle="1" w:styleId="CM3">
    <w:name w:val="CM3"/>
    <w:basedOn w:val="Normal"/>
    <w:next w:val="Normal"/>
    <w:uiPriority w:val="99"/>
    <w:rsid w:val="00973DAA"/>
    <w:pPr>
      <w:adjustRightInd w:val="0"/>
      <w:ind w:left="0" w:firstLine="0"/>
      <w:jc w:val="left"/>
    </w:pPr>
    <w:rPr>
      <w:rFonts w:ascii="Times New Roman" w:eastAsia="Calibri" w:hAnsi="Times New Roman"/>
      <w:sz w:val="24"/>
    </w:rPr>
  </w:style>
  <w:style w:type="paragraph" w:customStyle="1" w:styleId="CM4">
    <w:name w:val="CM4"/>
    <w:basedOn w:val="Normal"/>
    <w:next w:val="Normal"/>
    <w:uiPriority w:val="99"/>
    <w:rsid w:val="00973DAA"/>
    <w:pPr>
      <w:adjustRightInd w:val="0"/>
      <w:ind w:left="0" w:firstLine="0"/>
      <w:jc w:val="left"/>
    </w:pPr>
    <w:rPr>
      <w:rFonts w:ascii="Times New Roman" w:eastAsia="Calibri" w:hAnsi="Times New Roman"/>
      <w:sz w:val="24"/>
    </w:rPr>
  </w:style>
  <w:style w:type="paragraph" w:customStyle="1" w:styleId="EStiretpar">
    <w:name w:val="ES_tiret_par"/>
    <w:basedOn w:val="EStiret"/>
    <w:qFormat/>
    <w:rsid w:val="00124738"/>
    <w:pPr>
      <w:ind w:left="1418" w:firstLine="0"/>
    </w:pPr>
  </w:style>
  <w:style w:type="paragraph" w:customStyle="1" w:styleId="Esletgauchepar">
    <w:name w:val="Es_let_gauche_par"/>
    <w:basedOn w:val="ESletgauche"/>
    <w:qFormat/>
    <w:rsid w:val="00BF049A"/>
    <w:pPr>
      <w:ind w:firstLine="0"/>
    </w:pPr>
  </w:style>
  <w:style w:type="paragraph" w:styleId="PlainText">
    <w:name w:val="Plain Text"/>
    <w:basedOn w:val="Normal"/>
    <w:link w:val="PlainTextChar"/>
    <w:unhideWhenUsed/>
    <w:rsid w:val="00E0050D"/>
    <w:pPr>
      <w:autoSpaceDE/>
      <w:autoSpaceDN/>
      <w:ind w:left="0" w:firstLine="0"/>
      <w:jc w:val="left"/>
    </w:pPr>
    <w:rPr>
      <w:rFonts w:ascii="Calibri" w:eastAsia="Calibri" w:hAnsi="Calibri"/>
      <w:sz w:val="22"/>
      <w:szCs w:val="21"/>
    </w:rPr>
  </w:style>
  <w:style w:type="character" w:customStyle="1" w:styleId="PlainTextChar">
    <w:name w:val="Plain Text Char"/>
    <w:link w:val="PlainText"/>
    <w:rsid w:val="00E0050D"/>
    <w:rPr>
      <w:rFonts w:eastAsia="Calibri"/>
      <w:sz w:val="22"/>
      <w:szCs w:val="21"/>
      <w:lang w:eastAsia="it-IT"/>
    </w:rPr>
  </w:style>
  <w:style w:type="paragraph" w:customStyle="1" w:styleId="ES-Titre3a">
    <w:name w:val="ES-Titre3a"/>
    <w:basedOn w:val="ES-Titre3"/>
    <w:qFormat/>
    <w:rsid w:val="001E2331"/>
    <w:rPr>
      <w:i/>
    </w:rPr>
  </w:style>
  <w:style w:type="paragraph" w:customStyle="1" w:styleId="Es-Titreannexes">
    <w:name w:val="Es-Titre_annexes"/>
    <w:basedOn w:val="Normal"/>
    <w:qFormat/>
    <w:rsid w:val="001E2331"/>
    <w:pPr>
      <w:spacing w:before="40" w:line="220" w:lineRule="atLeast"/>
      <w:jc w:val="center"/>
    </w:pPr>
    <w:rPr>
      <w:rFonts w:ascii="Arial Gras" w:hAnsi="Arial Gras" w:cs="Arial"/>
      <w:b/>
      <w:caps/>
      <w:color w:val="000000"/>
      <w:sz w:val="40"/>
    </w:rPr>
  </w:style>
  <w:style w:type="paragraph" w:customStyle="1" w:styleId="ESintro">
    <w:name w:val="ES_intro"/>
    <w:basedOn w:val="Normal"/>
    <w:qFormat/>
    <w:rsid w:val="001E2331"/>
    <w:pPr>
      <w:spacing w:line="240" w:lineRule="atLeast"/>
      <w:jc w:val="center"/>
    </w:pPr>
    <w:rPr>
      <w:b/>
      <w:caps/>
      <w:sz w:val="24"/>
    </w:rPr>
  </w:style>
  <w:style w:type="paragraph" w:customStyle="1" w:styleId="ESletgauche075">
    <w:name w:val="ES_let_gauche0_75"/>
    <w:basedOn w:val="ESletgauche"/>
    <w:qFormat/>
    <w:rsid w:val="001E2331"/>
    <w:pPr>
      <w:ind w:left="426" w:hanging="426"/>
    </w:pPr>
  </w:style>
  <w:style w:type="character" w:customStyle="1" w:styleId="msoins0">
    <w:name w:val="msoins0"/>
    <w:rsid w:val="001E2331"/>
  </w:style>
  <w:style w:type="paragraph" w:customStyle="1" w:styleId="BlockQuotation">
    <w:name w:val="Block Quotation"/>
    <w:basedOn w:val="Normal"/>
    <w:rsid w:val="001E2331"/>
    <w:pPr>
      <w:widowControl w:val="0"/>
      <w:tabs>
        <w:tab w:val="left" w:pos="1701"/>
        <w:tab w:val="left" w:pos="2694"/>
      </w:tabs>
      <w:autoSpaceDE/>
      <w:autoSpaceDN/>
      <w:ind w:left="284" w:right="-482" w:hanging="284"/>
      <w:jc w:val="left"/>
    </w:pPr>
    <w:rPr>
      <w:rFonts w:ascii="Times New Roman" w:hAnsi="Times New Roman"/>
      <w:b/>
      <w:bCs/>
      <w:i/>
      <w:iCs/>
      <w:snapToGrid w:val="0"/>
      <w:szCs w:val="20"/>
    </w:rPr>
  </w:style>
  <w:style w:type="paragraph" w:customStyle="1" w:styleId="ES-Titre3prchap32">
    <w:name w:val="ES-Titre3_pr_chap32"/>
    <w:basedOn w:val="ES-Titre3"/>
    <w:qFormat/>
    <w:rsid w:val="001E2331"/>
  </w:style>
  <w:style w:type="paragraph" w:styleId="NormalIndent">
    <w:name w:val="Normal Indent"/>
    <w:basedOn w:val="Normal"/>
    <w:rsid w:val="009C13A9"/>
    <w:pPr>
      <w:overflowPunct w:val="0"/>
      <w:adjustRightInd w:val="0"/>
      <w:spacing w:line="240" w:lineRule="exact"/>
      <w:ind w:left="708" w:firstLine="0"/>
      <w:textAlignment w:val="baseline"/>
    </w:pPr>
    <w:rPr>
      <w:rFonts w:ascii="Times New Roman" w:hAnsi="Times New Roman"/>
      <w:sz w:val="24"/>
    </w:rPr>
  </w:style>
  <w:style w:type="paragraph" w:customStyle="1" w:styleId="N4">
    <w:name w:val="N4"/>
    <w:basedOn w:val="Normal"/>
    <w:rsid w:val="009C13A9"/>
    <w:pPr>
      <w:tabs>
        <w:tab w:val="left" w:pos="284"/>
        <w:tab w:val="left" w:pos="454"/>
        <w:tab w:val="left" w:pos="680"/>
        <w:tab w:val="left" w:pos="1021"/>
      </w:tabs>
      <w:overflowPunct w:val="0"/>
      <w:adjustRightInd w:val="0"/>
      <w:ind w:left="0" w:firstLine="0"/>
      <w:textAlignment w:val="baseline"/>
    </w:pPr>
    <w:rPr>
      <w:rFonts w:ascii="Times New Roman" w:hAnsi="Times New Roman"/>
      <w:sz w:val="22"/>
      <w:szCs w:val="20"/>
    </w:rPr>
  </w:style>
  <w:style w:type="paragraph" w:customStyle="1" w:styleId="N2">
    <w:name w:val="N2"/>
    <w:basedOn w:val="Normal"/>
    <w:rsid w:val="009C13A9"/>
    <w:pPr>
      <w:tabs>
        <w:tab w:val="left" w:pos="-340"/>
        <w:tab w:val="left" w:pos="284"/>
        <w:tab w:val="left" w:pos="454"/>
        <w:tab w:val="left" w:pos="680"/>
        <w:tab w:val="left" w:pos="1418"/>
      </w:tabs>
      <w:overflowPunct w:val="0"/>
      <w:adjustRightInd w:val="0"/>
      <w:ind w:left="0" w:hanging="1134"/>
      <w:textAlignment w:val="baseline"/>
    </w:pPr>
    <w:rPr>
      <w:rFonts w:ascii="Times New Roman" w:hAnsi="Times New Roman"/>
      <w:sz w:val="22"/>
      <w:szCs w:val="20"/>
    </w:rPr>
  </w:style>
  <w:style w:type="paragraph" w:customStyle="1" w:styleId="N3">
    <w:name w:val="N3"/>
    <w:basedOn w:val="Normal"/>
    <w:rsid w:val="009C13A9"/>
    <w:pPr>
      <w:tabs>
        <w:tab w:val="left" w:pos="170"/>
      </w:tabs>
      <w:overflowPunct w:val="0"/>
      <w:adjustRightInd w:val="0"/>
      <w:spacing w:line="240" w:lineRule="exact"/>
      <w:ind w:left="0" w:firstLine="0"/>
      <w:jc w:val="left"/>
      <w:textAlignment w:val="baseline"/>
    </w:pPr>
    <w:rPr>
      <w:rFonts w:ascii="Times New Roman" w:hAnsi="Times New Roman"/>
      <w:sz w:val="22"/>
      <w:szCs w:val="20"/>
    </w:rPr>
  </w:style>
  <w:style w:type="character" w:customStyle="1" w:styleId="En-tteCar1">
    <w:name w:val="En-tête Car1"/>
    <w:aliases w:val="numéro de page Car"/>
    <w:rsid w:val="009C13A9"/>
    <w:rPr>
      <w:lang w:val="it-IT" w:eastAsia="it-IT" w:bidi="it-IT"/>
    </w:rPr>
  </w:style>
  <w:style w:type="character" w:styleId="Strong">
    <w:name w:val="Strong"/>
    <w:qFormat/>
    <w:rsid w:val="009C13A9"/>
    <w:rPr>
      <w:b/>
      <w:bCs/>
    </w:rPr>
  </w:style>
  <w:style w:type="paragraph" w:styleId="EndnoteText">
    <w:name w:val="endnote text"/>
    <w:basedOn w:val="Normal"/>
    <w:link w:val="EndnoteTextChar"/>
    <w:rsid w:val="009C13A9"/>
    <w:pPr>
      <w:autoSpaceDE/>
      <w:autoSpaceDN/>
      <w:ind w:left="0" w:firstLine="0"/>
    </w:pPr>
    <w:rPr>
      <w:snapToGrid w:val="0"/>
      <w:szCs w:val="20"/>
    </w:rPr>
  </w:style>
  <w:style w:type="character" w:customStyle="1" w:styleId="EndnoteTextChar">
    <w:name w:val="Endnote Text Char"/>
    <w:link w:val="EndnoteText"/>
    <w:rsid w:val="009C13A9"/>
    <w:rPr>
      <w:rFonts w:ascii="Arial" w:hAnsi="Arial"/>
      <w:snapToGrid w:val="0"/>
      <w:lang w:val="it-IT"/>
    </w:rPr>
  </w:style>
  <w:style w:type="paragraph" w:customStyle="1" w:styleId="Annex2Nummer">
    <w:name w:val="Annex2_Nummer"/>
    <w:basedOn w:val="Normal"/>
    <w:rsid w:val="009C13A9"/>
    <w:pPr>
      <w:tabs>
        <w:tab w:val="left" w:pos="425"/>
        <w:tab w:val="left" w:pos="851"/>
        <w:tab w:val="left" w:pos="1276"/>
        <w:tab w:val="left" w:pos="1701"/>
        <w:tab w:val="left" w:pos="2126"/>
      </w:tabs>
      <w:overflowPunct w:val="0"/>
      <w:adjustRightInd w:val="0"/>
      <w:spacing w:before="240"/>
      <w:textAlignment w:val="baseline"/>
    </w:pPr>
    <w:rPr>
      <w:rFonts w:ascii="Times New Roman" w:hAnsi="Times New Roman"/>
      <w:sz w:val="24"/>
    </w:rPr>
  </w:style>
  <w:style w:type="paragraph" w:customStyle="1" w:styleId="Normal0">
    <w:name w:val="[Normal]"/>
    <w:rsid w:val="009C13A9"/>
    <w:pPr>
      <w:autoSpaceDE w:val="0"/>
      <w:autoSpaceDN w:val="0"/>
      <w:adjustRightInd w:val="0"/>
    </w:pPr>
    <w:rPr>
      <w:rFonts w:ascii="Arial" w:hAnsi="Arial" w:cs="Arial"/>
      <w:snapToGrid w:val="0"/>
    </w:rPr>
  </w:style>
  <w:style w:type="paragraph" w:customStyle="1" w:styleId="Annex2Texteng">
    <w:name w:val="Annex2_Text_eng"/>
    <w:basedOn w:val="Annex2Nummer"/>
    <w:rsid w:val="009C13A9"/>
    <w:pPr>
      <w:tabs>
        <w:tab w:val="clear" w:pos="425"/>
        <w:tab w:val="clear" w:pos="851"/>
        <w:tab w:val="clear" w:pos="1276"/>
        <w:tab w:val="clear" w:pos="1701"/>
        <w:tab w:val="clear" w:pos="2126"/>
        <w:tab w:val="left" w:pos="454"/>
        <w:tab w:val="left" w:pos="907"/>
        <w:tab w:val="left" w:pos="1361"/>
        <w:tab w:val="left" w:pos="1814"/>
      </w:tabs>
      <w:spacing w:before="0"/>
    </w:pPr>
    <w:rPr>
      <w:snapToGrid w:val="0"/>
    </w:rPr>
  </w:style>
  <w:style w:type="paragraph" w:customStyle="1" w:styleId="Titres">
    <w:name w:val="Titres"/>
    <w:basedOn w:val="Normal"/>
    <w:rsid w:val="009C13A9"/>
    <w:pPr>
      <w:overflowPunct w:val="0"/>
      <w:adjustRightInd w:val="0"/>
      <w:spacing w:line="240" w:lineRule="exact"/>
      <w:ind w:left="0" w:firstLine="0"/>
      <w:jc w:val="center"/>
      <w:textAlignment w:val="baseline"/>
    </w:pPr>
    <w:rPr>
      <w:rFonts w:ascii="Times New Roman" w:hAnsi="Times New Roman"/>
      <w:snapToGrid w:val="0"/>
      <w:sz w:val="24"/>
      <w:szCs w:val="20"/>
    </w:rPr>
  </w:style>
  <w:style w:type="paragraph" w:customStyle="1" w:styleId="N7">
    <w:name w:val="N7"/>
    <w:basedOn w:val="Normal"/>
    <w:rsid w:val="009C13A9"/>
    <w:pPr>
      <w:tabs>
        <w:tab w:val="left" w:pos="284"/>
      </w:tabs>
      <w:overflowPunct w:val="0"/>
      <w:adjustRightInd w:val="0"/>
      <w:ind w:left="0" w:hanging="397"/>
      <w:textAlignment w:val="baseline"/>
    </w:pPr>
    <w:rPr>
      <w:rFonts w:ascii="Times New Roman" w:hAnsi="Times New Roman"/>
      <w:snapToGrid w:val="0"/>
      <w:sz w:val="22"/>
      <w:szCs w:val="20"/>
    </w:rPr>
  </w:style>
  <w:style w:type="table" w:customStyle="1" w:styleId="Grilledutableau11">
    <w:name w:val="Grille du tableau11"/>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_"/>
    <w:basedOn w:val="BodyTextIndent2"/>
    <w:rsid w:val="009C13A9"/>
    <w:pPr>
      <w:tabs>
        <w:tab w:val="left" w:pos="426"/>
      </w:tabs>
      <w:spacing w:after="0" w:line="240" w:lineRule="atLeast"/>
      <w:ind w:left="426" w:hanging="426"/>
      <w:jc w:val="both"/>
    </w:pPr>
    <w:rPr>
      <w:rFonts w:ascii="Arial" w:hAnsi="Arial" w:cs="Arial"/>
      <w:sz w:val="20"/>
      <w:szCs w:val="20"/>
    </w:rPr>
  </w:style>
  <w:style w:type="paragraph" w:styleId="BodyTextIndent2">
    <w:name w:val="Body Text Indent 2"/>
    <w:basedOn w:val="Normal"/>
    <w:link w:val="BodyTextIndent2Char"/>
    <w:rsid w:val="009C13A9"/>
    <w:pPr>
      <w:autoSpaceDE/>
      <w:autoSpaceDN/>
      <w:spacing w:after="120" w:line="480" w:lineRule="auto"/>
      <w:ind w:left="283" w:firstLine="0"/>
      <w:jc w:val="left"/>
    </w:pPr>
    <w:rPr>
      <w:rFonts w:ascii="Times New Roman" w:hAnsi="Times New Roman"/>
      <w:snapToGrid w:val="0"/>
      <w:sz w:val="24"/>
    </w:rPr>
  </w:style>
  <w:style w:type="character" w:customStyle="1" w:styleId="BodyTextIndent2Char">
    <w:name w:val="Body Text Indent 2 Char"/>
    <w:link w:val="BodyTextIndent2"/>
    <w:rsid w:val="009C13A9"/>
    <w:rPr>
      <w:rFonts w:ascii="Times New Roman" w:hAnsi="Times New Roman"/>
      <w:snapToGrid w:val="0"/>
      <w:sz w:val="24"/>
      <w:szCs w:val="24"/>
      <w:lang w:val="it-IT"/>
    </w:rPr>
  </w:style>
  <w:style w:type="paragraph" w:styleId="Title">
    <w:name w:val="Title"/>
    <w:basedOn w:val="Normal"/>
    <w:link w:val="TitleChar"/>
    <w:qFormat/>
    <w:rsid w:val="009C13A9"/>
    <w:pPr>
      <w:autoSpaceDE/>
      <w:autoSpaceDN/>
      <w:ind w:left="0" w:firstLine="0"/>
      <w:jc w:val="center"/>
    </w:pPr>
    <w:rPr>
      <w:b/>
      <w:bCs/>
      <w:snapToGrid w:val="0"/>
      <w:sz w:val="22"/>
      <w:szCs w:val="22"/>
    </w:rPr>
  </w:style>
  <w:style w:type="character" w:customStyle="1" w:styleId="TitleChar">
    <w:name w:val="Title Char"/>
    <w:link w:val="Title"/>
    <w:rsid w:val="009C13A9"/>
    <w:rPr>
      <w:rFonts w:ascii="Arial" w:hAnsi="Arial"/>
      <w:b/>
      <w:bCs/>
      <w:snapToGrid w:val="0"/>
      <w:sz w:val="22"/>
      <w:szCs w:val="22"/>
      <w:lang w:val="it-IT"/>
    </w:rPr>
  </w:style>
  <w:style w:type="paragraph" w:customStyle="1" w:styleId="bijschrift">
    <w:name w:val="bijschrift"/>
    <w:basedOn w:val="Normal"/>
    <w:rsid w:val="009C13A9"/>
    <w:pPr>
      <w:widowControl w:val="0"/>
      <w:overflowPunct w:val="0"/>
      <w:adjustRightInd w:val="0"/>
      <w:ind w:left="0" w:firstLine="0"/>
      <w:jc w:val="left"/>
      <w:textAlignment w:val="baseline"/>
    </w:pPr>
    <w:rPr>
      <w:rFonts w:ascii="Times New Roman" w:hAnsi="Times New Roman"/>
      <w:snapToGrid w:val="0"/>
      <w:sz w:val="24"/>
    </w:rPr>
  </w:style>
  <w:style w:type="paragraph" w:customStyle="1" w:styleId="TNRa0">
    <w:name w:val="TNRa"/>
    <w:basedOn w:val="TNR1"/>
    <w:rsid w:val="009C13A9"/>
    <w:pPr>
      <w:widowControl w:val="0"/>
      <w:tabs>
        <w:tab w:val="clear" w:pos="284"/>
        <w:tab w:val="clear" w:pos="454"/>
        <w:tab w:val="clear" w:pos="680"/>
        <w:tab w:val="clear" w:pos="907"/>
      </w:tabs>
      <w:ind w:left="284"/>
    </w:pPr>
    <w:rPr>
      <w:snapToGrid w:val="0"/>
      <w:szCs w:val="24"/>
    </w:rPr>
  </w:style>
  <w:style w:type="paragraph" w:customStyle="1" w:styleId="abstab">
    <w:name w:val="abstab"/>
    <w:basedOn w:val="Normal"/>
    <w:rsid w:val="009C13A9"/>
    <w:pPr>
      <w:overflowPunct w:val="0"/>
      <w:adjustRightInd w:val="0"/>
      <w:ind w:left="0" w:firstLine="0"/>
      <w:jc w:val="left"/>
      <w:textAlignment w:val="baseline"/>
    </w:pPr>
    <w:rPr>
      <w:rFonts w:ascii="CG Times" w:hAnsi="CG Times" w:cs="CG Times"/>
      <w:snapToGrid w:val="0"/>
      <w:sz w:val="16"/>
      <w:szCs w:val="16"/>
    </w:rPr>
  </w:style>
  <w:style w:type="character" w:customStyle="1" w:styleId="tw4winMark">
    <w:name w:val="tw4winMark"/>
    <w:rsid w:val="009C13A9"/>
    <w:rPr>
      <w:rFonts w:ascii="Courier New" w:hAnsi="Courier New" w:cs="Courier New"/>
      <w:vanish/>
      <w:color w:val="800080"/>
      <w:sz w:val="24"/>
      <w:szCs w:val="24"/>
      <w:vertAlign w:val="subscript"/>
    </w:rPr>
  </w:style>
  <w:style w:type="character" w:customStyle="1" w:styleId="tw4winError">
    <w:name w:val="tw4winError"/>
    <w:rsid w:val="009C13A9"/>
    <w:rPr>
      <w:rFonts w:ascii="Courier New" w:hAnsi="Courier New" w:cs="Courier New"/>
      <w:color w:val="00FF00"/>
      <w:sz w:val="40"/>
      <w:szCs w:val="40"/>
    </w:rPr>
  </w:style>
  <w:style w:type="character" w:customStyle="1" w:styleId="tw4winTerm">
    <w:name w:val="tw4winTerm"/>
    <w:rsid w:val="009C13A9"/>
    <w:rPr>
      <w:color w:val="0000FF"/>
    </w:rPr>
  </w:style>
  <w:style w:type="character" w:customStyle="1" w:styleId="tw4winPopup">
    <w:name w:val="tw4winPopup"/>
    <w:rsid w:val="009C13A9"/>
    <w:rPr>
      <w:rFonts w:ascii="Courier New" w:hAnsi="Courier New" w:cs="Courier New"/>
      <w:noProof/>
      <w:color w:val="008000"/>
    </w:rPr>
  </w:style>
  <w:style w:type="character" w:customStyle="1" w:styleId="tw4winJump">
    <w:name w:val="tw4winJump"/>
    <w:rsid w:val="009C13A9"/>
    <w:rPr>
      <w:rFonts w:ascii="Courier New" w:hAnsi="Courier New" w:cs="Courier New"/>
      <w:noProof/>
      <w:color w:val="008080"/>
    </w:rPr>
  </w:style>
  <w:style w:type="character" w:customStyle="1" w:styleId="tw4winExternal">
    <w:name w:val="tw4winExternal"/>
    <w:rsid w:val="009C13A9"/>
    <w:rPr>
      <w:rFonts w:ascii="Courier New" w:hAnsi="Courier New" w:cs="Courier New"/>
      <w:noProof/>
      <w:color w:val="808080"/>
    </w:rPr>
  </w:style>
  <w:style w:type="character" w:customStyle="1" w:styleId="tw4winInternal">
    <w:name w:val="tw4winInternal"/>
    <w:rsid w:val="009C13A9"/>
    <w:rPr>
      <w:rFonts w:ascii="Courier New" w:hAnsi="Courier New" w:cs="Courier New"/>
      <w:noProof/>
      <w:color w:val="FF0000"/>
    </w:rPr>
  </w:style>
  <w:style w:type="character" w:customStyle="1" w:styleId="DONOTTRANSLATE">
    <w:name w:val="DO_NOT_TRANSLATE"/>
    <w:rsid w:val="009C13A9"/>
    <w:rPr>
      <w:rFonts w:ascii="Courier New" w:hAnsi="Courier New" w:cs="Courier New"/>
      <w:noProof/>
      <w:color w:val="800000"/>
    </w:rPr>
  </w:style>
  <w:style w:type="paragraph" w:customStyle="1" w:styleId="Brieftext11">
    <w:name w:val="Brieftext_11"/>
    <w:basedOn w:val="Normal"/>
    <w:rsid w:val="009C13A9"/>
    <w:pPr>
      <w:widowControl w:val="0"/>
      <w:autoSpaceDE/>
      <w:autoSpaceDN/>
      <w:spacing w:line="360" w:lineRule="auto"/>
      <w:ind w:left="0" w:firstLine="0"/>
      <w:jc w:val="left"/>
    </w:pPr>
    <w:rPr>
      <w:rFonts w:ascii="Times New Roman" w:hAnsi="Times New Roman"/>
      <w:snapToGrid w:val="0"/>
      <w:sz w:val="24"/>
    </w:rPr>
  </w:style>
  <w:style w:type="paragraph" w:customStyle="1" w:styleId="Res1">
    <w:name w:val="Res_1"/>
    <w:basedOn w:val="Normal"/>
    <w:rsid w:val="009C13A9"/>
    <w:pPr>
      <w:overflowPunct w:val="0"/>
      <w:adjustRightInd w:val="0"/>
      <w:spacing w:line="240" w:lineRule="exact"/>
      <w:textAlignment w:val="baseline"/>
    </w:pPr>
    <w:rPr>
      <w:rFonts w:cs="Arial"/>
      <w:i/>
      <w:iCs/>
      <w:snapToGrid w:val="0"/>
      <w:sz w:val="22"/>
      <w:szCs w:val="22"/>
    </w:rPr>
  </w:style>
  <w:style w:type="paragraph" w:customStyle="1" w:styleId="Res1texttmnr">
    <w:name w:val="Res_1_text_tmnr"/>
    <w:basedOn w:val="Normal"/>
    <w:rsid w:val="009C13A9"/>
    <w:pPr>
      <w:tabs>
        <w:tab w:val="left" w:pos="851"/>
      </w:tabs>
      <w:overflowPunct w:val="0"/>
      <w:adjustRightInd w:val="0"/>
      <w:spacing w:line="240" w:lineRule="atLeast"/>
      <w:ind w:left="850"/>
      <w:textAlignment w:val="baseline"/>
    </w:pPr>
    <w:rPr>
      <w:rFonts w:ascii="Times New Roman" w:hAnsi="Times New Roman"/>
      <w:snapToGrid w:val="0"/>
      <w:sz w:val="24"/>
    </w:rPr>
  </w:style>
  <w:style w:type="paragraph" w:customStyle="1" w:styleId="Liege">
    <w:name w:val="Liege"/>
    <w:basedOn w:val="Res1texttmnr"/>
    <w:rsid w:val="009C13A9"/>
    <w:pPr>
      <w:ind w:left="1134" w:firstLine="0"/>
    </w:pPr>
  </w:style>
  <w:style w:type="paragraph" w:customStyle="1" w:styleId="10">
    <w:name w:val="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3">
    <w:name w:val="3"/>
    <w:rsid w:val="009C13A9"/>
    <w:pPr>
      <w:tabs>
        <w:tab w:val="left" w:pos="680"/>
      </w:tabs>
      <w:overflowPunct w:val="0"/>
      <w:autoSpaceDE w:val="0"/>
      <w:autoSpaceDN w:val="0"/>
      <w:adjustRightInd w:val="0"/>
      <w:spacing w:line="240" w:lineRule="exact"/>
      <w:ind w:left="680" w:hanging="680"/>
      <w:textAlignment w:val="baseline"/>
    </w:pPr>
    <w:rPr>
      <w:rFonts w:ascii="Times New Roman" w:hAnsi="Times New Roman"/>
      <w:sz w:val="24"/>
      <w:szCs w:val="24"/>
    </w:rPr>
  </w:style>
  <w:style w:type="paragraph" w:customStyle="1" w:styleId="4">
    <w:name w:val="4"/>
    <w:rsid w:val="009C13A9"/>
    <w:pPr>
      <w:tabs>
        <w:tab w:val="left" w:pos="907"/>
      </w:tabs>
      <w:overflowPunct w:val="0"/>
      <w:autoSpaceDE w:val="0"/>
      <w:autoSpaceDN w:val="0"/>
      <w:adjustRightInd w:val="0"/>
      <w:spacing w:line="240" w:lineRule="exact"/>
      <w:ind w:left="907" w:hanging="907"/>
      <w:textAlignment w:val="baseline"/>
    </w:pPr>
    <w:rPr>
      <w:rFonts w:ascii="Times New Roman" w:hAnsi="Times New Roman"/>
      <w:sz w:val="24"/>
      <w:szCs w:val="24"/>
    </w:rPr>
  </w:style>
  <w:style w:type="paragraph" w:customStyle="1" w:styleId="5">
    <w:name w:val="5"/>
    <w:rsid w:val="009C13A9"/>
    <w:pPr>
      <w:tabs>
        <w:tab w:val="left" w:pos="1134"/>
      </w:tabs>
      <w:overflowPunct w:val="0"/>
      <w:autoSpaceDE w:val="0"/>
      <w:autoSpaceDN w:val="0"/>
      <w:adjustRightInd w:val="0"/>
      <w:spacing w:line="240" w:lineRule="exact"/>
      <w:ind w:left="1134" w:hanging="1134"/>
      <w:textAlignment w:val="baseline"/>
    </w:pPr>
    <w:rPr>
      <w:rFonts w:ascii="Times New Roman" w:hAnsi="Times New Roman"/>
      <w:sz w:val="24"/>
      <w:szCs w:val="24"/>
    </w:rPr>
  </w:style>
  <w:style w:type="paragraph" w:customStyle="1" w:styleId="6">
    <w:name w:val="6"/>
    <w:rsid w:val="009C13A9"/>
    <w:pPr>
      <w:tabs>
        <w:tab w:val="left" w:pos="284"/>
      </w:tabs>
      <w:overflowPunct w:val="0"/>
      <w:autoSpaceDE w:val="0"/>
      <w:autoSpaceDN w:val="0"/>
      <w:adjustRightInd w:val="0"/>
      <w:spacing w:line="240" w:lineRule="exact"/>
      <w:ind w:left="284" w:hanging="284"/>
      <w:textAlignment w:val="baseline"/>
    </w:pPr>
    <w:rPr>
      <w:rFonts w:ascii="Times New Roman" w:hAnsi="Times New Roman"/>
      <w:sz w:val="24"/>
      <w:szCs w:val="24"/>
    </w:rPr>
  </w:style>
  <w:style w:type="paragraph" w:customStyle="1" w:styleId="7">
    <w:name w:val="7"/>
    <w:rsid w:val="009C13A9"/>
    <w:pPr>
      <w:tabs>
        <w:tab w:val="left" w:pos="454"/>
        <w:tab w:val="left" w:pos="907"/>
      </w:tabs>
      <w:overflowPunct w:val="0"/>
      <w:autoSpaceDE w:val="0"/>
      <w:autoSpaceDN w:val="0"/>
      <w:adjustRightInd w:val="0"/>
      <w:spacing w:line="240" w:lineRule="exact"/>
      <w:ind w:left="907" w:hanging="454"/>
      <w:textAlignment w:val="baseline"/>
    </w:pPr>
    <w:rPr>
      <w:rFonts w:ascii="Times New Roman" w:hAnsi="Times New Roman"/>
      <w:sz w:val="24"/>
      <w:szCs w:val="24"/>
    </w:rPr>
  </w:style>
  <w:style w:type="paragraph" w:customStyle="1" w:styleId="8">
    <w:name w:val="8"/>
    <w:rsid w:val="009C13A9"/>
    <w:pPr>
      <w:tabs>
        <w:tab w:val="left" w:pos="907"/>
        <w:tab w:val="left" w:pos="1361"/>
      </w:tabs>
      <w:overflowPunct w:val="0"/>
      <w:autoSpaceDE w:val="0"/>
      <w:autoSpaceDN w:val="0"/>
      <w:adjustRightInd w:val="0"/>
      <w:spacing w:line="240" w:lineRule="exact"/>
      <w:ind w:left="1361" w:hanging="454"/>
      <w:textAlignment w:val="baseline"/>
    </w:pPr>
    <w:rPr>
      <w:rFonts w:ascii="Times New Roman" w:hAnsi="Times New Roman"/>
      <w:sz w:val="24"/>
      <w:szCs w:val="24"/>
    </w:rPr>
  </w:style>
  <w:style w:type="paragraph" w:customStyle="1" w:styleId="Paragraphe11">
    <w:name w:val="Paragraphe 1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Paragraphe12">
    <w:name w:val="Paragraphe 12"/>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I1">
    <w:name w:val="I1"/>
    <w:rsid w:val="009C13A9"/>
    <w:pPr>
      <w:tabs>
        <w:tab w:val="left" w:pos="57"/>
        <w:tab w:val="left" w:pos="1077"/>
      </w:tabs>
      <w:overflowPunct w:val="0"/>
      <w:autoSpaceDE w:val="0"/>
      <w:autoSpaceDN w:val="0"/>
      <w:adjustRightInd w:val="0"/>
      <w:spacing w:line="240" w:lineRule="exact"/>
      <w:ind w:left="1077" w:hanging="340"/>
      <w:textAlignment w:val="baseline"/>
    </w:pPr>
    <w:rPr>
      <w:rFonts w:ascii="Times New Roman" w:hAnsi="Times New Roman"/>
      <w:sz w:val="24"/>
      <w:szCs w:val="24"/>
    </w:rPr>
  </w:style>
  <w:style w:type="paragraph" w:customStyle="1" w:styleId="I2">
    <w:name w:val="I2"/>
    <w:rsid w:val="009C13A9"/>
    <w:pPr>
      <w:tabs>
        <w:tab w:val="left" w:pos="1077"/>
      </w:tabs>
      <w:overflowPunct w:val="0"/>
      <w:autoSpaceDE w:val="0"/>
      <w:autoSpaceDN w:val="0"/>
      <w:adjustRightInd w:val="0"/>
      <w:spacing w:line="240" w:lineRule="exact"/>
      <w:ind w:left="1077" w:hanging="454"/>
      <w:textAlignment w:val="baseline"/>
    </w:pPr>
    <w:rPr>
      <w:rFonts w:ascii="Times New Roman" w:hAnsi="Times New Roman"/>
      <w:sz w:val="24"/>
      <w:szCs w:val="24"/>
    </w:rPr>
  </w:style>
  <w:style w:type="paragraph" w:customStyle="1" w:styleId="I3">
    <w:name w:val="I3"/>
    <w:rsid w:val="009C13A9"/>
    <w:pPr>
      <w:tabs>
        <w:tab w:val="left" w:pos="1077"/>
      </w:tabs>
      <w:overflowPunct w:val="0"/>
      <w:autoSpaceDE w:val="0"/>
      <w:autoSpaceDN w:val="0"/>
      <w:adjustRightInd w:val="0"/>
      <w:spacing w:line="240" w:lineRule="exact"/>
      <w:ind w:left="1077" w:hanging="510"/>
      <w:textAlignment w:val="baseline"/>
    </w:pPr>
    <w:rPr>
      <w:rFonts w:ascii="Times New Roman" w:hAnsi="Times New Roman"/>
      <w:sz w:val="24"/>
      <w:szCs w:val="24"/>
    </w:rPr>
  </w:style>
  <w:style w:type="paragraph" w:customStyle="1" w:styleId="GT">
    <w:name w:val="GT"/>
    <w:rsid w:val="009C13A9"/>
    <w:pPr>
      <w:tabs>
        <w:tab w:val="left" w:pos="1344"/>
      </w:tabs>
      <w:overflowPunct w:val="0"/>
      <w:autoSpaceDE w:val="0"/>
      <w:autoSpaceDN w:val="0"/>
      <w:adjustRightInd w:val="0"/>
      <w:spacing w:line="240" w:lineRule="exact"/>
      <w:ind w:left="1344" w:hanging="1344"/>
      <w:textAlignment w:val="baseline"/>
    </w:pPr>
    <w:rPr>
      <w:rFonts w:ascii="Times New Roman" w:hAnsi="Times New Roman"/>
      <w:sz w:val="24"/>
      <w:szCs w:val="24"/>
    </w:rPr>
  </w:style>
  <w:style w:type="paragraph" w:customStyle="1" w:styleId="GF">
    <w:name w:val="GF"/>
    <w:rsid w:val="009C13A9"/>
    <w:pPr>
      <w:tabs>
        <w:tab w:val="left" w:pos="1824"/>
      </w:tabs>
      <w:overflowPunct w:val="0"/>
      <w:autoSpaceDE w:val="0"/>
      <w:autoSpaceDN w:val="0"/>
      <w:adjustRightInd w:val="0"/>
      <w:spacing w:line="240" w:lineRule="exact"/>
      <w:ind w:left="1826" w:hanging="1826"/>
      <w:jc w:val="both"/>
      <w:textAlignment w:val="baseline"/>
    </w:pPr>
    <w:rPr>
      <w:rFonts w:ascii="Times New Roman" w:hAnsi="Times New Roman"/>
      <w:sz w:val="24"/>
      <w:szCs w:val="24"/>
    </w:rPr>
  </w:style>
  <w:style w:type="paragraph" w:customStyle="1" w:styleId="Paragraphe19">
    <w:name w:val="Paragraphe 19"/>
    <w:rsid w:val="009C13A9"/>
    <w:pPr>
      <w:tabs>
        <w:tab w:val="left" w:pos="1344"/>
        <w:tab w:val="left" w:pos="1632"/>
      </w:tabs>
      <w:overflowPunct w:val="0"/>
      <w:autoSpaceDE w:val="0"/>
      <w:autoSpaceDN w:val="0"/>
      <w:adjustRightInd w:val="0"/>
      <w:spacing w:line="300" w:lineRule="exact"/>
      <w:ind w:left="1344" w:right="38" w:hanging="576"/>
      <w:jc w:val="both"/>
      <w:textAlignment w:val="baseline"/>
    </w:pPr>
    <w:rPr>
      <w:rFonts w:ascii="Times New Roman" w:hAnsi="Times New Roman"/>
      <w:sz w:val="24"/>
      <w:szCs w:val="24"/>
    </w:rPr>
  </w:style>
  <w:style w:type="paragraph" w:customStyle="1" w:styleId="TNR7">
    <w:name w:val="TNR7"/>
    <w:basedOn w:val="TNR1"/>
    <w:rsid w:val="009C13A9"/>
    <w:pPr>
      <w:tabs>
        <w:tab w:val="clear" w:pos="907"/>
        <w:tab w:val="left" w:pos="-284"/>
        <w:tab w:val="left" w:pos="1021"/>
      </w:tabs>
      <w:spacing w:line="240" w:lineRule="exact"/>
      <w:ind w:hanging="397"/>
    </w:pPr>
    <w:rPr>
      <w:szCs w:val="24"/>
    </w:rPr>
  </w:style>
  <w:style w:type="paragraph" w:customStyle="1" w:styleId="a">
    <w:name w:val="a_"/>
    <w:basedOn w:val="BodyTextIndent2"/>
    <w:rsid w:val="009C13A9"/>
    <w:pPr>
      <w:tabs>
        <w:tab w:val="left" w:pos="426"/>
        <w:tab w:val="left" w:pos="709"/>
      </w:tabs>
      <w:spacing w:after="0" w:line="240" w:lineRule="atLeast"/>
      <w:ind w:left="709" w:hanging="709"/>
      <w:jc w:val="both"/>
    </w:pPr>
    <w:rPr>
      <w:rFonts w:ascii="Arial" w:hAnsi="Arial" w:cs="Arial"/>
      <w:snapToGrid/>
      <w:sz w:val="20"/>
      <w:szCs w:val="20"/>
    </w:rPr>
  </w:style>
  <w:style w:type="paragraph" w:styleId="ListBullet">
    <w:name w:val="List Bullet"/>
    <w:basedOn w:val="Normal"/>
    <w:autoRedefine/>
    <w:rsid w:val="009C13A9"/>
    <w:pPr>
      <w:widowControl w:val="0"/>
      <w:tabs>
        <w:tab w:val="left" w:pos="851"/>
      </w:tabs>
      <w:autoSpaceDE/>
      <w:autoSpaceDN/>
      <w:spacing w:before="40"/>
      <w:ind w:left="850"/>
    </w:pPr>
    <w:rPr>
      <w:rFonts w:cs="Arial"/>
      <w:szCs w:val="20"/>
    </w:rPr>
  </w:style>
  <w:style w:type="paragraph" w:customStyle="1" w:styleId="en-ttes">
    <w:name w:val="en-têtes"/>
    <w:basedOn w:val="Header"/>
    <w:rsid w:val="009C13A9"/>
    <w:pPr>
      <w:tabs>
        <w:tab w:val="clear" w:pos="8306"/>
        <w:tab w:val="right" w:pos="851"/>
        <w:tab w:val="center" w:pos="4252"/>
        <w:tab w:val="right" w:pos="8504"/>
      </w:tabs>
      <w:overflowPunct w:val="0"/>
      <w:adjustRightInd w:val="0"/>
      <w:ind w:left="0" w:hanging="397"/>
      <w:jc w:val="center"/>
      <w:textAlignment w:val="baseline"/>
    </w:pPr>
    <w:rPr>
      <w:rFonts w:ascii="Times New Roman" w:hAnsi="Times New Roman"/>
      <w:sz w:val="22"/>
      <w:szCs w:val="22"/>
    </w:rPr>
  </w:style>
  <w:style w:type="paragraph" w:customStyle="1" w:styleId="N5">
    <w:name w:val="N5"/>
    <w:basedOn w:val="Normal"/>
    <w:rsid w:val="009C13A9"/>
    <w:pPr>
      <w:tabs>
        <w:tab w:val="left" w:pos="284"/>
      </w:tabs>
      <w:overflowPunct w:val="0"/>
      <w:adjustRightInd w:val="0"/>
      <w:ind w:left="0" w:firstLine="0"/>
      <w:jc w:val="left"/>
      <w:textAlignment w:val="baseline"/>
    </w:pPr>
    <w:rPr>
      <w:rFonts w:ascii="Times New Roman" w:hAnsi="Times New Roman"/>
      <w:sz w:val="22"/>
      <w:szCs w:val="22"/>
    </w:rPr>
  </w:style>
  <w:style w:type="paragraph" w:customStyle="1" w:styleId="N6">
    <w:name w:val="N6"/>
    <w:basedOn w:val="N5"/>
    <w:rsid w:val="009C13A9"/>
    <w:pPr>
      <w:tabs>
        <w:tab w:val="left" w:pos="794"/>
        <w:tab w:val="left" w:pos="1191"/>
        <w:tab w:val="left" w:leader="dot" w:pos="7371"/>
      </w:tabs>
    </w:pPr>
  </w:style>
  <w:style w:type="paragraph" w:customStyle="1" w:styleId="N8">
    <w:name w:val="N8"/>
    <w:basedOn w:val="N7"/>
    <w:rsid w:val="009C13A9"/>
    <w:pPr>
      <w:ind w:firstLine="0"/>
      <w:jc w:val="center"/>
    </w:pPr>
    <w:rPr>
      <w:snapToGrid/>
      <w:sz w:val="20"/>
    </w:rPr>
  </w:style>
  <w:style w:type="paragraph" w:customStyle="1" w:styleId="T1">
    <w:name w:val="T1"/>
    <w:basedOn w:val="Normal"/>
    <w:rsid w:val="009C13A9"/>
    <w:pPr>
      <w:tabs>
        <w:tab w:val="left" w:pos="425"/>
      </w:tabs>
      <w:overflowPunct w:val="0"/>
      <w:adjustRightInd w:val="0"/>
      <w:spacing w:line="240" w:lineRule="atLeast"/>
      <w:textAlignment w:val="baseline"/>
    </w:pPr>
    <w:rPr>
      <w:rFonts w:ascii="Times New Roman" w:hAnsi="Times New Roman"/>
      <w:sz w:val="24"/>
    </w:rPr>
  </w:style>
  <w:style w:type="paragraph" w:customStyle="1" w:styleId="Style1">
    <w:name w:val="Style1"/>
    <w:basedOn w:val="T1"/>
    <w:rsid w:val="009C13A9"/>
    <w:pPr>
      <w:tabs>
        <w:tab w:val="left" w:pos="851"/>
      </w:tabs>
      <w:spacing w:before="80"/>
      <w:ind w:left="850"/>
    </w:pPr>
  </w:style>
  <w:style w:type="paragraph" w:customStyle="1" w:styleId="T1a">
    <w:name w:val="T1a"/>
    <w:basedOn w:val="T1"/>
    <w:next w:val="Style1"/>
    <w:rsid w:val="009C13A9"/>
    <w:pPr>
      <w:tabs>
        <w:tab w:val="left" w:pos="851"/>
      </w:tabs>
      <w:spacing w:before="80"/>
      <w:ind w:left="850"/>
    </w:pPr>
  </w:style>
  <w:style w:type="paragraph" w:customStyle="1" w:styleId="To">
    <w:name w:val="To"/>
    <w:basedOn w:val="Normal"/>
    <w:rsid w:val="009C13A9"/>
    <w:pPr>
      <w:overflowPunct w:val="0"/>
      <w:adjustRightInd w:val="0"/>
      <w:spacing w:line="240" w:lineRule="atLeast"/>
      <w:ind w:left="0" w:firstLine="0"/>
      <w:textAlignment w:val="baseline"/>
    </w:pPr>
    <w:rPr>
      <w:rFonts w:ascii="Times New Roman" w:hAnsi="Times New Roman"/>
      <w:sz w:val="24"/>
    </w:rPr>
  </w:style>
  <w:style w:type="paragraph" w:styleId="BlockText">
    <w:name w:val="Block Text"/>
    <w:basedOn w:val="Normal"/>
    <w:rsid w:val="009C13A9"/>
    <w:pPr>
      <w:pBdr>
        <w:top w:val="double" w:sz="6" w:space="3" w:color="auto"/>
        <w:left w:val="double" w:sz="6" w:space="3" w:color="auto"/>
        <w:bottom w:val="double" w:sz="6" w:space="3" w:color="auto"/>
        <w:right w:val="double" w:sz="6" w:space="3" w:color="auto"/>
      </w:pBdr>
      <w:shd w:val="pct10" w:color="auto" w:fill="auto"/>
      <w:overflowPunct w:val="0"/>
      <w:adjustRightInd w:val="0"/>
      <w:ind w:left="2410" w:right="2125" w:firstLine="0"/>
      <w:jc w:val="center"/>
    </w:pPr>
    <w:rPr>
      <w:rFonts w:cs="Arial"/>
      <w:b/>
      <w:bCs/>
      <w:sz w:val="22"/>
      <w:szCs w:val="22"/>
    </w:rPr>
  </w:style>
  <w:style w:type="paragraph" w:customStyle="1" w:styleId="c1">
    <w:name w:val="c1"/>
    <w:basedOn w:val="Normal"/>
    <w:rsid w:val="009C13A9"/>
    <w:pPr>
      <w:autoSpaceDE/>
      <w:autoSpaceDN/>
      <w:spacing w:line="240" w:lineRule="atLeast"/>
      <w:ind w:left="0" w:firstLine="0"/>
      <w:jc w:val="center"/>
    </w:pPr>
    <w:rPr>
      <w:rFonts w:ascii="Times New Roman" w:hAnsi="Times New Roman"/>
      <w:sz w:val="24"/>
    </w:rPr>
  </w:style>
  <w:style w:type="paragraph" w:customStyle="1" w:styleId="Brieftext10">
    <w:name w:val="Brieftext_10"/>
    <w:basedOn w:val="Normal"/>
    <w:rsid w:val="009C13A9"/>
    <w:pPr>
      <w:widowControl w:val="0"/>
      <w:suppressAutoHyphens/>
      <w:autoSpaceDE/>
      <w:autoSpaceDN/>
      <w:spacing w:line="360" w:lineRule="auto"/>
      <w:ind w:left="0" w:firstLine="0"/>
      <w:jc w:val="left"/>
    </w:pPr>
    <w:rPr>
      <w:rFonts w:ascii="Times New Roman" w:hAnsi="Times New Roman"/>
      <w:szCs w:val="20"/>
    </w:rPr>
  </w:style>
  <w:style w:type="paragraph" w:customStyle="1" w:styleId="Retraitcorpsdetexte21">
    <w:name w:val="Retrait corps de texte 21"/>
    <w:basedOn w:val="Normal"/>
    <w:rsid w:val="009C13A9"/>
    <w:pPr>
      <w:tabs>
        <w:tab w:val="left" w:pos="1418"/>
      </w:tabs>
      <w:suppressAutoHyphens/>
      <w:autoSpaceDE/>
      <w:autoSpaceDN/>
      <w:spacing w:before="120"/>
      <w:ind w:left="1418" w:hanging="1418"/>
    </w:pPr>
    <w:rPr>
      <w:rFonts w:ascii="Times New Roman" w:hAnsi="Times New Roman"/>
      <w:snapToGrid w:val="0"/>
      <w:szCs w:val="20"/>
    </w:rPr>
  </w:style>
  <w:style w:type="paragraph" w:customStyle="1" w:styleId="N10">
    <w:name w:val="N10"/>
    <w:basedOn w:val="Normal"/>
    <w:rsid w:val="009C13A9"/>
    <w:pPr>
      <w:tabs>
        <w:tab w:val="left" w:pos="284"/>
        <w:tab w:val="left" w:pos="567"/>
        <w:tab w:val="left" w:pos="680"/>
        <w:tab w:val="left" w:pos="1021"/>
      </w:tabs>
      <w:overflowPunct w:val="0"/>
      <w:adjustRightInd w:val="0"/>
      <w:ind w:left="568" w:hanging="284"/>
      <w:textAlignment w:val="baseline"/>
    </w:pPr>
    <w:rPr>
      <w:rFonts w:ascii="Tms Rmn" w:hAnsi="Tms Rmn" w:cs="Tms Rmn"/>
      <w:snapToGrid w:val="0"/>
      <w:sz w:val="22"/>
      <w:szCs w:val="22"/>
    </w:rPr>
  </w:style>
  <w:style w:type="paragraph" w:customStyle="1" w:styleId="titr1">
    <w:name w:val="titr1"/>
    <w:basedOn w:val="BodyTextIndent"/>
    <w:rsid w:val="009C13A9"/>
    <w:pPr>
      <w:tabs>
        <w:tab w:val="left" w:pos="425"/>
      </w:tabs>
      <w:autoSpaceDE/>
      <w:autoSpaceDN/>
      <w:spacing w:after="0" w:line="240" w:lineRule="atLeast"/>
      <w:ind w:left="425"/>
      <w:outlineLvl w:val="0"/>
    </w:pPr>
    <w:rPr>
      <w:rFonts w:cs="Arial"/>
      <w:b/>
      <w:bCs/>
      <w:snapToGrid w:val="0"/>
      <w:sz w:val="22"/>
      <w:szCs w:val="22"/>
    </w:rPr>
  </w:style>
  <w:style w:type="paragraph" w:customStyle="1" w:styleId="Titra">
    <w:name w:val="Titr_a"/>
    <w:basedOn w:val="BodyTextIndent"/>
    <w:rsid w:val="009C13A9"/>
    <w:pPr>
      <w:tabs>
        <w:tab w:val="left" w:pos="851"/>
      </w:tabs>
      <w:autoSpaceDE/>
      <w:autoSpaceDN/>
      <w:spacing w:after="0" w:line="240" w:lineRule="atLeast"/>
      <w:ind w:left="850"/>
      <w:outlineLvl w:val="0"/>
    </w:pPr>
    <w:rPr>
      <w:rFonts w:cs="Arial"/>
      <w:snapToGrid w:val="0"/>
      <w:szCs w:val="20"/>
    </w:rPr>
  </w:style>
  <w:style w:type="paragraph" w:customStyle="1" w:styleId="Titrtiret">
    <w:name w:val="Titr_tiret"/>
    <w:basedOn w:val="BodyTextIndent"/>
    <w:rsid w:val="009C13A9"/>
    <w:pPr>
      <w:tabs>
        <w:tab w:val="left" w:pos="1276"/>
      </w:tabs>
      <w:autoSpaceDE/>
      <w:autoSpaceDN/>
      <w:spacing w:before="80" w:after="0" w:line="240" w:lineRule="atLeast"/>
      <w:ind w:left="1276"/>
    </w:pPr>
    <w:rPr>
      <w:rFonts w:cs="Arial"/>
      <w:snapToGrid w:val="0"/>
      <w:szCs w:val="20"/>
    </w:rPr>
  </w:style>
  <w:style w:type="paragraph" w:customStyle="1" w:styleId="Taa">
    <w:name w:val="Taa"/>
    <w:basedOn w:val="Normal"/>
    <w:rsid w:val="009C13A9"/>
    <w:pPr>
      <w:tabs>
        <w:tab w:val="left" w:pos="1276"/>
      </w:tabs>
      <w:overflowPunct w:val="0"/>
      <w:adjustRightInd w:val="0"/>
      <w:spacing w:line="240" w:lineRule="exact"/>
      <w:ind w:left="1276"/>
      <w:textAlignment w:val="baseline"/>
    </w:pPr>
    <w:rPr>
      <w:rFonts w:ascii="Times New Roman" w:hAnsi="Times New Roman"/>
      <w:sz w:val="24"/>
    </w:rPr>
  </w:style>
  <w:style w:type="paragraph" w:customStyle="1" w:styleId="Ta">
    <w:name w:val="Ta"/>
    <w:basedOn w:val="Normal"/>
    <w:rsid w:val="009C13A9"/>
    <w:pPr>
      <w:tabs>
        <w:tab w:val="left" w:pos="851"/>
      </w:tabs>
      <w:autoSpaceDE/>
      <w:autoSpaceDN/>
      <w:spacing w:line="240" w:lineRule="atLeast"/>
      <w:ind w:left="850"/>
      <w:jc w:val="left"/>
    </w:pPr>
    <w:rPr>
      <w:rFonts w:cs="Arial"/>
      <w:i/>
      <w:iCs/>
      <w:sz w:val="22"/>
      <w:szCs w:val="22"/>
    </w:rPr>
  </w:style>
  <w:style w:type="paragraph" w:customStyle="1" w:styleId="Annex2Artikel">
    <w:name w:val="Annex2_Artikel"/>
    <w:basedOn w:val="Normal"/>
    <w:rsid w:val="009C13A9"/>
    <w:pPr>
      <w:widowControl w:val="0"/>
      <w:tabs>
        <w:tab w:val="left" w:pos="454"/>
        <w:tab w:val="left" w:pos="907"/>
        <w:tab w:val="left" w:pos="1361"/>
        <w:tab w:val="left" w:pos="1814"/>
      </w:tabs>
      <w:overflowPunct w:val="0"/>
      <w:adjustRightInd w:val="0"/>
      <w:spacing w:before="480" w:line="240" w:lineRule="exact"/>
      <w:ind w:left="0" w:firstLine="0"/>
      <w:jc w:val="center"/>
      <w:textAlignment w:val="baseline"/>
    </w:pPr>
    <w:rPr>
      <w:rFonts w:ascii="Times New Roman" w:hAnsi="Times New Roman"/>
      <w:b/>
      <w:bCs/>
      <w:sz w:val="24"/>
    </w:rPr>
  </w:style>
  <w:style w:type="paragraph" w:customStyle="1" w:styleId="Annex2Artikelberschrift">
    <w:name w:val="Annex2_Artikel_Überschrift"/>
    <w:basedOn w:val="Normal"/>
    <w:rsid w:val="009C13A9"/>
    <w:pPr>
      <w:widowControl w:val="0"/>
      <w:tabs>
        <w:tab w:val="left" w:pos="454"/>
        <w:tab w:val="left" w:pos="907"/>
        <w:tab w:val="left" w:pos="1361"/>
        <w:tab w:val="left" w:pos="1814"/>
      </w:tabs>
      <w:overflowPunct w:val="0"/>
      <w:adjustRightInd w:val="0"/>
      <w:spacing w:before="240" w:line="240" w:lineRule="exact"/>
      <w:ind w:left="0" w:firstLine="0"/>
      <w:jc w:val="center"/>
      <w:textAlignment w:val="baseline"/>
    </w:pPr>
    <w:rPr>
      <w:rFonts w:ascii="Times New Roman" w:hAnsi="Times New Roman"/>
      <w:i/>
      <w:iCs/>
      <w:sz w:val="24"/>
    </w:rPr>
  </w:style>
  <w:style w:type="paragraph" w:customStyle="1" w:styleId="T1fr">
    <w:name w:val="T1fr"/>
    <w:basedOn w:val="T1"/>
    <w:rsid w:val="009C13A9"/>
    <w:pPr>
      <w:tabs>
        <w:tab w:val="clear" w:pos="425"/>
        <w:tab w:val="left" w:pos="851"/>
      </w:tabs>
      <w:overflowPunct/>
      <w:autoSpaceDE/>
      <w:autoSpaceDN/>
      <w:adjustRightInd/>
      <w:ind w:left="850"/>
      <w:textAlignment w:val="auto"/>
    </w:pPr>
  </w:style>
  <w:style w:type="paragraph" w:customStyle="1" w:styleId="Tafr">
    <w:name w:val="Ta_fr"/>
    <w:basedOn w:val="T1"/>
    <w:rsid w:val="009C13A9"/>
    <w:pPr>
      <w:tabs>
        <w:tab w:val="clear" w:pos="425"/>
        <w:tab w:val="left" w:pos="851"/>
      </w:tabs>
      <w:overflowPunct/>
      <w:autoSpaceDE/>
      <w:autoSpaceDN/>
      <w:adjustRightInd/>
      <w:spacing w:before="60"/>
      <w:ind w:left="1276"/>
      <w:textAlignment w:val="auto"/>
    </w:pPr>
  </w:style>
  <w:style w:type="paragraph" w:customStyle="1" w:styleId="T1n">
    <w:name w:val="T1n"/>
    <w:basedOn w:val="T1"/>
    <w:rsid w:val="009C13A9"/>
    <w:pPr>
      <w:tabs>
        <w:tab w:val="clear" w:pos="425"/>
        <w:tab w:val="left" w:pos="851"/>
      </w:tabs>
      <w:ind w:left="850"/>
    </w:pPr>
  </w:style>
  <w:style w:type="paragraph" w:customStyle="1" w:styleId="T1gr">
    <w:name w:val="T_1gr"/>
    <w:basedOn w:val="Normal"/>
    <w:rsid w:val="009C13A9"/>
    <w:pPr>
      <w:tabs>
        <w:tab w:val="left" w:pos="567"/>
      </w:tabs>
      <w:autoSpaceDE/>
      <w:autoSpaceDN/>
      <w:spacing w:line="240" w:lineRule="atLeast"/>
      <w:ind w:left="567" w:hanging="567"/>
    </w:pPr>
    <w:rPr>
      <w:rFonts w:cs="Arial"/>
      <w:b/>
      <w:bCs/>
      <w:snapToGrid w:val="0"/>
      <w:szCs w:val="20"/>
    </w:rPr>
  </w:style>
  <w:style w:type="paragraph" w:customStyle="1" w:styleId="T1rent">
    <w:name w:val="T_1rent"/>
    <w:basedOn w:val="Normal"/>
    <w:rsid w:val="009C13A9"/>
    <w:pPr>
      <w:autoSpaceDE/>
      <w:autoSpaceDN/>
      <w:spacing w:line="240" w:lineRule="atLeast"/>
      <w:ind w:left="567" w:firstLine="0"/>
    </w:pPr>
    <w:rPr>
      <w:rFonts w:cs="Arial"/>
      <w:snapToGrid w:val="0"/>
      <w:szCs w:val="20"/>
    </w:rPr>
  </w:style>
  <w:style w:type="paragraph" w:customStyle="1" w:styleId="textetableau">
    <w:name w:val="texte tableau"/>
    <w:basedOn w:val="Normal"/>
    <w:rsid w:val="009C13A9"/>
    <w:pPr>
      <w:tabs>
        <w:tab w:val="left" w:pos="1418"/>
      </w:tabs>
      <w:autoSpaceDE/>
      <w:autoSpaceDN/>
      <w:spacing w:before="40" w:after="40" w:line="220" w:lineRule="exact"/>
      <w:ind w:left="0" w:firstLine="0"/>
    </w:pPr>
    <w:rPr>
      <w:bCs/>
      <w:iCs/>
      <w:szCs w:val="20"/>
    </w:rPr>
  </w:style>
  <w:style w:type="paragraph" w:customStyle="1" w:styleId="Lignedobjet">
    <w:name w:val="Ligne d'objet"/>
    <w:basedOn w:val="Normal"/>
    <w:rsid w:val="009C13A9"/>
    <w:pPr>
      <w:tabs>
        <w:tab w:val="left" w:pos="284"/>
      </w:tabs>
      <w:overflowPunct w:val="0"/>
      <w:adjustRightInd w:val="0"/>
      <w:ind w:left="0" w:firstLine="0"/>
      <w:textAlignment w:val="baseline"/>
    </w:pPr>
    <w:rPr>
      <w:szCs w:val="20"/>
    </w:rPr>
  </w:style>
  <w:style w:type="paragraph" w:styleId="NormalWeb">
    <w:name w:val="Normal (Web)"/>
    <w:basedOn w:val="Normal"/>
    <w:rsid w:val="009C13A9"/>
    <w:pPr>
      <w:autoSpaceDE/>
      <w:autoSpaceDN/>
      <w:spacing w:before="101" w:after="101"/>
      <w:ind w:left="453" w:right="352" w:firstLine="0"/>
      <w:jc w:val="left"/>
    </w:pPr>
    <w:rPr>
      <w:rFonts w:ascii="Times New Roman" w:eastAsia="Batang" w:hAnsi="Times New Roman"/>
      <w:sz w:val="19"/>
      <w:szCs w:val="19"/>
    </w:rPr>
  </w:style>
  <w:style w:type="paragraph" w:styleId="BodyText2">
    <w:name w:val="Body Text 2"/>
    <w:basedOn w:val="Normal"/>
    <w:link w:val="BodyText2Char"/>
    <w:rsid w:val="009C13A9"/>
    <w:pPr>
      <w:autoSpaceDE/>
      <w:autoSpaceDN/>
      <w:spacing w:after="120" w:line="480" w:lineRule="auto"/>
      <w:ind w:left="0" w:firstLine="0"/>
      <w:jc w:val="left"/>
    </w:pPr>
    <w:rPr>
      <w:rFonts w:ascii="Times New Roman" w:hAnsi="Times New Roman"/>
      <w:snapToGrid w:val="0"/>
      <w:sz w:val="24"/>
    </w:rPr>
  </w:style>
  <w:style w:type="character" w:customStyle="1" w:styleId="BodyText2Char">
    <w:name w:val="Body Text 2 Char"/>
    <w:link w:val="BodyText2"/>
    <w:rsid w:val="009C13A9"/>
    <w:rPr>
      <w:rFonts w:ascii="Times New Roman" w:hAnsi="Times New Roman"/>
      <w:snapToGrid w:val="0"/>
      <w:sz w:val="24"/>
      <w:szCs w:val="24"/>
      <w:lang w:val="it-IT"/>
    </w:rPr>
  </w:style>
  <w:style w:type="paragraph" w:customStyle="1" w:styleId="Textkrper-Einzug3">
    <w:name w:val="Textkörper-Einzug 3"/>
    <w:basedOn w:val="Normal"/>
    <w:rsid w:val="009C13A9"/>
    <w:pPr>
      <w:widowControl w:val="0"/>
      <w:tabs>
        <w:tab w:val="left" w:pos="426"/>
      </w:tabs>
      <w:overflowPunct w:val="0"/>
      <w:adjustRightInd w:val="0"/>
      <w:ind w:left="426" w:hanging="426"/>
      <w:textAlignment w:val="baseline"/>
    </w:pPr>
    <w:rPr>
      <w:rFonts w:cs="Arial"/>
      <w:i/>
      <w:iCs/>
      <w:szCs w:val="20"/>
    </w:rPr>
  </w:style>
  <w:style w:type="paragraph" w:customStyle="1" w:styleId="a1">
    <w:name w:val="a1"/>
    <w:basedOn w:val="Normal"/>
    <w:rsid w:val="009C13A9"/>
    <w:pPr>
      <w:tabs>
        <w:tab w:val="left" w:pos="851"/>
      </w:tabs>
      <w:autoSpaceDE/>
      <w:autoSpaceDN/>
      <w:spacing w:line="240" w:lineRule="atLeast"/>
      <w:ind w:left="850"/>
    </w:pPr>
    <w:rPr>
      <w:rFonts w:ascii="Times New Roman" w:hAnsi="Times New Roman"/>
      <w:snapToGrid w:val="0"/>
      <w:sz w:val="24"/>
    </w:rPr>
  </w:style>
  <w:style w:type="paragraph" w:customStyle="1" w:styleId="Text1Char">
    <w:name w:val="Text1 Char"/>
    <w:aliases w:val="5 Char,BriefText1 Char"/>
    <w:basedOn w:val="Normal"/>
    <w:rsid w:val="009C13A9"/>
    <w:pPr>
      <w:autoSpaceDE/>
      <w:autoSpaceDN/>
      <w:spacing w:after="120" w:line="360" w:lineRule="auto"/>
      <w:ind w:left="0" w:firstLine="0"/>
      <w:jc w:val="left"/>
    </w:pPr>
    <w:rPr>
      <w:rFonts w:ascii="Arial Narrow" w:hAnsi="Arial Narrow"/>
      <w:snapToGrid w:val="0"/>
      <w:sz w:val="22"/>
      <w:szCs w:val="22"/>
    </w:rPr>
  </w:style>
  <w:style w:type="paragraph" w:customStyle="1" w:styleId="1berschriftTF">
    <w:name w:val="1.Überschrift TF"/>
    <w:basedOn w:val="Normal"/>
    <w:rsid w:val="009C13A9"/>
    <w:pPr>
      <w:autoSpaceDE/>
      <w:autoSpaceDN/>
      <w:ind w:left="0" w:firstLine="0"/>
      <w:jc w:val="left"/>
    </w:pPr>
    <w:rPr>
      <w:rFonts w:ascii="Arial Narrow" w:hAnsi="Arial Narrow"/>
      <w:snapToGrid w:val="0"/>
      <w:sz w:val="22"/>
      <w:szCs w:val="22"/>
    </w:rPr>
  </w:style>
  <w:style w:type="paragraph" w:styleId="Subtitle">
    <w:name w:val="Subtitle"/>
    <w:basedOn w:val="Normal"/>
    <w:link w:val="SubtitleChar"/>
    <w:qFormat/>
    <w:rsid w:val="009C13A9"/>
    <w:pPr>
      <w:tabs>
        <w:tab w:val="left" w:pos="851"/>
        <w:tab w:val="left" w:pos="1560"/>
      </w:tabs>
      <w:autoSpaceDE/>
      <w:autoSpaceDN/>
      <w:spacing w:line="240" w:lineRule="atLeast"/>
      <w:ind w:left="0" w:firstLine="0"/>
      <w:jc w:val="center"/>
    </w:pPr>
    <w:rPr>
      <w:b/>
      <w:bCs/>
      <w:snapToGrid w:val="0"/>
      <w:sz w:val="28"/>
      <w:szCs w:val="28"/>
    </w:rPr>
  </w:style>
  <w:style w:type="character" w:customStyle="1" w:styleId="SubtitleChar">
    <w:name w:val="Subtitle Char"/>
    <w:link w:val="Subtitle"/>
    <w:rsid w:val="009C13A9"/>
    <w:rPr>
      <w:rFonts w:ascii="Arial" w:hAnsi="Arial"/>
      <w:b/>
      <w:bCs/>
      <w:snapToGrid w:val="0"/>
      <w:sz w:val="28"/>
      <w:szCs w:val="28"/>
      <w:lang w:val="it-IT"/>
    </w:rPr>
  </w:style>
  <w:style w:type="paragraph" w:customStyle="1" w:styleId="t60">
    <w:name w:val="t60"/>
    <w:basedOn w:val="Normal"/>
    <w:rsid w:val="009C13A9"/>
    <w:pPr>
      <w:autoSpaceDE/>
      <w:autoSpaceDN/>
      <w:spacing w:line="200" w:lineRule="atLeast"/>
      <w:ind w:left="0" w:firstLine="0"/>
      <w:jc w:val="left"/>
    </w:pPr>
    <w:rPr>
      <w:rFonts w:ascii="Times New Roman" w:hAnsi="Times New Roman"/>
      <w:snapToGrid w:val="0"/>
      <w:sz w:val="24"/>
    </w:rPr>
  </w:style>
  <w:style w:type="character" w:styleId="LineNumber">
    <w:name w:val="line number"/>
    <w:basedOn w:val="DefaultParagraphFont"/>
    <w:rsid w:val="009C13A9"/>
  </w:style>
  <w:style w:type="paragraph" w:customStyle="1" w:styleId="Annex2Buchstabe">
    <w:name w:val="Annex2_Buchstabe"/>
    <w:basedOn w:val="Normal"/>
    <w:rsid w:val="009C13A9"/>
    <w:pPr>
      <w:tabs>
        <w:tab w:val="left" w:pos="454"/>
        <w:tab w:val="left" w:pos="907"/>
        <w:tab w:val="left" w:pos="1361"/>
        <w:tab w:val="left" w:pos="1814"/>
      </w:tabs>
      <w:overflowPunct w:val="0"/>
      <w:adjustRightInd w:val="0"/>
      <w:spacing w:after="80"/>
      <w:ind w:left="908" w:hanging="454"/>
      <w:textAlignment w:val="baseline"/>
    </w:pPr>
    <w:rPr>
      <w:rFonts w:ascii="Times New Roman" w:hAnsi="Times New Roman"/>
      <w:sz w:val="24"/>
    </w:rPr>
  </w:style>
  <w:style w:type="paragraph" w:customStyle="1" w:styleId="aa">
    <w:name w:val="aa"/>
    <w:basedOn w:val="Annex2Buchstabe"/>
    <w:rsid w:val="009C13A9"/>
    <w:pPr>
      <w:tabs>
        <w:tab w:val="clear" w:pos="454"/>
        <w:tab w:val="clear" w:pos="907"/>
        <w:tab w:val="clear" w:pos="1361"/>
        <w:tab w:val="clear" w:pos="1814"/>
        <w:tab w:val="left" w:pos="425"/>
        <w:tab w:val="left" w:pos="851"/>
        <w:tab w:val="left" w:pos="1276"/>
        <w:tab w:val="left" w:pos="1701"/>
        <w:tab w:val="left" w:pos="2126"/>
      </w:tabs>
      <w:spacing w:before="120" w:after="0" w:line="240" w:lineRule="atLeast"/>
      <w:ind w:left="850" w:hanging="425"/>
    </w:pPr>
  </w:style>
  <w:style w:type="paragraph" w:customStyle="1" w:styleId="Standard">
    <w:name w:val="Standard"/>
    <w:rsid w:val="009C13A9"/>
    <w:pPr>
      <w:widowControl w:val="0"/>
      <w:overflowPunct w:val="0"/>
      <w:autoSpaceDE w:val="0"/>
      <w:autoSpaceDN w:val="0"/>
      <w:adjustRightInd w:val="0"/>
      <w:jc w:val="both"/>
      <w:textAlignment w:val="baseline"/>
    </w:pPr>
    <w:rPr>
      <w:rFonts w:ascii="CG Times (W1)" w:hAnsi="CG Times (W1)"/>
      <w:snapToGrid w:val="0"/>
      <w:sz w:val="24"/>
      <w:szCs w:val="24"/>
    </w:rPr>
  </w:style>
  <w:style w:type="paragraph" w:customStyle="1" w:styleId="rad111">
    <w:name w:val="rad1.11"/>
    <w:basedOn w:val="Normal"/>
    <w:rsid w:val="009C13A9"/>
    <w:pPr>
      <w:tabs>
        <w:tab w:val="left" w:pos="284"/>
        <w:tab w:val="left" w:pos="454"/>
        <w:tab w:val="left" w:pos="709"/>
      </w:tabs>
      <w:autoSpaceDE/>
      <w:autoSpaceDN/>
      <w:spacing w:line="240" w:lineRule="exact"/>
      <w:ind w:left="0" w:hanging="567"/>
    </w:pPr>
    <w:rPr>
      <w:rFonts w:ascii="Times New Roman" w:hAnsi="Times New Roman"/>
      <w:snapToGrid w:val="0"/>
      <w:sz w:val="24"/>
    </w:rPr>
  </w:style>
  <w:style w:type="paragraph" w:customStyle="1" w:styleId="rad1">
    <w:name w:val="rad1"/>
    <w:aliases w:val="11"/>
    <w:basedOn w:val="Normal"/>
    <w:rsid w:val="009C13A9"/>
    <w:pPr>
      <w:tabs>
        <w:tab w:val="left" w:pos="284"/>
        <w:tab w:val="left" w:pos="454"/>
        <w:tab w:val="left" w:pos="709"/>
      </w:tabs>
      <w:autoSpaceDE/>
      <w:autoSpaceDN/>
      <w:spacing w:line="240" w:lineRule="exact"/>
      <w:ind w:left="0" w:hanging="567"/>
    </w:pPr>
    <w:rPr>
      <w:rFonts w:ascii="Times New Roman" w:hAnsi="Times New Roman"/>
      <w:sz w:val="24"/>
    </w:rPr>
  </w:style>
  <w:style w:type="paragraph" w:customStyle="1" w:styleId="N12">
    <w:name w:val="N12"/>
    <w:basedOn w:val="Normal"/>
    <w:rsid w:val="009C13A9"/>
    <w:pPr>
      <w:tabs>
        <w:tab w:val="left" w:pos="284"/>
      </w:tabs>
      <w:overflowPunct w:val="0"/>
      <w:adjustRightInd w:val="0"/>
      <w:spacing w:line="240" w:lineRule="atLeast"/>
      <w:ind w:left="0" w:firstLine="0"/>
      <w:jc w:val="center"/>
      <w:textAlignment w:val="baseline"/>
    </w:pPr>
    <w:rPr>
      <w:rFonts w:ascii="Times New Roman" w:hAnsi="Times New Roman"/>
      <w:sz w:val="16"/>
      <w:szCs w:val="20"/>
    </w:rPr>
  </w:style>
  <w:style w:type="paragraph" w:customStyle="1" w:styleId="rad1note">
    <w:name w:val="rad1.note"/>
    <w:basedOn w:val="Normal"/>
    <w:rsid w:val="009C13A9"/>
    <w:pPr>
      <w:tabs>
        <w:tab w:val="left" w:pos="284"/>
        <w:tab w:val="left" w:pos="454"/>
        <w:tab w:val="left" w:pos="709"/>
      </w:tabs>
      <w:overflowPunct w:val="0"/>
      <w:adjustRightInd w:val="0"/>
      <w:spacing w:line="240" w:lineRule="exact"/>
      <w:ind w:left="284" w:hanging="284"/>
      <w:textAlignment w:val="baseline"/>
    </w:pPr>
    <w:rPr>
      <w:rFonts w:ascii="Times New Roman" w:hAnsi="Times New Roman"/>
      <w:sz w:val="24"/>
      <w:szCs w:val="20"/>
    </w:rPr>
  </w:style>
  <w:style w:type="paragraph" w:customStyle="1" w:styleId="Hoofdgedeelte">
    <w:name w:val="Hoofdgedeelte"/>
    <w:basedOn w:val="Normal"/>
    <w:rsid w:val="009C13A9"/>
    <w:pPr>
      <w:widowControl w:val="0"/>
      <w:autoSpaceDE/>
      <w:autoSpaceDN/>
      <w:ind w:left="0" w:firstLine="0"/>
      <w:jc w:val="left"/>
    </w:pPr>
    <w:rPr>
      <w:rFonts w:ascii="Times" w:hAnsi="Times"/>
      <w:sz w:val="24"/>
    </w:rPr>
  </w:style>
  <w:style w:type="numbering" w:customStyle="1" w:styleId="Aucuneliste11">
    <w:name w:val="Aucune liste11"/>
    <w:next w:val="NoList"/>
    <w:uiPriority w:val="99"/>
    <w:semiHidden/>
    <w:unhideWhenUsed/>
    <w:rsid w:val="009C13A9"/>
  </w:style>
  <w:style w:type="character" w:customStyle="1" w:styleId="WW8Num1z0">
    <w:name w:val="WW8Num1z0"/>
    <w:rsid w:val="009C13A9"/>
    <w:rPr>
      <w:rFonts w:cs="Times New Roman"/>
    </w:rPr>
  </w:style>
  <w:style w:type="character" w:customStyle="1" w:styleId="WW8Num2z0">
    <w:name w:val="WW8Num2z0"/>
    <w:rsid w:val="009C13A9"/>
    <w:rPr>
      <w:rFonts w:cs="Times New Roman"/>
    </w:rPr>
  </w:style>
  <w:style w:type="character" w:customStyle="1" w:styleId="Absatz-Standardschriftart1">
    <w:name w:val="Absatz-Standardschriftart1"/>
    <w:rsid w:val="009C13A9"/>
  </w:style>
  <w:style w:type="character" w:customStyle="1" w:styleId="WW-Absatz-Standardschriftart">
    <w:name w:val="WW-Absatz-Standardschriftart"/>
    <w:rsid w:val="009C13A9"/>
  </w:style>
  <w:style w:type="character" w:customStyle="1" w:styleId="WW-Absatz-Standardschriftart1">
    <w:name w:val="WW-Absatz-Standardschriftart1"/>
    <w:rsid w:val="009C13A9"/>
  </w:style>
  <w:style w:type="character" w:customStyle="1" w:styleId="WW-Absatz-Standardschriftart11">
    <w:name w:val="WW-Absatz-Standardschriftart11"/>
    <w:rsid w:val="009C13A9"/>
  </w:style>
  <w:style w:type="character" w:customStyle="1" w:styleId="WW-Absatz-Standardschriftart111">
    <w:name w:val="WW-Absatz-Standardschriftart111"/>
    <w:rsid w:val="009C13A9"/>
  </w:style>
  <w:style w:type="character" w:customStyle="1" w:styleId="WW-Absatz-Standardschriftart1111">
    <w:name w:val="WW-Absatz-Standardschriftart1111"/>
    <w:rsid w:val="009C13A9"/>
  </w:style>
  <w:style w:type="character" w:customStyle="1" w:styleId="WW-Absatz-Standardschriftart11111">
    <w:name w:val="WW-Absatz-Standardschriftart11111"/>
    <w:rsid w:val="009C13A9"/>
  </w:style>
  <w:style w:type="character" w:customStyle="1" w:styleId="WW-Absatz-Standardschriftart111111">
    <w:name w:val="WW-Absatz-Standardschriftart111111"/>
    <w:rsid w:val="009C13A9"/>
  </w:style>
  <w:style w:type="character" w:customStyle="1" w:styleId="WW-Absatz-Standardschriftart1111111">
    <w:name w:val="WW-Absatz-Standardschriftart1111111"/>
    <w:rsid w:val="009C13A9"/>
  </w:style>
  <w:style w:type="character" w:customStyle="1" w:styleId="WW-Absatz-Standardschriftart11111111">
    <w:name w:val="WW-Absatz-Standardschriftart11111111"/>
    <w:rsid w:val="009C13A9"/>
  </w:style>
  <w:style w:type="character" w:customStyle="1" w:styleId="WW-Absatz-Standardschriftart111111111">
    <w:name w:val="WW-Absatz-Standardschriftart111111111"/>
    <w:rsid w:val="009C13A9"/>
  </w:style>
  <w:style w:type="character" w:customStyle="1" w:styleId="WW8Num3z0">
    <w:name w:val="WW8Num3z0"/>
    <w:rsid w:val="009C13A9"/>
    <w:rPr>
      <w:rFonts w:cs="Times New Roman"/>
    </w:rPr>
  </w:style>
  <w:style w:type="character" w:customStyle="1" w:styleId="WW8Num4z0">
    <w:name w:val="WW8Num4z0"/>
    <w:rsid w:val="009C13A9"/>
    <w:rPr>
      <w:rFonts w:ascii="Times New Roman" w:eastAsia="Times New Roman" w:hAnsi="Times New Roman"/>
    </w:rPr>
  </w:style>
  <w:style w:type="character" w:customStyle="1" w:styleId="WW8Num4z1">
    <w:name w:val="WW8Num4z1"/>
    <w:rsid w:val="009C13A9"/>
    <w:rPr>
      <w:rFonts w:ascii="Courier New" w:hAnsi="Courier New"/>
    </w:rPr>
  </w:style>
  <w:style w:type="character" w:customStyle="1" w:styleId="WW8Num4z2">
    <w:name w:val="WW8Num4z2"/>
    <w:rsid w:val="009C13A9"/>
    <w:rPr>
      <w:rFonts w:ascii="Wingdings" w:hAnsi="Wingdings"/>
    </w:rPr>
  </w:style>
  <w:style w:type="character" w:customStyle="1" w:styleId="WW8Num4z3">
    <w:name w:val="WW8Num4z3"/>
    <w:rsid w:val="009C13A9"/>
    <w:rPr>
      <w:rFonts w:ascii="Symbol" w:hAnsi="Symbol"/>
    </w:rPr>
  </w:style>
  <w:style w:type="character" w:customStyle="1" w:styleId="WW8Num5z0">
    <w:name w:val="WW8Num5z0"/>
    <w:rsid w:val="009C13A9"/>
    <w:rPr>
      <w:rFonts w:ascii="Arial" w:eastAsia="Times New Roman" w:hAnsi="Arial"/>
    </w:rPr>
  </w:style>
  <w:style w:type="character" w:customStyle="1" w:styleId="WW8Num5z1">
    <w:name w:val="WW8Num5z1"/>
    <w:rsid w:val="009C13A9"/>
    <w:rPr>
      <w:rFonts w:ascii="Courier New" w:hAnsi="Courier New"/>
    </w:rPr>
  </w:style>
  <w:style w:type="character" w:customStyle="1" w:styleId="WW8Num5z2">
    <w:name w:val="WW8Num5z2"/>
    <w:rsid w:val="009C13A9"/>
    <w:rPr>
      <w:rFonts w:ascii="Wingdings" w:hAnsi="Wingdings"/>
    </w:rPr>
  </w:style>
  <w:style w:type="character" w:customStyle="1" w:styleId="WW8Num5z3">
    <w:name w:val="WW8Num5z3"/>
    <w:rsid w:val="009C13A9"/>
    <w:rPr>
      <w:rFonts w:ascii="Symbol" w:hAnsi="Symbol"/>
    </w:rPr>
  </w:style>
  <w:style w:type="character" w:customStyle="1" w:styleId="Policepardfaut1">
    <w:name w:val="Police par défaut1"/>
    <w:rsid w:val="009C13A9"/>
  </w:style>
  <w:style w:type="character" w:customStyle="1" w:styleId="Caractresdenotedebasdepage">
    <w:name w:val="Caractères de note de bas de page"/>
    <w:rsid w:val="009C13A9"/>
    <w:rPr>
      <w:rFonts w:cs="Times New Roman"/>
      <w:vertAlign w:val="superscript"/>
    </w:rPr>
  </w:style>
  <w:style w:type="character" w:customStyle="1" w:styleId="Marquedecommentaire1">
    <w:name w:val="Marque de commentaire1"/>
    <w:rsid w:val="009C13A9"/>
    <w:rPr>
      <w:rFonts w:cs="Times New Roman"/>
      <w:sz w:val="16"/>
      <w:szCs w:val="16"/>
    </w:rPr>
  </w:style>
  <w:style w:type="character" w:customStyle="1" w:styleId="VO-Text-AbsnachNrChar">
    <w:name w:val="VO-Text-Abs nach Nr Char"/>
    <w:rsid w:val="009C13A9"/>
    <w:rPr>
      <w:rFonts w:ascii="Arial" w:hAnsi="Arial" w:cs="Times New Roman"/>
      <w:b/>
      <w:bCs/>
      <w:sz w:val="24"/>
      <w:szCs w:val="24"/>
      <w:lang w:val="it-IT" w:eastAsia="it-IT" w:bidi="it-IT"/>
    </w:rPr>
  </w:style>
  <w:style w:type="character" w:styleId="Emphasis">
    <w:name w:val="Emphasis"/>
    <w:qFormat/>
    <w:rsid w:val="009C13A9"/>
    <w:rPr>
      <w:rFonts w:cs="Times New Roman"/>
      <w:i/>
      <w:iCs/>
    </w:rPr>
  </w:style>
  <w:style w:type="character" w:customStyle="1" w:styleId="error">
    <w:name w:val="error"/>
    <w:rsid w:val="009C13A9"/>
    <w:rPr>
      <w:rFonts w:cs="Times New Roman"/>
    </w:rPr>
  </w:style>
  <w:style w:type="character" w:customStyle="1" w:styleId="longtext1">
    <w:name w:val="long_text1"/>
    <w:rsid w:val="009C13A9"/>
    <w:rPr>
      <w:rFonts w:cs="Times New Roman"/>
      <w:sz w:val="20"/>
      <w:szCs w:val="20"/>
    </w:rPr>
  </w:style>
  <w:style w:type="character" w:customStyle="1" w:styleId="WW-Caractresdenotedebasdepage">
    <w:name w:val="WW-Caractères de note de bas de page"/>
    <w:rsid w:val="009C13A9"/>
    <w:rPr>
      <w:rFonts w:cs="Times New Roman"/>
      <w:vertAlign w:val="superscript"/>
    </w:rPr>
  </w:style>
  <w:style w:type="character" w:customStyle="1" w:styleId="Caractresdenotedefin">
    <w:name w:val="Caractères de note de fin"/>
    <w:rsid w:val="009C13A9"/>
    <w:rPr>
      <w:vertAlign w:val="superscript"/>
    </w:rPr>
  </w:style>
  <w:style w:type="character" w:customStyle="1" w:styleId="WW-Caractresdenotedefin">
    <w:name w:val="WW-Caractères de note de fin"/>
    <w:rsid w:val="009C13A9"/>
  </w:style>
  <w:style w:type="character" w:styleId="EndnoteReference">
    <w:name w:val="endnote reference"/>
    <w:rsid w:val="009C13A9"/>
    <w:rPr>
      <w:vertAlign w:val="superscript"/>
    </w:rPr>
  </w:style>
  <w:style w:type="character" w:customStyle="1" w:styleId="Caractresdenumrotation">
    <w:name w:val="Caractères de numérotation"/>
    <w:rsid w:val="009C13A9"/>
  </w:style>
  <w:style w:type="paragraph" w:customStyle="1" w:styleId="Titre1">
    <w:name w:val="Titre1"/>
    <w:basedOn w:val="Normal"/>
    <w:next w:val="BodyText"/>
    <w:rsid w:val="009C13A9"/>
    <w:pPr>
      <w:keepNext/>
      <w:suppressAutoHyphens/>
      <w:autoSpaceDE/>
      <w:autoSpaceDN/>
      <w:spacing w:before="240" w:after="120"/>
      <w:ind w:left="0" w:firstLine="0"/>
      <w:jc w:val="left"/>
    </w:pPr>
    <w:rPr>
      <w:rFonts w:ascii="Liberation Sans" w:eastAsia="Lucida Sans Unicode" w:hAnsi="Liberation Sans" w:cs="Tahoma"/>
      <w:sz w:val="28"/>
      <w:szCs w:val="28"/>
    </w:rPr>
  </w:style>
  <w:style w:type="paragraph" w:styleId="List">
    <w:name w:val="List"/>
    <w:basedOn w:val="BodyText"/>
    <w:rsid w:val="009C13A9"/>
    <w:pPr>
      <w:keepNext w:val="0"/>
      <w:tabs>
        <w:tab w:val="clear" w:pos="709"/>
      </w:tabs>
      <w:suppressAutoHyphens/>
      <w:ind w:left="0" w:firstLine="0"/>
    </w:pPr>
    <w:rPr>
      <w:rFonts w:ascii="Liberation Sans" w:hAnsi="Liberation Sans" w:cs="Tahoma"/>
      <w:b/>
      <w:sz w:val="24"/>
    </w:rPr>
  </w:style>
  <w:style w:type="paragraph" w:customStyle="1" w:styleId="Lgende1">
    <w:name w:val="Légende1"/>
    <w:basedOn w:val="Normal"/>
    <w:next w:val="Normal"/>
    <w:rsid w:val="009C13A9"/>
    <w:pPr>
      <w:suppressAutoHyphens/>
      <w:autoSpaceDE/>
      <w:autoSpaceDN/>
      <w:spacing w:before="120" w:after="120"/>
      <w:ind w:left="0" w:firstLine="0"/>
      <w:jc w:val="left"/>
    </w:pPr>
    <w:rPr>
      <w:rFonts w:ascii="Times New Roman" w:hAnsi="Times New Roman"/>
      <w:b/>
      <w:bCs/>
      <w:szCs w:val="20"/>
    </w:rPr>
  </w:style>
  <w:style w:type="paragraph" w:customStyle="1" w:styleId="Index">
    <w:name w:val="Index"/>
    <w:basedOn w:val="Normal"/>
    <w:rsid w:val="009C13A9"/>
    <w:pPr>
      <w:suppressLineNumbers/>
      <w:suppressAutoHyphens/>
      <w:autoSpaceDE/>
      <w:autoSpaceDN/>
      <w:ind w:left="0" w:firstLine="0"/>
      <w:jc w:val="left"/>
    </w:pPr>
    <w:rPr>
      <w:rFonts w:ascii="Liberation Sans" w:hAnsi="Liberation Sans" w:cs="Tahoma"/>
      <w:sz w:val="24"/>
    </w:rPr>
  </w:style>
  <w:style w:type="paragraph" w:customStyle="1" w:styleId="Explorateurdedocument1">
    <w:name w:val="Explorateur de document1"/>
    <w:basedOn w:val="Normal"/>
    <w:rsid w:val="009C13A9"/>
    <w:pPr>
      <w:shd w:val="clear" w:color="auto" w:fill="000080"/>
      <w:suppressAutoHyphens/>
      <w:autoSpaceDE/>
      <w:autoSpaceDN/>
      <w:ind w:left="0" w:firstLine="0"/>
      <w:jc w:val="left"/>
    </w:pPr>
    <w:rPr>
      <w:rFonts w:ascii="Times New Roman" w:hAnsi="Times New Roman"/>
      <w:szCs w:val="20"/>
    </w:rPr>
  </w:style>
  <w:style w:type="paragraph" w:customStyle="1" w:styleId="Anlage">
    <w:name w:val="Anlage"/>
    <w:basedOn w:val="Normal"/>
    <w:rsid w:val="009C13A9"/>
    <w:pPr>
      <w:suppressAutoHyphens/>
      <w:autoSpaceDE/>
      <w:autoSpaceDN/>
      <w:spacing w:before="240"/>
      <w:ind w:left="1134" w:hanging="1134"/>
      <w:jc w:val="left"/>
    </w:pPr>
    <w:rPr>
      <w:rFonts w:ascii="Times New Roman" w:hAnsi="Times New Roman"/>
      <w:sz w:val="24"/>
    </w:rPr>
  </w:style>
  <w:style w:type="paragraph" w:customStyle="1" w:styleId="Betrifft">
    <w:name w:val="Betrifft"/>
    <w:basedOn w:val="Normal"/>
    <w:rsid w:val="009C13A9"/>
    <w:pPr>
      <w:suppressAutoHyphens/>
      <w:autoSpaceDE/>
      <w:autoSpaceDN/>
      <w:spacing w:before="480"/>
      <w:ind w:left="0" w:firstLine="0"/>
      <w:jc w:val="left"/>
    </w:pPr>
    <w:rPr>
      <w:rFonts w:ascii="Times New Roman" w:hAnsi="Times New Roman"/>
      <w:sz w:val="24"/>
    </w:rPr>
  </w:style>
  <w:style w:type="paragraph" w:customStyle="1" w:styleId="Bezug">
    <w:name w:val="Bezug"/>
    <w:basedOn w:val="Normal"/>
    <w:rsid w:val="009C13A9"/>
    <w:pPr>
      <w:suppressAutoHyphens/>
      <w:autoSpaceDE/>
      <w:autoSpaceDN/>
      <w:spacing w:before="240"/>
      <w:ind w:left="0" w:firstLine="0"/>
      <w:jc w:val="left"/>
    </w:pPr>
    <w:rPr>
      <w:rFonts w:ascii="Times New Roman" w:hAnsi="Times New Roman"/>
      <w:sz w:val="24"/>
    </w:rPr>
  </w:style>
  <w:style w:type="paragraph" w:customStyle="1" w:styleId="Hier">
    <w:name w:val="Hier"/>
    <w:basedOn w:val="Normal"/>
    <w:rsid w:val="009C13A9"/>
    <w:pPr>
      <w:tabs>
        <w:tab w:val="left" w:pos="284"/>
      </w:tabs>
      <w:suppressAutoHyphens/>
      <w:autoSpaceDE/>
      <w:autoSpaceDN/>
      <w:ind w:left="284" w:hanging="284"/>
      <w:jc w:val="left"/>
    </w:pPr>
    <w:rPr>
      <w:rFonts w:ascii="Times New Roman" w:hAnsi="Times New Roman"/>
      <w:sz w:val="24"/>
    </w:rPr>
  </w:style>
  <w:style w:type="paragraph" w:customStyle="1" w:styleId="yyx">
    <w:name w:val="yyx"/>
    <w:basedOn w:val="Normal"/>
    <w:rsid w:val="009C13A9"/>
    <w:pPr>
      <w:suppressAutoHyphens/>
      <w:autoSpaceDE/>
      <w:autoSpaceDN/>
      <w:spacing w:line="360" w:lineRule="auto"/>
      <w:ind w:left="0" w:firstLine="0"/>
      <w:jc w:val="left"/>
    </w:pPr>
    <w:rPr>
      <w:rFonts w:ascii="Times New Roman" w:hAnsi="Times New Roman"/>
      <w:b/>
      <w:sz w:val="24"/>
    </w:rPr>
  </w:style>
  <w:style w:type="paragraph" w:customStyle="1" w:styleId="Nverborgen">
    <w:name w:val="Nverborgen"/>
    <w:basedOn w:val="Normal"/>
    <w:next w:val="Normal"/>
    <w:rsid w:val="009C13A9"/>
    <w:pPr>
      <w:suppressAutoHyphens/>
      <w:autoSpaceDE/>
      <w:autoSpaceDN/>
      <w:spacing w:line="360" w:lineRule="auto"/>
      <w:ind w:left="0" w:hanging="567"/>
      <w:jc w:val="left"/>
    </w:pPr>
    <w:rPr>
      <w:rFonts w:ascii="Times New Roman" w:hAnsi="Times New Roman"/>
      <w:sz w:val="24"/>
    </w:rPr>
  </w:style>
  <w:style w:type="paragraph" w:customStyle="1" w:styleId="Verborgen">
    <w:name w:val="Verborgen"/>
    <w:basedOn w:val="Normal"/>
    <w:next w:val="Normal"/>
    <w:rsid w:val="009C13A9"/>
    <w:pPr>
      <w:suppressAutoHyphens/>
      <w:autoSpaceDE/>
      <w:autoSpaceDN/>
      <w:spacing w:after="360" w:line="360" w:lineRule="auto"/>
      <w:ind w:left="0" w:hanging="567"/>
      <w:jc w:val="left"/>
    </w:pPr>
    <w:rPr>
      <w:rFonts w:ascii="Times New Roman" w:hAnsi="Times New Roman"/>
      <w:vanish/>
      <w:color w:val="0000FF"/>
      <w:sz w:val="24"/>
    </w:rPr>
  </w:style>
  <w:style w:type="paragraph" w:customStyle="1" w:styleId="Salutations1">
    <w:name w:val="Salutations1"/>
    <w:basedOn w:val="Normal"/>
    <w:next w:val="Normal"/>
    <w:rsid w:val="009C13A9"/>
    <w:pPr>
      <w:suppressAutoHyphens/>
      <w:autoSpaceDE/>
      <w:autoSpaceDN/>
      <w:spacing w:before="720" w:line="360" w:lineRule="auto"/>
      <w:ind w:left="0" w:firstLine="0"/>
      <w:jc w:val="left"/>
    </w:pPr>
    <w:rPr>
      <w:rFonts w:ascii="Times New Roman" w:hAnsi="Times New Roman"/>
      <w:sz w:val="24"/>
    </w:rPr>
  </w:style>
  <w:style w:type="paragraph" w:customStyle="1" w:styleId="c4">
    <w:name w:val="c4"/>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4">
    <w:name w:val="p4"/>
    <w:basedOn w:val="Normal"/>
    <w:rsid w:val="009C13A9"/>
    <w:pPr>
      <w:tabs>
        <w:tab w:val="left" w:pos="720"/>
      </w:tabs>
      <w:suppressAutoHyphens/>
      <w:autoSpaceDE/>
      <w:autoSpaceDN/>
      <w:spacing w:line="220" w:lineRule="atLeast"/>
      <w:ind w:left="0" w:firstLine="0"/>
    </w:pPr>
    <w:rPr>
      <w:rFonts w:ascii="Times New Roman" w:hAnsi="Times New Roman"/>
      <w:sz w:val="24"/>
      <w:szCs w:val="20"/>
    </w:rPr>
  </w:style>
  <w:style w:type="paragraph" w:customStyle="1" w:styleId="c2">
    <w:name w:val="c2"/>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9">
    <w:name w:val="p9"/>
    <w:basedOn w:val="Normal"/>
    <w:rsid w:val="009C13A9"/>
    <w:pPr>
      <w:tabs>
        <w:tab w:val="left" w:pos="1060"/>
      </w:tabs>
      <w:suppressAutoHyphens/>
      <w:autoSpaceDE/>
      <w:autoSpaceDN/>
      <w:spacing w:line="240" w:lineRule="atLeast"/>
      <w:ind w:left="1440" w:firstLine="1008"/>
      <w:jc w:val="left"/>
    </w:pPr>
    <w:rPr>
      <w:rFonts w:ascii="Times New Roman" w:hAnsi="Times New Roman"/>
      <w:sz w:val="24"/>
      <w:szCs w:val="20"/>
    </w:rPr>
  </w:style>
  <w:style w:type="paragraph" w:customStyle="1" w:styleId="p5">
    <w:name w:val="p5"/>
    <w:basedOn w:val="Normal"/>
    <w:rsid w:val="009C13A9"/>
    <w:pPr>
      <w:tabs>
        <w:tab w:val="left" w:pos="720"/>
      </w:tabs>
      <w:suppressAutoHyphens/>
      <w:autoSpaceDE/>
      <w:autoSpaceDN/>
      <w:spacing w:line="240" w:lineRule="atLeast"/>
      <w:ind w:left="0" w:firstLine="0"/>
      <w:jc w:val="left"/>
    </w:pPr>
    <w:rPr>
      <w:rFonts w:ascii="Times New Roman" w:hAnsi="Times New Roman"/>
      <w:sz w:val="24"/>
      <w:szCs w:val="20"/>
    </w:rPr>
  </w:style>
  <w:style w:type="paragraph" w:customStyle="1" w:styleId="p10">
    <w:name w:val="p10"/>
    <w:basedOn w:val="Normal"/>
    <w:rsid w:val="009C13A9"/>
    <w:pPr>
      <w:tabs>
        <w:tab w:val="left" w:pos="240"/>
        <w:tab w:val="left" w:pos="500"/>
      </w:tabs>
      <w:suppressAutoHyphens/>
      <w:autoSpaceDE/>
      <w:autoSpaceDN/>
      <w:spacing w:line="240" w:lineRule="atLeast"/>
      <w:ind w:left="1440" w:firstLine="288"/>
    </w:pPr>
    <w:rPr>
      <w:rFonts w:ascii="Times New Roman" w:hAnsi="Times New Roman"/>
      <w:sz w:val="24"/>
      <w:szCs w:val="20"/>
    </w:rPr>
  </w:style>
  <w:style w:type="paragraph" w:customStyle="1" w:styleId="p11">
    <w:name w:val="p11"/>
    <w:basedOn w:val="Normal"/>
    <w:rsid w:val="009C13A9"/>
    <w:pPr>
      <w:tabs>
        <w:tab w:val="left" w:pos="720"/>
      </w:tabs>
      <w:suppressAutoHyphens/>
      <w:autoSpaceDE/>
      <w:autoSpaceDN/>
      <w:spacing w:line="220" w:lineRule="atLeast"/>
      <w:ind w:left="0" w:firstLine="0"/>
    </w:pPr>
    <w:rPr>
      <w:rFonts w:ascii="Times New Roman" w:hAnsi="Times New Roman"/>
      <w:sz w:val="24"/>
      <w:szCs w:val="20"/>
    </w:rPr>
  </w:style>
  <w:style w:type="paragraph" w:customStyle="1" w:styleId="p12">
    <w:name w:val="p12"/>
    <w:basedOn w:val="Normal"/>
    <w:rsid w:val="009C13A9"/>
    <w:pPr>
      <w:tabs>
        <w:tab w:val="left" w:pos="720"/>
      </w:tabs>
      <w:suppressAutoHyphens/>
      <w:autoSpaceDE/>
      <w:autoSpaceDN/>
      <w:spacing w:line="240" w:lineRule="atLeast"/>
      <w:ind w:left="0" w:firstLine="0"/>
      <w:jc w:val="left"/>
    </w:pPr>
    <w:rPr>
      <w:rFonts w:ascii="Times New Roman" w:hAnsi="Times New Roman"/>
      <w:sz w:val="24"/>
      <w:szCs w:val="20"/>
    </w:rPr>
  </w:style>
  <w:style w:type="paragraph" w:customStyle="1" w:styleId="p14">
    <w:name w:val="p14"/>
    <w:basedOn w:val="Normal"/>
    <w:rsid w:val="009C13A9"/>
    <w:pPr>
      <w:tabs>
        <w:tab w:val="left" w:pos="260"/>
        <w:tab w:val="left" w:pos="540"/>
      </w:tabs>
      <w:suppressAutoHyphens/>
      <w:autoSpaceDE/>
      <w:autoSpaceDN/>
      <w:spacing w:line="220" w:lineRule="atLeast"/>
      <w:ind w:left="864" w:hanging="576"/>
      <w:jc w:val="left"/>
    </w:pPr>
    <w:rPr>
      <w:rFonts w:ascii="Times New Roman" w:hAnsi="Times New Roman"/>
      <w:sz w:val="24"/>
      <w:szCs w:val="20"/>
    </w:rPr>
  </w:style>
  <w:style w:type="paragraph" w:customStyle="1" w:styleId="p15">
    <w:name w:val="p15"/>
    <w:basedOn w:val="Normal"/>
    <w:rsid w:val="009C13A9"/>
    <w:pPr>
      <w:tabs>
        <w:tab w:val="left" w:pos="260"/>
      </w:tabs>
      <w:suppressAutoHyphens/>
      <w:autoSpaceDE/>
      <w:autoSpaceDN/>
      <w:spacing w:line="240" w:lineRule="atLeast"/>
      <w:ind w:left="1152" w:hanging="288"/>
      <w:jc w:val="left"/>
    </w:pPr>
    <w:rPr>
      <w:rFonts w:ascii="Times New Roman" w:hAnsi="Times New Roman"/>
      <w:sz w:val="24"/>
      <w:szCs w:val="20"/>
    </w:rPr>
  </w:style>
  <w:style w:type="paragraph" w:customStyle="1" w:styleId="p7">
    <w:name w:val="p7"/>
    <w:basedOn w:val="Normal"/>
    <w:rsid w:val="009C13A9"/>
    <w:pPr>
      <w:tabs>
        <w:tab w:val="left" w:pos="260"/>
      </w:tabs>
      <w:suppressAutoHyphens/>
      <w:autoSpaceDE/>
      <w:autoSpaceDN/>
      <w:spacing w:line="220" w:lineRule="atLeast"/>
      <w:ind w:left="1152" w:hanging="288"/>
    </w:pPr>
    <w:rPr>
      <w:rFonts w:ascii="Times New Roman" w:hAnsi="Times New Roman"/>
      <w:sz w:val="24"/>
      <w:szCs w:val="20"/>
    </w:rPr>
  </w:style>
  <w:style w:type="paragraph" w:customStyle="1" w:styleId="p16">
    <w:name w:val="p16"/>
    <w:basedOn w:val="Normal"/>
    <w:rsid w:val="009C13A9"/>
    <w:pPr>
      <w:tabs>
        <w:tab w:val="left" w:pos="520"/>
      </w:tabs>
      <w:suppressAutoHyphens/>
      <w:autoSpaceDE/>
      <w:autoSpaceDN/>
      <w:spacing w:line="240" w:lineRule="atLeast"/>
      <w:ind w:left="1440" w:firstLine="576"/>
      <w:jc w:val="left"/>
    </w:pPr>
    <w:rPr>
      <w:rFonts w:ascii="Times New Roman" w:hAnsi="Times New Roman"/>
      <w:sz w:val="24"/>
      <w:szCs w:val="20"/>
    </w:rPr>
  </w:style>
  <w:style w:type="paragraph" w:customStyle="1" w:styleId="c18">
    <w:name w:val="c18"/>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t17">
    <w:name w:val="t17"/>
    <w:basedOn w:val="Normal"/>
    <w:rsid w:val="009C13A9"/>
    <w:pPr>
      <w:suppressAutoHyphens/>
      <w:autoSpaceDE/>
      <w:autoSpaceDN/>
      <w:spacing w:line="240" w:lineRule="atLeast"/>
      <w:ind w:left="0" w:firstLine="0"/>
      <w:jc w:val="left"/>
    </w:pPr>
    <w:rPr>
      <w:rFonts w:ascii="Times New Roman" w:hAnsi="Times New Roman"/>
      <w:sz w:val="24"/>
      <w:szCs w:val="20"/>
    </w:rPr>
  </w:style>
  <w:style w:type="paragraph" w:customStyle="1" w:styleId="p19">
    <w:name w:val="p19"/>
    <w:basedOn w:val="Normal"/>
    <w:rsid w:val="009C13A9"/>
    <w:pPr>
      <w:tabs>
        <w:tab w:val="left" w:pos="280"/>
        <w:tab w:val="left" w:pos="520"/>
      </w:tabs>
      <w:suppressAutoHyphens/>
      <w:autoSpaceDE/>
      <w:autoSpaceDN/>
      <w:spacing w:line="220" w:lineRule="atLeast"/>
      <w:ind w:left="1152" w:hanging="288"/>
      <w:jc w:val="left"/>
    </w:pPr>
    <w:rPr>
      <w:rFonts w:ascii="Times New Roman" w:hAnsi="Times New Roman"/>
      <w:sz w:val="24"/>
      <w:szCs w:val="20"/>
    </w:rPr>
  </w:style>
  <w:style w:type="paragraph" w:customStyle="1" w:styleId="p21">
    <w:name w:val="p21"/>
    <w:basedOn w:val="Normal"/>
    <w:rsid w:val="009C13A9"/>
    <w:pPr>
      <w:tabs>
        <w:tab w:val="left" w:pos="2480"/>
      </w:tabs>
      <w:suppressAutoHyphens/>
      <w:autoSpaceDE/>
      <w:autoSpaceDN/>
      <w:spacing w:line="240" w:lineRule="atLeast"/>
      <w:ind w:left="1040" w:firstLine="0"/>
    </w:pPr>
    <w:rPr>
      <w:rFonts w:ascii="Times New Roman" w:hAnsi="Times New Roman"/>
      <w:sz w:val="24"/>
      <w:szCs w:val="20"/>
    </w:rPr>
  </w:style>
  <w:style w:type="paragraph" w:customStyle="1" w:styleId="p8">
    <w:name w:val="p8"/>
    <w:basedOn w:val="Normal"/>
    <w:rsid w:val="009C13A9"/>
    <w:pPr>
      <w:tabs>
        <w:tab w:val="left" w:pos="520"/>
      </w:tabs>
      <w:suppressAutoHyphens/>
      <w:autoSpaceDE/>
      <w:autoSpaceDN/>
      <w:spacing w:line="220" w:lineRule="atLeast"/>
      <w:ind w:left="864" w:hanging="576"/>
      <w:jc w:val="left"/>
    </w:pPr>
    <w:rPr>
      <w:rFonts w:ascii="Times New Roman" w:hAnsi="Times New Roman"/>
      <w:sz w:val="24"/>
      <w:szCs w:val="20"/>
    </w:rPr>
  </w:style>
  <w:style w:type="paragraph" w:customStyle="1" w:styleId="c3">
    <w:name w:val="c3"/>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13">
    <w:name w:val="p13"/>
    <w:basedOn w:val="Normal"/>
    <w:rsid w:val="009C13A9"/>
    <w:pPr>
      <w:tabs>
        <w:tab w:val="left" w:pos="260"/>
      </w:tabs>
      <w:suppressAutoHyphens/>
      <w:autoSpaceDE/>
      <w:autoSpaceDN/>
      <w:spacing w:line="220" w:lineRule="atLeast"/>
      <w:ind w:left="1180" w:firstLine="0"/>
    </w:pPr>
    <w:rPr>
      <w:rFonts w:ascii="Times New Roman" w:hAnsi="Times New Roman"/>
      <w:sz w:val="24"/>
      <w:szCs w:val="20"/>
    </w:rPr>
  </w:style>
  <w:style w:type="paragraph" w:customStyle="1" w:styleId="p20">
    <w:name w:val="p20"/>
    <w:basedOn w:val="Normal"/>
    <w:rsid w:val="009C13A9"/>
    <w:pPr>
      <w:tabs>
        <w:tab w:val="left" w:pos="780"/>
      </w:tabs>
      <w:suppressAutoHyphens/>
      <w:autoSpaceDE/>
      <w:autoSpaceDN/>
      <w:spacing w:line="220" w:lineRule="atLeast"/>
      <w:ind w:left="0" w:firstLine="0"/>
      <w:jc w:val="left"/>
    </w:pPr>
    <w:rPr>
      <w:rFonts w:ascii="Times New Roman" w:hAnsi="Times New Roman"/>
      <w:sz w:val="24"/>
      <w:szCs w:val="20"/>
    </w:rPr>
  </w:style>
  <w:style w:type="paragraph" w:customStyle="1" w:styleId="c15">
    <w:name w:val="c15"/>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22">
    <w:name w:val="p22"/>
    <w:basedOn w:val="Normal"/>
    <w:rsid w:val="009C13A9"/>
    <w:pPr>
      <w:tabs>
        <w:tab w:val="left" w:pos="520"/>
        <w:tab w:val="left" w:pos="1060"/>
      </w:tabs>
      <w:suppressAutoHyphens/>
      <w:autoSpaceDE/>
      <w:autoSpaceDN/>
      <w:spacing w:line="220" w:lineRule="atLeast"/>
      <w:ind w:left="432" w:hanging="432"/>
    </w:pPr>
    <w:rPr>
      <w:rFonts w:ascii="Times New Roman" w:hAnsi="Times New Roman"/>
      <w:sz w:val="24"/>
      <w:szCs w:val="20"/>
    </w:rPr>
  </w:style>
  <w:style w:type="paragraph" w:customStyle="1" w:styleId="p26">
    <w:name w:val="p26"/>
    <w:basedOn w:val="Normal"/>
    <w:rsid w:val="009C13A9"/>
    <w:pPr>
      <w:tabs>
        <w:tab w:val="left" w:pos="520"/>
      </w:tabs>
      <w:suppressAutoHyphens/>
      <w:autoSpaceDE/>
      <w:autoSpaceDN/>
      <w:spacing w:line="240" w:lineRule="atLeast"/>
      <w:ind w:left="864" w:hanging="576"/>
    </w:pPr>
    <w:rPr>
      <w:rFonts w:ascii="Times New Roman" w:hAnsi="Times New Roman"/>
      <w:sz w:val="24"/>
      <w:szCs w:val="20"/>
    </w:rPr>
  </w:style>
  <w:style w:type="paragraph" w:customStyle="1" w:styleId="p31">
    <w:name w:val="p31"/>
    <w:basedOn w:val="Normal"/>
    <w:rsid w:val="009C13A9"/>
    <w:pPr>
      <w:tabs>
        <w:tab w:val="left" w:pos="260"/>
        <w:tab w:val="left" w:pos="540"/>
      </w:tabs>
      <w:suppressAutoHyphens/>
      <w:autoSpaceDE/>
      <w:autoSpaceDN/>
      <w:spacing w:line="220" w:lineRule="atLeast"/>
      <w:ind w:left="1440" w:firstLine="288"/>
    </w:pPr>
    <w:rPr>
      <w:rFonts w:ascii="Times New Roman" w:hAnsi="Times New Roman"/>
      <w:sz w:val="24"/>
      <w:szCs w:val="20"/>
    </w:rPr>
  </w:style>
  <w:style w:type="paragraph" w:customStyle="1" w:styleId="p32">
    <w:name w:val="p32"/>
    <w:basedOn w:val="Normal"/>
    <w:rsid w:val="009C13A9"/>
    <w:pPr>
      <w:tabs>
        <w:tab w:val="left" w:pos="280"/>
      </w:tabs>
      <w:suppressAutoHyphens/>
      <w:autoSpaceDE/>
      <w:autoSpaceDN/>
      <w:spacing w:line="220" w:lineRule="atLeast"/>
      <w:ind w:left="1152" w:hanging="288"/>
      <w:jc w:val="left"/>
    </w:pPr>
    <w:rPr>
      <w:rFonts w:ascii="Times New Roman" w:hAnsi="Times New Roman"/>
      <w:sz w:val="24"/>
      <w:szCs w:val="20"/>
    </w:rPr>
  </w:style>
  <w:style w:type="paragraph" w:customStyle="1" w:styleId="p33">
    <w:name w:val="p33"/>
    <w:basedOn w:val="Normal"/>
    <w:rsid w:val="009C13A9"/>
    <w:pPr>
      <w:tabs>
        <w:tab w:val="left" w:pos="260"/>
      </w:tabs>
      <w:suppressAutoHyphens/>
      <w:autoSpaceDE/>
      <w:autoSpaceDN/>
      <w:spacing w:line="240" w:lineRule="atLeast"/>
      <w:ind w:left="1440" w:firstLine="288"/>
    </w:pPr>
    <w:rPr>
      <w:rFonts w:ascii="Times New Roman" w:hAnsi="Times New Roman"/>
      <w:sz w:val="24"/>
      <w:szCs w:val="20"/>
    </w:rPr>
  </w:style>
  <w:style w:type="paragraph" w:customStyle="1" w:styleId="p36">
    <w:name w:val="p36"/>
    <w:basedOn w:val="Normal"/>
    <w:rsid w:val="009C13A9"/>
    <w:pPr>
      <w:tabs>
        <w:tab w:val="left" w:pos="280"/>
      </w:tabs>
      <w:suppressAutoHyphens/>
      <w:autoSpaceDE/>
      <w:autoSpaceDN/>
      <w:spacing w:line="220" w:lineRule="atLeast"/>
      <w:ind w:left="1152" w:hanging="288"/>
    </w:pPr>
    <w:rPr>
      <w:rFonts w:ascii="Times New Roman" w:hAnsi="Times New Roman"/>
      <w:sz w:val="24"/>
      <w:szCs w:val="20"/>
    </w:rPr>
  </w:style>
  <w:style w:type="paragraph" w:customStyle="1" w:styleId="p39">
    <w:name w:val="p39"/>
    <w:basedOn w:val="Normal"/>
    <w:rsid w:val="009C13A9"/>
    <w:pPr>
      <w:tabs>
        <w:tab w:val="left" w:pos="280"/>
      </w:tabs>
      <w:suppressAutoHyphens/>
      <w:autoSpaceDE/>
      <w:autoSpaceDN/>
      <w:spacing w:line="220" w:lineRule="atLeast"/>
      <w:ind w:left="1152" w:hanging="288"/>
    </w:pPr>
    <w:rPr>
      <w:rFonts w:ascii="Times New Roman" w:hAnsi="Times New Roman"/>
      <w:sz w:val="24"/>
      <w:szCs w:val="20"/>
    </w:rPr>
  </w:style>
  <w:style w:type="paragraph" w:customStyle="1" w:styleId="c6">
    <w:name w:val="c6"/>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28">
    <w:name w:val="p28"/>
    <w:basedOn w:val="Normal"/>
    <w:rsid w:val="009C13A9"/>
    <w:pPr>
      <w:tabs>
        <w:tab w:val="left" w:pos="720"/>
      </w:tabs>
      <w:suppressAutoHyphens/>
      <w:autoSpaceDE/>
      <w:autoSpaceDN/>
      <w:spacing w:line="220" w:lineRule="atLeast"/>
      <w:ind w:left="0" w:firstLine="0"/>
    </w:pPr>
    <w:rPr>
      <w:rFonts w:ascii="Times New Roman" w:hAnsi="Times New Roman"/>
      <w:sz w:val="24"/>
      <w:szCs w:val="20"/>
    </w:rPr>
  </w:style>
  <w:style w:type="paragraph" w:customStyle="1" w:styleId="c56">
    <w:name w:val="c56"/>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c66">
    <w:name w:val="c66"/>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52">
    <w:name w:val="p52"/>
    <w:basedOn w:val="Normal"/>
    <w:rsid w:val="009C13A9"/>
    <w:pPr>
      <w:tabs>
        <w:tab w:val="left" w:pos="720"/>
      </w:tabs>
      <w:suppressAutoHyphens/>
      <w:autoSpaceDE/>
      <w:autoSpaceDN/>
      <w:spacing w:line="220" w:lineRule="atLeast"/>
      <w:ind w:left="0" w:firstLine="0"/>
    </w:pPr>
    <w:rPr>
      <w:rFonts w:ascii="Times New Roman" w:hAnsi="Times New Roman"/>
      <w:sz w:val="24"/>
      <w:szCs w:val="20"/>
    </w:rPr>
  </w:style>
  <w:style w:type="paragraph" w:customStyle="1" w:styleId="c62">
    <w:name w:val="c62"/>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c84">
    <w:name w:val="c84"/>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1">
    <w:name w:val="p1"/>
    <w:basedOn w:val="Normal"/>
    <w:rsid w:val="009C13A9"/>
    <w:pPr>
      <w:tabs>
        <w:tab w:val="left" w:pos="280"/>
      </w:tabs>
      <w:suppressAutoHyphens/>
      <w:autoSpaceDE/>
      <w:autoSpaceDN/>
      <w:spacing w:line="220" w:lineRule="atLeast"/>
      <w:ind w:left="1440" w:firstLine="288"/>
    </w:pPr>
    <w:rPr>
      <w:rFonts w:ascii="Times New Roman" w:hAnsi="Times New Roman"/>
      <w:sz w:val="24"/>
      <w:szCs w:val="20"/>
    </w:rPr>
  </w:style>
  <w:style w:type="paragraph" w:customStyle="1" w:styleId="p2">
    <w:name w:val="p2"/>
    <w:basedOn w:val="Normal"/>
    <w:rsid w:val="009C13A9"/>
    <w:pPr>
      <w:tabs>
        <w:tab w:val="left" w:pos="1700"/>
      </w:tabs>
      <w:suppressAutoHyphens/>
      <w:autoSpaceDE/>
      <w:autoSpaceDN/>
      <w:spacing w:line="340" w:lineRule="atLeast"/>
      <w:ind w:left="288" w:hanging="1728"/>
    </w:pPr>
    <w:rPr>
      <w:rFonts w:ascii="Times New Roman" w:hAnsi="Times New Roman"/>
      <w:sz w:val="24"/>
      <w:szCs w:val="20"/>
    </w:rPr>
  </w:style>
  <w:style w:type="paragraph" w:customStyle="1" w:styleId="VO-Textohne">
    <w:name w:val="VO-Text ohne"/>
    <w:basedOn w:val="Normal"/>
    <w:rsid w:val="009C13A9"/>
    <w:pPr>
      <w:suppressAutoHyphens/>
      <w:autoSpaceDE/>
      <w:autoSpaceDN/>
      <w:spacing w:before="120"/>
      <w:ind w:firstLine="0"/>
    </w:pPr>
    <w:rPr>
      <w:bCs/>
      <w:sz w:val="22"/>
      <w:szCs w:val="20"/>
    </w:rPr>
  </w:style>
  <w:style w:type="paragraph" w:customStyle="1" w:styleId="Commentaire2">
    <w:name w:val="Commentaire2"/>
    <w:basedOn w:val="Normal"/>
    <w:rsid w:val="009C13A9"/>
    <w:pPr>
      <w:suppressAutoHyphens/>
      <w:autoSpaceDE/>
      <w:autoSpaceDN/>
      <w:ind w:left="0" w:firstLine="0"/>
      <w:jc w:val="left"/>
    </w:pPr>
    <w:rPr>
      <w:szCs w:val="20"/>
    </w:rPr>
  </w:style>
  <w:style w:type="paragraph" w:customStyle="1" w:styleId="VO-Text-AbsnachNr">
    <w:name w:val="VO-Text-Abs nach Nr"/>
    <w:basedOn w:val="Normal"/>
    <w:rsid w:val="009C13A9"/>
    <w:pPr>
      <w:tabs>
        <w:tab w:val="left" w:pos="992"/>
        <w:tab w:val="left" w:pos="1418"/>
      </w:tabs>
      <w:suppressAutoHyphens/>
      <w:autoSpaceDE/>
      <w:autoSpaceDN/>
      <w:spacing w:before="120"/>
      <w:ind w:left="992" w:hanging="567"/>
    </w:pPr>
    <w:rPr>
      <w:b/>
      <w:bCs/>
      <w:sz w:val="22"/>
    </w:rPr>
  </w:style>
  <w:style w:type="paragraph" w:customStyle="1" w:styleId="VO-TextEinzug">
    <w:name w:val="VO-Text Einzug"/>
    <w:basedOn w:val="VO-Text-AbsnachNr"/>
    <w:rsid w:val="009C13A9"/>
    <w:pPr>
      <w:ind w:firstLine="0"/>
    </w:pPr>
  </w:style>
  <w:style w:type="paragraph" w:customStyle="1" w:styleId="TNR1Tab">
    <w:name w:val="TNR1Tab"/>
    <w:basedOn w:val="TNR1"/>
    <w:rsid w:val="009C13A9"/>
    <w:pPr>
      <w:widowControl w:val="0"/>
      <w:tabs>
        <w:tab w:val="clear" w:pos="907"/>
        <w:tab w:val="left" w:pos="1021"/>
      </w:tabs>
      <w:suppressAutoHyphens/>
      <w:overflowPunct/>
      <w:autoSpaceDE/>
      <w:autoSpaceDN/>
      <w:adjustRightInd/>
      <w:spacing w:line="240" w:lineRule="exact"/>
      <w:ind w:left="284" w:right="57"/>
      <w:textAlignment w:val="auto"/>
    </w:pPr>
    <w:rPr>
      <w:sz w:val="20"/>
    </w:rPr>
  </w:style>
  <w:style w:type="paragraph" w:customStyle="1" w:styleId="TNRATab">
    <w:name w:val="TNRATab"/>
    <w:basedOn w:val="TNR1Tab"/>
    <w:rsid w:val="009C13A9"/>
    <w:pPr>
      <w:tabs>
        <w:tab w:val="left" w:pos="568"/>
      </w:tabs>
      <w:ind w:left="568" w:hanging="283"/>
    </w:pPr>
  </w:style>
  <w:style w:type="paragraph" w:customStyle="1" w:styleId="Corpsdetexte21">
    <w:name w:val="Corps de texte 21"/>
    <w:basedOn w:val="Normal"/>
    <w:rsid w:val="009C13A9"/>
    <w:pPr>
      <w:widowControl w:val="0"/>
      <w:tabs>
        <w:tab w:val="left" w:pos="851"/>
      </w:tabs>
      <w:suppressAutoHyphens/>
      <w:overflowPunct w:val="0"/>
      <w:autoSpaceDN/>
      <w:ind w:left="365" w:firstLine="0"/>
      <w:textAlignment w:val="baseline"/>
    </w:pPr>
    <w:rPr>
      <w:rFonts w:ascii="CG Times (W1)" w:hAnsi="CG Times (W1)"/>
      <w:sz w:val="24"/>
      <w:szCs w:val="20"/>
    </w:rPr>
  </w:style>
  <w:style w:type="paragraph" w:customStyle="1" w:styleId="Retraitcorpsdetexte31">
    <w:name w:val="Retrait corps de texte 31"/>
    <w:basedOn w:val="Normal"/>
    <w:rsid w:val="009C13A9"/>
    <w:pPr>
      <w:suppressAutoHyphens/>
      <w:autoSpaceDE/>
      <w:autoSpaceDN/>
      <w:spacing w:after="120" w:line="360" w:lineRule="auto"/>
      <w:ind w:left="283" w:firstLine="0"/>
      <w:jc w:val="left"/>
    </w:pPr>
    <w:rPr>
      <w:rFonts w:ascii="Times New Roman" w:hAnsi="Times New Roman"/>
      <w:sz w:val="16"/>
      <w:szCs w:val="16"/>
    </w:rPr>
  </w:style>
  <w:style w:type="paragraph" w:customStyle="1" w:styleId="u1">
    <w:name w:val="u1"/>
    <w:basedOn w:val="Normal"/>
    <w:rsid w:val="009C13A9"/>
    <w:pPr>
      <w:keepNext/>
      <w:keepLines/>
      <w:tabs>
        <w:tab w:val="left" w:pos="851"/>
        <w:tab w:val="left" w:pos="1134"/>
        <w:tab w:val="left" w:pos="1418"/>
      </w:tabs>
      <w:suppressAutoHyphens/>
      <w:autoSpaceDE/>
      <w:autoSpaceDN/>
      <w:spacing w:before="720" w:line="240" w:lineRule="atLeast"/>
      <w:ind w:left="851" w:hanging="851"/>
    </w:pPr>
    <w:rPr>
      <w:rFonts w:ascii="Times New Roman" w:hAnsi="Times New Roman"/>
      <w:b/>
      <w:sz w:val="24"/>
      <w:szCs w:val="20"/>
    </w:rPr>
  </w:style>
  <w:style w:type="paragraph" w:customStyle="1" w:styleId="u2">
    <w:name w:val="u2"/>
    <w:basedOn w:val="Normal"/>
    <w:rsid w:val="009C13A9"/>
    <w:pPr>
      <w:keepNext/>
      <w:keepLines/>
      <w:tabs>
        <w:tab w:val="left" w:pos="851"/>
        <w:tab w:val="left" w:pos="1134"/>
        <w:tab w:val="left" w:pos="1418"/>
      </w:tabs>
      <w:suppressAutoHyphens/>
      <w:autoSpaceDE/>
      <w:autoSpaceDN/>
      <w:spacing w:before="240" w:line="240" w:lineRule="atLeast"/>
      <w:ind w:left="851" w:hanging="851"/>
    </w:pPr>
    <w:rPr>
      <w:rFonts w:ascii="Times New Roman" w:hAnsi="Times New Roman"/>
      <w:b/>
      <w:sz w:val="24"/>
      <w:szCs w:val="20"/>
    </w:rPr>
  </w:style>
  <w:style w:type="paragraph" w:customStyle="1" w:styleId="Retraitcorpsdetexte23">
    <w:name w:val="Retrait corps de texte 23"/>
    <w:basedOn w:val="Normal"/>
    <w:rsid w:val="009C13A9"/>
    <w:pPr>
      <w:widowControl w:val="0"/>
      <w:tabs>
        <w:tab w:val="left" w:pos="284"/>
      </w:tabs>
      <w:suppressAutoHyphens/>
      <w:autoSpaceDE/>
      <w:autoSpaceDN/>
      <w:ind w:left="284" w:hanging="284"/>
      <w:jc w:val="left"/>
    </w:pPr>
    <w:rPr>
      <w:rFonts w:ascii="Times New Roman" w:hAnsi="Times New Roman"/>
      <w:i/>
      <w:sz w:val="24"/>
      <w:szCs w:val="20"/>
    </w:rPr>
  </w:style>
  <w:style w:type="paragraph" w:customStyle="1" w:styleId="Formatvorlage1">
    <w:name w:val="Formatvorlage1"/>
    <w:basedOn w:val="Normal"/>
    <w:rsid w:val="009C13A9"/>
    <w:pPr>
      <w:tabs>
        <w:tab w:val="left" w:pos="851"/>
      </w:tabs>
      <w:suppressAutoHyphens/>
      <w:overflowPunct w:val="0"/>
      <w:autoSpaceDN/>
      <w:spacing w:before="120"/>
      <w:ind w:left="850"/>
      <w:textAlignment w:val="baseline"/>
    </w:pPr>
    <w:rPr>
      <w:bCs/>
      <w:iCs/>
      <w:szCs w:val="20"/>
    </w:rPr>
  </w:style>
  <w:style w:type="paragraph" w:customStyle="1" w:styleId="Corpsdetexte31">
    <w:name w:val="Corps de texte 31"/>
    <w:basedOn w:val="Normal"/>
    <w:rsid w:val="009C13A9"/>
    <w:pPr>
      <w:suppressAutoHyphens/>
      <w:overflowPunct w:val="0"/>
      <w:autoSpaceDN/>
      <w:spacing w:before="40" w:after="40"/>
      <w:ind w:left="0" w:firstLine="0"/>
      <w:jc w:val="left"/>
      <w:textAlignment w:val="baseline"/>
    </w:pPr>
    <w:rPr>
      <w:szCs w:val="20"/>
    </w:rPr>
  </w:style>
  <w:style w:type="paragraph" w:customStyle="1" w:styleId="Grundtext">
    <w:name w:val="Grundtext"/>
    <w:rsid w:val="009C13A9"/>
    <w:pPr>
      <w:tabs>
        <w:tab w:val="left" w:pos="720"/>
        <w:tab w:val="left" w:pos="1440"/>
        <w:tab w:val="left" w:pos="2160"/>
        <w:tab w:val="left" w:pos="2880"/>
        <w:tab w:val="left" w:pos="3600"/>
        <w:tab w:val="left" w:pos="4320"/>
        <w:tab w:val="left" w:pos="5040"/>
        <w:tab w:val="left" w:pos="5760"/>
      </w:tabs>
      <w:suppressAutoHyphens/>
      <w:spacing w:after="240" w:line="240" w:lineRule="atLeast"/>
    </w:pPr>
    <w:rPr>
      <w:rFonts w:ascii="Times New Roman" w:eastAsia="Arial" w:hAnsi="Times New Roman"/>
      <w:color w:val="000000"/>
      <w:sz w:val="24"/>
    </w:rPr>
  </w:style>
  <w:style w:type="paragraph" w:customStyle="1" w:styleId="Normalcentr1">
    <w:name w:val="Normal centré1"/>
    <w:basedOn w:val="Normal"/>
    <w:rsid w:val="009C13A9"/>
    <w:pPr>
      <w:suppressAutoHyphens/>
      <w:autoSpaceDE/>
      <w:autoSpaceDN/>
      <w:spacing w:before="60" w:after="60"/>
      <w:ind w:left="427" w:right="57" w:hanging="370"/>
      <w:jc w:val="left"/>
    </w:pPr>
    <w:rPr>
      <w:szCs w:val="20"/>
    </w:rPr>
  </w:style>
  <w:style w:type="paragraph" w:customStyle="1" w:styleId="BlockText2">
    <w:name w:val="Block Text2"/>
    <w:basedOn w:val="Normal"/>
    <w:rsid w:val="009C13A9"/>
    <w:pPr>
      <w:widowControl w:val="0"/>
      <w:tabs>
        <w:tab w:val="left" w:pos="648"/>
      </w:tabs>
      <w:suppressAutoHyphens/>
      <w:overflowPunct w:val="0"/>
      <w:autoSpaceDN/>
      <w:ind w:left="709" w:right="142" w:hanging="567"/>
      <w:textAlignment w:val="baseline"/>
    </w:pPr>
    <w:rPr>
      <w:rFonts w:ascii="CG Times (W1)" w:hAnsi="CG Times (W1)"/>
      <w:sz w:val="24"/>
      <w:szCs w:val="20"/>
    </w:rPr>
  </w:style>
  <w:style w:type="paragraph" w:customStyle="1" w:styleId="BlockText3">
    <w:name w:val="Block Text3"/>
    <w:basedOn w:val="Normal"/>
    <w:rsid w:val="009C13A9"/>
    <w:pPr>
      <w:widowControl w:val="0"/>
      <w:tabs>
        <w:tab w:val="left" w:pos="648"/>
      </w:tabs>
      <w:suppressAutoHyphens/>
      <w:overflowPunct w:val="0"/>
      <w:autoSpaceDN/>
      <w:ind w:left="648" w:right="143" w:hanging="506"/>
      <w:jc w:val="left"/>
      <w:textAlignment w:val="baseline"/>
    </w:pPr>
    <w:rPr>
      <w:rFonts w:ascii="CG Times (W1)" w:hAnsi="CG Times (W1)"/>
      <w:sz w:val="24"/>
      <w:szCs w:val="20"/>
    </w:rPr>
  </w:style>
  <w:style w:type="paragraph" w:customStyle="1" w:styleId="BlockText1">
    <w:name w:val="Block Text1"/>
    <w:basedOn w:val="Normal"/>
    <w:rsid w:val="009C13A9"/>
    <w:pPr>
      <w:widowControl w:val="0"/>
      <w:tabs>
        <w:tab w:val="left" w:pos="720"/>
      </w:tabs>
      <w:suppressAutoHyphens/>
      <w:overflowPunct w:val="0"/>
      <w:autoSpaceDN/>
      <w:ind w:left="360" w:right="143" w:firstLine="0"/>
      <w:textAlignment w:val="baseline"/>
    </w:pPr>
    <w:rPr>
      <w:rFonts w:ascii="CG Times (W1)" w:hAnsi="CG Times (W1)"/>
      <w:sz w:val="24"/>
      <w:szCs w:val="20"/>
    </w:rPr>
  </w:style>
  <w:style w:type="paragraph" w:customStyle="1" w:styleId="berschrift71">
    <w:name w:val="Überschrift 71"/>
    <w:basedOn w:val="Normal"/>
    <w:next w:val="Normal"/>
    <w:rsid w:val="009C13A9"/>
    <w:pPr>
      <w:keepNext/>
      <w:widowControl w:val="0"/>
      <w:suppressAutoHyphens/>
      <w:overflowPunct w:val="0"/>
      <w:autoSpaceDN/>
      <w:ind w:left="81" w:right="143" w:firstLine="61"/>
      <w:jc w:val="center"/>
      <w:textAlignment w:val="baseline"/>
    </w:pPr>
    <w:rPr>
      <w:rFonts w:ascii="CG Times (W1)" w:hAnsi="CG Times (W1)"/>
      <w:b/>
      <w:sz w:val="24"/>
      <w:szCs w:val="20"/>
      <w:u w:val="single"/>
    </w:rPr>
  </w:style>
  <w:style w:type="paragraph" w:customStyle="1" w:styleId="Corpsdetexte2">
    <w:name w:val="Corps de texte2"/>
    <w:basedOn w:val="Normal"/>
    <w:rsid w:val="009C13A9"/>
    <w:pPr>
      <w:widowControl w:val="0"/>
      <w:suppressAutoHyphens/>
      <w:overflowPunct w:val="0"/>
      <w:autoSpaceDN/>
      <w:spacing w:line="340" w:lineRule="atLeast"/>
      <w:ind w:left="0" w:firstLine="0"/>
      <w:textAlignment w:val="baseline"/>
    </w:pPr>
    <w:rPr>
      <w:rFonts w:ascii="Times New Roman" w:hAnsi="Times New Roman"/>
      <w:sz w:val="24"/>
      <w:szCs w:val="20"/>
    </w:rPr>
  </w:style>
  <w:style w:type="paragraph" w:customStyle="1" w:styleId="Pres1">
    <w:name w:val="P_res1"/>
    <w:basedOn w:val="TNR1"/>
    <w:rsid w:val="009C13A9"/>
    <w:pPr>
      <w:tabs>
        <w:tab w:val="clear" w:pos="907"/>
        <w:tab w:val="left" w:pos="851"/>
        <w:tab w:val="left" w:pos="1021"/>
      </w:tabs>
      <w:suppressAutoHyphens/>
      <w:overflowPunct/>
      <w:autoSpaceDE/>
      <w:autoSpaceDN/>
      <w:adjustRightInd/>
      <w:spacing w:after="80"/>
      <w:ind w:left="851" w:hanging="425"/>
      <w:textAlignment w:val="auto"/>
    </w:pPr>
  </w:style>
  <w:style w:type="paragraph" w:customStyle="1" w:styleId="Presa">
    <w:name w:val="P_res_a"/>
    <w:basedOn w:val="TNRA"/>
    <w:rsid w:val="009C13A9"/>
    <w:pPr>
      <w:tabs>
        <w:tab w:val="clear" w:pos="907"/>
        <w:tab w:val="left" w:pos="1021"/>
        <w:tab w:val="left" w:pos="1276"/>
      </w:tabs>
      <w:suppressAutoHyphens/>
      <w:autoSpaceDN/>
      <w:adjustRightInd/>
      <w:spacing w:after="80" w:line="240" w:lineRule="exact"/>
      <w:ind w:left="1276" w:hanging="425"/>
    </w:pPr>
  </w:style>
  <w:style w:type="paragraph" w:customStyle="1" w:styleId="Prestiret">
    <w:name w:val="P_res_tiret"/>
    <w:basedOn w:val="TNRA"/>
    <w:rsid w:val="009C13A9"/>
    <w:pPr>
      <w:tabs>
        <w:tab w:val="clear" w:pos="907"/>
        <w:tab w:val="left" w:pos="1021"/>
        <w:tab w:val="left" w:pos="1560"/>
      </w:tabs>
      <w:suppressAutoHyphens/>
      <w:autoSpaceDN/>
      <w:adjustRightInd/>
      <w:spacing w:line="240" w:lineRule="exact"/>
      <w:ind w:left="1560"/>
    </w:pPr>
  </w:style>
  <w:style w:type="paragraph" w:customStyle="1" w:styleId="Corpsdetexte1">
    <w:name w:val="Corps de texte1"/>
    <w:basedOn w:val="Normal"/>
    <w:rsid w:val="009C13A9"/>
    <w:pPr>
      <w:widowControl w:val="0"/>
      <w:suppressAutoHyphens/>
      <w:overflowPunct w:val="0"/>
      <w:autoSpaceDN/>
      <w:spacing w:line="340" w:lineRule="atLeast"/>
      <w:ind w:left="0" w:firstLine="0"/>
      <w:textAlignment w:val="baseline"/>
    </w:pPr>
    <w:rPr>
      <w:rFonts w:ascii="Times New Roman" w:hAnsi="Times New Roman"/>
      <w:sz w:val="24"/>
      <w:szCs w:val="20"/>
    </w:rPr>
  </w:style>
  <w:style w:type="paragraph" w:customStyle="1" w:styleId="Sty1">
    <w:name w:val="Sty_1"/>
    <w:basedOn w:val="BodyText"/>
    <w:rsid w:val="009C13A9"/>
    <w:pPr>
      <w:keepNext w:val="0"/>
      <w:tabs>
        <w:tab w:val="clear" w:pos="709"/>
        <w:tab w:val="left" w:pos="567"/>
      </w:tabs>
      <w:suppressAutoHyphens/>
      <w:autoSpaceDE w:val="0"/>
      <w:spacing w:line="240" w:lineRule="auto"/>
      <w:ind w:left="567" w:hanging="567"/>
      <w:jc w:val="both"/>
    </w:pPr>
    <w:rPr>
      <w:rFonts w:cs="Arial"/>
    </w:rPr>
  </w:style>
  <w:style w:type="paragraph" w:customStyle="1" w:styleId="Standard1">
    <w:name w:val="Standard1"/>
    <w:rsid w:val="009C13A9"/>
    <w:pPr>
      <w:widowControl w:val="0"/>
      <w:suppressAutoHyphens/>
      <w:overflowPunct w:val="0"/>
      <w:autoSpaceDE w:val="0"/>
      <w:jc w:val="both"/>
      <w:textAlignment w:val="baseline"/>
    </w:pPr>
    <w:rPr>
      <w:rFonts w:ascii="CG Times (W1)" w:eastAsia="Arial" w:hAnsi="CG Times (W1)"/>
      <w:sz w:val="24"/>
    </w:rPr>
  </w:style>
  <w:style w:type="paragraph" w:customStyle="1" w:styleId="Kopfzeile1">
    <w:name w:val="Kopfzeile1"/>
    <w:basedOn w:val="Standard1"/>
    <w:rsid w:val="009C13A9"/>
    <w:pPr>
      <w:tabs>
        <w:tab w:val="center" w:pos="4819"/>
        <w:tab w:val="right" w:pos="9071"/>
      </w:tabs>
    </w:pPr>
  </w:style>
  <w:style w:type="paragraph" w:customStyle="1" w:styleId="BodyTextIndent21">
    <w:name w:val="Body Text Indent 21"/>
    <w:basedOn w:val="Normal"/>
    <w:rsid w:val="009C13A9"/>
    <w:pPr>
      <w:widowControl w:val="0"/>
      <w:tabs>
        <w:tab w:val="left" w:pos="426"/>
      </w:tabs>
      <w:suppressAutoHyphens/>
      <w:autoSpaceDE/>
      <w:autoSpaceDN/>
      <w:spacing w:line="240" w:lineRule="atLeast"/>
      <w:ind w:left="426" w:hanging="426"/>
    </w:pPr>
    <w:rPr>
      <w:szCs w:val="20"/>
    </w:rPr>
  </w:style>
  <w:style w:type="paragraph" w:customStyle="1" w:styleId="FreytagText">
    <w:name w:val="FreytagText"/>
    <w:basedOn w:val="Normal"/>
    <w:rsid w:val="009C13A9"/>
    <w:pPr>
      <w:tabs>
        <w:tab w:val="left" w:pos="709"/>
        <w:tab w:val="left" w:pos="1134"/>
        <w:tab w:val="left" w:pos="1559"/>
        <w:tab w:val="left" w:pos="2126"/>
        <w:tab w:val="left" w:pos="2835"/>
        <w:tab w:val="left" w:pos="3544"/>
        <w:tab w:val="left" w:pos="4253"/>
        <w:tab w:val="left" w:pos="4961"/>
        <w:tab w:val="left" w:pos="5670"/>
        <w:tab w:val="left" w:pos="6379"/>
        <w:tab w:val="left" w:pos="7088"/>
      </w:tabs>
      <w:suppressAutoHyphens/>
      <w:autoSpaceDE/>
      <w:autoSpaceDN/>
      <w:spacing w:line="360" w:lineRule="auto"/>
      <w:ind w:left="0" w:firstLine="0"/>
    </w:pPr>
    <w:rPr>
      <w:spacing w:val="8"/>
      <w:sz w:val="22"/>
      <w:szCs w:val="20"/>
    </w:rPr>
  </w:style>
  <w:style w:type="paragraph" w:customStyle="1" w:styleId="Rad11">
    <w:name w:val="Rad1.1"/>
    <w:basedOn w:val="Normal"/>
    <w:rsid w:val="009C13A9"/>
    <w:pPr>
      <w:tabs>
        <w:tab w:val="left" w:pos="284"/>
        <w:tab w:val="left" w:pos="454"/>
        <w:tab w:val="left" w:pos="709"/>
      </w:tabs>
      <w:suppressAutoHyphens/>
      <w:autoSpaceDE/>
      <w:autoSpaceDN/>
      <w:spacing w:line="240" w:lineRule="exact"/>
      <w:ind w:left="0" w:hanging="426"/>
    </w:pPr>
    <w:rPr>
      <w:rFonts w:ascii="Times New Roman" w:hAnsi="Times New Roman"/>
      <w:sz w:val="24"/>
      <w:szCs w:val="20"/>
    </w:rPr>
  </w:style>
  <w:style w:type="paragraph" w:customStyle="1" w:styleId="Par1">
    <w:name w:val="Par_1"/>
    <w:basedOn w:val="Normal"/>
    <w:rsid w:val="009C13A9"/>
    <w:pPr>
      <w:tabs>
        <w:tab w:val="left" w:pos="482"/>
      </w:tabs>
      <w:suppressAutoHyphens/>
      <w:autoSpaceDE/>
      <w:autoSpaceDN/>
      <w:spacing w:before="40" w:after="40"/>
      <w:ind w:left="482" w:right="57"/>
    </w:pPr>
    <w:rPr>
      <w:szCs w:val="20"/>
    </w:rPr>
  </w:style>
  <w:style w:type="paragraph" w:customStyle="1" w:styleId="t62">
    <w:name w:val="t62"/>
    <w:basedOn w:val="Normal"/>
    <w:rsid w:val="009C13A9"/>
    <w:pPr>
      <w:suppressAutoHyphens/>
      <w:autoSpaceDE/>
      <w:autoSpaceDN/>
      <w:spacing w:line="240" w:lineRule="atLeast"/>
      <w:ind w:left="0" w:firstLine="0"/>
      <w:jc w:val="left"/>
    </w:pPr>
    <w:rPr>
      <w:rFonts w:ascii="Times New Roman" w:hAnsi="Times New Roman"/>
      <w:sz w:val="24"/>
      <w:szCs w:val="20"/>
    </w:rPr>
  </w:style>
  <w:style w:type="paragraph" w:customStyle="1" w:styleId="p17">
    <w:name w:val="p17"/>
    <w:basedOn w:val="Normal"/>
    <w:rsid w:val="009C13A9"/>
    <w:pPr>
      <w:tabs>
        <w:tab w:val="left" w:pos="280"/>
      </w:tabs>
      <w:suppressAutoHyphens/>
      <w:autoSpaceDE/>
      <w:autoSpaceDN/>
      <w:spacing w:line="200" w:lineRule="atLeast"/>
      <w:ind w:left="1440" w:firstLine="288"/>
      <w:jc w:val="left"/>
    </w:pPr>
    <w:rPr>
      <w:rFonts w:ascii="Times New Roman" w:hAnsi="Times New Roman"/>
      <w:sz w:val="24"/>
      <w:szCs w:val="20"/>
    </w:rPr>
  </w:style>
  <w:style w:type="paragraph" w:customStyle="1" w:styleId="p67">
    <w:name w:val="p67"/>
    <w:basedOn w:val="Normal"/>
    <w:rsid w:val="009C13A9"/>
    <w:pPr>
      <w:tabs>
        <w:tab w:val="left" w:pos="660"/>
      </w:tabs>
      <w:suppressAutoHyphens/>
      <w:autoSpaceDE/>
      <w:autoSpaceDN/>
      <w:spacing w:line="200" w:lineRule="atLeast"/>
      <w:ind w:left="780" w:firstLine="0"/>
      <w:jc w:val="left"/>
    </w:pPr>
    <w:rPr>
      <w:rFonts w:ascii="Times New Roman" w:hAnsi="Times New Roman"/>
      <w:sz w:val="24"/>
      <w:szCs w:val="20"/>
    </w:rPr>
  </w:style>
  <w:style w:type="paragraph" w:customStyle="1" w:styleId="ai">
    <w:name w:val="ai"/>
    <w:basedOn w:val="Normal"/>
    <w:rsid w:val="009C13A9"/>
    <w:pPr>
      <w:tabs>
        <w:tab w:val="left" w:pos="425"/>
      </w:tabs>
      <w:suppressAutoHyphens/>
      <w:autoSpaceDE/>
      <w:autoSpaceDN/>
      <w:spacing w:line="240" w:lineRule="atLeast"/>
    </w:pPr>
    <w:rPr>
      <w:rFonts w:cs="Arial"/>
      <w:bCs/>
      <w:i/>
      <w:sz w:val="22"/>
    </w:rPr>
  </w:style>
  <w:style w:type="paragraph" w:customStyle="1" w:styleId="aai">
    <w:name w:val="aai"/>
    <w:basedOn w:val="Normal"/>
    <w:rsid w:val="009C13A9"/>
    <w:pPr>
      <w:tabs>
        <w:tab w:val="left" w:pos="851"/>
      </w:tabs>
      <w:suppressAutoHyphens/>
      <w:autoSpaceDE/>
      <w:autoSpaceDN/>
      <w:spacing w:line="240" w:lineRule="atLeast"/>
      <w:ind w:left="850"/>
    </w:pPr>
    <w:rPr>
      <w:rFonts w:cs="Arial"/>
      <w:bCs/>
      <w:i/>
      <w:sz w:val="22"/>
    </w:rPr>
  </w:style>
  <w:style w:type="paragraph" w:customStyle="1" w:styleId="achi">
    <w:name w:val="achi"/>
    <w:basedOn w:val="aa"/>
    <w:rsid w:val="009C13A9"/>
    <w:pPr>
      <w:widowControl w:val="0"/>
      <w:tabs>
        <w:tab w:val="clear" w:pos="425"/>
        <w:tab w:val="clear" w:pos="851"/>
        <w:tab w:val="clear" w:pos="1701"/>
        <w:tab w:val="clear" w:pos="2126"/>
        <w:tab w:val="left" w:pos="284"/>
        <w:tab w:val="left" w:pos="454"/>
        <w:tab w:val="left" w:pos="680"/>
        <w:tab w:val="left" w:pos="1021"/>
        <w:tab w:val="left" w:pos="1559"/>
      </w:tabs>
      <w:suppressAutoHyphens/>
      <w:autoSpaceDN/>
      <w:adjustRightInd/>
      <w:spacing w:before="0"/>
      <w:ind w:left="1560" w:hanging="709"/>
    </w:pPr>
    <w:rPr>
      <w:szCs w:val="20"/>
    </w:rPr>
  </w:style>
  <w:style w:type="paragraph" w:customStyle="1" w:styleId="xl39">
    <w:name w:val="xl39"/>
    <w:basedOn w:val="Normal"/>
    <w:rsid w:val="009C13A9"/>
    <w:pPr>
      <w:suppressAutoHyphens/>
      <w:autoSpaceDE/>
      <w:autoSpaceDN/>
      <w:spacing w:before="100" w:after="100"/>
      <w:ind w:left="0" w:firstLine="0"/>
      <w:jc w:val="center"/>
    </w:pPr>
    <w:rPr>
      <w:rFonts w:cs="Arial"/>
      <w:b/>
      <w:bCs/>
      <w:sz w:val="24"/>
    </w:rPr>
  </w:style>
  <w:style w:type="paragraph" w:customStyle="1" w:styleId="Textedebulles1">
    <w:name w:val="Texte de bulles1"/>
    <w:basedOn w:val="Normal"/>
    <w:rsid w:val="009C13A9"/>
    <w:pPr>
      <w:suppressAutoHyphens/>
      <w:overflowPunct w:val="0"/>
      <w:autoSpaceDN/>
      <w:ind w:left="0" w:firstLine="0"/>
      <w:textAlignment w:val="baseline"/>
    </w:pPr>
    <w:rPr>
      <w:rFonts w:ascii="Times New Roman" w:hAnsi="Times New Roman"/>
      <w:sz w:val="16"/>
      <w:szCs w:val="16"/>
    </w:rPr>
  </w:style>
  <w:style w:type="paragraph" w:customStyle="1" w:styleId="Text10">
    <w:name w:val="Text1"/>
    <w:basedOn w:val="Normal"/>
    <w:rsid w:val="009C13A9"/>
    <w:pPr>
      <w:suppressAutoHyphens/>
      <w:autoSpaceDE/>
      <w:autoSpaceDN/>
      <w:spacing w:after="120" w:line="360" w:lineRule="auto"/>
      <w:ind w:left="0" w:firstLine="0"/>
      <w:jc w:val="left"/>
    </w:pPr>
    <w:rPr>
      <w:rFonts w:ascii="Arial Narrow" w:hAnsi="Arial Narrow"/>
      <w:sz w:val="22"/>
      <w:szCs w:val="22"/>
    </w:rPr>
  </w:style>
  <w:style w:type="paragraph" w:customStyle="1" w:styleId="Default">
    <w:name w:val="Default"/>
    <w:rsid w:val="009C13A9"/>
    <w:pPr>
      <w:widowControl w:val="0"/>
      <w:suppressAutoHyphens/>
      <w:autoSpaceDE w:val="0"/>
    </w:pPr>
    <w:rPr>
      <w:rFonts w:ascii="EU Albertina" w:eastAsia="Arial" w:hAnsi="EU Albertina" w:cs="EU Albertina"/>
      <w:color w:val="000000"/>
      <w:sz w:val="24"/>
      <w:szCs w:val="24"/>
    </w:rPr>
  </w:style>
  <w:style w:type="paragraph" w:customStyle="1" w:styleId="CM204">
    <w:name w:val="CM204"/>
    <w:basedOn w:val="Default"/>
    <w:next w:val="Default"/>
    <w:rsid w:val="009C13A9"/>
    <w:pPr>
      <w:spacing w:after="173"/>
    </w:pPr>
    <w:rPr>
      <w:color w:val="auto"/>
    </w:rPr>
  </w:style>
  <w:style w:type="paragraph" w:customStyle="1" w:styleId="CM202">
    <w:name w:val="CM202"/>
    <w:basedOn w:val="Default"/>
    <w:next w:val="Default"/>
    <w:rsid w:val="009C13A9"/>
    <w:pPr>
      <w:spacing w:after="298"/>
    </w:pPr>
    <w:rPr>
      <w:color w:val="auto"/>
    </w:rPr>
  </w:style>
  <w:style w:type="paragraph" w:customStyle="1" w:styleId="CM209">
    <w:name w:val="CM209"/>
    <w:basedOn w:val="Normal"/>
    <w:next w:val="Normal"/>
    <w:rsid w:val="009C13A9"/>
    <w:pPr>
      <w:widowControl w:val="0"/>
      <w:suppressAutoHyphens/>
      <w:autoSpaceDN/>
      <w:spacing w:after="513"/>
      <w:ind w:left="0" w:firstLine="0"/>
      <w:jc w:val="left"/>
    </w:pPr>
    <w:rPr>
      <w:rFonts w:ascii="EU Albertina" w:hAnsi="EU Albertina"/>
      <w:sz w:val="24"/>
    </w:rPr>
  </w:style>
  <w:style w:type="paragraph" w:customStyle="1" w:styleId="CM208">
    <w:name w:val="CM208"/>
    <w:basedOn w:val="Default"/>
    <w:next w:val="Default"/>
    <w:rsid w:val="009C13A9"/>
    <w:pPr>
      <w:spacing w:after="240"/>
    </w:pPr>
    <w:rPr>
      <w:color w:val="auto"/>
    </w:rPr>
  </w:style>
  <w:style w:type="paragraph" w:customStyle="1" w:styleId="CM62">
    <w:name w:val="CM62"/>
    <w:basedOn w:val="Default"/>
    <w:next w:val="Default"/>
    <w:rsid w:val="009C13A9"/>
    <w:pPr>
      <w:spacing w:line="188" w:lineRule="atLeast"/>
    </w:pPr>
    <w:rPr>
      <w:color w:val="auto"/>
    </w:rPr>
  </w:style>
  <w:style w:type="paragraph" w:customStyle="1" w:styleId="CM215">
    <w:name w:val="CM215"/>
    <w:basedOn w:val="Default"/>
    <w:next w:val="Default"/>
    <w:rsid w:val="009C13A9"/>
    <w:pPr>
      <w:spacing w:after="613"/>
    </w:pPr>
    <w:rPr>
      <w:color w:val="auto"/>
    </w:rPr>
  </w:style>
  <w:style w:type="paragraph" w:customStyle="1" w:styleId="Formatvorlageberschrift212ptNichtKursivLinks0cmErsteZeil">
    <w:name w:val="Formatvorlage Überschrift 2 + 12 pt Nicht Kursiv Links:  0 cm Erste Zeil..."/>
    <w:basedOn w:val="Heading2"/>
    <w:rsid w:val="009C13A9"/>
    <w:pPr>
      <w:numPr>
        <w:ilvl w:val="0"/>
        <w:numId w:val="0"/>
      </w:numPr>
      <w:tabs>
        <w:tab w:val="left" w:pos="720"/>
      </w:tabs>
      <w:suppressAutoHyphens/>
      <w:autoSpaceDE/>
      <w:autoSpaceDN/>
      <w:spacing w:before="240" w:after="120"/>
      <w:ind w:left="720" w:hanging="720"/>
      <w:jc w:val="left"/>
    </w:pPr>
    <w:rPr>
      <w:rFonts w:ascii="Arial" w:hAnsi="Arial"/>
      <w:i w:val="0"/>
      <w:iCs w:val="0"/>
      <w:sz w:val="24"/>
      <w:szCs w:val="20"/>
    </w:rPr>
  </w:style>
  <w:style w:type="paragraph" w:customStyle="1" w:styleId="Bo1">
    <w:name w:val="Bo1"/>
    <w:basedOn w:val="Normal"/>
    <w:rsid w:val="009C13A9"/>
    <w:pPr>
      <w:suppressAutoHyphens/>
      <w:autoSpaceDE/>
      <w:autoSpaceDN/>
      <w:spacing w:line="240" w:lineRule="atLeast"/>
      <w:ind w:left="1134" w:hanging="709"/>
    </w:pPr>
    <w:rPr>
      <w:rFonts w:ascii="Times New Roman" w:hAnsi="Times New Roman"/>
      <w:b/>
      <w:sz w:val="22"/>
    </w:rPr>
  </w:style>
  <w:style w:type="paragraph" w:customStyle="1" w:styleId="Bo11">
    <w:name w:val="Bo1_1"/>
    <w:basedOn w:val="Normal"/>
    <w:rsid w:val="009C13A9"/>
    <w:pPr>
      <w:tabs>
        <w:tab w:val="left" w:pos="1134"/>
      </w:tabs>
      <w:suppressAutoHyphens/>
      <w:overflowPunct w:val="0"/>
      <w:autoSpaceDN/>
      <w:spacing w:line="240" w:lineRule="atLeast"/>
      <w:ind w:left="1134" w:hanging="709"/>
      <w:textAlignment w:val="baseline"/>
    </w:pPr>
    <w:rPr>
      <w:rFonts w:ascii="Times New Roman" w:hAnsi="Times New Roman"/>
      <w:sz w:val="24"/>
    </w:rPr>
  </w:style>
  <w:style w:type="paragraph" w:customStyle="1" w:styleId="RetraitPremireligne">
    <w:name w:val="Retrait_Première_ligne"/>
    <w:basedOn w:val="Normal"/>
    <w:rsid w:val="009C13A9"/>
    <w:pPr>
      <w:suppressAutoHyphens/>
      <w:autoSpaceDE/>
      <w:autoSpaceDN/>
      <w:spacing w:line="240" w:lineRule="atLeast"/>
      <w:ind w:left="0" w:firstLine="425"/>
    </w:pPr>
    <w:rPr>
      <w:rFonts w:cs="Arial"/>
      <w:szCs w:val="20"/>
    </w:rPr>
  </w:style>
  <w:style w:type="paragraph" w:customStyle="1" w:styleId="Textebrut1">
    <w:name w:val="Texte brut1"/>
    <w:basedOn w:val="Normal"/>
    <w:rsid w:val="009C13A9"/>
    <w:pPr>
      <w:suppressAutoHyphens/>
      <w:autoSpaceDE/>
      <w:autoSpaceDN/>
      <w:ind w:left="0" w:firstLine="0"/>
      <w:jc w:val="left"/>
    </w:pPr>
    <w:rPr>
      <w:rFonts w:ascii="Consolas" w:hAnsi="Consolas"/>
      <w:sz w:val="21"/>
      <w:szCs w:val="21"/>
    </w:rPr>
  </w:style>
  <w:style w:type="paragraph" w:customStyle="1" w:styleId="ED1">
    <w:name w:val="ED1"/>
    <w:basedOn w:val="Normal"/>
    <w:rsid w:val="009C13A9"/>
    <w:pPr>
      <w:suppressAutoHyphens/>
      <w:autoSpaceDE/>
      <w:autoSpaceDN/>
    </w:pPr>
    <w:rPr>
      <w:rFonts w:ascii="Times New Roman" w:hAnsi="Times New Roman"/>
      <w:sz w:val="24"/>
    </w:rPr>
  </w:style>
  <w:style w:type="paragraph" w:customStyle="1" w:styleId="Commentaire1">
    <w:name w:val="Commentaire1"/>
    <w:basedOn w:val="Normal"/>
    <w:rsid w:val="009C13A9"/>
    <w:pPr>
      <w:suppressAutoHyphens/>
      <w:autoSpaceDE/>
      <w:autoSpaceDN/>
      <w:ind w:left="0" w:firstLine="0"/>
      <w:jc w:val="left"/>
    </w:pPr>
    <w:rPr>
      <w:szCs w:val="20"/>
    </w:rPr>
  </w:style>
  <w:style w:type="paragraph" w:customStyle="1" w:styleId="Contenudetableau">
    <w:name w:val="Contenu de tableau"/>
    <w:basedOn w:val="Normal"/>
    <w:rsid w:val="009C13A9"/>
    <w:pPr>
      <w:suppressLineNumbers/>
      <w:suppressAutoHyphens/>
      <w:autoSpaceDE/>
      <w:autoSpaceDN/>
      <w:ind w:left="0" w:firstLine="0"/>
      <w:jc w:val="left"/>
    </w:pPr>
    <w:rPr>
      <w:rFonts w:ascii="Times New Roman" w:hAnsi="Times New Roman"/>
      <w:sz w:val="24"/>
    </w:rPr>
  </w:style>
  <w:style w:type="paragraph" w:customStyle="1" w:styleId="Titredetableau">
    <w:name w:val="Titre de tableau"/>
    <w:basedOn w:val="Contenudetableau"/>
    <w:rsid w:val="009C13A9"/>
    <w:pPr>
      <w:jc w:val="center"/>
    </w:pPr>
    <w:rPr>
      <w:b/>
      <w:bCs/>
    </w:rPr>
  </w:style>
  <w:style w:type="numbering" w:customStyle="1" w:styleId="Aucuneliste111">
    <w:name w:val="Aucune liste111"/>
    <w:next w:val="NoList"/>
    <w:semiHidden/>
    <w:rsid w:val="009C13A9"/>
  </w:style>
  <w:style w:type="paragraph" w:styleId="DocumentMap">
    <w:name w:val="Document Map"/>
    <w:basedOn w:val="Normal"/>
    <w:link w:val="DocumentMapChar"/>
    <w:rsid w:val="009C13A9"/>
    <w:pPr>
      <w:shd w:val="clear" w:color="auto" w:fill="000080"/>
      <w:autoSpaceDE/>
      <w:autoSpaceDN/>
      <w:ind w:left="0" w:firstLine="0"/>
      <w:jc w:val="left"/>
    </w:pPr>
    <w:rPr>
      <w:rFonts w:ascii="Tahoma" w:hAnsi="Tahoma"/>
      <w:szCs w:val="20"/>
    </w:rPr>
  </w:style>
  <w:style w:type="character" w:customStyle="1" w:styleId="DocumentMapChar">
    <w:name w:val="Document Map Char"/>
    <w:link w:val="DocumentMap"/>
    <w:rsid w:val="009C13A9"/>
    <w:rPr>
      <w:rFonts w:ascii="Tahoma" w:hAnsi="Tahoma"/>
      <w:shd w:val="clear" w:color="auto" w:fill="000080"/>
    </w:rPr>
  </w:style>
  <w:style w:type="numbering" w:customStyle="1" w:styleId="Aucuneliste2">
    <w:name w:val="Aucune liste2"/>
    <w:next w:val="NoList"/>
    <w:semiHidden/>
    <w:rsid w:val="009C13A9"/>
  </w:style>
  <w:style w:type="paragraph" w:customStyle="1" w:styleId="Sprechblasentext">
    <w:name w:val="Sprechblasentext"/>
    <w:basedOn w:val="Normal"/>
    <w:rsid w:val="009C13A9"/>
    <w:pPr>
      <w:autoSpaceDE/>
      <w:autoSpaceDN/>
      <w:ind w:left="0" w:firstLine="0"/>
      <w:jc w:val="left"/>
    </w:pPr>
    <w:rPr>
      <w:rFonts w:ascii="Tahoma" w:hAnsi="Tahoma" w:cs="Tahoma"/>
      <w:snapToGrid w:val="0"/>
      <w:sz w:val="16"/>
      <w:szCs w:val="16"/>
    </w:rPr>
  </w:style>
  <w:style w:type="paragraph" w:styleId="List2">
    <w:name w:val="List 2"/>
    <w:basedOn w:val="Normal"/>
    <w:rsid w:val="009C13A9"/>
    <w:pPr>
      <w:autoSpaceDE/>
      <w:autoSpaceDN/>
      <w:ind w:left="566" w:hanging="283"/>
      <w:jc w:val="left"/>
    </w:pPr>
    <w:rPr>
      <w:rFonts w:ascii="Times New Roman" w:hAnsi="Times New Roman"/>
      <w:sz w:val="24"/>
    </w:rPr>
  </w:style>
  <w:style w:type="paragraph" w:styleId="List3">
    <w:name w:val="List 3"/>
    <w:basedOn w:val="Normal"/>
    <w:rsid w:val="009C13A9"/>
    <w:pPr>
      <w:autoSpaceDE/>
      <w:autoSpaceDN/>
      <w:ind w:left="849" w:hanging="283"/>
      <w:jc w:val="left"/>
    </w:pPr>
    <w:rPr>
      <w:rFonts w:ascii="Times New Roman" w:hAnsi="Times New Roman"/>
      <w:sz w:val="24"/>
    </w:rPr>
  </w:style>
  <w:style w:type="paragraph" w:styleId="ListContinue2">
    <w:name w:val="List Continue 2"/>
    <w:basedOn w:val="Normal"/>
    <w:rsid w:val="009C13A9"/>
    <w:pPr>
      <w:autoSpaceDE/>
      <w:autoSpaceDN/>
      <w:spacing w:after="120"/>
      <w:ind w:left="566" w:firstLine="0"/>
      <w:jc w:val="left"/>
    </w:pPr>
    <w:rPr>
      <w:rFonts w:ascii="Times New Roman" w:hAnsi="Times New Roman"/>
      <w:sz w:val="24"/>
    </w:rPr>
  </w:style>
  <w:style w:type="table" w:customStyle="1" w:styleId="Grilledutableau111">
    <w:name w:val="Grille du tableau111"/>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rechblasentext1">
    <w:name w:val="Sprechblasentext1"/>
    <w:basedOn w:val="Normal"/>
    <w:semiHidden/>
    <w:rsid w:val="009C13A9"/>
    <w:pPr>
      <w:autoSpaceDE/>
      <w:autoSpaceDN/>
      <w:ind w:left="0" w:firstLine="0"/>
      <w:jc w:val="left"/>
    </w:pPr>
    <w:rPr>
      <w:rFonts w:ascii="Tahoma" w:hAnsi="Tahoma"/>
      <w:sz w:val="16"/>
      <w:szCs w:val="16"/>
    </w:rPr>
  </w:style>
  <w:style w:type="paragraph" w:customStyle="1" w:styleId="sprechblasentext0">
    <w:name w:val="sprechblasentext"/>
    <w:basedOn w:val="Normal"/>
    <w:rsid w:val="009C13A9"/>
    <w:pPr>
      <w:autoSpaceDE/>
      <w:autoSpaceDN/>
      <w:snapToGrid w:val="0"/>
      <w:ind w:left="0" w:firstLine="0"/>
      <w:jc w:val="left"/>
    </w:pPr>
    <w:rPr>
      <w:rFonts w:ascii="Tahoma" w:hAnsi="Tahoma" w:cs="Tahoma"/>
      <w:sz w:val="16"/>
      <w:szCs w:val="16"/>
    </w:rPr>
  </w:style>
  <w:style w:type="character" w:customStyle="1" w:styleId="msoins1">
    <w:name w:val="msoins"/>
    <w:rsid w:val="009C13A9"/>
  </w:style>
  <w:style w:type="numbering" w:customStyle="1" w:styleId="Aucuneliste1111">
    <w:name w:val="Aucune liste1111"/>
    <w:next w:val="NoList"/>
    <w:semiHidden/>
    <w:rsid w:val="009C13A9"/>
  </w:style>
  <w:style w:type="paragraph" w:customStyle="1" w:styleId="Sprechblasentext2">
    <w:name w:val="Sprechblasentext2"/>
    <w:basedOn w:val="Normal"/>
    <w:rsid w:val="009C13A9"/>
    <w:pPr>
      <w:autoSpaceDE/>
      <w:autoSpaceDN/>
      <w:ind w:left="0" w:firstLine="0"/>
      <w:jc w:val="left"/>
    </w:pPr>
    <w:rPr>
      <w:rFonts w:ascii="Times New Roman" w:hAnsi="Times New Roman"/>
      <w:sz w:val="16"/>
      <w:szCs w:val="16"/>
    </w:rPr>
  </w:style>
  <w:style w:type="table" w:customStyle="1" w:styleId="Grilledutableau1111">
    <w:name w:val="Grille du tableau1111"/>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
    <w:name w:val="Style"/>
    <w:basedOn w:val="Normal"/>
    <w:next w:val="Normal"/>
    <w:rsid w:val="009C13A9"/>
    <w:pPr>
      <w:autoSpaceDE/>
      <w:autoSpaceDN/>
      <w:spacing w:after="160" w:line="240" w:lineRule="exact"/>
      <w:ind w:left="0" w:firstLine="0"/>
      <w:jc w:val="left"/>
    </w:pPr>
    <w:rPr>
      <w:rFonts w:ascii="Times New Roman" w:hAnsi="Times New Roman"/>
      <w:snapToGrid w:val="0"/>
      <w:sz w:val="24"/>
    </w:rPr>
  </w:style>
  <w:style w:type="numbering" w:customStyle="1" w:styleId="Aucuneliste3">
    <w:name w:val="Aucune liste3"/>
    <w:next w:val="NoList"/>
    <w:semiHidden/>
    <w:rsid w:val="009C13A9"/>
  </w:style>
  <w:style w:type="paragraph" w:customStyle="1" w:styleId="Normal1">
    <w:name w:val="Normal1"/>
    <w:basedOn w:val="Normal"/>
    <w:rsid w:val="009C13A9"/>
    <w:pPr>
      <w:autoSpaceDE/>
      <w:autoSpaceDN/>
      <w:ind w:left="0" w:firstLine="0"/>
      <w:jc w:val="left"/>
    </w:pPr>
    <w:rPr>
      <w:rFonts w:ascii="Times New Roman" w:hAnsi="Times New Roman"/>
      <w:color w:val="000000"/>
      <w:szCs w:val="20"/>
    </w:rPr>
  </w:style>
  <w:style w:type="numbering" w:customStyle="1" w:styleId="Aucuneliste4">
    <w:name w:val="Aucune liste4"/>
    <w:next w:val="NoList"/>
    <w:semiHidden/>
    <w:rsid w:val="009C13A9"/>
  </w:style>
  <w:style w:type="table" w:customStyle="1" w:styleId="Grilledutableau2">
    <w:name w:val="Grille du tableau2"/>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2">
    <w:name w:val="Aucune liste12"/>
    <w:next w:val="NoList"/>
    <w:uiPriority w:val="99"/>
    <w:semiHidden/>
    <w:unhideWhenUsed/>
    <w:rsid w:val="009C13A9"/>
  </w:style>
  <w:style w:type="numbering" w:customStyle="1" w:styleId="Aucuneliste112">
    <w:name w:val="Aucune liste112"/>
    <w:next w:val="NoList"/>
    <w:semiHidden/>
    <w:rsid w:val="009C13A9"/>
  </w:style>
  <w:style w:type="numbering" w:customStyle="1" w:styleId="Aucuneliste21">
    <w:name w:val="Aucune liste21"/>
    <w:next w:val="NoList"/>
    <w:semiHidden/>
    <w:rsid w:val="009C13A9"/>
  </w:style>
  <w:style w:type="table" w:customStyle="1" w:styleId="Grilledutableau12">
    <w:name w:val="Grille du tableau12"/>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2">
    <w:name w:val="Aucune liste1112"/>
    <w:next w:val="NoList"/>
    <w:semiHidden/>
    <w:rsid w:val="009C13A9"/>
  </w:style>
  <w:style w:type="table" w:customStyle="1" w:styleId="Grilledutableau112">
    <w:name w:val="Grille du tableau112"/>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1">
    <w:name w:val="Aucune liste31"/>
    <w:next w:val="NoList"/>
    <w:semiHidden/>
    <w:rsid w:val="009C13A9"/>
  </w:style>
  <w:style w:type="numbering" w:customStyle="1" w:styleId="Aucuneliste5">
    <w:name w:val="Aucune liste5"/>
    <w:next w:val="NoList"/>
    <w:semiHidden/>
    <w:rsid w:val="009C13A9"/>
  </w:style>
  <w:style w:type="table" w:customStyle="1" w:styleId="Grilledutableau3">
    <w:name w:val="Grille du tableau3"/>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3">
    <w:name w:val="Aucune liste13"/>
    <w:next w:val="NoList"/>
    <w:uiPriority w:val="99"/>
    <w:semiHidden/>
    <w:unhideWhenUsed/>
    <w:rsid w:val="009C13A9"/>
  </w:style>
  <w:style w:type="numbering" w:customStyle="1" w:styleId="Aucuneliste113">
    <w:name w:val="Aucune liste113"/>
    <w:next w:val="NoList"/>
    <w:semiHidden/>
    <w:rsid w:val="009C13A9"/>
  </w:style>
  <w:style w:type="numbering" w:customStyle="1" w:styleId="Aucuneliste22">
    <w:name w:val="Aucune liste22"/>
    <w:next w:val="NoList"/>
    <w:semiHidden/>
    <w:rsid w:val="009C13A9"/>
  </w:style>
  <w:style w:type="table" w:customStyle="1" w:styleId="Grilledutableau13">
    <w:name w:val="Grille du tableau13"/>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3">
    <w:name w:val="Aucune liste1113"/>
    <w:next w:val="NoList"/>
    <w:semiHidden/>
    <w:rsid w:val="009C13A9"/>
  </w:style>
  <w:style w:type="table" w:customStyle="1" w:styleId="Grilledutableau113">
    <w:name w:val="Grille du tableau113"/>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2">
    <w:name w:val="Aucune liste32"/>
    <w:next w:val="NoList"/>
    <w:semiHidden/>
    <w:rsid w:val="009C13A9"/>
  </w:style>
  <w:style w:type="paragraph" w:customStyle="1" w:styleId="Esannch">
    <w:name w:val="Es_ann_ch"/>
    <w:basedOn w:val="Normal"/>
    <w:qFormat/>
    <w:rsid w:val="009C13A9"/>
    <w:pPr>
      <w:spacing w:line="240" w:lineRule="atLeast"/>
    </w:pPr>
    <w:rPr>
      <w:rFonts w:cs="Arial"/>
      <w:color w:val="000000"/>
    </w:rPr>
  </w:style>
  <w:style w:type="paragraph" w:customStyle="1" w:styleId="Esanngauche">
    <w:name w:val="Es_ann_gauche"/>
    <w:basedOn w:val="Normal"/>
    <w:qFormat/>
    <w:rsid w:val="009C13A9"/>
    <w:pPr>
      <w:tabs>
        <w:tab w:val="left" w:leader="dot" w:pos="9072"/>
      </w:tabs>
      <w:spacing w:line="240" w:lineRule="atLeast"/>
      <w:ind w:left="0" w:firstLine="0"/>
    </w:pPr>
    <w:rPr>
      <w:rFonts w:cs="Arial"/>
    </w:rPr>
  </w:style>
  <w:style w:type="paragraph" w:customStyle="1" w:styleId="ESannexetitrearticle">
    <w:name w:val="ES_annexe_titre_article"/>
    <w:basedOn w:val="Normal"/>
    <w:qFormat/>
    <w:rsid w:val="009C13A9"/>
    <w:pPr>
      <w:spacing w:line="240" w:lineRule="atLeast"/>
      <w:ind w:left="0" w:firstLine="0"/>
      <w:jc w:val="center"/>
    </w:pPr>
    <w:rPr>
      <w:rFonts w:cs="Arial"/>
      <w:b/>
      <w:noProof/>
    </w:rPr>
  </w:style>
  <w:style w:type="paragraph" w:customStyle="1" w:styleId="ESannexelet">
    <w:name w:val="ES_annexe_let"/>
    <w:basedOn w:val="Normal"/>
    <w:qFormat/>
    <w:rsid w:val="009C13A9"/>
    <w:pPr>
      <w:spacing w:before="60" w:line="240" w:lineRule="atLeast"/>
      <w:ind w:left="851"/>
    </w:pPr>
    <w:rPr>
      <w:rFonts w:cs="Arial"/>
      <w:noProof/>
      <w:szCs w:val="22"/>
    </w:rPr>
  </w:style>
  <w:style w:type="paragraph" w:customStyle="1" w:styleId="ESannexechpar">
    <w:name w:val="ES_annexe_ch_par"/>
    <w:basedOn w:val="ESchpar"/>
    <w:qFormat/>
    <w:rsid w:val="009C13A9"/>
    <w:pPr>
      <w:ind w:left="426"/>
    </w:pPr>
  </w:style>
  <w:style w:type="paragraph" w:customStyle="1" w:styleId="Esannexeletgauch">
    <w:name w:val="Es_annexe_let_gauch"/>
    <w:basedOn w:val="Normal"/>
    <w:qFormat/>
    <w:rsid w:val="009C13A9"/>
    <w:pPr>
      <w:spacing w:before="60" w:line="240" w:lineRule="atLeast"/>
    </w:pPr>
    <w:rPr>
      <w:rFonts w:cs="Arial"/>
      <w:noProof/>
      <w:szCs w:val="22"/>
    </w:rPr>
  </w:style>
  <w:style w:type="table" w:styleId="MediumGrid1-Accent2">
    <w:name w:val="Medium Grid 1 Accent 2"/>
    <w:basedOn w:val="TableNormal"/>
    <w:uiPriority w:val="67"/>
    <w:rsid w:val="009C13A9"/>
    <w:rPr>
      <w:rFonts w:eastAsia="Calibri"/>
      <w:sz w:val="22"/>
      <w:szCs w:val="22"/>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customStyle="1" w:styleId="Bullet0">
    <w:name w:val="Bullet 0"/>
    <w:basedOn w:val="Normal"/>
    <w:rsid w:val="009C13A9"/>
    <w:pPr>
      <w:numPr>
        <w:numId w:val="4"/>
      </w:numPr>
      <w:autoSpaceDE/>
      <w:autoSpaceDN/>
      <w:spacing w:before="120" w:after="120"/>
    </w:pPr>
    <w:rPr>
      <w:rFonts w:ascii="Times New Roman" w:hAnsi="Times New Roman"/>
      <w:sz w:val="24"/>
    </w:rPr>
  </w:style>
  <w:style w:type="paragraph" w:customStyle="1" w:styleId="Bullet1">
    <w:name w:val="Bullet 1"/>
    <w:basedOn w:val="Normal"/>
    <w:rsid w:val="009C13A9"/>
    <w:pPr>
      <w:numPr>
        <w:numId w:val="5"/>
      </w:numPr>
      <w:autoSpaceDE/>
      <w:autoSpaceDN/>
      <w:spacing w:before="120" w:after="120"/>
    </w:pPr>
    <w:rPr>
      <w:rFonts w:ascii="Times New Roman" w:hAnsi="Times New Roman"/>
      <w:sz w:val="24"/>
    </w:rPr>
  </w:style>
  <w:style w:type="paragraph" w:customStyle="1" w:styleId="Bullet2">
    <w:name w:val="Bullet 2"/>
    <w:basedOn w:val="Normal"/>
    <w:rsid w:val="009C13A9"/>
    <w:pPr>
      <w:numPr>
        <w:numId w:val="6"/>
      </w:numPr>
      <w:autoSpaceDE/>
      <w:autoSpaceDN/>
      <w:spacing w:before="120" w:after="120"/>
    </w:pPr>
    <w:rPr>
      <w:rFonts w:ascii="Times New Roman" w:hAnsi="Times New Roman"/>
      <w:sz w:val="24"/>
    </w:rPr>
  </w:style>
  <w:style w:type="character" w:styleId="PlaceholderText">
    <w:name w:val="Placeholder Text"/>
    <w:basedOn w:val="DefaultParagraphFont"/>
    <w:uiPriority w:val="99"/>
    <w:semiHidden/>
    <w:rsid w:val="00395A9E"/>
    <w:rPr>
      <w:color w:val="808080"/>
    </w:rPr>
  </w:style>
  <w:style w:type="numbering" w:customStyle="1" w:styleId="Aucuneliste6">
    <w:name w:val="Aucune liste6"/>
    <w:next w:val="NoList"/>
    <w:uiPriority w:val="99"/>
    <w:semiHidden/>
    <w:unhideWhenUsed/>
    <w:rsid w:val="005C7DB3"/>
  </w:style>
  <w:style w:type="paragraph" w:customStyle="1" w:styleId="jeveux">
    <w:name w:val="je_veux"/>
    <w:basedOn w:val="Normal"/>
    <w:rsid w:val="005C7DB3"/>
    <w:pPr>
      <w:numPr>
        <w:numId w:val="9"/>
      </w:numPr>
      <w:tabs>
        <w:tab w:val="left" w:pos="425"/>
        <w:tab w:val="left" w:pos="6237"/>
      </w:tabs>
      <w:suppressAutoHyphens/>
      <w:autoSpaceDE/>
      <w:autoSpaceDN/>
      <w:spacing w:before="120"/>
    </w:pPr>
    <w:rPr>
      <w:rFonts w:ascii="Times New Roman" w:hAnsi="Times New Roman"/>
      <w:snapToGrid w:val="0"/>
      <w:sz w:val="24"/>
    </w:rPr>
  </w:style>
  <w:style w:type="paragraph" w:customStyle="1" w:styleId="Gemiddeldraster1-accent21">
    <w:name w:val="Gemiddeld raster 1 - accent 21"/>
    <w:basedOn w:val="Normal"/>
    <w:uiPriority w:val="99"/>
    <w:qFormat/>
    <w:rsid w:val="005C7DB3"/>
    <w:pPr>
      <w:autoSpaceDE/>
      <w:autoSpaceDN/>
      <w:spacing w:after="200" w:line="276" w:lineRule="auto"/>
      <w:ind w:left="720" w:firstLine="0"/>
      <w:contextualSpacing/>
      <w:jc w:val="left"/>
    </w:pPr>
    <w:rPr>
      <w:rFonts w:ascii="Calibri" w:eastAsia="Calibri" w:hAnsi="Calibri"/>
      <w:sz w:val="22"/>
      <w:szCs w:val="22"/>
    </w:rPr>
  </w:style>
  <w:style w:type="paragraph" w:customStyle="1" w:styleId="Chiffregras">
    <w:name w:val="Chiffre_gras"/>
    <w:basedOn w:val="Normal"/>
    <w:qFormat/>
    <w:rsid w:val="005C7DB3"/>
    <w:pPr>
      <w:adjustRightInd w:val="0"/>
      <w:spacing w:line="240" w:lineRule="atLeast"/>
      <w:ind w:left="709" w:hanging="709"/>
      <w:outlineLvl w:val="0"/>
    </w:pPr>
    <w:rPr>
      <w:rFonts w:ascii="Times New Roman" w:eastAsia="Calibri" w:hAnsi="Times New Roman"/>
      <w:b/>
      <w:bCs/>
      <w:sz w:val="24"/>
    </w:rPr>
  </w:style>
  <w:style w:type="paragraph" w:customStyle="1" w:styleId="Chiffrepar">
    <w:name w:val="Chiffre_par"/>
    <w:basedOn w:val="Normal"/>
    <w:qFormat/>
    <w:rsid w:val="005C7DB3"/>
    <w:pPr>
      <w:adjustRightInd w:val="0"/>
      <w:spacing w:line="240" w:lineRule="atLeast"/>
      <w:ind w:left="709" w:firstLine="0"/>
    </w:pPr>
    <w:rPr>
      <w:rFonts w:ascii="Times New Roman" w:eastAsia="Calibri" w:hAnsi="Times New Roman"/>
      <w:sz w:val="24"/>
    </w:rPr>
  </w:style>
  <w:style w:type="paragraph" w:customStyle="1" w:styleId="Chiffre">
    <w:name w:val="Chiffre"/>
    <w:basedOn w:val="Normal"/>
    <w:qFormat/>
    <w:rsid w:val="005C7DB3"/>
    <w:pPr>
      <w:adjustRightInd w:val="0"/>
      <w:spacing w:line="240" w:lineRule="atLeast"/>
      <w:ind w:left="709" w:hanging="709"/>
    </w:pPr>
    <w:rPr>
      <w:rFonts w:ascii="Times New Roman" w:eastAsia="Calibri" w:hAnsi="Times New Roman"/>
      <w:sz w:val="24"/>
    </w:rPr>
  </w:style>
  <w:style w:type="paragraph" w:customStyle="1" w:styleId="chiffrelettre">
    <w:name w:val="chiffre_lettre"/>
    <w:basedOn w:val="Normal"/>
    <w:qFormat/>
    <w:rsid w:val="005C7DB3"/>
    <w:pPr>
      <w:adjustRightInd w:val="0"/>
      <w:spacing w:before="60" w:line="240" w:lineRule="atLeast"/>
      <w:ind w:left="1134"/>
    </w:pPr>
    <w:rPr>
      <w:rFonts w:ascii="Times New Roman" w:eastAsia="Calibri" w:hAnsi="Times New Roman"/>
      <w:sz w:val="24"/>
    </w:rPr>
  </w:style>
  <w:style w:type="paragraph" w:customStyle="1" w:styleId="Esann8ch">
    <w:name w:val="Es_ann8_ch"/>
    <w:basedOn w:val="Normal"/>
    <w:qFormat/>
    <w:rsid w:val="00A94102"/>
    <w:pPr>
      <w:spacing w:line="240" w:lineRule="atLeast"/>
      <w:ind w:left="851" w:hanging="851"/>
    </w:pPr>
    <w:rPr>
      <w:rFonts w:eastAsia="Calibri" w:cs="Arial"/>
      <w:color w:val="000000"/>
      <w:szCs w:val="20"/>
    </w:rPr>
  </w:style>
  <w:style w:type="paragraph" w:customStyle="1" w:styleId="Esann8chgras">
    <w:name w:val="Es_ann8_ch_gras"/>
    <w:basedOn w:val="ESchgras"/>
    <w:qFormat/>
    <w:rsid w:val="00A94102"/>
    <w:pPr>
      <w:ind w:left="851" w:hanging="851"/>
    </w:pPr>
  </w:style>
  <w:style w:type="paragraph" w:customStyle="1" w:styleId="Esann8titrechap">
    <w:name w:val="Es_ann8_titre_chap"/>
    <w:basedOn w:val="Esann8chgras"/>
    <w:qFormat/>
    <w:rsid w:val="00A94102"/>
    <w:pPr>
      <w:jc w:val="center"/>
    </w:pPr>
  </w:style>
  <w:style w:type="paragraph" w:customStyle="1" w:styleId="Esann8let">
    <w:name w:val="Es_ann8_let"/>
    <w:basedOn w:val="Esann8ch"/>
    <w:qFormat/>
    <w:rsid w:val="008632BC"/>
    <w:pPr>
      <w:spacing w:before="60"/>
      <w:ind w:left="1276" w:hanging="425"/>
    </w:pPr>
  </w:style>
  <w:style w:type="paragraph" w:customStyle="1" w:styleId="Esann8chpar">
    <w:name w:val="Es_ann8_ch_par"/>
    <w:basedOn w:val="Esann8ch"/>
    <w:qFormat/>
    <w:rsid w:val="00ED22AF"/>
    <w:pPr>
      <w:ind w:firstLine="0"/>
    </w:pPr>
  </w:style>
  <w:style w:type="character" w:customStyle="1" w:styleId="hps">
    <w:name w:val="hps"/>
    <w:basedOn w:val="DefaultParagraphFont"/>
    <w:rsid w:val="00A26ED8"/>
  </w:style>
  <w:style w:type="character" w:customStyle="1" w:styleId="atn">
    <w:name w:val="atn"/>
    <w:basedOn w:val="DefaultParagraphFont"/>
    <w:rsid w:val="00A26ED8"/>
  </w:style>
  <w:style w:type="numbering" w:customStyle="1" w:styleId="Aucuneliste7">
    <w:name w:val="Aucune liste7"/>
    <w:next w:val="NoList"/>
    <w:uiPriority w:val="99"/>
    <w:semiHidden/>
    <w:unhideWhenUsed/>
    <w:rsid w:val="001D0FFC"/>
  </w:style>
  <w:style w:type="paragraph" w:customStyle="1" w:styleId="tbl-norm">
    <w:name w:val="tbl-norm"/>
    <w:basedOn w:val="Normal"/>
    <w:rsid w:val="003D29D8"/>
    <w:pPr>
      <w:autoSpaceDE/>
      <w:autoSpaceDN/>
      <w:spacing w:before="100" w:beforeAutospacing="1" w:after="100" w:afterAutospacing="1"/>
      <w:ind w:left="0" w:firstLine="0"/>
      <w:jc w:val="left"/>
    </w:pPr>
    <w:rPr>
      <w:rFonts w:ascii="Times New Roman" w:hAnsi="Times New Roman"/>
      <w:sz w:val="24"/>
    </w:rPr>
  </w:style>
  <w:style w:type="paragraph" w:customStyle="1" w:styleId="norm">
    <w:name w:val="norm"/>
    <w:basedOn w:val="Normal"/>
    <w:rsid w:val="003D29D8"/>
    <w:pPr>
      <w:autoSpaceDE/>
      <w:autoSpaceDN/>
      <w:spacing w:before="100" w:beforeAutospacing="1" w:after="100" w:afterAutospacing="1"/>
      <w:ind w:left="0" w:firstLine="0"/>
      <w:jc w:val="left"/>
    </w:pPr>
    <w:rPr>
      <w:rFonts w:ascii="Times New Roman" w:hAnsi="Times New Roman"/>
      <w:sz w:val="24"/>
    </w:rPr>
  </w:style>
  <w:style w:type="table" w:customStyle="1" w:styleId="Grilledutableau14">
    <w:name w:val="Grille du tableau14"/>
    <w:basedOn w:val="TableNormal"/>
    <w:next w:val="TableGrid"/>
    <w:rsid w:val="004F47BB"/>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4">
    <w:name w:val="Grille du tableau114"/>
    <w:basedOn w:val="TableNormal"/>
    <w:next w:val="TableGrid"/>
    <w:rsid w:val="004F47B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12">
    <w:name w:val="Grille du tableau1112"/>
    <w:basedOn w:val="TableNormal"/>
    <w:next w:val="TableGrid"/>
    <w:rsid w:val="004F47BB"/>
    <w:rPr>
      <w:rFonts w:ascii="Times New Roman" w:hAnsi="Times New Roman"/>
      <w:snapToGrid w:val="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chdecale">
    <w:name w:val="ES_ch_decale"/>
    <w:basedOn w:val="Normal"/>
    <w:qFormat/>
    <w:rsid w:val="004F47BB"/>
    <w:pPr>
      <w:tabs>
        <w:tab w:val="left" w:pos="567"/>
        <w:tab w:val="left" w:pos="1418"/>
      </w:tabs>
      <w:autoSpaceDE/>
      <w:autoSpaceDN/>
      <w:spacing w:line="240" w:lineRule="atLeast"/>
      <w:ind w:left="1418" w:hanging="851"/>
    </w:pPr>
  </w:style>
  <w:style w:type="paragraph" w:customStyle="1" w:styleId="ESchdecalepar">
    <w:name w:val="ES_ch_decale_par"/>
    <w:basedOn w:val="ESchdecale"/>
    <w:qFormat/>
    <w:rsid w:val="004F47BB"/>
    <w:pPr>
      <w:tabs>
        <w:tab w:val="clear" w:pos="567"/>
      </w:tabs>
      <w:ind w:firstLine="0"/>
    </w:pPr>
    <w:rPr>
      <w:noProof/>
    </w:rPr>
  </w:style>
  <w:style w:type="paragraph" w:customStyle="1" w:styleId="ESletparettab">
    <w:name w:val="ES_let_par_et_tab"/>
    <w:basedOn w:val="ESletpar"/>
    <w:qFormat/>
    <w:rsid w:val="004F47BB"/>
    <w:pPr>
      <w:tabs>
        <w:tab w:val="left" w:pos="2552"/>
        <w:tab w:val="left" w:pos="2977"/>
        <w:tab w:val="left" w:pos="3402"/>
      </w:tabs>
      <w:ind w:left="1418" w:hanging="426"/>
    </w:pPr>
  </w:style>
  <w:style w:type="paragraph" w:customStyle="1" w:styleId="IS1cm">
    <w:name w:val="IS_1cm"/>
    <w:basedOn w:val="Normal"/>
    <w:link w:val="IS1cmCar"/>
    <w:rsid w:val="004F47BB"/>
    <w:pPr>
      <w:tabs>
        <w:tab w:val="left" w:pos="567"/>
      </w:tabs>
      <w:overflowPunct w:val="0"/>
      <w:adjustRightInd w:val="0"/>
      <w:spacing w:line="240" w:lineRule="atLeast"/>
      <w:ind w:left="567" w:hanging="567"/>
      <w:textAlignment w:val="baseline"/>
    </w:pPr>
    <w:rPr>
      <w:szCs w:val="20"/>
    </w:rPr>
  </w:style>
  <w:style w:type="character" w:customStyle="1" w:styleId="IS1cmCar">
    <w:name w:val="IS_1cm Car"/>
    <w:link w:val="IS1cm"/>
    <w:rsid w:val="004F47BB"/>
    <w:rPr>
      <w:rFonts w:ascii="Arial" w:hAnsi="Arial"/>
      <w:lang w:val="it-IT"/>
    </w:rPr>
  </w:style>
  <w:style w:type="paragraph" w:customStyle="1" w:styleId="IS1cmg075cm">
    <w:name w:val="IS_1cmg_0_75cm"/>
    <w:basedOn w:val="IS1cm"/>
    <w:rsid w:val="004F47BB"/>
    <w:pPr>
      <w:tabs>
        <w:tab w:val="clear" w:pos="567"/>
        <w:tab w:val="left" w:pos="992"/>
      </w:tabs>
      <w:ind w:left="992" w:hanging="425"/>
    </w:pPr>
  </w:style>
  <w:style w:type="paragraph" w:customStyle="1" w:styleId="IS175cm">
    <w:name w:val="IS_175cm"/>
    <w:basedOn w:val="Normal"/>
    <w:rsid w:val="004F47BB"/>
    <w:pPr>
      <w:tabs>
        <w:tab w:val="left" w:pos="1418"/>
      </w:tabs>
      <w:overflowPunct w:val="0"/>
      <w:adjustRightInd w:val="0"/>
      <w:spacing w:line="240" w:lineRule="atLeast"/>
      <w:ind w:left="1417"/>
      <w:jc w:val="left"/>
      <w:textAlignment w:val="baseline"/>
    </w:pPr>
    <w:rPr>
      <w:szCs w:val="20"/>
    </w:rPr>
  </w:style>
  <w:style w:type="paragraph" w:customStyle="1" w:styleId="ES-Titre2ESI">
    <w:name w:val="ES-Titre2_ESI"/>
    <w:basedOn w:val="ES-Titre2"/>
    <w:qFormat/>
    <w:rsid w:val="004F47BB"/>
    <w:pPr>
      <w:pageBreakBefore w:val="0"/>
    </w:pPr>
  </w:style>
  <w:style w:type="paragraph" w:customStyle="1" w:styleId="ES-Titre4prESIexple">
    <w:name w:val="ES-Titre4_pr_ESI_exple"/>
    <w:basedOn w:val="ES-Titre3prchap32"/>
    <w:qFormat/>
    <w:rsid w:val="005B46C9"/>
  </w:style>
  <w:style w:type="paragraph" w:customStyle="1" w:styleId="ES-Titre4">
    <w:name w:val="ES-Titre4"/>
    <w:basedOn w:val="ES-Titre3"/>
    <w:qFormat/>
    <w:rsid w:val="00C859BD"/>
  </w:style>
  <w:style w:type="paragraph" w:customStyle="1" w:styleId="ES-Titre4a">
    <w:name w:val="ES-Titre4a"/>
    <w:basedOn w:val="ES-Titre3a"/>
    <w:qFormat/>
    <w:rsid w:val="00C859B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it-IT" w:eastAsia="it-IT" w:bidi="it-IT"/>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header" w:uiPriority="0"/>
    <w:lsdException w:name="footer" w:uiPriority="0"/>
    <w:lsdException w:name="caption" w:semiHidden="0" w:qFormat="1"/>
    <w:lsdException w:name="footnote reference" w:uiPriority="0" w:qFormat="1"/>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Title" w:semiHidden="0" w:uiPriority="0" w:unhideWhenUsed="0" w:qFormat="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qFormat="1"/>
  </w:latentStyles>
  <w:style w:type="paragraph" w:default="1" w:styleId="Normal">
    <w:name w:val="Normal"/>
    <w:qFormat/>
    <w:rsid w:val="00F84244"/>
    <w:pPr>
      <w:autoSpaceDE w:val="0"/>
      <w:autoSpaceDN w:val="0"/>
      <w:ind w:left="425" w:hanging="425"/>
      <w:jc w:val="both"/>
    </w:pPr>
    <w:rPr>
      <w:rFonts w:ascii="Arial" w:hAnsi="Arial"/>
      <w:szCs w:val="24"/>
    </w:rPr>
  </w:style>
  <w:style w:type="paragraph" w:styleId="Heading1">
    <w:name w:val="heading 1"/>
    <w:basedOn w:val="Normal"/>
    <w:next w:val="Text1"/>
    <w:link w:val="Heading1Char"/>
    <w:qFormat/>
    <w:rsid w:val="00475311"/>
    <w:pPr>
      <w:keepNext/>
      <w:numPr>
        <w:numId w:val="1"/>
      </w:numPr>
      <w:spacing w:before="360"/>
      <w:outlineLvl w:val="0"/>
    </w:pPr>
    <w:rPr>
      <w:rFonts w:ascii="Cambria" w:hAnsi="Cambria"/>
      <w:b/>
      <w:bCs/>
      <w:kern w:val="32"/>
      <w:sz w:val="32"/>
      <w:szCs w:val="32"/>
    </w:rPr>
  </w:style>
  <w:style w:type="paragraph" w:styleId="Heading2">
    <w:name w:val="heading 2"/>
    <w:basedOn w:val="Normal"/>
    <w:next w:val="Text2"/>
    <w:link w:val="Heading2Char"/>
    <w:qFormat/>
    <w:rsid w:val="00475311"/>
    <w:pPr>
      <w:keepNext/>
      <w:numPr>
        <w:ilvl w:val="1"/>
        <w:numId w:val="1"/>
      </w:numPr>
      <w:outlineLvl w:val="1"/>
    </w:pPr>
    <w:rPr>
      <w:rFonts w:ascii="Cambria" w:hAnsi="Cambria"/>
      <w:b/>
      <w:bCs/>
      <w:i/>
      <w:iCs/>
      <w:sz w:val="28"/>
      <w:szCs w:val="28"/>
    </w:rPr>
  </w:style>
  <w:style w:type="paragraph" w:styleId="Heading3">
    <w:name w:val="heading 3"/>
    <w:basedOn w:val="Normal"/>
    <w:next w:val="Text3"/>
    <w:link w:val="Heading3Char"/>
    <w:qFormat/>
    <w:rsid w:val="00475311"/>
    <w:pPr>
      <w:keepNext/>
      <w:numPr>
        <w:ilvl w:val="2"/>
        <w:numId w:val="1"/>
      </w:numPr>
      <w:outlineLvl w:val="2"/>
    </w:pPr>
    <w:rPr>
      <w:rFonts w:ascii="Cambria" w:hAnsi="Cambria"/>
      <w:b/>
      <w:bCs/>
      <w:sz w:val="26"/>
      <w:szCs w:val="26"/>
    </w:rPr>
  </w:style>
  <w:style w:type="paragraph" w:styleId="Heading4">
    <w:name w:val="heading 4"/>
    <w:basedOn w:val="Normal"/>
    <w:next w:val="Text4"/>
    <w:link w:val="Heading4Char"/>
    <w:qFormat/>
    <w:rsid w:val="00475311"/>
    <w:pPr>
      <w:keepNext/>
      <w:numPr>
        <w:ilvl w:val="3"/>
        <w:numId w:val="1"/>
      </w:numPr>
      <w:outlineLvl w:val="3"/>
    </w:pPr>
    <w:rPr>
      <w:rFonts w:ascii="Calibri" w:hAnsi="Calibri"/>
      <w:b/>
      <w:bCs/>
      <w:sz w:val="28"/>
      <w:szCs w:val="28"/>
    </w:rPr>
  </w:style>
  <w:style w:type="paragraph" w:styleId="Heading5">
    <w:name w:val="heading 5"/>
    <w:basedOn w:val="Normal"/>
    <w:next w:val="Normal"/>
    <w:link w:val="Heading5Char"/>
    <w:qFormat/>
    <w:rsid w:val="00475311"/>
    <w:p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475311"/>
    <w:pPr>
      <w:spacing w:before="240" w:after="60"/>
      <w:outlineLvl w:val="5"/>
    </w:pPr>
    <w:rPr>
      <w:rFonts w:ascii="Calibri" w:hAnsi="Calibri"/>
      <w:b/>
      <w:bCs/>
      <w:szCs w:val="20"/>
    </w:rPr>
  </w:style>
  <w:style w:type="paragraph" w:styleId="Heading7">
    <w:name w:val="heading 7"/>
    <w:basedOn w:val="Normal"/>
    <w:next w:val="Normal"/>
    <w:link w:val="Heading7Char"/>
    <w:qFormat/>
    <w:rsid w:val="00475311"/>
    <w:pPr>
      <w:spacing w:before="240" w:after="60"/>
      <w:outlineLvl w:val="6"/>
    </w:pPr>
    <w:rPr>
      <w:rFonts w:ascii="Calibri" w:hAnsi="Calibri"/>
    </w:rPr>
  </w:style>
  <w:style w:type="paragraph" w:styleId="Heading8">
    <w:name w:val="heading 8"/>
    <w:basedOn w:val="Normal"/>
    <w:next w:val="Normal"/>
    <w:link w:val="Heading8Char"/>
    <w:qFormat/>
    <w:rsid w:val="00475311"/>
    <w:pPr>
      <w:spacing w:before="240" w:after="60"/>
      <w:outlineLvl w:val="7"/>
    </w:pPr>
    <w:rPr>
      <w:rFonts w:ascii="Calibri" w:hAnsi="Calibri"/>
      <w:i/>
      <w:iCs/>
    </w:rPr>
  </w:style>
  <w:style w:type="paragraph" w:styleId="Heading9">
    <w:name w:val="heading 9"/>
    <w:basedOn w:val="Normal"/>
    <w:next w:val="Normal"/>
    <w:link w:val="Heading9Char"/>
    <w:qFormat/>
    <w:rsid w:val="00475311"/>
    <w:pPr>
      <w:spacing w:before="240" w:after="60"/>
      <w:outlineLvl w:val="8"/>
    </w:pPr>
    <w:rPr>
      <w:rFonts w:ascii="Cambria" w:hAnsi="Cambria"/>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75311"/>
    <w:rPr>
      <w:rFonts w:ascii="Cambria" w:hAnsi="Cambria"/>
      <w:b/>
      <w:bCs/>
      <w:kern w:val="32"/>
      <w:sz w:val="32"/>
      <w:szCs w:val="32"/>
    </w:rPr>
  </w:style>
  <w:style w:type="character" w:customStyle="1" w:styleId="Heading2Char">
    <w:name w:val="Heading 2 Char"/>
    <w:link w:val="Heading2"/>
    <w:rsid w:val="00475311"/>
    <w:rPr>
      <w:rFonts w:ascii="Cambria" w:hAnsi="Cambria"/>
      <w:b/>
      <w:bCs/>
      <w:i/>
      <w:iCs/>
      <w:sz w:val="28"/>
      <w:szCs w:val="28"/>
    </w:rPr>
  </w:style>
  <w:style w:type="character" w:customStyle="1" w:styleId="Heading3Char">
    <w:name w:val="Heading 3 Char"/>
    <w:link w:val="Heading3"/>
    <w:rsid w:val="00475311"/>
    <w:rPr>
      <w:rFonts w:ascii="Cambria" w:hAnsi="Cambria"/>
      <w:b/>
      <w:bCs/>
      <w:sz w:val="26"/>
      <w:szCs w:val="26"/>
    </w:rPr>
  </w:style>
  <w:style w:type="character" w:customStyle="1" w:styleId="Heading4Char">
    <w:name w:val="Heading 4 Char"/>
    <w:link w:val="Heading4"/>
    <w:rsid w:val="00475311"/>
    <w:rPr>
      <w:b/>
      <w:bCs/>
      <w:sz w:val="28"/>
      <w:szCs w:val="28"/>
    </w:rPr>
  </w:style>
  <w:style w:type="character" w:customStyle="1" w:styleId="Heading5Char">
    <w:name w:val="Heading 5 Char"/>
    <w:link w:val="Heading5"/>
    <w:uiPriority w:val="9"/>
    <w:rsid w:val="00475311"/>
    <w:rPr>
      <w:b/>
      <w:bCs/>
      <w:i/>
      <w:iCs/>
      <w:sz w:val="26"/>
      <w:szCs w:val="26"/>
    </w:rPr>
  </w:style>
  <w:style w:type="character" w:customStyle="1" w:styleId="Heading6Char">
    <w:name w:val="Heading 6 Char"/>
    <w:link w:val="Heading6"/>
    <w:uiPriority w:val="9"/>
    <w:rsid w:val="00475311"/>
    <w:rPr>
      <w:b/>
      <w:bCs/>
    </w:rPr>
  </w:style>
  <w:style w:type="character" w:customStyle="1" w:styleId="Heading7Char">
    <w:name w:val="Heading 7 Char"/>
    <w:link w:val="Heading7"/>
    <w:uiPriority w:val="9"/>
    <w:rsid w:val="00475311"/>
    <w:rPr>
      <w:sz w:val="24"/>
      <w:szCs w:val="24"/>
    </w:rPr>
  </w:style>
  <w:style w:type="character" w:customStyle="1" w:styleId="Heading8Char">
    <w:name w:val="Heading 8 Char"/>
    <w:link w:val="Heading8"/>
    <w:uiPriority w:val="9"/>
    <w:rsid w:val="00475311"/>
    <w:rPr>
      <w:i/>
      <w:iCs/>
      <w:sz w:val="24"/>
      <w:szCs w:val="24"/>
    </w:rPr>
  </w:style>
  <w:style w:type="character" w:customStyle="1" w:styleId="Heading9Char">
    <w:name w:val="Heading 9 Char"/>
    <w:link w:val="Heading9"/>
    <w:uiPriority w:val="9"/>
    <w:rsid w:val="00475311"/>
    <w:rPr>
      <w:rFonts w:ascii="Cambria" w:eastAsia="Times New Roman" w:hAnsi="Cambria" w:cs="Times New Roman"/>
    </w:rPr>
  </w:style>
  <w:style w:type="paragraph" w:customStyle="1" w:styleId="Text1">
    <w:name w:val="Text 1"/>
    <w:basedOn w:val="Normal"/>
    <w:rsid w:val="00475311"/>
    <w:pPr>
      <w:ind w:left="851"/>
    </w:pPr>
  </w:style>
  <w:style w:type="paragraph" w:customStyle="1" w:styleId="Text2">
    <w:name w:val="Text 2"/>
    <w:basedOn w:val="Normal"/>
    <w:uiPriority w:val="99"/>
    <w:rsid w:val="00475311"/>
    <w:pPr>
      <w:ind w:left="851"/>
    </w:pPr>
  </w:style>
  <w:style w:type="paragraph" w:customStyle="1" w:styleId="Text3">
    <w:name w:val="Text 3"/>
    <w:basedOn w:val="Normal"/>
    <w:uiPriority w:val="99"/>
    <w:rsid w:val="00475311"/>
    <w:pPr>
      <w:ind w:left="851"/>
    </w:pPr>
  </w:style>
  <w:style w:type="paragraph" w:customStyle="1" w:styleId="Text4">
    <w:name w:val="Text 4"/>
    <w:basedOn w:val="Normal"/>
    <w:uiPriority w:val="99"/>
    <w:rsid w:val="00475311"/>
    <w:pPr>
      <w:ind w:left="851"/>
    </w:pPr>
  </w:style>
  <w:style w:type="paragraph" w:customStyle="1" w:styleId="Annexetitreacte">
    <w:name w:val="Annexe titre (acte)"/>
    <w:basedOn w:val="Normal"/>
    <w:next w:val="Normal"/>
    <w:rsid w:val="00475311"/>
    <w:pPr>
      <w:jc w:val="center"/>
    </w:pPr>
    <w:rPr>
      <w:b/>
      <w:bCs/>
      <w:u w:val="single"/>
    </w:rPr>
  </w:style>
  <w:style w:type="paragraph" w:customStyle="1" w:styleId="Annexetitreexposglobal">
    <w:name w:val="Annexe titre (exposé global)"/>
    <w:basedOn w:val="Normal"/>
    <w:next w:val="Normal"/>
    <w:uiPriority w:val="99"/>
    <w:rsid w:val="00475311"/>
    <w:pPr>
      <w:jc w:val="center"/>
    </w:pPr>
    <w:rPr>
      <w:b/>
      <w:bCs/>
      <w:u w:val="single"/>
    </w:rPr>
  </w:style>
  <w:style w:type="paragraph" w:customStyle="1" w:styleId="Annexetitreexpos">
    <w:name w:val="Annexe titre (exposé)"/>
    <w:basedOn w:val="Normal"/>
    <w:next w:val="Normal"/>
    <w:uiPriority w:val="99"/>
    <w:rsid w:val="00475311"/>
    <w:pPr>
      <w:jc w:val="center"/>
    </w:pPr>
    <w:rPr>
      <w:b/>
      <w:bCs/>
      <w:u w:val="single"/>
    </w:rPr>
  </w:style>
  <w:style w:type="paragraph" w:customStyle="1" w:styleId="Annexetitrefichefinacte">
    <w:name w:val="Annexe titre (fiche fin. acte)"/>
    <w:basedOn w:val="Normal"/>
    <w:next w:val="Normal"/>
    <w:uiPriority w:val="99"/>
    <w:rsid w:val="00475311"/>
    <w:pPr>
      <w:jc w:val="center"/>
    </w:pPr>
    <w:rPr>
      <w:b/>
      <w:bCs/>
      <w:u w:val="single"/>
    </w:rPr>
  </w:style>
  <w:style w:type="paragraph" w:customStyle="1" w:styleId="Annexetitrefichefinglobale">
    <w:name w:val="Annexe titre (fiche fin. globale)"/>
    <w:basedOn w:val="Normal"/>
    <w:next w:val="Normal"/>
    <w:uiPriority w:val="99"/>
    <w:rsid w:val="00475311"/>
    <w:pPr>
      <w:jc w:val="center"/>
    </w:pPr>
    <w:rPr>
      <w:b/>
      <w:bCs/>
      <w:u w:val="single"/>
    </w:rPr>
  </w:style>
  <w:style w:type="paragraph" w:customStyle="1" w:styleId="Annexetitreglobale">
    <w:name w:val="Annexe titre (globale)"/>
    <w:basedOn w:val="Normal"/>
    <w:next w:val="Normal"/>
    <w:uiPriority w:val="99"/>
    <w:rsid w:val="00475311"/>
    <w:pPr>
      <w:jc w:val="center"/>
    </w:pPr>
    <w:rPr>
      <w:b/>
      <w:bCs/>
      <w:u w:val="single"/>
    </w:rPr>
  </w:style>
  <w:style w:type="paragraph" w:customStyle="1" w:styleId="Applicationdirecte">
    <w:name w:val="Application directe"/>
    <w:basedOn w:val="Normal"/>
    <w:next w:val="Fait"/>
    <w:uiPriority w:val="99"/>
    <w:rsid w:val="00475311"/>
    <w:pPr>
      <w:spacing w:before="480"/>
    </w:pPr>
  </w:style>
  <w:style w:type="paragraph" w:customStyle="1" w:styleId="Fait">
    <w:name w:val="Fait à"/>
    <w:basedOn w:val="Normal"/>
    <w:next w:val="Institutionquisigne"/>
    <w:uiPriority w:val="99"/>
    <w:rsid w:val="00475311"/>
    <w:pPr>
      <w:keepNext/>
    </w:pPr>
  </w:style>
  <w:style w:type="paragraph" w:customStyle="1" w:styleId="Institutionquisigne">
    <w:name w:val="Institution qui signe"/>
    <w:basedOn w:val="Normal"/>
    <w:next w:val="Personnequisigne"/>
    <w:uiPriority w:val="99"/>
    <w:rsid w:val="00475311"/>
    <w:pPr>
      <w:keepNext/>
      <w:tabs>
        <w:tab w:val="left" w:pos="4253"/>
      </w:tabs>
      <w:spacing w:before="720"/>
    </w:pPr>
    <w:rPr>
      <w:i/>
      <w:iCs/>
    </w:rPr>
  </w:style>
  <w:style w:type="paragraph" w:customStyle="1" w:styleId="Personnequisigne">
    <w:name w:val="Personne qui signe"/>
    <w:basedOn w:val="Normal"/>
    <w:next w:val="Institutionquisigne"/>
    <w:uiPriority w:val="99"/>
    <w:rsid w:val="00475311"/>
    <w:pPr>
      <w:tabs>
        <w:tab w:val="left" w:pos="4253"/>
      </w:tabs>
      <w:jc w:val="left"/>
    </w:pPr>
    <w:rPr>
      <w:i/>
      <w:iCs/>
    </w:rPr>
  </w:style>
  <w:style w:type="paragraph" w:styleId="Caption">
    <w:name w:val="caption"/>
    <w:basedOn w:val="Normal"/>
    <w:next w:val="Normal"/>
    <w:uiPriority w:val="99"/>
    <w:qFormat/>
    <w:rsid w:val="00475311"/>
    <w:rPr>
      <w:b/>
      <w:bCs/>
    </w:rPr>
  </w:style>
  <w:style w:type="paragraph" w:customStyle="1" w:styleId="ChapterTitle">
    <w:name w:val="ChapterTitle"/>
    <w:basedOn w:val="Normal"/>
    <w:next w:val="Normal"/>
    <w:uiPriority w:val="99"/>
    <w:rsid w:val="00475311"/>
    <w:pPr>
      <w:keepNext/>
      <w:spacing w:after="360"/>
      <w:jc w:val="center"/>
    </w:pPr>
    <w:rPr>
      <w:b/>
      <w:bCs/>
      <w:sz w:val="32"/>
      <w:szCs w:val="32"/>
    </w:rPr>
  </w:style>
  <w:style w:type="character" w:styleId="CommentReference">
    <w:name w:val="annotation reference"/>
    <w:uiPriority w:val="99"/>
    <w:rsid w:val="00475311"/>
    <w:rPr>
      <w:sz w:val="16"/>
      <w:szCs w:val="16"/>
    </w:rPr>
  </w:style>
  <w:style w:type="paragraph" w:styleId="CommentText">
    <w:name w:val="annotation text"/>
    <w:basedOn w:val="Normal"/>
    <w:link w:val="CommentTextChar"/>
    <w:uiPriority w:val="99"/>
    <w:rsid w:val="00475311"/>
    <w:rPr>
      <w:szCs w:val="20"/>
    </w:rPr>
  </w:style>
  <w:style w:type="character" w:customStyle="1" w:styleId="CommentTextChar">
    <w:name w:val="Comment Text Char"/>
    <w:link w:val="CommentText"/>
    <w:uiPriority w:val="99"/>
    <w:rsid w:val="00475311"/>
    <w:rPr>
      <w:rFonts w:ascii="Times New Roman" w:hAnsi="Times New Roman" w:cs="Times New Roman"/>
      <w:sz w:val="20"/>
      <w:szCs w:val="20"/>
    </w:rPr>
  </w:style>
  <w:style w:type="paragraph" w:customStyle="1" w:styleId="Confidence">
    <w:name w:val="Confidence"/>
    <w:basedOn w:val="Normal"/>
    <w:next w:val="Normal"/>
    <w:uiPriority w:val="99"/>
    <w:rsid w:val="00475311"/>
    <w:pPr>
      <w:spacing w:before="360"/>
      <w:jc w:val="center"/>
    </w:pPr>
  </w:style>
  <w:style w:type="paragraph" w:customStyle="1" w:styleId="Corrigendum">
    <w:name w:val="Corrigendum"/>
    <w:basedOn w:val="Normal"/>
    <w:next w:val="Normal"/>
    <w:uiPriority w:val="99"/>
    <w:rsid w:val="00475311"/>
    <w:pPr>
      <w:spacing w:after="240"/>
      <w:jc w:val="left"/>
    </w:pPr>
  </w:style>
  <w:style w:type="paragraph" w:customStyle="1" w:styleId="Emission">
    <w:name w:val="Emission"/>
    <w:basedOn w:val="Normal"/>
    <w:next w:val="Rfrenceinstitutionelle"/>
    <w:uiPriority w:val="99"/>
    <w:rsid w:val="00475311"/>
    <w:pPr>
      <w:ind w:left="5103"/>
      <w:jc w:val="left"/>
    </w:pPr>
  </w:style>
  <w:style w:type="paragraph" w:customStyle="1" w:styleId="Rfrenceinstitutionelle">
    <w:name w:val="Référence institutionelle"/>
    <w:basedOn w:val="Normal"/>
    <w:next w:val="Statut"/>
    <w:uiPriority w:val="99"/>
    <w:rsid w:val="00475311"/>
    <w:pPr>
      <w:spacing w:after="240"/>
      <w:ind w:left="5103"/>
      <w:jc w:val="left"/>
    </w:pPr>
  </w:style>
  <w:style w:type="paragraph" w:customStyle="1" w:styleId="Statut">
    <w:name w:val="Statut"/>
    <w:basedOn w:val="Normal"/>
    <w:next w:val="Typedudocument"/>
    <w:uiPriority w:val="99"/>
    <w:rsid w:val="00475311"/>
    <w:pPr>
      <w:spacing w:before="360"/>
      <w:jc w:val="center"/>
    </w:pPr>
  </w:style>
  <w:style w:type="paragraph" w:customStyle="1" w:styleId="Typedudocument">
    <w:name w:val="Type du document"/>
    <w:basedOn w:val="Normal"/>
    <w:next w:val="Datedadoption"/>
    <w:uiPriority w:val="99"/>
    <w:rsid w:val="00475311"/>
    <w:pPr>
      <w:spacing w:before="360"/>
      <w:jc w:val="center"/>
    </w:pPr>
    <w:rPr>
      <w:b/>
      <w:bCs/>
    </w:rPr>
  </w:style>
  <w:style w:type="paragraph" w:customStyle="1" w:styleId="Datedadoption">
    <w:name w:val="Date d'adoption"/>
    <w:basedOn w:val="Normal"/>
    <w:next w:val="Titreobjet"/>
    <w:uiPriority w:val="99"/>
    <w:rsid w:val="00475311"/>
    <w:pPr>
      <w:spacing w:before="360"/>
      <w:jc w:val="center"/>
    </w:pPr>
    <w:rPr>
      <w:b/>
      <w:bCs/>
    </w:rPr>
  </w:style>
  <w:style w:type="paragraph" w:customStyle="1" w:styleId="Titreobjet">
    <w:name w:val="Titre objet"/>
    <w:basedOn w:val="Normal"/>
    <w:next w:val="Sous-titreobjet"/>
    <w:uiPriority w:val="99"/>
    <w:rsid w:val="00475311"/>
    <w:pPr>
      <w:spacing w:before="360" w:after="360"/>
      <w:jc w:val="center"/>
    </w:pPr>
    <w:rPr>
      <w:b/>
      <w:bCs/>
    </w:rPr>
  </w:style>
  <w:style w:type="paragraph" w:customStyle="1" w:styleId="Sous-titreobjet">
    <w:name w:val="Sous-titre objet"/>
    <w:basedOn w:val="Titreobjet"/>
    <w:uiPriority w:val="99"/>
    <w:rsid w:val="00475311"/>
    <w:pPr>
      <w:spacing w:before="0" w:after="0"/>
    </w:pPr>
  </w:style>
  <w:style w:type="paragraph" w:customStyle="1" w:styleId="Exposdesmotifstitre">
    <w:name w:val="Exposé des motifs titre"/>
    <w:basedOn w:val="Normal"/>
    <w:next w:val="Normal"/>
    <w:uiPriority w:val="99"/>
    <w:rsid w:val="00475311"/>
    <w:pPr>
      <w:jc w:val="center"/>
    </w:pPr>
    <w:rPr>
      <w:b/>
      <w:bCs/>
      <w:u w:val="single"/>
    </w:rPr>
  </w:style>
  <w:style w:type="paragraph" w:customStyle="1" w:styleId="Exposdesmotifstitreglobal">
    <w:name w:val="Exposé des motifs titre (global)"/>
    <w:basedOn w:val="Normal"/>
    <w:next w:val="Normal"/>
    <w:uiPriority w:val="99"/>
    <w:rsid w:val="00475311"/>
    <w:pPr>
      <w:jc w:val="center"/>
    </w:pPr>
    <w:rPr>
      <w:b/>
      <w:bCs/>
      <w:u w:val="single"/>
    </w:rPr>
  </w:style>
  <w:style w:type="paragraph" w:customStyle="1" w:styleId="FichedimpactPMEtitre">
    <w:name w:val="Fiche d'impact PME titre"/>
    <w:basedOn w:val="Normal"/>
    <w:next w:val="Normal"/>
    <w:uiPriority w:val="99"/>
    <w:rsid w:val="00475311"/>
    <w:pPr>
      <w:jc w:val="center"/>
    </w:pPr>
    <w:rPr>
      <w:b/>
      <w:bCs/>
    </w:rPr>
  </w:style>
  <w:style w:type="paragraph" w:customStyle="1" w:styleId="Fichefinanciretextetable">
    <w:name w:val="Fiche financière texte (table)"/>
    <w:basedOn w:val="Normal"/>
    <w:uiPriority w:val="99"/>
    <w:rsid w:val="00475311"/>
    <w:pPr>
      <w:jc w:val="left"/>
    </w:pPr>
    <w:rPr>
      <w:szCs w:val="20"/>
    </w:rPr>
  </w:style>
  <w:style w:type="paragraph" w:customStyle="1" w:styleId="Fichefinanciretitre">
    <w:name w:val="Fiche financière titre"/>
    <w:basedOn w:val="Normal"/>
    <w:next w:val="Normal"/>
    <w:uiPriority w:val="99"/>
    <w:rsid w:val="00475311"/>
    <w:pPr>
      <w:jc w:val="center"/>
    </w:pPr>
    <w:rPr>
      <w:b/>
      <w:bCs/>
      <w:u w:val="single"/>
    </w:rPr>
  </w:style>
  <w:style w:type="paragraph" w:customStyle="1" w:styleId="Fichefinanciretitreactetable">
    <w:name w:val="Fiche financière titre (acte table)"/>
    <w:basedOn w:val="Normal"/>
    <w:next w:val="Normal"/>
    <w:uiPriority w:val="99"/>
    <w:rsid w:val="00475311"/>
    <w:pPr>
      <w:jc w:val="center"/>
    </w:pPr>
    <w:rPr>
      <w:b/>
      <w:bCs/>
      <w:sz w:val="40"/>
      <w:szCs w:val="40"/>
    </w:rPr>
  </w:style>
  <w:style w:type="paragraph" w:customStyle="1" w:styleId="Fichefinanciretitreacte">
    <w:name w:val="Fiche financière titre (acte)"/>
    <w:basedOn w:val="Normal"/>
    <w:next w:val="Normal"/>
    <w:uiPriority w:val="99"/>
    <w:rsid w:val="00475311"/>
    <w:pPr>
      <w:jc w:val="center"/>
    </w:pPr>
    <w:rPr>
      <w:b/>
      <w:bCs/>
      <w:u w:val="single"/>
    </w:rPr>
  </w:style>
  <w:style w:type="paragraph" w:customStyle="1" w:styleId="Fichefinanciretitretable">
    <w:name w:val="Fiche financière titre (table)"/>
    <w:basedOn w:val="Normal"/>
    <w:uiPriority w:val="99"/>
    <w:rsid w:val="00475311"/>
    <w:pPr>
      <w:jc w:val="center"/>
    </w:pPr>
    <w:rPr>
      <w:b/>
      <w:bCs/>
      <w:sz w:val="40"/>
      <w:szCs w:val="40"/>
    </w:rPr>
  </w:style>
  <w:style w:type="paragraph" w:styleId="Footer">
    <w:name w:val="footer"/>
    <w:basedOn w:val="Normal"/>
    <w:link w:val="FooterChar"/>
    <w:rsid w:val="00475311"/>
    <w:pPr>
      <w:tabs>
        <w:tab w:val="center" w:pos="4536"/>
        <w:tab w:val="right" w:pos="9072"/>
      </w:tabs>
      <w:spacing w:before="360"/>
      <w:jc w:val="left"/>
    </w:pPr>
  </w:style>
  <w:style w:type="character" w:customStyle="1" w:styleId="FooterChar">
    <w:name w:val="Footer Char"/>
    <w:link w:val="Footer"/>
    <w:rsid w:val="00475311"/>
    <w:rPr>
      <w:rFonts w:ascii="Times New Roman" w:hAnsi="Times New Roman" w:cs="Times New Roman"/>
      <w:sz w:val="24"/>
      <w:szCs w:val="24"/>
    </w:rPr>
  </w:style>
  <w:style w:type="character" w:styleId="FootnoteReference">
    <w:name w:val="footnote reference"/>
    <w:qFormat/>
    <w:rsid w:val="00475311"/>
    <w:rPr>
      <w:vertAlign w:val="superscript"/>
    </w:rPr>
  </w:style>
  <w:style w:type="paragraph" w:styleId="FootnoteText">
    <w:name w:val="footnote text"/>
    <w:aliases w:val="Fußnotentext Zchn,Car Car Car Zchn,Car Car Car Car Car Car Car Car Car Zchn, Car Car Car Zchn, Car Car Car Car Car Car Car Car Car Zchn, Car Car Car, Car Car Car Car Car Car Car Car Car,Car Car Car,Car Car Car Car Car Car Car Car Car"/>
    <w:basedOn w:val="Normal"/>
    <w:link w:val="FootnoteTextChar"/>
    <w:qFormat/>
    <w:rsid w:val="00475311"/>
    <w:rPr>
      <w:szCs w:val="20"/>
    </w:rPr>
  </w:style>
  <w:style w:type="character" w:customStyle="1" w:styleId="FootnoteTextChar">
    <w:name w:val="Footnote Text Char"/>
    <w:aliases w:val="Fußnotentext Zchn Char,Car Car Car Zchn Char,Car Car Car Car Car Car Car Car Car Zchn Char, Car Car Car Zchn Char, Car Car Car Car Car Car Car Car Car Zchn Char, Car Car Car Char, Car Car Car Car Car Car Car Car Car Char"/>
    <w:link w:val="FootnoteText"/>
    <w:rsid w:val="00475311"/>
    <w:rPr>
      <w:rFonts w:ascii="Times New Roman" w:hAnsi="Times New Roman" w:cs="Times New Roman"/>
      <w:sz w:val="20"/>
      <w:szCs w:val="20"/>
    </w:rPr>
  </w:style>
  <w:style w:type="paragraph" w:customStyle="1" w:styleId="Formuledadoption">
    <w:name w:val="Formule d'adoption"/>
    <w:basedOn w:val="Normal"/>
    <w:next w:val="Titrearticle"/>
    <w:uiPriority w:val="99"/>
    <w:rsid w:val="00475311"/>
    <w:pPr>
      <w:keepNext/>
    </w:pPr>
  </w:style>
  <w:style w:type="paragraph" w:customStyle="1" w:styleId="Titrearticle">
    <w:name w:val="Titre article"/>
    <w:basedOn w:val="Normal"/>
    <w:next w:val="Normal"/>
    <w:rsid w:val="00475311"/>
    <w:pPr>
      <w:keepNext/>
      <w:spacing w:before="360"/>
      <w:jc w:val="center"/>
    </w:pPr>
    <w:rPr>
      <w:i/>
      <w:iCs/>
    </w:rPr>
  </w:style>
  <w:style w:type="paragraph" w:styleId="Header">
    <w:name w:val="header"/>
    <w:aliases w:val="numéro de page"/>
    <w:basedOn w:val="Normal"/>
    <w:link w:val="HeaderChar"/>
    <w:rsid w:val="00475311"/>
    <w:pPr>
      <w:tabs>
        <w:tab w:val="right" w:pos="8306"/>
      </w:tabs>
    </w:pPr>
  </w:style>
  <w:style w:type="character" w:customStyle="1" w:styleId="HeaderChar">
    <w:name w:val="Header Char"/>
    <w:aliases w:val="numéro de page Char"/>
    <w:link w:val="Header"/>
    <w:rsid w:val="00475311"/>
    <w:rPr>
      <w:rFonts w:ascii="Times New Roman" w:hAnsi="Times New Roman" w:cs="Times New Roman"/>
      <w:sz w:val="24"/>
      <w:szCs w:val="24"/>
    </w:rPr>
  </w:style>
  <w:style w:type="paragraph" w:customStyle="1" w:styleId="Institutionquiagit">
    <w:name w:val="Institution qui agit"/>
    <w:basedOn w:val="Normal"/>
    <w:next w:val="Normal"/>
    <w:uiPriority w:val="99"/>
    <w:rsid w:val="00475311"/>
    <w:pPr>
      <w:keepNext/>
      <w:spacing w:before="600"/>
    </w:pPr>
  </w:style>
  <w:style w:type="paragraph" w:customStyle="1" w:styleId="Langue">
    <w:name w:val="Langue"/>
    <w:basedOn w:val="Normal"/>
    <w:next w:val="Rfrenceinterne"/>
    <w:uiPriority w:val="99"/>
    <w:rsid w:val="00475311"/>
    <w:pPr>
      <w:spacing w:after="600"/>
      <w:jc w:val="center"/>
    </w:pPr>
    <w:rPr>
      <w:b/>
      <w:bCs/>
      <w:caps/>
    </w:rPr>
  </w:style>
  <w:style w:type="paragraph" w:customStyle="1" w:styleId="Rfrenceinterne">
    <w:name w:val="Référence interne"/>
    <w:basedOn w:val="Normal"/>
    <w:next w:val="Nomdelinstitution"/>
    <w:uiPriority w:val="99"/>
    <w:rsid w:val="00475311"/>
    <w:pPr>
      <w:spacing w:after="600"/>
      <w:jc w:val="center"/>
    </w:pPr>
    <w:rPr>
      <w:b/>
      <w:bCs/>
    </w:rPr>
  </w:style>
  <w:style w:type="paragraph" w:customStyle="1" w:styleId="Nomdelinstitution">
    <w:name w:val="Nom de l'institution"/>
    <w:basedOn w:val="Normal"/>
    <w:next w:val="Emission"/>
    <w:uiPriority w:val="99"/>
    <w:rsid w:val="00475311"/>
    <w:pPr>
      <w:jc w:val="left"/>
    </w:pPr>
    <w:rPr>
      <w:rFonts w:cs="Arial"/>
    </w:rPr>
  </w:style>
  <w:style w:type="paragraph" w:customStyle="1" w:styleId="Langueoriginale">
    <w:name w:val="Langue originale"/>
    <w:basedOn w:val="Normal"/>
    <w:next w:val="Phrasefinale"/>
    <w:uiPriority w:val="99"/>
    <w:rsid w:val="00475311"/>
    <w:pPr>
      <w:spacing w:before="360"/>
      <w:jc w:val="center"/>
    </w:pPr>
    <w:rPr>
      <w:caps/>
    </w:rPr>
  </w:style>
  <w:style w:type="paragraph" w:customStyle="1" w:styleId="Phrasefinale">
    <w:name w:val="Phrase finale"/>
    <w:basedOn w:val="Normal"/>
    <w:next w:val="Normal"/>
    <w:uiPriority w:val="99"/>
    <w:rsid w:val="00475311"/>
    <w:pPr>
      <w:spacing w:before="360"/>
      <w:jc w:val="center"/>
    </w:pPr>
  </w:style>
  <w:style w:type="paragraph" w:customStyle="1" w:styleId="ManualHeading1">
    <w:name w:val="Manual Heading 1"/>
    <w:basedOn w:val="Heading1"/>
    <w:next w:val="Text1"/>
    <w:uiPriority w:val="99"/>
    <w:rsid w:val="00475311"/>
    <w:pPr>
      <w:tabs>
        <w:tab w:val="clear" w:pos="850"/>
        <w:tab w:val="num" w:pos="851"/>
      </w:tabs>
      <w:ind w:left="851" w:hanging="851"/>
    </w:pPr>
  </w:style>
  <w:style w:type="paragraph" w:customStyle="1" w:styleId="ManualHeading2">
    <w:name w:val="Manual Heading 2"/>
    <w:basedOn w:val="Heading2"/>
    <w:next w:val="Text2"/>
    <w:uiPriority w:val="99"/>
    <w:rsid w:val="00475311"/>
    <w:pPr>
      <w:tabs>
        <w:tab w:val="clear" w:pos="850"/>
        <w:tab w:val="num" w:pos="851"/>
      </w:tabs>
      <w:ind w:left="851" w:hanging="851"/>
    </w:pPr>
  </w:style>
  <w:style w:type="paragraph" w:customStyle="1" w:styleId="ManualHeading3">
    <w:name w:val="Manual Heading 3"/>
    <w:basedOn w:val="Heading3"/>
    <w:next w:val="Text3"/>
    <w:uiPriority w:val="99"/>
    <w:rsid w:val="00475311"/>
    <w:pPr>
      <w:tabs>
        <w:tab w:val="clear" w:pos="850"/>
        <w:tab w:val="num" w:pos="851"/>
      </w:tabs>
    </w:pPr>
  </w:style>
  <w:style w:type="paragraph" w:customStyle="1" w:styleId="ManualHeading4">
    <w:name w:val="Manual Heading 4"/>
    <w:basedOn w:val="Heading4"/>
    <w:next w:val="Text4"/>
    <w:uiPriority w:val="99"/>
    <w:rsid w:val="00475311"/>
    <w:pPr>
      <w:tabs>
        <w:tab w:val="clear" w:pos="850"/>
        <w:tab w:val="num" w:pos="851"/>
      </w:tabs>
    </w:pPr>
  </w:style>
  <w:style w:type="paragraph" w:customStyle="1" w:styleId="ManualNumPar1">
    <w:name w:val="Manual NumPar 1"/>
    <w:basedOn w:val="Normal"/>
    <w:next w:val="Text1"/>
    <w:rsid w:val="00475311"/>
    <w:pPr>
      <w:ind w:left="851" w:hanging="851"/>
    </w:pPr>
  </w:style>
  <w:style w:type="paragraph" w:customStyle="1" w:styleId="ManualNumPar2">
    <w:name w:val="Manual NumPar 2"/>
    <w:basedOn w:val="Normal"/>
    <w:next w:val="Text2"/>
    <w:uiPriority w:val="99"/>
    <w:rsid w:val="00475311"/>
    <w:pPr>
      <w:ind w:left="851" w:hanging="851"/>
    </w:pPr>
  </w:style>
  <w:style w:type="paragraph" w:customStyle="1" w:styleId="ManualNumPar3">
    <w:name w:val="Manual NumPar 3"/>
    <w:basedOn w:val="Normal"/>
    <w:next w:val="Text3"/>
    <w:uiPriority w:val="99"/>
    <w:rsid w:val="00475311"/>
    <w:pPr>
      <w:ind w:left="851" w:hanging="851"/>
    </w:pPr>
  </w:style>
  <w:style w:type="paragraph" w:customStyle="1" w:styleId="ManualNumPar4">
    <w:name w:val="Manual NumPar 4"/>
    <w:basedOn w:val="Normal"/>
    <w:next w:val="Text4"/>
    <w:uiPriority w:val="99"/>
    <w:rsid w:val="00475311"/>
    <w:pPr>
      <w:ind w:left="851" w:hanging="851"/>
    </w:pPr>
  </w:style>
  <w:style w:type="character" w:customStyle="1" w:styleId="Marker">
    <w:name w:val="Marker"/>
    <w:uiPriority w:val="99"/>
    <w:rsid w:val="00475311"/>
    <w:rPr>
      <w:color w:val="0000FF"/>
    </w:rPr>
  </w:style>
  <w:style w:type="paragraph" w:customStyle="1" w:styleId="NormalCentered">
    <w:name w:val="Normal Centered"/>
    <w:basedOn w:val="Normal"/>
    <w:rsid w:val="00475311"/>
    <w:pPr>
      <w:jc w:val="center"/>
    </w:pPr>
  </w:style>
  <w:style w:type="paragraph" w:customStyle="1" w:styleId="NormalLeft">
    <w:name w:val="Normal Left"/>
    <w:basedOn w:val="Normal"/>
    <w:rsid w:val="00475311"/>
    <w:pPr>
      <w:jc w:val="left"/>
    </w:pPr>
  </w:style>
  <w:style w:type="paragraph" w:customStyle="1" w:styleId="NormalRight">
    <w:name w:val="Normal Right"/>
    <w:basedOn w:val="Normal"/>
    <w:uiPriority w:val="99"/>
    <w:rsid w:val="00475311"/>
    <w:pPr>
      <w:jc w:val="right"/>
    </w:pPr>
  </w:style>
  <w:style w:type="paragraph" w:customStyle="1" w:styleId="NumPar1">
    <w:name w:val="NumPar 1"/>
    <w:basedOn w:val="Normal"/>
    <w:next w:val="Text1"/>
    <w:rsid w:val="00475311"/>
    <w:pPr>
      <w:numPr>
        <w:numId w:val="2"/>
      </w:numPr>
    </w:pPr>
  </w:style>
  <w:style w:type="paragraph" w:customStyle="1" w:styleId="NumPar2">
    <w:name w:val="NumPar 2"/>
    <w:basedOn w:val="Normal"/>
    <w:next w:val="Text2"/>
    <w:rsid w:val="00475311"/>
    <w:pPr>
      <w:numPr>
        <w:ilvl w:val="1"/>
        <w:numId w:val="2"/>
      </w:numPr>
    </w:pPr>
  </w:style>
  <w:style w:type="paragraph" w:customStyle="1" w:styleId="NumPar3">
    <w:name w:val="NumPar 3"/>
    <w:basedOn w:val="Normal"/>
    <w:next w:val="Text3"/>
    <w:rsid w:val="00475311"/>
    <w:pPr>
      <w:numPr>
        <w:ilvl w:val="2"/>
        <w:numId w:val="2"/>
      </w:numPr>
    </w:pPr>
  </w:style>
  <w:style w:type="paragraph" w:customStyle="1" w:styleId="NumPar4">
    <w:name w:val="NumPar 4"/>
    <w:basedOn w:val="Normal"/>
    <w:next w:val="Text4"/>
    <w:rsid w:val="00475311"/>
    <w:pPr>
      <w:numPr>
        <w:ilvl w:val="3"/>
        <w:numId w:val="2"/>
      </w:numPr>
    </w:pPr>
  </w:style>
  <w:style w:type="paragraph" w:customStyle="1" w:styleId="Objetexterne">
    <w:name w:val="Objet externe"/>
    <w:basedOn w:val="Normal"/>
    <w:next w:val="Normal"/>
    <w:uiPriority w:val="99"/>
    <w:rsid w:val="00475311"/>
    <w:rPr>
      <w:i/>
      <w:iCs/>
      <w:caps/>
    </w:rPr>
  </w:style>
  <w:style w:type="character" w:styleId="PageNumber">
    <w:name w:val="page number"/>
    <w:rsid w:val="00475311"/>
  </w:style>
  <w:style w:type="paragraph" w:customStyle="1" w:styleId="PartTitle">
    <w:name w:val="PartTitle"/>
    <w:basedOn w:val="Normal"/>
    <w:next w:val="ChapterTitle"/>
    <w:uiPriority w:val="99"/>
    <w:rsid w:val="00475311"/>
    <w:pPr>
      <w:keepNext/>
      <w:pageBreakBefore/>
      <w:spacing w:after="360"/>
      <w:jc w:val="center"/>
    </w:pPr>
    <w:rPr>
      <w:b/>
      <w:bCs/>
      <w:sz w:val="36"/>
      <w:szCs w:val="36"/>
    </w:rPr>
  </w:style>
  <w:style w:type="paragraph" w:customStyle="1" w:styleId="Point0">
    <w:name w:val="Point 0"/>
    <w:basedOn w:val="Normal"/>
    <w:uiPriority w:val="99"/>
    <w:rsid w:val="00475311"/>
    <w:pPr>
      <w:ind w:left="851" w:hanging="851"/>
    </w:pPr>
  </w:style>
  <w:style w:type="paragraph" w:customStyle="1" w:styleId="Point1">
    <w:name w:val="Point 1"/>
    <w:basedOn w:val="Normal"/>
    <w:rsid w:val="00475311"/>
    <w:pPr>
      <w:ind w:left="1418" w:hanging="567"/>
    </w:pPr>
  </w:style>
  <w:style w:type="paragraph" w:customStyle="1" w:styleId="Point2">
    <w:name w:val="Point 2"/>
    <w:basedOn w:val="Normal"/>
    <w:uiPriority w:val="99"/>
    <w:rsid w:val="00475311"/>
    <w:pPr>
      <w:ind w:left="1985" w:hanging="567"/>
    </w:pPr>
  </w:style>
  <w:style w:type="paragraph" w:customStyle="1" w:styleId="Point3">
    <w:name w:val="Point 3"/>
    <w:basedOn w:val="Normal"/>
    <w:uiPriority w:val="99"/>
    <w:rsid w:val="00475311"/>
    <w:pPr>
      <w:ind w:left="2552" w:hanging="567"/>
    </w:pPr>
  </w:style>
  <w:style w:type="paragraph" w:customStyle="1" w:styleId="Point4">
    <w:name w:val="Point 4"/>
    <w:basedOn w:val="Normal"/>
    <w:uiPriority w:val="99"/>
    <w:rsid w:val="00475311"/>
    <w:pPr>
      <w:ind w:left="3119" w:hanging="567"/>
    </w:pPr>
  </w:style>
  <w:style w:type="paragraph" w:customStyle="1" w:styleId="PointDouble0">
    <w:name w:val="PointDouble 0"/>
    <w:basedOn w:val="Normal"/>
    <w:uiPriority w:val="99"/>
    <w:rsid w:val="00475311"/>
    <w:pPr>
      <w:tabs>
        <w:tab w:val="left" w:pos="851"/>
      </w:tabs>
      <w:ind w:left="1418" w:hanging="1418"/>
    </w:pPr>
  </w:style>
  <w:style w:type="paragraph" w:customStyle="1" w:styleId="PointDouble1">
    <w:name w:val="PointDouble 1"/>
    <w:basedOn w:val="Normal"/>
    <w:uiPriority w:val="99"/>
    <w:rsid w:val="00475311"/>
    <w:pPr>
      <w:tabs>
        <w:tab w:val="left" w:pos="1418"/>
      </w:tabs>
      <w:ind w:left="1985" w:hanging="1134"/>
    </w:pPr>
  </w:style>
  <w:style w:type="paragraph" w:customStyle="1" w:styleId="PointDouble2">
    <w:name w:val="PointDouble 2"/>
    <w:basedOn w:val="Normal"/>
    <w:uiPriority w:val="99"/>
    <w:rsid w:val="00475311"/>
    <w:pPr>
      <w:tabs>
        <w:tab w:val="left" w:pos="1985"/>
      </w:tabs>
      <w:ind w:left="2552" w:hanging="1134"/>
    </w:pPr>
  </w:style>
  <w:style w:type="paragraph" w:customStyle="1" w:styleId="PointDouble3">
    <w:name w:val="PointDouble 3"/>
    <w:basedOn w:val="Normal"/>
    <w:uiPriority w:val="99"/>
    <w:rsid w:val="00475311"/>
    <w:pPr>
      <w:tabs>
        <w:tab w:val="left" w:pos="2552"/>
      </w:tabs>
      <w:ind w:left="3119" w:hanging="1134"/>
    </w:pPr>
  </w:style>
  <w:style w:type="paragraph" w:customStyle="1" w:styleId="PointDouble4">
    <w:name w:val="PointDouble 4"/>
    <w:basedOn w:val="Normal"/>
    <w:uiPriority w:val="99"/>
    <w:rsid w:val="00475311"/>
    <w:pPr>
      <w:tabs>
        <w:tab w:val="left" w:pos="3119"/>
      </w:tabs>
      <w:ind w:left="3686" w:hanging="1134"/>
    </w:pPr>
  </w:style>
  <w:style w:type="paragraph" w:customStyle="1" w:styleId="PointTriple0">
    <w:name w:val="PointTriple 0"/>
    <w:basedOn w:val="Normal"/>
    <w:uiPriority w:val="99"/>
    <w:rsid w:val="00475311"/>
    <w:pPr>
      <w:tabs>
        <w:tab w:val="left" w:pos="851"/>
        <w:tab w:val="left" w:pos="1418"/>
      </w:tabs>
      <w:ind w:left="1985" w:hanging="1985"/>
    </w:pPr>
  </w:style>
  <w:style w:type="paragraph" w:customStyle="1" w:styleId="PointTriple1">
    <w:name w:val="PointTriple 1"/>
    <w:basedOn w:val="Normal"/>
    <w:uiPriority w:val="99"/>
    <w:rsid w:val="00475311"/>
    <w:pPr>
      <w:tabs>
        <w:tab w:val="left" w:pos="1418"/>
        <w:tab w:val="left" w:pos="1985"/>
      </w:tabs>
      <w:ind w:left="2552" w:hanging="1701"/>
    </w:pPr>
  </w:style>
  <w:style w:type="paragraph" w:customStyle="1" w:styleId="PointTriple2">
    <w:name w:val="PointTriple 2"/>
    <w:basedOn w:val="Normal"/>
    <w:uiPriority w:val="99"/>
    <w:rsid w:val="00475311"/>
    <w:pPr>
      <w:tabs>
        <w:tab w:val="left" w:pos="1985"/>
        <w:tab w:val="left" w:pos="2552"/>
      </w:tabs>
      <w:ind w:left="3119" w:hanging="1701"/>
    </w:pPr>
  </w:style>
  <w:style w:type="paragraph" w:customStyle="1" w:styleId="PointTriple3">
    <w:name w:val="PointTriple 3"/>
    <w:basedOn w:val="Normal"/>
    <w:uiPriority w:val="99"/>
    <w:rsid w:val="00475311"/>
    <w:pPr>
      <w:tabs>
        <w:tab w:val="left" w:pos="2552"/>
        <w:tab w:val="left" w:pos="3119"/>
      </w:tabs>
      <w:ind w:left="3686" w:hanging="1701"/>
    </w:pPr>
  </w:style>
  <w:style w:type="paragraph" w:customStyle="1" w:styleId="PointTriple4">
    <w:name w:val="PointTriple 4"/>
    <w:basedOn w:val="Normal"/>
    <w:uiPriority w:val="99"/>
    <w:rsid w:val="00475311"/>
    <w:pPr>
      <w:tabs>
        <w:tab w:val="left" w:pos="3119"/>
        <w:tab w:val="left" w:pos="3686"/>
      </w:tabs>
      <w:ind w:left="4253" w:hanging="1701"/>
    </w:pPr>
  </w:style>
  <w:style w:type="paragraph" w:customStyle="1" w:styleId="Prliminairetitre">
    <w:name w:val="Préliminaire titre"/>
    <w:basedOn w:val="Normal"/>
    <w:next w:val="Normal"/>
    <w:uiPriority w:val="99"/>
    <w:rsid w:val="00475311"/>
    <w:pPr>
      <w:spacing w:before="360" w:after="360"/>
      <w:jc w:val="center"/>
    </w:pPr>
    <w:rPr>
      <w:b/>
      <w:bCs/>
    </w:rPr>
  </w:style>
  <w:style w:type="paragraph" w:customStyle="1" w:styleId="Prliminairetype">
    <w:name w:val="Préliminaire type"/>
    <w:basedOn w:val="Normal"/>
    <w:next w:val="Normal"/>
    <w:uiPriority w:val="99"/>
    <w:rsid w:val="00475311"/>
    <w:pPr>
      <w:spacing w:before="360"/>
      <w:jc w:val="center"/>
    </w:pPr>
    <w:rPr>
      <w:b/>
      <w:bCs/>
    </w:rPr>
  </w:style>
  <w:style w:type="paragraph" w:customStyle="1" w:styleId="QuotedNumPar">
    <w:name w:val="Quoted NumPar"/>
    <w:basedOn w:val="Normal"/>
    <w:uiPriority w:val="99"/>
    <w:rsid w:val="00475311"/>
    <w:pPr>
      <w:ind w:left="1418" w:hanging="567"/>
    </w:pPr>
  </w:style>
  <w:style w:type="paragraph" w:customStyle="1" w:styleId="QuotedText">
    <w:name w:val="Quoted Text"/>
    <w:basedOn w:val="Normal"/>
    <w:uiPriority w:val="99"/>
    <w:rsid w:val="00475311"/>
    <w:pPr>
      <w:ind w:left="1418"/>
    </w:pPr>
  </w:style>
  <w:style w:type="paragraph" w:customStyle="1" w:styleId="Rfrenceinterinstitutionelle">
    <w:name w:val="Référence interinstitutionelle"/>
    <w:basedOn w:val="Normal"/>
    <w:next w:val="Statut"/>
    <w:uiPriority w:val="99"/>
    <w:rsid w:val="00475311"/>
    <w:pPr>
      <w:ind w:left="5103"/>
      <w:jc w:val="left"/>
    </w:pPr>
  </w:style>
  <w:style w:type="paragraph" w:customStyle="1" w:styleId="SectionTitle">
    <w:name w:val="SectionTitle"/>
    <w:basedOn w:val="Normal"/>
    <w:next w:val="Heading1"/>
    <w:uiPriority w:val="99"/>
    <w:rsid w:val="00475311"/>
    <w:pPr>
      <w:keepNext/>
      <w:spacing w:after="360"/>
      <w:jc w:val="center"/>
    </w:pPr>
    <w:rPr>
      <w:b/>
      <w:bCs/>
      <w:smallCaps/>
      <w:sz w:val="28"/>
      <w:szCs w:val="28"/>
    </w:rPr>
  </w:style>
  <w:style w:type="paragraph" w:customStyle="1" w:styleId="TableTitle">
    <w:name w:val="Table Title"/>
    <w:basedOn w:val="Normal"/>
    <w:next w:val="Normal"/>
    <w:uiPriority w:val="99"/>
    <w:rsid w:val="00475311"/>
    <w:pPr>
      <w:jc w:val="center"/>
    </w:pPr>
    <w:rPr>
      <w:b/>
      <w:bCs/>
    </w:rPr>
  </w:style>
  <w:style w:type="paragraph" w:customStyle="1" w:styleId="Tiret0">
    <w:name w:val="Tiret 0"/>
    <w:basedOn w:val="Point0"/>
    <w:uiPriority w:val="99"/>
    <w:rsid w:val="00475311"/>
  </w:style>
  <w:style w:type="paragraph" w:customStyle="1" w:styleId="Tiret1">
    <w:name w:val="Tiret 1"/>
    <w:basedOn w:val="Point1"/>
    <w:uiPriority w:val="99"/>
    <w:rsid w:val="00475311"/>
  </w:style>
  <w:style w:type="paragraph" w:customStyle="1" w:styleId="Tiret2">
    <w:name w:val="Tiret 2"/>
    <w:basedOn w:val="Point2"/>
    <w:uiPriority w:val="99"/>
    <w:rsid w:val="00475311"/>
  </w:style>
  <w:style w:type="paragraph" w:customStyle="1" w:styleId="Tiret3">
    <w:name w:val="Tiret 3"/>
    <w:basedOn w:val="Point3"/>
    <w:uiPriority w:val="99"/>
    <w:rsid w:val="00475311"/>
  </w:style>
  <w:style w:type="paragraph" w:customStyle="1" w:styleId="Tiret4">
    <w:name w:val="Tiret 4"/>
    <w:basedOn w:val="Point4"/>
    <w:uiPriority w:val="99"/>
    <w:rsid w:val="00475311"/>
  </w:style>
  <w:style w:type="paragraph" w:styleId="TOAHeading">
    <w:name w:val="toa heading"/>
    <w:basedOn w:val="Normal"/>
    <w:next w:val="Normal"/>
    <w:uiPriority w:val="99"/>
    <w:rsid w:val="00475311"/>
    <w:rPr>
      <w:rFonts w:cs="Arial"/>
      <w:b/>
      <w:bCs/>
    </w:rPr>
  </w:style>
  <w:style w:type="paragraph" w:styleId="TOC1">
    <w:name w:val="toc 1"/>
    <w:next w:val="Normal"/>
    <w:uiPriority w:val="39"/>
    <w:qFormat/>
    <w:rsid w:val="00FC3016"/>
    <w:pPr>
      <w:tabs>
        <w:tab w:val="right" w:leader="dot" w:pos="9072"/>
      </w:tabs>
      <w:spacing w:before="200" w:after="100"/>
      <w:ind w:left="-142" w:right="567" w:hanging="142"/>
      <w:jc w:val="both"/>
    </w:pPr>
    <w:rPr>
      <w:rFonts w:ascii="Arial" w:hAnsi="Arial"/>
      <w:b/>
      <w:bCs/>
      <w:caps/>
    </w:rPr>
  </w:style>
  <w:style w:type="paragraph" w:styleId="TOC2">
    <w:name w:val="toc 2"/>
    <w:next w:val="Normal"/>
    <w:uiPriority w:val="39"/>
    <w:qFormat/>
    <w:rsid w:val="00FC3016"/>
    <w:pPr>
      <w:spacing w:before="100"/>
      <w:ind w:left="85" w:right="567" w:hanging="142"/>
      <w:jc w:val="both"/>
    </w:pPr>
    <w:rPr>
      <w:rFonts w:ascii="Arial" w:hAnsi="Arial"/>
      <w:smallCaps/>
    </w:rPr>
  </w:style>
  <w:style w:type="paragraph" w:styleId="TOC3">
    <w:name w:val="toc 3"/>
    <w:next w:val="Normal"/>
    <w:uiPriority w:val="39"/>
    <w:qFormat/>
    <w:rsid w:val="00FC3016"/>
    <w:pPr>
      <w:tabs>
        <w:tab w:val="right" w:leader="dot" w:pos="9072"/>
      </w:tabs>
      <w:ind w:left="142" w:right="567" w:hanging="142"/>
      <w:jc w:val="both"/>
    </w:pPr>
    <w:rPr>
      <w:rFonts w:ascii="Arial" w:hAnsi="Arial"/>
      <w:i/>
      <w:iCs/>
    </w:rPr>
  </w:style>
  <w:style w:type="paragraph" w:styleId="TOC4">
    <w:name w:val="toc 4"/>
    <w:basedOn w:val="Normal"/>
    <w:next w:val="Normal"/>
    <w:uiPriority w:val="39"/>
    <w:rsid w:val="00980F0D"/>
    <w:pPr>
      <w:ind w:left="600"/>
      <w:jc w:val="left"/>
    </w:pPr>
    <w:rPr>
      <w:szCs w:val="18"/>
    </w:rPr>
  </w:style>
  <w:style w:type="paragraph" w:styleId="TOC5">
    <w:name w:val="toc 5"/>
    <w:basedOn w:val="Normal"/>
    <w:next w:val="Normal"/>
    <w:uiPriority w:val="39"/>
    <w:rsid w:val="00475311"/>
    <w:pPr>
      <w:ind w:left="800"/>
      <w:jc w:val="left"/>
    </w:pPr>
    <w:rPr>
      <w:rFonts w:ascii="Calibri" w:hAnsi="Calibri"/>
      <w:sz w:val="18"/>
      <w:szCs w:val="18"/>
    </w:rPr>
  </w:style>
  <w:style w:type="paragraph" w:styleId="TOC6">
    <w:name w:val="toc 6"/>
    <w:basedOn w:val="Normal"/>
    <w:next w:val="Normal"/>
    <w:uiPriority w:val="39"/>
    <w:rsid w:val="00475311"/>
    <w:pPr>
      <w:ind w:left="1000"/>
      <w:jc w:val="left"/>
    </w:pPr>
    <w:rPr>
      <w:rFonts w:ascii="Calibri" w:hAnsi="Calibri"/>
      <w:sz w:val="18"/>
      <w:szCs w:val="18"/>
    </w:rPr>
  </w:style>
  <w:style w:type="paragraph" w:styleId="TOC7">
    <w:name w:val="toc 7"/>
    <w:basedOn w:val="Normal"/>
    <w:next w:val="Normal"/>
    <w:uiPriority w:val="39"/>
    <w:rsid w:val="00475311"/>
    <w:pPr>
      <w:ind w:left="1200"/>
      <w:jc w:val="left"/>
    </w:pPr>
    <w:rPr>
      <w:rFonts w:ascii="Calibri" w:hAnsi="Calibri"/>
      <w:sz w:val="18"/>
      <w:szCs w:val="18"/>
    </w:rPr>
  </w:style>
  <w:style w:type="paragraph" w:styleId="TOC8">
    <w:name w:val="toc 8"/>
    <w:basedOn w:val="Normal"/>
    <w:next w:val="Normal"/>
    <w:uiPriority w:val="39"/>
    <w:rsid w:val="00475311"/>
    <w:pPr>
      <w:ind w:left="1400"/>
      <w:jc w:val="left"/>
    </w:pPr>
    <w:rPr>
      <w:rFonts w:ascii="Calibri" w:hAnsi="Calibri"/>
      <w:sz w:val="18"/>
      <w:szCs w:val="18"/>
    </w:rPr>
  </w:style>
  <w:style w:type="paragraph" w:styleId="TOC9">
    <w:name w:val="toc 9"/>
    <w:basedOn w:val="Normal"/>
    <w:next w:val="Normal"/>
    <w:uiPriority w:val="39"/>
    <w:rsid w:val="00475311"/>
    <w:pPr>
      <w:ind w:left="1600"/>
      <w:jc w:val="left"/>
    </w:pPr>
    <w:rPr>
      <w:rFonts w:ascii="Calibri" w:hAnsi="Calibri"/>
      <w:sz w:val="18"/>
      <w:szCs w:val="18"/>
    </w:rPr>
  </w:style>
  <w:style w:type="paragraph" w:styleId="TOCHeading">
    <w:name w:val="TOC Heading"/>
    <w:basedOn w:val="Normal"/>
    <w:next w:val="Normal"/>
    <w:uiPriority w:val="39"/>
    <w:qFormat/>
    <w:rsid w:val="00475311"/>
    <w:pPr>
      <w:spacing w:after="240"/>
      <w:jc w:val="center"/>
    </w:pPr>
    <w:rPr>
      <w:b/>
      <w:bCs/>
      <w:sz w:val="28"/>
      <w:szCs w:val="28"/>
    </w:rPr>
  </w:style>
  <w:style w:type="paragraph" w:customStyle="1" w:styleId="Considrant">
    <w:name w:val="Considérant"/>
    <w:basedOn w:val="Normal"/>
    <w:rsid w:val="00475311"/>
    <w:pPr>
      <w:numPr>
        <w:numId w:val="3"/>
      </w:numPr>
    </w:pPr>
  </w:style>
  <w:style w:type="paragraph" w:customStyle="1" w:styleId="Confidentialit">
    <w:name w:val="Confidentialité"/>
    <w:basedOn w:val="Normal"/>
    <w:next w:val="Statut"/>
    <w:uiPriority w:val="99"/>
    <w:rsid w:val="00475311"/>
    <w:pPr>
      <w:spacing w:before="240" w:after="240"/>
      <w:ind w:left="5103"/>
    </w:pPr>
    <w:rPr>
      <w:u w:val="single"/>
    </w:rPr>
  </w:style>
  <w:style w:type="paragraph" w:customStyle="1" w:styleId="ManualConsidrant">
    <w:name w:val="Manual Considérant"/>
    <w:basedOn w:val="Normal"/>
    <w:uiPriority w:val="99"/>
    <w:rsid w:val="00475311"/>
    <w:pPr>
      <w:ind w:left="709" w:hanging="709"/>
    </w:pPr>
  </w:style>
  <w:style w:type="paragraph" w:customStyle="1" w:styleId="FooterLandscape">
    <w:name w:val="FooterLandscape"/>
    <w:basedOn w:val="Footer"/>
    <w:uiPriority w:val="99"/>
    <w:rsid w:val="00475311"/>
    <w:pPr>
      <w:tabs>
        <w:tab w:val="clear" w:pos="4536"/>
        <w:tab w:val="clear" w:pos="9072"/>
        <w:tab w:val="center" w:pos="7002"/>
        <w:tab w:val="right" w:pos="14005"/>
      </w:tabs>
    </w:pPr>
  </w:style>
  <w:style w:type="paragraph" w:customStyle="1" w:styleId="Titredumodificateur">
    <w:name w:val="Titre du modificateur"/>
    <w:basedOn w:val="Normal"/>
    <w:next w:val="Annexetitrefichefinacte"/>
    <w:uiPriority w:val="99"/>
    <w:rsid w:val="00475311"/>
    <w:pPr>
      <w:spacing w:before="240" w:after="60"/>
      <w:jc w:val="left"/>
    </w:pPr>
    <w:rPr>
      <w:b/>
      <w:bCs/>
    </w:rPr>
  </w:style>
  <w:style w:type="paragraph" w:customStyle="1" w:styleId="Referencedumodificateur">
    <w:name w:val="Reference du modificateur"/>
    <w:basedOn w:val="Normal"/>
    <w:next w:val="Annexetitrefichefinglobale"/>
    <w:uiPriority w:val="99"/>
    <w:rsid w:val="00475311"/>
    <w:pPr>
      <w:jc w:val="left"/>
    </w:pPr>
  </w:style>
  <w:style w:type="character" w:styleId="Hyperlink">
    <w:name w:val="Hyperlink"/>
    <w:uiPriority w:val="99"/>
    <w:unhideWhenUsed/>
    <w:rsid w:val="00225A33"/>
    <w:rPr>
      <w:b/>
      <w:bCs/>
      <w:color w:val="002579"/>
      <w:u w:val="single"/>
    </w:rPr>
  </w:style>
  <w:style w:type="paragraph" w:styleId="BodyText">
    <w:name w:val="Body Text"/>
    <w:basedOn w:val="Normal"/>
    <w:link w:val="BodyTextChar"/>
    <w:rsid w:val="00225A33"/>
    <w:pPr>
      <w:keepNext/>
      <w:tabs>
        <w:tab w:val="left" w:pos="709"/>
      </w:tabs>
      <w:autoSpaceDE/>
      <w:autoSpaceDN/>
      <w:spacing w:line="360" w:lineRule="auto"/>
      <w:jc w:val="left"/>
    </w:pPr>
  </w:style>
  <w:style w:type="character" w:customStyle="1" w:styleId="BodyTextChar">
    <w:name w:val="Body Text Char"/>
    <w:link w:val="BodyText"/>
    <w:rsid w:val="00225A33"/>
    <w:rPr>
      <w:rFonts w:ascii="Arial" w:hAnsi="Arial"/>
      <w:szCs w:val="24"/>
      <w:lang w:val="it-IT" w:eastAsia="it-IT"/>
    </w:rPr>
  </w:style>
  <w:style w:type="paragraph" w:styleId="CommentSubject">
    <w:name w:val="annotation subject"/>
    <w:basedOn w:val="CommentText"/>
    <w:next w:val="CommentText"/>
    <w:link w:val="CommentSubjectChar"/>
    <w:unhideWhenUsed/>
    <w:rsid w:val="00034CAA"/>
    <w:rPr>
      <w:b/>
      <w:bCs/>
    </w:rPr>
  </w:style>
  <w:style w:type="character" w:customStyle="1" w:styleId="CommentSubjectChar">
    <w:name w:val="Comment Subject Char"/>
    <w:link w:val="CommentSubject"/>
    <w:rsid w:val="00034CAA"/>
    <w:rPr>
      <w:rFonts w:ascii="Times New Roman" w:hAnsi="Times New Roman" w:cs="Times New Roman"/>
      <w:b/>
      <w:bCs/>
      <w:sz w:val="20"/>
      <w:szCs w:val="20"/>
    </w:rPr>
  </w:style>
  <w:style w:type="paragraph" w:styleId="Revision">
    <w:name w:val="Revision"/>
    <w:hidden/>
    <w:uiPriority w:val="99"/>
    <w:semiHidden/>
    <w:rsid w:val="00034CAA"/>
    <w:rPr>
      <w:rFonts w:ascii="Times New Roman" w:hAnsi="Times New Roman"/>
      <w:sz w:val="24"/>
      <w:szCs w:val="24"/>
    </w:rPr>
  </w:style>
  <w:style w:type="paragraph" w:styleId="BalloonText">
    <w:name w:val="Balloon Text"/>
    <w:basedOn w:val="Normal"/>
    <w:link w:val="BalloonTextChar"/>
    <w:unhideWhenUsed/>
    <w:rsid w:val="00034CAA"/>
    <w:rPr>
      <w:rFonts w:ascii="Tahoma" w:hAnsi="Tahoma"/>
      <w:sz w:val="16"/>
      <w:szCs w:val="16"/>
    </w:rPr>
  </w:style>
  <w:style w:type="character" w:customStyle="1" w:styleId="BalloonTextChar">
    <w:name w:val="Balloon Text Char"/>
    <w:link w:val="BalloonText"/>
    <w:rsid w:val="00034CAA"/>
    <w:rPr>
      <w:rFonts w:ascii="Tahoma" w:hAnsi="Tahoma" w:cs="Tahoma"/>
      <w:sz w:val="16"/>
      <w:szCs w:val="16"/>
    </w:rPr>
  </w:style>
  <w:style w:type="paragraph" w:styleId="BodyText3">
    <w:name w:val="Body Text 3"/>
    <w:basedOn w:val="Normal"/>
    <w:link w:val="BodyText3Char"/>
    <w:unhideWhenUsed/>
    <w:rsid w:val="00B5757A"/>
    <w:rPr>
      <w:sz w:val="16"/>
      <w:szCs w:val="16"/>
    </w:rPr>
  </w:style>
  <w:style w:type="character" w:customStyle="1" w:styleId="BodyText3Char">
    <w:name w:val="Body Text 3 Char"/>
    <w:link w:val="BodyText3"/>
    <w:uiPriority w:val="99"/>
    <w:rsid w:val="00B5757A"/>
    <w:rPr>
      <w:rFonts w:ascii="Times New Roman" w:hAnsi="Times New Roman"/>
      <w:sz w:val="16"/>
      <w:szCs w:val="16"/>
    </w:rPr>
  </w:style>
  <w:style w:type="paragraph" w:styleId="BodyTextIndent3">
    <w:name w:val="Body Text Indent 3"/>
    <w:basedOn w:val="Normal"/>
    <w:link w:val="BodyTextIndent3Char"/>
    <w:unhideWhenUsed/>
    <w:rsid w:val="00364497"/>
    <w:pPr>
      <w:ind w:left="283"/>
    </w:pPr>
    <w:rPr>
      <w:sz w:val="16"/>
      <w:szCs w:val="16"/>
    </w:rPr>
  </w:style>
  <w:style w:type="character" w:customStyle="1" w:styleId="BodyTextIndent3Char">
    <w:name w:val="Body Text Indent 3 Char"/>
    <w:link w:val="BodyTextIndent3"/>
    <w:uiPriority w:val="99"/>
    <w:rsid w:val="00364497"/>
    <w:rPr>
      <w:rFonts w:ascii="Times New Roman" w:hAnsi="Times New Roman"/>
      <w:sz w:val="16"/>
      <w:szCs w:val="16"/>
    </w:rPr>
  </w:style>
  <w:style w:type="paragraph" w:styleId="ListParagraph">
    <w:name w:val="List Paragraph"/>
    <w:basedOn w:val="Normal"/>
    <w:uiPriority w:val="34"/>
    <w:qFormat/>
    <w:rsid w:val="00F0492F"/>
    <w:pPr>
      <w:autoSpaceDE/>
      <w:autoSpaceDN/>
      <w:ind w:left="720"/>
      <w:jc w:val="left"/>
    </w:pPr>
    <w:rPr>
      <w:rFonts w:ascii="Calibri" w:eastAsia="Calibri" w:hAnsi="Calibri" w:cs="Calibri"/>
      <w:sz w:val="22"/>
      <w:szCs w:val="22"/>
    </w:rPr>
  </w:style>
  <w:style w:type="paragraph" w:customStyle="1" w:styleId="ES-intro">
    <w:name w:val="ES-intro"/>
    <w:basedOn w:val="Normal"/>
    <w:link w:val="ES-introCar"/>
    <w:qFormat/>
    <w:rsid w:val="00465BBB"/>
    <w:pPr>
      <w:overflowPunct w:val="0"/>
      <w:adjustRightInd w:val="0"/>
      <w:spacing w:line="360" w:lineRule="auto"/>
      <w:textAlignment w:val="baseline"/>
    </w:pPr>
    <w:rPr>
      <w:rFonts w:eastAsia="Calibri"/>
      <w:szCs w:val="20"/>
    </w:rPr>
  </w:style>
  <w:style w:type="character" w:customStyle="1" w:styleId="ES-introCar">
    <w:name w:val="ES-intro Car"/>
    <w:link w:val="ES-intro"/>
    <w:rsid w:val="00465BBB"/>
    <w:rPr>
      <w:rFonts w:ascii="Arial" w:eastAsia="Calibri" w:hAnsi="Arial"/>
      <w:lang w:val="it-IT" w:eastAsia="it-IT"/>
    </w:rPr>
  </w:style>
  <w:style w:type="paragraph" w:customStyle="1" w:styleId="ES-Titre1">
    <w:name w:val="ES-Titre1"/>
    <w:basedOn w:val="Normal"/>
    <w:link w:val="ES-Titre1Car"/>
    <w:qFormat/>
    <w:rsid w:val="00A84512"/>
    <w:pPr>
      <w:overflowPunct w:val="0"/>
      <w:adjustRightInd w:val="0"/>
      <w:spacing w:line="240" w:lineRule="atLeast"/>
      <w:ind w:left="0" w:firstLine="0"/>
      <w:jc w:val="center"/>
      <w:textAlignment w:val="baseline"/>
    </w:pPr>
    <w:rPr>
      <w:rFonts w:eastAsia="Calibri" w:cs="Arial"/>
      <w:b/>
      <w:color w:val="000000"/>
      <w:sz w:val="28"/>
      <w:szCs w:val="32"/>
    </w:rPr>
  </w:style>
  <w:style w:type="paragraph" w:customStyle="1" w:styleId="ES-Titre2">
    <w:name w:val="ES-Titre2"/>
    <w:basedOn w:val="Normal"/>
    <w:link w:val="ES-Titre2Car"/>
    <w:qFormat/>
    <w:rsid w:val="009C13A9"/>
    <w:pPr>
      <w:pageBreakBefore/>
      <w:overflowPunct w:val="0"/>
      <w:adjustRightInd w:val="0"/>
      <w:spacing w:line="240" w:lineRule="atLeast"/>
      <w:ind w:left="0" w:firstLine="0"/>
      <w:jc w:val="center"/>
      <w:textAlignment w:val="baseline"/>
    </w:pPr>
    <w:rPr>
      <w:rFonts w:eastAsia="Calibri" w:cs="Arial"/>
      <w:b/>
      <w:i/>
      <w:caps/>
      <w:sz w:val="24"/>
      <w:szCs w:val="28"/>
    </w:rPr>
  </w:style>
  <w:style w:type="character" w:customStyle="1" w:styleId="ES-Titre1Car">
    <w:name w:val="ES-Titre1 Car"/>
    <w:link w:val="ES-Titre1"/>
    <w:rsid w:val="00A84512"/>
    <w:rPr>
      <w:rFonts w:ascii="Arial" w:eastAsia="Calibri" w:hAnsi="Arial" w:cs="Arial"/>
      <w:b/>
      <w:color w:val="000000"/>
      <w:sz w:val="28"/>
      <w:szCs w:val="32"/>
      <w:lang w:val="it-IT" w:eastAsia="it-IT"/>
    </w:rPr>
  </w:style>
  <w:style w:type="paragraph" w:customStyle="1" w:styleId="ES-Titre3">
    <w:name w:val="ES-Titre3"/>
    <w:basedOn w:val="Normal"/>
    <w:link w:val="ES-Titre3Car"/>
    <w:qFormat/>
    <w:rsid w:val="00944893"/>
    <w:pPr>
      <w:overflowPunct w:val="0"/>
      <w:adjustRightInd w:val="0"/>
      <w:spacing w:line="240" w:lineRule="exact"/>
      <w:ind w:left="0" w:firstLine="0"/>
      <w:jc w:val="center"/>
      <w:textAlignment w:val="baseline"/>
    </w:pPr>
    <w:rPr>
      <w:rFonts w:eastAsia="Calibri"/>
      <w:b/>
      <w:sz w:val="22"/>
      <w:szCs w:val="22"/>
    </w:rPr>
  </w:style>
  <w:style w:type="character" w:customStyle="1" w:styleId="ES-Titre2Car">
    <w:name w:val="ES-Titre2 Car"/>
    <w:link w:val="ES-Titre2"/>
    <w:rsid w:val="009C13A9"/>
    <w:rPr>
      <w:rFonts w:ascii="Arial" w:eastAsia="Calibri" w:hAnsi="Arial" w:cs="Arial"/>
      <w:b/>
      <w:i/>
      <w:caps/>
      <w:sz w:val="24"/>
      <w:szCs w:val="28"/>
      <w:lang w:val="it-IT" w:eastAsia="it-IT"/>
    </w:rPr>
  </w:style>
  <w:style w:type="character" w:customStyle="1" w:styleId="ES-Titre3Car">
    <w:name w:val="ES-Titre3 Car"/>
    <w:link w:val="ES-Titre3"/>
    <w:rsid w:val="00944893"/>
    <w:rPr>
      <w:rFonts w:ascii="Arial" w:eastAsia="Calibri" w:hAnsi="Arial"/>
      <w:b/>
      <w:sz w:val="22"/>
      <w:szCs w:val="22"/>
      <w:lang w:eastAsia="it-IT"/>
    </w:rPr>
  </w:style>
  <w:style w:type="paragraph" w:customStyle="1" w:styleId="TNR1">
    <w:name w:val="TNR1"/>
    <w:basedOn w:val="Normal"/>
    <w:rsid w:val="00A06CEC"/>
    <w:pPr>
      <w:tabs>
        <w:tab w:val="left" w:pos="284"/>
        <w:tab w:val="left" w:pos="454"/>
        <w:tab w:val="left" w:pos="680"/>
        <w:tab w:val="left" w:pos="907"/>
      </w:tabs>
      <w:overflowPunct w:val="0"/>
      <w:adjustRightInd w:val="0"/>
      <w:ind w:left="0" w:hanging="284"/>
      <w:textAlignment w:val="baseline"/>
    </w:pPr>
    <w:rPr>
      <w:rFonts w:ascii="Times New Roman" w:hAnsi="Times New Roman"/>
      <w:sz w:val="24"/>
      <w:szCs w:val="20"/>
    </w:rPr>
  </w:style>
  <w:style w:type="paragraph" w:customStyle="1" w:styleId="N1">
    <w:name w:val="N1"/>
    <w:basedOn w:val="Normal"/>
    <w:rsid w:val="00A06CEC"/>
    <w:pPr>
      <w:tabs>
        <w:tab w:val="left" w:pos="284"/>
        <w:tab w:val="left" w:pos="454"/>
        <w:tab w:val="left" w:pos="680"/>
      </w:tabs>
      <w:overflowPunct w:val="0"/>
      <w:adjustRightInd w:val="0"/>
      <w:spacing w:line="240" w:lineRule="exact"/>
      <w:ind w:left="0" w:hanging="284"/>
      <w:textAlignment w:val="baseline"/>
    </w:pPr>
    <w:rPr>
      <w:rFonts w:ascii="Times New Roman" w:hAnsi="Times New Roman"/>
      <w:sz w:val="24"/>
      <w:szCs w:val="20"/>
    </w:rPr>
  </w:style>
  <w:style w:type="paragraph" w:customStyle="1" w:styleId="EStiret">
    <w:name w:val="ES_tiret"/>
    <w:basedOn w:val="Normal"/>
    <w:qFormat/>
    <w:rsid w:val="00E65F26"/>
    <w:pPr>
      <w:spacing w:before="60" w:line="240" w:lineRule="atLeast"/>
      <w:ind w:left="1417"/>
    </w:pPr>
    <w:rPr>
      <w:noProof/>
      <w:snapToGrid w:val="0"/>
      <w:color w:val="000000"/>
    </w:rPr>
  </w:style>
  <w:style w:type="paragraph" w:customStyle="1" w:styleId="TNRA">
    <w:name w:val="TNRA"/>
    <w:basedOn w:val="TNR1"/>
    <w:rsid w:val="000B4F66"/>
    <w:pPr>
      <w:ind w:left="284"/>
    </w:pPr>
  </w:style>
  <w:style w:type="numbering" w:customStyle="1" w:styleId="Aucuneliste1">
    <w:name w:val="Aucune liste1"/>
    <w:next w:val="NoList"/>
    <w:semiHidden/>
    <w:unhideWhenUsed/>
    <w:rsid w:val="00973DAA"/>
  </w:style>
  <w:style w:type="paragraph" w:styleId="BodyTextIndent">
    <w:name w:val="Body Text Indent"/>
    <w:basedOn w:val="Normal"/>
    <w:link w:val="BodyTextIndentChar"/>
    <w:unhideWhenUsed/>
    <w:rsid w:val="00F51060"/>
    <w:pPr>
      <w:spacing w:after="120"/>
      <w:ind w:left="283"/>
    </w:pPr>
  </w:style>
  <w:style w:type="character" w:customStyle="1" w:styleId="BodyTextIndentChar">
    <w:name w:val="Body Text Indent Char"/>
    <w:link w:val="BodyTextIndent"/>
    <w:uiPriority w:val="99"/>
    <w:rsid w:val="00F51060"/>
    <w:rPr>
      <w:rFonts w:ascii="Arial" w:hAnsi="Arial"/>
      <w:szCs w:val="24"/>
    </w:rPr>
  </w:style>
  <w:style w:type="paragraph" w:customStyle="1" w:styleId="Retraitcorpsdetexte22">
    <w:name w:val="Retrait corps de texte 22"/>
    <w:basedOn w:val="Normal"/>
    <w:rsid w:val="00B73D19"/>
    <w:pPr>
      <w:widowControl w:val="0"/>
      <w:tabs>
        <w:tab w:val="left" w:pos="709"/>
      </w:tabs>
      <w:suppressAutoHyphens/>
      <w:autoSpaceDE/>
      <w:autoSpaceDN/>
      <w:spacing w:line="240" w:lineRule="atLeast"/>
      <w:ind w:left="426" w:firstLine="0"/>
      <w:jc w:val="left"/>
    </w:pPr>
    <w:rPr>
      <w:rFonts w:cs="Arial"/>
      <w:szCs w:val="20"/>
    </w:rPr>
  </w:style>
  <w:style w:type="table" w:styleId="TableGrid">
    <w:name w:val="Table Grid"/>
    <w:basedOn w:val="TableNormal"/>
    <w:uiPriority w:val="59"/>
    <w:rsid w:val="000833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1rp">
    <w:name w:val="T1_rp"/>
    <w:basedOn w:val="Normal"/>
    <w:rsid w:val="00226A59"/>
    <w:pPr>
      <w:widowControl w:val="0"/>
      <w:tabs>
        <w:tab w:val="left" w:pos="567"/>
      </w:tabs>
      <w:adjustRightInd w:val="0"/>
      <w:spacing w:line="240" w:lineRule="atLeast"/>
      <w:ind w:left="567" w:hanging="567"/>
    </w:pPr>
    <w:rPr>
      <w:rFonts w:ascii="Times New Roman" w:eastAsia="Batang" w:hAnsi="Times New Roman" w:cs="Arial"/>
      <w:sz w:val="24"/>
      <w:szCs w:val="20"/>
    </w:rPr>
  </w:style>
  <w:style w:type="paragraph" w:customStyle="1" w:styleId="ESchgras">
    <w:name w:val="ES_ch_gras"/>
    <w:basedOn w:val="Normal"/>
    <w:qFormat/>
    <w:rsid w:val="00151656"/>
    <w:pPr>
      <w:spacing w:line="240" w:lineRule="atLeast"/>
      <w:ind w:left="567" w:hanging="567"/>
    </w:pPr>
    <w:rPr>
      <w:rFonts w:cs="Arial"/>
      <w:b/>
      <w:color w:val="000000"/>
      <w:szCs w:val="20"/>
    </w:rPr>
  </w:style>
  <w:style w:type="paragraph" w:customStyle="1" w:styleId="ESch">
    <w:name w:val="ES_ch"/>
    <w:basedOn w:val="Normal"/>
    <w:qFormat/>
    <w:rsid w:val="00AE4E9D"/>
    <w:pPr>
      <w:spacing w:line="240" w:lineRule="atLeast"/>
      <w:ind w:left="567" w:hanging="567"/>
    </w:pPr>
  </w:style>
  <w:style w:type="paragraph" w:customStyle="1" w:styleId="ESlet">
    <w:name w:val="ES_let"/>
    <w:basedOn w:val="Normal"/>
    <w:qFormat/>
    <w:rsid w:val="00511BF6"/>
    <w:pPr>
      <w:spacing w:before="60" w:line="240" w:lineRule="atLeast"/>
      <w:ind w:left="992"/>
    </w:pPr>
  </w:style>
  <w:style w:type="paragraph" w:customStyle="1" w:styleId="ESletpar">
    <w:name w:val="ES_let_par"/>
    <w:basedOn w:val="Normal"/>
    <w:qFormat/>
    <w:rsid w:val="009058C5"/>
    <w:pPr>
      <w:spacing w:before="60" w:line="240" w:lineRule="atLeast"/>
      <w:ind w:left="992" w:firstLine="0"/>
    </w:pPr>
  </w:style>
  <w:style w:type="paragraph" w:customStyle="1" w:styleId="ESchpar">
    <w:name w:val="ES_ch_par"/>
    <w:basedOn w:val="Normal"/>
    <w:qFormat/>
    <w:rsid w:val="00321E38"/>
    <w:pPr>
      <w:spacing w:line="240" w:lineRule="atLeast"/>
      <w:ind w:left="567" w:firstLine="0"/>
    </w:pPr>
  </w:style>
  <w:style w:type="paragraph" w:customStyle="1" w:styleId="ESgauche">
    <w:name w:val="ES_gauche"/>
    <w:basedOn w:val="Normal"/>
    <w:qFormat/>
    <w:rsid w:val="00111867"/>
    <w:pPr>
      <w:spacing w:line="240" w:lineRule="atLeast"/>
      <w:ind w:left="0" w:firstLine="0"/>
    </w:pPr>
    <w:rPr>
      <w:noProof/>
    </w:rPr>
  </w:style>
  <w:style w:type="paragraph" w:customStyle="1" w:styleId="ESletgauche">
    <w:name w:val="ES_let_gauche"/>
    <w:basedOn w:val="ESch"/>
    <w:qFormat/>
    <w:rsid w:val="001F173C"/>
    <w:pPr>
      <w:spacing w:before="60"/>
    </w:pPr>
  </w:style>
  <w:style w:type="paragraph" w:customStyle="1" w:styleId="ESletlong">
    <w:name w:val="ES_let_long"/>
    <w:basedOn w:val="ESlet"/>
    <w:qFormat/>
    <w:rsid w:val="00BD4F1D"/>
    <w:pPr>
      <w:spacing w:before="0"/>
    </w:pPr>
  </w:style>
  <w:style w:type="table" w:customStyle="1" w:styleId="Grilledutableau1">
    <w:name w:val="Grille du tableau1"/>
    <w:basedOn w:val="TableNormal"/>
    <w:next w:val="TableGrid"/>
    <w:uiPriority w:val="59"/>
    <w:rsid w:val="00973DAA"/>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Marker">
    <w:name w:val="CR Marker"/>
    <w:uiPriority w:val="99"/>
    <w:rsid w:val="00973DAA"/>
    <w:rPr>
      <w:rFonts w:ascii="Wingdings" w:hAnsi="Wingdings" w:cs="Wingdings"/>
    </w:rPr>
  </w:style>
  <w:style w:type="character" w:customStyle="1" w:styleId="CRRefNum">
    <w:name w:val="CR RefNum"/>
    <w:uiPriority w:val="99"/>
    <w:rsid w:val="00973DAA"/>
    <w:rPr>
      <w:vertAlign w:val="subscript"/>
    </w:rPr>
  </w:style>
  <w:style w:type="paragraph" w:customStyle="1" w:styleId="CRSeparator">
    <w:name w:val="CR Separator"/>
    <w:basedOn w:val="Normal"/>
    <w:next w:val="Normal"/>
    <w:uiPriority w:val="99"/>
    <w:rsid w:val="00973DAA"/>
    <w:pPr>
      <w:keepNext/>
      <w:pBdr>
        <w:top w:val="single" w:sz="4" w:space="1" w:color="auto"/>
      </w:pBdr>
      <w:ind w:left="0" w:firstLine="0"/>
    </w:pPr>
    <w:rPr>
      <w:rFonts w:ascii="Times New Roman" w:hAnsi="Times New Roman"/>
      <w:sz w:val="24"/>
    </w:rPr>
  </w:style>
  <w:style w:type="paragraph" w:customStyle="1" w:styleId="CM1">
    <w:name w:val="CM1"/>
    <w:basedOn w:val="Normal"/>
    <w:next w:val="Normal"/>
    <w:uiPriority w:val="99"/>
    <w:rsid w:val="00973DAA"/>
    <w:pPr>
      <w:adjustRightInd w:val="0"/>
      <w:ind w:left="0" w:firstLine="0"/>
      <w:jc w:val="left"/>
    </w:pPr>
    <w:rPr>
      <w:rFonts w:ascii="Times New Roman" w:eastAsia="Calibri" w:hAnsi="Times New Roman"/>
      <w:sz w:val="24"/>
    </w:rPr>
  </w:style>
  <w:style w:type="paragraph" w:customStyle="1" w:styleId="CM3">
    <w:name w:val="CM3"/>
    <w:basedOn w:val="Normal"/>
    <w:next w:val="Normal"/>
    <w:uiPriority w:val="99"/>
    <w:rsid w:val="00973DAA"/>
    <w:pPr>
      <w:adjustRightInd w:val="0"/>
      <w:ind w:left="0" w:firstLine="0"/>
      <w:jc w:val="left"/>
    </w:pPr>
    <w:rPr>
      <w:rFonts w:ascii="Times New Roman" w:eastAsia="Calibri" w:hAnsi="Times New Roman"/>
      <w:sz w:val="24"/>
    </w:rPr>
  </w:style>
  <w:style w:type="paragraph" w:customStyle="1" w:styleId="CM4">
    <w:name w:val="CM4"/>
    <w:basedOn w:val="Normal"/>
    <w:next w:val="Normal"/>
    <w:uiPriority w:val="99"/>
    <w:rsid w:val="00973DAA"/>
    <w:pPr>
      <w:adjustRightInd w:val="0"/>
      <w:ind w:left="0" w:firstLine="0"/>
      <w:jc w:val="left"/>
    </w:pPr>
    <w:rPr>
      <w:rFonts w:ascii="Times New Roman" w:eastAsia="Calibri" w:hAnsi="Times New Roman"/>
      <w:sz w:val="24"/>
    </w:rPr>
  </w:style>
  <w:style w:type="paragraph" w:customStyle="1" w:styleId="EStiretpar">
    <w:name w:val="ES_tiret_par"/>
    <w:basedOn w:val="EStiret"/>
    <w:qFormat/>
    <w:rsid w:val="00124738"/>
    <w:pPr>
      <w:ind w:left="1418" w:firstLine="0"/>
    </w:pPr>
  </w:style>
  <w:style w:type="paragraph" w:customStyle="1" w:styleId="Esletgauchepar">
    <w:name w:val="Es_let_gauche_par"/>
    <w:basedOn w:val="ESletgauche"/>
    <w:qFormat/>
    <w:rsid w:val="00BF049A"/>
    <w:pPr>
      <w:ind w:firstLine="0"/>
    </w:pPr>
  </w:style>
  <w:style w:type="paragraph" w:styleId="PlainText">
    <w:name w:val="Plain Text"/>
    <w:basedOn w:val="Normal"/>
    <w:link w:val="PlainTextChar"/>
    <w:unhideWhenUsed/>
    <w:rsid w:val="00E0050D"/>
    <w:pPr>
      <w:autoSpaceDE/>
      <w:autoSpaceDN/>
      <w:ind w:left="0" w:firstLine="0"/>
      <w:jc w:val="left"/>
    </w:pPr>
    <w:rPr>
      <w:rFonts w:ascii="Calibri" w:eastAsia="Calibri" w:hAnsi="Calibri"/>
      <w:sz w:val="22"/>
      <w:szCs w:val="21"/>
    </w:rPr>
  </w:style>
  <w:style w:type="character" w:customStyle="1" w:styleId="PlainTextChar">
    <w:name w:val="Plain Text Char"/>
    <w:link w:val="PlainText"/>
    <w:rsid w:val="00E0050D"/>
    <w:rPr>
      <w:rFonts w:eastAsia="Calibri"/>
      <w:sz w:val="22"/>
      <w:szCs w:val="21"/>
      <w:lang w:eastAsia="it-IT"/>
    </w:rPr>
  </w:style>
  <w:style w:type="paragraph" w:customStyle="1" w:styleId="ES-Titre3a">
    <w:name w:val="ES-Titre3a"/>
    <w:basedOn w:val="ES-Titre3"/>
    <w:qFormat/>
    <w:rsid w:val="001E2331"/>
    <w:rPr>
      <w:i/>
    </w:rPr>
  </w:style>
  <w:style w:type="paragraph" w:customStyle="1" w:styleId="Es-Titreannexes">
    <w:name w:val="Es-Titre_annexes"/>
    <w:basedOn w:val="Normal"/>
    <w:qFormat/>
    <w:rsid w:val="001E2331"/>
    <w:pPr>
      <w:spacing w:before="40" w:line="220" w:lineRule="atLeast"/>
      <w:jc w:val="center"/>
    </w:pPr>
    <w:rPr>
      <w:rFonts w:ascii="Arial Gras" w:hAnsi="Arial Gras" w:cs="Arial"/>
      <w:b/>
      <w:caps/>
      <w:color w:val="000000"/>
      <w:sz w:val="40"/>
    </w:rPr>
  </w:style>
  <w:style w:type="paragraph" w:customStyle="1" w:styleId="ESintro">
    <w:name w:val="ES_intro"/>
    <w:basedOn w:val="Normal"/>
    <w:qFormat/>
    <w:rsid w:val="001E2331"/>
    <w:pPr>
      <w:spacing w:line="240" w:lineRule="atLeast"/>
      <w:jc w:val="center"/>
    </w:pPr>
    <w:rPr>
      <w:b/>
      <w:caps/>
      <w:sz w:val="24"/>
    </w:rPr>
  </w:style>
  <w:style w:type="paragraph" w:customStyle="1" w:styleId="ESletgauche075">
    <w:name w:val="ES_let_gauche0_75"/>
    <w:basedOn w:val="ESletgauche"/>
    <w:qFormat/>
    <w:rsid w:val="001E2331"/>
    <w:pPr>
      <w:ind w:left="426" w:hanging="426"/>
    </w:pPr>
  </w:style>
  <w:style w:type="character" w:customStyle="1" w:styleId="msoins0">
    <w:name w:val="msoins0"/>
    <w:rsid w:val="001E2331"/>
  </w:style>
  <w:style w:type="paragraph" w:customStyle="1" w:styleId="BlockQuotation">
    <w:name w:val="Block Quotation"/>
    <w:basedOn w:val="Normal"/>
    <w:rsid w:val="001E2331"/>
    <w:pPr>
      <w:widowControl w:val="0"/>
      <w:tabs>
        <w:tab w:val="left" w:pos="1701"/>
        <w:tab w:val="left" w:pos="2694"/>
      </w:tabs>
      <w:autoSpaceDE/>
      <w:autoSpaceDN/>
      <w:ind w:left="284" w:right="-482" w:hanging="284"/>
      <w:jc w:val="left"/>
    </w:pPr>
    <w:rPr>
      <w:rFonts w:ascii="Times New Roman" w:hAnsi="Times New Roman"/>
      <w:b/>
      <w:bCs/>
      <w:i/>
      <w:iCs/>
      <w:snapToGrid w:val="0"/>
      <w:szCs w:val="20"/>
    </w:rPr>
  </w:style>
  <w:style w:type="paragraph" w:customStyle="1" w:styleId="ES-Titre3prchap32">
    <w:name w:val="ES-Titre3_pr_chap32"/>
    <w:basedOn w:val="ES-Titre3"/>
    <w:qFormat/>
    <w:rsid w:val="001E2331"/>
  </w:style>
  <w:style w:type="paragraph" w:styleId="NormalIndent">
    <w:name w:val="Normal Indent"/>
    <w:basedOn w:val="Normal"/>
    <w:rsid w:val="009C13A9"/>
    <w:pPr>
      <w:overflowPunct w:val="0"/>
      <w:adjustRightInd w:val="0"/>
      <w:spacing w:line="240" w:lineRule="exact"/>
      <w:ind w:left="708" w:firstLine="0"/>
      <w:textAlignment w:val="baseline"/>
    </w:pPr>
    <w:rPr>
      <w:rFonts w:ascii="Times New Roman" w:hAnsi="Times New Roman"/>
      <w:sz w:val="24"/>
    </w:rPr>
  </w:style>
  <w:style w:type="paragraph" w:customStyle="1" w:styleId="N4">
    <w:name w:val="N4"/>
    <w:basedOn w:val="Normal"/>
    <w:rsid w:val="009C13A9"/>
    <w:pPr>
      <w:tabs>
        <w:tab w:val="left" w:pos="284"/>
        <w:tab w:val="left" w:pos="454"/>
        <w:tab w:val="left" w:pos="680"/>
        <w:tab w:val="left" w:pos="1021"/>
      </w:tabs>
      <w:overflowPunct w:val="0"/>
      <w:adjustRightInd w:val="0"/>
      <w:ind w:left="0" w:firstLine="0"/>
      <w:textAlignment w:val="baseline"/>
    </w:pPr>
    <w:rPr>
      <w:rFonts w:ascii="Times New Roman" w:hAnsi="Times New Roman"/>
      <w:sz w:val="22"/>
      <w:szCs w:val="20"/>
    </w:rPr>
  </w:style>
  <w:style w:type="paragraph" w:customStyle="1" w:styleId="N2">
    <w:name w:val="N2"/>
    <w:basedOn w:val="Normal"/>
    <w:rsid w:val="009C13A9"/>
    <w:pPr>
      <w:tabs>
        <w:tab w:val="left" w:pos="-340"/>
        <w:tab w:val="left" w:pos="284"/>
        <w:tab w:val="left" w:pos="454"/>
        <w:tab w:val="left" w:pos="680"/>
        <w:tab w:val="left" w:pos="1418"/>
      </w:tabs>
      <w:overflowPunct w:val="0"/>
      <w:adjustRightInd w:val="0"/>
      <w:ind w:left="0" w:hanging="1134"/>
      <w:textAlignment w:val="baseline"/>
    </w:pPr>
    <w:rPr>
      <w:rFonts w:ascii="Times New Roman" w:hAnsi="Times New Roman"/>
      <w:sz w:val="22"/>
      <w:szCs w:val="20"/>
    </w:rPr>
  </w:style>
  <w:style w:type="paragraph" w:customStyle="1" w:styleId="N3">
    <w:name w:val="N3"/>
    <w:basedOn w:val="Normal"/>
    <w:rsid w:val="009C13A9"/>
    <w:pPr>
      <w:tabs>
        <w:tab w:val="left" w:pos="170"/>
      </w:tabs>
      <w:overflowPunct w:val="0"/>
      <w:adjustRightInd w:val="0"/>
      <w:spacing w:line="240" w:lineRule="exact"/>
      <w:ind w:left="0" w:firstLine="0"/>
      <w:jc w:val="left"/>
      <w:textAlignment w:val="baseline"/>
    </w:pPr>
    <w:rPr>
      <w:rFonts w:ascii="Times New Roman" w:hAnsi="Times New Roman"/>
      <w:sz w:val="22"/>
      <w:szCs w:val="20"/>
    </w:rPr>
  </w:style>
  <w:style w:type="character" w:customStyle="1" w:styleId="En-tteCar1">
    <w:name w:val="En-tête Car1"/>
    <w:aliases w:val="numéro de page Car"/>
    <w:rsid w:val="009C13A9"/>
    <w:rPr>
      <w:lang w:val="it-IT" w:eastAsia="it-IT" w:bidi="it-IT"/>
    </w:rPr>
  </w:style>
  <w:style w:type="character" w:styleId="Strong">
    <w:name w:val="Strong"/>
    <w:qFormat/>
    <w:rsid w:val="009C13A9"/>
    <w:rPr>
      <w:b/>
      <w:bCs/>
    </w:rPr>
  </w:style>
  <w:style w:type="paragraph" w:styleId="EndnoteText">
    <w:name w:val="endnote text"/>
    <w:basedOn w:val="Normal"/>
    <w:link w:val="EndnoteTextChar"/>
    <w:rsid w:val="009C13A9"/>
    <w:pPr>
      <w:autoSpaceDE/>
      <w:autoSpaceDN/>
      <w:ind w:left="0" w:firstLine="0"/>
    </w:pPr>
    <w:rPr>
      <w:snapToGrid w:val="0"/>
      <w:szCs w:val="20"/>
    </w:rPr>
  </w:style>
  <w:style w:type="character" w:customStyle="1" w:styleId="EndnoteTextChar">
    <w:name w:val="Endnote Text Char"/>
    <w:link w:val="EndnoteText"/>
    <w:rsid w:val="009C13A9"/>
    <w:rPr>
      <w:rFonts w:ascii="Arial" w:hAnsi="Arial"/>
      <w:snapToGrid w:val="0"/>
      <w:lang w:val="it-IT"/>
    </w:rPr>
  </w:style>
  <w:style w:type="paragraph" w:customStyle="1" w:styleId="Annex2Nummer">
    <w:name w:val="Annex2_Nummer"/>
    <w:basedOn w:val="Normal"/>
    <w:rsid w:val="009C13A9"/>
    <w:pPr>
      <w:tabs>
        <w:tab w:val="left" w:pos="425"/>
        <w:tab w:val="left" w:pos="851"/>
        <w:tab w:val="left" w:pos="1276"/>
        <w:tab w:val="left" w:pos="1701"/>
        <w:tab w:val="left" w:pos="2126"/>
      </w:tabs>
      <w:overflowPunct w:val="0"/>
      <w:adjustRightInd w:val="0"/>
      <w:spacing w:before="240"/>
      <w:textAlignment w:val="baseline"/>
    </w:pPr>
    <w:rPr>
      <w:rFonts w:ascii="Times New Roman" w:hAnsi="Times New Roman"/>
      <w:sz w:val="24"/>
    </w:rPr>
  </w:style>
  <w:style w:type="paragraph" w:customStyle="1" w:styleId="Normal0">
    <w:name w:val="[Normal]"/>
    <w:rsid w:val="009C13A9"/>
    <w:pPr>
      <w:autoSpaceDE w:val="0"/>
      <w:autoSpaceDN w:val="0"/>
      <w:adjustRightInd w:val="0"/>
    </w:pPr>
    <w:rPr>
      <w:rFonts w:ascii="Arial" w:hAnsi="Arial" w:cs="Arial"/>
      <w:snapToGrid w:val="0"/>
    </w:rPr>
  </w:style>
  <w:style w:type="paragraph" w:customStyle="1" w:styleId="Annex2Texteng">
    <w:name w:val="Annex2_Text_eng"/>
    <w:basedOn w:val="Annex2Nummer"/>
    <w:rsid w:val="009C13A9"/>
    <w:pPr>
      <w:tabs>
        <w:tab w:val="clear" w:pos="425"/>
        <w:tab w:val="clear" w:pos="851"/>
        <w:tab w:val="clear" w:pos="1276"/>
        <w:tab w:val="clear" w:pos="1701"/>
        <w:tab w:val="clear" w:pos="2126"/>
        <w:tab w:val="left" w:pos="454"/>
        <w:tab w:val="left" w:pos="907"/>
        <w:tab w:val="left" w:pos="1361"/>
        <w:tab w:val="left" w:pos="1814"/>
      </w:tabs>
      <w:spacing w:before="0"/>
    </w:pPr>
    <w:rPr>
      <w:snapToGrid w:val="0"/>
    </w:rPr>
  </w:style>
  <w:style w:type="paragraph" w:customStyle="1" w:styleId="Titres">
    <w:name w:val="Titres"/>
    <w:basedOn w:val="Normal"/>
    <w:rsid w:val="009C13A9"/>
    <w:pPr>
      <w:overflowPunct w:val="0"/>
      <w:adjustRightInd w:val="0"/>
      <w:spacing w:line="240" w:lineRule="exact"/>
      <w:ind w:left="0" w:firstLine="0"/>
      <w:jc w:val="center"/>
      <w:textAlignment w:val="baseline"/>
    </w:pPr>
    <w:rPr>
      <w:rFonts w:ascii="Times New Roman" w:hAnsi="Times New Roman"/>
      <w:snapToGrid w:val="0"/>
      <w:sz w:val="24"/>
      <w:szCs w:val="20"/>
    </w:rPr>
  </w:style>
  <w:style w:type="paragraph" w:customStyle="1" w:styleId="N7">
    <w:name w:val="N7"/>
    <w:basedOn w:val="Normal"/>
    <w:rsid w:val="009C13A9"/>
    <w:pPr>
      <w:tabs>
        <w:tab w:val="left" w:pos="284"/>
      </w:tabs>
      <w:overflowPunct w:val="0"/>
      <w:adjustRightInd w:val="0"/>
      <w:ind w:left="0" w:hanging="397"/>
      <w:textAlignment w:val="baseline"/>
    </w:pPr>
    <w:rPr>
      <w:rFonts w:ascii="Times New Roman" w:hAnsi="Times New Roman"/>
      <w:snapToGrid w:val="0"/>
      <w:sz w:val="22"/>
      <w:szCs w:val="20"/>
    </w:rPr>
  </w:style>
  <w:style w:type="table" w:customStyle="1" w:styleId="Grilledutableau11">
    <w:name w:val="Grille du tableau11"/>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_"/>
    <w:basedOn w:val="BodyTextIndent2"/>
    <w:rsid w:val="009C13A9"/>
    <w:pPr>
      <w:tabs>
        <w:tab w:val="left" w:pos="426"/>
      </w:tabs>
      <w:spacing w:after="0" w:line="240" w:lineRule="atLeast"/>
      <w:ind w:left="426" w:hanging="426"/>
      <w:jc w:val="both"/>
    </w:pPr>
    <w:rPr>
      <w:rFonts w:ascii="Arial" w:hAnsi="Arial" w:cs="Arial"/>
      <w:sz w:val="20"/>
      <w:szCs w:val="20"/>
    </w:rPr>
  </w:style>
  <w:style w:type="paragraph" w:styleId="BodyTextIndent2">
    <w:name w:val="Body Text Indent 2"/>
    <w:basedOn w:val="Normal"/>
    <w:link w:val="BodyTextIndent2Char"/>
    <w:rsid w:val="009C13A9"/>
    <w:pPr>
      <w:autoSpaceDE/>
      <w:autoSpaceDN/>
      <w:spacing w:after="120" w:line="480" w:lineRule="auto"/>
      <w:ind w:left="283" w:firstLine="0"/>
      <w:jc w:val="left"/>
    </w:pPr>
    <w:rPr>
      <w:rFonts w:ascii="Times New Roman" w:hAnsi="Times New Roman"/>
      <w:snapToGrid w:val="0"/>
      <w:sz w:val="24"/>
    </w:rPr>
  </w:style>
  <w:style w:type="character" w:customStyle="1" w:styleId="BodyTextIndent2Char">
    <w:name w:val="Body Text Indent 2 Char"/>
    <w:link w:val="BodyTextIndent2"/>
    <w:rsid w:val="009C13A9"/>
    <w:rPr>
      <w:rFonts w:ascii="Times New Roman" w:hAnsi="Times New Roman"/>
      <w:snapToGrid w:val="0"/>
      <w:sz w:val="24"/>
      <w:szCs w:val="24"/>
      <w:lang w:val="it-IT"/>
    </w:rPr>
  </w:style>
  <w:style w:type="paragraph" w:styleId="Title">
    <w:name w:val="Title"/>
    <w:basedOn w:val="Normal"/>
    <w:link w:val="TitleChar"/>
    <w:qFormat/>
    <w:rsid w:val="009C13A9"/>
    <w:pPr>
      <w:autoSpaceDE/>
      <w:autoSpaceDN/>
      <w:ind w:left="0" w:firstLine="0"/>
      <w:jc w:val="center"/>
    </w:pPr>
    <w:rPr>
      <w:b/>
      <w:bCs/>
      <w:snapToGrid w:val="0"/>
      <w:sz w:val="22"/>
      <w:szCs w:val="22"/>
    </w:rPr>
  </w:style>
  <w:style w:type="character" w:customStyle="1" w:styleId="TitleChar">
    <w:name w:val="Title Char"/>
    <w:link w:val="Title"/>
    <w:rsid w:val="009C13A9"/>
    <w:rPr>
      <w:rFonts w:ascii="Arial" w:hAnsi="Arial"/>
      <w:b/>
      <w:bCs/>
      <w:snapToGrid w:val="0"/>
      <w:sz w:val="22"/>
      <w:szCs w:val="22"/>
      <w:lang w:val="it-IT"/>
    </w:rPr>
  </w:style>
  <w:style w:type="paragraph" w:customStyle="1" w:styleId="bijschrift">
    <w:name w:val="bijschrift"/>
    <w:basedOn w:val="Normal"/>
    <w:rsid w:val="009C13A9"/>
    <w:pPr>
      <w:widowControl w:val="0"/>
      <w:overflowPunct w:val="0"/>
      <w:adjustRightInd w:val="0"/>
      <w:ind w:left="0" w:firstLine="0"/>
      <w:jc w:val="left"/>
      <w:textAlignment w:val="baseline"/>
    </w:pPr>
    <w:rPr>
      <w:rFonts w:ascii="Times New Roman" w:hAnsi="Times New Roman"/>
      <w:snapToGrid w:val="0"/>
      <w:sz w:val="24"/>
    </w:rPr>
  </w:style>
  <w:style w:type="paragraph" w:customStyle="1" w:styleId="TNRa0">
    <w:name w:val="TNRa"/>
    <w:basedOn w:val="TNR1"/>
    <w:rsid w:val="009C13A9"/>
    <w:pPr>
      <w:widowControl w:val="0"/>
      <w:tabs>
        <w:tab w:val="clear" w:pos="284"/>
        <w:tab w:val="clear" w:pos="454"/>
        <w:tab w:val="clear" w:pos="680"/>
        <w:tab w:val="clear" w:pos="907"/>
      </w:tabs>
      <w:ind w:left="284"/>
    </w:pPr>
    <w:rPr>
      <w:snapToGrid w:val="0"/>
      <w:szCs w:val="24"/>
    </w:rPr>
  </w:style>
  <w:style w:type="paragraph" w:customStyle="1" w:styleId="abstab">
    <w:name w:val="abstab"/>
    <w:basedOn w:val="Normal"/>
    <w:rsid w:val="009C13A9"/>
    <w:pPr>
      <w:overflowPunct w:val="0"/>
      <w:adjustRightInd w:val="0"/>
      <w:ind w:left="0" w:firstLine="0"/>
      <w:jc w:val="left"/>
      <w:textAlignment w:val="baseline"/>
    </w:pPr>
    <w:rPr>
      <w:rFonts w:ascii="CG Times" w:hAnsi="CG Times" w:cs="CG Times"/>
      <w:snapToGrid w:val="0"/>
      <w:sz w:val="16"/>
      <w:szCs w:val="16"/>
    </w:rPr>
  </w:style>
  <w:style w:type="character" w:customStyle="1" w:styleId="tw4winMark">
    <w:name w:val="tw4winMark"/>
    <w:rsid w:val="009C13A9"/>
    <w:rPr>
      <w:rFonts w:ascii="Courier New" w:hAnsi="Courier New" w:cs="Courier New"/>
      <w:vanish/>
      <w:color w:val="800080"/>
      <w:sz w:val="24"/>
      <w:szCs w:val="24"/>
      <w:vertAlign w:val="subscript"/>
    </w:rPr>
  </w:style>
  <w:style w:type="character" w:customStyle="1" w:styleId="tw4winError">
    <w:name w:val="tw4winError"/>
    <w:rsid w:val="009C13A9"/>
    <w:rPr>
      <w:rFonts w:ascii="Courier New" w:hAnsi="Courier New" w:cs="Courier New"/>
      <w:color w:val="00FF00"/>
      <w:sz w:val="40"/>
      <w:szCs w:val="40"/>
    </w:rPr>
  </w:style>
  <w:style w:type="character" w:customStyle="1" w:styleId="tw4winTerm">
    <w:name w:val="tw4winTerm"/>
    <w:rsid w:val="009C13A9"/>
    <w:rPr>
      <w:color w:val="0000FF"/>
    </w:rPr>
  </w:style>
  <w:style w:type="character" w:customStyle="1" w:styleId="tw4winPopup">
    <w:name w:val="tw4winPopup"/>
    <w:rsid w:val="009C13A9"/>
    <w:rPr>
      <w:rFonts w:ascii="Courier New" w:hAnsi="Courier New" w:cs="Courier New"/>
      <w:noProof/>
      <w:color w:val="008000"/>
    </w:rPr>
  </w:style>
  <w:style w:type="character" w:customStyle="1" w:styleId="tw4winJump">
    <w:name w:val="tw4winJump"/>
    <w:rsid w:val="009C13A9"/>
    <w:rPr>
      <w:rFonts w:ascii="Courier New" w:hAnsi="Courier New" w:cs="Courier New"/>
      <w:noProof/>
      <w:color w:val="008080"/>
    </w:rPr>
  </w:style>
  <w:style w:type="character" w:customStyle="1" w:styleId="tw4winExternal">
    <w:name w:val="tw4winExternal"/>
    <w:rsid w:val="009C13A9"/>
    <w:rPr>
      <w:rFonts w:ascii="Courier New" w:hAnsi="Courier New" w:cs="Courier New"/>
      <w:noProof/>
      <w:color w:val="808080"/>
    </w:rPr>
  </w:style>
  <w:style w:type="character" w:customStyle="1" w:styleId="tw4winInternal">
    <w:name w:val="tw4winInternal"/>
    <w:rsid w:val="009C13A9"/>
    <w:rPr>
      <w:rFonts w:ascii="Courier New" w:hAnsi="Courier New" w:cs="Courier New"/>
      <w:noProof/>
      <w:color w:val="FF0000"/>
    </w:rPr>
  </w:style>
  <w:style w:type="character" w:customStyle="1" w:styleId="DONOTTRANSLATE">
    <w:name w:val="DO_NOT_TRANSLATE"/>
    <w:rsid w:val="009C13A9"/>
    <w:rPr>
      <w:rFonts w:ascii="Courier New" w:hAnsi="Courier New" w:cs="Courier New"/>
      <w:noProof/>
      <w:color w:val="800000"/>
    </w:rPr>
  </w:style>
  <w:style w:type="paragraph" w:customStyle="1" w:styleId="Brieftext11">
    <w:name w:val="Brieftext_11"/>
    <w:basedOn w:val="Normal"/>
    <w:rsid w:val="009C13A9"/>
    <w:pPr>
      <w:widowControl w:val="0"/>
      <w:autoSpaceDE/>
      <w:autoSpaceDN/>
      <w:spacing w:line="360" w:lineRule="auto"/>
      <w:ind w:left="0" w:firstLine="0"/>
      <w:jc w:val="left"/>
    </w:pPr>
    <w:rPr>
      <w:rFonts w:ascii="Times New Roman" w:hAnsi="Times New Roman"/>
      <w:snapToGrid w:val="0"/>
      <w:sz w:val="24"/>
    </w:rPr>
  </w:style>
  <w:style w:type="paragraph" w:customStyle="1" w:styleId="Res1">
    <w:name w:val="Res_1"/>
    <w:basedOn w:val="Normal"/>
    <w:rsid w:val="009C13A9"/>
    <w:pPr>
      <w:overflowPunct w:val="0"/>
      <w:adjustRightInd w:val="0"/>
      <w:spacing w:line="240" w:lineRule="exact"/>
      <w:textAlignment w:val="baseline"/>
    </w:pPr>
    <w:rPr>
      <w:rFonts w:cs="Arial"/>
      <w:i/>
      <w:iCs/>
      <w:snapToGrid w:val="0"/>
      <w:sz w:val="22"/>
      <w:szCs w:val="22"/>
    </w:rPr>
  </w:style>
  <w:style w:type="paragraph" w:customStyle="1" w:styleId="Res1texttmnr">
    <w:name w:val="Res_1_text_tmnr"/>
    <w:basedOn w:val="Normal"/>
    <w:rsid w:val="009C13A9"/>
    <w:pPr>
      <w:tabs>
        <w:tab w:val="left" w:pos="851"/>
      </w:tabs>
      <w:overflowPunct w:val="0"/>
      <w:adjustRightInd w:val="0"/>
      <w:spacing w:line="240" w:lineRule="atLeast"/>
      <w:ind w:left="850"/>
      <w:textAlignment w:val="baseline"/>
    </w:pPr>
    <w:rPr>
      <w:rFonts w:ascii="Times New Roman" w:hAnsi="Times New Roman"/>
      <w:snapToGrid w:val="0"/>
      <w:sz w:val="24"/>
    </w:rPr>
  </w:style>
  <w:style w:type="paragraph" w:customStyle="1" w:styleId="Liege">
    <w:name w:val="Liege"/>
    <w:basedOn w:val="Res1texttmnr"/>
    <w:rsid w:val="009C13A9"/>
    <w:pPr>
      <w:ind w:left="1134" w:firstLine="0"/>
    </w:pPr>
  </w:style>
  <w:style w:type="paragraph" w:customStyle="1" w:styleId="10">
    <w:name w:val="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3">
    <w:name w:val="3"/>
    <w:rsid w:val="009C13A9"/>
    <w:pPr>
      <w:tabs>
        <w:tab w:val="left" w:pos="680"/>
      </w:tabs>
      <w:overflowPunct w:val="0"/>
      <w:autoSpaceDE w:val="0"/>
      <w:autoSpaceDN w:val="0"/>
      <w:adjustRightInd w:val="0"/>
      <w:spacing w:line="240" w:lineRule="exact"/>
      <w:ind w:left="680" w:hanging="680"/>
      <w:textAlignment w:val="baseline"/>
    </w:pPr>
    <w:rPr>
      <w:rFonts w:ascii="Times New Roman" w:hAnsi="Times New Roman"/>
      <w:sz w:val="24"/>
      <w:szCs w:val="24"/>
    </w:rPr>
  </w:style>
  <w:style w:type="paragraph" w:customStyle="1" w:styleId="4">
    <w:name w:val="4"/>
    <w:rsid w:val="009C13A9"/>
    <w:pPr>
      <w:tabs>
        <w:tab w:val="left" w:pos="907"/>
      </w:tabs>
      <w:overflowPunct w:val="0"/>
      <w:autoSpaceDE w:val="0"/>
      <w:autoSpaceDN w:val="0"/>
      <w:adjustRightInd w:val="0"/>
      <w:spacing w:line="240" w:lineRule="exact"/>
      <w:ind w:left="907" w:hanging="907"/>
      <w:textAlignment w:val="baseline"/>
    </w:pPr>
    <w:rPr>
      <w:rFonts w:ascii="Times New Roman" w:hAnsi="Times New Roman"/>
      <w:sz w:val="24"/>
      <w:szCs w:val="24"/>
    </w:rPr>
  </w:style>
  <w:style w:type="paragraph" w:customStyle="1" w:styleId="5">
    <w:name w:val="5"/>
    <w:rsid w:val="009C13A9"/>
    <w:pPr>
      <w:tabs>
        <w:tab w:val="left" w:pos="1134"/>
      </w:tabs>
      <w:overflowPunct w:val="0"/>
      <w:autoSpaceDE w:val="0"/>
      <w:autoSpaceDN w:val="0"/>
      <w:adjustRightInd w:val="0"/>
      <w:spacing w:line="240" w:lineRule="exact"/>
      <w:ind w:left="1134" w:hanging="1134"/>
      <w:textAlignment w:val="baseline"/>
    </w:pPr>
    <w:rPr>
      <w:rFonts w:ascii="Times New Roman" w:hAnsi="Times New Roman"/>
      <w:sz w:val="24"/>
      <w:szCs w:val="24"/>
    </w:rPr>
  </w:style>
  <w:style w:type="paragraph" w:customStyle="1" w:styleId="6">
    <w:name w:val="6"/>
    <w:rsid w:val="009C13A9"/>
    <w:pPr>
      <w:tabs>
        <w:tab w:val="left" w:pos="284"/>
      </w:tabs>
      <w:overflowPunct w:val="0"/>
      <w:autoSpaceDE w:val="0"/>
      <w:autoSpaceDN w:val="0"/>
      <w:adjustRightInd w:val="0"/>
      <w:spacing w:line="240" w:lineRule="exact"/>
      <w:ind w:left="284" w:hanging="284"/>
      <w:textAlignment w:val="baseline"/>
    </w:pPr>
    <w:rPr>
      <w:rFonts w:ascii="Times New Roman" w:hAnsi="Times New Roman"/>
      <w:sz w:val="24"/>
      <w:szCs w:val="24"/>
    </w:rPr>
  </w:style>
  <w:style w:type="paragraph" w:customStyle="1" w:styleId="7">
    <w:name w:val="7"/>
    <w:rsid w:val="009C13A9"/>
    <w:pPr>
      <w:tabs>
        <w:tab w:val="left" w:pos="454"/>
        <w:tab w:val="left" w:pos="907"/>
      </w:tabs>
      <w:overflowPunct w:val="0"/>
      <w:autoSpaceDE w:val="0"/>
      <w:autoSpaceDN w:val="0"/>
      <w:adjustRightInd w:val="0"/>
      <w:spacing w:line="240" w:lineRule="exact"/>
      <w:ind w:left="907" w:hanging="454"/>
      <w:textAlignment w:val="baseline"/>
    </w:pPr>
    <w:rPr>
      <w:rFonts w:ascii="Times New Roman" w:hAnsi="Times New Roman"/>
      <w:sz w:val="24"/>
      <w:szCs w:val="24"/>
    </w:rPr>
  </w:style>
  <w:style w:type="paragraph" w:customStyle="1" w:styleId="8">
    <w:name w:val="8"/>
    <w:rsid w:val="009C13A9"/>
    <w:pPr>
      <w:tabs>
        <w:tab w:val="left" w:pos="907"/>
        <w:tab w:val="left" w:pos="1361"/>
      </w:tabs>
      <w:overflowPunct w:val="0"/>
      <w:autoSpaceDE w:val="0"/>
      <w:autoSpaceDN w:val="0"/>
      <w:adjustRightInd w:val="0"/>
      <w:spacing w:line="240" w:lineRule="exact"/>
      <w:ind w:left="1361" w:hanging="454"/>
      <w:textAlignment w:val="baseline"/>
    </w:pPr>
    <w:rPr>
      <w:rFonts w:ascii="Times New Roman" w:hAnsi="Times New Roman"/>
      <w:sz w:val="24"/>
      <w:szCs w:val="24"/>
    </w:rPr>
  </w:style>
  <w:style w:type="paragraph" w:customStyle="1" w:styleId="Paragraphe11">
    <w:name w:val="Paragraphe 1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Paragraphe12">
    <w:name w:val="Paragraphe 12"/>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I1">
    <w:name w:val="I1"/>
    <w:rsid w:val="009C13A9"/>
    <w:pPr>
      <w:tabs>
        <w:tab w:val="left" w:pos="57"/>
        <w:tab w:val="left" w:pos="1077"/>
      </w:tabs>
      <w:overflowPunct w:val="0"/>
      <w:autoSpaceDE w:val="0"/>
      <w:autoSpaceDN w:val="0"/>
      <w:adjustRightInd w:val="0"/>
      <w:spacing w:line="240" w:lineRule="exact"/>
      <w:ind w:left="1077" w:hanging="340"/>
      <w:textAlignment w:val="baseline"/>
    </w:pPr>
    <w:rPr>
      <w:rFonts w:ascii="Times New Roman" w:hAnsi="Times New Roman"/>
      <w:sz w:val="24"/>
      <w:szCs w:val="24"/>
    </w:rPr>
  </w:style>
  <w:style w:type="paragraph" w:customStyle="1" w:styleId="I2">
    <w:name w:val="I2"/>
    <w:rsid w:val="009C13A9"/>
    <w:pPr>
      <w:tabs>
        <w:tab w:val="left" w:pos="1077"/>
      </w:tabs>
      <w:overflowPunct w:val="0"/>
      <w:autoSpaceDE w:val="0"/>
      <w:autoSpaceDN w:val="0"/>
      <w:adjustRightInd w:val="0"/>
      <w:spacing w:line="240" w:lineRule="exact"/>
      <w:ind w:left="1077" w:hanging="454"/>
      <w:textAlignment w:val="baseline"/>
    </w:pPr>
    <w:rPr>
      <w:rFonts w:ascii="Times New Roman" w:hAnsi="Times New Roman"/>
      <w:sz w:val="24"/>
      <w:szCs w:val="24"/>
    </w:rPr>
  </w:style>
  <w:style w:type="paragraph" w:customStyle="1" w:styleId="I3">
    <w:name w:val="I3"/>
    <w:rsid w:val="009C13A9"/>
    <w:pPr>
      <w:tabs>
        <w:tab w:val="left" w:pos="1077"/>
      </w:tabs>
      <w:overflowPunct w:val="0"/>
      <w:autoSpaceDE w:val="0"/>
      <w:autoSpaceDN w:val="0"/>
      <w:adjustRightInd w:val="0"/>
      <w:spacing w:line="240" w:lineRule="exact"/>
      <w:ind w:left="1077" w:hanging="510"/>
      <w:textAlignment w:val="baseline"/>
    </w:pPr>
    <w:rPr>
      <w:rFonts w:ascii="Times New Roman" w:hAnsi="Times New Roman"/>
      <w:sz w:val="24"/>
      <w:szCs w:val="24"/>
    </w:rPr>
  </w:style>
  <w:style w:type="paragraph" w:customStyle="1" w:styleId="GT">
    <w:name w:val="GT"/>
    <w:rsid w:val="009C13A9"/>
    <w:pPr>
      <w:tabs>
        <w:tab w:val="left" w:pos="1344"/>
      </w:tabs>
      <w:overflowPunct w:val="0"/>
      <w:autoSpaceDE w:val="0"/>
      <w:autoSpaceDN w:val="0"/>
      <w:adjustRightInd w:val="0"/>
      <w:spacing w:line="240" w:lineRule="exact"/>
      <w:ind w:left="1344" w:hanging="1344"/>
      <w:textAlignment w:val="baseline"/>
    </w:pPr>
    <w:rPr>
      <w:rFonts w:ascii="Times New Roman" w:hAnsi="Times New Roman"/>
      <w:sz w:val="24"/>
      <w:szCs w:val="24"/>
    </w:rPr>
  </w:style>
  <w:style w:type="paragraph" w:customStyle="1" w:styleId="GF">
    <w:name w:val="GF"/>
    <w:rsid w:val="009C13A9"/>
    <w:pPr>
      <w:tabs>
        <w:tab w:val="left" w:pos="1824"/>
      </w:tabs>
      <w:overflowPunct w:val="0"/>
      <w:autoSpaceDE w:val="0"/>
      <w:autoSpaceDN w:val="0"/>
      <w:adjustRightInd w:val="0"/>
      <w:spacing w:line="240" w:lineRule="exact"/>
      <w:ind w:left="1826" w:hanging="1826"/>
      <w:jc w:val="both"/>
      <w:textAlignment w:val="baseline"/>
    </w:pPr>
    <w:rPr>
      <w:rFonts w:ascii="Times New Roman" w:hAnsi="Times New Roman"/>
      <w:sz w:val="24"/>
      <w:szCs w:val="24"/>
    </w:rPr>
  </w:style>
  <w:style w:type="paragraph" w:customStyle="1" w:styleId="Paragraphe19">
    <w:name w:val="Paragraphe 19"/>
    <w:rsid w:val="009C13A9"/>
    <w:pPr>
      <w:tabs>
        <w:tab w:val="left" w:pos="1344"/>
        <w:tab w:val="left" w:pos="1632"/>
      </w:tabs>
      <w:overflowPunct w:val="0"/>
      <w:autoSpaceDE w:val="0"/>
      <w:autoSpaceDN w:val="0"/>
      <w:adjustRightInd w:val="0"/>
      <w:spacing w:line="300" w:lineRule="exact"/>
      <w:ind w:left="1344" w:right="38" w:hanging="576"/>
      <w:jc w:val="both"/>
      <w:textAlignment w:val="baseline"/>
    </w:pPr>
    <w:rPr>
      <w:rFonts w:ascii="Times New Roman" w:hAnsi="Times New Roman"/>
      <w:sz w:val="24"/>
      <w:szCs w:val="24"/>
    </w:rPr>
  </w:style>
  <w:style w:type="paragraph" w:customStyle="1" w:styleId="TNR7">
    <w:name w:val="TNR7"/>
    <w:basedOn w:val="TNR1"/>
    <w:rsid w:val="009C13A9"/>
    <w:pPr>
      <w:tabs>
        <w:tab w:val="clear" w:pos="907"/>
        <w:tab w:val="left" w:pos="-284"/>
        <w:tab w:val="left" w:pos="1021"/>
      </w:tabs>
      <w:spacing w:line="240" w:lineRule="exact"/>
      <w:ind w:hanging="397"/>
    </w:pPr>
    <w:rPr>
      <w:szCs w:val="24"/>
    </w:rPr>
  </w:style>
  <w:style w:type="paragraph" w:customStyle="1" w:styleId="a">
    <w:name w:val="a_"/>
    <w:basedOn w:val="BodyTextIndent2"/>
    <w:rsid w:val="009C13A9"/>
    <w:pPr>
      <w:tabs>
        <w:tab w:val="left" w:pos="426"/>
        <w:tab w:val="left" w:pos="709"/>
      </w:tabs>
      <w:spacing w:after="0" w:line="240" w:lineRule="atLeast"/>
      <w:ind w:left="709" w:hanging="709"/>
      <w:jc w:val="both"/>
    </w:pPr>
    <w:rPr>
      <w:rFonts w:ascii="Arial" w:hAnsi="Arial" w:cs="Arial"/>
      <w:snapToGrid/>
      <w:sz w:val="20"/>
      <w:szCs w:val="20"/>
    </w:rPr>
  </w:style>
  <w:style w:type="paragraph" w:styleId="ListBullet">
    <w:name w:val="List Bullet"/>
    <w:basedOn w:val="Normal"/>
    <w:autoRedefine/>
    <w:rsid w:val="009C13A9"/>
    <w:pPr>
      <w:widowControl w:val="0"/>
      <w:tabs>
        <w:tab w:val="left" w:pos="851"/>
      </w:tabs>
      <w:autoSpaceDE/>
      <w:autoSpaceDN/>
      <w:spacing w:before="40"/>
      <w:ind w:left="850"/>
    </w:pPr>
    <w:rPr>
      <w:rFonts w:cs="Arial"/>
      <w:szCs w:val="20"/>
    </w:rPr>
  </w:style>
  <w:style w:type="paragraph" w:customStyle="1" w:styleId="en-ttes">
    <w:name w:val="en-têtes"/>
    <w:basedOn w:val="Header"/>
    <w:rsid w:val="009C13A9"/>
    <w:pPr>
      <w:tabs>
        <w:tab w:val="clear" w:pos="8306"/>
        <w:tab w:val="right" w:pos="851"/>
        <w:tab w:val="center" w:pos="4252"/>
        <w:tab w:val="right" w:pos="8504"/>
      </w:tabs>
      <w:overflowPunct w:val="0"/>
      <w:adjustRightInd w:val="0"/>
      <w:ind w:left="0" w:hanging="397"/>
      <w:jc w:val="center"/>
      <w:textAlignment w:val="baseline"/>
    </w:pPr>
    <w:rPr>
      <w:rFonts w:ascii="Times New Roman" w:hAnsi="Times New Roman"/>
      <w:sz w:val="22"/>
      <w:szCs w:val="22"/>
    </w:rPr>
  </w:style>
  <w:style w:type="paragraph" w:customStyle="1" w:styleId="N5">
    <w:name w:val="N5"/>
    <w:basedOn w:val="Normal"/>
    <w:rsid w:val="009C13A9"/>
    <w:pPr>
      <w:tabs>
        <w:tab w:val="left" w:pos="284"/>
      </w:tabs>
      <w:overflowPunct w:val="0"/>
      <w:adjustRightInd w:val="0"/>
      <w:ind w:left="0" w:firstLine="0"/>
      <w:jc w:val="left"/>
      <w:textAlignment w:val="baseline"/>
    </w:pPr>
    <w:rPr>
      <w:rFonts w:ascii="Times New Roman" w:hAnsi="Times New Roman"/>
      <w:sz w:val="22"/>
      <w:szCs w:val="22"/>
    </w:rPr>
  </w:style>
  <w:style w:type="paragraph" w:customStyle="1" w:styleId="N6">
    <w:name w:val="N6"/>
    <w:basedOn w:val="N5"/>
    <w:rsid w:val="009C13A9"/>
    <w:pPr>
      <w:tabs>
        <w:tab w:val="left" w:pos="794"/>
        <w:tab w:val="left" w:pos="1191"/>
        <w:tab w:val="left" w:leader="dot" w:pos="7371"/>
      </w:tabs>
    </w:pPr>
  </w:style>
  <w:style w:type="paragraph" w:customStyle="1" w:styleId="N8">
    <w:name w:val="N8"/>
    <w:basedOn w:val="N7"/>
    <w:rsid w:val="009C13A9"/>
    <w:pPr>
      <w:ind w:firstLine="0"/>
      <w:jc w:val="center"/>
    </w:pPr>
    <w:rPr>
      <w:snapToGrid/>
      <w:sz w:val="20"/>
    </w:rPr>
  </w:style>
  <w:style w:type="paragraph" w:customStyle="1" w:styleId="T1">
    <w:name w:val="T1"/>
    <w:basedOn w:val="Normal"/>
    <w:rsid w:val="009C13A9"/>
    <w:pPr>
      <w:tabs>
        <w:tab w:val="left" w:pos="425"/>
      </w:tabs>
      <w:overflowPunct w:val="0"/>
      <w:adjustRightInd w:val="0"/>
      <w:spacing w:line="240" w:lineRule="atLeast"/>
      <w:textAlignment w:val="baseline"/>
    </w:pPr>
    <w:rPr>
      <w:rFonts w:ascii="Times New Roman" w:hAnsi="Times New Roman"/>
      <w:sz w:val="24"/>
    </w:rPr>
  </w:style>
  <w:style w:type="paragraph" w:customStyle="1" w:styleId="Style1">
    <w:name w:val="Style1"/>
    <w:basedOn w:val="T1"/>
    <w:rsid w:val="009C13A9"/>
    <w:pPr>
      <w:tabs>
        <w:tab w:val="left" w:pos="851"/>
      </w:tabs>
      <w:spacing w:before="80"/>
      <w:ind w:left="850"/>
    </w:pPr>
  </w:style>
  <w:style w:type="paragraph" w:customStyle="1" w:styleId="T1a">
    <w:name w:val="T1a"/>
    <w:basedOn w:val="T1"/>
    <w:next w:val="Style1"/>
    <w:rsid w:val="009C13A9"/>
    <w:pPr>
      <w:tabs>
        <w:tab w:val="left" w:pos="851"/>
      </w:tabs>
      <w:spacing w:before="80"/>
      <w:ind w:left="850"/>
    </w:pPr>
  </w:style>
  <w:style w:type="paragraph" w:customStyle="1" w:styleId="To">
    <w:name w:val="To"/>
    <w:basedOn w:val="Normal"/>
    <w:rsid w:val="009C13A9"/>
    <w:pPr>
      <w:overflowPunct w:val="0"/>
      <w:adjustRightInd w:val="0"/>
      <w:spacing w:line="240" w:lineRule="atLeast"/>
      <w:ind w:left="0" w:firstLine="0"/>
      <w:textAlignment w:val="baseline"/>
    </w:pPr>
    <w:rPr>
      <w:rFonts w:ascii="Times New Roman" w:hAnsi="Times New Roman"/>
      <w:sz w:val="24"/>
    </w:rPr>
  </w:style>
  <w:style w:type="paragraph" w:styleId="BlockText">
    <w:name w:val="Block Text"/>
    <w:basedOn w:val="Normal"/>
    <w:rsid w:val="009C13A9"/>
    <w:pPr>
      <w:pBdr>
        <w:top w:val="double" w:sz="6" w:space="3" w:color="auto"/>
        <w:left w:val="double" w:sz="6" w:space="3" w:color="auto"/>
        <w:bottom w:val="double" w:sz="6" w:space="3" w:color="auto"/>
        <w:right w:val="double" w:sz="6" w:space="3" w:color="auto"/>
      </w:pBdr>
      <w:shd w:val="pct10" w:color="auto" w:fill="auto"/>
      <w:overflowPunct w:val="0"/>
      <w:adjustRightInd w:val="0"/>
      <w:ind w:left="2410" w:right="2125" w:firstLine="0"/>
      <w:jc w:val="center"/>
    </w:pPr>
    <w:rPr>
      <w:rFonts w:cs="Arial"/>
      <w:b/>
      <w:bCs/>
      <w:sz w:val="22"/>
      <w:szCs w:val="22"/>
    </w:rPr>
  </w:style>
  <w:style w:type="paragraph" w:customStyle="1" w:styleId="c1">
    <w:name w:val="c1"/>
    <w:basedOn w:val="Normal"/>
    <w:rsid w:val="009C13A9"/>
    <w:pPr>
      <w:autoSpaceDE/>
      <w:autoSpaceDN/>
      <w:spacing w:line="240" w:lineRule="atLeast"/>
      <w:ind w:left="0" w:firstLine="0"/>
      <w:jc w:val="center"/>
    </w:pPr>
    <w:rPr>
      <w:rFonts w:ascii="Times New Roman" w:hAnsi="Times New Roman"/>
      <w:sz w:val="24"/>
    </w:rPr>
  </w:style>
  <w:style w:type="paragraph" w:customStyle="1" w:styleId="Brieftext10">
    <w:name w:val="Brieftext_10"/>
    <w:basedOn w:val="Normal"/>
    <w:rsid w:val="009C13A9"/>
    <w:pPr>
      <w:widowControl w:val="0"/>
      <w:suppressAutoHyphens/>
      <w:autoSpaceDE/>
      <w:autoSpaceDN/>
      <w:spacing w:line="360" w:lineRule="auto"/>
      <w:ind w:left="0" w:firstLine="0"/>
      <w:jc w:val="left"/>
    </w:pPr>
    <w:rPr>
      <w:rFonts w:ascii="Times New Roman" w:hAnsi="Times New Roman"/>
      <w:szCs w:val="20"/>
    </w:rPr>
  </w:style>
  <w:style w:type="paragraph" w:customStyle="1" w:styleId="Retraitcorpsdetexte21">
    <w:name w:val="Retrait corps de texte 21"/>
    <w:basedOn w:val="Normal"/>
    <w:rsid w:val="009C13A9"/>
    <w:pPr>
      <w:tabs>
        <w:tab w:val="left" w:pos="1418"/>
      </w:tabs>
      <w:suppressAutoHyphens/>
      <w:autoSpaceDE/>
      <w:autoSpaceDN/>
      <w:spacing w:before="120"/>
      <w:ind w:left="1418" w:hanging="1418"/>
    </w:pPr>
    <w:rPr>
      <w:rFonts w:ascii="Times New Roman" w:hAnsi="Times New Roman"/>
      <w:snapToGrid w:val="0"/>
      <w:szCs w:val="20"/>
    </w:rPr>
  </w:style>
  <w:style w:type="paragraph" w:customStyle="1" w:styleId="N10">
    <w:name w:val="N10"/>
    <w:basedOn w:val="Normal"/>
    <w:rsid w:val="009C13A9"/>
    <w:pPr>
      <w:tabs>
        <w:tab w:val="left" w:pos="284"/>
        <w:tab w:val="left" w:pos="567"/>
        <w:tab w:val="left" w:pos="680"/>
        <w:tab w:val="left" w:pos="1021"/>
      </w:tabs>
      <w:overflowPunct w:val="0"/>
      <w:adjustRightInd w:val="0"/>
      <w:ind w:left="568" w:hanging="284"/>
      <w:textAlignment w:val="baseline"/>
    </w:pPr>
    <w:rPr>
      <w:rFonts w:ascii="Tms Rmn" w:hAnsi="Tms Rmn" w:cs="Tms Rmn"/>
      <w:snapToGrid w:val="0"/>
      <w:sz w:val="22"/>
      <w:szCs w:val="22"/>
    </w:rPr>
  </w:style>
  <w:style w:type="paragraph" w:customStyle="1" w:styleId="titr1">
    <w:name w:val="titr1"/>
    <w:basedOn w:val="BodyTextIndent"/>
    <w:rsid w:val="009C13A9"/>
    <w:pPr>
      <w:tabs>
        <w:tab w:val="left" w:pos="425"/>
      </w:tabs>
      <w:autoSpaceDE/>
      <w:autoSpaceDN/>
      <w:spacing w:after="0" w:line="240" w:lineRule="atLeast"/>
      <w:ind w:left="425"/>
      <w:outlineLvl w:val="0"/>
    </w:pPr>
    <w:rPr>
      <w:rFonts w:cs="Arial"/>
      <w:b/>
      <w:bCs/>
      <w:snapToGrid w:val="0"/>
      <w:sz w:val="22"/>
      <w:szCs w:val="22"/>
    </w:rPr>
  </w:style>
  <w:style w:type="paragraph" w:customStyle="1" w:styleId="Titra">
    <w:name w:val="Titr_a"/>
    <w:basedOn w:val="BodyTextIndent"/>
    <w:rsid w:val="009C13A9"/>
    <w:pPr>
      <w:tabs>
        <w:tab w:val="left" w:pos="851"/>
      </w:tabs>
      <w:autoSpaceDE/>
      <w:autoSpaceDN/>
      <w:spacing w:after="0" w:line="240" w:lineRule="atLeast"/>
      <w:ind w:left="850"/>
      <w:outlineLvl w:val="0"/>
    </w:pPr>
    <w:rPr>
      <w:rFonts w:cs="Arial"/>
      <w:snapToGrid w:val="0"/>
      <w:szCs w:val="20"/>
    </w:rPr>
  </w:style>
  <w:style w:type="paragraph" w:customStyle="1" w:styleId="Titrtiret">
    <w:name w:val="Titr_tiret"/>
    <w:basedOn w:val="BodyTextIndent"/>
    <w:rsid w:val="009C13A9"/>
    <w:pPr>
      <w:tabs>
        <w:tab w:val="left" w:pos="1276"/>
      </w:tabs>
      <w:autoSpaceDE/>
      <w:autoSpaceDN/>
      <w:spacing w:before="80" w:after="0" w:line="240" w:lineRule="atLeast"/>
      <w:ind w:left="1276"/>
    </w:pPr>
    <w:rPr>
      <w:rFonts w:cs="Arial"/>
      <w:snapToGrid w:val="0"/>
      <w:szCs w:val="20"/>
    </w:rPr>
  </w:style>
  <w:style w:type="paragraph" w:customStyle="1" w:styleId="Taa">
    <w:name w:val="Taa"/>
    <w:basedOn w:val="Normal"/>
    <w:rsid w:val="009C13A9"/>
    <w:pPr>
      <w:tabs>
        <w:tab w:val="left" w:pos="1276"/>
      </w:tabs>
      <w:overflowPunct w:val="0"/>
      <w:adjustRightInd w:val="0"/>
      <w:spacing w:line="240" w:lineRule="exact"/>
      <w:ind w:left="1276"/>
      <w:textAlignment w:val="baseline"/>
    </w:pPr>
    <w:rPr>
      <w:rFonts w:ascii="Times New Roman" w:hAnsi="Times New Roman"/>
      <w:sz w:val="24"/>
    </w:rPr>
  </w:style>
  <w:style w:type="paragraph" w:customStyle="1" w:styleId="Ta">
    <w:name w:val="Ta"/>
    <w:basedOn w:val="Normal"/>
    <w:rsid w:val="009C13A9"/>
    <w:pPr>
      <w:tabs>
        <w:tab w:val="left" w:pos="851"/>
      </w:tabs>
      <w:autoSpaceDE/>
      <w:autoSpaceDN/>
      <w:spacing w:line="240" w:lineRule="atLeast"/>
      <w:ind w:left="850"/>
      <w:jc w:val="left"/>
    </w:pPr>
    <w:rPr>
      <w:rFonts w:cs="Arial"/>
      <w:i/>
      <w:iCs/>
      <w:sz w:val="22"/>
      <w:szCs w:val="22"/>
    </w:rPr>
  </w:style>
  <w:style w:type="paragraph" w:customStyle="1" w:styleId="Annex2Artikel">
    <w:name w:val="Annex2_Artikel"/>
    <w:basedOn w:val="Normal"/>
    <w:rsid w:val="009C13A9"/>
    <w:pPr>
      <w:widowControl w:val="0"/>
      <w:tabs>
        <w:tab w:val="left" w:pos="454"/>
        <w:tab w:val="left" w:pos="907"/>
        <w:tab w:val="left" w:pos="1361"/>
        <w:tab w:val="left" w:pos="1814"/>
      </w:tabs>
      <w:overflowPunct w:val="0"/>
      <w:adjustRightInd w:val="0"/>
      <w:spacing w:before="480" w:line="240" w:lineRule="exact"/>
      <w:ind w:left="0" w:firstLine="0"/>
      <w:jc w:val="center"/>
      <w:textAlignment w:val="baseline"/>
    </w:pPr>
    <w:rPr>
      <w:rFonts w:ascii="Times New Roman" w:hAnsi="Times New Roman"/>
      <w:b/>
      <w:bCs/>
      <w:sz w:val="24"/>
    </w:rPr>
  </w:style>
  <w:style w:type="paragraph" w:customStyle="1" w:styleId="Annex2Artikelberschrift">
    <w:name w:val="Annex2_Artikel_Überschrift"/>
    <w:basedOn w:val="Normal"/>
    <w:rsid w:val="009C13A9"/>
    <w:pPr>
      <w:widowControl w:val="0"/>
      <w:tabs>
        <w:tab w:val="left" w:pos="454"/>
        <w:tab w:val="left" w:pos="907"/>
        <w:tab w:val="left" w:pos="1361"/>
        <w:tab w:val="left" w:pos="1814"/>
      </w:tabs>
      <w:overflowPunct w:val="0"/>
      <w:adjustRightInd w:val="0"/>
      <w:spacing w:before="240" w:line="240" w:lineRule="exact"/>
      <w:ind w:left="0" w:firstLine="0"/>
      <w:jc w:val="center"/>
      <w:textAlignment w:val="baseline"/>
    </w:pPr>
    <w:rPr>
      <w:rFonts w:ascii="Times New Roman" w:hAnsi="Times New Roman"/>
      <w:i/>
      <w:iCs/>
      <w:sz w:val="24"/>
    </w:rPr>
  </w:style>
  <w:style w:type="paragraph" w:customStyle="1" w:styleId="T1fr">
    <w:name w:val="T1fr"/>
    <w:basedOn w:val="T1"/>
    <w:rsid w:val="009C13A9"/>
    <w:pPr>
      <w:tabs>
        <w:tab w:val="clear" w:pos="425"/>
        <w:tab w:val="left" w:pos="851"/>
      </w:tabs>
      <w:overflowPunct/>
      <w:autoSpaceDE/>
      <w:autoSpaceDN/>
      <w:adjustRightInd/>
      <w:ind w:left="850"/>
      <w:textAlignment w:val="auto"/>
    </w:pPr>
  </w:style>
  <w:style w:type="paragraph" w:customStyle="1" w:styleId="Tafr">
    <w:name w:val="Ta_fr"/>
    <w:basedOn w:val="T1"/>
    <w:rsid w:val="009C13A9"/>
    <w:pPr>
      <w:tabs>
        <w:tab w:val="clear" w:pos="425"/>
        <w:tab w:val="left" w:pos="851"/>
      </w:tabs>
      <w:overflowPunct/>
      <w:autoSpaceDE/>
      <w:autoSpaceDN/>
      <w:adjustRightInd/>
      <w:spacing w:before="60"/>
      <w:ind w:left="1276"/>
      <w:textAlignment w:val="auto"/>
    </w:pPr>
  </w:style>
  <w:style w:type="paragraph" w:customStyle="1" w:styleId="T1n">
    <w:name w:val="T1n"/>
    <w:basedOn w:val="T1"/>
    <w:rsid w:val="009C13A9"/>
    <w:pPr>
      <w:tabs>
        <w:tab w:val="clear" w:pos="425"/>
        <w:tab w:val="left" w:pos="851"/>
      </w:tabs>
      <w:ind w:left="850"/>
    </w:pPr>
  </w:style>
  <w:style w:type="paragraph" w:customStyle="1" w:styleId="T1gr">
    <w:name w:val="T_1gr"/>
    <w:basedOn w:val="Normal"/>
    <w:rsid w:val="009C13A9"/>
    <w:pPr>
      <w:tabs>
        <w:tab w:val="left" w:pos="567"/>
      </w:tabs>
      <w:autoSpaceDE/>
      <w:autoSpaceDN/>
      <w:spacing w:line="240" w:lineRule="atLeast"/>
      <w:ind w:left="567" w:hanging="567"/>
    </w:pPr>
    <w:rPr>
      <w:rFonts w:cs="Arial"/>
      <w:b/>
      <w:bCs/>
      <w:snapToGrid w:val="0"/>
      <w:szCs w:val="20"/>
    </w:rPr>
  </w:style>
  <w:style w:type="paragraph" w:customStyle="1" w:styleId="T1rent">
    <w:name w:val="T_1rent"/>
    <w:basedOn w:val="Normal"/>
    <w:rsid w:val="009C13A9"/>
    <w:pPr>
      <w:autoSpaceDE/>
      <w:autoSpaceDN/>
      <w:spacing w:line="240" w:lineRule="atLeast"/>
      <w:ind w:left="567" w:firstLine="0"/>
    </w:pPr>
    <w:rPr>
      <w:rFonts w:cs="Arial"/>
      <w:snapToGrid w:val="0"/>
      <w:szCs w:val="20"/>
    </w:rPr>
  </w:style>
  <w:style w:type="paragraph" w:customStyle="1" w:styleId="textetableau">
    <w:name w:val="texte tableau"/>
    <w:basedOn w:val="Normal"/>
    <w:rsid w:val="009C13A9"/>
    <w:pPr>
      <w:tabs>
        <w:tab w:val="left" w:pos="1418"/>
      </w:tabs>
      <w:autoSpaceDE/>
      <w:autoSpaceDN/>
      <w:spacing w:before="40" w:after="40" w:line="220" w:lineRule="exact"/>
      <w:ind w:left="0" w:firstLine="0"/>
    </w:pPr>
    <w:rPr>
      <w:bCs/>
      <w:iCs/>
      <w:szCs w:val="20"/>
    </w:rPr>
  </w:style>
  <w:style w:type="paragraph" w:customStyle="1" w:styleId="Lignedobjet">
    <w:name w:val="Ligne d'objet"/>
    <w:basedOn w:val="Normal"/>
    <w:rsid w:val="009C13A9"/>
    <w:pPr>
      <w:tabs>
        <w:tab w:val="left" w:pos="284"/>
      </w:tabs>
      <w:overflowPunct w:val="0"/>
      <w:adjustRightInd w:val="0"/>
      <w:ind w:left="0" w:firstLine="0"/>
      <w:textAlignment w:val="baseline"/>
    </w:pPr>
    <w:rPr>
      <w:szCs w:val="20"/>
    </w:rPr>
  </w:style>
  <w:style w:type="paragraph" w:styleId="NormalWeb">
    <w:name w:val="Normal (Web)"/>
    <w:basedOn w:val="Normal"/>
    <w:rsid w:val="009C13A9"/>
    <w:pPr>
      <w:autoSpaceDE/>
      <w:autoSpaceDN/>
      <w:spacing w:before="101" w:after="101"/>
      <w:ind w:left="453" w:right="352" w:firstLine="0"/>
      <w:jc w:val="left"/>
    </w:pPr>
    <w:rPr>
      <w:rFonts w:ascii="Times New Roman" w:eastAsia="Batang" w:hAnsi="Times New Roman"/>
      <w:sz w:val="19"/>
      <w:szCs w:val="19"/>
    </w:rPr>
  </w:style>
  <w:style w:type="paragraph" w:styleId="BodyText2">
    <w:name w:val="Body Text 2"/>
    <w:basedOn w:val="Normal"/>
    <w:link w:val="BodyText2Char"/>
    <w:rsid w:val="009C13A9"/>
    <w:pPr>
      <w:autoSpaceDE/>
      <w:autoSpaceDN/>
      <w:spacing w:after="120" w:line="480" w:lineRule="auto"/>
      <w:ind w:left="0" w:firstLine="0"/>
      <w:jc w:val="left"/>
    </w:pPr>
    <w:rPr>
      <w:rFonts w:ascii="Times New Roman" w:hAnsi="Times New Roman"/>
      <w:snapToGrid w:val="0"/>
      <w:sz w:val="24"/>
    </w:rPr>
  </w:style>
  <w:style w:type="character" w:customStyle="1" w:styleId="BodyText2Char">
    <w:name w:val="Body Text 2 Char"/>
    <w:link w:val="BodyText2"/>
    <w:rsid w:val="009C13A9"/>
    <w:rPr>
      <w:rFonts w:ascii="Times New Roman" w:hAnsi="Times New Roman"/>
      <w:snapToGrid w:val="0"/>
      <w:sz w:val="24"/>
      <w:szCs w:val="24"/>
      <w:lang w:val="it-IT"/>
    </w:rPr>
  </w:style>
  <w:style w:type="paragraph" w:customStyle="1" w:styleId="Textkrper-Einzug3">
    <w:name w:val="Textkörper-Einzug 3"/>
    <w:basedOn w:val="Normal"/>
    <w:rsid w:val="009C13A9"/>
    <w:pPr>
      <w:widowControl w:val="0"/>
      <w:tabs>
        <w:tab w:val="left" w:pos="426"/>
      </w:tabs>
      <w:overflowPunct w:val="0"/>
      <w:adjustRightInd w:val="0"/>
      <w:ind w:left="426" w:hanging="426"/>
      <w:textAlignment w:val="baseline"/>
    </w:pPr>
    <w:rPr>
      <w:rFonts w:cs="Arial"/>
      <w:i/>
      <w:iCs/>
      <w:szCs w:val="20"/>
    </w:rPr>
  </w:style>
  <w:style w:type="paragraph" w:customStyle="1" w:styleId="a1">
    <w:name w:val="a1"/>
    <w:basedOn w:val="Normal"/>
    <w:rsid w:val="009C13A9"/>
    <w:pPr>
      <w:tabs>
        <w:tab w:val="left" w:pos="851"/>
      </w:tabs>
      <w:autoSpaceDE/>
      <w:autoSpaceDN/>
      <w:spacing w:line="240" w:lineRule="atLeast"/>
      <w:ind w:left="850"/>
    </w:pPr>
    <w:rPr>
      <w:rFonts w:ascii="Times New Roman" w:hAnsi="Times New Roman"/>
      <w:snapToGrid w:val="0"/>
      <w:sz w:val="24"/>
    </w:rPr>
  </w:style>
  <w:style w:type="paragraph" w:customStyle="1" w:styleId="Text1Char">
    <w:name w:val="Text1 Char"/>
    <w:aliases w:val="5 Char,BriefText1 Char"/>
    <w:basedOn w:val="Normal"/>
    <w:rsid w:val="009C13A9"/>
    <w:pPr>
      <w:autoSpaceDE/>
      <w:autoSpaceDN/>
      <w:spacing w:after="120" w:line="360" w:lineRule="auto"/>
      <w:ind w:left="0" w:firstLine="0"/>
      <w:jc w:val="left"/>
    </w:pPr>
    <w:rPr>
      <w:rFonts w:ascii="Arial Narrow" w:hAnsi="Arial Narrow"/>
      <w:snapToGrid w:val="0"/>
      <w:sz w:val="22"/>
      <w:szCs w:val="22"/>
    </w:rPr>
  </w:style>
  <w:style w:type="paragraph" w:customStyle="1" w:styleId="1berschriftTF">
    <w:name w:val="1.Überschrift TF"/>
    <w:basedOn w:val="Normal"/>
    <w:rsid w:val="009C13A9"/>
    <w:pPr>
      <w:autoSpaceDE/>
      <w:autoSpaceDN/>
      <w:ind w:left="0" w:firstLine="0"/>
      <w:jc w:val="left"/>
    </w:pPr>
    <w:rPr>
      <w:rFonts w:ascii="Arial Narrow" w:hAnsi="Arial Narrow"/>
      <w:snapToGrid w:val="0"/>
      <w:sz w:val="22"/>
      <w:szCs w:val="22"/>
    </w:rPr>
  </w:style>
  <w:style w:type="paragraph" w:styleId="Subtitle">
    <w:name w:val="Subtitle"/>
    <w:basedOn w:val="Normal"/>
    <w:link w:val="SubtitleChar"/>
    <w:qFormat/>
    <w:rsid w:val="009C13A9"/>
    <w:pPr>
      <w:tabs>
        <w:tab w:val="left" w:pos="851"/>
        <w:tab w:val="left" w:pos="1560"/>
      </w:tabs>
      <w:autoSpaceDE/>
      <w:autoSpaceDN/>
      <w:spacing w:line="240" w:lineRule="atLeast"/>
      <w:ind w:left="0" w:firstLine="0"/>
      <w:jc w:val="center"/>
    </w:pPr>
    <w:rPr>
      <w:b/>
      <w:bCs/>
      <w:snapToGrid w:val="0"/>
      <w:sz w:val="28"/>
      <w:szCs w:val="28"/>
    </w:rPr>
  </w:style>
  <w:style w:type="character" w:customStyle="1" w:styleId="SubtitleChar">
    <w:name w:val="Subtitle Char"/>
    <w:link w:val="Subtitle"/>
    <w:rsid w:val="009C13A9"/>
    <w:rPr>
      <w:rFonts w:ascii="Arial" w:hAnsi="Arial"/>
      <w:b/>
      <w:bCs/>
      <w:snapToGrid w:val="0"/>
      <w:sz w:val="28"/>
      <w:szCs w:val="28"/>
      <w:lang w:val="it-IT"/>
    </w:rPr>
  </w:style>
  <w:style w:type="paragraph" w:customStyle="1" w:styleId="t60">
    <w:name w:val="t60"/>
    <w:basedOn w:val="Normal"/>
    <w:rsid w:val="009C13A9"/>
    <w:pPr>
      <w:autoSpaceDE/>
      <w:autoSpaceDN/>
      <w:spacing w:line="200" w:lineRule="atLeast"/>
      <w:ind w:left="0" w:firstLine="0"/>
      <w:jc w:val="left"/>
    </w:pPr>
    <w:rPr>
      <w:rFonts w:ascii="Times New Roman" w:hAnsi="Times New Roman"/>
      <w:snapToGrid w:val="0"/>
      <w:sz w:val="24"/>
    </w:rPr>
  </w:style>
  <w:style w:type="character" w:styleId="LineNumber">
    <w:name w:val="line number"/>
    <w:basedOn w:val="DefaultParagraphFont"/>
    <w:rsid w:val="009C13A9"/>
  </w:style>
  <w:style w:type="paragraph" w:customStyle="1" w:styleId="Annex2Buchstabe">
    <w:name w:val="Annex2_Buchstabe"/>
    <w:basedOn w:val="Normal"/>
    <w:rsid w:val="009C13A9"/>
    <w:pPr>
      <w:tabs>
        <w:tab w:val="left" w:pos="454"/>
        <w:tab w:val="left" w:pos="907"/>
        <w:tab w:val="left" w:pos="1361"/>
        <w:tab w:val="left" w:pos="1814"/>
      </w:tabs>
      <w:overflowPunct w:val="0"/>
      <w:adjustRightInd w:val="0"/>
      <w:spacing w:after="80"/>
      <w:ind w:left="908" w:hanging="454"/>
      <w:textAlignment w:val="baseline"/>
    </w:pPr>
    <w:rPr>
      <w:rFonts w:ascii="Times New Roman" w:hAnsi="Times New Roman"/>
      <w:sz w:val="24"/>
    </w:rPr>
  </w:style>
  <w:style w:type="paragraph" w:customStyle="1" w:styleId="aa">
    <w:name w:val="aa"/>
    <w:basedOn w:val="Annex2Buchstabe"/>
    <w:rsid w:val="009C13A9"/>
    <w:pPr>
      <w:tabs>
        <w:tab w:val="clear" w:pos="454"/>
        <w:tab w:val="clear" w:pos="907"/>
        <w:tab w:val="clear" w:pos="1361"/>
        <w:tab w:val="clear" w:pos="1814"/>
        <w:tab w:val="left" w:pos="425"/>
        <w:tab w:val="left" w:pos="851"/>
        <w:tab w:val="left" w:pos="1276"/>
        <w:tab w:val="left" w:pos="1701"/>
        <w:tab w:val="left" w:pos="2126"/>
      </w:tabs>
      <w:spacing w:before="120" w:after="0" w:line="240" w:lineRule="atLeast"/>
      <w:ind w:left="850" w:hanging="425"/>
    </w:pPr>
  </w:style>
  <w:style w:type="paragraph" w:customStyle="1" w:styleId="Standard">
    <w:name w:val="Standard"/>
    <w:rsid w:val="009C13A9"/>
    <w:pPr>
      <w:widowControl w:val="0"/>
      <w:overflowPunct w:val="0"/>
      <w:autoSpaceDE w:val="0"/>
      <w:autoSpaceDN w:val="0"/>
      <w:adjustRightInd w:val="0"/>
      <w:jc w:val="both"/>
      <w:textAlignment w:val="baseline"/>
    </w:pPr>
    <w:rPr>
      <w:rFonts w:ascii="CG Times (W1)" w:hAnsi="CG Times (W1)"/>
      <w:snapToGrid w:val="0"/>
      <w:sz w:val="24"/>
      <w:szCs w:val="24"/>
    </w:rPr>
  </w:style>
  <w:style w:type="paragraph" w:customStyle="1" w:styleId="rad111">
    <w:name w:val="rad1.11"/>
    <w:basedOn w:val="Normal"/>
    <w:rsid w:val="009C13A9"/>
    <w:pPr>
      <w:tabs>
        <w:tab w:val="left" w:pos="284"/>
        <w:tab w:val="left" w:pos="454"/>
        <w:tab w:val="left" w:pos="709"/>
      </w:tabs>
      <w:autoSpaceDE/>
      <w:autoSpaceDN/>
      <w:spacing w:line="240" w:lineRule="exact"/>
      <w:ind w:left="0" w:hanging="567"/>
    </w:pPr>
    <w:rPr>
      <w:rFonts w:ascii="Times New Roman" w:hAnsi="Times New Roman"/>
      <w:snapToGrid w:val="0"/>
      <w:sz w:val="24"/>
    </w:rPr>
  </w:style>
  <w:style w:type="paragraph" w:customStyle="1" w:styleId="rad1">
    <w:name w:val="rad1"/>
    <w:aliases w:val="11"/>
    <w:basedOn w:val="Normal"/>
    <w:rsid w:val="009C13A9"/>
    <w:pPr>
      <w:tabs>
        <w:tab w:val="left" w:pos="284"/>
        <w:tab w:val="left" w:pos="454"/>
        <w:tab w:val="left" w:pos="709"/>
      </w:tabs>
      <w:autoSpaceDE/>
      <w:autoSpaceDN/>
      <w:spacing w:line="240" w:lineRule="exact"/>
      <w:ind w:left="0" w:hanging="567"/>
    </w:pPr>
    <w:rPr>
      <w:rFonts w:ascii="Times New Roman" w:hAnsi="Times New Roman"/>
      <w:sz w:val="24"/>
    </w:rPr>
  </w:style>
  <w:style w:type="paragraph" w:customStyle="1" w:styleId="N12">
    <w:name w:val="N12"/>
    <w:basedOn w:val="Normal"/>
    <w:rsid w:val="009C13A9"/>
    <w:pPr>
      <w:tabs>
        <w:tab w:val="left" w:pos="284"/>
      </w:tabs>
      <w:overflowPunct w:val="0"/>
      <w:adjustRightInd w:val="0"/>
      <w:spacing w:line="240" w:lineRule="atLeast"/>
      <w:ind w:left="0" w:firstLine="0"/>
      <w:jc w:val="center"/>
      <w:textAlignment w:val="baseline"/>
    </w:pPr>
    <w:rPr>
      <w:rFonts w:ascii="Times New Roman" w:hAnsi="Times New Roman"/>
      <w:sz w:val="16"/>
      <w:szCs w:val="20"/>
    </w:rPr>
  </w:style>
  <w:style w:type="paragraph" w:customStyle="1" w:styleId="rad1note">
    <w:name w:val="rad1.note"/>
    <w:basedOn w:val="Normal"/>
    <w:rsid w:val="009C13A9"/>
    <w:pPr>
      <w:tabs>
        <w:tab w:val="left" w:pos="284"/>
        <w:tab w:val="left" w:pos="454"/>
        <w:tab w:val="left" w:pos="709"/>
      </w:tabs>
      <w:overflowPunct w:val="0"/>
      <w:adjustRightInd w:val="0"/>
      <w:spacing w:line="240" w:lineRule="exact"/>
      <w:ind w:left="284" w:hanging="284"/>
      <w:textAlignment w:val="baseline"/>
    </w:pPr>
    <w:rPr>
      <w:rFonts w:ascii="Times New Roman" w:hAnsi="Times New Roman"/>
      <w:sz w:val="24"/>
      <w:szCs w:val="20"/>
    </w:rPr>
  </w:style>
  <w:style w:type="paragraph" w:customStyle="1" w:styleId="Hoofdgedeelte">
    <w:name w:val="Hoofdgedeelte"/>
    <w:basedOn w:val="Normal"/>
    <w:rsid w:val="009C13A9"/>
    <w:pPr>
      <w:widowControl w:val="0"/>
      <w:autoSpaceDE/>
      <w:autoSpaceDN/>
      <w:ind w:left="0" w:firstLine="0"/>
      <w:jc w:val="left"/>
    </w:pPr>
    <w:rPr>
      <w:rFonts w:ascii="Times" w:hAnsi="Times"/>
      <w:sz w:val="24"/>
    </w:rPr>
  </w:style>
  <w:style w:type="numbering" w:customStyle="1" w:styleId="Aucuneliste11">
    <w:name w:val="Aucune liste11"/>
    <w:next w:val="NoList"/>
    <w:uiPriority w:val="99"/>
    <w:semiHidden/>
    <w:unhideWhenUsed/>
    <w:rsid w:val="009C13A9"/>
  </w:style>
  <w:style w:type="character" w:customStyle="1" w:styleId="WW8Num1z0">
    <w:name w:val="WW8Num1z0"/>
    <w:rsid w:val="009C13A9"/>
    <w:rPr>
      <w:rFonts w:cs="Times New Roman"/>
    </w:rPr>
  </w:style>
  <w:style w:type="character" w:customStyle="1" w:styleId="WW8Num2z0">
    <w:name w:val="WW8Num2z0"/>
    <w:rsid w:val="009C13A9"/>
    <w:rPr>
      <w:rFonts w:cs="Times New Roman"/>
    </w:rPr>
  </w:style>
  <w:style w:type="character" w:customStyle="1" w:styleId="Absatz-Standardschriftart1">
    <w:name w:val="Absatz-Standardschriftart1"/>
    <w:rsid w:val="009C13A9"/>
  </w:style>
  <w:style w:type="character" w:customStyle="1" w:styleId="WW-Absatz-Standardschriftart">
    <w:name w:val="WW-Absatz-Standardschriftart"/>
    <w:rsid w:val="009C13A9"/>
  </w:style>
  <w:style w:type="character" w:customStyle="1" w:styleId="WW-Absatz-Standardschriftart1">
    <w:name w:val="WW-Absatz-Standardschriftart1"/>
    <w:rsid w:val="009C13A9"/>
  </w:style>
  <w:style w:type="character" w:customStyle="1" w:styleId="WW-Absatz-Standardschriftart11">
    <w:name w:val="WW-Absatz-Standardschriftart11"/>
    <w:rsid w:val="009C13A9"/>
  </w:style>
  <w:style w:type="character" w:customStyle="1" w:styleId="WW-Absatz-Standardschriftart111">
    <w:name w:val="WW-Absatz-Standardschriftart111"/>
    <w:rsid w:val="009C13A9"/>
  </w:style>
  <w:style w:type="character" w:customStyle="1" w:styleId="WW-Absatz-Standardschriftart1111">
    <w:name w:val="WW-Absatz-Standardschriftart1111"/>
    <w:rsid w:val="009C13A9"/>
  </w:style>
  <w:style w:type="character" w:customStyle="1" w:styleId="WW-Absatz-Standardschriftart11111">
    <w:name w:val="WW-Absatz-Standardschriftart11111"/>
    <w:rsid w:val="009C13A9"/>
  </w:style>
  <w:style w:type="character" w:customStyle="1" w:styleId="WW-Absatz-Standardschriftart111111">
    <w:name w:val="WW-Absatz-Standardschriftart111111"/>
    <w:rsid w:val="009C13A9"/>
  </w:style>
  <w:style w:type="character" w:customStyle="1" w:styleId="WW-Absatz-Standardschriftart1111111">
    <w:name w:val="WW-Absatz-Standardschriftart1111111"/>
    <w:rsid w:val="009C13A9"/>
  </w:style>
  <w:style w:type="character" w:customStyle="1" w:styleId="WW-Absatz-Standardschriftart11111111">
    <w:name w:val="WW-Absatz-Standardschriftart11111111"/>
    <w:rsid w:val="009C13A9"/>
  </w:style>
  <w:style w:type="character" w:customStyle="1" w:styleId="WW-Absatz-Standardschriftart111111111">
    <w:name w:val="WW-Absatz-Standardschriftart111111111"/>
    <w:rsid w:val="009C13A9"/>
  </w:style>
  <w:style w:type="character" w:customStyle="1" w:styleId="WW8Num3z0">
    <w:name w:val="WW8Num3z0"/>
    <w:rsid w:val="009C13A9"/>
    <w:rPr>
      <w:rFonts w:cs="Times New Roman"/>
    </w:rPr>
  </w:style>
  <w:style w:type="character" w:customStyle="1" w:styleId="WW8Num4z0">
    <w:name w:val="WW8Num4z0"/>
    <w:rsid w:val="009C13A9"/>
    <w:rPr>
      <w:rFonts w:ascii="Times New Roman" w:eastAsia="Times New Roman" w:hAnsi="Times New Roman"/>
    </w:rPr>
  </w:style>
  <w:style w:type="character" w:customStyle="1" w:styleId="WW8Num4z1">
    <w:name w:val="WW8Num4z1"/>
    <w:rsid w:val="009C13A9"/>
    <w:rPr>
      <w:rFonts w:ascii="Courier New" w:hAnsi="Courier New"/>
    </w:rPr>
  </w:style>
  <w:style w:type="character" w:customStyle="1" w:styleId="WW8Num4z2">
    <w:name w:val="WW8Num4z2"/>
    <w:rsid w:val="009C13A9"/>
    <w:rPr>
      <w:rFonts w:ascii="Wingdings" w:hAnsi="Wingdings"/>
    </w:rPr>
  </w:style>
  <w:style w:type="character" w:customStyle="1" w:styleId="WW8Num4z3">
    <w:name w:val="WW8Num4z3"/>
    <w:rsid w:val="009C13A9"/>
    <w:rPr>
      <w:rFonts w:ascii="Symbol" w:hAnsi="Symbol"/>
    </w:rPr>
  </w:style>
  <w:style w:type="character" w:customStyle="1" w:styleId="WW8Num5z0">
    <w:name w:val="WW8Num5z0"/>
    <w:rsid w:val="009C13A9"/>
    <w:rPr>
      <w:rFonts w:ascii="Arial" w:eastAsia="Times New Roman" w:hAnsi="Arial"/>
    </w:rPr>
  </w:style>
  <w:style w:type="character" w:customStyle="1" w:styleId="WW8Num5z1">
    <w:name w:val="WW8Num5z1"/>
    <w:rsid w:val="009C13A9"/>
    <w:rPr>
      <w:rFonts w:ascii="Courier New" w:hAnsi="Courier New"/>
    </w:rPr>
  </w:style>
  <w:style w:type="character" w:customStyle="1" w:styleId="WW8Num5z2">
    <w:name w:val="WW8Num5z2"/>
    <w:rsid w:val="009C13A9"/>
    <w:rPr>
      <w:rFonts w:ascii="Wingdings" w:hAnsi="Wingdings"/>
    </w:rPr>
  </w:style>
  <w:style w:type="character" w:customStyle="1" w:styleId="WW8Num5z3">
    <w:name w:val="WW8Num5z3"/>
    <w:rsid w:val="009C13A9"/>
    <w:rPr>
      <w:rFonts w:ascii="Symbol" w:hAnsi="Symbol"/>
    </w:rPr>
  </w:style>
  <w:style w:type="character" w:customStyle="1" w:styleId="Policepardfaut1">
    <w:name w:val="Police par défaut1"/>
    <w:rsid w:val="009C13A9"/>
  </w:style>
  <w:style w:type="character" w:customStyle="1" w:styleId="Caractresdenotedebasdepage">
    <w:name w:val="Caractères de note de bas de page"/>
    <w:rsid w:val="009C13A9"/>
    <w:rPr>
      <w:rFonts w:cs="Times New Roman"/>
      <w:vertAlign w:val="superscript"/>
    </w:rPr>
  </w:style>
  <w:style w:type="character" w:customStyle="1" w:styleId="Marquedecommentaire1">
    <w:name w:val="Marque de commentaire1"/>
    <w:rsid w:val="009C13A9"/>
    <w:rPr>
      <w:rFonts w:cs="Times New Roman"/>
      <w:sz w:val="16"/>
      <w:szCs w:val="16"/>
    </w:rPr>
  </w:style>
  <w:style w:type="character" w:customStyle="1" w:styleId="VO-Text-AbsnachNrChar">
    <w:name w:val="VO-Text-Abs nach Nr Char"/>
    <w:rsid w:val="009C13A9"/>
    <w:rPr>
      <w:rFonts w:ascii="Arial" w:hAnsi="Arial" w:cs="Times New Roman"/>
      <w:b/>
      <w:bCs/>
      <w:sz w:val="24"/>
      <w:szCs w:val="24"/>
      <w:lang w:val="it-IT" w:eastAsia="it-IT" w:bidi="it-IT"/>
    </w:rPr>
  </w:style>
  <w:style w:type="character" w:styleId="Emphasis">
    <w:name w:val="Emphasis"/>
    <w:qFormat/>
    <w:rsid w:val="009C13A9"/>
    <w:rPr>
      <w:rFonts w:cs="Times New Roman"/>
      <w:i/>
      <w:iCs/>
    </w:rPr>
  </w:style>
  <w:style w:type="character" w:customStyle="1" w:styleId="error">
    <w:name w:val="error"/>
    <w:rsid w:val="009C13A9"/>
    <w:rPr>
      <w:rFonts w:cs="Times New Roman"/>
    </w:rPr>
  </w:style>
  <w:style w:type="character" w:customStyle="1" w:styleId="longtext1">
    <w:name w:val="long_text1"/>
    <w:rsid w:val="009C13A9"/>
    <w:rPr>
      <w:rFonts w:cs="Times New Roman"/>
      <w:sz w:val="20"/>
      <w:szCs w:val="20"/>
    </w:rPr>
  </w:style>
  <w:style w:type="character" w:customStyle="1" w:styleId="WW-Caractresdenotedebasdepage">
    <w:name w:val="WW-Caractères de note de bas de page"/>
    <w:rsid w:val="009C13A9"/>
    <w:rPr>
      <w:rFonts w:cs="Times New Roman"/>
      <w:vertAlign w:val="superscript"/>
    </w:rPr>
  </w:style>
  <w:style w:type="character" w:customStyle="1" w:styleId="Caractresdenotedefin">
    <w:name w:val="Caractères de note de fin"/>
    <w:rsid w:val="009C13A9"/>
    <w:rPr>
      <w:vertAlign w:val="superscript"/>
    </w:rPr>
  </w:style>
  <w:style w:type="character" w:customStyle="1" w:styleId="WW-Caractresdenotedefin">
    <w:name w:val="WW-Caractères de note de fin"/>
    <w:rsid w:val="009C13A9"/>
  </w:style>
  <w:style w:type="character" w:styleId="EndnoteReference">
    <w:name w:val="endnote reference"/>
    <w:rsid w:val="009C13A9"/>
    <w:rPr>
      <w:vertAlign w:val="superscript"/>
    </w:rPr>
  </w:style>
  <w:style w:type="character" w:customStyle="1" w:styleId="Caractresdenumrotation">
    <w:name w:val="Caractères de numérotation"/>
    <w:rsid w:val="009C13A9"/>
  </w:style>
  <w:style w:type="paragraph" w:customStyle="1" w:styleId="Titre1">
    <w:name w:val="Titre1"/>
    <w:basedOn w:val="Normal"/>
    <w:next w:val="BodyText"/>
    <w:rsid w:val="009C13A9"/>
    <w:pPr>
      <w:keepNext/>
      <w:suppressAutoHyphens/>
      <w:autoSpaceDE/>
      <w:autoSpaceDN/>
      <w:spacing w:before="240" w:after="120"/>
      <w:ind w:left="0" w:firstLine="0"/>
      <w:jc w:val="left"/>
    </w:pPr>
    <w:rPr>
      <w:rFonts w:ascii="Liberation Sans" w:eastAsia="Lucida Sans Unicode" w:hAnsi="Liberation Sans" w:cs="Tahoma"/>
      <w:sz w:val="28"/>
      <w:szCs w:val="28"/>
    </w:rPr>
  </w:style>
  <w:style w:type="paragraph" w:styleId="List">
    <w:name w:val="List"/>
    <w:basedOn w:val="BodyText"/>
    <w:rsid w:val="009C13A9"/>
    <w:pPr>
      <w:keepNext w:val="0"/>
      <w:tabs>
        <w:tab w:val="clear" w:pos="709"/>
      </w:tabs>
      <w:suppressAutoHyphens/>
      <w:ind w:left="0" w:firstLine="0"/>
    </w:pPr>
    <w:rPr>
      <w:rFonts w:ascii="Liberation Sans" w:hAnsi="Liberation Sans" w:cs="Tahoma"/>
      <w:b/>
      <w:sz w:val="24"/>
    </w:rPr>
  </w:style>
  <w:style w:type="paragraph" w:customStyle="1" w:styleId="Lgende1">
    <w:name w:val="Légende1"/>
    <w:basedOn w:val="Normal"/>
    <w:next w:val="Normal"/>
    <w:rsid w:val="009C13A9"/>
    <w:pPr>
      <w:suppressAutoHyphens/>
      <w:autoSpaceDE/>
      <w:autoSpaceDN/>
      <w:spacing w:before="120" w:after="120"/>
      <w:ind w:left="0" w:firstLine="0"/>
      <w:jc w:val="left"/>
    </w:pPr>
    <w:rPr>
      <w:rFonts w:ascii="Times New Roman" w:hAnsi="Times New Roman"/>
      <w:b/>
      <w:bCs/>
      <w:szCs w:val="20"/>
    </w:rPr>
  </w:style>
  <w:style w:type="paragraph" w:customStyle="1" w:styleId="Index">
    <w:name w:val="Index"/>
    <w:basedOn w:val="Normal"/>
    <w:rsid w:val="009C13A9"/>
    <w:pPr>
      <w:suppressLineNumbers/>
      <w:suppressAutoHyphens/>
      <w:autoSpaceDE/>
      <w:autoSpaceDN/>
      <w:ind w:left="0" w:firstLine="0"/>
      <w:jc w:val="left"/>
    </w:pPr>
    <w:rPr>
      <w:rFonts w:ascii="Liberation Sans" w:hAnsi="Liberation Sans" w:cs="Tahoma"/>
      <w:sz w:val="24"/>
    </w:rPr>
  </w:style>
  <w:style w:type="paragraph" w:customStyle="1" w:styleId="Explorateurdedocument1">
    <w:name w:val="Explorateur de document1"/>
    <w:basedOn w:val="Normal"/>
    <w:rsid w:val="009C13A9"/>
    <w:pPr>
      <w:shd w:val="clear" w:color="auto" w:fill="000080"/>
      <w:suppressAutoHyphens/>
      <w:autoSpaceDE/>
      <w:autoSpaceDN/>
      <w:ind w:left="0" w:firstLine="0"/>
      <w:jc w:val="left"/>
    </w:pPr>
    <w:rPr>
      <w:rFonts w:ascii="Times New Roman" w:hAnsi="Times New Roman"/>
      <w:szCs w:val="20"/>
    </w:rPr>
  </w:style>
  <w:style w:type="paragraph" w:customStyle="1" w:styleId="Anlage">
    <w:name w:val="Anlage"/>
    <w:basedOn w:val="Normal"/>
    <w:rsid w:val="009C13A9"/>
    <w:pPr>
      <w:suppressAutoHyphens/>
      <w:autoSpaceDE/>
      <w:autoSpaceDN/>
      <w:spacing w:before="240"/>
      <w:ind w:left="1134" w:hanging="1134"/>
      <w:jc w:val="left"/>
    </w:pPr>
    <w:rPr>
      <w:rFonts w:ascii="Times New Roman" w:hAnsi="Times New Roman"/>
      <w:sz w:val="24"/>
    </w:rPr>
  </w:style>
  <w:style w:type="paragraph" w:customStyle="1" w:styleId="Betrifft">
    <w:name w:val="Betrifft"/>
    <w:basedOn w:val="Normal"/>
    <w:rsid w:val="009C13A9"/>
    <w:pPr>
      <w:suppressAutoHyphens/>
      <w:autoSpaceDE/>
      <w:autoSpaceDN/>
      <w:spacing w:before="480"/>
      <w:ind w:left="0" w:firstLine="0"/>
      <w:jc w:val="left"/>
    </w:pPr>
    <w:rPr>
      <w:rFonts w:ascii="Times New Roman" w:hAnsi="Times New Roman"/>
      <w:sz w:val="24"/>
    </w:rPr>
  </w:style>
  <w:style w:type="paragraph" w:customStyle="1" w:styleId="Bezug">
    <w:name w:val="Bezug"/>
    <w:basedOn w:val="Normal"/>
    <w:rsid w:val="009C13A9"/>
    <w:pPr>
      <w:suppressAutoHyphens/>
      <w:autoSpaceDE/>
      <w:autoSpaceDN/>
      <w:spacing w:before="240"/>
      <w:ind w:left="0" w:firstLine="0"/>
      <w:jc w:val="left"/>
    </w:pPr>
    <w:rPr>
      <w:rFonts w:ascii="Times New Roman" w:hAnsi="Times New Roman"/>
      <w:sz w:val="24"/>
    </w:rPr>
  </w:style>
  <w:style w:type="paragraph" w:customStyle="1" w:styleId="Hier">
    <w:name w:val="Hier"/>
    <w:basedOn w:val="Normal"/>
    <w:rsid w:val="009C13A9"/>
    <w:pPr>
      <w:tabs>
        <w:tab w:val="left" w:pos="284"/>
      </w:tabs>
      <w:suppressAutoHyphens/>
      <w:autoSpaceDE/>
      <w:autoSpaceDN/>
      <w:ind w:left="284" w:hanging="284"/>
      <w:jc w:val="left"/>
    </w:pPr>
    <w:rPr>
      <w:rFonts w:ascii="Times New Roman" w:hAnsi="Times New Roman"/>
      <w:sz w:val="24"/>
    </w:rPr>
  </w:style>
  <w:style w:type="paragraph" w:customStyle="1" w:styleId="yyx">
    <w:name w:val="yyx"/>
    <w:basedOn w:val="Normal"/>
    <w:rsid w:val="009C13A9"/>
    <w:pPr>
      <w:suppressAutoHyphens/>
      <w:autoSpaceDE/>
      <w:autoSpaceDN/>
      <w:spacing w:line="360" w:lineRule="auto"/>
      <w:ind w:left="0" w:firstLine="0"/>
      <w:jc w:val="left"/>
    </w:pPr>
    <w:rPr>
      <w:rFonts w:ascii="Times New Roman" w:hAnsi="Times New Roman"/>
      <w:b/>
      <w:sz w:val="24"/>
    </w:rPr>
  </w:style>
  <w:style w:type="paragraph" w:customStyle="1" w:styleId="Nverborgen">
    <w:name w:val="Nverborgen"/>
    <w:basedOn w:val="Normal"/>
    <w:next w:val="Normal"/>
    <w:rsid w:val="009C13A9"/>
    <w:pPr>
      <w:suppressAutoHyphens/>
      <w:autoSpaceDE/>
      <w:autoSpaceDN/>
      <w:spacing w:line="360" w:lineRule="auto"/>
      <w:ind w:left="0" w:hanging="567"/>
      <w:jc w:val="left"/>
    </w:pPr>
    <w:rPr>
      <w:rFonts w:ascii="Times New Roman" w:hAnsi="Times New Roman"/>
      <w:sz w:val="24"/>
    </w:rPr>
  </w:style>
  <w:style w:type="paragraph" w:customStyle="1" w:styleId="Verborgen">
    <w:name w:val="Verborgen"/>
    <w:basedOn w:val="Normal"/>
    <w:next w:val="Normal"/>
    <w:rsid w:val="009C13A9"/>
    <w:pPr>
      <w:suppressAutoHyphens/>
      <w:autoSpaceDE/>
      <w:autoSpaceDN/>
      <w:spacing w:after="360" w:line="360" w:lineRule="auto"/>
      <w:ind w:left="0" w:hanging="567"/>
      <w:jc w:val="left"/>
    </w:pPr>
    <w:rPr>
      <w:rFonts w:ascii="Times New Roman" w:hAnsi="Times New Roman"/>
      <w:vanish/>
      <w:color w:val="0000FF"/>
      <w:sz w:val="24"/>
    </w:rPr>
  </w:style>
  <w:style w:type="paragraph" w:customStyle="1" w:styleId="Salutations1">
    <w:name w:val="Salutations1"/>
    <w:basedOn w:val="Normal"/>
    <w:next w:val="Normal"/>
    <w:rsid w:val="009C13A9"/>
    <w:pPr>
      <w:suppressAutoHyphens/>
      <w:autoSpaceDE/>
      <w:autoSpaceDN/>
      <w:spacing w:before="720" w:line="360" w:lineRule="auto"/>
      <w:ind w:left="0" w:firstLine="0"/>
      <w:jc w:val="left"/>
    </w:pPr>
    <w:rPr>
      <w:rFonts w:ascii="Times New Roman" w:hAnsi="Times New Roman"/>
      <w:sz w:val="24"/>
    </w:rPr>
  </w:style>
  <w:style w:type="paragraph" w:customStyle="1" w:styleId="c4">
    <w:name w:val="c4"/>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4">
    <w:name w:val="p4"/>
    <w:basedOn w:val="Normal"/>
    <w:rsid w:val="009C13A9"/>
    <w:pPr>
      <w:tabs>
        <w:tab w:val="left" w:pos="720"/>
      </w:tabs>
      <w:suppressAutoHyphens/>
      <w:autoSpaceDE/>
      <w:autoSpaceDN/>
      <w:spacing w:line="220" w:lineRule="atLeast"/>
      <w:ind w:left="0" w:firstLine="0"/>
    </w:pPr>
    <w:rPr>
      <w:rFonts w:ascii="Times New Roman" w:hAnsi="Times New Roman"/>
      <w:sz w:val="24"/>
      <w:szCs w:val="20"/>
    </w:rPr>
  </w:style>
  <w:style w:type="paragraph" w:customStyle="1" w:styleId="c2">
    <w:name w:val="c2"/>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9">
    <w:name w:val="p9"/>
    <w:basedOn w:val="Normal"/>
    <w:rsid w:val="009C13A9"/>
    <w:pPr>
      <w:tabs>
        <w:tab w:val="left" w:pos="1060"/>
      </w:tabs>
      <w:suppressAutoHyphens/>
      <w:autoSpaceDE/>
      <w:autoSpaceDN/>
      <w:spacing w:line="240" w:lineRule="atLeast"/>
      <w:ind w:left="1440" w:firstLine="1008"/>
      <w:jc w:val="left"/>
    </w:pPr>
    <w:rPr>
      <w:rFonts w:ascii="Times New Roman" w:hAnsi="Times New Roman"/>
      <w:sz w:val="24"/>
      <w:szCs w:val="20"/>
    </w:rPr>
  </w:style>
  <w:style w:type="paragraph" w:customStyle="1" w:styleId="p5">
    <w:name w:val="p5"/>
    <w:basedOn w:val="Normal"/>
    <w:rsid w:val="009C13A9"/>
    <w:pPr>
      <w:tabs>
        <w:tab w:val="left" w:pos="720"/>
      </w:tabs>
      <w:suppressAutoHyphens/>
      <w:autoSpaceDE/>
      <w:autoSpaceDN/>
      <w:spacing w:line="240" w:lineRule="atLeast"/>
      <w:ind w:left="0" w:firstLine="0"/>
      <w:jc w:val="left"/>
    </w:pPr>
    <w:rPr>
      <w:rFonts w:ascii="Times New Roman" w:hAnsi="Times New Roman"/>
      <w:sz w:val="24"/>
      <w:szCs w:val="20"/>
    </w:rPr>
  </w:style>
  <w:style w:type="paragraph" w:customStyle="1" w:styleId="p10">
    <w:name w:val="p10"/>
    <w:basedOn w:val="Normal"/>
    <w:rsid w:val="009C13A9"/>
    <w:pPr>
      <w:tabs>
        <w:tab w:val="left" w:pos="240"/>
        <w:tab w:val="left" w:pos="500"/>
      </w:tabs>
      <w:suppressAutoHyphens/>
      <w:autoSpaceDE/>
      <w:autoSpaceDN/>
      <w:spacing w:line="240" w:lineRule="atLeast"/>
      <w:ind w:left="1440" w:firstLine="288"/>
    </w:pPr>
    <w:rPr>
      <w:rFonts w:ascii="Times New Roman" w:hAnsi="Times New Roman"/>
      <w:sz w:val="24"/>
      <w:szCs w:val="20"/>
    </w:rPr>
  </w:style>
  <w:style w:type="paragraph" w:customStyle="1" w:styleId="p11">
    <w:name w:val="p11"/>
    <w:basedOn w:val="Normal"/>
    <w:rsid w:val="009C13A9"/>
    <w:pPr>
      <w:tabs>
        <w:tab w:val="left" w:pos="720"/>
      </w:tabs>
      <w:suppressAutoHyphens/>
      <w:autoSpaceDE/>
      <w:autoSpaceDN/>
      <w:spacing w:line="220" w:lineRule="atLeast"/>
      <w:ind w:left="0" w:firstLine="0"/>
    </w:pPr>
    <w:rPr>
      <w:rFonts w:ascii="Times New Roman" w:hAnsi="Times New Roman"/>
      <w:sz w:val="24"/>
      <w:szCs w:val="20"/>
    </w:rPr>
  </w:style>
  <w:style w:type="paragraph" w:customStyle="1" w:styleId="p12">
    <w:name w:val="p12"/>
    <w:basedOn w:val="Normal"/>
    <w:rsid w:val="009C13A9"/>
    <w:pPr>
      <w:tabs>
        <w:tab w:val="left" w:pos="720"/>
      </w:tabs>
      <w:suppressAutoHyphens/>
      <w:autoSpaceDE/>
      <w:autoSpaceDN/>
      <w:spacing w:line="240" w:lineRule="atLeast"/>
      <w:ind w:left="0" w:firstLine="0"/>
      <w:jc w:val="left"/>
    </w:pPr>
    <w:rPr>
      <w:rFonts w:ascii="Times New Roman" w:hAnsi="Times New Roman"/>
      <w:sz w:val="24"/>
      <w:szCs w:val="20"/>
    </w:rPr>
  </w:style>
  <w:style w:type="paragraph" w:customStyle="1" w:styleId="p14">
    <w:name w:val="p14"/>
    <w:basedOn w:val="Normal"/>
    <w:rsid w:val="009C13A9"/>
    <w:pPr>
      <w:tabs>
        <w:tab w:val="left" w:pos="260"/>
        <w:tab w:val="left" w:pos="540"/>
      </w:tabs>
      <w:suppressAutoHyphens/>
      <w:autoSpaceDE/>
      <w:autoSpaceDN/>
      <w:spacing w:line="220" w:lineRule="atLeast"/>
      <w:ind w:left="864" w:hanging="576"/>
      <w:jc w:val="left"/>
    </w:pPr>
    <w:rPr>
      <w:rFonts w:ascii="Times New Roman" w:hAnsi="Times New Roman"/>
      <w:sz w:val="24"/>
      <w:szCs w:val="20"/>
    </w:rPr>
  </w:style>
  <w:style w:type="paragraph" w:customStyle="1" w:styleId="p15">
    <w:name w:val="p15"/>
    <w:basedOn w:val="Normal"/>
    <w:rsid w:val="009C13A9"/>
    <w:pPr>
      <w:tabs>
        <w:tab w:val="left" w:pos="260"/>
      </w:tabs>
      <w:suppressAutoHyphens/>
      <w:autoSpaceDE/>
      <w:autoSpaceDN/>
      <w:spacing w:line="240" w:lineRule="atLeast"/>
      <w:ind w:left="1152" w:hanging="288"/>
      <w:jc w:val="left"/>
    </w:pPr>
    <w:rPr>
      <w:rFonts w:ascii="Times New Roman" w:hAnsi="Times New Roman"/>
      <w:sz w:val="24"/>
      <w:szCs w:val="20"/>
    </w:rPr>
  </w:style>
  <w:style w:type="paragraph" w:customStyle="1" w:styleId="p7">
    <w:name w:val="p7"/>
    <w:basedOn w:val="Normal"/>
    <w:rsid w:val="009C13A9"/>
    <w:pPr>
      <w:tabs>
        <w:tab w:val="left" w:pos="260"/>
      </w:tabs>
      <w:suppressAutoHyphens/>
      <w:autoSpaceDE/>
      <w:autoSpaceDN/>
      <w:spacing w:line="220" w:lineRule="atLeast"/>
      <w:ind w:left="1152" w:hanging="288"/>
    </w:pPr>
    <w:rPr>
      <w:rFonts w:ascii="Times New Roman" w:hAnsi="Times New Roman"/>
      <w:sz w:val="24"/>
      <w:szCs w:val="20"/>
    </w:rPr>
  </w:style>
  <w:style w:type="paragraph" w:customStyle="1" w:styleId="p16">
    <w:name w:val="p16"/>
    <w:basedOn w:val="Normal"/>
    <w:rsid w:val="009C13A9"/>
    <w:pPr>
      <w:tabs>
        <w:tab w:val="left" w:pos="520"/>
      </w:tabs>
      <w:suppressAutoHyphens/>
      <w:autoSpaceDE/>
      <w:autoSpaceDN/>
      <w:spacing w:line="240" w:lineRule="atLeast"/>
      <w:ind w:left="1440" w:firstLine="576"/>
      <w:jc w:val="left"/>
    </w:pPr>
    <w:rPr>
      <w:rFonts w:ascii="Times New Roman" w:hAnsi="Times New Roman"/>
      <w:sz w:val="24"/>
      <w:szCs w:val="20"/>
    </w:rPr>
  </w:style>
  <w:style w:type="paragraph" w:customStyle="1" w:styleId="c18">
    <w:name w:val="c18"/>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t17">
    <w:name w:val="t17"/>
    <w:basedOn w:val="Normal"/>
    <w:rsid w:val="009C13A9"/>
    <w:pPr>
      <w:suppressAutoHyphens/>
      <w:autoSpaceDE/>
      <w:autoSpaceDN/>
      <w:spacing w:line="240" w:lineRule="atLeast"/>
      <w:ind w:left="0" w:firstLine="0"/>
      <w:jc w:val="left"/>
    </w:pPr>
    <w:rPr>
      <w:rFonts w:ascii="Times New Roman" w:hAnsi="Times New Roman"/>
      <w:sz w:val="24"/>
      <w:szCs w:val="20"/>
    </w:rPr>
  </w:style>
  <w:style w:type="paragraph" w:customStyle="1" w:styleId="p19">
    <w:name w:val="p19"/>
    <w:basedOn w:val="Normal"/>
    <w:rsid w:val="009C13A9"/>
    <w:pPr>
      <w:tabs>
        <w:tab w:val="left" w:pos="280"/>
        <w:tab w:val="left" w:pos="520"/>
      </w:tabs>
      <w:suppressAutoHyphens/>
      <w:autoSpaceDE/>
      <w:autoSpaceDN/>
      <w:spacing w:line="220" w:lineRule="atLeast"/>
      <w:ind w:left="1152" w:hanging="288"/>
      <w:jc w:val="left"/>
    </w:pPr>
    <w:rPr>
      <w:rFonts w:ascii="Times New Roman" w:hAnsi="Times New Roman"/>
      <w:sz w:val="24"/>
      <w:szCs w:val="20"/>
    </w:rPr>
  </w:style>
  <w:style w:type="paragraph" w:customStyle="1" w:styleId="p21">
    <w:name w:val="p21"/>
    <w:basedOn w:val="Normal"/>
    <w:rsid w:val="009C13A9"/>
    <w:pPr>
      <w:tabs>
        <w:tab w:val="left" w:pos="2480"/>
      </w:tabs>
      <w:suppressAutoHyphens/>
      <w:autoSpaceDE/>
      <w:autoSpaceDN/>
      <w:spacing w:line="240" w:lineRule="atLeast"/>
      <w:ind w:left="1040" w:firstLine="0"/>
    </w:pPr>
    <w:rPr>
      <w:rFonts w:ascii="Times New Roman" w:hAnsi="Times New Roman"/>
      <w:sz w:val="24"/>
      <w:szCs w:val="20"/>
    </w:rPr>
  </w:style>
  <w:style w:type="paragraph" w:customStyle="1" w:styleId="p8">
    <w:name w:val="p8"/>
    <w:basedOn w:val="Normal"/>
    <w:rsid w:val="009C13A9"/>
    <w:pPr>
      <w:tabs>
        <w:tab w:val="left" w:pos="520"/>
      </w:tabs>
      <w:suppressAutoHyphens/>
      <w:autoSpaceDE/>
      <w:autoSpaceDN/>
      <w:spacing w:line="220" w:lineRule="atLeast"/>
      <w:ind w:left="864" w:hanging="576"/>
      <w:jc w:val="left"/>
    </w:pPr>
    <w:rPr>
      <w:rFonts w:ascii="Times New Roman" w:hAnsi="Times New Roman"/>
      <w:sz w:val="24"/>
      <w:szCs w:val="20"/>
    </w:rPr>
  </w:style>
  <w:style w:type="paragraph" w:customStyle="1" w:styleId="c3">
    <w:name w:val="c3"/>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13">
    <w:name w:val="p13"/>
    <w:basedOn w:val="Normal"/>
    <w:rsid w:val="009C13A9"/>
    <w:pPr>
      <w:tabs>
        <w:tab w:val="left" w:pos="260"/>
      </w:tabs>
      <w:suppressAutoHyphens/>
      <w:autoSpaceDE/>
      <w:autoSpaceDN/>
      <w:spacing w:line="220" w:lineRule="atLeast"/>
      <w:ind w:left="1180" w:firstLine="0"/>
    </w:pPr>
    <w:rPr>
      <w:rFonts w:ascii="Times New Roman" w:hAnsi="Times New Roman"/>
      <w:sz w:val="24"/>
      <w:szCs w:val="20"/>
    </w:rPr>
  </w:style>
  <w:style w:type="paragraph" w:customStyle="1" w:styleId="p20">
    <w:name w:val="p20"/>
    <w:basedOn w:val="Normal"/>
    <w:rsid w:val="009C13A9"/>
    <w:pPr>
      <w:tabs>
        <w:tab w:val="left" w:pos="780"/>
      </w:tabs>
      <w:suppressAutoHyphens/>
      <w:autoSpaceDE/>
      <w:autoSpaceDN/>
      <w:spacing w:line="220" w:lineRule="atLeast"/>
      <w:ind w:left="0" w:firstLine="0"/>
      <w:jc w:val="left"/>
    </w:pPr>
    <w:rPr>
      <w:rFonts w:ascii="Times New Roman" w:hAnsi="Times New Roman"/>
      <w:sz w:val="24"/>
      <w:szCs w:val="20"/>
    </w:rPr>
  </w:style>
  <w:style w:type="paragraph" w:customStyle="1" w:styleId="c15">
    <w:name w:val="c15"/>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22">
    <w:name w:val="p22"/>
    <w:basedOn w:val="Normal"/>
    <w:rsid w:val="009C13A9"/>
    <w:pPr>
      <w:tabs>
        <w:tab w:val="left" w:pos="520"/>
        <w:tab w:val="left" w:pos="1060"/>
      </w:tabs>
      <w:suppressAutoHyphens/>
      <w:autoSpaceDE/>
      <w:autoSpaceDN/>
      <w:spacing w:line="220" w:lineRule="atLeast"/>
      <w:ind w:left="432" w:hanging="432"/>
    </w:pPr>
    <w:rPr>
      <w:rFonts w:ascii="Times New Roman" w:hAnsi="Times New Roman"/>
      <w:sz w:val="24"/>
      <w:szCs w:val="20"/>
    </w:rPr>
  </w:style>
  <w:style w:type="paragraph" w:customStyle="1" w:styleId="p26">
    <w:name w:val="p26"/>
    <w:basedOn w:val="Normal"/>
    <w:rsid w:val="009C13A9"/>
    <w:pPr>
      <w:tabs>
        <w:tab w:val="left" w:pos="520"/>
      </w:tabs>
      <w:suppressAutoHyphens/>
      <w:autoSpaceDE/>
      <w:autoSpaceDN/>
      <w:spacing w:line="240" w:lineRule="atLeast"/>
      <w:ind w:left="864" w:hanging="576"/>
    </w:pPr>
    <w:rPr>
      <w:rFonts w:ascii="Times New Roman" w:hAnsi="Times New Roman"/>
      <w:sz w:val="24"/>
      <w:szCs w:val="20"/>
    </w:rPr>
  </w:style>
  <w:style w:type="paragraph" w:customStyle="1" w:styleId="p31">
    <w:name w:val="p31"/>
    <w:basedOn w:val="Normal"/>
    <w:rsid w:val="009C13A9"/>
    <w:pPr>
      <w:tabs>
        <w:tab w:val="left" w:pos="260"/>
        <w:tab w:val="left" w:pos="540"/>
      </w:tabs>
      <w:suppressAutoHyphens/>
      <w:autoSpaceDE/>
      <w:autoSpaceDN/>
      <w:spacing w:line="220" w:lineRule="atLeast"/>
      <w:ind w:left="1440" w:firstLine="288"/>
    </w:pPr>
    <w:rPr>
      <w:rFonts w:ascii="Times New Roman" w:hAnsi="Times New Roman"/>
      <w:sz w:val="24"/>
      <w:szCs w:val="20"/>
    </w:rPr>
  </w:style>
  <w:style w:type="paragraph" w:customStyle="1" w:styleId="p32">
    <w:name w:val="p32"/>
    <w:basedOn w:val="Normal"/>
    <w:rsid w:val="009C13A9"/>
    <w:pPr>
      <w:tabs>
        <w:tab w:val="left" w:pos="280"/>
      </w:tabs>
      <w:suppressAutoHyphens/>
      <w:autoSpaceDE/>
      <w:autoSpaceDN/>
      <w:spacing w:line="220" w:lineRule="atLeast"/>
      <w:ind w:left="1152" w:hanging="288"/>
      <w:jc w:val="left"/>
    </w:pPr>
    <w:rPr>
      <w:rFonts w:ascii="Times New Roman" w:hAnsi="Times New Roman"/>
      <w:sz w:val="24"/>
      <w:szCs w:val="20"/>
    </w:rPr>
  </w:style>
  <w:style w:type="paragraph" w:customStyle="1" w:styleId="p33">
    <w:name w:val="p33"/>
    <w:basedOn w:val="Normal"/>
    <w:rsid w:val="009C13A9"/>
    <w:pPr>
      <w:tabs>
        <w:tab w:val="left" w:pos="260"/>
      </w:tabs>
      <w:suppressAutoHyphens/>
      <w:autoSpaceDE/>
      <w:autoSpaceDN/>
      <w:spacing w:line="240" w:lineRule="atLeast"/>
      <w:ind w:left="1440" w:firstLine="288"/>
    </w:pPr>
    <w:rPr>
      <w:rFonts w:ascii="Times New Roman" w:hAnsi="Times New Roman"/>
      <w:sz w:val="24"/>
      <w:szCs w:val="20"/>
    </w:rPr>
  </w:style>
  <w:style w:type="paragraph" w:customStyle="1" w:styleId="p36">
    <w:name w:val="p36"/>
    <w:basedOn w:val="Normal"/>
    <w:rsid w:val="009C13A9"/>
    <w:pPr>
      <w:tabs>
        <w:tab w:val="left" w:pos="280"/>
      </w:tabs>
      <w:suppressAutoHyphens/>
      <w:autoSpaceDE/>
      <w:autoSpaceDN/>
      <w:spacing w:line="220" w:lineRule="atLeast"/>
      <w:ind w:left="1152" w:hanging="288"/>
    </w:pPr>
    <w:rPr>
      <w:rFonts w:ascii="Times New Roman" w:hAnsi="Times New Roman"/>
      <w:sz w:val="24"/>
      <w:szCs w:val="20"/>
    </w:rPr>
  </w:style>
  <w:style w:type="paragraph" w:customStyle="1" w:styleId="p39">
    <w:name w:val="p39"/>
    <w:basedOn w:val="Normal"/>
    <w:rsid w:val="009C13A9"/>
    <w:pPr>
      <w:tabs>
        <w:tab w:val="left" w:pos="280"/>
      </w:tabs>
      <w:suppressAutoHyphens/>
      <w:autoSpaceDE/>
      <w:autoSpaceDN/>
      <w:spacing w:line="220" w:lineRule="atLeast"/>
      <w:ind w:left="1152" w:hanging="288"/>
    </w:pPr>
    <w:rPr>
      <w:rFonts w:ascii="Times New Roman" w:hAnsi="Times New Roman"/>
      <w:sz w:val="24"/>
      <w:szCs w:val="20"/>
    </w:rPr>
  </w:style>
  <w:style w:type="paragraph" w:customStyle="1" w:styleId="c6">
    <w:name w:val="c6"/>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28">
    <w:name w:val="p28"/>
    <w:basedOn w:val="Normal"/>
    <w:rsid w:val="009C13A9"/>
    <w:pPr>
      <w:tabs>
        <w:tab w:val="left" w:pos="720"/>
      </w:tabs>
      <w:suppressAutoHyphens/>
      <w:autoSpaceDE/>
      <w:autoSpaceDN/>
      <w:spacing w:line="220" w:lineRule="atLeast"/>
      <w:ind w:left="0" w:firstLine="0"/>
    </w:pPr>
    <w:rPr>
      <w:rFonts w:ascii="Times New Roman" w:hAnsi="Times New Roman"/>
      <w:sz w:val="24"/>
      <w:szCs w:val="20"/>
    </w:rPr>
  </w:style>
  <w:style w:type="paragraph" w:customStyle="1" w:styleId="c56">
    <w:name w:val="c56"/>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c66">
    <w:name w:val="c66"/>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52">
    <w:name w:val="p52"/>
    <w:basedOn w:val="Normal"/>
    <w:rsid w:val="009C13A9"/>
    <w:pPr>
      <w:tabs>
        <w:tab w:val="left" w:pos="720"/>
      </w:tabs>
      <w:suppressAutoHyphens/>
      <w:autoSpaceDE/>
      <w:autoSpaceDN/>
      <w:spacing w:line="220" w:lineRule="atLeast"/>
      <w:ind w:left="0" w:firstLine="0"/>
    </w:pPr>
    <w:rPr>
      <w:rFonts w:ascii="Times New Roman" w:hAnsi="Times New Roman"/>
      <w:sz w:val="24"/>
      <w:szCs w:val="20"/>
    </w:rPr>
  </w:style>
  <w:style w:type="paragraph" w:customStyle="1" w:styleId="c62">
    <w:name w:val="c62"/>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c84">
    <w:name w:val="c84"/>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1">
    <w:name w:val="p1"/>
    <w:basedOn w:val="Normal"/>
    <w:rsid w:val="009C13A9"/>
    <w:pPr>
      <w:tabs>
        <w:tab w:val="left" w:pos="280"/>
      </w:tabs>
      <w:suppressAutoHyphens/>
      <w:autoSpaceDE/>
      <w:autoSpaceDN/>
      <w:spacing w:line="220" w:lineRule="atLeast"/>
      <w:ind w:left="1440" w:firstLine="288"/>
    </w:pPr>
    <w:rPr>
      <w:rFonts w:ascii="Times New Roman" w:hAnsi="Times New Roman"/>
      <w:sz w:val="24"/>
      <w:szCs w:val="20"/>
    </w:rPr>
  </w:style>
  <w:style w:type="paragraph" w:customStyle="1" w:styleId="p2">
    <w:name w:val="p2"/>
    <w:basedOn w:val="Normal"/>
    <w:rsid w:val="009C13A9"/>
    <w:pPr>
      <w:tabs>
        <w:tab w:val="left" w:pos="1700"/>
      </w:tabs>
      <w:suppressAutoHyphens/>
      <w:autoSpaceDE/>
      <w:autoSpaceDN/>
      <w:spacing w:line="340" w:lineRule="atLeast"/>
      <w:ind w:left="288" w:hanging="1728"/>
    </w:pPr>
    <w:rPr>
      <w:rFonts w:ascii="Times New Roman" w:hAnsi="Times New Roman"/>
      <w:sz w:val="24"/>
      <w:szCs w:val="20"/>
    </w:rPr>
  </w:style>
  <w:style w:type="paragraph" w:customStyle="1" w:styleId="VO-Textohne">
    <w:name w:val="VO-Text ohne"/>
    <w:basedOn w:val="Normal"/>
    <w:rsid w:val="009C13A9"/>
    <w:pPr>
      <w:suppressAutoHyphens/>
      <w:autoSpaceDE/>
      <w:autoSpaceDN/>
      <w:spacing w:before="120"/>
      <w:ind w:firstLine="0"/>
    </w:pPr>
    <w:rPr>
      <w:bCs/>
      <w:sz w:val="22"/>
      <w:szCs w:val="20"/>
    </w:rPr>
  </w:style>
  <w:style w:type="paragraph" w:customStyle="1" w:styleId="Commentaire2">
    <w:name w:val="Commentaire2"/>
    <w:basedOn w:val="Normal"/>
    <w:rsid w:val="009C13A9"/>
    <w:pPr>
      <w:suppressAutoHyphens/>
      <w:autoSpaceDE/>
      <w:autoSpaceDN/>
      <w:ind w:left="0" w:firstLine="0"/>
      <w:jc w:val="left"/>
    </w:pPr>
    <w:rPr>
      <w:szCs w:val="20"/>
    </w:rPr>
  </w:style>
  <w:style w:type="paragraph" w:customStyle="1" w:styleId="VO-Text-AbsnachNr">
    <w:name w:val="VO-Text-Abs nach Nr"/>
    <w:basedOn w:val="Normal"/>
    <w:rsid w:val="009C13A9"/>
    <w:pPr>
      <w:tabs>
        <w:tab w:val="left" w:pos="992"/>
        <w:tab w:val="left" w:pos="1418"/>
      </w:tabs>
      <w:suppressAutoHyphens/>
      <w:autoSpaceDE/>
      <w:autoSpaceDN/>
      <w:spacing w:before="120"/>
      <w:ind w:left="992" w:hanging="567"/>
    </w:pPr>
    <w:rPr>
      <w:b/>
      <w:bCs/>
      <w:sz w:val="22"/>
    </w:rPr>
  </w:style>
  <w:style w:type="paragraph" w:customStyle="1" w:styleId="VO-TextEinzug">
    <w:name w:val="VO-Text Einzug"/>
    <w:basedOn w:val="VO-Text-AbsnachNr"/>
    <w:rsid w:val="009C13A9"/>
    <w:pPr>
      <w:ind w:firstLine="0"/>
    </w:pPr>
  </w:style>
  <w:style w:type="paragraph" w:customStyle="1" w:styleId="TNR1Tab">
    <w:name w:val="TNR1Tab"/>
    <w:basedOn w:val="TNR1"/>
    <w:rsid w:val="009C13A9"/>
    <w:pPr>
      <w:widowControl w:val="0"/>
      <w:tabs>
        <w:tab w:val="clear" w:pos="907"/>
        <w:tab w:val="left" w:pos="1021"/>
      </w:tabs>
      <w:suppressAutoHyphens/>
      <w:overflowPunct/>
      <w:autoSpaceDE/>
      <w:autoSpaceDN/>
      <w:adjustRightInd/>
      <w:spacing w:line="240" w:lineRule="exact"/>
      <w:ind w:left="284" w:right="57"/>
      <w:textAlignment w:val="auto"/>
    </w:pPr>
    <w:rPr>
      <w:sz w:val="20"/>
    </w:rPr>
  </w:style>
  <w:style w:type="paragraph" w:customStyle="1" w:styleId="TNRATab">
    <w:name w:val="TNRATab"/>
    <w:basedOn w:val="TNR1Tab"/>
    <w:rsid w:val="009C13A9"/>
    <w:pPr>
      <w:tabs>
        <w:tab w:val="left" w:pos="568"/>
      </w:tabs>
      <w:ind w:left="568" w:hanging="283"/>
    </w:pPr>
  </w:style>
  <w:style w:type="paragraph" w:customStyle="1" w:styleId="Corpsdetexte21">
    <w:name w:val="Corps de texte 21"/>
    <w:basedOn w:val="Normal"/>
    <w:rsid w:val="009C13A9"/>
    <w:pPr>
      <w:widowControl w:val="0"/>
      <w:tabs>
        <w:tab w:val="left" w:pos="851"/>
      </w:tabs>
      <w:suppressAutoHyphens/>
      <w:overflowPunct w:val="0"/>
      <w:autoSpaceDN/>
      <w:ind w:left="365" w:firstLine="0"/>
      <w:textAlignment w:val="baseline"/>
    </w:pPr>
    <w:rPr>
      <w:rFonts w:ascii="CG Times (W1)" w:hAnsi="CG Times (W1)"/>
      <w:sz w:val="24"/>
      <w:szCs w:val="20"/>
    </w:rPr>
  </w:style>
  <w:style w:type="paragraph" w:customStyle="1" w:styleId="Retraitcorpsdetexte31">
    <w:name w:val="Retrait corps de texte 31"/>
    <w:basedOn w:val="Normal"/>
    <w:rsid w:val="009C13A9"/>
    <w:pPr>
      <w:suppressAutoHyphens/>
      <w:autoSpaceDE/>
      <w:autoSpaceDN/>
      <w:spacing w:after="120" w:line="360" w:lineRule="auto"/>
      <w:ind w:left="283" w:firstLine="0"/>
      <w:jc w:val="left"/>
    </w:pPr>
    <w:rPr>
      <w:rFonts w:ascii="Times New Roman" w:hAnsi="Times New Roman"/>
      <w:sz w:val="16"/>
      <w:szCs w:val="16"/>
    </w:rPr>
  </w:style>
  <w:style w:type="paragraph" w:customStyle="1" w:styleId="u1">
    <w:name w:val="u1"/>
    <w:basedOn w:val="Normal"/>
    <w:rsid w:val="009C13A9"/>
    <w:pPr>
      <w:keepNext/>
      <w:keepLines/>
      <w:tabs>
        <w:tab w:val="left" w:pos="851"/>
        <w:tab w:val="left" w:pos="1134"/>
        <w:tab w:val="left" w:pos="1418"/>
      </w:tabs>
      <w:suppressAutoHyphens/>
      <w:autoSpaceDE/>
      <w:autoSpaceDN/>
      <w:spacing w:before="720" w:line="240" w:lineRule="atLeast"/>
      <w:ind w:left="851" w:hanging="851"/>
    </w:pPr>
    <w:rPr>
      <w:rFonts w:ascii="Times New Roman" w:hAnsi="Times New Roman"/>
      <w:b/>
      <w:sz w:val="24"/>
      <w:szCs w:val="20"/>
    </w:rPr>
  </w:style>
  <w:style w:type="paragraph" w:customStyle="1" w:styleId="u2">
    <w:name w:val="u2"/>
    <w:basedOn w:val="Normal"/>
    <w:rsid w:val="009C13A9"/>
    <w:pPr>
      <w:keepNext/>
      <w:keepLines/>
      <w:tabs>
        <w:tab w:val="left" w:pos="851"/>
        <w:tab w:val="left" w:pos="1134"/>
        <w:tab w:val="left" w:pos="1418"/>
      </w:tabs>
      <w:suppressAutoHyphens/>
      <w:autoSpaceDE/>
      <w:autoSpaceDN/>
      <w:spacing w:before="240" w:line="240" w:lineRule="atLeast"/>
      <w:ind w:left="851" w:hanging="851"/>
    </w:pPr>
    <w:rPr>
      <w:rFonts w:ascii="Times New Roman" w:hAnsi="Times New Roman"/>
      <w:b/>
      <w:sz w:val="24"/>
      <w:szCs w:val="20"/>
    </w:rPr>
  </w:style>
  <w:style w:type="paragraph" w:customStyle="1" w:styleId="Retraitcorpsdetexte23">
    <w:name w:val="Retrait corps de texte 23"/>
    <w:basedOn w:val="Normal"/>
    <w:rsid w:val="009C13A9"/>
    <w:pPr>
      <w:widowControl w:val="0"/>
      <w:tabs>
        <w:tab w:val="left" w:pos="284"/>
      </w:tabs>
      <w:suppressAutoHyphens/>
      <w:autoSpaceDE/>
      <w:autoSpaceDN/>
      <w:ind w:left="284" w:hanging="284"/>
      <w:jc w:val="left"/>
    </w:pPr>
    <w:rPr>
      <w:rFonts w:ascii="Times New Roman" w:hAnsi="Times New Roman"/>
      <w:i/>
      <w:sz w:val="24"/>
      <w:szCs w:val="20"/>
    </w:rPr>
  </w:style>
  <w:style w:type="paragraph" w:customStyle="1" w:styleId="Formatvorlage1">
    <w:name w:val="Formatvorlage1"/>
    <w:basedOn w:val="Normal"/>
    <w:rsid w:val="009C13A9"/>
    <w:pPr>
      <w:tabs>
        <w:tab w:val="left" w:pos="851"/>
      </w:tabs>
      <w:suppressAutoHyphens/>
      <w:overflowPunct w:val="0"/>
      <w:autoSpaceDN/>
      <w:spacing w:before="120"/>
      <w:ind w:left="850"/>
      <w:textAlignment w:val="baseline"/>
    </w:pPr>
    <w:rPr>
      <w:bCs/>
      <w:iCs/>
      <w:szCs w:val="20"/>
    </w:rPr>
  </w:style>
  <w:style w:type="paragraph" w:customStyle="1" w:styleId="Corpsdetexte31">
    <w:name w:val="Corps de texte 31"/>
    <w:basedOn w:val="Normal"/>
    <w:rsid w:val="009C13A9"/>
    <w:pPr>
      <w:suppressAutoHyphens/>
      <w:overflowPunct w:val="0"/>
      <w:autoSpaceDN/>
      <w:spacing w:before="40" w:after="40"/>
      <w:ind w:left="0" w:firstLine="0"/>
      <w:jc w:val="left"/>
      <w:textAlignment w:val="baseline"/>
    </w:pPr>
    <w:rPr>
      <w:szCs w:val="20"/>
    </w:rPr>
  </w:style>
  <w:style w:type="paragraph" w:customStyle="1" w:styleId="Grundtext">
    <w:name w:val="Grundtext"/>
    <w:rsid w:val="009C13A9"/>
    <w:pPr>
      <w:tabs>
        <w:tab w:val="left" w:pos="720"/>
        <w:tab w:val="left" w:pos="1440"/>
        <w:tab w:val="left" w:pos="2160"/>
        <w:tab w:val="left" w:pos="2880"/>
        <w:tab w:val="left" w:pos="3600"/>
        <w:tab w:val="left" w:pos="4320"/>
        <w:tab w:val="left" w:pos="5040"/>
        <w:tab w:val="left" w:pos="5760"/>
      </w:tabs>
      <w:suppressAutoHyphens/>
      <w:spacing w:after="240" w:line="240" w:lineRule="atLeast"/>
    </w:pPr>
    <w:rPr>
      <w:rFonts w:ascii="Times New Roman" w:eastAsia="Arial" w:hAnsi="Times New Roman"/>
      <w:color w:val="000000"/>
      <w:sz w:val="24"/>
    </w:rPr>
  </w:style>
  <w:style w:type="paragraph" w:customStyle="1" w:styleId="Normalcentr1">
    <w:name w:val="Normal centré1"/>
    <w:basedOn w:val="Normal"/>
    <w:rsid w:val="009C13A9"/>
    <w:pPr>
      <w:suppressAutoHyphens/>
      <w:autoSpaceDE/>
      <w:autoSpaceDN/>
      <w:spacing w:before="60" w:after="60"/>
      <w:ind w:left="427" w:right="57" w:hanging="370"/>
      <w:jc w:val="left"/>
    </w:pPr>
    <w:rPr>
      <w:szCs w:val="20"/>
    </w:rPr>
  </w:style>
  <w:style w:type="paragraph" w:customStyle="1" w:styleId="BlockText2">
    <w:name w:val="Block Text2"/>
    <w:basedOn w:val="Normal"/>
    <w:rsid w:val="009C13A9"/>
    <w:pPr>
      <w:widowControl w:val="0"/>
      <w:tabs>
        <w:tab w:val="left" w:pos="648"/>
      </w:tabs>
      <w:suppressAutoHyphens/>
      <w:overflowPunct w:val="0"/>
      <w:autoSpaceDN/>
      <w:ind w:left="709" w:right="142" w:hanging="567"/>
      <w:textAlignment w:val="baseline"/>
    </w:pPr>
    <w:rPr>
      <w:rFonts w:ascii="CG Times (W1)" w:hAnsi="CG Times (W1)"/>
      <w:sz w:val="24"/>
      <w:szCs w:val="20"/>
    </w:rPr>
  </w:style>
  <w:style w:type="paragraph" w:customStyle="1" w:styleId="BlockText3">
    <w:name w:val="Block Text3"/>
    <w:basedOn w:val="Normal"/>
    <w:rsid w:val="009C13A9"/>
    <w:pPr>
      <w:widowControl w:val="0"/>
      <w:tabs>
        <w:tab w:val="left" w:pos="648"/>
      </w:tabs>
      <w:suppressAutoHyphens/>
      <w:overflowPunct w:val="0"/>
      <w:autoSpaceDN/>
      <w:ind w:left="648" w:right="143" w:hanging="506"/>
      <w:jc w:val="left"/>
      <w:textAlignment w:val="baseline"/>
    </w:pPr>
    <w:rPr>
      <w:rFonts w:ascii="CG Times (W1)" w:hAnsi="CG Times (W1)"/>
      <w:sz w:val="24"/>
      <w:szCs w:val="20"/>
    </w:rPr>
  </w:style>
  <w:style w:type="paragraph" w:customStyle="1" w:styleId="BlockText1">
    <w:name w:val="Block Text1"/>
    <w:basedOn w:val="Normal"/>
    <w:rsid w:val="009C13A9"/>
    <w:pPr>
      <w:widowControl w:val="0"/>
      <w:tabs>
        <w:tab w:val="left" w:pos="720"/>
      </w:tabs>
      <w:suppressAutoHyphens/>
      <w:overflowPunct w:val="0"/>
      <w:autoSpaceDN/>
      <w:ind w:left="360" w:right="143" w:firstLine="0"/>
      <w:textAlignment w:val="baseline"/>
    </w:pPr>
    <w:rPr>
      <w:rFonts w:ascii="CG Times (W1)" w:hAnsi="CG Times (W1)"/>
      <w:sz w:val="24"/>
      <w:szCs w:val="20"/>
    </w:rPr>
  </w:style>
  <w:style w:type="paragraph" w:customStyle="1" w:styleId="berschrift71">
    <w:name w:val="Überschrift 71"/>
    <w:basedOn w:val="Normal"/>
    <w:next w:val="Normal"/>
    <w:rsid w:val="009C13A9"/>
    <w:pPr>
      <w:keepNext/>
      <w:widowControl w:val="0"/>
      <w:suppressAutoHyphens/>
      <w:overflowPunct w:val="0"/>
      <w:autoSpaceDN/>
      <w:ind w:left="81" w:right="143" w:firstLine="61"/>
      <w:jc w:val="center"/>
      <w:textAlignment w:val="baseline"/>
    </w:pPr>
    <w:rPr>
      <w:rFonts w:ascii="CG Times (W1)" w:hAnsi="CG Times (W1)"/>
      <w:b/>
      <w:sz w:val="24"/>
      <w:szCs w:val="20"/>
      <w:u w:val="single"/>
    </w:rPr>
  </w:style>
  <w:style w:type="paragraph" w:customStyle="1" w:styleId="Corpsdetexte2">
    <w:name w:val="Corps de texte2"/>
    <w:basedOn w:val="Normal"/>
    <w:rsid w:val="009C13A9"/>
    <w:pPr>
      <w:widowControl w:val="0"/>
      <w:suppressAutoHyphens/>
      <w:overflowPunct w:val="0"/>
      <w:autoSpaceDN/>
      <w:spacing w:line="340" w:lineRule="atLeast"/>
      <w:ind w:left="0" w:firstLine="0"/>
      <w:textAlignment w:val="baseline"/>
    </w:pPr>
    <w:rPr>
      <w:rFonts w:ascii="Times New Roman" w:hAnsi="Times New Roman"/>
      <w:sz w:val="24"/>
      <w:szCs w:val="20"/>
    </w:rPr>
  </w:style>
  <w:style w:type="paragraph" w:customStyle="1" w:styleId="Pres1">
    <w:name w:val="P_res1"/>
    <w:basedOn w:val="TNR1"/>
    <w:rsid w:val="009C13A9"/>
    <w:pPr>
      <w:tabs>
        <w:tab w:val="clear" w:pos="907"/>
        <w:tab w:val="left" w:pos="851"/>
        <w:tab w:val="left" w:pos="1021"/>
      </w:tabs>
      <w:suppressAutoHyphens/>
      <w:overflowPunct/>
      <w:autoSpaceDE/>
      <w:autoSpaceDN/>
      <w:adjustRightInd/>
      <w:spacing w:after="80"/>
      <w:ind w:left="851" w:hanging="425"/>
      <w:textAlignment w:val="auto"/>
    </w:pPr>
  </w:style>
  <w:style w:type="paragraph" w:customStyle="1" w:styleId="Presa">
    <w:name w:val="P_res_a"/>
    <w:basedOn w:val="TNRA"/>
    <w:rsid w:val="009C13A9"/>
    <w:pPr>
      <w:tabs>
        <w:tab w:val="clear" w:pos="907"/>
        <w:tab w:val="left" w:pos="1021"/>
        <w:tab w:val="left" w:pos="1276"/>
      </w:tabs>
      <w:suppressAutoHyphens/>
      <w:autoSpaceDN/>
      <w:adjustRightInd/>
      <w:spacing w:after="80" w:line="240" w:lineRule="exact"/>
      <w:ind w:left="1276" w:hanging="425"/>
    </w:pPr>
  </w:style>
  <w:style w:type="paragraph" w:customStyle="1" w:styleId="Prestiret">
    <w:name w:val="P_res_tiret"/>
    <w:basedOn w:val="TNRA"/>
    <w:rsid w:val="009C13A9"/>
    <w:pPr>
      <w:tabs>
        <w:tab w:val="clear" w:pos="907"/>
        <w:tab w:val="left" w:pos="1021"/>
        <w:tab w:val="left" w:pos="1560"/>
      </w:tabs>
      <w:suppressAutoHyphens/>
      <w:autoSpaceDN/>
      <w:adjustRightInd/>
      <w:spacing w:line="240" w:lineRule="exact"/>
      <w:ind w:left="1560"/>
    </w:pPr>
  </w:style>
  <w:style w:type="paragraph" w:customStyle="1" w:styleId="Corpsdetexte1">
    <w:name w:val="Corps de texte1"/>
    <w:basedOn w:val="Normal"/>
    <w:rsid w:val="009C13A9"/>
    <w:pPr>
      <w:widowControl w:val="0"/>
      <w:suppressAutoHyphens/>
      <w:overflowPunct w:val="0"/>
      <w:autoSpaceDN/>
      <w:spacing w:line="340" w:lineRule="atLeast"/>
      <w:ind w:left="0" w:firstLine="0"/>
      <w:textAlignment w:val="baseline"/>
    </w:pPr>
    <w:rPr>
      <w:rFonts w:ascii="Times New Roman" w:hAnsi="Times New Roman"/>
      <w:sz w:val="24"/>
      <w:szCs w:val="20"/>
    </w:rPr>
  </w:style>
  <w:style w:type="paragraph" w:customStyle="1" w:styleId="Sty1">
    <w:name w:val="Sty_1"/>
    <w:basedOn w:val="BodyText"/>
    <w:rsid w:val="009C13A9"/>
    <w:pPr>
      <w:keepNext w:val="0"/>
      <w:tabs>
        <w:tab w:val="clear" w:pos="709"/>
        <w:tab w:val="left" w:pos="567"/>
      </w:tabs>
      <w:suppressAutoHyphens/>
      <w:autoSpaceDE w:val="0"/>
      <w:spacing w:line="240" w:lineRule="auto"/>
      <w:ind w:left="567" w:hanging="567"/>
      <w:jc w:val="both"/>
    </w:pPr>
    <w:rPr>
      <w:rFonts w:cs="Arial"/>
    </w:rPr>
  </w:style>
  <w:style w:type="paragraph" w:customStyle="1" w:styleId="Standard1">
    <w:name w:val="Standard1"/>
    <w:rsid w:val="009C13A9"/>
    <w:pPr>
      <w:widowControl w:val="0"/>
      <w:suppressAutoHyphens/>
      <w:overflowPunct w:val="0"/>
      <w:autoSpaceDE w:val="0"/>
      <w:jc w:val="both"/>
      <w:textAlignment w:val="baseline"/>
    </w:pPr>
    <w:rPr>
      <w:rFonts w:ascii="CG Times (W1)" w:eastAsia="Arial" w:hAnsi="CG Times (W1)"/>
      <w:sz w:val="24"/>
    </w:rPr>
  </w:style>
  <w:style w:type="paragraph" w:customStyle="1" w:styleId="Kopfzeile1">
    <w:name w:val="Kopfzeile1"/>
    <w:basedOn w:val="Standard1"/>
    <w:rsid w:val="009C13A9"/>
    <w:pPr>
      <w:tabs>
        <w:tab w:val="center" w:pos="4819"/>
        <w:tab w:val="right" w:pos="9071"/>
      </w:tabs>
    </w:pPr>
  </w:style>
  <w:style w:type="paragraph" w:customStyle="1" w:styleId="BodyTextIndent21">
    <w:name w:val="Body Text Indent 21"/>
    <w:basedOn w:val="Normal"/>
    <w:rsid w:val="009C13A9"/>
    <w:pPr>
      <w:widowControl w:val="0"/>
      <w:tabs>
        <w:tab w:val="left" w:pos="426"/>
      </w:tabs>
      <w:suppressAutoHyphens/>
      <w:autoSpaceDE/>
      <w:autoSpaceDN/>
      <w:spacing w:line="240" w:lineRule="atLeast"/>
      <w:ind w:left="426" w:hanging="426"/>
    </w:pPr>
    <w:rPr>
      <w:szCs w:val="20"/>
    </w:rPr>
  </w:style>
  <w:style w:type="paragraph" w:customStyle="1" w:styleId="FreytagText">
    <w:name w:val="FreytagText"/>
    <w:basedOn w:val="Normal"/>
    <w:rsid w:val="009C13A9"/>
    <w:pPr>
      <w:tabs>
        <w:tab w:val="left" w:pos="709"/>
        <w:tab w:val="left" w:pos="1134"/>
        <w:tab w:val="left" w:pos="1559"/>
        <w:tab w:val="left" w:pos="2126"/>
        <w:tab w:val="left" w:pos="2835"/>
        <w:tab w:val="left" w:pos="3544"/>
        <w:tab w:val="left" w:pos="4253"/>
        <w:tab w:val="left" w:pos="4961"/>
        <w:tab w:val="left" w:pos="5670"/>
        <w:tab w:val="left" w:pos="6379"/>
        <w:tab w:val="left" w:pos="7088"/>
      </w:tabs>
      <w:suppressAutoHyphens/>
      <w:autoSpaceDE/>
      <w:autoSpaceDN/>
      <w:spacing w:line="360" w:lineRule="auto"/>
      <w:ind w:left="0" w:firstLine="0"/>
    </w:pPr>
    <w:rPr>
      <w:spacing w:val="8"/>
      <w:sz w:val="22"/>
      <w:szCs w:val="20"/>
    </w:rPr>
  </w:style>
  <w:style w:type="paragraph" w:customStyle="1" w:styleId="Rad11">
    <w:name w:val="Rad1.1"/>
    <w:basedOn w:val="Normal"/>
    <w:rsid w:val="009C13A9"/>
    <w:pPr>
      <w:tabs>
        <w:tab w:val="left" w:pos="284"/>
        <w:tab w:val="left" w:pos="454"/>
        <w:tab w:val="left" w:pos="709"/>
      </w:tabs>
      <w:suppressAutoHyphens/>
      <w:autoSpaceDE/>
      <w:autoSpaceDN/>
      <w:spacing w:line="240" w:lineRule="exact"/>
      <w:ind w:left="0" w:hanging="426"/>
    </w:pPr>
    <w:rPr>
      <w:rFonts w:ascii="Times New Roman" w:hAnsi="Times New Roman"/>
      <w:sz w:val="24"/>
      <w:szCs w:val="20"/>
    </w:rPr>
  </w:style>
  <w:style w:type="paragraph" w:customStyle="1" w:styleId="Par1">
    <w:name w:val="Par_1"/>
    <w:basedOn w:val="Normal"/>
    <w:rsid w:val="009C13A9"/>
    <w:pPr>
      <w:tabs>
        <w:tab w:val="left" w:pos="482"/>
      </w:tabs>
      <w:suppressAutoHyphens/>
      <w:autoSpaceDE/>
      <w:autoSpaceDN/>
      <w:spacing w:before="40" w:after="40"/>
      <w:ind w:left="482" w:right="57"/>
    </w:pPr>
    <w:rPr>
      <w:szCs w:val="20"/>
    </w:rPr>
  </w:style>
  <w:style w:type="paragraph" w:customStyle="1" w:styleId="t62">
    <w:name w:val="t62"/>
    <w:basedOn w:val="Normal"/>
    <w:rsid w:val="009C13A9"/>
    <w:pPr>
      <w:suppressAutoHyphens/>
      <w:autoSpaceDE/>
      <w:autoSpaceDN/>
      <w:spacing w:line="240" w:lineRule="atLeast"/>
      <w:ind w:left="0" w:firstLine="0"/>
      <w:jc w:val="left"/>
    </w:pPr>
    <w:rPr>
      <w:rFonts w:ascii="Times New Roman" w:hAnsi="Times New Roman"/>
      <w:sz w:val="24"/>
      <w:szCs w:val="20"/>
    </w:rPr>
  </w:style>
  <w:style w:type="paragraph" w:customStyle="1" w:styleId="p17">
    <w:name w:val="p17"/>
    <w:basedOn w:val="Normal"/>
    <w:rsid w:val="009C13A9"/>
    <w:pPr>
      <w:tabs>
        <w:tab w:val="left" w:pos="280"/>
      </w:tabs>
      <w:suppressAutoHyphens/>
      <w:autoSpaceDE/>
      <w:autoSpaceDN/>
      <w:spacing w:line="200" w:lineRule="atLeast"/>
      <w:ind w:left="1440" w:firstLine="288"/>
      <w:jc w:val="left"/>
    </w:pPr>
    <w:rPr>
      <w:rFonts w:ascii="Times New Roman" w:hAnsi="Times New Roman"/>
      <w:sz w:val="24"/>
      <w:szCs w:val="20"/>
    </w:rPr>
  </w:style>
  <w:style w:type="paragraph" w:customStyle="1" w:styleId="p67">
    <w:name w:val="p67"/>
    <w:basedOn w:val="Normal"/>
    <w:rsid w:val="009C13A9"/>
    <w:pPr>
      <w:tabs>
        <w:tab w:val="left" w:pos="660"/>
      </w:tabs>
      <w:suppressAutoHyphens/>
      <w:autoSpaceDE/>
      <w:autoSpaceDN/>
      <w:spacing w:line="200" w:lineRule="atLeast"/>
      <w:ind w:left="780" w:firstLine="0"/>
      <w:jc w:val="left"/>
    </w:pPr>
    <w:rPr>
      <w:rFonts w:ascii="Times New Roman" w:hAnsi="Times New Roman"/>
      <w:sz w:val="24"/>
      <w:szCs w:val="20"/>
    </w:rPr>
  </w:style>
  <w:style w:type="paragraph" w:customStyle="1" w:styleId="ai">
    <w:name w:val="ai"/>
    <w:basedOn w:val="Normal"/>
    <w:rsid w:val="009C13A9"/>
    <w:pPr>
      <w:tabs>
        <w:tab w:val="left" w:pos="425"/>
      </w:tabs>
      <w:suppressAutoHyphens/>
      <w:autoSpaceDE/>
      <w:autoSpaceDN/>
      <w:spacing w:line="240" w:lineRule="atLeast"/>
    </w:pPr>
    <w:rPr>
      <w:rFonts w:cs="Arial"/>
      <w:bCs/>
      <w:i/>
      <w:sz w:val="22"/>
    </w:rPr>
  </w:style>
  <w:style w:type="paragraph" w:customStyle="1" w:styleId="aai">
    <w:name w:val="aai"/>
    <w:basedOn w:val="Normal"/>
    <w:rsid w:val="009C13A9"/>
    <w:pPr>
      <w:tabs>
        <w:tab w:val="left" w:pos="851"/>
      </w:tabs>
      <w:suppressAutoHyphens/>
      <w:autoSpaceDE/>
      <w:autoSpaceDN/>
      <w:spacing w:line="240" w:lineRule="atLeast"/>
      <w:ind w:left="850"/>
    </w:pPr>
    <w:rPr>
      <w:rFonts w:cs="Arial"/>
      <w:bCs/>
      <w:i/>
      <w:sz w:val="22"/>
    </w:rPr>
  </w:style>
  <w:style w:type="paragraph" w:customStyle="1" w:styleId="achi">
    <w:name w:val="achi"/>
    <w:basedOn w:val="aa"/>
    <w:rsid w:val="009C13A9"/>
    <w:pPr>
      <w:widowControl w:val="0"/>
      <w:tabs>
        <w:tab w:val="clear" w:pos="425"/>
        <w:tab w:val="clear" w:pos="851"/>
        <w:tab w:val="clear" w:pos="1701"/>
        <w:tab w:val="clear" w:pos="2126"/>
        <w:tab w:val="left" w:pos="284"/>
        <w:tab w:val="left" w:pos="454"/>
        <w:tab w:val="left" w:pos="680"/>
        <w:tab w:val="left" w:pos="1021"/>
        <w:tab w:val="left" w:pos="1559"/>
      </w:tabs>
      <w:suppressAutoHyphens/>
      <w:autoSpaceDN/>
      <w:adjustRightInd/>
      <w:spacing w:before="0"/>
      <w:ind w:left="1560" w:hanging="709"/>
    </w:pPr>
    <w:rPr>
      <w:szCs w:val="20"/>
    </w:rPr>
  </w:style>
  <w:style w:type="paragraph" w:customStyle="1" w:styleId="xl39">
    <w:name w:val="xl39"/>
    <w:basedOn w:val="Normal"/>
    <w:rsid w:val="009C13A9"/>
    <w:pPr>
      <w:suppressAutoHyphens/>
      <w:autoSpaceDE/>
      <w:autoSpaceDN/>
      <w:spacing w:before="100" w:after="100"/>
      <w:ind w:left="0" w:firstLine="0"/>
      <w:jc w:val="center"/>
    </w:pPr>
    <w:rPr>
      <w:rFonts w:cs="Arial"/>
      <w:b/>
      <w:bCs/>
      <w:sz w:val="24"/>
    </w:rPr>
  </w:style>
  <w:style w:type="paragraph" w:customStyle="1" w:styleId="Textedebulles1">
    <w:name w:val="Texte de bulles1"/>
    <w:basedOn w:val="Normal"/>
    <w:rsid w:val="009C13A9"/>
    <w:pPr>
      <w:suppressAutoHyphens/>
      <w:overflowPunct w:val="0"/>
      <w:autoSpaceDN/>
      <w:ind w:left="0" w:firstLine="0"/>
      <w:textAlignment w:val="baseline"/>
    </w:pPr>
    <w:rPr>
      <w:rFonts w:ascii="Times New Roman" w:hAnsi="Times New Roman"/>
      <w:sz w:val="16"/>
      <w:szCs w:val="16"/>
    </w:rPr>
  </w:style>
  <w:style w:type="paragraph" w:customStyle="1" w:styleId="Text10">
    <w:name w:val="Text1"/>
    <w:basedOn w:val="Normal"/>
    <w:rsid w:val="009C13A9"/>
    <w:pPr>
      <w:suppressAutoHyphens/>
      <w:autoSpaceDE/>
      <w:autoSpaceDN/>
      <w:spacing w:after="120" w:line="360" w:lineRule="auto"/>
      <w:ind w:left="0" w:firstLine="0"/>
      <w:jc w:val="left"/>
    </w:pPr>
    <w:rPr>
      <w:rFonts w:ascii="Arial Narrow" w:hAnsi="Arial Narrow"/>
      <w:sz w:val="22"/>
      <w:szCs w:val="22"/>
    </w:rPr>
  </w:style>
  <w:style w:type="paragraph" w:customStyle="1" w:styleId="Default">
    <w:name w:val="Default"/>
    <w:rsid w:val="009C13A9"/>
    <w:pPr>
      <w:widowControl w:val="0"/>
      <w:suppressAutoHyphens/>
      <w:autoSpaceDE w:val="0"/>
    </w:pPr>
    <w:rPr>
      <w:rFonts w:ascii="EU Albertina" w:eastAsia="Arial" w:hAnsi="EU Albertina" w:cs="EU Albertina"/>
      <w:color w:val="000000"/>
      <w:sz w:val="24"/>
      <w:szCs w:val="24"/>
    </w:rPr>
  </w:style>
  <w:style w:type="paragraph" w:customStyle="1" w:styleId="CM204">
    <w:name w:val="CM204"/>
    <w:basedOn w:val="Default"/>
    <w:next w:val="Default"/>
    <w:rsid w:val="009C13A9"/>
    <w:pPr>
      <w:spacing w:after="173"/>
    </w:pPr>
    <w:rPr>
      <w:color w:val="auto"/>
    </w:rPr>
  </w:style>
  <w:style w:type="paragraph" w:customStyle="1" w:styleId="CM202">
    <w:name w:val="CM202"/>
    <w:basedOn w:val="Default"/>
    <w:next w:val="Default"/>
    <w:rsid w:val="009C13A9"/>
    <w:pPr>
      <w:spacing w:after="298"/>
    </w:pPr>
    <w:rPr>
      <w:color w:val="auto"/>
    </w:rPr>
  </w:style>
  <w:style w:type="paragraph" w:customStyle="1" w:styleId="CM209">
    <w:name w:val="CM209"/>
    <w:basedOn w:val="Normal"/>
    <w:next w:val="Normal"/>
    <w:rsid w:val="009C13A9"/>
    <w:pPr>
      <w:widowControl w:val="0"/>
      <w:suppressAutoHyphens/>
      <w:autoSpaceDN/>
      <w:spacing w:after="513"/>
      <w:ind w:left="0" w:firstLine="0"/>
      <w:jc w:val="left"/>
    </w:pPr>
    <w:rPr>
      <w:rFonts w:ascii="EU Albertina" w:hAnsi="EU Albertina"/>
      <w:sz w:val="24"/>
    </w:rPr>
  </w:style>
  <w:style w:type="paragraph" w:customStyle="1" w:styleId="CM208">
    <w:name w:val="CM208"/>
    <w:basedOn w:val="Default"/>
    <w:next w:val="Default"/>
    <w:rsid w:val="009C13A9"/>
    <w:pPr>
      <w:spacing w:after="240"/>
    </w:pPr>
    <w:rPr>
      <w:color w:val="auto"/>
    </w:rPr>
  </w:style>
  <w:style w:type="paragraph" w:customStyle="1" w:styleId="CM62">
    <w:name w:val="CM62"/>
    <w:basedOn w:val="Default"/>
    <w:next w:val="Default"/>
    <w:rsid w:val="009C13A9"/>
    <w:pPr>
      <w:spacing w:line="188" w:lineRule="atLeast"/>
    </w:pPr>
    <w:rPr>
      <w:color w:val="auto"/>
    </w:rPr>
  </w:style>
  <w:style w:type="paragraph" w:customStyle="1" w:styleId="CM215">
    <w:name w:val="CM215"/>
    <w:basedOn w:val="Default"/>
    <w:next w:val="Default"/>
    <w:rsid w:val="009C13A9"/>
    <w:pPr>
      <w:spacing w:after="613"/>
    </w:pPr>
    <w:rPr>
      <w:color w:val="auto"/>
    </w:rPr>
  </w:style>
  <w:style w:type="paragraph" w:customStyle="1" w:styleId="Formatvorlageberschrift212ptNichtKursivLinks0cmErsteZeil">
    <w:name w:val="Formatvorlage Überschrift 2 + 12 pt Nicht Kursiv Links:  0 cm Erste Zeil..."/>
    <w:basedOn w:val="Heading2"/>
    <w:rsid w:val="009C13A9"/>
    <w:pPr>
      <w:numPr>
        <w:ilvl w:val="0"/>
        <w:numId w:val="0"/>
      </w:numPr>
      <w:tabs>
        <w:tab w:val="left" w:pos="720"/>
      </w:tabs>
      <w:suppressAutoHyphens/>
      <w:autoSpaceDE/>
      <w:autoSpaceDN/>
      <w:spacing w:before="240" w:after="120"/>
      <w:ind w:left="720" w:hanging="720"/>
      <w:jc w:val="left"/>
    </w:pPr>
    <w:rPr>
      <w:rFonts w:ascii="Arial" w:hAnsi="Arial"/>
      <w:i w:val="0"/>
      <w:iCs w:val="0"/>
      <w:sz w:val="24"/>
      <w:szCs w:val="20"/>
    </w:rPr>
  </w:style>
  <w:style w:type="paragraph" w:customStyle="1" w:styleId="Bo1">
    <w:name w:val="Bo1"/>
    <w:basedOn w:val="Normal"/>
    <w:rsid w:val="009C13A9"/>
    <w:pPr>
      <w:suppressAutoHyphens/>
      <w:autoSpaceDE/>
      <w:autoSpaceDN/>
      <w:spacing w:line="240" w:lineRule="atLeast"/>
      <w:ind w:left="1134" w:hanging="709"/>
    </w:pPr>
    <w:rPr>
      <w:rFonts w:ascii="Times New Roman" w:hAnsi="Times New Roman"/>
      <w:b/>
      <w:sz w:val="22"/>
    </w:rPr>
  </w:style>
  <w:style w:type="paragraph" w:customStyle="1" w:styleId="Bo11">
    <w:name w:val="Bo1_1"/>
    <w:basedOn w:val="Normal"/>
    <w:rsid w:val="009C13A9"/>
    <w:pPr>
      <w:tabs>
        <w:tab w:val="left" w:pos="1134"/>
      </w:tabs>
      <w:suppressAutoHyphens/>
      <w:overflowPunct w:val="0"/>
      <w:autoSpaceDN/>
      <w:spacing w:line="240" w:lineRule="atLeast"/>
      <w:ind w:left="1134" w:hanging="709"/>
      <w:textAlignment w:val="baseline"/>
    </w:pPr>
    <w:rPr>
      <w:rFonts w:ascii="Times New Roman" w:hAnsi="Times New Roman"/>
      <w:sz w:val="24"/>
    </w:rPr>
  </w:style>
  <w:style w:type="paragraph" w:customStyle="1" w:styleId="RetraitPremireligne">
    <w:name w:val="Retrait_Première_ligne"/>
    <w:basedOn w:val="Normal"/>
    <w:rsid w:val="009C13A9"/>
    <w:pPr>
      <w:suppressAutoHyphens/>
      <w:autoSpaceDE/>
      <w:autoSpaceDN/>
      <w:spacing w:line="240" w:lineRule="atLeast"/>
      <w:ind w:left="0" w:firstLine="425"/>
    </w:pPr>
    <w:rPr>
      <w:rFonts w:cs="Arial"/>
      <w:szCs w:val="20"/>
    </w:rPr>
  </w:style>
  <w:style w:type="paragraph" w:customStyle="1" w:styleId="Textebrut1">
    <w:name w:val="Texte brut1"/>
    <w:basedOn w:val="Normal"/>
    <w:rsid w:val="009C13A9"/>
    <w:pPr>
      <w:suppressAutoHyphens/>
      <w:autoSpaceDE/>
      <w:autoSpaceDN/>
      <w:ind w:left="0" w:firstLine="0"/>
      <w:jc w:val="left"/>
    </w:pPr>
    <w:rPr>
      <w:rFonts w:ascii="Consolas" w:hAnsi="Consolas"/>
      <w:sz w:val="21"/>
      <w:szCs w:val="21"/>
    </w:rPr>
  </w:style>
  <w:style w:type="paragraph" w:customStyle="1" w:styleId="ED1">
    <w:name w:val="ED1"/>
    <w:basedOn w:val="Normal"/>
    <w:rsid w:val="009C13A9"/>
    <w:pPr>
      <w:suppressAutoHyphens/>
      <w:autoSpaceDE/>
      <w:autoSpaceDN/>
    </w:pPr>
    <w:rPr>
      <w:rFonts w:ascii="Times New Roman" w:hAnsi="Times New Roman"/>
      <w:sz w:val="24"/>
    </w:rPr>
  </w:style>
  <w:style w:type="paragraph" w:customStyle="1" w:styleId="Commentaire1">
    <w:name w:val="Commentaire1"/>
    <w:basedOn w:val="Normal"/>
    <w:rsid w:val="009C13A9"/>
    <w:pPr>
      <w:suppressAutoHyphens/>
      <w:autoSpaceDE/>
      <w:autoSpaceDN/>
      <w:ind w:left="0" w:firstLine="0"/>
      <w:jc w:val="left"/>
    </w:pPr>
    <w:rPr>
      <w:szCs w:val="20"/>
    </w:rPr>
  </w:style>
  <w:style w:type="paragraph" w:customStyle="1" w:styleId="Contenudetableau">
    <w:name w:val="Contenu de tableau"/>
    <w:basedOn w:val="Normal"/>
    <w:rsid w:val="009C13A9"/>
    <w:pPr>
      <w:suppressLineNumbers/>
      <w:suppressAutoHyphens/>
      <w:autoSpaceDE/>
      <w:autoSpaceDN/>
      <w:ind w:left="0" w:firstLine="0"/>
      <w:jc w:val="left"/>
    </w:pPr>
    <w:rPr>
      <w:rFonts w:ascii="Times New Roman" w:hAnsi="Times New Roman"/>
      <w:sz w:val="24"/>
    </w:rPr>
  </w:style>
  <w:style w:type="paragraph" w:customStyle="1" w:styleId="Titredetableau">
    <w:name w:val="Titre de tableau"/>
    <w:basedOn w:val="Contenudetableau"/>
    <w:rsid w:val="009C13A9"/>
    <w:pPr>
      <w:jc w:val="center"/>
    </w:pPr>
    <w:rPr>
      <w:b/>
      <w:bCs/>
    </w:rPr>
  </w:style>
  <w:style w:type="numbering" w:customStyle="1" w:styleId="Aucuneliste111">
    <w:name w:val="Aucune liste111"/>
    <w:next w:val="NoList"/>
    <w:semiHidden/>
    <w:rsid w:val="009C13A9"/>
  </w:style>
  <w:style w:type="paragraph" w:styleId="DocumentMap">
    <w:name w:val="Document Map"/>
    <w:basedOn w:val="Normal"/>
    <w:link w:val="DocumentMapChar"/>
    <w:rsid w:val="009C13A9"/>
    <w:pPr>
      <w:shd w:val="clear" w:color="auto" w:fill="000080"/>
      <w:autoSpaceDE/>
      <w:autoSpaceDN/>
      <w:ind w:left="0" w:firstLine="0"/>
      <w:jc w:val="left"/>
    </w:pPr>
    <w:rPr>
      <w:rFonts w:ascii="Tahoma" w:hAnsi="Tahoma"/>
      <w:szCs w:val="20"/>
    </w:rPr>
  </w:style>
  <w:style w:type="character" w:customStyle="1" w:styleId="DocumentMapChar">
    <w:name w:val="Document Map Char"/>
    <w:link w:val="DocumentMap"/>
    <w:rsid w:val="009C13A9"/>
    <w:rPr>
      <w:rFonts w:ascii="Tahoma" w:hAnsi="Tahoma"/>
      <w:shd w:val="clear" w:color="auto" w:fill="000080"/>
    </w:rPr>
  </w:style>
  <w:style w:type="numbering" w:customStyle="1" w:styleId="Aucuneliste2">
    <w:name w:val="Aucune liste2"/>
    <w:next w:val="NoList"/>
    <w:semiHidden/>
    <w:rsid w:val="009C13A9"/>
  </w:style>
  <w:style w:type="paragraph" w:customStyle="1" w:styleId="Sprechblasentext">
    <w:name w:val="Sprechblasentext"/>
    <w:basedOn w:val="Normal"/>
    <w:rsid w:val="009C13A9"/>
    <w:pPr>
      <w:autoSpaceDE/>
      <w:autoSpaceDN/>
      <w:ind w:left="0" w:firstLine="0"/>
      <w:jc w:val="left"/>
    </w:pPr>
    <w:rPr>
      <w:rFonts w:ascii="Tahoma" w:hAnsi="Tahoma" w:cs="Tahoma"/>
      <w:snapToGrid w:val="0"/>
      <w:sz w:val="16"/>
      <w:szCs w:val="16"/>
    </w:rPr>
  </w:style>
  <w:style w:type="paragraph" w:styleId="List2">
    <w:name w:val="List 2"/>
    <w:basedOn w:val="Normal"/>
    <w:rsid w:val="009C13A9"/>
    <w:pPr>
      <w:autoSpaceDE/>
      <w:autoSpaceDN/>
      <w:ind w:left="566" w:hanging="283"/>
      <w:jc w:val="left"/>
    </w:pPr>
    <w:rPr>
      <w:rFonts w:ascii="Times New Roman" w:hAnsi="Times New Roman"/>
      <w:sz w:val="24"/>
    </w:rPr>
  </w:style>
  <w:style w:type="paragraph" w:styleId="List3">
    <w:name w:val="List 3"/>
    <w:basedOn w:val="Normal"/>
    <w:rsid w:val="009C13A9"/>
    <w:pPr>
      <w:autoSpaceDE/>
      <w:autoSpaceDN/>
      <w:ind w:left="849" w:hanging="283"/>
      <w:jc w:val="left"/>
    </w:pPr>
    <w:rPr>
      <w:rFonts w:ascii="Times New Roman" w:hAnsi="Times New Roman"/>
      <w:sz w:val="24"/>
    </w:rPr>
  </w:style>
  <w:style w:type="paragraph" w:styleId="ListContinue2">
    <w:name w:val="List Continue 2"/>
    <w:basedOn w:val="Normal"/>
    <w:rsid w:val="009C13A9"/>
    <w:pPr>
      <w:autoSpaceDE/>
      <w:autoSpaceDN/>
      <w:spacing w:after="120"/>
      <w:ind w:left="566" w:firstLine="0"/>
      <w:jc w:val="left"/>
    </w:pPr>
    <w:rPr>
      <w:rFonts w:ascii="Times New Roman" w:hAnsi="Times New Roman"/>
      <w:sz w:val="24"/>
    </w:rPr>
  </w:style>
  <w:style w:type="table" w:customStyle="1" w:styleId="Grilledutableau111">
    <w:name w:val="Grille du tableau111"/>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rechblasentext1">
    <w:name w:val="Sprechblasentext1"/>
    <w:basedOn w:val="Normal"/>
    <w:semiHidden/>
    <w:rsid w:val="009C13A9"/>
    <w:pPr>
      <w:autoSpaceDE/>
      <w:autoSpaceDN/>
      <w:ind w:left="0" w:firstLine="0"/>
      <w:jc w:val="left"/>
    </w:pPr>
    <w:rPr>
      <w:rFonts w:ascii="Tahoma" w:hAnsi="Tahoma"/>
      <w:sz w:val="16"/>
      <w:szCs w:val="16"/>
    </w:rPr>
  </w:style>
  <w:style w:type="paragraph" w:customStyle="1" w:styleId="sprechblasentext0">
    <w:name w:val="sprechblasentext"/>
    <w:basedOn w:val="Normal"/>
    <w:rsid w:val="009C13A9"/>
    <w:pPr>
      <w:autoSpaceDE/>
      <w:autoSpaceDN/>
      <w:snapToGrid w:val="0"/>
      <w:ind w:left="0" w:firstLine="0"/>
      <w:jc w:val="left"/>
    </w:pPr>
    <w:rPr>
      <w:rFonts w:ascii="Tahoma" w:hAnsi="Tahoma" w:cs="Tahoma"/>
      <w:sz w:val="16"/>
      <w:szCs w:val="16"/>
    </w:rPr>
  </w:style>
  <w:style w:type="character" w:customStyle="1" w:styleId="msoins1">
    <w:name w:val="msoins"/>
    <w:rsid w:val="009C13A9"/>
  </w:style>
  <w:style w:type="numbering" w:customStyle="1" w:styleId="Aucuneliste1111">
    <w:name w:val="Aucune liste1111"/>
    <w:next w:val="NoList"/>
    <w:semiHidden/>
    <w:rsid w:val="009C13A9"/>
  </w:style>
  <w:style w:type="paragraph" w:customStyle="1" w:styleId="Sprechblasentext2">
    <w:name w:val="Sprechblasentext2"/>
    <w:basedOn w:val="Normal"/>
    <w:rsid w:val="009C13A9"/>
    <w:pPr>
      <w:autoSpaceDE/>
      <w:autoSpaceDN/>
      <w:ind w:left="0" w:firstLine="0"/>
      <w:jc w:val="left"/>
    </w:pPr>
    <w:rPr>
      <w:rFonts w:ascii="Times New Roman" w:hAnsi="Times New Roman"/>
      <w:sz w:val="16"/>
      <w:szCs w:val="16"/>
    </w:rPr>
  </w:style>
  <w:style w:type="table" w:customStyle="1" w:styleId="Grilledutableau1111">
    <w:name w:val="Grille du tableau1111"/>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
    <w:name w:val="Style"/>
    <w:basedOn w:val="Normal"/>
    <w:next w:val="Normal"/>
    <w:rsid w:val="009C13A9"/>
    <w:pPr>
      <w:autoSpaceDE/>
      <w:autoSpaceDN/>
      <w:spacing w:after="160" w:line="240" w:lineRule="exact"/>
      <w:ind w:left="0" w:firstLine="0"/>
      <w:jc w:val="left"/>
    </w:pPr>
    <w:rPr>
      <w:rFonts w:ascii="Times New Roman" w:hAnsi="Times New Roman"/>
      <w:snapToGrid w:val="0"/>
      <w:sz w:val="24"/>
    </w:rPr>
  </w:style>
  <w:style w:type="numbering" w:customStyle="1" w:styleId="Aucuneliste3">
    <w:name w:val="Aucune liste3"/>
    <w:next w:val="NoList"/>
    <w:semiHidden/>
    <w:rsid w:val="009C13A9"/>
  </w:style>
  <w:style w:type="paragraph" w:customStyle="1" w:styleId="Normal1">
    <w:name w:val="Normal1"/>
    <w:basedOn w:val="Normal"/>
    <w:rsid w:val="009C13A9"/>
    <w:pPr>
      <w:autoSpaceDE/>
      <w:autoSpaceDN/>
      <w:ind w:left="0" w:firstLine="0"/>
      <w:jc w:val="left"/>
    </w:pPr>
    <w:rPr>
      <w:rFonts w:ascii="Times New Roman" w:hAnsi="Times New Roman"/>
      <w:color w:val="000000"/>
      <w:szCs w:val="20"/>
    </w:rPr>
  </w:style>
  <w:style w:type="numbering" w:customStyle="1" w:styleId="Aucuneliste4">
    <w:name w:val="Aucune liste4"/>
    <w:next w:val="NoList"/>
    <w:semiHidden/>
    <w:rsid w:val="009C13A9"/>
  </w:style>
  <w:style w:type="table" w:customStyle="1" w:styleId="Grilledutableau2">
    <w:name w:val="Grille du tableau2"/>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2">
    <w:name w:val="Aucune liste12"/>
    <w:next w:val="NoList"/>
    <w:uiPriority w:val="99"/>
    <w:semiHidden/>
    <w:unhideWhenUsed/>
    <w:rsid w:val="009C13A9"/>
  </w:style>
  <w:style w:type="numbering" w:customStyle="1" w:styleId="Aucuneliste112">
    <w:name w:val="Aucune liste112"/>
    <w:next w:val="NoList"/>
    <w:semiHidden/>
    <w:rsid w:val="009C13A9"/>
  </w:style>
  <w:style w:type="numbering" w:customStyle="1" w:styleId="Aucuneliste21">
    <w:name w:val="Aucune liste21"/>
    <w:next w:val="NoList"/>
    <w:semiHidden/>
    <w:rsid w:val="009C13A9"/>
  </w:style>
  <w:style w:type="table" w:customStyle="1" w:styleId="Grilledutableau12">
    <w:name w:val="Grille du tableau12"/>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2">
    <w:name w:val="Aucune liste1112"/>
    <w:next w:val="NoList"/>
    <w:semiHidden/>
    <w:rsid w:val="009C13A9"/>
  </w:style>
  <w:style w:type="table" w:customStyle="1" w:styleId="Grilledutableau112">
    <w:name w:val="Grille du tableau112"/>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1">
    <w:name w:val="Aucune liste31"/>
    <w:next w:val="NoList"/>
    <w:semiHidden/>
    <w:rsid w:val="009C13A9"/>
  </w:style>
  <w:style w:type="numbering" w:customStyle="1" w:styleId="Aucuneliste5">
    <w:name w:val="Aucune liste5"/>
    <w:next w:val="NoList"/>
    <w:semiHidden/>
    <w:rsid w:val="009C13A9"/>
  </w:style>
  <w:style w:type="table" w:customStyle="1" w:styleId="Grilledutableau3">
    <w:name w:val="Grille du tableau3"/>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3">
    <w:name w:val="Aucune liste13"/>
    <w:next w:val="NoList"/>
    <w:uiPriority w:val="99"/>
    <w:semiHidden/>
    <w:unhideWhenUsed/>
    <w:rsid w:val="009C13A9"/>
  </w:style>
  <w:style w:type="numbering" w:customStyle="1" w:styleId="Aucuneliste113">
    <w:name w:val="Aucune liste113"/>
    <w:next w:val="NoList"/>
    <w:semiHidden/>
    <w:rsid w:val="009C13A9"/>
  </w:style>
  <w:style w:type="numbering" w:customStyle="1" w:styleId="Aucuneliste22">
    <w:name w:val="Aucune liste22"/>
    <w:next w:val="NoList"/>
    <w:semiHidden/>
    <w:rsid w:val="009C13A9"/>
  </w:style>
  <w:style w:type="table" w:customStyle="1" w:styleId="Grilledutableau13">
    <w:name w:val="Grille du tableau13"/>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3">
    <w:name w:val="Aucune liste1113"/>
    <w:next w:val="NoList"/>
    <w:semiHidden/>
    <w:rsid w:val="009C13A9"/>
  </w:style>
  <w:style w:type="table" w:customStyle="1" w:styleId="Grilledutableau113">
    <w:name w:val="Grille du tableau113"/>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2">
    <w:name w:val="Aucune liste32"/>
    <w:next w:val="NoList"/>
    <w:semiHidden/>
    <w:rsid w:val="009C13A9"/>
  </w:style>
  <w:style w:type="paragraph" w:customStyle="1" w:styleId="Esannch">
    <w:name w:val="Es_ann_ch"/>
    <w:basedOn w:val="Normal"/>
    <w:qFormat/>
    <w:rsid w:val="009C13A9"/>
    <w:pPr>
      <w:spacing w:line="240" w:lineRule="atLeast"/>
    </w:pPr>
    <w:rPr>
      <w:rFonts w:cs="Arial"/>
      <w:color w:val="000000"/>
    </w:rPr>
  </w:style>
  <w:style w:type="paragraph" w:customStyle="1" w:styleId="Esanngauche">
    <w:name w:val="Es_ann_gauche"/>
    <w:basedOn w:val="Normal"/>
    <w:qFormat/>
    <w:rsid w:val="009C13A9"/>
    <w:pPr>
      <w:tabs>
        <w:tab w:val="left" w:leader="dot" w:pos="9072"/>
      </w:tabs>
      <w:spacing w:line="240" w:lineRule="atLeast"/>
      <w:ind w:left="0" w:firstLine="0"/>
    </w:pPr>
    <w:rPr>
      <w:rFonts w:cs="Arial"/>
    </w:rPr>
  </w:style>
  <w:style w:type="paragraph" w:customStyle="1" w:styleId="ESannexetitrearticle">
    <w:name w:val="ES_annexe_titre_article"/>
    <w:basedOn w:val="Normal"/>
    <w:qFormat/>
    <w:rsid w:val="009C13A9"/>
    <w:pPr>
      <w:spacing w:line="240" w:lineRule="atLeast"/>
      <w:ind w:left="0" w:firstLine="0"/>
      <w:jc w:val="center"/>
    </w:pPr>
    <w:rPr>
      <w:rFonts w:cs="Arial"/>
      <w:b/>
      <w:noProof/>
    </w:rPr>
  </w:style>
  <w:style w:type="paragraph" w:customStyle="1" w:styleId="ESannexelet">
    <w:name w:val="ES_annexe_let"/>
    <w:basedOn w:val="Normal"/>
    <w:qFormat/>
    <w:rsid w:val="009C13A9"/>
    <w:pPr>
      <w:spacing w:before="60" w:line="240" w:lineRule="atLeast"/>
      <w:ind w:left="851"/>
    </w:pPr>
    <w:rPr>
      <w:rFonts w:cs="Arial"/>
      <w:noProof/>
      <w:szCs w:val="22"/>
    </w:rPr>
  </w:style>
  <w:style w:type="paragraph" w:customStyle="1" w:styleId="ESannexechpar">
    <w:name w:val="ES_annexe_ch_par"/>
    <w:basedOn w:val="ESchpar"/>
    <w:qFormat/>
    <w:rsid w:val="009C13A9"/>
    <w:pPr>
      <w:ind w:left="426"/>
    </w:pPr>
  </w:style>
  <w:style w:type="paragraph" w:customStyle="1" w:styleId="Esannexeletgauch">
    <w:name w:val="Es_annexe_let_gauch"/>
    <w:basedOn w:val="Normal"/>
    <w:qFormat/>
    <w:rsid w:val="009C13A9"/>
    <w:pPr>
      <w:spacing w:before="60" w:line="240" w:lineRule="atLeast"/>
    </w:pPr>
    <w:rPr>
      <w:rFonts w:cs="Arial"/>
      <w:noProof/>
      <w:szCs w:val="22"/>
    </w:rPr>
  </w:style>
  <w:style w:type="table" w:styleId="MediumGrid1-Accent2">
    <w:name w:val="Medium Grid 1 Accent 2"/>
    <w:basedOn w:val="TableNormal"/>
    <w:uiPriority w:val="67"/>
    <w:rsid w:val="009C13A9"/>
    <w:rPr>
      <w:rFonts w:eastAsia="Calibri"/>
      <w:sz w:val="22"/>
      <w:szCs w:val="22"/>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customStyle="1" w:styleId="Bullet0">
    <w:name w:val="Bullet 0"/>
    <w:basedOn w:val="Normal"/>
    <w:rsid w:val="009C13A9"/>
    <w:pPr>
      <w:numPr>
        <w:numId w:val="4"/>
      </w:numPr>
      <w:autoSpaceDE/>
      <w:autoSpaceDN/>
      <w:spacing w:before="120" w:after="120"/>
    </w:pPr>
    <w:rPr>
      <w:rFonts w:ascii="Times New Roman" w:hAnsi="Times New Roman"/>
      <w:sz w:val="24"/>
    </w:rPr>
  </w:style>
  <w:style w:type="paragraph" w:customStyle="1" w:styleId="Bullet1">
    <w:name w:val="Bullet 1"/>
    <w:basedOn w:val="Normal"/>
    <w:rsid w:val="009C13A9"/>
    <w:pPr>
      <w:numPr>
        <w:numId w:val="5"/>
      </w:numPr>
      <w:autoSpaceDE/>
      <w:autoSpaceDN/>
      <w:spacing w:before="120" w:after="120"/>
    </w:pPr>
    <w:rPr>
      <w:rFonts w:ascii="Times New Roman" w:hAnsi="Times New Roman"/>
      <w:sz w:val="24"/>
    </w:rPr>
  </w:style>
  <w:style w:type="paragraph" w:customStyle="1" w:styleId="Bullet2">
    <w:name w:val="Bullet 2"/>
    <w:basedOn w:val="Normal"/>
    <w:rsid w:val="009C13A9"/>
    <w:pPr>
      <w:numPr>
        <w:numId w:val="6"/>
      </w:numPr>
      <w:autoSpaceDE/>
      <w:autoSpaceDN/>
      <w:spacing w:before="120" w:after="120"/>
    </w:pPr>
    <w:rPr>
      <w:rFonts w:ascii="Times New Roman" w:hAnsi="Times New Roman"/>
      <w:sz w:val="24"/>
    </w:rPr>
  </w:style>
  <w:style w:type="character" w:styleId="PlaceholderText">
    <w:name w:val="Placeholder Text"/>
    <w:basedOn w:val="DefaultParagraphFont"/>
    <w:uiPriority w:val="99"/>
    <w:semiHidden/>
    <w:rsid w:val="00395A9E"/>
    <w:rPr>
      <w:color w:val="808080"/>
    </w:rPr>
  </w:style>
  <w:style w:type="numbering" w:customStyle="1" w:styleId="Aucuneliste6">
    <w:name w:val="Aucune liste6"/>
    <w:next w:val="NoList"/>
    <w:uiPriority w:val="99"/>
    <w:semiHidden/>
    <w:unhideWhenUsed/>
    <w:rsid w:val="005C7DB3"/>
  </w:style>
  <w:style w:type="paragraph" w:customStyle="1" w:styleId="jeveux">
    <w:name w:val="je_veux"/>
    <w:basedOn w:val="Normal"/>
    <w:rsid w:val="005C7DB3"/>
    <w:pPr>
      <w:numPr>
        <w:numId w:val="9"/>
      </w:numPr>
      <w:tabs>
        <w:tab w:val="left" w:pos="425"/>
        <w:tab w:val="left" w:pos="6237"/>
      </w:tabs>
      <w:suppressAutoHyphens/>
      <w:autoSpaceDE/>
      <w:autoSpaceDN/>
      <w:spacing w:before="120"/>
    </w:pPr>
    <w:rPr>
      <w:rFonts w:ascii="Times New Roman" w:hAnsi="Times New Roman"/>
      <w:snapToGrid w:val="0"/>
      <w:sz w:val="24"/>
    </w:rPr>
  </w:style>
  <w:style w:type="paragraph" w:customStyle="1" w:styleId="Gemiddeldraster1-accent21">
    <w:name w:val="Gemiddeld raster 1 - accent 21"/>
    <w:basedOn w:val="Normal"/>
    <w:uiPriority w:val="99"/>
    <w:qFormat/>
    <w:rsid w:val="005C7DB3"/>
    <w:pPr>
      <w:autoSpaceDE/>
      <w:autoSpaceDN/>
      <w:spacing w:after="200" w:line="276" w:lineRule="auto"/>
      <w:ind w:left="720" w:firstLine="0"/>
      <w:contextualSpacing/>
      <w:jc w:val="left"/>
    </w:pPr>
    <w:rPr>
      <w:rFonts w:ascii="Calibri" w:eastAsia="Calibri" w:hAnsi="Calibri"/>
      <w:sz w:val="22"/>
      <w:szCs w:val="22"/>
    </w:rPr>
  </w:style>
  <w:style w:type="paragraph" w:customStyle="1" w:styleId="Chiffregras">
    <w:name w:val="Chiffre_gras"/>
    <w:basedOn w:val="Normal"/>
    <w:qFormat/>
    <w:rsid w:val="005C7DB3"/>
    <w:pPr>
      <w:adjustRightInd w:val="0"/>
      <w:spacing w:line="240" w:lineRule="atLeast"/>
      <w:ind w:left="709" w:hanging="709"/>
      <w:outlineLvl w:val="0"/>
    </w:pPr>
    <w:rPr>
      <w:rFonts w:ascii="Times New Roman" w:eastAsia="Calibri" w:hAnsi="Times New Roman"/>
      <w:b/>
      <w:bCs/>
      <w:sz w:val="24"/>
    </w:rPr>
  </w:style>
  <w:style w:type="paragraph" w:customStyle="1" w:styleId="Chiffrepar">
    <w:name w:val="Chiffre_par"/>
    <w:basedOn w:val="Normal"/>
    <w:qFormat/>
    <w:rsid w:val="005C7DB3"/>
    <w:pPr>
      <w:adjustRightInd w:val="0"/>
      <w:spacing w:line="240" w:lineRule="atLeast"/>
      <w:ind w:left="709" w:firstLine="0"/>
    </w:pPr>
    <w:rPr>
      <w:rFonts w:ascii="Times New Roman" w:eastAsia="Calibri" w:hAnsi="Times New Roman"/>
      <w:sz w:val="24"/>
    </w:rPr>
  </w:style>
  <w:style w:type="paragraph" w:customStyle="1" w:styleId="Chiffre">
    <w:name w:val="Chiffre"/>
    <w:basedOn w:val="Normal"/>
    <w:qFormat/>
    <w:rsid w:val="005C7DB3"/>
    <w:pPr>
      <w:adjustRightInd w:val="0"/>
      <w:spacing w:line="240" w:lineRule="atLeast"/>
      <w:ind w:left="709" w:hanging="709"/>
    </w:pPr>
    <w:rPr>
      <w:rFonts w:ascii="Times New Roman" w:eastAsia="Calibri" w:hAnsi="Times New Roman"/>
      <w:sz w:val="24"/>
    </w:rPr>
  </w:style>
  <w:style w:type="paragraph" w:customStyle="1" w:styleId="chiffrelettre">
    <w:name w:val="chiffre_lettre"/>
    <w:basedOn w:val="Normal"/>
    <w:qFormat/>
    <w:rsid w:val="005C7DB3"/>
    <w:pPr>
      <w:adjustRightInd w:val="0"/>
      <w:spacing w:before="60" w:line="240" w:lineRule="atLeast"/>
      <w:ind w:left="1134"/>
    </w:pPr>
    <w:rPr>
      <w:rFonts w:ascii="Times New Roman" w:eastAsia="Calibri" w:hAnsi="Times New Roman"/>
      <w:sz w:val="24"/>
    </w:rPr>
  </w:style>
  <w:style w:type="paragraph" w:customStyle="1" w:styleId="Esann8ch">
    <w:name w:val="Es_ann8_ch"/>
    <w:basedOn w:val="Normal"/>
    <w:qFormat/>
    <w:rsid w:val="00A94102"/>
    <w:pPr>
      <w:spacing w:line="240" w:lineRule="atLeast"/>
      <w:ind w:left="851" w:hanging="851"/>
    </w:pPr>
    <w:rPr>
      <w:rFonts w:eastAsia="Calibri" w:cs="Arial"/>
      <w:color w:val="000000"/>
      <w:szCs w:val="20"/>
    </w:rPr>
  </w:style>
  <w:style w:type="paragraph" w:customStyle="1" w:styleId="Esann8chgras">
    <w:name w:val="Es_ann8_ch_gras"/>
    <w:basedOn w:val="ESchgras"/>
    <w:qFormat/>
    <w:rsid w:val="00A94102"/>
    <w:pPr>
      <w:ind w:left="851" w:hanging="851"/>
    </w:pPr>
  </w:style>
  <w:style w:type="paragraph" w:customStyle="1" w:styleId="Esann8titrechap">
    <w:name w:val="Es_ann8_titre_chap"/>
    <w:basedOn w:val="Esann8chgras"/>
    <w:qFormat/>
    <w:rsid w:val="00A94102"/>
    <w:pPr>
      <w:jc w:val="center"/>
    </w:pPr>
  </w:style>
  <w:style w:type="paragraph" w:customStyle="1" w:styleId="Esann8let">
    <w:name w:val="Es_ann8_let"/>
    <w:basedOn w:val="Esann8ch"/>
    <w:qFormat/>
    <w:rsid w:val="008632BC"/>
    <w:pPr>
      <w:spacing w:before="60"/>
      <w:ind w:left="1276" w:hanging="425"/>
    </w:pPr>
  </w:style>
  <w:style w:type="paragraph" w:customStyle="1" w:styleId="Esann8chpar">
    <w:name w:val="Es_ann8_ch_par"/>
    <w:basedOn w:val="Esann8ch"/>
    <w:qFormat/>
    <w:rsid w:val="00ED22AF"/>
    <w:pPr>
      <w:ind w:firstLine="0"/>
    </w:pPr>
  </w:style>
  <w:style w:type="character" w:customStyle="1" w:styleId="hps">
    <w:name w:val="hps"/>
    <w:basedOn w:val="DefaultParagraphFont"/>
    <w:rsid w:val="00A26ED8"/>
  </w:style>
  <w:style w:type="character" w:customStyle="1" w:styleId="atn">
    <w:name w:val="atn"/>
    <w:basedOn w:val="DefaultParagraphFont"/>
    <w:rsid w:val="00A26ED8"/>
  </w:style>
  <w:style w:type="numbering" w:customStyle="1" w:styleId="Aucuneliste7">
    <w:name w:val="Aucune liste7"/>
    <w:next w:val="NoList"/>
    <w:uiPriority w:val="99"/>
    <w:semiHidden/>
    <w:unhideWhenUsed/>
    <w:rsid w:val="001D0FFC"/>
  </w:style>
  <w:style w:type="paragraph" w:customStyle="1" w:styleId="tbl-norm">
    <w:name w:val="tbl-norm"/>
    <w:basedOn w:val="Normal"/>
    <w:rsid w:val="003D29D8"/>
    <w:pPr>
      <w:autoSpaceDE/>
      <w:autoSpaceDN/>
      <w:spacing w:before="100" w:beforeAutospacing="1" w:after="100" w:afterAutospacing="1"/>
      <w:ind w:left="0" w:firstLine="0"/>
      <w:jc w:val="left"/>
    </w:pPr>
    <w:rPr>
      <w:rFonts w:ascii="Times New Roman" w:hAnsi="Times New Roman"/>
      <w:sz w:val="24"/>
    </w:rPr>
  </w:style>
  <w:style w:type="paragraph" w:customStyle="1" w:styleId="norm">
    <w:name w:val="norm"/>
    <w:basedOn w:val="Normal"/>
    <w:rsid w:val="003D29D8"/>
    <w:pPr>
      <w:autoSpaceDE/>
      <w:autoSpaceDN/>
      <w:spacing w:before="100" w:beforeAutospacing="1" w:after="100" w:afterAutospacing="1"/>
      <w:ind w:left="0" w:firstLine="0"/>
      <w:jc w:val="left"/>
    </w:pPr>
    <w:rPr>
      <w:rFonts w:ascii="Times New Roman" w:hAnsi="Times New Roman"/>
      <w:sz w:val="24"/>
    </w:rPr>
  </w:style>
  <w:style w:type="table" w:customStyle="1" w:styleId="Grilledutableau14">
    <w:name w:val="Grille du tableau14"/>
    <w:basedOn w:val="TableNormal"/>
    <w:next w:val="TableGrid"/>
    <w:rsid w:val="004F47BB"/>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4">
    <w:name w:val="Grille du tableau114"/>
    <w:basedOn w:val="TableNormal"/>
    <w:next w:val="TableGrid"/>
    <w:rsid w:val="004F47B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12">
    <w:name w:val="Grille du tableau1112"/>
    <w:basedOn w:val="TableNormal"/>
    <w:next w:val="TableGrid"/>
    <w:rsid w:val="004F47BB"/>
    <w:rPr>
      <w:rFonts w:ascii="Times New Roman" w:hAnsi="Times New Roman"/>
      <w:snapToGrid w:val="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chdecale">
    <w:name w:val="ES_ch_decale"/>
    <w:basedOn w:val="Normal"/>
    <w:qFormat/>
    <w:rsid w:val="004F47BB"/>
    <w:pPr>
      <w:tabs>
        <w:tab w:val="left" w:pos="567"/>
        <w:tab w:val="left" w:pos="1418"/>
      </w:tabs>
      <w:autoSpaceDE/>
      <w:autoSpaceDN/>
      <w:spacing w:line="240" w:lineRule="atLeast"/>
      <w:ind w:left="1418" w:hanging="851"/>
    </w:pPr>
  </w:style>
  <w:style w:type="paragraph" w:customStyle="1" w:styleId="ESchdecalepar">
    <w:name w:val="ES_ch_decale_par"/>
    <w:basedOn w:val="ESchdecale"/>
    <w:qFormat/>
    <w:rsid w:val="004F47BB"/>
    <w:pPr>
      <w:tabs>
        <w:tab w:val="clear" w:pos="567"/>
      </w:tabs>
      <w:ind w:firstLine="0"/>
    </w:pPr>
    <w:rPr>
      <w:noProof/>
    </w:rPr>
  </w:style>
  <w:style w:type="paragraph" w:customStyle="1" w:styleId="ESletparettab">
    <w:name w:val="ES_let_par_et_tab"/>
    <w:basedOn w:val="ESletpar"/>
    <w:qFormat/>
    <w:rsid w:val="004F47BB"/>
    <w:pPr>
      <w:tabs>
        <w:tab w:val="left" w:pos="2552"/>
        <w:tab w:val="left" w:pos="2977"/>
        <w:tab w:val="left" w:pos="3402"/>
      </w:tabs>
      <w:ind w:left="1418" w:hanging="426"/>
    </w:pPr>
  </w:style>
  <w:style w:type="paragraph" w:customStyle="1" w:styleId="IS1cm">
    <w:name w:val="IS_1cm"/>
    <w:basedOn w:val="Normal"/>
    <w:link w:val="IS1cmCar"/>
    <w:rsid w:val="004F47BB"/>
    <w:pPr>
      <w:tabs>
        <w:tab w:val="left" w:pos="567"/>
      </w:tabs>
      <w:overflowPunct w:val="0"/>
      <w:adjustRightInd w:val="0"/>
      <w:spacing w:line="240" w:lineRule="atLeast"/>
      <w:ind w:left="567" w:hanging="567"/>
      <w:textAlignment w:val="baseline"/>
    </w:pPr>
    <w:rPr>
      <w:szCs w:val="20"/>
    </w:rPr>
  </w:style>
  <w:style w:type="character" w:customStyle="1" w:styleId="IS1cmCar">
    <w:name w:val="IS_1cm Car"/>
    <w:link w:val="IS1cm"/>
    <w:rsid w:val="004F47BB"/>
    <w:rPr>
      <w:rFonts w:ascii="Arial" w:hAnsi="Arial"/>
      <w:lang w:val="it-IT"/>
    </w:rPr>
  </w:style>
  <w:style w:type="paragraph" w:customStyle="1" w:styleId="IS1cmg075cm">
    <w:name w:val="IS_1cmg_0_75cm"/>
    <w:basedOn w:val="IS1cm"/>
    <w:rsid w:val="004F47BB"/>
    <w:pPr>
      <w:tabs>
        <w:tab w:val="clear" w:pos="567"/>
        <w:tab w:val="left" w:pos="992"/>
      </w:tabs>
      <w:ind w:left="992" w:hanging="425"/>
    </w:pPr>
  </w:style>
  <w:style w:type="paragraph" w:customStyle="1" w:styleId="IS175cm">
    <w:name w:val="IS_175cm"/>
    <w:basedOn w:val="Normal"/>
    <w:rsid w:val="004F47BB"/>
    <w:pPr>
      <w:tabs>
        <w:tab w:val="left" w:pos="1418"/>
      </w:tabs>
      <w:overflowPunct w:val="0"/>
      <w:adjustRightInd w:val="0"/>
      <w:spacing w:line="240" w:lineRule="atLeast"/>
      <w:ind w:left="1417"/>
      <w:jc w:val="left"/>
      <w:textAlignment w:val="baseline"/>
    </w:pPr>
    <w:rPr>
      <w:szCs w:val="20"/>
    </w:rPr>
  </w:style>
  <w:style w:type="paragraph" w:customStyle="1" w:styleId="ES-Titre2ESI">
    <w:name w:val="ES-Titre2_ESI"/>
    <w:basedOn w:val="ES-Titre2"/>
    <w:qFormat/>
    <w:rsid w:val="004F47BB"/>
    <w:pPr>
      <w:pageBreakBefore w:val="0"/>
    </w:pPr>
  </w:style>
  <w:style w:type="paragraph" w:customStyle="1" w:styleId="ES-Titre4prESIexple">
    <w:name w:val="ES-Titre4_pr_ESI_exple"/>
    <w:basedOn w:val="ES-Titre3prchap32"/>
    <w:qFormat/>
    <w:rsid w:val="005B46C9"/>
  </w:style>
  <w:style w:type="paragraph" w:customStyle="1" w:styleId="ES-Titre4">
    <w:name w:val="ES-Titre4"/>
    <w:basedOn w:val="ES-Titre3"/>
    <w:qFormat/>
    <w:rsid w:val="00C859BD"/>
  </w:style>
  <w:style w:type="paragraph" w:customStyle="1" w:styleId="ES-Titre4a">
    <w:name w:val="ES-Titre4a"/>
    <w:basedOn w:val="ES-Titre3a"/>
    <w:qFormat/>
    <w:rsid w:val="00C859B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872696">
      <w:bodyDiv w:val="1"/>
      <w:marLeft w:val="0"/>
      <w:marRight w:val="0"/>
      <w:marTop w:val="0"/>
      <w:marBottom w:val="0"/>
      <w:divBdr>
        <w:top w:val="none" w:sz="0" w:space="0" w:color="auto"/>
        <w:left w:val="none" w:sz="0" w:space="0" w:color="auto"/>
        <w:bottom w:val="none" w:sz="0" w:space="0" w:color="auto"/>
        <w:right w:val="none" w:sz="0" w:space="0" w:color="auto"/>
      </w:divBdr>
    </w:div>
    <w:div w:id="116535451">
      <w:bodyDiv w:val="1"/>
      <w:marLeft w:val="0"/>
      <w:marRight w:val="0"/>
      <w:marTop w:val="0"/>
      <w:marBottom w:val="0"/>
      <w:divBdr>
        <w:top w:val="none" w:sz="0" w:space="0" w:color="auto"/>
        <w:left w:val="none" w:sz="0" w:space="0" w:color="auto"/>
        <w:bottom w:val="none" w:sz="0" w:space="0" w:color="auto"/>
        <w:right w:val="none" w:sz="0" w:space="0" w:color="auto"/>
      </w:divBdr>
    </w:div>
    <w:div w:id="444081102">
      <w:bodyDiv w:val="1"/>
      <w:marLeft w:val="0"/>
      <w:marRight w:val="0"/>
      <w:marTop w:val="0"/>
      <w:marBottom w:val="0"/>
      <w:divBdr>
        <w:top w:val="none" w:sz="0" w:space="0" w:color="auto"/>
        <w:left w:val="none" w:sz="0" w:space="0" w:color="auto"/>
        <w:bottom w:val="none" w:sz="0" w:space="0" w:color="auto"/>
        <w:right w:val="none" w:sz="0" w:space="0" w:color="auto"/>
      </w:divBdr>
    </w:div>
    <w:div w:id="877932533">
      <w:bodyDiv w:val="1"/>
      <w:marLeft w:val="0"/>
      <w:marRight w:val="0"/>
      <w:marTop w:val="0"/>
      <w:marBottom w:val="0"/>
      <w:divBdr>
        <w:top w:val="none" w:sz="0" w:space="0" w:color="auto"/>
        <w:left w:val="none" w:sz="0" w:space="0" w:color="auto"/>
        <w:bottom w:val="none" w:sz="0" w:space="0" w:color="auto"/>
        <w:right w:val="none" w:sz="0" w:space="0" w:color="auto"/>
      </w:divBdr>
    </w:div>
    <w:div w:id="920331382">
      <w:bodyDiv w:val="1"/>
      <w:marLeft w:val="0"/>
      <w:marRight w:val="0"/>
      <w:marTop w:val="0"/>
      <w:marBottom w:val="0"/>
      <w:divBdr>
        <w:top w:val="none" w:sz="0" w:space="0" w:color="auto"/>
        <w:left w:val="none" w:sz="0" w:space="0" w:color="auto"/>
        <w:bottom w:val="none" w:sz="0" w:space="0" w:color="auto"/>
        <w:right w:val="none" w:sz="0" w:space="0" w:color="auto"/>
      </w:divBdr>
    </w:div>
    <w:div w:id="959919701">
      <w:bodyDiv w:val="1"/>
      <w:marLeft w:val="0"/>
      <w:marRight w:val="0"/>
      <w:marTop w:val="0"/>
      <w:marBottom w:val="0"/>
      <w:divBdr>
        <w:top w:val="none" w:sz="0" w:space="0" w:color="auto"/>
        <w:left w:val="none" w:sz="0" w:space="0" w:color="auto"/>
        <w:bottom w:val="none" w:sz="0" w:space="0" w:color="auto"/>
        <w:right w:val="none" w:sz="0" w:space="0" w:color="auto"/>
      </w:divBdr>
    </w:div>
    <w:div w:id="1067725200">
      <w:bodyDiv w:val="1"/>
      <w:marLeft w:val="0"/>
      <w:marRight w:val="0"/>
      <w:marTop w:val="0"/>
      <w:marBottom w:val="0"/>
      <w:divBdr>
        <w:top w:val="none" w:sz="0" w:space="0" w:color="auto"/>
        <w:left w:val="none" w:sz="0" w:space="0" w:color="auto"/>
        <w:bottom w:val="none" w:sz="0" w:space="0" w:color="auto"/>
        <w:right w:val="none" w:sz="0" w:space="0" w:color="auto"/>
      </w:divBdr>
    </w:div>
    <w:div w:id="1841234259">
      <w:bodyDiv w:val="1"/>
      <w:marLeft w:val="0"/>
      <w:marRight w:val="0"/>
      <w:marTop w:val="0"/>
      <w:marBottom w:val="0"/>
      <w:divBdr>
        <w:top w:val="none" w:sz="0" w:space="0" w:color="auto"/>
        <w:left w:val="none" w:sz="0" w:space="0" w:color="auto"/>
        <w:bottom w:val="none" w:sz="0" w:space="0" w:color="auto"/>
        <w:right w:val="none" w:sz="0" w:space="0" w:color="auto"/>
      </w:divBdr>
    </w:div>
    <w:div w:id="1843202567">
      <w:bodyDiv w:val="1"/>
      <w:marLeft w:val="0"/>
      <w:marRight w:val="0"/>
      <w:marTop w:val="0"/>
      <w:marBottom w:val="0"/>
      <w:divBdr>
        <w:top w:val="none" w:sz="0" w:space="0" w:color="auto"/>
        <w:left w:val="none" w:sz="0" w:space="0" w:color="auto"/>
        <w:bottom w:val="none" w:sz="0" w:space="0" w:color="auto"/>
        <w:right w:val="none" w:sz="0" w:space="0" w:color="auto"/>
      </w:divBdr>
    </w:div>
    <w:div w:id="1918395660">
      <w:bodyDiv w:val="1"/>
      <w:marLeft w:val="0"/>
      <w:marRight w:val="0"/>
      <w:marTop w:val="0"/>
      <w:marBottom w:val="0"/>
      <w:divBdr>
        <w:top w:val="none" w:sz="0" w:space="0" w:color="auto"/>
        <w:left w:val="none" w:sz="0" w:space="0" w:color="auto"/>
        <w:bottom w:val="none" w:sz="0" w:space="0" w:color="auto"/>
        <w:right w:val="none" w:sz="0" w:space="0" w:color="auto"/>
      </w:divBdr>
    </w:div>
    <w:div w:id="2120025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jpeg"/><Relationship Id="rId117" Type="http://schemas.openxmlformats.org/officeDocument/2006/relationships/header" Target="header48.xml"/><Relationship Id="rId21" Type="http://schemas.openxmlformats.org/officeDocument/2006/relationships/header" Target="header8.xml"/><Relationship Id="rId42" Type="http://schemas.openxmlformats.org/officeDocument/2006/relationships/footer" Target="footer10.xml"/><Relationship Id="rId47" Type="http://schemas.openxmlformats.org/officeDocument/2006/relationships/header" Target="header22.xml"/><Relationship Id="rId63" Type="http://schemas.openxmlformats.org/officeDocument/2006/relationships/header" Target="header24.xml"/><Relationship Id="rId68" Type="http://schemas.openxmlformats.org/officeDocument/2006/relationships/header" Target="header25.xml"/><Relationship Id="rId84" Type="http://schemas.openxmlformats.org/officeDocument/2006/relationships/footer" Target="footer23.xml"/><Relationship Id="rId89" Type="http://schemas.openxmlformats.org/officeDocument/2006/relationships/footer" Target="footer25.xml"/><Relationship Id="rId112" Type="http://schemas.openxmlformats.org/officeDocument/2006/relationships/footer" Target="footer34.xml"/><Relationship Id="rId133" Type="http://schemas.openxmlformats.org/officeDocument/2006/relationships/header" Target="header58.xml"/><Relationship Id="rId138" Type="http://schemas.openxmlformats.org/officeDocument/2006/relationships/footer" Target="footer42.xml"/><Relationship Id="rId16" Type="http://schemas.openxmlformats.org/officeDocument/2006/relationships/footer" Target="footer4.xml"/><Relationship Id="rId107" Type="http://schemas.openxmlformats.org/officeDocument/2006/relationships/footer" Target="footer32.xml"/><Relationship Id="rId11" Type="http://schemas.openxmlformats.org/officeDocument/2006/relationships/header" Target="header2.xml"/><Relationship Id="rId32" Type="http://schemas.openxmlformats.org/officeDocument/2006/relationships/header" Target="header13.xml"/><Relationship Id="rId37" Type="http://schemas.openxmlformats.org/officeDocument/2006/relationships/header" Target="header17.xml"/><Relationship Id="rId53" Type="http://schemas.openxmlformats.org/officeDocument/2006/relationships/image" Target="media/image8.wmf"/><Relationship Id="rId58" Type="http://schemas.openxmlformats.org/officeDocument/2006/relationships/image" Target="media/image13.wmf"/><Relationship Id="rId74" Type="http://schemas.openxmlformats.org/officeDocument/2006/relationships/footer" Target="footer18.xml"/><Relationship Id="rId79" Type="http://schemas.openxmlformats.org/officeDocument/2006/relationships/header" Target="header31.xml"/><Relationship Id="rId102" Type="http://schemas.openxmlformats.org/officeDocument/2006/relationships/footer" Target="footer30.xml"/><Relationship Id="rId123" Type="http://schemas.openxmlformats.org/officeDocument/2006/relationships/header" Target="header51.xml"/><Relationship Id="rId128" Type="http://schemas.openxmlformats.org/officeDocument/2006/relationships/header" Target="header55.xml"/><Relationship Id="rId144" Type="http://schemas.openxmlformats.org/officeDocument/2006/relationships/footer" Target="footer43.xml"/><Relationship Id="rId149" Type="http://schemas.openxmlformats.org/officeDocument/2006/relationships/header" Target="header65.xml"/><Relationship Id="rId5" Type="http://schemas.openxmlformats.org/officeDocument/2006/relationships/settings" Target="settings.xml"/><Relationship Id="rId90" Type="http://schemas.openxmlformats.org/officeDocument/2006/relationships/footer" Target="footer26.xml"/><Relationship Id="rId95" Type="http://schemas.openxmlformats.org/officeDocument/2006/relationships/header" Target="header39.xml"/><Relationship Id="rId22" Type="http://schemas.openxmlformats.org/officeDocument/2006/relationships/image" Target="media/image2.jpeg"/><Relationship Id="rId27" Type="http://schemas.openxmlformats.org/officeDocument/2006/relationships/header" Target="header10.xml"/><Relationship Id="rId43" Type="http://schemas.openxmlformats.org/officeDocument/2006/relationships/header" Target="header20.xml"/><Relationship Id="rId48" Type="http://schemas.openxmlformats.org/officeDocument/2006/relationships/footer" Target="footer12.xml"/><Relationship Id="rId64" Type="http://schemas.openxmlformats.org/officeDocument/2006/relationships/footer" Target="footer15.xml"/><Relationship Id="rId69" Type="http://schemas.openxmlformats.org/officeDocument/2006/relationships/footer" Target="footer16.xml"/><Relationship Id="rId113" Type="http://schemas.openxmlformats.org/officeDocument/2006/relationships/footer" Target="footer35.xml"/><Relationship Id="rId118" Type="http://schemas.openxmlformats.org/officeDocument/2006/relationships/header" Target="header49.xml"/><Relationship Id="rId134" Type="http://schemas.openxmlformats.org/officeDocument/2006/relationships/footer" Target="footer40.xml"/><Relationship Id="rId139" Type="http://schemas.openxmlformats.org/officeDocument/2006/relationships/header" Target="header61.xml"/><Relationship Id="rId80" Type="http://schemas.openxmlformats.org/officeDocument/2006/relationships/footer" Target="footer21.xml"/><Relationship Id="rId85" Type="http://schemas.openxmlformats.org/officeDocument/2006/relationships/header" Target="header34.xml"/><Relationship Id="rId150" Type="http://schemas.openxmlformats.org/officeDocument/2006/relationships/fontTable" Target="fontTable.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4.jpeg"/><Relationship Id="rId33" Type="http://schemas.openxmlformats.org/officeDocument/2006/relationships/header" Target="header14.xml"/><Relationship Id="rId38" Type="http://schemas.openxmlformats.org/officeDocument/2006/relationships/footer" Target="footer8.xml"/><Relationship Id="rId46" Type="http://schemas.openxmlformats.org/officeDocument/2006/relationships/footer" Target="footer11.xml"/><Relationship Id="rId59" Type="http://schemas.openxmlformats.org/officeDocument/2006/relationships/image" Target="media/image14.jpeg"/><Relationship Id="rId67" Type="http://schemas.openxmlformats.org/officeDocument/2006/relationships/image" Target="media/image20.emf"/><Relationship Id="rId103" Type="http://schemas.openxmlformats.org/officeDocument/2006/relationships/header" Target="header41.xml"/><Relationship Id="rId108" Type="http://schemas.openxmlformats.org/officeDocument/2006/relationships/header" Target="header44.xml"/><Relationship Id="rId116" Type="http://schemas.openxmlformats.org/officeDocument/2006/relationships/header" Target="header47.xml"/><Relationship Id="rId124" Type="http://schemas.openxmlformats.org/officeDocument/2006/relationships/footer" Target="footer38.xml"/><Relationship Id="rId129" Type="http://schemas.openxmlformats.org/officeDocument/2006/relationships/header" Target="header56.xml"/><Relationship Id="rId137" Type="http://schemas.openxmlformats.org/officeDocument/2006/relationships/header" Target="header60.xml"/><Relationship Id="rId20" Type="http://schemas.openxmlformats.org/officeDocument/2006/relationships/header" Target="header7.xml"/><Relationship Id="rId41" Type="http://schemas.openxmlformats.org/officeDocument/2006/relationships/header" Target="header19.xml"/><Relationship Id="rId54" Type="http://schemas.openxmlformats.org/officeDocument/2006/relationships/image" Target="media/image9.wmf"/><Relationship Id="rId62" Type="http://schemas.openxmlformats.org/officeDocument/2006/relationships/image" Target="media/image17.png"/><Relationship Id="rId70" Type="http://schemas.openxmlformats.org/officeDocument/2006/relationships/header" Target="header26.xml"/><Relationship Id="rId75" Type="http://schemas.openxmlformats.org/officeDocument/2006/relationships/header" Target="header29.xml"/><Relationship Id="rId83" Type="http://schemas.openxmlformats.org/officeDocument/2006/relationships/footer" Target="footer22.xml"/><Relationship Id="rId88" Type="http://schemas.openxmlformats.org/officeDocument/2006/relationships/header" Target="header36.xml"/><Relationship Id="rId91" Type="http://schemas.openxmlformats.org/officeDocument/2006/relationships/header" Target="header37.xml"/><Relationship Id="rId96" Type="http://schemas.openxmlformats.org/officeDocument/2006/relationships/footer" Target="footer29.xml"/><Relationship Id="rId111" Type="http://schemas.openxmlformats.org/officeDocument/2006/relationships/header" Target="header46.xml"/><Relationship Id="rId132" Type="http://schemas.openxmlformats.org/officeDocument/2006/relationships/footer" Target="footer39.xml"/><Relationship Id="rId140" Type="http://schemas.openxmlformats.org/officeDocument/2006/relationships/image" Target="media/image29.jpeg"/><Relationship Id="rId145" Type="http://schemas.openxmlformats.org/officeDocument/2006/relationships/header" Target="header6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3.png"/><Relationship Id="rId28" Type="http://schemas.openxmlformats.org/officeDocument/2006/relationships/footer" Target="footer5.xml"/><Relationship Id="rId36" Type="http://schemas.openxmlformats.org/officeDocument/2006/relationships/footer" Target="footer7.xml"/><Relationship Id="rId49" Type="http://schemas.openxmlformats.org/officeDocument/2006/relationships/header" Target="header23.xml"/><Relationship Id="rId57" Type="http://schemas.openxmlformats.org/officeDocument/2006/relationships/image" Target="media/image12.wmf"/><Relationship Id="rId106" Type="http://schemas.openxmlformats.org/officeDocument/2006/relationships/header" Target="header43.xml"/><Relationship Id="rId114" Type="http://schemas.openxmlformats.org/officeDocument/2006/relationships/footer" Target="footer36.xml"/><Relationship Id="rId119" Type="http://schemas.openxmlformats.org/officeDocument/2006/relationships/footer" Target="footer37.xml"/><Relationship Id="rId127" Type="http://schemas.openxmlformats.org/officeDocument/2006/relationships/header" Target="header54.xml"/><Relationship Id="rId10" Type="http://schemas.openxmlformats.org/officeDocument/2006/relationships/footer" Target="footer1.xml"/><Relationship Id="rId31" Type="http://schemas.openxmlformats.org/officeDocument/2006/relationships/header" Target="header12.xml"/><Relationship Id="rId44" Type="http://schemas.openxmlformats.org/officeDocument/2006/relationships/image" Target="media/image6.wmf"/><Relationship Id="rId52" Type="http://schemas.openxmlformats.org/officeDocument/2006/relationships/image" Target="media/image7.wmf"/><Relationship Id="rId60" Type="http://schemas.openxmlformats.org/officeDocument/2006/relationships/image" Target="media/image15.jpeg"/><Relationship Id="rId65" Type="http://schemas.openxmlformats.org/officeDocument/2006/relationships/image" Target="media/image18.png"/><Relationship Id="rId73" Type="http://schemas.openxmlformats.org/officeDocument/2006/relationships/header" Target="header28.xml"/><Relationship Id="rId78" Type="http://schemas.openxmlformats.org/officeDocument/2006/relationships/footer" Target="footer20.xml"/><Relationship Id="rId81" Type="http://schemas.openxmlformats.org/officeDocument/2006/relationships/header" Target="header32.xml"/><Relationship Id="rId86" Type="http://schemas.openxmlformats.org/officeDocument/2006/relationships/footer" Target="footer24.xml"/><Relationship Id="rId94" Type="http://schemas.openxmlformats.org/officeDocument/2006/relationships/footer" Target="footer28.xml"/><Relationship Id="rId99" Type="http://schemas.openxmlformats.org/officeDocument/2006/relationships/image" Target="media/image23.png"/><Relationship Id="rId101" Type="http://schemas.openxmlformats.org/officeDocument/2006/relationships/header" Target="header40.xml"/><Relationship Id="rId122" Type="http://schemas.openxmlformats.org/officeDocument/2006/relationships/header" Target="header50.xml"/><Relationship Id="rId130" Type="http://schemas.openxmlformats.org/officeDocument/2006/relationships/image" Target="media/image28.wmf"/><Relationship Id="rId135" Type="http://schemas.openxmlformats.org/officeDocument/2006/relationships/header" Target="header59.xml"/><Relationship Id="rId143" Type="http://schemas.openxmlformats.org/officeDocument/2006/relationships/header" Target="header62.xml"/><Relationship Id="rId148" Type="http://schemas.openxmlformats.org/officeDocument/2006/relationships/image" Target="media/image32.jpeg"/><Relationship Id="rId15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header" Target="header6.xml"/><Relationship Id="rId39" Type="http://schemas.openxmlformats.org/officeDocument/2006/relationships/header" Target="header18.xml"/><Relationship Id="rId109" Type="http://schemas.openxmlformats.org/officeDocument/2006/relationships/footer" Target="footer33.xml"/><Relationship Id="rId34" Type="http://schemas.openxmlformats.org/officeDocument/2006/relationships/header" Target="header15.xml"/><Relationship Id="rId50" Type="http://schemas.openxmlformats.org/officeDocument/2006/relationships/footer" Target="footer13.xml"/><Relationship Id="rId55" Type="http://schemas.openxmlformats.org/officeDocument/2006/relationships/image" Target="media/image10.wmf"/><Relationship Id="rId76" Type="http://schemas.openxmlformats.org/officeDocument/2006/relationships/header" Target="header30.xml"/><Relationship Id="rId97" Type="http://schemas.openxmlformats.org/officeDocument/2006/relationships/image" Target="media/image21.jpg"/><Relationship Id="rId104" Type="http://schemas.openxmlformats.org/officeDocument/2006/relationships/footer" Target="footer31.xml"/><Relationship Id="rId120" Type="http://schemas.openxmlformats.org/officeDocument/2006/relationships/image" Target="media/image26.emf"/><Relationship Id="rId125" Type="http://schemas.openxmlformats.org/officeDocument/2006/relationships/header" Target="header52.xml"/><Relationship Id="rId141" Type="http://schemas.openxmlformats.org/officeDocument/2006/relationships/image" Target="media/image30.png"/><Relationship Id="rId146" Type="http://schemas.openxmlformats.org/officeDocument/2006/relationships/footer" Target="footer44.xml"/><Relationship Id="rId7" Type="http://schemas.openxmlformats.org/officeDocument/2006/relationships/footnotes" Target="footnotes.xml"/><Relationship Id="rId71" Type="http://schemas.openxmlformats.org/officeDocument/2006/relationships/header" Target="header27.xml"/><Relationship Id="rId92" Type="http://schemas.openxmlformats.org/officeDocument/2006/relationships/footer" Target="footer27.xml"/><Relationship Id="rId2" Type="http://schemas.openxmlformats.org/officeDocument/2006/relationships/numbering" Target="numbering.xml"/><Relationship Id="rId29" Type="http://schemas.openxmlformats.org/officeDocument/2006/relationships/header" Target="header11.xml"/><Relationship Id="rId24" Type="http://schemas.openxmlformats.org/officeDocument/2006/relationships/header" Target="header9.xml"/><Relationship Id="rId40" Type="http://schemas.openxmlformats.org/officeDocument/2006/relationships/footer" Target="footer9.xml"/><Relationship Id="rId45" Type="http://schemas.openxmlformats.org/officeDocument/2006/relationships/header" Target="header21.xml"/><Relationship Id="rId66" Type="http://schemas.openxmlformats.org/officeDocument/2006/relationships/image" Target="media/image19.png"/><Relationship Id="rId87" Type="http://schemas.openxmlformats.org/officeDocument/2006/relationships/header" Target="header35.xml"/><Relationship Id="rId110" Type="http://schemas.openxmlformats.org/officeDocument/2006/relationships/header" Target="header45.xml"/><Relationship Id="rId115" Type="http://schemas.openxmlformats.org/officeDocument/2006/relationships/image" Target="media/image25.wmf"/><Relationship Id="rId131" Type="http://schemas.openxmlformats.org/officeDocument/2006/relationships/header" Target="header57.xml"/><Relationship Id="rId136" Type="http://schemas.openxmlformats.org/officeDocument/2006/relationships/footer" Target="footer41.xml"/><Relationship Id="rId61" Type="http://schemas.openxmlformats.org/officeDocument/2006/relationships/image" Target="media/image16.png"/><Relationship Id="rId82" Type="http://schemas.openxmlformats.org/officeDocument/2006/relationships/header" Target="header33.xml"/><Relationship Id="rId19" Type="http://schemas.openxmlformats.org/officeDocument/2006/relationships/image" Target="media/image1.wmf"/><Relationship Id="rId14" Type="http://schemas.openxmlformats.org/officeDocument/2006/relationships/footer" Target="footer3.xml"/><Relationship Id="rId30" Type="http://schemas.openxmlformats.org/officeDocument/2006/relationships/footer" Target="footer6.xml"/><Relationship Id="rId35" Type="http://schemas.openxmlformats.org/officeDocument/2006/relationships/header" Target="header16.xml"/><Relationship Id="rId56" Type="http://schemas.openxmlformats.org/officeDocument/2006/relationships/image" Target="media/image11.wmf"/><Relationship Id="rId77" Type="http://schemas.openxmlformats.org/officeDocument/2006/relationships/footer" Target="footer19.xml"/><Relationship Id="rId100" Type="http://schemas.openxmlformats.org/officeDocument/2006/relationships/image" Target="media/image24.png"/><Relationship Id="rId105" Type="http://schemas.openxmlformats.org/officeDocument/2006/relationships/header" Target="header42.xml"/><Relationship Id="rId126" Type="http://schemas.openxmlformats.org/officeDocument/2006/relationships/header" Target="header53.xml"/><Relationship Id="rId147" Type="http://schemas.openxmlformats.org/officeDocument/2006/relationships/header" Target="header64.xml"/><Relationship Id="rId8" Type="http://schemas.openxmlformats.org/officeDocument/2006/relationships/endnotes" Target="endnotes.xml"/><Relationship Id="rId51" Type="http://schemas.openxmlformats.org/officeDocument/2006/relationships/footer" Target="footer14.xml"/><Relationship Id="rId72" Type="http://schemas.openxmlformats.org/officeDocument/2006/relationships/footer" Target="footer17.xml"/><Relationship Id="rId93" Type="http://schemas.openxmlformats.org/officeDocument/2006/relationships/header" Target="header38.xml"/><Relationship Id="rId98" Type="http://schemas.openxmlformats.org/officeDocument/2006/relationships/image" Target="media/image22.jpg"/><Relationship Id="rId121" Type="http://schemas.openxmlformats.org/officeDocument/2006/relationships/image" Target="media/image27.wmf"/><Relationship Id="rId142" Type="http://schemas.openxmlformats.org/officeDocument/2006/relationships/image" Target="media/image31.pn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gal-content/IT/AUTO/?uri=uriserv:OJ.L_.2016.252.01.0053.01.ITA&amp;amp;toc=OJ:L:2016:252:TOC"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ublic\Documents\Templates\COM.dot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129D45-2C60-43C1-AD85-C517A10656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COM.dotm</Template>
  <TotalTime>2222</TotalTime>
  <Pages>536</Pages>
  <Words>142308</Words>
  <Characters>785541</Characters>
  <Application>Microsoft Office Word</Application>
  <DocSecurity>0</DocSecurity>
  <Lines>27087</Lines>
  <Paragraphs>13447</Paragraphs>
  <ScaleCrop>false</ScaleCrop>
  <HeadingPairs>
    <vt:vector size="6" baseType="variant">
      <vt:variant>
        <vt:lpstr>Titre</vt:lpstr>
      </vt:variant>
      <vt:variant>
        <vt:i4>1</vt:i4>
      </vt:variant>
      <vt:variant>
        <vt:lpstr>Titel</vt:lpstr>
      </vt:variant>
      <vt:variant>
        <vt:i4>1</vt:i4>
      </vt:variant>
      <vt:variant>
        <vt:lpstr>Title</vt:lpstr>
      </vt:variant>
      <vt:variant>
        <vt:i4>1</vt:i4>
      </vt:variant>
    </vt:vector>
  </HeadingPairs>
  <TitlesOfParts>
    <vt:vector size="3" baseType="lpstr">
      <vt:lpstr>FR</vt:lpstr>
      <vt:lpstr>FR</vt:lpstr>
      <vt:lpstr>FR</vt:lpstr>
    </vt:vector>
  </TitlesOfParts>
  <Company/>
  <LinksUpToDate>false</LinksUpToDate>
  <CharactersWithSpaces>914402</CharactersWithSpaces>
  <SharedDoc>false</SharedDoc>
  <HLinks>
    <vt:vector size="1992" baseType="variant">
      <vt:variant>
        <vt:i4>1179700</vt:i4>
      </vt:variant>
      <vt:variant>
        <vt:i4>1988</vt:i4>
      </vt:variant>
      <vt:variant>
        <vt:i4>0</vt:i4>
      </vt:variant>
      <vt:variant>
        <vt:i4>5</vt:i4>
      </vt:variant>
      <vt:variant>
        <vt:lpwstr/>
      </vt:variant>
      <vt:variant>
        <vt:lpwstr>_Toc413918250</vt:lpwstr>
      </vt:variant>
      <vt:variant>
        <vt:i4>1245236</vt:i4>
      </vt:variant>
      <vt:variant>
        <vt:i4>1982</vt:i4>
      </vt:variant>
      <vt:variant>
        <vt:i4>0</vt:i4>
      </vt:variant>
      <vt:variant>
        <vt:i4>5</vt:i4>
      </vt:variant>
      <vt:variant>
        <vt:lpwstr/>
      </vt:variant>
      <vt:variant>
        <vt:lpwstr>_Toc413918249</vt:lpwstr>
      </vt:variant>
      <vt:variant>
        <vt:i4>1245236</vt:i4>
      </vt:variant>
      <vt:variant>
        <vt:i4>1976</vt:i4>
      </vt:variant>
      <vt:variant>
        <vt:i4>0</vt:i4>
      </vt:variant>
      <vt:variant>
        <vt:i4>5</vt:i4>
      </vt:variant>
      <vt:variant>
        <vt:lpwstr/>
      </vt:variant>
      <vt:variant>
        <vt:lpwstr>_Toc413918248</vt:lpwstr>
      </vt:variant>
      <vt:variant>
        <vt:i4>1245236</vt:i4>
      </vt:variant>
      <vt:variant>
        <vt:i4>1970</vt:i4>
      </vt:variant>
      <vt:variant>
        <vt:i4>0</vt:i4>
      </vt:variant>
      <vt:variant>
        <vt:i4>5</vt:i4>
      </vt:variant>
      <vt:variant>
        <vt:lpwstr/>
      </vt:variant>
      <vt:variant>
        <vt:lpwstr>_Toc413918247</vt:lpwstr>
      </vt:variant>
      <vt:variant>
        <vt:i4>1245236</vt:i4>
      </vt:variant>
      <vt:variant>
        <vt:i4>1964</vt:i4>
      </vt:variant>
      <vt:variant>
        <vt:i4>0</vt:i4>
      </vt:variant>
      <vt:variant>
        <vt:i4>5</vt:i4>
      </vt:variant>
      <vt:variant>
        <vt:lpwstr/>
      </vt:variant>
      <vt:variant>
        <vt:lpwstr>_Toc413918246</vt:lpwstr>
      </vt:variant>
      <vt:variant>
        <vt:i4>1245236</vt:i4>
      </vt:variant>
      <vt:variant>
        <vt:i4>1958</vt:i4>
      </vt:variant>
      <vt:variant>
        <vt:i4>0</vt:i4>
      </vt:variant>
      <vt:variant>
        <vt:i4>5</vt:i4>
      </vt:variant>
      <vt:variant>
        <vt:lpwstr/>
      </vt:variant>
      <vt:variant>
        <vt:lpwstr>_Toc413918245</vt:lpwstr>
      </vt:variant>
      <vt:variant>
        <vt:i4>1245236</vt:i4>
      </vt:variant>
      <vt:variant>
        <vt:i4>1952</vt:i4>
      </vt:variant>
      <vt:variant>
        <vt:i4>0</vt:i4>
      </vt:variant>
      <vt:variant>
        <vt:i4>5</vt:i4>
      </vt:variant>
      <vt:variant>
        <vt:lpwstr/>
      </vt:variant>
      <vt:variant>
        <vt:lpwstr>_Toc413918244</vt:lpwstr>
      </vt:variant>
      <vt:variant>
        <vt:i4>1245236</vt:i4>
      </vt:variant>
      <vt:variant>
        <vt:i4>1946</vt:i4>
      </vt:variant>
      <vt:variant>
        <vt:i4>0</vt:i4>
      </vt:variant>
      <vt:variant>
        <vt:i4>5</vt:i4>
      </vt:variant>
      <vt:variant>
        <vt:lpwstr/>
      </vt:variant>
      <vt:variant>
        <vt:lpwstr>_Toc413918243</vt:lpwstr>
      </vt:variant>
      <vt:variant>
        <vt:i4>1245236</vt:i4>
      </vt:variant>
      <vt:variant>
        <vt:i4>1940</vt:i4>
      </vt:variant>
      <vt:variant>
        <vt:i4>0</vt:i4>
      </vt:variant>
      <vt:variant>
        <vt:i4>5</vt:i4>
      </vt:variant>
      <vt:variant>
        <vt:lpwstr/>
      </vt:variant>
      <vt:variant>
        <vt:lpwstr>_Toc413918242</vt:lpwstr>
      </vt:variant>
      <vt:variant>
        <vt:i4>1245236</vt:i4>
      </vt:variant>
      <vt:variant>
        <vt:i4>1934</vt:i4>
      </vt:variant>
      <vt:variant>
        <vt:i4>0</vt:i4>
      </vt:variant>
      <vt:variant>
        <vt:i4>5</vt:i4>
      </vt:variant>
      <vt:variant>
        <vt:lpwstr/>
      </vt:variant>
      <vt:variant>
        <vt:lpwstr>_Toc413918241</vt:lpwstr>
      </vt:variant>
      <vt:variant>
        <vt:i4>1245236</vt:i4>
      </vt:variant>
      <vt:variant>
        <vt:i4>1928</vt:i4>
      </vt:variant>
      <vt:variant>
        <vt:i4>0</vt:i4>
      </vt:variant>
      <vt:variant>
        <vt:i4>5</vt:i4>
      </vt:variant>
      <vt:variant>
        <vt:lpwstr/>
      </vt:variant>
      <vt:variant>
        <vt:lpwstr>_Toc413918240</vt:lpwstr>
      </vt:variant>
      <vt:variant>
        <vt:i4>1310772</vt:i4>
      </vt:variant>
      <vt:variant>
        <vt:i4>1922</vt:i4>
      </vt:variant>
      <vt:variant>
        <vt:i4>0</vt:i4>
      </vt:variant>
      <vt:variant>
        <vt:i4>5</vt:i4>
      </vt:variant>
      <vt:variant>
        <vt:lpwstr/>
      </vt:variant>
      <vt:variant>
        <vt:lpwstr>_Toc413918239</vt:lpwstr>
      </vt:variant>
      <vt:variant>
        <vt:i4>1310772</vt:i4>
      </vt:variant>
      <vt:variant>
        <vt:i4>1916</vt:i4>
      </vt:variant>
      <vt:variant>
        <vt:i4>0</vt:i4>
      </vt:variant>
      <vt:variant>
        <vt:i4>5</vt:i4>
      </vt:variant>
      <vt:variant>
        <vt:lpwstr/>
      </vt:variant>
      <vt:variant>
        <vt:lpwstr>_Toc413918238</vt:lpwstr>
      </vt:variant>
      <vt:variant>
        <vt:i4>1310772</vt:i4>
      </vt:variant>
      <vt:variant>
        <vt:i4>1910</vt:i4>
      </vt:variant>
      <vt:variant>
        <vt:i4>0</vt:i4>
      </vt:variant>
      <vt:variant>
        <vt:i4>5</vt:i4>
      </vt:variant>
      <vt:variant>
        <vt:lpwstr/>
      </vt:variant>
      <vt:variant>
        <vt:lpwstr>_Toc413918237</vt:lpwstr>
      </vt:variant>
      <vt:variant>
        <vt:i4>1310772</vt:i4>
      </vt:variant>
      <vt:variant>
        <vt:i4>1904</vt:i4>
      </vt:variant>
      <vt:variant>
        <vt:i4>0</vt:i4>
      </vt:variant>
      <vt:variant>
        <vt:i4>5</vt:i4>
      </vt:variant>
      <vt:variant>
        <vt:lpwstr/>
      </vt:variant>
      <vt:variant>
        <vt:lpwstr>_Toc413918236</vt:lpwstr>
      </vt:variant>
      <vt:variant>
        <vt:i4>1310772</vt:i4>
      </vt:variant>
      <vt:variant>
        <vt:i4>1898</vt:i4>
      </vt:variant>
      <vt:variant>
        <vt:i4>0</vt:i4>
      </vt:variant>
      <vt:variant>
        <vt:i4>5</vt:i4>
      </vt:variant>
      <vt:variant>
        <vt:lpwstr/>
      </vt:variant>
      <vt:variant>
        <vt:lpwstr>_Toc413918235</vt:lpwstr>
      </vt:variant>
      <vt:variant>
        <vt:i4>1310772</vt:i4>
      </vt:variant>
      <vt:variant>
        <vt:i4>1892</vt:i4>
      </vt:variant>
      <vt:variant>
        <vt:i4>0</vt:i4>
      </vt:variant>
      <vt:variant>
        <vt:i4>5</vt:i4>
      </vt:variant>
      <vt:variant>
        <vt:lpwstr/>
      </vt:variant>
      <vt:variant>
        <vt:lpwstr>_Toc413918234</vt:lpwstr>
      </vt:variant>
      <vt:variant>
        <vt:i4>1310772</vt:i4>
      </vt:variant>
      <vt:variant>
        <vt:i4>1886</vt:i4>
      </vt:variant>
      <vt:variant>
        <vt:i4>0</vt:i4>
      </vt:variant>
      <vt:variant>
        <vt:i4>5</vt:i4>
      </vt:variant>
      <vt:variant>
        <vt:lpwstr/>
      </vt:variant>
      <vt:variant>
        <vt:lpwstr>_Toc413918233</vt:lpwstr>
      </vt:variant>
      <vt:variant>
        <vt:i4>1310772</vt:i4>
      </vt:variant>
      <vt:variant>
        <vt:i4>1880</vt:i4>
      </vt:variant>
      <vt:variant>
        <vt:i4>0</vt:i4>
      </vt:variant>
      <vt:variant>
        <vt:i4>5</vt:i4>
      </vt:variant>
      <vt:variant>
        <vt:lpwstr/>
      </vt:variant>
      <vt:variant>
        <vt:lpwstr>_Toc413918232</vt:lpwstr>
      </vt:variant>
      <vt:variant>
        <vt:i4>1310772</vt:i4>
      </vt:variant>
      <vt:variant>
        <vt:i4>1874</vt:i4>
      </vt:variant>
      <vt:variant>
        <vt:i4>0</vt:i4>
      </vt:variant>
      <vt:variant>
        <vt:i4>5</vt:i4>
      </vt:variant>
      <vt:variant>
        <vt:lpwstr/>
      </vt:variant>
      <vt:variant>
        <vt:lpwstr>_Toc413918231</vt:lpwstr>
      </vt:variant>
      <vt:variant>
        <vt:i4>1310772</vt:i4>
      </vt:variant>
      <vt:variant>
        <vt:i4>1868</vt:i4>
      </vt:variant>
      <vt:variant>
        <vt:i4>0</vt:i4>
      </vt:variant>
      <vt:variant>
        <vt:i4>5</vt:i4>
      </vt:variant>
      <vt:variant>
        <vt:lpwstr/>
      </vt:variant>
      <vt:variant>
        <vt:lpwstr>_Toc413918230</vt:lpwstr>
      </vt:variant>
      <vt:variant>
        <vt:i4>1376308</vt:i4>
      </vt:variant>
      <vt:variant>
        <vt:i4>1862</vt:i4>
      </vt:variant>
      <vt:variant>
        <vt:i4>0</vt:i4>
      </vt:variant>
      <vt:variant>
        <vt:i4>5</vt:i4>
      </vt:variant>
      <vt:variant>
        <vt:lpwstr/>
      </vt:variant>
      <vt:variant>
        <vt:lpwstr>_Toc413918229</vt:lpwstr>
      </vt:variant>
      <vt:variant>
        <vt:i4>1376308</vt:i4>
      </vt:variant>
      <vt:variant>
        <vt:i4>1856</vt:i4>
      </vt:variant>
      <vt:variant>
        <vt:i4>0</vt:i4>
      </vt:variant>
      <vt:variant>
        <vt:i4>5</vt:i4>
      </vt:variant>
      <vt:variant>
        <vt:lpwstr/>
      </vt:variant>
      <vt:variant>
        <vt:lpwstr>_Toc413918228</vt:lpwstr>
      </vt:variant>
      <vt:variant>
        <vt:i4>1376308</vt:i4>
      </vt:variant>
      <vt:variant>
        <vt:i4>1850</vt:i4>
      </vt:variant>
      <vt:variant>
        <vt:i4>0</vt:i4>
      </vt:variant>
      <vt:variant>
        <vt:i4>5</vt:i4>
      </vt:variant>
      <vt:variant>
        <vt:lpwstr/>
      </vt:variant>
      <vt:variant>
        <vt:lpwstr>_Toc413918227</vt:lpwstr>
      </vt:variant>
      <vt:variant>
        <vt:i4>1376308</vt:i4>
      </vt:variant>
      <vt:variant>
        <vt:i4>1844</vt:i4>
      </vt:variant>
      <vt:variant>
        <vt:i4>0</vt:i4>
      </vt:variant>
      <vt:variant>
        <vt:i4>5</vt:i4>
      </vt:variant>
      <vt:variant>
        <vt:lpwstr/>
      </vt:variant>
      <vt:variant>
        <vt:lpwstr>_Toc413918226</vt:lpwstr>
      </vt:variant>
      <vt:variant>
        <vt:i4>1376308</vt:i4>
      </vt:variant>
      <vt:variant>
        <vt:i4>1838</vt:i4>
      </vt:variant>
      <vt:variant>
        <vt:i4>0</vt:i4>
      </vt:variant>
      <vt:variant>
        <vt:i4>5</vt:i4>
      </vt:variant>
      <vt:variant>
        <vt:lpwstr/>
      </vt:variant>
      <vt:variant>
        <vt:lpwstr>_Toc413918225</vt:lpwstr>
      </vt:variant>
      <vt:variant>
        <vt:i4>1376308</vt:i4>
      </vt:variant>
      <vt:variant>
        <vt:i4>1832</vt:i4>
      </vt:variant>
      <vt:variant>
        <vt:i4>0</vt:i4>
      </vt:variant>
      <vt:variant>
        <vt:i4>5</vt:i4>
      </vt:variant>
      <vt:variant>
        <vt:lpwstr/>
      </vt:variant>
      <vt:variant>
        <vt:lpwstr>_Toc413918224</vt:lpwstr>
      </vt:variant>
      <vt:variant>
        <vt:i4>1376308</vt:i4>
      </vt:variant>
      <vt:variant>
        <vt:i4>1826</vt:i4>
      </vt:variant>
      <vt:variant>
        <vt:i4>0</vt:i4>
      </vt:variant>
      <vt:variant>
        <vt:i4>5</vt:i4>
      </vt:variant>
      <vt:variant>
        <vt:lpwstr/>
      </vt:variant>
      <vt:variant>
        <vt:lpwstr>_Toc413918223</vt:lpwstr>
      </vt:variant>
      <vt:variant>
        <vt:i4>1376308</vt:i4>
      </vt:variant>
      <vt:variant>
        <vt:i4>1820</vt:i4>
      </vt:variant>
      <vt:variant>
        <vt:i4>0</vt:i4>
      </vt:variant>
      <vt:variant>
        <vt:i4>5</vt:i4>
      </vt:variant>
      <vt:variant>
        <vt:lpwstr/>
      </vt:variant>
      <vt:variant>
        <vt:lpwstr>_Toc413918222</vt:lpwstr>
      </vt:variant>
      <vt:variant>
        <vt:i4>1376308</vt:i4>
      </vt:variant>
      <vt:variant>
        <vt:i4>1814</vt:i4>
      </vt:variant>
      <vt:variant>
        <vt:i4>0</vt:i4>
      </vt:variant>
      <vt:variant>
        <vt:i4>5</vt:i4>
      </vt:variant>
      <vt:variant>
        <vt:lpwstr/>
      </vt:variant>
      <vt:variant>
        <vt:lpwstr>_Toc413918221</vt:lpwstr>
      </vt:variant>
      <vt:variant>
        <vt:i4>1376308</vt:i4>
      </vt:variant>
      <vt:variant>
        <vt:i4>1808</vt:i4>
      </vt:variant>
      <vt:variant>
        <vt:i4>0</vt:i4>
      </vt:variant>
      <vt:variant>
        <vt:i4>5</vt:i4>
      </vt:variant>
      <vt:variant>
        <vt:lpwstr/>
      </vt:variant>
      <vt:variant>
        <vt:lpwstr>_Toc413918220</vt:lpwstr>
      </vt:variant>
      <vt:variant>
        <vt:i4>1441844</vt:i4>
      </vt:variant>
      <vt:variant>
        <vt:i4>1802</vt:i4>
      </vt:variant>
      <vt:variant>
        <vt:i4>0</vt:i4>
      </vt:variant>
      <vt:variant>
        <vt:i4>5</vt:i4>
      </vt:variant>
      <vt:variant>
        <vt:lpwstr/>
      </vt:variant>
      <vt:variant>
        <vt:lpwstr>_Toc413918219</vt:lpwstr>
      </vt:variant>
      <vt:variant>
        <vt:i4>1441844</vt:i4>
      </vt:variant>
      <vt:variant>
        <vt:i4>1796</vt:i4>
      </vt:variant>
      <vt:variant>
        <vt:i4>0</vt:i4>
      </vt:variant>
      <vt:variant>
        <vt:i4>5</vt:i4>
      </vt:variant>
      <vt:variant>
        <vt:lpwstr/>
      </vt:variant>
      <vt:variant>
        <vt:lpwstr>_Toc413918218</vt:lpwstr>
      </vt:variant>
      <vt:variant>
        <vt:i4>1441844</vt:i4>
      </vt:variant>
      <vt:variant>
        <vt:i4>1790</vt:i4>
      </vt:variant>
      <vt:variant>
        <vt:i4>0</vt:i4>
      </vt:variant>
      <vt:variant>
        <vt:i4>5</vt:i4>
      </vt:variant>
      <vt:variant>
        <vt:lpwstr/>
      </vt:variant>
      <vt:variant>
        <vt:lpwstr>_Toc413918217</vt:lpwstr>
      </vt:variant>
      <vt:variant>
        <vt:i4>1441844</vt:i4>
      </vt:variant>
      <vt:variant>
        <vt:i4>1784</vt:i4>
      </vt:variant>
      <vt:variant>
        <vt:i4>0</vt:i4>
      </vt:variant>
      <vt:variant>
        <vt:i4>5</vt:i4>
      </vt:variant>
      <vt:variant>
        <vt:lpwstr/>
      </vt:variant>
      <vt:variant>
        <vt:lpwstr>_Toc413918216</vt:lpwstr>
      </vt:variant>
      <vt:variant>
        <vt:i4>1441844</vt:i4>
      </vt:variant>
      <vt:variant>
        <vt:i4>1778</vt:i4>
      </vt:variant>
      <vt:variant>
        <vt:i4>0</vt:i4>
      </vt:variant>
      <vt:variant>
        <vt:i4>5</vt:i4>
      </vt:variant>
      <vt:variant>
        <vt:lpwstr/>
      </vt:variant>
      <vt:variant>
        <vt:lpwstr>_Toc413918215</vt:lpwstr>
      </vt:variant>
      <vt:variant>
        <vt:i4>1441844</vt:i4>
      </vt:variant>
      <vt:variant>
        <vt:i4>1772</vt:i4>
      </vt:variant>
      <vt:variant>
        <vt:i4>0</vt:i4>
      </vt:variant>
      <vt:variant>
        <vt:i4>5</vt:i4>
      </vt:variant>
      <vt:variant>
        <vt:lpwstr/>
      </vt:variant>
      <vt:variant>
        <vt:lpwstr>_Toc413918214</vt:lpwstr>
      </vt:variant>
      <vt:variant>
        <vt:i4>1441844</vt:i4>
      </vt:variant>
      <vt:variant>
        <vt:i4>1766</vt:i4>
      </vt:variant>
      <vt:variant>
        <vt:i4>0</vt:i4>
      </vt:variant>
      <vt:variant>
        <vt:i4>5</vt:i4>
      </vt:variant>
      <vt:variant>
        <vt:lpwstr/>
      </vt:variant>
      <vt:variant>
        <vt:lpwstr>_Toc413918213</vt:lpwstr>
      </vt:variant>
      <vt:variant>
        <vt:i4>1441844</vt:i4>
      </vt:variant>
      <vt:variant>
        <vt:i4>1760</vt:i4>
      </vt:variant>
      <vt:variant>
        <vt:i4>0</vt:i4>
      </vt:variant>
      <vt:variant>
        <vt:i4>5</vt:i4>
      </vt:variant>
      <vt:variant>
        <vt:lpwstr/>
      </vt:variant>
      <vt:variant>
        <vt:lpwstr>_Toc413918212</vt:lpwstr>
      </vt:variant>
      <vt:variant>
        <vt:i4>1441844</vt:i4>
      </vt:variant>
      <vt:variant>
        <vt:i4>1754</vt:i4>
      </vt:variant>
      <vt:variant>
        <vt:i4>0</vt:i4>
      </vt:variant>
      <vt:variant>
        <vt:i4>5</vt:i4>
      </vt:variant>
      <vt:variant>
        <vt:lpwstr/>
      </vt:variant>
      <vt:variant>
        <vt:lpwstr>_Toc413918211</vt:lpwstr>
      </vt:variant>
      <vt:variant>
        <vt:i4>1441844</vt:i4>
      </vt:variant>
      <vt:variant>
        <vt:i4>1748</vt:i4>
      </vt:variant>
      <vt:variant>
        <vt:i4>0</vt:i4>
      </vt:variant>
      <vt:variant>
        <vt:i4>5</vt:i4>
      </vt:variant>
      <vt:variant>
        <vt:lpwstr/>
      </vt:variant>
      <vt:variant>
        <vt:lpwstr>_Toc413918210</vt:lpwstr>
      </vt:variant>
      <vt:variant>
        <vt:i4>1507380</vt:i4>
      </vt:variant>
      <vt:variant>
        <vt:i4>1742</vt:i4>
      </vt:variant>
      <vt:variant>
        <vt:i4>0</vt:i4>
      </vt:variant>
      <vt:variant>
        <vt:i4>5</vt:i4>
      </vt:variant>
      <vt:variant>
        <vt:lpwstr/>
      </vt:variant>
      <vt:variant>
        <vt:lpwstr>_Toc413918209</vt:lpwstr>
      </vt:variant>
      <vt:variant>
        <vt:i4>1507380</vt:i4>
      </vt:variant>
      <vt:variant>
        <vt:i4>1736</vt:i4>
      </vt:variant>
      <vt:variant>
        <vt:i4>0</vt:i4>
      </vt:variant>
      <vt:variant>
        <vt:i4>5</vt:i4>
      </vt:variant>
      <vt:variant>
        <vt:lpwstr/>
      </vt:variant>
      <vt:variant>
        <vt:lpwstr>_Toc413918208</vt:lpwstr>
      </vt:variant>
      <vt:variant>
        <vt:i4>1507380</vt:i4>
      </vt:variant>
      <vt:variant>
        <vt:i4>1730</vt:i4>
      </vt:variant>
      <vt:variant>
        <vt:i4>0</vt:i4>
      </vt:variant>
      <vt:variant>
        <vt:i4>5</vt:i4>
      </vt:variant>
      <vt:variant>
        <vt:lpwstr/>
      </vt:variant>
      <vt:variant>
        <vt:lpwstr>_Toc413918207</vt:lpwstr>
      </vt:variant>
      <vt:variant>
        <vt:i4>1507380</vt:i4>
      </vt:variant>
      <vt:variant>
        <vt:i4>1724</vt:i4>
      </vt:variant>
      <vt:variant>
        <vt:i4>0</vt:i4>
      </vt:variant>
      <vt:variant>
        <vt:i4>5</vt:i4>
      </vt:variant>
      <vt:variant>
        <vt:lpwstr/>
      </vt:variant>
      <vt:variant>
        <vt:lpwstr>_Toc413918206</vt:lpwstr>
      </vt:variant>
      <vt:variant>
        <vt:i4>1507380</vt:i4>
      </vt:variant>
      <vt:variant>
        <vt:i4>1718</vt:i4>
      </vt:variant>
      <vt:variant>
        <vt:i4>0</vt:i4>
      </vt:variant>
      <vt:variant>
        <vt:i4>5</vt:i4>
      </vt:variant>
      <vt:variant>
        <vt:lpwstr/>
      </vt:variant>
      <vt:variant>
        <vt:lpwstr>_Toc413918205</vt:lpwstr>
      </vt:variant>
      <vt:variant>
        <vt:i4>1507380</vt:i4>
      </vt:variant>
      <vt:variant>
        <vt:i4>1712</vt:i4>
      </vt:variant>
      <vt:variant>
        <vt:i4>0</vt:i4>
      </vt:variant>
      <vt:variant>
        <vt:i4>5</vt:i4>
      </vt:variant>
      <vt:variant>
        <vt:lpwstr/>
      </vt:variant>
      <vt:variant>
        <vt:lpwstr>_Toc413918204</vt:lpwstr>
      </vt:variant>
      <vt:variant>
        <vt:i4>1507380</vt:i4>
      </vt:variant>
      <vt:variant>
        <vt:i4>1706</vt:i4>
      </vt:variant>
      <vt:variant>
        <vt:i4>0</vt:i4>
      </vt:variant>
      <vt:variant>
        <vt:i4>5</vt:i4>
      </vt:variant>
      <vt:variant>
        <vt:lpwstr/>
      </vt:variant>
      <vt:variant>
        <vt:lpwstr>_Toc413918203</vt:lpwstr>
      </vt:variant>
      <vt:variant>
        <vt:i4>1507380</vt:i4>
      </vt:variant>
      <vt:variant>
        <vt:i4>1700</vt:i4>
      </vt:variant>
      <vt:variant>
        <vt:i4>0</vt:i4>
      </vt:variant>
      <vt:variant>
        <vt:i4>5</vt:i4>
      </vt:variant>
      <vt:variant>
        <vt:lpwstr/>
      </vt:variant>
      <vt:variant>
        <vt:lpwstr>_Toc413918202</vt:lpwstr>
      </vt:variant>
      <vt:variant>
        <vt:i4>1507380</vt:i4>
      </vt:variant>
      <vt:variant>
        <vt:i4>1694</vt:i4>
      </vt:variant>
      <vt:variant>
        <vt:i4>0</vt:i4>
      </vt:variant>
      <vt:variant>
        <vt:i4>5</vt:i4>
      </vt:variant>
      <vt:variant>
        <vt:lpwstr/>
      </vt:variant>
      <vt:variant>
        <vt:lpwstr>_Toc413918201</vt:lpwstr>
      </vt:variant>
      <vt:variant>
        <vt:i4>1507380</vt:i4>
      </vt:variant>
      <vt:variant>
        <vt:i4>1688</vt:i4>
      </vt:variant>
      <vt:variant>
        <vt:i4>0</vt:i4>
      </vt:variant>
      <vt:variant>
        <vt:i4>5</vt:i4>
      </vt:variant>
      <vt:variant>
        <vt:lpwstr/>
      </vt:variant>
      <vt:variant>
        <vt:lpwstr>_Toc413918200</vt:lpwstr>
      </vt:variant>
      <vt:variant>
        <vt:i4>1966135</vt:i4>
      </vt:variant>
      <vt:variant>
        <vt:i4>1682</vt:i4>
      </vt:variant>
      <vt:variant>
        <vt:i4>0</vt:i4>
      </vt:variant>
      <vt:variant>
        <vt:i4>5</vt:i4>
      </vt:variant>
      <vt:variant>
        <vt:lpwstr/>
      </vt:variant>
      <vt:variant>
        <vt:lpwstr>_Toc413918199</vt:lpwstr>
      </vt:variant>
      <vt:variant>
        <vt:i4>1966135</vt:i4>
      </vt:variant>
      <vt:variant>
        <vt:i4>1676</vt:i4>
      </vt:variant>
      <vt:variant>
        <vt:i4>0</vt:i4>
      </vt:variant>
      <vt:variant>
        <vt:i4>5</vt:i4>
      </vt:variant>
      <vt:variant>
        <vt:lpwstr/>
      </vt:variant>
      <vt:variant>
        <vt:lpwstr>_Toc413918198</vt:lpwstr>
      </vt:variant>
      <vt:variant>
        <vt:i4>1966135</vt:i4>
      </vt:variant>
      <vt:variant>
        <vt:i4>1670</vt:i4>
      </vt:variant>
      <vt:variant>
        <vt:i4>0</vt:i4>
      </vt:variant>
      <vt:variant>
        <vt:i4>5</vt:i4>
      </vt:variant>
      <vt:variant>
        <vt:lpwstr/>
      </vt:variant>
      <vt:variant>
        <vt:lpwstr>_Toc413918197</vt:lpwstr>
      </vt:variant>
      <vt:variant>
        <vt:i4>1966135</vt:i4>
      </vt:variant>
      <vt:variant>
        <vt:i4>1664</vt:i4>
      </vt:variant>
      <vt:variant>
        <vt:i4>0</vt:i4>
      </vt:variant>
      <vt:variant>
        <vt:i4>5</vt:i4>
      </vt:variant>
      <vt:variant>
        <vt:lpwstr/>
      </vt:variant>
      <vt:variant>
        <vt:lpwstr>_Toc413918196</vt:lpwstr>
      </vt:variant>
      <vt:variant>
        <vt:i4>1966135</vt:i4>
      </vt:variant>
      <vt:variant>
        <vt:i4>1658</vt:i4>
      </vt:variant>
      <vt:variant>
        <vt:i4>0</vt:i4>
      </vt:variant>
      <vt:variant>
        <vt:i4>5</vt:i4>
      </vt:variant>
      <vt:variant>
        <vt:lpwstr/>
      </vt:variant>
      <vt:variant>
        <vt:lpwstr>_Toc413918195</vt:lpwstr>
      </vt:variant>
      <vt:variant>
        <vt:i4>1966135</vt:i4>
      </vt:variant>
      <vt:variant>
        <vt:i4>1652</vt:i4>
      </vt:variant>
      <vt:variant>
        <vt:i4>0</vt:i4>
      </vt:variant>
      <vt:variant>
        <vt:i4>5</vt:i4>
      </vt:variant>
      <vt:variant>
        <vt:lpwstr/>
      </vt:variant>
      <vt:variant>
        <vt:lpwstr>_Toc413918194</vt:lpwstr>
      </vt:variant>
      <vt:variant>
        <vt:i4>1966135</vt:i4>
      </vt:variant>
      <vt:variant>
        <vt:i4>1646</vt:i4>
      </vt:variant>
      <vt:variant>
        <vt:i4>0</vt:i4>
      </vt:variant>
      <vt:variant>
        <vt:i4>5</vt:i4>
      </vt:variant>
      <vt:variant>
        <vt:lpwstr/>
      </vt:variant>
      <vt:variant>
        <vt:lpwstr>_Toc413918193</vt:lpwstr>
      </vt:variant>
      <vt:variant>
        <vt:i4>1966135</vt:i4>
      </vt:variant>
      <vt:variant>
        <vt:i4>1640</vt:i4>
      </vt:variant>
      <vt:variant>
        <vt:i4>0</vt:i4>
      </vt:variant>
      <vt:variant>
        <vt:i4>5</vt:i4>
      </vt:variant>
      <vt:variant>
        <vt:lpwstr/>
      </vt:variant>
      <vt:variant>
        <vt:lpwstr>_Toc413918192</vt:lpwstr>
      </vt:variant>
      <vt:variant>
        <vt:i4>1966135</vt:i4>
      </vt:variant>
      <vt:variant>
        <vt:i4>1634</vt:i4>
      </vt:variant>
      <vt:variant>
        <vt:i4>0</vt:i4>
      </vt:variant>
      <vt:variant>
        <vt:i4>5</vt:i4>
      </vt:variant>
      <vt:variant>
        <vt:lpwstr/>
      </vt:variant>
      <vt:variant>
        <vt:lpwstr>_Toc413918191</vt:lpwstr>
      </vt:variant>
      <vt:variant>
        <vt:i4>1966135</vt:i4>
      </vt:variant>
      <vt:variant>
        <vt:i4>1628</vt:i4>
      </vt:variant>
      <vt:variant>
        <vt:i4>0</vt:i4>
      </vt:variant>
      <vt:variant>
        <vt:i4>5</vt:i4>
      </vt:variant>
      <vt:variant>
        <vt:lpwstr/>
      </vt:variant>
      <vt:variant>
        <vt:lpwstr>_Toc413918190</vt:lpwstr>
      </vt:variant>
      <vt:variant>
        <vt:i4>2031671</vt:i4>
      </vt:variant>
      <vt:variant>
        <vt:i4>1622</vt:i4>
      </vt:variant>
      <vt:variant>
        <vt:i4>0</vt:i4>
      </vt:variant>
      <vt:variant>
        <vt:i4>5</vt:i4>
      </vt:variant>
      <vt:variant>
        <vt:lpwstr/>
      </vt:variant>
      <vt:variant>
        <vt:lpwstr>_Toc413918189</vt:lpwstr>
      </vt:variant>
      <vt:variant>
        <vt:i4>2031671</vt:i4>
      </vt:variant>
      <vt:variant>
        <vt:i4>1616</vt:i4>
      </vt:variant>
      <vt:variant>
        <vt:i4>0</vt:i4>
      </vt:variant>
      <vt:variant>
        <vt:i4>5</vt:i4>
      </vt:variant>
      <vt:variant>
        <vt:lpwstr/>
      </vt:variant>
      <vt:variant>
        <vt:lpwstr>_Toc413918188</vt:lpwstr>
      </vt:variant>
      <vt:variant>
        <vt:i4>2031671</vt:i4>
      </vt:variant>
      <vt:variant>
        <vt:i4>1610</vt:i4>
      </vt:variant>
      <vt:variant>
        <vt:i4>0</vt:i4>
      </vt:variant>
      <vt:variant>
        <vt:i4>5</vt:i4>
      </vt:variant>
      <vt:variant>
        <vt:lpwstr/>
      </vt:variant>
      <vt:variant>
        <vt:lpwstr>_Toc413918187</vt:lpwstr>
      </vt:variant>
      <vt:variant>
        <vt:i4>2031671</vt:i4>
      </vt:variant>
      <vt:variant>
        <vt:i4>1604</vt:i4>
      </vt:variant>
      <vt:variant>
        <vt:i4>0</vt:i4>
      </vt:variant>
      <vt:variant>
        <vt:i4>5</vt:i4>
      </vt:variant>
      <vt:variant>
        <vt:lpwstr/>
      </vt:variant>
      <vt:variant>
        <vt:lpwstr>_Toc413918186</vt:lpwstr>
      </vt:variant>
      <vt:variant>
        <vt:i4>2031671</vt:i4>
      </vt:variant>
      <vt:variant>
        <vt:i4>1598</vt:i4>
      </vt:variant>
      <vt:variant>
        <vt:i4>0</vt:i4>
      </vt:variant>
      <vt:variant>
        <vt:i4>5</vt:i4>
      </vt:variant>
      <vt:variant>
        <vt:lpwstr/>
      </vt:variant>
      <vt:variant>
        <vt:lpwstr>_Toc413918185</vt:lpwstr>
      </vt:variant>
      <vt:variant>
        <vt:i4>2031671</vt:i4>
      </vt:variant>
      <vt:variant>
        <vt:i4>1592</vt:i4>
      </vt:variant>
      <vt:variant>
        <vt:i4>0</vt:i4>
      </vt:variant>
      <vt:variant>
        <vt:i4>5</vt:i4>
      </vt:variant>
      <vt:variant>
        <vt:lpwstr/>
      </vt:variant>
      <vt:variant>
        <vt:lpwstr>_Toc413918184</vt:lpwstr>
      </vt:variant>
      <vt:variant>
        <vt:i4>2031671</vt:i4>
      </vt:variant>
      <vt:variant>
        <vt:i4>1586</vt:i4>
      </vt:variant>
      <vt:variant>
        <vt:i4>0</vt:i4>
      </vt:variant>
      <vt:variant>
        <vt:i4>5</vt:i4>
      </vt:variant>
      <vt:variant>
        <vt:lpwstr/>
      </vt:variant>
      <vt:variant>
        <vt:lpwstr>_Toc413918183</vt:lpwstr>
      </vt:variant>
      <vt:variant>
        <vt:i4>2031671</vt:i4>
      </vt:variant>
      <vt:variant>
        <vt:i4>1580</vt:i4>
      </vt:variant>
      <vt:variant>
        <vt:i4>0</vt:i4>
      </vt:variant>
      <vt:variant>
        <vt:i4>5</vt:i4>
      </vt:variant>
      <vt:variant>
        <vt:lpwstr/>
      </vt:variant>
      <vt:variant>
        <vt:lpwstr>_Toc413918182</vt:lpwstr>
      </vt:variant>
      <vt:variant>
        <vt:i4>2031671</vt:i4>
      </vt:variant>
      <vt:variant>
        <vt:i4>1574</vt:i4>
      </vt:variant>
      <vt:variant>
        <vt:i4>0</vt:i4>
      </vt:variant>
      <vt:variant>
        <vt:i4>5</vt:i4>
      </vt:variant>
      <vt:variant>
        <vt:lpwstr/>
      </vt:variant>
      <vt:variant>
        <vt:lpwstr>_Toc413918181</vt:lpwstr>
      </vt:variant>
      <vt:variant>
        <vt:i4>2031671</vt:i4>
      </vt:variant>
      <vt:variant>
        <vt:i4>1568</vt:i4>
      </vt:variant>
      <vt:variant>
        <vt:i4>0</vt:i4>
      </vt:variant>
      <vt:variant>
        <vt:i4>5</vt:i4>
      </vt:variant>
      <vt:variant>
        <vt:lpwstr/>
      </vt:variant>
      <vt:variant>
        <vt:lpwstr>_Toc413918180</vt:lpwstr>
      </vt:variant>
      <vt:variant>
        <vt:i4>1048631</vt:i4>
      </vt:variant>
      <vt:variant>
        <vt:i4>1562</vt:i4>
      </vt:variant>
      <vt:variant>
        <vt:i4>0</vt:i4>
      </vt:variant>
      <vt:variant>
        <vt:i4>5</vt:i4>
      </vt:variant>
      <vt:variant>
        <vt:lpwstr/>
      </vt:variant>
      <vt:variant>
        <vt:lpwstr>_Toc413918179</vt:lpwstr>
      </vt:variant>
      <vt:variant>
        <vt:i4>1048631</vt:i4>
      </vt:variant>
      <vt:variant>
        <vt:i4>1556</vt:i4>
      </vt:variant>
      <vt:variant>
        <vt:i4>0</vt:i4>
      </vt:variant>
      <vt:variant>
        <vt:i4>5</vt:i4>
      </vt:variant>
      <vt:variant>
        <vt:lpwstr/>
      </vt:variant>
      <vt:variant>
        <vt:lpwstr>_Toc413918178</vt:lpwstr>
      </vt:variant>
      <vt:variant>
        <vt:i4>1048631</vt:i4>
      </vt:variant>
      <vt:variant>
        <vt:i4>1550</vt:i4>
      </vt:variant>
      <vt:variant>
        <vt:i4>0</vt:i4>
      </vt:variant>
      <vt:variant>
        <vt:i4>5</vt:i4>
      </vt:variant>
      <vt:variant>
        <vt:lpwstr/>
      </vt:variant>
      <vt:variant>
        <vt:lpwstr>_Toc413918177</vt:lpwstr>
      </vt:variant>
      <vt:variant>
        <vt:i4>1048631</vt:i4>
      </vt:variant>
      <vt:variant>
        <vt:i4>1544</vt:i4>
      </vt:variant>
      <vt:variant>
        <vt:i4>0</vt:i4>
      </vt:variant>
      <vt:variant>
        <vt:i4>5</vt:i4>
      </vt:variant>
      <vt:variant>
        <vt:lpwstr/>
      </vt:variant>
      <vt:variant>
        <vt:lpwstr>_Toc413918176</vt:lpwstr>
      </vt:variant>
      <vt:variant>
        <vt:i4>1048631</vt:i4>
      </vt:variant>
      <vt:variant>
        <vt:i4>1538</vt:i4>
      </vt:variant>
      <vt:variant>
        <vt:i4>0</vt:i4>
      </vt:variant>
      <vt:variant>
        <vt:i4>5</vt:i4>
      </vt:variant>
      <vt:variant>
        <vt:lpwstr/>
      </vt:variant>
      <vt:variant>
        <vt:lpwstr>_Toc413918175</vt:lpwstr>
      </vt:variant>
      <vt:variant>
        <vt:i4>1048631</vt:i4>
      </vt:variant>
      <vt:variant>
        <vt:i4>1532</vt:i4>
      </vt:variant>
      <vt:variant>
        <vt:i4>0</vt:i4>
      </vt:variant>
      <vt:variant>
        <vt:i4>5</vt:i4>
      </vt:variant>
      <vt:variant>
        <vt:lpwstr/>
      </vt:variant>
      <vt:variant>
        <vt:lpwstr>_Toc413918174</vt:lpwstr>
      </vt:variant>
      <vt:variant>
        <vt:i4>1048631</vt:i4>
      </vt:variant>
      <vt:variant>
        <vt:i4>1526</vt:i4>
      </vt:variant>
      <vt:variant>
        <vt:i4>0</vt:i4>
      </vt:variant>
      <vt:variant>
        <vt:i4>5</vt:i4>
      </vt:variant>
      <vt:variant>
        <vt:lpwstr/>
      </vt:variant>
      <vt:variant>
        <vt:lpwstr>_Toc413918173</vt:lpwstr>
      </vt:variant>
      <vt:variant>
        <vt:i4>1048631</vt:i4>
      </vt:variant>
      <vt:variant>
        <vt:i4>1520</vt:i4>
      </vt:variant>
      <vt:variant>
        <vt:i4>0</vt:i4>
      </vt:variant>
      <vt:variant>
        <vt:i4>5</vt:i4>
      </vt:variant>
      <vt:variant>
        <vt:lpwstr/>
      </vt:variant>
      <vt:variant>
        <vt:lpwstr>_Toc413918172</vt:lpwstr>
      </vt:variant>
      <vt:variant>
        <vt:i4>1048631</vt:i4>
      </vt:variant>
      <vt:variant>
        <vt:i4>1514</vt:i4>
      </vt:variant>
      <vt:variant>
        <vt:i4>0</vt:i4>
      </vt:variant>
      <vt:variant>
        <vt:i4>5</vt:i4>
      </vt:variant>
      <vt:variant>
        <vt:lpwstr/>
      </vt:variant>
      <vt:variant>
        <vt:lpwstr>_Toc413918171</vt:lpwstr>
      </vt:variant>
      <vt:variant>
        <vt:i4>1048631</vt:i4>
      </vt:variant>
      <vt:variant>
        <vt:i4>1508</vt:i4>
      </vt:variant>
      <vt:variant>
        <vt:i4>0</vt:i4>
      </vt:variant>
      <vt:variant>
        <vt:i4>5</vt:i4>
      </vt:variant>
      <vt:variant>
        <vt:lpwstr/>
      </vt:variant>
      <vt:variant>
        <vt:lpwstr>_Toc413918170</vt:lpwstr>
      </vt:variant>
      <vt:variant>
        <vt:i4>1114167</vt:i4>
      </vt:variant>
      <vt:variant>
        <vt:i4>1502</vt:i4>
      </vt:variant>
      <vt:variant>
        <vt:i4>0</vt:i4>
      </vt:variant>
      <vt:variant>
        <vt:i4>5</vt:i4>
      </vt:variant>
      <vt:variant>
        <vt:lpwstr/>
      </vt:variant>
      <vt:variant>
        <vt:lpwstr>_Toc413918169</vt:lpwstr>
      </vt:variant>
      <vt:variant>
        <vt:i4>1114167</vt:i4>
      </vt:variant>
      <vt:variant>
        <vt:i4>1496</vt:i4>
      </vt:variant>
      <vt:variant>
        <vt:i4>0</vt:i4>
      </vt:variant>
      <vt:variant>
        <vt:i4>5</vt:i4>
      </vt:variant>
      <vt:variant>
        <vt:lpwstr/>
      </vt:variant>
      <vt:variant>
        <vt:lpwstr>_Toc413918168</vt:lpwstr>
      </vt:variant>
      <vt:variant>
        <vt:i4>1114167</vt:i4>
      </vt:variant>
      <vt:variant>
        <vt:i4>1490</vt:i4>
      </vt:variant>
      <vt:variant>
        <vt:i4>0</vt:i4>
      </vt:variant>
      <vt:variant>
        <vt:i4>5</vt:i4>
      </vt:variant>
      <vt:variant>
        <vt:lpwstr/>
      </vt:variant>
      <vt:variant>
        <vt:lpwstr>_Toc413918167</vt:lpwstr>
      </vt:variant>
      <vt:variant>
        <vt:i4>1114167</vt:i4>
      </vt:variant>
      <vt:variant>
        <vt:i4>1484</vt:i4>
      </vt:variant>
      <vt:variant>
        <vt:i4>0</vt:i4>
      </vt:variant>
      <vt:variant>
        <vt:i4>5</vt:i4>
      </vt:variant>
      <vt:variant>
        <vt:lpwstr/>
      </vt:variant>
      <vt:variant>
        <vt:lpwstr>_Toc413918166</vt:lpwstr>
      </vt:variant>
      <vt:variant>
        <vt:i4>1114167</vt:i4>
      </vt:variant>
      <vt:variant>
        <vt:i4>1478</vt:i4>
      </vt:variant>
      <vt:variant>
        <vt:i4>0</vt:i4>
      </vt:variant>
      <vt:variant>
        <vt:i4>5</vt:i4>
      </vt:variant>
      <vt:variant>
        <vt:lpwstr/>
      </vt:variant>
      <vt:variant>
        <vt:lpwstr>_Toc413918165</vt:lpwstr>
      </vt:variant>
      <vt:variant>
        <vt:i4>1114167</vt:i4>
      </vt:variant>
      <vt:variant>
        <vt:i4>1472</vt:i4>
      </vt:variant>
      <vt:variant>
        <vt:i4>0</vt:i4>
      </vt:variant>
      <vt:variant>
        <vt:i4>5</vt:i4>
      </vt:variant>
      <vt:variant>
        <vt:lpwstr/>
      </vt:variant>
      <vt:variant>
        <vt:lpwstr>_Toc413918164</vt:lpwstr>
      </vt:variant>
      <vt:variant>
        <vt:i4>1114167</vt:i4>
      </vt:variant>
      <vt:variant>
        <vt:i4>1466</vt:i4>
      </vt:variant>
      <vt:variant>
        <vt:i4>0</vt:i4>
      </vt:variant>
      <vt:variant>
        <vt:i4>5</vt:i4>
      </vt:variant>
      <vt:variant>
        <vt:lpwstr/>
      </vt:variant>
      <vt:variant>
        <vt:lpwstr>_Toc413918163</vt:lpwstr>
      </vt:variant>
      <vt:variant>
        <vt:i4>1114167</vt:i4>
      </vt:variant>
      <vt:variant>
        <vt:i4>1460</vt:i4>
      </vt:variant>
      <vt:variant>
        <vt:i4>0</vt:i4>
      </vt:variant>
      <vt:variant>
        <vt:i4>5</vt:i4>
      </vt:variant>
      <vt:variant>
        <vt:lpwstr/>
      </vt:variant>
      <vt:variant>
        <vt:lpwstr>_Toc413918162</vt:lpwstr>
      </vt:variant>
      <vt:variant>
        <vt:i4>1114167</vt:i4>
      </vt:variant>
      <vt:variant>
        <vt:i4>1454</vt:i4>
      </vt:variant>
      <vt:variant>
        <vt:i4>0</vt:i4>
      </vt:variant>
      <vt:variant>
        <vt:i4>5</vt:i4>
      </vt:variant>
      <vt:variant>
        <vt:lpwstr/>
      </vt:variant>
      <vt:variant>
        <vt:lpwstr>_Toc413918161</vt:lpwstr>
      </vt:variant>
      <vt:variant>
        <vt:i4>1114167</vt:i4>
      </vt:variant>
      <vt:variant>
        <vt:i4>1448</vt:i4>
      </vt:variant>
      <vt:variant>
        <vt:i4>0</vt:i4>
      </vt:variant>
      <vt:variant>
        <vt:i4>5</vt:i4>
      </vt:variant>
      <vt:variant>
        <vt:lpwstr/>
      </vt:variant>
      <vt:variant>
        <vt:lpwstr>_Toc413918160</vt:lpwstr>
      </vt:variant>
      <vt:variant>
        <vt:i4>1179703</vt:i4>
      </vt:variant>
      <vt:variant>
        <vt:i4>1442</vt:i4>
      </vt:variant>
      <vt:variant>
        <vt:i4>0</vt:i4>
      </vt:variant>
      <vt:variant>
        <vt:i4>5</vt:i4>
      </vt:variant>
      <vt:variant>
        <vt:lpwstr/>
      </vt:variant>
      <vt:variant>
        <vt:lpwstr>_Toc413918159</vt:lpwstr>
      </vt:variant>
      <vt:variant>
        <vt:i4>1179703</vt:i4>
      </vt:variant>
      <vt:variant>
        <vt:i4>1436</vt:i4>
      </vt:variant>
      <vt:variant>
        <vt:i4>0</vt:i4>
      </vt:variant>
      <vt:variant>
        <vt:i4>5</vt:i4>
      </vt:variant>
      <vt:variant>
        <vt:lpwstr/>
      </vt:variant>
      <vt:variant>
        <vt:lpwstr>_Toc413918158</vt:lpwstr>
      </vt:variant>
      <vt:variant>
        <vt:i4>1179703</vt:i4>
      </vt:variant>
      <vt:variant>
        <vt:i4>1430</vt:i4>
      </vt:variant>
      <vt:variant>
        <vt:i4>0</vt:i4>
      </vt:variant>
      <vt:variant>
        <vt:i4>5</vt:i4>
      </vt:variant>
      <vt:variant>
        <vt:lpwstr/>
      </vt:variant>
      <vt:variant>
        <vt:lpwstr>_Toc413918157</vt:lpwstr>
      </vt:variant>
      <vt:variant>
        <vt:i4>1179703</vt:i4>
      </vt:variant>
      <vt:variant>
        <vt:i4>1424</vt:i4>
      </vt:variant>
      <vt:variant>
        <vt:i4>0</vt:i4>
      </vt:variant>
      <vt:variant>
        <vt:i4>5</vt:i4>
      </vt:variant>
      <vt:variant>
        <vt:lpwstr/>
      </vt:variant>
      <vt:variant>
        <vt:lpwstr>_Toc413918156</vt:lpwstr>
      </vt:variant>
      <vt:variant>
        <vt:i4>1179703</vt:i4>
      </vt:variant>
      <vt:variant>
        <vt:i4>1418</vt:i4>
      </vt:variant>
      <vt:variant>
        <vt:i4>0</vt:i4>
      </vt:variant>
      <vt:variant>
        <vt:i4>5</vt:i4>
      </vt:variant>
      <vt:variant>
        <vt:lpwstr/>
      </vt:variant>
      <vt:variant>
        <vt:lpwstr>_Toc413918155</vt:lpwstr>
      </vt:variant>
      <vt:variant>
        <vt:i4>1179703</vt:i4>
      </vt:variant>
      <vt:variant>
        <vt:i4>1412</vt:i4>
      </vt:variant>
      <vt:variant>
        <vt:i4>0</vt:i4>
      </vt:variant>
      <vt:variant>
        <vt:i4>5</vt:i4>
      </vt:variant>
      <vt:variant>
        <vt:lpwstr/>
      </vt:variant>
      <vt:variant>
        <vt:lpwstr>_Toc413918154</vt:lpwstr>
      </vt:variant>
      <vt:variant>
        <vt:i4>1179703</vt:i4>
      </vt:variant>
      <vt:variant>
        <vt:i4>1406</vt:i4>
      </vt:variant>
      <vt:variant>
        <vt:i4>0</vt:i4>
      </vt:variant>
      <vt:variant>
        <vt:i4>5</vt:i4>
      </vt:variant>
      <vt:variant>
        <vt:lpwstr/>
      </vt:variant>
      <vt:variant>
        <vt:lpwstr>_Toc413918153</vt:lpwstr>
      </vt:variant>
      <vt:variant>
        <vt:i4>1179703</vt:i4>
      </vt:variant>
      <vt:variant>
        <vt:i4>1400</vt:i4>
      </vt:variant>
      <vt:variant>
        <vt:i4>0</vt:i4>
      </vt:variant>
      <vt:variant>
        <vt:i4>5</vt:i4>
      </vt:variant>
      <vt:variant>
        <vt:lpwstr/>
      </vt:variant>
      <vt:variant>
        <vt:lpwstr>_Toc413918152</vt:lpwstr>
      </vt:variant>
      <vt:variant>
        <vt:i4>1179703</vt:i4>
      </vt:variant>
      <vt:variant>
        <vt:i4>1394</vt:i4>
      </vt:variant>
      <vt:variant>
        <vt:i4>0</vt:i4>
      </vt:variant>
      <vt:variant>
        <vt:i4>5</vt:i4>
      </vt:variant>
      <vt:variant>
        <vt:lpwstr/>
      </vt:variant>
      <vt:variant>
        <vt:lpwstr>_Toc413918151</vt:lpwstr>
      </vt:variant>
      <vt:variant>
        <vt:i4>1179703</vt:i4>
      </vt:variant>
      <vt:variant>
        <vt:i4>1388</vt:i4>
      </vt:variant>
      <vt:variant>
        <vt:i4>0</vt:i4>
      </vt:variant>
      <vt:variant>
        <vt:i4>5</vt:i4>
      </vt:variant>
      <vt:variant>
        <vt:lpwstr/>
      </vt:variant>
      <vt:variant>
        <vt:lpwstr>_Toc413918150</vt:lpwstr>
      </vt:variant>
      <vt:variant>
        <vt:i4>1245239</vt:i4>
      </vt:variant>
      <vt:variant>
        <vt:i4>1382</vt:i4>
      </vt:variant>
      <vt:variant>
        <vt:i4>0</vt:i4>
      </vt:variant>
      <vt:variant>
        <vt:i4>5</vt:i4>
      </vt:variant>
      <vt:variant>
        <vt:lpwstr/>
      </vt:variant>
      <vt:variant>
        <vt:lpwstr>_Toc413918149</vt:lpwstr>
      </vt:variant>
      <vt:variant>
        <vt:i4>1245239</vt:i4>
      </vt:variant>
      <vt:variant>
        <vt:i4>1376</vt:i4>
      </vt:variant>
      <vt:variant>
        <vt:i4>0</vt:i4>
      </vt:variant>
      <vt:variant>
        <vt:i4>5</vt:i4>
      </vt:variant>
      <vt:variant>
        <vt:lpwstr/>
      </vt:variant>
      <vt:variant>
        <vt:lpwstr>_Toc413918148</vt:lpwstr>
      </vt:variant>
      <vt:variant>
        <vt:i4>1245239</vt:i4>
      </vt:variant>
      <vt:variant>
        <vt:i4>1370</vt:i4>
      </vt:variant>
      <vt:variant>
        <vt:i4>0</vt:i4>
      </vt:variant>
      <vt:variant>
        <vt:i4>5</vt:i4>
      </vt:variant>
      <vt:variant>
        <vt:lpwstr/>
      </vt:variant>
      <vt:variant>
        <vt:lpwstr>_Toc413918147</vt:lpwstr>
      </vt:variant>
      <vt:variant>
        <vt:i4>1245239</vt:i4>
      </vt:variant>
      <vt:variant>
        <vt:i4>1364</vt:i4>
      </vt:variant>
      <vt:variant>
        <vt:i4>0</vt:i4>
      </vt:variant>
      <vt:variant>
        <vt:i4>5</vt:i4>
      </vt:variant>
      <vt:variant>
        <vt:lpwstr/>
      </vt:variant>
      <vt:variant>
        <vt:lpwstr>_Toc413918146</vt:lpwstr>
      </vt:variant>
      <vt:variant>
        <vt:i4>1245239</vt:i4>
      </vt:variant>
      <vt:variant>
        <vt:i4>1358</vt:i4>
      </vt:variant>
      <vt:variant>
        <vt:i4>0</vt:i4>
      </vt:variant>
      <vt:variant>
        <vt:i4>5</vt:i4>
      </vt:variant>
      <vt:variant>
        <vt:lpwstr/>
      </vt:variant>
      <vt:variant>
        <vt:lpwstr>_Toc413918145</vt:lpwstr>
      </vt:variant>
      <vt:variant>
        <vt:i4>1245239</vt:i4>
      </vt:variant>
      <vt:variant>
        <vt:i4>1352</vt:i4>
      </vt:variant>
      <vt:variant>
        <vt:i4>0</vt:i4>
      </vt:variant>
      <vt:variant>
        <vt:i4>5</vt:i4>
      </vt:variant>
      <vt:variant>
        <vt:lpwstr/>
      </vt:variant>
      <vt:variant>
        <vt:lpwstr>_Toc413918144</vt:lpwstr>
      </vt:variant>
      <vt:variant>
        <vt:i4>1245239</vt:i4>
      </vt:variant>
      <vt:variant>
        <vt:i4>1346</vt:i4>
      </vt:variant>
      <vt:variant>
        <vt:i4>0</vt:i4>
      </vt:variant>
      <vt:variant>
        <vt:i4>5</vt:i4>
      </vt:variant>
      <vt:variant>
        <vt:lpwstr/>
      </vt:variant>
      <vt:variant>
        <vt:lpwstr>_Toc413918143</vt:lpwstr>
      </vt:variant>
      <vt:variant>
        <vt:i4>1245239</vt:i4>
      </vt:variant>
      <vt:variant>
        <vt:i4>1340</vt:i4>
      </vt:variant>
      <vt:variant>
        <vt:i4>0</vt:i4>
      </vt:variant>
      <vt:variant>
        <vt:i4>5</vt:i4>
      </vt:variant>
      <vt:variant>
        <vt:lpwstr/>
      </vt:variant>
      <vt:variant>
        <vt:lpwstr>_Toc413918142</vt:lpwstr>
      </vt:variant>
      <vt:variant>
        <vt:i4>1245239</vt:i4>
      </vt:variant>
      <vt:variant>
        <vt:i4>1334</vt:i4>
      </vt:variant>
      <vt:variant>
        <vt:i4>0</vt:i4>
      </vt:variant>
      <vt:variant>
        <vt:i4>5</vt:i4>
      </vt:variant>
      <vt:variant>
        <vt:lpwstr/>
      </vt:variant>
      <vt:variant>
        <vt:lpwstr>_Toc413918141</vt:lpwstr>
      </vt:variant>
      <vt:variant>
        <vt:i4>1245239</vt:i4>
      </vt:variant>
      <vt:variant>
        <vt:i4>1328</vt:i4>
      </vt:variant>
      <vt:variant>
        <vt:i4>0</vt:i4>
      </vt:variant>
      <vt:variant>
        <vt:i4>5</vt:i4>
      </vt:variant>
      <vt:variant>
        <vt:lpwstr/>
      </vt:variant>
      <vt:variant>
        <vt:lpwstr>_Toc413918140</vt:lpwstr>
      </vt:variant>
      <vt:variant>
        <vt:i4>1310775</vt:i4>
      </vt:variant>
      <vt:variant>
        <vt:i4>1322</vt:i4>
      </vt:variant>
      <vt:variant>
        <vt:i4>0</vt:i4>
      </vt:variant>
      <vt:variant>
        <vt:i4>5</vt:i4>
      </vt:variant>
      <vt:variant>
        <vt:lpwstr/>
      </vt:variant>
      <vt:variant>
        <vt:lpwstr>_Toc413918139</vt:lpwstr>
      </vt:variant>
      <vt:variant>
        <vt:i4>1310775</vt:i4>
      </vt:variant>
      <vt:variant>
        <vt:i4>1316</vt:i4>
      </vt:variant>
      <vt:variant>
        <vt:i4>0</vt:i4>
      </vt:variant>
      <vt:variant>
        <vt:i4>5</vt:i4>
      </vt:variant>
      <vt:variant>
        <vt:lpwstr/>
      </vt:variant>
      <vt:variant>
        <vt:lpwstr>_Toc413918138</vt:lpwstr>
      </vt:variant>
      <vt:variant>
        <vt:i4>1310775</vt:i4>
      </vt:variant>
      <vt:variant>
        <vt:i4>1310</vt:i4>
      </vt:variant>
      <vt:variant>
        <vt:i4>0</vt:i4>
      </vt:variant>
      <vt:variant>
        <vt:i4>5</vt:i4>
      </vt:variant>
      <vt:variant>
        <vt:lpwstr/>
      </vt:variant>
      <vt:variant>
        <vt:lpwstr>_Toc413918137</vt:lpwstr>
      </vt:variant>
      <vt:variant>
        <vt:i4>1310775</vt:i4>
      </vt:variant>
      <vt:variant>
        <vt:i4>1304</vt:i4>
      </vt:variant>
      <vt:variant>
        <vt:i4>0</vt:i4>
      </vt:variant>
      <vt:variant>
        <vt:i4>5</vt:i4>
      </vt:variant>
      <vt:variant>
        <vt:lpwstr/>
      </vt:variant>
      <vt:variant>
        <vt:lpwstr>_Toc413918136</vt:lpwstr>
      </vt:variant>
      <vt:variant>
        <vt:i4>1310775</vt:i4>
      </vt:variant>
      <vt:variant>
        <vt:i4>1298</vt:i4>
      </vt:variant>
      <vt:variant>
        <vt:i4>0</vt:i4>
      </vt:variant>
      <vt:variant>
        <vt:i4>5</vt:i4>
      </vt:variant>
      <vt:variant>
        <vt:lpwstr/>
      </vt:variant>
      <vt:variant>
        <vt:lpwstr>_Toc413918135</vt:lpwstr>
      </vt:variant>
      <vt:variant>
        <vt:i4>1310775</vt:i4>
      </vt:variant>
      <vt:variant>
        <vt:i4>1292</vt:i4>
      </vt:variant>
      <vt:variant>
        <vt:i4>0</vt:i4>
      </vt:variant>
      <vt:variant>
        <vt:i4>5</vt:i4>
      </vt:variant>
      <vt:variant>
        <vt:lpwstr/>
      </vt:variant>
      <vt:variant>
        <vt:lpwstr>_Toc413918134</vt:lpwstr>
      </vt:variant>
      <vt:variant>
        <vt:i4>1310775</vt:i4>
      </vt:variant>
      <vt:variant>
        <vt:i4>1286</vt:i4>
      </vt:variant>
      <vt:variant>
        <vt:i4>0</vt:i4>
      </vt:variant>
      <vt:variant>
        <vt:i4>5</vt:i4>
      </vt:variant>
      <vt:variant>
        <vt:lpwstr/>
      </vt:variant>
      <vt:variant>
        <vt:lpwstr>_Toc413918133</vt:lpwstr>
      </vt:variant>
      <vt:variant>
        <vt:i4>1310775</vt:i4>
      </vt:variant>
      <vt:variant>
        <vt:i4>1280</vt:i4>
      </vt:variant>
      <vt:variant>
        <vt:i4>0</vt:i4>
      </vt:variant>
      <vt:variant>
        <vt:i4>5</vt:i4>
      </vt:variant>
      <vt:variant>
        <vt:lpwstr/>
      </vt:variant>
      <vt:variant>
        <vt:lpwstr>_Toc413918132</vt:lpwstr>
      </vt:variant>
      <vt:variant>
        <vt:i4>1310775</vt:i4>
      </vt:variant>
      <vt:variant>
        <vt:i4>1274</vt:i4>
      </vt:variant>
      <vt:variant>
        <vt:i4>0</vt:i4>
      </vt:variant>
      <vt:variant>
        <vt:i4>5</vt:i4>
      </vt:variant>
      <vt:variant>
        <vt:lpwstr/>
      </vt:variant>
      <vt:variant>
        <vt:lpwstr>_Toc413918131</vt:lpwstr>
      </vt:variant>
      <vt:variant>
        <vt:i4>1310775</vt:i4>
      </vt:variant>
      <vt:variant>
        <vt:i4>1268</vt:i4>
      </vt:variant>
      <vt:variant>
        <vt:i4>0</vt:i4>
      </vt:variant>
      <vt:variant>
        <vt:i4>5</vt:i4>
      </vt:variant>
      <vt:variant>
        <vt:lpwstr/>
      </vt:variant>
      <vt:variant>
        <vt:lpwstr>_Toc413918130</vt:lpwstr>
      </vt:variant>
      <vt:variant>
        <vt:i4>1376311</vt:i4>
      </vt:variant>
      <vt:variant>
        <vt:i4>1262</vt:i4>
      </vt:variant>
      <vt:variant>
        <vt:i4>0</vt:i4>
      </vt:variant>
      <vt:variant>
        <vt:i4>5</vt:i4>
      </vt:variant>
      <vt:variant>
        <vt:lpwstr/>
      </vt:variant>
      <vt:variant>
        <vt:lpwstr>_Toc413918129</vt:lpwstr>
      </vt:variant>
      <vt:variant>
        <vt:i4>1376311</vt:i4>
      </vt:variant>
      <vt:variant>
        <vt:i4>1256</vt:i4>
      </vt:variant>
      <vt:variant>
        <vt:i4>0</vt:i4>
      </vt:variant>
      <vt:variant>
        <vt:i4>5</vt:i4>
      </vt:variant>
      <vt:variant>
        <vt:lpwstr/>
      </vt:variant>
      <vt:variant>
        <vt:lpwstr>_Toc413918128</vt:lpwstr>
      </vt:variant>
      <vt:variant>
        <vt:i4>1376311</vt:i4>
      </vt:variant>
      <vt:variant>
        <vt:i4>1250</vt:i4>
      </vt:variant>
      <vt:variant>
        <vt:i4>0</vt:i4>
      </vt:variant>
      <vt:variant>
        <vt:i4>5</vt:i4>
      </vt:variant>
      <vt:variant>
        <vt:lpwstr/>
      </vt:variant>
      <vt:variant>
        <vt:lpwstr>_Toc413918127</vt:lpwstr>
      </vt:variant>
      <vt:variant>
        <vt:i4>1376311</vt:i4>
      </vt:variant>
      <vt:variant>
        <vt:i4>1244</vt:i4>
      </vt:variant>
      <vt:variant>
        <vt:i4>0</vt:i4>
      </vt:variant>
      <vt:variant>
        <vt:i4>5</vt:i4>
      </vt:variant>
      <vt:variant>
        <vt:lpwstr/>
      </vt:variant>
      <vt:variant>
        <vt:lpwstr>_Toc413918126</vt:lpwstr>
      </vt:variant>
      <vt:variant>
        <vt:i4>1376311</vt:i4>
      </vt:variant>
      <vt:variant>
        <vt:i4>1238</vt:i4>
      </vt:variant>
      <vt:variant>
        <vt:i4>0</vt:i4>
      </vt:variant>
      <vt:variant>
        <vt:i4>5</vt:i4>
      </vt:variant>
      <vt:variant>
        <vt:lpwstr/>
      </vt:variant>
      <vt:variant>
        <vt:lpwstr>_Toc413918125</vt:lpwstr>
      </vt:variant>
      <vt:variant>
        <vt:i4>1376311</vt:i4>
      </vt:variant>
      <vt:variant>
        <vt:i4>1232</vt:i4>
      </vt:variant>
      <vt:variant>
        <vt:i4>0</vt:i4>
      </vt:variant>
      <vt:variant>
        <vt:i4>5</vt:i4>
      </vt:variant>
      <vt:variant>
        <vt:lpwstr/>
      </vt:variant>
      <vt:variant>
        <vt:lpwstr>_Toc413918124</vt:lpwstr>
      </vt:variant>
      <vt:variant>
        <vt:i4>1376311</vt:i4>
      </vt:variant>
      <vt:variant>
        <vt:i4>1226</vt:i4>
      </vt:variant>
      <vt:variant>
        <vt:i4>0</vt:i4>
      </vt:variant>
      <vt:variant>
        <vt:i4>5</vt:i4>
      </vt:variant>
      <vt:variant>
        <vt:lpwstr/>
      </vt:variant>
      <vt:variant>
        <vt:lpwstr>_Toc413918123</vt:lpwstr>
      </vt:variant>
      <vt:variant>
        <vt:i4>1376311</vt:i4>
      </vt:variant>
      <vt:variant>
        <vt:i4>1220</vt:i4>
      </vt:variant>
      <vt:variant>
        <vt:i4>0</vt:i4>
      </vt:variant>
      <vt:variant>
        <vt:i4>5</vt:i4>
      </vt:variant>
      <vt:variant>
        <vt:lpwstr/>
      </vt:variant>
      <vt:variant>
        <vt:lpwstr>_Toc413918122</vt:lpwstr>
      </vt:variant>
      <vt:variant>
        <vt:i4>1376311</vt:i4>
      </vt:variant>
      <vt:variant>
        <vt:i4>1214</vt:i4>
      </vt:variant>
      <vt:variant>
        <vt:i4>0</vt:i4>
      </vt:variant>
      <vt:variant>
        <vt:i4>5</vt:i4>
      </vt:variant>
      <vt:variant>
        <vt:lpwstr/>
      </vt:variant>
      <vt:variant>
        <vt:lpwstr>_Toc413918121</vt:lpwstr>
      </vt:variant>
      <vt:variant>
        <vt:i4>1376311</vt:i4>
      </vt:variant>
      <vt:variant>
        <vt:i4>1208</vt:i4>
      </vt:variant>
      <vt:variant>
        <vt:i4>0</vt:i4>
      </vt:variant>
      <vt:variant>
        <vt:i4>5</vt:i4>
      </vt:variant>
      <vt:variant>
        <vt:lpwstr/>
      </vt:variant>
      <vt:variant>
        <vt:lpwstr>_Toc413918120</vt:lpwstr>
      </vt:variant>
      <vt:variant>
        <vt:i4>1441847</vt:i4>
      </vt:variant>
      <vt:variant>
        <vt:i4>1202</vt:i4>
      </vt:variant>
      <vt:variant>
        <vt:i4>0</vt:i4>
      </vt:variant>
      <vt:variant>
        <vt:i4>5</vt:i4>
      </vt:variant>
      <vt:variant>
        <vt:lpwstr/>
      </vt:variant>
      <vt:variant>
        <vt:lpwstr>_Toc413918119</vt:lpwstr>
      </vt:variant>
      <vt:variant>
        <vt:i4>1441847</vt:i4>
      </vt:variant>
      <vt:variant>
        <vt:i4>1196</vt:i4>
      </vt:variant>
      <vt:variant>
        <vt:i4>0</vt:i4>
      </vt:variant>
      <vt:variant>
        <vt:i4>5</vt:i4>
      </vt:variant>
      <vt:variant>
        <vt:lpwstr/>
      </vt:variant>
      <vt:variant>
        <vt:lpwstr>_Toc413918118</vt:lpwstr>
      </vt:variant>
      <vt:variant>
        <vt:i4>1441847</vt:i4>
      </vt:variant>
      <vt:variant>
        <vt:i4>1190</vt:i4>
      </vt:variant>
      <vt:variant>
        <vt:i4>0</vt:i4>
      </vt:variant>
      <vt:variant>
        <vt:i4>5</vt:i4>
      </vt:variant>
      <vt:variant>
        <vt:lpwstr/>
      </vt:variant>
      <vt:variant>
        <vt:lpwstr>_Toc413918117</vt:lpwstr>
      </vt:variant>
      <vt:variant>
        <vt:i4>1441847</vt:i4>
      </vt:variant>
      <vt:variant>
        <vt:i4>1184</vt:i4>
      </vt:variant>
      <vt:variant>
        <vt:i4>0</vt:i4>
      </vt:variant>
      <vt:variant>
        <vt:i4>5</vt:i4>
      </vt:variant>
      <vt:variant>
        <vt:lpwstr/>
      </vt:variant>
      <vt:variant>
        <vt:lpwstr>_Toc413918116</vt:lpwstr>
      </vt:variant>
      <vt:variant>
        <vt:i4>1441847</vt:i4>
      </vt:variant>
      <vt:variant>
        <vt:i4>1178</vt:i4>
      </vt:variant>
      <vt:variant>
        <vt:i4>0</vt:i4>
      </vt:variant>
      <vt:variant>
        <vt:i4>5</vt:i4>
      </vt:variant>
      <vt:variant>
        <vt:lpwstr/>
      </vt:variant>
      <vt:variant>
        <vt:lpwstr>_Toc413918115</vt:lpwstr>
      </vt:variant>
      <vt:variant>
        <vt:i4>1441847</vt:i4>
      </vt:variant>
      <vt:variant>
        <vt:i4>1172</vt:i4>
      </vt:variant>
      <vt:variant>
        <vt:i4>0</vt:i4>
      </vt:variant>
      <vt:variant>
        <vt:i4>5</vt:i4>
      </vt:variant>
      <vt:variant>
        <vt:lpwstr/>
      </vt:variant>
      <vt:variant>
        <vt:lpwstr>_Toc413918114</vt:lpwstr>
      </vt:variant>
      <vt:variant>
        <vt:i4>1441847</vt:i4>
      </vt:variant>
      <vt:variant>
        <vt:i4>1166</vt:i4>
      </vt:variant>
      <vt:variant>
        <vt:i4>0</vt:i4>
      </vt:variant>
      <vt:variant>
        <vt:i4>5</vt:i4>
      </vt:variant>
      <vt:variant>
        <vt:lpwstr/>
      </vt:variant>
      <vt:variant>
        <vt:lpwstr>_Toc413918113</vt:lpwstr>
      </vt:variant>
      <vt:variant>
        <vt:i4>1441847</vt:i4>
      </vt:variant>
      <vt:variant>
        <vt:i4>1160</vt:i4>
      </vt:variant>
      <vt:variant>
        <vt:i4>0</vt:i4>
      </vt:variant>
      <vt:variant>
        <vt:i4>5</vt:i4>
      </vt:variant>
      <vt:variant>
        <vt:lpwstr/>
      </vt:variant>
      <vt:variant>
        <vt:lpwstr>_Toc413918112</vt:lpwstr>
      </vt:variant>
      <vt:variant>
        <vt:i4>1441847</vt:i4>
      </vt:variant>
      <vt:variant>
        <vt:i4>1154</vt:i4>
      </vt:variant>
      <vt:variant>
        <vt:i4>0</vt:i4>
      </vt:variant>
      <vt:variant>
        <vt:i4>5</vt:i4>
      </vt:variant>
      <vt:variant>
        <vt:lpwstr/>
      </vt:variant>
      <vt:variant>
        <vt:lpwstr>_Toc413918111</vt:lpwstr>
      </vt:variant>
      <vt:variant>
        <vt:i4>1441847</vt:i4>
      </vt:variant>
      <vt:variant>
        <vt:i4>1148</vt:i4>
      </vt:variant>
      <vt:variant>
        <vt:i4>0</vt:i4>
      </vt:variant>
      <vt:variant>
        <vt:i4>5</vt:i4>
      </vt:variant>
      <vt:variant>
        <vt:lpwstr/>
      </vt:variant>
      <vt:variant>
        <vt:lpwstr>_Toc413918110</vt:lpwstr>
      </vt:variant>
      <vt:variant>
        <vt:i4>1507383</vt:i4>
      </vt:variant>
      <vt:variant>
        <vt:i4>1142</vt:i4>
      </vt:variant>
      <vt:variant>
        <vt:i4>0</vt:i4>
      </vt:variant>
      <vt:variant>
        <vt:i4>5</vt:i4>
      </vt:variant>
      <vt:variant>
        <vt:lpwstr/>
      </vt:variant>
      <vt:variant>
        <vt:lpwstr>_Toc413918109</vt:lpwstr>
      </vt:variant>
      <vt:variant>
        <vt:i4>1507383</vt:i4>
      </vt:variant>
      <vt:variant>
        <vt:i4>1136</vt:i4>
      </vt:variant>
      <vt:variant>
        <vt:i4>0</vt:i4>
      </vt:variant>
      <vt:variant>
        <vt:i4>5</vt:i4>
      </vt:variant>
      <vt:variant>
        <vt:lpwstr/>
      </vt:variant>
      <vt:variant>
        <vt:lpwstr>_Toc413918108</vt:lpwstr>
      </vt:variant>
      <vt:variant>
        <vt:i4>1507383</vt:i4>
      </vt:variant>
      <vt:variant>
        <vt:i4>1130</vt:i4>
      </vt:variant>
      <vt:variant>
        <vt:i4>0</vt:i4>
      </vt:variant>
      <vt:variant>
        <vt:i4>5</vt:i4>
      </vt:variant>
      <vt:variant>
        <vt:lpwstr/>
      </vt:variant>
      <vt:variant>
        <vt:lpwstr>_Toc413918107</vt:lpwstr>
      </vt:variant>
      <vt:variant>
        <vt:i4>1507383</vt:i4>
      </vt:variant>
      <vt:variant>
        <vt:i4>1124</vt:i4>
      </vt:variant>
      <vt:variant>
        <vt:i4>0</vt:i4>
      </vt:variant>
      <vt:variant>
        <vt:i4>5</vt:i4>
      </vt:variant>
      <vt:variant>
        <vt:lpwstr/>
      </vt:variant>
      <vt:variant>
        <vt:lpwstr>_Toc413918106</vt:lpwstr>
      </vt:variant>
      <vt:variant>
        <vt:i4>1507383</vt:i4>
      </vt:variant>
      <vt:variant>
        <vt:i4>1118</vt:i4>
      </vt:variant>
      <vt:variant>
        <vt:i4>0</vt:i4>
      </vt:variant>
      <vt:variant>
        <vt:i4>5</vt:i4>
      </vt:variant>
      <vt:variant>
        <vt:lpwstr/>
      </vt:variant>
      <vt:variant>
        <vt:lpwstr>_Toc413918105</vt:lpwstr>
      </vt:variant>
      <vt:variant>
        <vt:i4>1507383</vt:i4>
      </vt:variant>
      <vt:variant>
        <vt:i4>1112</vt:i4>
      </vt:variant>
      <vt:variant>
        <vt:i4>0</vt:i4>
      </vt:variant>
      <vt:variant>
        <vt:i4>5</vt:i4>
      </vt:variant>
      <vt:variant>
        <vt:lpwstr/>
      </vt:variant>
      <vt:variant>
        <vt:lpwstr>_Toc413918104</vt:lpwstr>
      </vt:variant>
      <vt:variant>
        <vt:i4>1507383</vt:i4>
      </vt:variant>
      <vt:variant>
        <vt:i4>1106</vt:i4>
      </vt:variant>
      <vt:variant>
        <vt:i4>0</vt:i4>
      </vt:variant>
      <vt:variant>
        <vt:i4>5</vt:i4>
      </vt:variant>
      <vt:variant>
        <vt:lpwstr/>
      </vt:variant>
      <vt:variant>
        <vt:lpwstr>_Toc413918103</vt:lpwstr>
      </vt:variant>
      <vt:variant>
        <vt:i4>1507383</vt:i4>
      </vt:variant>
      <vt:variant>
        <vt:i4>1100</vt:i4>
      </vt:variant>
      <vt:variant>
        <vt:i4>0</vt:i4>
      </vt:variant>
      <vt:variant>
        <vt:i4>5</vt:i4>
      </vt:variant>
      <vt:variant>
        <vt:lpwstr/>
      </vt:variant>
      <vt:variant>
        <vt:lpwstr>_Toc413918102</vt:lpwstr>
      </vt:variant>
      <vt:variant>
        <vt:i4>1507383</vt:i4>
      </vt:variant>
      <vt:variant>
        <vt:i4>1094</vt:i4>
      </vt:variant>
      <vt:variant>
        <vt:i4>0</vt:i4>
      </vt:variant>
      <vt:variant>
        <vt:i4>5</vt:i4>
      </vt:variant>
      <vt:variant>
        <vt:lpwstr/>
      </vt:variant>
      <vt:variant>
        <vt:lpwstr>_Toc413918101</vt:lpwstr>
      </vt:variant>
      <vt:variant>
        <vt:i4>1507383</vt:i4>
      </vt:variant>
      <vt:variant>
        <vt:i4>1088</vt:i4>
      </vt:variant>
      <vt:variant>
        <vt:i4>0</vt:i4>
      </vt:variant>
      <vt:variant>
        <vt:i4>5</vt:i4>
      </vt:variant>
      <vt:variant>
        <vt:lpwstr/>
      </vt:variant>
      <vt:variant>
        <vt:lpwstr>_Toc413918100</vt:lpwstr>
      </vt:variant>
      <vt:variant>
        <vt:i4>1966134</vt:i4>
      </vt:variant>
      <vt:variant>
        <vt:i4>1082</vt:i4>
      </vt:variant>
      <vt:variant>
        <vt:i4>0</vt:i4>
      </vt:variant>
      <vt:variant>
        <vt:i4>5</vt:i4>
      </vt:variant>
      <vt:variant>
        <vt:lpwstr/>
      </vt:variant>
      <vt:variant>
        <vt:lpwstr>_Toc413918099</vt:lpwstr>
      </vt:variant>
      <vt:variant>
        <vt:i4>1966134</vt:i4>
      </vt:variant>
      <vt:variant>
        <vt:i4>1076</vt:i4>
      </vt:variant>
      <vt:variant>
        <vt:i4>0</vt:i4>
      </vt:variant>
      <vt:variant>
        <vt:i4>5</vt:i4>
      </vt:variant>
      <vt:variant>
        <vt:lpwstr/>
      </vt:variant>
      <vt:variant>
        <vt:lpwstr>_Toc413918098</vt:lpwstr>
      </vt:variant>
      <vt:variant>
        <vt:i4>1966134</vt:i4>
      </vt:variant>
      <vt:variant>
        <vt:i4>1070</vt:i4>
      </vt:variant>
      <vt:variant>
        <vt:i4>0</vt:i4>
      </vt:variant>
      <vt:variant>
        <vt:i4>5</vt:i4>
      </vt:variant>
      <vt:variant>
        <vt:lpwstr/>
      </vt:variant>
      <vt:variant>
        <vt:lpwstr>_Toc413918097</vt:lpwstr>
      </vt:variant>
      <vt:variant>
        <vt:i4>1966134</vt:i4>
      </vt:variant>
      <vt:variant>
        <vt:i4>1064</vt:i4>
      </vt:variant>
      <vt:variant>
        <vt:i4>0</vt:i4>
      </vt:variant>
      <vt:variant>
        <vt:i4>5</vt:i4>
      </vt:variant>
      <vt:variant>
        <vt:lpwstr/>
      </vt:variant>
      <vt:variant>
        <vt:lpwstr>_Toc413918096</vt:lpwstr>
      </vt:variant>
      <vt:variant>
        <vt:i4>1966134</vt:i4>
      </vt:variant>
      <vt:variant>
        <vt:i4>1058</vt:i4>
      </vt:variant>
      <vt:variant>
        <vt:i4>0</vt:i4>
      </vt:variant>
      <vt:variant>
        <vt:i4>5</vt:i4>
      </vt:variant>
      <vt:variant>
        <vt:lpwstr/>
      </vt:variant>
      <vt:variant>
        <vt:lpwstr>_Toc413918095</vt:lpwstr>
      </vt:variant>
      <vt:variant>
        <vt:i4>1966134</vt:i4>
      </vt:variant>
      <vt:variant>
        <vt:i4>1052</vt:i4>
      </vt:variant>
      <vt:variant>
        <vt:i4>0</vt:i4>
      </vt:variant>
      <vt:variant>
        <vt:i4>5</vt:i4>
      </vt:variant>
      <vt:variant>
        <vt:lpwstr/>
      </vt:variant>
      <vt:variant>
        <vt:lpwstr>_Toc413918094</vt:lpwstr>
      </vt:variant>
      <vt:variant>
        <vt:i4>1966134</vt:i4>
      </vt:variant>
      <vt:variant>
        <vt:i4>1046</vt:i4>
      </vt:variant>
      <vt:variant>
        <vt:i4>0</vt:i4>
      </vt:variant>
      <vt:variant>
        <vt:i4>5</vt:i4>
      </vt:variant>
      <vt:variant>
        <vt:lpwstr/>
      </vt:variant>
      <vt:variant>
        <vt:lpwstr>_Toc413918093</vt:lpwstr>
      </vt:variant>
      <vt:variant>
        <vt:i4>1966134</vt:i4>
      </vt:variant>
      <vt:variant>
        <vt:i4>1040</vt:i4>
      </vt:variant>
      <vt:variant>
        <vt:i4>0</vt:i4>
      </vt:variant>
      <vt:variant>
        <vt:i4>5</vt:i4>
      </vt:variant>
      <vt:variant>
        <vt:lpwstr/>
      </vt:variant>
      <vt:variant>
        <vt:lpwstr>_Toc413918092</vt:lpwstr>
      </vt:variant>
      <vt:variant>
        <vt:i4>1966134</vt:i4>
      </vt:variant>
      <vt:variant>
        <vt:i4>1034</vt:i4>
      </vt:variant>
      <vt:variant>
        <vt:i4>0</vt:i4>
      </vt:variant>
      <vt:variant>
        <vt:i4>5</vt:i4>
      </vt:variant>
      <vt:variant>
        <vt:lpwstr/>
      </vt:variant>
      <vt:variant>
        <vt:lpwstr>_Toc413918091</vt:lpwstr>
      </vt:variant>
      <vt:variant>
        <vt:i4>1966134</vt:i4>
      </vt:variant>
      <vt:variant>
        <vt:i4>1028</vt:i4>
      </vt:variant>
      <vt:variant>
        <vt:i4>0</vt:i4>
      </vt:variant>
      <vt:variant>
        <vt:i4>5</vt:i4>
      </vt:variant>
      <vt:variant>
        <vt:lpwstr/>
      </vt:variant>
      <vt:variant>
        <vt:lpwstr>_Toc413918090</vt:lpwstr>
      </vt:variant>
      <vt:variant>
        <vt:i4>2031670</vt:i4>
      </vt:variant>
      <vt:variant>
        <vt:i4>1022</vt:i4>
      </vt:variant>
      <vt:variant>
        <vt:i4>0</vt:i4>
      </vt:variant>
      <vt:variant>
        <vt:i4>5</vt:i4>
      </vt:variant>
      <vt:variant>
        <vt:lpwstr/>
      </vt:variant>
      <vt:variant>
        <vt:lpwstr>_Toc413918089</vt:lpwstr>
      </vt:variant>
      <vt:variant>
        <vt:i4>2031670</vt:i4>
      </vt:variant>
      <vt:variant>
        <vt:i4>1016</vt:i4>
      </vt:variant>
      <vt:variant>
        <vt:i4>0</vt:i4>
      </vt:variant>
      <vt:variant>
        <vt:i4>5</vt:i4>
      </vt:variant>
      <vt:variant>
        <vt:lpwstr/>
      </vt:variant>
      <vt:variant>
        <vt:lpwstr>_Toc413918088</vt:lpwstr>
      </vt:variant>
      <vt:variant>
        <vt:i4>2031670</vt:i4>
      </vt:variant>
      <vt:variant>
        <vt:i4>1010</vt:i4>
      </vt:variant>
      <vt:variant>
        <vt:i4>0</vt:i4>
      </vt:variant>
      <vt:variant>
        <vt:i4>5</vt:i4>
      </vt:variant>
      <vt:variant>
        <vt:lpwstr/>
      </vt:variant>
      <vt:variant>
        <vt:lpwstr>_Toc413918087</vt:lpwstr>
      </vt:variant>
      <vt:variant>
        <vt:i4>2031670</vt:i4>
      </vt:variant>
      <vt:variant>
        <vt:i4>1004</vt:i4>
      </vt:variant>
      <vt:variant>
        <vt:i4>0</vt:i4>
      </vt:variant>
      <vt:variant>
        <vt:i4>5</vt:i4>
      </vt:variant>
      <vt:variant>
        <vt:lpwstr/>
      </vt:variant>
      <vt:variant>
        <vt:lpwstr>_Toc413918086</vt:lpwstr>
      </vt:variant>
      <vt:variant>
        <vt:i4>2031670</vt:i4>
      </vt:variant>
      <vt:variant>
        <vt:i4>998</vt:i4>
      </vt:variant>
      <vt:variant>
        <vt:i4>0</vt:i4>
      </vt:variant>
      <vt:variant>
        <vt:i4>5</vt:i4>
      </vt:variant>
      <vt:variant>
        <vt:lpwstr/>
      </vt:variant>
      <vt:variant>
        <vt:lpwstr>_Toc413918085</vt:lpwstr>
      </vt:variant>
      <vt:variant>
        <vt:i4>2031670</vt:i4>
      </vt:variant>
      <vt:variant>
        <vt:i4>992</vt:i4>
      </vt:variant>
      <vt:variant>
        <vt:i4>0</vt:i4>
      </vt:variant>
      <vt:variant>
        <vt:i4>5</vt:i4>
      </vt:variant>
      <vt:variant>
        <vt:lpwstr/>
      </vt:variant>
      <vt:variant>
        <vt:lpwstr>_Toc413918084</vt:lpwstr>
      </vt:variant>
      <vt:variant>
        <vt:i4>2031670</vt:i4>
      </vt:variant>
      <vt:variant>
        <vt:i4>986</vt:i4>
      </vt:variant>
      <vt:variant>
        <vt:i4>0</vt:i4>
      </vt:variant>
      <vt:variant>
        <vt:i4>5</vt:i4>
      </vt:variant>
      <vt:variant>
        <vt:lpwstr/>
      </vt:variant>
      <vt:variant>
        <vt:lpwstr>_Toc413918083</vt:lpwstr>
      </vt:variant>
      <vt:variant>
        <vt:i4>2031670</vt:i4>
      </vt:variant>
      <vt:variant>
        <vt:i4>980</vt:i4>
      </vt:variant>
      <vt:variant>
        <vt:i4>0</vt:i4>
      </vt:variant>
      <vt:variant>
        <vt:i4>5</vt:i4>
      </vt:variant>
      <vt:variant>
        <vt:lpwstr/>
      </vt:variant>
      <vt:variant>
        <vt:lpwstr>_Toc413918082</vt:lpwstr>
      </vt:variant>
      <vt:variant>
        <vt:i4>2031670</vt:i4>
      </vt:variant>
      <vt:variant>
        <vt:i4>974</vt:i4>
      </vt:variant>
      <vt:variant>
        <vt:i4>0</vt:i4>
      </vt:variant>
      <vt:variant>
        <vt:i4>5</vt:i4>
      </vt:variant>
      <vt:variant>
        <vt:lpwstr/>
      </vt:variant>
      <vt:variant>
        <vt:lpwstr>_Toc413918081</vt:lpwstr>
      </vt:variant>
      <vt:variant>
        <vt:i4>2031670</vt:i4>
      </vt:variant>
      <vt:variant>
        <vt:i4>968</vt:i4>
      </vt:variant>
      <vt:variant>
        <vt:i4>0</vt:i4>
      </vt:variant>
      <vt:variant>
        <vt:i4>5</vt:i4>
      </vt:variant>
      <vt:variant>
        <vt:lpwstr/>
      </vt:variant>
      <vt:variant>
        <vt:lpwstr>_Toc413918080</vt:lpwstr>
      </vt:variant>
      <vt:variant>
        <vt:i4>1048630</vt:i4>
      </vt:variant>
      <vt:variant>
        <vt:i4>962</vt:i4>
      </vt:variant>
      <vt:variant>
        <vt:i4>0</vt:i4>
      </vt:variant>
      <vt:variant>
        <vt:i4>5</vt:i4>
      </vt:variant>
      <vt:variant>
        <vt:lpwstr/>
      </vt:variant>
      <vt:variant>
        <vt:lpwstr>_Toc413918079</vt:lpwstr>
      </vt:variant>
      <vt:variant>
        <vt:i4>1048630</vt:i4>
      </vt:variant>
      <vt:variant>
        <vt:i4>956</vt:i4>
      </vt:variant>
      <vt:variant>
        <vt:i4>0</vt:i4>
      </vt:variant>
      <vt:variant>
        <vt:i4>5</vt:i4>
      </vt:variant>
      <vt:variant>
        <vt:lpwstr/>
      </vt:variant>
      <vt:variant>
        <vt:lpwstr>_Toc413918078</vt:lpwstr>
      </vt:variant>
      <vt:variant>
        <vt:i4>1048630</vt:i4>
      </vt:variant>
      <vt:variant>
        <vt:i4>950</vt:i4>
      </vt:variant>
      <vt:variant>
        <vt:i4>0</vt:i4>
      </vt:variant>
      <vt:variant>
        <vt:i4>5</vt:i4>
      </vt:variant>
      <vt:variant>
        <vt:lpwstr/>
      </vt:variant>
      <vt:variant>
        <vt:lpwstr>_Toc413918077</vt:lpwstr>
      </vt:variant>
      <vt:variant>
        <vt:i4>1048630</vt:i4>
      </vt:variant>
      <vt:variant>
        <vt:i4>944</vt:i4>
      </vt:variant>
      <vt:variant>
        <vt:i4>0</vt:i4>
      </vt:variant>
      <vt:variant>
        <vt:i4>5</vt:i4>
      </vt:variant>
      <vt:variant>
        <vt:lpwstr/>
      </vt:variant>
      <vt:variant>
        <vt:lpwstr>_Toc413918076</vt:lpwstr>
      </vt:variant>
      <vt:variant>
        <vt:i4>1048630</vt:i4>
      </vt:variant>
      <vt:variant>
        <vt:i4>938</vt:i4>
      </vt:variant>
      <vt:variant>
        <vt:i4>0</vt:i4>
      </vt:variant>
      <vt:variant>
        <vt:i4>5</vt:i4>
      </vt:variant>
      <vt:variant>
        <vt:lpwstr/>
      </vt:variant>
      <vt:variant>
        <vt:lpwstr>_Toc413918075</vt:lpwstr>
      </vt:variant>
      <vt:variant>
        <vt:i4>1048630</vt:i4>
      </vt:variant>
      <vt:variant>
        <vt:i4>932</vt:i4>
      </vt:variant>
      <vt:variant>
        <vt:i4>0</vt:i4>
      </vt:variant>
      <vt:variant>
        <vt:i4>5</vt:i4>
      </vt:variant>
      <vt:variant>
        <vt:lpwstr/>
      </vt:variant>
      <vt:variant>
        <vt:lpwstr>_Toc413918074</vt:lpwstr>
      </vt:variant>
      <vt:variant>
        <vt:i4>1048630</vt:i4>
      </vt:variant>
      <vt:variant>
        <vt:i4>926</vt:i4>
      </vt:variant>
      <vt:variant>
        <vt:i4>0</vt:i4>
      </vt:variant>
      <vt:variant>
        <vt:i4>5</vt:i4>
      </vt:variant>
      <vt:variant>
        <vt:lpwstr/>
      </vt:variant>
      <vt:variant>
        <vt:lpwstr>_Toc413918073</vt:lpwstr>
      </vt:variant>
      <vt:variant>
        <vt:i4>1048630</vt:i4>
      </vt:variant>
      <vt:variant>
        <vt:i4>920</vt:i4>
      </vt:variant>
      <vt:variant>
        <vt:i4>0</vt:i4>
      </vt:variant>
      <vt:variant>
        <vt:i4>5</vt:i4>
      </vt:variant>
      <vt:variant>
        <vt:lpwstr/>
      </vt:variant>
      <vt:variant>
        <vt:lpwstr>_Toc413918072</vt:lpwstr>
      </vt:variant>
      <vt:variant>
        <vt:i4>1048630</vt:i4>
      </vt:variant>
      <vt:variant>
        <vt:i4>914</vt:i4>
      </vt:variant>
      <vt:variant>
        <vt:i4>0</vt:i4>
      </vt:variant>
      <vt:variant>
        <vt:i4>5</vt:i4>
      </vt:variant>
      <vt:variant>
        <vt:lpwstr/>
      </vt:variant>
      <vt:variant>
        <vt:lpwstr>_Toc413918071</vt:lpwstr>
      </vt:variant>
      <vt:variant>
        <vt:i4>1048630</vt:i4>
      </vt:variant>
      <vt:variant>
        <vt:i4>908</vt:i4>
      </vt:variant>
      <vt:variant>
        <vt:i4>0</vt:i4>
      </vt:variant>
      <vt:variant>
        <vt:i4>5</vt:i4>
      </vt:variant>
      <vt:variant>
        <vt:lpwstr/>
      </vt:variant>
      <vt:variant>
        <vt:lpwstr>_Toc413918070</vt:lpwstr>
      </vt:variant>
      <vt:variant>
        <vt:i4>1114166</vt:i4>
      </vt:variant>
      <vt:variant>
        <vt:i4>902</vt:i4>
      </vt:variant>
      <vt:variant>
        <vt:i4>0</vt:i4>
      </vt:variant>
      <vt:variant>
        <vt:i4>5</vt:i4>
      </vt:variant>
      <vt:variant>
        <vt:lpwstr/>
      </vt:variant>
      <vt:variant>
        <vt:lpwstr>_Toc413918069</vt:lpwstr>
      </vt:variant>
      <vt:variant>
        <vt:i4>1114166</vt:i4>
      </vt:variant>
      <vt:variant>
        <vt:i4>896</vt:i4>
      </vt:variant>
      <vt:variant>
        <vt:i4>0</vt:i4>
      </vt:variant>
      <vt:variant>
        <vt:i4>5</vt:i4>
      </vt:variant>
      <vt:variant>
        <vt:lpwstr/>
      </vt:variant>
      <vt:variant>
        <vt:lpwstr>_Toc413918068</vt:lpwstr>
      </vt:variant>
      <vt:variant>
        <vt:i4>1114166</vt:i4>
      </vt:variant>
      <vt:variant>
        <vt:i4>890</vt:i4>
      </vt:variant>
      <vt:variant>
        <vt:i4>0</vt:i4>
      </vt:variant>
      <vt:variant>
        <vt:i4>5</vt:i4>
      </vt:variant>
      <vt:variant>
        <vt:lpwstr/>
      </vt:variant>
      <vt:variant>
        <vt:lpwstr>_Toc413918067</vt:lpwstr>
      </vt:variant>
      <vt:variant>
        <vt:i4>1114166</vt:i4>
      </vt:variant>
      <vt:variant>
        <vt:i4>884</vt:i4>
      </vt:variant>
      <vt:variant>
        <vt:i4>0</vt:i4>
      </vt:variant>
      <vt:variant>
        <vt:i4>5</vt:i4>
      </vt:variant>
      <vt:variant>
        <vt:lpwstr/>
      </vt:variant>
      <vt:variant>
        <vt:lpwstr>_Toc413918066</vt:lpwstr>
      </vt:variant>
      <vt:variant>
        <vt:i4>1114166</vt:i4>
      </vt:variant>
      <vt:variant>
        <vt:i4>878</vt:i4>
      </vt:variant>
      <vt:variant>
        <vt:i4>0</vt:i4>
      </vt:variant>
      <vt:variant>
        <vt:i4>5</vt:i4>
      </vt:variant>
      <vt:variant>
        <vt:lpwstr/>
      </vt:variant>
      <vt:variant>
        <vt:lpwstr>_Toc413918065</vt:lpwstr>
      </vt:variant>
      <vt:variant>
        <vt:i4>1114166</vt:i4>
      </vt:variant>
      <vt:variant>
        <vt:i4>872</vt:i4>
      </vt:variant>
      <vt:variant>
        <vt:i4>0</vt:i4>
      </vt:variant>
      <vt:variant>
        <vt:i4>5</vt:i4>
      </vt:variant>
      <vt:variant>
        <vt:lpwstr/>
      </vt:variant>
      <vt:variant>
        <vt:lpwstr>_Toc413918064</vt:lpwstr>
      </vt:variant>
      <vt:variant>
        <vt:i4>1114166</vt:i4>
      </vt:variant>
      <vt:variant>
        <vt:i4>866</vt:i4>
      </vt:variant>
      <vt:variant>
        <vt:i4>0</vt:i4>
      </vt:variant>
      <vt:variant>
        <vt:i4>5</vt:i4>
      </vt:variant>
      <vt:variant>
        <vt:lpwstr/>
      </vt:variant>
      <vt:variant>
        <vt:lpwstr>_Toc413918063</vt:lpwstr>
      </vt:variant>
      <vt:variant>
        <vt:i4>1114166</vt:i4>
      </vt:variant>
      <vt:variant>
        <vt:i4>860</vt:i4>
      </vt:variant>
      <vt:variant>
        <vt:i4>0</vt:i4>
      </vt:variant>
      <vt:variant>
        <vt:i4>5</vt:i4>
      </vt:variant>
      <vt:variant>
        <vt:lpwstr/>
      </vt:variant>
      <vt:variant>
        <vt:lpwstr>_Toc413918062</vt:lpwstr>
      </vt:variant>
      <vt:variant>
        <vt:i4>1114166</vt:i4>
      </vt:variant>
      <vt:variant>
        <vt:i4>854</vt:i4>
      </vt:variant>
      <vt:variant>
        <vt:i4>0</vt:i4>
      </vt:variant>
      <vt:variant>
        <vt:i4>5</vt:i4>
      </vt:variant>
      <vt:variant>
        <vt:lpwstr/>
      </vt:variant>
      <vt:variant>
        <vt:lpwstr>_Toc413918061</vt:lpwstr>
      </vt:variant>
      <vt:variant>
        <vt:i4>1114166</vt:i4>
      </vt:variant>
      <vt:variant>
        <vt:i4>848</vt:i4>
      </vt:variant>
      <vt:variant>
        <vt:i4>0</vt:i4>
      </vt:variant>
      <vt:variant>
        <vt:i4>5</vt:i4>
      </vt:variant>
      <vt:variant>
        <vt:lpwstr/>
      </vt:variant>
      <vt:variant>
        <vt:lpwstr>_Toc413918060</vt:lpwstr>
      </vt:variant>
      <vt:variant>
        <vt:i4>1179702</vt:i4>
      </vt:variant>
      <vt:variant>
        <vt:i4>842</vt:i4>
      </vt:variant>
      <vt:variant>
        <vt:i4>0</vt:i4>
      </vt:variant>
      <vt:variant>
        <vt:i4>5</vt:i4>
      </vt:variant>
      <vt:variant>
        <vt:lpwstr/>
      </vt:variant>
      <vt:variant>
        <vt:lpwstr>_Toc413918059</vt:lpwstr>
      </vt:variant>
      <vt:variant>
        <vt:i4>1179702</vt:i4>
      </vt:variant>
      <vt:variant>
        <vt:i4>836</vt:i4>
      </vt:variant>
      <vt:variant>
        <vt:i4>0</vt:i4>
      </vt:variant>
      <vt:variant>
        <vt:i4>5</vt:i4>
      </vt:variant>
      <vt:variant>
        <vt:lpwstr/>
      </vt:variant>
      <vt:variant>
        <vt:lpwstr>_Toc413918058</vt:lpwstr>
      </vt:variant>
      <vt:variant>
        <vt:i4>1179702</vt:i4>
      </vt:variant>
      <vt:variant>
        <vt:i4>830</vt:i4>
      </vt:variant>
      <vt:variant>
        <vt:i4>0</vt:i4>
      </vt:variant>
      <vt:variant>
        <vt:i4>5</vt:i4>
      </vt:variant>
      <vt:variant>
        <vt:lpwstr/>
      </vt:variant>
      <vt:variant>
        <vt:lpwstr>_Toc413918057</vt:lpwstr>
      </vt:variant>
      <vt:variant>
        <vt:i4>1179702</vt:i4>
      </vt:variant>
      <vt:variant>
        <vt:i4>824</vt:i4>
      </vt:variant>
      <vt:variant>
        <vt:i4>0</vt:i4>
      </vt:variant>
      <vt:variant>
        <vt:i4>5</vt:i4>
      </vt:variant>
      <vt:variant>
        <vt:lpwstr/>
      </vt:variant>
      <vt:variant>
        <vt:lpwstr>_Toc413918056</vt:lpwstr>
      </vt:variant>
      <vt:variant>
        <vt:i4>1179702</vt:i4>
      </vt:variant>
      <vt:variant>
        <vt:i4>818</vt:i4>
      </vt:variant>
      <vt:variant>
        <vt:i4>0</vt:i4>
      </vt:variant>
      <vt:variant>
        <vt:i4>5</vt:i4>
      </vt:variant>
      <vt:variant>
        <vt:lpwstr/>
      </vt:variant>
      <vt:variant>
        <vt:lpwstr>_Toc413918055</vt:lpwstr>
      </vt:variant>
      <vt:variant>
        <vt:i4>1179702</vt:i4>
      </vt:variant>
      <vt:variant>
        <vt:i4>812</vt:i4>
      </vt:variant>
      <vt:variant>
        <vt:i4>0</vt:i4>
      </vt:variant>
      <vt:variant>
        <vt:i4>5</vt:i4>
      </vt:variant>
      <vt:variant>
        <vt:lpwstr/>
      </vt:variant>
      <vt:variant>
        <vt:lpwstr>_Toc413918054</vt:lpwstr>
      </vt:variant>
      <vt:variant>
        <vt:i4>1179702</vt:i4>
      </vt:variant>
      <vt:variant>
        <vt:i4>806</vt:i4>
      </vt:variant>
      <vt:variant>
        <vt:i4>0</vt:i4>
      </vt:variant>
      <vt:variant>
        <vt:i4>5</vt:i4>
      </vt:variant>
      <vt:variant>
        <vt:lpwstr/>
      </vt:variant>
      <vt:variant>
        <vt:lpwstr>_Toc413918053</vt:lpwstr>
      </vt:variant>
      <vt:variant>
        <vt:i4>1179702</vt:i4>
      </vt:variant>
      <vt:variant>
        <vt:i4>800</vt:i4>
      </vt:variant>
      <vt:variant>
        <vt:i4>0</vt:i4>
      </vt:variant>
      <vt:variant>
        <vt:i4>5</vt:i4>
      </vt:variant>
      <vt:variant>
        <vt:lpwstr/>
      </vt:variant>
      <vt:variant>
        <vt:lpwstr>_Toc413918052</vt:lpwstr>
      </vt:variant>
      <vt:variant>
        <vt:i4>1179702</vt:i4>
      </vt:variant>
      <vt:variant>
        <vt:i4>794</vt:i4>
      </vt:variant>
      <vt:variant>
        <vt:i4>0</vt:i4>
      </vt:variant>
      <vt:variant>
        <vt:i4>5</vt:i4>
      </vt:variant>
      <vt:variant>
        <vt:lpwstr/>
      </vt:variant>
      <vt:variant>
        <vt:lpwstr>_Toc413918051</vt:lpwstr>
      </vt:variant>
      <vt:variant>
        <vt:i4>1179702</vt:i4>
      </vt:variant>
      <vt:variant>
        <vt:i4>788</vt:i4>
      </vt:variant>
      <vt:variant>
        <vt:i4>0</vt:i4>
      </vt:variant>
      <vt:variant>
        <vt:i4>5</vt:i4>
      </vt:variant>
      <vt:variant>
        <vt:lpwstr/>
      </vt:variant>
      <vt:variant>
        <vt:lpwstr>_Toc413918050</vt:lpwstr>
      </vt:variant>
      <vt:variant>
        <vt:i4>1245238</vt:i4>
      </vt:variant>
      <vt:variant>
        <vt:i4>782</vt:i4>
      </vt:variant>
      <vt:variant>
        <vt:i4>0</vt:i4>
      </vt:variant>
      <vt:variant>
        <vt:i4>5</vt:i4>
      </vt:variant>
      <vt:variant>
        <vt:lpwstr/>
      </vt:variant>
      <vt:variant>
        <vt:lpwstr>_Toc413918049</vt:lpwstr>
      </vt:variant>
      <vt:variant>
        <vt:i4>1245238</vt:i4>
      </vt:variant>
      <vt:variant>
        <vt:i4>776</vt:i4>
      </vt:variant>
      <vt:variant>
        <vt:i4>0</vt:i4>
      </vt:variant>
      <vt:variant>
        <vt:i4>5</vt:i4>
      </vt:variant>
      <vt:variant>
        <vt:lpwstr/>
      </vt:variant>
      <vt:variant>
        <vt:lpwstr>_Toc413918048</vt:lpwstr>
      </vt:variant>
      <vt:variant>
        <vt:i4>1245238</vt:i4>
      </vt:variant>
      <vt:variant>
        <vt:i4>770</vt:i4>
      </vt:variant>
      <vt:variant>
        <vt:i4>0</vt:i4>
      </vt:variant>
      <vt:variant>
        <vt:i4>5</vt:i4>
      </vt:variant>
      <vt:variant>
        <vt:lpwstr/>
      </vt:variant>
      <vt:variant>
        <vt:lpwstr>_Toc413918047</vt:lpwstr>
      </vt:variant>
      <vt:variant>
        <vt:i4>1245238</vt:i4>
      </vt:variant>
      <vt:variant>
        <vt:i4>764</vt:i4>
      </vt:variant>
      <vt:variant>
        <vt:i4>0</vt:i4>
      </vt:variant>
      <vt:variant>
        <vt:i4>5</vt:i4>
      </vt:variant>
      <vt:variant>
        <vt:lpwstr/>
      </vt:variant>
      <vt:variant>
        <vt:lpwstr>_Toc413918046</vt:lpwstr>
      </vt:variant>
      <vt:variant>
        <vt:i4>1245238</vt:i4>
      </vt:variant>
      <vt:variant>
        <vt:i4>758</vt:i4>
      </vt:variant>
      <vt:variant>
        <vt:i4>0</vt:i4>
      </vt:variant>
      <vt:variant>
        <vt:i4>5</vt:i4>
      </vt:variant>
      <vt:variant>
        <vt:lpwstr/>
      </vt:variant>
      <vt:variant>
        <vt:lpwstr>_Toc413918045</vt:lpwstr>
      </vt:variant>
      <vt:variant>
        <vt:i4>1245238</vt:i4>
      </vt:variant>
      <vt:variant>
        <vt:i4>752</vt:i4>
      </vt:variant>
      <vt:variant>
        <vt:i4>0</vt:i4>
      </vt:variant>
      <vt:variant>
        <vt:i4>5</vt:i4>
      </vt:variant>
      <vt:variant>
        <vt:lpwstr/>
      </vt:variant>
      <vt:variant>
        <vt:lpwstr>_Toc413918044</vt:lpwstr>
      </vt:variant>
      <vt:variant>
        <vt:i4>1245238</vt:i4>
      </vt:variant>
      <vt:variant>
        <vt:i4>746</vt:i4>
      </vt:variant>
      <vt:variant>
        <vt:i4>0</vt:i4>
      </vt:variant>
      <vt:variant>
        <vt:i4>5</vt:i4>
      </vt:variant>
      <vt:variant>
        <vt:lpwstr/>
      </vt:variant>
      <vt:variant>
        <vt:lpwstr>_Toc413918043</vt:lpwstr>
      </vt:variant>
      <vt:variant>
        <vt:i4>1245238</vt:i4>
      </vt:variant>
      <vt:variant>
        <vt:i4>740</vt:i4>
      </vt:variant>
      <vt:variant>
        <vt:i4>0</vt:i4>
      </vt:variant>
      <vt:variant>
        <vt:i4>5</vt:i4>
      </vt:variant>
      <vt:variant>
        <vt:lpwstr/>
      </vt:variant>
      <vt:variant>
        <vt:lpwstr>_Toc413918042</vt:lpwstr>
      </vt:variant>
      <vt:variant>
        <vt:i4>1245238</vt:i4>
      </vt:variant>
      <vt:variant>
        <vt:i4>734</vt:i4>
      </vt:variant>
      <vt:variant>
        <vt:i4>0</vt:i4>
      </vt:variant>
      <vt:variant>
        <vt:i4>5</vt:i4>
      </vt:variant>
      <vt:variant>
        <vt:lpwstr/>
      </vt:variant>
      <vt:variant>
        <vt:lpwstr>_Toc413918041</vt:lpwstr>
      </vt:variant>
      <vt:variant>
        <vt:i4>1245238</vt:i4>
      </vt:variant>
      <vt:variant>
        <vt:i4>728</vt:i4>
      </vt:variant>
      <vt:variant>
        <vt:i4>0</vt:i4>
      </vt:variant>
      <vt:variant>
        <vt:i4>5</vt:i4>
      </vt:variant>
      <vt:variant>
        <vt:lpwstr/>
      </vt:variant>
      <vt:variant>
        <vt:lpwstr>_Toc413918040</vt:lpwstr>
      </vt:variant>
      <vt:variant>
        <vt:i4>1310774</vt:i4>
      </vt:variant>
      <vt:variant>
        <vt:i4>722</vt:i4>
      </vt:variant>
      <vt:variant>
        <vt:i4>0</vt:i4>
      </vt:variant>
      <vt:variant>
        <vt:i4>5</vt:i4>
      </vt:variant>
      <vt:variant>
        <vt:lpwstr/>
      </vt:variant>
      <vt:variant>
        <vt:lpwstr>_Toc413918039</vt:lpwstr>
      </vt:variant>
      <vt:variant>
        <vt:i4>1310774</vt:i4>
      </vt:variant>
      <vt:variant>
        <vt:i4>716</vt:i4>
      </vt:variant>
      <vt:variant>
        <vt:i4>0</vt:i4>
      </vt:variant>
      <vt:variant>
        <vt:i4>5</vt:i4>
      </vt:variant>
      <vt:variant>
        <vt:lpwstr/>
      </vt:variant>
      <vt:variant>
        <vt:lpwstr>_Toc413918038</vt:lpwstr>
      </vt:variant>
      <vt:variant>
        <vt:i4>1310774</vt:i4>
      </vt:variant>
      <vt:variant>
        <vt:i4>710</vt:i4>
      </vt:variant>
      <vt:variant>
        <vt:i4>0</vt:i4>
      </vt:variant>
      <vt:variant>
        <vt:i4>5</vt:i4>
      </vt:variant>
      <vt:variant>
        <vt:lpwstr/>
      </vt:variant>
      <vt:variant>
        <vt:lpwstr>_Toc413918037</vt:lpwstr>
      </vt:variant>
      <vt:variant>
        <vt:i4>1310774</vt:i4>
      </vt:variant>
      <vt:variant>
        <vt:i4>704</vt:i4>
      </vt:variant>
      <vt:variant>
        <vt:i4>0</vt:i4>
      </vt:variant>
      <vt:variant>
        <vt:i4>5</vt:i4>
      </vt:variant>
      <vt:variant>
        <vt:lpwstr/>
      </vt:variant>
      <vt:variant>
        <vt:lpwstr>_Toc413918036</vt:lpwstr>
      </vt:variant>
      <vt:variant>
        <vt:i4>1310774</vt:i4>
      </vt:variant>
      <vt:variant>
        <vt:i4>698</vt:i4>
      </vt:variant>
      <vt:variant>
        <vt:i4>0</vt:i4>
      </vt:variant>
      <vt:variant>
        <vt:i4>5</vt:i4>
      </vt:variant>
      <vt:variant>
        <vt:lpwstr/>
      </vt:variant>
      <vt:variant>
        <vt:lpwstr>_Toc413918035</vt:lpwstr>
      </vt:variant>
      <vt:variant>
        <vt:i4>1310774</vt:i4>
      </vt:variant>
      <vt:variant>
        <vt:i4>692</vt:i4>
      </vt:variant>
      <vt:variant>
        <vt:i4>0</vt:i4>
      </vt:variant>
      <vt:variant>
        <vt:i4>5</vt:i4>
      </vt:variant>
      <vt:variant>
        <vt:lpwstr/>
      </vt:variant>
      <vt:variant>
        <vt:lpwstr>_Toc413918034</vt:lpwstr>
      </vt:variant>
      <vt:variant>
        <vt:i4>1310774</vt:i4>
      </vt:variant>
      <vt:variant>
        <vt:i4>686</vt:i4>
      </vt:variant>
      <vt:variant>
        <vt:i4>0</vt:i4>
      </vt:variant>
      <vt:variant>
        <vt:i4>5</vt:i4>
      </vt:variant>
      <vt:variant>
        <vt:lpwstr/>
      </vt:variant>
      <vt:variant>
        <vt:lpwstr>_Toc413918033</vt:lpwstr>
      </vt:variant>
      <vt:variant>
        <vt:i4>1310774</vt:i4>
      </vt:variant>
      <vt:variant>
        <vt:i4>680</vt:i4>
      </vt:variant>
      <vt:variant>
        <vt:i4>0</vt:i4>
      </vt:variant>
      <vt:variant>
        <vt:i4>5</vt:i4>
      </vt:variant>
      <vt:variant>
        <vt:lpwstr/>
      </vt:variant>
      <vt:variant>
        <vt:lpwstr>_Toc413918032</vt:lpwstr>
      </vt:variant>
      <vt:variant>
        <vt:i4>1310774</vt:i4>
      </vt:variant>
      <vt:variant>
        <vt:i4>674</vt:i4>
      </vt:variant>
      <vt:variant>
        <vt:i4>0</vt:i4>
      </vt:variant>
      <vt:variant>
        <vt:i4>5</vt:i4>
      </vt:variant>
      <vt:variant>
        <vt:lpwstr/>
      </vt:variant>
      <vt:variant>
        <vt:lpwstr>_Toc413918031</vt:lpwstr>
      </vt:variant>
      <vt:variant>
        <vt:i4>1310774</vt:i4>
      </vt:variant>
      <vt:variant>
        <vt:i4>668</vt:i4>
      </vt:variant>
      <vt:variant>
        <vt:i4>0</vt:i4>
      </vt:variant>
      <vt:variant>
        <vt:i4>5</vt:i4>
      </vt:variant>
      <vt:variant>
        <vt:lpwstr/>
      </vt:variant>
      <vt:variant>
        <vt:lpwstr>_Toc413918030</vt:lpwstr>
      </vt:variant>
      <vt:variant>
        <vt:i4>1376310</vt:i4>
      </vt:variant>
      <vt:variant>
        <vt:i4>662</vt:i4>
      </vt:variant>
      <vt:variant>
        <vt:i4>0</vt:i4>
      </vt:variant>
      <vt:variant>
        <vt:i4>5</vt:i4>
      </vt:variant>
      <vt:variant>
        <vt:lpwstr/>
      </vt:variant>
      <vt:variant>
        <vt:lpwstr>_Toc413918029</vt:lpwstr>
      </vt:variant>
      <vt:variant>
        <vt:i4>1376310</vt:i4>
      </vt:variant>
      <vt:variant>
        <vt:i4>656</vt:i4>
      </vt:variant>
      <vt:variant>
        <vt:i4>0</vt:i4>
      </vt:variant>
      <vt:variant>
        <vt:i4>5</vt:i4>
      </vt:variant>
      <vt:variant>
        <vt:lpwstr/>
      </vt:variant>
      <vt:variant>
        <vt:lpwstr>_Toc413918028</vt:lpwstr>
      </vt:variant>
      <vt:variant>
        <vt:i4>1376310</vt:i4>
      </vt:variant>
      <vt:variant>
        <vt:i4>650</vt:i4>
      </vt:variant>
      <vt:variant>
        <vt:i4>0</vt:i4>
      </vt:variant>
      <vt:variant>
        <vt:i4>5</vt:i4>
      </vt:variant>
      <vt:variant>
        <vt:lpwstr/>
      </vt:variant>
      <vt:variant>
        <vt:lpwstr>_Toc413918027</vt:lpwstr>
      </vt:variant>
      <vt:variant>
        <vt:i4>1376310</vt:i4>
      </vt:variant>
      <vt:variant>
        <vt:i4>644</vt:i4>
      </vt:variant>
      <vt:variant>
        <vt:i4>0</vt:i4>
      </vt:variant>
      <vt:variant>
        <vt:i4>5</vt:i4>
      </vt:variant>
      <vt:variant>
        <vt:lpwstr/>
      </vt:variant>
      <vt:variant>
        <vt:lpwstr>_Toc413918026</vt:lpwstr>
      </vt:variant>
      <vt:variant>
        <vt:i4>1376310</vt:i4>
      </vt:variant>
      <vt:variant>
        <vt:i4>638</vt:i4>
      </vt:variant>
      <vt:variant>
        <vt:i4>0</vt:i4>
      </vt:variant>
      <vt:variant>
        <vt:i4>5</vt:i4>
      </vt:variant>
      <vt:variant>
        <vt:lpwstr/>
      </vt:variant>
      <vt:variant>
        <vt:lpwstr>_Toc413918025</vt:lpwstr>
      </vt:variant>
      <vt:variant>
        <vt:i4>1376310</vt:i4>
      </vt:variant>
      <vt:variant>
        <vt:i4>632</vt:i4>
      </vt:variant>
      <vt:variant>
        <vt:i4>0</vt:i4>
      </vt:variant>
      <vt:variant>
        <vt:i4>5</vt:i4>
      </vt:variant>
      <vt:variant>
        <vt:lpwstr/>
      </vt:variant>
      <vt:variant>
        <vt:lpwstr>_Toc413918024</vt:lpwstr>
      </vt:variant>
      <vt:variant>
        <vt:i4>1376310</vt:i4>
      </vt:variant>
      <vt:variant>
        <vt:i4>626</vt:i4>
      </vt:variant>
      <vt:variant>
        <vt:i4>0</vt:i4>
      </vt:variant>
      <vt:variant>
        <vt:i4>5</vt:i4>
      </vt:variant>
      <vt:variant>
        <vt:lpwstr/>
      </vt:variant>
      <vt:variant>
        <vt:lpwstr>_Toc413918023</vt:lpwstr>
      </vt:variant>
      <vt:variant>
        <vt:i4>1376310</vt:i4>
      </vt:variant>
      <vt:variant>
        <vt:i4>620</vt:i4>
      </vt:variant>
      <vt:variant>
        <vt:i4>0</vt:i4>
      </vt:variant>
      <vt:variant>
        <vt:i4>5</vt:i4>
      </vt:variant>
      <vt:variant>
        <vt:lpwstr/>
      </vt:variant>
      <vt:variant>
        <vt:lpwstr>_Toc413918022</vt:lpwstr>
      </vt:variant>
      <vt:variant>
        <vt:i4>1376310</vt:i4>
      </vt:variant>
      <vt:variant>
        <vt:i4>614</vt:i4>
      </vt:variant>
      <vt:variant>
        <vt:i4>0</vt:i4>
      </vt:variant>
      <vt:variant>
        <vt:i4>5</vt:i4>
      </vt:variant>
      <vt:variant>
        <vt:lpwstr/>
      </vt:variant>
      <vt:variant>
        <vt:lpwstr>_Toc413918021</vt:lpwstr>
      </vt:variant>
      <vt:variant>
        <vt:i4>1376310</vt:i4>
      </vt:variant>
      <vt:variant>
        <vt:i4>608</vt:i4>
      </vt:variant>
      <vt:variant>
        <vt:i4>0</vt:i4>
      </vt:variant>
      <vt:variant>
        <vt:i4>5</vt:i4>
      </vt:variant>
      <vt:variant>
        <vt:lpwstr/>
      </vt:variant>
      <vt:variant>
        <vt:lpwstr>_Toc413918020</vt:lpwstr>
      </vt:variant>
      <vt:variant>
        <vt:i4>1441846</vt:i4>
      </vt:variant>
      <vt:variant>
        <vt:i4>602</vt:i4>
      </vt:variant>
      <vt:variant>
        <vt:i4>0</vt:i4>
      </vt:variant>
      <vt:variant>
        <vt:i4>5</vt:i4>
      </vt:variant>
      <vt:variant>
        <vt:lpwstr/>
      </vt:variant>
      <vt:variant>
        <vt:lpwstr>_Toc413918019</vt:lpwstr>
      </vt:variant>
      <vt:variant>
        <vt:i4>1441846</vt:i4>
      </vt:variant>
      <vt:variant>
        <vt:i4>596</vt:i4>
      </vt:variant>
      <vt:variant>
        <vt:i4>0</vt:i4>
      </vt:variant>
      <vt:variant>
        <vt:i4>5</vt:i4>
      </vt:variant>
      <vt:variant>
        <vt:lpwstr/>
      </vt:variant>
      <vt:variant>
        <vt:lpwstr>_Toc413918018</vt:lpwstr>
      </vt:variant>
      <vt:variant>
        <vt:i4>1441846</vt:i4>
      </vt:variant>
      <vt:variant>
        <vt:i4>590</vt:i4>
      </vt:variant>
      <vt:variant>
        <vt:i4>0</vt:i4>
      </vt:variant>
      <vt:variant>
        <vt:i4>5</vt:i4>
      </vt:variant>
      <vt:variant>
        <vt:lpwstr/>
      </vt:variant>
      <vt:variant>
        <vt:lpwstr>_Toc413918017</vt:lpwstr>
      </vt:variant>
      <vt:variant>
        <vt:i4>1441846</vt:i4>
      </vt:variant>
      <vt:variant>
        <vt:i4>584</vt:i4>
      </vt:variant>
      <vt:variant>
        <vt:i4>0</vt:i4>
      </vt:variant>
      <vt:variant>
        <vt:i4>5</vt:i4>
      </vt:variant>
      <vt:variant>
        <vt:lpwstr/>
      </vt:variant>
      <vt:variant>
        <vt:lpwstr>_Toc413918016</vt:lpwstr>
      </vt:variant>
      <vt:variant>
        <vt:i4>1441846</vt:i4>
      </vt:variant>
      <vt:variant>
        <vt:i4>578</vt:i4>
      </vt:variant>
      <vt:variant>
        <vt:i4>0</vt:i4>
      </vt:variant>
      <vt:variant>
        <vt:i4>5</vt:i4>
      </vt:variant>
      <vt:variant>
        <vt:lpwstr/>
      </vt:variant>
      <vt:variant>
        <vt:lpwstr>_Toc413918015</vt:lpwstr>
      </vt:variant>
      <vt:variant>
        <vt:i4>1441846</vt:i4>
      </vt:variant>
      <vt:variant>
        <vt:i4>572</vt:i4>
      </vt:variant>
      <vt:variant>
        <vt:i4>0</vt:i4>
      </vt:variant>
      <vt:variant>
        <vt:i4>5</vt:i4>
      </vt:variant>
      <vt:variant>
        <vt:lpwstr/>
      </vt:variant>
      <vt:variant>
        <vt:lpwstr>_Toc413918014</vt:lpwstr>
      </vt:variant>
      <vt:variant>
        <vt:i4>1441846</vt:i4>
      </vt:variant>
      <vt:variant>
        <vt:i4>566</vt:i4>
      </vt:variant>
      <vt:variant>
        <vt:i4>0</vt:i4>
      </vt:variant>
      <vt:variant>
        <vt:i4>5</vt:i4>
      </vt:variant>
      <vt:variant>
        <vt:lpwstr/>
      </vt:variant>
      <vt:variant>
        <vt:lpwstr>_Toc413918013</vt:lpwstr>
      </vt:variant>
      <vt:variant>
        <vt:i4>1441846</vt:i4>
      </vt:variant>
      <vt:variant>
        <vt:i4>560</vt:i4>
      </vt:variant>
      <vt:variant>
        <vt:i4>0</vt:i4>
      </vt:variant>
      <vt:variant>
        <vt:i4>5</vt:i4>
      </vt:variant>
      <vt:variant>
        <vt:lpwstr/>
      </vt:variant>
      <vt:variant>
        <vt:lpwstr>_Toc413918012</vt:lpwstr>
      </vt:variant>
      <vt:variant>
        <vt:i4>1441846</vt:i4>
      </vt:variant>
      <vt:variant>
        <vt:i4>554</vt:i4>
      </vt:variant>
      <vt:variant>
        <vt:i4>0</vt:i4>
      </vt:variant>
      <vt:variant>
        <vt:i4>5</vt:i4>
      </vt:variant>
      <vt:variant>
        <vt:lpwstr/>
      </vt:variant>
      <vt:variant>
        <vt:lpwstr>_Toc413918011</vt:lpwstr>
      </vt:variant>
      <vt:variant>
        <vt:i4>1441846</vt:i4>
      </vt:variant>
      <vt:variant>
        <vt:i4>548</vt:i4>
      </vt:variant>
      <vt:variant>
        <vt:i4>0</vt:i4>
      </vt:variant>
      <vt:variant>
        <vt:i4>5</vt:i4>
      </vt:variant>
      <vt:variant>
        <vt:lpwstr/>
      </vt:variant>
      <vt:variant>
        <vt:lpwstr>_Toc413918010</vt:lpwstr>
      </vt:variant>
      <vt:variant>
        <vt:i4>1507382</vt:i4>
      </vt:variant>
      <vt:variant>
        <vt:i4>542</vt:i4>
      </vt:variant>
      <vt:variant>
        <vt:i4>0</vt:i4>
      </vt:variant>
      <vt:variant>
        <vt:i4>5</vt:i4>
      </vt:variant>
      <vt:variant>
        <vt:lpwstr/>
      </vt:variant>
      <vt:variant>
        <vt:lpwstr>_Toc413918009</vt:lpwstr>
      </vt:variant>
      <vt:variant>
        <vt:i4>1507382</vt:i4>
      </vt:variant>
      <vt:variant>
        <vt:i4>536</vt:i4>
      </vt:variant>
      <vt:variant>
        <vt:i4>0</vt:i4>
      </vt:variant>
      <vt:variant>
        <vt:i4>5</vt:i4>
      </vt:variant>
      <vt:variant>
        <vt:lpwstr/>
      </vt:variant>
      <vt:variant>
        <vt:lpwstr>_Toc413918008</vt:lpwstr>
      </vt:variant>
      <vt:variant>
        <vt:i4>1507382</vt:i4>
      </vt:variant>
      <vt:variant>
        <vt:i4>530</vt:i4>
      </vt:variant>
      <vt:variant>
        <vt:i4>0</vt:i4>
      </vt:variant>
      <vt:variant>
        <vt:i4>5</vt:i4>
      </vt:variant>
      <vt:variant>
        <vt:lpwstr/>
      </vt:variant>
      <vt:variant>
        <vt:lpwstr>_Toc413918007</vt:lpwstr>
      </vt:variant>
      <vt:variant>
        <vt:i4>1507382</vt:i4>
      </vt:variant>
      <vt:variant>
        <vt:i4>524</vt:i4>
      </vt:variant>
      <vt:variant>
        <vt:i4>0</vt:i4>
      </vt:variant>
      <vt:variant>
        <vt:i4>5</vt:i4>
      </vt:variant>
      <vt:variant>
        <vt:lpwstr/>
      </vt:variant>
      <vt:variant>
        <vt:lpwstr>_Toc413918006</vt:lpwstr>
      </vt:variant>
      <vt:variant>
        <vt:i4>1507382</vt:i4>
      </vt:variant>
      <vt:variant>
        <vt:i4>518</vt:i4>
      </vt:variant>
      <vt:variant>
        <vt:i4>0</vt:i4>
      </vt:variant>
      <vt:variant>
        <vt:i4>5</vt:i4>
      </vt:variant>
      <vt:variant>
        <vt:lpwstr/>
      </vt:variant>
      <vt:variant>
        <vt:lpwstr>_Toc413918005</vt:lpwstr>
      </vt:variant>
      <vt:variant>
        <vt:i4>1507382</vt:i4>
      </vt:variant>
      <vt:variant>
        <vt:i4>512</vt:i4>
      </vt:variant>
      <vt:variant>
        <vt:i4>0</vt:i4>
      </vt:variant>
      <vt:variant>
        <vt:i4>5</vt:i4>
      </vt:variant>
      <vt:variant>
        <vt:lpwstr/>
      </vt:variant>
      <vt:variant>
        <vt:lpwstr>_Toc413918004</vt:lpwstr>
      </vt:variant>
      <vt:variant>
        <vt:i4>1507382</vt:i4>
      </vt:variant>
      <vt:variant>
        <vt:i4>506</vt:i4>
      </vt:variant>
      <vt:variant>
        <vt:i4>0</vt:i4>
      </vt:variant>
      <vt:variant>
        <vt:i4>5</vt:i4>
      </vt:variant>
      <vt:variant>
        <vt:lpwstr/>
      </vt:variant>
      <vt:variant>
        <vt:lpwstr>_Toc413918003</vt:lpwstr>
      </vt:variant>
      <vt:variant>
        <vt:i4>1507382</vt:i4>
      </vt:variant>
      <vt:variant>
        <vt:i4>500</vt:i4>
      </vt:variant>
      <vt:variant>
        <vt:i4>0</vt:i4>
      </vt:variant>
      <vt:variant>
        <vt:i4>5</vt:i4>
      </vt:variant>
      <vt:variant>
        <vt:lpwstr/>
      </vt:variant>
      <vt:variant>
        <vt:lpwstr>_Toc413918002</vt:lpwstr>
      </vt:variant>
      <vt:variant>
        <vt:i4>1507382</vt:i4>
      </vt:variant>
      <vt:variant>
        <vt:i4>494</vt:i4>
      </vt:variant>
      <vt:variant>
        <vt:i4>0</vt:i4>
      </vt:variant>
      <vt:variant>
        <vt:i4>5</vt:i4>
      </vt:variant>
      <vt:variant>
        <vt:lpwstr/>
      </vt:variant>
      <vt:variant>
        <vt:lpwstr>_Toc413918001</vt:lpwstr>
      </vt:variant>
      <vt:variant>
        <vt:i4>1507382</vt:i4>
      </vt:variant>
      <vt:variant>
        <vt:i4>488</vt:i4>
      </vt:variant>
      <vt:variant>
        <vt:i4>0</vt:i4>
      </vt:variant>
      <vt:variant>
        <vt:i4>5</vt:i4>
      </vt:variant>
      <vt:variant>
        <vt:lpwstr/>
      </vt:variant>
      <vt:variant>
        <vt:lpwstr>_Toc413918000</vt:lpwstr>
      </vt:variant>
      <vt:variant>
        <vt:i4>1114175</vt:i4>
      </vt:variant>
      <vt:variant>
        <vt:i4>482</vt:i4>
      </vt:variant>
      <vt:variant>
        <vt:i4>0</vt:i4>
      </vt:variant>
      <vt:variant>
        <vt:i4>5</vt:i4>
      </vt:variant>
      <vt:variant>
        <vt:lpwstr/>
      </vt:variant>
      <vt:variant>
        <vt:lpwstr>_Toc413917999</vt:lpwstr>
      </vt:variant>
      <vt:variant>
        <vt:i4>1114175</vt:i4>
      </vt:variant>
      <vt:variant>
        <vt:i4>476</vt:i4>
      </vt:variant>
      <vt:variant>
        <vt:i4>0</vt:i4>
      </vt:variant>
      <vt:variant>
        <vt:i4>5</vt:i4>
      </vt:variant>
      <vt:variant>
        <vt:lpwstr/>
      </vt:variant>
      <vt:variant>
        <vt:lpwstr>_Toc413917998</vt:lpwstr>
      </vt:variant>
      <vt:variant>
        <vt:i4>1114175</vt:i4>
      </vt:variant>
      <vt:variant>
        <vt:i4>470</vt:i4>
      </vt:variant>
      <vt:variant>
        <vt:i4>0</vt:i4>
      </vt:variant>
      <vt:variant>
        <vt:i4>5</vt:i4>
      </vt:variant>
      <vt:variant>
        <vt:lpwstr/>
      </vt:variant>
      <vt:variant>
        <vt:lpwstr>_Toc413917997</vt:lpwstr>
      </vt:variant>
      <vt:variant>
        <vt:i4>1114175</vt:i4>
      </vt:variant>
      <vt:variant>
        <vt:i4>464</vt:i4>
      </vt:variant>
      <vt:variant>
        <vt:i4>0</vt:i4>
      </vt:variant>
      <vt:variant>
        <vt:i4>5</vt:i4>
      </vt:variant>
      <vt:variant>
        <vt:lpwstr/>
      </vt:variant>
      <vt:variant>
        <vt:lpwstr>_Toc413917996</vt:lpwstr>
      </vt:variant>
      <vt:variant>
        <vt:i4>1114175</vt:i4>
      </vt:variant>
      <vt:variant>
        <vt:i4>458</vt:i4>
      </vt:variant>
      <vt:variant>
        <vt:i4>0</vt:i4>
      </vt:variant>
      <vt:variant>
        <vt:i4>5</vt:i4>
      </vt:variant>
      <vt:variant>
        <vt:lpwstr/>
      </vt:variant>
      <vt:variant>
        <vt:lpwstr>_Toc413917995</vt:lpwstr>
      </vt:variant>
      <vt:variant>
        <vt:i4>1114175</vt:i4>
      </vt:variant>
      <vt:variant>
        <vt:i4>452</vt:i4>
      </vt:variant>
      <vt:variant>
        <vt:i4>0</vt:i4>
      </vt:variant>
      <vt:variant>
        <vt:i4>5</vt:i4>
      </vt:variant>
      <vt:variant>
        <vt:lpwstr/>
      </vt:variant>
      <vt:variant>
        <vt:lpwstr>_Toc413917994</vt:lpwstr>
      </vt:variant>
      <vt:variant>
        <vt:i4>1114175</vt:i4>
      </vt:variant>
      <vt:variant>
        <vt:i4>446</vt:i4>
      </vt:variant>
      <vt:variant>
        <vt:i4>0</vt:i4>
      </vt:variant>
      <vt:variant>
        <vt:i4>5</vt:i4>
      </vt:variant>
      <vt:variant>
        <vt:lpwstr/>
      </vt:variant>
      <vt:variant>
        <vt:lpwstr>_Toc413917993</vt:lpwstr>
      </vt:variant>
      <vt:variant>
        <vt:i4>1114175</vt:i4>
      </vt:variant>
      <vt:variant>
        <vt:i4>440</vt:i4>
      </vt:variant>
      <vt:variant>
        <vt:i4>0</vt:i4>
      </vt:variant>
      <vt:variant>
        <vt:i4>5</vt:i4>
      </vt:variant>
      <vt:variant>
        <vt:lpwstr/>
      </vt:variant>
      <vt:variant>
        <vt:lpwstr>_Toc413917992</vt:lpwstr>
      </vt:variant>
      <vt:variant>
        <vt:i4>1114175</vt:i4>
      </vt:variant>
      <vt:variant>
        <vt:i4>434</vt:i4>
      </vt:variant>
      <vt:variant>
        <vt:i4>0</vt:i4>
      </vt:variant>
      <vt:variant>
        <vt:i4>5</vt:i4>
      </vt:variant>
      <vt:variant>
        <vt:lpwstr/>
      </vt:variant>
      <vt:variant>
        <vt:lpwstr>_Toc413917991</vt:lpwstr>
      </vt:variant>
      <vt:variant>
        <vt:i4>1114175</vt:i4>
      </vt:variant>
      <vt:variant>
        <vt:i4>428</vt:i4>
      </vt:variant>
      <vt:variant>
        <vt:i4>0</vt:i4>
      </vt:variant>
      <vt:variant>
        <vt:i4>5</vt:i4>
      </vt:variant>
      <vt:variant>
        <vt:lpwstr/>
      </vt:variant>
      <vt:variant>
        <vt:lpwstr>_Toc413917990</vt:lpwstr>
      </vt:variant>
      <vt:variant>
        <vt:i4>1048639</vt:i4>
      </vt:variant>
      <vt:variant>
        <vt:i4>422</vt:i4>
      </vt:variant>
      <vt:variant>
        <vt:i4>0</vt:i4>
      </vt:variant>
      <vt:variant>
        <vt:i4>5</vt:i4>
      </vt:variant>
      <vt:variant>
        <vt:lpwstr/>
      </vt:variant>
      <vt:variant>
        <vt:lpwstr>_Toc413917989</vt:lpwstr>
      </vt:variant>
      <vt:variant>
        <vt:i4>1048639</vt:i4>
      </vt:variant>
      <vt:variant>
        <vt:i4>416</vt:i4>
      </vt:variant>
      <vt:variant>
        <vt:i4>0</vt:i4>
      </vt:variant>
      <vt:variant>
        <vt:i4>5</vt:i4>
      </vt:variant>
      <vt:variant>
        <vt:lpwstr/>
      </vt:variant>
      <vt:variant>
        <vt:lpwstr>_Toc413917988</vt:lpwstr>
      </vt:variant>
      <vt:variant>
        <vt:i4>1048639</vt:i4>
      </vt:variant>
      <vt:variant>
        <vt:i4>410</vt:i4>
      </vt:variant>
      <vt:variant>
        <vt:i4>0</vt:i4>
      </vt:variant>
      <vt:variant>
        <vt:i4>5</vt:i4>
      </vt:variant>
      <vt:variant>
        <vt:lpwstr/>
      </vt:variant>
      <vt:variant>
        <vt:lpwstr>_Toc413917987</vt:lpwstr>
      </vt:variant>
      <vt:variant>
        <vt:i4>1048639</vt:i4>
      </vt:variant>
      <vt:variant>
        <vt:i4>404</vt:i4>
      </vt:variant>
      <vt:variant>
        <vt:i4>0</vt:i4>
      </vt:variant>
      <vt:variant>
        <vt:i4>5</vt:i4>
      </vt:variant>
      <vt:variant>
        <vt:lpwstr/>
      </vt:variant>
      <vt:variant>
        <vt:lpwstr>_Toc413917986</vt:lpwstr>
      </vt:variant>
      <vt:variant>
        <vt:i4>1048639</vt:i4>
      </vt:variant>
      <vt:variant>
        <vt:i4>398</vt:i4>
      </vt:variant>
      <vt:variant>
        <vt:i4>0</vt:i4>
      </vt:variant>
      <vt:variant>
        <vt:i4>5</vt:i4>
      </vt:variant>
      <vt:variant>
        <vt:lpwstr/>
      </vt:variant>
      <vt:variant>
        <vt:lpwstr>_Toc413917985</vt:lpwstr>
      </vt:variant>
      <vt:variant>
        <vt:i4>1048639</vt:i4>
      </vt:variant>
      <vt:variant>
        <vt:i4>392</vt:i4>
      </vt:variant>
      <vt:variant>
        <vt:i4>0</vt:i4>
      </vt:variant>
      <vt:variant>
        <vt:i4>5</vt:i4>
      </vt:variant>
      <vt:variant>
        <vt:lpwstr/>
      </vt:variant>
      <vt:variant>
        <vt:lpwstr>_Toc413917984</vt:lpwstr>
      </vt:variant>
      <vt:variant>
        <vt:i4>1048639</vt:i4>
      </vt:variant>
      <vt:variant>
        <vt:i4>386</vt:i4>
      </vt:variant>
      <vt:variant>
        <vt:i4>0</vt:i4>
      </vt:variant>
      <vt:variant>
        <vt:i4>5</vt:i4>
      </vt:variant>
      <vt:variant>
        <vt:lpwstr/>
      </vt:variant>
      <vt:variant>
        <vt:lpwstr>_Toc413917983</vt:lpwstr>
      </vt:variant>
      <vt:variant>
        <vt:i4>1048639</vt:i4>
      </vt:variant>
      <vt:variant>
        <vt:i4>380</vt:i4>
      </vt:variant>
      <vt:variant>
        <vt:i4>0</vt:i4>
      </vt:variant>
      <vt:variant>
        <vt:i4>5</vt:i4>
      </vt:variant>
      <vt:variant>
        <vt:lpwstr/>
      </vt:variant>
      <vt:variant>
        <vt:lpwstr>_Toc413917982</vt:lpwstr>
      </vt:variant>
      <vt:variant>
        <vt:i4>1048639</vt:i4>
      </vt:variant>
      <vt:variant>
        <vt:i4>374</vt:i4>
      </vt:variant>
      <vt:variant>
        <vt:i4>0</vt:i4>
      </vt:variant>
      <vt:variant>
        <vt:i4>5</vt:i4>
      </vt:variant>
      <vt:variant>
        <vt:lpwstr/>
      </vt:variant>
      <vt:variant>
        <vt:lpwstr>_Toc413917981</vt:lpwstr>
      </vt:variant>
      <vt:variant>
        <vt:i4>1048639</vt:i4>
      </vt:variant>
      <vt:variant>
        <vt:i4>368</vt:i4>
      </vt:variant>
      <vt:variant>
        <vt:i4>0</vt:i4>
      </vt:variant>
      <vt:variant>
        <vt:i4>5</vt:i4>
      </vt:variant>
      <vt:variant>
        <vt:lpwstr/>
      </vt:variant>
      <vt:variant>
        <vt:lpwstr>_Toc413917980</vt:lpwstr>
      </vt:variant>
      <vt:variant>
        <vt:i4>2031679</vt:i4>
      </vt:variant>
      <vt:variant>
        <vt:i4>362</vt:i4>
      </vt:variant>
      <vt:variant>
        <vt:i4>0</vt:i4>
      </vt:variant>
      <vt:variant>
        <vt:i4>5</vt:i4>
      </vt:variant>
      <vt:variant>
        <vt:lpwstr/>
      </vt:variant>
      <vt:variant>
        <vt:lpwstr>_Toc413917979</vt:lpwstr>
      </vt:variant>
      <vt:variant>
        <vt:i4>2031679</vt:i4>
      </vt:variant>
      <vt:variant>
        <vt:i4>356</vt:i4>
      </vt:variant>
      <vt:variant>
        <vt:i4>0</vt:i4>
      </vt:variant>
      <vt:variant>
        <vt:i4>5</vt:i4>
      </vt:variant>
      <vt:variant>
        <vt:lpwstr/>
      </vt:variant>
      <vt:variant>
        <vt:lpwstr>_Toc413917978</vt:lpwstr>
      </vt:variant>
      <vt:variant>
        <vt:i4>2031679</vt:i4>
      </vt:variant>
      <vt:variant>
        <vt:i4>350</vt:i4>
      </vt:variant>
      <vt:variant>
        <vt:i4>0</vt:i4>
      </vt:variant>
      <vt:variant>
        <vt:i4>5</vt:i4>
      </vt:variant>
      <vt:variant>
        <vt:lpwstr/>
      </vt:variant>
      <vt:variant>
        <vt:lpwstr>_Toc413917977</vt:lpwstr>
      </vt:variant>
      <vt:variant>
        <vt:i4>2031679</vt:i4>
      </vt:variant>
      <vt:variant>
        <vt:i4>344</vt:i4>
      </vt:variant>
      <vt:variant>
        <vt:i4>0</vt:i4>
      </vt:variant>
      <vt:variant>
        <vt:i4>5</vt:i4>
      </vt:variant>
      <vt:variant>
        <vt:lpwstr/>
      </vt:variant>
      <vt:variant>
        <vt:lpwstr>_Toc413917976</vt:lpwstr>
      </vt:variant>
      <vt:variant>
        <vt:i4>2031679</vt:i4>
      </vt:variant>
      <vt:variant>
        <vt:i4>338</vt:i4>
      </vt:variant>
      <vt:variant>
        <vt:i4>0</vt:i4>
      </vt:variant>
      <vt:variant>
        <vt:i4>5</vt:i4>
      </vt:variant>
      <vt:variant>
        <vt:lpwstr/>
      </vt:variant>
      <vt:variant>
        <vt:lpwstr>_Toc413917975</vt:lpwstr>
      </vt:variant>
      <vt:variant>
        <vt:i4>2031679</vt:i4>
      </vt:variant>
      <vt:variant>
        <vt:i4>332</vt:i4>
      </vt:variant>
      <vt:variant>
        <vt:i4>0</vt:i4>
      </vt:variant>
      <vt:variant>
        <vt:i4>5</vt:i4>
      </vt:variant>
      <vt:variant>
        <vt:lpwstr/>
      </vt:variant>
      <vt:variant>
        <vt:lpwstr>_Toc413917974</vt:lpwstr>
      </vt:variant>
      <vt:variant>
        <vt:i4>2031679</vt:i4>
      </vt:variant>
      <vt:variant>
        <vt:i4>326</vt:i4>
      </vt:variant>
      <vt:variant>
        <vt:i4>0</vt:i4>
      </vt:variant>
      <vt:variant>
        <vt:i4>5</vt:i4>
      </vt:variant>
      <vt:variant>
        <vt:lpwstr/>
      </vt:variant>
      <vt:variant>
        <vt:lpwstr>_Toc413917973</vt:lpwstr>
      </vt:variant>
      <vt:variant>
        <vt:i4>2031679</vt:i4>
      </vt:variant>
      <vt:variant>
        <vt:i4>320</vt:i4>
      </vt:variant>
      <vt:variant>
        <vt:i4>0</vt:i4>
      </vt:variant>
      <vt:variant>
        <vt:i4>5</vt:i4>
      </vt:variant>
      <vt:variant>
        <vt:lpwstr/>
      </vt:variant>
      <vt:variant>
        <vt:lpwstr>_Toc413917972</vt:lpwstr>
      </vt:variant>
      <vt:variant>
        <vt:i4>2031679</vt:i4>
      </vt:variant>
      <vt:variant>
        <vt:i4>314</vt:i4>
      </vt:variant>
      <vt:variant>
        <vt:i4>0</vt:i4>
      </vt:variant>
      <vt:variant>
        <vt:i4>5</vt:i4>
      </vt:variant>
      <vt:variant>
        <vt:lpwstr/>
      </vt:variant>
      <vt:variant>
        <vt:lpwstr>_Toc413917971</vt:lpwstr>
      </vt:variant>
      <vt:variant>
        <vt:i4>2031679</vt:i4>
      </vt:variant>
      <vt:variant>
        <vt:i4>308</vt:i4>
      </vt:variant>
      <vt:variant>
        <vt:i4>0</vt:i4>
      </vt:variant>
      <vt:variant>
        <vt:i4>5</vt:i4>
      </vt:variant>
      <vt:variant>
        <vt:lpwstr/>
      </vt:variant>
      <vt:variant>
        <vt:lpwstr>_Toc413917970</vt:lpwstr>
      </vt:variant>
      <vt:variant>
        <vt:i4>1966143</vt:i4>
      </vt:variant>
      <vt:variant>
        <vt:i4>302</vt:i4>
      </vt:variant>
      <vt:variant>
        <vt:i4>0</vt:i4>
      </vt:variant>
      <vt:variant>
        <vt:i4>5</vt:i4>
      </vt:variant>
      <vt:variant>
        <vt:lpwstr/>
      </vt:variant>
      <vt:variant>
        <vt:lpwstr>_Toc413917969</vt:lpwstr>
      </vt:variant>
      <vt:variant>
        <vt:i4>1966143</vt:i4>
      </vt:variant>
      <vt:variant>
        <vt:i4>296</vt:i4>
      </vt:variant>
      <vt:variant>
        <vt:i4>0</vt:i4>
      </vt:variant>
      <vt:variant>
        <vt:i4>5</vt:i4>
      </vt:variant>
      <vt:variant>
        <vt:lpwstr/>
      </vt:variant>
      <vt:variant>
        <vt:lpwstr>_Toc413917968</vt:lpwstr>
      </vt:variant>
      <vt:variant>
        <vt:i4>1966143</vt:i4>
      </vt:variant>
      <vt:variant>
        <vt:i4>290</vt:i4>
      </vt:variant>
      <vt:variant>
        <vt:i4>0</vt:i4>
      </vt:variant>
      <vt:variant>
        <vt:i4>5</vt:i4>
      </vt:variant>
      <vt:variant>
        <vt:lpwstr/>
      </vt:variant>
      <vt:variant>
        <vt:lpwstr>_Toc413917967</vt:lpwstr>
      </vt:variant>
      <vt:variant>
        <vt:i4>1966143</vt:i4>
      </vt:variant>
      <vt:variant>
        <vt:i4>284</vt:i4>
      </vt:variant>
      <vt:variant>
        <vt:i4>0</vt:i4>
      </vt:variant>
      <vt:variant>
        <vt:i4>5</vt:i4>
      </vt:variant>
      <vt:variant>
        <vt:lpwstr/>
      </vt:variant>
      <vt:variant>
        <vt:lpwstr>_Toc413917966</vt:lpwstr>
      </vt:variant>
      <vt:variant>
        <vt:i4>1966143</vt:i4>
      </vt:variant>
      <vt:variant>
        <vt:i4>278</vt:i4>
      </vt:variant>
      <vt:variant>
        <vt:i4>0</vt:i4>
      </vt:variant>
      <vt:variant>
        <vt:i4>5</vt:i4>
      </vt:variant>
      <vt:variant>
        <vt:lpwstr/>
      </vt:variant>
      <vt:variant>
        <vt:lpwstr>_Toc413917965</vt:lpwstr>
      </vt:variant>
      <vt:variant>
        <vt:i4>1966143</vt:i4>
      </vt:variant>
      <vt:variant>
        <vt:i4>272</vt:i4>
      </vt:variant>
      <vt:variant>
        <vt:i4>0</vt:i4>
      </vt:variant>
      <vt:variant>
        <vt:i4>5</vt:i4>
      </vt:variant>
      <vt:variant>
        <vt:lpwstr/>
      </vt:variant>
      <vt:variant>
        <vt:lpwstr>_Toc413917964</vt:lpwstr>
      </vt:variant>
      <vt:variant>
        <vt:i4>1966143</vt:i4>
      </vt:variant>
      <vt:variant>
        <vt:i4>266</vt:i4>
      </vt:variant>
      <vt:variant>
        <vt:i4>0</vt:i4>
      </vt:variant>
      <vt:variant>
        <vt:i4>5</vt:i4>
      </vt:variant>
      <vt:variant>
        <vt:lpwstr/>
      </vt:variant>
      <vt:variant>
        <vt:lpwstr>_Toc413917963</vt:lpwstr>
      </vt:variant>
      <vt:variant>
        <vt:i4>1966143</vt:i4>
      </vt:variant>
      <vt:variant>
        <vt:i4>260</vt:i4>
      </vt:variant>
      <vt:variant>
        <vt:i4>0</vt:i4>
      </vt:variant>
      <vt:variant>
        <vt:i4>5</vt:i4>
      </vt:variant>
      <vt:variant>
        <vt:lpwstr/>
      </vt:variant>
      <vt:variant>
        <vt:lpwstr>_Toc413917962</vt:lpwstr>
      </vt:variant>
      <vt:variant>
        <vt:i4>1966143</vt:i4>
      </vt:variant>
      <vt:variant>
        <vt:i4>254</vt:i4>
      </vt:variant>
      <vt:variant>
        <vt:i4>0</vt:i4>
      </vt:variant>
      <vt:variant>
        <vt:i4>5</vt:i4>
      </vt:variant>
      <vt:variant>
        <vt:lpwstr/>
      </vt:variant>
      <vt:variant>
        <vt:lpwstr>_Toc413917961</vt:lpwstr>
      </vt:variant>
      <vt:variant>
        <vt:i4>1966143</vt:i4>
      </vt:variant>
      <vt:variant>
        <vt:i4>248</vt:i4>
      </vt:variant>
      <vt:variant>
        <vt:i4>0</vt:i4>
      </vt:variant>
      <vt:variant>
        <vt:i4>5</vt:i4>
      </vt:variant>
      <vt:variant>
        <vt:lpwstr/>
      </vt:variant>
      <vt:variant>
        <vt:lpwstr>_Toc413917960</vt:lpwstr>
      </vt:variant>
      <vt:variant>
        <vt:i4>1900607</vt:i4>
      </vt:variant>
      <vt:variant>
        <vt:i4>242</vt:i4>
      </vt:variant>
      <vt:variant>
        <vt:i4>0</vt:i4>
      </vt:variant>
      <vt:variant>
        <vt:i4>5</vt:i4>
      </vt:variant>
      <vt:variant>
        <vt:lpwstr/>
      </vt:variant>
      <vt:variant>
        <vt:lpwstr>_Toc413917959</vt:lpwstr>
      </vt:variant>
      <vt:variant>
        <vt:i4>1900607</vt:i4>
      </vt:variant>
      <vt:variant>
        <vt:i4>236</vt:i4>
      </vt:variant>
      <vt:variant>
        <vt:i4>0</vt:i4>
      </vt:variant>
      <vt:variant>
        <vt:i4>5</vt:i4>
      </vt:variant>
      <vt:variant>
        <vt:lpwstr/>
      </vt:variant>
      <vt:variant>
        <vt:lpwstr>_Toc413917958</vt:lpwstr>
      </vt:variant>
      <vt:variant>
        <vt:i4>1900607</vt:i4>
      </vt:variant>
      <vt:variant>
        <vt:i4>230</vt:i4>
      </vt:variant>
      <vt:variant>
        <vt:i4>0</vt:i4>
      </vt:variant>
      <vt:variant>
        <vt:i4>5</vt:i4>
      </vt:variant>
      <vt:variant>
        <vt:lpwstr/>
      </vt:variant>
      <vt:variant>
        <vt:lpwstr>_Toc413917957</vt:lpwstr>
      </vt:variant>
      <vt:variant>
        <vt:i4>1900607</vt:i4>
      </vt:variant>
      <vt:variant>
        <vt:i4>224</vt:i4>
      </vt:variant>
      <vt:variant>
        <vt:i4>0</vt:i4>
      </vt:variant>
      <vt:variant>
        <vt:i4>5</vt:i4>
      </vt:variant>
      <vt:variant>
        <vt:lpwstr/>
      </vt:variant>
      <vt:variant>
        <vt:lpwstr>_Toc413917956</vt:lpwstr>
      </vt:variant>
      <vt:variant>
        <vt:i4>1900607</vt:i4>
      </vt:variant>
      <vt:variant>
        <vt:i4>218</vt:i4>
      </vt:variant>
      <vt:variant>
        <vt:i4>0</vt:i4>
      </vt:variant>
      <vt:variant>
        <vt:i4>5</vt:i4>
      </vt:variant>
      <vt:variant>
        <vt:lpwstr/>
      </vt:variant>
      <vt:variant>
        <vt:lpwstr>_Toc413917955</vt:lpwstr>
      </vt:variant>
      <vt:variant>
        <vt:i4>1900607</vt:i4>
      </vt:variant>
      <vt:variant>
        <vt:i4>212</vt:i4>
      </vt:variant>
      <vt:variant>
        <vt:i4>0</vt:i4>
      </vt:variant>
      <vt:variant>
        <vt:i4>5</vt:i4>
      </vt:variant>
      <vt:variant>
        <vt:lpwstr/>
      </vt:variant>
      <vt:variant>
        <vt:lpwstr>_Toc413917954</vt:lpwstr>
      </vt:variant>
      <vt:variant>
        <vt:i4>1900607</vt:i4>
      </vt:variant>
      <vt:variant>
        <vt:i4>206</vt:i4>
      </vt:variant>
      <vt:variant>
        <vt:i4>0</vt:i4>
      </vt:variant>
      <vt:variant>
        <vt:i4>5</vt:i4>
      </vt:variant>
      <vt:variant>
        <vt:lpwstr/>
      </vt:variant>
      <vt:variant>
        <vt:lpwstr>_Toc413917953</vt:lpwstr>
      </vt:variant>
      <vt:variant>
        <vt:i4>1900607</vt:i4>
      </vt:variant>
      <vt:variant>
        <vt:i4>200</vt:i4>
      </vt:variant>
      <vt:variant>
        <vt:i4>0</vt:i4>
      </vt:variant>
      <vt:variant>
        <vt:i4>5</vt:i4>
      </vt:variant>
      <vt:variant>
        <vt:lpwstr/>
      </vt:variant>
      <vt:variant>
        <vt:lpwstr>_Toc413917952</vt:lpwstr>
      </vt:variant>
      <vt:variant>
        <vt:i4>1900607</vt:i4>
      </vt:variant>
      <vt:variant>
        <vt:i4>194</vt:i4>
      </vt:variant>
      <vt:variant>
        <vt:i4>0</vt:i4>
      </vt:variant>
      <vt:variant>
        <vt:i4>5</vt:i4>
      </vt:variant>
      <vt:variant>
        <vt:lpwstr/>
      </vt:variant>
      <vt:variant>
        <vt:lpwstr>_Toc413917951</vt:lpwstr>
      </vt:variant>
      <vt:variant>
        <vt:i4>1900607</vt:i4>
      </vt:variant>
      <vt:variant>
        <vt:i4>188</vt:i4>
      </vt:variant>
      <vt:variant>
        <vt:i4>0</vt:i4>
      </vt:variant>
      <vt:variant>
        <vt:i4>5</vt:i4>
      </vt:variant>
      <vt:variant>
        <vt:lpwstr/>
      </vt:variant>
      <vt:variant>
        <vt:lpwstr>_Toc413917950</vt:lpwstr>
      </vt:variant>
      <vt:variant>
        <vt:i4>1835071</vt:i4>
      </vt:variant>
      <vt:variant>
        <vt:i4>182</vt:i4>
      </vt:variant>
      <vt:variant>
        <vt:i4>0</vt:i4>
      </vt:variant>
      <vt:variant>
        <vt:i4>5</vt:i4>
      </vt:variant>
      <vt:variant>
        <vt:lpwstr/>
      </vt:variant>
      <vt:variant>
        <vt:lpwstr>_Toc413917949</vt:lpwstr>
      </vt:variant>
      <vt:variant>
        <vt:i4>1835071</vt:i4>
      </vt:variant>
      <vt:variant>
        <vt:i4>176</vt:i4>
      </vt:variant>
      <vt:variant>
        <vt:i4>0</vt:i4>
      </vt:variant>
      <vt:variant>
        <vt:i4>5</vt:i4>
      </vt:variant>
      <vt:variant>
        <vt:lpwstr/>
      </vt:variant>
      <vt:variant>
        <vt:lpwstr>_Toc413917948</vt:lpwstr>
      </vt:variant>
      <vt:variant>
        <vt:i4>1835071</vt:i4>
      </vt:variant>
      <vt:variant>
        <vt:i4>170</vt:i4>
      </vt:variant>
      <vt:variant>
        <vt:i4>0</vt:i4>
      </vt:variant>
      <vt:variant>
        <vt:i4>5</vt:i4>
      </vt:variant>
      <vt:variant>
        <vt:lpwstr/>
      </vt:variant>
      <vt:variant>
        <vt:lpwstr>_Toc413917947</vt:lpwstr>
      </vt:variant>
      <vt:variant>
        <vt:i4>1835071</vt:i4>
      </vt:variant>
      <vt:variant>
        <vt:i4>164</vt:i4>
      </vt:variant>
      <vt:variant>
        <vt:i4>0</vt:i4>
      </vt:variant>
      <vt:variant>
        <vt:i4>5</vt:i4>
      </vt:variant>
      <vt:variant>
        <vt:lpwstr/>
      </vt:variant>
      <vt:variant>
        <vt:lpwstr>_Toc413917946</vt:lpwstr>
      </vt:variant>
      <vt:variant>
        <vt:i4>1835071</vt:i4>
      </vt:variant>
      <vt:variant>
        <vt:i4>158</vt:i4>
      </vt:variant>
      <vt:variant>
        <vt:i4>0</vt:i4>
      </vt:variant>
      <vt:variant>
        <vt:i4>5</vt:i4>
      </vt:variant>
      <vt:variant>
        <vt:lpwstr/>
      </vt:variant>
      <vt:variant>
        <vt:lpwstr>_Toc413917945</vt:lpwstr>
      </vt:variant>
      <vt:variant>
        <vt:i4>1835071</vt:i4>
      </vt:variant>
      <vt:variant>
        <vt:i4>152</vt:i4>
      </vt:variant>
      <vt:variant>
        <vt:i4>0</vt:i4>
      </vt:variant>
      <vt:variant>
        <vt:i4>5</vt:i4>
      </vt:variant>
      <vt:variant>
        <vt:lpwstr/>
      </vt:variant>
      <vt:variant>
        <vt:lpwstr>_Toc413917944</vt:lpwstr>
      </vt:variant>
      <vt:variant>
        <vt:i4>1835071</vt:i4>
      </vt:variant>
      <vt:variant>
        <vt:i4>146</vt:i4>
      </vt:variant>
      <vt:variant>
        <vt:i4>0</vt:i4>
      </vt:variant>
      <vt:variant>
        <vt:i4>5</vt:i4>
      </vt:variant>
      <vt:variant>
        <vt:lpwstr/>
      </vt:variant>
      <vt:variant>
        <vt:lpwstr>_Toc413917943</vt:lpwstr>
      </vt:variant>
      <vt:variant>
        <vt:i4>1835071</vt:i4>
      </vt:variant>
      <vt:variant>
        <vt:i4>140</vt:i4>
      </vt:variant>
      <vt:variant>
        <vt:i4>0</vt:i4>
      </vt:variant>
      <vt:variant>
        <vt:i4>5</vt:i4>
      </vt:variant>
      <vt:variant>
        <vt:lpwstr/>
      </vt:variant>
      <vt:variant>
        <vt:lpwstr>_Toc413917942</vt:lpwstr>
      </vt:variant>
      <vt:variant>
        <vt:i4>1835071</vt:i4>
      </vt:variant>
      <vt:variant>
        <vt:i4>134</vt:i4>
      </vt:variant>
      <vt:variant>
        <vt:i4>0</vt:i4>
      </vt:variant>
      <vt:variant>
        <vt:i4>5</vt:i4>
      </vt:variant>
      <vt:variant>
        <vt:lpwstr/>
      </vt:variant>
      <vt:variant>
        <vt:lpwstr>_Toc413917941</vt:lpwstr>
      </vt:variant>
      <vt:variant>
        <vt:i4>1835071</vt:i4>
      </vt:variant>
      <vt:variant>
        <vt:i4>128</vt:i4>
      </vt:variant>
      <vt:variant>
        <vt:i4>0</vt:i4>
      </vt:variant>
      <vt:variant>
        <vt:i4>5</vt:i4>
      </vt:variant>
      <vt:variant>
        <vt:lpwstr/>
      </vt:variant>
      <vt:variant>
        <vt:lpwstr>_Toc413917940</vt:lpwstr>
      </vt:variant>
      <vt:variant>
        <vt:i4>1769535</vt:i4>
      </vt:variant>
      <vt:variant>
        <vt:i4>122</vt:i4>
      </vt:variant>
      <vt:variant>
        <vt:i4>0</vt:i4>
      </vt:variant>
      <vt:variant>
        <vt:i4>5</vt:i4>
      </vt:variant>
      <vt:variant>
        <vt:lpwstr/>
      </vt:variant>
      <vt:variant>
        <vt:lpwstr>_Toc413917939</vt:lpwstr>
      </vt:variant>
      <vt:variant>
        <vt:i4>1769535</vt:i4>
      </vt:variant>
      <vt:variant>
        <vt:i4>116</vt:i4>
      </vt:variant>
      <vt:variant>
        <vt:i4>0</vt:i4>
      </vt:variant>
      <vt:variant>
        <vt:i4>5</vt:i4>
      </vt:variant>
      <vt:variant>
        <vt:lpwstr/>
      </vt:variant>
      <vt:variant>
        <vt:lpwstr>_Toc413917938</vt:lpwstr>
      </vt:variant>
      <vt:variant>
        <vt:i4>1769535</vt:i4>
      </vt:variant>
      <vt:variant>
        <vt:i4>110</vt:i4>
      </vt:variant>
      <vt:variant>
        <vt:i4>0</vt:i4>
      </vt:variant>
      <vt:variant>
        <vt:i4>5</vt:i4>
      </vt:variant>
      <vt:variant>
        <vt:lpwstr/>
      </vt:variant>
      <vt:variant>
        <vt:lpwstr>_Toc413917937</vt:lpwstr>
      </vt:variant>
      <vt:variant>
        <vt:i4>1769535</vt:i4>
      </vt:variant>
      <vt:variant>
        <vt:i4>104</vt:i4>
      </vt:variant>
      <vt:variant>
        <vt:i4>0</vt:i4>
      </vt:variant>
      <vt:variant>
        <vt:i4>5</vt:i4>
      </vt:variant>
      <vt:variant>
        <vt:lpwstr/>
      </vt:variant>
      <vt:variant>
        <vt:lpwstr>_Toc413917936</vt:lpwstr>
      </vt:variant>
      <vt:variant>
        <vt:i4>1769535</vt:i4>
      </vt:variant>
      <vt:variant>
        <vt:i4>98</vt:i4>
      </vt:variant>
      <vt:variant>
        <vt:i4>0</vt:i4>
      </vt:variant>
      <vt:variant>
        <vt:i4>5</vt:i4>
      </vt:variant>
      <vt:variant>
        <vt:lpwstr/>
      </vt:variant>
      <vt:variant>
        <vt:lpwstr>_Toc413917935</vt:lpwstr>
      </vt:variant>
      <vt:variant>
        <vt:i4>1769535</vt:i4>
      </vt:variant>
      <vt:variant>
        <vt:i4>92</vt:i4>
      </vt:variant>
      <vt:variant>
        <vt:i4>0</vt:i4>
      </vt:variant>
      <vt:variant>
        <vt:i4>5</vt:i4>
      </vt:variant>
      <vt:variant>
        <vt:lpwstr/>
      </vt:variant>
      <vt:variant>
        <vt:lpwstr>_Toc413917934</vt:lpwstr>
      </vt:variant>
      <vt:variant>
        <vt:i4>1769535</vt:i4>
      </vt:variant>
      <vt:variant>
        <vt:i4>86</vt:i4>
      </vt:variant>
      <vt:variant>
        <vt:i4>0</vt:i4>
      </vt:variant>
      <vt:variant>
        <vt:i4>5</vt:i4>
      </vt:variant>
      <vt:variant>
        <vt:lpwstr/>
      </vt:variant>
      <vt:variant>
        <vt:lpwstr>_Toc413917933</vt:lpwstr>
      </vt:variant>
      <vt:variant>
        <vt:i4>1769535</vt:i4>
      </vt:variant>
      <vt:variant>
        <vt:i4>80</vt:i4>
      </vt:variant>
      <vt:variant>
        <vt:i4>0</vt:i4>
      </vt:variant>
      <vt:variant>
        <vt:i4>5</vt:i4>
      </vt:variant>
      <vt:variant>
        <vt:lpwstr/>
      </vt:variant>
      <vt:variant>
        <vt:lpwstr>_Toc413917932</vt:lpwstr>
      </vt:variant>
      <vt:variant>
        <vt:i4>1769535</vt:i4>
      </vt:variant>
      <vt:variant>
        <vt:i4>74</vt:i4>
      </vt:variant>
      <vt:variant>
        <vt:i4>0</vt:i4>
      </vt:variant>
      <vt:variant>
        <vt:i4>5</vt:i4>
      </vt:variant>
      <vt:variant>
        <vt:lpwstr/>
      </vt:variant>
      <vt:variant>
        <vt:lpwstr>_Toc413917931</vt:lpwstr>
      </vt:variant>
      <vt:variant>
        <vt:i4>1769535</vt:i4>
      </vt:variant>
      <vt:variant>
        <vt:i4>68</vt:i4>
      </vt:variant>
      <vt:variant>
        <vt:i4>0</vt:i4>
      </vt:variant>
      <vt:variant>
        <vt:i4>5</vt:i4>
      </vt:variant>
      <vt:variant>
        <vt:lpwstr/>
      </vt:variant>
      <vt:variant>
        <vt:lpwstr>_Toc413917930</vt:lpwstr>
      </vt:variant>
      <vt:variant>
        <vt:i4>1703999</vt:i4>
      </vt:variant>
      <vt:variant>
        <vt:i4>62</vt:i4>
      </vt:variant>
      <vt:variant>
        <vt:i4>0</vt:i4>
      </vt:variant>
      <vt:variant>
        <vt:i4>5</vt:i4>
      </vt:variant>
      <vt:variant>
        <vt:lpwstr/>
      </vt:variant>
      <vt:variant>
        <vt:lpwstr>_Toc413917929</vt:lpwstr>
      </vt:variant>
      <vt:variant>
        <vt:i4>1703999</vt:i4>
      </vt:variant>
      <vt:variant>
        <vt:i4>56</vt:i4>
      </vt:variant>
      <vt:variant>
        <vt:i4>0</vt:i4>
      </vt:variant>
      <vt:variant>
        <vt:i4>5</vt:i4>
      </vt:variant>
      <vt:variant>
        <vt:lpwstr/>
      </vt:variant>
      <vt:variant>
        <vt:lpwstr>_Toc413917928</vt:lpwstr>
      </vt:variant>
      <vt:variant>
        <vt:i4>1703999</vt:i4>
      </vt:variant>
      <vt:variant>
        <vt:i4>50</vt:i4>
      </vt:variant>
      <vt:variant>
        <vt:i4>0</vt:i4>
      </vt:variant>
      <vt:variant>
        <vt:i4>5</vt:i4>
      </vt:variant>
      <vt:variant>
        <vt:lpwstr/>
      </vt:variant>
      <vt:variant>
        <vt:lpwstr>_Toc413917927</vt:lpwstr>
      </vt:variant>
      <vt:variant>
        <vt:i4>1703999</vt:i4>
      </vt:variant>
      <vt:variant>
        <vt:i4>44</vt:i4>
      </vt:variant>
      <vt:variant>
        <vt:i4>0</vt:i4>
      </vt:variant>
      <vt:variant>
        <vt:i4>5</vt:i4>
      </vt:variant>
      <vt:variant>
        <vt:lpwstr/>
      </vt:variant>
      <vt:variant>
        <vt:lpwstr>_Toc413917926</vt:lpwstr>
      </vt:variant>
      <vt:variant>
        <vt:i4>1703999</vt:i4>
      </vt:variant>
      <vt:variant>
        <vt:i4>38</vt:i4>
      </vt:variant>
      <vt:variant>
        <vt:i4>0</vt:i4>
      </vt:variant>
      <vt:variant>
        <vt:i4>5</vt:i4>
      </vt:variant>
      <vt:variant>
        <vt:lpwstr/>
      </vt:variant>
      <vt:variant>
        <vt:lpwstr>_Toc413917925</vt:lpwstr>
      </vt:variant>
      <vt:variant>
        <vt:i4>1703999</vt:i4>
      </vt:variant>
      <vt:variant>
        <vt:i4>32</vt:i4>
      </vt:variant>
      <vt:variant>
        <vt:i4>0</vt:i4>
      </vt:variant>
      <vt:variant>
        <vt:i4>5</vt:i4>
      </vt:variant>
      <vt:variant>
        <vt:lpwstr/>
      </vt:variant>
      <vt:variant>
        <vt:lpwstr>_Toc413917924</vt:lpwstr>
      </vt:variant>
      <vt:variant>
        <vt:i4>1703999</vt:i4>
      </vt:variant>
      <vt:variant>
        <vt:i4>26</vt:i4>
      </vt:variant>
      <vt:variant>
        <vt:i4>0</vt:i4>
      </vt:variant>
      <vt:variant>
        <vt:i4>5</vt:i4>
      </vt:variant>
      <vt:variant>
        <vt:lpwstr/>
      </vt:variant>
      <vt:variant>
        <vt:lpwstr>_Toc413917923</vt:lpwstr>
      </vt:variant>
      <vt:variant>
        <vt:i4>1703999</vt:i4>
      </vt:variant>
      <vt:variant>
        <vt:i4>20</vt:i4>
      </vt:variant>
      <vt:variant>
        <vt:i4>0</vt:i4>
      </vt:variant>
      <vt:variant>
        <vt:i4>5</vt:i4>
      </vt:variant>
      <vt:variant>
        <vt:lpwstr/>
      </vt:variant>
      <vt:variant>
        <vt:lpwstr>_Toc413917922</vt:lpwstr>
      </vt:variant>
      <vt:variant>
        <vt:i4>1703999</vt:i4>
      </vt:variant>
      <vt:variant>
        <vt:i4>14</vt:i4>
      </vt:variant>
      <vt:variant>
        <vt:i4>0</vt:i4>
      </vt:variant>
      <vt:variant>
        <vt:i4>5</vt:i4>
      </vt:variant>
      <vt:variant>
        <vt:lpwstr/>
      </vt:variant>
      <vt:variant>
        <vt:lpwstr>_Toc413917921</vt:lpwstr>
      </vt:variant>
      <vt:variant>
        <vt:i4>1703999</vt:i4>
      </vt:variant>
      <vt:variant>
        <vt:i4>8</vt:i4>
      </vt:variant>
      <vt:variant>
        <vt:i4>0</vt:i4>
      </vt:variant>
      <vt:variant>
        <vt:i4>5</vt:i4>
      </vt:variant>
      <vt:variant>
        <vt:lpwstr/>
      </vt:variant>
      <vt:variant>
        <vt:lpwstr>_Toc413917920</vt:lpwstr>
      </vt:variant>
      <vt:variant>
        <vt:i4>1638463</vt:i4>
      </vt:variant>
      <vt:variant>
        <vt:i4>2</vt:i4>
      </vt:variant>
      <vt:variant>
        <vt:i4>0</vt:i4>
      </vt:variant>
      <vt:variant>
        <vt:i4>5</vt:i4>
      </vt:variant>
      <vt:variant>
        <vt:lpwstr/>
      </vt:variant>
      <vt:variant>
        <vt:lpwstr>_Toc413917919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dc:title>
  <dc:creator>Doris Guth</dc:creator>
  <cp:lastModifiedBy>BARON Gino (DGT)</cp:lastModifiedBy>
  <cp:revision>325</cp:revision>
  <cp:lastPrinted>2018-02-01T07:14:00Z</cp:lastPrinted>
  <dcterms:created xsi:type="dcterms:W3CDTF">2015-10-29T19:24:00Z</dcterms:created>
  <dcterms:modified xsi:type="dcterms:W3CDTF">2019-01-17T13:51:00Z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
    <vt:lpwstr> </vt:lpwstr>
  </property>
  <property fmtid="{D5CDD505-2E9C-101B-9397-08002B2CF9AE}" pid="3" name="Last edited using">
    <vt:lpwstr>LW 4.0, Build 990708</vt:lpwstr>
  </property>
  <property fmtid="{D5CDD505-2E9C-101B-9397-08002B2CF9AE}" pid="4" name="Category">
    <vt:lpwstr>C/SEC</vt:lpwstr>
  </property>
  <property fmtid="{D5CDD505-2E9C-101B-9397-08002B2CF9AE}" pid="5" name="Created using">
    <vt:lpwstr>LW 4.0, Build 990708</vt:lpwstr>
  </property>
  <property fmtid="{D5CDD505-2E9C-101B-9397-08002B2CF9AE}" pid="6" name="LWCR Document">
    <vt:lpwstr>True</vt:lpwstr>
  </property>
  <property fmtid="{D5CDD505-2E9C-101B-9397-08002B2CF9AE}" pid="7" name="LWCR Version">
    <vt:lpwstr>1.3.3</vt:lpwstr>
  </property>
  <property fmtid="{D5CDD505-2E9C-101B-9397-08002B2CF9AE}" pid="8" name="DQCStatus">
    <vt:lpwstr>Red (DQC version 03)</vt:lpwstr>
  </property>
</Properties>
</file>